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header24.xml" ContentType="application/vnd.openxmlformats-officedocument.wordprocessingml.header+xml"/>
  <Override PartName="/word/footer25.xml" ContentType="application/vnd.openxmlformats-officedocument.wordprocessingml.footer+xml"/>
  <Override PartName="/word/header25.xml" ContentType="application/vnd.openxmlformats-officedocument.wordprocessingml.header+xml"/>
  <Override PartName="/word/footer26.xml" ContentType="application/vnd.openxmlformats-officedocument.wordprocessingml.footer+xml"/>
  <Override PartName="/word/header26.xml" ContentType="application/vnd.openxmlformats-officedocument.wordprocessingml.head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footer29.xml" ContentType="application/vnd.openxmlformats-officedocument.wordprocessingml.footer+xml"/>
  <Override PartName="/word/header29.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B1ABB6" w14:textId="39B39182" w:rsidR="000126AE" w:rsidRPr="00FF4346" w:rsidRDefault="00965C50">
      <w:pPr>
        <w:rPr>
          <w:rFonts w:ascii="CAIXA Std Book" w:hAnsi="CAIXA Std Book"/>
          <w:color w:val="005CA9"/>
        </w:rPr>
        <w:sectPr w:rsidR="000126AE" w:rsidRPr="00FF4346" w:rsidSect="0088151D">
          <w:headerReference w:type="default" r:id="rId11"/>
          <w:footerReference w:type="even" r:id="rId12"/>
          <w:footerReference w:type="default" r:id="rId13"/>
          <w:pgSz w:w="11907" w:h="16840" w:code="9"/>
          <w:pgMar w:top="1418" w:right="851" w:bottom="851" w:left="1418" w:header="1134" w:footer="709" w:gutter="0"/>
          <w:cols w:space="708"/>
          <w:titlePg/>
          <w:docGrid w:linePitch="360"/>
        </w:sectPr>
      </w:pPr>
      <w:r w:rsidRPr="00BA4389">
        <w:rPr>
          <w:rFonts w:ascii="Futura Lt BT" w:hAnsi="Futura Lt BT"/>
          <w:b/>
          <w:noProof/>
          <w:color w:val="005CA9"/>
          <w:sz w:val="48"/>
          <w:szCs w:val="48"/>
        </w:rPr>
        <mc:AlternateContent>
          <mc:Choice Requires="wps">
            <w:drawing>
              <wp:anchor distT="0" distB="0" distL="114300" distR="114300" simplePos="0" relativeHeight="251661312" behindDoc="0" locked="0" layoutInCell="1" allowOverlap="1" wp14:anchorId="38E1F075" wp14:editId="6F2B1375">
                <wp:simplePos x="0" y="0"/>
                <wp:positionH relativeFrom="margin">
                  <wp:posOffset>500850</wp:posOffset>
                </wp:positionH>
                <wp:positionV relativeFrom="paragraph">
                  <wp:posOffset>2566686</wp:posOffset>
                </wp:positionV>
                <wp:extent cx="4939253" cy="3598224"/>
                <wp:effectExtent l="0" t="0" r="0" b="2540"/>
                <wp:wrapNone/>
                <wp:docPr id="7" name="Text Box 587"/>
                <wp:cNvGraphicFramePr/>
                <a:graphic xmlns:a="http://schemas.openxmlformats.org/drawingml/2006/main">
                  <a:graphicData uri="http://schemas.microsoft.com/office/word/2010/wordprocessingShape">
                    <wps:wsp>
                      <wps:cNvSpPr txBox="1"/>
                      <wps:spPr>
                        <a:xfrm>
                          <a:off x="0" y="0"/>
                          <a:ext cx="4939253" cy="3598224"/>
                        </a:xfrm>
                        <a:prstGeom prst="rect">
                          <a:avLst/>
                        </a:prstGeom>
                        <a:noFill/>
                        <a:ln w="6350">
                          <a:noFill/>
                        </a:ln>
                      </wps:spPr>
                      <wps:txbx>
                        <w:txbxContent>
                          <w:p w14:paraId="67C2E7D8" w14:textId="233E2800"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Demonstrações Contábeis Individuais e Consolidadas Intermediárias Condensadas</w:t>
                            </w:r>
                          </w:p>
                          <w:p w14:paraId="691A4055" w14:textId="77777777" w:rsidR="00965C50" w:rsidRPr="007C13DA" w:rsidRDefault="00965C50" w:rsidP="00965C50">
                            <w:pPr>
                              <w:jc w:val="center"/>
                              <w:rPr>
                                <w:rFonts w:ascii="CAIXA Std Book" w:hAnsi="CAIXA Std Book"/>
                                <w:b/>
                                <w:bCs/>
                                <w:color w:val="FFFFFF" w:themeColor="background1"/>
                                <w:sz w:val="48"/>
                                <w:szCs w:val="48"/>
                              </w:rPr>
                            </w:pPr>
                          </w:p>
                          <w:p w14:paraId="2F22DEA9" w14:textId="77777777"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BrGaap</w:t>
                            </w:r>
                          </w:p>
                          <w:p w14:paraId="67C4D4CE" w14:textId="77777777" w:rsidR="00965C50" w:rsidRPr="007C13DA" w:rsidRDefault="00965C50" w:rsidP="00965C50">
                            <w:pPr>
                              <w:jc w:val="center"/>
                              <w:rPr>
                                <w:rFonts w:ascii="CAIXA Std Book" w:hAnsi="CAIXA Std Book"/>
                                <w:b/>
                                <w:bCs/>
                                <w:color w:val="FFFFFF" w:themeColor="background1"/>
                                <w:sz w:val="48"/>
                                <w:szCs w:val="48"/>
                              </w:rPr>
                            </w:pPr>
                          </w:p>
                          <w:p w14:paraId="70DC62AF" w14:textId="1145C0A2"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1</w:t>
                            </w:r>
                            <w:r w:rsidR="00C61C9D" w:rsidRPr="007C13DA">
                              <w:rPr>
                                <w:rFonts w:ascii="CAIXA Std Book" w:hAnsi="CAIXA Std Book"/>
                                <w:b/>
                                <w:bCs/>
                                <w:color w:val="FFFFFF" w:themeColor="background1"/>
                                <w:sz w:val="48"/>
                                <w:szCs w:val="48"/>
                              </w:rPr>
                              <w:t>º</w:t>
                            </w:r>
                            <w:r w:rsidR="00663C85" w:rsidRPr="007C13DA">
                              <w:rPr>
                                <w:rFonts w:ascii="CAIXA Std Book" w:hAnsi="CAIXA Std Book"/>
                                <w:b/>
                                <w:bCs/>
                                <w:color w:val="FFFFFF" w:themeColor="background1"/>
                                <w:sz w:val="48"/>
                                <w:szCs w:val="48"/>
                              </w:rPr>
                              <w:t xml:space="preserve"> </w:t>
                            </w:r>
                            <w:r w:rsidR="0018140D" w:rsidRPr="007C13DA">
                              <w:rPr>
                                <w:rFonts w:ascii="CAIXA Std Book" w:hAnsi="CAIXA Std Book"/>
                                <w:b/>
                                <w:bCs/>
                                <w:color w:val="FFFFFF" w:themeColor="background1"/>
                                <w:sz w:val="48"/>
                                <w:szCs w:val="48"/>
                              </w:rPr>
                              <w:t>t</w:t>
                            </w:r>
                            <w:r w:rsidR="00663C85" w:rsidRPr="007C13DA">
                              <w:rPr>
                                <w:rFonts w:ascii="CAIXA Std Book" w:hAnsi="CAIXA Std Book"/>
                                <w:b/>
                                <w:bCs/>
                                <w:color w:val="FFFFFF" w:themeColor="background1"/>
                                <w:sz w:val="48"/>
                                <w:szCs w:val="48"/>
                              </w:rPr>
                              <w:t>rimestre 20</w:t>
                            </w:r>
                            <w:r w:rsidRPr="007C13DA">
                              <w:rPr>
                                <w:rFonts w:ascii="CAIXA Std Book" w:hAnsi="CAIXA Std Book"/>
                                <w:b/>
                                <w:bCs/>
                                <w:color w:val="FFFFFF" w:themeColor="background1"/>
                                <w:sz w:val="48"/>
                                <w:szCs w:val="48"/>
                              </w:rPr>
                              <w:t>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E1F075" id="_x0000_t202" coordsize="21600,21600" o:spt="202" path="m,l,21600r21600,l21600,xe">
                <v:stroke joinstyle="miter"/>
                <v:path gradientshapeok="t" o:connecttype="rect"/>
              </v:shapetype>
              <v:shape id="Text Box 587" o:spid="_x0000_s1026" type="#_x0000_t202" style="position:absolute;margin-left:39.45pt;margin-top:202.1pt;width:388.9pt;height:283.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" filled="f" stroked="f" strokeweight=".5pt">
                <v:textbox>
                  <w:txbxContent>
                    <w:p w14:paraId="67C2E7D8" w14:textId="233E2800"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Demonstrações Contábeis Individuais e Consolidadas Intermediárias Condensadas</w:t>
                      </w:r>
                    </w:p>
                    <w:p w14:paraId="691A4055" w14:textId="77777777" w:rsidR="00965C50" w:rsidRPr="007C13DA" w:rsidRDefault="00965C50" w:rsidP="00965C50">
                      <w:pPr>
                        <w:jc w:val="center"/>
                        <w:rPr>
                          <w:rFonts w:ascii="CAIXA Std Book" w:hAnsi="CAIXA Std Book"/>
                          <w:b/>
                          <w:bCs/>
                          <w:color w:val="FFFFFF" w:themeColor="background1"/>
                          <w:sz w:val="48"/>
                          <w:szCs w:val="48"/>
                        </w:rPr>
                      </w:pPr>
                    </w:p>
                    <w:p w14:paraId="2F22DEA9" w14:textId="77777777"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BrGaap</w:t>
                      </w:r>
                    </w:p>
                    <w:p w14:paraId="67C4D4CE" w14:textId="77777777" w:rsidR="00965C50" w:rsidRPr="007C13DA" w:rsidRDefault="00965C50" w:rsidP="00965C50">
                      <w:pPr>
                        <w:jc w:val="center"/>
                        <w:rPr>
                          <w:rFonts w:ascii="CAIXA Std Book" w:hAnsi="CAIXA Std Book"/>
                          <w:b/>
                          <w:bCs/>
                          <w:color w:val="FFFFFF" w:themeColor="background1"/>
                          <w:sz w:val="48"/>
                          <w:szCs w:val="48"/>
                        </w:rPr>
                      </w:pPr>
                    </w:p>
                    <w:p w14:paraId="70DC62AF" w14:textId="1145C0A2" w:rsidR="00965C50" w:rsidRPr="007C13DA" w:rsidRDefault="00965C50" w:rsidP="00965C50">
                      <w:pPr>
                        <w:jc w:val="center"/>
                        <w:rPr>
                          <w:rFonts w:ascii="CAIXA Std Book" w:hAnsi="CAIXA Std Book"/>
                          <w:b/>
                          <w:bCs/>
                          <w:color w:val="FFFFFF" w:themeColor="background1"/>
                          <w:sz w:val="48"/>
                          <w:szCs w:val="48"/>
                        </w:rPr>
                      </w:pPr>
                      <w:r w:rsidRPr="007C13DA">
                        <w:rPr>
                          <w:rFonts w:ascii="CAIXA Std Book" w:hAnsi="CAIXA Std Book"/>
                          <w:b/>
                          <w:bCs/>
                          <w:color w:val="FFFFFF" w:themeColor="background1"/>
                          <w:sz w:val="48"/>
                          <w:szCs w:val="48"/>
                        </w:rPr>
                        <w:t>1</w:t>
                      </w:r>
                      <w:r w:rsidR="00C61C9D" w:rsidRPr="007C13DA">
                        <w:rPr>
                          <w:rFonts w:ascii="CAIXA Std Book" w:hAnsi="CAIXA Std Book"/>
                          <w:b/>
                          <w:bCs/>
                          <w:color w:val="FFFFFF" w:themeColor="background1"/>
                          <w:sz w:val="48"/>
                          <w:szCs w:val="48"/>
                        </w:rPr>
                        <w:t>º</w:t>
                      </w:r>
                      <w:r w:rsidR="00663C85" w:rsidRPr="007C13DA">
                        <w:rPr>
                          <w:rFonts w:ascii="CAIXA Std Book" w:hAnsi="CAIXA Std Book"/>
                          <w:b/>
                          <w:bCs/>
                          <w:color w:val="FFFFFF" w:themeColor="background1"/>
                          <w:sz w:val="48"/>
                          <w:szCs w:val="48"/>
                        </w:rPr>
                        <w:t xml:space="preserve"> </w:t>
                      </w:r>
                      <w:r w:rsidR="0018140D" w:rsidRPr="007C13DA">
                        <w:rPr>
                          <w:rFonts w:ascii="CAIXA Std Book" w:hAnsi="CAIXA Std Book"/>
                          <w:b/>
                          <w:bCs/>
                          <w:color w:val="FFFFFF" w:themeColor="background1"/>
                          <w:sz w:val="48"/>
                          <w:szCs w:val="48"/>
                        </w:rPr>
                        <w:t>t</w:t>
                      </w:r>
                      <w:r w:rsidR="00663C85" w:rsidRPr="007C13DA">
                        <w:rPr>
                          <w:rFonts w:ascii="CAIXA Std Book" w:hAnsi="CAIXA Std Book"/>
                          <w:b/>
                          <w:bCs/>
                          <w:color w:val="FFFFFF" w:themeColor="background1"/>
                          <w:sz w:val="48"/>
                          <w:szCs w:val="48"/>
                        </w:rPr>
                        <w:t>rimestre 20</w:t>
                      </w:r>
                      <w:r w:rsidRPr="007C13DA">
                        <w:rPr>
                          <w:rFonts w:ascii="CAIXA Std Book" w:hAnsi="CAIXA Std Book"/>
                          <w:b/>
                          <w:bCs/>
                          <w:color w:val="FFFFFF" w:themeColor="background1"/>
                          <w:sz w:val="48"/>
                          <w:szCs w:val="48"/>
                        </w:rPr>
                        <w:t>24</w:t>
                      </w:r>
                    </w:p>
                  </w:txbxContent>
                </v:textbox>
                <w10:wrap anchorx="margin"/>
              </v:shape>
            </w:pict>
          </mc:Fallback>
        </mc:AlternateContent>
      </w:r>
      <w:r w:rsidR="000B46A4" w:rsidRPr="00BA4389">
        <w:rPr>
          <w:rFonts w:ascii="Futura Lt BT" w:hAnsi="Futura Lt BT"/>
          <w:noProof/>
          <w:color w:val="005CA9"/>
        </w:rPr>
        <w:drawing>
          <wp:anchor distT="0" distB="0" distL="114300" distR="114300" simplePos="0" relativeHeight="251659264" behindDoc="1" locked="0" layoutInCell="1" allowOverlap="1" wp14:anchorId="1ED485BB" wp14:editId="6042F908">
            <wp:simplePos x="0" y="0"/>
            <wp:positionH relativeFrom="page">
              <wp:posOffset>7951</wp:posOffset>
            </wp:positionH>
            <wp:positionV relativeFrom="paragraph">
              <wp:posOffset>-916334</wp:posOffset>
            </wp:positionV>
            <wp:extent cx="7545453" cy="10734261"/>
            <wp:effectExtent l="0" t="0" r="0" b="0"/>
            <wp:wrapNone/>
            <wp:docPr id="615" name="Picture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556926" cy="10750582"/>
                    </a:xfrm>
                    <a:prstGeom prst="rect">
                      <a:avLst/>
                    </a:prstGeom>
                    <a:noFill/>
                    <a:ln>
                      <a:noFill/>
                    </a:ln>
                  </pic:spPr>
                </pic:pic>
              </a:graphicData>
            </a:graphic>
            <wp14:sizeRelH relativeFrom="page">
              <wp14:pctWidth>0</wp14:pctWidth>
            </wp14:sizeRelH>
            <wp14:sizeRelV relativeFrom="page">
              <wp14:pctHeight>0</wp14:pctHeight>
            </wp14:sizeRelV>
          </wp:anchor>
        </w:drawing>
      </w:r>
      <w:r w:rsidR="00B23367" w:rsidRPr="00FF4346">
        <w:rPr>
          <w:rFonts w:ascii="CAIXA Std Book" w:hAnsi="CAIXA Std Book"/>
          <w:color w:val="005CA9"/>
        </w:rPr>
        <w:br w:type="page"/>
      </w:r>
    </w:p>
    <w:p w14:paraId="4E70A549" w14:textId="3FBD7A2C" w:rsidR="005F303D" w:rsidRPr="00116BC5" w:rsidRDefault="005F303D" w:rsidP="00EC4BFC">
      <w:pPr>
        <w:pBdr>
          <w:bottom w:val="single" w:sz="4" w:space="1" w:color="005CA9"/>
        </w:pBdr>
        <w:tabs>
          <w:tab w:val="left" w:pos="3060"/>
          <w:tab w:val="right" w:pos="9639"/>
        </w:tabs>
        <w:rPr>
          <w:rFonts w:ascii="CAIXA Std Book" w:hAnsi="CAIXA Std Book"/>
          <w:b/>
          <w:color w:val="005CA9"/>
          <w:sz w:val="22"/>
          <w:szCs w:val="18"/>
        </w:rPr>
      </w:pPr>
      <w:bookmarkStart w:id="0" w:name="DemonstraçõesContábeis"/>
      <w:bookmarkStart w:id="1" w:name="_MON_1485066952"/>
      <w:bookmarkStart w:id="2" w:name="ÍndiceNotasExplicativas"/>
      <w:bookmarkEnd w:id="0"/>
      <w:bookmarkEnd w:id="1"/>
      <w:bookmarkEnd w:id="2"/>
      <w:r w:rsidRPr="00116BC5">
        <w:rPr>
          <w:rFonts w:ascii="CAIXA Std Book" w:hAnsi="CAIXA Std Book"/>
          <w:b/>
          <w:color w:val="005CA9"/>
          <w:sz w:val="22"/>
          <w:szCs w:val="18"/>
        </w:rPr>
        <w:lastRenderedPageBreak/>
        <w:t>Índice das Notas Explicativas</w:t>
      </w:r>
      <w:r w:rsidR="008F5D2C" w:rsidRPr="00116BC5">
        <w:rPr>
          <w:rFonts w:ascii="CAIXA Std Book" w:hAnsi="CAIXA Std Book"/>
          <w:b/>
          <w:color w:val="005CA9"/>
          <w:sz w:val="22"/>
          <w:szCs w:val="18"/>
        </w:rPr>
        <w:tab/>
      </w:r>
      <w:r w:rsidR="00116BC5">
        <w:rPr>
          <w:rFonts w:ascii="CAIXA Std Book" w:hAnsi="CAIXA Std Book"/>
          <w:b/>
          <w:color w:val="005CA9"/>
          <w:sz w:val="22"/>
          <w:szCs w:val="18"/>
        </w:rPr>
        <w:tab/>
      </w:r>
      <w:r w:rsidRPr="00116BC5">
        <w:rPr>
          <w:rFonts w:ascii="CAIXA Std Book" w:hAnsi="CAIXA Std Book"/>
          <w:b/>
          <w:color w:val="005CA9"/>
          <w:sz w:val="22"/>
          <w:szCs w:val="18"/>
        </w:rPr>
        <w:t>Página</w:t>
      </w:r>
    </w:p>
    <w:p w14:paraId="5281BC7B" w14:textId="77777777" w:rsidR="005F303D" w:rsidRDefault="005F303D" w:rsidP="00CE5FD1">
      <w:pPr>
        <w:tabs>
          <w:tab w:val="left" w:pos="2835"/>
          <w:tab w:val="right" w:leader="dot" w:pos="9356"/>
        </w:tabs>
        <w:ind w:right="70"/>
        <w:rPr>
          <w:rFonts w:ascii="CAIXA Std Book" w:hAnsi="CAIXA Std Book"/>
          <w:color w:val="005CA9"/>
          <w:sz w:val="20"/>
          <w:szCs w:val="20"/>
        </w:rPr>
      </w:pPr>
    </w:p>
    <w:p w14:paraId="51024103" w14:textId="7367B1ED" w:rsidR="00855B43" w:rsidRPr="00EC4BFC" w:rsidRDefault="00855B43" w:rsidP="00EC4BFC">
      <w:pPr>
        <w:pBdr>
          <w:bottom w:val="single" w:sz="4" w:space="1" w:color="005CA9"/>
        </w:pBdr>
        <w:tabs>
          <w:tab w:val="left" w:pos="2835"/>
          <w:tab w:val="right" w:leader="dot" w:pos="9356"/>
        </w:tabs>
        <w:ind w:right="70"/>
        <w:rPr>
          <w:rFonts w:ascii="CAIXA Std Book" w:hAnsi="CAIXA Std Book"/>
          <w:b/>
          <w:bCs/>
          <w:color w:val="005CA9"/>
          <w:sz w:val="20"/>
          <w:szCs w:val="20"/>
        </w:rPr>
      </w:pPr>
      <w:proofErr w:type="spellStart"/>
      <w:r w:rsidRPr="00EC4BFC">
        <w:rPr>
          <w:rFonts w:ascii="CAIXA Std Book" w:hAnsi="CAIXA Std Book"/>
          <w:b/>
          <w:bCs/>
          <w:color w:val="005CA9"/>
          <w:sz w:val="20"/>
          <w:szCs w:val="20"/>
        </w:rPr>
        <w:t>Demontrações</w:t>
      </w:r>
      <w:proofErr w:type="spellEnd"/>
      <w:r w:rsidRPr="00EC4BFC">
        <w:rPr>
          <w:rFonts w:ascii="CAIXA Std Book" w:hAnsi="CAIXA Std Book"/>
          <w:b/>
          <w:bCs/>
          <w:color w:val="005CA9"/>
          <w:sz w:val="20"/>
          <w:szCs w:val="20"/>
        </w:rPr>
        <w:t xml:space="preserve"> Contábeis</w:t>
      </w:r>
    </w:p>
    <w:p w14:paraId="668CFE22" w14:textId="77777777" w:rsidR="00855B43" w:rsidRDefault="00855B43" w:rsidP="00CE5FD1">
      <w:pPr>
        <w:tabs>
          <w:tab w:val="left" w:pos="2835"/>
          <w:tab w:val="right" w:leader="dot" w:pos="9356"/>
        </w:tabs>
        <w:ind w:right="70"/>
        <w:rPr>
          <w:rFonts w:ascii="CAIXA Std Book" w:hAnsi="CAIXA Std Book"/>
          <w:color w:val="005CA9"/>
          <w:sz w:val="20"/>
          <w:szCs w:val="20"/>
        </w:rPr>
      </w:pPr>
    </w:p>
    <w:p w14:paraId="1A3042BF" w14:textId="6E7D1FE7" w:rsidR="00855B43" w:rsidRPr="00855B43" w:rsidRDefault="005F303D">
      <w:pPr>
        <w:pStyle w:val="Sumrio1"/>
        <w:rPr>
          <w:rFonts w:ascii="CAIXA Std Book" w:eastAsiaTheme="minorEastAsia" w:hAnsi="CAIXA Std Book" w:cstheme="minorBidi"/>
          <w:color w:val="005CA9"/>
          <w:kern w:val="2"/>
          <w:sz w:val="22"/>
          <w:szCs w:val="22"/>
          <w14:ligatures w14:val="standardContextual"/>
        </w:rPr>
      </w:pPr>
      <w:r w:rsidRPr="00855B43">
        <w:rPr>
          <w:rFonts w:ascii="CAIXA Std Book" w:hAnsi="CAIXA Std Book" w:cs="Arial"/>
          <w:color w:val="005CA9"/>
        </w:rPr>
        <w:fldChar w:fldCharType="begin"/>
      </w:r>
      <w:r w:rsidRPr="00855B43">
        <w:rPr>
          <w:rFonts w:ascii="CAIXA Std Book" w:hAnsi="CAIXA Std Book" w:cs="Arial"/>
          <w:color w:val="005CA9"/>
        </w:rPr>
        <w:instrText xml:space="preserve"> TOC \o "1-1" \h \z \u </w:instrText>
      </w:r>
      <w:r w:rsidRPr="00855B43">
        <w:rPr>
          <w:rFonts w:ascii="CAIXA Std Book" w:hAnsi="CAIXA Std Book" w:cs="Arial"/>
          <w:color w:val="005CA9"/>
        </w:rPr>
        <w:fldChar w:fldCharType="separate"/>
      </w:r>
      <w:hyperlink w:anchor="_Toc166594470" w:history="1">
        <w:r w:rsidR="00855B43" w:rsidRPr="00855B43">
          <w:rPr>
            <w:rStyle w:val="Hyperlink"/>
            <w:rFonts w:ascii="CAIXA Std Book" w:hAnsi="CAIXA Std Book"/>
            <w:color w:val="005CA9"/>
          </w:rPr>
          <w:t>Balanços Patrimoniais Intermediários Condensados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_Toc166594470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w:t>
        </w:r>
        <w:r w:rsidR="00855B43" w:rsidRPr="00855B43">
          <w:rPr>
            <w:rFonts w:ascii="CAIXA Std Book" w:hAnsi="CAIXA Std Book"/>
            <w:webHidden/>
            <w:color w:val="005CA9"/>
          </w:rPr>
          <w:fldChar w:fldCharType="end"/>
        </w:r>
      </w:hyperlink>
    </w:p>
    <w:p w14:paraId="487D5DB9" w14:textId="6E9F1F68"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1" w:history="1">
        <w:r w:rsidR="00855B43" w:rsidRPr="00855B43">
          <w:rPr>
            <w:rStyle w:val="Hyperlink"/>
            <w:rFonts w:ascii="CAIXA Std Book" w:hAnsi="CAIXA Std Book"/>
            <w:color w:val="005CA9"/>
          </w:rPr>
          <w:t>Demonstrações Intermediárias Condensadas do Resultado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_Toc166594471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4</w:t>
        </w:r>
        <w:r w:rsidR="00855B43" w:rsidRPr="00855B43">
          <w:rPr>
            <w:rFonts w:ascii="CAIXA Std Book" w:hAnsi="CAIXA Std Book"/>
            <w:webHidden/>
            <w:color w:val="005CA9"/>
          </w:rPr>
          <w:fldChar w:fldCharType="end"/>
        </w:r>
      </w:hyperlink>
    </w:p>
    <w:p w14:paraId="0C814EDD" w14:textId="275CFA8B"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2" w:history="1">
        <w:r w:rsidR="00855B43" w:rsidRPr="00855B43">
          <w:rPr>
            <w:rStyle w:val="Hyperlink"/>
            <w:rFonts w:ascii="CAIXA Std Book" w:hAnsi="CAIXA Std Book"/>
            <w:color w:val="005CA9"/>
          </w:rPr>
          <w:t>Demonstrações Intermediárias Condensadas do Resultado Abrangente</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_Toc166594472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w:t>
        </w:r>
        <w:r w:rsidR="00855B43" w:rsidRPr="00855B43">
          <w:rPr>
            <w:rFonts w:ascii="CAIXA Std Book" w:hAnsi="CAIXA Std Book"/>
            <w:webHidden/>
            <w:color w:val="005CA9"/>
          </w:rPr>
          <w:fldChar w:fldCharType="end"/>
        </w:r>
      </w:hyperlink>
    </w:p>
    <w:p w14:paraId="57BB20CB" w14:textId="034A13A4"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3" w:history="1">
        <w:r w:rsidR="00855B43" w:rsidRPr="00855B43">
          <w:rPr>
            <w:rStyle w:val="Hyperlink"/>
            <w:rFonts w:ascii="CAIXA Std Book" w:hAnsi="CAIXA Std Book"/>
            <w:color w:val="005CA9"/>
          </w:rPr>
          <w:t>Demonstrações Intermediárias Condensadas das Mutações do Patrimônio Líquido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_Toc166594473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6</w:t>
        </w:r>
        <w:r w:rsidR="00855B43" w:rsidRPr="00855B43">
          <w:rPr>
            <w:rFonts w:ascii="CAIXA Std Book" w:hAnsi="CAIXA Std Book"/>
            <w:webHidden/>
            <w:color w:val="005CA9"/>
          </w:rPr>
          <w:fldChar w:fldCharType="end"/>
        </w:r>
      </w:hyperlink>
    </w:p>
    <w:p w14:paraId="40E5E18A" w14:textId="72D4FAF0"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4" w:history="1">
        <w:r w:rsidR="00855B43" w:rsidRPr="00855B43">
          <w:rPr>
            <w:rStyle w:val="Hyperlink"/>
            <w:rFonts w:ascii="CAIXA Std Book" w:hAnsi="CAIXA Std Book"/>
            <w:color w:val="005CA9"/>
          </w:rPr>
          <w:t>Demonstrações Intermediárias Condensadas dos Fluxos de Caixa</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_Toc166594474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8</w:t>
        </w:r>
        <w:r w:rsidR="00855B43" w:rsidRPr="00855B43">
          <w:rPr>
            <w:rFonts w:ascii="CAIXA Std Book" w:hAnsi="CAIXA Std Book"/>
            <w:webHidden/>
            <w:color w:val="005CA9"/>
          </w:rPr>
          <w:fldChar w:fldCharType="end"/>
        </w:r>
      </w:hyperlink>
    </w:p>
    <w:p w14:paraId="4E0A4426" w14:textId="2AEFA35F" w:rsidR="00855B43" w:rsidRDefault="00D60A7A">
      <w:pPr>
        <w:pStyle w:val="Sumrio1"/>
        <w:rPr>
          <w:rStyle w:val="Hyperlink"/>
          <w:rFonts w:ascii="CAIXA Std Book" w:hAnsi="CAIXA Std Book"/>
          <w:color w:val="005CA9"/>
        </w:rPr>
      </w:pPr>
      <w:hyperlink w:anchor="_Toc166594475" w:history="1">
        <w:r w:rsidR="00855B43" w:rsidRPr="00855B43">
          <w:rPr>
            <w:rStyle w:val="Hyperlink"/>
            <w:rFonts w:ascii="CAIXA Std Book" w:hAnsi="CAIXA Std Book"/>
            <w:color w:val="005CA9"/>
          </w:rPr>
          <w:t>Demonstrações Intermediárias Condensadas do Valor Adicionado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_Toc166594475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9</w:t>
        </w:r>
        <w:r w:rsidR="00855B43" w:rsidRPr="00855B43">
          <w:rPr>
            <w:rFonts w:ascii="CAIXA Std Book" w:hAnsi="CAIXA Std Book"/>
            <w:webHidden/>
            <w:color w:val="005CA9"/>
          </w:rPr>
          <w:fldChar w:fldCharType="end"/>
        </w:r>
      </w:hyperlink>
    </w:p>
    <w:p w14:paraId="1DB589AC" w14:textId="77777777" w:rsidR="00855B43" w:rsidRPr="00116BC5" w:rsidRDefault="00855B43" w:rsidP="00855B43">
      <w:pPr>
        <w:rPr>
          <w:rFonts w:ascii="CAIXA Std Book" w:hAnsi="CAIXA Std Book"/>
          <w:noProof/>
          <w:sz w:val="20"/>
          <w:szCs w:val="20"/>
        </w:rPr>
      </w:pPr>
    </w:p>
    <w:p w14:paraId="04FEF7AC" w14:textId="77777777" w:rsidR="00855B43" w:rsidRPr="00EC4BFC" w:rsidRDefault="00855B43" w:rsidP="00116BC5">
      <w:pPr>
        <w:pBdr>
          <w:bottom w:val="single" w:sz="4" w:space="1" w:color="005CA9"/>
        </w:pBdr>
        <w:tabs>
          <w:tab w:val="left" w:pos="2835"/>
          <w:tab w:val="right" w:leader="dot" w:pos="9356"/>
        </w:tabs>
        <w:ind w:right="70"/>
        <w:rPr>
          <w:rFonts w:ascii="CAIXA Std Book" w:hAnsi="CAIXA Std Book"/>
          <w:b/>
          <w:bCs/>
          <w:noProof/>
          <w:color w:val="005CA9"/>
          <w:sz w:val="20"/>
          <w:szCs w:val="20"/>
        </w:rPr>
        <w:sectPr w:rsidR="00855B43" w:rsidRPr="00EC4BFC" w:rsidSect="0088151D">
          <w:headerReference w:type="default" r:id="rId15"/>
          <w:footerReference w:type="default" r:id="rId16"/>
          <w:pgSz w:w="11907" w:h="16840" w:code="9"/>
          <w:pgMar w:top="1418" w:right="851" w:bottom="851" w:left="1418" w:header="1134" w:footer="709" w:gutter="0"/>
          <w:cols w:space="708"/>
          <w:docGrid w:linePitch="360"/>
        </w:sectPr>
      </w:pPr>
      <w:r w:rsidRPr="00EC4BFC">
        <w:rPr>
          <w:rFonts w:ascii="CAIXA Std Book" w:hAnsi="CAIXA Std Book"/>
          <w:b/>
          <w:bCs/>
          <w:noProof/>
          <w:color w:val="005CA9"/>
          <w:sz w:val="20"/>
          <w:szCs w:val="20"/>
        </w:rPr>
        <w:t>Notas Explicativas</w:t>
      </w:r>
    </w:p>
    <w:p w14:paraId="39317C4D" w14:textId="4B08E7BC" w:rsidR="00855B43" w:rsidRDefault="00855B43" w:rsidP="00855B43">
      <w:pPr>
        <w:rPr>
          <w:noProof/>
        </w:rPr>
      </w:pPr>
    </w:p>
    <w:p w14:paraId="4050F239" w14:textId="77777777" w:rsidR="00855B43" w:rsidRDefault="00855B43">
      <w:pPr>
        <w:pStyle w:val="Sumrio1"/>
        <w:rPr>
          <w:rStyle w:val="Hyperlink"/>
          <w:rFonts w:ascii="CAIXA Std Book" w:hAnsi="CAIXA Std Book"/>
          <w:color w:val="005CA9"/>
        </w:rPr>
        <w:sectPr w:rsidR="00855B43" w:rsidSect="00855B43">
          <w:type w:val="continuous"/>
          <w:pgSz w:w="11907" w:h="16840" w:code="9"/>
          <w:pgMar w:top="1418" w:right="851" w:bottom="851" w:left="1418" w:header="1134" w:footer="709" w:gutter="0"/>
          <w:cols w:space="708"/>
          <w:docGrid w:linePitch="360"/>
        </w:sectPr>
      </w:pPr>
    </w:p>
    <w:p w14:paraId="7AE5378C" w14:textId="14DB0FF2"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6" w:history="1">
        <w:r w:rsidR="00855B43" w:rsidRPr="00855B43">
          <w:rPr>
            <w:rStyle w:val="Hyperlink"/>
            <w:rFonts w:ascii="CAIXA Std Book" w:hAnsi="CAIXA Std Book"/>
            <w:color w:val="005CA9"/>
          </w:rPr>
          <w:t>Nota   1 – Contexto operacional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_Toc166594476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10</w:t>
        </w:r>
        <w:r w:rsidR="00855B43" w:rsidRPr="00855B43">
          <w:rPr>
            <w:rFonts w:ascii="CAIXA Std Book" w:hAnsi="CAIXA Std Book"/>
            <w:webHidden/>
            <w:color w:val="005CA9"/>
          </w:rPr>
          <w:fldChar w:fldCharType="end"/>
        </w:r>
      </w:hyperlink>
    </w:p>
    <w:p w14:paraId="4690FC95" w14:textId="0DF1755D"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7" w:history="1">
        <w:r w:rsidR="00855B43" w:rsidRPr="00855B43">
          <w:rPr>
            <w:rStyle w:val="Hyperlink"/>
            <w:rFonts w:ascii="CAIXA Std Book" w:hAnsi="CAIXA Std Book"/>
            <w:color w:val="005CA9"/>
          </w:rPr>
          <w:t>Nota   2 – Apresentação das demonstrações contábeis</w:t>
        </w:r>
        <w:r w:rsidR="0000450C">
          <w:rPr>
            <w:rFonts w:ascii="CAIXA Std Book" w:hAnsi="CAIXA Std Book"/>
            <w:webHidden/>
            <w:color w:val="005CA9"/>
          </w:rPr>
          <w:t>.......</w:t>
        </w:r>
        <w:r w:rsid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_Toc166594477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10</w:t>
        </w:r>
        <w:r w:rsidR="00855B43" w:rsidRPr="00855B43">
          <w:rPr>
            <w:rFonts w:ascii="CAIXA Std Book" w:hAnsi="CAIXA Std Book"/>
            <w:webHidden/>
            <w:color w:val="005CA9"/>
          </w:rPr>
          <w:fldChar w:fldCharType="end"/>
        </w:r>
      </w:hyperlink>
    </w:p>
    <w:p w14:paraId="4336AA62" w14:textId="681CF952"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8" w:history="1">
        <w:r w:rsidR="00855B43" w:rsidRPr="00855B43">
          <w:rPr>
            <w:rStyle w:val="Hyperlink"/>
            <w:rFonts w:ascii="CAIXA Std Book" w:hAnsi="CAIXA Std Book"/>
            <w:color w:val="005CA9"/>
          </w:rPr>
          <w:t>Nota   3 – Principais práticas, julgamentos e estimativas contábeis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_Toc166594478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12</w:t>
        </w:r>
        <w:r w:rsidR="00855B43" w:rsidRPr="00855B43">
          <w:rPr>
            <w:rFonts w:ascii="CAIXA Std Book" w:hAnsi="CAIXA Std Book"/>
            <w:webHidden/>
            <w:color w:val="005CA9"/>
          </w:rPr>
          <w:fldChar w:fldCharType="end"/>
        </w:r>
      </w:hyperlink>
    </w:p>
    <w:p w14:paraId="23334BAB" w14:textId="1C34D151"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79" w:history="1">
        <w:r w:rsidR="00855B43" w:rsidRPr="00855B43">
          <w:rPr>
            <w:rStyle w:val="Hyperlink"/>
            <w:rFonts w:ascii="CAIXA Std Book" w:hAnsi="CAIXA Std Book"/>
            <w:color w:val="005CA9"/>
          </w:rPr>
          <w:t>Nota   4 – Caixa e equivalentes de caixa</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_Toc166594479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13</w:t>
        </w:r>
        <w:r w:rsidR="00855B43" w:rsidRPr="00855B43">
          <w:rPr>
            <w:rFonts w:ascii="CAIXA Std Book" w:hAnsi="CAIXA Std Book"/>
            <w:webHidden/>
            <w:color w:val="005CA9"/>
          </w:rPr>
          <w:fldChar w:fldCharType="end"/>
        </w:r>
      </w:hyperlink>
    </w:p>
    <w:p w14:paraId="01EA9F57" w14:textId="35C6E634"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0" w:history="1">
        <w:r w:rsidR="00855B43" w:rsidRPr="00855B43">
          <w:rPr>
            <w:rStyle w:val="Hyperlink"/>
            <w:rFonts w:ascii="CAIXA Std Book" w:hAnsi="CAIXA Std Book"/>
            <w:color w:val="005CA9"/>
          </w:rPr>
          <w:t xml:space="preserve">Nota   5 – Aplicações interfinanceiras de </w:t>
        </w:r>
        <w:r w:rsidR="0036109D">
          <w:rPr>
            <w:rStyle w:val="Hyperlink"/>
            <w:rFonts w:ascii="CAIXA Std Book" w:hAnsi="CAIXA Std Book"/>
            <w:color w:val="005CA9"/>
          </w:rPr>
          <w:br/>
        </w:r>
        <w:r w:rsidR="00855B43" w:rsidRPr="00855B43">
          <w:rPr>
            <w:rStyle w:val="Hyperlink"/>
            <w:rFonts w:ascii="CAIXA Std Book" w:hAnsi="CAIXA Std Book"/>
            <w:color w:val="005CA9"/>
          </w:rPr>
          <w:t>liquidez</w:t>
        </w:r>
        <w:r w:rsidR="00831FFD">
          <w:rPr>
            <w:rFonts w:ascii="CAIXA Std Book" w:hAnsi="CAIXA Std Book"/>
            <w:webHidden/>
            <w:color w:val="005CA9"/>
          </w:rPr>
          <w:t>...........</w:t>
        </w:r>
        <w:r w:rsid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_Toc166594480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13</w:t>
        </w:r>
        <w:r w:rsidR="00855B43" w:rsidRPr="00855B43">
          <w:rPr>
            <w:rFonts w:ascii="CAIXA Std Book" w:hAnsi="CAIXA Std Book"/>
            <w:webHidden/>
            <w:color w:val="005CA9"/>
          </w:rPr>
          <w:fldChar w:fldCharType="end"/>
        </w:r>
      </w:hyperlink>
    </w:p>
    <w:p w14:paraId="20EF7345" w14:textId="2B0D77B9"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1" w:history="1">
        <w:r w:rsidR="00855B43" w:rsidRPr="00855B43">
          <w:rPr>
            <w:rStyle w:val="Hyperlink"/>
            <w:rFonts w:ascii="CAIXA Std Book" w:hAnsi="CAIXA Std Book"/>
            <w:color w:val="005CA9"/>
          </w:rPr>
          <w:t>Nota   6 – Depósitos no Banco Central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_Toc166594481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14</w:t>
        </w:r>
        <w:r w:rsidR="00855B43" w:rsidRPr="00855B43">
          <w:rPr>
            <w:rFonts w:ascii="CAIXA Std Book" w:hAnsi="CAIXA Std Book"/>
            <w:webHidden/>
            <w:color w:val="005CA9"/>
          </w:rPr>
          <w:fldChar w:fldCharType="end"/>
        </w:r>
      </w:hyperlink>
    </w:p>
    <w:p w14:paraId="1D25ED6C" w14:textId="0259BE95"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2" w:history="1">
        <w:r w:rsidR="00855B43" w:rsidRPr="00855B43">
          <w:rPr>
            <w:rStyle w:val="Hyperlink"/>
            <w:rFonts w:ascii="CAIXA Std Book" w:hAnsi="CAIXA Std Book"/>
            <w:color w:val="005CA9"/>
          </w:rPr>
          <w:t>Nota   7 – Títulos e valores mobiliários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_Toc166594482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15</w:t>
        </w:r>
        <w:r w:rsidR="00855B43" w:rsidRPr="00855B43">
          <w:rPr>
            <w:rFonts w:ascii="CAIXA Std Book" w:hAnsi="CAIXA Std Book"/>
            <w:webHidden/>
            <w:color w:val="005CA9"/>
          </w:rPr>
          <w:fldChar w:fldCharType="end"/>
        </w:r>
      </w:hyperlink>
    </w:p>
    <w:p w14:paraId="5311FA10" w14:textId="07898F21"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3" w:history="1">
        <w:r w:rsidR="00855B43" w:rsidRPr="00855B43">
          <w:rPr>
            <w:rStyle w:val="Hyperlink"/>
            <w:rFonts w:ascii="CAIXA Std Book" w:hAnsi="CAIXA Std Book"/>
            <w:color w:val="005CA9"/>
          </w:rPr>
          <w:t>Nota   8 – Instrumentos financeiros derivativos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_Toc166594483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21</w:t>
        </w:r>
        <w:r w:rsidR="00855B43" w:rsidRPr="00855B43">
          <w:rPr>
            <w:rFonts w:ascii="CAIXA Std Book" w:hAnsi="CAIXA Std Book"/>
            <w:webHidden/>
            <w:color w:val="005CA9"/>
          </w:rPr>
          <w:fldChar w:fldCharType="end"/>
        </w:r>
      </w:hyperlink>
    </w:p>
    <w:p w14:paraId="73B309A2" w14:textId="3C180231"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4" w:history="1">
        <w:r w:rsidR="00855B43" w:rsidRPr="00855B43">
          <w:rPr>
            <w:rStyle w:val="Hyperlink"/>
            <w:rFonts w:ascii="CAIXA Std Book" w:hAnsi="CAIXA Std Book"/>
            <w:color w:val="005CA9"/>
          </w:rPr>
          <w:t>Nota   9 – Carteira de crédito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_Toc166594484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24</w:t>
        </w:r>
        <w:r w:rsidR="00855B43" w:rsidRPr="00855B43">
          <w:rPr>
            <w:rFonts w:ascii="CAIXA Std Book" w:hAnsi="CAIXA Std Book"/>
            <w:webHidden/>
            <w:color w:val="005CA9"/>
          </w:rPr>
          <w:fldChar w:fldCharType="end"/>
        </w:r>
      </w:hyperlink>
    </w:p>
    <w:p w14:paraId="3685732E" w14:textId="57E3BAF0"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5" w:history="1">
        <w:r w:rsidR="00855B43" w:rsidRPr="00855B43">
          <w:rPr>
            <w:rStyle w:val="Hyperlink"/>
            <w:rFonts w:ascii="CAIXA Std Book" w:hAnsi="CAIXA Std Book"/>
            <w:color w:val="005CA9"/>
          </w:rPr>
          <w:t>Nota 10 – Outros ativos financeiros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_Toc166594485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28</w:t>
        </w:r>
        <w:r w:rsidR="00855B43" w:rsidRPr="00855B43">
          <w:rPr>
            <w:rFonts w:ascii="CAIXA Std Book" w:hAnsi="CAIXA Std Book"/>
            <w:webHidden/>
            <w:color w:val="005CA9"/>
          </w:rPr>
          <w:fldChar w:fldCharType="end"/>
        </w:r>
      </w:hyperlink>
    </w:p>
    <w:p w14:paraId="38A071C5" w14:textId="2464920B"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6" w:history="1">
        <w:r w:rsidR="00855B43" w:rsidRPr="00855B43">
          <w:rPr>
            <w:rStyle w:val="Hyperlink"/>
            <w:rFonts w:ascii="CAIXA Std Book" w:hAnsi="CAIXA Std Book"/>
            <w:color w:val="005CA9"/>
          </w:rPr>
          <w:t>Nota 11 – Investimentos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_Toc166594486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31</w:t>
        </w:r>
        <w:r w:rsidR="00855B43" w:rsidRPr="00855B43">
          <w:rPr>
            <w:rFonts w:ascii="CAIXA Std Book" w:hAnsi="CAIXA Std Book"/>
            <w:webHidden/>
            <w:color w:val="005CA9"/>
          </w:rPr>
          <w:fldChar w:fldCharType="end"/>
        </w:r>
      </w:hyperlink>
    </w:p>
    <w:p w14:paraId="7E396608" w14:textId="51C4A532"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7" w:history="1">
        <w:r w:rsidR="00855B43" w:rsidRPr="00855B43">
          <w:rPr>
            <w:rStyle w:val="Hyperlink"/>
            <w:rFonts w:ascii="CAIXA Std Book" w:hAnsi="CAIXA Std Book"/>
            <w:color w:val="005CA9"/>
          </w:rPr>
          <w:t>Nota 12 – Imobilizado de uso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_Toc166594487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34</w:t>
        </w:r>
        <w:r w:rsidR="00855B43" w:rsidRPr="00855B43">
          <w:rPr>
            <w:rFonts w:ascii="CAIXA Std Book" w:hAnsi="CAIXA Std Book"/>
            <w:webHidden/>
            <w:color w:val="005CA9"/>
          </w:rPr>
          <w:fldChar w:fldCharType="end"/>
        </w:r>
      </w:hyperlink>
    </w:p>
    <w:p w14:paraId="7B0C4E71" w14:textId="7574DD7A"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8" w:history="1">
        <w:r w:rsidR="00855B43" w:rsidRPr="00855B43">
          <w:rPr>
            <w:rStyle w:val="Hyperlink"/>
            <w:rFonts w:ascii="CAIXA Std Book" w:hAnsi="CAIXA Std Book"/>
            <w:color w:val="005CA9"/>
          </w:rPr>
          <w:t>Nota 13 – Intangível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_Toc166594488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35</w:t>
        </w:r>
        <w:r w:rsidR="00855B43" w:rsidRPr="00855B43">
          <w:rPr>
            <w:rFonts w:ascii="CAIXA Std Book" w:hAnsi="CAIXA Std Book"/>
            <w:webHidden/>
            <w:color w:val="005CA9"/>
          </w:rPr>
          <w:fldChar w:fldCharType="end"/>
        </w:r>
      </w:hyperlink>
    </w:p>
    <w:p w14:paraId="222A49E7" w14:textId="7BD0EFF4"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89" w:history="1">
        <w:r w:rsidR="00855B43" w:rsidRPr="00855B43">
          <w:rPr>
            <w:rStyle w:val="Hyperlink"/>
            <w:rFonts w:ascii="CAIXA Std Book" w:hAnsi="CAIXA Std Book"/>
            <w:color w:val="005CA9"/>
          </w:rPr>
          <w:t>Nota 14 – Outros ativos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_Toc166594489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35</w:t>
        </w:r>
        <w:r w:rsidR="00855B43" w:rsidRPr="00855B43">
          <w:rPr>
            <w:rFonts w:ascii="CAIXA Std Book" w:hAnsi="CAIXA Std Book"/>
            <w:webHidden/>
            <w:color w:val="005CA9"/>
          </w:rPr>
          <w:fldChar w:fldCharType="end"/>
        </w:r>
      </w:hyperlink>
    </w:p>
    <w:p w14:paraId="4B61D857" w14:textId="1F1E91E1"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0" w:history="1">
        <w:r w:rsidR="00855B43" w:rsidRPr="00855B43">
          <w:rPr>
            <w:rStyle w:val="Hyperlink"/>
            <w:rFonts w:ascii="CAIXA Std Book" w:hAnsi="CAIXA Std Book"/>
            <w:color w:val="005CA9"/>
          </w:rPr>
          <w:t>Nota 15 – Recursos de clientes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_Toc166594490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36</w:t>
        </w:r>
        <w:r w:rsidR="00855B43" w:rsidRPr="00855B43">
          <w:rPr>
            <w:rFonts w:ascii="CAIXA Std Book" w:hAnsi="CAIXA Std Book"/>
            <w:webHidden/>
            <w:color w:val="005CA9"/>
          </w:rPr>
          <w:fldChar w:fldCharType="end"/>
        </w:r>
      </w:hyperlink>
    </w:p>
    <w:p w14:paraId="03B56F01" w14:textId="0D53EDFE"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1" w:history="1">
        <w:r w:rsidR="00855B43" w:rsidRPr="00855B43">
          <w:rPr>
            <w:rStyle w:val="Hyperlink"/>
            <w:rFonts w:ascii="CAIXA Std Book" w:hAnsi="CAIXA Std Book"/>
            <w:color w:val="005CA9"/>
          </w:rPr>
          <w:t>Nota 16 – Recursos de instituições financeiras e outras</w:t>
        </w:r>
        <w:r w:rsidR="00656F3B">
          <w:rPr>
            <w:rFonts w:ascii="CAIXA Std Book" w:hAnsi="CAIXA Std Book"/>
            <w:webHidden/>
            <w:color w:val="005CA9"/>
          </w:rPr>
          <w:t>.............</w:t>
        </w:r>
        <w:r w:rsidR="0036109D">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_Toc166594491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37</w:t>
        </w:r>
        <w:r w:rsidR="00855B43" w:rsidRPr="00855B43">
          <w:rPr>
            <w:rFonts w:ascii="CAIXA Std Book" w:hAnsi="CAIXA Std Book"/>
            <w:webHidden/>
            <w:color w:val="005CA9"/>
          </w:rPr>
          <w:fldChar w:fldCharType="end"/>
        </w:r>
      </w:hyperlink>
    </w:p>
    <w:p w14:paraId="62703454" w14:textId="46E0329C"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2" w:history="1">
        <w:r w:rsidR="00855B43" w:rsidRPr="00855B43">
          <w:rPr>
            <w:rStyle w:val="Hyperlink"/>
            <w:rFonts w:ascii="CAIXA Std Book" w:hAnsi="CAIXA Std Book"/>
            <w:color w:val="005CA9"/>
          </w:rPr>
          <w:t>Nota 17 – Recursos de emissões de títulos e valores mobiliários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_Toc166594492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38</w:t>
        </w:r>
        <w:r w:rsidR="00855B43" w:rsidRPr="00855B43">
          <w:rPr>
            <w:rFonts w:ascii="CAIXA Std Book" w:hAnsi="CAIXA Std Book"/>
            <w:webHidden/>
            <w:color w:val="005CA9"/>
          </w:rPr>
          <w:fldChar w:fldCharType="end"/>
        </w:r>
      </w:hyperlink>
    </w:p>
    <w:p w14:paraId="059478D9" w14:textId="50F945B6"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3" w:history="1">
        <w:r w:rsidR="00855B43" w:rsidRPr="00855B43">
          <w:rPr>
            <w:rStyle w:val="Hyperlink"/>
            <w:rFonts w:ascii="CAIXA Std Book" w:hAnsi="CAIXA Std Book"/>
            <w:color w:val="005CA9"/>
          </w:rPr>
          <w:t>Nota 18 – Outros passivos financeiros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_Toc166594493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41</w:t>
        </w:r>
        <w:r w:rsidR="00855B43" w:rsidRPr="00855B43">
          <w:rPr>
            <w:rFonts w:ascii="CAIXA Std Book" w:hAnsi="CAIXA Std Book"/>
            <w:webHidden/>
            <w:color w:val="005CA9"/>
          </w:rPr>
          <w:fldChar w:fldCharType="end"/>
        </w:r>
      </w:hyperlink>
    </w:p>
    <w:p w14:paraId="2BECD9C0" w14:textId="024C4C99"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4" w:history="1">
        <w:r w:rsidR="00855B43" w:rsidRPr="00855B43">
          <w:rPr>
            <w:rStyle w:val="Hyperlink"/>
            <w:rFonts w:ascii="CAIXA Std Book" w:hAnsi="CAIXA Std Book"/>
            <w:color w:val="005CA9"/>
          </w:rPr>
          <w:t>Nota 19 – Provisões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_Toc166594494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42</w:t>
        </w:r>
        <w:r w:rsidR="00855B43" w:rsidRPr="00855B43">
          <w:rPr>
            <w:rFonts w:ascii="CAIXA Std Book" w:hAnsi="CAIXA Std Book"/>
            <w:webHidden/>
            <w:color w:val="005CA9"/>
          </w:rPr>
          <w:fldChar w:fldCharType="end"/>
        </w:r>
      </w:hyperlink>
    </w:p>
    <w:p w14:paraId="386A6814" w14:textId="1438592A"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5" w:history="1">
        <w:r w:rsidR="00855B43" w:rsidRPr="00855B43">
          <w:rPr>
            <w:rStyle w:val="Hyperlink"/>
            <w:rFonts w:ascii="CAIXA Std Book" w:hAnsi="CAIXA Std Book"/>
            <w:color w:val="005CA9"/>
          </w:rPr>
          <w:t>Nota 20 – Tributos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_Toc166594495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48</w:t>
        </w:r>
        <w:r w:rsidR="00855B43" w:rsidRPr="00855B43">
          <w:rPr>
            <w:rFonts w:ascii="CAIXA Std Book" w:hAnsi="CAIXA Std Book"/>
            <w:webHidden/>
            <w:color w:val="005CA9"/>
          </w:rPr>
          <w:fldChar w:fldCharType="end"/>
        </w:r>
      </w:hyperlink>
    </w:p>
    <w:p w14:paraId="65278C1F" w14:textId="25D56C87"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6" w:history="1">
        <w:r w:rsidR="00855B43" w:rsidRPr="00855B43">
          <w:rPr>
            <w:rStyle w:val="Hyperlink"/>
            <w:rFonts w:ascii="CAIXA Std Book" w:hAnsi="CAIXA Std Book"/>
            <w:color w:val="005CA9"/>
          </w:rPr>
          <w:t>Nota 21 – Benefícios a empregados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_Toc166594496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50</w:t>
        </w:r>
        <w:r w:rsidR="00855B43" w:rsidRPr="00855B43">
          <w:rPr>
            <w:rFonts w:ascii="CAIXA Std Book" w:hAnsi="CAIXA Std Book"/>
            <w:webHidden/>
            <w:color w:val="005CA9"/>
          </w:rPr>
          <w:fldChar w:fldCharType="end"/>
        </w:r>
      </w:hyperlink>
    </w:p>
    <w:p w14:paraId="39377EB1" w14:textId="36A9F499"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7" w:history="1">
        <w:r w:rsidR="00855B43" w:rsidRPr="00855B43">
          <w:rPr>
            <w:rStyle w:val="Hyperlink"/>
            <w:rFonts w:ascii="CAIXA Std Book" w:hAnsi="CAIXA Std Book"/>
            <w:color w:val="005CA9"/>
          </w:rPr>
          <w:t>Nota 22 – Outros passivos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_Toc166594497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50</w:t>
        </w:r>
        <w:r w:rsidR="00855B43" w:rsidRPr="00855B43">
          <w:rPr>
            <w:rFonts w:ascii="CAIXA Std Book" w:hAnsi="CAIXA Std Book"/>
            <w:webHidden/>
            <w:color w:val="005CA9"/>
          </w:rPr>
          <w:fldChar w:fldCharType="end"/>
        </w:r>
      </w:hyperlink>
    </w:p>
    <w:p w14:paraId="210428B1" w14:textId="331BEF5F"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8" w:history="1">
        <w:r w:rsidR="00855B43" w:rsidRPr="00855B43">
          <w:rPr>
            <w:rStyle w:val="Hyperlink"/>
            <w:rFonts w:ascii="CAIXA Std Book" w:hAnsi="CAIXA Std Book"/>
            <w:color w:val="005CA9"/>
          </w:rPr>
          <w:t>Nota 23 – Patrimônio líquido</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_Toc166594498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51</w:t>
        </w:r>
        <w:r w:rsidR="00855B43" w:rsidRPr="00855B43">
          <w:rPr>
            <w:rFonts w:ascii="CAIXA Std Book" w:hAnsi="CAIXA Std Book"/>
            <w:webHidden/>
            <w:color w:val="005CA9"/>
          </w:rPr>
          <w:fldChar w:fldCharType="end"/>
        </w:r>
      </w:hyperlink>
    </w:p>
    <w:p w14:paraId="3799C05B" w14:textId="0735BA4C"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499" w:history="1">
        <w:r w:rsidR="00855B43" w:rsidRPr="00855B43">
          <w:rPr>
            <w:rStyle w:val="Hyperlink"/>
            <w:rFonts w:ascii="CAIXA Std Book" w:hAnsi="CAIXA Std Book"/>
            <w:color w:val="005CA9"/>
          </w:rPr>
          <w:t>Nota 24 – Receitas de prestação de serviços e tarifas bancárias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_Toc166594499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52</w:t>
        </w:r>
        <w:r w:rsidR="00855B43" w:rsidRPr="00855B43">
          <w:rPr>
            <w:rFonts w:ascii="CAIXA Std Book" w:hAnsi="CAIXA Std Book"/>
            <w:webHidden/>
            <w:color w:val="005CA9"/>
          </w:rPr>
          <w:fldChar w:fldCharType="end"/>
        </w:r>
      </w:hyperlink>
    </w:p>
    <w:p w14:paraId="2075236D" w14:textId="2195CD54"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0" w:history="1">
        <w:r w:rsidR="00855B43" w:rsidRPr="00855B43">
          <w:rPr>
            <w:rStyle w:val="Hyperlink"/>
            <w:rFonts w:ascii="CAIXA Std Book" w:hAnsi="CAIXA Std Book"/>
            <w:color w:val="005CA9"/>
          </w:rPr>
          <w:t>Nota 25 – Despesas de pessoal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_Toc166594500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52</w:t>
        </w:r>
        <w:r w:rsidR="00855B43" w:rsidRPr="00855B43">
          <w:rPr>
            <w:rFonts w:ascii="CAIXA Std Book" w:hAnsi="CAIXA Std Book"/>
            <w:webHidden/>
            <w:color w:val="005CA9"/>
          </w:rPr>
          <w:fldChar w:fldCharType="end"/>
        </w:r>
      </w:hyperlink>
    </w:p>
    <w:p w14:paraId="48DCC132" w14:textId="1FB36A7D"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1" w:history="1">
        <w:r w:rsidR="00855B43" w:rsidRPr="00855B43">
          <w:rPr>
            <w:rStyle w:val="Hyperlink"/>
            <w:rFonts w:ascii="CAIXA Std Book" w:hAnsi="CAIXA Std Book"/>
            <w:color w:val="005CA9"/>
          </w:rPr>
          <w:t>Nota 26 – Outras despesas administrativas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_Toc166594501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53</w:t>
        </w:r>
        <w:r w:rsidR="00855B43" w:rsidRPr="00855B43">
          <w:rPr>
            <w:rFonts w:ascii="CAIXA Std Book" w:hAnsi="CAIXA Std Book"/>
            <w:webHidden/>
            <w:color w:val="005CA9"/>
          </w:rPr>
          <w:fldChar w:fldCharType="end"/>
        </w:r>
      </w:hyperlink>
    </w:p>
    <w:p w14:paraId="57EC88A2" w14:textId="11D9C5F0"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2" w:history="1">
        <w:r w:rsidR="00855B43" w:rsidRPr="00855B43">
          <w:rPr>
            <w:rStyle w:val="Hyperlink"/>
            <w:rFonts w:ascii="CAIXA Std Book" w:hAnsi="CAIXA Std Book"/>
            <w:color w:val="005CA9"/>
          </w:rPr>
          <w:t>Nota 27 – Despesas tributárias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_Toc166594502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53</w:t>
        </w:r>
        <w:r w:rsidR="00855B43" w:rsidRPr="00855B43">
          <w:rPr>
            <w:rFonts w:ascii="CAIXA Std Book" w:hAnsi="CAIXA Std Book"/>
            <w:webHidden/>
            <w:color w:val="005CA9"/>
          </w:rPr>
          <w:fldChar w:fldCharType="end"/>
        </w:r>
      </w:hyperlink>
    </w:p>
    <w:p w14:paraId="28429727" w14:textId="7BDE4A85"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3" w:history="1">
        <w:r w:rsidR="00855B43" w:rsidRPr="00855B43">
          <w:rPr>
            <w:rStyle w:val="Hyperlink"/>
            <w:rFonts w:ascii="CAIXA Std Book" w:hAnsi="CAIXA Std Book"/>
            <w:color w:val="005CA9"/>
          </w:rPr>
          <w:t>Nota 28 – Outras receitas operacionais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_Toc166594503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54</w:t>
        </w:r>
        <w:r w:rsidR="00855B43" w:rsidRPr="00855B43">
          <w:rPr>
            <w:rFonts w:ascii="CAIXA Std Book" w:hAnsi="CAIXA Std Book"/>
            <w:webHidden/>
            <w:color w:val="005CA9"/>
          </w:rPr>
          <w:fldChar w:fldCharType="end"/>
        </w:r>
      </w:hyperlink>
    </w:p>
    <w:p w14:paraId="1DAD8704" w14:textId="6C4ABEDC"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4" w:history="1">
        <w:r w:rsidR="00855B43" w:rsidRPr="00855B43">
          <w:rPr>
            <w:rStyle w:val="Hyperlink"/>
            <w:rFonts w:ascii="CAIXA Std Book" w:hAnsi="CAIXA Std Book"/>
            <w:color w:val="005CA9"/>
          </w:rPr>
          <w:t>Nota 29 – Outras despesas operacionais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_Toc166594504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54</w:t>
        </w:r>
        <w:r w:rsidR="00855B43" w:rsidRPr="00855B43">
          <w:rPr>
            <w:rFonts w:ascii="CAIXA Std Book" w:hAnsi="CAIXA Std Book"/>
            <w:webHidden/>
            <w:color w:val="005CA9"/>
          </w:rPr>
          <w:fldChar w:fldCharType="end"/>
        </w:r>
      </w:hyperlink>
    </w:p>
    <w:p w14:paraId="252161BF" w14:textId="40C12F08"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5" w:history="1">
        <w:r w:rsidR="00855B43" w:rsidRPr="00855B43">
          <w:rPr>
            <w:rStyle w:val="Hyperlink"/>
            <w:rFonts w:ascii="CAIXA Std Book" w:hAnsi="CAIXA Std Book"/>
            <w:color w:val="005CA9"/>
          </w:rPr>
          <w:t>Nota 30 – Constituição e reversão de provisões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_Toc166594505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55</w:t>
        </w:r>
        <w:r w:rsidR="00855B43" w:rsidRPr="00855B43">
          <w:rPr>
            <w:rFonts w:ascii="CAIXA Std Book" w:hAnsi="CAIXA Std Book"/>
            <w:webHidden/>
            <w:color w:val="005CA9"/>
          </w:rPr>
          <w:fldChar w:fldCharType="end"/>
        </w:r>
      </w:hyperlink>
    </w:p>
    <w:p w14:paraId="0CAFA632" w14:textId="0ADA71AE"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6" w:history="1">
        <w:r w:rsidR="00855B43" w:rsidRPr="00855B43">
          <w:rPr>
            <w:rStyle w:val="Hyperlink"/>
            <w:rFonts w:ascii="CAIXA Std Book" w:hAnsi="CAIXA Std Book"/>
            <w:color w:val="005CA9"/>
          </w:rPr>
          <w:t>Nota 31 – Resultado não operacional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_Toc166594506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55</w:t>
        </w:r>
        <w:r w:rsidR="00855B43" w:rsidRPr="00855B43">
          <w:rPr>
            <w:rFonts w:ascii="CAIXA Std Book" w:hAnsi="CAIXA Std Book"/>
            <w:webHidden/>
            <w:color w:val="005CA9"/>
          </w:rPr>
          <w:fldChar w:fldCharType="end"/>
        </w:r>
      </w:hyperlink>
    </w:p>
    <w:p w14:paraId="49877C6B" w14:textId="513253E5"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7" w:history="1">
        <w:r w:rsidR="00855B43" w:rsidRPr="00855B43">
          <w:rPr>
            <w:rStyle w:val="Hyperlink"/>
            <w:rFonts w:ascii="CAIXA Std Book" w:hAnsi="CAIXA Std Book"/>
            <w:color w:val="005CA9"/>
          </w:rPr>
          <w:t>Nota 32 – Partes relacionadas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_Toc166594507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55</w:t>
        </w:r>
        <w:r w:rsidR="00855B43" w:rsidRPr="00855B43">
          <w:rPr>
            <w:rFonts w:ascii="CAIXA Std Book" w:hAnsi="CAIXA Std Book"/>
            <w:webHidden/>
            <w:color w:val="005CA9"/>
          </w:rPr>
          <w:fldChar w:fldCharType="end"/>
        </w:r>
      </w:hyperlink>
    </w:p>
    <w:p w14:paraId="6DBCEDCF" w14:textId="5422A320"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8" w:history="1">
        <w:r w:rsidR="00855B43" w:rsidRPr="00855B43">
          <w:rPr>
            <w:rStyle w:val="Hyperlink"/>
            <w:rFonts w:ascii="CAIXA Std Book" w:hAnsi="CAIXA Std Book"/>
            <w:color w:val="005CA9"/>
          </w:rPr>
          <w:t>Nota 33 – Gerenciamento de riscos e de capital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_Toc166594508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62</w:t>
        </w:r>
        <w:r w:rsidR="00855B43" w:rsidRPr="00855B43">
          <w:rPr>
            <w:rFonts w:ascii="CAIXA Std Book" w:hAnsi="CAIXA Std Book"/>
            <w:webHidden/>
            <w:color w:val="005CA9"/>
          </w:rPr>
          <w:fldChar w:fldCharType="end"/>
        </w:r>
      </w:hyperlink>
    </w:p>
    <w:p w14:paraId="03FC0F58" w14:textId="4CF359E3"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09" w:history="1">
        <w:r w:rsidR="00855B43" w:rsidRPr="00855B43">
          <w:rPr>
            <w:rStyle w:val="Hyperlink"/>
            <w:rFonts w:ascii="CAIXA Std Book" w:hAnsi="CAIXA Std Book"/>
            <w:color w:val="005CA9"/>
          </w:rPr>
          <w:t xml:space="preserve">Nota 34 – Resultado recorrente e não </w:t>
        </w:r>
        <w:r w:rsidR="005D7768">
          <w:rPr>
            <w:rStyle w:val="Hyperlink"/>
            <w:rFonts w:ascii="CAIXA Std Book" w:hAnsi="CAIXA Std Book"/>
            <w:color w:val="005CA9"/>
          </w:rPr>
          <w:br/>
        </w:r>
        <w:r w:rsidR="00855B43" w:rsidRPr="00855B43">
          <w:rPr>
            <w:rStyle w:val="Hyperlink"/>
            <w:rFonts w:ascii="CAIXA Std Book" w:hAnsi="CAIXA Std Book"/>
            <w:color w:val="005CA9"/>
          </w:rPr>
          <w:t>recorrente</w:t>
        </w:r>
        <w:r w:rsidR="005D7768">
          <w:rPr>
            <w:rStyle w:val="Hyperlink"/>
            <w:rFonts w:ascii="CAIXA Std Book" w:hAnsi="CAIXA Std Book"/>
            <w:color w:val="005CA9"/>
          </w:rPr>
          <w:tab/>
        </w:r>
        <w:r w:rsidR="005D7768">
          <w:rPr>
            <w:rStyle w:val="Hyperlink"/>
            <w:rFonts w:ascii="CAIXA Std Book" w:hAnsi="CAIXA Std Book"/>
            <w:color w:val="005CA9"/>
          </w:rPr>
          <w:tab/>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_Toc166594509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67</w:t>
        </w:r>
        <w:r w:rsidR="00855B43" w:rsidRPr="00855B43">
          <w:rPr>
            <w:rFonts w:ascii="CAIXA Std Book" w:hAnsi="CAIXA Std Book"/>
            <w:webHidden/>
            <w:color w:val="005CA9"/>
          </w:rPr>
          <w:fldChar w:fldCharType="end"/>
        </w:r>
      </w:hyperlink>
    </w:p>
    <w:p w14:paraId="77E5613B" w14:textId="69A296F9"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10" w:history="1">
        <w:r w:rsidR="00855B43" w:rsidRPr="00855B43">
          <w:rPr>
            <w:rStyle w:val="Hyperlink"/>
            <w:rFonts w:ascii="CAIXA Std Book" w:hAnsi="CAIXA Std Book"/>
            <w:color w:val="005CA9"/>
          </w:rPr>
          <w:t>Nota 35 – Outras informações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_Toc166594510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68</w:t>
        </w:r>
        <w:r w:rsidR="00855B43" w:rsidRPr="00855B43">
          <w:rPr>
            <w:rFonts w:ascii="CAIXA Std Book" w:hAnsi="CAIXA Std Book"/>
            <w:webHidden/>
            <w:color w:val="005CA9"/>
          </w:rPr>
          <w:fldChar w:fldCharType="end"/>
        </w:r>
      </w:hyperlink>
    </w:p>
    <w:p w14:paraId="2DBBBCFB" w14:textId="55575639" w:rsidR="00855B43" w:rsidRDefault="00D60A7A">
      <w:pPr>
        <w:pStyle w:val="Sumrio1"/>
        <w:rPr>
          <w:rStyle w:val="Hyperlink"/>
          <w:rFonts w:ascii="CAIXA Std Book" w:hAnsi="CAIXA Std Book"/>
          <w:color w:val="005CA9"/>
        </w:rPr>
        <w:sectPr w:rsidR="00855B43" w:rsidSect="005D7768">
          <w:type w:val="continuous"/>
          <w:pgSz w:w="11907" w:h="16840" w:code="9"/>
          <w:pgMar w:top="1418" w:right="851" w:bottom="851" w:left="1418" w:header="1134" w:footer="709" w:gutter="0"/>
          <w:cols w:num="2" w:space="282"/>
          <w:docGrid w:linePitch="360"/>
        </w:sectPr>
      </w:pPr>
      <w:hyperlink w:anchor="_Toc166594511" w:history="1">
        <w:r w:rsidR="00855B43" w:rsidRPr="00855B43">
          <w:rPr>
            <w:rStyle w:val="Hyperlink"/>
            <w:rFonts w:ascii="CAIXA Std Book" w:hAnsi="CAIXA Std Book"/>
            <w:color w:val="005CA9"/>
          </w:rPr>
          <w:t>Nota 36 – Eventos subsequentes</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_Toc166594511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68</w:t>
        </w:r>
        <w:r w:rsidR="00855B43" w:rsidRPr="00855B43">
          <w:rPr>
            <w:rFonts w:ascii="CAIXA Std Book" w:hAnsi="CAIXA Std Book"/>
            <w:webHidden/>
            <w:color w:val="005CA9"/>
          </w:rPr>
          <w:fldChar w:fldCharType="end"/>
        </w:r>
      </w:hyperlink>
    </w:p>
    <w:p w14:paraId="312260F6" w14:textId="77777777" w:rsidR="00855B43" w:rsidRPr="00116BC5" w:rsidRDefault="00855B43" w:rsidP="00855B43">
      <w:pPr>
        <w:rPr>
          <w:rFonts w:ascii="CAIXA Std Book" w:hAnsi="CAIXA Std Book"/>
          <w:noProof/>
          <w:sz w:val="20"/>
          <w:szCs w:val="20"/>
        </w:rPr>
        <w:sectPr w:rsidR="00855B43" w:rsidRPr="00116BC5" w:rsidSect="00855B43">
          <w:type w:val="continuous"/>
          <w:pgSz w:w="11907" w:h="16840" w:code="9"/>
          <w:pgMar w:top="1418" w:right="851" w:bottom="851" w:left="1418" w:header="1134" w:footer="709" w:gutter="0"/>
          <w:cols w:space="708"/>
          <w:docGrid w:linePitch="360"/>
        </w:sectPr>
      </w:pPr>
    </w:p>
    <w:p w14:paraId="0A6126CA" w14:textId="47F48252"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12" w:history="1">
        <w:r w:rsidR="00855B43" w:rsidRPr="00855B43">
          <w:rPr>
            <w:rStyle w:val="Hyperlink"/>
            <w:rFonts w:ascii="CAIXA Std Book" w:hAnsi="CAIXA Std Book"/>
            <w:color w:val="005CA9"/>
          </w:rPr>
          <w:t>Parecer do Conselho Fiscal</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_Toc166594512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70</w:t>
        </w:r>
        <w:r w:rsidR="00855B43" w:rsidRPr="00855B43">
          <w:rPr>
            <w:rFonts w:ascii="CAIXA Std Book" w:hAnsi="CAIXA Std Book"/>
            <w:webHidden/>
            <w:color w:val="005CA9"/>
          </w:rPr>
          <w:fldChar w:fldCharType="end"/>
        </w:r>
      </w:hyperlink>
    </w:p>
    <w:p w14:paraId="4C19D8C4" w14:textId="2EE8811C" w:rsidR="00855B43" w:rsidRPr="00855B43" w:rsidRDefault="00D60A7A">
      <w:pPr>
        <w:pStyle w:val="Sumrio1"/>
        <w:rPr>
          <w:rFonts w:ascii="CAIXA Std Book" w:eastAsiaTheme="minorEastAsia" w:hAnsi="CAIXA Std Book" w:cstheme="minorBidi"/>
          <w:color w:val="005CA9"/>
          <w:kern w:val="2"/>
          <w:sz w:val="22"/>
          <w:szCs w:val="22"/>
          <w14:ligatures w14:val="standardContextual"/>
        </w:rPr>
      </w:pPr>
      <w:hyperlink w:anchor="_Toc166594513" w:history="1">
        <w:r w:rsidR="00855B43" w:rsidRPr="00855B43">
          <w:rPr>
            <w:rStyle w:val="Hyperlink"/>
            <w:rFonts w:ascii="CAIXA Std Book" w:hAnsi="CAIXA Std Book" w:cstheme="minorHAnsi"/>
            <w:color w:val="005CA9"/>
          </w:rPr>
          <w:t>Relatório do Auditor Independente</w:t>
        </w:r>
        <w:r w:rsidR="00855B43" w:rsidRPr="00855B43">
          <w:rPr>
            <w:rFonts w:ascii="CAIXA Std Book" w:hAnsi="CAIXA Std Book"/>
            <w:webHidden/>
            <w:color w:val="005CA9"/>
          </w:rPr>
          <w:tab/>
        </w:r>
        <w:r w:rsidR="00855B43" w:rsidRPr="00855B43">
          <w:rPr>
            <w:rFonts w:ascii="CAIXA Std Book" w:hAnsi="CAIXA Std Book"/>
            <w:webHidden/>
            <w:color w:val="005CA9"/>
          </w:rPr>
          <w:fldChar w:fldCharType="begin"/>
        </w:r>
        <w:r w:rsidR="00855B43" w:rsidRPr="00855B43">
          <w:rPr>
            <w:rFonts w:ascii="CAIXA Std Book" w:hAnsi="CAIXA Std Book"/>
            <w:webHidden/>
            <w:color w:val="005CA9"/>
          </w:rPr>
          <w:instrText xml:space="preserve"> PAGEREF _Toc166594513 \h </w:instrText>
        </w:r>
        <w:r w:rsidR="00855B43" w:rsidRPr="00855B43">
          <w:rPr>
            <w:rFonts w:ascii="CAIXA Std Book" w:hAnsi="CAIXA Std Book"/>
            <w:webHidden/>
            <w:color w:val="005CA9"/>
          </w:rPr>
        </w:r>
        <w:r w:rsidR="00855B43" w:rsidRPr="00855B43">
          <w:rPr>
            <w:rFonts w:ascii="CAIXA Std Book" w:hAnsi="CAIXA Std Book"/>
            <w:webHidden/>
            <w:color w:val="005CA9"/>
          </w:rPr>
          <w:fldChar w:fldCharType="separate"/>
        </w:r>
        <w:r w:rsidR="00BD35DD">
          <w:rPr>
            <w:rFonts w:ascii="CAIXA Std Book" w:hAnsi="CAIXA Std Book"/>
            <w:webHidden/>
            <w:color w:val="005CA9"/>
          </w:rPr>
          <w:t>71</w:t>
        </w:r>
        <w:r w:rsidR="00855B43" w:rsidRPr="00855B43">
          <w:rPr>
            <w:rFonts w:ascii="CAIXA Std Book" w:hAnsi="CAIXA Std Book"/>
            <w:webHidden/>
            <w:color w:val="005CA9"/>
          </w:rPr>
          <w:fldChar w:fldCharType="end"/>
        </w:r>
      </w:hyperlink>
    </w:p>
    <w:p w14:paraId="655982C9" w14:textId="169DB8B0" w:rsidR="006361F3" w:rsidRPr="00FF4346" w:rsidRDefault="005F303D" w:rsidP="00413BEC">
      <w:pPr>
        <w:pStyle w:val="Sumrio1"/>
        <w:rPr>
          <w:rFonts w:ascii="CAIXA Std Book" w:hAnsi="CAIXA Std Book"/>
          <w:color w:val="005CA9"/>
        </w:rPr>
      </w:pPr>
      <w:r w:rsidRPr="00855B43">
        <w:rPr>
          <w:rFonts w:ascii="CAIXA Std Book" w:hAnsi="CAIXA Std Book" w:cs="Arial"/>
          <w:color w:val="005CA9"/>
        </w:rPr>
        <w:fldChar w:fldCharType="end"/>
      </w:r>
      <w:r w:rsidR="006361F3" w:rsidRPr="00FF4346">
        <w:rPr>
          <w:rFonts w:ascii="CAIXA Std Book" w:hAnsi="CAIXA Std Book"/>
          <w:color w:val="005CA9"/>
        </w:rPr>
        <w:br w:type="page"/>
      </w:r>
    </w:p>
    <w:p w14:paraId="6ED08BB3" w14:textId="77777777" w:rsidR="00934F96" w:rsidRDefault="00934F96" w:rsidP="005A596E">
      <w:pPr>
        <w:pStyle w:val="Ttulo1"/>
        <w:sectPr w:rsidR="00934F96" w:rsidSect="00855B43">
          <w:type w:val="continuous"/>
          <w:pgSz w:w="11907" w:h="16840" w:code="9"/>
          <w:pgMar w:top="1418" w:right="851" w:bottom="851" w:left="1418" w:header="1134" w:footer="709" w:gutter="0"/>
          <w:cols w:space="708"/>
          <w:docGrid w:linePitch="360"/>
        </w:sectPr>
      </w:pPr>
      <w:bookmarkStart w:id="3" w:name="_Hlk54796541"/>
    </w:p>
    <w:p w14:paraId="3DC7B41A" w14:textId="77777777" w:rsidR="004539F7" w:rsidRPr="008E67C0" w:rsidRDefault="00516A75" w:rsidP="005A596E">
      <w:pPr>
        <w:pStyle w:val="Ttulo1"/>
      </w:pPr>
      <w:bookmarkStart w:id="4" w:name="_Toc142991969"/>
      <w:bookmarkStart w:id="5" w:name="_Toc159926861"/>
      <w:bookmarkStart w:id="6" w:name="_Toc166594470"/>
      <w:r w:rsidRPr="008E67C0">
        <w:lastRenderedPageBreak/>
        <w:t>Balanços Patrimoniais</w:t>
      </w:r>
      <w:bookmarkEnd w:id="4"/>
      <w:bookmarkEnd w:id="5"/>
      <w:r w:rsidR="007608B9" w:rsidRPr="008E67C0">
        <w:t xml:space="preserve"> </w:t>
      </w:r>
      <w:r w:rsidR="00B3018D" w:rsidRPr="008E67C0">
        <w:t>Intermediários Condensados</w:t>
      </w:r>
      <w:bookmarkEnd w:id="6"/>
    </w:p>
    <w:p w14:paraId="3134006D" w14:textId="0C4B3F4A" w:rsidR="009F2095" w:rsidRDefault="00B963E9" w:rsidP="000024A1">
      <w:pPr>
        <w:sectPr w:rsidR="009F2095" w:rsidSect="0088151D">
          <w:pgSz w:w="11907" w:h="16840" w:code="9"/>
          <w:pgMar w:top="1418" w:right="851" w:bottom="851" w:left="1418" w:header="1134" w:footer="709" w:gutter="0"/>
          <w:cols w:space="708"/>
          <w:docGrid w:linePitch="360"/>
        </w:sectPr>
      </w:pPr>
      <w:r w:rsidRPr="00B963E9">
        <w:rPr>
          <w:noProof/>
        </w:rPr>
        <w:drawing>
          <wp:inline distT="0" distB="0" distL="0" distR="0" wp14:anchorId="69D9A3CE" wp14:editId="66BC572E">
            <wp:extent cx="6120130" cy="8387080"/>
            <wp:effectExtent l="0" t="0" r="0" b="0"/>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20130" cy="8387080"/>
                    </a:xfrm>
                    <a:prstGeom prst="rect">
                      <a:avLst/>
                    </a:prstGeom>
                    <a:noFill/>
                    <a:ln>
                      <a:noFill/>
                    </a:ln>
                  </pic:spPr>
                </pic:pic>
              </a:graphicData>
            </a:graphic>
          </wp:inline>
        </w:drawing>
      </w:r>
    </w:p>
    <w:p w14:paraId="5308AA10" w14:textId="6598C578" w:rsidR="007608B9" w:rsidRPr="008E67C0" w:rsidRDefault="007608B9" w:rsidP="005A596E">
      <w:pPr>
        <w:pStyle w:val="Ttulo1"/>
      </w:pPr>
      <w:bookmarkStart w:id="7" w:name="_Toc142991970"/>
      <w:bookmarkStart w:id="8" w:name="_Toc159926862"/>
      <w:bookmarkStart w:id="9" w:name="_Toc166594471"/>
      <w:r w:rsidRPr="008E67C0">
        <w:lastRenderedPageBreak/>
        <w:t>Demonstrações Intermediárias Condensadas do Resultado</w:t>
      </w:r>
      <w:bookmarkEnd w:id="7"/>
      <w:bookmarkEnd w:id="8"/>
      <w:bookmarkEnd w:id="9"/>
    </w:p>
    <w:p w14:paraId="65A1A9B9" w14:textId="77777777" w:rsidR="00B3018D" w:rsidRDefault="008307DA" w:rsidP="00516A75">
      <w:r w:rsidRPr="008307DA">
        <w:rPr>
          <w:noProof/>
        </w:rPr>
        <w:drawing>
          <wp:inline distT="0" distB="0" distL="0" distR="0" wp14:anchorId="602A0F71" wp14:editId="30BD6A3D">
            <wp:extent cx="6120130" cy="5655945"/>
            <wp:effectExtent l="0" t="0" r="0" b="1905"/>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20130" cy="5655945"/>
                    </a:xfrm>
                    <a:prstGeom prst="rect">
                      <a:avLst/>
                    </a:prstGeom>
                    <a:noFill/>
                    <a:ln>
                      <a:noFill/>
                    </a:ln>
                  </pic:spPr>
                </pic:pic>
              </a:graphicData>
            </a:graphic>
          </wp:inline>
        </w:drawing>
      </w:r>
    </w:p>
    <w:p w14:paraId="5153C3E2" w14:textId="77777777" w:rsidR="008307DA" w:rsidRDefault="008307DA" w:rsidP="00516A75"/>
    <w:p w14:paraId="1E0B4157" w14:textId="527B4569" w:rsidR="002037DF" w:rsidRDefault="002037DF" w:rsidP="00516A75">
      <w:pPr>
        <w:sectPr w:rsidR="002037DF" w:rsidSect="0088151D">
          <w:pgSz w:w="11907" w:h="16840" w:code="9"/>
          <w:pgMar w:top="1418" w:right="851" w:bottom="851" w:left="1418" w:header="1134" w:footer="709" w:gutter="0"/>
          <w:cols w:space="708"/>
          <w:docGrid w:linePitch="360"/>
        </w:sectPr>
      </w:pPr>
    </w:p>
    <w:p w14:paraId="3F5376DA" w14:textId="77777777" w:rsidR="00897B00" w:rsidRPr="008E67C0" w:rsidRDefault="00C43961" w:rsidP="005A596E">
      <w:pPr>
        <w:pStyle w:val="Ttulo1"/>
      </w:pPr>
      <w:bookmarkStart w:id="10" w:name="_Toc142991971"/>
      <w:bookmarkStart w:id="11" w:name="_Toc159926863"/>
      <w:bookmarkStart w:id="12" w:name="_Toc166594472"/>
      <w:r w:rsidRPr="008E67C0">
        <w:lastRenderedPageBreak/>
        <w:t>Demonstrações Intermediárias Condensadas do Resultado Abrangente</w:t>
      </w:r>
      <w:bookmarkEnd w:id="10"/>
      <w:bookmarkEnd w:id="11"/>
      <w:bookmarkEnd w:id="12"/>
    </w:p>
    <w:p w14:paraId="165D067F" w14:textId="7027BB90" w:rsidR="00C43961" w:rsidRDefault="00897B00" w:rsidP="00897B00">
      <w:pPr>
        <w:sectPr w:rsidR="00C43961" w:rsidSect="0088151D">
          <w:pgSz w:w="11907" w:h="16840" w:code="9"/>
          <w:pgMar w:top="1418" w:right="851" w:bottom="851" w:left="1418" w:header="1134" w:footer="709" w:gutter="0"/>
          <w:cols w:space="708"/>
          <w:docGrid w:linePitch="360"/>
        </w:sectPr>
      </w:pPr>
      <w:r w:rsidRPr="00897B00">
        <w:rPr>
          <w:noProof/>
        </w:rPr>
        <w:drawing>
          <wp:inline distT="0" distB="0" distL="0" distR="0" wp14:anchorId="45BBE875" wp14:editId="1C3D2100">
            <wp:extent cx="6120130" cy="2846705"/>
            <wp:effectExtent l="0" t="0" r="0" b="0"/>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20130" cy="2846705"/>
                    </a:xfrm>
                    <a:prstGeom prst="rect">
                      <a:avLst/>
                    </a:prstGeom>
                    <a:noFill/>
                    <a:ln>
                      <a:noFill/>
                    </a:ln>
                  </pic:spPr>
                </pic:pic>
              </a:graphicData>
            </a:graphic>
          </wp:inline>
        </w:drawing>
      </w:r>
    </w:p>
    <w:p w14:paraId="42CF8D59" w14:textId="77777777" w:rsidR="00403A3B" w:rsidRPr="008E67C0" w:rsidRDefault="00E86547" w:rsidP="005A596E">
      <w:pPr>
        <w:pStyle w:val="Ttulo1"/>
      </w:pPr>
      <w:bookmarkStart w:id="13" w:name="_Toc96526778"/>
      <w:bookmarkStart w:id="14" w:name="_Toc103084538"/>
      <w:bookmarkStart w:id="15" w:name="_Toc134699635"/>
      <w:bookmarkStart w:id="16" w:name="_Toc142991972"/>
      <w:bookmarkStart w:id="17" w:name="_Toc159926864"/>
      <w:bookmarkStart w:id="18" w:name="_Toc166594473"/>
      <w:r w:rsidRPr="008E67C0">
        <w:lastRenderedPageBreak/>
        <w:t>Demonstrações Intermediárias Condensadas das Mutações do Patrimônio Líquido</w:t>
      </w:r>
      <w:bookmarkEnd w:id="13"/>
      <w:bookmarkEnd w:id="14"/>
      <w:bookmarkEnd w:id="15"/>
      <w:bookmarkEnd w:id="16"/>
      <w:bookmarkEnd w:id="17"/>
      <w:bookmarkEnd w:id="18"/>
    </w:p>
    <w:p w14:paraId="15C31F36" w14:textId="77777777" w:rsidR="00E86547" w:rsidRDefault="00403A3B" w:rsidP="00403A3B">
      <w:r w:rsidRPr="00403A3B">
        <w:rPr>
          <w:noProof/>
        </w:rPr>
        <w:drawing>
          <wp:inline distT="0" distB="0" distL="0" distR="0" wp14:anchorId="554F4E1A" wp14:editId="4523FB7D">
            <wp:extent cx="9252585" cy="4713605"/>
            <wp:effectExtent l="0" t="0" r="5715" b="0"/>
            <wp:docPr id="453" name="Imagem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252585" cy="4713605"/>
                    </a:xfrm>
                    <a:prstGeom prst="rect">
                      <a:avLst/>
                    </a:prstGeom>
                    <a:noFill/>
                    <a:ln>
                      <a:noFill/>
                    </a:ln>
                  </pic:spPr>
                </pic:pic>
              </a:graphicData>
            </a:graphic>
          </wp:inline>
        </w:drawing>
      </w:r>
    </w:p>
    <w:p w14:paraId="67BA4D83" w14:textId="77777777" w:rsidR="000E14EB" w:rsidRDefault="000E14EB" w:rsidP="000E14EB"/>
    <w:p w14:paraId="7BE97B89" w14:textId="77777777" w:rsidR="000E14EB" w:rsidRDefault="000E14EB">
      <w:pPr>
        <w:rPr>
          <w:rFonts w:ascii="CAIXA Std Book" w:hAnsi="CAIXA Std Book"/>
          <w:b/>
          <w:bCs/>
          <w:color w:val="005CA9"/>
          <w:sz w:val="20"/>
          <w:szCs w:val="20"/>
        </w:rPr>
      </w:pPr>
      <w:r>
        <w:rPr>
          <w:rFonts w:ascii="CAIXA Std Book" w:hAnsi="CAIXA Std Book"/>
          <w:b/>
          <w:bCs/>
          <w:color w:val="005CA9"/>
          <w:sz w:val="20"/>
          <w:szCs w:val="20"/>
        </w:rPr>
        <w:br w:type="page"/>
      </w:r>
    </w:p>
    <w:p w14:paraId="44A7794F" w14:textId="1E1738C4" w:rsidR="000E14EB" w:rsidRPr="008E67C0" w:rsidRDefault="000E14EB" w:rsidP="000E14EB">
      <w:pPr>
        <w:spacing w:before="120" w:after="240"/>
        <w:rPr>
          <w:rFonts w:ascii="CAIXA Std Book" w:hAnsi="CAIXA Std Book"/>
          <w:b/>
          <w:bCs/>
          <w:color w:val="005CA9"/>
          <w:sz w:val="22"/>
          <w:szCs w:val="22"/>
        </w:rPr>
      </w:pPr>
      <w:r w:rsidRPr="008E67C0">
        <w:rPr>
          <w:rFonts w:ascii="CAIXA Std Book" w:hAnsi="CAIXA Std Book"/>
          <w:b/>
          <w:bCs/>
          <w:color w:val="005CA9"/>
          <w:sz w:val="22"/>
          <w:szCs w:val="22"/>
        </w:rPr>
        <w:lastRenderedPageBreak/>
        <w:t>Demonstrações Intermediárias Condensadas das Mutações do Patrimônio Líquido</w:t>
      </w:r>
    </w:p>
    <w:p w14:paraId="14BD1FCD" w14:textId="6F17EF24" w:rsidR="000E14EB" w:rsidRDefault="000E14EB" w:rsidP="00403A3B">
      <w:pPr>
        <w:sectPr w:rsidR="000E14EB" w:rsidSect="00897B00">
          <w:headerReference w:type="default" r:id="rId21"/>
          <w:footerReference w:type="default" r:id="rId22"/>
          <w:pgSz w:w="16840" w:h="11907" w:orient="landscape" w:code="9"/>
          <w:pgMar w:top="1418" w:right="1418" w:bottom="851" w:left="851" w:header="1134" w:footer="709" w:gutter="0"/>
          <w:cols w:space="708"/>
          <w:docGrid w:linePitch="360"/>
        </w:sectPr>
      </w:pPr>
      <w:r w:rsidRPr="000E14EB">
        <w:rPr>
          <w:noProof/>
        </w:rPr>
        <w:drawing>
          <wp:inline distT="0" distB="0" distL="0" distR="0" wp14:anchorId="382B7481" wp14:editId="763616BD">
            <wp:extent cx="9252585" cy="4117975"/>
            <wp:effectExtent l="0" t="0" r="5715" b="0"/>
            <wp:docPr id="459" name="Imagem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252585" cy="4117975"/>
                    </a:xfrm>
                    <a:prstGeom prst="rect">
                      <a:avLst/>
                    </a:prstGeom>
                    <a:noFill/>
                    <a:ln>
                      <a:noFill/>
                    </a:ln>
                  </pic:spPr>
                </pic:pic>
              </a:graphicData>
            </a:graphic>
          </wp:inline>
        </w:drawing>
      </w:r>
    </w:p>
    <w:p w14:paraId="3D8585D3" w14:textId="77777777" w:rsidR="00A54A08" w:rsidRPr="008E67C0" w:rsidRDefault="00B74A09" w:rsidP="005A596E">
      <w:pPr>
        <w:pStyle w:val="Ttulo1"/>
      </w:pPr>
      <w:bookmarkStart w:id="19" w:name="_Toc40707616"/>
      <w:bookmarkStart w:id="20" w:name="_Toc49280679"/>
      <w:bookmarkStart w:id="21" w:name="_Toc66738666"/>
      <w:bookmarkStart w:id="22" w:name="_Toc96526779"/>
      <w:bookmarkStart w:id="23" w:name="_Toc103084539"/>
      <w:bookmarkStart w:id="24" w:name="_Toc134699636"/>
      <w:bookmarkStart w:id="25" w:name="_Toc142991973"/>
      <w:bookmarkStart w:id="26" w:name="_Toc159926865"/>
      <w:bookmarkStart w:id="27" w:name="_Toc166594474"/>
      <w:r w:rsidRPr="008E67C0">
        <w:lastRenderedPageBreak/>
        <w:t>Demonstrações Intermediárias Condensadas dos Fluxos de Caixa</w:t>
      </w:r>
      <w:bookmarkEnd w:id="19"/>
      <w:bookmarkEnd w:id="20"/>
      <w:bookmarkEnd w:id="21"/>
      <w:bookmarkEnd w:id="22"/>
      <w:bookmarkEnd w:id="23"/>
      <w:bookmarkEnd w:id="24"/>
      <w:bookmarkEnd w:id="25"/>
      <w:bookmarkEnd w:id="26"/>
      <w:bookmarkEnd w:id="27"/>
      <w:r w:rsidRPr="008E67C0">
        <w:t xml:space="preserve"> </w:t>
      </w:r>
    </w:p>
    <w:p w14:paraId="0156DEFB" w14:textId="569F6F81" w:rsidR="00B74A09" w:rsidRDefault="00A54A08" w:rsidP="00A54A08">
      <w:pPr>
        <w:sectPr w:rsidR="00B74A09" w:rsidSect="0088151D">
          <w:headerReference w:type="default" r:id="rId24"/>
          <w:footerReference w:type="default" r:id="rId25"/>
          <w:pgSz w:w="11907" w:h="16840" w:code="9"/>
          <w:pgMar w:top="1418" w:right="851" w:bottom="851" w:left="1418" w:header="1134" w:footer="709" w:gutter="0"/>
          <w:cols w:space="708"/>
          <w:docGrid w:linePitch="360"/>
        </w:sectPr>
      </w:pPr>
      <w:r w:rsidRPr="00A54A08">
        <w:rPr>
          <w:noProof/>
        </w:rPr>
        <w:drawing>
          <wp:inline distT="0" distB="0" distL="0" distR="0" wp14:anchorId="2086DBCD" wp14:editId="3DC556CB">
            <wp:extent cx="6120130" cy="7423785"/>
            <wp:effectExtent l="0" t="0" r="0" b="5715"/>
            <wp:docPr id="460" name="Imagem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20130" cy="7423785"/>
                    </a:xfrm>
                    <a:prstGeom prst="rect">
                      <a:avLst/>
                    </a:prstGeom>
                    <a:noFill/>
                    <a:ln>
                      <a:noFill/>
                    </a:ln>
                  </pic:spPr>
                </pic:pic>
              </a:graphicData>
            </a:graphic>
          </wp:inline>
        </w:drawing>
      </w:r>
    </w:p>
    <w:p w14:paraId="34DF2134" w14:textId="38938B71" w:rsidR="00C43961" w:rsidRPr="008E67C0" w:rsidRDefault="006E12F5" w:rsidP="005A596E">
      <w:pPr>
        <w:pStyle w:val="Ttulo1"/>
      </w:pPr>
      <w:bookmarkStart w:id="28" w:name="_Toc103084540"/>
      <w:bookmarkStart w:id="29" w:name="_Toc134699637"/>
      <w:bookmarkStart w:id="30" w:name="_Toc142991974"/>
      <w:bookmarkStart w:id="31" w:name="_Toc159926866"/>
      <w:bookmarkStart w:id="32" w:name="_Toc166594475"/>
      <w:r w:rsidRPr="008E67C0">
        <w:lastRenderedPageBreak/>
        <w:t>Demonstrações Intermediárias Condensadas do Valor Adicionado</w:t>
      </w:r>
      <w:bookmarkEnd w:id="28"/>
      <w:bookmarkEnd w:id="29"/>
      <w:bookmarkEnd w:id="30"/>
      <w:bookmarkEnd w:id="31"/>
      <w:bookmarkEnd w:id="32"/>
    </w:p>
    <w:p w14:paraId="72F28E45" w14:textId="77777777" w:rsidR="00516A75" w:rsidRDefault="00FC767E" w:rsidP="00516A75">
      <w:r w:rsidRPr="00FC767E">
        <w:rPr>
          <w:noProof/>
        </w:rPr>
        <w:drawing>
          <wp:inline distT="0" distB="0" distL="0" distR="0" wp14:anchorId="26620CB4" wp14:editId="5CD3F199">
            <wp:extent cx="6120130" cy="4796155"/>
            <wp:effectExtent l="0" t="0" r="0" b="0"/>
            <wp:docPr id="461" name="Imagem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20130" cy="4796155"/>
                    </a:xfrm>
                    <a:prstGeom prst="rect">
                      <a:avLst/>
                    </a:prstGeom>
                    <a:noFill/>
                    <a:ln>
                      <a:noFill/>
                    </a:ln>
                  </pic:spPr>
                </pic:pic>
              </a:graphicData>
            </a:graphic>
          </wp:inline>
        </w:drawing>
      </w:r>
    </w:p>
    <w:p w14:paraId="376661D3" w14:textId="77777777" w:rsidR="00FC767E" w:rsidRDefault="00FC767E" w:rsidP="00516A75"/>
    <w:p w14:paraId="6AD8BF41" w14:textId="613E9A3A" w:rsidR="00FC767E" w:rsidRPr="00516A75" w:rsidRDefault="00FC767E" w:rsidP="00516A75">
      <w:pPr>
        <w:sectPr w:rsidR="00FC767E" w:rsidRPr="00516A75" w:rsidSect="0088151D">
          <w:pgSz w:w="11907" w:h="16840" w:code="9"/>
          <w:pgMar w:top="1418" w:right="851" w:bottom="851" w:left="1418" w:header="1134" w:footer="709" w:gutter="0"/>
          <w:cols w:space="708"/>
          <w:docGrid w:linePitch="360"/>
        </w:sectPr>
      </w:pPr>
    </w:p>
    <w:p w14:paraId="35FB4576" w14:textId="003D2410" w:rsidR="005F303D" w:rsidRPr="008E67C0" w:rsidRDefault="00D60A7A" w:rsidP="005A596E">
      <w:pPr>
        <w:pStyle w:val="Ttulo1"/>
      </w:pPr>
      <w:hyperlink w:anchor="Nota1" w:history="1">
        <w:bookmarkStart w:id="33" w:name="_Toc166594476"/>
        <w:r w:rsidR="005F303D" w:rsidRPr="008E67C0">
          <w:t>Nota   1 – Contexto operacional</w:t>
        </w:r>
        <w:bookmarkEnd w:id="33"/>
      </w:hyperlink>
      <w:r w:rsidR="00E356ED" w:rsidRPr="008E67C0">
        <w:tab/>
      </w:r>
    </w:p>
    <w:bookmarkEnd w:id="3"/>
    <w:p w14:paraId="1A8C953D" w14:textId="77777777" w:rsidR="003E3BA7" w:rsidRPr="00FF4346" w:rsidRDefault="003E3BA7" w:rsidP="003E3BA7">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 Caixa Econômica Federal (“CAIXA” ou “Instituição”) é uma instituição financeira com 16</w:t>
      </w:r>
      <w:r w:rsidR="00774328" w:rsidRPr="00FF4346">
        <w:rPr>
          <w:rFonts w:ascii="CAIXA Std Book" w:hAnsi="CAIXA Std Book"/>
          <w:color w:val="005CA9"/>
          <w:sz w:val="20"/>
          <w:szCs w:val="20"/>
        </w:rPr>
        <w:t>3</w:t>
      </w:r>
      <w:r w:rsidRPr="00FF4346">
        <w:rPr>
          <w:rFonts w:ascii="CAIXA Std Book" w:hAnsi="CAIXA Std Book"/>
          <w:color w:val="005CA9"/>
          <w:sz w:val="20"/>
          <w:szCs w:val="20"/>
        </w:rPr>
        <w:t xml:space="preserve"> anos de atuação, constituída em seu modelo por meio do Decreto-Lei nº 759, de 12/08/1969, sob a forma de empresa pública, com personalidade jurídica de direito privado, e vinculada ao Governo Federal por intermédio do Ministério da Fazenda. Possui sede e domicílio no Setor Bancário Sul, Quadra 4, Lotes 3 e 4, Brasília, Distrito Federal, Brasil. Em conformidade com o art. 173 da Constituição Federal e com o art. 2º, §1º da Lei nº 13.303, de 30/06/2016, sua constituição como empresa pública é justificada pelo relevante interesse coletivo marcado pela promoção da cidadania e do desenvolvimento do país, tanto como instituição financeira e agente de políticas públicas, quanto como principal parceira estratégica do Estado brasileiro.</w:t>
      </w:r>
    </w:p>
    <w:p w14:paraId="6E0260CB" w14:textId="3D35F35F" w:rsidR="006B4883" w:rsidRPr="00D401C8" w:rsidRDefault="006B4883" w:rsidP="000E4143">
      <w:pPr>
        <w:spacing w:before="120" w:after="240"/>
        <w:jc w:val="both"/>
        <w:rPr>
          <w:rFonts w:ascii="CAIXA Std Book" w:eastAsiaTheme="minorHAnsi" w:hAnsi="CAIXA Std Book" w:cstheme="minorBidi"/>
          <w:color w:val="005CA9"/>
          <w:sz w:val="20"/>
          <w:szCs w:val="20"/>
          <w:lang w:eastAsia="en-US"/>
        </w:rPr>
      </w:pPr>
      <w:r w:rsidRPr="00FF4346">
        <w:rPr>
          <w:rFonts w:ascii="CAIXA Std Book" w:hAnsi="CAIXA Std Book"/>
          <w:color w:val="005CA9"/>
          <w:sz w:val="20"/>
          <w:szCs w:val="20"/>
        </w:rPr>
        <w:t>Por delegação do Governo Federal, a CAIXA exerce o papel de agente operador de fundos</w:t>
      </w:r>
      <w:r w:rsidR="00F57DCF"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 de programas sociais, dentre os quais se destacam o Fundo de Garantia do Tempo de Serviço (FGTS), sendo o seu principal agente financeiro, do Fundo de Compensação de Variações Salariais (FCVS), do Fundo de Arrendamento Residencial (FAR), do Fundo do Seguro Obrigatório de Danos Pessoais causados por Veículos Automotores de via Terrestre, ou por sua carga, a pessoas transportadas ou não (FDPVAT), do Fundo de Desenvolvimento Social (FDS), </w:t>
      </w:r>
      <w:r w:rsidR="00D401C8" w:rsidRPr="00D401C8">
        <w:rPr>
          <w:rFonts w:ascii="CAIXA Std Book" w:hAnsi="CAIXA Std Book"/>
          <w:color w:val="005CA9"/>
          <w:sz w:val="20"/>
          <w:szCs w:val="20"/>
        </w:rPr>
        <w:t>entre outros.</w:t>
      </w:r>
      <w:r w:rsidRPr="00FF4346">
        <w:rPr>
          <w:rFonts w:ascii="CAIXA Std Book" w:hAnsi="CAIXA Std Book"/>
          <w:color w:val="005CA9"/>
          <w:sz w:val="20"/>
          <w:szCs w:val="20"/>
        </w:rPr>
        <w:t xml:space="preserve"> Os fundos são entidades jurídicas independentes geridas por regulamentação e estrutura de governança específica e contabilidade própria, cujo patrimônio é segregado da CAIXA. Por conseguinte, a informação apresentada referente a esses fundos não é </w:t>
      </w:r>
      <w:r w:rsidR="00D90B48" w:rsidRPr="00D90B48">
        <w:rPr>
          <w:rFonts w:ascii="CAIXA Std Book" w:hAnsi="CAIXA Std Book"/>
          <w:color w:val="005CA9"/>
          <w:sz w:val="20"/>
          <w:szCs w:val="20"/>
        </w:rPr>
        <w:t>escopo dos trabalhos de revisão limitada executada pelos auditores independentes</w:t>
      </w:r>
      <w:r w:rsidRPr="00FF4346">
        <w:rPr>
          <w:rFonts w:ascii="CAIXA Std Book" w:hAnsi="CAIXA Std Book"/>
          <w:color w:val="005CA9"/>
          <w:sz w:val="20"/>
          <w:szCs w:val="20"/>
        </w:rPr>
        <w:t xml:space="preserve"> no trabalho de auditoria independente das demonstrações contábeis da CAIXA.</w:t>
      </w:r>
    </w:p>
    <w:tbl>
      <w:tblPr>
        <w:tblW w:w="5004" w:type="pct"/>
        <w:tblCellMar>
          <w:left w:w="0" w:type="dxa"/>
          <w:right w:w="57" w:type="dxa"/>
        </w:tblCellMar>
        <w:tblLook w:val="04A0" w:firstRow="1" w:lastRow="0" w:firstColumn="1" w:lastColumn="0" w:noHBand="0" w:noVBand="1"/>
      </w:tblPr>
      <w:tblGrid>
        <w:gridCol w:w="6236"/>
        <w:gridCol w:w="1700"/>
        <w:gridCol w:w="1702"/>
        <w:gridCol w:w="8"/>
      </w:tblGrid>
      <w:tr w:rsidR="003B2B2A" w:rsidRPr="00A33766" w14:paraId="1422D4CD" w14:textId="77777777" w:rsidTr="001F528F">
        <w:trPr>
          <w:trHeight w:val="283"/>
        </w:trPr>
        <w:tc>
          <w:tcPr>
            <w:tcW w:w="5000" w:type="pct"/>
            <w:gridSpan w:val="4"/>
            <w:tcBorders>
              <w:top w:val="single" w:sz="4" w:space="0" w:color="F39200"/>
              <w:left w:val="nil"/>
              <w:bottom w:val="single" w:sz="4" w:space="0" w:color="F39200"/>
              <w:right w:val="nil"/>
            </w:tcBorders>
            <w:shd w:val="clear" w:color="auto" w:fill="auto"/>
            <w:vAlign w:val="center"/>
            <w:hideMark/>
          </w:tcPr>
          <w:p w14:paraId="04999CD9" w14:textId="77777777" w:rsidR="003E37F9" w:rsidRPr="00FF4346" w:rsidRDefault="003E37F9">
            <w:pPr>
              <w:jc w:val="center"/>
              <w:rPr>
                <w:rFonts w:ascii="CAIXA Std Book" w:hAnsi="CAIXA Std Book" w:cs="MS Gothic"/>
                <w:b/>
                <w:color w:val="005CA9"/>
                <w:sz w:val="18"/>
                <w:szCs w:val="18"/>
              </w:rPr>
            </w:pPr>
            <w:bookmarkStart w:id="34" w:name="_Hlk79050987"/>
            <w:r w:rsidRPr="00FF4346">
              <w:rPr>
                <w:rFonts w:ascii="CAIXA Std Book" w:hAnsi="CAIXA Std Book" w:cs="MS Gothic"/>
                <w:b/>
                <w:color w:val="005CA9"/>
                <w:sz w:val="18"/>
                <w:szCs w:val="18"/>
              </w:rPr>
              <w:t>Principais Fundos e Programas Sociais</w:t>
            </w:r>
          </w:p>
        </w:tc>
      </w:tr>
      <w:tr w:rsidR="003B2B2A" w:rsidRPr="00A33766" w14:paraId="57FE56D0" w14:textId="77777777" w:rsidTr="001F528F">
        <w:trPr>
          <w:gridAfter w:val="1"/>
          <w:wAfter w:w="4" w:type="pct"/>
          <w:trHeight w:val="283"/>
        </w:trPr>
        <w:tc>
          <w:tcPr>
            <w:tcW w:w="3233" w:type="pct"/>
            <w:tcBorders>
              <w:top w:val="nil"/>
              <w:left w:val="nil"/>
              <w:bottom w:val="single" w:sz="4" w:space="0" w:color="F39200"/>
              <w:right w:val="nil"/>
            </w:tcBorders>
            <w:shd w:val="clear" w:color="auto" w:fill="auto"/>
            <w:noWrap/>
            <w:vAlign w:val="center"/>
            <w:hideMark/>
          </w:tcPr>
          <w:p w14:paraId="174A7725" w14:textId="77777777" w:rsidR="003E37F9" w:rsidRPr="00FF4346" w:rsidRDefault="003E37F9">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Descrição</w:t>
            </w:r>
          </w:p>
        </w:tc>
        <w:tc>
          <w:tcPr>
            <w:tcW w:w="881" w:type="pct"/>
            <w:tcBorders>
              <w:top w:val="nil"/>
              <w:left w:val="nil"/>
              <w:bottom w:val="single" w:sz="4" w:space="0" w:color="F39200"/>
              <w:right w:val="nil"/>
            </w:tcBorders>
            <w:shd w:val="clear" w:color="auto" w:fill="auto"/>
            <w:vAlign w:val="center"/>
            <w:hideMark/>
          </w:tcPr>
          <w:p w14:paraId="1EC98289" w14:textId="64A3A624" w:rsidR="003E37F9" w:rsidRPr="00FF4346" w:rsidRDefault="0044681E">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w:t>
            </w:r>
            <w:r w:rsidR="00D828F1" w:rsidRPr="00FF4346">
              <w:rPr>
                <w:rFonts w:ascii="CAIXA Std Book" w:hAnsi="CAIXA Std Book" w:cs="MS Gothic"/>
                <w:b/>
                <w:color w:val="005CA9"/>
                <w:sz w:val="18"/>
                <w:szCs w:val="18"/>
              </w:rPr>
              <w:t>03</w:t>
            </w:r>
            <w:r w:rsidRPr="00FF4346">
              <w:rPr>
                <w:rFonts w:ascii="CAIXA Std Book" w:hAnsi="CAIXA Std Book" w:cs="MS Gothic"/>
                <w:b/>
                <w:color w:val="005CA9"/>
                <w:sz w:val="18"/>
                <w:szCs w:val="18"/>
              </w:rPr>
              <w:t>/202</w:t>
            </w:r>
            <w:r w:rsidR="00D828F1" w:rsidRPr="00FF4346">
              <w:rPr>
                <w:rFonts w:ascii="CAIXA Std Book" w:hAnsi="CAIXA Std Book" w:cs="MS Gothic"/>
                <w:b/>
                <w:color w:val="005CA9"/>
                <w:sz w:val="18"/>
                <w:szCs w:val="18"/>
              </w:rPr>
              <w:t>4</w:t>
            </w:r>
            <w:r w:rsidR="00321542" w:rsidRPr="00FF4346">
              <w:rPr>
                <w:rFonts w:ascii="CAIXA Std Book" w:hAnsi="CAIXA Std Book" w:cs="MS Gothic"/>
                <w:b/>
                <w:color w:val="005CA9"/>
                <w:sz w:val="18"/>
                <w:szCs w:val="18"/>
              </w:rPr>
              <w:t xml:space="preserve"> (1)</w:t>
            </w:r>
          </w:p>
        </w:tc>
        <w:tc>
          <w:tcPr>
            <w:tcW w:w="882" w:type="pct"/>
            <w:tcBorders>
              <w:top w:val="nil"/>
              <w:left w:val="nil"/>
              <w:bottom w:val="single" w:sz="4" w:space="0" w:color="F39200"/>
              <w:right w:val="nil"/>
            </w:tcBorders>
            <w:shd w:val="clear" w:color="auto" w:fill="auto"/>
            <w:noWrap/>
            <w:vAlign w:val="center"/>
            <w:hideMark/>
          </w:tcPr>
          <w:p w14:paraId="33A18F2C" w14:textId="56B97D69" w:rsidR="003E37F9" w:rsidRPr="00FF4346" w:rsidRDefault="003E37F9">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31/12/202</w:t>
            </w:r>
            <w:r w:rsidR="00D828F1" w:rsidRPr="00FF4346">
              <w:rPr>
                <w:rFonts w:ascii="CAIXA Std Book" w:hAnsi="CAIXA Std Book" w:cs="MS Gothic"/>
                <w:b/>
                <w:color w:val="005CA9"/>
                <w:sz w:val="18"/>
                <w:szCs w:val="18"/>
              </w:rPr>
              <w:t>3</w:t>
            </w:r>
          </w:p>
        </w:tc>
      </w:tr>
      <w:tr w:rsidR="00D828F1" w:rsidRPr="00A33766" w14:paraId="45F831F5"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53553C82" w14:textId="53901F36"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Garantia do Tempo de Serviço - FGTS</w:t>
            </w:r>
          </w:p>
        </w:tc>
        <w:tc>
          <w:tcPr>
            <w:tcW w:w="881" w:type="pct"/>
            <w:tcBorders>
              <w:top w:val="nil"/>
              <w:left w:val="nil"/>
              <w:bottom w:val="nil"/>
              <w:right w:val="nil"/>
            </w:tcBorders>
            <w:shd w:val="clear" w:color="auto" w:fill="auto"/>
            <w:vAlign w:val="center"/>
          </w:tcPr>
          <w:p w14:paraId="07FF23FE" w14:textId="2D50FE8A"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710.128.983</w:t>
            </w:r>
          </w:p>
        </w:tc>
        <w:tc>
          <w:tcPr>
            <w:tcW w:w="882" w:type="pct"/>
            <w:tcBorders>
              <w:top w:val="nil"/>
              <w:left w:val="nil"/>
              <w:bottom w:val="nil"/>
              <w:right w:val="nil"/>
            </w:tcBorders>
            <w:shd w:val="clear" w:color="auto" w:fill="auto"/>
            <w:vAlign w:val="center"/>
            <w:hideMark/>
          </w:tcPr>
          <w:p w14:paraId="621475CD" w14:textId="71B58E77"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687.004.937</w:t>
            </w:r>
          </w:p>
        </w:tc>
      </w:tr>
      <w:tr w:rsidR="00D828F1" w:rsidRPr="00A33766" w14:paraId="389958EE"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5DA160D7" w14:textId="07C983FE"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Arrendamento Residencial - FAR</w:t>
            </w:r>
          </w:p>
        </w:tc>
        <w:tc>
          <w:tcPr>
            <w:tcW w:w="881" w:type="pct"/>
            <w:tcBorders>
              <w:top w:val="nil"/>
              <w:left w:val="nil"/>
              <w:bottom w:val="nil"/>
              <w:right w:val="nil"/>
            </w:tcBorders>
            <w:shd w:val="clear" w:color="auto" w:fill="auto"/>
            <w:vAlign w:val="center"/>
          </w:tcPr>
          <w:p w14:paraId="130CF3F8" w14:textId="1741B3AD"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25.600.144</w:t>
            </w:r>
          </w:p>
        </w:tc>
        <w:tc>
          <w:tcPr>
            <w:tcW w:w="882" w:type="pct"/>
            <w:tcBorders>
              <w:top w:val="nil"/>
              <w:left w:val="nil"/>
              <w:bottom w:val="nil"/>
              <w:right w:val="nil"/>
            </w:tcBorders>
            <w:shd w:val="clear" w:color="auto" w:fill="auto"/>
            <w:vAlign w:val="center"/>
            <w:hideMark/>
          </w:tcPr>
          <w:p w14:paraId="72F83F17" w14:textId="4920F7CD"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25.957.799</w:t>
            </w:r>
          </w:p>
        </w:tc>
      </w:tr>
      <w:tr w:rsidR="00D828F1" w:rsidRPr="00A33766" w14:paraId="129B4CDE"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6DF57ACD" w14:textId="77BBA0A6"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Compensação de Variações Salariais - FCVS</w:t>
            </w:r>
          </w:p>
        </w:tc>
        <w:tc>
          <w:tcPr>
            <w:tcW w:w="881" w:type="pct"/>
            <w:tcBorders>
              <w:top w:val="nil"/>
              <w:left w:val="nil"/>
              <w:bottom w:val="nil"/>
              <w:right w:val="nil"/>
            </w:tcBorders>
            <w:shd w:val="clear" w:color="auto" w:fill="auto"/>
            <w:vAlign w:val="center"/>
          </w:tcPr>
          <w:p w14:paraId="7D74EA3A" w14:textId="4E96A886"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20.232.723</w:t>
            </w:r>
          </w:p>
        </w:tc>
        <w:tc>
          <w:tcPr>
            <w:tcW w:w="882" w:type="pct"/>
            <w:tcBorders>
              <w:top w:val="nil"/>
              <w:left w:val="nil"/>
              <w:bottom w:val="nil"/>
              <w:right w:val="nil"/>
            </w:tcBorders>
            <w:shd w:val="clear" w:color="auto" w:fill="auto"/>
            <w:vAlign w:val="center"/>
            <w:hideMark/>
          </w:tcPr>
          <w:p w14:paraId="094AB8AC" w14:textId="79FB7D12"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19.961.810</w:t>
            </w:r>
          </w:p>
        </w:tc>
      </w:tr>
      <w:tr w:rsidR="00D828F1" w:rsidRPr="00A33766" w14:paraId="3E99495A" w14:textId="77777777" w:rsidTr="001F528F">
        <w:trPr>
          <w:gridAfter w:val="1"/>
          <w:wAfter w:w="4" w:type="pct"/>
          <w:trHeight w:val="283"/>
        </w:trPr>
        <w:tc>
          <w:tcPr>
            <w:tcW w:w="3233" w:type="pct"/>
            <w:tcBorders>
              <w:top w:val="nil"/>
              <w:left w:val="nil"/>
              <w:bottom w:val="nil"/>
              <w:right w:val="nil"/>
            </w:tcBorders>
            <w:shd w:val="clear" w:color="auto" w:fill="auto"/>
            <w:vAlign w:val="center"/>
          </w:tcPr>
          <w:p w14:paraId="50445C3C" w14:textId="60916309" w:rsidR="00D828F1" w:rsidRPr="00FF4346" w:rsidRDefault="00D828F1" w:rsidP="00D828F1">
            <w:pPr>
              <w:rPr>
                <w:rFonts w:ascii="CAIXA Std Book" w:hAnsi="CAIXA Std Book" w:cs="MS Gothic"/>
                <w:color w:val="005CA9"/>
                <w:sz w:val="18"/>
                <w:szCs w:val="18"/>
                <w:highlight w:val="yellow"/>
              </w:rPr>
            </w:pPr>
            <w:r w:rsidRPr="00FF4346">
              <w:rPr>
                <w:rFonts w:ascii="CAIXA Std Book" w:hAnsi="CAIXA Std Book" w:cs="MS Gothic"/>
                <w:color w:val="005CA9"/>
                <w:sz w:val="18"/>
                <w:szCs w:val="18"/>
              </w:rPr>
              <w:t>Fundo de Custeio do Ensino Médio – FIPEM</w:t>
            </w:r>
          </w:p>
        </w:tc>
        <w:tc>
          <w:tcPr>
            <w:tcW w:w="881" w:type="pct"/>
            <w:tcBorders>
              <w:top w:val="nil"/>
              <w:left w:val="nil"/>
              <w:bottom w:val="nil"/>
              <w:right w:val="nil"/>
            </w:tcBorders>
            <w:shd w:val="clear" w:color="auto" w:fill="auto"/>
            <w:vAlign w:val="center"/>
          </w:tcPr>
          <w:p w14:paraId="69933C71" w14:textId="04CBEAC2" w:rsidR="00D828F1" w:rsidRPr="00FF4346" w:rsidRDefault="001C7E9C" w:rsidP="00D828F1">
            <w:pPr>
              <w:jc w:val="right"/>
              <w:rPr>
                <w:rFonts w:ascii="CAIXA Std Book" w:hAnsi="CAIXA Std Book" w:cs="Arial"/>
                <w:color w:val="005CA9"/>
                <w:sz w:val="18"/>
                <w:szCs w:val="18"/>
                <w:highlight w:val="yellow"/>
              </w:rPr>
            </w:pPr>
            <w:r>
              <w:rPr>
                <w:rFonts w:ascii="CAIXA Std Book" w:hAnsi="CAIXA Std Book" w:cs="Arial"/>
                <w:color w:val="005CA9"/>
                <w:sz w:val="18"/>
                <w:szCs w:val="18"/>
              </w:rPr>
              <w:t>6.212.285</w:t>
            </w:r>
          </w:p>
        </w:tc>
        <w:tc>
          <w:tcPr>
            <w:tcW w:w="882" w:type="pct"/>
            <w:tcBorders>
              <w:top w:val="nil"/>
              <w:left w:val="nil"/>
              <w:bottom w:val="nil"/>
              <w:right w:val="nil"/>
            </w:tcBorders>
            <w:shd w:val="clear" w:color="auto" w:fill="auto"/>
            <w:vAlign w:val="center"/>
          </w:tcPr>
          <w:p w14:paraId="5082A24D" w14:textId="77608CB4" w:rsidR="00D828F1" w:rsidRPr="00FF4346" w:rsidRDefault="00D828F1" w:rsidP="00D828F1">
            <w:pPr>
              <w:jc w:val="right"/>
              <w:rPr>
                <w:rFonts w:ascii="CAIXA Std Book" w:hAnsi="CAIXA Std Book" w:cs="Arial"/>
                <w:color w:val="005CA9"/>
                <w:sz w:val="18"/>
                <w:szCs w:val="18"/>
                <w:highlight w:val="yellow"/>
              </w:rPr>
            </w:pPr>
            <w:r w:rsidRPr="00FF4346">
              <w:rPr>
                <w:rFonts w:ascii="CAIXA Std Book" w:hAnsi="CAIXA Std Book" w:cs="Arial"/>
                <w:color w:val="005CA9"/>
                <w:sz w:val="18"/>
                <w:szCs w:val="18"/>
              </w:rPr>
              <w:t>6.105.337</w:t>
            </w:r>
          </w:p>
        </w:tc>
      </w:tr>
      <w:tr w:rsidR="00D828F1" w:rsidRPr="00A33766" w14:paraId="3F3DC5F4" w14:textId="77777777" w:rsidTr="001F528F">
        <w:trPr>
          <w:gridAfter w:val="1"/>
          <w:wAfter w:w="4" w:type="pct"/>
          <w:trHeight w:val="283"/>
        </w:trPr>
        <w:tc>
          <w:tcPr>
            <w:tcW w:w="3233" w:type="pct"/>
            <w:tcBorders>
              <w:top w:val="nil"/>
              <w:left w:val="nil"/>
              <w:bottom w:val="nil"/>
              <w:right w:val="nil"/>
            </w:tcBorders>
            <w:shd w:val="clear" w:color="auto" w:fill="auto"/>
            <w:vAlign w:val="center"/>
          </w:tcPr>
          <w:p w14:paraId="5868448D" w14:textId="0A14F7A8"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Danos Pessoais por Veículos Automotores Terrestres - FDPVAT</w:t>
            </w:r>
          </w:p>
        </w:tc>
        <w:tc>
          <w:tcPr>
            <w:tcW w:w="881" w:type="pct"/>
            <w:tcBorders>
              <w:top w:val="nil"/>
              <w:left w:val="nil"/>
              <w:bottom w:val="nil"/>
              <w:right w:val="nil"/>
            </w:tcBorders>
            <w:shd w:val="clear" w:color="auto" w:fill="auto"/>
            <w:vAlign w:val="center"/>
          </w:tcPr>
          <w:p w14:paraId="331AB223" w14:textId="1DF9D24B"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506.409</w:t>
            </w:r>
          </w:p>
        </w:tc>
        <w:tc>
          <w:tcPr>
            <w:tcW w:w="882" w:type="pct"/>
            <w:tcBorders>
              <w:top w:val="nil"/>
              <w:left w:val="nil"/>
              <w:bottom w:val="nil"/>
              <w:right w:val="nil"/>
            </w:tcBorders>
            <w:shd w:val="clear" w:color="auto" w:fill="auto"/>
            <w:vAlign w:val="center"/>
          </w:tcPr>
          <w:p w14:paraId="2230A52F" w14:textId="5C8428A7"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1.158.178</w:t>
            </w:r>
          </w:p>
        </w:tc>
      </w:tr>
      <w:tr w:rsidR="00D828F1" w:rsidRPr="00A33766" w14:paraId="56E45BA4" w14:textId="77777777" w:rsidTr="001F528F">
        <w:trPr>
          <w:gridAfter w:val="1"/>
          <w:wAfter w:w="4" w:type="pct"/>
          <w:trHeight w:val="283"/>
        </w:trPr>
        <w:tc>
          <w:tcPr>
            <w:tcW w:w="3233" w:type="pct"/>
            <w:tcBorders>
              <w:top w:val="nil"/>
              <w:left w:val="nil"/>
              <w:bottom w:val="nil"/>
              <w:right w:val="nil"/>
            </w:tcBorders>
            <w:shd w:val="clear" w:color="auto" w:fill="auto"/>
            <w:vAlign w:val="center"/>
          </w:tcPr>
          <w:p w14:paraId="0F562D12" w14:textId="1EBE19DB"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Desenvolvimento Social - FDS</w:t>
            </w:r>
          </w:p>
        </w:tc>
        <w:tc>
          <w:tcPr>
            <w:tcW w:w="881" w:type="pct"/>
            <w:tcBorders>
              <w:top w:val="nil"/>
              <w:left w:val="nil"/>
              <w:bottom w:val="nil"/>
              <w:right w:val="nil"/>
            </w:tcBorders>
            <w:shd w:val="clear" w:color="auto" w:fill="auto"/>
            <w:vAlign w:val="center"/>
          </w:tcPr>
          <w:p w14:paraId="780BC83A" w14:textId="14055B78"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4.207.473</w:t>
            </w:r>
          </w:p>
        </w:tc>
        <w:tc>
          <w:tcPr>
            <w:tcW w:w="882" w:type="pct"/>
            <w:tcBorders>
              <w:top w:val="nil"/>
              <w:left w:val="nil"/>
              <w:bottom w:val="nil"/>
              <w:right w:val="nil"/>
            </w:tcBorders>
            <w:shd w:val="clear" w:color="auto" w:fill="auto"/>
            <w:vAlign w:val="center"/>
          </w:tcPr>
          <w:p w14:paraId="770D5E37" w14:textId="273F9470"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4.288.210</w:t>
            </w:r>
          </w:p>
        </w:tc>
      </w:tr>
      <w:tr w:rsidR="00D828F1" w:rsidRPr="00A33766" w14:paraId="5625DD50"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6AE0A4D5" w14:textId="0A2175E9"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 xml:space="preserve">Fundo Garantidor da Habitação Popular – </w:t>
            </w:r>
            <w:proofErr w:type="spellStart"/>
            <w:r w:rsidRPr="00FF4346">
              <w:rPr>
                <w:rFonts w:ascii="CAIXA Std Book" w:hAnsi="CAIXA Std Book" w:cs="MS Gothic"/>
                <w:color w:val="005CA9"/>
                <w:sz w:val="18"/>
                <w:szCs w:val="18"/>
              </w:rPr>
              <w:t>FGHab</w:t>
            </w:r>
            <w:proofErr w:type="spellEnd"/>
          </w:p>
        </w:tc>
        <w:tc>
          <w:tcPr>
            <w:tcW w:w="881" w:type="pct"/>
            <w:tcBorders>
              <w:top w:val="nil"/>
              <w:left w:val="nil"/>
              <w:bottom w:val="nil"/>
              <w:right w:val="nil"/>
            </w:tcBorders>
            <w:shd w:val="clear" w:color="auto" w:fill="auto"/>
            <w:vAlign w:val="center"/>
          </w:tcPr>
          <w:p w14:paraId="47206475" w14:textId="2C92C45D"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3.678.127</w:t>
            </w:r>
          </w:p>
        </w:tc>
        <w:tc>
          <w:tcPr>
            <w:tcW w:w="882" w:type="pct"/>
            <w:tcBorders>
              <w:top w:val="nil"/>
              <w:left w:val="nil"/>
              <w:bottom w:val="nil"/>
              <w:right w:val="nil"/>
            </w:tcBorders>
            <w:shd w:val="clear" w:color="auto" w:fill="auto"/>
            <w:vAlign w:val="center"/>
          </w:tcPr>
          <w:p w14:paraId="40BAB7B1" w14:textId="0845790A"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3.555.774</w:t>
            </w:r>
          </w:p>
        </w:tc>
      </w:tr>
      <w:tr w:rsidR="00D828F1" w:rsidRPr="00A33766" w14:paraId="4D43C2E3" w14:textId="77777777" w:rsidTr="001F528F">
        <w:trPr>
          <w:gridAfter w:val="1"/>
          <w:wAfter w:w="4" w:type="pct"/>
          <w:trHeight w:val="283"/>
        </w:trPr>
        <w:tc>
          <w:tcPr>
            <w:tcW w:w="3233" w:type="pct"/>
            <w:tcBorders>
              <w:top w:val="nil"/>
              <w:left w:val="nil"/>
              <w:bottom w:val="nil"/>
              <w:right w:val="nil"/>
            </w:tcBorders>
            <w:shd w:val="clear" w:color="auto" w:fill="auto"/>
            <w:vAlign w:val="center"/>
          </w:tcPr>
          <w:p w14:paraId="2DAF720F" w14:textId="363AD1D5" w:rsidR="00D828F1" w:rsidRPr="00FF4346" w:rsidRDefault="00D828F1" w:rsidP="00D828F1">
            <w:pPr>
              <w:rPr>
                <w:rFonts w:ascii="CAIXA Std Book" w:hAnsi="CAIXA Std Book" w:cs="Arial Unicode MS"/>
                <w:color w:val="005CA9"/>
                <w:sz w:val="18"/>
                <w:szCs w:val="18"/>
              </w:rPr>
            </w:pPr>
            <w:r w:rsidRPr="00FF4346">
              <w:rPr>
                <w:rFonts w:ascii="CAIXA Std Book" w:hAnsi="CAIXA Std Book" w:cs="Arial Unicode MS"/>
                <w:color w:val="005CA9"/>
                <w:sz w:val="18"/>
                <w:szCs w:val="18"/>
              </w:rPr>
              <w:t>Fundo Garantidor de Microfinanças - FGM</w:t>
            </w:r>
          </w:p>
        </w:tc>
        <w:tc>
          <w:tcPr>
            <w:tcW w:w="881" w:type="pct"/>
            <w:tcBorders>
              <w:top w:val="nil"/>
              <w:left w:val="nil"/>
              <w:bottom w:val="nil"/>
              <w:right w:val="nil"/>
            </w:tcBorders>
            <w:shd w:val="clear" w:color="auto" w:fill="auto"/>
            <w:vAlign w:val="center"/>
          </w:tcPr>
          <w:p w14:paraId="3EB76CBC" w14:textId="1583FF5A" w:rsidR="00D828F1" w:rsidRPr="00FF4346" w:rsidRDefault="001C7E9C" w:rsidP="00D828F1">
            <w:pPr>
              <w:jc w:val="right"/>
              <w:rPr>
                <w:rFonts w:ascii="CAIXA Std Book" w:hAnsi="CAIXA Std Book" w:cs="Arial"/>
                <w:color w:val="005CA9"/>
                <w:sz w:val="18"/>
                <w:szCs w:val="18"/>
              </w:rPr>
            </w:pPr>
            <w:r>
              <w:rPr>
                <w:rFonts w:ascii="CAIXA Std Book" w:hAnsi="CAIXA Std Book" w:cs="Arial"/>
                <w:color w:val="005CA9"/>
                <w:sz w:val="18"/>
                <w:szCs w:val="18"/>
              </w:rPr>
              <w:t>909.790</w:t>
            </w:r>
          </w:p>
        </w:tc>
        <w:tc>
          <w:tcPr>
            <w:tcW w:w="882" w:type="pct"/>
            <w:tcBorders>
              <w:top w:val="nil"/>
              <w:left w:val="nil"/>
              <w:bottom w:val="nil"/>
              <w:right w:val="nil"/>
            </w:tcBorders>
            <w:shd w:val="clear" w:color="auto" w:fill="auto"/>
            <w:vAlign w:val="center"/>
          </w:tcPr>
          <w:p w14:paraId="1DD3467C" w14:textId="1853C6E0" w:rsidR="00D828F1" w:rsidRPr="00FF4346" w:rsidRDefault="00D828F1" w:rsidP="00D828F1">
            <w:pPr>
              <w:jc w:val="right"/>
              <w:rPr>
                <w:rFonts w:ascii="CAIXA Std Book" w:hAnsi="CAIXA Std Book" w:cs="Arial"/>
                <w:color w:val="005CA9"/>
                <w:sz w:val="18"/>
                <w:szCs w:val="18"/>
              </w:rPr>
            </w:pPr>
            <w:r w:rsidRPr="00FF4346">
              <w:rPr>
                <w:rFonts w:ascii="CAIXA Std Book" w:hAnsi="CAIXA Std Book" w:cs="Arial"/>
                <w:color w:val="005CA9"/>
                <w:sz w:val="18"/>
                <w:szCs w:val="18"/>
              </w:rPr>
              <w:t>1.193.956</w:t>
            </w:r>
          </w:p>
        </w:tc>
      </w:tr>
      <w:tr w:rsidR="00D828F1" w:rsidRPr="00A33766" w14:paraId="1B4D0BA1" w14:textId="77777777" w:rsidTr="001F528F">
        <w:trPr>
          <w:gridAfter w:val="1"/>
          <w:wAfter w:w="4" w:type="pct"/>
          <w:trHeight w:val="283"/>
        </w:trPr>
        <w:tc>
          <w:tcPr>
            <w:tcW w:w="3233" w:type="pct"/>
            <w:tcBorders>
              <w:top w:val="nil"/>
              <w:left w:val="nil"/>
              <w:bottom w:val="nil"/>
              <w:right w:val="nil"/>
            </w:tcBorders>
            <w:shd w:val="clear" w:color="auto" w:fill="auto"/>
            <w:vAlign w:val="center"/>
          </w:tcPr>
          <w:p w14:paraId="2DF40821" w14:textId="26C8D724" w:rsidR="00D828F1" w:rsidRPr="00FF4346" w:rsidRDefault="00D828F1" w:rsidP="00D828F1">
            <w:pPr>
              <w:rPr>
                <w:rFonts w:ascii="CAIXA Std Book" w:hAnsi="CAIXA Std Book" w:cs="MS Gothic"/>
                <w:color w:val="005CA9"/>
                <w:sz w:val="18"/>
                <w:szCs w:val="18"/>
              </w:rPr>
            </w:pPr>
            <w:r w:rsidRPr="00FF4346">
              <w:rPr>
                <w:rFonts w:ascii="CAIXA Std Book" w:hAnsi="CAIXA Std Book" w:cs="Arial Unicode MS"/>
                <w:color w:val="005CA9"/>
                <w:sz w:val="18"/>
                <w:szCs w:val="18"/>
              </w:rPr>
              <w:t>Fundo Garantia SAFRA - FGS</w:t>
            </w:r>
          </w:p>
        </w:tc>
        <w:tc>
          <w:tcPr>
            <w:tcW w:w="881" w:type="pct"/>
            <w:tcBorders>
              <w:top w:val="nil"/>
              <w:left w:val="nil"/>
              <w:bottom w:val="nil"/>
              <w:right w:val="nil"/>
            </w:tcBorders>
            <w:shd w:val="clear" w:color="auto" w:fill="auto"/>
            <w:vAlign w:val="center"/>
          </w:tcPr>
          <w:p w14:paraId="05E8B70E" w14:textId="03E7D1D4"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1.421.500</w:t>
            </w:r>
          </w:p>
        </w:tc>
        <w:tc>
          <w:tcPr>
            <w:tcW w:w="882" w:type="pct"/>
            <w:tcBorders>
              <w:top w:val="nil"/>
              <w:left w:val="nil"/>
              <w:bottom w:val="nil"/>
              <w:right w:val="nil"/>
            </w:tcBorders>
            <w:shd w:val="clear" w:color="auto" w:fill="auto"/>
            <w:vAlign w:val="center"/>
          </w:tcPr>
          <w:p w14:paraId="4BC33820" w14:textId="089249A5"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1.421.500</w:t>
            </w:r>
          </w:p>
        </w:tc>
      </w:tr>
      <w:tr w:rsidR="00D828F1" w:rsidRPr="00A33766" w14:paraId="472018CA"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05A82201" w14:textId="0761779E" w:rsidR="00D828F1" w:rsidRPr="00FF4346" w:rsidRDefault="00D828F1" w:rsidP="00D828F1">
            <w:pPr>
              <w:rPr>
                <w:rFonts w:ascii="CAIXA Std Book" w:hAnsi="CAIXA Std Book" w:cs="MS Gothic"/>
                <w:color w:val="005CA9"/>
                <w:sz w:val="18"/>
                <w:szCs w:val="18"/>
              </w:rPr>
            </w:pPr>
            <w:r w:rsidRPr="00FF4346">
              <w:rPr>
                <w:rFonts w:ascii="CAIXA Std Book" w:hAnsi="CAIXA Std Book" w:cs="Arial Unicode MS"/>
                <w:color w:val="005CA9"/>
                <w:sz w:val="18"/>
                <w:szCs w:val="18"/>
              </w:rPr>
              <w:t>Fundo de Garantia Para Construção Naval - FGCN</w:t>
            </w:r>
          </w:p>
        </w:tc>
        <w:tc>
          <w:tcPr>
            <w:tcW w:w="881" w:type="pct"/>
            <w:tcBorders>
              <w:top w:val="nil"/>
              <w:left w:val="nil"/>
              <w:bottom w:val="nil"/>
              <w:right w:val="nil"/>
            </w:tcBorders>
            <w:shd w:val="clear" w:color="auto" w:fill="auto"/>
            <w:vAlign w:val="center"/>
          </w:tcPr>
          <w:p w14:paraId="1E2D2EF9" w14:textId="6F6952FB"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62.179</w:t>
            </w:r>
          </w:p>
        </w:tc>
        <w:tc>
          <w:tcPr>
            <w:tcW w:w="882" w:type="pct"/>
            <w:tcBorders>
              <w:top w:val="nil"/>
              <w:left w:val="nil"/>
              <w:bottom w:val="nil"/>
              <w:right w:val="nil"/>
            </w:tcBorders>
            <w:shd w:val="clear" w:color="auto" w:fill="auto"/>
            <w:vAlign w:val="center"/>
            <w:hideMark/>
          </w:tcPr>
          <w:p w14:paraId="466FB92F" w14:textId="35FA57AF"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61.255</w:t>
            </w:r>
          </w:p>
        </w:tc>
      </w:tr>
      <w:tr w:rsidR="00D828F1" w:rsidRPr="00A33766" w14:paraId="5AC9FE33" w14:textId="77777777" w:rsidTr="001F528F">
        <w:trPr>
          <w:gridAfter w:val="1"/>
          <w:wAfter w:w="4" w:type="pct"/>
          <w:trHeight w:val="283"/>
        </w:trPr>
        <w:tc>
          <w:tcPr>
            <w:tcW w:w="3233" w:type="pct"/>
            <w:tcBorders>
              <w:top w:val="nil"/>
              <w:left w:val="nil"/>
              <w:bottom w:val="nil"/>
              <w:right w:val="nil"/>
            </w:tcBorders>
            <w:shd w:val="clear" w:color="auto" w:fill="auto"/>
            <w:vAlign w:val="center"/>
            <w:hideMark/>
          </w:tcPr>
          <w:p w14:paraId="3563D99F" w14:textId="03BDCCA1"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color w:val="005CA9"/>
                <w:sz w:val="18"/>
                <w:szCs w:val="18"/>
              </w:rPr>
              <w:t>Fundo de Apoio ao Desenvolvimento Social - FAS</w:t>
            </w:r>
          </w:p>
        </w:tc>
        <w:tc>
          <w:tcPr>
            <w:tcW w:w="881" w:type="pct"/>
            <w:tcBorders>
              <w:top w:val="nil"/>
              <w:left w:val="nil"/>
              <w:bottom w:val="nil"/>
              <w:right w:val="nil"/>
            </w:tcBorders>
            <w:shd w:val="clear" w:color="auto" w:fill="auto"/>
            <w:vAlign w:val="center"/>
          </w:tcPr>
          <w:p w14:paraId="52A0733D" w14:textId="36A16464" w:rsidR="00D828F1" w:rsidRPr="00FF4346" w:rsidRDefault="001C7E9C" w:rsidP="00D828F1">
            <w:pPr>
              <w:jc w:val="right"/>
              <w:rPr>
                <w:rFonts w:ascii="CAIXA Std Book" w:hAnsi="CAIXA Std Book" w:cs="Arial Unicode MS"/>
                <w:color w:val="005CA9"/>
                <w:sz w:val="18"/>
                <w:szCs w:val="18"/>
              </w:rPr>
            </w:pPr>
            <w:r>
              <w:rPr>
                <w:rFonts w:ascii="CAIXA Std Book" w:hAnsi="CAIXA Std Book" w:cs="Arial"/>
                <w:color w:val="005CA9"/>
                <w:sz w:val="18"/>
                <w:szCs w:val="18"/>
              </w:rPr>
              <w:t>25.682</w:t>
            </w:r>
          </w:p>
        </w:tc>
        <w:tc>
          <w:tcPr>
            <w:tcW w:w="882" w:type="pct"/>
            <w:tcBorders>
              <w:top w:val="nil"/>
              <w:left w:val="nil"/>
              <w:bottom w:val="nil"/>
              <w:right w:val="nil"/>
            </w:tcBorders>
            <w:shd w:val="clear" w:color="auto" w:fill="auto"/>
            <w:vAlign w:val="center"/>
            <w:hideMark/>
          </w:tcPr>
          <w:p w14:paraId="7071DA20" w14:textId="6148F16C" w:rsidR="00D828F1" w:rsidRPr="00FF4346" w:rsidRDefault="00D828F1" w:rsidP="00D828F1">
            <w:pPr>
              <w:jc w:val="right"/>
              <w:rPr>
                <w:rFonts w:ascii="CAIXA Std Book" w:hAnsi="CAIXA Std Book" w:cs="MS Gothic"/>
                <w:color w:val="005CA9"/>
                <w:sz w:val="18"/>
                <w:szCs w:val="18"/>
              </w:rPr>
            </w:pPr>
            <w:r w:rsidRPr="00FF4346">
              <w:rPr>
                <w:rFonts w:ascii="CAIXA Std Book" w:hAnsi="CAIXA Std Book" w:cs="Arial"/>
                <w:color w:val="005CA9"/>
                <w:sz w:val="18"/>
                <w:szCs w:val="18"/>
              </w:rPr>
              <w:t>25.682</w:t>
            </w:r>
          </w:p>
        </w:tc>
      </w:tr>
      <w:tr w:rsidR="00D828F1" w:rsidRPr="00A33766" w14:paraId="2A0109B3" w14:textId="77777777" w:rsidTr="001F528F">
        <w:trPr>
          <w:gridAfter w:val="1"/>
          <w:wAfter w:w="4" w:type="pct"/>
          <w:trHeight w:val="283"/>
        </w:trPr>
        <w:tc>
          <w:tcPr>
            <w:tcW w:w="3233" w:type="pct"/>
            <w:tcBorders>
              <w:top w:val="single" w:sz="4" w:space="0" w:color="F39200"/>
              <w:left w:val="nil"/>
              <w:bottom w:val="single" w:sz="4" w:space="0" w:color="F39200"/>
              <w:right w:val="nil"/>
            </w:tcBorders>
            <w:shd w:val="clear" w:color="auto" w:fill="auto"/>
            <w:vAlign w:val="center"/>
            <w:hideMark/>
          </w:tcPr>
          <w:p w14:paraId="1229DF0B" w14:textId="4573C897" w:rsidR="00D828F1" w:rsidRPr="00FF4346" w:rsidRDefault="00D828F1" w:rsidP="00D828F1">
            <w:pPr>
              <w:rPr>
                <w:rFonts w:ascii="CAIXA Std Book" w:hAnsi="CAIXA Std Book" w:cs="MS Gothic"/>
                <w:color w:val="005CA9"/>
                <w:sz w:val="18"/>
                <w:szCs w:val="18"/>
              </w:rPr>
            </w:pPr>
            <w:r w:rsidRPr="00FF4346">
              <w:rPr>
                <w:rFonts w:ascii="CAIXA Std Book" w:hAnsi="CAIXA Std Book" w:cs="MS Gothic"/>
                <w:b/>
                <w:color w:val="005CA9"/>
                <w:sz w:val="18"/>
                <w:szCs w:val="18"/>
              </w:rPr>
              <w:t>Total</w:t>
            </w:r>
          </w:p>
        </w:tc>
        <w:tc>
          <w:tcPr>
            <w:tcW w:w="881" w:type="pct"/>
            <w:tcBorders>
              <w:top w:val="single" w:sz="4" w:space="0" w:color="F39200"/>
              <w:left w:val="nil"/>
              <w:bottom w:val="single" w:sz="4" w:space="0" w:color="F39200"/>
              <w:right w:val="nil"/>
            </w:tcBorders>
            <w:shd w:val="clear" w:color="auto" w:fill="auto"/>
            <w:vAlign w:val="center"/>
          </w:tcPr>
          <w:p w14:paraId="6B5E6DC7" w14:textId="689517E2" w:rsidR="00D828F1" w:rsidRPr="00FF4346" w:rsidRDefault="001C7E9C" w:rsidP="00D828F1">
            <w:pPr>
              <w:jc w:val="right"/>
              <w:rPr>
                <w:rFonts w:ascii="CAIXA Std Book" w:hAnsi="CAIXA Std Book" w:cs="Arial"/>
                <w:b/>
                <w:bCs/>
                <w:color w:val="005CA9"/>
                <w:sz w:val="18"/>
                <w:szCs w:val="18"/>
              </w:rPr>
            </w:pPr>
            <w:r>
              <w:rPr>
                <w:rFonts w:ascii="CAIXA Std Book" w:hAnsi="CAIXA Std Book" w:cs="Arial"/>
                <w:b/>
                <w:bCs/>
                <w:color w:val="005CA9"/>
                <w:sz w:val="18"/>
                <w:szCs w:val="18"/>
              </w:rPr>
              <w:t>772.985.295</w:t>
            </w:r>
          </w:p>
        </w:tc>
        <w:tc>
          <w:tcPr>
            <w:tcW w:w="882" w:type="pct"/>
            <w:tcBorders>
              <w:top w:val="single" w:sz="4" w:space="0" w:color="F39200"/>
              <w:left w:val="nil"/>
              <w:bottom w:val="single" w:sz="4" w:space="0" w:color="F39200"/>
              <w:right w:val="nil"/>
            </w:tcBorders>
            <w:shd w:val="clear" w:color="auto" w:fill="auto"/>
            <w:vAlign w:val="center"/>
            <w:hideMark/>
          </w:tcPr>
          <w:p w14:paraId="20A661C2" w14:textId="4F29E851" w:rsidR="00D828F1" w:rsidRPr="00FF4346" w:rsidRDefault="00D828F1" w:rsidP="00D828F1">
            <w:pPr>
              <w:jc w:val="right"/>
              <w:rPr>
                <w:rFonts w:ascii="CAIXA Std Book" w:hAnsi="CAIXA Std Book" w:cs="Arial"/>
                <w:b/>
                <w:bCs/>
                <w:color w:val="005CA9"/>
                <w:sz w:val="18"/>
                <w:szCs w:val="18"/>
              </w:rPr>
            </w:pPr>
            <w:r w:rsidRPr="00FF4346">
              <w:rPr>
                <w:rFonts w:ascii="CAIXA Std Book" w:hAnsi="CAIXA Std Book" w:cs="Arial"/>
                <w:b/>
                <w:bCs/>
                <w:color w:val="005CA9"/>
                <w:sz w:val="18"/>
                <w:szCs w:val="18"/>
              </w:rPr>
              <w:t>750.734.438</w:t>
            </w:r>
          </w:p>
        </w:tc>
      </w:tr>
    </w:tbl>
    <w:bookmarkEnd w:id="34"/>
    <w:p w14:paraId="5F9241F2" w14:textId="5ED2A17B" w:rsidR="00CF6D36" w:rsidRPr="00FF4346" w:rsidRDefault="00E8461B" w:rsidP="00630582">
      <w:pPr>
        <w:jc w:val="both"/>
        <w:rPr>
          <w:rFonts w:ascii="CAIXA Std Book" w:hAnsi="CAIXA Std Book"/>
          <w:color w:val="005CA9"/>
          <w:sz w:val="16"/>
          <w:szCs w:val="16"/>
        </w:rPr>
      </w:pPr>
      <w:r w:rsidRPr="00FF4346">
        <w:rPr>
          <w:rFonts w:ascii="CAIXA Std Book" w:hAnsi="CAIXA Std Book"/>
          <w:color w:val="005CA9"/>
          <w:sz w:val="16"/>
          <w:szCs w:val="16"/>
        </w:rPr>
        <w:t xml:space="preserve">(1) </w:t>
      </w:r>
      <w:r w:rsidR="0007786F" w:rsidRPr="00FF4346">
        <w:rPr>
          <w:rFonts w:ascii="CAIXA Std Book" w:hAnsi="CAIXA Std Book"/>
          <w:color w:val="005CA9"/>
          <w:sz w:val="16"/>
          <w:szCs w:val="16"/>
        </w:rPr>
        <w:t xml:space="preserve">Os valores apresentados refletem a posição de fechamento mais atual do ativo dos Fundos, e variam entre as posições de </w:t>
      </w:r>
      <w:r w:rsidR="0007786F" w:rsidRPr="00F80535">
        <w:rPr>
          <w:rFonts w:ascii="CAIXA Std Book" w:hAnsi="CAIXA Std Book"/>
          <w:color w:val="005CA9"/>
          <w:sz w:val="16"/>
          <w:szCs w:val="16"/>
        </w:rPr>
        <w:t>3</w:t>
      </w:r>
      <w:r w:rsidR="00A25449" w:rsidRPr="00F80535">
        <w:rPr>
          <w:rFonts w:ascii="CAIXA Std Book" w:hAnsi="CAIXA Std Book"/>
          <w:color w:val="005CA9"/>
          <w:sz w:val="16"/>
          <w:szCs w:val="16"/>
        </w:rPr>
        <w:t>1</w:t>
      </w:r>
      <w:r w:rsidR="0007786F" w:rsidRPr="00F80535">
        <w:rPr>
          <w:rFonts w:ascii="CAIXA Std Book" w:hAnsi="CAIXA Std Book"/>
          <w:color w:val="005CA9"/>
          <w:sz w:val="16"/>
          <w:szCs w:val="16"/>
        </w:rPr>
        <w:t>/</w:t>
      </w:r>
      <w:r w:rsidR="008F0560" w:rsidRPr="00F80535">
        <w:rPr>
          <w:rFonts w:ascii="CAIXA Std Book" w:hAnsi="CAIXA Std Book"/>
          <w:color w:val="005CA9"/>
          <w:sz w:val="16"/>
          <w:szCs w:val="16"/>
        </w:rPr>
        <w:t>1</w:t>
      </w:r>
      <w:r w:rsidR="00A25449" w:rsidRPr="00F80535">
        <w:rPr>
          <w:rFonts w:ascii="CAIXA Std Book" w:hAnsi="CAIXA Std Book"/>
          <w:color w:val="005CA9"/>
          <w:sz w:val="16"/>
          <w:szCs w:val="16"/>
        </w:rPr>
        <w:t>2</w:t>
      </w:r>
      <w:r w:rsidR="0007786F" w:rsidRPr="00F80535">
        <w:rPr>
          <w:rFonts w:ascii="CAIXA Std Book" w:hAnsi="CAIXA Std Book"/>
          <w:color w:val="005CA9"/>
          <w:sz w:val="16"/>
          <w:szCs w:val="16"/>
        </w:rPr>
        <w:t>/202</w:t>
      </w:r>
      <w:r w:rsidR="008F0560" w:rsidRPr="00F80535">
        <w:rPr>
          <w:rFonts w:ascii="CAIXA Std Book" w:hAnsi="CAIXA Std Book"/>
          <w:color w:val="005CA9"/>
          <w:sz w:val="16"/>
          <w:szCs w:val="16"/>
        </w:rPr>
        <w:t>3</w:t>
      </w:r>
      <w:r w:rsidR="0007786F" w:rsidRPr="00F80535">
        <w:rPr>
          <w:rFonts w:ascii="CAIXA Std Book" w:hAnsi="CAIXA Std Book"/>
          <w:color w:val="005CA9"/>
          <w:sz w:val="16"/>
          <w:szCs w:val="16"/>
        </w:rPr>
        <w:t xml:space="preserve"> e </w:t>
      </w:r>
      <w:r w:rsidR="00D50E23">
        <w:rPr>
          <w:rFonts w:ascii="CAIXA Std Book" w:hAnsi="CAIXA Std Book"/>
          <w:color w:val="005CA9"/>
          <w:sz w:val="16"/>
          <w:szCs w:val="16"/>
        </w:rPr>
        <w:t>31</w:t>
      </w:r>
      <w:r w:rsidR="002D2FCF" w:rsidRPr="00F80535">
        <w:rPr>
          <w:rFonts w:ascii="CAIXA Std Book" w:hAnsi="CAIXA Std Book"/>
          <w:color w:val="005CA9"/>
          <w:sz w:val="16"/>
          <w:szCs w:val="16"/>
        </w:rPr>
        <w:t>/</w:t>
      </w:r>
      <w:r w:rsidR="00F80535" w:rsidRPr="00F80535">
        <w:rPr>
          <w:rFonts w:ascii="CAIXA Std Book" w:hAnsi="CAIXA Std Book"/>
          <w:color w:val="005CA9"/>
          <w:sz w:val="16"/>
          <w:szCs w:val="16"/>
        </w:rPr>
        <w:t>0</w:t>
      </w:r>
      <w:r w:rsidR="00D50E23">
        <w:rPr>
          <w:rFonts w:ascii="CAIXA Std Book" w:hAnsi="CAIXA Std Book"/>
          <w:color w:val="005CA9"/>
          <w:sz w:val="16"/>
          <w:szCs w:val="16"/>
        </w:rPr>
        <w:t>3</w:t>
      </w:r>
      <w:r w:rsidR="002D2FCF" w:rsidRPr="00F80535">
        <w:rPr>
          <w:rFonts w:ascii="CAIXA Std Book" w:hAnsi="CAIXA Std Book"/>
          <w:color w:val="005CA9"/>
          <w:sz w:val="16"/>
          <w:szCs w:val="16"/>
        </w:rPr>
        <w:t>/</w:t>
      </w:r>
      <w:r w:rsidR="0007786F" w:rsidRPr="00F80535">
        <w:rPr>
          <w:rFonts w:ascii="CAIXA Std Book" w:hAnsi="CAIXA Std Book"/>
          <w:color w:val="005CA9"/>
          <w:sz w:val="16"/>
          <w:szCs w:val="16"/>
        </w:rPr>
        <w:t>20</w:t>
      </w:r>
      <w:r w:rsidR="00F80535" w:rsidRPr="00F80535">
        <w:rPr>
          <w:rFonts w:ascii="CAIXA Std Book" w:hAnsi="CAIXA Std Book"/>
          <w:color w:val="005CA9"/>
          <w:sz w:val="16"/>
          <w:szCs w:val="16"/>
        </w:rPr>
        <w:t>24</w:t>
      </w:r>
      <w:r w:rsidR="0007786F" w:rsidRPr="00FF4346">
        <w:rPr>
          <w:rFonts w:ascii="CAIXA Std Book" w:hAnsi="CAIXA Std Book"/>
          <w:color w:val="005CA9"/>
          <w:sz w:val="16"/>
          <w:szCs w:val="16"/>
        </w:rPr>
        <w:t>.</w:t>
      </w:r>
    </w:p>
    <w:p w14:paraId="603A99AB" w14:textId="6CF2E012" w:rsidR="005F303D" w:rsidRPr="008E67C0" w:rsidRDefault="005F303D" w:rsidP="005A596E">
      <w:pPr>
        <w:pStyle w:val="Ttulo1"/>
      </w:pPr>
      <w:bookmarkStart w:id="35" w:name="_Toc166594477"/>
      <w:r w:rsidRPr="008E67C0">
        <w:t>Nota   2 – Apresentação das</w:t>
      </w:r>
      <w:r w:rsidR="00AD3A2A" w:rsidRPr="008E67C0">
        <w:t xml:space="preserve"> demonstrações</w:t>
      </w:r>
      <w:r w:rsidR="00607592" w:rsidRPr="008E67C0">
        <w:t xml:space="preserve"> contábeis</w:t>
      </w:r>
      <w:bookmarkEnd w:id="35"/>
    </w:p>
    <w:p w14:paraId="4326233A" w14:textId="354115F9" w:rsidR="005F303D" w:rsidRPr="00FF4346" w:rsidRDefault="005F303D" w:rsidP="00B37B40">
      <w:pPr>
        <w:pStyle w:val="PargrafodaLista"/>
        <w:keepNext/>
        <w:numPr>
          <w:ilvl w:val="0"/>
          <w:numId w:val="14"/>
        </w:numPr>
        <w:spacing w:before="480" w:after="240"/>
        <w:contextualSpacing w:val="0"/>
        <w:jc w:val="both"/>
        <w:rPr>
          <w:rFonts w:ascii="CAIXA Std Book" w:hAnsi="CAIXA Std Book"/>
          <w:b/>
          <w:color w:val="005CA9"/>
          <w:sz w:val="20"/>
          <w:szCs w:val="20"/>
        </w:rPr>
      </w:pPr>
      <w:r w:rsidRPr="00FF4346">
        <w:rPr>
          <w:rFonts w:ascii="CAIXA Std Book" w:hAnsi="CAIXA Std Book"/>
          <w:b/>
          <w:color w:val="005CA9"/>
          <w:sz w:val="20"/>
          <w:szCs w:val="20"/>
        </w:rPr>
        <w:t>Contexto</w:t>
      </w:r>
    </w:p>
    <w:p w14:paraId="479FD2B7" w14:textId="285449B7" w:rsidR="00F31098" w:rsidRPr="00FF4346" w:rsidRDefault="00F31098" w:rsidP="00F31098">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As demonstrações contábeis individuais e consolidadas</w:t>
      </w:r>
      <w:r w:rsidR="00593F5C">
        <w:rPr>
          <w:rFonts w:ascii="CAIXA Std Book" w:hAnsi="CAIXA Std Book"/>
          <w:color w:val="005CA9"/>
          <w:sz w:val="20"/>
          <w:szCs w:val="20"/>
        </w:rPr>
        <w:t xml:space="preserve"> intermediárias condensadas</w:t>
      </w:r>
      <w:r w:rsidRPr="00FF4346">
        <w:rPr>
          <w:rFonts w:ascii="CAIXA Std Book" w:hAnsi="CAIXA Std Book"/>
          <w:color w:val="005CA9"/>
          <w:sz w:val="20"/>
          <w:szCs w:val="20"/>
        </w:rPr>
        <w:t xml:space="preserve"> da CAIXA são de responsabilidade da Administração</w:t>
      </w:r>
      <w:r w:rsidRPr="00616EE1">
        <w:rPr>
          <w:rFonts w:ascii="CAIXA Std Book" w:hAnsi="CAIXA Std Book"/>
          <w:color w:val="005CA9"/>
          <w:sz w:val="20"/>
          <w:szCs w:val="20"/>
        </w:rPr>
        <w:t xml:space="preserve"> </w:t>
      </w:r>
      <w:r w:rsidRPr="00FF4346">
        <w:rPr>
          <w:rFonts w:ascii="CAIXA Std Book" w:hAnsi="CAIXA Std Book"/>
          <w:color w:val="005CA9"/>
          <w:sz w:val="20"/>
          <w:szCs w:val="20"/>
        </w:rPr>
        <w:t xml:space="preserve">e foram aprovadas pelo Conselho Diretor em </w:t>
      </w:r>
      <w:r w:rsidR="000238FB">
        <w:rPr>
          <w:rFonts w:ascii="CAIXA Std Book" w:hAnsi="CAIXA Std Book"/>
          <w:color w:val="005CA9"/>
          <w:sz w:val="20"/>
          <w:szCs w:val="20"/>
        </w:rPr>
        <w:t>07/05/2024</w:t>
      </w:r>
      <w:r w:rsidRPr="00FF4346">
        <w:rPr>
          <w:rFonts w:ascii="CAIXA Std Book" w:hAnsi="CAIXA Std Book"/>
          <w:color w:val="005CA9"/>
          <w:sz w:val="20"/>
          <w:szCs w:val="20"/>
        </w:rPr>
        <w:t xml:space="preserve"> e pelo Conselho de Administração em </w:t>
      </w:r>
      <w:r w:rsidR="00B12ACE">
        <w:rPr>
          <w:rFonts w:ascii="CAIXA Std Book" w:hAnsi="CAIXA Std Book"/>
          <w:color w:val="005CA9"/>
          <w:sz w:val="20"/>
          <w:szCs w:val="20"/>
        </w:rPr>
        <w:t>10/05/2024</w:t>
      </w:r>
      <w:r>
        <w:rPr>
          <w:rFonts w:ascii="CAIXA Std Book" w:hAnsi="CAIXA Std Book"/>
          <w:color w:val="005CA9"/>
          <w:sz w:val="20"/>
          <w:szCs w:val="20"/>
        </w:rPr>
        <w:t>.</w:t>
      </w:r>
    </w:p>
    <w:p w14:paraId="24B15D83" w14:textId="26E09A30" w:rsidR="005F303D" w:rsidRPr="00FF4346" w:rsidRDefault="005F303D" w:rsidP="00B37B40">
      <w:pPr>
        <w:pStyle w:val="PargrafodaLista"/>
        <w:keepNext/>
        <w:numPr>
          <w:ilvl w:val="0"/>
          <w:numId w:val="14"/>
        </w:numPr>
        <w:spacing w:before="480" w:after="240"/>
        <w:contextualSpacing w:val="0"/>
        <w:jc w:val="both"/>
        <w:rPr>
          <w:rFonts w:ascii="CAIXA Std Book" w:hAnsi="CAIXA Std Book"/>
          <w:b/>
          <w:color w:val="005CA9"/>
          <w:sz w:val="20"/>
          <w:szCs w:val="20"/>
        </w:rPr>
      </w:pPr>
      <w:bookmarkStart w:id="36" w:name="_Hlk39168392"/>
      <w:r w:rsidRPr="00FF4346">
        <w:rPr>
          <w:rFonts w:ascii="CAIXA Std Book" w:hAnsi="CAIXA Std Book"/>
          <w:b/>
          <w:color w:val="005CA9"/>
          <w:sz w:val="20"/>
          <w:szCs w:val="20"/>
        </w:rPr>
        <w:lastRenderedPageBreak/>
        <w:t>Base de preparação e declaração de conformidade</w:t>
      </w:r>
    </w:p>
    <w:p w14:paraId="435D404F" w14:textId="07DD9BA2" w:rsidR="005F303D" w:rsidRPr="00FF4346" w:rsidRDefault="005F303D" w:rsidP="00A72DE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As</w:t>
      </w:r>
      <w:r w:rsidR="00AD3A2A" w:rsidRPr="00FF4346">
        <w:rPr>
          <w:rFonts w:ascii="CAIXA Std Book" w:hAnsi="CAIXA Std Book"/>
          <w:color w:val="005CA9"/>
          <w:sz w:val="20"/>
          <w:szCs w:val="20"/>
        </w:rPr>
        <w:t xml:space="preserve"> demonstrações</w:t>
      </w:r>
      <w:r w:rsidR="00607592" w:rsidRPr="00FF4346">
        <w:rPr>
          <w:rFonts w:ascii="CAIXA Std Book" w:hAnsi="CAIXA Std Book"/>
          <w:color w:val="005CA9"/>
          <w:sz w:val="20"/>
          <w:szCs w:val="20"/>
        </w:rPr>
        <w:t xml:space="preserve"> contábeis </w:t>
      </w:r>
      <w:r w:rsidRPr="00FF4346">
        <w:rPr>
          <w:rFonts w:ascii="CAIXA Std Book" w:hAnsi="CAIXA Std Book"/>
          <w:color w:val="005CA9"/>
          <w:sz w:val="20"/>
          <w:szCs w:val="20"/>
        </w:rPr>
        <w:t>da CAIXA foram elaboradas a partir das diretrizes contábeis emanadas</w:t>
      </w:r>
      <w:r w:rsidR="005C58E1" w:rsidRPr="00FF4346">
        <w:rPr>
          <w:rFonts w:ascii="CAIXA Std Book" w:hAnsi="CAIXA Std Book"/>
          <w:color w:val="005CA9"/>
          <w:sz w:val="20"/>
          <w:szCs w:val="20"/>
        </w:rPr>
        <w:t xml:space="preserve"> </w:t>
      </w:r>
      <w:r w:rsidRPr="00FF4346">
        <w:rPr>
          <w:rFonts w:ascii="CAIXA Std Book" w:hAnsi="CAIXA Std Book"/>
          <w:color w:val="005CA9"/>
          <w:sz w:val="20"/>
          <w:szCs w:val="20"/>
        </w:rPr>
        <w:t>das Leis</w:t>
      </w:r>
      <w:r w:rsidR="00C56248" w:rsidRPr="00FF4346">
        <w:rPr>
          <w:rFonts w:ascii="CAIXA Std Book" w:hAnsi="CAIXA Std Book"/>
          <w:color w:val="005CA9"/>
          <w:sz w:val="20"/>
          <w:szCs w:val="20"/>
        </w:rPr>
        <w:t xml:space="preserve"> </w:t>
      </w:r>
      <w:r w:rsidRPr="00FF4346">
        <w:rPr>
          <w:rFonts w:ascii="CAIXA Std Book" w:hAnsi="CAIXA Std Book"/>
          <w:color w:val="005CA9"/>
          <w:sz w:val="20"/>
          <w:szCs w:val="20"/>
        </w:rPr>
        <w:t>n</w:t>
      </w:r>
      <w:r w:rsidR="0003593F" w:rsidRPr="00FF4346">
        <w:rPr>
          <w:rFonts w:ascii="CAIXA Std Book" w:hAnsi="CAIXA Std Book"/>
          <w:color w:val="005CA9"/>
          <w:sz w:val="20"/>
          <w:szCs w:val="20"/>
        </w:rPr>
        <w:t>°</w:t>
      </w:r>
      <w:r w:rsidRPr="00FF4346">
        <w:rPr>
          <w:rFonts w:ascii="CAIXA Std Book" w:hAnsi="CAIXA Std Book"/>
          <w:color w:val="005CA9"/>
          <w:sz w:val="20"/>
          <w:szCs w:val="20"/>
        </w:rPr>
        <w:t xml:space="preserve"> 4.595/</w:t>
      </w:r>
      <w:r w:rsidR="00863E28" w:rsidRPr="00FF4346">
        <w:rPr>
          <w:rFonts w:ascii="CAIXA Std Book" w:hAnsi="CAIXA Std Book"/>
          <w:color w:val="005CA9"/>
          <w:sz w:val="20"/>
          <w:szCs w:val="20"/>
        </w:rPr>
        <w:t>19</w:t>
      </w:r>
      <w:r w:rsidRPr="00FF4346">
        <w:rPr>
          <w:rFonts w:ascii="CAIXA Std Book" w:hAnsi="CAIXA Std Book"/>
          <w:color w:val="005CA9"/>
          <w:sz w:val="20"/>
          <w:szCs w:val="20"/>
        </w:rPr>
        <w:t>64 (Lei do Sistema Financeiro Nacional) e n</w:t>
      </w:r>
      <w:r w:rsidR="0003593F" w:rsidRPr="00FF4346">
        <w:rPr>
          <w:rFonts w:ascii="CAIXA Std Book" w:hAnsi="CAIXA Std Book"/>
          <w:color w:val="005CA9"/>
          <w:sz w:val="20"/>
          <w:szCs w:val="20"/>
        </w:rPr>
        <w:t>°</w:t>
      </w:r>
      <w:r w:rsidRPr="00FF4346">
        <w:rPr>
          <w:rFonts w:ascii="CAIXA Std Book" w:hAnsi="CAIXA Std Book"/>
          <w:color w:val="005CA9"/>
          <w:sz w:val="20"/>
          <w:szCs w:val="20"/>
        </w:rPr>
        <w:t xml:space="preserve"> 6.404/</w:t>
      </w:r>
      <w:r w:rsidR="00863E28" w:rsidRPr="00FF4346">
        <w:rPr>
          <w:rFonts w:ascii="CAIXA Std Book" w:hAnsi="CAIXA Std Book"/>
          <w:color w:val="005CA9"/>
          <w:sz w:val="20"/>
          <w:szCs w:val="20"/>
        </w:rPr>
        <w:t>19</w:t>
      </w:r>
      <w:r w:rsidRPr="00FF4346">
        <w:rPr>
          <w:rFonts w:ascii="CAIXA Std Book" w:hAnsi="CAIXA Std Book"/>
          <w:color w:val="005CA9"/>
          <w:sz w:val="20"/>
          <w:szCs w:val="20"/>
        </w:rPr>
        <w:t>76 (Lei das Sociedades por Ações)</w:t>
      </w:r>
      <w:r w:rsidR="005B6E60" w:rsidRPr="00FF4346">
        <w:rPr>
          <w:rFonts w:ascii="CAIXA Std Book" w:hAnsi="CAIXA Std Book"/>
          <w:color w:val="005CA9"/>
          <w:sz w:val="20"/>
          <w:szCs w:val="20"/>
        </w:rPr>
        <w:t xml:space="preserve"> </w:t>
      </w:r>
      <w:r w:rsidR="009E5CCA" w:rsidRPr="00FF4346">
        <w:rPr>
          <w:rFonts w:ascii="CAIXA Std Book" w:hAnsi="CAIXA Std Book"/>
          <w:color w:val="005CA9"/>
          <w:sz w:val="20"/>
          <w:szCs w:val="20"/>
        </w:rPr>
        <w:t xml:space="preserve">e em conformidade </w:t>
      </w:r>
      <w:r w:rsidRPr="00FF4346">
        <w:rPr>
          <w:rFonts w:ascii="CAIXA Std Book" w:hAnsi="CAIXA Std Book"/>
          <w:color w:val="005CA9"/>
          <w:sz w:val="20"/>
          <w:szCs w:val="20"/>
        </w:rPr>
        <w:t xml:space="preserve">com </w:t>
      </w:r>
      <w:r w:rsidR="009E5CCA" w:rsidRPr="00FF4346">
        <w:rPr>
          <w:rFonts w:ascii="CAIXA Std Book" w:hAnsi="CAIXA Std Book"/>
          <w:color w:val="005CA9"/>
          <w:sz w:val="20"/>
          <w:szCs w:val="20"/>
        </w:rPr>
        <w:t xml:space="preserve">a regulamentação emanada </w:t>
      </w:r>
      <w:r w:rsidRPr="00FF4346">
        <w:rPr>
          <w:rFonts w:ascii="CAIXA Std Book" w:hAnsi="CAIXA Std Book"/>
          <w:color w:val="005CA9"/>
          <w:sz w:val="20"/>
          <w:szCs w:val="20"/>
        </w:rPr>
        <w:t>do Conselho Monetário Nacional (CMN)</w:t>
      </w:r>
      <w:r w:rsidR="00895393" w:rsidRPr="00FF4346">
        <w:rPr>
          <w:rFonts w:ascii="CAIXA Std Book" w:hAnsi="CAIXA Std Book"/>
          <w:color w:val="005CA9"/>
          <w:sz w:val="20"/>
          <w:szCs w:val="20"/>
        </w:rPr>
        <w:t xml:space="preserve"> – Resolução CMN</w:t>
      </w:r>
      <w:r w:rsidR="003F2C5E" w:rsidRPr="00FF4346">
        <w:rPr>
          <w:rFonts w:ascii="CAIXA Std Book" w:hAnsi="CAIXA Std Book"/>
          <w:color w:val="005CA9"/>
          <w:sz w:val="20"/>
          <w:szCs w:val="20"/>
        </w:rPr>
        <w:t xml:space="preserve"> </w:t>
      </w:r>
      <w:r w:rsidR="00895393" w:rsidRPr="00FF4346">
        <w:rPr>
          <w:rFonts w:ascii="CAIXA Std Book" w:hAnsi="CAIXA Std Book"/>
          <w:color w:val="005CA9"/>
          <w:sz w:val="20"/>
          <w:szCs w:val="20"/>
        </w:rPr>
        <w:t>nº 4.818/2020</w:t>
      </w:r>
      <w:r w:rsidRPr="00FF4346">
        <w:rPr>
          <w:rFonts w:ascii="CAIXA Std Book" w:hAnsi="CAIXA Std Book"/>
          <w:color w:val="005CA9"/>
          <w:sz w:val="20"/>
          <w:szCs w:val="20"/>
        </w:rPr>
        <w:t>, do Banco Central do Brasil (B</w:t>
      </w:r>
      <w:r w:rsidR="00A56F7A" w:rsidRPr="00FF4346">
        <w:rPr>
          <w:rFonts w:ascii="CAIXA Std Book" w:hAnsi="CAIXA Std Book"/>
          <w:color w:val="005CA9"/>
          <w:sz w:val="20"/>
          <w:szCs w:val="20"/>
        </w:rPr>
        <w:t>acen</w:t>
      </w:r>
      <w:r w:rsidRPr="00FF4346">
        <w:rPr>
          <w:rFonts w:ascii="CAIXA Std Book" w:hAnsi="CAIXA Std Book"/>
          <w:color w:val="005CA9"/>
          <w:sz w:val="20"/>
          <w:szCs w:val="20"/>
        </w:rPr>
        <w:t>)</w:t>
      </w:r>
      <w:r w:rsidR="00895393" w:rsidRPr="00FF4346">
        <w:rPr>
          <w:rFonts w:ascii="CAIXA Std Book" w:hAnsi="CAIXA Std Book"/>
          <w:color w:val="005CA9"/>
          <w:sz w:val="20"/>
          <w:szCs w:val="20"/>
        </w:rPr>
        <w:t xml:space="preserve"> – Resolução BCB nº 2/2020</w:t>
      </w:r>
      <w:r w:rsidRPr="00FF4346">
        <w:rPr>
          <w:rFonts w:ascii="CAIXA Std Book" w:hAnsi="CAIXA Std Book"/>
          <w:color w:val="005CA9"/>
          <w:sz w:val="20"/>
          <w:szCs w:val="20"/>
        </w:rPr>
        <w:t>,</w:t>
      </w:r>
      <w:r w:rsidR="009E5CCA" w:rsidRPr="00FF4346">
        <w:rPr>
          <w:rFonts w:ascii="CAIXA Std Book" w:hAnsi="CAIXA Std Book"/>
          <w:color w:val="005CA9"/>
          <w:sz w:val="20"/>
          <w:szCs w:val="20"/>
        </w:rPr>
        <w:t xml:space="preserve"> </w:t>
      </w:r>
      <w:r w:rsidRPr="00FF4346">
        <w:rPr>
          <w:rFonts w:ascii="CAIXA Std Book" w:hAnsi="CAIXA Std Book"/>
          <w:color w:val="005CA9"/>
          <w:sz w:val="20"/>
          <w:szCs w:val="20"/>
        </w:rPr>
        <w:t>do Conselho Federal de Contabilidade (CFC) e das práticas contábeis adotadas no Brasil.</w:t>
      </w:r>
    </w:p>
    <w:p w14:paraId="1885BD42" w14:textId="7328B152" w:rsidR="00FA6E88" w:rsidRPr="00FF4346" w:rsidRDefault="005F303D" w:rsidP="00A72DE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As</w:t>
      </w:r>
      <w:r w:rsidR="00AD3A2A" w:rsidRPr="00FF4346">
        <w:rPr>
          <w:rFonts w:ascii="CAIXA Std Book" w:hAnsi="CAIXA Std Book"/>
          <w:color w:val="005CA9"/>
          <w:sz w:val="20"/>
          <w:szCs w:val="20"/>
        </w:rPr>
        <w:t xml:space="preserve"> demonstrações</w:t>
      </w:r>
      <w:r w:rsidR="00607592" w:rsidRPr="00FF4346">
        <w:rPr>
          <w:rFonts w:ascii="CAIXA Std Book" w:hAnsi="CAIXA Std Book"/>
          <w:color w:val="005CA9"/>
          <w:sz w:val="20"/>
          <w:szCs w:val="20"/>
        </w:rPr>
        <w:t xml:space="preserve"> contábeis</w:t>
      </w:r>
      <w:r w:rsidR="00C23B9C" w:rsidRPr="00FF4346">
        <w:rPr>
          <w:rFonts w:ascii="CAIXA Std Book" w:hAnsi="CAIXA Std Book"/>
          <w:color w:val="005CA9"/>
          <w:sz w:val="20"/>
          <w:szCs w:val="20"/>
        </w:rPr>
        <w:t xml:space="preserve"> </w:t>
      </w:r>
      <w:r w:rsidRPr="00FF4346">
        <w:rPr>
          <w:rFonts w:ascii="CAIXA Std Book" w:hAnsi="CAIXA Std Book"/>
          <w:color w:val="005CA9"/>
          <w:sz w:val="20"/>
          <w:szCs w:val="20"/>
        </w:rPr>
        <w:t>são apresentadas em reais e todos os valores arredondados para milhares de reais, exceto quando indicado de outra forma.</w:t>
      </w:r>
    </w:p>
    <w:bookmarkEnd w:id="36"/>
    <w:p w14:paraId="748BE455" w14:textId="719F9CBB" w:rsidR="009959B1" w:rsidRPr="00FF4346" w:rsidRDefault="001E62D1" w:rsidP="001E62D1">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As práticas contábeis adotadas no Brasil envolvem julgamento pela Administração quanto a estimativas e premissas relativas à mensuração de provisões para perdas associadas ao risco de crédito; ativos fiscais diferidos; valor justo de determinados instrumentos financeiros; provis</w:t>
      </w:r>
      <w:r w:rsidR="003717CF" w:rsidRPr="00FF4346">
        <w:rPr>
          <w:rFonts w:ascii="CAIXA Std Book" w:hAnsi="CAIXA Std Book"/>
          <w:color w:val="005CA9"/>
          <w:sz w:val="20"/>
          <w:szCs w:val="20"/>
        </w:rPr>
        <w:t>ões</w:t>
      </w:r>
      <w:r w:rsidRPr="00FF4346">
        <w:rPr>
          <w:rFonts w:ascii="CAIXA Std Book" w:hAnsi="CAIXA Std Book"/>
          <w:color w:val="005CA9"/>
          <w:sz w:val="20"/>
          <w:szCs w:val="20"/>
        </w:rPr>
        <w:t xml:space="preserve"> para causas judiciais cíveis, trabalhistas e fiscais; provisões para </w:t>
      </w:r>
      <w:r w:rsidR="003717CF" w:rsidRPr="00FF4346">
        <w:rPr>
          <w:rFonts w:ascii="CAIXA Std Book" w:hAnsi="CAIXA Std Book"/>
          <w:color w:val="005CA9"/>
          <w:sz w:val="20"/>
          <w:szCs w:val="20"/>
        </w:rPr>
        <w:t xml:space="preserve">perdas por </w:t>
      </w:r>
      <w:r w:rsidRPr="00FF4346">
        <w:rPr>
          <w:rFonts w:ascii="CAIXA Std Book" w:hAnsi="CAIXA Std Book"/>
          <w:color w:val="005CA9"/>
          <w:sz w:val="20"/>
          <w:szCs w:val="20"/>
        </w:rPr>
        <w:t>redução ao valor recuperável de ativos financeiros e não financeiros; planos de previdência complementar; ativos e passivos relacionados a benefícios pós-emprego; e determinação da vida útil de alguns ativos. Os valores definitivos podem ser diferentes daqueles estabelecidos por essas estimativas e premissas e serão conhecidos por ocasião da sua liquidação ou em virtude da revisão das metodologias adotadas. A sensibilidade dos valores contábeis às estimativas não apresenta relevante disparidade e as estimativas são avaliadas periodicamente. A natureza e o valor contábil dos ativos e passivos são apresentados nas respectivas notas explicativas.</w:t>
      </w:r>
    </w:p>
    <w:p w14:paraId="4E38E8F3" w14:textId="7086556D" w:rsidR="005F303D" w:rsidRPr="00FF4346" w:rsidRDefault="005F303D" w:rsidP="00B37B40">
      <w:pPr>
        <w:keepNext/>
        <w:numPr>
          <w:ilvl w:val="0"/>
          <w:numId w:val="14"/>
        </w:numPr>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t>Consolidação</w:t>
      </w:r>
    </w:p>
    <w:p w14:paraId="72F75CBD" w14:textId="7AABE19C" w:rsidR="003A6148" w:rsidRDefault="003A6148" w:rsidP="002C1293">
      <w:pPr>
        <w:spacing w:before="120" w:after="120"/>
        <w:jc w:val="both"/>
        <w:rPr>
          <w:rFonts w:ascii="CAIXA Std Book" w:hAnsi="CAIXA Std Book"/>
          <w:color w:val="005CA9"/>
          <w:sz w:val="20"/>
          <w:szCs w:val="20"/>
        </w:rPr>
      </w:pPr>
      <w:r w:rsidRPr="003A6148">
        <w:rPr>
          <w:rFonts w:ascii="CAIXA Std Book" w:hAnsi="CAIXA Std Book"/>
          <w:color w:val="005CA9"/>
          <w:sz w:val="20"/>
          <w:szCs w:val="20"/>
        </w:rPr>
        <w:t xml:space="preserve">As demonstrações contábeis </w:t>
      </w:r>
      <w:r w:rsidR="00106272">
        <w:rPr>
          <w:rFonts w:ascii="CAIXA Std Book" w:hAnsi="CAIXA Std Book"/>
          <w:color w:val="005CA9"/>
          <w:sz w:val="20"/>
          <w:szCs w:val="20"/>
        </w:rPr>
        <w:t>condensadas</w:t>
      </w:r>
      <w:r w:rsidRPr="003A6148">
        <w:rPr>
          <w:rFonts w:ascii="CAIXA Std Book" w:hAnsi="CAIXA Std Book"/>
          <w:color w:val="005CA9"/>
          <w:sz w:val="20"/>
          <w:szCs w:val="20"/>
        </w:rPr>
        <w:t xml:space="preserve"> incluem a CAIXA e as entidades controladas: Caixa Loterias, Caixa Cartões, Caixa Seguridade, Caixa </w:t>
      </w:r>
      <w:proofErr w:type="spellStart"/>
      <w:r w:rsidRPr="003A6148">
        <w:rPr>
          <w:rFonts w:ascii="CAIXA Std Book" w:hAnsi="CAIXA Std Book"/>
          <w:color w:val="005CA9"/>
          <w:sz w:val="20"/>
          <w:szCs w:val="20"/>
        </w:rPr>
        <w:t>Asset</w:t>
      </w:r>
      <w:proofErr w:type="spellEnd"/>
      <w:r w:rsidRPr="003A6148">
        <w:rPr>
          <w:rFonts w:ascii="CAIXA Std Book" w:hAnsi="CAIXA Std Book"/>
          <w:color w:val="005CA9"/>
          <w:sz w:val="20"/>
          <w:szCs w:val="20"/>
        </w:rPr>
        <w:t>, o Fundo de Investimento Caixa Ibirapuera Renda Fixa e o Fundo de Investimento em Direitos Creditórios ACR IV. Destacamos que o Fundo de Investimento em Direitos Creditórios Stone III, anteriormente consolidado no conglomerado, realizou a amortização integral das cotas Seniores de titularidade da CAIXA em agosto de 2023, e, portanto, deixou de fazer parte do conglomerado CAIXA a partir de setembro de 2023.</w:t>
      </w:r>
    </w:p>
    <w:p w14:paraId="67423EA7" w14:textId="3B72EF3D" w:rsidR="002C1293" w:rsidRDefault="002C1293" w:rsidP="002C1293">
      <w:pPr>
        <w:spacing w:before="120" w:after="120"/>
        <w:jc w:val="both"/>
        <w:rPr>
          <w:rFonts w:ascii="CAIXA Std Book" w:hAnsi="CAIXA Std Book"/>
          <w:color w:val="005CA9"/>
          <w:sz w:val="20"/>
          <w:szCs w:val="20"/>
        </w:rPr>
      </w:pPr>
      <w:r w:rsidRPr="002C1293">
        <w:rPr>
          <w:rFonts w:ascii="CAIXA Std Book" w:hAnsi="CAIXA Std Book"/>
          <w:color w:val="005CA9"/>
          <w:sz w:val="20"/>
          <w:szCs w:val="20"/>
        </w:rPr>
        <w:t xml:space="preserve">As demonstrações </w:t>
      </w:r>
      <w:r w:rsidR="00057ED1">
        <w:rPr>
          <w:rFonts w:ascii="CAIXA Std Book" w:hAnsi="CAIXA Std Book"/>
          <w:color w:val="005CA9"/>
          <w:sz w:val="20"/>
          <w:szCs w:val="20"/>
        </w:rPr>
        <w:t>contábei</w:t>
      </w:r>
      <w:r w:rsidRPr="002C1293">
        <w:rPr>
          <w:rFonts w:ascii="CAIXA Std Book" w:hAnsi="CAIXA Std Book"/>
          <w:color w:val="005CA9"/>
          <w:sz w:val="20"/>
          <w:szCs w:val="20"/>
        </w:rPr>
        <w:t>s consolidadas</w:t>
      </w:r>
      <w:r w:rsidR="00AC2C09">
        <w:rPr>
          <w:rFonts w:ascii="CAIXA Std Book" w:hAnsi="CAIXA Std Book"/>
          <w:color w:val="005CA9"/>
          <w:sz w:val="20"/>
          <w:szCs w:val="20"/>
        </w:rPr>
        <w:t xml:space="preserve"> </w:t>
      </w:r>
      <w:r w:rsidR="00AC2C09" w:rsidRPr="002C1293">
        <w:rPr>
          <w:rFonts w:ascii="CAIXA Std Book" w:hAnsi="CAIXA Std Book"/>
          <w:color w:val="005CA9"/>
          <w:sz w:val="20"/>
          <w:szCs w:val="20"/>
        </w:rPr>
        <w:t>condensadas</w:t>
      </w:r>
      <w:r w:rsidRPr="002C1293">
        <w:rPr>
          <w:rFonts w:ascii="CAIXA Std Book" w:hAnsi="CAIXA Std Book"/>
          <w:color w:val="005CA9"/>
          <w:sz w:val="20"/>
          <w:szCs w:val="20"/>
        </w:rPr>
        <w:t xml:space="preserve"> para o período findo em 31 de março de 202</w:t>
      </w:r>
      <w:r>
        <w:rPr>
          <w:rFonts w:ascii="CAIXA Std Book" w:hAnsi="CAIXA Std Book"/>
          <w:color w:val="005CA9"/>
          <w:sz w:val="20"/>
          <w:szCs w:val="20"/>
        </w:rPr>
        <w:t>4</w:t>
      </w:r>
      <w:r w:rsidRPr="002C1293">
        <w:rPr>
          <w:rFonts w:ascii="CAIXA Std Book" w:hAnsi="CAIXA Std Book"/>
          <w:color w:val="005CA9"/>
          <w:sz w:val="20"/>
          <w:szCs w:val="20"/>
        </w:rPr>
        <w:t xml:space="preserve">, foram elaboradas de acordo com as práticas contábeis adotadas no Brasil aplicáveis às instituições autorizadas a funcionar pelo Banco Central do Brasil (BACEN), e estão sendo apresentadas de maneira adicional, conforme faculdade prevista no </w:t>
      </w:r>
      <w:proofErr w:type="spellStart"/>
      <w:r w:rsidRPr="002C1293">
        <w:rPr>
          <w:rFonts w:ascii="CAIXA Std Book" w:hAnsi="CAIXA Std Book"/>
          <w:color w:val="005CA9"/>
          <w:sz w:val="20"/>
          <w:szCs w:val="20"/>
        </w:rPr>
        <w:t>Art.nº</w:t>
      </w:r>
      <w:proofErr w:type="spellEnd"/>
      <w:r w:rsidRPr="002C1293">
        <w:rPr>
          <w:rFonts w:ascii="CAIXA Std Book" w:hAnsi="CAIXA Std Book"/>
          <w:color w:val="005CA9"/>
          <w:sz w:val="20"/>
          <w:szCs w:val="20"/>
        </w:rPr>
        <w:t xml:space="preserve"> 77 da Resolução CMN nº 4.966/2021, às demonstrações financeiras consolidadas a serem preparadas de acordo com as Normas Internacionais de Relatório Financeiro (IFRS) emitidas pelo </w:t>
      </w:r>
      <w:proofErr w:type="spellStart"/>
      <w:r w:rsidRPr="002C1293">
        <w:rPr>
          <w:rFonts w:ascii="CAIXA Std Book" w:hAnsi="CAIXA Std Book"/>
          <w:color w:val="005CA9"/>
          <w:sz w:val="20"/>
          <w:szCs w:val="20"/>
        </w:rPr>
        <w:t>International</w:t>
      </w:r>
      <w:proofErr w:type="spellEnd"/>
      <w:r w:rsidRPr="002C1293">
        <w:rPr>
          <w:rFonts w:ascii="CAIXA Std Book" w:hAnsi="CAIXA Std Book"/>
          <w:color w:val="005CA9"/>
          <w:sz w:val="20"/>
          <w:szCs w:val="20"/>
        </w:rPr>
        <w:t xml:space="preserve"> </w:t>
      </w:r>
      <w:proofErr w:type="spellStart"/>
      <w:r w:rsidRPr="002C1293">
        <w:rPr>
          <w:rFonts w:ascii="CAIXA Std Book" w:hAnsi="CAIXA Std Book"/>
          <w:color w:val="005CA9"/>
          <w:sz w:val="20"/>
          <w:szCs w:val="20"/>
        </w:rPr>
        <w:t>Accounting</w:t>
      </w:r>
      <w:proofErr w:type="spellEnd"/>
      <w:r w:rsidRPr="002C1293">
        <w:rPr>
          <w:rFonts w:ascii="CAIXA Std Book" w:hAnsi="CAIXA Std Book"/>
          <w:color w:val="005CA9"/>
          <w:sz w:val="20"/>
          <w:szCs w:val="20"/>
        </w:rPr>
        <w:t xml:space="preserve"> Standards Board (IASB).</w:t>
      </w:r>
    </w:p>
    <w:p w14:paraId="01EE3CC0" w14:textId="25AC66CB" w:rsidR="00E363EB" w:rsidRDefault="00E363EB" w:rsidP="00B922E9">
      <w:pPr>
        <w:spacing w:before="120" w:after="120"/>
        <w:jc w:val="both"/>
        <w:rPr>
          <w:rFonts w:ascii="CAIXA Std Book" w:hAnsi="CAIXA Std Book"/>
          <w:color w:val="005CA9"/>
          <w:sz w:val="20"/>
          <w:szCs w:val="20"/>
        </w:rPr>
      </w:pPr>
      <w:r w:rsidRPr="00E363EB">
        <w:rPr>
          <w:rFonts w:ascii="CAIXA Std Book" w:hAnsi="CAIXA Std Book"/>
          <w:color w:val="005CA9"/>
          <w:sz w:val="20"/>
          <w:szCs w:val="20"/>
        </w:rPr>
        <w:t xml:space="preserve">As demonstrações contábeis da CAIXA Loterias, da CAIXA Cartões, da CAIXA Seguridade, da CAIXA DTVM, </w:t>
      </w:r>
      <w:r w:rsidRPr="00D64DAB">
        <w:rPr>
          <w:rFonts w:ascii="CAIXA Std Book" w:hAnsi="CAIXA Std Book"/>
          <w:color w:val="005CA9"/>
          <w:sz w:val="20"/>
          <w:szCs w:val="20"/>
        </w:rPr>
        <w:t xml:space="preserve">do FIDC </w:t>
      </w:r>
      <w:r w:rsidR="00D64DAB" w:rsidRPr="00D64DAB">
        <w:rPr>
          <w:rFonts w:ascii="CAIXA Std Book" w:hAnsi="CAIXA Std Book"/>
          <w:color w:val="005CA9"/>
          <w:sz w:val="20"/>
          <w:szCs w:val="20"/>
        </w:rPr>
        <w:t>ACR IV</w:t>
      </w:r>
      <w:r w:rsidRPr="00E363EB">
        <w:rPr>
          <w:rFonts w:ascii="CAIXA Std Book" w:hAnsi="CAIXA Std Book"/>
          <w:color w:val="005CA9"/>
          <w:sz w:val="20"/>
          <w:szCs w:val="20"/>
        </w:rPr>
        <w:t>, do FI CAIXA Ibirapuera e da CAIXA são preparadas utilizando práticas contábeis consistentes, quando há diferença são feitos ajustes de modo a convergir às práticas contábeis da CAIXA. As participações em entidades sob controle conjunto e os investimentos em coligadas são contabilizados pelo método da equivalência patrimonial (MEP).</w:t>
      </w:r>
    </w:p>
    <w:p w14:paraId="07E82752" w14:textId="216D875A" w:rsidR="00B922E9" w:rsidRPr="00B922E9" w:rsidRDefault="00B922E9" w:rsidP="00B922E9">
      <w:pPr>
        <w:spacing w:before="120" w:after="120"/>
        <w:jc w:val="both"/>
        <w:rPr>
          <w:rFonts w:ascii="CAIXA Std Book" w:hAnsi="CAIXA Std Book"/>
          <w:color w:val="005CA9"/>
          <w:sz w:val="20"/>
          <w:szCs w:val="20"/>
        </w:rPr>
      </w:pPr>
      <w:r w:rsidRPr="00B922E9">
        <w:rPr>
          <w:rFonts w:ascii="CAIXA Std Book" w:hAnsi="CAIXA Std Book"/>
          <w:color w:val="005CA9"/>
          <w:sz w:val="20"/>
          <w:szCs w:val="20"/>
        </w:rPr>
        <w:t>O resultado das subsidiárias adquiridas ou alienadas durante o período é incluído nas demonstrações condensadas consolidadas do resultado a partir da data da aquisição ou até a data da alienação. O custo de aquisição de uma controlada é mensurado pelo valor justo dos ativos ofertados, dos instrumentos patrimoniais emitidos e dos passivos incorridos ou assumidos na data da troca.</w:t>
      </w:r>
    </w:p>
    <w:p w14:paraId="341AFDF9" w14:textId="77777777" w:rsidR="00616EE1" w:rsidRDefault="00616EE1">
      <w:pPr>
        <w:rPr>
          <w:rFonts w:ascii="CAIXA Std Book" w:hAnsi="CAIXA Std Book"/>
          <w:color w:val="005CA9"/>
          <w:sz w:val="20"/>
          <w:szCs w:val="20"/>
        </w:rPr>
      </w:pPr>
      <w:r>
        <w:rPr>
          <w:rFonts w:ascii="CAIXA Std Book" w:hAnsi="CAIXA Std Book"/>
          <w:color w:val="005CA9"/>
          <w:sz w:val="20"/>
          <w:szCs w:val="20"/>
        </w:rPr>
        <w:br w:type="page"/>
      </w:r>
    </w:p>
    <w:p w14:paraId="703933BA" w14:textId="27B3B45C" w:rsidR="00B922E9" w:rsidRPr="00B922E9" w:rsidRDefault="00B922E9" w:rsidP="00B922E9">
      <w:pPr>
        <w:spacing w:before="120" w:after="120"/>
        <w:jc w:val="both"/>
        <w:rPr>
          <w:rFonts w:ascii="CAIXA Std Book" w:hAnsi="CAIXA Std Book"/>
          <w:color w:val="005CA9"/>
          <w:sz w:val="20"/>
          <w:szCs w:val="20"/>
        </w:rPr>
      </w:pPr>
      <w:r w:rsidRPr="00B922E9">
        <w:rPr>
          <w:rFonts w:ascii="CAIXA Std Book" w:hAnsi="CAIXA Std Book"/>
          <w:color w:val="005CA9"/>
          <w:sz w:val="20"/>
          <w:szCs w:val="20"/>
        </w:rPr>
        <w:lastRenderedPageBreak/>
        <w:t>Os ativos identificáveis adquiridos, as contingências e os passivos assumidos em uma combinação de negócios são inicialmente mensurados pelo seu valor justo na data de aquisição, independente da proporção de qualquer participação na investida. O valor excedente do custo de aquisição dos ativos líquidos identificáveis em relação ao valor justo de participação é registrado como ágio fundamentado em rentabilidade futura. Quando o custo de aquisição for menor do que o valor justo dos ativos líquidos da controlada adquirida, a CAIXA reconhece a diferença diretamente no resultado.</w:t>
      </w:r>
    </w:p>
    <w:p w14:paraId="39EBA885" w14:textId="1118C66D" w:rsidR="007E0B08" w:rsidRPr="00FF4346" w:rsidRDefault="007E0B08" w:rsidP="00DB1AE5">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As empresas </w:t>
      </w:r>
      <w:r w:rsidR="002F13AB" w:rsidRPr="00FF4346">
        <w:rPr>
          <w:rFonts w:ascii="CAIXA Std Book" w:hAnsi="CAIXA Std Book"/>
          <w:color w:val="005CA9"/>
          <w:sz w:val="20"/>
          <w:szCs w:val="20"/>
        </w:rPr>
        <w:t xml:space="preserve">em </w:t>
      </w:r>
      <w:r w:rsidRPr="00FF4346">
        <w:rPr>
          <w:rFonts w:ascii="CAIXA Std Book" w:hAnsi="CAIXA Std Book"/>
          <w:color w:val="005CA9"/>
          <w:sz w:val="20"/>
          <w:szCs w:val="20"/>
        </w:rPr>
        <w:t xml:space="preserve">que o conglomerado CAIXA </w:t>
      </w:r>
      <w:r w:rsidR="006C4108" w:rsidRPr="00FF4346">
        <w:rPr>
          <w:rFonts w:ascii="CAIXA Std Book" w:hAnsi="CAIXA Std Book"/>
          <w:color w:val="005CA9"/>
          <w:sz w:val="20"/>
          <w:szCs w:val="20"/>
        </w:rPr>
        <w:t xml:space="preserve">possui </w:t>
      </w:r>
      <w:r w:rsidRPr="00FF4346">
        <w:rPr>
          <w:rFonts w:ascii="CAIXA Std Book" w:hAnsi="CAIXA Std Book"/>
          <w:color w:val="005CA9"/>
          <w:sz w:val="20"/>
          <w:szCs w:val="20"/>
        </w:rPr>
        <w:t xml:space="preserve">participação direta ou indireta e que estão incluídas nas demonstrações </w:t>
      </w:r>
      <w:r w:rsidR="00D57938">
        <w:rPr>
          <w:rFonts w:ascii="CAIXA Std Book" w:hAnsi="CAIXA Std Book"/>
          <w:color w:val="005CA9"/>
          <w:sz w:val="20"/>
          <w:szCs w:val="20"/>
        </w:rPr>
        <w:t>condensadas</w:t>
      </w:r>
      <w:r w:rsidR="00845316" w:rsidRPr="00FF4346">
        <w:rPr>
          <w:rFonts w:ascii="CAIXA Std Book" w:hAnsi="CAIXA Std Book"/>
          <w:color w:val="005CA9"/>
          <w:sz w:val="20"/>
          <w:szCs w:val="20"/>
        </w:rPr>
        <w:t xml:space="preserve"> são apresentadas nas Notas </w:t>
      </w:r>
      <w:r w:rsidR="00B3615A" w:rsidRPr="00FF4346">
        <w:rPr>
          <w:rFonts w:ascii="CAIXA Std Book" w:hAnsi="CAIXA Std Book"/>
          <w:color w:val="005CA9"/>
          <w:sz w:val="20"/>
          <w:szCs w:val="20"/>
        </w:rPr>
        <w:t xml:space="preserve">Explicativas </w:t>
      </w:r>
      <w:r w:rsidR="00845316" w:rsidRPr="00FF4346">
        <w:rPr>
          <w:rFonts w:ascii="CAIXA Std Book" w:hAnsi="CAIXA Std Book"/>
          <w:color w:val="005CA9"/>
          <w:sz w:val="20"/>
          <w:szCs w:val="20"/>
        </w:rPr>
        <w:t>1</w:t>
      </w:r>
      <w:r w:rsidR="00F80EBA" w:rsidRPr="00FF4346">
        <w:rPr>
          <w:rFonts w:ascii="CAIXA Std Book" w:hAnsi="CAIXA Std Book"/>
          <w:color w:val="005CA9"/>
          <w:sz w:val="20"/>
          <w:szCs w:val="20"/>
        </w:rPr>
        <w:t>1</w:t>
      </w:r>
      <w:r w:rsidR="00845316" w:rsidRPr="00FF4346">
        <w:rPr>
          <w:rFonts w:ascii="CAIXA Std Book" w:hAnsi="CAIXA Std Book"/>
          <w:color w:val="005CA9"/>
          <w:sz w:val="20"/>
          <w:szCs w:val="20"/>
        </w:rPr>
        <w:t xml:space="preserve"> e </w:t>
      </w:r>
      <w:r w:rsidR="00CB19D4" w:rsidRPr="00FF4346">
        <w:rPr>
          <w:rFonts w:ascii="CAIXA Std Book" w:hAnsi="CAIXA Std Book"/>
          <w:color w:val="005CA9"/>
          <w:sz w:val="20"/>
          <w:szCs w:val="20"/>
        </w:rPr>
        <w:t>3</w:t>
      </w:r>
      <w:r w:rsidR="00F80EBA" w:rsidRPr="00FF4346">
        <w:rPr>
          <w:rFonts w:ascii="CAIXA Std Book" w:hAnsi="CAIXA Std Book"/>
          <w:color w:val="005CA9"/>
          <w:sz w:val="20"/>
          <w:szCs w:val="20"/>
        </w:rPr>
        <w:t>2</w:t>
      </w:r>
      <w:r w:rsidR="00845316" w:rsidRPr="00FF4346">
        <w:rPr>
          <w:rFonts w:ascii="CAIXA Std Book" w:hAnsi="CAIXA Std Book"/>
          <w:color w:val="005CA9"/>
          <w:sz w:val="20"/>
          <w:szCs w:val="20"/>
        </w:rPr>
        <w:t>.</w:t>
      </w:r>
    </w:p>
    <w:p w14:paraId="6B4B5C27" w14:textId="28EB0FA5" w:rsidR="00D6298B" w:rsidRPr="00FF4346" w:rsidRDefault="00D6298B" w:rsidP="00B37B40">
      <w:pPr>
        <w:pStyle w:val="PargrafodaLista"/>
        <w:keepNext/>
        <w:numPr>
          <w:ilvl w:val="0"/>
          <w:numId w:val="14"/>
        </w:numPr>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t xml:space="preserve">Normas aplicáveis </w:t>
      </w:r>
      <w:r w:rsidR="00006CB2" w:rsidRPr="00FF4346">
        <w:rPr>
          <w:rFonts w:ascii="CAIXA Std Book" w:hAnsi="CAIXA Std Book"/>
          <w:b/>
          <w:color w:val="005CA9"/>
          <w:sz w:val="20"/>
          <w:szCs w:val="20"/>
        </w:rPr>
        <w:t>a períodos futuros</w:t>
      </w:r>
    </w:p>
    <w:p w14:paraId="72A95EB1" w14:textId="77777777" w:rsidR="00D6298B" w:rsidRPr="00FF4346" w:rsidRDefault="00D6298B" w:rsidP="00D6298B">
      <w:pPr>
        <w:keepNext/>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t xml:space="preserve">Normas a serem aplicadas a partir de 01 de janeiro de 2025 </w:t>
      </w:r>
    </w:p>
    <w:p w14:paraId="73449A00" w14:textId="123B5721" w:rsidR="00006CB2" w:rsidRPr="00FF4346" w:rsidRDefault="00D6298B" w:rsidP="00006CB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Resolução CMN nº 4.966/2021 dispõe sobre os conceitos e os critérios contábeis aplicáveis a instrumentos financeiros, bem como para a designação e o reconhecimento das relações de proteção (contabilidade de hedge) em busca da convergência ao padrão internacional previsto no IFRS 9. </w:t>
      </w:r>
    </w:p>
    <w:p w14:paraId="4B60893F" w14:textId="098A457D" w:rsidR="00D6298B" w:rsidRPr="00FF4346" w:rsidRDefault="00D6298B" w:rsidP="00D6298B">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Resolução CMN nº 4.975/2021 dispõe sobre os critérios contábeis aplicáveis às operações de arrendamento mercantil pelas instituições financeiras e demais instituições autorizadas a funcionar pelo Banco Central do Brasil. </w:t>
      </w:r>
    </w:p>
    <w:p w14:paraId="517E17D1" w14:textId="2D443C0E" w:rsidR="00D6298B" w:rsidRPr="00FF4346" w:rsidRDefault="00D6298B" w:rsidP="00D6298B">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Resolução BCB nº </w:t>
      </w:r>
      <w:r w:rsidR="00867F7D" w:rsidRPr="00FF4346">
        <w:rPr>
          <w:rFonts w:ascii="CAIXA Std Book" w:hAnsi="CAIXA Std Book"/>
          <w:color w:val="005CA9"/>
          <w:sz w:val="20"/>
          <w:szCs w:val="20"/>
        </w:rPr>
        <w:t>320</w:t>
      </w:r>
      <w:r w:rsidRPr="00FF4346">
        <w:rPr>
          <w:rFonts w:ascii="CAIXA Std Book" w:hAnsi="CAIXA Std Book"/>
          <w:color w:val="005CA9"/>
          <w:sz w:val="20"/>
          <w:szCs w:val="20"/>
        </w:rPr>
        <w:t>/202</w:t>
      </w:r>
      <w:r w:rsidR="00867F7D" w:rsidRPr="00FF4346">
        <w:rPr>
          <w:rFonts w:ascii="CAIXA Std Book" w:hAnsi="CAIXA Std Book"/>
          <w:color w:val="005CA9"/>
          <w:sz w:val="20"/>
          <w:szCs w:val="20"/>
        </w:rPr>
        <w:t>3</w:t>
      </w:r>
      <w:r w:rsidRPr="00FF4346">
        <w:rPr>
          <w:rFonts w:ascii="CAIXA Std Book" w:hAnsi="CAIXA Std Book"/>
          <w:color w:val="005CA9"/>
          <w:sz w:val="20"/>
          <w:szCs w:val="20"/>
        </w:rPr>
        <w:t xml:space="preserve"> e a Instrução Normativa BCB nº 318/2022 dispõe sobre a utilização do padrão contábil das Instituições Reguladas pelo Banco Central do Brasil (Cosif) e define os subgrupos contábeis do elenco de contas do Padrão Contábil das Instituições Reguladas pelo Banco Central do Brasil (Cosif). </w:t>
      </w:r>
    </w:p>
    <w:p w14:paraId="6D649646" w14:textId="3D8F1800" w:rsidR="00D6298B" w:rsidRPr="00FF4346" w:rsidRDefault="00D6298B" w:rsidP="000B0EAB">
      <w:pPr>
        <w:jc w:val="both"/>
        <w:rPr>
          <w:rFonts w:ascii="CAIXA Std Book" w:hAnsi="CAIXA Std Book"/>
          <w:color w:val="005CA9"/>
          <w:sz w:val="20"/>
          <w:szCs w:val="20"/>
        </w:rPr>
      </w:pPr>
      <w:r w:rsidRPr="00FF4346">
        <w:rPr>
          <w:rFonts w:ascii="CAIXA Std Book" w:hAnsi="CAIXA Std Book"/>
          <w:color w:val="005CA9"/>
          <w:sz w:val="20"/>
          <w:szCs w:val="20"/>
        </w:rPr>
        <w:t>Derivada da conversão da Medida Provisória nº 1.128, de 05 de julho de 2022, foi promulgada a lei n° 14.467, de 16 de novembro de 2022, que dispõe sobre o tratamento tributário aplicável às perdas incorrida</w:t>
      </w:r>
      <w:r w:rsidR="002C4707" w:rsidRPr="00FF4346">
        <w:rPr>
          <w:rFonts w:ascii="CAIXA Std Book" w:hAnsi="CAIXA Std Book"/>
          <w:color w:val="005CA9"/>
          <w:sz w:val="20"/>
          <w:szCs w:val="20"/>
        </w:rPr>
        <w:t>s</w:t>
      </w:r>
      <w:r w:rsidRPr="00FF4346">
        <w:rPr>
          <w:rFonts w:ascii="CAIXA Std Book" w:hAnsi="CAIXA Std Book"/>
          <w:color w:val="005CA9"/>
          <w:sz w:val="20"/>
          <w:szCs w:val="20"/>
        </w:rPr>
        <w:t xml:space="preserve"> no recebimento de créditos decorrentes das atividades das instituições financeiras e demais instituições autorizadas a funcionar pelo Banco Central do Brasil. Com isso, a partir de 01 de janeiro de 2025, a CAIXA deverá estar preparada para a adoção de novos procedimentos para a dedução das comentadas perdas na apuração das bases de c</w:t>
      </w:r>
      <w:r w:rsidR="008F3890" w:rsidRPr="00FF4346">
        <w:rPr>
          <w:rFonts w:ascii="CAIXA Std Book" w:hAnsi="CAIXA Std Book"/>
          <w:color w:val="005CA9"/>
          <w:sz w:val="20"/>
          <w:szCs w:val="20"/>
        </w:rPr>
        <w:t>á</w:t>
      </w:r>
      <w:r w:rsidRPr="00FF4346">
        <w:rPr>
          <w:rFonts w:ascii="CAIXA Std Book" w:hAnsi="CAIXA Std Book"/>
          <w:color w:val="005CA9"/>
          <w:sz w:val="20"/>
          <w:szCs w:val="20"/>
        </w:rPr>
        <w:t>lculo do Imposto de Renda da Pessoa Jurídica e da Contribuição Social sobre o Lucro líquido, considerando: (i) a dedutibilidade de operações com atraso superior a noventa dias, observada a aplicação dos fatores para dedução contidos na norma; e (</w:t>
      </w:r>
      <w:proofErr w:type="spellStart"/>
      <w:r w:rsidRPr="00FF4346">
        <w:rPr>
          <w:rFonts w:ascii="CAIXA Std Book" w:hAnsi="CAIXA Std Book"/>
          <w:color w:val="005CA9"/>
          <w:sz w:val="20"/>
          <w:szCs w:val="20"/>
        </w:rPr>
        <w:t>ii</w:t>
      </w:r>
      <w:proofErr w:type="spellEnd"/>
      <w:r w:rsidRPr="00FF4346">
        <w:rPr>
          <w:rFonts w:ascii="CAIXA Std Book" w:hAnsi="CAIXA Std Book"/>
          <w:color w:val="005CA9"/>
          <w:sz w:val="20"/>
          <w:szCs w:val="20"/>
        </w:rPr>
        <w:t xml:space="preserve">) que os créditos inadimplidos e não aproveitados até 31 de dezembro de 2024, somente poderão ser deduzidos à razão de um trinta e seis avos a partir de janeiro de 2025. </w:t>
      </w:r>
    </w:p>
    <w:p w14:paraId="4D5A5A8B" w14:textId="551BA823" w:rsidR="00C17ADE" w:rsidRPr="00FF4346" w:rsidRDefault="00E318E0" w:rsidP="00C17ADE">
      <w:pPr>
        <w:spacing w:before="120" w:after="120"/>
        <w:jc w:val="both"/>
        <w:rPr>
          <w:rFonts w:ascii="CAIXA Std Book" w:hAnsi="CAIXA Std Book"/>
          <w:color w:val="005CA9"/>
          <w:sz w:val="20"/>
          <w:szCs w:val="20"/>
        </w:rPr>
      </w:pPr>
      <w:proofErr w:type="gramStart"/>
      <w:r w:rsidRPr="00FF4346">
        <w:rPr>
          <w:rFonts w:ascii="CAIXA Std Book" w:hAnsi="CAIXA Std Book"/>
          <w:color w:val="005CA9"/>
          <w:sz w:val="20"/>
          <w:szCs w:val="20"/>
        </w:rPr>
        <w:t>A avaliação dos</w:t>
      </w:r>
      <w:r w:rsidR="00582B3D" w:rsidRPr="00FF4346">
        <w:rPr>
          <w:rFonts w:ascii="CAIXA Std Book" w:hAnsi="CAIXA Std Book"/>
          <w:color w:val="005CA9"/>
          <w:sz w:val="20"/>
          <w:szCs w:val="20"/>
        </w:rPr>
        <w:t xml:space="preserve"> impactos de implementação das normas supracitadas</w:t>
      </w:r>
      <w:r w:rsidR="00A1315D" w:rsidRPr="00FF4346">
        <w:rPr>
          <w:rFonts w:ascii="CAIXA Std Book" w:hAnsi="CAIXA Std Book"/>
          <w:color w:val="005CA9"/>
          <w:sz w:val="20"/>
          <w:szCs w:val="20"/>
        </w:rPr>
        <w:t xml:space="preserve"> estão</w:t>
      </w:r>
      <w:proofErr w:type="gramEnd"/>
      <w:r w:rsidR="00A1315D" w:rsidRPr="00FF4346">
        <w:rPr>
          <w:rFonts w:ascii="CAIXA Std Book" w:hAnsi="CAIXA Std Book"/>
          <w:color w:val="005CA9"/>
          <w:sz w:val="20"/>
          <w:szCs w:val="20"/>
        </w:rPr>
        <w:t xml:space="preserve"> em andamento </w:t>
      </w:r>
      <w:r w:rsidR="001005FD" w:rsidRPr="00FF4346">
        <w:rPr>
          <w:rFonts w:ascii="CAIXA Std Book" w:hAnsi="CAIXA Std Book"/>
          <w:color w:val="005CA9"/>
          <w:sz w:val="20"/>
          <w:szCs w:val="20"/>
        </w:rPr>
        <w:t>na</w:t>
      </w:r>
      <w:r w:rsidR="00C17ADE" w:rsidRPr="00FF4346">
        <w:rPr>
          <w:rFonts w:ascii="CAIXA Std Book" w:hAnsi="CAIXA Std Book"/>
          <w:color w:val="005CA9"/>
          <w:sz w:val="20"/>
          <w:szCs w:val="20"/>
        </w:rPr>
        <w:t xml:space="preserve"> CA</w:t>
      </w:r>
      <w:r w:rsidR="000E1CD0" w:rsidRPr="00FF4346">
        <w:rPr>
          <w:rFonts w:ascii="CAIXA Std Book" w:hAnsi="CAIXA Std Book"/>
          <w:color w:val="005CA9"/>
          <w:sz w:val="20"/>
          <w:szCs w:val="20"/>
        </w:rPr>
        <w:t xml:space="preserve">IXA </w:t>
      </w:r>
      <w:r w:rsidR="00CF6624" w:rsidRPr="00FF4346">
        <w:rPr>
          <w:rFonts w:ascii="CAIXA Std Book" w:hAnsi="CAIXA Std Book"/>
          <w:color w:val="005CA9"/>
          <w:sz w:val="20"/>
          <w:szCs w:val="20"/>
        </w:rPr>
        <w:t xml:space="preserve">e </w:t>
      </w:r>
      <w:r w:rsidR="00D05B08" w:rsidRPr="00FF4346">
        <w:rPr>
          <w:rFonts w:ascii="CAIXA Std Book" w:hAnsi="CAIXA Std Book"/>
          <w:color w:val="005CA9"/>
          <w:sz w:val="20"/>
          <w:szCs w:val="20"/>
        </w:rPr>
        <w:t>deverão ser concluídas</w:t>
      </w:r>
      <w:r w:rsidR="00C17ADE" w:rsidRPr="00FF4346">
        <w:rPr>
          <w:rFonts w:ascii="CAIXA Std Book" w:hAnsi="CAIXA Std Book"/>
          <w:color w:val="005CA9"/>
          <w:sz w:val="20"/>
          <w:szCs w:val="20"/>
        </w:rPr>
        <w:t xml:space="preserve"> até a data de </w:t>
      </w:r>
      <w:r w:rsidR="00D05B08" w:rsidRPr="00FF4346">
        <w:rPr>
          <w:rFonts w:ascii="CAIXA Std Book" w:hAnsi="CAIXA Std Book"/>
          <w:color w:val="005CA9"/>
          <w:sz w:val="20"/>
          <w:szCs w:val="20"/>
        </w:rPr>
        <w:t>suas vigências.</w:t>
      </w:r>
    </w:p>
    <w:p w14:paraId="30F01CF2" w14:textId="48BA75B6" w:rsidR="001E62D1" w:rsidRPr="00FF4346" w:rsidRDefault="001E62D1" w:rsidP="005A596E">
      <w:pPr>
        <w:pStyle w:val="Ttulo1"/>
      </w:pPr>
      <w:bookmarkStart w:id="37" w:name="_Toc450149181"/>
      <w:bookmarkStart w:id="38" w:name="_Toc166594478"/>
      <w:bookmarkStart w:id="39" w:name="_Hlk70064992"/>
      <w:r w:rsidRPr="00FF4346">
        <w:t>Nota   3 – Principais práticas</w:t>
      </w:r>
      <w:r w:rsidR="00F95C61" w:rsidRPr="00FF4346">
        <w:t xml:space="preserve">, julgamentos e estimativas </w:t>
      </w:r>
      <w:r w:rsidRPr="00FF4346">
        <w:t>contábeis</w:t>
      </w:r>
      <w:bookmarkEnd w:id="37"/>
      <w:bookmarkEnd w:id="38"/>
    </w:p>
    <w:p w14:paraId="2ED8B081" w14:textId="75450CBB" w:rsidR="00003CD0" w:rsidRPr="00003CD0" w:rsidRDefault="00003CD0" w:rsidP="00003CD0">
      <w:pPr>
        <w:jc w:val="both"/>
        <w:rPr>
          <w:rFonts w:ascii="CAIXA Std Book" w:hAnsi="CAIXA Std Book"/>
          <w:color w:val="005CA9"/>
          <w:sz w:val="20"/>
          <w:szCs w:val="20"/>
        </w:rPr>
      </w:pPr>
      <w:r w:rsidRPr="00003CD0">
        <w:rPr>
          <w:rFonts w:ascii="CAIXA Std Book" w:hAnsi="CAIXA Std Book"/>
          <w:color w:val="005CA9"/>
          <w:sz w:val="20"/>
          <w:szCs w:val="20"/>
        </w:rPr>
        <w:t>Não houve alterações nas práticas e políticas contábeis adotadas pela CAIXA para o período findo em 3</w:t>
      </w:r>
      <w:r w:rsidR="00ED656F">
        <w:rPr>
          <w:rFonts w:ascii="CAIXA Std Book" w:hAnsi="CAIXA Std Book"/>
          <w:color w:val="005CA9"/>
          <w:sz w:val="20"/>
          <w:szCs w:val="20"/>
        </w:rPr>
        <w:t>1</w:t>
      </w:r>
      <w:r w:rsidRPr="00003CD0">
        <w:rPr>
          <w:rFonts w:ascii="CAIXA Std Book" w:hAnsi="CAIXA Std Book"/>
          <w:color w:val="005CA9"/>
          <w:sz w:val="20"/>
          <w:szCs w:val="20"/>
        </w:rPr>
        <w:t xml:space="preserve"> de </w:t>
      </w:r>
      <w:r w:rsidR="00E66835">
        <w:rPr>
          <w:rFonts w:ascii="CAIXA Std Book" w:hAnsi="CAIXA Std Book"/>
          <w:color w:val="005CA9"/>
          <w:sz w:val="20"/>
          <w:szCs w:val="20"/>
        </w:rPr>
        <w:t>março</w:t>
      </w:r>
      <w:r w:rsidRPr="00003CD0">
        <w:rPr>
          <w:rFonts w:ascii="CAIXA Std Book" w:hAnsi="CAIXA Std Book"/>
          <w:color w:val="005CA9"/>
          <w:sz w:val="20"/>
          <w:szCs w:val="20"/>
        </w:rPr>
        <w:t xml:space="preserve"> de 202</w:t>
      </w:r>
      <w:r w:rsidR="00E66835">
        <w:rPr>
          <w:rFonts w:ascii="CAIXA Std Book" w:hAnsi="CAIXA Std Book"/>
          <w:color w:val="005CA9"/>
          <w:sz w:val="20"/>
          <w:szCs w:val="20"/>
        </w:rPr>
        <w:t>4</w:t>
      </w:r>
      <w:r w:rsidRPr="00003CD0">
        <w:rPr>
          <w:rFonts w:ascii="CAIXA Std Book" w:hAnsi="CAIXA Std Book"/>
          <w:color w:val="005CA9"/>
          <w:sz w:val="20"/>
          <w:szCs w:val="20"/>
        </w:rPr>
        <w:t>. As práticas, estimativas e julgamentos contábeis adotados pel</w:t>
      </w:r>
      <w:r w:rsidR="00C81B34">
        <w:rPr>
          <w:rFonts w:ascii="CAIXA Std Book" w:hAnsi="CAIXA Std Book"/>
          <w:color w:val="005CA9"/>
          <w:sz w:val="20"/>
          <w:szCs w:val="20"/>
        </w:rPr>
        <w:t>a CAIXA</w:t>
      </w:r>
      <w:r w:rsidRPr="00003CD0">
        <w:rPr>
          <w:rFonts w:ascii="CAIXA Std Book" w:hAnsi="CAIXA Std Book"/>
          <w:color w:val="005CA9"/>
          <w:sz w:val="20"/>
          <w:szCs w:val="20"/>
        </w:rPr>
        <w:t xml:space="preserve"> estão descritos na nota explicativa </w:t>
      </w:r>
      <w:r w:rsidR="00AF6B1E">
        <w:rPr>
          <w:rFonts w:ascii="CAIXA Std Book" w:hAnsi="CAIXA Std Book"/>
          <w:color w:val="005CA9"/>
          <w:sz w:val="20"/>
          <w:szCs w:val="20"/>
        </w:rPr>
        <w:t xml:space="preserve">de Principais práticas, julgamentos e estimativas contábeis </w:t>
      </w:r>
      <w:r w:rsidRPr="00003CD0">
        <w:rPr>
          <w:rFonts w:ascii="CAIXA Std Book" w:hAnsi="CAIXA Std Book"/>
          <w:color w:val="005CA9"/>
          <w:sz w:val="20"/>
          <w:szCs w:val="20"/>
        </w:rPr>
        <w:t>das Demonstrações contábeis individuais e consolidadas divulgadas em 3</w:t>
      </w:r>
      <w:r w:rsidR="00301C1B">
        <w:rPr>
          <w:rFonts w:ascii="CAIXA Std Book" w:hAnsi="CAIXA Std Book"/>
          <w:color w:val="005CA9"/>
          <w:sz w:val="20"/>
          <w:szCs w:val="20"/>
        </w:rPr>
        <w:t>1</w:t>
      </w:r>
      <w:r w:rsidRPr="00003CD0">
        <w:rPr>
          <w:rFonts w:ascii="CAIXA Std Book" w:hAnsi="CAIXA Std Book"/>
          <w:color w:val="005CA9"/>
          <w:sz w:val="20"/>
          <w:szCs w:val="20"/>
        </w:rPr>
        <w:t xml:space="preserve"> de </w:t>
      </w:r>
      <w:r w:rsidR="00301C1B">
        <w:rPr>
          <w:rFonts w:ascii="CAIXA Std Book" w:hAnsi="CAIXA Std Book"/>
          <w:color w:val="005CA9"/>
          <w:sz w:val="20"/>
          <w:szCs w:val="20"/>
        </w:rPr>
        <w:t>dezembro</w:t>
      </w:r>
      <w:r w:rsidRPr="00003CD0">
        <w:rPr>
          <w:rFonts w:ascii="CAIXA Std Book" w:hAnsi="CAIXA Std Book"/>
          <w:color w:val="005CA9"/>
          <w:sz w:val="20"/>
          <w:szCs w:val="20"/>
        </w:rPr>
        <w:t xml:space="preserve"> de 2023 disponíveis no sítio: </w:t>
      </w:r>
      <w:hyperlink r:id="rId28" w:history="1">
        <w:r w:rsidR="00F50FD6" w:rsidRPr="00D80150">
          <w:rPr>
            <w:rStyle w:val="Hyperlink"/>
            <w:rFonts w:ascii="CAIXA Std Book" w:hAnsi="CAIXA Std Book" w:cs="Yu Mincho Light"/>
            <w:sz w:val="20"/>
            <w:szCs w:val="20"/>
          </w:rPr>
          <w:t>https://ri.caixa.gov.br/informacoes-financeiras/central-de-resultados/</w:t>
        </w:r>
      </w:hyperlink>
      <w:r w:rsidRPr="00003CD0">
        <w:rPr>
          <w:rFonts w:ascii="CAIXA Std Book" w:hAnsi="CAIXA Std Book"/>
          <w:color w:val="005CA9"/>
          <w:sz w:val="20"/>
          <w:szCs w:val="20"/>
        </w:rPr>
        <w:t>.</w:t>
      </w:r>
      <w:r w:rsidR="00F50FD6">
        <w:rPr>
          <w:rFonts w:ascii="CAIXA Std Book" w:hAnsi="CAIXA Std Book"/>
          <w:color w:val="005CA9"/>
          <w:sz w:val="20"/>
          <w:szCs w:val="20"/>
        </w:rPr>
        <w:t xml:space="preserve"> </w:t>
      </w:r>
    </w:p>
    <w:bookmarkEnd w:id="39"/>
    <w:p w14:paraId="1534A598" w14:textId="77777777" w:rsidR="007D3D32" w:rsidRDefault="007D3D32">
      <w:pPr>
        <w:rPr>
          <w:rFonts w:ascii="CAIXA Std Book" w:hAnsi="CAIXA Std Book"/>
          <w:b/>
          <w:color w:val="005CA9"/>
        </w:rPr>
      </w:pPr>
      <w:r w:rsidRPr="00616EE1">
        <w:rPr>
          <w:rFonts w:ascii="CAIXA Std Book" w:hAnsi="CAIXA Std Book"/>
          <w:color w:val="005CA9"/>
        </w:rPr>
        <w:br w:type="page"/>
      </w:r>
    </w:p>
    <w:p w14:paraId="7CE510EA" w14:textId="3B32A593" w:rsidR="00921144" w:rsidRPr="00FF4346" w:rsidRDefault="00921144" w:rsidP="005A596E">
      <w:pPr>
        <w:pStyle w:val="Ttulo1"/>
      </w:pPr>
      <w:bookmarkStart w:id="40" w:name="_Toc166594479"/>
      <w:r w:rsidRPr="00FF4346">
        <w:lastRenderedPageBreak/>
        <w:t>Nota   4 – Caixa e equivalentes de caixa</w:t>
      </w:r>
      <w:bookmarkEnd w:id="40"/>
    </w:p>
    <w:p w14:paraId="726EF7B5" w14:textId="70933D71" w:rsidR="00DF310E" w:rsidRPr="00FF4346" w:rsidRDefault="00D223AA" w:rsidP="00F1104F">
      <w:pPr>
        <w:spacing w:before="120"/>
        <w:jc w:val="both"/>
        <w:rPr>
          <w:rFonts w:ascii="CAIXA Std Book" w:hAnsi="CAIXA Std Book"/>
          <w:color w:val="005CA9"/>
          <w:sz w:val="16"/>
          <w:szCs w:val="16"/>
        </w:rPr>
      </w:pPr>
      <w:r w:rsidRPr="00D223AA">
        <w:rPr>
          <w:rFonts w:ascii="CAIXA Std Book" w:hAnsi="CAIXA Std Book"/>
          <w:color w:val="005CA9"/>
          <w:sz w:val="20"/>
          <w:szCs w:val="20"/>
        </w:rPr>
        <w:t>Em 31/03/202</w:t>
      </w:r>
      <w:r>
        <w:rPr>
          <w:rFonts w:ascii="CAIXA Std Book" w:hAnsi="CAIXA Std Book"/>
          <w:color w:val="005CA9"/>
          <w:sz w:val="20"/>
          <w:szCs w:val="20"/>
        </w:rPr>
        <w:t>4</w:t>
      </w:r>
      <w:r w:rsidRPr="00D223AA">
        <w:rPr>
          <w:rFonts w:ascii="CAIXA Std Book" w:hAnsi="CAIXA Std Book"/>
          <w:color w:val="005CA9"/>
          <w:sz w:val="20"/>
          <w:szCs w:val="20"/>
        </w:rPr>
        <w:t xml:space="preserve"> a rubrica caixa e equivalente de caixa apresentou o saldo de </w:t>
      </w:r>
      <w:r w:rsidRPr="004948CC">
        <w:rPr>
          <w:rFonts w:ascii="CAIXA Std Book" w:hAnsi="CAIXA Std Book"/>
          <w:color w:val="005CA9"/>
          <w:sz w:val="20"/>
          <w:szCs w:val="20"/>
        </w:rPr>
        <w:t xml:space="preserve">R$ </w:t>
      </w:r>
      <w:r w:rsidR="00212279" w:rsidRPr="004948CC">
        <w:rPr>
          <w:rFonts w:ascii="CAIXA Std Book" w:hAnsi="CAIXA Std Book"/>
          <w:color w:val="005CA9"/>
          <w:sz w:val="20"/>
          <w:szCs w:val="20"/>
        </w:rPr>
        <w:t>222.132.887</w:t>
      </w:r>
      <w:r w:rsidR="00212279">
        <w:rPr>
          <w:rFonts w:ascii="CAIXA Std Book" w:hAnsi="CAIXA Std Book"/>
          <w:color w:val="005CA9"/>
          <w:sz w:val="20"/>
          <w:szCs w:val="20"/>
        </w:rPr>
        <w:t xml:space="preserve"> </w:t>
      </w:r>
      <w:r w:rsidRPr="00D223AA">
        <w:rPr>
          <w:rFonts w:ascii="CAIXA Std Book" w:hAnsi="CAIXA Std Book"/>
          <w:color w:val="005CA9"/>
          <w:sz w:val="20"/>
          <w:szCs w:val="20"/>
        </w:rPr>
        <w:t>na demonstração individual (31/12/202</w:t>
      </w:r>
      <w:r>
        <w:rPr>
          <w:rFonts w:ascii="CAIXA Std Book" w:hAnsi="CAIXA Std Book"/>
          <w:color w:val="005CA9"/>
          <w:sz w:val="20"/>
          <w:szCs w:val="20"/>
        </w:rPr>
        <w:t>3</w:t>
      </w:r>
      <w:r w:rsidRPr="00D223AA">
        <w:rPr>
          <w:rFonts w:ascii="CAIXA Std Book" w:hAnsi="CAIXA Std Book"/>
          <w:color w:val="005CA9"/>
          <w:sz w:val="20"/>
          <w:szCs w:val="20"/>
        </w:rPr>
        <w:t xml:space="preserve"> – R$</w:t>
      </w:r>
      <w:r w:rsidR="0031431A">
        <w:rPr>
          <w:rFonts w:ascii="CAIXA Std Book" w:hAnsi="CAIXA Std Book"/>
          <w:color w:val="005CA9"/>
          <w:sz w:val="20"/>
          <w:szCs w:val="20"/>
        </w:rPr>
        <w:t xml:space="preserve"> </w:t>
      </w:r>
      <w:r w:rsidR="0031431A" w:rsidRPr="0031431A">
        <w:rPr>
          <w:rFonts w:ascii="CAIXA Std Book" w:hAnsi="CAIXA Std Book"/>
          <w:color w:val="005CA9"/>
          <w:sz w:val="20"/>
          <w:szCs w:val="20"/>
        </w:rPr>
        <w:t>213.848.405</w:t>
      </w:r>
      <w:r w:rsidRPr="00D223AA">
        <w:rPr>
          <w:rFonts w:ascii="CAIXA Std Book" w:hAnsi="CAIXA Std Book"/>
          <w:color w:val="005CA9"/>
          <w:sz w:val="20"/>
          <w:szCs w:val="20"/>
        </w:rPr>
        <w:t xml:space="preserve">) e </w:t>
      </w:r>
      <w:r w:rsidRPr="008E4109">
        <w:rPr>
          <w:rFonts w:ascii="CAIXA Std Book" w:hAnsi="CAIXA Std Book"/>
          <w:color w:val="005CA9"/>
          <w:sz w:val="20"/>
          <w:szCs w:val="20"/>
        </w:rPr>
        <w:t xml:space="preserve">R$ </w:t>
      </w:r>
      <w:r w:rsidR="008E4109" w:rsidRPr="008E4109">
        <w:rPr>
          <w:rFonts w:ascii="CAIXA Std Book" w:hAnsi="CAIXA Std Book"/>
          <w:color w:val="005CA9"/>
          <w:sz w:val="20"/>
          <w:szCs w:val="20"/>
        </w:rPr>
        <w:t>222.132.</w:t>
      </w:r>
      <w:r w:rsidR="00214B02">
        <w:rPr>
          <w:rFonts w:ascii="CAIXA Std Book" w:hAnsi="CAIXA Std Book"/>
          <w:color w:val="005CA9"/>
          <w:sz w:val="20"/>
          <w:szCs w:val="20"/>
        </w:rPr>
        <w:t>937</w:t>
      </w:r>
      <w:r w:rsidRPr="00D223AA">
        <w:rPr>
          <w:rFonts w:ascii="CAIXA Std Book" w:hAnsi="CAIXA Std Book"/>
          <w:color w:val="005CA9"/>
          <w:sz w:val="20"/>
          <w:szCs w:val="20"/>
        </w:rPr>
        <w:t xml:space="preserve"> na consolidada (31/12/202</w:t>
      </w:r>
      <w:r w:rsidR="009D2349">
        <w:rPr>
          <w:rFonts w:ascii="CAIXA Std Book" w:hAnsi="CAIXA Std Book"/>
          <w:color w:val="005CA9"/>
          <w:sz w:val="20"/>
          <w:szCs w:val="20"/>
        </w:rPr>
        <w:t>3</w:t>
      </w:r>
      <w:r w:rsidRPr="00D223AA">
        <w:rPr>
          <w:rFonts w:ascii="CAIXA Std Book" w:hAnsi="CAIXA Std Book"/>
          <w:color w:val="005CA9"/>
          <w:sz w:val="20"/>
          <w:szCs w:val="20"/>
        </w:rPr>
        <w:t xml:space="preserve"> – R$</w:t>
      </w:r>
      <w:r>
        <w:rPr>
          <w:rFonts w:ascii="CAIXA Std Book" w:hAnsi="CAIXA Std Book"/>
          <w:color w:val="005CA9"/>
          <w:sz w:val="20"/>
          <w:szCs w:val="20"/>
        </w:rPr>
        <w:t xml:space="preserve"> </w:t>
      </w:r>
      <w:proofErr w:type="gramStart"/>
      <w:r w:rsidR="00E60C29" w:rsidRPr="00E60C29">
        <w:rPr>
          <w:rFonts w:ascii="CAIXA Std Book" w:hAnsi="CAIXA Std Book"/>
          <w:color w:val="005CA9"/>
          <w:sz w:val="20"/>
          <w:szCs w:val="20"/>
        </w:rPr>
        <w:t>213.848.473</w:t>
      </w:r>
      <w:r>
        <w:rPr>
          <w:rFonts w:ascii="CAIXA Std Book" w:hAnsi="CAIXA Std Book"/>
          <w:color w:val="005CA9"/>
          <w:sz w:val="20"/>
          <w:szCs w:val="20"/>
        </w:rPr>
        <w:t xml:space="preserve"> </w:t>
      </w:r>
      <w:r w:rsidRPr="00D223AA">
        <w:rPr>
          <w:rFonts w:ascii="CAIXA Std Book" w:hAnsi="CAIXA Std Book"/>
          <w:color w:val="005CA9"/>
          <w:sz w:val="20"/>
          <w:szCs w:val="20"/>
        </w:rPr>
        <w:t>)</w:t>
      </w:r>
      <w:proofErr w:type="gramEnd"/>
      <w:r w:rsidRPr="00D223AA">
        <w:rPr>
          <w:rFonts w:ascii="CAIXA Std Book" w:hAnsi="CAIXA Std Book"/>
          <w:color w:val="005CA9"/>
          <w:sz w:val="20"/>
          <w:szCs w:val="20"/>
        </w:rPr>
        <w:t>.</w:t>
      </w:r>
    </w:p>
    <w:p w14:paraId="363D840B" w14:textId="744D5FD8" w:rsidR="00167A48" w:rsidRPr="00FF4346" w:rsidRDefault="00B94E10" w:rsidP="005A596E">
      <w:pPr>
        <w:pStyle w:val="Ttulo1"/>
      </w:pPr>
      <w:bookmarkStart w:id="41" w:name="_Toc166594480"/>
      <w:r w:rsidRPr="00FF4346">
        <w:t xml:space="preserve">Nota   5 – </w:t>
      </w:r>
      <w:r w:rsidR="00167A48" w:rsidRPr="00FF4346">
        <w:t>Aplicações interfinanceiras de liquidez</w:t>
      </w:r>
      <w:bookmarkEnd w:id="41"/>
    </w:p>
    <w:p w14:paraId="70FF6CCA" w14:textId="77777777" w:rsidR="00167A48" w:rsidRPr="00FF4346" w:rsidRDefault="00167A48" w:rsidP="00167A48">
      <w:pPr>
        <w:keepNext/>
        <w:numPr>
          <w:ilvl w:val="0"/>
          <w:numId w:val="6"/>
        </w:numPr>
        <w:tabs>
          <w:tab w:val="clear" w:pos="750"/>
        </w:tabs>
        <w:spacing w:before="240" w:after="240"/>
        <w:ind w:left="567" w:hanging="567"/>
        <w:rPr>
          <w:rFonts w:ascii="CAIXA Std Book" w:hAnsi="CAIXA Std Book"/>
          <w:b/>
          <w:color w:val="005CA9"/>
          <w:sz w:val="20"/>
          <w:szCs w:val="20"/>
        </w:rPr>
      </w:pPr>
      <w:r w:rsidRPr="00FF4346">
        <w:rPr>
          <w:rFonts w:ascii="CAIXA Std Book" w:hAnsi="CAIXA Std Book"/>
          <w:b/>
          <w:color w:val="005CA9"/>
          <w:sz w:val="20"/>
          <w:szCs w:val="20"/>
        </w:rPr>
        <w:t>Composição e classificação da carteira por prazo</w:t>
      </w:r>
    </w:p>
    <w:tbl>
      <w:tblPr>
        <w:tblW w:w="5000" w:type="pct"/>
        <w:tblCellMar>
          <w:left w:w="70" w:type="dxa"/>
          <w:right w:w="70" w:type="dxa"/>
        </w:tblCellMar>
        <w:tblLook w:val="04A0" w:firstRow="1" w:lastRow="0" w:firstColumn="1" w:lastColumn="0" w:noHBand="0" w:noVBand="1"/>
      </w:tblPr>
      <w:tblGrid>
        <w:gridCol w:w="4112"/>
        <w:gridCol w:w="1214"/>
        <w:gridCol w:w="1078"/>
        <w:gridCol w:w="968"/>
        <w:gridCol w:w="1133"/>
        <w:gridCol w:w="1133"/>
      </w:tblGrid>
      <w:tr w:rsidR="00AB1F19" w:rsidRPr="00414685" w14:paraId="61F52C8F" w14:textId="77777777" w:rsidTr="0009270D">
        <w:trPr>
          <w:trHeight w:val="283"/>
        </w:trPr>
        <w:tc>
          <w:tcPr>
            <w:tcW w:w="5000" w:type="pct"/>
            <w:gridSpan w:val="6"/>
            <w:tcBorders>
              <w:top w:val="single" w:sz="4" w:space="0" w:color="ED7D31"/>
              <w:left w:val="nil"/>
              <w:bottom w:val="single" w:sz="4" w:space="0" w:color="ED7D31"/>
              <w:right w:val="nil"/>
            </w:tcBorders>
            <w:shd w:val="clear" w:color="auto" w:fill="auto"/>
            <w:vAlign w:val="center"/>
            <w:hideMark/>
          </w:tcPr>
          <w:p w14:paraId="2973FE72"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INDIVIDUAL / CONSOLIDADO</w:t>
            </w:r>
          </w:p>
        </w:tc>
      </w:tr>
      <w:tr w:rsidR="00AB1F19" w:rsidRPr="00414685" w14:paraId="14E23FA9" w14:textId="77777777" w:rsidTr="0009270D">
        <w:trPr>
          <w:trHeight w:val="283"/>
        </w:trPr>
        <w:tc>
          <w:tcPr>
            <w:tcW w:w="2133" w:type="pct"/>
            <w:tcBorders>
              <w:top w:val="single" w:sz="4" w:space="0" w:color="ED7D31"/>
              <w:left w:val="nil"/>
              <w:bottom w:val="single" w:sz="4" w:space="0" w:color="ED7D31"/>
              <w:right w:val="nil"/>
            </w:tcBorders>
            <w:shd w:val="clear" w:color="auto" w:fill="auto"/>
            <w:vAlign w:val="center"/>
            <w:hideMark/>
          </w:tcPr>
          <w:p w14:paraId="15BB5F4A"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 xml:space="preserve">Descrição </w:t>
            </w:r>
          </w:p>
        </w:tc>
        <w:tc>
          <w:tcPr>
            <w:tcW w:w="630" w:type="pct"/>
            <w:tcBorders>
              <w:top w:val="single" w:sz="4" w:space="0" w:color="ED7D31"/>
              <w:left w:val="nil"/>
              <w:bottom w:val="single" w:sz="4" w:space="0" w:color="ED7D31"/>
              <w:right w:val="nil"/>
            </w:tcBorders>
            <w:shd w:val="clear" w:color="auto" w:fill="auto"/>
            <w:vAlign w:val="center"/>
            <w:hideMark/>
          </w:tcPr>
          <w:p w14:paraId="50435E97"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01 a 90 dias</w:t>
            </w:r>
          </w:p>
        </w:tc>
        <w:tc>
          <w:tcPr>
            <w:tcW w:w="559" w:type="pct"/>
            <w:tcBorders>
              <w:top w:val="single" w:sz="4" w:space="0" w:color="ED7D31"/>
              <w:left w:val="nil"/>
              <w:bottom w:val="single" w:sz="4" w:space="0" w:color="ED7D31"/>
              <w:right w:val="nil"/>
            </w:tcBorders>
            <w:shd w:val="clear" w:color="auto" w:fill="auto"/>
            <w:vAlign w:val="center"/>
            <w:hideMark/>
          </w:tcPr>
          <w:p w14:paraId="4390B659"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91 a 180 dias</w:t>
            </w:r>
          </w:p>
        </w:tc>
        <w:tc>
          <w:tcPr>
            <w:tcW w:w="502" w:type="pct"/>
            <w:tcBorders>
              <w:top w:val="single" w:sz="4" w:space="0" w:color="ED7D31"/>
              <w:left w:val="nil"/>
              <w:bottom w:val="single" w:sz="4" w:space="0" w:color="ED7D31"/>
              <w:right w:val="nil"/>
            </w:tcBorders>
            <w:shd w:val="clear" w:color="auto" w:fill="auto"/>
            <w:vAlign w:val="center"/>
            <w:hideMark/>
          </w:tcPr>
          <w:p w14:paraId="21B058F7"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Acima de 360 dias</w:t>
            </w:r>
          </w:p>
        </w:tc>
        <w:tc>
          <w:tcPr>
            <w:tcW w:w="588" w:type="pct"/>
            <w:tcBorders>
              <w:top w:val="single" w:sz="4" w:space="0" w:color="ED7D31"/>
              <w:left w:val="nil"/>
              <w:bottom w:val="single" w:sz="4" w:space="0" w:color="ED7D31"/>
              <w:right w:val="nil"/>
            </w:tcBorders>
            <w:shd w:val="clear" w:color="auto" w:fill="auto"/>
            <w:vAlign w:val="center"/>
            <w:hideMark/>
          </w:tcPr>
          <w:p w14:paraId="0551AD0A"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31/03/2024</w:t>
            </w:r>
          </w:p>
        </w:tc>
        <w:tc>
          <w:tcPr>
            <w:tcW w:w="588" w:type="pct"/>
            <w:tcBorders>
              <w:top w:val="single" w:sz="4" w:space="0" w:color="ED7D31"/>
              <w:left w:val="nil"/>
              <w:bottom w:val="single" w:sz="4" w:space="0" w:color="ED7D31"/>
              <w:right w:val="nil"/>
            </w:tcBorders>
            <w:shd w:val="clear" w:color="auto" w:fill="auto"/>
            <w:vAlign w:val="center"/>
            <w:hideMark/>
          </w:tcPr>
          <w:p w14:paraId="2967F9AE"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31/12/2023</w:t>
            </w:r>
          </w:p>
        </w:tc>
      </w:tr>
      <w:tr w:rsidR="00AB1F19" w:rsidRPr="00414685" w14:paraId="73292FC4" w14:textId="77777777" w:rsidTr="0009270D">
        <w:trPr>
          <w:trHeight w:val="283"/>
        </w:trPr>
        <w:tc>
          <w:tcPr>
            <w:tcW w:w="2133" w:type="pct"/>
            <w:tcBorders>
              <w:top w:val="single" w:sz="4" w:space="0" w:color="ED7D31"/>
              <w:left w:val="nil"/>
              <w:bottom w:val="nil"/>
              <w:right w:val="nil"/>
            </w:tcBorders>
            <w:shd w:val="clear" w:color="auto" w:fill="auto"/>
            <w:vAlign w:val="center"/>
            <w:hideMark/>
          </w:tcPr>
          <w:p w14:paraId="46B0F9C1" w14:textId="77777777" w:rsidR="00AB1F19" w:rsidRPr="00414685" w:rsidRDefault="00AB1F19" w:rsidP="00AB1F19">
            <w:pP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Aplicações no mercado aberto - posição bancada</w:t>
            </w:r>
          </w:p>
        </w:tc>
        <w:tc>
          <w:tcPr>
            <w:tcW w:w="630" w:type="pct"/>
            <w:tcBorders>
              <w:top w:val="single" w:sz="4" w:space="0" w:color="ED7D31"/>
              <w:left w:val="nil"/>
              <w:bottom w:val="nil"/>
              <w:right w:val="nil"/>
            </w:tcBorders>
            <w:shd w:val="clear" w:color="auto" w:fill="auto"/>
            <w:vAlign w:val="center"/>
            <w:hideMark/>
          </w:tcPr>
          <w:p w14:paraId="0E6A4645"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122.131.356</w:t>
            </w:r>
          </w:p>
        </w:tc>
        <w:tc>
          <w:tcPr>
            <w:tcW w:w="559" w:type="pct"/>
            <w:tcBorders>
              <w:top w:val="single" w:sz="4" w:space="0" w:color="ED7D31"/>
              <w:left w:val="nil"/>
              <w:bottom w:val="nil"/>
              <w:right w:val="nil"/>
            </w:tcBorders>
            <w:shd w:val="clear" w:color="auto" w:fill="auto"/>
            <w:vAlign w:val="center"/>
            <w:hideMark/>
          </w:tcPr>
          <w:p w14:paraId="1E1680C9"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w:t>
            </w:r>
          </w:p>
        </w:tc>
        <w:tc>
          <w:tcPr>
            <w:tcW w:w="502" w:type="pct"/>
            <w:tcBorders>
              <w:top w:val="single" w:sz="4" w:space="0" w:color="ED7D31"/>
              <w:left w:val="nil"/>
              <w:bottom w:val="nil"/>
              <w:right w:val="nil"/>
            </w:tcBorders>
            <w:shd w:val="clear" w:color="auto" w:fill="auto"/>
            <w:vAlign w:val="center"/>
            <w:hideMark/>
          </w:tcPr>
          <w:p w14:paraId="60576FF1"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w:t>
            </w:r>
          </w:p>
        </w:tc>
        <w:tc>
          <w:tcPr>
            <w:tcW w:w="588" w:type="pct"/>
            <w:tcBorders>
              <w:top w:val="single" w:sz="4" w:space="0" w:color="ED7D31"/>
              <w:left w:val="nil"/>
              <w:bottom w:val="nil"/>
              <w:right w:val="nil"/>
            </w:tcBorders>
            <w:shd w:val="clear" w:color="auto" w:fill="auto"/>
            <w:vAlign w:val="center"/>
            <w:hideMark/>
          </w:tcPr>
          <w:p w14:paraId="156E50FD"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122.131.356</w:t>
            </w:r>
          </w:p>
        </w:tc>
        <w:tc>
          <w:tcPr>
            <w:tcW w:w="588" w:type="pct"/>
            <w:tcBorders>
              <w:top w:val="single" w:sz="4" w:space="0" w:color="ED7D31"/>
              <w:left w:val="nil"/>
              <w:bottom w:val="nil"/>
              <w:right w:val="nil"/>
            </w:tcBorders>
            <w:shd w:val="clear" w:color="auto" w:fill="auto"/>
            <w:vAlign w:val="center"/>
            <w:hideMark/>
          </w:tcPr>
          <w:p w14:paraId="4425A49F"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122.587.196</w:t>
            </w:r>
          </w:p>
        </w:tc>
      </w:tr>
      <w:tr w:rsidR="00AB1F19" w:rsidRPr="00414685" w14:paraId="35FE5157" w14:textId="77777777" w:rsidTr="0009270D">
        <w:trPr>
          <w:trHeight w:val="283"/>
        </w:trPr>
        <w:tc>
          <w:tcPr>
            <w:tcW w:w="2133" w:type="pct"/>
            <w:tcBorders>
              <w:top w:val="nil"/>
              <w:left w:val="nil"/>
              <w:bottom w:val="nil"/>
              <w:right w:val="nil"/>
            </w:tcBorders>
            <w:shd w:val="clear" w:color="auto" w:fill="auto"/>
            <w:vAlign w:val="center"/>
            <w:hideMark/>
          </w:tcPr>
          <w:p w14:paraId="0E1A6166"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Letras financeiras do tesouro</w:t>
            </w:r>
          </w:p>
        </w:tc>
        <w:tc>
          <w:tcPr>
            <w:tcW w:w="630" w:type="pct"/>
            <w:tcBorders>
              <w:top w:val="nil"/>
              <w:left w:val="nil"/>
              <w:bottom w:val="nil"/>
              <w:right w:val="nil"/>
            </w:tcBorders>
            <w:shd w:val="clear" w:color="auto" w:fill="auto"/>
            <w:vAlign w:val="center"/>
            <w:hideMark/>
          </w:tcPr>
          <w:p w14:paraId="25174ED0"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43.467.455</w:t>
            </w:r>
          </w:p>
        </w:tc>
        <w:tc>
          <w:tcPr>
            <w:tcW w:w="559" w:type="pct"/>
            <w:tcBorders>
              <w:top w:val="nil"/>
              <w:left w:val="nil"/>
              <w:bottom w:val="nil"/>
              <w:right w:val="nil"/>
            </w:tcBorders>
            <w:shd w:val="clear" w:color="auto" w:fill="auto"/>
            <w:vAlign w:val="center"/>
            <w:hideMark/>
          </w:tcPr>
          <w:p w14:paraId="0A37435A"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051F999B"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285494D8" w14:textId="77777777" w:rsidR="00AB1F19" w:rsidRPr="00311508" w:rsidRDefault="00AB1F19" w:rsidP="00AB1F19">
            <w:pPr>
              <w:jc w:val="right"/>
              <w:rPr>
                <w:rFonts w:ascii="CAIXA Std Book" w:eastAsia="Times New Roman" w:hAnsi="CAIXA Std Book" w:cs="Arial"/>
                <w:color w:val="005CA9"/>
                <w:sz w:val="16"/>
                <w:szCs w:val="16"/>
              </w:rPr>
            </w:pPr>
            <w:r w:rsidRPr="00311508">
              <w:rPr>
                <w:rFonts w:ascii="CAIXA Std Book" w:eastAsia="Times New Roman" w:hAnsi="CAIXA Std Book" w:cs="Arial"/>
                <w:color w:val="005CA9"/>
                <w:sz w:val="16"/>
                <w:szCs w:val="16"/>
              </w:rPr>
              <w:t>43.467.455</w:t>
            </w:r>
          </w:p>
        </w:tc>
        <w:tc>
          <w:tcPr>
            <w:tcW w:w="588" w:type="pct"/>
            <w:tcBorders>
              <w:top w:val="nil"/>
              <w:left w:val="nil"/>
              <w:bottom w:val="nil"/>
              <w:right w:val="nil"/>
            </w:tcBorders>
            <w:shd w:val="clear" w:color="auto" w:fill="auto"/>
            <w:vAlign w:val="center"/>
            <w:hideMark/>
          </w:tcPr>
          <w:p w14:paraId="4FDEEB86"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50.446.754</w:t>
            </w:r>
          </w:p>
        </w:tc>
      </w:tr>
      <w:tr w:rsidR="00AB1F19" w:rsidRPr="00414685" w14:paraId="45580765" w14:textId="77777777" w:rsidTr="0009270D">
        <w:trPr>
          <w:trHeight w:val="283"/>
        </w:trPr>
        <w:tc>
          <w:tcPr>
            <w:tcW w:w="2133" w:type="pct"/>
            <w:tcBorders>
              <w:top w:val="nil"/>
              <w:left w:val="nil"/>
              <w:bottom w:val="nil"/>
              <w:right w:val="nil"/>
            </w:tcBorders>
            <w:shd w:val="clear" w:color="auto" w:fill="auto"/>
            <w:vAlign w:val="center"/>
            <w:hideMark/>
          </w:tcPr>
          <w:p w14:paraId="78835264"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Letras do tesouro nacional</w:t>
            </w:r>
          </w:p>
        </w:tc>
        <w:tc>
          <w:tcPr>
            <w:tcW w:w="630" w:type="pct"/>
            <w:tcBorders>
              <w:top w:val="nil"/>
              <w:left w:val="nil"/>
              <w:bottom w:val="nil"/>
              <w:right w:val="nil"/>
            </w:tcBorders>
            <w:shd w:val="clear" w:color="auto" w:fill="auto"/>
            <w:vAlign w:val="center"/>
            <w:hideMark/>
          </w:tcPr>
          <w:p w14:paraId="60FCB3B9"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59.112.487</w:t>
            </w:r>
          </w:p>
        </w:tc>
        <w:tc>
          <w:tcPr>
            <w:tcW w:w="559" w:type="pct"/>
            <w:tcBorders>
              <w:top w:val="nil"/>
              <w:left w:val="nil"/>
              <w:bottom w:val="nil"/>
              <w:right w:val="nil"/>
            </w:tcBorders>
            <w:shd w:val="clear" w:color="auto" w:fill="auto"/>
            <w:vAlign w:val="center"/>
            <w:hideMark/>
          </w:tcPr>
          <w:p w14:paraId="5987A18A"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434D0319"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7C7CB95C" w14:textId="77777777" w:rsidR="00AB1F19" w:rsidRPr="00311508" w:rsidRDefault="00AB1F19" w:rsidP="00AB1F19">
            <w:pPr>
              <w:jc w:val="right"/>
              <w:rPr>
                <w:rFonts w:ascii="CAIXA Std Book" w:eastAsia="Times New Roman" w:hAnsi="CAIXA Std Book" w:cs="Arial"/>
                <w:color w:val="005CA9"/>
                <w:sz w:val="16"/>
                <w:szCs w:val="16"/>
              </w:rPr>
            </w:pPr>
            <w:r w:rsidRPr="00311508">
              <w:rPr>
                <w:rFonts w:ascii="CAIXA Std Book" w:eastAsia="Times New Roman" w:hAnsi="CAIXA Std Book" w:cs="Arial"/>
                <w:color w:val="005CA9"/>
                <w:sz w:val="16"/>
                <w:szCs w:val="16"/>
              </w:rPr>
              <w:t>59.112.487</w:t>
            </w:r>
          </w:p>
        </w:tc>
        <w:tc>
          <w:tcPr>
            <w:tcW w:w="588" w:type="pct"/>
            <w:tcBorders>
              <w:top w:val="nil"/>
              <w:left w:val="nil"/>
              <w:bottom w:val="nil"/>
              <w:right w:val="nil"/>
            </w:tcBorders>
            <w:shd w:val="clear" w:color="auto" w:fill="auto"/>
            <w:vAlign w:val="center"/>
            <w:hideMark/>
          </w:tcPr>
          <w:p w14:paraId="57DFF21C"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19.383.460</w:t>
            </w:r>
          </w:p>
        </w:tc>
      </w:tr>
      <w:tr w:rsidR="00AB1F19" w:rsidRPr="00414685" w14:paraId="31C6FED0" w14:textId="77777777" w:rsidTr="0009270D">
        <w:trPr>
          <w:trHeight w:val="283"/>
        </w:trPr>
        <w:tc>
          <w:tcPr>
            <w:tcW w:w="2133" w:type="pct"/>
            <w:tcBorders>
              <w:top w:val="nil"/>
              <w:left w:val="nil"/>
              <w:bottom w:val="nil"/>
              <w:right w:val="nil"/>
            </w:tcBorders>
            <w:shd w:val="clear" w:color="auto" w:fill="auto"/>
            <w:vAlign w:val="center"/>
            <w:hideMark/>
          </w:tcPr>
          <w:p w14:paraId="5D2084C2"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Notas do tesouro nacional</w:t>
            </w:r>
          </w:p>
        </w:tc>
        <w:tc>
          <w:tcPr>
            <w:tcW w:w="630" w:type="pct"/>
            <w:tcBorders>
              <w:top w:val="nil"/>
              <w:left w:val="nil"/>
              <w:bottom w:val="nil"/>
              <w:right w:val="nil"/>
            </w:tcBorders>
            <w:shd w:val="clear" w:color="auto" w:fill="auto"/>
            <w:vAlign w:val="center"/>
            <w:hideMark/>
          </w:tcPr>
          <w:p w14:paraId="4391E2DD"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19.551.414</w:t>
            </w:r>
          </w:p>
        </w:tc>
        <w:tc>
          <w:tcPr>
            <w:tcW w:w="559" w:type="pct"/>
            <w:tcBorders>
              <w:top w:val="nil"/>
              <w:left w:val="nil"/>
              <w:bottom w:val="nil"/>
              <w:right w:val="nil"/>
            </w:tcBorders>
            <w:shd w:val="clear" w:color="auto" w:fill="auto"/>
            <w:vAlign w:val="center"/>
            <w:hideMark/>
          </w:tcPr>
          <w:p w14:paraId="4EB910B3"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2CC289C1"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3E2B8C14" w14:textId="77777777" w:rsidR="00AB1F19" w:rsidRPr="00311508" w:rsidRDefault="00AB1F19" w:rsidP="00AB1F19">
            <w:pPr>
              <w:jc w:val="right"/>
              <w:rPr>
                <w:rFonts w:ascii="CAIXA Std Book" w:eastAsia="Times New Roman" w:hAnsi="CAIXA Std Book" w:cs="Arial"/>
                <w:color w:val="005CA9"/>
                <w:sz w:val="16"/>
                <w:szCs w:val="16"/>
              </w:rPr>
            </w:pPr>
            <w:r w:rsidRPr="00311508">
              <w:rPr>
                <w:rFonts w:ascii="CAIXA Std Book" w:eastAsia="Times New Roman" w:hAnsi="CAIXA Std Book" w:cs="Arial"/>
                <w:color w:val="005CA9"/>
                <w:sz w:val="16"/>
                <w:szCs w:val="16"/>
              </w:rPr>
              <w:t>19.551.414</w:t>
            </w:r>
          </w:p>
        </w:tc>
        <w:tc>
          <w:tcPr>
            <w:tcW w:w="588" w:type="pct"/>
            <w:tcBorders>
              <w:top w:val="nil"/>
              <w:left w:val="nil"/>
              <w:bottom w:val="nil"/>
              <w:right w:val="nil"/>
            </w:tcBorders>
            <w:shd w:val="clear" w:color="auto" w:fill="auto"/>
            <w:vAlign w:val="center"/>
            <w:hideMark/>
          </w:tcPr>
          <w:p w14:paraId="27A9A260"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52.756.982</w:t>
            </w:r>
          </w:p>
        </w:tc>
      </w:tr>
      <w:tr w:rsidR="00AB1F19" w:rsidRPr="00414685" w14:paraId="31EBE3F0" w14:textId="77777777" w:rsidTr="0009270D">
        <w:trPr>
          <w:trHeight w:val="283"/>
        </w:trPr>
        <w:tc>
          <w:tcPr>
            <w:tcW w:w="2133" w:type="pct"/>
            <w:tcBorders>
              <w:top w:val="nil"/>
              <w:left w:val="nil"/>
              <w:bottom w:val="nil"/>
              <w:right w:val="nil"/>
            </w:tcBorders>
            <w:shd w:val="clear" w:color="auto" w:fill="auto"/>
            <w:vAlign w:val="center"/>
            <w:hideMark/>
          </w:tcPr>
          <w:p w14:paraId="3A2A4568" w14:textId="77777777" w:rsidR="00AB1F19" w:rsidRPr="00414685" w:rsidRDefault="00AB1F19" w:rsidP="00AB1F19">
            <w:pP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Aplicações no mercado aberto - posição financiada</w:t>
            </w:r>
          </w:p>
        </w:tc>
        <w:tc>
          <w:tcPr>
            <w:tcW w:w="630" w:type="pct"/>
            <w:tcBorders>
              <w:top w:val="nil"/>
              <w:left w:val="nil"/>
              <w:bottom w:val="nil"/>
              <w:right w:val="nil"/>
            </w:tcBorders>
            <w:shd w:val="clear" w:color="auto" w:fill="auto"/>
            <w:vAlign w:val="center"/>
            <w:hideMark/>
          </w:tcPr>
          <w:p w14:paraId="02B58A71"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70.723.798</w:t>
            </w:r>
          </w:p>
        </w:tc>
        <w:tc>
          <w:tcPr>
            <w:tcW w:w="559" w:type="pct"/>
            <w:tcBorders>
              <w:top w:val="nil"/>
              <w:left w:val="nil"/>
              <w:bottom w:val="nil"/>
              <w:right w:val="nil"/>
            </w:tcBorders>
            <w:shd w:val="clear" w:color="auto" w:fill="auto"/>
            <w:vAlign w:val="center"/>
            <w:hideMark/>
          </w:tcPr>
          <w:p w14:paraId="098CB47F"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w:t>
            </w:r>
          </w:p>
        </w:tc>
        <w:tc>
          <w:tcPr>
            <w:tcW w:w="502" w:type="pct"/>
            <w:tcBorders>
              <w:top w:val="nil"/>
              <w:left w:val="nil"/>
              <w:bottom w:val="nil"/>
              <w:right w:val="nil"/>
            </w:tcBorders>
            <w:shd w:val="clear" w:color="auto" w:fill="auto"/>
            <w:vAlign w:val="center"/>
            <w:hideMark/>
          </w:tcPr>
          <w:p w14:paraId="75F51C64" w14:textId="77777777" w:rsidR="00AB1F19" w:rsidRPr="00414685" w:rsidRDefault="00AB1F19" w:rsidP="00AB1F19">
            <w:pPr>
              <w:jc w:val="cente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w:t>
            </w:r>
          </w:p>
        </w:tc>
        <w:tc>
          <w:tcPr>
            <w:tcW w:w="588" w:type="pct"/>
            <w:tcBorders>
              <w:top w:val="nil"/>
              <w:left w:val="nil"/>
              <w:bottom w:val="nil"/>
              <w:right w:val="nil"/>
            </w:tcBorders>
            <w:shd w:val="clear" w:color="auto" w:fill="auto"/>
            <w:vAlign w:val="center"/>
            <w:hideMark/>
          </w:tcPr>
          <w:p w14:paraId="574F1843"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70.723.798</w:t>
            </w:r>
          </w:p>
        </w:tc>
        <w:tc>
          <w:tcPr>
            <w:tcW w:w="588" w:type="pct"/>
            <w:tcBorders>
              <w:top w:val="nil"/>
              <w:left w:val="nil"/>
              <w:bottom w:val="nil"/>
              <w:right w:val="nil"/>
            </w:tcBorders>
            <w:shd w:val="clear" w:color="auto" w:fill="auto"/>
            <w:vAlign w:val="center"/>
            <w:hideMark/>
          </w:tcPr>
          <w:p w14:paraId="10629B48"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56.076.455</w:t>
            </w:r>
          </w:p>
        </w:tc>
      </w:tr>
      <w:tr w:rsidR="00AB1F19" w:rsidRPr="00414685" w14:paraId="2CC5580F" w14:textId="77777777" w:rsidTr="0009270D">
        <w:trPr>
          <w:trHeight w:val="283"/>
        </w:trPr>
        <w:tc>
          <w:tcPr>
            <w:tcW w:w="2133" w:type="pct"/>
            <w:tcBorders>
              <w:top w:val="nil"/>
              <w:left w:val="nil"/>
              <w:bottom w:val="nil"/>
              <w:right w:val="nil"/>
            </w:tcBorders>
            <w:shd w:val="clear" w:color="auto" w:fill="auto"/>
            <w:vAlign w:val="center"/>
            <w:hideMark/>
          </w:tcPr>
          <w:p w14:paraId="41942C4E"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Letras financeiras do tesouro</w:t>
            </w:r>
          </w:p>
        </w:tc>
        <w:tc>
          <w:tcPr>
            <w:tcW w:w="630" w:type="pct"/>
            <w:tcBorders>
              <w:top w:val="nil"/>
              <w:left w:val="nil"/>
              <w:bottom w:val="nil"/>
              <w:right w:val="nil"/>
            </w:tcBorders>
            <w:shd w:val="clear" w:color="auto" w:fill="auto"/>
            <w:vAlign w:val="center"/>
            <w:hideMark/>
          </w:tcPr>
          <w:p w14:paraId="6C747610"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36.921.451</w:t>
            </w:r>
          </w:p>
        </w:tc>
        <w:tc>
          <w:tcPr>
            <w:tcW w:w="559" w:type="pct"/>
            <w:tcBorders>
              <w:top w:val="nil"/>
              <w:left w:val="nil"/>
              <w:bottom w:val="nil"/>
              <w:right w:val="nil"/>
            </w:tcBorders>
            <w:shd w:val="clear" w:color="auto" w:fill="auto"/>
            <w:vAlign w:val="center"/>
            <w:hideMark/>
          </w:tcPr>
          <w:p w14:paraId="4AE239D3"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63D130C9"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6B4986C1"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36.921.451</w:t>
            </w:r>
          </w:p>
        </w:tc>
        <w:tc>
          <w:tcPr>
            <w:tcW w:w="588" w:type="pct"/>
            <w:tcBorders>
              <w:top w:val="nil"/>
              <w:left w:val="nil"/>
              <w:bottom w:val="nil"/>
              <w:right w:val="nil"/>
            </w:tcBorders>
            <w:shd w:val="clear" w:color="auto" w:fill="auto"/>
            <w:vAlign w:val="center"/>
            <w:hideMark/>
          </w:tcPr>
          <w:p w14:paraId="7EC37DFD"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r>
      <w:tr w:rsidR="00AB1F19" w:rsidRPr="00414685" w14:paraId="736826BB" w14:textId="77777777" w:rsidTr="0009270D">
        <w:trPr>
          <w:trHeight w:val="283"/>
        </w:trPr>
        <w:tc>
          <w:tcPr>
            <w:tcW w:w="2133" w:type="pct"/>
            <w:tcBorders>
              <w:top w:val="nil"/>
              <w:left w:val="nil"/>
              <w:bottom w:val="nil"/>
              <w:right w:val="nil"/>
            </w:tcBorders>
            <w:shd w:val="clear" w:color="auto" w:fill="auto"/>
            <w:vAlign w:val="center"/>
            <w:hideMark/>
          </w:tcPr>
          <w:p w14:paraId="29D008C0"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Letras do tesouro nacional</w:t>
            </w:r>
          </w:p>
        </w:tc>
        <w:tc>
          <w:tcPr>
            <w:tcW w:w="630" w:type="pct"/>
            <w:tcBorders>
              <w:top w:val="nil"/>
              <w:left w:val="nil"/>
              <w:bottom w:val="nil"/>
              <w:right w:val="nil"/>
            </w:tcBorders>
            <w:shd w:val="clear" w:color="auto" w:fill="auto"/>
            <w:vAlign w:val="center"/>
            <w:hideMark/>
          </w:tcPr>
          <w:p w14:paraId="2CEC644D" w14:textId="77777777" w:rsidR="00AB1F19" w:rsidRPr="00914613" w:rsidRDefault="00AB1F19" w:rsidP="00AB1F19">
            <w:pPr>
              <w:jc w:val="center"/>
              <w:rPr>
                <w:rFonts w:ascii="CAIXA Std Book" w:eastAsia="Times New Roman" w:hAnsi="CAIXA Std Book" w:cs="Arial"/>
                <w:color w:val="005CA9"/>
                <w:sz w:val="16"/>
                <w:szCs w:val="16"/>
              </w:rPr>
            </w:pPr>
            <w:r w:rsidRPr="00914613">
              <w:rPr>
                <w:rFonts w:ascii="CAIXA Std Book" w:eastAsia="Times New Roman" w:hAnsi="CAIXA Std Book" w:cs="Arial"/>
                <w:color w:val="005CA9"/>
                <w:sz w:val="16"/>
                <w:szCs w:val="16"/>
              </w:rPr>
              <w:t>-</w:t>
            </w:r>
          </w:p>
        </w:tc>
        <w:tc>
          <w:tcPr>
            <w:tcW w:w="559" w:type="pct"/>
            <w:tcBorders>
              <w:top w:val="nil"/>
              <w:left w:val="nil"/>
              <w:bottom w:val="nil"/>
              <w:right w:val="nil"/>
            </w:tcBorders>
            <w:shd w:val="clear" w:color="auto" w:fill="auto"/>
            <w:vAlign w:val="center"/>
            <w:hideMark/>
          </w:tcPr>
          <w:p w14:paraId="03D09A72" w14:textId="77777777" w:rsidR="00AB1F19" w:rsidRPr="00914613" w:rsidRDefault="00AB1F19" w:rsidP="00AB1F19">
            <w:pPr>
              <w:jc w:val="center"/>
              <w:rPr>
                <w:rFonts w:ascii="CAIXA Std Book" w:eastAsia="Times New Roman" w:hAnsi="CAIXA Std Book" w:cs="Arial"/>
                <w:color w:val="005CA9"/>
                <w:sz w:val="16"/>
                <w:szCs w:val="16"/>
              </w:rPr>
            </w:pPr>
            <w:r w:rsidRPr="00914613">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74C1AAED" w14:textId="77777777" w:rsidR="00AB1F19" w:rsidRPr="00914613" w:rsidRDefault="00AB1F19" w:rsidP="00AB1F19">
            <w:pPr>
              <w:jc w:val="center"/>
              <w:rPr>
                <w:rFonts w:ascii="CAIXA Std Book" w:eastAsia="Times New Roman" w:hAnsi="CAIXA Std Book" w:cs="Arial"/>
                <w:color w:val="005CA9"/>
                <w:sz w:val="16"/>
                <w:szCs w:val="16"/>
              </w:rPr>
            </w:pPr>
            <w:r w:rsidRPr="00914613">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44C74A0C" w14:textId="77777777" w:rsidR="00AB1F19" w:rsidRPr="00914613" w:rsidRDefault="00AB1F19" w:rsidP="00AB1F19">
            <w:pPr>
              <w:jc w:val="center"/>
              <w:rPr>
                <w:rFonts w:ascii="CAIXA Std Book" w:eastAsia="Times New Roman" w:hAnsi="CAIXA Std Book" w:cs="Arial"/>
                <w:color w:val="005CA9"/>
                <w:sz w:val="16"/>
                <w:szCs w:val="16"/>
              </w:rPr>
            </w:pPr>
            <w:r w:rsidRPr="00914613">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2C708341"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28.902.560</w:t>
            </w:r>
          </w:p>
        </w:tc>
      </w:tr>
      <w:tr w:rsidR="00AB1F19" w:rsidRPr="00414685" w14:paraId="64DC600F" w14:textId="77777777" w:rsidTr="0009270D">
        <w:trPr>
          <w:trHeight w:val="283"/>
        </w:trPr>
        <w:tc>
          <w:tcPr>
            <w:tcW w:w="2133" w:type="pct"/>
            <w:tcBorders>
              <w:top w:val="nil"/>
              <w:left w:val="nil"/>
              <w:bottom w:val="nil"/>
              <w:right w:val="nil"/>
            </w:tcBorders>
            <w:shd w:val="clear" w:color="auto" w:fill="auto"/>
            <w:vAlign w:val="center"/>
            <w:hideMark/>
          </w:tcPr>
          <w:p w14:paraId="7DA2D721"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Notas do tesouro nacional</w:t>
            </w:r>
          </w:p>
        </w:tc>
        <w:tc>
          <w:tcPr>
            <w:tcW w:w="630" w:type="pct"/>
            <w:tcBorders>
              <w:top w:val="nil"/>
              <w:left w:val="nil"/>
              <w:bottom w:val="nil"/>
              <w:right w:val="nil"/>
            </w:tcBorders>
            <w:shd w:val="clear" w:color="auto" w:fill="auto"/>
            <w:vAlign w:val="center"/>
            <w:hideMark/>
          </w:tcPr>
          <w:p w14:paraId="6B240F49"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33.802.347</w:t>
            </w:r>
          </w:p>
        </w:tc>
        <w:tc>
          <w:tcPr>
            <w:tcW w:w="559" w:type="pct"/>
            <w:tcBorders>
              <w:top w:val="nil"/>
              <w:left w:val="nil"/>
              <w:bottom w:val="nil"/>
              <w:right w:val="nil"/>
            </w:tcBorders>
            <w:shd w:val="clear" w:color="auto" w:fill="auto"/>
            <w:vAlign w:val="center"/>
            <w:hideMark/>
          </w:tcPr>
          <w:p w14:paraId="616B5EED"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nil"/>
              <w:right w:val="nil"/>
            </w:tcBorders>
            <w:shd w:val="clear" w:color="auto" w:fill="auto"/>
            <w:vAlign w:val="center"/>
            <w:hideMark/>
          </w:tcPr>
          <w:p w14:paraId="6F258A3A"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0E34D500"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33.802.347</w:t>
            </w:r>
          </w:p>
        </w:tc>
        <w:tc>
          <w:tcPr>
            <w:tcW w:w="588" w:type="pct"/>
            <w:tcBorders>
              <w:top w:val="nil"/>
              <w:left w:val="nil"/>
              <w:bottom w:val="nil"/>
              <w:right w:val="nil"/>
            </w:tcBorders>
            <w:shd w:val="clear" w:color="auto" w:fill="auto"/>
            <w:vAlign w:val="center"/>
            <w:hideMark/>
          </w:tcPr>
          <w:p w14:paraId="1BDC1348"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27.173.895</w:t>
            </w:r>
          </w:p>
        </w:tc>
      </w:tr>
      <w:tr w:rsidR="00AB1F19" w:rsidRPr="00414685" w14:paraId="03563864" w14:textId="77777777" w:rsidTr="0009270D">
        <w:trPr>
          <w:trHeight w:val="283"/>
        </w:trPr>
        <w:tc>
          <w:tcPr>
            <w:tcW w:w="2133" w:type="pct"/>
            <w:tcBorders>
              <w:top w:val="nil"/>
              <w:left w:val="nil"/>
              <w:bottom w:val="nil"/>
              <w:right w:val="nil"/>
            </w:tcBorders>
            <w:shd w:val="clear" w:color="auto" w:fill="auto"/>
            <w:vAlign w:val="center"/>
            <w:hideMark/>
          </w:tcPr>
          <w:p w14:paraId="755E1469" w14:textId="77777777" w:rsidR="00AB1F19" w:rsidRPr="00414685" w:rsidRDefault="00AB1F19" w:rsidP="00AB1F19">
            <w:pPr>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Aplicações em depósitos interfinanceiros</w:t>
            </w:r>
          </w:p>
        </w:tc>
        <w:tc>
          <w:tcPr>
            <w:tcW w:w="630" w:type="pct"/>
            <w:tcBorders>
              <w:top w:val="nil"/>
              <w:left w:val="nil"/>
              <w:bottom w:val="nil"/>
              <w:right w:val="nil"/>
            </w:tcBorders>
            <w:shd w:val="clear" w:color="auto" w:fill="auto"/>
            <w:vAlign w:val="center"/>
            <w:hideMark/>
          </w:tcPr>
          <w:p w14:paraId="3541EEBD"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173.138</w:t>
            </w:r>
          </w:p>
        </w:tc>
        <w:tc>
          <w:tcPr>
            <w:tcW w:w="559" w:type="pct"/>
            <w:tcBorders>
              <w:top w:val="nil"/>
              <w:left w:val="nil"/>
              <w:bottom w:val="nil"/>
              <w:right w:val="nil"/>
            </w:tcBorders>
            <w:shd w:val="clear" w:color="auto" w:fill="auto"/>
            <w:vAlign w:val="center"/>
            <w:hideMark/>
          </w:tcPr>
          <w:p w14:paraId="3D70A665"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3.055.206</w:t>
            </w:r>
          </w:p>
        </w:tc>
        <w:tc>
          <w:tcPr>
            <w:tcW w:w="502" w:type="pct"/>
            <w:tcBorders>
              <w:top w:val="nil"/>
              <w:left w:val="nil"/>
              <w:bottom w:val="nil"/>
              <w:right w:val="nil"/>
            </w:tcBorders>
            <w:shd w:val="clear" w:color="auto" w:fill="auto"/>
            <w:vAlign w:val="center"/>
            <w:hideMark/>
          </w:tcPr>
          <w:p w14:paraId="25AC5373"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104.428</w:t>
            </w:r>
          </w:p>
        </w:tc>
        <w:tc>
          <w:tcPr>
            <w:tcW w:w="588" w:type="pct"/>
            <w:tcBorders>
              <w:top w:val="nil"/>
              <w:left w:val="nil"/>
              <w:bottom w:val="nil"/>
              <w:right w:val="nil"/>
            </w:tcBorders>
            <w:shd w:val="clear" w:color="auto" w:fill="auto"/>
            <w:vAlign w:val="center"/>
            <w:hideMark/>
          </w:tcPr>
          <w:p w14:paraId="5F0A25B0"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3.332.772</w:t>
            </w:r>
          </w:p>
        </w:tc>
        <w:tc>
          <w:tcPr>
            <w:tcW w:w="588" w:type="pct"/>
            <w:tcBorders>
              <w:top w:val="nil"/>
              <w:left w:val="nil"/>
              <w:bottom w:val="nil"/>
              <w:right w:val="nil"/>
            </w:tcBorders>
            <w:shd w:val="clear" w:color="auto" w:fill="auto"/>
            <w:vAlign w:val="center"/>
            <w:hideMark/>
          </w:tcPr>
          <w:p w14:paraId="2354B2A5"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2.315.315</w:t>
            </w:r>
          </w:p>
        </w:tc>
      </w:tr>
      <w:tr w:rsidR="00AB1F19" w:rsidRPr="00414685" w14:paraId="0CAB545A" w14:textId="77777777" w:rsidTr="0009270D">
        <w:trPr>
          <w:trHeight w:val="283"/>
        </w:trPr>
        <w:tc>
          <w:tcPr>
            <w:tcW w:w="2133" w:type="pct"/>
            <w:tcBorders>
              <w:top w:val="nil"/>
              <w:left w:val="nil"/>
              <w:bottom w:val="nil"/>
              <w:right w:val="nil"/>
            </w:tcBorders>
            <w:shd w:val="clear" w:color="auto" w:fill="auto"/>
            <w:vAlign w:val="center"/>
            <w:hideMark/>
          </w:tcPr>
          <w:p w14:paraId="1DBDFCA4"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Depósitos interfinanceiros</w:t>
            </w:r>
          </w:p>
        </w:tc>
        <w:tc>
          <w:tcPr>
            <w:tcW w:w="630" w:type="pct"/>
            <w:tcBorders>
              <w:top w:val="nil"/>
              <w:left w:val="nil"/>
              <w:bottom w:val="nil"/>
              <w:right w:val="nil"/>
            </w:tcBorders>
            <w:shd w:val="clear" w:color="auto" w:fill="auto"/>
            <w:vAlign w:val="center"/>
            <w:hideMark/>
          </w:tcPr>
          <w:p w14:paraId="1C91EEC8"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173.161</w:t>
            </w:r>
          </w:p>
        </w:tc>
        <w:tc>
          <w:tcPr>
            <w:tcW w:w="559" w:type="pct"/>
            <w:tcBorders>
              <w:top w:val="nil"/>
              <w:left w:val="nil"/>
              <w:bottom w:val="nil"/>
              <w:right w:val="nil"/>
            </w:tcBorders>
            <w:shd w:val="clear" w:color="auto" w:fill="auto"/>
            <w:vAlign w:val="center"/>
            <w:hideMark/>
          </w:tcPr>
          <w:p w14:paraId="258221E9"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328.914</w:t>
            </w:r>
          </w:p>
        </w:tc>
        <w:tc>
          <w:tcPr>
            <w:tcW w:w="502" w:type="pct"/>
            <w:tcBorders>
              <w:top w:val="nil"/>
              <w:left w:val="nil"/>
              <w:bottom w:val="nil"/>
              <w:right w:val="nil"/>
            </w:tcBorders>
            <w:shd w:val="clear" w:color="auto" w:fill="auto"/>
            <w:vAlign w:val="center"/>
            <w:hideMark/>
          </w:tcPr>
          <w:p w14:paraId="0C5BA46A"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88" w:type="pct"/>
            <w:tcBorders>
              <w:top w:val="nil"/>
              <w:left w:val="nil"/>
              <w:bottom w:val="nil"/>
              <w:right w:val="nil"/>
            </w:tcBorders>
            <w:shd w:val="clear" w:color="auto" w:fill="auto"/>
            <w:vAlign w:val="center"/>
            <w:hideMark/>
          </w:tcPr>
          <w:p w14:paraId="32BF35E6"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502.075</w:t>
            </w:r>
          </w:p>
        </w:tc>
        <w:tc>
          <w:tcPr>
            <w:tcW w:w="588" w:type="pct"/>
            <w:tcBorders>
              <w:top w:val="nil"/>
              <w:left w:val="nil"/>
              <w:bottom w:val="nil"/>
              <w:right w:val="nil"/>
            </w:tcBorders>
            <w:shd w:val="clear" w:color="auto" w:fill="auto"/>
            <w:vAlign w:val="center"/>
            <w:hideMark/>
          </w:tcPr>
          <w:p w14:paraId="6C8385A7"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613.186</w:t>
            </w:r>
          </w:p>
        </w:tc>
      </w:tr>
      <w:tr w:rsidR="00AB1F19" w:rsidRPr="00414685" w14:paraId="2607C498" w14:textId="77777777" w:rsidTr="0009270D">
        <w:trPr>
          <w:trHeight w:val="283"/>
        </w:trPr>
        <w:tc>
          <w:tcPr>
            <w:tcW w:w="2133" w:type="pct"/>
            <w:tcBorders>
              <w:top w:val="nil"/>
              <w:left w:val="nil"/>
              <w:bottom w:val="nil"/>
              <w:right w:val="nil"/>
            </w:tcBorders>
            <w:shd w:val="clear" w:color="auto" w:fill="auto"/>
            <w:vAlign w:val="center"/>
            <w:hideMark/>
          </w:tcPr>
          <w:p w14:paraId="23CFBDC4"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Depósitos interfinanceiros - crédito rural</w:t>
            </w:r>
          </w:p>
        </w:tc>
        <w:tc>
          <w:tcPr>
            <w:tcW w:w="630" w:type="pct"/>
            <w:tcBorders>
              <w:top w:val="nil"/>
              <w:left w:val="nil"/>
              <w:bottom w:val="nil"/>
              <w:right w:val="nil"/>
            </w:tcBorders>
            <w:shd w:val="clear" w:color="auto" w:fill="auto"/>
            <w:vAlign w:val="center"/>
            <w:hideMark/>
          </w:tcPr>
          <w:p w14:paraId="73AFBD1A"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59" w:type="pct"/>
            <w:tcBorders>
              <w:top w:val="nil"/>
              <w:left w:val="nil"/>
              <w:bottom w:val="nil"/>
              <w:right w:val="nil"/>
            </w:tcBorders>
            <w:shd w:val="clear" w:color="auto" w:fill="auto"/>
            <w:vAlign w:val="center"/>
            <w:hideMark/>
          </w:tcPr>
          <w:p w14:paraId="37F6716D"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2.726.292</w:t>
            </w:r>
          </w:p>
        </w:tc>
        <w:tc>
          <w:tcPr>
            <w:tcW w:w="502" w:type="pct"/>
            <w:tcBorders>
              <w:top w:val="nil"/>
              <w:left w:val="nil"/>
              <w:bottom w:val="nil"/>
              <w:right w:val="nil"/>
            </w:tcBorders>
            <w:shd w:val="clear" w:color="auto" w:fill="auto"/>
            <w:vAlign w:val="center"/>
            <w:hideMark/>
          </w:tcPr>
          <w:p w14:paraId="046A3A7E"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104.858</w:t>
            </w:r>
          </w:p>
        </w:tc>
        <w:tc>
          <w:tcPr>
            <w:tcW w:w="588" w:type="pct"/>
            <w:tcBorders>
              <w:top w:val="nil"/>
              <w:left w:val="nil"/>
              <w:bottom w:val="nil"/>
              <w:right w:val="nil"/>
            </w:tcBorders>
            <w:shd w:val="clear" w:color="auto" w:fill="auto"/>
            <w:vAlign w:val="center"/>
            <w:hideMark/>
          </w:tcPr>
          <w:p w14:paraId="7A52A9B8"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2.831.150</w:t>
            </w:r>
          </w:p>
        </w:tc>
        <w:tc>
          <w:tcPr>
            <w:tcW w:w="588" w:type="pct"/>
            <w:tcBorders>
              <w:top w:val="nil"/>
              <w:left w:val="nil"/>
              <w:bottom w:val="nil"/>
              <w:right w:val="nil"/>
            </w:tcBorders>
            <w:shd w:val="clear" w:color="auto" w:fill="auto"/>
            <w:vAlign w:val="center"/>
            <w:hideMark/>
          </w:tcPr>
          <w:p w14:paraId="5045EFA7"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1.702.565</w:t>
            </w:r>
          </w:p>
        </w:tc>
      </w:tr>
      <w:tr w:rsidR="00AB1F19" w:rsidRPr="00414685" w14:paraId="45ED078A" w14:textId="77777777" w:rsidTr="0009270D">
        <w:trPr>
          <w:trHeight w:val="283"/>
        </w:trPr>
        <w:tc>
          <w:tcPr>
            <w:tcW w:w="2133" w:type="pct"/>
            <w:tcBorders>
              <w:top w:val="nil"/>
              <w:left w:val="nil"/>
              <w:bottom w:val="single" w:sz="4" w:space="0" w:color="ED7D31"/>
              <w:right w:val="nil"/>
            </w:tcBorders>
            <w:shd w:val="clear" w:color="auto" w:fill="auto"/>
            <w:vAlign w:val="center"/>
            <w:hideMark/>
          </w:tcPr>
          <w:p w14:paraId="130DB66A" w14:textId="77777777" w:rsidR="00AB1F19" w:rsidRPr="00414685" w:rsidRDefault="00AB1F19" w:rsidP="00AB1F19">
            <w:pPr>
              <w:ind w:firstLineChars="100" w:firstLine="160"/>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Provisão para perdas em depósitos interfinanceiros</w:t>
            </w:r>
          </w:p>
        </w:tc>
        <w:tc>
          <w:tcPr>
            <w:tcW w:w="630" w:type="pct"/>
            <w:tcBorders>
              <w:top w:val="nil"/>
              <w:left w:val="nil"/>
              <w:bottom w:val="single" w:sz="4" w:space="0" w:color="ED7D31"/>
              <w:right w:val="nil"/>
            </w:tcBorders>
            <w:shd w:val="clear" w:color="auto" w:fill="auto"/>
            <w:vAlign w:val="center"/>
            <w:hideMark/>
          </w:tcPr>
          <w:p w14:paraId="101BC705" w14:textId="2D886A23"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(23)</w:t>
            </w:r>
          </w:p>
        </w:tc>
        <w:tc>
          <w:tcPr>
            <w:tcW w:w="559" w:type="pct"/>
            <w:tcBorders>
              <w:top w:val="nil"/>
              <w:left w:val="nil"/>
              <w:bottom w:val="single" w:sz="4" w:space="0" w:color="ED7D31"/>
              <w:right w:val="nil"/>
            </w:tcBorders>
            <w:shd w:val="clear" w:color="auto" w:fill="auto"/>
            <w:vAlign w:val="center"/>
            <w:hideMark/>
          </w:tcPr>
          <w:p w14:paraId="14AEBB5F" w14:textId="77777777" w:rsidR="00AB1F19" w:rsidRPr="00414685" w:rsidRDefault="00AB1F19" w:rsidP="00AB1F19">
            <w:pPr>
              <w:jc w:val="cente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w:t>
            </w:r>
          </w:p>
        </w:tc>
        <w:tc>
          <w:tcPr>
            <w:tcW w:w="502" w:type="pct"/>
            <w:tcBorders>
              <w:top w:val="nil"/>
              <w:left w:val="nil"/>
              <w:bottom w:val="single" w:sz="4" w:space="0" w:color="ED7D31"/>
              <w:right w:val="nil"/>
            </w:tcBorders>
            <w:shd w:val="clear" w:color="auto" w:fill="auto"/>
            <w:vAlign w:val="center"/>
            <w:hideMark/>
          </w:tcPr>
          <w:p w14:paraId="0E56F9F7" w14:textId="3B0123FF"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(430)</w:t>
            </w:r>
          </w:p>
        </w:tc>
        <w:tc>
          <w:tcPr>
            <w:tcW w:w="588" w:type="pct"/>
            <w:tcBorders>
              <w:top w:val="nil"/>
              <w:left w:val="nil"/>
              <w:bottom w:val="single" w:sz="4" w:space="0" w:color="ED7D31"/>
              <w:right w:val="nil"/>
            </w:tcBorders>
            <w:shd w:val="clear" w:color="auto" w:fill="auto"/>
            <w:vAlign w:val="center"/>
            <w:hideMark/>
          </w:tcPr>
          <w:p w14:paraId="39C03306" w14:textId="39D7095C"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(453)</w:t>
            </w:r>
          </w:p>
        </w:tc>
        <w:tc>
          <w:tcPr>
            <w:tcW w:w="588" w:type="pct"/>
            <w:tcBorders>
              <w:top w:val="nil"/>
              <w:left w:val="nil"/>
              <w:bottom w:val="single" w:sz="4" w:space="0" w:color="ED7D31"/>
              <w:right w:val="nil"/>
            </w:tcBorders>
            <w:shd w:val="clear" w:color="auto" w:fill="auto"/>
            <w:vAlign w:val="center"/>
            <w:hideMark/>
          </w:tcPr>
          <w:p w14:paraId="1D725329" w14:textId="2154CDF0"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(436)</w:t>
            </w:r>
          </w:p>
        </w:tc>
      </w:tr>
      <w:tr w:rsidR="00AB1F19" w:rsidRPr="00414685" w14:paraId="155C11D2" w14:textId="77777777" w:rsidTr="0009270D">
        <w:trPr>
          <w:trHeight w:val="283"/>
        </w:trPr>
        <w:tc>
          <w:tcPr>
            <w:tcW w:w="2133" w:type="pct"/>
            <w:tcBorders>
              <w:top w:val="single" w:sz="4" w:space="0" w:color="ED7D31"/>
              <w:left w:val="nil"/>
              <w:bottom w:val="single" w:sz="4" w:space="0" w:color="ED7D31"/>
              <w:right w:val="nil"/>
            </w:tcBorders>
            <w:shd w:val="clear" w:color="auto" w:fill="auto"/>
            <w:vAlign w:val="center"/>
            <w:hideMark/>
          </w:tcPr>
          <w:p w14:paraId="31470317" w14:textId="77777777" w:rsidR="00AB1F19" w:rsidRPr="00414685" w:rsidRDefault="00AB1F19" w:rsidP="00AB1F19">
            <w:pPr>
              <w:rPr>
                <w:rFonts w:ascii="CAIXA Std Book" w:eastAsia="Times New Roman" w:hAnsi="CAIXA Std Book" w:cs="Arial"/>
                <w:b/>
                <w:bCs/>
                <w:color w:val="005CA9"/>
                <w:sz w:val="16"/>
                <w:szCs w:val="16"/>
              </w:rPr>
            </w:pPr>
            <w:bookmarkStart w:id="42" w:name="OLE_LINK26" w:colFirst="4" w:colLast="5"/>
            <w:r w:rsidRPr="00414685">
              <w:rPr>
                <w:rFonts w:ascii="CAIXA Std Book" w:eastAsia="Times New Roman" w:hAnsi="CAIXA Std Book" w:cs="Arial"/>
                <w:b/>
                <w:bCs/>
                <w:color w:val="005CA9"/>
                <w:sz w:val="16"/>
                <w:szCs w:val="16"/>
              </w:rPr>
              <w:t xml:space="preserve">Total </w:t>
            </w:r>
          </w:p>
        </w:tc>
        <w:tc>
          <w:tcPr>
            <w:tcW w:w="630" w:type="pct"/>
            <w:tcBorders>
              <w:top w:val="single" w:sz="4" w:space="0" w:color="ED7D31"/>
              <w:left w:val="nil"/>
              <w:bottom w:val="single" w:sz="4" w:space="0" w:color="ED7D31"/>
              <w:right w:val="nil"/>
            </w:tcBorders>
            <w:shd w:val="clear" w:color="auto" w:fill="auto"/>
            <w:vAlign w:val="center"/>
            <w:hideMark/>
          </w:tcPr>
          <w:p w14:paraId="0C4E478D"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193.028.292</w:t>
            </w:r>
          </w:p>
        </w:tc>
        <w:tc>
          <w:tcPr>
            <w:tcW w:w="559" w:type="pct"/>
            <w:tcBorders>
              <w:top w:val="single" w:sz="4" w:space="0" w:color="ED7D31"/>
              <w:left w:val="nil"/>
              <w:bottom w:val="single" w:sz="4" w:space="0" w:color="ED7D31"/>
              <w:right w:val="nil"/>
            </w:tcBorders>
            <w:shd w:val="clear" w:color="auto" w:fill="auto"/>
            <w:vAlign w:val="center"/>
            <w:hideMark/>
          </w:tcPr>
          <w:p w14:paraId="321B968F"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3.055.206</w:t>
            </w:r>
          </w:p>
        </w:tc>
        <w:tc>
          <w:tcPr>
            <w:tcW w:w="502" w:type="pct"/>
            <w:tcBorders>
              <w:top w:val="single" w:sz="4" w:space="0" w:color="ED7D31"/>
              <w:left w:val="nil"/>
              <w:bottom w:val="single" w:sz="4" w:space="0" w:color="ED7D31"/>
              <w:right w:val="nil"/>
            </w:tcBorders>
            <w:shd w:val="clear" w:color="auto" w:fill="auto"/>
            <w:vAlign w:val="center"/>
            <w:hideMark/>
          </w:tcPr>
          <w:p w14:paraId="676BB77A"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104.428</w:t>
            </w:r>
          </w:p>
        </w:tc>
        <w:tc>
          <w:tcPr>
            <w:tcW w:w="588" w:type="pct"/>
            <w:tcBorders>
              <w:top w:val="single" w:sz="4" w:space="0" w:color="ED7D31"/>
              <w:left w:val="nil"/>
              <w:bottom w:val="single" w:sz="4" w:space="0" w:color="ED7D31"/>
              <w:right w:val="nil"/>
            </w:tcBorders>
            <w:shd w:val="clear" w:color="auto" w:fill="auto"/>
            <w:vAlign w:val="center"/>
            <w:hideMark/>
          </w:tcPr>
          <w:p w14:paraId="2A6AA0C2" w14:textId="77777777" w:rsidR="00AB1F19" w:rsidRPr="00414685" w:rsidRDefault="00AB1F19" w:rsidP="00AB1F19">
            <w:pPr>
              <w:jc w:val="right"/>
              <w:rPr>
                <w:rFonts w:ascii="CAIXA Std Book" w:eastAsia="Times New Roman" w:hAnsi="CAIXA Std Book" w:cs="Arial"/>
                <w:b/>
                <w:bCs/>
                <w:color w:val="005CA9"/>
                <w:sz w:val="16"/>
                <w:szCs w:val="16"/>
              </w:rPr>
            </w:pPr>
            <w:bookmarkStart w:id="43" w:name="OLE_LINK12"/>
            <w:r w:rsidRPr="00414685">
              <w:rPr>
                <w:rFonts w:ascii="CAIXA Std Book" w:eastAsia="Times New Roman" w:hAnsi="CAIXA Std Book" w:cs="Arial"/>
                <w:b/>
                <w:bCs/>
                <w:color w:val="005CA9"/>
                <w:sz w:val="16"/>
                <w:szCs w:val="16"/>
              </w:rPr>
              <w:t>196.187.926</w:t>
            </w:r>
            <w:bookmarkEnd w:id="43"/>
          </w:p>
        </w:tc>
        <w:tc>
          <w:tcPr>
            <w:tcW w:w="588" w:type="pct"/>
            <w:tcBorders>
              <w:top w:val="single" w:sz="4" w:space="0" w:color="ED7D31"/>
              <w:left w:val="nil"/>
              <w:bottom w:val="single" w:sz="4" w:space="0" w:color="ED7D31"/>
              <w:right w:val="nil"/>
            </w:tcBorders>
            <w:shd w:val="clear" w:color="auto" w:fill="auto"/>
            <w:vAlign w:val="center"/>
            <w:hideMark/>
          </w:tcPr>
          <w:p w14:paraId="57A5F95C" w14:textId="77777777" w:rsidR="00AB1F19" w:rsidRPr="00414685" w:rsidRDefault="00AB1F19" w:rsidP="00AB1F19">
            <w:pPr>
              <w:jc w:val="right"/>
              <w:rPr>
                <w:rFonts w:ascii="CAIXA Std Book" w:eastAsia="Times New Roman" w:hAnsi="CAIXA Std Book" w:cs="Arial"/>
                <w:b/>
                <w:bCs/>
                <w:color w:val="005CA9"/>
                <w:sz w:val="16"/>
                <w:szCs w:val="16"/>
              </w:rPr>
            </w:pPr>
            <w:r w:rsidRPr="00414685">
              <w:rPr>
                <w:rFonts w:ascii="CAIXA Std Book" w:eastAsia="Times New Roman" w:hAnsi="CAIXA Std Book" w:cs="Arial"/>
                <w:b/>
                <w:bCs/>
                <w:color w:val="005CA9"/>
                <w:sz w:val="16"/>
                <w:szCs w:val="16"/>
              </w:rPr>
              <w:t>180.978.966</w:t>
            </w:r>
          </w:p>
        </w:tc>
      </w:tr>
      <w:bookmarkEnd w:id="42"/>
      <w:tr w:rsidR="00AB1F19" w:rsidRPr="00414685" w14:paraId="31CF60FF" w14:textId="77777777" w:rsidTr="0009270D">
        <w:trPr>
          <w:trHeight w:val="283"/>
        </w:trPr>
        <w:tc>
          <w:tcPr>
            <w:tcW w:w="2133" w:type="pct"/>
            <w:tcBorders>
              <w:top w:val="single" w:sz="4" w:space="0" w:color="ED7D31"/>
              <w:left w:val="nil"/>
              <w:right w:val="nil"/>
            </w:tcBorders>
            <w:shd w:val="clear" w:color="auto" w:fill="auto"/>
            <w:vAlign w:val="center"/>
            <w:hideMark/>
          </w:tcPr>
          <w:p w14:paraId="08245F23" w14:textId="77777777" w:rsidR="00AB1F19" w:rsidRPr="00414685" w:rsidRDefault="00AB1F19" w:rsidP="00AB1F19">
            <w:pP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Ativo circulante</w:t>
            </w:r>
          </w:p>
        </w:tc>
        <w:tc>
          <w:tcPr>
            <w:tcW w:w="630" w:type="pct"/>
            <w:tcBorders>
              <w:top w:val="single" w:sz="4" w:space="0" w:color="ED7D31"/>
              <w:left w:val="nil"/>
              <w:right w:val="nil"/>
            </w:tcBorders>
            <w:shd w:val="clear" w:color="auto" w:fill="auto"/>
            <w:vAlign w:val="center"/>
            <w:hideMark/>
          </w:tcPr>
          <w:p w14:paraId="76627DE1" w14:textId="77777777" w:rsidR="00AB1F19" w:rsidRPr="00414685" w:rsidRDefault="00AB1F19" w:rsidP="00AB1F19">
            <w:pPr>
              <w:rPr>
                <w:rFonts w:ascii="CAIXA Std Book" w:eastAsia="Times New Roman" w:hAnsi="CAIXA Std Book" w:cs="Arial"/>
                <w:color w:val="005CA9"/>
                <w:sz w:val="16"/>
                <w:szCs w:val="16"/>
              </w:rPr>
            </w:pPr>
          </w:p>
        </w:tc>
        <w:tc>
          <w:tcPr>
            <w:tcW w:w="559" w:type="pct"/>
            <w:tcBorders>
              <w:top w:val="single" w:sz="4" w:space="0" w:color="ED7D31"/>
              <w:left w:val="nil"/>
              <w:right w:val="nil"/>
            </w:tcBorders>
            <w:shd w:val="clear" w:color="auto" w:fill="auto"/>
            <w:vAlign w:val="center"/>
            <w:hideMark/>
          </w:tcPr>
          <w:p w14:paraId="3B841B79" w14:textId="77777777" w:rsidR="00AB1F19" w:rsidRPr="00616EE1" w:rsidRDefault="00AB1F19" w:rsidP="00AB1F19">
            <w:pPr>
              <w:jc w:val="right"/>
              <w:rPr>
                <w:rFonts w:ascii="CAIXA Std Book" w:eastAsia="Times New Roman" w:hAnsi="CAIXA Std Book" w:cs="Times New Roman"/>
                <w:color w:val="005CA9"/>
                <w:sz w:val="16"/>
                <w:szCs w:val="16"/>
              </w:rPr>
            </w:pPr>
          </w:p>
        </w:tc>
        <w:tc>
          <w:tcPr>
            <w:tcW w:w="502" w:type="pct"/>
            <w:tcBorders>
              <w:top w:val="single" w:sz="4" w:space="0" w:color="ED7D31"/>
              <w:left w:val="nil"/>
              <w:right w:val="nil"/>
            </w:tcBorders>
            <w:shd w:val="clear" w:color="auto" w:fill="auto"/>
            <w:vAlign w:val="center"/>
            <w:hideMark/>
          </w:tcPr>
          <w:p w14:paraId="561EB8D0" w14:textId="77777777" w:rsidR="00AB1F19" w:rsidRPr="00616EE1" w:rsidRDefault="00AB1F19" w:rsidP="00AB1F19">
            <w:pPr>
              <w:jc w:val="right"/>
              <w:rPr>
                <w:rFonts w:ascii="CAIXA Std Book" w:eastAsia="Times New Roman" w:hAnsi="CAIXA Std Book" w:cs="Times New Roman"/>
                <w:color w:val="005CA9"/>
                <w:sz w:val="16"/>
                <w:szCs w:val="16"/>
              </w:rPr>
            </w:pPr>
          </w:p>
        </w:tc>
        <w:tc>
          <w:tcPr>
            <w:tcW w:w="588" w:type="pct"/>
            <w:tcBorders>
              <w:top w:val="single" w:sz="4" w:space="0" w:color="ED7D31"/>
              <w:left w:val="nil"/>
              <w:right w:val="nil"/>
            </w:tcBorders>
            <w:shd w:val="clear" w:color="auto" w:fill="auto"/>
            <w:vAlign w:val="center"/>
            <w:hideMark/>
          </w:tcPr>
          <w:p w14:paraId="73A4E4D1"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196.083.498</w:t>
            </w:r>
          </w:p>
        </w:tc>
        <w:tc>
          <w:tcPr>
            <w:tcW w:w="588" w:type="pct"/>
            <w:tcBorders>
              <w:top w:val="single" w:sz="4" w:space="0" w:color="ED7D31"/>
              <w:left w:val="nil"/>
              <w:right w:val="nil"/>
            </w:tcBorders>
            <w:shd w:val="clear" w:color="auto" w:fill="auto"/>
            <w:vAlign w:val="center"/>
            <w:hideMark/>
          </w:tcPr>
          <w:p w14:paraId="17EB1D4A"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180.874.931</w:t>
            </w:r>
          </w:p>
        </w:tc>
      </w:tr>
      <w:tr w:rsidR="00AB1F19" w:rsidRPr="00414685" w14:paraId="38712F54" w14:textId="77777777" w:rsidTr="0009270D">
        <w:trPr>
          <w:trHeight w:val="283"/>
        </w:trPr>
        <w:tc>
          <w:tcPr>
            <w:tcW w:w="2133" w:type="pct"/>
            <w:tcBorders>
              <w:top w:val="nil"/>
              <w:left w:val="nil"/>
              <w:bottom w:val="single" w:sz="4" w:space="0" w:color="ED7D31"/>
              <w:right w:val="nil"/>
            </w:tcBorders>
            <w:shd w:val="clear" w:color="auto" w:fill="auto"/>
            <w:vAlign w:val="center"/>
            <w:hideMark/>
          </w:tcPr>
          <w:p w14:paraId="7BC8EA8E" w14:textId="77777777" w:rsidR="00AB1F19" w:rsidRPr="00414685" w:rsidRDefault="00AB1F19" w:rsidP="00AB1F19">
            <w:pPr>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Ativo não circulante</w:t>
            </w:r>
          </w:p>
        </w:tc>
        <w:tc>
          <w:tcPr>
            <w:tcW w:w="630" w:type="pct"/>
            <w:tcBorders>
              <w:top w:val="nil"/>
              <w:left w:val="nil"/>
              <w:bottom w:val="single" w:sz="4" w:space="0" w:color="ED7D31"/>
              <w:right w:val="nil"/>
            </w:tcBorders>
            <w:shd w:val="clear" w:color="auto" w:fill="auto"/>
            <w:vAlign w:val="center"/>
            <w:hideMark/>
          </w:tcPr>
          <w:p w14:paraId="65DB3435"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 </w:t>
            </w:r>
          </w:p>
        </w:tc>
        <w:tc>
          <w:tcPr>
            <w:tcW w:w="559" w:type="pct"/>
            <w:tcBorders>
              <w:top w:val="nil"/>
              <w:left w:val="nil"/>
              <w:bottom w:val="single" w:sz="4" w:space="0" w:color="ED7D31"/>
              <w:right w:val="nil"/>
            </w:tcBorders>
            <w:shd w:val="clear" w:color="auto" w:fill="auto"/>
            <w:vAlign w:val="center"/>
            <w:hideMark/>
          </w:tcPr>
          <w:p w14:paraId="256EC161"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 </w:t>
            </w:r>
          </w:p>
        </w:tc>
        <w:tc>
          <w:tcPr>
            <w:tcW w:w="502" w:type="pct"/>
            <w:tcBorders>
              <w:top w:val="nil"/>
              <w:left w:val="nil"/>
              <w:bottom w:val="single" w:sz="4" w:space="0" w:color="ED7D31"/>
              <w:right w:val="nil"/>
            </w:tcBorders>
            <w:shd w:val="clear" w:color="auto" w:fill="auto"/>
            <w:vAlign w:val="center"/>
            <w:hideMark/>
          </w:tcPr>
          <w:p w14:paraId="24FD5DD6"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 </w:t>
            </w:r>
          </w:p>
        </w:tc>
        <w:tc>
          <w:tcPr>
            <w:tcW w:w="588" w:type="pct"/>
            <w:tcBorders>
              <w:top w:val="nil"/>
              <w:left w:val="nil"/>
              <w:bottom w:val="single" w:sz="4" w:space="0" w:color="ED7D31"/>
              <w:right w:val="nil"/>
            </w:tcBorders>
            <w:shd w:val="clear" w:color="auto" w:fill="auto"/>
            <w:vAlign w:val="center"/>
            <w:hideMark/>
          </w:tcPr>
          <w:p w14:paraId="2705AC0B"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104.428</w:t>
            </w:r>
          </w:p>
        </w:tc>
        <w:tc>
          <w:tcPr>
            <w:tcW w:w="588" w:type="pct"/>
            <w:tcBorders>
              <w:top w:val="nil"/>
              <w:left w:val="nil"/>
              <w:bottom w:val="single" w:sz="4" w:space="0" w:color="ED7D31"/>
              <w:right w:val="nil"/>
            </w:tcBorders>
            <w:shd w:val="clear" w:color="auto" w:fill="auto"/>
            <w:vAlign w:val="center"/>
            <w:hideMark/>
          </w:tcPr>
          <w:p w14:paraId="1FA5D88C" w14:textId="77777777" w:rsidR="00AB1F19" w:rsidRPr="00414685" w:rsidRDefault="00AB1F19" w:rsidP="00AB1F19">
            <w:pPr>
              <w:jc w:val="right"/>
              <w:rPr>
                <w:rFonts w:ascii="CAIXA Std Book" w:eastAsia="Times New Roman" w:hAnsi="CAIXA Std Book" w:cs="Arial"/>
                <w:color w:val="005CA9"/>
                <w:sz w:val="16"/>
                <w:szCs w:val="16"/>
              </w:rPr>
            </w:pPr>
            <w:r w:rsidRPr="00414685">
              <w:rPr>
                <w:rFonts w:ascii="CAIXA Std Book" w:eastAsia="Times New Roman" w:hAnsi="CAIXA Std Book" w:cs="Arial"/>
                <w:color w:val="005CA9"/>
                <w:sz w:val="16"/>
                <w:szCs w:val="16"/>
              </w:rPr>
              <w:t>104.035</w:t>
            </w:r>
          </w:p>
        </w:tc>
      </w:tr>
    </w:tbl>
    <w:p w14:paraId="1B041912" w14:textId="00E4CE64" w:rsidR="007C0AB7" w:rsidRDefault="007C0AB7">
      <w:pPr>
        <w:rPr>
          <w:rFonts w:ascii="CAIXA Std Book" w:hAnsi="CAIXA Std Book"/>
          <w:b/>
          <w:color w:val="005CA9"/>
          <w:sz w:val="20"/>
          <w:szCs w:val="20"/>
        </w:rPr>
      </w:pPr>
    </w:p>
    <w:p w14:paraId="0625ECE1" w14:textId="0FD403EC" w:rsidR="00A879C4" w:rsidRPr="00EF1402" w:rsidRDefault="00167A48" w:rsidP="00B64D59">
      <w:pPr>
        <w:pStyle w:val="PargrafodaLista"/>
        <w:numPr>
          <w:ilvl w:val="0"/>
          <w:numId w:val="6"/>
        </w:numPr>
        <w:tabs>
          <w:tab w:val="clear" w:pos="750"/>
        </w:tabs>
        <w:spacing w:before="240" w:after="240"/>
        <w:ind w:left="0" w:firstLine="0"/>
        <w:jc w:val="both"/>
        <w:rPr>
          <w:rFonts w:ascii="CAIXA Std Book" w:hAnsi="CAIXA Std Book"/>
          <w:b/>
          <w:color w:val="005CA9"/>
          <w:sz w:val="20"/>
          <w:szCs w:val="20"/>
        </w:rPr>
      </w:pPr>
      <w:r w:rsidRPr="00FF4346">
        <w:rPr>
          <w:rFonts w:ascii="CAIXA Std Book" w:hAnsi="CAIXA Std Book"/>
          <w:b/>
          <w:color w:val="005CA9"/>
          <w:sz w:val="20"/>
          <w:szCs w:val="20"/>
        </w:rPr>
        <w:t>Resultado com aplicações interfinanceiras de liquidez</w:t>
      </w:r>
    </w:p>
    <w:tbl>
      <w:tblPr>
        <w:tblW w:w="5000" w:type="pct"/>
        <w:tblCellMar>
          <w:left w:w="70" w:type="dxa"/>
          <w:right w:w="70" w:type="dxa"/>
        </w:tblCellMar>
        <w:tblLook w:val="04A0" w:firstRow="1" w:lastRow="0" w:firstColumn="1" w:lastColumn="0" w:noHBand="0" w:noVBand="1"/>
      </w:tblPr>
      <w:tblGrid>
        <w:gridCol w:w="6148"/>
        <w:gridCol w:w="1744"/>
        <w:gridCol w:w="1746"/>
      </w:tblGrid>
      <w:tr w:rsidR="00A879C4" w:rsidRPr="00A879C4" w14:paraId="470CACAF" w14:textId="77777777" w:rsidTr="0009270D">
        <w:trPr>
          <w:trHeight w:val="283"/>
        </w:trPr>
        <w:tc>
          <w:tcPr>
            <w:tcW w:w="5000" w:type="pct"/>
            <w:gridSpan w:val="3"/>
            <w:tcBorders>
              <w:top w:val="single" w:sz="4" w:space="0" w:color="ED7D31"/>
              <w:left w:val="nil"/>
              <w:bottom w:val="single" w:sz="4" w:space="0" w:color="ED7D31"/>
              <w:right w:val="nil"/>
            </w:tcBorders>
            <w:shd w:val="clear" w:color="auto" w:fill="auto"/>
            <w:vAlign w:val="center"/>
            <w:hideMark/>
          </w:tcPr>
          <w:p w14:paraId="77FD2F4E" w14:textId="3264B9EA" w:rsidR="00A879C4" w:rsidRPr="00A879C4" w:rsidRDefault="00A879C4" w:rsidP="00A879C4">
            <w:pPr>
              <w:jc w:val="cente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INDIVIDUAL</w:t>
            </w:r>
            <w:r w:rsidR="00FF7CF2">
              <w:rPr>
                <w:rFonts w:ascii="CAIXA Std Book" w:eastAsia="Times New Roman" w:hAnsi="CAIXA Std Book" w:cs="Calibri"/>
                <w:b/>
                <w:bCs/>
                <w:color w:val="005CA9"/>
                <w:sz w:val="18"/>
                <w:szCs w:val="18"/>
              </w:rPr>
              <w:t xml:space="preserve"> / CONSOLIDADO</w:t>
            </w:r>
          </w:p>
        </w:tc>
      </w:tr>
      <w:tr w:rsidR="00A879C4" w:rsidRPr="00A879C4" w14:paraId="0BA4813A" w14:textId="77777777" w:rsidTr="0009270D">
        <w:trPr>
          <w:trHeight w:val="283"/>
        </w:trPr>
        <w:tc>
          <w:tcPr>
            <w:tcW w:w="3189" w:type="pct"/>
            <w:vMerge w:val="restart"/>
            <w:tcBorders>
              <w:top w:val="single" w:sz="4" w:space="0" w:color="ED7D31"/>
              <w:left w:val="nil"/>
              <w:bottom w:val="single" w:sz="4" w:space="0" w:color="ED7D31"/>
              <w:right w:val="nil"/>
            </w:tcBorders>
            <w:shd w:val="clear" w:color="auto" w:fill="auto"/>
            <w:vAlign w:val="center"/>
            <w:hideMark/>
          </w:tcPr>
          <w:p w14:paraId="4C499E66" w14:textId="77777777" w:rsidR="00A879C4" w:rsidRPr="00A879C4" w:rsidRDefault="00A879C4" w:rsidP="00A879C4">
            <w:pPr>
              <w:jc w:val="cente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Descrição</w:t>
            </w:r>
          </w:p>
        </w:tc>
        <w:tc>
          <w:tcPr>
            <w:tcW w:w="905" w:type="pct"/>
            <w:tcBorders>
              <w:top w:val="single" w:sz="4" w:space="0" w:color="ED7D31"/>
              <w:left w:val="nil"/>
              <w:bottom w:val="single" w:sz="4" w:space="0" w:color="ED7D31"/>
              <w:right w:val="nil"/>
            </w:tcBorders>
            <w:shd w:val="clear" w:color="auto" w:fill="auto"/>
            <w:vAlign w:val="center"/>
            <w:hideMark/>
          </w:tcPr>
          <w:p w14:paraId="3F4E8D51" w14:textId="77777777" w:rsidR="00A879C4" w:rsidRPr="00A879C4" w:rsidRDefault="00A879C4" w:rsidP="00A879C4">
            <w:pPr>
              <w:jc w:val="cente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2024</w:t>
            </w:r>
          </w:p>
        </w:tc>
        <w:tc>
          <w:tcPr>
            <w:tcW w:w="906" w:type="pct"/>
            <w:tcBorders>
              <w:top w:val="single" w:sz="4" w:space="0" w:color="ED7D31"/>
              <w:left w:val="nil"/>
              <w:bottom w:val="single" w:sz="4" w:space="0" w:color="ED7D31"/>
              <w:right w:val="nil"/>
            </w:tcBorders>
            <w:shd w:val="clear" w:color="auto" w:fill="auto"/>
            <w:vAlign w:val="center"/>
            <w:hideMark/>
          </w:tcPr>
          <w:p w14:paraId="4390233C" w14:textId="77777777" w:rsidR="00A879C4" w:rsidRPr="00A879C4" w:rsidRDefault="00A879C4" w:rsidP="00A879C4">
            <w:pPr>
              <w:jc w:val="cente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2023</w:t>
            </w:r>
          </w:p>
        </w:tc>
      </w:tr>
      <w:tr w:rsidR="00A879C4" w:rsidRPr="00A879C4" w14:paraId="2279BFCD" w14:textId="77777777" w:rsidTr="0009270D">
        <w:trPr>
          <w:trHeight w:val="283"/>
        </w:trPr>
        <w:tc>
          <w:tcPr>
            <w:tcW w:w="3189" w:type="pct"/>
            <w:vMerge/>
            <w:tcBorders>
              <w:top w:val="single" w:sz="8" w:space="0" w:color="F39200"/>
              <w:left w:val="nil"/>
              <w:bottom w:val="single" w:sz="4" w:space="0" w:color="ED7D31"/>
              <w:right w:val="nil"/>
            </w:tcBorders>
            <w:vAlign w:val="center"/>
            <w:hideMark/>
          </w:tcPr>
          <w:p w14:paraId="40FE4C09" w14:textId="77777777" w:rsidR="00A879C4" w:rsidRPr="00A879C4" w:rsidRDefault="00A879C4" w:rsidP="00A879C4">
            <w:pPr>
              <w:rPr>
                <w:rFonts w:ascii="CAIXA Std Book" w:eastAsia="Times New Roman" w:hAnsi="CAIXA Std Book" w:cs="Calibri"/>
                <w:b/>
                <w:bCs/>
                <w:color w:val="005CA9"/>
                <w:sz w:val="18"/>
                <w:szCs w:val="18"/>
              </w:rPr>
            </w:pPr>
          </w:p>
        </w:tc>
        <w:tc>
          <w:tcPr>
            <w:tcW w:w="905" w:type="pct"/>
            <w:tcBorders>
              <w:top w:val="single" w:sz="4" w:space="0" w:color="ED7D31"/>
              <w:left w:val="nil"/>
              <w:bottom w:val="single" w:sz="4" w:space="0" w:color="ED7D31"/>
              <w:right w:val="nil"/>
            </w:tcBorders>
            <w:shd w:val="clear" w:color="auto" w:fill="auto"/>
            <w:vAlign w:val="center"/>
            <w:hideMark/>
          </w:tcPr>
          <w:p w14:paraId="76B7D76C" w14:textId="55C05EDB" w:rsidR="00A879C4" w:rsidRPr="00A879C4" w:rsidRDefault="00A879C4" w:rsidP="00A879C4">
            <w:pPr>
              <w:jc w:val="center"/>
              <w:rPr>
                <w:rFonts w:ascii="CAIXA Std Book" w:eastAsia="Times New Roman" w:hAnsi="CAIXA Std Book" w:cs="Calibri"/>
                <w:b/>
                <w:bCs/>
                <w:color w:val="005CA9"/>
                <w:sz w:val="18"/>
                <w:szCs w:val="18"/>
              </w:rPr>
            </w:pPr>
            <w:r>
              <w:rPr>
                <w:rFonts w:ascii="CAIXA Std Book" w:eastAsia="Times New Roman" w:hAnsi="CAIXA Std Book" w:cs="Calibri"/>
                <w:b/>
                <w:bCs/>
                <w:color w:val="005CA9"/>
                <w:sz w:val="18"/>
                <w:szCs w:val="18"/>
              </w:rPr>
              <w:t>1</w:t>
            </w:r>
            <w:r w:rsidR="00EF1402">
              <w:rPr>
                <w:rFonts w:ascii="CAIXA Std Book" w:eastAsia="Times New Roman" w:hAnsi="CAIXA Std Book" w:cs="Calibri"/>
                <w:b/>
                <w:bCs/>
                <w:color w:val="005CA9"/>
                <w:sz w:val="18"/>
                <w:szCs w:val="18"/>
              </w:rPr>
              <w:t>º trimestre</w:t>
            </w:r>
          </w:p>
        </w:tc>
        <w:tc>
          <w:tcPr>
            <w:tcW w:w="906" w:type="pct"/>
            <w:tcBorders>
              <w:top w:val="single" w:sz="4" w:space="0" w:color="ED7D31"/>
              <w:left w:val="nil"/>
              <w:bottom w:val="single" w:sz="4" w:space="0" w:color="ED7D31"/>
              <w:right w:val="nil"/>
            </w:tcBorders>
            <w:shd w:val="clear" w:color="auto" w:fill="auto"/>
            <w:vAlign w:val="center"/>
            <w:hideMark/>
          </w:tcPr>
          <w:p w14:paraId="05D0487E" w14:textId="3DDF3EF4" w:rsidR="00A879C4" w:rsidRPr="00A879C4" w:rsidRDefault="00EF1402" w:rsidP="00A879C4">
            <w:pPr>
              <w:jc w:val="center"/>
              <w:rPr>
                <w:rFonts w:ascii="CAIXA Std Book" w:eastAsia="Times New Roman" w:hAnsi="CAIXA Std Book" w:cs="Calibri"/>
                <w:b/>
                <w:bCs/>
                <w:color w:val="005CA9"/>
                <w:sz w:val="18"/>
                <w:szCs w:val="18"/>
              </w:rPr>
            </w:pPr>
            <w:r w:rsidRPr="00EF1402">
              <w:rPr>
                <w:rFonts w:ascii="CAIXA Std Book" w:eastAsia="Times New Roman" w:hAnsi="CAIXA Std Book" w:cs="Calibri"/>
                <w:b/>
                <w:bCs/>
                <w:color w:val="005CA9"/>
                <w:sz w:val="18"/>
                <w:szCs w:val="18"/>
              </w:rPr>
              <w:t>1º trimestre</w:t>
            </w:r>
          </w:p>
        </w:tc>
      </w:tr>
      <w:tr w:rsidR="00A879C4" w:rsidRPr="00A879C4" w14:paraId="6A392A7E" w14:textId="77777777" w:rsidTr="0009270D">
        <w:trPr>
          <w:trHeight w:val="283"/>
        </w:trPr>
        <w:tc>
          <w:tcPr>
            <w:tcW w:w="3189" w:type="pct"/>
            <w:tcBorders>
              <w:top w:val="single" w:sz="4" w:space="0" w:color="ED7D31"/>
              <w:left w:val="nil"/>
              <w:bottom w:val="nil"/>
              <w:right w:val="nil"/>
            </w:tcBorders>
            <w:shd w:val="clear" w:color="auto" w:fill="auto"/>
            <w:vAlign w:val="center"/>
            <w:hideMark/>
          </w:tcPr>
          <w:p w14:paraId="33BFCD87" w14:textId="77777777" w:rsidR="00A879C4" w:rsidRPr="00A879C4" w:rsidRDefault="00A879C4" w:rsidP="00A879C4">
            <w:pP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Rendas de aplicações no mercado aberto</w:t>
            </w:r>
          </w:p>
        </w:tc>
        <w:tc>
          <w:tcPr>
            <w:tcW w:w="905" w:type="pct"/>
            <w:tcBorders>
              <w:top w:val="nil"/>
              <w:left w:val="nil"/>
              <w:bottom w:val="nil"/>
              <w:right w:val="nil"/>
            </w:tcBorders>
            <w:shd w:val="clear" w:color="auto" w:fill="auto"/>
            <w:vAlign w:val="center"/>
            <w:hideMark/>
          </w:tcPr>
          <w:p w14:paraId="603C7468" w14:textId="78FCF7C3" w:rsidR="00A879C4" w:rsidRPr="00DC0BE7" w:rsidRDefault="00DC0BE7" w:rsidP="00DC0BE7">
            <w:pPr>
              <w:jc w:val="right"/>
              <w:rPr>
                <w:rFonts w:ascii="CAIXA Std Book" w:eastAsia="Times New Roman" w:hAnsi="CAIXA Std Book" w:cs="Arial"/>
                <w:b/>
                <w:color w:val="005CA9"/>
                <w:sz w:val="18"/>
                <w:szCs w:val="18"/>
              </w:rPr>
            </w:pPr>
            <w:r w:rsidRPr="00DC0BE7">
              <w:rPr>
                <w:rFonts w:ascii="CAIXA Std Book" w:eastAsia="Times New Roman" w:hAnsi="CAIXA Std Book" w:cs="Arial"/>
                <w:b/>
                <w:bCs/>
                <w:color w:val="005CA9"/>
                <w:sz w:val="18"/>
                <w:szCs w:val="18"/>
              </w:rPr>
              <w:t>5.985.810</w:t>
            </w:r>
          </w:p>
        </w:tc>
        <w:tc>
          <w:tcPr>
            <w:tcW w:w="906" w:type="pct"/>
            <w:tcBorders>
              <w:top w:val="single" w:sz="4" w:space="0" w:color="ED7D31"/>
              <w:left w:val="nil"/>
              <w:bottom w:val="nil"/>
              <w:right w:val="nil"/>
            </w:tcBorders>
            <w:shd w:val="clear" w:color="auto" w:fill="auto"/>
            <w:vAlign w:val="center"/>
            <w:hideMark/>
          </w:tcPr>
          <w:p w14:paraId="0A4A94BF" w14:textId="77777777" w:rsidR="00A879C4" w:rsidRPr="00A879C4" w:rsidRDefault="00A879C4" w:rsidP="00A879C4">
            <w:pPr>
              <w:ind w:firstLineChars="100" w:firstLine="181"/>
              <w:jc w:val="right"/>
              <w:rPr>
                <w:rFonts w:ascii="CAIXA Std Book" w:eastAsia="Times New Roman" w:hAnsi="CAIXA Std Book" w:cs="Calibri"/>
                <w:b/>
                <w:bCs/>
                <w:color w:val="005CA9"/>
                <w:sz w:val="18"/>
                <w:szCs w:val="18"/>
              </w:rPr>
            </w:pPr>
            <w:r w:rsidRPr="00A879C4">
              <w:rPr>
                <w:rFonts w:ascii="CAIXA Std Book" w:eastAsia="Times New Roman" w:hAnsi="CAIXA Std Book" w:cs="Arial"/>
                <w:b/>
                <w:bCs/>
                <w:color w:val="005CA9"/>
                <w:sz w:val="18"/>
                <w:szCs w:val="18"/>
              </w:rPr>
              <w:t>5.444.409</w:t>
            </w:r>
          </w:p>
        </w:tc>
      </w:tr>
      <w:tr w:rsidR="00A879C4" w:rsidRPr="00A879C4" w14:paraId="1BDF4ECE" w14:textId="77777777" w:rsidTr="0009270D">
        <w:trPr>
          <w:trHeight w:val="283"/>
        </w:trPr>
        <w:tc>
          <w:tcPr>
            <w:tcW w:w="3189" w:type="pct"/>
            <w:tcBorders>
              <w:top w:val="nil"/>
              <w:left w:val="nil"/>
              <w:bottom w:val="nil"/>
              <w:right w:val="nil"/>
            </w:tcBorders>
            <w:shd w:val="clear" w:color="auto" w:fill="auto"/>
            <w:vAlign w:val="center"/>
            <w:hideMark/>
          </w:tcPr>
          <w:p w14:paraId="2E200C13" w14:textId="0EB86449" w:rsidR="00A879C4" w:rsidRPr="00A879C4" w:rsidRDefault="00A879C4" w:rsidP="00A879C4">
            <w:pPr>
              <w:ind w:firstLineChars="100" w:firstLine="180"/>
              <w:rPr>
                <w:rFonts w:ascii="CAIXA Std Book" w:eastAsia="Times New Roman" w:hAnsi="CAIXA Std Book" w:cs="Calibri"/>
                <w:color w:val="005CA9"/>
                <w:sz w:val="18"/>
                <w:szCs w:val="18"/>
              </w:rPr>
            </w:pPr>
            <w:r w:rsidRPr="00A879C4">
              <w:rPr>
                <w:rFonts w:ascii="CAIXA Std Book" w:eastAsia="Times New Roman" w:hAnsi="CAIXA Std Book" w:cs="Calibri"/>
                <w:color w:val="005CA9"/>
                <w:sz w:val="18"/>
                <w:szCs w:val="18"/>
              </w:rPr>
              <w:t xml:space="preserve">Posição bancada </w:t>
            </w:r>
          </w:p>
        </w:tc>
        <w:tc>
          <w:tcPr>
            <w:tcW w:w="905" w:type="pct"/>
            <w:tcBorders>
              <w:top w:val="nil"/>
              <w:left w:val="nil"/>
              <w:bottom w:val="nil"/>
              <w:right w:val="nil"/>
            </w:tcBorders>
            <w:shd w:val="clear" w:color="auto" w:fill="auto"/>
            <w:vAlign w:val="center"/>
            <w:hideMark/>
          </w:tcPr>
          <w:p w14:paraId="1E7C08C0" w14:textId="53450643" w:rsidR="00A879C4" w:rsidRPr="00446DB9" w:rsidRDefault="00DC0BE7" w:rsidP="00DC0BE7">
            <w:pPr>
              <w:ind w:firstLineChars="100" w:firstLine="180"/>
              <w:jc w:val="right"/>
              <w:rPr>
                <w:rFonts w:ascii="CAIXA Std Book" w:eastAsia="Times New Roman" w:hAnsi="CAIXA Std Book" w:cs="Arial"/>
                <w:color w:val="005CA9"/>
                <w:sz w:val="18"/>
                <w:szCs w:val="18"/>
              </w:rPr>
            </w:pPr>
            <w:r w:rsidRPr="00446DB9">
              <w:rPr>
                <w:rFonts w:ascii="CAIXA Std Book" w:eastAsia="Times New Roman" w:hAnsi="CAIXA Std Book" w:cs="Arial"/>
                <w:color w:val="005CA9"/>
                <w:sz w:val="18"/>
                <w:szCs w:val="18"/>
              </w:rPr>
              <w:t>3.586.619</w:t>
            </w:r>
          </w:p>
        </w:tc>
        <w:tc>
          <w:tcPr>
            <w:tcW w:w="906" w:type="pct"/>
            <w:tcBorders>
              <w:top w:val="nil"/>
              <w:left w:val="nil"/>
              <w:bottom w:val="nil"/>
              <w:right w:val="nil"/>
            </w:tcBorders>
            <w:shd w:val="clear" w:color="auto" w:fill="auto"/>
            <w:vAlign w:val="center"/>
            <w:hideMark/>
          </w:tcPr>
          <w:p w14:paraId="17686B0B" w14:textId="77777777" w:rsidR="00A879C4" w:rsidRPr="00A879C4" w:rsidRDefault="00A879C4" w:rsidP="00A879C4">
            <w:pPr>
              <w:ind w:firstLineChars="100" w:firstLine="180"/>
              <w:jc w:val="right"/>
              <w:rPr>
                <w:rFonts w:ascii="CAIXA Std Book" w:eastAsia="Times New Roman" w:hAnsi="CAIXA Std Book" w:cs="Calibri"/>
                <w:color w:val="005CA9"/>
                <w:sz w:val="18"/>
                <w:szCs w:val="18"/>
              </w:rPr>
            </w:pPr>
            <w:r w:rsidRPr="00A879C4">
              <w:rPr>
                <w:rFonts w:ascii="CAIXA Std Book" w:eastAsia="Times New Roman" w:hAnsi="CAIXA Std Book" w:cs="Arial"/>
                <w:color w:val="005CA9"/>
                <w:sz w:val="18"/>
                <w:szCs w:val="18"/>
              </w:rPr>
              <w:t>1.662.480</w:t>
            </w:r>
          </w:p>
        </w:tc>
      </w:tr>
      <w:tr w:rsidR="00A879C4" w:rsidRPr="00A879C4" w14:paraId="0C24CC72" w14:textId="77777777" w:rsidTr="0009270D">
        <w:trPr>
          <w:trHeight w:val="283"/>
        </w:trPr>
        <w:tc>
          <w:tcPr>
            <w:tcW w:w="3189" w:type="pct"/>
            <w:tcBorders>
              <w:top w:val="nil"/>
              <w:left w:val="nil"/>
              <w:bottom w:val="nil"/>
              <w:right w:val="nil"/>
            </w:tcBorders>
            <w:shd w:val="clear" w:color="auto" w:fill="auto"/>
            <w:vAlign w:val="center"/>
            <w:hideMark/>
          </w:tcPr>
          <w:p w14:paraId="60DEE517" w14:textId="77777777" w:rsidR="00A879C4" w:rsidRPr="00A879C4" w:rsidRDefault="00A879C4" w:rsidP="00A879C4">
            <w:pPr>
              <w:ind w:firstLineChars="100" w:firstLine="180"/>
              <w:rPr>
                <w:rFonts w:ascii="CAIXA Std Book" w:eastAsia="Times New Roman" w:hAnsi="CAIXA Std Book" w:cs="Calibri"/>
                <w:color w:val="005CA9"/>
                <w:sz w:val="18"/>
                <w:szCs w:val="18"/>
              </w:rPr>
            </w:pPr>
            <w:r w:rsidRPr="00A879C4">
              <w:rPr>
                <w:rFonts w:ascii="CAIXA Std Book" w:eastAsia="Times New Roman" w:hAnsi="CAIXA Std Book" w:cs="Calibri"/>
                <w:color w:val="005CA9"/>
                <w:sz w:val="18"/>
                <w:szCs w:val="18"/>
              </w:rPr>
              <w:t>Posição financiada</w:t>
            </w:r>
          </w:p>
        </w:tc>
        <w:tc>
          <w:tcPr>
            <w:tcW w:w="905" w:type="pct"/>
            <w:tcBorders>
              <w:top w:val="nil"/>
              <w:left w:val="nil"/>
              <w:bottom w:val="nil"/>
              <w:right w:val="nil"/>
            </w:tcBorders>
            <w:shd w:val="clear" w:color="auto" w:fill="auto"/>
            <w:vAlign w:val="center"/>
            <w:hideMark/>
          </w:tcPr>
          <w:p w14:paraId="62077C4B" w14:textId="479580C8" w:rsidR="00A879C4" w:rsidRPr="00446DB9" w:rsidRDefault="00DC0BE7" w:rsidP="00DC0BE7">
            <w:pPr>
              <w:ind w:firstLineChars="100" w:firstLine="180"/>
              <w:jc w:val="right"/>
              <w:rPr>
                <w:rFonts w:ascii="CAIXA Std Book" w:eastAsia="Times New Roman" w:hAnsi="CAIXA Std Book" w:cs="Arial"/>
                <w:color w:val="005CA9"/>
                <w:sz w:val="18"/>
                <w:szCs w:val="18"/>
              </w:rPr>
            </w:pPr>
            <w:r w:rsidRPr="00446DB9">
              <w:rPr>
                <w:rFonts w:ascii="CAIXA Std Book" w:eastAsia="Times New Roman" w:hAnsi="CAIXA Std Book" w:cs="Arial"/>
                <w:color w:val="005CA9"/>
                <w:sz w:val="18"/>
                <w:szCs w:val="18"/>
              </w:rPr>
              <w:t>2.399.191</w:t>
            </w:r>
          </w:p>
        </w:tc>
        <w:tc>
          <w:tcPr>
            <w:tcW w:w="906" w:type="pct"/>
            <w:tcBorders>
              <w:top w:val="nil"/>
              <w:left w:val="nil"/>
              <w:bottom w:val="nil"/>
              <w:right w:val="nil"/>
            </w:tcBorders>
            <w:shd w:val="clear" w:color="auto" w:fill="auto"/>
            <w:vAlign w:val="center"/>
            <w:hideMark/>
          </w:tcPr>
          <w:p w14:paraId="54383A63" w14:textId="77777777" w:rsidR="00A879C4" w:rsidRPr="00A879C4" w:rsidRDefault="00A879C4" w:rsidP="00A879C4">
            <w:pPr>
              <w:ind w:firstLineChars="100" w:firstLine="180"/>
              <w:jc w:val="right"/>
              <w:rPr>
                <w:rFonts w:ascii="CAIXA Std Book" w:eastAsia="Times New Roman" w:hAnsi="CAIXA Std Book" w:cs="Calibri"/>
                <w:color w:val="005CA9"/>
                <w:sz w:val="18"/>
                <w:szCs w:val="18"/>
              </w:rPr>
            </w:pPr>
            <w:r w:rsidRPr="00A879C4">
              <w:rPr>
                <w:rFonts w:ascii="CAIXA Std Book" w:eastAsia="Times New Roman" w:hAnsi="CAIXA Std Book" w:cs="Arial"/>
                <w:color w:val="005CA9"/>
                <w:sz w:val="18"/>
                <w:szCs w:val="18"/>
              </w:rPr>
              <w:t>3.781.929</w:t>
            </w:r>
          </w:p>
        </w:tc>
      </w:tr>
      <w:tr w:rsidR="00A879C4" w:rsidRPr="00A879C4" w14:paraId="724AC025" w14:textId="77777777" w:rsidTr="0009270D">
        <w:trPr>
          <w:trHeight w:val="283"/>
        </w:trPr>
        <w:tc>
          <w:tcPr>
            <w:tcW w:w="3189" w:type="pct"/>
            <w:tcBorders>
              <w:top w:val="nil"/>
              <w:left w:val="nil"/>
              <w:bottom w:val="single" w:sz="4" w:space="0" w:color="ED7D31"/>
              <w:right w:val="nil"/>
            </w:tcBorders>
            <w:shd w:val="clear" w:color="auto" w:fill="auto"/>
            <w:vAlign w:val="center"/>
            <w:hideMark/>
          </w:tcPr>
          <w:p w14:paraId="7AC3FB24" w14:textId="77777777" w:rsidR="00A879C4" w:rsidRPr="00A879C4" w:rsidRDefault="00A879C4" w:rsidP="00A879C4">
            <w:pP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Rendas de aplicações em depósitos interfinanceiros</w:t>
            </w:r>
          </w:p>
        </w:tc>
        <w:tc>
          <w:tcPr>
            <w:tcW w:w="905" w:type="pct"/>
            <w:tcBorders>
              <w:top w:val="nil"/>
              <w:left w:val="nil"/>
              <w:bottom w:val="single" w:sz="4" w:space="0" w:color="F79646"/>
              <w:right w:val="nil"/>
            </w:tcBorders>
            <w:shd w:val="clear" w:color="auto" w:fill="auto"/>
            <w:vAlign w:val="center"/>
            <w:hideMark/>
          </w:tcPr>
          <w:p w14:paraId="4B868A17" w14:textId="520FFF74" w:rsidR="00A879C4" w:rsidRPr="00DC0BE7" w:rsidRDefault="00DC0BE7" w:rsidP="00DC0BE7">
            <w:pPr>
              <w:jc w:val="right"/>
              <w:rPr>
                <w:rFonts w:ascii="CAIXA Std Book" w:eastAsia="Times New Roman" w:hAnsi="CAIXA Std Book" w:cs="Arial"/>
                <w:b/>
                <w:color w:val="005CA9"/>
                <w:sz w:val="18"/>
                <w:szCs w:val="18"/>
              </w:rPr>
            </w:pPr>
            <w:r w:rsidRPr="00DC0BE7">
              <w:rPr>
                <w:rFonts w:ascii="CAIXA Std Book" w:eastAsia="Times New Roman" w:hAnsi="CAIXA Std Book" w:cs="Arial"/>
                <w:b/>
                <w:bCs/>
                <w:color w:val="005CA9"/>
                <w:sz w:val="18"/>
                <w:szCs w:val="18"/>
              </w:rPr>
              <w:t>59.670</w:t>
            </w:r>
          </w:p>
        </w:tc>
        <w:tc>
          <w:tcPr>
            <w:tcW w:w="906" w:type="pct"/>
            <w:tcBorders>
              <w:top w:val="nil"/>
              <w:left w:val="nil"/>
              <w:bottom w:val="single" w:sz="4" w:space="0" w:color="ED7D31"/>
              <w:right w:val="nil"/>
            </w:tcBorders>
            <w:shd w:val="clear" w:color="auto" w:fill="auto"/>
            <w:vAlign w:val="center"/>
            <w:hideMark/>
          </w:tcPr>
          <w:p w14:paraId="036C717F" w14:textId="77777777" w:rsidR="00A879C4" w:rsidRPr="00A879C4" w:rsidRDefault="00A879C4" w:rsidP="00A879C4">
            <w:pPr>
              <w:ind w:firstLineChars="100" w:firstLine="181"/>
              <w:jc w:val="right"/>
              <w:rPr>
                <w:rFonts w:ascii="CAIXA Std Book" w:eastAsia="Times New Roman" w:hAnsi="CAIXA Std Book" w:cs="Calibri"/>
                <w:b/>
                <w:bCs/>
                <w:color w:val="005CA9"/>
                <w:sz w:val="18"/>
                <w:szCs w:val="18"/>
              </w:rPr>
            </w:pPr>
            <w:r w:rsidRPr="00A879C4">
              <w:rPr>
                <w:rFonts w:ascii="CAIXA Std Book" w:eastAsia="Times New Roman" w:hAnsi="CAIXA Std Book" w:cs="Arial"/>
                <w:b/>
                <w:bCs/>
                <w:color w:val="005CA9"/>
                <w:sz w:val="18"/>
                <w:szCs w:val="18"/>
              </w:rPr>
              <w:t>31.729</w:t>
            </w:r>
          </w:p>
        </w:tc>
      </w:tr>
      <w:tr w:rsidR="00A879C4" w:rsidRPr="00A879C4" w14:paraId="21809B12" w14:textId="77777777" w:rsidTr="0009270D">
        <w:trPr>
          <w:trHeight w:val="283"/>
        </w:trPr>
        <w:tc>
          <w:tcPr>
            <w:tcW w:w="3189" w:type="pct"/>
            <w:tcBorders>
              <w:top w:val="single" w:sz="4" w:space="0" w:color="ED7D31"/>
              <w:left w:val="nil"/>
              <w:bottom w:val="single" w:sz="4" w:space="0" w:color="ED7D31"/>
              <w:right w:val="nil"/>
            </w:tcBorders>
            <w:shd w:val="clear" w:color="auto" w:fill="auto"/>
            <w:vAlign w:val="center"/>
            <w:hideMark/>
          </w:tcPr>
          <w:p w14:paraId="38BA2F52" w14:textId="77777777" w:rsidR="00A879C4" w:rsidRPr="00A879C4" w:rsidRDefault="00A879C4" w:rsidP="00A879C4">
            <w:pPr>
              <w:rPr>
                <w:rFonts w:ascii="CAIXA Std Book" w:eastAsia="Times New Roman" w:hAnsi="CAIXA Std Book" w:cs="Calibri"/>
                <w:b/>
                <w:bCs/>
                <w:color w:val="005CA9"/>
                <w:sz w:val="18"/>
                <w:szCs w:val="18"/>
              </w:rPr>
            </w:pPr>
            <w:r w:rsidRPr="00A879C4">
              <w:rPr>
                <w:rFonts w:ascii="CAIXA Std Book" w:eastAsia="Times New Roman" w:hAnsi="CAIXA Std Book" w:cs="Calibri"/>
                <w:b/>
                <w:bCs/>
                <w:color w:val="005CA9"/>
                <w:sz w:val="18"/>
                <w:szCs w:val="18"/>
              </w:rPr>
              <w:t>Total</w:t>
            </w:r>
          </w:p>
        </w:tc>
        <w:tc>
          <w:tcPr>
            <w:tcW w:w="905" w:type="pct"/>
            <w:tcBorders>
              <w:top w:val="nil"/>
              <w:left w:val="nil"/>
              <w:bottom w:val="single" w:sz="4" w:space="0" w:color="F79646"/>
              <w:right w:val="nil"/>
            </w:tcBorders>
            <w:shd w:val="clear" w:color="auto" w:fill="auto"/>
            <w:vAlign w:val="center"/>
            <w:hideMark/>
          </w:tcPr>
          <w:p w14:paraId="59B63B92" w14:textId="21D89B32" w:rsidR="00A879C4" w:rsidRPr="00DC0BE7" w:rsidRDefault="00DC0BE7" w:rsidP="00A879C4">
            <w:pPr>
              <w:ind w:firstLineChars="100" w:firstLine="181"/>
              <w:jc w:val="right"/>
              <w:rPr>
                <w:rFonts w:ascii="CAIXA Std Book" w:eastAsia="Times New Roman" w:hAnsi="CAIXA Std Book" w:cs="Arial"/>
                <w:b/>
                <w:color w:val="005CA9"/>
                <w:sz w:val="18"/>
                <w:szCs w:val="18"/>
              </w:rPr>
            </w:pPr>
            <w:r w:rsidRPr="00DC0BE7">
              <w:rPr>
                <w:rFonts w:ascii="CAIXA Std Book" w:eastAsia="Times New Roman" w:hAnsi="CAIXA Std Book" w:cs="Arial"/>
                <w:b/>
                <w:bCs/>
                <w:color w:val="005CA9"/>
                <w:sz w:val="18"/>
                <w:szCs w:val="18"/>
              </w:rPr>
              <w:t>6.045.480</w:t>
            </w:r>
          </w:p>
        </w:tc>
        <w:tc>
          <w:tcPr>
            <w:tcW w:w="906" w:type="pct"/>
            <w:tcBorders>
              <w:top w:val="single" w:sz="4" w:space="0" w:color="ED7D31"/>
              <w:left w:val="nil"/>
              <w:bottom w:val="single" w:sz="4" w:space="0" w:color="ED7D31"/>
              <w:right w:val="nil"/>
            </w:tcBorders>
            <w:shd w:val="clear" w:color="auto" w:fill="auto"/>
            <w:vAlign w:val="center"/>
            <w:hideMark/>
          </w:tcPr>
          <w:p w14:paraId="3F1847A0" w14:textId="77777777" w:rsidR="00A879C4" w:rsidRPr="00A879C4" w:rsidRDefault="00A879C4" w:rsidP="00A879C4">
            <w:pPr>
              <w:ind w:firstLineChars="100" w:firstLine="181"/>
              <w:jc w:val="right"/>
              <w:rPr>
                <w:rFonts w:ascii="CAIXA Std Book" w:eastAsia="Times New Roman" w:hAnsi="CAIXA Std Book" w:cs="Calibri"/>
                <w:b/>
                <w:bCs/>
                <w:color w:val="005CA9"/>
                <w:sz w:val="18"/>
                <w:szCs w:val="18"/>
              </w:rPr>
            </w:pPr>
            <w:r w:rsidRPr="00A879C4">
              <w:rPr>
                <w:rFonts w:ascii="CAIXA Std Book" w:eastAsia="Times New Roman" w:hAnsi="CAIXA Std Book" w:cs="Arial"/>
                <w:b/>
                <w:bCs/>
                <w:color w:val="005CA9"/>
                <w:sz w:val="18"/>
                <w:szCs w:val="18"/>
              </w:rPr>
              <w:t>5.476.138</w:t>
            </w:r>
          </w:p>
        </w:tc>
      </w:tr>
    </w:tbl>
    <w:p w14:paraId="584DB09F" w14:textId="77777777" w:rsidR="007D3D32" w:rsidRDefault="007D3D32" w:rsidP="005A596E">
      <w:pPr>
        <w:pStyle w:val="Ttulo1"/>
        <w:sectPr w:rsidR="007D3D32" w:rsidSect="0088151D">
          <w:headerReference w:type="default" r:id="rId29"/>
          <w:footerReference w:type="default" r:id="rId30"/>
          <w:pgSz w:w="11907" w:h="16840" w:code="9"/>
          <w:pgMar w:top="1418" w:right="851" w:bottom="851" w:left="1418" w:header="1134" w:footer="709" w:gutter="0"/>
          <w:cols w:space="708"/>
          <w:docGrid w:linePitch="360"/>
        </w:sectPr>
      </w:pPr>
    </w:p>
    <w:p w14:paraId="75B1D19A" w14:textId="58E4155B" w:rsidR="00B94E10" w:rsidRPr="008E67C0" w:rsidRDefault="00B94E10" w:rsidP="005A596E">
      <w:pPr>
        <w:pStyle w:val="Ttulo1"/>
      </w:pPr>
      <w:bookmarkStart w:id="44" w:name="_Toc166594481"/>
      <w:r w:rsidRPr="008E67C0">
        <w:lastRenderedPageBreak/>
        <w:t xml:space="preserve">Nota   </w:t>
      </w:r>
      <w:r w:rsidR="00167A48" w:rsidRPr="008E67C0">
        <w:t>6</w:t>
      </w:r>
      <w:r w:rsidRPr="008E67C0">
        <w:t xml:space="preserve"> – Depósitos </w:t>
      </w:r>
      <w:r w:rsidR="00732239" w:rsidRPr="008E67C0">
        <w:t>no</w:t>
      </w:r>
      <w:r w:rsidRPr="008E67C0">
        <w:t xml:space="preserve"> </w:t>
      </w:r>
      <w:r w:rsidR="00732239" w:rsidRPr="008E67C0">
        <w:t>B</w:t>
      </w:r>
      <w:r w:rsidRPr="008E67C0">
        <w:t xml:space="preserve">anco </w:t>
      </w:r>
      <w:r w:rsidR="00732239" w:rsidRPr="008E67C0">
        <w:t>C</w:t>
      </w:r>
      <w:r w:rsidRPr="008E67C0">
        <w:t>entra</w:t>
      </w:r>
      <w:r w:rsidR="00732239" w:rsidRPr="008E67C0">
        <w:t>l</w:t>
      </w:r>
      <w:bookmarkEnd w:id="44"/>
    </w:p>
    <w:p w14:paraId="41C306B1" w14:textId="3A593FA6" w:rsidR="00B94E10" w:rsidRPr="00FF4346" w:rsidRDefault="00B94E10" w:rsidP="00D34129">
      <w:pPr>
        <w:keepNext/>
        <w:spacing w:before="240" w:after="240"/>
        <w:jc w:val="both"/>
        <w:rPr>
          <w:rStyle w:val="Nmerodepgina"/>
          <w:rFonts w:ascii="CAIXA Std Book" w:hAnsi="CAIXA Std Book" w:cs="Arial Unicode MS"/>
          <w:color w:val="005CA9"/>
          <w:sz w:val="20"/>
          <w:szCs w:val="20"/>
        </w:rPr>
      </w:pPr>
      <w:r w:rsidRPr="00FF4346">
        <w:rPr>
          <w:rStyle w:val="Nmerodepgina"/>
          <w:rFonts w:ascii="CAIXA Std Book" w:hAnsi="CAIXA Std Book" w:cs="Arial Unicode MS"/>
          <w:b/>
          <w:color w:val="005CA9"/>
          <w:sz w:val="20"/>
          <w:szCs w:val="20"/>
        </w:rPr>
        <w:t>(a)</w:t>
      </w:r>
      <w:r w:rsidRPr="00FF4346">
        <w:rPr>
          <w:rStyle w:val="Nmerodepgina"/>
          <w:rFonts w:ascii="CAIXA Std Book" w:hAnsi="CAIXA Std Book" w:cs="Arial Unicode MS"/>
          <w:b/>
          <w:color w:val="005CA9"/>
          <w:sz w:val="20"/>
          <w:szCs w:val="20"/>
        </w:rPr>
        <w:tab/>
        <w:t>Créditos vinculados - depósitos no B</w:t>
      </w:r>
      <w:r w:rsidR="00FC561C" w:rsidRPr="00FF4346">
        <w:rPr>
          <w:rStyle w:val="Nmerodepgina"/>
          <w:rFonts w:ascii="CAIXA Std Book" w:hAnsi="CAIXA Std Book" w:cs="Arial Unicode MS"/>
          <w:b/>
          <w:color w:val="005CA9"/>
          <w:sz w:val="20"/>
          <w:szCs w:val="20"/>
        </w:rPr>
        <w:t>acen</w:t>
      </w:r>
    </w:p>
    <w:tbl>
      <w:tblPr>
        <w:tblW w:w="4927" w:type="pct"/>
        <w:tblCellMar>
          <w:left w:w="70" w:type="dxa"/>
          <w:right w:w="70" w:type="dxa"/>
        </w:tblCellMar>
        <w:tblLook w:val="04A0" w:firstRow="1" w:lastRow="0" w:firstColumn="1" w:lastColumn="0" w:noHBand="0" w:noVBand="1"/>
      </w:tblPr>
      <w:tblGrid>
        <w:gridCol w:w="4395"/>
        <w:gridCol w:w="1985"/>
        <w:gridCol w:w="1559"/>
        <w:gridCol w:w="1558"/>
      </w:tblGrid>
      <w:tr w:rsidR="003B2B2A" w:rsidRPr="00A33766" w14:paraId="4E292432" w14:textId="77777777" w:rsidTr="00994F4F">
        <w:trPr>
          <w:trHeight w:val="283"/>
        </w:trPr>
        <w:tc>
          <w:tcPr>
            <w:tcW w:w="4998" w:type="pct"/>
            <w:gridSpan w:val="4"/>
            <w:tcBorders>
              <w:top w:val="single" w:sz="4" w:space="0" w:color="F39200"/>
              <w:left w:val="nil"/>
              <w:bottom w:val="single" w:sz="4" w:space="0" w:color="F39200"/>
              <w:right w:val="nil"/>
            </w:tcBorders>
            <w:shd w:val="clear" w:color="auto" w:fill="auto"/>
            <w:vAlign w:val="center"/>
            <w:hideMark/>
          </w:tcPr>
          <w:p w14:paraId="05ACB85B" w14:textId="5F889609" w:rsidR="006D093A" w:rsidRPr="00FF4346" w:rsidRDefault="00B20A44" w:rsidP="003D64FC">
            <w:pPr>
              <w:jc w:val="center"/>
              <w:rPr>
                <w:rFonts w:ascii="CAIXA Std Book" w:hAnsi="CAIXA Std Book"/>
                <w:b/>
                <w:color w:val="005CA9"/>
                <w:sz w:val="18"/>
                <w:szCs w:val="18"/>
              </w:rPr>
            </w:pPr>
            <w:r w:rsidRPr="00FF4346">
              <w:rPr>
                <w:rFonts w:ascii="CAIXA Std Book" w:hAnsi="CAIXA Std Book"/>
                <w:b/>
                <w:color w:val="005CA9"/>
                <w:sz w:val="18"/>
                <w:szCs w:val="18"/>
              </w:rPr>
              <w:t>I</w:t>
            </w:r>
            <w:r w:rsidR="006D093A" w:rsidRPr="00FF4346">
              <w:rPr>
                <w:rFonts w:ascii="CAIXA Std Book" w:hAnsi="CAIXA Std Book"/>
                <w:b/>
                <w:color w:val="005CA9"/>
                <w:sz w:val="18"/>
                <w:szCs w:val="18"/>
              </w:rPr>
              <w:t>NDIVIDUAL / CONSOLIDADO</w:t>
            </w:r>
          </w:p>
        </w:tc>
      </w:tr>
      <w:tr w:rsidR="003B2B2A" w:rsidRPr="00A33766" w14:paraId="5AA694BF" w14:textId="77777777" w:rsidTr="00994F4F">
        <w:trPr>
          <w:trHeight w:val="283"/>
        </w:trPr>
        <w:tc>
          <w:tcPr>
            <w:tcW w:w="2314" w:type="pct"/>
            <w:tcBorders>
              <w:top w:val="nil"/>
              <w:left w:val="nil"/>
              <w:bottom w:val="single" w:sz="4" w:space="0" w:color="F39200"/>
              <w:right w:val="nil"/>
            </w:tcBorders>
            <w:shd w:val="clear" w:color="auto" w:fill="auto"/>
            <w:vAlign w:val="center"/>
            <w:hideMark/>
          </w:tcPr>
          <w:p w14:paraId="1B5E614A" w14:textId="77777777" w:rsidR="006D093A" w:rsidRPr="00FF4346" w:rsidRDefault="006D093A" w:rsidP="003D64FC">
            <w:pPr>
              <w:jc w:val="center"/>
              <w:rPr>
                <w:rFonts w:ascii="CAIXA Std Book" w:hAnsi="CAIXA Std Book"/>
                <w:b/>
                <w:color w:val="005CA9"/>
                <w:sz w:val="18"/>
                <w:szCs w:val="18"/>
              </w:rPr>
            </w:pPr>
            <w:r w:rsidRPr="00FF4346">
              <w:rPr>
                <w:rFonts w:ascii="CAIXA Std Book" w:hAnsi="CAIXA Std Book"/>
                <w:b/>
                <w:color w:val="005CA9"/>
                <w:sz w:val="18"/>
                <w:szCs w:val="18"/>
              </w:rPr>
              <w:t>Descrição</w:t>
            </w:r>
          </w:p>
        </w:tc>
        <w:tc>
          <w:tcPr>
            <w:tcW w:w="1045" w:type="pct"/>
            <w:tcBorders>
              <w:top w:val="nil"/>
              <w:left w:val="nil"/>
              <w:bottom w:val="single" w:sz="4" w:space="0" w:color="F39200"/>
              <w:right w:val="nil"/>
            </w:tcBorders>
            <w:shd w:val="clear" w:color="auto" w:fill="auto"/>
            <w:vAlign w:val="center"/>
            <w:hideMark/>
          </w:tcPr>
          <w:p w14:paraId="0EC72688" w14:textId="77777777" w:rsidR="006D093A" w:rsidRPr="00FF4346" w:rsidRDefault="006D093A" w:rsidP="00DA451B">
            <w:pPr>
              <w:jc w:val="center"/>
              <w:rPr>
                <w:rFonts w:ascii="CAIXA Std Book" w:hAnsi="CAIXA Std Book"/>
                <w:b/>
                <w:color w:val="005CA9"/>
                <w:sz w:val="18"/>
                <w:szCs w:val="18"/>
              </w:rPr>
            </w:pPr>
            <w:r w:rsidRPr="00FF4346">
              <w:rPr>
                <w:rFonts w:ascii="CAIXA Std Book" w:hAnsi="CAIXA Std Book"/>
                <w:b/>
                <w:color w:val="005CA9"/>
                <w:sz w:val="18"/>
                <w:szCs w:val="18"/>
              </w:rPr>
              <w:t>Remuneração</w:t>
            </w:r>
          </w:p>
        </w:tc>
        <w:tc>
          <w:tcPr>
            <w:tcW w:w="821" w:type="pct"/>
            <w:tcBorders>
              <w:top w:val="nil"/>
              <w:left w:val="nil"/>
              <w:bottom w:val="single" w:sz="4" w:space="0" w:color="F39200"/>
              <w:right w:val="nil"/>
            </w:tcBorders>
            <w:shd w:val="clear" w:color="auto" w:fill="auto"/>
            <w:vAlign w:val="center"/>
            <w:hideMark/>
          </w:tcPr>
          <w:p w14:paraId="091DF04C" w14:textId="349FA8EC" w:rsidR="006D093A" w:rsidRPr="00FF4346" w:rsidRDefault="001C2DBD" w:rsidP="003D64FC">
            <w:pPr>
              <w:jc w:val="center"/>
              <w:rPr>
                <w:rFonts w:ascii="CAIXA Std Book" w:hAnsi="CAIXA Std Book"/>
                <w:b/>
                <w:color w:val="005CA9"/>
                <w:sz w:val="18"/>
                <w:szCs w:val="18"/>
              </w:rPr>
            </w:pPr>
            <w:r w:rsidRPr="00FF4346">
              <w:rPr>
                <w:rFonts w:ascii="CAIXA Std Book" w:hAnsi="CAIXA Std Book"/>
                <w:b/>
                <w:color w:val="005CA9"/>
                <w:sz w:val="18"/>
                <w:szCs w:val="18"/>
              </w:rPr>
              <w:t>31/</w:t>
            </w:r>
            <w:r w:rsidR="00581215">
              <w:rPr>
                <w:rFonts w:ascii="CAIXA Std Book" w:hAnsi="CAIXA Std Book"/>
                <w:b/>
                <w:color w:val="005CA9"/>
                <w:sz w:val="18"/>
                <w:szCs w:val="18"/>
              </w:rPr>
              <w:t>03</w:t>
            </w:r>
            <w:r w:rsidR="00660E0D" w:rsidRPr="00FF4346">
              <w:rPr>
                <w:rFonts w:ascii="CAIXA Std Book" w:hAnsi="CAIXA Std Book"/>
                <w:b/>
                <w:color w:val="005CA9"/>
                <w:sz w:val="18"/>
                <w:szCs w:val="18"/>
              </w:rPr>
              <w:t>/202</w:t>
            </w:r>
            <w:r w:rsidR="00581215">
              <w:rPr>
                <w:rFonts w:ascii="CAIXA Std Book" w:hAnsi="CAIXA Std Book"/>
                <w:b/>
                <w:color w:val="005CA9"/>
                <w:sz w:val="18"/>
                <w:szCs w:val="18"/>
              </w:rPr>
              <w:t>4</w:t>
            </w:r>
          </w:p>
        </w:tc>
        <w:tc>
          <w:tcPr>
            <w:tcW w:w="820" w:type="pct"/>
            <w:tcBorders>
              <w:top w:val="nil"/>
              <w:left w:val="nil"/>
              <w:bottom w:val="single" w:sz="4" w:space="0" w:color="F39200"/>
              <w:right w:val="nil"/>
            </w:tcBorders>
            <w:shd w:val="clear" w:color="auto" w:fill="auto"/>
            <w:vAlign w:val="center"/>
            <w:hideMark/>
          </w:tcPr>
          <w:p w14:paraId="5C98529F" w14:textId="34904493" w:rsidR="006D093A" w:rsidRPr="00FF4346" w:rsidRDefault="006D093A" w:rsidP="003D64FC">
            <w:pPr>
              <w:jc w:val="center"/>
              <w:rPr>
                <w:rFonts w:ascii="CAIXA Std Book" w:hAnsi="CAIXA Std Book"/>
                <w:b/>
                <w:color w:val="005CA9"/>
                <w:sz w:val="18"/>
                <w:szCs w:val="18"/>
              </w:rPr>
            </w:pPr>
            <w:r w:rsidRPr="00FF4346">
              <w:rPr>
                <w:rFonts w:ascii="CAIXA Std Book" w:hAnsi="CAIXA Std Book"/>
                <w:b/>
                <w:color w:val="005CA9"/>
                <w:sz w:val="18"/>
                <w:szCs w:val="18"/>
              </w:rPr>
              <w:t>31/12/202</w:t>
            </w:r>
            <w:r w:rsidR="00581215">
              <w:rPr>
                <w:rFonts w:ascii="CAIXA Std Book" w:hAnsi="CAIXA Std Book"/>
                <w:b/>
                <w:color w:val="005CA9"/>
                <w:sz w:val="18"/>
                <w:szCs w:val="18"/>
              </w:rPr>
              <w:t>3</w:t>
            </w:r>
          </w:p>
        </w:tc>
      </w:tr>
      <w:tr w:rsidR="00F95D19" w:rsidRPr="00A33766" w14:paraId="715D712D" w14:textId="77777777" w:rsidTr="00994F4F">
        <w:trPr>
          <w:trHeight w:val="283"/>
        </w:trPr>
        <w:tc>
          <w:tcPr>
            <w:tcW w:w="2314" w:type="pct"/>
            <w:tcBorders>
              <w:top w:val="nil"/>
              <w:left w:val="nil"/>
              <w:bottom w:val="nil"/>
              <w:right w:val="nil"/>
            </w:tcBorders>
            <w:shd w:val="clear" w:color="auto" w:fill="auto"/>
            <w:vAlign w:val="center"/>
            <w:hideMark/>
          </w:tcPr>
          <w:p w14:paraId="43A54E4F" w14:textId="77777777"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Compulsório sobre depósito à vista</w:t>
            </w:r>
          </w:p>
        </w:tc>
        <w:tc>
          <w:tcPr>
            <w:tcW w:w="1045" w:type="pct"/>
            <w:tcBorders>
              <w:top w:val="nil"/>
              <w:left w:val="nil"/>
              <w:bottom w:val="nil"/>
              <w:right w:val="nil"/>
            </w:tcBorders>
            <w:shd w:val="clear" w:color="auto" w:fill="auto"/>
            <w:vAlign w:val="center"/>
            <w:hideMark/>
          </w:tcPr>
          <w:p w14:paraId="37BA0E42" w14:textId="77777777" w:rsidR="00F95D19" w:rsidRPr="00FF4346" w:rsidRDefault="00F95D19" w:rsidP="00DA451B">
            <w:pPr>
              <w:ind w:firstLineChars="100" w:firstLine="180"/>
              <w:jc w:val="center"/>
              <w:rPr>
                <w:rFonts w:ascii="CAIXA Std Book" w:hAnsi="CAIXA Std Book"/>
                <w:color w:val="005CA9"/>
                <w:sz w:val="18"/>
                <w:szCs w:val="18"/>
              </w:rPr>
            </w:pPr>
            <w:r w:rsidRPr="00FF4346">
              <w:rPr>
                <w:rFonts w:ascii="CAIXA Std Book" w:hAnsi="CAIXA Std Book"/>
                <w:color w:val="005CA9"/>
                <w:sz w:val="18"/>
                <w:szCs w:val="18"/>
              </w:rPr>
              <w:t>Não remunerado</w:t>
            </w:r>
          </w:p>
        </w:tc>
        <w:tc>
          <w:tcPr>
            <w:tcW w:w="821" w:type="pct"/>
            <w:tcBorders>
              <w:top w:val="nil"/>
              <w:left w:val="nil"/>
              <w:bottom w:val="nil"/>
              <w:right w:val="nil"/>
            </w:tcBorders>
            <w:shd w:val="clear" w:color="auto" w:fill="auto"/>
            <w:vAlign w:val="center"/>
          </w:tcPr>
          <w:p w14:paraId="77C1C07B" w14:textId="5B87DEB0" w:rsidR="00F95D19" w:rsidRPr="00FF4346" w:rsidRDefault="00AF2BD5" w:rsidP="00F95D19">
            <w:pPr>
              <w:jc w:val="right"/>
              <w:rPr>
                <w:rFonts w:ascii="CAIXA Std Book" w:hAnsi="CAIXA Std Book"/>
                <w:color w:val="005CA9"/>
                <w:sz w:val="18"/>
                <w:szCs w:val="18"/>
              </w:rPr>
            </w:pPr>
            <w:r w:rsidRPr="00AF2BD5">
              <w:rPr>
                <w:rFonts w:ascii="CAIXA Std Book" w:hAnsi="CAIXA Std Book" w:cs="Arial"/>
                <w:color w:val="005CA9"/>
                <w:sz w:val="18"/>
                <w:szCs w:val="18"/>
              </w:rPr>
              <w:t>15.429.062</w:t>
            </w:r>
          </w:p>
        </w:tc>
        <w:tc>
          <w:tcPr>
            <w:tcW w:w="820" w:type="pct"/>
            <w:tcBorders>
              <w:top w:val="nil"/>
              <w:left w:val="nil"/>
              <w:bottom w:val="nil"/>
              <w:right w:val="nil"/>
            </w:tcBorders>
            <w:shd w:val="clear" w:color="auto" w:fill="auto"/>
            <w:vAlign w:val="center"/>
          </w:tcPr>
          <w:p w14:paraId="5F022BF6" w14:textId="5AA541F1" w:rsidR="00F95D19" w:rsidRPr="00FF4346" w:rsidRDefault="00581215" w:rsidP="00F95D19">
            <w:pPr>
              <w:jc w:val="right"/>
              <w:rPr>
                <w:rFonts w:ascii="CAIXA Std Book" w:hAnsi="CAIXA Std Book"/>
                <w:color w:val="005CA9"/>
                <w:sz w:val="18"/>
                <w:szCs w:val="18"/>
              </w:rPr>
            </w:pPr>
            <w:r w:rsidRPr="00FF4346">
              <w:rPr>
                <w:rFonts w:ascii="CAIXA Std Book" w:hAnsi="CAIXA Std Book" w:cs="Arial"/>
                <w:color w:val="005CA9"/>
                <w:sz w:val="18"/>
                <w:szCs w:val="18"/>
              </w:rPr>
              <w:t>7.361.410</w:t>
            </w:r>
          </w:p>
        </w:tc>
      </w:tr>
      <w:tr w:rsidR="00F95D19" w:rsidRPr="00A33766" w14:paraId="3F8066CC" w14:textId="77777777" w:rsidTr="00994F4F">
        <w:trPr>
          <w:trHeight w:val="283"/>
        </w:trPr>
        <w:tc>
          <w:tcPr>
            <w:tcW w:w="2314" w:type="pct"/>
            <w:tcBorders>
              <w:top w:val="nil"/>
              <w:left w:val="nil"/>
              <w:right w:val="nil"/>
            </w:tcBorders>
            <w:shd w:val="clear" w:color="auto" w:fill="auto"/>
            <w:vAlign w:val="center"/>
            <w:hideMark/>
          </w:tcPr>
          <w:p w14:paraId="28CBD25F" w14:textId="77777777"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Compulsório sobre depósito de poupança</w:t>
            </w:r>
          </w:p>
        </w:tc>
        <w:tc>
          <w:tcPr>
            <w:tcW w:w="1045" w:type="pct"/>
            <w:tcBorders>
              <w:top w:val="nil"/>
              <w:left w:val="nil"/>
              <w:right w:val="nil"/>
            </w:tcBorders>
            <w:shd w:val="clear" w:color="auto" w:fill="auto"/>
            <w:vAlign w:val="center"/>
            <w:hideMark/>
          </w:tcPr>
          <w:p w14:paraId="2E524647" w14:textId="656AD545" w:rsidR="00F95D19" w:rsidRPr="00FF4346" w:rsidRDefault="00994F4F" w:rsidP="00DA451B">
            <w:pPr>
              <w:ind w:firstLineChars="100" w:firstLine="180"/>
              <w:jc w:val="center"/>
              <w:rPr>
                <w:rFonts w:ascii="CAIXA Std Book" w:hAnsi="CAIXA Std Book"/>
                <w:color w:val="005CA9"/>
                <w:sz w:val="18"/>
                <w:szCs w:val="18"/>
              </w:rPr>
            </w:pPr>
            <w:r>
              <w:rPr>
                <w:rFonts w:ascii="CAIXA Std Book" w:hAnsi="CAIXA Std Book"/>
                <w:color w:val="005CA9"/>
                <w:sz w:val="18"/>
                <w:szCs w:val="18"/>
              </w:rPr>
              <w:t>Taxa Referencial TR</w:t>
            </w:r>
          </w:p>
        </w:tc>
        <w:tc>
          <w:tcPr>
            <w:tcW w:w="821" w:type="pct"/>
            <w:tcBorders>
              <w:top w:val="nil"/>
              <w:left w:val="nil"/>
              <w:bottom w:val="nil"/>
              <w:right w:val="nil"/>
            </w:tcBorders>
            <w:shd w:val="clear" w:color="auto" w:fill="auto"/>
            <w:vAlign w:val="center"/>
          </w:tcPr>
          <w:p w14:paraId="255EDB60" w14:textId="0676EBEB" w:rsidR="00F95D19" w:rsidRPr="00FF4346" w:rsidRDefault="00AF2BD5" w:rsidP="00F95D19">
            <w:pPr>
              <w:jc w:val="right"/>
              <w:rPr>
                <w:rFonts w:ascii="CAIXA Std Book" w:hAnsi="CAIXA Std Book"/>
                <w:color w:val="005CA9"/>
                <w:sz w:val="18"/>
                <w:szCs w:val="18"/>
              </w:rPr>
            </w:pPr>
            <w:r w:rsidRPr="00AF2BD5">
              <w:rPr>
                <w:rFonts w:ascii="CAIXA Std Book" w:hAnsi="CAIXA Std Book" w:cs="Arial"/>
                <w:color w:val="005CA9"/>
                <w:sz w:val="18"/>
                <w:szCs w:val="18"/>
              </w:rPr>
              <w:t>71.431.634</w:t>
            </w:r>
          </w:p>
        </w:tc>
        <w:tc>
          <w:tcPr>
            <w:tcW w:w="820" w:type="pct"/>
            <w:tcBorders>
              <w:top w:val="nil"/>
              <w:left w:val="nil"/>
              <w:bottom w:val="nil"/>
              <w:right w:val="nil"/>
            </w:tcBorders>
            <w:shd w:val="clear" w:color="auto" w:fill="auto"/>
            <w:vAlign w:val="center"/>
          </w:tcPr>
          <w:p w14:paraId="4312B396" w14:textId="6C411284" w:rsidR="00F95D19" w:rsidRPr="00FF4346" w:rsidRDefault="00581215" w:rsidP="00F95D19">
            <w:pPr>
              <w:jc w:val="right"/>
              <w:rPr>
                <w:rFonts w:ascii="CAIXA Std Book" w:hAnsi="CAIXA Std Book"/>
                <w:color w:val="005CA9"/>
                <w:sz w:val="18"/>
                <w:szCs w:val="18"/>
              </w:rPr>
            </w:pPr>
            <w:r w:rsidRPr="00FF4346">
              <w:rPr>
                <w:rFonts w:ascii="CAIXA Std Book" w:hAnsi="CAIXA Std Book" w:cs="Arial"/>
                <w:color w:val="005CA9"/>
                <w:sz w:val="18"/>
                <w:szCs w:val="18"/>
              </w:rPr>
              <w:t>71.014.770</w:t>
            </w:r>
          </w:p>
        </w:tc>
      </w:tr>
      <w:tr w:rsidR="00F95D19" w:rsidRPr="00A33766" w14:paraId="5826EB61" w14:textId="77777777" w:rsidTr="00994F4F">
        <w:trPr>
          <w:trHeight w:val="283"/>
        </w:trPr>
        <w:tc>
          <w:tcPr>
            <w:tcW w:w="2314" w:type="pct"/>
            <w:tcBorders>
              <w:top w:val="nil"/>
              <w:left w:val="nil"/>
              <w:right w:val="nil"/>
            </w:tcBorders>
            <w:shd w:val="clear" w:color="auto" w:fill="auto"/>
            <w:vAlign w:val="center"/>
            <w:hideMark/>
          </w:tcPr>
          <w:p w14:paraId="3BF469C4" w14:textId="70915051"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 xml:space="preserve">Compulsório sobre depósitos </w:t>
            </w:r>
            <w:proofErr w:type="gramStart"/>
            <w:r w:rsidRPr="00FF4346">
              <w:rPr>
                <w:rFonts w:ascii="CAIXA Std Book" w:hAnsi="CAIXA Std Book"/>
                <w:color w:val="005CA9"/>
                <w:sz w:val="18"/>
                <w:szCs w:val="18"/>
              </w:rPr>
              <w:t>à</w:t>
            </w:r>
            <w:proofErr w:type="gramEnd"/>
            <w:r w:rsidRPr="00FF4346">
              <w:rPr>
                <w:rFonts w:ascii="CAIXA Std Book" w:hAnsi="CAIXA Std Book"/>
                <w:color w:val="005CA9"/>
                <w:sz w:val="18"/>
                <w:szCs w:val="18"/>
              </w:rPr>
              <w:t xml:space="preserve"> prazo</w:t>
            </w:r>
          </w:p>
        </w:tc>
        <w:tc>
          <w:tcPr>
            <w:tcW w:w="1045" w:type="pct"/>
            <w:tcBorders>
              <w:top w:val="nil"/>
              <w:left w:val="nil"/>
              <w:right w:val="nil"/>
            </w:tcBorders>
            <w:shd w:val="clear" w:color="auto" w:fill="auto"/>
            <w:vAlign w:val="center"/>
            <w:hideMark/>
          </w:tcPr>
          <w:p w14:paraId="2A8A4CE3" w14:textId="77777777" w:rsidR="00F95D19" w:rsidRPr="00FF4346" w:rsidRDefault="00F95D19" w:rsidP="00DA451B">
            <w:pPr>
              <w:ind w:firstLineChars="100" w:firstLine="180"/>
              <w:jc w:val="center"/>
              <w:rPr>
                <w:rFonts w:ascii="CAIXA Std Book" w:hAnsi="CAIXA Std Book"/>
                <w:color w:val="005CA9"/>
                <w:sz w:val="18"/>
                <w:szCs w:val="18"/>
              </w:rPr>
            </w:pPr>
            <w:r w:rsidRPr="00FF4346">
              <w:rPr>
                <w:rFonts w:ascii="CAIXA Std Book" w:hAnsi="CAIXA Std Book"/>
                <w:color w:val="005CA9"/>
                <w:sz w:val="18"/>
                <w:szCs w:val="18"/>
              </w:rPr>
              <w:t>Taxa SELIC</w:t>
            </w:r>
          </w:p>
        </w:tc>
        <w:tc>
          <w:tcPr>
            <w:tcW w:w="821" w:type="pct"/>
            <w:tcBorders>
              <w:top w:val="nil"/>
              <w:left w:val="nil"/>
              <w:bottom w:val="nil"/>
              <w:right w:val="nil"/>
            </w:tcBorders>
            <w:shd w:val="clear" w:color="auto" w:fill="auto"/>
            <w:vAlign w:val="center"/>
          </w:tcPr>
          <w:p w14:paraId="16B45B49" w14:textId="1B455204" w:rsidR="00F95D19" w:rsidRPr="00FF4346" w:rsidRDefault="00AF2BD5" w:rsidP="00F95D19">
            <w:pPr>
              <w:jc w:val="right"/>
              <w:rPr>
                <w:rFonts w:ascii="CAIXA Std Book" w:hAnsi="CAIXA Std Book"/>
                <w:color w:val="005CA9"/>
                <w:sz w:val="18"/>
                <w:szCs w:val="18"/>
              </w:rPr>
            </w:pPr>
            <w:r w:rsidRPr="00AF2BD5">
              <w:rPr>
                <w:rFonts w:ascii="CAIXA Std Book" w:hAnsi="CAIXA Std Book" w:cs="Arial"/>
                <w:color w:val="005CA9"/>
                <w:sz w:val="18"/>
                <w:szCs w:val="18"/>
              </w:rPr>
              <w:t>27.509.503</w:t>
            </w:r>
          </w:p>
        </w:tc>
        <w:tc>
          <w:tcPr>
            <w:tcW w:w="820" w:type="pct"/>
            <w:tcBorders>
              <w:top w:val="nil"/>
              <w:left w:val="nil"/>
              <w:bottom w:val="nil"/>
              <w:right w:val="nil"/>
            </w:tcBorders>
            <w:shd w:val="clear" w:color="auto" w:fill="auto"/>
            <w:vAlign w:val="center"/>
          </w:tcPr>
          <w:p w14:paraId="201EC98D" w14:textId="47B400D1" w:rsidR="00F95D19" w:rsidRPr="00FF4346" w:rsidRDefault="00581215" w:rsidP="00F95D19">
            <w:pPr>
              <w:jc w:val="right"/>
              <w:rPr>
                <w:rFonts w:ascii="CAIXA Std Book" w:hAnsi="CAIXA Std Book"/>
                <w:color w:val="005CA9"/>
                <w:sz w:val="18"/>
                <w:szCs w:val="18"/>
              </w:rPr>
            </w:pPr>
            <w:r w:rsidRPr="00FF4346">
              <w:rPr>
                <w:rFonts w:ascii="CAIXA Std Book" w:hAnsi="CAIXA Std Book" w:cs="Arial"/>
                <w:color w:val="005CA9"/>
                <w:sz w:val="18"/>
                <w:szCs w:val="18"/>
              </w:rPr>
              <w:t>23.967.982</w:t>
            </w:r>
          </w:p>
        </w:tc>
      </w:tr>
      <w:tr w:rsidR="00F95D19" w:rsidRPr="00A33766" w14:paraId="2A22A1A4" w14:textId="77777777" w:rsidTr="00994F4F">
        <w:trPr>
          <w:trHeight w:val="283"/>
        </w:trPr>
        <w:tc>
          <w:tcPr>
            <w:tcW w:w="2314" w:type="pct"/>
            <w:tcBorders>
              <w:left w:val="nil"/>
              <w:right w:val="nil"/>
            </w:tcBorders>
            <w:shd w:val="clear" w:color="auto" w:fill="auto"/>
            <w:vAlign w:val="center"/>
          </w:tcPr>
          <w:p w14:paraId="6820DB2D" w14:textId="77777777"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Conta de pagamentos instantâneos</w:t>
            </w:r>
          </w:p>
        </w:tc>
        <w:tc>
          <w:tcPr>
            <w:tcW w:w="1045" w:type="pct"/>
            <w:tcBorders>
              <w:left w:val="nil"/>
              <w:right w:val="nil"/>
            </w:tcBorders>
            <w:shd w:val="clear" w:color="auto" w:fill="auto"/>
            <w:vAlign w:val="center"/>
          </w:tcPr>
          <w:p w14:paraId="4F853F9D" w14:textId="6F8AC468" w:rsidR="00F95D19" w:rsidRPr="00FF4346" w:rsidRDefault="000766A4" w:rsidP="00DA451B">
            <w:pPr>
              <w:ind w:firstLineChars="100" w:firstLine="180"/>
              <w:jc w:val="center"/>
              <w:rPr>
                <w:rFonts w:ascii="CAIXA Std Book" w:hAnsi="CAIXA Std Book"/>
                <w:color w:val="005CA9"/>
                <w:sz w:val="18"/>
                <w:szCs w:val="18"/>
              </w:rPr>
            </w:pPr>
            <w:r w:rsidRPr="00FF4346">
              <w:rPr>
                <w:rFonts w:ascii="CAIXA Std Book" w:hAnsi="CAIXA Std Book"/>
                <w:color w:val="005CA9"/>
                <w:sz w:val="18"/>
                <w:szCs w:val="18"/>
              </w:rPr>
              <w:t>Taxa SELIC</w:t>
            </w:r>
          </w:p>
        </w:tc>
        <w:tc>
          <w:tcPr>
            <w:tcW w:w="821" w:type="pct"/>
            <w:tcBorders>
              <w:top w:val="nil"/>
              <w:left w:val="nil"/>
              <w:bottom w:val="nil"/>
              <w:right w:val="nil"/>
            </w:tcBorders>
            <w:shd w:val="clear" w:color="auto" w:fill="auto"/>
            <w:vAlign w:val="center"/>
          </w:tcPr>
          <w:p w14:paraId="45E643F3" w14:textId="4D682D68" w:rsidR="00F95D19" w:rsidRPr="00FF4346" w:rsidRDefault="00AF2BD5" w:rsidP="00F95D19">
            <w:pPr>
              <w:jc w:val="right"/>
              <w:rPr>
                <w:rFonts w:ascii="CAIXA Std Book" w:hAnsi="CAIXA Std Book"/>
                <w:color w:val="005CA9"/>
                <w:sz w:val="18"/>
                <w:szCs w:val="18"/>
              </w:rPr>
            </w:pPr>
            <w:r w:rsidRPr="00AF2BD5">
              <w:rPr>
                <w:rFonts w:ascii="CAIXA Std Book" w:hAnsi="CAIXA Std Book" w:cs="Arial"/>
                <w:color w:val="005CA9"/>
                <w:sz w:val="18"/>
                <w:szCs w:val="18"/>
              </w:rPr>
              <w:t>4.797.340</w:t>
            </w:r>
          </w:p>
        </w:tc>
        <w:tc>
          <w:tcPr>
            <w:tcW w:w="820" w:type="pct"/>
            <w:tcBorders>
              <w:top w:val="nil"/>
              <w:left w:val="nil"/>
              <w:bottom w:val="nil"/>
              <w:right w:val="nil"/>
            </w:tcBorders>
            <w:shd w:val="clear" w:color="auto" w:fill="auto"/>
            <w:vAlign w:val="center"/>
          </w:tcPr>
          <w:p w14:paraId="2DC999EB" w14:textId="39F723D9" w:rsidR="00F95D19" w:rsidRPr="00FF4346" w:rsidRDefault="00581215" w:rsidP="00F95D19">
            <w:pPr>
              <w:jc w:val="right"/>
              <w:rPr>
                <w:rFonts w:ascii="CAIXA Std Book" w:hAnsi="CAIXA Std Book"/>
                <w:color w:val="005CA9"/>
                <w:sz w:val="18"/>
                <w:szCs w:val="18"/>
              </w:rPr>
            </w:pPr>
            <w:r w:rsidRPr="00FF4346">
              <w:rPr>
                <w:rFonts w:ascii="CAIXA Std Book" w:hAnsi="CAIXA Std Book" w:cs="Arial"/>
                <w:color w:val="005CA9"/>
                <w:sz w:val="18"/>
                <w:szCs w:val="18"/>
              </w:rPr>
              <w:t>6.248.987</w:t>
            </w:r>
          </w:p>
        </w:tc>
      </w:tr>
      <w:tr w:rsidR="00F95D19" w:rsidRPr="00A33766" w14:paraId="0BDD165C" w14:textId="77777777" w:rsidTr="00994F4F">
        <w:trPr>
          <w:trHeight w:val="283"/>
        </w:trPr>
        <w:tc>
          <w:tcPr>
            <w:tcW w:w="2314" w:type="pct"/>
            <w:tcBorders>
              <w:left w:val="nil"/>
              <w:bottom w:val="single" w:sz="4" w:space="0" w:color="F39200"/>
              <w:right w:val="nil"/>
            </w:tcBorders>
            <w:shd w:val="clear" w:color="auto" w:fill="auto"/>
            <w:vAlign w:val="center"/>
          </w:tcPr>
          <w:p w14:paraId="54F57537" w14:textId="2D7EA671"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Depósitos voluntários</w:t>
            </w:r>
          </w:p>
        </w:tc>
        <w:tc>
          <w:tcPr>
            <w:tcW w:w="1045" w:type="pct"/>
            <w:tcBorders>
              <w:left w:val="nil"/>
              <w:bottom w:val="single" w:sz="4" w:space="0" w:color="F39200"/>
              <w:right w:val="nil"/>
            </w:tcBorders>
            <w:shd w:val="clear" w:color="auto" w:fill="auto"/>
            <w:vAlign w:val="center"/>
          </w:tcPr>
          <w:p w14:paraId="679EAFF8" w14:textId="041045A2" w:rsidR="00F95D19" w:rsidRPr="00FF4346" w:rsidRDefault="00F95D19" w:rsidP="00DA451B">
            <w:pPr>
              <w:ind w:firstLineChars="100" w:firstLine="180"/>
              <w:jc w:val="center"/>
              <w:rPr>
                <w:rFonts w:ascii="CAIXA Std Book" w:hAnsi="CAIXA Std Book"/>
                <w:color w:val="005CA9"/>
                <w:sz w:val="18"/>
                <w:szCs w:val="18"/>
                <w:highlight w:val="yellow"/>
              </w:rPr>
            </w:pPr>
            <w:r w:rsidRPr="00FF4346">
              <w:rPr>
                <w:rFonts w:ascii="CAIXA Std Book" w:hAnsi="CAIXA Std Book"/>
                <w:color w:val="005CA9"/>
                <w:sz w:val="18"/>
                <w:szCs w:val="18"/>
              </w:rPr>
              <w:t>Taxa SELIC</w:t>
            </w:r>
          </w:p>
        </w:tc>
        <w:tc>
          <w:tcPr>
            <w:tcW w:w="821" w:type="pct"/>
            <w:tcBorders>
              <w:top w:val="nil"/>
              <w:left w:val="nil"/>
              <w:bottom w:val="nil"/>
              <w:right w:val="nil"/>
            </w:tcBorders>
            <w:shd w:val="clear" w:color="auto" w:fill="auto"/>
            <w:vAlign w:val="center"/>
          </w:tcPr>
          <w:p w14:paraId="4DD1BA00" w14:textId="30A2D356" w:rsidR="00F95D19" w:rsidRPr="00FF4346" w:rsidRDefault="00AF2BD5" w:rsidP="00F95D19">
            <w:pPr>
              <w:jc w:val="right"/>
              <w:rPr>
                <w:rFonts w:ascii="CAIXA Std Book" w:hAnsi="CAIXA Std Book"/>
                <w:color w:val="005CA9"/>
                <w:sz w:val="18"/>
                <w:szCs w:val="18"/>
              </w:rPr>
            </w:pPr>
            <w:bookmarkStart w:id="45" w:name="OLE_LINK11"/>
            <w:r w:rsidRPr="00AF2BD5">
              <w:rPr>
                <w:rFonts w:ascii="CAIXA Std Book" w:hAnsi="CAIXA Std Book" w:cs="Arial"/>
                <w:color w:val="005CA9"/>
                <w:sz w:val="18"/>
                <w:szCs w:val="18"/>
              </w:rPr>
              <w:t>19.599.998</w:t>
            </w:r>
            <w:bookmarkEnd w:id="45"/>
          </w:p>
        </w:tc>
        <w:tc>
          <w:tcPr>
            <w:tcW w:w="820" w:type="pct"/>
            <w:tcBorders>
              <w:top w:val="nil"/>
              <w:left w:val="nil"/>
              <w:bottom w:val="nil"/>
              <w:right w:val="nil"/>
            </w:tcBorders>
            <w:shd w:val="clear" w:color="auto" w:fill="auto"/>
            <w:vAlign w:val="center"/>
          </w:tcPr>
          <w:p w14:paraId="01D963FA" w14:textId="4B745949" w:rsidR="00F95D19" w:rsidRPr="00FF4346" w:rsidRDefault="00581215" w:rsidP="00F95D19">
            <w:pPr>
              <w:jc w:val="right"/>
              <w:rPr>
                <w:rFonts w:ascii="CAIXA Std Book" w:hAnsi="CAIXA Std Book"/>
                <w:color w:val="005CA9"/>
                <w:sz w:val="18"/>
                <w:szCs w:val="18"/>
              </w:rPr>
            </w:pPr>
            <w:r w:rsidRPr="00FF4346">
              <w:rPr>
                <w:rFonts w:ascii="CAIXA Std Book" w:hAnsi="CAIXA Std Book" w:cs="Arial"/>
                <w:color w:val="005CA9"/>
                <w:sz w:val="18"/>
                <w:szCs w:val="18"/>
              </w:rPr>
              <w:t>24.800</w:t>
            </w:r>
            <w:r w:rsidR="00F95D19" w:rsidRPr="00FF4346">
              <w:rPr>
                <w:rFonts w:ascii="CAIXA Std Book" w:hAnsi="CAIXA Std Book" w:cs="Arial"/>
                <w:color w:val="005CA9"/>
                <w:sz w:val="18"/>
                <w:szCs w:val="18"/>
              </w:rPr>
              <w:t>.000</w:t>
            </w:r>
          </w:p>
        </w:tc>
      </w:tr>
      <w:tr w:rsidR="00F95D19" w:rsidRPr="00A33766" w14:paraId="3FD58BDB" w14:textId="77777777" w:rsidTr="00994F4F">
        <w:trPr>
          <w:trHeight w:val="283"/>
        </w:trPr>
        <w:tc>
          <w:tcPr>
            <w:tcW w:w="2314" w:type="pct"/>
            <w:tcBorders>
              <w:top w:val="single" w:sz="4" w:space="0" w:color="F39200"/>
              <w:left w:val="nil"/>
              <w:bottom w:val="single" w:sz="4" w:space="0" w:color="F39200"/>
              <w:right w:val="nil"/>
            </w:tcBorders>
            <w:shd w:val="clear" w:color="auto" w:fill="auto"/>
            <w:vAlign w:val="center"/>
            <w:hideMark/>
          </w:tcPr>
          <w:p w14:paraId="0D9FDF2E" w14:textId="77777777" w:rsidR="00F95D19" w:rsidRPr="00FF4346" w:rsidRDefault="00F95D19" w:rsidP="00F95D19">
            <w:pPr>
              <w:rPr>
                <w:rFonts w:ascii="CAIXA Std Book" w:hAnsi="CAIXA Std Book"/>
                <w:b/>
                <w:color w:val="005CA9"/>
                <w:sz w:val="18"/>
                <w:szCs w:val="18"/>
              </w:rPr>
            </w:pPr>
            <w:r w:rsidRPr="00FF4346">
              <w:rPr>
                <w:rFonts w:ascii="CAIXA Std Book" w:hAnsi="CAIXA Std Book"/>
                <w:b/>
                <w:color w:val="005CA9"/>
                <w:sz w:val="18"/>
                <w:szCs w:val="18"/>
              </w:rPr>
              <w:t>Total</w:t>
            </w:r>
          </w:p>
        </w:tc>
        <w:tc>
          <w:tcPr>
            <w:tcW w:w="1045" w:type="pct"/>
            <w:tcBorders>
              <w:top w:val="single" w:sz="4" w:space="0" w:color="F39200"/>
              <w:left w:val="nil"/>
              <w:bottom w:val="single" w:sz="4" w:space="0" w:color="F39200"/>
              <w:right w:val="nil"/>
            </w:tcBorders>
            <w:shd w:val="clear" w:color="auto" w:fill="auto"/>
            <w:vAlign w:val="center"/>
            <w:hideMark/>
          </w:tcPr>
          <w:p w14:paraId="4941AFF1" w14:textId="77777777" w:rsidR="00F95D19" w:rsidRPr="00FF4346" w:rsidRDefault="00F95D19" w:rsidP="00DA451B">
            <w:pPr>
              <w:jc w:val="center"/>
              <w:rPr>
                <w:rFonts w:ascii="CAIXA Std Book" w:hAnsi="CAIXA Std Book"/>
                <w:color w:val="005CA9"/>
                <w:sz w:val="18"/>
                <w:szCs w:val="18"/>
              </w:rPr>
            </w:pPr>
          </w:p>
        </w:tc>
        <w:tc>
          <w:tcPr>
            <w:tcW w:w="821" w:type="pct"/>
            <w:tcBorders>
              <w:top w:val="single" w:sz="4" w:space="0" w:color="F79646"/>
              <w:left w:val="nil"/>
              <w:bottom w:val="single" w:sz="4" w:space="0" w:color="F79646"/>
              <w:right w:val="nil"/>
            </w:tcBorders>
            <w:shd w:val="clear" w:color="auto" w:fill="auto"/>
            <w:vAlign w:val="center"/>
          </w:tcPr>
          <w:p w14:paraId="78078E48" w14:textId="71925AF0" w:rsidR="00F95D19" w:rsidRPr="00FF4346" w:rsidRDefault="00AF2BD5" w:rsidP="00F95D19">
            <w:pPr>
              <w:jc w:val="right"/>
              <w:rPr>
                <w:rFonts w:ascii="CAIXA Std Book" w:hAnsi="CAIXA Std Book"/>
                <w:b/>
                <w:bCs/>
                <w:color w:val="005CA9"/>
                <w:sz w:val="18"/>
                <w:szCs w:val="18"/>
              </w:rPr>
            </w:pPr>
            <w:r w:rsidRPr="00AF2BD5">
              <w:rPr>
                <w:rFonts w:ascii="CAIXA Std Book" w:hAnsi="CAIXA Std Book" w:cs="Arial"/>
                <w:b/>
                <w:bCs/>
                <w:color w:val="005CA9"/>
                <w:sz w:val="18"/>
                <w:szCs w:val="18"/>
              </w:rPr>
              <w:t>138.767.537</w:t>
            </w:r>
          </w:p>
        </w:tc>
        <w:tc>
          <w:tcPr>
            <w:tcW w:w="820" w:type="pct"/>
            <w:tcBorders>
              <w:top w:val="single" w:sz="4" w:space="0" w:color="F79646"/>
              <w:left w:val="nil"/>
              <w:bottom w:val="single" w:sz="4" w:space="0" w:color="F79646"/>
              <w:right w:val="nil"/>
            </w:tcBorders>
            <w:shd w:val="clear" w:color="auto" w:fill="auto"/>
            <w:vAlign w:val="center"/>
          </w:tcPr>
          <w:p w14:paraId="54EA6946" w14:textId="0656B7C3" w:rsidR="00F95D19" w:rsidRPr="00FF4346" w:rsidRDefault="00581215" w:rsidP="00F95D19">
            <w:pPr>
              <w:jc w:val="right"/>
              <w:rPr>
                <w:rFonts w:ascii="CAIXA Std Book" w:hAnsi="CAIXA Std Book"/>
                <w:b/>
                <w:color w:val="005CA9"/>
                <w:sz w:val="18"/>
                <w:szCs w:val="18"/>
              </w:rPr>
            </w:pPr>
            <w:r w:rsidRPr="00FF4346">
              <w:rPr>
                <w:rFonts w:ascii="CAIXA Std Book" w:hAnsi="CAIXA Std Book" w:cs="Arial"/>
                <w:b/>
                <w:bCs/>
                <w:color w:val="005CA9"/>
                <w:sz w:val="18"/>
                <w:szCs w:val="18"/>
              </w:rPr>
              <w:t>133.393.149</w:t>
            </w:r>
          </w:p>
        </w:tc>
      </w:tr>
      <w:tr w:rsidR="00F95D19" w:rsidRPr="00A33766" w14:paraId="7A857350" w14:textId="77777777" w:rsidTr="00994F4F">
        <w:trPr>
          <w:trHeight w:val="283"/>
        </w:trPr>
        <w:tc>
          <w:tcPr>
            <w:tcW w:w="2314" w:type="pct"/>
            <w:tcBorders>
              <w:top w:val="single" w:sz="4" w:space="0" w:color="F79646" w:themeColor="accent6"/>
              <w:left w:val="nil"/>
              <w:bottom w:val="nil"/>
              <w:right w:val="nil"/>
            </w:tcBorders>
            <w:vAlign w:val="center"/>
            <w:hideMark/>
          </w:tcPr>
          <w:p w14:paraId="7E6319D6" w14:textId="77777777"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Ativo circulante</w:t>
            </w:r>
          </w:p>
        </w:tc>
        <w:tc>
          <w:tcPr>
            <w:tcW w:w="1045" w:type="pct"/>
            <w:tcBorders>
              <w:top w:val="single" w:sz="4" w:space="0" w:color="F79646" w:themeColor="accent6"/>
              <w:left w:val="nil"/>
              <w:bottom w:val="nil"/>
              <w:right w:val="nil"/>
            </w:tcBorders>
            <w:vAlign w:val="center"/>
          </w:tcPr>
          <w:p w14:paraId="3AE3194F" w14:textId="77777777" w:rsidR="00F95D19" w:rsidRPr="00FF4346" w:rsidRDefault="00F95D19" w:rsidP="00DA451B">
            <w:pPr>
              <w:jc w:val="center"/>
              <w:rPr>
                <w:rFonts w:ascii="CAIXA Std Book" w:hAnsi="CAIXA Std Book"/>
                <w:color w:val="005CA9"/>
                <w:sz w:val="18"/>
                <w:szCs w:val="18"/>
              </w:rPr>
            </w:pPr>
          </w:p>
        </w:tc>
        <w:tc>
          <w:tcPr>
            <w:tcW w:w="821" w:type="pct"/>
            <w:tcBorders>
              <w:top w:val="nil"/>
              <w:left w:val="nil"/>
              <w:bottom w:val="nil"/>
              <w:right w:val="nil"/>
            </w:tcBorders>
            <w:shd w:val="clear" w:color="auto" w:fill="auto"/>
            <w:vAlign w:val="center"/>
          </w:tcPr>
          <w:p w14:paraId="354EBB33" w14:textId="16B79B15" w:rsidR="00F95D19" w:rsidRPr="00FF4346" w:rsidRDefault="00AF2BD5" w:rsidP="00F95D19">
            <w:pPr>
              <w:jc w:val="right"/>
              <w:rPr>
                <w:rFonts w:ascii="CAIXA Std Book" w:hAnsi="CAIXA Std Book"/>
                <w:color w:val="005CA9"/>
                <w:sz w:val="18"/>
                <w:szCs w:val="18"/>
              </w:rPr>
            </w:pPr>
            <w:r w:rsidRPr="00AF2BD5">
              <w:rPr>
                <w:rFonts w:ascii="CAIXA Std Book" w:hAnsi="CAIXA Std Book" w:cs="Arial"/>
                <w:color w:val="005CA9"/>
                <w:sz w:val="18"/>
                <w:szCs w:val="18"/>
              </w:rPr>
              <w:t>138.767.537</w:t>
            </w:r>
          </w:p>
        </w:tc>
        <w:tc>
          <w:tcPr>
            <w:tcW w:w="820" w:type="pct"/>
            <w:tcBorders>
              <w:top w:val="nil"/>
              <w:left w:val="nil"/>
              <w:bottom w:val="nil"/>
              <w:right w:val="nil"/>
            </w:tcBorders>
            <w:shd w:val="clear" w:color="auto" w:fill="auto"/>
            <w:vAlign w:val="center"/>
          </w:tcPr>
          <w:p w14:paraId="287062A7" w14:textId="38F71255" w:rsidR="00F95D19" w:rsidRPr="00FF4346" w:rsidRDefault="00581215" w:rsidP="00F95D19">
            <w:pPr>
              <w:jc w:val="right"/>
              <w:rPr>
                <w:rFonts w:ascii="CAIXA Std Book" w:hAnsi="CAIXA Std Book"/>
                <w:color w:val="005CA9"/>
                <w:sz w:val="18"/>
                <w:szCs w:val="18"/>
              </w:rPr>
            </w:pPr>
            <w:r w:rsidRPr="00FF4346">
              <w:rPr>
                <w:rFonts w:ascii="CAIXA Std Book" w:hAnsi="CAIXA Std Book"/>
                <w:color w:val="005CA9"/>
                <w:sz w:val="18"/>
                <w:szCs w:val="18"/>
              </w:rPr>
              <w:t>133.393.149</w:t>
            </w:r>
          </w:p>
        </w:tc>
      </w:tr>
      <w:tr w:rsidR="00F95D19" w:rsidRPr="00A33766" w14:paraId="65C7CAA2" w14:textId="77777777" w:rsidTr="00994F4F">
        <w:trPr>
          <w:trHeight w:val="283"/>
        </w:trPr>
        <w:tc>
          <w:tcPr>
            <w:tcW w:w="2314" w:type="pct"/>
            <w:tcBorders>
              <w:top w:val="nil"/>
              <w:left w:val="nil"/>
              <w:bottom w:val="single" w:sz="4" w:space="0" w:color="F79646" w:themeColor="accent6"/>
              <w:right w:val="nil"/>
            </w:tcBorders>
            <w:vAlign w:val="center"/>
            <w:hideMark/>
          </w:tcPr>
          <w:p w14:paraId="6CA5AB50" w14:textId="77777777" w:rsidR="00F95D19" w:rsidRPr="00FF4346" w:rsidRDefault="00F95D19" w:rsidP="00F95D19">
            <w:pPr>
              <w:rPr>
                <w:rFonts w:ascii="CAIXA Std Book" w:hAnsi="CAIXA Std Book"/>
                <w:color w:val="005CA9"/>
                <w:sz w:val="18"/>
                <w:szCs w:val="18"/>
              </w:rPr>
            </w:pPr>
            <w:r w:rsidRPr="00FF4346">
              <w:rPr>
                <w:rFonts w:ascii="CAIXA Std Book" w:hAnsi="CAIXA Std Book"/>
                <w:color w:val="005CA9"/>
                <w:sz w:val="18"/>
                <w:szCs w:val="18"/>
              </w:rPr>
              <w:t>Ativo não circulante</w:t>
            </w:r>
          </w:p>
        </w:tc>
        <w:tc>
          <w:tcPr>
            <w:tcW w:w="1045" w:type="pct"/>
            <w:tcBorders>
              <w:top w:val="nil"/>
              <w:left w:val="nil"/>
              <w:bottom w:val="single" w:sz="4" w:space="0" w:color="F79646" w:themeColor="accent6"/>
              <w:right w:val="nil"/>
            </w:tcBorders>
            <w:vAlign w:val="center"/>
          </w:tcPr>
          <w:p w14:paraId="2AAA0198" w14:textId="77777777" w:rsidR="00F95D19" w:rsidRPr="00FF4346" w:rsidRDefault="00F95D19" w:rsidP="00DA451B">
            <w:pPr>
              <w:jc w:val="center"/>
              <w:rPr>
                <w:rFonts w:ascii="CAIXA Std Book" w:hAnsi="CAIXA Std Book"/>
                <w:color w:val="005CA9"/>
                <w:sz w:val="18"/>
                <w:szCs w:val="18"/>
              </w:rPr>
            </w:pPr>
          </w:p>
        </w:tc>
        <w:tc>
          <w:tcPr>
            <w:tcW w:w="821" w:type="pct"/>
            <w:tcBorders>
              <w:left w:val="nil"/>
              <w:bottom w:val="single" w:sz="4" w:space="0" w:color="F79646"/>
              <w:right w:val="nil"/>
            </w:tcBorders>
            <w:shd w:val="clear" w:color="auto" w:fill="auto"/>
            <w:vAlign w:val="center"/>
          </w:tcPr>
          <w:p w14:paraId="570BDC7D" w14:textId="3F9DC3D1" w:rsidR="00F95D19" w:rsidRPr="00FF4346" w:rsidRDefault="00A15D10" w:rsidP="00F95D19">
            <w:pPr>
              <w:jc w:val="center"/>
              <w:rPr>
                <w:rFonts w:ascii="CAIXA Std Book" w:hAnsi="CAIXA Std Book"/>
                <w:color w:val="005CA9"/>
                <w:sz w:val="18"/>
                <w:szCs w:val="18"/>
              </w:rPr>
            </w:pPr>
            <w:r w:rsidRPr="00FF4346">
              <w:rPr>
                <w:rFonts w:ascii="CAIXA Std Book" w:hAnsi="CAIXA Std Book"/>
                <w:color w:val="005CA9"/>
                <w:sz w:val="18"/>
                <w:szCs w:val="18"/>
              </w:rPr>
              <w:t>-</w:t>
            </w:r>
          </w:p>
        </w:tc>
        <w:tc>
          <w:tcPr>
            <w:tcW w:w="820" w:type="pct"/>
            <w:tcBorders>
              <w:left w:val="nil"/>
              <w:bottom w:val="single" w:sz="4" w:space="0" w:color="F79646"/>
              <w:right w:val="nil"/>
            </w:tcBorders>
            <w:shd w:val="clear" w:color="auto" w:fill="auto"/>
            <w:vAlign w:val="center"/>
          </w:tcPr>
          <w:p w14:paraId="7D16910E" w14:textId="29AF4849" w:rsidR="00F95D19" w:rsidRPr="00FF4346" w:rsidRDefault="00F95D19" w:rsidP="00F95D19">
            <w:pPr>
              <w:jc w:val="center"/>
              <w:rPr>
                <w:rFonts w:ascii="CAIXA Std Book" w:hAnsi="CAIXA Std Book"/>
                <w:color w:val="005CA9"/>
                <w:sz w:val="18"/>
                <w:szCs w:val="18"/>
              </w:rPr>
            </w:pPr>
            <w:r w:rsidRPr="00FF4346">
              <w:rPr>
                <w:rFonts w:ascii="CAIXA Std Book" w:hAnsi="CAIXA Std Book"/>
                <w:color w:val="005CA9"/>
                <w:sz w:val="18"/>
                <w:szCs w:val="18"/>
              </w:rPr>
              <w:t>-</w:t>
            </w:r>
          </w:p>
        </w:tc>
      </w:tr>
    </w:tbl>
    <w:p w14:paraId="223AD2EE" w14:textId="5A18E033" w:rsidR="0084689A" w:rsidRPr="00FF4346" w:rsidRDefault="00273C8A" w:rsidP="00273C8A">
      <w:pPr>
        <w:keepNext/>
        <w:spacing w:before="240" w:after="240"/>
        <w:jc w:val="both"/>
        <w:rPr>
          <w:rStyle w:val="Nmerodepgina"/>
          <w:rFonts w:ascii="CAIXA Std Book" w:hAnsi="CAIXA Std Book" w:cs="Arial Unicode MS"/>
          <w:b/>
          <w:color w:val="005CA9"/>
          <w:sz w:val="20"/>
          <w:szCs w:val="20"/>
        </w:rPr>
      </w:pPr>
      <w:r w:rsidRPr="00FF4346">
        <w:rPr>
          <w:rStyle w:val="Nmerodepgina"/>
          <w:rFonts w:ascii="CAIXA Std Book" w:hAnsi="CAIXA Std Book" w:cs="Arial Unicode MS"/>
          <w:b/>
          <w:color w:val="005CA9"/>
          <w:sz w:val="20"/>
          <w:szCs w:val="20"/>
        </w:rPr>
        <w:t>(b)</w:t>
      </w:r>
      <w:r w:rsidRPr="00FF4346">
        <w:rPr>
          <w:rStyle w:val="Nmerodepgina"/>
          <w:rFonts w:ascii="CAIXA Std Book" w:hAnsi="CAIXA Std Book" w:cs="Arial Unicode MS"/>
          <w:b/>
          <w:color w:val="005CA9"/>
          <w:sz w:val="20"/>
          <w:szCs w:val="20"/>
        </w:rPr>
        <w:tab/>
      </w:r>
      <w:r w:rsidR="0084689A" w:rsidRPr="00FF4346">
        <w:rPr>
          <w:rStyle w:val="Nmerodepgina"/>
          <w:rFonts w:ascii="CAIXA Std Book" w:hAnsi="CAIXA Std Book" w:cs="Arial Unicode MS"/>
          <w:b/>
          <w:color w:val="005CA9"/>
          <w:sz w:val="20"/>
          <w:szCs w:val="20"/>
        </w:rPr>
        <w:t>Resultado das aplicações no Banco Central</w:t>
      </w:r>
    </w:p>
    <w:tbl>
      <w:tblPr>
        <w:tblW w:w="5000" w:type="pct"/>
        <w:tblCellMar>
          <w:left w:w="70" w:type="dxa"/>
          <w:right w:w="70" w:type="dxa"/>
        </w:tblCellMar>
        <w:tblLook w:val="04A0" w:firstRow="1" w:lastRow="0" w:firstColumn="1" w:lastColumn="0" w:noHBand="0" w:noVBand="1"/>
      </w:tblPr>
      <w:tblGrid>
        <w:gridCol w:w="5754"/>
        <w:gridCol w:w="1943"/>
        <w:gridCol w:w="1941"/>
      </w:tblGrid>
      <w:tr w:rsidR="005C1ED5" w:rsidRPr="005C1ED5" w14:paraId="2616A5DC" w14:textId="77777777" w:rsidTr="00E05C20">
        <w:trPr>
          <w:trHeight w:val="300"/>
        </w:trPr>
        <w:tc>
          <w:tcPr>
            <w:tcW w:w="5000" w:type="pct"/>
            <w:gridSpan w:val="3"/>
            <w:tcBorders>
              <w:top w:val="single" w:sz="4" w:space="0" w:color="ED7D31"/>
              <w:left w:val="nil"/>
              <w:bottom w:val="single" w:sz="4" w:space="0" w:color="ED7D31"/>
              <w:right w:val="nil"/>
            </w:tcBorders>
            <w:shd w:val="clear" w:color="auto" w:fill="auto"/>
            <w:vAlign w:val="center"/>
            <w:hideMark/>
          </w:tcPr>
          <w:p w14:paraId="13FE83E5" w14:textId="77777777" w:rsidR="005C1ED5" w:rsidRPr="005C1ED5" w:rsidRDefault="005C1ED5" w:rsidP="005C1ED5">
            <w:pPr>
              <w:jc w:val="cente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INDIVIDUAL / CONSOLIDADO</w:t>
            </w:r>
          </w:p>
        </w:tc>
      </w:tr>
      <w:tr w:rsidR="005C1ED5" w:rsidRPr="005C1ED5" w14:paraId="29BD9C7D" w14:textId="77777777" w:rsidTr="00E05C20">
        <w:trPr>
          <w:trHeight w:val="300"/>
        </w:trPr>
        <w:tc>
          <w:tcPr>
            <w:tcW w:w="2985" w:type="pct"/>
            <w:vMerge w:val="restart"/>
            <w:tcBorders>
              <w:top w:val="single" w:sz="4" w:space="0" w:color="ED7D31"/>
              <w:left w:val="nil"/>
              <w:bottom w:val="single" w:sz="4" w:space="0" w:color="ED7D31"/>
              <w:right w:val="nil"/>
            </w:tcBorders>
            <w:shd w:val="clear" w:color="auto" w:fill="auto"/>
            <w:vAlign w:val="center"/>
            <w:hideMark/>
          </w:tcPr>
          <w:p w14:paraId="4DE5AF34" w14:textId="77777777" w:rsidR="005C1ED5" w:rsidRPr="005C1ED5" w:rsidRDefault="005C1ED5" w:rsidP="005C1ED5">
            <w:pPr>
              <w:jc w:val="cente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Descrição</w:t>
            </w:r>
          </w:p>
        </w:tc>
        <w:tc>
          <w:tcPr>
            <w:tcW w:w="1008" w:type="pct"/>
            <w:tcBorders>
              <w:top w:val="single" w:sz="4" w:space="0" w:color="ED7D31"/>
              <w:left w:val="nil"/>
              <w:bottom w:val="single" w:sz="4" w:space="0" w:color="ED7D31"/>
              <w:right w:val="nil"/>
            </w:tcBorders>
            <w:shd w:val="clear" w:color="auto" w:fill="auto"/>
            <w:noWrap/>
            <w:vAlign w:val="center"/>
            <w:hideMark/>
          </w:tcPr>
          <w:p w14:paraId="7F7F4643" w14:textId="77777777" w:rsidR="005C1ED5" w:rsidRPr="005C1ED5" w:rsidRDefault="005C1ED5" w:rsidP="005C1ED5">
            <w:pPr>
              <w:jc w:val="cente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2024</w:t>
            </w:r>
          </w:p>
        </w:tc>
        <w:tc>
          <w:tcPr>
            <w:tcW w:w="1007" w:type="pct"/>
            <w:tcBorders>
              <w:top w:val="single" w:sz="4" w:space="0" w:color="ED7D31"/>
              <w:left w:val="nil"/>
              <w:bottom w:val="single" w:sz="4" w:space="0" w:color="ED7D31"/>
              <w:right w:val="nil"/>
            </w:tcBorders>
            <w:shd w:val="clear" w:color="auto" w:fill="auto"/>
            <w:noWrap/>
            <w:vAlign w:val="center"/>
            <w:hideMark/>
          </w:tcPr>
          <w:p w14:paraId="50B77984" w14:textId="77777777" w:rsidR="005C1ED5" w:rsidRPr="005C1ED5" w:rsidRDefault="005C1ED5" w:rsidP="005C1ED5">
            <w:pPr>
              <w:jc w:val="cente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2023</w:t>
            </w:r>
          </w:p>
        </w:tc>
      </w:tr>
      <w:tr w:rsidR="005C1ED5" w:rsidRPr="005C1ED5" w14:paraId="3A680779" w14:textId="77777777" w:rsidTr="00E05C20">
        <w:trPr>
          <w:trHeight w:val="300"/>
        </w:trPr>
        <w:tc>
          <w:tcPr>
            <w:tcW w:w="2985" w:type="pct"/>
            <w:vMerge/>
            <w:tcBorders>
              <w:top w:val="single" w:sz="8" w:space="0" w:color="F79646"/>
              <w:left w:val="nil"/>
              <w:bottom w:val="single" w:sz="4" w:space="0" w:color="ED7D31"/>
              <w:right w:val="nil"/>
            </w:tcBorders>
            <w:vAlign w:val="center"/>
            <w:hideMark/>
          </w:tcPr>
          <w:p w14:paraId="6A293196" w14:textId="77777777" w:rsidR="005C1ED5" w:rsidRPr="005C1ED5" w:rsidRDefault="005C1ED5" w:rsidP="005C1ED5">
            <w:pPr>
              <w:rPr>
                <w:rFonts w:ascii="CAIXA Std Book" w:eastAsia="Times New Roman" w:hAnsi="CAIXA Std Book" w:cs="Calibri"/>
                <w:b/>
                <w:bCs/>
                <w:color w:val="005CA9"/>
                <w:sz w:val="18"/>
                <w:szCs w:val="18"/>
              </w:rPr>
            </w:pPr>
          </w:p>
        </w:tc>
        <w:tc>
          <w:tcPr>
            <w:tcW w:w="1008" w:type="pct"/>
            <w:tcBorders>
              <w:top w:val="single" w:sz="4" w:space="0" w:color="ED7D31"/>
              <w:left w:val="nil"/>
              <w:bottom w:val="single" w:sz="4" w:space="0" w:color="ED7D31"/>
              <w:right w:val="nil"/>
            </w:tcBorders>
            <w:shd w:val="clear" w:color="auto" w:fill="auto"/>
            <w:vAlign w:val="center"/>
            <w:hideMark/>
          </w:tcPr>
          <w:p w14:paraId="496040F3" w14:textId="0774C267" w:rsidR="005C1ED5" w:rsidRPr="005C1ED5" w:rsidRDefault="005C1ED5" w:rsidP="005C1ED5">
            <w:pPr>
              <w:jc w:val="center"/>
              <w:rPr>
                <w:rFonts w:ascii="CAIXA Std Book" w:eastAsia="Times New Roman" w:hAnsi="CAIXA Std Book" w:cs="Calibri"/>
                <w:b/>
                <w:bCs/>
                <w:color w:val="005CA9"/>
                <w:sz w:val="18"/>
                <w:szCs w:val="18"/>
              </w:rPr>
            </w:pPr>
            <w:r>
              <w:rPr>
                <w:rFonts w:ascii="CAIXA Std Book" w:eastAsia="Times New Roman" w:hAnsi="CAIXA Std Book" w:cs="Calibri"/>
                <w:b/>
                <w:bCs/>
                <w:color w:val="005CA9"/>
                <w:sz w:val="18"/>
                <w:szCs w:val="18"/>
              </w:rPr>
              <w:t>1º trimestre</w:t>
            </w:r>
          </w:p>
        </w:tc>
        <w:tc>
          <w:tcPr>
            <w:tcW w:w="1007" w:type="pct"/>
            <w:tcBorders>
              <w:top w:val="single" w:sz="4" w:space="0" w:color="ED7D31"/>
              <w:left w:val="nil"/>
              <w:bottom w:val="single" w:sz="4" w:space="0" w:color="ED7D31"/>
              <w:right w:val="nil"/>
            </w:tcBorders>
            <w:shd w:val="clear" w:color="auto" w:fill="auto"/>
            <w:vAlign w:val="center"/>
            <w:hideMark/>
          </w:tcPr>
          <w:p w14:paraId="0CA894FB" w14:textId="6011039E" w:rsidR="005C1ED5" w:rsidRPr="005C1ED5" w:rsidRDefault="005C1ED5" w:rsidP="005C1ED5">
            <w:pPr>
              <w:jc w:val="cente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1º trimestre</w:t>
            </w:r>
          </w:p>
        </w:tc>
      </w:tr>
      <w:tr w:rsidR="005C1ED5" w:rsidRPr="005C1ED5" w14:paraId="62A91ABA" w14:textId="77777777" w:rsidTr="00E05C20">
        <w:trPr>
          <w:trHeight w:val="288"/>
        </w:trPr>
        <w:tc>
          <w:tcPr>
            <w:tcW w:w="2985" w:type="pct"/>
            <w:tcBorders>
              <w:top w:val="single" w:sz="4" w:space="0" w:color="ED7D31"/>
              <w:left w:val="nil"/>
              <w:bottom w:val="nil"/>
              <w:right w:val="nil"/>
            </w:tcBorders>
            <w:shd w:val="clear" w:color="auto" w:fill="auto"/>
            <w:noWrap/>
            <w:vAlign w:val="center"/>
            <w:hideMark/>
          </w:tcPr>
          <w:p w14:paraId="43F37FD4" w14:textId="77777777" w:rsidR="005C1ED5" w:rsidRPr="005C1ED5" w:rsidRDefault="005C1ED5" w:rsidP="005C1ED5">
            <w:pPr>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Depósitos de poupança</w:t>
            </w:r>
          </w:p>
        </w:tc>
        <w:tc>
          <w:tcPr>
            <w:tcW w:w="1008" w:type="pct"/>
            <w:tcBorders>
              <w:top w:val="single" w:sz="4" w:space="0" w:color="ED7D31"/>
              <w:left w:val="nil"/>
              <w:bottom w:val="nil"/>
              <w:right w:val="nil"/>
            </w:tcBorders>
            <w:shd w:val="clear" w:color="auto" w:fill="auto"/>
            <w:vAlign w:val="center"/>
            <w:hideMark/>
          </w:tcPr>
          <w:p w14:paraId="6F7BBDCE" w14:textId="1181C808" w:rsidR="005C1ED5" w:rsidRPr="005C1ED5" w:rsidRDefault="00E05C20" w:rsidP="00E05C20">
            <w:pPr>
              <w:jc w:val="right"/>
              <w:rPr>
                <w:rFonts w:ascii="CAIXA Std Book" w:eastAsia="Times New Roman" w:hAnsi="CAIXA Std Book" w:cs="Calibri"/>
                <w:color w:val="005CA9"/>
                <w:sz w:val="18"/>
                <w:szCs w:val="18"/>
              </w:rPr>
            </w:pPr>
            <w:r w:rsidRPr="00E05C20">
              <w:rPr>
                <w:rFonts w:ascii="CAIXA Std Book" w:eastAsia="Times New Roman" w:hAnsi="CAIXA Std Book" w:cs="Calibri"/>
                <w:color w:val="005CA9"/>
                <w:sz w:val="18"/>
                <w:szCs w:val="18"/>
              </w:rPr>
              <w:t>1.185.393</w:t>
            </w:r>
          </w:p>
        </w:tc>
        <w:tc>
          <w:tcPr>
            <w:tcW w:w="1007" w:type="pct"/>
            <w:tcBorders>
              <w:top w:val="single" w:sz="4" w:space="0" w:color="ED7D31"/>
              <w:left w:val="nil"/>
              <w:bottom w:val="nil"/>
              <w:right w:val="nil"/>
            </w:tcBorders>
            <w:shd w:val="clear" w:color="auto" w:fill="auto"/>
            <w:vAlign w:val="center"/>
            <w:hideMark/>
          </w:tcPr>
          <w:p w14:paraId="792D8736" w14:textId="77777777" w:rsidR="005C1ED5" w:rsidRPr="005C1ED5" w:rsidRDefault="005C1ED5" w:rsidP="005C1ED5">
            <w:pPr>
              <w:jc w:val="right"/>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1.129.673</w:t>
            </w:r>
          </w:p>
        </w:tc>
      </w:tr>
      <w:tr w:rsidR="005C1ED5" w:rsidRPr="005C1ED5" w14:paraId="641DAE7E" w14:textId="77777777" w:rsidTr="00E05C20">
        <w:trPr>
          <w:trHeight w:val="288"/>
        </w:trPr>
        <w:tc>
          <w:tcPr>
            <w:tcW w:w="2985" w:type="pct"/>
            <w:tcBorders>
              <w:top w:val="nil"/>
              <w:left w:val="nil"/>
              <w:bottom w:val="nil"/>
              <w:right w:val="nil"/>
            </w:tcBorders>
            <w:shd w:val="clear" w:color="auto" w:fill="auto"/>
            <w:noWrap/>
            <w:vAlign w:val="center"/>
            <w:hideMark/>
          </w:tcPr>
          <w:p w14:paraId="0C733202" w14:textId="77777777" w:rsidR="005C1ED5" w:rsidRPr="005C1ED5" w:rsidRDefault="005C1ED5" w:rsidP="005C1ED5">
            <w:pPr>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 xml:space="preserve">Depósitos voluntários </w:t>
            </w:r>
          </w:p>
        </w:tc>
        <w:tc>
          <w:tcPr>
            <w:tcW w:w="1008" w:type="pct"/>
            <w:tcBorders>
              <w:top w:val="nil"/>
              <w:left w:val="nil"/>
              <w:bottom w:val="nil"/>
              <w:right w:val="nil"/>
            </w:tcBorders>
            <w:shd w:val="clear" w:color="auto" w:fill="auto"/>
            <w:vAlign w:val="center"/>
            <w:hideMark/>
          </w:tcPr>
          <w:p w14:paraId="3A522170" w14:textId="3AE38C23" w:rsidR="005C1ED5" w:rsidRPr="005C1ED5" w:rsidRDefault="00E05C20" w:rsidP="00E05C20">
            <w:pPr>
              <w:jc w:val="right"/>
              <w:rPr>
                <w:rFonts w:ascii="CAIXA Std Book" w:eastAsia="Times New Roman" w:hAnsi="CAIXA Std Book" w:cs="Calibri"/>
                <w:color w:val="005CA9"/>
                <w:sz w:val="18"/>
                <w:szCs w:val="18"/>
              </w:rPr>
            </w:pPr>
            <w:r w:rsidRPr="00E05C20">
              <w:rPr>
                <w:rFonts w:ascii="CAIXA Std Book" w:eastAsia="Times New Roman" w:hAnsi="CAIXA Std Book" w:cs="Calibri"/>
                <w:color w:val="005CA9"/>
                <w:sz w:val="18"/>
                <w:szCs w:val="18"/>
              </w:rPr>
              <w:t>228.190</w:t>
            </w:r>
          </w:p>
        </w:tc>
        <w:tc>
          <w:tcPr>
            <w:tcW w:w="1007" w:type="pct"/>
            <w:tcBorders>
              <w:top w:val="nil"/>
              <w:left w:val="nil"/>
              <w:bottom w:val="nil"/>
              <w:right w:val="nil"/>
            </w:tcBorders>
            <w:shd w:val="clear" w:color="auto" w:fill="auto"/>
            <w:vAlign w:val="center"/>
            <w:hideMark/>
          </w:tcPr>
          <w:p w14:paraId="7BD98DB1" w14:textId="77777777" w:rsidR="005C1ED5" w:rsidRPr="005C1ED5" w:rsidRDefault="005C1ED5" w:rsidP="005C1ED5">
            <w:pPr>
              <w:jc w:val="right"/>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339.036</w:t>
            </w:r>
          </w:p>
        </w:tc>
      </w:tr>
      <w:tr w:rsidR="005C1ED5" w:rsidRPr="005C1ED5" w14:paraId="3CAB9541" w14:textId="77777777" w:rsidTr="00E05C20">
        <w:trPr>
          <w:trHeight w:val="300"/>
        </w:trPr>
        <w:tc>
          <w:tcPr>
            <w:tcW w:w="2985" w:type="pct"/>
            <w:tcBorders>
              <w:top w:val="nil"/>
              <w:left w:val="nil"/>
              <w:bottom w:val="single" w:sz="4" w:space="0" w:color="ED7D31"/>
              <w:right w:val="nil"/>
            </w:tcBorders>
            <w:shd w:val="clear" w:color="auto" w:fill="auto"/>
            <w:noWrap/>
            <w:vAlign w:val="center"/>
            <w:hideMark/>
          </w:tcPr>
          <w:p w14:paraId="61BC06E4" w14:textId="77777777" w:rsidR="005C1ED5" w:rsidRPr="005C1ED5" w:rsidRDefault="005C1ED5" w:rsidP="005C1ED5">
            <w:pPr>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Exigibilidade sobre recursos a prazo</w:t>
            </w:r>
          </w:p>
        </w:tc>
        <w:tc>
          <w:tcPr>
            <w:tcW w:w="1008" w:type="pct"/>
            <w:tcBorders>
              <w:top w:val="nil"/>
              <w:left w:val="nil"/>
              <w:bottom w:val="single" w:sz="4" w:space="0" w:color="ED7D31"/>
              <w:right w:val="nil"/>
            </w:tcBorders>
            <w:shd w:val="clear" w:color="auto" w:fill="auto"/>
            <w:vAlign w:val="center"/>
            <w:hideMark/>
          </w:tcPr>
          <w:p w14:paraId="056140FB" w14:textId="4683DB27" w:rsidR="005C1ED5" w:rsidRPr="005C1ED5" w:rsidRDefault="00E05C20" w:rsidP="00E05C20">
            <w:pPr>
              <w:jc w:val="right"/>
              <w:rPr>
                <w:rFonts w:ascii="CAIXA Std Book" w:eastAsia="Times New Roman" w:hAnsi="CAIXA Std Book" w:cs="Calibri"/>
                <w:color w:val="005CA9"/>
                <w:sz w:val="18"/>
                <w:szCs w:val="18"/>
              </w:rPr>
            </w:pPr>
            <w:r w:rsidRPr="00E05C20">
              <w:rPr>
                <w:rFonts w:ascii="CAIXA Std Book" w:eastAsia="Times New Roman" w:hAnsi="CAIXA Std Book" w:cs="Calibri"/>
                <w:color w:val="005CA9"/>
                <w:sz w:val="18"/>
                <w:szCs w:val="18"/>
              </w:rPr>
              <w:t>659.460</w:t>
            </w:r>
          </w:p>
        </w:tc>
        <w:tc>
          <w:tcPr>
            <w:tcW w:w="1007" w:type="pct"/>
            <w:tcBorders>
              <w:top w:val="nil"/>
              <w:left w:val="nil"/>
              <w:bottom w:val="single" w:sz="4" w:space="0" w:color="ED7D31"/>
              <w:right w:val="nil"/>
            </w:tcBorders>
            <w:shd w:val="clear" w:color="auto" w:fill="auto"/>
            <w:vAlign w:val="center"/>
            <w:hideMark/>
          </w:tcPr>
          <w:p w14:paraId="7F06A317" w14:textId="77777777" w:rsidR="005C1ED5" w:rsidRPr="005C1ED5" w:rsidRDefault="005C1ED5" w:rsidP="005C1ED5">
            <w:pPr>
              <w:jc w:val="right"/>
              <w:rPr>
                <w:rFonts w:ascii="CAIXA Std Book" w:eastAsia="Times New Roman" w:hAnsi="CAIXA Std Book" w:cs="Calibri"/>
                <w:color w:val="005CA9"/>
                <w:sz w:val="18"/>
                <w:szCs w:val="18"/>
              </w:rPr>
            </w:pPr>
            <w:r w:rsidRPr="005C1ED5">
              <w:rPr>
                <w:rFonts w:ascii="CAIXA Std Book" w:eastAsia="Times New Roman" w:hAnsi="CAIXA Std Book" w:cs="Calibri"/>
                <w:color w:val="005CA9"/>
                <w:sz w:val="18"/>
                <w:szCs w:val="18"/>
              </w:rPr>
              <w:t>491.920</w:t>
            </w:r>
          </w:p>
        </w:tc>
      </w:tr>
      <w:tr w:rsidR="005C1ED5" w:rsidRPr="005C1ED5" w14:paraId="16CE4873" w14:textId="77777777" w:rsidTr="00E05C20">
        <w:trPr>
          <w:trHeight w:val="300"/>
        </w:trPr>
        <w:tc>
          <w:tcPr>
            <w:tcW w:w="2985" w:type="pct"/>
            <w:tcBorders>
              <w:top w:val="single" w:sz="4" w:space="0" w:color="ED7D31"/>
              <w:left w:val="nil"/>
              <w:bottom w:val="single" w:sz="4" w:space="0" w:color="ED7D31"/>
              <w:right w:val="nil"/>
            </w:tcBorders>
            <w:shd w:val="clear" w:color="auto" w:fill="auto"/>
            <w:vAlign w:val="center"/>
            <w:hideMark/>
          </w:tcPr>
          <w:p w14:paraId="1D89A7AC" w14:textId="77777777" w:rsidR="005C1ED5" w:rsidRPr="005C1ED5" w:rsidRDefault="005C1ED5" w:rsidP="005C1ED5">
            <w:pPr>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Total</w:t>
            </w:r>
          </w:p>
        </w:tc>
        <w:tc>
          <w:tcPr>
            <w:tcW w:w="1008" w:type="pct"/>
            <w:tcBorders>
              <w:top w:val="single" w:sz="4" w:space="0" w:color="ED7D31"/>
              <w:left w:val="nil"/>
              <w:bottom w:val="single" w:sz="4" w:space="0" w:color="ED7D31"/>
              <w:right w:val="nil"/>
            </w:tcBorders>
            <w:shd w:val="clear" w:color="auto" w:fill="auto"/>
            <w:vAlign w:val="center"/>
            <w:hideMark/>
          </w:tcPr>
          <w:p w14:paraId="44F228C8" w14:textId="53B02D6E" w:rsidR="005C1ED5" w:rsidRPr="005C1ED5" w:rsidRDefault="00E05C20" w:rsidP="005C1ED5">
            <w:pPr>
              <w:jc w:val="right"/>
              <w:rPr>
                <w:rFonts w:ascii="CAIXA Std Book" w:eastAsia="Times New Roman" w:hAnsi="CAIXA Std Book" w:cs="Calibri"/>
                <w:b/>
                <w:bCs/>
                <w:color w:val="005CA9"/>
                <w:sz w:val="18"/>
                <w:szCs w:val="18"/>
              </w:rPr>
            </w:pPr>
            <w:r w:rsidRPr="00E05C20">
              <w:rPr>
                <w:rFonts w:ascii="CAIXA Std Book" w:eastAsia="Times New Roman" w:hAnsi="CAIXA Std Book" w:cs="Calibri"/>
                <w:b/>
                <w:bCs/>
                <w:color w:val="005CA9"/>
                <w:sz w:val="18"/>
                <w:szCs w:val="18"/>
              </w:rPr>
              <w:t>2.073.043</w:t>
            </w:r>
          </w:p>
        </w:tc>
        <w:tc>
          <w:tcPr>
            <w:tcW w:w="1007" w:type="pct"/>
            <w:tcBorders>
              <w:top w:val="single" w:sz="4" w:space="0" w:color="ED7D31"/>
              <w:left w:val="nil"/>
              <w:bottom w:val="single" w:sz="4" w:space="0" w:color="ED7D31"/>
              <w:right w:val="nil"/>
            </w:tcBorders>
            <w:shd w:val="clear" w:color="auto" w:fill="auto"/>
            <w:vAlign w:val="center"/>
            <w:hideMark/>
          </w:tcPr>
          <w:p w14:paraId="19135C72" w14:textId="77777777" w:rsidR="005C1ED5" w:rsidRPr="005C1ED5" w:rsidRDefault="005C1ED5" w:rsidP="005C1ED5">
            <w:pPr>
              <w:jc w:val="right"/>
              <w:rPr>
                <w:rFonts w:ascii="CAIXA Std Book" w:eastAsia="Times New Roman" w:hAnsi="CAIXA Std Book" w:cs="Calibri"/>
                <w:b/>
                <w:bCs/>
                <w:color w:val="005CA9"/>
                <w:sz w:val="18"/>
                <w:szCs w:val="18"/>
              </w:rPr>
            </w:pPr>
            <w:r w:rsidRPr="005C1ED5">
              <w:rPr>
                <w:rFonts w:ascii="CAIXA Std Book" w:eastAsia="Times New Roman" w:hAnsi="CAIXA Std Book" w:cs="Calibri"/>
                <w:b/>
                <w:bCs/>
                <w:color w:val="005CA9"/>
                <w:sz w:val="18"/>
                <w:szCs w:val="18"/>
              </w:rPr>
              <w:t>1.960.629</w:t>
            </w:r>
          </w:p>
        </w:tc>
      </w:tr>
    </w:tbl>
    <w:p w14:paraId="4E92B78C" w14:textId="41D5FAA8" w:rsidR="00B23CBE" w:rsidRPr="00FF4346" w:rsidRDefault="00B23CBE" w:rsidP="00E05393">
      <w:pPr>
        <w:spacing w:before="120" w:after="120"/>
        <w:jc w:val="both"/>
        <w:rPr>
          <w:rFonts w:ascii="CAIXA Std Book" w:hAnsi="CAIXA Std Book"/>
          <w:color w:val="005CA9"/>
          <w:sz w:val="20"/>
          <w:szCs w:val="20"/>
        </w:rPr>
        <w:sectPr w:rsidR="00B23CBE" w:rsidRPr="00FF4346" w:rsidSect="0088151D">
          <w:pgSz w:w="11907" w:h="16840" w:code="9"/>
          <w:pgMar w:top="1418" w:right="851" w:bottom="851" w:left="1418" w:header="1134" w:footer="709" w:gutter="0"/>
          <w:cols w:space="708"/>
          <w:docGrid w:linePitch="360"/>
        </w:sectPr>
      </w:pPr>
    </w:p>
    <w:p w14:paraId="42C84922" w14:textId="7C5250CA" w:rsidR="00546D50" w:rsidRPr="00FF4346" w:rsidRDefault="00546D50" w:rsidP="005A596E">
      <w:pPr>
        <w:pStyle w:val="Ttulo1"/>
      </w:pPr>
      <w:bookmarkStart w:id="46" w:name="_Toc166594482"/>
      <w:r w:rsidRPr="00FF4346">
        <w:lastRenderedPageBreak/>
        <w:t xml:space="preserve">Nota </w:t>
      </w:r>
      <w:r w:rsidR="00C065C3" w:rsidRPr="00FF4346">
        <w:t xml:space="preserve"> </w:t>
      </w:r>
      <w:r w:rsidRPr="00FF4346">
        <w:t xml:space="preserve"> 7 – Títulos e valores mobiliários</w:t>
      </w:r>
      <w:bookmarkEnd w:id="46"/>
    </w:p>
    <w:p w14:paraId="0A0FFEA8" w14:textId="1FF3E3AF" w:rsidR="005F303D" w:rsidRPr="00FF4346" w:rsidRDefault="005F303D" w:rsidP="006F2076">
      <w:pPr>
        <w:keepNext/>
        <w:numPr>
          <w:ilvl w:val="0"/>
          <w:numId w:val="4"/>
        </w:numPr>
        <w:tabs>
          <w:tab w:val="clear" w:pos="1069"/>
          <w:tab w:val="num" w:pos="567"/>
          <w:tab w:val="num" w:pos="709"/>
        </w:tabs>
        <w:spacing w:before="240" w:after="240"/>
        <w:ind w:hanging="1069"/>
        <w:jc w:val="both"/>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2857"/>
        <w:gridCol w:w="1401"/>
        <w:gridCol w:w="1000"/>
        <w:gridCol w:w="1000"/>
        <w:gridCol w:w="1396"/>
        <w:gridCol w:w="1419"/>
        <w:gridCol w:w="1276"/>
        <w:gridCol w:w="1037"/>
        <w:gridCol w:w="959"/>
        <w:gridCol w:w="1113"/>
        <w:gridCol w:w="1113"/>
      </w:tblGrid>
      <w:tr w:rsidR="00F1677E" w:rsidRPr="00A33766" w14:paraId="7437C705" w14:textId="77777777" w:rsidTr="008F3E16">
        <w:trPr>
          <w:trHeight w:val="283"/>
        </w:trPr>
        <w:tc>
          <w:tcPr>
            <w:tcW w:w="5000" w:type="pct"/>
            <w:gridSpan w:val="11"/>
            <w:tcBorders>
              <w:top w:val="single" w:sz="4" w:space="0" w:color="F39200"/>
              <w:left w:val="nil"/>
              <w:bottom w:val="single" w:sz="4" w:space="0" w:color="F39200"/>
              <w:right w:val="nil"/>
            </w:tcBorders>
            <w:shd w:val="clear" w:color="auto" w:fill="auto"/>
            <w:vAlign w:val="center"/>
            <w:hideMark/>
          </w:tcPr>
          <w:p w14:paraId="7EA75368"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INDIVIDUAL</w:t>
            </w:r>
          </w:p>
        </w:tc>
      </w:tr>
      <w:tr w:rsidR="00DF70CB" w:rsidRPr="00A33766" w14:paraId="162271F9" w14:textId="77777777" w:rsidTr="008F3E16">
        <w:trPr>
          <w:trHeight w:val="283"/>
        </w:trPr>
        <w:tc>
          <w:tcPr>
            <w:tcW w:w="980" w:type="pct"/>
            <w:vMerge w:val="restart"/>
            <w:tcBorders>
              <w:top w:val="nil"/>
              <w:left w:val="nil"/>
              <w:bottom w:val="single" w:sz="4" w:space="0" w:color="F79646" w:themeColor="accent6"/>
              <w:right w:val="nil"/>
            </w:tcBorders>
            <w:shd w:val="clear" w:color="auto" w:fill="auto"/>
            <w:vAlign w:val="center"/>
            <w:hideMark/>
          </w:tcPr>
          <w:p w14:paraId="1ADB0FF7"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Descrição</w:t>
            </w:r>
          </w:p>
        </w:tc>
        <w:tc>
          <w:tcPr>
            <w:tcW w:w="2133" w:type="pct"/>
            <w:gridSpan w:val="5"/>
            <w:tcBorders>
              <w:top w:val="single" w:sz="4" w:space="0" w:color="F39200"/>
              <w:left w:val="nil"/>
              <w:bottom w:val="single" w:sz="4" w:space="0" w:color="F39200"/>
              <w:right w:val="nil"/>
            </w:tcBorders>
            <w:shd w:val="clear" w:color="auto" w:fill="auto"/>
            <w:vAlign w:val="center"/>
            <w:hideMark/>
          </w:tcPr>
          <w:p w14:paraId="61004807" w14:textId="7780F8BE"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31/03/202</w:t>
            </w:r>
            <w:r w:rsidR="00CE2F3D" w:rsidRPr="00710F7E">
              <w:rPr>
                <w:rFonts w:ascii="CAIXA Std Book" w:eastAsia="Times New Roman" w:hAnsi="CAIXA Std Book" w:cs="Arial"/>
                <w:b/>
                <w:color w:val="005CA9"/>
                <w:sz w:val="16"/>
                <w:szCs w:val="16"/>
              </w:rPr>
              <w:t>4</w:t>
            </w:r>
          </w:p>
        </w:tc>
        <w:tc>
          <w:tcPr>
            <w:tcW w:w="1887" w:type="pct"/>
            <w:gridSpan w:val="5"/>
            <w:tcBorders>
              <w:top w:val="single" w:sz="4" w:space="0" w:color="F39200"/>
              <w:left w:val="nil"/>
              <w:bottom w:val="single" w:sz="4" w:space="0" w:color="F39200"/>
              <w:right w:val="nil"/>
            </w:tcBorders>
            <w:shd w:val="clear" w:color="auto" w:fill="auto"/>
            <w:vAlign w:val="center"/>
            <w:hideMark/>
          </w:tcPr>
          <w:p w14:paraId="62D81174" w14:textId="5ECA01C6"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31/12/202</w:t>
            </w:r>
            <w:r w:rsidR="00A96CEE" w:rsidRPr="00710F7E">
              <w:rPr>
                <w:rFonts w:ascii="CAIXA Std Book" w:eastAsia="Times New Roman" w:hAnsi="CAIXA Std Book" w:cs="Arial"/>
                <w:b/>
                <w:color w:val="005CA9"/>
                <w:sz w:val="16"/>
                <w:szCs w:val="16"/>
              </w:rPr>
              <w:t>3</w:t>
            </w:r>
          </w:p>
        </w:tc>
      </w:tr>
      <w:tr w:rsidR="00DF70CB" w:rsidRPr="00A33766" w14:paraId="4E7D79AE" w14:textId="77777777" w:rsidTr="008F3E16">
        <w:trPr>
          <w:trHeight w:val="283"/>
        </w:trPr>
        <w:tc>
          <w:tcPr>
            <w:tcW w:w="980" w:type="pct"/>
            <w:vMerge/>
            <w:tcBorders>
              <w:bottom w:val="single" w:sz="4" w:space="0" w:color="F79646" w:themeColor="accent6"/>
            </w:tcBorders>
            <w:vAlign w:val="center"/>
            <w:hideMark/>
          </w:tcPr>
          <w:p w14:paraId="427B2756" w14:textId="77777777" w:rsidR="00F1677E" w:rsidRPr="00710F7E" w:rsidRDefault="00F1677E" w:rsidP="00F06D1F">
            <w:pPr>
              <w:jc w:val="center"/>
              <w:rPr>
                <w:rFonts w:ascii="CAIXA Std Book" w:eastAsia="Times New Roman" w:hAnsi="CAIXA Std Book" w:cs="Arial"/>
                <w:b/>
                <w:color w:val="005CA9"/>
                <w:sz w:val="16"/>
                <w:szCs w:val="16"/>
              </w:rPr>
            </w:pPr>
          </w:p>
        </w:tc>
        <w:tc>
          <w:tcPr>
            <w:tcW w:w="481" w:type="pct"/>
            <w:tcBorders>
              <w:top w:val="nil"/>
              <w:left w:val="nil"/>
              <w:bottom w:val="single" w:sz="4" w:space="0" w:color="F39200"/>
              <w:right w:val="nil"/>
            </w:tcBorders>
            <w:shd w:val="clear" w:color="auto" w:fill="auto"/>
            <w:vAlign w:val="center"/>
            <w:hideMark/>
          </w:tcPr>
          <w:p w14:paraId="09A0EBD5"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Custo ajustado ao valor recuperável</w:t>
            </w:r>
          </w:p>
        </w:tc>
        <w:tc>
          <w:tcPr>
            <w:tcW w:w="343" w:type="pct"/>
            <w:tcBorders>
              <w:top w:val="nil"/>
              <w:left w:val="nil"/>
              <w:bottom w:val="single" w:sz="4" w:space="0" w:color="F39200"/>
              <w:right w:val="nil"/>
            </w:tcBorders>
            <w:shd w:val="clear" w:color="auto" w:fill="auto"/>
            <w:vAlign w:val="center"/>
            <w:hideMark/>
          </w:tcPr>
          <w:p w14:paraId="7D83F8D5"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Ajuste a mercado resultado</w:t>
            </w:r>
          </w:p>
        </w:tc>
        <w:tc>
          <w:tcPr>
            <w:tcW w:w="343" w:type="pct"/>
            <w:tcBorders>
              <w:top w:val="nil"/>
              <w:left w:val="nil"/>
              <w:bottom w:val="single" w:sz="4" w:space="0" w:color="F39200"/>
              <w:right w:val="nil"/>
            </w:tcBorders>
            <w:shd w:val="clear" w:color="auto" w:fill="auto"/>
            <w:vAlign w:val="center"/>
            <w:hideMark/>
          </w:tcPr>
          <w:p w14:paraId="4AEDF4E5"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Ajuste a mercado patrimônio líquido</w:t>
            </w:r>
          </w:p>
        </w:tc>
        <w:tc>
          <w:tcPr>
            <w:tcW w:w="479" w:type="pct"/>
            <w:tcBorders>
              <w:top w:val="nil"/>
              <w:left w:val="nil"/>
              <w:bottom w:val="single" w:sz="4" w:space="0" w:color="F39200"/>
              <w:right w:val="nil"/>
            </w:tcBorders>
            <w:shd w:val="clear" w:color="auto" w:fill="auto"/>
            <w:vAlign w:val="center"/>
            <w:hideMark/>
          </w:tcPr>
          <w:p w14:paraId="25D8D63A"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Valor contábil</w:t>
            </w:r>
          </w:p>
        </w:tc>
        <w:tc>
          <w:tcPr>
            <w:tcW w:w="487" w:type="pct"/>
            <w:tcBorders>
              <w:top w:val="nil"/>
              <w:left w:val="nil"/>
              <w:bottom w:val="single" w:sz="4" w:space="0" w:color="F39200"/>
              <w:right w:val="nil"/>
            </w:tcBorders>
            <w:shd w:val="clear" w:color="auto" w:fill="auto"/>
            <w:vAlign w:val="center"/>
            <w:hideMark/>
          </w:tcPr>
          <w:p w14:paraId="0A9F2B2B"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Valor de mercado</w:t>
            </w:r>
          </w:p>
        </w:tc>
        <w:tc>
          <w:tcPr>
            <w:tcW w:w="438" w:type="pct"/>
            <w:tcBorders>
              <w:top w:val="nil"/>
              <w:left w:val="nil"/>
              <w:bottom w:val="single" w:sz="4" w:space="0" w:color="F39200"/>
              <w:right w:val="nil"/>
            </w:tcBorders>
            <w:shd w:val="clear" w:color="auto" w:fill="auto"/>
            <w:vAlign w:val="center"/>
            <w:hideMark/>
          </w:tcPr>
          <w:p w14:paraId="1747B7A9"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Custo ajustado ao valor recuperável</w:t>
            </w:r>
          </w:p>
        </w:tc>
        <w:tc>
          <w:tcPr>
            <w:tcW w:w="356" w:type="pct"/>
            <w:tcBorders>
              <w:top w:val="nil"/>
              <w:left w:val="nil"/>
              <w:bottom w:val="single" w:sz="4" w:space="0" w:color="F39200"/>
              <w:right w:val="nil"/>
            </w:tcBorders>
            <w:shd w:val="clear" w:color="auto" w:fill="auto"/>
            <w:vAlign w:val="center"/>
            <w:hideMark/>
          </w:tcPr>
          <w:p w14:paraId="355D9A39"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Ajuste a mercado resultado</w:t>
            </w:r>
          </w:p>
        </w:tc>
        <w:tc>
          <w:tcPr>
            <w:tcW w:w="329" w:type="pct"/>
            <w:tcBorders>
              <w:top w:val="nil"/>
              <w:left w:val="nil"/>
              <w:bottom w:val="single" w:sz="4" w:space="0" w:color="F39200"/>
              <w:right w:val="nil"/>
            </w:tcBorders>
            <w:shd w:val="clear" w:color="auto" w:fill="auto"/>
            <w:vAlign w:val="center"/>
            <w:hideMark/>
          </w:tcPr>
          <w:p w14:paraId="62F24FA7"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Ajuste a mercado patrimônio líquido</w:t>
            </w:r>
          </w:p>
        </w:tc>
        <w:tc>
          <w:tcPr>
            <w:tcW w:w="382" w:type="pct"/>
            <w:tcBorders>
              <w:top w:val="nil"/>
              <w:left w:val="nil"/>
              <w:bottom w:val="single" w:sz="4" w:space="0" w:color="F39200"/>
              <w:right w:val="nil"/>
            </w:tcBorders>
            <w:shd w:val="clear" w:color="auto" w:fill="auto"/>
            <w:vAlign w:val="center"/>
            <w:hideMark/>
          </w:tcPr>
          <w:p w14:paraId="04E6966F"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Valor contábil</w:t>
            </w:r>
          </w:p>
        </w:tc>
        <w:tc>
          <w:tcPr>
            <w:tcW w:w="382" w:type="pct"/>
            <w:tcBorders>
              <w:top w:val="nil"/>
              <w:left w:val="nil"/>
              <w:bottom w:val="single" w:sz="4" w:space="0" w:color="F39200"/>
              <w:right w:val="nil"/>
            </w:tcBorders>
            <w:shd w:val="clear" w:color="auto" w:fill="auto"/>
            <w:vAlign w:val="center"/>
            <w:hideMark/>
          </w:tcPr>
          <w:p w14:paraId="1D25CEDB" w14:textId="77777777" w:rsidR="00F1677E" w:rsidRPr="00710F7E" w:rsidRDefault="00F1677E" w:rsidP="00187BD7">
            <w:pPr>
              <w:jc w:val="cente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Valor de mercado</w:t>
            </w:r>
          </w:p>
        </w:tc>
      </w:tr>
      <w:tr w:rsidR="00DF1B07" w:rsidRPr="00A33766" w14:paraId="7D96FAF1" w14:textId="77777777" w:rsidTr="008F3E16">
        <w:trPr>
          <w:trHeight w:val="283"/>
        </w:trPr>
        <w:tc>
          <w:tcPr>
            <w:tcW w:w="980" w:type="pct"/>
            <w:tcBorders>
              <w:top w:val="single" w:sz="4" w:space="0" w:color="F79646" w:themeColor="accent6"/>
              <w:left w:val="nil"/>
              <w:bottom w:val="nil"/>
              <w:right w:val="nil"/>
            </w:tcBorders>
            <w:shd w:val="clear" w:color="auto" w:fill="auto"/>
            <w:vAlign w:val="center"/>
            <w:hideMark/>
          </w:tcPr>
          <w:p w14:paraId="3EB1E50C" w14:textId="77777777" w:rsidR="00DF1B07" w:rsidRPr="00710F7E" w:rsidRDefault="00DF1B07" w:rsidP="00DF1B07">
            <w:pP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Títulos públicos</w:t>
            </w:r>
          </w:p>
        </w:tc>
        <w:tc>
          <w:tcPr>
            <w:tcW w:w="481" w:type="pct"/>
            <w:tcBorders>
              <w:top w:val="nil"/>
              <w:left w:val="nil"/>
              <w:bottom w:val="nil"/>
              <w:right w:val="nil"/>
            </w:tcBorders>
            <w:shd w:val="clear" w:color="auto" w:fill="auto"/>
            <w:noWrap/>
            <w:vAlign w:val="center"/>
          </w:tcPr>
          <w:p w14:paraId="49ACD939" w14:textId="70C488F9"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265.040.318</w:t>
            </w:r>
          </w:p>
        </w:tc>
        <w:tc>
          <w:tcPr>
            <w:tcW w:w="343" w:type="pct"/>
            <w:tcBorders>
              <w:top w:val="nil"/>
              <w:left w:val="nil"/>
              <w:bottom w:val="nil"/>
              <w:right w:val="nil"/>
            </w:tcBorders>
            <w:shd w:val="clear" w:color="auto" w:fill="auto"/>
            <w:noWrap/>
            <w:vAlign w:val="center"/>
          </w:tcPr>
          <w:p w14:paraId="07162DB6" w14:textId="0A7AB164" w:rsidR="00DF1B07" w:rsidRPr="00FD6941"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1.281.640</w:t>
            </w:r>
          </w:p>
        </w:tc>
        <w:tc>
          <w:tcPr>
            <w:tcW w:w="343" w:type="pct"/>
            <w:tcBorders>
              <w:top w:val="nil"/>
              <w:left w:val="nil"/>
              <w:bottom w:val="nil"/>
              <w:right w:val="nil"/>
            </w:tcBorders>
            <w:shd w:val="clear" w:color="auto" w:fill="auto"/>
            <w:noWrap/>
            <w:vAlign w:val="center"/>
          </w:tcPr>
          <w:p w14:paraId="78E455F6" w14:textId="717AB6DF" w:rsidR="00DF1B07" w:rsidRPr="00FD6941"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73.258</w:t>
            </w:r>
          </w:p>
        </w:tc>
        <w:tc>
          <w:tcPr>
            <w:tcW w:w="479" w:type="pct"/>
            <w:tcBorders>
              <w:top w:val="nil"/>
              <w:left w:val="nil"/>
              <w:bottom w:val="nil"/>
              <w:right w:val="nil"/>
            </w:tcBorders>
            <w:shd w:val="clear" w:color="auto" w:fill="auto"/>
            <w:noWrap/>
            <w:vAlign w:val="center"/>
          </w:tcPr>
          <w:p w14:paraId="6AC2BD12" w14:textId="58FB46A1"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266.395.216</w:t>
            </w:r>
          </w:p>
        </w:tc>
        <w:tc>
          <w:tcPr>
            <w:tcW w:w="487" w:type="pct"/>
            <w:tcBorders>
              <w:top w:val="nil"/>
              <w:left w:val="nil"/>
              <w:bottom w:val="nil"/>
              <w:right w:val="nil"/>
            </w:tcBorders>
            <w:shd w:val="clear" w:color="auto" w:fill="auto"/>
            <w:noWrap/>
            <w:vAlign w:val="center"/>
          </w:tcPr>
          <w:p w14:paraId="4BDC3B5F" w14:textId="0E26557E"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266.410.925</w:t>
            </w:r>
          </w:p>
        </w:tc>
        <w:tc>
          <w:tcPr>
            <w:tcW w:w="438" w:type="pct"/>
            <w:tcBorders>
              <w:top w:val="nil"/>
              <w:left w:val="nil"/>
              <w:bottom w:val="nil"/>
              <w:right w:val="nil"/>
            </w:tcBorders>
            <w:shd w:val="clear" w:color="auto" w:fill="auto"/>
            <w:noWrap/>
            <w:vAlign w:val="center"/>
            <w:hideMark/>
          </w:tcPr>
          <w:p w14:paraId="5ADE9190" w14:textId="7BC90CED"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259.045.400</w:t>
            </w:r>
          </w:p>
        </w:tc>
        <w:tc>
          <w:tcPr>
            <w:tcW w:w="356" w:type="pct"/>
            <w:tcBorders>
              <w:top w:val="nil"/>
              <w:left w:val="nil"/>
              <w:bottom w:val="nil"/>
              <w:right w:val="nil"/>
            </w:tcBorders>
            <w:shd w:val="clear" w:color="auto" w:fill="auto"/>
            <w:noWrap/>
            <w:vAlign w:val="center"/>
            <w:hideMark/>
          </w:tcPr>
          <w:p w14:paraId="27832A4A" w14:textId="3E91638D"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3.009.029</w:t>
            </w:r>
          </w:p>
        </w:tc>
        <w:tc>
          <w:tcPr>
            <w:tcW w:w="329" w:type="pct"/>
            <w:tcBorders>
              <w:top w:val="nil"/>
              <w:left w:val="nil"/>
              <w:bottom w:val="nil"/>
              <w:right w:val="nil"/>
            </w:tcBorders>
            <w:shd w:val="clear" w:color="auto" w:fill="auto"/>
            <w:noWrap/>
            <w:vAlign w:val="center"/>
            <w:hideMark/>
          </w:tcPr>
          <w:p w14:paraId="6DFA1EB7" w14:textId="5662906A"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47.071</w:t>
            </w:r>
          </w:p>
        </w:tc>
        <w:tc>
          <w:tcPr>
            <w:tcW w:w="382" w:type="pct"/>
            <w:tcBorders>
              <w:top w:val="nil"/>
              <w:left w:val="nil"/>
              <w:bottom w:val="nil"/>
              <w:right w:val="nil"/>
            </w:tcBorders>
            <w:shd w:val="clear" w:color="auto" w:fill="auto"/>
            <w:noWrap/>
            <w:vAlign w:val="center"/>
            <w:hideMark/>
          </w:tcPr>
          <w:p w14:paraId="2F793769" w14:textId="3F0BD0AE"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262.101.500</w:t>
            </w:r>
          </w:p>
        </w:tc>
        <w:tc>
          <w:tcPr>
            <w:tcW w:w="382" w:type="pct"/>
            <w:tcBorders>
              <w:top w:val="nil"/>
              <w:left w:val="nil"/>
              <w:bottom w:val="nil"/>
              <w:right w:val="nil"/>
            </w:tcBorders>
            <w:shd w:val="clear" w:color="auto" w:fill="auto"/>
            <w:noWrap/>
            <w:vAlign w:val="center"/>
            <w:hideMark/>
          </w:tcPr>
          <w:p w14:paraId="584F8465" w14:textId="256E4D78"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262.123.846</w:t>
            </w:r>
          </w:p>
        </w:tc>
      </w:tr>
      <w:tr w:rsidR="00DF1B07" w:rsidRPr="00A33766" w14:paraId="69EBAE24" w14:textId="77777777" w:rsidTr="008F3E16">
        <w:trPr>
          <w:trHeight w:val="283"/>
        </w:trPr>
        <w:tc>
          <w:tcPr>
            <w:tcW w:w="980" w:type="pct"/>
            <w:tcBorders>
              <w:top w:val="nil"/>
              <w:left w:val="nil"/>
              <w:bottom w:val="nil"/>
              <w:right w:val="nil"/>
            </w:tcBorders>
            <w:shd w:val="clear" w:color="auto" w:fill="auto"/>
            <w:noWrap/>
            <w:vAlign w:val="center"/>
            <w:hideMark/>
          </w:tcPr>
          <w:p w14:paraId="2425F11B"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Letras financeiras do tesouro</w:t>
            </w:r>
          </w:p>
        </w:tc>
        <w:tc>
          <w:tcPr>
            <w:tcW w:w="481" w:type="pct"/>
            <w:tcBorders>
              <w:top w:val="nil"/>
              <w:left w:val="nil"/>
              <w:bottom w:val="nil"/>
              <w:right w:val="nil"/>
            </w:tcBorders>
            <w:shd w:val="clear" w:color="auto" w:fill="auto"/>
            <w:noWrap/>
            <w:vAlign w:val="center"/>
          </w:tcPr>
          <w:p w14:paraId="5E9F4E88" w14:textId="4C402291"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185.174.384</w:t>
            </w:r>
          </w:p>
        </w:tc>
        <w:tc>
          <w:tcPr>
            <w:tcW w:w="343" w:type="pct"/>
            <w:tcBorders>
              <w:top w:val="nil"/>
              <w:left w:val="nil"/>
              <w:bottom w:val="nil"/>
              <w:right w:val="nil"/>
            </w:tcBorders>
            <w:shd w:val="clear" w:color="auto" w:fill="auto"/>
            <w:noWrap/>
            <w:vAlign w:val="center"/>
          </w:tcPr>
          <w:p w14:paraId="20949A50" w14:textId="3067753E"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117.920</w:t>
            </w:r>
          </w:p>
        </w:tc>
        <w:tc>
          <w:tcPr>
            <w:tcW w:w="343" w:type="pct"/>
            <w:tcBorders>
              <w:top w:val="nil"/>
              <w:left w:val="nil"/>
              <w:bottom w:val="nil"/>
              <w:right w:val="nil"/>
            </w:tcBorders>
            <w:shd w:val="clear" w:color="auto" w:fill="auto"/>
            <w:noWrap/>
            <w:vAlign w:val="center"/>
          </w:tcPr>
          <w:p w14:paraId="7FF0BFE8" w14:textId="6986ED8A"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85.378</w:t>
            </w:r>
          </w:p>
        </w:tc>
        <w:tc>
          <w:tcPr>
            <w:tcW w:w="479" w:type="pct"/>
            <w:tcBorders>
              <w:top w:val="nil"/>
              <w:left w:val="nil"/>
              <w:bottom w:val="nil"/>
              <w:right w:val="nil"/>
            </w:tcBorders>
            <w:shd w:val="clear" w:color="auto" w:fill="auto"/>
            <w:noWrap/>
            <w:vAlign w:val="center"/>
          </w:tcPr>
          <w:p w14:paraId="51FF271C" w14:textId="4089061F"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185.377.682</w:t>
            </w:r>
          </w:p>
        </w:tc>
        <w:tc>
          <w:tcPr>
            <w:tcW w:w="487" w:type="pct"/>
            <w:tcBorders>
              <w:top w:val="nil"/>
              <w:left w:val="nil"/>
              <w:bottom w:val="nil"/>
              <w:right w:val="nil"/>
            </w:tcBorders>
            <w:shd w:val="clear" w:color="auto" w:fill="auto"/>
            <w:noWrap/>
            <w:vAlign w:val="center"/>
          </w:tcPr>
          <w:p w14:paraId="448C3284" w14:textId="5924064A"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185.377.682</w:t>
            </w:r>
          </w:p>
        </w:tc>
        <w:tc>
          <w:tcPr>
            <w:tcW w:w="438" w:type="pct"/>
            <w:tcBorders>
              <w:top w:val="nil"/>
              <w:left w:val="nil"/>
              <w:bottom w:val="nil"/>
              <w:right w:val="nil"/>
            </w:tcBorders>
            <w:shd w:val="clear" w:color="auto" w:fill="auto"/>
            <w:noWrap/>
            <w:vAlign w:val="center"/>
            <w:hideMark/>
          </w:tcPr>
          <w:p w14:paraId="517AC785" w14:textId="0F2EBC86"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162.296.953</w:t>
            </w:r>
          </w:p>
        </w:tc>
        <w:tc>
          <w:tcPr>
            <w:tcW w:w="356" w:type="pct"/>
            <w:tcBorders>
              <w:top w:val="nil"/>
              <w:left w:val="nil"/>
              <w:bottom w:val="nil"/>
              <w:right w:val="nil"/>
            </w:tcBorders>
            <w:shd w:val="clear" w:color="auto" w:fill="auto"/>
            <w:noWrap/>
            <w:vAlign w:val="center"/>
            <w:hideMark/>
          </w:tcPr>
          <w:p w14:paraId="6E4523C9" w14:textId="022F2AF8"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96.220</w:t>
            </w:r>
          </w:p>
        </w:tc>
        <w:tc>
          <w:tcPr>
            <w:tcW w:w="329" w:type="pct"/>
            <w:tcBorders>
              <w:top w:val="nil"/>
              <w:left w:val="nil"/>
              <w:bottom w:val="nil"/>
              <w:right w:val="nil"/>
            </w:tcBorders>
            <w:shd w:val="clear" w:color="auto" w:fill="auto"/>
            <w:noWrap/>
            <w:vAlign w:val="center"/>
            <w:hideMark/>
          </w:tcPr>
          <w:p w14:paraId="6D7ADA7E" w14:textId="417CBCB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35.037</w:t>
            </w:r>
          </w:p>
        </w:tc>
        <w:tc>
          <w:tcPr>
            <w:tcW w:w="382" w:type="pct"/>
            <w:tcBorders>
              <w:top w:val="nil"/>
              <w:left w:val="nil"/>
              <w:bottom w:val="nil"/>
              <w:right w:val="nil"/>
            </w:tcBorders>
            <w:shd w:val="clear" w:color="auto" w:fill="auto"/>
            <w:noWrap/>
            <w:vAlign w:val="center"/>
            <w:hideMark/>
          </w:tcPr>
          <w:p w14:paraId="1D1CF302" w14:textId="1E5776C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162.428.210</w:t>
            </w:r>
          </w:p>
        </w:tc>
        <w:tc>
          <w:tcPr>
            <w:tcW w:w="382" w:type="pct"/>
            <w:tcBorders>
              <w:top w:val="nil"/>
              <w:left w:val="nil"/>
              <w:bottom w:val="nil"/>
              <w:right w:val="nil"/>
            </w:tcBorders>
            <w:shd w:val="clear" w:color="auto" w:fill="auto"/>
            <w:noWrap/>
            <w:vAlign w:val="center"/>
            <w:hideMark/>
          </w:tcPr>
          <w:p w14:paraId="7AA36878" w14:textId="5E267878"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162.428.210</w:t>
            </w:r>
          </w:p>
        </w:tc>
      </w:tr>
      <w:tr w:rsidR="00DF1B07" w:rsidRPr="00A33766" w14:paraId="7948A7D0" w14:textId="77777777" w:rsidTr="008F3E16">
        <w:trPr>
          <w:trHeight w:val="283"/>
        </w:trPr>
        <w:tc>
          <w:tcPr>
            <w:tcW w:w="980" w:type="pct"/>
            <w:tcBorders>
              <w:top w:val="nil"/>
              <w:left w:val="nil"/>
              <w:bottom w:val="nil"/>
              <w:right w:val="nil"/>
            </w:tcBorders>
            <w:shd w:val="clear" w:color="auto" w:fill="auto"/>
            <w:noWrap/>
            <w:vAlign w:val="center"/>
            <w:hideMark/>
          </w:tcPr>
          <w:p w14:paraId="1184804F"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Letras do tesouro nacional</w:t>
            </w:r>
          </w:p>
        </w:tc>
        <w:tc>
          <w:tcPr>
            <w:tcW w:w="481" w:type="pct"/>
            <w:tcBorders>
              <w:top w:val="nil"/>
              <w:left w:val="nil"/>
              <w:bottom w:val="nil"/>
              <w:right w:val="nil"/>
            </w:tcBorders>
            <w:shd w:val="clear" w:color="auto" w:fill="auto"/>
            <w:noWrap/>
            <w:vAlign w:val="center"/>
          </w:tcPr>
          <w:p w14:paraId="233B1963" w14:textId="65D494CF"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75.183.938</w:t>
            </w:r>
          </w:p>
        </w:tc>
        <w:tc>
          <w:tcPr>
            <w:tcW w:w="343" w:type="pct"/>
            <w:tcBorders>
              <w:top w:val="nil"/>
              <w:left w:val="nil"/>
              <w:bottom w:val="nil"/>
              <w:right w:val="nil"/>
            </w:tcBorders>
            <w:shd w:val="clear" w:color="auto" w:fill="auto"/>
            <w:noWrap/>
            <w:vAlign w:val="center"/>
          </w:tcPr>
          <w:p w14:paraId="2D49B7C5" w14:textId="5371ACAF"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1.173.863</w:t>
            </w:r>
          </w:p>
        </w:tc>
        <w:tc>
          <w:tcPr>
            <w:tcW w:w="343" w:type="pct"/>
            <w:tcBorders>
              <w:top w:val="nil"/>
              <w:left w:val="nil"/>
              <w:bottom w:val="nil"/>
              <w:right w:val="nil"/>
            </w:tcBorders>
            <w:shd w:val="clear" w:color="auto" w:fill="auto"/>
            <w:noWrap/>
            <w:vAlign w:val="center"/>
          </w:tcPr>
          <w:p w14:paraId="001BBB04" w14:textId="0C0BA846"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79" w:type="pct"/>
            <w:tcBorders>
              <w:top w:val="nil"/>
              <w:left w:val="nil"/>
              <w:bottom w:val="nil"/>
              <w:right w:val="nil"/>
            </w:tcBorders>
            <w:shd w:val="clear" w:color="auto" w:fill="auto"/>
            <w:noWrap/>
            <w:vAlign w:val="center"/>
          </w:tcPr>
          <w:p w14:paraId="42E22FA4" w14:textId="4DB9B92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76.357.801</w:t>
            </w:r>
          </w:p>
        </w:tc>
        <w:tc>
          <w:tcPr>
            <w:tcW w:w="487" w:type="pct"/>
            <w:tcBorders>
              <w:top w:val="nil"/>
              <w:left w:val="nil"/>
              <w:bottom w:val="nil"/>
              <w:right w:val="nil"/>
            </w:tcBorders>
            <w:shd w:val="clear" w:color="auto" w:fill="auto"/>
            <w:noWrap/>
            <w:vAlign w:val="center"/>
          </w:tcPr>
          <w:p w14:paraId="7A4A8057" w14:textId="442908C7"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76.357.801</w:t>
            </w:r>
          </w:p>
        </w:tc>
        <w:tc>
          <w:tcPr>
            <w:tcW w:w="438" w:type="pct"/>
            <w:tcBorders>
              <w:top w:val="nil"/>
              <w:left w:val="nil"/>
              <w:bottom w:val="nil"/>
              <w:right w:val="nil"/>
            </w:tcBorders>
            <w:shd w:val="clear" w:color="auto" w:fill="auto"/>
            <w:noWrap/>
            <w:vAlign w:val="center"/>
            <w:hideMark/>
          </w:tcPr>
          <w:p w14:paraId="172A8910" w14:textId="156217BA"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91.640.239</w:t>
            </w:r>
          </w:p>
        </w:tc>
        <w:tc>
          <w:tcPr>
            <w:tcW w:w="356" w:type="pct"/>
            <w:tcBorders>
              <w:top w:val="nil"/>
              <w:left w:val="nil"/>
              <w:bottom w:val="nil"/>
              <w:right w:val="nil"/>
            </w:tcBorders>
            <w:shd w:val="clear" w:color="auto" w:fill="auto"/>
            <w:noWrap/>
            <w:vAlign w:val="center"/>
            <w:hideMark/>
          </w:tcPr>
          <w:p w14:paraId="55D8DD3D" w14:textId="5CE210E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2.870.771</w:t>
            </w:r>
          </w:p>
        </w:tc>
        <w:tc>
          <w:tcPr>
            <w:tcW w:w="329" w:type="pct"/>
            <w:tcBorders>
              <w:top w:val="nil"/>
              <w:left w:val="nil"/>
              <w:bottom w:val="nil"/>
              <w:right w:val="nil"/>
            </w:tcBorders>
            <w:shd w:val="clear" w:color="auto" w:fill="auto"/>
            <w:noWrap/>
            <w:vAlign w:val="center"/>
            <w:hideMark/>
          </w:tcPr>
          <w:p w14:paraId="7BAC505D" w14:textId="67B03DD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(226)</w:t>
            </w:r>
          </w:p>
        </w:tc>
        <w:tc>
          <w:tcPr>
            <w:tcW w:w="382" w:type="pct"/>
            <w:tcBorders>
              <w:top w:val="nil"/>
              <w:left w:val="nil"/>
              <w:bottom w:val="nil"/>
              <w:right w:val="nil"/>
            </w:tcBorders>
            <w:shd w:val="clear" w:color="auto" w:fill="auto"/>
            <w:noWrap/>
            <w:vAlign w:val="center"/>
            <w:hideMark/>
          </w:tcPr>
          <w:p w14:paraId="1C93EC82" w14:textId="19727F2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94.510.784</w:t>
            </w:r>
          </w:p>
        </w:tc>
        <w:tc>
          <w:tcPr>
            <w:tcW w:w="382" w:type="pct"/>
            <w:tcBorders>
              <w:top w:val="nil"/>
              <w:left w:val="nil"/>
              <w:bottom w:val="nil"/>
              <w:right w:val="nil"/>
            </w:tcBorders>
            <w:shd w:val="clear" w:color="auto" w:fill="auto"/>
            <w:noWrap/>
            <w:vAlign w:val="center"/>
            <w:hideMark/>
          </w:tcPr>
          <w:p w14:paraId="71E50047" w14:textId="5CDA99BB"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94.510.784</w:t>
            </w:r>
          </w:p>
        </w:tc>
      </w:tr>
      <w:tr w:rsidR="00DF1B07" w:rsidRPr="00A33766" w14:paraId="341019D8" w14:textId="77777777" w:rsidTr="008F3E16">
        <w:trPr>
          <w:trHeight w:val="283"/>
        </w:trPr>
        <w:tc>
          <w:tcPr>
            <w:tcW w:w="980" w:type="pct"/>
            <w:tcBorders>
              <w:top w:val="nil"/>
              <w:left w:val="nil"/>
              <w:bottom w:val="nil"/>
              <w:right w:val="nil"/>
            </w:tcBorders>
            <w:shd w:val="clear" w:color="auto" w:fill="auto"/>
            <w:noWrap/>
            <w:vAlign w:val="center"/>
            <w:hideMark/>
          </w:tcPr>
          <w:p w14:paraId="735AD8DC"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Notas do tesouro nacional</w:t>
            </w:r>
          </w:p>
        </w:tc>
        <w:tc>
          <w:tcPr>
            <w:tcW w:w="481" w:type="pct"/>
            <w:tcBorders>
              <w:top w:val="nil"/>
              <w:left w:val="nil"/>
              <w:bottom w:val="nil"/>
              <w:right w:val="nil"/>
            </w:tcBorders>
            <w:shd w:val="clear" w:color="auto" w:fill="auto"/>
            <w:noWrap/>
            <w:vAlign w:val="center"/>
          </w:tcPr>
          <w:p w14:paraId="7F3E6B53" w14:textId="7F85F5A1"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4.496.856</w:t>
            </w:r>
          </w:p>
        </w:tc>
        <w:tc>
          <w:tcPr>
            <w:tcW w:w="343" w:type="pct"/>
            <w:tcBorders>
              <w:top w:val="nil"/>
              <w:left w:val="nil"/>
              <w:bottom w:val="nil"/>
              <w:right w:val="nil"/>
            </w:tcBorders>
            <w:shd w:val="clear" w:color="auto" w:fill="auto"/>
            <w:noWrap/>
            <w:vAlign w:val="center"/>
          </w:tcPr>
          <w:p w14:paraId="18A855A7" w14:textId="512D0D29" w:rsidR="00DF1B07" w:rsidRPr="00FD6941" w:rsidRDefault="003C5B09" w:rsidP="00DF1B07">
            <w:pPr>
              <w:jc w:val="right"/>
              <w:rPr>
                <w:rFonts w:ascii="CAIXA Std Book" w:hAnsi="CAIXA Std Book" w:cs="Arial"/>
                <w:color w:val="005CA9"/>
                <w:sz w:val="16"/>
                <w:szCs w:val="16"/>
              </w:rPr>
            </w:pPr>
            <w:r>
              <w:rPr>
                <w:rFonts w:ascii="CAIXA Std Book" w:hAnsi="CAIXA Std Book" w:cs="Arial"/>
                <w:color w:val="005CA9"/>
                <w:sz w:val="16"/>
                <w:szCs w:val="16"/>
              </w:rPr>
              <w:t>(</w:t>
            </w:r>
            <w:r w:rsidR="00DF1B07">
              <w:rPr>
                <w:rFonts w:ascii="CAIXA Std Book" w:hAnsi="CAIXA Std Book" w:cs="Arial"/>
                <w:color w:val="005CA9"/>
                <w:sz w:val="16"/>
                <w:szCs w:val="16"/>
              </w:rPr>
              <w:t>10.143</w:t>
            </w: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0CEA9CF2" w14:textId="485EB87C" w:rsidR="00DF1B07" w:rsidRPr="00FD6941" w:rsidRDefault="003C5B09" w:rsidP="00DF1B07">
            <w:pPr>
              <w:jc w:val="right"/>
              <w:rPr>
                <w:rFonts w:ascii="CAIXA Std Book" w:hAnsi="CAIXA Std Book" w:cs="Arial"/>
                <w:color w:val="005CA9"/>
                <w:sz w:val="16"/>
                <w:szCs w:val="16"/>
              </w:rPr>
            </w:pPr>
            <w:r>
              <w:rPr>
                <w:rFonts w:ascii="CAIXA Std Book" w:hAnsi="CAIXA Std Book" w:cs="Arial"/>
                <w:color w:val="005CA9"/>
                <w:sz w:val="16"/>
                <w:szCs w:val="16"/>
              </w:rPr>
              <w:t>(</w:t>
            </w:r>
            <w:r w:rsidR="00DF1B07">
              <w:rPr>
                <w:rFonts w:ascii="CAIXA Std Book" w:hAnsi="CAIXA Std Book" w:cs="Arial"/>
                <w:color w:val="005CA9"/>
                <w:sz w:val="16"/>
                <w:szCs w:val="16"/>
              </w:rPr>
              <w:t>7.643</w:t>
            </w:r>
            <w:r>
              <w:rPr>
                <w:rFonts w:ascii="CAIXA Std Book" w:hAnsi="CAIXA Std Book" w:cs="Arial"/>
                <w:color w:val="005CA9"/>
                <w:sz w:val="16"/>
                <w:szCs w:val="16"/>
              </w:rPr>
              <w:t>)</w:t>
            </w:r>
          </w:p>
        </w:tc>
        <w:tc>
          <w:tcPr>
            <w:tcW w:w="479" w:type="pct"/>
            <w:tcBorders>
              <w:top w:val="nil"/>
              <w:left w:val="nil"/>
              <w:bottom w:val="nil"/>
              <w:right w:val="nil"/>
            </w:tcBorders>
            <w:shd w:val="clear" w:color="auto" w:fill="auto"/>
            <w:noWrap/>
            <w:vAlign w:val="center"/>
          </w:tcPr>
          <w:p w14:paraId="1F93A903" w14:textId="25DCBE64"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4.479.070</w:t>
            </w:r>
          </w:p>
        </w:tc>
        <w:tc>
          <w:tcPr>
            <w:tcW w:w="487" w:type="pct"/>
            <w:tcBorders>
              <w:top w:val="nil"/>
              <w:left w:val="nil"/>
              <w:bottom w:val="nil"/>
              <w:right w:val="nil"/>
            </w:tcBorders>
            <w:shd w:val="clear" w:color="auto" w:fill="auto"/>
            <w:noWrap/>
            <w:vAlign w:val="center"/>
          </w:tcPr>
          <w:p w14:paraId="7EC79B4C" w14:textId="09603CBF"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4.494.779</w:t>
            </w:r>
          </w:p>
        </w:tc>
        <w:tc>
          <w:tcPr>
            <w:tcW w:w="438" w:type="pct"/>
            <w:tcBorders>
              <w:top w:val="nil"/>
              <w:left w:val="nil"/>
              <w:bottom w:val="nil"/>
              <w:right w:val="nil"/>
            </w:tcBorders>
            <w:shd w:val="clear" w:color="auto" w:fill="auto"/>
            <w:noWrap/>
            <w:vAlign w:val="center"/>
            <w:hideMark/>
          </w:tcPr>
          <w:p w14:paraId="4A9DB030" w14:textId="49238B5A"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4.913.749</w:t>
            </w:r>
          </w:p>
        </w:tc>
        <w:tc>
          <w:tcPr>
            <w:tcW w:w="356" w:type="pct"/>
            <w:tcBorders>
              <w:top w:val="nil"/>
              <w:left w:val="nil"/>
              <w:bottom w:val="nil"/>
              <w:right w:val="nil"/>
            </w:tcBorders>
            <w:shd w:val="clear" w:color="auto" w:fill="auto"/>
            <w:noWrap/>
            <w:vAlign w:val="center"/>
            <w:hideMark/>
          </w:tcPr>
          <w:p w14:paraId="1E7D0BC3" w14:textId="3D062E8B"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42.038</w:t>
            </w:r>
          </w:p>
        </w:tc>
        <w:tc>
          <w:tcPr>
            <w:tcW w:w="329" w:type="pct"/>
            <w:tcBorders>
              <w:top w:val="nil"/>
              <w:left w:val="nil"/>
              <w:bottom w:val="nil"/>
              <w:right w:val="nil"/>
            </w:tcBorders>
            <w:shd w:val="clear" w:color="auto" w:fill="auto"/>
            <w:noWrap/>
            <w:vAlign w:val="center"/>
            <w:hideMark/>
          </w:tcPr>
          <w:p w14:paraId="3E390803" w14:textId="429B01A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17.570</w:t>
            </w:r>
          </w:p>
        </w:tc>
        <w:tc>
          <w:tcPr>
            <w:tcW w:w="382" w:type="pct"/>
            <w:tcBorders>
              <w:top w:val="nil"/>
              <w:left w:val="nil"/>
              <w:bottom w:val="nil"/>
              <w:right w:val="nil"/>
            </w:tcBorders>
            <w:shd w:val="clear" w:color="auto" w:fill="auto"/>
            <w:noWrap/>
            <w:vAlign w:val="center"/>
            <w:hideMark/>
          </w:tcPr>
          <w:p w14:paraId="2CF54291" w14:textId="2E29ECA3"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4.973.357</w:t>
            </w:r>
          </w:p>
        </w:tc>
        <w:tc>
          <w:tcPr>
            <w:tcW w:w="382" w:type="pct"/>
            <w:tcBorders>
              <w:top w:val="nil"/>
              <w:left w:val="nil"/>
              <w:bottom w:val="nil"/>
              <w:right w:val="nil"/>
            </w:tcBorders>
            <w:shd w:val="clear" w:color="auto" w:fill="auto"/>
            <w:noWrap/>
            <w:vAlign w:val="center"/>
            <w:hideMark/>
          </w:tcPr>
          <w:p w14:paraId="58078898" w14:textId="435EA362"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4.995.703</w:t>
            </w:r>
          </w:p>
        </w:tc>
      </w:tr>
      <w:tr w:rsidR="00DF1B07" w:rsidRPr="00A33766" w14:paraId="43DAA780" w14:textId="77777777" w:rsidTr="008F3E16">
        <w:trPr>
          <w:trHeight w:val="283"/>
        </w:trPr>
        <w:tc>
          <w:tcPr>
            <w:tcW w:w="980" w:type="pct"/>
            <w:tcBorders>
              <w:top w:val="nil"/>
              <w:left w:val="nil"/>
              <w:bottom w:val="nil"/>
              <w:right w:val="nil"/>
            </w:tcBorders>
            <w:shd w:val="clear" w:color="auto" w:fill="auto"/>
            <w:noWrap/>
            <w:vAlign w:val="center"/>
            <w:hideMark/>
          </w:tcPr>
          <w:p w14:paraId="68BC3926"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Tesouro nacional/securitização</w:t>
            </w:r>
          </w:p>
        </w:tc>
        <w:tc>
          <w:tcPr>
            <w:tcW w:w="481" w:type="pct"/>
            <w:tcBorders>
              <w:top w:val="nil"/>
              <w:left w:val="nil"/>
              <w:bottom w:val="nil"/>
              <w:right w:val="nil"/>
            </w:tcBorders>
            <w:shd w:val="clear" w:color="auto" w:fill="auto"/>
            <w:noWrap/>
            <w:vAlign w:val="center"/>
          </w:tcPr>
          <w:p w14:paraId="17E9642A" w14:textId="6AA0C627"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185.140</w:t>
            </w:r>
          </w:p>
        </w:tc>
        <w:tc>
          <w:tcPr>
            <w:tcW w:w="343" w:type="pct"/>
            <w:tcBorders>
              <w:top w:val="nil"/>
              <w:left w:val="nil"/>
              <w:bottom w:val="nil"/>
              <w:right w:val="nil"/>
            </w:tcBorders>
            <w:shd w:val="clear" w:color="auto" w:fill="auto"/>
            <w:noWrap/>
            <w:vAlign w:val="center"/>
          </w:tcPr>
          <w:p w14:paraId="6FB44E4F" w14:textId="5E8D1D4A"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732D2F99" w14:textId="66A98C74" w:rsidR="00DF1B07" w:rsidRPr="00FD6941" w:rsidRDefault="003C5B09" w:rsidP="00DF1B07">
            <w:pPr>
              <w:jc w:val="right"/>
              <w:rPr>
                <w:rFonts w:ascii="CAIXA Std Book" w:hAnsi="CAIXA Std Book" w:cs="Arial"/>
                <w:color w:val="005CA9"/>
                <w:sz w:val="16"/>
                <w:szCs w:val="16"/>
              </w:rPr>
            </w:pPr>
            <w:r>
              <w:rPr>
                <w:rFonts w:ascii="CAIXA Std Book" w:hAnsi="CAIXA Std Book" w:cs="Arial"/>
                <w:color w:val="005CA9"/>
                <w:sz w:val="16"/>
                <w:szCs w:val="16"/>
              </w:rPr>
              <w:t>(</w:t>
            </w:r>
            <w:r w:rsidR="00DF1B07">
              <w:rPr>
                <w:rFonts w:ascii="CAIXA Std Book" w:hAnsi="CAIXA Std Book" w:cs="Arial"/>
                <w:color w:val="005CA9"/>
                <w:sz w:val="16"/>
                <w:szCs w:val="16"/>
              </w:rPr>
              <w:t>4.477</w:t>
            </w:r>
            <w:r>
              <w:rPr>
                <w:rFonts w:ascii="CAIXA Std Book" w:hAnsi="CAIXA Std Book" w:cs="Arial"/>
                <w:color w:val="005CA9"/>
                <w:sz w:val="16"/>
                <w:szCs w:val="16"/>
              </w:rPr>
              <w:t>)</w:t>
            </w:r>
          </w:p>
        </w:tc>
        <w:tc>
          <w:tcPr>
            <w:tcW w:w="479" w:type="pct"/>
            <w:tcBorders>
              <w:top w:val="nil"/>
              <w:left w:val="nil"/>
              <w:bottom w:val="nil"/>
              <w:right w:val="nil"/>
            </w:tcBorders>
            <w:shd w:val="clear" w:color="auto" w:fill="auto"/>
            <w:noWrap/>
            <w:vAlign w:val="center"/>
          </w:tcPr>
          <w:p w14:paraId="2787E703" w14:textId="2E8D1CCB"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180.663</w:t>
            </w:r>
          </w:p>
        </w:tc>
        <w:tc>
          <w:tcPr>
            <w:tcW w:w="487" w:type="pct"/>
            <w:tcBorders>
              <w:top w:val="nil"/>
              <w:left w:val="nil"/>
              <w:bottom w:val="nil"/>
              <w:right w:val="nil"/>
            </w:tcBorders>
            <w:shd w:val="clear" w:color="auto" w:fill="auto"/>
            <w:noWrap/>
            <w:vAlign w:val="center"/>
          </w:tcPr>
          <w:p w14:paraId="23B61D42" w14:textId="055C6FF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180.663</w:t>
            </w:r>
          </w:p>
        </w:tc>
        <w:tc>
          <w:tcPr>
            <w:tcW w:w="438" w:type="pct"/>
            <w:tcBorders>
              <w:top w:val="nil"/>
              <w:left w:val="nil"/>
              <w:bottom w:val="nil"/>
              <w:right w:val="nil"/>
            </w:tcBorders>
            <w:shd w:val="clear" w:color="auto" w:fill="auto"/>
            <w:noWrap/>
            <w:vAlign w:val="center"/>
            <w:hideMark/>
          </w:tcPr>
          <w:p w14:paraId="1C8D252D" w14:textId="40A9C1CC"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194.459</w:t>
            </w:r>
          </w:p>
        </w:tc>
        <w:tc>
          <w:tcPr>
            <w:tcW w:w="356" w:type="pct"/>
            <w:tcBorders>
              <w:top w:val="nil"/>
              <w:left w:val="nil"/>
              <w:bottom w:val="nil"/>
              <w:right w:val="nil"/>
            </w:tcBorders>
            <w:shd w:val="clear" w:color="auto" w:fill="auto"/>
            <w:noWrap/>
            <w:vAlign w:val="center"/>
            <w:hideMark/>
          </w:tcPr>
          <w:p w14:paraId="6DD7EBAA" w14:textId="03AA2370"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0F78BB11" w14:textId="311E223B"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(5.310)</w:t>
            </w:r>
          </w:p>
        </w:tc>
        <w:tc>
          <w:tcPr>
            <w:tcW w:w="382" w:type="pct"/>
            <w:tcBorders>
              <w:top w:val="nil"/>
              <w:left w:val="nil"/>
              <w:bottom w:val="nil"/>
              <w:right w:val="nil"/>
            </w:tcBorders>
            <w:shd w:val="clear" w:color="auto" w:fill="auto"/>
            <w:noWrap/>
            <w:vAlign w:val="center"/>
            <w:hideMark/>
          </w:tcPr>
          <w:p w14:paraId="25AD3AA4" w14:textId="567D3F8F"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189.149</w:t>
            </w:r>
          </w:p>
        </w:tc>
        <w:tc>
          <w:tcPr>
            <w:tcW w:w="382" w:type="pct"/>
            <w:tcBorders>
              <w:top w:val="nil"/>
              <w:left w:val="nil"/>
              <w:bottom w:val="nil"/>
              <w:right w:val="nil"/>
            </w:tcBorders>
            <w:shd w:val="clear" w:color="auto" w:fill="auto"/>
            <w:noWrap/>
            <w:vAlign w:val="center"/>
            <w:hideMark/>
          </w:tcPr>
          <w:p w14:paraId="01AF79A7" w14:textId="70D6B876"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189.149</w:t>
            </w:r>
          </w:p>
        </w:tc>
      </w:tr>
      <w:tr w:rsidR="00DF1B07" w:rsidRPr="00A33766" w14:paraId="02950B7A" w14:textId="77777777" w:rsidTr="008F3E16">
        <w:trPr>
          <w:trHeight w:val="283"/>
        </w:trPr>
        <w:tc>
          <w:tcPr>
            <w:tcW w:w="980" w:type="pct"/>
            <w:tcBorders>
              <w:top w:val="nil"/>
              <w:left w:val="nil"/>
              <w:bottom w:val="nil"/>
              <w:right w:val="nil"/>
            </w:tcBorders>
            <w:shd w:val="clear" w:color="auto" w:fill="auto"/>
            <w:vAlign w:val="center"/>
            <w:hideMark/>
          </w:tcPr>
          <w:p w14:paraId="3658BD4F" w14:textId="77777777" w:rsidR="00DF1B07" w:rsidRPr="00710F7E" w:rsidRDefault="00DF1B07" w:rsidP="00DF1B07">
            <w:pP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Títulos – empresas</w:t>
            </w:r>
          </w:p>
        </w:tc>
        <w:tc>
          <w:tcPr>
            <w:tcW w:w="481" w:type="pct"/>
            <w:tcBorders>
              <w:top w:val="nil"/>
              <w:left w:val="nil"/>
              <w:bottom w:val="nil"/>
              <w:right w:val="nil"/>
            </w:tcBorders>
            <w:shd w:val="clear" w:color="auto" w:fill="auto"/>
            <w:noWrap/>
            <w:vAlign w:val="center"/>
          </w:tcPr>
          <w:p w14:paraId="05634815" w14:textId="6924D4B7" w:rsidR="00DF1B07" w:rsidRPr="00FD6941" w:rsidRDefault="00DF1B07" w:rsidP="00DF1B07">
            <w:pPr>
              <w:ind w:firstLineChars="100" w:firstLine="157"/>
              <w:jc w:val="right"/>
              <w:rPr>
                <w:rFonts w:ascii="CAIXA Std Book" w:hAnsi="CAIXA Std Book" w:cs="Arial"/>
                <w:b/>
                <w:color w:val="005CA9"/>
                <w:sz w:val="16"/>
                <w:szCs w:val="16"/>
              </w:rPr>
            </w:pPr>
            <w:r>
              <w:rPr>
                <w:rFonts w:ascii="CAIXA Std Book" w:hAnsi="CAIXA Std Book" w:cs="Arial"/>
                <w:b/>
                <w:bCs/>
                <w:color w:val="005CA9"/>
                <w:sz w:val="16"/>
                <w:szCs w:val="16"/>
              </w:rPr>
              <w:t>16.933.247</w:t>
            </w:r>
          </w:p>
        </w:tc>
        <w:tc>
          <w:tcPr>
            <w:tcW w:w="343" w:type="pct"/>
            <w:tcBorders>
              <w:top w:val="nil"/>
              <w:left w:val="nil"/>
              <w:bottom w:val="nil"/>
              <w:right w:val="nil"/>
            </w:tcBorders>
            <w:shd w:val="clear" w:color="auto" w:fill="auto"/>
            <w:noWrap/>
            <w:vAlign w:val="center"/>
          </w:tcPr>
          <w:p w14:paraId="4CD112F0" w14:textId="4501648B" w:rsidR="00DF1B07" w:rsidRPr="00346286" w:rsidRDefault="003C5B09" w:rsidP="00DF1B07">
            <w:pPr>
              <w:jc w:val="right"/>
              <w:rPr>
                <w:rFonts w:ascii="CAIXA Std Book" w:hAnsi="CAIXA Std Book" w:cs="Arial"/>
                <w:b/>
                <w:bCs/>
                <w:color w:val="005CA9"/>
                <w:sz w:val="16"/>
                <w:szCs w:val="16"/>
              </w:rPr>
            </w:pPr>
            <w:r>
              <w:rPr>
                <w:rFonts w:ascii="CAIXA Std Book" w:hAnsi="CAIXA Std Book" w:cs="Arial"/>
                <w:b/>
                <w:bCs/>
                <w:color w:val="005CA9"/>
                <w:sz w:val="16"/>
                <w:szCs w:val="16"/>
              </w:rPr>
              <w:t>(</w:t>
            </w:r>
            <w:r w:rsidR="00DF1B07">
              <w:rPr>
                <w:rFonts w:ascii="CAIXA Std Book" w:hAnsi="CAIXA Std Book" w:cs="Arial"/>
                <w:b/>
                <w:bCs/>
                <w:color w:val="005CA9"/>
                <w:sz w:val="16"/>
                <w:szCs w:val="16"/>
              </w:rPr>
              <w:t>82.773</w:t>
            </w:r>
            <w:r>
              <w:rPr>
                <w:rFonts w:ascii="CAIXA Std Book" w:hAnsi="CAIXA Std Book" w:cs="Arial"/>
                <w:b/>
                <w:bCs/>
                <w:color w:val="005CA9"/>
                <w:sz w:val="16"/>
                <w:szCs w:val="16"/>
              </w:rPr>
              <w:t>)</w:t>
            </w:r>
          </w:p>
        </w:tc>
        <w:tc>
          <w:tcPr>
            <w:tcW w:w="343" w:type="pct"/>
            <w:tcBorders>
              <w:top w:val="nil"/>
              <w:left w:val="nil"/>
              <w:bottom w:val="nil"/>
              <w:right w:val="nil"/>
            </w:tcBorders>
            <w:shd w:val="clear" w:color="auto" w:fill="auto"/>
            <w:noWrap/>
            <w:vAlign w:val="center"/>
          </w:tcPr>
          <w:p w14:paraId="0BD05BB4" w14:textId="492936FD" w:rsidR="00DF1B07" w:rsidRPr="00346286" w:rsidRDefault="00DF1B07" w:rsidP="00DF1B07">
            <w:pPr>
              <w:jc w:val="right"/>
              <w:rPr>
                <w:rFonts w:ascii="CAIXA Std Book" w:hAnsi="CAIXA Std Book" w:cs="Arial"/>
                <w:b/>
                <w:bCs/>
                <w:color w:val="005CA9"/>
                <w:sz w:val="16"/>
                <w:szCs w:val="16"/>
              </w:rPr>
            </w:pPr>
            <w:r>
              <w:rPr>
                <w:rFonts w:ascii="CAIXA Std Book" w:hAnsi="CAIXA Std Book" w:cs="Arial"/>
                <w:b/>
                <w:bCs/>
                <w:color w:val="005CA9"/>
                <w:sz w:val="16"/>
                <w:szCs w:val="16"/>
              </w:rPr>
              <w:t>1.220.610</w:t>
            </w:r>
          </w:p>
        </w:tc>
        <w:tc>
          <w:tcPr>
            <w:tcW w:w="479" w:type="pct"/>
            <w:tcBorders>
              <w:top w:val="nil"/>
              <w:left w:val="nil"/>
              <w:bottom w:val="nil"/>
              <w:right w:val="nil"/>
            </w:tcBorders>
            <w:shd w:val="clear" w:color="auto" w:fill="auto"/>
            <w:noWrap/>
            <w:vAlign w:val="center"/>
          </w:tcPr>
          <w:p w14:paraId="535ACC0D" w14:textId="2E6F6CCB" w:rsidR="00DF1B07" w:rsidRPr="00346286" w:rsidRDefault="00DF1B07" w:rsidP="00DF1B07">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18.071.084</w:t>
            </w:r>
          </w:p>
        </w:tc>
        <w:tc>
          <w:tcPr>
            <w:tcW w:w="487" w:type="pct"/>
            <w:tcBorders>
              <w:top w:val="nil"/>
              <w:left w:val="nil"/>
              <w:bottom w:val="nil"/>
              <w:right w:val="nil"/>
            </w:tcBorders>
            <w:shd w:val="clear" w:color="auto" w:fill="auto"/>
            <w:noWrap/>
            <w:vAlign w:val="center"/>
          </w:tcPr>
          <w:p w14:paraId="5D52E962" w14:textId="304EA051" w:rsidR="00DF1B07" w:rsidRPr="00346286" w:rsidRDefault="00DF1B07" w:rsidP="00DF1B07">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17.532.670</w:t>
            </w:r>
          </w:p>
        </w:tc>
        <w:tc>
          <w:tcPr>
            <w:tcW w:w="438" w:type="pct"/>
            <w:tcBorders>
              <w:top w:val="nil"/>
              <w:left w:val="nil"/>
              <w:bottom w:val="nil"/>
              <w:right w:val="nil"/>
            </w:tcBorders>
            <w:shd w:val="clear" w:color="auto" w:fill="auto"/>
            <w:noWrap/>
            <w:vAlign w:val="center"/>
            <w:hideMark/>
          </w:tcPr>
          <w:p w14:paraId="50D04C90" w14:textId="7E13DF3B"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16.127.146</w:t>
            </w:r>
          </w:p>
        </w:tc>
        <w:tc>
          <w:tcPr>
            <w:tcW w:w="356" w:type="pct"/>
            <w:tcBorders>
              <w:top w:val="nil"/>
              <w:left w:val="nil"/>
              <w:bottom w:val="nil"/>
              <w:right w:val="nil"/>
            </w:tcBorders>
            <w:shd w:val="clear" w:color="auto" w:fill="auto"/>
            <w:noWrap/>
            <w:vAlign w:val="center"/>
            <w:hideMark/>
          </w:tcPr>
          <w:p w14:paraId="621602BB" w14:textId="5B67DD1B"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(78.178)</w:t>
            </w:r>
          </w:p>
        </w:tc>
        <w:tc>
          <w:tcPr>
            <w:tcW w:w="329" w:type="pct"/>
            <w:tcBorders>
              <w:top w:val="nil"/>
              <w:left w:val="nil"/>
              <w:bottom w:val="nil"/>
              <w:right w:val="nil"/>
            </w:tcBorders>
            <w:shd w:val="clear" w:color="auto" w:fill="auto"/>
            <w:noWrap/>
            <w:vAlign w:val="center"/>
            <w:hideMark/>
          </w:tcPr>
          <w:p w14:paraId="0173B8A6" w14:textId="4C7A343F"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1.110.113</w:t>
            </w:r>
          </w:p>
        </w:tc>
        <w:tc>
          <w:tcPr>
            <w:tcW w:w="382" w:type="pct"/>
            <w:tcBorders>
              <w:top w:val="nil"/>
              <w:left w:val="nil"/>
              <w:bottom w:val="nil"/>
              <w:right w:val="nil"/>
            </w:tcBorders>
            <w:shd w:val="clear" w:color="auto" w:fill="auto"/>
            <w:noWrap/>
            <w:vAlign w:val="center"/>
            <w:hideMark/>
          </w:tcPr>
          <w:p w14:paraId="4F7F5D52" w14:textId="51B125F3"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17.159.081</w:t>
            </w:r>
          </w:p>
        </w:tc>
        <w:tc>
          <w:tcPr>
            <w:tcW w:w="382" w:type="pct"/>
            <w:tcBorders>
              <w:top w:val="nil"/>
              <w:left w:val="nil"/>
              <w:bottom w:val="nil"/>
              <w:right w:val="nil"/>
            </w:tcBorders>
            <w:shd w:val="clear" w:color="auto" w:fill="auto"/>
            <w:noWrap/>
            <w:vAlign w:val="center"/>
            <w:hideMark/>
          </w:tcPr>
          <w:p w14:paraId="642BE24A" w14:textId="52F79743"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16.750.538</w:t>
            </w:r>
          </w:p>
        </w:tc>
      </w:tr>
      <w:tr w:rsidR="00DF1B07" w:rsidRPr="00A33766" w14:paraId="6B647161" w14:textId="77777777" w:rsidTr="008F3E16">
        <w:trPr>
          <w:trHeight w:val="283"/>
        </w:trPr>
        <w:tc>
          <w:tcPr>
            <w:tcW w:w="980" w:type="pct"/>
            <w:tcBorders>
              <w:top w:val="nil"/>
              <w:left w:val="nil"/>
              <w:bottom w:val="nil"/>
              <w:right w:val="nil"/>
            </w:tcBorders>
            <w:shd w:val="clear" w:color="auto" w:fill="auto"/>
            <w:noWrap/>
            <w:vAlign w:val="center"/>
            <w:hideMark/>
          </w:tcPr>
          <w:p w14:paraId="2AE5EB96"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Debêntures</w:t>
            </w:r>
          </w:p>
        </w:tc>
        <w:tc>
          <w:tcPr>
            <w:tcW w:w="481" w:type="pct"/>
            <w:tcBorders>
              <w:top w:val="nil"/>
              <w:left w:val="nil"/>
              <w:bottom w:val="nil"/>
              <w:right w:val="nil"/>
            </w:tcBorders>
            <w:shd w:val="clear" w:color="auto" w:fill="auto"/>
            <w:noWrap/>
            <w:vAlign w:val="center"/>
          </w:tcPr>
          <w:p w14:paraId="518BB009" w14:textId="6E796C43"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7.138.195</w:t>
            </w:r>
          </w:p>
        </w:tc>
        <w:tc>
          <w:tcPr>
            <w:tcW w:w="343" w:type="pct"/>
            <w:tcBorders>
              <w:top w:val="nil"/>
              <w:left w:val="nil"/>
              <w:bottom w:val="nil"/>
              <w:right w:val="nil"/>
            </w:tcBorders>
            <w:shd w:val="clear" w:color="auto" w:fill="auto"/>
            <w:noWrap/>
            <w:vAlign w:val="center"/>
          </w:tcPr>
          <w:p w14:paraId="76ED323E" w14:textId="522B29F8"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4.873</w:t>
            </w:r>
          </w:p>
        </w:tc>
        <w:tc>
          <w:tcPr>
            <w:tcW w:w="343" w:type="pct"/>
            <w:tcBorders>
              <w:top w:val="nil"/>
              <w:left w:val="nil"/>
              <w:bottom w:val="nil"/>
              <w:right w:val="nil"/>
            </w:tcBorders>
            <w:shd w:val="clear" w:color="auto" w:fill="auto"/>
            <w:noWrap/>
            <w:vAlign w:val="center"/>
          </w:tcPr>
          <w:p w14:paraId="04AD60B9" w14:textId="6234FC24"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70.801</w:t>
            </w:r>
          </w:p>
        </w:tc>
        <w:tc>
          <w:tcPr>
            <w:tcW w:w="479" w:type="pct"/>
            <w:tcBorders>
              <w:top w:val="nil"/>
              <w:left w:val="nil"/>
              <w:bottom w:val="nil"/>
              <w:right w:val="nil"/>
            </w:tcBorders>
            <w:shd w:val="clear" w:color="auto" w:fill="auto"/>
            <w:noWrap/>
            <w:vAlign w:val="center"/>
          </w:tcPr>
          <w:p w14:paraId="0A6457C7" w14:textId="640946C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7.213.869</w:t>
            </w:r>
          </w:p>
        </w:tc>
        <w:tc>
          <w:tcPr>
            <w:tcW w:w="487" w:type="pct"/>
            <w:tcBorders>
              <w:top w:val="nil"/>
              <w:left w:val="nil"/>
              <w:bottom w:val="nil"/>
              <w:right w:val="nil"/>
            </w:tcBorders>
            <w:shd w:val="clear" w:color="auto" w:fill="auto"/>
            <w:noWrap/>
            <w:vAlign w:val="center"/>
          </w:tcPr>
          <w:p w14:paraId="4688141B" w14:textId="69DD20E1"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6.414.260</w:t>
            </w:r>
          </w:p>
        </w:tc>
        <w:tc>
          <w:tcPr>
            <w:tcW w:w="438" w:type="pct"/>
            <w:tcBorders>
              <w:top w:val="nil"/>
              <w:left w:val="nil"/>
              <w:bottom w:val="nil"/>
              <w:right w:val="nil"/>
            </w:tcBorders>
            <w:shd w:val="clear" w:color="auto" w:fill="auto"/>
            <w:noWrap/>
            <w:vAlign w:val="center"/>
            <w:hideMark/>
          </w:tcPr>
          <w:p w14:paraId="6D782D18" w14:textId="274A047A"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6.387.585</w:t>
            </w:r>
          </w:p>
        </w:tc>
        <w:tc>
          <w:tcPr>
            <w:tcW w:w="356" w:type="pct"/>
            <w:tcBorders>
              <w:top w:val="nil"/>
              <w:left w:val="nil"/>
              <w:bottom w:val="nil"/>
              <w:right w:val="nil"/>
            </w:tcBorders>
            <w:shd w:val="clear" w:color="auto" w:fill="auto"/>
            <w:noWrap/>
            <w:vAlign w:val="center"/>
            <w:hideMark/>
          </w:tcPr>
          <w:p w14:paraId="3666D107" w14:textId="0D51A22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5.832</w:t>
            </w:r>
          </w:p>
        </w:tc>
        <w:tc>
          <w:tcPr>
            <w:tcW w:w="329" w:type="pct"/>
            <w:tcBorders>
              <w:top w:val="nil"/>
              <w:left w:val="nil"/>
              <w:bottom w:val="nil"/>
              <w:right w:val="nil"/>
            </w:tcBorders>
            <w:shd w:val="clear" w:color="auto" w:fill="auto"/>
            <w:noWrap/>
            <w:vAlign w:val="center"/>
            <w:hideMark/>
          </w:tcPr>
          <w:p w14:paraId="216DD52F" w14:textId="0FC6498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(2.511)</w:t>
            </w:r>
          </w:p>
        </w:tc>
        <w:tc>
          <w:tcPr>
            <w:tcW w:w="382" w:type="pct"/>
            <w:tcBorders>
              <w:top w:val="nil"/>
              <w:left w:val="nil"/>
              <w:bottom w:val="nil"/>
              <w:right w:val="nil"/>
            </w:tcBorders>
            <w:shd w:val="clear" w:color="auto" w:fill="auto"/>
            <w:noWrap/>
            <w:vAlign w:val="center"/>
            <w:hideMark/>
          </w:tcPr>
          <w:p w14:paraId="0D98252C" w14:textId="379B0F6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6.390.906</w:t>
            </w:r>
          </w:p>
        </w:tc>
        <w:tc>
          <w:tcPr>
            <w:tcW w:w="382" w:type="pct"/>
            <w:tcBorders>
              <w:top w:val="nil"/>
              <w:left w:val="nil"/>
              <w:bottom w:val="nil"/>
              <w:right w:val="nil"/>
            </w:tcBorders>
            <w:shd w:val="clear" w:color="auto" w:fill="auto"/>
            <w:noWrap/>
            <w:vAlign w:val="center"/>
            <w:hideMark/>
          </w:tcPr>
          <w:p w14:paraId="20D6CC33" w14:textId="1DB73209"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5.638.976</w:t>
            </w:r>
          </w:p>
        </w:tc>
      </w:tr>
      <w:tr w:rsidR="00DF1B07" w:rsidRPr="00A33766" w14:paraId="06F57D0D" w14:textId="77777777" w:rsidTr="008F3E16">
        <w:trPr>
          <w:trHeight w:val="283"/>
        </w:trPr>
        <w:tc>
          <w:tcPr>
            <w:tcW w:w="980" w:type="pct"/>
            <w:tcBorders>
              <w:top w:val="nil"/>
              <w:left w:val="nil"/>
              <w:bottom w:val="nil"/>
              <w:right w:val="nil"/>
            </w:tcBorders>
            <w:shd w:val="clear" w:color="auto" w:fill="auto"/>
            <w:noWrap/>
            <w:vAlign w:val="center"/>
            <w:hideMark/>
          </w:tcPr>
          <w:p w14:paraId="075E8091"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Nota Promissória</w:t>
            </w:r>
          </w:p>
        </w:tc>
        <w:tc>
          <w:tcPr>
            <w:tcW w:w="481" w:type="pct"/>
            <w:tcBorders>
              <w:top w:val="nil"/>
              <w:left w:val="nil"/>
              <w:bottom w:val="nil"/>
              <w:right w:val="nil"/>
            </w:tcBorders>
            <w:shd w:val="clear" w:color="auto" w:fill="auto"/>
            <w:noWrap/>
            <w:vAlign w:val="center"/>
          </w:tcPr>
          <w:p w14:paraId="4F76E48F" w14:textId="681C8B6F"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231.818</w:t>
            </w:r>
          </w:p>
        </w:tc>
        <w:tc>
          <w:tcPr>
            <w:tcW w:w="343" w:type="pct"/>
            <w:tcBorders>
              <w:top w:val="nil"/>
              <w:left w:val="nil"/>
              <w:bottom w:val="nil"/>
              <w:right w:val="nil"/>
            </w:tcBorders>
            <w:shd w:val="clear" w:color="auto" w:fill="auto"/>
            <w:noWrap/>
            <w:vAlign w:val="center"/>
          </w:tcPr>
          <w:p w14:paraId="1F2B3065" w14:textId="60DC4B02"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56EC627D" w14:textId="083F3937"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1.065</w:t>
            </w:r>
          </w:p>
        </w:tc>
        <w:tc>
          <w:tcPr>
            <w:tcW w:w="479" w:type="pct"/>
            <w:tcBorders>
              <w:top w:val="nil"/>
              <w:left w:val="nil"/>
              <w:bottom w:val="nil"/>
              <w:right w:val="nil"/>
            </w:tcBorders>
            <w:shd w:val="clear" w:color="auto" w:fill="auto"/>
            <w:noWrap/>
            <w:vAlign w:val="center"/>
          </w:tcPr>
          <w:p w14:paraId="458B4068" w14:textId="38A945AA"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232.883</w:t>
            </w:r>
          </w:p>
        </w:tc>
        <w:tc>
          <w:tcPr>
            <w:tcW w:w="487" w:type="pct"/>
            <w:tcBorders>
              <w:top w:val="nil"/>
              <w:left w:val="nil"/>
              <w:bottom w:val="nil"/>
              <w:right w:val="nil"/>
            </w:tcBorders>
            <w:shd w:val="clear" w:color="auto" w:fill="auto"/>
            <w:noWrap/>
            <w:vAlign w:val="center"/>
          </w:tcPr>
          <w:p w14:paraId="0A32BE4F" w14:textId="1543356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232.883</w:t>
            </w:r>
          </w:p>
        </w:tc>
        <w:tc>
          <w:tcPr>
            <w:tcW w:w="438" w:type="pct"/>
            <w:tcBorders>
              <w:top w:val="nil"/>
              <w:left w:val="nil"/>
              <w:bottom w:val="nil"/>
              <w:right w:val="nil"/>
            </w:tcBorders>
            <w:shd w:val="clear" w:color="auto" w:fill="auto"/>
            <w:noWrap/>
            <w:vAlign w:val="center"/>
            <w:hideMark/>
          </w:tcPr>
          <w:p w14:paraId="57BB9F16" w14:textId="7899050E"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224.261</w:t>
            </w:r>
          </w:p>
        </w:tc>
        <w:tc>
          <w:tcPr>
            <w:tcW w:w="356" w:type="pct"/>
            <w:tcBorders>
              <w:top w:val="nil"/>
              <w:left w:val="nil"/>
              <w:bottom w:val="nil"/>
              <w:right w:val="nil"/>
            </w:tcBorders>
            <w:shd w:val="clear" w:color="auto" w:fill="auto"/>
            <w:noWrap/>
            <w:vAlign w:val="center"/>
            <w:hideMark/>
          </w:tcPr>
          <w:p w14:paraId="53D2E648" w14:textId="105C736D"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5CD94972" w14:textId="2D29BB2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1.000</w:t>
            </w:r>
          </w:p>
        </w:tc>
        <w:tc>
          <w:tcPr>
            <w:tcW w:w="382" w:type="pct"/>
            <w:tcBorders>
              <w:top w:val="nil"/>
              <w:left w:val="nil"/>
              <w:bottom w:val="nil"/>
              <w:right w:val="nil"/>
            </w:tcBorders>
            <w:shd w:val="clear" w:color="auto" w:fill="auto"/>
            <w:noWrap/>
            <w:vAlign w:val="center"/>
            <w:hideMark/>
          </w:tcPr>
          <w:p w14:paraId="16E38CD5" w14:textId="7AAD453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225.261</w:t>
            </w:r>
          </w:p>
        </w:tc>
        <w:tc>
          <w:tcPr>
            <w:tcW w:w="382" w:type="pct"/>
            <w:tcBorders>
              <w:top w:val="nil"/>
              <w:left w:val="nil"/>
              <w:bottom w:val="nil"/>
              <w:right w:val="nil"/>
            </w:tcBorders>
            <w:shd w:val="clear" w:color="auto" w:fill="auto"/>
            <w:noWrap/>
            <w:vAlign w:val="center"/>
            <w:hideMark/>
          </w:tcPr>
          <w:p w14:paraId="329E88DE" w14:textId="765A0D02"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225.261</w:t>
            </w:r>
          </w:p>
        </w:tc>
      </w:tr>
      <w:tr w:rsidR="00DF1B07" w:rsidRPr="00A33766" w14:paraId="39C4A7FA" w14:textId="77777777" w:rsidTr="008F3E16">
        <w:trPr>
          <w:trHeight w:val="283"/>
        </w:trPr>
        <w:tc>
          <w:tcPr>
            <w:tcW w:w="980" w:type="pct"/>
            <w:tcBorders>
              <w:top w:val="nil"/>
              <w:left w:val="nil"/>
              <w:bottom w:val="nil"/>
              <w:right w:val="nil"/>
            </w:tcBorders>
            <w:shd w:val="clear" w:color="auto" w:fill="auto"/>
            <w:noWrap/>
            <w:vAlign w:val="center"/>
            <w:hideMark/>
          </w:tcPr>
          <w:p w14:paraId="12CB0B61" w14:textId="7878CAAD"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Cotas de fundos (1)</w:t>
            </w:r>
          </w:p>
        </w:tc>
        <w:tc>
          <w:tcPr>
            <w:tcW w:w="481" w:type="pct"/>
            <w:tcBorders>
              <w:top w:val="nil"/>
              <w:left w:val="nil"/>
              <w:bottom w:val="nil"/>
              <w:right w:val="nil"/>
            </w:tcBorders>
            <w:shd w:val="clear" w:color="auto" w:fill="auto"/>
            <w:noWrap/>
            <w:vAlign w:val="center"/>
          </w:tcPr>
          <w:p w14:paraId="12804FCC" w14:textId="00391437"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1.270.709</w:t>
            </w:r>
          </w:p>
        </w:tc>
        <w:tc>
          <w:tcPr>
            <w:tcW w:w="343" w:type="pct"/>
            <w:tcBorders>
              <w:top w:val="nil"/>
              <w:left w:val="nil"/>
              <w:bottom w:val="nil"/>
              <w:right w:val="nil"/>
            </w:tcBorders>
            <w:shd w:val="clear" w:color="auto" w:fill="auto"/>
            <w:noWrap/>
            <w:vAlign w:val="center"/>
          </w:tcPr>
          <w:p w14:paraId="5F820A7E" w14:textId="4848AFDF"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1AD96542" w14:textId="51C3759D"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1.065.147</w:t>
            </w:r>
          </w:p>
        </w:tc>
        <w:tc>
          <w:tcPr>
            <w:tcW w:w="479" w:type="pct"/>
            <w:tcBorders>
              <w:top w:val="nil"/>
              <w:left w:val="nil"/>
              <w:bottom w:val="nil"/>
              <w:right w:val="nil"/>
            </w:tcBorders>
            <w:shd w:val="clear" w:color="auto" w:fill="auto"/>
            <w:noWrap/>
            <w:vAlign w:val="center"/>
          </w:tcPr>
          <w:p w14:paraId="210E5485" w14:textId="26BCB439"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2.335.856</w:t>
            </w:r>
          </w:p>
        </w:tc>
        <w:tc>
          <w:tcPr>
            <w:tcW w:w="487" w:type="pct"/>
            <w:tcBorders>
              <w:top w:val="nil"/>
              <w:left w:val="nil"/>
              <w:bottom w:val="nil"/>
              <w:right w:val="nil"/>
            </w:tcBorders>
            <w:shd w:val="clear" w:color="auto" w:fill="auto"/>
            <w:noWrap/>
            <w:vAlign w:val="center"/>
          </w:tcPr>
          <w:p w14:paraId="3DCD26FE" w14:textId="2456C558"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2.335.856</w:t>
            </w:r>
          </w:p>
        </w:tc>
        <w:tc>
          <w:tcPr>
            <w:tcW w:w="438" w:type="pct"/>
            <w:tcBorders>
              <w:top w:val="nil"/>
              <w:left w:val="nil"/>
              <w:bottom w:val="nil"/>
              <w:right w:val="nil"/>
            </w:tcBorders>
            <w:shd w:val="clear" w:color="auto" w:fill="auto"/>
            <w:noWrap/>
            <w:vAlign w:val="center"/>
            <w:hideMark/>
          </w:tcPr>
          <w:p w14:paraId="025DAC5A" w14:textId="6343CBF9"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1.270.709</w:t>
            </w:r>
          </w:p>
        </w:tc>
        <w:tc>
          <w:tcPr>
            <w:tcW w:w="356" w:type="pct"/>
            <w:tcBorders>
              <w:top w:val="nil"/>
              <w:left w:val="nil"/>
              <w:bottom w:val="nil"/>
              <w:right w:val="nil"/>
            </w:tcBorders>
            <w:shd w:val="clear" w:color="auto" w:fill="auto"/>
            <w:noWrap/>
            <w:vAlign w:val="center"/>
            <w:hideMark/>
          </w:tcPr>
          <w:p w14:paraId="5EA9B682" w14:textId="63E874C6"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2FCB93D0" w14:textId="695004E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987.545</w:t>
            </w:r>
          </w:p>
        </w:tc>
        <w:tc>
          <w:tcPr>
            <w:tcW w:w="382" w:type="pct"/>
            <w:tcBorders>
              <w:top w:val="nil"/>
              <w:left w:val="nil"/>
              <w:bottom w:val="nil"/>
              <w:right w:val="nil"/>
            </w:tcBorders>
            <w:shd w:val="clear" w:color="auto" w:fill="auto"/>
            <w:noWrap/>
            <w:vAlign w:val="center"/>
            <w:hideMark/>
          </w:tcPr>
          <w:p w14:paraId="2FF26356" w14:textId="2EEB8B3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2.258.254</w:t>
            </w:r>
          </w:p>
        </w:tc>
        <w:tc>
          <w:tcPr>
            <w:tcW w:w="382" w:type="pct"/>
            <w:tcBorders>
              <w:top w:val="nil"/>
              <w:left w:val="nil"/>
              <w:bottom w:val="nil"/>
              <w:right w:val="nil"/>
            </w:tcBorders>
            <w:shd w:val="clear" w:color="auto" w:fill="auto"/>
            <w:noWrap/>
            <w:vAlign w:val="center"/>
            <w:hideMark/>
          </w:tcPr>
          <w:p w14:paraId="00D9ACBE" w14:textId="1DC7A858"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2.258.254</w:t>
            </w:r>
          </w:p>
        </w:tc>
      </w:tr>
      <w:tr w:rsidR="00DF1B07" w:rsidRPr="00A33766" w14:paraId="06BB990A" w14:textId="77777777" w:rsidTr="008F3E16">
        <w:trPr>
          <w:trHeight w:val="283"/>
        </w:trPr>
        <w:tc>
          <w:tcPr>
            <w:tcW w:w="980" w:type="pct"/>
            <w:tcBorders>
              <w:top w:val="nil"/>
              <w:left w:val="nil"/>
              <w:bottom w:val="nil"/>
              <w:right w:val="nil"/>
            </w:tcBorders>
            <w:shd w:val="clear" w:color="auto" w:fill="auto"/>
            <w:noWrap/>
            <w:vAlign w:val="center"/>
            <w:hideMark/>
          </w:tcPr>
          <w:p w14:paraId="486CE914"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Certificado de recebíveis imobiliários</w:t>
            </w:r>
          </w:p>
        </w:tc>
        <w:tc>
          <w:tcPr>
            <w:tcW w:w="481" w:type="pct"/>
            <w:tcBorders>
              <w:top w:val="nil"/>
              <w:left w:val="nil"/>
              <w:bottom w:val="nil"/>
              <w:right w:val="nil"/>
            </w:tcBorders>
            <w:shd w:val="clear" w:color="auto" w:fill="auto"/>
            <w:noWrap/>
            <w:vAlign w:val="center"/>
          </w:tcPr>
          <w:p w14:paraId="15367F9B" w14:textId="6C7B00A7"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3.510.573</w:t>
            </w:r>
          </w:p>
        </w:tc>
        <w:tc>
          <w:tcPr>
            <w:tcW w:w="343" w:type="pct"/>
            <w:tcBorders>
              <w:top w:val="nil"/>
              <w:left w:val="nil"/>
              <w:bottom w:val="nil"/>
              <w:right w:val="nil"/>
            </w:tcBorders>
            <w:shd w:val="clear" w:color="auto" w:fill="auto"/>
            <w:noWrap/>
            <w:vAlign w:val="center"/>
          </w:tcPr>
          <w:p w14:paraId="66CA20E4" w14:textId="15730D6C"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735CC4E2" w14:textId="38E40981"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14.151</w:t>
            </w:r>
          </w:p>
        </w:tc>
        <w:tc>
          <w:tcPr>
            <w:tcW w:w="479" w:type="pct"/>
            <w:tcBorders>
              <w:top w:val="nil"/>
              <w:left w:val="nil"/>
              <w:bottom w:val="nil"/>
              <w:right w:val="nil"/>
            </w:tcBorders>
            <w:shd w:val="clear" w:color="auto" w:fill="auto"/>
            <w:noWrap/>
            <w:vAlign w:val="center"/>
          </w:tcPr>
          <w:p w14:paraId="48FA0E2F" w14:textId="7AC6C1C4"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3.524.724</w:t>
            </w:r>
          </w:p>
        </w:tc>
        <w:tc>
          <w:tcPr>
            <w:tcW w:w="487" w:type="pct"/>
            <w:tcBorders>
              <w:top w:val="nil"/>
              <w:left w:val="nil"/>
              <w:bottom w:val="nil"/>
              <w:right w:val="nil"/>
            </w:tcBorders>
            <w:shd w:val="clear" w:color="auto" w:fill="auto"/>
            <w:noWrap/>
            <w:vAlign w:val="center"/>
          </w:tcPr>
          <w:p w14:paraId="3BFEF31F" w14:textId="620097B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3.785.919</w:t>
            </w:r>
          </w:p>
        </w:tc>
        <w:tc>
          <w:tcPr>
            <w:tcW w:w="438" w:type="pct"/>
            <w:tcBorders>
              <w:top w:val="nil"/>
              <w:left w:val="nil"/>
              <w:bottom w:val="nil"/>
              <w:right w:val="nil"/>
            </w:tcBorders>
            <w:shd w:val="clear" w:color="auto" w:fill="auto"/>
            <w:noWrap/>
            <w:vAlign w:val="center"/>
            <w:hideMark/>
          </w:tcPr>
          <w:p w14:paraId="3EC1C221" w14:textId="21FB9AC0"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3.498.603</w:t>
            </w:r>
          </w:p>
        </w:tc>
        <w:tc>
          <w:tcPr>
            <w:tcW w:w="356" w:type="pct"/>
            <w:tcBorders>
              <w:top w:val="nil"/>
              <w:left w:val="nil"/>
              <w:bottom w:val="nil"/>
              <w:right w:val="nil"/>
            </w:tcBorders>
            <w:shd w:val="clear" w:color="auto" w:fill="auto"/>
            <w:noWrap/>
            <w:vAlign w:val="center"/>
            <w:hideMark/>
          </w:tcPr>
          <w:p w14:paraId="2A414BF9" w14:textId="78572AD9"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260C5D16" w14:textId="68A217C5"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53.361</w:t>
            </w:r>
          </w:p>
        </w:tc>
        <w:tc>
          <w:tcPr>
            <w:tcW w:w="382" w:type="pct"/>
            <w:tcBorders>
              <w:top w:val="nil"/>
              <w:left w:val="nil"/>
              <w:bottom w:val="nil"/>
              <w:right w:val="nil"/>
            </w:tcBorders>
            <w:shd w:val="clear" w:color="auto" w:fill="auto"/>
            <w:noWrap/>
            <w:vAlign w:val="center"/>
            <w:hideMark/>
          </w:tcPr>
          <w:p w14:paraId="435BCF5D" w14:textId="4326E7E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3.551.964</w:t>
            </w:r>
          </w:p>
        </w:tc>
        <w:tc>
          <w:tcPr>
            <w:tcW w:w="382" w:type="pct"/>
            <w:tcBorders>
              <w:top w:val="nil"/>
              <w:left w:val="nil"/>
              <w:bottom w:val="nil"/>
              <w:right w:val="nil"/>
            </w:tcBorders>
            <w:shd w:val="clear" w:color="auto" w:fill="auto"/>
            <w:noWrap/>
            <w:vAlign w:val="center"/>
            <w:hideMark/>
          </w:tcPr>
          <w:p w14:paraId="342EE95E" w14:textId="6E041D4A"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3.895.351</w:t>
            </w:r>
          </w:p>
        </w:tc>
      </w:tr>
      <w:tr w:rsidR="00DF1B07" w:rsidRPr="00A33766" w14:paraId="5FCE3E30" w14:textId="77777777" w:rsidTr="008F3E16">
        <w:trPr>
          <w:trHeight w:val="283"/>
        </w:trPr>
        <w:tc>
          <w:tcPr>
            <w:tcW w:w="980" w:type="pct"/>
            <w:tcBorders>
              <w:top w:val="nil"/>
              <w:left w:val="nil"/>
              <w:bottom w:val="nil"/>
              <w:right w:val="nil"/>
            </w:tcBorders>
            <w:shd w:val="clear" w:color="auto" w:fill="auto"/>
            <w:noWrap/>
            <w:vAlign w:val="center"/>
            <w:hideMark/>
          </w:tcPr>
          <w:p w14:paraId="65EAB899"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Ações</w:t>
            </w:r>
          </w:p>
        </w:tc>
        <w:tc>
          <w:tcPr>
            <w:tcW w:w="481" w:type="pct"/>
            <w:tcBorders>
              <w:top w:val="nil"/>
              <w:left w:val="nil"/>
              <w:bottom w:val="nil"/>
              <w:right w:val="nil"/>
            </w:tcBorders>
            <w:shd w:val="clear" w:color="auto" w:fill="auto"/>
            <w:noWrap/>
            <w:vAlign w:val="center"/>
          </w:tcPr>
          <w:p w14:paraId="78B8A69C" w14:textId="10D9009B"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114.033</w:t>
            </w:r>
          </w:p>
        </w:tc>
        <w:tc>
          <w:tcPr>
            <w:tcW w:w="343" w:type="pct"/>
            <w:tcBorders>
              <w:top w:val="nil"/>
              <w:left w:val="nil"/>
              <w:bottom w:val="nil"/>
              <w:right w:val="nil"/>
            </w:tcBorders>
            <w:shd w:val="clear" w:color="auto" w:fill="auto"/>
            <w:noWrap/>
            <w:vAlign w:val="center"/>
          </w:tcPr>
          <w:p w14:paraId="5EDCB77D" w14:textId="6FF8F74C" w:rsidR="00DF1B07" w:rsidRPr="00FD6941" w:rsidRDefault="003C5B09" w:rsidP="00DF1B07">
            <w:pPr>
              <w:jc w:val="right"/>
              <w:rPr>
                <w:rFonts w:ascii="CAIXA Std Book" w:hAnsi="CAIXA Std Book" w:cs="Arial"/>
                <w:color w:val="005CA9"/>
                <w:sz w:val="16"/>
                <w:szCs w:val="16"/>
              </w:rPr>
            </w:pPr>
            <w:r>
              <w:rPr>
                <w:rFonts w:ascii="CAIXA Std Book" w:hAnsi="CAIXA Std Book" w:cs="Arial"/>
                <w:color w:val="005CA9"/>
                <w:sz w:val="16"/>
                <w:szCs w:val="16"/>
              </w:rPr>
              <w:t>(</w:t>
            </w:r>
            <w:r w:rsidR="00DF1B07">
              <w:rPr>
                <w:rFonts w:ascii="CAIXA Std Book" w:hAnsi="CAIXA Std Book" w:cs="Arial"/>
                <w:color w:val="005CA9"/>
                <w:sz w:val="16"/>
                <w:szCs w:val="16"/>
              </w:rPr>
              <w:t>87.646</w:t>
            </w: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54782A53" w14:textId="3D341944" w:rsidR="00DF1B07" w:rsidRPr="00FD6941" w:rsidRDefault="003C5B09" w:rsidP="00DF1B07">
            <w:pPr>
              <w:jc w:val="right"/>
              <w:rPr>
                <w:rFonts w:ascii="CAIXA Std Book" w:hAnsi="CAIXA Std Book" w:cs="Arial"/>
                <w:color w:val="005CA9"/>
                <w:sz w:val="16"/>
                <w:szCs w:val="16"/>
              </w:rPr>
            </w:pPr>
            <w:r>
              <w:rPr>
                <w:rFonts w:ascii="CAIXA Std Book" w:hAnsi="CAIXA Std Book" w:cs="Arial"/>
                <w:color w:val="005CA9"/>
                <w:sz w:val="16"/>
                <w:szCs w:val="16"/>
              </w:rPr>
              <w:t>(</w:t>
            </w:r>
            <w:r w:rsidR="00DF1B07">
              <w:rPr>
                <w:rFonts w:ascii="CAIXA Std Book" w:hAnsi="CAIXA Std Book" w:cs="Arial"/>
                <w:color w:val="005CA9"/>
                <w:sz w:val="16"/>
                <w:szCs w:val="16"/>
              </w:rPr>
              <w:t>2.647</w:t>
            </w:r>
            <w:r>
              <w:rPr>
                <w:rFonts w:ascii="CAIXA Std Book" w:hAnsi="CAIXA Std Book" w:cs="Arial"/>
                <w:color w:val="005CA9"/>
                <w:sz w:val="16"/>
                <w:szCs w:val="16"/>
              </w:rPr>
              <w:t>)</w:t>
            </w:r>
          </w:p>
        </w:tc>
        <w:tc>
          <w:tcPr>
            <w:tcW w:w="479" w:type="pct"/>
            <w:tcBorders>
              <w:top w:val="nil"/>
              <w:left w:val="nil"/>
              <w:bottom w:val="nil"/>
              <w:right w:val="nil"/>
            </w:tcBorders>
            <w:shd w:val="clear" w:color="auto" w:fill="auto"/>
            <w:noWrap/>
            <w:vAlign w:val="center"/>
          </w:tcPr>
          <w:p w14:paraId="20FC8BEB" w14:textId="0B589227"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23.740</w:t>
            </w:r>
          </w:p>
        </w:tc>
        <w:tc>
          <w:tcPr>
            <w:tcW w:w="487" w:type="pct"/>
            <w:tcBorders>
              <w:top w:val="nil"/>
              <w:left w:val="nil"/>
              <w:bottom w:val="nil"/>
              <w:right w:val="nil"/>
            </w:tcBorders>
            <w:shd w:val="clear" w:color="auto" w:fill="auto"/>
            <w:noWrap/>
            <w:vAlign w:val="center"/>
          </w:tcPr>
          <w:p w14:paraId="13908114" w14:textId="6B153568"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23.740</w:t>
            </w:r>
          </w:p>
        </w:tc>
        <w:tc>
          <w:tcPr>
            <w:tcW w:w="438" w:type="pct"/>
            <w:tcBorders>
              <w:top w:val="nil"/>
              <w:left w:val="nil"/>
              <w:bottom w:val="nil"/>
              <w:right w:val="nil"/>
            </w:tcBorders>
            <w:shd w:val="clear" w:color="auto" w:fill="auto"/>
            <w:noWrap/>
            <w:vAlign w:val="center"/>
            <w:hideMark/>
          </w:tcPr>
          <w:p w14:paraId="29B4936A" w14:textId="7569C21B"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124.654</w:t>
            </w:r>
          </w:p>
        </w:tc>
        <w:tc>
          <w:tcPr>
            <w:tcW w:w="356" w:type="pct"/>
            <w:tcBorders>
              <w:top w:val="nil"/>
              <w:left w:val="nil"/>
              <w:bottom w:val="nil"/>
              <w:right w:val="nil"/>
            </w:tcBorders>
            <w:shd w:val="clear" w:color="auto" w:fill="auto"/>
            <w:noWrap/>
            <w:vAlign w:val="center"/>
            <w:hideMark/>
          </w:tcPr>
          <w:p w14:paraId="0F88175D" w14:textId="7548882E"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(84.010)</w:t>
            </w:r>
          </w:p>
        </w:tc>
        <w:tc>
          <w:tcPr>
            <w:tcW w:w="329" w:type="pct"/>
            <w:tcBorders>
              <w:top w:val="nil"/>
              <w:left w:val="nil"/>
              <w:bottom w:val="nil"/>
              <w:right w:val="nil"/>
            </w:tcBorders>
            <w:shd w:val="clear" w:color="auto" w:fill="auto"/>
            <w:noWrap/>
            <w:vAlign w:val="center"/>
            <w:hideMark/>
          </w:tcPr>
          <w:p w14:paraId="72F4F3B1" w14:textId="7A9D4F0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(10.162)</w:t>
            </w:r>
          </w:p>
        </w:tc>
        <w:tc>
          <w:tcPr>
            <w:tcW w:w="382" w:type="pct"/>
            <w:tcBorders>
              <w:top w:val="nil"/>
              <w:left w:val="nil"/>
              <w:bottom w:val="nil"/>
              <w:right w:val="nil"/>
            </w:tcBorders>
            <w:shd w:val="clear" w:color="auto" w:fill="auto"/>
            <w:noWrap/>
            <w:vAlign w:val="center"/>
            <w:hideMark/>
          </w:tcPr>
          <w:p w14:paraId="3A35D43F" w14:textId="416B277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30.482</w:t>
            </w:r>
          </w:p>
        </w:tc>
        <w:tc>
          <w:tcPr>
            <w:tcW w:w="382" w:type="pct"/>
            <w:tcBorders>
              <w:top w:val="nil"/>
              <w:left w:val="nil"/>
              <w:bottom w:val="nil"/>
              <w:right w:val="nil"/>
            </w:tcBorders>
            <w:shd w:val="clear" w:color="auto" w:fill="auto"/>
            <w:noWrap/>
            <w:vAlign w:val="center"/>
            <w:hideMark/>
          </w:tcPr>
          <w:p w14:paraId="3E1C53F9" w14:textId="321F6809"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30.482</w:t>
            </w:r>
          </w:p>
        </w:tc>
      </w:tr>
      <w:tr w:rsidR="00DF1B07" w:rsidRPr="00A33766" w14:paraId="4452E422" w14:textId="77777777" w:rsidTr="008F3E16">
        <w:trPr>
          <w:trHeight w:val="283"/>
        </w:trPr>
        <w:tc>
          <w:tcPr>
            <w:tcW w:w="980" w:type="pct"/>
            <w:tcBorders>
              <w:top w:val="nil"/>
              <w:left w:val="nil"/>
              <w:bottom w:val="nil"/>
              <w:right w:val="nil"/>
            </w:tcBorders>
            <w:shd w:val="clear" w:color="auto" w:fill="auto"/>
            <w:noWrap/>
            <w:vAlign w:val="center"/>
            <w:hideMark/>
          </w:tcPr>
          <w:p w14:paraId="0634A343"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Letras financeiras</w:t>
            </w:r>
          </w:p>
        </w:tc>
        <w:tc>
          <w:tcPr>
            <w:tcW w:w="481" w:type="pct"/>
            <w:tcBorders>
              <w:top w:val="nil"/>
              <w:left w:val="nil"/>
              <w:bottom w:val="nil"/>
              <w:right w:val="nil"/>
            </w:tcBorders>
            <w:shd w:val="clear" w:color="auto" w:fill="auto"/>
            <w:noWrap/>
            <w:vAlign w:val="center"/>
          </w:tcPr>
          <w:p w14:paraId="2C68036E" w14:textId="29D819E7"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4.167.919</w:t>
            </w:r>
          </w:p>
        </w:tc>
        <w:tc>
          <w:tcPr>
            <w:tcW w:w="343" w:type="pct"/>
            <w:tcBorders>
              <w:top w:val="nil"/>
              <w:left w:val="nil"/>
              <w:bottom w:val="nil"/>
              <w:right w:val="nil"/>
            </w:tcBorders>
            <w:shd w:val="clear" w:color="auto" w:fill="auto"/>
            <w:noWrap/>
            <w:vAlign w:val="center"/>
          </w:tcPr>
          <w:p w14:paraId="2D584E61" w14:textId="0FEB65EA"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2FC3BAA7" w14:textId="3900102F"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66.982</w:t>
            </w:r>
          </w:p>
        </w:tc>
        <w:tc>
          <w:tcPr>
            <w:tcW w:w="479" w:type="pct"/>
            <w:tcBorders>
              <w:top w:val="nil"/>
              <w:left w:val="nil"/>
              <w:bottom w:val="nil"/>
              <w:right w:val="nil"/>
            </w:tcBorders>
            <w:shd w:val="clear" w:color="auto" w:fill="auto"/>
            <w:noWrap/>
            <w:vAlign w:val="center"/>
          </w:tcPr>
          <w:p w14:paraId="02DC633A" w14:textId="1EE26BEE"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4.234.901</w:t>
            </w:r>
          </w:p>
        </w:tc>
        <w:tc>
          <w:tcPr>
            <w:tcW w:w="487" w:type="pct"/>
            <w:tcBorders>
              <w:top w:val="nil"/>
              <w:left w:val="nil"/>
              <w:bottom w:val="nil"/>
              <w:right w:val="nil"/>
            </w:tcBorders>
            <w:shd w:val="clear" w:color="auto" w:fill="auto"/>
            <w:noWrap/>
            <w:vAlign w:val="center"/>
          </w:tcPr>
          <w:p w14:paraId="5BD75148" w14:textId="66E859C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4.234.901</w:t>
            </w:r>
          </w:p>
        </w:tc>
        <w:tc>
          <w:tcPr>
            <w:tcW w:w="438" w:type="pct"/>
            <w:tcBorders>
              <w:top w:val="nil"/>
              <w:left w:val="nil"/>
              <w:bottom w:val="nil"/>
              <w:right w:val="nil"/>
            </w:tcBorders>
            <w:shd w:val="clear" w:color="auto" w:fill="auto"/>
            <w:noWrap/>
            <w:vAlign w:val="center"/>
            <w:hideMark/>
          </w:tcPr>
          <w:p w14:paraId="6E560D40" w14:textId="06E50496"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4.621.334</w:t>
            </w:r>
          </w:p>
        </w:tc>
        <w:tc>
          <w:tcPr>
            <w:tcW w:w="356" w:type="pct"/>
            <w:tcBorders>
              <w:top w:val="nil"/>
              <w:left w:val="nil"/>
              <w:bottom w:val="nil"/>
              <w:right w:val="nil"/>
            </w:tcBorders>
            <w:shd w:val="clear" w:color="auto" w:fill="auto"/>
            <w:noWrap/>
            <w:vAlign w:val="center"/>
            <w:hideMark/>
          </w:tcPr>
          <w:p w14:paraId="764735C6" w14:textId="2A23707E"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24E6F1EE" w14:textId="75D7326B"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80.880</w:t>
            </w:r>
          </w:p>
        </w:tc>
        <w:tc>
          <w:tcPr>
            <w:tcW w:w="382" w:type="pct"/>
            <w:tcBorders>
              <w:top w:val="nil"/>
              <w:left w:val="nil"/>
              <w:bottom w:val="nil"/>
              <w:right w:val="nil"/>
            </w:tcBorders>
            <w:shd w:val="clear" w:color="auto" w:fill="auto"/>
            <w:noWrap/>
            <w:vAlign w:val="center"/>
            <w:hideMark/>
          </w:tcPr>
          <w:p w14:paraId="4ADBFAD2" w14:textId="766DC1AF"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4.702.214</w:t>
            </w:r>
          </w:p>
        </w:tc>
        <w:tc>
          <w:tcPr>
            <w:tcW w:w="382" w:type="pct"/>
            <w:tcBorders>
              <w:top w:val="nil"/>
              <w:left w:val="nil"/>
              <w:bottom w:val="nil"/>
              <w:right w:val="nil"/>
            </w:tcBorders>
            <w:shd w:val="clear" w:color="auto" w:fill="auto"/>
            <w:noWrap/>
            <w:vAlign w:val="center"/>
            <w:hideMark/>
          </w:tcPr>
          <w:p w14:paraId="74322F70" w14:textId="4A9BA3DE"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4.702.214</w:t>
            </w:r>
          </w:p>
        </w:tc>
      </w:tr>
      <w:tr w:rsidR="00DF1B07" w:rsidRPr="00A33766" w14:paraId="2BD9B7CA" w14:textId="77777777" w:rsidTr="008F3E16">
        <w:trPr>
          <w:trHeight w:val="283"/>
        </w:trPr>
        <w:tc>
          <w:tcPr>
            <w:tcW w:w="980" w:type="pct"/>
            <w:tcBorders>
              <w:top w:val="nil"/>
              <w:left w:val="nil"/>
              <w:bottom w:val="nil"/>
              <w:right w:val="nil"/>
            </w:tcBorders>
            <w:shd w:val="clear" w:color="auto" w:fill="auto"/>
            <w:noWrap/>
            <w:vAlign w:val="center"/>
          </w:tcPr>
          <w:p w14:paraId="49197AC7" w14:textId="0F576EDE"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Nota Comercial</w:t>
            </w:r>
          </w:p>
        </w:tc>
        <w:tc>
          <w:tcPr>
            <w:tcW w:w="481" w:type="pct"/>
            <w:tcBorders>
              <w:top w:val="nil"/>
              <w:left w:val="nil"/>
              <w:bottom w:val="nil"/>
              <w:right w:val="nil"/>
            </w:tcBorders>
            <w:shd w:val="clear" w:color="auto" w:fill="auto"/>
            <w:noWrap/>
            <w:vAlign w:val="center"/>
          </w:tcPr>
          <w:p w14:paraId="7188076C" w14:textId="6E1D5437"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500.000</w:t>
            </w:r>
          </w:p>
        </w:tc>
        <w:tc>
          <w:tcPr>
            <w:tcW w:w="343" w:type="pct"/>
            <w:tcBorders>
              <w:top w:val="nil"/>
              <w:left w:val="nil"/>
              <w:bottom w:val="nil"/>
              <w:right w:val="nil"/>
            </w:tcBorders>
            <w:shd w:val="clear" w:color="auto" w:fill="auto"/>
            <w:noWrap/>
            <w:vAlign w:val="center"/>
          </w:tcPr>
          <w:p w14:paraId="0A919FFE" w14:textId="5E3037AB"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0FB37A2A" w14:textId="463874C7"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5.111</w:t>
            </w:r>
          </w:p>
        </w:tc>
        <w:tc>
          <w:tcPr>
            <w:tcW w:w="479" w:type="pct"/>
            <w:tcBorders>
              <w:top w:val="nil"/>
              <w:left w:val="nil"/>
              <w:bottom w:val="nil"/>
              <w:right w:val="nil"/>
            </w:tcBorders>
            <w:shd w:val="clear" w:color="auto" w:fill="auto"/>
            <w:noWrap/>
            <w:vAlign w:val="center"/>
          </w:tcPr>
          <w:p w14:paraId="73625B25" w14:textId="2A3703DB" w:rsidR="00DF1B07" w:rsidRPr="00E3248C"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505.111</w:t>
            </w:r>
          </w:p>
        </w:tc>
        <w:tc>
          <w:tcPr>
            <w:tcW w:w="487" w:type="pct"/>
            <w:tcBorders>
              <w:top w:val="nil"/>
              <w:left w:val="nil"/>
              <w:bottom w:val="nil"/>
              <w:right w:val="nil"/>
            </w:tcBorders>
            <w:shd w:val="clear" w:color="auto" w:fill="auto"/>
            <w:noWrap/>
            <w:vAlign w:val="center"/>
          </w:tcPr>
          <w:p w14:paraId="1F4F9BFF" w14:textId="3CA3CC99" w:rsidR="00DF1B07" w:rsidRPr="00E3248C"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505.111</w:t>
            </w:r>
          </w:p>
        </w:tc>
        <w:tc>
          <w:tcPr>
            <w:tcW w:w="438" w:type="pct"/>
            <w:tcBorders>
              <w:top w:val="nil"/>
              <w:left w:val="nil"/>
              <w:bottom w:val="nil"/>
              <w:right w:val="nil"/>
            </w:tcBorders>
            <w:shd w:val="clear" w:color="auto" w:fill="auto"/>
            <w:noWrap/>
            <w:vAlign w:val="center"/>
          </w:tcPr>
          <w:p w14:paraId="4C203B5C" w14:textId="01626000" w:rsidR="00DF1B07" w:rsidRPr="00DF42B2" w:rsidRDefault="00DF1B07" w:rsidP="00DF1B07">
            <w:pPr>
              <w:ind w:firstLineChars="100" w:firstLine="160"/>
              <w:jc w:val="center"/>
              <w:rPr>
                <w:rFonts w:ascii="CAIXA Std Book" w:hAnsi="CAIXA Std Book" w:cs="Arial"/>
                <w:color w:val="005CA9"/>
                <w:sz w:val="16"/>
                <w:szCs w:val="16"/>
              </w:rPr>
            </w:pPr>
            <w:r>
              <w:rPr>
                <w:rFonts w:ascii="CAIXA Std Book" w:hAnsi="CAIXA Std Book" w:cs="Arial"/>
                <w:color w:val="005CA9"/>
                <w:sz w:val="16"/>
                <w:szCs w:val="16"/>
              </w:rPr>
              <w:t>-</w:t>
            </w:r>
          </w:p>
        </w:tc>
        <w:tc>
          <w:tcPr>
            <w:tcW w:w="356" w:type="pct"/>
            <w:tcBorders>
              <w:top w:val="nil"/>
              <w:left w:val="nil"/>
              <w:bottom w:val="nil"/>
              <w:right w:val="nil"/>
            </w:tcBorders>
            <w:shd w:val="clear" w:color="auto" w:fill="auto"/>
            <w:noWrap/>
            <w:vAlign w:val="center"/>
          </w:tcPr>
          <w:p w14:paraId="0B921B55" w14:textId="2A14EDDB" w:rsidR="00DF1B07" w:rsidRPr="00DF42B2" w:rsidRDefault="00DF1B07"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tcPr>
          <w:p w14:paraId="7F2F365C" w14:textId="0EF89735" w:rsidR="00DF1B07" w:rsidRPr="00DF42B2" w:rsidRDefault="00DF1B07"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tcPr>
          <w:p w14:paraId="51456740" w14:textId="773091FE" w:rsidR="00DF1B07" w:rsidRPr="00DF42B2" w:rsidRDefault="00DF1B07"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tcPr>
          <w:p w14:paraId="6E96D797" w14:textId="31B631FF" w:rsidR="00DF1B07" w:rsidRPr="00DF42B2" w:rsidRDefault="00DF1B07"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r>
      <w:tr w:rsidR="00DF1B07" w:rsidRPr="00A33766" w14:paraId="21B90FFF" w14:textId="77777777" w:rsidTr="008F3E16">
        <w:trPr>
          <w:trHeight w:val="283"/>
        </w:trPr>
        <w:tc>
          <w:tcPr>
            <w:tcW w:w="980" w:type="pct"/>
            <w:tcBorders>
              <w:top w:val="nil"/>
              <w:left w:val="nil"/>
              <w:bottom w:val="nil"/>
              <w:right w:val="nil"/>
            </w:tcBorders>
            <w:shd w:val="clear" w:color="auto" w:fill="auto"/>
            <w:vAlign w:val="center"/>
            <w:hideMark/>
          </w:tcPr>
          <w:p w14:paraId="3B06BD5A" w14:textId="77777777" w:rsidR="00DF1B07" w:rsidRPr="00710F7E" w:rsidRDefault="00DF1B07" w:rsidP="00DF1B07">
            <w:pP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Total – TVM Categorias</w:t>
            </w:r>
          </w:p>
        </w:tc>
        <w:tc>
          <w:tcPr>
            <w:tcW w:w="481" w:type="pct"/>
            <w:tcBorders>
              <w:top w:val="nil"/>
              <w:left w:val="nil"/>
              <w:bottom w:val="nil"/>
              <w:right w:val="nil"/>
            </w:tcBorders>
            <w:shd w:val="clear" w:color="auto" w:fill="auto"/>
            <w:noWrap/>
            <w:vAlign w:val="center"/>
          </w:tcPr>
          <w:p w14:paraId="0C9AE6BD" w14:textId="2A3703A4" w:rsidR="00DF1B07" w:rsidRPr="00FD6941" w:rsidRDefault="00DF1B07" w:rsidP="00DF1B07">
            <w:pPr>
              <w:ind w:firstLineChars="100" w:firstLine="157"/>
              <w:jc w:val="right"/>
              <w:rPr>
                <w:rFonts w:ascii="CAIXA Std Book" w:hAnsi="CAIXA Std Book" w:cs="Arial"/>
                <w:b/>
                <w:color w:val="005CA9"/>
                <w:sz w:val="16"/>
                <w:szCs w:val="16"/>
              </w:rPr>
            </w:pPr>
            <w:r>
              <w:rPr>
                <w:rFonts w:ascii="CAIXA Std Book" w:hAnsi="CAIXA Std Book" w:cs="Arial"/>
                <w:b/>
                <w:bCs/>
                <w:color w:val="005CA9"/>
                <w:sz w:val="16"/>
                <w:szCs w:val="16"/>
              </w:rPr>
              <w:t>281.973.565</w:t>
            </w:r>
          </w:p>
        </w:tc>
        <w:tc>
          <w:tcPr>
            <w:tcW w:w="343" w:type="pct"/>
            <w:tcBorders>
              <w:top w:val="nil"/>
              <w:left w:val="nil"/>
              <w:bottom w:val="nil"/>
              <w:right w:val="nil"/>
            </w:tcBorders>
            <w:shd w:val="clear" w:color="auto" w:fill="auto"/>
            <w:noWrap/>
            <w:vAlign w:val="center"/>
          </w:tcPr>
          <w:p w14:paraId="2D928740" w14:textId="02914DF9" w:rsidR="00DF1B07" w:rsidRPr="00346286" w:rsidRDefault="00DF1B07" w:rsidP="00DF1B07">
            <w:pPr>
              <w:jc w:val="right"/>
              <w:rPr>
                <w:rFonts w:ascii="CAIXA Std Book" w:hAnsi="CAIXA Std Book" w:cs="Arial"/>
                <w:b/>
                <w:bCs/>
                <w:color w:val="005CA9"/>
                <w:sz w:val="16"/>
                <w:szCs w:val="16"/>
              </w:rPr>
            </w:pPr>
            <w:r>
              <w:rPr>
                <w:rFonts w:ascii="CAIXA Std Book" w:hAnsi="CAIXA Std Book" w:cs="Arial"/>
                <w:b/>
                <w:bCs/>
                <w:color w:val="005CA9"/>
                <w:sz w:val="16"/>
                <w:szCs w:val="16"/>
              </w:rPr>
              <w:t>1.198.867</w:t>
            </w:r>
          </w:p>
        </w:tc>
        <w:tc>
          <w:tcPr>
            <w:tcW w:w="343" w:type="pct"/>
            <w:tcBorders>
              <w:top w:val="nil"/>
              <w:left w:val="nil"/>
              <w:bottom w:val="nil"/>
              <w:right w:val="nil"/>
            </w:tcBorders>
            <w:shd w:val="clear" w:color="auto" w:fill="auto"/>
            <w:noWrap/>
            <w:vAlign w:val="center"/>
          </w:tcPr>
          <w:p w14:paraId="695B6AA1" w14:textId="2643486C" w:rsidR="00DF1B07" w:rsidRPr="00346286" w:rsidRDefault="00DF1B07" w:rsidP="00DF1B07">
            <w:pPr>
              <w:jc w:val="right"/>
              <w:rPr>
                <w:rFonts w:ascii="CAIXA Std Book" w:hAnsi="CAIXA Std Book" w:cs="Arial"/>
                <w:b/>
                <w:bCs/>
                <w:color w:val="005CA9"/>
                <w:sz w:val="16"/>
                <w:szCs w:val="16"/>
              </w:rPr>
            </w:pPr>
            <w:r>
              <w:rPr>
                <w:rFonts w:ascii="CAIXA Std Book" w:hAnsi="CAIXA Std Book" w:cs="Arial"/>
                <w:b/>
                <w:bCs/>
                <w:color w:val="005CA9"/>
                <w:sz w:val="16"/>
                <w:szCs w:val="16"/>
              </w:rPr>
              <w:t>1.293.868</w:t>
            </w:r>
          </w:p>
        </w:tc>
        <w:tc>
          <w:tcPr>
            <w:tcW w:w="479" w:type="pct"/>
            <w:tcBorders>
              <w:top w:val="nil"/>
              <w:left w:val="nil"/>
              <w:bottom w:val="nil"/>
              <w:right w:val="nil"/>
            </w:tcBorders>
            <w:shd w:val="clear" w:color="auto" w:fill="auto"/>
            <w:noWrap/>
            <w:vAlign w:val="center"/>
          </w:tcPr>
          <w:p w14:paraId="73168E28" w14:textId="30471619"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284.466.300</w:t>
            </w:r>
          </w:p>
        </w:tc>
        <w:tc>
          <w:tcPr>
            <w:tcW w:w="487" w:type="pct"/>
            <w:tcBorders>
              <w:top w:val="nil"/>
              <w:left w:val="nil"/>
              <w:bottom w:val="nil"/>
              <w:right w:val="nil"/>
            </w:tcBorders>
            <w:shd w:val="clear" w:color="auto" w:fill="auto"/>
            <w:noWrap/>
            <w:vAlign w:val="center"/>
          </w:tcPr>
          <w:p w14:paraId="43589568" w14:textId="300FD8DC"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283.943.595</w:t>
            </w:r>
          </w:p>
        </w:tc>
        <w:tc>
          <w:tcPr>
            <w:tcW w:w="438" w:type="pct"/>
            <w:tcBorders>
              <w:top w:val="nil"/>
              <w:left w:val="nil"/>
              <w:bottom w:val="nil"/>
              <w:right w:val="nil"/>
            </w:tcBorders>
            <w:shd w:val="clear" w:color="auto" w:fill="auto"/>
            <w:noWrap/>
            <w:vAlign w:val="center"/>
            <w:hideMark/>
          </w:tcPr>
          <w:p w14:paraId="3868A0CE" w14:textId="5F364A14"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275.172.546</w:t>
            </w:r>
          </w:p>
        </w:tc>
        <w:tc>
          <w:tcPr>
            <w:tcW w:w="356" w:type="pct"/>
            <w:tcBorders>
              <w:top w:val="nil"/>
              <w:left w:val="nil"/>
              <w:bottom w:val="nil"/>
              <w:right w:val="nil"/>
            </w:tcBorders>
            <w:shd w:val="clear" w:color="auto" w:fill="auto"/>
            <w:noWrap/>
            <w:vAlign w:val="center"/>
            <w:hideMark/>
          </w:tcPr>
          <w:p w14:paraId="20EDD980" w14:textId="59082CEC"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2.930.851</w:t>
            </w:r>
          </w:p>
        </w:tc>
        <w:tc>
          <w:tcPr>
            <w:tcW w:w="329" w:type="pct"/>
            <w:tcBorders>
              <w:top w:val="nil"/>
              <w:left w:val="nil"/>
              <w:bottom w:val="nil"/>
              <w:right w:val="nil"/>
            </w:tcBorders>
            <w:shd w:val="clear" w:color="auto" w:fill="auto"/>
            <w:noWrap/>
            <w:vAlign w:val="center"/>
            <w:hideMark/>
          </w:tcPr>
          <w:p w14:paraId="5FBDD518" w14:textId="6C2F6C9A"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1.157.184</w:t>
            </w:r>
          </w:p>
        </w:tc>
        <w:tc>
          <w:tcPr>
            <w:tcW w:w="382" w:type="pct"/>
            <w:tcBorders>
              <w:top w:val="nil"/>
              <w:left w:val="nil"/>
              <w:bottom w:val="nil"/>
              <w:right w:val="nil"/>
            </w:tcBorders>
            <w:shd w:val="clear" w:color="auto" w:fill="auto"/>
            <w:noWrap/>
            <w:vAlign w:val="center"/>
            <w:hideMark/>
          </w:tcPr>
          <w:p w14:paraId="10A4F282" w14:textId="55B6C63F" w:rsidR="00DF1B07" w:rsidRPr="00FD6941"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279.260.581</w:t>
            </w:r>
          </w:p>
        </w:tc>
        <w:tc>
          <w:tcPr>
            <w:tcW w:w="382" w:type="pct"/>
            <w:tcBorders>
              <w:top w:val="nil"/>
              <w:left w:val="nil"/>
              <w:bottom w:val="nil"/>
              <w:right w:val="nil"/>
            </w:tcBorders>
            <w:shd w:val="clear" w:color="auto" w:fill="auto"/>
            <w:noWrap/>
            <w:vAlign w:val="center"/>
            <w:hideMark/>
          </w:tcPr>
          <w:p w14:paraId="22F81136" w14:textId="398AF69F"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278.874.384</w:t>
            </w:r>
          </w:p>
        </w:tc>
      </w:tr>
      <w:tr w:rsidR="00DF1B07" w:rsidRPr="00A33766" w14:paraId="049EEC34" w14:textId="77777777" w:rsidTr="008F3E16">
        <w:trPr>
          <w:trHeight w:val="283"/>
        </w:trPr>
        <w:tc>
          <w:tcPr>
            <w:tcW w:w="980" w:type="pct"/>
            <w:tcBorders>
              <w:top w:val="nil"/>
              <w:left w:val="nil"/>
              <w:bottom w:val="nil"/>
              <w:right w:val="nil"/>
            </w:tcBorders>
            <w:shd w:val="clear" w:color="auto" w:fill="auto"/>
            <w:vAlign w:val="center"/>
            <w:hideMark/>
          </w:tcPr>
          <w:p w14:paraId="53A77922"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Para negociação</w:t>
            </w:r>
          </w:p>
        </w:tc>
        <w:tc>
          <w:tcPr>
            <w:tcW w:w="481" w:type="pct"/>
            <w:tcBorders>
              <w:top w:val="nil"/>
              <w:left w:val="nil"/>
              <w:bottom w:val="nil"/>
              <w:right w:val="nil"/>
            </w:tcBorders>
            <w:shd w:val="clear" w:color="auto" w:fill="auto"/>
            <w:noWrap/>
            <w:vAlign w:val="center"/>
          </w:tcPr>
          <w:p w14:paraId="5ADF02D6" w14:textId="361AC46F"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127.243.142</w:t>
            </w:r>
          </w:p>
        </w:tc>
        <w:tc>
          <w:tcPr>
            <w:tcW w:w="343" w:type="pct"/>
            <w:tcBorders>
              <w:top w:val="nil"/>
              <w:left w:val="nil"/>
              <w:bottom w:val="nil"/>
              <w:right w:val="nil"/>
            </w:tcBorders>
            <w:shd w:val="clear" w:color="auto" w:fill="auto"/>
            <w:noWrap/>
            <w:vAlign w:val="center"/>
          </w:tcPr>
          <w:p w14:paraId="387CC4C1" w14:textId="4B8AB3BA" w:rsidR="00DF1B07" w:rsidRPr="00FD6941"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1.198.867</w:t>
            </w:r>
          </w:p>
        </w:tc>
        <w:tc>
          <w:tcPr>
            <w:tcW w:w="343" w:type="pct"/>
            <w:tcBorders>
              <w:top w:val="nil"/>
              <w:left w:val="nil"/>
              <w:bottom w:val="nil"/>
              <w:right w:val="nil"/>
            </w:tcBorders>
            <w:shd w:val="clear" w:color="auto" w:fill="auto"/>
            <w:noWrap/>
            <w:vAlign w:val="center"/>
          </w:tcPr>
          <w:p w14:paraId="2594E101" w14:textId="48A77F97" w:rsidR="00DF1B07" w:rsidRPr="00FD6941"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79" w:type="pct"/>
            <w:tcBorders>
              <w:top w:val="nil"/>
              <w:left w:val="nil"/>
              <w:bottom w:val="nil"/>
              <w:right w:val="nil"/>
            </w:tcBorders>
            <w:shd w:val="clear" w:color="auto" w:fill="auto"/>
            <w:noWrap/>
            <w:vAlign w:val="center"/>
          </w:tcPr>
          <w:p w14:paraId="5B88A260" w14:textId="31697BF5"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128.442.009</w:t>
            </w:r>
          </w:p>
        </w:tc>
        <w:tc>
          <w:tcPr>
            <w:tcW w:w="487" w:type="pct"/>
            <w:tcBorders>
              <w:top w:val="nil"/>
              <w:left w:val="nil"/>
              <w:bottom w:val="nil"/>
              <w:right w:val="nil"/>
            </w:tcBorders>
            <w:shd w:val="clear" w:color="auto" w:fill="auto"/>
            <w:noWrap/>
            <w:vAlign w:val="center"/>
          </w:tcPr>
          <w:p w14:paraId="23CA33DD" w14:textId="4582F1E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128.442.009</w:t>
            </w:r>
          </w:p>
        </w:tc>
        <w:tc>
          <w:tcPr>
            <w:tcW w:w="438" w:type="pct"/>
            <w:tcBorders>
              <w:top w:val="nil"/>
              <w:left w:val="nil"/>
              <w:bottom w:val="nil"/>
              <w:right w:val="nil"/>
            </w:tcBorders>
            <w:shd w:val="clear" w:color="auto" w:fill="auto"/>
            <w:noWrap/>
            <w:vAlign w:val="center"/>
            <w:hideMark/>
          </w:tcPr>
          <w:p w14:paraId="1F3469D9" w14:textId="2FFDAA90"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134.309.196</w:t>
            </w:r>
          </w:p>
        </w:tc>
        <w:tc>
          <w:tcPr>
            <w:tcW w:w="356" w:type="pct"/>
            <w:tcBorders>
              <w:top w:val="nil"/>
              <w:left w:val="nil"/>
              <w:bottom w:val="nil"/>
              <w:right w:val="nil"/>
            </w:tcBorders>
            <w:shd w:val="clear" w:color="auto" w:fill="auto"/>
            <w:noWrap/>
            <w:vAlign w:val="center"/>
            <w:hideMark/>
          </w:tcPr>
          <w:p w14:paraId="38CD6507" w14:textId="5A987C3D"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2.930.851</w:t>
            </w:r>
          </w:p>
        </w:tc>
        <w:tc>
          <w:tcPr>
            <w:tcW w:w="329" w:type="pct"/>
            <w:tcBorders>
              <w:top w:val="nil"/>
              <w:left w:val="nil"/>
              <w:bottom w:val="nil"/>
              <w:right w:val="nil"/>
            </w:tcBorders>
            <w:shd w:val="clear" w:color="auto" w:fill="auto"/>
            <w:noWrap/>
            <w:vAlign w:val="center"/>
            <w:hideMark/>
          </w:tcPr>
          <w:p w14:paraId="3AA9840D" w14:textId="723F4E6C"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hideMark/>
          </w:tcPr>
          <w:p w14:paraId="143BBDA4" w14:textId="6C46A81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137.240.047</w:t>
            </w:r>
          </w:p>
        </w:tc>
        <w:tc>
          <w:tcPr>
            <w:tcW w:w="382" w:type="pct"/>
            <w:tcBorders>
              <w:top w:val="nil"/>
              <w:left w:val="nil"/>
              <w:bottom w:val="nil"/>
              <w:right w:val="nil"/>
            </w:tcBorders>
            <w:shd w:val="clear" w:color="auto" w:fill="auto"/>
            <w:noWrap/>
            <w:vAlign w:val="center"/>
            <w:hideMark/>
          </w:tcPr>
          <w:p w14:paraId="52E70B07" w14:textId="4635FD07"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137.240.047</w:t>
            </w:r>
          </w:p>
        </w:tc>
      </w:tr>
      <w:tr w:rsidR="00DF1B07" w:rsidRPr="00A33766" w14:paraId="2FFC5256" w14:textId="77777777" w:rsidTr="008F3E16">
        <w:trPr>
          <w:trHeight w:val="283"/>
        </w:trPr>
        <w:tc>
          <w:tcPr>
            <w:tcW w:w="980" w:type="pct"/>
            <w:tcBorders>
              <w:top w:val="nil"/>
              <w:left w:val="nil"/>
              <w:bottom w:val="nil"/>
              <w:right w:val="nil"/>
            </w:tcBorders>
            <w:shd w:val="clear" w:color="auto" w:fill="auto"/>
            <w:vAlign w:val="center"/>
            <w:hideMark/>
          </w:tcPr>
          <w:p w14:paraId="5FD84681"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Disponíveis para venda</w:t>
            </w:r>
          </w:p>
        </w:tc>
        <w:tc>
          <w:tcPr>
            <w:tcW w:w="481" w:type="pct"/>
            <w:tcBorders>
              <w:top w:val="nil"/>
              <w:left w:val="nil"/>
              <w:bottom w:val="nil"/>
              <w:right w:val="nil"/>
            </w:tcBorders>
            <w:shd w:val="clear" w:color="auto" w:fill="auto"/>
            <w:noWrap/>
            <w:vAlign w:val="center"/>
          </w:tcPr>
          <w:p w14:paraId="0715A4E0" w14:textId="3FA3A6D3"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149.807.338</w:t>
            </w:r>
          </w:p>
        </w:tc>
        <w:tc>
          <w:tcPr>
            <w:tcW w:w="343" w:type="pct"/>
            <w:tcBorders>
              <w:top w:val="nil"/>
              <w:left w:val="nil"/>
              <w:bottom w:val="nil"/>
              <w:right w:val="nil"/>
            </w:tcBorders>
            <w:shd w:val="clear" w:color="auto" w:fill="auto"/>
            <w:noWrap/>
            <w:vAlign w:val="center"/>
          </w:tcPr>
          <w:p w14:paraId="6462C8F7" w14:textId="36146D9A" w:rsidR="00DF1B07" w:rsidRPr="00FD6941" w:rsidRDefault="003C5B09"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nil"/>
              <w:right w:val="nil"/>
            </w:tcBorders>
            <w:shd w:val="clear" w:color="auto" w:fill="auto"/>
            <w:noWrap/>
            <w:vAlign w:val="center"/>
          </w:tcPr>
          <w:p w14:paraId="3CC49049" w14:textId="2A671901" w:rsidR="00DF1B07" w:rsidRPr="00C43289"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1.293.868</w:t>
            </w:r>
          </w:p>
        </w:tc>
        <w:tc>
          <w:tcPr>
            <w:tcW w:w="479" w:type="pct"/>
            <w:tcBorders>
              <w:top w:val="nil"/>
              <w:left w:val="nil"/>
              <w:bottom w:val="nil"/>
              <w:right w:val="nil"/>
            </w:tcBorders>
            <w:shd w:val="clear" w:color="auto" w:fill="auto"/>
            <w:noWrap/>
            <w:vAlign w:val="center"/>
          </w:tcPr>
          <w:p w14:paraId="5BE01137" w14:textId="67F6AE72"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151.101.206</w:t>
            </w:r>
          </w:p>
        </w:tc>
        <w:tc>
          <w:tcPr>
            <w:tcW w:w="487" w:type="pct"/>
            <w:tcBorders>
              <w:top w:val="nil"/>
              <w:left w:val="nil"/>
              <w:bottom w:val="nil"/>
              <w:right w:val="nil"/>
            </w:tcBorders>
            <w:shd w:val="clear" w:color="auto" w:fill="auto"/>
            <w:noWrap/>
            <w:vAlign w:val="center"/>
          </w:tcPr>
          <w:p w14:paraId="3E015CDF" w14:textId="7AFED8F8"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151.101.206</w:t>
            </w:r>
          </w:p>
        </w:tc>
        <w:tc>
          <w:tcPr>
            <w:tcW w:w="438" w:type="pct"/>
            <w:tcBorders>
              <w:top w:val="nil"/>
              <w:left w:val="nil"/>
              <w:bottom w:val="nil"/>
              <w:right w:val="nil"/>
            </w:tcBorders>
            <w:shd w:val="clear" w:color="auto" w:fill="auto"/>
            <w:noWrap/>
            <w:vAlign w:val="center"/>
            <w:hideMark/>
          </w:tcPr>
          <w:p w14:paraId="5554B472" w14:textId="4A4BBB54" w:rsidR="00DF1B07" w:rsidRPr="00FD6941" w:rsidRDefault="00DF1B07" w:rsidP="00DF1B07">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135.938.704</w:t>
            </w:r>
          </w:p>
        </w:tc>
        <w:tc>
          <w:tcPr>
            <w:tcW w:w="356" w:type="pct"/>
            <w:tcBorders>
              <w:top w:val="nil"/>
              <w:left w:val="nil"/>
              <w:bottom w:val="nil"/>
              <w:right w:val="nil"/>
            </w:tcBorders>
            <w:shd w:val="clear" w:color="auto" w:fill="auto"/>
            <w:noWrap/>
            <w:vAlign w:val="center"/>
            <w:hideMark/>
          </w:tcPr>
          <w:p w14:paraId="2D9B66A9" w14:textId="7BB9AC08"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nil"/>
              <w:right w:val="nil"/>
            </w:tcBorders>
            <w:shd w:val="clear" w:color="auto" w:fill="auto"/>
            <w:noWrap/>
            <w:vAlign w:val="center"/>
            <w:hideMark/>
          </w:tcPr>
          <w:p w14:paraId="3DBE34CA" w14:textId="16B8008C"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1.157.184</w:t>
            </w:r>
          </w:p>
        </w:tc>
        <w:tc>
          <w:tcPr>
            <w:tcW w:w="382" w:type="pct"/>
            <w:tcBorders>
              <w:top w:val="nil"/>
              <w:left w:val="nil"/>
              <w:bottom w:val="nil"/>
              <w:right w:val="nil"/>
            </w:tcBorders>
            <w:shd w:val="clear" w:color="auto" w:fill="auto"/>
            <w:noWrap/>
            <w:vAlign w:val="center"/>
            <w:hideMark/>
          </w:tcPr>
          <w:p w14:paraId="44FC0997" w14:textId="24E407F1"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137.095.888</w:t>
            </w:r>
          </w:p>
        </w:tc>
        <w:tc>
          <w:tcPr>
            <w:tcW w:w="382" w:type="pct"/>
            <w:tcBorders>
              <w:top w:val="nil"/>
              <w:left w:val="nil"/>
              <w:bottom w:val="nil"/>
              <w:right w:val="nil"/>
            </w:tcBorders>
            <w:shd w:val="clear" w:color="auto" w:fill="auto"/>
            <w:noWrap/>
            <w:vAlign w:val="center"/>
            <w:hideMark/>
          </w:tcPr>
          <w:p w14:paraId="1408C864" w14:textId="46FE07F1"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137.095.888</w:t>
            </w:r>
          </w:p>
        </w:tc>
      </w:tr>
      <w:tr w:rsidR="00DF1B07" w:rsidRPr="00A33766" w14:paraId="73F992C4" w14:textId="77777777" w:rsidTr="008C739D">
        <w:trPr>
          <w:trHeight w:val="283"/>
        </w:trPr>
        <w:tc>
          <w:tcPr>
            <w:tcW w:w="980" w:type="pct"/>
            <w:tcBorders>
              <w:top w:val="nil"/>
              <w:left w:val="nil"/>
              <w:bottom w:val="single" w:sz="4" w:space="0" w:color="F79646" w:themeColor="accent6"/>
              <w:right w:val="nil"/>
            </w:tcBorders>
            <w:shd w:val="clear" w:color="auto" w:fill="auto"/>
            <w:noWrap/>
            <w:vAlign w:val="center"/>
            <w:hideMark/>
          </w:tcPr>
          <w:p w14:paraId="7DEF74F2"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Mantidos até o vencimento</w:t>
            </w:r>
          </w:p>
        </w:tc>
        <w:tc>
          <w:tcPr>
            <w:tcW w:w="481" w:type="pct"/>
            <w:tcBorders>
              <w:top w:val="nil"/>
              <w:left w:val="nil"/>
              <w:bottom w:val="single" w:sz="4" w:space="0" w:color="F79646" w:themeColor="accent6"/>
              <w:right w:val="nil"/>
            </w:tcBorders>
            <w:shd w:val="clear" w:color="auto" w:fill="auto"/>
            <w:noWrap/>
            <w:vAlign w:val="center"/>
          </w:tcPr>
          <w:p w14:paraId="66666198" w14:textId="452D8578" w:rsidR="00DF1B07" w:rsidRPr="00FD6941" w:rsidRDefault="00DF1B07" w:rsidP="00DF1B07">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4.923.085</w:t>
            </w:r>
          </w:p>
        </w:tc>
        <w:tc>
          <w:tcPr>
            <w:tcW w:w="343" w:type="pct"/>
            <w:tcBorders>
              <w:top w:val="nil"/>
              <w:left w:val="nil"/>
              <w:bottom w:val="single" w:sz="4" w:space="0" w:color="F79646" w:themeColor="accent6"/>
              <w:right w:val="nil"/>
            </w:tcBorders>
            <w:shd w:val="clear" w:color="auto" w:fill="auto"/>
            <w:noWrap/>
            <w:vAlign w:val="center"/>
          </w:tcPr>
          <w:p w14:paraId="00BB03D3" w14:textId="31A08DB1" w:rsidR="00DF1B07" w:rsidRPr="00FD6941" w:rsidRDefault="003C5B09"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43" w:type="pct"/>
            <w:tcBorders>
              <w:top w:val="nil"/>
              <w:left w:val="nil"/>
              <w:bottom w:val="single" w:sz="4" w:space="0" w:color="F79646" w:themeColor="accent6"/>
              <w:right w:val="nil"/>
            </w:tcBorders>
            <w:shd w:val="clear" w:color="auto" w:fill="auto"/>
            <w:noWrap/>
            <w:vAlign w:val="center"/>
          </w:tcPr>
          <w:p w14:paraId="218E75F1" w14:textId="037FC37A" w:rsidR="00DF1B07" w:rsidRPr="00C43289" w:rsidRDefault="003C5B09" w:rsidP="00DF1B07">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79" w:type="pct"/>
            <w:tcBorders>
              <w:top w:val="nil"/>
              <w:left w:val="nil"/>
              <w:bottom w:val="single" w:sz="4" w:space="0" w:color="F79646" w:themeColor="accent6"/>
              <w:right w:val="nil"/>
            </w:tcBorders>
            <w:shd w:val="clear" w:color="auto" w:fill="auto"/>
            <w:noWrap/>
            <w:vAlign w:val="center"/>
          </w:tcPr>
          <w:p w14:paraId="714F728B" w14:textId="1EA22606"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4.923.085</w:t>
            </w:r>
          </w:p>
        </w:tc>
        <w:tc>
          <w:tcPr>
            <w:tcW w:w="487" w:type="pct"/>
            <w:tcBorders>
              <w:top w:val="nil"/>
              <w:left w:val="nil"/>
              <w:bottom w:val="single" w:sz="4" w:space="0" w:color="F79646" w:themeColor="accent6"/>
              <w:right w:val="nil"/>
            </w:tcBorders>
            <w:shd w:val="clear" w:color="auto" w:fill="auto"/>
            <w:noWrap/>
            <w:vAlign w:val="center"/>
          </w:tcPr>
          <w:p w14:paraId="0FEA3B98" w14:textId="144985C1"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4.400.380</w:t>
            </w:r>
          </w:p>
        </w:tc>
        <w:tc>
          <w:tcPr>
            <w:tcW w:w="438" w:type="pct"/>
            <w:tcBorders>
              <w:top w:val="nil"/>
              <w:left w:val="nil"/>
              <w:bottom w:val="single" w:sz="4" w:space="0" w:color="F79646" w:themeColor="accent6"/>
              <w:right w:val="nil"/>
            </w:tcBorders>
            <w:shd w:val="clear" w:color="auto" w:fill="auto"/>
            <w:noWrap/>
            <w:vAlign w:val="center"/>
            <w:hideMark/>
          </w:tcPr>
          <w:p w14:paraId="27FCE01B" w14:textId="177E9A41"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4.924.646</w:t>
            </w:r>
          </w:p>
        </w:tc>
        <w:tc>
          <w:tcPr>
            <w:tcW w:w="356" w:type="pct"/>
            <w:tcBorders>
              <w:top w:val="nil"/>
              <w:left w:val="nil"/>
              <w:bottom w:val="single" w:sz="4" w:space="0" w:color="F79646" w:themeColor="accent6"/>
              <w:right w:val="nil"/>
            </w:tcBorders>
            <w:shd w:val="clear" w:color="auto" w:fill="auto"/>
            <w:noWrap/>
            <w:vAlign w:val="center"/>
            <w:hideMark/>
          </w:tcPr>
          <w:p w14:paraId="2B2E33E4" w14:textId="17BCF387"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29" w:type="pct"/>
            <w:tcBorders>
              <w:top w:val="nil"/>
              <w:left w:val="nil"/>
              <w:bottom w:val="single" w:sz="4" w:space="0" w:color="F79646" w:themeColor="accent6"/>
              <w:right w:val="nil"/>
            </w:tcBorders>
            <w:shd w:val="clear" w:color="auto" w:fill="auto"/>
            <w:noWrap/>
            <w:vAlign w:val="center"/>
            <w:hideMark/>
          </w:tcPr>
          <w:p w14:paraId="268981A1" w14:textId="4D884ECF" w:rsidR="00DF1B07" w:rsidRPr="00FD6941" w:rsidRDefault="00DF1B07" w:rsidP="00DF1B07">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single" w:sz="4" w:space="0" w:color="F79646" w:themeColor="accent6"/>
              <w:right w:val="nil"/>
            </w:tcBorders>
            <w:shd w:val="clear" w:color="auto" w:fill="auto"/>
            <w:noWrap/>
            <w:vAlign w:val="center"/>
            <w:hideMark/>
          </w:tcPr>
          <w:p w14:paraId="043EC220" w14:textId="3279BDDF" w:rsidR="00DF1B07" w:rsidRPr="00FD6941"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4.924.646</w:t>
            </w:r>
          </w:p>
        </w:tc>
        <w:tc>
          <w:tcPr>
            <w:tcW w:w="382" w:type="pct"/>
            <w:tcBorders>
              <w:top w:val="nil"/>
              <w:left w:val="nil"/>
              <w:bottom w:val="nil"/>
              <w:right w:val="nil"/>
            </w:tcBorders>
            <w:shd w:val="clear" w:color="auto" w:fill="auto"/>
            <w:noWrap/>
            <w:vAlign w:val="center"/>
            <w:hideMark/>
          </w:tcPr>
          <w:p w14:paraId="76AA07C9" w14:textId="5E49A055"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4.538.449</w:t>
            </w:r>
          </w:p>
        </w:tc>
      </w:tr>
      <w:tr w:rsidR="00DF1B07" w:rsidRPr="00A33766" w14:paraId="33952951" w14:textId="77777777" w:rsidTr="008C739D">
        <w:trPr>
          <w:trHeight w:val="283"/>
        </w:trPr>
        <w:tc>
          <w:tcPr>
            <w:tcW w:w="980" w:type="pct"/>
            <w:tcBorders>
              <w:top w:val="nil"/>
              <w:left w:val="nil"/>
              <w:bottom w:val="single" w:sz="4" w:space="0" w:color="F79646" w:themeColor="accent6"/>
              <w:right w:val="nil"/>
            </w:tcBorders>
            <w:shd w:val="clear" w:color="auto" w:fill="auto"/>
            <w:noWrap/>
            <w:vAlign w:val="center"/>
            <w:hideMark/>
          </w:tcPr>
          <w:p w14:paraId="48806702" w14:textId="77777777" w:rsidR="00DF1B07" w:rsidRPr="00710F7E" w:rsidRDefault="00DF1B07" w:rsidP="00DF1B07">
            <w:pPr>
              <w:rPr>
                <w:rFonts w:ascii="CAIXA Std Book" w:eastAsia="Times New Roman" w:hAnsi="CAIXA Std Book" w:cs="Arial"/>
                <w:b/>
                <w:color w:val="005CA9"/>
                <w:sz w:val="16"/>
                <w:szCs w:val="16"/>
              </w:rPr>
            </w:pPr>
            <w:r w:rsidRPr="00710F7E">
              <w:rPr>
                <w:rFonts w:ascii="CAIXA Std Book" w:eastAsia="Times New Roman" w:hAnsi="CAIXA Std Book" w:cs="Arial"/>
                <w:b/>
                <w:color w:val="005CA9"/>
                <w:sz w:val="16"/>
                <w:szCs w:val="16"/>
              </w:rPr>
              <w:t>Total – TVM</w:t>
            </w:r>
          </w:p>
        </w:tc>
        <w:tc>
          <w:tcPr>
            <w:tcW w:w="481" w:type="pct"/>
            <w:tcBorders>
              <w:top w:val="single" w:sz="4" w:space="0" w:color="F79646" w:themeColor="accent6"/>
              <w:left w:val="nil"/>
              <w:bottom w:val="single" w:sz="4" w:space="0" w:color="F79646" w:themeColor="accent6"/>
              <w:right w:val="nil"/>
            </w:tcBorders>
            <w:shd w:val="clear" w:color="auto" w:fill="auto"/>
            <w:noWrap/>
            <w:vAlign w:val="center"/>
          </w:tcPr>
          <w:p w14:paraId="00FC90AC" w14:textId="059630BD" w:rsidR="00DF1B07" w:rsidRPr="000245DF"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281.973.565</w:t>
            </w:r>
          </w:p>
        </w:tc>
        <w:tc>
          <w:tcPr>
            <w:tcW w:w="343" w:type="pct"/>
            <w:tcBorders>
              <w:top w:val="single" w:sz="4" w:space="0" w:color="F79646" w:themeColor="accent6"/>
              <w:left w:val="nil"/>
              <w:bottom w:val="single" w:sz="4" w:space="0" w:color="F79646" w:themeColor="accent6"/>
              <w:right w:val="nil"/>
            </w:tcBorders>
            <w:shd w:val="clear" w:color="auto" w:fill="auto"/>
            <w:noWrap/>
            <w:vAlign w:val="center"/>
          </w:tcPr>
          <w:p w14:paraId="7446BAE6" w14:textId="2427AF2A" w:rsidR="00DF1B07" w:rsidRPr="000245DF"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1.198.867</w:t>
            </w:r>
          </w:p>
        </w:tc>
        <w:tc>
          <w:tcPr>
            <w:tcW w:w="343" w:type="pct"/>
            <w:tcBorders>
              <w:top w:val="single" w:sz="4" w:space="0" w:color="F79646" w:themeColor="accent6"/>
              <w:left w:val="nil"/>
              <w:bottom w:val="single" w:sz="4" w:space="0" w:color="F79646" w:themeColor="accent6"/>
              <w:right w:val="nil"/>
            </w:tcBorders>
            <w:shd w:val="clear" w:color="auto" w:fill="auto"/>
            <w:noWrap/>
            <w:vAlign w:val="center"/>
          </w:tcPr>
          <w:p w14:paraId="587CEE09" w14:textId="06C20112" w:rsidR="00DF1B07" w:rsidRPr="000245DF"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1.293.868</w:t>
            </w:r>
          </w:p>
        </w:tc>
        <w:tc>
          <w:tcPr>
            <w:tcW w:w="479" w:type="pct"/>
            <w:tcBorders>
              <w:top w:val="single" w:sz="4" w:space="0" w:color="F79646" w:themeColor="accent6"/>
              <w:left w:val="nil"/>
              <w:bottom w:val="single" w:sz="4" w:space="0" w:color="F79646" w:themeColor="accent6"/>
              <w:right w:val="nil"/>
            </w:tcBorders>
            <w:shd w:val="clear" w:color="auto" w:fill="auto"/>
            <w:noWrap/>
            <w:vAlign w:val="center"/>
          </w:tcPr>
          <w:p w14:paraId="4BC4A49D" w14:textId="01E775F9" w:rsidR="00DF1B07" w:rsidRPr="000245DF"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284.466.300</w:t>
            </w:r>
          </w:p>
        </w:tc>
        <w:tc>
          <w:tcPr>
            <w:tcW w:w="487" w:type="pct"/>
            <w:tcBorders>
              <w:top w:val="single" w:sz="4" w:space="0" w:color="F79646" w:themeColor="accent6"/>
              <w:left w:val="nil"/>
              <w:bottom w:val="single" w:sz="4" w:space="0" w:color="F79646" w:themeColor="accent6"/>
              <w:right w:val="nil"/>
            </w:tcBorders>
            <w:shd w:val="clear" w:color="auto" w:fill="auto"/>
            <w:noWrap/>
            <w:vAlign w:val="center"/>
          </w:tcPr>
          <w:p w14:paraId="51EBF09A" w14:textId="13489DBE" w:rsidR="00DF1B07" w:rsidRPr="000245DF" w:rsidRDefault="00DF1B07" w:rsidP="00DF1B07">
            <w:pPr>
              <w:jc w:val="right"/>
              <w:rPr>
                <w:rFonts w:ascii="CAIXA Std Book" w:hAnsi="CAIXA Std Book" w:cs="Arial"/>
                <w:b/>
                <w:color w:val="005CA9"/>
                <w:sz w:val="16"/>
                <w:szCs w:val="16"/>
              </w:rPr>
            </w:pPr>
            <w:r>
              <w:rPr>
                <w:rFonts w:ascii="CAIXA Std Book" w:hAnsi="CAIXA Std Book" w:cs="Arial"/>
                <w:b/>
                <w:bCs/>
                <w:color w:val="005CA9"/>
                <w:sz w:val="16"/>
                <w:szCs w:val="16"/>
              </w:rPr>
              <w:t>283.943.595</w:t>
            </w:r>
          </w:p>
        </w:tc>
        <w:tc>
          <w:tcPr>
            <w:tcW w:w="438" w:type="pct"/>
            <w:tcBorders>
              <w:top w:val="single" w:sz="4" w:space="0" w:color="F79646" w:themeColor="accent6"/>
              <w:left w:val="nil"/>
              <w:bottom w:val="single" w:sz="4" w:space="0" w:color="F79646" w:themeColor="accent6"/>
              <w:right w:val="nil"/>
            </w:tcBorders>
            <w:shd w:val="clear" w:color="auto" w:fill="auto"/>
            <w:noWrap/>
            <w:vAlign w:val="center"/>
            <w:hideMark/>
          </w:tcPr>
          <w:p w14:paraId="637A2E6B" w14:textId="7C017935"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275.172.546</w:t>
            </w:r>
          </w:p>
        </w:tc>
        <w:tc>
          <w:tcPr>
            <w:tcW w:w="356" w:type="pct"/>
            <w:tcBorders>
              <w:top w:val="single" w:sz="4" w:space="0" w:color="F79646" w:themeColor="accent6"/>
              <w:left w:val="nil"/>
              <w:bottom w:val="single" w:sz="4" w:space="0" w:color="F79646" w:themeColor="accent6"/>
              <w:right w:val="nil"/>
            </w:tcBorders>
            <w:shd w:val="clear" w:color="auto" w:fill="auto"/>
            <w:noWrap/>
            <w:vAlign w:val="center"/>
            <w:hideMark/>
          </w:tcPr>
          <w:p w14:paraId="61539CFB" w14:textId="46CF15E8"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2.930.851</w:t>
            </w:r>
          </w:p>
        </w:tc>
        <w:tc>
          <w:tcPr>
            <w:tcW w:w="329" w:type="pct"/>
            <w:tcBorders>
              <w:top w:val="single" w:sz="4" w:space="0" w:color="F79646" w:themeColor="accent6"/>
              <w:left w:val="nil"/>
              <w:bottom w:val="single" w:sz="4" w:space="0" w:color="F79646" w:themeColor="accent6"/>
              <w:right w:val="nil"/>
            </w:tcBorders>
            <w:shd w:val="clear" w:color="auto" w:fill="auto"/>
            <w:noWrap/>
            <w:vAlign w:val="center"/>
            <w:hideMark/>
          </w:tcPr>
          <w:p w14:paraId="5FBA286A" w14:textId="30CB1261"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1.157.184</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hideMark/>
          </w:tcPr>
          <w:p w14:paraId="03AD658B" w14:textId="2A5C78E2"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279.260.581</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hideMark/>
          </w:tcPr>
          <w:p w14:paraId="2E1D42B7" w14:textId="796EA341" w:rsidR="00DF1B07" w:rsidRPr="000245DF" w:rsidRDefault="00DF1B07" w:rsidP="00DF1B07">
            <w:pPr>
              <w:jc w:val="right"/>
              <w:rPr>
                <w:rFonts w:ascii="CAIXA Std Book" w:eastAsia="Times New Roman" w:hAnsi="CAIXA Std Book" w:cs="Arial"/>
                <w:b/>
                <w:color w:val="005CA9"/>
                <w:sz w:val="16"/>
                <w:szCs w:val="16"/>
              </w:rPr>
            </w:pPr>
            <w:r>
              <w:rPr>
                <w:rFonts w:ascii="CAIXA Std Book" w:hAnsi="CAIXA Std Book" w:cs="Arial"/>
                <w:b/>
                <w:bCs/>
                <w:color w:val="005CA9"/>
                <w:sz w:val="16"/>
                <w:szCs w:val="16"/>
              </w:rPr>
              <w:t>278.874.384</w:t>
            </w:r>
          </w:p>
        </w:tc>
      </w:tr>
      <w:tr w:rsidR="00DF1B07" w:rsidRPr="00A33766" w14:paraId="1819C63C" w14:textId="77777777" w:rsidTr="008C739D">
        <w:trPr>
          <w:trHeight w:val="283"/>
        </w:trPr>
        <w:tc>
          <w:tcPr>
            <w:tcW w:w="980" w:type="pct"/>
            <w:tcBorders>
              <w:top w:val="nil"/>
              <w:left w:val="nil"/>
              <w:right w:val="nil"/>
            </w:tcBorders>
            <w:shd w:val="clear" w:color="auto" w:fill="auto"/>
            <w:noWrap/>
            <w:vAlign w:val="center"/>
            <w:hideMark/>
          </w:tcPr>
          <w:p w14:paraId="7C5EE329"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Ativo circulante</w:t>
            </w:r>
          </w:p>
        </w:tc>
        <w:tc>
          <w:tcPr>
            <w:tcW w:w="481" w:type="pct"/>
            <w:tcBorders>
              <w:top w:val="single" w:sz="4" w:space="0" w:color="F79646" w:themeColor="accent6"/>
              <w:left w:val="nil"/>
              <w:right w:val="nil"/>
            </w:tcBorders>
            <w:shd w:val="clear" w:color="auto" w:fill="auto"/>
            <w:noWrap/>
            <w:vAlign w:val="center"/>
          </w:tcPr>
          <w:p w14:paraId="5F3D9AD2" w14:textId="77777777" w:rsidR="00DF1B07" w:rsidRPr="000245DF" w:rsidRDefault="00DF1B07" w:rsidP="00DF1B07">
            <w:pPr>
              <w:jc w:val="right"/>
              <w:rPr>
                <w:rFonts w:ascii="CAIXA Std Book" w:eastAsia="Times New Roman" w:hAnsi="CAIXA Std Book" w:cs="Arial"/>
                <w:color w:val="005CA9"/>
                <w:sz w:val="16"/>
                <w:szCs w:val="16"/>
              </w:rPr>
            </w:pPr>
          </w:p>
        </w:tc>
        <w:tc>
          <w:tcPr>
            <w:tcW w:w="343" w:type="pct"/>
            <w:tcBorders>
              <w:top w:val="single" w:sz="4" w:space="0" w:color="F79646" w:themeColor="accent6"/>
              <w:left w:val="nil"/>
              <w:right w:val="nil"/>
            </w:tcBorders>
            <w:shd w:val="clear" w:color="auto" w:fill="auto"/>
            <w:noWrap/>
            <w:vAlign w:val="center"/>
          </w:tcPr>
          <w:p w14:paraId="59695F1A" w14:textId="77777777" w:rsidR="00DF1B07" w:rsidRPr="000245DF" w:rsidRDefault="00DF1B07" w:rsidP="00DF1B07">
            <w:pPr>
              <w:jc w:val="right"/>
              <w:rPr>
                <w:rFonts w:ascii="CAIXA Std Book" w:eastAsia="Times New Roman" w:hAnsi="CAIXA Std Book" w:cs="Times New Roman"/>
                <w:color w:val="005CA9"/>
                <w:sz w:val="16"/>
                <w:szCs w:val="16"/>
              </w:rPr>
            </w:pPr>
          </w:p>
        </w:tc>
        <w:tc>
          <w:tcPr>
            <w:tcW w:w="343" w:type="pct"/>
            <w:tcBorders>
              <w:top w:val="single" w:sz="4" w:space="0" w:color="F79646" w:themeColor="accent6"/>
              <w:left w:val="nil"/>
              <w:right w:val="nil"/>
            </w:tcBorders>
            <w:shd w:val="clear" w:color="auto" w:fill="auto"/>
            <w:noWrap/>
            <w:vAlign w:val="center"/>
          </w:tcPr>
          <w:p w14:paraId="3A72491A" w14:textId="77777777" w:rsidR="00DF1B07" w:rsidRPr="000245DF" w:rsidRDefault="00DF1B07" w:rsidP="00DF1B07">
            <w:pPr>
              <w:jc w:val="right"/>
              <w:rPr>
                <w:rFonts w:ascii="CAIXA Std Book" w:eastAsia="Times New Roman" w:hAnsi="CAIXA Std Book" w:cs="Times New Roman"/>
                <w:color w:val="005CA9"/>
                <w:sz w:val="16"/>
                <w:szCs w:val="16"/>
              </w:rPr>
            </w:pPr>
          </w:p>
        </w:tc>
        <w:tc>
          <w:tcPr>
            <w:tcW w:w="479" w:type="pct"/>
            <w:tcBorders>
              <w:top w:val="single" w:sz="4" w:space="0" w:color="F79646" w:themeColor="accent6"/>
              <w:left w:val="nil"/>
              <w:right w:val="nil"/>
            </w:tcBorders>
            <w:shd w:val="clear" w:color="auto" w:fill="auto"/>
            <w:noWrap/>
            <w:vAlign w:val="center"/>
          </w:tcPr>
          <w:p w14:paraId="4D6B506C" w14:textId="74D191C2" w:rsidR="00DF1B07" w:rsidRPr="005C2E72"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133.251.460</w:t>
            </w:r>
          </w:p>
        </w:tc>
        <w:tc>
          <w:tcPr>
            <w:tcW w:w="487" w:type="pct"/>
            <w:tcBorders>
              <w:top w:val="single" w:sz="4" w:space="0" w:color="F79646" w:themeColor="accent6"/>
              <w:left w:val="nil"/>
              <w:right w:val="nil"/>
            </w:tcBorders>
            <w:shd w:val="clear" w:color="auto" w:fill="auto"/>
            <w:noWrap/>
            <w:vAlign w:val="center"/>
          </w:tcPr>
          <w:p w14:paraId="28F9213E" w14:textId="77777777" w:rsidR="00DF1B07" w:rsidRPr="000245DF" w:rsidRDefault="00DF1B07" w:rsidP="00DF1B07">
            <w:pPr>
              <w:jc w:val="right"/>
              <w:rPr>
                <w:rFonts w:ascii="CAIXA Std Book" w:eastAsia="Times New Roman" w:hAnsi="CAIXA Std Book" w:cs="Arial"/>
                <w:color w:val="005CA9"/>
                <w:sz w:val="16"/>
                <w:szCs w:val="16"/>
              </w:rPr>
            </w:pPr>
          </w:p>
        </w:tc>
        <w:tc>
          <w:tcPr>
            <w:tcW w:w="438" w:type="pct"/>
            <w:tcBorders>
              <w:top w:val="single" w:sz="4" w:space="0" w:color="F79646" w:themeColor="accent6"/>
              <w:left w:val="nil"/>
              <w:right w:val="nil"/>
            </w:tcBorders>
            <w:shd w:val="clear" w:color="auto" w:fill="auto"/>
            <w:vAlign w:val="center"/>
            <w:hideMark/>
          </w:tcPr>
          <w:p w14:paraId="787D1179" w14:textId="77777777" w:rsidR="00DF1B07" w:rsidRPr="000245DF" w:rsidRDefault="00DF1B07" w:rsidP="00DF1B07">
            <w:pPr>
              <w:jc w:val="right"/>
              <w:rPr>
                <w:rFonts w:ascii="CAIXA Std Book" w:eastAsia="Times New Roman" w:hAnsi="CAIXA Std Book" w:cs="Times New Roman"/>
                <w:color w:val="005CA9"/>
                <w:sz w:val="16"/>
                <w:szCs w:val="16"/>
              </w:rPr>
            </w:pPr>
          </w:p>
        </w:tc>
        <w:tc>
          <w:tcPr>
            <w:tcW w:w="356" w:type="pct"/>
            <w:tcBorders>
              <w:top w:val="single" w:sz="4" w:space="0" w:color="F79646" w:themeColor="accent6"/>
              <w:left w:val="nil"/>
              <w:right w:val="nil"/>
            </w:tcBorders>
            <w:shd w:val="clear" w:color="auto" w:fill="auto"/>
            <w:noWrap/>
            <w:vAlign w:val="center"/>
            <w:hideMark/>
          </w:tcPr>
          <w:p w14:paraId="711459DF" w14:textId="77777777" w:rsidR="00DF1B07" w:rsidRPr="000245DF" w:rsidRDefault="00DF1B07" w:rsidP="00DF1B07">
            <w:pPr>
              <w:jc w:val="right"/>
              <w:rPr>
                <w:rFonts w:ascii="CAIXA Std Book" w:eastAsia="Times New Roman" w:hAnsi="CAIXA Std Book" w:cs="Times New Roman"/>
                <w:color w:val="005CA9"/>
                <w:sz w:val="16"/>
                <w:szCs w:val="16"/>
              </w:rPr>
            </w:pPr>
          </w:p>
        </w:tc>
        <w:tc>
          <w:tcPr>
            <w:tcW w:w="329" w:type="pct"/>
            <w:tcBorders>
              <w:top w:val="single" w:sz="4" w:space="0" w:color="F79646" w:themeColor="accent6"/>
              <w:left w:val="nil"/>
              <w:right w:val="nil"/>
            </w:tcBorders>
            <w:shd w:val="clear" w:color="auto" w:fill="auto"/>
            <w:noWrap/>
            <w:vAlign w:val="center"/>
            <w:hideMark/>
          </w:tcPr>
          <w:p w14:paraId="34C8B739" w14:textId="77777777" w:rsidR="00DF1B07" w:rsidRPr="000245DF" w:rsidRDefault="00DF1B07" w:rsidP="00DF1B07">
            <w:pPr>
              <w:jc w:val="right"/>
              <w:rPr>
                <w:rFonts w:ascii="CAIXA Std Book" w:eastAsia="Times New Roman" w:hAnsi="CAIXA Std Book" w:cs="Times New Roman"/>
                <w:color w:val="005CA9"/>
                <w:sz w:val="16"/>
                <w:szCs w:val="16"/>
              </w:rPr>
            </w:pPr>
          </w:p>
        </w:tc>
        <w:tc>
          <w:tcPr>
            <w:tcW w:w="382" w:type="pct"/>
            <w:tcBorders>
              <w:top w:val="single" w:sz="4" w:space="0" w:color="F79646" w:themeColor="accent6"/>
              <w:left w:val="nil"/>
              <w:right w:val="nil"/>
            </w:tcBorders>
            <w:shd w:val="clear" w:color="auto" w:fill="auto"/>
            <w:noWrap/>
            <w:vAlign w:val="center"/>
            <w:hideMark/>
          </w:tcPr>
          <w:p w14:paraId="1329DF40" w14:textId="551B45C2"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141.282.518</w:t>
            </w:r>
          </w:p>
        </w:tc>
        <w:tc>
          <w:tcPr>
            <w:tcW w:w="382" w:type="pct"/>
            <w:tcBorders>
              <w:top w:val="nil"/>
              <w:left w:val="nil"/>
              <w:right w:val="nil"/>
            </w:tcBorders>
            <w:shd w:val="clear" w:color="auto" w:fill="auto"/>
            <w:noWrap/>
            <w:vAlign w:val="center"/>
            <w:hideMark/>
          </w:tcPr>
          <w:p w14:paraId="4866500C" w14:textId="77777777" w:rsidR="00DF1B07" w:rsidRPr="000245DF" w:rsidRDefault="00DF1B07" w:rsidP="00DF1B07">
            <w:pPr>
              <w:jc w:val="right"/>
              <w:rPr>
                <w:rFonts w:ascii="CAIXA Std Book" w:eastAsia="Times New Roman" w:hAnsi="CAIXA Std Book" w:cs="Arial"/>
                <w:color w:val="005CA9"/>
                <w:sz w:val="16"/>
                <w:szCs w:val="16"/>
              </w:rPr>
            </w:pPr>
          </w:p>
        </w:tc>
      </w:tr>
      <w:tr w:rsidR="00DF1B07" w:rsidRPr="00A33766" w14:paraId="4FB5F663" w14:textId="77777777" w:rsidTr="008C739D">
        <w:trPr>
          <w:trHeight w:val="283"/>
        </w:trPr>
        <w:tc>
          <w:tcPr>
            <w:tcW w:w="980" w:type="pct"/>
            <w:tcBorders>
              <w:top w:val="nil"/>
              <w:left w:val="nil"/>
              <w:bottom w:val="single" w:sz="4" w:space="0" w:color="F79646" w:themeColor="accent6"/>
              <w:right w:val="nil"/>
            </w:tcBorders>
            <w:shd w:val="clear" w:color="auto" w:fill="auto"/>
            <w:noWrap/>
            <w:vAlign w:val="center"/>
            <w:hideMark/>
          </w:tcPr>
          <w:p w14:paraId="2FD6B886" w14:textId="77777777" w:rsidR="00DF1B07" w:rsidRPr="00710F7E" w:rsidRDefault="00DF1B07" w:rsidP="00DF1B07">
            <w:pPr>
              <w:rPr>
                <w:rFonts w:ascii="CAIXA Std Book" w:eastAsia="Times New Roman" w:hAnsi="CAIXA Std Book" w:cs="Arial"/>
                <w:color w:val="005CA9"/>
                <w:sz w:val="16"/>
                <w:szCs w:val="16"/>
              </w:rPr>
            </w:pPr>
            <w:r w:rsidRPr="00710F7E">
              <w:rPr>
                <w:rFonts w:ascii="CAIXA Std Book" w:eastAsia="Times New Roman" w:hAnsi="CAIXA Std Book" w:cs="Arial"/>
                <w:color w:val="005CA9"/>
                <w:sz w:val="16"/>
                <w:szCs w:val="16"/>
              </w:rPr>
              <w:t>Ativo não circulante</w:t>
            </w:r>
          </w:p>
        </w:tc>
        <w:tc>
          <w:tcPr>
            <w:tcW w:w="481" w:type="pct"/>
            <w:tcBorders>
              <w:top w:val="nil"/>
              <w:left w:val="nil"/>
              <w:bottom w:val="single" w:sz="4" w:space="0" w:color="F79646" w:themeColor="accent6"/>
              <w:right w:val="nil"/>
            </w:tcBorders>
            <w:shd w:val="clear" w:color="auto" w:fill="auto"/>
            <w:noWrap/>
            <w:vAlign w:val="center"/>
          </w:tcPr>
          <w:p w14:paraId="5B71C684" w14:textId="124FF5C0" w:rsidR="00DF1B07" w:rsidRPr="000245DF" w:rsidRDefault="00DF1B07" w:rsidP="00DF1B07">
            <w:pPr>
              <w:jc w:val="right"/>
              <w:rPr>
                <w:rFonts w:ascii="CAIXA Std Book" w:eastAsia="Times New Roman" w:hAnsi="CAIXA Std Book" w:cs="Arial"/>
                <w:color w:val="005CA9"/>
                <w:sz w:val="16"/>
                <w:szCs w:val="16"/>
              </w:rPr>
            </w:pPr>
          </w:p>
        </w:tc>
        <w:tc>
          <w:tcPr>
            <w:tcW w:w="343" w:type="pct"/>
            <w:tcBorders>
              <w:top w:val="nil"/>
              <w:left w:val="nil"/>
              <w:bottom w:val="single" w:sz="4" w:space="0" w:color="F79646" w:themeColor="accent6"/>
              <w:right w:val="nil"/>
            </w:tcBorders>
            <w:shd w:val="clear" w:color="auto" w:fill="auto"/>
            <w:noWrap/>
            <w:vAlign w:val="center"/>
          </w:tcPr>
          <w:p w14:paraId="36D9ADFD" w14:textId="20938B29" w:rsidR="00DF1B07" w:rsidRPr="000245DF" w:rsidRDefault="00DF1B07" w:rsidP="00DF1B07">
            <w:pPr>
              <w:jc w:val="right"/>
              <w:rPr>
                <w:rFonts w:ascii="CAIXA Std Book" w:eastAsia="Times New Roman" w:hAnsi="CAIXA Std Book" w:cs="Arial"/>
                <w:color w:val="005CA9"/>
                <w:sz w:val="16"/>
                <w:szCs w:val="16"/>
              </w:rPr>
            </w:pPr>
          </w:p>
        </w:tc>
        <w:tc>
          <w:tcPr>
            <w:tcW w:w="343" w:type="pct"/>
            <w:tcBorders>
              <w:top w:val="nil"/>
              <w:left w:val="nil"/>
              <w:bottom w:val="single" w:sz="4" w:space="0" w:color="F79646" w:themeColor="accent6"/>
              <w:right w:val="nil"/>
            </w:tcBorders>
            <w:shd w:val="clear" w:color="auto" w:fill="auto"/>
            <w:noWrap/>
            <w:vAlign w:val="center"/>
          </w:tcPr>
          <w:p w14:paraId="57F49C4C" w14:textId="574E7783" w:rsidR="00DF1B07" w:rsidRPr="000245DF" w:rsidRDefault="00DF1B07" w:rsidP="00DF1B07">
            <w:pPr>
              <w:jc w:val="right"/>
              <w:rPr>
                <w:rFonts w:ascii="CAIXA Std Book" w:eastAsia="Times New Roman" w:hAnsi="CAIXA Std Book" w:cs="Arial"/>
                <w:color w:val="005CA9"/>
                <w:sz w:val="16"/>
                <w:szCs w:val="16"/>
              </w:rPr>
            </w:pPr>
          </w:p>
        </w:tc>
        <w:tc>
          <w:tcPr>
            <w:tcW w:w="479" w:type="pct"/>
            <w:tcBorders>
              <w:top w:val="nil"/>
              <w:left w:val="nil"/>
              <w:bottom w:val="single" w:sz="4" w:space="0" w:color="F79646" w:themeColor="accent6"/>
              <w:right w:val="nil"/>
            </w:tcBorders>
            <w:shd w:val="clear" w:color="auto" w:fill="auto"/>
            <w:noWrap/>
            <w:vAlign w:val="center"/>
          </w:tcPr>
          <w:p w14:paraId="5E1D0432" w14:textId="0FB8BC90" w:rsidR="00DF1B07" w:rsidRPr="005C2E72" w:rsidRDefault="00DF1B07" w:rsidP="00DF1B07">
            <w:pPr>
              <w:jc w:val="right"/>
              <w:rPr>
                <w:rFonts w:ascii="CAIXA Std Book" w:hAnsi="CAIXA Std Book" w:cs="Arial"/>
                <w:color w:val="005CA9"/>
                <w:sz w:val="16"/>
                <w:szCs w:val="16"/>
              </w:rPr>
            </w:pPr>
            <w:r>
              <w:rPr>
                <w:rFonts w:ascii="CAIXA Std Book" w:hAnsi="CAIXA Std Book" w:cs="Arial"/>
                <w:color w:val="005CA9"/>
                <w:sz w:val="16"/>
                <w:szCs w:val="16"/>
              </w:rPr>
              <w:t>151.214.840</w:t>
            </w:r>
          </w:p>
        </w:tc>
        <w:tc>
          <w:tcPr>
            <w:tcW w:w="487" w:type="pct"/>
            <w:tcBorders>
              <w:top w:val="nil"/>
              <w:left w:val="nil"/>
              <w:bottom w:val="single" w:sz="4" w:space="0" w:color="F79646" w:themeColor="accent6"/>
              <w:right w:val="nil"/>
            </w:tcBorders>
            <w:shd w:val="clear" w:color="auto" w:fill="auto"/>
            <w:noWrap/>
            <w:vAlign w:val="center"/>
          </w:tcPr>
          <w:p w14:paraId="1A36E448" w14:textId="3D268F98" w:rsidR="00DF1B07" w:rsidRPr="000245DF" w:rsidRDefault="00DF1B07" w:rsidP="00DF1B07">
            <w:pPr>
              <w:jc w:val="right"/>
              <w:rPr>
                <w:rFonts w:ascii="CAIXA Std Book" w:eastAsia="Times New Roman" w:hAnsi="CAIXA Std Book" w:cs="Arial"/>
                <w:color w:val="005CA9"/>
                <w:sz w:val="16"/>
                <w:szCs w:val="16"/>
              </w:rPr>
            </w:pPr>
          </w:p>
        </w:tc>
        <w:tc>
          <w:tcPr>
            <w:tcW w:w="438" w:type="pct"/>
            <w:tcBorders>
              <w:top w:val="nil"/>
              <w:left w:val="nil"/>
              <w:bottom w:val="single" w:sz="4" w:space="0" w:color="F79646"/>
              <w:right w:val="nil"/>
            </w:tcBorders>
            <w:shd w:val="clear" w:color="auto" w:fill="auto"/>
            <w:vAlign w:val="center"/>
            <w:hideMark/>
          </w:tcPr>
          <w:p w14:paraId="46E06A22" w14:textId="0B5F854D" w:rsidR="00DF1B07" w:rsidRPr="000245DF" w:rsidRDefault="00DF1B07" w:rsidP="00DF1B07">
            <w:pPr>
              <w:jc w:val="right"/>
              <w:rPr>
                <w:rFonts w:ascii="CAIXA Std Book" w:eastAsia="Times New Roman" w:hAnsi="CAIXA Std Book" w:cs="Arial"/>
                <w:color w:val="005CA9"/>
                <w:sz w:val="16"/>
                <w:szCs w:val="16"/>
              </w:rPr>
            </w:pPr>
          </w:p>
        </w:tc>
        <w:tc>
          <w:tcPr>
            <w:tcW w:w="356" w:type="pct"/>
            <w:tcBorders>
              <w:top w:val="nil"/>
              <w:left w:val="nil"/>
              <w:bottom w:val="single" w:sz="4" w:space="0" w:color="F79646"/>
              <w:right w:val="nil"/>
            </w:tcBorders>
            <w:shd w:val="clear" w:color="auto" w:fill="auto"/>
            <w:noWrap/>
            <w:vAlign w:val="center"/>
            <w:hideMark/>
          </w:tcPr>
          <w:p w14:paraId="2A547B3C" w14:textId="6A898E99" w:rsidR="00DF1B07" w:rsidRPr="000245DF" w:rsidRDefault="00DF1B07" w:rsidP="00DF1B07">
            <w:pPr>
              <w:jc w:val="right"/>
              <w:rPr>
                <w:rFonts w:ascii="CAIXA Std Book" w:eastAsia="Times New Roman" w:hAnsi="CAIXA Std Book" w:cs="Arial"/>
                <w:color w:val="005CA9"/>
                <w:sz w:val="16"/>
                <w:szCs w:val="16"/>
              </w:rPr>
            </w:pPr>
          </w:p>
        </w:tc>
        <w:tc>
          <w:tcPr>
            <w:tcW w:w="329" w:type="pct"/>
            <w:tcBorders>
              <w:top w:val="nil"/>
              <w:left w:val="nil"/>
              <w:bottom w:val="single" w:sz="4" w:space="0" w:color="F79646"/>
              <w:right w:val="nil"/>
            </w:tcBorders>
            <w:shd w:val="clear" w:color="auto" w:fill="auto"/>
            <w:noWrap/>
            <w:vAlign w:val="center"/>
            <w:hideMark/>
          </w:tcPr>
          <w:p w14:paraId="06088152" w14:textId="3A306331" w:rsidR="00DF1B07" w:rsidRPr="000245DF" w:rsidRDefault="00DF1B07" w:rsidP="00DF1B07">
            <w:pPr>
              <w:jc w:val="right"/>
              <w:rPr>
                <w:rFonts w:ascii="CAIXA Std Book" w:eastAsia="Times New Roman" w:hAnsi="CAIXA Std Book" w:cs="Arial"/>
                <w:color w:val="005CA9"/>
                <w:sz w:val="16"/>
                <w:szCs w:val="16"/>
              </w:rPr>
            </w:pPr>
          </w:p>
        </w:tc>
        <w:tc>
          <w:tcPr>
            <w:tcW w:w="382" w:type="pct"/>
            <w:tcBorders>
              <w:top w:val="nil"/>
              <w:left w:val="nil"/>
              <w:bottom w:val="single" w:sz="4" w:space="0" w:color="F79646"/>
              <w:right w:val="nil"/>
            </w:tcBorders>
            <w:shd w:val="clear" w:color="auto" w:fill="auto"/>
            <w:noWrap/>
            <w:vAlign w:val="center"/>
            <w:hideMark/>
          </w:tcPr>
          <w:p w14:paraId="0F55D612" w14:textId="35887C41" w:rsidR="00DF1B07" w:rsidRPr="000245DF" w:rsidRDefault="00DF1B07" w:rsidP="00DF1B07">
            <w:pPr>
              <w:jc w:val="right"/>
              <w:rPr>
                <w:rFonts w:ascii="CAIXA Std Book" w:eastAsia="Times New Roman" w:hAnsi="CAIXA Std Book" w:cs="Arial"/>
                <w:color w:val="005CA9"/>
                <w:sz w:val="16"/>
                <w:szCs w:val="16"/>
              </w:rPr>
            </w:pPr>
            <w:r>
              <w:rPr>
                <w:rFonts w:ascii="CAIXA Std Book" w:hAnsi="CAIXA Std Book" w:cs="Arial"/>
                <w:color w:val="005CA9"/>
                <w:sz w:val="16"/>
                <w:szCs w:val="16"/>
              </w:rPr>
              <w:t>137.978.063</w:t>
            </w:r>
          </w:p>
        </w:tc>
        <w:tc>
          <w:tcPr>
            <w:tcW w:w="382" w:type="pct"/>
            <w:tcBorders>
              <w:top w:val="nil"/>
              <w:left w:val="nil"/>
              <w:bottom w:val="single" w:sz="4" w:space="0" w:color="F79646"/>
              <w:right w:val="nil"/>
            </w:tcBorders>
            <w:shd w:val="clear" w:color="auto" w:fill="auto"/>
            <w:noWrap/>
            <w:vAlign w:val="center"/>
            <w:hideMark/>
          </w:tcPr>
          <w:p w14:paraId="6B023B9D" w14:textId="50138E79" w:rsidR="00DF1B07" w:rsidRPr="000245DF" w:rsidRDefault="00DF1B07" w:rsidP="00DF1B07">
            <w:pPr>
              <w:jc w:val="right"/>
              <w:rPr>
                <w:rFonts w:ascii="CAIXA Std Book" w:eastAsia="Times New Roman" w:hAnsi="CAIXA Std Book" w:cs="Arial"/>
                <w:color w:val="005CA9"/>
                <w:sz w:val="16"/>
                <w:szCs w:val="16"/>
              </w:rPr>
            </w:pPr>
          </w:p>
        </w:tc>
      </w:tr>
    </w:tbl>
    <w:p w14:paraId="26863E33" w14:textId="31B22F68" w:rsidR="00F60E62" w:rsidRPr="00FF4346" w:rsidRDefault="00F60E62">
      <w:pPr>
        <w:rPr>
          <w:rFonts w:ascii="CAIXA Std Book" w:hAnsi="CAIXA Std Book"/>
          <w:color w:val="005CA9"/>
          <w:sz w:val="16"/>
          <w:szCs w:val="16"/>
        </w:rPr>
      </w:pPr>
    </w:p>
    <w:p w14:paraId="045E19E2" w14:textId="77777777" w:rsidR="00B24C2C" w:rsidRPr="00FF4346" w:rsidRDefault="00B24C2C">
      <w:pPr>
        <w:rPr>
          <w:rFonts w:ascii="CAIXA Std Book" w:hAnsi="CAIXA Std Book"/>
          <w:color w:val="005CA9"/>
          <w:sz w:val="16"/>
          <w:szCs w:val="16"/>
        </w:rPr>
      </w:pPr>
      <w:r w:rsidRPr="00FF4346">
        <w:rPr>
          <w:rFonts w:ascii="CAIXA Std Book" w:hAnsi="CAIXA Std Book"/>
          <w:color w:val="005CA9"/>
          <w:sz w:val="16"/>
          <w:szCs w:val="16"/>
        </w:rPr>
        <w:br w:type="page"/>
      </w:r>
    </w:p>
    <w:tbl>
      <w:tblPr>
        <w:tblW w:w="5000" w:type="pct"/>
        <w:tblCellMar>
          <w:left w:w="70" w:type="dxa"/>
          <w:right w:w="70" w:type="dxa"/>
        </w:tblCellMar>
        <w:tblLook w:val="04A0" w:firstRow="1" w:lastRow="0" w:firstColumn="1" w:lastColumn="0" w:noHBand="0" w:noVBand="1"/>
      </w:tblPr>
      <w:tblGrid>
        <w:gridCol w:w="2956"/>
        <w:gridCol w:w="1385"/>
        <w:gridCol w:w="1082"/>
        <w:gridCol w:w="960"/>
        <w:gridCol w:w="1293"/>
        <w:gridCol w:w="1299"/>
        <w:gridCol w:w="1293"/>
        <w:gridCol w:w="1071"/>
        <w:gridCol w:w="964"/>
        <w:gridCol w:w="1141"/>
        <w:gridCol w:w="1127"/>
      </w:tblGrid>
      <w:tr w:rsidR="009629C2" w:rsidRPr="00FF5914" w14:paraId="7C8562A5" w14:textId="77777777" w:rsidTr="00816A83">
        <w:trPr>
          <w:trHeight w:val="283"/>
        </w:trPr>
        <w:tc>
          <w:tcPr>
            <w:tcW w:w="5000" w:type="pct"/>
            <w:gridSpan w:val="11"/>
            <w:tcBorders>
              <w:top w:val="single" w:sz="4" w:space="0" w:color="F39200"/>
              <w:left w:val="nil"/>
              <w:bottom w:val="single" w:sz="4" w:space="0" w:color="F39200"/>
              <w:right w:val="nil"/>
            </w:tcBorders>
            <w:shd w:val="clear" w:color="auto" w:fill="auto"/>
            <w:vAlign w:val="center"/>
            <w:hideMark/>
          </w:tcPr>
          <w:p w14:paraId="0859EA7D" w14:textId="77777777" w:rsidR="009629C2" w:rsidRPr="00FF5914" w:rsidRDefault="009629C2"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lastRenderedPageBreak/>
              <w:t>CONSOLIDADO</w:t>
            </w:r>
          </w:p>
        </w:tc>
      </w:tr>
      <w:tr w:rsidR="00C755EC" w:rsidRPr="00FF5914" w14:paraId="6430F510" w14:textId="77777777" w:rsidTr="00D83011">
        <w:trPr>
          <w:trHeight w:val="283"/>
        </w:trPr>
        <w:tc>
          <w:tcPr>
            <w:tcW w:w="1015" w:type="pct"/>
            <w:vMerge w:val="restart"/>
            <w:tcBorders>
              <w:top w:val="nil"/>
              <w:left w:val="nil"/>
              <w:right w:val="nil"/>
            </w:tcBorders>
            <w:shd w:val="clear" w:color="auto" w:fill="auto"/>
            <w:vAlign w:val="center"/>
            <w:hideMark/>
          </w:tcPr>
          <w:p w14:paraId="24265EB6"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Descrição</w:t>
            </w:r>
          </w:p>
        </w:tc>
        <w:tc>
          <w:tcPr>
            <w:tcW w:w="2068" w:type="pct"/>
            <w:gridSpan w:val="5"/>
            <w:tcBorders>
              <w:top w:val="single" w:sz="4" w:space="0" w:color="F39200"/>
              <w:left w:val="nil"/>
              <w:bottom w:val="single" w:sz="4" w:space="0" w:color="F39200"/>
              <w:right w:val="nil"/>
            </w:tcBorders>
            <w:shd w:val="clear" w:color="auto" w:fill="auto"/>
            <w:vAlign w:val="center"/>
            <w:hideMark/>
          </w:tcPr>
          <w:p w14:paraId="6F0C2EE0" w14:textId="46614D1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31/03/2024</w:t>
            </w:r>
          </w:p>
        </w:tc>
        <w:tc>
          <w:tcPr>
            <w:tcW w:w="1917" w:type="pct"/>
            <w:gridSpan w:val="5"/>
            <w:tcBorders>
              <w:top w:val="single" w:sz="4" w:space="0" w:color="F39200"/>
              <w:left w:val="nil"/>
              <w:bottom w:val="single" w:sz="4" w:space="0" w:color="F39200"/>
              <w:right w:val="nil"/>
            </w:tcBorders>
            <w:shd w:val="clear" w:color="auto" w:fill="auto"/>
            <w:vAlign w:val="center"/>
            <w:hideMark/>
          </w:tcPr>
          <w:p w14:paraId="416F4182" w14:textId="5DEA6542"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31/12/2023</w:t>
            </w:r>
          </w:p>
        </w:tc>
      </w:tr>
      <w:tr w:rsidR="00C755EC" w:rsidRPr="00FF5914" w14:paraId="6C907F97" w14:textId="77777777" w:rsidTr="00D83011">
        <w:trPr>
          <w:trHeight w:val="283"/>
        </w:trPr>
        <w:tc>
          <w:tcPr>
            <w:tcW w:w="1015" w:type="pct"/>
            <w:vMerge/>
            <w:tcBorders>
              <w:left w:val="nil"/>
              <w:bottom w:val="single" w:sz="4" w:space="0" w:color="F39200"/>
              <w:right w:val="nil"/>
            </w:tcBorders>
            <w:shd w:val="clear" w:color="auto" w:fill="auto"/>
            <w:vAlign w:val="center"/>
            <w:hideMark/>
          </w:tcPr>
          <w:p w14:paraId="453642AD" w14:textId="77777777" w:rsidR="006B739C" w:rsidRPr="00FF5914" w:rsidRDefault="006B739C" w:rsidP="00C755EC">
            <w:pPr>
              <w:jc w:val="center"/>
              <w:rPr>
                <w:rFonts w:ascii="CAIXA Std Book" w:eastAsia="Times New Roman" w:hAnsi="CAIXA Std Book" w:cs="Arial"/>
                <w:b/>
                <w:bCs/>
                <w:color w:val="005CA9"/>
                <w:sz w:val="16"/>
                <w:szCs w:val="16"/>
              </w:rPr>
            </w:pPr>
          </w:p>
        </w:tc>
        <w:tc>
          <w:tcPr>
            <w:tcW w:w="476" w:type="pct"/>
            <w:tcBorders>
              <w:top w:val="nil"/>
              <w:left w:val="nil"/>
              <w:bottom w:val="single" w:sz="4" w:space="0" w:color="F39200"/>
              <w:right w:val="nil"/>
            </w:tcBorders>
            <w:shd w:val="clear" w:color="auto" w:fill="auto"/>
            <w:vAlign w:val="center"/>
            <w:hideMark/>
          </w:tcPr>
          <w:p w14:paraId="4DA8B4D9" w14:textId="4EF8B1E6" w:rsidR="006B739C" w:rsidRPr="00FF5914" w:rsidRDefault="00460BF4" w:rsidP="00C755EC">
            <w:pPr>
              <w:jc w:val="center"/>
              <w:rPr>
                <w:rFonts w:ascii="CAIXA Std Book" w:eastAsia="Times New Roman" w:hAnsi="CAIXA Std Book" w:cs="Arial"/>
                <w:b/>
                <w:bCs/>
                <w:color w:val="005CA9"/>
                <w:sz w:val="16"/>
                <w:szCs w:val="16"/>
              </w:rPr>
            </w:pPr>
            <w:r w:rsidRPr="00460BF4">
              <w:rPr>
                <w:rFonts w:ascii="CAIXA Std Book" w:eastAsia="Times New Roman" w:hAnsi="CAIXA Std Book" w:cs="Arial"/>
                <w:b/>
                <w:bCs/>
                <w:color w:val="005CA9"/>
                <w:sz w:val="16"/>
                <w:szCs w:val="16"/>
              </w:rPr>
              <w:t>Custo ajustado ao valor recuperável</w:t>
            </w:r>
          </w:p>
        </w:tc>
        <w:tc>
          <w:tcPr>
            <w:tcW w:w="372" w:type="pct"/>
            <w:tcBorders>
              <w:top w:val="nil"/>
              <w:left w:val="nil"/>
              <w:bottom w:val="single" w:sz="4" w:space="0" w:color="F39200"/>
              <w:right w:val="nil"/>
            </w:tcBorders>
            <w:shd w:val="clear" w:color="auto" w:fill="auto"/>
            <w:vAlign w:val="center"/>
            <w:hideMark/>
          </w:tcPr>
          <w:p w14:paraId="5C2EC60B"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Ajuste a mercado resultado</w:t>
            </w:r>
          </w:p>
        </w:tc>
        <w:tc>
          <w:tcPr>
            <w:tcW w:w="330" w:type="pct"/>
            <w:tcBorders>
              <w:top w:val="nil"/>
              <w:left w:val="nil"/>
              <w:bottom w:val="single" w:sz="4" w:space="0" w:color="F39200"/>
              <w:right w:val="nil"/>
            </w:tcBorders>
            <w:shd w:val="clear" w:color="auto" w:fill="auto"/>
            <w:vAlign w:val="center"/>
            <w:hideMark/>
          </w:tcPr>
          <w:p w14:paraId="09706C57"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Ajuste a mercado patrimônio líquido</w:t>
            </w:r>
          </w:p>
        </w:tc>
        <w:tc>
          <w:tcPr>
            <w:tcW w:w="444" w:type="pct"/>
            <w:tcBorders>
              <w:top w:val="nil"/>
              <w:left w:val="nil"/>
              <w:bottom w:val="single" w:sz="4" w:space="0" w:color="F39200"/>
              <w:right w:val="nil"/>
            </w:tcBorders>
            <w:shd w:val="clear" w:color="auto" w:fill="auto"/>
            <w:vAlign w:val="center"/>
            <w:hideMark/>
          </w:tcPr>
          <w:p w14:paraId="38F8FF00"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Valor contábil</w:t>
            </w:r>
          </w:p>
        </w:tc>
        <w:tc>
          <w:tcPr>
            <w:tcW w:w="446" w:type="pct"/>
            <w:tcBorders>
              <w:top w:val="nil"/>
              <w:left w:val="nil"/>
              <w:bottom w:val="single" w:sz="4" w:space="0" w:color="F39200"/>
              <w:right w:val="nil"/>
            </w:tcBorders>
            <w:shd w:val="clear" w:color="auto" w:fill="auto"/>
            <w:vAlign w:val="center"/>
            <w:hideMark/>
          </w:tcPr>
          <w:p w14:paraId="435B8216"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Valor de mercado</w:t>
            </w:r>
          </w:p>
        </w:tc>
        <w:tc>
          <w:tcPr>
            <w:tcW w:w="444" w:type="pct"/>
            <w:tcBorders>
              <w:top w:val="nil"/>
              <w:left w:val="nil"/>
              <w:bottom w:val="single" w:sz="4" w:space="0" w:color="F39200"/>
              <w:right w:val="nil"/>
            </w:tcBorders>
            <w:shd w:val="clear" w:color="auto" w:fill="auto"/>
            <w:vAlign w:val="center"/>
            <w:hideMark/>
          </w:tcPr>
          <w:p w14:paraId="289A4CBA" w14:textId="5AF69C1C" w:rsidR="006B739C" w:rsidRPr="00FF5914" w:rsidRDefault="00460BF4" w:rsidP="00C755EC">
            <w:pPr>
              <w:jc w:val="center"/>
              <w:rPr>
                <w:rFonts w:ascii="CAIXA Std Book" w:eastAsia="Times New Roman" w:hAnsi="CAIXA Std Book" w:cs="Arial"/>
                <w:b/>
                <w:bCs/>
                <w:color w:val="005CA9"/>
                <w:sz w:val="16"/>
                <w:szCs w:val="16"/>
              </w:rPr>
            </w:pPr>
            <w:r w:rsidRPr="00460BF4">
              <w:rPr>
                <w:rFonts w:ascii="CAIXA Std Book" w:eastAsia="Times New Roman" w:hAnsi="CAIXA Std Book" w:cs="Arial"/>
                <w:b/>
                <w:bCs/>
                <w:color w:val="005CA9"/>
                <w:sz w:val="16"/>
                <w:szCs w:val="16"/>
              </w:rPr>
              <w:t>Custo ajustado ao valor recuperável</w:t>
            </w:r>
          </w:p>
        </w:tc>
        <w:tc>
          <w:tcPr>
            <w:tcW w:w="368" w:type="pct"/>
            <w:tcBorders>
              <w:top w:val="nil"/>
              <w:left w:val="nil"/>
              <w:bottom w:val="single" w:sz="4" w:space="0" w:color="F39200"/>
              <w:right w:val="nil"/>
            </w:tcBorders>
            <w:shd w:val="clear" w:color="auto" w:fill="auto"/>
            <w:vAlign w:val="center"/>
            <w:hideMark/>
          </w:tcPr>
          <w:p w14:paraId="427E4107"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Ajuste a mercado resultado</w:t>
            </w:r>
          </w:p>
        </w:tc>
        <w:tc>
          <w:tcPr>
            <w:tcW w:w="331" w:type="pct"/>
            <w:tcBorders>
              <w:top w:val="nil"/>
              <w:left w:val="nil"/>
              <w:bottom w:val="single" w:sz="4" w:space="0" w:color="F39200"/>
              <w:right w:val="nil"/>
            </w:tcBorders>
            <w:shd w:val="clear" w:color="auto" w:fill="auto"/>
            <w:vAlign w:val="center"/>
            <w:hideMark/>
          </w:tcPr>
          <w:p w14:paraId="009191FF"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Ajuste a mercado patrimônio líquido</w:t>
            </w:r>
          </w:p>
        </w:tc>
        <w:tc>
          <w:tcPr>
            <w:tcW w:w="387" w:type="pct"/>
            <w:tcBorders>
              <w:top w:val="nil"/>
              <w:left w:val="nil"/>
              <w:bottom w:val="single" w:sz="4" w:space="0" w:color="F39200"/>
              <w:right w:val="nil"/>
            </w:tcBorders>
            <w:shd w:val="clear" w:color="auto" w:fill="auto"/>
            <w:vAlign w:val="center"/>
            <w:hideMark/>
          </w:tcPr>
          <w:p w14:paraId="6B9A9F0D"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Valor contábil</w:t>
            </w:r>
          </w:p>
        </w:tc>
        <w:tc>
          <w:tcPr>
            <w:tcW w:w="387" w:type="pct"/>
            <w:tcBorders>
              <w:top w:val="nil"/>
              <w:left w:val="nil"/>
              <w:bottom w:val="single" w:sz="4" w:space="0" w:color="F39200"/>
              <w:right w:val="nil"/>
            </w:tcBorders>
            <w:shd w:val="clear" w:color="auto" w:fill="auto"/>
            <w:vAlign w:val="center"/>
            <w:hideMark/>
          </w:tcPr>
          <w:p w14:paraId="25D4B780" w14:textId="77777777" w:rsidR="006B739C" w:rsidRPr="00FF5914" w:rsidRDefault="006B739C" w:rsidP="00C755EC">
            <w:pPr>
              <w:jc w:val="cente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Valor de mercado</w:t>
            </w:r>
          </w:p>
        </w:tc>
      </w:tr>
      <w:tr w:rsidR="00DE0C40" w:rsidRPr="00FF5914" w14:paraId="7CA051E2" w14:textId="77777777" w:rsidTr="00D83011">
        <w:trPr>
          <w:trHeight w:val="283"/>
        </w:trPr>
        <w:tc>
          <w:tcPr>
            <w:tcW w:w="1015" w:type="pct"/>
            <w:tcBorders>
              <w:top w:val="nil"/>
              <w:left w:val="nil"/>
              <w:bottom w:val="nil"/>
              <w:right w:val="nil"/>
            </w:tcBorders>
            <w:shd w:val="clear" w:color="auto" w:fill="auto"/>
            <w:vAlign w:val="center"/>
            <w:hideMark/>
          </w:tcPr>
          <w:p w14:paraId="7E7BB8BD" w14:textId="77777777" w:rsidR="00DE0C40" w:rsidRPr="00FF5914" w:rsidRDefault="00DE0C40" w:rsidP="00DE0C40">
            <w:pP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Títulos públicos</w:t>
            </w:r>
          </w:p>
        </w:tc>
        <w:tc>
          <w:tcPr>
            <w:tcW w:w="476" w:type="pct"/>
            <w:tcBorders>
              <w:top w:val="nil"/>
              <w:left w:val="nil"/>
              <w:bottom w:val="nil"/>
              <w:right w:val="nil"/>
            </w:tcBorders>
            <w:shd w:val="clear" w:color="auto" w:fill="auto"/>
            <w:noWrap/>
            <w:vAlign w:val="center"/>
          </w:tcPr>
          <w:p w14:paraId="6B6B38A6" w14:textId="17B93BEB"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266.457.268</w:t>
            </w:r>
          </w:p>
        </w:tc>
        <w:tc>
          <w:tcPr>
            <w:tcW w:w="372" w:type="pct"/>
            <w:tcBorders>
              <w:top w:val="nil"/>
              <w:left w:val="nil"/>
              <w:bottom w:val="nil"/>
              <w:right w:val="nil"/>
            </w:tcBorders>
            <w:shd w:val="clear" w:color="auto" w:fill="auto"/>
            <w:noWrap/>
            <w:vAlign w:val="center"/>
          </w:tcPr>
          <w:p w14:paraId="0B691A3D" w14:textId="020A0092"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1.310.905</w:t>
            </w:r>
          </w:p>
        </w:tc>
        <w:tc>
          <w:tcPr>
            <w:tcW w:w="330" w:type="pct"/>
            <w:tcBorders>
              <w:top w:val="nil"/>
              <w:left w:val="nil"/>
              <w:bottom w:val="nil"/>
              <w:right w:val="nil"/>
            </w:tcBorders>
            <w:shd w:val="clear" w:color="auto" w:fill="auto"/>
            <w:noWrap/>
            <w:vAlign w:val="center"/>
          </w:tcPr>
          <w:p w14:paraId="5A205938" w14:textId="165F8829"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73.258</w:t>
            </w:r>
          </w:p>
        </w:tc>
        <w:tc>
          <w:tcPr>
            <w:tcW w:w="444" w:type="pct"/>
            <w:tcBorders>
              <w:top w:val="nil"/>
              <w:left w:val="nil"/>
              <w:bottom w:val="nil"/>
              <w:right w:val="nil"/>
            </w:tcBorders>
            <w:shd w:val="clear" w:color="auto" w:fill="auto"/>
            <w:noWrap/>
            <w:vAlign w:val="center"/>
          </w:tcPr>
          <w:p w14:paraId="260BA8FD" w14:textId="51C5BC22"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267.841.431</w:t>
            </w:r>
          </w:p>
        </w:tc>
        <w:tc>
          <w:tcPr>
            <w:tcW w:w="446" w:type="pct"/>
            <w:tcBorders>
              <w:top w:val="nil"/>
              <w:left w:val="nil"/>
              <w:bottom w:val="nil"/>
              <w:right w:val="nil"/>
            </w:tcBorders>
            <w:shd w:val="clear" w:color="auto" w:fill="auto"/>
            <w:noWrap/>
            <w:vAlign w:val="center"/>
          </w:tcPr>
          <w:p w14:paraId="285EBE1D" w14:textId="10F5F3EE"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267.857.140</w:t>
            </w:r>
          </w:p>
        </w:tc>
        <w:tc>
          <w:tcPr>
            <w:tcW w:w="444" w:type="pct"/>
            <w:tcBorders>
              <w:top w:val="nil"/>
              <w:left w:val="nil"/>
              <w:bottom w:val="nil"/>
              <w:right w:val="nil"/>
            </w:tcBorders>
            <w:shd w:val="clear" w:color="auto" w:fill="auto"/>
            <w:noWrap/>
            <w:vAlign w:val="center"/>
          </w:tcPr>
          <w:p w14:paraId="55B02DF5" w14:textId="5CB175BF"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259.961.793</w:t>
            </w:r>
          </w:p>
        </w:tc>
        <w:tc>
          <w:tcPr>
            <w:tcW w:w="368" w:type="pct"/>
            <w:tcBorders>
              <w:top w:val="nil"/>
              <w:left w:val="nil"/>
              <w:bottom w:val="nil"/>
              <w:right w:val="nil"/>
            </w:tcBorders>
            <w:shd w:val="clear" w:color="auto" w:fill="auto"/>
            <w:noWrap/>
            <w:vAlign w:val="center"/>
          </w:tcPr>
          <w:p w14:paraId="62DFFE85" w14:textId="37482F71"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3.088.162</w:t>
            </w:r>
          </w:p>
        </w:tc>
        <w:tc>
          <w:tcPr>
            <w:tcW w:w="331" w:type="pct"/>
            <w:tcBorders>
              <w:top w:val="nil"/>
              <w:left w:val="nil"/>
              <w:bottom w:val="nil"/>
              <w:right w:val="nil"/>
            </w:tcBorders>
            <w:shd w:val="clear" w:color="auto" w:fill="auto"/>
            <w:noWrap/>
            <w:vAlign w:val="center"/>
          </w:tcPr>
          <w:p w14:paraId="46343172" w14:textId="21AC470C"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47.071</w:t>
            </w:r>
          </w:p>
        </w:tc>
        <w:tc>
          <w:tcPr>
            <w:tcW w:w="387" w:type="pct"/>
            <w:tcBorders>
              <w:top w:val="nil"/>
              <w:left w:val="nil"/>
              <w:bottom w:val="nil"/>
              <w:right w:val="nil"/>
            </w:tcBorders>
            <w:shd w:val="clear" w:color="auto" w:fill="auto"/>
            <w:noWrap/>
            <w:vAlign w:val="center"/>
          </w:tcPr>
          <w:p w14:paraId="5B59C94A" w14:textId="34F8EBDD"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263.097.026</w:t>
            </w:r>
          </w:p>
        </w:tc>
        <w:tc>
          <w:tcPr>
            <w:tcW w:w="387" w:type="pct"/>
            <w:tcBorders>
              <w:top w:val="nil"/>
              <w:left w:val="nil"/>
              <w:bottom w:val="nil"/>
              <w:right w:val="nil"/>
            </w:tcBorders>
            <w:shd w:val="clear" w:color="auto" w:fill="auto"/>
            <w:noWrap/>
            <w:vAlign w:val="center"/>
          </w:tcPr>
          <w:p w14:paraId="1E8C04C9" w14:textId="00954C04"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263.119.372</w:t>
            </w:r>
          </w:p>
        </w:tc>
      </w:tr>
      <w:tr w:rsidR="00DE0C40" w:rsidRPr="00FF5914" w14:paraId="5EA40841" w14:textId="77777777" w:rsidTr="00624042">
        <w:trPr>
          <w:trHeight w:val="283"/>
        </w:trPr>
        <w:tc>
          <w:tcPr>
            <w:tcW w:w="1015" w:type="pct"/>
            <w:tcBorders>
              <w:top w:val="nil"/>
              <w:left w:val="nil"/>
              <w:bottom w:val="nil"/>
              <w:right w:val="nil"/>
            </w:tcBorders>
            <w:shd w:val="clear" w:color="auto" w:fill="auto"/>
            <w:noWrap/>
            <w:vAlign w:val="center"/>
            <w:hideMark/>
          </w:tcPr>
          <w:p w14:paraId="2D723427"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Letras financeiras do tesouro</w:t>
            </w:r>
          </w:p>
        </w:tc>
        <w:tc>
          <w:tcPr>
            <w:tcW w:w="476" w:type="pct"/>
            <w:tcBorders>
              <w:top w:val="nil"/>
              <w:left w:val="nil"/>
              <w:bottom w:val="nil"/>
              <w:right w:val="nil"/>
            </w:tcBorders>
            <w:shd w:val="clear" w:color="auto" w:fill="auto"/>
            <w:noWrap/>
            <w:vAlign w:val="center"/>
          </w:tcPr>
          <w:p w14:paraId="1147891F" w14:textId="4962B27D"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186.591.334</w:t>
            </w:r>
          </w:p>
        </w:tc>
        <w:tc>
          <w:tcPr>
            <w:tcW w:w="372" w:type="pct"/>
            <w:tcBorders>
              <w:top w:val="nil"/>
              <w:left w:val="nil"/>
              <w:bottom w:val="nil"/>
              <w:right w:val="nil"/>
            </w:tcBorders>
            <w:shd w:val="clear" w:color="auto" w:fill="auto"/>
            <w:noWrap/>
            <w:vAlign w:val="center"/>
          </w:tcPr>
          <w:p w14:paraId="006432A6" w14:textId="70D17DB1"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147.185</w:t>
            </w:r>
          </w:p>
        </w:tc>
        <w:tc>
          <w:tcPr>
            <w:tcW w:w="330" w:type="pct"/>
            <w:tcBorders>
              <w:top w:val="nil"/>
              <w:left w:val="nil"/>
              <w:bottom w:val="nil"/>
              <w:right w:val="nil"/>
            </w:tcBorders>
            <w:shd w:val="clear" w:color="auto" w:fill="auto"/>
            <w:noWrap/>
            <w:vAlign w:val="center"/>
          </w:tcPr>
          <w:p w14:paraId="1EF7A941" w14:textId="5820EE3A"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85.378</w:t>
            </w:r>
          </w:p>
        </w:tc>
        <w:tc>
          <w:tcPr>
            <w:tcW w:w="444" w:type="pct"/>
            <w:tcBorders>
              <w:top w:val="nil"/>
              <w:left w:val="nil"/>
              <w:bottom w:val="nil"/>
              <w:right w:val="nil"/>
            </w:tcBorders>
            <w:shd w:val="clear" w:color="auto" w:fill="auto"/>
            <w:noWrap/>
            <w:vAlign w:val="center"/>
          </w:tcPr>
          <w:p w14:paraId="1E24D6C4" w14:textId="3C2EACDB"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186.823.897</w:t>
            </w:r>
          </w:p>
        </w:tc>
        <w:tc>
          <w:tcPr>
            <w:tcW w:w="446" w:type="pct"/>
            <w:tcBorders>
              <w:top w:val="nil"/>
              <w:left w:val="nil"/>
              <w:bottom w:val="nil"/>
              <w:right w:val="nil"/>
            </w:tcBorders>
            <w:shd w:val="clear" w:color="auto" w:fill="auto"/>
            <w:noWrap/>
            <w:vAlign w:val="center"/>
          </w:tcPr>
          <w:p w14:paraId="064FEF41" w14:textId="49355992"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186.823.897</w:t>
            </w:r>
          </w:p>
        </w:tc>
        <w:tc>
          <w:tcPr>
            <w:tcW w:w="444" w:type="pct"/>
            <w:tcBorders>
              <w:top w:val="nil"/>
              <w:left w:val="nil"/>
              <w:bottom w:val="nil"/>
              <w:right w:val="nil"/>
            </w:tcBorders>
            <w:shd w:val="clear" w:color="auto" w:fill="auto"/>
            <w:noWrap/>
            <w:vAlign w:val="center"/>
          </w:tcPr>
          <w:p w14:paraId="439A401E" w14:textId="6150CFCF"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163.213.346</w:t>
            </w:r>
          </w:p>
        </w:tc>
        <w:tc>
          <w:tcPr>
            <w:tcW w:w="368" w:type="pct"/>
            <w:tcBorders>
              <w:top w:val="nil"/>
              <w:left w:val="nil"/>
              <w:bottom w:val="nil"/>
              <w:right w:val="nil"/>
            </w:tcBorders>
            <w:shd w:val="clear" w:color="auto" w:fill="auto"/>
            <w:noWrap/>
            <w:vAlign w:val="center"/>
          </w:tcPr>
          <w:p w14:paraId="0F9A9EE3" w14:textId="7FF35493"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175.353</w:t>
            </w:r>
          </w:p>
        </w:tc>
        <w:tc>
          <w:tcPr>
            <w:tcW w:w="331" w:type="pct"/>
            <w:tcBorders>
              <w:top w:val="nil"/>
              <w:left w:val="nil"/>
              <w:bottom w:val="nil"/>
              <w:right w:val="nil"/>
            </w:tcBorders>
            <w:shd w:val="clear" w:color="auto" w:fill="auto"/>
            <w:noWrap/>
            <w:vAlign w:val="center"/>
          </w:tcPr>
          <w:p w14:paraId="39CE11BA" w14:textId="734E7027"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35.037</w:t>
            </w:r>
          </w:p>
        </w:tc>
        <w:tc>
          <w:tcPr>
            <w:tcW w:w="387" w:type="pct"/>
            <w:tcBorders>
              <w:top w:val="nil"/>
              <w:left w:val="nil"/>
              <w:bottom w:val="nil"/>
              <w:right w:val="nil"/>
            </w:tcBorders>
            <w:shd w:val="clear" w:color="auto" w:fill="auto"/>
            <w:noWrap/>
            <w:vAlign w:val="center"/>
          </w:tcPr>
          <w:p w14:paraId="318AED4E" w14:textId="3D49A1D8"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163.423.736</w:t>
            </w:r>
          </w:p>
        </w:tc>
        <w:tc>
          <w:tcPr>
            <w:tcW w:w="387" w:type="pct"/>
            <w:tcBorders>
              <w:top w:val="nil"/>
              <w:left w:val="nil"/>
              <w:bottom w:val="nil"/>
              <w:right w:val="nil"/>
            </w:tcBorders>
            <w:shd w:val="clear" w:color="auto" w:fill="auto"/>
            <w:noWrap/>
            <w:vAlign w:val="center"/>
          </w:tcPr>
          <w:p w14:paraId="39BE8FEB" w14:textId="4A010F31"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163.423.736</w:t>
            </w:r>
          </w:p>
        </w:tc>
      </w:tr>
      <w:tr w:rsidR="00DE0C40" w:rsidRPr="00FF5914" w14:paraId="7B9EBCE1" w14:textId="77777777" w:rsidTr="00624042">
        <w:trPr>
          <w:trHeight w:val="283"/>
        </w:trPr>
        <w:tc>
          <w:tcPr>
            <w:tcW w:w="1015" w:type="pct"/>
            <w:tcBorders>
              <w:top w:val="nil"/>
              <w:left w:val="nil"/>
              <w:bottom w:val="nil"/>
              <w:right w:val="nil"/>
            </w:tcBorders>
            <w:shd w:val="clear" w:color="auto" w:fill="auto"/>
            <w:noWrap/>
            <w:vAlign w:val="center"/>
            <w:hideMark/>
          </w:tcPr>
          <w:p w14:paraId="55DD964E"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Letras do tesouro nacional</w:t>
            </w:r>
          </w:p>
        </w:tc>
        <w:tc>
          <w:tcPr>
            <w:tcW w:w="476" w:type="pct"/>
            <w:tcBorders>
              <w:top w:val="nil"/>
              <w:left w:val="nil"/>
              <w:bottom w:val="nil"/>
              <w:right w:val="nil"/>
            </w:tcBorders>
            <w:shd w:val="clear" w:color="auto" w:fill="auto"/>
            <w:noWrap/>
            <w:vAlign w:val="center"/>
          </w:tcPr>
          <w:p w14:paraId="30DC0F5F" w14:textId="03A36506"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75.183.938</w:t>
            </w:r>
          </w:p>
        </w:tc>
        <w:tc>
          <w:tcPr>
            <w:tcW w:w="372" w:type="pct"/>
            <w:tcBorders>
              <w:top w:val="nil"/>
              <w:left w:val="nil"/>
              <w:bottom w:val="nil"/>
              <w:right w:val="nil"/>
            </w:tcBorders>
            <w:shd w:val="clear" w:color="auto" w:fill="auto"/>
            <w:noWrap/>
            <w:vAlign w:val="center"/>
          </w:tcPr>
          <w:p w14:paraId="05466B9C" w14:textId="4A4C105A"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1.173.863</w:t>
            </w:r>
          </w:p>
        </w:tc>
        <w:tc>
          <w:tcPr>
            <w:tcW w:w="330" w:type="pct"/>
            <w:tcBorders>
              <w:top w:val="nil"/>
              <w:left w:val="nil"/>
              <w:bottom w:val="nil"/>
              <w:right w:val="nil"/>
            </w:tcBorders>
            <w:shd w:val="clear" w:color="auto" w:fill="auto"/>
            <w:noWrap/>
            <w:vAlign w:val="center"/>
          </w:tcPr>
          <w:p w14:paraId="799AE6B5" w14:textId="49EB0859"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444" w:type="pct"/>
            <w:tcBorders>
              <w:top w:val="nil"/>
              <w:left w:val="nil"/>
              <w:bottom w:val="nil"/>
              <w:right w:val="nil"/>
            </w:tcBorders>
            <w:shd w:val="clear" w:color="auto" w:fill="auto"/>
            <w:noWrap/>
            <w:vAlign w:val="center"/>
          </w:tcPr>
          <w:p w14:paraId="46919FF2" w14:textId="5BA9D2DB"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76.357.801</w:t>
            </w:r>
          </w:p>
        </w:tc>
        <w:tc>
          <w:tcPr>
            <w:tcW w:w="446" w:type="pct"/>
            <w:tcBorders>
              <w:top w:val="nil"/>
              <w:left w:val="nil"/>
              <w:bottom w:val="nil"/>
              <w:right w:val="nil"/>
            </w:tcBorders>
            <w:shd w:val="clear" w:color="auto" w:fill="auto"/>
            <w:noWrap/>
            <w:vAlign w:val="center"/>
          </w:tcPr>
          <w:p w14:paraId="5BB1D9DC" w14:textId="4A0A697E"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76.357.801</w:t>
            </w:r>
          </w:p>
        </w:tc>
        <w:tc>
          <w:tcPr>
            <w:tcW w:w="444" w:type="pct"/>
            <w:tcBorders>
              <w:top w:val="nil"/>
              <w:left w:val="nil"/>
              <w:bottom w:val="nil"/>
              <w:right w:val="nil"/>
            </w:tcBorders>
            <w:shd w:val="clear" w:color="auto" w:fill="auto"/>
            <w:noWrap/>
            <w:vAlign w:val="center"/>
          </w:tcPr>
          <w:p w14:paraId="50FFA9AF" w14:textId="5335E32E"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91.640.239</w:t>
            </w:r>
          </w:p>
        </w:tc>
        <w:tc>
          <w:tcPr>
            <w:tcW w:w="368" w:type="pct"/>
            <w:tcBorders>
              <w:top w:val="nil"/>
              <w:left w:val="nil"/>
              <w:bottom w:val="nil"/>
              <w:right w:val="nil"/>
            </w:tcBorders>
            <w:shd w:val="clear" w:color="auto" w:fill="auto"/>
            <w:noWrap/>
            <w:vAlign w:val="center"/>
          </w:tcPr>
          <w:p w14:paraId="7B1D7377" w14:textId="5E5EE63E"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2.870.771</w:t>
            </w:r>
          </w:p>
        </w:tc>
        <w:tc>
          <w:tcPr>
            <w:tcW w:w="331" w:type="pct"/>
            <w:tcBorders>
              <w:top w:val="nil"/>
              <w:left w:val="nil"/>
              <w:bottom w:val="nil"/>
              <w:right w:val="nil"/>
            </w:tcBorders>
            <w:shd w:val="clear" w:color="auto" w:fill="auto"/>
            <w:noWrap/>
            <w:vAlign w:val="center"/>
          </w:tcPr>
          <w:p w14:paraId="33E394B7" w14:textId="79B3B4FB"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(226)</w:t>
            </w:r>
          </w:p>
        </w:tc>
        <w:tc>
          <w:tcPr>
            <w:tcW w:w="387" w:type="pct"/>
            <w:tcBorders>
              <w:top w:val="nil"/>
              <w:left w:val="nil"/>
              <w:bottom w:val="nil"/>
              <w:right w:val="nil"/>
            </w:tcBorders>
            <w:shd w:val="clear" w:color="auto" w:fill="auto"/>
            <w:noWrap/>
            <w:vAlign w:val="center"/>
          </w:tcPr>
          <w:p w14:paraId="3CCD0D51" w14:textId="069DBB25"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94.510.784</w:t>
            </w:r>
          </w:p>
        </w:tc>
        <w:tc>
          <w:tcPr>
            <w:tcW w:w="387" w:type="pct"/>
            <w:tcBorders>
              <w:top w:val="nil"/>
              <w:left w:val="nil"/>
              <w:bottom w:val="nil"/>
              <w:right w:val="nil"/>
            </w:tcBorders>
            <w:shd w:val="clear" w:color="auto" w:fill="auto"/>
            <w:noWrap/>
            <w:vAlign w:val="center"/>
          </w:tcPr>
          <w:p w14:paraId="2184B84A" w14:textId="5133134D"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94.510.784</w:t>
            </w:r>
          </w:p>
        </w:tc>
      </w:tr>
      <w:tr w:rsidR="00DE0C40" w:rsidRPr="00FF5914" w14:paraId="64AA8F0E" w14:textId="77777777" w:rsidTr="00624042">
        <w:trPr>
          <w:trHeight w:val="283"/>
        </w:trPr>
        <w:tc>
          <w:tcPr>
            <w:tcW w:w="1015" w:type="pct"/>
            <w:tcBorders>
              <w:top w:val="nil"/>
              <w:left w:val="nil"/>
              <w:bottom w:val="nil"/>
              <w:right w:val="nil"/>
            </w:tcBorders>
            <w:shd w:val="clear" w:color="auto" w:fill="auto"/>
            <w:noWrap/>
            <w:vAlign w:val="center"/>
            <w:hideMark/>
          </w:tcPr>
          <w:p w14:paraId="13C10751"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Notas do tesouro nacional</w:t>
            </w:r>
          </w:p>
        </w:tc>
        <w:tc>
          <w:tcPr>
            <w:tcW w:w="476" w:type="pct"/>
            <w:tcBorders>
              <w:top w:val="nil"/>
              <w:left w:val="nil"/>
              <w:bottom w:val="nil"/>
              <w:right w:val="nil"/>
            </w:tcBorders>
            <w:shd w:val="clear" w:color="auto" w:fill="auto"/>
            <w:noWrap/>
            <w:vAlign w:val="center"/>
          </w:tcPr>
          <w:p w14:paraId="6F426067" w14:textId="335F704E" w:rsidR="00DE0C40" w:rsidRPr="009C2174"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4.496.856</w:t>
            </w:r>
          </w:p>
        </w:tc>
        <w:tc>
          <w:tcPr>
            <w:tcW w:w="372" w:type="pct"/>
            <w:tcBorders>
              <w:top w:val="nil"/>
              <w:left w:val="nil"/>
              <w:bottom w:val="nil"/>
              <w:right w:val="nil"/>
            </w:tcBorders>
            <w:shd w:val="clear" w:color="auto" w:fill="auto"/>
            <w:noWrap/>
            <w:vAlign w:val="center"/>
          </w:tcPr>
          <w:p w14:paraId="60792F2D" w14:textId="6F64409E" w:rsidR="00DE0C40" w:rsidRPr="009C2174" w:rsidRDefault="003C5B09" w:rsidP="00DE0C40">
            <w:pPr>
              <w:jc w:val="right"/>
              <w:rPr>
                <w:rFonts w:ascii="CAIXA Std Book" w:hAnsi="CAIXA Std Book" w:cs="Arial"/>
                <w:color w:val="005CA9"/>
                <w:sz w:val="16"/>
                <w:szCs w:val="16"/>
              </w:rPr>
            </w:pPr>
            <w:r>
              <w:rPr>
                <w:rFonts w:ascii="CAIXA Std Book" w:hAnsi="CAIXA Std Book" w:cs="Arial"/>
                <w:color w:val="005CA9"/>
                <w:sz w:val="16"/>
                <w:szCs w:val="16"/>
              </w:rPr>
              <w:t>(</w:t>
            </w:r>
            <w:r w:rsidR="00DE0C40">
              <w:rPr>
                <w:rFonts w:ascii="CAIXA Std Book" w:hAnsi="CAIXA Std Book" w:cs="Arial"/>
                <w:color w:val="005CA9"/>
                <w:sz w:val="16"/>
                <w:szCs w:val="16"/>
              </w:rPr>
              <w:t>10.143</w:t>
            </w: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2413B095" w14:textId="740FD6E5" w:rsidR="00DE0C40" w:rsidRPr="009C2174" w:rsidRDefault="003C5B09" w:rsidP="00DE0C40">
            <w:pPr>
              <w:jc w:val="right"/>
              <w:rPr>
                <w:rFonts w:ascii="CAIXA Std Book" w:hAnsi="CAIXA Std Book" w:cs="Arial"/>
                <w:color w:val="005CA9"/>
                <w:sz w:val="16"/>
                <w:szCs w:val="16"/>
              </w:rPr>
            </w:pPr>
            <w:r>
              <w:rPr>
                <w:rFonts w:ascii="CAIXA Std Book" w:hAnsi="CAIXA Std Book" w:cs="Arial"/>
                <w:color w:val="005CA9"/>
                <w:sz w:val="16"/>
                <w:szCs w:val="16"/>
              </w:rPr>
              <w:t>(</w:t>
            </w:r>
            <w:r w:rsidR="00DE0C40">
              <w:rPr>
                <w:rFonts w:ascii="CAIXA Std Book" w:hAnsi="CAIXA Std Book" w:cs="Arial"/>
                <w:color w:val="005CA9"/>
                <w:sz w:val="16"/>
                <w:szCs w:val="16"/>
              </w:rPr>
              <w:t>7.643</w:t>
            </w:r>
            <w:r>
              <w:rPr>
                <w:rFonts w:ascii="CAIXA Std Book" w:hAnsi="CAIXA Std Book" w:cs="Arial"/>
                <w:color w:val="005CA9"/>
                <w:sz w:val="16"/>
                <w:szCs w:val="16"/>
              </w:rPr>
              <w:t>)</w:t>
            </w:r>
          </w:p>
        </w:tc>
        <w:tc>
          <w:tcPr>
            <w:tcW w:w="444" w:type="pct"/>
            <w:tcBorders>
              <w:top w:val="nil"/>
              <w:left w:val="nil"/>
              <w:bottom w:val="nil"/>
              <w:right w:val="nil"/>
            </w:tcBorders>
            <w:shd w:val="clear" w:color="auto" w:fill="auto"/>
            <w:noWrap/>
            <w:vAlign w:val="center"/>
          </w:tcPr>
          <w:p w14:paraId="226A18CD" w14:textId="7B4F77FD" w:rsidR="00DE0C40" w:rsidRPr="009C2174"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4.479.070</w:t>
            </w:r>
          </w:p>
        </w:tc>
        <w:tc>
          <w:tcPr>
            <w:tcW w:w="446" w:type="pct"/>
            <w:tcBorders>
              <w:top w:val="nil"/>
              <w:left w:val="nil"/>
              <w:bottom w:val="nil"/>
              <w:right w:val="nil"/>
            </w:tcBorders>
            <w:shd w:val="clear" w:color="auto" w:fill="auto"/>
            <w:noWrap/>
            <w:vAlign w:val="center"/>
          </w:tcPr>
          <w:p w14:paraId="5B462DB0" w14:textId="5015C0A9" w:rsidR="00DE0C40" w:rsidRPr="009C2174"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4.494.779</w:t>
            </w:r>
          </w:p>
        </w:tc>
        <w:tc>
          <w:tcPr>
            <w:tcW w:w="444" w:type="pct"/>
            <w:tcBorders>
              <w:top w:val="nil"/>
              <w:left w:val="nil"/>
              <w:bottom w:val="nil"/>
              <w:right w:val="nil"/>
            </w:tcBorders>
            <w:shd w:val="clear" w:color="auto" w:fill="auto"/>
            <w:noWrap/>
            <w:vAlign w:val="center"/>
          </w:tcPr>
          <w:p w14:paraId="2E53A223" w14:textId="510E98A2" w:rsidR="00DE0C40" w:rsidRPr="00FF5914" w:rsidRDefault="00DE0C40" w:rsidP="00DE0C40">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4.913.749</w:t>
            </w:r>
          </w:p>
        </w:tc>
        <w:tc>
          <w:tcPr>
            <w:tcW w:w="368" w:type="pct"/>
            <w:tcBorders>
              <w:top w:val="nil"/>
              <w:left w:val="nil"/>
              <w:bottom w:val="nil"/>
              <w:right w:val="nil"/>
            </w:tcBorders>
            <w:shd w:val="clear" w:color="auto" w:fill="auto"/>
            <w:noWrap/>
            <w:vAlign w:val="center"/>
          </w:tcPr>
          <w:p w14:paraId="597FF374" w14:textId="4F78744C" w:rsidR="00DE0C40" w:rsidRPr="00FF5914" w:rsidRDefault="00DE0C40" w:rsidP="00DE0C40">
            <w:pPr>
              <w:ind w:firstLineChars="100" w:firstLine="160"/>
              <w:jc w:val="right"/>
              <w:rPr>
                <w:rFonts w:ascii="CAIXA Std Book" w:eastAsia="Times New Roman" w:hAnsi="CAIXA Std Book" w:cs="Arial"/>
                <w:color w:val="005CA9"/>
                <w:sz w:val="16"/>
                <w:szCs w:val="16"/>
              </w:rPr>
            </w:pPr>
            <w:r>
              <w:rPr>
                <w:rFonts w:ascii="CAIXA Std Book" w:hAnsi="CAIXA Std Book" w:cs="Arial"/>
                <w:color w:val="005CA9"/>
                <w:sz w:val="16"/>
                <w:szCs w:val="16"/>
              </w:rPr>
              <w:t>42.038</w:t>
            </w:r>
          </w:p>
        </w:tc>
        <w:tc>
          <w:tcPr>
            <w:tcW w:w="331" w:type="pct"/>
            <w:tcBorders>
              <w:top w:val="nil"/>
              <w:left w:val="nil"/>
              <w:bottom w:val="nil"/>
              <w:right w:val="nil"/>
            </w:tcBorders>
            <w:shd w:val="clear" w:color="auto" w:fill="auto"/>
            <w:noWrap/>
            <w:vAlign w:val="center"/>
          </w:tcPr>
          <w:p w14:paraId="1CAB81B5" w14:textId="6B314A72"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17.570</w:t>
            </w:r>
          </w:p>
        </w:tc>
        <w:tc>
          <w:tcPr>
            <w:tcW w:w="387" w:type="pct"/>
            <w:tcBorders>
              <w:top w:val="nil"/>
              <w:left w:val="nil"/>
              <w:bottom w:val="nil"/>
              <w:right w:val="nil"/>
            </w:tcBorders>
            <w:shd w:val="clear" w:color="auto" w:fill="auto"/>
            <w:noWrap/>
            <w:vAlign w:val="center"/>
          </w:tcPr>
          <w:p w14:paraId="7A9BCB0D" w14:textId="2F73FAEC"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4.973.357</w:t>
            </w:r>
          </w:p>
        </w:tc>
        <w:tc>
          <w:tcPr>
            <w:tcW w:w="387" w:type="pct"/>
            <w:tcBorders>
              <w:top w:val="nil"/>
              <w:left w:val="nil"/>
              <w:bottom w:val="nil"/>
              <w:right w:val="nil"/>
            </w:tcBorders>
            <w:shd w:val="clear" w:color="auto" w:fill="auto"/>
            <w:noWrap/>
            <w:vAlign w:val="center"/>
          </w:tcPr>
          <w:p w14:paraId="45C9AACF" w14:textId="0A610A5D"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4.995.703</w:t>
            </w:r>
          </w:p>
        </w:tc>
      </w:tr>
      <w:tr w:rsidR="00DE0C40" w:rsidRPr="00FF5914" w14:paraId="66655A60" w14:textId="77777777" w:rsidTr="00D83011">
        <w:trPr>
          <w:trHeight w:val="283"/>
        </w:trPr>
        <w:tc>
          <w:tcPr>
            <w:tcW w:w="1015" w:type="pct"/>
            <w:tcBorders>
              <w:top w:val="nil"/>
              <w:left w:val="nil"/>
              <w:bottom w:val="nil"/>
              <w:right w:val="nil"/>
            </w:tcBorders>
            <w:shd w:val="clear" w:color="auto" w:fill="auto"/>
            <w:noWrap/>
            <w:vAlign w:val="center"/>
            <w:hideMark/>
          </w:tcPr>
          <w:p w14:paraId="7E3EED57"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Tesouro nacional/securitização</w:t>
            </w:r>
          </w:p>
        </w:tc>
        <w:tc>
          <w:tcPr>
            <w:tcW w:w="476" w:type="pct"/>
            <w:tcBorders>
              <w:top w:val="nil"/>
              <w:left w:val="nil"/>
              <w:bottom w:val="nil"/>
              <w:right w:val="nil"/>
            </w:tcBorders>
            <w:shd w:val="clear" w:color="auto" w:fill="auto"/>
            <w:noWrap/>
            <w:vAlign w:val="center"/>
          </w:tcPr>
          <w:p w14:paraId="4F2419F7" w14:textId="29A58036"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185.140</w:t>
            </w:r>
          </w:p>
        </w:tc>
        <w:tc>
          <w:tcPr>
            <w:tcW w:w="372" w:type="pct"/>
            <w:tcBorders>
              <w:top w:val="nil"/>
              <w:left w:val="nil"/>
              <w:bottom w:val="nil"/>
              <w:right w:val="nil"/>
            </w:tcBorders>
            <w:shd w:val="clear" w:color="auto" w:fill="auto"/>
            <w:noWrap/>
            <w:vAlign w:val="center"/>
          </w:tcPr>
          <w:p w14:paraId="37050035" w14:textId="6C39F1FB"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55E5C52C" w14:textId="060518EE" w:rsidR="00DE0C40" w:rsidRPr="00FF5914" w:rsidRDefault="003C5B09"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w:t>
            </w:r>
            <w:r w:rsidR="00DE0C40">
              <w:rPr>
                <w:rFonts w:ascii="CAIXA Std Book" w:hAnsi="CAIXA Std Book" w:cs="Arial"/>
                <w:color w:val="005CA9"/>
                <w:sz w:val="16"/>
                <w:szCs w:val="16"/>
              </w:rPr>
              <w:t>4.477</w:t>
            </w:r>
            <w:r>
              <w:rPr>
                <w:rFonts w:ascii="CAIXA Std Book" w:hAnsi="CAIXA Std Book" w:cs="Arial"/>
                <w:color w:val="005CA9"/>
                <w:sz w:val="16"/>
                <w:szCs w:val="16"/>
              </w:rPr>
              <w:t>)</w:t>
            </w:r>
          </w:p>
        </w:tc>
        <w:tc>
          <w:tcPr>
            <w:tcW w:w="444" w:type="pct"/>
            <w:tcBorders>
              <w:top w:val="nil"/>
              <w:left w:val="nil"/>
              <w:bottom w:val="nil"/>
              <w:right w:val="nil"/>
            </w:tcBorders>
            <w:shd w:val="clear" w:color="auto" w:fill="auto"/>
            <w:noWrap/>
            <w:vAlign w:val="center"/>
          </w:tcPr>
          <w:p w14:paraId="6ACA139B" w14:textId="10FA4AD3"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180.663</w:t>
            </w:r>
          </w:p>
        </w:tc>
        <w:tc>
          <w:tcPr>
            <w:tcW w:w="446" w:type="pct"/>
            <w:tcBorders>
              <w:top w:val="nil"/>
              <w:left w:val="nil"/>
              <w:bottom w:val="nil"/>
              <w:right w:val="nil"/>
            </w:tcBorders>
            <w:shd w:val="clear" w:color="auto" w:fill="auto"/>
            <w:noWrap/>
            <w:vAlign w:val="center"/>
          </w:tcPr>
          <w:p w14:paraId="655F0D5A" w14:textId="62AE59F3"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180.663</w:t>
            </w:r>
          </w:p>
        </w:tc>
        <w:tc>
          <w:tcPr>
            <w:tcW w:w="444" w:type="pct"/>
            <w:tcBorders>
              <w:top w:val="nil"/>
              <w:left w:val="nil"/>
              <w:bottom w:val="nil"/>
              <w:right w:val="nil"/>
            </w:tcBorders>
            <w:shd w:val="clear" w:color="auto" w:fill="auto"/>
            <w:noWrap/>
            <w:vAlign w:val="center"/>
          </w:tcPr>
          <w:p w14:paraId="0A903334" w14:textId="691D3DBC"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194.459</w:t>
            </w:r>
          </w:p>
        </w:tc>
        <w:tc>
          <w:tcPr>
            <w:tcW w:w="368" w:type="pct"/>
            <w:tcBorders>
              <w:top w:val="nil"/>
              <w:left w:val="nil"/>
              <w:bottom w:val="nil"/>
              <w:right w:val="nil"/>
            </w:tcBorders>
            <w:shd w:val="clear" w:color="auto" w:fill="auto"/>
            <w:noWrap/>
            <w:vAlign w:val="center"/>
          </w:tcPr>
          <w:p w14:paraId="59090EE2" w14:textId="360B27A4" w:rsidR="00DE0C40" w:rsidRPr="00FF5914" w:rsidRDefault="00DE0C40" w:rsidP="00DE0C40">
            <w:pPr>
              <w:jc w:val="center"/>
              <w:rPr>
                <w:rFonts w:ascii="CAIXA Std Book" w:eastAsia="Times New Roman"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4B8CC865" w14:textId="64FC7FD7"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(5.310)</w:t>
            </w:r>
          </w:p>
        </w:tc>
        <w:tc>
          <w:tcPr>
            <w:tcW w:w="387" w:type="pct"/>
            <w:tcBorders>
              <w:top w:val="nil"/>
              <w:left w:val="nil"/>
              <w:bottom w:val="nil"/>
              <w:right w:val="nil"/>
            </w:tcBorders>
            <w:shd w:val="clear" w:color="auto" w:fill="auto"/>
            <w:noWrap/>
            <w:vAlign w:val="center"/>
          </w:tcPr>
          <w:p w14:paraId="72F0B1CA" w14:textId="214C8BC0"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189.149</w:t>
            </w:r>
          </w:p>
        </w:tc>
        <w:tc>
          <w:tcPr>
            <w:tcW w:w="387" w:type="pct"/>
            <w:tcBorders>
              <w:top w:val="nil"/>
              <w:left w:val="nil"/>
              <w:bottom w:val="nil"/>
              <w:right w:val="nil"/>
            </w:tcBorders>
            <w:shd w:val="clear" w:color="auto" w:fill="auto"/>
            <w:noWrap/>
            <w:vAlign w:val="center"/>
          </w:tcPr>
          <w:p w14:paraId="16E19031" w14:textId="00ABDA07"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189.149</w:t>
            </w:r>
          </w:p>
        </w:tc>
      </w:tr>
      <w:tr w:rsidR="00DE0C40" w:rsidRPr="00FF5914" w14:paraId="434AAF78" w14:textId="77777777" w:rsidTr="00D83011">
        <w:trPr>
          <w:trHeight w:val="283"/>
        </w:trPr>
        <w:tc>
          <w:tcPr>
            <w:tcW w:w="1015" w:type="pct"/>
            <w:tcBorders>
              <w:top w:val="nil"/>
              <w:left w:val="nil"/>
              <w:bottom w:val="nil"/>
              <w:right w:val="nil"/>
            </w:tcBorders>
            <w:shd w:val="clear" w:color="auto" w:fill="auto"/>
            <w:vAlign w:val="center"/>
            <w:hideMark/>
          </w:tcPr>
          <w:p w14:paraId="59490604" w14:textId="77777777" w:rsidR="00DE0C40" w:rsidRPr="00FF5914" w:rsidRDefault="00DE0C40" w:rsidP="00DE0C40">
            <w:pP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Títulos – empresas</w:t>
            </w:r>
          </w:p>
        </w:tc>
        <w:tc>
          <w:tcPr>
            <w:tcW w:w="476" w:type="pct"/>
            <w:tcBorders>
              <w:top w:val="nil"/>
              <w:left w:val="nil"/>
              <w:bottom w:val="nil"/>
              <w:right w:val="nil"/>
            </w:tcBorders>
            <w:shd w:val="clear" w:color="auto" w:fill="auto"/>
            <w:noWrap/>
            <w:vAlign w:val="center"/>
          </w:tcPr>
          <w:p w14:paraId="6178ABEE" w14:textId="0555A80A"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16.094.852</w:t>
            </w:r>
          </w:p>
        </w:tc>
        <w:tc>
          <w:tcPr>
            <w:tcW w:w="372" w:type="pct"/>
            <w:tcBorders>
              <w:top w:val="nil"/>
              <w:left w:val="nil"/>
              <w:bottom w:val="nil"/>
              <w:right w:val="nil"/>
            </w:tcBorders>
            <w:shd w:val="clear" w:color="auto" w:fill="auto"/>
            <w:noWrap/>
            <w:vAlign w:val="center"/>
          </w:tcPr>
          <w:p w14:paraId="6D68B98D" w14:textId="421C2FDF" w:rsidR="00DE0C40" w:rsidRPr="00FF5914" w:rsidRDefault="003C5B09"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w:t>
            </w:r>
            <w:r w:rsidR="00DE0C40">
              <w:rPr>
                <w:rFonts w:ascii="CAIXA Std Book" w:hAnsi="CAIXA Std Book" w:cs="Arial"/>
                <w:b/>
                <w:bCs/>
                <w:color w:val="005CA9"/>
                <w:sz w:val="16"/>
                <w:szCs w:val="16"/>
              </w:rPr>
              <w:t>76.</w:t>
            </w:r>
            <w:r w:rsidR="00922377">
              <w:rPr>
                <w:rFonts w:ascii="CAIXA Std Book" w:hAnsi="CAIXA Std Book" w:cs="Arial"/>
                <w:b/>
                <w:bCs/>
                <w:color w:val="005CA9"/>
                <w:sz w:val="16"/>
                <w:szCs w:val="16"/>
              </w:rPr>
              <w:t>620</w:t>
            </w:r>
            <w:r>
              <w:rPr>
                <w:rFonts w:ascii="CAIXA Std Book" w:hAnsi="CAIXA Std Book" w:cs="Arial"/>
                <w:b/>
                <w:bCs/>
                <w:color w:val="005CA9"/>
                <w:sz w:val="16"/>
                <w:szCs w:val="16"/>
              </w:rPr>
              <w:t>)</w:t>
            </w:r>
          </w:p>
        </w:tc>
        <w:tc>
          <w:tcPr>
            <w:tcW w:w="330" w:type="pct"/>
            <w:tcBorders>
              <w:top w:val="nil"/>
              <w:left w:val="nil"/>
              <w:bottom w:val="nil"/>
              <w:right w:val="nil"/>
            </w:tcBorders>
            <w:shd w:val="clear" w:color="auto" w:fill="auto"/>
            <w:noWrap/>
            <w:vAlign w:val="center"/>
          </w:tcPr>
          <w:p w14:paraId="65A34C3C" w14:textId="1E449643"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1.172.487</w:t>
            </w:r>
          </w:p>
        </w:tc>
        <w:tc>
          <w:tcPr>
            <w:tcW w:w="444" w:type="pct"/>
            <w:tcBorders>
              <w:top w:val="nil"/>
              <w:left w:val="nil"/>
              <w:bottom w:val="nil"/>
              <w:right w:val="nil"/>
            </w:tcBorders>
            <w:shd w:val="clear" w:color="auto" w:fill="auto"/>
            <w:noWrap/>
            <w:vAlign w:val="center"/>
          </w:tcPr>
          <w:p w14:paraId="44B076EF" w14:textId="246AA336"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17.190.719</w:t>
            </w:r>
          </w:p>
        </w:tc>
        <w:tc>
          <w:tcPr>
            <w:tcW w:w="446" w:type="pct"/>
            <w:tcBorders>
              <w:top w:val="nil"/>
              <w:left w:val="nil"/>
              <w:bottom w:val="nil"/>
              <w:right w:val="nil"/>
            </w:tcBorders>
            <w:shd w:val="clear" w:color="auto" w:fill="auto"/>
            <w:noWrap/>
            <w:vAlign w:val="center"/>
          </w:tcPr>
          <w:p w14:paraId="40CF8032" w14:textId="77FEF6CF"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16.652.305</w:t>
            </w:r>
          </w:p>
        </w:tc>
        <w:tc>
          <w:tcPr>
            <w:tcW w:w="444" w:type="pct"/>
            <w:tcBorders>
              <w:top w:val="nil"/>
              <w:left w:val="nil"/>
              <w:bottom w:val="nil"/>
              <w:right w:val="nil"/>
            </w:tcBorders>
            <w:shd w:val="clear" w:color="auto" w:fill="auto"/>
            <w:noWrap/>
            <w:vAlign w:val="center"/>
          </w:tcPr>
          <w:p w14:paraId="7375E20A" w14:textId="7DF8EB81"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15.288.465</w:t>
            </w:r>
          </w:p>
        </w:tc>
        <w:tc>
          <w:tcPr>
            <w:tcW w:w="368" w:type="pct"/>
            <w:tcBorders>
              <w:top w:val="nil"/>
              <w:left w:val="nil"/>
              <w:bottom w:val="nil"/>
              <w:right w:val="nil"/>
            </w:tcBorders>
            <w:shd w:val="clear" w:color="auto" w:fill="auto"/>
            <w:noWrap/>
            <w:vAlign w:val="center"/>
          </w:tcPr>
          <w:p w14:paraId="0C6D9EB5" w14:textId="4769CA55"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22.054</w:t>
            </w:r>
          </w:p>
        </w:tc>
        <w:tc>
          <w:tcPr>
            <w:tcW w:w="331" w:type="pct"/>
            <w:tcBorders>
              <w:top w:val="nil"/>
              <w:left w:val="nil"/>
              <w:bottom w:val="nil"/>
              <w:right w:val="nil"/>
            </w:tcBorders>
            <w:shd w:val="clear" w:color="auto" w:fill="auto"/>
            <w:noWrap/>
            <w:vAlign w:val="center"/>
          </w:tcPr>
          <w:p w14:paraId="646E5002" w14:textId="202630D2"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1.092.593</w:t>
            </w:r>
          </w:p>
        </w:tc>
        <w:tc>
          <w:tcPr>
            <w:tcW w:w="387" w:type="pct"/>
            <w:tcBorders>
              <w:top w:val="nil"/>
              <w:left w:val="nil"/>
              <w:bottom w:val="nil"/>
              <w:right w:val="nil"/>
            </w:tcBorders>
            <w:shd w:val="clear" w:color="auto" w:fill="auto"/>
            <w:noWrap/>
            <w:vAlign w:val="center"/>
          </w:tcPr>
          <w:p w14:paraId="770036CA" w14:textId="4CEBA75C"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16.403.112</w:t>
            </w:r>
          </w:p>
        </w:tc>
        <w:tc>
          <w:tcPr>
            <w:tcW w:w="387" w:type="pct"/>
            <w:tcBorders>
              <w:top w:val="nil"/>
              <w:left w:val="nil"/>
              <w:bottom w:val="nil"/>
              <w:right w:val="nil"/>
            </w:tcBorders>
            <w:shd w:val="clear" w:color="auto" w:fill="auto"/>
            <w:noWrap/>
            <w:vAlign w:val="center"/>
          </w:tcPr>
          <w:p w14:paraId="5E42C9F5" w14:textId="608C2EE8"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15.994.569</w:t>
            </w:r>
          </w:p>
        </w:tc>
      </w:tr>
      <w:tr w:rsidR="00DE0C40" w:rsidRPr="00FF5914" w14:paraId="49FBA14C" w14:textId="77777777" w:rsidTr="00D83011">
        <w:trPr>
          <w:trHeight w:val="283"/>
        </w:trPr>
        <w:tc>
          <w:tcPr>
            <w:tcW w:w="1015" w:type="pct"/>
            <w:tcBorders>
              <w:top w:val="nil"/>
              <w:left w:val="nil"/>
              <w:bottom w:val="nil"/>
              <w:right w:val="nil"/>
            </w:tcBorders>
            <w:shd w:val="clear" w:color="auto" w:fill="auto"/>
            <w:noWrap/>
            <w:vAlign w:val="center"/>
            <w:hideMark/>
          </w:tcPr>
          <w:p w14:paraId="233A64EA"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Debêntures</w:t>
            </w:r>
          </w:p>
        </w:tc>
        <w:tc>
          <w:tcPr>
            <w:tcW w:w="476" w:type="pct"/>
            <w:tcBorders>
              <w:top w:val="nil"/>
              <w:left w:val="nil"/>
              <w:bottom w:val="nil"/>
              <w:right w:val="nil"/>
            </w:tcBorders>
            <w:shd w:val="clear" w:color="auto" w:fill="auto"/>
            <w:noWrap/>
            <w:vAlign w:val="center"/>
          </w:tcPr>
          <w:p w14:paraId="123E2214" w14:textId="2D339FC7"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7.138.195</w:t>
            </w:r>
          </w:p>
        </w:tc>
        <w:tc>
          <w:tcPr>
            <w:tcW w:w="372" w:type="pct"/>
            <w:tcBorders>
              <w:top w:val="nil"/>
              <w:left w:val="nil"/>
              <w:bottom w:val="nil"/>
              <w:right w:val="nil"/>
            </w:tcBorders>
            <w:shd w:val="clear" w:color="auto" w:fill="auto"/>
            <w:noWrap/>
            <w:vAlign w:val="center"/>
          </w:tcPr>
          <w:p w14:paraId="74AE0E2A" w14:textId="06BDE2CA"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4.873</w:t>
            </w:r>
          </w:p>
        </w:tc>
        <w:tc>
          <w:tcPr>
            <w:tcW w:w="330" w:type="pct"/>
            <w:tcBorders>
              <w:top w:val="nil"/>
              <w:left w:val="nil"/>
              <w:bottom w:val="nil"/>
              <w:right w:val="nil"/>
            </w:tcBorders>
            <w:shd w:val="clear" w:color="auto" w:fill="auto"/>
            <w:noWrap/>
            <w:vAlign w:val="center"/>
          </w:tcPr>
          <w:p w14:paraId="5462443D" w14:textId="75957C0E"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70.801</w:t>
            </w:r>
          </w:p>
        </w:tc>
        <w:tc>
          <w:tcPr>
            <w:tcW w:w="444" w:type="pct"/>
            <w:tcBorders>
              <w:top w:val="nil"/>
              <w:left w:val="nil"/>
              <w:bottom w:val="nil"/>
              <w:right w:val="nil"/>
            </w:tcBorders>
            <w:shd w:val="clear" w:color="auto" w:fill="auto"/>
            <w:noWrap/>
            <w:vAlign w:val="center"/>
          </w:tcPr>
          <w:p w14:paraId="58E0B00D" w14:textId="5CF87EE0"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7.213.869</w:t>
            </w:r>
          </w:p>
        </w:tc>
        <w:tc>
          <w:tcPr>
            <w:tcW w:w="446" w:type="pct"/>
            <w:tcBorders>
              <w:top w:val="nil"/>
              <w:left w:val="nil"/>
              <w:bottom w:val="nil"/>
              <w:right w:val="nil"/>
            </w:tcBorders>
            <w:shd w:val="clear" w:color="auto" w:fill="auto"/>
            <w:noWrap/>
            <w:vAlign w:val="center"/>
          </w:tcPr>
          <w:p w14:paraId="3ECEBF09" w14:textId="55930C8B"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6.414.260</w:t>
            </w:r>
          </w:p>
        </w:tc>
        <w:tc>
          <w:tcPr>
            <w:tcW w:w="444" w:type="pct"/>
            <w:tcBorders>
              <w:top w:val="nil"/>
              <w:left w:val="nil"/>
              <w:bottom w:val="nil"/>
              <w:right w:val="nil"/>
            </w:tcBorders>
            <w:shd w:val="clear" w:color="auto" w:fill="auto"/>
            <w:noWrap/>
            <w:vAlign w:val="center"/>
          </w:tcPr>
          <w:p w14:paraId="1C838DB8" w14:textId="29946143"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6.387.585</w:t>
            </w:r>
          </w:p>
        </w:tc>
        <w:tc>
          <w:tcPr>
            <w:tcW w:w="368" w:type="pct"/>
            <w:tcBorders>
              <w:top w:val="nil"/>
              <w:left w:val="nil"/>
              <w:bottom w:val="nil"/>
              <w:right w:val="nil"/>
            </w:tcBorders>
            <w:shd w:val="clear" w:color="auto" w:fill="auto"/>
            <w:noWrap/>
            <w:vAlign w:val="center"/>
          </w:tcPr>
          <w:p w14:paraId="7DE09053" w14:textId="65F28F0E"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5.832</w:t>
            </w:r>
          </w:p>
        </w:tc>
        <w:tc>
          <w:tcPr>
            <w:tcW w:w="331" w:type="pct"/>
            <w:tcBorders>
              <w:top w:val="nil"/>
              <w:left w:val="nil"/>
              <w:bottom w:val="nil"/>
              <w:right w:val="nil"/>
            </w:tcBorders>
            <w:shd w:val="clear" w:color="auto" w:fill="auto"/>
            <w:noWrap/>
            <w:vAlign w:val="center"/>
          </w:tcPr>
          <w:p w14:paraId="2B0DC11B" w14:textId="25670B64"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(2.511)</w:t>
            </w:r>
          </w:p>
        </w:tc>
        <w:tc>
          <w:tcPr>
            <w:tcW w:w="387" w:type="pct"/>
            <w:tcBorders>
              <w:top w:val="nil"/>
              <w:left w:val="nil"/>
              <w:bottom w:val="nil"/>
              <w:right w:val="nil"/>
            </w:tcBorders>
            <w:shd w:val="clear" w:color="auto" w:fill="auto"/>
            <w:noWrap/>
            <w:vAlign w:val="center"/>
          </w:tcPr>
          <w:p w14:paraId="49B5F383" w14:textId="39B8DE4A"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6.390.906</w:t>
            </w:r>
          </w:p>
        </w:tc>
        <w:tc>
          <w:tcPr>
            <w:tcW w:w="387" w:type="pct"/>
            <w:tcBorders>
              <w:top w:val="nil"/>
              <w:left w:val="nil"/>
              <w:bottom w:val="nil"/>
              <w:right w:val="nil"/>
            </w:tcBorders>
            <w:shd w:val="clear" w:color="auto" w:fill="auto"/>
            <w:noWrap/>
            <w:vAlign w:val="center"/>
          </w:tcPr>
          <w:p w14:paraId="644BC619" w14:textId="6E1FE48D"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5.638.976</w:t>
            </w:r>
          </w:p>
        </w:tc>
      </w:tr>
      <w:tr w:rsidR="00DE0C40" w:rsidRPr="00FF5914" w14:paraId="1D0611AC" w14:textId="77777777" w:rsidTr="00D83011">
        <w:trPr>
          <w:trHeight w:val="283"/>
        </w:trPr>
        <w:tc>
          <w:tcPr>
            <w:tcW w:w="1015" w:type="pct"/>
            <w:tcBorders>
              <w:top w:val="nil"/>
              <w:left w:val="nil"/>
              <w:bottom w:val="nil"/>
              <w:right w:val="nil"/>
            </w:tcBorders>
            <w:shd w:val="clear" w:color="auto" w:fill="auto"/>
            <w:noWrap/>
            <w:vAlign w:val="center"/>
            <w:hideMark/>
          </w:tcPr>
          <w:p w14:paraId="5567AFE2"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Nota Promissória</w:t>
            </w:r>
          </w:p>
        </w:tc>
        <w:tc>
          <w:tcPr>
            <w:tcW w:w="476" w:type="pct"/>
            <w:tcBorders>
              <w:top w:val="nil"/>
              <w:left w:val="nil"/>
              <w:bottom w:val="nil"/>
              <w:right w:val="nil"/>
            </w:tcBorders>
            <w:shd w:val="clear" w:color="auto" w:fill="auto"/>
            <w:noWrap/>
            <w:vAlign w:val="center"/>
          </w:tcPr>
          <w:p w14:paraId="05D351B0" w14:textId="25A4A9E6"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231.818</w:t>
            </w:r>
          </w:p>
        </w:tc>
        <w:tc>
          <w:tcPr>
            <w:tcW w:w="372" w:type="pct"/>
            <w:tcBorders>
              <w:top w:val="nil"/>
              <w:left w:val="nil"/>
              <w:bottom w:val="nil"/>
              <w:right w:val="nil"/>
            </w:tcBorders>
            <w:shd w:val="clear" w:color="auto" w:fill="auto"/>
            <w:noWrap/>
            <w:vAlign w:val="center"/>
          </w:tcPr>
          <w:p w14:paraId="16F18596" w14:textId="3443D630" w:rsidR="00DE0C40" w:rsidRPr="006B2B75" w:rsidRDefault="003C5B09" w:rsidP="00DE0C40">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4A9E8B41" w14:textId="31C9EB68"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1.065</w:t>
            </w:r>
          </w:p>
        </w:tc>
        <w:tc>
          <w:tcPr>
            <w:tcW w:w="444" w:type="pct"/>
            <w:tcBorders>
              <w:top w:val="nil"/>
              <w:left w:val="nil"/>
              <w:bottom w:val="nil"/>
              <w:right w:val="nil"/>
            </w:tcBorders>
            <w:shd w:val="clear" w:color="auto" w:fill="auto"/>
            <w:noWrap/>
            <w:vAlign w:val="center"/>
          </w:tcPr>
          <w:p w14:paraId="3F512C8E" w14:textId="2C54976D"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232.883</w:t>
            </w:r>
          </w:p>
        </w:tc>
        <w:tc>
          <w:tcPr>
            <w:tcW w:w="446" w:type="pct"/>
            <w:tcBorders>
              <w:top w:val="nil"/>
              <w:left w:val="nil"/>
              <w:bottom w:val="nil"/>
              <w:right w:val="nil"/>
            </w:tcBorders>
            <w:shd w:val="clear" w:color="auto" w:fill="auto"/>
            <w:noWrap/>
            <w:vAlign w:val="center"/>
          </w:tcPr>
          <w:p w14:paraId="28272BAA" w14:textId="32A032FE"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232.883</w:t>
            </w:r>
          </w:p>
        </w:tc>
        <w:tc>
          <w:tcPr>
            <w:tcW w:w="444" w:type="pct"/>
            <w:tcBorders>
              <w:top w:val="nil"/>
              <w:left w:val="nil"/>
              <w:bottom w:val="nil"/>
              <w:right w:val="nil"/>
            </w:tcBorders>
            <w:shd w:val="clear" w:color="auto" w:fill="auto"/>
            <w:noWrap/>
            <w:vAlign w:val="center"/>
          </w:tcPr>
          <w:p w14:paraId="01C2D7B4" w14:textId="5CC41C4D"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224.261</w:t>
            </w:r>
          </w:p>
        </w:tc>
        <w:tc>
          <w:tcPr>
            <w:tcW w:w="368" w:type="pct"/>
            <w:tcBorders>
              <w:top w:val="nil"/>
              <w:left w:val="nil"/>
              <w:bottom w:val="nil"/>
              <w:right w:val="nil"/>
            </w:tcBorders>
            <w:shd w:val="clear" w:color="auto" w:fill="auto"/>
            <w:noWrap/>
            <w:vAlign w:val="center"/>
          </w:tcPr>
          <w:p w14:paraId="2AD9B7AF" w14:textId="18622211" w:rsidR="00DE0C40" w:rsidRPr="006B2B75"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7D687D41" w14:textId="2CDC630D"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1.000</w:t>
            </w:r>
          </w:p>
        </w:tc>
        <w:tc>
          <w:tcPr>
            <w:tcW w:w="387" w:type="pct"/>
            <w:tcBorders>
              <w:top w:val="nil"/>
              <w:left w:val="nil"/>
              <w:bottom w:val="nil"/>
              <w:right w:val="nil"/>
            </w:tcBorders>
            <w:shd w:val="clear" w:color="auto" w:fill="auto"/>
            <w:noWrap/>
            <w:vAlign w:val="center"/>
          </w:tcPr>
          <w:p w14:paraId="2C9A1ECD" w14:textId="6C1F262A"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225.261</w:t>
            </w:r>
          </w:p>
        </w:tc>
        <w:tc>
          <w:tcPr>
            <w:tcW w:w="387" w:type="pct"/>
            <w:tcBorders>
              <w:top w:val="nil"/>
              <w:left w:val="nil"/>
              <w:bottom w:val="nil"/>
              <w:right w:val="nil"/>
            </w:tcBorders>
            <w:shd w:val="clear" w:color="auto" w:fill="auto"/>
            <w:noWrap/>
            <w:vAlign w:val="center"/>
          </w:tcPr>
          <w:p w14:paraId="2F9C5F70" w14:textId="098F4F2B"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225.261</w:t>
            </w:r>
          </w:p>
        </w:tc>
      </w:tr>
      <w:tr w:rsidR="00DE0C40" w:rsidRPr="00FF5914" w14:paraId="42076EE0" w14:textId="77777777" w:rsidTr="006B2B75">
        <w:trPr>
          <w:trHeight w:val="283"/>
        </w:trPr>
        <w:tc>
          <w:tcPr>
            <w:tcW w:w="1015" w:type="pct"/>
            <w:tcBorders>
              <w:top w:val="nil"/>
              <w:left w:val="nil"/>
              <w:bottom w:val="nil"/>
              <w:right w:val="nil"/>
            </w:tcBorders>
            <w:shd w:val="clear" w:color="auto" w:fill="auto"/>
            <w:noWrap/>
            <w:vAlign w:val="center"/>
            <w:hideMark/>
          </w:tcPr>
          <w:p w14:paraId="0CE0BFFD" w14:textId="1F32A953"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Cotas de fundos (1)</w:t>
            </w:r>
          </w:p>
        </w:tc>
        <w:tc>
          <w:tcPr>
            <w:tcW w:w="476" w:type="pct"/>
            <w:tcBorders>
              <w:top w:val="nil"/>
              <w:left w:val="nil"/>
              <w:bottom w:val="nil"/>
              <w:right w:val="nil"/>
            </w:tcBorders>
            <w:shd w:val="clear" w:color="auto" w:fill="auto"/>
            <w:noWrap/>
            <w:vAlign w:val="center"/>
          </w:tcPr>
          <w:p w14:paraId="253211D9" w14:textId="0B4F1DBD" w:rsidR="00DE0C40" w:rsidRPr="00FF5914" w:rsidRDefault="00DE0C40" w:rsidP="00DE0C40">
            <w:pPr>
              <w:jc w:val="right"/>
              <w:rPr>
                <w:rFonts w:ascii="CAIXA Std Book" w:hAnsi="CAIXA Std Book" w:cs="Arial"/>
                <w:bCs/>
                <w:color w:val="005CA9"/>
                <w:sz w:val="16"/>
                <w:szCs w:val="16"/>
              </w:rPr>
            </w:pPr>
            <w:r>
              <w:rPr>
                <w:rFonts w:ascii="CAIXA Std Book" w:hAnsi="CAIXA Std Book" w:cs="Arial"/>
                <w:color w:val="005CA9"/>
                <w:sz w:val="16"/>
                <w:szCs w:val="16"/>
              </w:rPr>
              <w:t>432.314</w:t>
            </w:r>
          </w:p>
        </w:tc>
        <w:tc>
          <w:tcPr>
            <w:tcW w:w="372" w:type="pct"/>
            <w:tcBorders>
              <w:top w:val="nil"/>
              <w:left w:val="nil"/>
              <w:bottom w:val="nil"/>
              <w:right w:val="nil"/>
            </w:tcBorders>
            <w:shd w:val="clear" w:color="auto" w:fill="auto"/>
            <w:noWrap/>
            <w:vAlign w:val="center"/>
          </w:tcPr>
          <w:p w14:paraId="0CE36982" w14:textId="7CF97CA9" w:rsidR="00DE0C40" w:rsidRPr="002D2F68" w:rsidRDefault="00DE0C40" w:rsidP="00DE0C40">
            <w:pPr>
              <w:jc w:val="right"/>
              <w:rPr>
                <w:rFonts w:ascii="CAIXA Std Book" w:hAnsi="CAIXA Std Book" w:cs="Arial"/>
                <w:b/>
                <w:color w:val="005CA9"/>
                <w:sz w:val="16"/>
                <w:szCs w:val="16"/>
              </w:rPr>
            </w:pPr>
            <w:r>
              <w:rPr>
                <w:rFonts w:ascii="CAIXA Std Book" w:hAnsi="CAIXA Std Book" w:cs="Arial"/>
                <w:color w:val="005CA9"/>
                <w:sz w:val="16"/>
                <w:szCs w:val="16"/>
              </w:rPr>
              <w:t>6.</w:t>
            </w:r>
            <w:r w:rsidR="00922377">
              <w:rPr>
                <w:rFonts w:ascii="CAIXA Std Book" w:hAnsi="CAIXA Std Book" w:cs="Arial"/>
                <w:color w:val="005CA9"/>
                <w:sz w:val="16"/>
                <w:szCs w:val="16"/>
              </w:rPr>
              <w:t>153</w:t>
            </w:r>
          </w:p>
        </w:tc>
        <w:tc>
          <w:tcPr>
            <w:tcW w:w="330" w:type="pct"/>
            <w:tcBorders>
              <w:top w:val="nil"/>
              <w:left w:val="nil"/>
              <w:bottom w:val="nil"/>
              <w:right w:val="nil"/>
            </w:tcBorders>
            <w:shd w:val="clear" w:color="auto" w:fill="auto"/>
            <w:noWrap/>
            <w:vAlign w:val="center"/>
          </w:tcPr>
          <w:p w14:paraId="0B535222" w14:textId="796669A4" w:rsidR="00DE0C40" w:rsidRPr="002D2F68" w:rsidRDefault="00DE0C40" w:rsidP="00DE0C40">
            <w:pPr>
              <w:jc w:val="right"/>
              <w:rPr>
                <w:rFonts w:ascii="CAIXA Std Book" w:hAnsi="CAIXA Std Book" w:cs="Arial"/>
                <w:b/>
                <w:color w:val="005CA9"/>
                <w:sz w:val="16"/>
                <w:szCs w:val="16"/>
              </w:rPr>
            </w:pPr>
            <w:r>
              <w:rPr>
                <w:rFonts w:ascii="CAIXA Std Book" w:hAnsi="CAIXA Std Book" w:cs="Arial"/>
                <w:color w:val="005CA9"/>
                <w:sz w:val="16"/>
                <w:szCs w:val="16"/>
              </w:rPr>
              <w:t>1.017.024</w:t>
            </w:r>
          </w:p>
        </w:tc>
        <w:tc>
          <w:tcPr>
            <w:tcW w:w="444" w:type="pct"/>
            <w:tcBorders>
              <w:top w:val="nil"/>
              <w:left w:val="nil"/>
              <w:bottom w:val="nil"/>
              <w:right w:val="nil"/>
            </w:tcBorders>
            <w:shd w:val="clear" w:color="auto" w:fill="auto"/>
            <w:noWrap/>
            <w:vAlign w:val="center"/>
          </w:tcPr>
          <w:p w14:paraId="168294C8" w14:textId="4E90CDFD" w:rsidR="00DE0C40" w:rsidRPr="003C5B09" w:rsidRDefault="00DE0C40" w:rsidP="00DE0C40">
            <w:pPr>
              <w:jc w:val="right"/>
              <w:rPr>
                <w:rFonts w:ascii="CAIXA Std Book" w:hAnsi="CAIXA Std Book" w:cs="Arial"/>
                <w:color w:val="005CA9"/>
                <w:sz w:val="16"/>
                <w:szCs w:val="16"/>
              </w:rPr>
            </w:pPr>
            <w:r w:rsidRPr="003C5B09">
              <w:rPr>
                <w:rFonts w:ascii="CAIXA Std Book" w:hAnsi="CAIXA Std Book" w:cs="Arial"/>
                <w:color w:val="005CA9"/>
                <w:sz w:val="16"/>
                <w:szCs w:val="16"/>
              </w:rPr>
              <w:t>1.455.491</w:t>
            </w:r>
          </w:p>
        </w:tc>
        <w:tc>
          <w:tcPr>
            <w:tcW w:w="446" w:type="pct"/>
            <w:tcBorders>
              <w:top w:val="nil"/>
              <w:left w:val="nil"/>
              <w:bottom w:val="nil"/>
              <w:right w:val="nil"/>
            </w:tcBorders>
            <w:shd w:val="clear" w:color="auto" w:fill="auto"/>
            <w:noWrap/>
            <w:vAlign w:val="center"/>
          </w:tcPr>
          <w:p w14:paraId="2A927980" w14:textId="0F15093F" w:rsidR="00DE0C40" w:rsidRPr="003C5B09" w:rsidRDefault="00DE0C40" w:rsidP="00DE0C40">
            <w:pPr>
              <w:jc w:val="right"/>
              <w:rPr>
                <w:rFonts w:ascii="CAIXA Std Book" w:hAnsi="CAIXA Std Book" w:cs="Arial"/>
                <w:color w:val="005CA9"/>
                <w:sz w:val="16"/>
                <w:szCs w:val="16"/>
              </w:rPr>
            </w:pPr>
            <w:r w:rsidRPr="003C5B09">
              <w:rPr>
                <w:rFonts w:ascii="CAIXA Std Book" w:hAnsi="CAIXA Std Book" w:cs="Arial"/>
                <w:color w:val="005CA9"/>
                <w:sz w:val="16"/>
                <w:szCs w:val="16"/>
              </w:rPr>
              <w:t>1.455.491</w:t>
            </w:r>
          </w:p>
        </w:tc>
        <w:tc>
          <w:tcPr>
            <w:tcW w:w="444" w:type="pct"/>
            <w:tcBorders>
              <w:top w:val="nil"/>
              <w:left w:val="nil"/>
              <w:bottom w:val="nil"/>
              <w:right w:val="nil"/>
            </w:tcBorders>
            <w:shd w:val="clear" w:color="auto" w:fill="auto"/>
            <w:noWrap/>
            <w:vAlign w:val="center"/>
          </w:tcPr>
          <w:p w14:paraId="504BE9DB" w14:textId="50A1523A"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432.028</w:t>
            </w:r>
          </w:p>
        </w:tc>
        <w:tc>
          <w:tcPr>
            <w:tcW w:w="368" w:type="pct"/>
            <w:tcBorders>
              <w:top w:val="nil"/>
              <w:left w:val="nil"/>
              <w:bottom w:val="nil"/>
              <w:right w:val="nil"/>
            </w:tcBorders>
            <w:shd w:val="clear" w:color="auto" w:fill="auto"/>
            <w:noWrap/>
            <w:vAlign w:val="center"/>
          </w:tcPr>
          <w:p w14:paraId="0B5765E8" w14:textId="39566FF7"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100.232</w:t>
            </w:r>
          </w:p>
        </w:tc>
        <w:tc>
          <w:tcPr>
            <w:tcW w:w="331" w:type="pct"/>
            <w:tcBorders>
              <w:top w:val="nil"/>
              <w:left w:val="nil"/>
              <w:bottom w:val="nil"/>
              <w:right w:val="nil"/>
            </w:tcBorders>
            <w:shd w:val="clear" w:color="auto" w:fill="auto"/>
            <w:noWrap/>
            <w:vAlign w:val="center"/>
          </w:tcPr>
          <w:p w14:paraId="32ED259C" w14:textId="08CA039F"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970.025</w:t>
            </w:r>
          </w:p>
        </w:tc>
        <w:tc>
          <w:tcPr>
            <w:tcW w:w="387" w:type="pct"/>
            <w:tcBorders>
              <w:top w:val="nil"/>
              <w:left w:val="nil"/>
              <w:bottom w:val="nil"/>
              <w:right w:val="nil"/>
            </w:tcBorders>
            <w:shd w:val="clear" w:color="auto" w:fill="auto"/>
            <w:noWrap/>
            <w:vAlign w:val="center"/>
          </w:tcPr>
          <w:p w14:paraId="4EC8B194" w14:textId="29BA0D09"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1.502.285</w:t>
            </w:r>
          </w:p>
        </w:tc>
        <w:tc>
          <w:tcPr>
            <w:tcW w:w="387" w:type="pct"/>
            <w:tcBorders>
              <w:top w:val="nil"/>
              <w:left w:val="nil"/>
              <w:bottom w:val="nil"/>
              <w:right w:val="nil"/>
            </w:tcBorders>
            <w:shd w:val="clear" w:color="auto" w:fill="auto"/>
            <w:noWrap/>
            <w:vAlign w:val="center"/>
          </w:tcPr>
          <w:p w14:paraId="045167CA" w14:textId="584E4FD3"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1.502.285</w:t>
            </w:r>
          </w:p>
        </w:tc>
      </w:tr>
      <w:tr w:rsidR="00DE0C40" w:rsidRPr="00FF5914" w14:paraId="5F71A38B" w14:textId="77777777" w:rsidTr="00D83011">
        <w:trPr>
          <w:trHeight w:val="283"/>
        </w:trPr>
        <w:tc>
          <w:tcPr>
            <w:tcW w:w="1015" w:type="pct"/>
            <w:tcBorders>
              <w:top w:val="nil"/>
              <w:left w:val="nil"/>
              <w:bottom w:val="nil"/>
              <w:right w:val="nil"/>
            </w:tcBorders>
            <w:shd w:val="clear" w:color="auto" w:fill="auto"/>
            <w:noWrap/>
            <w:vAlign w:val="center"/>
            <w:hideMark/>
          </w:tcPr>
          <w:p w14:paraId="32354D95" w14:textId="19D8697E"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Certificado de recebíveis imobiliários</w:t>
            </w:r>
          </w:p>
        </w:tc>
        <w:tc>
          <w:tcPr>
            <w:tcW w:w="476" w:type="pct"/>
            <w:tcBorders>
              <w:top w:val="nil"/>
              <w:left w:val="nil"/>
              <w:bottom w:val="nil"/>
              <w:right w:val="nil"/>
            </w:tcBorders>
            <w:shd w:val="clear" w:color="auto" w:fill="auto"/>
            <w:noWrap/>
            <w:vAlign w:val="center"/>
          </w:tcPr>
          <w:p w14:paraId="41EE2E89" w14:textId="29FD7CEC"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3.510.573</w:t>
            </w:r>
          </w:p>
        </w:tc>
        <w:tc>
          <w:tcPr>
            <w:tcW w:w="372" w:type="pct"/>
            <w:tcBorders>
              <w:top w:val="nil"/>
              <w:left w:val="nil"/>
              <w:bottom w:val="nil"/>
              <w:right w:val="nil"/>
            </w:tcBorders>
            <w:shd w:val="clear" w:color="auto" w:fill="auto"/>
            <w:noWrap/>
            <w:vAlign w:val="center"/>
          </w:tcPr>
          <w:p w14:paraId="697C1CB4" w14:textId="429A24A3" w:rsidR="00DE0C40" w:rsidRPr="006B2B75" w:rsidRDefault="003C5B09" w:rsidP="00DE0C40">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5966048C" w14:textId="74257519"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14.151</w:t>
            </w:r>
          </w:p>
        </w:tc>
        <w:tc>
          <w:tcPr>
            <w:tcW w:w="444" w:type="pct"/>
            <w:tcBorders>
              <w:top w:val="nil"/>
              <w:left w:val="nil"/>
              <w:bottom w:val="nil"/>
              <w:right w:val="nil"/>
            </w:tcBorders>
            <w:shd w:val="clear" w:color="auto" w:fill="auto"/>
            <w:noWrap/>
            <w:vAlign w:val="center"/>
          </w:tcPr>
          <w:p w14:paraId="39C962ED" w14:textId="11033A40"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3.524.724</w:t>
            </w:r>
          </w:p>
        </w:tc>
        <w:tc>
          <w:tcPr>
            <w:tcW w:w="446" w:type="pct"/>
            <w:tcBorders>
              <w:top w:val="nil"/>
              <w:left w:val="nil"/>
              <w:bottom w:val="nil"/>
              <w:right w:val="nil"/>
            </w:tcBorders>
            <w:shd w:val="clear" w:color="auto" w:fill="auto"/>
            <w:noWrap/>
            <w:vAlign w:val="center"/>
          </w:tcPr>
          <w:p w14:paraId="7DE4DF6F" w14:textId="47865B7D"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3.785.919</w:t>
            </w:r>
          </w:p>
        </w:tc>
        <w:tc>
          <w:tcPr>
            <w:tcW w:w="444" w:type="pct"/>
            <w:tcBorders>
              <w:top w:val="nil"/>
              <w:left w:val="nil"/>
              <w:bottom w:val="nil"/>
              <w:right w:val="nil"/>
            </w:tcBorders>
            <w:shd w:val="clear" w:color="auto" w:fill="auto"/>
            <w:noWrap/>
            <w:vAlign w:val="center"/>
          </w:tcPr>
          <w:p w14:paraId="505C8E26" w14:textId="64122027"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3.498.603</w:t>
            </w:r>
          </w:p>
        </w:tc>
        <w:tc>
          <w:tcPr>
            <w:tcW w:w="368" w:type="pct"/>
            <w:tcBorders>
              <w:top w:val="nil"/>
              <w:left w:val="nil"/>
              <w:bottom w:val="nil"/>
              <w:right w:val="nil"/>
            </w:tcBorders>
            <w:shd w:val="clear" w:color="auto" w:fill="auto"/>
            <w:noWrap/>
            <w:vAlign w:val="center"/>
          </w:tcPr>
          <w:p w14:paraId="09C62625" w14:textId="0EFE9BC9" w:rsidR="00DE0C40" w:rsidRPr="006B2B75"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11B200DB" w14:textId="37C67B98"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53.361</w:t>
            </w:r>
          </w:p>
        </w:tc>
        <w:tc>
          <w:tcPr>
            <w:tcW w:w="387" w:type="pct"/>
            <w:tcBorders>
              <w:top w:val="nil"/>
              <w:left w:val="nil"/>
              <w:bottom w:val="nil"/>
              <w:right w:val="nil"/>
            </w:tcBorders>
            <w:shd w:val="clear" w:color="auto" w:fill="auto"/>
            <w:noWrap/>
            <w:vAlign w:val="center"/>
          </w:tcPr>
          <w:p w14:paraId="74D799DD" w14:textId="59558394"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3.551.964</w:t>
            </w:r>
          </w:p>
        </w:tc>
        <w:tc>
          <w:tcPr>
            <w:tcW w:w="387" w:type="pct"/>
            <w:tcBorders>
              <w:top w:val="nil"/>
              <w:left w:val="nil"/>
              <w:bottom w:val="nil"/>
              <w:right w:val="nil"/>
            </w:tcBorders>
            <w:shd w:val="clear" w:color="auto" w:fill="auto"/>
            <w:noWrap/>
            <w:vAlign w:val="center"/>
          </w:tcPr>
          <w:p w14:paraId="0E3697FE" w14:textId="2CED900B"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3.895.351</w:t>
            </w:r>
          </w:p>
        </w:tc>
      </w:tr>
      <w:tr w:rsidR="00DE0C40" w:rsidRPr="00FF5914" w14:paraId="071DC0BA" w14:textId="77777777" w:rsidTr="00D83011">
        <w:trPr>
          <w:trHeight w:val="283"/>
        </w:trPr>
        <w:tc>
          <w:tcPr>
            <w:tcW w:w="1015" w:type="pct"/>
            <w:tcBorders>
              <w:top w:val="nil"/>
              <w:left w:val="nil"/>
              <w:bottom w:val="nil"/>
              <w:right w:val="nil"/>
            </w:tcBorders>
            <w:shd w:val="clear" w:color="auto" w:fill="auto"/>
            <w:noWrap/>
            <w:vAlign w:val="center"/>
            <w:hideMark/>
          </w:tcPr>
          <w:p w14:paraId="259BF526"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Ações</w:t>
            </w:r>
          </w:p>
        </w:tc>
        <w:tc>
          <w:tcPr>
            <w:tcW w:w="476" w:type="pct"/>
            <w:tcBorders>
              <w:top w:val="nil"/>
              <w:left w:val="nil"/>
              <w:bottom w:val="nil"/>
              <w:right w:val="nil"/>
            </w:tcBorders>
            <w:shd w:val="clear" w:color="auto" w:fill="auto"/>
            <w:noWrap/>
            <w:vAlign w:val="center"/>
          </w:tcPr>
          <w:p w14:paraId="6B186AA0" w14:textId="2C8C1FAC"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114.033</w:t>
            </w:r>
          </w:p>
        </w:tc>
        <w:tc>
          <w:tcPr>
            <w:tcW w:w="372" w:type="pct"/>
            <w:tcBorders>
              <w:top w:val="nil"/>
              <w:left w:val="nil"/>
              <w:bottom w:val="nil"/>
              <w:right w:val="nil"/>
            </w:tcBorders>
            <w:shd w:val="clear" w:color="auto" w:fill="auto"/>
            <w:noWrap/>
            <w:vAlign w:val="center"/>
          </w:tcPr>
          <w:p w14:paraId="22BF6254" w14:textId="16A7C6C7" w:rsidR="00DE0C40" w:rsidRPr="006B2B75" w:rsidRDefault="003C5B09" w:rsidP="00DE0C40">
            <w:pPr>
              <w:jc w:val="right"/>
              <w:rPr>
                <w:rFonts w:ascii="CAIXA Std Book" w:hAnsi="CAIXA Std Book" w:cs="Arial"/>
                <w:color w:val="005CA9"/>
                <w:sz w:val="16"/>
                <w:szCs w:val="16"/>
              </w:rPr>
            </w:pPr>
            <w:r>
              <w:rPr>
                <w:rFonts w:ascii="CAIXA Std Book" w:hAnsi="CAIXA Std Book" w:cs="Arial"/>
                <w:color w:val="005CA9"/>
                <w:sz w:val="16"/>
                <w:szCs w:val="16"/>
              </w:rPr>
              <w:t>(</w:t>
            </w:r>
            <w:r w:rsidR="00DE0C40">
              <w:rPr>
                <w:rFonts w:ascii="CAIXA Std Book" w:hAnsi="CAIXA Std Book" w:cs="Arial"/>
                <w:color w:val="005CA9"/>
                <w:sz w:val="16"/>
                <w:szCs w:val="16"/>
              </w:rPr>
              <w:t>87.646</w:t>
            </w: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232C0111" w14:textId="3D818A19" w:rsidR="00DE0C40" w:rsidRPr="006B2B75" w:rsidRDefault="003C5B09" w:rsidP="00DE0C40">
            <w:pPr>
              <w:jc w:val="right"/>
              <w:rPr>
                <w:rFonts w:ascii="CAIXA Std Book" w:hAnsi="CAIXA Std Book" w:cs="Arial"/>
                <w:color w:val="005CA9"/>
                <w:sz w:val="16"/>
                <w:szCs w:val="16"/>
              </w:rPr>
            </w:pPr>
            <w:r>
              <w:rPr>
                <w:rFonts w:ascii="CAIXA Std Book" w:hAnsi="CAIXA Std Book" w:cs="Arial"/>
                <w:color w:val="005CA9"/>
                <w:sz w:val="16"/>
                <w:szCs w:val="16"/>
              </w:rPr>
              <w:t>(</w:t>
            </w:r>
            <w:r w:rsidR="00DE0C40">
              <w:rPr>
                <w:rFonts w:ascii="CAIXA Std Book" w:hAnsi="CAIXA Std Book" w:cs="Arial"/>
                <w:color w:val="005CA9"/>
                <w:sz w:val="16"/>
                <w:szCs w:val="16"/>
              </w:rPr>
              <w:t>2.647</w:t>
            </w:r>
            <w:r>
              <w:rPr>
                <w:rFonts w:ascii="CAIXA Std Book" w:hAnsi="CAIXA Std Book" w:cs="Arial"/>
                <w:color w:val="005CA9"/>
                <w:sz w:val="16"/>
                <w:szCs w:val="16"/>
              </w:rPr>
              <w:t>)</w:t>
            </w:r>
          </w:p>
        </w:tc>
        <w:tc>
          <w:tcPr>
            <w:tcW w:w="444" w:type="pct"/>
            <w:tcBorders>
              <w:top w:val="nil"/>
              <w:left w:val="nil"/>
              <w:bottom w:val="nil"/>
              <w:right w:val="nil"/>
            </w:tcBorders>
            <w:shd w:val="clear" w:color="auto" w:fill="auto"/>
            <w:noWrap/>
            <w:vAlign w:val="center"/>
          </w:tcPr>
          <w:p w14:paraId="6A31A6C4" w14:textId="49E326F8"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23.740</w:t>
            </w:r>
          </w:p>
        </w:tc>
        <w:tc>
          <w:tcPr>
            <w:tcW w:w="446" w:type="pct"/>
            <w:tcBorders>
              <w:top w:val="nil"/>
              <w:left w:val="nil"/>
              <w:bottom w:val="nil"/>
              <w:right w:val="nil"/>
            </w:tcBorders>
            <w:shd w:val="clear" w:color="auto" w:fill="auto"/>
            <w:noWrap/>
            <w:vAlign w:val="center"/>
          </w:tcPr>
          <w:p w14:paraId="0DD792E2" w14:textId="76F2C97D"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23.740</w:t>
            </w:r>
          </w:p>
        </w:tc>
        <w:tc>
          <w:tcPr>
            <w:tcW w:w="444" w:type="pct"/>
            <w:tcBorders>
              <w:top w:val="nil"/>
              <w:left w:val="nil"/>
              <w:bottom w:val="nil"/>
              <w:right w:val="nil"/>
            </w:tcBorders>
            <w:shd w:val="clear" w:color="auto" w:fill="auto"/>
            <w:noWrap/>
            <w:vAlign w:val="center"/>
          </w:tcPr>
          <w:p w14:paraId="222AAE3D" w14:textId="43081483"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124.654</w:t>
            </w:r>
          </w:p>
        </w:tc>
        <w:tc>
          <w:tcPr>
            <w:tcW w:w="368" w:type="pct"/>
            <w:tcBorders>
              <w:top w:val="nil"/>
              <w:left w:val="nil"/>
              <w:bottom w:val="nil"/>
              <w:right w:val="nil"/>
            </w:tcBorders>
            <w:shd w:val="clear" w:color="auto" w:fill="auto"/>
            <w:noWrap/>
            <w:vAlign w:val="center"/>
          </w:tcPr>
          <w:p w14:paraId="5A6B0E3C" w14:textId="2807C2A7"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(84.010)</w:t>
            </w:r>
          </w:p>
        </w:tc>
        <w:tc>
          <w:tcPr>
            <w:tcW w:w="331" w:type="pct"/>
            <w:tcBorders>
              <w:top w:val="nil"/>
              <w:left w:val="nil"/>
              <w:bottom w:val="nil"/>
              <w:right w:val="nil"/>
            </w:tcBorders>
            <w:shd w:val="clear" w:color="auto" w:fill="auto"/>
            <w:noWrap/>
            <w:vAlign w:val="center"/>
          </w:tcPr>
          <w:p w14:paraId="580DF6DA" w14:textId="4CC34B12"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(10.162)</w:t>
            </w:r>
          </w:p>
        </w:tc>
        <w:tc>
          <w:tcPr>
            <w:tcW w:w="387" w:type="pct"/>
            <w:tcBorders>
              <w:top w:val="nil"/>
              <w:left w:val="nil"/>
              <w:bottom w:val="nil"/>
              <w:right w:val="nil"/>
            </w:tcBorders>
            <w:shd w:val="clear" w:color="auto" w:fill="auto"/>
            <w:noWrap/>
            <w:vAlign w:val="center"/>
          </w:tcPr>
          <w:p w14:paraId="2AC3E7FB" w14:textId="295D6178"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30.482</w:t>
            </w:r>
          </w:p>
        </w:tc>
        <w:tc>
          <w:tcPr>
            <w:tcW w:w="387" w:type="pct"/>
            <w:tcBorders>
              <w:top w:val="nil"/>
              <w:left w:val="nil"/>
              <w:bottom w:val="nil"/>
              <w:right w:val="nil"/>
            </w:tcBorders>
            <w:shd w:val="clear" w:color="auto" w:fill="auto"/>
            <w:noWrap/>
            <w:vAlign w:val="center"/>
          </w:tcPr>
          <w:p w14:paraId="38A75968" w14:textId="511112B0"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30.482</w:t>
            </w:r>
          </w:p>
        </w:tc>
      </w:tr>
      <w:tr w:rsidR="00DE0C40" w:rsidRPr="00FF5914" w14:paraId="5F814E9B" w14:textId="77777777" w:rsidTr="00D83011">
        <w:trPr>
          <w:trHeight w:val="283"/>
        </w:trPr>
        <w:tc>
          <w:tcPr>
            <w:tcW w:w="1015" w:type="pct"/>
            <w:tcBorders>
              <w:top w:val="nil"/>
              <w:left w:val="nil"/>
              <w:bottom w:val="nil"/>
              <w:right w:val="nil"/>
            </w:tcBorders>
            <w:shd w:val="clear" w:color="auto" w:fill="auto"/>
            <w:noWrap/>
            <w:vAlign w:val="center"/>
            <w:hideMark/>
          </w:tcPr>
          <w:p w14:paraId="1B776029"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Letras financeiras</w:t>
            </w:r>
          </w:p>
        </w:tc>
        <w:tc>
          <w:tcPr>
            <w:tcW w:w="476" w:type="pct"/>
            <w:tcBorders>
              <w:top w:val="nil"/>
              <w:left w:val="nil"/>
              <w:bottom w:val="nil"/>
              <w:right w:val="nil"/>
            </w:tcBorders>
            <w:shd w:val="clear" w:color="auto" w:fill="auto"/>
            <w:noWrap/>
            <w:vAlign w:val="center"/>
          </w:tcPr>
          <w:p w14:paraId="4DB0CE66" w14:textId="7A99EF10"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4.167.919</w:t>
            </w:r>
          </w:p>
        </w:tc>
        <w:tc>
          <w:tcPr>
            <w:tcW w:w="372" w:type="pct"/>
            <w:tcBorders>
              <w:top w:val="nil"/>
              <w:left w:val="nil"/>
              <w:bottom w:val="nil"/>
              <w:right w:val="nil"/>
            </w:tcBorders>
            <w:shd w:val="clear" w:color="auto" w:fill="auto"/>
            <w:noWrap/>
            <w:vAlign w:val="center"/>
          </w:tcPr>
          <w:p w14:paraId="12EB002A" w14:textId="72B45937" w:rsidR="00DE0C40" w:rsidRPr="006B2B75" w:rsidRDefault="003C5B09" w:rsidP="00DE0C40">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5C720E51" w14:textId="31B0AD77"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66.982</w:t>
            </w:r>
          </w:p>
        </w:tc>
        <w:tc>
          <w:tcPr>
            <w:tcW w:w="444" w:type="pct"/>
            <w:tcBorders>
              <w:top w:val="nil"/>
              <w:left w:val="nil"/>
              <w:bottom w:val="nil"/>
              <w:right w:val="nil"/>
            </w:tcBorders>
            <w:shd w:val="clear" w:color="auto" w:fill="auto"/>
            <w:noWrap/>
            <w:vAlign w:val="center"/>
          </w:tcPr>
          <w:p w14:paraId="1E9C2912" w14:textId="083E5C1F"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4.234.901</w:t>
            </w:r>
          </w:p>
        </w:tc>
        <w:tc>
          <w:tcPr>
            <w:tcW w:w="446" w:type="pct"/>
            <w:tcBorders>
              <w:top w:val="nil"/>
              <w:left w:val="nil"/>
              <w:bottom w:val="nil"/>
              <w:right w:val="nil"/>
            </w:tcBorders>
            <w:shd w:val="clear" w:color="auto" w:fill="auto"/>
            <w:noWrap/>
            <w:vAlign w:val="center"/>
          </w:tcPr>
          <w:p w14:paraId="67E063BD" w14:textId="2B906B03"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4.234.901</w:t>
            </w:r>
          </w:p>
        </w:tc>
        <w:tc>
          <w:tcPr>
            <w:tcW w:w="444" w:type="pct"/>
            <w:tcBorders>
              <w:top w:val="nil"/>
              <w:left w:val="nil"/>
              <w:bottom w:val="nil"/>
              <w:right w:val="nil"/>
            </w:tcBorders>
            <w:shd w:val="clear" w:color="auto" w:fill="auto"/>
            <w:noWrap/>
            <w:vAlign w:val="center"/>
          </w:tcPr>
          <w:p w14:paraId="265F3F73" w14:textId="1040002E" w:rsidR="00DE0C40" w:rsidRPr="006B2B75" w:rsidRDefault="00DE0C40" w:rsidP="00DE0C40">
            <w:pPr>
              <w:ind w:firstLineChars="100" w:firstLine="160"/>
              <w:jc w:val="right"/>
              <w:rPr>
                <w:rFonts w:ascii="CAIXA Std Book" w:hAnsi="CAIXA Std Book" w:cs="Arial"/>
                <w:color w:val="005CA9"/>
                <w:sz w:val="16"/>
                <w:szCs w:val="16"/>
              </w:rPr>
            </w:pPr>
            <w:r>
              <w:rPr>
                <w:rFonts w:ascii="CAIXA Std Book" w:hAnsi="CAIXA Std Book" w:cs="Arial"/>
                <w:color w:val="005CA9"/>
                <w:sz w:val="16"/>
                <w:szCs w:val="16"/>
              </w:rPr>
              <w:t>4.621.334</w:t>
            </w:r>
          </w:p>
        </w:tc>
        <w:tc>
          <w:tcPr>
            <w:tcW w:w="368" w:type="pct"/>
            <w:tcBorders>
              <w:top w:val="nil"/>
              <w:left w:val="nil"/>
              <w:bottom w:val="nil"/>
              <w:right w:val="nil"/>
            </w:tcBorders>
            <w:shd w:val="clear" w:color="auto" w:fill="auto"/>
            <w:noWrap/>
            <w:vAlign w:val="center"/>
          </w:tcPr>
          <w:p w14:paraId="2F11E6EF" w14:textId="5D07CF57" w:rsidR="00DE0C40" w:rsidRPr="006B2B75"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5CD53597" w14:textId="0C654DFF"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80.880</w:t>
            </w:r>
          </w:p>
        </w:tc>
        <w:tc>
          <w:tcPr>
            <w:tcW w:w="387" w:type="pct"/>
            <w:tcBorders>
              <w:top w:val="nil"/>
              <w:left w:val="nil"/>
              <w:bottom w:val="nil"/>
              <w:right w:val="nil"/>
            </w:tcBorders>
            <w:shd w:val="clear" w:color="auto" w:fill="auto"/>
            <w:noWrap/>
            <w:vAlign w:val="center"/>
          </w:tcPr>
          <w:p w14:paraId="7A75C8BB" w14:textId="03EDDE5E"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4.702.214</w:t>
            </w:r>
          </w:p>
        </w:tc>
        <w:tc>
          <w:tcPr>
            <w:tcW w:w="387" w:type="pct"/>
            <w:tcBorders>
              <w:top w:val="nil"/>
              <w:left w:val="nil"/>
              <w:bottom w:val="nil"/>
              <w:right w:val="nil"/>
            </w:tcBorders>
            <w:shd w:val="clear" w:color="auto" w:fill="auto"/>
            <w:noWrap/>
            <w:vAlign w:val="center"/>
          </w:tcPr>
          <w:p w14:paraId="13A296D6" w14:textId="403737A1" w:rsidR="00DE0C40" w:rsidRPr="0031203A"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4.702.214</w:t>
            </w:r>
          </w:p>
        </w:tc>
      </w:tr>
      <w:tr w:rsidR="00DE0C40" w:rsidRPr="00FF5914" w14:paraId="09FF41D2" w14:textId="77777777" w:rsidTr="00D83011">
        <w:trPr>
          <w:trHeight w:val="283"/>
        </w:trPr>
        <w:tc>
          <w:tcPr>
            <w:tcW w:w="1015" w:type="pct"/>
            <w:tcBorders>
              <w:top w:val="nil"/>
              <w:left w:val="nil"/>
              <w:bottom w:val="nil"/>
              <w:right w:val="nil"/>
            </w:tcBorders>
            <w:shd w:val="clear" w:color="auto" w:fill="auto"/>
            <w:vAlign w:val="center"/>
          </w:tcPr>
          <w:p w14:paraId="3CD2B043" w14:textId="77934C54" w:rsidR="00DE0C40" w:rsidRPr="00FF5914" w:rsidRDefault="00DE0C40" w:rsidP="00DE0C40">
            <w:pPr>
              <w:rPr>
                <w:rFonts w:ascii="CAIXA Std Book" w:eastAsia="Times New Roman" w:hAnsi="CAIXA Std Book" w:cs="Arial"/>
                <w:b/>
                <w:bCs/>
                <w:color w:val="005CA9"/>
                <w:sz w:val="16"/>
                <w:szCs w:val="16"/>
              </w:rPr>
            </w:pPr>
            <w:r w:rsidRPr="00FF5914">
              <w:rPr>
                <w:rFonts w:ascii="CAIXA Std Book" w:eastAsia="Times New Roman" w:hAnsi="CAIXA Std Book" w:cs="Arial"/>
                <w:color w:val="005CA9"/>
                <w:sz w:val="16"/>
                <w:szCs w:val="16"/>
              </w:rPr>
              <w:t>Nota Comercial</w:t>
            </w:r>
          </w:p>
        </w:tc>
        <w:tc>
          <w:tcPr>
            <w:tcW w:w="476" w:type="pct"/>
            <w:tcBorders>
              <w:top w:val="nil"/>
              <w:left w:val="nil"/>
              <w:bottom w:val="nil"/>
              <w:right w:val="nil"/>
            </w:tcBorders>
            <w:shd w:val="clear" w:color="auto" w:fill="auto"/>
            <w:noWrap/>
            <w:vAlign w:val="center"/>
          </w:tcPr>
          <w:p w14:paraId="79C0CF88" w14:textId="2A6042CC"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500.000</w:t>
            </w:r>
          </w:p>
        </w:tc>
        <w:tc>
          <w:tcPr>
            <w:tcW w:w="372" w:type="pct"/>
            <w:tcBorders>
              <w:top w:val="nil"/>
              <w:left w:val="nil"/>
              <w:bottom w:val="nil"/>
              <w:right w:val="nil"/>
            </w:tcBorders>
            <w:shd w:val="clear" w:color="auto" w:fill="auto"/>
            <w:noWrap/>
            <w:vAlign w:val="center"/>
          </w:tcPr>
          <w:p w14:paraId="74E68266" w14:textId="7BE29E17" w:rsidR="00DE0C40" w:rsidRPr="006B2B75" w:rsidRDefault="003C5B09" w:rsidP="00DE0C40">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4A2575C5" w14:textId="5582045E"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5.111</w:t>
            </w:r>
          </w:p>
        </w:tc>
        <w:tc>
          <w:tcPr>
            <w:tcW w:w="444" w:type="pct"/>
            <w:tcBorders>
              <w:top w:val="nil"/>
              <w:left w:val="nil"/>
              <w:bottom w:val="nil"/>
              <w:right w:val="nil"/>
            </w:tcBorders>
            <w:shd w:val="clear" w:color="auto" w:fill="auto"/>
            <w:noWrap/>
            <w:vAlign w:val="center"/>
          </w:tcPr>
          <w:p w14:paraId="1A23E401" w14:textId="1380E46A"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505.111</w:t>
            </w:r>
          </w:p>
        </w:tc>
        <w:tc>
          <w:tcPr>
            <w:tcW w:w="446" w:type="pct"/>
            <w:tcBorders>
              <w:top w:val="nil"/>
              <w:left w:val="nil"/>
              <w:bottom w:val="nil"/>
              <w:right w:val="nil"/>
            </w:tcBorders>
            <w:shd w:val="clear" w:color="auto" w:fill="auto"/>
            <w:noWrap/>
            <w:vAlign w:val="center"/>
          </w:tcPr>
          <w:p w14:paraId="6DEEC13E" w14:textId="4AE88FCD" w:rsidR="00DE0C40" w:rsidRPr="006B2B75"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505.111</w:t>
            </w:r>
          </w:p>
        </w:tc>
        <w:tc>
          <w:tcPr>
            <w:tcW w:w="444" w:type="pct"/>
            <w:tcBorders>
              <w:top w:val="nil"/>
              <w:left w:val="nil"/>
              <w:bottom w:val="nil"/>
              <w:right w:val="nil"/>
            </w:tcBorders>
            <w:shd w:val="clear" w:color="auto" w:fill="auto"/>
            <w:noWrap/>
            <w:vAlign w:val="center"/>
          </w:tcPr>
          <w:p w14:paraId="7B786147" w14:textId="2359F008" w:rsidR="00DE0C40" w:rsidRPr="00FF5914" w:rsidRDefault="00DE0C40" w:rsidP="00DE0C40">
            <w:pPr>
              <w:jc w:val="center"/>
              <w:rPr>
                <w:rFonts w:ascii="CAIXA Std Book" w:hAnsi="CAIXA Std Book" w:cs="Arial"/>
                <w:bCs/>
                <w:color w:val="005CA9"/>
                <w:sz w:val="16"/>
                <w:szCs w:val="16"/>
              </w:rPr>
            </w:pPr>
            <w:r w:rsidRPr="0031685D">
              <w:rPr>
                <w:rFonts w:ascii="CAIXA Std Book" w:hAnsi="CAIXA Std Book" w:cs="Arial"/>
                <w:color w:val="005CA9"/>
                <w:sz w:val="16"/>
                <w:szCs w:val="16"/>
              </w:rPr>
              <w:t>-</w:t>
            </w:r>
          </w:p>
        </w:tc>
        <w:tc>
          <w:tcPr>
            <w:tcW w:w="368" w:type="pct"/>
            <w:tcBorders>
              <w:top w:val="nil"/>
              <w:left w:val="nil"/>
              <w:bottom w:val="nil"/>
              <w:right w:val="nil"/>
            </w:tcBorders>
            <w:shd w:val="clear" w:color="auto" w:fill="auto"/>
            <w:noWrap/>
            <w:vAlign w:val="center"/>
          </w:tcPr>
          <w:p w14:paraId="5438E770" w14:textId="3A1BDC9D" w:rsidR="00DE0C40" w:rsidRPr="00FF5914"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26139D43" w14:textId="341631DB" w:rsidR="00DE0C40" w:rsidRPr="00FF5914"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5984EA8E" w14:textId="18DCB0A9" w:rsidR="00DE0C40" w:rsidRPr="00FF5914"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5B2733E8" w14:textId="61A548D6" w:rsidR="00DE0C40" w:rsidRPr="00FF5914" w:rsidRDefault="00DE0C40" w:rsidP="00DE0C40">
            <w:pPr>
              <w:jc w:val="center"/>
              <w:rPr>
                <w:rFonts w:ascii="CAIXA Std Book" w:hAnsi="CAIXA Std Book" w:cs="Arial"/>
                <w:color w:val="005CA9"/>
                <w:sz w:val="16"/>
                <w:szCs w:val="16"/>
              </w:rPr>
            </w:pPr>
            <w:r w:rsidRPr="0031685D">
              <w:rPr>
                <w:rFonts w:ascii="CAIXA Std Book" w:hAnsi="CAIXA Std Book" w:cs="Arial"/>
                <w:color w:val="005CA9"/>
                <w:sz w:val="16"/>
                <w:szCs w:val="16"/>
              </w:rPr>
              <w:t>-</w:t>
            </w:r>
          </w:p>
        </w:tc>
      </w:tr>
      <w:tr w:rsidR="00DE0C40" w:rsidRPr="00FF5914" w14:paraId="35B48A86" w14:textId="77777777" w:rsidTr="00D83011">
        <w:trPr>
          <w:trHeight w:val="283"/>
        </w:trPr>
        <w:tc>
          <w:tcPr>
            <w:tcW w:w="1015" w:type="pct"/>
            <w:tcBorders>
              <w:top w:val="nil"/>
              <w:left w:val="nil"/>
              <w:bottom w:val="nil"/>
              <w:right w:val="nil"/>
            </w:tcBorders>
            <w:shd w:val="clear" w:color="auto" w:fill="auto"/>
            <w:vAlign w:val="center"/>
            <w:hideMark/>
          </w:tcPr>
          <w:p w14:paraId="7EB1795B" w14:textId="77777777" w:rsidR="00DE0C40" w:rsidRPr="00FF5914" w:rsidRDefault="00DE0C40" w:rsidP="00DE0C40">
            <w:pP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Total – TVM Categorias</w:t>
            </w:r>
          </w:p>
        </w:tc>
        <w:tc>
          <w:tcPr>
            <w:tcW w:w="476" w:type="pct"/>
            <w:tcBorders>
              <w:top w:val="nil"/>
              <w:left w:val="nil"/>
              <w:bottom w:val="nil"/>
              <w:right w:val="nil"/>
            </w:tcBorders>
            <w:shd w:val="clear" w:color="auto" w:fill="auto"/>
            <w:noWrap/>
            <w:vAlign w:val="center"/>
          </w:tcPr>
          <w:p w14:paraId="79898B38" w14:textId="0F3581F1"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282.552.120</w:t>
            </w:r>
          </w:p>
        </w:tc>
        <w:tc>
          <w:tcPr>
            <w:tcW w:w="372" w:type="pct"/>
            <w:tcBorders>
              <w:top w:val="nil"/>
              <w:left w:val="nil"/>
              <w:bottom w:val="nil"/>
              <w:right w:val="nil"/>
            </w:tcBorders>
            <w:shd w:val="clear" w:color="auto" w:fill="auto"/>
            <w:noWrap/>
            <w:vAlign w:val="center"/>
          </w:tcPr>
          <w:p w14:paraId="2CAEEA97" w14:textId="6ADB568A"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1.234.285</w:t>
            </w:r>
          </w:p>
        </w:tc>
        <w:tc>
          <w:tcPr>
            <w:tcW w:w="330" w:type="pct"/>
            <w:tcBorders>
              <w:top w:val="nil"/>
              <w:left w:val="nil"/>
              <w:bottom w:val="nil"/>
              <w:right w:val="nil"/>
            </w:tcBorders>
            <w:shd w:val="clear" w:color="auto" w:fill="auto"/>
            <w:noWrap/>
            <w:vAlign w:val="center"/>
          </w:tcPr>
          <w:p w14:paraId="4D6A7773" w14:textId="746B7629"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1.245.745</w:t>
            </w:r>
          </w:p>
        </w:tc>
        <w:tc>
          <w:tcPr>
            <w:tcW w:w="444" w:type="pct"/>
            <w:tcBorders>
              <w:top w:val="nil"/>
              <w:left w:val="nil"/>
              <w:bottom w:val="nil"/>
              <w:right w:val="nil"/>
            </w:tcBorders>
            <w:shd w:val="clear" w:color="auto" w:fill="auto"/>
            <w:noWrap/>
            <w:vAlign w:val="center"/>
          </w:tcPr>
          <w:p w14:paraId="08755364" w14:textId="0DF2CB02"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285.032.150</w:t>
            </w:r>
          </w:p>
        </w:tc>
        <w:tc>
          <w:tcPr>
            <w:tcW w:w="446" w:type="pct"/>
            <w:tcBorders>
              <w:top w:val="nil"/>
              <w:left w:val="nil"/>
              <w:bottom w:val="nil"/>
              <w:right w:val="nil"/>
            </w:tcBorders>
            <w:shd w:val="clear" w:color="auto" w:fill="auto"/>
            <w:noWrap/>
            <w:vAlign w:val="center"/>
          </w:tcPr>
          <w:p w14:paraId="180CEA4A" w14:textId="078A05D5"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284.509.445</w:t>
            </w:r>
          </w:p>
        </w:tc>
        <w:tc>
          <w:tcPr>
            <w:tcW w:w="444" w:type="pct"/>
            <w:tcBorders>
              <w:top w:val="nil"/>
              <w:left w:val="nil"/>
              <w:bottom w:val="nil"/>
              <w:right w:val="nil"/>
            </w:tcBorders>
            <w:shd w:val="clear" w:color="auto" w:fill="auto"/>
            <w:noWrap/>
            <w:vAlign w:val="center"/>
          </w:tcPr>
          <w:p w14:paraId="4284CCE2" w14:textId="23A9EFF8"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275.250.258</w:t>
            </w:r>
          </w:p>
        </w:tc>
        <w:tc>
          <w:tcPr>
            <w:tcW w:w="368" w:type="pct"/>
            <w:tcBorders>
              <w:top w:val="nil"/>
              <w:left w:val="nil"/>
              <w:bottom w:val="nil"/>
              <w:right w:val="nil"/>
            </w:tcBorders>
            <w:shd w:val="clear" w:color="auto" w:fill="auto"/>
            <w:noWrap/>
            <w:vAlign w:val="center"/>
          </w:tcPr>
          <w:p w14:paraId="7BB4D62F" w14:textId="2C072A87"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3.110.216</w:t>
            </w:r>
          </w:p>
        </w:tc>
        <w:tc>
          <w:tcPr>
            <w:tcW w:w="331" w:type="pct"/>
            <w:tcBorders>
              <w:top w:val="nil"/>
              <w:left w:val="nil"/>
              <w:bottom w:val="nil"/>
              <w:right w:val="nil"/>
            </w:tcBorders>
            <w:shd w:val="clear" w:color="auto" w:fill="auto"/>
            <w:noWrap/>
            <w:vAlign w:val="center"/>
          </w:tcPr>
          <w:p w14:paraId="6389D257" w14:textId="103A545F"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1.139.664</w:t>
            </w:r>
          </w:p>
        </w:tc>
        <w:tc>
          <w:tcPr>
            <w:tcW w:w="387" w:type="pct"/>
            <w:tcBorders>
              <w:top w:val="nil"/>
              <w:left w:val="nil"/>
              <w:bottom w:val="nil"/>
              <w:right w:val="nil"/>
            </w:tcBorders>
            <w:shd w:val="clear" w:color="auto" w:fill="auto"/>
            <w:noWrap/>
            <w:vAlign w:val="center"/>
          </w:tcPr>
          <w:p w14:paraId="39574AD1" w14:textId="6FF483AC"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279.500.138</w:t>
            </w:r>
          </w:p>
        </w:tc>
        <w:tc>
          <w:tcPr>
            <w:tcW w:w="387" w:type="pct"/>
            <w:tcBorders>
              <w:top w:val="nil"/>
              <w:left w:val="nil"/>
              <w:bottom w:val="nil"/>
              <w:right w:val="nil"/>
            </w:tcBorders>
            <w:shd w:val="clear" w:color="auto" w:fill="auto"/>
            <w:noWrap/>
            <w:vAlign w:val="center"/>
          </w:tcPr>
          <w:p w14:paraId="64DE0D63" w14:textId="5E620800"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279.113.941</w:t>
            </w:r>
          </w:p>
        </w:tc>
      </w:tr>
      <w:tr w:rsidR="00DE0C40" w:rsidRPr="00FF5914" w14:paraId="53788437" w14:textId="77777777">
        <w:trPr>
          <w:trHeight w:val="283"/>
        </w:trPr>
        <w:tc>
          <w:tcPr>
            <w:tcW w:w="1015" w:type="pct"/>
            <w:tcBorders>
              <w:top w:val="nil"/>
              <w:left w:val="nil"/>
              <w:bottom w:val="nil"/>
              <w:right w:val="nil"/>
            </w:tcBorders>
            <w:shd w:val="clear" w:color="auto" w:fill="auto"/>
            <w:vAlign w:val="center"/>
            <w:hideMark/>
          </w:tcPr>
          <w:p w14:paraId="6A32FE4F"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Para negociação</w:t>
            </w:r>
          </w:p>
        </w:tc>
        <w:tc>
          <w:tcPr>
            <w:tcW w:w="476" w:type="pct"/>
            <w:tcBorders>
              <w:top w:val="nil"/>
              <w:left w:val="nil"/>
              <w:bottom w:val="nil"/>
              <w:right w:val="nil"/>
            </w:tcBorders>
            <w:shd w:val="clear" w:color="auto" w:fill="auto"/>
            <w:noWrap/>
            <w:vAlign w:val="center"/>
          </w:tcPr>
          <w:p w14:paraId="41530F6A" w14:textId="4DEA98DE" w:rsidR="00DE0C40" w:rsidRPr="003463B0"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128.821.697</w:t>
            </w:r>
          </w:p>
        </w:tc>
        <w:tc>
          <w:tcPr>
            <w:tcW w:w="372" w:type="pct"/>
            <w:tcBorders>
              <w:top w:val="nil"/>
              <w:left w:val="nil"/>
              <w:bottom w:val="nil"/>
              <w:right w:val="nil"/>
            </w:tcBorders>
            <w:shd w:val="clear" w:color="auto" w:fill="auto"/>
            <w:noWrap/>
            <w:vAlign w:val="center"/>
          </w:tcPr>
          <w:p w14:paraId="2A8332DF" w14:textId="19E914A8"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1.234.285</w:t>
            </w:r>
          </w:p>
        </w:tc>
        <w:tc>
          <w:tcPr>
            <w:tcW w:w="330" w:type="pct"/>
            <w:tcBorders>
              <w:top w:val="nil"/>
              <w:left w:val="nil"/>
              <w:bottom w:val="nil"/>
              <w:right w:val="nil"/>
            </w:tcBorders>
            <w:shd w:val="clear" w:color="auto" w:fill="auto"/>
            <w:noWrap/>
            <w:vAlign w:val="center"/>
          </w:tcPr>
          <w:p w14:paraId="064354EE" w14:textId="6E8B6509"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444" w:type="pct"/>
            <w:tcBorders>
              <w:top w:val="nil"/>
              <w:left w:val="nil"/>
              <w:bottom w:val="nil"/>
              <w:right w:val="nil"/>
            </w:tcBorders>
            <w:shd w:val="clear" w:color="auto" w:fill="auto"/>
            <w:noWrap/>
            <w:vAlign w:val="center"/>
          </w:tcPr>
          <w:p w14:paraId="601DDF9D" w14:textId="1D417BBA"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130.055.982</w:t>
            </w:r>
          </w:p>
        </w:tc>
        <w:tc>
          <w:tcPr>
            <w:tcW w:w="446" w:type="pct"/>
            <w:tcBorders>
              <w:top w:val="nil"/>
              <w:left w:val="nil"/>
              <w:bottom w:val="nil"/>
              <w:right w:val="nil"/>
            </w:tcBorders>
            <w:shd w:val="clear" w:color="auto" w:fill="auto"/>
            <w:noWrap/>
            <w:vAlign w:val="center"/>
          </w:tcPr>
          <w:p w14:paraId="751869DE" w14:textId="182C261D"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130.055.982</w:t>
            </w:r>
          </w:p>
        </w:tc>
        <w:tc>
          <w:tcPr>
            <w:tcW w:w="444" w:type="pct"/>
            <w:tcBorders>
              <w:top w:val="nil"/>
              <w:left w:val="nil"/>
              <w:bottom w:val="nil"/>
              <w:right w:val="nil"/>
            </w:tcBorders>
            <w:shd w:val="clear" w:color="auto" w:fill="auto"/>
            <w:noWrap/>
            <w:vAlign w:val="center"/>
          </w:tcPr>
          <w:p w14:paraId="44A24FB3" w14:textId="67C0D41A" w:rsidR="00DE0C40" w:rsidRPr="00FF5914" w:rsidRDefault="00DE0C40" w:rsidP="00DE0C40">
            <w:pPr>
              <w:ind w:firstLineChars="100" w:firstLine="160"/>
              <w:jc w:val="right"/>
              <w:rPr>
                <w:rFonts w:ascii="CAIXA Std Book" w:eastAsia="Times New Roman" w:hAnsi="CAIXA Std Book" w:cs="Arial"/>
                <w:bCs/>
                <w:color w:val="005CA9"/>
                <w:sz w:val="16"/>
                <w:szCs w:val="16"/>
              </w:rPr>
            </w:pPr>
            <w:r>
              <w:rPr>
                <w:rFonts w:ascii="CAIXA Std Book" w:hAnsi="CAIXA Std Book" w:cs="Arial"/>
                <w:color w:val="005CA9"/>
                <w:sz w:val="16"/>
                <w:szCs w:val="16"/>
              </w:rPr>
              <w:t>135.386.908</w:t>
            </w:r>
          </w:p>
        </w:tc>
        <w:tc>
          <w:tcPr>
            <w:tcW w:w="368" w:type="pct"/>
            <w:tcBorders>
              <w:top w:val="nil"/>
              <w:left w:val="nil"/>
              <w:bottom w:val="nil"/>
              <w:right w:val="nil"/>
            </w:tcBorders>
            <w:shd w:val="clear" w:color="auto" w:fill="auto"/>
            <w:noWrap/>
            <w:vAlign w:val="center"/>
          </w:tcPr>
          <w:p w14:paraId="21D86F27" w14:textId="6C9C8BBD"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3.110.216</w:t>
            </w:r>
          </w:p>
        </w:tc>
        <w:tc>
          <w:tcPr>
            <w:tcW w:w="331" w:type="pct"/>
            <w:tcBorders>
              <w:top w:val="nil"/>
              <w:left w:val="nil"/>
              <w:bottom w:val="nil"/>
              <w:right w:val="nil"/>
            </w:tcBorders>
            <w:shd w:val="clear" w:color="auto" w:fill="auto"/>
            <w:noWrap/>
            <w:vAlign w:val="center"/>
          </w:tcPr>
          <w:p w14:paraId="072CFEF1" w14:textId="28DC68EF" w:rsidR="00DE0C40" w:rsidRPr="00FF5914" w:rsidRDefault="00DE0C40" w:rsidP="00DE0C40">
            <w:pPr>
              <w:jc w:val="center"/>
              <w:rPr>
                <w:rFonts w:ascii="CAIXA Std Book" w:eastAsia="Times New Roman" w:hAnsi="CAIXA Std Book" w:cs="Arial"/>
                <w:color w:val="005CA9"/>
                <w:sz w:val="16"/>
                <w:szCs w:val="16"/>
              </w:rPr>
            </w:pPr>
            <w:r w:rsidRPr="0031685D">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643D19DF" w14:textId="15739428"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138.497.124</w:t>
            </w:r>
          </w:p>
        </w:tc>
        <w:tc>
          <w:tcPr>
            <w:tcW w:w="387" w:type="pct"/>
            <w:tcBorders>
              <w:top w:val="nil"/>
              <w:left w:val="nil"/>
              <w:bottom w:val="nil"/>
              <w:right w:val="nil"/>
            </w:tcBorders>
            <w:shd w:val="clear" w:color="auto" w:fill="auto"/>
            <w:noWrap/>
            <w:vAlign w:val="center"/>
          </w:tcPr>
          <w:p w14:paraId="1716744E" w14:textId="4FC85694"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138.497.124</w:t>
            </w:r>
          </w:p>
        </w:tc>
      </w:tr>
      <w:tr w:rsidR="00DE0C40" w:rsidRPr="00FF5914" w14:paraId="1764B0BE" w14:textId="77777777">
        <w:trPr>
          <w:trHeight w:val="283"/>
        </w:trPr>
        <w:tc>
          <w:tcPr>
            <w:tcW w:w="1015" w:type="pct"/>
            <w:tcBorders>
              <w:top w:val="nil"/>
              <w:left w:val="nil"/>
              <w:bottom w:val="nil"/>
              <w:right w:val="nil"/>
            </w:tcBorders>
            <w:shd w:val="clear" w:color="auto" w:fill="auto"/>
            <w:vAlign w:val="center"/>
            <w:hideMark/>
          </w:tcPr>
          <w:p w14:paraId="51750E71"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Disponíveis para venda</w:t>
            </w:r>
          </w:p>
        </w:tc>
        <w:tc>
          <w:tcPr>
            <w:tcW w:w="476" w:type="pct"/>
            <w:tcBorders>
              <w:top w:val="nil"/>
              <w:left w:val="nil"/>
              <w:bottom w:val="nil"/>
              <w:right w:val="nil"/>
            </w:tcBorders>
            <w:shd w:val="clear" w:color="auto" w:fill="auto"/>
            <w:noWrap/>
            <w:vAlign w:val="center"/>
          </w:tcPr>
          <w:p w14:paraId="12B7E470" w14:textId="609432C3" w:rsidR="00DE0C40" w:rsidRPr="003463B0" w:rsidRDefault="00DE0C40" w:rsidP="00DE0C40">
            <w:pPr>
              <w:jc w:val="right"/>
              <w:rPr>
                <w:rFonts w:ascii="CAIXA Std Book" w:hAnsi="CAIXA Std Book" w:cs="Arial"/>
                <w:color w:val="005CA9"/>
                <w:sz w:val="16"/>
                <w:szCs w:val="16"/>
              </w:rPr>
            </w:pPr>
            <w:r>
              <w:rPr>
                <w:rFonts w:ascii="CAIXA Std Book" w:hAnsi="CAIXA Std Book" w:cs="Arial"/>
                <w:color w:val="005CA9"/>
                <w:sz w:val="16"/>
                <w:szCs w:val="16"/>
              </w:rPr>
              <w:t>148.807.338</w:t>
            </w:r>
          </w:p>
        </w:tc>
        <w:tc>
          <w:tcPr>
            <w:tcW w:w="372" w:type="pct"/>
            <w:tcBorders>
              <w:top w:val="nil"/>
              <w:left w:val="nil"/>
              <w:bottom w:val="nil"/>
              <w:right w:val="nil"/>
            </w:tcBorders>
            <w:shd w:val="clear" w:color="auto" w:fill="auto"/>
            <w:noWrap/>
            <w:vAlign w:val="center"/>
          </w:tcPr>
          <w:p w14:paraId="33C358EE" w14:textId="46436FA5"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330" w:type="pct"/>
            <w:tcBorders>
              <w:top w:val="nil"/>
              <w:left w:val="nil"/>
              <w:bottom w:val="nil"/>
              <w:right w:val="nil"/>
            </w:tcBorders>
            <w:shd w:val="clear" w:color="auto" w:fill="auto"/>
            <w:noWrap/>
            <w:vAlign w:val="center"/>
          </w:tcPr>
          <w:p w14:paraId="68377DCC" w14:textId="52B8DF1C"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1.245.745</w:t>
            </w:r>
          </w:p>
        </w:tc>
        <w:tc>
          <w:tcPr>
            <w:tcW w:w="444" w:type="pct"/>
            <w:tcBorders>
              <w:top w:val="nil"/>
              <w:left w:val="nil"/>
              <w:bottom w:val="nil"/>
              <w:right w:val="nil"/>
            </w:tcBorders>
            <w:shd w:val="clear" w:color="auto" w:fill="auto"/>
            <w:noWrap/>
            <w:vAlign w:val="center"/>
          </w:tcPr>
          <w:p w14:paraId="33E1E50F" w14:textId="490D150C"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150.053.083</w:t>
            </w:r>
          </w:p>
        </w:tc>
        <w:tc>
          <w:tcPr>
            <w:tcW w:w="446" w:type="pct"/>
            <w:tcBorders>
              <w:top w:val="nil"/>
              <w:left w:val="nil"/>
              <w:bottom w:val="nil"/>
              <w:right w:val="nil"/>
            </w:tcBorders>
            <w:shd w:val="clear" w:color="auto" w:fill="auto"/>
            <w:noWrap/>
            <w:vAlign w:val="center"/>
          </w:tcPr>
          <w:p w14:paraId="7C1D4424" w14:textId="494772EB"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150.053.083</w:t>
            </w:r>
          </w:p>
        </w:tc>
        <w:tc>
          <w:tcPr>
            <w:tcW w:w="444" w:type="pct"/>
            <w:tcBorders>
              <w:top w:val="nil"/>
              <w:left w:val="nil"/>
              <w:bottom w:val="nil"/>
              <w:right w:val="nil"/>
            </w:tcBorders>
            <w:shd w:val="clear" w:color="auto" w:fill="auto"/>
            <w:noWrap/>
            <w:vAlign w:val="center"/>
          </w:tcPr>
          <w:p w14:paraId="09CC152A" w14:textId="72A18BD1" w:rsidR="00DE0C40" w:rsidRPr="00FF5914" w:rsidRDefault="00DE0C40" w:rsidP="00DE0C40">
            <w:pPr>
              <w:ind w:firstLineChars="100" w:firstLine="160"/>
              <w:jc w:val="right"/>
              <w:rPr>
                <w:rFonts w:ascii="CAIXA Std Book" w:eastAsia="Times New Roman" w:hAnsi="CAIXA Std Book" w:cs="Arial"/>
                <w:bCs/>
                <w:color w:val="005CA9"/>
                <w:sz w:val="16"/>
                <w:szCs w:val="16"/>
              </w:rPr>
            </w:pPr>
            <w:r>
              <w:rPr>
                <w:rFonts w:ascii="CAIXA Std Book" w:hAnsi="CAIXA Std Book" w:cs="Arial"/>
                <w:color w:val="005CA9"/>
                <w:sz w:val="16"/>
                <w:szCs w:val="16"/>
              </w:rPr>
              <w:t>134.938.704</w:t>
            </w:r>
          </w:p>
        </w:tc>
        <w:tc>
          <w:tcPr>
            <w:tcW w:w="368" w:type="pct"/>
            <w:tcBorders>
              <w:top w:val="nil"/>
              <w:left w:val="nil"/>
              <w:bottom w:val="nil"/>
              <w:right w:val="nil"/>
            </w:tcBorders>
            <w:shd w:val="clear" w:color="auto" w:fill="auto"/>
            <w:noWrap/>
            <w:vAlign w:val="center"/>
          </w:tcPr>
          <w:p w14:paraId="755497F0" w14:textId="03408531" w:rsidR="00DE0C40" w:rsidRPr="00FF5914" w:rsidRDefault="00DE0C40" w:rsidP="00DE0C40">
            <w:pPr>
              <w:jc w:val="center"/>
              <w:rPr>
                <w:rFonts w:ascii="CAIXA Std Book" w:eastAsia="Times New Roman"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4955CE6B" w14:textId="55090AE8"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1.139.664</w:t>
            </w:r>
          </w:p>
        </w:tc>
        <w:tc>
          <w:tcPr>
            <w:tcW w:w="387" w:type="pct"/>
            <w:tcBorders>
              <w:top w:val="nil"/>
              <w:left w:val="nil"/>
              <w:bottom w:val="nil"/>
              <w:right w:val="nil"/>
            </w:tcBorders>
            <w:shd w:val="clear" w:color="auto" w:fill="auto"/>
            <w:noWrap/>
            <w:vAlign w:val="center"/>
          </w:tcPr>
          <w:p w14:paraId="7BDCBF00" w14:textId="75C51A7B"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136.078.368</w:t>
            </w:r>
          </w:p>
        </w:tc>
        <w:tc>
          <w:tcPr>
            <w:tcW w:w="387" w:type="pct"/>
            <w:tcBorders>
              <w:top w:val="nil"/>
              <w:left w:val="nil"/>
              <w:bottom w:val="nil"/>
              <w:right w:val="nil"/>
            </w:tcBorders>
            <w:shd w:val="clear" w:color="auto" w:fill="auto"/>
            <w:noWrap/>
            <w:vAlign w:val="center"/>
          </w:tcPr>
          <w:p w14:paraId="5E9864ED" w14:textId="7E2CA0E3"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136.078.368</w:t>
            </w:r>
          </w:p>
        </w:tc>
      </w:tr>
      <w:tr w:rsidR="00DE0C40" w:rsidRPr="00FF5914" w14:paraId="24B30D9C" w14:textId="77777777" w:rsidTr="008C739D">
        <w:trPr>
          <w:trHeight w:val="283"/>
        </w:trPr>
        <w:tc>
          <w:tcPr>
            <w:tcW w:w="1015" w:type="pct"/>
            <w:tcBorders>
              <w:top w:val="nil"/>
              <w:left w:val="nil"/>
              <w:bottom w:val="single" w:sz="4" w:space="0" w:color="F79646"/>
              <w:right w:val="nil"/>
            </w:tcBorders>
            <w:shd w:val="clear" w:color="auto" w:fill="auto"/>
            <w:noWrap/>
            <w:vAlign w:val="center"/>
            <w:hideMark/>
          </w:tcPr>
          <w:p w14:paraId="0CDD17EF"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Mantidos até o vencimento</w:t>
            </w:r>
          </w:p>
        </w:tc>
        <w:tc>
          <w:tcPr>
            <w:tcW w:w="476" w:type="pct"/>
            <w:tcBorders>
              <w:top w:val="nil"/>
              <w:left w:val="nil"/>
              <w:bottom w:val="single" w:sz="4" w:space="0" w:color="F79646" w:themeColor="accent6"/>
              <w:right w:val="nil"/>
            </w:tcBorders>
            <w:shd w:val="clear" w:color="auto" w:fill="auto"/>
            <w:noWrap/>
            <w:vAlign w:val="center"/>
          </w:tcPr>
          <w:p w14:paraId="18EBD410" w14:textId="56CBFF03"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4.923.085</w:t>
            </w:r>
          </w:p>
        </w:tc>
        <w:tc>
          <w:tcPr>
            <w:tcW w:w="372" w:type="pct"/>
            <w:tcBorders>
              <w:top w:val="nil"/>
              <w:left w:val="nil"/>
              <w:bottom w:val="single" w:sz="4" w:space="0" w:color="F79646" w:themeColor="accent6"/>
              <w:right w:val="nil"/>
            </w:tcBorders>
            <w:shd w:val="clear" w:color="auto" w:fill="auto"/>
            <w:noWrap/>
            <w:vAlign w:val="center"/>
          </w:tcPr>
          <w:p w14:paraId="2A33320C" w14:textId="6A5C7366"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330" w:type="pct"/>
            <w:tcBorders>
              <w:top w:val="nil"/>
              <w:left w:val="nil"/>
              <w:bottom w:val="single" w:sz="4" w:space="0" w:color="F79646" w:themeColor="accent6"/>
              <w:right w:val="nil"/>
            </w:tcBorders>
            <w:shd w:val="clear" w:color="auto" w:fill="auto"/>
            <w:noWrap/>
            <w:vAlign w:val="center"/>
          </w:tcPr>
          <w:p w14:paraId="0913ADBC" w14:textId="3504646E" w:rsidR="00DE0C40" w:rsidRPr="00FF5914" w:rsidRDefault="003C5B09" w:rsidP="00DE0C40">
            <w:pPr>
              <w:jc w:val="center"/>
              <w:rPr>
                <w:rFonts w:ascii="CAIXA Std Book" w:eastAsia="Times New Roman" w:hAnsi="CAIXA Std Book" w:cs="Arial"/>
                <w:bCs/>
                <w:color w:val="005CA9"/>
                <w:sz w:val="16"/>
                <w:szCs w:val="16"/>
              </w:rPr>
            </w:pPr>
            <w:r>
              <w:rPr>
                <w:rFonts w:ascii="CAIXA Std Book" w:hAnsi="CAIXA Std Book" w:cs="Arial"/>
                <w:color w:val="005CA9"/>
                <w:sz w:val="16"/>
                <w:szCs w:val="16"/>
              </w:rPr>
              <w:t>-</w:t>
            </w:r>
          </w:p>
        </w:tc>
        <w:tc>
          <w:tcPr>
            <w:tcW w:w="444" w:type="pct"/>
            <w:tcBorders>
              <w:top w:val="nil"/>
              <w:left w:val="nil"/>
              <w:bottom w:val="single" w:sz="4" w:space="0" w:color="F79646" w:themeColor="accent6"/>
              <w:right w:val="nil"/>
            </w:tcBorders>
            <w:shd w:val="clear" w:color="auto" w:fill="auto"/>
            <w:noWrap/>
            <w:vAlign w:val="center"/>
          </w:tcPr>
          <w:p w14:paraId="52FCC1B0" w14:textId="47288CA1"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4.923.085</w:t>
            </w:r>
          </w:p>
        </w:tc>
        <w:tc>
          <w:tcPr>
            <w:tcW w:w="446" w:type="pct"/>
            <w:tcBorders>
              <w:top w:val="nil"/>
              <w:left w:val="nil"/>
              <w:bottom w:val="single" w:sz="4" w:space="0" w:color="F79646" w:themeColor="accent6"/>
              <w:right w:val="nil"/>
            </w:tcBorders>
            <w:shd w:val="clear" w:color="auto" w:fill="auto"/>
            <w:noWrap/>
            <w:vAlign w:val="center"/>
          </w:tcPr>
          <w:p w14:paraId="459F6636" w14:textId="39994660"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4.400.380</w:t>
            </w:r>
          </w:p>
        </w:tc>
        <w:tc>
          <w:tcPr>
            <w:tcW w:w="444" w:type="pct"/>
            <w:tcBorders>
              <w:top w:val="nil"/>
              <w:left w:val="nil"/>
              <w:bottom w:val="single" w:sz="4" w:space="0" w:color="F79646" w:themeColor="accent6"/>
              <w:right w:val="nil"/>
            </w:tcBorders>
            <w:shd w:val="clear" w:color="auto" w:fill="auto"/>
            <w:noWrap/>
            <w:vAlign w:val="center"/>
          </w:tcPr>
          <w:p w14:paraId="0F210754" w14:textId="18771D20" w:rsidR="00DE0C40" w:rsidRPr="00FF5914" w:rsidRDefault="00DE0C40" w:rsidP="00DE0C40">
            <w:pPr>
              <w:jc w:val="right"/>
              <w:rPr>
                <w:rFonts w:ascii="CAIXA Std Book" w:eastAsia="Times New Roman" w:hAnsi="CAIXA Std Book" w:cs="Arial"/>
                <w:bCs/>
                <w:color w:val="005CA9"/>
                <w:sz w:val="16"/>
                <w:szCs w:val="16"/>
              </w:rPr>
            </w:pPr>
            <w:r>
              <w:rPr>
                <w:rFonts w:ascii="CAIXA Std Book" w:hAnsi="CAIXA Std Book" w:cs="Arial"/>
                <w:color w:val="005CA9"/>
                <w:sz w:val="16"/>
                <w:szCs w:val="16"/>
              </w:rPr>
              <w:t>4.924.646</w:t>
            </w:r>
          </w:p>
        </w:tc>
        <w:tc>
          <w:tcPr>
            <w:tcW w:w="368" w:type="pct"/>
            <w:tcBorders>
              <w:top w:val="nil"/>
              <w:left w:val="nil"/>
              <w:bottom w:val="nil"/>
              <w:right w:val="nil"/>
            </w:tcBorders>
            <w:shd w:val="clear" w:color="auto" w:fill="auto"/>
            <w:noWrap/>
            <w:vAlign w:val="center"/>
          </w:tcPr>
          <w:p w14:paraId="0122CF9A" w14:textId="527F5BC1" w:rsidR="00DE0C40" w:rsidRPr="00FF5914" w:rsidRDefault="00DE0C40" w:rsidP="00DE0C40">
            <w:pPr>
              <w:jc w:val="center"/>
              <w:rPr>
                <w:rFonts w:ascii="CAIXA Std Book" w:eastAsia="Times New Roman" w:hAnsi="CAIXA Std Book" w:cs="Arial"/>
                <w:color w:val="005CA9"/>
                <w:sz w:val="16"/>
                <w:szCs w:val="16"/>
              </w:rPr>
            </w:pPr>
            <w:r w:rsidRPr="0031685D">
              <w:rPr>
                <w:rFonts w:ascii="CAIXA Std Book" w:hAnsi="CAIXA Std Book" w:cs="Arial"/>
                <w:color w:val="005CA9"/>
                <w:sz w:val="16"/>
                <w:szCs w:val="16"/>
              </w:rPr>
              <w:t>-</w:t>
            </w:r>
          </w:p>
        </w:tc>
        <w:tc>
          <w:tcPr>
            <w:tcW w:w="331" w:type="pct"/>
            <w:tcBorders>
              <w:top w:val="nil"/>
              <w:left w:val="nil"/>
              <w:bottom w:val="nil"/>
              <w:right w:val="nil"/>
            </w:tcBorders>
            <w:shd w:val="clear" w:color="auto" w:fill="auto"/>
            <w:noWrap/>
            <w:vAlign w:val="center"/>
          </w:tcPr>
          <w:p w14:paraId="2F82EF42" w14:textId="5EE8D961" w:rsidR="00DE0C40" w:rsidRPr="00FF5914" w:rsidRDefault="00DE0C40" w:rsidP="00DE0C40">
            <w:pPr>
              <w:jc w:val="center"/>
              <w:rPr>
                <w:rFonts w:ascii="CAIXA Std Book" w:eastAsia="Times New Roman" w:hAnsi="CAIXA Std Book" w:cs="Arial"/>
                <w:color w:val="005CA9"/>
                <w:sz w:val="16"/>
                <w:szCs w:val="16"/>
              </w:rPr>
            </w:pPr>
            <w:r w:rsidRPr="0031685D">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4D21862D" w14:textId="5A2C1862"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4.924.646</w:t>
            </w:r>
          </w:p>
        </w:tc>
        <w:tc>
          <w:tcPr>
            <w:tcW w:w="387" w:type="pct"/>
            <w:tcBorders>
              <w:top w:val="nil"/>
              <w:left w:val="nil"/>
              <w:bottom w:val="nil"/>
              <w:right w:val="nil"/>
            </w:tcBorders>
            <w:shd w:val="clear" w:color="auto" w:fill="auto"/>
            <w:noWrap/>
            <w:vAlign w:val="center"/>
          </w:tcPr>
          <w:p w14:paraId="1A255177" w14:textId="4E2A0DF2"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4.538.449</w:t>
            </w:r>
          </w:p>
        </w:tc>
      </w:tr>
      <w:tr w:rsidR="00DE0C40" w:rsidRPr="00FF5914" w14:paraId="12DBEF88" w14:textId="77777777" w:rsidTr="008C739D">
        <w:trPr>
          <w:trHeight w:val="283"/>
        </w:trPr>
        <w:tc>
          <w:tcPr>
            <w:tcW w:w="1015" w:type="pct"/>
            <w:tcBorders>
              <w:top w:val="nil"/>
              <w:left w:val="nil"/>
              <w:bottom w:val="single" w:sz="4" w:space="0" w:color="F79646"/>
              <w:right w:val="nil"/>
            </w:tcBorders>
            <w:shd w:val="clear" w:color="auto" w:fill="auto"/>
            <w:noWrap/>
            <w:vAlign w:val="center"/>
            <w:hideMark/>
          </w:tcPr>
          <w:p w14:paraId="041DE92D" w14:textId="77777777" w:rsidR="00DE0C40" w:rsidRPr="00FF5914" w:rsidRDefault="00DE0C40" w:rsidP="00DE0C40">
            <w:pPr>
              <w:rPr>
                <w:rFonts w:ascii="CAIXA Std Book" w:eastAsia="Times New Roman" w:hAnsi="CAIXA Std Book" w:cs="Arial"/>
                <w:b/>
                <w:bCs/>
                <w:color w:val="005CA9"/>
                <w:sz w:val="16"/>
                <w:szCs w:val="16"/>
              </w:rPr>
            </w:pPr>
            <w:r w:rsidRPr="00FF5914">
              <w:rPr>
                <w:rFonts w:ascii="CAIXA Std Book" w:eastAsia="Times New Roman" w:hAnsi="CAIXA Std Book" w:cs="Arial"/>
                <w:b/>
                <w:bCs/>
                <w:color w:val="005CA9"/>
                <w:sz w:val="16"/>
                <w:szCs w:val="16"/>
              </w:rPr>
              <w:t>Total – TVM</w:t>
            </w:r>
          </w:p>
        </w:tc>
        <w:tc>
          <w:tcPr>
            <w:tcW w:w="476" w:type="pct"/>
            <w:tcBorders>
              <w:top w:val="single" w:sz="4" w:space="0" w:color="F79646" w:themeColor="accent6"/>
              <w:left w:val="nil"/>
              <w:bottom w:val="single" w:sz="4" w:space="0" w:color="F79646" w:themeColor="accent6"/>
              <w:right w:val="nil"/>
            </w:tcBorders>
            <w:shd w:val="clear" w:color="auto" w:fill="auto"/>
            <w:noWrap/>
            <w:vAlign w:val="center"/>
          </w:tcPr>
          <w:p w14:paraId="0A870C1D" w14:textId="6340038B"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282.552.120</w:t>
            </w:r>
          </w:p>
        </w:tc>
        <w:tc>
          <w:tcPr>
            <w:tcW w:w="372" w:type="pct"/>
            <w:tcBorders>
              <w:top w:val="single" w:sz="4" w:space="0" w:color="F79646" w:themeColor="accent6"/>
              <w:left w:val="nil"/>
              <w:bottom w:val="single" w:sz="4" w:space="0" w:color="F79646" w:themeColor="accent6"/>
              <w:right w:val="nil"/>
            </w:tcBorders>
            <w:shd w:val="clear" w:color="auto" w:fill="auto"/>
            <w:noWrap/>
            <w:vAlign w:val="center"/>
          </w:tcPr>
          <w:p w14:paraId="79E860D1" w14:textId="65216934"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1.234.285</w:t>
            </w:r>
          </w:p>
        </w:tc>
        <w:tc>
          <w:tcPr>
            <w:tcW w:w="330" w:type="pct"/>
            <w:tcBorders>
              <w:top w:val="single" w:sz="4" w:space="0" w:color="F79646" w:themeColor="accent6"/>
              <w:left w:val="nil"/>
              <w:bottom w:val="single" w:sz="4" w:space="0" w:color="F79646" w:themeColor="accent6"/>
              <w:right w:val="nil"/>
            </w:tcBorders>
            <w:shd w:val="clear" w:color="auto" w:fill="auto"/>
            <w:noWrap/>
            <w:vAlign w:val="center"/>
          </w:tcPr>
          <w:p w14:paraId="62D7192D" w14:textId="6B8FD34B"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1.245.745</w:t>
            </w:r>
          </w:p>
        </w:tc>
        <w:tc>
          <w:tcPr>
            <w:tcW w:w="444" w:type="pct"/>
            <w:tcBorders>
              <w:top w:val="single" w:sz="4" w:space="0" w:color="F79646" w:themeColor="accent6"/>
              <w:left w:val="nil"/>
              <w:bottom w:val="single" w:sz="4" w:space="0" w:color="F79646" w:themeColor="accent6"/>
              <w:right w:val="nil"/>
            </w:tcBorders>
            <w:shd w:val="clear" w:color="auto" w:fill="auto"/>
            <w:noWrap/>
            <w:vAlign w:val="center"/>
          </w:tcPr>
          <w:p w14:paraId="70EDB8DF" w14:textId="1763D2EE"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285.032.150</w:t>
            </w:r>
          </w:p>
        </w:tc>
        <w:tc>
          <w:tcPr>
            <w:tcW w:w="446" w:type="pct"/>
            <w:tcBorders>
              <w:top w:val="single" w:sz="4" w:space="0" w:color="F79646" w:themeColor="accent6"/>
              <w:left w:val="nil"/>
              <w:bottom w:val="single" w:sz="4" w:space="0" w:color="F79646" w:themeColor="accent6"/>
              <w:right w:val="nil"/>
            </w:tcBorders>
            <w:shd w:val="clear" w:color="auto" w:fill="auto"/>
            <w:noWrap/>
            <w:vAlign w:val="center"/>
          </w:tcPr>
          <w:p w14:paraId="6ADA47EF" w14:textId="68284647"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284.509.445</w:t>
            </w:r>
          </w:p>
        </w:tc>
        <w:tc>
          <w:tcPr>
            <w:tcW w:w="444" w:type="pct"/>
            <w:tcBorders>
              <w:top w:val="single" w:sz="4" w:space="0" w:color="F79646" w:themeColor="accent6"/>
              <w:left w:val="nil"/>
              <w:bottom w:val="single" w:sz="4" w:space="0" w:color="F79646" w:themeColor="accent6"/>
              <w:right w:val="nil"/>
            </w:tcBorders>
            <w:shd w:val="clear" w:color="auto" w:fill="auto"/>
            <w:noWrap/>
            <w:vAlign w:val="center"/>
          </w:tcPr>
          <w:p w14:paraId="53067EA7" w14:textId="309EC873"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275.250.258</w:t>
            </w:r>
          </w:p>
        </w:tc>
        <w:tc>
          <w:tcPr>
            <w:tcW w:w="368" w:type="pct"/>
            <w:tcBorders>
              <w:top w:val="single" w:sz="4" w:space="0" w:color="F79646"/>
              <w:left w:val="nil"/>
              <w:bottom w:val="single" w:sz="4" w:space="0" w:color="F79646"/>
              <w:right w:val="nil"/>
            </w:tcBorders>
            <w:shd w:val="clear" w:color="auto" w:fill="auto"/>
            <w:noWrap/>
            <w:vAlign w:val="center"/>
          </w:tcPr>
          <w:p w14:paraId="3B35BCFC" w14:textId="09E22F51"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3.110.216</w:t>
            </w:r>
          </w:p>
        </w:tc>
        <w:tc>
          <w:tcPr>
            <w:tcW w:w="331" w:type="pct"/>
            <w:tcBorders>
              <w:top w:val="single" w:sz="4" w:space="0" w:color="F79646"/>
              <w:left w:val="nil"/>
              <w:bottom w:val="single" w:sz="4" w:space="0" w:color="F79646"/>
              <w:right w:val="nil"/>
            </w:tcBorders>
            <w:shd w:val="clear" w:color="auto" w:fill="auto"/>
            <w:noWrap/>
            <w:vAlign w:val="center"/>
          </w:tcPr>
          <w:p w14:paraId="179FF41A" w14:textId="7348D454"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1.139.664</w:t>
            </w:r>
          </w:p>
        </w:tc>
        <w:tc>
          <w:tcPr>
            <w:tcW w:w="387" w:type="pct"/>
            <w:tcBorders>
              <w:top w:val="single" w:sz="4" w:space="0" w:color="F79646"/>
              <w:left w:val="nil"/>
              <w:bottom w:val="single" w:sz="4" w:space="0" w:color="F79646"/>
              <w:right w:val="nil"/>
            </w:tcBorders>
            <w:shd w:val="clear" w:color="auto" w:fill="auto"/>
            <w:noWrap/>
            <w:vAlign w:val="center"/>
          </w:tcPr>
          <w:p w14:paraId="6E645A24" w14:textId="331CE598"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279.500.138</w:t>
            </w:r>
          </w:p>
        </w:tc>
        <w:tc>
          <w:tcPr>
            <w:tcW w:w="387" w:type="pct"/>
            <w:tcBorders>
              <w:top w:val="single" w:sz="4" w:space="0" w:color="F79646"/>
              <w:left w:val="nil"/>
              <w:bottom w:val="single" w:sz="4" w:space="0" w:color="F79646"/>
              <w:right w:val="nil"/>
            </w:tcBorders>
            <w:shd w:val="clear" w:color="auto" w:fill="auto"/>
            <w:noWrap/>
            <w:vAlign w:val="center"/>
          </w:tcPr>
          <w:p w14:paraId="1AE308F9" w14:textId="10881391" w:rsidR="00DE0C40" w:rsidRPr="00FF5914" w:rsidRDefault="00DE0C40" w:rsidP="00DE0C40">
            <w:pPr>
              <w:jc w:val="right"/>
              <w:rPr>
                <w:rFonts w:ascii="CAIXA Std Book" w:eastAsia="Times New Roman" w:hAnsi="CAIXA Std Book" w:cs="Arial"/>
                <w:b/>
                <w:bCs/>
                <w:color w:val="005CA9"/>
                <w:sz w:val="16"/>
                <w:szCs w:val="16"/>
              </w:rPr>
            </w:pPr>
            <w:r>
              <w:rPr>
                <w:rFonts w:ascii="CAIXA Std Book" w:hAnsi="CAIXA Std Book" w:cs="Arial"/>
                <w:b/>
                <w:bCs/>
                <w:color w:val="005CA9"/>
                <w:sz w:val="16"/>
                <w:szCs w:val="16"/>
              </w:rPr>
              <w:t>279.113.941</w:t>
            </w:r>
          </w:p>
        </w:tc>
      </w:tr>
      <w:tr w:rsidR="00DE0C40" w:rsidRPr="00FF5914" w14:paraId="5A8E04D5" w14:textId="77777777" w:rsidTr="008C739D">
        <w:trPr>
          <w:trHeight w:val="283"/>
        </w:trPr>
        <w:tc>
          <w:tcPr>
            <w:tcW w:w="1015" w:type="pct"/>
            <w:tcBorders>
              <w:top w:val="nil"/>
              <w:left w:val="nil"/>
              <w:right w:val="nil"/>
            </w:tcBorders>
            <w:shd w:val="clear" w:color="auto" w:fill="auto"/>
            <w:noWrap/>
            <w:vAlign w:val="center"/>
            <w:hideMark/>
          </w:tcPr>
          <w:p w14:paraId="1A80FB4B"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Ativo circulante</w:t>
            </w:r>
          </w:p>
        </w:tc>
        <w:tc>
          <w:tcPr>
            <w:tcW w:w="476" w:type="pct"/>
            <w:tcBorders>
              <w:top w:val="single" w:sz="4" w:space="0" w:color="F79646" w:themeColor="accent6"/>
              <w:left w:val="nil"/>
              <w:right w:val="nil"/>
            </w:tcBorders>
            <w:shd w:val="clear" w:color="auto" w:fill="auto"/>
            <w:noWrap/>
            <w:vAlign w:val="center"/>
          </w:tcPr>
          <w:p w14:paraId="61351947" w14:textId="77777777" w:rsidR="00DE0C40" w:rsidRPr="00FF5914" w:rsidRDefault="00DE0C40" w:rsidP="00DE0C40">
            <w:pPr>
              <w:jc w:val="right"/>
              <w:rPr>
                <w:rFonts w:ascii="CAIXA Std Book" w:eastAsia="Times New Roman" w:hAnsi="CAIXA Std Book" w:cs="Arial"/>
                <w:color w:val="005CA9"/>
                <w:sz w:val="16"/>
                <w:szCs w:val="16"/>
              </w:rPr>
            </w:pPr>
          </w:p>
        </w:tc>
        <w:tc>
          <w:tcPr>
            <w:tcW w:w="372" w:type="pct"/>
            <w:tcBorders>
              <w:top w:val="single" w:sz="4" w:space="0" w:color="F79646" w:themeColor="accent6"/>
              <w:left w:val="nil"/>
              <w:right w:val="nil"/>
            </w:tcBorders>
            <w:shd w:val="clear" w:color="auto" w:fill="auto"/>
            <w:noWrap/>
            <w:vAlign w:val="center"/>
          </w:tcPr>
          <w:p w14:paraId="4D179900" w14:textId="77777777" w:rsidR="00DE0C40" w:rsidRPr="00FF5914" w:rsidRDefault="00DE0C40" w:rsidP="00DE0C40">
            <w:pPr>
              <w:jc w:val="right"/>
              <w:rPr>
                <w:rFonts w:ascii="CAIXA Std Book" w:eastAsia="Times New Roman" w:hAnsi="CAIXA Std Book" w:cs="Times New Roman"/>
                <w:color w:val="005CA9"/>
                <w:sz w:val="16"/>
                <w:szCs w:val="16"/>
              </w:rPr>
            </w:pPr>
          </w:p>
        </w:tc>
        <w:tc>
          <w:tcPr>
            <w:tcW w:w="330" w:type="pct"/>
            <w:tcBorders>
              <w:top w:val="single" w:sz="4" w:space="0" w:color="F79646" w:themeColor="accent6"/>
              <w:left w:val="nil"/>
              <w:right w:val="nil"/>
            </w:tcBorders>
            <w:shd w:val="clear" w:color="auto" w:fill="auto"/>
            <w:noWrap/>
            <w:vAlign w:val="center"/>
          </w:tcPr>
          <w:p w14:paraId="1D557788" w14:textId="77777777" w:rsidR="00DE0C40" w:rsidRPr="00FF5914" w:rsidRDefault="00DE0C40" w:rsidP="00DE0C40">
            <w:pPr>
              <w:jc w:val="right"/>
              <w:rPr>
                <w:rFonts w:ascii="CAIXA Std Book" w:eastAsia="Times New Roman" w:hAnsi="CAIXA Std Book" w:cs="Times New Roman"/>
                <w:color w:val="005CA9"/>
                <w:sz w:val="16"/>
                <w:szCs w:val="16"/>
              </w:rPr>
            </w:pPr>
          </w:p>
        </w:tc>
        <w:tc>
          <w:tcPr>
            <w:tcW w:w="444" w:type="pct"/>
            <w:tcBorders>
              <w:top w:val="single" w:sz="4" w:space="0" w:color="F79646" w:themeColor="accent6"/>
              <w:left w:val="nil"/>
              <w:right w:val="nil"/>
            </w:tcBorders>
            <w:shd w:val="clear" w:color="auto" w:fill="auto"/>
            <w:noWrap/>
            <w:vAlign w:val="center"/>
          </w:tcPr>
          <w:p w14:paraId="72D770C6" w14:textId="3275B771"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134.865.433</w:t>
            </w:r>
          </w:p>
        </w:tc>
        <w:tc>
          <w:tcPr>
            <w:tcW w:w="446" w:type="pct"/>
            <w:tcBorders>
              <w:top w:val="single" w:sz="4" w:space="0" w:color="F79646" w:themeColor="accent6"/>
              <w:left w:val="nil"/>
              <w:right w:val="nil"/>
            </w:tcBorders>
            <w:shd w:val="clear" w:color="auto" w:fill="auto"/>
            <w:noWrap/>
            <w:vAlign w:val="center"/>
          </w:tcPr>
          <w:p w14:paraId="4E0E4A00" w14:textId="6DC5056A" w:rsidR="00DE0C40" w:rsidRPr="00FF5914" w:rsidRDefault="00DE0C40" w:rsidP="00DE0C40">
            <w:pPr>
              <w:jc w:val="right"/>
              <w:rPr>
                <w:rFonts w:ascii="CAIXA Std Book" w:eastAsia="Times New Roman" w:hAnsi="CAIXA Std Book" w:cs="Arial"/>
                <w:color w:val="005CA9"/>
                <w:sz w:val="16"/>
                <w:szCs w:val="16"/>
              </w:rPr>
            </w:pPr>
          </w:p>
        </w:tc>
        <w:tc>
          <w:tcPr>
            <w:tcW w:w="444" w:type="pct"/>
            <w:tcBorders>
              <w:top w:val="single" w:sz="4" w:space="0" w:color="F79646" w:themeColor="accent6"/>
              <w:left w:val="nil"/>
              <w:bottom w:val="nil"/>
              <w:right w:val="nil"/>
            </w:tcBorders>
            <w:shd w:val="clear" w:color="auto" w:fill="auto"/>
            <w:vAlign w:val="center"/>
          </w:tcPr>
          <w:p w14:paraId="1539B566" w14:textId="77777777" w:rsidR="00DE0C40" w:rsidRPr="00FF5914" w:rsidRDefault="00DE0C40" w:rsidP="00DE0C40">
            <w:pPr>
              <w:jc w:val="right"/>
              <w:rPr>
                <w:rFonts w:ascii="CAIXA Std Book" w:eastAsia="Times New Roman" w:hAnsi="CAIXA Std Book" w:cs="Times New Roman"/>
                <w:color w:val="005CA9"/>
                <w:sz w:val="16"/>
                <w:szCs w:val="16"/>
              </w:rPr>
            </w:pPr>
          </w:p>
        </w:tc>
        <w:tc>
          <w:tcPr>
            <w:tcW w:w="368" w:type="pct"/>
            <w:tcBorders>
              <w:top w:val="nil"/>
              <w:left w:val="nil"/>
              <w:bottom w:val="nil"/>
              <w:right w:val="nil"/>
            </w:tcBorders>
            <w:shd w:val="clear" w:color="auto" w:fill="auto"/>
            <w:noWrap/>
            <w:vAlign w:val="center"/>
          </w:tcPr>
          <w:p w14:paraId="61F0C3E6" w14:textId="77777777" w:rsidR="00DE0C40" w:rsidRPr="00FF5914" w:rsidRDefault="00DE0C40" w:rsidP="00DE0C40">
            <w:pPr>
              <w:jc w:val="right"/>
              <w:rPr>
                <w:rFonts w:ascii="CAIXA Std Book" w:eastAsia="Times New Roman" w:hAnsi="CAIXA Std Book" w:cs="Times New Roman"/>
                <w:color w:val="005CA9"/>
                <w:sz w:val="16"/>
                <w:szCs w:val="16"/>
              </w:rPr>
            </w:pPr>
          </w:p>
        </w:tc>
        <w:tc>
          <w:tcPr>
            <w:tcW w:w="331" w:type="pct"/>
            <w:tcBorders>
              <w:top w:val="nil"/>
              <w:left w:val="nil"/>
              <w:bottom w:val="nil"/>
              <w:right w:val="nil"/>
            </w:tcBorders>
            <w:shd w:val="clear" w:color="auto" w:fill="auto"/>
            <w:noWrap/>
            <w:vAlign w:val="center"/>
          </w:tcPr>
          <w:p w14:paraId="6C983115" w14:textId="77777777" w:rsidR="00DE0C40" w:rsidRPr="00FF5914" w:rsidRDefault="00DE0C40" w:rsidP="00DE0C40">
            <w:pPr>
              <w:jc w:val="right"/>
              <w:rPr>
                <w:rFonts w:ascii="CAIXA Std Book" w:eastAsia="Times New Roman" w:hAnsi="CAIXA Std Book" w:cs="Times New Roman"/>
                <w:color w:val="005CA9"/>
                <w:sz w:val="16"/>
                <w:szCs w:val="16"/>
              </w:rPr>
            </w:pPr>
          </w:p>
        </w:tc>
        <w:tc>
          <w:tcPr>
            <w:tcW w:w="387" w:type="pct"/>
            <w:tcBorders>
              <w:top w:val="nil"/>
              <w:left w:val="nil"/>
              <w:bottom w:val="nil"/>
              <w:right w:val="nil"/>
            </w:tcBorders>
            <w:shd w:val="clear" w:color="auto" w:fill="auto"/>
            <w:noWrap/>
            <w:vAlign w:val="center"/>
          </w:tcPr>
          <w:p w14:paraId="259FED5D" w14:textId="195CA338" w:rsidR="00DE0C40" w:rsidRPr="00FF5914" w:rsidRDefault="000B498C" w:rsidP="00DE0C40">
            <w:pPr>
              <w:jc w:val="right"/>
              <w:rPr>
                <w:rFonts w:ascii="CAIXA Std Book" w:eastAsia="Times New Roman" w:hAnsi="CAIXA Std Book" w:cs="Arial"/>
                <w:color w:val="005CA9"/>
                <w:sz w:val="16"/>
                <w:szCs w:val="16"/>
              </w:rPr>
            </w:pPr>
            <w:r>
              <w:rPr>
                <w:rFonts w:ascii="Arial" w:hAnsi="Arial" w:cs="Arial"/>
                <w:color w:val="005CA9"/>
                <w:sz w:val="18"/>
                <w:szCs w:val="18"/>
              </w:rPr>
              <w:t>142.539.595</w:t>
            </w:r>
          </w:p>
        </w:tc>
        <w:tc>
          <w:tcPr>
            <w:tcW w:w="387" w:type="pct"/>
            <w:tcBorders>
              <w:top w:val="nil"/>
              <w:left w:val="nil"/>
              <w:bottom w:val="nil"/>
              <w:right w:val="nil"/>
            </w:tcBorders>
            <w:shd w:val="clear" w:color="auto" w:fill="auto"/>
            <w:noWrap/>
            <w:vAlign w:val="center"/>
          </w:tcPr>
          <w:p w14:paraId="0361D0A5" w14:textId="77777777" w:rsidR="00DE0C40" w:rsidRPr="00FF5914" w:rsidRDefault="00DE0C40" w:rsidP="00DE0C40">
            <w:pPr>
              <w:jc w:val="right"/>
              <w:rPr>
                <w:rFonts w:ascii="CAIXA Std Book" w:eastAsia="Times New Roman" w:hAnsi="CAIXA Std Book" w:cs="Arial"/>
                <w:color w:val="005CA9"/>
                <w:sz w:val="16"/>
                <w:szCs w:val="16"/>
              </w:rPr>
            </w:pPr>
          </w:p>
        </w:tc>
      </w:tr>
      <w:tr w:rsidR="00DE0C40" w:rsidRPr="00FF5914" w14:paraId="370507DB" w14:textId="77777777" w:rsidTr="008C739D">
        <w:trPr>
          <w:trHeight w:val="283"/>
        </w:trPr>
        <w:tc>
          <w:tcPr>
            <w:tcW w:w="1015" w:type="pct"/>
            <w:tcBorders>
              <w:top w:val="nil"/>
              <w:left w:val="nil"/>
              <w:bottom w:val="single" w:sz="4" w:space="0" w:color="F79646"/>
              <w:right w:val="nil"/>
            </w:tcBorders>
            <w:shd w:val="clear" w:color="auto" w:fill="auto"/>
            <w:noWrap/>
            <w:vAlign w:val="center"/>
            <w:hideMark/>
          </w:tcPr>
          <w:p w14:paraId="155C56BE" w14:textId="77777777" w:rsidR="00DE0C40" w:rsidRPr="00FF5914" w:rsidRDefault="00DE0C40" w:rsidP="00DE0C40">
            <w:pPr>
              <w:rPr>
                <w:rFonts w:ascii="CAIXA Std Book" w:eastAsia="Times New Roman" w:hAnsi="CAIXA Std Book" w:cs="Arial"/>
                <w:color w:val="005CA9"/>
                <w:sz w:val="16"/>
                <w:szCs w:val="16"/>
              </w:rPr>
            </w:pPr>
            <w:r w:rsidRPr="00FF5914">
              <w:rPr>
                <w:rFonts w:ascii="CAIXA Std Book" w:eastAsia="Times New Roman" w:hAnsi="CAIXA Std Book" w:cs="Arial"/>
                <w:color w:val="005CA9"/>
                <w:sz w:val="16"/>
                <w:szCs w:val="16"/>
              </w:rPr>
              <w:t>Ativo não circulante</w:t>
            </w:r>
          </w:p>
        </w:tc>
        <w:tc>
          <w:tcPr>
            <w:tcW w:w="476" w:type="pct"/>
            <w:tcBorders>
              <w:top w:val="nil"/>
              <w:left w:val="nil"/>
              <w:bottom w:val="single" w:sz="4" w:space="0" w:color="F79646" w:themeColor="accent6"/>
              <w:right w:val="nil"/>
            </w:tcBorders>
            <w:shd w:val="clear" w:color="auto" w:fill="auto"/>
            <w:noWrap/>
            <w:vAlign w:val="center"/>
          </w:tcPr>
          <w:p w14:paraId="12787810" w14:textId="2A4DB5E3" w:rsidR="00DE0C40" w:rsidRPr="00FF5914" w:rsidRDefault="00DE0C40" w:rsidP="00DE0C40">
            <w:pPr>
              <w:jc w:val="right"/>
              <w:rPr>
                <w:rFonts w:ascii="CAIXA Std Book" w:eastAsia="Times New Roman" w:hAnsi="CAIXA Std Book" w:cs="Arial"/>
                <w:color w:val="005CA9"/>
                <w:sz w:val="16"/>
                <w:szCs w:val="16"/>
              </w:rPr>
            </w:pPr>
          </w:p>
        </w:tc>
        <w:tc>
          <w:tcPr>
            <w:tcW w:w="372" w:type="pct"/>
            <w:tcBorders>
              <w:top w:val="nil"/>
              <w:left w:val="nil"/>
              <w:bottom w:val="single" w:sz="4" w:space="0" w:color="F79646" w:themeColor="accent6"/>
              <w:right w:val="nil"/>
            </w:tcBorders>
            <w:shd w:val="clear" w:color="auto" w:fill="auto"/>
            <w:noWrap/>
            <w:vAlign w:val="center"/>
          </w:tcPr>
          <w:p w14:paraId="32A2CAC4" w14:textId="0247A228" w:rsidR="00DE0C40" w:rsidRPr="00FF5914" w:rsidRDefault="00DE0C40" w:rsidP="00DE0C40">
            <w:pPr>
              <w:jc w:val="right"/>
              <w:rPr>
                <w:rFonts w:ascii="CAIXA Std Book" w:eastAsia="Times New Roman" w:hAnsi="CAIXA Std Book" w:cs="Arial"/>
                <w:color w:val="005CA9"/>
                <w:sz w:val="16"/>
                <w:szCs w:val="16"/>
              </w:rPr>
            </w:pPr>
          </w:p>
        </w:tc>
        <w:tc>
          <w:tcPr>
            <w:tcW w:w="330" w:type="pct"/>
            <w:tcBorders>
              <w:top w:val="nil"/>
              <w:left w:val="nil"/>
              <w:bottom w:val="single" w:sz="4" w:space="0" w:color="F79646" w:themeColor="accent6"/>
              <w:right w:val="nil"/>
            </w:tcBorders>
            <w:shd w:val="clear" w:color="auto" w:fill="auto"/>
            <w:noWrap/>
            <w:vAlign w:val="center"/>
          </w:tcPr>
          <w:p w14:paraId="2A498996" w14:textId="11248019" w:rsidR="00DE0C40" w:rsidRPr="00FF5914" w:rsidRDefault="00DE0C40" w:rsidP="00DE0C40">
            <w:pPr>
              <w:jc w:val="right"/>
              <w:rPr>
                <w:rFonts w:ascii="CAIXA Std Book" w:eastAsia="Times New Roman" w:hAnsi="CAIXA Std Book" w:cs="Arial"/>
                <w:color w:val="005CA9"/>
                <w:sz w:val="16"/>
                <w:szCs w:val="16"/>
              </w:rPr>
            </w:pPr>
          </w:p>
        </w:tc>
        <w:tc>
          <w:tcPr>
            <w:tcW w:w="444" w:type="pct"/>
            <w:tcBorders>
              <w:top w:val="nil"/>
              <w:left w:val="nil"/>
              <w:bottom w:val="single" w:sz="4" w:space="0" w:color="F79646" w:themeColor="accent6"/>
              <w:right w:val="nil"/>
            </w:tcBorders>
            <w:shd w:val="clear" w:color="auto" w:fill="auto"/>
            <w:noWrap/>
            <w:vAlign w:val="center"/>
          </w:tcPr>
          <w:p w14:paraId="623004CD" w14:textId="48A646D5" w:rsidR="00DE0C40" w:rsidRPr="00FF5914" w:rsidRDefault="00DE0C40" w:rsidP="00DE0C40">
            <w:pPr>
              <w:jc w:val="right"/>
              <w:rPr>
                <w:rFonts w:ascii="CAIXA Std Book" w:eastAsia="Times New Roman" w:hAnsi="CAIXA Std Book" w:cs="Arial"/>
                <w:color w:val="005CA9"/>
                <w:sz w:val="16"/>
                <w:szCs w:val="16"/>
              </w:rPr>
            </w:pPr>
            <w:r>
              <w:rPr>
                <w:rFonts w:ascii="CAIXA Std Book" w:hAnsi="CAIXA Std Book" w:cs="Arial"/>
                <w:color w:val="005CA9"/>
                <w:sz w:val="16"/>
                <w:szCs w:val="16"/>
              </w:rPr>
              <w:t>150.166.717</w:t>
            </w:r>
          </w:p>
        </w:tc>
        <w:tc>
          <w:tcPr>
            <w:tcW w:w="446" w:type="pct"/>
            <w:tcBorders>
              <w:top w:val="nil"/>
              <w:left w:val="nil"/>
              <w:bottom w:val="single" w:sz="4" w:space="0" w:color="F79646" w:themeColor="accent6"/>
              <w:right w:val="nil"/>
            </w:tcBorders>
            <w:shd w:val="clear" w:color="auto" w:fill="auto"/>
            <w:noWrap/>
            <w:vAlign w:val="center"/>
          </w:tcPr>
          <w:p w14:paraId="673506FC" w14:textId="2DF82FB3" w:rsidR="00DE0C40" w:rsidRPr="00FF5914" w:rsidRDefault="00DE0C40" w:rsidP="00DE0C40">
            <w:pPr>
              <w:jc w:val="right"/>
              <w:rPr>
                <w:rFonts w:ascii="CAIXA Std Book" w:eastAsia="Times New Roman" w:hAnsi="CAIXA Std Book" w:cs="Arial"/>
                <w:color w:val="005CA9"/>
                <w:sz w:val="16"/>
                <w:szCs w:val="16"/>
              </w:rPr>
            </w:pPr>
          </w:p>
        </w:tc>
        <w:tc>
          <w:tcPr>
            <w:tcW w:w="444" w:type="pct"/>
            <w:tcBorders>
              <w:top w:val="nil"/>
              <w:left w:val="nil"/>
              <w:bottom w:val="single" w:sz="4" w:space="0" w:color="F79646"/>
              <w:right w:val="nil"/>
            </w:tcBorders>
            <w:shd w:val="clear" w:color="auto" w:fill="auto"/>
            <w:vAlign w:val="center"/>
          </w:tcPr>
          <w:p w14:paraId="7859DB91" w14:textId="254AA319" w:rsidR="00DE0C40" w:rsidRPr="00FF5914" w:rsidRDefault="00DE0C40" w:rsidP="00DE0C40">
            <w:pPr>
              <w:jc w:val="right"/>
              <w:rPr>
                <w:rFonts w:ascii="CAIXA Std Book" w:eastAsia="Times New Roman" w:hAnsi="CAIXA Std Book" w:cs="Arial"/>
                <w:color w:val="005CA9"/>
                <w:sz w:val="16"/>
                <w:szCs w:val="16"/>
              </w:rPr>
            </w:pPr>
          </w:p>
        </w:tc>
        <w:tc>
          <w:tcPr>
            <w:tcW w:w="368" w:type="pct"/>
            <w:tcBorders>
              <w:top w:val="nil"/>
              <w:left w:val="nil"/>
              <w:bottom w:val="single" w:sz="4" w:space="0" w:color="F79646"/>
              <w:right w:val="nil"/>
            </w:tcBorders>
            <w:shd w:val="clear" w:color="auto" w:fill="auto"/>
            <w:noWrap/>
            <w:vAlign w:val="center"/>
          </w:tcPr>
          <w:p w14:paraId="2A494AB4" w14:textId="3B5FAAFB" w:rsidR="00DE0C40" w:rsidRPr="00FF5914" w:rsidRDefault="00DE0C40" w:rsidP="00DE0C40">
            <w:pPr>
              <w:jc w:val="right"/>
              <w:rPr>
                <w:rFonts w:ascii="CAIXA Std Book" w:eastAsia="Times New Roman" w:hAnsi="CAIXA Std Book" w:cs="Arial"/>
                <w:color w:val="005CA9"/>
                <w:sz w:val="16"/>
                <w:szCs w:val="16"/>
              </w:rPr>
            </w:pPr>
          </w:p>
        </w:tc>
        <w:tc>
          <w:tcPr>
            <w:tcW w:w="331" w:type="pct"/>
            <w:tcBorders>
              <w:top w:val="nil"/>
              <w:left w:val="nil"/>
              <w:bottom w:val="single" w:sz="4" w:space="0" w:color="F79646"/>
              <w:right w:val="nil"/>
            </w:tcBorders>
            <w:shd w:val="clear" w:color="auto" w:fill="auto"/>
            <w:noWrap/>
            <w:vAlign w:val="center"/>
          </w:tcPr>
          <w:p w14:paraId="58C3AD23" w14:textId="602F422A" w:rsidR="00DE0C40" w:rsidRPr="00FF5914" w:rsidRDefault="00DE0C40" w:rsidP="00DE0C40">
            <w:pPr>
              <w:jc w:val="right"/>
              <w:rPr>
                <w:rFonts w:ascii="CAIXA Std Book" w:eastAsia="Times New Roman" w:hAnsi="CAIXA Std Book" w:cs="Arial"/>
                <w:color w:val="005CA9"/>
                <w:sz w:val="16"/>
                <w:szCs w:val="16"/>
              </w:rPr>
            </w:pPr>
          </w:p>
        </w:tc>
        <w:tc>
          <w:tcPr>
            <w:tcW w:w="387" w:type="pct"/>
            <w:tcBorders>
              <w:top w:val="nil"/>
              <w:left w:val="nil"/>
              <w:bottom w:val="single" w:sz="4" w:space="0" w:color="F79646"/>
              <w:right w:val="nil"/>
            </w:tcBorders>
            <w:shd w:val="clear" w:color="auto" w:fill="auto"/>
            <w:noWrap/>
            <w:vAlign w:val="center"/>
          </w:tcPr>
          <w:p w14:paraId="65D5F812" w14:textId="005808B0" w:rsidR="00DE0C40" w:rsidRPr="00FF5914" w:rsidRDefault="000B498C" w:rsidP="00DE0C40">
            <w:pPr>
              <w:jc w:val="right"/>
              <w:rPr>
                <w:rFonts w:ascii="CAIXA Std Book" w:eastAsia="Times New Roman" w:hAnsi="CAIXA Std Book" w:cs="Arial"/>
                <w:color w:val="005CA9"/>
                <w:sz w:val="16"/>
                <w:szCs w:val="16"/>
              </w:rPr>
            </w:pPr>
            <w:r>
              <w:rPr>
                <w:rFonts w:ascii="Arial" w:hAnsi="Arial" w:cs="Arial"/>
                <w:color w:val="005CA9"/>
                <w:sz w:val="18"/>
                <w:szCs w:val="18"/>
              </w:rPr>
              <w:t>136.960.543</w:t>
            </w:r>
          </w:p>
        </w:tc>
        <w:tc>
          <w:tcPr>
            <w:tcW w:w="387" w:type="pct"/>
            <w:tcBorders>
              <w:top w:val="nil"/>
              <w:left w:val="nil"/>
              <w:bottom w:val="single" w:sz="4" w:space="0" w:color="F79646"/>
              <w:right w:val="nil"/>
            </w:tcBorders>
            <w:shd w:val="clear" w:color="auto" w:fill="auto"/>
            <w:noWrap/>
            <w:vAlign w:val="center"/>
          </w:tcPr>
          <w:p w14:paraId="5C9ABB01" w14:textId="75F64174" w:rsidR="00DE0C40" w:rsidRPr="00FF5914" w:rsidRDefault="00DE0C40" w:rsidP="00DE0C40">
            <w:pPr>
              <w:jc w:val="right"/>
              <w:rPr>
                <w:rFonts w:ascii="CAIXA Std Book" w:eastAsia="Times New Roman" w:hAnsi="CAIXA Std Book" w:cs="Arial"/>
                <w:color w:val="005CA9"/>
                <w:sz w:val="16"/>
                <w:szCs w:val="16"/>
              </w:rPr>
            </w:pPr>
          </w:p>
        </w:tc>
      </w:tr>
    </w:tbl>
    <w:p w14:paraId="7FB27222" w14:textId="7091553A" w:rsidR="001B4F1C" w:rsidRPr="00FF4346" w:rsidRDefault="001B4F1C" w:rsidP="001B4F1C">
      <w:pPr>
        <w:rPr>
          <w:rFonts w:ascii="CAIXA Std Book" w:hAnsi="CAIXA Std Book"/>
          <w:color w:val="005CA9"/>
          <w:sz w:val="16"/>
          <w:szCs w:val="16"/>
        </w:rPr>
      </w:pPr>
      <w:r w:rsidRPr="002A5493">
        <w:rPr>
          <w:rFonts w:ascii="CAIXA Std Book" w:hAnsi="CAIXA Std Book"/>
          <w:color w:val="005CA9"/>
          <w:sz w:val="16"/>
          <w:szCs w:val="16"/>
        </w:rPr>
        <w:t xml:space="preserve">(1) Os investimentos </w:t>
      </w:r>
      <w:proofErr w:type="spellStart"/>
      <w:r w:rsidRPr="002A5493">
        <w:rPr>
          <w:rFonts w:ascii="CAIXA Std Book" w:hAnsi="CAIXA Std Book"/>
          <w:color w:val="005CA9"/>
          <w:sz w:val="16"/>
          <w:szCs w:val="16"/>
        </w:rPr>
        <w:t>FGH</w:t>
      </w:r>
      <w:r w:rsidR="00DA3C08">
        <w:rPr>
          <w:rFonts w:ascii="CAIXA Std Book" w:hAnsi="CAIXA Std Book"/>
          <w:color w:val="005CA9"/>
          <w:sz w:val="16"/>
          <w:szCs w:val="16"/>
        </w:rPr>
        <w:t>ab</w:t>
      </w:r>
      <w:proofErr w:type="spellEnd"/>
      <w:r w:rsidRPr="002A5493">
        <w:rPr>
          <w:rFonts w:ascii="CAIXA Std Book" w:hAnsi="CAIXA Std Book"/>
          <w:color w:val="005CA9"/>
          <w:sz w:val="16"/>
          <w:szCs w:val="16"/>
        </w:rPr>
        <w:t xml:space="preserve"> e FGI possuem defasagem de atualização das cotas para a data-base de </w:t>
      </w:r>
      <w:r w:rsidR="002A5493" w:rsidRPr="002A5493">
        <w:rPr>
          <w:rFonts w:ascii="CAIXA Std Book" w:hAnsi="CAIXA Std Book"/>
          <w:color w:val="005CA9"/>
          <w:sz w:val="16"/>
          <w:szCs w:val="16"/>
        </w:rPr>
        <w:t>28/02/2024</w:t>
      </w:r>
      <w:r w:rsidRPr="002A5493">
        <w:rPr>
          <w:rFonts w:ascii="CAIXA Std Book" w:hAnsi="CAIXA Std Book"/>
          <w:color w:val="005CA9"/>
          <w:sz w:val="16"/>
          <w:szCs w:val="16"/>
        </w:rPr>
        <w:t>.</w:t>
      </w:r>
    </w:p>
    <w:p w14:paraId="06C351B0" w14:textId="54EF6996" w:rsidR="00B24C2C" w:rsidRPr="00FF4346" w:rsidRDefault="00B24C2C">
      <w:pPr>
        <w:rPr>
          <w:rFonts w:ascii="CAIXA Std Book" w:hAnsi="CAIXA Std Book"/>
          <w:color w:val="005CA9"/>
          <w:sz w:val="16"/>
          <w:szCs w:val="16"/>
        </w:rPr>
      </w:pPr>
      <w:r w:rsidRPr="00FF4346">
        <w:rPr>
          <w:rFonts w:ascii="CAIXA Std Book" w:hAnsi="CAIXA Std Book"/>
          <w:color w:val="005CA9"/>
          <w:sz w:val="16"/>
          <w:szCs w:val="16"/>
        </w:rPr>
        <w:br w:type="page"/>
      </w:r>
    </w:p>
    <w:p w14:paraId="22D08208" w14:textId="77777777" w:rsidR="009B614E" w:rsidRDefault="003849D3" w:rsidP="009B614E">
      <w:pPr>
        <w:keepNext/>
        <w:tabs>
          <w:tab w:val="left" w:pos="567"/>
        </w:tabs>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lastRenderedPageBreak/>
        <w:t>(b)</w:t>
      </w:r>
      <w:r w:rsidRPr="00FF4346">
        <w:rPr>
          <w:rFonts w:ascii="CAIXA Std Book" w:hAnsi="CAIXA Std Book"/>
          <w:b/>
          <w:color w:val="005CA9"/>
          <w:sz w:val="20"/>
          <w:szCs w:val="20"/>
        </w:rPr>
        <w:tab/>
        <w:t>Classificação da carteira por categoria e por prazo</w:t>
      </w:r>
    </w:p>
    <w:p w14:paraId="5C249702" w14:textId="5BADB314" w:rsidR="003849D3" w:rsidRPr="00FF4346" w:rsidRDefault="003849D3" w:rsidP="009B614E">
      <w:pPr>
        <w:keepNext/>
        <w:tabs>
          <w:tab w:val="left" w:pos="567"/>
        </w:tabs>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t>(b.1)</w:t>
      </w:r>
      <w:r w:rsidRPr="00FF4346">
        <w:rPr>
          <w:rFonts w:ascii="CAIXA Std Book" w:hAnsi="CAIXA Std Book"/>
          <w:b/>
          <w:color w:val="005CA9"/>
          <w:sz w:val="20"/>
          <w:szCs w:val="20"/>
        </w:rPr>
        <w:tab/>
        <w:t>Categoria I - Títulos para negociação</w:t>
      </w:r>
    </w:p>
    <w:tbl>
      <w:tblPr>
        <w:tblW w:w="5000" w:type="pct"/>
        <w:tblCellMar>
          <w:left w:w="70" w:type="dxa"/>
          <w:right w:w="70" w:type="dxa"/>
        </w:tblCellMar>
        <w:tblLook w:val="04A0" w:firstRow="1" w:lastRow="0" w:firstColumn="1" w:lastColumn="0" w:noHBand="0" w:noVBand="1"/>
      </w:tblPr>
      <w:tblGrid>
        <w:gridCol w:w="2591"/>
        <w:gridCol w:w="1737"/>
        <w:gridCol w:w="2058"/>
        <w:gridCol w:w="1233"/>
        <w:gridCol w:w="1233"/>
        <w:gridCol w:w="1010"/>
        <w:gridCol w:w="1233"/>
        <w:gridCol w:w="1233"/>
        <w:gridCol w:w="1010"/>
        <w:gridCol w:w="1233"/>
      </w:tblGrid>
      <w:tr w:rsidR="003849D3" w:rsidRPr="002057D3" w14:paraId="6B0D2374" w14:textId="77777777" w:rsidTr="00482874">
        <w:trPr>
          <w:trHeight w:val="255"/>
        </w:trPr>
        <w:tc>
          <w:tcPr>
            <w:tcW w:w="5000" w:type="pct"/>
            <w:gridSpan w:val="10"/>
            <w:tcBorders>
              <w:top w:val="single" w:sz="4" w:space="0" w:color="F39200"/>
              <w:left w:val="nil"/>
              <w:bottom w:val="single" w:sz="4" w:space="0" w:color="F39200"/>
              <w:right w:val="nil"/>
            </w:tcBorders>
            <w:shd w:val="clear" w:color="auto" w:fill="auto"/>
            <w:vAlign w:val="center"/>
            <w:hideMark/>
          </w:tcPr>
          <w:p w14:paraId="02C21786"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INDIVIDUAL</w:t>
            </w:r>
          </w:p>
        </w:tc>
      </w:tr>
      <w:tr w:rsidR="003849D3" w:rsidRPr="002057D3" w14:paraId="4F70BE06" w14:textId="77777777" w:rsidTr="00922377">
        <w:trPr>
          <w:trHeight w:val="255"/>
        </w:trPr>
        <w:tc>
          <w:tcPr>
            <w:tcW w:w="978" w:type="pct"/>
            <w:vMerge w:val="restart"/>
            <w:tcBorders>
              <w:top w:val="nil"/>
              <w:left w:val="nil"/>
              <w:bottom w:val="single" w:sz="4" w:space="0" w:color="F39200"/>
              <w:right w:val="nil"/>
            </w:tcBorders>
            <w:shd w:val="clear" w:color="auto" w:fill="auto"/>
            <w:vAlign w:val="center"/>
            <w:hideMark/>
          </w:tcPr>
          <w:p w14:paraId="721606AF"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Descrição</w:t>
            </w:r>
          </w:p>
        </w:tc>
        <w:tc>
          <w:tcPr>
            <w:tcW w:w="2942" w:type="pct"/>
            <w:gridSpan w:val="6"/>
            <w:tcBorders>
              <w:top w:val="single" w:sz="4" w:space="0" w:color="F39200"/>
              <w:left w:val="nil"/>
              <w:bottom w:val="single" w:sz="4" w:space="0" w:color="F39200"/>
              <w:right w:val="nil"/>
            </w:tcBorders>
            <w:shd w:val="clear" w:color="auto" w:fill="auto"/>
            <w:noWrap/>
            <w:vAlign w:val="center"/>
            <w:hideMark/>
          </w:tcPr>
          <w:p w14:paraId="520B6DEB" w14:textId="7C18D9DE"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31/03/202</w:t>
            </w:r>
            <w:r w:rsidR="00443F46" w:rsidRPr="007A6878">
              <w:rPr>
                <w:rFonts w:ascii="CAIXA Std Book" w:eastAsia="Times New Roman" w:hAnsi="CAIXA Std Book" w:cs="Arial"/>
                <w:b/>
                <w:bCs/>
                <w:color w:val="005CA9"/>
                <w:sz w:val="16"/>
                <w:szCs w:val="16"/>
              </w:rPr>
              <w:t>4</w:t>
            </w:r>
          </w:p>
        </w:tc>
        <w:tc>
          <w:tcPr>
            <w:tcW w:w="1080" w:type="pct"/>
            <w:gridSpan w:val="3"/>
            <w:tcBorders>
              <w:top w:val="single" w:sz="4" w:space="0" w:color="F39200"/>
              <w:left w:val="nil"/>
              <w:bottom w:val="single" w:sz="4" w:space="0" w:color="F39200"/>
              <w:right w:val="nil"/>
            </w:tcBorders>
            <w:shd w:val="clear" w:color="auto" w:fill="auto"/>
            <w:noWrap/>
            <w:vAlign w:val="center"/>
            <w:hideMark/>
          </w:tcPr>
          <w:p w14:paraId="1B84C470" w14:textId="200C5AE9"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31/12/202</w:t>
            </w:r>
            <w:r w:rsidR="00443F46" w:rsidRPr="007A6878">
              <w:rPr>
                <w:rFonts w:ascii="CAIXA Std Book" w:eastAsia="Times New Roman" w:hAnsi="CAIXA Std Book" w:cs="Arial"/>
                <w:b/>
                <w:bCs/>
                <w:color w:val="005CA9"/>
                <w:sz w:val="16"/>
                <w:szCs w:val="16"/>
              </w:rPr>
              <w:t>3</w:t>
            </w:r>
          </w:p>
        </w:tc>
      </w:tr>
      <w:tr w:rsidR="003849D3" w:rsidRPr="002057D3" w14:paraId="25731B52" w14:textId="77777777" w:rsidTr="00922377">
        <w:trPr>
          <w:trHeight w:val="401"/>
        </w:trPr>
        <w:tc>
          <w:tcPr>
            <w:tcW w:w="978" w:type="pct"/>
            <w:vMerge/>
            <w:tcBorders>
              <w:top w:val="nil"/>
              <w:left w:val="nil"/>
              <w:bottom w:val="single" w:sz="4" w:space="0" w:color="F39200"/>
              <w:right w:val="nil"/>
            </w:tcBorders>
            <w:vAlign w:val="center"/>
            <w:hideMark/>
          </w:tcPr>
          <w:p w14:paraId="3336D501" w14:textId="77777777" w:rsidR="003849D3" w:rsidRPr="007A6878" w:rsidRDefault="003849D3">
            <w:pPr>
              <w:jc w:val="center"/>
              <w:rPr>
                <w:rFonts w:ascii="CAIXA Std Book" w:eastAsia="Times New Roman" w:hAnsi="CAIXA Std Book" w:cs="Arial"/>
                <w:b/>
                <w:bCs/>
                <w:color w:val="005CA9"/>
                <w:sz w:val="16"/>
                <w:szCs w:val="16"/>
              </w:rPr>
            </w:pPr>
          </w:p>
        </w:tc>
        <w:tc>
          <w:tcPr>
            <w:tcW w:w="685" w:type="pct"/>
            <w:vMerge w:val="restart"/>
            <w:tcBorders>
              <w:top w:val="nil"/>
              <w:left w:val="nil"/>
              <w:bottom w:val="single" w:sz="4" w:space="0" w:color="F39200"/>
              <w:right w:val="nil"/>
            </w:tcBorders>
            <w:shd w:val="clear" w:color="auto" w:fill="auto"/>
            <w:vAlign w:val="center"/>
            <w:hideMark/>
          </w:tcPr>
          <w:p w14:paraId="5996659F"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Sem Vencimento</w:t>
            </w:r>
          </w:p>
        </w:tc>
        <w:tc>
          <w:tcPr>
            <w:tcW w:w="795" w:type="pct"/>
            <w:vMerge w:val="restart"/>
            <w:tcBorders>
              <w:top w:val="nil"/>
              <w:left w:val="nil"/>
              <w:bottom w:val="single" w:sz="4" w:space="0" w:color="F39200"/>
              <w:right w:val="nil"/>
            </w:tcBorders>
            <w:shd w:val="clear" w:color="auto" w:fill="auto"/>
            <w:vAlign w:val="center"/>
            <w:hideMark/>
          </w:tcPr>
          <w:p w14:paraId="79C571EE" w14:textId="0EDF44D8" w:rsidR="003849D3" w:rsidRPr="007A6878" w:rsidRDefault="00DF72E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01</w:t>
            </w:r>
            <w:r w:rsidR="003849D3" w:rsidRPr="007A6878">
              <w:rPr>
                <w:rFonts w:ascii="CAIXA Std Book" w:eastAsia="Times New Roman" w:hAnsi="CAIXA Std Book" w:cs="Arial"/>
                <w:b/>
                <w:bCs/>
                <w:color w:val="005CA9"/>
                <w:sz w:val="16"/>
                <w:szCs w:val="16"/>
              </w:rPr>
              <w:t xml:space="preserve"> a </w:t>
            </w:r>
            <w:r w:rsidRPr="007A6878">
              <w:rPr>
                <w:rFonts w:ascii="CAIXA Std Book" w:eastAsia="Times New Roman" w:hAnsi="CAIXA Std Book" w:cs="Arial"/>
                <w:b/>
                <w:bCs/>
                <w:color w:val="005CA9"/>
                <w:sz w:val="16"/>
                <w:szCs w:val="16"/>
              </w:rPr>
              <w:t>90</w:t>
            </w:r>
            <w:r w:rsidR="003849D3" w:rsidRPr="007A6878">
              <w:rPr>
                <w:rFonts w:ascii="CAIXA Std Book" w:eastAsia="Times New Roman" w:hAnsi="CAIXA Std Book" w:cs="Arial"/>
                <w:b/>
                <w:bCs/>
                <w:color w:val="005CA9"/>
                <w:sz w:val="16"/>
                <w:szCs w:val="16"/>
              </w:rPr>
              <w:t xml:space="preserve"> dias</w:t>
            </w:r>
          </w:p>
        </w:tc>
        <w:tc>
          <w:tcPr>
            <w:tcW w:w="382" w:type="pct"/>
            <w:vMerge w:val="restart"/>
            <w:tcBorders>
              <w:top w:val="nil"/>
              <w:left w:val="nil"/>
              <w:bottom w:val="single" w:sz="4" w:space="0" w:color="F39200"/>
              <w:right w:val="nil"/>
            </w:tcBorders>
            <w:shd w:val="clear" w:color="auto" w:fill="auto"/>
            <w:vAlign w:val="center"/>
            <w:hideMark/>
          </w:tcPr>
          <w:p w14:paraId="26B0AA41"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Acima de 360 dias</w:t>
            </w:r>
          </w:p>
        </w:tc>
        <w:tc>
          <w:tcPr>
            <w:tcW w:w="382" w:type="pct"/>
            <w:vMerge w:val="restart"/>
            <w:tcBorders>
              <w:top w:val="nil"/>
              <w:left w:val="nil"/>
              <w:bottom w:val="single" w:sz="4" w:space="0" w:color="F39200"/>
              <w:right w:val="nil"/>
            </w:tcBorders>
            <w:shd w:val="clear" w:color="auto" w:fill="auto"/>
            <w:vAlign w:val="center"/>
            <w:hideMark/>
          </w:tcPr>
          <w:p w14:paraId="62803D94" w14:textId="6C1778A6"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Custo</w:t>
            </w:r>
          </w:p>
        </w:tc>
        <w:tc>
          <w:tcPr>
            <w:tcW w:w="317" w:type="pct"/>
            <w:vMerge w:val="restart"/>
            <w:tcBorders>
              <w:top w:val="nil"/>
              <w:left w:val="nil"/>
              <w:bottom w:val="single" w:sz="4" w:space="0" w:color="F39200"/>
              <w:right w:val="nil"/>
            </w:tcBorders>
            <w:shd w:val="clear" w:color="auto" w:fill="auto"/>
            <w:vAlign w:val="center"/>
            <w:hideMark/>
          </w:tcPr>
          <w:p w14:paraId="6CC738EB"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Ajuste a mercado resultado</w:t>
            </w:r>
          </w:p>
        </w:tc>
        <w:tc>
          <w:tcPr>
            <w:tcW w:w="382" w:type="pct"/>
            <w:vMerge w:val="restart"/>
            <w:tcBorders>
              <w:top w:val="nil"/>
              <w:left w:val="nil"/>
              <w:bottom w:val="single" w:sz="4" w:space="0" w:color="F39200"/>
              <w:right w:val="nil"/>
            </w:tcBorders>
            <w:shd w:val="clear" w:color="auto" w:fill="auto"/>
            <w:vAlign w:val="center"/>
            <w:hideMark/>
          </w:tcPr>
          <w:p w14:paraId="31DF8DA0"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Valor de mercado</w:t>
            </w:r>
          </w:p>
        </w:tc>
        <w:tc>
          <w:tcPr>
            <w:tcW w:w="382" w:type="pct"/>
            <w:vMerge w:val="restart"/>
            <w:tcBorders>
              <w:top w:val="nil"/>
              <w:left w:val="nil"/>
              <w:bottom w:val="single" w:sz="4" w:space="0" w:color="F39200"/>
              <w:right w:val="nil"/>
            </w:tcBorders>
            <w:shd w:val="clear" w:color="auto" w:fill="auto"/>
            <w:vAlign w:val="center"/>
            <w:hideMark/>
          </w:tcPr>
          <w:p w14:paraId="68490F82" w14:textId="5B7C7C54"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Custo</w:t>
            </w:r>
          </w:p>
        </w:tc>
        <w:tc>
          <w:tcPr>
            <w:tcW w:w="317" w:type="pct"/>
            <w:vMerge w:val="restart"/>
            <w:tcBorders>
              <w:top w:val="nil"/>
              <w:left w:val="nil"/>
              <w:bottom w:val="single" w:sz="4" w:space="0" w:color="F39200"/>
              <w:right w:val="nil"/>
            </w:tcBorders>
            <w:shd w:val="clear" w:color="auto" w:fill="auto"/>
            <w:vAlign w:val="center"/>
            <w:hideMark/>
          </w:tcPr>
          <w:p w14:paraId="55E4ED01"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Ajuste a mercado resultado</w:t>
            </w:r>
          </w:p>
        </w:tc>
        <w:tc>
          <w:tcPr>
            <w:tcW w:w="382" w:type="pct"/>
            <w:vMerge w:val="restart"/>
            <w:tcBorders>
              <w:top w:val="nil"/>
              <w:left w:val="nil"/>
              <w:bottom w:val="single" w:sz="4" w:space="0" w:color="F39200"/>
              <w:right w:val="nil"/>
            </w:tcBorders>
            <w:shd w:val="clear" w:color="auto" w:fill="auto"/>
            <w:vAlign w:val="center"/>
            <w:hideMark/>
          </w:tcPr>
          <w:p w14:paraId="4A652617" w14:textId="77777777" w:rsidR="003849D3" w:rsidRPr="007A6878" w:rsidRDefault="003849D3">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Valor de mercado</w:t>
            </w:r>
          </w:p>
        </w:tc>
      </w:tr>
      <w:tr w:rsidR="003849D3" w:rsidRPr="002057D3" w14:paraId="0CD86323" w14:textId="77777777" w:rsidTr="00922377">
        <w:trPr>
          <w:trHeight w:val="401"/>
        </w:trPr>
        <w:tc>
          <w:tcPr>
            <w:tcW w:w="978" w:type="pct"/>
            <w:vMerge/>
            <w:tcBorders>
              <w:top w:val="nil"/>
              <w:left w:val="nil"/>
              <w:bottom w:val="single" w:sz="4" w:space="0" w:color="F39200"/>
              <w:right w:val="nil"/>
            </w:tcBorders>
            <w:vAlign w:val="center"/>
            <w:hideMark/>
          </w:tcPr>
          <w:p w14:paraId="4BEBDFE5" w14:textId="77777777" w:rsidR="003849D3" w:rsidRPr="007A6878" w:rsidRDefault="003849D3">
            <w:pPr>
              <w:jc w:val="right"/>
              <w:rPr>
                <w:rFonts w:ascii="CAIXA Std Book" w:eastAsia="Times New Roman" w:hAnsi="CAIXA Std Book" w:cs="Arial"/>
                <w:b/>
                <w:bCs/>
                <w:color w:val="005CA9"/>
                <w:sz w:val="16"/>
                <w:szCs w:val="16"/>
              </w:rPr>
            </w:pPr>
          </w:p>
        </w:tc>
        <w:tc>
          <w:tcPr>
            <w:tcW w:w="685" w:type="pct"/>
            <w:vMerge/>
            <w:tcBorders>
              <w:top w:val="nil"/>
              <w:left w:val="nil"/>
              <w:bottom w:val="single" w:sz="4" w:space="0" w:color="F39200"/>
              <w:right w:val="nil"/>
            </w:tcBorders>
            <w:vAlign w:val="center"/>
            <w:hideMark/>
          </w:tcPr>
          <w:p w14:paraId="32F93C7E" w14:textId="77777777" w:rsidR="003849D3" w:rsidRPr="007A6878" w:rsidRDefault="003849D3">
            <w:pPr>
              <w:jc w:val="right"/>
              <w:rPr>
                <w:rFonts w:ascii="CAIXA Std Book" w:eastAsia="Times New Roman" w:hAnsi="CAIXA Std Book" w:cs="Arial"/>
                <w:b/>
                <w:bCs/>
                <w:color w:val="005CA9"/>
                <w:sz w:val="16"/>
                <w:szCs w:val="16"/>
              </w:rPr>
            </w:pPr>
          </w:p>
        </w:tc>
        <w:tc>
          <w:tcPr>
            <w:tcW w:w="795" w:type="pct"/>
            <w:vMerge/>
            <w:tcBorders>
              <w:top w:val="nil"/>
              <w:left w:val="nil"/>
              <w:bottom w:val="single" w:sz="4" w:space="0" w:color="F39200"/>
              <w:right w:val="nil"/>
            </w:tcBorders>
            <w:vAlign w:val="center"/>
            <w:hideMark/>
          </w:tcPr>
          <w:p w14:paraId="1E92819F" w14:textId="77777777" w:rsidR="003849D3" w:rsidRPr="007A6878" w:rsidRDefault="003849D3">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75836E0D" w14:textId="77777777" w:rsidR="003849D3" w:rsidRPr="007A6878" w:rsidRDefault="003849D3">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4E21D8E4" w14:textId="77777777" w:rsidR="003849D3" w:rsidRPr="007A6878" w:rsidRDefault="003849D3">
            <w:pPr>
              <w:jc w:val="right"/>
              <w:rPr>
                <w:rFonts w:ascii="CAIXA Std Book" w:eastAsia="Times New Roman" w:hAnsi="CAIXA Std Book" w:cs="Arial"/>
                <w:b/>
                <w:bCs/>
                <w:color w:val="005CA9"/>
                <w:sz w:val="16"/>
                <w:szCs w:val="16"/>
              </w:rPr>
            </w:pPr>
          </w:p>
        </w:tc>
        <w:tc>
          <w:tcPr>
            <w:tcW w:w="317" w:type="pct"/>
            <w:vMerge/>
            <w:tcBorders>
              <w:top w:val="nil"/>
              <w:left w:val="nil"/>
              <w:bottom w:val="single" w:sz="4" w:space="0" w:color="F39200"/>
              <w:right w:val="nil"/>
            </w:tcBorders>
            <w:vAlign w:val="center"/>
            <w:hideMark/>
          </w:tcPr>
          <w:p w14:paraId="038A7986" w14:textId="77777777" w:rsidR="003849D3" w:rsidRPr="007A6878" w:rsidRDefault="003849D3">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7264C339" w14:textId="77777777" w:rsidR="003849D3" w:rsidRPr="007A6878" w:rsidRDefault="003849D3">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1EA24EBB" w14:textId="77777777" w:rsidR="003849D3" w:rsidRPr="007A6878" w:rsidRDefault="003849D3">
            <w:pPr>
              <w:jc w:val="right"/>
              <w:rPr>
                <w:rFonts w:ascii="CAIXA Std Book" w:eastAsia="Times New Roman" w:hAnsi="CAIXA Std Book" w:cs="Arial"/>
                <w:b/>
                <w:bCs/>
                <w:color w:val="005CA9"/>
                <w:sz w:val="16"/>
                <w:szCs w:val="16"/>
              </w:rPr>
            </w:pPr>
          </w:p>
        </w:tc>
        <w:tc>
          <w:tcPr>
            <w:tcW w:w="317" w:type="pct"/>
            <w:vMerge/>
            <w:tcBorders>
              <w:top w:val="nil"/>
              <w:left w:val="nil"/>
              <w:bottom w:val="single" w:sz="4" w:space="0" w:color="F39200"/>
              <w:right w:val="nil"/>
            </w:tcBorders>
            <w:vAlign w:val="center"/>
            <w:hideMark/>
          </w:tcPr>
          <w:p w14:paraId="53B31A7F" w14:textId="77777777" w:rsidR="003849D3" w:rsidRPr="007A6878" w:rsidRDefault="003849D3">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190C6DAE" w14:textId="77777777" w:rsidR="003849D3" w:rsidRPr="007A6878" w:rsidRDefault="003849D3">
            <w:pPr>
              <w:jc w:val="right"/>
              <w:rPr>
                <w:rFonts w:ascii="CAIXA Std Book" w:eastAsia="Times New Roman" w:hAnsi="CAIXA Std Book" w:cs="Arial"/>
                <w:b/>
                <w:bCs/>
                <w:color w:val="005CA9"/>
                <w:sz w:val="16"/>
                <w:szCs w:val="16"/>
              </w:rPr>
            </w:pPr>
          </w:p>
        </w:tc>
      </w:tr>
      <w:tr w:rsidR="003444EE" w:rsidRPr="002057D3" w14:paraId="3C0FD475" w14:textId="77777777" w:rsidTr="00922377">
        <w:trPr>
          <w:trHeight w:val="255"/>
        </w:trPr>
        <w:tc>
          <w:tcPr>
            <w:tcW w:w="978" w:type="pct"/>
            <w:tcBorders>
              <w:top w:val="nil"/>
              <w:left w:val="nil"/>
              <w:bottom w:val="nil"/>
              <w:right w:val="nil"/>
            </w:tcBorders>
            <w:shd w:val="clear" w:color="auto" w:fill="auto"/>
            <w:vAlign w:val="center"/>
            <w:hideMark/>
          </w:tcPr>
          <w:p w14:paraId="645FEEA9" w14:textId="77777777" w:rsidR="003444EE" w:rsidRPr="007A6878" w:rsidRDefault="003444EE" w:rsidP="003444EE">
            <w:pP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Títulos públicos</w:t>
            </w:r>
          </w:p>
        </w:tc>
        <w:tc>
          <w:tcPr>
            <w:tcW w:w="685" w:type="pct"/>
            <w:tcBorders>
              <w:top w:val="nil"/>
              <w:left w:val="nil"/>
              <w:bottom w:val="nil"/>
              <w:right w:val="nil"/>
            </w:tcBorders>
            <w:shd w:val="clear" w:color="auto" w:fill="auto"/>
            <w:noWrap/>
            <w:vAlign w:val="center"/>
          </w:tcPr>
          <w:p w14:paraId="4F53A508" w14:textId="7A91FD1B" w:rsidR="003444EE" w:rsidRPr="00905476" w:rsidRDefault="00905476" w:rsidP="00966076">
            <w:pPr>
              <w:jc w:val="center"/>
              <w:rPr>
                <w:rFonts w:ascii="CAIXA Std Book" w:hAnsi="CAIXA Std Book" w:cs="Arial"/>
                <w:b/>
                <w:bCs/>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56EF035D" w14:textId="3F528721" w:rsidR="003444EE" w:rsidRPr="00905476" w:rsidRDefault="003444EE" w:rsidP="00905476">
            <w:pPr>
              <w:jc w:val="right"/>
              <w:rPr>
                <w:rFonts w:ascii="CAIXA Std Book" w:hAnsi="CAIXA Std Book" w:cs="Arial"/>
                <w:b/>
                <w:bCs/>
                <w:color w:val="005CA9"/>
                <w:sz w:val="16"/>
                <w:szCs w:val="16"/>
              </w:rPr>
            </w:pPr>
            <w:r>
              <w:rPr>
                <w:rFonts w:ascii="CAIXA Std Book" w:hAnsi="CAIXA Std Book" w:cs="Arial"/>
                <w:b/>
                <w:color w:val="005CA9"/>
                <w:sz w:val="18"/>
                <w:szCs w:val="18"/>
              </w:rPr>
              <w:t>1.907.569</w:t>
            </w:r>
          </w:p>
        </w:tc>
        <w:tc>
          <w:tcPr>
            <w:tcW w:w="382" w:type="pct"/>
            <w:tcBorders>
              <w:top w:val="nil"/>
              <w:left w:val="nil"/>
              <w:bottom w:val="nil"/>
              <w:right w:val="nil"/>
            </w:tcBorders>
            <w:shd w:val="clear" w:color="auto" w:fill="auto"/>
            <w:noWrap/>
            <w:vAlign w:val="center"/>
          </w:tcPr>
          <w:p w14:paraId="2A60F05C" w14:textId="74A3A485" w:rsidR="003444EE" w:rsidRPr="00905476" w:rsidRDefault="003444EE"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126.354.557</w:t>
            </w:r>
          </w:p>
        </w:tc>
        <w:tc>
          <w:tcPr>
            <w:tcW w:w="382" w:type="pct"/>
            <w:tcBorders>
              <w:top w:val="nil"/>
              <w:left w:val="nil"/>
              <w:bottom w:val="nil"/>
              <w:right w:val="nil"/>
            </w:tcBorders>
            <w:shd w:val="clear" w:color="auto" w:fill="auto"/>
            <w:noWrap/>
            <w:vAlign w:val="center"/>
          </w:tcPr>
          <w:p w14:paraId="63F1D0A3" w14:textId="1774373D" w:rsidR="003444EE" w:rsidRPr="00905476" w:rsidRDefault="003444EE"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126.980.486</w:t>
            </w:r>
          </w:p>
        </w:tc>
        <w:tc>
          <w:tcPr>
            <w:tcW w:w="317" w:type="pct"/>
            <w:tcBorders>
              <w:top w:val="nil"/>
              <w:left w:val="nil"/>
              <w:bottom w:val="nil"/>
              <w:right w:val="nil"/>
            </w:tcBorders>
            <w:shd w:val="clear" w:color="auto" w:fill="auto"/>
            <w:noWrap/>
            <w:vAlign w:val="center"/>
          </w:tcPr>
          <w:p w14:paraId="4EDDE78A" w14:textId="72D8065B" w:rsidR="003444EE" w:rsidRPr="00905476" w:rsidRDefault="003444EE"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1.281.640</w:t>
            </w:r>
          </w:p>
        </w:tc>
        <w:tc>
          <w:tcPr>
            <w:tcW w:w="382" w:type="pct"/>
            <w:tcBorders>
              <w:top w:val="nil"/>
              <w:left w:val="nil"/>
              <w:bottom w:val="nil"/>
              <w:right w:val="nil"/>
            </w:tcBorders>
            <w:shd w:val="clear" w:color="auto" w:fill="auto"/>
            <w:noWrap/>
            <w:vAlign w:val="center"/>
          </w:tcPr>
          <w:p w14:paraId="3208694F" w14:textId="060456ED" w:rsidR="003444EE" w:rsidRPr="00905476" w:rsidRDefault="003444EE"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128.262.126</w:t>
            </w:r>
          </w:p>
        </w:tc>
        <w:tc>
          <w:tcPr>
            <w:tcW w:w="382" w:type="pct"/>
            <w:tcBorders>
              <w:top w:val="nil"/>
              <w:left w:val="nil"/>
              <w:bottom w:val="nil"/>
              <w:right w:val="nil"/>
            </w:tcBorders>
            <w:shd w:val="clear" w:color="auto" w:fill="auto"/>
            <w:noWrap/>
            <w:vAlign w:val="center"/>
            <w:hideMark/>
          </w:tcPr>
          <w:p w14:paraId="07BCBCD1" w14:textId="3B6B71ED"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133.973.256</w:t>
            </w:r>
          </w:p>
        </w:tc>
        <w:tc>
          <w:tcPr>
            <w:tcW w:w="317" w:type="pct"/>
            <w:tcBorders>
              <w:top w:val="nil"/>
              <w:left w:val="nil"/>
              <w:bottom w:val="nil"/>
              <w:right w:val="nil"/>
            </w:tcBorders>
            <w:shd w:val="clear" w:color="auto" w:fill="auto"/>
            <w:noWrap/>
            <w:vAlign w:val="center"/>
            <w:hideMark/>
          </w:tcPr>
          <w:p w14:paraId="6EA44B7B" w14:textId="73A0FC1D"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3.009.029</w:t>
            </w:r>
          </w:p>
        </w:tc>
        <w:tc>
          <w:tcPr>
            <w:tcW w:w="382" w:type="pct"/>
            <w:tcBorders>
              <w:top w:val="nil"/>
              <w:left w:val="nil"/>
              <w:bottom w:val="nil"/>
              <w:right w:val="nil"/>
            </w:tcBorders>
            <w:shd w:val="clear" w:color="auto" w:fill="auto"/>
            <w:noWrap/>
            <w:vAlign w:val="center"/>
            <w:hideMark/>
          </w:tcPr>
          <w:p w14:paraId="2FF0984F" w14:textId="297C897B"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136.982.285</w:t>
            </w:r>
          </w:p>
        </w:tc>
      </w:tr>
      <w:tr w:rsidR="003444EE" w:rsidRPr="002057D3" w14:paraId="5821C3C9" w14:textId="77777777" w:rsidTr="00922377">
        <w:trPr>
          <w:trHeight w:val="255"/>
        </w:trPr>
        <w:tc>
          <w:tcPr>
            <w:tcW w:w="978" w:type="pct"/>
            <w:tcBorders>
              <w:top w:val="nil"/>
              <w:left w:val="nil"/>
              <w:bottom w:val="nil"/>
              <w:right w:val="nil"/>
            </w:tcBorders>
            <w:shd w:val="clear" w:color="auto" w:fill="auto"/>
            <w:vAlign w:val="center"/>
            <w:hideMark/>
          </w:tcPr>
          <w:p w14:paraId="46566A77" w14:textId="77777777" w:rsidR="003444EE" w:rsidRPr="007A6878" w:rsidRDefault="003444EE" w:rsidP="003444EE">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Letras financeiras do tesouro</w:t>
            </w:r>
          </w:p>
        </w:tc>
        <w:tc>
          <w:tcPr>
            <w:tcW w:w="685" w:type="pct"/>
            <w:tcBorders>
              <w:top w:val="nil"/>
              <w:left w:val="nil"/>
              <w:bottom w:val="nil"/>
              <w:right w:val="nil"/>
            </w:tcBorders>
            <w:shd w:val="clear" w:color="auto" w:fill="auto"/>
            <w:vAlign w:val="center"/>
          </w:tcPr>
          <w:p w14:paraId="7C3F2886" w14:textId="515D816B" w:rsidR="003444EE"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1E029FF5" w14:textId="6ADBD821" w:rsidR="003444EE" w:rsidRPr="00905476" w:rsidRDefault="00905476" w:rsidP="009054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65BF3678" w14:textId="72FF2092"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50.545.195</w:t>
            </w:r>
          </w:p>
        </w:tc>
        <w:tc>
          <w:tcPr>
            <w:tcW w:w="382" w:type="pct"/>
            <w:tcBorders>
              <w:top w:val="nil"/>
              <w:left w:val="nil"/>
              <w:bottom w:val="nil"/>
              <w:right w:val="nil"/>
            </w:tcBorders>
            <w:shd w:val="clear" w:color="auto" w:fill="auto"/>
            <w:noWrap/>
            <w:vAlign w:val="center"/>
          </w:tcPr>
          <w:p w14:paraId="739989D5" w14:textId="24918D51"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50.427.275</w:t>
            </w:r>
          </w:p>
        </w:tc>
        <w:tc>
          <w:tcPr>
            <w:tcW w:w="317" w:type="pct"/>
            <w:tcBorders>
              <w:top w:val="nil"/>
              <w:left w:val="nil"/>
              <w:bottom w:val="nil"/>
              <w:right w:val="nil"/>
            </w:tcBorders>
            <w:shd w:val="clear" w:color="auto" w:fill="auto"/>
            <w:noWrap/>
            <w:vAlign w:val="center"/>
          </w:tcPr>
          <w:p w14:paraId="6449B453" w14:textId="02F4F01A"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117.920</w:t>
            </w:r>
          </w:p>
        </w:tc>
        <w:tc>
          <w:tcPr>
            <w:tcW w:w="382" w:type="pct"/>
            <w:tcBorders>
              <w:top w:val="nil"/>
              <w:left w:val="nil"/>
              <w:bottom w:val="nil"/>
              <w:right w:val="nil"/>
            </w:tcBorders>
            <w:shd w:val="clear" w:color="auto" w:fill="auto"/>
            <w:noWrap/>
            <w:vAlign w:val="center"/>
          </w:tcPr>
          <w:p w14:paraId="7A97CF68" w14:textId="1C25AFFC"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50.545.195</w:t>
            </w:r>
          </w:p>
        </w:tc>
        <w:tc>
          <w:tcPr>
            <w:tcW w:w="382" w:type="pct"/>
            <w:tcBorders>
              <w:top w:val="nil"/>
              <w:left w:val="nil"/>
              <w:bottom w:val="nil"/>
              <w:right w:val="nil"/>
            </w:tcBorders>
            <w:shd w:val="clear" w:color="auto" w:fill="auto"/>
            <w:noWrap/>
            <w:vAlign w:val="center"/>
            <w:hideMark/>
          </w:tcPr>
          <w:p w14:paraId="2CFCC144" w14:textId="76D31E01"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41.097.289</w:t>
            </w:r>
          </w:p>
        </w:tc>
        <w:tc>
          <w:tcPr>
            <w:tcW w:w="317" w:type="pct"/>
            <w:tcBorders>
              <w:top w:val="nil"/>
              <w:left w:val="nil"/>
              <w:bottom w:val="nil"/>
              <w:right w:val="nil"/>
            </w:tcBorders>
            <w:shd w:val="clear" w:color="auto" w:fill="auto"/>
            <w:noWrap/>
            <w:vAlign w:val="center"/>
            <w:hideMark/>
          </w:tcPr>
          <w:p w14:paraId="778F2A89" w14:textId="6B5980BC"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96.220</w:t>
            </w:r>
          </w:p>
        </w:tc>
        <w:tc>
          <w:tcPr>
            <w:tcW w:w="382" w:type="pct"/>
            <w:tcBorders>
              <w:top w:val="nil"/>
              <w:left w:val="nil"/>
              <w:bottom w:val="nil"/>
              <w:right w:val="nil"/>
            </w:tcBorders>
            <w:shd w:val="clear" w:color="auto" w:fill="auto"/>
            <w:noWrap/>
            <w:vAlign w:val="center"/>
            <w:hideMark/>
          </w:tcPr>
          <w:p w14:paraId="4A5FCBFF" w14:textId="6EBC465A"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41.193.509</w:t>
            </w:r>
          </w:p>
        </w:tc>
      </w:tr>
      <w:tr w:rsidR="003444EE" w:rsidRPr="002057D3" w14:paraId="69A1703B" w14:textId="77777777" w:rsidTr="00922377">
        <w:trPr>
          <w:trHeight w:val="255"/>
        </w:trPr>
        <w:tc>
          <w:tcPr>
            <w:tcW w:w="978" w:type="pct"/>
            <w:tcBorders>
              <w:top w:val="nil"/>
              <w:left w:val="nil"/>
              <w:bottom w:val="nil"/>
              <w:right w:val="nil"/>
            </w:tcBorders>
            <w:shd w:val="clear" w:color="auto" w:fill="auto"/>
            <w:vAlign w:val="center"/>
            <w:hideMark/>
          </w:tcPr>
          <w:p w14:paraId="2260E12B" w14:textId="77777777" w:rsidR="003444EE" w:rsidRPr="007A6878" w:rsidRDefault="003444EE" w:rsidP="003444EE">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Letras do tesouro nacional</w:t>
            </w:r>
          </w:p>
        </w:tc>
        <w:tc>
          <w:tcPr>
            <w:tcW w:w="685" w:type="pct"/>
            <w:tcBorders>
              <w:top w:val="nil"/>
              <w:left w:val="nil"/>
              <w:bottom w:val="nil"/>
              <w:right w:val="nil"/>
            </w:tcBorders>
            <w:shd w:val="clear" w:color="auto" w:fill="auto"/>
            <w:vAlign w:val="center"/>
          </w:tcPr>
          <w:p w14:paraId="79AAFEB7" w14:textId="097B9C23" w:rsidR="003444EE"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2FFAB95A" w14:textId="31E1396F"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1.907.569</w:t>
            </w:r>
          </w:p>
        </w:tc>
        <w:tc>
          <w:tcPr>
            <w:tcW w:w="382" w:type="pct"/>
            <w:tcBorders>
              <w:top w:val="nil"/>
              <w:left w:val="nil"/>
              <w:bottom w:val="nil"/>
              <w:right w:val="nil"/>
            </w:tcBorders>
            <w:shd w:val="clear" w:color="auto" w:fill="auto"/>
            <w:noWrap/>
            <w:vAlign w:val="center"/>
          </w:tcPr>
          <w:p w14:paraId="40A589BD" w14:textId="48DA7AF2"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74.450.232</w:t>
            </w:r>
          </w:p>
        </w:tc>
        <w:tc>
          <w:tcPr>
            <w:tcW w:w="382" w:type="pct"/>
            <w:tcBorders>
              <w:top w:val="nil"/>
              <w:left w:val="nil"/>
              <w:bottom w:val="nil"/>
              <w:right w:val="nil"/>
            </w:tcBorders>
            <w:shd w:val="clear" w:color="auto" w:fill="auto"/>
            <w:noWrap/>
            <w:vAlign w:val="center"/>
          </w:tcPr>
          <w:p w14:paraId="29A1DB8C" w14:textId="4A334492"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75.183.938</w:t>
            </w:r>
          </w:p>
        </w:tc>
        <w:tc>
          <w:tcPr>
            <w:tcW w:w="317" w:type="pct"/>
            <w:tcBorders>
              <w:top w:val="nil"/>
              <w:left w:val="nil"/>
              <w:bottom w:val="nil"/>
              <w:right w:val="nil"/>
            </w:tcBorders>
            <w:shd w:val="clear" w:color="auto" w:fill="auto"/>
            <w:noWrap/>
            <w:vAlign w:val="center"/>
          </w:tcPr>
          <w:p w14:paraId="41705311" w14:textId="784C4ECF"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1.173.863</w:t>
            </w:r>
          </w:p>
        </w:tc>
        <w:tc>
          <w:tcPr>
            <w:tcW w:w="382" w:type="pct"/>
            <w:tcBorders>
              <w:top w:val="nil"/>
              <w:left w:val="nil"/>
              <w:bottom w:val="nil"/>
              <w:right w:val="nil"/>
            </w:tcBorders>
            <w:shd w:val="clear" w:color="auto" w:fill="auto"/>
            <w:noWrap/>
            <w:vAlign w:val="center"/>
          </w:tcPr>
          <w:p w14:paraId="0D2F786A" w14:textId="7B497357"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76.357.801</w:t>
            </w:r>
          </w:p>
        </w:tc>
        <w:tc>
          <w:tcPr>
            <w:tcW w:w="382" w:type="pct"/>
            <w:tcBorders>
              <w:top w:val="nil"/>
              <w:left w:val="nil"/>
              <w:bottom w:val="nil"/>
              <w:right w:val="nil"/>
            </w:tcBorders>
            <w:shd w:val="clear" w:color="auto" w:fill="auto"/>
            <w:noWrap/>
            <w:vAlign w:val="center"/>
            <w:hideMark/>
          </w:tcPr>
          <w:p w14:paraId="712B27B0" w14:textId="2105AF81"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90.490.516</w:t>
            </w:r>
          </w:p>
        </w:tc>
        <w:tc>
          <w:tcPr>
            <w:tcW w:w="317" w:type="pct"/>
            <w:tcBorders>
              <w:top w:val="nil"/>
              <w:left w:val="nil"/>
              <w:bottom w:val="nil"/>
              <w:right w:val="nil"/>
            </w:tcBorders>
            <w:shd w:val="clear" w:color="auto" w:fill="auto"/>
            <w:noWrap/>
            <w:vAlign w:val="center"/>
            <w:hideMark/>
          </w:tcPr>
          <w:p w14:paraId="1F9E7916" w14:textId="6770CBF5"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2.870.771</w:t>
            </w:r>
          </w:p>
        </w:tc>
        <w:tc>
          <w:tcPr>
            <w:tcW w:w="382" w:type="pct"/>
            <w:tcBorders>
              <w:top w:val="nil"/>
              <w:left w:val="nil"/>
              <w:bottom w:val="nil"/>
              <w:right w:val="nil"/>
            </w:tcBorders>
            <w:shd w:val="clear" w:color="auto" w:fill="auto"/>
            <w:noWrap/>
            <w:vAlign w:val="center"/>
            <w:hideMark/>
          </w:tcPr>
          <w:p w14:paraId="1D97F512" w14:textId="4C360989"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93.361.287</w:t>
            </w:r>
          </w:p>
        </w:tc>
      </w:tr>
      <w:tr w:rsidR="003444EE" w:rsidRPr="002057D3" w14:paraId="7E752461" w14:textId="77777777" w:rsidTr="00922377">
        <w:trPr>
          <w:trHeight w:val="255"/>
        </w:trPr>
        <w:tc>
          <w:tcPr>
            <w:tcW w:w="978" w:type="pct"/>
            <w:tcBorders>
              <w:top w:val="nil"/>
              <w:left w:val="nil"/>
              <w:bottom w:val="nil"/>
              <w:right w:val="nil"/>
            </w:tcBorders>
            <w:shd w:val="clear" w:color="auto" w:fill="auto"/>
            <w:vAlign w:val="center"/>
            <w:hideMark/>
          </w:tcPr>
          <w:p w14:paraId="715B6637" w14:textId="77777777" w:rsidR="003444EE" w:rsidRPr="007A6878" w:rsidRDefault="003444EE" w:rsidP="003444EE">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Notas do tesouro nacional</w:t>
            </w:r>
          </w:p>
        </w:tc>
        <w:tc>
          <w:tcPr>
            <w:tcW w:w="685" w:type="pct"/>
            <w:tcBorders>
              <w:top w:val="nil"/>
              <w:left w:val="nil"/>
              <w:bottom w:val="nil"/>
              <w:right w:val="nil"/>
            </w:tcBorders>
            <w:shd w:val="clear" w:color="auto" w:fill="auto"/>
            <w:noWrap/>
            <w:vAlign w:val="center"/>
          </w:tcPr>
          <w:p w14:paraId="5A6D4391" w14:textId="5B1E92F7" w:rsidR="003444EE"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2CC5E79F" w14:textId="70793F72" w:rsidR="003444EE" w:rsidRPr="00905476" w:rsidRDefault="00905476" w:rsidP="009054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3F537F5A" w14:textId="3F0B20F9"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1.359.130</w:t>
            </w:r>
          </w:p>
        </w:tc>
        <w:tc>
          <w:tcPr>
            <w:tcW w:w="382" w:type="pct"/>
            <w:tcBorders>
              <w:top w:val="nil"/>
              <w:left w:val="nil"/>
              <w:bottom w:val="nil"/>
              <w:right w:val="nil"/>
            </w:tcBorders>
            <w:shd w:val="clear" w:color="auto" w:fill="auto"/>
            <w:noWrap/>
            <w:vAlign w:val="center"/>
          </w:tcPr>
          <w:p w14:paraId="01496934" w14:textId="06D8010A"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1.369.273</w:t>
            </w:r>
          </w:p>
        </w:tc>
        <w:tc>
          <w:tcPr>
            <w:tcW w:w="317" w:type="pct"/>
            <w:tcBorders>
              <w:top w:val="nil"/>
              <w:left w:val="nil"/>
              <w:bottom w:val="nil"/>
              <w:right w:val="nil"/>
            </w:tcBorders>
            <w:shd w:val="clear" w:color="auto" w:fill="auto"/>
            <w:noWrap/>
            <w:vAlign w:val="center"/>
          </w:tcPr>
          <w:p w14:paraId="7855AAA2" w14:textId="27ACA3BE" w:rsidR="003444EE" w:rsidRPr="00905476" w:rsidRDefault="00905476" w:rsidP="00905476">
            <w:pPr>
              <w:jc w:val="right"/>
              <w:rPr>
                <w:rFonts w:ascii="CAIXA Std Book" w:hAnsi="CAIXA Std Book" w:cs="Arial"/>
                <w:color w:val="005CA9"/>
                <w:sz w:val="16"/>
                <w:szCs w:val="16"/>
              </w:rPr>
            </w:pPr>
            <w:r>
              <w:rPr>
                <w:rFonts w:ascii="CAIXA Std Book" w:hAnsi="CAIXA Std Book" w:cs="Arial"/>
                <w:color w:val="005CA9"/>
                <w:sz w:val="18"/>
                <w:szCs w:val="18"/>
              </w:rPr>
              <w:t>(</w:t>
            </w:r>
            <w:r w:rsidR="003444EE">
              <w:rPr>
                <w:rFonts w:ascii="CAIXA Std Book" w:hAnsi="CAIXA Std Book" w:cs="Arial"/>
                <w:color w:val="005CA9"/>
                <w:sz w:val="18"/>
                <w:szCs w:val="18"/>
              </w:rPr>
              <w:t>10.143</w:t>
            </w: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097FF248" w14:textId="4FAABE36"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1.359.130</w:t>
            </w:r>
          </w:p>
        </w:tc>
        <w:tc>
          <w:tcPr>
            <w:tcW w:w="382" w:type="pct"/>
            <w:tcBorders>
              <w:top w:val="nil"/>
              <w:left w:val="nil"/>
              <w:bottom w:val="nil"/>
              <w:right w:val="nil"/>
            </w:tcBorders>
            <w:shd w:val="clear" w:color="auto" w:fill="auto"/>
            <w:noWrap/>
            <w:vAlign w:val="center"/>
            <w:hideMark/>
          </w:tcPr>
          <w:p w14:paraId="0C7E62B1" w14:textId="6C4DA43B"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2.385.451</w:t>
            </w:r>
          </w:p>
        </w:tc>
        <w:tc>
          <w:tcPr>
            <w:tcW w:w="317" w:type="pct"/>
            <w:tcBorders>
              <w:top w:val="nil"/>
              <w:left w:val="nil"/>
              <w:bottom w:val="nil"/>
              <w:right w:val="nil"/>
            </w:tcBorders>
            <w:shd w:val="clear" w:color="auto" w:fill="auto"/>
            <w:noWrap/>
            <w:vAlign w:val="center"/>
            <w:hideMark/>
          </w:tcPr>
          <w:p w14:paraId="679CCC0F" w14:textId="668C8372"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42.038</w:t>
            </w:r>
          </w:p>
        </w:tc>
        <w:tc>
          <w:tcPr>
            <w:tcW w:w="382" w:type="pct"/>
            <w:tcBorders>
              <w:top w:val="nil"/>
              <w:left w:val="nil"/>
              <w:bottom w:val="nil"/>
              <w:right w:val="nil"/>
            </w:tcBorders>
            <w:shd w:val="clear" w:color="auto" w:fill="auto"/>
            <w:noWrap/>
            <w:vAlign w:val="center"/>
            <w:hideMark/>
          </w:tcPr>
          <w:p w14:paraId="054D384A" w14:textId="67FB14EF"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2.427.489</w:t>
            </w:r>
          </w:p>
        </w:tc>
      </w:tr>
      <w:tr w:rsidR="003444EE" w:rsidRPr="002057D3" w14:paraId="3CD15CC9" w14:textId="77777777" w:rsidTr="00922377">
        <w:trPr>
          <w:trHeight w:val="255"/>
        </w:trPr>
        <w:tc>
          <w:tcPr>
            <w:tcW w:w="978" w:type="pct"/>
            <w:tcBorders>
              <w:top w:val="nil"/>
              <w:left w:val="nil"/>
              <w:bottom w:val="nil"/>
              <w:right w:val="nil"/>
            </w:tcBorders>
            <w:shd w:val="clear" w:color="auto" w:fill="auto"/>
            <w:vAlign w:val="center"/>
            <w:hideMark/>
          </w:tcPr>
          <w:p w14:paraId="6F019199" w14:textId="77777777" w:rsidR="003444EE" w:rsidRPr="007A6878" w:rsidRDefault="003444EE" w:rsidP="003444EE">
            <w:pP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Títulos - empresas</w:t>
            </w:r>
          </w:p>
        </w:tc>
        <w:tc>
          <w:tcPr>
            <w:tcW w:w="685" w:type="pct"/>
            <w:tcBorders>
              <w:top w:val="nil"/>
              <w:left w:val="nil"/>
              <w:bottom w:val="nil"/>
              <w:right w:val="nil"/>
            </w:tcBorders>
            <w:shd w:val="clear" w:color="auto" w:fill="auto"/>
            <w:noWrap/>
            <w:vAlign w:val="center"/>
          </w:tcPr>
          <w:p w14:paraId="2A3B9E3C" w14:textId="25AE6222"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12.802</w:t>
            </w:r>
          </w:p>
        </w:tc>
        <w:tc>
          <w:tcPr>
            <w:tcW w:w="795" w:type="pct"/>
            <w:tcBorders>
              <w:top w:val="nil"/>
              <w:left w:val="nil"/>
              <w:bottom w:val="nil"/>
              <w:right w:val="nil"/>
            </w:tcBorders>
            <w:shd w:val="clear" w:color="auto" w:fill="auto"/>
            <w:noWrap/>
            <w:vAlign w:val="center"/>
          </w:tcPr>
          <w:p w14:paraId="4C321CD1" w14:textId="0CBE85FE" w:rsidR="003444EE" w:rsidRPr="00905476" w:rsidRDefault="00905476" w:rsidP="00905476">
            <w:pPr>
              <w:jc w:val="center"/>
              <w:rPr>
                <w:rFonts w:ascii="CAIXA Std Book" w:hAnsi="CAIXA Std Book" w:cs="Arial"/>
                <w:b/>
                <w:bCs/>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39886088" w14:textId="6CBAFFBE"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167.081</w:t>
            </w:r>
          </w:p>
        </w:tc>
        <w:tc>
          <w:tcPr>
            <w:tcW w:w="382" w:type="pct"/>
            <w:tcBorders>
              <w:top w:val="nil"/>
              <w:left w:val="nil"/>
              <w:bottom w:val="nil"/>
              <w:right w:val="nil"/>
            </w:tcBorders>
            <w:shd w:val="clear" w:color="auto" w:fill="auto"/>
            <w:noWrap/>
            <w:vAlign w:val="center"/>
          </w:tcPr>
          <w:p w14:paraId="3FEC1CBF" w14:textId="4F31AED1"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262.656</w:t>
            </w:r>
          </w:p>
        </w:tc>
        <w:tc>
          <w:tcPr>
            <w:tcW w:w="317" w:type="pct"/>
            <w:tcBorders>
              <w:top w:val="nil"/>
              <w:left w:val="nil"/>
              <w:bottom w:val="nil"/>
              <w:right w:val="nil"/>
            </w:tcBorders>
            <w:shd w:val="clear" w:color="auto" w:fill="auto"/>
            <w:noWrap/>
            <w:vAlign w:val="center"/>
          </w:tcPr>
          <w:p w14:paraId="60178EF8" w14:textId="400C6849" w:rsidR="003444EE" w:rsidRPr="00905476" w:rsidRDefault="00905476" w:rsidP="003444EE">
            <w:pPr>
              <w:jc w:val="right"/>
              <w:rPr>
                <w:rFonts w:ascii="CAIXA Std Book" w:hAnsi="CAIXA Std Book" w:cs="Arial"/>
                <w:b/>
                <w:bCs/>
                <w:color w:val="005CA9"/>
                <w:sz w:val="16"/>
                <w:szCs w:val="16"/>
              </w:rPr>
            </w:pPr>
            <w:r>
              <w:rPr>
                <w:rFonts w:ascii="CAIXA Std Book" w:hAnsi="CAIXA Std Book" w:cs="Arial"/>
                <w:b/>
                <w:color w:val="005CA9"/>
                <w:sz w:val="18"/>
                <w:szCs w:val="18"/>
              </w:rPr>
              <w:t>(</w:t>
            </w:r>
            <w:r w:rsidR="003444EE">
              <w:rPr>
                <w:rFonts w:ascii="CAIXA Std Book" w:hAnsi="CAIXA Std Book" w:cs="Arial"/>
                <w:b/>
                <w:color w:val="005CA9"/>
                <w:sz w:val="18"/>
                <w:szCs w:val="18"/>
              </w:rPr>
              <w:t>82.773</w:t>
            </w:r>
            <w:r>
              <w:rPr>
                <w:rFonts w:ascii="CAIXA Std Book" w:hAnsi="CAIXA Std Book" w:cs="Arial"/>
                <w:b/>
                <w:color w:val="005CA9"/>
                <w:sz w:val="18"/>
                <w:szCs w:val="18"/>
              </w:rPr>
              <w:t>)</w:t>
            </w:r>
          </w:p>
        </w:tc>
        <w:tc>
          <w:tcPr>
            <w:tcW w:w="382" w:type="pct"/>
            <w:tcBorders>
              <w:top w:val="nil"/>
              <w:left w:val="nil"/>
              <w:bottom w:val="nil"/>
              <w:right w:val="nil"/>
            </w:tcBorders>
            <w:shd w:val="clear" w:color="auto" w:fill="auto"/>
            <w:noWrap/>
            <w:vAlign w:val="center"/>
          </w:tcPr>
          <w:p w14:paraId="02D4BA28" w14:textId="02E50042"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179.883</w:t>
            </w:r>
          </w:p>
        </w:tc>
        <w:tc>
          <w:tcPr>
            <w:tcW w:w="382" w:type="pct"/>
            <w:tcBorders>
              <w:top w:val="nil"/>
              <w:left w:val="nil"/>
              <w:bottom w:val="nil"/>
              <w:right w:val="nil"/>
            </w:tcBorders>
            <w:shd w:val="clear" w:color="auto" w:fill="auto"/>
            <w:noWrap/>
            <w:vAlign w:val="center"/>
            <w:hideMark/>
          </w:tcPr>
          <w:p w14:paraId="35F63FE3" w14:textId="20EF2CD2"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335.940</w:t>
            </w:r>
          </w:p>
        </w:tc>
        <w:tc>
          <w:tcPr>
            <w:tcW w:w="317" w:type="pct"/>
            <w:tcBorders>
              <w:top w:val="nil"/>
              <w:left w:val="nil"/>
              <w:bottom w:val="nil"/>
              <w:right w:val="nil"/>
            </w:tcBorders>
            <w:shd w:val="clear" w:color="auto" w:fill="auto"/>
            <w:noWrap/>
            <w:vAlign w:val="center"/>
            <w:hideMark/>
          </w:tcPr>
          <w:p w14:paraId="42FDB984" w14:textId="12973B53"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(78.178)</w:t>
            </w:r>
          </w:p>
        </w:tc>
        <w:tc>
          <w:tcPr>
            <w:tcW w:w="382" w:type="pct"/>
            <w:tcBorders>
              <w:top w:val="nil"/>
              <w:left w:val="nil"/>
              <w:bottom w:val="nil"/>
              <w:right w:val="nil"/>
            </w:tcBorders>
            <w:shd w:val="clear" w:color="auto" w:fill="auto"/>
            <w:noWrap/>
            <w:vAlign w:val="center"/>
            <w:hideMark/>
          </w:tcPr>
          <w:p w14:paraId="1AC2C377" w14:textId="73E46F3A"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257.762</w:t>
            </w:r>
          </w:p>
        </w:tc>
      </w:tr>
      <w:tr w:rsidR="003444EE" w:rsidRPr="002057D3" w14:paraId="4541F46A" w14:textId="77777777" w:rsidTr="00922377">
        <w:trPr>
          <w:trHeight w:val="255"/>
        </w:trPr>
        <w:tc>
          <w:tcPr>
            <w:tcW w:w="978" w:type="pct"/>
            <w:tcBorders>
              <w:top w:val="nil"/>
              <w:left w:val="nil"/>
              <w:bottom w:val="nil"/>
              <w:right w:val="nil"/>
            </w:tcBorders>
            <w:shd w:val="clear" w:color="auto" w:fill="auto"/>
            <w:vAlign w:val="center"/>
            <w:hideMark/>
          </w:tcPr>
          <w:p w14:paraId="46E15978" w14:textId="77777777" w:rsidR="003444EE" w:rsidRPr="007A6878" w:rsidRDefault="003444EE" w:rsidP="003444EE">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Debêntures</w:t>
            </w:r>
          </w:p>
        </w:tc>
        <w:tc>
          <w:tcPr>
            <w:tcW w:w="685" w:type="pct"/>
            <w:tcBorders>
              <w:top w:val="nil"/>
              <w:left w:val="nil"/>
              <w:bottom w:val="nil"/>
              <w:right w:val="nil"/>
            </w:tcBorders>
            <w:shd w:val="clear" w:color="auto" w:fill="auto"/>
            <w:vAlign w:val="center"/>
          </w:tcPr>
          <w:p w14:paraId="4E323140" w14:textId="1B373519" w:rsidR="003444EE"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76984A39" w14:textId="10277C98" w:rsidR="003444EE" w:rsidRPr="00905476" w:rsidRDefault="00905476" w:rsidP="009054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4B647513" w14:textId="1523474C"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167.081</w:t>
            </w:r>
          </w:p>
        </w:tc>
        <w:tc>
          <w:tcPr>
            <w:tcW w:w="382" w:type="pct"/>
            <w:tcBorders>
              <w:top w:val="nil"/>
              <w:left w:val="nil"/>
              <w:bottom w:val="nil"/>
              <w:right w:val="nil"/>
            </w:tcBorders>
            <w:shd w:val="clear" w:color="auto" w:fill="auto"/>
            <w:noWrap/>
            <w:vAlign w:val="center"/>
          </w:tcPr>
          <w:p w14:paraId="67EC4A38" w14:textId="223024FD"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162.208</w:t>
            </w:r>
          </w:p>
        </w:tc>
        <w:tc>
          <w:tcPr>
            <w:tcW w:w="317" w:type="pct"/>
            <w:tcBorders>
              <w:top w:val="nil"/>
              <w:left w:val="nil"/>
              <w:bottom w:val="nil"/>
              <w:right w:val="nil"/>
            </w:tcBorders>
            <w:shd w:val="clear" w:color="auto" w:fill="auto"/>
            <w:noWrap/>
            <w:vAlign w:val="center"/>
          </w:tcPr>
          <w:p w14:paraId="6EE82AE5" w14:textId="3E7A9125"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4.873</w:t>
            </w:r>
          </w:p>
        </w:tc>
        <w:tc>
          <w:tcPr>
            <w:tcW w:w="382" w:type="pct"/>
            <w:tcBorders>
              <w:top w:val="nil"/>
              <w:left w:val="nil"/>
              <w:bottom w:val="nil"/>
              <w:right w:val="nil"/>
            </w:tcBorders>
            <w:shd w:val="clear" w:color="auto" w:fill="auto"/>
            <w:noWrap/>
            <w:vAlign w:val="center"/>
          </w:tcPr>
          <w:p w14:paraId="5BC28A40" w14:textId="668E8002" w:rsidR="003444EE" w:rsidRPr="00905476" w:rsidRDefault="003444EE" w:rsidP="00905476">
            <w:pPr>
              <w:jc w:val="right"/>
              <w:rPr>
                <w:rFonts w:ascii="CAIXA Std Book" w:hAnsi="CAIXA Std Book" w:cs="Arial"/>
                <w:color w:val="005CA9"/>
                <w:sz w:val="16"/>
                <w:szCs w:val="16"/>
              </w:rPr>
            </w:pPr>
            <w:r>
              <w:rPr>
                <w:rFonts w:ascii="CAIXA Std Book" w:hAnsi="CAIXA Std Book" w:cs="Arial"/>
                <w:color w:val="005CA9"/>
                <w:sz w:val="18"/>
                <w:szCs w:val="18"/>
              </w:rPr>
              <w:t>167.081</w:t>
            </w:r>
          </w:p>
        </w:tc>
        <w:tc>
          <w:tcPr>
            <w:tcW w:w="382" w:type="pct"/>
            <w:tcBorders>
              <w:top w:val="nil"/>
              <w:left w:val="nil"/>
              <w:right w:val="nil"/>
            </w:tcBorders>
            <w:shd w:val="clear" w:color="auto" w:fill="auto"/>
            <w:noWrap/>
            <w:vAlign w:val="center"/>
            <w:hideMark/>
          </w:tcPr>
          <w:p w14:paraId="513EAB37" w14:textId="1DD5D001"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235.492</w:t>
            </w:r>
          </w:p>
        </w:tc>
        <w:tc>
          <w:tcPr>
            <w:tcW w:w="317" w:type="pct"/>
            <w:tcBorders>
              <w:top w:val="nil"/>
              <w:left w:val="nil"/>
              <w:right w:val="nil"/>
            </w:tcBorders>
            <w:shd w:val="clear" w:color="auto" w:fill="auto"/>
            <w:noWrap/>
            <w:vAlign w:val="center"/>
            <w:hideMark/>
          </w:tcPr>
          <w:p w14:paraId="6C3B4162" w14:textId="50C2D4A7"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5.832</w:t>
            </w:r>
          </w:p>
        </w:tc>
        <w:tc>
          <w:tcPr>
            <w:tcW w:w="382" w:type="pct"/>
            <w:tcBorders>
              <w:top w:val="nil"/>
              <w:left w:val="nil"/>
              <w:right w:val="nil"/>
            </w:tcBorders>
            <w:shd w:val="clear" w:color="auto" w:fill="auto"/>
            <w:noWrap/>
            <w:vAlign w:val="center"/>
            <w:hideMark/>
          </w:tcPr>
          <w:p w14:paraId="384835BA" w14:textId="04488DC3"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241.324</w:t>
            </w:r>
          </w:p>
        </w:tc>
      </w:tr>
      <w:tr w:rsidR="003444EE" w:rsidRPr="002057D3" w14:paraId="34CAC5D9" w14:textId="77777777" w:rsidTr="008C739D">
        <w:trPr>
          <w:trHeight w:val="255"/>
        </w:trPr>
        <w:tc>
          <w:tcPr>
            <w:tcW w:w="978" w:type="pct"/>
            <w:tcBorders>
              <w:top w:val="nil"/>
              <w:left w:val="nil"/>
              <w:bottom w:val="nil"/>
              <w:right w:val="nil"/>
            </w:tcBorders>
            <w:shd w:val="clear" w:color="auto" w:fill="auto"/>
            <w:vAlign w:val="center"/>
            <w:hideMark/>
          </w:tcPr>
          <w:p w14:paraId="0E4A6A2A" w14:textId="77777777" w:rsidR="003444EE" w:rsidRPr="007A6878" w:rsidRDefault="003444EE" w:rsidP="003444EE">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Ações</w:t>
            </w:r>
          </w:p>
        </w:tc>
        <w:tc>
          <w:tcPr>
            <w:tcW w:w="685" w:type="pct"/>
            <w:tcBorders>
              <w:top w:val="nil"/>
              <w:left w:val="nil"/>
              <w:bottom w:val="single" w:sz="4" w:space="0" w:color="F79646" w:themeColor="accent6"/>
              <w:right w:val="nil"/>
            </w:tcBorders>
            <w:shd w:val="clear" w:color="auto" w:fill="auto"/>
            <w:vAlign w:val="center"/>
          </w:tcPr>
          <w:p w14:paraId="57D79710" w14:textId="52EFA026" w:rsidR="003444EE" w:rsidRPr="00905476" w:rsidRDefault="003444EE" w:rsidP="003444EE">
            <w:pPr>
              <w:jc w:val="right"/>
              <w:rPr>
                <w:rFonts w:ascii="CAIXA Std Book" w:hAnsi="CAIXA Std Book" w:cs="Arial"/>
                <w:color w:val="005CA9"/>
                <w:sz w:val="16"/>
                <w:szCs w:val="16"/>
              </w:rPr>
            </w:pPr>
            <w:r>
              <w:rPr>
                <w:rFonts w:ascii="CAIXA Std Book" w:hAnsi="CAIXA Std Book" w:cs="Arial"/>
                <w:color w:val="005CA9"/>
                <w:sz w:val="18"/>
                <w:szCs w:val="18"/>
              </w:rPr>
              <w:t>12.802</w:t>
            </w:r>
          </w:p>
        </w:tc>
        <w:tc>
          <w:tcPr>
            <w:tcW w:w="795" w:type="pct"/>
            <w:tcBorders>
              <w:top w:val="nil"/>
              <w:left w:val="nil"/>
              <w:bottom w:val="single" w:sz="4" w:space="0" w:color="F79646" w:themeColor="accent6"/>
              <w:right w:val="nil"/>
            </w:tcBorders>
            <w:shd w:val="clear" w:color="auto" w:fill="auto"/>
            <w:noWrap/>
            <w:vAlign w:val="center"/>
          </w:tcPr>
          <w:p w14:paraId="04CB176F" w14:textId="190DA783" w:rsidR="003444EE" w:rsidRPr="00905476" w:rsidRDefault="00905476" w:rsidP="009054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7E4EAFE6" w14:textId="1DCB02B1" w:rsidR="003444EE" w:rsidRPr="00905476" w:rsidRDefault="00905476" w:rsidP="003444EE">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2BBEFBB3" w14:textId="10374E84" w:rsidR="003444EE" w:rsidRPr="00905476" w:rsidRDefault="003444EE" w:rsidP="003444EE">
            <w:pPr>
              <w:jc w:val="right"/>
              <w:rPr>
                <w:rFonts w:ascii="CAIXA Std Book" w:hAnsi="CAIXA Std Book" w:cs="Arial"/>
                <w:color w:val="005CA9"/>
                <w:sz w:val="16"/>
                <w:szCs w:val="16"/>
              </w:rPr>
            </w:pPr>
            <w:r>
              <w:rPr>
                <w:rFonts w:ascii="CAIXA Std Book" w:hAnsi="CAIXA Std Book" w:cs="Arial"/>
                <w:color w:val="005CA9"/>
                <w:sz w:val="18"/>
                <w:szCs w:val="18"/>
              </w:rPr>
              <w:t>100.448</w:t>
            </w:r>
          </w:p>
        </w:tc>
        <w:tc>
          <w:tcPr>
            <w:tcW w:w="317" w:type="pct"/>
            <w:tcBorders>
              <w:top w:val="nil"/>
              <w:left w:val="nil"/>
              <w:bottom w:val="single" w:sz="4" w:space="0" w:color="F79646" w:themeColor="accent6"/>
              <w:right w:val="nil"/>
            </w:tcBorders>
            <w:shd w:val="clear" w:color="auto" w:fill="auto"/>
            <w:noWrap/>
            <w:vAlign w:val="center"/>
          </w:tcPr>
          <w:p w14:paraId="58CAC04B" w14:textId="34CBDF11" w:rsidR="003444EE" w:rsidRPr="00905476" w:rsidRDefault="00905476" w:rsidP="003444EE">
            <w:pPr>
              <w:jc w:val="right"/>
              <w:rPr>
                <w:rFonts w:ascii="CAIXA Std Book" w:hAnsi="CAIXA Std Book" w:cs="Arial"/>
                <w:color w:val="005CA9"/>
                <w:sz w:val="16"/>
                <w:szCs w:val="16"/>
              </w:rPr>
            </w:pPr>
            <w:r>
              <w:rPr>
                <w:rFonts w:ascii="CAIXA Std Book" w:hAnsi="CAIXA Std Book" w:cs="Arial"/>
                <w:color w:val="005CA9"/>
                <w:sz w:val="18"/>
                <w:szCs w:val="18"/>
              </w:rPr>
              <w:t>(</w:t>
            </w:r>
            <w:r w:rsidR="003444EE">
              <w:rPr>
                <w:rFonts w:ascii="CAIXA Std Book" w:hAnsi="CAIXA Std Book" w:cs="Arial"/>
                <w:color w:val="005CA9"/>
                <w:sz w:val="18"/>
                <w:szCs w:val="18"/>
              </w:rPr>
              <w:t>87.646</w:t>
            </w: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753FD4E9" w14:textId="109B7A58" w:rsidR="003444EE" w:rsidRPr="00905476" w:rsidRDefault="003444EE" w:rsidP="003444EE">
            <w:pPr>
              <w:jc w:val="right"/>
              <w:rPr>
                <w:rFonts w:ascii="CAIXA Std Book" w:hAnsi="CAIXA Std Book" w:cs="Arial"/>
                <w:color w:val="005CA9"/>
                <w:sz w:val="16"/>
                <w:szCs w:val="16"/>
              </w:rPr>
            </w:pPr>
            <w:r>
              <w:rPr>
                <w:rFonts w:ascii="CAIXA Std Book" w:hAnsi="CAIXA Std Book" w:cs="Arial"/>
                <w:color w:val="005CA9"/>
                <w:sz w:val="18"/>
                <w:szCs w:val="18"/>
              </w:rPr>
              <w:t>12.802</w:t>
            </w:r>
          </w:p>
        </w:tc>
        <w:tc>
          <w:tcPr>
            <w:tcW w:w="382" w:type="pct"/>
            <w:tcBorders>
              <w:top w:val="nil"/>
              <w:left w:val="nil"/>
              <w:bottom w:val="single" w:sz="4" w:space="0" w:color="F79646" w:themeColor="accent6"/>
              <w:right w:val="nil"/>
            </w:tcBorders>
            <w:shd w:val="clear" w:color="auto" w:fill="auto"/>
            <w:noWrap/>
            <w:vAlign w:val="center"/>
            <w:hideMark/>
          </w:tcPr>
          <w:p w14:paraId="2CD7DC6A" w14:textId="2716A8A9"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100.448</w:t>
            </w:r>
          </w:p>
        </w:tc>
        <w:tc>
          <w:tcPr>
            <w:tcW w:w="317" w:type="pct"/>
            <w:tcBorders>
              <w:top w:val="nil"/>
              <w:left w:val="nil"/>
              <w:bottom w:val="single" w:sz="4" w:space="0" w:color="F79646"/>
              <w:right w:val="nil"/>
            </w:tcBorders>
            <w:shd w:val="clear" w:color="auto" w:fill="auto"/>
            <w:noWrap/>
            <w:vAlign w:val="center"/>
            <w:hideMark/>
          </w:tcPr>
          <w:p w14:paraId="702FAC64" w14:textId="2B5130D0"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(84.010)</w:t>
            </w:r>
          </w:p>
        </w:tc>
        <w:tc>
          <w:tcPr>
            <w:tcW w:w="382" w:type="pct"/>
            <w:tcBorders>
              <w:top w:val="nil"/>
              <w:left w:val="nil"/>
              <w:bottom w:val="single" w:sz="4" w:space="0" w:color="F79646"/>
              <w:right w:val="nil"/>
            </w:tcBorders>
            <w:shd w:val="clear" w:color="auto" w:fill="auto"/>
            <w:noWrap/>
            <w:vAlign w:val="center"/>
            <w:hideMark/>
          </w:tcPr>
          <w:p w14:paraId="6FF56905" w14:textId="466E3D6F" w:rsidR="003444EE" w:rsidRPr="007A6878" w:rsidRDefault="003444EE" w:rsidP="003444EE">
            <w:pPr>
              <w:jc w:val="right"/>
              <w:rPr>
                <w:rFonts w:ascii="CAIXA Std Book" w:eastAsia="Times New Roman" w:hAnsi="CAIXA Std Book" w:cs="Arial"/>
                <w:color w:val="005CA9"/>
                <w:sz w:val="16"/>
                <w:szCs w:val="16"/>
              </w:rPr>
            </w:pPr>
            <w:r>
              <w:rPr>
                <w:rFonts w:ascii="CAIXA Std Book" w:hAnsi="CAIXA Std Book" w:cs="Arial"/>
                <w:color w:val="005CA9"/>
                <w:sz w:val="18"/>
                <w:szCs w:val="18"/>
              </w:rPr>
              <w:t>16.438</w:t>
            </w:r>
          </w:p>
        </w:tc>
      </w:tr>
      <w:tr w:rsidR="003444EE" w:rsidRPr="002057D3" w14:paraId="7F6A815F" w14:textId="77777777" w:rsidTr="008C739D">
        <w:trPr>
          <w:trHeight w:val="255"/>
        </w:trPr>
        <w:tc>
          <w:tcPr>
            <w:tcW w:w="978" w:type="pct"/>
            <w:tcBorders>
              <w:top w:val="single" w:sz="4" w:space="0" w:color="F79646"/>
              <w:left w:val="nil"/>
              <w:bottom w:val="single" w:sz="4" w:space="0" w:color="F79646"/>
              <w:right w:val="nil"/>
            </w:tcBorders>
            <w:shd w:val="clear" w:color="auto" w:fill="auto"/>
            <w:vAlign w:val="center"/>
            <w:hideMark/>
          </w:tcPr>
          <w:p w14:paraId="6214F85C" w14:textId="77777777" w:rsidR="003444EE" w:rsidRPr="007A6878" w:rsidRDefault="003444EE" w:rsidP="003444EE">
            <w:pPr>
              <w:rPr>
                <w:rFonts w:ascii="CAIXA Std Book" w:eastAsia="Times New Roman" w:hAnsi="CAIXA Std Book" w:cs="Arial"/>
                <w:b/>
                <w:bCs/>
                <w:color w:val="005CA9"/>
                <w:sz w:val="16"/>
                <w:szCs w:val="16"/>
              </w:rPr>
            </w:pPr>
            <w:bookmarkStart w:id="47" w:name="OLE_LINK4" w:colFirst="4" w:colLast="6"/>
            <w:bookmarkStart w:id="48" w:name="OLE_LINK8" w:colFirst="4" w:colLast="6"/>
            <w:bookmarkStart w:id="49" w:name="OLE_LINK13" w:colFirst="4" w:colLast="9"/>
            <w:r w:rsidRPr="007A6878">
              <w:rPr>
                <w:rFonts w:ascii="CAIXA Std Book" w:eastAsia="Times New Roman" w:hAnsi="CAIXA Std Book" w:cs="Arial"/>
                <w:b/>
                <w:bCs/>
                <w:color w:val="005CA9"/>
                <w:sz w:val="16"/>
                <w:szCs w:val="16"/>
              </w:rPr>
              <w:t>Total</w:t>
            </w:r>
          </w:p>
        </w:tc>
        <w:tc>
          <w:tcPr>
            <w:tcW w:w="685" w:type="pct"/>
            <w:tcBorders>
              <w:top w:val="single" w:sz="4" w:space="0" w:color="F79646" w:themeColor="accent6"/>
              <w:left w:val="nil"/>
              <w:bottom w:val="single" w:sz="4" w:space="0" w:color="F79646" w:themeColor="accent6"/>
              <w:right w:val="nil"/>
            </w:tcBorders>
            <w:shd w:val="clear" w:color="auto" w:fill="auto"/>
            <w:noWrap/>
            <w:vAlign w:val="center"/>
          </w:tcPr>
          <w:p w14:paraId="5988DC27" w14:textId="087A45EA"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12.802</w:t>
            </w:r>
          </w:p>
        </w:tc>
        <w:tc>
          <w:tcPr>
            <w:tcW w:w="795" w:type="pct"/>
            <w:tcBorders>
              <w:top w:val="single" w:sz="4" w:space="0" w:color="F79646" w:themeColor="accent6"/>
              <w:left w:val="nil"/>
              <w:bottom w:val="single" w:sz="4" w:space="0" w:color="F79646" w:themeColor="accent6"/>
              <w:right w:val="nil"/>
            </w:tcBorders>
            <w:shd w:val="clear" w:color="auto" w:fill="auto"/>
            <w:noWrap/>
            <w:vAlign w:val="center"/>
          </w:tcPr>
          <w:p w14:paraId="7272B23C" w14:textId="7C65B1FD"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1.907.569</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352CA17B" w14:textId="597AE929"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126.521.638</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0C3BC4ED" w14:textId="1B8AFAFA"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127.243.142</w:t>
            </w:r>
          </w:p>
        </w:tc>
        <w:tc>
          <w:tcPr>
            <w:tcW w:w="317" w:type="pct"/>
            <w:tcBorders>
              <w:top w:val="single" w:sz="4" w:space="0" w:color="F79646" w:themeColor="accent6"/>
              <w:left w:val="nil"/>
              <w:bottom w:val="single" w:sz="4" w:space="0" w:color="F79646" w:themeColor="accent6"/>
              <w:right w:val="nil"/>
            </w:tcBorders>
            <w:shd w:val="clear" w:color="auto" w:fill="auto"/>
            <w:noWrap/>
            <w:vAlign w:val="center"/>
          </w:tcPr>
          <w:p w14:paraId="6BFE7862" w14:textId="31854707"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1.198.867</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1C5D41F6" w14:textId="4067223F" w:rsidR="003444EE" w:rsidRPr="00905476" w:rsidRDefault="003444EE" w:rsidP="003444EE">
            <w:pPr>
              <w:jc w:val="right"/>
              <w:rPr>
                <w:rFonts w:ascii="CAIXA Std Book" w:hAnsi="CAIXA Std Book" w:cs="Arial"/>
                <w:b/>
                <w:bCs/>
                <w:color w:val="005CA9"/>
                <w:sz w:val="16"/>
                <w:szCs w:val="16"/>
              </w:rPr>
            </w:pPr>
            <w:r>
              <w:rPr>
                <w:rFonts w:ascii="CAIXA Std Book" w:hAnsi="CAIXA Std Book" w:cs="Arial"/>
                <w:b/>
                <w:color w:val="005CA9"/>
                <w:sz w:val="18"/>
                <w:szCs w:val="18"/>
              </w:rPr>
              <w:t>128.442.009</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hideMark/>
          </w:tcPr>
          <w:p w14:paraId="40B845AC" w14:textId="544E655F"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134.309.196</w:t>
            </w:r>
          </w:p>
        </w:tc>
        <w:tc>
          <w:tcPr>
            <w:tcW w:w="317" w:type="pct"/>
            <w:tcBorders>
              <w:top w:val="single" w:sz="4" w:space="0" w:color="F79646"/>
              <w:left w:val="nil"/>
              <w:bottom w:val="single" w:sz="4" w:space="0" w:color="F79646"/>
              <w:right w:val="nil"/>
            </w:tcBorders>
            <w:shd w:val="clear" w:color="auto" w:fill="auto"/>
            <w:noWrap/>
            <w:vAlign w:val="center"/>
            <w:hideMark/>
          </w:tcPr>
          <w:p w14:paraId="7855A003" w14:textId="66E07307"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2.930.851</w:t>
            </w:r>
          </w:p>
        </w:tc>
        <w:tc>
          <w:tcPr>
            <w:tcW w:w="382" w:type="pct"/>
            <w:tcBorders>
              <w:top w:val="single" w:sz="4" w:space="0" w:color="F79646"/>
              <w:left w:val="nil"/>
              <w:bottom w:val="single" w:sz="4" w:space="0" w:color="F39200"/>
              <w:right w:val="nil"/>
            </w:tcBorders>
            <w:shd w:val="clear" w:color="auto" w:fill="auto"/>
            <w:noWrap/>
            <w:vAlign w:val="center"/>
            <w:hideMark/>
          </w:tcPr>
          <w:p w14:paraId="07E88CB4" w14:textId="4B97CA4B" w:rsidR="003444EE" w:rsidRPr="007A6878" w:rsidRDefault="003444EE" w:rsidP="003444EE">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137.240.047</w:t>
            </w:r>
          </w:p>
        </w:tc>
      </w:tr>
      <w:bookmarkEnd w:id="47"/>
      <w:bookmarkEnd w:id="48"/>
      <w:bookmarkEnd w:id="49"/>
    </w:tbl>
    <w:p w14:paraId="33F20B41" w14:textId="35CDA799" w:rsidR="00FF4346" w:rsidRDefault="00FF4346" w:rsidP="003849D3">
      <w:pPr>
        <w:spacing w:line="360" w:lineRule="auto"/>
        <w:rPr>
          <w:rFonts w:ascii="CAIXA Std Book" w:hAnsi="CAIXA Std Book"/>
          <w:b/>
          <w:color w:val="005CA9"/>
          <w:sz w:val="20"/>
          <w:szCs w:val="20"/>
        </w:rPr>
      </w:pPr>
    </w:p>
    <w:tbl>
      <w:tblPr>
        <w:tblW w:w="5000" w:type="pct"/>
        <w:tblCellMar>
          <w:left w:w="70" w:type="dxa"/>
          <w:right w:w="70" w:type="dxa"/>
        </w:tblCellMar>
        <w:tblLook w:val="04A0" w:firstRow="1" w:lastRow="0" w:firstColumn="1" w:lastColumn="0" w:noHBand="0" w:noVBand="1"/>
      </w:tblPr>
      <w:tblGrid>
        <w:gridCol w:w="2565"/>
        <w:gridCol w:w="1750"/>
        <w:gridCol w:w="2071"/>
        <w:gridCol w:w="1233"/>
        <w:gridCol w:w="1233"/>
        <w:gridCol w:w="1010"/>
        <w:gridCol w:w="1233"/>
        <w:gridCol w:w="1233"/>
        <w:gridCol w:w="1010"/>
        <w:gridCol w:w="1233"/>
      </w:tblGrid>
      <w:tr w:rsidR="003849D3" w:rsidRPr="002057D3" w14:paraId="7B5FC366" w14:textId="77777777" w:rsidTr="00482874">
        <w:trPr>
          <w:trHeight w:val="255"/>
        </w:trPr>
        <w:tc>
          <w:tcPr>
            <w:tcW w:w="5000" w:type="pct"/>
            <w:gridSpan w:val="10"/>
            <w:tcBorders>
              <w:top w:val="single" w:sz="4" w:space="0" w:color="F39200"/>
              <w:left w:val="nil"/>
              <w:bottom w:val="single" w:sz="4" w:space="0" w:color="F39200"/>
              <w:right w:val="nil"/>
            </w:tcBorders>
            <w:shd w:val="clear" w:color="auto" w:fill="auto"/>
            <w:vAlign w:val="center"/>
            <w:hideMark/>
          </w:tcPr>
          <w:p w14:paraId="67A68C43"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CONSOLIDADO</w:t>
            </w:r>
          </w:p>
        </w:tc>
      </w:tr>
      <w:tr w:rsidR="009469E9" w:rsidRPr="002057D3" w14:paraId="57DD4D02" w14:textId="77777777" w:rsidTr="00922377">
        <w:trPr>
          <w:trHeight w:val="255"/>
        </w:trPr>
        <w:tc>
          <w:tcPr>
            <w:tcW w:w="965" w:type="pct"/>
            <w:vMerge w:val="restart"/>
            <w:tcBorders>
              <w:top w:val="nil"/>
              <w:left w:val="nil"/>
              <w:bottom w:val="single" w:sz="4" w:space="0" w:color="F39200"/>
              <w:right w:val="nil"/>
            </w:tcBorders>
            <w:shd w:val="clear" w:color="auto" w:fill="auto"/>
            <w:vAlign w:val="center"/>
            <w:hideMark/>
          </w:tcPr>
          <w:p w14:paraId="23D810D3"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Descrição</w:t>
            </w:r>
          </w:p>
        </w:tc>
        <w:tc>
          <w:tcPr>
            <w:tcW w:w="2950" w:type="pct"/>
            <w:gridSpan w:val="6"/>
            <w:tcBorders>
              <w:top w:val="single" w:sz="4" w:space="0" w:color="F39200"/>
              <w:left w:val="nil"/>
              <w:bottom w:val="single" w:sz="4" w:space="0" w:color="F39200"/>
              <w:right w:val="nil"/>
            </w:tcBorders>
            <w:shd w:val="clear" w:color="auto" w:fill="auto"/>
            <w:noWrap/>
            <w:vAlign w:val="center"/>
            <w:hideMark/>
          </w:tcPr>
          <w:p w14:paraId="330A305E" w14:textId="0E40D7D9"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31/03/202</w:t>
            </w:r>
            <w:r w:rsidR="005E5357" w:rsidRPr="007A6878">
              <w:rPr>
                <w:rFonts w:ascii="CAIXA Std Book" w:eastAsia="Times New Roman" w:hAnsi="CAIXA Std Book" w:cs="Arial"/>
                <w:b/>
                <w:bCs/>
                <w:color w:val="005CA9"/>
                <w:sz w:val="16"/>
                <w:szCs w:val="16"/>
              </w:rPr>
              <w:t>4</w:t>
            </w:r>
          </w:p>
        </w:tc>
        <w:tc>
          <w:tcPr>
            <w:tcW w:w="1084" w:type="pct"/>
            <w:gridSpan w:val="3"/>
            <w:tcBorders>
              <w:top w:val="single" w:sz="4" w:space="0" w:color="F39200"/>
              <w:left w:val="nil"/>
              <w:bottom w:val="single" w:sz="4" w:space="0" w:color="F39200"/>
              <w:right w:val="nil"/>
            </w:tcBorders>
            <w:shd w:val="clear" w:color="auto" w:fill="auto"/>
            <w:noWrap/>
            <w:vAlign w:val="center"/>
            <w:hideMark/>
          </w:tcPr>
          <w:p w14:paraId="28EE4517" w14:textId="4FECC7A4"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31/12/202</w:t>
            </w:r>
            <w:r w:rsidR="005E5357" w:rsidRPr="007A6878">
              <w:rPr>
                <w:rFonts w:ascii="CAIXA Std Book" w:eastAsia="Times New Roman" w:hAnsi="CAIXA Std Book" w:cs="Arial"/>
                <w:b/>
                <w:bCs/>
                <w:color w:val="005CA9"/>
                <w:sz w:val="16"/>
                <w:szCs w:val="16"/>
              </w:rPr>
              <w:t>3</w:t>
            </w:r>
          </w:p>
        </w:tc>
      </w:tr>
      <w:tr w:rsidR="009469E9" w:rsidRPr="002057D3" w14:paraId="2862450D" w14:textId="77777777" w:rsidTr="00922377">
        <w:trPr>
          <w:trHeight w:val="401"/>
        </w:trPr>
        <w:tc>
          <w:tcPr>
            <w:tcW w:w="965" w:type="pct"/>
            <w:vMerge/>
            <w:tcBorders>
              <w:top w:val="nil"/>
              <w:left w:val="nil"/>
              <w:bottom w:val="single" w:sz="4" w:space="0" w:color="F39200"/>
              <w:right w:val="nil"/>
            </w:tcBorders>
            <w:vAlign w:val="center"/>
            <w:hideMark/>
          </w:tcPr>
          <w:p w14:paraId="5FE034C5" w14:textId="77777777" w:rsidR="003849D3" w:rsidRPr="007A6878" w:rsidRDefault="003849D3" w:rsidP="00922377">
            <w:pPr>
              <w:jc w:val="center"/>
              <w:rPr>
                <w:rFonts w:ascii="CAIXA Std Book" w:eastAsia="Times New Roman" w:hAnsi="CAIXA Std Book" w:cs="Arial"/>
                <w:b/>
                <w:bCs/>
                <w:color w:val="005CA9"/>
                <w:sz w:val="16"/>
                <w:szCs w:val="16"/>
              </w:rPr>
            </w:pPr>
          </w:p>
        </w:tc>
        <w:tc>
          <w:tcPr>
            <w:tcW w:w="685" w:type="pct"/>
            <w:vMerge w:val="restart"/>
            <w:tcBorders>
              <w:top w:val="nil"/>
              <w:left w:val="nil"/>
              <w:bottom w:val="single" w:sz="4" w:space="0" w:color="F39200"/>
              <w:right w:val="nil"/>
            </w:tcBorders>
            <w:shd w:val="clear" w:color="auto" w:fill="auto"/>
            <w:vAlign w:val="center"/>
            <w:hideMark/>
          </w:tcPr>
          <w:p w14:paraId="37554AC0"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Sem Vencimento</w:t>
            </w:r>
          </w:p>
        </w:tc>
        <w:tc>
          <w:tcPr>
            <w:tcW w:w="795" w:type="pct"/>
            <w:vMerge w:val="restart"/>
            <w:tcBorders>
              <w:top w:val="nil"/>
              <w:left w:val="nil"/>
              <w:bottom w:val="single" w:sz="4" w:space="0" w:color="F39200"/>
              <w:right w:val="nil"/>
            </w:tcBorders>
            <w:shd w:val="clear" w:color="auto" w:fill="auto"/>
            <w:vAlign w:val="center"/>
            <w:hideMark/>
          </w:tcPr>
          <w:p w14:paraId="5E2171C7" w14:textId="09AEA40E" w:rsidR="003849D3" w:rsidRPr="007A6878" w:rsidRDefault="00C36F3F" w:rsidP="000F6BCA">
            <w:pPr>
              <w:jc w:val="center"/>
              <w:rPr>
                <w:rFonts w:ascii="CAIXA Std Book" w:eastAsia="Times New Roman" w:hAnsi="CAIXA Std Book" w:cs="Arial"/>
                <w:b/>
                <w:bCs/>
                <w:color w:val="005CA9"/>
                <w:sz w:val="16"/>
                <w:szCs w:val="16"/>
              </w:rPr>
            </w:pPr>
            <w:r w:rsidRPr="00C36F3F">
              <w:rPr>
                <w:rFonts w:ascii="CAIXA Std Book" w:eastAsia="Times New Roman" w:hAnsi="CAIXA Std Book" w:cs="Arial"/>
                <w:b/>
                <w:bCs/>
                <w:color w:val="005CA9"/>
                <w:sz w:val="16"/>
                <w:szCs w:val="16"/>
              </w:rPr>
              <w:t>01</w:t>
            </w:r>
            <w:r w:rsidR="003849D3" w:rsidRPr="007A6878">
              <w:rPr>
                <w:rFonts w:ascii="CAIXA Std Book" w:eastAsia="Times New Roman" w:hAnsi="CAIXA Std Book" w:cs="Arial"/>
                <w:b/>
                <w:bCs/>
                <w:color w:val="005CA9"/>
                <w:sz w:val="16"/>
                <w:szCs w:val="16"/>
              </w:rPr>
              <w:t xml:space="preserve"> a </w:t>
            </w:r>
            <w:r w:rsidRPr="00C36F3F">
              <w:rPr>
                <w:rFonts w:ascii="CAIXA Std Book" w:eastAsia="Times New Roman" w:hAnsi="CAIXA Std Book" w:cs="Arial"/>
                <w:b/>
                <w:bCs/>
                <w:color w:val="005CA9"/>
                <w:sz w:val="16"/>
                <w:szCs w:val="16"/>
              </w:rPr>
              <w:t>90</w:t>
            </w:r>
            <w:r w:rsidR="003849D3" w:rsidRPr="007A6878">
              <w:rPr>
                <w:rFonts w:ascii="CAIXA Std Book" w:eastAsia="Times New Roman" w:hAnsi="CAIXA Std Book" w:cs="Arial"/>
                <w:b/>
                <w:bCs/>
                <w:color w:val="005CA9"/>
                <w:sz w:val="16"/>
                <w:szCs w:val="16"/>
              </w:rPr>
              <w:t xml:space="preserve"> dias</w:t>
            </w:r>
          </w:p>
        </w:tc>
        <w:tc>
          <w:tcPr>
            <w:tcW w:w="382" w:type="pct"/>
            <w:vMerge w:val="restart"/>
            <w:tcBorders>
              <w:top w:val="nil"/>
              <w:left w:val="nil"/>
              <w:bottom w:val="single" w:sz="4" w:space="0" w:color="F39200"/>
              <w:right w:val="nil"/>
            </w:tcBorders>
            <w:shd w:val="clear" w:color="auto" w:fill="auto"/>
            <w:vAlign w:val="center"/>
            <w:hideMark/>
          </w:tcPr>
          <w:p w14:paraId="4416CAD1"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Acima de 360 dias</w:t>
            </w:r>
          </w:p>
        </w:tc>
        <w:tc>
          <w:tcPr>
            <w:tcW w:w="382" w:type="pct"/>
            <w:vMerge w:val="restart"/>
            <w:tcBorders>
              <w:top w:val="nil"/>
              <w:left w:val="nil"/>
              <w:bottom w:val="single" w:sz="4" w:space="0" w:color="F39200"/>
              <w:right w:val="nil"/>
            </w:tcBorders>
            <w:shd w:val="clear" w:color="auto" w:fill="auto"/>
            <w:vAlign w:val="center"/>
            <w:hideMark/>
          </w:tcPr>
          <w:p w14:paraId="396F8081" w14:textId="5A7DBF7A"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Custo</w:t>
            </w:r>
          </w:p>
        </w:tc>
        <w:tc>
          <w:tcPr>
            <w:tcW w:w="325" w:type="pct"/>
            <w:vMerge w:val="restart"/>
            <w:tcBorders>
              <w:top w:val="nil"/>
              <w:left w:val="nil"/>
              <w:bottom w:val="single" w:sz="4" w:space="0" w:color="F39200"/>
              <w:right w:val="nil"/>
            </w:tcBorders>
            <w:shd w:val="clear" w:color="auto" w:fill="auto"/>
            <w:vAlign w:val="center"/>
            <w:hideMark/>
          </w:tcPr>
          <w:p w14:paraId="05A1A0C5"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Ajuste a mercado resultado</w:t>
            </w:r>
          </w:p>
        </w:tc>
        <w:tc>
          <w:tcPr>
            <w:tcW w:w="382" w:type="pct"/>
            <w:vMerge w:val="restart"/>
            <w:tcBorders>
              <w:top w:val="nil"/>
              <w:left w:val="nil"/>
              <w:bottom w:val="single" w:sz="4" w:space="0" w:color="F39200"/>
              <w:right w:val="nil"/>
            </w:tcBorders>
            <w:shd w:val="clear" w:color="auto" w:fill="auto"/>
            <w:vAlign w:val="center"/>
            <w:hideMark/>
          </w:tcPr>
          <w:p w14:paraId="24A1591E"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Valor de mercado</w:t>
            </w:r>
          </w:p>
        </w:tc>
        <w:tc>
          <w:tcPr>
            <w:tcW w:w="382" w:type="pct"/>
            <w:vMerge w:val="restart"/>
            <w:tcBorders>
              <w:top w:val="nil"/>
              <w:left w:val="nil"/>
              <w:bottom w:val="single" w:sz="4" w:space="0" w:color="F39200"/>
              <w:right w:val="nil"/>
            </w:tcBorders>
            <w:shd w:val="clear" w:color="auto" w:fill="auto"/>
            <w:vAlign w:val="center"/>
            <w:hideMark/>
          </w:tcPr>
          <w:p w14:paraId="5CE4AC8A" w14:textId="25279EF0"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Custo</w:t>
            </w:r>
          </w:p>
        </w:tc>
        <w:tc>
          <w:tcPr>
            <w:tcW w:w="321" w:type="pct"/>
            <w:vMerge w:val="restart"/>
            <w:tcBorders>
              <w:top w:val="nil"/>
              <w:left w:val="nil"/>
              <w:bottom w:val="single" w:sz="4" w:space="0" w:color="F39200"/>
              <w:right w:val="nil"/>
            </w:tcBorders>
            <w:shd w:val="clear" w:color="auto" w:fill="auto"/>
            <w:vAlign w:val="center"/>
            <w:hideMark/>
          </w:tcPr>
          <w:p w14:paraId="4BBBFF67"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Ajuste a mercado resultado</w:t>
            </w:r>
          </w:p>
        </w:tc>
        <w:tc>
          <w:tcPr>
            <w:tcW w:w="382" w:type="pct"/>
            <w:vMerge w:val="restart"/>
            <w:tcBorders>
              <w:top w:val="nil"/>
              <w:left w:val="nil"/>
              <w:bottom w:val="single" w:sz="4" w:space="0" w:color="F39200"/>
              <w:right w:val="nil"/>
            </w:tcBorders>
            <w:shd w:val="clear" w:color="auto" w:fill="auto"/>
            <w:vAlign w:val="center"/>
            <w:hideMark/>
          </w:tcPr>
          <w:p w14:paraId="0641E106" w14:textId="77777777" w:rsidR="003849D3" w:rsidRPr="007A6878" w:rsidRDefault="003849D3" w:rsidP="000F6BCA">
            <w:pPr>
              <w:jc w:val="cente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Valor de mercado</w:t>
            </w:r>
          </w:p>
        </w:tc>
      </w:tr>
      <w:tr w:rsidR="009469E9" w:rsidRPr="002057D3" w14:paraId="3D1FCF63" w14:textId="77777777" w:rsidTr="00922377">
        <w:trPr>
          <w:trHeight w:val="401"/>
        </w:trPr>
        <w:tc>
          <w:tcPr>
            <w:tcW w:w="965" w:type="pct"/>
            <w:vMerge/>
            <w:tcBorders>
              <w:top w:val="nil"/>
              <w:left w:val="nil"/>
              <w:bottom w:val="single" w:sz="4" w:space="0" w:color="F39200"/>
              <w:right w:val="nil"/>
            </w:tcBorders>
            <w:vAlign w:val="center"/>
            <w:hideMark/>
          </w:tcPr>
          <w:p w14:paraId="5CFFBB18"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685" w:type="pct"/>
            <w:vMerge/>
            <w:tcBorders>
              <w:top w:val="nil"/>
              <w:left w:val="nil"/>
              <w:bottom w:val="single" w:sz="4" w:space="0" w:color="F39200"/>
              <w:right w:val="nil"/>
            </w:tcBorders>
            <w:vAlign w:val="center"/>
            <w:hideMark/>
          </w:tcPr>
          <w:p w14:paraId="59B96A79"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795" w:type="pct"/>
            <w:vMerge/>
            <w:tcBorders>
              <w:top w:val="nil"/>
              <w:left w:val="nil"/>
              <w:bottom w:val="single" w:sz="4" w:space="0" w:color="F39200"/>
              <w:right w:val="nil"/>
            </w:tcBorders>
            <w:vAlign w:val="center"/>
            <w:hideMark/>
          </w:tcPr>
          <w:p w14:paraId="39368D3B"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7CD4F223"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105A2387"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25" w:type="pct"/>
            <w:vMerge/>
            <w:tcBorders>
              <w:top w:val="nil"/>
              <w:left w:val="nil"/>
              <w:bottom w:val="single" w:sz="4" w:space="0" w:color="F39200"/>
              <w:right w:val="nil"/>
            </w:tcBorders>
            <w:vAlign w:val="center"/>
            <w:hideMark/>
          </w:tcPr>
          <w:p w14:paraId="6D119A6D"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575E4421"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56687BA1"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21" w:type="pct"/>
            <w:vMerge/>
            <w:tcBorders>
              <w:top w:val="nil"/>
              <w:left w:val="nil"/>
              <w:bottom w:val="single" w:sz="4" w:space="0" w:color="F39200"/>
              <w:right w:val="nil"/>
            </w:tcBorders>
            <w:vAlign w:val="center"/>
            <w:hideMark/>
          </w:tcPr>
          <w:p w14:paraId="015BC0EF" w14:textId="77777777" w:rsidR="003849D3" w:rsidRPr="007A6878" w:rsidRDefault="003849D3" w:rsidP="003A233C">
            <w:pPr>
              <w:jc w:val="right"/>
              <w:rPr>
                <w:rFonts w:ascii="CAIXA Std Book" w:eastAsia="Times New Roman" w:hAnsi="CAIXA Std Book" w:cs="Arial"/>
                <w:b/>
                <w:bCs/>
                <w:color w:val="005CA9"/>
                <w:sz w:val="16"/>
                <w:szCs w:val="16"/>
              </w:rPr>
            </w:pPr>
          </w:p>
        </w:tc>
        <w:tc>
          <w:tcPr>
            <w:tcW w:w="382" w:type="pct"/>
            <w:vMerge/>
            <w:tcBorders>
              <w:top w:val="nil"/>
              <w:left w:val="nil"/>
              <w:bottom w:val="single" w:sz="4" w:space="0" w:color="F39200"/>
              <w:right w:val="nil"/>
            </w:tcBorders>
            <w:vAlign w:val="center"/>
            <w:hideMark/>
          </w:tcPr>
          <w:p w14:paraId="38054473" w14:textId="77777777" w:rsidR="003849D3" w:rsidRPr="007A6878" w:rsidRDefault="003849D3" w:rsidP="003A233C">
            <w:pPr>
              <w:jc w:val="right"/>
              <w:rPr>
                <w:rFonts w:ascii="CAIXA Std Book" w:eastAsia="Times New Roman" w:hAnsi="CAIXA Std Book" w:cs="Arial"/>
                <w:b/>
                <w:bCs/>
                <w:color w:val="005CA9"/>
                <w:sz w:val="16"/>
                <w:szCs w:val="16"/>
              </w:rPr>
            </w:pPr>
          </w:p>
        </w:tc>
      </w:tr>
      <w:tr w:rsidR="00406C66" w:rsidRPr="002057D3" w14:paraId="39067C4B" w14:textId="77777777" w:rsidTr="00922377">
        <w:trPr>
          <w:trHeight w:val="255"/>
        </w:trPr>
        <w:tc>
          <w:tcPr>
            <w:tcW w:w="965" w:type="pct"/>
            <w:tcBorders>
              <w:top w:val="nil"/>
              <w:left w:val="nil"/>
              <w:bottom w:val="nil"/>
              <w:right w:val="nil"/>
            </w:tcBorders>
            <w:shd w:val="clear" w:color="auto" w:fill="auto"/>
            <w:vAlign w:val="center"/>
            <w:hideMark/>
          </w:tcPr>
          <w:p w14:paraId="0863E594" w14:textId="77777777" w:rsidR="00406C66" w:rsidRPr="007A6878" w:rsidRDefault="00406C66" w:rsidP="00406C66">
            <w:pP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Títulos públicos</w:t>
            </w:r>
          </w:p>
        </w:tc>
        <w:tc>
          <w:tcPr>
            <w:tcW w:w="685" w:type="pct"/>
            <w:tcBorders>
              <w:top w:val="nil"/>
              <w:left w:val="nil"/>
              <w:bottom w:val="nil"/>
              <w:right w:val="nil"/>
            </w:tcBorders>
            <w:shd w:val="clear" w:color="auto" w:fill="auto"/>
            <w:noWrap/>
            <w:vAlign w:val="center"/>
          </w:tcPr>
          <w:p w14:paraId="7B6B25B8" w14:textId="5F5B8CD0" w:rsidR="00406C66" w:rsidRPr="00905476" w:rsidRDefault="00905476" w:rsidP="00966076">
            <w:pPr>
              <w:jc w:val="center"/>
              <w:rPr>
                <w:rFonts w:ascii="CAIXA Std Book" w:hAnsi="CAIXA Std Book" w:cs="Arial"/>
                <w:b/>
                <w:bCs/>
                <w:color w:val="005CA9"/>
                <w:sz w:val="16"/>
                <w:szCs w:val="16"/>
              </w:rPr>
            </w:pPr>
            <w:r>
              <w:rPr>
                <w:rFonts w:ascii="CAIXA Std Book" w:hAnsi="CAIXA Std Book" w:cs="Arial"/>
                <w:b/>
                <w:color w:val="005CA9"/>
                <w:sz w:val="18"/>
                <w:szCs w:val="18"/>
              </w:rPr>
              <w:t>-</w:t>
            </w:r>
          </w:p>
        </w:tc>
        <w:tc>
          <w:tcPr>
            <w:tcW w:w="795" w:type="pct"/>
            <w:tcBorders>
              <w:top w:val="nil"/>
              <w:left w:val="nil"/>
              <w:bottom w:val="nil"/>
              <w:right w:val="nil"/>
            </w:tcBorders>
            <w:shd w:val="clear" w:color="auto" w:fill="auto"/>
            <w:noWrap/>
            <w:vAlign w:val="center"/>
          </w:tcPr>
          <w:p w14:paraId="58930492" w14:textId="6DC9EA6E" w:rsidR="00406C66" w:rsidRPr="00905476" w:rsidRDefault="00406C66" w:rsidP="00905476">
            <w:pPr>
              <w:jc w:val="right"/>
              <w:rPr>
                <w:rFonts w:ascii="CAIXA Std Book" w:hAnsi="CAIXA Std Book" w:cs="Arial"/>
                <w:b/>
                <w:bCs/>
                <w:color w:val="005CA9"/>
                <w:sz w:val="16"/>
                <w:szCs w:val="16"/>
              </w:rPr>
            </w:pPr>
            <w:r>
              <w:rPr>
                <w:rFonts w:ascii="CAIXA Std Book" w:hAnsi="CAIXA Std Book" w:cs="Arial"/>
                <w:b/>
                <w:color w:val="005CA9"/>
                <w:sz w:val="18"/>
                <w:szCs w:val="18"/>
              </w:rPr>
              <w:t>1</w:t>
            </w:r>
            <w:r w:rsidR="00BB1A6D">
              <w:rPr>
                <w:rFonts w:ascii="CAIXA Std Book" w:hAnsi="CAIXA Std Book" w:cs="Arial"/>
                <w:b/>
                <w:color w:val="005CA9"/>
                <w:sz w:val="18"/>
                <w:szCs w:val="18"/>
              </w:rPr>
              <w:t>.</w:t>
            </w:r>
            <w:r>
              <w:rPr>
                <w:rFonts w:ascii="CAIXA Std Book" w:hAnsi="CAIXA Std Book" w:cs="Arial"/>
                <w:b/>
                <w:color w:val="005CA9"/>
                <w:sz w:val="18"/>
                <w:szCs w:val="18"/>
              </w:rPr>
              <w:t>907</w:t>
            </w:r>
            <w:r w:rsidR="00BB1A6D">
              <w:rPr>
                <w:rFonts w:ascii="CAIXA Std Book" w:hAnsi="CAIXA Std Book" w:cs="Arial"/>
                <w:b/>
                <w:color w:val="005CA9"/>
                <w:sz w:val="18"/>
                <w:szCs w:val="18"/>
              </w:rPr>
              <w:t>.</w:t>
            </w:r>
            <w:r>
              <w:rPr>
                <w:rFonts w:ascii="CAIXA Std Book" w:hAnsi="CAIXA Std Book" w:cs="Arial"/>
                <w:b/>
                <w:color w:val="005CA9"/>
                <w:sz w:val="18"/>
                <w:szCs w:val="18"/>
              </w:rPr>
              <w:t>569</w:t>
            </w:r>
          </w:p>
        </w:tc>
        <w:tc>
          <w:tcPr>
            <w:tcW w:w="382" w:type="pct"/>
            <w:tcBorders>
              <w:top w:val="nil"/>
              <w:left w:val="nil"/>
              <w:bottom w:val="nil"/>
              <w:right w:val="nil"/>
            </w:tcBorders>
            <w:shd w:val="clear" w:color="auto" w:fill="auto"/>
            <w:noWrap/>
            <w:vAlign w:val="center"/>
          </w:tcPr>
          <w:p w14:paraId="1B233147" w14:textId="2E87B982" w:rsidR="00406C66" w:rsidRPr="00905476" w:rsidRDefault="00406C66"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127.800.772</w:t>
            </w:r>
          </w:p>
        </w:tc>
        <w:tc>
          <w:tcPr>
            <w:tcW w:w="382" w:type="pct"/>
            <w:tcBorders>
              <w:top w:val="nil"/>
              <w:left w:val="nil"/>
              <w:bottom w:val="nil"/>
              <w:right w:val="nil"/>
            </w:tcBorders>
            <w:shd w:val="clear" w:color="auto" w:fill="auto"/>
            <w:noWrap/>
            <w:vAlign w:val="center"/>
          </w:tcPr>
          <w:p w14:paraId="30263B46" w14:textId="04C848E8" w:rsidR="00406C66" w:rsidRPr="00905476" w:rsidRDefault="00406C66"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128.397.436</w:t>
            </w:r>
          </w:p>
        </w:tc>
        <w:tc>
          <w:tcPr>
            <w:tcW w:w="325" w:type="pct"/>
            <w:tcBorders>
              <w:top w:val="nil"/>
              <w:left w:val="nil"/>
              <w:bottom w:val="nil"/>
              <w:right w:val="nil"/>
            </w:tcBorders>
            <w:shd w:val="clear" w:color="auto" w:fill="auto"/>
            <w:noWrap/>
            <w:vAlign w:val="center"/>
          </w:tcPr>
          <w:p w14:paraId="45BCB509" w14:textId="5AA647BD" w:rsidR="00406C66" w:rsidRPr="00905476" w:rsidRDefault="00406C66" w:rsidP="00905476">
            <w:pPr>
              <w:jc w:val="right"/>
              <w:rPr>
                <w:rFonts w:ascii="CAIXA Std Book" w:hAnsi="CAIXA Std Book" w:cs="Arial"/>
                <w:b/>
                <w:bCs/>
                <w:color w:val="005CA9"/>
                <w:sz w:val="16"/>
                <w:szCs w:val="16"/>
              </w:rPr>
            </w:pPr>
            <w:r>
              <w:rPr>
                <w:rFonts w:ascii="CAIXA Std Book" w:hAnsi="CAIXA Std Book" w:cs="Arial"/>
                <w:b/>
                <w:color w:val="005CA9"/>
                <w:sz w:val="18"/>
                <w:szCs w:val="18"/>
              </w:rPr>
              <w:t>1.310.905</w:t>
            </w:r>
          </w:p>
        </w:tc>
        <w:tc>
          <w:tcPr>
            <w:tcW w:w="382" w:type="pct"/>
            <w:tcBorders>
              <w:top w:val="nil"/>
              <w:left w:val="nil"/>
              <w:bottom w:val="nil"/>
              <w:right w:val="nil"/>
            </w:tcBorders>
            <w:shd w:val="clear" w:color="auto" w:fill="auto"/>
            <w:noWrap/>
            <w:vAlign w:val="center"/>
          </w:tcPr>
          <w:p w14:paraId="7379F47B" w14:textId="7DEBF74A" w:rsidR="00406C66" w:rsidRPr="00905476" w:rsidRDefault="00406C66" w:rsidP="00905476">
            <w:pPr>
              <w:jc w:val="right"/>
              <w:rPr>
                <w:rFonts w:ascii="CAIXA Std Book" w:hAnsi="CAIXA Std Book" w:cs="Arial"/>
                <w:b/>
                <w:bCs/>
                <w:color w:val="005CA9"/>
                <w:sz w:val="16"/>
                <w:szCs w:val="16"/>
              </w:rPr>
            </w:pPr>
            <w:r>
              <w:rPr>
                <w:rFonts w:ascii="CAIXA Std Book" w:hAnsi="CAIXA Std Book" w:cs="Arial"/>
                <w:b/>
                <w:color w:val="005CA9"/>
                <w:sz w:val="18"/>
                <w:szCs w:val="18"/>
              </w:rPr>
              <w:t>129.708.341</w:t>
            </w:r>
          </w:p>
        </w:tc>
        <w:tc>
          <w:tcPr>
            <w:tcW w:w="382" w:type="pct"/>
            <w:tcBorders>
              <w:top w:val="nil"/>
              <w:left w:val="nil"/>
              <w:bottom w:val="nil"/>
              <w:right w:val="nil"/>
            </w:tcBorders>
            <w:shd w:val="clear" w:color="auto" w:fill="auto"/>
            <w:noWrap/>
            <w:vAlign w:val="center"/>
            <w:hideMark/>
          </w:tcPr>
          <w:p w14:paraId="28A50733" w14:textId="61817742" w:rsidR="00406C66" w:rsidRPr="007A6878" w:rsidRDefault="00406C66" w:rsidP="00406C66">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134.889.649</w:t>
            </w:r>
          </w:p>
        </w:tc>
        <w:tc>
          <w:tcPr>
            <w:tcW w:w="321" w:type="pct"/>
            <w:tcBorders>
              <w:top w:val="nil"/>
              <w:left w:val="nil"/>
              <w:bottom w:val="nil"/>
              <w:right w:val="nil"/>
            </w:tcBorders>
            <w:shd w:val="clear" w:color="auto" w:fill="auto"/>
            <w:noWrap/>
            <w:vAlign w:val="center"/>
            <w:hideMark/>
          </w:tcPr>
          <w:p w14:paraId="5E11F463" w14:textId="3F575797" w:rsidR="00406C66" w:rsidRPr="007A6878" w:rsidRDefault="00406C66" w:rsidP="00406C66">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3.088.162</w:t>
            </w:r>
          </w:p>
        </w:tc>
        <w:tc>
          <w:tcPr>
            <w:tcW w:w="382" w:type="pct"/>
            <w:tcBorders>
              <w:top w:val="nil"/>
              <w:left w:val="nil"/>
              <w:bottom w:val="nil"/>
              <w:right w:val="nil"/>
            </w:tcBorders>
            <w:shd w:val="clear" w:color="auto" w:fill="auto"/>
            <w:noWrap/>
            <w:vAlign w:val="center"/>
            <w:hideMark/>
          </w:tcPr>
          <w:p w14:paraId="71D95107" w14:textId="58FE15F7" w:rsidR="00406C66" w:rsidRPr="007A6878" w:rsidRDefault="00406C66" w:rsidP="00406C66">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137.977.811</w:t>
            </w:r>
          </w:p>
        </w:tc>
      </w:tr>
      <w:tr w:rsidR="00406C66" w:rsidRPr="002057D3" w14:paraId="6AD32287" w14:textId="77777777" w:rsidTr="00922377">
        <w:trPr>
          <w:trHeight w:val="255"/>
        </w:trPr>
        <w:tc>
          <w:tcPr>
            <w:tcW w:w="965" w:type="pct"/>
            <w:tcBorders>
              <w:top w:val="nil"/>
              <w:left w:val="nil"/>
              <w:bottom w:val="nil"/>
              <w:right w:val="nil"/>
            </w:tcBorders>
            <w:shd w:val="clear" w:color="auto" w:fill="auto"/>
            <w:vAlign w:val="center"/>
            <w:hideMark/>
          </w:tcPr>
          <w:p w14:paraId="48DB21BC" w14:textId="77777777"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Letras financeiras do tesouro</w:t>
            </w:r>
          </w:p>
        </w:tc>
        <w:tc>
          <w:tcPr>
            <w:tcW w:w="685" w:type="pct"/>
            <w:tcBorders>
              <w:top w:val="nil"/>
              <w:left w:val="nil"/>
              <w:bottom w:val="nil"/>
              <w:right w:val="nil"/>
            </w:tcBorders>
            <w:shd w:val="clear" w:color="auto" w:fill="auto"/>
            <w:vAlign w:val="center"/>
          </w:tcPr>
          <w:p w14:paraId="19AA16FF" w14:textId="0793E499" w:rsidR="00406C66"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2D40E51E" w14:textId="7D9B062A" w:rsidR="00406C66" w:rsidRPr="00905476" w:rsidRDefault="00905476" w:rsidP="00BB1A6D">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2DA27762" w14:textId="5854AD9D"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51.991.410</w:t>
            </w:r>
          </w:p>
        </w:tc>
        <w:tc>
          <w:tcPr>
            <w:tcW w:w="382" w:type="pct"/>
            <w:tcBorders>
              <w:top w:val="nil"/>
              <w:left w:val="nil"/>
              <w:bottom w:val="nil"/>
              <w:right w:val="nil"/>
            </w:tcBorders>
            <w:shd w:val="clear" w:color="auto" w:fill="auto"/>
            <w:noWrap/>
            <w:vAlign w:val="center"/>
          </w:tcPr>
          <w:p w14:paraId="4CCAA904" w14:textId="5024A92C"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51.844.225</w:t>
            </w:r>
          </w:p>
        </w:tc>
        <w:tc>
          <w:tcPr>
            <w:tcW w:w="325" w:type="pct"/>
            <w:tcBorders>
              <w:top w:val="nil"/>
              <w:left w:val="nil"/>
              <w:bottom w:val="nil"/>
              <w:right w:val="nil"/>
            </w:tcBorders>
            <w:shd w:val="clear" w:color="auto" w:fill="auto"/>
            <w:noWrap/>
            <w:vAlign w:val="center"/>
          </w:tcPr>
          <w:p w14:paraId="15C2E40F" w14:textId="6C36644A"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147.185</w:t>
            </w:r>
          </w:p>
        </w:tc>
        <w:tc>
          <w:tcPr>
            <w:tcW w:w="382" w:type="pct"/>
            <w:tcBorders>
              <w:top w:val="nil"/>
              <w:left w:val="nil"/>
              <w:bottom w:val="nil"/>
              <w:right w:val="nil"/>
            </w:tcBorders>
            <w:shd w:val="clear" w:color="auto" w:fill="auto"/>
            <w:noWrap/>
            <w:vAlign w:val="center"/>
          </w:tcPr>
          <w:p w14:paraId="70B3D29C" w14:textId="413317C5"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51.991.410</w:t>
            </w:r>
          </w:p>
        </w:tc>
        <w:tc>
          <w:tcPr>
            <w:tcW w:w="382" w:type="pct"/>
            <w:tcBorders>
              <w:top w:val="nil"/>
              <w:left w:val="nil"/>
              <w:bottom w:val="nil"/>
              <w:right w:val="nil"/>
            </w:tcBorders>
            <w:shd w:val="clear" w:color="auto" w:fill="auto"/>
            <w:noWrap/>
            <w:vAlign w:val="center"/>
            <w:hideMark/>
          </w:tcPr>
          <w:p w14:paraId="3DA3AF98" w14:textId="56A46E97"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42.013.682</w:t>
            </w:r>
          </w:p>
        </w:tc>
        <w:tc>
          <w:tcPr>
            <w:tcW w:w="321" w:type="pct"/>
            <w:tcBorders>
              <w:top w:val="nil"/>
              <w:left w:val="nil"/>
              <w:bottom w:val="nil"/>
              <w:right w:val="nil"/>
            </w:tcBorders>
            <w:shd w:val="clear" w:color="auto" w:fill="auto"/>
            <w:noWrap/>
            <w:vAlign w:val="center"/>
            <w:hideMark/>
          </w:tcPr>
          <w:p w14:paraId="4B943D0C" w14:textId="394370AA"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175.353</w:t>
            </w:r>
          </w:p>
        </w:tc>
        <w:tc>
          <w:tcPr>
            <w:tcW w:w="382" w:type="pct"/>
            <w:tcBorders>
              <w:top w:val="nil"/>
              <w:left w:val="nil"/>
              <w:bottom w:val="nil"/>
              <w:right w:val="nil"/>
            </w:tcBorders>
            <w:shd w:val="clear" w:color="auto" w:fill="auto"/>
            <w:noWrap/>
            <w:vAlign w:val="center"/>
            <w:hideMark/>
          </w:tcPr>
          <w:p w14:paraId="10F6E59B" w14:textId="7791DB6D"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42.189.035</w:t>
            </w:r>
          </w:p>
        </w:tc>
      </w:tr>
      <w:tr w:rsidR="00406C66" w:rsidRPr="002057D3" w14:paraId="24458112" w14:textId="77777777" w:rsidTr="00922377">
        <w:trPr>
          <w:trHeight w:val="255"/>
        </w:trPr>
        <w:tc>
          <w:tcPr>
            <w:tcW w:w="965" w:type="pct"/>
            <w:tcBorders>
              <w:top w:val="nil"/>
              <w:left w:val="nil"/>
              <w:bottom w:val="nil"/>
              <w:right w:val="nil"/>
            </w:tcBorders>
            <w:shd w:val="clear" w:color="auto" w:fill="auto"/>
            <w:vAlign w:val="center"/>
            <w:hideMark/>
          </w:tcPr>
          <w:p w14:paraId="40E0903A" w14:textId="77777777"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Letras do tesouro nacional</w:t>
            </w:r>
          </w:p>
        </w:tc>
        <w:tc>
          <w:tcPr>
            <w:tcW w:w="685" w:type="pct"/>
            <w:tcBorders>
              <w:top w:val="nil"/>
              <w:left w:val="nil"/>
              <w:bottom w:val="nil"/>
              <w:right w:val="nil"/>
            </w:tcBorders>
            <w:shd w:val="clear" w:color="auto" w:fill="auto"/>
            <w:vAlign w:val="center"/>
          </w:tcPr>
          <w:p w14:paraId="0209CC3A" w14:textId="408F0D4B" w:rsidR="00406C66"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4CEC87AA" w14:textId="07B43BB1"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1.907.569</w:t>
            </w:r>
          </w:p>
        </w:tc>
        <w:tc>
          <w:tcPr>
            <w:tcW w:w="382" w:type="pct"/>
            <w:tcBorders>
              <w:top w:val="nil"/>
              <w:left w:val="nil"/>
              <w:bottom w:val="nil"/>
              <w:right w:val="nil"/>
            </w:tcBorders>
            <w:shd w:val="clear" w:color="auto" w:fill="auto"/>
            <w:noWrap/>
            <w:vAlign w:val="center"/>
          </w:tcPr>
          <w:p w14:paraId="291D6040" w14:textId="6C450836"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74.450.232</w:t>
            </w:r>
          </w:p>
        </w:tc>
        <w:tc>
          <w:tcPr>
            <w:tcW w:w="382" w:type="pct"/>
            <w:tcBorders>
              <w:top w:val="nil"/>
              <w:left w:val="nil"/>
              <w:bottom w:val="nil"/>
              <w:right w:val="nil"/>
            </w:tcBorders>
            <w:shd w:val="clear" w:color="auto" w:fill="auto"/>
            <w:noWrap/>
            <w:vAlign w:val="center"/>
          </w:tcPr>
          <w:p w14:paraId="67023969" w14:textId="03A01585"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75.183.938</w:t>
            </w:r>
          </w:p>
        </w:tc>
        <w:tc>
          <w:tcPr>
            <w:tcW w:w="325" w:type="pct"/>
            <w:tcBorders>
              <w:top w:val="nil"/>
              <w:left w:val="nil"/>
              <w:bottom w:val="nil"/>
              <w:right w:val="nil"/>
            </w:tcBorders>
            <w:shd w:val="clear" w:color="auto" w:fill="auto"/>
            <w:noWrap/>
            <w:vAlign w:val="center"/>
          </w:tcPr>
          <w:p w14:paraId="5B6159E5" w14:textId="0308C14F"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1.173.863</w:t>
            </w:r>
          </w:p>
        </w:tc>
        <w:tc>
          <w:tcPr>
            <w:tcW w:w="382" w:type="pct"/>
            <w:tcBorders>
              <w:top w:val="nil"/>
              <w:left w:val="nil"/>
              <w:bottom w:val="nil"/>
              <w:right w:val="nil"/>
            </w:tcBorders>
            <w:shd w:val="clear" w:color="auto" w:fill="auto"/>
            <w:noWrap/>
            <w:vAlign w:val="center"/>
          </w:tcPr>
          <w:p w14:paraId="40C27D7C" w14:textId="6CA5B43D"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76.357.801</w:t>
            </w:r>
          </w:p>
        </w:tc>
        <w:tc>
          <w:tcPr>
            <w:tcW w:w="382" w:type="pct"/>
            <w:tcBorders>
              <w:top w:val="nil"/>
              <w:left w:val="nil"/>
              <w:bottom w:val="nil"/>
              <w:right w:val="nil"/>
            </w:tcBorders>
            <w:shd w:val="clear" w:color="auto" w:fill="auto"/>
            <w:noWrap/>
            <w:vAlign w:val="center"/>
            <w:hideMark/>
          </w:tcPr>
          <w:p w14:paraId="0054C8FB" w14:textId="28CFDA4F"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90.490.516</w:t>
            </w:r>
          </w:p>
        </w:tc>
        <w:tc>
          <w:tcPr>
            <w:tcW w:w="321" w:type="pct"/>
            <w:tcBorders>
              <w:top w:val="nil"/>
              <w:left w:val="nil"/>
              <w:bottom w:val="nil"/>
              <w:right w:val="nil"/>
            </w:tcBorders>
            <w:shd w:val="clear" w:color="auto" w:fill="auto"/>
            <w:noWrap/>
            <w:vAlign w:val="center"/>
            <w:hideMark/>
          </w:tcPr>
          <w:p w14:paraId="4FAEEADF" w14:textId="3DD16E2F"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2.870.771</w:t>
            </w:r>
          </w:p>
        </w:tc>
        <w:tc>
          <w:tcPr>
            <w:tcW w:w="382" w:type="pct"/>
            <w:tcBorders>
              <w:top w:val="nil"/>
              <w:left w:val="nil"/>
              <w:bottom w:val="nil"/>
              <w:right w:val="nil"/>
            </w:tcBorders>
            <w:shd w:val="clear" w:color="auto" w:fill="auto"/>
            <w:noWrap/>
            <w:vAlign w:val="center"/>
            <w:hideMark/>
          </w:tcPr>
          <w:p w14:paraId="047554DE" w14:textId="1BFE962D"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93.361.287</w:t>
            </w:r>
          </w:p>
        </w:tc>
      </w:tr>
      <w:tr w:rsidR="00406C66" w:rsidRPr="002057D3" w14:paraId="50D49E0D" w14:textId="77777777" w:rsidTr="00922377">
        <w:trPr>
          <w:trHeight w:val="255"/>
        </w:trPr>
        <w:tc>
          <w:tcPr>
            <w:tcW w:w="965" w:type="pct"/>
            <w:tcBorders>
              <w:top w:val="nil"/>
              <w:left w:val="nil"/>
              <w:bottom w:val="nil"/>
              <w:right w:val="nil"/>
            </w:tcBorders>
            <w:shd w:val="clear" w:color="auto" w:fill="auto"/>
            <w:vAlign w:val="center"/>
            <w:hideMark/>
          </w:tcPr>
          <w:p w14:paraId="197560C4" w14:textId="77777777"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Notas do tesouro nacional</w:t>
            </w:r>
          </w:p>
        </w:tc>
        <w:tc>
          <w:tcPr>
            <w:tcW w:w="685" w:type="pct"/>
            <w:tcBorders>
              <w:top w:val="nil"/>
              <w:left w:val="nil"/>
              <w:bottom w:val="nil"/>
              <w:right w:val="nil"/>
            </w:tcBorders>
            <w:shd w:val="clear" w:color="auto" w:fill="auto"/>
            <w:noWrap/>
            <w:vAlign w:val="center"/>
          </w:tcPr>
          <w:p w14:paraId="470DEEC8" w14:textId="324D2DA8" w:rsidR="00406C66" w:rsidRPr="00905476" w:rsidRDefault="00905476" w:rsidP="0096607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7C8E559B" w14:textId="254CC6DF" w:rsidR="00406C66" w:rsidRPr="00905476" w:rsidRDefault="00905476" w:rsidP="00BB1A6D">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7B770B2C" w14:textId="07E06585"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1.359.130</w:t>
            </w:r>
          </w:p>
        </w:tc>
        <w:tc>
          <w:tcPr>
            <w:tcW w:w="382" w:type="pct"/>
            <w:tcBorders>
              <w:top w:val="nil"/>
              <w:left w:val="nil"/>
              <w:bottom w:val="nil"/>
              <w:right w:val="nil"/>
            </w:tcBorders>
            <w:shd w:val="clear" w:color="auto" w:fill="auto"/>
            <w:noWrap/>
            <w:vAlign w:val="center"/>
          </w:tcPr>
          <w:p w14:paraId="20F49E88" w14:textId="053E49CE"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1.369.273</w:t>
            </w:r>
          </w:p>
        </w:tc>
        <w:tc>
          <w:tcPr>
            <w:tcW w:w="325" w:type="pct"/>
            <w:tcBorders>
              <w:top w:val="nil"/>
              <w:left w:val="nil"/>
              <w:bottom w:val="nil"/>
              <w:right w:val="nil"/>
            </w:tcBorders>
            <w:shd w:val="clear" w:color="auto" w:fill="auto"/>
            <w:noWrap/>
            <w:vAlign w:val="center"/>
          </w:tcPr>
          <w:p w14:paraId="63729182" w14:textId="41A22639" w:rsidR="00406C66" w:rsidRPr="00905476" w:rsidRDefault="00905476" w:rsidP="00905476">
            <w:pPr>
              <w:jc w:val="right"/>
              <w:rPr>
                <w:rFonts w:ascii="CAIXA Std Book" w:hAnsi="CAIXA Std Book" w:cs="Arial"/>
                <w:color w:val="005CA9"/>
                <w:sz w:val="16"/>
                <w:szCs w:val="16"/>
              </w:rPr>
            </w:pPr>
            <w:r>
              <w:rPr>
                <w:rFonts w:ascii="CAIXA Std Book" w:hAnsi="CAIXA Std Book" w:cs="Arial"/>
                <w:color w:val="005CA9"/>
                <w:sz w:val="18"/>
                <w:szCs w:val="18"/>
              </w:rPr>
              <w:t>(</w:t>
            </w:r>
            <w:r w:rsidR="00406C66">
              <w:rPr>
                <w:rFonts w:ascii="CAIXA Std Book" w:hAnsi="CAIXA Std Book" w:cs="Arial"/>
                <w:color w:val="005CA9"/>
                <w:sz w:val="18"/>
                <w:szCs w:val="18"/>
              </w:rPr>
              <w:t>10.143</w:t>
            </w: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3D451AB8" w14:textId="36BB3AEE"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1.359.130</w:t>
            </w:r>
          </w:p>
        </w:tc>
        <w:tc>
          <w:tcPr>
            <w:tcW w:w="382" w:type="pct"/>
            <w:tcBorders>
              <w:top w:val="nil"/>
              <w:left w:val="nil"/>
              <w:bottom w:val="nil"/>
              <w:right w:val="nil"/>
            </w:tcBorders>
            <w:shd w:val="clear" w:color="auto" w:fill="auto"/>
            <w:noWrap/>
            <w:vAlign w:val="center"/>
            <w:hideMark/>
          </w:tcPr>
          <w:p w14:paraId="1F1ECD4D" w14:textId="2611F171"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2.385.451</w:t>
            </w:r>
          </w:p>
        </w:tc>
        <w:tc>
          <w:tcPr>
            <w:tcW w:w="321" w:type="pct"/>
            <w:tcBorders>
              <w:top w:val="nil"/>
              <w:left w:val="nil"/>
              <w:bottom w:val="nil"/>
              <w:right w:val="nil"/>
            </w:tcBorders>
            <w:shd w:val="clear" w:color="auto" w:fill="auto"/>
            <w:noWrap/>
            <w:vAlign w:val="center"/>
            <w:hideMark/>
          </w:tcPr>
          <w:p w14:paraId="7BB6CF3F" w14:textId="5149ADCB"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42.038</w:t>
            </w:r>
          </w:p>
        </w:tc>
        <w:tc>
          <w:tcPr>
            <w:tcW w:w="382" w:type="pct"/>
            <w:tcBorders>
              <w:top w:val="nil"/>
              <w:left w:val="nil"/>
              <w:bottom w:val="nil"/>
              <w:right w:val="nil"/>
            </w:tcBorders>
            <w:shd w:val="clear" w:color="auto" w:fill="auto"/>
            <w:noWrap/>
            <w:vAlign w:val="center"/>
            <w:hideMark/>
          </w:tcPr>
          <w:p w14:paraId="2F39A0A5" w14:textId="33AD8F81"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2.427.489</w:t>
            </w:r>
          </w:p>
        </w:tc>
      </w:tr>
      <w:tr w:rsidR="00406C66" w:rsidRPr="002057D3" w14:paraId="4084E32C" w14:textId="77777777" w:rsidTr="00922377">
        <w:trPr>
          <w:trHeight w:val="255"/>
        </w:trPr>
        <w:tc>
          <w:tcPr>
            <w:tcW w:w="965" w:type="pct"/>
            <w:tcBorders>
              <w:top w:val="nil"/>
              <w:left w:val="nil"/>
              <w:bottom w:val="nil"/>
              <w:right w:val="nil"/>
            </w:tcBorders>
            <w:shd w:val="clear" w:color="auto" w:fill="auto"/>
            <w:vAlign w:val="center"/>
            <w:hideMark/>
          </w:tcPr>
          <w:p w14:paraId="07C036D6" w14:textId="77777777" w:rsidR="00406C66" w:rsidRPr="007A6878" w:rsidRDefault="00406C66" w:rsidP="00406C66">
            <w:pPr>
              <w:rPr>
                <w:rFonts w:ascii="CAIXA Std Book" w:eastAsia="Times New Roman" w:hAnsi="CAIXA Std Book" w:cs="Arial"/>
                <w:b/>
                <w:bCs/>
                <w:color w:val="005CA9"/>
                <w:sz w:val="16"/>
                <w:szCs w:val="16"/>
              </w:rPr>
            </w:pPr>
            <w:r w:rsidRPr="007A6878">
              <w:rPr>
                <w:rFonts w:ascii="CAIXA Std Book" w:eastAsia="Times New Roman" w:hAnsi="CAIXA Std Book" w:cs="Arial"/>
                <w:b/>
                <w:bCs/>
                <w:color w:val="005CA9"/>
                <w:sz w:val="16"/>
                <w:szCs w:val="16"/>
              </w:rPr>
              <w:t>Títulos - empresas</w:t>
            </w:r>
          </w:p>
        </w:tc>
        <w:tc>
          <w:tcPr>
            <w:tcW w:w="685" w:type="pct"/>
            <w:tcBorders>
              <w:top w:val="nil"/>
              <w:left w:val="nil"/>
              <w:bottom w:val="nil"/>
              <w:right w:val="nil"/>
            </w:tcBorders>
            <w:shd w:val="clear" w:color="auto" w:fill="auto"/>
            <w:noWrap/>
            <w:vAlign w:val="center"/>
          </w:tcPr>
          <w:p w14:paraId="7404689C" w14:textId="24A9FAE0"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180.560</w:t>
            </w:r>
          </w:p>
        </w:tc>
        <w:tc>
          <w:tcPr>
            <w:tcW w:w="795" w:type="pct"/>
            <w:tcBorders>
              <w:top w:val="nil"/>
              <w:left w:val="nil"/>
              <w:bottom w:val="nil"/>
              <w:right w:val="nil"/>
            </w:tcBorders>
            <w:shd w:val="clear" w:color="auto" w:fill="auto"/>
            <w:noWrap/>
            <w:vAlign w:val="center"/>
          </w:tcPr>
          <w:p w14:paraId="682E23B4" w14:textId="264978CD" w:rsidR="00406C66" w:rsidRPr="00905476" w:rsidRDefault="00905476" w:rsidP="00BB1A6D">
            <w:pPr>
              <w:jc w:val="center"/>
              <w:rPr>
                <w:rFonts w:ascii="CAIXA Std Book" w:hAnsi="CAIXA Std Book" w:cs="Arial"/>
                <w:b/>
                <w:bCs/>
                <w:color w:val="005CA9"/>
                <w:sz w:val="16"/>
                <w:szCs w:val="16"/>
              </w:rPr>
            </w:pPr>
            <w:r>
              <w:rPr>
                <w:rFonts w:ascii="CAIXA Std Book" w:hAnsi="CAIXA Std Book" w:cs="Arial"/>
                <w:b/>
                <w:color w:val="005CA9"/>
                <w:sz w:val="18"/>
                <w:szCs w:val="18"/>
              </w:rPr>
              <w:t>-</w:t>
            </w:r>
          </w:p>
        </w:tc>
        <w:tc>
          <w:tcPr>
            <w:tcW w:w="382" w:type="pct"/>
            <w:tcBorders>
              <w:top w:val="nil"/>
              <w:left w:val="nil"/>
              <w:bottom w:val="nil"/>
              <w:right w:val="nil"/>
            </w:tcBorders>
            <w:shd w:val="clear" w:color="auto" w:fill="auto"/>
            <w:noWrap/>
            <w:vAlign w:val="center"/>
          </w:tcPr>
          <w:p w14:paraId="4D1C941F" w14:textId="42AD011A"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167.081</w:t>
            </w:r>
          </w:p>
        </w:tc>
        <w:tc>
          <w:tcPr>
            <w:tcW w:w="382" w:type="pct"/>
            <w:tcBorders>
              <w:top w:val="nil"/>
              <w:left w:val="nil"/>
              <w:bottom w:val="nil"/>
              <w:right w:val="nil"/>
            </w:tcBorders>
            <w:shd w:val="clear" w:color="auto" w:fill="auto"/>
            <w:noWrap/>
            <w:vAlign w:val="center"/>
          </w:tcPr>
          <w:p w14:paraId="5C6B3A08" w14:textId="400B6354"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424.261</w:t>
            </w:r>
          </w:p>
        </w:tc>
        <w:tc>
          <w:tcPr>
            <w:tcW w:w="325" w:type="pct"/>
            <w:tcBorders>
              <w:top w:val="nil"/>
              <w:left w:val="nil"/>
              <w:bottom w:val="nil"/>
              <w:right w:val="nil"/>
            </w:tcBorders>
            <w:shd w:val="clear" w:color="auto" w:fill="auto"/>
            <w:noWrap/>
            <w:vAlign w:val="center"/>
          </w:tcPr>
          <w:p w14:paraId="189E3DC5" w14:textId="0FEE6603" w:rsidR="00406C66" w:rsidRPr="00905476" w:rsidRDefault="00905476" w:rsidP="00406C66">
            <w:pPr>
              <w:jc w:val="right"/>
              <w:rPr>
                <w:rFonts w:ascii="CAIXA Std Book" w:hAnsi="CAIXA Std Book" w:cs="Arial"/>
                <w:b/>
                <w:bCs/>
                <w:color w:val="005CA9"/>
                <w:sz w:val="16"/>
                <w:szCs w:val="16"/>
              </w:rPr>
            </w:pPr>
            <w:r>
              <w:rPr>
                <w:rFonts w:ascii="CAIXA Std Book" w:hAnsi="CAIXA Std Book" w:cs="Arial"/>
                <w:b/>
                <w:color w:val="005CA9"/>
                <w:sz w:val="18"/>
                <w:szCs w:val="18"/>
              </w:rPr>
              <w:t>(</w:t>
            </w:r>
            <w:r w:rsidR="00406C66">
              <w:rPr>
                <w:rFonts w:ascii="CAIXA Std Book" w:hAnsi="CAIXA Std Book" w:cs="Arial"/>
                <w:b/>
                <w:color w:val="005CA9"/>
                <w:sz w:val="18"/>
                <w:szCs w:val="18"/>
              </w:rPr>
              <w:t>76.</w:t>
            </w:r>
            <w:r w:rsidR="00922377">
              <w:rPr>
                <w:rFonts w:ascii="CAIXA Std Book" w:hAnsi="CAIXA Std Book" w:cs="Arial"/>
                <w:b/>
                <w:bCs/>
                <w:color w:val="005CA9"/>
                <w:sz w:val="18"/>
                <w:szCs w:val="18"/>
              </w:rPr>
              <w:t>620</w:t>
            </w:r>
            <w:r>
              <w:rPr>
                <w:rFonts w:ascii="CAIXA Std Book" w:hAnsi="CAIXA Std Book" w:cs="Arial"/>
                <w:b/>
                <w:color w:val="005CA9"/>
                <w:sz w:val="18"/>
                <w:szCs w:val="18"/>
              </w:rPr>
              <w:t>)</w:t>
            </w:r>
          </w:p>
        </w:tc>
        <w:tc>
          <w:tcPr>
            <w:tcW w:w="382" w:type="pct"/>
            <w:tcBorders>
              <w:top w:val="nil"/>
              <w:left w:val="nil"/>
              <w:bottom w:val="nil"/>
              <w:right w:val="nil"/>
            </w:tcBorders>
            <w:shd w:val="clear" w:color="auto" w:fill="auto"/>
            <w:noWrap/>
            <w:vAlign w:val="center"/>
          </w:tcPr>
          <w:p w14:paraId="09B46185" w14:textId="00B5E898"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347.641</w:t>
            </w:r>
          </w:p>
        </w:tc>
        <w:tc>
          <w:tcPr>
            <w:tcW w:w="382" w:type="pct"/>
            <w:tcBorders>
              <w:top w:val="nil"/>
              <w:left w:val="nil"/>
              <w:bottom w:val="nil"/>
              <w:right w:val="nil"/>
            </w:tcBorders>
            <w:shd w:val="clear" w:color="auto" w:fill="auto"/>
            <w:noWrap/>
            <w:vAlign w:val="center"/>
            <w:hideMark/>
          </w:tcPr>
          <w:p w14:paraId="680DF292" w14:textId="2BA1569A" w:rsidR="00406C66" w:rsidRPr="00905476" w:rsidRDefault="00406C66" w:rsidP="00406C66">
            <w:pPr>
              <w:jc w:val="right"/>
              <w:rPr>
                <w:rFonts w:ascii="CAIXA Std Book" w:eastAsia="Times New Roman" w:hAnsi="CAIXA Std Book" w:cs="Arial"/>
                <w:b/>
                <w:bCs/>
                <w:color w:val="005CA9"/>
                <w:sz w:val="16"/>
                <w:szCs w:val="16"/>
              </w:rPr>
            </w:pPr>
            <w:r>
              <w:rPr>
                <w:rFonts w:ascii="CAIXA Std Book" w:hAnsi="CAIXA Std Book" w:cs="Arial"/>
                <w:b/>
                <w:color w:val="005CA9"/>
                <w:sz w:val="18"/>
                <w:szCs w:val="18"/>
              </w:rPr>
              <w:t>497.259</w:t>
            </w:r>
          </w:p>
        </w:tc>
        <w:tc>
          <w:tcPr>
            <w:tcW w:w="321" w:type="pct"/>
            <w:tcBorders>
              <w:top w:val="nil"/>
              <w:left w:val="nil"/>
              <w:bottom w:val="nil"/>
              <w:right w:val="nil"/>
            </w:tcBorders>
            <w:shd w:val="clear" w:color="auto" w:fill="auto"/>
            <w:noWrap/>
            <w:vAlign w:val="center"/>
            <w:hideMark/>
          </w:tcPr>
          <w:p w14:paraId="7A1FC146" w14:textId="514095D7" w:rsidR="00406C66" w:rsidRPr="00134476" w:rsidRDefault="00406C66" w:rsidP="00406C66">
            <w:pPr>
              <w:jc w:val="right"/>
              <w:rPr>
                <w:rFonts w:ascii="CAIXA Std Book" w:eastAsia="Times New Roman" w:hAnsi="CAIXA Std Book" w:cs="Arial"/>
                <w:b/>
                <w:color w:val="005CA9"/>
                <w:sz w:val="16"/>
                <w:szCs w:val="16"/>
              </w:rPr>
            </w:pPr>
            <w:r>
              <w:rPr>
                <w:rFonts w:ascii="CAIXA Std Book" w:hAnsi="CAIXA Std Book" w:cs="Arial"/>
                <w:b/>
                <w:color w:val="005CA9"/>
                <w:sz w:val="18"/>
                <w:szCs w:val="18"/>
              </w:rPr>
              <w:t>22.054</w:t>
            </w:r>
          </w:p>
        </w:tc>
        <w:tc>
          <w:tcPr>
            <w:tcW w:w="382" w:type="pct"/>
            <w:tcBorders>
              <w:top w:val="nil"/>
              <w:left w:val="nil"/>
              <w:bottom w:val="nil"/>
              <w:right w:val="nil"/>
            </w:tcBorders>
            <w:shd w:val="clear" w:color="auto" w:fill="auto"/>
            <w:noWrap/>
            <w:vAlign w:val="center"/>
            <w:hideMark/>
          </w:tcPr>
          <w:p w14:paraId="2F468C66" w14:textId="53B1B2B5" w:rsidR="00406C66" w:rsidRPr="00134476" w:rsidRDefault="00406C66" w:rsidP="00406C66">
            <w:pPr>
              <w:jc w:val="right"/>
              <w:rPr>
                <w:rFonts w:ascii="CAIXA Std Book" w:eastAsia="Times New Roman" w:hAnsi="CAIXA Std Book" w:cs="Arial"/>
                <w:b/>
                <w:color w:val="005CA9"/>
                <w:sz w:val="16"/>
                <w:szCs w:val="16"/>
              </w:rPr>
            </w:pPr>
            <w:r>
              <w:rPr>
                <w:rFonts w:ascii="CAIXA Std Book" w:hAnsi="CAIXA Std Book" w:cs="Arial"/>
                <w:b/>
                <w:color w:val="005CA9"/>
                <w:sz w:val="18"/>
                <w:szCs w:val="18"/>
              </w:rPr>
              <w:t>519.313</w:t>
            </w:r>
          </w:p>
        </w:tc>
      </w:tr>
      <w:tr w:rsidR="00406C66" w:rsidRPr="002057D3" w14:paraId="59A2190F" w14:textId="77777777" w:rsidTr="00E04C36">
        <w:trPr>
          <w:trHeight w:val="255"/>
        </w:trPr>
        <w:tc>
          <w:tcPr>
            <w:tcW w:w="965" w:type="pct"/>
            <w:tcBorders>
              <w:top w:val="nil"/>
              <w:left w:val="nil"/>
              <w:bottom w:val="nil"/>
              <w:right w:val="nil"/>
            </w:tcBorders>
            <w:shd w:val="clear" w:color="auto" w:fill="auto"/>
            <w:vAlign w:val="center"/>
            <w:hideMark/>
          </w:tcPr>
          <w:p w14:paraId="450BD8B7" w14:textId="77777777"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Debêntures</w:t>
            </w:r>
          </w:p>
        </w:tc>
        <w:tc>
          <w:tcPr>
            <w:tcW w:w="685" w:type="pct"/>
            <w:tcBorders>
              <w:top w:val="nil"/>
              <w:left w:val="nil"/>
              <w:bottom w:val="nil"/>
              <w:right w:val="nil"/>
            </w:tcBorders>
            <w:shd w:val="clear" w:color="auto" w:fill="auto"/>
            <w:vAlign w:val="center"/>
          </w:tcPr>
          <w:p w14:paraId="7285B420" w14:textId="20A700B0" w:rsidR="00406C66" w:rsidRPr="00905476" w:rsidRDefault="00905476" w:rsidP="00E04C3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795" w:type="pct"/>
            <w:tcBorders>
              <w:top w:val="nil"/>
              <w:left w:val="nil"/>
              <w:bottom w:val="nil"/>
              <w:right w:val="nil"/>
            </w:tcBorders>
            <w:shd w:val="clear" w:color="auto" w:fill="auto"/>
            <w:noWrap/>
            <w:vAlign w:val="center"/>
          </w:tcPr>
          <w:p w14:paraId="0E5C330D" w14:textId="37BA8794" w:rsidR="00406C66" w:rsidRPr="00905476" w:rsidRDefault="00905476" w:rsidP="00BB1A6D">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nil"/>
              <w:right w:val="nil"/>
            </w:tcBorders>
            <w:shd w:val="clear" w:color="auto" w:fill="auto"/>
            <w:noWrap/>
            <w:vAlign w:val="center"/>
          </w:tcPr>
          <w:p w14:paraId="021F4448" w14:textId="5AC16D93"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167.081</w:t>
            </w:r>
          </w:p>
        </w:tc>
        <w:tc>
          <w:tcPr>
            <w:tcW w:w="382" w:type="pct"/>
            <w:tcBorders>
              <w:top w:val="nil"/>
              <w:left w:val="nil"/>
              <w:bottom w:val="nil"/>
              <w:right w:val="nil"/>
            </w:tcBorders>
            <w:shd w:val="clear" w:color="auto" w:fill="auto"/>
            <w:noWrap/>
            <w:vAlign w:val="center"/>
          </w:tcPr>
          <w:p w14:paraId="048B275F" w14:textId="06880DD0"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162.208</w:t>
            </w:r>
          </w:p>
        </w:tc>
        <w:tc>
          <w:tcPr>
            <w:tcW w:w="325" w:type="pct"/>
            <w:tcBorders>
              <w:top w:val="nil"/>
              <w:left w:val="nil"/>
              <w:bottom w:val="nil"/>
              <w:right w:val="nil"/>
            </w:tcBorders>
            <w:shd w:val="clear" w:color="auto" w:fill="auto"/>
            <w:noWrap/>
            <w:vAlign w:val="center"/>
          </w:tcPr>
          <w:p w14:paraId="6972173E" w14:textId="4097FF6B"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4.873</w:t>
            </w:r>
          </w:p>
        </w:tc>
        <w:tc>
          <w:tcPr>
            <w:tcW w:w="382" w:type="pct"/>
            <w:tcBorders>
              <w:top w:val="nil"/>
              <w:left w:val="nil"/>
              <w:bottom w:val="nil"/>
              <w:right w:val="nil"/>
            </w:tcBorders>
            <w:shd w:val="clear" w:color="auto" w:fill="auto"/>
            <w:noWrap/>
            <w:vAlign w:val="center"/>
          </w:tcPr>
          <w:p w14:paraId="58F28B0A" w14:textId="6FDA711F" w:rsidR="00406C66" w:rsidRPr="00905476" w:rsidRDefault="00406C66" w:rsidP="00905476">
            <w:pPr>
              <w:jc w:val="right"/>
              <w:rPr>
                <w:rFonts w:ascii="CAIXA Std Book" w:hAnsi="CAIXA Std Book" w:cs="Arial"/>
                <w:color w:val="005CA9"/>
                <w:sz w:val="16"/>
                <w:szCs w:val="16"/>
              </w:rPr>
            </w:pPr>
            <w:r>
              <w:rPr>
                <w:rFonts w:ascii="CAIXA Std Book" w:hAnsi="CAIXA Std Book" w:cs="Arial"/>
                <w:color w:val="005CA9"/>
                <w:sz w:val="18"/>
                <w:szCs w:val="18"/>
              </w:rPr>
              <w:t>167.081</w:t>
            </w:r>
          </w:p>
        </w:tc>
        <w:tc>
          <w:tcPr>
            <w:tcW w:w="382" w:type="pct"/>
            <w:tcBorders>
              <w:top w:val="nil"/>
              <w:left w:val="nil"/>
              <w:bottom w:val="nil"/>
              <w:right w:val="nil"/>
            </w:tcBorders>
            <w:shd w:val="clear" w:color="auto" w:fill="auto"/>
            <w:noWrap/>
            <w:vAlign w:val="center"/>
            <w:hideMark/>
          </w:tcPr>
          <w:p w14:paraId="6BCCF445" w14:textId="721B5D42"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235.492</w:t>
            </w:r>
          </w:p>
        </w:tc>
        <w:tc>
          <w:tcPr>
            <w:tcW w:w="321" w:type="pct"/>
            <w:tcBorders>
              <w:top w:val="nil"/>
              <w:left w:val="nil"/>
              <w:bottom w:val="nil"/>
              <w:right w:val="nil"/>
            </w:tcBorders>
            <w:shd w:val="clear" w:color="auto" w:fill="auto"/>
            <w:noWrap/>
            <w:vAlign w:val="center"/>
            <w:hideMark/>
          </w:tcPr>
          <w:p w14:paraId="30C3DBA6" w14:textId="056D3A87" w:rsidR="00406C66" w:rsidRPr="00134476" w:rsidRDefault="00406C66" w:rsidP="00406C66">
            <w:pPr>
              <w:jc w:val="right"/>
              <w:rPr>
                <w:rFonts w:ascii="CAIXA Std Book" w:eastAsia="Times New Roman" w:hAnsi="CAIXA Std Book" w:cs="Times New Roman"/>
                <w:color w:val="005CA9"/>
                <w:sz w:val="16"/>
                <w:szCs w:val="16"/>
              </w:rPr>
            </w:pPr>
            <w:r>
              <w:rPr>
                <w:rFonts w:ascii="CAIXA Std Book" w:hAnsi="CAIXA Std Book" w:cs="Arial"/>
                <w:color w:val="005CA9"/>
                <w:sz w:val="18"/>
                <w:szCs w:val="18"/>
              </w:rPr>
              <w:t>5.832</w:t>
            </w:r>
          </w:p>
        </w:tc>
        <w:tc>
          <w:tcPr>
            <w:tcW w:w="382" w:type="pct"/>
            <w:tcBorders>
              <w:top w:val="nil"/>
              <w:left w:val="nil"/>
              <w:bottom w:val="nil"/>
              <w:right w:val="nil"/>
            </w:tcBorders>
            <w:shd w:val="clear" w:color="auto" w:fill="auto"/>
            <w:noWrap/>
            <w:vAlign w:val="center"/>
            <w:hideMark/>
          </w:tcPr>
          <w:p w14:paraId="64CE4E63" w14:textId="08C5C00C" w:rsidR="00406C66" w:rsidRPr="00134476" w:rsidRDefault="00406C66" w:rsidP="00406C66">
            <w:pPr>
              <w:jc w:val="right"/>
              <w:rPr>
                <w:rFonts w:ascii="CAIXA Std Book" w:eastAsia="Times New Roman" w:hAnsi="CAIXA Std Book" w:cs="Times New Roman"/>
                <w:color w:val="005CA9"/>
                <w:sz w:val="16"/>
                <w:szCs w:val="16"/>
              </w:rPr>
            </w:pPr>
            <w:r>
              <w:rPr>
                <w:rFonts w:ascii="CAIXA Std Book" w:hAnsi="CAIXA Std Book" w:cs="Arial"/>
                <w:color w:val="005CA9"/>
                <w:sz w:val="18"/>
                <w:szCs w:val="18"/>
              </w:rPr>
              <w:t>241.324</w:t>
            </w:r>
          </w:p>
        </w:tc>
      </w:tr>
      <w:tr w:rsidR="00406C66" w:rsidRPr="002057D3" w14:paraId="180065CA" w14:textId="77777777" w:rsidTr="00922377">
        <w:trPr>
          <w:trHeight w:val="255"/>
        </w:trPr>
        <w:tc>
          <w:tcPr>
            <w:tcW w:w="965" w:type="pct"/>
            <w:tcBorders>
              <w:top w:val="nil"/>
              <w:left w:val="nil"/>
              <w:bottom w:val="nil"/>
              <w:right w:val="nil"/>
            </w:tcBorders>
            <w:shd w:val="clear" w:color="auto" w:fill="auto"/>
            <w:vAlign w:val="center"/>
          </w:tcPr>
          <w:p w14:paraId="1A43FE92" w14:textId="5BFA17FB"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Cotas de fundos</w:t>
            </w:r>
          </w:p>
        </w:tc>
        <w:tc>
          <w:tcPr>
            <w:tcW w:w="685" w:type="pct"/>
            <w:tcBorders>
              <w:top w:val="nil"/>
              <w:left w:val="nil"/>
              <w:bottom w:val="nil"/>
              <w:right w:val="nil"/>
            </w:tcBorders>
            <w:shd w:val="clear" w:color="auto" w:fill="auto"/>
            <w:vAlign w:val="center"/>
          </w:tcPr>
          <w:p w14:paraId="3D89EB86" w14:textId="3AEC8848"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167.758</w:t>
            </w:r>
          </w:p>
        </w:tc>
        <w:tc>
          <w:tcPr>
            <w:tcW w:w="795" w:type="pct"/>
            <w:tcBorders>
              <w:top w:val="nil"/>
              <w:left w:val="nil"/>
              <w:bottom w:val="nil"/>
              <w:right w:val="nil"/>
            </w:tcBorders>
            <w:shd w:val="clear" w:color="auto" w:fill="auto"/>
            <w:noWrap/>
            <w:vAlign w:val="center"/>
          </w:tcPr>
          <w:p w14:paraId="6F1D4E44" w14:textId="6E0DC057" w:rsidR="00406C66" w:rsidRPr="007A6878" w:rsidRDefault="00905476" w:rsidP="00BB1A6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tcPr>
          <w:p w14:paraId="525077B2" w14:textId="741F4101" w:rsidR="00406C66" w:rsidRPr="007A6878" w:rsidRDefault="00905476" w:rsidP="00406C66">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tcPr>
          <w:p w14:paraId="740CBE34" w14:textId="50DDAA06"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161.605</w:t>
            </w:r>
          </w:p>
        </w:tc>
        <w:tc>
          <w:tcPr>
            <w:tcW w:w="325" w:type="pct"/>
            <w:tcBorders>
              <w:top w:val="nil"/>
              <w:left w:val="nil"/>
              <w:bottom w:val="nil"/>
              <w:right w:val="nil"/>
            </w:tcBorders>
            <w:shd w:val="clear" w:color="auto" w:fill="auto"/>
            <w:noWrap/>
            <w:vAlign w:val="center"/>
          </w:tcPr>
          <w:p w14:paraId="27E9C93A" w14:textId="75801B52"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6.</w:t>
            </w:r>
            <w:r w:rsidR="00922377">
              <w:rPr>
                <w:rFonts w:ascii="CAIXA Std Book" w:hAnsi="CAIXA Std Book" w:cs="Arial"/>
                <w:color w:val="005CA9"/>
                <w:sz w:val="18"/>
                <w:szCs w:val="18"/>
              </w:rPr>
              <w:t>153</w:t>
            </w:r>
          </w:p>
        </w:tc>
        <w:tc>
          <w:tcPr>
            <w:tcW w:w="382" w:type="pct"/>
            <w:tcBorders>
              <w:top w:val="nil"/>
              <w:left w:val="nil"/>
              <w:bottom w:val="nil"/>
              <w:right w:val="nil"/>
            </w:tcBorders>
            <w:shd w:val="clear" w:color="auto" w:fill="auto"/>
            <w:noWrap/>
            <w:vAlign w:val="center"/>
          </w:tcPr>
          <w:p w14:paraId="4ED9851E" w14:textId="2C35D732"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167.758</w:t>
            </w:r>
          </w:p>
        </w:tc>
        <w:tc>
          <w:tcPr>
            <w:tcW w:w="382" w:type="pct"/>
            <w:tcBorders>
              <w:top w:val="nil"/>
              <w:left w:val="nil"/>
              <w:bottom w:val="nil"/>
              <w:right w:val="nil"/>
            </w:tcBorders>
            <w:shd w:val="clear" w:color="auto" w:fill="auto"/>
            <w:noWrap/>
            <w:vAlign w:val="center"/>
          </w:tcPr>
          <w:p w14:paraId="09D4C1F1" w14:textId="52C17EB8"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161.319</w:t>
            </w:r>
          </w:p>
        </w:tc>
        <w:tc>
          <w:tcPr>
            <w:tcW w:w="321" w:type="pct"/>
            <w:tcBorders>
              <w:top w:val="nil"/>
              <w:left w:val="nil"/>
              <w:bottom w:val="nil"/>
              <w:right w:val="nil"/>
            </w:tcBorders>
            <w:shd w:val="clear" w:color="auto" w:fill="auto"/>
            <w:noWrap/>
            <w:vAlign w:val="center"/>
          </w:tcPr>
          <w:p w14:paraId="4220FF8F" w14:textId="509380F1"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100.232</w:t>
            </w:r>
          </w:p>
        </w:tc>
        <w:tc>
          <w:tcPr>
            <w:tcW w:w="382" w:type="pct"/>
            <w:tcBorders>
              <w:top w:val="nil"/>
              <w:left w:val="nil"/>
              <w:bottom w:val="nil"/>
              <w:right w:val="nil"/>
            </w:tcBorders>
            <w:shd w:val="clear" w:color="auto" w:fill="auto"/>
            <w:noWrap/>
            <w:vAlign w:val="center"/>
          </w:tcPr>
          <w:p w14:paraId="06F8F5F5" w14:textId="6A9420DA" w:rsidR="00406C66" w:rsidRPr="007A6878"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261.551</w:t>
            </w:r>
          </w:p>
        </w:tc>
      </w:tr>
      <w:tr w:rsidR="00406C66" w:rsidRPr="002057D3" w14:paraId="465BDBE8" w14:textId="77777777" w:rsidTr="008C739D">
        <w:trPr>
          <w:trHeight w:val="255"/>
        </w:trPr>
        <w:tc>
          <w:tcPr>
            <w:tcW w:w="965" w:type="pct"/>
            <w:tcBorders>
              <w:top w:val="nil"/>
              <w:left w:val="nil"/>
              <w:bottom w:val="nil"/>
              <w:right w:val="nil"/>
            </w:tcBorders>
            <w:shd w:val="clear" w:color="auto" w:fill="auto"/>
            <w:vAlign w:val="center"/>
            <w:hideMark/>
          </w:tcPr>
          <w:p w14:paraId="1BC7083C" w14:textId="77777777" w:rsidR="00406C66" w:rsidRPr="007A6878" w:rsidRDefault="00406C66" w:rsidP="00406C66">
            <w:pPr>
              <w:ind w:firstLineChars="100" w:firstLine="160"/>
              <w:rPr>
                <w:rFonts w:ascii="CAIXA Std Book" w:eastAsia="Times New Roman" w:hAnsi="CAIXA Std Book" w:cs="Arial"/>
                <w:color w:val="005CA9"/>
                <w:sz w:val="16"/>
                <w:szCs w:val="16"/>
              </w:rPr>
            </w:pPr>
            <w:r w:rsidRPr="007A6878">
              <w:rPr>
                <w:rFonts w:ascii="CAIXA Std Book" w:eastAsia="Times New Roman" w:hAnsi="CAIXA Std Book" w:cs="Arial"/>
                <w:color w:val="005CA9"/>
                <w:sz w:val="16"/>
                <w:szCs w:val="16"/>
              </w:rPr>
              <w:t>Ações</w:t>
            </w:r>
          </w:p>
        </w:tc>
        <w:tc>
          <w:tcPr>
            <w:tcW w:w="685" w:type="pct"/>
            <w:tcBorders>
              <w:top w:val="nil"/>
              <w:left w:val="nil"/>
              <w:bottom w:val="single" w:sz="4" w:space="0" w:color="F79646" w:themeColor="accent6"/>
              <w:right w:val="nil"/>
            </w:tcBorders>
            <w:shd w:val="clear" w:color="auto" w:fill="auto"/>
            <w:vAlign w:val="center"/>
          </w:tcPr>
          <w:p w14:paraId="3D939DB2" w14:textId="27876D54" w:rsidR="00406C66" w:rsidRPr="00905476"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12.802</w:t>
            </w:r>
          </w:p>
        </w:tc>
        <w:tc>
          <w:tcPr>
            <w:tcW w:w="795" w:type="pct"/>
            <w:tcBorders>
              <w:top w:val="nil"/>
              <w:left w:val="nil"/>
              <w:bottom w:val="single" w:sz="4" w:space="0" w:color="F79646" w:themeColor="accent6"/>
              <w:right w:val="nil"/>
            </w:tcBorders>
            <w:shd w:val="clear" w:color="auto" w:fill="auto"/>
            <w:noWrap/>
            <w:vAlign w:val="center"/>
          </w:tcPr>
          <w:p w14:paraId="63157C78" w14:textId="10E863B1" w:rsidR="00406C66" w:rsidRPr="00905476" w:rsidRDefault="00905476" w:rsidP="00BB1A6D">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4A54FA62" w14:textId="00EB62C5" w:rsidR="00406C66" w:rsidRPr="00905476" w:rsidRDefault="00905476" w:rsidP="00406C66">
            <w:pPr>
              <w:jc w:val="center"/>
              <w:rPr>
                <w:rFonts w:ascii="CAIXA Std Book" w:hAnsi="CAIXA Std Book" w:cs="Arial"/>
                <w:color w:val="005CA9"/>
                <w:sz w:val="16"/>
                <w:szCs w:val="16"/>
              </w:rPr>
            </w:pP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391665EE" w14:textId="5A4D5274" w:rsidR="00406C66" w:rsidRPr="00905476"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100.448</w:t>
            </w:r>
          </w:p>
        </w:tc>
        <w:tc>
          <w:tcPr>
            <w:tcW w:w="325" w:type="pct"/>
            <w:tcBorders>
              <w:top w:val="nil"/>
              <w:left w:val="nil"/>
              <w:bottom w:val="single" w:sz="4" w:space="0" w:color="F79646" w:themeColor="accent6"/>
              <w:right w:val="nil"/>
            </w:tcBorders>
            <w:shd w:val="clear" w:color="auto" w:fill="auto"/>
            <w:noWrap/>
            <w:vAlign w:val="center"/>
          </w:tcPr>
          <w:p w14:paraId="2B513D9E" w14:textId="636121B4" w:rsidR="00406C66" w:rsidRPr="00905476" w:rsidRDefault="00905476" w:rsidP="00406C66">
            <w:pPr>
              <w:jc w:val="right"/>
              <w:rPr>
                <w:rFonts w:ascii="CAIXA Std Book" w:hAnsi="CAIXA Std Book" w:cs="Arial"/>
                <w:color w:val="005CA9"/>
                <w:sz w:val="16"/>
                <w:szCs w:val="16"/>
              </w:rPr>
            </w:pPr>
            <w:r>
              <w:rPr>
                <w:rFonts w:ascii="CAIXA Std Book" w:hAnsi="CAIXA Std Book" w:cs="Arial"/>
                <w:color w:val="005CA9"/>
                <w:sz w:val="18"/>
                <w:szCs w:val="18"/>
              </w:rPr>
              <w:t>(</w:t>
            </w:r>
            <w:r w:rsidR="00406C66">
              <w:rPr>
                <w:rFonts w:ascii="CAIXA Std Book" w:hAnsi="CAIXA Std Book" w:cs="Arial"/>
                <w:color w:val="005CA9"/>
                <w:sz w:val="18"/>
                <w:szCs w:val="18"/>
              </w:rPr>
              <w:t>87.646</w:t>
            </w:r>
            <w:r>
              <w:rPr>
                <w:rFonts w:ascii="CAIXA Std Book" w:hAnsi="CAIXA Std Book" w:cs="Arial"/>
                <w:color w:val="005CA9"/>
                <w:sz w:val="18"/>
                <w:szCs w:val="18"/>
              </w:rPr>
              <w:t>)</w:t>
            </w:r>
          </w:p>
        </w:tc>
        <w:tc>
          <w:tcPr>
            <w:tcW w:w="382" w:type="pct"/>
            <w:tcBorders>
              <w:top w:val="nil"/>
              <w:left w:val="nil"/>
              <w:bottom w:val="single" w:sz="4" w:space="0" w:color="F79646" w:themeColor="accent6"/>
              <w:right w:val="nil"/>
            </w:tcBorders>
            <w:shd w:val="clear" w:color="auto" w:fill="auto"/>
            <w:noWrap/>
            <w:vAlign w:val="center"/>
          </w:tcPr>
          <w:p w14:paraId="66B5AE4A" w14:textId="3D76997E" w:rsidR="00406C66" w:rsidRPr="00905476" w:rsidRDefault="00406C66" w:rsidP="00406C66">
            <w:pPr>
              <w:jc w:val="right"/>
              <w:rPr>
                <w:rFonts w:ascii="CAIXA Std Book" w:hAnsi="CAIXA Std Book" w:cs="Arial"/>
                <w:color w:val="005CA9"/>
                <w:sz w:val="16"/>
                <w:szCs w:val="16"/>
              </w:rPr>
            </w:pPr>
            <w:r>
              <w:rPr>
                <w:rFonts w:ascii="CAIXA Std Book" w:hAnsi="CAIXA Std Book" w:cs="Arial"/>
                <w:color w:val="005CA9"/>
                <w:sz w:val="18"/>
                <w:szCs w:val="18"/>
              </w:rPr>
              <w:t>12.802</w:t>
            </w:r>
          </w:p>
        </w:tc>
        <w:tc>
          <w:tcPr>
            <w:tcW w:w="382" w:type="pct"/>
            <w:tcBorders>
              <w:top w:val="nil"/>
              <w:left w:val="nil"/>
              <w:bottom w:val="single" w:sz="4" w:space="0" w:color="F79646" w:themeColor="accent6"/>
              <w:right w:val="nil"/>
            </w:tcBorders>
            <w:shd w:val="clear" w:color="auto" w:fill="auto"/>
            <w:noWrap/>
            <w:vAlign w:val="center"/>
            <w:hideMark/>
          </w:tcPr>
          <w:p w14:paraId="62EC2931" w14:textId="25497425"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100.448</w:t>
            </w:r>
          </w:p>
        </w:tc>
        <w:tc>
          <w:tcPr>
            <w:tcW w:w="321" w:type="pct"/>
            <w:tcBorders>
              <w:top w:val="nil"/>
              <w:left w:val="nil"/>
              <w:bottom w:val="single" w:sz="4" w:space="0" w:color="F79646" w:themeColor="accent6"/>
              <w:right w:val="nil"/>
            </w:tcBorders>
            <w:shd w:val="clear" w:color="auto" w:fill="auto"/>
            <w:noWrap/>
            <w:vAlign w:val="center"/>
            <w:hideMark/>
          </w:tcPr>
          <w:p w14:paraId="18F5349D" w14:textId="0DF985C3"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(84.010)</w:t>
            </w:r>
          </w:p>
        </w:tc>
        <w:tc>
          <w:tcPr>
            <w:tcW w:w="382" w:type="pct"/>
            <w:tcBorders>
              <w:top w:val="nil"/>
              <w:left w:val="nil"/>
              <w:bottom w:val="single" w:sz="4" w:space="0" w:color="F79646" w:themeColor="accent6"/>
              <w:right w:val="nil"/>
            </w:tcBorders>
            <w:shd w:val="clear" w:color="auto" w:fill="auto"/>
            <w:noWrap/>
            <w:vAlign w:val="center"/>
            <w:hideMark/>
          </w:tcPr>
          <w:p w14:paraId="11F02F86" w14:textId="1EE60D8C" w:rsidR="00406C66" w:rsidRPr="00134476" w:rsidRDefault="00406C66" w:rsidP="00406C66">
            <w:pPr>
              <w:jc w:val="right"/>
              <w:rPr>
                <w:rFonts w:ascii="CAIXA Std Book" w:eastAsia="Times New Roman" w:hAnsi="CAIXA Std Book" w:cs="Arial"/>
                <w:color w:val="005CA9"/>
                <w:sz w:val="16"/>
                <w:szCs w:val="16"/>
              </w:rPr>
            </w:pPr>
            <w:r>
              <w:rPr>
                <w:rFonts w:ascii="CAIXA Std Book" w:hAnsi="CAIXA Std Book" w:cs="Arial"/>
                <w:color w:val="005CA9"/>
                <w:sz w:val="18"/>
                <w:szCs w:val="18"/>
              </w:rPr>
              <w:t>16.438</w:t>
            </w:r>
          </w:p>
        </w:tc>
      </w:tr>
      <w:tr w:rsidR="00406C66" w:rsidRPr="002057D3" w14:paraId="39CC456F" w14:textId="77777777" w:rsidTr="008C739D">
        <w:trPr>
          <w:trHeight w:val="255"/>
        </w:trPr>
        <w:tc>
          <w:tcPr>
            <w:tcW w:w="965" w:type="pct"/>
            <w:tcBorders>
              <w:top w:val="single" w:sz="4" w:space="0" w:color="F79646"/>
              <w:left w:val="nil"/>
              <w:bottom w:val="single" w:sz="4" w:space="0" w:color="F79646"/>
              <w:right w:val="nil"/>
            </w:tcBorders>
            <w:shd w:val="clear" w:color="auto" w:fill="auto"/>
            <w:vAlign w:val="center"/>
            <w:hideMark/>
          </w:tcPr>
          <w:p w14:paraId="4D101DE9" w14:textId="77777777" w:rsidR="00406C66" w:rsidRPr="007A6878" w:rsidRDefault="00406C66" w:rsidP="00406C66">
            <w:pPr>
              <w:rPr>
                <w:rFonts w:ascii="CAIXA Std Book" w:eastAsia="Times New Roman" w:hAnsi="CAIXA Std Book" w:cs="Arial"/>
                <w:b/>
                <w:bCs/>
                <w:color w:val="005CA9"/>
                <w:sz w:val="16"/>
                <w:szCs w:val="16"/>
              </w:rPr>
            </w:pPr>
            <w:bookmarkStart w:id="50" w:name="OLE_LINK5" w:colFirst="4" w:colLast="6"/>
            <w:bookmarkStart w:id="51" w:name="OLE_LINK9" w:colFirst="4" w:colLast="6"/>
            <w:bookmarkStart w:id="52" w:name="OLE_LINK15" w:colFirst="4" w:colLast="9"/>
            <w:r w:rsidRPr="007A6878">
              <w:rPr>
                <w:rFonts w:ascii="CAIXA Std Book" w:eastAsia="Times New Roman" w:hAnsi="CAIXA Std Book" w:cs="Arial"/>
                <w:b/>
                <w:bCs/>
                <w:color w:val="005CA9"/>
                <w:sz w:val="16"/>
                <w:szCs w:val="16"/>
              </w:rPr>
              <w:t>Total</w:t>
            </w:r>
          </w:p>
        </w:tc>
        <w:tc>
          <w:tcPr>
            <w:tcW w:w="685" w:type="pct"/>
            <w:tcBorders>
              <w:top w:val="single" w:sz="4" w:space="0" w:color="F79646" w:themeColor="accent6"/>
              <w:left w:val="nil"/>
              <w:bottom w:val="single" w:sz="4" w:space="0" w:color="F79646" w:themeColor="accent6"/>
              <w:right w:val="nil"/>
            </w:tcBorders>
            <w:shd w:val="clear" w:color="auto" w:fill="auto"/>
            <w:noWrap/>
            <w:vAlign w:val="center"/>
          </w:tcPr>
          <w:p w14:paraId="7E584A2F" w14:textId="44C1D023"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180.560</w:t>
            </w:r>
          </w:p>
        </w:tc>
        <w:tc>
          <w:tcPr>
            <w:tcW w:w="795" w:type="pct"/>
            <w:tcBorders>
              <w:top w:val="single" w:sz="4" w:space="0" w:color="F79646" w:themeColor="accent6"/>
              <w:left w:val="nil"/>
              <w:bottom w:val="single" w:sz="4" w:space="0" w:color="F79646" w:themeColor="accent6"/>
              <w:right w:val="nil"/>
            </w:tcBorders>
            <w:shd w:val="clear" w:color="auto" w:fill="auto"/>
            <w:noWrap/>
            <w:vAlign w:val="center"/>
          </w:tcPr>
          <w:p w14:paraId="1C22E569" w14:textId="6254A904"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1.907.569</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01C7BC33" w14:textId="3CC8AA35"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127.967.853</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668B95D7" w14:textId="3D9E9A14"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128.821.697</w:t>
            </w:r>
          </w:p>
        </w:tc>
        <w:tc>
          <w:tcPr>
            <w:tcW w:w="325" w:type="pct"/>
            <w:tcBorders>
              <w:top w:val="single" w:sz="4" w:space="0" w:color="F79646" w:themeColor="accent6"/>
              <w:left w:val="nil"/>
              <w:bottom w:val="single" w:sz="4" w:space="0" w:color="F79646" w:themeColor="accent6"/>
              <w:right w:val="nil"/>
            </w:tcBorders>
            <w:shd w:val="clear" w:color="auto" w:fill="auto"/>
            <w:noWrap/>
            <w:vAlign w:val="center"/>
          </w:tcPr>
          <w:p w14:paraId="1400447C" w14:textId="2ABD0B69"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1.234.285</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tcPr>
          <w:p w14:paraId="694FF853" w14:textId="0625A5E6" w:rsidR="00406C66" w:rsidRPr="00905476" w:rsidRDefault="00406C66" w:rsidP="00406C66">
            <w:pPr>
              <w:jc w:val="right"/>
              <w:rPr>
                <w:rFonts w:ascii="CAIXA Std Book" w:hAnsi="CAIXA Std Book" w:cs="Arial"/>
                <w:b/>
                <w:bCs/>
                <w:color w:val="005CA9"/>
                <w:sz w:val="16"/>
                <w:szCs w:val="16"/>
              </w:rPr>
            </w:pPr>
            <w:r>
              <w:rPr>
                <w:rFonts w:ascii="CAIXA Std Book" w:hAnsi="CAIXA Std Book" w:cs="Arial"/>
                <w:b/>
                <w:color w:val="005CA9"/>
                <w:sz w:val="18"/>
                <w:szCs w:val="18"/>
              </w:rPr>
              <w:t>130.055.982</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hideMark/>
          </w:tcPr>
          <w:p w14:paraId="3BF67998" w14:textId="322950A7" w:rsidR="00406C66" w:rsidRPr="00134476" w:rsidRDefault="00406C66" w:rsidP="00406C66">
            <w:pPr>
              <w:jc w:val="right"/>
              <w:rPr>
                <w:rFonts w:ascii="CAIXA Std Book" w:eastAsia="Times New Roman" w:hAnsi="CAIXA Std Book" w:cs="Arial"/>
                <w:b/>
                <w:color w:val="005CA9"/>
                <w:sz w:val="16"/>
                <w:szCs w:val="16"/>
              </w:rPr>
            </w:pPr>
            <w:r>
              <w:rPr>
                <w:rFonts w:ascii="CAIXA Std Book" w:hAnsi="CAIXA Std Book" w:cs="Arial"/>
                <w:b/>
                <w:color w:val="005CA9"/>
                <w:sz w:val="18"/>
                <w:szCs w:val="18"/>
              </w:rPr>
              <w:t>135.386.908</w:t>
            </w:r>
          </w:p>
        </w:tc>
        <w:tc>
          <w:tcPr>
            <w:tcW w:w="321" w:type="pct"/>
            <w:tcBorders>
              <w:top w:val="single" w:sz="4" w:space="0" w:color="F79646" w:themeColor="accent6"/>
              <w:left w:val="nil"/>
              <w:bottom w:val="single" w:sz="4" w:space="0" w:color="F79646" w:themeColor="accent6"/>
              <w:right w:val="nil"/>
            </w:tcBorders>
            <w:shd w:val="clear" w:color="auto" w:fill="auto"/>
            <w:noWrap/>
            <w:vAlign w:val="center"/>
            <w:hideMark/>
          </w:tcPr>
          <w:p w14:paraId="79A39634" w14:textId="27861537" w:rsidR="00406C66" w:rsidRPr="00134476" w:rsidRDefault="00406C66" w:rsidP="00406C66">
            <w:pPr>
              <w:jc w:val="right"/>
              <w:rPr>
                <w:rFonts w:ascii="CAIXA Std Book" w:eastAsia="Times New Roman" w:hAnsi="CAIXA Std Book" w:cs="Arial"/>
                <w:b/>
                <w:color w:val="005CA9"/>
                <w:sz w:val="16"/>
                <w:szCs w:val="16"/>
              </w:rPr>
            </w:pPr>
            <w:r>
              <w:rPr>
                <w:rFonts w:ascii="CAIXA Std Book" w:hAnsi="CAIXA Std Book" w:cs="Arial"/>
                <w:b/>
                <w:color w:val="005CA9"/>
                <w:sz w:val="18"/>
                <w:szCs w:val="18"/>
              </w:rPr>
              <w:t>3.110.216</w:t>
            </w:r>
          </w:p>
        </w:tc>
        <w:tc>
          <w:tcPr>
            <w:tcW w:w="382" w:type="pct"/>
            <w:tcBorders>
              <w:top w:val="single" w:sz="4" w:space="0" w:color="F79646" w:themeColor="accent6"/>
              <w:left w:val="nil"/>
              <w:bottom w:val="single" w:sz="4" w:space="0" w:color="F79646" w:themeColor="accent6"/>
              <w:right w:val="nil"/>
            </w:tcBorders>
            <w:shd w:val="clear" w:color="auto" w:fill="auto"/>
            <w:noWrap/>
            <w:vAlign w:val="center"/>
            <w:hideMark/>
          </w:tcPr>
          <w:p w14:paraId="13C64EDE" w14:textId="3F5B57C3" w:rsidR="00406C66" w:rsidRPr="00134476" w:rsidRDefault="00406C66" w:rsidP="00406C66">
            <w:pPr>
              <w:jc w:val="right"/>
              <w:rPr>
                <w:rFonts w:ascii="CAIXA Std Book" w:eastAsia="Times New Roman" w:hAnsi="CAIXA Std Book" w:cs="Arial"/>
                <w:b/>
                <w:color w:val="005CA9"/>
                <w:sz w:val="16"/>
                <w:szCs w:val="16"/>
              </w:rPr>
            </w:pPr>
            <w:r>
              <w:rPr>
                <w:rFonts w:ascii="CAIXA Std Book" w:hAnsi="CAIXA Std Book" w:cs="Arial"/>
                <w:b/>
                <w:color w:val="005CA9"/>
                <w:sz w:val="18"/>
                <w:szCs w:val="18"/>
              </w:rPr>
              <w:t>138.497.124</w:t>
            </w:r>
          </w:p>
        </w:tc>
      </w:tr>
      <w:bookmarkEnd w:id="50"/>
      <w:bookmarkEnd w:id="51"/>
      <w:bookmarkEnd w:id="52"/>
    </w:tbl>
    <w:p w14:paraId="2AB8EA5E" w14:textId="77777777" w:rsidR="00D1533F" w:rsidRPr="00FF4346" w:rsidRDefault="00D1533F" w:rsidP="00D1533F">
      <w:pPr>
        <w:keepNext/>
        <w:tabs>
          <w:tab w:val="left" w:pos="567"/>
        </w:tabs>
        <w:spacing w:before="480" w:after="240"/>
        <w:jc w:val="both"/>
        <w:rPr>
          <w:rFonts w:ascii="CAIXA Std Book" w:hAnsi="CAIXA Std Book"/>
          <w:b/>
          <w:color w:val="005CA9"/>
          <w:sz w:val="20"/>
          <w:szCs w:val="20"/>
        </w:rPr>
      </w:pPr>
      <w:r w:rsidRPr="00FF4346">
        <w:rPr>
          <w:rFonts w:ascii="CAIXA Std Book" w:hAnsi="CAIXA Std Book"/>
          <w:b/>
          <w:color w:val="005CA9"/>
          <w:sz w:val="20"/>
          <w:szCs w:val="20"/>
        </w:rPr>
        <w:br w:type="page"/>
      </w:r>
      <w:r w:rsidRPr="00FF4346">
        <w:rPr>
          <w:rFonts w:ascii="CAIXA Std Book" w:hAnsi="CAIXA Std Book"/>
          <w:b/>
          <w:color w:val="005CA9"/>
          <w:sz w:val="20"/>
          <w:szCs w:val="20"/>
        </w:rPr>
        <w:lastRenderedPageBreak/>
        <w:t>(b.2)</w:t>
      </w:r>
      <w:r w:rsidRPr="00FF4346">
        <w:rPr>
          <w:rFonts w:ascii="CAIXA Std Book" w:hAnsi="CAIXA Std Book"/>
          <w:b/>
          <w:color w:val="005CA9"/>
          <w:sz w:val="20"/>
          <w:szCs w:val="20"/>
        </w:rPr>
        <w:tab/>
        <w:t>Categoria II - Títulos disponíveis para venda</w:t>
      </w:r>
    </w:p>
    <w:p w14:paraId="166D8ADB" w14:textId="371BE662" w:rsidR="00D1533F" w:rsidRPr="00FF4346" w:rsidRDefault="00D1533F" w:rsidP="00D1533F">
      <w:pPr>
        <w:autoSpaceDE w:val="0"/>
        <w:autoSpaceDN w:val="0"/>
        <w:adjustRightInd w:val="0"/>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Os papéis que compõem a carteira de TVM disponíveis para venda sofreram ajustes por perda no valor recuperável </w:t>
      </w:r>
      <w:r w:rsidRPr="00FF4346">
        <w:rPr>
          <w:rFonts w:ascii="CAIXA Std Book" w:hAnsi="CAIXA Std Book"/>
          <w:i/>
          <w:color w:val="005CA9"/>
          <w:sz w:val="20"/>
          <w:szCs w:val="20"/>
        </w:rPr>
        <w:t>(Impairment</w:t>
      </w:r>
      <w:r w:rsidRPr="00FF4346">
        <w:rPr>
          <w:rFonts w:ascii="CAIXA Std Book" w:hAnsi="CAIXA Std Book"/>
          <w:color w:val="005CA9"/>
          <w:sz w:val="20"/>
          <w:szCs w:val="20"/>
        </w:rPr>
        <w:t xml:space="preserve">) </w:t>
      </w:r>
      <w:r w:rsidR="009079E6">
        <w:rPr>
          <w:rFonts w:ascii="CAIXA Std Book" w:hAnsi="CAIXA Std Book"/>
          <w:color w:val="005CA9"/>
          <w:sz w:val="20"/>
          <w:szCs w:val="20"/>
        </w:rPr>
        <w:t>de R$ 10.</w:t>
      </w:r>
      <w:r w:rsidR="008C31C0">
        <w:rPr>
          <w:rFonts w:ascii="CAIXA Std Book" w:hAnsi="CAIXA Std Book"/>
          <w:color w:val="005CA9"/>
          <w:sz w:val="20"/>
          <w:szCs w:val="20"/>
        </w:rPr>
        <w:t>620</w:t>
      </w:r>
      <w:r w:rsidR="00C13860">
        <w:rPr>
          <w:rFonts w:ascii="CAIXA Std Book" w:hAnsi="CAIXA Std Book"/>
          <w:color w:val="005CA9"/>
          <w:sz w:val="20"/>
          <w:szCs w:val="20"/>
        </w:rPr>
        <w:t xml:space="preserve"> </w:t>
      </w:r>
      <w:r w:rsidRPr="00FF4346">
        <w:rPr>
          <w:rFonts w:ascii="CAIXA Std Book" w:hAnsi="CAIXA Std Book"/>
          <w:color w:val="005CA9"/>
          <w:sz w:val="20"/>
          <w:szCs w:val="20"/>
        </w:rPr>
        <w:t>no 1º trimestre de 202</w:t>
      </w:r>
      <w:r w:rsidR="00041D47" w:rsidRPr="00FF4346">
        <w:rPr>
          <w:rFonts w:ascii="CAIXA Std Book" w:hAnsi="CAIXA Std Book"/>
          <w:color w:val="005CA9"/>
          <w:sz w:val="20"/>
          <w:szCs w:val="20"/>
        </w:rPr>
        <w:t xml:space="preserve">4 </w:t>
      </w:r>
      <w:r w:rsidRPr="00FF4346">
        <w:rPr>
          <w:rFonts w:ascii="CAIXA Std Book" w:hAnsi="CAIXA Std Book"/>
          <w:color w:val="005CA9"/>
          <w:sz w:val="20"/>
          <w:szCs w:val="20"/>
        </w:rPr>
        <w:t>(</w:t>
      </w:r>
      <w:r w:rsidR="00041D47" w:rsidRPr="00FF4346">
        <w:rPr>
          <w:rFonts w:ascii="CAIXA Std Book" w:hAnsi="CAIXA Std Book"/>
          <w:color w:val="005CA9"/>
          <w:sz w:val="20"/>
          <w:szCs w:val="20"/>
        </w:rPr>
        <w:t xml:space="preserve">não houve </w:t>
      </w:r>
      <w:r w:rsidR="00A66E53" w:rsidRPr="00A66E53">
        <w:rPr>
          <w:rFonts w:ascii="CAIXA Std Book" w:hAnsi="CAIXA Std Book"/>
          <w:i/>
          <w:iCs/>
          <w:color w:val="005CA9"/>
          <w:sz w:val="20"/>
          <w:szCs w:val="20"/>
        </w:rPr>
        <w:t>I</w:t>
      </w:r>
      <w:r w:rsidR="00E12D00" w:rsidRPr="00A66E53">
        <w:rPr>
          <w:rFonts w:ascii="CAIXA Std Book" w:hAnsi="CAIXA Std Book"/>
          <w:i/>
          <w:iCs/>
          <w:color w:val="005CA9"/>
          <w:sz w:val="20"/>
          <w:szCs w:val="20"/>
        </w:rPr>
        <w:t>mpairment</w:t>
      </w:r>
      <w:r w:rsidR="00041D47" w:rsidRPr="00FF4346">
        <w:rPr>
          <w:rFonts w:ascii="CAIXA Std Book" w:hAnsi="CAIXA Std Book"/>
          <w:color w:val="005CA9"/>
          <w:sz w:val="20"/>
          <w:szCs w:val="20"/>
        </w:rPr>
        <w:t xml:space="preserve"> no 1º </w:t>
      </w:r>
      <w:r w:rsidRPr="00FF4346">
        <w:rPr>
          <w:rFonts w:ascii="CAIXA Std Book" w:hAnsi="CAIXA Std Book"/>
          <w:color w:val="005CA9"/>
          <w:sz w:val="20"/>
          <w:szCs w:val="20"/>
        </w:rPr>
        <w:t>trimestre de 202</w:t>
      </w:r>
      <w:r w:rsidR="00AB0421" w:rsidRPr="00FF4346">
        <w:rPr>
          <w:rFonts w:ascii="CAIXA Std Book" w:hAnsi="CAIXA Std Book"/>
          <w:color w:val="005CA9"/>
          <w:sz w:val="20"/>
          <w:szCs w:val="20"/>
        </w:rPr>
        <w:t>3</w:t>
      </w:r>
      <w:r w:rsidRPr="00FF4346">
        <w:rPr>
          <w:rFonts w:ascii="CAIXA Std Book" w:hAnsi="CAIXA Std Book"/>
          <w:color w:val="005CA9"/>
          <w:sz w:val="20"/>
          <w:szCs w:val="20"/>
        </w:rPr>
        <w:t>).</w:t>
      </w:r>
    </w:p>
    <w:p w14:paraId="02B6F564" w14:textId="77777777" w:rsidR="00EF2DB0" w:rsidRPr="00FF4346" w:rsidRDefault="00EF2DB0" w:rsidP="00D1533F">
      <w:pPr>
        <w:autoSpaceDE w:val="0"/>
        <w:autoSpaceDN w:val="0"/>
        <w:adjustRightInd w:val="0"/>
        <w:spacing w:before="120" w:after="120"/>
        <w:jc w:val="both"/>
        <w:rPr>
          <w:rFonts w:ascii="CAIXA Std Book" w:hAnsi="CAIXA Std Book"/>
          <w:color w:val="005CA9"/>
          <w:sz w:val="20"/>
          <w:szCs w:val="20"/>
        </w:rPr>
      </w:pPr>
    </w:p>
    <w:tbl>
      <w:tblPr>
        <w:tblW w:w="5115" w:type="pct"/>
        <w:tblLayout w:type="fixed"/>
        <w:tblCellMar>
          <w:left w:w="70" w:type="dxa"/>
          <w:right w:w="70" w:type="dxa"/>
        </w:tblCellMar>
        <w:tblLook w:val="04A0" w:firstRow="1" w:lastRow="0" w:firstColumn="1" w:lastColumn="0" w:noHBand="0" w:noVBand="1"/>
      </w:tblPr>
      <w:tblGrid>
        <w:gridCol w:w="3114"/>
        <w:gridCol w:w="1023"/>
        <w:gridCol w:w="805"/>
        <w:gridCol w:w="832"/>
        <w:gridCol w:w="954"/>
        <w:gridCol w:w="1157"/>
        <w:gridCol w:w="1112"/>
        <w:gridCol w:w="1064"/>
        <w:gridCol w:w="1148"/>
        <w:gridCol w:w="1112"/>
        <w:gridCol w:w="1443"/>
        <w:gridCol w:w="1142"/>
      </w:tblGrid>
      <w:tr w:rsidR="00D1533F" w:rsidRPr="002057D3" w14:paraId="2FD697CF" w14:textId="77777777" w:rsidTr="00D370E3">
        <w:trPr>
          <w:trHeight w:val="283"/>
        </w:trPr>
        <w:tc>
          <w:tcPr>
            <w:tcW w:w="5000" w:type="pct"/>
            <w:gridSpan w:val="12"/>
            <w:tcBorders>
              <w:top w:val="single" w:sz="4" w:space="0" w:color="F39200"/>
              <w:left w:val="nil"/>
              <w:bottom w:val="single" w:sz="4" w:space="0" w:color="F39200"/>
              <w:right w:val="nil"/>
            </w:tcBorders>
            <w:vAlign w:val="center"/>
          </w:tcPr>
          <w:p w14:paraId="0374B87F" w14:textId="7A8C19C2"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INDIVIDUAL</w:t>
            </w:r>
          </w:p>
        </w:tc>
      </w:tr>
      <w:tr w:rsidR="00D1533F" w:rsidRPr="002057D3" w14:paraId="71361989" w14:textId="77777777" w:rsidTr="00D370E3">
        <w:trPr>
          <w:trHeight w:val="283"/>
        </w:trPr>
        <w:tc>
          <w:tcPr>
            <w:tcW w:w="1045" w:type="pct"/>
            <w:vMerge w:val="restart"/>
            <w:tcBorders>
              <w:top w:val="nil"/>
              <w:left w:val="nil"/>
              <w:bottom w:val="single" w:sz="4" w:space="0" w:color="F79646" w:themeColor="accent6"/>
              <w:right w:val="nil"/>
            </w:tcBorders>
            <w:shd w:val="clear" w:color="auto" w:fill="auto"/>
            <w:vAlign w:val="center"/>
            <w:hideMark/>
          </w:tcPr>
          <w:p w14:paraId="0A645330" w14:textId="6C6482F0" w:rsidR="00C278AD" w:rsidRPr="00482874" w:rsidRDefault="00126A78">
            <w:pPr>
              <w:jc w:val="center"/>
              <w:rPr>
                <w:rFonts w:ascii="CAIXA Std Book" w:eastAsia="Times New Roman" w:hAnsi="CAIXA Std Book" w:cs="Arial"/>
                <w:b/>
                <w:color w:val="005CA9"/>
                <w:sz w:val="16"/>
                <w:szCs w:val="16"/>
              </w:rPr>
            </w:pPr>
            <w:r w:rsidRPr="00482874">
              <w:rPr>
                <w:rFonts w:ascii="CAIXA Std Book" w:eastAsia="Times New Roman" w:hAnsi="CAIXA Std Book" w:cs="Arial"/>
                <w:b/>
                <w:bCs/>
                <w:color w:val="005CA9"/>
                <w:sz w:val="16"/>
                <w:szCs w:val="16"/>
              </w:rPr>
              <w:t>Descrição</w:t>
            </w:r>
          </w:p>
        </w:tc>
        <w:tc>
          <w:tcPr>
            <w:tcW w:w="2715" w:type="pct"/>
            <w:gridSpan w:val="8"/>
            <w:tcBorders>
              <w:top w:val="single" w:sz="4" w:space="0" w:color="F39200"/>
              <w:left w:val="nil"/>
              <w:bottom w:val="single" w:sz="4" w:space="0" w:color="F39200"/>
              <w:right w:val="nil"/>
            </w:tcBorders>
            <w:shd w:val="clear" w:color="auto" w:fill="auto"/>
            <w:noWrap/>
            <w:vAlign w:val="center"/>
            <w:hideMark/>
          </w:tcPr>
          <w:p w14:paraId="22D38606" w14:textId="0A08B069"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31/0</w:t>
            </w:r>
            <w:r w:rsidR="00873951" w:rsidRPr="00482874">
              <w:rPr>
                <w:rFonts w:ascii="CAIXA Std Book" w:eastAsia="Times New Roman" w:hAnsi="CAIXA Std Book" w:cs="Arial"/>
                <w:b/>
                <w:color w:val="005CA9"/>
                <w:sz w:val="16"/>
                <w:szCs w:val="16"/>
              </w:rPr>
              <w:t>3/2024</w:t>
            </w:r>
          </w:p>
        </w:tc>
        <w:tc>
          <w:tcPr>
            <w:tcW w:w="1240" w:type="pct"/>
            <w:gridSpan w:val="3"/>
            <w:tcBorders>
              <w:top w:val="single" w:sz="4" w:space="0" w:color="F39200"/>
              <w:left w:val="nil"/>
              <w:bottom w:val="single" w:sz="4" w:space="0" w:color="F39200"/>
              <w:right w:val="nil"/>
            </w:tcBorders>
            <w:shd w:val="clear" w:color="auto" w:fill="auto"/>
            <w:noWrap/>
            <w:vAlign w:val="center"/>
            <w:hideMark/>
          </w:tcPr>
          <w:p w14:paraId="27C95106" w14:textId="01D695E8"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31/12/202</w:t>
            </w:r>
            <w:r w:rsidR="00F34453" w:rsidRPr="00482874">
              <w:rPr>
                <w:rFonts w:ascii="CAIXA Std Book" w:eastAsia="Times New Roman" w:hAnsi="CAIXA Std Book" w:cs="Arial"/>
                <w:b/>
                <w:color w:val="005CA9"/>
                <w:sz w:val="16"/>
                <w:szCs w:val="16"/>
              </w:rPr>
              <w:t>3</w:t>
            </w:r>
          </w:p>
        </w:tc>
      </w:tr>
      <w:tr w:rsidR="00D1533F" w:rsidRPr="002057D3" w14:paraId="4AB6B82B" w14:textId="77777777" w:rsidTr="008C739D">
        <w:trPr>
          <w:trHeight w:val="283"/>
        </w:trPr>
        <w:tc>
          <w:tcPr>
            <w:tcW w:w="1045" w:type="pct"/>
            <w:vMerge/>
            <w:tcBorders>
              <w:left w:val="nil"/>
              <w:bottom w:val="single" w:sz="4" w:space="0" w:color="F79646" w:themeColor="accent6"/>
              <w:right w:val="nil"/>
            </w:tcBorders>
            <w:vAlign w:val="center"/>
            <w:hideMark/>
          </w:tcPr>
          <w:p w14:paraId="437E8C1D" w14:textId="77777777" w:rsidR="00D1533F" w:rsidRPr="00482874" w:rsidRDefault="00D1533F" w:rsidP="00EF2DB0">
            <w:pPr>
              <w:jc w:val="center"/>
              <w:rPr>
                <w:rFonts w:ascii="CAIXA Std Book" w:eastAsia="Times New Roman" w:hAnsi="CAIXA Std Book" w:cs="Arial"/>
                <w:b/>
                <w:color w:val="005CA9"/>
                <w:sz w:val="16"/>
                <w:szCs w:val="16"/>
              </w:rPr>
            </w:pPr>
          </w:p>
        </w:tc>
        <w:tc>
          <w:tcPr>
            <w:tcW w:w="343" w:type="pct"/>
            <w:tcBorders>
              <w:top w:val="nil"/>
              <w:left w:val="nil"/>
              <w:bottom w:val="single" w:sz="4" w:space="0" w:color="F79646" w:themeColor="accent6"/>
              <w:right w:val="nil"/>
            </w:tcBorders>
            <w:shd w:val="clear" w:color="auto" w:fill="auto"/>
            <w:vAlign w:val="center"/>
            <w:hideMark/>
          </w:tcPr>
          <w:p w14:paraId="68D20B60"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Sem vencimento</w:t>
            </w:r>
          </w:p>
        </w:tc>
        <w:tc>
          <w:tcPr>
            <w:tcW w:w="270" w:type="pct"/>
            <w:tcBorders>
              <w:top w:val="nil"/>
              <w:left w:val="nil"/>
              <w:bottom w:val="single" w:sz="4" w:space="0" w:color="F79646" w:themeColor="accent6"/>
              <w:right w:val="nil"/>
            </w:tcBorders>
            <w:shd w:val="clear" w:color="auto" w:fill="auto"/>
            <w:vAlign w:val="center"/>
            <w:hideMark/>
          </w:tcPr>
          <w:p w14:paraId="5D0B4FB8"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01 a 90 dias</w:t>
            </w:r>
          </w:p>
        </w:tc>
        <w:tc>
          <w:tcPr>
            <w:tcW w:w="279" w:type="pct"/>
            <w:tcBorders>
              <w:top w:val="nil"/>
              <w:left w:val="nil"/>
              <w:bottom w:val="single" w:sz="4" w:space="0" w:color="F79646" w:themeColor="accent6"/>
              <w:right w:val="nil"/>
            </w:tcBorders>
            <w:vAlign w:val="center"/>
          </w:tcPr>
          <w:p w14:paraId="5DD3B140" w14:textId="58DFB412" w:rsidR="00C278AD" w:rsidRPr="00482874" w:rsidRDefault="00126A78">
            <w:pPr>
              <w:jc w:val="center"/>
              <w:rPr>
                <w:rFonts w:ascii="CAIXA Std Book" w:eastAsia="Times New Roman" w:hAnsi="CAIXA Std Book" w:cs="Arial"/>
                <w:b/>
                <w:color w:val="005CA9"/>
                <w:sz w:val="16"/>
                <w:szCs w:val="16"/>
              </w:rPr>
            </w:pPr>
            <w:r w:rsidRPr="00482874">
              <w:rPr>
                <w:rFonts w:ascii="CAIXA Std Book" w:eastAsia="Times New Roman" w:hAnsi="CAIXA Std Book" w:cs="Arial"/>
                <w:b/>
                <w:bCs/>
                <w:color w:val="005CA9"/>
                <w:sz w:val="16"/>
                <w:szCs w:val="16"/>
              </w:rPr>
              <w:t>91 a 180 dias</w:t>
            </w:r>
          </w:p>
        </w:tc>
        <w:tc>
          <w:tcPr>
            <w:tcW w:w="320" w:type="pct"/>
            <w:tcBorders>
              <w:top w:val="nil"/>
              <w:left w:val="nil"/>
              <w:bottom w:val="single" w:sz="4" w:space="0" w:color="F39200"/>
              <w:right w:val="nil"/>
            </w:tcBorders>
            <w:shd w:val="clear" w:color="auto" w:fill="auto"/>
            <w:vAlign w:val="center"/>
            <w:hideMark/>
          </w:tcPr>
          <w:p w14:paraId="15FE2AA0" w14:textId="1568500D"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181 a 360 dias</w:t>
            </w:r>
          </w:p>
        </w:tc>
        <w:tc>
          <w:tcPr>
            <w:tcW w:w="388" w:type="pct"/>
            <w:tcBorders>
              <w:top w:val="nil"/>
              <w:left w:val="nil"/>
              <w:bottom w:val="single" w:sz="4" w:space="0" w:color="F39200"/>
              <w:right w:val="nil"/>
            </w:tcBorders>
            <w:shd w:val="clear" w:color="auto" w:fill="auto"/>
            <w:vAlign w:val="center"/>
            <w:hideMark/>
          </w:tcPr>
          <w:p w14:paraId="52B5FB5D"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Acima de 360 dias</w:t>
            </w:r>
          </w:p>
        </w:tc>
        <w:tc>
          <w:tcPr>
            <w:tcW w:w="373" w:type="pct"/>
            <w:tcBorders>
              <w:top w:val="nil"/>
              <w:left w:val="nil"/>
              <w:bottom w:val="single" w:sz="4" w:space="0" w:color="F39200"/>
              <w:right w:val="nil"/>
            </w:tcBorders>
            <w:shd w:val="clear" w:color="auto" w:fill="auto"/>
            <w:vAlign w:val="center"/>
            <w:hideMark/>
          </w:tcPr>
          <w:p w14:paraId="2A790451" w14:textId="3FF0A63D" w:rsidR="00D1533F" w:rsidRPr="00482874" w:rsidRDefault="00126A78">
            <w:pPr>
              <w:jc w:val="center"/>
              <w:rPr>
                <w:rFonts w:ascii="CAIXA Std Book" w:eastAsia="Times New Roman" w:hAnsi="CAIXA Std Book" w:cs="Arial"/>
                <w:b/>
                <w:color w:val="005CA9"/>
                <w:sz w:val="16"/>
                <w:szCs w:val="16"/>
              </w:rPr>
            </w:pPr>
            <w:r w:rsidRPr="00482874">
              <w:rPr>
                <w:rFonts w:ascii="CAIXA Std Book" w:eastAsia="Times New Roman" w:hAnsi="CAIXA Std Book" w:cs="Arial"/>
                <w:b/>
                <w:bCs/>
                <w:color w:val="005CA9"/>
                <w:sz w:val="16"/>
                <w:szCs w:val="16"/>
              </w:rPr>
              <w:t>Custo</w:t>
            </w:r>
          </w:p>
        </w:tc>
        <w:tc>
          <w:tcPr>
            <w:tcW w:w="357" w:type="pct"/>
            <w:tcBorders>
              <w:top w:val="nil"/>
              <w:left w:val="nil"/>
              <w:bottom w:val="single" w:sz="4" w:space="0" w:color="F39200"/>
              <w:right w:val="nil"/>
            </w:tcBorders>
            <w:shd w:val="clear" w:color="auto" w:fill="auto"/>
            <w:vAlign w:val="center"/>
            <w:hideMark/>
          </w:tcPr>
          <w:p w14:paraId="7FA74F9E"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Ajuste a mercado patrimônio líquido</w:t>
            </w:r>
          </w:p>
        </w:tc>
        <w:tc>
          <w:tcPr>
            <w:tcW w:w="384" w:type="pct"/>
            <w:tcBorders>
              <w:top w:val="nil"/>
              <w:left w:val="nil"/>
              <w:bottom w:val="single" w:sz="4" w:space="0" w:color="F39200"/>
              <w:right w:val="nil"/>
            </w:tcBorders>
            <w:shd w:val="clear" w:color="auto" w:fill="auto"/>
            <w:vAlign w:val="center"/>
            <w:hideMark/>
          </w:tcPr>
          <w:p w14:paraId="50A66971"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Valor de mercado</w:t>
            </w:r>
          </w:p>
        </w:tc>
        <w:tc>
          <w:tcPr>
            <w:tcW w:w="373" w:type="pct"/>
            <w:tcBorders>
              <w:top w:val="nil"/>
              <w:left w:val="nil"/>
              <w:bottom w:val="single" w:sz="4" w:space="0" w:color="F39200"/>
              <w:right w:val="nil"/>
            </w:tcBorders>
            <w:shd w:val="clear" w:color="auto" w:fill="auto"/>
            <w:vAlign w:val="center"/>
            <w:hideMark/>
          </w:tcPr>
          <w:p w14:paraId="1B27F66F" w14:textId="0E2652C0" w:rsidR="00D1533F" w:rsidRPr="00482874" w:rsidRDefault="00126A78">
            <w:pPr>
              <w:jc w:val="center"/>
              <w:rPr>
                <w:rFonts w:ascii="CAIXA Std Book" w:eastAsia="Times New Roman" w:hAnsi="CAIXA Std Book" w:cs="Arial"/>
                <w:b/>
                <w:color w:val="005CA9"/>
                <w:sz w:val="16"/>
                <w:szCs w:val="16"/>
              </w:rPr>
            </w:pPr>
            <w:r w:rsidRPr="00482874">
              <w:rPr>
                <w:rFonts w:ascii="CAIXA Std Book" w:eastAsia="Times New Roman" w:hAnsi="CAIXA Std Book" w:cs="Arial"/>
                <w:b/>
                <w:bCs/>
                <w:color w:val="005CA9"/>
                <w:sz w:val="16"/>
                <w:szCs w:val="16"/>
              </w:rPr>
              <w:t>Custo</w:t>
            </w:r>
          </w:p>
        </w:tc>
        <w:tc>
          <w:tcPr>
            <w:tcW w:w="484" w:type="pct"/>
            <w:tcBorders>
              <w:top w:val="nil"/>
              <w:left w:val="nil"/>
              <w:bottom w:val="single" w:sz="4" w:space="0" w:color="F39200"/>
              <w:right w:val="nil"/>
            </w:tcBorders>
            <w:shd w:val="clear" w:color="auto" w:fill="auto"/>
            <w:vAlign w:val="center"/>
            <w:hideMark/>
          </w:tcPr>
          <w:p w14:paraId="6725C6C1"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Ajuste a mercado patrimônio líquido</w:t>
            </w:r>
          </w:p>
        </w:tc>
        <w:tc>
          <w:tcPr>
            <w:tcW w:w="382" w:type="pct"/>
            <w:tcBorders>
              <w:top w:val="nil"/>
              <w:left w:val="nil"/>
              <w:bottom w:val="single" w:sz="4" w:space="0" w:color="F39200"/>
              <w:right w:val="nil"/>
            </w:tcBorders>
            <w:shd w:val="clear" w:color="auto" w:fill="auto"/>
            <w:vAlign w:val="center"/>
            <w:hideMark/>
          </w:tcPr>
          <w:p w14:paraId="2F46D06D" w14:textId="77777777" w:rsidR="00D1533F" w:rsidRPr="00482874" w:rsidRDefault="00D1533F">
            <w:pPr>
              <w:jc w:val="cente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Valor de mercado</w:t>
            </w:r>
          </w:p>
        </w:tc>
      </w:tr>
      <w:tr w:rsidR="00E61FDF" w:rsidRPr="002057D3" w14:paraId="079CD220" w14:textId="77777777" w:rsidTr="008C739D">
        <w:trPr>
          <w:trHeight w:val="283"/>
        </w:trPr>
        <w:tc>
          <w:tcPr>
            <w:tcW w:w="1045" w:type="pct"/>
            <w:tcBorders>
              <w:top w:val="single" w:sz="4" w:space="0" w:color="F39200"/>
              <w:left w:val="nil"/>
              <w:bottom w:val="nil"/>
              <w:right w:val="nil"/>
            </w:tcBorders>
            <w:shd w:val="clear" w:color="auto" w:fill="auto"/>
            <w:vAlign w:val="center"/>
            <w:hideMark/>
          </w:tcPr>
          <w:p w14:paraId="495A74FA" w14:textId="77777777" w:rsidR="00E61FDF" w:rsidRPr="00482874" w:rsidRDefault="00E61FDF" w:rsidP="00E61FDF">
            <w:pP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Títulos públicos</w:t>
            </w:r>
          </w:p>
        </w:tc>
        <w:tc>
          <w:tcPr>
            <w:tcW w:w="343" w:type="pct"/>
            <w:tcBorders>
              <w:top w:val="single" w:sz="4" w:space="0" w:color="F79646" w:themeColor="accent6"/>
              <w:left w:val="nil"/>
              <w:bottom w:val="nil"/>
              <w:right w:val="nil"/>
            </w:tcBorders>
            <w:shd w:val="clear" w:color="auto" w:fill="auto"/>
            <w:noWrap/>
            <w:vAlign w:val="center"/>
          </w:tcPr>
          <w:p w14:paraId="2E467449" w14:textId="6C21F89F" w:rsidR="00E61FDF" w:rsidRPr="00482874" w:rsidRDefault="00BB1A6D" w:rsidP="0058012D">
            <w:pPr>
              <w:jc w:val="center"/>
              <w:rPr>
                <w:rFonts w:ascii="CAIXA Std Book" w:hAnsi="CAIXA Std Book" w:cs="Arial"/>
                <w:b/>
                <w:color w:val="005CA9"/>
                <w:sz w:val="16"/>
                <w:szCs w:val="16"/>
              </w:rPr>
            </w:pPr>
            <w:r>
              <w:rPr>
                <w:rFonts w:ascii="CAIXA Std Book" w:hAnsi="CAIXA Std Book" w:cs="Arial"/>
                <w:b/>
                <w:bCs/>
                <w:color w:val="005CA9"/>
                <w:sz w:val="16"/>
                <w:szCs w:val="16"/>
              </w:rPr>
              <w:t>-</w:t>
            </w:r>
          </w:p>
        </w:tc>
        <w:tc>
          <w:tcPr>
            <w:tcW w:w="270" w:type="pct"/>
            <w:tcBorders>
              <w:top w:val="single" w:sz="4" w:space="0" w:color="F79646" w:themeColor="accent6"/>
              <w:left w:val="nil"/>
              <w:bottom w:val="nil"/>
              <w:right w:val="nil"/>
            </w:tcBorders>
            <w:shd w:val="clear" w:color="auto" w:fill="auto"/>
            <w:noWrap/>
            <w:vAlign w:val="center"/>
          </w:tcPr>
          <w:p w14:paraId="5FE7E9B6" w14:textId="701006D7" w:rsidR="00E61FDF" w:rsidRPr="00482874" w:rsidRDefault="00BB1A6D" w:rsidP="0058012D">
            <w:pPr>
              <w:jc w:val="center"/>
              <w:rPr>
                <w:rFonts w:ascii="CAIXA Std Book" w:hAnsi="CAIXA Std Book" w:cs="Arial"/>
                <w:b/>
                <w:color w:val="005CA9"/>
                <w:sz w:val="16"/>
                <w:szCs w:val="16"/>
              </w:rPr>
            </w:pPr>
            <w:r>
              <w:rPr>
                <w:rFonts w:ascii="CAIXA Std Book" w:hAnsi="CAIXA Std Book" w:cs="Arial"/>
                <w:b/>
                <w:bCs/>
                <w:color w:val="005CA9"/>
                <w:sz w:val="16"/>
                <w:szCs w:val="16"/>
              </w:rPr>
              <w:t>-</w:t>
            </w:r>
          </w:p>
        </w:tc>
        <w:tc>
          <w:tcPr>
            <w:tcW w:w="279" w:type="pct"/>
            <w:tcBorders>
              <w:top w:val="single" w:sz="4" w:space="0" w:color="F79646" w:themeColor="accent6"/>
              <w:left w:val="nil"/>
              <w:bottom w:val="nil"/>
              <w:right w:val="nil"/>
            </w:tcBorders>
            <w:shd w:val="clear" w:color="auto" w:fill="auto"/>
            <w:vAlign w:val="center"/>
          </w:tcPr>
          <w:p w14:paraId="23ECEF55" w14:textId="788B9C77" w:rsidR="00E61FDF" w:rsidRPr="00482874" w:rsidRDefault="00BB1A6D" w:rsidP="0058012D">
            <w:pPr>
              <w:jc w:val="center"/>
              <w:rPr>
                <w:rFonts w:ascii="CAIXA Std Book" w:hAnsi="CAIXA Std Book" w:cs="Arial"/>
                <w:b/>
                <w:color w:val="005CA9"/>
                <w:sz w:val="16"/>
                <w:szCs w:val="16"/>
              </w:rPr>
            </w:pPr>
            <w:r>
              <w:rPr>
                <w:rFonts w:ascii="CAIXA Std Book" w:hAnsi="CAIXA Std Book" w:cs="Arial"/>
                <w:b/>
                <w:bCs/>
                <w:color w:val="005CA9"/>
                <w:sz w:val="16"/>
                <w:szCs w:val="16"/>
              </w:rPr>
              <w:t>-</w:t>
            </w:r>
          </w:p>
        </w:tc>
        <w:tc>
          <w:tcPr>
            <w:tcW w:w="320" w:type="pct"/>
            <w:tcBorders>
              <w:top w:val="nil"/>
              <w:left w:val="nil"/>
              <w:bottom w:val="nil"/>
              <w:right w:val="nil"/>
            </w:tcBorders>
            <w:shd w:val="clear" w:color="auto" w:fill="auto"/>
            <w:noWrap/>
            <w:vAlign w:val="center"/>
          </w:tcPr>
          <w:p w14:paraId="5EFDD91C" w14:textId="234B416C"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386.951</w:t>
            </w:r>
          </w:p>
        </w:tc>
        <w:tc>
          <w:tcPr>
            <w:tcW w:w="388" w:type="pct"/>
            <w:tcBorders>
              <w:top w:val="nil"/>
              <w:left w:val="nil"/>
              <w:bottom w:val="nil"/>
              <w:right w:val="nil"/>
            </w:tcBorders>
            <w:shd w:val="clear" w:color="auto" w:fill="auto"/>
            <w:noWrap/>
            <w:vAlign w:val="center"/>
          </w:tcPr>
          <w:p w14:paraId="4B7EF9E3" w14:textId="05E5B105"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136.257.132</w:t>
            </w:r>
          </w:p>
        </w:tc>
        <w:tc>
          <w:tcPr>
            <w:tcW w:w="373" w:type="pct"/>
            <w:tcBorders>
              <w:top w:val="nil"/>
              <w:left w:val="nil"/>
              <w:bottom w:val="nil"/>
              <w:right w:val="nil"/>
            </w:tcBorders>
            <w:shd w:val="clear" w:color="auto" w:fill="auto"/>
            <w:noWrap/>
            <w:vAlign w:val="center"/>
          </w:tcPr>
          <w:p w14:paraId="614556D3" w14:textId="33BE1BA6"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136.570.825</w:t>
            </w:r>
          </w:p>
        </w:tc>
        <w:tc>
          <w:tcPr>
            <w:tcW w:w="357" w:type="pct"/>
            <w:tcBorders>
              <w:top w:val="nil"/>
              <w:left w:val="nil"/>
              <w:bottom w:val="nil"/>
              <w:right w:val="nil"/>
            </w:tcBorders>
            <w:shd w:val="clear" w:color="auto" w:fill="auto"/>
            <w:noWrap/>
            <w:vAlign w:val="center"/>
          </w:tcPr>
          <w:p w14:paraId="3C20C2EE" w14:textId="307B4347"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73.258</w:t>
            </w:r>
          </w:p>
        </w:tc>
        <w:tc>
          <w:tcPr>
            <w:tcW w:w="384" w:type="pct"/>
            <w:tcBorders>
              <w:top w:val="nil"/>
              <w:left w:val="nil"/>
              <w:bottom w:val="nil"/>
              <w:right w:val="nil"/>
            </w:tcBorders>
            <w:shd w:val="clear" w:color="auto" w:fill="auto"/>
            <w:noWrap/>
            <w:vAlign w:val="center"/>
          </w:tcPr>
          <w:p w14:paraId="4FE2FBFA" w14:textId="7D37FF7F"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136.644.083</w:t>
            </w:r>
          </w:p>
        </w:tc>
        <w:tc>
          <w:tcPr>
            <w:tcW w:w="373" w:type="pct"/>
            <w:tcBorders>
              <w:top w:val="nil"/>
              <w:left w:val="nil"/>
              <w:bottom w:val="nil"/>
              <w:right w:val="nil"/>
            </w:tcBorders>
            <w:shd w:val="clear" w:color="auto" w:fill="auto"/>
            <w:noWrap/>
            <w:vAlign w:val="center"/>
            <w:hideMark/>
          </w:tcPr>
          <w:p w14:paraId="51E985A7" w14:textId="1D0ABE41"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123.552.099</w:t>
            </w:r>
          </w:p>
        </w:tc>
        <w:tc>
          <w:tcPr>
            <w:tcW w:w="484" w:type="pct"/>
            <w:tcBorders>
              <w:top w:val="nil"/>
              <w:left w:val="nil"/>
              <w:bottom w:val="nil"/>
              <w:right w:val="nil"/>
            </w:tcBorders>
            <w:shd w:val="clear" w:color="auto" w:fill="auto"/>
            <w:noWrap/>
            <w:vAlign w:val="center"/>
            <w:hideMark/>
          </w:tcPr>
          <w:p w14:paraId="06B93DB9" w14:textId="455097EA"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47.071</w:t>
            </w:r>
          </w:p>
        </w:tc>
        <w:tc>
          <w:tcPr>
            <w:tcW w:w="382" w:type="pct"/>
            <w:tcBorders>
              <w:top w:val="nil"/>
              <w:left w:val="nil"/>
              <w:bottom w:val="nil"/>
              <w:right w:val="nil"/>
            </w:tcBorders>
            <w:shd w:val="clear" w:color="auto" w:fill="auto"/>
            <w:noWrap/>
            <w:vAlign w:val="center"/>
            <w:hideMark/>
          </w:tcPr>
          <w:p w14:paraId="0B81A4D2" w14:textId="2D88C234"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123.599.170</w:t>
            </w:r>
          </w:p>
        </w:tc>
      </w:tr>
      <w:tr w:rsidR="00E61FDF" w:rsidRPr="002057D3" w14:paraId="6E23FE2C" w14:textId="77777777" w:rsidTr="00D370E3">
        <w:trPr>
          <w:trHeight w:val="283"/>
        </w:trPr>
        <w:tc>
          <w:tcPr>
            <w:tcW w:w="1045" w:type="pct"/>
            <w:tcBorders>
              <w:top w:val="nil"/>
              <w:left w:val="nil"/>
              <w:bottom w:val="nil"/>
              <w:right w:val="nil"/>
            </w:tcBorders>
            <w:shd w:val="clear" w:color="auto" w:fill="auto"/>
            <w:vAlign w:val="center"/>
            <w:hideMark/>
          </w:tcPr>
          <w:p w14:paraId="2635D431"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Letras financeiras do tesouro</w:t>
            </w:r>
          </w:p>
        </w:tc>
        <w:tc>
          <w:tcPr>
            <w:tcW w:w="343" w:type="pct"/>
            <w:tcBorders>
              <w:top w:val="nil"/>
              <w:left w:val="nil"/>
              <w:bottom w:val="nil"/>
              <w:right w:val="nil"/>
            </w:tcBorders>
            <w:shd w:val="clear" w:color="auto" w:fill="auto"/>
            <w:vAlign w:val="center"/>
          </w:tcPr>
          <w:p w14:paraId="7A1A28F9" w14:textId="75367926"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58A2DC1B" w14:textId="3CA01202"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47483639" w14:textId="1903CB26"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7AE2D730" w14:textId="15A5A167"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386.951</w:t>
            </w:r>
          </w:p>
        </w:tc>
        <w:tc>
          <w:tcPr>
            <w:tcW w:w="388" w:type="pct"/>
            <w:tcBorders>
              <w:top w:val="nil"/>
              <w:left w:val="nil"/>
              <w:bottom w:val="nil"/>
              <w:right w:val="nil"/>
            </w:tcBorders>
            <w:shd w:val="clear" w:color="auto" w:fill="auto"/>
            <w:vAlign w:val="center"/>
          </w:tcPr>
          <w:p w14:paraId="6B665567" w14:textId="09CBA9CE"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134.445.536</w:t>
            </w:r>
          </w:p>
        </w:tc>
        <w:tc>
          <w:tcPr>
            <w:tcW w:w="373" w:type="pct"/>
            <w:tcBorders>
              <w:top w:val="nil"/>
              <w:left w:val="nil"/>
              <w:bottom w:val="nil"/>
              <w:right w:val="nil"/>
            </w:tcBorders>
            <w:shd w:val="clear" w:color="auto" w:fill="auto"/>
            <w:noWrap/>
            <w:vAlign w:val="center"/>
          </w:tcPr>
          <w:p w14:paraId="4FE7521E" w14:textId="136B3F13"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134.747.109</w:t>
            </w:r>
          </w:p>
        </w:tc>
        <w:tc>
          <w:tcPr>
            <w:tcW w:w="357" w:type="pct"/>
            <w:tcBorders>
              <w:top w:val="nil"/>
              <w:left w:val="nil"/>
              <w:bottom w:val="nil"/>
              <w:right w:val="nil"/>
            </w:tcBorders>
            <w:shd w:val="clear" w:color="auto" w:fill="auto"/>
            <w:noWrap/>
            <w:vAlign w:val="center"/>
          </w:tcPr>
          <w:p w14:paraId="784632EB" w14:textId="3059DEB5"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85.378</w:t>
            </w:r>
          </w:p>
        </w:tc>
        <w:tc>
          <w:tcPr>
            <w:tcW w:w="384" w:type="pct"/>
            <w:tcBorders>
              <w:top w:val="nil"/>
              <w:left w:val="nil"/>
              <w:bottom w:val="nil"/>
              <w:right w:val="nil"/>
            </w:tcBorders>
            <w:shd w:val="clear" w:color="auto" w:fill="auto"/>
            <w:noWrap/>
            <w:vAlign w:val="center"/>
          </w:tcPr>
          <w:p w14:paraId="381C6266" w14:textId="57CF8A81"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134.832.487</w:t>
            </w:r>
          </w:p>
        </w:tc>
        <w:tc>
          <w:tcPr>
            <w:tcW w:w="373" w:type="pct"/>
            <w:tcBorders>
              <w:top w:val="nil"/>
              <w:left w:val="nil"/>
              <w:bottom w:val="nil"/>
              <w:right w:val="nil"/>
            </w:tcBorders>
            <w:shd w:val="clear" w:color="auto" w:fill="auto"/>
            <w:noWrap/>
            <w:vAlign w:val="center"/>
            <w:hideMark/>
          </w:tcPr>
          <w:p w14:paraId="33F7B4CD" w14:textId="5E3CC9A8"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121.199.664</w:t>
            </w:r>
          </w:p>
        </w:tc>
        <w:tc>
          <w:tcPr>
            <w:tcW w:w="484" w:type="pct"/>
            <w:tcBorders>
              <w:top w:val="nil"/>
              <w:left w:val="nil"/>
              <w:bottom w:val="nil"/>
              <w:right w:val="nil"/>
            </w:tcBorders>
            <w:shd w:val="clear" w:color="auto" w:fill="auto"/>
            <w:noWrap/>
            <w:vAlign w:val="center"/>
            <w:hideMark/>
          </w:tcPr>
          <w:p w14:paraId="40DFFCD5" w14:textId="766DC8BA"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35.037</w:t>
            </w:r>
          </w:p>
        </w:tc>
        <w:tc>
          <w:tcPr>
            <w:tcW w:w="382" w:type="pct"/>
            <w:tcBorders>
              <w:top w:val="nil"/>
              <w:left w:val="nil"/>
              <w:bottom w:val="nil"/>
              <w:right w:val="nil"/>
            </w:tcBorders>
            <w:shd w:val="clear" w:color="auto" w:fill="auto"/>
            <w:noWrap/>
            <w:vAlign w:val="center"/>
            <w:hideMark/>
          </w:tcPr>
          <w:p w14:paraId="6BF3417B" w14:textId="49091EEC"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121.234.701</w:t>
            </w:r>
          </w:p>
        </w:tc>
      </w:tr>
      <w:tr w:rsidR="00E61FDF" w:rsidRPr="002057D3" w14:paraId="5A315CC3" w14:textId="77777777" w:rsidTr="00D370E3">
        <w:trPr>
          <w:trHeight w:val="283"/>
        </w:trPr>
        <w:tc>
          <w:tcPr>
            <w:tcW w:w="1045" w:type="pct"/>
            <w:tcBorders>
              <w:top w:val="nil"/>
              <w:left w:val="nil"/>
              <w:bottom w:val="nil"/>
              <w:right w:val="nil"/>
            </w:tcBorders>
            <w:shd w:val="clear" w:color="auto" w:fill="auto"/>
            <w:vAlign w:val="center"/>
            <w:hideMark/>
          </w:tcPr>
          <w:p w14:paraId="75DACCCD"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Letras do tesouro Nacional</w:t>
            </w:r>
          </w:p>
        </w:tc>
        <w:tc>
          <w:tcPr>
            <w:tcW w:w="343" w:type="pct"/>
            <w:tcBorders>
              <w:top w:val="nil"/>
              <w:left w:val="nil"/>
              <w:bottom w:val="nil"/>
              <w:right w:val="nil"/>
            </w:tcBorders>
            <w:shd w:val="clear" w:color="auto" w:fill="auto"/>
            <w:vAlign w:val="center"/>
          </w:tcPr>
          <w:p w14:paraId="65EFC730" w14:textId="1719F95B"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3AB959E0" w14:textId="759302B6"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13403A1B" w14:textId="49AEDF6A"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73B9AD41" w14:textId="10A45103"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3538905F" w14:textId="34A57918"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73" w:type="pct"/>
            <w:tcBorders>
              <w:top w:val="nil"/>
              <w:left w:val="nil"/>
              <w:bottom w:val="nil"/>
              <w:right w:val="nil"/>
            </w:tcBorders>
            <w:shd w:val="clear" w:color="auto" w:fill="auto"/>
            <w:noWrap/>
            <w:vAlign w:val="center"/>
          </w:tcPr>
          <w:p w14:paraId="56076CCB" w14:textId="2953FE98"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57" w:type="pct"/>
            <w:tcBorders>
              <w:top w:val="nil"/>
              <w:left w:val="nil"/>
              <w:bottom w:val="nil"/>
              <w:right w:val="nil"/>
            </w:tcBorders>
            <w:shd w:val="clear" w:color="auto" w:fill="auto"/>
            <w:noWrap/>
            <w:vAlign w:val="center"/>
          </w:tcPr>
          <w:p w14:paraId="75E5913E" w14:textId="385C1C40"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4" w:type="pct"/>
            <w:tcBorders>
              <w:top w:val="nil"/>
              <w:left w:val="nil"/>
              <w:bottom w:val="nil"/>
              <w:right w:val="nil"/>
            </w:tcBorders>
            <w:shd w:val="clear" w:color="auto" w:fill="auto"/>
            <w:noWrap/>
            <w:vAlign w:val="center"/>
          </w:tcPr>
          <w:p w14:paraId="0301EE24" w14:textId="6C8826B0"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73" w:type="pct"/>
            <w:tcBorders>
              <w:top w:val="nil"/>
              <w:left w:val="nil"/>
              <w:bottom w:val="nil"/>
              <w:right w:val="nil"/>
            </w:tcBorders>
            <w:shd w:val="clear" w:color="auto" w:fill="auto"/>
            <w:noWrap/>
            <w:vAlign w:val="center"/>
            <w:hideMark/>
          </w:tcPr>
          <w:p w14:paraId="7C197CDE" w14:textId="63FE9F22"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1.149.723</w:t>
            </w:r>
          </w:p>
        </w:tc>
        <w:tc>
          <w:tcPr>
            <w:tcW w:w="484" w:type="pct"/>
            <w:tcBorders>
              <w:top w:val="nil"/>
              <w:left w:val="nil"/>
              <w:bottom w:val="nil"/>
              <w:right w:val="nil"/>
            </w:tcBorders>
            <w:shd w:val="clear" w:color="auto" w:fill="auto"/>
            <w:noWrap/>
            <w:vAlign w:val="center"/>
            <w:hideMark/>
          </w:tcPr>
          <w:p w14:paraId="78D84DC7" w14:textId="3A2BC84C"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(226)</w:t>
            </w:r>
          </w:p>
        </w:tc>
        <w:tc>
          <w:tcPr>
            <w:tcW w:w="382" w:type="pct"/>
            <w:tcBorders>
              <w:top w:val="nil"/>
              <w:left w:val="nil"/>
              <w:bottom w:val="nil"/>
              <w:right w:val="nil"/>
            </w:tcBorders>
            <w:shd w:val="clear" w:color="auto" w:fill="auto"/>
            <w:noWrap/>
            <w:vAlign w:val="center"/>
            <w:hideMark/>
          </w:tcPr>
          <w:p w14:paraId="1D2CC940" w14:textId="439D7777"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1.149.497</w:t>
            </w:r>
          </w:p>
        </w:tc>
      </w:tr>
      <w:tr w:rsidR="00E61FDF" w:rsidRPr="002057D3" w14:paraId="69BC50C5" w14:textId="77777777" w:rsidTr="00D370E3">
        <w:trPr>
          <w:trHeight w:val="283"/>
        </w:trPr>
        <w:tc>
          <w:tcPr>
            <w:tcW w:w="1045" w:type="pct"/>
            <w:tcBorders>
              <w:top w:val="nil"/>
              <w:left w:val="nil"/>
              <w:bottom w:val="nil"/>
              <w:right w:val="nil"/>
            </w:tcBorders>
            <w:shd w:val="clear" w:color="auto" w:fill="auto"/>
            <w:vAlign w:val="center"/>
            <w:hideMark/>
          </w:tcPr>
          <w:p w14:paraId="32C08DBE"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Notas do tesouro nacional</w:t>
            </w:r>
          </w:p>
        </w:tc>
        <w:tc>
          <w:tcPr>
            <w:tcW w:w="343" w:type="pct"/>
            <w:tcBorders>
              <w:top w:val="nil"/>
              <w:left w:val="nil"/>
              <w:bottom w:val="nil"/>
              <w:right w:val="nil"/>
            </w:tcBorders>
            <w:shd w:val="clear" w:color="auto" w:fill="auto"/>
            <w:vAlign w:val="center"/>
          </w:tcPr>
          <w:p w14:paraId="200A70E4" w14:textId="24C079CC"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4B999D84" w14:textId="256FF16B"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0CBC946D" w14:textId="15FAF6B1"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5F3C9DC1" w14:textId="5DCBC780"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337CD5EC" w14:textId="4749FD1B"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1.630.933</w:t>
            </w:r>
          </w:p>
        </w:tc>
        <w:tc>
          <w:tcPr>
            <w:tcW w:w="373" w:type="pct"/>
            <w:tcBorders>
              <w:top w:val="nil"/>
              <w:left w:val="nil"/>
              <w:bottom w:val="nil"/>
              <w:right w:val="nil"/>
            </w:tcBorders>
            <w:shd w:val="clear" w:color="auto" w:fill="auto"/>
            <w:noWrap/>
            <w:vAlign w:val="center"/>
          </w:tcPr>
          <w:p w14:paraId="57278C49" w14:textId="4C671C27"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1.638.576</w:t>
            </w:r>
          </w:p>
        </w:tc>
        <w:tc>
          <w:tcPr>
            <w:tcW w:w="357" w:type="pct"/>
            <w:tcBorders>
              <w:top w:val="nil"/>
              <w:left w:val="nil"/>
              <w:bottom w:val="nil"/>
              <w:right w:val="nil"/>
            </w:tcBorders>
            <w:shd w:val="clear" w:color="auto" w:fill="auto"/>
            <w:noWrap/>
            <w:vAlign w:val="center"/>
          </w:tcPr>
          <w:p w14:paraId="233DA649" w14:textId="2AAFD46B" w:rsidR="00E61FDF" w:rsidRPr="00482874" w:rsidRDefault="00BB1A6D" w:rsidP="0058012D">
            <w:pPr>
              <w:jc w:val="right"/>
              <w:rPr>
                <w:rFonts w:ascii="CAIXA Std Book" w:hAnsi="CAIXA Std Book" w:cs="Arial"/>
                <w:color w:val="005CA9"/>
                <w:sz w:val="16"/>
                <w:szCs w:val="16"/>
              </w:rPr>
            </w:pPr>
            <w:r>
              <w:rPr>
                <w:rFonts w:ascii="CAIXA Std Book" w:hAnsi="CAIXA Std Book" w:cs="Arial"/>
                <w:color w:val="005CA9"/>
                <w:sz w:val="16"/>
                <w:szCs w:val="16"/>
              </w:rPr>
              <w:t>(</w:t>
            </w:r>
            <w:r w:rsidR="00E61FDF">
              <w:rPr>
                <w:rFonts w:ascii="CAIXA Std Book" w:hAnsi="CAIXA Std Book" w:cs="Arial"/>
                <w:color w:val="005CA9"/>
                <w:sz w:val="16"/>
                <w:szCs w:val="16"/>
              </w:rPr>
              <w:t>7.643</w:t>
            </w:r>
            <w:r>
              <w:rPr>
                <w:rFonts w:ascii="CAIXA Std Book" w:hAnsi="CAIXA Std Book" w:cs="Arial"/>
                <w:color w:val="005CA9"/>
                <w:sz w:val="16"/>
                <w:szCs w:val="16"/>
              </w:rPr>
              <w:t>)</w:t>
            </w:r>
          </w:p>
        </w:tc>
        <w:tc>
          <w:tcPr>
            <w:tcW w:w="384" w:type="pct"/>
            <w:tcBorders>
              <w:top w:val="nil"/>
              <w:left w:val="nil"/>
              <w:bottom w:val="nil"/>
              <w:right w:val="nil"/>
            </w:tcBorders>
            <w:shd w:val="clear" w:color="auto" w:fill="auto"/>
            <w:noWrap/>
            <w:vAlign w:val="center"/>
          </w:tcPr>
          <w:p w14:paraId="0F21093A" w14:textId="3B1A6471"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1.630.933</w:t>
            </w:r>
          </w:p>
        </w:tc>
        <w:tc>
          <w:tcPr>
            <w:tcW w:w="373" w:type="pct"/>
            <w:tcBorders>
              <w:top w:val="nil"/>
              <w:left w:val="nil"/>
              <w:bottom w:val="nil"/>
              <w:right w:val="nil"/>
            </w:tcBorders>
            <w:shd w:val="clear" w:color="auto" w:fill="auto"/>
            <w:noWrap/>
            <w:vAlign w:val="center"/>
            <w:hideMark/>
          </w:tcPr>
          <w:p w14:paraId="016BAD39" w14:textId="5D0FAD19"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1.008.253</w:t>
            </w:r>
          </w:p>
        </w:tc>
        <w:tc>
          <w:tcPr>
            <w:tcW w:w="484" w:type="pct"/>
            <w:tcBorders>
              <w:top w:val="nil"/>
              <w:left w:val="nil"/>
              <w:bottom w:val="nil"/>
              <w:right w:val="nil"/>
            </w:tcBorders>
            <w:shd w:val="clear" w:color="auto" w:fill="auto"/>
            <w:noWrap/>
            <w:vAlign w:val="center"/>
            <w:hideMark/>
          </w:tcPr>
          <w:p w14:paraId="1AE10B32" w14:textId="200E228B"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17.570</w:t>
            </w:r>
          </w:p>
        </w:tc>
        <w:tc>
          <w:tcPr>
            <w:tcW w:w="382" w:type="pct"/>
            <w:tcBorders>
              <w:top w:val="nil"/>
              <w:left w:val="nil"/>
              <w:bottom w:val="nil"/>
              <w:right w:val="nil"/>
            </w:tcBorders>
            <w:shd w:val="clear" w:color="auto" w:fill="auto"/>
            <w:noWrap/>
            <w:vAlign w:val="center"/>
            <w:hideMark/>
          </w:tcPr>
          <w:p w14:paraId="46774C70" w14:textId="6B827DC3"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1.025.823</w:t>
            </w:r>
          </w:p>
        </w:tc>
      </w:tr>
      <w:tr w:rsidR="00E61FDF" w:rsidRPr="002057D3" w14:paraId="37F02B68" w14:textId="77777777" w:rsidTr="00D370E3">
        <w:trPr>
          <w:trHeight w:val="283"/>
        </w:trPr>
        <w:tc>
          <w:tcPr>
            <w:tcW w:w="1045" w:type="pct"/>
            <w:tcBorders>
              <w:top w:val="nil"/>
              <w:left w:val="nil"/>
              <w:bottom w:val="nil"/>
              <w:right w:val="nil"/>
            </w:tcBorders>
            <w:shd w:val="clear" w:color="auto" w:fill="auto"/>
            <w:vAlign w:val="center"/>
            <w:hideMark/>
          </w:tcPr>
          <w:p w14:paraId="78738342"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Tesouro nacional/ securitizados</w:t>
            </w:r>
          </w:p>
        </w:tc>
        <w:tc>
          <w:tcPr>
            <w:tcW w:w="343" w:type="pct"/>
            <w:tcBorders>
              <w:top w:val="nil"/>
              <w:left w:val="nil"/>
              <w:bottom w:val="nil"/>
              <w:right w:val="nil"/>
            </w:tcBorders>
            <w:shd w:val="clear" w:color="auto" w:fill="auto"/>
            <w:vAlign w:val="center"/>
          </w:tcPr>
          <w:p w14:paraId="027F7830" w14:textId="3C6B01DA"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6F326AA1" w14:textId="6BD6DC46"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2B75847F" w14:textId="5E298B4E"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7C318E3C" w14:textId="69EA1029"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142A8C5C" w14:textId="2B81BB24"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180.663</w:t>
            </w:r>
          </w:p>
        </w:tc>
        <w:tc>
          <w:tcPr>
            <w:tcW w:w="373" w:type="pct"/>
            <w:tcBorders>
              <w:top w:val="nil"/>
              <w:left w:val="nil"/>
              <w:bottom w:val="nil"/>
              <w:right w:val="nil"/>
            </w:tcBorders>
            <w:shd w:val="clear" w:color="auto" w:fill="auto"/>
            <w:noWrap/>
            <w:vAlign w:val="center"/>
          </w:tcPr>
          <w:p w14:paraId="3F5762F0" w14:textId="17464C35"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185.140</w:t>
            </w:r>
          </w:p>
        </w:tc>
        <w:tc>
          <w:tcPr>
            <w:tcW w:w="357" w:type="pct"/>
            <w:tcBorders>
              <w:top w:val="nil"/>
              <w:left w:val="nil"/>
              <w:bottom w:val="nil"/>
              <w:right w:val="nil"/>
            </w:tcBorders>
            <w:shd w:val="clear" w:color="auto" w:fill="auto"/>
            <w:noWrap/>
            <w:vAlign w:val="center"/>
          </w:tcPr>
          <w:p w14:paraId="167B6FE6" w14:textId="7EE64107" w:rsidR="00E61FDF" w:rsidRPr="00482874" w:rsidRDefault="00BB1A6D" w:rsidP="0058012D">
            <w:pPr>
              <w:jc w:val="right"/>
              <w:rPr>
                <w:rFonts w:ascii="CAIXA Std Book" w:hAnsi="CAIXA Std Book" w:cs="Arial"/>
                <w:color w:val="005CA9"/>
                <w:sz w:val="16"/>
                <w:szCs w:val="16"/>
              </w:rPr>
            </w:pPr>
            <w:r>
              <w:rPr>
                <w:rFonts w:ascii="CAIXA Std Book" w:hAnsi="CAIXA Std Book" w:cs="Arial"/>
                <w:color w:val="005CA9"/>
                <w:sz w:val="16"/>
                <w:szCs w:val="16"/>
              </w:rPr>
              <w:t>(</w:t>
            </w:r>
            <w:r w:rsidR="00E61FDF">
              <w:rPr>
                <w:rFonts w:ascii="CAIXA Std Book" w:hAnsi="CAIXA Std Book" w:cs="Arial"/>
                <w:color w:val="005CA9"/>
                <w:sz w:val="16"/>
                <w:szCs w:val="16"/>
              </w:rPr>
              <w:t>4.477</w:t>
            </w:r>
            <w:r>
              <w:rPr>
                <w:rFonts w:ascii="CAIXA Std Book" w:hAnsi="CAIXA Std Book" w:cs="Arial"/>
                <w:color w:val="005CA9"/>
                <w:sz w:val="16"/>
                <w:szCs w:val="16"/>
              </w:rPr>
              <w:t>)</w:t>
            </w:r>
          </w:p>
        </w:tc>
        <w:tc>
          <w:tcPr>
            <w:tcW w:w="384" w:type="pct"/>
            <w:tcBorders>
              <w:top w:val="nil"/>
              <w:left w:val="nil"/>
              <w:bottom w:val="nil"/>
              <w:right w:val="nil"/>
            </w:tcBorders>
            <w:shd w:val="clear" w:color="auto" w:fill="auto"/>
            <w:noWrap/>
            <w:vAlign w:val="center"/>
          </w:tcPr>
          <w:p w14:paraId="188094D0" w14:textId="2206166A"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180.663</w:t>
            </w:r>
          </w:p>
        </w:tc>
        <w:tc>
          <w:tcPr>
            <w:tcW w:w="373" w:type="pct"/>
            <w:tcBorders>
              <w:top w:val="nil"/>
              <w:left w:val="nil"/>
              <w:bottom w:val="nil"/>
              <w:right w:val="nil"/>
            </w:tcBorders>
            <w:shd w:val="clear" w:color="auto" w:fill="auto"/>
            <w:noWrap/>
            <w:vAlign w:val="center"/>
            <w:hideMark/>
          </w:tcPr>
          <w:p w14:paraId="17D9A344" w14:textId="524A959F"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194.459</w:t>
            </w:r>
          </w:p>
        </w:tc>
        <w:tc>
          <w:tcPr>
            <w:tcW w:w="484" w:type="pct"/>
            <w:tcBorders>
              <w:top w:val="nil"/>
              <w:left w:val="nil"/>
              <w:bottom w:val="nil"/>
              <w:right w:val="nil"/>
            </w:tcBorders>
            <w:shd w:val="clear" w:color="auto" w:fill="auto"/>
            <w:noWrap/>
            <w:vAlign w:val="center"/>
            <w:hideMark/>
          </w:tcPr>
          <w:p w14:paraId="135927EB" w14:textId="125AE229"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(5.310)</w:t>
            </w:r>
          </w:p>
        </w:tc>
        <w:tc>
          <w:tcPr>
            <w:tcW w:w="382" w:type="pct"/>
            <w:tcBorders>
              <w:top w:val="nil"/>
              <w:left w:val="nil"/>
              <w:bottom w:val="nil"/>
              <w:right w:val="nil"/>
            </w:tcBorders>
            <w:shd w:val="clear" w:color="auto" w:fill="auto"/>
            <w:noWrap/>
            <w:vAlign w:val="center"/>
            <w:hideMark/>
          </w:tcPr>
          <w:p w14:paraId="5E5D2F65" w14:textId="5E586B40"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189.149</w:t>
            </w:r>
          </w:p>
        </w:tc>
      </w:tr>
      <w:tr w:rsidR="00E61FDF" w:rsidRPr="002057D3" w14:paraId="135327C5" w14:textId="77777777" w:rsidTr="00D370E3">
        <w:trPr>
          <w:trHeight w:val="283"/>
        </w:trPr>
        <w:tc>
          <w:tcPr>
            <w:tcW w:w="1045" w:type="pct"/>
            <w:tcBorders>
              <w:top w:val="nil"/>
              <w:left w:val="nil"/>
              <w:bottom w:val="nil"/>
              <w:right w:val="nil"/>
            </w:tcBorders>
            <w:shd w:val="clear" w:color="auto" w:fill="auto"/>
            <w:vAlign w:val="center"/>
            <w:hideMark/>
          </w:tcPr>
          <w:p w14:paraId="13BDF5F9" w14:textId="77777777" w:rsidR="00E61FDF" w:rsidRPr="00482874" w:rsidRDefault="00E61FDF" w:rsidP="00E61FDF">
            <w:pPr>
              <w:rPr>
                <w:rFonts w:ascii="CAIXA Std Book" w:eastAsia="Times New Roman" w:hAnsi="CAIXA Std Book" w:cs="Arial"/>
                <w:b/>
                <w:color w:val="005CA9"/>
                <w:sz w:val="16"/>
                <w:szCs w:val="16"/>
              </w:rPr>
            </w:pPr>
            <w:r w:rsidRPr="00482874">
              <w:rPr>
                <w:rFonts w:ascii="CAIXA Std Book" w:eastAsia="Times New Roman" w:hAnsi="CAIXA Std Book" w:cs="Arial"/>
                <w:b/>
                <w:color w:val="005CA9"/>
                <w:sz w:val="16"/>
                <w:szCs w:val="16"/>
              </w:rPr>
              <w:t>Títulos – empresas</w:t>
            </w:r>
          </w:p>
        </w:tc>
        <w:tc>
          <w:tcPr>
            <w:tcW w:w="343" w:type="pct"/>
            <w:tcBorders>
              <w:top w:val="nil"/>
              <w:left w:val="nil"/>
              <w:bottom w:val="nil"/>
              <w:right w:val="nil"/>
            </w:tcBorders>
            <w:shd w:val="clear" w:color="auto" w:fill="auto"/>
            <w:noWrap/>
            <w:vAlign w:val="center"/>
          </w:tcPr>
          <w:p w14:paraId="799205FB" w14:textId="77D283BB"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1.298.671</w:t>
            </w:r>
          </w:p>
        </w:tc>
        <w:tc>
          <w:tcPr>
            <w:tcW w:w="270" w:type="pct"/>
            <w:tcBorders>
              <w:top w:val="nil"/>
              <w:left w:val="nil"/>
              <w:bottom w:val="nil"/>
              <w:right w:val="nil"/>
            </w:tcBorders>
            <w:shd w:val="clear" w:color="auto" w:fill="auto"/>
            <w:noWrap/>
            <w:vAlign w:val="center"/>
          </w:tcPr>
          <w:p w14:paraId="71FC54AF" w14:textId="48B84936"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480.593</w:t>
            </w:r>
          </w:p>
        </w:tc>
        <w:tc>
          <w:tcPr>
            <w:tcW w:w="279" w:type="pct"/>
            <w:tcBorders>
              <w:top w:val="nil"/>
              <w:left w:val="nil"/>
              <w:bottom w:val="nil"/>
              <w:right w:val="nil"/>
            </w:tcBorders>
            <w:shd w:val="clear" w:color="auto" w:fill="auto"/>
            <w:vAlign w:val="center"/>
          </w:tcPr>
          <w:p w14:paraId="5290E795" w14:textId="2C5B0990"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283.041</w:t>
            </w:r>
          </w:p>
        </w:tc>
        <w:tc>
          <w:tcPr>
            <w:tcW w:w="320" w:type="pct"/>
            <w:tcBorders>
              <w:top w:val="nil"/>
              <w:left w:val="nil"/>
              <w:bottom w:val="nil"/>
              <w:right w:val="nil"/>
            </w:tcBorders>
            <w:shd w:val="clear" w:color="auto" w:fill="auto"/>
            <w:noWrap/>
            <w:vAlign w:val="center"/>
          </w:tcPr>
          <w:p w14:paraId="7849A9FE" w14:textId="522A5ACC"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871.188</w:t>
            </w:r>
          </w:p>
        </w:tc>
        <w:tc>
          <w:tcPr>
            <w:tcW w:w="388" w:type="pct"/>
            <w:tcBorders>
              <w:top w:val="nil"/>
              <w:left w:val="nil"/>
              <w:bottom w:val="nil"/>
              <w:right w:val="nil"/>
            </w:tcBorders>
            <w:shd w:val="clear" w:color="auto" w:fill="auto"/>
            <w:noWrap/>
            <w:vAlign w:val="center"/>
          </w:tcPr>
          <w:p w14:paraId="3D0B6F2F" w14:textId="5B0A13BF"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11.523.630</w:t>
            </w:r>
          </w:p>
        </w:tc>
        <w:tc>
          <w:tcPr>
            <w:tcW w:w="373" w:type="pct"/>
            <w:tcBorders>
              <w:top w:val="nil"/>
              <w:left w:val="nil"/>
              <w:bottom w:val="nil"/>
              <w:right w:val="nil"/>
            </w:tcBorders>
            <w:shd w:val="clear" w:color="auto" w:fill="auto"/>
            <w:noWrap/>
            <w:vAlign w:val="center"/>
          </w:tcPr>
          <w:p w14:paraId="7AB525ED" w14:textId="3D145451"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13.236.513</w:t>
            </w:r>
          </w:p>
        </w:tc>
        <w:tc>
          <w:tcPr>
            <w:tcW w:w="357" w:type="pct"/>
            <w:tcBorders>
              <w:top w:val="nil"/>
              <w:left w:val="nil"/>
              <w:bottom w:val="nil"/>
              <w:right w:val="nil"/>
            </w:tcBorders>
            <w:shd w:val="clear" w:color="auto" w:fill="auto"/>
            <w:noWrap/>
            <w:vAlign w:val="center"/>
          </w:tcPr>
          <w:p w14:paraId="127CFCB9" w14:textId="4862E587"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1.220.610</w:t>
            </w:r>
          </w:p>
        </w:tc>
        <w:tc>
          <w:tcPr>
            <w:tcW w:w="384" w:type="pct"/>
            <w:tcBorders>
              <w:top w:val="nil"/>
              <w:left w:val="nil"/>
              <w:bottom w:val="nil"/>
              <w:right w:val="nil"/>
            </w:tcBorders>
            <w:shd w:val="clear" w:color="auto" w:fill="auto"/>
            <w:noWrap/>
            <w:vAlign w:val="center"/>
          </w:tcPr>
          <w:p w14:paraId="5FF7EFFD" w14:textId="1107761E"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14.457.123</w:t>
            </w:r>
          </w:p>
        </w:tc>
        <w:tc>
          <w:tcPr>
            <w:tcW w:w="373" w:type="pct"/>
            <w:tcBorders>
              <w:top w:val="nil"/>
              <w:left w:val="nil"/>
              <w:bottom w:val="nil"/>
              <w:right w:val="nil"/>
            </w:tcBorders>
            <w:shd w:val="clear" w:color="auto" w:fill="auto"/>
            <w:noWrap/>
            <w:vAlign w:val="center"/>
            <w:hideMark/>
          </w:tcPr>
          <w:p w14:paraId="45BEB23F" w14:textId="6719778E"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12.386.605</w:t>
            </w:r>
          </w:p>
        </w:tc>
        <w:tc>
          <w:tcPr>
            <w:tcW w:w="484" w:type="pct"/>
            <w:tcBorders>
              <w:top w:val="nil"/>
              <w:left w:val="nil"/>
              <w:bottom w:val="nil"/>
              <w:right w:val="nil"/>
            </w:tcBorders>
            <w:shd w:val="clear" w:color="auto" w:fill="auto"/>
            <w:noWrap/>
            <w:vAlign w:val="center"/>
            <w:hideMark/>
          </w:tcPr>
          <w:p w14:paraId="3FC905F6" w14:textId="14BD7FAC"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1.110.113</w:t>
            </w:r>
          </w:p>
        </w:tc>
        <w:tc>
          <w:tcPr>
            <w:tcW w:w="382" w:type="pct"/>
            <w:tcBorders>
              <w:top w:val="nil"/>
              <w:left w:val="nil"/>
              <w:bottom w:val="nil"/>
              <w:right w:val="nil"/>
            </w:tcBorders>
            <w:shd w:val="clear" w:color="auto" w:fill="auto"/>
            <w:noWrap/>
            <w:vAlign w:val="center"/>
            <w:hideMark/>
          </w:tcPr>
          <w:p w14:paraId="1DF67780" w14:textId="1F6832A3"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13.496.718</w:t>
            </w:r>
          </w:p>
        </w:tc>
      </w:tr>
      <w:tr w:rsidR="00E61FDF" w:rsidRPr="002057D3" w14:paraId="6A0AC04A" w14:textId="77777777" w:rsidTr="00D370E3">
        <w:trPr>
          <w:trHeight w:val="283"/>
        </w:trPr>
        <w:tc>
          <w:tcPr>
            <w:tcW w:w="1045" w:type="pct"/>
            <w:tcBorders>
              <w:top w:val="nil"/>
              <w:left w:val="nil"/>
              <w:bottom w:val="nil"/>
              <w:right w:val="nil"/>
            </w:tcBorders>
            <w:shd w:val="clear" w:color="auto" w:fill="auto"/>
            <w:vAlign w:val="center"/>
            <w:hideMark/>
          </w:tcPr>
          <w:p w14:paraId="782961DE"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Debêntures</w:t>
            </w:r>
          </w:p>
        </w:tc>
        <w:tc>
          <w:tcPr>
            <w:tcW w:w="343" w:type="pct"/>
            <w:tcBorders>
              <w:top w:val="nil"/>
              <w:left w:val="nil"/>
              <w:bottom w:val="nil"/>
              <w:right w:val="nil"/>
            </w:tcBorders>
            <w:shd w:val="clear" w:color="auto" w:fill="auto"/>
            <w:vAlign w:val="center"/>
          </w:tcPr>
          <w:p w14:paraId="669C6F6B" w14:textId="5E25D995"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1A6B39C2" w14:textId="776AC988"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46.561</w:t>
            </w:r>
          </w:p>
        </w:tc>
        <w:tc>
          <w:tcPr>
            <w:tcW w:w="279" w:type="pct"/>
            <w:tcBorders>
              <w:top w:val="nil"/>
              <w:left w:val="nil"/>
              <w:bottom w:val="nil"/>
              <w:right w:val="nil"/>
            </w:tcBorders>
            <w:shd w:val="clear" w:color="auto" w:fill="auto"/>
            <w:vAlign w:val="center"/>
          </w:tcPr>
          <w:p w14:paraId="06AB58E9" w14:textId="7C572FDD"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1E9391CF" w14:textId="5F25A0A4"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1E4D6CDF" w14:textId="6306A299"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5.750.942</w:t>
            </w:r>
          </w:p>
        </w:tc>
        <w:tc>
          <w:tcPr>
            <w:tcW w:w="373" w:type="pct"/>
            <w:tcBorders>
              <w:top w:val="nil"/>
              <w:left w:val="nil"/>
              <w:bottom w:val="nil"/>
              <w:right w:val="nil"/>
            </w:tcBorders>
            <w:shd w:val="clear" w:color="auto" w:fill="auto"/>
            <w:noWrap/>
            <w:vAlign w:val="center"/>
          </w:tcPr>
          <w:p w14:paraId="1B56631B" w14:textId="4FB9A140"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5.726.702</w:t>
            </w:r>
          </w:p>
        </w:tc>
        <w:tc>
          <w:tcPr>
            <w:tcW w:w="357" w:type="pct"/>
            <w:tcBorders>
              <w:top w:val="nil"/>
              <w:left w:val="nil"/>
              <w:bottom w:val="nil"/>
              <w:right w:val="nil"/>
            </w:tcBorders>
            <w:shd w:val="clear" w:color="auto" w:fill="auto"/>
            <w:noWrap/>
            <w:vAlign w:val="center"/>
          </w:tcPr>
          <w:p w14:paraId="5C24D035" w14:textId="0E17B1CF"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70.801</w:t>
            </w:r>
          </w:p>
        </w:tc>
        <w:tc>
          <w:tcPr>
            <w:tcW w:w="384" w:type="pct"/>
            <w:tcBorders>
              <w:top w:val="nil"/>
              <w:left w:val="nil"/>
              <w:bottom w:val="nil"/>
              <w:right w:val="nil"/>
            </w:tcBorders>
            <w:shd w:val="clear" w:color="auto" w:fill="auto"/>
            <w:noWrap/>
            <w:vAlign w:val="center"/>
          </w:tcPr>
          <w:p w14:paraId="0B547373" w14:textId="17F5491D"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5.797.503</w:t>
            </w:r>
          </w:p>
        </w:tc>
        <w:tc>
          <w:tcPr>
            <w:tcW w:w="373" w:type="pct"/>
            <w:tcBorders>
              <w:top w:val="nil"/>
              <w:left w:val="nil"/>
              <w:bottom w:val="nil"/>
              <w:right w:val="nil"/>
            </w:tcBorders>
            <w:shd w:val="clear" w:color="auto" w:fill="auto"/>
            <w:noWrap/>
            <w:vAlign w:val="center"/>
            <w:hideMark/>
          </w:tcPr>
          <w:p w14:paraId="41DDAF5C" w14:textId="55FD8C33"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4.928.436</w:t>
            </w:r>
          </w:p>
        </w:tc>
        <w:tc>
          <w:tcPr>
            <w:tcW w:w="484" w:type="pct"/>
            <w:tcBorders>
              <w:top w:val="nil"/>
              <w:left w:val="nil"/>
              <w:bottom w:val="nil"/>
              <w:right w:val="nil"/>
            </w:tcBorders>
            <w:shd w:val="clear" w:color="auto" w:fill="auto"/>
            <w:noWrap/>
            <w:vAlign w:val="center"/>
            <w:hideMark/>
          </w:tcPr>
          <w:p w14:paraId="709D392E" w14:textId="7AF86886"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(2.511)</w:t>
            </w:r>
          </w:p>
        </w:tc>
        <w:tc>
          <w:tcPr>
            <w:tcW w:w="382" w:type="pct"/>
            <w:tcBorders>
              <w:top w:val="nil"/>
              <w:left w:val="nil"/>
              <w:bottom w:val="nil"/>
              <w:right w:val="nil"/>
            </w:tcBorders>
            <w:shd w:val="clear" w:color="auto" w:fill="auto"/>
            <w:noWrap/>
            <w:vAlign w:val="center"/>
            <w:hideMark/>
          </w:tcPr>
          <w:p w14:paraId="5AA794F7" w14:textId="69A91416"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4.925.925</w:t>
            </w:r>
          </w:p>
        </w:tc>
      </w:tr>
      <w:tr w:rsidR="00E61FDF" w:rsidRPr="002057D3" w14:paraId="74FD1AAA" w14:textId="77777777" w:rsidTr="00D370E3">
        <w:trPr>
          <w:trHeight w:val="283"/>
        </w:trPr>
        <w:tc>
          <w:tcPr>
            <w:tcW w:w="1045" w:type="pct"/>
            <w:tcBorders>
              <w:top w:val="nil"/>
              <w:left w:val="nil"/>
              <w:bottom w:val="nil"/>
              <w:right w:val="nil"/>
            </w:tcBorders>
            <w:shd w:val="clear" w:color="auto" w:fill="auto"/>
            <w:vAlign w:val="center"/>
            <w:hideMark/>
          </w:tcPr>
          <w:p w14:paraId="397FBAB0"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Nota Promissória</w:t>
            </w:r>
          </w:p>
        </w:tc>
        <w:tc>
          <w:tcPr>
            <w:tcW w:w="343" w:type="pct"/>
            <w:tcBorders>
              <w:top w:val="nil"/>
              <w:left w:val="nil"/>
              <w:bottom w:val="nil"/>
              <w:right w:val="nil"/>
            </w:tcBorders>
            <w:shd w:val="clear" w:color="auto" w:fill="auto"/>
            <w:vAlign w:val="center"/>
          </w:tcPr>
          <w:p w14:paraId="7429C9AD" w14:textId="0F375213"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022AE697" w14:textId="3748EFFD"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39004264" w14:textId="14D3517D"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42DCE255" w14:textId="6D5D3159"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2EE3A88E" w14:textId="143CCE36"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232.883</w:t>
            </w:r>
          </w:p>
        </w:tc>
        <w:tc>
          <w:tcPr>
            <w:tcW w:w="373" w:type="pct"/>
            <w:tcBorders>
              <w:top w:val="nil"/>
              <w:left w:val="nil"/>
              <w:bottom w:val="nil"/>
              <w:right w:val="nil"/>
            </w:tcBorders>
            <w:shd w:val="clear" w:color="auto" w:fill="auto"/>
            <w:noWrap/>
            <w:vAlign w:val="center"/>
          </w:tcPr>
          <w:p w14:paraId="6EC6199D" w14:textId="014C0AA1"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231.818</w:t>
            </w:r>
          </w:p>
        </w:tc>
        <w:tc>
          <w:tcPr>
            <w:tcW w:w="357" w:type="pct"/>
            <w:tcBorders>
              <w:top w:val="nil"/>
              <w:left w:val="nil"/>
              <w:bottom w:val="nil"/>
              <w:right w:val="nil"/>
            </w:tcBorders>
            <w:shd w:val="clear" w:color="auto" w:fill="auto"/>
            <w:noWrap/>
            <w:vAlign w:val="center"/>
          </w:tcPr>
          <w:p w14:paraId="40D1878F" w14:textId="0B1D2BE0"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1.065</w:t>
            </w:r>
          </w:p>
        </w:tc>
        <w:tc>
          <w:tcPr>
            <w:tcW w:w="384" w:type="pct"/>
            <w:tcBorders>
              <w:top w:val="nil"/>
              <w:left w:val="nil"/>
              <w:bottom w:val="nil"/>
              <w:right w:val="nil"/>
            </w:tcBorders>
            <w:shd w:val="clear" w:color="auto" w:fill="auto"/>
            <w:noWrap/>
            <w:vAlign w:val="center"/>
          </w:tcPr>
          <w:p w14:paraId="414A459A" w14:textId="31694BFB"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232.883</w:t>
            </w:r>
          </w:p>
        </w:tc>
        <w:tc>
          <w:tcPr>
            <w:tcW w:w="373" w:type="pct"/>
            <w:tcBorders>
              <w:top w:val="nil"/>
              <w:left w:val="nil"/>
              <w:bottom w:val="nil"/>
              <w:right w:val="nil"/>
            </w:tcBorders>
            <w:shd w:val="clear" w:color="auto" w:fill="auto"/>
            <w:noWrap/>
            <w:vAlign w:val="center"/>
            <w:hideMark/>
          </w:tcPr>
          <w:p w14:paraId="595CF7D1" w14:textId="73DBFB18"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224.261</w:t>
            </w:r>
          </w:p>
        </w:tc>
        <w:tc>
          <w:tcPr>
            <w:tcW w:w="484" w:type="pct"/>
            <w:tcBorders>
              <w:top w:val="nil"/>
              <w:left w:val="nil"/>
              <w:bottom w:val="nil"/>
              <w:right w:val="nil"/>
            </w:tcBorders>
            <w:shd w:val="clear" w:color="auto" w:fill="auto"/>
            <w:noWrap/>
            <w:vAlign w:val="center"/>
            <w:hideMark/>
          </w:tcPr>
          <w:p w14:paraId="5E9BE2B8" w14:textId="0B613F66"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1.000</w:t>
            </w:r>
          </w:p>
        </w:tc>
        <w:tc>
          <w:tcPr>
            <w:tcW w:w="382" w:type="pct"/>
            <w:tcBorders>
              <w:top w:val="nil"/>
              <w:left w:val="nil"/>
              <w:bottom w:val="nil"/>
              <w:right w:val="nil"/>
            </w:tcBorders>
            <w:shd w:val="clear" w:color="auto" w:fill="auto"/>
            <w:noWrap/>
            <w:vAlign w:val="center"/>
            <w:hideMark/>
          </w:tcPr>
          <w:p w14:paraId="1D5585DC" w14:textId="59040565"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225.261</w:t>
            </w:r>
          </w:p>
        </w:tc>
      </w:tr>
      <w:tr w:rsidR="00E61FDF" w:rsidRPr="002057D3" w14:paraId="5063E485" w14:textId="77777777" w:rsidTr="00D370E3">
        <w:trPr>
          <w:trHeight w:val="283"/>
        </w:trPr>
        <w:tc>
          <w:tcPr>
            <w:tcW w:w="1045" w:type="pct"/>
            <w:tcBorders>
              <w:top w:val="nil"/>
              <w:left w:val="nil"/>
              <w:bottom w:val="nil"/>
              <w:right w:val="nil"/>
            </w:tcBorders>
            <w:shd w:val="clear" w:color="auto" w:fill="auto"/>
            <w:vAlign w:val="center"/>
            <w:hideMark/>
          </w:tcPr>
          <w:p w14:paraId="2CF4F27B"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Cotas de fundos</w:t>
            </w:r>
          </w:p>
        </w:tc>
        <w:tc>
          <w:tcPr>
            <w:tcW w:w="343" w:type="pct"/>
            <w:tcBorders>
              <w:top w:val="nil"/>
              <w:left w:val="nil"/>
              <w:bottom w:val="nil"/>
              <w:right w:val="nil"/>
            </w:tcBorders>
            <w:shd w:val="clear" w:color="auto" w:fill="auto"/>
            <w:vAlign w:val="center"/>
          </w:tcPr>
          <w:p w14:paraId="4C0722F0" w14:textId="334D436A"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1.287.733</w:t>
            </w:r>
          </w:p>
        </w:tc>
        <w:tc>
          <w:tcPr>
            <w:tcW w:w="270" w:type="pct"/>
            <w:tcBorders>
              <w:top w:val="nil"/>
              <w:left w:val="nil"/>
              <w:bottom w:val="nil"/>
              <w:right w:val="nil"/>
            </w:tcBorders>
            <w:shd w:val="clear" w:color="auto" w:fill="auto"/>
            <w:noWrap/>
            <w:vAlign w:val="center"/>
          </w:tcPr>
          <w:p w14:paraId="48D42B40" w14:textId="065F7CD8"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03060C21" w14:textId="31609EA5"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0E8C1CD5" w14:textId="0403436A"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303ABE0B" w14:textId="3E7CF3EF"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1.048.123</w:t>
            </w:r>
          </w:p>
        </w:tc>
        <w:tc>
          <w:tcPr>
            <w:tcW w:w="373" w:type="pct"/>
            <w:tcBorders>
              <w:top w:val="nil"/>
              <w:left w:val="nil"/>
              <w:bottom w:val="nil"/>
              <w:right w:val="nil"/>
            </w:tcBorders>
            <w:shd w:val="clear" w:color="auto" w:fill="auto"/>
            <w:noWrap/>
            <w:vAlign w:val="center"/>
          </w:tcPr>
          <w:p w14:paraId="58997B58" w14:textId="52F92843"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1.270.709</w:t>
            </w:r>
          </w:p>
        </w:tc>
        <w:tc>
          <w:tcPr>
            <w:tcW w:w="357" w:type="pct"/>
            <w:tcBorders>
              <w:top w:val="nil"/>
              <w:left w:val="nil"/>
              <w:bottom w:val="nil"/>
              <w:right w:val="nil"/>
            </w:tcBorders>
            <w:shd w:val="clear" w:color="auto" w:fill="auto"/>
            <w:noWrap/>
            <w:vAlign w:val="center"/>
          </w:tcPr>
          <w:p w14:paraId="131DC686" w14:textId="4B9DED44"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1.065.147</w:t>
            </w:r>
          </w:p>
        </w:tc>
        <w:tc>
          <w:tcPr>
            <w:tcW w:w="384" w:type="pct"/>
            <w:tcBorders>
              <w:top w:val="nil"/>
              <w:left w:val="nil"/>
              <w:bottom w:val="nil"/>
              <w:right w:val="nil"/>
            </w:tcBorders>
            <w:shd w:val="clear" w:color="auto" w:fill="auto"/>
            <w:noWrap/>
            <w:vAlign w:val="center"/>
          </w:tcPr>
          <w:p w14:paraId="7855B734" w14:textId="28DD32B2"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2.335.856</w:t>
            </w:r>
          </w:p>
        </w:tc>
        <w:tc>
          <w:tcPr>
            <w:tcW w:w="373" w:type="pct"/>
            <w:tcBorders>
              <w:top w:val="nil"/>
              <w:left w:val="nil"/>
              <w:bottom w:val="nil"/>
              <w:right w:val="nil"/>
            </w:tcBorders>
            <w:shd w:val="clear" w:color="auto" w:fill="auto"/>
            <w:noWrap/>
            <w:vAlign w:val="center"/>
            <w:hideMark/>
          </w:tcPr>
          <w:p w14:paraId="0B622C65" w14:textId="03DCE5BE"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1.270.709</w:t>
            </w:r>
          </w:p>
        </w:tc>
        <w:tc>
          <w:tcPr>
            <w:tcW w:w="484" w:type="pct"/>
            <w:tcBorders>
              <w:top w:val="nil"/>
              <w:left w:val="nil"/>
              <w:bottom w:val="nil"/>
              <w:right w:val="nil"/>
            </w:tcBorders>
            <w:shd w:val="clear" w:color="auto" w:fill="auto"/>
            <w:noWrap/>
            <w:vAlign w:val="center"/>
            <w:hideMark/>
          </w:tcPr>
          <w:p w14:paraId="504DE4C0" w14:textId="0F401C1D"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987.545</w:t>
            </w:r>
          </w:p>
        </w:tc>
        <w:tc>
          <w:tcPr>
            <w:tcW w:w="382" w:type="pct"/>
            <w:tcBorders>
              <w:top w:val="nil"/>
              <w:left w:val="nil"/>
              <w:bottom w:val="nil"/>
              <w:right w:val="nil"/>
            </w:tcBorders>
            <w:shd w:val="clear" w:color="auto" w:fill="auto"/>
            <w:noWrap/>
            <w:vAlign w:val="center"/>
            <w:hideMark/>
          </w:tcPr>
          <w:p w14:paraId="574D6D38" w14:textId="2AD4B395"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2.258.254</w:t>
            </w:r>
          </w:p>
        </w:tc>
      </w:tr>
      <w:tr w:rsidR="00E61FDF" w:rsidRPr="002057D3" w14:paraId="11CD2C3A" w14:textId="77777777" w:rsidTr="00D370E3">
        <w:trPr>
          <w:trHeight w:val="283"/>
        </w:trPr>
        <w:tc>
          <w:tcPr>
            <w:tcW w:w="1045" w:type="pct"/>
            <w:tcBorders>
              <w:top w:val="nil"/>
              <w:left w:val="nil"/>
              <w:bottom w:val="nil"/>
              <w:right w:val="nil"/>
            </w:tcBorders>
            <w:shd w:val="clear" w:color="auto" w:fill="auto"/>
            <w:vAlign w:val="center"/>
            <w:hideMark/>
          </w:tcPr>
          <w:p w14:paraId="2342A0BA"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Certificado de recebíveis imobiliários</w:t>
            </w:r>
          </w:p>
        </w:tc>
        <w:tc>
          <w:tcPr>
            <w:tcW w:w="343" w:type="pct"/>
            <w:tcBorders>
              <w:top w:val="nil"/>
              <w:left w:val="nil"/>
              <w:bottom w:val="nil"/>
              <w:right w:val="nil"/>
            </w:tcBorders>
            <w:shd w:val="clear" w:color="auto" w:fill="auto"/>
            <w:noWrap/>
            <w:vAlign w:val="center"/>
          </w:tcPr>
          <w:p w14:paraId="4E1CD450" w14:textId="6222EA0E"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4309EB9C" w14:textId="125F9224"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23994C63" w14:textId="0DD88811"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6EA0A4BF" w14:textId="67157C18"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23DD34DD" w14:textId="37098538"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1.339.931</w:t>
            </w:r>
          </w:p>
        </w:tc>
        <w:tc>
          <w:tcPr>
            <w:tcW w:w="373" w:type="pct"/>
            <w:tcBorders>
              <w:top w:val="nil"/>
              <w:left w:val="nil"/>
              <w:bottom w:val="nil"/>
              <w:right w:val="nil"/>
            </w:tcBorders>
            <w:shd w:val="clear" w:color="auto" w:fill="auto"/>
            <w:noWrap/>
            <w:vAlign w:val="center"/>
          </w:tcPr>
          <w:p w14:paraId="7841D753" w14:textId="0EBE7160"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1.325.780</w:t>
            </w:r>
          </w:p>
        </w:tc>
        <w:tc>
          <w:tcPr>
            <w:tcW w:w="357" w:type="pct"/>
            <w:tcBorders>
              <w:top w:val="nil"/>
              <w:left w:val="nil"/>
              <w:bottom w:val="nil"/>
              <w:right w:val="nil"/>
            </w:tcBorders>
            <w:shd w:val="clear" w:color="auto" w:fill="auto"/>
            <w:noWrap/>
            <w:vAlign w:val="center"/>
          </w:tcPr>
          <w:p w14:paraId="10EE9194" w14:textId="74B061CD"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14.151</w:t>
            </w:r>
          </w:p>
        </w:tc>
        <w:tc>
          <w:tcPr>
            <w:tcW w:w="384" w:type="pct"/>
            <w:tcBorders>
              <w:top w:val="nil"/>
              <w:left w:val="nil"/>
              <w:bottom w:val="nil"/>
              <w:right w:val="nil"/>
            </w:tcBorders>
            <w:shd w:val="clear" w:color="auto" w:fill="auto"/>
            <w:noWrap/>
            <w:vAlign w:val="center"/>
          </w:tcPr>
          <w:p w14:paraId="2B538926" w14:textId="2836106D"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1.339.931</w:t>
            </w:r>
          </w:p>
        </w:tc>
        <w:tc>
          <w:tcPr>
            <w:tcW w:w="373" w:type="pct"/>
            <w:tcBorders>
              <w:top w:val="nil"/>
              <w:left w:val="nil"/>
              <w:bottom w:val="nil"/>
              <w:right w:val="nil"/>
            </w:tcBorders>
            <w:shd w:val="clear" w:color="auto" w:fill="auto"/>
            <w:noWrap/>
            <w:vAlign w:val="center"/>
            <w:hideMark/>
          </w:tcPr>
          <w:p w14:paraId="3EC13AFD" w14:textId="3516E752"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1.317.659</w:t>
            </w:r>
          </w:p>
        </w:tc>
        <w:tc>
          <w:tcPr>
            <w:tcW w:w="484" w:type="pct"/>
            <w:tcBorders>
              <w:top w:val="nil"/>
              <w:left w:val="nil"/>
              <w:bottom w:val="nil"/>
              <w:right w:val="nil"/>
            </w:tcBorders>
            <w:shd w:val="clear" w:color="auto" w:fill="auto"/>
            <w:noWrap/>
            <w:vAlign w:val="center"/>
            <w:hideMark/>
          </w:tcPr>
          <w:p w14:paraId="1600E0FE" w14:textId="1ABD992D"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53.361</w:t>
            </w:r>
          </w:p>
        </w:tc>
        <w:tc>
          <w:tcPr>
            <w:tcW w:w="382" w:type="pct"/>
            <w:tcBorders>
              <w:top w:val="nil"/>
              <w:left w:val="nil"/>
              <w:bottom w:val="nil"/>
              <w:right w:val="nil"/>
            </w:tcBorders>
            <w:shd w:val="clear" w:color="auto" w:fill="auto"/>
            <w:noWrap/>
            <w:vAlign w:val="center"/>
            <w:hideMark/>
          </w:tcPr>
          <w:p w14:paraId="3AC42506" w14:textId="77DC8FE5"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1.371.020</w:t>
            </w:r>
          </w:p>
        </w:tc>
      </w:tr>
      <w:tr w:rsidR="00E61FDF" w:rsidRPr="002057D3" w14:paraId="005688EC" w14:textId="77777777" w:rsidTr="00D370E3">
        <w:trPr>
          <w:trHeight w:val="283"/>
        </w:trPr>
        <w:tc>
          <w:tcPr>
            <w:tcW w:w="1045" w:type="pct"/>
            <w:tcBorders>
              <w:top w:val="nil"/>
              <w:left w:val="nil"/>
              <w:bottom w:val="nil"/>
              <w:right w:val="nil"/>
            </w:tcBorders>
            <w:shd w:val="clear" w:color="auto" w:fill="auto"/>
            <w:vAlign w:val="center"/>
            <w:hideMark/>
          </w:tcPr>
          <w:p w14:paraId="072666C5" w14:textId="77777777"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Ações</w:t>
            </w:r>
          </w:p>
        </w:tc>
        <w:tc>
          <w:tcPr>
            <w:tcW w:w="343" w:type="pct"/>
            <w:tcBorders>
              <w:top w:val="nil"/>
              <w:left w:val="nil"/>
              <w:bottom w:val="nil"/>
              <w:right w:val="nil"/>
            </w:tcBorders>
            <w:shd w:val="clear" w:color="auto" w:fill="auto"/>
            <w:vAlign w:val="center"/>
          </w:tcPr>
          <w:p w14:paraId="674141CC" w14:textId="20C48E76"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10.938</w:t>
            </w:r>
          </w:p>
        </w:tc>
        <w:tc>
          <w:tcPr>
            <w:tcW w:w="270" w:type="pct"/>
            <w:tcBorders>
              <w:top w:val="nil"/>
              <w:left w:val="nil"/>
              <w:bottom w:val="nil"/>
              <w:right w:val="nil"/>
            </w:tcBorders>
            <w:shd w:val="clear" w:color="auto" w:fill="auto"/>
            <w:noWrap/>
            <w:vAlign w:val="center"/>
          </w:tcPr>
          <w:p w14:paraId="4D860BB8" w14:textId="452BC7DA"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nil"/>
              <w:right w:val="nil"/>
            </w:tcBorders>
            <w:shd w:val="clear" w:color="auto" w:fill="auto"/>
            <w:vAlign w:val="center"/>
          </w:tcPr>
          <w:p w14:paraId="12615D46" w14:textId="54807362"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nil"/>
              <w:right w:val="nil"/>
            </w:tcBorders>
            <w:shd w:val="clear" w:color="auto" w:fill="auto"/>
            <w:vAlign w:val="center"/>
          </w:tcPr>
          <w:p w14:paraId="2A7C7F2A" w14:textId="06E21D75"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nil"/>
              <w:right w:val="nil"/>
            </w:tcBorders>
            <w:shd w:val="clear" w:color="auto" w:fill="auto"/>
            <w:vAlign w:val="center"/>
          </w:tcPr>
          <w:p w14:paraId="052748A0" w14:textId="6BC7C404"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73" w:type="pct"/>
            <w:tcBorders>
              <w:top w:val="nil"/>
              <w:left w:val="nil"/>
              <w:bottom w:val="nil"/>
              <w:right w:val="nil"/>
            </w:tcBorders>
            <w:shd w:val="clear" w:color="auto" w:fill="auto"/>
            <w:noWrap/>
            <w:vAlign w:val="center"/>
          </w:tcPr>
          <w:p w14:paraId="4F19D7D9" w14:textId="4B175AAD"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13.585</w:t>
            </w:r>
          </w:p>
        </w:tc>
        <w:tc>
          <w:tcPr>
            <w:tcW w:w="357" w:type="pct"/>
            <w:tcBorders>
              <w:top w:val="nil"/>
              <w:left w:val="nil"/>
              <w:bottom w:val="nil"/>
              <w:right w:val="nil"/>
            </w:tcBorders>
            <w:shd w:val="clear" w:color="auto" w:fill="auto"/>
            <w:noWrap/>
            <w:vAlign w:val="center"/>
          </w:tcPr>
          <w:p w14:paraId="2D7A82BD" w14:textId="59FE8A4B" w:rsidR="00E61FDF" w:rsidRPr="00482874" w:rsidRDefault="00BB1A6D" w:rsidP="0058012D">
            <w:pPr>
              <w:jc w:val="right"/>
              <w:rPr>
                <w:rFonts w:ascii="CAIXA Std Book" w:hAnsi="CAIXA Std Book" w:cs="Arial"/>
                <w:color w:val="005CA9"/>
                <w:sz w:val="16"/>
                <w:szCs w:val="16"/>
              </w:rPr>
            </w:pPr>
            <w:r>
              <w:rPr>
                <w:rFonts w:ascii="CAIXA Std Book" w:hAnsi="CAIXA Std Book" w:cs="Arial"/>
                <w:color w:val="005CA9"/>
                <w:sz w:val="16"/>
                <w:szCs w:val="16"/>
              </w:rPr>
              <w:t>(</w:t>
            </w:r>
            <w:r w:rsidR="00E61FDF">
              <w:rPr>
                <w:rFonts w:ascii="CAIXA Std Book" w:hAnsi="CAIXA Std Book" w:cs="Arial"/>
                <w:color w:val="005CA9"/>
                <w:sz w:val="16"/>
                <w:szCs w:val="16"/>
              </w:rPr>
              <w:t>2.647</w:t>
            </w:r>
            <w:r>
              <w:rPr>
                <w:rFonts w:ascii="CAIXA Std Book" w:hAnsi="CAIXA Std Book" w:cs="Arial"/>
                <w:color w:val="005CA9"/>
                <w:sz w:val="16"/>
                <w:szCs w:val="16"/>
              </w:rPr>
              <w:t>)</w:t>
            </w:r>
          </w:p>
        </w:tc>
        <w:tc>
          <w:tcPr>
            <w:tcW w:w="384" w:type="pct"/>
            <w:tcBorders>
              <w:top w:val="nil"/>
              <w:left w:val="nil"/>
              <w:bottom w:val="nil"/>
              <w:right w:val="nil"/>
            </w:tcBorders>
            <w:shd w:val="clear" w:color="auto" w:fill="auto"/>
            <w:noWrap/>
            <w:vAlign w:val="center"/>
          </w:tcPr>
          <w:p w14:paraId="4FF65D82" w14:textId="13AE735F"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10.938</w:t>
            </w:r>
          </w:p>
        </w:tc>
        <w:tc>
          <w:tcPr>
            <w:tcW w:w="373" w:type="pct"/>
            <w:tcBorders>
              <w:top w:val="nil"/>
              <w:left w:val="nil"/>
              <w:bottom w:val="nil"/>
              <w:right w:val="nil"/>
            </w:tcBorders>
            <w:shd w:val="clear" w:color="auto" w:fill="auto"/>
            <w:noWrap/>
            <w:vAlign w:val="center"/>
            <w:hideMark/>
          </w:tcPr>
          <w:p w14:paraId="396E1DB1" w14:textId="7F495A19"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24.206</w:t>
            </w:r>
          </w:p>
        </w:tc>
        <w:tc>
          <w:tcPr>
            <w:tcW w:w="484" w:type="pct"/>
            <w:tcBorders>
              <w:top w:val="nil"/>
              <w:left w:val="nil"/>
              <w:bottom w:val="nil"/>
              <w:right w:val="nil"/>
            </w:tcBorders>
            <w:shd w:val="clear" w:color="auto" w:fill="auto"/>
            <w:noWrap/>
            <w:vAlign w:val="center"/>
            <w:hideMark/>
          </w:tcPr>
          <w:p w14:paraId="5075E47E" w14:textId="3C125AF5"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(10.162)</w:t>
            </w:r>
          </w:p>
        </w:tc>
        <w:tc>
          <w:tcPr>
            <w:tcW w:w="382" w:type="pct"/>
            <w:tcBorders>
              <w:top w:val="nil"/>
              <w:left w:val="nil"/>
              <w:bottom w:val="nil"/>
              <w:right w:val="nil"/>
            </w:tcBorders>
            <w:shd w:val="clear" w:color="auto" w:fill="auto"/>
            <w:noWrap/>
            <w:vAlign w:val="center"/>
            <w:hideMark/>
          </w:tcPr>
          <w:p w14:paraId="55CBA3C4" w14:textId="327500A5" w:rsidR="00E61FDF" w:rsidRPr="00482874" w:rsidRDefault="00E61FDF" w:rsidP="0058012D">
            <w:pPr>
              <w:jc w:val="right"/>
              <w:rPr>
                <w:rFonts w:ascii="CAIXA Std Book" w:eastAsia="Times New Roman" w:hAnsi="CAIXA Std Book" w:cs="Arial"/>
                <w:color w:val="005CA9"/>
                <w:sz w:val="16"/>
                <w:szCs w:val="16"/>
              </w:rPr>
            </w:pPr>
            <w:r w:rsidRPr="00482874">
              <w:rPr>
                <w:rFonts w:ascii="CAIXA Std Book" w:hAnsi="CAIXA Std Book" w:cs="Arial"/>
                <w:color w:val="005CA9"/>
                <w:sz w:val="16"/>
                <w:szCs w:val="16"/>
              </w:rPr>
              <w:t>14.044</w:t>
            </w:r>
          </w:p>
        </w:tc>
      </w:tr>
      <w:tr w:rsidR="00E61FDF" w:rsidRPr="002057D3" w14:paraId="6285ADC9" w14:textId="77777777" w:rsidTr="00D370E3">
        <w:trPr>
          <w:trHeight w:val="283"/>
        </w:trPr>
        <w:tc>
          <w:tcPr>
            <w:tcW w:w="1045" w:type="pct"/>
            <w:tcBorders>
              <w:top w:val="nil"/>
              <w:left w:val="nil"/>
              <w:bottom w:val="nil"/>
              <w:right w:val="nil"/>
            </w:tcBorders>
            <w:shd w:val="clear" w:color="auto" w:fill="auto"/>
            <w:vAlign w:val="center"/>
          </w:tcPr>
          <w:p w14:paraId="46CB0372" w14:textId="2CEDC0AA"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Letras Financeiras</w:t>
            </w:r>
          </w:p>
        </w:tc>
        <w:tc>
          <w:tcPr>
            <w:tcW w:w="343" w:type="pct"/>
            <w:tcBorders>
              <w:top w:val="nil"/>
              <w:left w:val="nil"/>
              <w:bottom w:val="nil"/>
              <w:right w:val="nil"/>
            </w:tcBorders>
            <w:shd w:val="clear" w:color="auto" w:fill="auto"/>
            <w:vAlign w:val="center"/>
          </w:tcPr>
          <w:p w14:paraId="754FF46B" w14:textId="08A8C68B"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nil"/>
              <w:right w:val="nil"/>
            </w:tcBorders>
            <w:shd w:val="clear" w:color="auto" w:fill="auto"/>
            <w:noWrap/>
            <w:vAlign w:val="center"/>
          </w:tcPr>
          <w:p w14:paraId="17609C11" w14:textId="0ED6FD42"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434.032</w:t>
            </w:r>
          </w:p>
        </w:tc>
        <w:tc>
          <w:tcPr>
            <w:tcW w:w="279" w:type="pct"/>
            <w:tcBorders>
              <w:top w:val="nil"/>
              <w:left w:val="nil"/>
              <w:bottom w:val="nil"/>
              <w:right w:val="nil"/>
            </w:tcBorders>
            <w:shd w:val="clear" w:color="auto" w:fill="auto"/>
            <w:vAlign w:val="center"/>
          </w:tcPr>
          <w:p w14:paraId="705000EE" w14:textId="6D86C881"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283.041</w:t>
            </w:r>
          </w:p>
        </w:tc>
        <w:tc>
          <w:tcPr>
            <w:tcW w:w="320" w:type="pct"/>
            <w:tcBorders>
              <w:top w:val="nil"/>
              <w:left w:val="nil"/>
              <w:bottom w:val="nil"/>
              <w:right w:val="nil"/>
            </w:tcBorders>
            <w:shd w:val="clear" w:color="auto" w:fill="auto"/>
            <w:vAlign w:val="center"/>
          </w:tcPr>
          <w:p w14:paraId="4840929C" w14:textId="762A3D7F"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871.188</w:t>
            </w:r>
          </w:p>
        </w:tc>
        <w:tc>
          <w:tcPr>
            <w:tcW w:w="388" w:type="pct"/>
            <w:tcBorders>
              <w:top w:val="nil"/>
              <w:left w:val="nil"/>
              <w:bottom w:val="nil"/>
              <w:right w:val="nil"/>
            </w:tcBorders>
            <w:shd w:val="clear" w:color="auto" w:fill="auto"/>
            <w:vAlign w:val="center"/>
          </w:tcPr>
          <w:p w14:paraId="70455717" w14:textId="2D42A942"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2.646.640</w:t>
            </w:r>
          </w:p>
        </w:tc>
        <w:tc>
          <w:tcPr>
            <w:tcW w:w="373" w:type="pct"/>
            <w:tcBorders>
              <w:top w:val="nil"/>
              <w:left w:val="nil"/>
              <w:bottom w:val="nil"/>
              <w:right w:val="nil"/>
            </w:tcBorders>
            <w:shd w:val="clear" w:color="auto" w:fill="auto"/>
            <w:noWrap/>
            <w:vAlign w:val="center"/>
          </w:tcPr>
          <w:p w14:paraId="2F2B0731" w14:textId="26094699"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4.167.919</w:t>
            </w:r>
          </w:p>
        </w:tc>
        <w:tc>
          <w:tcPr>
            <w:tcW w:w="357" w:type="pct"/>
            <w:tcBorders>
              <w:top w:val="nil"/>
              <w:left w:val="nil"/>
              <w:bottom w:val="nil"/>
              <w:right w:val="nil"/>
            </w:tcBorders>
            <w:shd w:val="clear" w:color="auto" w:fill="auto"/>
            <w:noWrap/>
            <w:vAlign w:val="center"/>
          </w:tcPr>
          <w:p w14:paraId="20BFA3C4" w14:textId="311BC147"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66.982</w:t>
            </w:r>
          </w:p>
        </w:tc>
        <w:tc>
          <w:tcPr>
            <w:tcW w:w="384" w:type="pct"/>
            <w:tcBorders>
              <w:top w:val="nil"/>
              <w:left w:val="nil"/>
              <w:bottom w:val="nil"/>
              <w:right w:val="nil"/>
            </w:tcBorders>
            <w:shd w:val="clear" w:color="auto" w:fill="auto"/>
            <w:noWrap/>
            <w:vAlign w:val="center"/>
          </w:tcPr>
          <w:p w14:paraId="72FA5C2F" w14:textId="785B235A"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4.234.901</w:t>
            </w:r>
          </w:p>
        </w:tc>
        <w:tc>
          <w:tcPr>
            <w:tcW w:w="373" w:type="pct"/>
            <w:tcBorders>
              <w:top w:val="nil"/>
              <w:left w:val="nil"/>
              <w:bottom w:val="nil"/>
              <w:right w:val="nil"/>
            </w:tcBorders>
            <w:shd w:val="clear" w:color="auto" w:fill="auto"/>
            <w:noWrap/>
            <w:vAlign w:val="center"/>
          </w:tcPr>
          <w:p w14:paraId="09AF69F1" w14:textId="4562A9E8" w:rsidR="00E61FDF" w:rsidRPr="00482874" w:rsidRDefault="00E61FDF" w:rsidP="0058012D">
            <w:pPr>
              <w:jc w:val="right"/>
              <w:rPr>
                <w:rFonts w:ascii="CAIXA Std Book" w:hAnsi="CAIXA Std Book" w:cs="Arial"/>
                <w:color w:val="005CA9"/>
                <w:sz w:val="16"/>
                <w:szCs w:val="16"/>
              </w:rPr>
            </w:pPr>
            <w:r w:rsidRPr="00482874">
              <w:rPr>
                <w:rFonts w:ascii="CAIXA Std Book" w:hAnsi="CAIXA Std Book" w:cs="Arial"/>
                <w:color w:val="005CA9"/>
                <w:sz w:val="16"/>
                <w:szCs w:val="16"/>
              </w:rPr>
              <w:t>4.621.334</w:t>
            </w:r>
          </w:p>
        </w:tc>
        <w:tc>
          <w:tcPr>
            <w:tcW w:w="484" w:type="pct"/>
            <w:tcBorders>
              <w:top w:val="nil"/>
              <w:left w:val="nil"/>
              <w:bottom w:val="nil"/>
              <w:right w:val="nil"/>
            </w:tcBorders>
            <w:shd w:val="clear" w:color="auto" w:fill="auto"/>
            <w:noWrap/>
            <w:vAlign w:val="center"/>
          </w:tcPr>
          <w:p w14:paraId="29800790" w14:textId="779450D5" w:rsidR="00E61FDF" w:rsidRPr="00482874" w:rsidRDefault="00E61FDF" w:rsidP="0058012D">
            <w:pPr>
              <w:jc w:val="right"/>
              <w:rPr>
                <w:rFonts w:ascii="CAIXA Std Book" w:hAnsi="CAIXA Std Book" w:cs="Arial"/>
                <w:color w:val="005CA9"/>
                <w:sz w:val="16"/>
                <w:szCs w:val="16"/>
              </w:rPr>
            </w:pPr>
            <w:r w:rsidRPr="00482874">
              <w:rPr>
                <w:rFonts w:ascii="CAIXA Std Book" w:hAnsi="CAIXA Std Book" w:cs="Arial"/>
                <w:color w:val="005CA9"/>
                <w:sz w:val="16"/>
                <w:szCs w:val="16"/>
              </w:rPr>
              <w:t>80.880</w:t>
            </w:r>
          </w:p>
        </w:tc>
        <w:tc>
          <w:tcPr>
            <w:tcW w:w="382" w:type="pct"/>
            <w:tcBorders>
              <w:top w:val="nil"/>
              <w:left w:val="nil"/>
              <w:bottom w:val="nil"/>
              <w:right w:val="nil"/>
            </w:tcBorders>
            <w:shd w:val="clear" w:color="auto" w:fill="auto"/>
            <w:noWrap/>
            <w:vAlign w:val="center"/>
          </w:tcPr>
          <w:p w14:paraId="2FAEDDF4" w14:textId="36D0E0C6" w:rsidR="00E61FDF" w:rsidRPr="00482874" w:rsidRDefault="00E61FDF" w:rsidP="0058012D">
            <w:pPr>
              <w:jc w:val="right"/>
              <w:rPr>
                <w:rFonts w:ascii="CAIXA Std Book" w:hAnsi="CAIXA Std Book" w:cs="Arial"/>
                <w:color w:val="005CA9"/>
                <w:sz w:val="16"/>
                <w:szCs w:val="16"/>
              </w:rPr>
            </w:pPr>
            <w:r w:rsidRPr="00482874">
              <w:rPr>
                <w:rFonts w:ascii="CAIXA Std Book" w:hAnsi="CAIXA Std Book" w:cs="Arial"/>
                <w:color w:val="005CA9"/>
                <w:sz w:val="16"/>
                <w:szCs w:val="16"/>
              </w:rPr>
              <w:t>4.702.214</w:t>
            </w:r>
          </w:p>
        </w:tc>
      </w:tr>
      <w:tr w:rsidR="00E61FDF" w:rsidRPr="002057D3" w14:paraId="46BA00EA" w14:textId="77777777" w:rsidTr="008C739D">
        <w:trPr>
          <w:trHeight w:val="283"/>
        </w:trPr>
        <w:tc>
          <w:tcPr>
            <w:tcW w:w="1045" w:type="pct"/>
            <w:tcBorders>
              <w:top w:val="nil"/>
              <w:left w:val="nil"/>
              <w:bottom w:val="nil"/>
              <w:right w:val="nil"/>
            </w:tcBorders>
            <w:shd w:val="clear" w:color="auto" w:fill="auto"/>
            <w:vAlign w:val="center"/>
          </w:tcPr>
          <w:p w14:paraId="12CF7CBC" w14:textId="6FB55173" w:rsidR="00E61FDF" w:rsidRPr="00482874" w:rsidRDefault="00E61FDF" w:rsidP="00E61FDF">
            <w:pPr>
              <w:ind w:firstLineChars="100" w:firstLine="160"/>
              <w:rPr>
                <w:rFonts w:ascii="CAIXA Std Book" w:eastAsia="Times New Roman" w:hAnsi="CAIXA Std Book" w:cs="Arial"/>
                <w:color w:val="005CA9"/>
                <w:sz w:val="16"/>
                <w:szCs w:val="16"/>
              </w:rPr>
            </w:pPr>
            <w:r w:rsidRPr="00482874">
              <w:rPr>
                <w:rFonts w:ascii="CAIXA Std Book" w:eastAsia="Times New Roman" w:hAnsi="CAIXA Std Book" w:cs="Arial"/>
                <w:color w:val="005CA9"/>
                <w:sz w:val="16"/>
                <w:szCs w:val="16"/>
              </w:rPr>
              <w:t>Nota Comercial</w:t>
            </w:r>
          </w:p>
        </w:tc>
        <w:tc>
          <w:tcPr>
            <w:tcW w:w="343" w:type="pct"/>
            <w:tcBorders>
              <w:top w:val="nil"/>
              <w:left w:val="nil"/>
              <w:bottom w:val="single" w:sz="4" w:space="0" w:color="F79646" w:themeColor="accent6"/>
              <w:right w:val="nil"/>
            </w:tcBorders>
            <w:shd w:val="clear" w:color="auto" w:fill="auto"/>
            <w:vAlign w:val="center"/>
          </w:tcPr>
          <w:p w14:paraId="3CF0F836" w14:textId="290824C0"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0" w:type="pct"/>
            <w:tcBorders>
              <w:top w:val="nil"/>
              <w:left w:val="nil"/>
              <w:bottom w:val="single" w:sz="4" w:space="0" w:color="F79646" w:themeColor="accent6"/>
              <w:right w:val="nil"/>
            </w:tcBorders>
            <w:shd w:val="clear" w:color="auto" w:fill="auto"/>
            <w:noWrap/>
            <w:vAlign w:val="center"/>
          </w:tcPr>
          <w:p w14:paraId="036F1581" w14:textId="379615EC"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79" w:type="pct"/>
            <w:tcBorders>
              <w:top w:val="nil"/>
              <w:left w:val="nil"/>
              <w:bottom w:val="single" w:sz="4" w:space="0" w:color="F79646" w:themeColor="accent6"/>
              <w:right w:val="nil"/>
            </w:tcBorders>
            <w:shd w:val="clear" w:color="auto" w:fill="auto"/>
            <w:vAlign w:val="center"/>
          </w:tcPr>
          <w:p w14:paraId="14244F54" w14:textId="420B66DC"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20" w:type="pct"/>
            <w:tcBorders>
              <w:top w:val="nil"/>
              <w:left w:val="nil"/>
              <w:bottom w:val="single" w:sz="4" w:space="0" w:color="F79646" w:themeColor="accent6"/>
              <w:right w:val="nil"/>
            </w:tcBorders>
            <w:shd w:val="clear" w:color="auto" w:fill="auto"/>
            <w:vAlign w:val="center"/>
          </w:tcPr>
          <w:p w14:paraId="5798B267" w14:textId="24390E7E" w:rsidR="00E61FDF" w:rsidRPr="00482874"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88" w:type="pct"/>
            <w:tcBorders>
              <w:top w:val="nil"/>
              <w:left w:val="nil"/>
              <w:bottom w:val="single" w:sz="4" w:space="0" w:color="F79646" w:themeColor="accent6"/>
              <w:right w:val="nil"/>
            </w:tcBorders>
            <w:shd w:val="clear" w:color="auto" w:fill="auto"/>
            <w:vAlign w:val="center"/>
          </w:tcPr>
          <w:p w14:paraId="180110A2" w14:textId="2A000EB4"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505.111</w:t>
            </w:r>
          </w:p>
        </w:tc>
        <w:tc>
          <w:tcPr>
            <w:tcW w:w="373" w:type="pct"/>
            <w:tcBorders>
              <w:top w:val="nil"/>
              <w:left w:val="nil"/>
              <w:bottom w:val="single" w:sz="4" w:space="0" w:color="F79646" w:themeColor="accent6"/>
              <w:right w:val="nil"/>
            </w:tcBorders>
            <w:shd w:val="clear" w:color="auto" w:fill="auto"/>
            <w:noWrap/>
            <w:vAlign w:val="center"/>
          </w:tcPr>
          <w:p w14:paraId="7BE7C9F3" w14:textId="587CAB63"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500.000</w:t>
            </w:r>
          </w:p>
        </w:tc>
        <w:tc>
          <w:tcPr>
            <w:tcW w:w="357" w:type="pct"/>
            <w:tcBorders>
              <w:top w:val="nil"/>
              <w:left w:val="nil"/>
              <w:bottom w:val="single" w:sz="4" w:space="0" w:color="F79646" w:themeColor="accent6"/>
              <w:right w:val="nil"/>
            </w:tcBorders>
            <w:shd w:val="clear" w:color="auto" w:fill="auto"/>
            <w:noWrap/>
            <w:vAlign w:val="center"/>
          </w:tcPr>
          <w:p w14:paraId="063B6AD7" w14:textId="2D8B7603"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5.111</w:t>
            </w:r>
          </w:p>
        </w:tc>
        <w:tc>
          <w:tcPr>
            <w:tcW w:w="384" w:type="pct"/>
            <w:tcBorders>
              <w:top w:val="nil"/>
              <w:left w:val="nil"/>
              <w:bottom w:val="single" w:sz="4" w:space="0" w:color="F79646" w:themeColor="accent6"/>
              <w:right w:val="nil"/>
            </w:tcBorders>
            <w:shd w:val="clear" w:color="auto" w:fill="auto"/>
            <w:noWrap/>
            <w:vAlign w:val="center"/>
          </w:tcPr>
          <w:p w14:paraId="307E5B73" w14:textId="2938B1AA" w:rsidR="00E61FDF" w:rsidRPr="00482874" w:rsidRDefault="00E61FDF" w:rsidP="0058012D">
            <w:pPr>
              <w:jc w:val="right"/>
              <w:rPr>
                <w:rFonts w:ascii="CAIXA Std Book" w:hAnsi="CAIXA Std Book" w:cs="Arial"/>
                <w:color w:val="005CA9"/>
                <w:sz w:val="16"/>
                <w:szCs w:val="16"/>
              </w:rPr>
            </w:pPr>
            <w:r>
              <w:rPr>
                <w:rFonts w:ascii="CAIXA Std Book" w:hAnsi="CAIXA Std Book" w:cs="Arial"/>
                <w:color w:val="005CA9"/>
                <w:sz w:val="16"/>
                <w:szCs w:val="16"/>
              </w:rPr>
              <w:t>505.111</w:t>
            </w:r>
          </w:p>
        </w:tc>
        <w:tc>
          <w:tcPr>
            <w:tcW w:w="373" w:type="pct"/>
            <w:tcBorders>
              <w:top w:val="nil"/>
              <w:left w:val="nil"/>
              <w:bottom w:val="single" w:sz="4" w:space="0" w:color="F79646" w:themeColor="accent6"/>
              <w:right w:val="nil"/>
            </w:tcBorders>
            <w:shd w:val="clear" w:color="auto" w:fill="auto"/>
            <w:noWrap/>
            <w:vAlign w:val="center"/>
          </w:tcPr>
          <w:p w14:paraId="7A871E18" w14:textId="6B05B3A1" w:rsidR="00E61FDF" w:rsidRPr="00482874" w:rsidRDefault="00E61FDF" w:rsidP="0058012D">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484" w:type="pct"/>
            <w:tcBorders>
              <w:top w:val="nil"/>
              <w:left w:val="nil"/>
              <w:bottom w:val="nil"/>
              <w:right w:val="nil"/>
            </w:tcBorders>
            <w:shd w:val="clear" w:color="auto" w:fill="auto"/>
            <w:noWrap/>
            <w:vAlign w:val="center"/>
          </w:tcPr>
          <w:p w14:paraId="2C9A7E53" w14:textId="411EE46A" w:rsidR="00E61FDF" w:rsidRPr="00482874" w:rsidRDefault="00E61FDF" w:rsidP="0058012D">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c>
          <w:tcPr>
            <w:tcW w:w="382" w:type="pct"/>
            <w:tcBorders>
              <w:top w:val="nil"/>
              <w:left w:val="nil"/>
              <w:bottom w:val="nil"/>
              <w:right w:val="nil"/>
            </w:tcBorders>
            <w:shd w:val="clear" w:color="auto" w:fill="auto"/>
            <w:noWrap/>
            <w:vAlign w:val="center"/>
          </w:tcPr>
          <w:p w14:paraId="3DECF684" w14:textId="435DDFA2" w:rsidR="00E61FDF" w:rsidRPr="00482874" w:rsidRDefault="00E61FDF" w:rsidP="0058012D">
            <w:pPr>
              <w:jc w:val="center"/>
              <w:rPr>
                <w:rFonts w:ascii="CAIXA Std Book" w:eastAsia="Times New Roman" w:hAnsi="CAIXA Std Book" w:cs="Arial"/>
                <w:color w:val="005CA9"/>
                <w:sz w:val="16"/>
                <w:szCs w:val="16"/>
              </w:rPr>
            </w:pPr>
            <w:r>
              <w:rPr>
                <w:rFonts w:ascii="CAIXA Std Book" w:hAnsi="CAIXA Std Book" w:cs="Arial"/>
                <w:color w:val="005CA9"/>
                <w:sz w:val="16"/>
                <w:szCs w:val="16"/>
              </w:rPr>
              <w:t>-</w:t>
            </w:r>
          </w:p>
        </w:tc>
      </w:tr>
      <w:tr w:rsidR="00E61FDF" w:rsidRPr="002057D3" w14:paraId="3C095DF8" w14:textId="77777777" w:rsidTr="008C739D">
        <w:trPr>
          <w:trHeight w:val="283"/>
        </w:trPr>
        <w:tc>
          <w:tcPr>
            <w:tcW w:w="1045" w:type="pct"/>
            <w:tcBorders>
              <w:top w:val="single" w:sz="4" w:space="0" w:color="F39200"/>
              <w:left w:val="nil"/>
              <w:bottom w:val="single" w:sz="4" w:space="0" w:color="F39200"/>
              <w:right w:val="nil"/>
            </w:tcBorders>
            <w:shd w:val="clear" w:color="auto" w:fill="auto"/>
            <w:vAlign w:val="center"/>
            <w:hideMark/>
          </w:tcPr>
          <w:p w14:paraId="68C1FE7A" w14:textId="77777777" w:rsidR="00E61FDF" w:rsidRPr="00482874" w:rsidRDefault="00E61FDF" w:rsidP="00E61FDF">
            <w:pPr>
              <w:rPr>
                <w:rFonts w:ascii="CAIXA Std Book" w:eastAsia="Times New Roman" w:hAnsi="CAIXA Std Book" w:cs="Arial"/>
                <w:b/>
                <w:color w:val="005CA9"/>
                <w:sz w:val="16"/>
                <w:szCs w:val="16"/>
              </w:rPr>
            </w:pPr>
            <w:bookmarkStart w:id="53" w:name="OLE_LINK6" w:colFirst="6" w:colLast="8"/>
            <w:bookmarkStart w:id="54" w:name="OLE_LINK10" w:colFirst="6" w:colLast="8"/>
            <w:bookmarkStart w:id="55" w:name="OLE_LINK19" w:colFirst="6" w:colLast="11"/>
            <w:r w:rsidRPr="00482874">
              <w:rPr>
                <w:rFonts w:ascii="CAIXA Std Book" w:eastAsia="Times New Roman" w:hAnsi="CAIXA Std Book" w:cs="Arial"/>
                <w:b/>
                <w:color w:val="005CA9"/>
                <w:sz w:val="16"/>
                <w:szCs w:val="16"/>
              </w:rPr>
              <w:t>Total</w:t>
            </w:r>
          </w:p>
        </w:tc>
        <w:tc>
          <w:tcPr>
            <w:tcW w:w="343" w:type="pct"/>
            <w:tcBorders>
              <w:top w:val="single" w:sz="4" w:space="0" w:color="F79646" w:themeColor="accent6"/>
              <w:left w:val="nil"/>
              <w:bottom w:val="single" w:sz="4" w:space="0" w:color="F79646" w:themeColor="accent6"/>
              <w:right w:val="nil"/>
            </w:tcBorders>
            <w:shd w:val="clear" w:color="auto" w:fill="auto"/>
            <w:noWrap/>
            <w:vAlign w:val="center"/>
          </w:tcPr>
          <w:p w14:paraId="754C769E" w14:textId="0F9B1961"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1.298.671</w:t>
            </w:r>
          </w:p>
        </w:tc>
        <w:tc>
          <w:tcPr>
            <w:tcW w:w="270" w:type="pct"/>
            <w:tcBorders>
              <w:top w:val="single" w:sz="4" w:space="0" w:color="F79646" w:themeColor="accent6"/>
              <w:left w:val="nil"/>
              <w:bottom w:val="single" w:sz="4" w:space="0" w:color="F79646" w:themeColor="accent6"/>
              <w:right w:val="nil"/>
            </w:tcBorders>
            <w:shd w:val="clear" w:color="auto" w:fill="auto"/>
            <w:noWrap/>
            <w:vAlign w:val="center"/>
          </w:tcPr>
          <w:p w14:paraId="116F859C" w14:textId="687887EB"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480.593</w:t>
            </w:r>
          </w:p>
        </w:tc>
        <w:tc>
          <w:tcPr>
            <w:tcW w:w="279" w:type="pct"/>
            <w:tcBorders>
              <w:top w:val="single" w:sz="4" w:space="0" w:color="F79646" w:themeColor="accent6"/>
              <w:left w:val="nil"/>
              <w:bottom w:val="single" w:sz="4" w:space="0" w:color="F79646" w:themeColor="accent6"/>
              <w:right w:val="nil"/>
            </w:tcBorders>
            <w:shd w:val="clear" w:color="auto" w:fill="auto"/>
            <w:vAlign w:val="center"/>
          </w:tcPr>
          <w:p w14:paraId="60E0823E" w14:textId="5B1BA13E"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283.041</w:t>
            </w:r>
          </w:p>
        </w:tc>
        <w:tc>
          <w:tcPr>
            <w:tcW w:w="320" w:type="pct"/>
            <w:tcBorders>
              <w:top w:val="single" w:sz="4" w:space="0" w:color="F79646" w:themeColor="accent6"/>
              <w:left w:val="nil"/>
              <w:bottom w:val="single" w:sz="4" w:space="0" w:color="F79646" w:themeColor="accent6"/>
              <w:right w:val="nil"/>
            </w:tcBorders>
            <w:shd w:val="clear" w:color="auto" w:fill="auto"/>
            <w:noWrap/>
            <w:vAlign w:val="center"/>
          </w:tcPr>
          <w:p w14:paraId="7E656F09" w14:textId="4B0067F4"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1.258.139</w:t>
            </w:r>
          </w:p>
        </w:tc>
        <w:tc>
          <w:tcPr>
            <w:tcW w:w="388" w:type="pct"/>
            <w:tcBorders>
              <w:top w:val="single" w:sz="4" w:space="0" w:color="F79646" w:themeColor="accent6"/>
              <w:left w:val="nil"/>
              <w:bottom w:val="single" w:sz="4" w:space="0" w:color="F79646" w:themeColor="accent6"/>
              <w:right w:val="nil"/>
            </w:tcBorders>
            <w:shd w:val="clear" w:color="auto" w:fill="auto"/>
            <w:noWrap/>
            <w:vAlign w:val="center"/>
          </w:tcPr>
          <w:p w14:paraId="1461A369" w14:textId="5BDF8DB2"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147.780.762</w:t>
            </w:r>
          </w:p>
        </w:tc>
        <w:tc>
          <w:tcPr>
            <w:tcW w:w="373" w:type="pct"/>
            <w:tcBorders>
              <w:top w:val="single" w:sz="4" w:space="0" w:color="F79646" w:themeColor="accent6"/>
              <w:left w:val="nil"/>
              <w:bottom w:val="single" w:sz="4" w:space="0" w:color="F79646" w:themeColor="accent6"/>
              <w:right w:val="nil"/>
            </w:tcBorders>
            <w:shd w:val="clear" w:color="auto" w:fill="auto"/>
            <w:noWrap/>
            <w:vAlign w:val="center"/>
          </w:tcPr>
          <w:p w14:paraId="00C69F6E" w14:textId="3ACA1DD3"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149.807.338</w:t>
            </w:r>
          </w:p>
        </w:tc>
        <w:tc>
          <w:tcPr>
            <w:tcW w:w="357" w:type="pct"/>
            <w:tcBorders>
              <w:top w:val="single" w:sz="4" w:space="0" w:color="F79646" w:themeColor="accent6"/>
              <w:left w:val="nil"/>
              <w:bottom w:val="single" w:sz="4" w:space="0" w:color="F79646" w:themeColor="accent6"/>
              <w:right w:val="nil"/>
            </w:tcBorders>
            <w:shd w:val="clear" w:color="auto" w:fill="auto"/>
            <w:noWrap/>
            <w:vAlign w:val="center"/>
          </w:tcPr>
          <w:p w14:paraId="5EDEFFD9" w14:textId="1559A5A8"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1.293.868</w:t>
            </w:r>
          </w:p>
        </w:tc>
        <w:tc>
          <w:tcPr>
            <w:tcW w:w="384" w:type="pct"/>
            <w:tcBorders>
              <w:top w:val="single" w:sz="4" w:space="0" w:color="F79646" w:themeColor="accent6"/>
              <w:left w:val="nil"/>
              <w:bottom w:val="single" w:sz="4" w:space="0" w:color="F79646" w:themeColor="accent6"/>
              <w:right w:val="nil"/>
            </w:tcBorders>
            <w:shd w:val="clear" w:color="auto" w:fill="auto"/>
            <w:noWrap/>
            <w:vAlign w:val="center"/>
          </w:tcPr>
          <w:p w14:paraId="2C0A0D36" w14:textId="27D7118D" w:rsidR="00E61FDF" w:rsidRPr="00482874" w:rsidRDefault="00E61FDF" w:rsidP="0058012D">
            <w:pPr>
              <w:jc w:val="right"/>
              <w:rPr>
                <w:rFonts w:ascii="CAIXA Std Book" w:hAnsi="CAIXA Std Book" w:cs="Arial"/>
                <w:b/>
                <w:color w:val="005CA9"/>
                <w:sz w:val="16"/>
                <w:szCs w:val="16"/>
              </w:rPr>
            </w:pPr>
            <w:r>
              <w:rPr>
                <w:rFonts w:ascii="CAIXA Std Book" w:hAnsi="CAIXA Std Book" w:cs="Arial"/>
                <w:b/>
                <w:bCs/>
                <w:color w:val="005CA9"/>
                <w:sz w:val="16"/>
                <w:szCs w:val="16"/>
              </w:rPr>
              <w:t>151.101.206</w:t>
            </w:r>
          </w:p>
        </w:tc>
        <w:tc>
          <w:tcPr>
            <w:tcW w:w="373" w:type="pct"/>
            <w:tcBorders>
              <w:top w:val="single" w:sz="4" w:space="0" w:color="F79646" w:themeColor="accent6"/>
              <w:left w:val="nil"/>
              <w:bottom w:val="single" w:sz="4" w:space="0" w:color="F79646" w:themeColor="accent6"/>
              <w:right w:val="nil"/>
            </w:tcBorders>
            <w:shd w:val="clear" w:color="auto" w:fill="auto"/>
            <w:noWrap/>
            <w:vAlign w:val="center"/>
            <w:hideMark/>
          </w:tcPr>
          <w:p w14:paraId="18A9ACB5" w14:textId="3D0AA267"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135.938.704</w:t>
            </w:r>
          </w:p>
        </w:tc>
        <w:tc>
          <w:tcPr>
            <w:tcW w:w="484" w:type="pct"/>
            <w:tcBorders>
              <w:top w:val="single" w:sz="4" w:space="0" w:color="F39200"/>
              <w:left w:val="nil"/>
              <w:bottom w:val="single" w:sz="4" w:space="0" w:color="F39200"/>
              <w:right w:val="nil"/>
            </w:tcBorders>
            <w:shd w:val="clear" w:color="auto" w:fill="auto"/>
            <w:noWrap/>
            <w:vAlign w:val="center"/>
            <w:hideMark/>
          </w:tcPr>
          <w:p w14:paraId="4053584C" w14:textId="4C1AF8A1"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1.157.184</w:t>
            </w:r>
          </w:p>
        </w:tc>
        <w:tc>
          <w:tcPr>
            <w:tcW w:w="382" w:type="pct"/>
            <w:tcBorders>
              <w:top w:val="single" w:sz="4" w:space="0" w:color="F39200"/>
              <w:left w:val="nil"/>
              <w:bottom w:val="single" w:sz="4" w:space="0" w:color="F39200"/>
              <w:right w:val="nil"/>
            </w:tcBorders>
            <w:shd w:val="clear" w:color="auto" w:fill="auto"/>
            <w:noWrap/>
            <w:vAlign w:val="center"/>
            <w:hideMark/>
          </w:tcPr>
          <w:p w14:paraId="586F2C75" w14:textId="281C845A" w:rsidR="00E61FDF" w:rsidRPr="00482874" w:rsidRDefault="00E61FDF" w:rsidP="0058012D">
            <w:pPr>
              <w:jc w:val="right"/>
              <w:rPr>
                <w:rFonts w:ascii="CAIXA Std Book" w:eastAsia="Times New Roman" w:hAnsi="CAIXA Std Book" w:cs="Arial"/>
                <w:b/>
                <w:color w:val="005CA9"/>
                <w:sz w:val="16"/>
                <w:szCs w:val="16"/>
              </w:rPr>
            </w:pPr>
            <w:r w:rsidRPr="00482874">
              <w:rPr>
                <w:rFonts w:ascii="CAIXA Std Book" w:hAnsi="CAIXA Std Book" w:cs="Arial"/>
                <w:b/>
                <w:color w:val="005CA9"/>
                <w:sz w:val="16"/>
                <w:szCs w:val="16"/>
              </w:rPr>
              <w:t>137.095.888</w:t>
            </w:r>
          </w:p>
        </w:tc>
      </w:tr>
      <w:bookmarkEnd w:id="53"/>
      <w:bookmarkEnd w:id="54"/>
      <w:bookmarkEnd w:id="55"/>
    </w:tbl>
    <w:p w14:paraId="68088A92" w14:textId="4E66C849" w:rsidR="00D1533F" w:rsidRPr="00FF4346" w:rsidRDefault="00D1533F">
      <w:pPr>
        <w:rPr>
          <w:rFonts w:ascii="CAIXA Std Book" w:hAnsi="CAIXA Std Book"/>
          <w:b/>
          <w:color w:val="005CA9"/>
          <w:sz w:val="20"/>
          <w:szCs w:val="20"/>
        </w:rPr>
      </w:pPr>
    </w:p>
    <w:p w14:paraId="7155FB97" w14:textId="77777777" w:rsidR="00B16951" w:rsidRPr="00FF4346" w:rsidRDefault="00B16951">
      <w:pPr>
        <w:rPr>
          <w:rFonts w:ascii="CAIXA Std Book" w:hAnsi="CAIXA Std Book"/>
          <w:b/>
          <w:color w:val="005CA9"/>
          <w:sz w:val="20"/>
          <w:szCs w:val="20"/>
        </w:rPr>
      </w:pPr>
      <w:r w:rsidRPr="00FF4346">
        <w:rPr>
          <w:rFonts w:ascii="CAIXA Std Book" w:hAnsi="CAIXA Std Book"/>
          <w:b/>
          <w:color w:val="005CA9"/>
          <w:sz w:val="20"/>
          <w:szCs w:val="20"/>
        </w:rPr>
        <w:br w:type="page"/>
      </w:r>
    </w:p>
    <w:p w14:paraId="7C9AE27C" w14:textId="3E0D9F90" w:rsidR="00144FE7" w:rsidRPr="00FF4346" w:rsidRDefault="00144FE7">
      <w:pPr>
        <w:rPr>
          <w:rFonts w:ascii="CAIXA Std Book" w:hAnsi="CAIXA Std Book"/>
          <w:b/>
          <w:color w:val="005CA9"/>
          <w:sz w:val="20"/>
          <w:szCs w:val="20"/>
        </w:rPr>
      </w:pPr>
    </w:p>
    <w:tbl>
      <w:tblPr>
        <w:tblW w:w="5160" w:type="pct"/>
        <w:tblCellMar>
          <w:left w:w="70" w:type="dxa"/>
          <w:right w:w="70" w:type="dxa"/>
        </w:tblCellMar>
        <w:tblLook w:val="04A0" w:firstRow="1" w:lastRow="0" w:firstColumn="1" w:lastColumn="0" w:noHBand="0" w:noVBand="1"/>
      </w:tblPr>
      <w:tblGrid>
        <w:gridCol w:w="3120"/>
        <w:gridCol w:w="1011"/>
        <w:gridCol w:w="854"/>
        <w:gridCol w:w="854"/>
        <w:gridCol w:w="1010"/>
        <w:gridCol w:w="1233"/>
        <w:gridCol w:w="1233"/>
        <w:gridCol w:w="1010"/>
        <w:gridCol w:w="1236"/>
        <w:gridCol w:w="1233"/>
        <w:gridCol w:w="1010"/>
        <w:gridCol w:w="1233"/>
      </w:tblGrid>
      <w:tr w:rsidR="009A4861" w:rsidRPr="002057D3" w14:paraId="684992C8" w14:textId="77777777" w:rsidTr="00094B22">
        <w:trPr>
          <w:trHeight w:val="283"/>
        </w:trPr>
        <w:tc>
          <w:tcPr>
            <w:tcW w:w="5000" w:type="pct"/>
            <w:gridSpan w:val="12"/>
            <w:tcBorders>
              <w:top w:val="single" w:sz="4" w:space="0" w:color="F39200"/>
              <w:left w:val="nil"/>
              <w:bottom w:val="single" w:sz="4" w:space="0" w:color="F39200"/>
              <w:right w:val="nil"/>
            </w:tcBorders>
            <w:vAlign w:val="center"/>
          </w:tcPr>
          <w:p w14:paraId="4B8C814F" w14:textId="2A48511C" w:rsidR="009A4861" w:rsidRPr="00A4304A" w:rsidRDefault="007310BE"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bCs/>
                <w:color w:val="005CA9"/>
                <w:sz w:val="16"/>
                <w:szCs w:val="16"/>
              </w:rPr>
              <w:t>CONSOLIDADO</w:t>
            </w:r>
          </w:p>
        </w:tc>
      </w:tr>
      <w:tr w:rsidR="009A4861" w:rsidRPr="002057D3" w14:paraId="128E4658" w14:textId="77777777" w:rsidTr="00094B22">
        <w:trPr>
          <w:trHeight w:val="283"/>
        </w:trPr>
        <w:tc>
          <w:tcPr>
            <w:tcW w:w="1037" w:type="pct"/>
            <w:vMerge w:val="restart"/>
            <w:tcBorders>
              <w:top w:val="nil"/>
              <w:left w:val="nil"/>
              <w:bottom w:val="single" w:sz="4" w:space="0" w:color="F79646" w:themeColor="accent6"/>
              <w:right w:val="nil"/>
            </w:tcBorders>
            <w:shd w:val="clear" w:color="auto" w:fill="auto"/>
            <w:vAlign w:val="center"/>
            <w:hideMark/>
          </w:tcPr>
          <w:p w14:paraId="6990EFC0"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bCs/>
                <w:color w:val="005CA9"/>
                <w:sz w:val="16"/>
                <w:szCs w:val="16"/>
              </w:rPr>
              <w:t>Descrição</w:t>
            </w:r>
          </w:p>
        </w:tc>
        <w:tc>
          <w:tcPr>
            <w:tcW w:w="2807" w:type="pct"/>
            <w:gridSpan w:val="8"/>
            <w:tcBorders>
              <w:top w:val="single" w:sz="4" w:space="0" w:color="F39200"/>
              <w:left w:val="nil"/>
              <w:bottom w:val="single" w:sz="4" w:space="0" w:color="F39200"/>
              <w:right w:val="nil"/>
            </w:tcBorders>
            <w:shd w:val="clear" w:color="auto" w:fill="auto"/>
            <w:noWrap/>
            <w:vAlign w:val="center"/>
            <w:hideMark/>
          </w:tcPr>
          <w:p w14:paraId="784A8492"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31/03/2024</w:t>
            </w:r>
          </w:p>
        </w:tc>
        <w:tc>
          <w:tcPr>
            <w:tcW w:w="1156" w:type="pct"/>
            <w:gridSpan w:val="3"/>
            <w:tcBorders>
              <w:top w:val="single" w:sz="4" w:space="0" w:color="F39200"/>
              <w:left w:val="nil"/>
              <w:bottom w:val="single" w:sz="4" w:space="0" w:color="F39200"/>
              <w:right w:val="nil"/>
            </w:tcBorders>
            <w:shd w:val="clear" w:color="auto" w:fill="auto"/>
            <w:noWrap/>
            <w:vAlign w:val="center"/>
            <w:hideMark/>
          </w:tcPr>
          <w:p w14:paraId="5DCCBD7D"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31/12/2023</w:t>
            </w:r>
          </w:p>
        </w:tc>
      </w:tr>
      <w:tr w:rsidR="00A062A0" w:rsidRPr="002057D3" w14:paraId="764A99BB" w14:textId="77777777" w:rsidTr="008C739D">
        <w:trPr>
          <w:trHeight w:val="283"/>
        </w:trPr>
        <w:tc>
          <w:tcPr>
            <w:tcW w:w="1037" w:type="pct"/>
            <w:vMerge/>
            <w:tcBorders>
              <w:left w:val="nil"/>
              <w:bottom w:val="single" w:sz="4" w:space="0" w:color="F79646" w:themeColor="accent6"/>
              <w:right w:val="nil"/>
            </w:tcBorders>
            <w:vAlign w:val="center"/>
            <w:hideMark/>
          </w:tcPr>
          <w:p w14:paraId="772D60F4" w14:textId="77777777" w:rsidR="009A4861" w:rsidRPr="00A4304A" w:rsidRDefault="009A4861" w:rsidP="00094B22">
            <w:pPr>
              <w:jc w:val="center"/>
              <w:rPr>
                <w:rFonts w:ascii="CAIXA Std Book" w:eastAsia="Times New Roman" w:hAnsi="CAIXA Std Book" w:cs="Arial"/>
                <w:b/>
                <w:color w:val="005CA9"/>
                <w:sz w:val="16"/>
                <w:szCs w:val="16"/>
              </w:rPr>
            </w:pPr>
          </w:p>
        </w:tc>
        <w:tc>
          <w:tcPr>
            <w:tcW w:w="336" w:type="pct"/>
            <w:tcBorders>
              <w:top w:val="nil"/>
              <w:left w:val="nil"/>
              <w:bottom w:val="single" w:sz="4" w:space="0" w:color="F79646" w:themeColor="accent6"/>
              <w:right w:val="nil"/>
            </w:tcBorders>
            <w:shd w:val="clear" w:color="auto" w:fill="auto"/>
            <w:vAlign w:val="center"/>
            <w:hideMark/>
          </w:tcPr>
          <w:p w14:paraId="22ED5951"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Sem vencimento</w:t>
            </w:r>
          </w:p>
        </w:tc>
        <w:tc>
          <w:tcPr>
            <w:tcW w:w="284" w:type="pct"/>
            <w:tcBorders>
              <w:top w:val="nil"/>
              <w:left w:val="nil"/>
              <w:bottom w:val="single" w:sz="4" w:space="0" w:color="F79646" w:themeColor="accent6"/>
              <w:right w:val="nil"/>
            </w:tcBorders>
            <w:shd w:val="clear" w:color="auto" w:fill="auto"/>
            <w:vAlign w:val="center"/>
            <w:hideMark/>
          </w:tcPr>
          <w:p w14:paraId="068848D4"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01 a 90 dias</w:t>
            </w:r>
          </w:p>
        </w:tc>
        <w:tc>
          <w:tcPr>
            <w:tcW w:w="284" w:type="pct"/>
            <w:tcBorders>
              <w:top w:val="nil"/>
              <w:left w:val="nil"/>
              <w:bottom w:val="single" w:sz="4" w:space="0" w:color="F79646" w:themeColor="accent6"/>
              <w:right w:val="nil"/>
            </w:tcBorders>
            <w:vAlign w:val="center"/>
          </w:tcPr>
          <w:p w14:paraId="355E9CAC"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bCs/>
                <w:color w:val="005CA9"/>
                <w:sz w:val="16"/>
                <w:szCs w:val="16"/>
              </w:rPr>
              <w:t>91 a 180 dias</w:t>
            </w:r>
          </w:p>
        </w:tc>
        <w:tc>
          <w:tcPr>
            <w:tcW w:w="336" w:type="pct"/>
            <w:tcBorders>
              <w:top w:val="nil"/>
              <w:left w:val="nil"/>
              <w:bottom w:val="single" w:sz="4" w:space="0" w:color="F79646"/>
              <w:right w:val="nil"/>
            </w:tcBorders>
            <w:shd w:val="clear" w:color="auto" w:fill="auto"/>
            <w:vAlign w:val="center"/>
            <w:hideMark/>
          </w:tcPr>
          <w:p w14:paraId="09AD3A0B"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181 a 360 dias</w:t>
            </w:r>
          </w:p>
        </w:tc>
        <w:tc>
          <w:tcPr>
            <w:tcW w:w="410" w:type="pct"/>
            <w:tcBorders>
              <w:top w:val="nil"/>
              <w:left w:val="nil"/>
              <w:bottom w:val="single" w:sz="4" w:space="0" w:color="F39200"/>
              <w:right w:val="nil"/>
            </w:tcBorders>
            <w:shd w:val="clear" w:color="auto" w:fill="auto"/>
            <w:vAlign w:val="center"/>
            <w:hideMark/>
          </w:tcPr>
          <w:p w14:paraId="55987D61"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Acima de 360 dias</w:t>
            </w:r>
          </w:p>
        </w:tc>
        <w:tc>
          <w:tcPr>
            <w:tcW w:w="410" w:type="pct"/>
            <w:tcBorders>
              <w:top w:val="nil"/>
              <w:left w:val="nil"/>
              <w:bottom w:val="single" w:sz="4" w:space="0" w:color="F39200"/>
              <w:right w:val="nil"/>
            </w:tcBorders>
            <w:shd w:val="clear" w:color="auto" w:fill="auto"/>
            <w:vAlign w:val="center"/>
            <w:hideMark/>
          </w:tcPr>
          <w:p w14:paraId="560ED3B8" w14:textId="2C3DCD9F"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bCs/>
                <w:color w:val="005CA9"/>
                <w:sz w:val="16"/>
                <w:szCs w:val="16"/>
              </w:rPr>
              <w:t>Custo</w:t>
            </w:r>
          </w:p>
        </w:tc>
        <w:tc>
          <w:tcPr>
            <w:tcW w:w="336" w:type="pct"/>
            <w:tcBorders>
              <w:top w:val="nil"/>
              <w:left w:val="nil"/>
              <w:bottom w:val="single" w:sz="4" w:space="0" w:color="F39200"/>
              <w:right w:val="nil"/>
            </w:tcBorders>
            <w:shd w:val="clear" w:color="auto" w:fill="auto"/>
            <w:vAlign w:val="center"/>
            <w:hideMark/>
          </w:tcPr>
          <w:p w14:paraId="11DD1FC0"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Ajuste a mercado patrimônio líquido</w:t>
            </w:r>
          </w:p>
        </w:tc>
        <w:tc>
          <w:tcPr>
            <w:tcW w:w="411" w:type="pct"/>
            <w:tcBorders>
              <w:top w:val="nil"/>
              <w:left w:val="nil"/>
              <w:bottom w:val="single" w:sz="4" w:space="0" w:color="F39200"/>
              <w:right w:val="nil"/>
            </w:tcBorders>
            <w:shd w:val="clear" w:color="auto" w:fill="auto"/>
            <w:vAlign w:val="center"/>
            <w:hideMark/>
          </w:tcPr>
          <w:p w14:paraId="6B17BD6C"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Valor de mercado</w:t>
            </w:r>
          </w:p>
        </w:tc>
        <w:tc>
          <w:tcPr>
            <w:tcW w:w="410" w:type="pct"/>
            <w:tcBorders>
              <w:top w:val="nil"/>
              <w:left w:val="nil"/>
              <w:bottom w:val="single" w:sz="4" w:space="0" w:color="F39200"/>
              <w:right w:val="nil"/>
            </w:tcBorders>
            <w:shd w:val="clear" w:color="auto" w:fill="auto"/>
            <w:vAlign w:val="center"/>
            <w:hideMark/>
          </w:tcPr>
          <w:p w14:paraId="08CACCAD" w14:textId="5A0615BE"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bCs/>
                <w:color w:val="005CA9"/>
                <w:sz w:val="16"/>
                <w:szCs w:val="16"/>
              </w:rPr>
              <w:t>Custo</w:t>
            </w:r>
          </w:p>
        </w:tc>
        <w:tc>
          <w:tcPr>
            <w:tcW w:w="336" w:type="pct"/>
            <w:tcBorders>
              <w:top w:val="nil"/>
              <w:left w:val="nil"/>
              <w:bottom w:val="single" w:sz="4" w:space="0" w:color="F39200"/>
              <w:right w:val="nil"/>
            </w:tcBorders>
            <w:shd w:val="clear" w:color="auto" w:fill="auto"/>
            <w:vAlign w:val="center"/>
            <w:hideMark/>
          </w:tcPr>
          <w:p w14:paraId="671AC6D0"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Ajuste a mercado patrimônio líquido</w:t>
            </w:r>
          </w:p>
        </w:tc>
        <w:tc>
          <w:tcPr>
            <w:tcW w:w="410" w:type="pct"/>
            <w:tcBorders>
              <w:top w:val="nil"/>
              <w:left w:val="nil"/>
              <w:bottom w:val="single" w:sz="4" w:space="0" w:color="F39200"/>
              <w:right w:val="nil"/>
            </w:tcBorders>
            <w:shd w:val="clear" w:color="auto" w:fill="auto"/>
            <w:vAlign w:val="center"/>
            <w:hideMark/>
          </w:tcPr>
          <w:p w14:paraId="0949FBB9" w14:textId="77777777" w:rsidR="009A4861" w:rsidRPr="00A4304A" w:rsidRDefault="009A4861" w:rsidP="00A062A0">
            <w:pPr>
              <w:jc w:val="cente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Valor de mercado</w:t>
            </w:r>
          </w:p>
        </w:tc>
      </w:tr>
      <w:tr w:rsidR="001E4BA0" w:rsidRPr="002057D3" w14:paraId="79A48AC0" w14:textId="77777777" w:rsidTr="008C739D">
        <w:trPr>
          <w:trHeight w:val="283"/>
        </w:trPr>
        <w:tc>
          <w:tcPr>
            <w:tcW w:w="1037" w:type="pct"/>
            <w:tcBorders>
              <w:top w:val="single" w:sz="4" w:space="0" w:color="F39200"/>
              <w:left w:val="nil"/>
              <w:bottom w:val="nil"/>
              <w:right w:val="nil"/>
            </w:tcBorders>
            <w:shd w:val="clear" w:color="auto" w:fill="auto"/>
            <w:vAlign w:val="center"/>
            <w:hideMark/>
          </w:tcPr>
          <w:p w14:paraId="26F89D9C" w14:textId="77777777" w:rsidR="001E4BA0" w:rsidRPr="00A4304A" w:rsidRDefault="001E4BA0" w:rsidP="001E4BA0">
            <w:pP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Títulos públicos</w:t>
            </w:r>
          </w:p>
        </w:tc>
        <w:tc>
          <w:tcPr>
            <w:tcW w:w="336" w:type="pct"/>
            <w:tcBorders>
              <w:top w:val="single" w:sz="4" w:space="0" w:color="F79646" w:themeColor="accent6"/>
              <w:left w:val="nil"/>
              <w:bottom w:val="nil"/>
              <w:right w:val="nil"/>
            </w:tcBorders>
            <w:shd w:val="clear" w:color="auto" w:fill="auto"/>
            <w:noWrap/>
            <w:vAlign w:val="center"/>
          </w:tcPr>
          <w:p w14:paraId="2AC33B1F" w14:textId="784CF681"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single" w:sz="4" w:space="0" w:color="F79646" w:themeColor="accent6"/>
              <w:left w:val="nil"/>
              <w:bottom w:val="nil"/>
              <w:right w:val="nil"/>
            </w:tcBorders>
            <w:shd w:val="clear" w:color="auto" w:fill="auto"/>
            <w:noWrap/>
            <w:vAlign w:val="center"/>
          </w:tcPr>
          <w:p w14:paraId="1EBFD8C0" w14:textId="1288A426" w:rsidR="001E4BA0" w:rsidRPr="00A4304A" w:rsidRDefault="00922377"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single" w:sz="4" w:space="0" w:color="F79646" w:themeColor="accent6"/>
              <w:left w:val="nil"/>
              <w:bottom w:val="nil"/>
              <w:right w:val="nil"/>
            </w:tcBorders>
            <w:shd w:val="clear" w:color="auto" w:fill="auto"/>
            <w:vAlign w:val="center"/>
          </w:tcPr>
          <w:p w14:paraId="40EAF1FA" w14:textId="79264E09"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noWrap/>
            <w:vAlign w:val="center"/>
          </w:tcPr>
          <w:p w14:paraId="1051CE74" w14:textId="29BBA0B4"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386.951</w:t>
            </w:r>
          </w:p>
        </w:tc>
        <w:tc>
          <w:tcPr>
            <w:tcW w:w="410" w:type="pct"/>
            <w:tcBorders>
              <w:top w:val="nil"/>
              <w:left w:val="nil"/>
              <w:bottom w:val="nil"/>
              <w:right w:val="nil"/>
            </w:tcBorders>
            <w:shd w:val="clear" w:color="auto" w:fill="auto"/>
            <w:noWrap/>
            <w:vAlign w:val="center"/>
          </w:tcPr>
          <w:p w14:paraId="2D69E852" w14:textId="074DBE47"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136.257.132</w:t>
            </w:r>
          </w:p>
        </w:tc>
        <w:tc>
          <w:tcPr>
            <w:tcW w:w="410" w:type="pct"/>
            <w:tcBorders>
              <w:top w:val="nil"/>
              <w:left w:val="nil"/>
              <w:bottom w:val="nil"/>
              <w:right w:val="nil"/>
            </w:tcBorders>
            <w:shd w:val="clear" w:color="auto" w:fill="auto"/>
            <w:noWrap/>
            <w:vAlign w:val="center"/>
          </w:tcPr>
          <w:p w14:paraId="530263C3" w14:textId="4EBD3B5D"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136.570.825</w:t>
            </w:r>
          </w:p>
        </w:tc>
        <w:tc>
          <w:tcPr>
            <w:tcW w:w="336" w:type="pct"/>
            <w:tcBorders>
              <w:top w:val="nil"/>
              <w:left w:val="nil"/>
              <w:bottom w:val="nil"/>
              <w:right w:val="nil"/>
            </w:tcBorders>
            <w:shd w:val="clear" w:color="auto" w:fill="auto"/>
            <w:noWrap/>
            <w:vAlign w:val="center"/>
          </w:tcPr>
          <w:p w14:paraId="1DB9FEBE" w14:textId="7C2B2906"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73.258</w:t>
            </w:r>
          </w:p>
        </w:tc>
        <w:tc>
          <w:tcPr>
            <w:tcW w:w="411" w:type="pct"/>
            <w:tcBorders>
              <w:top w:val="nil"/>
              <w:left w:val="nil"/>
              <w:bottom w:val="nil"/>
              <w:right w:val="nil"/>
            </w:tcBorders>
            <w:shd w:val="clear" w:color="auto" w:fill="auto"/>
            <w:noWrap/>
            <w:vAlign w:val="center"/>
          </w:tcPr>
          <w:p w14:paraId="036E7CC5" w14:textId="700730B2"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136.644.083</w:t>
            </w:r>
          </w:p>
        </w:tc>
        <w:tc>
          <w:tcPr>
            <w:tcW w:w="410" w:type="pct"/>
            <w:tcBorders>
              <w:top w:val="nil"/>
              <w:left w:val="nil"/>
              <w:bottom w:val="nil"/>
              <w:right w:val="nil"/>
            </w:tcBorders>
            <w:shd w:val="clear" w:color="auto" w:fill="auto"/>
            <w:noWrap/>
            <w:vAlign w:val="center"/>
          </w:tcPr>
          <w:p w14:paraId="40B53874" w14:textId="6E14FAE9"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123.552.099</w:t>
            </w:r>
          </w:p>
        </w:tc>
        <w:tc>
          <w:tcPr>
            <w:tcW w:w="336" w:type="pct"/>
            <w:tcBorders>
              <w:top w:val="nil"/>
              <w:left w:val="nil"/>
              <w:bottom w:val="nil"/>
              <w:right w:val="nil"/>
            </w:tcBorders>
            <w:shd w:val="clear" w:color="auto" w:fill="auto"/>
            <w:noWrap/>
            <w:vAlign w:val="center"/>
          </w:tcPr>
          <w:p w14:paraId="03439E66" w14:textId="075ED98C"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47.071</w:t>
            </w:r>
          </w:p>
        </w:tc>
        <w:tc>
          <w:tcPr>
            <w:tcW w:w="410" w:type="pct"/>
            <w:tcBorders>
              <w:top w:val="nil"/>
              <w:left w:val="nil"/>
              <w:bottom w:val="nil"/>
              <w:right w:val="nil"/>
            </w:tcBorders>
            <w:shd w:val="clear" w:color="auto" w:fill="auto"/>
            <w:noWrap/>
            <w:vAlign w:val="center"/>
          </w:tcPr>
          <w:p w14:paraId="542063E1" w14:textId="2EF0D3BB"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123.599.170</w:t>
            </w:r>
          </w:p>
        </w:tc>
      </w:tr>
      <w:tr w:rsidR="001E4BA0" w:rsidRPr="002057D3" w14:paraId="006F71FE" w14:textId="77777777" w:rsidTr="001E4BA0">
        <w:trPr>
          <w:trHeight w:val="283"/>
        </w:trPr>
        <w:tc>
          <w:tcPr>
            <w:tcW w:w="1037" w:type="pct"/>
            <w:tcBorders>
              <w:top w:val="nil"/>
              <w:left w:val="nil"/>
              <w:bottom w:val="nil"/>
              <w:right w:val="nil"/>
            </w:tcBorders>
            <w:shd w:val="clear" w:color="auto" w:fill="auto"/>
            <w:vAlign w:val="center"/>
            <w:hideMark/>
          </w:tcPr>
          <w:p w14:paraId="386BDAB1"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Letras financeiras do tesouro</w:t>
            </w:r>
          </w:p>
        </w:tc>
        <w:tc>
          <w:tcPr>
            <w:tcW w:w="336" w:type="pct"/>
            <w:tcBorders>
              <w:top w:val="nil"/>
              <w:left w:val="nil"/>
              <w:bottom w:val="nil"/>
              <w:right w:val="nil"/>
            </w:tcBorders>
            <w:shd w:val="clear" w:color="auto" w:fill="auto"/>
            <w:vAlign w:val="center"/>
          </w:tcPr>
          <w:p w14:paraId="1CB1845B" w14:textId="1D679233"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612F588B" w14:textId="744B9320"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7064C341" w14:textId="58B1CE14"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64A390FE" w14:textId="68B5E291"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386.951</w:t>
            </w:r>
          </w:p>
        </w:tc>
        <w:tc>
          <w:tcPr>
            <w:tcW w:w="410" w:type="pct"/>
            <w:tcBorders>
              <w:top w:val="nil"/>
              <w:left w:val="nil"/>
              <w:bottom w:val="nil"/>
              <w:right w:val="nil"/>
            </w:tcBorders>
            <w:shd w:val="clear" w:color="auto" w:fill="auto"/>
            <w:vAlign w:val="center"/>
          </w:tcPr>
          <w:p w14:paraId="71FE4E31" w14:textId="3A38F71C"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134.445.536</w:t>
            </w:r>
          </w:p>
        </w:tc>
        <w:tc>
          <w:tcPr>
            <w:tcW w:w="410" w:type="pct"/>
            <w:tcBorders>
              <w:top w:val="nil"/>
              <w:left w:val="nil"/>
              <w:bottom w:val="nil"/>
              <w:right w:val="nil"/>
            </w:tcBorders>
            <w:shd w:val="clear" w:color="auto" w:fill="auto"/>
            <w:noWrap/>
            <w:vAlign w:val="center"/>
          </w:tcPr>
          <w:p w14:paraId="440A998C" w14:textId="065DACCB"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134.747.109</w:t>
            </w:r>
          </w:p>
        </w:tc>
        <w:tc>
          <w:tcPr>
            <w:tcW w:w="336" w:type="pct"/>
            <w:tcBorders>
              <w:top w:val="nil"/>
              <w:left w:val="nil"/>
              <w:bottom w:val="nil"/>
              <w:right w:val="nil"/>
            </w:tcBorders>
            <w:shd w:val="clear" w:color="auto" w:fill="auto"/>
            <w:noWrap/>
            <w:vAlign w:val="center"/>
          </w:tcPr>
          <w:p w14:paraId="65B1717D" w14:textId="591BAB52"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85.378</w:t>
            </w:r>
          </w:p>
        </w:tc>
        <w:tc>
          <w:tcPr>
            <w:tcW w:w="411" w:type="pct"/>
            <w:tcBorders>
              <w:top w:val="nil"/>
              <w:left w:val="nil"/>
              <w:bottom w:val="nil"/>
              <w:right w:val="nil"/>
            </w:tcBorders>
            <w:shd w:val="clear" w:color="auto" w:fill="auto"/>
            <w:noWrap/>
            <w:vAlign w:val="center"/>
          </w:tcPr>
          <w:p w14:paraId="635BBC3F" w14:textId="2A7069A2"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134.832.487</w:t>
            </w:r>
          </w:p>
        </w:tc>
        <w:tc>
          <w:tcPr>
            <w:tcW w:w="410" w:type="pct"/>
            <w:tcBorders>
              <w:top w:val="nil"/>
              <w:left w:val="nil"/>
              <w:bottom w:val="nil"/>
              <w:right w:val="nil"/>
            </w:tcBorders>
            <w:shd w:val="clear" w:color="auto" w:fill="auto"/>
            <w:noWrap/>
            <w:vAlign w:val="center"/>
          </w:tcPr>
          <w:p w14:paraId="5151B60C" w14:textId="1D2EF6E3"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121.199.664</w:t>
            </w:r>
          </w:p>
        </w:tc>
        <w:tc>
          <w:tcPr>
            <w:tcW w:w="336" w:type="pct"/>
            <w:tcBorders>
              <w:top w:val="nil"/>
              <w:left w:val="nil"/>
              <w:bottom w:val="nil"/>
              <w:right w:val="nil"/>
            </w:tcBorders>
            <w:shd w:val="clear" w:color="auto" w:fill="auto"/>
            <w:noWrap/>
            <w:vAlign w:val="center"/>
          </w:tcPr>
          <w:p w14:paraId="46C1B92F" w14:textId="0A85A814"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35.037</w:t>
            </w:r>
          </w:p>
        </w:tc>
        <w:tc>
          <w:tcPr>
            <w:tcW w:w="410" w:type="pct"/>
            <w:tcBorders>
              <w:top w:val="nil"/>
              <w:left w:val="nil"/>
              <w:bottom w:val="nil"/>
              <w:right w:val="nil"/>
            </w:tcBorders>
            <w:shd w:val="clear" w:color="auto" w:fill="auto"/>
            <w:noWrap/>
            <w:vAlign w:val="center"/>
          </w:tcPr>
          <w:p w14:paraId="10EA1D37" w14:textId="0D86AE16"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121.234.701</w:t>
            </w:r>
          </w:p>
        </w:tc>
      </w:tr>
      <w:tr w:rsidR="001E4BA0" w:rsidRPr="002057D3" w14:paraId="679616E3" w14:textId="77777777" w:rsidTr="001E4BA0">
        <w:trPr>
          <w:trHeight w:val="283"/>
        </w:trPr>
        <w:tc>
          <w:tcPr>
            <w:tcW w:w="1037" w:type="pct"/>
            <w:tcBorders>
              <w:top w:val="nil"/>
              <w:left w:val="nil"/>
              <w:bottom w:val="nil"/>
              <w:right w:val="nil"/>
            </w:tcBorders>
            <w:shd w:val="clear" w:color="auto" w:fill="auto"/>
            <w:vAlign w:val="center"/>
            <w:hideMark/>
          </w:tcPr>
          <w:p w14:paraId="4E74DACA"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Letras do tesouro Nacional</w:t>
            </w:r>
          </w:p>
        </w:tc>
        <w:tc>
          <w:tcPr>
            <w:tcW w:w="336" w:type="pct"/>
            <w:tcBorders>
              <w:top w:val="nil"/>
              <w:left w:val="nil"/>
              <w:bottom w:val="nil"/>
              <w:right w:val="nil"/>
            </w:tcBorders>
            <w:shd w:val="clear" w:color="auto" w:fill="auto"/>
            <w:vAlign w:val="center"/>
          </w:tcPr>
          <w:p w14:paraId="73FA5617" w14:textId="2E1FB83A"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65C5AC6F" w14:textId="09FCFE56"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6B7516BB" w14:textId="638D71BC"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05F6002B" w14:textId="77C4DB73"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49712B64" w14:textId="34F29F28"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noWrap/>
            <w:vAlign w:val="center"/>
          </w:tcPr>
          <w:p w14:paraId="159A76E5" w14:textId="0FD13E18"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noWrap/>
            <w:vAlign w:val="center"/>
          </w:tcPr>
          <w:p w14:paraId="61CFE151" w14:textId="01D94B0A"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1" w:type="pct"/>
            <w:tcBorders>
              <w:top w:val="nil"/>
              <w:left w:val="nil"/>
              <w:bottom w:val="nil"/>
              <w:right w:val="nil"/>
            </w:tcBorders>
            <w:shd w:val="clear" w:color="auto" w:fill="auto"/>
            <w:noWrap/>
            <w:vAlign w:val="center"/>
          </w:tcPr>
          <w:p w14:paraId="7F03CE1E" w14:textId="615BBB9C"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noWrap/>
            <w:vAlign w:val="center"/>
          </w:tcPr>
          <w:p w14:paraId="5007521A" w14:textId="09839F07"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1.149.723</w:t>
            </w:r>
          </w:p>
        </w:tc>
        <w:tc>
          <w:tcPr>
            <w:tcW w:w="336" w:type="pct"/>
            <w:tcBorders>
              <w:top w:val="nil"/>
              <w:left w:val="nil"/>
              <w:bottom w:val="nil"/>
              <w:right w:val="nil"/>
            </w:tcBorders>
            <w:shd w:val="clear" w:color="auto" w:fill="auto"/>
            <w:noWrap/>
            <w:vAlign w:val="center"/>
          </w:tcPr>
          <w:p w14:paraId="43E59D5D" w14:textId="197875D6"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(226)</w:t>
            </w:r>
          </w:p>
        </w:tc>
        <w:tc>
          <w:tcPr>
            <w:tcW w:w="410" w:type="pct"/>
            <w:tcBorders>
              <w:top w:val="nil"/>
              <w:left w:val="nil"/>
              <w:bottom w:val="nil"/>
              <w:right w:val="nil"/>
            </w:tcBorders>
            <w:shd w:val="clear" w:color="auto" w:fill="auto"/>
            <w:noWrap/>
            <w:vAlign w:val="center"/>
          </w:tcPr>
          <w:p w14:paraId="5AD2E488" w14:textId="5780500B"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1.149.497</w:t>
            </w:r>
          </w:p>
        </w:tc>
      </w:tr>
      <w:tr w:rsidR="001E4BA0" w:rsidRPr="002057D3" w14:paraId="28B575BE" w14:textId="77777777" w:rsidTr="001E4BA0">
        <w:trPr>
          <w:trHeight w:val="283"/>
        </w:trPr>
        <w:tc>
          <w:tcPr>
            <w:tcW w:w="1037" w:type="pct"/>
            <w:tcBorders>
              <w:top w:val="nil"/>
              <w:left w:val="nil"/>
              <w:bottom w:val="nil"/>
              <w:right w:val="nil"/>
            </w:tcBorders>
            <w:shd w:val="clear" w:color="auto" w:fill="auto"/>
            <w:vAlign w:val="center"/>
            <w:hideMark/>
          </w:tcPr>
          <w:p w14:paraId="03F8E85F"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Notas do tesouro nacional</w:t>
            </w:r>
          </w:p>
        </w:tc>
        <w:tc>
          <w:tcPr>
            <w:tcW w:w="336" w:type="pct"/>
            <w:tcBorders>
              <w:top w:val="nil"/>
              <w:left w:val="nil"/>
              <w:bottom w:val="nil"/>
              <w:right w:val="nil"/>
            </w:tcBorders>
            <w:shd w:val="clear" w:color="auto" w:fill="auto"/>
            <w:vAlign w:val="center"/>
          </w:tcPr>
          <w:p w14:paraId="7EF7392F" w14:textId="34FA37D6"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6D59B483" w14:textId="0263A86D"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256EE9EC" w14:textId="0C92761A"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2B10BE9B" w14:textId="708AF16A"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3C6CF8CE" w14:textId="7A4B3812"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1.630.933</w:t>
            </w:r>
          </w:p>
        </w:tc>
        <w:tc>
          <w:tcPr>
            <w:tcW w:w="410" w:type="pct"/>
            <w:tcBorders>
              <w:top w:val="nil"/>
              <w:left w:val="nil"/>
              <w:bottom w:val="nil"/>
              <w:right w:val="nil"/>
            </w:tcBorders>
            <w:shd w:val="clear" w:color="auto" w:fill="auto"/>
            <w:noWrap/>
            <w:vAlign w:val="center"/>
          </w:tcPr>
          <w:p w14:paraId="3B91CF07" w14:textId="18C71753"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1.638.576</w:t>
            </w:r>
          </w:p>
        </w:tc>
        <w:tc>
          <w:tcPr>
            <w:tcW w:w="336" w:type="pct"/>
            <w:tcBorders>
              <w:top w:val="nil"/>
              <w:left w:val="nil"/>
              <w:bottom w:val="nil"/>
              <w:right w:val="nil"/>
            </w:tcBorders>
            <w:shd w:val="clear" w:color="auto" w:fill="auto"/>
            <w:noWrap/>
            <w:vAlign w:val="center"/>
          </w:tcPr>
          <w:p w14:paraId="63C0115D" w14:textId="28D680A7" w:rsidR="001E4BA0" w:rsidRPr="00A4304A" w:rsidRDefault="00BB1A6D" w:rsidP="0058012D">
            <w:pPr>
              <w:jc w:val="right"/>
              <w:rPr>
                <w:rFonts w:ascii="CAIXA Std Book" w:hAnsi="CAIXA Std Book" w:cs="Arial"/>
                <w:color w:val="005CA9"/>
                <w:sz w:val="16"/>
                <w:szCs w:val="16"/>
              </w:rPr>
            </w:pPr>
            <w:r>
              <w:rPr>
                <w:rFonts w:ascii="CAIXA Std Book" w:hAnsi="CAIXA Std Book" w:cs="Arial"/>
                <w:color w:val="005CA9"/>
                <w:sz w:val="16"/>
                <w:szCs w:val="16"/>
              </w:rPr>
              <w:t>(</w:t>
            </w:r>
            <w:r w:rsidR="001E4BA0">
              <w:rPr>
                <w:rFonts w:ascii="CAIXA Std Book" w:hAnsi="CAIXA Std Book" w:cs="Arial"/>
                <w:color w:val="005CA9"/>
                <w:sz w:val="16"/>
                <w:szCs w:val="16"/>
              </w:rPr>
              <w:t>7.643</w:t>
            </w:r>
            <w:r>
              <w:rPr>
                <w:rFonts w:ascii="CAIXA Std Book" w:hAnsi="CAIXA Std Book" w:cs="Arial"/>
                <w:color w:val="005CA9"/>
                <w:sz w:val="16"/>
                <w:szCs w:val="16"/>
              </w:rPr>
              <w:t>)</w:t>
            </w:r>
          </w:p>
        </w:tc>
        <w:tc>
          <w:tcPr>
            <w:tcW w:w="411" w:type="pct"/>
            <w:tcBorders>
              <w:top w:val="nil"/>
              <w:left w:val="nil"/>
              <w:bottom w:val="nil"/>
              <w:right w:val="nil"/>
            </w:tcBorders>
            <w:shd w:val="clear" w:color="auto" w:fill="auto"/>
            <w:noWrap/>
            <w:vAlign w:val="center"/>
          </w:tcPr>
          <w:p w14:paraId="5A67041C" w14:textId="02470156"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1.630.933</w:t>
            </w:r>
          </w:p>
        </w:tc>
        <w:tc>
          <w:tcPr>
            <w:tcW w:w="410" w:type="pct"/>
            <w:tcBorders>
              <w:top w:val="nil"/>
              <w:left w:val="nil"/>
              <w:bottom w:val="nil"/>
              <w:right w:val="nil"/>
            </w:tcBorders>
            <w:shd w:val="clear" w:color="auto" w:fill="auto"/>
            <w:noWrap/>
            <w:vAlign w:val="center"/>
          </w:tcPr>
          <w:p w14:paraId="3D159285" w14:textId="33FB2E1B"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1.008.253</w:t>
            </w:r>
          </w:p>
        </w:tc>
        <w:tc>
          <w:tcPr>
            <w:tcW w:w="336" w:type="pct"/>
            <w:tcBorders>
              <w:top w:val="nil"/>
              <w:left w:val="nil"/>
              <w:bottom w:val="nil"/>
              <w:right w:val="nil"/>
            </w:tcBorders>
            <w:shd w:val="clear" w:color="auto" w:fill="auto"/>
            <w:noWrap/>
            <w:vAlign w:val="center"/>
          </w:tcPr>
          <w:p w14:paraId="7FA2C4D1" w14:textId="03F2D24F"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17.570</w:t>
            </w:r>
          </w:p>
        </w:tc>
        <w:tc>
          <w:tcPr>
            <w:tcW w:w="410" w:type="pct"/>
            <w:tcBorders>
              <w:top w:val="nil"/>
              <w:left w:val="nil"/>
              <w:bottom w:val="nil"/>
              <w:right w:val="nil"/>
            </w:tcBorders>
            <w:shd w:val="clear" w:color="auto" w:fill="auto"/>
            <w:noWrap/>
            <w:vAlign w:val="center"/>
          </w:tcPr>
          <w:p w14:paraId="2265713A" w14:textId="265DFAAC"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1.025.823</w:t>
            </w:r>
          </w:p>
        </w:tc>
      </w:tr>
      <w:tr w:rsidR="001E4BA0" w:rsidRPr="002057D3" w14:paraId="07D988A7" w14:textId="77777777" w:rsidTr="001E4BA0">
        <w:trPr>
          <w:trHeight w:val="283"/>
        </w:trPr>
        <w:tc>
          <w:tcPr>
            <w:tcW w:w="1037" w:type="pct"/>
            <w:tcBorders>
              <w:top w:val="nil"/>
              <w:left w:val="nil"/>
              <w:bottom w:val="nil"/>
              <w:right w:val="nil"/>
            </w:tcBorders>
            <w:shd w:val="clear" w:color="auto" w:fill="auto"/>
            <w:vAlign w:val="center"/>
            <w:hideMark/>
          </w:tcPr>
          <w:p w14:paraId="5472D24A"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Tesouro nacional/ securitizados</w:t>
            </w:r>
          </w:p>
        </w:tc>
        <w:tc>
          <w:tcPr>
            <w:tcW w:w="336" w:type="pct"/>
            <w:tcBorders>
              <w:top w:val="nil"/>
              <w:left w:val="nil"/>
              <w:bottom w:val="nil"/>
              <w:right w:val="nil"/>
            </w:tcBorders>
            <w:shd w:val="clear" w:color="auto" w:fill="auto"/>
            <w:vAlign w:val="center"/>
          </w:tcPr>
          <w:p w14:paraId="53FA39AC" w14:textId="3ADAF039"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41835EB1" w14:textId="05C4A855"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67D472A8" w14:textId="48039CC4"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5C3F8660" w14:textId="58A2D43C"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0C12E792" w14:textId="2A71CCDB"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180.663</w:t>
            </w:r>
          </w:p>
        </w:tc>
        <w:tc>
          <w:tcPr>
            <w:tcW w:w="410" w:type="pct"/>
            <w:tcBorders>
              <w:top w:val="nil"/>
              <w:left w:val="nil"/>
              <w:bottom w:val="nil"/>
              <w:right w:val="nil"/>
            </w:tcBorders>
            <w:shd w:val="clear" w:color="auto" w:fill="auto"/>
            <w:noWrap/>
            <w:vAlign w:val="center"/>
          </w:tcPr>
          <w:p w14:paraId="4C4A8595" w14:textId="480E1F26"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185.140</w:t>
            </w:r>
          </w:p>
        </w:tc>
        <w:tc>
          <w:tcPr>
            <w:tcW w:w="336" w:type="pct"/>
            <w:tcBorders>
              <w:top w:val="nil"/>
              <w:left w:val="nil"/>
              <w:bottom w:val="nil"/>
              <w:right w:val="nil"/>
            </w:tcBorders>
            <w:shd w:val="clear" w:color="auto" w:fill="auto"/>
            <w:noWrap/>
            <w:vAlign w:val="center"/>
          </w:tcPr>
          <w:p w14:paraId="61F39226" w14:textId="60CDC2A7" w:rsidR="001E4BA0" w:rsidRPr="00A4304A" w:rsidRDefault="00BB1A6D" w:rsidP="0058012D">
            <w:pPr>
              <w:jc w:val="right"/>
              <w:rPr>
                <w:rFonts w:ascii="CAIXA Std Book" w:hAnsi="CAIXA Std Book" w:cs="Arial"/>
                <w:color w:val="005CA9"/>
                <w:sz w:val="16"/>
                <w:szCs w:val="16"/>
              </w:rPr>
            </w:pPr>
            <w:r>
              <w:rPr>
                <w:rFonts w:ascii="CAIXA Std Book" w:hAnsi="CAIXA Std Book" w:cs="Arial"/>
                <w:color w:val="005CA9"/>
                <w:sz w:val="16"/>
                <w:szCs w:val="16"/>
              </w:rPr>
              <w:t>(</w:t>
            </w:r>
            <w:r w:rsidR="001E4BA0">
              <w:rPr>
                <w:rFonts w:ascii="CAIXA Std Book" w:hAnsi="CAIXA Std Book" w:cs="Arial"/>
                <w:color w:val="005CA9"/>
                <w:sz w:val="16"/>
                <w:szCs w:val="16"/>
              </w:rPr>
              <w:t>4.477</w:t>
            </w:r>
            <w:r>
              <w:rPr>
                <w:rFonts w:ascii="CAIXA Std Book" w:hAnsi="CAIXA Std Book" w:cs="Arial"/>
                <w:color w:val="005CA9"/>
                <w:sz w:val="16"/>
                <w:szCs w:val="16"/>
              </w:rPr>
              <w:t>)</w:t>
            </w:r>
          </w:p>
        </w:tc>
        <w:tc>
          <w:tcPr>
            <w:tcW w:w="411" w:type="pct"/>
            <w:tcBorders>
              <w:top w:val="nil"/>
              <w:left w:val="nil"/>
              <w:bottom w:val="nil"/>
              <w:right w:val="nil"/>
            </w:tcBorders>
            <w:shd w:val="clear" w:color="auto" w:fill="auto"/>
            <w:noWrap/>
            <w:vAlign w:val="center"/>
          </w:tcPr>
          <w:p w14:paraId="583AA0A8" w14:textId="43146EEB"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180.663</w:t>
            </w:r>
          </w:p>
        </w:tc>
        <w:tc>
          <w:tcPr>
            <w:tcW w:w="410" w:type="pct"/>
            <w:tcBorders>
              <w:top w:val="nil"/>
              <w:left w:val="nil"/>
              <w:bottom w:val="nil"/>
              <w:right w:val="nil"/>
            </w:tcBorders>
            <w:shd w:val="clear" w:color="auto" w:fill="auto"/>
            <w:noWrap/>
            <w:vAlign w:val="center"/>
          </w:tcPr>
          <w:p w14:paraId="5C32399A" w14:textId="7117CB5D"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194.459</w:t>
            </w:r>
          </w:p>
        </w:tc>
        <w:tc>
          <w:tcPr>
            <w:tcW w:w="336" w:type="pct"/>
            <w:tcBorders>
              <w:top w:val="nil"/>
              <w:left w:val="nil"/>
              <w:bottom w:val="nil"/>
              <w:right w:val="nil"/>
            </w:tcBorders>
            <w:shd w:val="clear" w:color="auto" w:fill="auto"/>
            <w:noWrap/>
            <w:vAlign w:val="center"/>
          </w:tcPr>
          <w:p w14:paraId="0DD8AA5B" w14:textId="38E19EBB"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(5.310)</w:t>
            </w:r>
          </w:p>
        </w:tc>
        <w:tc>
          <w:tcPr>
            <w:tcW w:w="410" w:type="pct"/>
            <w:tcBorders>
              <w:top w:val="nil"/>
              <w:left w:val="nil"/>
              <w:bottom w:val="nil"/>
              <w:right w:val="nil"/>
            </w:tcBorders>
            <w:shd w:val="clear" w:color="auto" w:fill="auto"/>
            <w:noWrap/>
            <w:vAlign w:val="center"/>
          </w:tcPr>
          <w:p w14:paraId="4C0C1DA1" w14:textId="26C0506A"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189.149</w:t>
            </w:r>
          </w:p>
        </w:tc>
      </w:tr>
      <w:tr w:rsidR="001E4BA0" w:rsidRPr="002057D3" w14:paraId="6E797DC3" w14:textId="77777777" w:rsidTr="001E4BA0">
        <w:trPr>
          <w:trHeight w:val="283"/>
        </w:trPr>
        <w:tc>
          <w:tcPr>
            <w:tcW w:w="1037" w:type="pct"/>
            <w:tcBorders>
              <w:top w:val="nil"/>
              <w:left w:val="nil"/>
              <w:bottom w:val="nil"/>
              <w:right w:val="nil"/>
            </w:tcBorders>
            <w:shd w:val="clear" w:color="auto" w:fill="auto"/>
            <w:vAlign w:val="center"/>
            <w:hideMark/>
          </w:tcPr>
          <w:p w14:paraId="3F5C1601" w14:textId="77777777" w:rsidR="001E4BA0" w:rsidRPr="00A4304A" w:rsidRDefault="001E4BA0" w:rsidP="001E4BA0">
            <w:pP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Títulos – empresas</w:t>
            </w:r>
          </w:p>
        </w:tc>
        <w:tc>
          <w:tcPr>
            <w:tcW w:w="336" w:type="pct"/>
            <w:tcBorders>
              <w:top w:val="nil"/>
              <w:left w:val="nil"/>
              <w:bottom w:val="nil"/>
              <w:right w:val="nil"/>
            </w:tcBorders>
            <w:shd w:val="clear" w:color="auto" w:fill="auto"/>
            <w:noWrap/>
            <w:vAlign w:val="center"/>
          </w:tcPr>
          <w:p w14:paraId="4AC50C10" w14:textId="4D95E5A1"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1.298.671</w:t>
            </w:r>
          </w:p>
        </w:tc>
        <w:tc>
          <w:tcPr>
            <w:tcW w:w="284" w:type="pct"/>
            <w:tcBorders>
              <w:top w:val="nil"/>
              <w:left w:val="nil"/>
              <w:bottom w:val="nil"/>
              <w:right w:val="nil"/>
            </w:tcBorders>
            <w:shd w:val="clear" w:color="auto" w:fill="auto"/>
            <w:noWrap/>
            <w:vAlign w:val="center"/>
          </w:tcPr>
          <w:p w14:paraId="046CAAA4" w14:textId="63ED4C9E"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480.593</w:t>
            </w:r>
          </w:p>
        </w:tc>
        <w:tc>
          <w:tcPr>
            <w:tcW w:w="284" w:type="pct"/>
            <w:tcBorders>
              <w:top w:val="nil"/>
              <w:left w:val="nil"/>
              <w:bottom w:val="nil"/>
              <w:right w:val="nil"/>
            </w:tcBorders>
            <w:shd w:val="clear" w:color="auto" w:fill="auto"/>
            <w:vAlign w:val="center"/>
          </w:tcPr>
          <w:p w14:paraId="57DB0D79" w14:textId="40B18BBA"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283.041</w:t>
            </w:r>
          </w:p>
        </w:tc>
        <w:tc>
          <w:tcPr>
            <w:tcW w:w="336" w:type="pct"/>
            <w:tcBorders>
              <w:top w:val="nil"/>
              <w:left w:val="nil"/>
              <w:bottom w:val="nil"/>
              <w:right w:val="nil"/>
            </w:tcBorders>
            <w:shd w:val="clear" w:color="auto" w:fill="auto"/>
            <w:noWrap/>
            <w:vAlign w:val="center"/>
          </w:tcPr>
          <w:p w14:paraId="09A0C822" w14:textId="1571C7B4"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871.188</w:t>
            </w:r>
          </w:p>
        </w:tc>
        <w:tc>
          <w:tcPr>
            <w:tcW w:w="410" w:type="pct"/>
            <w:tcBorders>
              <w:top w:val="nil"/>
              <w:left w:val="nil"/>
              <w:bottom w:val="nil"/>
              <w:right w:val="nil"/>
            </w:tcBorders>
            <w:shd w:val="clear" w:color="auto" w:fill="auto"/>
            <w:noWrap/>
            <w:vAlign w:val="center"/>
          </w:tcPr>
          <w:p w14:paraId="782A6669" w14:textId="2C234887"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10.475.507</w:t>
            </w:r>
          </w:p>
        </w:tc>
        <w:tc>
          <w:tcPr>
            <w:tcW w:w="410" w:type="pct"/>
            <w:tcBorders>
              <w:top w:val="nil"/>
              <w:left w:val="nil"/>
              <w:bottom w:val="nil"/>
              <w:right w:val="nil"/>
            </w:tcBorders>
            <w:shd w:val="clear" w:color="auto" w:fill="auto"/>
            <w:noWrap/>
            <w:vAlign w:val="center"/>
          </w:tcPr>
          <w:p w14:paraId="0DA7D4D7" w14:textId="4934D0B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12.236.513</w:t>
            </w:r>
          </w:p>
        </w:tc>
        <w:tc>
          <w:tcPr>
            <w:tcW w:w="336" w:type="pct"/>
            <w:tcBorders>
              <w:top w:val="nil"/>
              <w:left w:val="nil"/>
              <w:bottom w:val="nil"/>
              <w:right w:val="nil"/>
            </w:tcBorders>
            <w:shd w:val="clear" w:color="auto" w:fill="auto"/>
            <w:noWrap/>
            <w:vAlign w:val="center"/>
          </w:tcPr>
          <w:p w14:paraId="7A9CF7F8" w14:textId="28E43B2B"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1.172.487</w:t>
            </w:r>
          </w:p>
        </w:tc>
        <w:tc>
          <w:tcPr>
            <w:tcW w:w="411" w:type="pct"/>
            <w:tcBorders>
              <w:top w:val="nil"/>
              <w:left w:val="nil"/>
              <w:bottom w:val="nil"/>
              <w:right w:val="nil"/>
            </w:tcBorders>
            <w:shd w:val="clear" w:color="auto" w:fill="auto"/>
            <w:noWrap/>
            <w:vAlign w:val="center"/>
          </w:tcPr>
          <w:p w14:paraId="72E1EA50" w14:textId="6B29F363" w:rsidR="001E4BA0" w:rsidRPr="00A4304A" w:rsidRDefault="001E4BA0" w:rsidP="0058012D">
            <w:pPr>
              <w:jc w:val="right"/>
              <w:rPr>
                <w:rFonts w:ascii="CAIXA Std Book" w:hAnsi="CAIXA Std Book" w:cs="Arial"/>
                <w:b/>
                <w:color w:val="005CA9"/>
                <w:sz w:val="16"/>
                <w:szCs w:val="16"/>
              </w:rPr>
            </w:pPr>
            <w:r>
              <w:rPr>
                <w:rFonts w:ascii="CAIXA Std Book" w:hAnsi="CAIXA Std Book" w:cs="Arial"/>
                <w:b/>
                <w:bCs/>
                <w:color w:val="005CA9"/>
                <w:sz w:val="16"/>
                <w:szCs w:val="16"/>
              </w:rPr>
              <w:t>13.409.000</w:t>
            </w:r>
          </w:p>
        </w:tc>
        <w:tc>
          <w:tcPr>
            <w:tcW w:w="410" w:type="pct"/>
            <w:tcBorders>
              <w:top w:val="nil"/>
              <w:left w:val="nil"/>
              <w:bottom w:val="nil"/>
              <w:right w:val="nil"/>
            </w:tcBorders>
            <w:shd w:val="clear" w:color="auto" w:fill="auto"/>
            <w:noWrap/>
            <w:vAlign w:val="center"/>
          </w:tcPr>
          <w:p w14:paraId="5FE6FDC4" w14:textId="7B1D7C79"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11.386.605</w:t>
            </w:r>
          </w:p>
        </w:tc>
        <w:tc>
          <w:tcPr>
            <w:tcW w:w="336" w:type="pct"/>
            <w:tcBorders>
              <w:top w:val="nil"/>
              <w:left w:val="nil"/>
              <w:bottom w:val="nil"/>
              <w:right w:val="nil"/>
            </w:tcBorders>
            <w:shd w:val="clear" w:color="auto" w:fill="auto"/>
            <w:noWrap/>
            <w:vAlign w:val="center"/>
          </w:tcPr>
          <w:p w14:paraId="3BA22809" w14:textId="07E1440E"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1.092.593</w:t>
            </w:r>
          </w:p>
        </w:tc>
        <w:tc>
          <w:tcPr>
            <w:tcW w:w="410" w:type="pct"/>
            <w:tcBorders>
              <w:top w:val="nil"/>
              <w:left w:val="nil"/>
              <w:bottom w:val="nil"/>
              <w:right w:val="nil"/>
            </w:tcBorders>
            <w:shd w:val="clear" w:color="auto" w:fill="auto"/>
            <w:noWrap/>
            <w:vAlign w:val="center"/>
          </w:tcPr>
          <w:p w14:paraId="56E6C752" w14:textId="5DBFFBC4"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12.479.198</w:t>
            </w:r>
          </w:p>
        </w:tc>
      </w:tr>
      <w:tr w:rsidR="001E4BA0" w:rsidRPr="002057D3" w14:paraId="3BBDD44E" w14:textId="77777777" w:rsidTr="001E4BA0">
        <w:trPr>
          <w:trHeight w:val="283"/>
        </w:trPr>
        <w:tc>
          <w:tcPr>
            <w:tcW w:w="1037" w:type="pct"/>
            <w:tcBorders>
              <w:top w:val="nil"/>
              <w:left w:val="nil"/>
              <w:bottom w:val="nil"/>
              <w:right w:val="nil"/>
            </w:tcBorders>
            <w:shd w:val="clear" w:color="auto" w:fill="auto"/>
            <w:vAlign w:val="center"/>
            <w:hideMark/>
          </w:tcPr>
          <w:p w14:paraId="45DA8E09"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Debêntures</w:t>
            </w:r>
          </w:p>
        </w:tc>
        <w:tc>
          <w:tcPr>
            <w:tcW w:w="336" w:type="pct"/>
            <w:tcBorders>
              <w:top w:val="nil"/>
              <w:left w:val="nil"/>
              <w:bottom w:val="nil"/>
              <w:right w:val="nil"/>
            </w:tcBorders>
            <w:shd w:val="clear" w:color="auto" w:fill="auto"/>
            <w:vAlign w:val="center"/>
          </w:tcPr>
          <w:p w14:paraId="6C87D432" w14:textId="5DC8FE6E"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31E475B4" w14:textId="59F75FED"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46.561</w:t>
            </w:r>
          </w:p>
        </w:tc>
        <w:tc>
          <w:tcPr>
            <w:tcW w:w="284" w:type="pct"/>
            <w:tcBorders>
              <w:top w:val="nil"/>
              <w:left w:val="nil"/>
              <w:bottom w:val="nil"/>
              <w:right w:val="nil"/>
            </w:tcBorders>
            <w:shd w:val="clear" w:color="auto" w:fill="auto"/>
            <w:vAlign w:val="center"/>
          </w:tcPr>
          <w:p w14:paraId="248457D4" w14:textId="4F299D25"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042A26E7" w14:textId="3233C7FC"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602318F3" w14:textId="1A4E32F2"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5.750.942</w:t>
            </w:r>
          </w:p>
        </w:tc>
        <w:tc>
          <w:tcPr>
            <w:tcW w:w="410" w:type="pct"/>
            <w:tcBorders>
              <w:top w:val="nil"/>
              <w:left w:val="nil"/>
              <w:bottom w:val="nil"/>
              <w:right w:val="nil"/>
            </w:tcBorders>
            <w:shd w:val="clear" w:color="auto" w:fill="auto"/>
            <w:noWrap/>
            <w:vAlign w:val="center"/>
          </w:tcPr>
          <w:p w14:paraId="3D81027C" w14:textId="72AD962D"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5.726.702</w:t>
            </w:r>
          </w:p>
        </w:tc>
        <w:tc>
          <w:tcPr>
            <w:tcW w:w="336" w:type="pct"/>
            <w:tcBorders>
              <w:top w:val="nil"/>
              <w:left w:val="nil"/>
              <w:bottom w:val="nil"/>
              <w:right w:val="nil"/>
            </w:tcBorders>
            <w:shd w:val="clear" w:color="auto" w:fill="auto"/>
            <w:noWrap/>
            <w:vAlign w:val="center"/>
          </w:tcPr>
          <w:p w14:paraId="19493195" w14:textId="79C7735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70.801</w:t>
            </w:r>
          </w:p>
        </w:tc>
        <w:tc>
          <w:tcPr>
            <w:tcW w:w="411" w:type="pct"/>
            <w:tcBorders>
              <w:top w:val="nil"/>
              <w:left w:val="nil"/>
              <w:bottom w:val="nil"/>
              <w:right w:val="nil"/>
            </w:tcBorders>
            <w:shd w:val="clear" w:color="auto" w:fill="auto"/>
            <w:noWrap/>
            <w:vAlign w:val="center"/>
          </w:tcPr>
          <w:p w14:paraId="27FFCF23" w14:textId="02763674"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5.797.503</w:t>
            </w:r>
          </w:p>
        </w:tc>
        <w:tc>
          <w:tcPr>
            <w:tcW w:w="410" w:type="pct"/>
            <w:tcBorders>
              <w:top w:val="nil"/>
              <w:left w:val="nil"/>
              <w:bottom w:val="nil"/>
              <w:right w:val="nil"/>
            </w:tcBorders>
            <w:shd w:val="clear" w:color="auto" w:fill="auto"/>
            <w:noWrap/>
            <w:vAlign w:val="center"/>
          </w:tcPr>
          <w:p w14:paraId="1BBA396C" w14:textId="6D56E99E"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4.928.436</w:t>
            </w:r>
          </w:p>
        </w:tc>
        <w:tc>
          <w:tcPr>
            <w:tcW w:w="336" w:type="pct"/>
            <w:tcBorders>
              <w:top w:val="nil"/>
              <w:left w:val="nil"/>
              <w:bottom w:val="nil"/>
              <w:right w:val="nil"/>
            </w:tcBorders>
            <w:shd w:val="clear" w:color="auto" w:fill="auto"/>
            <w:noWrap/>
            <w:vAlign w:val="center"/>
          </w:tcPr>
          <w:p w14:paraId="5239B78E" w14:textId="3A4D50DE"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(2.511)</w:t>
            </w:r>
          </w:p>
        </w:tc>
        <w:tc>
          <w:tcPr>
            <w:tcW w:w="410" w:type="pct"/>
            <w:tcBorders>
              <w:top w:val="nil"/>
              <w:left w:val="nil"/>
              <w:bottom w:val="nil"/>
              <w:right w:val="nil"/>
            </w:tcBorders>
            <w:shd w:val="clear" w:color="auto" w:fill="auto"/>
            <w:noWrap/>
            <w:vAlign w:val="center"/>
          </w:tcPr>
          <w:p w14:paraId="0B439BD4" w14:textId="5F5474DB"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4.925.925</w:t>
            </w:r>
          </w:p>
        </w:tc>
      </w:tr>
      <w:tr w:rsidR="001E4BA0" w:rsidRPr="002057D3" w14:paraId="07F45DFD" w14:textId="77777777" w:rsidTr="001E4BA0">
        <w:trPr>
          <w:trHeight w:val="283"/>
        </w:trPr>
        <w:tc>
          <w:tcPr>
            <w:tcW w:w="1037" w:type="pct"/>
            <w:tcBorders>
              <w:top w:val="nil"/>
              <w:left w:val="nil"/>
              <w:bottom w:val="nil"/>
              <w:right w:val="nil"/>
            </w:tcBorders>
            <w:shd w:val="clear" w:color="auto" w:fill="auto"/>
            <w:vAlign w:val="center"/>
            <w:hideMark/>
          </w:tcPr>
          <w:p w14:paraId="7C868854"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Nota Promissória</w:t>
            </w:r>
          </w:p>
        </w:tc>
        <w:tc>
          <w:tcPr>
            <w:tcW w:w="336" w:type="pct"/>
            <w:tcBorders>
              <w:top w:val="nil"/>
              <w:left w:val="nil"/>
              <w:bottom w:val="nil"/>
              <w:right w:val="nil"/>
            </w:tcBorders>
            <w:shd w:val="clear" w:color="auto" w:fill="auto"/>
            <w:vAlign w:val="center"/>
          </w:tcPr>
          <w:p w14:paraId="5028F01B" w14:textId="0205425A"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4D9023BC" w14:textId="09E58A71"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2DB7BAAA" w14:textId="0DEF5680"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7C80DDA7" w14:textId="01784A42"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76C43DF6" w14:textId="7B01AF9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232.883</w:t>
            </w:r>
          </w:p>
        </w:tc>
        <w:tc>
          <w:tcPr>
            <w:tcW w:w="410" w:type="pct"/>
            <w:tcBorders>
              <w:top w:val="nil"/>
              <w:left w:val="nil"/>
              <w:bottom w:val="nil"/>
              <w:right w:val="nil"/>
            </w:tcBorders>
            <w:shd w:val="clear" w:color="auto" w:fill="auto"/>
            <w:noWrap/>
            <w:vAlign w:val="center"/>
          </w:tcPr>
          <w:p w14:paraId="6189EE97" w14:textId="2665DE70"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231.818</w:t>
            </w:r>
          </w:p>
        </w:tc>
        <w:tc>
          <w:tcPr>
            <w:tcW w:w="336" w:type="pct"/>
            <w:tcBorders>
              <w:top w:val="nil"/>
              <w:left w:val="nil"/>
              <w:bottom w:val="nil"/>
              <w:right w:val="nil"/>
            </w:tcBorders>
            <w:shd w:val="clear" w:color="auto" w:fill="auto"/>
            <w:noWrap/>
            <w:vAlign w:val="center"/>
          </w:tcPr>
          <w:p w14:paraId="03930A2D" w14:textId="5396857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1.065</w:t>
            </w:r>
          </w:p>
        </w:tc>
        <w:tc>
          <w:tcPr>
            <w:tcW w:w="411" w:type="pct"/>
            <w:tcBorders>
              <w:top w:val="nil"/>
              <w:left w:val="nil"/>
              <w:bottom w:val="nil"/>
              <w:right w:val="nil"/>
            </w:tcBorders>
            <w:shd w:val="clear" w:color="auto" w:fill="auto"/>
            <w:noWrap/>
            <w:vAlign w:val="center"/>
          </w:tcPr>
          <w:p w14:paraId="3AFA025E" w14:textId="081A01CC"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232.883</w:t>
            </w:r>
          </w:p>
        </w:tc>
        <w:tc>
          <w:tcPr>
            <w:tcW w:w="410" w:type="pct"/>
            <w:tcBorders>
              <w:top w:val="nil"/>
              <w:left w:val="nil"/>
              <w:bottom w:val="nil"/>
              <w:right w:val="nil"/>
            </w:tcBorders>
            <w:shd w:val="clear" w:color="auto" w:fill="auto"/>
            <w:noWrap/>
            <w:vAlign w:val="center"/>
          </w:tcPr>
          <w:p w14:paraId="24399576" w14:textId="35A2B642"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224.261</w:t>
            </w:r>
          </w:p>
        </w:tc>
        <w:tc>
          <w:tcPr>
            <w:tcW w:w="336" w:type="pct"/>
            <w:tcBorders>
              <w:top w:val="nil"/>
              <w:left w:val="nil"/>
              <w:bottom w:val="nil"/>
              <w:right w:val="nil"/>
            </w:tcBorders>
            <w:shd w:val="clear" w:color="auto" w:fill="auto"/>
            <w:noWrap/>
            <w:vAlign w:val="center"/>
          </w:tcPr>
          <w:p w14:paraId="50278404" w14:textId="58512178"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1.000</w:t>
            </w:r>
          </w:p>
        </w:tc>
        <w:tc>
          <w:tcPr>
            <w:tcW w:w="410" w:type="pct"/>
            <w:tcBorders>
              <w:top w:val="nil"/>
              <w:left w:val="nil"/>
              <w:bottom w:val="nil"/>
              <w:right w:val="nil"/>
            </w:tcBorders>
            <w:shd w:val="clear" w:color="auto" w:fill="auto"/>
            <w:noWrap/>
            <w:vAlign w:val="center"/>
          </w:tcPr>
          <w:p w14:paraId="1700777B" w14:textId="66F5C75D"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225.261</w:t>
            </w:r>
          </w:p>
        </w:tc>
      </w:tr>
      <w:tr w:rsidR="001E4BA0" w:rsidRPr="002057D3" w14:paraId="31BF9A59" w14:textId="77777777" w:rsidTr="001E4BA0">
        <w:trPr>
          <w:trHeight w:val="283"/>
        </w:trPr>
        <w:tc>
          <w:tcPr>
            <w:tcW w:w="1037" w:type="pct"/>
            <w:tcBorders>
              <w:top w:val="nil"/>
              <w:left w:val="nil"/>
              <w:bottom w:val="nil"/>
              <w:right w:val="nil"/>
            </w:tcBorders>
            <w:shd w:val="clear" w:color="auto" w:fill="auto"/>
            <w:vAlign w:val="center"/>
            <w:hideMark/>
          </w:tcPr>
          <w:p w14:paraId="44C65E25"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Cotas de fundos</w:t>
            </w:r>
          </w:p>
        </w:tc>
        <w:tc>
          <w:tcPr>
            <w:tcW w:w="336" w:type="pct"/>
            <w:tcBorders>
              <w:top w:val="nil"/>
              <w:left w:val="nil"/>
              <w:bottom w:val="nil"/>
              <w:right w:val="nil"/>
            </w:tcBorders>
            <w:shd w:val="clear" w:color="auto" w:fill="auto"/>
            <w:vAlign w:val="center"/>
          </w:tcPr>
          <w:p w14:paraId="091683DE" w14:textId="32B0E341"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1.287.733</w:t>
            </w:r>
          </w:p>
        </w:tc>
        <w:tc>
          <w:tcPr>
            <w:tcW w:w="284" w:type="pct"/>
            <w:tcBorders>
              <w:top w:val="nil"/>
              <w:left w:val="nil"/>
              <w:bottom w:val="nil"/>
              <w:right w:val="nil"/>
            </w:tcBorders>
            <w:shd w:val="clear" w:color="auto" w:fill="auto"/>
            <w:noWrap/>
            <w:vAlign w:val="center"/>
          </w:tcPr>
          <w:p w14:paraId="3FCD87A2" w14:textId="0BBDE645"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4AD91D3B" w14:textId="60B63741"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06432FF0" w14:textId="502C06FA"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5A92B2F2" w14:textId="63D58DD6" w:rsidR="001E4BA0" w:rsidRPr="00A4304A" w:rsidRDefault="00922377"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noWrap/>
            <w:vAlign w:val="center"/>
          </w:tcPr>
          <w:p w14:paraId="48E7E6EC" w14:textId="68318AB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270.709</w:t>
            </w:r>
          </w:p>
        </w:tc>
        <w:tc>
          <w:tcPr>
            <w:tcW w:w="336" w:type="pct"/>
            <w:tcBorders>
              <w:top w:val="nil"/>
              <w:left w:val="nil"/>
              <w:bottom w:val="nil"/>
              <w:right w:val="nil"/>
            </w:tcBorders>
            <w:shd w:val="clear" w:color="auto" w:fill="auto"/>
            <w:noWrap/>
            <w:vAlign w:val="center"/>
          </w:tcPr>
          <w:p w14:paraId="0392D2FD" w14:textId="5B7E6451"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1.017.024</w:t>
            </w:r>
          </w:p>
        </w:tc>
        <w:tc>
          <w:tcPr>
            <w:tcW w:w="411" w:type="pct"/>
            <w:tcBorders>
              <w:top w:val="nil"/>
              <w:left w:val="nil"/>
              <w:bottom w:val="nil"/>
              <w:right w:val="nil"/>
            </w:tcBorders>
            <w:shd w:val="clear" w:color="auto" w:fill="auto"/>
            <w:noWrap/>
            <w:vAlign w:val="center"/>
          </w:tcPr>
          <w:p w14:paraId="32B4F2ED" w14:textId="6C0B60E3"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1.287.733</w:t>
            </w:r>
          </w:p>
        </w:tc>
        <w:tc>
          <w:tcPr>
            <w:tcW w:w="410" w:type="pct"/>
            <w:tcBorders>
              <w:top w:val="nil"/>
              <w:left w:val="nil"/>
              <w:bottom w:val="nil"/>
              <w:right w:val="nil"/>
            </w:tcBorders>
            <w:shd w:val="clear" w:color="auto" w:fill="auto"/>
            <w:noWrap/>
            <w:vAlign w:val="center"/>
          </w:tcPr>
          <w:p w14:paraId="62D83EB8" w14:textId="506208B6"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270.709</w:t>
            </w:r>
          </w:p>
        </w:tc>
        <w:tc>
          <w:tcPr>
            <w:tcW w:w="336" w:type="pct"/>
            <w:tcBorders>
              <w:top w:val="nil"/>
              <w:left w:val="nil"/>
              <w:bottom w:val="nil"/>
              <w:right w:val="nil"/>
            </w:tcBorders>
            <w:shd w:val="clear" w:color="auto" w:fill="auto"/>
            <w:noWrap/>
            <w:vAlign w:val="center"/>
          </w:tcPr>
          <w:p w14:paraId="1CEB03C5" w14:textId="654FD05E"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970.025</w:t>
            </w:r>
          </w:p>
        </w:tc>
        <w:tc>
          <w:tcPr>
            <w:tcW w:w="410" w:type="pct"/>
            <w:tcBorders>
              <w:top w:val="nil"/>
              <w:left w:val="nil"/>
              <w:bottom w:val="nil"/>
              <w:right w:val="nil"/>
            </w:tcBorders>
            <w:shd w:val="clear" w:color="auto" w:fill="auto"/>
            <w:noWrap/>
            <w:vAlign w:val="center"/>
          </w:tcPr>
          <w:p w14:paraId="7EFC57C2" w14:textId="1F7E52BE"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1.240.734</w:t>
            </w:r>
          </w:p>
        </w:tc>
      </w:tr>
      <w:tr w:rsidR="001E4BA0" w:rsidRPr="002057D3" w14:paraId="1B608AEF" w14:textId="77777777" w:rsidTr="001E4BA0">
        <w:trPr>
          <w:trHeight w:val="283"/>
        </w:trPr>
        <w:tc>
          <w:tcPr>
            <w:tcW w:w="1037" w:type="pct"/>
            <w:tcBorders>
              <w:top w:val="nil"/>
              <w:left w:val="nil"/>
              <w:bottom w:val="nil"/>
              <w:right w:val="nil"/>
            </w:tcBorders>
            <w:shd w:val="clear" w:color="auto" w:fill="auto"/>
            <w:vAlign w:val="center"/>
            <w:hideMark/>
          </w:tcPr>
          <w:p w14:paraId="1E911F53"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Certificado de recebíveis imobiliários</w:t>
            </w:r>
          </w:p>
        </w:tc>
        <w:tc>
          <w:tcPr>
            <w:tcW w:w="336" w:type="pct"/>
            <w:tcBorders>
              <w:top w:val="nil"/>
              <w:left w:val="nil"/>
              <w:bottom w:val="nil"/>
              <w:right w:val="nil"/>
            </w:tcBorders>
            <w:shd w:val="clear" w:color="auto" w:fill="auto"/>
            <w:noWrap/>
            <w:vAlign w:val="center"/>
          </w:tcPr>
          <w:p w14:paraId="406B8892" w14:textId="439F9848"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78632593" w14:textId="45B5D783"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0EA55EC2" w14:textId="2B28BD18"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7930F0BF" w14:textId="57A1B03F"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6590B909" w14:textId="3DA808AD"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1.339.931</w:t>
            </w:r>
          </w:p>
        </w:tc>
        <w:tc>
          <w:tcPr>
            <w:tcW w:w="410" w:type="pct"/>
            <w:tcBorders>
              <w:top w:val="nil"/>
              <w:left w:val="nil"/>
              <w:bottom w:val="nil"/>
              <w:right w:val="nil"/>
            </w:tcBorders>
            <w:shd w:val="clear" w:color="auto" w:fill="auto"/>
            <w:noWrap/>
            <w:vAlign w:val="center"/>
          </w:tcPr>
          <w:p w14:paraId="7C176C9A" w14:textId="259788B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1.325.780</w:t>
            </w:r>
          </w:p>
        </w:tc>
        <w:tc>
          <w:tcPr>
            <w:tcW w:w="336" w:type="pct"/>
            <w:tcBorders>
              <w:top w:val="nil"/>
              <w:left w:val="nil"/>
              <w:bottom w:val="nil"/>
              <w:right w:val="nil"/>
            </w:tcBorders>
            <w:shd w:val="clear" w:color="auto" w:fill="auto"/>
            <w:noWrap/>
            <w:vAlign w:val="center"/>
          </w:tcPr>
          <w:p w14:paraId="29AE4416" w14:textId="5154B0DF"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14.151</w:t>
            </w:r>
          </w:p>
        </w:tc>
        <w:tc>
          <w:tcPr>
            <w:tcW w:w="411" w:type="pct"/>
            <w:tcBorders>
              <w:top w:val="nil"/>
              <w:left w:val="nil"/>
              <w:bottom w:val="nil"/>
              <w:right w:val="nil"/>
            </w:tcBorders>
            <w:shd w:val="clear" w:color="auto" w:fill="auto"/>
            <w:noWrap/>
            <w:vAlign w:val="center"/>
          </w:tcPr>
          <w:p w14:paraId="1D76C873" w14:textId="0A09A64D"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1.339.931</w:t>
            </w:r>
          </w:p>
        </w:tc>
        <w:tc>
          <w:tcPr>
            <w:tcW w:w="410" w:type="pct"/>
            <w:tcBorders>
              <w:top w:val="nil"/>
              <w:left w:val="nil"/>
              <w:bottom w:val="nil"/>
              <w:right w:val="nil"/>
            </w:tcBorders>
            <w:shd w:val="clear" w:color="auto" w:fill="auto"/>
            <w:noWrap/>
            <w:vAlign w:val="center"/>
          </w:tcPr>
          <w:p w14:paraId="70F4B00D" w14:textId="69FB6B57"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1.317.659</w:t>
            </w:r>
          </w:p>
        </w:tc>
        <w:tc>
          <w:tcPr>
            <w:tcW w:w="336" w:type="pct"/>
            <w:tcBorders>
              <w:top w:val="nil"/>
              <w:left w:val="nil"/>
              <w:bottom w:val="nil"/>
              <w:right w:val="nil"/>
            </w:tcBorders>
            <w:shd w:val="clear" w:color="auto" w:fill="auto"/>
            <w:noWrap/>
            <w:vAlign w:val="center"/>
          </w:tcPr>
          <w:p w14:paraId="7612DF7A" w14:textId="776C00C0"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53.361</w:t>
            </w:r>
          </w:p>
        </w:tc>
        <w:tc>
          <w:tcPr>
            <w:tcW w:w="410" w:type="pct"/>
            <w:tcBorders>
              <w:top w:val="nil"/>
              <w:left w:val="nil"/>
              <w:bottom w:val="nil"/>
              <w:right w:val="nil"/>
            </w:tcBorders>
            <w:shd w:val="clear" w:color="auto" w:fill="auto"/>
            <w:noWrap/>
            <w:vAlign w:val="center"/>
          </w:tcPr>
          <w:p w14:paraId="4D1435CB" w14:textId="2D2B6A98"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1.371.020</w:t>
            </w:r>
          </w:p>
        </w:tc>
      </w:tr>
      <w:tr w:rsidR="001E4BA0" w:rsidRPr="002057D3" w14:paraId="2BD0939C" w14:textId="77777777" w:rsidTr="001E4BA0">
        <w:trPr>
          <w:trHeight w:val="283"/>
        </w:trPr>
        <w:tc>
          <w:tcPr>
            <w:tcW w:w="1037" w:type="pct"/>
            <w:tcBorders>
              <w:top w:val="nil"/>
              <w:left w:val="nil"/>
              <w:bottom w:val="nil"/>
              <w:right w:val="nil"/>
            </w:tcBorders>
            <w:shd w:val="clear" w:color="auto" w:fill="auto"/>
            <w:vAlign w:val="center"/>
            <w:hideMark/>
          </w:tcPr>
          <w:p w14:paraId="61BEB2A9"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Ações</w:t>
            </w:r>
          </w:p>
        </w:tc>
        <w:tc>
          <w:tcPr>
            <w:tcW w:w="336" w:type="pct"/>
            <w:tcBorders>
              <w:top w:val="nil"/>
              <w:left w:val="nil"/>
              <w:bottom w:val="nil"/>
              <w:right w:val="nil"/>
            </w:tcBorders>
            <w:shd w:val="clear" w:color="auto" w:fill="auto"/>
            <w:vAlign w:val="center"/>
          </w:tcPr>
          <w:p w14:paraId="6BD8F44E" w14:textId="5A78710B"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10.938</w:t>
            </w:r>
          </w:p>
        </w:tc>
        <w:tc>
          <w:tcPr>
            <w:tcW w:w="284" w:type="pct"/>
            <w:tcBorders>
              <w:top w:val="nil"/>
              <w:left w:val="nil"/>
              <w:bottom w:val="nil"/>
              <w:right w:val="nil"/>
            </w:tcBorders>
            <w:shd w:val="clear" w:color="auto" w:fill="auto"/>
            <w:noWrap/>
            <w:vAlign w:val="center"/>
          </w:tcPr>
          <w:p w14:paraId="7D213849" w14:textId="5B98E4C6"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vAlign w:val="center"/>
          </w:tcPr>
          <w:p w14:paraId="7E7954B5" w14:textId="2FEAB58D" w:rsidR="001E4BA0" w:rsidRPr="00A4304A" w:rsidRDefault="00BB1A6D"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336" w:type="pct"/>
            <w:tcBorders>
              <w:top w:val="nil"/>
              <w:left w:val="nil"/>
              <w:bottom w:val="nil"/>
              <w:right w:val="nil"/>
            </w:tcBorders>
            <w:shd w:val="clear" w:color="auto" w:fill="auto"/>
            <w:vAlign w:val="center"/>
          </w:tcPr>
          <w:p w14:paraId="0FB39E44" w14:textId="71FA55D9" w:rsidR="001E4BA0" w:rsidRPr="00A4304A" w:rsidRDefault="001E4BA0" w:rsidP="0058012D">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vAlign w:val="center"/>
          </w:tcPr>
          <w:p w14:paraId="78CB4994" w14:textId="7147EB31" w:rsidR="001E4BA0" w:rsidRPr="00A4304A" w:rsidRDefault="001E4BA0"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410" w:type="pct"/>
            <w:tcBorders>
              <w:top w:val="nil"/>
              <w:left w:val="nil"/>
              <w:bottom w:val="nil"/>
              <w:right w:val="nil"/>
            </w:tcBorders>
            <w:shd w:val="clear" w:color="auto" w:fill="auto"/>
            <w:noWrap/>
            <w:vAlign w:val="center"/>
          </w:tcPr>
          <w:p w14:paraId="29D2996B" w14:textId="549A1D24"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13.585</w:t>
            </w:r>
          </w:p>
        </w:tc>
        <w:tc>
          <w:tcPr>
            <w:tcW w:w="336" w:type="pct"/>
            <w:tcBorders>
              <w:top w:val="nil"/>
              <w:left w:val="nil"/>
              <w:bottom w:val="nil"/>
              <w:right w:val="nil"/>
            </w:tcBorders>
            <w:shd w:val="clear" w:color="auto" w:fill="auto"/>
            <w:noWrap/>
            <w:vAlign w:val="center"/>
          </w:tcPr>
          <w:p w14:paraId="0F547205" w14:textId="375CDFE5" w:rsidR="001E4BA0" w:rsidRPr="00A4304A" w:rsidRDefault="00BB1A6D" w:rsidP="0058012D">
            <w:pPr>
              <w:jc w:val="right"/>
              <w:rPr>
                <w:rFonts w:ascii="CAIXA Std Book" w:hAnsi="CAIXA Std Book" w:cs="Arial"/>
                <w:b/>
                <w:bCs/>
                <w:color w:val="005CA9"/>
                <w:sz w:val="16"/>
                <w:szCs w:val="16"/>
              </w:rPr>
            </w:pPr>
            <w:r>
              <w:rPr>
                <w:rFonts w:ascii="CAIXA Std Book" w:hAnsi="CAIXA Std Book" w:cs="Arial"/>
                <w:color w:val="005CA9"/>
                <w:sz w:val="16"/>
                <w:szCs w:val="16"/>
              </w:rPr>
              <w:t>(</w:t>
            </w:r>
            <w:r w:rsidR="001E4BA0">
              <w:rPr>
                <w:rFonts w:ascii="CAIXA Std Book" w:hAnsi="CAIXA Std Book" w:cs="Arial"/>
                <w:color w:val="005CA9"/>
                <w:sz w:val="16"/>
                <w:szCs w:val="16"/>
              </w:rPr>
              <w:t>2.647</w:t>
            </w:r>
            <w:r>
              <w:rPr>
                <w:rFonts w:ascii="CAIXA Std Book" w:hAnsi="CAIXA Std Book" w:cs="Arial"/>
                <w:color w:val="005CA9"/>
                <w:sz w:val="16"/>
                <w:szCs w:val="16"/>
              </w:rPr>
              <w:t>)</w:t>
            </w:r>
          </w:p>
        </w:tc>
        <w:tc>
          <w:tcPr>
            <w:tcW w:w="411" w:type="pct"/>
            <w:tcBorders>
              <w:top w:val="nil"/>
              <w:left w:val="nil"/>
              <w:bottom w:val="nil"/>
              <w:right w:val="nil"/>
            </w:tcBorders>
            <w:shd w:val="clear" w:color="auto" w:fill="auto"/>
            <w:noWrap/>
            <w:vAlign w:val="center"/>
          </w:tcPr>
          <w:p w14:paraId="35A6DC9E" w14:textId="649F6065"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10.938</w:t>
            </w:r>
          </w:p>
        </w:tc>
        <w:tc>
          <w:tcPr>
            <w:tcW w:w="410" w:type="pct"/>
            <w:tcBorders>
              <w:top w:val="nil"/>
              <w:left w:val="nil"/>
              <w:bottom w:val="nil"/>
              <w:right w:val="nil"/>
            </w:tcBorders>
            <w:shd w:val="clear" w:color="auto" w:fill="auto"/>
            <w:noWrap/>
            <w:vAlign w:val="center"/>
          </w:tcPr>
          <w:p w14:paraId="5D6A7915" w14:textId="6B705418"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24.206</w:t>
            </w:r>
          </w:p>
        </w:tc>
        <w:tc>
          <w:tcPr>
            <w:tcW w:w="336" w:type="pct"/>
            <w:tcBorders>
              <w:top w:val="nil"/>
              <w:left w:val="nil"/>
              <w:bottom w:val="nil"/>
              <w:right w:val="nil"/>
            </w:tcBorders>
            <w:shd w:val="clear" w:color="auto" w:fill="auto"/>
            <w:noWrap/>
            <w:vAlign w:val="center"/>
          </w:tcPr>
          <w:p w14:paraId="58B3F2BE" w14:textId="4F570BD6"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(10.162)</w:t>
            </w:r>
          </w:p>
        </w:tc>
        <w:tc>
          <w:tcPr>
            <w:tcW w:w="410" w:type="pct"/>
            <w:tcBorders>
              <w:top w:val="nil"/>
              <w:left w:val="nil"/>
              <w:bottom w:val="nil"/>
              <w:right w:val="nil"/>
            </w:tcBorders>
            <w:shd w:val="clear" w:color="auto" w:fill="auto"/>
            <w:noWrap/>
            <w:vAlign w:val="center"/>
          </w:tcPr>
          <w:p w14:paraId="0A74543E" w14:textId="6AF50EF8" w:rsidR="001E4BA0" w:rsidRPr="00A4304A" w:rsidRDefault="001E4BA0" w:rsidP="0058012D">
            <w:pPr>
              <w:jc w:val="right"/>
              <w:rPr>
                <w:rFonts w:ascii="CAIXA Std Book" w:eastAsia="Times New Roman" w:hAnsi="CAIXA Std Book" w:cs="Arial"/>
                <w:color w:val="005CA9"/>
                <w:sz w:val="16"/>
                <w:szCs w:val="16"/>
              </w:rPr>
            </w:pPr>
            <w:r w:rsidRPr="00A4304A">
              <w:rPr>
                <w:rFonts w:ascii="CAIXA Std Book" w:hAnsi="CAIXA Std Book" w:cs="Arial"/>
                <w:color w:val="005CA9"/>
                <w:sz w:val="16"/>
                <w:szCs w:val="16"/>
              </w:rPr>
              <w:t>14.044</w:t>
            </w:r>
          </w:p>
        </w:tc>
      </w:tr>
      <w:tr w:rsidR="001E4BA0" w:rsidRPr="002057D3" w14:paraId="570DB4D8" w14:textId="77777777" w:rsidTr="001E4BA0">
        <w:trPr>
          <w:trHeight w:val="283"/>
        </w:trPr>
        <w:tc>
          <w:tcPr>
            <w:tcW w:w="1037" w:type="pct"/>
            <w:tcBorders>
              <w:top w:val="nil"/>
              <w:left w:val="nil"/>
              <w:bottom w:val="nil"/>
              <w:right w:val="nil"/>
            </w:tcBorders>
            <w:shd w:val="clear" w:color="auto" w:fill="auto"/>
            <w:vAlign w:val="center"/>
          </w:tcPr>
          <w:p w14:paraId="7BBB8D47"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Letras Financeiras</w:t>
            </w:r>
          </w:p>
        </w:tc>
        <w:tc>
          <w:tcPr>
            <w:tcW w:w="336" w:type="pct"/>
            <w:tcBorders>
              <w:top w:val="nil"/>
              <w:left w:val="nil"/>
              <w:bottom w:val="nil"/>
              <w:right w:val="nil"/>
            </w:tcBorders>
            <w:shd w:val="clear" w:color="auto" w:fill="auto"/>
            <w:vAlign w:val="center"/>
          </w:tcPr>
          <w:p w14:paraId="6527D32D" w14:textId="42A25F84"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nil"/>
              <w:right w:val="nil"/>
            </w:tcBorders>
            <w:shd w:val="clear" w:color="auto" w:fill="auto"/>
            <w:noWrap/>
            <w:vAlign w:val="center"/>
          </w:tcPr>
          <w:p w14:paraId="43DD6540" w14:textId="61A224DF"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434.032</w:t>
            </w:r>
          </w:p>
        </w:tc>
        <w:tc>
          <w:tcPr>
            <w:tcW w:w="284" w:type="pct"/>
            <w:tcBorders>
              <w:top w:val="nil"/>
              <w:left w:val="nil"/>
              <w:bottom w:val="nil"/>
              <w:right w:val="nil"/>
            </w:tcBorders>
            <w:shd w:val="clear" w:color="auto" w:fill="auto"/>
            <w:vAlign w:val="center"/>
          </w:tcPr>
          <w:p w14:paraId="1F82246A" w14:textId="153AEF3C"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283.041</w:t>
            </w:r>
          </w:p>
        </w:tc>
        <w:tc>
          <w:tcPr>
            <w:tcW w:w="336" w:type="pct"/>
            <w:tcBorders>
              <w:top w:val="nil"/>
              <w:left w:val="nil"/>
              <w:bottom w:val="nil"/>
              <w:right w:val="nil"/>
            </w:tcBorders>
            <w:shd w:val="clear" w:color="auto" w:fill="auto"/>
            <w:vAlign w:val="center"/>
          </w:tcPr>
          <w:p w14:paraId="5EBBBA04" w14:textId="2D2772DD"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871.188</w:t>
            </w:r>
          </w:p>
        </w:tc>
        <w:tc>
          <w:tcPr>
            <w:tcW w:w="410" w:type="pct"/>
            <w:tcBorders>
              <w:top w:val="nil"/>
              <w:left w:val="nil"/>
              <w:bottom w:val="nil"/>
              <w:right w:val="nil"/>
            </w:tcBorders>
            <w:shd w:val="clear" w:color="auto" w:fill="auto"/>
            <w:vAlign w:val="center"/>
          </w:tcPr>
          <w:p w14:paraId="62DC1E8B" w14:textId="6E415C9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2.646.640</w:t>
            </w:r>
          </w:p>
        </w:tc>
        <w:tc>
          <w:tcPr>
            <w:tcW w:w="410" w:type="pct"/>
            <w:tcBorders>
              <w:top w:val="nil"/>
              <w:left w:val="nil"/>
              <w:bottom w:val="nil"/>
              <w:right w:val="nil"/>
            </w:tcBorders>
            <w:shd w:val="clear" w:color="auto" w:fill="auto"/>
            <w:noWrap/>
            <w:vAlign w:val="center"/>
          </w:tcPr>
          <w:p w14:paraId="318C9456" w14:textId="3F254DE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4.167.919</w:t>
            </w:r>
          </w:p>
        </w:tc>
        <w:tc>
          <w:tcPr>
            <w:tcW w:w="336" w:type="pct"/>
            <w:tcBorders>
              <w:top w:val="nil"/>
              <w:left w:val="nil"/>
              <w:bottom w:val="nil"/>
              <w:right w:val="nil"/>
            </w:tcBorders>
            <w:shd w:val="clear" w:color="auto" w:fill="auto"/>
            <w:noWrap/>
            <w:vAlign w:val="center"/>
          </w:tcPr>
          <w:p w14:paraId="792378E9" w14:textId="25FB957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66.982</w:t>
            </w:r>
          </w:p>
        </w:tc>
        <w:tc>
          <w:tcPr>
            <w:tcW w:w="411" w:type="pct"/>
            <w:tcBorders>
              <w:top w:val="nil"/>
              <w:left w:val="nil"/>
              <w:bottom w:val="nil"/>
              <w:right w:val="nil"/>
            </w:tcBorders>
            <w:shd w:val="clear" w:color="auto" w:fill="auto"/>
            <w:noWrap/>
            <w:vAlign w:val="center"/>
          </w:tcPr>
          <w:p w14:paraId="60E28265" w14:textId="3EC3682F"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4.234.901</w:t>
            </w:r>
          </w:p>
        </w:tc>
        <w:tc>
          <w:tcPr>
            <w:tcW w:w="410" w:type="pct"/>
            <w:tcBorders>
              <w:top w:val="nil"/>
              <w:left w:val="nil"/>
              <w:bottom w:val="nil"/>
              <w:right w:val="nil"/>
            </w:tcBorders>
            <w:shd w:val="clear" w:color="auto" w:fill="auto"/>
            <w:noWrap/>
            <w:vAlign w:val="center"/>
          </w:tcPr>
          <w:p w14:paraId="6CB1515A" w14:textId="08737ED0" w:rsidR="001E4BA0" w:rsidRPr="00A4304A" w:rsidRDefault="001E4BA0" w:rsidP="0058012D">
            <w:pPr>
              <w:jc w:val="right"/>
              <w:rPr>
                <w:rFonts w:ascii="CAIXA Std Book" w:hAnsi="CAIXA Std Book" w:cs="Arial"/>
                <w:color w:val="005CA9"/>
                <w:sz w:val="16"/>
                <w:szCs w:val="16"/>
              </w:rPr>
            </w:pPr>
            <w:r w:rsidRPr="00A4304A">
              <w:rPr>
                <w:rFonts w:ascii="CAIXA Std Book" w:hAnsi="CAIXA Std Book" w:cs="Arial"/>
                <w:color w:val="005CA9"/>
                <w:sz w:val="16"/>
                <w:szCs w:val="16"/>
              </w:rPr>
              <w:t>4.621.334</w:t>
            </w:r>
          </w:p>
        </w:tc>
        <w:tc>
          <w:tcPr>
            <w:tcW w:w="336" w:type="pct"/>
            <w:tcBorders>
              <w:top w:val="nil"/>
              <w:left w:val="nil"/>
              <w:bottom w:val="nil"/>
              <w:right w:val="nil"/>
            </w:tcBorders>
            <w:shd w:val="clear" w:color="auto" w:fill="auto"/>
            <w:noWrap/>
            <w:vAlign w:val="center"/>
          </w:tcPr>
          <w:p w14:paraId="698AE2C7" w14:textId="66591BF7" w:rsidR="001E4BA0" w:rsidRPr="00A4304A" w:rsidRDefault="001E4BA0" w:rsidP="0058012D">
            <w:pPr>
              <w:jc w:val="right"/>
              <w:rPr>
                <w:rFonts w:ascii="CAIXA Std Book" w:hAnsi="CAIXA Std Book" w:cs="Arial"/>
                <w:color w:val="005CA9"/>
                <w:sz w:val="16"/>
                <w:szCs w:val="16"/>
              </w:rPr>
            </w:pPr>
            <w:r w:rsidRPr="00A4304A">
              <w:rPr>
                <w:rFonts w:ascii="CAIXA Std Book" w:hAnsi="CAIXA Std Book" w:cs="Arial"/>
                <w:color w:val="005CA9"/>
                <w:sz w:val="16"/>
                <w:szCs w:val="16"/>
              </w:rPr>
              <w:t>80.880</w:t>
            </w:r>
          </w:p>
        </w:tc>
        <w:tc>
          <w:tcPr>
            <w:tcW w:w="410" w:type="pct"/>
            <w:tcBorders>
              <w:top w:val="nil"/>
              <w:left w:val="nil"/>
              <w:bottom w:val="nil"/>
              <w:right w:val="nil"/>
            </w:tcBorders>
            <w:shd w:val="clear" w:color="auto" w:fill="auto"/>
            <w:noWrap/>
            <w:vAlign w:val="center"/>
          </w:tcPr>
          <w:p w14:paraId="102ADA84" w14:textId="311D9EBB" w:rsidR="001E4BA0" w:rsidRPr="00A4304A" w:rsidRDefault="001E4BA0" w:rsidP="0058012D">
            <w:pPr>
              <w:jc w:val="right"/>
              <w:rPr>
                <w:rFonts w:ascii="CAIXA Std Book" w:hAnsi="CAIXA Std Book" w:cs="Arial"/>
                <w:color w:val="005CA9"/>
                <w:sz w:val="16"/>
                <w:szCs w:val="16"/>
              </w:rPr>
            </w:pPr>
            <w:r w:rsidRPr="00A4304A">
              <w:rPr>
                <w:rFonts w:ascii="CAIXA Std Book" w:hAnsi="CAIXA Std Book" w:cs="Arial"/>
                <w:color w:val="005CA9"/>
                <w:sz w:val="16"/>
                <w:szCs w:val="16"/>
              </w:rPr>
              <w:t>4.702.214</w:t>
            </w:r>
          </w:p>
        </w:tc>
      </w:tr>
      <w:tr w:rsidR="001E4BA0" w:rsidRPr="002057D3" w14:paraId="14CC51CB" w14:textId="77777777" w:rsidTr="008C739D">
        <w:trPr>
          <w:trHeight w:val="283"/>
        </w:trPr>
        <w:tc>
          <w:tcPr>
            <w:tcW w:w="1037" w:type="pct"/>
            <w:tcBorders>
              <w:top w:val="nil"/>
              <w:left w:val="nil"/>
              <w:bottom w:val="nil"/>
              <w:right w:val="nil"/>
            </w:tcBorders>
            <w:shd w:val="clear" w:color="auto" w:fill="auto"/>
            <w:vAlign w:val="center"/>
          </w:tcPr>
          <w:p w14:paraId="43DFB9D4" w14:textId="77777777" w:rsidR="001E4BA0" w:rsidRPr="00A4304A" w:rsidRDefault="001E4BA0" w:rsidP="001E4BA0">
            <w:pPr>
              <w:ind w:firstLineChars="100" w:firstLine="160"/>
              <w:rPr>
                <w:rFonts w:ascii="CAIXA Std Book" w:eastAsia="Times New Roman" w:hAnsi="CAIXA Std Book" w:cs="Arial"/>
                <w:color w:val="005CA9"/>
                <w:sz w:val="16"/>
                <w:szCs w:val="16"/>
              </w:rPr>
            </w:pPr>
            <w:r w:rsidRPr="00A4304A">
              <w:rPr>
                <w:rFonts w:ascii="CAIXA Std Book" w:eastAsia="Times New Roman" w:hAnsi="CAIXA Std Book" w:cs="Arial"/>
                <w:color w:val="005CA9"/>
                <w:sz w:val="16"/>
                <w:szCs w:val="16"/>
              </w:rPr>
              <w:t>Nota Comercial</w:t>
            </w:r>
          </w:p>
        </w:tc>
        <w:tc>
          <w:tcPr>
            <w:tcW w:w="336" w:type="pct"/>
            <w:tcBorders>
              <w:top w:val="nil"/>
              <w:left w:val="nil"/>
              <w:bottom w:val="single" w:sz="4" w:space="0" w:color="F79646" w:themeColor="accent6"/>
              <w:right w:val="nil"/>
            </w:tcBorders>
            <w:shd w:val="clear" w:color="auto" w:fill="auto"/>
            <w:vAlign w:val="center"/>
          </w:tcPr>
          <w:p w14:paraId="78E8E16A" w14:textId="5ACAE5AD"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single" w:sz="4" w:space="0" w:color="F79646" w:themeColor="accent6"/>
              <w:right w:val="nil"/>
            </w:tcBorders>
            <w:shd w:val="clear" w:color="auto" w:fill="auto"/>
            <w:noWrap/>
            <w:vAlign w:val="center"/>
          </w:tcPr>
          <w:p w14:paraId="191C92D3" w14:textId="2C4FE676"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284" w:type="pct"/>
            <w:tcBorders>
              <w:top w:val="nil"/>
              <w:left w:val="nil"/>
              <w:bottom w:val="single" w:sz="4" w:space="0" w:color="F79646" w:themeColor="accent6"/>
              <w:right w:val="nil"/>
            </w:tcBorders>
            <w:shd w:val="clear" w:color="auto" w:fill="auto"/>
            <w:vAlign w:val="center"/>
          </w:tcPr>
          <w:p w14:paraId="7839711B" w14:textId="5AF0FDDA" w:rsidR="001E4BA0" w:rsidRPr="00A4304A" w:rsidRDefault="00BB1A6D"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336" w:type="pct"/>
            <w:tcBorders>
              <w:top w:val="nil"/>
              <w:left w:val="nil"/>
              <w:bottom w:val="single" w:sz="4" w:space="0" w:color="F79646" w:themeColor="accent6"/>
              <w:right w:val="nil"/>
            </w:tcBorders>
            <w:shd w:val="clear" w:color="auto" w:fill="auto"/>
            <w:vAlign w:val="center"/>
          </w:tcPr>
          <w:p w14:paraId="4EB50B73" w14:textId="54829C57" w:rsidR="001E4BA0" w:rsidRPr="00A4304A" w:rsidRDefault="001E4BA0" w:rsidP="0058012D">
            <w:pPr>
              <w:jc w:val="center"/>
              <w:rPr>
                <w:rFonts w:ascii="CAIXA Std Book" w:hAnsi="CAIXA Std Book" w:cs="Arial"/>
                <w:b/>
                <w:bCs/>
                <w:color w:val="005CA9"/>
                <w:sz w:val="16"/>
                <w:szCs w:val="16"/>
              </w:rPr>
            </w:pPr>
            <w:r>
              <w:rPr>
                <w:rFonts w:ascii="CAIXA Std Book" w:hAnsi="CAIXA Std Book" w:cs="Arial"/>
                <w:color w:val="005CA9"/>
                <w:sz w:val="16"/>
                <w:szCs w:val="16"/>
              </w:rPr>
              <w:t>-</w:t>
            </w:r>
          </w:p>
        </w:tc>
        <w:tc>
          <w:tcPr>
            <w:tcW w:w="410" w:type="pct"/>
            <w:tcBorders>
              <w:top w:val="nil"/>
              <w:left w:val="nil"/>
              <w:bottom w:val="single" w:sz="4" w:space="0" w:color="F79646" w:themeColor="accent6"/>
              <w:right w:val="nil"/>
            </w:tcBorders>
            <w:shd w:val="clear" w:color="auto" w:fill="auto"/>
            <w:vAlign w:val="center"/>
          </w:tcPr>
          <w:p w14:paraId="12851153" w14:textId="7A511328"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505.111</w:t>
            </w:r>
          </w:p>
        </w:tc>
        <w:tc>
          <w:tcPr>
            <w:tcW w:w="410" w:type="pct"/>
            <w:tcBorders>
              <w:top w:val="nil"/>
              <w:left w:val="nil"/>
              <w:bottom w:val="single" w:sz="4" w:space="0" w:color="F79646" w:themeColor="accent6"/>
              <w:right w:val="nil"/>
            </w:tcBorders>
            <w:shd w:val="clear" w:color="auto" w:fill="auto"/>
            <w:noWrap/>
            <w:vAlign w:val="center"/>
          </w:tcPr>
          <w:p w14:paraId="15F648C3" w14:textId="52756602"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500.000</w:t>
            </w:r>
          </w:p>
        </w:tc>
        <w:tc>
          <w:tcPr>
            <w:tcW w:w="336" w:type="pct"/>
            <w:tcBorders>
              <w:top w:val="nil"/>
              <w:left w:val="nil"/>
              <w:bottom w:val="single" w:sz="4" w:space="0" w:color="F79646" w:themeColor="accent6"/>
              <w:right w:val="nil"/>
            </w:tcBorders>
            <w:shd w:val="clear" w:color="auto" w:fill="auto"/>
            <w:noWrap/>
            <w:vAlign w:val="center"/>
          </w:tcPr>
          <w:p w14:paraId="24522FBE" w14:textId="6921F82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color w:val="005CA9"/>
                <w:sz w:val="16"/>
                <w:szCs w:val="16"/>
              </w:rPr>
              <w:t>5.111</w:t>
            </w:r>
          </w:p>
        </w:tc>
        <w:tc>
          <w:tcPr>
            <w:tcW w:w="411" w:type="pct"/>
            <w:tcBorders>
              <w:top w:val="nil"/>
              <w:left w:val="nil"/>
              <w:bottom w:val="single" w:sz="4" w:space="0" w:color="F79646" w:themeColor="accent6"/>
              <w:right w:val="nil"/>
            </w:tcBorders>
            <w:shd w:val="clear" w:color="auto" w:fill="auto"/>
            <w:noWrap/>
            <w:vAlign w:val="center"/>
          </w:tcPr>
          <w:p w14:paraId="7FFE49C3" w14:textId="6FB70038" w:rsidR="001E4BA0" w:rsidRPr="00A4304A" w:rsidRDefault="001E4BA0" w:rsidP="0058012D">
            <w:pPr>
              <w:jc w:val="right"/>
              <w:rPr>
                <w:rFonts w:ascii="CAIXA Std Book" w:hAnsi="CAIXA Std Book" w:cs="Arial"/>
                <w:color w:val="005CA9"/>
                <w:sz w:val="16"/>
                <w:szCs w:val="16"/>
              </w:rPr>
            </w:pPr>
            <w:r>
              <w:rPr>
                <w:rFonts w:ascii="CAIXA Std Book" w:hAnsi="CAIXA Std Book" w:cs="Arial"/>
                <w:color w:val="005CA9"/>
                <w:sz w:val="16"/>
                <w:szCs w:val="16"/>
              </w:rPr>
              <w:t>505.111</w:t>
            </w:r>
          </w:p>
        </w:tc>
        <w:tc>
          <w:tcPr>
            <w:tcW w:w="410" w:type="pct"/>
            <w:tcBorders>
              <w:top w:val="nil"/>
              <w:left w:val="nil"/>
              <w:bottom w:val="single" w:sz="4" w:space="0" w:color="F79646" w:themeColor="accent6"/>
              <w:right w:val="nil"/>
            </w:tcBorders>
            <w:shd w:val="clear" w:color="auto" w:fill="auto"/>
            <w:noWrap/>
            <w:vAlign w:val="center"/>
          </w:tcPr>
          <w:p w14:paraId="5960B174" w14:textId="6CBF4B06" w:rsidR="001E4BA0" w:rsidRPr="00A4304A" w:rsidRDefault="001E4BA0" w:rsidP="0058012D">
            <w:pPr>
              <w:jc w:val="center"/>
              <w:rPr>
                <w:rFonts w:ascii="CAIXA Std Book" w:eastAsia="Times New Roman" w:hAnsi="CAIXA Std Book" w:cs="Arial"/>
                <w:color w:val="005CA9"/>
                <w:sz w:val="16"/>
                <w:szCs w:val="16"/>
              </w:rPr>
            </w:pPr>
            <w:r w:rsidRPr="00A4304A">
              <w:rPr>
                <w:rFonts w:ascii="CAIXA Std Book" w:hAnsi="CAIXA Std Book" w:cs="Arial"/>
                <w:color w:val="005CA9"/>
                <w:sz w:val="16"/>
                <w:szCs w:val="16"/>
              </w:rPr>
              <w:t>-</w:t>
            </w:r>
          </w:p>
        </w:tc>
        <w:tc>
          <w:tcPr>
            <w:tcW w:w="336" w:type="pct"/>
            <w:tcBorders>
              <w:top w:val="nil"/>
              <w:left w:val="nil"/>
              <w:bottom w:val="single" w:sz="4" w:space="0" w:color="F79646"/>
              <w:right w:val="nil"/>
            </w:tcBorders>
            <w:shd w:val="clear" w:color="auto" w:fill="auto"/>
            <w:noWrap/>
            <w:vAlign w:val="center"/>
          </w:tcPr>
          <w:p w14:paraId="6D849378" w14:textId="0D7039DF" w:rsidR="001E4BA0" w:rsidRPr="00A4304A" w:rsidRDefault="001E4BA0" w:rsidP="0058012D">
            <w:pPr>
              <w:jc w:val="center"/>
              <w:rPr>
                <w:rFonts w:ascii="CAIXA Std Book" w:eastAsia="Times New Roman" w:hAnsi="CAIXA Std Book" w:cs="Arial"/>
                <w:color w:val="005CA9"/>
                <w:sz w:val="16"/>
                <w:szCs w:val="16"/>
              </w:rPr>
            </w:pPr>
            <w:r w:rsidRPr="00A4304A">
              <w:rPr>
                <w:rFonts w:ascii="CAIXA Std Book" w:hAnsi="CAIXA Std Book" w:cs="Arial"/>
                <w:color w:val="005CA9"/>
                <w:sz w:val="16"/>
                <w:szCs w:val="16"/>
              </w:rPr>
              <w:t>-</w:t>
            </w:r>
          </w:p>
        </w:tc>
        <w:tc>
          <w:tcPr>
            <w:tcW w:w="410" w:type="pct"/>
            <w:tcBorders>
              <w:top w:val="nil"/>
              <w:left w:val="nil"/>
              <w:bottom w:val="nil"/>
              <w:right w:val="nil"/>
            </w:tcBorders>
            <w:shd w:val="clear" w:color="auto" w:fill="auto"/>
            <w:noWrap/>
            <w:vAlign w:val="center"/>
          </w:tcPr>
          <w:p w14:paraId="121A44C1" w14:textId="422FE374" w:rsidR="001E4BA0" w:rsidRPr="00A4304A" w:rsidRDefault="001E4BA0" w:rsidP="0058012D">
            <w:pPr>
              <w:jc w:val="center"/>
              <w:rPr>
                <w:rFonts w:ascii="CAIXA Std Book" w:eastAsia="Times New Roman" w:hAnsi="CAIXA Std Book" w:cs="Arial"/>
                <w:color w:val="005CA9"/>
                <w:sz w:val="16"/>
                <w:szCs w:val="16"/>
              </w:rPr>
            </w:pPr>
            <w:r w:rsidRPr="00A4304A">
              <w:rPr>
                <w:rFonts w:ascii="CAIXA Std Book" w:hAnsi="CAIXA Std Book" w:cs="Arial"/>
                <w:color w:val="005CA9"/>
                <w:sz w:val="16"/>
                <w:szCs w:val="16"/>
              </w:rPr>
              <w:t>-</w:t>
            </w:r>
          </w:p>
        </w:tc>
      </w:tr>
      <w:tr w:rsidR="001E4BA0" w:rsidRPr="002057D3" w14:paraId="65135D22" w14:textId="77777777" w:rsidTr="008C739D">
        <w:trPr>
          <w:trHeight w:val="283"/>
        </w:trPr>
        <w:tc>
          <w:tcPr>
            <w:tcW w:w="1037" w:type="pct"/>
            <w:tcBorders>
              <w:top w:val="single" w:sz="4" w:space="0" w:color="F39200"/>
              <w:left w:val="nil"/>
              <w:bottom w:val="single" w:sz="4" w:space="0" w:color="F39200"/>
              <w:right w:val="nil"/>
            </w:tcBorders>
            <w:shd w:val="clear" w:color="auto" w:fill="auto"/>
            <w:vAlign w:val="center"/>
            <w:hideMark/>
          </w:tcPr>
          <w:p w14:paraId="7D6A9CA1" w14:textId="77777777" w:rsidR="001E4BA0" w:rsidRPr="00A4304A" w:rsidRDefault="001E4BA0" w:rsidP="001E4BA0">
            <w:pPr>
              <w:rPr>
                <w:rFonts w:ascii="CAIXA Std Book" w:eastAsia="Times New Roman" w:hAnsi="CAIXA Std Book" w:cs="Arial"/>
                <w:b/>
                <w:color w:val="005CA9"/>
                <w:sz w:val="16"/>
                <w:szCs w:val="16"/>
              </w:rPr>
            </w:pPr>
            <w:r w:rsidRPr="00A4304A">
              <w:rPr>
                <w:rFonts w:ascii="CAIXA Std Book" w:eastAsia="Times New Roman" w:hAnsi="CAIXA Std Book" w:cs="Arial"/>
                <w:b/>
                <w:color w:val="005CA9"/>
                <w:sz w:val="16"/>
                <w:szCs w:val="16"/>
              </w:rPr>
              <w:t>Total</w:t>
            </w:r>
          </w:p>
        </w:tc>
        <w:tc>
          <w:tcPr>
            <w:tcW w:w="336" w:type="pct"/>
            <w:tcBorders>
              <w:top w:val="single" w:sz="4" w:space="0" w:color="F79646" w:themeColor="accent6"/>
              <w:left w:val="nil"/>
              <w:bottom w:val="single" w:sz="4" w:space="0" w:color="F79646" w:themeColor="accent6"/>
              <w:right w:val="nil"/>
            </w:tcBorders>
            <w:shd w:val="clear" w:color="auto" w:fill="auto"/>
            <w:noWrap/>
            <w:vAlign w:val="center"/>
          </w:tcPr>
          <w:p w14:paraId="7E07BC0E" w14:textId="23817D71"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1.298.671</w:t>
            </w:r>
          </w:p>
        </w:tc>
        <w:tc>
          <w:tcPr>
            <w:tcW w:w="284" w:type="pct"/>
            <w:tcBorders>
              <w:top w:val="single" w:sz="4" w:space="0" w:color="F79646" w:themeColor="accent6"/>
              <w:left w:val="nil"/>
              <w:bottom w:val="single" w:sz="4" w:space="0" w:color="F79646" w:themeColor="accent6"/>
              <w:right w:val="nil"/>
            </w:tcBorders>
            <w:shd w:val="clear" w:color="auto" w:fill="auto"/>
            <w:noWrap/>
            <w:vAlign w:val="center"/>
          </w:tcPr>
          <w:p w14:paraId="09C650C3" w14:textId="19213D7E"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480.593</w:t>
            </w:r>
          </w:p>
        </w:tc>
        <w:tc>
          <w:tcPr>
            <w:tcW w:w="284" w:type="pct"/>
            <w:tcBorders>
              <w:top w:val="single" w:sz="4" w:space="0" w:color="F79646" w:themeColor="accent6"/>
              <w:left w:val="nil"/>
              <w:bottom w:val="single" w:sz="4" w:space="0" w:color="F79646" w:themeColor="accent6"/>
              <w:right w:val="nil"/>
            </w:tcBorders>
            <w:shd w:val="clear" w:color="auto" w:fill="auto"/>
            <w:vAlign w:val="center"/>
          </w:tcPr>
          <w:p w14:paraId="1814FD11" w14:textId="6ECC638A"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283.041</w:t>
            </w:r>
          </w:p>
        </w:tc>
        <w:tc>
          <w:tcPr>
            <w:tcW w:w="336" w:type="pct"/>
            <w:tcBorders>
              <w:top w:val="single" w:sz="4" w:space="0" w:color="F79646" w:themeColor="accent6"/>
              <w:left w:val="nil"/>
              <w:bottom w:val="single" w:sz="4" w:space="0" w:color="F79646" w:themeColor="accent6"/>
              <w:right w:val="nil"/>
            </w:tcBorders>
            <w:shd w:val="clear" w:color="auto" w:fill="auto"/>
            <w:noWrap/>
            <w:vAlign w:val="center"/>
          </w:tcPr>
          <w:p w14:paraId="783D3FCD" w14:textId="340E84C5"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1.258.139</w:t>
            </w:r>
          </w:p>
        </w:tc>
        <w:tc>
          <w:tcPr>
            <w:tcW w:w="410" w:type="pct"/>
            <w:tcBorders>
              <w:top w:val="single" w:sz="4" w:space="0" w:color="F79646" w:themeColor="accent6"/>
              <w:left w:val="nil"/>
              <w:bottom w:val="single" w:sz="4" w:space="0" w:color="F79646" w:themeColor="accent6"/>
              <w:right w:val="nil"/>
            </w:tcBorders>
            <w:shd w:val="clear" w:color="auto" w:fill="auto"/>
            <w:noWrap/>
            <w:vAlign w:val="center"/>
          </w:tcPr>
          <w:p w14:paraId="60C59860" w14:textId="54F07FE9"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146.732.639</w:t>
            </w:r>
          </w:p>
        </w:tc>
        <w:tc>
          <w:tcPr>
            <w:tcW w:w="410" w:type="pct"/>
            <w:tcBorders>
              <w:top w:val="single" w:sz="4" w:space="0" w:color="F79646" w:themeColor="accent6"/>
              <w:left w:val="nil"/>
              <w:bottom w:val="single" w:sz="4" w:space="0" w:color="F79646" w:themeColor="accent6"/>
              <w:right w:val="nil"/>
            </w:tcBorders>
            <w:shd w:val="clear" w:color="auto" w:fill="auto"/>
            <w:noWrap/>
            <w:vAlign w:val="center"/>
          </w:tcPr>
          <w:p w14:paraId="1773934A" w14:textId="14F9D143"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148.807.338</w:t>
            </w:r>
          </w:p>
        </w:tc>
        <w:tc>
          <w:tcPr>
            <w:tcW w:w="336" w:type="pct"/>
            <w:tcBorders>
              <w:top w:val="single" w:sz="4" w:space="0" w:color="F79646" w:themeColor="accent6"/>
              <w:left w:val="nil"/>
              <w:bottom w:val="single" w:sz="4" w:space="0" w:color="F79646" w:themeColor="accent6"/>
              <w:right w:val="nil"/>
            </w:tcBorders>
            <w:shd w:val="clear" w:color="auto" w:fill="auto"/>
            <w:noWrap/>
            <w:vAlign w:val="center"/>
          </w:tcPr>
          <w:p w14:paraId="47E62D63" w14:textId="291443EB" w:rsidR="001E4BA0" w:rsidRPr="00A4304A" w:rsidRDefault="001E4BA0" w:rsidP="0058012D">
            <w:pPr>
              <w:jc w:val="right"/>
              <w:rPr>
                <w:rFonts w:ascii="CAIXA Std Book" w:hAnsi="CAIXA Std Book" w:cs="Arial"/>
                <w:b/>
                <w:bCs/>
                <w:color w:val="005CA9"/>
                <w:sz w:val="16"/>
                <w:szCs w:val="16"/>
              </w:rPr>
            </w:pPr>
            <w:r>
              <w:rPr>
                <w:rFonts w:ascii="CAIXA Std Book" w:hAnsi="CAIXA Std Book" w:cs="Arial"/>
                <w:b/>
                <w:bCs/>
                <w:color w:val="005CA9"/>
                <w:sz w:val="16"/>
                <w:szCs w:val="16"/>
              </w:rPr>
              <w:t>1.245.745</w:t>
            </w:r>
          </w:p>
        </w:tc>
        <w:tc>
          <w:tcPr>
            <w:tcW w:w="411" w:type="pct"/>
            <w:tcBorders>
              <w:top w:val="single" w:sz="4" w:space="0" w:color="F79646" w:themeColor="accent6"/>
              <w:left w:val="nil"/>
              <w:bottom w:val="single" w:sz="4" w:space="0" w:color="F79646" w:themeColor="accent6"/>
              <w:right w:val="nil"/>
            </w:tcBorders>
            <w:shd w:val="clear" w:color="auto" w:fill="auto"/>
            <w:noWrap/>
            <w:vAlign w:val="center"/>
          </w:tcPr>
          <w:p w14:paraId="64680EF2" w14:textId="4F17EC51" w:rsidR="001E4BA0" w:rsidRPr="00A4304A" w:rsidRDefault="001E4BA0" w:rsidP="0058012D">
            <w:pPr>
              <w:jc w:val="right"/>
              <w:rPr>
                <w:rFonts w:ascii="CAIXA Std Book" w:hAnsi="CAIXA Std Book" w:cs="Arial"/>
                <w:b/>
                <w:color w:val="005CA9"/>
                <w:sz w:val="16"/>
                <w:szCs w:val="16"/>
              </w:rPr>
            </w:pPr>
            <w:r>
              <w:rPr>
                <w:rFonts w:ascii="CAIXA Std Book" w:hAnsi="CAIXA Std Book" w:cs="Arial"/>
                <w:b/>
                <w:bCs/>
                <w:color w:val="005CA9"/>
                <w:sz w:val="16"/>
                <w:szCs w:val="16"/>
              </w:rPr>
              <w:t>150.053.083</w:t>
            </w:r>
          </w:p>
        </w:tc>
        <w:tc>
          <w:tcPr>
            <w:tcW w:w="410" w:type="pct"/>
            <w:tcBorders>
              <w:top w:val="single" w:sz="4" w:space="0" w:color="F79646" w:themeColor="accent6"/>
              <w:left w:val="nil"/>
              <w:bottom w:val="single" w:sz="4" w:space="0" w:color="F79646" w:themeColor="accent6"/>
              <w:right w:val="nil"/>
            </w:tcBorders>
            <w:shd w:val="clear" w:color="auto" w:fill="auto"/>
            <w:noWrap/>
            <w:vAlign w:val="center"/>
          </w:tcPr>
          <w:p w14:paraId="07124DE8" w14:textId="0243FA48"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134.938.704</w:t>
            </w:r>
          </w:p>
        </w:tc>
        <w:tc>
          <w:tcPr>
            <w:tcW w:w="336" w:type="pct"/>
            <w:tcBorders>
              <w:top w:val="single" w:sz="4" w:space="0" w:color="F79646"/>
              <w:left w:val="nil"/>
              <w:bottom w:val="single" w:sz="4" w:space="0" w:color="F79646"/>
              <w:right w:val="nil"/>
            </w:tcBorders>
            <w:shd w:val="clear" w:color="auto" w:fill="auto"/>
            <w:noWrap/>
            <w:vAlign w:val="center"/>
          </w:tcPr>
          <w:p w14:paraId="644377A6" w14:textId="6B21778D"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1.139.664</w:t>
            </w:r>
          </w:p>
        </w:tc>
        <w:tc>
          <w:tcPr>
            <w:tcW w:w="410" w:type="pct"/>
            <w:tcBorders>
              <w:top w:val="single" w:sz="4" w:space="0" w:color="F39200"/>
              <w:left w:val="nil"/>
              <w:bottom w:val="single" w:sz="4" w:space="0" w:color="F39200"/>
              <w:right w:val="nil"/>
            </w:tcBorders>
            <w:shd w:val="clear" w:color="auto" w:fill="auto"/>
            <w:noWrap/>
            <w:vAlign w:val="center"/>
          </w:tcPr>
          <w:p w14:paraId="0B520841" w14:textId="201D5345" w:rsidR="001E4BA0" w:rsidRPr="00A4304A" w:rsidRDefault="001E4BA0" w:rsidP="0058012D">
            <w:pPr>
              <w:jc w:val="right"/>
              <w:rPr>
                <w:rFonts w:ascii="CAIXA Std Book" w:eastAsia="Times New Roman" w:hAnsi="CAIXA Std Book" w:cs="Arial"/>
                <w:b/>
                <w:color w:val="005CA9"/>
                <w:sz w:val="16"/>
                <w:szCs w:val="16"/>
              </w:rPr>
            </w:pPr>
            <w:r w:rsidRPr="00A4304A">
              <w:rPr>
                <w:rFonts w:ascii="CAIXA Std Book" w:hAnsi="CAIXA Std Book" w:cs="Arial"/>
                <w:b/>
                <w:bCs/>
                <w:color w:val="005CA9"/>
                <w:sz w:val="16"/>
                <w:szCs w:val="16"/>
              </w:rPr>
              <w:t>136.078.368</w:t>
            </w:r>
          </w:p>
        </w:tc>
      </w:tr>
    </w:tbl>
    <w:p w14:paraId="2BAF259D" w14:textId="586373EC" w:rsidR="00144FE7" w:rsidRPr="00FF4346" w:rsidRDefault="00144FE7">
      <w:pPr>
        <w:rPr>
          <w:rFonts w:ascii="CAIXA Std Book" w:hAnsi="CAIXA Std Book"/>
          <w:b/>
          <w:color w:val="005CA9"/>
          <w:sz w:val="20"/>
          <w:szCs w:val="20"/>
        </w:rPr>
      </w:pPr>
      <w:r w:rsidRPr="00FF4346">
        <w:rPr>
          <w:rFonts w:ascii="CAIXA Std Book" w:hAnsi="CAIXA Std Book"/>
          <w:b/>
          <w:color w:val="005CA9"/>
          <w:sz w:val="20"/>
          <w:szCs w:val="20"/>
        </w:rPr>
        <w:br w:type="page"/>
      </w:r>
    </w:p>
    <w:p w14:paraId="09935A19" w14:textId="77777777" w:rsidR="00E8407B" w:rsidRPr="00FF4346" w:rsidRDefault="00144FE7" w:rsidP="00144FE7">
      <w:pPr>
        <w:tabs>
          <w:tab w:val="left" w:pos="709"/>
          <w:tab w:val="left" w:pos="1418"/>
          <w:tab w:val="left" w:pos="2127"/>
          <w:tab w:val="left" w:pos="2836"/>
          <w:tab w:val="left" w:pos="3545"/>
          <w:tab w:val="left" w:pos="4254"/>
          <w:tab w:val="left" w:pos="8602"/>
        </w:tabs>
        <w:spacing w:before="480" w:after="240"/>
        <w:rPr>
          <w:rFonts w:ascii="CAIXA Std Book" w:hAnsi="CAIXA Std Book"/>
          <w:b/>
          <w:color w:val="005CA9"/>
          <w:sz w:val="20"/>
          <w:szCs w:val="20"/>
        </w:rPr>
      </w:pPr>
      <w:r w:rsidRPr="00FF4346">
        <w:rPr>
          <w:rFonts w:ascii="CAIXA Std Book" w:hAnsi="CAIXA Std Book"/>
          <w:b/>
          <w:color w:val="005CA9"/>
          <w:sz w:val="20"/>
          <w:szCs w:val="20"/>
        </w:rPr>
        <w:lastRenderedPageBreak/>
        <w:t>(b.3)</w:t>
      </w:r>
      <w:r w:rsidRPr="00FF4346">
        <w:rPr>
          <w:rFonts w:ascii="CAIXA Std Book" w:hAnsi="CAIXA Std Book"/>
          <w:b/>
          <w:color w:val="005CA9"/>
          <w:sz w:val="20"/>
          <w:szCs w:val="20"/>
        </w:rPr>
        <w:tab/>
        <w:t>Categoria III - Títulos mantidos até o vencimento</w:t>
      </w:r>
    </w:p>
    <w:p w14:paraId="747B72AF" w14:textId="2920A7A7" w:rsidR="001E77C1" w:rsidRPr="00FF4346" w:rsidRDefault="001E77C1" w:rsidP="001E77C1">
      <w:pPr>
        <w:autoSpaceDE w:val="0"/>
        <w:autoSpaceDN w:val="0"/>
        <w:adjustRightInd w:val="0"/>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Os papeis que compõem a carteira de TVM mantidos até o vencimento </w:t>
      </w:r>
      <w:r w:rsidR="00824757">
        <w:rPr>
          <w:rFonts w:ascii="CAIXA Std Book" w:hAnsi="CAIXA Std Book"/>
          <w:color w:val="005CA9"/>
          <w:sz w:val="20"/>
          <w:szCs w:val="20"/>
        </w:rPr>
        <w:t xml:space="preserve">não </w:t>
      </w:r>
      <w:r w:rsidRPr="00FF4346">
        <w:rPr>
          <w:rFonts w:ascii="CAIXA Std Book" w:hAnsi="CAIXA Std Book"/>
          <w:color w:val="005CA9"/>
          <w:sz w:val="20"/>
          <w:szCs w:val="20"/>
        </w:rPr>
        <w:t xml:space="preserve">sofreram ajustes por perda no valor recuperável </w:t>
      </w:r>
      <w:r w:rsidR="007E75AC" w:rsidRPr="00FF4346">
        <w:rPr>
          <w:rFonts w:ascii="CAIXA Std Book" w:hAnsi="CAIXA Std Book"/>
          <w:i/>
          <w:color w:val="005CA9"/>
          <w:sz w:val="20"/>
          <w:szCs w:val="20"/>
        </w:rPr>
        <w:t>(Impairment</w:t>
      </w:r>
      <w:r w:rsidR="007E75AC" w:rsidRPr="00FF4346">
        <w:rPr>
          <w:rFonts w:ascii="CAIXA Std Book" w:hAnsi="CAIXA Std Book"/>
          <w:color w:val="005CA9"/>
          <w:sz w:val="20"/>
          <w:szCs w:val="20"/>
        </w:rPr>
        <w:t xml:space="preserve">) </w:t>
      </w:r>
      <w:r w:rsidR="007E75AC">
        <w:rPr>
          <w:rFonts w:ascii="CAIXA Std Book" w:hAnsi="CAIXA Std Book"/>
          <w:color w:val="005CA9"/>
          <w:sz w:val="20"/>
          <w:szCs w:val="20"/>
        </w:rPr>
        <w:t xml:space="preserve">no 1º trimestre de </w:t>
      </w:r>
      <w:r w:rsidRPr="00FF4346">
        <w:rPr>
          <w:rFonts w:ascii="CAIXA Std Book" w:hAnsi="CAIXA Std Book"/>
          <w:color w:val="005CA9"/>
          <w:sz w:val="20"/>
          <w:szCs w:val="20"/>
        </w:rPr>
        <w:t>2024</w:t>
      </w:r>
      <w:r w:rsidR="007E75AC">
        <w:rPr>
          <w:rFonts w:ascii="CAIXA Std Book" w:hAnsi="CAIXA Std Book"/>
          <w:color w:val="005CA9"/>
          <w:sz w:val="20"/>
          <w:szCs w:val="20"/>
        </w:rPr>
        <w:t xml:space="preserve"> </w:t>
      </w:r>
      <w:r w:rsidR="0087126C">
        <w:rPr>
          <w:rFonts w:ascii="CAIXA Std Book" w:hAnsi="CAIXA Std Book"/>
          <w:color w:val="005CA9"/>
          <w:sz w:val="20"/>
          <w:szCs w:val="20"/>
        </w:rPr>
        <w:t xml:space="preserve">e </w:t>
      </w:r>
      <w:r w:rsidRPr="00FF4346">
        <w:rPr>
          <w:rFonts w:ascii="CAIXA Std Book" w:hAnsi="CAIXA Std Book"/>
          <w:color w:val="005CA9"/>
          <w:sz w:val="20"/>
          <w:szCs w:val="20"/>
        </w:rPr>
        <w:t>2023</w:t>
      </w:r>
      <w:r w:rsidR="0087126C">
        <w:rPr>
          <w:rFonts w:ascii="CAIXA Std Book" w:hAnsi="CAIXA Std Book"/>
          <w:color w:val="005CA9"/>
          <w:sz w:val="20"/>
          <w:szCs w:val="20"/>
        </w:rPr>
        <w:t>.</w:t>
      </w:r>
    </w:p>
    <w:tbl>
      <w:tblPr>
        <w:tblW w:w="5000" w:type="pct"/>
        <w:tblCellMar>
          <w:left w:w="70" w:type="dxa"/>
          <w:right w:w="70" w:type="dxa"/>
        </w:tblCellMar>
        <w:tblLook w:val="04A0" w:firstRow="1" w:lastRow="0" w:firstColumn="1" w:lastColumn="0" w:noHBand="0" w:noVBand="1"/>
      </w:tblPr>
      <w:tblGrid>
        <w:gridCol w:w="4283"/>
        <w:gridCol w:w="1714"/>
        <w:gridCol w:w="1714"/>
        <w:gridCol w:w="1714"/>
        <w:gridCol w:w="1714"/>
        <w:gridCol w:w="1716"/>
        <w:gridCol w:w="1716"/>
      </w:tblGrid>
      <w:tr w:rsidR="00144FE7" w:rsidRPr="0024366B" w14:paraId="74140E68" w14:textId="77777777" w:rsidTr="0024366B">
        <w:trPr>
          <w:trHeight w:val="283"/>
        </w:trPr>
        <w:tc>
          <w:tcPr>
            <w:tcW w:w="5000" w:type="pct"/>
            <w:gridSpan w:val="7"/>
            <w:tcBorders>
              <w:top w:val="single" w:sz="4" w:space="0" w:color="F39200"/>
              <w:left w:val="nil"/>
              <w:bottom w:val="single" w:sz="4" w:space="0" w:color="F79646" w:themeColor="accent6"/>
            </w:tcBorders>
            <w:vAlign w:val="center"/>
          </w:tcPr>
          <w:p w14:paraId="1850F001" w14:textId="61BB239B" w:rsidR="00144FE7" w:rsidRPr="0024366B" w:rsidRDefault="00883F7A" w:rsidP="00883F7A">
            <w:pPr>
              <w:jc w:val="center"/>
              <w:rPr>
                <w:rFonts w:ascii="CAIXA Std Book" w:hAnsi="CAIXA Std Book"/>
                <w:color w:val="005CA9"/>
                <w:sz w:val="18"/>
                <w:szCs w:val="18"/>
              </w:rPr>
            </w:pPr>
            <w:r w:rsidRPr="0024366B">
              <w:rPr>
                <w:rFonts w:ascii="CAIXA Std Book" w:eastAsia="Times New Roman" w:hAnsi="CAIXA Std Book" w:cs="Arial"/>
                <w:b/>
                <w:bCs/>
                <w:color w:val="005CA9"/>
                <w:sz w:val="18"/>
                <w:szCs w:val="18"/>
              </w:rPr>
              <w:t>INDIVIDUAL / CONSOLIDADO</w:t>
            </w:r>
          </w:p>
        </w:tc>
      </w:tr>
      <w:tr w:rsidR="00F36519" w:rsidRPr="0024366B" w14:paraId="28C49BFF" w14:textId="77777777" w:rsidTr="0024366B">
        <w:trPr>
          <w:trHeight w:val="283"/>
        </w:trPr>
        <w:tc>
          <w:tcPr>
            <w:tcW w:w="1470" w:type="pct"/>
            <w:vMerge w:val="restart"/>
            <w:tcBorders>
              <w:left w:val="nil"/>
              <w:right w:val="nil"/>
            </w:tcBorders>
            <w:shd w:val="clear" w:color="auto" w:fill="auto"/>
            <w:vAlign w:val="center"/>
            <w:hideMark/>
          </w:tcPr>
          <w:p w14:paraId="379571DB" w14:textId="7C06C1B8"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Calibri"/>
                <w:b/>
                <w:bCs/>
                <w:color w:val="005CA9"/>
                <w:sz w:val="18"/>
                <w:szCs w:val="18"/>
              </w:rPr>
              <w:t>Descrição</w:t>
            </w:r>
          </w:p>
        </w:tc>
        <w:tc>
          <w:tcPr>
            <w:tcW w:w="2941" w:type="pct"/>
            <w:gridSpan w:val="5"/>
            <w:tcBorders>
              <w:top w:val="single" w:sz="4" w:space="0" w:color="F39200"/>
              <w:left w:val="nil"/>
              <w:bottom w:val="single" w:sz="4" w:space="0" w:color="F39200"/>
              <w:right w:val="nil"/>
            </w:tcBorders>
            <w:shd w:val="clear" w:color="auto" w:fill="auto"/>
            <w:vAlign w:val="center"/>
            <w:hideMark/>
          </w:tcPr>
          <w:p w14:paraId="5DF23D78" w14:textId="2F4CFD12"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31/03/2024</w:t>
            </w:r>
          </w:p>
        </w:tc>
        <w:tc>
          <w:tcPr>
            <w:tcW w:w="589" w:type="pct"/>
            <w:tcBorders>
              <w:top w:val="single" w:sz="4" w:space="0" w:color="F39200"/>
              <w:left w:val="nil"/>
              <w:bottom w:val="single" w:sz="4" w:space="0" w:color="F39200"/>
              <w:right w:val="nil"/>
            </w:tcBorders>
            <w:shd w:val="clear" w:color="auto" w:fill="auto"/>
            <w:vAlign w:val="center"/>
            <w:hideMark/>
          </w:tcPr>
          <w:p w14:paraId="312D0FD1" w14:textId="1BC83FEC" w:rsidR="00F36519" w:rsidRPr="0024366B" w:rsidRDefault="00F36519" w:rsidP="006825F9">
            <w:pP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31/12/2023</w:t>
            </w:r>
          </w:p>
        </w:tc>
      </w:tr>
      <w:tr w:rsidR="00F36519" w:rsidRPr="0024366B" w14:paraId="605EC72B" w14:textId="77777777" w:rsidTr="0024366B">
        <w:trPr>
          <w:trHeight w:val="283"/>
        </w:trPr>
        <w:tc>
          <w:tcPr>
            <w:tcW w:w="1470" w:type="pct"/>
            <w:vMerge/>
            <w:tcBorders>
              <w:left w:val="nil"/>
              <w:bottom w:val="single" w:sz="4" w:space="0" w:color="F39200"/>
              <w:right w:val="nil"/>
            </w:tcBorders>
            <w:vAlign w:val="center"/>
            <w:hideMark/>
          </w:tcPr>
          <w:p w14:paraId="19A13BAA" w14:textId="77777777" w:rsidR="00F36519" w:rsidRPr="0024366B" w:rsidRDefault="00F36519">
            <w:pPr>
              <w:jc w:val="right"/>
              <w:rPr>
                <w:rFonts w:ascii="CAIXA Std Book" w:eastAsia="Times New Roman" w:hAnsi="CAIXA Std Book" w:cs="Arial"/>
                <w:b/>
                <w:bCs/>
                <w:color w:val="005CA9"/>
                <w:sz w:val="18"/>
                <w:szCs w:val="18"/>
              </w:rPr>
            </w:pPr>
          </w:p>
        </w:tc>
        <w:tc>
          <w:tcPr>
            <w:tcW w:w="588" w:type="pct"/>
            <w:tcBorders>
              <w:top w:val="nil"/>
              <w:left w:val="nil"/>
              <w:bottom w:val="single" w:sz="4" w:space="0" w:color="F39200"/>
              <w:right w:val="nil"/>
            </w:tcBorders>
            <w:vAlign w:val="center"/>
          </w:tcPr>
          <w:p w14:paraId="60B15F49" w14:textId="6A833E2C" w:rsidR="00F36519" w:rsidRPr="0024366B" w:rsidRDefault="00F36519">
            <w:pPr>
              <w:jc w:val="center"/>
              <w:rPr>
                <w:rFonts w:ascii="CAIXA Std Book" w:hAnsi="CAIXA Std Book" w:cs="Arial"/>
                <w:b/>
                <w:color w:val="005CA9"/>
                <w:sz w:val="18"/>
                <w:szCs w:val="18"/>
              </w:rPr>
            </w:pPr>
            <w:r w:rsidRPr="0024366B">
              <w:rPr>
                <w:rFonts w:ascii="CAIXA Std Book" w:hAnsi="CAIXA Std Book" w:cs="Arial"/>
                <w:b/>
                <w:color w:val="005CA9"/>
                <w:sz w:val="18"/>
                <w:szCs w:val="18"/>
              </w:rPr>
              <w:t>181 a 360 dias</w:t>
            </w:r>
          </w:p>
        </w:tc>
        <w:tc>
          <w:tcPr>
            <w:tcW w:w="588" w:type="pct"/>
            <w:tcBorders>
              <w:top w:val="nil"/>
              <w:left w:val="nil"/>
              <w:bottom w:val="single" w:sz="4" w:space="0" w:color="F39200"/>
              <w:right w:val="nil"/>
            </w:tcBorders>
            <w:shd w:val="clear" w:color="auto" w:fill="auto"/>
            <w:vAlign w:val="center"/>
            <w:hideMark/>
          </w:tcPr>
          <w:p w14:paraId="4F91DDED" w14:textId="5FBC951D"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Acima de 360 dias</w:t>
            </w:r>
          </w:p>
        </w:tc>
        <w:tc>
          <w:tcPr>
            <w:tcW w:w="588" w:type="pct"/>
            <w:tcBorders>
              <w:top w:val="nil"/>
              <w:left w:val="nil"/>
              <w:bottom w:val="single" w:sz="4" w:space="0" w:color="F39200"/>
              <w:right w:val="nil"/>
            </w:tcBorders>
            <w:shd w:val="clear" w:color="auto" w:fill="auto"/>
            <w:vAlign w:val="center"/>
            <w:hideMark/>
          </w:tcPr>
          <w:p w14:paraId="29FBA810" w14:textId="0DAF23EE"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 xml:space="preserve">Custo </w:t>
            </w:r>
          </w:p>
        </w:tc>
        <w:tc>
          <w:tcPr>
            <w:tcW w:w="588" w:type="pct"/>
            <w:tcBorders>
              <w:top w:val="nil"/>
              <w:left w:val="nil"/>
              <w:bottom w:val="single" w:sz="4" w:space="0" w:color="F39200"/>
              <w:right w:val="nil"/>
            </w:tcBorders>
            <w:shd w:val="clear" w:color="auto" w:fill="auto"/>
            <w:vAlign w:val="center"/>
            <w:hideMark/>
          </w:tcPr>
          <w:p w14:paraId="366B34EC" w14:textId="77777777"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Valor de mercado</w:t>
            </w:r>
          </w:p>
        </w:tc>
        <w:tc>
          <w:tcPr>
            <w:tcW w:w="589" w:type="pct"/>
            <w:tcBorders>
              <w:top w:val="nil"/>
              <w:left w:val="nil"/>
              <w:bottom w:val="single" w:sz="4" w:space="0" w:color="F39200"/>
              <w:right w:val="nil"/>
            </w:tcBorders>
            <w:shd w:val="clear" w:color="auto" w:fill="auto"/>
            <w:vAlign w:val="center"/>
            <w:hideMark/>
          </w:tcPr>
          <w:p w14:paraId="49DA03AC" w14:textId="1302243A"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 xml:space="preserve">Custo </w:t>
            </w:r>
          </w:p>
        </w:tc>
        <w:tc>
          <w:tcPr>
            <w:tcW w:w="589" w:type="pct"/>
            <w:tcBorders>
              <w:top w:val="nil"/>
              <w:left w:val="nil"/>
              <w:bottom w:val="single" w:sz="4" w:space="0" w:color="F39200"/>
              <w:right w:val="nil"/>
            </w:tcBorders>
            <w:shd w:val="clear" w:color="auto" w:fill="auto"/>
            <w:vAlign w:val="center"/>
            <w:hideMark/>
          </w:tcPr>
          <w:p w14:paraId="4BCBB154" w14:textId="77777777" w:rsidR="00F36519" w:rsidRPr="0024366B" w:rsidRDefault="00F36519">
            <w:pPr>
              <w:jc w:val="cente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Valor de mercado</w:t>
            </w:r>
          </w:p>
        </w:tc>
      </w:tr>
      <w:tr w:rsidR="00F36519" w:rsidRPr="0024366B" w14:paraId="5132288B" w14:textId="77777777" w:rsidTr="0024366B">
        <w:trPr>
          <w:trHeight w:val="283"/>
        </w:trPr>
        <w:tc>
          <w:tcPr>
            <w:tcW w:w="1470" w:type="pct"/>
            <w:tcBorders>
              <w:top w:val="nil"/>
              <w:left w:val="nil"/>
              <w:bottom w:val="nil"/>
              <w:right w:val="nil"/>
            </w:tcBorders>
            <w:shd w:val="clear" w:color="auto" w:fill="auto"/>
            <w:vAlign w:val="center"/>
            <w:hideMark/>
          </w:tcPr>
          <w:p w14:paraId="2F0BACCA" w14:textId="77777777" w:rsidR="00504846" w:rsidRPr="0024366B" w:rsidRDefault="00504846" w:rsidP="00504846">
            <w:pP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Títulos públicos</w:t>
            </w:r>
          </w:p>
        </w:tc>
        <w:tc>
          <w:tcPr>
            <w:tcW w:w="588" w:type="pct"/>
            <w:tcBorders>
              <w:top w:val="nil"/>
              <w:left w:val="nil"/>
              <w:bottom w:val="nil"/>
              <w:right w:val="nil"/>
            </w:tcBorders>
            <w:shd w:val="clear" w:color="auto" w:fill="auto"/>
            <w:vAlign w:val="center"/>
          </w:tcPr>
          <w:p w14:paraId="238AC3BF" w14:textId="7C4D58D9" w:rsidR="00E8752C" w:rsidRPr="0024366B" w:rsidRDefault="0068595E" w:rsidP="001F68B4">
            <w:pPr>
              <w:jc w:val="right"/>
              <w:rPr>
                <w:rFonts w:ascii="CAIXA Std Book" w:eastAsia="Times New Roman" w:hAnsi="CAIXA Std Book" w:cs="Arial"/>
                <w:b/>
                <w:color w:val="005CA9"/>
                <w:sz w:val="18"/>
                <w:szCs w:val="18"/>
              </w:rPr>
            </w:pPr>
            <w:r>
              <w:rPr>
                <w:rFonts w:ascii="CAIXA Std Book" w:hAnsi="CAIXA Std Book" w:cs="Arial"/>
                <w:b/>
                <w:color w:val="005CA9"/>
                <w:sz w:val="18"/>
                <w:szCs w:val="18"/>
              </w:rPr>
              <w:t>1.489.007</w:t>
            </w:r>
          </w:p>
        </w:tc>
        <w:tc>
          <w:tcPr>
            <w:tcW w:w="588" w:type="pct"/>
            <w:tcBorders>
              <w:top w:val="nil"/>
              <w:left w:val="nil"/>
              <w:bottom w:val="nil"/>
              <w:right w:val="nil"/>
            </w:tcBorders>
            <w:shd w:val="clear" w:color="auto" w:fill="auto"/>
            <w:noWrap/>
            <w:vAlign w:val="center"/>
          </w:tcPr>
          <w:p w14:paraId="420410F1" w14:textId="1530293B" w:rsidR="00504846" w:rsidRPr="0024366B" w:rsidRDefault="00EB7449" w:rsidP="007E15AF">
            <w:pPr>
              <w:jc w:val="center"/>
              <w:rPr>
                <w:rFonts w:ascii="CAIXA Std Book" w:eastAsia="Times New Roman" w:hAnsi="CAIXA Std Book" w:cs="Arial"/>
                <w:b/>
                <w:bCs/>
                <w:color w:val="005CA9"/>
                <w:sz w:val="18"/>
                <w:szCs w:val="18"/>
              </w:rPr>
            </w:pPr>
            <w:r>
              <w:rPr>
                <w:rFonts w:ascii="CAIXA Std Book" w:hAnsi="CAIXA Std Book" w:cs="Arial"/>
                <w:b/>
                <w:color w:val="005CA9"/>
                <w:sz w:val="18"/>
                <w:szCs w:val="18"/>
              </w:rPr>
              <w:t>-</w:t>
            </w:r>
          </w:p>
        </w:tc>
        <w:tc>
          <w:tcPr>
            <w:tcW w:w="588" w:type="pct"/>
            <w:tcBorders>
              <w:top w:val="nil"/>
              <w:left w:val="nil"/>
              <w:bottom w:val="nil"/>
              <w:right w:val="nil"/>
            </w:tcBorders>
            <w:shd w:val="clear" w:color="auto" w:fill="auto"/>
            <w:noWrap/>
            <w:vAlign w:val="center"/>
          </w:tcPr>
          <w:p w14:paraId="310AB868" w14:textId="6B5ABD69" w:rsidR="00504846" w:rsidRPr="0024366B" w:rsidRDefault="00463F90" w:rsidP="00504846">
            <w:pPr>
              <w:jc w:val="right"/>
              <w:rPr>
                <w:rFonts w:ascii="CAIXA Std Book" w:eastAsia="Times New Roman" w:hAnsi="CAIXA Std Book" w:cs="Arial"/>
                <w:b/>
                <w:bCs/>
                <w:color w:val="005CA9"/>
                <w:sz w:val="18"/>
                <w:szCs w:val="18"/>
              </w:rPr>
            </w:pPr>
            <w:r>
              <w:rPr>
                <w:rFonts w:ascii="CAIXA Std Book" w:hAnsi="CAIXA Std Book" w:cs="Arial"/>
                <w:b/>
                <w:color w:val="005CA9"/>
                <w:sz w:val="18"/>
                <w:szCs w:val="18"/>
              </w:rPr>
              <w:t>1.489.007</w:t>
            </w:r>
          </w:p>
        </w:tc>
        <w:tc>
          <w:tcPr>
            <w:tcW w:w="588" w:type="pct"/>
            <w:tcBorders>
              <w:top w:val="nil"/>
              <w:left w:val="nil"/>
              <w:bottom w:val="nil"/>
              <w:right w:val="nil"/>
            </w:tcBorders>
            <w:shd w:val="clear" w:color="auto" w:fill="auto"/>
            <w:noWrap/>
            <w:vAlign w:val="center"/>
          </w:tcPr>
          <w:p w14:paraId="035132DF" w14:textId="017F2D00" w:rsidR="00504846" w:rsidRPr="0024366B" w:rsidRDefault="00070CB9" w:rsidP="00504846">
            <w:pPr>
              <w:jc w:val="right"/>
              <w:rPr>
                <w:rFonts w:ascii="CAIXA Std Book" w:eastAsia="Times New Roman" w:hAnsi="CAIXA Std Book" w:cs="Arial"/>
                <w:b/>
                <w:bCs/>
                <w:color w:val="005CA9"/>
                <w:sz w:val="18"/>
                <w:szCs w:val="18"/>
              </w:rPr>
            </w:pPr>
            <w:r>
              <w:rPr>
                <w:rFonts w:ascii="CAIXA Std Book" w:hAnsi="CAIXA Std Book" w:cs="Arial"/>
                <w:b/>
                <w:color w:val="005CA9"/>
                <w:sz w:val="18"/>
                <w:szCs w:val="18"/>
              </w:rPr>
              <w:t>1.504.716</w:t>
            </w:r>
          </w:p>
        </w:tc>
        <w:tc>
          <w:tcPr>
            <w:tcW w:w="589" w:type="pct"/>
            <w:tcBorders>
              <w:top w:val="nil"/>
              <w:left w:val="nil"/>
              <w:bottom w:val="nil"/>
              <w:right w:val="nil"/>
            </w:tcBorders>
            <w:shd w:val="clear" w:color="auto" w:fill="auto"/>
            <w:noWrap/>
            <w:vAlign w:val="center"/>
            <w:hideMark/>
          </w:tcPr>
          <w:p w14:paraId="5D193441" w14:textId="73BAE900" w:rsidR="00504846" w:rsidRPr="0024366B" w:rsidRDefault="00504846" w:rsidP="00504846">
            <w:pPr>
              <w:jc w:val="right"/>
              <w:rPr>
                <w:rFonts w:ascii="CAIXA Std Book" w:eastAsia="Times New Roman" w:hAnsi="CAIXA Std Book" w:cs="Arial"/>
                <w:b/>
                <w:bCs/>
                <w:color w:val="005CA9"/>
                <w:sz w:val="18"/>
                <w:szCs w:val="18"/>
              </w:rPr>
            </w:pPr>
            <w:r>
              <w:rPr>
                <w:rFonts w:ascii="CAIXA Std Book" w:hAnsi="CAIXA Std Book" w:cs="Arial"/>
                <w:b/>
                <w:color w:val="005CA9"/>
                <w:sz w:val="18"/>
                <w:szCs w:val="18"/>
              </w:rPr>
              <w:t>1.520.045</w:t>
            </w:r>
          </w:p>
        </w:tc>
        <w:tc>
          <w:tcPr>
            <w:tcW w:w="589" w:type="pct"/>
            <w:tcBorders>
              <w:top w:val="nil"/>
              <w:left w:val="nil"/>
              <w:bottom w:val="nil"/>
              <w:right w:val="nil"/>
            </w:tcBorders>
            <w:shd w:val="clear" w:color="auto" w:fill="auto"/>
            <w:noWrap/>
            <w:vAlign w:val="center"/>
            <w:hideMark/>
          </w:tcPr>
          <w:p w14:paraId="2AF69801" w14:textId="1007F85E" w:rsidR="00504846" w:rsidRPr="0024366B" w:rsidRDefault="00504846" w:rsidP="00504846">
            <w:pPr>
              <w:jc w:val="right"/>
              <w:rPr>
                <w:rFonts w:ascii="CAIXA Std Book" w:eastAsia="Times New Roman" w:hAnsi="CAIXA Std Book" w:cs="Arial"/>
                <w:b/>
                <w:bCs/>
                <w:color w:val="005CA9"/>
                <w:sz w:val="18"/>
                <w:szCs w:val="18"/>
              </w:rPr>
            </w:pPr>
            <w:r>
              <w:rPr>
                <w:rFonts w:ascii="CAIXA Std Book" w:hAnsi="CAIXA Std Book" w:cs="Arial"/>
                <w:b/>
                <w:color w:val="005CA9"/>
                <w:sz w:val="18"/>
                <w:szCs w:val="18"/>
              </w:rPr>
              <w:t>1.542.391</w:t>
            </w:r>
          </w:p>
        </w:tc>
      </w:tr>
      <w:tr w:rsidR="00F36519" w:rsidRPr="0024366B" w14:paraId="50486161" w14:textId="77777777" w:rsidTr="0024366B">
        <w:trPr>
          <w:trHeight w:val="283"/>
        </w:trPr>
        <w:tc>
          <w:tcPr>
            <w:tcW w:w="1470" w:type="pct"/>
            <w:tcBorders>
              <w:top w:val="nil"/>
              <w:left w:val="nil"/>
              <w:bottom w:val="nil"/>
              <w:right w:val="nil"/>
            </w:tcBorders>
            <w:shd w:val="clear" w:color="auto" w:fill="auto"/>
            <w:vAlign w:val="center"/>
            <w:hideMark/>
          </w:tcPr>
          <w:p w14:paraId="0C4A2F98" w14:textId="77777777" w:rsidR="00504846" w:rsidRPr="0024366B" w:rsidRDefault="00504846" w:rsidP="00504846">
            <w:pPr>
              <w:ind w:firstLineChars="100" w:firstLine="180"/>
              <w:rPr>
                <w:rFonts w:ascii="CAIXA Std Book" w:eastAsia="Times New Roman" w:hAnsi="CAIXA Std Book" w:cs="Arial"/>
                <w:color w:val="005CA9"/>
                <w:sz w:val="18"/>
                <w:szCs w:val="18"/>
              </w:rPr>
            </w:pPr>
            <w:r w:rsidRPr="0024366B">
              <w:rPr>
                <w:rFonts w:ascii="CAIXA Std Book" w:eastAsia="Times New Roman" w:hAnsi="CAIXA Std Book" w:cs="Arial"/>
                <w:color w:val="005CA9"/>
                <w:sz w:val="18"/>
                <w:szCs w:val="18"/>
              </w:rPr>
              <w:t>Notas do tesouro nacional</w:t>
            </w:r>
          </w:p>
        </w:tc>
        <w:tc>
          <w:tcPr>
            <w:tcW w:w="588" w:type="pct"/>
            <w:tcBorders>
              <w:top w:val="nil"/>
              <w:left w:val="nil"/>
              <w:bottom w:val="nil"/>
              <w:right w:val="nil"/>
            </w:tcBorders>
            <w:shd w:val="clear" w:color="auto" w:fill="auto"/>
            <w:vAlign w:val="center"/>
          </w:tcPr>
          <w:p w14:paraId="19FBEDBB" w14:textId="6C7FFAC5" w:rsidR="00E8752C" w:rsidRPr="0024366B" w:rsidRDefault="0068595E" w:rsidP="001F68B4">
            <w:pPr>
              <w:jc w:val="right"/>
              <w:rPr>
                <w:rFonts w:ascii="CAIXA Std Book" w:hAnsi="CAIXA Std Book" w:cs="Arial"/>
                <w:color w:val="005CA9"/>
                <w:sz w:val="18"/>
                <w:szCs w:val="18"/>
              </w:rPr>
            </w:pPr>
            <w:r w:rsidRPr="0024366B">
              <w:rPr>
                <w:rFonts w:ascii="CAIXA Std Book" w:hAnsi="CAIXA Std Book" w:cs="Arial"/>
                <w:color w:val="005CA9"/>
                <w:sz w:val="18"/>
                <w:szCs w:val="18"/>
              </w:rPr>
              <w:t>1.489.007</w:t>
            </w:r>
          </w:p>
        </w:tc>
        <w:tc>
          <w:tcPr>
            <w:tcW w:w="588" w:type="pct"/>
            <w:tcBorders>
              <w:top w:val="nil"/>
              <w:left w:val="nil"/>
              <w:bottom w:val="nil"/>
              <w:right w:val="nil"/>
            </w:tcBorders>
            <w:shd w:val="clear" w:color="auto" w:fill="auto"/>
            <w:noWrap/>
            <w:vAlign w:val="center"/>
          </w:tcPr>
          <w:p w14:paraId="399F7A3D" w14:textId="7AF217B0" w:rsidR="00504846" w:rsidRPr="0024366B" w:rsidRDefault="00EB7449" w:rsidP="007E15AF">
            <w:pPr>
              <w:jc w:val="center"/>
              <w:rPr>
                <w:rFonts w:ascii="CAIXA Std Book" w:hAnsi="CAIXA Std Book" w:cs="Arial"/>
                <w:color w:val="005CA9"/>
                <w:sz w:val="18"/>
                <w:szCs w:val="18"/>
              </w:rPr>
            </w:pPr>
            <w:r w:rsidRPr="0024366B">
              <w:rPr>
                <w:rFonts w:ascii="CAIXA Std Book" w:hAnsi="CAIXA Std Book" w:cs="Arial"/>
                <w:color w:val="005CA9"/>
                <w:sz w:val="18"/>
                <w:szCs w:val="18"/>
              </w:rPr>
              <w:t>-</w:t>
            </w:r>
          </w:p>
        </w:tc>
        <w:tc>
          <w:tcPr>
            <w:tcW w:w="588" w:type="pct"/>
            <w:tcBorders>
              <w:top w:val="nil"/>
              <w:left w:val="nil"/>
              <w:bottom w:val="nil"/>
              <w:right w:val="nil"/>
            </w:tcBorders>
            <w:shd w:val="clear" w:color="auto" w:fill="auto"/>
            <w:noWrap/>
            <w:vAlign w:val="center"/>
          </w:tcPr>
          <w:p w14:paraId="36214908" w14:textId="3B47D611" w:rsidR="00504846" w:rsidRPr="0024366B" w:rsidRDefault="00463F90" w:rsidP="00504846">
            <w:pPr>
              <w:jc w:val="right"/>
              <w:rPr>
                <w:rFonts w:ascii="CAIXA Std Book" w:hAnsi="CAIXA Std Book" w:cs="Arial"/>
                <w:color w:val="005CA9"/>
                <w:sz w:val="18"/>
                <w:szCs w:val="18"/>
              </w:rPr>
            </w:pPr>
            <w:r w:rsidRPr="0024366B">
              <w:rPr>
                <w:rFonts w:ascii="CAIXA Std Book" w:hAnsi="CAIXA Std Book" w:cs="Arial"/>
                <w:color w:val="005CA9"/>
                <w:sz w:val="18"/>
                <w:szCs w:val="18"/>
              </w:rPr>
              <w:t>1.489.007</w:t>
            </w:r>
          </w:p>
        </w:tc>
        <w:tc>
          <w:tcPr>
            <w:tcW w:w="588" w:type="pct"/>
            <w:tcBorders>
              <w:top w:val="nil"/>
              <w:left w:val="nil"/>
              <w:bottom w:val="nil"/>
              <w:right w:val="nil"/>
            </w:tcBorders>
            <w:shd w:val="clear" w:color="auto" w:fill="auto"/>
            <w:noWrap/>
            <w:vAlign w:val="center"/>
          </w:tcPr>
          <w:p w14:paraId="35FB8DB3" w14:textId="75E9ADBC" w:rsidR="00504846" w:rsidRPr="0024366B" w:rsidRDefault="00070CB9"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1.504.716</w:t>
            </w:r>
          </w:p>
        </w:tc>
        <w:tc>
          <w:tcPr>
            <w:tcW w:w="589" w:type="pct"/>
            <w:tcBorders>
              <w:top w:val="nil"/>
              <w:left w:val="nil"/>
              <w:bottom w:val="nil"/>
              <w:right w:val="nil"/>
            </w:tcBorders>
            <w:shd w:val="clear" w:color="auto" w:fill="auto"/>
            <w:noWrap/>
            <w:vAlign w:val="center"/>
            <w:hideMark/>
          </w:tcPr>
          <w:p w14:paraId="0E77E50C" w14:textId="4289A8C4"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1.520.045</w:t>
            </w:r>
          </w:p>
        </w:tc>
        <w:tc>
          <w:tcPr>
            <w:tcW w:w="589" w:type="pct"/>
            <w:tcBorders>
              <w:top w:val="nil"/>
              <w:left w:val="nil"/>
              <w:bottom w:val="nil"/>
              <w:right w:val="nil"/>
            </w:tcBorders>
            <w:shd w:val="clear" w:color="auto" w:fill="auto"/>
            <w:noWrap/>
            <w:vAlign w:val="center"/>
            <w:hideMark/>
          </w:tcPr>
          <w:p w14:paraId="289AA8BF" w14:textId="7500B447"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1.542.391</w:t>
            </w:r>
          </w:p>
        </w:tc>
      </w:tr>
      <w:tr w:rsidR="00F36519" w:rsidRPr="0024366B" w14:paraId="199D79E7" w14:textId="77777777" w:rsidTr="0024366B">
        <w:trPr>
          <w:trHeight w:val="283"/>
        </w:trPr>
        <w:tc>
          <w:tcPr>
            <w:tcW w:w="1470" w:type="pct"/>
            <w:tcBorders>
              <w:top w:val="nil"/>
              <w:left w:val="nil"/>
              <w:bottom w:val="nil"/>
              <w:right w:val="nil"/>
            </w:tcBorders>
            <w:shd w:val="clear" w:color="auto" w:fill="auto"/>
            <w:vAlign w:val="center"/>
            <w:hideMark/>
          </w:tcPr>
          <w:p w14:paraId="03CCB6B6" w14:textId="77777777" w:rsidR="00504846" w:rsidRPr="0024366B" w:rsidRDefault="00504846" w:rsidP="00504846">
            <w:pPr>
              <w:rPr>
                <w:rFonts w:ascii="CAIXA Std Book" w:eastAsia="Times New Roman" w:hAnsi="CAIXA Std Book" w:cs="Arial"/>
                <w:b/>
                <w:bCs/>
                <w:color w:val="005CA9"/>
                <w:sz w:val="18"/>
                <w:szCs w:val="18"/>
              </w:rPr>
            </w:pPr>
            <w:r w:rsidRPr="0024366B">
              <w:rPr>
                <w:rFonts w:ascii="CAIXA Std Book" w:eastAsia="Times New Roman" w:hAnsi="CAIXA Std Book" w:cs="Arial"/>
                <w:b/>
                <w:bCs/>
                <w:color w:val="005CA9"/>
                <w:sz w:val="18"/>
                <w:szCs w:val="18"/>
              </w:rPr>
              <w:t>Títulos – empresas</w:t>
            </w:r>
          </w:p>
        </w:tc>
        <w:tc>
          <w:tcPr>
            <w:tcW w:w="588" w:type="pct"/>
            <w:tcBorders>
              <w:top w:val="nil"/>
              <w:left w:val="nil"/>
              <w:bottom w:val="nil"/>
              <w:right w:val="nil"/>
            </w:tcBorders>
            <w:shd w:val="clear" w:color="auto" w:fill="auto"/>
            <w:vAlign w:val="center"/>
          </w:tcPr>
          <w:p w14:paraId="2E4EEF65" w14:textId="2181096D" w:rsidR="00E8752C" w:rsidRPr="0024366B" w:rsidRDefault="0068595E" w:rsidP="00A37F1D">
            <w:pPr>
              <w:jc w:val="center"/>
              <w:rPr>
                <w:rFonts w:ascii="CAIXA Std Book" w:hAnsi="CAIXA Std Book" w:cs="Arial"/>
                <w:b/>
                <w:color w:val="005CA9"/>
                <w:sz w:val="18"/>
                <w:szCs w:val="18"/>
              </w:rPr>
            </w:pPr>
            <w:r w:rsidRPr="0024366B">
              <w:rPr>
                <w:rFonts w:ascii="CAIXA Std Book" w:hAnsi="CAIXA Std Book" w:cs="Arial"/>
                <w:b/>
                <w:color w:val="005CA9"/>
                <w:sz w:val="18"/>
                <w:szCs w:val="18"/>
              </w:rPr>
              <w:t>-</w:t>
            </w:r>
          </w:p>
        </w:tc>
        <w:tc>
          <w:tcPr>
            <w:tcW w:w="588" w:type="pct"/>
            <w:tcBorders>
              <w:top w:val="nil"/>
              <w:left w:val="nil"/>
              <w:bottom w:val="nil"/>
              <w:right w:val="nil"/>
            </w:tcBorders>
            <w:shd w:val="clear" w:color="auto" w:fill="auto"/>
            <w:noWrap/>
            <w:vAlign w:val="center"/>
          </w:tcPr>
          <w:p w14:paraId="4DA9EB8F" w14:textId="0EF508E9" w:rsidR="00504846" w:rsidRPr="0024366B" w:rsidRDefault="00050E53" w:rsidP="00504846">
            <w:pPr>
              <w:jc w:val="right"/>
              <w:rPr>
                <w:rFonts w:ascii="CAIXA Std Book" w:hAnsi="CAIXA Std Book" w:cs="Arial"/>
                <w:b/>
                <w:color w:val="005CA9"/>
                <w:sz w:val="18"/>
                <w:szCs w:val="18"/>
              </w:rPr>
            </w:pPr>
            <w:r w:rsidRPr="0024366B">
              <w:rPr>
                <w:rFonts w:ascii="CAIXA Std Book" w:hAnsi="CAIXA Std Book" w:cs="Arial"/>
                <w:b/>
                <w:bCs/>
                <w:color w:val="005CA9"/>
                <w:sz w:val="18"/>
                <w:szCs w:val="18"/>
              </w:rPr>
              <w:t>3.434.07</w:t>
            </w:r>
            <w:r w:rsidR="00000C0A" w:rsidRPr="0024366B">
              <w:rPr>
                <w:rFonts w:ascii="CAIXA Std Book" w:hAnsi="CAIXA Std Book" w:cs="Arial"/>
                <w:b/>
                <w:bCs/>
                <w:color w:val="005CA9"/>
                <w:sz w:val="18"/>
                <w:szCs w:val="18"/>
              </w:rPr>
              <w:t>8</w:t>
            </w:r>
          </w:p>
        </w:tc>
        <w:tc>
          <w:tcPr>
            <w:tcW w:w="588" w:type="pct"/>
            <w:tcBorders>
              <w:top w:val="nil"/>
              <w:left w:val="nil"/>
              <w:bottom w:val="nil"/>
              <w:right w:val="nil"/>
            </w:tcBorders>
            <w:shd w:val="clear" w:color="auto" w:fill="auto"/>
            <w:noWrap/>
            <w:vAlign w:val="center"/>
          </w:tcPr>
          <w:p w14:paraId="0ABE993B" w14:textId="2C05CEF3" w:rsidR="00504846" w:rsidRPr="0024366B" w:rsidRDefault="00463F90" w:rsidP="00504846">
            <w:pPr>
              <w:jc w:val="right"/>
              <w:rPr>
                <w:rFonts w:ascii="CAIXA Std Book" w:hAnsi="CAIXA Std Book" w:cs="Arial"/>
                <w:b/>
                <w:color w:val="005CA9"/>
                <w:sz w:val="18"/>
                <w:szCs w:val="18"/>
              </w:rPr>
            </w:pPr>
            <w:r w:rsidRPr="0024366B">
              <w:rPr>
                <w:rFonts w:ascii="CAIXA Std Book" w:hAnsi="CAIXA Std Book" w:cs="Arial"/>
                <w:b/>
                <w:color w:val="005CA9"/>
                <w:sz w:val="18"/>
                <w:szCs w:val="18"/>
              </w:rPr>
              <w:t>3.434.07</w:t>
            </w:r>
            <w:r w:rsidR="005006DD" w:rsidRPr="0024366B">
              <w:rPr>
                <w:rFonts w:ascii="CAIXA Std Book" w:hAnsi="CAIXA Std Book" w:cs="Arial"/>
                <w:b/>
                <w:color w:val="005CA9"/>
                <w:sz w:val="18"/>
                <w:szCs w:val="18"/>
              </w:rPr>
              <w:t>8</w:t>
            </w:r>
          </w:p>
        </w:tc>
        <w:tc>
          <w:tcPr>
            <w:tcW w:w="588" w:type="pct"/>
            <w:tcBorders>
              <w:top w:val="nil"/>
              <w:left w:val="nil"/>
              <w:bottom w:val="nil"/>
              <w:right w:val="nil"/>
            </w:tcBorders>
            <w:shd w:val="clear" w:color="auto" w:fill="auto"/>
            <w:noWrap/>
            <w:vAlign w:val="center"/>
          </w:tcPr>
          <w:p w14:paraId="4D091C76" w14:textId="562154AD" w:rsidR="00504846" w:rsidRPr="0024366B" w:rsidRDefault="00070CB9" w:rsidP="00504846">
            <w:pPr>
              <w:jc w:val="right"/>
              <w:rPr>
                <w:rFonts w:ascii="CAIXA Std Book" w:eastAsia="Times New Roman" w:hAnsi="CAIXA Std Book" w:cs="Arial"/>
                <w:b/>
                <w:bCs/>
                <w:color w:val="005CA9"/>
                <w:sz w:val="18"/>
                <w:szCs w:val="18"/>
              </w:rPr>
            </w:pPr>
            <w:r w:rsidRPr="0024366B">
              <w:rPr>
                <w:rFonts w:ascii="CAIXA Std Book" w:hAnsi="CAIXA Std Book" w:cs="Arial"/>
                <w:b/>
                <w:color w:val="005CA9"/>
                <w:sz w:val="18"/>
                <w:szCs w:val="18"/>
              </w:rPr>
              <w:t>2.895.66</w:t>
            </w:r>
            <w:r w:rsidR="00326FA0" w:rsidRPr="0024366B">
              <w:rPr>
                <w:rFonts w:ascii="CAIXA Std Book" w:hAnsi="CAIXA Std Book" w:cs="Arial"/>
                <w:b/>
                <w:color w:val="005CA9"/>
                <w:sz w:val="18"/>
                <w:szCs w:val="18"/>
              </w:rPr>
              <w:t>4</w:t>
            </w:r>
          </w:p>
        </w:tc>
        <w:tc>
          <w:tcPr>
            <w:tcW w:w="589" w:type="pct"/>
            <w:tcBorders>
              <w:top w:val="nil"/>
              <w:left w:val="nil"/>
              <w:bottom w:val="nil"/>
              <w:right w:val="nil"/>
            </w:tcBorders>
            <w:shd w:val="clear" w:color="auto" w:fill="auto"/>
            <w:noWrap/>
            <w:vAlign w:val="center"/>
            <w:hideMark/>
          </w:tcPr>
          <w:p w14:paraId="7195C543" w14:textId="20FE118B" w:rsidR="00504846" w:rsidRPr="0024366B" w:rsidRDefault="00504846" w:rsidP="00504846">
            <w:pPr>
              <w:jc w:val="right"/>
              <w:rPr>
                <w:rFonts w:ascii="CAIXA Std Book" w:eastAsia="Times New Roman" w:hAnsi="CAIXA Std Book" w:cs="Arial"/>
                <w:b/>
                <w:bCs/>
                <w:color w:val="005CA9"/>
                <w:sz w:val="18"/>
                <w:szCs w:val="18"/>
              </w:rPr>
            </w:pPr>
            <w:r w:rsidRPr="0024366B">
              <w:rPr>
                <w:rFonts w:ascii="CAIXA Std Book" w:hAnsi="CAIXA Std Book" w:cs="Arial"/>
                <w:b/>
                <w:color w:val="005CA9"/>
                <w:sz w:val="18"/>
                <w:szCs w:val="18"/>
              </w:rPr>
              <w:t>3.404.601</w:t>
            </w:r>
          </w:p>
        </w:tc>
        <w:tc>
          <w:tcPr>
            <w:tcW w:w="589" w:type="pct"/>
            <w:tcBorders>
              <w:top w:val="nil"/>
              <w:left w:val="nil"/>
              <w:bottom w:val="nil"/>
              <w:right w:val="nil"/>
            </w:tcBorders>
            <w:shd w:val="clear" w:color="auto" w:fill="auto"/>
            <w:noWrap/>
            <w:vAlign w:val="center"/>
            <w:hideMark/>
          </w:tcPr>
          <w:p w14:paraId="19BD98D9" w14:textId="1AFF3449" w:rsidR="00504846" w:rsidRPr="0024366B" w:rsidRDefault="00504846" w:rsidP="00504846">
            <w:pPr>
              <w:jc w:val="right"/>
              <w:rPr>
                <w:rFonts w:ascii="CAIXA Std Book" w:eastAsia="Times New Roman" w:hAnsi="CAIXA Std Book" w:cs="Arial"/>
                <w:b/>
                <w:bCs/>
                <w:color w:val="005CA9"/>
                <w:sz w:val="18"/>
                <w:szCs w:val="18"/>
              </w:rPr>
            </w:pPr>
            <w:r w:rsidRPr="0024366B">
              <w:rPr>
                <w:rFonts w:ascii="CAIXA Std Book" w:hAnsi="CAIXA Std Book" w:cs="Arial"/>
                <w:b/>
                <w:color w:val="005CA9"/>
                <w:sz w:val="18"/>
                <w:szCs w:val="18"/>
              </w:rPr>
              <w:t>2.996.058</w:t>
            </w:r>
          </w:p>
        </w:tc>
      </w:tr>
      <w:tr w:rsidR="00F36519" w:rsidRPr="0024366B" w14:paraId="2BBAF43B" w14:textId="77777777" w:rsidTr="0024366B">
        <w:trPr>
          <w:trHeight w:val="283"/>
        </w:trPr>
        <w:tc>
          <w:tcPr>
            <w:tcW w:w="1470" w:type="pct"/>
            <w:tcBorders>
              <w:top w:val="nil"/>
              <w:left w:val="nil"/>
              <w:bottom w:val="nil"/>
              <w:right w:val="nil"/>
            </w:tcBorders>
            <w:shd w:val="clear" w:color="auto" w:fill="auto"/>
            <w:vAlign w:val="center"/>
            <w:hideMark/>
          </w:tcPr>
          <w:p w14:paraId="495A47D1" w14:textId="77777777" w:rsidR="00504846" w:rsidRPr="0024366B" w:rsidRDefault="00504846" w:rsidP="00504846">
            <w:pPr>
              <w:ind w:firstLineChars="100" w:firstLine="180"/>
              <w:rPr>
                <w:rFonts w:ascii="CAIXA Std Book" w:eastAsia="Times New Roman" w:hAnsi="CAIXA Std Book" w:cs="Arial"/>
                <w:color w:val="005CA9"/>
                <w:sz w:val="18"/>
                <w:szCs w:val="18"/>
              </w:rPr>
            </w:pPr>
            <w:r w:rsidRPr="0024366B">
              <w:rPr>
                <w:rFonts w:ascii="CAIXA Std Book" w:eastAsia="Times New Roman" w:hAnsi="CAIXA Std Book" w:cs="Arial"/>
                <w:color w:val="005CA9"/>
                <w:sz w:val="18"/>
                <w:szCs w:val="18"/>
              </w:rPr>
              <w:t>Debêntures</w:t>
            </w:r>
          </w:p>
        </w:tc>
        <w:tc>
          <w:tcPr>
            <w:tcW w:w="588" w:type="pct"/>
            <w:tcBorders>
              <w:top w:val="nil"/>
              <w:left w:val="nil"/>
              <w:bottom w:val="nil"/>
              <w:right w:val="nil"/>
            </w:tcBorders>
            <w:shd w:val="clear" w:color="auto" w:fill="auto"/>
            <w:vAlign w:val="center"/>
          </w:tcPr>
          <w:p w14:paraId="1C16E0B5" w14:textId="5DB08872" w:rsidR="00E8752C" w:rsidRPr="0024366B" w:rsidRDefault="0068595E" w:rsidP="00A37F1D">
            <w:pPr>
              <w:jc w:val="center"/>
              <w:rPr>
                <w:rFonts w:ascii="CAIXA Std Book" w:hAnsi="CAIXA Std Book" w:cs="Arial"/>
                <w:color w:val="005CA9"/>
                <w:sz w:val="18"/>
                <w:szCs w:val="18"/>
              </w:rPr>
            </w:pPr>
            <w:r w:rsidRPr="0024366B">
              <w:rPr>
                <w:rFonts w:ascii="CAIXA Std Book" w:hAnsi="CAIXA Std Book" w:cs="Arial"/>
                <w:color w:val="005CA9"/>
                <w:sz w:val="18"/>
                <w:szCs w:val="18"/>
              </w:rPr>
              <w:t>-</w:t>
            </w:r>
          </w:p>
        </w:tc>
        <w:tc>
          <w:tcPr>
            <w:tcW w:w="588" w:type="pct"/>
            <w:tcBorders>
              <w:top w:val="nil"/>
              <w:left w:val="nil"/>
              <w:bottom w:val="nil"/>
              <w:right w:val="nil"/>
            </w:tcBorders>
            <w:shd w:val="clear" w:color="auto" w:fill="auto"/>
            <w:noWrap/>
            <w:vAlign w:val="center"/>
          </w:tcPr>
          <w:p w14:paraId="41433F19" w14:textId="423F6C9D" w:rsidR="00504846" w:rsidRPr="0024366B" w:rsidRDefault="00050E53" w:rsidP="00504846">
            <w:pPr>
              <w:jc w:val="right"/>
              <w:rPr>
                <w:rFonts w:ascii="CAIXA Std Book" w:hAnsi="CAIXA Std Book" w:cs="Arial"/>
                <w:color w:val="005CA9"/>
                <w:sz w:val="18"/>
                <w:szCs w:val="18"/>
              </w:rPr>
            </w:pPr>
            <w:r w:rsidRPr="0024366B">
              <w:rPr>
                <w:rFonts w:ascii="CAIXA Std Book" w:hAnsi="CAIXA Std Book" w:cs="Arial"/>
                <w:color w:val="005CA9"/>
                <w:sz w:val="18"/>
                <w:szCs w:val="18"/>
              </w:rPr>
              <w:t>1.249.28</w:t>
            </w:r>
            <w:r w:rsidR="005006DD" w:rsidRPr="0024366B">
              <w:rPr>
                <w:rFonts w:ascii="CAIXA Std Book" w:hAnsi="CAIXA Std Book" w:cs="Arial"/>
                <w:color w:val="005CA9"/>
                <w:sz w:val="18"/>
                <w:szCs w:val="18"/>
              </w:rPr>
              <w:t>5</w:t>
            </w:r>
          </w:p>
        </w:tc>
        <w:tc>
          <w:tcPr>
            <w:tcW w:w="588" w:type="pct"/>
            <w:tcBorders>
              <w:top w:val="nil"/>
              <w:left w:val="nil"/>
              <w:bottom w:val="nil"/>
              <w:right w:val="nil"/>
            </w:tcBorders>
            <w:shd w:val="clear" w:color="auto" w:fill="auto"/>
            <w:noWrap/>
            <w:vAlign w:val="center"/>
          </w:tcPr>
          <w:p w14:paraId="4BD8776D" w14:textId="47BA1438" w:rsidR="00504846" w:rsidRPr="0024366B" w:rsidRDefault="00463F90" w:rsidP="00504846">
            <w:pPr>
              <w:jc w:val="right"/>
              <w:rPr>
                <w:rFonts w:ascii="CAIXA Std Book" w:hAnsi="CAIXA Std Book" w:cs="Arial"/>
                <w:color w:val="005CA9"/>
                <w:sz w:val="18"/>
                <w:szCs w:val="18"/>
              </w:rPr>
            </w:pPr>
            <w:r w:rsidRPr="0024366B">
              <w:rPr>
                <w:rFonts w:ascii="CAIXA Std Book" w:hAnsi="CAIXA Std Book" w:cs="Arial"/>
                <w:color w:val="005CA9"/>
                <w:sz w:val="18"/>
                <w:szCs w:val="18"/>
              </w:rPr>
              <w:t>1.249.28</w:t>
            </w:r>
            <w:r w:rsidR="005006DD" w:rsidRPr="0024366B">
              <w:rPr>
                <w:rFonts w:ascii="CAIXA Std Book" w:hAnsi="CAIXA Std Book" w:cs="Arial"/>
                <w:color w:val="005CA9"/>
                <w:sz w:val="18"/>
                <w:szCs w:val="18"/>
              </w:rPr>
              <w:t>5</w:t>
            </w:r>
          </w:p>
        </w:tc>
        <w:tc>
          <w:tcPr>
            <w:tcW w:w="588" w:type="pct"/>
            <w:tcBorders>
              <w:top w:val="nil"/>
              <w:left w:val="nil"/>
              <w:bottom w:val="nil"/>
              <w:right w:val="nil"/>
            </w:tcBorders>
            <w:shd w:val="clear" w:color="auto" w:fill="auto"/>
            <w:noWrap/>
            <w:vAlign w:val="center"/>
          </w:tcPr>
          <w:p w14:paraId="4A6A662A" w14:textId="3880C3DE" w:rsidR="00504846" w:rsidRPr="0024366B" w:rsidRDefault="00070CB9"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449.676</w:t>
            </w:r>
          </w:p>
        </w:tc>
        <w:tc>
          <w:tcPr>
            <w:tcW w:w="589" w:type="pct"/>
            <w:tcBorders>
              <w:top w:val="nil"/>
              <w:left w:val="nil"/>
              <w:bottom w:val="nil"/>
              <w:right w:val="nil"/>
            </w:tcBorders>
            <w:shd w:val="clear" w:color="auto" w:fill="auto"/>
            <w:noWrap/>
            <w:vAlign w:val="center"/>
            <w:hideMark/>
          </w:tcPr>
          <w:p w14:paraId="6EDE43BA" w14:textId="39653C1F"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1.223.657</w:t>
            </w:r>
          </w:p>
        </w:tc>
        <w:tc>
          <w:tcPr>
            <w:tcW w:w="589" w:type="pct"/>
            <w:tcBorders>
              <w:top w:val="nil"/>
              <w:left w:val="nil"/>
              <w:bottom w:val="nil"/>
              <w:right w:val="nil"/>
            </w:tcBorders>
            <w:shd w:val="clear" w:color="auto" w:fill="auto"/>
            <w:noWrap/>
            <w:vAlign w:val="center"/>
            <w:hideMark/>
          </w:tcPr>
          <w:p w14:paraId="5FD93B0B" w14:textId="1C6126DC"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471.727</w:t>
            </w:r>
          </w:p>
        </w:tc>
      </w:tr>
      <w:tr w:rsidR="00F36519" w:rsidRPr="0024366B" w14:paraId="74A62A73" w14:textId="77777777" w:rsidTr="0024366B">
        <w:trPr>
          <w:trHeight w:val="283"/>
        </w:trPr>
        <w:tc>
          <w:tcPr>
            <w:tcW w:w="1470" w:type="pct"/>
            <w:tcBorders>
              <w:top w:val="nil"/>
              <w:left w:val="nil"/>
              <w:bottom w:val="nil"/>
              <w:right w:val="nil"/>
            </w:tcBorders>
            <w:shd w:val="clear" w:color="auto" w:fill="auto"/>
            <w:vAlign w:val="center"/>
            <w:hideMark/>
          </w:tcPr>
          <w:p w14:paraId="3E38501A" w14:textId="77777777" w:rsidR="00504846" w:rsidRPr="0024366B" w:rsidRDefault="00504846" w:rsidP="00504846">
            <w:pPr>
              <w:ind w:firstLineChars="100" w:firstLine="180"/>
              <w:rPr>
                <w:rFonts w:ascii="CAIXA Std Book" w:eastAsia="Times New Roman" w:hAnsi="CAIXA Std Book" w:cs="Arial"/>
                <w:color w:val="005CA9"/>
                <w:sz w:val="18"/>
                <w:szCs w:val="18"/>
              </w:rPr>
            </w:pPr>
            <w:r w:rsidRPr="0024366B">
              <w:rPr>
                <w:rFonts w:ascii="CAIXA Std Book" w:eastAsia="Times New Roman" w:hAnsi="CAIXA Std Book" w:cs="Arial"/>
                <w:color w:val="005CA9"/>
                <w:sz w:val="18"/>
                <w:szCs w:val="18"/>
              </w:rPr>
              <w:t>Certificado de recebíveis imobiliários</w:t>
            </w:r>
          </w:p>
        </w:tc>
        <w:tc>
          <w:tcPr>
            <w:tcW w:w="588" w:type="pct"/>
            <w:tcBorders>
              <w:top w:val="nil"/>
              <w:left w:val="nil"/>
              <w:bottom w:val="single" w:sz="4" w:space="0" w:color="F79646"/>
              <w:right w:val="nil"/>
            </w:tcBorders>
            <w:shd w:val="clear" w:color="auto" w:fill="auto"/>
            <w:vAlign w:val="center"/>
          </w:tcPr>
          <w:p w14:paraId="6E371304" w14:textId="1F35FB09" w:rsidR="00E8752C" w:rsidRPr="0024366B" w:rsidRDefault="0068595E" w:rsidP="00A37F1D">
            <w:pPr>
              <w:jc w:val="center"/>
              <w:rPr>
                <w:rFonts w:ascii="CAIXA Std Book" w:hAnsi="CAIXA Std Book" w:cs="Arial"/>
                <w:color w:val="005CA9"/>
                <w:sz w:val="18"/>
                <w:szCs w:val="18"/>
              </w:rPr>
            </w:pPr>
            <w:r w:rsidRPr="0024366B">
              <w:rPr>
                <w:rFonts w:ascii="CAIXA Std Book" w:hAnsi="CAIXA Std Book" w:cs="Arial"/>
                <w:color w:val="005CA9"/>
                <w:sz w:val="18"/>
                <w:szCs w:val="18"/>
              </w:rPr>
              <w:t>-</w:t>
            </w:r>
          </w:p>
        </w:tc>
        <w:tc>
          <w:tcPr>
            <w:tcW w:w="588" w:type="pct"/>
            <w:tcBorders>
              <w:top w:val="nil"/>
              <w:left w:val="nil"/>
              <w:bottom w:val="single" w:sz="4" w:space="0" w:color="F79646"/>
              <w:right w:val="nil"/>
            </w:tcBorders>
            <w:shd w:val="clear" w:color="auto" w:fill="auto"/>
            <w:noWrap/>
            <w:vAlign w:val="center"/>
          </w:tcPr>
          <w:p w14:paraId="0B43A462" w14:textId="2A576B09" w:rsidR="00504846" w:rsidRPr="0024366B" w:rsidRDefault="00070CB9" w:rsidP="00504846">
            <w:pPr>
              <w:jc w:val="right"/>
              <w:rPr>
                <w:rFonts w:ascii="CAIXA Std Book" w:hAnsi="CAIXA Std Book" w:cs="Arial"/>
                <w:color w:val="005CA9"/>
                <w:sz w:val="18"/>
                <w:szCs w:val="18"/>
              </w:rPr>
            </w:pPr>
            <w:r w:rsidRPr="0024366B">
              <w:rPr>
                <w:rFonts w:ascii="CAIXA Std Book" w:hAnsi="CAIXA Std Book" w:cs="Arial"/>
                <w:color w:val="005CA9"/>
                <w:sz w:val="18"/>
                <w:szCs w:val="18"/>
              </w:rPr>
              <w:t>2.184.793</w:t>
            </w:r>
          </w:p>
        </w:tc>
        <w:tc>
          <w:tcPr>
            <w:tcW w:w="588" w:type="pct"/>
            <w:tcBorders>
              <w:top w:val="nil"/>
              <w:left w:val="nil"/>
              <w:bottom w:val="single" w:sz="4" w:space="0" w:color="F79646"/>
              <w:right w:val="nil"/>
            </w:tcBorders>
            <w:shd w:val="clear" w:color="auto" w:fill="auto"/>
            <w:noWrap/>
            <w:vAlign w:val="center"/>
          </w:tcPr>
          <w:p w14:paraId="3D05F7FA" w14:textId="281D1177" w:rsidR="00504846" w:rsidRPr="0024366B" w:rsidRDefault="00463F90" w:rsidP="00504846">
            <w:pPr>
              <w:jc w:val="right"/>
              <w:rPr>
                <w:rFonts w:ascii="CAIXA Std Book" w:hAnsi="CAIXA Std Book" w:cs="Arial"/>
                <w:color w:val="005CA9"/>
                <w:sz w:val="18"/>
                <w:szCs w:val="18"/>
              </w:rPr>
            </w:pPr>
            <w:r w:rsidRPr="0024366B">
              <w:rPr>
                <w:rFonts w:ascii="CAIXA Std Book" w:hAnsi="CAIXA Std Book" w:cs="Arial"/>
                <w:color w:val="005CA9"/>
                <w:sz w:val="18"/>
                <w:szCs w:val="18"/>
              </w:rPr>
              <w:t>2.184.793</w:t>
            </w:r>
          </w:p>
        </w:tc>
        <w:tc>
          <w:tcPr>
            <w:tcW w:w="588" w:type="pct"/>
            <w:tcBorders>
              <w:top w:val="nil"/>
              <w:left w:val="nil"/>
              <w:bottom w:val="single" w:sz="4" w:space="0" w:color="F79646"/>
              <w:right w:val="nil"/>
            </w:tcBorders>
            <w:shd w:val="clear" w:color="auto" w:fill="auto"/>
            <w:noWrap/>
            <w:vAlign w:val="center"/>
          </w:tcPr>
          <w:p w14:paraId="29070A63" w14:textId="268E7036" w:rsidR="00504846" w:rsidRPr="0024366B" w:rsidRDefault="00070CB9"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2.445.98</w:t>
            </w:r>
            <w:r w:rsidR="00C04084" w:rsidRPr="0024366B">
              <w:rPr>
                <w:rFonts w:ascii="CAIXA Std Book" w:hAnsi="CAIXA Std Book" w:cs="Arial"/>
                <w:color w:val="005CA9"/>
                <w:sz w:val="18"/>
                <w:szCs w:val="18"/>
              </w:rPr>
              <w:t>8</w:t>
            </w:r>
          </w:p>
        </w:tc>
        <w:tc>
          <w:tcPr>
            <w:tcW w:w="589" w:type="pct"/>
            <w:tcBorders>
              <w:top w:val="nil"/>
              <w:left w:val="nil"/>
              <w:bottom w:val="nil"/>
              <w:right w:val="nil"/>
            </w:tcBorders>
            <w:shd w:val="clear" w:color="auto" w:fill="auto"/>
            <w:noWrap/>
            <w:vAlign w:val="center"/>
            <w:hideMark/>
          </w:tcPr>
          <w:p w14:paraId="0E264645" w14:textId="0BFA57B2"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2.180.944</w:t>
            </w:r>
          </w:p>
        </w:tc>
        <w:tc>
          <w:tcPr>
            <w:tcW w:w="589" w:type="pct"/>
            <w:tcBorders>
              <w:top w:val="nil"/>
              <w:left w:val="nil"/>
              <w:bottom w:val="nil"/>
              <w:right w:val="nil"/>
            </w:tcBorders>
            <w:shd w:val="clear" w:color="auto" w:fill="auto"/>
            <w:noWrap/>
            <w:vAlign w:val="center"/>
            <w:hideMark/>
          </w:tcPr>
          <w:p w14:paraId="6D62716C" w14:textId="75D08A12" w:rsidR="00504846" w:rsidRPr="0024366B" w:rsidRDefault="00504846" w:rsidP="00504846">
            <w:pPr>
              <w:jc w:val="right"/>
              <w:rPr>
                <w:rFonts w:ascii="CAIXA Std Book" w:eastAsia="Times New Roman" w:hAnsi="CAIXA Std Book" w:cs="Arial"/>
                <w:color w:val="005CA9"/>
                <w:sz w:val="18"/>
                <w:szCs w:val="18"/>
              </w:rPr>
            </w:pPr>
            <w:r w:rsidRPr="0024366B">
              <w:rPr>
                <w:rFonts w:ascii="CAIXA Std Book" w:hAnsi="CAIXA Std Book" w:cs="Arial"/>
                <w:color w:val="005CA9"/>
                <w:sz w:val="18"/>
                <w:szCs w:val="18"/>
              </w:rPr>
              <w:t>2.524.331</w:t>
            </w:r>
          </w:p>
        </w:tc>
      </w:tr>
      <w:tr w:rsidR="00F36519" w:rsidRPr="0024366B" w14:paraId="0F924477" w14:textId="77777777" w:rsidTr="0024366B">
        <w:trPr>
          <w:trHeight w:val="283"/>
        </w:trPr>
        <w:tc>
          <w:tcPr>
            <w:tcW w:w="1470" w:type="pct"/>
            <w:tcBorders>
              <w:top w:val="single" w:sz="4" w:space="0" w:color="F39200"/>
              <w:left w:val="nil"/>
              <w:bottom w:val="single" w:sz="4" w:space="0" w:color="F39200"/>
              <w:right w:val="nil"/>
            </w:tcBorders>
            <w:shd w:val="clear" w:color="auto" w:fill="auto"/>
            <w:vAlign w:val="center"/>
            <w:hideMark/>
          </w:tcPr>
          <w:p w14:paraId="25B78579" w14:textId="77777777" w:rsidR="00504846" w:rsidRPr="0024366B" w:rsidRDefault="00504846" w:rsidP="00504846">
            <w:pPr>
              <w:rPr>
                <w:rFonts w:ascii="CAIXA Std Book" w:eastAsia="Times New Roman" w:hAnsi="CAIXA Std Book" w:cs="Arial"/>
                <w:b/>
                <w:bCs/>
                <w:color w:val="005CA9"/>
                <w:sz w:val="18"/>
                <w:szCs w:val="18"/>
              </w:rPr>
            </w:pPr>
            <w:bookmarkStart w:id="56" w:name="OLE_LINK14" w:colFirst="3" w:colLast="4"/>
            <w:bookmarkStart w:id="57" w:name="OLE_LINK21" w:colFirst="3" w:colLast="6"/>
            <w:r w:rsidRPr="0024366B">
              <w:rPr>
                <w:rFonts w:ascii="CAIXA Std Book" w:eastAsia="Times New Roman" w:hAnsi="CAIXA Std Book" w:cs="Arial"/>
                <w:b/>
                <w:bCs/>
                <w:color w:val="005CA9"/>
                <w:sz w:val="18"/>
                <w:szCs w:val="18"/>
              </w:rPr>
              <w:t>Total</w:t>
            </w:r>
          </w:p>
        </w:tc>
        <w:tc>
          <w:tcPr>
            <w:tcW w:w="588" w:type="pct"/>
            <w:tcBorders>
              <w:top w:val="single" w:sz="4" w:space="0" w:color="F79646"/>
              <w:left w:val="nil"/>
              <w:bottom w:val="single" w:sz="4" w:space="0" w:color="F79646"/>
              <w:right w:val="nil"/>
            </w:tcBorders>
            <w:shd w:val="clear" w:color="auto" w:fill="auto"/>
            <w:vAlign w:val="center"/>
          </w:tcPr>
          <w:p w14:paraId="20A8B9ED" w14:textId="30E74EC5" w:rsidR="00E8752C" w:rsidRPr="0024366B" w:rsidRDefault="00EB7449" w:rsidP="00E8752C">
            <w:pPr>
              <w:jc w:val="right"/>
              <w:rPr>
                <w:rFonts w:ascii="CAIXA Std Book" w:hAnsi="CAIXA Std Book" w:cs="Arial"/>
                <w:b/>
                <w:color w:val="005CA9"/>
                <w:sz w:val="18"/>
                <w:szCs w:val="18"/>
              </w:rPr>
            </w:pPr>
            <w:r w:rsidRPr="0024366B">
              <w:rPr>
                <w:rFonts w:ascii="CAIXA Std Book" w:hAnsi="CAIXA Std Book" w:cs="Arial"/>
                <w:b/>
                <w:color w:val="005CA9"/>
                <w:sz w:val="18"/>
                <w:szCs w:val="18"/>
              </w:rPr>
              <w:t>1.489.007</w:t>
            </w:r>
          </w:p>
        </w:tc>
        <w:tc>
          <w:tcPr>
            <w:tcW w:w="588" w:type="pct"/>
            <w:tcBorders>
              <w:top w:val="single" w:sz="4" w:space="0" w:color="F79646"/>
              <w:left w:val="nil"/>
              <w:bottom w:val="single" w:sz="4" w:space="0" w:color="F79646"/>
              <w:right w:val="nil"/>
            </w:tcBorders>
            <w:shd w:val="clear" w:color="auto" w:fill="auto"/>
            <w:noWrap/>
            <w:vAlign w:val="center"/>
          </w:tcPr>
          <w:p w14:paraId="63B202E2" w14:textId="20C73D34" w:rsidR="00504846" w:rsidRPr="0024366B" w:rsidRDefault="00050E53" w:rsidP="00504846">
            <w:pPr>
              <w:jc w:val="right"/>
              <w:rPr>
                <w:rFonts w:ascii="CAIXA Std Book" w:hAnsi="CAIXA Std Book" w:cs="Arial"/>
                <w:b/>
                <w:color w:val="005CA9"/>
                <w:sz w:val="18"/>
                <w:szCs w:val="18"/>
              </w:rPr>
            </w:pPr>
            <w:r w:rsidRPr="0024366B">
              <w:rPr>
                <w:rFonts w:ascii="CAIXA Std Book" w:hAnsi="CAIXA Std Book" w:cs="Arial"/>
                <w:b/>
                <w:bCs/>
                <w:color w:val="005CA9"/>
                <w:sz w:val="18"/>
                <w:szCs w:val="18"/>
              </w:rPr>
              <w:t>3.434.07</w:t>
            </w:r>
            <w:r w:rsidR="005006DD" w:rsidRPr="0024366B">
              <w:rPr>
                <w:rFonts w:ascii="CAIXA Std Book" w:hAnsi="CAIXA Std Book" w:cs="Arial"/>
                <w:b/>
                <w:bCs/>
                <w:color w:val="005CA9"/>
                <w:sz w:val="18"/>
                <w:szCs w:val="18"/>
              </w:rPr>
              <w:t>8</w:t>
            </w:r>
          </w:p>
        </w:tc>
        <w:tc>
          <w:tcPr>
            <w:tcW w:w="588" w:type="pct"/>
            <w:tcBorders>
              <w:top w:val="single" w:sz="4" w:space="0" w:color="F79646"/>
              <w:left w:val="nil"/>
              <w:bottom w:val="single" w:sz="4" w:space="0" w:color="F79646"/>
              <w:right w:val="nil"/>
            </w:tcBorders>
            <w:shd w:val="clear" w:color="auto" w:fill="auto"/>
            <w:noWrap/>
            <w:vAlign w:val="center"/>
          </w:tcPr>
          <w:p w14:paraId="3F2587AC" w14:textId="576A4845" w:rsidR="00504846" w:rsidRPr="0024366B" w:rsidRDefault="00EB7449" w:rsidP="00504846">
            <w:pPr>
              <w:jc w:val="right"/>
              <w:rPr>
                <w:rFonts w:ascii="CAIXA Std Book" w:hAnsi="CAIXA Std Book" w:cs="Arial"/>
                <w:b/>
                <w:bCs/>
                <w:color w:val="005CA9"/>
                <w:sz w:val="18"/>
                <w:szCs w:val="18"/>
              </w:rPr>
            </w:pPr>
            <w:r w:rsidRPr="0024366B">
              <w:rPr>
                <w:rFonts w:ascii="CAIXA Std Book" w:hAnsi="CAIXA Std Book" w:cs="Arial"/>
                <w:b/>
                <w:color w:val="005CA9"/>
                <w:sz w:val="18"/>
                <w:szCs w:val="18"/>
              </w:rPr>
              <w:t>4.923.08</w:t>
            </w:r>
            <w:r w:rsidR="005006DD" w:rsidRPr="0024366B">
              <w:rPr>
                <w:rFonts w:ascii="CAIXA Std Book" w:hAnsi="CAIXA Std Book" w:cs="Arial"/>
                <w:b/>
                <w:color w:val="005CA9"/>
                <w:sz w:val="18"/>
                <w:szCs w:val="18"/>
              </w:rPr>
              <w:t>5</w:t>
            </w:r>
          </w:p>
        </w:tc>
        <w:tc>
          <w:tcPr>
            <w:tcW w:w="588" w:type="pct"/>
            <w:tcBorders>
              <w:top w:val="single" w:sz="4" w:space="0" w:color="F79646"/>
              <w:left w:val="nil"/>
              <w:bottom w:val="single" w:sz="4" w:space="0" w:color="F79646"/>
              <w:right w:val="nil"/>
            </w:tcBorders>
            <w:shd w:val="clear" w:color="auto" w:fill="auto"/>
            <w:noWrap/>
            <w:vAlign w:val="center"/>
          </w:tcPr>
          <w:p w14:paraId="1DD296B8" w14:textId="390E0326" w:rsidR="00504846" w:rsidRPr="0024366B" w:rsidRDefault="00EB7449" w:rsidP="00504846">
            <w:pPr>
              <w:jc w:val="right"/>
              <w:rPr>
                <w:rFonts w:ascii="CAIXA Std Book" w:hAnsi="CAIXA Std Book" w:cs="Arial"/>
                <w:b/>
                <w:bCs/>
                <w:color w:val="005CA9"/>
                <w:sz w:val="18"/>
                <w:szCs w:val="18"/>
              </w:rPr>
            </w:pPr>
            <w:r w:rsidRPr="0024366B">
              <w:rPr>
                <w:rFonts w:ascii="CAIXA Std Book" w:hAnsi="CAIXA Std Book" w:cs="Arial"/>
                <w:b/>
                <w:color w:val="005CA9"/>
                <w:sz w:val="18"/>
                <w:szCs w:val="18"/>
              </w:rPr>
              <w:t>4.400.3</w:t>
            </w:r>
            <w:r w:rsidR="00C04084" w:rsidRPr="0024366B">
              <w:rPr>
                <w:rFonts w:ascii="CAIXA Std Book" w:hAnsi="CAIXA Std Book" w:cs="Arial"/>
                <w:b/>
                <w:color w:val="005CA9"/>
                <w:sz w:val="18"/>
                <w:szCs w:val="18"/>
              </w:rPr>
              <w:t>80</w:t>
            </w:r>
          </w:p>
        </w:tc>
        <w:tc>
          <w:tcPr>
            <w:tcW w:w="589" w:type="pct"/>
            <w:tcBorders>
              <w:top w:val="single" w:sz="4" w:space="0" w:color="F39200"/>
              <w:left w:val="nil"/>
              <w:bottom w:val="single" w:sz="4" w:space="0" w:color="F39200"/>
              <w:right w:val="nil"/>
            </w:tcBorders>
            <w:shd w:val="clear" w:color="auto" w:fill="auto"/>
            <w:noWrap/>
            <w:vAlign w:val="center"/>
            <w:hideMark/>
          </w:tcPr>
          <w:p w14:paraId="32ECE464" w14:textId="0F76EB40" w:rsidR="00504846" w:rsidRPr="0024366B" w:rsidRDefault="00504846" w:rsidP="00504846">
            <w:pPr>
              <w:jc w:val="right"/>
              <w:rPr>
                <w:rFonts w:ascii="CAIXA Std Book" w:eastAsia="Times New Roman" w:hAnsi="CAIXA Std Book" w:cs="Arial"/>
                <w:b/>
                <w:bCs/>
                <w:color w:val="005CA9"/>
                <w:sz w:val="18"/>
                <w:szCs w:val="18"/>
              </w:rPr>
            </w:pPr>
            <w:r w:rsidRPr="0024366B">
              <w:rPr>
                <w:rFonts w:ascii="CAIXA Std Book" w:hAnsi="CAIXA Std Book" w:cs="Arial"/>
                <w:b/>
                <w:color w:val="005CA9"/>
                <w:sz w:val="18"/>
                <w:szCs w:val="18"/>
              </w:rPr>
              <w:t>4.924.646</w:t>
            </w:r>
          </w:p>
        </w:tc>
        <w:tc>
          <w:tcPr>
            <w:tcW w:w="589" w:type="pct"/>
            <w:tcBorders>
              <w:top w:val="single" w:sz="4" w:space="0" w:color="F39200"/>
              <w:left w:val="nil"/>
              <w:bottom w:val="single" w:sz="4" w:space="0" w:color="F39200"/>
              <w:right w:val="nil"/>
            </w:tcBorders>
            <w:shd w:val="clear" w:color="auto" w:fill="auto"/>
            <w:noWrap/>
            <w:vAlign w:val="center"/>
            <w:hideMark/>
          </w:tcPr>
          <w:p w14:paraId="4502981C" w14:textId="078825D2" w:rsidR="00504846" w:rsidRPr="0024366B" w:rsidRDefault="00504846" w:rsidP="00504846">
            <w:pPr>
              <w:jc w:val="right"/>
              <w:rPr>
                <w:rFonts w:ascii="CAIXA Std Book" w:eastAsia="Times New Roman" w:hAnsi="CAIXA Std Book" w:cs="Arial"/>
                <w:b/>
                <w:bCs/>
                <w:color w:val="005CA9"/>
                <w:sz w:val="18"/>
                <w:szCs w:val="18"/>
              </w:rPr>
            </w:pPr>
            <w:r w:rsidRPr="0024366B">
              <w:rPr>
                <w:rFonts w:ascii="CAIXA Std Book" w:hAnsi="CAIXA Std Book" w:cs="Arial"/>
                <w:b/>
                <w:color w:val="005CA9"/>
                <w:sz w:val="18"/>
                <w:szCs w:val="18"/>
              </w:rPr>
              <w:t>4.538.449</w:t>
            </w:r>
          </w:p>
        </w:tc>
      </w:tr>
    </w:tbl>
    <w:bookmarkEnd w:id="56"/>
    <w:bookmarkEnd w:id="57"/>
    <w:p w14:paraId="795937FC" w14:textId="5332944B" w:rsidR="00144FE7" w:rsidRPr="00FF4346" w:rsidRDefault="007B793D" w:rsidP="007B793D">
      <w:pPr>
        <w:pStyle w:val="PargrafodaLista"/>
        <w:spacing w:before="240" w:after="240"/>
        <w:ind w:left="567" w:hanging="567"/>
        <w:rPr>
          <w:rFonts w:ascii="CAIXA Std Book" w:hAnsi="CAIXA Std Book"/>
          <w:b/>
          <w:color w:val="005CA9"/>
          <w:sz w:val="20"/>
          <w:szCs w:val="20"/>
        </w:rPr>
      </w:pPr>
      <w:r>
        <w:rPr>
          <w:rFonts w:ascii="CAIXA Std Book" w:hAnsi="CAIXA Std Book"/>
          <w:b/>
          <w:color w:val="005CA9"/>
          <w:sz w:val="20"/>
          <w:szCs w:val="20"/>
        </w:rPr>
        <w:t>(c)</w:t>
      </w:r>
      <w:r>
        <w:rPr>
          <w:rFonts w:ascii="CAIXA Std Book" w:hAnsi="CAIXA Std Book"/>
          <w:b/>
          <w:color w:val="005CA9"/>
          <w:sz w:val="20"/>
          <w:szCs w:val="20"/>
        </w:rPr>
        <w:tab/>
      </w:r>
      <w:r w:rsidR="00144FE7" w:rsidRPr="00FF4346">
        <w:rPr>
          <w:rFonts w:ascii="CAIXA Std Book" w:hAnsi="CAIXA Std Book"/>
          <w:b/>
          <w:color w:val="005CA9"/>
          <w:sz w:val="20"/>
          <w:szCs w:val="20"/>
        </w:rPr>
        <w:t>Resultado com títulos e valores mobiliários</w:t>
      </w:r>
    </w:p>
    <w:tbl>
      <w:tblPr>
        <w:tblW w:w="5000" w:type="pct"/>
        <w:tblCellMar>
          <w:left w:w="70" w:type="dxa"/>
          <w:right w:w="70" w:type="dxa"/>
        </w:tblCellMar>
        <w:tblLook w:val="04A0" w:firstRow="1" w:lastRow="0" w:firstColumn="1" w:lastColumn="0" w:noHBand="0" w:noVBand="1"/>
      </w:tblPr>
      <w:tblGrid>
        <w:gridCol w:w="6660"/>
        <w:gridCol w:w="2232"/>
        <w:gridCol w:w="1894"/>
        <w:gridCol w:w="1894"/>
        <w:gridCol w:w="1891"/>
      </w:tblGrid>
      <w:tr w:rsidR="00144FE7" w:rsidRPr="00A33766" w14:paraId="4F6FFAFB" w14:textId="77777777" w:rsidTr="00F36519">
        <w:trPr>
          <w:trHeight w:val="283"/>
        </w:trPr>
        <w:tc>
          <w:tcPr>
            <w:tcW w:w="2285" w:type="pct"/>
            <w:vMerge w:val="restart"/>
            <w:tcBorders>
              <w:top w:val="single" w:sz="4" w:space="0" w:color="F39200"/>
              <w:left w:val="nil"/>
              <w:bottom w:val="single" w:sz="4" w:space="0" w:color="F39200"/>
              <w:right w:val="nil"/>
            </w:tcBorders>
            <w:shd w:val="clear" w:color="auto" w:fill="auto"/>
            <w:vAlign w:val="center"/>
            <w:hideMark/>
          </w:tcPr>
          <w:p w14:paraId="6EC5A592"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Descrição</w:t>
            </w:r>
          </w:p>
        </w:tc>
        <w:tc>
          <w:tcPr>
            <w:tcW w:w="1416" w:type="pct"/>
            <w:gridSpan w:val="2"/>
            <w:tcBorders>
              <w:top w:val="single" w:sz="4" w:space="0" w:color="F39200"/>
              <w:left w:val="nil"/>
              <w:bottom w:val="single" w:sz="4" w:space="0" w:color="F39200"/>
              <w:right w:val="nil"/>
            </w:tcBorders>
            <w:shd w:val="clear" w:color="auto" w:fill="auto"/>
            <w:vAlign w:val="center"/>
            <w:hideMark/>
          </w:tcPr>
          <w:p w14:paraId="2F6DC8F4"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INDIVIDUAL</w:t>
            </w:r>
          </w:p>
        </w:tc>
        <w:tc>
          <w:tcPr>
            <w:tcW w:w="1299" w:type="pct"/>
            <w:gridSpan w:val="2"/>
            <w:tcBorders>
              <w:top w:val="single" w:sz="4" w:space="0" w:color="F39200"/>
              <w:left w:val="nil"/>
              <w:bottom w:val="single" w:sz="4" w:space="0" w:color="F39200"/>
              <w:right w:val="nil"/>
            </w:tcBorders>
            <w:shd w:val="clear" w:color="auto" w:fill="auto"/>
            <w:vAlign w:val="center"/>
            <w:hideMark/>
          </w:tcPr>
          <w:p w14:paraId="21C2F64F"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CONSOLIDADO</w:t>
            </w:r>
          </w:p>
        </w:tc>
      </w:tr>
      <w:tr w:rsidR="00144FE7" w:rsidRPr="00A33766" w14:paraId="031EAB6A" w14:textId="77777777" w:rsidTr="00F36519">
        <w:trPr>
          <w:trHeight w:val="283"/>
        </w:trPr>
        <w:tc>
          <w:tcPr>
            <w:tcW w:w="2285" w:type="pct"/>
            <w:vMerge/>
            <w:tcBorders>
              <w:top w:val="single" w:sz="4" w:space="0" w:color="F39200"/>
              <w:left w:val="nil"/>
              <w:bottom w:val="single" w:sz="4" w:space="0" w:color="F39200"/>
              <w:right w:val="nil"/>
            </w:tcBorders>
            <w:vAlign w:val="center"/>
            <w:hideMark/>
          </w:tcPr>
          <w:p w14:paraId="15FC5790" w14:textId="77777777" w:rsidR="00144FE7" w:rsidRPr="00FF4346" w:rsidRDefault="00144FE7">
            <w:pPr>
              <w:rPr>
                <w:rFonts w:ascii="CAIXA Std Book" w:eastAsia="Times New Roman" w:hAnsi="CAIXA Std Book" w:cs="Calibri"/>
                <w:b/>
                <w:bCs/>
                <w:color w:val="005CA9"/>
                <w:sz w:val="18"/>
                <w:szCs w:val="18"/>
              </w:rPr>
            </w:pPr>
          </w:p>
        </w:tc>
        <w:tc>
          <w:tcPr>
            <w:tcW w:w="766" w:type="pct"/>
            <w:tcBorders>
              <w:top w:val="nil"/>
              <w:left w:val="nil"/>
              <w:bottom w:val="single" w:sz="4" w:space="0" w:color="F39200"/>
              <w:right w:val="nil"/>
            </w:tcBorders>
            <w:shd w:val="clear" w:color="auto" w:fill="auto"/>
            <w:vAlign w:val="center"/>
            <w:hideMark/>
          </w:tcPr>
          <w:p w14:paraId="0CB7E3C4" w14:textId="73473B05"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202</w:t>
            </w:r>
            <w:r w:rsidR="00504846" w:rsidRPr="00FF4346">
              <w:rPr>
                <w:rFonts w:ascii="CAIXA Std Book" w:eastAsia="Times New Roman" w:hAnsi="CAIXA Std Book" w:cs="Calibri"/>
                <w:b/>
                <w:bCs/>
                <w:color w:val="005CA9"/>
                <w:sz w:val="18"/>
                <w:szCs w:val="18"/>
              </w:rPr>
              <w:t>4</w:t>
            </w:r>
          </w:p>
        </w:tc>
        <w:tc>
          <w:tcPr>
            <w:tcW w:w="650" w:type="pct"/>
            <w:tcBorders>
              <w:top w:val="nil"/>
              <w:left w:val="nil"/>
              <w:bottom w:val="single" w:sz="4" w:space="0" w:color="F39200"/>
              <w:right w:val="nil"/>
            </w:tcBorders>
            <w:shd w:val="clear" w:color="auto" w:fill="auto"/>
            <w:vAlign w:val="center"/>
            <w:hideMark/>
          </w:tcPr>
          <w:p w14:paraId="05A98F61" w14:textId="2AC20FB2"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202</w:t>
            </w:r>
            <w:r w:rsidR="00504846" w:rsidRPr="00FF4346">
              <w:rPr>
                <w:rFonts w:ascii="CAIXA Std Book" w:eastAsia="Times New Roman" w:hAnsi="CAIXA Std Book" w:cs="Calibri"/>
                <w:b/>
                <w:bCs/>
                <w:color w:val="005CA9"/>
                <w:sz w:val="18"/>
                <w:szCs w:val="18"/>
              </w:rPr>
              <w:t>3</w:t>
            </w:r>
          </w:p>
        </w:tc>
        <w:tc>
          <w:tcPr>
            <w:tcW w:w="650" w:type="pct"/>
            <w:tcBorders>
              <w:top w:val="nil"/>
              <w:left w:val="nil"/>
              <w:bottom w:val="single" w:sz="4" w:space="0" w:color="F39200"/>
              <w:right w:val="nil"/>
            </w:tcBorders>
            <w:shd w:val="clear" w:color="auto" w:fill="auto"/>
            <w:vAlign w:val="center"/>
            <w:hideMark/>
          </w:tcPr>
          <w:p w14:paraId="54EE200E" w14:textId="0EB021FC"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202</w:t>
            </w:r>
            <w:r w:rsidR="00504846" w:rsidRPr="00FF4346">
              <w:rPr>
                <w:rFonts w:ascii="CAIXA Std Book" w:eastAsia="Times New Roman" w:hAnsi="CAIXA Std Book" w:cs="Calibri"/>
                <w:b/>
                <w:bCs/>
                <w:color w:val="005CA9"/>
                <w:sz w:val="18"/>
                <w:szCs w:val="18"/>
              </w:rPr>
              <w:t>4</w:t>
            </w:r>
          </w:p>
        </w:tc>
        <w:tc>
          <w:tcPr>
            <w:tcW w:w="649" w:type="pct"/>
            <w:tcBorders>
              <w:top w:val="nil"/>
              <w:left w:val="nil"/>
              <w:bottom w:val="single" w:sz="4" w:space="0" w:color="F39200"/>
              <w:right w:val="nil"/>
            </w:tcBorders>
            <w:shd w:val="clear" w:color="auto" w:fill="auto"/>
            <w:vAlign w:val="center"/>
            <w:hideMark/>
          </w:tcPr>
          <w:p w14:paraId="4E508C2E" w14:textId="5E2FA2C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202</w:t>
            </w:r>
            <w:r w:rsidR="00504846" w:rsidRPr="00FF4346">
              <w:rPr>
                <w:rFonts w:ascii="CAIXA Std Book" w:eastAsia="Times New Roman" w:hAnsi="CAIXA Std Book" w:cs="Calibri"/>
                <w:b/>
                <w:bCs/>
                <w:color w:val="005CA9"/>
                <w:sz w:val="18"/>
                <w:szCs w:val="18"/>
              </w:rPr>
              <w:t>3</w:t>
            </w:r>
          </w:p>
        </w:tc>
      </w:tr>
      <w:tr w:rsidR="00144FE7" w:rsidRPr="00A33766" w14:paraId="2064C105" w14:textId="77777777" w:rsidTr="00F36519">
        <w:trPr>
          <w:trHeight w:val="283"/>
        </w:trPr>
        <w:tc>
          <w:tcPr>
            <w:tcW w:w="2285" w:type="pct"/>
            <w:vMerge/>
            <w:tcBorders>
              <w:top w:val="single" w:sz="4" w:space="0" w:color="F39200"/>
              <w:left w:val="nil"/>
              <w:bottom w:val="single" w:sz="4" w:space="0" w:color="F39200"/>
              <w:right w:val="nil"/>
            </w:tcBorders>
            <w:vAlign w:val="center"/>
            <w:hideMark/>
          </w:tcPr>
          <w:p w14:paraId="4AA2A7CC" w14:textId="77777777" w:rsidR="00144FE7" w:rsidRPr="00FF4346" w:rsidRDefault="00144FE7">
            <w:pPr>
              <w:rPr>
                <w:rFonts w:ascii="CAIXA Std Book" w:eastAsia="Times New Roman" w:hAnsi="CAIXA Std Book" w:cs="Calibri"/>
                <w:b/>
                <w:bCs/>
                <w:color w:val="005CA9"/>
                <w:sz w:val="18"/>
                <w:szCs w:val="18"/>
              </w:rPr>
            </w:pPr>
          </w:p>
        </w:tc>
        <w:tc>
          <w:tcPr>
            <w:tcW w:w="766" w:type="pct"/>
            <w:tcBorders>
              <w:top w:val="nil"/>
              <w:left w:val="nil"/>
              <w:bottom w:val="single" w:sz="4" w:space="0" w:color="F39200"/>
              <w:right w:val="nil"/>
            </w:tcBorders>
            <w:shd w:val="clear" w:color="auto" w:fill="auto"/>
            <w:vAlign w:val="center"/>
            <w:hideMark/>
          </w:tcPr>
          <w:p w14:paraId="5D0C0FFB"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1º trimestre</w:t>
            </w:r>
          </w:p>
        </w:tc>
        <w:tc>
          <w:tcPr>
            <w:tcW w:w="650" w:type="pct"/>
            <w:tcBorders>
              <w:top w:val="nil"/>
              <w:left w:val="nil"/>
              <w:bottom w:val="single" w:sz="4" w:space="0" w:color="F39200"/>
              <w:right w:val="nil"/>
            </w:tcBorders>
            <w:shd w:val="clear" w:color="auto" w:fill="auto"/>
            <w:vAlign w:val="center"/>
            <w:hideMark/>
          </w:tcPr>
          <w:p w14:paraId="32CDFCFB"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1º trimestre</w:t>
            </w:r>
          </w:p>
        </w:tc>
        <w:tc>
          <w:tcPr>
            <w:tcW w:w="650" w:type="pct"/>
            <w:tcBorders>
              <w:top w:val="nil"/>
              <w:left w:val="nil"/>
              <w:bottom w:val="single" w:sz="4" w:space="0" w:color="F39200"/>
              <w:right w:val="nil"/>
            </w:tcBorders>
            <w:shd w:val="clear" w:color="auto" w:fill="auto"/>
            <w:vAlign w:val="center"/>
            <w:hideMark/>
          </w:tcPr>
          <w:p w14:paraId="236EF922"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1º trimestre</w:t>
            </w:r>
          </w:p>
        </w:tc>
        <w:tc>
          <w:tcPr>
            <w:tcW w:w="649" w:type="pct"/>
            <w:tcBorders>
              <w:top w:val="nil"/>
              <w:left w:val="nil"/>
              <w:bottom w:val="single" w:sz="4" w:space="0" w:color="F39200"/>
              <w:right w:val="nil"/>
            </w:tcBorders>
            <w:shd w:val="clear" w:color="auto" w:fill="auto"/>
            <w:vAlign w:val="center"/>
            <w:hideMark/>
          </w:tcPr>
          <w:p w14:paraId="73585FEB" w14:textId="77777777" w:rsidR="00144FE7" w:rsidRPr="00FF4346" w:rsidRDefault="00144FE7">
            <w:pPr>
              <w:jc w:val="cente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1º trimestre</w:t>
            </w:r>
          </w:p>
        </w:tc>
      </w:tr>
      <w:tr w:rsidR="00504846" w:rsidRPr="00A33766" w14:paraId="60FE80CA" w14:textId="77777777" w:rsidTr="00F36519">
        <w:trPr>
          <w:trHeight w:val="283"/>
        </w:trPr>
        <w:tc>
          <w:tcPr>
            <w:tcW w:w="2285" w:type="pct"/>
            <w:tcBorders>
              <w:top w:val="nil"/>
              <w:left w:val="nil"/>
              <w:bottom w:val="nil"/>
              <w:right w:val="nil"/>
            </w:tcBorders>
            <w:shd w:val="clear" w:color="auto" w:fill="auto"/>
            <w:vAlign w:val="center"/>
            <w:hideMark/>
          </w:tcPr>
          <w:p w14:paraId="544DA007" w14:textId="77777777" w:rsidR="00504846" w:rsidRPr="00FF4346" w:rsidRDefault="00504846" w:rsidP="00504846">
            <w:pPr>
              <w:rPr>
                <w:rFonts w:ascii="CAIXA Std Book" w:eastAsia="Times New Roman" w:hAnsi="CAIXA Std Book" w:cs="Calibri"/>
                <w:color w:val="005CA9"/>
                <w:sz w:val="18"/>
                <w:szCs w:val="18"/>
              </w:rPr>
            </w:pPr>
            <w:r w:rsidRPr="00FF4346">
              <w:rPr>
                <w:rFonts w:ascii="CAIXA Std Book" w:eastAsia="Times New Roman" w:hAnsi="CAIXA Std Book" w:cs="Calibri"/>
                <w:color w:val="005CA9"/>
                <w:sz w:val="18"/>
                <w:szCs w:val="18"/>
              </w:rPr>
              <w:t>Ativos financeiros mantidos para negociação</w:t>
            </w:r>
          </w:p>
        </w:tc>
        <w:tc>
          <w:tcPr>
            <w:tcW w:w="766" w:type="pct"/>
            <w:tcBorders>
              <w:top w:val="nil"/>
              <w:left w:val="nil"/>
              <w:bottom w:val="nil"/>
              <w:right w:val="nil"/>
            </w:tcBorders>
            <w:shd w:val="clear" w:color="auto" w:fill="auto"/>
            <w:vAlign w:val="center"/>
          </w:tcPr>
          <w:p w14:paraId="410103C2" w14:textId="67FE65A5" w:rsidR="00504846" w:rsidRPr="00C66334" w:rsidRDefault="00C66334" w:rsidP="00504846">
            <w:pPr>
              <w:jc w:val="right"/>
              <w:rPr>
                <w:rFonts w:ascii="CAIXA Std Book" w:hAnsi="CAIXA Std Book" w:cs="Arial"/>
                <w:color w:val="005CA9"/>
                <w:sz w:val="18"/>
                <w:szCs w:val="18"/>
              </w:rPr>
            </w:pPr>
            <w:r w:rsidRPr="00C66334">
              <w:rPr>
                <w:rFonts w:ascii="CAIXA Std Book" w:hAnsi="CAIXA Std Book" w:cs="Arial"/>
                <w:color w:val="005CA9"/>
                <w:sz w:val="18"/>
                <w:szCs w:val="18"/>
              </w:rPr>
              <w:t>2.503.861</w:t>
            </w:r>
          </w:p>
        </w:tc>
        <w:tc>
          <w:tcPr>
            <w:tcW w:w="650" w:type="pct"/>
            <w:tcBorders>
              <w:top w:val="nil"/>
              <w:left w:val="nil"/>
              <w:bottom w:val="nil"/>
              <w:right w:val="nil"/>
            </w:tcBorders>
            <w:shd w:val="clear" w:color="auto" w:fill="auto"/>
            <w:vAlign w:val="center"/>
            <w:hideMark/>
          </w:tcPr>
          <w:p w14:paraId="5EFA13CC" w14:textId="5A9A93F6"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4.738.448</w:t>
            </w:r>
          </w:p>
        </w:tc>
        <w:tc>
          <w:tcPr>
            <w:tcW w:w="650" w:type="pct"/>
            <w:tcBorders>
              <w:top w:val="nil"/>
              <w:left w:val="nil"/>
              <w:bottom w:val="nil"/>
              <w:right w:val="nil"/>
            </w:tcBorders>
            <w:shd w:val="clear" w:color="auto" w:fill="auto"/>
            <w:vAlign w:val="center"/>
          </w:tcPr>
          <w:p w14:paraId="3AD66FA6" w14:textId="6679D3A0" w:rsidR="00504846" w:rsidRPr="007E15AF" w:rsidRDefault="00AE464D" w:rsidP="00504846">
            <w:pPr>
              <w:jc w:val="right"/>
              <w:rPr>
                <w:rFonts w:ascii="CAIXA Std Book" w:hAnsi="CAIXA Std Book" w:cs="Arial"/>
                <w:color w:val="005CA9"/>
                <w:sz w:val="18"/>
                <w:szCs w:val="18"/>
              </w:rPr>
            </w:pPr>
            <w:r w:rsidRPr="00AE464D">
              <w:rPr>
                <w:rFonts w:ascii="CAIXA Std Book" w:hAnsi="CAIXA Std Book" w:cs="Arial"/>
                <w:color w:val="005CA9"/>
                <w:sz w:val="18"/>
                <w:szCs w:val="18"/>
              </w:rPr>
              <w:t>2.539.279</w:t>
            </w:r>
          </w:p>
        </w:tc>
        <w:tc>
          <w:tcPr>
            <w:tcW w:w="649" w:type="pct"/>
            <w:tcBorders>
              <w:top w:val="nil"/>
              <w:left w:val="nil"/>
              <w:bottom w:val="nil"/>
              <w:right w:val="nil"/>
            </w:tcBorders>
            <w:shd w:val="clear" w:color="auto" w:fill="auto"/>
            <w:vAlign w:val="center"/>
            <w:hideMark/>
          </w:tcPr>
          <w:p w14:paraId="4F85F46B" w14:textId="19A6F663"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4.787.518</w:t>
            </w:r>
          </w:p>
        </w:tc>
      </w:tr>
      <w:tr w:rsidR="00504846" w:rsidRPr="00A33766" w14:paraId="698F2DB5" w14:textId="77777777" w:rsidTr="00F36519">
        <w:trPr>
          <w:trHeight w:val="283"/>
        </w:trPr>
        <w:tc>
          <w:tcPr>
            <w:tcW w:w="2285" w:type="pct"/>
            <w:tcBorders>
              <w:top w:val="nil"/>
              <w:left w:val="nil"/>
              <w:bottom w:val="nil"/>
              <w:right w:val="nil"/>
            </w:tcBorders>
            <w:shd w:val="clear" w:color="auto" w:fill="auto"/>
            <w:vAlign w:val="center"/>
            <w:hideMark/>
          </w:tcPr>
          <w:p w14:paraId="1E9FB002" w14:textId="77777777" w:rsidR="00504846" w:rsidRPr="00FF4346" w:rsidRDefault="00504846" w:rsidP="00504846">
            <w:pPr>
              <w:rPr>
                <w:rFonts w:ascii="CAIXA Std Book" w:eastAsia="Times New Roman" w:hAnsi="CAIXA Std Book" w:cs="Calibri"/>
                <w:color w:val="005CA9"/>
                <w:sz w:val="18"/>
                <w:szCs w:val="18"/>
              </w:rPr>
            </w:pPr>
            <w:r w:rsidRPr="00FF4346">
              <w:rPr>
                <w:rFonts w:ascii="CAIXA Std Book" w:eastAsia="Times New Roman" w:hAnsi="CAIXA Std Book" w:cs="Calibri"/>
                <w:color w:val="005CA9"/>
                <w:sz w:val="18"/>
                <w:szCs w:val="18"/>
              </w:rPr>
              <w:t>Ativos financeiros disponíveis para venda</w:t>
            </w:r>
          </w:p>
        </w:tc>
        <w:tc>
          <w:tcPr>
            <w:tcW w:w="766" w:type="pct"/>
            <w:tcBorders>
              <w:top w:val="nil"/>
              <w:left w:val="nil"/>
              <w:bottom w:val="nil"/>
              <w:right w:val="nil"/>
            </w:tcBorders>
            <w:shd w:val="clear" w:color="auto" w:fill="auto"/>
            <w:vAlign w:val="center"/>
          </w:tcPr>
          <w:p w14:paraId="6F300268" w14:textId="42653258" w:rsidR="00504846" w:rsidRPr="00C66334" w:rsidRDefault="00C66334" w:rsidP="00504846">
            <w:pPr>
              <w:jc w:val="right"/>
              <w:rPr>
                <w:rFonts w:ascii="CAIXA Std Book" w:hAnsi="CAIXA Std Book" w:cs="Arial"/>
                <w:color w:val="005CA9"/>
                <w:sz w:val="18"/>
                <w:szCs w:val="18"/>
              </w:rPr>
            </w:pPr>
            <w:r w:rsidRPr="00C66334">
              <w:rPr>
                <w:rFonts w:ascii="CAIXA Std Book" w:hAnsi="CAIXA Std Book" w:cs="Arial"/>
                <w:color w:val="005CA9"/>
                <w:sz w:val="18"/>
                <w:szCs w:val="18"/>
              </w:rPr>
              <w:t>3.763.637</w:t>
            </w:r>
          </w:p>
        </w:tc>
        <w:tc>
          <w:tcPr>
            <w:tcW w:w="650" w:type="pct"/>
            <w:tcBorders>
              <w:top w:val="nil"/>
              <w:left w:val="nil"/>
              <w:bottom w:val="nil"/>
              <w:right w:val="nil"/>
            </w:tcBorders>
            <w:shd w:val="clear" w:color="auto" w:fill="auto"/>
            <w:vAlign w:val="center"/>
            <w:hideMark/>
          </w:tcPr>
          <w:p w14:paraId="1FD94D23" w14:textId="4FD31F27"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3.566.005</w:t>
            </w:r>
          </w:p>
        </w:tc>
        <w:tc>
          <w:tcPr>
            <w:tcW w:w="650" w:type="pct"/>
            <w:tcBorders>
              <w:top w:val="nil"/>
              <w:left w:val="nil"/>
              <w:bottom w:val="nil"/>
              <w:right w:val="nil"/>
            </w:tcBorders>
            <w:shd w:val="clear" w:color="auto" w:fill="auto"/>
            <w:vAlign w:val="center"/>
          </w:tcPr>
          <w:p w14:paraId="6E710D35" w14:textId="42B6C2E0" w:rsidR="00504846" w:rsidRPr="007E15AF" w:rsidRDefault="00AE464D" w:rsidP="00504846">
            <w:pPr>
              <w:jc w:val="right"/>
              <w:rPr>
                <w:rFonts w:ascii="CAIXA Std Book" w:hAnsi="CAIXA Std Book" w:cs="Arial"/>
                <w:color w:val="005CA9"/>
                <w:sz w:val="18"/>
                <w:szCs w:val="18"/>
              </w:rPr>
            </w:pPr>
            <w:r w:rsidRPr="00AE464D">
              <w:rPr>
                <w:rFonts w:ascii="CAIXA Std Book" w:hAnsi="CAIXA Std Book" w:cs="Arial"/>
                <w:color w:val="005CA9"/>
                <w:sz w:val="18"/>
                <w:szCs w:val="18"/>
              </w:rPr>
              <w:t>3.732.694</w:t>
            </w:r>
          </w:p>
        </w:tc>
        <w:tc>
          <w:tcPr>
            <w:tcW w:w="649" w:type="pct"/>
            <w:tcBorders>
              <w:top w:val="nil"/>
              <w:left w:val="nil"/>
              <w:bottom w:val="nil"/>
              <w:right w:val="nil"/>
            </w:tcBorders>
            <w:shd w:val="clear" w:color="auto" w:fill="auto"/>
            <w:vAlign w:val="center"/>
            <w:hideMark/>
          </w:tcPr>
          <w:p w14:paraId="02148DC3" w14:textId="7C54C9C8"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3.543.191</w:t>
            </w:r>
          </w:p>
        </w:tc>
      </w:tr>
      <w:tr w:rsidR="00504846" w:rsidRPr="00A33766" w14:paraId="042AD4D1" w14:textId="77777777" w:rsidTr="00F36519">
        <w:trPr>
          <w:trHeight w:val="283"/>
        </w:trPr>
        <w:tc>
          <w:tcPr>
            <w:tcW w:w="2285" w:type="pct"/>
            <w:tcBorders>
              <w:top w:val="nil"/>
              <w:left w:val="nil"/>
              <w:bottom w:val="nil"/>
              <w:right w:val="nil"/>
            </w:tcBorders>
            <w:shd w:val="clear" w:color="auto" w:fill="auto"/>
            <w:vAlign w:val="center"/>
            <w:hideMark/>
          </w:tcPr>
          <w:p w14:paraId="34D9579E" w14:textId="77777777" w:rsidR="00504846" w:rsidRPr="00FF4346" w:rsidRDefault="00504846" w:rsidP="00504846">
            <w:pPr>
              <w:rPr>
                <w:rFonts w:ascii="CAIXA Std Book" w:eastAsia="Times New Roman" w:hAnsi="CAIXA Std Book" w:cs="Calibri"/>
                <w:color w:val="005CA9"/>
                <w:sz w:val="18"/>
                <w:szCs w:val="18"/>
              </w:rPr>
            </w:pPr>
            <w:r w:rsidRPr="00FF4346">
              <w:rPr>
                <w:rFonts w:ascii="CAIXA Std Book" w:eastAsia="Times New Roman" w:hAnsi="CAIXA Std Book" w:cs="Calibri"/>
                <w:color w:val="005CA9"/>
                <w:sz w:val="18"/>
                <w:szCs w:val="18"/>
              </w:rPr>
              <w:t>Ativos financeiros mantidos até o vencimento</w:t>
            </w:r>
          </w:p>
        </w:tc>
        <w:tc>
          <w:tcPr>
            <w:tcW w:w="766" w:type="pct"/>
            <w:tcBorders>
              <w:top w:val="nil"/>
              <w:left w:val="nil"/>
              <w:bottom w:val="nil"/>
              <w:right w:val="nil"/>
            </w:tcBorders>
            <w:shd w:val="clear" w:color="auto" w:fill="auto"/>
            <w:vAlign w:val="center"/>
          </w:tcPr>
          <w:p w14:paraId="1103113B" w14:textId="7CFA930C" w:rsidR="00504846" w:rsidRPr="00C66334" w:rsidRDefault="00C66334" w:rsidP="00504846">
            <w:pPr>
              <w:jc w:val="right"/>
              <w:rPr>
                <w:rFonts w:ascii="CAIXA Std Book" w:hAnsi="CAIXA Std Book" w:cs="Arial"/>
                <w:color w:val="005CA9"/>
                <w:sz w:val="18"/>
                <w:szCs w:val="18"/>
              </w:rPr>
            </w:pPr>
            <w:r w:rsidRPr="00C66334">
              <w:rPr>
                <w:rFonts w:ascii="CAIXA Std Book" w:hAnsi="CAIXA Std Book" w:cs="Arial"/>
                <w:color w:val="005CA9"/>
                <w:sz w:val="18"/>
                <w:szCs w:val="18"/>
              </w:rPr>
              <w:t>132.213</w:t>
            </w:r>
          </w:p>
        </w:tc>
        <w:tc>
          <w:tcPr>
            <w:tcW w:w="650" w:type="pct"/>
            <w:tcBorders>
              <w:top w:val="nil"/>
              <w:left w:val="nil"/>
              <w:bottom w:val="nil"/>
              <w:right w:val="nil"/>
            </w:tcBorders>
            <w:shd w:val="clear" w:color="auto" w:fill="auto"/>
            <w:vAlign w:val="center"/>
            <w:hideMark/>
          </w:tcPr>
          <w:p w14:paraId="3DB8CD30" w14:textId="64994BFF"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141.589</w:t>
            </w:r>
          </w:p>
        </w:tc>
        <w:tc>
          <w:tcPr>
            <w:tcW w:w="650" w:type="pct"/>
            <w:tcBorders>
              <w:top w:val="nil"/>
              <w:left w:val="nil"/>
              <w:bottom w:val="nil"/>
              <w:right w:val="nil"/>
            </w:tcBorders>
            <w:shd w:val="clear" w:color="auto" w:fill="auto"/>
            <w:vAlign w:val="center"/>
          </w:tcPr>
          <w:p w14:paraId="75A49296" w14:textId="6CDC9185" w:rsidR="00504846" w:rsidRPr="007E15AF" w:rsidRDefault="00AE464D" w:rsidP="00504846">
            <w:pPr>
              <w:jc w:val="right"/>
              <w:rPr>
                <w:rFonts w:ascii="CAIXA Std Book" w:hAnsi="CAIXA Std Book" w:cs="Arial"/>
                <w:color w:val="005CA9"/>
                <w:sz w:val="18"/>
                <w:szCs w:val="18"/>
              </w:rPr>
            </w:pPr>
            <w:r w:rsidRPr="00AE464D">
              <w:rPr>
                <w:rFonts w:ascii="CAIXA Std Book" w:hAnsi="CAIXA Std Book" w:cs="Arial"/>
                <w:color w:val="005CA9"/>
                <w:sz w:val="18"/>
                <w:szCs w:val="18"/>
              </w:rPr>
              <w:t>132.213</w:t>
            </w:r>
          </w:p>
        </w:tc>
        <w:tc>
          <w:tcPr>
            <w:tcW w:w="649" w:type="pct"/>
            <w:tcBorders>
              <w:top w:val="nil"/>
              <w:left w:val="nil"/>
              <w:bottom w:val="nil"/>
              <w:right w:val="nil"/>
            </w:tcBorders>
            <w:shd w:val="clear" w:color="auto" w:fill="auto"/>
            <w:vAlign w:val="center"/>
            <w:hideMark/>
          </w:tcPr>
          <w:p w14:paraId="459870C3" w14:textId="04FBBBDA" w:rsidR="00504846" w:rsidRPr="00FF4346" w:rsidRDefault="00504846" w:rsidP="00504846">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141.589</w:t>
            </w:r>
          </w:p>
        </w:tc>
      </w:tr>
      <w:tr w:rsidR="00504846" w:rsidRPr="00A33766" w14:paraId="3E2BAEBB" w14:textId="77777777" w:rsidTr="00F36519">
        <w:trPr>
          <w:trHeight w:val="283"/>
        </w:trPr>
        <w:tc>
          <w:tcPr>
            <w:tcW w:w="2285" w:type="pct"/>
            <w:tcBorders>
              <w:top w:val="single" w:sz="4" w:space="0" w:color="F39200"/>
              <w:left w:val="nil"/>
              <w:bottom w:val="single" w:sz="4" w:space="0" w:color="F39200"/>
              <w:right w:val="nil"/>
            </w:tcBorders>
            <w:shd w:val="clear" w:color="auto" w:fill="auto"/>
            <w:vAlign w:val="center"/>
            <w:hideMark/>
          </w:tcPr>
          <w:p w14:paraId="13FB0663" w14:textId="77777777" w:rsidR="00504846" w:rsidRPr="00FF4346" w:rsidRDefault="00504846" w:rsidP="00504846">
            <w:pPr>
              <w:rPr>
                <w:rFonts w:ascii="CAIXA Std Book" w:eastAsia="Times New Roman" w:hAnsi="CAIXA Std Book" w:cs="Calibri"/>
                <w:b/>
                <w:bCs/>
                <w:color w:val="005CA9"/>
                <w:sz w:val="18"/>
                <w:szCs w:val="18"/>
              </w:rPr>
            </w:pPr>
            <w:r w:rsidRPr="00FF4346">
              <w:rPr>
                <w:rFonts w:ascii="CAIXA Std Book" w:eastAsia="Times New Roman" w:hAnsi="CAIXA Std Book" w:cs="Calibri"/>
                <w:b/>
                <w:bCs/>
                <w:color w:val="005CA9"/>
                <w:sz w:val="18"/>
                <w:szCs w:val="18"/>
              </w:rPr>
              <w:t>Total</w:t>
            </w:r>
          </w:p>
        </w:tc>
        <w:tc>
          <w:tcPr>
            <w:tcW w:w="766" w:type="pct"/>
            <w:tcBorders>
              <w:top w:val="single" w:sz="4" w:space="0" w:color="F39200"/>
              <w:left w:val="nil"/>
              <w:bottom w:val="single" w:sz="4" w:space="0" w:color="F39200"/>
              <w:right w:val="nil"/>
            </w:tcBorders>
            <w:shd w:val="clear" w:color="auto" w:fill="auto"/>
            <w:noWrap/>
            <w:vAlign w:val="center"/>
          </w:tcPr>
          <w:p w14:paraId="2030CBAC" w14:textId="78E14CBD" w:rsidR="00504846" w:rsidRPr="00C66334" w:rsidRDefault="00C66334" w:rsidP="00504846">
            <w:pPr>
              <w:jc w:val="right"/>
              <w:rPr>
                <w:rFonts w:ascii="CAIXA Std Book" w:hAnsi="CAIXA Std Book" w:cs="Arial"/>
                <w:b/>
                <w:color w:val="005CA9"/>
                <w:sz w:val="18"/>
                <w:szCs w:val="18"/>
              </w:rPr>
            </w:pPr>
            <w:r w:rsidRPr="00C66334">
              <w:rPr>
                <w:rFonts w:ascii="CAIXA Std Book" w:hAnsi="CAIXA Std Book" w:cs="Arial"/>
                <w:b/>
                <w:bCs/>
                <w:color w:val="005CA9"/>
                <w:sz w:val="18"/>
                <w:szCs w:val="18"/>
              </w:rPr>
              <w:t>6.399.711</w:t>
            </w:r>
          </w:p>
        </w:tc>
        <w:tc>
          <w:tcPr>
            <w:tcW w:w="650" w:type="pct"/>
            <w:tcBorders>
              <w:top w:val="single" w:sz="4" w:space="0" w:color="F39200"/>
              <w:left w:val="nil"/>
              <w:bottom w:val="single" w:sz="4" w:space="0" w:color="F39200"/>
              <w:right w:val="nil"/>
            </w:tcBorders>
            <w:shd w:val="clear" w:color="auto" w:fill="auto"/>
            <w:noWrap/>
            <w:vAlign w:val="center"/>
            <w:hideMark/>
          </w:tcPr>
          <w:p w14:paraId="0B0258CF" w14:textId="037973D4" w:rsidR="00504846" w:rsidRPr="00C66334" w:rsidRDefault="00504846" w:rsidP="00504846">
            <w:pPr>
              <w:jc w:val="right"/>
              <w:rPr>
                <w:rFonts w:ascii="CAIXA Std Book" w:hAnsi="CAIXA Std Book" w:cs="Arial"/>
                <w:b/>
                <w:color w:val="005CA9"/>
                <w:sz w:val="18"/>
                <w:szCs w:val="18"/>
              </w:rPr>
            </w:pPr>
            <w:r w:rsidRPr="00FF4346">
              <w:rPr>
                <w:rFonts w:ascii="CAIXA Std Book" w:hAnsi="CAIXA Std Book" w:cs="Arial"/>
                <w:b/>
                <w:bCs/>
                <w:color w:val="005CA9"/>
                <w:sz w:val="18"/>
                <w:szCs w:val="18"/>
              </w:rPr>
              <w:t>8.446.042</w:t>
            </w:r>
          </w:p>
        </w:tc>
        <w:tc>
          <w:tcPr>
            <w:tcW w:w="650" w:type="pct"/>
            <w:tcBorders>
              <w:top w:val="single" w:sz="4" w:space="0" w:color="F39200"/>
              <w:left w:val="nil"/>
              <w:bottom w:val="single" w:sz="4" w:space="0" w:color="F39200"/>
              <w:right w:val="nil"/>
            </w:tcBorders>
            <w:shd w:val="clear" w:color="auto" w:fill="auto"/>
            <w:noWrap/>
            <w:vAlign w:val="center"/>
          </w:tcPr>
          <w:p w14:paraId="7415B013" w14:textId="23262113" w:rsidR="00504846" w:rsidRPr="00853031" w:rsidRDefault="00853031" w:rsidP="00504846">
            <w:pPr>
              <w:jc w:val="right"/>
              <w:rPr>
                <w:rFonts w:ascii="CAIXA Std Book" w:hAnsi="CAIXA Std Book" w:cs="Arial"/>
                <w:b/>
                <w:color w:val="005CA9"/>
                <w:sz w:val="18"/>
                <w:szCs w:val="18"/>
              </w:rPr>
            </w:pPr>
            <w:r w:rsidRPr="00853031">
              <w:rPr>
                <w:rFonts w:ascii="CAIXA Std Book" w:hAnsi="CAIXA Std Book" w:cs="Arial"/>
                <w:b/>
                <w:bCs/>
                <w:color w:val="005CA9"/>
                <w:sz w:val="18"/>
                <w:szCs w:val="18"/>
              </w:rPr>
              <w:t>6.404.186</w:t>
            </w:r>
          </w:p>
        </w:tc>
        <w:tc>
          <w:tcPr>
            <w:tcW w:w="649" w:type="pct"/>
            <w:tcBorders>
              <w:top w:val="single" w:sz="4" w:space="0" w:color="F39200"/>
              <w:left w:val="nil"/>
              <w:bottom w:val="single" w:sz="4" w:space="0" w:color="F39200"/>
              <w:right w:val="nil"/>
            </w:tcBorders>
            <w:shd w:val="clear" w:color="auto" w:fill="auto"/>
            <w:noWrap/>
            <w:vAlign w:val="center"/>
            <w:hideMark/>
          </w:tcPr>
          <w:p w14:paraId="7F10AF8D" w14:textId="51982A85" w:rsidR="00504846" w:rsidRPr="00FF4346" w:rsidRDefault="00504846" w:rsidP="00504846">
            <w:pPr>
              <w:jc w:val="right"/>
              <w:rPr>
                <w:rFonts w:ascii="CAIXA Std Book" w:eastAsia="Times New Roman" w:hAnsi="CAIXA Std Book" w:cs="Calibri"/>
                <w:b/>
                <w:bCs/>
                <w:color w:val="005CA9"/>
                <w:sz w:val="18"/>
                <w:szCs w:val="18"/>
              </w:rPr>
            </w:pPr>
            <w:r w:rsidRPr="00FF4346">
              <w:rPr>
                <w:rFonts w:ascii="CAIXA Std Book" w:hAnsi="CAIXA Std Book" w:cs="Arial"/>
                <w:b/>
                <w:bCs/>
                <w:color w:val="005CA9"/>
                <w:sz w:val="18"/>
                <w:szCs w:val="18"/>
              </w:rPr>
              <w:t>8.472.298</w:t>
            </w:r>
          </w:p>
        </w:tc>
      </w:tr>
    </w:tbl>
    <w:p w14:paraId="3F8EB3C6" w14:textId="42FD988B" w:rsidR="00B80E00" w:rsidRPr="00FF4346" w:rsidRDefault="00B80E00" w:rsidP="00A8208A">
      <w:pPr>
        <w:rPr>
          <w:rFonts w:ascii="CAIXA Std Book" w:hAnsi="CAIXA Std Book"/>
          <w:b/>
          <w:color w:val="005CA9"/>
          <w:sz w:val="20"/>
          <w:szCs w:val="20"/>
        </w:rPr>
        <w:sectPr w:rsidR="00B80E00" w:rsidRPr="00FF4346" w:rsidSect="0088151D">
          <w:headerReference w:type="default" r:id="rId31"/>
          <w:footerReference w:type="default" r:id="rId32"/>
          <w:pgSz w:w="16840" w:h="11907" w:orient="landscape" w:code="9"/>
          <w:pgMar w:top="1418" w:right="1418" w:bottom="851" w:left="851" w:header="1134" w:footer="709" w:gutter="0"/>
          <w:cols w:space="708"/>
          <w:docGrid w:linePitch="360"/>
        </w:sectPr>
      </w:pPr>
      <w:bookmarkStart w:id="58" w:name="_Hlk31639697"/>
    </w:p>
    <w:p w14:paraId="6DCEAA3D" w14:textId="0C7C2D7F" w:rsidR="0019155E" w:rsidRPr="00FF4346" w:rsidRDefault="004917F8" w:rsidP="005A596E">
      <w:pPr>
        <w:pStyle w:val="Ttulo1"/>
      </w:pPr>
      <w:bookmarkStart w:id="59" w:name="_Toc166594483"/>
      <w:bookmarkEnd w:id="58"/>
      <w:r w:rsidRPr="00FF4346">
        <w:lastRenderedPageBreak/>
        <w:t xml:space="preserve">Nota   8 </w:t>
      </w:r>
      <w:r w:rsidR="001A7E67" w:rsidRPr="00FF4346">
        <w:t>–</w:t>
      </w:r>
      <w:r w:rsidRPr="00FF4346">
        <w:t xml:space="preserve"> </w:t>
      </w:r>
      <w:r w:rsidR="0019155E" w:rsidRPr="00FF4346">
        <w:t>Instrumentos financeiros derivativos</w:t>
      </w:r>
      <w:bookmarkEnd w:id="59"/>
    </w:p>
    <w:p w14:paraId="37E60E4E" w14:textId="000FB42C" w:rsidR="006B37AA" w:rsidRPr="00FF4346" w:rsidRDefault="006B37AA" w:rsidP="0009270D">
      <w:pPr>
        <w:tabs>
          <w:tab w:val="left" w:pos="567"/>
          <w:tab w:val="left" w:pos="2742"/>
        </w:tabs>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w:t>
      </w:r>
      <w:r w:rsidR="003B2426" w:rsidRPr="00FF4346">
        <w:rPr>
          <w:rFonts w:ascii="CAIXA Std Book" w:hAnsi="CAIXA Std Book"/>
          <w:b/>
          <w:color w:val="005CA9"/>
          <w:sz w:val="20"/>
          <w:szCs w:val="20"/>
        </w:rPr>
        <w:t>a</w:t>
      </w:r>
      <w:r w:rsidRPr="00FF4346">
        <w:rPr>
          <w:rFonts w:ascii="CAIXA Std Book" w:hAnsi="CAIXA Std Book"/>
          <w:b/>
          <w:color w:val="005CA9"/>
          <w:sz w:val="20"/>
          <w:szCs w:val="20"/>
        </w:rPr>
        <w:t>.1)</w:t>
      </w:r>
      <w:r w:rsidRPr="00FF4346">
        <w:rPr>
          <w:rFonts w:ascii="CAIXA Std Book" w:hAnsi="CAIXA Std Book"/>
          <w:b/>
          <w:color w:val="005CA9"/>
          <w:sz w:val="20"/>
          <w:szCs w:val="20"/>
        </w:rPr>
        <w:tab/>
      </w:r>
      <w:r w:rsidRPr="00FF4346">
        <w:rPr>
          <w:rFonts w:ascii="CAIXA Std Book" w:hAnsi="CAIXA Std Book"/>
          <w:b/>
          <w:i/>
          <w:color w:val="005CA9"/>
          <w:sz w:val="20"/>
          <w:szCs w:val="20"/>
        </w:rPr>
        <w:t>Hedge</w:t>
      </w:r>
      <w:r w:rsidRPr="00FF4346">
        <w:rPr>
          <w:rFonts w:ascii="CAIXA Std Book" w:hAnsi="CAIXA Std Book"/>
          <w:b/>
          <w:color w:val="005CA9"/>
          <w:sz w:val="20"/>
          <w:szCs w:val="20"/>
        </w:rPr>
        <w:t xml:space="preserve"> Contábil</w:t>
      </w:r>
    </w:p>
    <w:tbl>
      <w:tblPr>
        <w:tblW w:w="5000" w:type="pct"/>
        <w:tblCellMar>
          <w:left w:w="70" w:type="dxa"/>
          <w:right w:w="70" w:type="dxa"/>
        </w:tblCellMar>
        <w:tblLook w:val="04A0" w:firstRow="1" w:lastRow="0" w:firstColumn="1" w:lastColumn="0" w:noHBand="0" w:noVBand="1"/>
      </w:tblPr>
      <w:tblGrid>
        <w:gridCol w:w="3119"/>
        <w:gridCol w:w="1985"/>
        <w:gridCol w:w="1215"/>
        <w:gridCol w:w="1011"/>
        <w:gridCol w:w="1247"/>
        <w:gridCol w:w="1206"/>
        <w:gridCol w:w="1244"/>
        <w:gridCol w:w="1113"/>
        <w:gridCol w:w="1227"/>
        <w:gridCol w:w="1204"/>
      </w:tblGrid>
      <w:tr w:rsidR="009C1F9F" w:rsidRPr="00D35B73" w14:paraId="06E6CA24" w14:textId="77777777" w:rsidTr="008F3E16">
        <w:trPr>
          <w:trHeight w:val="244"/>
        </w:trPr>
        <w:tc>
          <w:tcPr>
            <w:tcW w:w="5000" w:type="pct"/>
            <w:gridSpan w:val="10"/>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4245B2BD"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INDIVIDUAL / CONSOLIDADO</w:t>
            </w:r>
          </w:p>
        </w:tc>
      </w:tr>
      <w:tr w:rsidR="009C1F9F" w:rsidRPr="00D35B73" w14:paraId="6D6C1D50" w14:textId="77777777" w:rsidTr="008F3E16">
        <w:trPr>
          <w:trHeight w:val="244"/>
        </w:trPr>
        <w:tc>
          <w:tcPr>
            <w:tcW w:w="1751" w:type="pct"/>
            <w:gridSpan w:val="2"/>
            <w:vMerge w:val="restart"/>
            <w:tcBorders>
              <w:top w:val="single" w:sz="4" w:space="0" w:color="F79646"/>
              <w:left w:val="nil"/>
              <w:bottom w:val="single" w:sz="8" w:space="0" w:color="F79646"/>
              <w:right w:val="nil"/>
            </w:tcBorders>
            <w:shd w:val="clear" w:color="auto" w:fill="auto"/>
            <w:noWrap/>
            <w:tcMar>
              <w:top w:w="15" w:type="dxa"/>
              <w:left w:w="15" w:type="dxa"/>
              <w:bottom w:w="0" w:type="dxa"/>
              <w:right w:w="15" w:type="dxa"/>
            </w:tcMar>
            <w:vAlign w:val="center"/>
            <w:hideMark/>
          </w:tcPr>
          <w:p w14:paraId="5EE57382"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Estratégia</w:t>
            </w:r>
          </w:p>
        </w:tc>
        <w:tc>
          <w:tcPr>
            <w:tcW w:w="1606" w:type="pct"/>
            <w:gridSpan w:val="4"/>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238D376B" w14:textId="21F2B041"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31/</w:t>
            </w:r>
            <w:r w:rsidR="00213A19">
              <w:rPr>
                <w:rFonts w:ascii="CAIXA Std Book" w:hAnsi="CAIXA Std Book" w:cs="Calibri"/>
                <w:b/>
                <w:bCs/>
                <w:color w:val="005CA9"/>
                <w:sz w:val="18"/>
                <w:szCs w:val="18"/>
              </w:rPr>
              <w:t>03/2024</w:t>
            </w:r>
          </w:p>
        </w:tc>
        <w:tc>
          <w:tcPr>
            <w:tcW w:w="1643" w:type="pct"/>
            <w:gridSpan w:val="4"/>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7B93BAA4" w14:textId="2A7FEE9E"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31/12/202</w:t>
            </w:r>
            <w:r w:rsidR="007D559F">
              <w:rPr>
                <w:rFonts w:ascii="CAIXA Std Book" w:hAnsi="CAIXA Std Book" w:cs="Calibri"/>
                <w:b/>
                <w:bCs/>
                <w:color w:val="005CA9"/>
                <w:sz w:val="18"/>
                <w:szCs w:val="18"/>
              </w:rPr>
              <w:t>3</w:t>
            </w:r>
          </w:p>
        </w:tc>
      </w:tr>
      <w:tr w:rsidR="009C1F9F" w:rsidRPr="00D35B73" w14:paraId="01B43CCE" w14:textId="77777777" w:rsidTr="008F3E16">
        <w:trPr>
          <w:trHeight w:val="244"/>
        </w:trPr>
        <w:tc>
          <w:tcPr>
            <w:tcW w:w="1751" w:type="pct"/>
            <w:gridSpan w:val="2"/>
            <w:vMerge/>
            <w:tcBorders>
              <w:top w:val="single" w:sz="4" w:space="0" w:color="F79646"/>
              <w:left w:val="nil"/>
              <w:bottom w:val="single" w:sz="8" w:space="0" w:color="F79646"/>
              <w:right w:val="nil"/>
            </w:tcBorders>
            <w:vAlign w:val="center"/>
            <w:hideMark/>
          </w:tcPr>
          <w:p w14:paraId="67AD6A17" w14:textId="77777777" w:rsidR="009C1F9F" w:rsidRPr="00FF4346" w:rsidRDefault="009C1F9F">
            <w:pPr>
              <w:rPr>
                <w:rFonts w:ascii="CAIXA Std Book" w:hAnsi="CAIXA Std Book" w:cs="Calibri"/>
                <w:b/>
                <w:bCs/>
                <w:color w:val="005CA9"/>
                <w:sz w:val="18"/>
                <w:szCs w:val="18"/>
              </w:rPr>
            </w:pPr>
          </w:p>
        </w:tc>
        <w:tc>
          <w:tcPr>
            <w:tcW w:w="764" w:type="pct"/>
            <w:gridSpan w:val="2"/>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02CBE115"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 xml:space="preserve">Instrumentos de </w:t>
            </w:r>
            <w:r w:rsidRPr="00FF4346">
              <w:rPr>
                <w:rFonts w:ascii="CAIXA Std Book" w:hAnsi="CAIXA Std Book" w:cs="Calibri"/>
                <w:b/>
                <w:bCs/>
                <w:i/>
                <w:iCs/>
                <w:color w:val="005CA9"/>
                <w:sz w:val="18"/>
                <w:szCs w:val="18"/>
              </w:rPr>
              <w:t>Hedge</w:t>
            </w:r>
          </w:p>
        </w:tc>
        <w:tc>
          <w:tcPr>
            <w:tcW w:w="842" w:type="pct"/>
            <w:gridSpan w:val="2"/>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6286853E"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 xml:space="preserve">Objeto de </w:t>
            </w:r>
            <w:r w:rsidRPr="00FF4346">
              <w:rPr>
                <w:rFonts w:ascii="CAIXA Std Book" w:hAnsi="CAIXA Std Book" w:cs="Calibri"/>
                <w:b/>
                <w:bCs/>
                <w:i/>
                <w:iCs/>
                <w:color w:val="005CA9"/>
                <w:sz w:val="18"/>
                <w:szCs w:val="18"/>
              </w:rPr>
              <w:t>Hedge</w:t>
            </w:r>
          </w:p>
        </w:tc>
        <w:tc>
          <w:tcPr>
            <w:tcW w:w="809" w:type="pct"/>
            <w:gridSpan w:val="2"/>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5DB29894"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 xml:space="preserve">Instrumentos de </w:t>
            </w:r>
            <w:r w:rsidRPr="00FF4346">
              <w:rPr>
                <w:rFonts w:ascii="CAIXA Std Book" w:hAnsi="CAIXA Std Book" w:cs="Calibri"/>
                <w:b/>
                <w:bCs/>
                <w:i/>
                <w:iCs/>
                <w:color w:val="005CA9"/>
                <w:sz w:val="18"/>
                <w:szCs w:val="18"/>
              </w:rPr>
              <w:t>Hedge</w:t>
            </w:r>
          </w:p>
        </w:tc>
        <w:tc>
          <w:tcPr>
            <w:tcW w:w="834" w:type="pct"/>
            <w:gridSpan w:val="2"/>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27945CAE"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 xml:space="preserve">Objeto de </w:t>
            </w:r>
            <w:r w:rsidRPr="00FF4346">
              <w:rPr>
                <w:rFonts w:ascii="CAIXA Std Book" w:hAnsi="CAIXA Std Book" w:cs="Calibri"/>
                <w:b/>
                <w:bCs/>
                <w:i/>
                <w:iCs/>
                <w:color w:val="005CA9"/>
                <w:sz w:val="18"/>
                <w:szCs w:val="18"/>
              </w:rPr>
              <w:t>Hedge</w:t>
            </w:r>
          </w:p>
        </w:tc>
      </w:tr>
      <w:tr w:rsidR="009C1F9F" w:rsidRPr="00D35B73" w14:paraId="7F19213E" w14:textId="77777777" w:rsidTr="008F3E16">
        <w:trPr>
          <w:trHeight w:val="244"/>
        </w:trPr>
        <w:tc>
          <w:tcPr>
            <w:tcW w:w="1751" w:type="pct"/>
            <w:gridSpan w:val="2"/>
            <w:vMerge/>
            <w:tcBorders>
              <w:top w:val="nil"/>
              <w:left w:val="nil"/>
              <w:bottom w:val="single" w:sz="4" w:space="0" w:color="F79646"/>
              <w:right w:val="nil"/>
            </w:tcBorders>
            <w:vAlign w:val="center"/>
            <w:hideMark/>
          </w:tcPr>
          <w:p w14:paraId="7A8D6A26" w14:textId="77777777" w:rsidR="009C1F9F" w:rsidRPr="00FF4346" w:rsidRDefault="009C1F9F">
            <w:pPr>
              <w:rPr>
                <w:rFonts w:ascii="CAIXA Std Book" w:hAnsi="CAIXA Std Book" w:cs="Calibri"/>
                <w:b/>
                <w:bCs/>
                <w:color w:val="005CA9"/>
                <w:sz w:val="18"/>
                <w:szCs w:val="18"/>
              </w:rPr>
            </w:pPr>
          </w:p>
        </w:tc>
        <w:tc>
          <w:tcPr>
            <w:tcW w:w="417"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1E2E204E"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Valor Principal</w:t>
            </w:r>
          </w:p>
        </w:tc>
        <w:tc>
          <w:tcPr>
            <w:tcW w:w="347"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6A9A1B7D" w14:textId="77777777" w:rsidR="009C1F9F" w:rsidRPr="00D35B73" w:rsidRDefault="009C1F9F">
            <w:pPr>
              <w:jc w:val="center"/>
              <w:rPr>
                <w:rFonts w:ascii="CAIXA Std Book" w:hAnsi="CAIXA Std Book" w:cs="Calibri"/>
                <w:b/>
                <w:color w:val="005CA9"/>
                <w:sz w:val="18"/>
                <w:szCs w:val="18"/>
              </w:rPr>
            </w:pPr>
            <w:r w:rsidRPr="00D35B73">
              <w:rPr>
                <w:rFonts w:ascii="CAIXA Std Book" w:hAnsi="CAIXA Std Book" w:cs="Calibri"/>
                <w:b/>
                <w:color w:val="005CA9"/>
                <w:sz w:val="18"/>
                <w:szCs w:val="18"/>
              </w:rPr>
              <w:t>Variação de Valor de Mercado</w:t>
            </w:r>
          </w:p>
        </w:tc>
        <w:tc>
          <w:tcPr>
            <w:tcW w:w="428"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351D6B5E"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Valor de Mercado</w:t>
            </w:r>
          </w:p>
        </w:tc>
        <w:tc>
          <w:tcPr>
            <w:tcW w:w="414"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44ACD0A3"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Ajuste de Marcação a Mercado</w:t>
            </w:r>
          </w:p>
        </w:tc>
        <w:tc>
          <w:tcPr>
            <w:tcW w:w="427"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34CCCEBD"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Valor Principal</w:t>
            </w:r>
          </w:p>
        </w:tc>
        <w:tc>
          <w:tcPr>
            <w:tcW w:w="382"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3023F41D"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Variação de Valor de Mercado</w:t>
            </w:r>
          </w:p>
        </w:tc>
        <w:tc>
          <w:tcPr>
            <w:tcW w:w="421"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6E58D300"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Valor de Mercado</w:t>
            </w:r>
          </w:p>
        </w:tc>
        <w:tc>
          <w:tcPr>
            <w:tcW w:w="413" w:type="pct"/>
            <w:tcBorders>
              <w:top w:val="single" w:sz="4" w:space="0" w:color="F79646"/>
              <w:left w:val="nil"/>
              <w:bottom w:val="single" w:sz="4" w:space="0" w:color="F79646"/>
              <w:right w:val="nil"/>
            </w:tcBorders>
            <w:shd w:val="clear" w:color="auto" w:fill="auto"/>
            <w:tcMar>
              <w:top w:w="15" w:type="dxa"/>
              <w:left w:w="15" w:type="dxa"/>
              <w:bottom w:w="0" w:type="dxa"/>
              <w:right w:w="15" w:type="dxa"/>
            </w:tcMar>
            <w:vAlign w:val="center"/>
            <w:hideMark/>
          </w:tcPr>
          <w:p w14:paraId="60A3985D" w14:textId="77777777" w:rsidR="009C1F9F" w:rsidRPr="00FF4346" w:rsidRDefault="009C1F9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Ajuste de Marcação a Mercado</w:t>
            </w:r>
          </w:p>
        </w:tc>
      </w:tr>
      <w:tr w:rsidR="009C1F9F" w:rsidRPr="00D35B73" w14:paraId="508F9DE1" w14:textId="77777777" w:rsidTr="008F3E16">
        <w:trPr>
          <w:trHeight w:val="244"/>
        </w:trPr>
        <w:tc>
          <w:tcPr>
            <w:tcW w:w="1751" w:type="pct"/>
            <w:gridSpan w:val="2"/>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021D323A" w14:textId="1817D2C3" w:rsidR="009C1F9F" w:rsidRPr="00FF4346" w:rsidRDefault="009C1F9F">
            <w:pPr>
              <w:rPr>
                <w:rFonts w:ascii="CAIXA Std Book" w:hAnsi="CAIXA Std Book" w:cs="Calibri"/>
                <w:b/>
                <w:bCs/>
                <w:color w:val="005CA9"/>
                <w:sz w:val="18"/>
                <w:szCs w:val="18"/>
              </w:rPr>
            </w:pPr>
            <w:r w:rsidRPr="00FF4346">
              <w:rPr>
                <w:rFonts w:ascii="CAIXA Std Book" w:hAnsi="CAIXA Std Book" w:cs="Calibri"/>
                <w:b/>
                <w:bCs/>
                <w:color w:val="005CA9"/>
                <w:sz w:val="18"/>
                <w:szCs w:val="18"/>
              </w:rPr>
              <w:t>Risco de taxa de juros</w:t>
            </w:r>
            <w:r w:rsidR="00E5152C" w:rsidRPr="00FF4346">
              <w:rPr>
                <w:rFonts w:ascii="CAIXA Std Book" w:hAnsi="CAIXA Std Book" w:cs="Calibri"/>
                <w:b/>
                <w:bCs/>
                <w:color w:val="005CA9"/>
                <w:sz w:val="18"/>
                <w:szCs w:val="18"/>
              </w:rPr>
              <w:t xml:space="preserve"> (1)</w:t>
            </w:r>
          </w:p>
        </w:tc>
        <w:tc>
          <w:tcPr>
            <w:tcW w:w="417"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351C815C" w14:textId="77777777" w:rsidR="009C1F9F" w:rsidRPr="00FF4346" w:rsidRDefault="009C1F9F">
            <w:pPr>
              <w:rPr>
                <w:rFonts w:ascii="CAIXA Std Book" w:hAnsi="CAIXA Std Book" w:cs="Calibri"/>
                <w:b/>
                <w:bCs/>
                <w:color w:val="005CA9"/>
                <w:sz w:val="18"/>
                <w:szCs w:val="18"/>
              </w:rPr>
            </w:pPr>
          </w:p>
        </w:tc>
        <w:tc>
          <w:tcPr>
            <w:tcW w:w="347"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219B794C" w14:textId="77777777" w:rsidR="009C1F9F" w:rsidRPr="00616EE1" w:rsidRDefault="009C1F9F">
            <w:pPr>
              <w:rPr>
                <w:rFonts w:ascii="CAIXA Std Book" w:hAnsi="CAIXA Std Book"/>
                <w:color w:val="005CA9"/>
                <w:sz w:val="18"/>
                <w:szCs w:val="18"/>
              </w:rPr>
            </w:pPr>
          </w:p>
        </w:tc>
        <w:tc>
          <w:tcPr>
            <w:tcW w:w="428"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64891F0A" w14:textId="77777777" w:rsidR="009C1F9F" w:rsidRPr="00616EE1" w:rsidRDefault="009C1F9F">
            <w:pPr>
              <w:rPr>
                <w:rFonts w:ascii="CAIXA Std Book" w:hAnsi="CAIXA Std Book"/>
                <w:color w:val="005CA9"/>
                <w:sz w:val="18"/>
                <w:szCs w:val="18"/>
              </w:rPr>
            </w:pPr>
          </w:p>
        </w:tc>
        <w:tc>
          <w:tcPr>
            <w:tcW w:w="414"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7B78B8F1" w14:textId="77777777" w:rsidR="009C1F9F" w:rsidRPr="00616EE1" w:rsidRDefault="009C1F9F">
            <w:pPr>
              <w:rPr>
                <w:rFonts w:ascii="CAIXA Std Book" w:hAnsi="CAIXA Std Book"/>
                <w:color w:val="005CA9"/>
                <w:sz w:val="18"/>
                <w:szCs w:val="18"/>
              </w:rPr>
            </w:pPr>
          </w:p>
        </w:tc>
        <w:tc>
          <w:tcPr>
            <w:tcW w:w="427"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615BEE7C" w14:textId="77777777" w:rsidR="009C1F9F" w:rsidRPr="00616EE1" w:rsidRDefault="009C1F9F">
            <w:pPr>
              <w:rPr>
                <w:rFonts w:ascii="CAIXA Std Book" w:hAnsi="CAIXA Std Book"/>
                <w:color w:val="005CA9"/>
                <w:sz w:val="18"/>
                <w:szCs w:val="18"/>
              </w:rPr>
            </w:pPr>
          </w:p>
        </w:tc>
        <w:tc>
          <w:tcPr>
            <w:tcW w:w="382"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1ED8EB7B" w14:textId="77777777" w:rsidR="009C1F9F" w:rsidRPr="00616EE1" w:rsidRDefault="009C1F9F">
            <w:pPr>
              <w:rPr>
                <w:rFonts w:ascii="CAIXA Std Book" w:hAnsi="CAIXA Std Book"/>
                <w:color w:val="005CA9"/>
                <w:sz w:val="18"/>
                <w:szCs w:val="18"/>
              </w:rPr>
            </w:pPr>
          </w:p>
        </w:tc>
        <w:tc>
          <w:tcPr>
            <w:tcW w:w="421"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02CE9EC3" w14:textId="77777777" w:rsidR="009C1F9F" w:rsidRPr="00616EE1" w:rsidRDefault="009C1F9F">
            <w:pPr>
              <w:rPr>
                <w:rFonts w:ascii="CAIXA Std Book" w:hAnsi="CAIXA Std Book"/>
                <w:color w:val="005CA9"/>
                <w:sz w:val="18"/>
                <w:szCs w:val="18"/>
              </w:rPr>
            </w:pPr>
          </w:p>
        </w:tc>
        <w:tc>
          <w:tcPr>
            <w:tcW w:w="413" w:type="pct"/>
            <w:tcBorders>
              <w:top w:val="single" w:sz="4" w:space="0" w:color="F79646"/>
              <w:left w:val="nil"/>
              <w:bottom w:val="single" w:sz="4" w:space="0" w:color="F79646"/>
              <w:right w:val="nil"/>
            </w:tcBorders>
            <w:shd w:val="clear" w:color="auto" w:fill="auto"/>
            <w:noWrap/>
            <w:tcMar>
              <w:top w:w="15" w:type="dxa"/>
              <w:left w:w="15" w:type="dxa"/>
              <w:bottom w:w="0" w:type="dxa"/>
              <w:right w:w="15" w:type="dxa"/>
            </w:tcMar>
            <w:vAlign w:val="center"/>
            <w:hideMark/>
          </w:tcPr>
          <w:p w14:paraId="4BAD407B" w14:textId="77777777" w:rsidR="009C1F9F" w:rsidRPr="00616EE1" w:rsidRDefault="009C1F9F">
            <w:pPr>
              <w:rPr>
                <w:rFonts w:ascii="CAIXA Std Book" w:hAnsi="CAIXA Std Book"/>
                <w:color w:val="005CA9"/>
                <w:sz w:val="18"/>
                <w:szCs w:val="18"/>
              </w:rPr>
            </w:pPr>
          </w:p>
        </w:tc>
      </w:tr>
      <w:tr w:rsidR="005A7C9D" w:rsidRPr="00D35B73" w14:paraId="2469C880" w14:textId="77777777" w:rsidTr="008F3E16">
        <w:trPr>
          <w:trHeight w:val="244"/>
        </w:trPr>
        <w:tc>
          <w:tcPr>
            <w:tcW w:w="1070" w:type="pct"/>
            <w:tcBorders>
              <w:top w:val="single" w:sz="4" w:space="0" w:color="F79646"/>
              <w:left w:val="nil"/>
              <w:right w:val="nil"/>
            </w:tcBorders>
            <w:shd w:val="clear" w:color="auto" w:fill="auto"/>
            <w:tcMar>
              <w:top w:w="15" w:type="dxa"/>
              <w:left w:w="225" w:type="dxa"/>
              <w:bottom w:w="0" w:type="dxa"/>
              <w:right w:w="15" w:type="dxa"/>
            </w:tcMar>
            <w:vAlign w:val="center"/>
            <w:hideMark/>
          </w:tcPr>
          <w:p w14:paraId="67FBAD50" w14:textId="1E4CFCC1" w:rsidR="005A7C9D" w:rsidRPr="00FF4346" w:rsidRDefault="005A7C9D" w:rsidP="005A7C9D">
            <w:pPr>
              <w:ind w:firstLineChars="100" w:firstLine="180"/>
              <w:rPr>
                <w:rFonts w:ascii="CAIXA Std Book" w:hAnsi="CAIXA Std Book" w:cs="Calibri"/>
                <w:color w:val="005CA9"/>
                <w:sz w:val="18"/>
                <w:szCs w:val="18"/>
              </w:rPr>
            </w:pPr>
            <w:r w:rsidRPr="00FF4346">
              <w:rPr>
                <w:rFonts w:ascii="CAIXA Std Book" w:hAnsi="CAIXA Std Book" w:cs="Calibri"/>
                <w:color w:val="005CA9"/>
                <w:sz w:val="18"/>
                <w:szCs w:val="18"/>
              </w:rPr>
              <w:t>Hedge da carteira de crédito</w:t>
            </w:r>
          </w:p>
        </w:tc>
        <w:tc>
          <w:tcPr>
            <w:tcW w:w="681" w:type="pct"/>
            <w:tcBorders>
              <w:top w:val="single" w:sz="4" w:space="0" w:color="F79646"/>
              <w:left w:val="nil"/>
              <w:right w:val="nil"/>
            </w:tcBorders>
            <w:shd w:val="clear" w:color="auto" w:fill="auto"/>
            <w:vAlign w:val="center"/>
          </w:tcPr>
          <w:p w14:paraId="30A8A07F" w14:textId="6560C1D3" w:rsidR="005A7C9D" w:rsidRPr="00FF4346" w:rsidRDefault="005A7C9D" w:rsidP="005A7C9D">
            <w:pPr>
              <w:ind w:firstLineChars="100" w:firstLine="180"/>
              <w:rPr>
                <w:rFonts w:ascii="CAIXA Std Book" w:hAnsi="CAIXA Std Book" w:cs="Calibri"/>
                <w:color w:val="005CA9"/>
                <w:sz w:val="18"/>
                <w:szCs w:val="18"/>
              </w:rPr>
            </w:pPr>
            <w:r w:rsidRPr="00FF4346">
              <w:rPr>
                <w:rFonts w:ascii="CAIXA Std Book" w:hAnsi="CAIXA Std Book" w:cs="Calibri"/>
                <w:color w:val="005CA9"/>
                <w:sz w:val="18"/>
                <w:szCs w:val="18"/>
              </w:rPr>
              <w:t>Contrato futuro (2)</w:t>
            </w:r>
          </w:p>
        </w:tc>
        <w:tc>
          <w:tcPr>
            <w:tcW w:w="417" w:type="pct"/>
            <w:tcBorders>
              <w:top w:val="single" w:sz="4" w:space="0" w:color="F79646"/>
              <w:left w:val="nil"/>
              <w:right w:val="nil"/>
            </w:tcBorders>
            <w:shd w:val="clear" w:color="auto" w:fill="auto"/>
            <w:noWrap/>
            <w:tcMar>
              <w:top w:w="15" w:type="dxa"/>
              <w:left w:w="15" w:type="dxa"/>
              <w:bottom w:w="0" w:type="dxa"/>
              <w:right w:w="15" w:type="dxa"/>
            </w:tcMar>
            <w:vAlign w:val="center"/>
          </w:tcPr>
          <w:p w14:paraId="50220738" w14:textId="34147990"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23.007.798</w:t>
            </w:r>
          </w:p>
        </w:tc>
        <w:tc>
          <w:tcPr>
            <w:tcW w:w="347" w:type="pct"/>
            <w:tcBorders>
              <w:top w:val="single" w:sz="4" w:space="0" w:color="F79646"/>
              <w:left w:val="nil"/>
              <w:right w:val="nil"/>
            </w:tcBorders>
            <w:shd w:val="clear" w:color="auto" w:fill="auto"/>
            <w:noWrap/>
            <w:tcMar>
              <w:top w:w="15" w:type="dxa"/>
              <w:left w:w="15" w:type="dxa"/>
              <w:bottom w:w="0" w:type="dxa"/>
              <w:right w:w="15" w:type="dxa"/>
            </w:tcMar>
            <w:vAlign w:val="center"/>
          </w:tcPr>
          <w:p w14:paraId="447BDC70" w14:textId="7B3D7033"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10.494</w:t>
            </w:r>
          </w:p>
        </w:tc>
        <w:tc>
          <w:tcPr>
            <w:tcW w:w="428" w:type="pct"/>
            <w:tcBorders>
              <w:top w:val="single" w:sz="4" w:space="0" w:color="F79646"/>
              <w:left w:val="nil"/>
              <w:right w:val="nil"/>
            </w:tcBorders>
            <w:shd w:val="clear" w:color="auto" w:fill="auto"/>
            <w:noWrap/>
            <w:tcMar>
              <w:top w:w="15" w:type="dxa"/>
              <w:left w:w="15" w:type="dxa"/>
              <w:bottom w:w="0" w:type="dxa"/>
              <w:right w:w="15" w:type="dxa"/>
            </w:tcMar>
            <w:vAlign w:val="center"/>
          </w:tcPr>
          <w:p w14:paraId="5EC4A082" w14:textId="4B6112D1"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22.957.615</w:t>
            </w:r>
          </w:p>
        </w:tc>
        <w:tc>
          <w:tcPr>
            <w:tcW w:w="414" w:type="pct"/>
            <w:tcBorders>
              <w:top w:val="single" w:sz="4" w:space="0" w:color="F79646"/>
              <w:left w:val="nil"/>
              <w:right w:val="nil"/>
            </w:tcBorders>
            <w:shd w:val="clear" w:color="auto" w:fill="auto"/>
            <w:noWrap/>
            <w:tcMar>
              <w:top w:w="15" w:type="dxa"/>
              <w:left w:w="15" w:type="dxa"/>
              <w:bottom w:w="0" w:type="dxa"/>
              <w:right w:w="15" w:type="dxa"/>
            </w:tcMar>
            <w:vAlign w:val="center"/>
          </w:tcPr>
          <w:p w14:paraId="384E83AD" w14:textId="3FF9D12C"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(9.</w:t>
            </w:r>
            <w:r>
              <w:rPr>
                <w:rFonts w:ascii="CAIXA Std Book" w:hAnsi="CAIXA Std Book" w:cs="Arial"/>
                <w:color w:val="005CA9"/>
                <w:sz w:val="18"/>
                <w:szCs w:val="18"/>
              </w:rPr>
              <w:t>798</w:t>
            </w:r>
            <w:r>
              <w:rPr>
                <w:rFonts w:ascii="CAIXA Std Book" w:hAnsi="CAIXA Std Book" w:cs="Calibri"/>
                <w:color w:val="005CA9"/>
                <w:sz w:val="18"/>
                <w:szCs w:val="18"/>
              </w:rPr>
              <w:t>)</w:t>
            </w:r>
          </w:p>
        </w:tc>
        <w:tc>
          <w:tcPr>
            <w:tcW w:w="427" w:type="pct"/>
            <w:tcBorders>
              <w:top w:val="single" w:sz="4" w:space="0" w:color="F79646"/>
              <w:left w:val="nil"/>
              <w:right w:val="nil"/>
            </w:tcBorders>
            <w:shd w:val="clear" w:color="auto" w:fill="auto"/>
            <w:noWrap/>
            <w:tcMar>
              <w:top w:w="15" w:type="dxa"/>
              <w:left w:w="15" w:type="dxa"/>
              <w:bottom w:w="0" w:type="dxa"/>
              <w:right w:w="15" w:type="dxa"/>
            </w:tcMar>
            <w:vAlign w:val="center"/>
            <w:hideMark/>
          </w:tcPr>
          <w:p w14:paraId="371E65A1" w14:textId="5D1C801A"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18.360.702</w:t>
            </w:r>
          </w:p>
        </w:tc>
        <w:tc>
          <w:tcPr>
            <w:tcW w:w="382" w:type="pct"/>
            <w:tcBorders>
              <w:top w:val="single" w:sz="4" w:space="0" w:color="F79646"/>
              <w:left w:val="nil"/>
              <w:right w:val="nil"/>
            </w:tcBorders>
            <w:shd w:val="clear" w:color="auto" w:fill="auto"/>
            <w:noWrap/>
            <w:tcMar>
              <w:top w:w="15" w:type="dxa"/>
              <w:left w:w="15" w:type="dxa"/>
              <w:bottom w:w="0" w:type="dxa"/>
              <w:right w:w="15" w:type="dxa"/>
            </w:tcMar>
            <w:vAlign w:val="center"/>
            <w:hideMark/>
          </w:tcPr>
          <w:p w14:paraId="242DACE7" w14:textId="1233E786"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(77.309)</w:t>
            </w:r>
          </w:p>
        </w:tc>
        <w:tc>
          <w:tcPr>
            <w:tcW w:w="421" w:type="pct"/>
            <w:tcBorders>
              <w:top w:val="single" w:sz="4" w:space="0" w:color="F79646"/>
              <w:left w:val="nil"/>
              <w:right w:val="nil"/>
            </w:tcBorders>
            <w:shd w:val="clear" w:color="auto" w:fill="auto"/>
            <w:noWrap/>
            <w:tcMar>
              <w:top w:w="15" w:type="dxa"/>
              <w:left w:w="15" w:type="dxa"/>
              <w:bottom w:w="0" w:type="dxa"/>
              <w:right w:w="15" w:type="dxa"/>
            </w:tcMar>
            <w:vAlign w:val="center"/>
            <w:hideMark/>
          </w:tcPr>
          <w:p w14:paraId="074EE47A" w14:textId="4883DC60"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15.982.990</w:t>
            </w:r>
          </w:p>
        </w:tc>
        <w:tc>
          <w:tcPr>
            <w:tcW w:w="413" w:type="pct"/>
            <w:tcBorders>
              <w:top w:val="single" w:sz="4" w:space="0" w:color="F79646"/>
              <w:left w:val="nil"/>
              <w:right w:val="nil"/>
            </w:tcBorders>
            <w:shd w:val="clear" w:color="auto" w:fill="auto"/>
            <w:noWrap/>
            <w:tcMar>
              <w:top w:w="15" w:type="dxa"/>
              <w:left w:w="15" w:type="dxa"/>
              <w:bottom w:w="0" w:type="dxa"/>
              <w:right w:w="15" w:type="dxa"/>
            </w:tcMar>
            <w:vAlign w:val="center"/>
            <w:hideMark/>
          </w:tcPr>
          <w:p w14:paraId="789FC587" w14:textId="6D923302"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80.116</w:t>
            </w:r>
          </w:p>
        </w:tc>
      </w:tr>
      <w:tr w:rsidR="005A7C9D" w:rsidRPr="00D35B73" w14:paraId="032447D9" w14:textId="77777777" w:rsidTr="008F3E16">
        <w:trPr>
          <w:trHeight w:val="244"/>
        </w:trPr>
        <w:tc>
          <w:tcPr>
            <w:tcW w:w="1070" w:type="pct"/>
            <w:tcBorders>
              <w:top w:val="nil"/>
              <w:left w:val="nil"/>
              <w:bottom w:val="single" w:sz="4" w:space="0" w:color="F79646"/>
              <w:right w:val="nil"/>
            </w:tcBorders>
            <w:shd w:val="clear" w:color="auto" w:fill="auto"/>
            <w:noWrap/>
            <w:tcMar>
              <w:top w:w="15" w:type="dxa"/>
              <w:left w:w="225" w:type="dxa"/>
              <w:bottom w:w="0" w:type="dxa"/>
              <w:right w:w="15" w:type="dxa"/>
            </w:tcMar>
            <w:vAlign w:val="center"/>
            <w:hideMark/>
          </w:tcPr>
          <w:p w14:paraId="157B03B6" w14:textId="4FC9E5F0" w:rsidR="005A7C9D" w:rsidRPr="00FF4346" w:rsidRDefault="005A7C9D" w:rsidP="005A7C9D">
            <w:pPr>
              <w:ind w:firstLineChars="100" w:firstLine="180"/>
              <w:rPr>
                <w:rFonts w:ascii="CAIXA Std Book" w:hAnsi="CAIXA Std Book" w:cs="Calibri"/>
                <w:color w:val="005CA9"/>
                <w:sz w:val="18"/>
                <w:szCs w:val="18"/>
              </w:rPr>
            </w:pPr>
            <w:r w:rsidRPr="00FF4346">
              <w:rPr>
                <w:rFonts w:ascii="CAIXA Std Book" w:hAnsi="CAIXA Std Book" w:cs="Calibri"/>
                <w:color w:val="005CA9"/>
                <w:sz w:val="18"/>
                <w:szCs w:val="18"/>
              </w:rPr>
              <w:t>Hedge de letras financeiras</w:t>
            </w:r>
          </w:p>
        </w:tc>
        <w:tc>
          <w:tcPr>
            <w:tcW w:w="681" w:type="pct"/>
            <w:tcBorders>
              <w:top w:val="nil"/>
              <w:left w:val="nil"/>
              <w:bottom w:val="single" w:sz="4" w:space="0" w:color="F79646"/>
              <w:right w:val="nil"/>
            </w:tcBorders>
            <w:shd w:val="clear" w:color="auto" w:fill="auto"/>
            <w:vAlign w:val="center"/>
          </w:tcPr>
          <w:p w14:paraId="093DA51A" w14:textId="1AE4F070" w:rsidR="005A7C9D" w:rsidRPr="00FF4346" w:rsidRDefault="005A7C9D" w:rsidP="005A7C9D">
            <w:pPr>
              <w:ind w:firstLineChars="100" w:firstLine="180"/>
              <w:rPr>
                <w:rFonts w:ascii="CAIXA Std Book" w:hAnsi="CAIXA Std Book" w:cs="Calibri"/>
                <w:color w:val="005CA9"/>
                <w:sz w:val="18"/>
                <w:szCs w:val="18"/>
              </w:rPr>
            </w:pPr>
            <w:r w:rsidRPr="00FF4346">
              <w:rPr>
                <w:rFonts w:ascii="CAIXA Std Book" w:hAnsi="CAIXA Std Book" w:cs="Calibri"/>
                <w:i/>
                <w:iCs/>
                <w:color w:val="005CA9"/>
                <w:sz w:val="18"/>
                <w:szCs w:val="18"/>
              </w:rPr>
              <w:t>Swap</w:t>
            </w:r>
            <w:r w:rsidRPr="00FF4346">
              <w:rPr>
                <w:rFonts w:ascii="CAIXA Std Book" w:hAnsi="CAIXA Std Book" w:cs="Calibri"/>
                <w:color w:val="005CA9"/>
                <w:sz w:val="18"/>
                <w:szCs w:val="18"/>
              </w:rPr>
              <w:t xml:space="preserve"> (3)</w:t>
            </w:r>
          </w:p>
        </w:tc>
        <w:tc>
          <w:tcPr>
            <w:tcW w:w="417" w:type="pct"/>
            <w:tcBorders>
              <w:top w:val="nil"/>
              <w:left w:val="nil"/>
              <w:bottom w:val="single" w:sz="4" w:space="0" w:color="F79646"/>
              <w:right w:val="nil"/>
            </w:tcBorders>
            <w:shd w:val="clear" w:color="auto" w:fill="auto"/>
            <w:noWrap/>
            <w:tcMar>
              <w:top w:w="15" w:type="dxa"/>
              <w:left w:w="15" w:type="dxa"/>
              <w:bottom w:w="0" w:type="dxa"/>
              <w:right w:w="15" w:type="dxa"/>
            </w:tcMar>
            <w:vAlign w:val="center"/>
          </w:tcPr>
          <w:p w14:paraId="1CF39EAE" w14:textId="5557D85C"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210.650</w:t>
            </w:r>
          </w:p>
        </w:tc>
        <w:tc>
          <w:tcPr>
            <w:tcW w:w="347" w:type="pct"/>
            <w:tcBorders>
              <w:top w:val="nil"/>
              <w:left w:val="nil"/>
              <w:bottom w:val="single" w:sz="4" w:space="0" w:color="F79646"/>
              <w:right w:val="nil"/>
            </w:tcBorders>
            <w:shd w:val="clear" w:color="auto" w:fill="auto"/>
            <w:noWrap/>
            <w:tcMar>
              <w:top w:w="15" w:type="dxa"/>
              <w:left w:w="15" w:type="dxa"/>
              <w:bottom w:w="0" w:type="dxa"/>
              <w:right w:w="15" w:type="dxa"/>
            </w:tcMar>
            <w:vAlign w:val="center"/>
          </w:tcPr>
          <w:p w14:paraId="491B3095" w14:textId="7C206C6D"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499.704</w:t>
            </w:r>
          </w:p>
        </w:tc>
        <w:tc>
          <w:tcPr>
            <w:tcW w:w="428" w:type="pct"/>
            <w:tcBorders>
              <w:top w:val="nil"/>
              <w:left w:val="nil"/>
              <w:bottom w:val="single" w:sz="4" w:space="0" w:color="F79646"/>
              <w:right w:val="nil"/>
            </w:tcBorders>
            <w:shd w:val="clear" w:color="auto" w:fill="auto"/>
            <w:noWrap/>
            <w:tcMar>
              <w:top w:w="15" w:type="dxa"/>
              <w:left w:w="15" w:type="dxa"/>
              <w:bottom w:w="0" w:type="dxa"/>
              <w:right w:w="15" w:type="dxa"/>
            </w:tcMar>
            <w:vAlign w:val="center"/>
          </w:tcPr>
          <w:p w14:paraId="3323A6E3" w14:textId="665B9BED"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710.354</w:t>
            </w:r>
          </w:p>
        </w:tc>
        <w:tc>
          <w:tcPr>
            <w:tcW w:w="414" w:type="pct"/>
            <w:tcBorders>
              <w:top w:val="nil"/>
              <w:left w:val="nil"/>
              <w:bottom w:val="single" w:sz="4" w:space="0" w:color="F79646"/>
              <w:right w:val="nil"/>
            </w:tcBorders>
            <w:shd w:val="clear" w:color="auto" w:fill="auto"/>
            <w:noWrap/>
            <w:tcMar>
              <w:top w:w="15" w:type="dxa"/>
              <w:left w:w="15" w:type="dxa"/>
              <w:bottom w:w="0" w:type="dxa"/>
              <w:right w:w="15" w:type="dxa"/>
            </w:tcMar>
            <w:vAlign w:val="center"/>
          </w:tcPr>
          <w:p w14:paraId="79C6155F" w14:textId="12E9E1FF" w:rsidR="005A7C9D" w:rsidRPr="00FF4346" w:rsidRDefault="005A7C9D" w:rsidP="005A7C9D">
            <w:pPr>
              <w:jc w:val="right"/>
              <w:rPr>
                <w:rFonts w:ascii="CAIXA Std Book" w:hAnsi="CAIXA Std Book" w:cs="Calibri"/>
                <w:color w:val="005CA9"/>
                <w:sz w:val="18"/>
                <w:szCs w:val="18"/>
              </w:rPr>
            </w:pPr>
            <w:r>
              <w:rPr>
                <w:rFonts w:ascii="CAIXA Std Book" w:hAnsi="CAIXA Std Book" w:cs="Calibri"/>
                <w:color w:val="005CA9"/>
                <w:sz w:val="18"/>
                <w:szCs w:val="18"/>
              </w:rPr>
              <w:t>(499.704)</w:t>
            </w:r>
          </w:p>
        </w:tc>
        <w:tc>
          <w:tcPr>
            <w:tcW w:w="427" w:type="pct"/>
            <w:tcBorders>
              <w:top w:val="nil"/>
              <w:left w:val="nil"/>
              <w:bottom w:val="single" w:sz="4" w:space="0" w:color="F79646"/>
              <w:right w:val="nil"/>
            </w:tcBorders>
            <w:shd w:val="clear" w:color="auto" w:fill="auto"/>
            <w:noWrap/>
            <w:tcMar>
              <w:top w:w="15" w:type="dxa"/>
              <w:left w:w="15" w:type="dxa"/>
              <w:bottom w:w="0" w:type="dxa"/>
              <w:right w:w="15" w:type="dxa"/>
            </w:tcMar>
            <w:vAlign w:val="center"/>
            <w:hideMark/>
          </w:tcPr>
          <w:p w14:paraId="3F2EE595" w14:textId="6D425D42"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210.650</w:t>
            </w:r>
          </w:p>
        </w:tc>
        <w:tc>
          <w:tcPr>
            <w:tcW w:w="382" w:type="pct"/>
            <w:tcBorders>
              <w:top w:val="nil"/>
              <w:left w:val="nil"/>
              <w:bottom w:val="single" w:sz="4" w:space="0" w:color="F79646"/>
              <w:right w:val="nil"/>
            </w:tcBorders>
            <w:shd w:val="clear" w:color="auto" w:fill="auto"/>
            <w:noWrap/>
            <w:tcMar>
              <w:top w:w="15" w:type="dxa"/>
              <w:left w:w="15" w:type="dxa"/>
              <w:bottom w:w="0" w:type="dxa"/>
              <w:right w:w="15" w:type="dxa"/>
            </w:tcMar>
            <w:vAlign w:val="center"/>
            <w:hideMark/>
          </w:tcPr>
          <w:p w14:paraId="052A5994" w14:textId="7E912277"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482.687</w:t>
            </w:r>
          </w:p>
        </w:tc>
        <w:tc>
          <w:tcPr>
            <w:tcW w:w="421" w:type="pct"/>
            <w:tcBorders>
              <w:top w:val="nil"/>
              <w:left w:val="nil"/>
              <w:bottom w:val="single" w:sz="4" w:space="0" w:color="F79646"/>
              <w:right w:val="nil"/>
            </w:tcBorders>
            <w:shd w:val="clear" w:color="auto" w:fill="auto"/>
            <w:noWrap/>
            <w:tcMar>
              <w:top w:w="15" w:type="dxa"/>
              <w:left w:w="15" w:type="dxa"/>
              <w:bottom w:w="0" w:type="dxa"/>
              <w:right w:w="15" w:type="dxa"/>
            </w:tcMar>
            <w:vAlign w:val="center"/>
            <w:hideMark/>
          </w:tcPr>
          <w:p w14:paraId="44BB2B14" w14:textId="69A6CD8E"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693.337</w:t>
            </w:r>
          </w:p>
        </w:tc>
        <w:tc>
          <w:tcPr>
            <w:tcW w:w="413" w:type="pct"/>
            <w:tcBorders>
              <w:top w:val="nil"/>
              <w:left w:val="nil"/>
              <w:bottom w:val="single" w:sz="4" w:space="0" w:color="F79646"/>
              <w:right w:val="nil"/>
            </w:tcBorders>
            <w:shd w:val="clear" w:color="auto" w:fill="auto"/>
            <w:noWrap/>
            <w:tcMar>
              <w:top w:w="15" w:type="dxa"/>
              <w:left w:w="15" w:type="dxa"/>
              <w:bottom w:w="0" w:type="dxa"/>
              <w:right w:w="15" w:type="dxa"/>
            </w:tcMar>
            <w:vAlign w:val="center"/>
            <w:hideMark/>
          </w:tcPr>
          <w:p w14:paraId="5B706D77" w14:textId="1531A855" w:rsidR="005A7C9D" w:rsidRPr="00FF4346" w:rsidRDefault="005A7C9D" w:rsidP="005A7C9D">
            <w:pPr>
              <w:jc w:val="right"/>
              <w:rPr>
                <w:rFonts w:ascii="CAIXA Std Book" w:hAnsi="CAIXA Std Book" w:cs="Calibri"/>
                <w:color w:val="005CA9"/>
                <w:sz w:val="18"/>
                <w:szCs w:val="18"/>
              </w:rPr>
            </w:pPr>
            <w:r w:rsidRPr="00FF4346">
              <w:rPr>
                <w:rFonts w:ascii="CAIXA Std Book" w:hAnsi="CAIXA Std Book" w:cs="Calibri"/>
                <w:color w:val="005CA9"/>
                <w:sz w:val="18"/>
                <w:szCs w:val="18"/>
              </w:rPr>
              <w:t>(482.687)</w:t>
            </w:r>
          </w:p>
        </w:tc>
      </w:tr>
    </w:tbl>
    <w:p w14:paraId="25866739" w14:textId="4BE18881" w:rsidR="001D3ABB" w:rsidRPr="009C5A2E" w:rsidRDefault="001D3ABB" w:rsidP="00B37B40">
      <w:pPr>
        <w:pStyle w:val="PargrafodaLista"/>
        <w:numPr>
          <w:ilvl w:val="0"/>
          <w:numId w:val="23"/>
        </w:numPr>
        <w:tabs>
          <w:tab w:val="left" w:pos="284"/>
          <w:tab w:val="left" w:pos="5529"/>
        </w:tabs>
        <w:spacing w:after="240"/>
        <w:jc w:val="both"/>
        <w:rPr>
          <w:rFonts w:ascii="CAIXA Std Book" w:hAnsi="CAIXA Std Book"/>
          <w:color w:val="005CA9"/>
          <w:sz w:val="16"/>
          <w:szCs w:val="16"/>
        </w:rPr>
      </w:pPr>
      <w:r w:rsidRPr="009C5A2E">
        <w:rPr>
          <w:rFonts w:ascii="CAIXA Std Book" w:hAnsi="CAIXA Std Book"/>
          <w:color w:val="005CA9"/>
          <w:sz w:val="16"/>
          <w:szCs w:val="16"/>
        </w:rPr>
        <w:t xml:space="preserve">A efetividade verificada na carteira de hedge encontra-se em conformidade com o estabelecido na Circular </w:t>
      </w:r>
      <w:r w:rsidR="004575E7" w:rsidRPr="009C5A2E">
        <w:rPr>
          <w:rFonts w:ascii="CAIXA Std Book" w:hAnsi="CAIXA Std Book"/>
          <w:color w:val="005CA9"/>
          <w:sz w:val="16"/>
          <w:szCs w:val="16"/>
        </w:rPr>
        <w:t xml:space="preserve">BCB </w:t>
      </w:r>
      <w:r w:rsidRPr="009C5A2E">
        <w:rPr>
          <w:rFonts w:ascii="CAIXA Std Book" w:hAnsi="CAIXA Std Book"/>
          <w:color w:val="005CA9"/>
          <w:sz w:val="16"/>
          <w:szCs w:val="16"/>
        </w:rPr>
        <w:t>nº 3.082/02.</w:t>
      </w:r>
    </w:p>
    <w:p w14:paraId="413615FC" w14:textId="195D25F8" w:rsidR="001D3ABB" w:rsidRPr="009C5A2E" w:rsidRDefault="001D3ABB" w:rsidP="00B37B40">
      <w:pPr>
        <w:pStyle w:val="PargrafodaLista"/>
        <w:numPr>
          <w:ilvl w:val="0"/>
          <w:numId w:val="23"/>
        </w:numPr>
        <w:tabs>
          <w:tab w:val="left" w:pos="284"/>
          <w:tab w:val="left" w:pos="5529"/>
        </w:tabs>
        <w:spacing w:after="240"/>
        <w:jc w:val="both"/>
        <w:rPr>
          <w:rFonts w:ascii="CAIXA Std Book" w:hAnsi="CAIXA Std Book"/>
          <w:color w:val="005CA9"/>
          <w:sz w:val="16"/>
          <w:szCs w:val="16"/>
        </w:rPr>
      </w:pPr>
      <w:r w:rsidRPr="009C5A2E">
        <w:rPr>
          <w:rFonts w:ascii="CAIXA Std Book" w:hAnsi="CAIXA Std Book"/>
          <w:color w:val="005CA9"/>
          <w:sz w:val="16"/>
          <w:szCs w:val="16"/>
        </w:rPr>
        <w:t>Instrumento liquidado em D+1.</w:t>
      </w:r>
    </w:p>
    <w:p w14:paraId="4422BE83" w14:textId="77777777" w:rsidR="001D3ABB" w:rsidRPr="009C5A2E" w:rsidRDefault="001D3ABB" w:rsidP="00B37B40">
      <w:pPr>
        <w:pStyle w:val="PargrafodaLista"/>
        <w:numPr>
          <w:ilvl w:val="0"/>
          <w:numId w:val="23"/>
        </w:numPr>
        <w:tabs>
          <w:tab w:val="left" w:pos="284"/>
          <w:tab w:val="left" w:pos="5529"/>
        </w:tabs>
        <w:spacing w:after="240"/>
        <w:jc w:val="both"/>
        <w:rPr>
          <w:rFonts w:ascii="CAIXA Std Book" w:hAnsi="CAIXA Std Book"/>
          <w:color w:val="005CA9"/>
          <w:sz w:val="16"/>
          <w:szCs w:val="16"/>
        </w:rPr>
      </w:pPr>
      <w:r w:rsidRPr="009C5A2E">
        <w:rPr>
          <w:rFonts w:ascii="CAIXA Std Book" w:hAnsi="CAIXA Std Book"/>
          <w:color w:val="005CA9"/>
          <w:sz w:val="16"/>
          <w:szCs w:val="16"/>
        </w:rPr>
        <w:t>Ajuste a receber ou a pagar do instrumento é registrado na rubrica instrumentos financeiros derivativos.</w:t>
      </w:r>
    </w:p>
    <w:p w14:paraId="347429A0" w14:textId="65A89DA8" w:rsidR="00687883" w:rsidRDefault="001E31B8" w:rsidP="0009270D">
      <w:pPr>
        <w:tabs>
          <w:tab w:val="left" w:pos="567"/>
          <w:tab w:val="left" w:pos="5529"/>
        </w:tabs>
        <w:spacing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(a.</w:t>
      </w:r>
      <w:r w:rsidR="006F5AD2" w:rsidRPr="00FF4346">
        <w:rPr>
          <w:rFonts w:ascii="CAIXA Std Book" w:hAnsi="CAIXA Std Book"/>
          <w:b/>
          <w:color w:val="005CA9"/>
          <w:sz w:val="20"/>
          <w:szCs w:val="20"/>
        </w:rPr>
        <w:t>2</w:t>
      </w:r>
      <w:r w:rsidRPr="00FF4346">
        <w:rPr>
          <w:rFonts w:ascii="CAIXA Std Book" w:hAnsi="CAIXA Std Book"/>
          <w:b/>
          <w:color w:val="005CA9"/>
          <w:sz w:val="20"/>
          <w:szCs w:val="20"/>
        </w:rPr>
        <w:t>)</w:t>
      </w:r>
      <w:r w:rsidR="0000246F" w:rsidRPr="00FF4346">
        <w:rPr>
          <w:rFonts w:ascii="CAIXA Std Book" w:hAnsi="CAIXA Std Book"/>
          <w:b/>
          <w:color w:val="005CA9"/>
          <w:sz w:val="20"/>
          <w:szCs w:val="20"/>
        </w:rPr>
        <w:tab/>
        <w:t>Estrutura temporal do hedge</w:t>
      </w:r>
    </w:p>
    <w:tbl>
      <w:tblPr>
        <w:tblW w:w="5000" w:type="pct"/>
        <w:tblCellMar>
          <w:left w:w="70" w:type="dxa"/>
          <w:right w:w="70" w:type="dxa"/>
        </w:tblCellMar>
        <w:tblLook w:val="04A0" w:firstRow="1" w:lastRow="0" w:firstColumn="1" w:lastColumn="0" w:noHBand="0" w:noVBand="1"/>
      </w:tblPr>
      <w:tblGrid>
        <w:gridCol w:w="3236"/>
        <w:gridCol w:w="3080"/>
        <w:gridCol w:w="3080"/>
        <w:gridCol w:w="2535"/>
        <w:gridCol w:w="2640"/>
      </w:tblGrid>
      <w:tr w:rsidR="00CD3D2C" w:rsidRPr="00CD3D2C" w14:paraId="2A7988EE" w14:textId="77777777" w:rsidTr="008F3E16">
        <w:trPr>
          <w:trHeight w:val="244"/>
        </w:trPr>
        <w:tc>
          <w:tcPr>
            <w:tcW w:w="5000" w:type="pct"/>
            <w:gridSpan w:val="5"/>
            <w:tcBorders>
              <w:top w:val="single" w:sz="4" w:space="0" w:color="F79646" w:themeColor="accent6"/>
              <w:left w:val="nil"/>
              <w:bottom w:val="single" w:sz="4" w:space="0" w:color="F79646" w:themeColor="accent6"/>
              <w:right w:val="nil"/>
            </w:tcBorders>
            <w:shd w:val="clear" w:color="auto" w:fill="auto"/>
            <w:vAlign w:val="center"/>
            <w:hideMark/>
          </w:tcPr>
          <w:p w14:paraId="4B202007"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INDIVIDUAL / CONSOLIDADO</w:t>
            </w:r>
          </w:p>
        </w:tc>
      </w:tr>
      <w:tr w:rsidR="00CD3D2C" w:rsidRPr="00CD3D2C" w14:paraId="41390D40" w14:textId="77777777" w:rsidTr="008F3E16">
        <w:trPr>
          <w:trHeight w:val="244"/>
        </w:trPr>
        <w:tc>
          <w:tcPr>
            <w:tcW w:w="1110" w:type="pct"/>
            <w:vMerge w:val="restart"/>
            <w:tcBorders>
              <w:top w:val="single" w:sz="4" w:space="0" w:color="F79646" w:themeColor="accent6"/>
              <w:left w:val="nil"/>
              <w:bottom w:val="single" w:sz="4" w:space="0" w:color="F79646" w:themeColor="accent6"/>
              <w:right w:val="nil"/>
            </w:tcBorders>
            <w:shd w:val="clear" w:color="auto" w:fill="auto"/>
            <w:vAlign w:val="center"/>
            <w:hideMark/>
          </w:tcPr>
          <w:p w14:paraId="1386EAE1"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Vencimento</w:t>
            </w:r>
          </w:p>
        </w:tc>
        <w:tc>
          <w:tcPr>
            <w:tcW w:w="2114" w:type="pct"/>
            <w:gridSpan w:val="2"/>
            <w:tcBorders>
              <w:top w:val="single" w:sz="4" w:space="0" w:color="F79646" w:themeColor="accent6"/>
              <w:left w:val="nil"/>
              <w:bottom w:val="single" w:sz="4" w:space="0" w:color="F79646" w:themeColor="accent6"/>
              <w:right w:val="nil"/>
            </w:tcBorders>
            <w:shd w:val="clear" w:color="auto" w:fill="auto"/>
            <w:vAlign w:val="center"/>
            <w:hideMark/>
          </w:tcPr>
          <w:p w14:paraId="39ED7A1A" w14:textId="77777777" w:rsidR="00CD3D2C" w:rsidRPr="00CD3D2C" w:rsidRDefault="00CD3D2C" w:rsidP="00CD3D2C">
            <w:pPr>
              <w:jc w:val="center"/>
              <w:rPr>
                <w:rFonts w:ascii="CAIXA Std Book" w:eastAsia="Times New Roman" w:hAnsi="CAIXA Std Book" w:cs="Arial"/>
                <w:b/>
                <w:bCs/>
                <w:i/>
                <w:iCs/>
                <w:color w:val="005CA9"/>
                <w:sz w:val="18"/>
                <w:szCs w:val="18"/>
              </w:rPr>
            </w:pPr>
            <w:r w:rsidRPr="00CD3D2C">
              <w:rPr>
                <w:rFonts w:ascii="CAIXA Std Book" w:eastAsia="Times New Roman" w:hAnsi="CAIXA Std Book" w:cs="Arial"/>
                <w:b/>
                <w:bCs/>
                <w:i/>
                <w:iCs/>
                <w:color w:val="005CA9"/>
                <w:sz w:val="18"/>
                <w:szCs w:val="18"/>
              </w:rPr>
              <w:t>Hedge da Carteira Bancária</w:t>
            </w:r>
          </w:p>
        </w:tc>
        <w:tc>
          <w:tcPr>
            <w:tcW w:w="1776" w:type="pct"/>
            <w:gridSpan w:val="2"/>
            <w:tcBorders>
              <w:top w:val="single" w:sz="4" w:space="0" w:color="F79646" w:themeColor="accent6"/>
              <w:left w:val="nil"/>
              <w:bottom w:val="single" w:sz="4" w:space="0" w:color="F79646" w:themeColor="accent6"/>
              <w:right w:val="nil"/>
            </w:tcBorders>
            <w:shd w:val="clear" w:color="auto" w:fill="auto"/>
            <w:vAlign w:val="center"/>
            <w:hideMark/>
          </w:tcPr>
          <w:p w14:paraId="66721268" w14:textId="77777777" w:rsidR="00CD3D2C" w:rsidRPr="00CD3D2C" w:rsidRDefault="00CD3D2C" w:rsidP="00CD3D2C">
            <w:pPr>
              <w:jc w:val="center"/>
              <w:rPr>
                <w:rFonts w:ascii="CAIXA Std Book" w:eastAsia="Times New Roman" w:hAnsi="CAIXA Std Book" w:cs="Arial"/>
                <w:b/>
                <w:bCs/>
                <w:i/>
                <w:iCs/>
                <w:color w:val="005CA9"/>
                <w:sz w:val="18"/>
                <w:szCs w:val="18"/>
              </w:rPr>
            </w:pPr>
            <w:r w:rsidRPr="00CD3D2C">
              <w:rPr>
                <w:rFonts w:ascii="CAIXA Std Book" w:eastAsia="Times New Roman" w:hAnsi="CAIXA Std Book" w:cs="Arial"/>
                <w:b/>
                <w:bCs/>
                <w:i/>
                <w:iCs/>
                <w:color w:val="005CA9"/>
                <w:sz w:val="18"/>
                <w:szCs w:val="18"/>
              </w:rPr>
              <w:t>Hedge de Letras Financeiras</w:t>
            </w:r>
          </w:p>
        </w:tc>
      </w:tr>
      <w:tr w:rsidR="00CD3D2C" w:rsidRPr="00CD3D2C" w14:paraId="300C413E" w14:textId="77777777" w:rsidTr="008F3E16">
        <w:trPr>
          <w:trHeight w:val="244"/>
        </w:trPr>
        <w:tc>
          <w:tcPr>
            <w:tcW w:w="1110" w:type="pct"/>
            <w:vMerge/>
            <w:tcBorders>
              <w:top w:val="single" w:sz="8" w:space="0" w:color="F79646"/>
              <w:left w:val="nil"/>
              <w:bottom w:val="single" w:sz="4" w:space="0" w:color="F79646" w:themeColor="accent6"/>
              <w:right w:val="nil"/>
            </w:tcBorders>
            <w:vAlign w:val="center"/>
            <w:hideMark/>
          </w:tcPr>
          <w:p w14:paraId="44BE388D" w14:textId="77777777" w:rsidR="00CD3D2C" w:rsidRPr="00CD3D2C" w:rsidRDefault="00CD3D2C" w:rsidP="00CD3D2C">
            <w:pPr>
              <w:rPr>
                <w:rFonts w:ascii="CAIXA Std Book" w:eastAsia="Times New Roman" w:hAnsi="CAIXA Std Book" w:cs="Arial"/>
                <w:b/>
                <w:bCs/>
                <w:color w:val="005CA9"/>
                <w:sz w:val="18"/>
                <w:szCs w:val="18"/>
              </w:rPr>
            </w:pPr>
          </w:p>
        </w:tc>
        <w:tc>
          <w:tcPr>
            <w:tcW w:w="1057" w:type="pct"/>
            <w:tcBorders>
              <w:top w:val="single" w:sz="4" w:space="0" w:color="F79646" w:themeColor="accent6"/>
              <w:left w:val="nil"/>
              <w:bottom w:val="single" w:sz="4" w:space="0" w:color="F79646" w:themeColor="accent6"/>
              <w:right w:val="nil"/>
            </w:tcBorders>
            <w:shd w:val="clear" w:color="auto" w:fill="auto"/>
            <w:vAlign w:val="center"/>
            <w:hideMark/>
          </w:tcPr>
          <w:p w14:paraId="508C4D11"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31/03/2024</w:t>
            </w:r>
          </w:p>
        </w:tc>
        <w:tc>
          <w:tcPr>
            <w:tcW w:w="1057" w:type="pct"/>
            <w:tcBorders>
              <w:top w:val="single" w:sz="4" w:space="0" w:color="F79646" w:themeColor="accent6"/>
              <w:left w:val="nil"/>
              <w:bottom w:val="single" w:sz="4" w:space="0" w:color="F79646" w:themeColor="accent6"/>
              <w:right w:val="nil"/>
            </w:tcBorders>
            <w:shd w:val="clear" w:color="auto" w:fill="auto"/>
            <w:vAlign w:val="center"/>
            <w:hideMark/>
          </w:tcPr>
          <w:p w14:paraId="317568D5"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31/12/2023</w:t>
            </w:r>
          </w:p>
        </w:tc>
        <w:tc>
          <w:tcPr>
            <w:tcW w:w="870" w:type="pct"/>
            <w:tcBorders>
              <w:top w:val="single" w:sz="4" w:space="0" w:color="F79646" w:themeColor="accent6"/>
              <w:left w:val="nil"/>
              <w:bottom w:val="single" w:sz="4" w:space="0" w:color="F79646" w:themeColor="accent6"/>
              <w:right w:val="nil"/>
            </w:tcBorders>
            <w:shd w:val="clear" w:color="auto" w:fill="auto"/>
            <w:vAlign w:val="center"/>
            <w:hideMark/>
          </w:tcPr>
          <w:p w14:paraId="00437D30"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31/03/2024</w:t>
            </w:r>
          </w:p>
        </w:tc>
        <w:tc>
          <w:tcPr>
            <w:tcW w:w="906" w:type="pct"/>
            <w:tcBorders>
              <w:top w:val="single" w:sz="4" w:space="0" w:color="F79646" w:themeColor="accent6"/>
              <w:left w:val="nil"/>
              <w:bottom w:val="single" w:sz="4" w:space="0" w:color="F79646" w:themeColor="accent6"/>
              <w:right w:val="nil"/>
            </w:tcBorders>
            <w:shd w:val="clear" w:color="auto" w:fill="auto"/>
            <w:vAlign w:val="center"/>
            <w:hideMark/>
          </w:tcPr>
          <w:p w14:paraId="38264AB1" w14:textId="77777777" w:rsidR="00CD3D2C" w:rsidRPr="00CD3D2C" w:rsidRDefault="00CD3D2C" w:rsidP="00CD3D2C">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31/12/2023</w:t>
            </w:r>
          </w:p>
        </w:tc>
      </w:tr>
      <w:tr w:rsidR="00313371" w:rsidRPr="00CD3D2C" w14:paraId="34157497" w14:textId="77777777" w:rsidTr="008F3E16">
        <w:trPr>
          <w:trHeight w:val="244"/>
        </w:trPr>
        <w:tc>
          <w:tcPr>
            <w:tcW w:w="1110" w:type="pct"/>
            <w:tcBorders>
              <w:top w:val="nil"/>
              <w:left w:val="nil"/>
              <w:bottom w:val="nil"/>
              <w:right w:val="nil"/>
            </w:tcBorders>
            <w:shd w:val="clear" w:color="auto" w:fill="auto"/>
            <w:vAlign w:val="center"/>
            <w:hideMark/>
          </w:tcPr>
          <w:p w14:paraId="342EB8F0"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2024</w:t>
            </w:r>
          </w:p>
        </w:tc>
        <w:tc>
          <w:tcPr>
            <w:tcW w:w="1057" w:type="pct"/>
            <w:tcBorders>
              <w:top w:val="nil"/>
              <w:left w:val="nil"/>
              <w:bottom w:val="nil"/>
              <w:right w:val="nil"/>
            </w:tcBorders>
            <w:shd w:val="clear" w:color="auto" w:fill="auto"/>
            <w:vAlign w:val="center"/>
            <w:hideMark/>
          </w:tcPr>
          <w:p w14:paraId="7F79A8B9" w14:textId="5746834B"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3.592.792</w:t>
            </w:r>
          </w:p>
        </w:tc>
        <w:tc>
          <w:tcPr>
            <w:tcW w:w="1057" w:type="pct"/>
            <w:tcBorders>
              <w:top w:val="nil"/>
              <w:left w:val="nil"/>
              <w:bottom w:val="nil"/>
              <w:right w:val="nil"/>
            </w:tcBorders>
            <w:shd w:val="clear" w:color="auto" w:fill="auto"/>
            <w:vAlign w:val="center"/>
            <w:hideMark/>
          </w:tcPr>
          <w:p w14:paraId="794AC3BB" w14:textId="583194F5"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8.569.139</w:t>
            </w:r>
          </w:p>
        </w:tc>
        <w:tc>
          <w:tcPr>
            <w:tcW w:w="870" w:type="pct"/>
            <w:tcBorders>
              <w:top w:val="nil"/>
              <w:left w:val="nil"/>
              <w:bottom w:val="nil"/>
              <w:right w:val="nil"/>
            </w:tcBorders>
            <w:shd w:val="clear" w:color="auto" w:fill="auto"/>
            <w:vAlign w:val="center"/>
            <w:hideMark/>
          </w:tcPr>
          <w:p w14:paraId="4443C6F5"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203.450</w:t>
            </w:r>
          </w:p>
        </w:tc>
        <w:tc>
          <w:tcPr>
            <w:tcW w:w="906" w:type="pct"/>
            <w:tcBorders>
              <w:top w:val="nil"/>
              <w:left w:val="nil"/>
              <w:bottom w:val="nil"/>
              <w:right w:val="nil"/>
            </w:tcBorders>
            <w:shd w:val="clear" w:color="auto" w:fill="auto"/>
            <w:vAlign w:val="center"/>
            <w:hideMark/>
          </w:tcPr>
          <w:p w14:paraId="77347FBD"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203.450</w:t>
            </w:r>
          </w:p>
        </w:tc>
      </w:tr>
      <w:tr w:rsidR="00313371" w:rsidRPr="00CD3D2C" w14:paraId="6FA3AA3A" w14:textId="77777777" w:rsidTr="008F3E16">
        <w:trPr>
          <w:trHeight w:val="244"/>
        </w:trPr>
        <w:tc>
          <w:tcPr>
            <w:tcW w:w="1110" w:type="pct"/>
            <w:tcBorders>
              <w:top w:val="nil"/>
              <w:left w:val="nil"/>
              <w:bottom w:val="nil"/>
              <w:right w:val="nil"/>
            </w:tcBorders>
            <w:shd w:val="clear" w:color="auto" w:fill="auto"/>
            <w:vAlign w:val="center"/>
            <w:hideMark/>
          </w:tcPr>
          <w:p w14:paraId="3626934E"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2025</w:t>
            </w:r>
          </w:p>
        </w:tc>
        <w:tc>
          <w:tcPr>
            <w:tcW w:w="1057" w:type="pct"/>
            <w:tcBorders>
              <w:top w:val="nil"/>
              <w:left w:val="nil"/>
              <w:bottom w:val="nil"/>
              <w:right w:val="nil"/>
            </w:tcBorders>
            <w:shd w:val="clear" w:color="auto" w:fill="auto"/>
            <w:vAlign w:val="center"/>
            <w:hideMark/>
          </w:tcPr>
          <w:p w14:paraId="00EDF7FF" w14:textId="1D1BB001"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7.587.930</w:t>
            </w:r>
          </w:p>
        </w:tc>
        <w:tc>
          <w:tcPr>
            <w:tcW w:w="1057" w:type="pct"/>
            <w:tcBorders>
              <w:top w:val="nil"/>
              <w:left w:val="nil"/>
              <w:bottom w:val="nil"/>
              <w:right w:val="nil"/>
            </w:tcBorders>
            <w:shd w:val="clear" w:color="auto" w:fill="auto"/>
            <w:vAlign w:val="center"/>
            <w:hideMark/>
          </w:tcPr>
          <w:p w14:paraId="444FB140" w14:textId="75E5B5CE"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4.194.816</w:t>
            </w:r>
          </w:p>
        </w:tc>
        <w:tc>
          <w:tcPr>
            <w:tcW w:w="870" w:type="pct"/>
            <w:tcBorders>
              <w:top w:val="nil"/>
              <w:left w:val="nil"/>
              <w:bottom w:val="nil"/>
              <w:right w:val="nil"/>
            </w:tcBorders>
            <w:shd w:val="clear" w:color="auto" w:fill="auto"/>
            <w:vAlign w:val="center"/>
            <w:hideMark/>
          </w:tcPr>
          <w:p w14:paraId="404FC642"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7.200</w:t>
            </w:r>
          </w:p>
        </w:tc>
        <w:tc>
          <w:tcPr>
            <w:tcW w:w="906" w:type="pct"/>
            <w:tcBorders>
              <w:top w:val="nil"/>
              <w:left w:val="nil"/>
              <w:bottom w:val="nil"/>
              <w:right w:val="nil"/>
            </w:tcBorders>
            <w:shd w:val="clear" w:color="auto" w:fill="auto"/>
            <w:vAlign w:val="center"/>
            <w:hideMark/>
          </w:tcPr>
          <w:p w14:paraId="4F75A765"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7.200</w:t>
            </w:r>
          </w:p>
        </w:tc>
      </w:tr>
      <w:tr w:rsidR="00313371" w:rsidRPr="00CD3D2C" w14:paraId="425452EB" w14:textId="77777777" w:rsidTr="008F3E16">
        <w:trPr>
          <w:trHeight w:val="244"/>
        </w:trPr>
        <w:tc>
          <w:tcPr>
            <w:tcW w:w="1110" w:type="pct"/>
            <w:tcBorders>
              <w:top w:val="nil"/>
              <w:left w:val="nil"/>
              <w:bottom w:val="nil"/>
              <w:right w:val="nil"/>
            </w:tcBorders>
            <w:shd w:val="clear" w:color="auto" w:fill="auto"/>
            <w:vAlign w:val="center"/>
            <w:hideMark/>
          </w:tcPr>
          <w:p w14:paraId="74C6596B"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2026</w:t>
            </w:r>
          </w:p>
        </w:tc>
        <w:tc>
          <w:tcPr>
            <w:tcW w:w="1057" w:type="pct"/>
            <w:tcBorders>
              <w:top w:val="nil"/>
              <w:left w:val="nil"/>
              <w:bottom w:val="nil"/>
              <w:right w:val="nil"/>
            </w:tcBorders>
            <w:shd w:val="clear" w:color="auto" w:fill="auto"/>
            <w:vAlign w:val="center"/>
            <w:hideMark/>
          </w:tcPr>
          <w:p w14:paraId="786162DE" w14:textId="30848C69"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6.961.903</w:t>
            </w:r>
          </w:p>
        </w:tc>
        <w:tc>
          <w:tcPr>
            <w:tcW w:w="1057" w:type="pct"/>
            <w:tcBorders>
              <w:top w:val="nil"/>
              <w:left w:val="nil"/>
              <w:bottom w:val="nil"/>
              <w:right w:val="nil"/>
            </w:tcBorders>
            <w:shd w:val="clear" w:color="auto" w:fill="auto"/>
            <w:vAlign w:val="center"/>
            <w:hideMark/>
          </w:tcPr>
          <w:p w14:paraId="4B1AC85F" w14:textId="1B0F377D"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3.594.046</w:t>
            </w:r>
          </w:p>
        </w:tc>
        <w:tc>
          <w:tcPr>
            <w:tcW w:w="870" w:type="pct"/>
            <w:tcBorders>
              <w:top w:val="nil"/>
              <w:left w:val="nil"/>
              <w:bottom w:val="nil"/>
              <w:right w:val="nil"/>
            </w:tcBorders>
            <w:shd w:val="clear" w:color="auto" w:fill="auto"/>
            <w:vAlign w:val="center"/>
            <w:hideMark/>
          </w:tcPr>
          <w:p w14:paraId="5D85C9BD"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c>
          <w:tcPr>
            <w:tcW w:w="906" w:type="pct"/>
            <w:tcBorders>
              <w:top w:val="nil"/>
              <w:left w:val="nil"/>
              <w:bottom w:val="nil"/>
              <w:right w:val="nil"/>
            </w:tcBorders>
            <w:shd w:val="clear" w:color="auto" w:fill="auto"/>
            <w:vAlign w:val="center"/>
            <w:hideMark/>
          </w:tcPr>
          <w:p w14:paraId="709940B5"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r>
      <w:tr w:rsidR="00313371" w:rsidRPr="00CD3D2C" w14:paraId="6A9C1F33" w14:textId="77777777" w:rsidTr="008F3E16">
        <w:trPr>
          <w:trHeight w:val="244"/>
        </w:trPr>
        <w:tc>
          <w:tcPr>
            <w:tcW w:w="1110" w:type="pct"/>
            <w:tcBorders>
              <w:top w:val="nil"/>
              <w:left w:val="nil"/>
              <w:bottom w:val="nil"/>
              <w:right w:val="nil"/>
            </w:tcBorders>
            <w:shd w:val="clear" w:color="auto" w:fill="auto"/>
            <w:vAlign w:val="center"/>
            <w:hideMark/>
          </w:tcPr>
          <w:p w14:paraId="37FDE241"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2027</w:t>
            </w:r>
          </w:p>
        </w:tc>
        <w:tc>
          <w:tcPr>
            <w:tcW w:w="1057" w:type="pct"/>
            <w:tcBorders>
              <w:top w:val="nil"/>
              <w:left w:val="nil"/>
              <w:bottom w:val="nil"/>
              <w:right w:val="nil"/>
            </w:tcBorders>
            <w:shd w:val="clear" w:color="auto" w:fill="auto"/>
            <w:vAlign w:val="center"/>
            <w:hideMark/>
          </w:tcPr>
          <w:p w14:paraId="21DDAC22" w14:textId="23E5565B"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4.368.166</w:t>
            </w:r>
          </w:p>
        </w:tc>
        <w:tc>
          <w:tcPr>
            <w:tcW w:w="1057" w:type="pct"/>
            <w:tcBorders>
              <w:top w:val="nil"/>
              <w:left w:val="nil"/>
              <w:bottom w:val="nil"/>
              <w:right w:val="nil"/>
            </w:tcBorders>
            <w:shd w:val="clear" w:color="auto" w:fill="auto"/>
            <w:vAlign w:val="center"/>
            <w:hideMark/>
          </w:tcPr>
          <w:p w14:paraId="502169FE" w14:textId="06193C8A"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1.986.132</w:t>
            </w:r>
          </w:p>
        </w:tc>
        <w:tc>
          <w:tcPr>
            <w:tcW w:w="870" w:type="pct"/>
            <w:tcBorders>
              <w:top w:val="nil"/>
              <w:left w:val="nil"/>
              <w:bottom w:val="nil"/>
              <w:right w:val="nil"/>
            </w:tcBorders>
            <w:shd w:val="clear" w:color="auto" w:fill="auto"/>
            <w:vAlign w:val="center"/>
            <w:hideMark/>
          </w:tcPr>
          <w:p w14:paraId="2CEC26B7"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c>
          <w:tcPr>
            <w:tcW w:w="906" w:type="pct"/>
            <w:tcBorders>
              <w:top w:val="nil"/>
              <w:left w:val="nil"/>
              <w:bottom w:val="nil"/>
              <w:right w:val="nil"/>
            </w:tcBorders>
            <w:shd w:val="clear" w:color="auto" w:fill="auto"/>
            <w:vAlign w:val="center"/>
            <w:hideMark/>
          </w:tcPr>
          <w:p w14:paraId="7A961477"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r>
      <w:tr w:rsidR="00313371" w:rsidRPr="00CD3D2C" w14:paraId="58157C69" w14:textId="77777777" w:rsidTr="008F3E16">
        <w:trPr>
          <w:trHeight w:val="244"/>
        </w:trPr>
        <w:tc>
          <w:tcPr>
            <w:tcW w:w="1110" w:type="pct"/>
            <w:tcBorders>
              <w:top w:val="nil"/>
              <w:left w:val="nil"/>
              <w:bottom w:val="nil"/>
              <w:right w:val="nil"/>
            </w:tcBorders>
            <w:shd w:val="clear" w:color="auto" w:fill="auto"/>
            <w:vAlign w:val="center"/>
            <w:hideMark/>
          </w:tcPr>
          <w:p w14:paraId="0265DF0B"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2028</w:t>
            </w:r>
          </w:p>
        </w:tc>
        <w:tc>
          <w:tcPr>
            <w:tcW w:w="1057" w:type="pct"/>
            <w:tcBorders>
              <w:top w:val="nil"/>
              <w:left w:val="nil"/>
              <w:bottom w:val="nil"/>
              <w:right w:val="nil"/>
            </w:tcBorders>
            <w:shd w:val="clear" w:color="auto" w:fill="auto"/>
            <w:vAlign w:val="center"/>
            <w:hideMark/>
          </w:tcPr>
          <w:p w14:paraId="192A519C" w14:textId="1B225BB3"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480.510</w:t>
            </w:r>
          </w:p>
        </w:tc>
        <w:tc>
          <w:tcPr>
            <w:tcW w:w="1057" w:type="pct"/>
            <w:tcBorders>
              <w:top w:val="nil"/>
              <w:left w:val="nil"/>
              <w:bottom w:val="nil"/>
              <w:right w:val="nil"/>
            </w:tcBorders>
            <w:shd w:val="clear" w:color="auto" w:fill="auto"/>
            <w:vAlign w:val="center"/>
            <w:hideMark/>
          </w:tcPr>
          <w:p w14:paraId="07899263" w14:textId="6679E82E"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870" w:type="pct"/>
            <w:tcBorders>
              <w:top w:val="nil"/>
              <w:left w:val="nil"/>
              <w:bottom w:val="nil"/>
              <w:right w:val="nil"/>
            </w:tcBorders>
            <w:shd w:val="clear" w:color="auto" w:fill="auto"/>
            <w:vAlign w:val="center"/>
            <w:hideMark/>
          </w:tcPr>
          <w:p w14:paraId="43C199BC" w14:textId="796CC2A3" w:rsidR="00313371" w:rsidRPr="006919FB" w:rsidRDefault="00313371" w:rsidP="00313371">
            <w:pPr>
              <w:jc w:val="center"/>
              <w:rPr>
                <w:rFonts w:ascii="CAIXA Std Book" w:eastAsia="Times New Roman" w:hAnsi="CAIXA Std Book" w:cs="Arial"/>
                <w:color w:val="005CA9"/>
                <w:sz w:val="18"/>
                <w:szCs w:val="18"/>
              </w:rPr>
            </w:pPr>
            <w:r w:rsidRPr="006919FB">
              <w:rPr>
                <w:rFonts w:ascii="CAIXA Std Book" w:eastAsia="Times New Roman" w:hAnsi="CAIXA Std Book" w:cs="Arial"/>
                <w:color w:val="005CA9"/>
                <w:sz w:val="18"/>
                <w:szCs w:val="18"/>
              </w:rPr>
              <w:t>-</w:t>
            </w:r>
          </w:p>
        </w:tc>
        <w:tc>
          <w:tcPr>
            <w:tcW w:w="906" w:type="pct"/>
            <w:tcBorders>
              <w:top w:val="nil"/>
              <w:left w:val="nil"/>
              <w:bottom w:val="nil"/>
              <w:right w:val="nil"/>
            </w:tcBorders>
            <w:shd w:val="clear" w:color="auto" w:fill="auto"/>
            <w:vAlign w:val="center"/>
            <w:hideMark/>
          </w:tcPr>
          <w:p w14:paraId="75339CDB" w14:textId="5C73E458" w:rsidR="00313371" w:rsidRPr="006919FB" w:rsidRDefault="00313371" w:rsidP="00313371">
            <w:pPr>
              <w:jc w:val="center"/>
              <w:rPr>
                <w:rFonts w:ascii="CAIXA Std Book" w:eastAsia="Times New Roman" w:hAnsi="CAIXA Std Book" w:cs="Arial"/>
                <w:color w:val="005CA9"/>
                <w:sz w:val="18"/>
                <w:szCs w:val="18"/>
              </w:rPr>
            </w:pPr>
            <w:r w:rsidRPr="006919FB">
              <w:rPr>
                <w:rFonts w:ascii="CAIXA Std Book" w:eastAsia="Times New Roman" w:hAnsi="CAIXA Std Book" w:cs="Arial"/>
                <w:color w:val="005CA9"/>
                <w:sz w:val="18"/>
                <w:szCs w:val="18"/>
              </w:rPr>
              <w:t>-</w:t>
            </w:r>
          </w:p>
        </w:tc>
      </w:tr>
      <w:tr w:rsidR="00313371" w:rsidRPr="00CD3D2C" w14:paraId="175A806B" w14:textId="77777777" w:rsidTr="008F3E16">
        <w:trPr>
          <w:trHeight w:val="244"/>
        </w:trPr>
        <w:tc>
          <w:tcPr>
            <w:tcW w:w="1110" w:type="pct"/>
            <w:tcBorders>
              <w:top w:val="nil"/>
              <w:left w:val="nil"/>
              <w:bottom w:val="nil"/>
              <w:right w:val="nil"/>
            </w:tcBorders>
            <w:shd w:val="clear" w:color="auto" w:fill="auto"/>
            <w:vAlign w:val="center"/>
            <w:hideMark/>
          </w:tcPr>
          <w:p w14:paraId="4B52B5EA"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2029</w:t>
            </w:r>
          </w:p>
        </w:tc>
        <w:tc>
          <w:tcPr>
            <w:tcW w:w="1057" w:type="pct"/>
            <w:tcBorders>
              <w:top w:val="nil"/>
              <w:left w:val="nil"/>
              <w:bottom w:val="nil"/>
              <w:right w:val="nil"/>
            </w:tcBorders>
            <w:shd w:val="clear" w:color="auto" w:fill="auto"/>
            <w:vAlign w:val="center"/>
            <w:hideMark/>
          </w:tcPr>
          <w:p w14:paraId="3F19AFD2" w14:textId="70865E1A"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13.006</w:t>
            </w:r>
          </w:p>
        </w:tc>
        <w:tc>
          <w:tcPr>
            <w:tcW w:w="1057" w:type="pct"/>
            <w:tcBorders>
              <w:top w:val="nil"/>
              <w:left w:val="nil"/>
              <w:bottom w:val="nil"/>
              <w:right w:val="nil"/>
            </w:tcBorders>
            <w:shd w:val="clear" w:color="auto" w:fill="auto"/>
            <w:vAlign w:val="center"/>
            <w:hideMark/>
          </w:tcPr>
          <w:p w14:paraId="577ACEA6" w14:textId="21B6AAD9"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13.027</w:t>
            </w:r>
          </w:p>
        </w:tc>
        <w:tc>
          <w:tcPr>
            <w:tcW w:w="870" w:type="pct"/>
            <w:tcBorders>
              <w:top w:val="nil"/>
              <w:left w:val="nil"/>
              <w:bottom w:val="nil"/>
              <w:right w:val="nil"/>
            </w:tcBorders>
            <w:shd w:val="clear" w:color="auto" w:fill="auto"/>
            <w:vAlign w:val="center"/>
            <w:hideMark/>
          </w:tcPr>
          <w:p w14:paraId="1D569B76"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c>
          <w:tcPr>
            <w:tcW w:w="906" w:type="pct"/>
            <w:tcBorders>
              <w:top w:val="nil"/>
              <w:left w:val="nil"/>
              <w:bottom w:val="nil"/>
              <w:right w:val="nil"/>
            </w:tcBorders>
            <w:shd w:val="clear" w:color="auto" w:fill="auto"/>
            <w:vAlign w:val="center"/>
            <w:hideMark/>
          </w:tcPr>
          <w:p w14:paraId="1E96B996"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r>
      <w:tr w:rsidR="00313371" w:rsidRPr="00CD3D2C" w14:paraId="61C32F2A" w14:textId="77777777" w:rsidTr="008F3E16">
        <w:trPr>
          <w:trHeight w:val="244"/>
        </w:trPr>
        <w:tc>
          <w:tcPr>
            <w:tcW w:w="1110" w:type="pct"/>
            <w:tcBorders>
              <w:top w:val="nil"/>
              <w:left w:val="nil"/>
              <w:bottom w:val="nil"/>
              <w:right w:val="nil"/>
            </w:tcBorders>
            <w:shd w:val="clear" w:color="auto" w:fill="auto"/>
            <w:vAlign w:val="center"/>
            <w:hideMark/>
          </w:tcPr>
          <w:p w14:paraId="05FD42F2"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2030</w:t>
            </w:r>
          </w:p>
        </w:tc>
        <w:tc>
          <w:tcPr>
            <w:tcW w:w="1057" w:type="pct"/>
            <w:tcBorders>
              <w:top w:val="nil"/>
              <w:left w:val="nil"/>
              <w:bottom w:val="nil"/>
              <w:right w:val="nil"/>
            </w:tcBorders>
            <w:shd w:val="clear" w:color="auto" w:fill="auto"/>
            <w:vAlign w:val="center"/>
            <w:hideMark/>
          </w:tcPr>
          <w:p w14:paraId="5FFDE89F" w14:textId="5ADA7956"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1057" w:type="pct"/>
            <w:tcBorders>
              <w:top w:val="nil"/>
              <w:left w:val="nil"/>
              <w:bottom w:val="nil"/>
              <w:right w:val="nil"/>
            </w:tcBorders>
            <w:shd w:val="clear" w:color="auto" w:fill="auto"/>
            <w:vAlign w:val="center"/>
            <w:hideMark/>
          </w:tcPr>
          <w:p w14:paraId="2AD20A22" w14:textId="2E191882"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870" w:type="pct"/>
            <w:tcBorders>
              <w:top w:val="nil"/>
              <w:left w:val="nil"/>
              <w:bottom w:val="nil"/>
              <w:right w:val="nil"/>
            </w:tcBorders>
            <w:shd w:val="clear" w:color="auto" w:fill="auto"/>
            <w:vAlign w:val="center"/>
            <w:hideMark/>
          </w:tcPr>
          <w:p w14:paraId="56DB832E"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c>
          <w:tcPr>
            <w:tcW w:w="906" w:type="pct"/>
            <w:tcBorders>
              <w:top w:val="nil"/>
              <w:left w:val="nil"/>
              <w:bottom w:val="nil"/>
              <w:right w:val="nil"/>
            </w:tcBorders>
            <w:shd w:val="clear" w:color="auto" w:fill="auto"/>
            <w:vAlign w:val="center"/>
            <w:hideMark/>
          </w:tcPr>
          <w:p w14:paraId="3E446AD4"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r>
      <w:tr w:rsidR="00313371" w:rsidRPr="00CD3D2C" w14:paraId="2CDB4AF4" w14:textId="77777777" w:rsidTr="008F3E16">
        <w:trPr>
          <w:trHeight w:val="244"/>
        </w:trPr>
        <w:tc>
          <w:tcPr>
            <w:tcW w:w="1110" w:type="pct"/>
            <w:tcBorders>
              <w:top w:val="nil"/>
              <w:left w:val="nil"/>
              <w:bottom w:val="single" w:sz="4" w:space="0" w:color="F79646" w:themeColor="accent6"/>
              <w:right w:val="nil"/>
            </w:tcBorders>
            <w:shd w:val="clear" w:color="auto" w:fill="auto"/>
            <w:vAlign w:val="center"/>
            <w:hideMark/>
          </w:tcPr>
          <w:p w14:paraId="17F54A88"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2031</w:t>
            </w:r>
          </w:p>
        </w:tc>
        <w:tc>
          <w:tcPr>
            <w:tcW w:w="1057" w:type="pct"/>
            <w:tcBorders>
              <w:top w:val="nil"/>
              <w:left w:val="nil"/>
              <w:bottom w:val="single" w:sz="4" w:space="0" w:color="F79646" w:themeColor="accent6"/>
              <w:right w:val="nil"/>
            </w:tcBorders>
            <w:shd w:val="clear" w:color="auto" w:fill="auto"/>
            <w:vAlign w:val="center"/>
            <w:hideMark/>
          </w:tcPr>
          <w:p w14:paraId="383908F1" w14:textId="61066BCC"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3.491</w:t>
            </w:r>
          </w:p>
        </w:tc>
        <w:tc>
          <w:tcPr>
            <w:tcW w:w="1057" w:type="pct"/>
            <w:tcBorders>
              <w:top w:val="nil"/>
              <w:left w:val="nil"/>
              <w:bottom w:val="single" w:sz="4" w:space="0" w:color="F79646" w:themeColor="accent6"/>
              <w:right w:val="nil"/>
            </w:tcBorders>
            <w:shd w:val="clear" w:color="auto" w:fill="auto"/>
            <w:vAlign w:val="center"/>
            <w:hideMark/>
          </w:tcPr>
          <w:p w14:paraId="7F18CE9A" w14:textId="2E210416" w:rsidR="00313371" w:rsidRPr="00CD3D2C" w:rsidRDefault="00313371" w:rsidP="00313371">
            <w:pPr>
              <w:jc w:val="center"/>
              <w:rPr>
                <w:rFonts w:ascii="CAIXA Std Book" w:eastAsia="Times New Roman" w:hAnsi="CAIXA Std Book" w:cs="Arial"/>
                <w:color w:val="005CA9"/>
                <w:sz w:val="18"/>
                <w:szCs w:val="18"/>
              </w:rPr>
            </w:pPr>
            <w:r>
              <w:rPr>
                <w:rFonts w:ascii="CAIXA Std Book" w:hAnsi="CAIXA Std Book" w:cs="Arial"/>
                <w:color w:val="005CA9"/>
                <w:sz w:val="18"/>
                <w:szCs w:val="18"/>
              </w:rPr>
              <w:t>3.542</w:t>
            </w:r>
          </w:p>
        </w:tc>
        <w:tc>
          <w:tcPr>
            <w:tcW w:w="870" w:type="pct"/>
            <w:tcBorders>
              <w:top w:val="nil"/>
              <w:left w:val="nil"/>
              <w:bottom w:val="single" w:sz="4" w:space="0" w:color="F79646" w:themeColor="accent6"/>
              <w:right w:val="nil"/>
            </w:tcBorders>
            <w:shd w:val="clear" w:color="auto" w:fill="auto"/>
            <w:vAlign w:val="center"/>
            <w:hideMark/>
          </w:tcPr>
          <w:p w14:paraId="75BAEDF7"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c>
          <w:tcPr>
            <w:tcW w:w="906" w:type="pct"/>
            <w:tcBorders>
              <w:top w:val="nil"/>
              <w:left w:val="nil"/>
              <w:bottom w:val="single" w:sz="4" w:space="0" w:color="F79646" w:themeColor="accent6"/>
              <w:right w:val="nil"/>
            </w:tcBorders>
            <w:shd w:val="clear" w:color="auto" w:fill="auto"/>
            <w:vAlign w:val="center"/>
            <w:hideMark/>
          </w:tcPr>
          <w:p w14:paraId="1F481F08" w14:textId="77777777" w:rsidR="00313371" w:rsidRPr="00CD3D2C" w:rsidRDefault="00313371" w:rsidP="00313371">
            <w:pPr>
              <w:jc w:val="center"/>
              <w:rPr>
                <w:rFonts w:ascii="CAIXA Std Book" w:eastAsia="Times New Roman" w:hAnsi="CAIXA Std Book" w:cs="Arial"/>
                <w:color w:val="005CA9"/>
                <w:sz w:val="18"/>
                <w:szCs w:val="18"/>
              </w:rPr>
            </w:pPr>
            <w:r w:rsidRPr="00CD3D2C">
              <w:rPr>
                <w:rFonts w:ascii="CAIXA Std Book" w:eastAsia="Times New Roman" w:hAnsi="CAIXA Std Book" w:cs="Arial"/>
                <w:color w:val="005CA9"/>
                <w:sz w:val="18"/>
                <w:szCs w:val="18"/>
              </w:rPr>
              <w:t>-</w:t>
            </w:r>
          </w:p>
        </w:tc>
      </w:tr>
      <w:tr w:rsidR="00313371" w:rsidRPr="00CD3D2C" w14:paraId="1E604838" w14:textId="77777777" w:rsidTr="008F3E16">
        <w:trPr>
          <w:trHeight w:val="244"/>
        </w:trPr>
        <w:tc>
          <w:tcPr>
            <w:tcW w:w="1110" w:type="pct"/>
            <w:tcBorders>
              <w:top w:val="single" w:sz="4" w:space="0" w:color="F79646" w:themeColor="accent6"/>
              <w:left w:val="nil"/>
              <w:bottom w:val="single" w:sz="4" w:space="0" w:color="F79646" w:themeColor="accent6"/>
              <w:right w:val="nil"/>
            </w:tcBorders>
            <w:shd w:val="clear" w:color="auto" w:fill="auto"/>
            <w:vAlign w:val="center"/>
            <w:hideMark/>
          </w:tcPr>
          <w:p w14:paraId="73D72C55" w14:textId="77777777" w:rsidR="00313371" w:rsidRPr="00CD3D2C" w:rsidRDefault="00313371" w:rsidP="00313371">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 xml:space="preserve">Total </w:t>
            </w:r>
          </w:p>
        </w:tc>
        <w:tc>
          <w:tcPr>
            <w:tcW w:w="1057" w:type="pct"/>
            <w:tcBorders>
              <w:top w:val="single" w:sz="4" w:space="0" w:color="F79646" w:themeColor="accent6"/>
              <w:left w:val="nil"/>
              <w:bottom w:val="single" w:sz="4" w:space="0" w:color="F79646" w:themeColor="accent6"/>
              <w:right w:val="nil"/>
            </w:tcBorders>
            <w:shd w:val="clear" w:color="auto" w:fill="auto"/>
            <w:vAlign w:val="center"/>
            <w:hideMark/>
          </w:tcPr>
          <w:p w14:paraId="20CCB3D7" w14:textId="668E32E6" w:rsidR="00313371" w:rsidRPr="00CD3D2C" w:rsidRDefault="00313371" w:rsidP="00313371">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23.007.798</w:t>
            </w:r>
          </w:p>
        </w:tc>
        <w:tc>
          <w:tcPr>
            <w:tcW w:w="1057" w:type="pct"/>
            <w:tcBorders>
              <w:top w:val="single" w:sz="4" w:space="0" w:color="F79646" w:themeColor="accent6"/>
              <w:left w:val="nil"/>
              <w:bottom w:val="single" w:sz="4" w:space="0" w:color="F79646" w:themeColor="accent6"/>
              <w:right w:val="nil"/>
            </w:tcBorders>
            <w:shd w:val="clear" w:color="auto" w:fill="auto"/>
            <w:vAlign w:val="center"/>
            <w:hideMark/>
          </w:tcPr>
          <w:p w14:paraId="681BF56D" w14:textId="51741142" w:rsidR="00313371" w:rsidRPr="00CD3D2C" w:rsidRDefault="00313371" w:rsidP="00313371">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18.360.702</w:t>
            </w:r>
          </w:p>
        </w:tc>
        <w:tc>
          <w:tcPr>
            <w:tcW w:w="870" w:type="pct"/>
            <w:tcBorders>
              <w:top w:val="single" w:sz="4" w:space="0" w:color="F79646" w:themeColor="accent6"/>
              <w:left w:val="nil"/>
              <w:bottom w:val="single" w:sz="4" w:space="0" w:color="F79646" w:themeColor="accent6"/>
              <w:right w:val="nil"/>
            </w:tcBorders>
            <w:shd w:val="clear" w:color="auto" w:fill="auto"/>
            <w:vAlign w:val="center"/>
            <w:hideMark/>
          </w:tcPr>
          <w:p w14:paraId="13A34AE4" w14:textId="77777777" w:rsidR="00313371" w:rsidRPr="00CD3D2C" w:rsidRDefault="00313371" w:rsidP="00313371">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210.650</w:t>
            </w:r>
          </w:p>
        </w:tc>
        <w:tc>
          <w:tcPr>
            <w:tcW w:w="906" w:type="pct"/>
            <w:tcBorders>
              <w:top w:val="single" w:sz="4" w:space="0" w:color="F79646" w:themeColor="accent6"/>
              <w:left w:val="nil"/>
              <w:bottom w:val="single" w:sz="4" w:space="0" w:color="F79646" w:themeColor="accent6"/>
              <w:right w:val="nil"/>
            </w:tcBorders>
            <w:shd w:val="clear" w:color="auto" w:fill="auto"/>
            <w:vAlign w:val="center"/>
            <w:hideMark/>
          </w:tcPr>
          <w:p w14:paraId="7A7CBCB4" w14:textId="77777777" w:rsidR="00313371" w:rsidRPr="00CD3D2C" w:rsidRDefault="00313371" w:rsidP="00313371">
            <w:pPr>
              <w:jc w:val="center"/>
              <w:rPr>
                <w:rFonts w:ascii="CAIXA Std Book" w:eastAsia="Times New Roman" w:hAnsi="CAIXA Std Book" w:cs="Arial"/>
                <w:b/>
                <w:bCs/>
                <w:color w:val="005CA9"/>
                <w:sz w:val="18"/>
                <w:szCs w:val="18"/>
              </w:rPr>
            </w:pPr>
            <w:r w:rsidRPr="00CD3D2C">
              <w:rPr>
                <w:rFonts w:ascii="CAIXA Std Book" w:eastAsia="Times New Roman" w:hAnsi="CAIXA Std Book" w:cs="Arial"/>
                <w:b/>
                <w:bCs/>
                <w:color w:val="005CA9"/>
                <w:sz w:val="18"/>
                <w:szCs w:val="18"/>
              </w:rPr>
              <w:t>210.650</w:t>
            </w:r>
          </w:p>
        </w:tc>
      </w:tr>
    </w:tbl>
    <w:p w14:paraId="0701B39D" w14:textId="77777777" w:rsidR="007C7AD4" w:rsidRDefault="007C7AD4" w:rsidP="0034534B">
      <w:pPr>
        <w:keepNext/>
        <w:tabs>
          <w:tab w:val="left" w:pos="567"/>
        </w:tabs>
        <w:spacing w:before="480" w:after="240"/>
        <w:ind w:right="112"/>
        <w:jc w:val="both"/>
        <w:rPr>
          <w:rFonts w:ascii="CAIXA Std Book" w:hAnsi="CAIXA Std Book"/>
          <w:b/>
          <w:color w:val="005CA9"/>
          <w:sz w:val="20"/>
          <w:szCs w:val="20"/>
        </w:rPr>
        <w:sectPr w:rsidR="007C7AD4" w:rsidSect="0088151D">
          <w:footerReference w:type="default" r:id="rId33"/>
          <w:headerReference w:type="first" r:id="rId34"/>
          <w:footerReference w:type="first" r:id="rId35"/>
          <w:pgSz w:w="16840" w:h="11907" w:orient="landscape" w:code="9"/>
          <w:pgMar w:top="1418" w:right="1418" w:bottom="851" w:left="851" w:header="1134" w:footer="709" w:gutter="0"/>
          <w:cols w:space="708"/>
          <w:titlePg/>
          <w:docGrid w:linePitch="360"/>
        </w:sectPr>
      </w:pPr>
    </w:p>
    <w:p w14:paraId="30EEAD10" w14:textId="523CC9BD" w:rsidR="00A546B5" w:rsidRPr="00FF4346" w:rsidRDefault="00A546B5" w:rsidP="0034534B">
      <w:pPr>
        <w:keepNext/>
        <w:tabs>
          <w:tab w:val="left" w:pos="567"/>
        </w:tabs>
        <w:spacing w:before="480" w:after="240"/>
        <w:ind w:right="112"/>
        <w:jc w:val="both"/>
        <w:rPr>
          <w:rFonts w:ascii="CAIXA Std Book" w:hAnsi="CAIXA Std Book"/>
          <w:b/>
          <w:color w:val="005CA9"/>
          <w:sz w:val="20"/>
          <w:szCs w:val="20"/>
        </w:rPr>
      </w:pPr>
      <w:r w:rsidRPr="00FF4346">
        <w:rPr>
          <w:rFonts w:ascii="CAIXA Std Book" w:hAnsi="CAIXA Std Book"/>
          <w:b/>
          <w:color w:val="005CA9"/>
          <w:sz w:val="20"/>
          <w:szCs w:val="20"/>
        </w:rPr>
        <w:lastRenderedPageBreak/>
        <w:t>(</w:t>
      </w:r>
      <w:r w:rsidR="003B2426" w:rsidRPr="00FF4346">
        <w:rPr>
          <w:rFonts w:ascii="CAIXA Std Book" w:hAnsi="CAIXA Std Book"/>
          <w:b/>
          <w:color w:val="005CA9"/>
          <w:sz w:val="20"/>
          <w:szCs w:val="20"/>
        </w:rPr>
        <w:t>b</w:t>
      </w:r>
      <w:r w:rsidRPr="00FF4346">
        <w:rPr>
          <w:rFonts w:ascii="CAIXA Std Book" w:hAnsi="CAIXA Std Book"/>
          <w:b/>
          <w:color w:val="005CA9"/>
          <w:sz w:val="20"/>
          <w:szCs w:val="20"/>
        </w:rPr>
        <w:t>)</w:t>
      </w:r>
      <w:r w:rsidRPr="00FF4346">
        <w:rPr>
          <w:rFonts w:ascii="CAIXA Std Book" w:hAnsi="CAIXA Std Book"/>
          <w:b/>
          <w:color w:val="005CA9"/>
          <w:sz w:val="20"/>
          <w:szCs w:val="20"/>
        </w:rPr>
        <w:tab/>
        <w:t>Composição da carteira de instrumentos financeiros derivativos por indexador, tipo de instrumento e prazo, demonstrada pelo seu valor referencial em contas de compensação</w:t>
      </w:r>
    </w:p>
    <w:tbl>
      <w:tblPr>
        <w:tblW w:w="9640" w:type="dxa"/>
        <w:tblCellMar>
          <w:left w:w="70" w:type="dxa"/>
          <w:right w:w="70" w:type="dxa"/>
        </w:tblCellMar>
        <w:tblLook w:val="04A0" w:firstRow="1" w:lastRow="0" w:firstColumn="1" w:lastColumn="0" w:noHBand="0" w:noVBand="1"/>
      </w:tblPr>
      <w:tblGrid>
        <w:gridCol w:w="2620"/>
        <w:gridCol w:w="1060"/>
        <w:gridCol w:w="1240"/>
        <w:gridCol w:w="1060"/>
        <w:gridCol w:w="1180"/>
        <w:gridCol w:w="1180"/>
        <w:gridCol w:w="1300"/>
      </w:tblGrid>
      <w:tr w:rsidR="00E42D2C" w:rsidRPr="00E42D2C" w14:paraId="2D2B8140" w14:textId="77777777" w:rsidTr="00E42D2C">
        <w:trPr>
          <w:trHeight w:val="315"/>
        </w:trPr>
        <w:tc>
          <w:tcPr>
            <w:tcW w:w="9640" w:type="dxa"/>
            <w:gridSpan w:val="7"/>
            <w:tcBorders>
              <w:top w:val="single" w:sz="4" w:space="0" w:color="F79646"/>
              <w:left w:val="nil"/>
              <w:bottom w:val="single" w:sz="4" w:space="0" w:color="F79646"/>
              <w:right w:val="nil"/>
            </w:tcBorders>
            <w:shd w:val="clear" w:color="auto" w:fill="auto"/>
            <w:vAlign w:val="center"/>
            <w:hideMark/>
          </w:tcPr>
          <w:p w14:paraId="481372E4"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INDIVIDUAL</w:t>
            </w:r>
          </w:p>
        </w:tc>
      </w:tr>
      <w:tr w:rsidR="00E42D2C" w:rsidRPr="00E42D2C" w14:paraId="1A6E4506" w14:textId="77777777" w:rsidTr="00E42D2C">
        <w:trPr>
          <w:trHeight w:val="315"/>
        </w:trPr>
        <w:tc>
          <w:tcPr>
            <w:tcW w:w="9640" w:type="dxa"/>
            <w:gridSpan w:val="7"/>
            <w:tcBorders>
              <w:top w:val="single" w:sz="4" w:space="0" w:color="F79646"/>
              <w:left w:val="nil"/>
              <w:bottom w:val="single" w:sz="4" w:space="0" w:color="F79646"/>
              <w:right w:val="nil"/>
            </w:tcBorders>
            <w:shd w:val="clear" w:color="auto" w:fill="auto"/>
            <w:vAlign w:val="center"/>
            <w:hideMark/>
          </w:tcPr>
          <w:p w14:paraId="790A47B8"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Valor Referencial</w:t>
            </w:r>
          </w:p>
        </w:tc>
      </w:tr>
      <w:tr w:rsidR="00E42D2C" w:rsidRPr="00E42D2C" w14:paraId="61393D74" w14:textId="77777777" w:rsidTr="00E42D2C">
        <w:trPr>
          <w:trHeight w:val="315"/>
        </w:trPr>
        <w:tc>
          <w:tcPr>
            <w:tcW w:w="2620" w:type="dxa"/>
            <w:vMerge w:val="restart"/>
            <w:tcBorders>
              <w:top w:val="single" w:sz="4" w:space="0" w:color="F79646"/>
              <w:left w:val="nil"/>
              <w:bottom w:val="single" w:sz="8" w:space="0" w:color="F79646"/>
              <w:right w:val="nil"/>
            </w:tcBorders>
            <w:shd w:val="clear" w:color="auto" w:fill="auto"/>
            <w:vAlign w:val="center"/>
            <w:hideMark/>
          </w:tcPr>
          <w:p w14:paraId="135AAF4E"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Descrição</w:t>
            </w:r>
          </w:p>
        </w:tc>
        <w:tc>
          <w:tcPr>
            <w:tcW w:w="5720" w:type="dxa"/>
            <w:gridSpan w:val="5"/>
            <w:tcBorders>
              <w:top w:val="single" w:sz="4" w:space="0" w:color="F79646"/>
              <w:left w:val="nil"/>
              <w:bottom w:val="single" w:sz="4" w:space="0" w:color="F79646"/>
              <w:right w:val="nil"/>
            </w:tcBorders>
            <w:shd w:val="clear" w:color="auto" w:fill="auto"/>
            <w:vAlign w:val="center"/>
            <w:hideMark/>
          </w:tcPr>
          <w:p w14:paraId="1903F8B0"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31/03/2024</w:t>
            </w:r>
          </w:p>
        </w:tc>
        <w:tc>
          <w:tcPr>
            <w:tcW w:w="1300" w:type="dxa"/>
            <w:tcBorders>
              <w:top w:val="single" w:sz="4" w:space="0" w:color="F79646"/>
              <w:left w:val="nil"/>
              <w:bottom w:val="single" w:sz="4" w:space="0" w:color="F79646"/>
              <w:right w:val="nil"/>
            </w:tcBorders>
            <w:shd w:val="clear" w:color="auto" w:fill="auto"/>
            <w:vAlign w:val="center"/>
            <w:hideMark/>
          </w:tcPr>
          <w:p w14:paraId="48683800"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31/12/2023</w:t>
            </w:r>
          </w:p>
        </w:tc>
      </w:tr>
      <w:tr w:rsidR="00E42D2C" w:rsidRPr="00E42D2C" w14:paraId="720EA74D" w14:textId="77777777" w:rsidTr="00E42D2C">
        <w:trPr>
          <w:trHeight w:val="570"/>
        </w:trPr>
        <w:tc>
          <w:tcPr>
            <w:tcW w:w="2620" w:type="dxa"/>
            <w:vMerge/>
            <w:tcBorders>
              <w:top w:val="single" w:sz="4" w:space="0" w:color="F79646"/>
              <w:left w:val="nil"/>
              <w:bottom w:val="single" w:sz="4" w:space="0" w:color="F79646"/>
              <w:right w:val="nil"/>
            </w:tcBorders>
            <w:vAlign w:val="center"/>
            <w:hideMark/>
          </w:tcPr>
          <w:p w14:paraId="6BF762BB" w14:textId="77777777" w:rsidR="00E42D2C" w:rsidRPr="00E42D2C" w:rsidRDefault="00E42D2C" w:rsidP="00E42D2C">
            <w:pPr>
              <w:rPr>
                <w:rFonts w:ascii="CAIXA Std Book" w:eastAsia="Times New Roman" w:hAnsi="CAIXA Std Book" w:cs="Calibri"/>
                <w:b/>
                <w:bCs/>
                <w:color w:val="005CA9"/>
                <w:sz w:val="18"/>
                <w:szCs w:val="18"/>
              </w:rPr>
            </w:pPr>
          </w:p>
        </w:tc>
        <w:tc>
          <w:tcPr>
            <w:tcW w:w="1060" w:type="dxa"/>
            <w:tcBorders>
              <w:top w:val="single" w:sz="4" w:space="0" w:color="F79646"/>
              <w:left w:val="nil"/>
              <w:bottom w:val="single" w:sz="4" w:space="0" w:color="F79646"/>
              <w:right w:val="nil"/>
            </w:tcBorders>
            <w:shd w:val="clear" w:color="auto" w:fill="auto"/>
            <w:vAlign w:val="center"/>
            <w:hideMark/>
          </w:tcPr>
          <w:p w14:paraId="0C9386BD"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01 a 90 dias</w:t>
            </w:r>
          </w:p>
        </w:tc>
        <w:tc>
          <w:tcPr>
            <w:tcW w:w="1240" w:type="dxa"/>
            <w:tcBorders>
              <w:top w:val="single" w:sz="4" w:space="0" w:color="F79646"/>
              <w:left w:val="nil"/>
              <w:bottom w:val="single" w:sz="4" w:space="0" w:color="F79646"/>
              <w:right w:val="nil"/>
            </w:tcBorders>
            <w:shd w:val="clear" w:color="auto" w:fill="auto"/>
            <w:vAlign w:val="center"/>
            <w:hideMark/>
          </w:tcPr>
          <w:p w14:paraId="12A4BC3B"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91 a 180 dias</w:t>
            </w:r>
          </w:p>
        </w:tc>
        <w:tc>
          <w:tcPr>
            <w:tcW w:w="1060" w:type="dxa"/>
            <w:tcBorders>
              <w:top w:val="single" w:sz="4" w:space="0" w:color="F79646"/>
              <w:left w:val="nil"/>
              <w:bottom w:val="single" w:sz="4" w:space="0" w:color="F79646"/>
              <w:right w:val="nil"/>
            </w:tcBorders>
            <w:shd w:val="clear" w:color="auto" w:fill="auto"/>
            <w:vAlign w:val="center"/>
            <w:hideMark/>
          </w:tcPr>
          <w:p w14:paraId="54D5E66B" w14:textId="520176DE"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 xml:space="preserve">181 a 360 </w:t>
            </w:r>
            <w:r>
              <w:rPr>
                <w:rFonts w:ascii="CAIXA Std Book" w:eastAsia="Times New Roman" w:hAnsi="CAIXA Std Book" w:cs="Calibri"/>
                <w:b/>
                <w:bCs/>
                <w:color w:val="005CA9"/>
                <w:sz w:val="18"/>
                <w:szCs w:val="18"/>
              </w:rPr>
              <w:t>dias</w:t>
            </w:r>
          </w:p>
        </w:tc>
        <w:tc>
          <w:tcPr>
            <w:tcW w:w="1180" w:type="dxa"/>
            <w:tcBorders>
              <w:top w:val="single" w:sz="4" w:space="0" w:color="F79646"/>
              <w:left w:val="nil"/>
              <w:bottom w:val="single" w:sz="4" w:space="0" w:color="F79646"/>
              <w:right w:val="nil"/>
            </w:tcBorders>
            <w:shd w:val="clear" w:color="auto" w:fill="auto"/>
            <w:vAlign w:val="center"/>
            <w:hideMark/>
          </w:tcPr>
          <w:p w14:paraId="2CF57F8C"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Acima de 360 dias</w:t>
            </w:r>
          </w:p>
        </w:tc>
        <w:tc>
          <w:tcPr>
            <w:tcW w:w="1180" w:type="dxa"/>
            <w:tcBorders>
              <w:top w:val="single" w:sz="4" w:space="0" w:color="F79646"/>
              <w:left w:val="nil"/>
              <w:bottom w:val="single" w:sz="4" w:space="0" w:color="F79646"/>
              <w:right w:val="nil"/>
            </w:tcBorders>
            <w:shd w:val="clear" w:color="auto" w:fill="auto"/>
            <w:vAlign w:val="center"/>
            <w:hideMark/>
          </w:tcPr>
          <w:p w14:paraId="612AEE2E"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Valor de Mercado</w:t>
            </w:r>
          </w:p>
        </w:tc>
        <w:tc>
          <w:tcPr>
            <w:tcW w:w="1300" w:type="dxa"/>
            <w:tcBorders>
              <w:top w:val="single" w:sz="4" w:space="0" w:color="F79646"/>
              <w:left w:val="nil"/>
              <w:bottom w:val="single" w:sz="4" w:space="0" w:color="F79646"/>
              <w:right w:val="nil"/>
            </w:tcBorders>
            <w:shd w:val="clear" w:color="auto" w:fill="auto"/>
            <w:vAlign w:val="center"/>
            <w:hideMark/>
          </w:tcPr>
          <w:p w14:paraId="47005020"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Valor de Mercado</w:t>
            </w:r>
          </w:p>
        </w:tc>
      </w:tr>
      <w:tr w:rsidR="00E42D2C" w:rsidRPr="00E42D2C" w14:paraId="0C26B50D" w14:textId="77777777" w:rsidTr="00E42D2C">
        <w:trPr>
          <w:trHeight w:val="315"/>
        </w:trPr>
        <w:tc>
          <w:tcPr>
            <w:tcW w:w="9640" w:type="dxa"/>
            <w:gridSpan w:val="7"/>
            <w:tcBorders>
              <w:top w:val="single" w:sz="4" w:space="0" w:color="F79646"/>
              <w:left w:val="nil"/>
              <w:bottom w:val="single" w:sz="4" w:space="0" w:color="F79646"/>
              <w:right w:val="nil"/>
            </w:tcBorders>
            <w:shd w:val="clear" w:color="auto" w:fill="auto"/>
            <w:noWrap/>
            <w:vAlign w:val="center"/>
            <w:hideMark/>
          </w:tcPr>
          <w:p w14:paraId="37352059"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Contratos de futuros</w:t>
            </w:r>
          </w:p>
        </w:tc>
      </w:tr>
      <w:tr w:rsidR="00E42D2C" w:rsidRPr="00E42D2C" w14:paraId="1207DD49" w14:textId="77777777" w:rsidTr="00E42D2C">
        <w:trPr>
          <w:trHeight w:val="300"/>
        </w:trPr>
        <w:tc>
          <w:tcPr>
            <w:tcW w:w="2620" w:type="dxa"/>
            <w:tcBorders>
              <w:top w:val="single" w:sz="4" w:space="0" w:color="F79646"/>
              <w:left w:val="nil"/>
              <w:bottom w:val="nil"/>
              <w:right w:val="nil"/>
            </w:tcBorders>
            <w:shd w:val="clear" w:color="auto" w:fill="auto"/>
            <w:noWrap/>
            <w:vAlign w:val="center"/>
            <w:hideMark/>
          </w:tcPr>
          <w:p w14:paraId="43FC6879" w14:textId="77777777" w:rsidR="00E42D2C" w:rsidRPr="00E42D2C" w:rsidRDefault="00E42D2C" w:rsidP="00E42D2C">
            <w:pP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Compromissos de compra</w:t>
            </w:r>
          </w:p>
        </w:tc>
        <w:tc>
          <w:tcPr>
            <w:tcW w:w="1060" w:type="dxa"/>
            <w:tcBorders>
              <w:top w:val="single" w:sz="4" w:space="0" w:color="F79646"/>
              <w:left w:val="nil"/>
              <w:bottom w:val="nil"/>
              <w:right w:val="nil"/>
            </w:tcBorders>
            <w:shd w:val="clear" w:color="auto" w:fill="auto"/>
            <w:noWrap/>
            <w:vAlign w:val="center"/>
            <w:hideMark/>
          </w:tcPr>
          <w:p w14:paraId="4540BF00"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w:t>
            </w:r>
          </w:p>
        </w:tc>
        <w:tc>
          <w:tcPr>
            <w:tcW w:w="1240" w:type="dxa"/>
            <w:tcBorders>
              <w:top w:val="single" w:sz="4" w:space="0" w:color="F79646"/>
              <w:left w:val="nil"/>
              <w:bottom w:val="nil"/>
              <w:right w:val="nil"/>
            </w:tcBorders>
            <w:shd w:val="clear" w:color="auto" w:fill="auto"/>
            <w:noWrap/>
            <w:vAlign w:val="center"/>
            <w:hideMark/>
          </w:tcPr>
          <w:p w14:paraId="5FEC430E"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87.289</w:t>
            </w:r>
          </w:p>
        </w:tc>
        <w:tc>
          <w:tcPr>
            <w:tcW w:w="1060" w:type="dxa"/>
            <w:tcBorders>
              <w:top w:val="single" w:sz="4" w:space="0" w:color="F79646"/>
              <w:left w:val="nil"/>
              <w:bottom w:val="nil"/>
              <w:right w:val="nil"/>
            </w:tcBorders>
            <w:shd w:val="clear" w:color="auto" w:fill="auto"/>
            <w:noWrap/>
            <w:vAlign w:val="center"/>
            <w:hideMark/>
          </w:tcPr>
          <w:p w14:paraId="05D56B0C"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381.432</w:t>
            </w:r>
          </w:p>
        </w:tc>
        <w:tc>
          <w:tcPr>
            <w:tcW w:w="1180" w:type="dxa"/>
            <w:tcBorders>
              <w:top w:val="single" w:sz="4" w:space="0" w:color="F79646"/>
              <w:left w:val="nil"/>
              <w:bottom w:val="nil"/>
              <w:right w:val="nil"/>
            </w:tcBorders>
            <w:shd w:val="clear" w:color="auto" w:fill="auto"/>
            <w:noWrap/>
            <w:vAlign w:val="center"/>
            <w:hideMark/>
          </w:tcPr>
          <w:p w14:paraId="6778619B"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2.981.879</w:t>
            </w:r>
          </w:p>
        </w:tc>
        <w:tc>
          <w:tcPr>
            <w:tcW w:w="1180" w:type="dxa"/>
            <w:tcBorders>
              <w:top w:val="single" w:sz="4" w:space="0" w:color="F79646"/>
              <w:left w:val="nil"/>
              <w:bottom w:val="nil"/>
              <w:right w:val="nil"/>
            </w:tcBorders>
            <w:shd w:val="clear" w:color="auto" w:fill="auto"/>
            <w:noWrap/>
            <w:vAlign w:val="center"/>
            <w:hideMark/>
          </w:tcPr>
          <w:p w14:paraId="104564A2"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3.450.600</w:t>
            </w:r>
          </w:p>
        </w:tc>
        <w:tc>
          <w:tcPr>
            <w:tcW w:w="1300" w:type="dxa"/>
            <w:tcBorders>
              <w:top w:val="single" w:sz="4" w:space="0" w:color="F79646"/>
              <w:left w:val="nil"/>
              <w:bottom w:val="nil"/>
              <w:right w:val="nil"/>
            </w:tcBorders>
            <w:shd w:val="clear" w:color="auto" w:fill="auto"/>
            <w:noWrap/>
            <w:vAlign w:val="center"/>
            <w:hideMark/>
          </w:tcPr>
          <w:p w14:paraId="51324EDA"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356.144</w:t>
            </w:r>
          </w:p>
        </w:tc>
      </w:tr>
      <w:tr w:rsidR="00E42D2C" w:rsidRPr="00E42D2C" w14:paraId="7DD1EAE3" w14:textId="77777777" w:rsidTr="00E42D2C">
        <w:trPr>
          <w:trHeight w:val="300"/>
        </w:trPr>
        <w:tc>
          <w:tcPr>
            <w:tcW w:w="2620" w:type="dxa"/>
            <w:tcBorders>
              <w:top w:val="nil"/>
              <w:left w:val="nil"/>
              <w:bottom w:val="nil"/>
              <w:right w:val="nil"/>
            </w:tcBorders>
            <w:shd w:val="clear" w:color="auto" w:fill="auto"/>
            <w:noWrap/>
            <w:vAlign w:val="center"/>
            <w:hideMark/>
          </w:tcPr>
          <w:p w14:paraId="52C0F610" w14:textId="77777777" w:rsidR="00E42D2C" w:rsidRPr="00E42D2C" w:rsidRDefault="00E42D2C" w:rsidP="00E42D2C">
            <w:pPr>
              <w:ind w:firstLineChars="100" w:firstLine="180"/>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Mercado interfinanceiro</w:t>
            </w:r>
          </w:p>
        </w:tc>
        <w:tc>
          <w:tcPr>
            <w:tcW w:w="1060" w:type="dxa"/>
            <w:tcBorders>
              <w:top w:val="nil"/>
              <w:left w:val="nil"/>
              <w:bottom w:val="nil"/>
              <w:right w:val="nil"/>
            </w:tcBorders>
            <w:shd w:val="clear" w:color="auto" w:fill="auto"/>
            <w:noWrap/>
            <w:vAlign w:val="center"/>
            <w:hideMark/>
          </w:tcPr>
          <w:p w14:paraId="4FAC94A9" w14:textId="77777777" w:rsidR="00E42D2C" w:rsidRPr="00E42D2C" w:rsidRDefault="00E42D2C" w:rsidP="00E42D2C">
            <w:pPr>
              <w:jc w:val="center"/>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w:t>
            </w:r>
          </w:p>
        </w:tc>
        <w:tc>
          <w:tcPr>
            <w:tcW w:w="1240" w:type="dxa"/>
            <w:tcBorders>
              <w:top w:val="nil"/>
              <w:left w:val="nil"/>
              <w:bottom w:val="nil"/>
              <w:right w:val="nil"/>
            </w:tcBorders>
            <w:shd w:val="clear" w:color="auto" w:fill="auto"/>
            <w:noWrap/>
            <w:vAlign w:val="center"/>
            <w:hideMark/>
          </w:tcPr>
          <w:p w14:paraId="2ACFF0DC"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87.289</w:t>
            </w:r>
          </w:p>
        </w:tc>
        <w:tc>
          <w:tcPr>
            <w:tcW w:w="1060" w:type="dxa"/>
            <w:tcBorders>
              <w:top w:val="nil"/>
              <w:left w:val="nil"/>
              <w:bottom w:val="nil"/>
              <w:right w:val="nil"/>
            </w:tcBorders>
            <w:shd w:val="clear" w:color="auto" w:fill="auto"/>
            <w:noWrap/>
            <w:vAlign w:val="center"/>
            <w:hideMark/>
          </w:tcPr>
          <w:p w14:paraId="0657FD1F"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381.432</w:t>
            </w:r>
          </w:p>
        </w:tc>
        <w:tc>
          <w:tcPr>
            <w:tcW w:w="1180" w:type="dxa"/>
            <w:tcBorders>
              <w:top w:val="nil"/>
              <w:left w:val="nil"/>
              <w:bottom w:val="nil"/>
              <w:right w:val="nil"/>
            </w:tcBorders>
            <w:shd w:val="clear" w:color="auto" w:fill="auto"/>
            <w:vAlign w:val="center"/>
            <w:hideMark/>
          </w:tcPr>
          <w:p w14:paraId="78962F87"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2.981.879</w:t>
            </w:r>
          </w:p>
        </w:tc>
        <w:tc>
          <w:tcPr>
            <w:tcW w:w="1180" w:type="dxa"/>
            <w:tcBorders>
              <w:top w:val="nil"/>
              <w:left w:val="nil"/>
              <w:bottom w:val="nil"/>
              <w:right w:val="nil"/>
            </w:tcBorders>
            <w:shd w:val="clear" w:color="auto" w:fill="auto"/>
            <w:noWrap/>
            <w:vAlign w:val="center"/>
            <w:hideMark/>
          </w:tcPr>
          <w:p w14:paraId="34AA40C2"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3.450.600</w:t>
            </w:r>
          </w:p>
        </w:tc>
        <w:tc>
          <w:tcPr>
            <w:tcW w:w="1300" w:type="dxa"/>
            <w:tcBorders>
              <w:top w:val="nil"/>
              <w:left w:val="nil"/>
              <w:bottom w:val="nil"/>
              <w:right w:val="nil"/>
            </w:tcBorders>
            <w:shd w:val="clear" w:color="auto" w:fill="auto"/>
            <w:vAlign w:val="center"/>
            <w:hideMark/>
          </w:tcPr>
          <w:p w14:paraId="02832FEB"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Arial"/>
                <w:color w:val="005CA9"/>
                <w:sz w:val="18"/>
                <w:szCs w:val="18"/>
              </w:rPr>
              <w:t>356.144</w:t>
            </w:r>
          </w:p>
        </w:tc>
      </w:tr>
      <w:tr w:rsidR="00E42D2C" w:rsidRPr="00E42D2C" w14:paraId="326D9797" w14:textId="77777777" w:rsidTr="00E42D2C">
        <w:trPr>
          <w:trHeight w:val="300"/>
        </w:trPr>
        <w:tc>
          <w:tcPr>
            <w:tcW w:w="2620" w:type="dxa"/>
            <w:tcBorders>
              <w:top w:val="nil"/>
              <w:left w:val="nil"/>
              <w:bottom w:val="nil"/>
              <w:right w:val="nil"/>
            </w:tcBorders>
            <w:shd w:val="clear" w:color="auto" w:fill="auto"/>
            <w:noWrap/>
            <w:vAlign w:val="center"/>
            <w:hideMark/>
          </w:tcPr>
          <w:p w14:paraId="792D0039" w14:textId="77777777" w:rsidR="00E42D2C" w:rsidRPr="00E42D2C" w:rsidRDefault="00E42D2C" w:rsidP="00E42D2C">
            <w:pP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Compromissos de venda</w:t>
            </w:r>
          </w:p>
        </w:tc>
        <w:tc>
          <w:tcPr>
            <w:tcW w:w="1060" w:type="dxa"/>
            <w:tcBorders>
              <w:top w:val="nil"/>
              <w:left w:val="nil"/>
              <w:bottom w:val="nil"/>
              <w:right w:val="nil"/>
            </w:tcBorders>
            <w:shd w:val="clear" w:color="auto" w:fill="auto"/>
            <w:noWrap/>
            <w:vAlign w:val="center"/>
            <w:hideMark/>
          </w:tcPr>
          <w:p w14:paraId="4E6E81EB"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2.215.819</w:t>
            </w:r>
          </w:p>
        </w:tc>
        <w:tc>
          <w:tcPr>
            <w:tcW w:w="1240" w:type="dxa"/>
            <w:tcBorders>
              <w:top w:val="nil"/>
              <w:left w:val="nil"/>
              <w:bottom w:val="nil"/>
              <w:right w:val="nil"/>
            </w:tcBorders>
            <w:shd w:val="clear" w:color="auto" w:fill="auto"/>
            <w:noWrap/>
            <w:vAlign w:val="center"/>
            <w:hideMark/>
          </w:tcPr>
          <w:p w14:paraId="007AEDEA"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1.490.244</w:t>
            </w:r>
          </w:p>
        </w:tc>
        <w:tc>
          <w:tcPr>
            <w:tcW w:w="1060" w:type="dxa"/>
            <w:tcBorders>
              <w:top w:val="nil"/>
              <w:left w:val="nil"/>
              <w:bottom w:val="nil"/>
              <w:right w:val="nil"/>
            </w:tcBorders>
            <w:shd w:val="clear" w:color="auto" w:fill="auto"/>
            <w:noWrap/>
            <w:vAlign w:val="center"/>
            <w:hideMark/>
          </w:tcPr>
          <w:p w14:paraId="0705DFCF"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4.533.412</w:t>
            </w:r>
          </w:p>
        </w:tc>
        <w:tc>
          <w:tcPr>
            <w:tcW w:w="1180" w:type="dxa"/>
            <w:tcBorders>
              <w:top w:val="nil"/>
              <w:left w:val="nil"/>
              <w:bottom w:val="nil"/>
              <w:right w:val="nil"/>
            </w:tcBorders>
            <w:shd w:val="clear" w:color="auto" w:fill="auto"/>
            <w:noWrap/>
            <w:vAlign w:val="center"/>
            <w:hideMark/>
          </w:tcPr>
          <w:p w14:paraId="0767CBB7"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87.626.114</w:t>
            </w:r>
          </w:p>
        </w:tc>
        <w:tc>
          <w:tcPr>
            <w:tcW w:w="1180" w:type="dxa"/>
            <w:tcBorders>
              <w:top w:val="nil"/>
              <w:left w:val="nil"/>
              <w:bottom w:val="nil"/>
              <w:right w:val="nil"/>
            </w:tcBorders>
            <w:shd w:val="clear" w:color="auto" w:fill="auto"/>
            <w:noWrap/>
            <w:vAlign w:val="center"/>
            <w:hideMark/>
          </w:tcPr>
          <w:p w14:paraId="33FEDD59" w14:textId="2A853D5B"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95.86</w:t>
            </w:r>
            <w:r w:rsidR="00F44F87">
              <w:rPr>
                <w:rFonts w:ascii="CAIXA Std Book" w:eastAsia="Times New Roman" w:hAnsi="CAIXA Std Book" w:cs="Calibri"/>
                <w:b/>
                <w:bCs/>
                <w:color w:val="005CA9"/>
                <w:sz w:val="18"/>
                <w:szCs w:val="18"/>
              </w:rPr>
              <w:t>5</w:t>
            </w:r>
            <w:r w:rsidRPr="00E42D2C">
              <w:rPr>
                <w:rFonts w:ascii="CAIXA Std Book" w:eastAsia="Times New Roman" w:hAnsi="CAIXA Std Book" w:cs="Calibri"/>
                <w:b/>
                <w:bCs/>
                <w:color w:val="005CA9"/>
                <w:sz w:val="18"/>
                <w:szCs w:val="18"/>
              </w:rPr>
              <w:t>.589</w:t>
            </w:r>
          </w:p>
        </w:tc>
        <w:tc>
          <w:tcPr>
            <w:tcW w:w="1300" w:type="dxa"/>
            <w:tcBorders>
              <w:top w:val="nil"/>
              <w:left w:val="nil"/>
              <w:bottom w:val="nil"/>
              <w:right w:val="nil"/>
            </w:tcBorders>
            <w:shd w:val="clear" w:color="auto" w:fill="auto"/>
            <w:noWrap/>
            <w:vAlign w:val="center"/>
            <w:hideMark/>
          </w:tcPr>
          <w:p w14:paraId="537E6175"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113.188.649</w:t>
            </w:r>
          </w:p>
        </w:tc>
      </w:tr>
      <w:tr w:rsidR="00E42D2C" w:rsidRPr="00E42D2C" w14:paraId="71F25C19" w14:textId="77777777" w:rsidTr="00E42D2C">
        <w:trPr>
          <w:trHeight w:val="300"/>
        </w:trPr>
        <w:tc>
          <w:tcPr>
            <w:tcW w:w="2620" w:type="dxa"/>
            <w:tcBorders>
              <w:top w:val="nil"/>
              <w:left w:val="nil"/>
              <w:bottom w:val="nil"/>
              <w:right w:val="nil"/>
            </w:tcBorders>
            <w:shd w:val="clear" w:color="auto" w:fill="auto"/>
            <w:noWrap/>
            <w:vAlign w:val="center"/>
            <w:hideMark/>
          </w:tcPr>
          <w:p w14:paraId="315D41FD" w14:textId="77777777" w:rsidR="00E42D2C" w:rsidRPr="00E42D2C" w:rsidRDefault="00E42D2C" w:rsidP="00E42D2C">
            <w:pPr>
              <w:ind w:firstLineChars="100" w:firstLine="180"/>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Mercado interfinanceiro</w:t>
            </w:r>
          </w:p>
        </w:tc>
        <w:tc>
          <w:tcPr>
            <w:tcW w:w="1060" w:type="dxa"/>
            <w:tcBorders>
              <w:top w:val="nil"/>
              <w:left w:val="nil"/>
              <w:bottom w:val="nil"/>
              <w:right w:val="nil"/>
            </w:tcBorders>
            <w:shd w:val="clear" w:color="auto" w:fill="auto"/>
            <w:noWrap/>
            <w:vAlign w:val="center"/>
            <w:hideMark/>
          </w:tcPr>
          <w:p w14:paraId="61B96159"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1.818.948</w:t>
            </w:r>
          </w:p>
        </w:tc>
        <w:tc>
          <w:tcPr>
            <w:tcW w:w="1240" w:type="dxa"/>
            <w:tcBorders>
              <w:top w:val="nil"/>
              <w:left w:val="nil"/>
              <w:bottom w:val="nil"/>
              <w:right w:val="nil"/>
            </w:tcBorders>
            <w:shd w:val="clear" w:color="auto" w:fill="auto"/>
            <w:noWrap/>
            <w:vAlign w:val="center"/>
            <w:hideMark/>
          </w:tcPr>
          <w:p w14:paraId="1FD87664"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1.490.244</w:t>
            </w:r>
          </w:p>
        </w:tc>
        <w:tc>
          <w:tcPr>
            <w:tcW w:w="1060" w:type="dxa"/>
            <w:tcBorders>
              <w:top w:val="nil"/>
              <w:left w:val="nil"/>
              <w:bottom w:val="nil"/>
              <w:right w:val="nil"/>
            </w:tcBorders>
            <w:shd w:val="clear" w:color="auto" w:fill="auto"/>
            <w:noWrap/>
            <w:vAlign w:val="center"/>
            <w:hideMark/>
          </w:tcPr>
          <w:p w14:paraId="4E4292C0"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4.533.412</w:t>
            </w:r>
          </w:p>
        </w:tc>
        <w:tc>
          <w:tcPr>
            <w:tcW w:w="1180" w:type="dxa"/>
            <w:tcBorders>
              <w:top w:val="nil"/>
              <w:left w:val="nil"/>
              <w:bottom w:val="nil"/>
              <w:right w:val="nil"/>
            </w:tcBorders>
            <w:shd w:val="clear" w:color="auto" w:fill="auto"/>
            <w:noWrap/>
            <w:vAlign w:val="center"/>
            <w:hideMark/>
          </w:tcPr>
          <w:p w14:paraId="6B04A0F8"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87.626.114</w:t>
            </w:r>
          </w:p>
        </w:tc>
        <w:tc>
          <w:tcPr>
            <w:tcW w:w="1180" w:type="dxa"/>
            <w:tcBorders>
              <w:top w:val="nil"/>
              <w:left w:val="nil"/>
              <w:bottom w:val="nil"/>
              <w:right w:val="nil"/>
            </w:tcBorders>
            <w:shd w:val="clear" w:color="auto" w:fill="auto"/>
            <w:noWrap/>
            <w:vAlign w:val="center"/>
            <w:hideMark/>
          </w:tcPr>
          <w:p w14:paraId="2BA04667"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95.468.718</w:t>
            </w:r>
          </w:p>
        </w:tc>
        <w:tc>
          <w:tcPr>
            <w:tcW w:w="1300" w:type="dxa"/>
            <w:tcBorders>
              <w:top w:val="nil"/>
              <w:left w:val="nil"/>
              <w:bottom w:val="nil"/>
              <w:right w:val="nil"/>
            </w:tcBorders>
            <w:shd w:val="clear" w:color="auto" w:fill="auto"/>
            <w:vAlign w:val="center"/>
            <w:hideMark/>
          </w:tcPr>
          <w:p w14:paraId="3EB99E15"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Arial"/>
                <w:color w:val="005CA9"/>
                <w:sz w:val="18"/>
                <w:szCs w:val="18"/>
              </w:rPr>
              <w:t>112.796.692</w:t>
            </w:r>
          </w:p>
        </w:tc>
      </w:tr>
      <w:tr w:rsidR="00E42D2C" w:rsidRPr="00E42D2C" w14:paraId="50917ABE" w14:textId="77777777" w:rsidTr="00E42D2C">
        <w:trPr>
          <w:trHeight w:val="315"/>
        </w:trPr>
        <w:tc>
          <w:tcPr>
            <w:tcW w:w="2620" w:type="dxa"/>
            <w:tcBorders>
              <w:top w:val="nil"/>
              <w:left w:val="nil"/>
              <w:bottom w:val="single" w:sz="4" w:space="0" w:color="F79646"/>
              <w:right w:val="nil"/>
            </w:tcBorders>
            <w:shd w:val="clear" w:color="auto" w:fill="auto"/>
            <w:noWrap/>
            <w:vAlign w:val="center"/>
            <w:hideMark/>
          </w:tcPr>
          <w:p w14:paraId="79C42E6E" w14:textId="77777777" w:rsidR="00E42D2C" w:rsidRPr="00E42D2C" w:rsidRDefault="00E42D2C" w:rsidP="00E42D2C">
            <w:pPr>
              <w:ind w:firstLineChars="100" w:firstLine="180"/>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Moeda estrangeira</w:t>
            </w:r>
          </w:p>
        </w:tc>
        <w:tc>
          <w:tcPr>
            <w:tcW w:w="1060" w:type="dxa"/>
            <w:tcBorders>
              <w:top w:val="nil"/>
              <w:left w:val="nil"/>
              <w:bottom w:val="single" w:sz="4" w:space="0" w:color="F79646"/>
              <w:right w:val="nil"/>
            </w:tcBorders>
            <w:shd w:val="clear" w:color="auto" w:fill="auto"/>
            <w:noWrap/>
            <w:vAlign w:val="center"/>
            <w:hideMark/>
          </w:tcPr>
          <w:p w14:paraId="76361BD5"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396.871</w:t>
            </w:r>
          </w:p>
        </w:tc>
        <w:tc>
          <w:tcPr>
            <w:tcW w:w="1240" w:type="dxa"/>
            <w:tcBorders>
              <w:top w:val="nil"/>
              <w:left w:val="nil"/>
              <w:bottom w:val="single" w:sz="4" w:space="0" w:color="F79646"/>
              <w:right w:val="nil"/>
            </w:tcBorders>
            <w:shd w:val="clear" w:color="auto" w:fill="auto"/>
            <w:noWrap/>
            <w:vAlign w:val="center"/>
            <w:hideMark/>
          </w:tcPr>
          <w:p w14:paraId="14D6AD8C" w14:textId="08E47617" w:rsidR="00E42D2C" w:rsidRPr="00E42D2C" w:rsidRDefault="00E42D2C" w:rsidP="00E42D2C">
            <w:pPr>
              <w:jc w:val="center"/>
              <w:rPr>
                <w:rFonts w:ascii="CAIXA Std Book" w:eastAsia="Times New Roman" w:hAnsi="CAIXA Std Book" w:cs="Calibri"/>
                <w:color w:val="005CA9"/>
                <w:sz w:val="18"/>
                <w:szCs w:val="18"/>
              </w:rPr>
            </w:pPr>
            <w:r>
              <w:rPr>
                <w:rFonts w:ascii="CAIXA Std Book" w:eastAsia="Times New Roman" w:hAnsi="CAIXA Std Book" w:cs="Calibri"/>
                <w:color w:val="005CA9"/>
                <w:sz w:val="18"/>
                <w:szCs w:val="18"/>
              </w:rPr>
              <w:t>-</w:t>
            </w:r>
          </w:p>
        </w:tc>
        <w:tc>
          <w:tcPr>
            <w:tcW w:w="1060" w:type="dxa"/>
            <w:tcBorders>
              <w:top w:val="nil"/>
              <w:left w:val="nil"/>
              <w:bottom w:val="single" w:sz="4" w:space="0" w:color="F79646"/>
              <w:right w:val="nil"/>
            </w:tcBorders>
            <w:shd w:val="clear" w:color="auto" w:fill="auto"/>
            <w:noWrap/>
            <w:vAlign w:val="center"/>
            <w:hideMark/>
          </w:tcPr>
          <w:p w14:paraId="0ACC8E62" w14:textId="3F930CE6" w:rsidR="00E42D2C" w:rsidRPr="00E42D2C" w:rsidRDefault="00E42D2C" w:rsidP="00E42D2C">
            <w:pPr>
              <w:jc w:val="center"/>
              <w:rPr>
                <w:rFonts w:ascii="CAIXA Std Book" w:eastAsia="Times New Roman" w:hAnsi="CAIXA Std Book" w:cs="Calibri"/>
                <w:color w:val="005CA9"/>
                <w:sz w:val="18"/>
                <w:szCs w:val="18"/>
              </w:rPr>
            </w:pPr>
            <w:r>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vAlign w:val="center"/>
            <w:hideMark/>
          </w:tcPr>
          <w:p w14:paraId="647EF3C1" w14:textId="0762A468" w:rsidR="00E42D2C" w:rsidRPr="00E42D2C" w:rsidRDefault="00E42D2C" w:rsidP="00E42D2C">
            <w:pPr>
              <w:jc w:val="center"/>
              <w:rPr>
                <w:rFonts w:ascii="CAIXA Std Book" w:eastAsia="Times New Roman" w:hAnsi="CAIXA Std Book" w:cs="Calibri"/>
                <w:color w:val="005CA9"/>
                <w:sz w:val="18"/>
                <w:szCs w:val="18"/>
              </w:rPr>
            </w:pPr>
            <w:r>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noWrap/>
            <w:vAlign w:val="center"/>
            <w:hideMark/>
          </w:tcPr>
          <w:p w14:paraId="755A2F1E"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396.871</w:t>
            </w:r>
          </w:p>
        </w:tc>
        <w:tc>
          <w:tcPr>
            <w:tcW w:w="1300" w:type="dxa"/>
            <w:tcBorders>
              <w:top w:val="nil"/>
              <w:left w:val="nil"/>
              <w:bottom w:val="single" w:sz="4" w:space="0" w:color="F79646"/>
              <w:right w:val="nil"/>
            </w:tcBorders>
            <w:shd w:val="clear" w:color="auto" w:fill="auto"/>
            <w:vAlign w:val="center"/>
            <w:hideMark/>
          </w:tcPr>
          <w:p w14:paraId="1FCE8358"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Arial"/>
                <w:color w:val="005CA9"/>
                <w:sz w:val="18"/>
                <w:szCs w:val="18"/>
              </w:rPr>
              <w:t>391.957</w:t>
            </w:r>
          </w:p>
        </w:tc>
      </w:tr>
      <w:tr w:rsidR="00E42D2C" w:rsidRPr="00E42D2C" w14:paraId="4D9B81F2" w14:textId="77777777" w:rsidTr="00E42D2C">
        <w:trPr>
          <w:trHeight w:val="315"/>
        </w:trPr>
        <w:tc>
          <w:tcPr>
            <w:tcW w:w="9640" w:type="dxa"/>
            <w:gridSpan w:val="7"/>
            <w:tcBorders>
              <w:top w:val="single" w:sz="4" w:space="0" w:color="F79646"/>
              <w:left w:val="nil"/>
              <w:bottom w:val="single" w:sz="4" w:space="0" w:color="F79646"/>
              <w:right w:val="nil"/>
            </w:tcBorders>
            <w:shd w:val="clear" w:color="auto" w:fill="auto"/>
            <w:noWrap/>
            <w:vAlign w:val="center"/>
            <w:hideMark/>
          </w:tcPr>
          <w:p w14:paraId="781EB891"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Contratos de Swaps</w:t>
            </w:r>
          </w:p>
        </w:tc>
      </w:tr>
      <w:tr w:rsidR="00E42D2C" w:rsidRPr="00E42D2C" w14:paraId="1915CA8B" w14:textId="77777777" w:rsidTr="00E42D2C">
        <w:trPr>
          <w:trHeight w:val="300"/>
        </w:trPr>
        <w:tc>
          <w:tcPr>
            <w:tcW w:w="2620" w:type="dxa"/>
            <w:tcBorders>
              <w:top w:val="single" w:sz="4" w:space="0" w:color="F79646"/>
              <w:left w:val="nil"/>
              <w:bottom w:val="nil"/>
              <w:right w:val="nil"/>
            </w:tcBorders>
            <w:shd w:val="clear" w:color="auto" w:fill="auto"/>
            <w:noWrap/>
            <w:vAlign w:val="center"/>
            <w:hideMark/>
          </w:tcPr>
          <w:p w14:paraId="61D4F0B6" w14:textId="77777777" w:rsidR="00E42D2C" w:rsidRPr="00E42D2C" w:rsidRDefault="00E42D2C" w:rsidP="00E42D2C">
            <w:pPr>
              <w:rPr>
                <w:rFonts w:ascii="CAIXA Std Book" w:eastAsia="Times New Roman" w:hAnsi="CAIXA Std Book" w:cs="Calibri"/>
                <w:b/>
                <w:bCs/>
                <w:i/>
                <w:iCs/>
                <w:color w:val="005CA9"/>
                <w:sz w:val="18"/>
                <w:szCs w:val="18"/>
              </w:rPr>
            </w:pPr>
            <w:r w:rsidRPr="00E42D2C">
              <w:rPr>
                <w:rFonts w:ascii="CAIXA Std Book" w:eastAsia="Times New Roman" w:hAnsi="CAIXA Std Book" w:cs="Calibri"/>
                <w:b/>
                <w:bCs/>
                <w:i/>
                <w:iCs/>
                <w:color w:val="005CA9"/>
                <w:sz w:val="18"/>
                <w:szCs w:val="18"/>
              </w:rPr>
              <w:t>Swaps</w:t>
            </w:r>
          </w:p>
        </w:tc>
        <w:tc>
          <w:tcPr>
            <w:tcW w:w="1060" w:type="dxa"/>
            <w:tcBorders>
              <w:top w:val="single" w:sz="4" w:space="0" w:color="F79646"/>
              <w:left w:val="nil"/>
              <w:bottom w:val="nil"/>
              <w:right w:val="nil"/>
            </w:tcBorders>
            <w:shd w:val="clear" w:color="auto" w:fill="auto"/>
            <w:noWrap/>
            <w:vAlign w:val="center"/>
            <w:hideMark/>
          </w:tcPr>
          <w:p w14:paraId="4123611D"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200.000</w:t>
            </w:r>
          </w:p>
        </w:tc>
        <w:tc>
          <w:tcPr>
            <w:tcW w:w="1240" w:type="dxa"/>
            <w:tcBorders>
              <w:top w:val="single" w:sz="4" w:space="0" w:color="F79646"/>
              <w:left w:val="nil"/>
              <w:bottom w:val="nil"/>
              <w:right w:val="nil"/>
            </w:tcBorders>
            <w:shd w:val="clear" w:color="auto" w:fill="auto"/>
            <w:noWrap/>
            <w:vAlign w:val="center"/>
            <w:hideMark/>
          </w:tcPr>
          <w:p w14:paraId="05517E10"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3.450</w:t>
            </w:r>
          </w:p>
        </w:tc>
        <w:tc>
          <w:tcPr>
            <w:tcW w:w="1060" w:type="dxa"/>
            <w:tcBorders>
              <w:top w:val="single" w:sz="4" w:space="0" w:color="F79646"/>
              <w:left w:val="nil"/>
              <w:bottom w:val="nil"/>
              <w:right w:val="nil"/>
            </w:tcBorders>
            <w:shd w:val="clear" w:color="auto" w:fill="auto"/>
            <w:noWrap/>
            <w:vAlign w:val="center"/>
            <w:hideMark/>
          </w:tcPr>
          <w:p w14:paraId="225DEE33"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7.200</w:t>
            </w:r>
          </w:p>
        </w:tc>
        <w:tc>
          <w:tcPr>
            <w:tcW w:w="1180" w:type="dxa"/>
            <w:tcBorders>
              <w:top w:val="single" w:sz="4" w:space="0" w:color="F79646"/>
              <w:left w:val="nil"/>
              <w:bottom w:val="nil"/>
              <w:right w:val="nil"/>
            </w:tcBorders>
            <w:shd w:val="clear" w:color="auto" w:fill="auto"/>
            <w:noWrap/>
            <w:vAlign w:val="center"/>
            <w:hideMark/>
          </w:tcPr>
          <w:p w14:paraId="0887F1D3"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w:t>
            </w:r>
          </w:p>
        </w:tc>
        <w:tc>
          <w:tcPr>
            <w:tcW w:w="1180" w:type="dxa"/>
            <w:tcBorders>
              <w:top w:val="single" w:sz="4" w:space="0" w:color="F79646"/>
              <w:left w:val="nil"/>
              <w:bottom w:val="nil"/>
              <w:right w:val="nil"/>
            </w:tcBorders>
            <w:shd w:val="clear" w:color="auto" w:fill="auto"/>
            <w:noWrap/>
            <w:vAlign w:val="center"/>
            <w:hideMark/>
          </w:tcPr>
          <w:p w14:paraId="6254D037"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210.650</w:t>
            </w:r>
          </w:p>
        </w:tc>
        <w:tc>
          <w:tcPr>
            <w:tcW w:w="1300" w:type="dxa"/>
            <w:tcBorders>
              <w:top w:val="single" w:sz="4" w:space="0" w:color="F79646"/>
              <w:left w:val="nil"/>
              <w:bottom w:val="nil"/>
              <w:right w:val="nil"/>
            </w:tcBorders>
            <w:shd w:val="clear" w:color="auto" w:fill="auto"/>
            <w:noWrap/>
            <w:vAlign w:val="center"/>
            <w:hideMark/>
          </w:tcPr>
          <w:p w14:paraId="6AC4C065"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210.650</w:t>
            </w:r>
          </w:p>
        </w:tc>
      </w:tr>
      <w:tr w:rsidR="00E42D2C" w:rsidRPr="00E42D2C" w14:paraId="64DA19CB" w14:textId="77777777" w:rsidTr="00E42D2C">
        <w:trPr>
          <w:trHeight w:val="315"/>
        </w:trPr>
        <w:tc>
          <w:tcPr>
            <w:tcW w:w="2620" w:type="dxa"/>
            <w:tcBorders>
              <w:top w:val="nil"/>
              <w:left w:val="nil"/>
              <w:bottom w:val="single" w:sz="4" w:space="0" w:color="F79646"/>
              <w:right w:val="nil"/>
            </w:tcBorders>
            <w:shd w:val="clear" w:color="auto" w:fill="auto"/>
            <w:noWrap/>
            <w:vAlign w:val="center"/>
            <w:hideMark/>
          </w:tcPr>
          <w:p w14:paraId="740806E4" w14:textId="77777777" w:rsidR="00E42D2C" w:rsidRPr="00E42D2C" w:rsidRDefault="00E42D2C" w:rsidP="00E42D2C">
            <w:pPr>
              <w:ind w:firstLineChars="100" w:firstLine="180"/>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Índices</w:t>
            </w:r>
          </w:p>
        </w:tc>
        <w:tc>
          <w:tcPr>
            <w:tcW w:w="1060" w:type="dxa"/>
            <w:tcBorders>
              <w:top w:val="nil"/>
              <w:left w:val="nil"/>
              <w:bottom w:val="single" w:sz="4" w:space="0" w:color="F79646"/>
              <w:right w:val="nil"/>
            </w:tcBorders>
            <w:shd w:val="clear" w:color="auto" w:fill="auto"/>
            <w:vAlign w:val="center"/>
            <w:hideMark/>
          </w:tcPr>
          <w:p w14:paraId="72FD5535"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Arial"/>
                <w:color w:val="005CA9"/>
                <w:sz w:val="18"/>
                <w:szCs w:val="18"/>
              </w:rPr>
              <w:t>200.000</w:t>
            </w:r>
          </w:p>
        </w:tc>
        <w:tc>
          <w:tcPr>
            <w:tcW w:w="1240" w:type="dxa"/>
            <w:tcBorders>
              <w:top w:val="nil"/>
              <w:left w:val="nil"/>
              <w:bottom w:val="single" w:sz="4" w:space="0" w:color="F79646"/>
              <w:right w:val="nil"/>
            </w:tcBorders>
            <w:shd w:val="clear" w:color="auto" w:fill="auto"/>
            <w:vAlign w:val="center"/>
            <w:hideMark/>
          </w:tcPr>
          <w:p w14:paraId="7BBAC02C"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Arial"/>
                <w:color w:val="005CA9"/>
                <w:sz w:val="18"/>
                <w:szCs w:val="18"/>
              </w:rPr>
              <w:t>3.450</w:t>
            </w:r>
          </w:p>
        </w:tc>
        <w:tc>
          <w:tcPr>
            <w:tcW w:w="1060" w:type="dxa"/>
            <w:tcBorders>
              <w:top w:val="nil"/>
              <w:left w:val="nil"/>
              <w:bottom w:val="single" w:sz="4" w:space="0" w:color="F79646"/>
              <w:right w:val="nil"/>
            </w:tcBorders>
            <w:shd w:val="clear" w:color="auto" w:fill="auto"/>
            <w:vAlign w:val="center"/>
            <w:hideMark/>
          </w:tcPr>
          <w:p w14:paraId="466B43CE"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7.200</w:t>
            </w:r>
          </w:p>
        </w:tc>
        <w:tc>
          <w:tcPr>
            <w:tcW w:w="1180" w:type="dxa"/>
            <w:tcBorders>
              <w:top w:val="nil"/>
              <w:left w:val="nil"/>
              <w:bottom w:val="single" w:sz="4" w:space="0" w:color="F79646"/>
              <w:right w:val="nil"/>
            </w:tcBorders>
            <w:shd w:val="clear" w:color="auto" w:fill="auto"/>
            <w:vAlign w:val="center"/>
            <w:hideMark/>
          </w:tcPr>
          <w:p w14:paraId="1C151E5D" w14:textId="77777777" w:rsidR="00E42D2C" w:rsidRPr="00E42D2C" w:rsidRDefault="00E42D2C" w:rsidP="00E42D2C">
            <w:pPr>
              <w:jc w:val="center"/>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vAlign w:val="center"/>
            <w:hideMark/>
          </w:tcPr>
          <w:p w14:paraId="713A982B"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210.650</w:t>
            </w:r>
          </w:p>
        </w:tc>
        <w:tc>
          <w:tcPr>
            <w:tcW w:w="1300" w:type="dxa"/>
            <w:tcBorders>
              <w:top w:val="nil"/>
              <w:left w:val="nil"/>
              <w:bottom w:val="single" w:sz="4" w:space="0" w:color="F79646"/>
              <w:right w:val="nil"/>
            </w:tcBorders>
            <w:shd w:val="clear" w:color="auto" w:fill="auto"/>
            <w:vAlign w:val="center"/>
            <w:hideMark/>
          </w:tcPr>
          <w:p w14:paraId="6FECA746" w14:textId="77777777" w:rsidR="00E42D2C" w:rsidRPr="00E42D2C" w:rsidRDefault="00E42D2C" w:rsidP="00E42D2C">
            <w:pPr>
              <w:jc w:val="right"/>
              <w:rPr>
                <w:rFonts w:ascii="CAIXA Std Book" w:eastAsia="Times New Roman" w:hAnsi="CAIXA Std Book" w:cs="Calibri"/>
                <w:color w:val="005CA9"/>
                <w:sz w:val="18"/>
                <w:szCs w:val="18"/>
              </w:rPr>
            </w:pPr>
            <w:r w:rsidRPr="00E42D2C">
              <w:rPr>
                <w:rFonts w:ascii="CAIXA Std Book" w:eastAsia="Times New Roman" w:hAnsi="CAIXA Std Book" w:cs="Calibri"/>
                <w:color w:val="005CA9"/>
                <w:sz w:val="18"/>
                <w:szCs w:val="18"/>
              </w:rPr>
              <w:t>210.650</w:t>
            </w:r>
          </w:p>
        </w:tc>
      </w:tr>
      <w:tr w:rsidR="00E42D2C" w:rsidRPr="00E42D2C" w14:paraId="45890797" w14:textId="77777777" w:rsidTr="00E42D2C">
        <w:trPr>
          <w:trHeight w:val="315"/>
        </w:trPr>
        <w:tc>
          <w:tcPr>
            <w:tcW w:w="9640" w:type="dxa"/>
            <w:gridSpan w:val="7"/>
            <w:tcBorders>
              <w:top w:val="single" w:sz="4" w:space="0" w:color="F79646"/>
              <w:left w:val="nil"/>
              <w:bottom w:val="single" w:sz="4" w:space="0" w:color="F79646"/>
              <w:right w:val="nil"/>
            </w:tcBorders>
            <w:shd w:val="clear" w:color="auto" w:fill="auto"/>
            <w:noWrap/>
            <w:vAlign w:val="center"/>
            <w:hideMark/>
          </w:tcPr>
          <w:p w14:paraId="1E1C7A35"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Outros derivativos</w:t>
            </w:r>
          </w:p>
        </w:tc>
      </w:tr>
      <w:tr w:rsidR="00E42D2C" w:rsidRPr="00E42D2C" w14:paraId="0F04B08B" w14:textId="77777777" w:rsidTr="00E42D2C">
        <w:trPr>
          <w:trHeight w:val="315"/>
        </w:trPr>
        <w:tc>
          <w:tcPr>
            <w:tcW w:w="2620" w:type="dxa"/>
            <w:tcBorders>
              <w:top w:val="single" w:sz="4" w:space="0" w:color="F79646"/>
              <w:left w:val="nil"/>
              <w:bottom w:val="single" w:sz="4" w:space="0" w:color="F79646"/>
              <w:right w:val="nil"/>
            </w:tcBorders>
            <w:shd w:val="clear" w:color="auto" w:fill="auto"/>
            <w:noWrap/>
            <w:vAlign w:val="center"/>
            <w:hideMark/>
          </w:tcPr>
          <w:p w14:paraId="34F4F882" w14:textId="77777777" w:rsidR="00E42D2C" w:rsidRPr="00E42D2C" w:rsidRDefault="00E42D2C" w:rsidP="00E42D2C">
            <w:pP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Derivativo FGTS</w:t>
            </w:r>
            <w:r w:rsidRPr="00E42D2C">
              <w:rPr>
                <w:rFonts w:ascii="CAIXA Std Book" w:eastAsia="Times New Roman" w:hAnsi="CAIXA Std Book" w:cs="Calibri"/>
                <w:color w:val="005CA9"/>
                <w:sz w:val="18"/>
                <w:szCs w:val="18"/>
              </w:rPr>
              <w:t> </w:t>
            </w:r>
          </w:p>
        </w:tc>
        <w:tc>
          <w:tcPr>
            <w:tcW w:w="1060" w:type="dxa"/>
            <w:tcBorders>
              <w:top w:val="single" w:sz="4" w:space="0" w:color="F79646"/>
              <w:left w:val="nil"/>
              <w:bottom w:val="single" w:sz="4" w:space="0" w:color="F79646"/>
              <w:right w:val="nil"/>
            </w:tcBorders>
            <w:shd w:val="clear" w:color="auto" w:fill="auto"/>
            <w:noWrap/>
            <w:vAlign w:val="center"/>
            <w:hideMark/>
          </w:tcPr>
          <w:p w14:paraId="34EE6619" w14:textId="3363F478" w:rsidR="00E42D2C" w:rsidRPr="00E42D2C" w:rsidRDefault="009B251C" w:rsidP="009B251C">
            <w:pPr>
              <w:jc w:val="center"/>
              <w:rPr>
                <w:rFonts w:ascii="CAIXA Std Book" w:eastAsia="Times New Roman" w:hAnsi="CAIXA Std Book" w:cs="Calibri"/>
                <w:b/>
                <w:bCs/>
                <w:color w:val="005CA9"/>
                <w:sz w:val="18"/>
                <w:szCs w:val="18"/>
              </w:rPr>
            </w:pPr>
            <w:r>
              <w:rPr>
                <w:rFonts w:ascii="CAIXA Std Book" w:eastAsia="Times New Roman" w:hAnsi="CAIXA Std Book" w:cs="Calibri"/>
                <w:b/>
                <w:bCs/>
                <w:color w:val="005CA9"/>
                <w:sz w:val="18"/>
                <w:szCs w:val="18"/>
              </w:rPr>
              <w:t>-</w:t>
            </w:r>
          </w:p>
        </w:tc>
        <w:tc>
          <w:tcPr>
            <w:tcW w:w="1240" w:type="dxa"/>
            <w:tcBorders>
              <w:top w:val="single" w:sz="4" w:space="0" w:color="F79646"/>
              <w:left w:val="nil"/>
              <w:bottom w:val="single" w:sz="4" w:space="0" w:color="F79646"/>
              <w:right w:val="nil"/>
            </w:tcBorders>
            <w:shd w:val="clear" w:color="auto" w:fill="auto"/>
            <w:noWrap/>
            <w:vAlign w:val="center"/>
            <w:hideMark/>
          </w:tcPr>
          <w:p w14:paraId="38CFA2E0" w14:textId="77777777" w:rsidR="00E42D2C" w:rsidRPr="00E42D2C" w:rsidRDefault="00E42D2C" w:rsidP="009B251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w:t>
            </w:r>
          </w:p>
        </w:tc>
        <w:tc>
          <w:tcPr>
            <w:tcW w:w="1060" w:type="dxa"/>
            <w:tcBorders>
              <w:top w:val="single" w:sz="4" w:space="0" w:color="F79646"/>
              <w:left w:val="nil"/>
              <w:bottom w:val="single" w:sz="4" w:space="0" w:color="F79646"/>
              <w:right w:val="nil"/>
            </w:tcBorders>
            <w:shd w:val="clear" w:color="auto" w:fill="auto"/>
            <w:noWrap/>
            <w:vAlign w:val="center"/>
            <w:hideMark/>
          </w:tcPr>
          <w:p w14:paraId="10A84465" w14:textId="77777777" w:rsidR="00E42D2C" w:rsidRPr="00E42D2C" w:rsidRDefault="00E42D2C" w:rsidP="009B251C">
            <w:pPr>
              <w:jc w:val="center"/>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w:t>
            </w:r>
          </w:p>
        </w:tc>
        <w:tc>
          <w:tcPr>
            <w:tcW w:w="1180" w:type="dxa"/>
            <w:tcBorders>
              <w:top w:val="single" w:sz="4" w:space="0" w:color="F79646"/>
              <w:left w:val="nil"/>
              <w:bottom w:val="single" w:sz="4" w:space="0" w:color="F79646"/>
              <w:right w:val="nil"/>
            </w:tcBorders>
            <w:shd w:val="clear" w:color="auto" w:fill="auto"/>
            <w:noWrap/>
            <w:vAlign w:val="center"/>
            <w:hideMark/>
          </w:tcPr>
          <w:p w14:paraId="22548214"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3.523.980</w:t>
            </w:r>
          </w:p>
        </w:tc>
        <w:tc>
          <w:tcPr>
            <w:tcW w:w="1180" w:type="dxa"/>
            <w:tcBorders>
              <w:top w:val="single" w:sz="4" w:space="0" w:color="F79646"/>
              <w:left w:val="nil"/>
              <w:bottom w:val="single" w:sz="4" w:space="0" w:color="F79646"/>
              <w:right w:val="nil"/>
            </w:tcBorders>
            <w:shd w:val="clear" w:color="auto" w:fill="auto"/>
            <w:noWrap/>
            <w:vAlign w:val="center"/>
            <w:hideMark/>
          </w:tcPr>
          <w:p w14:paraId="1F0EF343" w14:textId="77777777" w:rsidR="00E42D2C" w:rsidRPr="00E42D2C" w:rsidRDefault="00E42D2C" w:rsidP="00E42D2C">
            <w:pPr>
              <w:jc w:val="center"/>
              <w:rPr>
                <w:rFonts w:ascii="CAIXA Std Book" w:eastAsia="Times New Roman" w:hAnsi="CAIXA Std Book" w:cs="Calibri"/>
                <w:b/>
                <w:bCs/>
                <w:color w:val="005CA9"/>
                <w:sz w:val="18"/>
                <w:szCs w:val="18"/>
              </w:rPr>
            </w:pPr>
            <w:r w:rsidRPr="00E42D2C">
              <w:rPr>
                <w:rFonts w:ascii="CAIXA Std Book" w:eastAsia="Times New Roman" w:hAnsi="CAIXA Std Book" w:cs="Arial"/>
                <w:b/>
                <w:bCs/>
                <w:color w:val="005CA9"/>
                <w:sz w:val="18"/>
                <w:szCs w:val="18"/>
              </w:rPr>
              <w:t>3.523.980</w:t>
            </w:r>
          </w:p>
        </w:tc>
        <w:tc>
          <w:tcPr>
            <w:tcW w:w="1300" w:type="dxa"/>
            <w:tcBorders>
              <w:top w:val="single" w:sz="4" w:space="0" w:color="F79646"/>
              <w:left w:val="nil"/>
              <w:bottom w:val="single" w:sz="4" w:space="0" w:color="F79646"/>
              <w:right w:val="nil"/>
            </w:tcBorders>
            <w:shd w:val="clear" w:color="auto" w:fill="auto"/>
            <w:noWrap/>
            <w:vAlign w:val="center"/>
            <w:hideMark/>
          </w:tcPr>
          <w:p w14:paraId="1B971B72" w14:textId="77777777" w:rsidR="00E42D2C" w:rsidRPr="00E42D2C" w:rsidRDefault="00E42D2C" w:rsidP="00E42D2C">
            <w:pPr>
              <w:jc w:val="right"/>
              <w:rPr>
                <w:rFonts w:ascii="CAIXA Std Book" w:eastAsia="Times New Roman" w:hAnsi="CAIXA Std Book" w:cs="Calibri"/>
                <w:b/>
                <w:bCs/>
                <w:color w:val="005CA9"/>
                <w:sz w:val="18"/>
                <w:szCs w:val="18"/>
              </w:rPr>
            </w:pPr>
            <w:r w:rsidRPr="00E42D2C">
              <w:rPr>
                <w:rFonts w:ascii="CAIXA Std Book" w:eastAsia="Times New Roman" w:hAnsi="CAIXA Std Book" w:cs="Calibri"/>
                <w:b/>
                <w:bCs/>
                <w:color w:val="005CA9"/>
                <w:sz w:val="18"/>
                <w:szCs w:val="18"/>
              </w:rPr>
              <w:t>3.526.810</w:t>
            </w:r>
          </w:p>
        </w:tc>
      </w:tr>
    </w:tbl>
    <w:p w14:paraId="5C72A183" w14:textId="77777777" w:rsidR="00764383" w:rsidRPr="00FF4346" w:rsidRDefault="00764383" w:rsidP="00A86BD6">
      <w:pPr>
        <w:keepNext/>
        <w:tabs>
          <w:tab w:val="left" w:pos="567"/>
        </w:tabs>
        <w:ind w:right="112"/>
        <w:jc w:val="both"/>
        <w:rPr>
          <w:rFonts w:ascii="CAIXA Std Book" w:hAnsi="CAIXA Std Book"/>
          <w:b/>
          <w:color w:val="005CA9"/>
          <w:sz w:val="20"/>
          <w:szCs w:val="20"/>
        </w:rPr>
      </w:pPr>
    </w:p>
    <w:p w14:paraId="3FD123A9" w14:textId="77777777" w:rsidR="00B07035" w:rsidRPr="00616EE1" w:rsidRDefault="00B07035" w:rsidP="00A86BD6">
      <w:pPr>
        <w:keepNext/>
        <w:tabs>
          <w:tab w:val="left" w:pos="567"/>
        </w:tabs>
        <w:ind w:right="112"/>
        <w:jc w:val="both"/>
        <w:rPr>
          <w:color w:val="005CA9"/>
        </w:rPr>
      </w:pPr>
    </w:p>
    <w:tbl>
      <w:tblPr>
        <w:tblW w:w="9639" w:type="dxa"/>
        <w:tblCellMar>
          <w:left w:w="70" w:type="dxa"/>
          <w:right w:w="70" w:type="dxa"/>
        </w:tblCellMar>
        <w:tblLook w:val="04A0" w:firstRow="1" w:lastRow="0" w:firstColumn="1" w:lastColumn="0" w:noHBand="0" w:noVBand="1"/>
      </w:tblPr>
      <w:tblGrid>
        <w:gridCol w:w="2620"/>
        <w:gridCol w:w="1060"/>
        <w:gridCol w:w="1060"/>
        <w:gridCol w:w="1060"/>
        <w:gridCol w:w="1180"/>
        <w:gridCol w:w="1180"/>
        <w:gridCol w:w="1479"/>
      </w:tblGrid>
      <w:tr w:rsidR="00B07035" w:rsidRPr="00B07035" w14:paraId="42D5B626" w14:textId="77777777" w:rsidTr="00CE328D">
        <w:trPr>
          <w:trHeight w:val="315"/>
        </w:trPr>
        <w:tc>
          <w:tcPr>
            <w:tcW w:w="9639" w:type="dxa"/>
            <w:gridSpan w:val="7"/>
            <w:tcBorders>
              <w:top w:val="single" w:sz="4" w:space="0" w:color="F79646"/>
              <w:left w:val="nil"/>
              <w:bottom w:val="single" w:sz="4" w:space="0" w:color="F79646"/>
              <w:right w:val="nil"/>
            </w:tcBorders>
            <w:shd w:val="clear" w:color="auto" w:fill="auto"/>
            <w:vAlign w:val="center"/>
            <w:hideMark/>
          </w:tcPr>
          <w:p w14:paraId="5551EBF3"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CONSOLIDADO</w:t>
            </w:r>
          </w:p>
        </w:tc>
      </w:tr>
      <w:tr w:rsidR="00B07035" w:rsidRPr="00B07035" w14:paraId="3C3DD5A8" w14:textId="77777777" w:rsidTr="00CE328D">
        <w:trPr>
          <w:trHeight w:val="315"/>
        </w:trPr>
        <w:tc>
          <w:tcPr>
            <w:tcW w:w="9639" w:type="dxa"/>
            <w:gridSpan w:val="7"/>
            <w:tcBorders>
              <w:top w:val="single" w:sz="4" w:space="0" w:color="F79646"/>
              <w:left w:val="nil"/>
              <w:bottom w:val="single" w:sz="4" w:space="0" w:color="F79646"/>
              <w:right w:val="nil"/>
            </w:tcBorders>
            <w:shd w:val="clear" w:color="auto" w:fill="auto"/>
            <w:vAlign w:val="center"/>
            <w:hideMark/>
          </w:tcPr>
          <w:p w14:paraId="1BB9A6B9"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Valor Referencial</w:t>
            </w:r>
          </w:p>
        </w:tc>
      </w:tr>
      <w:tr w:rsidR="00B07035" w:rsidRPr="00B07035" w14:paraId="0C64FD69" w14:textId="77777777" w:rsidTr="00CE328D">
        <w:trPr>
          <w:trHeight w:val="315"/>
        </w:trPr>
        <w:tc>
          <w:tcPr>
            <w:tcW w:w="2620" w:type="dxa"/>
            <w:vMerge w:val="restart"/>
            <w:tcBorders>
              <w:top w:val="single" w:sz="4" w:space="0" w:color="F79646"/>
              <w:left w:val="nil"/>
              <w:bottom w:val="single" w:sz="8" w:space="0" w:color="F79646"/>
              <w:right w:val="nil"/>
            </w:tcBorders>
            <w:shd w:val="clear" w:color="auto" w:fill="auto"/>
            <w:vAlign w:val="center"/>
            <w:hideMark/>
          </w:tcPr>
          <w:p w14:paraId="2B3A6EB1"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Descrição</w:t>
            </w:r>
          </w:p>
        </w:tc>
        <w:tc>
          <w:tcPr>
            <w:tcW w:w="5540" w:type="dxa"/>
            <w:gridSpan w:val="5"/>
            <w:tcBorders>
              <w:top w:val="single" w:sz="4" w:space="0" w:color="F79646"/>
              <w:left w:val="nil"/>
              <w:bottom w:val="single" w:sz="4" w:space="0" w:color="F79646"/>
              <w:right w:val="nil"/>
            </w:tcBorders>
            <w:shd w:val="clear" w:color="auto" w:fill="auto"/>
            <w:vAlign w:val="center"/>
            <w:hideMark/>
          </w:tcPr>
          <w:p w14:paraId="7BB53BE9"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31/03/2024</w:t>
            </w:r>
          </w:p>
        </w:tc>
        <w:tc>
          <w:tcPr>
            <w:tcW w:w="1479" w:type="dxa"/>
            <w:tcBorders>
              <w:top w:val="single" w:sz="4" w:space="0" w:color="F79646"/>
              <w:left w:val="nil"/>
              <w:bottom w:val="single" w:sz="4" w:space="0" w:color="F79646"/>
              <w:right w:val="nil"/>
            </w:tcBorders>
            <w:shd w:val="clear" w:color="auto" w:fill="auto"/>
            <w:vAlign w:val="center"/>
            <w:hideMark/>
          </w:tcPr>
          <w:p w14:paraId="72C86203"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31/12/2023</w:t>
            </w:r>
          </w:p>
        </w:tc>
      </w:tr>
      <w:tr w:rsidR="00B07035" w:rsidRPr="00B07035" w14:paraId="4F03C860" w14:textId="77777777" w:rsidTr="00CE328D">
        <w:trPr>
          <w:trHeight w:val="870"/>
        </w:trPr>
        <w:tc>
          <w:tcPr>
            <w:tcW w:w="2620" w:type="dxa"/>
            <w:vMerge/>
            <w:tcBorders>
              <w:top w:val="single" w:sz="4" w:space="0" w:color="F79646"/>
              <w:left w:val="nil"/>
              <w:bottom w:val="single" w:sz="4" w:space="0" w:color="F79646"/>
              <w:right w:val="nil"/>
            </w:tcBorders>
            <w:vAlign w:val="center"/>
            <w:hideMark/>
          </w:tcPr>
          <w:p w14:paraId="195A636A" w14:textId="77777777" w:rsidR="00B07035" w:rsidRPr="00B07035" w:rsidRDefault="00B07035" w:rsidP="00B07035">
            <w:pPr>
              <w:rPr>
                <w:rFonts w:ascii="CAIXA Std Book" w:eastAsia="Times New Roman" w:hAnsi="CAIXA Std Book" w:cs="Calibri"/>
                <w:b/>
                <w:bCs/>
                <w:color w:val="005CA9"/>
                <w:sz w:val="18"/>
                <w:szCs w:val="18"/>
              </w:rPr>
            </w:pPr>
          </w:p>
        </w:tc>
        <w:tc>
          <w:tcPr>
            <w:tcW w:w="1060" w:type="dxa"/>
            <w:tcBorders>
              <w:top w:val="single" w:sz="4" w:space="0" w:color="F79646"/>
              <w:left w:val="nil"/>
              <w:bottom w:val="single" w:sz="4" w:space="0" w:color="F79646"/>
              <w:right w:val="nil"/>
            </w:tcBorders>
            <w:shd w:val="clear" w:color="auto" w:fill="auto"/>
            <w:vAlign w:val="center"/>
            <w:hideMark/>
          </w:tcPr>
          <w:p w14:paraId="3BA48AD0"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01 a 90 dias</w:t>
            </w:r>
          </w:p>
        </w:tc>
        <w:tc>
          <w:tcPr>
            <w:tcW w:w="1060" w:type="dxa"/>
            <w:tcBorders>
              <w:top w:val="single" w:sz="4" w:space="0" w:color="F79646"/>
              <w:left w:val="nil"/>
              <w:bottom w:val="single" w:sz="4" w:space="0" w:color="F79646"/>
              <w:right w:val="nil"/>
            </w:tcBorders>
            <w:shd w:val="clear" w:color="auto" w:fill="auto"/>
            <w:vAlign w:val="center"/>
            <w:hideMark/>
          </w:tcPr>
          <w:p w14:paraId="326E14F8"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91 a 180 dias</w:t>
            </w:r>
          </w:p>
        </w:tc>
        <w:tc>
          <w:tcPr>
            <w:tcW w:w="1060" w:type="dxa"/>
            <w:tcBorders>
              <w:top w:val="single" w:sz="4" w:space="0" w:color="F79646"/>
              <w:left w:val="nil"/>
              <w:bottom w:val="single" w:sz="4" w:space="0" w:color="F79646"/>
              <w:right w:val="nil"/>
            </w:tcBorders>
            <w:shd w:val="clear" w:color="auto" w:fill="auto"/>
            <w:vAlign w:val="center"/>
            <w:hideMark/>
          </w:tcPr>
          <w:p w14:paraId="44274BE7"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181 a 360 dias</w:t>
            </w:r>
          </w:p>
        </w:tc>
        <w:tc>
          <w:tcPr>
            <w:tcW w:w="1180" w:type="dxa"/>
            <w:tcBorders>
              <w:top w:val="single" w:sz="4" w:space="0" w:color="F79646"/>
              <w:left w:val="nil"/>
              <w:bottom w:val="single" w:sz="4" w:space="0" w:color="F79646"/>
              <w:right w:val="nil"/>
            </w:tcBorders>
            <w:shd w:val="clear" w:color="auto" w:fill="auto"/>
            <w:vAlign w:val="center"/>
            <w:hideMark/>
          </w:tcPr>
          <w:p w14:paraId="3297C6A5"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Acima de 360 dias</w:t>
            </w:r>
          </w:p>
        </w:tc>
        <w:tc>
          <w:tcPr>
            <w:tcW w:w="1180" w:type="dxa"/>
            <w:tcBorders>
              <w:top w:val="single" w:sz="4" w:space="0" w:color="F79646"/>
              <w:left w:val="nil"/>
              <w:bottom w:val="single" w:sz="4" w:space="0" w:color="F79646"/>
              <w:right w:val="nil"/>
            </w:tcBorders>
            <w:shd w:val="clear" w:color="auto" w:fill="auto"/>
            <w:vAlign w:val="center"/>
            <w:hideMark/>
          </w:tcPr>
          <w:p w14:paraId="03AC66BC"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Valor de Mercado</w:t>
            </w:r>
          </w:p>
        </w:tc>
        <w:tc>
          <w:tcPr>
            <w:tcW w:w="1479" w:type="dxa"/>
            <w:tcBorders>
              <w:top w:val="single" w:sz="4" w:space="0" w:color="F79646"/>
              <w:left w:val="nil"/>
              <w:bottom w:val="single" w:sz="4" w:space="0" w:color="F79646"/>
              <w:right w:val="nil"/>
            </w:tcBorders>
            <w:shd w:val="clear" w:color="auto" w:fill="auto"/>
            <w:vAlign w:val="center"/>
            <w:hideMark/>
          </w:tcPr>
          <w:p w14:paraId="07EDF605"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Valor de Mercado</w:t>
            </w:r>
          </w:p>
        </w:tc>
      </w:tr>
      <w:tr w:rsidR="00B07035" w:rsidRPr="00B07035" w14:paraId="0C9206C6" w14:textId="77777777" w:rsidTr="00CE328D">
        <w:trPr>
          <w:trHeight w:val="315"/>
        </w:trPr>
        <w:tc>
          <w:tcPr>
            <w:tcW w:w="9639" w:type="dxa"/>
            <w:gridSpan w:val="7"/>
            <w:tcBorders>
              <w:top w:val="single" w:sz="4" w:space="0" w:color="F79646"/>
              <w:left w:val="nil"/>
              <w:bottom w:val="single" w:sz="4" w:space="0" w:color="F79646"/>
              <w:right w:val="nil"/>
            </w:tcBorders>
            <w:shd w:val="clear" w:color="auto" w:fill="auto"/>
            <w:noWrap/>
            <w:vAlign w:val="center"/>
            <w:hideMark/>
          </w:tcPr>
          <w:p w14:paraId="5F2AEB4E"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Contratos de futuros</w:t>
            </w:r>
          </w:p>
        </w:tc>
      </w:tr>
      <w:tr w:rsidR="00F26A0A" w:rsidRPr="00B07035" w14:paraId="17751B71" w14:textId="77777777" w:rsidTr="00CE328D">
        <w:trPr>
          <w:trHeight w:val="300"/>
        </w:trPr>
        <w:tc>
          <w:tcPr>
            <w:tcW w:w="2620" w:type="dxa"/>
            <w:tcBorders>
              <w:top w:val="single" w:sz="4" w:space="0" w:color="F79646"/>
              <w:left w:val="nil"/>
              <w:bottom w:val="nil"/>
              <w:right w:val="nil"/>
            </w:tcBorders>
            <w:shd w:val="clear" w:color="auto" w:fill="auto"/>
            <w:noWrap/>
            <w:vAlign w:val="center"/>
            <w:hideMark/>
          </w:tcPr>
          <w:p w14:paraId="591AA1EF" w14:textId="77777777" w:rsidR="00F26A0A" w:rsidRPr="00B07035" w:rsidRDefault="00F26A0A" w:rsidP="00F26A0A">
            <w:pP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Compromissos de compra</w:t>
            </w:r>
          </w:p>
        </w:tc>
        <w:tc>
          <w:tcPr>
            <w:tcW w:w="1060" w:type="dxa"/>
            <w:tcBorders>
              <w:top w:val="single" w:sz="4" w:space="0" w:color="F79646"/>
              <w:left w:val="nil"/>
              <w:bottom w:val="nil"/>
              <w:right w:val="nil"/>
            </w:tcBorders>
            <w:shd w:val="clear" w:color="auto" w:fill="auto"/>
            <w:noWrap/>
            <w:vAlign w:val="center"/>
            <w:hideMark/>
          </w:tcPr>
          <w:p w14:paraId="6DC33D04" w14:textId="77777777" w:rsidR="00F26A0A" w:rsidRPr="00B07035" w:rsidRDefault="00F26A0A" w:rsidP="00F26A0A">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w:t>
            </w:r>
          </w:p>
        </w:tc>
        <w:tc>
          <w:tcPr>
            <w:tcW w:w="1060" w:type="dxa"/>
            <w:tcBorders>
              <w:top w:val="single" w:sz="4" w:space="0" w:color="F79646"/>
              <w:left w:val="nil"/>
              <w:bottom w:val="nil"/>
              <w:right w:val="nil"/>
            </w:tcBorders>
            <w:shd w:val="clear" w:color="auto" w:fill="auto"/>
            <w:noWrap/>
            <w:vAlign w:val="center"/>
            <w:hideMark/>
          </w:tcPr>
          <w:p w14:paraId="7608B192"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525.487</w:t>
            </w:r>
          </w:p>
        </w:tc>
        <w:tc>
          <w:tcPr>
            <w:tcW w:w="1060" w:type="dxa"/>
            <w:tcBorders>
              <w:top w:val="single" w:sz="4" w:space="0" w:color="F79646"/>
              <w:left w:val="nil"/>
              <w:bottom w:val="nil"/>
              <w:right w:val="nil"/>
            </w:tcBorders>
            <w:shd w:val="clear" w:color="auto" w:fill="auto"/>
            <w:noWrap/>
            <w:vAlign w:val="center"/>
            <w:hideMark/>
          </w:tcPr>
          <w:p w14:paraId="46911644"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649.751</w:t>
            </w:r>
          </w:p>
        </w:tc>
        <w:tc>
          <w:tcPr>
            <w:tcW w:w="1180" w:type="dxa"/>
            <w:tcBorders>
              <w:top w:val="single" w:sz="4" w:space="0" w:color="F79646"/>
              <w:left w:val="nil"/>
              <w:bottom w:val="nil"/>
              <w:right w:val="nil"/>
            </w:tcBorders>
            <w:shd w:val="clear" w:color="auto" w:fill="auto"/>
            <w:noWrap/>
            <w:vAlign w:val="center"/>
            <w:hideMark/>
          </w:tcPr>
          <w:p w14:paraId="470FFBA8"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2.981.879</w:t>
            </w:r>
          </w:p>
        </w:tc>
        <w:tc>
          <w:tcPr>
            <w:tcW w:w="1180" w:type="dxa"/>
            <w:tcBorders>
              <w:top w:val="single" w:sz="4" w:space="0" w:color="F79646"/>
              <w:left w:val="nil"/>
              <w:bottom w:val="nil"/>
              <w:right w:val="nil"/>
            </w:tcBorders>
            <w:shd w:val="clear" w:color="auto" w:fill="auto"/>
            <w:noWrap/>
            <w:vAlign w:val="center"/>
            <w:hideMark/>
          </w:tcPr>
          <w:p w14:paraId="4B362469"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4.157.117</w:t>
            </w:r>
          </w:p>
        </w:tc>
        <w:tc>
          <w:tcPr>
            <w:tcW w:w="1479" w:type="dxa"/>
            <w:tcBorders>
              <w:top w:val="single" w:sz="4" w:space="0" w:color="F79646"/>
              <w:left w:val="nil"/>
              <w:bottom w:val="nil"/>
              <w:right w:val="nil"/>
            </w:tcBorders>
            <w:shd w:val="clear" w:color="auto" w:fill="auto"/>
            <w:noWrap/>
            <w:vAlign w:val="center"/>
            <w:hideMark/>
          </w:tcPr>
          <w:p w14:paraId="771FBBD0" w14:textId="77777777" w:rsidR="00F26A0A" w:rsidRPr="00640D72" w:rsidRDefault="00F26A0A" w:rsidP="00F26A0A">
            <w:pPr>
              <w:jc w:val="right"/>
              <w:rPr>
                <w:rFonts w:ascii="CAIXA Std Book" w:eastAsia="Times New Roman" w:hAnsi="CAIXA Std Book" w:cs="Calibri"/>
                <w:b/>
                <w:bCs/>
                <w:color w:val="005CA9"/>
                <w:sz w:val="18"/>
                <w:szCs w:val="18"/>
              </w:rPr>
            </w:pPr>
            <w:r w:rsidRPr="00640D72">
              <w:rPr>
                <w:rFonts w:ascii="CAIXA Std Book" w:eastAsia="Times New Roman" w:hAnsi="CAIXA Std Book" w:cs="Calibri"/>
                <w:b/>
                <w:bCs/>
                <w:color w:val="005CA9"/>
                <w:sz w:val="18"/>
                <w:szCs w:val="18"/>
              </w:rPr>
              <w:t>838.766</w:t>
            </w:r>
          </w:p>
        </w:tc>
      </w:tr>
      <w:tr w:rsidR="00F26A0A" w:rsidRPr="00B07035" w14:paraId="55905427" w14:textId="77777777" w:rsidTr="00CE328D">
        <w:trPr>
          <w:trHeight w:val="300"/>
        </w:trPr>
        <w:tc>
          <w:tcPr>
            <w:tcW w:w="2620" w:type="dxa"/>
            <w:tcBorders>
              <w:top w:val="nil"/>
              <w:left w:val="nil"/>
              <w:bottom w:val="nil"/>
              <w:right w:val="nil"/>
            </w:tcBorders>
            <w:shd w:val="clear" w:color="auto" w:fill="auto"/>
            <w:noWrap/>
            <w:vAlign w:val="center"/>
            <w:hideMark/>
          </w:tcPr>
          <w:p w14:paraId="02AA81B7" w14:textId="77777777" w:rsidR="00F26A0A" w:rsidRPr="00B07035" w:rsidRDefault="00F26A0A" w:rsidP="00F26A0A">
            <w:pPr>
              <w:ind w:firstLineChars="100" w:firstLine="180"/>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Mercado interfinanceiro</w:t>
            </w:r>
          </w:p>
        </w:tc>
        <w:tc>
          <w:tcPr>
            <w:tcW w:w="1060" w:type="dxa"/>
            <w:tcBorders>
              <w:top w:val="nil"/>
              <w:left w:val="nil"/>
              <w:bottom w:val="nil"/>
              <w:right w:val="nil"/>
            </w:tcBorders>
            <w:shd w:val="clear" w:color="auto" w:fill="auto"/>
            <w:noWrap/>
            <w:vAlign w:val="center"/>
            <w:hideMark/>
          </w:tcPr>
          <w:p w14:paraId="623EFDC7" w14:textId="77777777" w:rsidR="00F26A0A" w:rsidRPr="00B07035" w:rsidRDefault="00F26A0A" w:rsidP="00F26A0A">
            <w:pPr>
              <w:jc w:val="center"/>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w:t>
            </w:r>
          </w:p>
        </w:tc>
        <w:tc>
          <w:tcPr>
            <w:tcW w:w="1060" w:type="dxa"/>
            <w:tcBorders>
              <w:top w:val="nil"/>
              <w:left w:val="nil"/>
              <w:bottom w:val="nil"/>
              <w:right w:val="nil"/>
            </w:tcBorders>
            <w:shd w:val="clear" w:color="auto" w:fill="auto"/>
            <w:noWrap/>
            <w:vAlign w:val="center"/>
            <w:hideMark/>
          </w:tcPr>
          <w:p w14:paraId="259AB342"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525.487</w:t>
            </w:r>
          </w:p>
        </w:tc>
        <w:tc>
          <w:tcPr>
            <w:tcW w:w="1060" w:type="dxa"/>
            <w:tcBorders>
              <w:top w:val="nil"/>
              <w:left w:val="nil"/>
              <w:bottom w:val="nil"/>
              <w:right w:val="nil"/>
            </w:tcBorders>
            <w:shd w:val="clear" w:color="auto" w:fill="auto"/>
            <w:noWrap/>
            <w:vAlign w:val="center"/>
            <w:hideMark/>
          </w:tcPr>
          <w:p w14:paraId="3ADBAE0A"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649.751</w:t>
            </w:r>
          </w:p>
        </w:tc>
        <w:tc>
          <w:tcPr>
            <w:tcW w:w="1180" w:type="dxa"/>
            <w:tcBorders>
              <w:top w:val="nil"/>
              <w:left w:val="nil"/>
              <w:bottom w:val="nil"/>
              <w:right w:val="nil"/>
            </w:tcBorders>
            <w:shd w:val="clear" w:color="auto" w:fill="auto"/>
            <w:vAlign w:val="center"/>
            <w:hideMark/>
          </w:tcPr>
          <w:p w14:paraId="18B07EEA"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2.981.879</w:t>
            </w:r>
          </w:p>
        </w:tc>
        <w:tc>
          <w:tcPr>
            <w:tcW w:w="1180" w:type="dxa"/>
            <w:tcBorders>
              <w:top w:val="nil"/>
              <w:left w:val="nil"/>
              <w:bottom w:val="nil"/>
              <w:right w:val="nil"/>
            </w:tcBorders>
            <w:shd w:val="clear" w:color="auto" w:fill="auto"/>
            <w:noWrap/>
            <w:vAlign w:val="center"/>
            <w:hideMark/>
          </w:tcPr>
          <w:p w14:paraId="4601A336"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4.157.117</w:t>
            </w:r>
          </w:p>
        </w:tc>
        <w:tc>
          <w:tcPr>
            <w:tcW w:w="1479" w:type="dxa"/>
            <w:tcBorders>
              <w:top w:val="nil"/>
              <w:left w:val="nil"/>
              <w:bottom w:val="nil"/>
              <w:right w:val="nil"/>
            </w:tcBorders>
            <w:shd w:val="clear" w:color="auto" w:fill="auto"/>
            <w:vAlign w:val="center"/>
            <w:hideMark/>
          </w:tcPr>
          <w:p w14:paraId="47DF1E0B" w14:textId="77777777" w:rsidR="00F26A0A" w:rsidRPr="00B07035" w:rsidRDefault="00F26A0A" w:rsidP="00F26A0A">
            <w:pPr>
              <w:jc w:val="right"/>
              <w:rPr>
                <w:rFonts w:ascii="CAIXA Std Book" w:eastAsia="Times New Roman" w:hAnsi="CAIXA Std Book" w:cs="Calibri"/>
                <w:color w:val="005CA9"/>
                <w:sz w:val="18"/>
                <w:szCs w:val="18"/>
              </w:rPr>
            </w:pPr>
            <w:r w:rsidRPr="00F26A0A">
              <w:rPr>
                <w:rFonts w:ascii="CAIXA Std Book" w:eastAsia="Times New Roman" w:hAnsi="CAIXA Std Book" w:cs="Calibri"/>
                <w:color w:val="005CA9"/>
                <w:sz w:val="18"/>
                <w:szCs w:val="18"/>
              </w:rPr>
              <w:t>838.766</w:t>
            </w:r>
          </w:p>
        </w:tc>
      </w:tr>
      <w:tr w:rsidR="00F26A0A" w:rsidRPr="00B07035" w14:paraId="6F8C6797" w14:textId="77777777" w:rsidTr="00CE328D">
        <w:trPr>
          <w:trHeight w:val="300"/>
        </w:trPr>
        <w:tc>
          <w:tcPr>
            <w:tcW w:w="2620" w:type="dxa"/>
            <w:tcBorders>
              <w:top w:val="nil"/>
              <w:left w:val="nil"/>
              <w:bottom w:val="nil"/>
              <w:right w:val="nil"/>
            </w:tcBorders>
            <w:shd w:val="clear" w:color="auto" w:fill="auto"/>
            <w:noWrap/>
            <w:vAlign w:val="center"/>
            <w:hideMark/>
          </w:tcPr>
          <w:p w14:paraId="1CF932F0" w14:textId="77777777" w:rsidR="00F26A0A" w:rsidRPr="00B07035" w:rsidRDefault="00F26A0A" w:rsidP="00F26A0A">
            <w:pP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Compromissos de venda</w:t>
            </w:r>
          </w:p>
        </w:tc>
        <w:tc>
          <w:tcPr>
            <w:tcW w:w="1060" w:type="dxa"/>
            <w:tcBorders>
              <w:top w:val="nil"/>
              <w:left w:val="nil"/>
              <w:bottom w:val="nil"/>
              <w:right w:val="nil"/>
            </w:tcBorders>
            <w:shd w:val="clear" w:color="auto" w:fill="auto"/>
            <w:noWrap/>
            <w:vAlign w:val="center"/>
            <w:hideMark/>
          </w:tcPr>
          <w:p w14:paraId="1F23E1B4"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2.215.819</w:t>
            </w:r>
          </w:p>
        </w:tc>
        <w:tc>
          <w:tcPr>
            <w:tcW w:w="1060" w:type="dxa"/>
            <w:tcBorders>
              <w:top w:val="nil"/>
              <w:left w:val="nil"/>
              <w:bottom w:val="nil"/>
              <w:right w:val="nil"/>
            </w:tcBorders>
            <w:shd w:val="clear" w:color="auto" w:fill="auto"/>
            <w:noWrap/>
            <w:vAlign w:val="center"/>
            <w:hideMark/>
          </w:tcPr>
          <w:p w14:paraId="3E9678ED"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1.515.992</w:t>
            </w:r>
          </w:p>
        </w:tc>
        <w:tc>
          <w:tcPr>
            <w:tcW w:w="1060" w:type="dxa"/>
            <w:tcBorders>
              <w:top w:val="nil"/>
              <w:left w:val="nil"/>
              <w:bottom w:val="nil"/>
              <w:right w:val="nil"/>
            </w:tcBorders>
            <w:shd w:val="clear" w:color="auto" w:fill="auto"/>
            <w:noWrap/>
            <w:vAlign w:val="center"/>
            <w:hideMark/>
          </w:tcPr>
          <w:p w14:paraId="2DAA0154"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4.533.412</w:t>
            </w:r>
          </w:p>
        </w:tc>
        <w:tc>
          <w:tcPr>
            <w:tcW w:w="1180" w:type="dxa"/>
            <w:tcBorders>
              <w:top w:val="nil"/>
              <w:left w:val="nil"/>
              <w:bottom w:val="nil"/>
              <w:right w:val="nil"/>
            </w:tcBorders>
            <w:shd w:val="clear" w:color="auto" w:fill="auto"/>
            <w:noWrap/>
            <w:vAlign w:val="center"/>
            <w:hideMark/>
          </w:tcPr>
          <w:p w14:paraId="6E01B633"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87.626.114</w:t>
            </w:r>
          </w:p>
        </w:tc>
        <w:tc>
          <w:tcPr>
            <w:tcW w:w="1180" w:type="dxa"/>
            <w:tcBorders>
              <w:top w:val="nil"/>
              <w:left w:val="nil"/>
              <w:bottom w:val="nil"/>
              <w:right w:val="nil"/>
            </w:tcBorders>
            <w:shd w:val="clear" w:color="auto" w:fill="auto"/>
            <w:noWrap/>
            <w:vAlign w:val="center"/>
            <w:hideMark/>
          </w:tcPr>
          <w:p w14:paraId="52B7B5B1" w14:textId="77777777" w:rsidR="00F26A0A" w:rsidRPr="00B07035" w:rsidRDefault="00F26A0A" w:rsidP="00F26A0A">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95.891.337</w:t>
            </w:r>
          </w:p>
        </w:tc>
        <w:tc>
          <w:tcPr>
            <w:tcW w:w="1479" w:type="dxa"/>
            <w:tcBorders>
              <w:top w:val="nil"/>
              <w:left w:val="nil"/>
              <w:bottom w:val="nil"/>
              <w:right w:val="nil"/>
            </w:tcBorders>
            <w:shd w:val="clear" w:color="auto" w:fill="auto"/>
            <w:noWrap/>
            <w:vAlign w:val="center"/>
            <w:hideMark/>
          </w:tcPr>
          <w:p w14:paraId="6CC2282E" w14:textId="77777777" w:rsidR="00F26A0A" w:rsidRPr="007A1F7B" w:rsidRDefault="00F26A0A" w:rsidP="00F26A0A">
            <w:pPr>
              <w:jc w:val="right"/>
              <w:rPr>
                <w:rFonts w:ascii="CAIXA Std Book" w:eastAsia="Times New Roman" w:hAnsi="CAIXA Std Book" w:cs="Calibri"/>
                <w:b/>
                <w:bCs/>
                <w:color w:val="005CA9"/>
                <w:sz w:val="18"/>
                <w:szCs w:val="18"/>
              </w:rPr>
            </w:pPr>
            <w:r w:rsidRPr="007A1F7B">
              <w:rPr>
                <w:rFonts w:ascii="CAIXA Std Book" w:eastAsia="Times New Roman" w:hAnsi="CAIXA Std Book" w:cs="Calibri"/>
                <w:b/>
                <w:bCs/>
                <w:color w:val="005CA9"/>
                <w:sz w:val="18"/>
                <w:szCs w:val="18"/>
              </w:rPr>
              <w:t>113.188.649</w:t>
            </w:r>
          </w:p>
        </w:tc>
      </w:tr>
      <w:tr w:rsidR="00F26A0A" w:rsidRPr="00B07035" w14:paraId="4651FB01" w14:textId="77777777" w:rsidTr="00CE328D">
        <w:trPr>
          <w:trHeight w:val="300"/>
        </w:trPr>
        <w:tc>
          <w:tcPr>
            <w:tcW w:w="2620" w:type="dxa"/>
            <w:tcBorders>
              <w:top w:val="nil"/>
              <w:left w:val="nil"/>
              <w:bottom w:val="nil"/>
              <w:right w:val="nil"/>
            </w:tcBorders>
            <w:shd w:val="clear" w:color="auto" w:fill="auto"/>
            <w:noWrap/>
            <w:vAlign w:val="center"/>
            <w:hideMark/>
          </w:tcPr>
          <w:p w14:paraId="786F07DC" w14:textId="77777777" w:rsidR="00F26A0A" w:rsidRPr="00B07035" w:rsidRDefault="00F26A0A" w:rsidP="00F26A0A">
            <w:pPr>
              <w:ind w:firstLineChars="100" w:firstLine="180"/>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Mercado interfinanceiro</w:t>
            </w:r>
          </w:p>
        </w:tc>
        <w:tc>
          <w:tcPr>
            <w:tcW w:w="1060" w:type="dxa"/>
            <w:tcBorders>
              <w:top w:val="nil"/>
              <w:left w:val="nil"/>
              <w:bottom w:val="nil"/>
              <w:right w:val="nil"/>
            </w:tcBorders>
            <w:shd w:val="clear" w:color="auto" w:fill="auto"/>
            <w:noWrap/>
            <w:vAlign w:val="center"/>
            <w:hideMark/>
          </w:tcPr>
          <w:p w14:paraId="568D7470"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1.818.948</w:t>
            </w:r>
          </w:p>
        </w:tc>
        <w:tc>
          <w:tcPr>
            <w:tcW w:w="1060" w:type="dxa"/>
            <w:tcBorders>
              <w:top w:val="nil"/>
              <w:left w:val="nil"/>
              <w:bottom w:val="nil"/>
              <w:right w:val="nil"/>
            </w:tcBorders>
            <w:shd w:val="clear" w:color="auto" w:fill="auto"/>
            <w:noWrap/>
            <w:vAlign w:val="center"/>
            <w:hideMark/>
          </w:tcPr>
          <w:p w14:paraId="0BB8CDB9"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1.515.992</w:t>
            </w:r>
          </w:p>
        </w:tc>
        <w:tc>
          <w:tcPr>
            <w:tcW w:w="1060" w:type="dxa"/>
            <w:tcBorders>
              <w:top w:val="nil"/>
              <w:left w:val="nil"/>
              <w:bottom w:val="nil"/>
              <w:right w:val="nil"/>
            </w:tcBorders>
            <w:shd w:val="clear" w:color="auto" w:fill="auto"/>
            <w:noWrap/>
            <w:vAlign w:val="center"/>
            <w:hideMark/>
          </w:tcPr>
          <w:p w14:paraId="4BB8EE4D"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4.533.412</w:t>
            </w:r>
          </w:p>
        </w:tc>
        <w:tc>
          <w:tcPr>
            <w:tcW w:w="1180" w:type="dxa"/>
            <w:tcBorders>
              <w:top w:val="nil"/>
              <w:left w:val="nil"/>
              <w:bottom w:val="nil"/>
              <w:right w:val="nil"/>
            </w:tcBorders>
            <w:shd w:val="clear" w:color="auto" w:fill="auto"/>
            <w:noWrap/>
            <w:vAlign w:val="center"/>
            <w:hideMark/>
          </w:tcPr>
          <w:p w14:paraId="109ACD60"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87.626.114</w:t>
            </w:r>
          </w:p>
        </w:tc>
        <w:tc>
          <w:tcPr>
            <w:tcW w:w="1180" w:type="dxa"/>
            <w:tcBorders>
              <w:top w:val="nil"/>
              <w:left w:val="nil"/>
              <w:bottom w:val="nil"/>
              <w:right w:val="nil"/>
            </w:tcBorders>
            <w:shd w:val="clear" w:color="auto" w:fill="auto"/>
            <w:noWrap/>
            <w:vAlign w:val="center"/>
            <w:hideMark/>
          </w:tcPr>
          <w:p w14:paraId="1DC5A7B4"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95.494.466</w:t>
            </w:r>
          </w:p>
        </w:tc>
        <w:tc>
          <w:tcPr>
            <w:tcW w:w="1479" w:type="dxa"/>
            <w:tcBorders>
              <w:top w:val="nil"/>
              <w:left w:val="nil"/>
              <w:right w:val="nil"/>
            </w:tcBorders>
            <w:shd w:val="clear" w:color="auto" w:fill="auto"/>
            <w:vAlign w:val="center"/>
            <w:hideMark/>
          </w:tcPr>
          <w:p w14:paraId="42BF7756" w14:textId="77777777" w:rsidR="00F26A0A" w:rsidRPr="00B07035" w:rsidRDefault="00F26A0A" w:rsidP="00F26A0A">
            <w:pPr>
              <w:jc w:val="right"/>
              <w:rPr>
                <w:rFonts w:ascii="CAIXA Std Book" w:eastAsia="Times New Roman" w:hAnsi="CAIXA Std Book" w:cs="Calibri"/>
                <w:color w:val="005CA9"/>
                <w:sz w:val="18"/>
                <w:szCs w:val="18"/>
              </w:rPr>
            </w:pPr>
            <w:r w:rsidRPr="00F26A0A">
              <w:rPr>
                <w:rFonts w:ascii="CAIXA Std Book" w:eastAsia="Times New Roman" w:hAnsi="CAIXA Std Book" w:cs="Calibri"/>
                <w:color w:val="005CA9"/>
                <w:sz w:val="18"/>
                <w:szCs w:val="18"/>
              </w:rPr>
              <w:t>112.796.692</w:t>
            </w:r>
          </w:p>
        </w:tc>
      </w:tr>
      <w:tr w:rsidR="00F26A0A" w:rsidRPr="00B07035" w14:paraId="515D83C0" w14:textId="77777777" w:rsidTr="00CE328D">
        <w:trPr>
          <w:trHeight w:val="315"/>
        </w:trPr>
        <w:tc>
          <w:tcPr>
            <w:tcW w:w="2620" w:type="dxa"/>
            <w:tcBorders>
              <w:top w:val="nil"/>
              <w:left w:val="nil"/>
              <w:bottom w:val="single" w:sz="4" w:space="0" w:color="F79646"/>
              <w:right w:val="nil"/>
            </w:tcBorders>
            <w:shd w:val="clear" w:color="auto" w:fill="auto"/>
            <w:noWrap/>
            <w:vAlign w:val="center"/>
            <w:hideMark/>
          </w:tcPr>
          <w:p w14:paraId="52172A42" w14:textId="77777777" w:rsidR="00F26A0A" w:rsidRPr="00B07035" w:rsidRDefault="00F26A0A" w:rsidP="00F26A0A">
            <w:pPr>
              <w:ind w:firstLineChars="100" w:firstLine="180"/>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Moeda estrangeira</w:t>
            </w:r>
          </w:p>
        </w:tc>
        <w:tc>
          <w:tcPr>
            <w:tcW w:w="1060" w:type="dxa"/>
            <w:tcBorders>
              <w:top w:val="nil"/>
              <w:left w:val="nil"/>
              <w:bottom w:val="single" w:sz="4" w:space="0" w:color="F79646"/>
              <w:right w:val="nil"/>
            </w:tcBorders>
            <w:shd w:val="clear" w:color="auto" w:fill="auto"/>
            <w:noWrap/>
            <w:vAlign w:val="center"/>
            <w:hideMark/>
          </w:tcPr>
          <w:p w14:paraId="5DBCF819"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396.871</w:t>
            </w:r>
          </w:p>
        </w:tc>
        <w:tc>
          <w:tcPr>
            <w:tcW w:w="1060" w:type="dxa"/>
            <w:tcBorders>
              <w:top w:val="nil"/>
              <w:left w:val="nil"/>
              <w:bottom w:val="single" w:sz="4" w:space="0" w:color="F79646"/>
              <w:right w:val="nil"/>
            </w:tcBorders>
            <w:shd w:val="clear" w:color="auto" w:fill="auto"/>
            <w:noWrap/>
            <w:vAlign w:val="center"/>
            <w:hideMark/>
          </w:tcPr>
          <w:p w14:paraId="3586B3EB" w14:textId="77777777" w:rsidR="00F26A0A" w:rsidRPr="00B07035" w:rsidRDefault="00F26A0A" w:rsidP="00F26A0A">
            <w:pPr>
              <w:jc w:val="center"/>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w:t>
            </w:r>
          </w:p>
        </w:tc>
        <w:tc>
          <w:tcPr>
            <w:tcW w:w="1060" w:type="dxa"/>
            <w:tcBorders>
              <w:top w:val="nil"/>
              <w:left w:val="nil"/>
              <w:bottom w:val="single" w:sz="4" w:space="0" w:color="F79646"/>
              <w:right w:val="nil"/>
            </w:tcBorders>
            <w:shd w:val="clear" w:color="auto" w:fill="auto"/>
            <w:noWrap/>
            <w:vAlign w:val="center"/>
            <w:hideMark/>
          </w:tcPr>
          <w:p w14:paraId="0BB11A3D" w14:textId="77777777" w:rsidR="00F26A0A" w:rsidRPr="00B07035" w:rsidRDefault="00F26A0A" w:rsidP="00F26A0A">
            <w:pPr>
              <w:jc w:val="center"/>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vAlign w:val="center"/>
            <w:hideMark/>
          </w:tcPr>
          <w:p w14:paraId="24483DCD" w14:textId="77777777" w:rsidR="00F26A0A" w:rsidRPr="00B07035" w:rsidRDefault="00F26A0A" w:rsidP="00F26A0A">
            <w:pPr>
              <w:jc w:val="center"/>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noWrap/>
            <w:vAlign w:val="center"/>
            <w:hideMark/>
          </w:tcPr>
          <w:p w14:paraId="02779853" w14:textId="77777777" w:rsidR="00F26A0A" w:rsidRPr="00B07035" w:rsidRDefault="00F26A0A" w:rsidP="00F26A0A">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396.871</w:t>
            </w:r>
          </w:p>
        </w:tc>
        <w:tc>
          <w:tcPr>
            <w:tcW w:w="1479" w:type="dxa"/>
            <w:tcBorders>
              <w:top w:val="nil"/>
              <w:left w:val="nil"/>
              <w:bottom w:val="single" w:sz="4" w:space="0" w:color="F79646"/>
              <w:right w:val="nil"/>
            </w:tcBorders>
            <w:shd w:val="clear" w:color="auto" w:fill="auto"/>
            <w:vAlign w:val="center"/>
            <w:hideMark/>
          </w:tcPr>
          <w:p w14:paraId="411B5A21" w14:textId="77777777" w:rsidR="00F26A0A" w:rsidRPr="00B07035" w:rsidRDefault="00F26A0A" w:rsidP="00F26A0A">
            <w:pPr>
              <w:jc w:val="right"/>
              <w:rPr>
                <w:rFonts w:ascii="CAIXA Std Book" w:eastAsia="Times New Roman" w:hAnsi="CAIXA Std Book" w:cs="Calibri"/>
                <w:color w:val="005CA9"/>
                <w:sz w:val="18"/>
                <w:szCs w:val="18"/>
              </w:rPr>
            </w:pPr>
            <w:r w:rsidRPr="00F26A0A">
              <w:rPr>
                <w:rFonts w:ascii="CAIXA Std Book" w:eastAsia="Times New Roman" w:hAnsi="CAIXA Std Book" w:cs="Calibri"/>
                <w:color w:val="005CA9"/>
                <w:sz w:val="18"/>
                <w:szCs w:val="18"/>
              </w:rPr>
              <w:t>391.957</w:t>
            </w:r>
          </w:p>
        </w:tc>
      </w:tr>
      <w:tr w:rsidR="00B07035" w:rsidRPr="00B07035" w14:paraId="4E7B01FC" w14:textId="77777777" w:rsidTr="00CE328D">
        <w:trPr>
          <w:trHeight w:val="315"/>
        </w:trPr>
        <w:tc>
          <w:tcPr>
            <w:tcW w:w="9639" w:type="dxa"/>
            <w:gridSpan w:val="7"/>
            <w:tcBorders>
              <w:top w:val="single" w:sz="4" w:space="0" w:color="F79646"/>
              <w:left w:val="nil"/>
              <w:bottom w:val="single" w:sz="4" w:space="0" w:color="F79646"/>
              <w:right w:val="nil"/>
            </w:tcBorders>
            <w:shd w:val="clear" w:color="auto" w:fill="auto"/>
            <w:noWrap/>
            <w:vAlign w:val="center"/>
            <w:hideMark/>
          </w:tcPr>
          <w:p w14:paraId="0B942C7A"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Contratos de Swaps</w:t>
            </w:r>
          </w:p>
        </w:tc>
      </w:tr>
      <w:tr w:rsidR="0050645B" w:rsidRPr="00B07035" w14:paraId="5907376E" w14:textId="77777777" w:rsidTr="00CE328D">
        <w:trPr>
          <w:trHeight w:val="300"/>
        </w:trPr>
        <w:tc>
          <w:tcPr>
            <w:tcW w:w="2620" w:type="dxa"/>
            <w:tcBorders>
              <w:top w:val="single" w:sz="4" w:space="0" w:color="F79646"/>
              <w:left w:val="nil"/>
              <w:bottom w:val="nil"/>
              <w:right w:val="nil"/>
            </w:tcBorders>
            <w:shd w:val="clear" w:color="auto" w:fill="auto"/>
            <w:noWrap/>
            <w:vAlign w:val="center"/>
            <w:hideMark/>
          </w:tcPr>
          <w:p w14:paraId="60080D31" w14:textId="77777777" w:rsidR="0050645B" w:rsidRPr="00B07035" w:rsidRDefault="0050645B" w:rsidP="0050645B">
            <w:pPr>
              <w:rPr>
                <w:rFonts w:ascii="CAIXA Std Book" w:eastAsia="Times New Roman" w:hAnsi="CAIXA Std Book" w:cs="Calibri"/>
                <w:b/>
                <w:bCs/>
                <w:i/>
                <w:iCs/>
                <w:color w:val="005CA9"/>
                <w:sz w:val="18"/>
                <w:szCs w:val="18"/>
              </w:rPr>
            </w:pPr>
            <w:r w:rsidRPr="00B07035">
              <w:rPr>
                <w:rFonts w:ascii="CAIXA Std Book" w:eastAsia="Times New Roman" w:hAnsi="CAIXA Std Book" w:cs="Calibri"/>
                <w:b/>
                <w:bCs/>
                <w:i/>
                <w:iCs/>
                <w:color w:val="005CA9"/>
                <w:sz w:val="18"/>
                <w:szCs w:val="18"/>
              </w:rPr>
              <w:t>Swaps</w:t>
            </w:r>
          </w:p>
        </w:tc>
        <w:tc>
          <w:tcPr>
            <w:tcW w:w="1060" w:type="dxa"/>
            <w:tcBorders>
              <w:top w:val="single" w:sz="4" w:space="0" w:color="F79646"/>
              <w:left w:val="nil"/>
              <w:bottom w:val="nil"/>
              <w:right w:val="nil"/>
            </w:tcBorders>
            <w:shd w:val="clear" w:color="auto" w:fill="auto"/>
            <w:noWrap/>
            <w:vAlign w:val="center"/>
            <w:hideMark/>
          </w:tcPr>
          <w:p w14:paraId="2FEEF92D" w14:textId="76FA63D7" w:rsidR="0050645B" w:rsidRPr="00B07035" w:rsidRDefault="002E021E" w:rsidP="0050645B">
            <w:pPr>
              <w:jc w:val="right"/>
              <w:rPr>
                <w:rFonts w:ascii="CAIXA Std Book" w:eastAsia="Times New Roman" w:hAnsi="CAIXA Std Book" w:cs="Calibri"/>
                <w:b/>
                <w:bCs/>
                <w:color w:val="005CA9"/>
                <w:sz w:val="18"/>
                <w:szCs w:val="18"/>
              </w:rPr>
            </w:pPr>
            <w:r w:rsidRPr="002E021E">
              <w:rPr>
                <w:rFonts w:ascii="CAIXA Std Book" w:eastAsia="Times New Roman" w:hAnsi="CAIXA Std Book" w:cs="Calibri"/>
                <w:b/>
                <w:bCs/>
                <w:color w:val="005CA9"/>
                <w:sz w:val="18"/>
                <w:szCs w:val="18"/>
              </w:rPr>
              <w:t>1.314.845</w:t>
            </w:r>
          </w:p>
        </w:tc>
        <w:tc>
          <w:tcPr>
            <w:tcW w:w="1060" w:type="dxa"/>
            <w:tcBorders>
              <w:top w:val="single" w:sz="4" w:space="0" w:color="F79646"/>
              <w:left w:val="nil"/>
              <w:bottom w:val="nil"/>
              <w:right w:val="nil"/>
            </w:tcBorders>
            <w:shd w:val="clear" w:color="auto" w:fill="auto"/>
            <w:noWrap/>
            <w:vAlign w:val="center"/>
            <w:hideMark/>
          </w:tcPr>
          <w:p w14:paraId="7DDA0E28" w14:textId="77777777" w:rsidR="0050645B" w:rsidRPr="00B07035" w:rsidRDefault="0050645B" w:rsidP="0050645B">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3.450</w:t>
            </w:r>
          </w:p>
        </w:tc>
        <w:tc>
          <w:tcPr>
            <w:tcW w:w="1060" w:type="dxa"/>
            <w:tcBorders>
              <w:top w:val="single" w:sz="4" w:space="0" w:color="F79646"/>
              <w:left w:val="nil"/>
              <w:bottom w:val="nil"/>
              <w:right w:val="nil"/>
            </w:tcBorders>
            <w:shd w:val="clear" w:color="auto" w:fill="auto"/>
            <w:noWrap/>
            <w:vAlign w:val="center"/>
            <w:hideMark/>
          </w:tcPr>
          <w:p w14:paraId="315E1A6E" w14:textId="77777777" w:rsidR="0050645B" w:rsidRPr="00B07035" w:rsidRDefault="0050645B" w:rsidP="0050645B">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7.200</w:t>
            </w:r>
          </w:p>
        </w:tc>
        <w:tc>
          <w:tcPr>
            <w:tcW w:w="1180" w:type="dxa"/>
            <w:tcBorders>
              <w:top w:val="single" w:sz="4" w:space="0" w:color="F79646"/>
              <w:left w:val="nil"/>
              <w:bottom w:val="nil"/>
              <w:right w:val="nil"/>
            </w:tcBorders>
            <w:shd w:val="clear" w:color="auto" w:fill="auto"/>
            <w:noWrap/>
            <w:vAlign w:val="center"/>
            <w:hideMark/>
          </w:tcPr>
          <w:p w14:paraId="0228B838" w14:textId="77777777" w:rsidR="0050645B" w:rsidRPr="00B07035" w:rsidRDefault="0050645B" w:rsidP="0050645B">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w:t>
            </w:r>
          </w:p>
        </w:tc>
        <w:tc>
          <w:tcPr>
            <w:tcW w:w="1180" w:type="dxa"/>
            <w:tcBorders>
              <w:top w:val="single" w:sz="4" w:space="0" w:color="F79646"/>
              <w:left w:val="nil"/>
              <w:bottom w:val="nil"/>
              <w:right w:val="nil"/>
            </w:tcBorders>
            <w:shd w:val="clear" w:color="auto" w:fill="auto"/>
            <w:noWrap/>
            <w:vAlign w:val="center"/>
            <w:hideMark/>
          </w:tcPr>
          <w:p w14:paraId="6F2FF00B" w14:textId="48CE9991" w:rsidR="0050645B" w:rsidRPr="00B07035" w:rsidRDefault="002E021E" w:rsidP="0050645B">
            <w:pPr>
              <w:jc w:val="right"/>
              <w:rPr>
                <w:rFonts w:ascii="CAIXA Std Book" w:eastAsia="Times New Roman" w:hAnsi="CAIXA Std Book" w:cs="Calibri"/>
                <w:b/>
                <w:bCs/>
                <w:color w:val="005CA9"/>
                <w:sz w:val="18"/>
                <w:szCs w:val="18"/>
              </w:rPr>
            </w:pPr>
            <w:r w:rsidRPr="002E021E">
              <w:rPr>
                <w:rFonts w:ascii="CAIXA Std Book" w:eastAsia="Times New Roman" w:hAnsi="CAIXA Std Book" w:cs="Calibri"/>
                <w:b/>
                <w:bCs/>
                <w:color w:val="005CA9"/>
                <w:sz w:val="18"/>
                <w:szCs w:val="18"/>
              </w:rPr>
              <w:t>1.325.495</w:t>
            </w:r>
          </w:p>
        </w:tc>
        <w:tc>
          <w:tcPr>
            <w:tcW w:w="1479" w:type="dxa"/>
            <w:tcBorders>
              <w:top w:val="single" w:sz="4" w:space="0" w:color="F79646"/>
              <w:left w:val="nil"/>
              <w:bottom w:val="nil"/>
              <w:right w:val="nil"/>
            </w:tcBorders>
            <w:shd w:val="clear" w:color="auto" w:fill="auto"/>
            <w:noWrap/>
            <w:vAlign w:val="center"/>
            <w:hideMark/>
          </w:tcPr>
          <w:p w14:paraId="1D18BC94" w14:textId="77777777" w:rsidR="0050645B" w:rsidRPr="0050645B" w:rsidRDefault="0050645B" w:rsidP="0050645B">
            <w:pPr>
              <w:jc w:val="right"/>
              <w:rPr>
                <w:rFonts w:ascii="CAIXA Std Book" w:eastAsia="Times New Roman" w:hAnsi="CAIXA Std Book" w:cs="Calibri"/>
                <w:b/>
                <w:bCs/>
                <w:color w:val="005CA9"/>
                <w:sz w:val="18"/>
                <w:szCs w:val="18"/>
              </w:rPr>
            </w:pPr>
            <w:r w:rsidRPr="0050645B">
              <w:rPr>
                <w:rFonts w:ascii="CAIXA Std Book" w:eastAsia="Times New Roman" w:hAnsi="CAIXA Std Book" w:cs="Calibri"/>
                <w:b/>
                <w:bCs/>
                <w:color w:val="005CA9"/>
                <w:sz w:val="18"/>
                <w:szCs w:val="18"/>
              </w:rPr>
              <w:t>892.701</w:t>
            </w:r>
          </w:p>
        </w:tc>
      </w:tr>
      <w:tr w:rsidR="0050645B" w:rsidRPr="00B07035" w14:paraId="27A2B400" w14:textId="77777777" w:rsidTr="00CE328D">
        <w:trPr>
          <w:trHeight w:val="315"/>
        </w:trPr>
        <w:tc>
          <w:tcPr>
            <w:tcW w:w="2620" w:type="dxa"/>
            <w:tcBorders>
              <w:top w:val="nil"/>
              <w:left w:val="nil"/>
              <w:bottom w:val="single" w:sz="4" w:space="0" w:color="F79646"/>
              <w:right w:val="nil"/>
            </w:tcBorders>
            <w:shd w:val="clear" w:color="auto" w:fill="auto"/>
            <w:noWrap/>
            <w:vAlign w:val="center"/>
            <w:hideMark/>
          </w:tcPr>
          <w:p w14:paraId="04E6639C" w14:textId="77777777" w:rsidR="0050645B" w:rsidRPr="00B07035" w:rsidRDefault="0050645B" w:rsidP="0050645B">
            <w:pPr>
              <w:ind w:firstLineChars="100" w:firstLine="180"/>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Índices</w:t>
            </w:r>
          </w:p>
        </w:tc>
        <w:tc>
          <w:tcPr>
            <w:tcW w:w="1060" w:type="dxa"/>
            <w:tcBorders>
              <w:top w:val="nil"/>
              <w:left w:val="nil"/>
              <w:bottom w:val="single" w:sz="4" w:space="0" w:color="F79646"/>
              <w:right w:val="nil"/>
            </w:tcBorders>
            <w:shd w:val="clear" w:color="auto" w:fill="auto"/>
            <w:vAlign w:val="center"/>
            <w:hideMark/>
          </w:tcPr>
          <w:p w14:paraId="158819B0" w14:textId="59585C5F" w:rsidR="0050645B" w:rsidRPr="00B07035" w:rsidRDefault="00F56871" w:rsidP="0050645B">
            <w:pPr>
              <w:jc w:val="right"/>
              <w:rPr>
                <w:rFonts w:ascii="CAIXA Std Book" w:eastAsia="Times New Roman" w:hAnsi="CAIXA Std Book" w:cs="Calibri"/>
                <w:color w:val="005CA9"/>
                <w:sz w:val="18"/>
                <w:szCs w:val="18"/>
              </w:rPr>
            </w:pPr>
            <w:r w:rsidRPr="00F56871">
              <w:rPr>
                <w:rFonts w:ascii="CAIXA Std Book" w:eastAsia="Times New Roman" w:hAnsi="CAIXA Std Book" w:cs="Calibri"/>
                <w:color w:val="005CA9"/>
                <w:sz w:val="18"/>
                <w:szCs w:val="18"/>
              </w:rPr>
              <w:t>1.314.845</w:t>
            </w:r>
          </w:p>
        </w:tc>
        <w:tc>
          <w:tcPr>
            <w:tcW w:w="1060" w:type="dxa"/>
            <w:tcBorders>
              <w:top w:val="nil"/>
              <w:left w:val="nil"/>
              <w:bottom w:val="single" w:sz="4" w:space="0" w:color="F79646"/>
              <w:right w:val="nil"/>
            </w:tcBorders>
            <w:shd w:val="clear" w:color="auto" w:fill="auto"/>
            <w:vAlign w:val="center"/>
            <w:hideMark/>
          </w:tcPr>
          <w:p w14:paraId="214E2964" w14:textId="77777777" w:rsidR="0050645B" w:rsidRPr="00B07035" w:rsidRDefault="0050645B" w:rsidP="0050645B">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3.450</w:t>
            </w:r>
          </w:p>
        </w:tc>
        <w:tc>
          <w:tcPr>
            <w:tcW w:w="1060" w:type="dxa"/>
            <w:tcBorders>
              <w:top w:val="nil"/>
              <w:left w:val="nil"/>
              <w:bottom w:val="single" w:sz="4" w:space="0" w:color="F79646"/>
              <w:right w:val="nil"/>
            </w:tcBorders>
            <w:shd w:val="clear" w:color="auto" w:fill="auto"/>
            <w:vAlign w:val="center"/>
            <w:hideMark/>
          </w:tcPr>
          <w:p w14:paraId="4E969A7F" w14:textId="77777777" w:rsidR="0050645B" w:rsidRPr="00B07035" w:rsidRDefault="0050645B" w:rsidP="0050645B">
            <w:pPr>
              <w:jc w:val="right"/>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7.200</w:t>
            </w:r>
          </w:p>
        </w:tc>
        <w:tc>
          <w:tcPr>
            <w:tcW w:w="1180" w:type="dxa"/>
            <w:tcBorders>
              <w:top w:val="nil"/>
              <w:left w:val="nil"/>
              <w:bottom w:val="single" w:sz="4" w:space="0" w:color="F79646"/>
              <w:right w:val="nil"/>
            </w:tcBorders>
            <w:shd w:val="clear" w:color="auto" w:fill="auto"/>
            <w:vAlign w:val="center"/>
            <w:hideMark/>
          </w:tcPr>
          <w:p w14:paraId="02B1EAAF" w14:textId="77777777" w:rsidR="0050645B" w:rsidRPr="00B07035" w:rsidRDefault="0050645B" w:rsidP="0050645B">
            <w:pPr>
              <w:jc w:val="center"/>
              <w:rPr>
                <w:rFonts w:ascii="CAIXA Std Book" w:eastAsia="Times New Roman" w:hAnsi="CAIXA Std Book" w:cs="Calibri"/>
                <w:color w:val="005CA9"/>
                <w:sz w:val="18"/>
                <w:szCs w:val="18"/>
              </w:rPr>
            </w:pPr>
            <w:r w:rsidRPr="00B07035">
              <w:rPr>
                <w:rFonts w:ascii="CAIXA Std Book" w:eastAsia="Times New Roman" w:hAnsi="CAIXA Std Book" w:cs="Calibri"/>
                <w:color w:val="005CA9"/>
                <w:sz w:val="18"/>
                <w:szCs w:val="18"/>
              </w:rPr>
              <w:t>-</w:t>
            </w:r>
          </w:p>
        </w:tc>
        <w:tc>
          <w:tcPr>
            <w:tcW w:w="1180" w:type="dxa"/>
            <w:tcBorders>
              <w:top w:val="nil"/>
              <w:left w:val="nil"/>
              <w:bottom w:val="single" w:sz="4" w:space="0" w:color="F79646"/>
              <w:right w:val="nil"/>
            </w:tcBorders>
            <w:shd w:val="clear" w:color="auto" w:fill="auto"/>
            <w:vAlign w:val="center"/>
            <w:hideMark/>
          </w:tcPr>
          <w:p w14:paraId="7E84E84E" w14:textId="5CDBFD1E" w:rsidR="0050645B" w:rsidRPr="00B07035" w:rsidRDefault="002E021E" w:rsidP="0050645B">
            <w:pPr>
              <w:jc w:val="right"/>
              <w:rPr>
                <w:rFonts w:ascii="CAIXA Std Book" w:eastAsia="Times New Roman" w:hAnsi="CAIXA Std Book" w:cs="Calibri"/>
                <w:color w:val="005CA9"/>
                <w:sz w:val="18"/>
                <w:szCs w:val="18"/>
              </w:rPr>
            </w:pPr>
            <w:r w:rsidRPr="002E021E">
              <w:rPr>
                <w:rFonts w:ascii="CAIXA Std Book" w:eastAsia="Times New Roman" w:hAnsi="CAIXA Std Book" w:cs="Calibri"/>
                <w:color w:val="005CA9"/>
                <w:sz w:val="18"/>
                <w:szCs w:val="18"/>
              </w:rPr>
              <w:t>1.325.495</w:t>
            </w:r>
          </w:p>
        </w:tc>
        <w:tc>
          <w:tcPr>
            <w:tcW w:w="1479" w:type="dxa"/>
            <w:tcBorders>
              <w:top w:val="nil"/>
              <w:left w:val="nil"/>
              <w:bottom w:val="single" w:sz="4" w:space="0" w:color="F79646"/>
              <w:right w:val="nil"/>
            </w:tcBorders>
            <w:shd w:val="clear" w:color="auto" w:fill="auto"/>
            <w:vAlign w:val="center"/>
            <w:hideMark/>
          </w:tcPr>
          <w:p w14:paraId="4BD0E309" w14:textId="77777777" w:rsidR="0050645B" w:rsidRPr="00B07035" w:rsidRDefault="0050645B" w:rsidP="0050645B">
            <w:pPr>
              <w:jc w:val="right"/>
              <w:rPr>
                <w:rFonts w:ascii="CAIXA Std Book" w:eastAsia="Times New Roman" w:hAnsi="CAIXA Std Book" w:cs="Calibri"/>
                <w:color w:val="005CA9"/>
                <w:sz w:val="18"/>
                <w:szCs w:val="18"/>
              </w:rPr>
            </w:pPr>
            <w:r w:rsidRPr="0050645B">
              <w:rPr>
                <w:rFonts w:ascii="CAIXA Std Book" w:eastAsia="Times New Roman" w:hAnsi="CAIXA Std Book" w:cs="Calibri"/>
                <w:color w:val="005CA9"/>
                <w:sz w:val="18"/>
                <w:szCs w:val="18"/>
              </w:rPr>
              <w:t>892.701</w:t>
            </w:r>
          </w:p>
        </w:tc>
      </w:tr>
      <w:tr w:rsidR="00B07035" w:rsidRPr="00B07035" w14:paraId="5F55626D" w14:textId="77777777" w:rsidTr="00CE328D">
        <w:trPr>
          <w:trHeight w:val="315"/>
        </w:trPr>
        <w:tc>
          <w:tcPr>
            <w:tcW w:w="9639" w:type="dxa"/>
            <w:gridSpan w:val="7"/>
            <w:tcBorders>
              <w:top w:val="single" w:sz="4" w:space="0" w:color="F79646"/>
              <w:left w:val="nil"/>
              <w:bottom w:val="single" w:sz="4" w:space="0" w:color="F79646"/>
              <w:right w:val="nil"/>
            </w:tcBorders>
            <w:shd w:val="clear" w:color="auto" w:fill="auto"/>
            <w:noWrap/>
            <w:vAlign w:val="center"/>
            <w:hideMark/>
          </w:tcPr>
          <w:p w14:paraId="27E034C6"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Outros derivativos</w:t>
            </w:r>
          </w:p>
        </w:tc>
      </w:tr>
      <w:tr w:rsidR="00B07035" w:rsidRPr="00B07035" w14:paraId="40ED8922" w14:textId="77777777" w:rsidTr="00CE328D">
        <w:trPr>
          <w:trHeight w:val="315"/>
        </w:trPr>
        <w:tc>
          <w:tcPr>
            <w:tcW w:w="2620" w:type="dxa"/>
            <w:tcBorders>
              <w:top w:val="single" w:sz="4" w:space="0" w:color="F79646"/>
              <w:left w:val="nil"/>
              <w:bottom w:val="single" w:sz="4" w:space="0" w:color="F79646"/>
              <w:right w:val="nil"/>
            </w:tcBorders>
            <w:shd w:val="clear" w:color="auto" w:fill="auto"/>
            <w:noWrap/>
            <w:vAlign w:val="center"/>
            <w:hideMark/>
          </w:tcPr>
          <w:p w14:paraId="69ADC8E9" w14:textId="77777777" w:rsidR="00B07035" w:rsidRPr="00B07035" w:rsidRDefault="00B07035" w:rsidP="00B07035">
            <w:pP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Derivativo FGTS </w:t>
            </w:r>
          </w:p>
        </w:tc>
        <w:tc>
          <w:tcPr>
            <w:tcW w:w="1060" w:type="dxa"/>
            <w:tcBorders>
              <w:top w:val="single" w:sz="4" w:space="0" w:color="F79646"/>
              <w:left w:val="nil"/>
              <w:bottom w:val="single" w:sz="4" w:space="0" w:color="F79646"/>
              <w:right w:val="nil"/>
            </w:tcBorders>
            <w:shd w:val="clear" w:color="auto" w:fill="auto"/>
            <w:noWrap/>
            <w:vAlign w:val="center"/>
            <w:hideMark/>
          </w:tcPr>
          <w:p w14:paraId="4B018044" w14:textId="77777777" w:rsidR="00B07035" w:rsidRPr="00B07035" w:rsidRDefault="00B07035" w:rsidP="00B07035">
            <w:pP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 </w:t>
            </w:r>
            <w:r w:rsidR="0023273C">
              <w:rPr>
                <w:rFonts w:ascii="CAIXA Std Book" w:eastAsia="Times New Roman" w:hAnsi="CAIXA Std Book" w:cs="Calibri"/>
                <w:b/>
                <w:bCs/>
                <w:color w:val="005CA9"/>
                <w:sz w:val="18"/>
                <w:szCs w:val="18"/>
              </w:rPr>
              <w:t>-</w:t>
            </w:r>
          </w:p>
        </w:tc>
        <w:tc>
          <w:tcPr>
            <w:tcW w:w="1060" w:type="dxa"/>
            <w:tcBorders>
              <w:top w:val="single" w:sz="4" w:space="0" w:color="F79646"/>
              <w:left w:val="nil"/>
              <w:bottom w:val="single" w:sz="4" w:space="0" w:color="F79646"/>
              <w:right w:val="nil"/>
            </w:tcBorders>
            <w:shd w:val="clear" w:color="auto" w:fill="auto"/>
            <w:noWrap/>
            <w:vAlign w:val="center"/>
            <w:hideMark/>
          </w:tcPr>
          <w:p w14:paraId="13A28094"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w:t>
            </w:r>
          </w:p>
        </w:tc>
        <w:tc>
          <w:tcPr>
            <w:tcW w:w="1060" w:type="dxa"/>
            <w:tcBorders>
              <w:top w:val="single" w:sz="4" w:space="0" w:color="F79646"/>
              <w:left w:val="nil"/>
              <w:bottom w:val="single" w:sz="4" w:space="0" w:color="F79646"/>
              <w:right w:val="nil"/>
            </w:tcBorders>
            <w:shd w:val="clear" w:color="auto" w:fill="auto"/>
            <w:noWrap/>
            <w:vAlign w:val="center"/>
            <w:hideMark/>
          </w:tcPr>
          <w:p w14:paraId="5C2B795E"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w:t>
            </w:r>
          </w:p>
        </w:tc>
        <w:tc>
          <w:tcPr>
            <w:tcW w:w="1180" w:type="dxa"/>
            <w:tcBorders>
              <w:top w:val="single" w:sz="4" w:space="0" w:color="F79646"/>
              <w:left w:val="nil"/>
              <w:bottom w:val="single" w:sz="4" w:space="0" w:color="F79646"/>
              <w:right w:val="nil"/>
            </w:tcBorders>
            <w:shd w:val="clear" w:color="auto" w:fill="auto"/>
            <w:noWrap/>
            <w:vAlign w:val="center"/>
            <w:hideMark/>
          </w:tcPr>
          <w:p w14:paraId="0ADBEF8E"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3.523.980</w:t>
            </w:r>
          </w:p>
        </w:tc>
        <w:tc>
          <w:tcPr>
            <w:tcW w:w="1180" w:type="dxa"/>
            <w:tcBorders>
              <w:top w:val="single" w:sz="4" w:space="0" w:color="F79646"/>
              <w:left w:val="nil"/>
              <w:bottom w:val="single" w:sz="4" w:space="0" w:color="F79646"/>
              <w:right w:val="nil"/>
            </w:tcBorders>
            <w:shd w:val="clear" w:color="auto" w:fill="auto"/>
            <w:noWrap/>
            <w:vAlign w:val="center"/>
            <w:hideMark/>
          </w:tcPr>
          <w:p w14:paraId="3281DD59" w14:textId="77777777" w:rsidR="00B07035" w:rsidRPr="00B07035" w:rsidRDefault="00B07035" w:rsidP="00B07035">
            <w:pPr>
              <w:jc w:val="center"/>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3.523.980</w:t>
            </w:r>
          </w:p>
        </w:tc>
        <w:tc>
          <w:tcPr>
            <w:tcW w:w="1479" w:type="dxa"/>
            <w:tcBorders>
              <w:top w:val="single" w:sz="4" w:space="0" w:color="F79646"/>
              <w:left w:val="nil"/>
              <w:bottom w:val="single" w:sz="4" w:space="0" w:color="F79646"/>
              <w:right w:val="nil"/>
            </w:tcBorders>
            <w:shd w:val="clear" w:color="auto" w:fill="auto"/>
            <w:noWrap/>
            <w:vAlign w:val="center"/>
            <w:hideMark/>
          </w:tcPr>
          <w:p w14:paraId="3B15731A" w14:textId="77777777" w:rsidR="00B07035" w:rsidRPr="00B07035" w:rsidRDefault="00B07035" w:rsidP="00B07035">
            <w:pPr>
              <w:jc w:val="right"/>
              <w:rPr>
                <w:rFonts w:ascii="CAIXA Std Book" w:eastAsia="Times New Roman" w:hAnsi="CAIXA Std Book" w:cs="Calibri"/>
                <w:b/>
                <w:bCs/>
                <w:color w:val="005CA9"/>
                <w:sz w:val="18"/>
                <w:szCs w:val="18"/>
              </w:rPr>
            </w:pPr>
            <w:r w:rsidRPr="00B07035">
              <w:rPr>
                <w:rFonts w:ascii="CAIXA Std Book" w:eastAsia="Times New Roman" w:hAnsi="CAIXA Std Book" w:cs="Calibri"/>
                <w:b/>
                <w:bCs/>
                <w:color w:val="005CA9"/>
                <w:sz w:val="18"/>
                <w:szCs w:val="18"/>
              </w:rPr>
              <w:t>3.526.810</w:t>
            </w:r>
          </w:p>
        </w:tc>
      </w:tr>
    </w:tbl>
    <w:p w14:paraId="73B2AB46" w14:textId="20B22EFB" w:rsidR="008148BB" w:rsidRPr="00616EE1" w:rsidRDefault="008148BB" w:rsidP="00A86BD6">
      <w:pPr>
        <w:keepNext/>
        <w:tabs>
          <w:tab w:val="left" w:pos="567"/>
        </w:tabs>
        <w:ind w:right="112"/>
        <w:jc w:val="both"/>
        <w:rPr>
          <w:color w:val="005CA9"/>
          <w:sz w:val="22"/>
          <w:szCs w:val="22"/>
        </w:rPr>
      </w:pPr>
    </w:p>
    <w:p w14:paraId="3BE800D7" w14:textId="77777777" w:rsidR="00616EE1" w:rsidRDefault="00616EE1">
      <w:r>
        <w:br w:type="page"/>
      </w:r>
    </w:p>
    <w:p w14:paraId="51147761" w14:textId="66C6C876" w:rsidR="00FD4A4A" w:rsidRPr="00FF4346" w:rsidRDefault="00FF5A1D" w:rsidP="00FF5A1D">
      <w:pPr>
        <w:keepNext/>
        <w:tabs>
          <w:tab w:val="left" w:pos="567"/>
        </w:tabs>
        <w:spacing w:before="480" w:after="240"/>
        <w:ind w:right="112"/>
        <w:jc w:val="both"/>
        <w:rPr>
          <w:rFonts w:ascii="CAIXA Std Book" w:hAnsi="CAIXA Std Book"/>
          <w:b/>
          <w:color w:val="005CA9"/>
          <w:sz w:val="20"/>
          <w:szCs w:val="20"/>
        </w:rPr>
      </w:pPr>
      <w:r w:rsidRPr="00FF4346">
        <w:rPr>
          <w:rFonts w:ascii="CAIXA Std Book" w:hAnsi="CAIXA Std Book"/>
          <w:b/>
          <w:color w:val="005CA9"/>
          <w:sz w:val="20"/>
          <w:szCs w:val="20"/>
        </w:rPr>
        <w:lastRenderedPageBreak/>
        <w:t>c)</w:t>
      </w:r>
      <w:r w:rsidRPr="00FF4346">
        <w:rPr>
          <w:rFonts w:ascii="CAIXA Std Book" w:hAnsi="CAIXA Std Book"/>
          <w:b/>
          <w:color w:val="005CA9"/>
          <w:sz w:val="20"/>
          <w:szCs w:val="20"/>
        </w:rPr>
        <w:tab/>
      </w:r>
      <w:r w:rsidR="0025738F" w:rsidRPr="00FF4346">
        <w:rPr>
          <w:rFonts w:ascii="CAIXA Std Book" w:hAnsi="CAIXA Std Book"/>
          <w:b/>
          <w:color w:val="005CA9"/>
          <w:sz w:val="20"/>
          <w:szCs w:val="20"/>
        </w:rPr>
        <w:t xml:space="preserve">Composição da carteira de instrumentos financeiros derivativos por </w:t>
      </w:r>
      <w:r w:rsidR="005450FE" w:rsidRPr="00FF4346">
        <w:rPr>
          <w:rFonts w:ascii="CAIXA Std Book" w:hAnsi="CAIXA Std Book"/>
          <w:b/>
          <w:color w:val="005CA9"/>
          <w:sz w:val="20"/>
          <w:szCs w:val="20"/>
        </w:rPr>
        <w:t xml:space="preserve">tipo de instrumento, </w:t>
      </w:r>
      <w:r w:rsidR="00603467" w:rsidRPr="00FF4346">
        <w:rPr>
          <w:rFonts w:ascii="CAIXA Std Book" w:hAnsi="CAIXA Std Book"/>
          <w:b/>
          <w:color w:val="005CA9"/>
          <w:sz w:val="20"/>
          <w:szCs w:val="20"/>
        </w:rPr>
        <w:t>contraparte</w:t>
      </w:r>
      <w:r w:rsidR="0025738F" w:rsidRPr="00FF4346">
        <w:rPr>
          <w:rFonts w:ascii="CAIXA Std Book" w:hAnsi="CAIXA Std Book"/>
          <w:b/>
          <w:color w:val="005CA9"/>
          <w:sz w:val="20"/>
          <w:szCs w:val="20"/>
        </w:rPr>
        <w:t xml:space="preserve"> e prazo de vencimento, demonstrada pelo seu valor patrimonial</w:t>
      </w:r>
    </w:p>
    <w:tbl>
      <w:tblPr>
        <w:tblW w:w="5224" w:type="pct"/>
        <w:tblLayout w:type="fixed"/>
        <w:tblCellMar>
          <w:left w:w="70" w:type="dxa"/>
          <w:right w:w="70" w:type="dxa"/>
        </w:tblCellMar>
        <w:tblLook w:val="04A0" w:firstRow="1" w:lastRow="0" w:firstColumn="1" w:lastColumn="0" w:noHBand="0" w:noVBand="1"/>
      </w:tblPr>
      <w:tblGrid>
        <w:gridCol w:w="3115"/>
        <w:gridCol w:w="1134"/>
        <w:gridCol w:w="1134"/>
        <w:gridCol w:w="854"/>
        <w:gridCol w:w="852"/>
        <w:gridCol w:w="856"/>
        <w:gridCol w:w="1003"/>
        <w:gridCol w:w="1122"/>
      </w:tblGrid>
      <w:tr w:rsidR="00373CD0" w:rsidRPr="00CA7DF8" w14:paraId="40669AEB" w14:textId="77777777" w:rsidTr="00940714">
        <w:trPr>
          <w:trHeight w:val="283"/>
        </w:trPr>
        <w:tc>
          <w:tcPr>
            <w:tcW w:w="5000" w:type="pct"/>
            <w:gridSpan w:val="8"/>
            <w:tcBorders>
              <w:top w:val="single" w:sz="4" w:space="0" w:color="F79646"/>
              <w:left w:val="nil"/>
              <w:bottom w:val="nil"/>
              <w:right w:val="nil"/>
            </w:tcBorders>
            <w:shd w:val="clear" w:color="auto" w:fill="auto"/>
            <w:vAlign w:val="center"/>
            <w:hideMark/>
          </w:tcPr>
          <w:p w14:paraId="3927A15F" w14:textId="00C154F8"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INDIVIDUAL</w:t>
            </w:r>
          </w:p>
        </w:tc>
      </w:tr>
      <w:tr w:rsidR="004B4CBB" w:rsidRPr="00CA7DF8" w14:paraId="1F10C972" w14:textId="77777777" w:rsidTr="00940714">
        <w:trPr>
          <w:trHeight w:val="283"/>
        </w:trPr>
        <w:tc>
          <w:tcPr>
            <w:tcW w:w="1547" w:type="pct"/>
            <w:vMerge w:val="restart"/>
            <w:tcBorders>
              <w:top w:val="single" w:sz="4" w:space="0" w:color="F79646"/>
              <w:left w:val="nil"/>
              <w:bottom w:val="nil"/>
              <w:right w:val="nil"/>
            </w:tcBorders>
            <w:shd w:val="clear" w:color="auto" w:fill="auto"/>
            <w:vAlign w:val="center"/>
            <w:hideMark/>
          </w:tcPr>
          <w:p w14:paraId="3B52084E" w14:textId="4F002147"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Descrição</w:t>
            </w:r>
          </w:p>
        </w:tc>
        <w:tc>
          <w:tcPr>
            <w:tcW w:w="2896" w:type="pct"/>
            <w:gridSpan w:val="6"/>
            <w:tcBorders>
              <w:top w:val="single" w:sz="4" w:space="0" w:color="F79646"/>
              <w:left w:val="nil"/>
              <w:bottom w:val="single" w:sz="4" w:space="0" w:color="F79646"/>
              <w:right w:val="nil"/>
            </w:tcBorders>
            <w:shd w:val="clear" w:color="auto" w:fill="auto"/>
            <w:vAlign w:val="center"/>
            <w:hideMark/>
          </w:tcPr>
          <w:p w14:paraId="5515777E" w14:textId="53455621" w:rsidR="00373CD0" w:rsidRPr="00CA7DF8" w:rsidRDefault="0070372B"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31/</w:t>
            </w:r>
            <w:r w:rsidR="00250D1B" w:rsidRPr="00CA7DF8">
              <w:rPr>
                <w:rFonts w:ascii="CAIXA Std Book" w:eastAsia="Times New Roman" w:hAnsi="CAIXA Std Book" w:cs="Arial"/>
                <w:b/>
                <w:color w:val="005CA9"/>
                <w:sz w:val="16"/>
                <w:szCs w:val="16"/>
              </w:rPr>
              <w:t>03</w:t>
            </w:r>
            <w:r w:rsidR="00373CD0" w:rsidRPr="00CA7DF8">
              <w:rPr>
                <w:rFonts w:ascii="CAIXA Std Book" w:eastAsia="Times New Roman" w:hAnsi="CAIXA Std Book" w:cs="Arial"/>
                <w:b/>
                <w:color w:val="005CA9"/>
                <w:sz w:val="16"/>
                <w:szCs w:val="16"/>
              </w:rPr>
              <w:t>/202</w:t>
            </w:r>
            <w:r w:rsidR="00250D1B" w:rsidRPr="00CA7DF8">
              <w:rPr>
                <w:rFonts w:ascii="CAIXA Std Book" w:eastAsia="Times New Roman" w:hAnsi="CAIXA Std Book" w:cs="Arial"/>
                <w:b/>
                <w:color w:val="005CA9"/>
                <w:sz w:val="16"/>
                <w:szCs w:val="16"/>
              </w:rPr>
              <w:t>4</w:t>
            </w:r>
          </w:p>
        </w:tc>
        <w:tc>
          <w:tcPr>
            <w:tcW w:w="557" w:type="pct"/>
            <w:tcBorders>
              <w:top w:val="single" w:sz="4" w:space="0" w:color="F79646"/>
              <w:left w:val="nil"/>
              <w:bottom w:val="nil"/>
              <w:right w:val="nil"/>
            </w:tcBorders>
            <w:shd w:val="clear" w:color="auto" w:fill="auto"/>
            <w:vAlign w:val="center"/>
            <w:hideMark/>
          </w:tcPr>
          <w:p w14:paraId="339610D7" w14:textId="7CE66A87" w:rsidR="00373CD0" w:rsidRPr="00CA7DF8" w:rsidRDefault="00373CD0" w:rsidP="006F6CA8">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31/12/202</w:t>
            </w:r>
            <w:r w:rsidR="00250D1B" w:rsidRPr="00CA7DF8">
              <w:rPr>
                <w:rFonts w:ascii="CAIXA Std Book" w:eastAsia="Times New Roman" w:hAnsi="CAIXA Std Book" w:cs="Arial"/>
                <w:b/>
                <w:color w:val="005CA9"/>
                <w:sz w:val="16"/>
                <w:szCs w:val="16"/>
              </w:rPr>
              <w:t>3</w:t>
            </w:r>
          </w:p>
        </w:tc>
      </w:tr>
      <w:tr w:rsidR="004D363F" w:rsidRPr="00CA7DF8" w14:paraId="226B45ED" w14:textId="77777777" w:rsidTr="00940714">
        <w:trPr>
          <w:trHeight w:val="283"/>
        </w:trPr>
        <w:tc>
          <w:tcPr>
            <w:tcW w:w="1547" w:type="pct"/>
            <w:vMerge/>
            <w:tcBorders>
              <w:top w:val="single" w:sz="4" w:space="0" w:color="F79646"/>
              <w:left w:val="nil"/>
              <w:bottom w:val="nil"/>
              <w:right w:val="nil"/>
            </w:tcBorders>
            <w:vAlign w:val="center"/>
            <w:hideMark/>
          </w:tcPr>
          <w:p w14:paraId="620CDCE0" w14:textId="77777777" w:rsidR="00373CD0" w:rsidRPr="00CA7DF8" w:rsidRDefault="00373CD0" w:rsidP="00373CD0">
            <w:pPr>
              <w:rPr>
                <w:rFonts w:ascii="CAIXA Std Book" w:eastAsia="Times New Roman" w:hAnsi="CAIXA Std Book" w:cs="Arial"/>
                <w:b/>
                <w:color w:val="005CA9"/>
                <w:sz w:val="16"/>
                <w:szCs w:val="16"/>
              </w:rPr>
            </w:pPr>
          </w:p>
        </w:tc>
        <w:tc>
          <w:tcPr>
            <w:tcW w:w="563" w:type="pct"/>
            <w:tcBorders>
              <w:top w:val="nil"/>
              <w:left w:val="nil"/>
              <w:bottom w:val="single" w:sz="4" w:space="0" w:color="F79646"/>
              <w:right w:val="nil"/>
            </w:tcBorders>
            <w:shd w:val="clear" w:color="auto" w:fill="auto"/>
            <w:vAlign w:val="center"/>
            <w:hideMark/>
          </w:tcPr>
          <w:p w14:paraId="22825BA3" w14:textId="77777777"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Valor Patrimonial a Receber (Recebido)/ A Pagar (Pago)</w:t>
            </w:r>
          </w:p>
        </w:tc>
        <w:tc>
          <w:tcPr>
            <w:tcW w:w="563" w:type="pct"/>
            <w:tcBorders>
              <w:top w:val="nil"/>
              <w:left w:val="nil"/>
              <w:bottom w:val="single" w:sz="4" w:space="0" w:color="F79646"/>
              <w:right w:val="nil"/>
            </w:tcBorders>
            <w:shd w:val="clear" w:color="auto" w:fill="auto"/>
            <w:vAlign w:val="center"/>
            <w:hideMark/>
          </w:tcPr>
          <w:p w14:paraId="7E024305" w14:textId="2D589200"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 xml:space="preserve">Ajuste ao Valor de Mercado </w:t>
            </w:r>
            <w:r w:rsidR="00DC4F0D" w:rsidRPr="00CA7DF8">
              <w:rPr>
                <w:rFonts w:ascii="CAIXA Std Book" w:eastAsia="Times New Roman" w:hAnsi="CAIXA Std Book" w:cs="Arial"/>
                <w:b/>
                <w:color w:val="005CA9"/>
                <w:sz w:val="16"/>
                <w:szCs w:val="16"/>
              </w:rPr>
              <w:t>no Resultado</w:t>
            </w:r>
          </w:p>
        </w:tc>
        <w:tc>
          <w:tcPr>
            <w:tcW w:w="424" w:type="pct"/>
            <w:tcBorders>
              <w:top w:val="nil"/>
              <w:left w:val="nil"/>
              <w:bottom w:val="nil"/>
              <w:right w:val="nil"/>
            </w:tcBorders>
            <w:shd w:val="clear" w:color="auto" w:fill="auto"/>
            <w:vAlign w:val="center"/>
            <w:hideMark/>
          </w:tcPr>
          <w:p w14:paraId="0FC763A4" w14:textId="590E8C1A" w:rsidR="00373CD0" w:rsidRPr="00CA7DF8" w:rsidRDefault="008C3885" w:rsidP="00373CD0">
            <w:pPr>
              <w:jc w:val="center"/>
              <w:rPr>
                <w:rFonts w:ascii="CAIXA Std Book" w:eastAsia="Times New Roman" w:hAnsi="CAIXA Std Book" w:cs="Arial"/>
                <w:b/>
                <w:color w:val="005CA9"/>
                <w:sz w:val="16"/>
                <w:szCs w:val="16"/>
              </w:rPr>
            </w:pPr>
            <w:r>
              <w:rPr>
                <w:rFonts w:ascii="CAIXA Std Book" w:eastAsia="Times New Roman" w:hAnsi="CAIXA Std Book" w:cs="Arial"/>
                <w:b/>
                <w:color w:val="005CA9"/>
                <w:sz w:val="16"/>
                <w:szCs w:val="16"/>
              </w:rPr>
              <w:t>01</w:t>
            </w:r>
            <w:r w:rsidR="00373CD0" w:rsidRPr="00CA7DF8">
              <w:rPr>
                <w:rFonts w:ascii="CAIXA Std Book" w:eastAsia="Times New Roman" w:hAnsi="CAIXA Std Book" w:cs="Arial"/>
                <w:b/>
                <w:color w:val="005CA9"/>
                <w:sz w:val="16"/>
                <w:szCs w:val="16"/>
              </w:rPr>
              <w:t xml:space="preserve"> a </w:t>
            </w:r>
            <w:r>
              <w:rPr>
                <w:rFonts w:ascii="CAIXA Std Book" w:eastAsia="Times New Roman" w:hAnsi="CAIXA Std Book" w:cs="Arial"/>
                <w:b/>
                <w:color w:val="005CA9"/>
                <w:sz w:val="16"/>
                <w:szCs w:val="16"/>
              </w:rPr>
              <w:t xml:space="preserve">90 </w:t>
            </w:r>
            <w:r w:rsidR="00373CD0" w:rsidRPr="00CA7DF8">
              <w:rPr>
                <w:rFonts w:ascii="CAIXA Std Book" w:eastAsia="Times New Roman" w:hAnsi="CAIXA Std Book" w:cs="Arial"/>
                <w:b/>
                <w:color w:val="005CA9"/>
                <w:sz w:val="16"/>
                <w:szCs w:val="16"/>
              </w:rPr>
              <w:t>dias</w:t>
            </w:r>
          </w:p>
        </w:tc>
        <w:tc>
          <w:tcPr>
            <w:tcW w:w="423" w:type="pct"/>
            <w:tcBorders>
              <w:top w:val="nil"/>
              <w:left w:val="nil"/>
              <w:bottom w:val="nil"/>
              <w:right w:val="nil"/>
            </w:tcBorders>
            <w:shd w:val="clear" w:color="auto" w:fill="auto"/>
            <w:vAlign w:val="center"/>
            <w:hideMark/>
          </w:tcPr>
          <w:p w14:paraId="6F46465E" w14:textId="51CFFFC3" w:rsidR="00373CD0" w:rsidRPr="00CA7DF8" w:rsidRDefault="009F6166" w:rsidP="00373CD0">
            <w:pPr>
              <w:jc w:val="center"/>
              <w:rPr>
                <w:rFonts w:ascii="CAIXA Std Book" w:eastAsia="Times New Roman" w:hAnsi="CAIXA Std Book" w:cs="Arial"/>
                <w:b/>
                <w:color w:val="005CA9"/>
                <w:sz w:val="16"/>
                <w:szCs w:val="16"/>
              </w:rPr>
            </w:pPr>
            <w:r>
              <w:rPr>
                <w:rFonts w:ascii="CAIXA Std Book" w:eastAsia="Times New Roman" w:hAnsi="CAIXA Std Book" w:cs="Arial"/>
                <w:b/>
                <w:color w:val="005CA9"/>
                <w:sz w:val="16"/>
                <w:szCs w:val="16"/>
              </w:rPr>
              <w:t>91</w:t>
            </w:r>
            <w:r w:rsidR="00373CD0" w:rsidRPr="00CA7DF8">
              <w:rPr>
                <w:rFonts w:ascii="CAIXA Std Book" w:eastAsia="Times New Roman" w:hAnsi="CAIXA Std Book" w:cs="Arial"/>
                <w:b/>
                <w:color w:val="005CA9"/>
                <w:sz w:val="16"/>
                <w:szCs w:val="16"/>
              </w:rPr>
              <w:t xml:space="preserve"> a </w:t>
            </w:r>
            <w:r>
              <w:rPr>
                <w:rFonts w:ascii="CAIXA Std Book" w:eastAsia="Times New Roman" w:hAnsi="CAIXA Std Book" w:cs="Arial"/>
                <w:b/>
                <w:color w:val="005CA9"/>
                <w:sz w:val="16"/>
                <w:szCs w:val="16"/>
              </w:rPr>
              <w:t>180</w:t>
            </w:r>
            <w:r w:rsidR="00373CD0" w:rsidRPr="00CA7DF8">
              <w:rPr>
                <w:rFonts w:ascii="CAIXA Std Book" w:eastAsia="Times New Roman" w:hAnsi="CAIXA Std Book" w:cs="Arial"/>
                <w:b/>
                <w:color w:val="005CA9"/>
                <w:sz w:val="16"/>
                <w:szCs w:val="16"/>
              </w:rPr>
              <w:t xml:space="preserve"> dias</w:t>
            </w:r>
          </w:p>
        </w:tc>
        <w:tc>
          <w:tcPr>
            <w:tcW w:w="425" w:type="pct"/>
            <w:tcBorders>
              <w:top w:val="nil"/>
              <w:left w:val="nil"/>
              <w:bottom w:val="nil"/>
              <w:right w:val="nil"/>
            </w:tcBorders>
            <w:shd w:val="clear" w:color="auto" w:fill="auto"/>
            <w:vAlign w:val="center"/>
            <w:hideMark/>
          </w:tcPr>
          <w:p w14:paraId="76068266" w14:textId="7B9C8F48" w:rsidR="00373CD0" w:rsidRPr="00CA7DF8" w:rsidRDefault="009F6166" w:rsidP="00373CD0">
            <w:pPr>
              <w:jc w:val="center"/>
              <w:rPr>
                <w:rFonts w:ascii="CAIXA Std Book" w:eastAsia="Times New Roman" w:hAnsi="CAIXA Std Book" w:cs="Arial"/>
                <w:b/>
                <w:color w:val="005CA9"/>
                <w:sz w:val="16"/>
                <w:szCs w:val="16"/>
              </w:rPr>
            </w:pPr>
            <w:r>
              <w:rPr>
                <w:rFonts w:ascii="CAIXA Std Book" w:eastAsia="Times New Roman" w:hAnsi="CAIXA Std Book" w:cs="Arial"/>
                <w:b/>
                <w:color w:val="005CA9"/>
                <w:sz w:val="16"/>
                <w:szCs w:val="16"/>
              </w:rPr>
              <w:t xml:space="preserve">181 a 360 </w:t>
            </w:r>
            <w:r w:rsidR="00373CD0" w:rsidRPr="00CA7DF8">
              <w:rPr>
                <w:rFonts w:ascii="CAIXA Std Book" w:eastAsia="Times New Roman" w:hAnsi="CAIXA Std Book" w:cs="Arial"/>
                <w:b/>
                <w:color w:val="005CA9"/>
                <w:sz w:val="16"/>
                <w:szCs w:val="16"/>
              </w:rPr>
              <w:t>dias</w:t>
            </w:r>
          </w:p>
        </w:tc>
        <w:tc>
          <w:tcPr>
            <w:tcW w:w="497" w:type="pct"/>
            <w:tcBorders>
              <w:top w:val="nil"/>
              <w:left w:val="nil"/>
              <w:bottom w:val="nil"/>
              <w:right w:val="nil"/>
            </w:tcBorders>
            <w:shd w:val="clear" w:color="auto" w:fill="auto"/>
            <w:vAlign w:val="center"/>
            <w:hideMark/>
          </w:tcPr>
          <w:p w14:paraId="72C585CD" w14:textId="77777777"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Valor Patrimonial</w:t>
            </w:r>
          </w:p>
        </w:tc>
        <w:tc>
          <w:tcPr>
            <w:tcW w:w="557" w:type="pct"/>
            <w:tcBorders>
              <w:top w:val="single" w:sz="4" w:space="0" w:color="F79646"/>
              <w:left w:val="nil"/>
              <w:bottom w:val="single" w:sz="4" w:space="0" w:color="F79646"/>
              <w:right w:val="nil"/>
            </w:tcBorders>
            <w:shd w:val="clear" w:color="auto" w:fill="auto"/>
            <w:vAlign w:val="center"/>
            <w:hideMark/>
          </w:tcPr>
          <w:p w14:paraId="1EAB0854" w14:textId="77777777"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Valor Patrimonial</w:t>
            </w:r>
          </w:p>
        </w:tc>
      </w:tr>
      <w:tr w:rsidR="00373CD0" w:rsidRPr="00CA7DF8" w14:paraId="57935A38" w14:textId="77777777" w:rsidTr="00940714">
        <w:trPr>
          <w:trHeight w:val="283"/>
        </w:trPr>
        <w:tc>
          <w:tcPr>
            <w:tcW w:w="5000" w:type="pct"/>
            <w:gridSpan w:val="8"/>
            <w:tcBorders>
              <w:top w:val="single" w:sz="4" w:space="0" w:color="F79646"/>
              <w:left w:val="nil"/>
              <w:bottom w:val="single" w:sz="4" w:space="0" w:color="F79646"/>
              <w:right w:val="nil"/>
            </w:tcBorders>
            <w:shd w:val="clear" w:color="auto" w:fill="auto"/>
            <w:noWrap/>
            <w:vAlign w:val="center"/>
            <w:hideMark/>
          </w:tcPr>
          <w:p w14:paraId="08664C8C" w14:textId="77777777" w:rsidR="00373CD0" w:rsidRPr="00CA7DF8" w:rsidRDefault="00373CD0" w:rsidP="00373CD0">
            <w:pPr>
              <w:jc w:val="center"/>
              <w:rPr>
                <w:rFonts w:ascii="CAIXA Std Book" w:eastAsia="Times New Roman" w:hAnsi="CAIXA Std Book" w:cs="Arial"/>
                <w:b/>
                <w:color w:val="005CA9"/>
                <w:sz w:val="16"/>
                <w:szCs w:val="16"/>
              </w:rPr>
            </w:pPr>
            <w:r w:rsidRPr="00CA7DF8">
              <w:rPr>
                <w:rFonts w:ascii="CAIXA Std Book" w:eastAsia="Times New Roman" w:hAnsi="CAIXA Std Book" w:cs="Arial"/>
                <w:b/>
                <w:color w:val="005CA9"/>
                <w:sz w:val="16"/>
                <w:szCs w:val="16"/>
              </w:rPr>
              <w:t>Posição Ativa</w:t>
            </w:r>
          </w:p>
        </w:tc>
      </w:tr>
      <w:tr w:rsidR="009024E3" w:rsidRPr="00CA7DF8" w14:paraId="1CC4D982" w14:textId="77777777" w:rsidTr="00940714">
        <w:trPr>
          <w:trHeight w:val="283"/>
        </w:trPr>
        <w:tc>
          <w:tcPr>
            <w:tcW w:w="1547" w:type="pct"/>
            <w:tcBorders>
              <w:top w:val="nil"/>
              <w:left w:val="nil"/>
              <w:right w:val="nil"/>
            </w:tcBorders>
            <w:shd w:val="clear" w:color="auto" w:fill="auto"/>
            <w:noWrap/>
            <w:vAlign w:val="center"/>
            <w:hideMark/>
          </w:tcPr>
          <w:p w14:paraId="4AF8FB7F" w14:textId="77777777" w:rsidR="00373CD0" w:rsidRPr="00CA7DF8" w:rsidRDefault="00373CD0" w:rsidP="00373CD0">
            <w:pPr>
              <w:rPr>
                <w:rFonts w:ascii="CAIXA Std Book" w:eastAsia="Times New Roman" w:hAnsi="CAIXA Std Book" w:cs="Arial"/>
                <w:b/>
                <w:color w:val="005CA9"/>
                <w:sz w:val="16"/>
                <w:szCs w:val="16"/>
              </w:rPr>
            </w:pPr>
            <w:bookmarkStart w:id="60" w:name="OLE_LINK22" w:colFirst="6" w:colLast="7"/>
            <w:r w:rsidRPr="00CA7DF8">
              <w:rPr>
                <w:rFonts w:ascii="CAIXA Std Book" w:eastAsia="Times New Roman" w:hAnsi="CAIXA Std Book" w:cs="Arial"/>
                <w:b/>
                <w:color w:val="005CA9"/>
                <w:sz w:val="16"/>
                <w:szCs w:val="16"/>
              </w:rPr>
              <w:t>Contratos de Swaps - Ajuste a Receber</w:t>
            </w:r>
          </w:p>
        </w:tc>
        <w:tc>
          <w:tcPr>
            <w:tcW w:w="563" w:type="pct"/>
            <w:tcBorders>
              <w:top w:val="nil"/>
              <w:left w:val="nil"/>
              <w:bottom w:val="nil"/>
              <w:right w:val="nil"/>
            </w:tcBorders>
            <w:shd w:val="clear" w:color="auto" w:fill="auto"/>
            <w:noWrap/>
            <w:vAlign w:val="center"/>
          </w:tcPr>
          <w:p w14:paraId="4CD51938" w14:textId="6665E087"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162.</w:t>
            </w:r>
            <w:r w:rsidR="0045025C" w:rsidRPr="00CA7DF8">
              <w:rPr>
                <w:rFonts w:ascii="CAIXA Std Book" w:hAnsi="CAIXA Std Book" w:cs="Arial"/>
                <w:b/>
                <w:bCs/>
                <w:color w:val="005CA9"/>
                <w:sz w:val="16"/>
                <w:szCs w:val="16"/>
              </w:rPr>
              <w:t>986</w:t>
            </w:r>
          </w:p>
        </w:tc>
        <w:tc>
          <w:tcPr>
            <w:tcW w:w="563" w:type="pct"/>
            <w:tcBorders>
              <w:top w:val="nil"/>
              <w:left w:val="nil"/>
              <w:bottom w:val="nil"/>
              <w:right w:val="nil"/>
            </w:tcBorders>
            <w:shd w:val="clear" w:color="auto" w:fill="auto"/>
            <w:noWrap/>
            <w:vAlign w:val="center"/>
          </w:tcPr>
          <w:p w14:paraId="26354A45" w14:textId="1FDD61DB"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3.267</w:t>
            </w:r>
          </w:p>
        </w:tc>
        <w:tc>
          <w:tcPr>
            <w:tcW w:w="424" w:type="pct"/>
            <w:tcBorders>
              <w:top w:val="nil"/>
              <w:left w:val="nil"/>
              <w:bottom w:val="nil"/>
              <w:right w:val="nil"/>
            </w:tcBorders>
            <w:shd w:val="clear" w:color="auto" w:fill="auto"/>
            <w:noWrap/>
            <w:vAlign w:val="center"/>
          </w:tcPr>
          <w:p w14:paraId="6C7256C9" w14:textId="36C06EF6"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158.</w:t>
            </w:r>
            <w:r w:rsidR="0045025C" w:rsidRPr="00CA7DF8">
              <w:rPr>
                <w:rFonts w:ascii="CAIXA Std Book" w:hAnsi="CAIXA Std Book" w:cs="Arial"/>
                <w:b/>
                <w:bCs/>
                <w:color w:val="005CA9"/>
                <w:sz w:val="16"/>
                <w:szCs w:val="16"/>
              </w:rPr>
              <w:t>838</w:t>
            </w:r>
          </w:p>
        </w:tc>
        <w:tc>
          <w:tcPr>
            <w:tcW w:w="423" w:type="pct"/>
            <w:tcBorders>
              <w:top w:val="nil"/>
              <w:left w:val="nil"/>
              <w:bottom w:val="nil"/>
              <w:right w:val="nil"/>
            </w:tcBorders>
            <w:shd w:val="clear" w:color="auto" w:fill="auto"/>
            <w:noWrap/>
            <w:vAlign w:val="center"/>
          </w:tcPr>
          <w:p w14:paraId="79784B63" w14:textId="7B83F3FA"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2.066</w:t>
            </w:r>
          </w:p>
        </w:tc>
        <w:tc>
          <w:tcPr>
            <w:tcW w:w="425" w:type="pct"/>
            <w:tcBorders>
              <w:top w:val="nil"/>
              <w:left w:val="nil"/>
              <w:bottom w:val="nil"/>
              <w:right w:val="nil"/>
            </w:tcBorders>
            <w:shd w:val="clear" w:color="auto" w:fill="auto"/>
            <w:noWrap/>
            <w:vAlign w:val="center"/>
          </w:tcPr>
          <w:p w14:paraId="16F1043C" w14:textId="2BDFBFFF"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5.349</w:t>
            </w:r>
          </w:p>
        </w:tc>
        <w:tc>
          <w:tcPr>
            <w:tcW w:w="497" w:type="pct"/>
            <w:tcBorders>
              <w:top w:val="nil"/>
              <w:left w:val="nil"/>
              <w:bottom w:val="nil"/>
              <w:right w:val="nil"/>
            </w:tcBorders>
            <w:shd w:val="clear" w:color="auto" w:fill="auto"/>
            <w:noWrap/>
            <w:vAlign w:val="center"/>
          </w:tcPr>
          <w:p w14:paraId="373C4199" w14:textId="3418085D" w:rsidR="00373CD0" w:rsidRPr="00CA7DF8" w:rsidRDefault="00CF575D"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166.</w:t>
            </w:r>
            <w:r w:rsidR="0045025C" w:rsidRPr="00CA7DF8">
              <w:rPr>
                <w:rFonts w:ascii="CAIXA Std Book" w:hAnsi="CAIXA Std Book" w:cs="Arial"/>
                <w:b/>
                <w:bCs/>
                <w:color w:val="005CA9"/>
                <w:sz w:val="16"/>
                <w:szCs w:val="16"/>
              </w:rPr>
              <w:t>253</w:t>
            </w:r>
          </w:p>
        </w:tc>
        <w:tc>
          <w:tcPr>
            <w:tcW w:w="557" w:type="pct"/>
            <w:tcBorders>
              <w:top w:val="nil"/>
              <w:left w:val="nil"/>
              <w:right w:val="nil"/>
            </w:tcBorders>
            <w:shd w:val="clear" w:color="auto" w:fill="auto"/>
            <w:noWrap/>
            <w:vAlign w:val="center"/>
            <w:hideMark/>
          </w:tcPr>
          <w:p w14:paraId="1DAD4F38" w14:textId="0B1FF16E" w:rsidR="00373CD0" w:rsidRPr="00CA7DF8" w:rsidRDefault="00250D1B" w:rsidP="00F6226D">
            <w:pPr>
              <w:jc w:val="right"/>
              <w:rPr>
                <w:rFonts w:ascii="CAIXA Std Book" w:eastAsia="Times New Roman" w:hAnsi="CAIXA Std Book" w:cs="Arial"/>
                <w:b/>
                <w:color w:val="005CA9"/>
                <w:sz w:val="16"/>
                <w:szCs w:val="16"/>
              </w:rPr>
            </w:pPr>
            <w:r w:rsidRPr="00CA7DF8">
              <w:rPr>
                <w:rFonts w:ascii="CAIXA Std Book" w:hAnsi="CAIXA Std Book" w:cs="Arial"/>
                <w:b/>
                <w:color w:val="005CA9"/>
                <w:sz w:val="16"/>
                <w:szCs w:val="16"/>
              </w:rPr>
              <w:t>163.206</w:t>
            </w:r>
          </w:p>
        </w:tc>
      </w:tr>
      <w:bookmarkEnd w:id="60"/>
      <w:tr w:rsidR="004D363F" w:rsidRPr="00CA7DF8" w14:paraId="03E2D60C" w14:textId="77777777" w:rsidTr="00940714">
        <w:trPr>
          <w:trHeight w:val="283"/>
        </w:trPr>
        <w:tc>
          <w:tcPr>
            <w:tcW w:w="1547" w:type="pct"/>
            <w:tcBorders>
              <w:top w:val="nil"/>
              <w:left w:val="nil"/>
              <w:bottom w:val="single" w:sz="4" w:space="0" w:color="F79646" w:themeColor="accent6"/>
              <w:right w:val="nil"/>
            </w:tcBorders>
            <w:shd w:val="clear" w:color="auto" w:fill="auto"/>
            <w:vAlign w:val="center"/>
            <w:hideMark/>
          </w:tcPr>
          <w:p w14:paraId="46D9129D" w14:textId="77777777" w:rsidR="00373CD0" w:rsidRPr="00CA7DF8" w:rsidRDefault="00373CD0" w:rsidP="00373CD0">
            <w:pPr>
              <w:ind w:firstLineChars="100" w:firstLine="160"/>
              <w:rPr>
                <w:rFonts w:ascii="CAIXA Std Book" w:eastAsia="Times New Roman" w:hAnsi="CAIXA Std Book" w:cs="Arial"/>
                <w:color w:val="005CA9"/>
                <w:sz w:val="16"/>
                <w:szCs w:val="16"/>
              </w:rPr>
            </w:pPr>
            <w:r w:rsidRPr="00CA7DF8">
              <w:rPr>
                <w:rFonts w:ascii="CAIXA Std Book" w:eastAsia="Times New Roman" w:hAnsi="CAIXA Std Book" w:cs="Arial"/>
                <w:color w:val="005CA9"/>
                <w:sz w:val="16"/>
                <w:szCs w:val="16"/>
              </w:rPr>
              <w:t>Índices/B3 </w:t>
            </w:r>
          </w:p>
        </w:tc>
        <w:tc>
          <w:tcPr>
            <w:tcW w:w="563" w:type="pct"/>
            <w:tcBorders>
              <w:top w:val="nil"/>
              <w:left w:val="nil"/>
              <w:bottom w:val="nil"/>
              <w:right w:val="nil"/>
            </w:tcBorders>
            <w:shd w:val="clear" w:color="auto" w:fill="auto"/>
            <w:noWrap/>
            <w:vAlign w:val="center"/>
          </w:tcPr>
          <w:p w14:paraId="10ABE854" w14:textId="13C60249"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162.</w:t>
            </w:r>
            <w:r w:rsidR="0045025C" w:rsidRPr="00CA7DF8">
              <w:rPr>
                <w:rFonts w:ascii="CAIXA Std Book" w:hAnsi="CAIXA Std Book" w:cs="Arial"/>
                <w:color w:val="005CA9"/>
                <w:sz w:val="16"/>
                <w:szCs w:val="16"/>
              </w:rPr>
              <w:t>986</w:t>
            </w:r>
          </w:p>
        </w:tc>
        <w:tc>
          <w:tcPr>
            <w:tcW w:w="563" w:type="pct"/>
            <w:tcBorders>
              <w:top w:val="nil"/>
              <w:left w:val="nil"/>
              <w:bottom w:val="nil"/>
              <w:right w:val="nil"/>
            </w:tcBorders>
            <w:shd w:val="clear" w:color="auto" w:fill="auto"/>
            <w:noWrap/>
            <w:vAlign w:val="center"/>
          </w:tcPr>
          <w:p w14:paraId="2DFCA972" w14:textId="2A12041E"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3.267</w:t>
            </w:r>
          </w:p>
        </w:tc>
        <w:tc>
          <w:tcPr>
            <w:tcW w:w="424" w:type="pct"/>
            <w:tcBorders>
              <w:top w:val="nil"/>
              <w:left w:val="nil"/>
              <w:bottom w:val="nil"/>
              <w:right w:val="nil"/>
            </w:tcBorders>
            <w:shd w:val="clear" w:color="auto" w:fill="auto"/>
            <w:noWrap/>
            <w:vAlign w:val="center"/>
          </w:tcPr>
          <w:p w14:paraId="1F852B15" w14:textId="68EC8F48"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158.</w:t>
            </w:r>
            <w:r w:rsidR="0045025C" w:rsidRPr="00CA7DF8">
              <w:rPr>
                <w:rFonts w:ascii="CAIXA Std Book" w:hAnsi="CAIXA Std Book" w:cs="Arial"/>
                <w:color w:val="005CA9"/>
                <w:sz w:val="16"/>
                <w:szCs w:val="16"/>
              </w:rPr>
              <w:t>838</w:t>
            </w:r>
          </w:p>
        </w:tc>
        <w:tc>
          <w:tcPr>
            <w:tcW w:w="423" w:type="pct"/>
            <w:tcBorders>
              <w:top w:val="nil"/>
              <w:left w:val="nil"/>
              <w:bottom w:val="nil"/>
              <w:right w:val="nil"/>
            </w:tcBorders>
            <w:shd w:val="clear" w:color="auto" w:fill="auto"/>
            <w:noWrap/>
            <w:vAlign w:val="center"/>
          </w:tcPr>
          <w:p w14:paraId="52D29507" w14:textId="2F97CBCC"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2.066</w:t>
            </w:r>
          </w:p>
        </w:tc>
        <w:tc>
          <w:tcPr>
            <w:tcW w:w="425" w:type="pct"/>
            <w:tcBorders>
              <w:top w:val="nil"/>
              <w:left w:val="nil"/>
              <w:bottom w:val="nil"/>
              <w:right w:val="nil"/>
            </w:tcBorders>
            <w:shd w:val="clear" w:color="auto" w:fill="auto"/>
            <w:noWrap/>
            <w:vAlign w:val="center"/>
          </w:tcPr>
          <w:p w14:paraId="73AC038F" w14:textId="4FB5A026"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5.349</w:t>
            </w:r>
          </w:p>
        </w:tc>
        <w:tc>
          <w:tcPr>
            <w:tcW w:w="497" w:type="pct"/>
            <w:tcBorders>
              <w:top w:val="nil"/>
              <w:left w:val="nil"/>
              <w:bottom w:val="nil"/>
              <w:right w:val="nil"/>
            </w:tcBorders>
            <w:shd w:val="clear" w:color="auto" w:fill="auto"/>
            <w:noWrap/>
            <w:vAlign w:val="center"/>
          </w:tcPr>
          <w:p w14:paraId="291172DF" w14:textId="3D3076C5" w:rsidR="00373CD0" w:rsidRPr="00CA7DF8" w:rsidRDefault="00CF575D"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166.</w:t>
            </w:r>
            <w:r w:rsidR="0045025C" w:rsidRPr="00CA7DF8">
              <w:rPr>
                <w:rFonts w:ascii="CAIXA Std Book" w:hAnsi="CAIXA Std Book" w:cs="Arial"/>
                <w:color w:val="005CA9"/>
                <w:sz w:val="16"/>
                <w:szCs w:val="16"/>
              </w:rPr>
              <w:t>253</w:t>
            </w:r>
          </w:p>
        </w:tc>
        <w:tc>
          <w:tcPr>
            <w:tcW w:w="557" w:type="pct"/>
            <w:tcBorders>
              <w:top w:val="nil"/>
              <w:left w:val="nil"/>
              <w:bottom w:val="single" w:sz="4" w:space="0" w:color="F79646" w:themeColor="accent6"/>
              <w:right w:val="nil"/>
            </w:tcBorders>
            <w:shd w:val="clear" w:color="auto" w:fill="auto"/>
            <w:noWrap/>
            <w:vAlign w:val="center"/>
            <w:hideMark/>
          </w:tcPr>
          <w:p w14:paraId="1D709A79" w14:textId="20440AC4" w:rsidR="00373CD0" w:rsidRPr="00CA7DF8" w:rsidRDefault="00250D1B" w:rsidP="00F6226D">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163.206</w:t>
            </w:r>
          </w:p>
        </w:tc>
      </w:tr>
      <w:tr w:rsidR="00E203F5" w:rsidRPr="00CA7DF8" w14:paraId="2151170B" w14:textId="77777777" w:rsidTr="00940714">
        <w:trPr>
          <w:trHeight w:val="283"/>
        </w:trPr>
        <w:tc>
          <w:tcPr>
            <w:tcW w:w="1547" w:type="pct"/>
            <w:tcBorders>
              <w:top w:val="single" w:sz="4" w:space="0" w:color="F79646" w:themeColor="accent6"/>
              <w:left w:val="nil"/>
              <w:right w:val="nil"/>
            </w:tcBorders>
            <w:shd w:val="clear" w:color="auto" w:fill="auto"/>
            <w:noWrap/>
            <w:vAlign w:val="center"/>
            <w:hideMark/>
          </w:tcPr>
          <w:p w14:paraId="598BA442" w14:textId="77777777" w:rsidR="00E203F5" w:rsidRPr="00CA7DF8" w:rsidRDefault="00E203F5" w:rsidP="00E203F5">
            <w:pPr>
              <w:rPr>
                <w:rFonts w:ascii="CAIXA Std Book" w:eastAsia="Times New Roman" w:hAnsi="CAIXA Std Book" w:cs="Arial"/>
                <w:color w:val="005CA9"/>
                <w:sz w:val="16"/>
                <w:szCs w:val="16"/>
              </w:rPr>
            </w:pPr>
            <w:r w:rsidRPr="00CA7DF8">
              <w:rPr>
                <w:rFonts w:ascii="CAIXA Std Book" w:eastAsia="Times New Roman" w:hAnsi="CAIXA Std Book" w:cs="Arial"/>
                <w:color w:val="005CA9"/>
                <w:sz w:val="16"/>
                <w:szCs w:val="16"/>
              </w:rPr>
              <w:t>Ativo circulante</w:t>
            </w:r>
          </w:p>
        </w:tc>
        <w:tc>
          <w:tcPr>
            <w:tcW w:w="563" w:type="pct"/>
            <w:tcBorders>
              <w:top w:val="single" w:sz="4" w:space="0" w:color="F79646" w:themeColor="accent6"/>
              <w:left w:val="nil"/>
              <w:right w:val="nil"/>
            </w:tcBorders>
            <w:shd w:val="clear" w:color="auto" w:fill="auto"/>
            <w:noWrap/>
            <w:vAlign w:val="center"/>
          </w:tcPr>
          <w:p w14:paraId="5D2970E9" w14:textId="2497BDDB" w:rsidR="00E203F5" w:rsidRPr="00CA7DF8" w:rsidRDefault="00E203F5" w:rsidP="00E203F5">
            <w:pPr>
              <w:jc w:val="right"/>
              <w:rPr>
                <w:rFonts w:ascii="CAIXA Std Book" w:eastAsia="Times New Roman" w:hAnsi="CAIXA Std Book" w:cs="Arial"/>
                <w:color w:val="005CA9"/>
                <w:sz w:val="16"/>
                <w:szCs w:val="16"/>
              </w:rPr>
            </w:pPr>
          </w:p>
        </w:tc>
        <w:tc>
          <w:tcPr>
            <w:tcW w:w="563" w:type="pct"/>
            <w:tcBorders>
              <w:top w:val="single" w:sz="4" w:space="0" w:color="F79646" w:themeColor="accent6"/>
              <w:left w:val="nil"/>
              <w:right w:val="nil"/>
            </w:tcBorders>
            <w:shd w:val="clear" w:color="auto" w:fill="auto"/>
            <w:noWrap/>
            <w:vAlign w:val="center"/>
          </w:tcPr>
          <w:p w14:paraId="19DD7AEE" w14:textId="77777777" w:rsidR="00E203F5" w:rsidRPr="00CA7DF8" w:rsidRDefault="00E203F5" w:rsidP="00E203F5">
            <w:pPr>
              <w:jc w:val="right"/>
              <w:rPr>
                <w:rFonts w:ascii="CAIXA Std Book" w:eastAsia="Times New Roman" w:hAnsi="CAIXA Std Book" w:cs="Arial"/>
                <w:color w:val="005CA9"/>
                <w:sz w:val="16"/>
                <w:szCs w:val="16"/>
              </w:rPr>
            </w:pPr>
          </w:p>
        </w:tc>
        <w:tc>
          <w:tcPr>
            <w:tcW w:w="424" w:type="pct"/>
            <w:tcBorders>
              <w:top w:val="single" w:sz="4" w:space="0" w:color="F79646" w:themeColor="accent6"/>
              <w:left w:val="nil"/>
              <w:right w:val="nil"/>
            </w:tcBorders>
            <w:shd w:val="clear" w:color="auto" w:fill="auto"/>
            <w:noWrap/>
            <w:vAlign w:val="center"/>
          </w:tcPr>
          <w:p w14:paraId="03E020D6" w14:textId="66F11A78" w:rsidR="00E203F5" w:rsidRPr="00CA7DF8" w:rsidRDefault="00E203F5" w:rsidP="00E203F5">
            <w:pPr>
              <w:jc w:val="right"/>
              <w:rPr>
                <w:rFonts w:ascii="CAIXA Std Book" w:eastAsia="Times New Roman" w:hAnsi="CAIXA Std Book" w:cs="Arial"/>
                <w:color w:val="005CA9"/>
                <w:sz w:val="16"/>
                <w:szCs w:val="16"/>
              </w:rPr>
            </w:pPr>
          </w:p>
        </w:tc>
        <w:tc>
          <w:tcPr>
            <w:tcW w:w="423" w:type="pct"/>
            <w:tcBorders>
              <w:top w:val="single" w:sz="4" w:space="0" w:color="F79646" w:themeColor="accent6"/>
              <w:left w:val="nil"/>
              <w:right w:val="nil"/>
            </w:tcBorders>
            <w:shd w:val="clear" w:color="auto" w:fill="auto"/>
            <w:noWrap/>
            <w:vAlign w:val="center"/>
          </w:tcPr>
          <w:p w14:paraId="48585376" w14:textId="0E5ED3D4" w:rsidR="00E203F5" w:rsidRPr="00CA7DF8" w:rsidRDefault="00E203F5" w:rsidP="00E203F5">
            <w:pPr>
              <w:jc w:val="right"/>
              <w:rPr>
                <w:rFonts w:ascii="CAIXA Std Book" w:eastAsia="Times New Roman" w:hAnsi="CAIXA Std Book" w:cs="Arial"/>
                <w:color w:val="005CA9"/>
                <w:sz w:val="16"/>
                <w:szCs w:val="16"/>
              </w:rPr>
            </w:pPr>
          </w:p>
        </w:tc>
        <w:tc>
          <w:tcPr>
            <w:tcW w:w="425" w:type="pct"/>
            <w:tcBorders>
              <w:top w:val="single" w:sz="4" w:space="0" w:color="F79646" w:themeColor="accent6"/>
              <w:left w:val="nil"/>
              <w:right w:val="nil"/>
            </w:tcBorders>
            <w:shd w:val="clear" w:color="auto" w:fill="auto"/>
            <w:noWrap/>
            <w:vAlign w:val="center"/>
          </w:tcPr>
          <w:p w14:paraId="7F86A5AA" w14:textId="51A05161" w:rsidR="00E203F5" w:rsidRPr="00CA7DF8" w:rsidRDefault="00E203F5" w:rsidP="00E203F5">
            <w:pPr>
              <w:jc w:val="right"/>
              <w:rPr>
                <w:rFonts w:ascii="CAIXA Std Book" w:eastAsia="Times New Roman" w:hAnsi="CAIXA Std Book" w:cs="Arial"/>
                <w:color w:val="005CA9"/>
                <w:sz w:val="16"/>
                <w:szCs w:val="16"/>
              </w:rPr>
            </w:pPr>
          </w:p>
        </w:tc>
        <w:tc>
          <w:tcPr>
            <w:tcW w:w="497" w:type="pct"/>
            <w:tcBorders>
              <w:top w:val="single" w:sz="4" w:space="0" w:color="F79646" w:themeColor="accent6"/>
              <w:left w:val="nil"/>
              <w:right w:val="nil"/>
            </w:tcBorders>
            <w:shd w:val="clear" w:color="auto" w:fill="auto"/>
            <w:noWrap/>
            <w:vAlign w:val="center"/>
          </w:tcPr>
          <w:p w14:paraId="6B8E55C1" w14:textId="20EAC404" w:rsidR="00E203F5" w:rsidRPr="00CA7DF8" w:rsidRDefault="00006F30" w:rsidP="00E203F5">
            <w:pPr>
              <w:jc w:val="right"/>
              <w:rPr>
                <w:rFonts w:ascii="CAIXA Std Book" w:eastAsia="Times New Roman" w:hAnsi="CAIXA Std Book" w:cs="Arial"/>
                <w:color w:val="005CA9"/>
                <w:sz w:val="16"/>
                <w:szCs w:val="16"/>
              </w:rPr>
            </w:pPr>
            <w:r w:rsidRPr="00006F30">
              <w:rPr>
                <w:rFonts w:ascii="CAIXA Std Book" w:hAnsi="CAIXA Std Book" w:cs="Arial"/>
                <w:color w:val="005CA9"/>
                <w:sz w:val="16"/>
                <w:szCs w:val="16"/>
              </w:rPr>
              <w:t>166.253</w:t>
            </w:r>
          </w:p>
        </w:tc>
        <w:tc>
          <w:tcPr>
            <w:tcW w:w="557" w:type="pct"/>
            <w:tcBorders>
              <w:top w:val="single" w:sz="4" w:space="0" w:color="F79646" w:themeColor="accent6"/>
              <w:left w:val="nil"/>
              <w:right w:val="nil"/>
            </w:tcBorders>
            <w:shd w:val="clear" w:color="auto" w:fill="auto"/>
            <w:noWrap/>
            <w:vAlign w:val="center"/>
            <w:hideMark/>
          </w:tcPr>
          <w:p w14:paraId="4E7CB5A3" w14:textId="700C81CE" w:rsidR="00E203F5" w:rsidRPr="00CA7DF8" w:rsidRDefault="00E203F5" w:rsidP="00E203F5">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157.809</w:t>
            </w:r>
          </w:p>
        </w:tc>
      </w:tr>
      <w:tr w:rsidR="00E203F5" w:rsidRPr="00CA7DF8" w14:paraId="693428EE" w14:textId="77777777" w:rsidTr="00940714">
        <w:trPr>
          <w:trHeight w:val="283"/>
        </w:trPr>
        <w:tc>
          <w:tcPr>
            <w:tcW w:w="1547" w:type="pct"/>
            <w:tcBorders>
              <w:top w:val="nil"/>
              <w:left w:val="nil"/>
              <w:bottom w:val="single" w:sz="4" w:space="0" w:color="F79646" w:themeColor="accent6"/>
              <w:right w:val="nil"/>
            </w:tcBorders>
            <w:shd w:val="clear" w:color="auto" w:fill="auto"/>
            <w:noWrap/>
            <w:vAlign w:val="center"/>
            <w:hideMark/>
          </w:tcPr>
          <w:p w14:paraId="3EEDB8E5" w14:textId="77777777" w:rsidR="00E203F5" w:rsidRPr="00CA7DF8" w:rsidRDefault="00E203F5" w:rsidP="00E203F5">
            <w:pPr>
              <w:rPr>
                <w:rFonts w:ascii="CAIXA Std Book" w:eastAsia="Times New Roman" w:hAnsi="CAIXA Std Book" w:cs="Arial"/>
                <w:color w:val="005CA9"/>
                <w:sz w:val="16"/>
                <w:szCs w:val="16"/>
              </w:rPr>
            </w:pPr>
            <w:r w:rsidRPr="00CA7DF8">
              <w:rPr>
                <w:rFonts w:ascii="CAIXA Std Book" w:eastAsia="Times New Roman" w:hAnsi="CAIXA Std Book" w:cs="Arial"/>
                <w:color w:val="005CA9"/>
                <w:sz w:val="16"/>
                <w:szCs w:val="16"/>
              </w:rPr>
              <w:t>Ativo não circulante</w:t>
            </w:r>
          </w:p>
        </w:tc>
        <w:tc>
          <w:tcPr>
            <w:tcW w:w="563" w:type="pct"/>
            <w:tcBorders>
              <w:top w:val="nil"/>
              <w:left w:val="nil"/>
              <w:bottom w:val="single" w:sz="4" w:space="0" w:color="F79646" w:themeColor="accent6"/>
              <w:right w:val="nil"/>
            </w:tcBorders>
            <w:shd w:val="clear" w:color="auto" w:fill="auto"/>
            <w:noWrap/>
            <w:vAlign w:val="center"/>
          </w:tcPr>
          <w:p w14:paraId="40DAF000" w14:textId="77777777" w:rsidR="00E203F5" w:rsidRPr="00CA7DF8" w:rsidRDefault="00E203F5" w:rsidP="00E203F5">
            <w:pPr>
              <w:jc w:val="right"/>
              <w:rPr>
                <w:rFonts w:ascii="CAIXA Std Book" w:eastAsia="Times New Roman" w:hAnsi="CAIXA Std Book" w:cs="Arial"/>
                <w:color w:val="005CA9"/>
                <w:sz w:val="16"/>
                <w:szCs w:val="16"/>
              </w:rPr>
            </w:pPr>
          </w:p>
        </w:tc>
        <w:tc>
          <w:tcPr>
            <w:tcW w:w="563" w:type="pct"/>
            <w:tcBorders>
              <w:top w:val="nil"/>
              <w:left w:val="nil"/>
              <w:bottom w:val="single" w:sz="4" w:space="0" w:color="F79646" w:themeColor="accent6"/>
              <w:right w:val="nil"/>
            </w:tcBorders>
            <w:shd w:val="clear" w:color="auto" w:fill="auto"/>
            <w:noWrap/>
            <w:vAlign w:val="center"/>
          </w:tcPr>
          <w:p w14:paraId="2A35FC6E" w14:textId="77777777" w:rsidR="00E203F5" w:rsidRPr="00CA7DF8" w:rsidRDefault="00E203F5" w:rsidP="00E203F5">
            <w:pPr>
              <w:jc w:val="right"/>
              <w:rPr>
                <w:rFonts w:ascii="CAIXA Std Book" w:eastAsia="Times New Roman" w:hAnsi="CAIXA Std Book" w:cs="Times New Roman"/>
                <w:color w:val="005CA9"/>
                <w:sz w:val="16"/>
                <w:szCs w:val="16"/>
              </w:rPr>
            </w:pPr>
          </w:p>
        </w:tc>
        <w:tc>
          <w:tcPr>
            <w:tcW w:w="424" w:type="pct"/>
            <w:tcBorders>
              <w:top w:val="nil"/>
              <w:left w:val="nil"/>
              <w:bottom w:val="single" w:sz="4" w:space="0" w:color="F79646" w:themeColor="accent6"/>
              <w:right w:val="nil"/>
            </w:tcBorders>
            <w:shd w:val="clear" w:color="auto" w:fill="auto"/>
            <w:noWrap/>
            <w:vAlign w:val="center"/>
          </w:tcPr>
          <w:p w14:paraId="4EB2F741" w14:textId="395E4B7A" w:rsidR="00E203F5" w:rsidRPr="00CA7DF8" w:rsidRDefault="00E203F5" w:rsidP="00E203F5">
            <w:pPr>
              <w:jc w:val="right"/>
              <w:rPr>
                <w:rFonts w:ascii="CAIXA Std Book" w:eastAsia="Times New Roman" w:hAnsi="CAIXA Std Book" w:cs="Times New Roman"/>
                <w:color w:val="005CA9"/>
                <w:sz w:val="16"/>
                <w:szCs w:val="16"/>
              </w:rPr>
            </w:pPr>
          </w:p>
        </w:tc>
        <w:tc>
          <w:tcPr>
            <w:tcW w:w="423" w:type="pct"/>
            <w:tcBorders>
              <w:top w:val="nil"/>
              <w:left w:val="nil"/>
              <w:bottom w:val="single" w:sz="4" w:space="0" w:color="F79646" w:themeColor="accent6"/>
              <w:right w:val="nil"/>
            </w:tcBorders>
            <w:shd w:val="clear" w:color="auto" w:fill="auto"/>
            <w:noWrap/>
            <w:vAlign w:val="center"/>
          </w:tcPr>
          <w:p w14:paraId="42C450A7" w14:textId="45FA9621" w:rsidR="00E203F5" w:rsidRPr="00CA7DF8" w:rsidRDefault="00E203F5" w:rsidP="00E203F5">
            <w:pPr>
              <w:jc w:val="right"/>
              <w:rPr>
                <w:rFonts w:ascii="CAIXA Std Book" w:eastAsia="Times New Roman" w:hAnsi="CAIXA Std Book" w:cs="Times New Roman"/>
                <w:color w:val="005CA9"/>
                <w:sz w:val="16"/>
                <w:szCs w:val="16"/>
              </w:rPr>
            </w:pPr>
          </w:p>
        </w:tc>
        <w:tc>
          <w:tcPr>
            <w:tcW w:w="425" w:type="pct"/>
            <w:tcBorders>
              <w:top w:val="nil"/>
              <w:left w:val="nil"/>
              <w:bottom w:val="single" w:sz="4" w:space="0" w:color="F79646" w:themeColor="accent6"/>
              <w:right w:val="nil"/>
            </w:tcBorders>
            <w:shd w:val="clear" w:color="auto" w:fill="auto"/>
            <w:noWrap/>
            <w:vAlign w:val="center"/>
          </w:tcPr>
          <w:p w14:paraId="005700EC" w14:textId="4A915F1C" w:rsidR="00E203F5" w:rsidRPr="00CA7DF8" w:rsidRDefault="00E203F5" w:rsidP="00E203F5">
            <w:pPr>
              <w:jc w:val="right"/>
              <w:rPr>
                <w:rFonts w:ascii="CAIXA Std Book" w:eastAsia="Times New Roman" w:hAnsi="CAIXA Std Book" w:cs="Times New Roman"/>
                <w:color w:val="005CA9"/>
                <w:sz w:val="16"/>
                <w:szCs w:val="16"/>
              </w:rPr>
            </w:pPr>
          </w:p>
        </w:tc>
        <w:tc>
          <w:tcPr>
            <w:tcW w:w="497" w:type="pct"/>
            <w:tcBorders>
              <w:top w:val="nil"/>
              <w:left w:val="nil"/>
              <w:bottom w:val="single" w:sz="4" w:space="0" w:color="F79646" w:themeColor="accent6"/>
              <w:right w:val="nil"/>
            </w:tcBorders>
            <w:shd w:val="clear" w:color="auto" w:fill="auto"/>
            <w:noWrap/>
            <w:vAlign w:val="center"/>
          </w:tcPr>
          <w:p w14:paraId="24CB0094" w14:textId="4E44D256" w:rsidR="00E203F5" w:rsidRPr="00CA7DF8" w:rsidRDefault="00E87337" w:rsidP="00E87337">
            <w:pPr>
              <w:jc w:val="center"/>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w:t>
            </w:r>
          </w:p>
        </w:tc>
        <w:tc>
          <w:tcPr>
            <w:tcW w:w="557" w:type="pct"/>
            <w:tcBorders>
              <w:top w:val="nil"/>
              <w:left w:val="nil"/>
              <w:bottom w:val="single" w:sz="4" w:space="0" w:color="F79646" w:themeColor="accent6"/>
              <w:right w:val="nil"/>
            </w:tcBorders>
            <w:shd w:val="clear" w:color="auto" w:fill="auto"/>
            <w:noWrap/>
            <w:vAlign w:val="center"/>
            <w:hideMark/>
          </w:tcPr>
          <w:p w14:paraId="1AE1F301" w14:textId="0D3A2D4D" w:rsidR="00E203F5" w:rsidRPr="00CA7DF8" w:rsidRDefault="00E203F5" w:rsidP="00E203F5">
            <w:pPr>
              <w:jc w:val="right"/>
              <w:rPr>
                <w:rFonts w:ascii="CAIXA Std Book" w:eastAsia="Times New Roman" w:hAnsi="CAIXA Std Book" w:cs="Arial"/>
                <w:color w:val="005CA9"/>
                <w:sz w:val="16"/>
                <w:szCs w:val="16"/>
              </w:rPr>
            </w:pPr>
            <w:r w:rsidRPr="00CA7DF8">
              <w:rPr>
                <w:rFonts w:ascii="CAIXA Std Book" w:hAnsi="CAIXA Std Book" w:cs="Arial"/>
                <w:color w:val="005CA9"/>
                <w:sz w:val="16"/>
                <w:szCs w:val="16"/>
              </w:rPr>
              <w:t>5.397</w:t>
            </w:r>
          </w:p>
        </w:tc>
      </w:tr>
    </w:tbl>
    <w:p w14:paraId="575C2C01" w14:textId="64F7436F" w:rsidR="00024A7C" w:rsidRPr="00FF4346" w:rsidRDefault="00024A7C" w:rsidP="00703CEA">
      <w:pPr>
        <w:tabs>
          <w:tab w:val="left" w:pos="1650"/>
        </w:tabs>
        <w:jc w:val="both"/>
        <w:rPr>
          <w:rFonts w:ascii="CAIXA Std Book" w:hAnsi="CAIXA Std Book"/>
          <w:b/>
          <w:color w:val="005CA9"/>
          <w:sz w:val="20"/>
          <w:szCs w:val="20"/>
        </w:rPr>
      </w:pPr>
    </w:p>
    <w:p w14:paraId="3B4083EC" w14:textId="77777777" w:rsidR="00B90B36" w:rsidRDefault="00B90B36" w:rsidP="00703CEA">
      <w:pPr>
        <w:tabs>
          <w:tab w:val="left" w:pos="1650"/>
        </w:tabs>
        <w:jc w:val="both"/>
        <w:rPr>
          <w:rFonts w:ascii="CAIXA Std Book" w:hAnsi="CAIXA Std Book"/>
          <w:b/>
          <w:color w:val="005CA9"/>
          <w:sz w:val="20"/>
          <w:szCs w:val="20"/>
        </w:rPr>
      </w:pPr>
    </w:p>
    <w:tbl>
      <w:tblPr>
        <w:tblW w:w="5171" w:type="pct"/>
        <w:tblCellMar>
          <w:left w:w="70" w:type="dxa"/>
          <w:right w:w="70" w:type="dxa"/>
        </w:tblCellMar>
        <w:tblLook w:val="04A0" w:firstRow="1" w:lastRow="0" w:firstColumn="1" w:lastColumn="0" w:noHBand="0" w:noVBand="1"/>
      </w:tblPr>
      <w:tblGrid>
        <w:gridCol w:w="3121"/>
        <w:gridCol w:w="1053"/>
        <w:gridCol w:w="1114"/>
        <w:gridCol w:w="791"/>
        <w:gridCol w:w="909"/>
        <w:gridCol w:w="821"/>
        <w:gridCol w:w="1001"/>
        <w:gridCol w:w="1158"/>
      </w:tblGrid>
      <w:tr w:rsidR="00E87337" w:rsidRPr="00E87337" w14:paraId="69679913" w14:textId="77777777" w:rsidTr="00940714">
        <w:trPr>
          <w:trHeight w:val="285"/>
        </w:trPr>
        <w:tc>
          <w:tcPr>
            <w:tcW w:w="5000" w:type="pct"/>
            <w:gridSpan w:val="8"/>
            <w:tcBorders>
              <w:top w:val="single" w:sz="4" w:space="0" w:color="F79646"/>
              <w:left w:val="nil"/>
              <w:bottom w:val="single" w:sz="4" w:space="0" w:color="F79646"/>
              <w:right w:val="nil"/>
            </w:tcBorders>
            <w:shd w:val="clear" w:color="auto" w:fill="auto"/>
            <w:vAlign w:val="center"/>
            <w:hideMark/>
          </w:tcPr>
          <w:p w14:paraId="4FD2E9FE"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CONSOLIDADO</w:t>
            </w:r>
          </w:p>
        </w:tc>
      </w:tr>
      <w:tr w:rsidR="00E87337" w:rsidRPr="00E87337" w14:paraId="7424B472" w14:textId="77777777" w:rsidTr="00940714">
        <w:trPr>
          <w:trHeight w:val="285"/>
        </w:trPr>
        <w:tc>
          <w:tcPr>
            <w:tcW w:w="1565" w:type="pct"/>
            <w:vMerge w:val="restart"/>
            <w:tcBorders>
              <w:top w:val="single" w:sz="4" w:space="0" w:color="F79646"/>
              <w:left w:val="nil"/>
              <w:bottom w:val="single" w:sz="8" w:space="0" w:color="F79646"/>
              <w:right w:val="nil"/>
            </w:tcBorders>
            <w:shd w:val="clear" w:color="auto" w:fill="auto"/>
            <w:vAlign w:val="center"/>
            <w:hideMark/>
          </w:tcPr>
          <w:p w14:paraId="46686C02"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Descrição</w:t>
            </w:r>
          </w:p>
        </w:tc>
        <w:tc>
          <w:tcPr>
            <w:tcW w:w="2854" w:type="pct"/>
            <w:gridSpan w:val="6"/>
            <w:tcBorders>
              <w:top w:val="single" w:sz="4" w:space="0" w:color="F79646"/>
              <w:left w:val="nil"/>
              <w:bottom w:val="single" w:sz="4" w:space="0" w:color="F79646"/>
              <w:right w:val="nil"/>
            </w:tcBorders>
            <w:shd w:val="clear" w:color="auto" w:fill="auto"/>
            <w:vAlign w:val="center"/>
            <w:hideMark/>
          </w:tcPr>
          <w:p w14:paraId="2F04571A"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31/03/2024</w:t>
            </w:r>
          </w:p>
        </w:tc>
        <w:tc>
          <w:tcPr>
            <w:tcW w:w="580" w:type="pct"/>
            <w:tcBorders>
              <w:top w:val="single" w:sz="4" w:space="0" w:color="F79646"/>
              <w:left w:val="nil"/>
              <w:bottom w:val="single" w:sz="4" w:space="0" w:color="F79646"/>
              <w:right w:val="nil"/>
            </w:tcBorders>
            <w:shd w:val="clear" w:color="auto" w:fill="auto"/>
            <w:vAlign w:val="center"/>
            <w:hideMark/>
          </w:tcPr>
          <w:p w14:paraId="548E5A22"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31/12/2023</w:t>
            </w:r>
          </w:p>
        </w:tc>
      </w:tr>
      <w:tr w:rsidR="00E87337" w:rsidRPr="00E87337" w14:paraId="67E93AA3" w14:textId="77777777" w:rsidTr="00940714">
        <w:trPr>
          <w:trHeight w:val="1413"/>
        </w:trPr>
        <w:tc>
          <w:tcPr>
            <w:tcW w:w="1565" w:type="pct"/>
            <w:vMerge/>
            <w:tcBorders>
              <w:top w:val="single" w:sz="4" w:space="0" w:color="F79646"/>
              <w:left w:val="nil"/>
              <w:bottom w:val="single" w:sz="4" w:space="0" w:color="F79646"/>
              <w:right w:val="nil"/>
            </w:tcBorders>
            <w:vAlign w:val="center"/>
            <w:hideMark/>
          </w:tcPr>
          <w:p w14:paraId="3F2B8169" w14:textId="77777777" w:rsidR="00E87337" w:rsidRPr="00E87337" w:rsidRDefault="00E87337" w:rsidP="00E87337">
            <w:pPr>
              <w:rPr>
                <w:rFonts w:ascii="CAIXA Std Book" w:eastAsia="Times New Roman" w:hAnsi="CAIXA Std Book" w:cs="Arial"/>
                <w:b/>
                <w:bCs/>
                <w:color w:val="005CA9"/>
                <w:sz w:val="16"/>
                <w:szCs w:val="16"/>
              </w:rPr>
            </w:pPr>
          </w:p>
        </w:tc>
        <w:tc>
          <w:tcPr>
            <w:tcW w:w="528" w:type="pct"/>
            <w:tcBorders>
              <w:top w:val="single" w:sz="4" w:space="0" w:color="F79646"/>
              <w:left w:val="nil"/>
              <w:bottom w:val="single" w:sz="4" w:space="0" w:color="F79646"/>
              <w:right w:val="nil"/>
            </w:tcBorders>
            <w:shd w:val="clear" w:color="auto" w:fill="auto"/>
            <w:vAlign w:val="center"/>
            <w:hideMark/>
          </w:tcPr>
          <w:p w14:paraId="031066B3"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Valor Patrimonial a Receber (Recebido)/ A Pagar (Pago)</w:t>
            </w:r>
          </w:p>
        </w:tc>
        <w:tc>
          <w:tcPr>
            <w:tcW w:w="559" w:type="pct"/>
            <w:tcBorders>
              <w:top w:val="single" w:sz="4" w:space="0" w:color="F79646"/>
              <w:left w:val="nil"/>
              <w:bottom w:val="single" w:sz="4" w:space="0" w:color="F79646"/>
              <w:right w:val="nil"/>
            </w:tcBorders>
            <w:shd w:val="clear" w:color="auto" w:fill="auto"/>
            <w:vAlign w:val="center"/>
            <w:hideMark/>
          </w:tcPr>
          <w:p w14:paraId="2740946E"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Ajuste ao Valor de Mercado no Resultado</w:t>
            </w:r>
          </w:p>
        </w:tc>
        <w:tc>
          <w:tcPr>
            <w:tcW w:w="397" w:type="pct"/>
            <w:tcBorders>
              <w:top w:val="single" w:sz="4" w:space="0" w:color="F79646"/>
              <w:left w:val="nil"/>
              <w:bottom w:val="single" w:sz="4" w:space="0" w:color="F79646"/>
              <w:right w:val="nil"/>
            </w:tcBorders>
            <w:shd w:val="clear" w:color="auto" w:fill="auto"/>
            <w:vAlign w:val="center"/>
            <w:hideMark/>
          </w:tcPr>
          <w:p w14:paraId="738B0AAA"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 a 90 dias</w:t>
            </w:r>
          </w:p>
        </w:tc>
        <w:tc>
          <w:tcPr>
            <w:tcW w:w="456" w:type="pct"/>
            <w:tcBorders>
              <w:top w:val="single" w:sz="4" w:space="0" w:color="F79646"/>
              <w:left w:val="nil"/>
              <w:bottom w:val="single" w:sz="4" w:space="0" w:color="F79646"/>
              <w:right w:val="nil"/>
            </w:tcBorders>
            <w:shd w:val="clear" w:color="auto" w:fill="auto"/>
            <w:vAlign w:val="center"/>
            <w:hideMark/>
          </w:tcPr>
          <w:p w14:paraId="38251046"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91 a 180 dias</w:t>
            </w:r>
          </w:p>
        </w:tc>
        <w:tc>
          <w:tcPr>
            <w:tcW w:w="412" w:type="pct"/>
            <w:tcBorders>
              <w:top w:val="single" w:sz="4" w:space="0" w:color="F79646"/>
              <w:left w:val="nil"/>
              <w:bottom w:val="single" w:sz="4" w:space="0" w:color="F79646"/>
              <w:right w:val="nil"/>
            </w:tcBorders>
            <w:shd w:val="clear" w:color="auto" w:fill="auto"/>
            <w:vAlign w:val="center"/>
            <w:hideMark/>
          </w:tcPr>
          <w:p w14:paraId="00EE124B"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181 a 360 dias</w:t>
            </w:r>
          </w:p>
        </w:tc>
        <w:tc>
          <w:tcPr>
            <w:tcW w:w="502" w:type="pct"/>
            <w:tcBorders>
              <w:top w:val="single" w:sz="4" w:space="0" w:color="F79646"/>
              <w:left w:val="nil"/>
              <w:bottom w:val="single" w:sz="4" w:space="0" w:color="F79646"/>
              <w:right w:val="nil"/>
            </w:tcBorders>
            <w:shd w:val="clear" w:color="auto" w:fill="auto"/>
            <w:vAlign w:val="center"/>
            <w:hideMark/>
          </w:tcPr>
          <w:p w14:paraId="484077F3"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Valor Patrimonial</w:t>
            </w:r>
          </w:p>
        </w:tc>
        <w:tc>
          <w:tcPr>
            <w:tcW w:w="580" w:type="pct"/>
            <w:tcBorders>
              <w:top w:val="single" w:sz="4" w:space="0" w:color="F79646"/>
              <w:left w:val="nil"/>
              <w:bottom w:val="single" w:sz="4" w:space="0" w:color="F79646"/>
              <w:right w:val="nil"/>
            </w:tcBorders>
            <w:shd w:val="clear" w:color="auto" w:fill="auto"/>
            <w:vAlign w:val="center"/>
            <w:hideMark/>
          </w:tcPr>
          <w:p w14:paraId="6C4681AA"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Valor Patrimonial</w:t>
            </w:r>
          </w:p>
        </w:tc>
      </w:tr>
      <w:tr w:rsidR="00E87337" w:rsidRPr="00E87337" w14:paraId="0CD1F73A" w14:textId="77777777" w:rsidTr="00940714">
        <w:trPr>
          <w:trHeight w:val="285"/>
        </w:trPr>
        <w:tc>
          <w:tcPr>
            <w:tcW w:w="5000" w:type="pct"/>
            <w:gridSpan w:val="8"/>
            <w:tcBorders>
              <w:top w:val="single" w:sz="4" w:space="0" w:color="F79646"/>
              <w:left w:val="nil"/>
              <w:bottom w:val="single" w:sz="4" w:space="0" w:color="F79646"/>
              <w:right w:val="nil"/>
            </w:tcBorders>
            <w:shd w:val="clear" w:color="auto" w:fill="auto"/>
            <w:vAlign w:val="center"/>
            <w:hideMark/>
          </w:tcPr>
          <w:p w14:paraId="797B5DFF"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Posição Ativa</w:t>
            </w:r>
          </w:p>
        </w:tc>
      </w:tr>
      <w:tr w:rsidR="00E87337" w:rsidRPr="00E87337" w14:paraId="01DFD134" w14:textId="77777777" w:rsidTr="00940714">
        <w:trPr>
          <w:trHeight w:val="270"/>
        </w:trPr>
        <w:tc>
          <w:tcPr>
            <w:tcW w:w="1565" w:type="pct"/>
            <w:tcBorders>
              <w:top w:val="single" w:sz="4" w:space="0" w:color="F79646"/>
              <w:left w:val="nil"/>
              <w:bottom w:val="single" w:sz="4" w:space="0" w:color="F79646"/>
              <w:right w:val="nil"/>
            </w:tcBorders>
            <w:shd w:val="clear" w:color="auto" w:fill="auto"/>
            <w:noWrap/>
            <w:vAlign w:val="center"/>
            <w:hideMark/>
          </w:tcPr>
          <w:p w14:paraId="6E061BA6" w14:textId="77777777" w:rsidR="00E87337" w:rsidRPr="00E87337" w:rsidRDefault="00E87337" w:rsidP="00E87337">
            <w:pP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Contratos de Swaps - Ajuste a Receber</w:t>
            </w:r>
          </w:p>
        </w:tc>
        <w:tc>
          <w:tcPr>
            <w:tcW w:w="528" w:type="pct"/>
            <w:tcBorders>
              <w:top w:val="single" w:sz="4" w:space="0" w:color="F79646"/>
              <w:left w:val="nil"/>
              <w:bottom w:val="single" w:sz="4" w:space="0" w:color="F79646"/>
              <w:right w:val="nil"/>
            </w:tcBorders>
            <w:shd w:val="clear" w:color="auto" w:fill="auto"/>
            <w:noWrap/>
            <w:vAlign w:val="center"/>
            <w:hideMark/>
          </w:tcPr>
          <w:p w14:paraId="7B5F9641"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162.986</w:t>
            </w:r>
          </w:p>
        </w:tc>
        <w:tc>
          <w:tcPr>
            <w:tcW w:w="559" w:type="pct"/>
            <w:tcBorders>
              <w:top w:val="single" w:sz="4" w:space="0" w:color="F79646"/>
              <w:left w:val="nil"/>
              <w:bottom w:val="single" w:sz="4" w:space="0" w:color="F79646"/>
              <w:right w:val="nil"/>
            </w:tcBorders>
            <w:shd w:val="clear" w:color="auto" w:fill="auto"/>
            <w:noWrap/>
            <w:vAlign w:val="center"/>
            <w:hideMark/>
          </w:tcPr>
          <w:p w14:paraId="1D142BA2"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3.267</w:t>
            </w:r>
          </w:p>
        </w:tc>
        <w:tc>
          <w:tcPr>
            <w:tcW w:w="397" w:type="pct"/>
            <w:tcBorders>
              <w:top w:val="single" w:sz="4" w:space="0" w:color="F79646"/>
              <w:left w:val="nil"/>
              <w:bottom w:val="single" w:sz="4" w:space="0" w:color="F79646"/>
              <w:right w:val="nil"/>
            </w:tcBorders>
            <w:shd w:val="clear" w:color="auto" w:fill="auto"/>
            <w:vAlign w:val="center"/>
            <w:hideMark/>
          </w:tcPr>
          <w:p w14:paraId="29DAAE9C"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158.838</w:t>
            </w:r>
          </w:p>
        </w:tc>
        <w:tc>
          <w:tcPr>
            <w:tcW w:w="456" w:type="pct"/>
            <w:tcBorders>
              <w:top w:val="single" w:sz="4" w:space="0" w:color="F79646"/>
              <w:left w:val="nil"/>
              <w:bottom w:val="single" w:sz="4" w:space="0" w:color="F79646"/>
              <w:right w:val="nil"/>
            </w:tcBorders>
            <w:shd w:val="clear" w:color="auto" w:fill="auto"/>
            <w:noWrap/>
            <w:vAlign w:val="center"/>
            <w:hideMark/>
          </w:tcPr>
          <w:p w14:paraId="45695875"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2.066</w:t>
            </w:r>
          </w:p>
        </w:tc>
        <w:tc>
          <w:tcPr>
            <w:tcW w:w="412" w:type="pct"/>
            <w:tcBorders>
              <w:top w:val="single" w:sz="4" w:space="0" w:color="F79646"/>
              <w:left w:val="nil"/>
              <w:bottom w:val="single" w:sz="4" w:space="0" w:color="F79646"/>
              <w:right w:val="nil"/>
            </w:tcBorders>
            <w:shd w:val="clear" w:color="auto" w:fill="auto"/>
            <w:noWrap/>
            <w:vAlign w:val="center"/>
            <w:hideMark/>
          </w:tcPr>
          <w:p w14:paraId="75736CC6"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5.349</w:t>
            </w:r>
          </w:p>
        </w:tc>
        <w:tc>
          <w:tcPr>
            <w:tcW w:w="502" w:type="pct"/>
            <w:tcBorders>
              <w:top w:val="single" w:sz="4" w:space="0" w:color="F79646"/>
              <w:left w:val="nil"/>
              <w:bottom w:val="single" w:sz="4" w:space="0" w:color="F79646"/>
              <w:right w:val="nil"/>
            </w:tcBorders>
            <w:shd w:val="clear" w:color="auto" w:fill="auto"/>
            <w:noWrap/>
            <w:vAlign w:val="center"/>
            <w:hideMark/>
          </w:tcPr>
          <w:p w14:paraId="6820D3D3"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166.253</w:t>
            </w:r>
          </w:p>
        </w:tc>
        <w:tc>
          <w:tcPr>
            <w:tcW w:w="580" w:type="pct"/>
            <w:tcBorders>
              <w:top w:val="single" w:sz="4" w:space="0" w:color="F79646"/>
              <w:left w:val="nil"/>
              <w:bottom w:val="single" w:sz="4" w:space="0" w:color="F79646"/>
              <w:right w:val="nil"/>
            </w:tcBorders>
            <w:shd w:val="clear" w:color="auto" w:fill="auto"/>
            <w:noWrap/>
            <w:vAlign w:val="center"/>
            <w:hideMark/>
          </w:tcPr>
          <w:p w14:paraId="4E6B3512"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163.206</w:t>
            </w:r>
          </w:p>
        </w:tc>
      </w:tr>
      <w:tr w:rsidR="00E87337" w:rsidRPr="00E87337" w14:paraId="0F42888F" w14:textId="77777777" w:rsidTr="00940714">
        <w:trPr>
          <w:trHeight w:val="323"/>
        </w:trPr>
        <w:tc>
          <w:tcPr>
            <w:tcW w:w="1565" w:type="pct"/>
            <w:tcBorders>
              <w:top w:val="single" w:sz="4" w:space="0" w:color="F79646"/>
              <w:left w:val="nil"/>
              <w:bottom w:val="single" w:sz="4" w:space="0" w:color="F79646"/>
              <w:right w:val="nil"/>
            </w:tcBorders>
            <w:shd w:val="clear" w:color="auto" w:fill="auto"/>
            <w:vAlign w:val="center"/>
            <w:hideMark/>
          </w:tcPr>
          <w:p w14:paraId="02696D52" w14:textId="77777777" w:rsidR="00E87337" w:rsidRPr="00E87337" w:rsidRDefault="00E87337" w:rsidP="00E87337">
            <w:pPr>
              <w:ind w:firstLineChars="100" w:firstLine="160"/>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Índices/B3 </w:t>
            </w:r>
          </w:p>
        </w:tc>
        <w:tc>
          <w:tcPr>
            <w:tcW w:w="528" w:type="pct"/>
            <w:tcBorders>
              <w:top w:val="single" w:sz="4" w:space="0" w:color="F79646"/>
              <w:left w:val="nil"/>
              <w:bottom w:val="single" w:sz="4" w:space="0" w:color="F79646"/>
              <w:right w:val="nil"/>
            </w:tcBorders>
            <w:shd w:val="clear" w:color="auto" w:fill="auto"/>
            <w:noWrap/>
            <w:vAlign w:val="center"/>
            <w:hideMark/>
          </w:tcPr>
          <w:p w14:paraId="21938376"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162.986</w:t>
            </w:r>
          </w:p>
        </w:tc>
        <w:tc>
          <w:tcPr>
            <w:tcW w:w="559" w:type="pct"/>
            <w:tcBorders>
              <w:top w:val="single" w:sz="4" w:space="0" w:color="F79646"/>
              <w:left w:val="nil"/>
              <w:bottom w:val="single" w:sz="4" w:space="0" w:color="F79646"/>
              <w:right w:val="nil"/>
            </w:tcBorders>
            <w:shd w:val="clear" w:color="auto" w:fill="auto"/>
            <w:noWrap/>
            <w:vAlign w:val="center"/>
            <w:hideMark/>
          </w:tcPr>
          <w:p w14:paraId="332717D6"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3.267</w:t>
            </w:r>
          </w:p>
        </w:tc>
        <w:tc>
          <w:tcPr>
            <w:tcW w:w="397" w:type="pct"/>
            <w:tcBorders>
              <w:top w:val="single" w:sz="4" w:space="0" w:color="F79646"/>
              <w:left w:val="nil"/>
              <w:bottom w:val="single" w:sz="4" w:space="0" w:color="F79646"/>
              <w:right w:val="nil"/>
            </w:tcBorders>
            <w:shd w:val="clear" w:color="auto" w:fill="auto"/>
            <w:vAlign w:val="center"/>
            <w:hideMark/>
          </w:tcPr>
          <w:p w14:paraId="7DCA33FF" w14:textId="77777777" w:rsidR="00E87337" w:rsidRPr="00E87337" w:rsidRDefault="00E87337" w:rsidP="00E87337">
            <w:pPr>
              <w:jc w:val="cente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158.838</w:t>
            </w:r>
          </w:p>
        </w:tc>
        <w:tc>
          <w:tcPr>
            <w:tcW w:w="456" w:type="pct"/>
            <w:tcBorders>
              <w:top w:val="single" w:sz="4" w:space="0" w:color="F79646"/>
              <w:left w:val="nil"/>
              <w:bottom w:val="single" w:sz="4" w:space="0" w:color="F79646"/>
              <w:right w:val="nil"/>
            </w:tcBorders>
            <w:shd w:val="clear" w:color="auto" w:fill="auto"/>
            <w:noWrap/>
            <w:vAlign w:val="center"/>
            <w:hideMark/>
          </w:tcPr>
          <w:p w14:paraId="5139B3DF"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2.066</w:t>
            </w:r>
          </w:p>
        </w:tc>
        <w:tc>
          <w:tcPr>
            <w:tcW w:w="412" w:type="pct"/>
            <w:tcBorders>
              <w:top w:val="single" w:sz="4" w:space="0" w:color="F79646"/>
              <w:left w:val="nil"/>
              <w:bottom w:val="single" w:sz="4" w:space="0" w:color="F79646"/>
              <w:right w:val="nil"/>
            </w:tcBorders>
            <w:shd w:val="clear" w:color="auto" w:fill="auto"/>
            <w:noWrap/>
            <w:vAlign w:val="center"/>
            <w:hideMark/>
          </w:tcPr>
          <w:p w14:paraId="2DB66421"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5.349</w:t>
            </w:r>
          </w:p>
        </w:tc>
        <w:tc>
          <w:tcPr>
            <w:tcW w:w="502" w:type="pct"/>
            <w:tcBorders>
              <w:top w:val="single" w:sz="4" w:space="0" w:color="F79646"/>
              <w:left w:val="nil"/>
              <w:bottom w:val="single" w:sz="4" w:space="0" w:color="F79646"/>
              <w:right w:val="nil"/>
            </w:tcBorders>
            <w:shd w:val="clear" w:color="auto" w:fill="auto"/>
            <w:noWrap/>
            <w:vAlign w:val="center"/>
            <w:hideMark/>
          </w:tcPr>
          <w:p w14:paraId="492C11F7"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166.253</w:t>
            </w:r>
          </w:p>
        </w:tc>
        <w:tc>
          <w:tcPr>
            <w:tcW w:w="580" w:type="pct"/>
            <w:tcBorders>
              <w:top w:val="single" w:sz="4" w:space="0" w:color="F79646"/>
              <w:left w:val="nil"/>
              <w:bottom w:val="single" w:sz="4" w:space="0" w:color="F79646"/>
              <w:right w:val="nil"/>
            </w:tcBorders>
            <w:shd w:val="clear" w:color="auto" w:fill="auto"/>
            <w:noWrap/>
            <w:vAlign w:val="center"/>
            <w:hideMark/>
          </w:tcPr>
          <w:p w14:paraId="3ABA119D"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163.206</w:t>
            </w:r>
          </w:p>
        </w:tc>
      </w:tr>
      <w:tr w:rsidR="00E87337" w:rsidRPr="00E87337" w14:paraId="1484E54D" w14:textId="77777777" w:rsidTr="00940714">
        <w:trPr>
          <w:trHeight w:val="300"/>
        </w:trPr>
        <w:tc>
          <w:tcPr>
            <w:tcW w:w="1565" w:type="pct"/>
            <w:tcBorders>
              <w:top w:val="single" w:sz="4" w:space="0" w:color="F79646"/>
              <w:left w:val="nil"/>
              <w:right w:val="nil"/>
            </w:tcBorders>
            <w:shd w:val="clear" w:color="auto" w:fill="auto"/>
            <w:noWrap/>
            <w:vAlign w:val="center"/>
            <w:hideMark/>
          </w:tcPr>
          <w:p w14:paraId="067D853C"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Ativo circulante</w:t>
            </w:r>
          </w:p>
        </w:tc>
        <w:tc>
          <w:tcPr>
            <w:tcW w:w="528" w:type="pct"/>
            <w:tcBorders>
              <w:top w:val="single" w:sz="4" w:space="0" w:color="F79646"/>
              <w:left w:val="nil"/>
              <w:right w:val="nil"/>
            </w:tcBorders>
            <w:shd w:val="clear" w:color="auto" w:fill="auto"/>
            <w:noWrap/>
            <w:vAlign w:val="center"/>
            <w:hideMark/>
          </w:tcPr>
          <w:p w14:paraId="186CF384" w14:textId="77777777" w:rsidR="00E87337" w:rsidRPr="00E87337" w:rsidRDefault="00E87337" w:rsidP="00E87337">
            <w:pPr>
              <w:rPr>
                <w:rFonts w:cs="Arial"/>
                <w:sz w:val="22"/>
                <w:szCs w:val="22"/>
              </w:rPr>
            </w:pPr>
            <w:r w:rsidRPr="00E87337">
              <w:rPr>
                <w:rFonts w:cs="Arial" w:hint="eastAsia"/>
                <w:sz w:val="22"/>
                <w:szCs w:val="22"/>
              </w:rPr>
              <w:t> </w:t>
            </w:r>
          </w:p>
        </w:tc>
        <w:tc>
          <w:tcPr>
            <w:tcW w:w="559" w:type="pct"/>
            <w:tcBorders>
              <w:top w:val="single" w:sz="4" w:space="0" w:color="F79646"/>
              <w:left w:val="nil"/>
              <w:right w:val="nil"/>
            </w:tcBorders>
            <w:shd w:val="clear" w:color="auto" w:fill="auto"/>
            <w:noWrap/>
            <w:vAlign w:val="center"/>
            <w:hideMark/>
          </w:tcPr>
          <w:p w14:paraId="26C6C295" w14:textId="77777777" w:rsidR="00E87337" w:rsidRPr="00E87337" w:rsidRDefault="00E87337" w:rsidP="00E87337">
            <w:pPr>
              <w:rPr>
                <w:rFonts w:cs="Arial"/>
                <w:sz w:val="22"/>
                <w:szCs w:val="22"/>
              </w:rPr>
            </w:pPr>
            <w:r w:rsidRPr="00E87337">
              <w:rPr>
                <w:rFonts w:cs="Arial" w:hint="eastAsia"/>
                <w:sz w:val="22"/>
                <w:szCs w:val="22"/>
              </w:rPr>
              <w:t> </w:t>
            </w:r>
          </w:p>
        </w:tc>
        <w:tc>
          <w:tcPr>
            <w:tcW w:w="397" w:type="pct"/>
            <w:tcBorders>
              <w:top w:val="single" w:sz="4" w:space="0" w:color="F79646"/>
              <w:left w:val="nil"/>
              <w:right w:val="nil"/>
            </w:tcBorders>
            <w:shd w:val="clear" w:color="auto" w:fill="auto"/>
            <w:vAlign w:val="center"/>
            <w:hideMark/>
          </w:tcPr>
          <w:p w14:paraId="32238760"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56" w:type="pct"/>
            <w:tcBorders>
              <w:top w:val="single" w:sz="4" w:space="0" w:color="F79646"/>
              <w:left w:val="nil"/>
              <w:right w:val="nil"/>
            </w:tcBorders>
            <w:shd w:val="clear" w:color="auto" w:fill="auto"/>
            <w:noWrap/>
            <w:vAlign w:val="center"/>
            <w:hideMark/>
          </w:tcPr>
          <w:p w14:paraId="180D3F06" w14:textId="77777777" w:rsidR="00E87337" w:rsidRPr="00E87337" w:rsidRDefault="00E87337" w:rsidP="00E87337">
            <w:pPr>
              <w:rPr>
                <w:rFonts w:cs="Arial"/>
                <w:sz w:val="22"/>
                <w:szCs w:val="22"/>
              </w:rPr>
            </w:pPr>
            <w:r w:rsidRPr="00E87337">
              <w:rPr>
                <w:rFonts w:cs="Arial" w:hint="eastAsia"/>
                <w:sz w:val="22"/>
                <w:szCs w:val="22"/>
              </w:rPr>
              <w:t> </w:t>
            </w:r>
          </w:p>
        </w:tc>
        <w:tc>
          <w:tcPr>
            <w:tcW w:w="412" w:type="pct"/>
            <w:tcBorders>
              <w:top w:val="single" w:sz="4" w:space="0" w:color="F79646"/>
              <w:left w:val="nil"/>
              <w:right w:val="nil"/>
            </w:tcBorders>
            <w:shd w:val="clear" w:color="auto" w:fill="auto"/>
            <w:noWrap/>
            <w:vAlign w:val="center"/>
            <w:hideMark/>
          </w:tcPr>
          <w:p w14:paraId="4F379827" w14:textId="77777777" w:rsidR="00E87337" w:rsidRPr="00E87337" w:rsidRDefault="00E87337" w:rsidP="00E87337">
            <w:pPr>
              <w:rPr>
                <w:rFonts w:cs="Arial"/>
                <w:sz w:val="22"/>
                <w:szCs w:val="22"/>
              </w:rPr>
            </w:pPr>
            <w:r w:rsidRPr="00E87337">
              <w:rPr>
                <w:rFonts w:cs="Arial" w:hint="eastAsia"/>
                <w:sz w:val="22"/>
                <w:szCs w:val="22"/>
              </w:rPr>
              <w:t> </w:t>
            </w:r>
          </w:p>
        </w:tc>
        <w:tc>
          <w:tcPr>
            <w:tcW w:w="502" w:type="pct"/>
            <w:tcBorders>
              <w:top w:val="single" w:sz="4" w:space="0" w:color="F79646"/>
              <w:left w:val="nil"/>
              <w:right w:val="nil"/>
            </w:tcBorders>
            <w:shd w:val="clear" w:color="auto" w:fill="auto"/>
            <w:noWrap/>
            <w:vAlign w:val="center"/>
            <w:hideMark/>
          </w:tcPr>
          <w:p w14:paraId="22D4FB3E"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166.253</w:t>
            </w:r>
          </w:p>
        </w:tc>
        <w:tc>
          <w:tcPr>
            <w:tcW w:w="580" w:type="pct"/>
            <w:tcBorders>
              <w:top w:val="single" w:sz="4" w:space="0" w:color="F79646"/>
              <w:left w:val="nil"/>
              <w:right w:val="nil"/>
            </w:tcBorders>
            <w:shd w:val="clear" w:color="auto" w:fill="auto"/>
            <w:noWrap/>
            <w:vAlign w:val="center"/>
            <w:hideMark/>
          </w:tcPr>
          <w:p w14:paraId="5FB742A7"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157.809</w:t>
            </w:r>
          </w:p>
        </w:tc>
      </w:tr>
      <w:tr w:rsidR="00E87337" w:rsidRPr="00E87337" w14:paraId="77733A9C" w14:textId="77777777" w:rsidTr="00940714">
        <w:trPr>
          <w:trHeight w:val="285"/>
        </w:trPr>
        <w:tc>
          <w:tcPr>
            <w:tcW w:w="1565" w:type="pct"/>
            <w:tcBorders>
              <w:top w:val="nil"/>
              <w:left w:val="nil"/>
              <w:bottom w:val="single" w:sz="4" w:space="0" w:color="F79646"/>
              <w:right w:val="nil"/>
            </w:tcBorders>
            <w:shd w:val="clear" w:color="auto" w:fill="auto"/>
            <w:noWrap/>
            <w:vAlign w:val="center"/>
            <w:hideMark/>
          </w:tcPr>
          <w:p w14:paraId="495D6C46"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Ativo não circulante</w:t>
            </w:r>
          </w:p>
        </w:tc>
        <w:tc>
          <w:tcPr>
            <w:tcW w:w="528" w:type="pct"/>
            <w:tcBorders>
              <w:top w:val="nil"/>
              <w:left w:val="nil"/>
              <w:bottom w:val="single" w:sz="4" w:space="0" w:color="F79646"/>
              <w:right w:val="nil"/>
            </w:tcBorders>
            <w:shd w:val="clear" w:color="auto" w:fill="auto"/>
            <w:noWrap/>
            <w:vAlign w:val="center"/>
            <w:hideMark/>
          </w:tcPr>
          <w:p w14:paraId="200FA734"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559" w:type="pct"/>
            <w:tcBorders>
              <w:top w:val="nil"/>
              <w:left w:val="nil"/>
              <w:bottom w:val="single" w:sz="4" w:space="0" w:color="F79646"/>
              <w:right w:val="nil"/>
            </w:tcBorders>
            <w:shd w:val="clear" w:color="auto" w:fill="auto"/>
            <w:noWrap/>
            <w:vAlign w:val="center"/>
            <w:hideMark/>
          </w:tcPr>
          <w:p w14:paraId="138E2D57"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397" w:type="pct"/>
            <w:tcBorders>
              <w:top w:val="nil"/>
              <w:left w:val="nil"/>
              <w:bottom w:val="single" w:sz="4" w:space="0" w:color="F79646"/>
              <w:right w:val="nil"/>
            </w:tcBorders>
            <w:shd w:val="clear" w:color="auto" w:fill="auto"/>
            <w:vAlign w:val="center"/>
            <w:hideMark/>
          </w:tcPr>
          <w:p w14:paraId="506E25F7"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56" w:type="pct"/>
            <w:tcBorders>
              <w:top w:val="nil"/>
              <w:left w:val="nil"/>
              <w:bottom w:val="single" w:sz="4" w:space="0" w:color="F79646"/>
              <w:right w:val="nil"/>
            </w:tcBorders>
            <w:shd w:val="clear" w:color="auto" w:fill="auto"/>
            <w:noWrap/>
            <w:vAlign w:val="center"/>
            <w:hideMark/>
          </w:tcPr>
          <w:p w14:paraId="2CB359E3"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12" w:type="pct"/>
            <w:tcBorders>
              <w:top w:val="nil"/>
              <w:left w:val="nil"/>
              <w:bottom w:val="single" w:sz="4" w:space="0" w:color="F79646"/>
              <w:right w:val="nil"/>
            </w:tcBorders>
            <w:shd w:val="clear" w:color="auto" w:fill="auto"/>
            <w:noWrap/>
            <w:vAlign w:val="center"/>
            <w:hideMark/>
          </w:tcPr>
          <w:p w14:paraId="778C152E"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502" w:type="pct"/>
            <w:tcBorders>
              <w:top w:val="nil"/>
              <w:left w:val="nil"/>
              <w:bottom w:val="single" w:sz="4" w:space="0" w:color="F79646"/>
              <w:right w:val="nil"/>
            </w:tcBorders>
            <w:shd w:val="clear" w:color="auto" w:fill="auto"/>
            <w:noWrap/>
            <w:vAlign w:val="center"/>
            <w:hideMark/>
          </w:tcPr>
          <w:p w14:paraId="54157CFF" w14:textId="63F29805" w:rsidR="00E87337" w:rsidRPr="00E87337" w:rsidRDefault="002B2620" w:rsidP="00E87337">
            <w:pPr>
              <w:jc w:val="right"/>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w:t>
            </w:r>
            <w:r w:rsidR="00E87337" w:rsidRPr="00E87337">
              <w:rPr>
                <w:rFonts w:ascii="CAIXA Std Book" w:eastAsia="Times New Roman" w:hAnsi="CAIXA Std Book" w:cs="Arial"/>
                <w:color w:val="005CA9"/>
                <w:sz w:val="16"/>
                <w:szCs w:val="16"/>
              </w:rPr>
              <w:t> </w:t>
            </w:r>
          </w:p>
        </w:tc>
        <w:tc>
          <w:tcPr>
            <w:tcW w:w="580" w:type="pct"/>
            <w:tcBorders>
              <w:top w:val="nil"/>
              <w:left w:val="nil"/>
              <w:bottom w:val="single" w:sz="4" w:space="0" w:color="F79646"/>
              <w:right w:val="nil"/>
            </w:tcBorders>
            <w:shd w:val="clear" w:color="auto" w:fill="auto"/>
            <w:noWrap/>
            <w:vAlign w:val="center"/>
            <w:hideMark/>
          </w:tcPr>
          <w:p w14:paraId="57692311"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5.397</w:t>
            </w:r>
          </w:p>
        </w:tc>
      </w:tr>
      <w:tr w:rsidR="00E87337" w:rsidRPr="00E87337" w14:paraId="7C43ABE6" w14:textId="77777777" w:rsidTr="00940714">
        <w:trPr>
          <w:trHeight w:val="285"/>
        </w:trPr>
        <w:tc>
          <w:tcPr>
            <w:tcW w:w="5000" w:type="pct"/>
            <w:gridSpan w:val="8"/>
            <w:tcBorders>
              <w:top w:val="single" w:sz="4" w:space="0" w:color="F79646"/>
              <w:left w:val="nil"/>
              <w:bottom w:val="single" w:sz="4" w:space="0" w:color="F79646"/>
              <w:right w:val="nil"/>
            </w:tcBorders>
            <w:shd w:val="clear" w:color="auto" w:fill="auto"/>
            <w:vAlign w:val="center"/>
            <w:hideMark/>
          </w:tcPr>
          <w:p w14:paraId="1A9C610B" w14:textId="77777777" w:rsidR="00E87337" w:rsidRPr="00E87337" w:rsidRDefault="00E87337" w:rsidP="00E87337">
            <w:pPr>
              <w:jc w:val="cente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Posição Passiva</w:t>
            </w:r>
          </w:p>
        </w:tc>
      </w:tr>
      <w:tr w:rsidR="00E87337" w:rsidRPr="00E87337" w14:paraId="5598ED18" w14:textId="77777777" w:rsidTr="00940714">
        <w:trPr>
          <w:trHeight w:val="270"/>
        </w:trPr>
        <w:tc>
          <w:tcPr>
            <w:tcW w:w="1565" w:type="pct"/>
            <w:tcBorders>
              <w:top w:val="single" w:sz="4" w:space="0" w:color="F79646"/>
              <w:left w:val="nil"/>
              <w:right w:val="nil"/>
            </w:tcBorders>
            <w:shd w:val="clear" w:color="auto" w:fill="auto"/>
            <w:noWrap/>
            <w:vAlign w:val="center"/>
            <w:hideMark/>
          </w:tcPr>
          <w:p w14:paraId="4B268CA4" w14:textId="77777777" w:rsidR="00E87337" w:rsidRPr="00E87337" w:rsidRDefault="00E87337" w:rsidP="00E87337">
            <w:pPr>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Contratos de Swaps - Ajuste a Pagar</w:t>
            </w:r>
          </w:p>
        </w:tc>
        <w:tc>
          <w:tcPr>
            <w:tcW w:w="528" w:type="pct"/>
            <w:tcBorders>
              <w:top w:val="single" w:sz="4" w:space="0" w:color="F79646"/>
              <w:left w:val="nil"/>
              <w:right w:val="nil"/>
            </w:tcBorders>
            <w:shd w:val="clear" w:color="auto" w:fill="auto"/>
            <w:noWrap/>
            <w:vAlign w:val="center"/>
            <w:hideMark/>
          </w:tcPr>
          <w:p w14:paraId="20EE539C" w14:textId="5EC3A9B5" w:rsidR="00E87337" w:rsidRPr="00E87337" w:rsidRDefault="003434BE" w:rsidP="00E87337">
            <w:pPr>
              <w:jc w:val="right"/>
              <w:rPr>
                <w:rFonts w:ascii="CAIXA Std Book" w:eastAsia="Times New Roman" w:hAnsi="CAIXA Std Book" w:cs="Arial"/>
                <w:b/>
                <w:bCs/>
                <w:color w:val="005CA9"/>
                <w:sz w:val="16"/>
                <w:szCs w:val="16"/>
              </w:rPr>
            </w:pPr>
            <w:r w:rsidRPr="003434BE">
              <w:rPr>
                <w:rFonts w:ascii="CAIXA Std Book" w:eastAsia="Times New Roman" w:hAnsi="CAIXA Std Book" w:cs="Arial"/>
                <w:b/>
                <w:bCs/>
                <w:color w:val="005CA9"/>
                <w:sz w:val="16"/>
                <w:szCs w:val="16"/>
              </w:rPr>
              <w:t>157</w:t>
            </w:r>
          </w:p>
        </w:tc>
        <w:tc>
          <w:tcPr>
            <w:tcW w:w="559" w:type="pct"/>
            <w:tcBorders>
              <w:top w:val="single" w:sz="4" w:space="0" w:color="F79646"/>
              <w:left w:val="nil"/>
              <w:right w:val="nil"/>
            </w:tcBorders>
            <w:shd w:val="clear" w:color="auto" w:fill="auto"/>
            <w:noWrap/>
            <w:vAlign w:val="center"/>
            <w:hideMark/>
          </w:tcPr>
          <w:p w14:paraId="720A4DF4" w14:textId="7304338E" w:rsidR="00E87337" w:rsidRPr="00E87337" w:rsidRDefault="00E87337" w:rsidP="00E87337">
            <w:pPr>
              <w:jc w:val="right"/>
              <w:rPr>
                <w:rFonts w:ascii="CAIXA Std Book" w:eastAsia="Times New Roman" w:hAnsi="CAIXA Std Book" w:cs="Arial"/>
                <w:b/>
                <w:bCs/>
                <w:color w:val="005CA9"/>
                <w:sz w:val="16"/>
                <w:szCs w:val="16"/>
              </w:rPr>
            </w:pPr>
            <w:r>
              <w:rPr>
                <w:rFonts w:ascii="CAIXA Std Book" w:eastAsia="Times New Roman" w:hAnsi="CAIXA Std Book" w:cs="Arial"/>
                <w:b/>
                <w:bCs/>
                <w:color w:val="005CA9"/>
                <w:sz w:val="16"/>
                <w:szCs w:val="16"/>
              </w:rPr>
              <w:t>(</w:t>
            </w:r>
            <w:r w:rsidR="003434BE">
              <w:rPr>
                <w:rFonts w:ascii="CAIXA Std Book" w:eastAsia="Times New Roman" w:hAnsi="CAIXA Std Book" w:cs="Arial"/>
                <w:b/>
                <w:bCs/>
                <w:color w:val="005CA9"/>
                <w:sz w:val="16"/>
                <w:szCs w:val="16"/>
              </w:rPr>
              <w:t>35</w:t>
            </w:r>
            <w:r>
              <w:rPr>
                <w:rFonts w:ascii="CAIXA Std Book" w:eastAsia="Times New Roman" w:hAnsi="CAIXA Std Book" w:cs="Arial"/>
                <w:b/>
                <w:bCs/>
                <w:color w:val="005CA9"/>
                <w:sz w:val="16"/>
                <w:szCs w:val="16"/>
              </w:rPr>
              <w:t>)</w:t>
            </w:r>
          </w:p>
        </w:tc>
        <w:tc>
          <w:tcPr>
            <w:tcW w:w="397" w:type="pct"/>
            <w:tcBorders>
              <w:top w:val="single" w:sz="4" w:space="0" w:color="F79646"/>
              <w:left w:val="nil"/>
              <w:right w:val="nil"/>
            </w:tcBorders>
            <w:shd w:val="clear" w:color="auto" w:fill="auto"/>
            <w:vAlign w:val="center"/>
            <w:hideMark/>
          </w:tcPr>
          <w:p w14:paraId="105D7205" w14:textId="084E4E4D" w:rsidR="00E87337" w:rsidRPr="00E87337" w:rsidRDefault="00EF63FA" w:rsidP="00E87337">
            <w:pPr>
              <w:jc w:val="right"/>
              <w:rPr>
                <w:rFonts w:ascii="CAIXA Std Book" w:eastAsia="Times New Roman" w:hAnsi="CAIXA Std Book" w:cs="Arial"/>
                <w:b/>
                <w:bCs/>
                <w:color w:val="005CA9"/>
                <w:sz w:val="16"/>
                <w:szCs w:val="16"/>
              </w:rPr>
            </w:pPr>
            <w:r>
              <w:rPr>
                <w:rFonts w:ascii="CAIXA Std Book" w:eastAsia="Times New Roman" w:hAnsi="CAIXA Std Book" w:cs="Arial"/>
                <w:b/>
                <w:bCs/>
                <w:color w:val="005CA9"/>
                <w:sz w:val="16"/>
                <w:szCs w:val="16"/>
              </w:rPr>
              <w:t>111</w:t>
            </w:r>
          </w:p>
        </w:tc>
        <w:tc>
          <w:tcPr>
            <w:tcW w:w="456" w:type="pct"/>
            <w:tcBorders>
              <w:top w:val="single" w:sz="4" w:space="0" w:color="F79646"/>
              <w:left w:val="nil"/>
              <w:right w:val="nil"/>
            </w:tcBorders>
            <w:shd w:val="clear" w:color="auto" w:fill="auto"/>
            <w:noWrap/>
            <w:vAlign w:val="center"/>
            <w:hideMark/>
          </w:tcPr>
          <w:p w14:paraId="6BEBDE57" w14:textId="0B6C1F5F" w:rsidR="00E87337" w:rsidRPr="00E87337" w:rsidRDefault="00EF63FA" w:rsidP="00E87337">
            <w:pPr>
              <w:jc w:val="center"/>
              <w:rPr>
                <w:rFonts w:ascii="CAIXA Std Book" w:eastAsia="Times New Roman" w:hAnsi="CAIXA Std Book" w:cs="Arial"/>
                <w:b/>
                <w:bCs/>
                <w:color w:val="005CA9"/>
                <w:sz w:val="16"/>
                <w:szCs w:val="16"/>
              </w:rPr>
            </w:pPr>
            <w:r>
              <w:rPr>
                <w:rFonts w:ascii="CAIXA Std Book" w:eastAsia="Times New Roman" w:hAnsi="CAIXA Std Book" w:cs="Arial"/>
                <w:b/>
                <w:bCs/>
                <w:color w:val="005CA9"/>
                <w:sz w:val="16"/>
                <w:szCs w:val="16"/>
              </w:rPr>
              <w:t>5</w:t>
            </w:r>
          </w:p>
        </w:tc>
        <w:tc>
          <w:tcPr>
            <w:tcW w:w="412" w:type="pct"/>
            <w:tcBorders>
              <w:top w:val="single" w:sz="4" w:space="0" w:color="F79646"/>
              <w:left w:val="nil"/>
              <w:right w:val="nil"/>
            </w:tcBorders>
            <w:shd w:val="clear" w:color="auto" w:fill="auto"/>
            <w:noWrap/>
            <w:vAlign w:val="center"/>
            <w:hideMark/>
          </w:tcPr>
          <w:p w14:paraId="52BD961B" w14:textId="635A43CB" w:rsidR="00E87337" w:rsidRPr="00E87337" w:rsidRDefault="00EF63FA" w:rsidP="00E87337">
            <w:pPr>
              <w:jc w:val="center"/>
              <w:rPr>
                <w:rFonts w:ascii="CAIXA Std Book" w:eastAsia="Times New Roman" w:hAnsi="CAIXA Std Book" w:cs="Arial"/>
                <w:b/>
                <w:bCs/>
                <w:color w:val="005CA9"/>
                <w:sz w:val="16"/>
                <w:szCs w:val="16"/>
              </w:rPr>
            </w:pPr>
            <w:r>
              <w:rPr>
                <w:rFonts w:ascii="CAIXA Std Book" w:eastAsia="Times New Roman" w:hAnsi="CAIXA Std Book" w:cs="Arial"/>
                <w:b/>
                <w:bCs/>
                <w:color w:val="005CA9"/>
                <w:sz w:val="16"/>
                <w:szCs w:val="16"/>
              </w:rPr>
              <w:t>5</w:t>
            </w:r>
          </w:p>
        </w:tc>
        <w:tc>
          <w:tcPr>
            <w:tcW w:w="502" w:type="pct"/>
            <w:tcBorders>
              <w:top w:val="single" w:sz="4" w:space="0" w:color="F79646"/>
              <w:left w:val="nil"/>
              <w:right w:val="nil"/>
            </w:tcBorders>
            <w:shd w:val="clear" w:color="auto" w:fill="auto"/>
            <w:noWrap/>
            <w:vAlign w:val="center"/>
            <w:hideMark/>
          </w:tcPr>
          <w:p w14:paraId="4E34763B"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122</w:t>
            </w:r>
          </w:p>
        </w:tc>
        <w:tc>
          <w:tcPr>
            <w:tcW w:w="580" w:type="pct"/>
            <w:tcBorders>
              <w:top w:val="single" w:sz="4" w:space="0" w:color="F79646"/>
              <w:left w:val="nil"/>
              <w:right w:val="nil"/>
            </w:tcBorders>
            <w:shd w:val="clear" w:color="auto" w:fill="auto"/>
            <w:noWrap/>
            <w:vAlign w:val="center"/>
            <w:hideMark/>
          </w:tcPr>
          <w:p w14:paraId="4DA888E7" w14:textId="77777777" w:rsidR="00E87337" w:rsidRPr="00E87337" w:rsidRDefault="00E87337" w:rsidP="00E87337">
            <w:pPr>
              <w:jc w:val="right"/>
              <w:rPr>
                <w:rFonts w:ascii="CAIXA Std Book" w:eastAsia="Times New Roman" w:hAnsi="CAIXA Std Book" w:cs="Arial"/>
                <w:b/>
                <w:bCs/>
                <w:color w:val="005CA9"/>
                <w:sz w:val="16"/>
                <w:szCs w:val="16"/>
              </w:rPr>
            </w:pPr>
            <w:r w:rsidRPr="00E87337">
              <w:rPr>
                <w:rFonts w:ascii="CAIXA Std Book" w:eastAsia="Times New Roman" w:hAnsi="CAIXA Std Book" w:cs="Arial"/>
                <w:b/>
                <w:bCs/>
                <w:color w:val="005CA9"/>
                <w:sz w:val="16"/>
                <w:szCs w:val="16"/>
              </w:rPr>
              <w:t>87</w:t>
            </w:r>
          </w:p>
        </w:tc>
      </w:tr>
      <w:tr w:rsidR="00E87337" w:rsidRPr="00E87337" w14:paraId="4E48F306" w14:textId="77777777" w:rsidTr="00940714">
        <w:trPr>
          <w:trHeight w:val="285"/>
        </w:trPr>
        <w:tc>
          <w:tcPr>
            <w:tcW w:w="1565" w:type="pct"/>
            <w:tcBorders>
              <w:top w:val="nil"/>
              <w:left w:val="nil"/>
              <w:bottom w:val="single" w:sz="4" w:space="0" w:color="F79646"/>
              <w:right w:val="nil"/>
            </w:tcBorders>
            <w:shd w:val="clear" w:color="auto" w:fill="auto"/>
            <w:noWrap/>
            <w:vAlign w:val="center"/>
            <w:hideMark/>
          </w:tcPr>
          <w:p w14:paraId="66CC9020" w14:textId="77777777" w:rsidR="00E87337" w:rsidRPr="00E87337" w:rsidRDefault="00E87337" w:rsidP="00E87337">
            <w:pPr>
              <w:ind w:firstLineChars="100" w:firstLine="160"/>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Índices/B3</w:t>
            </w:r>
          </w:p>
        </w:tc>
        <w:tc>
          <w:tcPr>
            <w:tcW w:w="528" w:type="pct"/>
            <w:tcBorders>
              <w:top w:val="nil"/>
              <w:left w:val="nil"/>
              <w:bottom w:val="single" w:sz="4" w:space="0" w:color="F79646"/>
              <w:right w:val="nil"/>
            </w:tcBorders>
            <w:shd w:val="clear" w:color="auto" w:fill="auto"/>
            <w:noWrap/>
            <w:vAlign w:val="center"/>
            <w:hideMark/>
          </w:tcPr>
          <w:p w14:paraId="50C216BB" w14:textId="5880090B" w:rsidR="00E87337" w:rsidRPr="00E87337" w:rsidRDefault="003434BE" w:rsidP="00E87337">
            <w:pPr>
              <w:jc w:val="right"/>
              <w:rPr>
                <w:rFonts w:ascii="CAIXA Std Book" w:eastAsia="Times New Roman" w:hAnsi="CAIXA Std Book" w:cs="Arial"/>
                <w:color w:val="005CA9"/>
                <w:sz w:val="16"/>
                <w:szCs w:val="16"/>
              </w:rPr>
            </w:pPr>
            <w:r w:rsidRPr="003434BE">
              <w:rPr>
                <w:rFonts w:ascii="CAIXA Std Book" w:eastAsia="Times New Roman" w:hAnsi="CAIXA Std Book" w:cs="Arial"/>
                <w:color w:val="005CA9"/>
                <w:sz w:val="16"/>
                <w:szCs w:val="16"/>
              </w:rPr>
              <w:t>157</w:t>
            </w:r>
          </w:p>
        </w:tc>
        <w:tc>
          <w:tcPr>
            <w:tcW w:w="559" w:type="pct"/>
            <w:tcBorders>
              <w:top w:val="nil"/>
              <w:left w:val="nil"/>
              <w:bottom w:val="single" w:sz="4" w:space="0" w:color="F79646"/>
              <w:right w:val="nil"/>
            </w:tcBorders>
            <w:shd w:val="clear" w:color="auto" w:fill="auto"/>
            <w:noWrap/>
            <w:vAlign w:val="center"/>
            <w:hideMark/>
          </w:tcPr>
          <w:p w14:paraId="40EEEE7B" w14:textId="5917F4A9" w:rsidR="00E87337" w:rsidRPr="00E87337" w:rsidRDefault="00E87337" w:rsidP="00E87337">
            <w:pPr>
              <w:jc w:val="right"/>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w:t>
            </w:r>
            <w:r w:rsidR="003434BE">
              <w:rPr>
                <w:rFonts w:ascii="CAIXA Std Book" w:eastAsia="Times New Roman" w:hAnsi="CAIXA Std Book" w:cs="Arial"/>
                <w:color w:val="005CA9"/>
                <w:sz w:val="16"/>
                <w:szCs w:val="16"/>
              </w:rPr>
              <w:t>35</w:t>
            </w:r>
            <w:r>
              <w:rPr>
                <w:rFonts w:ascii="CAIXA Std Book" w:eastAsia="Times New Roman" w:hAnsi="CAIXA Std Book" w:cs="Arial"/>
                <w:color w:val="005CA9"/>
                <w:sz w:val="16"/>
                <w:szCs w:val="16"/>
              </w:rPr>
              <w:t>)</w:t>
            </w:r>
          </w:p>
        </w:tc>
        <w:tc>
          <w:tcPr>
            <w:tcW w:w="397" w:type="pct"/>
            <w:tcBorders>
              <w:top w:val="nil"/>
              <w:left w:val="nil"/>
              <w:bottom w:val="single" w:sz="4" w:space="0" w:color="F79646"/>
              <w:right w:val="nil"/>
            </w:tcBorders>
            <w:shd w:val="clear" w:color="auto" w:fill="auto"/>
            <w:vAlign w:val="center"/>
            <w:hideMark/>
          </w:tcPr>
          <w:p w14:paraId="293FC9C3" w14:textId="4689ABE3" w:rsidR="00E87337" w:rsidRPr="00E87337" w:rsidRDefault="00EF63FA" w:rsidP="00E87337">
            <w:pPr>
              <w:jc w:val="right"/>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111</w:t>
            </w:r>
          </w:p>
        </w:tc>
        <w:tc>
          <w:tcPr>
            <w:tcW w:w="456" w:type="pct"/>
            <w:tcBorders>
              <w:top w:val="nil"/>
              <w:left w:val="nil"/>
              <w:bottom w:val="single" w:sz="4" w:space="0" w:color="F79646"/>
              <w:right w:val="nil"/>
            </w:tcBorders>
            <w:shd w:val="clear" w:color="auto" w:fill="auto"/>
            <w:noWrap/>
            <w:vAlign w:val="center"/>
            <w:hideMark/>
          </w:tcPr>
          <w:p w14:paraId="0F2C18F5" w14:textId="6114505F" w:rsidR="00E87337" w:rsidRPr="00E87337" w:rsidRDefault="00EF63FA" w:rsidP="00E87337">
            <w:pPr>
              <w:jc w:val="center"/>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5</w:t>
            </w:r>
          </w:p>
        </w:tc>
        <w:tc>
          <w:tcPr>
            <w:tcW w:w="412" w:type="pct"/>
            <w:tcBorders>
              <w:top w:val="nil"/>
              <w:left w:val="nil"/>
              <w:bottom w:val="single" w:sz="4" w:space="0" w:color="F79646"/>
              <w:right w:val="nil"/>
            </w:tcBorders>
            <w:shd w:val="clear" w:color="auto" w:fill="auto"/>
            <w:noWrap/>
            <w:vAlign w:val="center"/>
            <w:hideMark/>
          </w:tcPr>
          <w:p w14:paraId="29C61DB0" w14:textId="0BC1D1E3" w:rsidR="00E87337" w:rsidRPr="00E87337" w:rsidRDefault="00EF63FA" w:rsidP="00E87337">
            <w:pPr>
              <w:jc w:val="center"/>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5</w:t>
            </w:r>
          </w:p>
        </w:tc>
        <w:tc>
          <w:tcPr>
            <w:tcW w:w="502" w:type="pct"/>
            <w:tcBorders>
              <w:top w:val="nil"/>
              <w:left w:val="nil"/>
              <w:bottom w:val="single" w:sz="4" w:space="0" w:color="F79646"/>
              <w:right w:val="nil"/>
            </w:tcBorders>
            <w:shd w:val="clear" w:color="auto" w:fill="auto"/>
            <w:noWrap/>
            <w:vAlign w:val="center"/>
            <w:hideMark/>
          </w:tcPr>
          <w:p w14:paraId="306DA2A2"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122</w:t>
            </w:r>
          </w:p>
        </w:tc>
        <w:tc>
          <w:tcPr>
            <w:tcW w:w="580" w:type="pct"/>
            <w:tcBorders>
              <w:top w:val="nil"/>
              <w:left w:val="nil"/>
              <w:bottom w:val="single" w:sz="4" w:space="0" w:color="F79646"/>
              <w:right w:val="nil"/>
            </w:tcBorders>
            <w:shd w:val="clear" w:color="auto" w:fill="auto"/>
            <w:noWrap/>
            <w:vAlign w:val="center"/>
            <w:hideMark/>
          </w:tcPr>
          <w:p w14:paraId="7904F571"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87</w:t>
            </w:r>
          </w:p>
        </w:tc>
      </w:tr>
      <w:tr w:rsidR="00E87337" w:rsidRPr="00E87337" w14:paraId="61B4A9E0" w14:textId="77777777" w:rsidTr="00940714">
        <w:trPr>
          <w:trHeight w:val="245"/>
        </w:trPr>
        <w:tc>
          <w:tcPr>
            <w:tcW w:w="1565" w:type="pct"/>
            <w:tcBorders>
              <w:top w:val="single" w:sz="4" w:space="0" w:color="F79646"/>
              <w:left w:val="nil"/>
              <w:right w:val="nil"/>
            </w:tcBorders>
            <w:shd w:val="clear" w:color="auto" w:fill="auto"/>
            <w:vAlign w:val="center"/>
            <w:hideMark/>
          </w:tcPr>
          <w:p w14:paraId="5FA01A80"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Passivo circulante</w:t>
            </w:r>
          </w:p>
        </w:tc>
        <w:tc>
          <w:tcPr>
            <w:tcW w:w="528" w:type="pct"/>
            <w:tcBorders>
              <w:top w:val="single" w:sz="4" w:space="0" w:color="F79646"/>
              <w:left w:val="nil"/>
              <w:right w:val="nil"/>
            </w:tcBorders>
            <w:shd w:val="clear" w:color="auto" w:fill="auto"/>
            <w:vAlign w:val="center"/>
            <w:hideMark/>
          </w:tcPr>
          <w:p w14:paraId="1C257ADE" w14:textId="77777777" w:rsidR="00E87337" w:rsidRPr="00E87337" w:rsidRDefault="00E87337" w:rsidP="00E87337">
            <w:pPr>
              <w:rPr>
                <w:rFonts w:cs="Arial"/>
                <w:sz w:val="22"/>
                <w:szCs w:val="22"/>
              </w:rPr>
            </w:pPr>
            <w:r w:rsidRPr="00E87337">
              <w:rPr>
                <w:rFonts w:cs="Arial" w:hint="eastAsia"/>
                <w:sz w:val="22"/>
                <w:szCs w:val="22"/>
              </w:rPr>
              <w:t> </w:t>
            </w:r>
          </w:p>
        </w:tc>
        <w:tc>
          <w:tcPr>
            <w:tcW w:w="559" w:type="pct"/>
            <w:tcBorders>
              <w:top w:val="single" w:sz="4" w:space="0" w:color="F79646"/>
              <w:left w:val="nil"/>
              <w:right w:val="nil"/>
            </w:tcBorders>
            <w:shd w:val="clear" w:color="auto" w:fill="auto"/>
            <w:vAlign w:val="center"/>
            <w:hideMark/>
          </w:tcPr>
          <w:p w14:paraId="64E74C5F" w14:textId="77777777" w:rsidR="00E87337" w:rsidRPr="00E87337" w:rsidRDefault="00E87337" w:rsidP="00E87337">
            <w:pPr>
              <w:rPr>
                <w:rFonts w:cs="Arial"/>
                <w:sz w:val="22"/>
                <w:szCs w:val="22"/>
              </w:rPr>
            </w:pPr>
            <w:r w:rsidRPr="00E87337">
              <w:rPr>
                <w:rFonts w:cs="Arial" w:hint="eastAsia"/>
                <w:sz w:val="22"/>
                <w:szCs w:val="22"/>
              </w:rPr>
              <w:t> </w:t>
            </w:r>
          </w:p>
        </w:tc>
        <w:tc>
          <w:tcPr>
            <w:tcW w:w="397" w:type="pct"/>
            <w:tcBorders>
              <w:top w:val="single" w:sz="4" w:space="0" w:color="F79646"/>
              <w:left w:val="nil"/>
              <w:right w:val="nil"/>
            </w:tcBorders>
            <w:shd w:val="clear" w:color="auto" w:fill="auto"/>
            <w:vAlign w:val="center"/>
            <w:hideMark/>
          </w:tcPr>
          <w:p w14:paraId="1869BB6B"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56" w:type="pct"/>
            <w:tcBorders>
              <w:top w:val="single" w:sz="4" w:space="0" w:color="F79646"/>
              <w:left w:val="nil"/>
              <w:right w:val="nil"/>
            </w:tcBorders>
            <w:shd w:val="clear" w:color="auto" w:fill="auto"/>
            <w:vAlign w:val="center"/>
            <w:hideMark/>
          </w:tcPr>
          <w:p w14:paraId="2B47C8B8"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12" w:type="pct"/>
            <w:tcBorders>
              <w:top w:val="single" w:sz="4" w:space="0" w:color="F79646"/>
              <w:left w:val="nil"/>
              <w:right w:val="nil"/>
            </w:tcBorders>
            <w:shd w:val="clear" w:color="auto" w:fill="auto"/>
            <w:vAlign w:val="center"/>
            <w:hideMark/>
          </w:tcPr>
          <w:p w14:paraId="7BEC144E" w14:textId="77777777" w:rsidR="00E87337" w:rsidRPr="00E87337" w:rsidRDefault="00E87337" w:rsidP="00E87337">
            <w:pPr>
              <w:rPr>
                <w:rFonts w:cs="Arial"/>
                <w:sz w:val="22"/>
                <w:szCs w:val="22"/>
              </w:rPr>
            </w:pPr>
            <w:r w:rsidRPr="00E87337">
              <w:rPr>
                <w:rFonts w:cs="Arial" w:hint="eastAsia"/>
                <w:sz w:val="22"/>
                <w:szCs w:val="22"/>
              </w:rPr>
              <w:t> </w:t>
            </w:r>
          </w:p>
        </w:tc>
        <w:tc>
          <w:tcPr>
            <w:tcW w:w="502" w:type="pct"/>
            <w:tcBorders>
              <w:top w:val="single" w:sz="4" w:space="0" w:color="F79646"/>
              <w:left w:val="nil"/>
              <w:right w:val="nil"/>
            </w:tcBorders>
            <w:shd w:val="clear" w:color="auto" w:fill="auto"/>
            <w:vAlign w:val="center"/>
            <w:hideMark/>
          </w:tcPr>
          <w:p w14:paraId="2AD3EFE5"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122</w:t>
            </w:r>
          </w:p>
        </w:tc>
        <w:tc>
          <w:tcPr>
            <w:tcW w:w="580" w:type="pct"/>
            <w:tcBorders>
              <w:top w:val="single" w:sz="4" w:space="0" w:color="F79646"/>
              <w:left w:val="nil"/>
              <w:right w:val="nil"/>
            </w:tcBorders>
            <w:shd w:val="clear" w:color="auto" w:fill="auto"/>
            <w:vAlign w:val="center"/>
            <w:hideMark/>
          </w:tcPr>
          <w:p w14:paraId="1FA6EBE6"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87</w:t>
            </w:r>
          </w:p>
        </w:tc>
      </w:tr>
      <w:tr w:rsidR="00E87337" w:rsidRPr="00E87337" w14:paraId="4FA270F1" w14:textId="77777777" w:rsidTr="00940714">
        <w:trPr>
          <w:trHeight w:val="70"/>
        </w:trPr>
        <w:tc>
          <w:tcPr>
            <w:tcW w:w="1565" w:type="pct"/>
            <w:tcBorders>
              <w:top w:val="nil"/>
              <w:left w:val="nil"/>
              <w:bottom w:val="single" w:sz="4" w:space="0" w:color="F79646"/>
              <w:right w:val="nil"/>
            </w:tcBorders>
            <w:shd w:val="clear" w:color="auto" w:fill="auto"/>
            <w:vAlign w:val="center"/>
            <w:hideMark/>
          </w:tcPr>
          <w:p w14:paraId="6AE5CF9D" w14:textId="77777777" w:rsidR="00E87337" w:rsidRPr="00E87337" w:rsidRDefault="00E87337" w:rsidP="00E87337">
            <w:pPr>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Passivo não circulante</w:t>
            </w:r>
          </w:p>
        </w:tc>
        <w:tc>
          <w:tcPr>
            <w:tcW w:w="528" w:type="pct"/>
            <w:tcBorders>
              <w:top w:val="nil"/>
              <w:left w:val="nil"/>
              <w:bottom w:val="single" w:sz="4" w:space="0" w:color="F79646"/>
              <w:right w:val="nil"/>
            </w:tcBorders>
            <w:shd w:val="clear" w:color="auto" w:fill="auto"/>
            <w:vAlign w:val="center"/>
            <w:hideMark/>
          </w:tcPr>
          <w:p w14:paraId="0D5AA0B1" w14:textId="77777777" w:rsidR="00E87337" w:rsidRPr="00E87337" w:rsidRDefault="00E87337" w:rsidP="00E87337">
            <w:pPr>
              <w:rPr>
                <w:rFonts w:cs="Arial"/>
                <w:sz w:val="22"/>
                <w:szCs w:val="22"/>
              </w:rPr>
            </w:pPr>
            <w:r w:rsidRPr="00E87337">
              <w:rPr>
                <w:rFonts w:cs="Arial" w:hint="eastAsia"/>
                <w:sz w:val="22"/>
                <w:szCs w:val="22"/>
              </w:rPr>
              <w:t> </w:t>
            </w:r>
          </w:p>
        </w:tc>
        <w:tc>
          <w:tcPr>
            <w:tcW w:w="559" w:type="pct"/>
            <w:tcBorders>
              <w:top w:val="nil"/>
              <w:left w:val="nil"/>
              <w:bottom w:val="single" w:sz="4" w:space="0" w:color="F79646"/>
              <w:right w:val="nil"/>
            </w:tcBorders>
            <w:shd w:val="clear" w:color="auto" w:fill="auto"/>
            <w:vAlign w:val="center"/>
            <w:hideMark/>
          </w:tcPr>
          <w:p w14:paraId="68D35414" w14:textId="77777777" w:rsidR="00E87337" w:rsidRPr="00E87337" w:rsidRDefault="00E87337" w:rsidP="00E87337">
            <w:pPr>
              <w:rPr>
                <w:rFonts w:cs="Arial"/>
                <w:sz w:val="22"/>
                <w:szCs w:val="22"/>
              </w:rPr>
            </w:pPr>
            <w:r w:rsidRPr="00E87337">
              <w:rPr>
                <w:rFonts w:cs="Arial" w:hint="eastAsia"/>
                <w:sz w:val="22"/>
                <w:szCs w:val="22"/>
              </w:rPr>
              <w:t> </w:t>
            </w:r>
          </w:p>
        </w:tc>
        <w:tc>
          <w:tcPr>
            <w:tcW w:w="397" w:type="pct"/>
            <w:tcBorders>
              <w:top w:val="nil"/>
              <w:left w:val="nil"/>
              <w:bottom w:val="single" w:sz="4" w:space="0" w:color="F79646"/>
              <w:right w:val="nil"/>
            </w:tcBorders>
            <w:shd w:val="clear" w:color="auto" w:fill="auto"/>
            <w:vAlign w:val="center"/>
            <w:hideMark/>
          </w:tcPr>
          <w:p w14:paraId="0E4D82CC"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56" w:type="pct"/>
            <w:tcBorders>
              <w:top w:val="nil"/>
              <w:left w:val="nil"/>
              <w:bottom w:val="single" w:sz="4" w:space="0" w:color="F79646"/>
              <w:right w:val="nil"/>
            </w:tcBorders>
            <w:shd w:val="clear" w:color="auto" w:fill="auto"/>
            <w:vAlign w:val="center"/>
            <w:hideMark/>
          </w:tcPr>
          <w:p w14:paraId="4E9F856E"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 </w:t>
            </w:r>
          </w:p>
        </w:tc>
        <w:tc>
          <w:tcPr>
            <w:tcW w:w="412" w:type="pct"/>
            <w:tcBorders>
              <w:top w:val="nil"/>
              <w:left w:val="nil"/>
              <w:bottom w:val="single" w:sz="4" w:space="0" w:color="F79646"/>
              <w:right w:val="nil"/>
            </w:tcBorders>
            <w:shd w:val="clear" w:color="auto" w:fill="auto"/>
            <w:vAlign w:val="center"/>
            <w:hideMark/>
          </w:tcPr>
          <w:p w14:paraId="58CEA513" w14:textId="77777777" w:rsidR="00E87337" w:rsidRPr="00E87337" w:rsidRDefault="00E87337" w:rsidP="00E87337">
            <w:pPr>
              <w:rPr>
                <w:rFonts w:cs="Arial"/>
                <w:sz w:val="22"/>
                <w:szCs w:val="22"/>
              </w:rPr>
            </w:pPr>
            <w:r w:rsidRPr="00E87337">
              <w:rPr>
                <w:rFonts w:cs="Arial" w:hint="eastAsia"/>
                <w:sz w:val="22"/>
                <w:szCs w:val="22"/>
              </w:rPr>
              <w:t> </w:t>
            </w:r>
          </w:p>
        </w:tc>
        <w:tc>
          <w:tcPr>
            <w:tcW w:w="502" w:type="pct"/>
            <w:tcBorders>
              <w:top w:val="nil"/>
              <w:left w:val="nil"/>
              <w:bottom w:val="single" w:sz="4" w:space="0" w:color="F79646"/>
              <w:right w:val="nil"/>
            </w:tcBorders>
            <w:shd w:val="clear" w:color="auto" w:fill="auto"/>
            <w:vAlign w:val="center"/>
            <w:hideMark/>
          </w:tcPr>
          <w:p w14:paraId="0A9FBB1F"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w:t>
            </w:r>
          </w:p>
        </w:tc>
        <w:tc>
          <w:tcPr>
            <w:tcW w:w="580" w:type="pct"/>
            <w:tcBorders>
              <w:top w:val="nil"/>
              <w:left w:val="nil"/>
              <w:bottom w:val="single" w:sz="4" w:space="0" w:color="F79646"/>
              <w:right w:val="nil"/>
            </w:tcBorders>
            <w:shd w:val="clear" w:color="auto" w:fill="auto"/>
            <w:vAlign w:val="center"/>
            <w:hideMark/>
          </w:tcPr>
          <w:p w14:paraId="2CDA5959" w14:textId="77777777" w:rsidR="00E87337" w:rsidRPr="00E87337" w:rsidRDefault="00E87337" w:rsidP="00E87337">
            <w:pPr>
              <w:jc w:val="right"/>
              <w:rPr>
                <w:rFonts w:ascii="CAIXA Std Book" w:eastAsia="Times New Roman" w:hAnsi="CAIXA Std Book" w:cs="Arial"/>
                <w:color w:val="005CA9"/>
                <w:sz w:val="16"/>
                <w:szCs w:val="16"/>
              </w:rPr>
            </w:pPr>
            <w:r w:rsidRPr="00E87337">
              <w:rPr>
                <w:rFonts w:ascii="CAIXA Std Book" w:eastAsia="Times New Roman" w:hAnsi="CAIXA Std Book" w:cs="Arial"/>
                <w:color w:val="005CA9"/>
                <w:sz w:val="16"/>
                <w:szCs w:val="16"/>
              </w:rPr>
              <w:t>-</w:t>
            </w:r>
          </w:p>
        </w:tc>
      </w:tr>
    </w:tbl>
    <w:p w14:paraId="4FCC5939" w14:textId="77777777" w:rsidR="0009270D" w:rsidRDefault="0009270D" w:rsidP="00964E02">
      <w:pPr>
        <w:pStyle w:val="PargrafodaLista"/>
        <w:ind w:left="0"/>
        <w:jc w:val="both"/>
        <w:rPr>
          <w:rFonts w:ascii="CAIXA Std Book" w:hAnsi="CAIXA Std Book"/>
          <w:b/>
          <w:color w:val="005CA9"/>
          <w:sz w:val="16"/>
          <w:szCs w:val="16"/>
        </w:rPr>
      </w:pPr>
    </w:p>
    <w:p w14:paraId="3D4BCDB4" w14:textId="77777777" w:rsidR="0009270D" w:rsidRPr="00616EE1" w:rsidRDefault="0009270D" w:rsidP="0009270D">
      <w:pPr>
        <w:spacing w:before="120" w:after="120"/>
        <w:rPr>
          <w:color w:val="005CA9"/>
          <w:sz w:val="22"/>
          <w:szCs w:val="22"/>
        </w:rPr>
      </w:pPr>
      <w:r w:rsidRPr="00FF4346">
        <w:rPr>
          <w:rFonts w:ascii="CAIXA Std Book" w:hAnsi="CAIXA Std Book"/>
          <w:b/>
          <w:color w:val="005CA9"/>
          <w:sz w:val="20"/>
          <w:szCs w:val="20"/>
        </w:rPr>
        <w:t>(d)</w:t>
      </w:r>
      <w:r w:rsidRPr="00FF4346">
        <w:rPr>
          <w:rFonts w:ascii="CAIXA Std Book" w:hAnsi="CAIXA Std Book"/>
          <w:b/>
          <w:color w:val="005CA9"/>
          <w:sz w:val="20"/>
          <w:szCs w:val="20"/>
        </w:rPr>
        <w:tab/>
        <w:t>Resultado na carteira de instrumentos financeiros derivativos</w:t>
      </w:r>
    </w:p>
    <w:tbl>
      <w:tblPr>
        <w:tblW w:w="5000" w:type="pct"/>
        <w:tblCellMar>
          <w:left w:w="70" w:type="dxa"/>
          <w:right w:w="70" w:type="dxa"/>
        </w:tblCellMar>
        <w:tblLook w:val="04A0" w:firstRow="1" w:lastRow="0" w:firstColumn="1" w:lastColumn="0" w:noHBand="0" w:noVBand="1"/>
      </w:tblPr>
      <w:tblGrid>
        <w:gridCol w:w="3760"/>
        <w:gridCol w:w="1469"/>
        <w:gridCol w:w="1469"/>
        <w:gridCol w:w="1469"/>
        <w:gridCol w:w="1471"/>
      </w:tblGrid>
      <w:tr w:rsidR="0009270D" w:rsidRPr="00357CBA" w14:paraId="15AD7AD2" w14:textId="77777777" w:rsidTr="003D3DC2">
        <w:trPr>
          <w:trHeight w:val="283"/>
        </w:trPr>
        <w:tc>
          <w:tcPr>
            <w:tcW w:w="1951" w:type="pct"/>
            <w:vMerge w:val="restart"/>
            <w:tcBorders>
              <w:top w:val="single" w:sz="4" w:space="0" w:color="F79646"/>
              <w:left w:val="nil"/>
              <w:bottom w:val="single" w:sz="4" w:space="0" w:color="F79646"/>
              <w:right w:val="nil"/>
            </w:tcBorders>
            <w:shd w:val="clear" w:color="auto" w:fill="auto"/>
            <w:vAlign w:val="center"/>
            <w:hideMark/>
          </w:tcPr>
          <w:p w14:paraId="201F384D"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Descrição</w:t>
            </w:r>
          </w:p>
        </w:tc>
        <w:tc>
          <w:tcPr>
            <w:tcW w:w="1524" w:type="pct"/>
            <w:gridSpan w:val="2"/>
            <w:tcBorders>
              <w:top w:val="single" w:sz="4" w:space="0" w:color="F79646"/>
              <w:left w:val="nil"/>
              <w:bottom w:val="single" w:sz="4" w:space="0" w:color="F79646"/>
              <w:right w:val="nil"/>
            </w:tcBorders>
            <w:shd w:val="clear" w:color="auto" w:fill="auto"/>
            <w:vAlign w:val="center"/>
            <w:hideMark/>
          </w:tcPr>
          <w:p w14:paraId="68BFA781"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INDIVIDUAL</w:t>
            </w:r>
          </w:p>
        </w:tc>
        <w:tc>
          <w:tcPr>
            <w:tcW w:w="1525" w:type="pct"/>
            <w:gridSpan w:val="2"/>
            <w:tcBorders>
              <w:top w:val="single" w:sz="4" w:space="0" w:color="F79646"/>
              <w:left w:val="nil"/>
              <w:bottom w:val="single" w:sz="4" w:space="0" w:color="F79646"/>
              <w:right w:val="nil"/>
            </w:tcBorders>
            <w:shd w:val="clear" w:color="auto" w:fill="auto"/>
            <w:vAlign w:val="center"/>
            <w:hideMark/>
          </w:tcPr>
          <w:p w14:paraId="1B89EF49"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CONSOLIDADO</w:t>
            </w:r>
          </w:p>
        </w:tc>
      </w:tr>
      <w:tr w:rsidR="0009270D" w:rsidRPr="00357CBA" w14:paraId="4615DEC4" w14:textId="77777777" w:rsidTr="003D3DC2">
        <w:trPr>
          <w:trHeight w:val="283"/>
        </w:trPr>
        <w:tc>
          <w:tcPr>
            <w:tcW w:w="1951" w:type="pct"/>
            <w:vMerge/>
            <w:tcBorders>
              <w:top w:val="single" w:sz="8" w:space="0" w:color="F79646"/>
              <w:left w:val="nil"/>
              <w:bottom w:val="single" w:sz="4" w:space="0" w:color="F79646"/>
              <w:right w:val="nil"/>
            </w:tcBorders>
            <w:vAlign w:val="center"/>
            <w:hideMark/>
          </w:tcPr>
          <w:p w14:paraId="3B4D7FB7" w14:textId="77777777" w:rsidR="0009270D" w:rsidRPr="00357CBA" w:rsidRDefault="0009270D">
            <w:pPr>
              <w:rPr>
                <w:rFonts w:ascii="CAIXA Std Book" w:eastAsia="Times New Roman" w:hAnsi="CAIXA Std Book" w:cs="Arial"/>
                <w:b/>
                <w:bCs/>
                <w:color w:val="005CA9"/>
                <w:sz w:val="18"/>
                <w:szCs w:val="18"/>
              </w:rPr>
            </w:pPr>
          </w:p>
        </w:tc>
        <w:tc>
          <w:tcPr>
            <w:tcW w:w="762" w:type="pct"/>
            <w:tcBorders>
              <w:top w:val="single" w:sz="4" w:space="0" w:color="F79646"/>
              <w:left w:val="nil"/>
              <w:bottom w:val="single" w:sz="4" w:space="0" w:color="F79646"/>
              <w:right w:val="nil"/>
            </w:tcBorders>
            <w:shd w:val="clear" w:color="auto" w:fill="auto"/>
            <w:vAlign w:val="center"/>
            <w:hideMark/>
          </w:tcPr>
          <w:p w14:paraId="27295684"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2024</w:t>
            </w:r>
          </w:p>
        </w:tc>
        <w:tc>
          <w:tcPr>
            <w:tcW w:w="762" w:type="pct"/>
            <w:tcBorders>
              <w:top w:val="single" w:sz="4" w:space="0" w:color="F79646"/>
              <w:left w:val="nil"/>
              <w:bottom w:val="single" w:sz="4" w:space="0" w:color="F79646"/>
              <w:right w:val="nil"/>
            </w:tcBorders>
            <w:shd w:val="clear" w:color="auto" w:fill="auto"/>
            <w:vAlign w:val="center"/>
            <w:hideMark/>
          </w:tcPr>
          <w:p w14:paraId="77E8C0EB"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2023</w:t>
            </w:r>
          </w:p>
        </w:tc>
        <w:tc>
          <w:tcPr>
            <w:tcW w:w="762" w:type="pct"/>
            <w:tcBorders>
              <w:top w:val="single" w:sz="4" w:space="0" w:color="F79646"/>
              <w:left w:val="nil"/>
              <w:bottom w:val="single" w:sz="4" w:space="0" w:color="F79646"/>
              <w:right w:val="nil"/>
            </w:tcBorders>
            <w:shd w:val="clear" w:color="auto" w:fill="auto"/>
            <w:vAlign w:val="center"/>
            <w:hideMark/>
          </w:tcPr>
          <w:p w14:paraId="373DF5B3" w14:textId="3DEC62D0"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202</w:t>
            </w:r>
            <w:r w:rsidR="001D4BD5">
              <w:rPr>
                <w:rFonts w:ascii="CAIXA Std Book" w:eastAsia="Times New Roman" w:hAnsi="CAIXA Std Book" w:cs="Arial"/>
                <w:b/>
                <w:bCs/>
                <w:color w:val="005CA9"/>
                <w:sz w:val="18"/>
                <w:szCs w:val="18"/>
              </w:rPr>
              <w:t>4</w:t>
            </w:r>
          </w:p>
        </w:tc>
        <w:tc>
          <w:tcPr>
            <w:tcW w:w="763" w:type="pct"/>
            <w:tcBorders>
              <w:top w:val="single" w:sz="4" w:space="0" w:color="F79646"/>
              <w:left w:val="nil"/>
              <w:bottom w:val="single" w:sz="4" w:space="0" w:color="F79646"/>
              <w:right w:val="nil"/>
            </w:tcBorders>
            <w:shd w:val="clear" w:color="auto" w:fill="auto"/>
            <w:vAlign w:val="center"/>
            <w:hideMark/>
          </w:tcPr>
          <w:p w14:paraId="5F07B775" w14:textId="4301CD25"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202</w:t>
            </w:r>
            <w:r w:rsidR="001D4BD5">
              <w:rPr>
                <w:rFonts w:ascii="CAIXA Std Book" w:eastAsia="Times New Roman" w:hAnsi="CAIXA Std Book" w:cs="Arial"/>
                <w:b/>
                <w:bCs/>
                <w:color w:val="005CA9"/>
                <w:sz w:val="18"/>
                <w:szCs w:val="18"/>
              </w:rPr>
              <w:t>3</w:t>
            </w:r>
          </w:p>
        </w:tc>
      </w:tr>
      <w:tr w:rsidR="0009270D" w:rsidRPr="00357CBA" w14:paraId="090F68C7" w14:textId="77777777" w:rsidTr="003D3DC2">
        <w:trPr>
          <w:trHeight w:val="283"/>
        </w:trPr>
        <w:tc>
          <w:tcPr>
            <w:tcW w:w="1951" w:type="pct"/>
            <w:vMerge/>
            <w:tcBorders>
              <w:top w:val="single" w:sz="8" w:space="0" w:color="F79646"/>
              <w:left w:val="nil"/>
              <w:bottom w:val="single" w:sz="4" w:space="0" w:color="F79646"/>
              <w:right w:val="nil"/>
            </w:tcBorders>
            <w:vAlign w:val="center"/>
            <w:hideMark/>
          </w:tcPr>
          <w:p w14:paraId="500FE82F" w14:textId="77777777" w:rsidR="0009270D" w:rsidRPr="00357CBA" w:rsidRDefault="0009270D">
            <w:pPr>
              <w:rPr>
                <w:rFonts w:ascii="CAIXA Std Book" w:eastAsia="Times New Roman" w:hAnsi="CAIXA Std Book" w:cs="Arial"/>
                <w:b/>
                <w:bCs/>
                <w:color w:val="005CA9"/>
                <w:sz w:val="18"/>
                <w:szCs w:val="18"/>
              </w:rPr>
            </w:pPr>
          </w:p>
        </w:tc>
        <w:tc>
          <w:tcPr>
            <w:tcW w:w="762" w:type="pct"/>
            <w:tcBorders>
              <w:top w:val="single" w:sz="4" w:space="0" w:color="F79646"/>
              <w:left w:val="nil"/>
              <w:bottom w:val="single" w:sz="4" w:space="0" w:color="F79646"/>
              <w:right w:val="nil"/>
            </w:tcBorders>
            <w:shd w:val="clear" w:color="auto" w:fill="auto"/>
            <w:vAlign w:val="center"/>
            <w:hideMark/>
          </w:tcPr>
          <w:p w14:paraId="0D4B2AE5"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1º trimestre</w:t>
            </w:r>
          </w:p>
        </w:tc>
        <w:tc>
          <w:tcPr>
            <w:tcW w:w="762" w:type="pct"/>
            <w:tcBorders>
              <w:top w:val="single" w:sz="4" w:space="0" w:color="F79646"/>
              <w:left w:val="nil"/>
              <w:bottom w:val="single" w:sz="4" w:space="0" w:color="F79646"/>
              <w:right w:val="nil"/>
            </w:tcBorders>
            <w:shd w:val="clear" w:color="auto" w:fill="auto"/>
            <w:vAlign w:val="center"/>
            <w:hideMark/>
          </w:tcPr>
          <w:p w14:paraId="17B9422D"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1º trimestre</w:t>
            </w:r>
          </w:p>
        </w:tc>
        <w:tc>
          <w:tcPr>
            <w:tcW w:w="762" w:type="pct"/>
            <w:tcBorders>
              <w:top w:val="single" w:sz="4" w:space="0" w:color="F79646"/>
              <w:left w:val="nil"/>
              <w:bottom w:val="single" w:sz="4" w:space="0" w:color="F79646"/>
              <w:right w:val="nil"/>
            </w:tcBorders>
            <w:shd w:val="clear" w:color="auto" w:fill="auto"/>
            <w:vAlign w:val="center"/>
            <w:hideMark/>
          </w:tcPr>
          <w:p w14:paraId="392C678E"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1º trimestre</w:t>
            </w:r>
          </w:p>
        </w:tc>
        <w:tc>
          <w:tcPr>
            <w:tcW w:w="763" w:type="pct"/>
            <w:tcBorders>
              <w:top w:val="single" w:sz="4" w:space="0" w:color="F79646"/>
              <w:left w:val="nil"/>
              <w:bottom w:val="single" w:sz="4" w:space="0" w:color="F79646"/>
              <w:right w:val="nil"/>
            </w:tcBorders>
            <w:shd w:val="clear" w:color="auto" w:fill="auto"/>
            <w:vAlign w:val="center"/>
            <w:hideMark/>
          </w:tcPr>
          <w:p w14:paraId="778D76B1" w14:textId="77777777" w:rsidR="0009270D" w:rsidRPr="00357CBA" w:rsidRDefault="0009270D">
            <w:pPr>
              <w:jc w:val="cente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1º trimestre</w:t>
            </w:r>
          </w:p>
        </w:tc>
      </w:tr>
      <w:tr w:rsidR="0000704B" w:rsidRPr="00357CBA" w14:paraId="7AA071A5" w14:textId="77777777" w:rsidTr="003D3DC2">
        <w:trPr>
          <w:trHeight w:val="283"/>
        </w:trPr>
        <w:tc>
          <w:tcPr>
            <w:tcW w:w="1951" w:type="pct"/>
            <w:tcBorders>
              <w:top w:val="single" w:sz="4" w:space="0" w:color="F79646"/>
              <w:left w:val="nil"/>
              <w:bottom w:val="nil"/>
              <w:right w:val="nil"/>
            </w:tcBorders>
            <w:shd w:val="clear" w:color="auto" w:fill="auto"/>
            <w:noWrap/>
            <w:vAlign w:val="center"/>
            <w:hideMark/>
          </w:tcPr>
          <w:p w14:paraId="2F33532A" w14:textId="77777777" w:rsidR="0000704B" w:rsidRPr="00357CBA" w:rsidRDefault="0000704B" w:rsidP="0000704B">
            <w:pPr>
              <w:rPr>
                <w:rFonts w:ascii="CAIXA Std Book" w:eastAsia="Times New Roman" w:hAnsi="CAIXA Std Book" w:cs="Arial"/>
                <w:i/>
                <w:iCs/>
                <w:color w:val="005CA9"/>
                <w:sz w:val="18"/>
                <w:szCs w:val="18"/>
              </w:rPr>
            </w:pPr>
            <w:r w:rsidRPr="00357CBA">
              <w:rPr>
                <w:rFonts w:ascii="CAIXA Std Book" w:eastAsia="Times New Roman" w:hAnsi="CAIXA Std Book" w:cs="Arial"/>
                <w:i/>
                <w:iCs/>
                <w:color w:val="005CA9"/>
                <w:sz w:val="18"/>
                <w:szCs w:val="18"/>
              </w:rPr>
              <w:t xml:space="preserve">Swap </w:t>
            </w:r>
          </w:p>
        </w:tc>
        <w:tc>
          <w:tcPr>
            <w:tcW w:w="762" w:type="pct"/>
            <w:tcBorders>
              <w:top w:val="single" w:sz="4" w:space="0" w:color="F79646"/>
              <w:left w:val="nil"/>
              <w:bottom w:val="nil"/>
              <w:right w:val="nil"/>
            </w:tcBorders>
            <w:shd w:val="clear" w:color="auto" w:fill="auto"/>
            <w:vAlign w:val="center"/>
            <w:hideMark/>
          </w:tcPr>
          <w:p w14:paraId="5F0A46ED" w14:textId="77777777" w:rsidR="0000704B" w:rsidRPr="00357CBA" w:rsidRDefault="0000704B" w:rsidP="0000704B">
            <w:pPr>
              <w:jc w:val="right"/>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3.099</w:t>
            </w:r>
          </w:p>
        </w:tc>
        <w:tc>
          <w:tcPr>
            <w:tcW w:w="762" w:type="pct"/>
            <w:tcBorders>
              <w:top w:val="single" w:sz="4" w:space="0" w:color="F79646"/>
              <w:left w:val="nil"/>
              <w:bottom w:val="nil"/>
              <w:right w:val="nil"/>
            </w:tcBorders>
            <w:shd w:val="clear" w:color="auto" w:fill="auto"/>
            <w:vAlign w:val="center"/>
            <w:hideMark/>
          </w:tcPr>
          <w:p w14:paraId="284FD5AE" w14:textId="77777777" w:rsidR="0000704B" w:rsidRPr="00357CBA" w:rsidRDefault="0000704B" w:rsidP="0000704B">
            <w:pPr>
              <w:jc w:val="right"/>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40.771</w:t>
            </w:r>
          </w:p>
        </w:tc>
        <w:tc>
          <w:tcPr>
            <w:tcW w:w="762" w:type="pct"/>
            <w:tcBorders>
              <w:top w:val="single" w:sz="4" w:space="0" w:color="F79646"/>
              <w:left w:val="nil"/>
              <w:bottom w:val="nil"/>
              <w:right w:val="nil"/>
            </w:tcBorders>
            <w:shd w:val="clear" w:color="auto" w:fill="auto"/>
            <w:vAlign w:val="center"/>
            <w:hideMark/>
          </w:tcPr>
          <w:p w14:paraId="19C5370D" w14:textId="1B5B8455" w:rsidR="0000704B" w:rsidRPr="00357CBA" w:rsidRDefault="0000704B" w:rsidP="0000704B">
            <w:pPr>
              <w:jc w:val="right"/>
              <w:rPr>
                <w:rFonts w:ascii="CAIXA Std Book" w:eastAsia="Times New Roman" w:hAnsi="CAIXA Std Book" w:cs="Arial"/>
                <w:color w:val="005CA9"/>
                <w:sz w:val="18"/>
                <w:szCs w:val="18"/>
              </w:rPr>
            </w:pPr>
            <w:r>
              <w:rPr>
                <w:rFonts w:ascii="CAIXA Std Book" w:hAnsi="CAIXA Std Book" w:cs="Arial"/>
                <w:color w:val="005CA9"/>
                <w:sz w:val="18"/>
                <w:szCs w:val="18"/>
              </w:rPr>
              <w:t>2.949</w:t>
            </w:r>
          </w:p>
        </w:tc>
        <w:tc>
          <w:tcPr>
            <w:tcW w:w="763" w:type="pct"/>
            <w:tcBorders>
              <w:top w:val="single" w:sz="4" w:space="0" w:color="F79646"/>
              <w:left w:val="nil"/>
              <w:bottom w:val="nil"/>
              <w:right w:val="nil"/>
            </w:tcBorders>
            <w:shd w:val="clear" w:color="auto" w:fill="auto"/>
            <w:vAlign w:val="center"/>
            <w:hideMark/>
          </w:tcPr>
          <w:p w14:paraId="3DDDA219" w14:textId="77777777" w:rsidR="0000704B" w:rsidRPr="00357CBA" w:rsidRDefault="0000704B" w:rsidP="0000704B">
            <w:pPr>
              <w:jc w:val="right"/>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40.771</w:t>
            </w:r>
          </w:p>
        </w:tc>
      </w:tr>
      <w:tr w:rsidR="0000704B" w:rsidRPr="00357CBA" w14:paraId="2506663E" w14:textId="77777777">
        <w:trPr>
          <w:trHeight w:val="283"/>
        </w:trPr>
        <w:tc>
          <w:tcPr>
            <w:tcW w:w="1951" w:type="pct"/>
            <w:tcBorders>
              <w:top w:val="nil"/>
              <w:left w:val="nil"/>
              <w:bottom w:val="nil"/>
              <w:right w:val="nil"/>
            </w:tcBorders>
            <w:shd w:val="clear" w:color="auto" w:fill="auto"/>
            <w:noWrap/>
            <w:vAlign w:val="center"/>
            <w:hideMark/>
          </w:tcPr>
          <w:p w14:paraId="7834BB9A" w14:textId="77777777" w:rsidR="0000704B" w:rsidRPr="00357CBA" w:rsidRDefault="0000704B" w:rsidP="0000704B">
            <w:pPr>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 xml:space="preserve">Futuro </w:t>
            </w:r>
          </w:p>
        </w:tc>
        <w:tc>
          <w:tcPr>
            <w:tcW w:w="762" w:type="pct"/>
            <w:tcBorders>
              <w:top w:val="nil"/>
              <w:left w:val="nil"/>
              <w:bottom w:val="nil"/>
              <w:right w:val="nil"/>
            </w:tcBorders>
            <w:shd w:val="clear" w:color="auto" w:fill="auto"/>
            <w:vAlign w:val="center"/>
            <w:hideMark/>
          </w:tcPr>
          <w:p w14:paraId="1A0DFC1B" w14:textId="77777777" w:rsidR="0000704B" w:rsidRPr="00357CBA" w:rsidRDefault="0000704B" w:rsidP="0000704B">
            <w:pPr>
              <w:jc w:val="right"/>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1.065.147</w:t>
            </w:r>
          </w:p>
        </w:tc>
        <w:tc>
          <w:tcPr>
            <w:tcW w:w="762" w:type="pct"/>
            <w:tcBorders>
              <w:top w:val="nil"/>
              <w:left w:val="nil"/>
              <w:bottom w:val="nil"/>
              <w:right w:val="nil"/>
            </w:tcBorders>
            <w:shd w:val="clear" w:color="auto" w:fill="auto"/>
            <w:vAlign w:val="center"/>
            <w:hideMark/>
          </w:tcPr>
          <w:p w14:paraId="258D66B6" w14:textId="77777777" w:rsidR="0000704B" w:rsidRPr="00357CBA" w:rsidRDefault="0000704B" w:rsidP="0000704B">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357CBA">
              <w:rPr>
                <w:rFonts w:ascii="CAIXA Std Book" w:eastAsia="Times New Roman" w:hAnsi="CAIXA Std Book" w:cs="Arial"/>
                <w:color w:val="005CA9"/>
                <w:sz w:val="18"/>
                <w:szCs w:val="18"/>
              </w:rPr>
              <w:t>736.766</w:t>
            </w:r>
            <w:r>
              <w:rPr>
                <w:rFonts w:ascii="CAIXA Std Book" w:eastAsia="Times New Roman" w:hAnsi="CAIXA Std Book" w:cs="Arial"/>
                <w:color w:val="005CA9"/>
                <w:sz w:val="18"/>
                <w:szCs w:val="18"/>
              </w:rPr>
              <w:t>)</w:t>
            </w:r>
          </w:p>
        </w:tc>
        <w:tc>
          <w:tcPr>
            <w:tcW w:w="762" w:type="pct"/>
            <w:tcBorders>
              <w:top w:val="nil"/>
              <w:left w:val="nil"/>
              <w:bottom w:val="nil"/>
              <w:right w:val="nil"/>
            </w:tcBorders>
            <w:shd w:val="clear" w:color="auto" w:fill="auto"/>
            <w:vAlign w:val="center"/>
            <w:hideMark/>
          </w:tcPr>
          <w:p w14:paraId="3CAA11DC" w14:textId="4870C5C0" w:rsidR="0000704B" w:rsidRPr="00357CBA" w:rsidRDefault="0000704B" w:rsidP="0000704B">
            <w:pPr>
              <w:jc w:val="right"/>
              <w:rPr>
                <w:rFonts w:ascii="CAIXA Std Book" w:eastAsia="Times New Roman" w:hAnsi="CAIXA Std Book" w:cs="Arial"/>
                <w:color w:val="005CA9"/>
                <w:sz w:val="18"/>
                <w:szCs w:val="18"/>
              </w:rPr>
            </w:pPr>
            <w:r>
              <w:rPr>
                <w:rFonts w:ascii="CAIXA Std Book" w:hAnsi="CAIXA Std Book" w:cs="Arial"/>
                <w:color w:val="005CA9"/>
                <w:sz w:val="18"/>
                <w:szCs w:val="18"/>
              </w:rPr>
              <w:t>1.065.065</w:t>
            </w:r>
          </w:p>
        </w:tc>
        <w:tc>
          <w:tcPr>
            <w:tcW w:w="763" w:type="pct"/>
            <w:tcBorders>
              <w:top w:val="nil"/>
              <w:left w:val="nil"/>
              <w:bottom w:val="nil"/>
              <w:right w:val="nil"/>
            </w:tcBorders>
            <w:shd w:val="clear" w:color="auto" w:fill="auto"/>
            <w:vAlign w:val="center"/>
            <w:hideMark/>
          </w:tcPr>
          <w:p w14:paraId="637BF22C" w14:textId="77777777" w:rsidR="0000704B" w:rsidRPr="00357CBA" w:rsidRDefault="0000704B" w:rsidP="0000704B">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357CBA">
              <w:rPr>
                <w:rFonts w:ascii="CAIXA Std Book" w:eastAsia="Times New Roman" w:hAnsi="CAIXA Std Book" w:cs="Arial"/>
                <w:color w:val="005CA9"/>
                <w:sz w:val="18"/>
                <w:szCs w:val="18"/>
              </w:rPr>
              <w:t>736.766</w:t>
            </w:r>
            <w:r>
              <w:rPr>
                <w:rFonts w:ascii="CAIXA Std Book" w:eastAsia="Times New Roman" w:hAnsi="CAIXA Std Book" w:cs="Arial"/>
                <w:color w:val="005CA9"/>
                <w:sz w:val="18"/>
                <w:szCs w:val="18"/>
              </w:rPr>
              <w:t>)</w:t>
            </w:r>
          </w:p>
        </w:tc>
      </w:tr>
      <w:tr w:rsidR="0000704B" w:rsidRPr="00357CBA" w14:paraId="4027D39A" w14:textId="77777777" w:rsidTr="003D3DC2">
        <w:trPr>
          <w:trHeight w:val="283"/>
        </w:trPr>
        <w:tc>
          <w:tcPr>
            <w:tcW w:w="1951" w:type="pct"/>
            <w:tcBorders>
              <w:top w:val="nil"/>
              <w:left w:val="nil"/>
              <w:bottom w:val="single" w:sz="4" w:space="0" w:color="F79646"/>
              <w:right w:val="nil"/>
            </w:tcBorders>
            <w:shd w:val="clear" w:color="auto" w:fill="auto"/>
            <w:noWrap/>
            <w:vAlign w:val="center"/>
            <w:hideMark/>
          </w:tcPr>
          <w:p w14:paraId="018D0D5A" w14:textId="77777777" w:rsidR="0000704B" w:rsidRPr="00357CBA" w:rsidRDefault="0000704B" w:rsidP="0000704B">
            <w:pPr>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 xml:space="preserve">FGTS </w:t>
            </w:r>
          </w:p>
        </w:tc>
        <w:tc>
          <w:tcPr>
            <w:tcW w:w="762" w:type="pct"/>
            <w:tcBorders>
              <w:top w:val="nil"/>
              <w:left w:val="nil"/>
              <w:bottom w:val="single" w:sz="4" w:space="0" w:color="F79646"/>
              <w:right w:val="nil"/>
            </w:tcBorders>
            <w:shd w:val="clear" w:color="auto" w:fill="auto"/>
            <w:vAlign w:val="center"/>
            <w:hideMark/>
          </w:tcPr>
          <w:p w14:paraId="1B45EB59" w14:textId="77777777" w:rsidR="0000704B" w:rsidRPr="00357CBA" w:rsidRDefault="0000704B" w:rsidP="0000704B">
            <w:pPr>
              <w:jc w:val="center"/>
              <w:rPr>
                <w:rFonts w:ascii="CAIXA Std Book" w:eastAsia="Times New Roman" w:hAnsi="CAIXA Std Book" w:cs="Arial"/>
                <w:color w:val="005CA9"/>
                <w:sz w:val="18"/>
                <w:szCs w:val="18"/>
              </w:rPr>
            </w:pPr>
            <w:r w:rsidRPr="00357CBA">
              <w:rPr>
                <w:rFonts w:ascii="CAIXA Std Book" w:eastAsia="Times New Roman" w:hAnsi="CAIXA Std Book" w:cs="Arial"/>
                <w:color w:val="005CA9"/>
                <w:sz w:val="18"/>
                <w:szCs w:val="18"/>
              </w:rPr>
              <w:t>-</w:t>
            </w:r>
          </w:p>
        </w:tc>
        <w:tc>
          <w:tcPr>
            <w:tcW w:w="762" w:type="pct"/>
            <w:tcBorders>
              <w:top w:val="nil"/>
              <w:left w:val="nil"/>
              <w:bottom w:val="single" w:sz="4" w:space="0" w:color="F79646"/>
              <w:right w:val="nil"/>
            </w:tcBorders>
            <w:shd w:val="clear" w:color="auto" w:fill="auto"/>
            <w:vAlign w:val="center"/>
            <w:hideMark/>
          </w:tcPr>
          <w:p w14:paraId="64626AE8" w14:textId="77777777" w:rsidR="0000704B" w:rsidRPr="00357CBA" w:rsidRDefault="0000704B" w:rsidP="0000704B">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357CBA">
              <w:rPr>
                <w:rFonts w:ascii="CAIXA Std Book" w:eastAsia="Times New Roman" w:hAnsi="CAIXA Std Book" w:cs="Arial"/>
                <w:color w:val="005CA9"/>
                <w:sz w:val="18"/>
                <w:szCs w:val="18"/>
              </w:rPr>
              <w:t>17.546</w:t>
            </w:r>
            <w:r>
              <w:rPr>
                <w:rFonts w:ascii="CAIXA Std Book" w:eastAsia="Times New Roman" w:hAnsi="CAIXA Std Book" w:cs="Arial"/>
                <w:color w:val="005CA9"/>
                <w:sz w:val="18"/>
                <w:szCs w:val="18"/>
              </w:rPr>
              <w:t>)</w:t>
            </w:r>
          </w:p>
        </w:tc>
        <w:tc>
          <w:tcPr>
            <w:tcW w:w="762" w:type="pct"/>
            <w:tcBorders>
              <w:top w:val="nil"/>
              <w:left w:val="nil"/>
              <w:bottom w:val="single" w:sz="4" w:space="0" w:color="F79646"/>
              <w:right w:val="nil"/>
            </w:tcBorders>
            <w:shd w:val="clear" w:color="auto" w:fill="auto"/>
            <w:vAlign w:val="center"/>
            <w:hideMark/>
          </w:tcPr>
          <w:p w14:paraId="2EAC26C1" w14:textId="69098ACA" w:rsidR="0000704B" w:rsidRPr="00357CBA" w:rsidRDefault="0000704B" w:rsidP="0000704B">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763" w:type="pct"/>
            <w:tcBorders>
              <w:top w:val="nil"/>
              <w:left w:val="nil"/>
              <w:bottom w:val="single" w:sz="4" w:space="0" w:color="F79646"/>
              <w:right w:val="nil"/>
            </w:tcBorders>
            <w:shd w:val="clear" w:color="auto" w:fill="auto"/>
            <w:vAlign w:val="center"/>
            <w:hideMark/>
          </w:tcPr>
          <w:p w14:paraId="1D577B74" w14:textId="77777777" w:rsidR="0000704B" w:rsidRPr="00357CBA" w:rsidRDefault="0000704B" w:rsidP="0000704B">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357CBA">
              <w:rPr>
                <w:rFonts w:ascii="CAIXA Std Book" w:eastAsia="Times New Roman" w:hAnsi="CAIXA Std Book" w:cs="Arial"/>
                <w:color w:val="005CA9"/>
                <w:sz w:val="18"/>
                <w:szCs w:val="18"/>
              </w:rPr>
              <w:t>17.546</w:t>
            </w:r>
            <w:r>
              <w:rPr>
                <w:rFonts w:ascii="CAIXA Std Book" w:eastAsia="Times New Roman" w:hAnsi="CAIXA Std Book" w:cs="Arial"/>
                <w:color w:val="005CA9"/>
                <w:sz w:val="18"/>
                <w:szCs w:val="18"/>
              </w:rPr>
              <w:t>)</w:t>
            </w:r>
          </w:p>
        </w:tc>
      </w:tr>
      <w:tr w:rsidR="0000704B" w:rsidRPr="00357CBA" w14:paraId="77E9A1BC" w14:textId="77777777" w:rsidTr="003D3DC2">
        <w:trPr>
          <w:trHeight w:val="283"/>
        </w:trPr>
        <w:tc>
          <w:tcPr>
            <w:tcW w:w="1951" w:type="pct"/>
            <w:tcBorders>
              <w:top w:val="single" w:sz="4" w:space="0" w:color="F79646"/>
              <w:left w:val="nil"/>
              <w:bottom w:val="single" w:sz="4" w:space="0" w:color="F79646"/>
              <w:right w:val="nil"/>
            </w:tcBorders>
            <w:shd w:val="clear" w:color="auto" w:fill="auto"/>
            <w:noWrap/>
            <w:vAlign w:val="center"/>
            <w:hideMark/>
          </w:tcPr>
          <w:p w14:paraId="52ED9934" w14:textId="77777777" w:rsidR="0000704B" w:rsidRPr="00357CBA" w:rsidRDefault="0000704B" w:rsidP="0000704B">
            <w:pPr>
              <w:rPr>
                <w:rFonts w:ascii="CAIXA Std Book" w:eastAsia="Times New Roman" w:hAnsi="CAIXA Std Book" w:cs="Arial"/>
                <w:b/>
                <w:bCs/>
                <w:color w:val="005CA9"/>
                <w:sz w:val="18"/>
                <w:szCs w:val="18"/>
              </w:rPr>
            </w:pPr>
            <w:r w:rsidRPr="00357CBA">
              <w:rPr>
                <w:rFonts w:ascii="CAIXA Std Book" w:eastAsia="Times New Roman" w:hAnsi="CAIXA Std Book" w:cs="Arial"/>
                <w:b/>
                <w:bCs/>
                <w:color w:val="005CA9"/>
                <w:sz w:val="18"/>
                <w:szCs w:val="18"/>
              </w:rPr>
              <w:t>Total</w:t>
            </w:r>
          </w:p>
        </w:tc>
        <w:tc>
          <w:tcPr>
            <w:tcW w:w="762" w:type="pct"/>
            <w:tcBorders>
              <w:top w:val="single" w:sz="4" w:space="0" w:color="F79646"/>
              <w:left w:val="nil"/>
              <w:bottom w:val="single" w:sz="4" w:space="0" w:color="F79646"/>
              <w:right w:val="nil"/>
            </w:tcBorders>
            <w:shd w:val="clear" w:color="auto" w:fill="auto"/>
            <w:vAlign w:val="center"/>
            <w:hideMark/>
          </w:tcPr>
          <w:p w14:paraId="001B4D11" w14:textId="77777777" w:rsidR="0000704B" w:rsidRPr="00357CBA" w:rsidRDefault="0000704B" w:rsidP="0000704B">
            <w:pPr>
              <w:jc w:val="right"/>
              <w:rPr>
                <w:rFonts w:ascii="CAIXA Std Book" w:eastAsia="Times New Roman" w:hAnsi="CAIXA Std Book" w:cs="Arial"/>
                <w:b/>
                <w:bCs/>
                <w:color w:val="005CA9"/>
                <w:sz w:val="18"/>
                <w:szCs w:val="18"/>
              </w:rPr>
            </w:pPr>
            <w:r w:rsidRPr="00357CBA">
              <w:rPr>
                <w:rFonts w:ascii="CAIXA Std Book" w:eastAsia="Times New Roman" w:hAnsi="CAIXA Std Book" w:cs="Arial"/>
                <w:b/>
                <w:color w:val="005CA9"/>
                <w:sz w:val="18"/>
                <w:szCs w:val="18"/>
              </w:rPr>
              <w:t>1.068.246</w:t>
            </w:r>
          </w:p>
        </w:tc>
        <w:tc>
          <w:tcPr>
            <w:tcW w:w="762" w:type="pct"/>
            <w:tcBorders>
              <w:top w:val="single" w:sz="4" w:space="0" w:color="F79646"/>
              <w:left w:val="nil"/>
              <w:bottom w:val="single" w:sz="4" w:space="0" w:color="F79646"/>
              <w:right w:val="nil"/>
            </w:tcBorders>
            <w:shd w:val="clear" w:color="auto" w:fill="auto"/>
            <w:vAlign w:val="center"/>
            <w:hideMark/>
          </w:tcPr>
          <w:p w14:paraId="32682B3E" w14:textId="77777777" w:rsidR="0000704B" w:rsidRPr="00357CBA" w:rsidRDefault="0000704B" w:rsidP="0000704B">
            <w:pPr>
              <w:jc w:val="right"/>
              <w:rPr>
                <w:rFonts w:ascii="CAIXA Std Book" w:eastAsia="Times New Roman" w:hAnsi="CAIXA Std Book" w:cs="Arial"/>
                <w:b/>
                <w:bCs/>
                <w:color w:val="005CA9"/>
                <w:sz w:val="18"/>
                <w:szCs w:val="18"/>
              </w:rPr>
            </w:pPr>
            <w:r>
              <w:rPr>
                <w:rFonts w:ascii="CAIXA Std Book" w:eastAsia="Times New Roman" w:hAnsi="CAIXA Std Book" w:cs="Arial"/>
                <w:b/>
                <w:color w:val="005CA9"/>
                <w:sz w:val="18"/>
                <w:szCs w:val="18"/>
              </w:rPr>
              <w:t>(</w:t>
            </w:r>
            <w:r w:rsidRPr="00357CBA">
              <w:rPr>
                <w:rFonts w:ascii="CAIXA Std Book" w:eastAsia="Times New Roman" w:hAnsi="CAIXA Std Book" w:cs="Arial"/>
                <w:b/>
                <w:color w:val="005CA9"/>
                <w:sz w:val="18"/>
                <w:szCs w:val="18"/>
              </w:rPr>
              <w:t>713.541</w:t>
            </w:r>
            <w:r>
              <w:rPr>
                <w:rFonts w:ascii="CAIXA Std Book" w:eastAsia="Times New Roman" w:hAnsi="CAIXA Std Book" w:cs="Arial"/>
                <w:b/>
                <w:color w:val="005CA9"/>
                <w:sz w:val="18"/>
                <w:szCs w:val="18"/>
              </w:rPr>
              <w:t>)</w:t>
            </w:r>
          </w:p>
        </w:tc>
        <w:tc>
          <w:tcPr>
            <w:tcW w:w="762" w:type="pct"/>
            <w:tcBorders>
              <w:top w:val="single" w:sz="4" w:space="0" w:color="F79646"/>
              <w:left w:val="nil"/>
              <w:bottom w:val="single" w:sz="4" w:space="0" w:color="F79646"/>
              <w:right w:val="nil"/>
            </w:tcBorders>
            <w:shd w:val="clear" w:color="auto" w:fill="auto"/>
            <w:vAlign w:val="center"/>
            <w:hideMark/>
          </w:tcPr>
          <w:p w14:paraId="614FA77D" w14:textId="1F05D8C3" w:rsidR="0000704B" w:rsidRPr="00357CBA" w:rsidRDefault="0000704B" w:rsidP="0000704B">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1.068.014</w:t>
            </w:r>
          </w:p>
        </w:tc>
        <w:tc>
          <w:tcPr>
            <w:tcW w:w="763" w:type="pct"/>
            <w:tcBorders>
              <w:top w:val="single" w:sz="4" w:space="0" w:color="F79646"/>
              <w:left w:val="nil"/>
              <w:bottom w:val="single" w:sz="4" w:space="0" w:color="F79646"/>
              <w:right w:val="nil"/>
            </w:tcBorders>
            <w:shd w:val="clear" w:color="auto" w:fill="auto"/>
            <w:vAlign w:val="center"/>
            <w:hideMark/>
          </w:tcPr>
          <w:p w14:paraId="47D956F4" w14:textId="77777777" w:rsidR="0000704B" w:rsidRPr="00357CBA" w:rsidRDefault="0000704B" w:rsidP="0000704B">
            <w:pPr>
              <w:jc w:val="right"/>
              <w:rPr>
                <w:rFonts w:ascii="CAIXA Std Book" w:eastAsia="Times New Roman" w:hAnsi="CAIXA Std Book" w:cs="Arial"/>
                <w:b/>
                <w:bCs/>
                <w:color w:val="005CA9"/>
                <w:sz w:val="18"/>
                <w:szCs w:val="18"/>
              </w:rPr>
            </w:pPr>
            <w:r>
              <w:rPr>
                <w:rFonts w:ascii="CAIXA Std Book" w:eastAsia="Times New Roman" w:hAnsi="CAIXA Std Book" w:cs="Arial"/>
                <w:b/>
                <w:color w:val="005CA9"/>
                <w:sz w:val="18"/>
                <w:szCs w:val="18"/>
              </w:rPr>
              <w:t>(</w:t>
            </w:r>
            <w:r w:rsidRPr="00357CBA">
              <w:rPr>
                <w:rFonts w:ascii="CAIXA Std Book" w:eastAsia="Times New Roman" w:hAnsi="CAIXA Std Book" w:cs="Arial"/>
                <w:b/>
                <w:color w:val="005CA9"/>
                <w:sz w:val="18"/>
                <w:szCs w:val="18"/>
              </w:rPr>
              <w:t>713.541</w:t>
            </w:r>
            <w:r>
              <w:rPr>
                <w:rFonts w:ascii="CAIXA Std Book" w:eastAsia="Times New Roman" w:hAnsi="CAIXA Std Book" w:cs="Arial"/>
                <w:b/>
                <w:color w:val="005CA9"/>
                <w:sz w:val="18"/>
                <w:szCs w:val="18"/>
              </w:rPr>
              <w:t>)</w:t>
            </w:r>
          </w:p>
        </w:tc>
      </w:tr>
    </w:tbl>
    <w:p w14:paraId="6D3DE132" w14:textId="77777777" w:rsidR="0009270D" w:rsidRDefault="0009270D" w:rsidP="00964E02">
      <w:pPr>
        <w:pStyle w:val="PargrafodaLista"/>
        <w:ind w:left="0"/>
        <w:jc w:val="both"/>
        <w:rPr>
          <w:rFonts w:ascii="CAIXA Std Book" w:hAnsi="CAIXA Std Book"/>
          <w:b/>
          <w:color w:val="005CA9"/>
          <w:sz w:val="16"/>
          <w:szCs w:val="16"/>
        </w:rPr>
      </w:pPr>
    </w:p>
    <w:p w14:paraId="139A3E8A" w14:textId="09198D14" w:rsidR="00A03806" w:rsidRPr="00FF4346" w:rsidRDefault="00A03806" w:rsidP="0022037F">
      <w:pPr>
        <w:spacing w:before="120" w:after="120"/>
        <w:rPr>
          <w:rFonts w:ascii="CAIXA Std Book" w:hAnsi="CAIXA Std Book"/>
          <w:b/>
          <w:color w:val="005CA9"/>
          <w:sz w:val="20"/>
          <w:szCs w:val="20"/>
        </w:rPr>
        <w:sectPr w:rsidR="00A03806" w:rsidRPr="00FF4346" w:rsidSect="0088151D">
          <w:headerReference w:type="default" r:id="rId36"/>
          <w:headerReference w:type="first" r:id="rId37"/>
          <w:footerReference w:type="first" r:id="rId38"/>
          <w:pgSz w:w="11907" w:h="16840" w:code="9"/>
          <w:pgMar w:top="851" w:right="851" w:bottom="1418" w:left="1418" w:header="1134" w:footer="709" w:gutter="0"/>
          <w:cols w:space="708"/>
          <w:titlePg/>
          <w:docGrid w:linePitch="360"/>
        </w:sectPr>
      </w:pPr>
    </w:p>
    <w:p w14:paraId="7CE4F865" w14:textId="2E3255A7" w:rsidR="005F303D" w:rsidRPr="00FF4346" w:rsidRDefault="005F303D" w:rsidP="005A596E">
      <w:pPr>
        <w:pStyle w:val="Ttulo1"/>
      </w:pPr>
      <w:bookmarkStart w:id="61" w:name="_Toc166594484"/>
      <w:r w:rsidRPr="00FF4346">
        <w:lastRenderedPageBreak/>
        <w:t xml:space="preserve">Nota   </w:t>
      </w:r>
      <w:r w:rsidR="004917F8" w:rsidRPr="00FF4346">
        <w:t>9</w:t>
      </w:r>
      <w:r w:rsidRPr="00FF4346">
        <w:t xml:space="preserve"> – Carteira de crédito</w:t>
      </w:r>
      <w:bookmarkEnd w:id="61"/>
    </w:p>
    <w:p w14:paraId="12F77F10" w14:textId="4D1900DD" w:rsidR="009D0D37" w:rsidRPr="00FF4346" w:rsidRDefault="009D0D37"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t>Composição da carteira de crédito por modalidades e níveis de risco</w:t>
      </w:r>
    </w:p>
    <w:p w14:paraId="5342F92C" w14:textId="399FCC43" w:rsidR="00CD3A67" w:rsidRPr="00FF4346" w:rsidRDefault="00CD3A67" w:rsidP="00523B7A">
      <w:pPr>
        <w:spacing w:after="120"/>
        <w:ind w:right="-30"/>
        <w:jc w:val="both"/>
        <w:rPr>
          <w:rFonts w:ascii="CAIXA Std Book" w:hAnsi="CAIXA Std Book"/>
          <w:color w:val="005CA9"/>
          <w:sz w:val="20"/>
          <w:szCs w:val="20"/>
        </w:rPr>
      </w:pPr>
      <w:r w:rsidRPr="00FF4346">
        <w:rPr>
          <w:rFonts w:ascii="CAIXA Std Book" w:hAnsi="CAIXA Std Book"/>
          <w:color w:val="005CA9"/>
          <w:sz w:val="20"/>
          <w:szCs w:val="20"/>
        </w:rPr>
        <w:t xml:space="preserve">A Carteira de crédito apresentou variação entre o Individual e o Consolidado de </w:t>
      </w:r>
      <w:r w:rsidRPr="00861C72">
        <w:rPr>
          <w:rFonts w:ascii="CAIXA Std Book" w:hAnsi="CAIXA Std Book"/>
          <w:color w:val="005CA9"/>
          <w:sz w:val="20"/>
          <w:szCs w:val="20"/>
        </w:rPr>
        <w:t>R$</w:t>
      </w:r>
      <w:r w:rsidR="00861C72">
        <w:rPr>
          <w:rFonts w:ascii="CAIXA Std Book" w:hAnsi="CAIXA Std Book"/>
          <w:color w:val="005CA9"/>
          <w:sz w:val="20"/>
          <w:szCs w:val="20"/>
        </w:rPr>
        <w:t xml:space="preserve"> 1.079.612</w:t>
      </w:r>
      <w:r w:rsidR="00545E38" w:rsidRPr="00FF4346">
        <w:rPr>
          <w:rFonts w:ascii="CAIXA Std Book" w:hAnsi="CAIXA Std Book"/>
          <w:color w:val="005CA9"/>
          <w:sz w:val="20"/>
          <w:szCs w:val="20"/>
        </w:rPr>
        <w:t xml:space="preserve"> </w:t>
      </w:r>
      <w:r w:rsidR="006F6A32" w:rsidRPr="00FF4346">
        <w:rPr>
          <w:rFonts w:ascii="CAIXA Std Book" w:hAnsi="CAIXA Std Book"/>
          <w:color w:val="005CA9"/>
          <w:sz w:val="20"/>
          <w:szCs w:val="20"/>
        </w:rPr>
        <w:t xml:space="preserve">em </w:t>
      </w:r>
      <w:r w:rsidR="00545E38" w:rsidRPr="00FF4346">
        <w:rPr>
          <w:rFonts w:ascii="CAIXA Std Book" w:hAnsi="CAIXA Std Book"/>
          <w:color w:val="005CA9"/>
          <w:sz w:val="20"/>
          <w:szCs w:val="20"/>
        </w:rPr>
        <w:t>3</w:t>
      </w:r>
      <w:r w:rsidR="00AF7090">
        <w:rPr>
          <w:rFonts w:ascii="CAIXA Std Book" w:hAnsi="CAIXA Std Book"/>
          <w:color w:val="005CA9"/>
          <w:sz w:val="20"/>
          <w:szCs w:val="20"/>
        </w:rPr>
        <w:t>1</w:t>
      </w:r>
      <w:r w:rsidR="0075232F">
        <w:rPr>
          <w:rFonts w:ascii="CAIXA Std Book" w:hAnsi="CAIXA Std Book"/>
          <w:color w:val="005CA9"/>
          <w:sz w:val="20"/>
          <w:szCs w:val="20"/>
        </w:rPr>
        <w:t>/03</w:t>
      </w:r>
      <w:r w:rsidR="00401752" w:rsidRPr="00FF4346">
        <w:rPr>
          <w:rFonts w:ascii="CAIXA Std Book" w:hAnsi="CAIXA Std Book"/>
          <w:color w:val="005CA9"/>
          <w:sz w:val="20"/>
          <w:szCs w:val="20"/>
        </w:rPr>
        <w:t>/202</w:t>
      </w:r>
      <w:r w:rsidR="00F8179E">
        <w:rPr>
          <w:rFonts w:ascii="CAIXA Std Book" w:hAnsi="CAIXA Std Book"/>
          <w:color w:val="005CA9"/>
          <w:sz w:val="20"/>
          <w:szCs w:val="20"/>
        </w:rPr>
        <w:t>4</w:t>
      </w:r>
      <w:r w:rsidRPr="00FF4346">
        <w:rPr>
          <w:rFonts w:ascii="CAIXA Std Book" w:hAnsi="CAIXA Std Book"/>
          <w:color w:val="005CA9"/>
          <w:sz w:val="20"/>
          <w:szCs w:val="20"/>
        </w:rPr>
        <w:t xml:space="preserve"> </w:t>
      </w:r>
      <w:r w:rsidR="00A71D0B" w:rsidRPr="00FF4346">
        <w:rPr>
          <w:rFonts w:ascii="CAIXA Std Book" w:hAnsi="CAIXA Std Book"/>
          <w:color w:val="005CA9"/>
          <w:sz w:val="20"/>
          <w:szCs w:val="20"/>
        </w:rPr>
        <w:t>(</w:t>
      </w:r>
      <w:r w:rsidR="00891ADE" w:rsidRPr="00FF4346">
        <w:rPr>
          <w:rFonts w:ascii="CAIXA Std Book" w:hAnsi="CAIXA Std Book"/>
          <w:color w:val="005CA9"/>
          <w:sz w:val="20"/>
          <w:szCs w:val="20"/>
        </w:rPr>
        <w:t>31/12/202</w:t>
      </w:r>
      <w:r w:rsidR="0040451F">
        <w:rPr>
          <w:rFonts w:ascii="CAIXA Std Book" w:hAnsi="CAIXA Std Book"/>
          <w:color w:val="005CA9"/>
          <w:sz w:val="20"/>
          <w:szCs w:val="20"/>
        </w:rPr>
        <w:t>3</w:t>
      </w:r>
      <w:r w:rsidR="00921A15" w:rsidRPr="00FF4346">
        <w:rPr>
          <w:rFonts w:ascii="CAIXA Std Book" w:hAnsi="CAIXA Std Book"/>
          <w:color w:val="005CA9"/>
          <w:sz w:val="20"/>
          <w:szCs w:val="20"/>
        </w:rPr>
        <w:t xml:space="preserve"> </w:t>
      </w:r>
      <w:r w:rsidR="00A71D0B" w:rsidRPr="00FF4346">
        <w:rPr>
          <w:rFonts w:ascii="CAIXA Std Book" w:hAnsi="CAIXA Std Book"/>
          <w:color w:val="005CA9"/>
          <w:sz w:val="20"/>
          <w:szCs w:val="20"/>
        </w:rPr>
        <w:t xml:space="preserve">– R$ </w:t>
      </w:r>
      <w:r w:rsidR="00967756" w:rsidRPr="00FF4346">
        <w:rPr>
          <w:rFonts w:ascii="CAIXA Std Book" w:hAnsi="CAIXA Std Book"/>
          <w:color w:val="005CA9"/>
          <w:sz w:val="20"/>
          <w:szCs w:val="20"/>
        </w:rPr>
        <w:t>1.0</w:t>
      </w:r>
      <w:r w:rsidR="0078502D">
        <w:rPr>
          <w:rFonts w:ascii="CAIXA Std Book" w:hAnsi="CAIXA Std Book"/>
          <w:color w:val="005CA9"/>
          <w:sz w:val="20"/>
          <w:szCs w:val="20"/>
        </w:rPr>
        <w:t>47.591</w:t>
      </w:r>
      <w:r w:rsidR="00967756" w:rsidRPr="00FF4346">
        <w:rPr>
          <w:rFonts w:ascii="CAIXA Std Book" w:hAnsi="CAIXA Std Book"/>
          <w:color w:val="005CA9"/>
          <w:sz w:val="20"/>
          <w:szCs w:val="20"/>
        </w:rPr>
        <w:t>)</w:t>
      </w:r>
      <w:r w:rsidR="00A71D0B" w:rsidRPr="00FF4346">
        <w:rPr>
          <w:rFonts w:ascii="CAIXA Std Book" w:hAnsi="CAIXA Std Book"/>
          <w:color w:val="005CA9"/>
          <w:sz w:val="20"/>
          <w:szCs w:val="20"/>
        </w:rPr>
        <w:t xml:space="preserve"> </w:t>
      </w:r>
      <w:r w:rsidRPr="00FF4346">
        <w:rPr>
          <w:rFonts w:ascii="CAIXA Std Book" w:hAnsi="CAIXA Std Book"/>
          <w:color w:val="005CA9"/>
          <w:sz w:val="20"/>
          <w:szCs w:val="20"/>
        </w:rPr>
        <w:t>decorrente das operações com Empréstimos e títulos descontados rating AA do Fundo FIDC.</w:t>
      </w:r>
    </w:p>
    <w:tbl>
      <w:tblPr>
        <w:tblW w:w="5000" w:type="pct"/>
        <w:tblLayout w:type="fixed"/>
        <w:tblCellMar>
          <w:left w:w="70" w:type="dxa"/>
          <w:right w:w="70" w:type="dxa"/>
        </w:tblCellMar>
        <w:tblLook w:val="04A0" w:firstRow="1" w:lastRow="0" w:firstColumn="1" w:lastColumn="0" w:noHBand="0" w:noVBand="1"/>
      </w:tblPr>
      <w:tblGrid>
        <w:gridCol w:w="3117"/>
        <w:gridCol w:w="1133"/>
        <w:gridCol w:w="991"/>
        <w:gridCol w:w="991"/>
        <w:gridCol w:w="991"/>
        <w:gridCol w:w="994"/>
        <w:gridCol w:w="991"/>
        <w:gridCol w:w="991"/>
        <w:gridCol w:w="994"/>
        <w:gridCol w:w="991"/>
        <w:gridCol w:w="1137"/>
        <w:gridCol w:w="1250"/>
      </w:tblGrid>
      <w:tr w:rsidR="00775F2F" w:rsidRPr="00B22AF5" w14:paraId="046D36E4" w14:textId="77777777" w:rsidTr="003017D7">
        <w:trPr>
          <w:trHeight w:val="240"/>
        </w:trPr>
        <w:tc>
          <w:tcPr>
            <w:tcW w:w="5000" w:type="pct"/>
            <w:gridSpan w:val="12"/>
            <w:tcBorders>
              <w:top w:val="single" w:sz="4" w:space="0" w:color="F39200"/>
              <w:left w:val="nil"/>
              <w:bottom w:val="single" w:sz="4" w:space="0" w:color="F39200"/>
              <w:right w:val="nil"/>
            </w:tcBorders>
            <w:vAlign w:val="center"/>
          </w:tcPr>
          <w:p w14:paraId="4F7CDE69"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INDIVIDUAL</w:t>
            </w:r>
          </w:p>
        </w:tc>
      </w:tr>
      <w:tr w:rsidR="003017D7" w:rsidRPr="00B22AF5" w14:paraId="32B782E3" w14:textId="77777777" w:rsidTr="00B22AF5">
        <w:trPr>
          <w:trHeight w:val="240"/>
        </w:trPr>
        <w:tc>
          <w:tcPr>
            <w:tcW w:w="1070" w:type="pct"/>
            <w:tcBorders>
              <w:top w:val="single" w:sz="4" w:space="0" w:color="F39200"/>
              <w:left w:val="nil"/>
              <w:bottom w:val="single" w:sz="4" w:space="0" w:color="F39200"/>
              <w:right w:val="nil"/>
            </w:tcBorders>
            <w:shd w:val="clear" w:color="auto" w:fill="auto"/>
            <w:noWrap/>
            <w:vAlign w:val="center"/>
            <w:hideMark/>
          </w:tcPr>
          <w:p w14:paraId="6CDF8D03" w14:textId="77777777" w:rsidR="00775F2F" w:rsidRPr="003017D7" w:rsidRDefault="00775F2F" w:rsidP="00BF7D51">
            <w:pPr>
              <w:rPr>
                <w:rFonts w:ascii="CAIXA Std Book" w:hAnsi="CAIXA Std Book"/>
                <w:b/>
                <w:color w:val="005CA9"/>
                <w:sz w:val="14"/>
                <w:szCs w:val="14"/>
              </w:rPr>
            </w:pPr>
            <w:r w:rsidRPr="003017D7">
              <w:rPr>
                <w:rFonts w:ascii="CAIXA Std Book" w:hAnsi="CAIXA Std Book"/>
                <w:b/>
                <w:color w:val="005CA9"/>
                <w:sz w:val="14"/>
                <w:szCs w:val="14"/>
              </w:rPr>
              <w:t>Carteira de crédito</w:t>
            </w:r>
          </w:p>
        </w:tc>
        <w:tc>
          <w:tcPr>
            <w:tcW w:w="389" w:type="pct"/>
            <w:tcBorders>
              <w:top w:val="single" w:sz="4" w:space="0" w:color="F39200"/>
              <w:left w:val="nil"/>
              <w:bottom w:val="single" w:sz="4" w:space="0" w:color="F39200"/>
              <w:right w:val="nil"/>
            </w:tcBorders>
            <w:shd w:val="clear" w:color="auto" w:fill="auto"/>
            <w:noWrap/>
            <w:vAlign w:val="center"/>
            <w:hideMark/>
          </w:tcPr>
          <w:p w14:paraId="5731912B"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AA</w:t>
            </w:r>
          </w:p>
        </w:tc>
        <w:tc>
          <w:tcPr>
            <w:tcW w:w="340" w:type="pct"/>
            <w:tcBorders>
              <w:top w:val="single" w:sz="4" w:space="0" w:color="F39200"/>
              <w:left w:val="nil"/>
              <w:bottom w:val="single" w:sz="4" w:space="0" w:color="F39200"/>
              <w:right w:val="nil"/>
            </w:tcBorders>
            <w:shd w:val="clear" w:color="auto" w:fill="auto"/>
            <w:noWrap/>
            <w:vAlign w:val="center"/>
            <w:hideMark/>
          </w:tcPr>
          <w:p w14:paraId="239AF9D0"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A</w:t>
            </w:r>
          </w:p>
        </w:tc>
        <w:tc>
          <w:tcPr>
            <w:tcW w:w="340" w:type="pct"/>
            <w:tcBorders>
              <w:top w:val="single" w:sz="4" w:space="0" w:color="F39200"/>
              <w:left w:val="nil"/>
              <w:bottom w:val="single" w:sz="4" w:space="0" w:color="F39200"/>
              <w:right w:val="nil"/>
            </w:tcBorders>
            <w:shd w:val="clear" w:color="auto" w:fill="auto"/>
            <w:noWrap/>
            <w:vAlign w:val="center"/>
            <w:hideMark/>
          </w:tcPr>
          <w:p w14:paraId="0B6E5637"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B</w:t>
            </w:r>
          </w:p>
        </w:tc>
        <w:tc>
          <w:tcPr>
            <w:tcW w:w="340" w:type="pct"/>
            <w:tcBorders>
              <w:top w:val="single" w:sz="4" w:space="0" w:color="F39200"/>
              <w:left w:val="nil"/>
              <w:bottom w:val="single" w:sz="4" w:space="0" w:color="F39200"/>
              <w:right w:val="nil"/>
            </w:tcBorders>
            <w:shd w:val="clear" w:color="auto" w:fill="auto"/>
            <w:noWrap/>
            <w:vAlign w:val="center"/>
            <w:hideMark/>
          </w:tcPr>
          <w:p w14:paraId="22EE318E"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C</w:t>
            </w:r>
          </w:p>
        </w:tc>
        <w:tc>
          <w:tcPr>
            <w:tcW w:w="341" w:type="pct"/>
            <w:tcBorders>
              <w:top w:val="single" w:sz="4" w:space="0" w:color="F39200"/>
              <w:left w:val="nil"/>
              <w:bottom w:val="single" w:sz="4" w:space="0" w:color="F39200"/>
              <w:right w:val="nil"/>
            </w:tcBorders>
            <w:shd w:val="clear" w:color="auto" w:fill="auto"/>
            <w:noWrap/>
            <w:vAlign w:val="center"/>
            <w:hideMark/>
          </w:tcPr>
          <w:p w14:paraId="26EFE98E" w14:textId="77777777" w:rsidR="00775F2F" w:rsidRPr="003017D7" w:rsidRDefault="00775F2F">
            <w:pPr>
              <w:ind w:right="379"/>
              <w:jc w:val="center"/>
              <w:rPr>
                <w:rFonts w:ascii="CAIXA Std Book" w:hAnsi="CAIXA Std Book"/>
                <w:b/>
                <w:color w:val="005CA9"/>
                <w:sz w:val="14"/>
                <w:szCs w:val="14"/>
              </w:rPr>
            </w:pPr>
            <w:r w:rsidRPr="003017D7">
              <w:rPr>
                <w:rFonts w:ascii="CAIXA Std Book" w:hAnsi="CAIXA Std Book"/>
                <w:b/>
                <w:color w:val="005CA9"/>
                <w:sz w:val="14"/>
                <w:szCs w:val="14"/>
              </w:rPr>
              <w:t>D</w:t>
            </w:r>
          </w:p>
        </w:tc>
        <w:tc>
          <w:tcPr>
            <w:tcW w:w="340" w:type="pct"/>
            <w:tcBorders>
              <w:top w:val="single" w:sz="4" w:space="0" w:color="F39200"/>
              <w:left w:val="nil"/>
              <w:bottom w:val="single" w:sz="4" w:space="0" w:color="F39200"/>
              <w:right w:val="nil"/>
            </w:tcBorders>
            <w:shd w:val="clear" w:color="auto" w:fill="auto"/>
            <w:noWrap/>
            <w:vAlign w:val="center"/>
            <w:hideMark/>
          </w:tcPr>
          <w:p w14:paraId="5CDFC5AD"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E</w:t>
            </w:r>
          </w:p>
        </w:tc>
        <w:tc>
          <w:tcPr>
            <w:tcW w:w="340" w:type="pct"/>
            <w:tcBorders>
              <w:top w:val="single" w:sz="4" w:space="0" w:color="F39200"/>
              <w:left w:val="nil"/>
              <w:bottom w:val="single" w:sz="4" w:space="0" w:color="F39200"/>
              <w:right w:val="nil"/>
            </w:tcBorders>
            <w:shd w:val="clear" w:color="auto" w:fill="auto"/>
            <w:noWrap/>
            <w:vAlign w:val="center"/>
            <w:hideMark/>
          </w:tcPr>
          <w:p w14:paraId="0FAF5691"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F</w:t>
            </w:r>
          </w:p>
        </w:tc>
        <w:tc>
          <w:tcPr>
            <w:tcW w:w="341" w:type="pct"/>
            <w:tcBorders>
              <w:top w:val="single" w:sz="4" w:space="0" w:color="F39200"/>
              <w:left w:val="nil"/>
              <w:bottom w:val="single" w:sz="4" w:space="0" w:color="F39200"/>
              <w:right w:val="nil"/>
            </w:tcBorders>
            <w:shd w:val="clear" w:color="auto" w:fill="auto"/>
            <w:noWrap/>
            <w:vAlign w:val="center"/>
            <w:hideMark/>
          </w:tcPr>
          <w:p w14:paraId="5498AE8C"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G</w:t>
            </w:r>
          </w:p>
        </w:tc>
        <w:tc>
          <w:tcPr>
            <w:tcW w:w="340" w:type="pct"/>
            <w:tcBorders>
              <w:top w:val="single" w:sz="4" w:space="0" w:color="F39200"/>
              <w:left w:val="nil"/>
              <w:bottom w:val="single" w:sz="4" w:space="0" w:color="F39200"/>
              <w:right w:val="nil"/>
            </w:tcBorders>
            <w:shd w:val="clear" w:color="auto" w:fill="auto"/>
            <w:noWrap/>
            <w:vAlign w:val="center"/>
            <w:hideMark/>
          </w:tcPr>
          <w:p w14:paraId="006D21B5" w14:textId="77777777"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H</w:t>
            </w:r>
          </w:p>
        </w:tc>
        <w:tc>
          <w:tcPr>
            <w:tcW w:w="390" w:type="pct"/>
            <w:tcBorders>
              <w:top w:val="single" w:sz="4" w:space="0" w:color="F39200"/>
              <w:left w:val="nil"/>
              <w:bottom w:val="single" w:sz="4" w:space="0" w:color="F39200"/>
              <w:right w:val="nil"/>
            </w:tcBorders>
            <w:shd w:val="clear" w:color="auto" w:fill="auto"/>
            <w:noWrap/>
            <w:vAlign w:val="center"/>
          </w:tcPr>
          <w:p w14:paraId="75B2BEFE" w14:textId="08C28893" w:rsidR="00775F2F" w:rsidRPr="003017D7" w:rsidRDefault="00AF7090" w:rsidP="00513664">
            <w:pPr>
              <w:jc w:val="center"/>
              <w:rPr>
                <w:rFonts w:ascii="CAIXA Std Book" w:hAnsi="CAIXA Std Book"/>
                <w:b/>
                <w:color w:val="005CA9"/>
                <w:sz w:val="14"/>
                <w:szCs w:val="14"/>
              </w:rPr>
            </w:pPr>
            <w:r w:rsidRPr="003017D7">
              <w:rPr>
                <w:rFonts w:ascii="CAIXA Std Book" w:hAnsi="CAIXA Std Book"/>
                <w:b/>
                <w:color w:val="005CA9"/>
                <w:sz w:val="14"/>
                <w:szCs w:val="14"/>
              </w:rPr>
              <w:t>31/</w:t>
            </w:r>
            <w:r w:rsidR="00F8179E" w:rsidRPr="003017D7">
              <w:rPr>
                <w:rFonts w:ascii="CAIXA Std Book" w:hAnsi="CAIXA Std Book"/>
                <w:b/>
                <w:color w:val="005CA9"/>
                <w:sz w:val="14"/>
                <w:szCs w:val="14"/>
              </w:rPr>
              <w:t>03/2024</w:t>
            </w:r>
          </w:p>
        </w:tc>
        <w:tc>
          <w:tcPr>
            <w:tcW w:w="428" w:type="pct"/>
            <w:tcBorders>
              <w:top w:val="single" w:sz="4" w:space="0" w:color="F39200"/>
              <w:left w:val="nil"/>
              <w:bottom w:val="single" w:sz="4" w:space="0" w:color="F39200"/>
              <w:right w:val="nil"/>
            </w:tcBorders>
            <w:vAlign w:val="center"/>
          </w:tcPr>
          <w:p w14:paraId="655616D9" w14:textId="4CAC386F" w:rsidR="00775F2F" w:rsidRPr="003017D7" w:rsidRDefault="00775F2F">
            <w:pPr>
              <w:jc w:val="center"/>
              <w:rPr>
                <w:rFonts w:ascii="CAIXA Std Book" w:hAnsi="CAIXA Std Book"/>
                <w:b/>
                <w:color w:val="005CA9"/>
                <w:sz w:val="14"/>
                <w:szCs w:val="14"/>
              </w:rPr>
            </w:pPr>
            <w:r w:rsidRPr="003017D7">
              <w:rPr>
                <w:rFonts w:ascii="CAIXA Std Book" w:hAnsi="CAIXA Std Book"/>
                <w:b/>
                <w:color w:val="005CA9"/>
                <w:sz w:val="14"/>
                <w:szCs w:val="14"/>
              </w:rPr>
              <w:t>31/12/202</w:t>
            </w:r>
            <w:r w:rsidR="00A208A5" w:rsidRPr="003017D7">
              <w:rPr>
                <w:rFonts w:ascii="CAIXA Std Book" w:hAnsi="CAIXA Std Book"/>
                <w:b/>
                <w:color w:val="005CA9"/>
                <w:sz w:val="14"/>
                <w:szCs w:val="14"/>
              </w:rPr>
              <w:t>3</w:t>
            </w:r>
          </w:p>
        </w:tc>
      </w:tr>
      <w:tr w:rsidR="003017D7" w:rsidRPr="00B22AF5" w14:paraId="66E51C01" w14:textId="77777777" w:rsidTr="00B22AF5">
        <w:trPr>
          <w:trHeight w:val="240"/>
        </w:trPr>
        <w:tc>
          <w:tcPr>
            <w:tcW w:w="1070" w:type="pct"/>
            <w:tcBorders>
              <w:top w:val="nil"/>
              <w:left w:val="nil"/>
              <w:bottom w:val="nil"/>
              <w:right w:val="nil"/>
            </w:tcBorders>
            <w:shd w:val="clear" w:color="auto" w:fill="auto"/>
            <w:noWrap/>
            <w:vAlign w:val="center"/>
            <w:hideMark/>
          </w:tcPr>
          <w:p w14:paraId="45250233" w14:textId="77777777" w:rsidR="00DD28A0" w:rsidRPr="003017D7" w:rsidRDefault="00DD28A0" w:rsidP="00DD28A0">
            <w:pPr>
              <w:rPr>
                <w:rFonts w:ascii="CAIXA Std Book" w:hAnsi="CAIXA Std Book"/>
                <w:b/>
                <w:color w:val="005CA9"/>
                <w:sz w:val="14"/>
                <w:szCs w:val="14"/>
              </w:rPr>
            </w:pPr>
            <w:r w:rsidRPr="003017D7">
              <w:rPr>
                <w:rFonts w:ascii="CAIXA Std Book" w:hAnsi="CAIXA Std Book"/>
                <w:b/>
                <w:color w:val="005CA9"/>
                <w:sz w:val="14"/>
                <w:szCs w:val="14"/>
              </w:rPr>
              <w:t>Operações de crédito</w:t>
            </w:r>
          </w:p>
        </w:tc>
        <w:tc>
          <w:tcPr>
            <w:tcW w:w="389" w:type="pct"/>
            <w:tcBorders>
              <w:top w:val="nil"/>
              <w:left w:val="nil"/>
              <w:bottom w:val="nil"/>
              <w:right w:val="nil"/>
            </w:tcBorders>
            <w:shd w:val="clear" w:color="auto" w:fill="auto"/>
            <w:noWrap/>
            <w:vAlign w:val="center"/>
          </w:tcPr>
          <w:p w14:paraId="37D24029" w14:textId="17104519"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534.466.368</w:t>
            </w:r>
          </w:p>
        </w:tc>
        <w:tc>
          <w:tcPr>
            <w:tcW w:w="340" w:type="pct"/>
            <w:tcBorders>
              <w:top w:val="nil"/>
              <w:left w:val="nil"/>
              <w:bottom w:val="nil"/>
              <w:right w:val="nil"/>
            </w:tcBorders>
            <w:shd w:val="clear" w:color="auto" w:fill="auto"/>
            <w:noWrap/>
            <w:vAlign w:val="center"/>
          </w:tcPr>
          <w:p w14:paraId="17F43260" w14:textId="6637996F"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180.488.024</w:t>
            </w:r>
          </w:p>
        </w:tc>
        <w:tc>
          <w:tcPr>
            <w:tcW w:w="340" w:type="pct"/>
            <w:tcBorders>
              <w:top w:val="nil"/>
              <w:left w:val="nil"/>
              <w:bottom w:val="nil"/>
              <w:right w:val="nil"/>
            </w:tcBorders>
            <w:shd w:val="clear" w:color="auto" w:fill="auto"/>
            <w:noWrap/>
            <w:vAlign w:val="center"/>
          </w:tcPr>
          <w:p w14:paraId="0E3D3950" w14:textId="7E0630DB"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205.386.555</w:t>
            </w:r>
          </w:p>
        </w:tc>
        <w:tc>
          <w:tcPr>
            <w:tcW w:w="340" w:type="pct"/>
            <w:tcBorders>
              <w:top w:val="nil"/>
              <w:left w:val="nil"/>
              <w:bottom w:val="nil"/>
              <w:right w:val="nil"/>
            </w:tcBorders>
            <w:shd w:val="clear" w:color="auto" w:fill="auto"/>
            <w:noWrap/>
            <w:vAlign w:val="center"/>
          </w:tcPr>
          <w:p w14:paraId="5DCC5A86" w14:textId="4E8D3339"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131.023.230</w:t>
            </w:r>
          </w:p>
        </w:tc>
        <w:tc>
          <w:tcPr>
            <w:tcW w:w="341" w:type="pct"/>
            <w:tcBorders>
              <w:top w:val="nil"/>
              <w:left w:val="nil"/>
              <w:bottom w:val="nil"/>
              <w:right w:val="nil"/>
            </w:tcBorders>
            <w:shd w:val="clear" w:color="auto" w:fill="auto"/>
            <w:noWrap/>
            <w:vAlign w:val="center"/>
          </w:tcPr>
          <w:p w14:paraId="03B9A3D2" w14:textId="19F300AE"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26.176.107</w:t>
            </w:r>
          </w:p>
        </w:tc>
        <w:tc>
          <w:tcPr>
            <w:tcW w:w="340" w:type="pct"/>
            <w:tcBorders>
              <w:top w:val="nil"/>
              <w:left w:val="nil"/>
              <w:bottom w:val="nil"/>
              <w:right w:val="nil"/>
            </w:tcBorders>
            <w:shd w:val="clear" w:color="auto" w:fill="auto"/>
            <w:noWrap/>
            <w:vAlign w:val="center"/>
          </w:tcPr>
          <w:p w14:paraId="03CE5A4D" w14:textId="1A6DC710"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14.965.525</w:t>
            </w:r>
          </w:p>
        </w:tc>
        <w:tc>
          <w:tcPr>
            <w:tcW w:w="340" w:type="pct"/>
            <w:tcBorders>
              <w:top w:val="nil"/>
              <w:left w:val="nil"/>
              <w:bottom w:val="nil"/>
              <w:right w:val="nil"/>
            </w:tcBorders>
            <w:shd w:val="clear" w:color="auto" w:fill="auto"/>
            <w:noWrap/>
            <w:vAlign w:val="center"/>
          </w:tcPr>
          <w:p w14:paraId="1E6AF97E" w14:textId="007A7EF8"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8.868.629</w:t>
            </w:r>
          </w:p>
        </w:tc>
        <w:tc>
          <w:tcPr>
            <w:tcW w:w="341" w:type="pct"/>
            <w:tcBorders>
              <w:top w:val="nil"/>
              <w:left w:val="nil"/>
              <w:bottom w:val="nil"/>
              <w:right w:val="nil"/>
            </w:tcBorders>
            <w:shd w:val="clear" w:color="auto" w:fill="auto"/>
            <w:noWrap/>
            <w:vAlign w:val="center"/>
          </w:tcPr>
          <w:p w14:paraId="08F20F20" w14:textId="76658E83"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11.890.843</w:t>
            </w:r>
          </w:p>
        </w:tc>
        <w:tc>
          <w:tcPr>
            <w:tcW w:w="340" w:type="pct"/>
            <w:tcBorders>
              <w:top w:val="nil"/>
              <w:left w:val="nil"/>
              <w:bottom w:val="nil"/>
              <w:right w:val="nil"/>
            </w:tcBorders>
            <w:shd w:val="clear" w:color="auto" w:fill="auto"/>
            <w:noWrap/>
            <w:vAlign w:val="center"/>
          </w:tcPr>
          <w:p w14:paraId="493AE284" w14:textId="31192E0E"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16.704.203</w:t>
            </w:r>
          </w:p>
        </w:tc>
        <w:tc>
          <w:tcPr>
            <w:tcW w:w="390" w:type="pct"/>
            <w:tcBorders>
              <w:top w:val="nil"/>
              <w:left w:val="nil"/>
              <w:bottom w:val="nil"/>
              <w:right w:val="nil"/>
            </w:tcBorders>
            <w:shd w:val="clear" w:color="auto" w:fill="auto"/>
            <w:noWrap/>
            <w:vAlign w:val="center"/>
          </w:tcPr>
          <w:p w14:paraId="7310BC04" w14:textId="2E0894D8"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1.129.969.484</w:t>
            </w:r>
          </w:p>
        </w:tc>
        <w:tc>
          <w:tcPr>
            <w:tcW w:w="428" w:type="pct"/>
            <w:tcBorders>
              <w:top w:val="nil"/>
              <w:left w:val="nil"/>
              <w:bottom w:val="nil"/>
              <w:right w:val="nil"/>
            </w:tcBorders>
            <w:vAlign w:val="center"/>
          </w:tcPr>
          <w:p w14:paraId="6409CC07" w14:textId="12D1D9C8"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1.105.230.960</w:t>
            </w:r>
          </w:p>
        </w:tc>
      </w:tr>
      <w:tr w:rsidR="003017D7" w:rsidRPr="00B22AF5" w14:paraId="718BB2AB" w14:textId="77777777" w:rsidTr="00B22AF5">
        <w:trPr>
          <w:trHeight w:val="240"/>
        </w:trPr>
        <w:tc>
          <w:tcPr>
            <w:tcW w:w="1070" w:type="pct"/>
            <w:tcBorders>
              <w:top w:val="nil"/>
              <w:left w:val="nil"/>
              <w:bottom w:val="nil"/>
              <w:right w:val="nil"/>
            </w:tcBorders>
            <w:shd w:val="clear" w:color="auto" w:fill="auto"/>
            <w:noWrap/>
            <w:vAlign w:val="center"/>
          </w:tcPr>
          <w:p w14:paraId="46AA4578"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Financiamentos imobiliários</w:t>
            </w:r>
          </w:p>
        </w:tc>
        <w:tc>
          <w:tcPr>
            <w:tcW w:w="389" w:type="pct"/>
            <w:tcBorders>
              <w:top w:val="nil"/>
              <w:left w:val="nil"/>
              <w:bottom w:val="nil"/>
              <w:right w:val="nil"/>
            </w:tcBorders>
            <w:shd w:val="clear" w:color="auto" w:fill="auto"/>
            <w:noWrap/>
            <w:vAlign w:val="center"/>
          </w:tcPr>
          <w:p w14:paraId="0D37E995" w14:textId="6CE94097"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469.796.734</w:t>
            </w:r>
          </w:p>
        </w:tc>
        <w:tc>
          <w:tcPr>
            <w:tcW w:w="340" w:type="pct"/>
            <w:tcBorders>
              <w:top w:val="nil"/>
              <w:left w:val="nil"/>
              <w:bottom w:val="nil"/>
              <w:right w:val="nil"/>
            </w:tcBorders>
            <w:shd w:val="clear" w:color="auto" w:fill="auto"/>
            <w:noWrap/>
            <w:vAlign w:val="center"/>
          </w:tcPr>
          <w:p w14:paraId="3508BC91" w14:textId="3552F057"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84.862.791</w:t>
            </w:r>
          </w:p>
        </w:tc>
        <w:tc>
          <w:tcPr>
            <w:tcW w:w="340" w:type="pct"/>
            <w:tcBorders>
              <w:top w:val="nil"/>
              <w:left w:val="nil"/>
              <w:bottom w:val="nil"/>
              <w:right w:val="nil"/>
            </w:tcBorders>
            <w:shd w:val="clear" w:color="auto" w:fill="auto"/>
            <w:noWrap/>
            <w:vAlign w:val="center"/>
          </w:tcPr>
          <w:p w14:paraId="2B36CC70" w14:textId="71D10D40"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105.226.897</w:t>
            </w:r>
          </w:p>
        </w:tc>
        <w:tc>
          <w:tcPr>
            <w:tcW w:w="340" w:type="pct"/>
            <w:tcBorders>
              <w:top w:val="nil"/>
              <w:left w:val="nil"/>
              <w:bottom w:val="nil"/>
              <w:right w:val="nil"/>
            </w:tcBorders>
            <w:shd w:val="clear" w:color="auto" w:fill="auto"/>
            <w:noWrap/>
            <w:vAlign w:val="center"/>
          </w:tcPr>
          <w:p w14:paraId="704D9C48" w14:textId="32C42BF6"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58.954.801</w:t>
            </w:r>
          </w:p>
        </w:tc>
        <w:tc>
          <w:tcPr>
            <w:tcW w:w="341" w:type="pct"/>
            <w:tcBorders>
              <w:top w:val="nil"/>
              <w:left w:val="nil"/>
              <w:bottom w:val="nil"/>
              <w:right w:val="nil"/>
            </w:tcBorders>
            <w:shd w:val="clear" w:color="auto" w:fill="auto"/>
            <w:noWrap/>
            <w:vAlign w:val="center"/>
          </w:tcPr>
          <w:p w14:paraId="6C716DD0" w14:textId="20AE90F7"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9.957.257</w:t>
            </w:r>
          </w:p>
        </w:tc>
        <w:tc>
          <w:tcPr>
            <w:tcW w:w="340" w:type="pct"/>
            <w:tcBorders>
              <w:top w:val="nil"/>
              <w:left w:val="nil"/>
              <w:bottom w:val="nil"/>
              <w:right w:val="nil"/>
            </w:tcBorders>
            <w:shd w:val="clear" w:color="auto" w:fill="auto"/>
            <w:noWrap/>
            <w:vAlign w:val="center"/>
          </w:tcPr>
          <w:p w14:paraId="568EC7E9" w14:textId="5873797E"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7.283.046</w:t>
            </w:r>
          </w:p>
        </w:tc>
        <w:tc>
          <w:tcPr>
            <w:tcW w:w="340" w:type="pct"/>
            <w:tcBorders>
              <w:top w:val="nil"/>
              <w:left w:val="nil"/>
              <w:bottom w:val="nil"/>
              <w:right w:val="nil"/>
            </w:tcBorders>
            <w:shd w:val="clear" w:color="auto" w:fill="auto"/>
            <w:noWrap/>
            <w:vAlign w:val="center"/>
          </w:tcPr>
          <w:p w14:paraId="3E981F85" w14:textId="258347AD"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2.723.327</w:t>
            </w:r>
          </w:p>
        </w:tc>
        <w:tc>
          <w:tcPr>
            <w:tcW w:w="341" w:type="pct"/>
            <w:tcBorders>
              <w:top w:val="nil"/>
              <w:left w:val="nil"/>
              <w:bottom w:val="nil"/>
              <w:right w:val="nil"/>
            </w:tcBorders>
            <w:shd w:val="clear" w:color="auto" w:fill="auto"/>
            <w:noWrap/>
            <w:vAlign w:val="center"/>
          </w:tcPr>
          <w:p w14:paraId="6CFDFE0A" w14:textId="0D1CD84B"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5.079.337</w:t>
            </w:r>
          </w:p>
        </w:tc>
        <w:tc>
          <w:tcPr>
            <w:tcW w:w="340" w:type="pct"/>
            <w:tcBorders>
              <w:top w:val="nil"/>
              <w:left w:val="nil"/>
              <w:bottom w:val="nil"/>
              <w:right w:val="nil"/>
            </w:tcBorders>
            <w:shd w:val="clear" w:color="auto" w:fill="auto"/>
            <w:noWrap/>
            <w:vAlign w:val="center"/>
          </w:tcPr>
          <w:p w14:paraId="6707C5D5" w14:textId="3F02D99B" w:rsidR="00DD28A0" w:rsidRPr="003017D7" w:rsidRDefault="00B1775C" w:rsidP="00DD28A0">
            <w:pPr>
              <w:jc w:val="right"/>
              <w:rPr>
                <w:rFonts w:ascii="CAIXA Std Book" w:hAnsi="CAIXA Std Book"/>
                <w:color w:val="005CA9"/>
                <w:sz w:val="14"/>
                <w:szCs w:val="14"/>
              </w:rPr>
            </w:pPr>
            <w:r w:rsidRPr="003017D7">
              <w:rPr>
                <w:rFonts w:ascii="CAIXA Std Book" w:hAnsi="CAIXA Std Book"/>
                <w:color w:val="005CA9"/>
                <w:sz w:val="14"/>
                <w:szCs w:val="14"/>
              </w:rPr>
              <w:t>4.663.850</w:t>
            </w:r>
          </w:p>
        </w:tc>
        <w:tc>
          <w:tcPr>
            <w:tcW w:w="390" w:type="pct"/>
            <w:tcBorders>
              <w:top w:val="nil"/>
              <w:left w:val="nil"/>
              <w:bottom w:val="nil"/>
              <w:right w:val="nil"/>
            </w:tcBorders>
            <w:shd w:val="clear" w:color="auto" w:fill="auto"/>
            <w:noWrap/>
            <w:vAlign w:val="center"/>
          </w:tcPr>
          <w:p w14:paraId="303D747E" w14:textId="22E26438" w:rsidR="00DD28A0" w:rsidRPr="003017D7" w:rsidRDefault="002E3F79" w:rsidP="00DD28A0">
            <w:pPr>
              <w:jc w:val="right"/>
              <w:rPr>
                <w:rFonts w:ascii="CAIXA Std Book" w:hAnsi="CAIXA Std Book"/>
                <w:color w:val="005CA9"/>
                <w:sz w:val="14"/>
                <w:szCs w:val="14"/>
              </w:rPr>
            </w:pPr>
            <w:r w:rsidRPr="003017D7">
              <w:rPr>
                <w:rFonts w:ascii="CAIXA Std Book" w:hAnsi="CAIXA Std Book"/>
                <w:color w:val="005CA9"/>
                <w:sz w:val="14"/>
                <w:szCs w:val="14"/>
              </w:rPr>
              <w:t>748.548.040</w:t>
            </w:r>
          </w:p>
        </w:tc>
        <w:tc>
          <w:tcPr>
            <w:tcW w:w="428" w:type="pct"/>
            <w:tcBorders>
              <w:top w:val="nil"/>
              <w:left w:val="nil"/>
              <w:bottom w:val="nil"/>
              <w:right w:val="nil"/>
            </w:tcBorders>
            <w:vAlign w:val="center"/>
          </w:tcPr>
          <w:p w14:paraId="40AABFC5" w14:textId="179C9631"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727.800.413</w:t>
            </w:r>
          </w:p>
        </w:tc>
      </w:tr>
      <w:tr w:rsidR="003017D7" w:rsidRPr="00B22AF5" w14:paraId="1AD00A7C" w14:textId="77777777" w:rsidTr="00B22AF5">
        <w:trPr>
          <w:trHeight w:val="240"/>
        </w:trPr>
        <w:tc>
          <w:tcPr>
            <w:tcW w:w="1070" w:type="pct"/>
            <w:tcBorders>
              <w:top w:val="nil"/>
              <w:left w:val="nil"/>
              <w:bottom w:val="nil"/>
              <w:right w:val="nil"/>
            </w:tcBorders>
            <w:shd w:val="clear" w:color="auto" w:fill="auto"/>
            <w:noWrap/>
            <w:vAlign w:val="center"/>
          </w:tcPr>
          <w:p w14:paraId="17523C9D" w14:textId="77777777" w:rsidR="00DD28A0" w:rsidRPr="003017D7" w:rsidRDefault="00DD28A0" w:rsidP="00DD28A0">
            <w:pPr>
              <w:rPr>
                <w:rFonts w:ascii="CAIXA Std Book" w:hAnsi="CAIXA Std Book"/>
                <w:b/>
                <w:color w:val="005CA9"/>
                <w:sz w:val="14"/>
                <w:szCs w:val="14"/>
              </w:rPr>
            </w:pPr>
            <w:r w:rsidRPr="003017D7">
              <w:rPr>
                <w:rFonts w:ascii="CAIXA Std Book" w:hAnsi="CAIXA Std Book"/>
                <w:color w:val="005CA9"/>
                <w:sz w:val="14"/>
                <w:szCs w:val="14"/>
              </w:rPr>
              <w:t>Empréstimos e títulos descontados</w:t>
            </w:r>
          </w:p>
        </w:tc>
        <w:tc>
          <w:tcPr>
            <w:tcW w:w="389" w:type="pct"/>
            <w:tcBorders>
              <w:top w:val="nil"/>
              <w:left w:val="nil"/>
              <w:bottom w:val="nil"/>
              <w:right w:val="nil"/>
            </w:tcBorders>
            <w:shd w:val="clear" w:color="auto" w:fill="auto"/>
            <w:noWrap/>
            <w:vAlign w:val="center"/>
          </w:tcPr>
          <w:p w14:paraId="48EC1B7E" w14:textId="66D60A35"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15.802.504</w:t>
            </w:r>
          </w:p>
        </w:tc>
        <w:tc>
          <w:tcPr>
            <w:tcW w:w="340" w:type="pct"/>
            <w:tcBorders>
              <w:top w:val="nil"/>
              <w:left w:val="nil"/>
              <w:bottom w:val="nil"/>
              <w:right w:val="nil"/>
            </w:tcBorders>
            <w:shd w:val="clear" w:color="auto" w:fill="auto"/>
            <w:noWrap/>
            <w:vAlign w:val="center"/>
          </w:tcPr>
          <w:p w14:paraId="24E77D0D" w14:textId="45859179"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19.815.616</w:t>
            </w:r>
          </w:p>
        </w:tc>
        <w:tc>
          <w:tcPr>
            <w:tcW w:w="340" w:type="pct"/>
            <w:tcBorders>
              <w:top w:val="nil"/>
              <w:left w:val="nil"/>
              <w:bottom w:val="nil"/>
              <w:right w:val="nil"/>
            </w:tcBorders>
            <w:shd w:val="clear" w:color="auto" w:fill="auto"/>
            <w:noWrap/>
            <w:vAlign w:val="center"/>
          </w:tcPr>
          <w:p w14:paraId="5FB5321D" w14:textId="6CDD0B56"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81.067.314</w:t>
            </w:r>
          </w:p>
        </w:tc>
        <w:tc>
          <w:tcPr>
            <w:tcW w:w="340" w:type="pct"/>
            <w:tcBorders>
              <w:top w:val="nil"/>
              <w:left w:val="nil"/>
              <w:bottom w:val="nil"/>
              <w:right w:val="nil"/>
            </w:tcBorders>
            <w:shd w:val="clear" w:color="auto" w:fill="auto"/>
            <w:noWrap/>
            <w:vAlign w:val="center"/>
          </w:tcPr>
          <w:p w14:paraId="45506CEF" w14:textId="26497630"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57.456.527</w:t>
            </w:r>
          </w:p>
        </w:tc>
        <w:tc>
          <w:tcPr>
            <w:tcW w:w="341" w:type="pct"/>
            <w:tcBorders>
              <w:top w:val="nil"/>
              <w:left w:val="nil"/>
              <w:bottom w:val="nil"/>
              <w:right w:val="nil"/>
            </w:tcBorders>
            <w:shd w:val="clear" w:color="auto" w:fill="auto"/>
            <w:noWrap/>
            <w:vAlign w:val="center"/>
          </w:tcPr>
          <w:p w14:paraId="396FE3F7" w14:textId="3C498E74"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14.048.661</w:t>
            </w:r>
          </w:p>
        </w:tc>
        <w:tc>
          <w:tcPr>
            <w:tcW w:w="340" w:type="pct"/>
            <w:tcBorders>
              <w:top w:val="nil"/>
              <w:left w:val="nil"/>
              <w:bottom w:val="nil"/>
              <w:right w:val="nil"/>
            </w:tcBorders>
            <w:shd w:val="clear" w:color="auto" w:fill="auto"/>
            <w:noWrap/>
            <w:vAlign w:val="center"/>
          </w:tcPr>
          <w:p w14:paraId="14895E17" w14:textId="0883507A"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6.466.633</w:t>
            </w:r>
          </w:p>
        </w:tc>
        <w:tc>
          <w:tcPr>
            <w:tcW w:w="340" w:type="pct"/>
            <w:tcBorders>
              <w:top w:val="nil"/>
              <w:left w:val="nil"/>
              <w:bottom w:val="nil"/>
              <w:right w:val="nil"/>
            </w:tcBorders>
            <w:shd w:val="clear" w:color="auto" w:fill="auto"/>
            <w:noWrap/>
            <w:vAlign w:val="center"/>
          </w:tcPr>
          <w:p w14:paraId="74EB4649" w14:textId="62F1BF16"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5.911.828</w:t>
            </w:r>
          </w:p>
        </w:tc>
        <w:tc>
          <w:tcPr>
            <w:tcW w:w="341" w:type="pct"/>
            <w:tcBorders>
              <w:top w:val="nil"/>
              <w:left w:val="nil"/>
              <w:bottom w:val="nil"/>
              <w:right w:val="nil"/>
            </w:tcBorders>
            <w:shd w:val="clear" w:color="auto" w:fill="auto"/>
            <w:noWrap/>
            <w:vAlign w:val="center"/>
          </w:tcPr>
          <w:p w14:paraId="00F445A0" w14:textId="024E4E8D"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1.993.737</w:t>
            </w:r>
          </w:p>
        </w:tc>
        <w:tc>
          <w:tcPr>
            <w:tcW w:w="340" w:type="pct"/>
            <w:tcBorders>
              <w:top w:val="nil"/>
              <w:left w:val="nil"/>
              <w:bottom w:val="nil"/>
              <w:right w:val="nil"/>
            </w:tcBorders>
            <w:shd w:val="clear" w:color="auto" w:fill="auto"/>
            <w:noWrap/>
            <w:vAlign w:val="center"/>
          </w:tcPr>
          <w:p w14:paraId="361FBC34" w14:textId="4EAFD30B" w:rsidR="00DD28A0" w:rsidRPr="003017D7" w:rsidRDefault="00CD04CC" w:rsidP="00DD28A0">
            <w:pPr>
              <w:jc w:val="right"/>
              <w:rPr>
                <w:rFonts w:ascii="CAIXA Std Book" w:hAnsi="CAIXA Std Book"/>
                <w:color w:val="005CA9"/>
                <w:sz w:val="14"/>
                <w:szCs w:val="14"/>
              </w:rPr>
            </w:pPr>
            <w:r w:rsidRPr="003017D7">
              <w:rPr>
                <w:rFonts w:ascii="CAIXA Std Book" w:hAnsi="CAIXA Std Book"/>
                <w:color w:val="005CA9"/>
                <w:sz w:val="14"/>
                <w:szCs w:val="14"/>
              </w:rPr>
              <w:t>10.273.841</w:t>
            </w:r>
          </w:p>
        </w:tc>
        <w:tc>
          <w:tcPr>
            <w:tcW w:w="390" w:type="pct"/>
            <w:tcBorders>
              <w:top w:val="nil"/>
              <w:left w:val="nil"/>
              <w:bottom w:val="nil"/>
              <w:right w:val="nil"/>
            </w:tcBorders>
            <w:shd w:val="clear" w:color="auto" w:fill="auto"/>
            <w:noWrap/>
            <w:vAlign w:val="center"/>
          </w:tcPr>
          <w:p w14:paraId="7A83EFC1" w14:textId="3560D041" w:rsidR="00DD28A0" w:rsidRPr="003017D7" w:rsidRDefault="00A22D92" w:rsidP="00DD28A0">
            <w:pPr>
              <w:jc w:val="right"/>
              <w:rPr>
                <w:rFonts w:ascii="CAIXA Std Book" w:hAnsi="CAIXA Std Book"/>
                <w:color w:val="005CA9"/>
                <w:sz w:val="14"/>
                <w:szCs w:val="14"/>
              </w:rPr>
            </w:pPr>
            <w:r w:rsidRPr="003017D7">
              <w:rPr>
                <w:rFonts w:ascii="CAIXA Std Book" w:hAnsi="CAIXA Std Book"/>
                <w:color w:val="005CA9"/>
                <w:sz w:val="14"/>
                <w:szCs w:val="14"/>
              </w:rPr>
              <w:t>212.836.661</w:t>
            </w:r>
          </w:p>
        </w:tc>
        <w:tc>
          <w:tcPr>
            <w:tcW w:w="428" w:type="pct"/>
            <w:tcBorders>
              <w:top w:val="nil"/>
              <w:left w:val="nil"/>
              <w:bottom w:val="nil"/>
              <w:right w:val="nil"/>
            </w:tcBorders>
            <w:vAlign w:val="center"/>
          </w:tcPr>
          <w:p w14:paraId="3291B4C0" w14:textId="6D3A82AE"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212.529.231</w:t>
            </w:r>
          </w:p>
        </w:tc>
      </w:tr>
      <w:tr w:rsidR="003017D7" w:rsidRPr="00B22AF5" w14:paraId="12DDAB79" w14:textId="77777777" w:rsidTr="00B22AF5">
        <w:trPr>
          <w:trHeight w:val="240"/>
        </w:trPr>
        <w:tc>
          <w:tcPr>
            <w:tcW w:w="1070" w:type="pct"/>
            <w:tcBorders>
              <w:top w:val="nil"/>
              <w:left w:val="nil"/>
              <w:bottom w:val="nil"/>
              <w:right w:val="nil"/>
            </w:tcBorders>
            <w:shd w:val="clear" w:color="auto" w:fill="auto"/>
            <w:noWrap/>
            <w:vAlign w:val="center"/>
            <w:hideMark/>
          </w:tcPr>
          <w:p w14:paraId="3A2EFDA1"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Financiamentos de infraestrutura</w:t>
            </w:r>
          </w:p>
        </w:tc>
        <w:tc>
          <w:tcPr>
            <w:tcW w:w="389" w:type="pct"/>
            <w:tcBorders>
              <w:top w:val="nil"/>
              <w:left w:val="nil"/>
              <w:bottom w:val="nil"/>
              <w:right w:val="nil"/>
            </w:tcBorders>
            <w:shd w:val="clear" w:color="auto" w:fill="auto"/>
            <w:noWrap/>
            <w:vAlign w:val="center"/>
          </w:tcPr>
          <w:p w14:paraId="37C4E760" w14:textId="3865636E"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27.421.841</w:t>
            </w:r>
          </w:p>
        </w:tc>
        <w:tc>
          <w:tcPr>
            <w:tcW w:w="340" w:type="pct"/>
            <w:tcBorders>
              <w:top w:val="nil"/>
              <w:left w:val="nil"/>
              <w:bottom w:val="nil"/>
              <w:right w:val="nil"/>
            </w:tcBorders>
            <w:shd w:val="clear" w:color="auto" w:fill="auto"/>
            <w:noWrap/>
            <w:vAlign w:val="center"/>
          </w:tcPr>
          <w:p w14:paraId="17ED1835" w14:textId="4E90613B"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57.123.947</w:t>
            </w:r>
          </w:p>
        </w:tc>
        <w:tc>
          <w:tcPr>
            <w:tcW w:w="340" w:type="pct"/>
            <w:tcBorders>
              <w:top w:val="nil"/>
              <w:left w:val="nil"/>
              <w:bottom w:val="nil"/>
              <w:right w:val="nil"/>
            </w:tcBorders>
            <w:shd w:val="clear" w:color="auto" w:fill="auto"/>
            <w:noWrap/>
            <w:vAlign w:val="center"/>
          </w:tcPr>
          <w:p w14:paraId="7DC663EB" w14:textId="4FADCB4F"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4.847.192</w:t>
            </w:r>
          </w:p>
        </w:tc>
        <w:tc>
          <w:tcPr>
            <w:tcW w:w="340" w:type="pct"/>
            <w:tcBorders>
              <w:top w:val="nil"/>
              <w:left w:val="nil"/>
              <w:bottom w:val="nil"/>
              <w:right w:val="nil"/>
            </w:tcBorders>
            <w:shd w:val="clear" w:color="auto" w:fill="auto"/>
            <w:noWrap/>
            <w:vAlign w:val="center"/>
          </w:tcPr>
          <w:p w14:paraId="3EF43731" w14:textId="7161893B"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3.877.654</w:t>
            </w:r>
          </w:p>
        </w:tc>
        <w:tc>
          <w:tcPr>
            <w:tcW w:w="341" w:type="pct"/>
            <w:tcBorders>
              <w:top w:val="nil"/>
              <w:left w:val="nil"/>
              <w:bottom w:val="nil"/>
              <w:right w:val="nil"/>
            </w:tcBorders>
            <w:shd w:val="clear" w:color="auto" w:fill="auto"/>
            <w:noWrap/>
            <w:vAlign w:val="center"/>
          </w:tcPr>
          <w:p w14:paraId="39F6205A" w14:textId="6EF1685F"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1.054.079</w:t>
            </w:r>
          </w:p>
        </w:tc>
        <w:tc>
          <w:tcPr>
            <w:tcW w:w="340" w:type="pct"/>
            <w:tcBorders>
              <w:top w:val="nil"/>
              <w:left w:val="nil"/>
              <w:bottom w:val="nil"/>
              <w:right w:val="nil"/>
            </w:tcBorders>
            <w:shd w:val="clear" w:color="auto" w:fill="auto"/>
            <w:noWrap/>
            <w:vAlign w:val="center"/>
          </w:tcPr>
          <w:p w14:paraId="3243F676" w14:textId="6C6750E1"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85.397</w:t>
            </w:r>
          </w:p>
        </w:tc>
        <w:tc>
          <w:tcPr>
            <w:tcW w:w="340" w:type="pct"/>
            <w:tcBorders>
              <w:top w:val="nil"/>
              <w:left w:val="nil"/>
              <w:bottom w:val="nil"/>
              <w:right w:val="nil"/>
            </w:tcBorders>
            <w:shd w:val="clear" w:color="auto" w:fill="auto"/>
            <w:noWrap/>
            <w:vAlign w:val="center"/>
          </w:tcPr>
          <w:p w14:paraId="7452D791" w14:textId="5852BC54" w:rsidR="00DD28A0" w:rsidRPr="003017D7" w:rsidRDefault="003017D7" w:rsidP="003017D7">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1" w:type="pct"/>
            <w:tcBorders>
              <w:top w:val="nil"/>
              <w:left w:val="nil"/>
              <w:bottom w:val="nil"/>
              <w:right w:val="nil"/>
            </w:tcBorders>
            <w:shd w:val="clear" w:color="auto" w:fill="auto"/>
            <w:noWrap/>
            <w:vAlign w:val="center"/>
          </w:tcPr>
          <w:p w14:paraId="2924D98D" w14:textId="4EC36A4E"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4.615.721</w:t>
            </w:r>
          </w:p>
        </w:tc>
        <w:tc>
          <w:tcPr>
            <w:tcW w:w="340" w:type="pct"/>
            <w:tcBorders>
              <w:top w:val="nil"/>
              <w:left w:val="nil"/>
              <w:bottom w:val="nil"/>
              <w:right w:val="nil"/>
            </w:tcBorders>
            <w:shd w:val="clear" w:color="auto" w:fill="auto"/>
            <w:noWrap/>
            <w:vAlign w:val="center"/>
          </w:tcPr>
          <w:p w14:paraId="05BAC414" w14:textId="4C1855C6" w:rsidR="00DD28A0" w:rsidRPr="003017D7" w:rsidRDefault="00B549C1" w:rsidP="00DD28A0">
            <w:pPr>
              <w:jc w:val="right"/>
              <w:rPr>
                <w:rFonts w:ascii="CAIXA Std Book" w:hAnsi="CAIXA Std Book"/>
                <w:color w:val="005CA9"/>
                <w:sz w:val="14"/>
                <w:szCs w:val="14"/>
              </w:rPr>
            </w:pPr>
            <w:r w:rsidRPr="003017D7">
              <w:rPr>
                <w:rFonts w:ascii="CAIXA Std Book" w:hAnsi="CAIXA Std Book"/>
                <w:color w:val="005CA9"/>
                <w:sz w:val="14"/>
                <w:szCs w:val="14"/>
              </w:rPr>
              <w:t>1.100.392</w:t>
            </w:r>
          </w:p>
        </w:tc>
        <w:tc>
          <w:tcPr>
            <w:tcW w:w="390" w:type="pct"/>
            <w:tcBorders>
              <w:top w:val="nil"/>
              <w:left w:val="nil"/>
              <w:bottom w:val="nil"/>
              <w:right w:val="nil"/>
            </w:tcBorders>
            <w:shd w:val="clear" w:color="auto" w:fill="auto"/>
            <w:noWrap/>
            <w:vAlign w:val="center"/>
          </w:tcPr>
          <w:p w14:paraId="6900DC2D" w14:textId="5BC174BD" w:rsidR="00DD28A0" w:rsidRPr="003017D7" w:rsidRDefault="00A226A5" w:rsidP="00DD28A0">
            <w:pPr>
              <w:jc w:val="right"/>
              <w:rPr>
                <w:rFonts w:ascii="CAIXA Std Book" w:hAnsi="CAIXA Std Book"/>
                <w:color w:val="005CA9"/>
                <w:sz w:val="14"/>
                <w:szCs w:val="14"/>
              </w:rPr>
            </w:pPr>
            <w:r w:rsidRPr="003017D7">
              <w:rPr>
                <w:rFonts w:ascii="CAIXA Std Book" w:hAnsi="CAIXA Std Book"/>
                <w:color w:val="005CA9"/>
                <w:sz w:val="14"/>
                <w:szCs w:val="14"/>
              </w:rPr>
              <w:t>100.126.223</w:t>
            </w:r>
          </w:p>
        </w:tc>
        <w:tc>
          <w:tcPr>
            <w:tcW w:w="428" w:type="pct"/>
            <w:tcBorders>
              <w:top w:val="nil"/>
              <w:left w:val="nil"/>
              <w:bottom w:val="nil"/>
              <w:right w:val="nil"/>
            </w:tcBorders>
            <w:vAlign w:val="center"/>
          </w:tcPr>
          <w:p w14:paraId="610B8AEE" w14:textId="78B445D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98.232.241</w:t>
            </w:r>
          </w:p>
        </w:tc>
      </w:tr>
      <w:tr w:rsidR="003017D7" w:rsidRPr="00B22AF5" w14:paraId="0705EBA3" w14:textId="77777777" w:rsidTr="00B22AF5">
        <w:trPr>
          <w:trHeight w:val="240"/>
        </w:trPr>
        <w:tc>
          <w:tcPr>
            <w:tcW w:w="1070" w:type="pct"/>
            <w:tcBorders>
              <w:top w:val="nil"/>
              <w:left w:val="nil"/>
              <w:bottom w:val="nil"/>
              <w:right w:val="nil"/>
            </w:tcBorders>
            <w:shd w:val="clear" w:color="auto" w:fill="auto"/>
            <w:noWrap/>
            <w:vAlign w:val="center"/>
          </w:tcPr>
          <w:p w14:paraId="5D0800B8"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Financiamentos rurais e agroindustriais</w:t>
            </w:r>
          </w:p>
        </w:tc>
        <w:tc>
          <w:tcPr>
            <w:tcW w:w="389" w:type="pct"/>
            <w:tcBorders>
              <w:top w:val="nil"/>
              <w:left w:val="nil"/>
              <w:bottom w:val="nil"/>
              <w:right w:val="nil"/>
            </w:tcBorders>
            <w:shd w:val="clear" w:color="auto" w:fill="auto"/>
            <w:noWrap/>
            <w:vAlign w:val="center"/>
          </w:tcPr>
          <w:p w14:paraId="171082CA" w14:textId="167594BB"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17.109.802</w:t>
            </w:r>
          </w:p>
        </w:tc>
        <w:tc>
          <w:tcPr>
            <w:tcW w:w="340" w:type="pct"/>
            <w:tcBorders>
              <w:top w:val="nil"/>
              <w:left w:val="nil"/>
              <w:bottom w:val="nil"/>
              <w:right w:val="nil"/>
            </w:tcBorders>
            <w:shd w:val="clear" w:color="auto" w:fill="auto"/>
            <w:noWrap/>
            <w:vAlign w:val="center"/>
          </w:tcPr>
          <w:p w14:paraId="6F764118" w14:textId="60ADF9EB"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16.802.759</w:t>
            </w:r>
          </w:p>
        </w:tc>
        <w:tc>
          <w:tcPr>
            <w:tcW w:w="340" w:type="pct"/>
            <w:tcBorders>
              <w:top w:val="nil"/>
              <w:left w:val="nil"/>
              <w:bottom w:val="nil"/>
              <w:right w:val="nil"/>
            </w:tcBorders>
            <w:shd w:val="clear" w:color="auto" w:fill="auto"/>
            <w:noWrap/>
            <w:vAlign w:val="center"/>
          </w:tcPr>
          <w:p w14:paraId="26AC1B06" w14:textId="41C031C9"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11.550.309</w:t>
            </w:r>
          </w:p>
        </w:tc>
        <w:tc>
          <w:tcPr>
            <w:tcW w:w="340" w:type="pct"/>
            <w:tcBorders>
              <w:top w:val="nil"/>
              <w:left w:val="nil"/>
              <w:bottom w:val="nil"/>
              <w:right w:val="nil"/>
            </w:tcBorders>
            <w:shd w:val="clear" w:color="auto" w:fill="auto"/>
            <w:noWrap/>
            <w:vAlign w:val="center"/>
          </w:tcPr>
          <w:p w14:paraId="33957ED6" w14:textId="6CBBE574"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9.720.973</w:t>
            </w:r>
          </w:p>
        </w:tc>
        <w:tc>
          <w:tcPr>
            <w:tcW w:w="341" w:type="pct"/>
            <w:tcBorders>
              <w:top w:val="nil"/>
              <w:left w:val="nil"/>
              <w:bottom w:val="nil"/>
              <w:right w:val="nil"/>
            </w:tcBorders>
            <w:shd w:val="clear" w:color="auto" w:fill="auto"/>
            <w:noWrap/>
            <w:vAlign w:val="center"/>
          </w:tcPr>
          <w:p w14:paraId="092FA06D" w14:textId="6A58A7F0"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825.345</w:t>
            </w:r>
          </w:p>
        </w:tc>
        <w:tc>
          <w:tcPr>
            <w:tcW w:w="340" w:type="pct"/>
            <w:tcBorders>
              <w:top w:val="nil"/>
              <w:left w:val="nil"/>
              <w:bottom w:val="nil"/>
              <w:right w:val="nil"/>
            </w:tcBorders>
            <w:shd w:val="clear" w:color="auto" w:fill="auto"/>
            <w:noWrap/>
            <w:vAlign w:val="center"/>
          </w:tcPr>
          <w:p w14:paraId="032A306C" w14:textId="49BE074C"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794.737</w:t>
            </w:r>
          </w:p>
        </w:tc>
        <w:tc>
          <w:tcPr>
            <w:tcW w:w="340" w:type="pct"/>
            <w:tcBorders>
              <w:top w:val="nil"/>
              <w:left w:val="nil"/>
              <w:bottom w:val="nil"/>
              <w:right w:val="nil"/>
            </w:tcBorders>
            <w:shd w:val="clear" w:color="auto" w:fill="auto"/>
            <w:noWrap/>
            <w:vAlign w:val="center"/>
          </w:tcPr>
          <w:p w14:paraId="049042E7" w14:textId="7641B67B"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123.876</w:t>
            </w:r>
          </w:p>
        </w:tc>
        <w:tc>
          <w:tcPr>
            <w:tcW w:w="341" w:type="pct"/>
            <w:tcBorders>
              <w:top w:val="nil"/>
              <w:left w:val="nil"/>
              <w:bottom w:val="nil"/>
              <w:right w:val="nil"/>
            </w:tcBorders>
            <w:shd w:val="clear" w:color="auto" w:fill="auto"/>
            <w:noWrap/>
            <w:vAlign w:val="center"/>
          </w:tcPr>
          <w:p w14:paraId="2D635D15" w14:textId="46037C4D"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169.795</w:t>
            </w:r>
          </w:p>
        </w:tc>
        <w:tc>
          <w:tcPr>
            <w:tcW w:w="340" w:type="pct"/>
            <w:tcBorders>
              <w:top w:val="nil"/>
              <w:left w:val="nil"/>
              <w:bottom w:val="nil"/>
              <w:right w:val="nil"/>
            </w:tcBorders>
            <w:shd w:val="clear" w:color="auto" w:fill="auto"/>
            <w:noWrap/>
            <w:vAlign w:val="center"/>
          </w:tcPr>
          <w:p w14:paraId="57F6ABD6" w14:textId="1E6A4E1C" w:rsidR="00DD28A0" w:rsidRPr="003017D7" w:rsidRDefault="00133241" w:rsidP="00DD28A0">
            <w:pPr>
              <w:jc w:val="right"/>
              <w:rPr>
                <w:rFonts w:ascii="CAIXA Std Book" w:hAnsi="CAIXA Std Book"/>
                <w:color w:val="005CA9"/>
                <w:sz w:val="14"/>
                <w:szCs w:val="14"/>
              </w:rPr>
            </w:pPr>
            <w:r w:rsidRPr="003017D7">
              <w:rPr>
                <w:rFonts w:ascii="CAIXA Std Book" w:hAnsi="CAIXA Std Book"/>
                <w:color w:val="005CA9"/>
                <w:sz w:val="14"/>
                <w:szCs w:val="14"/>
              </w:rPr>
              <w:t>458.282</w:t>
            </w:r>
          </w:p>
        </w:tc>
        <w:tc>
          <w:tcPr>
            <w:tcW w:w="390" w:type="pct"/>
            <w:tcBorders>
              <w:top w:val="nil"/>
              <w:left w:val="nil"/>
              <w:bottom w:val="nil"/>
              <w:right w:val="nil"/>
            </w:tcBorders>
            <w:shd w:val="clear" w:color="auto" w:fill="auto"/>
            <w:noWrap/>
            <w:vAlign w:val="center"/>
          </w:tcPr>
          <w:p w14:paraId="2D2B0AB2" w14:textId="1D69CD99" w:rsidR="00DD28A0" w:rsidRPr="003017D7" w:rsidRDefault="00F95939" w:rsidP="00DD28A0">
            <w:pPr>
              <w:jc w:val="right"/>
              <w:rPr>
                <w:rFonts w:ascii="CAIXA Std Book" w:hAnsi="CAIXA Std Book"/>
                <w:color w:val="005CA9"/>
                <w:sz w:val="14"/>
                <w:szCs w:val="14"/>
              </w:rPr>
            </w:pPr>
            <w:r w:rsidRPr="003017D7">
              <w:rPr>
                <w:rFonts w:ascii="CAIXA Std Book" w:hAnsi="CAIXA Std Book"/>
                <w:color w:val="005CA9"/>
                <w:sz w:val="14"/>
                <w:szCs w:val="14"/>
              </w:rPr>
              <w:t>57.555.878</w:t>
            </w:r>
          </w:p>
        </w:tc>
        <w:tc>
          <w:tcPr>
            <w:tcW w:w="428" w:type="pct"/>
            <w:tcBorders>
              <w:top w:val="nil"/>
              <w:left w:val="nil"/>
              <w:bottom w:val="nil"/>
              <w:right w:val="nil"/>
            </w:tcBorders>
            <w:vAlign w:val="center"/>
          </w:tcPr>
          <w:p w14:paraId="674617A4" w14:textId="36E85A64"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56.071.207</w:t>
            </w:r>
          </w:p>
        </w:tc>
      </w:tr>
      <w:tr w:rsidR="003017D7" w:rsidRPr="00B22AF5" w14:paraId="5E88B46E" w14:textId="77777777" w:rsidTr="00B22AF5">
        <w:trPr>
          <w:trHeight w:val="240"/>
        </w:trPr>
        <w:tc>
          <w:tcPr>
            <w:tcW w:w="1070" w:type="pct"/>
            <w:tcBorders>
              <w:top w:val="nil"/>
              <w:left w:val="nil"/>
              <w:bottom w:val="nil"/>
              <w:right w:val="nil"/>
            </w:tcBorders>
            <w:shd w:val="clear" w:color="auto" w:fill="auto"/>
            <w:noWrap/>
            <w:vAlign w:val="center"/>
          </w:tcPr>
          <w:p w14:paraId="092D85C3"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Financiamentos</w:t>
            </w:r>
          </w:p>
        </w:tc>
        <w:tc>
          <w:tcPr>
            <w:tcW w:w="389" w:type="pct"/>
            <w:tcBorders>
              <w:top w:val="nil"/>
              <w:left w:val="nil"/>
              <w:bottom w:val="nil"/>
              <w:right w:val="nil"/>
            </w:tcBorders>
            <w:shd w:val="clear" w:color="auto" w:fill="auto"/>
            <w:noWrap/>
            <w:vAlign w:val="center"/>
          </w:tcPr>
          <w:p w14:paraId="32715080" w14:textId="4EF02FDF"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911.481</w:t>
            </w:r>
          </w:p>
        </w:tc>
        <w:tc>
          <w:tcPr>
            <w:tcW w:w="340" w:type="pct"/>
            <w:tcBorders>
              <w:top w:val="nil"/>
              <w:left w:val="nil"/>
              <w:bottom w:val="nil"/>
              <w:right w:val="nil"/>
            </w:tcBorders>
            <w:shd w:val="clear" w:color="auto" w:fill="auto"/>
            <w:noWrap/>
            <w:vAlign w:val="center"/>
          </w:tcPr>
          <w:p w14:paraId="4029FCFE" w14:textId="3AE58F21"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1.801.390</w:t>
            </w:r>
          </w:p>
        </w:tc>
        <w:tc>
          <w:tcPr>
            <w:tcW w:w="340" w:type="pct"/>
            <w:tcBorders>
              <w:top w:val="nil"/>
              <w:left w:val="nil"/>
              <w:bottom w:val="nil"/>
              <w:right w:val="nil"/>
            </w:tcBorders>
            <w:shd w:val="clear" w:color="auto" w:fill="auto"/>
            <w:noWrap/>
            <w:vAlign w:val="center"/>
          </w:tcPr>
          <w:p w14:paraId="25DB627C" w14:textId="7F75D299"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2.468.975</w:t>
            </w:r>
          </w:p>
        </w:tc>
        <w:tc>
          <w:tcPr>
            <w:tcW w:w="340" w:type="pct"/>
            <w:tcBorders>
              <w:top w:val="nil"/>
              <w:left w:val="nil"/>
              <w:bottom w:val="nil"/>
              <w:right w:val="nil"/>
            </w:tcBorders>
            <w:shd w:val="clear" w:color="auto" w:fill="auto"/>
            <w:noWrap/>
            <w:vAlign w:val="center"/>
          </w:tcPr>
          <w:p w14:paraId="6C5DEA17" w14:textId="07B305A3"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925.980</w:t>
            </w:r>
          </w:p>
        </w:tc>
        <w:tc>
          <w:tcPr>
            <w:tcW w:w="341" w:type="pct"/>
            <w:tcBorders>
              <w:top w:val="nil"/>
              <w:left w:val="nil"/>
              <w:bottom w:val="nil"/>
              <w:right w:val="nil"/>
            </w:tcBorders>
            <w:shd w:val="clear" w:color="auto" w:fill="auto"/>
            <w:noWrap/>
            <w:vAlign w:val="center"/>
          </w:tcPr>
          <w:p w14:paraId="69EA534A" w14:textId="69A71BDC"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263.534</w:t>
            </w:r>
          </w:p>
        </w:tc>
        <w:tc>
          <w:tcPr>
            <w:tcW w:w="340" w:type="pct"/>
            <w:tcBorders>
              <w:top w:val="nil"/>
              <w:left w:val="nil"/>
              <w:bottom w:val="nil"/>
              <w:right w:val="nil"/>
            </w:tcBorders>
            <w:shd w:val="clear" w:color="auto" w:fill="auto"/>
            <w:noWrap/>
            <w:vAlign w:val="center"/>
          </w:tcPr>
          <w:p w14:paraId="5D8A1D1D" w14:textId="45BDA80A"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320.533</w:t>
            </w:r>
          </w:p>
        </w:tc>
        <w:tc>
          <w:tcPr>
            <w:tcW w:w="340" w:type="pct"/>
            <w:tcBorders>
              <w:top w:val="nil"/>
              <w:left w:val="nil"/>
              <w:bottom w:val="nil"/>
              <w:right w:val="nil"/>
            </w:tcBorders>
            <w:shd w:val="clear" w:color="auto" w:fill="auto"/>
            <w:noWrap/>
            <w:vAlign w:val="center"/>
          </w:tcPr>
          <w:p w14:paraId="168BDC92" w14:textId="17E458C8"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99.261</w:t>
            </w:r>
          </w:p>
        </w:tc>
        <w:tc>
          <w:tcPr>
            <w:tcW w:w="341" w:type="pct"/>
            <w:tcBorders>
              <w:top w:val="nil"/>
              <w:left w:val="nil"/>
              <w:bottom w:val="nil"/>
              <w:right w:val="nil"/>
            </w:tcBorders>
            <w:shd w:val="clear" w:color="auto" w:fill="auto"/>
            <w:noWrap/>
            <w:vAlign w:val="center"/>
          </w:tcPr>
          <w:p w14:paraId="0E998A42" w14:textId="527A6E8F"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26.214</w:t>
            </w:r>
          </w:p>
        </w:tc>
        <w:tc>
          <w:tcPr>
            <w:tcW w:w="340" w:type="pct"/>
            <w:tcBorders>
              <w:top w:val="nil"/>
              <w:left w:val="nil"/>
              <w:bottom w:val="nil"/>
              <w:right w:val="nil"/>
            </w:tcBorders>
            <w:shd w:val="clear" w:color="auto" w:fill="auto"/>
            <w:noWrap/>
            <w:vAlign w:val="center"/>
          </w:tcPr>
          <w:p w14:paraId="3359C8D0" w14:textId="47BDFAAE" w:rsidR="00DD28A0" w:rsidRPr="003017D7" w:rsidRDefault="00316DFF" w:rsidP="00DD28A0">
            <w:pPr>
              <w:jc w:val="right"/>
              <w:rPr>
                <w:rFonts w:ascii="CAIXA Std Book" w:hAnsi="CAIXA Std Book"/>
                <w:color w:val="005CA9"/>
                <w:sz w:val="14"/>
                <w:szCs w:val="14"/>
              </w:rPr>
            </w:pPr>
            <w:r w:rsidRPr="003017D7">
              <w:rPr>
                <w:rFonts w:ascii="CAIXA Std Book" w:hAnsi="CAIXA Std Book"/>
                <w:color w:val="005CA9"/>
                <w:sz w:val="14"/>
                <w:szCs w:val="14"/>
              </w:rPr>
              <w:t>181.754</w:t>
            </w:r>
          </w:p>
        </w:tc>
        <w:tc>
          <w:tcPr>
            <w:tcW w:w="390" w:type="pct"/>
            <w:tcBorders>
              <w:top w:val="nil"/>
              <w:left w:val="nil"/>
              <w:bottom w:val="nil"/>
              <w:right w:val="nil"/>
            </w:tcBorders>
            <w:shd w:val="clear" w:color="auto" w:fill="auto"/>
            <w:noWrap/>
            <w:vAlign w:val="center"/>
          </w:tcPr>
          <w:p w14:paraId="1679AE4E" w14:textId="3FF0C382" w:rsidR="00DD28A0" w:rsidRPr="003017D7" w:rsidRDefault="00040F85" w:rsidP="00DD28A0">
            <w:pPr>
              <w:jc w:val="right"/>
              <w:rPr>
                <w:rFonts w:ascii="CAIXA Std Book" w:hAnsi="CAIXA Std Book"/>
                <w:color w:val="005CA9"/>
                <w:sz w:val="14"/>
                <w:szCs w:val="14"/>
              </w:rPr>
            </w:pPr>
            <w:r w:rsidRPr="003017D7">
              <w:rPr>
                <w:rFonts w:ascii="CAIXA Std Book" w:hAnsi="CAIXA Std Book"/>
                <w:color w:val="005CA9"/>
                <w:sz w:val="14"/>
                <w:szCs w:val="14"/>
              </w:rPr>
              <w:t>6.999.122</w:t>
            </w:r>
          </w:p>
        </w:tc>
        <w:tc>
          <w:tcPr>
            <w:tcW w:w="428" w:type="pct"/>
            <w:tcBorders>
              <w:top w:val="nil"/>
              <w:left w:val="nil"/>
              <w:bottom w:val="nil"/>
              <w:right w:val="nil"/>
            </w:tcBorders>
            <w:vAlign w:val="center"/>
          </w:tcPr>
          <w:p w14:paraId="55209889" w14:textId="0AE08FF7"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6.506.622</w:t>
            </w:r>
          </w:p>
        </w:tc>
      </w:tr>
      <w:tr w:rsidR="003017D7" w:rsidRPr="00B22AF5" w14:paraId="4837931D" w14:textId="77777777" w:rsidTr="00B22AF5">
        <w:trPr>
          <w:trHeight w:val="240"/>
        </w:trPr>
        <w:tc>
          <w:tcPr>
            <w:tcW w:w="1070" w:type="pct"/>
            <w:tcBorders>
              <w:top w:val="nil"/>
              <w:left w:val="nil"/>
              <w:bottom w:val="nil"/>
              <w:right w:val="nil"/>
            </w:tcBorders>
            <w:shd w:val="clear" w:color="auto" w:fill="auto"/>
            <w:noWrap/>
            <w:vAlign w:val="center"/>
            <w:hideMark/>
          </w:tcPr>
          <w:p w14:paraId="3D7ED90C"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Cessão de créditos</w:t>
            </w:r>
          </w:p>
        </w:tc>
        <w:tc>
          <w:tcPr>
            <w:tcW w:w="389" w:type="pct"/>
            <w:tcBorders>
              <w:top w:val="nil"/>
              <w:left w:val="nil"/>
              <w:bottom w:val="nil"/>
              <w:right w:val="nil"/>
            </w:tcBorders>
            <w:shd w:val="clear" w:color="auto" w:fill="auto"/>
            <w:noWrap/>
            <w:vAlign w:val="center"/>
          </w:tcPr>
          <w:p w14:paraId="46596937" w14:textId="0B54D479"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3.424.006</w:t>
            </w:r>
          </w:p>
        </w:tc>
        <w:tc>
          <w:tcPr>
            <w:tcW w:w="340" w:type="pct"/>
            <w:tcBorders>
              <w:top w:val="nil"/>
              <w:left w:val="nil"/>
              <w:bottom w:val="nil"/>
              <w:right w:val="nil"/>
            </w:tcBorders>
            <w:shd w:val="clear" w:color="auto" w:fill="auto"/>
            <w:noWrap/>
            <w:vAlign w:val="center"/>
          </w:tcPr>
          <w:p w14:paraId="6F26443C" w14:textId="5067DB3B"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81.521</w:t>
            </w:r>
          </w:p>
        </w:tc>
        <w:tc>
          <w:tcPr>
            <w:tcW w:w="340" w:type="pct"/>
            <w:tcBorders>
              <w:top w:val="nil"/>
              <w:left w:val="nil"/>
              <w:bottom w:val="nil"/>
              <w:right w:val="nil"/>
            </w:tcBorders>
            <w:shd w:val="clear" w:color="auto" w:fill="auto"/>
            <w:noWrap/>
            <w:vAlign w:val="center"/>
          </w:tcPr>
          <w:p w14:paraId="2A14A929" w14:textId="3B5245E5"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225.868</w:t>
            </w:r>
          </w:p>
        </w:tc>
        <w:tc>
          <w:tcPr>
            <w:tcW w:w="340" w:type="pct"/>
            <w:tcBorders>
              <w:top w:val="nil"/>
              <w:left w:val="nil"/>
              <w:bottom w:val="nil"/>
              <w:right w:val="nil"/>
            </w:tcBorders>
            <w:shd w:val="clear" w:color="auto" w:fill="auto"/>
            <w:noWrap/>
            <w:vAlign w:val="center"/>
          </w:tcPr>
          <w:p w14:paraId="75AA4B01" w14:textId="5E502567"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87.295</w:t>
            </w:r>
          </w:p>
        </w:tc>
        <w:tc>
          <w:tcPr>
            <w:tcW w:w="341" w:type="pct"/>
            <w:tcBorders>
              <w:top w:val="nil"/>
              <w:left w:val="nil"/>
              <w:bottom w:val="nil"/>
              <w:right w:val="nil"/>
            </w:tcBorders>
            <w:shd w:val="clear" w:color="auto" w:fill="auto"/>
            <w:noWrap/>
            <w:vAlign w:val="center"/>
          </w:tcPr>
          <w:p w14:paraId="210C5FA6" w14:textId="43B7B7A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27.231</w:t>
            </w:r>
          </w:p>
        </w:tc>
        <w:tc>
          <w:tcPr>
            <w:tcW w:w="340" w:type="pct"/>
            <w:tcBorders>
              <w:top w:val="nil"/>
              <w:left w:val="nil"/>
              <w:bottom w:val="nil"/>
              <w:right w:val="nil"/>
            </w:tcBorders>
            <w:shd w:val="clear" w:color="auto" w:fill="auto"/>
            <w:noWrap/>
            <w:vAlign w:val="center"/>
          </w:tcPr>
          <w:p w14:paraId="72BE2790" w14:textId="7A0CAC2C"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15.179</w:t>
            </w:r>
          </w:p>
        </w:tc>
        <w:tc>
          <w:tcPr>
            <w:tcW w:w="340" w:type="pct"/>
            <w:tcBorders>
              <w:top w:val="nil"/>
              <w:left w:val="nil"/>
              <w:bottom w:val="nil"/>
              <w:right w:val="nil"/>
            </w:tcBorders>
            <w:shd w:val="clear" w:color="auto" w:fill="auto"/>
            <w:noWrap/>
            <w:vAlign w:val="center"/>
          </w:tcPr>
          <w:p w14:paraId="0400AB5D" w14:textId="53360A85"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10.337</w:t>
            </w:r>
          </w:p>
        </w:tc>
        <w:tc>
          <w:tcPr>
            <w:tcW w:w="341" w:type="pct"/>
            <w:tcBorders>
              <w:top w:val="nil"/>
              <w:left w:val="nil"/>
              <w:bottom w:val="nil"/>
              <w:right w:val="nil"/>
            </w:tcBorders>
            <w:shd w:val="clear" w:color="auto" w:fill="auto"/>
            <w:noWrap/>
            <w:vAlign w:val="center"/>
          </w:tcPr>
          <w:p w14:paraId="28BABF91" w14:textId="5B3E77F1"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6.039</w:t>
            </w:r>
          </w:p>
        </w:tc>
        <w:tc>
          <w:tcPr>
            <w:tcW w:w="340" w:type="pct"/>
            <w:tcBorders>
              <w:top w:val="nil"/>
              <w:left w:val="nil"/>
              <w:bottom w:val="nil"/>
              <w:right w:val="nil"/>
            </w:tcBorders>
            <w:shd w:val="clear" w:color="auto" w:fill="auto"/>
            <w:noWrap/>
            <w:vAlign w:val="center"/>
          </w:tcPr>
          <w:p w14:paraId="1F53DAAB" w14:textId="068C3A69"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26.084</w:t>
            </w:r>
          </w:p>
        </w:tc>
        <w:tc>
          <w:tcPr>
            <w:tcW w:w="390" w:type="pct"/>
            <w:tcBorders>
              <w:top w:val="nil"/>
              <w:left w:val="nil"/>
              <w:bottom w:val="nil"/>
              <w:right w:val="nil"/>
            </w:tcBorders>
            <w:shd w:val="clear" w:color="auto" w:fill="auto"/>
            <w:noWrap/>
            <w:vAlign w:val="center"/>
          </w:tcPr>
          <w:p w14:paraId="6EF8A66A" w14:textId="4CA98A29"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3.903.560</w:t>
            </w:r>
          </w:p>
        </w:tc>
        <w:tc>
          <w:tcPr>
            <w:tcW w:w="428" w:type="pct"/>
            <w:tcBorders>
              <w:top w:val="nil"/>
              <w:left w:val="nil"/>
              <w:bottom w:val="nil"/>
              <w:right w:val="nil"/>
            </w:tcBorders>
            <w:vAlign w:val="center"/>
          </w:tcPr>
          <w:p w14:paraId="5415179C" w14:textId="63FF9DD7"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4.091.246</w:t>
            </w:r>
          </w:p>
        </w:tc>
      </w:tr>
      <w:tr w:rsidR="003017D7" w:rsidRPr="00B22AF5" w14:paraId="32A6858D" w14:textId="77777777" w:rsidTr="00B22AF5">
        <w:trPr>
          <w:trHeight w:val="240"/>
        </w:trPr>
        <w:tc>
          <w:tcPr>
            <w:tcW w:w="1070" w:type="pct"/>
            <w:tcBorders>
              <w:top w:val="nil"/>
              <w:left w:val="nil"/>
              <w:bottom w:val="nil"/>
              <w:right w:val="nil"/>
            </w:tcBorders>
            <w:shd w:val="clear" w:color="auto" w:fill="auto"/>
            <w:noWrap/>
            <w:vAlign w:val="center"/>
            <w:hideMark/>
          </w:tcPr>
          <w:p w14:paraId="19D2784C" w14:textId="77777777" w:rsidR="00DD28A0" w:rsidRPr="003017D7" w:rsidRDefault="00DD28A0" w:rsidP="00DD28A0">
            <w:pPr>
              <w:rPr>
                <w:rFonts w:ascii="CAIXA Std Book" w:hAnsi="CAIXA Std Book"/>
                <w:b/>
                <w:color w:val="005CA9"/>
                <w:sz w:val="14"/>
                <w:szCs w:val="14"/>
              </w:rPr>
            </w:pPr>
            <w:r w:rsidRPr="003017D7">
              <w:rPr>
                <w:rFonts w:ascii="CAIXA Std Book" w:hAnsi="CAIXA Std Book"/>
                <w:b/>
                <w:color w:val="005CA9"/>
                <w:sz w:val="14"/>
                <w:szCs w:val="14"/>
              </w:rPr>
              <w:t>Outros créditos com característica de concessão de crédito</w:t>
            </w:r>
          </w:p>
        </w:tc>
        <w:tc>
          <w:tcPr>
            <w:tcW w:w="389" w:type="pct"/>
            <w:tcBorders>
              <w:top w:val="nil"/>
              <w:left w:val="nil"/>
              <w:bottom w:val="nil"/>
              <w:right w:val="nil"/>
            </w:tcBorders>
            <w:shd w:val="clear" w:color="auto" w:fill="auto"/>
            <w:noWrap/>
            <w:vAlign w:val="center"/>
          </w:tcPr>
          <w:p w14:paraId="3A5DAEB6" w14:textId="1F2633B1"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865.893</w:t>
            </w:r>
          </w:p>
        </w:tc>
        <w:tc>
          <w:tcPr>
            <w:tcW w:w="340" w:type="pct"/>
            <w:tcBorders>
              <w:top w:val="nil"/>
              <w:left w:val="nil"/>
              <w:bottom w:val="nil"/>
              <w:right w:val="nil"/>
            </w:tcBorders>
            <w:shd w:val="clear" w:color="auto" w:fill="auto"/>
            <w:noWrap/>
            <w:vAlign w:val="center"/>
          </w:tcPr>
          <w:p w14:paraId="37045150" w14:textId="1799DD41"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7.625.500</w:t>
            </w:r>
          </w:p>
        </w:tc>
        <w:tc>
          <w:tcPr>
            <w:tcW w:w="340" w:type="pct"/>
            <w:tcBorders>
              <w:top w:val="nil"/>
              <w:left w:val="nil"/>
              <w:bottom w:val="nil"/>
              <w:right w:val="nil"/>
            </w:tcBorders>
            <w:shd w:val="clear" w:color="auto" w:fill="auto"/>
            <w:noWrap/>
            <w:vAlign w:val="center"/>
          </w:tcPr>
          <w:p w14:paraId="3BB031B2" w14:textId="04C9B2D3"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1.763.950</w:t>
            </w:r>
          </w:p>
        </w:tc>
        <w:tc>
          <w:tcPr>
            <w:tcW w:w="340" w:type="pct"/>
            <w:tcBorders>
              <w:top w:val="nil"/>
              <w:left w:val="nil"/>
              <w:bottom w:val="nil"/>
              <w:right w:val="nil"/>
            </w:tcBorders>
            <w:shd w:val="clear" w:color="auto" w:fill="auto"/>
            <w:noWrap/>
            <w:vAlign w:val="center"/>
          </w:tcPr>
          <w:p w14:paraId="716F4603" w14:textId="48DE029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2.708.667</w:t>
            </w:r>
          </w:p>
        </w:tc>
        <w:tc>
          <w:tcPr>
            <w:tcW w:w="341" w:type="pct"/>
            <w:tcBorders>
              <w:top w:val="nil"/>
              <w:left w:val="nil"/>
              <w:bottom w:val="nil"/>
              <w:right w:val="nil"/>
            </w:tcBorders>
            <w:shd w:val="clear" w:color="auto" w:fill="auto"/>
            <w:noWrap/>
            <w:vAlign w:val="center"/>
          </w:tcPr>
          <w:p w14:paraId="54DDE4D0" w14:textId="0815848B"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493.082</w:t>
            </w:r>
          </w:p>
        </w:tc>
        <w:tc>
          <w:tcPr>
            <w:tcW w:w="340" w:type="pct"/>
            <w:tcBorders>
              <w:top w:val="nil"/>
              <w:left w:val="nil"/>
              <w:bottom w:val="nil"/>
              <w:right w:val="nil"/>
            </w:tcBorders>
            <w:shd w:val="clear" w:color="auto" w:fill="auto"/>
            <w:noWrap/>
            <w:vAlign w:val="center"/>
          </w:tcPr>
          <w:p w14:paraId="5F9FE5FD" w14:textId="3C8A726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284.205</w:t>
            </w:r>
          </w:p>
        </w:tc>
        <w:tc>
          <w:tcPr>
            <w:tcW w:w="340" w:type="pct"/>
            <w:tcBorders>
              <w:top w:val="nil"/>
              <w:left w:val="nil"/>
              <w:bottom w:val="nil"/>
              <w:right w:val="nil"/>
            </w:tcBorders>
            <w:shd w:val="clear" w:color="auto" w:fill="auto"/>
            <w:noWrap/>
            <w:vAlign w:val="center"/>
          </w:tcPr>
          <w:p w14:paraId="1447005E" w14:textId="2652E1AF"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93.343</w:t>
            </w:r>
          </w:p>
        </w:tc>
        <w:tc>
          <w:tcPr>
            <w:tcW w:w="341" w:type="pct"/>
            <w:tcBorders>
              <w:top w:val="nil"/>
              <w:left w:val="nil"/>
              <w:bottom w:val="nil"/>
              <w:right w:val="nil"/>
            </w:tcBorders>
            <w:shd w:val="clear" w:color="auto" w:fill="auto"/>
            <w:noWrap/>
            <w:vAlign w:val="center"/>
          </w:tcPr>
          <w:p w14:paraId="02E5C761" w14:textId="54A8C65F"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32.496</w:t>
            </w:r>
          </w:p>
        </w:tc>
        <w:tc>
          <w:tcPr>
            <w:tcW w:w="340" w:type="pct"/>
            <w:tcBorders>
              <w:top w:val="nil"/>
              <w:left w:val="nil"/>
              <w:bottom w:val="nil"/>
              <w:right w:val="nil"/>
            </w:tcBorders>
            <w:shd w:val="clear" w:color="auto" w:fill="auto"/>
            <w:noWrap/>
            <w:vAlign w:val="center"/>
          </w:tcPr>
          <w:p w14:paraId="441E94AD" w14:textId="69CF158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410.914</w:t>
            </w:r>
          </w:p>
        </w:tc>
        <w:tc>
          <w:tcPr>
            <w:tcW w:w="390" w:type="pct"/>
            <w:tcBorders>
              <w:top w:val="nil"/>
              <w:left w:val="nil"/>
              <w:bottom w:val="nil"/>
              <w:right w:val="nil"/>
            </w:tcBorders>
            <w:shd w:val="clear" w:color="auto" w:fill="auto"/>
            <w:noWrap/>
            <w:vAlign w:val="center"/>
          </w:tcPr>
          <w:p w14:paraId="643A92C8" w14:textId="487904C0"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14.278.050</w:t>
            </w:r>
          </w:p>
        </w:tc>
        <w:tc>
          <w:tcPr>
            <w:tcW w:w="428" w:type="pct"/>
            <w:tcBorders>
              <w:top w:val="nil"/>
              <w:left w:val="nil"/>
              <w:bottom w:val="nil"/>
              <w:right w:val="nil"/>
            </w:tcBorders>
            <w:vAlign w:val="center"/>
          </w:tcPr>
          <w:p w14:paraId="361DDCA5" w14:textId="60573A43"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14.509.182</w:t>
            </w:r>
          </w:p>
        </w:tc>
      </w:tr>
      <w:tr w:rsidR="003017D7" w:rsidRPr="00B22AF5" w14:paraId="06AEECFD" w14:textId="77777777" w:rsidTr="00B22AF5">
        <w:trPr>
          <w:trHeight w:val="240"/>
        </w:trPr>
        <w:tc>
          <w:tcPr>
            <w:tcW w:w="1070" w:type="pct"/>
            <w:tcBorders>
              <w:top w:val="nil"/>
              <w:left w:val="nil"/>
              <w:bottom w:val="nil"/>
              <w:right w:val="nil"/>
            </w:tcBorders>
            <w:shd w:val="clear" w:color="auto" w:fill="auto"/>
            <w:noWrap/>
            <w:vAlign w:val="center"/>
            <w:hideMark/>
          </w:tcPr>
          <w:p w14:paraId="395E435F"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Cartão de crédito</w:t>
            </w:r>
          </w:p>
        </w:tc>
        <w:tc>
          <w:tcPr>
            <w:tcW w:w="389" w:type="pct"/>
            <w:tcBorders>
              <w:top w:val="nil"/>
              <w:left w:val="nil"/>
              <w:bottom w:val="nil"/>
              <w:right w:val="nil"/>
            </w:tcBorders>
            <w:shd w:val="clear" w:color="auto" w:fill="auto"/>
            <w:noWrap/>
            <w:vAlign w:val="center"/>
          </w:tcPr>
          <w:p w14:paraId="704B627C" w14:textId="65B8227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551.535</w:t>
            </w:r>
          </w:p>
        </w:tc>
        <w:tc>
          <w:tcPr>
            <w:tcW w:w="340" w:type="pct"/>
            <w:tcBorders>
              <w:top w:val="nil"/>
              <w:left w:val="nil"/>
              <w:bottom w:val="nil"/>
              <w:right w:val="nil"/>
            </w:tcBorders>
            <w:shd w:val="clear" w:color="auto" w:fill="auto"/>
            <w:noWrap/>
            <w:vAlign w:val="center"/>
          </w:tcPr>
          <w:p w14:paraId="170E1A1F" w14:textId="64105FCA"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7.076.814</w:t>
            </w:r>
          </w:p>
        </w:tc>
        <w:tc>
          <w:tcPr>
            <w:tcW w:w="340" w:type="pct"/>
            <w:tcBorders>
              <w:top w:val="nil"/>
              <w:left w:val="nil"/>
              <w:bottom w:val="nil"/>
              <w:right w:val="nil"/>
            </w:tcBorders>
            <w:shd w:val="clear" w:color="auto" w:fill="auto"/>
            <w:noWrap/>
            <w:vAlign w:val="center"/>
          </w:tcPr>
          <w:p w14:paraId="130CE078" w14:textId="6337B9AC"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1.096.415</w:t>
            </w:r>
          </w:p>
        </w:tc>
        <w:tc>
          <w:tcPr>
            <w:tcW w:w="340" w:type="pct"/>
            <w:tcBorders>
              <w:top w:val="nil"/>
              <w:left w:val="nil"/>
              <w:bottom w:val="nil"/>
              <w:right w:val="nil"/>
            </w:tcBorders>
            <w:shd w:val="clear" w:color="auto" w:fill="auto"/>
            <w:noWrap/>
            <w:vAlign w:val="center"/>
          </w:tcPr>
          <w:p w14:paraId="700C20D3" w14:textId="6BDAEDE6"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2.168.265</w:t>
            </w:r>
          </w:p>
        </w:tc>
        <w:tc>
          <w:tcPr>
            <w:tcW w:w="341" w:type="pct"/>
            <w:tcBorders>
              <w:top w:val="nil"/>
              <w:left w:val="nil"/>
              <w:bottom w:val="nil"/>
              <w:right w:val="nil"/>
            </w:tcBorders>
            <w:shd w:val="clear" w:color="auto" w:fill="auto"/>
            <w:noWrap/>
            <w:vAlign w:val="center"/>
          </w:tcPr>
          <w:p w14:paraId="1C543890" w14:textId="48E5786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468.895</w:t>
            </w:r>
          </w:p>
        </w:tc>
        <w:tc>
          <w:tcPr>
            <w:tcW w:w="340" w:type="pct"/>
            <w:tcBorders>
              <w:top w:val="nil"/>
              <w:left w:val="nil"/>
              <w:bottom w:val="nil"/>
              <w:right w:val="nil"/>
            </w:tcBorders>
            <w:shd w:val="clear" w:color="auto" w:fill="auto"/>
            <w:noWrap/>
            <w:vAlign w:val="center"/>
          </w:tcPr>
          <w:p w14:paraId="660AB42B" w14:textId="2648FE55"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245.662</w:t>
            </w:r>
          </w:p>
        </w:tc>
        <w:tc>
          <w:tcPr>
            <w:tcW w:w="340" w:type="pct"/>
            <w:tcBorders>
              <w:top w:val="nil"/>
              <w:left w:val="nil"/>
              <w:bottom w:val="nil"/>
              <w:right w:val="nil"/>
            </w:tcBorders>
            <w:shd w:val="clear" w:color="auto" w:fill="auto"/>
            <w:noWrap/>
            <w:vAlign w:val="center"/>
          </w:tcPr>
          <w:p w14:paraId="43AEB6E1" w14:textId="5951C07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85.964</w:t>
            </w:r>
          </w:p>
        </w:tc>
        <w:tc>
          <w:tcPr>
            <w:tcW w:w="341" w:type="pct"/>
            <w:tcBorders>
              <w:top w:val="nil"/>
              <w:left w:val="nil"/>
              <w:bottom w:val="nil"/>
              <w:right w:val="nil"/>
            </w:tcBorders>
            <w:shd w:val="clear" w:color="auto" w:fill="auto"/>
            <w:noWrap/>
            <w:vAlign w:val="center"/>
          </w:tcPr>
          <w:p w14:paraId="20AAA6BD" w14:textId="3051A146"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28.656</w:t>
            </w:r>
          </w:p>
        </w:tc>
        <w:tc>
          <w:tcPr>
            <w:tcW w:w="340" w:type="pct"/>
            <w:tcBorders>
              <w:top w:val="nil"/>
              <w:left w:val="nil"/>
              <w:bottom w:val="nil"/>
              <w:right w:val="nil"/>
            </w:tcBorders>
            <w:shd w:val="clear" w:color="auto" w:fill="auto"/>
            <w:noWrap/>
            <w:vAlign w:val="center"/>
          </w:tcPr>
          <w:p w14:paraId="4DCB61B3" w14:textId="46A4C090"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183.199</w:t>
            </w:r>
          </w:p>
        </w:tc>
        <w:tc>
          <w:tcPr>
            <w:tcW w:w="390" w:type="pct"/>
            <w:tcBorders>
              <w:top w:val="nil"/>
              <w:left w:val="nil"/>
              <w:bottom w:val="nil"/>
              <w:right w:val="nil"/>
            </w:tcBorders>
            <w:shd w:val="clear" w:color="auto" w:fill="auto"/>
            <w:noWrap/>
            <w:vAlign w:val="center"/>
          </w:tcPr>
          <w:p w14:paraId="0E6FDCFB" w14:textId="397C2EC0"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11.905.405</w:t>
            </w:r>
          </w:p>
        </w:tc>
        <w:tc>
          <w:tcPr>
            <w:tcW w:w="428" w:type="pct"/>
            <w:tcBorders>
              <w:top w:val="nil"/>
              <w:left w:val="nil"/>
              <w:bottom w:val="nil"/>
              <w:right w:val="nil"/>
            </w:tcBorders>
            <w:vAlign w:val="center"/>
          </w:tcPr>
          <w:p w14:paraId="747D5190" w14:textId="0D63118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12.088.660</w:t>
            </w:r>
          </w:p>
        </w:tc>
      </w:tr>
      <w:tr w:rsidR="003017D7" w:rsidRPr="00B22AF5" w14:paraId="08F70019" w14:textId="77777777" w:rsidTr="00B22AF5">
        <w:trPr>
          <w:trHeight w:val="240"/>
        </w:trPr>
        <w:tc>
          <w:tcPr>
            <w:tcW w:w="1070" w:type="pct"/>
            <w:tcBorders>
              <w:top w:val="nil"/>
              <w:left w:val="nil"/>
              <w:bottom w:val="nil"/>
              <w:right w:val="nil"/>
            </w:tcBorders>
            <w:shd w:val="clear" w:color="auto" w:fill="auto"/>
            <w:noWrap/>
            <w:vAlign w:val="center"/>
            <w:hideMark/>
          </w:tcPr>
          <w:p w14:paraId="7FC65A22"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 xml:space="preserve">Adiantamento de contratos de câmbio </w:t>
            </w:r>
          </w:p>
        </w:tc>
        <w:tc>
          <w:tcPr>
            <w:tcW w:w="389" w:type="pct"/>
            <w:tcBorders>
              <w:top w:val="nil"/>
              <w:left w:val="nil"/>
              <w:bottom w:val="nil"/>
              <w:right w:val="nil"/>
            </w:tcBorders>
            <w:shd w:val="clear" w:color="auto" w:fill="auto"/>
            <w:noWrap/>
            <w:vAlign w:val="center"/>
          </w:tcPr>
          <w:p w14:paraId="777CBB57" w14:textId="6C1A5ECE"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278.878</w:t>
            </w:r>
          </w:p>
        </w:tc>
        <w:tc>
          <w:tcPr>
            <w:tcW w:w="340" w:type="pct"/>
            <w:tcBorders>
              <w:top w:val="nil"/>
              <w:left w:val="nil"/>
              <w:bottom w:val="nil"/>
              <w:right w:val="nil"/>
            </w:tcBorders>
            <w:shd w:val="clear" w:color="auto" w:fill="auto"/>
            <w:noWrap/>
            <w:vAlign w:val="center"/>
          </w:tcPr>
          <w:p w14:paraId="072BF584" w14:textId="4AB3E39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501.307</w:t>
            </w:r>
          </w:p>
        </w:tc>
        <w:tc>
          <w:tcPr>
            <w:tcW w:w="340" w:type="pct"/>
            <w:tcBorders>
              <w:top w:val="nil"/>
              <w:left w:val="nil"/>
              <w:bottom w:val="nil"/>
              <w:right w:val="nil"/>
            </w:tcBorders>
            <w:shd w:val="clear" w:color="auto" w:fill="auto"/>
            <w:noWrap/>
            <w:vAlign w:val="center"/>
          </w:tcPr>
          <w:p w14:paraId="3C7674A3" w14:textId="72301C0E"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654.118</w:t>
            </w:r>
          </w:p>
        </w:tc>
        <w:tc>
          <w:tcPr>
            <w:tcW w:w="340" w:type="pct"/>
            <w:tcBorders>
              <w:top w:val="nil"/>
              <w:left w:val="nil"/>
              <w:bottom w:val="nil"/>
              <w:right w:val="nil"/>
            </w:tcBorders>
            <w:shd w:val="clear" w:color="auto" w:fill="auto"/>
            <w:noWrap/>
            <w:vAlign w:val="center"/>
          </w:tcPr>
          <w:p w14:paraId="27656716" w14:textId="3AB1485C"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188.799</w:t>
            </w:r>
          </w:p>
        </w:tc>
        <w:tc>
          <w:tcPr>
            <w:tcW w:w="341" w:type="pct"/>
            <w:tcBorders>
              <w:top w:val="nil"/>
              <w:left w:val="nil"/>
              <w:bottom w:val="nil"/>
              <w:right w:val="nil"/>
            </w:tcBorders>
            <w:shd w:val="clear" w:color="auto" w:fill="auto"/>
            <w:noWrap/>
            <w:vAlign w:val="center"/>
          </w:tcPr>
          <w:p w14:paraId="7830709C" w14:textId="3E31D441"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22.332</w:t>
            </w:r>
          </w:p>
        </w:tc>
        <w:tc>
          <w:tcPr>
            <w:tcW w:w="340" w:type="pct"/>
            <w:tcBorders>
              <w:top w:val="nil"/>
              <w:left w:val="nil"/>
              <w:bottom w:val="nil"/>
              <w:right w:val="nil"/>
            </w:tcBorders>
            <w:shd w:val="clear" w:color="auto" w:fill="auto"/>
            <w:noWrap/>
            <w:vAlign w:val="center"/>
          </w:tcPr>
          <w:p w14:paraId="755D04A8" w14:textId="18A88B7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33.858</w:t>
            </w:r>
          </w:p>
        </w:tc>
        <w:tc>
          <w:tcPr>
            <w:tcW w:w="340" w:type="pct"/>
            <w:tcBorders>
              <w:top w:val="nil"/>
              <w:left w:val="nil"/>
              <w:bottom w:val="nil"/>
              <w:right w:val="nil"/>
            </w:tcBorders>
            <w:shd w:val="clear" w:color="auto" w:fill="auto"/>
            <w:noWrap/>
            <w:vAlign w:val="center"/>
          </w:tcPr>
          <w:p w14:paraId="0C88A821" w14:textId="14FC3E5D"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5962</w:t>
            </w:r>
          </w:p>
        </w:tc>
        <w:tc>
          <w:tcPr>
            <w:tcW w:w="341" w:type="pct"/>
            <w:tcBorders>
              <w:top w:val="nil"/>
              <w:left w:val="nil"/>
              <w:bottom w:val="nil"/>
              <w:right w:val="nil"/>
            </w:tcBorders>
            <w:shd w:val="clear" w:color="auto" w:fill="auto"/>
            <w:noWrap/>
            <w:vAlign w:val="center"/>
          </w:tcPr>
          <w:p w14:paraId="71A6C0A5" w14:textId="2BF1243E"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1113</w:t>
            </w:r>
          </w:p>
        </w:tc>
        <w:tc>
          <w:tcPr>
            <w:tcW w:w="340" w:type="pct"/>
            <w:tcBorders>
              <w:top w:val="nil"/>
              <w:left w:val="nil"/>
              <w:bottom w:val="nil"/>
              <w:right w:val="nil"/>
            </w:tcBorders>
            <w:shd w:val="clear" w:color="auto" w:fill="auto"/>
            <w:noWrap/>
            <w:vAlign w:val="center"/>
          </w:tcPr>
          <w:p w14:paraId="25395ECC" w14:textId="5D0829AD"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75.089</w:t>
            </w:r>
          </w:p>
        </w:tc>
        <w:tc>
          <w:tcPr>
            <w:tcW w:w="390" w:type="pct"/>
            <w:tcBorders>
              <w:top w:val="nil"/>
              <w:left w:val="nil"/>
              <w:bottom w:val="nil"/>
              <w:right w:val="nil"/>
            </w:tcBorders>
            <w:shd w:val="clear" w:color="auto" w:fill="auto"/>
            <w:noWrap/>
            <w:vAlign w:val="center"/>
          </w:tcPr>
          <w:p w14:paraId="24F67E78" w14:textId="1D33B2C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1.761.456</w:t>
            </w:r>
          </w:p>
        </w:tc>
        <w:tc>
          <w:tcPr>
            <w:tcW w:w="428" w:type="pct"/>
            <w:tcBorders>
              <w:top w:val="nil"/>
              <w:left w:val="nil"/>
              <w:bottom w:val="nil"/>
              <w:right w:val="nil"/>
            </w:tcBorders>
            <w:vAlign w:val="center"/>
          </w:tcPr>
          <w:p w14:paraId="1F5E8A94" w14:textId="2CA4452E"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1.738.220</w:t>
            </w:r>
          </w:p>
        </w:tc>
      </w:tr>
      <w:tr w:rsidR="003017D7" w:rsidRPr="00B22AF5" w14:paraId="3558A446" w14:textId="77777777" w:rsidTr="00B22AF5">
        <w:trPr>
          <w:trHeight w:val="240"/>
        </w:trPr>
        <w:tc>
          <w:tcPr>
            <w:tcW w:w="1070" w:type="pct"/>
            <w:tcBorders>
              <w:top w:val="nil"/>
              <w:left w:val="nil"/>
              <w:bottom w:val="nil"/>
              <w:right w:val="nil"/>
            </w:tcBorders>
            <w:shd w:val="clear" w:color="auto" w:fill="auto"/>
            <w:noWrap/>
            <w:vAlign w:val="center"/>
            <w:hideMark/>
          </w:tcPr>
          <w:p w14:paraId="06CB78A1"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Créditos adquiridos (1)</w:t>
            </w:r>
          </w:p>
        </w:tc>
        <w:tc>
          <w:tcPr>
            <w:tcW w:w="389" w:type="pct"/>
            <w:tcBorders>
              <w:top w:val="nil"/>
              <w:left w:val="nil"/>
              <w:bottom w:val="nil"/>
              <w:right w:val="nil"/>
            </w:tcBorders>
            <w:shd w:val="clear" w:color="auto" w:fill="auto"/>
            <w:noWrap/>
            <w:vAlign w:val="center"/>
          </w:tcPr>
          <w:p w14:paraId="46DF7F25" w14:textId="0C023E7E"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0" w:type="pct"/>
            <w:tcBorders>
              <w:top w:val="nil"/>
              <w:left w:val="nil"/>
              <w:bottom w:val="nil"/>
              <w:right w:val="nil"/>
            </w:tcBorders>
            <w:shd w:val="clear" w:color="auto" w:fill="auto"/>
            <w:noWrap/>
            <w:vAlign w:val="center"/>
          </w:tcPr>
          <w:p w14:paraId="071D934C" w14:textId="635F645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38.907</w:t>
            </w:r>
          </w:p>
        </w:tc>
        <w:tc>
          <w:tcPr>
            <w:tcW w:w="340" w:type="pct"/>
            <w:tcBorders>
              <w:top w:val="nil"/>
              <w:left w:val="nil"/>
              <w:bottom w:val="nil"/>
              <w:right w:val="nil"/>
            </w:tcBorders>
            <w:shd w:val="clear" w:color="auto" w:fill="auto"/>
            <w:noWrap/>
            <w:vAlign w:val="center"/>
          </w:tcPr>
          <w:p w14:paraId="14A890D2" w14:textId="4D2417A7"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0" w:type="pct"/>
            <w:tcBorders>
              <w:top w:val="nil"/>
              <w:left w:val="nil"/>
              <w:bottom w:val="nil"/>
              <w:right w:val="nil"/>
            </w:tcBorders>
            <w:shd w:val="clear" w:color="auto" w:fill="auto"/>
            <w:noWrap/>
            <w:vAlign w:val="center"/>
          </w:tcPr>
          <w:p w14:paraId="21C88356" w14:textId="5D9895AC"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319.793</w:t>
            </w:r>
          </w:p>
        </w:tc>
        <w:tc>
          <w:tcPr>
            <w:tcW w:w="341" w:type="pct"/>
            <w:tcBorders>
              <w:top w:val="nil"/>
              <w:left w:val="nil"/>
              <w:bottom w:val="nil"/>
              <w:right w:val="nil"/>
            </w:tcBorders>
            <w:shd w:val="clear" w:color="auto" w:fill="auto"/>
            <w:noWrap/>
            <w:vAlign w:val="center"/>
          </w:tcPr>
          <w:p w14:paraId="246332D1" w14:textId="7CAC3E20"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0" w:type="pct"/>
            <w:tcBorders>
              <w:top w:val="nil"/>
              <w:left w:val="nil"/>
              <w:bottom w:val="nil"/>
              <w:right w:val="nil"/>
            </w:tcBorders>
            <w:shd w:val="clear" w:color="auto" w:fill="auto"/>
            <w:noWrap/>
            <w:vAlign w:val="center"/>
          </w:tcPr>
          <w:p w14:paraId="0CA134BA" w14:textId="76D8575E"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0" w:type="pct"/>
            <w:tcBorders>
              <w:top w:val="nil"/>
              <w:left w:val="nil"/>
              <w:bottom w:val="nil"/>
              <w:right w:val="nil"/>
            </w:tcBorders>
            <w:shd w:val="clear" w:color="auto" w:fill="auto"/>
            <w:noWrap/>
            <w:vAlign w:val="center"/>
          </w:tcPr>
          <w:p w14:paraId="1F706AE9" w14:textId="649CBA31"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1" w:type="pct"/>
            <w:tcBorders>
              <w:top w:val="nil"/>
              <w:left w:val="nil"/>
              <w:bottom w:val="nil"/>
              <w:right w:val="nil"/>
            </w:tcBorders>
            <w:shd w:val="clear" w:color="auto" w:fill="auto"/>
            <w:noWrap/>
            <w:vAlign w:val="center"/>
          </w:tcPr>
          <w:p w14:paraId="36C22DFC" w14:textId="6B9FCC2E"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40" w:type="pct"/>
            <w:tcBorders>
              <w:top w:val="nil"/>
              <w:left w:val="nil"/>
              <w:bottom w:val="nil"/>
              <w:right w:val="nil"/>
            </w:tcBorders>
            <w:shd w:val="clear" w:color="auto" w:fill="auto"/>
            <w:noWrap/>
            <w:vAlign w:val="center"/>
          </w:tcPr>
          <w:p w14:paraId="526ADF02" w14:textId="6C68ED81" w:rsidR="00DD28A0" w:rsidRPr="003017D7" w:rsidRDefault="00DD28A0" w:rsidP="007F076D">
            <w:pPr>
              <w:jc w:val="center"/>
              <w:rPr>
                <w:rFonts w:ascii="CAIXA Std Book" w:hAnsi="CAIXA Std Book"/>
                <w:color w:val="005CA9"/>
                <w:sz w:val="14"/>
                <w:szCs w:val="14"/>
              </w:rPr>
            </w:pPr>
            <w:r w:rsidRPr="003017D7">
              <w:rPr>
                <w:rFonts w:ascii="CAIXA Std Book" w:hAnsi="CAIXA Std Book"/>
                <w:color w:val="005CA9"/>
                <w:sz w:val="14"/>
                <w:szCs w:val="14"/>
              </w:rPr>
              <w:t>-</w:t>
            </w:r>
          </w:p>
        </w:tc>
        <w:tc>
          <w:tcPr>
            <w:tcW w:w="390" w:type="pct"/>
            <w:tcBorders>
              <w:top w:val="nil"/>
              <w:left w:val="nil"/>
              <w:bottom w:val="nil"/>
              <w:right w:val="nil"/>
            </w:tcBorders>
            <w:shd w:val="clear" w:color="auto" w:fill="auto"/>
            <w:noWrap/>
            <w:vAlign w:val="center"/>
          </w:tcPr>
          <w:p w14:paraId="68FA2DFC" w14:textId="41B2D94D"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358.700</w:t>
            </w:r>
          </w:p>
        </w:tc>
        <w:tc>
          <w:tcPr>
            <w:tcW w:w="428" w:type="pct"/>
            <w:tcBorders>
              <w:top w:val="nil"/>
              <w:left w:val="nil"/>
              <w:bottom w:val="nil"/>
              <w:right w:val="nil"/>
            </w:tcBorders>
            <w:vAlign w:val="center"/>
          </w:tcPr>
          <w:p w14:paraId="60C309B7" w14:textId="34FEC716"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455.853</w:t>
            </w:r>
          </w:p>
        </w:tc>
      </w:tr>
      <w:tr w:rsidR="003017D7" w:rsidRPr="00B22AF5" w14:paraId="7D647B44" w14:textId="77777777" w:rsidTr="00B22AF5">
        <w:trPr>
          <w:trHeight w:val="240"/>
        </w:trPr>
        <w:tc>
          <w:tcPr>
            <w:tcW w:w="1070" w:type="pct"/>
            <w:tcBorders>
              <w:top w:val="nil"/>
              <w:left w:val="nil"/>
              <w:bottom w:val="nil"/>
              <w:right w:val="nil"/>
            </w:tcBorders>
            <w:shd w:val="clear" w:color="auto" w:fill="auto"/>
            <w:noWrap/>
            <w:vAlign w:val="center"/>
            <w:hideMark/>
          </w:tcPr>
          <w:p w14:paraId="24A2CF66" w14:textId="77777777" w:rsidR="00DD28A0" w:rsidRPr="003017D7" w:rsidRDefault="00DD28A0" w:rsidP="00DD28A0">
            <w:pPr>
              <w:rPr>
                <w:rFonts w:ascii="CAIXA Std Book" w:hAnsi="CAIXA Std Book"/>
                <w:color w:val="005CA9"/>
                <w:sz w:val="14"/>
                <w:szCs w:val="14"/>
              </w:rPr>
            </w:pPr>
            <w:r w:rsidRPr="003017D7">
              <w:rPr>
                <w:rFonts w:ascii="CAIXA Std Book" w:hAnsi="CAIXA Std Book"/>
                <w:color w:val="005CA9"/>
                <w:sz w:val="14"/>
                <w:szCs w:val="14"/>
              </w:rPr>
              <w:t>Diversos</w:t>
            </w:r>
          </w:p>
        </w:tc>
        <w:tc>
          <w:tcPr>
            <w:tcW w:w="389" w:type="pct"/>
            <w:tcBorders>
              <w:top w:val="nil"/>
              <w:left w:val="nil"/>
              <w:bottom w:val="nil"/>
              <w:right w:val="nil"/>
            </w:tcBorders>
            <w:shd w:val="clear" w:color="auto" w:fill="auto"/>
            <w:noWrap/>
            <w:vAlign w:val="center"/>
          </w:tcPr>
          <w:p w14:paraId="14FB37DA" w14:textId="0547357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35.480</w:t>
            </w:r>
          </w:p>
        </w:tc>
        <w:tc>
          <w:tcPr>
            <w:tcW w:w="340" w:type="pct"/>
            <w:tcBorders>
              <w:top w:val="nil"/>
              <w:left w:val="nil"/>
              <w:bottom w:val="nil"/>
              <w:right w:val="nil"/>
            </w:tcBorders>
            <w:shd w:val="clear" w:color="auto" w:fill="auto"/>
            <w:noWrap/>
            <w:vAlign w:val="center"/>
          </w:tcPr>
          <w:p w14:paraId="049A57BA" w14:textId="17D9FB0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8.472</w:t>
            </w:r>
          </w:p>
        </w:tc>
        <w:tc>
          <w:tcPr>
            <w:tcW w:w="340" w:type="pct"/>
            <w:tcBorders>
              <w:top w:val="nil"/>
              <w:left w:val="nil"/>
              <w:bottom w:val="nil"/>
              <w:right w:val="nil"/>
            </w:tcBorders>
            <w:shd w:val="clear" w:color="auto" w:fill="auto"/>
            <w:noWrap/>
            <w:vAlign w:val="center"/>
          </w:tcPr>
          <w:p w14:paraId="30243085" w14:textId="20811B1C"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13.417</w:t>
            </w:r>
          </w:p>
        </w:tc>
        <w:tc>
          <w:tcPr>
            <w:tcW w:w="340" w:type="pct"/>
            <w:tcBorders>
              <w:top w:val="nil"/>
              <w:left w:val="nil"/>
              <w:bottom w:val="nil"/>
              <w:right w:val="nil"/>
            </w:tcBorders>
            <w:shd w:val="clear" w:color="auto" w:fill="auto"/>
            <w:noWrap/>
            <w:vAlign w:val="center"/>
          </w:tcPr>
          <w:p w14:paraId="77662FC3" w14:textId="13F9BE8B"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31.810</w:t>
            </w:r>
          </w:p>
        </w:tc>
        <w:tc>
          <w:tcPr>
            <w:tcW w:w="341" w:type="pct"/>
            <w:tcBorders>
              <w:top w:val="nil"/>
              <w:left w:val="nil"/>
              <w:bottom w:val="nil"/>
              <w:right w:val="nil"/>
            </w:tcBorders>
            <w:shd w:val="clear" w:color="auto" w:fill="auto"/>
            <w:noWrap/>
            <w:vAlign w:val="center"/>
          </w:tcPr>
          <w:p w14:paraId="264336B1" w14:textId="6F0F84E7"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1.855</w:t>
            </w:r>
          </w:p>
        </w:tc>
        <w:tc>
          <w:tcPr>
            <w:tcW w:w="340" w:type="pct"/>
            <w:tcBorders>
              <w:top w:val="nil"/>
              <w:left w:val="nil"/>
              <w:bottom w:val="nil"/>
              <w:right w:val="nil"/>
            </w:tcBorders>
            <w:shd w:val="clear" w:color="auto" w:fill="auto"/>
            <w:noWrap/>
            <w:vAlign w:val="center"/>
          </w:tcPr>
          <w:p w14:paraId="7B95D8AC" w14:textId="416A8AC7"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4.685</w:t>
            </w:r>
          </w:p>
        </w:tc>
        <w:tc>
          <w:tcPr>
            <w:tcW w:w="340" w:type="pct"/>
            <w:tcBorders>
              <w:top w:val="nil"/>
              <w:left w:val="nil"/>
              <w:bottom w:val="nil"/>
              <w:right w:val="nil"/>
            </w:tcBorders>
            <w:shd w:val="clear" w:color="auto" w:fill="auto"/>
            <w:noWrap/>
            <w:vAlign w:val="center"/>
          </w:tcPr>
          <w:p w14:paraId="3EA63D6A" w14:textId="2F5ACDAF"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1.417</w:t>
            </w:r>
          </w:p>
        </w:tc>
        <w:tc>
          <w:tcPr>
            <w:tcW w:w="341" w:type="pct"/>
            <w:tcBorders>
              <w:top w:val="nil"/>
              <w:left w:val="nil"/>
              <w:bottom w:val="nil"/>
              <w:right w:val="nil"/>
            </w:tcBorders>
            <w:shd w:val="clear" w:color="auto" w:fill="auto"/>
            <w:noWrap/>
            <w:vAlign w:val="center"/>
          </w:tcPr>
          <w:p w14:paraId="0A8ED9F6" w14:textId="499180CD"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2.727</w:t>
            </w:r>
          </w:p>
        </w:tc>
        <w:tc>
          <w:tcPr>
            <w:tcW w:w="340" w:type="pct"/>
            <w:tcBorders>
              <w:top w:val="nil"/>
              <w:left w:val="nil"/>
              <w:bottom w:val="nil"/>
              <w:right w:val="nil"/>
            </w:tcBorders>
            <w:shd w:val="clear" w:color="auto" w:fill="auto"/>
            <w:noWrap/>
            <w:vAlign w:val="center"/>
          </w:tcPr>
          <w:p w14:paraId="254C6CAA" w14:textId="6E070439"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152.626</w:t>
            </w:r>
          </w:p>
        </w:tc>
        <w:tc>
          <w:tcPr>
            <w:tcW w:w="390" w:type="pct"/>
            <w:tcBorders>
              <w:top w:val="nil"/>
              <w:left w:val="nil"/>
              <w:bottom w:val="nil"/>
              <w:right w:val="nil"/>
            </w:tcBorders>
            <w:shd w:val="clear" w:color="auto" w:fill="auto"/>
            <w:noWrap/>
            <w:vAlign w:val="center"/>
          </w:tcPr>
          <w:p w14:paraId="7FF1755E" w14:textId="1E39F10D"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252.489</w:t>
            </w:r>
          </w:p>
        </w:tc>
        <w:tc>
          <w:tcPr>
            <w:tcW w:w="428" w:type="pct"/>
            <w:tcBorders>
              <w:top w:val="nil"/>
              <w:left w:val="nil"/>
              <w:bottom w:val="nil"/>
              <w:right w:val="nil"/>
            </w:tcBorders>
            <w:vAlign w:val="center"/>
          </w:tcPr>
          <w:p w14:paraId="6D309F84" w14:textId="2D285483"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226.449</w:t>
            </w:r>
          </w:p>
        </w:tc>
      </w:tr>
      <w:tr w:rsidR="003017D7" w:rsidRPr="00B22AF5" w14:paraId="727F2C1C" w14:textId="77777777" w:rsidTr="00B22AF5">
        <w:trPr>
          <w:trHeight w:val="240"/>
        </w:trPr>
        <w:tc>
          <w:tcPr>
            <w:tcW w:w="1070" w:type="pct"/>
            <w:tcBorders>
              <w:top w:val="single" w:sz="4" w:space="0" w:color="F39200"/>
              <w:left w:val="nil"/>
              <w:bottom w:val="single" w:sz="4" w:space="0" w:color="F39200"/>
              <w:right w:val="nil"/>
            </w:tcBorders>
            <w:shd w:val="clear" w:color="auto" w:fill="auto"/>
            <w:noWrap/>
            <w:vAlign w:val="center"/>
            <w:hideMark/>
          </w:tcPr>
          <w:p w14:paraId="12D9EAB3" w14:textId="77777777" w:rsidR="00DD28A0" w:rsidRPr="003017D7" w:rsidRDefault="00DD28A0" w:rsidP="00DD28A0">
            <w:pPr>
              <w:rPr>
                <w:rFonts w:ascii="CAIXA Std Book" w:hAnsi="CAIXA Std Book"/>
                <w:b/>
                <w:color w:val="005CA9"/>
                <w:sz w:val="14"/>
                <w:szCs w:val="14"/>
              </w:rPr>
            </w:pPr>
            <w:r w:rsidRPr="003017D7">
              <w:rPr>
                <w:rFonts w:ascii="CAIXA Std Book" w:hAnsi="CAIXA Std Book" w:cs="Arial Unicode MS"/>
                <w:b/>
                <w:color w:val="005CA9"/>
                <w:sz w:val="14"/>
                <w:szCs w:val="14"/>
              </w:rPr>
              <w:t>Subtotal</w:t>
            </w:r>
          </w:p>
        </w:tc>
        <w:tc>
          <w:tcPr>
            <w:tcW w:w="389" w:type="pct"/>
            <w:tcBorders>
              <w:top w:val="single" w:sz="4" w:space="0" w:color="F39200"/>
              <w:left w:val="nil"/>
              <w:bottom w:val="single" w:sz="4" w:space="0" w:color="F39200"/>
              <w:right w:val="nil"/>
            </w:tcBorders>
            <w:shd w:val="clear" w:color="auto" w:fill="auto"/>
            <w:noWrap/>
            <w:vAlign w:val="center"/>
          </w:tcPr>
          <w:p w14:paraId="4D0D8668" w14:textId="2FE13A65"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535.332.261</w:t>
            </w:r>
          </w:p>
        </w:tc>
        <w:tc>
          <w:tcPr>
            <w:tcW w:w="340" w:type="pct"/>
            <w:tcBorders>
              <w:top w:val="single" w:sz="4" w:space="0" w:color="F39200"/>
              <w:left w:val="nil"/>
              <w:bottom w:val="single" w:sz="4" w:space="0" w:color="F39200"/>
              <w:right w:val="nil"/>
            </w:tcBorders>
            <w:shd w:val="clear" w:color="auto" w:fill="auto"/>
            <w:noWrap/>
            <w:vAlign w:val="center"/>
          </w:tcPr>
          <w:p w14:paraId="1AEA1229" w14:textId="6E89F0C8"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188.113.524</w:t>
            </w:r>
          </w:p>
        </w:tc>
        <w:tc>
          <w:tcPr>
            <w:tcW w:w="340" w:type="pct"/>
            <w:tcBorders>
              <w:top w:val="single" w:sz="4" w:space="0" w:color="F39200"/>
              <w:left w:val="nil"/>
              <w:bottom w:val="single" w:sz="4" w:space="0" w:color="F39200"/>
              <w:right w:val="nil"/>
            </w:tcBorders>
            <w:shd w:val="clear" w:color="auto" w:fill="auto"/>
            <w:noWrap/>
            <w:vAlign w:val="center"/>
          </w:tcPr>
          <w:p w14:paraId="20C76239" w14:textId="3CE71C6C"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207.150.505</w:t>
            </w:r>
          </w:p>
        </w:tc>
        <w:tc>
          <w:tcPr>
            <w:tcW w:w="340" w:type="pct"/>
            <w:tcBorders>
              <w:top w:val="single" w:sz="4" w:space="0" w:color="F39200"/>
              <w:left w:val="nil"/>
              <w:bottom w:val="single" w:sz="4" w:space="0" w:color="F39200"/>
              <w:right w:val="nil"/>
            </w:tcBorders>
            <w:shd w:val="clear" w:color="auto" w:fill="auto"/>
            <w:noWrap/>
            <w:vAlign w:val="center"/>
          </w:tcPr>
          <w:p w14:paraId="1C0FE872" w14:textId="093A2724"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133.731.897</w:t>
            </w:r>
          </w:p>
        </w:tc>
        <w:tc>
          <w:tcPr>
            <w:tcW w:w="341" w:type="pct"/>
            <w:tcBorders>
              <w:top w:val="single" w:sz="4" w:space="0" w:color="F39200"/>
              <w:left w:val="nil"/>
              <w:bottom w:val="single" w:sz="4" w:space="0" w:color="F39200"/>
              <w:right w:val="nil"/>
            </w:tcBorders>
            <w:shd w:val="clear" w:color="auto" w:fill="auto"/>
            <w:noWrap/>
            <w:vAlign w:val="center"/>
          </w:tcPr>
          <w:p w14:paraId="295518AF" w14:textId="16FC43A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26.669.189</w:t>
            </w:r>
          </w:p>
        </w:tc>
        <w:tc>
          <w:tcPr>
            <w:tcW w:w="340" w:type="pct"/>
            <w:tcBorders>
              <w:top w:val="single" w:sz="4" w:space="0" w:color="F39200"/>
              <w:left w:val="nil"/>
              <w:bottom w:val="single" w:sz="4" w:space="0" w:color="F39200"/>
              <w:right w:val="nil"/>
            </w:tcBorders>
            <w:shd w:val="clear" w:color="auto" w:fill="auto"/>
            <w:noWrap/>
            <w:vAlign w:val="center"/>
          </w:tcPr>
          <w:p w14:paraId="40A0BF0D" w14:textId="66BB5020"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15.249.730</w:t>
            </w:r>
          </w:p>
        </w:tc>
        <w:tc>
          <w:tcPr>
            <w:tcW w:w="340" w:type="pct"/>
            <w:tcBorders>
              <w:top w:val="single" w:sz="4" w:space="0" w:color="F39200"/>
              <w:left w:val="nil"/>
              <w:bottom w:val="single" w:sz="4" w:space="0" w:color="F39200"/>
              <w:right w:val="nil"/>
            </w:tcBorders>
            <w:shd w:val="clear" w:color="auto" w:fill="auto"/>
            <w:noWrap/>
            <w:vAlign w:val="center"/>
          </w:tcPr>
          <w:p w14:paraId="71CE2884" w14:textId="3AFDD74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8.961.972</w:t>
            </w:r>
          </w:p>
        </w:tc>
        <w:tc>
          <w:tcPr>
            <w:tcW w:w="341" w:type="pct"/>
            <w:tcBorders>
              <w:top w:val="single" w:sz="4" w:space="0" w:color="F39200"/>
              <w:left w:val="nil"/>
              <w:bottom w:val="single" w:sz="4" w:space="0" w:color="F39200"/>
              <w:right w:val="nil"/>
            </w:tcBorders>
            <w:shd w:val="clear" w:color="auto" w:fill="auto"/>
            <w:noWrap/>
            <w:vAlign w:val="center"/>
          </w:tcPr>
          <w:p w14:paraId="0CF54525" w14:textId="3737CD94"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11.923.339</w:t>
            </w:r>
          </w:p>
        </w:tc>
        <w:tc>
          <w:tcPr>
            <w:tcW w:w="340" w:type="pct"/>
            <w:tcBorders>
              <w:top w:val="single" w:sz="4" w:space="0" w:color="F39200"/>
              <w:left w:val="nil"/>
              <w:bottom w:val="single" w:sz="4" w:space="0" w:color="F39200"/>
              <w:right w:val="nil"/>
            </w:tcBorders>
            <w:shd w:val="clear" w:color="auto" w:fill="auto"/>
            <w:noWrap/>
            <w:vAlign w:val="center"/>
          </w:tcPr>
          <w:p w14:paraId="386A5337" w14:textId="72D66EFE"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17.115.117</w:t>
            </w:r>
          </w:p>
        </w:tc>
        <w:tc>
          <w:tcPr>
            <w:tcW w:w="390" w:type="pct"/>
            <w:tcBorders>
              <w:top w:val="single" w:sz="4" w:space="0" w:color="F39200"/>
              <w:left w:val="nil"/>
              <w:bottom w:val="single" w:sz="4" w:space="0" w:color="F39200"/>
              <w:right w:val="nil"/>
            </w:tcBorders>
            <w:shd w:val="clear" w:color="auto" w:fill="auto"/>
            <w:noWrap/>
            <w:vAlign w:val="center"/>
          </w:tcPr>
          <w:p w14:paraId="6207365A" w14:textId="276D0A60"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1.144.247.534</w:t>
            </w:r>
          </w:p>
        </w:tc>
        <w:tc>
          <w:tcPr>
            <w:tcW w:w="428" w:type="pct"/>
            <w:tcBorders>
              <w:top w:val="single" w:sz="4" w:space="0" w:color="F39200"/>
              <w:left w:val="nil"/>
              <w:bottom w:val="single" w:sz="4" w:space="0" w:color="F39200"/>
              <w:right w:val="nil"/>
            </w:tcBorders>
            <w:vAlign w:val="center"/>
          </w:tcPr>
          <w:p w14:paraId="49BCFE93" w14:textId="7F3EDDEF"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1.119.740.142</w:t>
            </w:r>
          </w:p>
        </w:tc>
      </w:tr>
      <w:tr w:rsidR="003017D7" w:rsidRPr="00B22AF5" w14:paraId="49A14A87" w14:textId="77777777" w:rsidTr="00B22AF5">
        <w:trPr>
          <w:trHeight w:val="240"/>
        </w:trPr>
        <w:tc>
          <w:tcPr>
            <w:tcW w:w="1070" w:type="pct"/>
            <w:tcBorders>
              <w:top w:val="nil"/>
              <w:left w:val="nil"/>
              <w:bottom w:val="single" w:sz="4" w:space="0" w:color="F39200"/>
              <w:right w:val="nil"/>
            </w:tcBorders>
            <w:shd w:val="clear" w:color="auto" w:fill="auto"/>
            <w:noWrap/>
            <w:vAlign w:val="center"/>
          </w:tcPr>
          <w:p w14:paraId="13CC1ECB" w14:textId="77777777" w:rsidR="00DD28A0" w:rsidRPr="003017D7" w:rsidRDefault="00DD28A0" w:rsidP="00DD28A0">
            <w:pPr>
              <w:rPr>
                <w:rFonts w:ascii="CAIXA Std Book" w:hAnsi="CAIXA Std Book"/>
                <w:b/>
                <w:color w:val="005CA9"/>
                <w:sz w:val="14"/>
                <w:szCs w:val="14"/>
              </w:rPr>
            </w:pPr>
            <w:r w:rsidRPr="003017D7">
              <w:rPr>
                <w:rFonts w:ascii="CAIXA Std Book" w:hAnsi="CAIXA Std Book" w:cs="Arial Unicode MS"/>
                <w:i/>
                <w:color w:val="005CA9"/>
                <w:sz w:val="14"/>
                <w:szCs w:val="14"/>
              </w:rPr>
              <w:t>Hedge</w:t>
            </w:r>
            <w:r w:rsidRPr="003017D7">
              <w:rPr>
                <w:rFonts w:ascii="CAIXA Std Book" w:hAnsi="CAIXA Std Book" w:cs="Arial Unicode MS"/>
                <w:color w:val="005CA9"/>
                <w:sz w:val="14"/>
                <w:szCs w:val="14"/>
              </w:rPr>
              <w:t xml:space="preserve"> da carteira de crédito</w:t>
            </w:r>
          </w:p>
        </w:tc>
        <w:tc>
          <w:tcPr>
            <w:tcW w:w="389" w:type="pct"/>
            <w:tcBorders>
              <w:top w:val="nil"/>
              <w:left w:val="nil"/>
              <w:bottom w:val="single" w:sz="4" w:space="0" w:color="F39200"/>
              <w:right w:val="nil"/>
            </w:tcBorders>
            <w:shd w:val="clear" w:color="auto" w:fill="auto"/>
            <w:noWrap/>
            <w:vAlign w:val="center"/>
          </w:tcPr>
          <w:p w14:paraId="18C60586" w14:textId="1D33C15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7FCEACDC" w14:textId="658D16D9"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36CA6331" w14:textId="70B2606A"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0D4C1E9A" w14:textId="0629BDB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1" w:type="pct"/>
            <w:tcBorders>
              <w:top w:val="nil"/>
              <w:left w:val="nil"/>
              <w:bottom w:val="single" w:sz="4" w:space="0" w:color="F39200"/>
              <w:right w:val="nil"/>
            </w:tcBorders>
            <w:shd w:val="clear" w:color="auto" w:fill="auto"/>
            <w:noWrap/>
            <w:vAlign w:val="center"/>
          </w:tcPr>
          <w:p w14:paraId="3C3EBE95" w14:textId="0A5EFA75"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4E221C4A" w14:textId="78BB1518"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0DA42BA3" w14:textId="3C253B9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1" w:type="pct"/>
            <w:tcBorders>
              <w:top w:val="nil"/>
              <w:left w:val="nil"/>
              <w:bottom w:val="single" w:sz="4" w:space="0" w:color="F39200"/>
              <w:right w:val="nil"/>
            </w:tcBorders>
            <w:shd w:val="clear" w:color="auto" w:fill="auto"/>
            <w:noWrap/>
            <w:vAlign w:val="center"/>
          </w:tcPr>
          <w:p w14:paraId="6E2ABD24" w14:textId="7B6B21A2"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40" w:type="pct"/>
            <w:tcBorders>
              <w:top w:val="nil"/>
              <w:left w:val="nil"/>
              <w:bottom w:val="single" w:sz="4" w:space="0" w:color="F39200"/>
              <w:right w:val="nil"/>
            </w:tcBorders>
            <w:shd w:val="clear" w:color="auto" w:fill="auto"/>
            <w:noWrap/>
            <w:vAlign w:val="center"/>
          </w:tcPr>
          <w:p w14:paraId="78A6FF5E" w14:textId="57F63CA3"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 </w:t>
            </w:r>
          </w:p>
        </w:tc>
        <w:tc>
          <w:tcPr>
            <w:tcW w:w="390" w:type="pct"/>
            <w:tcBorders>
              <w:top w:val="nil"/>
              <w:left w:val="nil"/>
              <w:bottom w:val="single" w:sz="4" w:space="0" w:color="F39200"/>
              <w:right w:val="nil"/>
            </w:tcBorders>
            <w:shd w:val="clear" w:color="auto" w:fill="auto"/>
            <w:noWrap/>
            <w:vAlign w:val="center"/>
          </w:tcPr>
          <w:p w14:paraId="399FAB91" w14:textId="1C810B90"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(9.798)</w:t>
            </w:r>
          </w:p>
        </w:tc>
        <w:tc>
          <w:tcPr>
            <w:tcW w:w="428" w:type="pct"/>
            <w:tcBorders>
              <w:top w:val="nil"/>
              <w:left w:val="nil"/>
              <w:bottom w:val="single" w:sz="4" w:space="0" w:color="F39200"/>
              <w:right w:val="nil"/>
            </w:tcBorders>
            <w:vAlign w:val="center"/>
          </w:tcPr>
          <w:p w14:paraId="3D859B3D" w14:textId="29D50A71" w:rsidR="00DD28A0" w:rsidRPr="003017D7" w:rsidRDefault="00DD28A0" w:rsidP="00DD28A0">
            <w:pPr>
              <w:jc w:val="right"/>
              <w:rPr>
                <w:rFonts w:ascii="CAIXA Std Book" w:hAnsi="CAIXA Std Book"/>
                <w:color w:val="005CA9"/>
                <w:sz w:val="14"/>
                <w:szCs w:val="14"/>
              </w:rPr>
            </w:pPr>
            <w:r w:rsidRPr="003017D7">
              <w:rPr>
                <w:rFonts w:ascii="CAIXA Std Book" w:hAnsi="CAIXA Std Book"/>
                <w:color w:val="005CA9"/>
                <w:sz w:val="14"/>
                <w:szCs w:val="14"/>
              </w:rPr>
              <w:t>80.116</w:t>
            </w:r>
          </w:p>
        </w:tc>
      </w:tr>
      <w:tr w:rsidR="003017D7" w:rsidRPr="00B22AF5" w14:paraId="11DA32D1" w14:textId="77777777" w:rsidTr="00B22AF5">
        <w:trPr>
          <w:trHeight w:val="240"/>
        </w:trPr>
        <w:tc>
          <w:tcPr>
            <w:tcW w:w="1070" w:type="pct"/>
            <w:tcBorders>
              <w:top w:val="nil"/>
              <w:left w:val="nil"/>
              <w:bottom w:val="single" w:sz="4" w:space="0" w:color="F39200"/>
              <w:right w:val="nil"/>
            </w:tcBorders>
            <w:shd w:val="clear" w:color="auto" w:fill="auto"/>
            <w:noWrap/>
            <w:vAlign w:val="center"/>
          </w:tcPr>
          <w:p w14:paraId="4BB4EEF0" w14:textId="77777777" w:rsidR="00DD28A0" w:rsidRPr="003017D7" w:rsidRDefault="00DD28A0" w:rsidP="00DD28A0">
            <w:pPr>
              <w:rPr>
                <w:rFonts w:ascii="CAIXA Std Book" w:hAnsi="CAIXA Std Book"/>
                <w:b/>
                <w:color w:val="005CA9"/>
                <w:sz w:val="14"/>
                <w:szCs w:val="14"/>
              </w:rPr>
            </w:pPr>
            <w:r w:rsidRPr="003017D7">
              <w:rPr>
                <w:rFonts w:ascii="CAIXA Std Book" w:hAnsi="CAIXA Std Book" w:cs="Arial Unicode MS"/>
                <w:b/>
                <w:color w:val="005CA9"/>
                <w:sz w:val="14"/>
                <w:szCs w:val="14"/>
              </w:rPr>
              <w:t xml:space="preserve">Total </w:t>
            </w:r>
          </w:p>
        </w:tc>
        <w:tc>
          <w:tcPr>
            <w:tcW w:w="389" w:type="pct"/>
            <w:tcBorders>
              <w:top w:val="nil"/>
              <w:left w:val="nil"/>
              <w:bottom w:val="single" w:sz="4" w:space="0" w:color="F39200"/>
              <w:right w:val="nil"/>
            </w:tcBorders>
            <w:shd w:val="clear" w:color="auto" w:fill="auto"/>
            <w:noWrap/>
            <w:vAlign w:val="center"/>
          </w:tcPr>
          <w:p w14:paraId="773F5B7B" w14:textId="1DA55EB1"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535.332.261</w:t>
            </w:r>
          </w:p>
        </w:tc>
        <w:tc>
          <w:tcPr>
            <w:tcW w:w="340" w:type="pct"/>
            <w:tcBorders>
              <w:top w:val="nil"/>
              <w:left w:val="nil"/>
              <w:bottom w:val="single" w:sz="4" w:space="0" w:color="F39200"/>
              <w:right w:val="nil"/>
            </w:tcBorders>
            <w:shd w:val="clear" w:color="auto" w:fill="auto"/>
            <w:noWrap/>
            <w:vAlign w:val="center"/>
          </w:tcPr>
          <w:p w14:paraId="54A565E8" w14:textId="6C2E7BCC"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188.113.524</w:t>
            </w:r>
          </w:p>
        </w:tc>
        <w:tc>
          <w:tcPr>
            <w:tcW w:w="340" w:type="pct"/>
            <w:tcBorders>
              <w:top w:val="nil"/>
              <w:left w:val="nil"/>
              <w:bottom w:val="single" w:sz="4" w:space="0" w:color="F39200"/>
              <w:right w:val="nil"/>
            </w:tcBorders>
            <w:shd w:val="clear" w:color="auto" w:fill="auto"/>
            <w:noWrap/>
            <w:vAlign w:val="center"/>
          </w:tcPr>
          <w:p w14:paraId="68436898" w14:textId="4E503699"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207.150.505</w:t>
            </w:r>
          </w:p>
        </w:tc>
        <w:tc>
          <w:tcPr>
            <w:tcW w:w="340" w:type="pct"/>
            <w:tcBorders>
              <w:top w:val="nil"/>
              <w:left w:val="nil"/>
              <w:bottom w:val="single" w:sz="4" w:space="0" w:color="F39200"/>
              <w:right w:val="nil"/>
            </w:tcBorders>
            <w:shd w:val="clear" w:color="auto" w:fill="auto"/>
            <w:noWrap/>
            <w:vAlign w:val="center"/>
          </w:tcPr>
          <w:p w14:paraId="7D107DF6" w14:textId="764B5E3A"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133.731.897</w:t>
            </w:r>
          </w:p>
        </w:tc>
        <w:tc>
          <w:tcPr>
            <w:tcW w:w="341" w:type="pct"/>
            <w:tcBorders>
              <w:top w:val="nil"/>
              <w:left w:val="nil"/>
              <w:bottom w:val="single" w:sz="4" w:space="0" w:color="F39200"/>
              <w:right w:val="nil"/>
            </w:tcBorders>
            <w:shd w:val="clear" w:color="auto" w:fill="auto"/>
            <w:noWrap/>
            <w:vAlign w:val="center"/>
          </w:tcPr>
          <w:p w14:paraId="7CBD3209" w14:textId="446ABE52"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26.669.189</w:t>
            </w:r>
          </w:p>
        </w:tc>
        <w:tc>
          <w:tcPr>
            <w:tcW w:w="340" w:type="pct"/>
            <w:tcBorders>
              <w:top w:val="nil"/>
              <w:left w:val="nil"/>
              <w:bottom w:val="single" w:sz="4" w:space="0" w:color="F39200"/>
              <w:right w:val="nil"/>
            </w:tcBorders>
            <w:shd w:val="clear" w:color="auto" w:fill="auto"/>
            <w:noWrap/>
            <w:vAlign w:val="center"/>
          </w:tcPr>
          <w:p w14:paraId="0135843A" w14:textId="4E143551"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15.249.730</w:t>
            </w:r>
          </w:p>
        </w:tc>
        <w:tc>
          <w:tcPr>
            <w:tcW w:w="340" w:type="pct"/>
            <w:tcBorders>
              <w:top w:val="nil"/>
              <w:left w:val="nil"/>
              <w:bottom w:val="single" w:sz="4" w:space="0" w:color="F39200"/>
              <w:right w:val="nil"/>
            </w:tcBorders>
            <w:shd w:val="clear" w:color="auto" w:fill="auto"/>
            <w:noWrap/>
            <w:vAlign w:val="center"/>
          </w:tcPr>
          <w:p w14:paraId="7D1E4968" w14:textId="784E42FB"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8.961.972</w:t>
            </w:r>
          </w:p>
        </w:tc>
        <w:tc>
          <w:tcPr>
            <w:tcW w:w="341" w:type="pct"/>
            <w:tcBorders>
              <w:top w:val="nil"/>
              <w:left w:val="nil"/>
              <w:bottom w:val="single" w:sz="4" w:space="0" w:color="F39200"/>
              <w:right w:val="nil"/>
            </w:tcBorders>
            <w:shd w:val="clear" w:color="auto" w:fill="auto"/>
            <w:noWrap/>
            <w:vAlign w:val="center"/>
          </w:tcPr>
          <w:p w14:paraId="0DF31EA9" w14:textId="6D6CA03A"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11.923.339</w:t>
            </w:r>
          </w:p>
        </w:tc>
        <w:tc>
          <w:tcPr>
            <w:tcW w:w="340" w:type="pct"/>
            <w:tcBorders>
              <w:top w:val="nil"/>
              <w:left w:val="nil"/>
              <w:bottom w:val="single" w:sz="4" w:space="0" w:color="F39200"/>
              <w:right w:val="nil"/>
            </w:tcBorders>
            <w:shd w:val="clear" w:color="auto" w:fill="auto"/>
            <w:noWrap/>
            <w:vAlign w:val="center"/>
          </w:tcPr>
          <w:p w14:paraId="42EBEC6C" w14:textId="7B4BB373"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17.115.117</w:t>
            </w:r>
          </w:p>
        </w:tc>
        <w:tc>
          <w:tcPr>
            <w:tcW w:w="390" w:type="pct"/>
            <w:tcBorders>
              <w:top w:val="nil"/>
              <w:left w:val="nil"/>
              <w:bottom w:val="single" w:sz="4" w:space="0" w:color="F39200"/>
              <w:right w:val="nil"/>
            </w:tcBorders>
            <w:shd w:val="clear" w:color="auto" w:fill="auto"/>
            <w:noWrap/>
            <w:vAlign w:val="center"/>
          </w:tcPr>
          <w:p w14:paraId="6FD9B975" w14:textId="22302FA6"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1.144.237.736</w:t>
            </w:r>
          </w:p>
        </w:tc>
        <w:tc>
          <w:tcPr>
            <w:tcW w:w="428" w:type="pct"/>
            <w:tcBorders>
              <w:top w:val="nil"/>
              <w:left w:val="nil"/>
              <w:bottom w:val="single" w:sz="4" w:space="0" w:color="F39200"/>
              <w:right w:val="nil"/>
            </w:tcBorders>
            <w:vAlign w:val="center"/>
          </w:tcPr>
          <w:p w14:paraId="0EACAF9F" w14:textId="6CFE6B30" w:rsidR="00DD28A0" w:rsidRPr="003017D7" w:rsidRDefault="00DD28A0" w:rsidP="00DD28A0">
            <w:pPr>
              <w:jc w:val="right"/>
              <w:rPr>
                <w:rFonts w:ascii="CAIXA Std Book" w:hAnsi="CAIXA Std Book"/>
                <w:b/>
                <w:bCs/>
                <w:color w:val="005CA9"/>
                <w:sz w:val="14"/>
                <w:szCs w:val="14"/>
              </w:rPr>
            </w:pPr>
            <w:r w:rsidRPr="003017D7">
              <w:rPr>
                <w:rFonts w:ascii="CAIXA Std Book" w:hAnsi="CAIXA Std Book"/>
                <w:b/>
                <w:bCs/>
                <w:color w:val="005CA9"/>
                <w:sz w:val="14"/>
                <w:szCs w:val="14"/>
              </w:rPr>
              <w:t>1.119.820.258</w:t>
            </w:r>
          </w:p>
        </w:tc>
      </w:tr>
      <w:tr w:rsidR="003017D7" w:rsidRPr="00B22AF5" w14:paraId="6CAC5B53" w14:textId="77777777" w:rsidTr="00B22AF5">
        <w:trPr>
          <w:trHeight w:val="240"/>
        </w:trPr>
        <w:tc>
          <w:tcPr>
            <w:tcW w:w="1070" w:type="pct"/>
            <w:tcBorders>
              <w:top w:val="nil"/>
              <w:left w:val="nil"/>
              <w:bottom w:val="single" w:sz="4" w:space="0" w:color="F39200"/>
              <w:right w:val="nil"/>
            </w:tcBorders>
            <w:shd w:val="clear" w:color="auto" w:fill="auto"/>
            <w:noWrap/>
            <w:vAlign w:val="center"/>
          </w:tcPr>
          <w:p w14:paraId="7ADC3D69" w14:textId="77777777" w:rsidR="002F696A" w:rsidRPr="003017D7" w:rsidRDefault="002F696A" w:rsidP="002F696A">
            <w:pPr>
              <w:rPr>
                <w:rFonts w:ascii="CAIXA Std Book" w:hAnsi="CAIXA Std Book"/>
                <w:color w:val="005CA9"/>
                <w:sz w:val="14"/>
                <w:szCs w:val="14"/>
              </w:rPr>
            </w:pPr>
            <w:r w:rsidRPr="003017D7">
              <w:rPr>
                <w:rFonts w:ascii="CAIXA Std Book" w:hAnsi="CAIXA Std Book"/>
                <w:color w:val="005CA9"/>
                <w:sz w:val="14"/>
                <w:szCs w:val="14"/>
              </w:rPr>
              <w:t>Provisão mínima regulamentar</w:t>
            </w:r>
          </w:p>
        </w:tc>
        <w:tc>
          <w:tcPr>
            <w:tcW w:w="389" w:type="pct"/>
            <w:tcBorders>
              <w:top w:val="nil"/>
              <w:left w:val="nil"/>
              <w:bottom w:val="single" w:sz="4" w:space="0" w:color="F39200"/>
              <w:right w:val="nil"/>
            </w:tcBorders>
            <w:shd w:val="clear" w:color="auto" w:fill="auto"/>
            <w:noWrap/>
            <w:vAlign w:val="center"/>
          </w:tcPr>
          <w:p w14:paraId="6E2CDBE7" w14:textId="1350B639" w:rsidR="002F696A" w:rsidRPr="003017D7" w:rsidRDefault="00505F85" w:rsidP="00505F85">
            <w:pPr>
              <w:jc w:val="center"/>
              <w:rPr>
                <w:rFonts w:ascii="CAIXA Std Book" w:hAnsi="CAIXA Std Book" w:cs="Arial"/>
                <w:color w:val="005CA9"/>
                <w:sz w:val="14"/>
                <w:szCs w:val="14"/>
              </w:rPr>
            </w:pPr>
            <w:r w:rsidRPr="003017D7">
              <w:rPr>
                <w:rFonts w:ascii="CAIXA Std Book" w:hAnsi="CAIXA Std Book"/>
                <w:color w:val="005CA9"/>
                <w:sz w:val="14"/>
                <w:szCs w:val="14"/>
              </w:rPr>
              <w:t>-</w:t>
            </w:r>
          </w:p>
        </w:tc>
        <w:tc>
          <w:tcPr>
            <w:tcW w:w="340" w:type="pct"/>
            <w:tcBorders>
              <w:top w:val="nil"/>
              <w:left w:val="nil"/>
              <w:bottom w:val="single" w:sz="4" w:space="0" w:color="F39200"/>
              <w:right w:val="nil"/>
            </w:tcBorders>
            <w:shd w:val="clear" w:color="auto" w:fill="auto"/>
            <w:noWrap/>
            <w:vAlign w:val="center"/>
          </w:tcPr>
          <w:p w14:paraId="49FD2960" w14:textId="02649B3E"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(940.569)</w:t>
            </w:r>
          </w:p>
        </w:tc>
        <w:tc>
          <w:tcPr>
            <w:tcW w:w="340" w:type="pct"/>
            <w:tcBorders>
              <w:top w:val="nil"/>
              <w:left w:val="nil"/>
              <w:bottom w:val="single" w:sz="4" w:space="0" w:color="F39200"/>
              <w:right w:val="nil"/>
            </w:tcBorders>
            <w:shd w:val="clear" w:color="auto" w:fill="auto"/>
            <w:noWrap/>
            <w:vAlign w:val="center"/>
          </w:tcPr>
          <w:p w14:paraId="1029167A" w14:textId="68A4425B"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(2.071.505)</w:t>
            </w:r>
          </w:p>
        </w:tc>
        <w:tc>
          <w:tcPr>
            <w:tcW w:w="340" w:type="pct"/>
            <w:tcBorders>
              <w:top w:val="nil"/>
              <w:left w:val="nil"/>
              <w:bottom w:val="single" w:sz="4" w:space="0" w:color="F39200"/>
              <w:right w:val="nil"/>
            </w:tcBorders>
            <w:shd w:val="clear" w:color="auto" w:fill="auto"/>
            <w:noWrap/>
            <w:vAlign w:val="center"/>
          </w:tcPr>
          <w:p w14:paraId="13500E8E" w14:textId="00929D0B"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(4.011.957)</w:t>
            </w:r>
          </w:p>
        </w:tc>
        <w:tc>
          <w:tcPr>
            <w:tcW w:w="341" w:type="pct"/>
            <w:tcBorders>
              <w:top w:val="nil"/>
              <w:left w:val="nil"/>
              <w:bottom w:val="single" w:sz="4" w:space="0" w:color="F39200"/>
              <w:right w:val="nil"/>
            </w:tcBorders>
            <w:shd w:val="clear" w:color="auto" w:fill="auto"/>
            <w:noWrap/>
            <w:vAlign w:val="center"/>
          </w:tcPr>
          <w:p w14:paraId="014B14F6" w14:textId="139F5C68"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(2.666.918)</w:t>
            </w:r>
          </w:p>
        </w:tc>
        <w:tc>
          <w:tcPr>
            <w:tcW w:w="340" w:type="pct"/>
            <w:tcBorders>
              <w:top w:val="nil"/>
              <w:left w:val="nil"/>
              <w:bottom w:val="single" w:sz="4" w:space="0" w:color="F39200"/>
              <w:right w:val="nil"/>
            </w:tcBorders>
            <w:shd w:val="clear" w:color="auto" w:fill="auto"/>
            <w:noWrap/>
            <w:vAlign w:val="center"/>
          </w:tcPr>
          <w:p w14:paraId="386FDDC3" w14:textId="63A8B81B"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(4.574.919)</w:t>
            </w:r>
          </w:p>
        </w:tc>
        <w:tc>
          <w:tcPr>
            <w:tcW w:w="340" w:type="pct"/>
            <w:tcBorders>
              <w:top w:val="nil"/>
              <w:left w:val="nil"/>
              <w:bottom w:val="single" w:sz="4" w:space="0" w:color="F39200"/>
              <w:right w:val="nil"/>
            </w:tcBorders>
            <w:shd w:val="clear" w:color="auto" w:fill="auto"/>
            <w:noWrap/>
            <w:vAlign w:val="center"/>
          </w:tcPr>
          <w:p w14:paraId="369B44C1" w14:textId="5AABBD3C"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(4.480.986)</w:t>
            </w:r>
          </w:p>
        </w:tc>
        <w:tc>
          <w:tcPr>
            <w:tcW w:w="341" w:type="pct"/>
            <w:tcBorders>
              <w:top w:val="nil"/>
              <w:left w:val="nil"/>
              <w:bottom w:val="single" w:sz="4" w:space="0" w:color="F39200"/>
              <w:right w:val="nil"/>
            </w:tcBorders>
            <w:shd w:val="clear" w:color="auto" w:fill="auto"/>
            <w:noWrap/>
            <w:vAlign w:val="center"/>
          </w:tcPr>
          <w:p w14:paraId="7DA966EB" w14:textId="09878BA7"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(8.346.338)</w:t>
            </w:r>
          </w:p>
        </w:tc>
        <w:tc>
          <w:tcPr>
            <w:tcW w:w="340" w:type="pct"/>
            <w:tcBorders>
              <w:top w:val="nil"/>
              <w:left w:val="nil"/>
              <w:bottom w:val="single" w:sz="4" w:space="0" w:color="F39200"/>
              <w:right w:val="nil"/>
            </w:tcBorders>
            <w:shd w:val="clear" w:color="auto" w:fill="auto"/>
            <w:noWrap/>
            <w:vAlign w:val="center"/>
          </w:tcPr>
          <w:p w14:paraId="66DE3829" w14:textId="30054BE1"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(17.115.117)</w:t>
            </w:r>
          </w:p>
        </w:tc>
        <w:tc>
          <w:tcPr>
            <w:tcW w:w="390" w:type="pct"/>
            <w:tcBorders>
              <w:top w:val="nil"/>
              <w:left w:val="nil"/>
              <w:bottom w:val="single" w:sz="4" w:space="0" w:color="F39200"/>
              <w:right w:val="nil"/>
            </w:tcBorders>
            <w:shd w:val="clear" w:color="auto" w:fill="auto"/>
            <w:noWrap/>
            <w:vAlign w:val="center"/>
          </w:tcPr>
          <w:p w14:paraId="761D6138" w14:textId="563CB1C8"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(44.208.309)</w:t>
            </w:r>
          </w:p>
        </w:tc>
        <w:tc>
          <w:tcPr>
            <w:tcW w:w="428" w:type="pct"/>
            <w:tcBorders>
              <w:top w:val="nil"/>
              <w:left w:val="nil"/>
              <w:bottom w:val="single" w:sz="4" w:space="0" w:color="F39200"/>
              <w:right w:val="nil"/>
            </w:tcBorders>
            <w:vAlign w:val="center"/>
          </w:tcPr>
          <w:p w14:paraId="6027A9DD" w14:textId="7762FDFB" w:rsidR="002F696A" w:rsidRPr="003017D7" w:rsidRDefault="002F696A" w:rsidP="002F696A">
            <w:pPr>
              <w:jc w:val="right"/>
              <w:rPr>
                <w:rFonts w:ascii="CAIXA Std Book" w:hAnsi="CAIXA Std Book"/>
                <w:color w:val="005CA9"/>
                <w:sz w:val="14"/>
                <w:szCs w:val="14"/>
              </w:rPr>
            </w:pPr>
            <w:r w:rsidRPr="003017D7">
              <w:rPr>
                <w:rFonts w:ascii="CAIXA Std Book" w:hAnsi="CAIXA Std Book"/>
                <w:color w:val="005CA9"/>
                <w:sz w:val="14"/>
                <w:szCs w:val="14"/>
              </w:rPr>
              <w:t>(43.268.244)</w:t>
            </w:r>
          </w:p>
        </w:tc>
      </w:tr>
      <w:tr w:rsidR="003017D7" w:rsidRPr="00B22AF5" w14:paraId="6540A717" w14:textId="77777777" w:rsidTr="00B22AF5">
        <w:trPr>
          <w:trHeight w:val="240"/>
        </w:trPr>
        <w:tc>
          <w:tcPr>
            <w:tcW w:w="1070" w:type="pct"/>
            <w:tcBorders>
              <w:top w:val="nil"/>
              <w:left w:val="nil"/>
              <w:bottom w:val="single" w:sz="4" w:space="0" w:color="F39200"/>
              <w:right w:val="nil"/>
            </w:tcBorders>
            <w:shd w:val="clear" w:color="auto" w:fill="auto"/>
            <w:noWrap/>
            <w:vAlign w:val="center"/>
          </w:tcPr>
          <w:p w14:paraId="2B386967" w14:textId="2EA69834" w:rsidR="002F696A" w:rsidRPr="003017D7" w:rsidRDefault="002F696A" w:rsidP="002F696A">
            <w:pPr>
              <w:rPr>
                <w:rFonts w:ascii="CAIXA Std Book" w:hAnsi="CAIXA Std Book"/>
                <w:color w:val="005CA9"/>
                <w:sz w:val="14"/>
                <w:szCs w:val="14"/>
              </w:rPr>
            </w:pPr>
            <w:r w:rsidRPr="003017D7">
              <w:rPr>
                <w:rFonts w:ascii="CAIXA Std Book" w:hAnsi="CAIXA Std Book"/>
                <w:color w:val="005CA9"/>
                <w:sz w:val="14"/>
                <w:szCs w:val="14"/>
              </w:rPr>
              <w:t>Provisão complementar (2)</w:t>
            </w:r>
          </w:p>
        </w:tc>
        <w:tc>
          <w:tcPr>
            <w:tcW w:w="389" w:type="pct"/>
            <w:tcBorders>
              <w:top w:val="nil"/>
              <w:left w:val="nil"/>
              <w:bottom w:val="single" w:sz="4" w:space="0" w:color="F39200"/>
              <w:right w:val="nil"/>
            </w:tcBorders>
            <w:shd w:val="clear" w:color="auto" w:fill="auto"/>
            <w:noWrap/>
            <w:vAlign w:val="center"/>
          </w:tcPr>
          <w:p w14:paraId="2E305DC6" w14:textId="717D2496"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(889.778)</w:t>
            </w:r>
          </w:p>
        </w:tc>
        <w:tc>
          <w:tcPr>
            <w:tcW w:w="340" w:type="pct"/>
            <w:tcBorders>
              <w:top w:val="nil"/>
              <w:left w:val="nil"/>
              <w:bottom w:val="single" w:sz="4" w:space="0" w:color="F39200"/>
              <w:right w:val="nil"/>
            </w:tcBorders>
            <w:shd w:val="clear" w:color="auto" w:fill="auto"/>
            <w:noWrap/>
            <w:vAlign w:val="center"/>
          </w:tcPr>
          <w:p w14:paraId="108A481A" w14:textId="68F19403"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(208.657)</w:t>
            </w:r>
          </w:p>
        </w:tc>
        <w:tc>
          <w:tcPr>
            <w:tcW w:w="340" w:type="pct"/>
            <w:tcBorders>
              <w:top w:val="nil"/>
              <w:left w:val="nil"/>
              <w:bottom w:val="single" w:sz="4" w:space="0" w:color="F39200"/>
              <w:right w:val="nil"/>
            </w:tcBorders>
            <w:shd w:val="clear" w:color="auto" w:fill="auto"/>
            <w:noWrap/>
            <w:vAlign w:val="center"/>
          </w:tcPr>
          <w:p w14:paraId="23FCD8C0" w14:textId="16C82B4E"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(1.491.561)</w:t>
            </w:r>
          </w:p>
        </w:tc>
        <w:tc>
          <w:tcPr>
            <w:tcW w:w="340" w:type="pct"/>
            <w:tcBorders>
              <w:top w:val="nil"/>
              <w:left w:val="nil"/>
              <w:bottom w:val="single" w:sz="4" w:space="0" w:color="F39200"/>
              <w:right w:val="nil"/>
            </w:tcBorders>
            <w:shd w:val="clear" w:color="auto" w:fill="auto"/>
            <w:noWrap/>
            <w:vAlign w:val="center"/>
          </w:tcPr>
          <w:p w14:paraId="36140648" w14:textId="18321E9D"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(1.687.245)</w:t>
            </w:r>
          </w:p>
        </w:tc>
        <w:tc>
          <w:tcPr>
            <w:tcW w:w="341" w:type="pct"/>
            <w:tcBorders>
              <w:top w:val="nil"/>
              <w:left w:val="nil"/>
              <w:bottom w:val="single" w:sz="4" w:space="0" w:color="F39200"/>
              <w:right w:val="nil"/>
            </w:tcBorders>
            <w:shd w:val="clear" w:color="auto" w:fill="auto"/>
            <w:noWrap/>
            <w:vAlign w:val="center"/>
          </w:tcPr>
          <w:p w14:paraId="3941CB67" w14:textId="55CD2741"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(975.925)</w:t>
            </w:r>
          </w:p>
        </w:tc>
        <w:tc>
          <w:tcPr>
            <w:tcW w:w="340" w:type="pct"/>
            <w:tcBorders>
              <w:top w:val="nil"/>
              <w:left w:val="nil"/>
              <w:bottom w:val="single" w:sz="4" w:space="0" w:color="F39200"/>
              <w:right w:val="nil"/>
            </w:tcBorders>
            <w:shd w:val="clear" w:color="auto" w:fill="auto"/>
            <w:noWrap/>
            <w:vAlign w:val="center"/>
          </w:tcPr>
          <w:p w14:paraId="2C2500B1" w14:textId="3A67C79F"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(812.260)</w:t>
            </w:r>
          </w:p>
        </w:tc>
        <w:tc>
          <w:tcPr>
            <w:tcW w:w="340" w:type="pct"/>
            <w:tcBorders>
              <w:top w:val="nil"/>
              <w:left w:val="nil"/>
              <w:bottom w:val="single" w:sz="4" w:space="0" w:color="F39200"/>
              <w:right w:val="nil"/>
            </w:tcBorders>
            <w:shd w:val="clear" w:color="auto" w:fill="auto"/>
            <w:noWrap/>
            <w:vAlign w:val="center"/>
          </w:tcPr>
          <w:p w14:paraId="22984AB6" w14:textId="3A6204E4"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(428.049)</w:t>
            </w:r>
          </w:p>
        </w:tc>
        <w:tc>
          <w:tcPr>
            <w:tcW w:w="341" w:type="pct"/>
            <w:tcBorders>
              <w:top w:val="nil"/>
              <w:left w:val="nil"/>
              <w:bottom w:val="single" w:sz="4" w:space="0" w:color="F39200"/>
              <w:right w:val="nil"/>
            </w:tcBorders>
            <w:shd w:val="clear" w:color="auto" w:fill="auto"/>
            <w:noWrap/>
            <w:vAlign w:val="center"/>
          </w:tcPr>
          <w:p w14:paraId="4776FBBD" w14:textId="5D626868"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(18.132)</w:t>
            </w:r>
          </w:p>
        </w:tc>
        <w:tc>
          <w:tcPr>
            <w:tcW w:w="340" w:type="pct"/>
            <w:tcBorders>
              <w:top w:val="nil"/>
              <w:left w:val="nil"/>
              <w:bottom w:val="single" w:sz="4" w:space="0" w:color="F39200"/>
              <w:right w:val="nil"/>
            </w:tcBorders>
            <w:shd w:val="clear" w:color="auto" w:fill="auto"/>
            <w:noWrap/>
            <w:vAlign w:val="center"/>
          </w:tcPr>
          <w:p w14:paraId="3AA45069" w14:textId="3F5151CE" w:rsidR="002F696A" w:rsidRPr="003017D7" w:rsidRDefault="002F696A" w:rsidP="002F696A">
            <w:pPr>
              <w:jc w:val="center"/>
              <w:rPr>
                <w:rFonts w:ascii="CAIXA Std Book" w:hAnsi="CAIXA Std Book" w:cs="Arial"/>
                <w:color w:val="005CA9"/>
                <w:sz w:val="14"/>
                <w:szCs w:val="14"/>
              </w:rPr>
            </w:pPr>
            <w:r w:rsidRPr="003017D7">
              <w:rPr>
                <w:rFonts w:ascii="CAIXA Std Book" w:hAnsi="CAIXA Std Book"/>
                <w:color w:val="005CA9"/>
                <w:sz w:val="14"/>
                <w:szCs w:val="14"/>
              </w:rPr>
              <w:t>- </w:t>
            </w:r>
          </w:p>
        </w:tc>
        <w:tc>
          <w:tcPr>
            <w:tcW w:w="390" w:type="pct"/>
            <w:tcBorders>
              <w:top w:val="nil"/>
              <w:left w:val="nil"/>
              <w:bottom w:val="single" w:sz="4" w:space="0" w:color="F39200"/>
              <w:right w:val="nil"/>
            </w:tcBorders>
            <w:shd w:val="clear" w:color="auto" w:fill="auto"/>
            <w:noWrap/>
            <w:vAlign w:val="center"/>
          </w:tcPr>
          <w:p w14:paraId="4CADA250" w14:textId="4020C7DD" w:rsidR="002F696A" w:rsidRPr="003017D7" w:rsidRDefault="002F696A" w:rsidP="002F696A">
            <w:pPr>
              <w:jc w:val="right"/>
              <w:rPr>
                <w:rFonts w:ascii="CAIXA Std Book" w:hAnsi="CAIXA Std Book" w:cs="Arial"/>
                <w:color w:val="005CA9"/>
                <w:sz w:val="14"/>
                <w:szCs w:val="14"/>
              </w:rPr>
            </w:pPr>
            <w:r w:rsidRPr="003017D7">
              <w:rPr>
                <w:rFonts w:ascii="CAIXA Std Book" w:hAnsi="CAIXA Std Book"/>
                <w:color w:val="005CA9"/>
                <w:sz w:val="14"/>
                <w:szCs w:val="14"/>
              </w:rPr>
              <w:t>(6.511.607)</w:t>
            </w:r>
          </w:p>
        </w:tc>
        <w:tc>
          <w:tcPr>
            <w:tcW w:w="428" w:type="pct"/>
            <w:tcBorders>
              <w:top w:val="nil"/>
              <w:left w:val="nil"/>
              <w:bottom w:val="single" w:sz="4" w:space="0" w:color="F39200"/>
              <w:right w:val="nil"/>
            </w:tcBorders>
            <w:vAlign w:val="center"/>
          </w:tcPr>
          <w:p w14:paraId="3C38AC8E" w14:textId="2BB6759B" w:rsidR="002F696A" w:rsidRPr="003017D7" w:rsidRDefault="002F696A" w:rsidP="002F696A">
            <w:pPr>
              <w:jc w:val="right"/>
              <w:rPr>
                <w:rFonts w:ascii="CAIXA Std Book" w:hAnsi="CAIXA Std Book"/>
                <w:color w:val="005CA9"/>
                <w:sz w:val="14"/>
                <w:szCs w:val="14"/>
              </w:rPr>
            </w:pPr>
            <w:r w:rsidRPr="003017D7">
              <w:rPr>
                <w:rFonts w:ascii="CAIXA Std Book" w:hAnsi="CAIXA Std Book"/>
                <w:color w:val="005CA9"/>
                <w:sz w:val="14"/>
                <w:szCs w:val="14"/>
              </w:rPr>
              <w:t>(6.574.280)</w:t>
            </w:r>
          </w:p>
        </w:tc>
      </w:tr>
      <w:tr w:rsidR="003017D7" w:rsidRPr="00B22AF5" w14:paraId="40D82BC7" w14:textId="77777777" w:rsidTr="00B22AF5">
        <w:trPr>
          <w:trHeight w:val="240"/>
        </w:trPr>
        <w:tc>
          <w:tcPr>
            <w:tcW w:w="1070" w:type="pct"/>
            <w:tcBorders>
              <w:top w:val="nil"/>
              <w:left w:val="nil"/>
              <w:bottom w:val="single" w:sz="4" w:space="0" w:color="F39200"/>
              <w:right w:val="nil"/>
            </w:tcBorders>
            <w:shd w:val="clear" w:color="auto" w:fill="auto"/>
            <w:noWrap/>
            <w:vAlign w:val="center"/>
            <w:hideMark/>
          </w:tcPr>
          <w:p w14:paraId="7C56FF95" w14:textId="77777777" w:rsidR="002F696A" w:rsidRPr="003017D7" w:rsidRDefault="002F696A" w:rsidP="002F696A">
            <w:pPr>
              <w:rPr>
                <w:rFonts w:ascii="CAIXA Std Book" w:hAnsi="CAIXA Std Book"/>
                <w:color w:val="005CA9"/>
                <w:sz w:val="14"/>
                <w:szCs w:val="14"/>
              </w:rPr>
            </w:pPr>
            <w:r w:rsidRPr="003017D7">
              <w:rPr>
                <w:rFonts w:ascii="CAIXA Std Book" w:hAnsi="CAIXA Std Book"/>
                <w:b/>
                <w:color w:val="005CA9"/>
                <w:sz w:val="14"/>
                <w:szCs w:val="14"/>
              </w:rPr>
              <w:t>Total de provisões</w:t>
            </w:r>
          </w:p>
        </w:tc>
        <w:tc>
          <w:tcPr>
            <w:tcW w:w="389" w:type="pct"/>
            <w:tcBorders>
              <w:top w:val="nil"/>
              <w:left w:val="nil"/>
              <w:bottom w:val="single" w:sz="4" w:space="0" w:color="F39200"/>
              <w:right w:val="nil"/>
            </w:tcBorders>
            <w:shd w:val="clear" w:color="auto" w:fill="auto"/>
            <w:noWrap/>
            <w:vAlign w:val="center"/>
          </w:tcPr>
          <w:p w14:paraId="3097FC5A" w14:textId="44A032F1"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(889.778)</w:t>
            </w:r>
          </w:p>
        </w:tc>
        <w:tc>
          <w:tcPr>
            <w:tcW w:w="340" w:type="pct"/>
            <w:tcBorders>
              <w:top w:val="nil"/>
              <w:left w:val="nil"/>
              <w:bottom w:val="single" w:sz="4" w:space="0" w:color="F39200"/>
              <w:right w:val="nil"/>
            </w:tcBorders>
            <w:shd w:val="clear" w:color="auto" w:fill="auto"/>
            <w:noWrap/>
            <w:vAlign w:val="center"/>
          </w:tcPr>
          <w:p w14:paraId="51B8E109" w14:textId="50CF103B"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(1.149.226)</w:t>
            </w:r>
          </w:p>
        </w:tc>
        <w:tc>
          <w:tcPr>
            <w:tcW w:w="340" w:type="pct"/>
            <w:tcBorders>
              <w:top w:val="nil"/>
              <w:left w:val="nil"/>
              <w:bottom w:val="single" w:sz="4" w:space="0" w:color="F39200"/>
              <w:right w:val="nil"/>
            </w:tcBorders>
            <w:shd w:val="clear" w:color="auto" w:fill="auto"/>
            <w:noWrap/>
            <w:vAlign w:val="center"/>
          </w:tcPr>
          <w:p w14:paraId="3C9DF607" w14:textId="32AE889E"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(3.563.066)</w:t>
            </w:r>
          </w:p>
        </w:tc>
        <w:tc>
          <w:tcPr>
            <w:tcW w:w="340" w:type="pct"/>
            <w:tcBorders>
              <w:top w:val="nil"/>
              <w:left w:val="nil"/>
              <w:bottom w:val="single" w:sz="4" w:space="0" w:color="F39200"/>
              <w:right w:val="nil"/>
            </w:tcBorders>
            <w:shd w:val="clear" w:color="auto" w:fill="auto"/>
            <w:noWrap/>
            <w:vAlign w:val="center"/>
          </w:tcPr>
          <w:p w14:paraId="12F449A1" w14:textId="6CBBDF6D"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(5.699.202)</w:t>
            </w:r>
          </w:p>
        </w:tc>
        <w:tc>
          <w:tcPr>
            <w:tcW w:w="341" w:type="pct"/>
            <w:tcBorders>
              <w:top w:val="nil"/>
              <w:left w:val="nil"/>
              <w:bottom w:val="single" w:sz="4" w:space="0" w:color="F39200"/>
              <w:right w:val="nil"/>
            </w:tcBorders>
            <w:shd w:val="clear" w:color="auto" w:fill="auto"/>
            <w:noWrap/>
            <w:vAlign w:val="center"/>
          </w:tcPr>
          <w:p w14:paraId="40B96C39" w14:textId="7E77441E" w:rsidR="002F696A" w:rsidRPr="003017D7" w:rsidRDefault="002F696A" w:rsidP="002F696A">
            <w:pPr>
              <w:jc w:val="right"/>
              <w:rPr>
                <w:rFonts w:ascii="CAIXA Std Book" w:hAnsi="CAIXA Std Book" w:cs="Arial Unicode MS"/>
                <w:b/>
                <w:color w:val="005CA9"/>
                <w:sz w:val="14"/>
                <w:szCs w:val="14"/>
              </w:rPr>
            </w:pPr>
            <w:r w:rsidRPr="003017D7">
              <w:rPr>
                <w:rFonts w:ascii="CAIXA Std Book" w:hAnsi="CAIXA Std Book"/>
                <w:b/>
                <w:bCs/>
                <w:color w:val="005CA9"/>
                <w:sz w:val="14"/>
                <w:szCs w:val="14"/>
              </w:rPr>
              <w:t>(3.642.843)</w:t>
            </w:r>
          </w:p>
        </w:tc>
        <w:tc>
          <w:tcPr>
            <w:tcW w:w="340" w:type="pct"/>
            <w:tcBorders>
              <w:top w:val="nil"/>
              <w:left w:val="nil"/>
              <w:bottom w:val="single" w:sz="4" w:space="0" w:color="F39200"/>
              <w:right w:val="nil"/>
            </w:tcBorders>
            <w:shd w:val="clear" w:color="auto" w:fill="auto"/>
            <w:noWrap/>
            <w:vAlign w:val="center"/>
          </w:tcPr>
          <w:p w14:paraId="24798C2B" w14:textId="407D25EA" w:rsidR="002F696A" w:rsidRPr="003017D7" w:rsidRDefault="002F696A" w:rsidP="002F696A">
            <w:pPr>
              <w:jc w:val="right"/>
              <w:rPr>
                <w:rFonts w:ascii="CAIXA Std Book" w:hAnsi="CAIXA Std Book" w:cs="Arial Unicode MS"/>
                <w:b/>
                <w:color w:val="005CA9"/>
                <w:sz w:val="14"/>
                <w:szCs w:val="14"/>
              </w:rPr>
            </w:pPr>
            <w:r w:rsidRPr="003017D7">
              <w:rPr>
                <w:rFonts w:ascii="CAIXA Std Book" w:hAnsi="CAIXA Std Book"/>
                <w:b/>
                <w:bCs/>
                <w:color w:val="005CA9"/>
                <w:sz w:val="14"/>
                <w:szCs w:val="14"/>
              </w:rPr>
              <w:t>(5.387.179)</w:t>
            </w:r>
          </w:p>
        </w:tc>
        <w:tc>
          <w:tcPr>
            <w:tcW w:w="340" w:type="pct"/>
            <w:tcBorders>
              <w:top w:val="nil"/>
              <w:left w:val="nil"/>
              <w:bottom w:val="single" w:sz="4" w:space="0" w:color="F39200"/>
              <w:right w:val="nil"/>
            </w:tcBorders>
            <w:shd w:val="clear" w:color="auto" w:fill="auto"/>
            <w:noWrap/>
            <w:vAlign w:val="center"/>
          </w:tcPr>
          <w:p w14:paraId="66030FB5" w14:textId="1C2454F5" w:rsidR="002F696A" w:rsidRPr="003017D7" w:rsidRDefault="002F696A" w:rsidP="002F696A">
            <w:pPr>
              <w:jc w:val="right"/>
              <w:rPr>
                <w:rFonts w:ascii="CAIXA Std Book" w:hAnsi="CAIXA Std Book" w:cs="Arial Unicode MS"/>
                <w:b/>
                <w:color w:val="005CA9"/>
                <w:sz w:val="14"/>
                <w:szCs w:val="14"/>
              </w:rPr>
            </w:pPr>
            <w:r w:rsidRPr="003017D7">
              <w:rPr>
                <w:rFonts w:ascii="CAIXA Std Book" w:hAnsi="CAIXA Std Book"/>
                <w:b/>
                <w:bCs/>
                <w:color w:val="005CA9"/>
                <w:sz w:val="14"/>
                <w:szCs w:val="14"/>
              </w:rPr>
              <w:t>(4.909.035)</w:t>
            </w:r>
          </w:p>
        </w:tc>
        <w:tc>
          <w:tcPr>
            <w:tcW w:w="341" w:type="pct"/>
            <w:tcBorders>
              <w:top w:val="nil"/>
              <w:left w:val="nil"/>
              <w:bottom w:val="single" w:sz="4" w:space="0" w:color="F39200"/>
              <w:right w:val="nil"/>
            </w:tcBorders>
            <w:shd w:val="clear" w:color="auto" w:fill="auto"/>
            <w:noWrap/>
            <w:vAlign w:val="center"/>
          </w:tcPr>
          <w:p w14:paraId="1E7E748A" w14:textId="38DBF167" w:rsidR="002F696A" w:rsidRPr="003017D7" w:rsidRDefault="002F696A" w:rsidP="002F696A">
            <w:pPr>
              <w:jc w:val="right"/>
              <w:rPr>
                <w:rFonts w:ascii="CAIXA Std Book" w:hAnsi="CAIXA Std Book" w:cs="Arial Unicode MS"/>
                <w:b/>
                <w:color w:val="005CA9"/>
                <w:sz w:val="14"/>
                <w:szCs w:val="14"/>
              </w:rPr>
            </w:pPr>
            <w:r w:rsidRPr="003017D7">
              <w:rPr>
                <w:rFonts w:ascii="CAIXA Std Book" w:hAnsi="CAIXA Std Book"/>
                <w:b/>
                <w:bCs/>
                <w:color w:val="005CA9"/>
                <w:sz w:val="14"/>
                <w:szCs w:val="14"/>
              </w:rPr>
              <w:t>(8.364.470)</w:t>
            </w:r>
          </w:p>
        </w:tc>
        <w:tc>
          <w:tcPr>
            <w:tcW w:w="340" w:type="pct"/>
            <w:tcBorders>
              <w:top w:val="nil"/>
              <w:left w:val="nil"/>
              <w:bottom w:val="single" w:sz="4" w:space="0" w:color="F39200"/>
              <w:right w:val="nil"/>
            </w:tcBorders>
            <w:shd w:val="clear" w:color="auto" w:fill="auto"/>
            <w:noWrap/>
            <w:vAlign w:val="center"/>
          </w:tcPr>
          <w:p w14:paraId="7449872E" w14:textId="68C8D14F"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(17.115.117)</w:t>
            </w:r>
          </w:p>
        </w:tc>
        <w:tc>
          <w:tcPr>
            <w:tcW w:w="390" w:type="pct"/>
            <w:tcBorders>
              <w:top w:val="nil"/>
              <w:left w:val="nil"/>
              <w:bottom w:val="single" w:sz="4" w:space="0" w:color="F39200"/>
              <w:right w:val="nil"/>
            </w:tcBorders>
            <w:shd w:val="clear" w:color="auto" w:fill="auto"/>
            <w:noWrap/>
            <w:vAlign w:val="center"/>
          </w:tcPr>
          <w:p w14:paraId="43D3E0A1" w14:textId="7B12BC2E"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(50.719.916)</w:t>
            </w:r>
          </w:p>
        </w:tc>
        <w:tc>
          <w:tcPr>
            <w:tcW w:w="428" w:type="pct"/>
            <w:tcBorders>
              <w:top w:val="nil"/>
              <w:left w:val="nil"/>
              <w:bottom w:val="single" w:sz="4" w:space="0" w:color="F39200"/>
              <w:right w:val="nil"/>
            </w:tcBorders>
            <w:vAlign w:val="center"/>
          </w:tcPr>
          <w:p w14:paraId="325D5023" w14:textId="11CA72AF"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(49.842.524)</w:t>
            </w:r>
          </w:p>
        </w:tc>
      </w:tr>
      <w:tr w:rsidR="003017D7" w:rsidRPr="00B22AF5" w14:paraId="37CA1447" w14:textId="77777777" w:rsidTr="00B22AF5">
        <w:trPr>
          <w:trHeight w:val="240"/>
        </w:trPr>
        <w:tc>
          <w:tcPr>
            <w:tcW w:w="1070" w:type="pct"/>
            <w:tcBorders>
              <w:top w:val="single" w:sz="4" w:space="0" w:color="F39200"/>
              <w:left w:val="nil"/>
              <w:bottom w:val="single" w:sz="4" w:space="0" w:color="F79646" w:themeColor="accent6"/>
              <w:right w:val="nil"/>
            </w:tcBorders>
            <w:shd w:val="clear" w:color="auto" w:fill="auto"/>
            <w:noWrap/>
            <w:vAlign w:val="center"/>
            <w:hideMark/>
          </w:tcPr>
          <w:p w14:paraId="40143BB2" w14:textId="77777777" w:rsidR="002F696A" w:rsidRPr="003017D7" w:rsidRDefault="002F696A" w:rsidP="002F696A">
            <w:pPr>
              <w:rPr>
                <w:rFonts w:ascii="CAIXA Std Book" w:hAnsi="CAIXA Std Book"/>
                <w:b/>
                <w:color w:val="005CA9"/>
                <w:sz w:val="14"/>
                <w:szCs w:val="14"/>
              </w:rPr>
            </w:pPr>
            <w:r w:rsidRPr="003017D7">
              <w:rPr>
                <w:rFonts w:ascii="CAIXA Std Book" w:hAnsi="CAIXA Std Book"/>
                <w:b/>
                <w:color w:val="005CA9"/>
                <w:sz w:val="14"/>
                <w:szCs w:val="14"/>
              </w:rPr>
              <w:t>Total líquido de provisões</w:t>
            </w:r>
          </w:p>
        </w:tc>
        <w:tc>
          <w:tcPr>
            <w:tcW w:w="389" w:type="pct"/>
            <w:tcBorders>
              <w:top w:val="single" w:sz="4" w:space="0" w:color="F39200"/>
              <w:left w:val="nil"/>
              <w:bottom w:val="single" w:sz="4" w:space="0" w:color="F79646" w:themeColor="accent6"/>
              <w:right w:val="nil"/>
            </w:tcBorders>
            <w:shd w:val="clear" w:color="auto" w:fill="auto"/>
            <w:noWrap/>
            <w:vAlign w:val="center"/>
          </w:tcPr>
          <w:p w14:paraId="634303AA" w14:textId="18CA33EA"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534.442.483</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1CF06F18" w14:textId="20364D95"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186.964.298</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4EE2B97E" w14:textId="5E4B2219"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203.587.439</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6AF30571" w14:textId="0367F22D"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128.032.695</w:t>
            </w:r>
          </w:p>
        </w:tc>
        <w:tc>
          <w:tcPr>
            <w:tcW w:w="341" w:type="pct"/>
            <w:tcBorders>
              <w:top w:val="single" w:sz="4" w:space="0" w:color="F39200"/>
              <w:left w:val="nil"/>
              <w:bottom w:val="single" w:sz="4" w:space="0" w:color="F79646" w:themeColor="accent6"/>
              <w:right w:val="nil"/>
            </w:tcBorders>
            <w:shd w:val="clear" w:color="auto" w:fill="auto"/>
            <w:noWrap/>
            <w:vAlign w:val="center"/>
          </w:tcPr>
          <w:p w14:paraId="0824A4C2" w14:textId="45C25AB3"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23.026.346</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00D15EC0" w14:textId="4C1E6143"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9.862.551</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7B2CAF08" w14:textId="4486382F"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4.052.937</w:t>
            </w:r>
          </w:p>
        </w:tc>
        <w:tc>
          <w:tcPr>
            <w:tcW w:w="341" w:type="pct"/>
            <w:tcBorders>
              <w:top w:val="single" w:sz="4" w:space="0" w:color="F39200"/>
              <w:left w:val="nil"/>
              <w:bottom w:val="single" w:sz="4" w:space="0" w:color="F79646" w:themeColor="accent6"/>
              <w:right w:val="nil"/>
            </w:tcBorders>
            <w:shd w:val="clear" w:color="auto" w:fill="auto"/>
            <w:noWrap/>
            <w:vAlign w:val="center"/>
          </w:tcPr>
          <w:p w14:paraId="7C43CA74" w14:textId="6C262BAD"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3.558.869</w:t>
            </w:r>
          </w:p>
        </w:tc>
        <w:tc>
          <w:tcPr>
            <w:tcW w:w="340" w:type="pct"/>
            <w:tcBorders>
              <w:top w:val="single" w:sz="4" w:space="0" w:color="F39200"/>
              <w:left w:val="nil"/>
              <w:bottom w:val="single" w:sz="4" w:space="0" w:color="F79646" w:themeColor="accent6"/>
              <w:right w:val="nil"/>
            </w:tcBorders>
            <w:shd w:val="clear" w:color="auto" w:fill="auto"/>
            <w:noWrap/>
            <w:vAlign w:val="center"/>
          </w:tcPr>
          <w:p w14:paraId="4FBAB5F5" w14:textId="2DBC14BE" w:rsidR="002F696A" w:rsidRPr="003017D7" w:rsidRDefault="002F696A" w:rsidP="002F696A">
            <w:pPr>
              <w:jc w:val="center"/>
              <w:rPr>
                <w:rFonts w:ascii="CAIXA Std Book" w:hAnsi="CAIXA Std Book"/>
                <w:b/>
                <w:bCs/>
                <w:color w:val="005CA9"/>
                <w:sz w:val="14"/>
                <w:szCs w:val="14"/>
              </w:rPr>
            </w:pPr>
            <w:r w:rsidRPr="003017D7">
              <w:rPr>
                <w:rFonts w:ascii="CAIXA Std Book" w:hAnsi="CAIXA Std Book"/>
                <w:b/>
                <w:bCs/>
                <w:color w:val="005CA9"/>
                <w:sz w:val="14"/>
                <w:szCs w:val="14"/>
              </w:rPr>
              <w:t> -</w:t>
            </w:r>
          </w:p>
        </w:tc>
        <w:tc>
          <w:tcPr>
            <w:tcW w:w="390" w:type="pct"/>
            <w:tcBorders>
              <w:top w:val="single" w:sz="4" w:space="0" w:color="F39200"/>
              <w:left w:val="nil"/>
              <w:bottom w:val="single" w:sz="4" w:space="0" w:color="F79646" w:themeColor="accent6"/>
              <w:right w:val="nil"/>
            </w:tcBorders>
            <w:shd w:val="clear" w:color="auto" w:fill="auto"/>
            <w:noWrap/>
            <w:vAlign w:val="center"/>
          </w:tcPr>
          <w:p w14:paraId="48E34E8C" w14:textId="6C25FFBF" w:rsidR="002F696A" w:rsidRPr="003017D7" w:rsidRDefault="002F696A" w:rsidP="002F696A">
            <w:pPr>
              <w:jc w:val="right"/>
              <w:rPr>
                <w:rFonts w:ascii="CAIXA Std Book" w:hAnsi="CAIXA Std Book" w:cs="Arial Unicode MS"/>
                <w:b/>
                <w:color w:val="005CA9"/>
                <w:sz w:val="14"/>
                <w:szCs w:val="14"/>
              </w:rPr>
            </w:pPr>
            <w:r w:rsidRPr="003017D7">
              <w:rPr>
                <w:rFonts w:ascii="CAIXA Std Book" w:hAnsi="CAIXA Std Book"/>
                <w:b/>
                <w:bCs/>
                <w:color w:val="005CA9"/>
                <w:sz w:val="14"/>
                <w:szCs w:val="14"/>
              </w:rPr>
              <w:t>1.093.517.820</w:t>
            </w:r>
          </w:p>
        </w:tc>
        <w:tc>
          <w:tcPr>
            <w:tcW w:w="428" w:type="pct"/>
            <w:tcBorders>
              <w:top w:val="single" w:sz="4" w:space="0" w:color="F39200"/>
              <w:left w:val="nil"/>
              <w:bottom w:val="single" w:sz="4" w:space="0" w:color="F79646" w:themeColor="accent6"/>
              <w:right w:val="nil"/>
            </w:tcBorders>
            <w:vAlign w:val="center"/>
          </w:tcPr>
          <w:p w14:paraId="534922D4" w14:textId="1E9E5FF8" w:rsidR="002F696A" w:rsidRPr="003017D7" w:rsidRDefault="002F696A" w:rsidP="002F696A">
            <w:pPr>
              <w:jc w:val="right"/>
              <w:rPr>
                <w:rFonts w:ascii="CAIXA Std Book" w:hAnsi="CAIXA Std Book"/>
                <w:b/>
                <w:bCs/>
                <w:color w:val="005CA9"/>
                <w:sz w:val="14"/>
                <w:szCs w:val="14"/>
              </w:rPr>
            </w:pPr>
            <w:r w:rsidRPr="003017D7">
              <w:rPr>
                <w:rFonts w:ascii="CAIXA Std Book" w:hAnsi="CAIXA Std Book"/>
                <w:b/>
                <w:bCs/>
                <w:color w:val="005CA9"/>
                <w:sz w:val="14"/>
                <w:szCs w:val="14"/>
              </w:rPr>
              <w:t>1.069.977.734</w:t>
            </w:r>
          </w:p>
        </w:tc>
      </w:tr>
      <w:tr w:rsidR="003017D7" w:rsidRPr="00B22AF5" w14:paraId="0AAC8977" w14:textId="77777777" w:rsidTr="00B22AF5">
        <w:trPr>
          <w:trHeight w:val="240"/>
        </w:trPr>
        <w:tc>
          <w:tcPr>
            <w:tcW w:w="1070" w:type="pct"/>
            <w:tcBorders>
              <w:top w:val="single" w:sz="4" w:space="0" w:color="F79646" w:themeColor="accent6"/>
              <w:left w:val="nil"/>
              <w:right w:val="nil"/>
            </w:tcBorders>
            <w:shd w:val="clear" w:color="auto" w:fill="auto"/>
            <w:noWrap/>
            <w:vAlign w:val="center"/>
          </w:tcPr>
          <w:p w14:paraId="5E78CBE5" w14:textId="77777777" w:rsidR="009E6DE0" w:rsidRPr="003017D7" w:rsidRDefault="009E6DE0" w:rsidP="009E6DE0">
            <w:pPr>
              <w:rPr>
                <w:rFonts w:ascii="CAIXA Std Book" w:hAnsi="CAIXA Std Book"/>
                <w:b/>
                <w:color w:val="005CA9"/>
                <w:sz w:val="14"/>
                <w:szCs w:val="14"/>
              </w:rPr>
            </w:pPr>
            <w:r w:rsidRPr="003017D7">
              <w:rPr>
                <w:rFonts w:ascii="CAIXA Std Book" w:hAnsi="CAIXA Std Book"/>
                <w:color w:val="005CA9"/>
                <w:sz w:val="14"/>
                <w:szCs w:val="14"/>
              </w:rPr>
              <w:t>Ativo circulante</w:t>
            </w:r>
          </w:p>
        </w:tc>
        <w:tc>
          <w:tcPr>
            <w:tcW w:w="389" w:type="pct"/>
            <w:tcBorders>
              <w:top w:val="single" w:sz="4" w:space="0" w:color="F79646" w:themeColor="accent6"/>
              <w:left w:val="nil"/>
              <w:right w:val="nil"/>
            </w:tcBorders>
            <w:shd w:val="clear" w:color="auto" w:fill="auto"/>
            <w:noWrap/>
            <w:vAlign w:val="center"/>
          </w:tcPr>
          <w:p w14:paraId="5B3303CE"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4F25DA17"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7A2C7F8A"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1825D383" w14:textId="77777777" w:rsidR="009E6DE0" w:rsidRPr="003017D7" w:rsidRDefault="009E6DE0" w:rsidP="009E6DE0">
            <w:pPr>
              <w:jc w:val="right"/>
              <w:rPr>
                <w:rFonts w:ascii="CAIXA Std Book" w:hAnsi="CAIXA Std Book"/>
                <w:b/>
                <w:bCs/>
                <w:color w:val="005CA9"/>
                <w:sz w:val="14"/>
                <w:szCs w:val="14"/>
              </w:rPr>
            </w:pPr>
          </w:p>
        </w:tc>
        <w:tc>
          <w:tcPr>
            <w:tcW w:w="341" w:type="pct"/>
            <w:tcBorders>
              <w:top w:val="single" w:sz="4" w:space="0" w:color="F79646" w:themeColor="accent6"/>
              <w:left w:val="nil"/>
              <w:right w:val="nil"/>
            </w:tcBorders>
            <w:shd w:val="clear" w:color="auto" w:fill="auto"/>
            <w:noWrap/>
            <w:vAlign w:val="center"/>
          </w:tcPr>
          <w:p w14:paraId="7E2FFE29"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1236663B"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4BFC984F" w14:textId="77777777" w:rsidR="009E6DE0" w:rsidRPr="003017D7" w:rsidRDefault="009E6DE0" w:rsidP="009E6DE0">
            <w:pPr>
              <w:jc w:val="right"/>
              <w:rPr>
                <w:rFonts w:ascii="CAIXA Std Book" w:hAnsi="CAIXA Std Book"/>
                <w:b/>
                <w:bCs/>
                <w:color w:val="005CA9"/>
                <w:sz w:val="14"/>
                <w:szCs w:val="14"/>
              </w:rPr>
            </w:pPr>
          </w:p>
        </w:tc>
        <w:tc>
          <w:tcPr>
            <w:tcW w:w="341" w:type="pct"/>
            <w:tcBorders>
              <w:top w:val="single" w:sz="4" w:space="0" w:color="F79646" w:themeColor="accent6"/>
              <w:left w:val="nil"/>
              <w:right w:val="nil"/>
            </w:tcBorders>
            <w:shd w:val="clear" w:color="auto" w:fill="auto"/>
            <w:noWrap/>
            <w:vAlign w:val="center"/>
          </w:tcPr>
          <w:p w14:paraId="346BF55A" w14:textId="77777777" w:rsidR="009E6DE0" w:rsidRPr="003017D7" w:rsidRDefault="009E6DE0" w:rsidP="009E6DE0">
            <w:pPr>
              <w:jc w:val="right"/>
              <w:rPr>
                <w:rFonts w:ascii="CAIXA Std Book" w:hAnsi="CAIXA Std Book"/>
                <w:b/>
                <w:bCs/>
                <w:color w:val="005CA9"/>
                <w:sz w:val="14"/>
                <w:szCs w:val="14"/>
              </w:rPr>
            </w:pPr>
          </w:p>
        </w:tc>
        <w:tc>
          <w:tcPr>
            <w:tcW w:w="340" w:type="pct"/>
            <w:tcBorders>
              <w:top w:val="single" w:sz="4" w:space="0" w:color="F79646" w:themeColor="accent6"/>
              <w:left w:val="nil"/>
              <w:right w:val="nil"/>
            </w:tcBorders>
            <w:shd w:val="clear" w:color="auto" w:fill="auto"/>
            <w:noWrap/>
            <w:vAlign w:val="center"/>
          </w:tcPr>
          <w:p w14:paraId="2CB051B1" w14:textId="77777777" w:rsidR="009E6DE0" w:rsidRPr="003017D7" w:rsidRDefault="009E6DE0" w:rsidP="009E6DE0">
            <w:pPr>
              <w:jc w:val="right"/>
              <w:rPr>
                <w:rFonts w:ascii="CAIXA Std Book" w:hAnsi="CAIXA Std Book"/>
                <w:b/>
                <w:bCs/>
                <w:color w:val="005CA9"/>
                <w:sz w:val="14"/>
                <w:szCs w:val="14"/>
              </w:rPr>
            </w:pPr>
          </w:p>
        </w:tc>
        <w:tc>
          <w:tcPr>
            <w:tcW w:w="390" w:type="pct"/>
            <w:tcBorders>
              <w:top w:val="single" w:sz="4" w:space="0" w:color="F79646" w:themeColor="accent6"/>
              <w:left w:val="nil"/>
              <w:right w:val="nil"/>
            </w:tcBorders>
            <w:shd w:val="clear" w:color="auto" w:fill="auto"/>
            <w:noWrap/>
            <w:vAlign w:val="center"/>
          </w:tcPr>
          <w:p w14:paraId="033ABE88" w14:textId="039B095D" w:rsidR="009E6DE0" w:rsidRPr="003017D7" w:rsidRDefault="00E751E4" w:rsidP="00E751E4">
            <w:pPr>
              <w:jc w:val="right"/>
              <w:rPr>
                <w:rFonts w:ascii="CAIXA Std Book" w:hAnsi="CAIXA Std Book"/>
                <w:color w:val="005CA9"/>
                <w:sz w:val="14"/>
                <w:szCs w:val="14"/>
              </w:rPr>
            </w:pPr>
            <w:r w:rsidRPr="003017D7">
              <w:rPr>
                <w:rFonts w:ascii="CAIXA Std Book" w:hAnsi="CAIXA Std Book"/>
                <w:color w:val="005CA9"/>
                <w:sz w:val="14"/>
                <w:szCs w:val="14"/>
              </w:rPr>
              <w:t>212.812.508</w:t>
            </w:r>
          </w:p>
        </w:tc>
        <w:tc>
          <w:tcPr>
            <w:tcW w:w="428" w:type="pct"/>
            <w:tcBorders>
              <w:top w:val="single" w:sz="4" w:space="0" w:color="F79646" w:themeColor="accent6"/>
              <w:left w:val="nil"/>
              <w:right w:val="nil"/>
            </w:tcBorders>
            <w:vAlign w:val="center"/>
          </w:tcPr>
          <w:p w14:paraId="7FAC28F7" w14:textId="3CD47001" w:rsidR="009E6DE0" w:rsidRPr="003017D7" w:rsidRDefault="009E6DE0" w:rsidP="009E6DE0">
            <w:pPr>
              <w:jc w:val="right"/>
              <w:rPr>
                <w:rFonts w:ascii="CAIXA Std Book" w:hAnsi="CAIXA Std Book"/>
                <w:color w:val="005CA9"/>
                <w:sz w:val="14"/>
                <w:szCs w:val="14"/>
              </w:rPr>
            </w:pPr>
            <w:r w:rsidRPr="003017D7">
              <w:rPr>
                <w:rFonts w:ascii="CAIXA Std Book" w:hAnsi="CAIXA Std Book"/>
                <w:color w:val="005CA9"/>
                <w:sz w:val="14"/>
                <w:szCs w:val="14"/>
              </w:rPr>
              <w:t xml:space="preserve"> 209.242.821 </w:t>
            </w:r>
          </w:p>
        </w:tc>
      </w:tr>
      <w:tr w:rsidR="003017D7" w:rsidRPr="00B22AF5" w14:paraId="3A33B8F8" w14:textId="77777777" w:rsidTr="00B22AF5">
        <w:trPr>
          <w:trHeight w:val="240"/>
        </w:trPr>
        <w:tc>
          <w:tcPr>
            <w:tcW w:w="1070" w:type="pct"/>
            <w:tcBorders>
              <w:left w:val="nil"/>
              <w:bottom w:val="single" w:sz="4" w:space="0" w:color="F39200"/>
              <w:right w:val="nil"/>
            </w:tcBorders>
            <w:shd w:val="clear" w:color="auto" w:fill="auto"/>
            <w:noWrap/>
            <w:vAlign w:val="center"/>
          </w:tcPr>
          <w:p w14:paraId="18225CD8" w14:textId="77777777" w:rsidR="009E6DE0" w:rsidRPr="003017D7" w:rsidRDefault="009E6DE0" w:rsidP="009E6DE0">
            <w:pPr>
              <w:rPr>
                <w:rFonts w:ascii="CAIXA Std Book" w:hAnsi="CAIXA Std Book"/>
                <w:color w:val="005CA9"/>
                <w:sz w:val="14"/>
                <w:szCs w:val="14"/>
              </w:rPr>
            </w:pPr>
            <w:r w:rsidRPr="003017D7">
              <w:rPr>
                <w:rFonts w:ascii="CAIXA Std Book" w:hAnsi="CAIXA Std Book"/>
                <w:color w:val="005CA9"/>
                <w:sz w:val="14"/>
                <w:szCs w:val="14"/>
              </w:rPr>
              <w:t>Ativo não circulante</w:t>
            </w:r>
          </w:p>
        </w:tc>
        <w:tc>
          <w:tcPr>
            <w:tcW w:w="389" w:type="pct"/>
            <w:tcBorders>
              <w:left w:val="nil"/>
              <w:bottom w:val="single" w:sz="4" w:space="0" w:color="F39200"/>
              <w:right w:val="nil"/>
            </w:tcBorders>
            <w:shd w:val="clear" w:color="auto" w:fill="auto"/>
            <w:noWrap/>
            <w:vAlign w:val="center"/>
          </w:tcPr>
          <w:p w14:paraId="7950904C"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22BCBEE7"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3DF4712B"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65A662E0" w14:textId="77777777" w:rsidR="009E6DE0" w:rsidRPr="003017D7" w:rsidRDefault="009E6DE0" w:rsidP="009E6DE0">
            <w:pPr>
              <w:jc w:val="right"/>
              <w:rPr>
                <w:rFonts w:ascii="CAIXA Std Book" w:hAnsi="CAIXA Std Book"/>
                <w:b/>
                <w:bCs/>
                <w:color w:val="005CA9"/>
                <w:sz w:val="14"/>
                <w:szCs w:val="14"/>
              </w:rPr>
            </w:pPr>
          </w:p>
        </w:tc>
        <w:tc>
          <w:tcPr>
            <w:tcW w:w="341" w:type="pct"/>
            <w:tcBorders>
              <w:left w:val="nil"/>
              <w:bottom w:val="single" w:sz="4" w:space="0" w:color="F39200"/>
              <w:right w:val="nil"/>
            </w:tcBorders>
            <w:shd w:val="clear" w:color="auto" w:fill="auto"/>
            <w:noWrap/>
            <w:vAlign w:val="center"/>
          </w:tcPr>
          <w:p w14:paraId="3B2C0690"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23049E54"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033AB218" w14:textId="77777777" w:rsidR="009E6DE0" w:rsidRPr="003017D7" w:rsidRDefault="009E6DE0" w:rsidP="009E6DE0">
            <w:pPr>
              <w:jc w:val="right"/>
              <w:rPr>
                <w:rFonts w:ascii="CAIXA Std Book" w:hAnsi="CAIXA Std Book"/>
                <w:b/>
                <w:bCs/>
                <w:color w:val="005CA9"/>
                <w:sz w:val="14"/>
                <w:szCs w:val="14"/>
              </w:rPr>
            </w:pPr>
          </w:p>
        </w:tc>
        <w:tc>
          <w:tcPr>
            <w:tcW w:w="341" w:type="pct"/>
            <w:tcBorders>
              <w:left w:val="nil"/>
              <w:bottom w:val="single" w:sz="4" w:space="0" w:color="F39200"/>
              <w:right w:val="nil"/>
            </w:tcBorders>
            <w:shd w:val="clear" w:color="auto" w:fill="auto"/>
            <w:noWrap/>
            <w:vAlign w:val="center"/>
          </w:tcPr>
          <w:p w14:paraId="7DCEF152" w14:textId="77777777" w:rsidR="009E6DE0" w:rsidRPr="003017D7" w:rsidRDefault="009E6DE0" w:rsidP="009E6DE0">
            <w:pPr>
              <w:jc w:val="right"/>
              <w:rPr>
                <w:rFonts w:ascii="CAIXA Std Book" w:hAnsi="CAIXA Std Book"/>
                <w:b/>
                <w:bCs/>
                <w:color w:val="005CA9"/>
                <w:sz w:val="14"/>
                <w:szCs w:val="14"/>
              </w:rPr>
            </w:pPr>
          </w:p>
        </w:tc>
        <w:tc>
          <w:tcPr>
            <w:tcW w:w="340" w:type="pct"/>
            <w:tcBorders>
              <w:left w:val="nil"/>
              <w:bottom w:val="single" w:sz="4" w:space="0" w:color="F39200"/>
              <w:right w:val="nil"/>
            </w:tcBorders>
            <w:shd w:val="clear" w:color="auto" w:fill="auto"/>
            <w:noWrap/>
            <w:vAlign w:val="center"/>
          </w:tcPr>
          <w:p w14:paraId="070CD640" w14:textId="77777777" w:rsidR="009E6DE0" w:rsidRPr="003017D7" w:rsidRDefault="009E6DE0" w:rsidP="009E6DE0">
            <w:pPr>
              <w:rPr>
                <w:rFonts w:ascii="CAIXA Std Book" w:hAnsi="CAIXA Std Book"/>
                <w:b/>
                <w:bCs/>
                <w:color w:val="005CA9"/>
                <w:sz w:val="14"/>
                <w:szCs w:val="14"/>
              </w:rPr>
            </w:pPr>
          </w:p>
        </w:tc>
        <w:tc>
          <w:tcPr>
            <w:tcW w:w="390" w:type="pct"/>
            <w:tcBorders>
              <w:left w:val="nil"/>
              <w:bottom w:val="single" w:sz="4" w:space="0" w:color="F39200"/>
              <w:right w:val="nil"/>
            </w:tcBorders>
            <w:shd w:val="clear" w:color="auto" w:fill="auto"/>
            <w:noWrap/>
            <w:vAlign w:val="center"/>
          </w:tcPr>
          <w:p w14:paraId="1283F83F" w14:textId="5D239ADC" w:rsidR="009E6DE0" w:rsidRPr="003017D7" w:rsidRDefault="000F1C19" w:rsidP="009E6DE0">
            <w:pPr>
              <w:jc w:val="right"/>
              <w:rPr>
                <w:rFonts w:ascii="CAIXA Std Book" w:hAnsi="CAIXA Std Book"/>
                <w:color w:val="005CA9"/>
                <w:sz w:val="14"/>
                <w:szCs w:val="14"/>
              </w:rPr>
            </w:pPr>
            <w:r w:rsidRPr="003017D7">
              <w:rPr>
                <w:rFonts w:ascii="CAIXA Std Book" w:hAnsi="CAIXA Std Book"/>
                <w:color w:val="005CA9"/>
                <w:sz w:val="14"/>
                <w:szCs w:val="14"/>
              </w:rPr>
              <w:t>931.425.228</w:t>
            </w:r>
          </w:p>
        </w:tc>
        <w:tc>
          <w:tcPr>
            <w:tcW w:w="428" w:type="pct"/>
            <w:tcBorders>
              <w:left w:val="nil"/>
              <w:bottom w:val="single" w:sz="4" w:space="0" w:color="F39200"/>
              <w:right w:val="nil"/>
            </w:tcBorders>
            <w:vAlign w:val="center"/>
          </w:tcPr>
          <w:p w14:paraId="6BD735B1" w14:textId="3CD9B812" w:rsidR="009E6DE0" w:rsidRPr="003017D7" w:rsidRDefault="009E6DE0" w:rsidP="009E6DE0">
            <w:pPr>
              <w:jc w:val="right"/>
              <w:rPr>
                <w:rFonts w:ascii="CAIXA Std Book" w:hAnsi="CAIXA Std Book"/>
                <w:color w:val="005CA9"/>
                <w:sz w:val="14"/>
                <w:szCs w:val="14"/>
              </w:rPr>
            </w:pPr>
            <w:r w:rsidRPr="003017D7">
              <w:rPr>
                <w:rFonts w:ascii="CAIXA Std Book" w:hAnsi="CAIXA Std Book"/>
                <w:color w:val="005CA9"/>
                <w:sz w:val="14"/>
                <w:szCs w:val="14"/>
              </w:rPr>
              <w:t>910.577.437</w:t>
            </w:r>
          </w:p>
        </w:tc>
      </w:tr>
    </w:tbl>
    <w:p w14:paraId="7B675238" w14:textId="1FD4661F" w:rsidR="00342448" w:rsidRPr="009E6C19" w:rsidRDefault="00F81EC2" w:rsidP="00F81EC2">
      <w:pPr>
        <w:jc w:val="both"/>
        <w:rPr>
          <w:rFonts w:ascii="CAIXA Std Book" w:hAnsi="CAIXA Std Book"/>
          <w:color w:val="005CA9"/>
          <w:sz w:val="14"/>
          <w:szCs w:val="14"/>
        </w:rPr>
      </w:pPr>
      <w:r w:rsidRPr="009E6C19">
        <w:rPr>
          <w:rFonts w:ascii="CAIXA Std Book" w:hAnsi="CAIXA Std Book"/>
          <w:color w:val="005CA9"/>
          <w:sz w:val="14"/>
          <w:szCs w:val="14"/>
        </w:rPr>
        <w:t xml:space="preserve">(1) </w:t>
      </w:r>
      <w:r w:rsidR="00BA44FA" w:rsidRPr="009E6C19">
        <w:rPr>
          <w:rFonts w:ascii="CAIXA Std Book" w:hAnsi="CAIXA Std Book"/>
          <w:color w:val="005CA9"/>
          <w:sz w:val="14"/>
          <w:szCs w:val="14"/>
        </w:rPr>
        <w:t>Créditos adquiridos com coobrigação dos Bancos</w:t>
      </w:r>
      <w:r w:rsidR="004939BF" w:rsidRPr="009E6C19">
        <w:rPr>
          <w:rFonts w:ascii="CAIXA Std Book" w:hAnsi="CAIXA Std Book"/>
          <w:color w:val="005CA9"/>
          <w:sz w:val="14"/>
          <w:szCs w:val="14"/>
        </w:rPr>
        <w:t xml:space="preserve"> </w:t>
      </w:r>
      <w:r w:rsidR="00BA44FA" w:rsidRPr="009E6C19">
        <w:rPr>
          <w:rFonts w:ascii="CAIXA Std Book" w:hAnsi="CAIXA Std Book"/>
          <w:color w:val="005CA9"/>
          <w:sz w:val="14"/>
          <w:szCs w:val="14"/>
        </w:rPr>
        <w:t>BMG</w:t>
      </w:r>
      <w:r w:rsidR="00F84146" w:rsidRPr="009E6C19">
        <w:rPr>
          <w:rFonts w:ascii="CAIXA Std Book" w:hAnsi="CAIXA Std Book"/>
          <w:color w:val="005CA9"/>
          <w:sz w:val="14"/>
          <w:szCs w:val="14"/>
        </w:rPr>
        <w:t xml:space="preserve"> e</w:t>
      </w:r>
      <w:r w:rsidR="004939BF" w:rsidRPr="009E6C19">
        <w:rPr>
          <w:rFonts w:ascii="CAIXA Std Book" w:hAnsi="CAIXA Std Book"/>
          <w:color w:val="005CA9"/>
          <w:sz w:val="14"/>
          <w:szCs w:val="14"/>
        </w:rPr>
        <w:t xml:space="preserve"> Mercantil</w:t>
      </w:r>
      <w:r w:rsidR="00BA44FA" w:rsidRPr="009E6C19">
        <w:rPr>
          <w:rFonts w:ascii="CAIXA Std Book" w:hAnsi="CAIXA Std Book"/>
          <w:color w:val="005CA9"/>
          <w:sz w:val="14"/>
          <w:szCs w:val="14"/>
        </w:rPr>
        <w:t>.</w:t>
      </w:r>
    </w:p>
    <w:p w14:paraId="0D9128B7" w14:textId="7B760AC5" w:rsidR="009B1E28" w:rsidRPr="009E6C19" w:rsidRDefault="009B1E28" w:rsidP="00B26858">
      <w:pPr>
        <w:jc w:val="both"/>
        <w:rPr>
          <w:rFonts w:ascii="CAIXA Std Book" w:hAnsi="CAIXA Std Book"/>
          <w:color w:val="005CA9"/>
          <w:sz w:val="14"/>
          <w:szCs w:val="14"/>
        </w:rPr>
      </w:pPr>
      <w:r w:rsidRPr="009E6C19">
        <w:rPr>
          <w:rFonts w:ascii="CAIXA Std Book" w:hAnsi="CAIXA Std Book"/>
          <w:color w:val="005CA9"/>
          <w:sz w:val="14"/>
          <w:szCs w:val="14"/>
        </w:rPr>
        <w:t>(2) Refere-se à provisão complementar aos percentuais mínimos requeridos pela Resolução CMN nº 2.682/1999, utilizando-se da metodologia de perda esperada, adotada na gestão de risco de crédito da instituição.</w:t>
      </w:r>
    </w:p>
    <w:p w14:paraId="4DE5E6B4" w14:textId="77777777" w:rsidR="009E6C19" w:rsidRDefault="009E6C19">
      <w:pPr>
        <w:rPr>
          <w:rFonts w:ascii="CAIXA Std Book" w:hAnsi="CAIXA Std Book"/>
          <w:b/>
          <w:color w:val="005CA9"/>
          <w:sz w:val="20"/>
          <w:szCs w:val="20"/>
        </w:rPr>
      </w:pPr>
      <w:r>
        <w:rPr>
          <w:rFonts w:ascii="CAIXA Std Book" w:hAnsi="CAIXA Std Book"/>
          <w:b/>
          <w:color w:val="005CA9"/>
          <w:sz w:val="20"/>
          <w:szCs w:val="20"/>
        </w:rPr>
        <w:br w:type="page"/>
      </w:r>
    </w:p>
    <w:p w14:paraId="5EABD5CD" w14:textId="4DAD29DC" w:rsidR="00BA44FA" w:rsidRPr="00FF4346" w:rsidRDefault="00BA44FA"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lastRenderedPageBreak/>
        <w:t>Composição por faixas de vencimento e níveis de risco</w:t>
      </w:r>
    </w:p>
    <w:tbl>
      <w:tblPr>
        <w:tblW w:w="5000" w:type="pct"/>
        <w:tblCellMar>
          <w:left w:w="70" w:type="dxa"/>
          <w:right w:w="70" w:type="dxa"/>
        </w:tblCellMar>
        <w:tblLook w:val="04A0" w:firstRow="1" w:lastRow="0" w:firstColumn="1" w:lastColumn="0" w:noHBand="0" w:noVBand="1"/>
      </w:tblPr>
      <w:tblGrid>
        <w:gridCol w:w="1873"/>
        <w:gridCol w:w="1130"/>
        <w:gridCol w:w="1128"/>
        <w:gridCol w:w="1131"/>
        <w:gridCol w:w="1131"/>
        <w:gridCol w:w="1119"/>
        <w:gridCol w:w="1134"/>
        <w:gridCol w:w="1128"/>
        <w:gridCol w:w="1131"/>
        <w:gridCol w:w="1131"/>
        <w:gridCol w:w="1285"/>
        <w:gridCol w:w="1250"/>
      </w:tblGrid>
      <w:tr w:rsidR="00DA43EF" w:rsidRPr="007818E0" w14:paraId="6F72BA2A" w14:textId="77777777" w:rsidTr="00EC1615">
        <w:trPr>
          <w:trHeight w:val="255"/>
        </w:trPr>
        <w:tc>
          <w:tcPr>
            <w:tcW w:w="5000" w:type="pct"/>
            <w:gridSpan w:val="12"/>
            <w:tcBorders>
              <w:top w:val="single" w:sz="4" w:space="0" w:color="F39200"/>
              <w:left w:val="nil"/>
              <w:bottom w:val="nil"/>
              <w:right w:val="nil"/>
            </w:tcBorders>
            <w:vAlign w:val="center"/>
          </w:tcPr>
          <w:p w14:paraId="3084BDD1"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INDIVIDUAL / CONSOLIDADO</w:t>
            </w:r>
          </w:p>
        </w:tc>
      </w:tr>
      <w:tr w:rsidR="00DA43EF" w:rsidRPr="007818E0" w14:paraId="44A977A7" w14:textId="77777777" w:rsidTr="00EC1615">
        <w:trPr>
          <w:trHeight w:val="255"/>
        </w:trPr>
        <w:tc>
          <w:tcPr>
            <w:tcW w:w="5000" w:type="pct"/>
            <w:gridSpan w:val="12"/>
            <w:tcBorders>
              <w:top w:val="single" w:sz="4" w:space="0" w:color="F39200"/>
              <w:left w:val="nil"/>
              <w:bottom w:val="nil"/>
              <w:right w:val="nil"/>
            </w:tcBorders>
            <w:vAlign w:val="center"/>
          </w:tcPr>
          <w:p w14:paraId="1F5CC2CA"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Carteira de crédito em curso normal</w:t>
            </w:r>
          </w:p>
        </w:tc>
      </w:tr>
      <w:tr w:rsidR="00DA43EF" w:rsidRPr="007818E0" w14:paraId="36527B6D" w14:textId="77777777" w:rsidTr="00EC1615">
        <w:trPr>
          <w:trHeight w:val="255"/>
        </w:trPr>
        <w:tc>
          <w:tcPr>
            <w:tcW w:w="643" w:type="pct"/>
            <w:tcBorders>
              <w:top w:val="single" w:sz="4" w:space="0" w:color="F39200"/>
              <w:left w:val="nil"/>
              <w:bottom w:val="nil"/>
              <w:right w:val="nil"/>
            </w:tcBorders>
            <w:shd w:val="clear" w:color="auto" w:fill="auto"/>
            <w:noWrap/>
            <w:vAlign w:val="center"/>
            <w:hideMark/>
          </w:tcPr>
          <w:p w14:paraId="34602B51"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Descrição</w:t>
            </w:r>
          </w:p>
        </w:tc>
        <w:tc>
          <w:tcPr>
            <w:tcW w:w="388" w:type="pct"/>
            <w:tcBorders>
              <w:top w:val="single" w:sz="4" w:space="0" w:color="F39200"/>
              <w:left w:val="nil"/>
              <w:bottom w:val="nil"/>
              <w:right w:val="nil"/>
            </w:tcBorders>
            <w:shd w:val="clear" w:color="auto" w:fill="auto"/>
            <w:noWrap/>
            <w:vAlign w:val="center"/>
            <w:hideMark/>
          </w:tcPr>
          <w:p w14:paraId="686AA09C"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AA</w:t>
            </w:r>
          </w:p>
        </w:tc>
        <w:tc>
          <w:tcPr>
            <w:tcW w:w="387" w:type="pct"/>
            <w:tcBorders>
              <w:top w:val="single" w:sz="4" w:space="0" w:color="F39200"/>
              <w:left w:val="nil"/>
              <w:bottom w:val="nil"/>
              <w:right w:val="nil"/>
            </w:tcBorders>
            <w:shd w:val="clear" w:color="auto" w:fill="auto"/>
            <w:noWrap/>
            <w:vAlign w:val="center"/>
            <w:hideMark/>
          </w:tcPr>
          <w:p w14:paraId="5DA066DF"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A</w:t>
            </w:r>
          </w:p>
        </w:tc>
        <w:tc>
          <w:tcPr>
            <w:tcW w:w="388" w:type="pct"/>
            <w:tcBorders>
              <w:top w:val="single" w:sz="4" w:space="0" w:color="F39200"/>
              <w:left w:val="nil"/>
              <w:bottom w:val="nil"/>
              <w:right w:val="nil"/>
            </w:tcBorders>
            <w:shd w:val="clear" w:color="auto" w:fill="auto"/>
            <w:noWrap/>
            <w:vAlign w:val="center"/>
            <w:hideMark/>
          </w:tcPr>
          <w:p w14:paraId="6D976FEC" w14:textId="77777777" w:rsidR="00DA43EF" w:rsidRPr="007818E0" w:rsidRDefault="00DA43EF">
            <w:pPr>
              <w:ind w:left="-366" w:firstLine="366"/>
              <w:jc w:val="center"/>
              <w:rPr>
                <w:rFonts w:ascii="CAIXA Std Book" w:hAnsi="CAIXA Std Book"/>
                <w:b/>
                <w:color w:val="005CA9"/>
                <w:sz w:val="16"/>
                <w:szCs w:val="16"/>
              </w:rPr>
            </w:pPr>
            <w:r w:rsidRPr="007818E0">
              <w:rPr>
                <w:rFonts w:ascii="CAIXA Std Book" w:hAnsi="CAIXA Std Book"/>
                <w:b/>
                <w:color w:val="005CA9"/>
                <w:sz w:val="16"/>
                <w:szCs w:val="16"/>
              </w:rPr>
              <w:t>B</w:t>
            </w:r>
          </w:p>
        </w:tc>
        <w:tc>
          <w:tcPr>
            <w:tcW w:w="388" w:type="pct"/>
            <w:tcBorders>
              <w:top w:val="single" w:sz="4" w:space="0" w:color="F39200"/>
              <w:left w:val="nil"/>
              <w:bottom w:val="nil"/>
              <w:right w:val="nil"/>
            </w:tcBorders>
            <w:shd w:val="clear" w:color="auto" w:fill="auto"/>
            <w:noWrap/>
            <w:vAlign w:val="center"/>
            <w:hideMark/>
          </w:tcPr>
          <w:p w14:paraId="65AD94B0"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C</w:t>
            </w:r>
          </w:p>
        </w:tc>
        <w:tc>
          <w:tcPr>
            <w:tcW w:w="384" w:type="pct"/>
            <w:tcBorders>
              <w:top w:val="single" w:sz="4" w:space="0" w:color="F39200"/>
              <w:left w:val="nil"/>
              <w:bottom w:val="nil"/>
              <w:right w:val="nil"/>
            </w:tcBorders>
            <w:shd w:val="clear" w:color="auto" w:fill="auto"/>
            <w:noWrap/>
            <w:vAlign w:val="center"/>
            <w:hideMark/>
          </w:tcPr>
          <w:p w14:paraId="4F2E09C4"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D</w:t>
            </w:r>
          </w:p>
        </w:tc>
        <w:tc>
          <w:tcPr>
            <w:tcW w:w="389" w:type="pct"/>
            <w:tcBorders>
              <w:top w:val="single" w:sz="4" w:space="0" w:color="F39200"/>
              <w:left w:val="nil"/>
              <w:bottom w:val="nil"/>
              <w:right w:val="nil"/>
            </w:tcBorders>
            <w:shd w:val="clear" w:color="auto" w:fill="auto"/>
            <w:noWrap/>
            <w:vAlign w:val="center"/>
            <w:hideMark/>
          </w:tcPr>
          <w:p w14:paraId="34397846"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E</w:t>
            </w:r>
          </w:p>
        </w:tc>
        <w:tc>
          <w:tcPr>
            <w:tcW w:w="387" w:type="pct"/>
            <w:tcBorders>
              <w:top w:val="single" w:sz="4" w:space="0" w:color="F39200"/>
              <w:left w:val="nil"/>
              <w:bottom w:val="nil"/>
              <w:right w:val="nil"/>
            </w:tcBorders>
            <w:shd w:val="clear" w:color="auto" w:fill="auto"/>
            <w:noWrap/>
            <w:vAlign w:val="center"/>
            <w:hideMark/>
          </w:tcPr>
          <w:p w14:paraId="1BC7E7A1"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F</w:t>
            </w:r>
          </w:p>
        </w:tc>
        <w:tc>
          <w:tcPr>
            <w:tcW w:w="388" w:type="pct"/>
            <w:tcBorders>
              <w:top w:val="single" w:sz="4" w:space="0" w:color="F39200"/>
              <w:left w:val="nil"/>
              <w:bottom w:val="nil"/>
              <w:right w:val="nil"/>
            </w:tcBorders>
            <w:shd w:val="clear" w:color="auto" w:fill="auto"/>
            <w:noWrap/>
            <w:vAlign w:val="center"/>
            <w:hideMark/>
          </w:tcPr>
          <w:p w14:paraId="5F0DC8EE"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G</w:t>
            </w:r>
          </w:p>
        </w:tc>
        <w:tc>
          <w:tcPr>
            <w:tcW w:w="388" w:type="pct"/>
            <w:tcBorders>
              <w:top w:val="single" w:sz="4" w:space="0" w:color="F39200"/>
              <w:left w:val="nil"/>
              <w:bottom w:val="nil"/>
              <w:right w:val="nil"/>
            </w:tcBorders>
            <w:shd w:val="clear" w:color="auto" w:fill="auto"/>
            <w:noWrap/>
            <w:vAlign w:val="center"/>
            <w:hideMark/>
          </w:tcPr>
          <w:p w14:paraId="2EE22A34"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H</w:t>
            </w:r>
          </w:p>
        </w:tc>
        <w:tc>
          <w:tcPr>
            <w:tcW w:w="441" w:type="pct"/>
            <w:tcBorders>
              <w:top w:val="single" w:sz="4" w:space="0" w:color="F39200"/>
              <w:left w:val="nil"/>
              <w:bottom w:val="nil"/>
              <w:right w:val="nil"/>
            </w:tcBorders>
            <w:vAlign w:val="center"/>
          </w:tcPr>
          <w:p w14:paraId="3579DB44" w14:textId="189C5E7E" w:rsidR="00DA43EF" w:rsidRPr="007818E0" w:rsidRDefault="00FF3292">
            <w:pPr>
              <w:jc w:val="center"/>
              <w:rPr>
                <w:rFonts w:ascii="CAIXA Std Book" w:hAnsi="CAIXA Std Book"/>
                <w:b/>
                <w:color w:val="005CA9"/>
                <w:sz w:val="16"/>
                <w:szCs w:val="16"/>
              </w:rPr>
            </w:pPr>
            <w:r w:rsidRPr="007818E0">
              <w:rPr>
                <w:rFonts w:ascii="CAIXA Std Book" w:hAnsi="CAIXA Std Book"/>
                <w:b/>
                <w:color w:val="005CA9"/>
                <w:sz w:val="16"/>
                <w:szCs w:val="16"/>
              </w:rPr>
              <w:t>31/</w:t>
            </w:r>
            <w:r w:rsidR="00AF7090" w:rsidRPr="007818E0">
              <w:rPr>
                <w:rFonts w:ascii="CAIXA Std Book" w:hAnsi="CAIXA Std Book"/>
                <w:b/>
                <w:color w:val="005CA9"/>
                <w:sz w:val="16"/>
                <w:szCs w:val="16"/>
              </w:rPr>
              <w:t>03</w:t>
            </w:r>
            <w:r w:rsidRPr="007818E0">
              <w:rPr>
                <w:rFonts w:ascii="CAIXA Std Book" w:hAnsi="CAIXA Std Book"/>
                <w:b/>
                <w:color w:val="005CA9"/>
                <w:sz w:val="16"/>
                <w:szCs w:val="16"/>
              </w:rPr>
              <w:t>/</w:t>
            </w:r>
            <w:r w:rsidR="00E13B2C" w:rsidRPr="007818E0">
              <w:rPr>
                <w:rFonts w:ascii="CAIXA Std Book" w:hAnsi="CAIXA Std Book"/>
                <w:b/>
                <w:color w:val="005CA9"/>
                <w:sz w:val="16"/>
                <w:szCs w:val="16"/>
              </w:rPr>
              <w:t>202</w:t>
            </w:r>
            <w:r w:rsidR="00981F91" w:rsidRPr="007818E0">
              <w:rPr>
                <w:rFonts w:ascii="CAIXA Std Book" w:hAnsi="CAIXA Std Book"/>
                <w:b/>
                <w:color w:val="005CA9"/>
                <w:sz w:val="16"/>
                <w:szCs w:val="16"/>
              </w:rPr>
              <w:t>4</w:t>
            </w:r>
          </w:p>
        </w:tc>
        <w:tc>
          <w:tcPr>
            <w:tcW w:w="429" w:type="pct"/>
            <w:tcBorders>
              <w:top w:val="single" w:sz="4" w:space="0" w:color="F39200"/>
              <w:left w:val="nil"/>
              <w:bottom w:val="nil"/>
              <w:right w:val="nil"/>
            </w:tcBorders>
            <w:shd w:val="clear" w:color="auto" w:fill="auto"/>
            <w:noWrap/>
            <w:vAlign w:val="center"/>
            <w:hideMark/>
          </w:tcPr>
          <w:p w14:paraId="1EDD9965" w14:textId="263E9B4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31/12/202</w:t>
            </w:r>
            <w:r w:rsidR="00943C30" w:rsidRPr="007818E0">
              <w:rPr>
                <w:rFonts w:ascii="CAIXA Std Book" w:hAnsi="CAIXA Std Book"/>
                <w:b/>
                <w:color w:val="005CA9"/>
                <w:sz w:val="16"/>
                <w:szCs w:val="16"/>
              </w:rPr>
              <w:t>3</w:t>
            </w:r>
          </w:p>
        </w:tc>
      </w:tr>
      <w:tr w:rsidR="00045B9A" w:rsidRPr="007818E0" w14:paraId="490800FD"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hideMark/>
          </w:tcPr>
          <w:p w14:paraId="1555E63B" w14:textId="77777777" w:rsidR="00045B9A" w:rsidRPr="007818E0" w:rsidRDefault="00045B9A" w:rsidP="00045B9A">
            <w:pPr>
              <w:rPr>
                <w:rFonts w:ascii="CAIXA Std Book" w:hAnsi="CAIXA Std Book"/>
                <w:b/>
                <w:color w:val="005CA9"/>
                <w:sz w:val="16"/>
                <w:szCs w:val="16"/>
              </w:rPr>
            </w:pPr>
            <w:r w:rsidRPr="007818E0">
              <w:rPr>
                <w:rFonts w:ascii="CAIXA Std Book" w:hAnsi="CAIXA Std Book"/>
                <w:b/>
                <w:color w:val="005CA9"/>
                <w:sz w:val="16"/>
                <w:szCs w:val="16"/>
              </w:rPr>
              <w:t>Parcelas vincendas</w:t>
            </w:r>
          </w:p>
        </w:tc>
        <w:tc>
          <w:tcPr>
            <w:tcW w:w="388" w:type="pct"/>
            <w:tcBorders>
              <w:top w:val="single" w:sz="4" w:space="0" w:color="F39200"/>
              <w:left w:val="nil"/>
              <w:bottom w:val="single" w:sz="4" w:space="0" w:color="F39200"/>
              <w:right w:val="nil"/>
            </w:tcBorders>
            <w:shd w:val="clear" w:color="auto" w:fill="auto"/>
            <w:noWrap/>
            <w:vAlign w:val="center"/>
          </w:tcPr>
          <w:p w14:paraId="1B6E32E9" w14:textId="38CA14B2"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535.213.037</w:t>
            </w:r>
          </w:p>
        </w:tc>
        <w:tc>
          <w:tcPr>
            <w:tcW w:w="387" w:type="pct"/>
            <w:tcBorders>
              <w:top w:val="single" w:sz="4" w:space="0" w:color="F39200"/>
              <w:left w:val="nil"/>
              <w:bottom w:val="single" w:sz="4" w:space="0" w:color="F39200"/>
              <w:right w:val="nil"/>
            </w:tcBorders>
            <w:shd w:val="clear" w:color="auto" w:fill="auto"/>
            <w:noWrap/>
            <w:vAlign w:val="center"/>
          </w:tcPr>
          <w:p w14:paraId="6DA3E770" w14:textId="3B88BED1" w:rsidR="00045B9A" w:rsidRPr="007818E0" w:rsidRDefault="00045B9A" w:rsidP="00045B9A">
            <w:pPr>
              <w:ind w:hanging="211"/>
              <w:jc w:val="right"/>
              <w:rPr>
                <w:rFonts w:ascii="CAIXA Std Book" w:hAnsi="CAIXA Std Book"/>
                <w:b/>
                <w:bCs/>
                <w:color w:val="005CA9"/>
                <w:sz w:val="16"/>
                <w:szCs w:val="16"/>
              </w:rPr>
            </w:pPr>
            <w:r w:rsidRPr="007818E0">
              <w:rPr>
                <w:rFonts w:ascii="CAIXA Std Book" w:hAnsi="CAIXA Std Book"/>
                <w:b/>
                <w:bCs/>
                <w:color w:val="005CA9"/>
                <w:sz w:val="16"/>
                <w:szCs w:val="16"/>
              </w:rPr>
              <w:t>187.798.309</w:t>
            </w:r>
          </w:p>
        </w:tc>
        <w:tc>
          <w:tcPr>
            <w:tcW w:w="388" w:type="pct"/>
            <w:tcBorders>
              <w:top w:val="single" w:sz="4" w:space="0" w:color="F39200"/>
              <w:left w:val="nil"/>
              <w:bottom w:val="single" w:sz="4" w:space="0" w:color="F39200"/>
              <w:right w:val="nil"/>
            </w:tcBorders>
            <w:shd w:val="clear" w:color="auto" w:fill="auto"/>
            <w:noWrap/>
            <w:vAlign w:val="center"/>
          </w:tcPr>
          <w:p w14:paraId="43F2A8E0" w14:textId="080D1CB7"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182.363.995</w:t>
            </w:r>
          </w:p>
        </w:tc>
        <w:tc>
          <w:tcPr>
            <w:tcW w:w="388" w:type="pct"/>
            <w:tcBorders>
              <w:top w:val="single" w:sz="4" w:space="0" w:color="F39200"/>
              <w:left w:val="nil"/>
              <w:bottom w:val="single" w:sz="4" w:space="0" w:color="F39200"/>
              <w:right w:val="nil"/>
            </w:tcBorders>
            <w:shd w:val="clear" w:color="auto" w:fill="auto"/>
            <w:noWrap/>
            <w:vAlign w:val="center"/>
          </w:tcPr>
          <w:p w14:paraId="4F457683" w14:textId="7A134236"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99.970.815</w:t>
            </w:r>
          </w:p>
        </w:tc>
        <w:tc>
          <w:tcPr>
            <w:tcW w:w="384" w:type="pct"/>
            <w:tcBorders>
              <w:top w:val="single" w:sz="4" w:space="0" w:color="F39200"/>
              <w:left w:val="nil"/>
              <w:bottom w:val="single" w:sz="4" w:space="0" w:color="F39200"/>
              <w:right w:val="nil"/>
            </w:tcBorders>
            <w:shd w:val="clear" w:color="auto" w:fill="auto"/>
            <w:noWrap/>
            <w:vAlign w:val="center"/>
          </w:tcPr>
          <w:p w14:paraId="36E050F6" w14:textId="4FE0187D"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17.198.878</w:t>
            </w:r>
          </w:p>
        </w:tc>
        <w:tc>
          <w:tcPr>
            <w:tcW w:w="389" w:type="pct"/>
            <w:tcBorders>
              <w:top w:val="single" w:sz="4" w:space="0" w:color="F39200"/>
              <w:left w:val="nil"/>
              <w:bottom w:val="single" w:sz="4" w:space="0" w:color="F39200"/>
              <w:right w:val="nil"/>
            </w:tcBorders>
            <w:shd w:val="clear" w:color="auto" w:fill="auto"/>
            <w:noWrap/>
            <w:vAlign w:val="center"/>
          </w:tcPr>
          <w:p w14:paraId="568ED13F" w14:textId="63184B73"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6.532.496</w:t>
            </w:r>
          </w:p>
        </w:tc>
        <w:tc>
          <w:tcPr>
            <w:tcW w:w="387" w:type="pct"/>
            <w:tcBorders>
              <w:top w:val="single" w:sz="4" w:space="0" w:color="F39200"/>
              <w:left w:val="nil"/>
              <w:bottom w:val="single" w:sz="4" w:space="0" w:color="F39200"/>
              <w:right w:val="nil"/>
            </w:tcBorders>
            <w:shd w:val="clear" w:color="auto" w:fill="auto"/>
            <w:noWrap/>
            <w:vAlign w:val="center"/>
          </w:tcPr>
          <w:p w14:paraId="3FFE3C99" w14:textId="36136507"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3.015.098</w:t>
            </w:r>
          </w:p>
        </w:tc>
        <w:tc>
          <w:tcPr>
            <w:tcW w:w="388" w:type="pct"/>
            <w:tcBorders>
              <w:top w:val="single" w:sz="4" w:space="0" w:color="F39200"/>
              <w:left w:val="nil"/>
              <w:bottom w:val="single" w:sz="4" w:space="0" w:color="F39200"/>
              <w:right w:val="nil"/>
            </w:tcBorders>
            <w:shd w:val="clear" w:color="auto" w:fill="auto"/>
            <w:noWrap/>
            <w:vAlign w:val="center"/>
          </w:tcPr>
          <w:p w14:paraId="176783D7" w14:textId="211786C0"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8.572.772</w:t>
            </w:r>
          </w:p>
        </w:tc>
        <w:tc>
          <w:tcPr>
            <w:tcW w:w="388" w:type="pct"/>
            <w:tcBorders>
              <w:top w:val="single" w:sz="4" w:space="0" w:color="F39200"/>
              <w:left w:val="nil"/>
              <w:bottom w:val="single" w:sz="4" w:space="0" w:color="F39200"/>
              <w:right w:val="nil"/>
            </w:tcBorders>
            <w:shd w:val="clear" w:color="auto" w:fill="auto"/>
            <w:noWrap/>
            <w:vAlign w:val="center"/>
          </w:tcPr>
          <w:p w14:paraId="793982CE" w14:textId="1E9938FC"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4.444.592</w:t>
            </w:r>
          </w:p>
        </w:tc>
        <w:tc>
          <w:tcPr>
            <w:tcW w:w="441" w:type="pct"/>
            <w:tcBorders>
              <w:top w:val="single" w:sz="4" w:space="0" w:color="F39200"/>
              <w:left w:val="nil"/>
              <w:bottom w:val="single" w:sz="4" w:space="0" w:color="F39200"/>
              <w:right w:val="nil"/>
            </w:tcBorders>
            <w:vAlign w:val="center"/>
          </w:tcPr>
          <w:p w14:paraId="2E5BFF6A" w14:textId="772BEF17"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1.045.109.992</w:t>
            </w:r>
          </w:p>
        </w:tc>
        <w:tc>
          <w:tcPr>
            <w:tcW w:w="429" w:type="pct"/>
            <w:tcBorders>
              <w:top w:val="single" w:sz="4" w:space="0" w:color="F39200"/>
              <w:left w:val="nil"/>
              <w:bottom w:val="single" w:sz="4" w:space="0" w:color="F39200"/>
              <w:right w:val="nil"/>
            </w:tcBorders>
            <w:shd w:val="clear" w:color="auto" w:fill="auto"/>
            <w:noWrap/>
            <w:vAlign w:val="center"/>
          </w:tcPr>
          <w:p w14:paraId="1A62529D" w14:textId="320D0A6D"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1.032.642.836</w:t>
            </w:r>
          </w:p>
        </w:tc>
      </w:tr>
      <w:tr w:rsidR="00045B9A" w:rsidRPr="007818E0" w14:paraId="54935194" w14:textId="77777777" w:rsidTr="00EC1615">
        <w:trPr>
          <w:trHeight w:val="255"/>
        </w:trPr>
        <w:tc>
          <w:tcPr>
            <w:tcW w:w="643" w:type="pct"/>
            <w:tcBorders>
              <w:top w:val="nil"/>
              <w:left w:val="nil"/>
              <w:bottom w:val="nil"/>
              <w:right w:val="nil"/>
            </w:tcBorders>
            <w:shd w:val="clear" w:color="auto" w:fill="auto"/>
            <w:noWrap/>
            <w:vAlign w:val="center"/>
            <w:hideMark/>
          </w:tcPr>
          <w:p w14:paraId="531ACD57"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01 a 30 dias</w:t>
            </w:r>
          </w:p>
        </w:tc>
        <w:tc>
          <w:tcPr>
            <w:tcW w:w="388" w:type="pct"/>
            <w:tcBorders>
              <w:top w:val="nil"/>
              <w:left w:val="nil"/>
              <w:bottom w:val="nil"/>
              <w:right w:val="nil"/>
            </w:tcBorders>
            <w:shd w:val="clear" w:color="auto" w:fill="auto"/>
            <w:noWrap/>
            <w:vAlign w:val="center"/>
          </w:tcPr>
          <w:p w14:paraId="46445DDE" w14:textId="6B80337F"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7.653.918</w:t>
            </w:r>
          </w:p>
        </w:tc>
        <w:tc>
          <w:tcPr>
            <w:tcW w:w="387" w:type="pct"/>
            <w:tcBorders>
              <w:top w:val="nil"/>
              <w:left w:val="nil"/>
              <w:bottom w:val="nil"/>
              <w:right w:val="nil"/>
            </w:tcBorders>
            <w:shd w:val="clear" w:color="auto" w:fill="auto"/>
            <w:noWrap/>
            <w:vAlign w:val="center"/>
          </w:tcPr>
          <w:p w14:paraId="47D1F0A1" w14:textId="30448FF1" w:rsidR="00045B9A" w:rsidRPr="007818E0" w:rsidRDefault="00045B9A" w:rsidP="00045B9A">
            <w:pPr>
              <w:ind w:left="639" w:hanging="657"/>
              <w:jc w:val="right"/>
              <w:rPr>
                <w:rFonts w:ascii="CAIXA Std Book" w:hAnsi="CAIXA Std Book"/>
                <w:color w:val="005CA9"/>
                <w:sz w:val="16"/>
                <w:szCs w:val="16"/>
              </w:rPr>
            </w:pPr>
            <w:r w:rsidRPr="007818E0">
              <w:rPr>
                <w:rFonts w:ascii="CAIXA Std Book" w:hAnsi="CAIXA Std Book"/>
                <w:color w:val="005CA9"/>
                <w:sz w:val="16"/>
                <w:szCs w:val="16"/>
              </w:rPr>
              <w:t>7.969.123</w:t>
            </w:r>
          </w:p>
        </w:tc>
        <w:tc>
          <w:tcPr>
            <w:tcW w:w="388" w:type="pct"/>
            <w:tcBorders>
              <w:top w:val="nil"/>
              <w:left w:val="nil"/>
              <w:bottom w:val="nil"/>
              <w:right w:val="nil"/>
            </w:tcBorders>
            <w:shd w:val="clear" w:color="auto" w:fill="auto"/>
            <w:noWrap/>
            <w:vAlign w:val="center"/>
          </w:tcPr>
          <w:p w14:paraId="5C09284E" w14:textId="5152CD5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5.395.786</w:t>
            </w:r>
          </w:p>
        </w:tc>
        <w:tc>
          <w:tcPr>
            <w:tcW w:w="388" w:type="pct"/>
            <w:tcBorders>
              <w:top w:val="nil"/>
              <w:left w:val="nil"/>
              <w:bottom w:val="nil"/>
              <w:right w:val="nil"/>
            </w:tcBorders>
            <w:shd w:val="clear" w:color="auto" w:fill="auto"/>
            <w:noWrap/>
            <w:vAlign w:val="center"/>
          </w:tcPr>
          <w:p w14:paraId="665C0DAD" w14:textId="709B822D"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4.502.440</w:t>
            </w:r>
          </w:p>
        </w:tc>
        <w:tc>
          <w:tcPr>
            <w:tcW w:w="384" w:type="pct"/>
            <w:tcBorders>
              <w:top w:val="nil"/>
              <w:left w:val="nil"/>
              <w:bottom w:val="nil"/>
              <w:right w:val="nil"/>
            </w:tcBorders>
            <w:shd w:val="clear" w:color="auto" w:fill="auto"/>
            <w:noWrap/>
            <w:vAlign w:val="center"/>
          </w:tcPr>
          <w:p w14:paraId="7485A1C7" w14:textId="18DDEBD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1.197.948</w:t>
            </w:r>
          </w:p>
        </w:tc>
        <w:tc>
          <w:tcPr>
            <w:tcW w:w="389" w:type="pct"/>
            <w:tcBorders>
              <w:top w:val="nil"/>
              <w:left w:val="nil"/>
              <w:bottom w:val="nil"/>
              <w:right w:val="nil"/>
            </w:tcBorders>
            <w:shd w:val="clear" w:color="auto" w:fill="auto"/>
            <w:noWrap/>
            <w:vAlign w:val="center"/>
          </w:tcPr>
          <w:p w14:paraId="459C39C4" w14:textId="14AC60F5"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509.312</w:t>
            </w:r>
          </w:p>
        </w:tc>
        <w:tc>
          <w:tcPr>
            <w:tcW w:w="387" w:type="pct"/>
            <w:tcBorders>
              <w:top w:val="nil"/>
              <w:left w:val="nil"/>
              <w:bottom w:val="nil"/>
              <w:right w:val="nil"/>
            </w:tcBorders>
            <w:shd w:val="clear" w:color="auto" w:fill="auto"/>
            <w:noWrap/>
            <w:vAlign w:val="center"/>
          </w:tcPr>
          <w:p w14:paraId="1560F264" w14:textId="34105B0A"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208.776</w:t>
            </w:r>
          </w:p>
        </w:tc>
        <w:tc>
          <w:tcPr>
            <w:tcW w:w="388" w:type="pct"/>
            <w:tcBorders>
              <w:top w:val="nil"/>
              <w:left w:val="nil"/>
              <w:bottom w:val="nil"/>
              <w:right w:val="nil"/>
            </w:tcBorders>
            <w:shd w:val="clear" w:color="auto" w:fill="auto"/>
            <w:noWrap/>
            <w:vAlign w:val="center"/>
          </w:tcPr>
          <w:p w14:paraId="433FA62B" w14:textId="728165C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158.688</w:t>
            </w:r>
          </w:p>
        </w:tc>
        <w:tc>
          <w:tcPr>
            <w:tcW w:w="388" w:type="pct"/>
            <w:tcBorders>
              <w:top w:val="nil"/>
              <w:left w:val="nil"/>
              <w:bottom w:val="nil"/>
              <w:right w:val="nil"/>
            </w:tcBorders>
            <w:shd w:val="clear" w:color="auto" w:fill="auto"/>
            <w:noWrap/>
            <w:vAlign w:val="center"/>
          </w:tcPr>
          <w:p w14:paraId="7BD6902A" w14:textId="692A4048"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471.230</w:t>
            </w:r>
          </w:p>
        </w:tc>
        <w:tc>
          <w:tcPr>
            <w:tcW w:w="441" w:type="pct"/>
            <w:tcBorders>
              <w:top w:val="nil"/>
              <w:left w:val="nil"/>
              <w:bottom w:val="nil"/>
              <w:right w:val="nil"/>
            </w:tcBorders>
            <w:vAlign w:val="center"/>
          </w:tcPr>
          <w:p w14:paraId="7165A593" w14:textId="14F104F7"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28.067.221</w:t>
            </w:r>
          </w:p>
        </w:tc>
        <w:tc>
          <w:tcPr>
            <w:tcW w:w="429" w:type="pct"/>
            <w:tcBorders>
              <w:top w:val="nil"/>
              <w:left w:val="nil"/>
              <w:bottom w:val="nil"/>
              <w:right w:val="nil"/>
            </w:tcBorders>
            <w:shd w:val="clear" w:color="auto" w:fill="auto"/>
            <w:noWrap/>
            <w:vAlign w:val="center"/>
          </w:tcPr>
          <w:p w14:paraId="638DDE3A" w14:textId="3955C034"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25.456.866</w:t>
            </w:r>
          </w:p>
        </w:tc>
      </w:tr>
      <w:tr w:rsidR="00045B9A" w:rsidRPr="007818E0" w14:paraId="5881A361" w14:textId="77777777" w:rsidTr="00EC1615">
        <w:trPr>
          <w:trHeight w:val="255"/>
        </w:trPr>
        <w:tc>
          <w:tcPr>
            <w:tcW w:w="643" w:type="pct"/>
            <w:tcBorders>
              <w:top w:val="nil"/>
              <w:left w:val="nil"/>
              <w:bottom w:val="nil"/>
              <w:right w:val="nil"/>
            </w:tcBorders>
            <w:shd w:val="clear" w:color="auto" w:fill="auto"/>
            <w:noWrap/>
            <w:vAlign w:val="center"/>
            <w:hideMark/>
          </w:tcPr>
          <w:p w14:paraId="32AD73EE"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31 a 60 dias</w:t>
            </w:r>
          </w:p>
        </w:tc>
        <w:tc>
          <w:tcPr>
            <w:tcW w:w="388" w:type="pct"/>
            <w:tcBorders>
              <w:top w:val="nil"/>
              <w:left w:val="nil"/>
              <w:bottom w:val="nil"/>
              <w:right w:val="nil"/>
            </w:tcBorders>
            <w:shd w:val="clear" w:color="auto" w:fill="auto"/>
            <w:noWrap/>
            <w:vAlign w:val="center"/>
          </w:tcPr>
          <w:p w14:paraId="43455125" w14:textId="7D584667"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6.719.054</w:t>
            </w:r>
          </w:p>
        </w:tc>
        <w:tc>
          <w:tcPr>
            <w:tcW w:w="387" w:type="pct"/>
            <w:tcBorders>
              <w:top w:val="nil"/>
              <w:left w:val="nil"/>
              <w:bottom w:val="nil"/>
              <w:right w:val="nil"/>
            </w:tcBorders>
            <w:shd w:val="clear" w:color="auto" w:fill="auto"/>
            <w:noWrap/>
            <w:vAlign w:val="center"/>
          </w:tcPr>
          <w:p w14:paraId="5546D08E" w14:textId="3E91D2FB"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4.546.712</w:t>
            </w:r>
          </w:p>
        </w:tc>
        <w:tc>
          <w:tcPr>
            <w:tcW w:w="388" w:type="pct"/>
            <w:tcBorders>
              <w:top w:val="nil"/>
              <w:left w:val="nil"/>
              <w:bottom w:val="nil"/>
              <w:right w:val="nil"/>
            </w:tcBorders>
            <w:shd w:val="clear" w:color="auto" w:fill="auto"/>
            <w:noWrap/>
            <w:vAlign w:val="center"/>
          </w:tcPr>
          <w:p w14:paraId="18BBC8CE" w14:textId="7B57C0DF"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3.355.681</w:t>
            </w:r>
          </w:p>
        </w:tc>
        <w:tc>
          <w:tcPr>
            <w:tcW w:w="388" w:type="pct"/>
            <w:tcBorders>
              <w:top w:val="nil"/>
              <w:left w:val="nil"/>
              <w:bottom w:val="nil"/>
              <w:right w:val="nil"/>
            </w:tcBorders>
            <w:shd w:val="clear" w:color="auto" w:fill="auto"/>
            <w:noWrap/>
            <w:vAlign w:val="center"/>
          </w:tcPr>
          <w:p w14:paraId="77134BEB" w14:textId="708F151C"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2.538.892</w:t>
            </w:r>
          </w:p>
        </w:tc>
        <w:tc>
          <w:tcPr>
            <w:tcW w:w="384" w:type="pct"/>
            <w:tcBorders>
              <w:top w:val="nil"/>
              <w:left w:val="nil"/>
              <w:bottom w:val="nil"/>
              <w:right w:val="nil"/>
            </w:tcBorders>
            <w:shd w:val="clear" w:color="auto" w:fill="auto"/>
            <w:noWrap/>
            <w:vAlign w:val="center"/>
          </w:tcPr>
          <w:p w14:paraId="3A546258" w14:textId="3C29B4CE"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670.010</w:t>
            </w:r>
          </w:p>
        </w:tc>
        <w:tc>
          <w:tcPr>
            <w:tcW w:w="389" w:type="pct"/>
            <w:tcBorders>
              <w:top w:val="nil"/>
              <w:left w:val="nil"/>
              <w:bottom w:val="nil"/>
              <w:right w:val="nil"/>
            </w:tcBorders>
            <w:shd w:val="clear" w:color="auto" w:fill="auto"/>
            <w:noWrap/>
            <w:vAlign w:val="center"/>
          </w:tcPr>
          <w:p w14:paraId="524D9A11" w14:textId="270A1063"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241.013</w:t>
            </w:r>
          </w:p>
        </w:tc>
        <w:tc>
          <w:tcPr>
            <w:tcW w:w="387" w:type="pct"/>
            <w:tcBorders>
              <w:top w:val="nil"/>
              <w:left w:val="nil"/>
              <w:bottom w:val="nil"/>
              <w:right w:val="nil"/>
            </w:tcBorders>
            <w:shd w:val="clear" w:color="auto" w:fill="auto"/>
            <w:noWrap/>
            <w:vAlign w:val="center"/>
          </w:tcPr>
          <w:p w14:paraId="061C5EB0" w14:textId="48237FB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93.773</w:t>
            </w:r>
          </w:p>
        </w:tc>
        <w:tc>
          <w:tcPr>
            <w:tcW w:w="388" w:type="pct"/>
            <w:tcBorders>
              <w:top w:val="nil"/>
              <w:left w:val="nil"/>
              <w:bottom w:val="nil"/>
              <w:right w:val="nil"/>
            </w:tcBorders>
            <w:shd w:val="clear" w:color="auto" w:fill="auto"/>
            <w:noWrap/>
            <w:vAlign w:val="center"/>
          </w:tcPr>
          <w:p w14:paraId="0969379E" w14:textId="14E7F3A4"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90.207</w:t>
            </w:r>
          </w:p>
        </w:tc>
        <w:tc>
          <w:tcPr>
            <w:tcW w:w="388" w:type="pct"/>
            <w:tcBorders>
              <w:top w:val="nil"/>
              <w:left w:val="nil"/>
              <w:bottom w:val="nil"/>
              <w:right w:val="nil"/>
            </w:tcBorders>
            <w:shd w:val="clear" w:color="auto" w:fill="auto"/>
            <w:noWrap/>
            <w:vAlign w:val="center"/>
          </w:tcPr>
          <w:p w14:paraId="24876C49" w14:textId="217A91BA"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159.794</w:t>
            </w:r>
          </w:p>
        </w:tc>
        <w:tc>
          <w:tcPr>
            <w:tcW w:w="441" w:type="pct"/>
            <w:tcBorders>
              <w:top w:val="nil"/>
              <w:left w:val="nil"/>
              <w:bottom w:val="nil"/>
              <w:right w:val="nil"/>
            </w:tcBorders>
            <w:vAlign w:val="center"/>
          </w:tcPr>
          <w:p w14:paraId="7A51F5B9" w14:textId="76355A6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18.415.136</w:t>
            </w:r>
          </w:p>
        </w:tc>
        <w:tc>
          <w:tcPr>
            <w:tcW w:w="429" w:type="pct"/>
            <w:tcBorders>
              <w:top w:val="nil"/>
              <w:left w:val="nil"/>
              <w:bottom w:val="nil"/>
              <w:right w:val="nil"/>
            </w:tcBorders>
            <w:shd w:val="clear" w:color="auto" w:fill="auto"/>
            <w:noWrap/>
            <w:vAlign w:val="center"/>
          </w:tcPr>
          <w:p w14:paraId="354CA5CE" w14:textId="29BB651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16.182.292</w:t>
            </w:r>
          </w:p>
        </w:tc>
      </w:tr>
      <w:tr w:rsidR="00045B9A" w:rsidRPr="007818E0" w14:paraId="74F2FEC1" w14:textId="77777777" w:rsidTr="00EC1615">
        <w:trPr>
          <w:trHeight w:val="255"/>
        </w:trPr>
        <w:tc>
          <w:tcPr>
            <w:tcW w:w="643" w:type="pct"/>
            <w:tcBorders>
              <w:top w:val="nil"/>
              <w:left w:val="nil"/>
              <w:bottom w:val="nil"/>
              <w:right w:val="nil"/>
            </w:tcBorders>
            <w:shd w:val="clear" w:color="auto" w:fill="auto"/>
            <w:noWrap/>
            <w:vAlign w:val="center"/>
            <w:hideMark/>
          </w:tcPr>
          <w:p w14:paraId="0065AE63"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61 a 90 dias</w:t>
            </w:r>
          </w:p>
        </w:tc>
        <w:tc>
          <w:tcPr>
            <w:tcW w:w="388" w:type="pct"/>
            <w:tcBorders>
              <w:top w:val="nil"/>
              <w:left w:val="nil"/>
              <w:bottom w:val="nil"/>
              <w:right w:val="nil"/>
            </w:tcBorders>
            <w:shd w:val="clear" w:color="auto" w:fill="auto"/>
            <w:noWrap/>
            <w:vAlign w:val="center"/>
          </w:tcPr>
          <w:p w14:paraId="57DFBFE4" w14:textId="77DAB08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6.161.068</w:t>
            </w:r>
          </w:p>
        </w:tc>
        <w:tc>
          <w:tcPr>
            <w:tcW w:w="387" w:type="pct"/>
            <w:tcBorders>
              <w:top w:val="nil"/>
              <w:left w:val="nil"/>
              <w:bottom w:val="nil"/>
              <w:right w:val="nil"/>
            </w:tcBorders>
            <w:shd w:val="clear" w:color="auto" w:fill="auto"/>
            <w:noWrap/>
            <w:vAlign w:val="center"/>
          </w:tcPr>
          <w:p w14:paraId="3DD162F3" w14:textId="1BB24BF6"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4.091.322</w:t>
            </w:r>
          </w:p>
        </w:tc>
        <w:tc>
          <w:tcPr>
            <w:tcW w:w="388" w:type="pct"/>
            <w:tcBorders>
              <w:top w:val="nil"/>
              <w:left w:val="nil"/>
              <w:bottom w:val="nil"/>
              <w:right w:val="nil"/>
            </w:tcBorders>
            <w:shd w:val="clear" w:color="auto" w:fill="auto"/>
            <w:noWrap/>
            <w:vAlign w:val="center"/>
          </w:tcPr>
          <w:p w14:paraId="24CDD354" w14:textId="2218E307"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2.986.606</w:t>
            </w:r>
          </w:p>
        </w:tc>
        <w:tc>
          <w:tcPr>
            <w:tcW w:w="388" w:type="pct"/>
            <w:tcBorders>
              <w:top w:val="nil"/>
              <w:left w:val="nil"/>
              <w:bottom w:val="nil"/>
              <w:right w:val="nil"/>
            </w:tcBorders>
            <w:shd w:val="clear" w:color="auto" w:fill="auto"/>
            <w:noWrap/>
            <w:vAlign w:val="center"/>
          </w:tcPr>
          <w:p w14:paraId="07310932" w14:textId="2FCA4209"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2.183.412</w:t>
            </w:r>
          </w:p>
        </w:tc>
        <w:tc>
          <w:tcPr>
            <w:tcW w:w="384" w:type="pct"/>
            <w:tcBorders>
              <w:top w:val="nil"/>
              <w:left w:val="nil"/>
              <w:bottom w:val="nil"/>
              <w:right w:val="nil"/>
            </w:tcBorders>
            <w:shd w:val="clear" w:color="auto" w:fill="auto"/>
            <w:noWrap/>
            <w:vAlign w:val="center"/>
          </w:tcPr>
          <w:p w14:paraId="7F3A882B" w14:textId="7D541979"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599.898</w:t>
            </w:r>
          </w:p>
        </w:tc>
        <w:tc>
          <w:tcPr>
            <w:tcW w:w="389" w:type="pct"/>
            <w:tcBorders>
              <w:top w:val="nil"/>
              <w:left w:val="nil"/>
              <w:bottom w:val="nil"/>
              <w:right w:val="nil"/>
            </w:tcBorders>
            <w:shd w:val="clear" w:color="auto" w:fill="auto"/>
            <w:noWrap/>
            <w:vAlign w:val="center"/>
          </w:tcPr>
          <w:p w14:paraId="0386E4FE" w14:textId="1E623EB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196.697</w:t>
            </w:r>
          </w:p>
        </w:tc>
        <w:tc>
          <w:tcPr>
            <w:tcW w:w="387" w:type="pct"/>
            <w:tcBorders>
              <w:top w:val="nil"/>
              <w:left w:val="nil"/>
              <w:bottom w:val="nil"/>
              <w:right w:val="nil"/>
            </w:tcBorders>
            <w:shd w:val="clear" w:color="auto" w:fill="auto"/>
            <w:noWrap/>
            <w:vAlign w:val="center"/>
          </w:tcPr>
          <w:p w14:paraId="690B920D" w14:textId="3A0D448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79.899</w:t>
            </w:r>
          </w:p>
        </w:tc>
        <w:tc>
          <w:tcPr>
            <w:tcW w:w="388" w:type="pct"/>
            <w:tcBorders>
              <w:top w:val="nil"/>
              <w:left w:val="nil"/>
              <w:bottom w:val="nil"/>
              <w:right w:val="nil"/>
            </w:tcBorders>
            <w:shd w:val="clear" w:color="auto" w:fill="auto"/>
            <w:noWrap/>
            <w:vAlign w:val="center"/>
          </w:tcPr>
          <w:p w14:paraId="7BEEFC3F" w14:textId="2A09E80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84.337</w:t>
            </w:r>
          </w:p>
        </w:tc>
        <w:tc>
          <w:tcPr>
            <w:tcW w:w="388" w:type="pct"/>
            <w:tcBorders>
              <w:top w:val="nil"/>
              <w:left w:val="nil"/>
              <w:bottom w:val="nil"/>
              <w:right w:val="nil"/>
            </w:tcBorders>
            <w:shd w:val="clear" w:color="auto" w:fill="auto"/>
            <w:noWrap/>
            <w:vAlign w:val="center"/>
          </w:tcPr>
          <w:p w14:paraId="1A5002F0" w14:textId="5916FBE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117.680</w:t>
            </w:r>
          </w:p>
        </w:tc>
        <w:tc>
          <w:tcPr>
            <w:tcW w:w="441" w:type="pct"/>
            <w:tcBorders>
              <w:top w:val="nil"/>
              <w:left w:val="nil"/>
              <w:bottom w:val="nil"/>
              <w:right w:val="nil"/>
            </w:tcBorders>
            <w:vAlign w:val="center"/>
          </w:tcPr>
          <w:p w14:paraId="0A8D6305" w14:textId="61C9CE70"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16.500.919</w:t>
            </w:r>
          </w:p>
        </w:tc>
        <w:tc>
          <w:tcPr>
            <w:tcW w:w="429" w:type="pct"/>
            <w:tcBorders>
              <w:top w:val="nil"/>
              <w:left w:val="nil"/>
              <w:bottom w:val="nil"/>
              <w:right w:val="nil"/>
            </w:tcBorders>
            <w:shd w:val="clear" w:color="auto" w:fill="auto"/>
            <w:noWrap/>
            <w:vAlign w:val="center"/>
          </w:tcPr>
          <w:p w14:paraId="6D1C6246" w14:textId="15228AF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16.740.888</w:t>
            </w:r>
          </w:p>
        </w:tc>
      </w:tr>
      <w:tr w:rsidR="00045B9A" w:rsidRPr="007818E0" w14:paraId="58391266" w14:textId="77777777" w:rsidTr="00EC1615">
        <w:trPr>
          <w:trHeight w:val="255"/>
        </w:trPr>
        <w:tc>
          <w:tcPr>
            <w:tcW w:w="643" w:type="pct"/>
            <w:tcBorders>
              <w:top w:val="nil"/>
              <w:left w:val="nil"/>
              <w:bottom w:val="nil"/>
              <w:right w:val="nil"/>
            </w:tcBorders>
            <w:shd w:val="clear" w:color="auto" w:fill="auto"/>
            <w:noWrap/>
            <w:vAlign w:val="center"/>
            <w:hideMark/>
          </w:tcPr>
          <w:p w14:paraId="29241E89"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91 a 180 dias</w:t>
            </w:r>
          </w:p>
        </w:tc>
        <w:tc>
          <w:tcPr>
            <w:tcW w:w="388" w:type="pct"/>
            <w:tcBorders>
              <w:top w:val="nil"/>
              <w:left w:val="nil"/>
              <w:bottom w:val="nil"/>
              <w:right w:val="nil"/>
            </w:tcBorders>
            <w:shd w:val="clear" w:color="auto" w:fill="auto"/>
            <w:noWrap/>
            <w:vAlign w:val="center"/>
          </w:tcPr>
          <w:p w14:paraId="69B44150" w14:textId="16018784"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17.879.226</w:t>
            </w:r>
          </w:p>
        </w:tc>
        <w:tc>
          <w:tcPr>
            <w:tcW w:w="387" w:type="pct"/>
            <w:tcBorders>
              <w:top w:val="nil"/>
              <w:left w:val="nil"/>
              <w:bottom w:val="nil"/>
              <w:right w:val="nil"/>
            </w:tcBorders>
            <w:shd w:val="clear" w:color="auto" w:fill="auto"/>
            <w:noWrap/>
            <w:vAlign w:val="center"/>
          </w:tcPr>
          <w:p w14:paraId="433A8835" w14:textId="53B88AD9"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9.690.202</w:t>
            </w:r>
          </w:p>
        </w:tc>
        <w:tc>
          <w:tcPr>
            <w:tcW w:w="388" w:type="pct"/>
            <w:tcBorders>
              <w:top w:val="nil"/>
              <w:left w:val="nil"/>
              <w:bottom w:val="nil"/>
              <w:right w:val="nil"/>
            </w:tcBorders>
            <w:shd w:val="clear" w:color="auto" w:fill="auto"/>
            <w:noWrap/>
            <w:vAlign w:val="center"/>
          </w:tcPr>
          <w:p w14:paraId="3788338B" w14:textId="69B39400"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9.531.148</w:t>
            </w:r>
          </w:p>
        </w:tc>
        <w:tc>
          <w:tcPr>
            <w:tcW w:w="388" w:type="pct"/>
            <w:tcBorders>
              <w:top w:val="nil"/>
              <w:left w:val="nil"/>
              <w:bottom w:val="nil"/>
              <w:right w:val="nil"/>
            </w:tcBorders>
            <w:shd w:val="clear" w:color="auto" w:fill="auto"/>
            <w:noWrap/>
            <w:vAlign w:val="center"/>
          </w:tcPr>
          <w:p w14:paraId="7F2E309C" w14:textId="2941B6C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6.137.306</w:t>
            </w:r>
          </w:p>
        </w:tc>
        <w:tc>
          <w:tcPr>
            <w:tcW w:w="384" w:type="pct"/>
            <w:tcBorders>
              <w:top w:val="nil"/>
              <w:left w:val="nil"/>
              <w:bottom w:val="nil"/>
              <w:right w:val="nil"/>
            </w:tcBorders>
            <w:shd w:val="clear" w:color="auto" w:fill="auto"/>
            <w:noWrap/>
            <w:vAlign w:val="center"/>
          </w:tcPr>
          <w:p w14:paraId="2A0BDE10" w14:textId="590E47B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1.698.764</w:t>
            </w:r>
          </w:p>
        </w:tc>
        <w:tc>
          <w:tcPr>
            <w:tcW w:w="389" w:type="pct"/>
            <w:tcBorders>
              <w:top w:val="nil"/>
              <w:left w:val="nil"/>
              <w:bottom w:val="nil"/>
              <w:right w:val="nil"/>
            </w:tcBorders>
            <w:shd w:val="clear" w:color="auto" w:fill="auto"/>
            <w:noWrap/>
            <w:vAlign w:val="center"/>
          </w:tcPr>
          <w:p w14:paraId="2452DC5D" w14:textId="13E1F347"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523.012</w:t>
            </w:r>
          </w:p>
        </w:tc>
        <w:tc>
          <w:tcPr>
            <w:tcW w:w="387" w:type="pct"/>
            <w:tcBorders>
              <w:top w:val="nil"/>
              <w:left w:val="nil"/>
              <w:bottom w:val="nil"/>
              <w:right w:val="nil"/>
            </w:tcBorders>
            <w:shd w:val="clear" w:color="auto" w:fill="auto"/>
            <w:noWrap/>
            <w:vAlign w:val="center"/>
          </w:tcPr>
          <w:p w14:paraId="19DC9961" w14:textId="5E3E9C52"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219.499</w:t>
            </w:r>
          </w:p>
        </w:tc>
        <w:tc>
          <w:tcPr>
            <w:tcW w:w="388" w:type="pct"/>
            <w:tcBorders>
              <w:top w:val="nil"/>
              <w:left w:val="nil"/>
              <w:bottom w:val="nil"/>
              <w:right w:val="nil"/>
            </w:tcBorders>
            <w:shd w:val="clear" w:color="auto" w:fill="auto"/>
            <w:noWrap/>
            <w:vAlign w:val="center"/>
          </w:tcPr>
          <w:p w14:paraId="3EF4DD8E" w14:textId="22FFD21A"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248.662</w:t>
            </w:r>
          </w:p>
        </w:tc>
        <w:tc>
          <w:tcPr>
            <w:tcW w:w="388" w:type="pct"/>
            <w:tcBorders>
              <w:top w:val="nil"/>
              <w:left w:val="nil"/>
              <w:bottom w:val="nil"/>
              <w:right w:val="nil"/>
            </w:tcBorders>
            <w:shd w:val="clear" w:color="auto" w:fill="auto"/>
            <w:noWrap/>
            <w:vAlign w:val="center"/>
          </w:tcPr>
          <w:p w14:paraId="52E456B8" w14:textId="4B2C00E4"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357.398</w:t>
            </w:r>
          </w:p>
        </w:tc>
        <w:tc>
          <w:tcPr>
            <w:tcW w:w="441" w:type="pct"/>
            <w:tcBorders>
              <w:top w:val="nil"/>
              <w:left w:val="nil"/>
              <w:bottom w:val="nil"/>
              <w:right w:val="nil"/>
            </w:tcBorders>
            <w:vAlign w:val="center"/>
          </w:tcPr>
          <w:p w14:paraId="1CDFAB49" w14:textId="722B15AC"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46.285.217</w:t>
            </w:r>
          </w:p>
        </w:tc>
        <w:tc>
          <w:tcPr>
            <w:tcW w:w="429" w:type="pct"/>
            <w:tcBorders>
              <w:top w:val="nil"/>
              <w:left w:val="nil"/>
              <w:bottom w:val="nil"/>
              <w:right w:val="nil"/>
            </w:tcBorders>
            <w:shd w:val="clear" w:color="auto" w:fill="auto"/>
            <w:noWrap/>
            <w:vAlign w:val="center"/>
          </w:tcPr>
          <w:p w14:paraId="4BBACC36" w14:textId="6939C42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48.209.753</w:t>
            </w:r>
          </w:p>
        </w:tc>
      </w:tr>
      <w:tr w:rsidR="00045B9A" w:rsidRPr="007818E0" w14:paraId="54C32667" w14:textId="77777777" w:rsidTr="00EC1615">
        <w:trPr>
          <w:trHeight w:val="255"/>
        </w:trPr>
        <w:tc>
          <w:tcPr>
            <w:tcW w:w="643" w:type="pct"/>
            <w:tcBorders>
              <w:top w:val="nil"/>
              <w:left w:val="nil"/>
              <w:bottom w:val="nil"/>
              <w:right w:val="nil"/>
            </w:tcBorders>
            <w:shd w:val="clear" w:color="auto" w:fill="auto"/>
            <w:noWrap/>
            <w:vAlign w:val="center"/>
            <w:hideMark/>
          </w:tcPr>
          <w:p w14:paraId="2083CAA4"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181 a 360 dias</w:t>
            </w:r>
          </w:p>
        </w:tc>
        <w:tc>
          <w:tcPr>
            <w:tcW w:w="388" w:type="pct"/>
            <w:tcBorders>
              <w:top w:val="nil"/>
              <w:left w:val="nil"/>
              <w:bottom w:val="nil"/>
              <w:right w:val="nil"/>
            </w:tcBorders>
            <w:shd w:val="clear" w:color="auto" w:fill="auto"/>
            <w:noWrap/>
            <w:vAlign w:val="center"/>
          </w:tcPr>
          <w:p w14:paraId="7B01CB85" w14:textId="79EB686F"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31.575.576</w:t>
            </w:r>
          </w:p>
        </w:tc>
        <w:tc>
          <w:tcPr>
            <w:tcW w:w="387" w:type="pct"/>
            <w:tcBorders>
              <w:top w:val="nil"/>
              <w:left w:val="nil"/>
              <w:bottom w:val="nil"/>
              <w:right w:val="nil"/>
            </w:tcBorders>
            <w:shd w:val="clear" w:color="auto" w:fill="auto"/>
            <w:noWrap/>
            <w:vAlign w:val="center"/>
          </w:tcPr>
          <w:p w14:paraId="0EE99445" w14:textId="57125B64"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14.658.493</w:t>
            </w:r>
          </w:p>
        </w:tc>
        <w:tc>
          <w:tcPr>
            <w:tcW w:w="388" w:type="pct"/>
            <w:tcBorders>
              <w:top w:val="nil"/>
              <w:left w:val="nil"/>
              <w:bottom w:val="nil"/>
              <w:right w:val="nil"/>
            </w:tcBorders>
            <w:shd w:val="clear" w:color="auto" w:fill="auto"/>
            <w:noWrap/>
            <w:vAlign w:val="center"/>
          </w:tcPr>
          <w:p w14:paraId="31E9E4B9" w14:textId="7648E8E9"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16.337.235</w:t>
            </w:r>
          </w:p>
        </w:tc>
        <w:tc>
          <w:tcPr>
            <w:tcW w:w="388" w:type="pct"/>
            <w:tcBorders>
              <w:top w:val="nil"/>
              <w:left w:val="nil"/>
              <w:bottom w:val="nil"/>
              <w:right w:val="nil"/>
            </w:tcBorders>
            <w:shd w:val="clear" w:color="auto" w:fill="auto"/>
            <w:noWrap/>
            <w:vAlign w:val="center"/>
          </w:tcPr>
          <w:p w14:paraId="74F855E2" w14:textId="661C2DD3"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9.514.167</w:t>
            </w:r>
          </w:p>
        </w:tc>
        <w:tc>
          <w:tcPr>
            <w:tcW w:w="384" w:type="pct"/>
            <w:tcBorders>
              <w:top w:val="nil"/>
              <w:left w:val="nil"/>
              <w:bottom w:val="nil"/>
              <w:right w:val="nil"/>
            </w:tcBorders>
            <w:shd w:val="clear" w:color="auto" w:fill="auto"/>
            <w:noWrap/>
            <w:vAlign w:val="center"/>
          </w:tcPr>
          <w:p w14:paraId="7603C6A5" w14:textId="6216E92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2.436.079</w:t>
            </w:r>
          </w:p>
        </w:tc>
        <w:tc>
          <w:tcPr>
            <w:tcW w:w="389" w:type="pct"/>
            <w:tcBorders>
              <w:top w:val="nil"/>
              <w:left w:val="nil"/>
              <w:bottom w:val="nil"/>
              <w:right w:val="nil"/>
            </w:tcBorders>
            <w:shd w:val="clear" w:color="auto" w:fill="auto"/>
            <w:noWrap/>
            <w:vAlign w:val="center"/>
          </w:tcPr>
          <w:p w14:paraId="09E8986A" w14:textId="23FBF795"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748.204</w:t>
            </w:r>
          </w:p>
        </w:tc>
        <w:tc>
          <w:tcPr>
            <w:tcW w:w="387" w:type="pct"/>
            <w:tcBorders>
              <w:top w:val="nil"/>
              <w:left w:val="nil"/>
              <w:bottom w:val="nil"/>
              <w:right w:val="nil"/>
            </w:tcBorders>
            <w:shd w:val="clear" w:color="auto" w:fill="auto"/>
            <w:noWrap/>
            <w:vAlign w:val="center"/>
          </w:tcPr>
          <w:p w14:paraId="3B2BC059" w14:textId="1455C442"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392.388</w:t>
            </w:r>
          </w:p>
        </w:tc>
        <w:tc>
          <w:tcPr>
            <w:tcW w:w="388" w:type="pct"/>
            <w:tcBorders>
              <w:top w:val="nil"/>
              <w:left w:val="nil"/>
              <w:bottom w:val="nil"/>
              <w:right w:val="nil"/>
            </w:tcBorders>
            <w:shd w:val="clear" w:color="auto" w:fill="auto"/>
            <w:noWrap/>
            <w:vAlign w:val="center"/>
          </w:tcPr>
          <w:p w14:paraId="187EE5C2" w14:textId="3956C323"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471.183</w:t>
            </w:r>
          </w:p>
        </w:tc>
        <w:tc>
          <w:tcPr>
            <w:tcW w:w="388" w:type="pct"/>
            <w:tcBorders>
              <w:top w:val="nil"/>
              <w:left w:val="nil"/>
              <w:bottom w:val="nil"/>
              <w:right w:val="nil"/>
            </w:tcBorders>
            <w:shd w:val="clear" w:color="auto" w:fill="auto"/>
            <w:noWrap/>
            <w:vAlign w:val="center"/>
          </w:tcPr>
          <w:p w14:paraId="57410BA2" w14:textId="5088E12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401.448</w:t>
            </w:r>
          </w:p>
        </w:tc>
        <w:tc>
          <w:tcPr>
            <w:tcW w:w="441" w:type="pct"/>
            <w:tcBorders>
              <w:top w:val="nil"/>
              <w:left w:val="nil"/>
              <w:bottom w:val="nil"/>
              <w:right w:val="nil"/>
            </w:tcBorders>
            <w:vAlign w:val="center"/>
          </w:tcPr>
          <w:p w14:paraId="75681C9E" w14:textId="2E330517"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76.534.773</w:t>
            </w:r>
          </w:p>
        </w:tc>
        <w:tc>
          <w:tcPr>
            <w:tcW w:w="429" w:type="pct"/>
            <w:tcBorders>
              <w:top w:val="nil"/>
              <w:left w:val="nil"/>
              <w:bottom w:val="nil"/>
              <w:right w:val="nil"/>
            </w:tcBorders>
            <w:shd w:val="clear" w:color="auto" w:fill="auto"/>
            <w:noWrap/>
            <w:vAlign w:val="center"/>
          </w:tcPr>
          <w:p w14:paraId="361EC047" w14:textId="6826DC44"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78.715.001</w:t>
            </w:r>
          </w:p>
        </w:tc>
      </w:tr>
      <w:tr w:rsidR="00045B9A" w:rsidRPr="007818E0" w14:paraId="08ED75A2" w14:textId="77777777" w:rsidTr="00EC1615">
        <w:trPr>
          <w:trHeight w:val="255"/>
        </w:trPr>
        <w:tc>
          <w:tcPr>
            <w:tcW w:w="643" w:type="pct"/>
            <w:tcBorders>
              <w:top w:val="nil"/>
              <w:left w:val="nil"/>
              <w:bottom w:val="nil"/>
              <w:right w:val="nil"/>
            </w:tcBorders>
            <w:shd w:val="clear" w:color="auto" w:fill="auto"/>
            <w:noWrap/>
            <w:vAlign w:val="center"/>
            <w:hideMark/>
          </w:tcPr>
          <w:p w14:paraId="5DA5299D"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Acima de 360 dias</w:t>
            </w:r>
          </w:p>
        </w:tc>
        <w:tc>
          <w:tcPr>
            <w:tcW w:w="388" w:type="pct"/>
            <w:tcBorders>
              <w:top w:val="nil"/>
              <w:left w:val="nil"/>
              <w:bottom w:val="nil"/>
              <w:right w:val="nil"/>
            </w:tcBorders>
            <w:shd w:val="clear" w:color="auto" w:fill="auto"/>
            <w:noWrap/>
            <w:vAlign w:val="center"/>
          </w:tcPr>
          <w:p w14:paraId="243A50F7" w14:textId="76570E5B"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465.224.195</w:t>
            </w:r>
          </w:p>
        </w:tc>
        <w:tc>
          <w:tcPr>
            <w:tcW w:w="387" w:type="pct"/>
            <w:tcBorders>
              <w:top w:val="nil"/>
              <w:left w:val="nil"/>
              <w:bottom w:val="nil"/>
              <w:right w:val="nil"/>
            </w:tcBorders>
            <w:shd w:val="clear" w:color="auto" w:fill="auto"/>
            <w:noWrap/>
            <w:vAlign w:val="center"/>
          </w:tcPr>
          <w:p w14:paraId="6C40E0E7" w14:textId="04CEB272"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146.842.457</w:t>
            </w:r>
          </w:p>
        </w:tc>
        <w:tc>
          <w:tcPr>
            <w:tcW w:w="388" w:type="pct"/>
            <w:tcBorders>
              <w:top w:val="nil"/>
              <w:left w:val="nil"/>
              <w:bottom w:val="nil"/>
              <w:right w:val="nil"/>
            </w:tcBorders>
            <w:shd w:val="clear" w:color="auto" w:fill="auto"/>
            <w:noWrap/>
            <w:vAlign w:val="center"/>
          </w:tcPr>
          <w:p w14:paraId="10010192" w14:textId="08A07CC9"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144.757.539</w:t>
            </w:r>
          </w:p>
        </w:tc>
        <w:tc>
          <w:tcPr>
            <w:tcW w:w="388" w:type="pct"/>
            <w:tcBorders>
              <w:top w:val="nil"/>
              <w:left w:val="nil"/>
              <w:bottom w:val="nil"/>
              <w:right w:val="nil"/>
            </w:tcBorders>
            <w:shd w:val="clear" w:color="auto" w:fill="auto"/>
            <w:noWrap/>
            <w:vAlign w:val="center"/>
          </w:tcPr>
          <w:p w14:paraId="11A5F710" w14:textId="0FDFD56F"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75.094.598</w:t>
            </w:r>
          </w:p>
        </w:tc>
        <w:tc>
          <w:tcPr>
            <w:tcW w:w="384" w:type="pct"/>
            <w:tcBorders>
              <w:top w:val="nil"/>
              <w:left w:val="nil"/>
              <w:bottom w:val="nil"/>
              <w:right w:val="nil"/>
            </w:tcBorders>
            <w:shd w:val="clear" w:color="auto" w:fill="auto"/>
            <w:noWrap/>
            <w:vAlign w:val="center"/>
          </w:tcPr>
          <w:p w14:paraId="2703DD0F" w14:textId="190BAF7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10.596.179</w:t>
            </w:r>
          </w:p>
        </w:tc>
        <w:tc>
          <w:tcPr>
            <w:tcW w:w="389" w:type="pct"/>
            <w:tcBorders>
              <w:top w:val="nil"/>
              <w:left w:val="nil"/>
              <w:bottom w:val="nil"/>
              <w:right w:val="nil"/>
            </w:tcBorders>
            <w:shd w:val="clear" w:color="auto" w:fill="auto"/>
            <w:noWrap/>
            <w:vAlign w:val="center"/>
          </w:tcPr>
          <w:p w14:paraId="5A443D6C" w14:textId="7056F4D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4.314.258</w:t>
            </w:r>
          </w:p>
        </w:tc>
        <w:tc>
          <w:tcPr>
            <w:tcW w:w="387" w:type="pct"/>
            <w:tcBorders>
              <w:top w:val="nil"/>
              <w:left w:val="nil"/>
              <w:bottom w:val="nil"/>
              <w:right w:val="nil"/>
            </w:tcBorders>
            <w:shd w:val="clear" w:color="auto" w:fill="auto"/>
            <w:noWrap/>
            <w:vAlign w:val="center"/>
          </w:tcPr>
          <w:p w14:paraId="06F54230" w14:textId="52FAE38C"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2.020.763</w:t>
            </w:r>
          </w:p>
        </w:tc>
        <w:tc>
          <w:tcPr>
            <w:tcW w:w="388" w:type="pct"/>
            <w:tcBorders>
              <w:top w:val="nil"/>
              <w:left w:val="nil"/>
              <w:bottom w:val="nil"/>
              <w:right w:val="nil"/>
            </w:tcBorders>
            <w:shd w:val="clear" w:color="auto" w:fill="auto"/>
            <w:noWrap/>
            <w:vAlign w:val="center"/>
          </w:tcPr>
          <w:p w14:paraId="09F8D8C6" w14:textId="7DF841CE"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7.519.695</w:t>
            </w:r>
          </w:p>
        </w:tc>
        <w:tc>
          <w:tcPr>
            <w:tcW w:w="388" w:type="pct"/>
            <w:tcBorders>
              <w:top w:val="nil"/>
              <w:left w:val="nil"/>
              <w:bottom w:val="nil"/>
              <w:right w:val="nil"/>
            </w:tcBorders>
            <w:shd w:val="clear" w:color="auto" w:fill="auto"/>
            <w:noWrap/>
            <w:vAlign w:val="center"/>
          </w:tcPr>
          <w:p w14:paraId="2AA0D349" w14:textId="380174C5"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2.937.042</w:t>
            </w:r>
          </w:p>
        </w:tc>
        <w:tc>
          <w:tcPr>
            <w:tcW w:w="441" w:type="pct"/>
            <w:tcBorders>
              <w:top w:val="nil"/>
              <w:left w:val="nil"/>
              <w:bottom w:val="nil"/>
              <w:right w:val="nil"/>
            </w:tcBorders>
            <w:vAlign w:val="center"/>
          </w:tcPr>
          <w:p w14:paraId="76D66990" w14:textId="2AE98A00"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859.306.726</w:t>
            </w:r>
          </w:p>
        </w:tc>
        <w:tc>
          <w:tcPr>
            <w:tcW w:w="429" w:type="pct"/>
            <w:tcBorders>
              <w:top w:val="nil"/>
              <w:left w:val="nil"/>
              <w:bottom w:val="nil"/>
              <w:right w:val="nil"/>
            </w:tcBorders>
            <w:shd w:val="clear" w:color="auto" w:fill="auto"/>
            <w:noWrap/>
            <w:vAlign w:val="center"/>
          </w:tcPr>
          <w:p w14:paraId="1A9CB58C" w14:textId="35DCFD36"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847.338.036</w:t>
            </w:r>
          </w:p>
        </w:tc>
      </w:tr>
      <w:tr w:rsidR="00045B9A" w:rsidRPr="007818E0" w14:paraId="58343106"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hideMark/>
          </w:tcPr>
          <w:p w14:paraId="18C67D0E" w14:textId="77777777" w:rsidR="00045B9A" w:rsidRPr="007818E0" w:rsidRDefault="00045B9A" w:rsidP="00045B9A">
            <w:pPr>
              <w:rPr>
                <w:rFonts w:ascii="CAIXA Std Book" w:hAnsi="CAIXA Std Book"/>
                <w:b/>
                <w:color w:val="005CA9"/>
                <w:sz w:val="16"/>
                <w:szCs w:val="16"/>
              </w:rPr>
            </w:pPr>
            <w:r w:rsidRPr="007818E0">
              <w:rPr>
                <w:rFonts w:ascii="CAIXA Std Book" w:hAnsi="CAIXA Std Book" w:cs="Arial"/>
                <w:b/>
                <w:color w:val="005CA9"/>
                <w:sz w:val="16"/>
                <w:szCs w:val="16"/>
              </w:rPr>
              <w:t>Parcelas vencidas</w:t>
            </w:r>
          </w:p>
        </w:tc>
        <w:tc>
          <w:tcPr>
            <w:tcW w:w="388" w:type="pct"/>
            <w:tcBorders>
              <w:top w:val="single" w:sz="4" w:space="0" w:color="F39200"/>
              <w:left w:val="nil"/>
              <w:bottom w:val="single" w:sz="4" w:space="0" w:color="F39200"/>
              <w:right w:val="nil"/>
            </w:tcBorders>
            <w:shd w:val="clear" w:color="auto" w:fill="auto"/>
            <w:noWrap/>
            <w:vAlign w:val="center"/>
          </w:tcPr>
          <w:p w14:paraId="11B83437" w14:textId="5C5FF312"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46.095</w:t>
            </w:r>
          </w:p>
        </w:tc>
        <w:tc>
          <w:tcPr>
            <w:tcW w:w="387" w:type="pct"/>
            <w:tcBorders>
              <w:top w:val="single" w:sz="4" w:space="0" w:color="F39200"/>
              <w:left w:val="nil"/>
              <w:bottom w:val="single" w:sz="4" w:space="0" w:color="F39200"/>
              <w:right w:val="nil"/>
            </w:tcBorders>
            <w:shd w:val="clear" w:color="auto" w:fill="auto"/>
            <w:noWrap/>
            <w:vAlign w:val="center"/>
          </w:tcPr>
          <w:p w14:paraId="62B7E94F" w14:textId="67FCE7E8" w:rsidR="00045B9A" w:rsidRPr="007818E0" w:rsidRDefault="00045B9A" w:rsidP="00045B9A">
            <w:pPr>
              <w:ind w:hanging="211"/>
              <w:jc w:val="right"/>
              <w:rPr>
                <w:rFonts w:ascii="CAIXA Std Book" w:hAnsi="CAIXA Std Book"/>
                <w:b/>
                <w:bCs/>
                <w:color w:val="005CA9"/>
                <w:sz w:val="16"/>
                <w:szCs w:val="16"/>
              </w:rPr>
            </w:pPr>
            <w:r w:rsidRPr="007818E0">
              <w:rPr>
                <w:rFonts w:ascii="CAIXA Std Book" w:hAnsi="CAIXA Std Book"/>
                <w:b/>
                <w:bCs/>
                <w:color w:val="005CA9"/>
                <w:sz w:val="16"/>
                <w:szCs w:val="16"/>
              </w:rPr>
              <w:t>196.117</w:t>
            </w:r>
          </w:p>
        </w:tc>
        <w:tc>
          <w:tcPr>
            <w:tcW w:w="388" w:type="pct"/>
            <w:tcBorders>
              <w:top w:val="single" w:sz="4" w:space="0" w:color="F39200"/>
              <w:left w:val="nil"/>
              <w:bottom w:val="single" w:sz="4" w:space="0" w:color="F39200"/>
              <w:right w:val="nil"/>
            </w:tcBorders>
            <w:shd w:val="clear" w:color="auto" w:fill="auto"/>
            <w:noWrap/>
            <w:vAlign w:val="center"/>
          </w:tcPr>
          <w:p w14:paraId="447E78E8" w14:textId="6C599E79"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181.259</w:t>
            </w:r>
          </w:p>
        </w:tc>
        <w:tc>
          <w:tcPr>
            <w:tcW w:w="388" w:type="pct"/>
            <w:tcBorders>
              <w:top w:val="single" w:sz="4" w:space="0" w:color="F39200"/>
              <w:left w:val="nil"/>
              <w:bottom w:val="single" w:sz="4" w:space="0" w:color="F39200"/>
              <w:right w:val="nil"/>
            </w:tcBorders>
            <w:shd w:val="clear" w:color="auto" w:fill="auto"/>
            <w:noWrap/>
            <w:vAlign w:val="center"/>
          </w:tcPr>
          <w:p w14:paraId="42F123C3" w14:textId="45217713"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181.624</w:t>
            </w:r>
          </w:p>
        </w:tc>
        <w:tc>
          <w:tcPr>
            <w:tcW w:w="384" w:type="pct"/>
            <w:tcBorders>
              <w:top w:val="single" w:sz="4" w:space="0" w:color="F39200"/>
              <w:left w:val="nil"/>
              <w:bottom w:val="single" w:sz="4" w:space="0" w:color="F39200"/>
              <w:right w:val="nil"/>
            </w:tcBorders>
            <w:shd w:val="clear" w:color="auto" w:fill="auto"/>
            <w:noWrap/>
            <w:vAlign w:val="center"/>
          </w:tcPr>
          <w:p w14:paraId="37F5D49F" w14:textId="2FE1FC21"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50.775</w:t>
            </w:r>
          </w:p>
        </w:tc>
        <w:tc>
          <w:tcPr>
            <w:tcW w:w="389" w:type="pct"/>
            <w:tcBorders>
              <w:top w:val="single" w:sz="4" w:space="0" w:color="F39200"/>
              <w:left w:val="nil"/>
              <w:bottom w:val="single" w:sz="4" w:space="0" w:color="F39200"/>
              <w:right w:val="nil"/>
            </w:tcBorders>
            <w:shd w:val="clear" w:color="auto" w:fill="auto"/>
            <w:noWrap/>
            <w:vAlign w:val="center"/>
          </w:tcPr>
          <w:p w14:paraId="6CEA9700" w14:textId="0B924ADE"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33.805</w:t>
            </w:r>
          </w:p>
        </w:tc>
        <w:tc>
          <w:tcPr>
            <w:tcW w:w="387" w:type="pct"/>
            <w:tcBorders>
              <w:top w:val="single" w:sz="4" w:space="0" w:color="F39200"/>
              <w:left w:val="nil"/>
              <w:bottom w:val="single" w:sz="4" w:space="0" w:color="F39200"/>
              <w:right w:val="nil"/>
            </w:tcBorders>
            <w:shd w:val="clear" w:color="auto" w:fill="auto"/>
            <w:noWrap/>
            <w:vAlign w:val="center"/>
          </w:tcPr>
          <w:p w14:paraId="7EAFC086" w14:textId="064EE811"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13.980</w:t>
            </w:r>
          </w:p>
        </w:tc>
        <w:tc>
          <w:tcPr>
            <w:tcW w:w="388" w:type="pct"/>
            <w:tcBorders>
              <w:top w:val="single" w:sz="4" w:space="0" w:color="F39200"/>
              <w:left w:val="nil"/>
              <w:bottom w:val="single" w:sz="4" w:space="0" w:color="F39200"/>
              <w:right w:val="nil"/>
            </w:tcBorders>
            <w:shd w:val="clear" w:color="auto" w:fill="auto"/>
            <w:noWrap/>
            <w:vAlign w:val="center"/>
          </w:tcPr>
          <w:p w14:paraId="3779D9AE" w14:textId="1C29773F"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4.480</w:t>
            </w:r>
          </w:p>
        </w:tc>
        <w:tc>
          <w:tcPr>
            <w:tcW w:w="388" w:type="pct"/>
            <w:tcBorders>
              <w:top w:val="single" w:sz="4" w:space="0" w:color="F39200"/>
              <w:left w:val="nil"/>
              <w:bottom w:val="single" w:sz="4" w:space="0" w:color="F39200"/>
              <w:right w:val="nil"/>
            </w:tcBorders>
            <w:shd w:val="clear" w:color="auto" w:fill="auto"/>
            <w:noWrap/>
            <w:vAlign w:val="center"/>
          </w:tcPr>
          <w:p w14:paraId="58A0AB92" w14:textId="7DD05FA9"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20.478</w:t>
            </w:r>
          </w:p>
        </w:tc>
        <w:tc>
          <w:tcPr>
            <w:tcW w:w="441" w:type="pct"/>
            <w:tcBorders>
              <w:top w:val="single" w:sz="4" w:space="0" w:color="F39200"/>
              <w:left w:val="nil"/>
              <w:bottom w:val="single" w:sz="4" w:space="0" w:color="F39200"/>
              <w:right w:val="nil"/>
            </w:tcBorders>
            <w:vAlign w:val="center"/>
          </w:tcPr>
          <w:p w14:paraId="26E2E532" w14:textId="3DF2C3F1"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728.613</w:t>
            </w:r>
          </w:p>
        </w:tc>
        <w:tc>
          <w:tcPr>
            <w:tcW w:w="429" w:type="pct"/>
            <w:tcBorders>
              <w:top w:val="single" w:sz="4" w:space="0" w:color="F39200"/>
              <w:left w:val="nil"/>
              <w:bottom w:val="single" w:sz="4" w:space="0" w:color="F39200"/>
              <w:right w:val="nil"/>
            </w:tcBorders>
            <w:shd w:val="clear" w:color="auto" w:fill="auto"/>
            <w:noWrap/>
            <w:vAlign w:val="center"/>
          </w:tcPr>
          <w:p w14:paraId="697F6AE1" w14:textId="79EAD8A8" w:rsidR="00045B9A" w:rsidRPr="007818E0" w:rsidRDefault="00045B9A" w:rsidP="00045B9A">
            <w:pPr>
              <w:jc w:val="right"/>
              <w:rPr>
                <w:rFonts w:ascii="CAIXA Std Book" w:hAnsi="CAIXA Std Book"/>
                <w:b/>
                <w:bCs/>
                <w:color w:val="005CA9"/>
                <w:sz w:val="16"/>
                <w:szCs w:val="16"/>
              </w:rPr>
            </w:pPr>
            <w:r w:rsidRPr="007818E0">
              <w:rPr>
                <w:rFonts w:ascii="CAIXA Std Book" w:hAnsi="CAIXA Std Book"/>
                <w:b/>
                <w:bCs/>
                <w:color w:val="005CA9"/>
                <w:sz w:val="16"/>
                <w:szCs w:val="16"/>
              </w:rPr>
              <w:t>768.920</w:t>
            </w:r>
          </w:p>
        </w:tc>
      </w:tr>
      <w:tr w:rsidR="00045B9A" w:rsidRPr="007818E0" w14:paraId="51283CCF" w14:textId="77777777" w:rsidTr="00EC1615">
        <w:trPr>
          <w:trHeight w:val="255"/>
        </w:trPr>
        <w:tc>
          <w:tcPr>
            <w:tcW w:w="643" w:type="pct"/>
            <w:tcBorders>
              <w:top w:val="nil"/>
              <w:left w:val="nil"/>
              <w:bottom w:val="nil"/>
              <w:right w:val="nil"/>
            </w:tcBorders>
            <w:shd w:val="clear" w:color="auto" w:fill="auto"/>
            <w:noWrap/>
            <w:vAlign w:val="center"/>
            <w:hideMark/>
          </w:tcPr>
          <w:p w14:paraId="6549939C" w14:textId="77777777" w:rsidR="00045B9A" w:rsidRPr="007818E0" w:rsidRDefault="00045B9A" w:rsidP="00045B9A">
            <w:pPr>
              <w:rPr>
                <w:rFonts w:ascii="CAIXA Std Book" w:hAnsi="CAIXA Std Book"/>
                <w:color w:val="005CA9"/>
                <w:sz w:val="16"/>
                <w:szCs w:val="16"/>
              </w:rPr>
            </w:pPr>
            <w:r w:rsidRPr="007818E0">
              <w:rPr>
                <w:rFonts w:ascii="CAIXA Std Book" w:hAnsi="CAIXA Std Book" w:cs="Arial"/>
                <w:color w:val="005CA9"/>
                <w:sz w:val="16"/>
                <w:szCs w:val="16"/>
              </w:rPr>
              <w:t>01 a 14 dias</w:t>
            </w:r>
          </w:p>
        </w:tc>
        <w:tc>
          <w:tcPr>
            <w:tcW w:w="388" w:type="pct"/>
            <w:tcBorders>
              <w:top w:val="nil"/>
              <w:left w:val="nil"/>
              <w:bottom w:val="nil"/>
              <w:right w:val="nil"/>
            </w:tcBorders>
            <w:shd w:val="clear" w:color="auto" w:fill="auto"/>
            <w:noWrap/>
            <w:vAlign w:val="center"/>
          </w:tcPr>
          <w:p w14:paraId="52B0BF1B" w14:textId="2553BD9C"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46.095</w:t>
            </w:r>
          </w:p>
        </w:tc>
        <w:tc>
          <w:tcPr>
            <w:tcW w:w="387" w:type="pct"/>
            <w:tcBorders>
              <w:top w:val="nil"/>
              <w:left w:val="nil"/>
              <w:bottom w:val="nil"/>
              <w:right w:val="nil"/>
            </w:tcBorders>
            <w:shd w:val="clear" w:color="auto" w:fill="auto"/>
            <w:noWrap/>
            <w:vAlign w:val="center"/>
          </w:tcPr>
          <w:p w14:paraId="61A05D2D" w14:textId="189DC0F9" w:rsidR="00045B9A" w:rsidRPr="007818E0" w:rsidRDefault="00045B9A" w:rsidP="00045B9A">
            <w:pPr>
              <w:ind w:hanging="211"/>
              <w:jc w:val="right"/>
              <w:rPr>
                <w:rFonts w:ascii="CAIXA Std Book" w:hAnsi="CAIXA Std Book"/>
                <w:color w:val="005CA9"/>
                <w:sz w:val="16"/>
                <w:szCs w:val="16"/>
              </w:rPr>
            </w:pPr>
            <w:r w:rsidRPr="007818E0">
              <w:rPr>
                <w:rFonts w:ascii="CAIXA Std Book" w:hAnsi="CAIXA Std Book"/>
                <w:color w:val="005CA9"/>
                <w:sz w:val="16"/>
                <w:szCs w:val="16"/>
              </w:rPr>
              <w:t>196.117</w:t>
            </w:r>
          </w:p>
        </w:tc>
        <w:tc>
          <w:tcPr>
            <w:tcW w:w="388" w:type="pct"/>
            <w:tcBorders>
              <w:top w:val="nil"/>
              <w:left w:val="nil"/>
              <w:bottom w:val="nil"/>
              <w:right w:val="nil"/>
            </w:tcBorders>
            <w:shd w:val="clear" w:color="auto" w:fill="auto"/>
            <w:noWrap/>
            <w:vAlign w:val="center"/>
          </w:tcPr>
          <w:p w14:paraId="6023768A" w14:textId="7700C5E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181.259</w:t>
            </w:r>
          </w:p>
        </w:tc>
        <w:tc>
          <w:tcPr>
            <w:tcW w:w="388" w:type="pct"/>
            <w:tcBorders>
              <w:top w:val="nil"/>
              <w:left w:val="nil"/>
              <w:bottom w:val="nil"/>
              <w:right w:val="nil"/>
            </w:tcBorders>
            <w:shd w:val="clear" w:color="auto" w:fill="auto"/>
            <w:noWrap/>
            <w:vAlign w:val="center"/>
          </w:tcPr>
          <w:p w14:paraId="4B877B40" w14:textId="73B43621"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181.624</w:t>
            </w:r>
          </w:p>
        </w:tc>
        <w:tc>
          <w:tcPr>
            <w:tcW w:w="384" w:type="pct"/>
            <w:tcBorders>
              <w:top w:val="nil"/>
              <w:left w:val="nil"/>
              <w:bottom w:val="nil"/>
              <w:right w:val="nil"/>
            </w:tcBorders>
            <w:shd w:val="clear" w:color="auto" w:fill="auto"/>
            <w:noWrap/>
            <w:vAlign w:val="center"/>
          </w:tcPr>
          <w:p w14:paraId="27902E67" w14:textId="638D97AE"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50.775</w:t>
            </w:r>
          </w:p>
        </w:tc>
        <w:tc>
          <w:tcPr>
            <w:tcW w:w="389" w:type="pct"/>
            <w:tcBorders>
              <w:top w:val="nil"/>
              <w:left w:val="nil"/>
              <w:bottom w:val="nil"/>
              <w:right w:val="nil"/>
            </w:tcBorders>
            <w:shd w:val="clear" w:color="auto" w:fill="auto"/>
            <w:noWrap/>
            <w:vAlign w:val="center"/>
          </w:tcPr>
          <w:p w14:paraId="6150EB53" w14:textId="4A00EC9D"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33.805</w:t>
            </w:r>
          </w:p>
        </w:tc>
        <w:tc>
          <w:tcPr>
            <w:tcW w:w="387" w:type="pct"/>
            <w:tcBorders>
              <w:top w:val="nil"/>
              <w:left w:val="nil"/>
              <w:bottom w:val="nil"/>
              <w:right w:val="nil"/>
            </w:tcBorders>
            <w:shd w:val="clear" w:color="auto" w:fill="auto"/>
            <w:noWrap/>
            <w:vAlign w:val="center"/>
          </w:tcPr>
          <w:p w14:paraId="7860BB0C" w14:textId="20822D49"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13.980</w:t>
            </w:r>
          </w:p>
        </w:tc>
        <w:tc>
          <w:tcPr>
            <w:tcW w:w="388" w:type="pct"/>
            <w:tcBorders>
              <w:top w:val="nil"/>
              <w:left w:val="nil"/>
              <w:bottom w:val="nil"/>
              <w:right w:val="nil"/>
            </w:tcBorders>
            <w:shd w:val="clear" w:color="auto" w:fill="auto"/>
            <w:noWrap/>
            <w:vAlign w:val="center"/>
          </w:tcPr>
          <w:p w14:paraId="31F4AAC7" w14:textId="3D1012BA"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4.480</w:t>
            </w:r>
          </w:p>
        </w:tc>
        <w:tc>
          <w:tcPr>
            <w:tcW w:w="388" w:type="pct"/>
            <w:tcBorders>
              <w:top w:val="nil"/>
              <w:left w:val="nil"/>
              <w:bottom w:val="nil"/>
              <w:right w:val="nil"/>
            </w:tcBorders>
            <w:shd w:val="clear" w:color="auto" w:fill="auto"/>
            <w:noWrap/>
            <w:vAlign w:val="center"/>
          </w:tcPr>
          <w:p w14:paraId="12487208" w14:textId="2CAB2ECE"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20.478</w:t>
            </w:r>
          </w:p>
        </w:tc>
        <w:tc>
          <w:tcPr>
            <w:tcW w:w="441" w:type="pct"/>
            <w:tcBorders>
              <w:top w:val="nil"/>
              <w:left w:val="nil"/>
              <w:bottom w:val="nil"/>
              <w:right w:val="nil"/>
            </w:tcBorders>
            <w:vAlign w:val="center"/>
          </w:tcPr>
          <w:p w14:paraId="004B594D" w14:textId="3E2F6862"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728.613</w:t>
            </w:r>
          </w:p>
        </w:tc>
        <w:tc>
          <w:tcPr>
            <w:tcW w:w="429" w:type="pct"/>
            <w:tcBorders>
              <w:top w:val="nil"/>
              <w:left w:val="nil"/>
              <w:bottom w:val="nil"/>
              <w:right w:val="nil"/>
            </w:tcBorders>
            <w:shd w:val="clear" w:color="auto" w:fill="auto"/>
            <w:noWrap/>
            <w:vAlign w:val="center"/>
          </w:tcPr>
          <w:p w14:paraId="65ADA1E2" w14:textId="41868F48" w:rsidR="00045B9A" w:rsidRPr="007818E0" w:rsidRDefault="00045B9A" w:rsidP="00045B9A">
            <w:pPr>
              <w:jc w:val="right"/>
              <w:rPr>
                <w:rFonts w:ascii="CAIXA Std Book" w:hAnsi="CAIXA Std Book"/>
                <w:color w:val="005CA9"/>
                <w:sz w:val="16"/>
                <w:szCs w:val="16"/>
              </w:rPr>
            </w:pPr>
            <w:r w:rsidRPr="007818E0">
              <w:rPr>
                <w:rFonts w:ascii="CAIXA Std Book" w:hAnsi="CAIXA Std Book"/>
                <w:color w:val="005CA9"/>
                <w:sz w:val="16"/>
                <w:szCs w:val="16"/>
              </w:rPr>
              <w:t>768.920</w:t>
            </w:r>
          </w:p>
        </w:tc>
      </w:tr>
      <w:tr w:rsidR="005D2C29" w:rsidRPr="007818E0" w14:paraId="5985204D"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tcPr>
          <w:p w14:paraId="0FB1B408" w14:textId="77777777" w:rsidR="005D2C29" w:rsidRPr="007818E0" w:rsidRDefault="005D2C29" w:rsidP="005D2C29">
            <w:pPr>
              <w:rPr>
                <w:rFonts w:ascii="CAIXA Std Book" w:hAnsi="CAIXA Std Book"/>
                <w:b/>
                <w:color w:val="005CA9"/>
                <w:sz w:val="16"/>
                <w:szCs w:val="16"/>
              </w:rPr>
            </w:pPr>
            <w:r w:rsidRPr="007818E0">
              <w:rPr>
                <w:rFonts w:ascii="CAIXA Std Book" w:hAnsi="CAIXA Std Book"/>
                <w:b/>
                <w:color w:val="005CA9"/>
                <w:sz w:val="16"/>
                <w:szCs w:val="16"/>
              </w:rPr>
              <w:t>Total</w:t>
            </w:r>
          </w:p>
        </w:tc>
        <w:tc>
          <w:tcPr>
            <w:tcW w:w="388" w:type="pct"/>
            <w:tcBorders>
              <w:top w:val="single" w:sz="4" w:space="0" w:color="F39200"/>
              <w:left w:val="nil"/>
              <w:bottom w:val="single" w:sz="4" w:space="0" w:color="F39200"/>
              <w:right w:val="nil"/>
            </w:tcBorders>
            <w:shd w:val="clear" w:color="auto" w:fill="auto"/>
            <w:noWrap/>
            <w:vAlign w:val="center"/>
          </w:tcPr>
          <w:p w14:paraId="2F5460C9" w14:textId="0F592F6E"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535.259.132</w:t>
            </w:r>
          </w:p>
        </w:tc>
        <w:tc>
          <w:tcPr>
            <w:tcW w:w="387" w:type="pct"/>
            <w:tcBorders>
              <w:top w:val="single" w:sz="4" w:space="0" w:color="F39200"/>
              <w:left w:val="nil"/>
              <w:bottom w:val="single" w:sz="4" w:space="0" w:color="F39200"/>
              <w:right w:val="nil"/>
            </w:tcBorders>
            <w:shd w:val="clear" w:color="auto" w:fill="auto"/>
            <w:noWrap/>
            <w:vAlign w:val="center"/>
          </w:tcPr>
          <w:p w14:paraId="5311DC9B" w14:textId="6B7D4E0C" w:rsidR="005D2C29" w:rsidRPr="007818E0" w:rsidRDefault="005D2C29" w:rsidP="005D2C29">
            <w:pPr>
              <w:ind w:hanging="211"/>
              <w:jc w:val="right"/>
              <w:rPr>
                <w:rFonts w:ascii="CAIXA Std Book" w:hAnsi="CAIXA Std Book"/>
                <w:b/>
                <w:bCs/>
                <w:color w:val="005CA9"/>
                <w:sz w:val="16"/>
                <w:szCs w:val="16"/>
              </w:rPr>
            </w:pPr>
            <w:r w:rsidRPr="007818E0">
              <w:rPr>
                <w:rFonts w:ascii="CAIXA Std Book" w:hAnsi="CAIXA Std Book"/>
                <w:b/>
                <w:bCs/>
                <w:color w:val="005CA9"/>
                <w:sz w:val="16"/>
                <w:szCs w:val="16"/>
              </w:rPr>
              <w:t>187.994.426</w:t>
            </w:r>
          </w:p>
        </w:tc>
        <w:tc>
          <w:tcPr>
            <w:tcW w:w="388" w:type="pct"/>
            <w:tcBorders>
              <w:top w:val="single" w:sz="4" w:space="0" w:color="F39200"/>
              <w:left w:val="nil"/>
              <w:bottom w:val="single" w:sz="4" w:space="0" w:color="F39200"/>
              <w:right w:val="nil"/>
            </w:tcBorders>
            <w:shd w:val="clear" w:color="auto" w:fill="auto"/>
            <w:noWrap/>
            <w:vAlign w:val="center"/>
          </w:tcPr>
          <w:p w14:paraId="6F48FB20" w14:textId="41282050"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182.545.254</w:t>
            </w:r>
          </w:p>
        </w:tc>
        <w:tc>
          <w:tcPr>
            <w:tcW w:w="388" w:type="pct"/>
            <w:tcBorders>
              <w:top w:val="single" w:sz="4" w:space="0" w:color="F39200"/>
              <w:left w:val="nil"/>
              <w:bottom w:val="single" w:sz="4" w:space="0" w:color="F39200"/>
              <w:right w:val="nil"/>
            </w:tcBorders>
            <w:shd w:val="clear" w:color="auto" w:fill="auto"/>
            <w:noWrap/>
            <w:vAlign w:val="center"/>
          </w:tcPr>
          <w:p w14:paraId="5DD6EC24" w14:textId="3B6C83F1"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100.152.439</w:t>
            </w:r>
          </w:p>
        </w:tc>
        <w:tc>
          <w:tcPr>
            <w:tcW w:w="384" w:type="pct"/>
            <w:tcBorders>
              <w:top w:val="single" w:sz="4" w:space="0" w:color="F39200"/>
              <w:left w:val="nil"/>
              <w:bottom w:val="single" w:sz="4" w:space="0" w:color="F39200"/>
              <w:right w:val="nil"/>
            </w:tcBorders>
            <w:shd w:val="clear" w:color="auto" w:fill="auto"/>
            <w:noWrap/>
            <w:vAlign w:val="center"/>
          </w:tcPr>
          <w:p w14:paraId="192E021D" w14:textId="4D0E7716"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17.249.653</w:t>
            </w:r>
          </w:p>
        </w:tc>
        <w:tc>
          <w:tcPr>
            <w:tcW w:w="389" w:type="pct"/>
            <w:tcBorders>
              <w:top w:val="single" w:sz="4" w:space="0" w:color="F39200"/>
              <w:left w:val="nil"/>
              <w:bottom w:val="single" w:sz="4" w:space="0" w:color="F39200"/>
              <w:right w:val="nil"/>
            </w:tcBorders>
            <w:shd w:val="clear" w:color="auto" w:fill="auto"/>
            <w:noWrap/>
            <w:vAlign w:val="center"/>
          </w:tcPr>
          <w:p w14:paraId="1513CEA1" w14:textId="3EFB6C38"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6.566.301</w:t>
            </w:r>
          </w:p>
        </w:tc>
        <w:tc>
          <w:tcPr>
            <w:tcW w:w="387" w:type="pct"/>
            <w:tcBorders>
              <w:top w:val="single" w:sz="4" w:space="0" w:color="F39200"/>
              <w:left w:val="nil"/>
              <w:bottom w:val="single" w:sz="4" w:space="0" w:color="F39200"/>
              <w:right w:val="nil"/>
            </w:tcBorders>
            <w:shd w:val="clear" w:color="auto" w:fill="auto"/>
            <w:noWrap/>
            <w:vAlign w:val="center"/>
          </w:tcPr>
          <w:p w14:paraId="33EAC3E4" w14:textId="4E738965"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3.029.078</w:t>
            </w:r>
          </w:p>
        </w:tc>
        <w:tc>
          <w:tcPr>
            <w:tcW w:w="388" w:type="pct"/>
            <w:tcBorders>
              <w:top w:val="single" w:sz="4" w:space="0" w:color="F39200"/>
              <w:left w:val="nil"/>
              <w:bottom w:val="single" w:sz="4" w:space="0" w:color="F39200"/>
              <w:right w:val="nil"/>
            </w:tcBorders>
            <w:shd w:val="clear" w:color="auto" w:fill="auto"/>
            <w:noWrap/>
            <w:vAlign w:val="center"/>
          </w:tcPr>
          <w:p w14:paraId="5069CDA8" w14:textId="416AB47E"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8.577.252</w:t>
            </w:r>
          </w:p>
        </w:tc>
        <w:tc>
          <w:tcPr>
            <w:tcW w:w="388" w:type="pct"/>
            <w:tcBorders>
              <w:top w:val="single" w:sz="4" w:space="0" w:color="F39200"/>
              <w:left w:val="nil"/>
              <w:bottom w:val="single" w:sz="4" w:space="0" w:color="F39200"/>
              <w:right w:val="nil"/>
            </w:tcBorders>
            <w:shd w:val="clear" w:color="auto" w:fill="auto"/>
            <w:noWrap/>
            <w:vAlign w:val="center"/>
          </w:tcPr>
          <w:p w14:paraId="060378FB" w14:textId="359B2695"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4.465.070</w:t>
            </w:r>
          </w:p>
        </w:tc>
        <w:tc>
          <w:tcPr>
            <w:tcW w:w="441" w:type="pct"/>
            <w:tcBorders>
              <w:top w:val="single" w:sz="4" w:space="0" w:color="F39200"/>
              <w:left w:val="nil"/>
              <w:bottom w:val="single" w:sz="4" w:space="0" w:color="F39200"/>
              <w:right w:val="nil"/>
            </w:tcBorders>
            <w:vAlign w:val="center"/>
          </w:tcPr>
          <w:p w14:paraId="4E44EB95" w14:textId="1C23EFAF"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1.045.838.605</w:t>
            </w:r>
          </w:p>
        </w:tc>
        <w:tc>
          <w:tcPr>
            <w:tcW w:w="429" w:type="pct"/>
            <w:tcBorders>
              <w:top w:val="single" w:sz="4" w:space="0" w:color="F39200"/>
              <w:left w:val="nil"/>
              <w:bottom w:val="single" w:sz="4" w:space="0" w:color="F39200"/>
              <w:right w:val="nil"/>
            </w:tcBorders>
            <w:shd w:val="clear" w:color="auto" w:fill="auto"/>
            <w:noWrap/>
            <w:vAlign w:val="center"/>
          </w:tcPr>
          <w:p w14:paraId="450E8806" w14:textId="62338682" w:rsidR="005D2C29" w:rsidRPr="007818E0" w:rsidRDefault="005D2C29" w:rsidP="005D2C29">
            <w:pPr>
              <w:jc w:val="right"/>
              <w:rPr>
                <w:rFonts w:ascii="CAIXA Std Book" w:hAnsi="CAIXA Std Book"/>
                <w:b/>
                <w:bCs/>
                <w:color w:val="005CA9"/>
                <w:sz w:val="16"/>
                <w:szCs w:val="16"/>
              </w:rPr>
            </w:pPr>
            <w:r w:rsidRPr="007818E0">
              <w:rPr>
                <w:rFonts w:ascii="CAIXA Std Book" w:hAnsi="CAIXA Std Book"/>
                <w:b/>
                <w:bCs/>
                <w:color w:val="005CA9"/>
                <w:sz w:val="16"/>
                <w:szCs w:val="16"/>
              </w:rPr>
              <w:t>1.033.411.756</w:t>
            </w:r>
          </w:p>
        </w:tc>
      </w:tr>
      <w:tr w:rsidR="00DA43EF" w:rsidRPr="007818E0" w14:paraId="04530F11" w14:textId="77777777" w:rsidTr="00EC1615">
        <w:trPr>
          <w:trHeight w:val="255"/>
        </w:trPr>
        <w:tc>
          <w:tcPr>
            <w:tcW w:w="5000" w:type="pct"/>
            <w:gridSpan w:val="12"/>
            <w:tcBorders>
              <w:top w:val="single" w:sz="4" w:space="0" w:color="F39200"/>
              <w:left w:val="nil"/>
              <w:bottom w:val="nil"/>
              <w:right w:val="nil"/>
            </w:tcBorders>
            <w:vAlign w:val="center"/>
          </w:tcPr>
          <w:p w14:paraId="633506CF"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Carteira de crédito em curso anormal</w:t>
            </w:r>
          </w:p>
        </w:tc>
      </w:tr>
      <w:tr w:rsidR="00DA43EF" w:rsidRPr="007818E0" w14:paraId="785BCF7A" w14:textId="77777777" w:rsidTr="00EC1615">
        <w:trPr>
          <w:trHeight w:val="255"/>
        </w:trPr>
        <w:tc>
          <w:tcPr>
            <w:tcW w:w="643" w:type="pct"/>
            <w:tcBorders>
              <w:top w:val="single" w:sz="4" w:space="0" w:color="F39200"/>
              <w:left w:val="nil"/>
              <w:bottom w:val="nil"/>
              <w:right w:val="nil"/>
            </w:tcBorders>
            <w:shd w:val="clear" w:color="auto" w:fill="auto"/>
            <w:noWrap/>
            <w:vAlign w:val="center"/>
            <w:hideMark/>
          </w:tcPr>
          <w:p w14:paraId="0175A6D1" w14:textId="77777777" w:rsidR="00DA43EF" w:rsidRPr="007818E0" w:rsidRDefault="00DA43EF">
            <w:pPr>
              <w:rPr>
                <w:rFonts w:ascii="CAIXA Std Book" w:hAnsi="CAIXA Std Book"/>
                <w:b/>
                <w:color w:val="005CA9"/>
                <w:sz w:val="16"/>
                <w:szCs w:val="16"/>
              </w:rPr>
            </w:pPr>
            <w:r w:rsidRPr="007818E0">
              <w:rPr>
                <w:rFonts w:ascii="CAIXA Std Book" w:hAnsi="CAIXA Std Book"/>
                <w:b/>
                <w:color w:val="005CA9"/>
                <w:sz w:val="16"/>
                <w:szCs w:val="16"/>
              </w:rPr>
              <w:t>Descrição</w:t>
            </w:r>
          </w:p>
        </w:tc>
        <w:tc>
          <w:tcPr>
            <w:tcW w:w="388" w:type="pct"/>
            <w:tcBorders>
              <w:top w:val="single" w:sz="4" w:space="0" w:color="F39200"/>
              <w:left w:val="nil"/>
              <w:bottom w:val="nil"/>
              <w:right w:val="nil"/>
            </w:tcBorders>
            <w:shd w:val="clear" w:color="auto" w:fill="auto"/>
            <w:noWrap/>
            <w:vAlign w:val="center"/>
            <w:hideMark/>
          </w:tcPr>
          <w:p w14:paraId="198D56C7"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AA</w:t>
            </w:r>
          </w:p>
        </w:tc>
        <w:tc>
          <w:tcPr>
            <w:tcW w:w="387" w:type="pct"/>
            <w:tcBorders>
              <w:top w:val="single" w:sz="4" w:space="0" w:color="F39200"/>
              <w:left w:val="nil"/>
              <w:bottom w:val="nil"/>
              <w:right w:val="nil"/>
            </w:tcBorders>
            <w:shd w:val="clear" w:color="auto" w:fill="auto"/>
            <w:noWrap/>
            <w:vAlign w:val="center"/>
            <w:hideMark/>
          </w:tcPr>
          <w:p w14:paraId="5E46C245"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A</w:t>
            </w:r>
          </w:p>
        </w:tc>
        <w:tc>
          <w:tcPr>
            <w:tcW w:w="388" w:type="pct"/>
            <w:tcBorders>
              <w:top w:val="single" w:sz="4" w:space="0" w:color="F39200"/>
              <w:left w:val="nil"/>
              <w:bottom w:val="nil"/>
              <w:right w:val="nil"/>
            </w:tcBorders>
            <w:shd w:val="clear" w:color="auto" w:fill="auto"/>
            <w:noWrap/>
            <w:vAlign w:val="center"/>
            <w:hideMark/>
          </w:tcPr>
          <w:p w14:paraId="5B97BC53"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B</w:t>
            </w:r>
          </w:p>
        </w:tc>
        <w:tc>
          <w:tcPr>
            <w:tcW w:w="388" w:type="pct"/>
            <w:tcBorders>
              <w:top w:val="single" w:sz="4" w:space="0" w:color="F39200"/>
              <w:left w:val="nil"/>
              <w:bottom w:val="nil"/>
              <w:right w:val="nil"/>
            </w:tcBorders>
            <w:shd w:val="clear" w:color="auto" w:fill="auto"/>
            <w:noWrap/>
            <w:vAlign w:val="center"/>
            <w:hideMark/>
          </w:tcPr>
          <w:p w14:paraId="6720A9D8"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C</w:t>
            </w:r>
          </w:p>
        </w:tc>
        <w:tc>
          <w:tcPr>
            <w:tcW w:w="384" w:type="pct"/>
            <w:tcBorders>
              <w:top w:val="single" w:sz="4" w:space="0" w:color="F39200"/>
              <w:left w:val="nil"/>
              <w:bottom w:val="nil"/>
              <w:right w:val="nil"/>
            </w:tcBorders>
            <w:shd w:val="clear" w:color="auto" w:fill="auto"/>
            <w:noWrap/>
            <w:vAlign w:val="center"/>
            <w:hideMark/>
          </w:tcPr>
          <w:p w14:paraId="6B20C0AC"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D</w:t>
            </w:r>
          </w:p>
        </w:tc>
        <w:tc>
          <w:tcPr>
            <w:tcW w:w="389" w:type="pct"/>
            <w:tcBorders>
              <w:top w:val="single" w:sz="4" w:space="0" w:color="F39200"/>
              <w:left w:val="nil"/>
              <w:bottom w:val="nil"/>
              <w:right w:val="nil"/>
            </w:tcBorders>
            <w:shd w:val="clear" w:color="auto" w:fill="auto"/>
            <w:noWrap/>
            <w:vAlign w:val="center"/>
            <w:hideMark/>
          </w:tcPr>
          <w:p w14:paraId="628C7454"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E</w:t>
            </w:r>
          </w:p>
        </w:tc>
        <w:tc>
          <w:tcPr>
            <w:tcW w:w="387" w:type="pct"/>
            <w:tcBorders>
              <w:top w:val="single" w:sz="4" w:space="0" w:color="F39200"/>
              <w:left w:val="nil"/>
              <w:bottom w:val="nil"/>
              <w:right w:val="nil"/>
            </w:tcBorders>
            <w:shd w:val="clear" w:color="auto" w:fill="auto"/>
            <w:noWrap/>
            <w:vAlign w:val="center"/>
            <w:hideMark/>
          </w:tcPr>
          <w:p w14:paraId="41579F72"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F</w:t>
            </w:r>
          </w:p>
        </w:tc>
        <w:tc>
          <w:tcPr>
            <w:tcW w:w="388" w:type="pct"/>
            <w:tcBorders>
              <w:top w:val="single" w:sz="4" w:space="0" w:color="F39200"/>
              <w:left w:val="nil"/>
              <w:bottom w:val="nil"/>
              <w:right w:val="nil"/>
            </w:tcBorders>
            <w:shd w:val="clear" w:color="auto" w:fill="auto"/>
            <w:noWrap/>
            <w:vAlign w:val="center"/>
            <w:hideMark/>
          </w:tcPr>
          <w:p w14:paraId="598CA597"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G</w:t>
            </w:r>
          </w:p>
        </w:tc>
        <w:tc>
          <w:tcPr>
            <w:tcW w:w="388" w:type="pct"/>
            <w:tcBorders>
              <w:top w:val="single" w:sz="4" w:space="0" w:color="F39200"/>
              <w:left w:val="nil"/>
              <w:bottom w:val="nil"/>
              <w:right w:val="nil"/>
            </w:tcBorders>
            <w:shd w:val="clear" w:color="auto" w:fill="auto"/>
            <w:noWrap/>
            <w:vAlign w:val="center"/>
            <w:hideMark/>
          </w:tcPr>
          <w:p w14:paraId="03B96F25" w14:textId="77777777"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H</w:t>
            </w:r>
          </w:p>
        </w:tc>
        <w:tc>
          <w:tcPr>
            <w:tcW w:w="441" w:type="pct"/>
            <w:tcBorders>
              <w:top w:val="single" w:sz="4" w:space="0" w:color="F39200"/>
              <w:left w:val="nil"/>
              <w:bottom w:val="nil"/>
              <w:right w:val="nil"/>
            </w:tcBorders>
            <w:vAlign w:val="center"/>
          </w:tcPr>
          <w:p w14:paraId="7BE99762" w14:textId="4E3C3003" w:rsidR="00DA43EF" w:rsidRPr="007818E0" w:rsidRDefault="00FF3292">
            <w:pPr>
              <w:jc w:val="center"/>
              <w:rPr>
                <w:rFonts w:ascii="CAIXA Std Book" w:hAnsi="CAIXA Std Book"/>
                <w:b/>
                <w:color w:val="005CA9"/>
                <w:sz w:val="16"/>
                <w:szCs w:val="16"/>
              </w:rPr>
            </w:pPr>
            <w:r w:rsidRPr="007818E0">
              <w:rPr>
                <w:rFonts w:ascii="CAIXA Std Book" w:hAnsi="CAIXA Std Book"/>
                <w:b/>
                <w:color w:val="005CA9"/>
                <w:sz w:val="16"/>
                <w:szCs w:val="16"/>
              </w:rPr>
              <w:t>31/</w:t>
            </w:r>
            <w:r w:rsidR="00991D43" w:rsidRPr="007818E0">
              <w:rPr>
                <w:rFonts w:ascii="CAIXA Std Book" w:hAnsi="CAIXA Std Book"/>
                <w:b/>
                <w:color w:val="005CA9"/>
                <w:sz w:val="16"/>
                <w:szCs w:val="16"/>
              </w:rPr>
              <w:t>03</w:t>
            </w:r>
            <w:r w:rsidRPr="007818E0">
              <w:rPr>
                <w:rFonts w:ascii="CAIXA Std Book" w:hAnsi="CAIXA Std Book"/>
                <w:b/>
                <w:color w:val="005CA9"/>
                <w:sz w:val="16"/>
                <w:szCs w:val="16"/>
              </w:rPr>
              <w:t>/202</w:t>
            </w:r>
            <w:r w:rsidR="00981F91" w:rsidRPr="007818E0">
              <w:rPr>
                <w:rFonts w:ascii="CAIXA Std Book" w:hAnsi="CAIXA Std Book"/>
                <w:b/>
                <w:color w:val="005CA9"/>
                <w:sz w:val="16"/>
                <w:szCs w:val="16"/>
              </w:rPr>
              <w:t>4</w:t>
            </w:r>
          </w:p>
        </w:tc>
        <w:tc>
          <w:tcPr>
            <w:tcW w:w="429" w:type="pct"/>
            <w:tcBorders>
              <w:top w:val="single" w:sz="4" w:space="0" w:color="F39200"/>
              <w:left w:val="nil"/>
              <w:bottom w:val="nil"/>
              <w:right w:val="nil"/>
            </w:tcBorders>
            <w:shd w:val="clear" w:color="auto" w:fill="auto"/>
            <w:noWrap/>
            <w:vAlign w:val="center"/>
            <w:hideMark/>
          </w:tcPr>
          <w:p w14:paraId="4B618C9A" w14:textId="7EF9E849" w:rsidR="00DA43EF" w:rsidRPr="007818E0" w:rsidRDefault="00DA43EF">
            <w:pPr>
              <w:jc w:val="center"/>
              <w:rPr>
                <w:rFonts w:ascii="CAIXA Std Book" w:hAnsi="CAIXA Std Book"/>
                <w:b/>
                <w:color w:val="005CA9"/>
                <w:sz w:val="16"/>
                <w:szCs w:val="16"/>
              </w:rPr>
            </w:pPr>
            <w:r w:rsidRPr="007818E0">
              <w:rPr>
                <w:rFonts w:ascii="CAIXA Std Book" w:hAnsi="CAIXA Std Book"/>
                <w:b/>
                <w:color w:val="005CA9"/>
                <w:sz w:val="16"/>
                <w:szCs w:val="16"/>
              </w:rPr>
              <w:t>31/12/202</w:t>
            </w:r>
            <w:r w:rsidR="00943C30" w:rsidRPr="007818E0">
              <w:rPr>
                <w:rFonts w:ascii="CAIXA Std Book" w:hAnsi="CAIXA Std Book"/>
                <w:b/>
                <w:color w:val="005CA9"/>
                <w:sz w:val="16"/>
                <w:szCs w:val="16"/>
              </w:rPr>
              <w:t>3</w:t>
            </w:r>
          </w:p>
        </w:tc>
      </w:tr>
      <w:tr w:rsidR="00870710" w:rsidRPr="007818E0" w14:paraId="5CC33656"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hideMark/>
          </w:tcPr>
          <w:p w14:paraId="75336BDC" w14:textId="77777777" w:rsidR="00870710" w:rsidRPr="007818E0" w:rsidRDefault="00870710" w:rsidP="00870710">
            <w:pPr>
              <w:rPr>
                <w:rFonts w:ascii="CAIXA Std Book" w:hAnsi="CAIXA Std Book"/>
                <w:b/>
                <w:color w:val="005CA9"/>
                <w:sz w:val="16"/>
                <w:szCs w:val="16"/>
              </w:rPr>
            </w:pPr>
            <w:r w:rsidRPr="007818E0">
              <w:rPr>
                <w:rFonts w:ascii="CAIXA Std Book" w:hAnsi="CAIXA Std Book"/>
                <w:b/>
                <w:color w:val="005CA9"/>
                <w:sz w:val="16"/>
                <w:szCs w:val="16"/>
              </w:rPr>
              <w:t>Parcelas vincendas</w:t>
            </w:r>
          </w:p>
        </w:tc>
        <w:tc>
          <w:tcPr>
            <w:tcW w:w="388" w:type="pct"/>
            <w:tcBorders>
              <w:top w:val="single" w:sz="4" w:space="0" w:color="F39200"/>
              <w:left w:val="nil"/>
              <w:bottom w:val="single" w:sz="4" w:space="0" w:color="F39200"/>
              <w:right w:val="nil"/>
            </w:tcBorders>
            <w:shd w:val="clear" w:color="auto" w:fill="auto"/>
            <w:noWrap/>
            <w:vAlign w:val="center"/>
          </w:tcPr>
          <w:p w14:paraId="50BDD088"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single" w:sz="4" w:space="0" w:color="F39200"/>
              <w:left w:val="nil"/>
              <w:bottom w:val="single" w:sz="4" w:space="0" w:color="F39200"/>
              <w:right w:val="nil"/>
            </w:tcBorders>
            <w:shd w:val="clear" w:color="auto" w:fill="auto"/>
            <w:noWrap/>
            <w:vAlign w:val="center"/>
          </w:tcPr>
          <w:p w14:paraId="1CF5C3C1"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single" w:sz="4" w:space="0" w:color="F39200"/>
              <w:left w:val="nil"/>
              <w:bottom w:val="single" w:sz="4" w:space="0" w:color="F39200"/>
              <w:right w:val="nil"/>
            </w:tcBorders>
            <w:shd w:val="clear" w:color="auto" w:fill="auto"/>
            <w:noWrap/>
            <w:vAlign w:val="center"/>
          </w:tcPr>
          <w:p w14:paraId="1B638E7E" w14:textId="18EF698D"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23.828.897</w:t>
            </w:r>
          </w:p>
        </w:tc>
        <w:tc>
          <w:tcPr>
            <w:tcW w:w="388" w:type="pct"/>
            <w:tcBorders>
              <w:top w:val="single" w:sz="4" w:space="0" w:color="F39200"/>
              <w:left w:val="nil"/>
              <w:bottom w:val="single" w:sz="4" w:space="0" w:color="F39200"/>
              <w:right w:val="nil"/>
            </w:tcBorders>
            <w:shd w:val="clear" w:color="auto" w:fill="auto"/>
            <w:noWrap/>
            <w:vAlign w:val="center"/>
          </w:tcPr>
          <w:p w14:paraId="555E4745" w14:textId="33B0F4E7"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31.847.478</w:t>
            </w:r>
          </w:p>
        </w:tc>
        <w:tc>
          <w:tcPr>
            <w:tcW w:w="384" w:type="pct"/>
            <w:tcBorders>
              <w:top w:val="single" w:sz="4" w:space="0" w:color="F39200"/>
              <w:left w:val="nil"/>
              <w:bottom w:val="single" w:sz="4" w:space="0" w:color="F39200"/>
              <w:right w:val="nil"/>
            </w:tcBorders>
            <w:shd w:val="clear" w:color="auto" w:fill="auto"/>
            <w:noWrap/>
            <w:vAlign w:val="center"/>
          </w:tcPr>
          <w:p w14:paraId="1CE1178E" w14:textId="26B021FA"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8.165.078</w:t>
            </w:r>
          </w:p>
        </w:tc>
        <w:tc>
          <w:tcPr>
            <w:tcW w:w="389" w:type="pct"/>
            <w:tcBorders>
              <w:top w:val="single" w:sz="4" w:space="0" w:color="F39200"/>
              <w:left w:val="nil"/>
              <w:bottom w:val="single" w:sz="4" w:space="0" w:color="F39200"/>
              <w:right w:val="nil"/>
            </w:tcBorders>
            <w:shd w:val="clear" w:color="auto" w:fill="auto"/>
            <w:noWrap/>
            <w:vAlign w:val="center"/>
          </w:tcPr>
          <w:p w14:paraId="0251753C" w14:textId="4E14486A"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6.970.329</w:t>
            </w:r>
          </w:p>
        </w:tc>
        <w:tc>
          <w:tcPr>
            <w:tcW w:w="387" w:type="pct"/>
            <w:tcBorders>
              <w:top w:val="single" w:sz="4" w:space="0" w:color="F39200"/>
              <w:left w:val="nil"/>
              <w:bottom w:val="single" w:sz="4" w:space="0" w:color="F39200"/>
              <w:right w:val="nil"/>
            </w:tcBorders>
            <w:shd w:val="clear" w:color="auto" w:fill="auto"/>
            <w:noWrap/>
            <w:vAlign w:val="center"/>
          </w:tcPr>
          <w:p w14:paraId="0A0B3FB0" w14:textId="7B2AE71E"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4.307.731</w:t>
            </w:r>
          </w:p>
        </w:tc>
        <w:tc>
          <w:tcPr>
            <w:tcW w:w="388" w:type="pct"/>
            <w:tcBorders>
              <w:top w:val="single" w:sz="4" w:space="0" w:color="F39200"/>
              <w:left w:val="nil"/>
              <w:bottom w:val="single" w:sz="4" w:space="0" w:color="F39200"/>
              <w:right w:val="nil"/>
            </w:tcBorders>
            <w:shd w:val="clear" w:color="auto" w:fill="auto"/>
            <w:noWrap/>
            <w:vAlign w:val="center"/>
          </w:tcPr>
          <w:p w14:paraId="6C9701F4" w14:textId="37F15738"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2.365.175</w:t>
            </w:r>
          </w:p>
        </w:tc>
        <w:tc>
          <w:tcPr>
            <w:tcW w:w="388" w:type="pct"/>
            <w:tcBorders>
              <w:top w:val="single" w:sz="4" w:space="0" w:color="F39200"/>
              <w:left w:val="nil"/>
              <w:bottom w:val="single" w:sz="4" w:space="0" w:color="F39200"/>
              <w:right w:val="nil"/>
            </w:tcBorders>
            <w:shd w:val="clear" w:color="auto" w:fill="auto"/>
            <w:noWrap/>
            <w:vAlign w:val="center"/>
          </w:tcPr>
          <w:p w14:paraId="7832D541" w14:textId="40ABD9C8"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7.548.143</w:t>
            </w:r>
          </w:p>
        </w:tc>
        <w:tc>
          <w:tcPr>
            <w:tcW w:w="441" w:type="pct"/>
            <w:tcBorders>
              <w:top w:val="single" w:sz="4" w:space="0" w:color="F39200"/>
              <w:left w:val="nil"/>
              <w:bottom w:val="single" w:sz="4" w:space="0" w:color="F39200"/>
              <w:right w:val="nil"/>
            </w:tcBorders>
            <w:vAlign w:val="center"/>
          </w:tcPr>
          <w:p w14:paraId="512C179F" w14:textId="1BCEB0B7"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85.032.831</w:t>
            </w:r>
          </w:p>
        </w:tc>
        <w:tc>
          <w:tcPr>
            <w:tcW w:w="429" w:type="pct"/>
            <w:tcBorders>
              <w:top w:val="single" w:sz="4" w:space="0" w:color="F39200"/>
              <w:left w:val="nil"/>
              <w:bottom w:val="single" w:sz="4" w:space="0" w:color="F39200"/>
              <w:right w:val="nil"/>
            </w:tcBorders>
            <w:shd w:val="clear" w:color="auto" w:fill="auto"/>
            <w:noWrap/>
            <w:vAlign w:val="center"/>
          </w:tcPr>
          <w:p w14:paraId="23931617" w14:textId="73549082"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75.491.021</w:t>
            </w:r>
          </w:p>
        </w:tc>
      </w:tr>
      <w:tr w:rsidR="00870710" w:rsidRPr="007818E0" w14:paraId="7FD84D22" w14:textId="77777777" w:rsidTr="00EC1615">
        <w:trPr>
          <w:trHeight w:val="255"/>
        </w:trPr>
        <w:tc>
          <w:tcPr>
            <w:tcW w:w="643" w:type="pct"/>
            <w:tcBorders>
              <w:top w:val="nil"/>
              <w:left w:val="nil"/>
              <w:bottom w:val="nil"/>
              <w:right w:val="nil"/>
            </w:tcBorders>
            <w:shd w:val="clear" w:color="auto" w:fill="auto"/>
            <w:noWrap/>
            <w:vAlign w:val="center"/>
            <w:hideMark/>
          </w:tcPr>
          <w:p w14:paraId="4808741B"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01 a 30 dias</w:t>
            </w:r>
          </w:p>
        </w:tc>
        <w:tc>
          <w:tcPr>
            <w:tcW w:w="388" w:type="pct"/>
            <w:tcBorders>
              <w:top w:val="nil"/>
              <w:left w:val="nil"/>
              <w:bottom w:val="nil"/>
              <w:right w:val="nil"/>
            </w:tcBorders>
            <w:shd w:val="clear" w:color="auto" w:fill="auto"/>
            <w:noWrap/>
            <w:vAlign w:val="center"/>
          </w:tcPr>
          <w:p w14:paraId="075B1B1C"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4D2BB8D8"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215F0EBD" w14:textId="635E14E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283.039</w:t>
            </w:r>
          </w:p>
        </w:tc>
        <w:tc>
          <w:tcPr>
            <w:tcW w:w="388" w:type="pct"/>
            <w:tcBorders>
              <w:top w:val="nil"/>
              <w:left w:val="nil"/>
              <w:bottom w:val="nil"/>
              <w:right w:val="nil"/>
            </w:tcBorders>
            <w:shd w:val="clear" w:color="auto" w:fill="auto"/>
            <w:noWrap/>
            <w:vAlign w:val="center"/>
          </w:tcPr>
          <w:p w14:paraId="56C51B16" w14:textId="2B54B32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368.108</w:t>
            </w:r>
          </w:p>
        </w:tc>
        <w:tc>
          <w:tcPr>
            <w:tcW w:w="384" w:type="pct"/>
            <w:tcBorders>
              <w:top w:val="nil"/>
              <w:left w:val="nil"/>
              <w:bottom w:val="nil"/>
              <w:right w:val="nil"/>
            </w:tcBorders>
            <w:shd w:val="clear" w:color="auto" w:fill="auto"/>
            <w:noWrap/>
            <w:vAlign w:val="center"/>
          </w:tcPr>
          <w:p w14:paraId="62ACFE32" w14:textId="6B69420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182.018</w:t>
            </w:r>
          </w:p>
        </w:tc>
        <w:tc>
          <w:tcPr>
            <w:tcW w:w="389" w:type="pct"/>
            <w:tcBorders>
              <w:top w:val="nil"/>
              <w:left w:val="nil"/>
              <w:bottom w:val="nil"/>
              <w:right w:val="nil"/>
            </w:tcBorders>
            <w:shd w:val="clear" w:color="auto" w:fill="auto"/>
            <w:noWrap/>
            <w:vAlign w:val="center"/>
          </w:tcPr>
          <w:p w14:paraId="21A0B0E3" w14:textId="4016A0C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132.383</w:t>
            </w:r>
          </w:p>
        </w:tc>
        <w:tc>
          <w:tcPr>
            <w:tcW w:w="387" w:type="pct"/>
            <w:tcBorders>
              <w:top w:val="nil"/>
              <w:left w:val="nil"/>
              <w:bottom w:val="nil"/>
              <w:right w:val="nil"/>
            </w:tcBorders>
            <w:shd w:val="clear" w:color="auto" w:fill="auto"/>
            <w:noWrap/>
            <w:vAlign w:val="center"/>
          </w:tcPr>
          <w:p w14:paraId="2CAEBD72" w14:textId="3F226F3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109.937</w:t>
            </w:r>
          </w:p>
        </w:tc>
        <w:tc>
          <w:tcPr>
            <w:tcW w:w="388" w:type="pct"/>
            <w:tcBorders>
              <w:top w:val="nil"/>
              <w:left w:val="nil"/>
              <w:bottom w:val="nil"/>
              <w:right w:val="nil"/>
            </w:tcBorders>
            <w:shd w:val="clear" w:color="auto" w:fill="auto"/>
            <w:noWrap/>
            <w:vAlign w:val="center"/>
          </w:tcPr>
          <w:p w14:paraId="46A6951B" w14:textId="2711A66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53.252</w:t>
            </w:r>
          </w:p>
        </w:tc>
        <w:tc>
          <w:tcPr>
            <w:tcW w:w="388" w:type="pct"/>
            <w:tcBorders>
              <w:top w:val="nil"/>
              <w:left w:val="nil"/>
              <w:bottom w:val="nil"/>
              <w:right w:val="nil"/>
            </w:tcBorders>
            <w:shd w:val="clear" w:color="auto" w:fill="auto"/>
            <w:noWrap/>
            <w:vAlign w:val="center"/>
          </w:tcPr>
          <w:p w14:paraId="7FB30CB7" w14:textId="6B29052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208.638</w:t>
            </w:r>
          </w:p>
        </w:tc>
        <w:tc>
          <w:tcPr>
            <w:tcW w:w="441" w:type="pct"/>
            <w:tcBorders>
              <w:top w:val="nil"/>
              <w:left w:val="nil"/>
              <w:bottom w:val="nil"/>
              <w:right w:val="nil"/>
            </w:tcBorders>
            <w:vAlign w:val="center"/>
          </w:tcPr>
          <w:p w14:paraId="12FBB581" w14:textId="1FB74CD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1.337.375</w:t>
            </w:r>
          </w:p>
        </w:tc>
        <w:tc>
          <w:tcPr>
            <w:tcW w:w="429" w:type="pct"/>
            <w:tcBorders>
              <w:top w:val="nil"/>
              <w:left w:val="nil"/>
              <w:bottom w:val="nil"/>
              <w:right w:val="nil"/>
            </w:tcBorders>
            <w:shd w:val="clear" w:color="auto" w:fill="auto"/>
            <w:noWrap/>
            <w:vAlign w:val="center"/>
          </w:tcPr>
          <w:p w14:paraId="5D6ED46D" w14:textId="0E38BE1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1.213.174</w:t>
            </w:r>
          </w:p>
        </w:tc>
      </w:tr>
      <w:tr w:rsidR="00870710" w:rsidRPr="007818E0" w14:paraId="4EB474C0" w14:textId="77777777" w:rsidTr="00EC1615">
        <w:trPr>
          <w:trHeight w:val="255"/>
        </w:trPr>
        <w:tc>
          <w:tcPr>
            <w:tcW w:w="643" w:type="pct"/>
            <w:tcBorders>
              <w:top w:val="nil"/>
              <w:left w:val="nil"/>
              <w:bottom w:val="nil"/>
              <w:right w:val="nil"/>
            </w:tcBorders>
            <w:shd w:val="clear" w:color="auto" w:fill="auto"/>
            <w:noWrap/>
            <w:vAlign w:val="center"/>
            <w:hideMark/>
          </w:tcPr>
          <w:p w14:paraId="28141501"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31 a 60 dias</w:t>
            </w:r>
          </w:p>
        </w:tc>
        <w:tc>
          <w:tcPr>
            <w:tcW w:w="388" w:type="pct"/>
            <w:tcBorders>
              <w:top w:val="nil"/>
              <w:left w:val="nil"/>
              <w:bottom w:val="nil"/>
              <w:right w:val="nil"/>
            </w:tcBorders>
            <w:shd w:val="clear" w:color="auto" w:fill="auto"/>
            <w:noWrap/>
            <w:vAlign w:val="center"/>
          </w:tcPr>
          <w:p w14:paraId="25768063"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4E281235"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724F5697" w14:textId="560B72E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240.690</w:t>
            </w:r>
          </w:p>
        </w:tc>
        <w:tc>
          <w:tcPr>
            <w:tcW w:w="388" w:type="pct"/>
            <w:tcBorders>
              <w:top w:val="nil"/>
              <w:left w:val="nil"/>
              <w:bottom w:val="nil"/>
              <w:right w:val="nil"/>
            </w:tcBorders>
            <w:shd w:val="clear" w:color="auto" w:fill="auto"/>
            <w:noWrap/>
            <w:vAlign w:val="center"/>
          </w:tcPr>
          <w:p w14:paraId="68B9C8CD" w14:textId="1043D47F"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308.543</w:t>
            </w:r>
          </w:p>
        </w:tc>
        <w:tc>
          <w:tcPr>
            <w:tcW w:w="384" w:type="pct"/>
            <w:tcBorders>
              <w:top w:val="nil"/>
              <w:left w:val="nil"/>
              <w:bottom w:val="nil"/>
              <w:right w:val="nil"/>
            </w:tcBorders>
            <w:shd w:val="clear" w:color="auto" w:fill="auto"/>
            <w:noWrap/>
            <w:vAlign w:val="center"/>
          </w:tcPr>
          <w:p w14:paraId="3A595AAE" w14:textId="153BD80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165.221</w:t>
            </w:r>
          </w:p>
        </w:tc>
        <w:tc>
          <w:tcPr>
            <w:tcW w:w="389" w:type="pct"/>
            <w:tcBorders>
              <w:top w:val="nil"/>
              <w:left w:val="nil"/>
              <w:bottom w:val="nil"/>
              <w:right w:val="nil"/>
            </w:tcBorders>
            <w:shd w:val="clear" w:color="auto" w:fill="auto"/>
            <w:noWrap/>
            <w:vAlign w:val="center"/>
          </w:tcPr>
          <w:p w14:paraId="10F8A8DE" w14:textId="33DBD18C"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122.341</w:t>
            </w:r>
          </w:p>
        </w:tc>
        <w:tc>
          <w:tcPr>
            <w:tcW w:w="387" w:type="pct"/>
            <w:tcBorders>
              <w:top w:val="nil"/>
              <w:left w:val="nil"/>
              <w:bottom w:val="nil"/>
              <w:right w:val="nil"/>
            </w:tcBorders>
            <w:shd w:val="clear" w:color="auto" w:fill="auto"/>
            <w:noWrap/>
            <w:vAlign w:val="center"/>
          </w:tcPr>
          <w:p w14:paraId="2E731674" w14:textId="1302C081"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105.906</w:t>
            </w:r>
          </w:p>
        </w:tc>
        <w:tc>
          <w:tcPr>
            <w:tcW w:w="388" w:type="pct"/>
            <w:tcBorders>
              <w:top w:val="nil"/>
              <w:left w:val="nil"/>
              <w:bottom w:val="nil"/>
              <w:right w:val="nil"/>
            </w:tcBorders>
            <w:shd w:val="clear" w:color="auto" w:fill="auto"/>
            <w:noWrap/>
            <w:vAlign w:val="center"/>
          </w:tcPr>
          <w:p w14:paraId="103136C3" w14:textId="6B9FC3C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49.251</w:t>
            </w:r>
          </w:p>
        </w:tc>
        <w:tc>
          <w:tcPr>
            <w:tcW w:w="388" w:type="pct"/>
            <w:tcBorders>
              <w:top w:val="nil"/>
              <w:left w:val="nil"/>
              <w:bottom w:val="nil"/>
              <w:right w:val="nil"/>
            </w:tcBorders>
            <w:shd w:val="clear" w:color="auto" w:fill="auto"/>
            <w:noWrap/>
            <w:vAlign w:val="center"/>
          </w:tcPr>
          <w:p w14:paraId="4B0E896B" w14:textId="6B262B2A"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189.840</w:t>
            </w:r>
          </w:p>
        </w:tc>
        <w:tc>
          <w:tcPr>
            <w:tcW w:w="441" w:type="pct"/>
            <w:tcBorders>
              <w:top w:val="nil"/>
              <w:left w:val="nil"/>
              <w:bottom w:val="nil"/>
              <w:right w:val="nil"/>
            </w:tcBorders>
            <w:vAlign w:val="center"/>
          </w:tcPr>
          <w:p w14:paraId="07BA98A7" w14:textId="3252D8EE"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1.181.792</w:t>
            </w:r>
          </w:p>
        </w:tc>
        <w:tc>
          <w:tcPr>
            <w:tcW w:w="429" w:type="pct"/>
            <w:tcBorders>
              <w:top w:val="nil"/>
              <w:left w:val="nil"/>
              <w:bottom w:val="nil"/>
              <w:right w:val="nil"/>
            </w:tcBorders>
            <w:shd w:val="clear" w:color="auto" w:fill="auto"/>
            <w:noWrap/>
            <w:vAlign w:val="center"/>
          </w:tcPr>
          <w:p w14:paraId="1C7EFCC9" w14:textId="31E163B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1.095.032</w:t>
            </w:r>
          </w:p>
        </w:tc>
      </w:tr>
      <w:tr w:rsidR="00870710" w:rsidRPr="007818E0" w14:paraId="52691CB3" w14:textId="77777777" w:rsidTr="00EC1615">
        <w:trPr>
          <w:trHeight w:val="255"/>
        </w:trPr>
        <w:tc>
          <w:tcPr>
            <w:tcW w:w="643" w:type="pct"/>
            <w:tcBorders>
              <w:top w:val="nil"/>
              <w:left w:val="nil"/>
              <w:bottom w:val="nil"/>
              <w:right w:val="nil"/>
            </w:tcBorders>
            <w:shd w:val="clear" w:color="auto" w:fill="auto"/>
            <w:noWrap/>
            <w:vAlign w:val="center"/>
            <w:hideMark/>
          </w:tcPr>
          <w:p w14:paraId="7BEFB965"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61 a 90 dias</w:t>
            </w:r>
          </w:p>
        </w:tc>
        <w:tc>
          <w:tcPr>
            <w:tcW w:w="388" w:type="pct"/>
            <w:tcBorders>
              <w:top w:val="nil"/>
              <w:left w:val="nil"/>
              <w:bottom w:val="nil"/>
              <w:right w:val="nil"/>
            </w:tcBorders>
            <w:shd w:val="clear" w:color="auto" w:fill="auto"/>
            <w:noWrap/>
            <w:vAlign w:val="center"/>
          </w:tcPr>
          <w:p w14:paraId="36A85B1E"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73BC5873"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1B9A29B8" w14:textId="2F58E0E1"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230.906</w:t>
            </w:r>
          </w:p>
        </w:tc>
        <w:tc>
          <w:tcPr>
            <w:tcW w:w="388" w:type="pct"/>
            <w:tcBorders>
              <w:top w:val="nil"/>
              <w:left w:val="nil"/>
              <w:bottom w:val="nil"/>
              <w:right w:val="nil"/>
            </w:tcBorders>
            <w:shd w:val="clear" w:color="auto" w:fill="auto"/>
            <w:noWrap/>
            <w:vAlign w:val="center"/>
          </w:tcPr>
          <w:p w14:paraId="043F27BA" w14:textId="7FB7D6F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294.802</w:t>
            </w:r>
          </w:p>
        </w:tc>
        <w:tc>
          <w:tcPr>
            <w:tcW w:w="384" w:type="pct"/>
            <w:tcBorders>
              <w:top w:val="nil"/>
              <w:left w:val="nil"/>
              <w:bottom w:val="nil"/>
              <w:right w:val="nil"/>
            </w:tcBorders>
            <w:shd w:val="clear" w:color="auto" w:fill="auto"/>
            <w:noWrap/>
            <w:vAlign w:val="center"/>
          </w:tcPr>
          <w:p w14:paraId="05E3C0AC" w14:textId="4ABF1A5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163.870</w:t>
            </w:r>
          </w:p>
        </w:tc>
        <w:tc>
          <w:tcPr>
            <w:tcW w:w="389" w:type="pct"/>
            <w:tcBorders>
              <w:top w:val="nil"/>
              <w:left w:val="nil"/>
              <w:bottom w:val="nil"/>
              <w:right w:val="nil"/>
            </w:tcBorders>
            <w:shd w:val="clear" w:color="auto" w:fill="auto"/>
            <w:noWrap/>
            <w:vAlign w:val="center"/>
          </w:tcPr>
          <w:p w14:paraId="0D633F82" w14:textId="2062A6F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118.534</w:t>
            </w:r>
          </w:p>
        </w:tc>
        <w:tc>
          <w:tcPr>
            <w:tcW w:w="387" w:type="pct"/>
            <w:tcBorders>
              <w:top w:val="nil"/>
              <w:left w:val="nil"/>
              <w:bottom w:val="nil"/>
              <w:right w:val="nil"/>
            </w:tcBorders>
            <w:shd w:val="clear" w:color="auto" w:fill="auto"/>
            <w:noWrap/>
            <w:vAlign w:val="center"/>
          </w:tcPr>
          <w:p w14:paraId="33881A78" w14:textId="03AC3B6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101.184</w:t>
            </w:r>
          </w:p>
        </w:tc>
        <w:tc>
          <w:tcPr>
            <w:tcW w:w="388" w:type="pct"/>
            <w:tcBorders>
              <w:top w:val="nil"/>
              <w:left w:val="nil"/>
              <w:bottom w:val="nil"/>
              <w:right w:val="nil"/>
            </w:tcBorders>
            <w:shd w:val="clear" w:color="auto" w:fill="auto"/>
            <w:noWrap/>
            <w:vAlign w:val="center"/>
          </w:tcPr>
          <w:p w14:paraId="076C48EF" w14:textId="016ED66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46.794</w:t>
            </w:r>
          </w:p>
        </w:tc>
        <w:tc>
          <w:tcPr>
            <w:tcW w:w="388" w:type="pct"/>
            <w:tcBorders>
              <w:top w:val="nil"/>
              <w:left w:val="nil"/>
              <w:bottom w:val="nil"/>
              <w:right w:val="nil"/>
            </w:tcBorders>
            <w:shd w:val="clear" w:color="auto" w:fill="auto"/>
            <w:noWrap/>
            <w:vAlign w:val="center"/>
          </w:tcPr>
          <w:p w14:paraId="6036BC68" w14:textId="1424D371"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181.999</w:t>
            </w:r>
          </w:p>
        </w:tc>
        <w:tc>
          <w:tcPr>
            <w:tcW w:w="441" w:type="pct"/>
            <w:tcBorders>
              <w:top w:val="nil"/>
              <w:left w:val="nil"/>
              <w:bottom w:val="nil"/>
              <w:right w:val="nil"/>
            </w:tcBorders>
            <w:vAlign w:val="center"/>
          </w:tcPr>
          <w:p w14:paraId="2EE6DBD7" w14:textId="63D0403C"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1.138.089</w:t>
            </w:r>
          </w:p>
        </w:tc>
        <w:tc>
          <w:tcPr>
            <w:tcW w:w="429" w:type="pct"/>
            <w:tcBorders>
              <w:top w:val="nil"/>
              <w:left w:val="nil"/>
              <w:bottom w:val="nil"/>
              <w:right w:val="nil"/>
            </w:tcBorders>
            <w:shd w:val="clear" w:color="auto" w:fill="auto"/>
            <w:noWrap/>
            <w:vAlign w:val="center"/>
          </w:tcPr>
          <w:p w14:paraId="698C9CD2" w14:textId="2EBBBB9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1.055.606</w:t>
            </w:r>
          </w:p>
        </w:tc>
      </w:tr>
      <w:tr w:rsidR="00870710" w:rsidRPr="007818E0" w14:paraId="3F5B89CE" w14:textId="77777777" w:rsidTr="00EC1615">
        <w:trPr>
          <w:trHeight w:val="255"/>
        </w:trPr>
        <w:tc>
          <w:tcPr>
            <w:tcW w:w="643" w:type="pct"/>
            <w:tcBorders>
              <w:top w:val="nil"/>
              <w:left w:val="nil"/>
              <w:bottom w:val="nil"/>
              <w:right w:val="nil"/>
            </w:tcBorders>
            <w:shd w:val="clear" w:color="auto" w:fill="auto"/>
            <w:noWrap/>
            <w:vAlign w:val="center"/>
            <w:hideMark/>
          </w:tcPr>
          <w:p w14:paraId="257ED4E6"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91 a 180 dias</w:t>
            </w:r>
          </w:p>
        </w:tc>
        <w:tc>
          <w:tcPr>
            <w:tcW w:w="388" w:type="pct"/>
            <w:tcBorders>
              <w:top w:val="nil"/>
              <w:left w:val="nil"/>
              <w:bottom w:val="nil"/>
              <w:right w:val="nil"/>
            </w:tcBorders>
            <w:shd w:val="clear" w:color="auto" w:fill="auto"/>
            <w:noWrap/>
            <w:vAlign w:val="center"/>
          </w:tcPr>
          <w:p w14:paraId="0DBA352E"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3B96CCF9"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23424D31" w14:textId="473D2D41"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675.900</w:t>
            </w:r>
          </w:p>
        </w:tc>
        <w:tc>
          <w:tcPr>
            <w:tcW w:w="388" w:type="pct"/>
            <w:tcBorders>
              <w:top w:val="nil"/>
              <w:left w:val="nil"/>
              <w:bottom w:val="nil"/>
              <w:right w:val="nil"/>
            </w:tcBorders>
            <w:shd w:val="clear" w:color="auto" w:fill="auto"/>
            <w:noWrap/>
            <w:vAlign w:val="center"/>
          </w:tcPr>
          <w:p w14:paraId="41981762" w14:textId="10FDE48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870.952</w:t>
            </w:r>
          </w:p>
        </w:tc>
        <w:tc>
          <w:tcPr>
            <w:tcW w:w="384" w:type="pct"/>
            <w:tcBorders>
              <w:top w:val="nil"/>
              <w:left w:val="nil"/>
              <w:bottom w:val="nil"/>
              <w:right w:val="nil"/>
            </w:tcBorders>
            <w:shd w:val="clear" w:color="auto" w:fill="auto"/>
            <w:noWrap/>
            <w:vAlign w:val="center"/>
          </w:tcPr>
          <w:p w14:paraId="02C5E87E" w14:textId="7735585F"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493.313</w:t>
            </w:r>
          </w:p>
        </w:tc>
        <w:tc>
          <w:tcPr>
            <w:tcW w:w="389" w:type="pct"/>
            <w:tcBorders>
              <w:top w:val="nil"/>
              <w:left w:val="nil"/>
              <w:bottom w:val="nil"/>
              <w:right w:val="nil"/>
            </w:tcBorders>
            <w:shd w:val="clear" w:color="auto" w:fill="auto"/>
            <w:noWrap/>
            <w:vAlign w:val="center"/>
          </w:tcPr>
          <w:p w14:paraId="7D74CDBC" w14:textId="548C375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348.879</w:t>
            </w:r>
          </w:p>
        </w:tc>
        <w:tc>
          <w:tcPr>
            <w:tcW w:w="387" w:type="pct"/>
            <w:tcBorders>
              <w:top w:val="nil"/>
              <w:left w:val="nil"/>
              <w:bottom w:val="nil"/>
              <w:right w:val="nil"/>
            </w:tcBorders>
            <w:shd w:val="clear" w:color="auto" w:fill="auto"/>
            <w:noWrap/>
            <w:vAlign w:val="center"/>
          </w:tcPr>
          <w:p w14:paraId="0505ACB3" w14:textId="2233BDC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298.034</w:t>
            </w:r>
          </w:p>
        </w:tc>
        <w:tc>
          <w:tcPr>
            <w:tcW w:w="388" w:type="pct"/>
            <w:tcBorders>
              <w:top w:val="nil"/>
              <w:left w:val="nil"/>
              <w:bottom w:val="nil"/>
              <w:right w:val="nil"/>
            </w:tcBorders>
            <w:shd w:val="clear" w:color="auto" w:fill="auto"/>
            <w:noWrap/>
            <w:vAlign w:val="center"/>
          </w:tcPr>
          <w:p w14:paraId="45BEFBC2" w14:textId="3604457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139.985</w:t>
            </w:r>
          </w:p>
        </w:tc>
        <w:tc>
          <w:tcPr>
            <w:tcW w:w="388" w:type="pct"/>
            <w:tcBorders>
              <w:top w:val="nil"/>
              <w:left w:val="nil"/>
              <w:bottom w:val="nil"/>
              <w:right w:val="nil"/>
            </w:tcBorders>
            <w:shd w:val="clear" w:color="auto" w:fill="auto"/>
            <w:noWrap/>
            <w:vAlign w:val="center"/>
          </w:tcPr>
          <w:p w14:paraId="4ACD2C2D" w14:textId="5CEA060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531.332</w:t>
            </w:r>
          </w:p>
        </w:tc>
        <w:tc>
          <w:tcPr>
            <w:tcW w:w="441" w:type="pct"/>
            <w:tcBorders>
              <w:top w:val="nil"/>
              <w:left w:val="nil"/>
              <w:bottom w:val="nil"/>
              <w:right w:val="nil"/>
            </w:tcBorders>
            <w:vAlign w:val="center"/>
          </w:tcPr>
          <w:p w14:paraId="3C248700" w14:textId="18F70B6C"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3.358.395</w:t>
            </w:r>
          </w:p>
        </w:tc>
        <w:tc>
          <w:tcPr>
            <w:tcW w:w="429" w:type="pct"/>
            <w:tcBorders>
              <w:top w:val="nil"/>
              <w:left w:val="nil"/>
              <w:bottom w:val="nil"/>
              <w:right w:val="nil"/>
            </w:tcBorders>
            <w:shd w:val="clear" w:color="auto" w:fill="auto"/>
            <w:noWrap/>
            <w:vAlign w:val="center"/>
          </w:tcPr>
          <w:p w14:paraId="605BDDDE" w14:textId="7317CA8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3.127.843</w:t>
            </w:r>
          </w:p>
        </w:tc>
      </w:tr>
      <w:tr w:rsidR="00870710" w:rsidRPr="007818E0" w14:paraId="59E669C3" w14:textId="77777777" w:rsidTr="00EC1615">
        <w:trPr>
          <w:trHeight w:val="255"/>
        </w:trPr>
        <w:tc>
          <w:tcPr>
            <w:tcW w:w="643" w:type="pct"/>
            <w:tcBorders>
              <w:top w:val="nil"/>
              <w:left w:val="nil"/>
              <w:bottom w:val="nil"/>
              <w:right w:val="nil"/>
            </w:tcBorders>
            <w:shd w:val="clear" w:color="auto" w:fill="auto"/>
            <w:noWrap/>
            <w:vAlign w:val="center"/>
            <w:hideMark/>
          </w:tcPr>
          <w:p w14:paraId="35C27CDA"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181 a 360 dias</w:t>
            </w:r>
          </w:p>
        </w:tc>
        <w:tc>
          <w:tcPr>
            <w:tcW w:w="388" w:type="pct"/>
            <w:tcBorders>
              <w:top w:val="nil"/>
              <w:left w:val="nil"/>
              <w:bottom w:val="nil"/>
              <w:right w:val="nil"/>
            </w:tcBorders>
            <w:shd w:val="clear" w:color="auto" w:fill="auto"/>
            <w:noWrap/>
            <w:vAlign w:val="center"/>
          </w:tcPr>
          <w:p w14:paraId="013C88F2"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0A5E65EA"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627865BF" w14:textId="587DFAE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1.281.484</w:t>
            </w:r>
          </w:p>
        </w:tc>
        <w:tc>
          <w:tcPr>
            <w:tcW w:w="388" w:type="pct"/>
            <w:tcBorders>
              <w:top w:val="nil"/>
              <w:left w:val="nil"/>
              <w:bottom w:val="nil"/>
              <w:right w:val="nil"/>
            </w:tcBorders>
            <w:shd w:val="clear" w:color="auto" w:fill="auto"/>
            <w:noWrap/>
            <w:vAlign w:val="center"/>
          </w:tcPr>
          <w:p w14:paraId="3FE44E61" w14:textId="740EA95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1.610.490</w:t>
            </w:r>
          </w:p>
        </w:tc>
        <w:tc>
          <w:tcPr>
            <w:tcW w:w="384" w:type="pct"/>
            <w:tcBorders>
              <w:top w:val="nil"/>
              <w:left w:val="nil"/>
              <w:bottom w:val="nil"/>
              <w:right w:val="nil"/>
            </w:tcBorders>
            <w:shd w:val="clear" w:color="auto" w:fill="auto"/>
            <w:noWrap/>
            <w:vAlign w:val="center"/>
          </w:tcPr>
          <w:p w14:paraId="349FB64E" w14:textId="71831E0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711.045</w:t>
            </w:r>
          </w:p>
        </w:tc>
        <w:tc>
          <w:tcPr>
            <w:tcW w:w="389" w:type="pct"/>
            <w:tcBorders>
              <w:top w:val="nil"/>
              <w:left w:val="nil"/>
              <w:bottom w:val="nil"/>
              <w:right w:val="nil"/>
            </w:tcBorders>
            <w:shd w:val="clear" w:color="auto" w:fill="auto"/>
            <w:noWrap/>
            <w:vAlign w:val="center"/>
          </w:tcPr>
          <w:p w14:paraId="6E21AAB8" w14:textId="4E24185C"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595.685</w:t>
            </w:r>
          </w:p>
        </w:tc>
        <w:tc>
          <w:tcPr>
            <w:tcW w:w="387" w:type="pct"/>
            <w:tcBorders>
              <w:top w:val="nil"/>
              <w:left w:val="nil"/>
              <w:bottom w:val="nil"/>
              <w:right w:val="nil"/>
            </w:tcBorders>
            <w:shd w:val="clear" w:color="auto" w:fill="auto"/>
            <w:noWrap/>
            <w:vAlign w:val="center"/>
          </w:tcPr>
          <w:p w14:paraId="1C9F53A0" w14:textId="59C75A3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525.975</w:t>
            </w:r>
          </w:p>
        </w:tc>
        <w:tc>
          <w:tcPr>
            <w:tcW w:w="388" w:type="pct"/>
            <w:tcBorders>
              <w:top w:val="nil"/>
              <w:left w:val="nil"/>
              <w:bottom w:val="nil"/>
              <w:right w:val="nil"/>
            </w:tcBorders>
            <w:shd w:val="clear" w:color="auto" w:fill="auto"/>
            <w:noWrap/>
            <w:vAlign w:val="center"/>
          </w:tcPr>
          <w:p w14:paraId="2757E17E" w14:textId="4FDCACD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225.835</w:t>
            </w:r>
          </w:p>
        </w:tc>
        <w:tc>
          <w:tcPr>
            <w:tcW w:w="388" w:type="pct"/>
            <w:tcBorders>
              <w:top w:val="nil"/>
              <w:left w:val="nil"/>
              <w:bottom w:val="nil"/>
              <w:right w:val="nil"/>
            </w:tcBorders>
            <w:shd w:val="clear" w:color="auto" w:fill="auto"/>
            <w:noWrap/>
            <w:vAlign w:val="center"/>
          </w:tcPr>
          <w:p w14:paraId="7172535F" w14:textId="5FDEE10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938.003</w:t>
            </w:r>
          </w:p>
        </w:tc>
        <w:tc>
          <w:tcPr>
            <w:tcW w:w="441" w:type="pct"/>
            <w:tcBorders>
              <w:top w:val="nil"/>
              <w:left w:val="nil"/>
              <w:bottom w:val="nil"/>
              <w:right w:val="nil"/>
            </w:tcBorders>
            <w:vAlign w:val="center"/>
          </w:tcPr>
          <w:p w14:paraId="49F550FB" w14:textId="046AF91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5.888.517</w:t>
            </w:r>
          </w:p>
        </w:tc>
        <w:tc>
          <w:tcPr>
            <w:tcW w:w="429" w:type="pct"/>
            <w:tcBorders>
              <w:top w:val="nil"/>
              <w:left w:val="nil"/>
              <w:bottom w:val="nil"/>
              <w:right w:val="nil"/>
            </w:tcBorders>
            <w:shd w:val="clear" w:color="auto" w:fill="auto"/>
            <w:noWrap/>
            <w:vAlign w:val="center"/>
          </w:tcPr>
          <w:p w14:paraId="6330958F" w14:textId="72C2360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5.839.755</w:t>
            </w:r>
          </w:p>
        </w:tc>
      </w:tr>
      <w:tr w:rsidR="00870710" w:rsidRPr="007818E0" w14:paraId="444AA9CD" w14:textId="77777777" w:rsidTr="00EC1615">
        <w:trPr>
          <w:trHeight w:val="255"/>
        </w:trPr>
        <w:tc>
          <w:tcPr>
            <w:tcW w:w="643" w:type="pct"/>
            <w:tcBorders>
              <w:top w:val="nil"/>
              <w:left w:val="nil"/>
              <w:bottom w:val="nil"/>
              <w:right w:val="nil"/>
            </w:tcBorders>
            <w:shd w:val="clear" w:color="auto" w:fill="auto"/>
            <w:noWrap/>
            <w:vAlign w:val="center"/>
            <w:hideMark/>
          </w:tcPr>
          <w:p w14:paraId="77743D5F"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Acima de 360 dias</w:t>
            </w:r>
          </w:p>
        </w:tc>
        <w:tc>
          <w:tcPr>
            <w:tcW w:w="388" w:type="pct"/>
            <w:tcBorders>
              <w:top w:val="nil"/>
              <w:left w:val="nil"/>
              <w:bottom w:val="nil"/>
              <w:right w:val="nil"/>
            </w:tcBorders>
            <w:shd w:val="clear" w:color="auto" w:fill="auto"/>
            <w:noWrap/>
            <w:vAlign w:val="center"/>
          </w:tcPr>
          <w:p w14:paraId="4163560E" w14:textId="77777777" w:rsidR="00870710" w:rsidRPr="007818E0" w:rsidRDefault="00870710" w:rsidP="00870710">
            <w:pPr>
              <w:jc w:val="center"/>
              <w:rPr>
                <w:rFonts w:ascii="CAIXA Std Book" w:hAnsi="CAIXA Std Book" w:cs="Arial"/>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1AE92A55" w14:textId="77777777" w:rsidR="00870710" w:rsidRPr="007818E0" w:rsidRDefault="00870710" w:rsidP="00870710">
            <w:pPr>
              <w:jc w:val="center"/>
              <w:rPr>
                <w:rFonts w:ascii="CAIXA Std Book" w:hAnsi="CAIXA Std Book" w:cs="Arial"/>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7E09D126" w14:textId="16E1FE3C"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21.116.878</w:t>
            </w:r>
          </w:p>
        </w:tc>
        <w:tc>
          <w:tcPr>
            <w:tcW w:w="388" w:type="pct"/>
            <w:tcBorders>
              <w:top w:val="nil"/>
              <w:left w:val="nil"/>
              <w:bottom w:val="nil"/>
              <w:right w:val="nil"/>
            </w:tcBorders>
            <w:shd w:val="clear" w:color="auto" w:fill="auto"/>
            <w:noWrap/>
            <w:vAlign w:val="center"/>
          </w:tcPr>
          <w:p w14:paraId="59A98994" w14:textId="76E2FD5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28.394.583</w:t>
            </w:r>
          </w:p>
        </w:tc>
        <w:tc>
          <w:tcPr>
            <w:tcW w:w="384" w:type="pct"/>
            <w:tcBorders>
              <w:top w:val="nil"/>
              <w:left w:val="nil"/>
              <w:bottom w:val="nil"/>
              <w:right w:val="nil"/>
            </w:tcBorders>
            <w:shd w:val="clear" w:color="auto" w:fill="auto"/>
            <w:noWrap/>
            <w:vAlign w:val="center"/>
          </w:tcPr>
          <w:p w14:paraId="580FC676" w14:textId="7D1DDF9F"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6.449.611</w:t>
            </w:r>
          </w:p>
        </w:tc>
        <w:tc>
          <w:tcPr>
            <w:tcW w:w="389" w:type="pct"/>
            <w:tcBorders>
              <w:top w:val="nil"/>
              <w:left w:val="nil"/>
              <w:bottom w:val="nil"/>
              <w:right w:val="nil"/>
            </w:tcBorders>
            <w:shd w:val="clear" w:color="auto" w:fill="auto"/>
            <w:noWrap/>
            <w:vAlign w:val="center"/>
          </w:tcPr>
          <w:p w14:paraId="703D7295" w14:textId="7E18E20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5.652.507</w:t>
            </w:r>
          </w:p>
        </w:tc>
        <w:tc>
          <w:tcPr>
            <w:tcW w:w="387" w:type="pct"/>
            <w:tcBorders>
              <w:top w:val="nil"/>
              <w:left w:val="nil"/>
              <w:bottom w:val="nil"/>
              <w:right w:val="nil"/>
            </w:tcBorders>
            <w:shd w:val="clear" w:color="auto" w:fill="auto"/>
            <w:noWrap/>
            <w:vAlign w:val="center"/>
          </w:tcPr>
          <w:p w14:paraId="0061B68B" w14:textId="1BA5005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3.166.695</w:t>
            </w:r>
          </w:p>
        </w:tc>
        <w:tc>
          <w:tcPr>
            <w:tcW w:w="388" w:type="pct"/>
            <w:tcBorders>
              <w:top w:val="nil"/>
              <w:left w:val="nil"/>
              <w:bottom w:val="nil"/>
              <w:right w:val="nil"/>
            </w:tcBorders>
            <w:shd w:val="clear" w:color="auto" w:fill="auto"/>
            <w:noWrap/>
            <w:vAlign w:val="center"/>
          </w:tcPr>
          <w:p w14:paraId="3FA4A213" w14:textId="240AC79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1.850.058</w:t>
            </w:r>
          </w:p>
        </w:tc>
        <w:tc>
          <w:tcPr>
            <w:tcW w:w="388" w:type="pct"/>
            <w:tcBorders>
              <w:top w:val="nil"/>
              <w:left w:val="nil"/>
              <w:bottom w:val="nil"/>
              <w:right w:val="nil"/>
            </w:tcBorders>
            <w:shd w:val="clear" w:color="auto" w:fill="auto"/>
            <w:noWrap/>
            <w:vAlign w:val="center"/>
          </w:tcPr>
          <w:p w14:paraId="29EA99DB" w14:textId="4C970E3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5.498.331</w:t>
            </w:r>
          </w:p>
        </w:tc>
        <w:tc>
          <w:tcPr>
            <w:tcW w:w="441" w:type="pct"/>
            <w:tcBorders>
              <w:top w:val="nil"/>
              <w:left w:val="nil"/>
              <w:bottom w:val="nil"/>
              <w:right w:val="nil"/>
            </w:tcBorders>
            <w:vAlign w:val="center"/>
          </w:tcPr>
          <w:p w14:paraId="281D3E74" w14:textId="5A086C0E"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72.128.663</w:t>
            </w:r>
          </w:p>
        </w:tc>
        <w:tc>
          <w:tcPr>
            <w:tcW w:w="429" w:type="pct"/>
            <w:tcBorders>
              <w:top w:val="nil"/>
              <w:left w:val="nil"/>
              <w:bottom w:val="nil"/>
              <w:right w:val="nil"/>
            </w:tcBorders>
            <w:shd w:val="clear" w:color="auto" w:fill="auto"/>
            <w:noWrap/>
            <w:vAlign w:val="center"/>
          </w:tcPr>
          <w:p w14:paraId="04F19E18" w14:textId="1F9F640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63.159.611</w:t>
            </w:r>
          </w:p>
        </w:tc>
      </w:tr>
      <w:tr w:rsidR="00870710" w:rsidRPr="007818E0" w14:paraId="6CDBA726"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hideMark/>
          </w:tcPr>
          <w:p w14:paraId="7F610851" w14:textId="77777777" w:rsidR="00870710" w:rsidRPr="007818E0" w:rsidRDefault="00870710" w:rsidP="00870710">
            <w:pPr>
              <w:rPr>
                <w:rFonts w:ascii="CAIXA Std Book" w:hAnsi="CAIXA Std Book"/>
                <w:b/>
                <w:color w:val="005CA9"/>
                <w:sz w:val="16"/>
                <w:szCs w:val="16"/>
              </w:rPr>
            </w:pPr>
            <w:r w:rsidRPr="007818E0">
              <w:rPr>
                <w:rFonts w:ascii="CAIXA Std Book" w:hAnsi="CAIXA Std Book"/>
                <w:b/>
                <w:color w:val="005CA9"/>
                <w:sz w:val="16"/>
                <w:szCs w:val="16"/>
              </w:rPr>
              <w:t>Parcelas vencidas</w:t>
            </w:r>
          </w:p>
        </w:tc>
        <w:tc>
          <w:tcPr>
            <w:tcW w:w="388" w:type="pct"/>
            <w:tcBorders>
              <w:top w:val="single" w:sz="4" w:space="0" w:color="F39200"/>
              <w:left w:val="nil"/>
              <w:bottom w:val="single" w:sz="4" w:space="0" w:color="F39200"/>
              <w:right w:val="nil"/>
            </w:tcBorders>
            <w:shd w:val="clear" w:color="auto" w:fill="auto"/>
            <w:noWrap/>
            <w:vAlign w:val="center"/>
          </w:tcPr>
          <w:p w14:paraId="48890C61"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single" w:sz="4" w:space="0" w:color="F39200"/>
              <w:left w:val="nil"/>
              <w:bottom w:val="single" w:sz="4" w:space="0" w:color="F39200"/>
              <w:right w:val="nil"/>
            </w:tcBorders>
            <w:shd w:val="clear" w:color="auto" w:fill="auto"/>
            <w:noWrap/>
            <w:vAlign w:val="center"/>
          </w:tcPr>
          <w:p w14:paraId="4CACAFF1"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single" w:sz="4" w:space="0" w:color="F39200"/>
              <w:left w:val="nil"/>
              <w:bottom w:val="single" w:sz="4" w:space="0" w:color="F39200"/>
              <w:right w:val="nil"/>
            </w:tcBorders>
            <w:shd w:val="clear" w:color="auto" w:fill="auto"/>
            <w:noWrap/>
            <w:vAlign w:val="center"/>
          </w:tcPr>
          <w:p w14:paraId="17E68E10" w14:textId="10263167"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968.581</w:t>
            </w:r>
          </w:p>
        </w:tc>
        <w:tc>
          <w:tcPr>
            <w:tcW w:w="388" w:type="pct"/>
            <w:tcBorders>
              <w:top w:val="single" w:sz="4" w:space="0" w:color="F39200"/>
              <w:left w:val="nil"/>
              <w:bottom w:val="single" w:sz="4" w:space="0" w:color="F39200"/>
              <w:right w:val="nil"/>
            </w:tcBorders>
            <w:shd w:val="clear" w:color="auto" w:fill="auto"/>
            <w:noWrap/>
            <w:vAlign w:val="center"/>
          </w:tcPr>
          <w:p w14:paraId="02E4C9AB" w14:textId="2441E781"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1.731.980</w:t>
            </w:r>
          </w:p>
        </w:tc>
        <w:tc>
          <w:tcPr>
            <w:tcW w:w="384" w:type="pct"/>
            <w:tcBorders>
              <w:top w:val="single" w:sz="4" w:space="0" w:color="F39200"/>
              <w:left w:val="nil"/>
              <w:bottom w:val="single" w:sz="4" w:space="0" w:color="F39200"/>
              <w:right w:val="nil"/>
            </w:tcBorders>
            <w:shd w:val="clear" w:color="auto" w:fill="auto"/>
            <w:noWrap/>
            <w:vAlign w:val="center"/>
          </w:tcPr>
          <w:p w14:paraId="1E194E09" w14:textId="0F5B045A"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1.254.458</w:t>
            </w:r>
          </w:p>
        </w:tc>
        <w:tc>
          <w:tcPr>
            <w:tcW w:w="389" w:type="pct"/>
            <w:tcBorders>
              <w:top w:val="single" w:sz="4" w:space="0" w:color="F39200"/>
              <w:left w:val="nil"/>
              <w:bottom w:val="single" w:sz="4" w:space="0" w:color="F39200"/>
              <w:right w:val="nil"/>
            </w:tcBorders>
            <w:shd w:val="clear" w:color="auto" w:fill="auto"/>
            <w:noWrap/>
            <w:vAlign w:val="center"/>
          </w:tcPr>
          <w:p w14:paraId="4BD3697E" w14:textId="31C2A4EC"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1.713.100</w:t>
            </w:r>
          </w:p>
        </w:tc>
        <w:tc>
          <w:tcPr>
            <w:tcW w:w="387" w:type="pct"/>
            <w:tcBorders>
              <w:top w:val="single" w:sz="4" w:space="0" w:color="F39200"/>
              <w:left w:val="nil"/>
              <w:bottom w:val="single" w:sz="4" w:space="0" w:color="F39200"/>
              <w:right w:val="nil"/>
            </w:tcBorders>
            <w:shd w:val="clear" w:color="auto" w:fill="auto"/>
            <w:noWrap/>
            <w:vAlign w:val="center"/>
          </w:tcPr>
          <w:p w14:paraId="0882D66D" w14:textId="133DBC5E"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1.625.163</w:t>
            </w:r>
          </w:p>
        </w:tc>
        <w:tc>
          <w:tcPr>
            <w:tcW w:w="388" w:type="pct"/>
            <w:tcBorders>
              <w:top w:val="single" w:sz="4" w:space="0" w:color="F39200"/>
              <w:left w:val="nil"/>
              <w:bottom w:val="single" w:sz="4" w:space="0" w:color="F39200"/>
              <w:right w:val="nil"/>
            </w:tcBorders>
            <w:shd w:val="clear" w:color="auto" w:fill="auto"/>
            <w:noWrap/>
            <w:vAlign w:val="center"/>
          </w:tcPr>
          <w:p w14:paraId="1E68CA4C" w14:textId="42701254"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980.912</w:t>
            </w:r>
          </w:p>
        </w:tc>
        <w:tc>
          <w:tcPr>
            <w:tcW w:w="388" w:type="pct"/>
            <w:tcBorders>
              <w:top w:val="single" w:sz="4" w:space="0" w:color="F39200"/>
              <w:left w:val="nil"/>
              <w:bottom w:val="single" w:sz="4" w:space="0" w:color="F39200"/>
              <w:right w:val="nil"/>
            </w:tcBorders>
            <w:shd w:val="clear" w:color="auto" w:fill="auto"/>
            <w:noWrap/>
            <w:vAlign w:val="center"/>
          </w:tcPr>
          <w:p w14:paraId="35259004" w14:textId="607BF27C"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5.101.904</w:t>
            </w:r>
          </w:p>
        </w:tc>
        <w:tc>
          <w:tcPr>
            <w:tcW w:w="441" w:type="pct"/>
            <w:tcBorders>
              <w:top w:val="single" w:sz="4" w:space="0" w:color="F39200"/>
              <w:left w:val="nil"/>
              <w:bottom w:val="single" w:sz="4" w:space="0" w:color="F39200"/>
              <w:right w:val="nil"/>
            </w:tcBorders>
            <w:vAlign w:val="center"/>
          </w:tcPr>
          <w:p w14:paraId="7D12AB16" w14:textId="0E127450"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13.376.098</w:t>
            </w:r>
          </w:p>
        </w:tc>
        <w:tc>
          <w:tcPr>
            <w:tcW w:w="429" w:type="pct"/>
            <w:tcBorders>
              <w:top w:val="single" w:sz="4" w:space="0" w:color="F39200"/>
              <w:left w:val="nil"/>
              <w:bottom w:val="single" w:sz="4" w:space="0" w:color="F39200"/>
              <w:right w:val="nil"/>
            </w:tcBorders>
            <w:shd w:val="clear" w:color="auto" w:fill="auto"/>
            <w:noWrap/>
            <w:vAlign w:val="center"/>
          </w:tcPr>
          <w:p w14:paraId="503A6FB1" w14:textId="40CCAD38"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10.837.365</w:t>
            </w:r>
          </w:p>
        </w:tc>
      </w:tr>
      <w:tr w:rsidR="00870710" w:rsidRPr="007818E0" w14:paraId="6B52E64A" w14:textId="77777777" w:rsidTr="00EC1615">
        <w:trPr>
          <w:trHeight w:val="255"/>
        </w:trPr>
        <w:tc>
          <w:tcPr>
            <w:tcW w:w="643" w:type="pct"/>
            <w:tcBorders>
              <w:top w:val="nil"/>
              <w:left w:val="nil"/>
              <w:bottom w:val="nil"/>
              <w:right w:val="nil"/>
            </w:tcBorders>
            <w:shd w:val="clear" w:color="auto" w:fill="auto"/>
            <w:noWrap/>
            <w:vAlign w:val="center"/>
            <w:hideMark/>
          </w:tcPr>
          <w:p w14:paraId="41A85271" w14:textId="77777777" w:rsidR="00870710" w:rsidRPr="007818E0" w:rsidRDefault="00870710" w:rsidP="00870710">
            <w:pPr>
              <w:rPr>
                <w:rFonts w:ascii="CAIXA Std Book" w:hAnsi="CAIXA Std Book"/>
                <w:b/>
                <w:color w:val="005CA9"/>
                <w:sz w:val="16"/>
                <w:szCs w:val="16"/>
              </w:rPr>
            </w:pPr>
            <w:r w:rsidRPr="007818E0">
              <w:rPr>
                <w:rFonts w:ascii="CAIXA Std Book" w:hAnsi="CAIXA Std Book"/>
                <w:color w:val="005CA9"/>
                <w:sz w:val="16"/>
                <w:szCs w:val="16"/>
              </w:rPr>
              <w:t>01 a 30 dias</w:t>
            </w:r>
          </w:p>
        </w:tc>
        <w:tc>
          <w:tcPr>
            <w:tcW w:w="388" w:type="pct"/>
            <w:tcBorders>
              <w:top w:val="nil"/>
              <w:left w:val="nil"/>
              <w:bottom w:val="nil"/>
              <w:right w:val="nil"/>
            </w:tcBorders>
            <w:shd w:val="clear" w:color="auto" w:fill="auto"/>
            <w:noWrap/>
            <w:vAlign w:val="center"/>
          </w:tcPr>
          <w:p w14:paraId="716F99C8"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616B7A9A" w14:textId="77777777" w:rsidR="00870710" w:rsidRPr="007818E0" w:rsidRDefault="00870710" w:rsidP="00870710">
            <w:pPr>
              <w:jc w:val="center"/>
              <w:rPr>
                <w:rFonts w:ascii="CAIXA Std Book" w:hAnsi="CAIXA Std Book" w:cs="Arial"/>
                <w:color w:val="005CA9"/>
                <w:sz w:val="16"/>
                <w:szCs w:val="16"/>
              </w:rPr>
            </w:pPr>
            <w:r w:rsidRPr="007818E0">
              <w:rPr>
                <w:rFonts w:ascii="CAIXA Std Book" w:hAnsi="CAIXA Std Book" w:cs="Arial"/>
                <w:color w:val="005CA9"/>
                <w:sz w:val="16"/>
                <w:szCs w:val="16"/>
              </w:rPr>
              <w:t>-</w:t>
            </w:r>
          </w:p>
        </w:tc>
        <w:tc>
          <w:tcPr>
            <w:tcW w:w="388" w:type="pct"/>
            <w:tcBorders>
              <w:top w:val="nil"/>
              <w:left w:val="nil"/>
              <w:bottom w:val="nil"/>
              <w:right w:val="nil"/>
            </w:tcBorders>
            <w:shd w:val="clear" w:color="auto" w:fill="auto"/>
            <w:noWrap/>
            <w:vAlign w:val="center"/>
          </w:tcPr>
          <w:p w14:paraId="734B43FA" w14:textId="7504DEC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738.836</w:t>
            </w:r>
          </w:p>
        </w:tc>
        <w:tc>
          <w:tcPr>
            <w:tcW w:w="388" w:type="pct"/>
            <w:tcBorders>
              <w:top w:val="nil"/>
              <w:left w:val="nil"/>
              <w:bottom w:val="nil"/>
              <w:right w:val="nil"/>
            </w:tcBorders>
            <w:shd w:val="clear" w:color="auto" w:fill="auto"/>
            <w:noWrap/>
            <w:vAlign w:val="center"/>
          </w:tcPr>
          <w:p w14:paraId="297BCC73" w14:textId="56E4521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763.525</w:t>
            </w:r>
          </w:p>
        </w:tc>
        <w:tc>
          <w:tcPr>
            <w:tcW w:w="384" w:type="pct"/>
            <w:tcBorders>
              <w:top w:val="nil"/>
              <w:left w:val="nil"/>
              <w:bottom w:val="nil"/>
              <w:right w:val="nil"/>
            </w:tcBorders>
            <w:shd w:val="clear" w:color="auto" w:fill="auto"/>
            <w:noWrap/>
            <w:vAlign w:val="center"/>
          </w:tcPr>
          <w:p w14:paraId="0D5F30B8" w14:textId="102DFA5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446.802</w:t>
            </w:r>
          </w:p>
        </w:tc>
        <w:tc>
          <w:tcPr>
            <w:tcW w:w="389" w:type="pct"/>
            <w:tcBorders>
              <w:top w:val="nil"/>
              <w:left w:val="nil"/>
              <w:bottom w:val="nil"/>
              <w:right w:val="nil"/>
            </w:tcBorders>
            <w:shd w:val="clear" w:color="auto" w:fill="auto"/>
            <w:noWrap/>
            <w:vAlign w:val="center"/>
          </w:tcPr>
          <w:p w14:paraId="17DCCDA0" w14:textId="4EE8FDF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371.999</w:t>
            </w:r>
          </w:p>
        </w:tc>
        <w:tc>
          <w:tcPr>
            <w:tcW w:w="387" w:type="pct"/>
            <w:tcBorders>
              <w:top w:val="nil"/>
              <w:left w:val="nil"/>
              <w:bottom w:val="nil"/>
              <w:right w:val="nil"/>
            </w:tcBorders>
            <w:shd w:val="clear" w:color="auto" w:fill="auto"/>
            <w:noWrap/>
            <w:vAlign w:val="center"/>
          </w:tcPr>
          <w:p w14:paraId="0CC9313E" w14:textId="5B6304CE"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336.267</w:t>
            </w:r>
          </w:p>
        </w:tc>
        <w:tc>
          <w:tcPr>
            <w:tcW w:w="388" w:type="pct"/>
            <w:tcBorders>
              <w:top w:val="nil"/>
              <w:left w:val="nil"/>
              <w:bottom w:val="nil"/>
              <w:right w:val="nil"/>
            </w:tcBorders>
            <w:shd w:val="clear" w:color="auto" w:fill="auto"/>
            <w:noWrap/>
            <w:vAlign w:val="center"/>
          </w:tcPr>
          <w:p w14:paraId="1D72E141" w14:textId="00BC2F2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106.467</w:t>
            </w:r>
          </w:p>
        </w:tc>
        <w:tc>
          <w:tcPr>
            <w:tcW w:w="388" w:type="pct"/>
            <w:tcBorders>
              <w:top w:val="nil"/>
              <w:left w:val="nil"/>
              <w:bottom w:val="nil"/>
              <w:right w:val="nil"/>
            </w:tcBorders>
            <w:shd w:val="clear" w:color="auto" w:fill="auto"/>
            <w:noWrap/>
            <w:vAlign w:val="center"/>
          </w:tcPr>
          <w:p w14:paraId="5B384A43" w14:textId="4E699640"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440.691</w:t>
            </w:r>
          </w:p>
        </w:tc>
        <w:tc>
          <w:tcPr>
            <w:tcW w:w="441" w:type="pct"/>
            <w:tcBorders>
              <w:top w:val="nil"/>
              <w:left w:val="nil"/>
              <w:bottom w:val="nil"/>
              <w:right w:val="nil"/>
            </w:tcBorders>
            <w:vAlign w:val="center"/>
          </w:tcPr>
          <w:p w14:paraId="1985C967" w14:textId="43B6001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3.204.587</w:t>
            </w:r>
          </w:p>
        </w:tc>
        <w:tc>
          <w:tcPr>
            <w:tcW w:w="429" w:type="pct"/>
            <w:tcBorders>
              <w:top w:val="nil"/>
              <w:left w:val="nil"/>
              <w:bottom w:val="nil"/>
              <w:right w:val="nil"/>
            </w:tcBorders>
            <w:shd w:val="clear" w:color="auto" w:fill="auto"/>
            <w:noWrap/>
            <w:vAlign w:val="center"/>
          </w:tcPr>
          <w:p w14:paraId="3C8C3ED3" w14:textId="071E06E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2.446.902</w:t>
            </w:r>
          </w:p>
        </w:tc>
      </w:tr>
      <w:tr w:rsidR="00870710" w:rsidRPr="007818E0" w14:paraId="65488399" w14:textId="77777777" w:rsidTr="00EC1615">
        <w:trPr>
          <w:trHeight w:val="255"/>
        </w:trPr>
        <w:tc>
          <w:tcPr>
            <w:tcW w:w="643" w:type="pct"/>
            <w:tcBorders>
              <w:top w:val="nil"/>
              <w:left w:val="nil"/>
              <w:bottom w:val="nil"/>
              <w:right w:val="nil"/>
            </w:tcBorders>
            <w:shd w:val="clear" w:color="auto" w:fill="auto"/>
            <w:noWrap/>
            <w:vAlign w:val="center"/>
            <w:hideMark/>
          </w:tcPr>
          <w:p w14:paraId="66598337"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31 a 60 dias</w:t>
            </w:r>
          </w:p>
        </w:tc>
        <w:tc>
          <w:tcPr>
            <w:tcW w:w="388" w:type="pct"/>
            <w:tcBorders>
              <w:top w:val="nil"/>
              <w:left w:val="nil"/>
              <w:bottom w:val="nil"/>
              <w:right w:val="nil"/>
            </w:tcBorders>
            <w:shd w:val="clear" w:color="auto" w:fill="auto"/>
            <w:noWrap/>
            <w:vAlign w:val="center"/>
          </w:tcPr>
          <w:p w14:paraId="130BC933"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46325270" w14:textId="77777777" w:rsidR="00870710" w:rsidRPr="007818E0" w:rsidRDefault="00870710" w:rsidP="00870710">
            <w:pPr>
              <w:jc w:val="center"/>
              <w:rPr>
                <w:rFonts w:ascii="CAIXA Std Book" w:hAnsi="CAIXA Std Book" w:cs="Arial"/>
                <w:color w:val="005CA9"/>
                <w:sz w:val="16"/>
                <w:szCs w:val="16"/>
              </w:rPr>
            </w:pPr>
            <w:r w:rsidRPr="007818E0">
              <w:rPr>
                <w:rFonts w:ascii="CAIXA Std Book" w:hAnsi="CAIXA Std Book" w:cs="Arial"/>
                <w:color w:val="005CA9"/>
                <w:sz w:val="16"/>
                <w:szCs w:val="16"/>
              </w:rPr>
              <w:t>-</w:t>
            </w:r>
          </w:p>
        </w:tc>
        <w:tc>
          <w:tcPr>
            <w:tcW w:w="388" w:type="pct"/>
            <w:tcBorders>
              <w:top w:val="nil"/>
              <w:left w:val="nil"/>
              <w:bottom w:val="nil"/>
              <w:right w:val="nil"/>
            </w:tcBorders>
            <w:shd w:val="clear" w:color="auto" w:fill="auto"/>
            <w:noWrap/>
            <w:vAlign w:val="center"/>
          </w:tcPr>
          <w:p w14:paraId="13917346" w14:textId="382EA52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229.742</w:t>
            </w:r>
          </w:p>
        </w:tc>
        <w:tc>
          <w:tcPr>
            <w:tcW w:w="388" w:type="pct"/>
            <w:tcBorders>
              <w:top w:val="nil"/>
              <w:left w:val="nil"/>
              <w:bottom w:val="nil"/>
              <w:right w:val="nil"/>
            </w:tcBorders>
            <w:shd w:val="clear" w:color="auto" w:fill="auto"/>
            <w:noWrap/>
            <w:vAlign w:val="center"/>
          </w:tcPr>
          <w:p w14:paraId="4DFFFD13" w14:textId="7081F25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762.849</w:t>
            </w:r>
          </w:p>
        </w:tc>
        <w:tc>
          <w:tcPr>
            <w:tcW w:w="384" w:type="pct"/>
            <w:tcBorders>
              <w:top w:val="nil"/>
              <w:left w:val="nil"/>
              <w:bottom w:val="nil"/>
              <w:right w:val="nil"/>
            </w:tcBorders>
            <w:shd w:val="clear" w:color="auto" w:fill="auto"/>
            <w:noWrap/>
            <w:vAlign w:val="center"/>
          </w:tcPr>
          <w:p w14:paraId="709CA807" w14:textId="443A4659"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304.074</w:t>
            </w:r>
          </w:p>
        </w:tc>
        <w:tc>
          <w:tcPr>
            <w:tcW w:w="389" w:type="pct"/>
            <w:tcBorders>
              <w:top w:val="nil"/>
              <w:left w:val="nil"/>
              <w:bottom w:val="nil"/>
              <w:right w:val="nil"/>
            </w:tcBorders>
            <w:shd w:val="clear" w:color="auto" w:fill="auto"/>
            <w:noWrap/>
            <w:vAlign w:val="center"/>
          </w:tcPr>
          <w:p w14:paraId="44E7047C" w14:textId="0AA9A94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392.147</w:t>
            </w:r>
          </w:p>
        </w:tc>
        <w:tc>
          <w:tcPr>
            <w:tcW w:w="387" w:type="pct"/>
            <w:tcBorders>
              <w:top w:val="nil"/>
              <w:left w:val="nil"/>
              <w:bottom w:val="nil"/>
              <w:right w:val="nil"/>
            </w:tcBorders>
            <w:shd w:val="clear" w:color="auto" w:fill="auto"/>
            <w:noWrap/>
            <w:vAlign w:val="center"/>
          </w:tcPr>
          <w:p w14:paraId="6DA3F145" w14:textId="29CF3C8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303.525</w:t>
            </w:r>
          </w:p>
        </w:tc>
        <w:tc>
          <w:tcPr>
            <w:tcW w:w="388" w:type="pct"/>
            <w:tcBorders>
              <w:top w:val="nil"/>
              <w:left w:val="nil"/>
              <w:bottom w:val="nil"/>
              <w:right w:val="nil"/>
            </w:tcBorders>
            <w:shd w:val="clear" w:color="auto" w:fill="auto"/>
            <w:noWrap/>
            <w:vAlign w:val="center"/>
          </w:tcPr>
          <w:p w14:paraId="456BD74E" w14:textId="0E51713E"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85.131</w:t>
            </w:r>
          </w:p>
        </w:tc>
        <w:tc>
          <w:tcPr>
            <w:tcW w:w="388" w:type="pct"/>
            <w:tcBorders>
              <w:top w:val="nil"/>
              <w:left w:val="nil"/>
              <w:bottom w:val="nil"/>
              <w:right w:val="nil"/>
            </w:tcBorders>
            <w:shd w:val="clear" w:color="auto" w:fill="auto"/>
            <w:noWrap/>
            <w:vAlign w:val="center"/>
          </w:tcPr>
          <w:p w14:paraId="552FB343" w14:textId="6572107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372.999</w:t>
            </w:r>
          </w:p>
        </w:tc>
        <w:tc>
          <w:tcPr>
            <w:tcW w:w="441" w:type="pct"/>
            <w:tcBorders>
              <w:top w:val="nil"/>
              <w:left w:val="nil"/>
              <w:bottom w:val="nil"/>
              <w:right w:val="nil"/>
            </w:tcBorders>
            <w:vAlign w:val="center"/>
          </w:tcPr>
          <w:p w14:paraId="21FCE8B5" w14:textId="63EEA73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2.450.467</w:t>
            </w:r>
          </w:p>
        </w:tc>
        <w:tc>
          <w:tcPr>
            <w:tcW w:w="429" w:type="pct"/>
            <w:tcBorders>
              <w:top w:val="nil"/>
              <w:left w:val="nil"/>
              <w:bottom w:val="nil"/>
              <w:right w:val="nil"/>
            </w:tcBorders>
            <w:shd w:val="clear" w:color="auto" w:fill="auto"/>
            <w:noWrap/>
            <w:vAlign w:val="center"/>
          </w:tcPr>
          <w:p w14:paraId="7E7839A6" w14:textId="25FC73D0"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1.682.101</w:t>
            </w:r>
          </w:p>
        </w:tc>
      </w:tr>
      <w:tr w:rsidR="00870710" w:rsidRPr="007818E0" w14:paraId="1DF3F2DC" w14:textId="77777777" w:rsidTr="00EC1615">
        <w:trPr>
          <w:trHeight w:val="255"/>
        </w:trPr>
        <w:tc>
          <w:tcPr>
            <w:tcW w:w="643" w:type="pct"/>
            <w:tcBorders>
              <w:top w:val="nil"/>
              <w:left w:val="nil"/>
              <w:bottom w:val="nil"/>
              <w:right w:val="nil"/>
            </w:tcBorders>
            <w:shd w:val="clear" w:color="auto" w:fill="auto"/>
            <w:noWrap/>
            <w:vAlign w:val="center"/>
            <w:hideMark/>
          </w:tcPr>
          <w:p w14:paraId="29ED6CCF"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61 a 90 dias</w:t>
            </w:r>
          </w:p>
        </w:tc>
        <w:tc>
          <w:tcPr>
            <w:tcW w:w="388" w:type="pct"/>
            <w:tcBorders>
              <w:top w:val="nil"/>
              <w:left w:val="nil"/>
              <w:bottom w:val="nil"/>
              <w:right w:val="nil"/>
            </w:tcBorders>
            <w:shd w:val="clear" w:color="auto" w:fill="auto"/>
            <w:noWrap/>
            <w:vAlign w:val="center"/>
          </w:tcPr>
          <w:p w14:paraId="14740E14"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434CD6AE"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75D49AA3" w14:textId="0FED43A2" w:rsidR="00870710" w:rsidRPr="007818E0" w:rsidRDefault="00E5625D" w:rsidP="00E5625D">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783D5FB7" w14:textId="6BC2516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158.412</w:t>
            </w:r>
          </w:p>
        </w:tc>
        <w:tc>
          <w:tcPr>
            <w:tcW w:w="384" w:type="pct"/>
            <w:tcBorders>
              <w:top w:val="nil"/>
              <w:left w:val="nil"/>
              <w:bottom w:val="nil"/>
              <w:right w:val="nil"/>
            </w:tcBorders>
            <w:shd w:val="clear" w:color="auto" w:fill="auto"/>
            <w:noWrap/>
            <w:vAlign w:val="center"/>
          </w:tcPr>
          <w:p w14:paraId="658DDD19" w14:textId="18B9B3A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390.362</w:t>
            </w:r>
          </w:p>
        </w:tc>
        <w:tc>
          <w:tcPr>
            <w:tcW w:w="389" w:type="pct"/>
            <w:tcBorders>
              <w:top w:val="nil"/>
              <w:left w:val="nil"/>
              <w:bottom w:val="nil"/>
              <w:right w:val="nil"/>
            </w:tcBorders>
            <w:shd w:val="clear" w:color="auto" w:fill="auto"/>
            <w:noWrap/>
            <w:vAlign w:val="center"/>
          </w:tcPr>
          <w:p w14:paraId="0E67FE66" w14:textId="272D382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372.618</w:t>
            </w:r>
          </w:p>
        </w:tc>
        <w:tc>
          <w:tcPr>
            <w:tcW w:w="387" w:type="pct"/>
            <w:tcBorders>
              <w:top w:val="nil"/>
              <w:left w:val="nil"/>
              <w:bottom w:val="nil"/>
              <w:right w:val="nil"/>
            </w:tcBorders>
            <w:shd w:val="clear" w:color="auto" w:fill="auto"/>
            <w:noWrap/>
            <w:vAlign w:val="center"/>
          </w:tcPr>
          <w:p w14:paraId="46973B43" w14:textId="0CD0E68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276.775</w:t>
            </w:r>
          </w:p>
        </w:tc>
        <w:tc>
          <w:tcPr>
            <w:tcW w:w="388" w:type="pct"/>
            <w:tcBorders>
              <w:top w:val="nil"/>
              <w:left w:val="nil"/>
              <w:bottom w:val="nil"/>
              <w:right w:val="nil"/>
            </w:tcBorders>
            <w:shd w:val="clear" w:color="auto" w:fill="auto"/>
            <w:noWrap/>
            <w:vAlign w:val="center"/>
          </w:tcPr>
          <w:p w14:paraId="32C959A0" w14:textId="452863C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80.836</w:t>
            </w:r>
          </w:p>
        </w:tc>
        <w:tc>
          <w:tcPr>
            <w:tcW w:w="388" w:type="pct"/>
            <w:tcBorders>
              <w:top w:val="nil"/>
              <w:left w:val="nil"/>
              <w:bottom w:val="nil"/>
              <w:right w:val="nil"/>
            </w:tcBorders>
            <w:shd w:val="clear" w:color="auto" w:fill="auto"/>
            <w:noWrap/>
            <w:vAlign w:val="center"/>
          </w:tcPr>
          <w:p w14:paraId="71801242" w14:textId="398936AB"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349.342</w:t>
            </w:r>
          </w:p>
        </w:tc>
        <w:tc>
          <w:tcPr>
            <w:tcW w:w="441" w:type="pct"/>
            <w:tcBorders>
              <w:top w:val="nil"/>
              <w:left w:val="nil"/>
              <w:bottom w:val="nil"/>
              <w:right w:val="nil"/>
            </w:tcBorders>
            <w:vAlign w:val="center"/>
          </w:tcPr>
          <w:p w14:paraId="59496496" w14:textId="60030261"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1.628.345</w:t>
            </w:r>
          </w:p>
        </w:tc>
        <w:tc>
          <w:tcPr>
            <w:tcW w:w="429" w:type="pct"/>
            <w:tcBorders>
              <w:top w:val="nil"/>
              <w:left w:val="nil"/>
              <w:bottom w:val="nil"/>
              <w:right w:val="nil"/>
            </w:tcBorders>
            <w:shd w:val="clear" w:color="auto" w:fill="auto"/>
            <w:noWrap/>
            <w:vAlign w:val="center"/>
          </w:tcPr>
          <w:p w14:paraId="6FA4BD02" w14:textId="60F3B180"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1.162.926</w:t>
            </w:r>
          </w:p>
        </w:tc>
      </w:tr>
      <w:tr w:rsidR="00870710" w:rsidRPr="007818E0" w14:paraId="605C5C73" w14:textId="77777777" w:rsidTr="00EC1615">
        <w:trPr>
          <w:trHeight w:val="255"/>
        </w:trPr>
        <w:tc>
          <w:tcPr>
            <w:tcW w:w="643" w:type="pct"/>
            <w:tcBorders>
              <w:top w:val="nil"/>
              <w:left w:val="nil"/>
              <w:bottom w:val="nil"/>
              <w:right w:val="nil"/>
            </w:tcBorders>
            <w:shd w:val="clear" w:color="auto" w:fill="auto"/>
            <w:noWrap/>
            <w:vAlign w:val="center"/>
            <w:hideMark/>
          </w:tcPr>
          <w:p w14:paraId="32B8A296"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91 a 180 dias</w:t>
            </w:r>
          </w:p>
        </w:tc>
        <w:tc>
          <w:tcPr>
            <w:tcW w:w="388" w:type="pct"/>
            <w:tcBorders>
              <w:top w:val="nil"/>
              <w:left w:val="nil"/>
              <w:bottom w:val="nil"/>
              <w:right w:val="nil"/>
            </w:tcBorders>
            <w:shd w:val="clear" w:color="auto" w:fill="auto"/>
            <w:noWrap/>
            <w:vAlign w:val="center"/>
          </w:tcPr>
          <w:p w14:paraId="704224F6"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3490F4B8"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3808FA5B" w14:textId="6E7F2F4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w:t>
            </w:r>
          </w:p>
        </w:tc>
        <w:tc>
          <w:tcPr>
            <w:tcW w:w="388" w:type="pct"/>
            <w:tcBorders>
              <w:top w:val="nil"/>
              <w:left w:val="nil"/>
              <w:bottom w:val="nil"/>
              <w:right w:val="nil"/>
            </w:tcBorders>
            <w:shd w:val="clear" w:color="auto" w:fill="auto"/>
            <w:noWrap/>
            <w:vAlign w:val="center"/>
          </w:tcPr>
          <w:p w14:paraId="4B7941C9" w14:textId="2045DA8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47.175</w:t>
            </w:r>
          </w:p>
        </w:tc>
        <w:tc>
          <w:tcPr>
            <w:tcW w:w="384" w:type="pct"/>
            <w:tcBorders>
              <w:top w:val="nil"/>
              <w:left w:val="nil"/>
              <w:bottom w:val="nil"/>
              <w:right w:val="nil"/>
            </w:tcBorders>
            <w:shd w:val="clear" w:color="auto" w:fill="auto"/>
            <w:noWrap/>
            <w:vAlign w:val="center"/>
          </w:tcPr>
          <w:p w14:paraId="05DD95DD" w14:textId="32DCA91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113.080</w:t>
            </w:r>
          </w:p>
        </w:tc>
        <w:tc>
          <w:tcPr>
            <w:tcW w:w="389" w:type="pct"/>
            <w:tcBorders>
              <w:top w:val="nil"/>
              <w:left w:val="nil"/>
              <w:bottom w:val="nil"/>
              <w:right w:val="nil"/>
            </w:tcBorders>
            <w:shd w:val="clear" w:color="auto" w:fill="auto"/>
            <w:noWrap/>
            <w:vAlign w:val="center"/>
          </w:tcPr>
          <w:p w14:paraId="20CAEA99" w14:textId="564F6E22"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521.902</w:t>
            </w:r>
          </w:p>
        </w:tc>
        <w:tc>
          <w:tcPr>
            <w:tcW w:w="387" w:type="pct"/>
            <w:tcBorders>
              <w:top w:val="nil"/>
              <w:left w:val="nil"/>
              <w:bottom w:val="nil"/>
              <w:right w:val="nil"/>
            </w:tcBorders>
            <w:shd w:val="clear" w:color="auto" w:fill="auto"/>
            <w:noWrap/>
            <w:vAlign w:val="center"/>
          </w:tcPr>
          <w:p w14:paraId="2396A29C" w14:textId="4040F09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636.045</w:t>
            </w:r>
          </w:p>
        </w:tc>
        <w:tc>
          <w:tcPr>
            <w:tcW w:w="388" w:type="pct"/>
            <w:tcBorders>
              <w:top w:val="nil"/>
              <w:left w:val="nil"/>
              <w:bottom w:val="nil"/>
              <w:right w:val="nil"/>
            </w:tcBorders>
            <w:shd w:val="clear" w:color="auto" w:fill="auto"/>
            <w:noWrap/>
            <w:vAlign w:val="center"/>
          </w:tcPr>
          <w:p w14:paraId="64E908E5" w14:textId="165A62FE"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618.297</w:t>
            </w:r>
          </w:p>
        </w:tc>
        <w:tc>
          <w:tcPr>
            <w:tcW w:w="388" w:type="pct"/>
            <w:tcBorders>
              <w:top w:val="nil"/>
              <w:left w:val="nil"/>
              <w:bottom w:val="nil"/>
              <w:right w:val="nil"/>
            </w:tcBorders>
            <w:shd w:val="clear" w:color="auto" w:fill="auto"/>
            <w:noWrap/>
            <w:vAlign w:val="center"/>
          </w:tcPr>
          <w:p w14:paraId="5B072B4E" w14:textId="24945C1A"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837.522</w:t>
            </w:r>
          </w:p>
        </w:tc>
        <w:tc>
          <w:tcPr>
            <w:tcW w:w="441" w:type="pct"/>
            <w:tcBorders>
              <w:top w:val="nil"/>
              <w:left w:val="nil"/>
              <w:bottom w:val="nil"/>
              <w:right w:val="nil"/>
            </w:tcBorders>
            <w:vAlign w:val="center"/>
          </w:tcPr>
          <w:p w14:paraId="3D1541AD" w14:textId="6A9E234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2.774.024</w:t>
            </w:r>
          </w:p>
        </w:tc>
        <w:tc>
          <w:tcPr>
            <w:tcW w:w="429" w:type="pct"/>
            <w:tcBorders>
              <w:top w:val="nil"/>
              <w:left w:val="nil"/>
              <w:bottom w:val="nil"/>
              <w:right w:val="nil"/>
            </w:tcBorders>
            <w:shd w:val="clear" w:color="auto" w:fill="auto"/>
            <w:noWrap/>
            <w:vAlign w:val="center"/>
          </w:tcPr>
          <w:p w14:paraId="73856ABA" w14:textId="7FED6B84"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2.155.463</w:t>
            </w:r>
          </w:p>
        </w:tc>
      </w:tr>
      <w:tr w:rsidR="00870710" w:rsidRPr="007818E0" w14:paraId="35FF4B32" w14:textId="77777777" w:rsidTr="00EC1615">
        <w:trPr>
          <w:trHeight w:val="255"/>
        </w:trPr>
        <w:tc>
          <w:tcPr>
            <w:tcW w:w="643" w:type="pct"/>
            <w:tcBorders>
              <w:top w:val="nil"/>
              <w:left w:val="nil"/>
              <w:bottom w:val="nil"/>
              <w:right w:val="nil"/>
            </w:tcBorders>
            <w:shd w:val="clear" w:color="auto" w:fill="auto"/>
            <w:noWrap/>
            <w:vAlign w:val="center"/>
            <w:hideMark/>
          </w:tcPr>
          <w:p w14:paraId="5253A3C8"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181 a 360 dias</w:t>
            </w:r>
          </w:p>
        </w:tc>
        <w:tc>
          <w:tcPr>
            <w:tcW w:w="388" w:type="pct"/>
            <w:tcBorders>
              <w:top w:val="nil"/>
              <w:left w:val="nil"/>
              <w:bottom w:val="nil"/>
              <w:right w:val="nil"/>
            </w:tcBorders>
            <w:shd w:val="clear" w:color="auto" w:fill="auto"/>
            <w:noWrap/>
            <w:vAlign w:val="center"/>
          </w:tcPr>
          <w:p w14:paraId="6DBF2118"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58659612" w14:textId="77777777"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4C3B1039" w14:textId="1DA9D216" w:rsidR="00870710" w:rsidRPr="007818E0" w:rsidRDefault="00E5625D" w:rsidP="00E5625D">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10EA32D3" w14:textId="355A965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19</w:t>
            </w:r>
          </w:p>
        </w:tc>
        <w:tc>
          <w:tcPr>
            <w:tcW w:w="384" w:type="pct"/>
            <w:tcBorders>
              <w:top w:val="nil"/>
              <w:left w:val="nil"/>
              <w:bottom w:val="nil"/>
              <w:right w:val="nil"/>
            </w:tcBorders>
            <w:shd w:val="clear" w:color="auto" w:fill="auto"/>
            <w:noWrap/>
            <w:vAlign w:val="center"/>
          </w:tcPr>
          <w:p w14:paraId="03AC9382" w14:textId="6F45FFE3"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140</w:t>
            </w:r>
          </w:p>
        </w:tc>
        <w:tc>
          <w:tcPr>
            <w:tcW w:w="389" w:type="pct"/>
            <w:tcBorders>
              <w:top w:val="nil"/>
              <w:left w:val="nil"/>
              <w:bottom w:val="nil"/>
              <w:right w:val="nil"/>
            </w:tcBorders>
            <w:shd w:val="clear" w:color="auto" w:fill="auto"/>
            <w:noWrap/>
            <w:vAlign w:val="center"/>
          </w:tcPr>
          <w:p w14:paraId="0EA3A750" w14:textId="6B768C7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54.434</w:t>
            </w:r>
          </w:p>
        </w:tc>
        <w:tc>
          <w:tcPr>
            <w:tcW w:w="387" w:type="pct"/>
            <w:tcBorders>
              <w:top w:val="nil"/>
              <w:left w:val="nil"/>
              <w:bottom w:val="nil"/>
              <w:right w:val="nil"/>
            </w:tcBorders>
            <w:shd w:val="clear" w:color="auto" w:fill="auto"/>
            <w:noWrap/>
            <w:vAlign w:val="center"/>
          </w:tcPr>
          <w:p w14:paraId="37566DAC" w14:textId="3DF7ABBD"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72.551</w:t>
            </w:r>
          </w:p>
        </w:tc>
        <w:tc>
          <w:tcPr>
            <w:tcW w:w="388" w:type="pct"/>
            <w:tcBorders>
              <w:top w:val="nil"/>
              <w:left w:val="nil"/>
              <w:bottom w:val="nil"/>
              <w:right w:val="nil"/>
            </w:tcBorders>
            <w:shd w:val="clear" w:color="auto" w:fill="auto"/>
            <w:noWrap/>
            <w:vAlign w:val="center"/>
          </w:tcPr>
          <w:p w14:paraId="09BA2F83" w14:textId="61844AE6"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90.181</w:t>
            </w:r>
          </w:p>
        </w:tc>
        <w:tc>
          <w:tcPr>
            <w:tcW w:w="388" w:type="pct"/>
            <w:tcBorders>
              <w:top w:val="nil"/>
              <w:left w:val="nil"/>
              <w:bottom w:val="nil"/>
              <w:right w:val="nil"/>
            </w:tcBorders>
            <w:shd w:val="clear" w:color="auto" w:fill="auto"/>
            <w:noWrap/>
            <w:vAlign w:val="center"/>
          </w:tcPr>
          <w:p w14:paraId="46BD67C4" w14:textId="2B3A4035"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2.568.395</w:t>
            </w:r>
          </w:p>
        </w:tc>
        <w:tc>
          <w:tcPr>
            <w:tcW w:w="441" w:type="pct"/>
            <w:tcBorders>
              <w:top w:val="nil"/>
              <w:left w:val="nil"/>
              <w:bottom w:val="nil"/>
              <w:right w:val="nil"/>
            </w:tcBorders>
            <w:vAlign w:val="center"/>
          </w:tcPr>
          <w:p w14:paraId="6B42A65D" w14:textId="74BE053F"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2.785.720</w:t>
            </w:r>
          </w:p>
        </w:tc>
        <w:tc>
          <w:tcPr>
            <w:tcW w:w="429" w:type="pct"/>
            <w:tcBorders>
              <w:top w:val="nil"/>
              <w:left w:val="nil"/>
              <w:bottom w:val="nil"/>
              <w:right w:val="nil"/>
            </w:tcBorders>
            <w:shd w:val="clear" w:color="auto" w:fill="auto"/>
            <w:noWrap/>
            <w:vAlign w:val="center"/>
          </w:tcPr>
          <w:p w14:paraId="76F527A8" w14:textId="524295FF"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3.038.355</w:t>
            </w:r>
          </w:p>
        </w:tc>
      </w:tr>
      <w:tr w:rsidR="00870710" w:rsidRPr="007818E0" w14:paraId="73F4DEA0" w14:textId="77777777" w:rsidTr="00EC1615">
        <w:trPr>
          <w:trHeight w:val="255"/>
        </w:trPr>
        <w:tc>
          <w:tcPr>
            <w:tcW w:w="643" w:type="pct"/>
            <w:tcBorders>
              <w:top w:val="nil"/>
              <w:left w:val="nil"/>
              <w:bottom w:val="nil"/>
              <w:right w:val="nil"/>
            </w:tcBorders>
            <w:shd w:val="clear" w:color="auto" w:fill="auto"/>
            <w:noWrap/>
            <w:vAlign w:val="center"/>
            <w:hideMark/>
          </w:tcPr>
          <w:p w14:paraId="1DF49E0C" w14:textId="77777777" w:rsidR="00870710" w:rsidRPr="007818E0" w:rsidRDefault="00870710" w:rsidP="00870710">
            <w:pPr>
              <w:rPr>
                <w:rFonts w:ascii="CAIXA Std Book" w:hAnsi="CAIXA Std Book"/>
                <w:color w:val="005CA9"/>
                <w:sz w:val="16"/>
                <w:szCs w:val="16"/>
              </w:rPr>
            </w:pPr>
            <w:r w:rsidRPr="007818E0">
              <w:rPr>
                <w:rFonts w:ascii="CAIXA Std Book" w:hAnsi="CAIXA Std Book"/>
                <w:color w:val="005CA9"/>
                <w:sz w:val="16"/>
                <w:szCs w:val="16"/>
              </w:rPr>
              <w:t>Acima de 360 dias</w:t>
            </w:r>
          </w:p>
        </w:tc>
        <w:tc>
          <w:tcPr>
            <w:tcW w:w="388" w:type="pct"/>
            <w:tcBorders>
              <w:top w:val="nil"/>
              <w:left w:val="nil"/>
              <w:bottom w:val="nil"/>
              <w:right w:val="nil"/>
            </w:tcBorders>
            <w:shd w:val="clear" w:color="auto" w:fill="auto"/>
            <w:noWrap/>
            <w:vAlign w:val="center"/>
          </w:tcPr>
          <w:p w14:paraId="4C6006E1" w14:textId="501F7CE2" w:rsidR="00870710" w:rsidRPr="007818E0" w:rsidRDefault="00870710" w:rsidP="00870710">
            <w:pPr>
              <w:jc w:val="center"/>
              <w:rPr>
                <w:rFonts w:ascii="CAIXA Std Book" w:hAnsi="CAIXA Std Book"/>
                <w:color w:val="005CA9"/>
                <w:sz w:val="16"/>
                <w:szCs w:val="16"/>
              </w:rPr>
            </w:pPr>
            <w:r w:rsidRPr="007818E0">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1AF4BB62" w14:textId="6306CD74" w:rsidR="00870710" w:rsidRPr="007818E0" w:rsidRDefault="00870710" w:rsidP="00870710">
            <w:pPr>
              <w:jc w:val="center"/>
              <w:rPr>
                <w:rFonts w:ascii="CAIXA Std Book" w:hAnsi="CAIXA Std Book"/>
                <w:color w:val="005CA9"/>
                <w:sz w:val="16"/>
                <w:szCs w:val="16"/>
              </w:rPr>
            </w:pPr>
            <w:r w:rsidRPr="007818E0">
              <w:rPr>
                <w:rFonts w:ascii="CAIXA Std Book" w:hAnsi="CAIXA Std Book" w:cs="Arial"/>
                <w:color w:val="005CA9"/>
                <w:sz w:val="16"/>
                <w:szCs w:val="16"/>
              </w:rPr>
              <w:t>-</w:t>
            </w:r>
          </w:p>
        </w:tc>
        <w:tc>
          <w:tcPr>
            <w:tcW w:w="388" w:type="pct"/>
            <w:tcBorders>
              <w:top w:val="nil"/>
              <w:left w:val="nil"/>
              <w:bottom w:val="nil"/>
              <w:right w:val="nil"/>
            </w:tcBorders>
            <w:shd w:val="clear" w:color="auto" w:fill="auto"/>
            <w:noWrap/>
            <w:vAlign w:val="center"/>
          </w:tcPr>
          <w:p w14:paraId="39C569AE" w14:textId="37D34463" w:rsidR="00870710" w:rsidRPr="007818E0" w:rsidRDefault="00E5625D"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65741233" w14:textId="3EF35378" w:rsidR="00870710" w:rsidRPr="007818E0" w:rsidRDefault="00E5625D"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4" w:type="pct"/>
            <w:tcBorders>
              <w:top w:val="nil"/>
              <w:left w:val="nil"/>
              <w:bottom w:val="nil"/>
              <w:right w:val="nil"/>
            </w:tcBorders>
            <w:shd w:val="clear" w:color="auto" w:fill="auto"/>
            <w:noWrap/>
            <w:vAlign w:val="center"/>
          </w:tcPr>
          <w:p w14:paraId="30EB0E23" w14:textId="17D603B4" w:rsidR="00870710" w:rsidRPr="007818E0" w:rsidRDefault="00E5625D"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9" w:type="pct"/>
            <w:tcBorders>
              <w:top w:val="nil"/>
              <w:left w:val="nil"/>
              <w:bottom w:val="nil"/>
              <w:right w:val="nil"/>
            </w:tcBorders>
            <w:shd w:val="clear" w:color="auto" w:fill="auto"/>
            <w:noWrap/>
            <w:vAlign w:val="center"/>
          </w:tcPr>
          <w:p w14:paraId="448A25DD" w14:textId="7F9BE2D5" w:rsidR="00870710" w:rsidRPr="007818E0" w:rsidRDefault="00CD7FAC"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nil"/>
              <w:left w:val="nil"/>
              <w:bottom w:val="nil"/>
              <w:right w:val="nil"/>
            </w:tcBorders>
            <w:shd w:val="clear" w:color="auto" w:fill="auto"/>
            <w:noWrap/>
            <w:vAlign w:val="center"/>
          </w:tcPr>
          <w:p w14:paraId="02DB5E43" w14:textId="07E0361F" w:rsidR="00870710" w:rsidRPr="007818E0" w:rsidRDefault="00CD7FAC"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34BBF50D" w14:textId="05D0126E" w:rsidR="00870710" w:rsidRPr="007818E0" w:rsidRDefault="00CD7FAC" w:rsidP="00CD7FAC">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8" w:type="pct"/>
            <w:tcBorders>
              <w:top w:val="nil"/>
              <w:left w:val="nil"/>
              <w:bottom w:val="nil"/>
              <w:right w:val="nil"/>
            </w:tcBorders>
            <w:shd w:val="clear" w:color="auto" w:fill="auto"/>
            <w:noWrap/>
            <w:vAlign w:val="center"/>
          </w:tcPr>
          <w:p w14:paraId="29B4BCDB" w14:textId="1737A907"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532.955</w:t>
            </w:r>
          </w:p>
        </w:tc>
        <w:tc>
          <w:tcPr>
            <w:tcW w:w="441" w:type="pct"/>
            <w:tcBorders>
              <w:top w:val="nil"/>
              <w:left w:val="nil"/>
              <w:bottom w:val="nil"/>
              <w:right w:val="nil"/>
            </w:tcBorders>
            <w:vAlign w:val="center"/>
          </w:tcPr>
          <w:p w14:paraId="15BDF2D4" w14:textId="4D5C3820"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532.955</w:t>
            </w:r>
          </w:p>
        </w:tc>
        <w:tc>
          <w:tcPr>
            <w:tcW w:w="429" w:type="pct"/>
            <w:tcBorders>
              <w:top w:val="nil"/>
              <w:left w:val="nil"/>
              <w:bottom w:val="nil"/>
              <w:right w:val="nil"/>
            </w:tcBorders>
            <w:shd w:val="clear" w:color="auto" w:fill="auto"/>
            <w:noWrap/>
            <w:vAlign w:val="center"/>
          </w:tcPr>
          <w:p w14:paraId="33197D9E" w14:textId="5F8138F8" w:rsidR="00870710" w:rsidRPr="007818E0" w:rsidRDefault="00870710" w:rsidP="00870710">
            <w:pPr>
              <w:jc w:val="right"/>
              <w:rPr>
                <w:rFonts w:ascii="CAIXA Std Book" w:hAnsi="CAIXA Std Book"/>
                <w:color w:val="005CA9"/>
                <w:sz w:val="16"/>
                <w:szCs w:val="16"/>
              </w:rPr>
            </w:pPr>
            <w:r w:rsidRPr="007818E0">
              <w:rPr>
                <w:rFonts w:ascii="CAIXA Std Book" w:hAnsi="CAIXA Std Book"/>
                <w:color w:val="005CA9"/>
                <w:sz w:val="16"/>
                <w:szCs w:val="16"/>
              </w:rPr>
              <w:t>351.618</w:t>
            </w:r>
          </w:p>
        </w:tc>
      </w:tr>
      <w:tr w:rsidR="00870710" w:rsidRPr="007818E0" w14:paraId="6A3C84B7" w14:textId="77777777" w:rsidTr="00EC1615">
        <w:trPr>
          <w:trHeight w:val="255"/>
        </w:trPr>
        <w:tc>
          <w:tcPr>
            <w:tcW w:w="643" w:type="pct"/>
            <w:tcBorders>
              <w:top w:val="single" w:sz="4" w:space="0" w:color="F39200"/>
              <w:left w:val="nil"/>
              <w:bottom w:val="single" w:sz="4" w:space="0" w:color="F39200"/>
              <w:right w:val="nil"/>
            </w:tcBorders>
            <w:shd w:val="clear" w:color="auto" w:fill="auto"/>
            <w:noWrap/>
            <w:vAlign w:val="center"/>
            <w:hideMark/>
          </w:tcPr>
          <w:p w14:paraId="140DA43A" w14:textId="77777777" w:rsidR="00870710" w:rsidRPr="007818E0" w:rsidRDefault="00870710" w:rsidP="00870710">
            <w:pPr>
              <w:rPr>
                <w:rFonts w:ascii="CAIXA Std Book" w:hAnsi="CAIXA Std Book"/>
                <w:b/>
                <w:color w:val="005CA9"/>
                <w:sz w:val="16"/>
                <w:szCs w:val="16"/>
              </w:rPr>
            </w:pPr>
            <w:r w:rsidRPr="007818E0">
              <w:rPr>
                <w:rFonts w:ascii="CAIXA Std Book" w:hAnsi="CAIXA Std Book"/>
                <w:b/>
                <w:color w:val="005CA9"/>
                <w:sz w:val="16"/>
                <w:szCs w:val="16"/>
              </w:rPr>
              <w:t>Total</w:t>
            </w:r>
          </w:p>
        </w:tc>
        <w:tc>
          <w:tcPr>
            <w:tcW w:w="388" w:type="pct"/>
            <w:tcBorders>
              <w:top w:val="single" w:sz="4" w:space="0" w:color="F39200"/>
              <w:left w:val="nil"/>
              <w:bottom w:val="single" w:sz="4" w:space="0" w:color="F39200"/>
              <w:right w:val="nil"/>
            </w:tcBorders>
            <w:shd w:val="clear" w:color="auto" w:fill="auto"/>
            <w:noWrap/>
            <w:vAlign w:val="center"/>
          </w:tcPr>
          <w:p w14:paraId="6A620189" w14:textId="752DAC0A" w:rsidR="00870710" w:rsidRPr="007818E0" w:rsidRDefault="00870710" w:rsidP="00870710">
            <w:pPr>
              <w:jc w:val="center"/>
              <w:rPr>
                <w:rFonts w:ascii="CAIXA Std Book" w:hAnsi="CAIXA Std Book"/>
                <w:color w:val="005CA9"/>
                <w:sz w:val="16"/>
                <w:szCs w:val="16"/>
              </w:rPr>
            </w:pPr>
            <w:r w:rsidRPr="007818E0">
              <w:rPr>
                <w:rFonts w:ascii="CAIXA Std Book" w:hAnsi="CAIXA Std Book"/>
                <w:color w:val="005CA9"/>
                <w:sz w:val="16"/>
                <w:szCs w:val="16"/>
              </w:rPr>
              <w:t>-</w:t>
            </w:r>
          </w:p>
        </w:tc>
        <w:tc>
          <w:tcPr>
            <w:tcW w:w="387" w:type="pct"/>
            <w:tcBorders>
              <w:top w:val="single" w:sz="4" w:space="0" w:color="F39200"/>
              <w:left w:val="nil"/>
              <w:bottom w:val="single" w:sz="4" w:space="0" w:color="F39200"/>
              <w:right w:val="nil"/>
            </w:tcBorders>
            <w:shd w:val="clear" w:color="auto" w:fill="auto"/>
            <w:noWrap/>
            <w:vAlign w:val="center"/>
          </w:tcPr>
          <w:p w14:paraId="4CE1D503" w14:textId="33FC5DCB" w:rsidR="00870710" w:rsidRPr="007818E0" w:rsidRDefault="00BC2DA7" w:rsidP="00870710">
            <w:pPr>
              <w:jc w:val="center"/>
              <w:rPr>
                <w:rFonts w:ascii="CAIXA Std Book" w:hAnsi="CAIXA Std Book" w:cs="Arial"/>
                <w:b/>
                <w:color w:val="005CA9"/>
                <w:sz w:val="16"/>
                <w:szCs w:val="16"/>
              </w:rPr>
            </w:pPr>
            <w:r w:rsidRPr="007818E0">
              <w:rPr>
                <w:rFonts w:ascii="CAIXA Std Book" w:hAnsi="CAIXA Std Book" w:cs="Arial"/>
                <w:b/>
                <w:color w:val="005CA9"/>
                <w:sz w:val="16"/>
                <w:szCs w:val="16"/>
              </w:rPr>
              <w:t>-</w:t>
            </w:r>
          </w:p>
        </w:tc>
        <w:tc>
          <w:tcPr>
            <w:tcW w:w="388" w:type="pct"/>
            <w:tcBorders>
              <w:top w:val="single" w:sz="4" w:space="0" w:color="F39200"/>
              <w:left w:val="nil"/>
              <w:bottom w:val="single" w:sz="4" w:space="0" w:color="F39200"/>
              <w:right w:val="nil"/>
            </w:tcBorders>
            <w:shd w:val="clear" w:color="auto" w:fill="auto"/>
            <w:noWrap/>
            <w:vAlign w:val="center"/>
          </w:tcPr>
          <w:p w14:paraId="0EB5B1AE" w14:textId="65E20182"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24.797.478</w:t>
            </w:r>
          </w:p>
        </w:tc>
        <w:tc>
          <w:tcPr>
            <w:tcW w:w="388" w:type="pct"/>
            <w:tcBorders>
              <w:top w:val="single" w:sz="4" w:space="0" w:color="F39200"/>
              <w:left w:val="nil"/>
              <w:bottom w:val="single" w:sz="4" w:space="0" w:color="F39200"/>
              <w:right w:val="nil"/>
            </w:tcBorders>
            <w:shd w:val="clear" w:color="auto" w:fill="auto"/>
            <w:noWrap/>
            <w:vAlign w:val="center"/>
          </w:tcPr>
          <w:p w14:paraId="6B6E0EAA" w14:textId="2A60C8EC"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33.579.458</w:t>
            </w:r>
          </w:p>
        </w:tc>
        <w:tc>
          <w:tcPr>
            <w:tcW w:w="384" w:type="pct"/>
            <w:tcBorders>
              <w:top w:val="single" w:sz="4" w:space="0" w:color="F39200"/>
              <w:left w:val="nil"/>
              <w:bottom w:val="single" w:sz="4" w:space="0" w:color="F39200"/>
              <w:right w:val="nil"/>
            </w:tcBorders>
            <w:shd w:val="clear" w:color="auto" w:fill="auto"/>
            <w:noWrap/>
            <w:vAlign w:val="center"/>
          </w:tcPr>
          <w:p w14:paraId="78358145" w14:textId="5E08C067"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9.419.536</w:t>
            </w:r>
          </w:p>
        </w:tc>
        <w:tc>
          <w:tcPr>
            <w:tcW w:w="389" w:type="pct"/>
            <w:tcBorders>
              <w:top w:val="single" w:sz="4" w:space="0" w:color="F39200"/>
              <w:left w:val="nil"/>
              <w:bottom w:val="single" w:sz="4" w:space="0" w:color="F39200"/>
              <w:right w:val="nil"/>
            </w:tcBorders>
            <w:shd w:val="clear" w:color="auto" w:fill="auto"/>
            <w:noWrap/>
            <w:vAlign w:val="center"/>
          </w:tcPr>
          <w:p w14:paraId="37AD3B76" w14:textId="10CA11E0"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8.683.429</w:t>
            </w:r>
          </w:p>
        </w:tc>
        <w:tc>
          <w:tcPr>
            <w:tcW w:w="387" w:type="pct"/>
            <w:tcBorders>
              <w:top w:val="single" w:sz="4" w:space="0" w:color="F39200"/>
              <w:left w:val="nil"/>
              <w:bottom w:val="single" w:sz="4" w:space="0" w:color="F39200"/>
              <w:right w:val="nil"/>
            </w:tcBorders>
            <w:shd w:val="clear" w:color="auto" w:fill="auto"/>
            <w:noWrap/>
            <w:vAlign w:val="center"/>
          </w:tcPr>
          <w:p w14:paraId="0BCF0067" w14:textId="331C8BC7"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5.932.894</w:t>
            </w:r>
          </w:p>
        </w:tc>
        <w:tc>
          <w:tcPr>
            <w:tcW w:w="388" w:type="pct"/>
            <w:tcBorders>
              <w:top w:val="single" w:sz="4" w:space="0" w:color="F39200"/>
              <w:left w:val="nil"/>
              <w:bottom w:val="single" w:sz="4" w:space="0" w:color="F39200"/>
              <w:right w:val="nil"/>
            </w:tcBorders>
            <w:shd w:val="clear" w:color="auto" w:fill="auto"/>
            <w:noWrap/>
            <w:vAlign w:val="center"/>
          </w:tcPr>
          <w:p w14:paraId="1F4F1D6D" w14:textId="692B1D1E"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3.346.087</w:t>
            </w:r>
          </w:p>
        </w:tc>
        <w:tc>
          <w:tcPr>
            <w:tcW w:w="388" w:type="pct"/>
            <w:tcBorders>
              <w:top w:val="single" w:sz="4" w:space="0" w:color="F39200"/>
              <w:left w:val="nil"/>
              <w:bottom w:val="single" w:sz="4" w:space="0" w:color="F39200"/>
              <w:right w:val="nil"/>
            </w:tcBorders>
            <w:shd w:val="clear" w:color="auto" w:fill="auto"/>
            <w:noWrap/>
            <w:vAlign w:val="center"/>
          </w:tcPr>
          <w:p w14:paraId="3928A64E" w14:textId="36090135"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12.650.047</w:t>
            </w:r>
          </w:p>
        </w:tc>
        <w:tc>
          <w:tcPr>
            <w:tcW w:w="441" w:type="pct"/>
            <w:tcBorders>
              <w:top w:val="single" w:sz="4" w:space="0" w:color="F39200"/>
              <w:left w:val="nil"/>
              <w:bottom w:val="single" w:sz="4" w:space="0" w:color="F39200"/>
              <w:right w:val="nil"/>
            </w:tcBorders>
            <w:vAlign w:val="center"/>
          </w:tcPr>
          <w:p w14:paraId="6780D1A7" w14:textId="12802B05"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98.408.929</w:t>
            </w:r>
          </w:p>
        </w:tc>
        <w:tc>
          <w:tcPr>
            <w:tcW w:w="429" w:type="pct"/>
            <w:tcBorders>
              <w:top w:val="single" w:sz="4" w:space="0" w:color="F39200"/>
              <w:left w:val="nil"/>
              <w:bottom w:val="single" w:sz="4" w:space="0" w:color="F39200"/>
              <w:right w:val="nil"/>
            </w:tcBorders>
            <w:shd w:val="clear" w:color="auto" w:fill="auto"/>
            <w:noWrap/>
            <w:vAlign w:val="center"/>
          </w:tcPr>
          <w:p w14:paraId="53F7F345" w14:textId="7B735A0E" w:rsidR="00870710" w:rsidRPr="007818E0" w:rsidRDefault="00870710" w:rsidP="00870710">
            <w:pPr>
              <w:jc w:val="right"/>
              <w:rPr>
                <w:rFonts w:ascii="CAIXA Std Book" w:hAnsi="CAIXA Std Book"/>
                <w:b/>
                <w:bCs/>
                <w:color w:val="005CA9"/>
                <w:sz w:val="16"/>
                <w:szCs w:val="16"/>
              </w:rPr>
            </w:pPr>
            <w:r w:rsidRPr="007818E0">
              <w:rPr>
                <w:rFonts w:ascii="CAIXA Std Book" w:hAnsi="CAIXA Std Book"/>
                <w:b/>
                <w:bCs/>
                <w:color w:val="005CA9"/>
                <w:sz w:val="16"/>
                <w:szCs w:val="16"/>
              </w:rPr>
              <w:t>86.328.386</w:t>
            </w:r>
          </w:p>
        </w:tc>
      </w:tr>
    </w:tbl>
    <w:p w14:paraId="6C22CCEF" w14:textId="16C5F32A" w:rsidR="00BA44FA" w:rsidRPr="00FF4346" w:rsidRDefault="00BA44FA" w:rsidP="009D580F">
      <w:pPr>
        <w:tabs>
          <w:tab w:val="left" w:pos="1035"/>
        </w:tabs>
        <w:rPr>
          <w:rFonts w:ascii="CAIXA Std Book" w:hAnsi="CAIXA Std Book"/>
          <w:color w:val="005CA9"/>
          <w:sz w:val="20"/>
          <w:szCs w:val="20"/>
        </w:rPr>
        <w:sectPr w:rsidR="00BA44FA" w:rsidRPr="00FF4346" w:rsidSect="0088151D">
          <w:headerReference w:type="default" r:id="rId39"/>
          <w:footerReference w:type="default" r:id="rId40"/>
          <w:headerReference w:type="first" r:id="rId41"/>
          <w:footerReference w:type="first" r:id="rId42"/>
          <w:pgSz w:w="16840" w:h="11907" w:orient="landscape" w:code="9"/>
          <w:pgMar w:top="1418" w:right="1418" w:bottom="851" w:left="851" w:header="1134" w:footer="709" w:gutter="0"/>
          <w:cols w:space="708"/>
          <w:titlePg/>
          <w:docGrid w:linePitch="360"/>
        </w:sectPr>
      </w:pPr>
    </w:p>
    <w:p w14:paraId="06DD95F2" w14:textId="6A1949AE" w:rsidR="00BA44FA" w:rsidRPr="00FF4346" w:rsidRDefault="00BA44FA"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lastRenderedPageBreak/>
        <w:t>Composição da carteira de crédito por setor de atividade</w:t>
      </w:r>
    </w:p>
    <w:tbl>
      <w:tblPr>
        <w:tblW w:w="5000" w:type="pct"/>
        <w:tblCellMar>
          <w:left w:w="70" w:type="dxa"/>
          <w:right w:w="70" w:type="dxa"/>
        </w:tblCellMar>
        <w:tblLook w:val="04A0" w:firstRow="1" w:lastRow="0" w:firstColumn="1" w:lastColumn="0" w:noHBand="0" w:noVBand="1"/>
      </w:tblPr>
      <w:tblGrid>
        <w:gridCol w:w="5064"/>
        <w:gridCol w:w="1388"/>
        <w:gridCol w:w="798"/>
        <w:gridCol w:w="1464"/>
        <w:gridCol w:w="783"/>
      </w:tblGrid>
      <w:tr w:rsidR="003B2B2A" w:rsidRPr="00A33766" w14:paraId="67849ABF" w14:textId="77777777" w:rsidTr="00523B7A">
        <w:trPr>
          <w:trHeight w:val="283"/>
        </w:trPr>
        <w:tc>
          <w:tcPr>
            <w:tcW w:w="5000" w:type="pct"/>
            <w:gridSpan w:val="5"/>
            <w:tcBorders>
              <w:top w:val="single" w:sz="4" w:space="0" w:color="F39200"/>
              <w:left w:val="nil"/>
              <w:bottom w:val="nil"/>
              <w:right w:val="nil"/>
            </w:tcBorders>
            <w:vAlign w:val="center"/>
          </w:tcPr>
          <w:p w14:paraId="7DCE1EE8" w14:textId="7FBFF4A6" w:rsidR="00421F2E" w:rsidRPr="00FF4346" w:rsidRDefault="00421F2E" w:rsidP="00421F2E">
            <w:pPr>
              <w:jc w:val="center"/>
              <w:rPr>
                <w:rFonts w:ascii="CAIXA Std Book" w:hAnsi="CAIXA Std Book"/>
                <w:b/>
                <w:color w:val="005CA9"/>
                <w:sz w:val="18"/>
                <w:szCs w:val="18"/>
              </w:rPr>
            </w:pPr>
            <w:r w:rsidRPr="00FF4346">
              <w:rPr>
                <w:rFonts w:ascii="CAIXA Std Book" w:hAnsi="CAIXA Std Book"/>
                <w:b/>
                <w:color w:val="005CA9"/>
                <w:sz w:val="18"/>
                <w:szCs w:val="18"/>
              </w:rPr>
              <w:t>INDIVIDUAL / CONSOLIDADO</w:t>
            </w:r>
          </w:p>
        </w:tc>
      </w:tr>
      <w:tr w:rsidR="006F0703" w:rsidRPr="00A33766" w14:paraId="451706A5" w14:textId="77777777" w:rsidTr="001529B0">
        <w:trPr>
          <w:trHeight w:val="283"/>
        </w:trPr>
        <w:tc>
          <w:tcPr>
            <w:tcW w:w="2666" w:type="pct"/>
            <w:tcBorders>
              <w:top w:val="single" w:sz="4" w:space="0" w:color="F39200"/>
              <w:left w:val="nil"/>
              <w:bottom w:val="nil"/>
              <w:right w:val="nil"/>
            </w:tcBorders>
            <w:shd w:val="clear" w:color="auto" w:fill="auto"/>
            <w:noWrap/>
            <w:vAlign w:val="center"/>
            <w:hideMark/>
          </w:tcPr>
          <w:p w14:paraId="653183F3" w14:textId="77777777" w:rsidR="006F0703" w:rsidRPr="00FF4346" w:rsidRDefault="006F0703" w:rsidP="006F0703">
            <w:pPr>
              <w:jc w:val="center"/>
              <w:rPr>
                <w:rFonts w:ascii="CAIXA Std Book" w:hAnsi="CAIXA Std Book"/>
                <w:b/>
                <w:color w:val="005CA9"/>
                <w:sz w:val="18"/>
                <w:szCs w:val="18"/>
              </w:rPr>
            </w:pPr>
            <w:r w:rsidRPr="00FF4346">
              <w:rPr>
                <w:rFonts w:ascii="CAIXA Std Book" w:hAnsi="CAIXA Std Book"/>
                <w:b/>
                <w:color w:val="005CA9"/>
                <w:sz w:val="18"/>
                <w:szCs w:val="18"/>
              </w:rPr>
              <w:t>Descrição</w:t>
            </w:r>
          </w:p>
        </w:tc>
        <w:tc>
          <w:tcPr>
            <w:tcW w:w="731" w:type="pct"/>
            <w:tcBorders>
              <w:top w:val="single" w:sz="4" w:space="0" w:color="F39200"/>
              <w:left w:val="nil"/>
              <w:bottom w:val="nil"/>
              <w:right w:val="nil"/>
            </w:tcBorders>
            <w:shd w:val="clear" w:color="auto" w:fill="auto"/>
            <w:noWrap/>
            <w:vAlign w:val="center"/>
          </w:tcPr>
          <w:p w14:paraId="379FF711" w14:textId="6FDF7674" w:rsidR="006F0703" w:rsidRPr="00FF4346" w:rsidRDefault="00911A80" w:rsidP="006F0703">
            <w:pPr>
              <w:jc w:val="center"/>
              <w:rPr>
                <w:rFonts w:ascii="CAIXA Std Book" w:hAnsi="CAIXA Std Book"/>
                <w:b/>
                <w:color w:val="005CA9"/>
                <w:sz w:val="18"/>
                <w:szCs w:val="18"/>
              </w:rPr>
            </w:pPr>
            <w:r w:rsidRPr="00FF4346">
              <w:rPr>
                <w:rFonts w:ascii="CAIXA Std Book" w:hAnsi="CAIXA Std Book"/>
                <w:b/>
                <w:color w:val="005CA9"/>
                <w:sz w:val="18"/>
                <w:szCs w:val="18"/>
              </w:rPr>
              <w:t>31/</w:t>
            </w:r>
            <w:r w:rsidR="00981F91">
              <w:rPr>
                <w:rFonts w:ascii="CAIXA Std Book" w:hAnsi="CAIXA Std Book"/>
                <w:b/>
                <w:color w:val="005CA9"/>
                <w:sz w:val="18"/>
                <w:szCs w:val="18"/>
              </w:rPr>
              <w:t>03/2024</w:t>
            </w:r>
          </w:p>
        </w:tc>
        <w:tc>
          <w:tcPr>
            <w:tcW w:w="420" w:type="pct"/>
            <w:tcBorders>
              <w:top w:val="single" w:sz="4" w:space="0" w:color="F39200"/>
              <w:left w:val="nil"/>
              <w:bottom w:val="nil"/>
              <w:right w:val="nil"/>
            </w:tcBorders>
          </w:tcPr>
          <w:p w14:paraId="3555AB57" w14:textId="5316AEDB" w:rsidR="006F0703" w:rsidRPr="00FF4346" w:rsidRDefault="006F0703" w:rsidP="006F0703">
            <w:pPr>
              <w:jc w:val="center"/>
              <w:rPr>
                <w:rFonts w:ascii="CAIXA Std Book" w:hAnsi="CAIXA Std Book"/>
                <w:b/>
                <w:color w:val="005CA9"/>
                <w:sz w:val="18"/>
                <w:szCs w:val="18"/>
              </w:rPr>
            </w:pPr>
            <w:r w:rsidRPr="00FF4346">
              <w:rPr>
                <w:rFonts w:ascii="CAIXA Std Book" w:hAnsi="CAIXA Std Book"/>
                <w:b/>
                <w:color w:val="005CA9"/>
                <w:sz w:val="18"/>
                <w:szCs w:val="18"/>
              </w:rPr>
              <w:t>%</w:t>
            </w:r>
          </w:p>
        </w:tc>
        <w:tc>
          <w:tcPr>
            <w:tcW w:w="771" w:type="pct"/>
            <w:tcBorders>
              <w:top w:val="single" w:sz="4" w:space="0" w:color="F39200"/>
              <w:left w:val="nil"/>
              <w:bottom w:val="nil"/>
              <w:right w:val="nil"/>
            </w:tcBorders>
            <w:vAlign w:val="center"/>
          </w:tcPr>
          <w:p w14:paraId="5732B6A1" w14:textId="4ADD243F" w:rsidR="006F0703" w:rsidRPr="00FF4346" w:rsidRDefault="006F0703" w:rsidP="006F0703">
            <w:pPr>
              <w:jc w:val="center"/>
              <w:rPr>
                <w:rFonts w:ascii="CAIXA Std Book" w:hAnsi="CAIXA Std Book"/>
                <w:b/>
                <w:color w:val="005CA9"/>
                <w:sz w:val="18"/>
                <w:szCs w:val="18"/>
              </w:rPr>
            </w:pPr>
            <w:r w:rsidRPr="00FF4346">
              <w:rPr>
                <w:rFonts w:ascii="CAIXA Std Book" w:hAnsi="CAIXA Std Book"/>
                <w:b/>
                <w:color w:val="005CA9"/>
                <w:sz w:val="18"/>
                <w:szCs w:val="18"/>
              </w:rPr>
              <w:t>31/12/202</w:t>
            </w:r>
            <w:r w:rsidR="00943C30">
              <w:rPr>
                <w:rFonts w:ascii="CAIXA Std Book" w:hAnsi="CAIXA Std Book"/>
                <w:b/>
                <w:color w:val="005CA9"/>
                <w:sz w:val="18"/>
                <w:szCs w:val="18"/>
              </w:rPr>
              <w:t>3</w:t>
            </w:r>
          </w:p>
        </w:tc>
        <w:tc>
          <w:tcPr>
            <w:tcW w:w="412" w:type="pct"/>
            <w:tcBorders>
              <w:top w:val="single" w:sz="4" w:space="0" w:color="F39200"/>
              <w:left w:val="nil"/>
              <w:bottom w:val="nil"/>
              <w:right w:val="nil"/>
            </w:tcBorders>
          </w:tcPr>
          <w:p w14:paraId="0ED60F56" w14:textId="1EAB4ACC" w:rsidR="006F0703" w:rsidRPr="00FF4346" w:rsidRDefault="006F0703" w:rsidP="006F0703">
            <w:pPr>
              <w:jc w:val="center"/>
              <w:rPr>
                <w:rFonts w:ascii="CAIXA Std Book" w:hAnsi="CAIXA Std Book"/>
                <w:b/>
                <w:color w:val="005CA9"/>
                <w:sz w:val="18"/>
                <w:szCs w:val="18"/>
              </w:rPr>
            </w:pPr>
            <w:r w:rsidRPr="00FF4346">
              <w:rPr>
                <w:rFonts w:ascii="CAIXA Std Book" w:hAnsi="CAIXA Std Book"/>
                <w:b/>
                <w:color w:val="005CA9"/>
                <w:sz w:val="18"/>
                <w:szCs w:val="18"/>
              </w:rPr>
              <w:t>%</w:t>
            </w:r>
          </w:p>
        </w:tc>
      </w:tr>
      <w:tr w:rsidR="00E75580" w:rsidRPr="00A33766" w14:paraId="1049C7CA" w14:textId="77777777" w:rsidTr="001529B0">
        <w:trPr>
          <w:trHeight w:val="283"/>
        </w:trPr>
        <w:tc>
          <w:tcPr>
            <w:tcW w:w="2666" w:type="pct"/>
            <w:tcBorders>
              <w:top w:val="single" w:sz="4" w:space="0" w:color="F39200"/>
              <w:left w:val="nil"/>
              <w:bottom w:val="single" w:sz="4" w:space="0" w:color="F39200"/>
              <w:right w:val="nil"/>
            </w:tcBorders>
            <w:shd w:val="clear" w:color="auto" w:fill="auto"/>
            <w:noWrap/>
            <w:vAlign w:val="center"/>
            <w:hideMark/>
          </w:tcPr>
          <w:p w14:paraId="1F66CED2" w14:textId="77777777" w:rsidR="00E75580" w:rsidRPr="00FF4346" w:rsidRDefault="00E75580" w:rsidP="00E75580">
            <w:pPr>
              <w:rPr>
                <w:rFonts w:ascii="CAIXA Std Book" w:hAnsi="CAIXA Std Book"/>
                <w:b/>
                <w:color w:val="005CA9"/>
                <w:sz w:val="18"/>
                <w:szCs w:val="18"/>
              </w:rPr>
            </w:pPr>
            <w:r w:rsidRPr="00FF4346">
              <w:rPr>
                <w:rFonts w:ascii="CAIXA Std Book" w:hAnsi="CAIXA Std Book"/>
                <w:b/>
                <w:color w:val="005CA9"/>
                <w:sz w:val="18"/>
                <w:szCs w:val="18"/>
              </w:rPr>
              <w:t>SETOR PÚBLICO</w:t>
            </w:r>
          </w:p>
        </w:tc>
        <w:tc>
          <w:tcPr>
            <w:tcW w:w="731" w:type="pct"/>
            <w:tcBorders>
              <w:top w:val="single" w:sz="4" w:space="0" w:color="F39200"/>
              <w:left w:val="nil"/>
              <w:bottom w:val="single" w:sz="4" w:space="0" w:color="F39200"/>
              <w:right w:val="nil"/>
            </w:tcBorders>
            <w:shd w:val="clear" w:color="auto" w:fill="auto"/>
            <w:noWrap/>
            <w:vAlign w:val="center"/>
          </w:tcPr>
          <w:p w14:paraId="461910D3" w14:textId="2DE45E1F"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76.581.603</w:t>
            </w:r>
          </w:p>
        </w:tc>
        <w:tc>
          <w:tcPr>
            <w:tcW w:w="420" w:type="pct"/>
            <w:tcBorders>
              <w:top w:val="single" w:sz="4" w:space="0" w:color="F39200"/>
              <w:left w:val="nil"/>
              <w:bottom w:val="single" w:sz="4" w:space="0" w:color="F39200"/>
              <w:right w:val="nil"/>
            </w:tcBorders>
            <w:vAlign w:val="center"/>
          </w:tcPr>
          <w:p w14:paraId="7F3B26C6" w14:textId="6E08449F" w:rsidR="00E75580" w:rsidRPr="00E75580" w:rsidRDefault="00E75580" w:rsidP="00E75580">
            <w:pPr>
              <w:jc w:val="right"/>
              <w:rPr>
                <w:rFonts w:ascii="CAIXA Std Book" w:hAnsi="CAIXA Std Book"/>
                <w:b/>
                <w:bCs/>
                <w:color w:val="005CA9"/>
                <w:sz w:val="18"/>
                <w:szCs w:val="18"/>
              </w:rPr>
            </w:pPr>
            <w:r w:rsidRPr="00E75580">
              <w:rPr>
                <w:rFonts w:ascii="CAIXA Std Book" w:hAnsi="CAIXA Std Book"/>
                <w:b/>
                <w:bCs/>
                <w:color w:val="005CA9"/>
                <w:sz w:val="18"/>
                <w:szCs w:val="18"/>
              </w:rPr>
              <w:t>6,70</w:t>
            </w:r>
          </w:p>
        </w:tc>
        <w:tc>
          <w:tcPr>
            <w:tcW w:w="771" w:type="pct"/>
            <w:tcBorders>
              <w:top w:val="single" w:sz="4" w:space="0" w:color="F39200"/>
              <w:left w:val="nil"/>
              <w:bottom w:val="single" w:sz="4" w:space="0" w:color="F39200"/>
              <w:right w:val="nil"/>
            </w:tcBorders>
            <w:vAlign w:val="center"/>
          </w:tcPr>
          <w:p w14:paraId="280966B6" w14:textId="7FC7422B"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74.536.562</w:t>
            </w:r>
          </w:p>
        </w:tc>
        <w:tc>
          <w:tcPr>
            <w:tcW w:w="412" w:type="pct"/>
            <w:tcBorders>
              <w:top w:val="single" w:sz="4" w:space="0" w:color="F39200"/>
              <w:left w:val="nil"/>
              <w:bottom w:val="single" w:sz="4" w:space="0" w:color="F39200"/>
              <w:right w:val="nil"/>
            </w:tcBorders>
            <w:vAlign w:val="center"/>
          </w:tcPr>
          <w:p w14:paraId="4AA753E1" w14:textId="1A427844"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6,66</w:t>
            </w:r>
          </w:p>
        </w:tc>
      </w:tr>
      <w:tr w:rsidR="00E75580" w:rsidRPr="00A33766" w14:paraId="13D2536F" w14:textId="77777777" w:rsidTr="001529B0">
        <w:trPr>
          <w:trHeight w:val="283"/>
        </w:trPr>
        <w:tc>
          <w:tcPr>
            <w:tcW w:w="2666" w:type="pct"/>
            <w:tcBorders>
              <w:top w:val="nil"/>
              <w:left w:val="nil"/>
              <w:bottom w:val="nil"/>
              <w:right w:val="nil"/>
            </w:tcBorders>
            <w:shd w:val="clear" w:color="auto" w:fill="auto"/>
            <w:noWrap/>
            <w:vAlign w:val="center"/>
            <w:hideMark/>
          </w:tcPr>
          <w:p w14:paraId="79825D2E" w14:textId="77777777" w:rsidR="00E75580" w:rsidRPr="00FF4346" w:rsidRDefault="00E75580" w:rsidP="00E75580">
            <w:pPr>
              <w:rPr>
                <w:rFonts w:ascii="CAIXA Std Book" w:hAnsi="CAIXA Std Book"/>
                <w:color w:val="005CA9"/>
                <w:sz w:val="18"/>
                <w:szCs w:val="18"/>
              </w:rPr>
            </w:pPr>
            <w:r w:rsidRPr="00FF4346">
              <w:rPr>
                <w:rFonts w:ascii="CAIXA Std Book" w:hAnsi="CAIXA Std Book"/>
                <w:color w:val="005CA9"/>
                <w:sz w:val="18"/>
                <w:szCs w:val="18"/>
              </w:rPr>
              <w:t>Administração direta</w:t>
            </w:r>
          </w:p>
        </w:tc>
        <w:tc>
          <w:tcPr>
            <w:tcW w:w="731" w:type="pct"/>
            <w:tcBorders>
              <w:top w:val="nil"/>
              <w:left w:val="nil"/>
              <w:bottom w:val="nil"/>
              <w:right w:val="nil"/>
            </w:tcBorders>
            <w:shd w:val="clear" w:color="auto" w:fill="auto"/>
            <w:noWrap/>
            <w:vAlign w:val="center"/>
          </w:tcPr>
          <w:p w14:paraId="193DB4E2" w14:textId="2CFBA39B"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64.609.972</w:t>
            </w:r>
          </w:p>
        </w:tc>
        <w:tc>
          <w:tcPr>
            <w:tcW w:w="420" w:type="pct"/>
            <w:tcBorders>
              <w:top w:val="nil"/>
              <w:left w:val="nil"/>
              <w:bottom w:val="nil"/>
              <w:right w:val="nil"/>
            </w:tcBorders>
            <w:vAlign w:val="center"/>
          </w:tcPr>
          <w:p w14:paraId="37F58EFB" w14:textId="24E17698"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5,65</w:t>
            </w:r>
          </w:p>
        </w:tc>
        <w:tc>
          <w:tcPr>
            <w:tcW w:w="771" w:type="pct"/>
            <w:tcBorders>
              <w:top w:val="nil"/>
              <w:left w:val="nil"/>
              <w:bottom w:val="nil"/>
              <w:right w:val="nil"/>
            </w:tcBorders>
            <w:vAlign w:val="center"/>
          </w:tcPr>
          <w:p w14:paraId="660E0D2F" w14:textId="030C79EF"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62.655.778</w:t>
            </w:r>
          </w:p>
        </w:tc>
        <w:tc>
          <w:tcPr>
            <w:tcW w:w="412" w:type="pct"/>
            <w:tcBorders>
              <w:top w:val="nil"/>
              <w:left w:val="nil"/>
              <w:bottom w:val="nil"/>
              <w:right w:val="nil"/>
            </w:tcBorders>
            <w:vAlign w:val="center"/>
          </w:tcPr>
          <w:p w14:paraId="6F510FA6" w14:textId="10AE8644"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5,60</w:t>
            </w:r>
          </w:p>
        </w:tc>
      </w:tr>
      <w:tr w:rsidR="00E75580" w:rsidRPr="00A33766" w14:paraId="4FDB92DE" w14:textId="77777777" w:rsidTr="001529B0">
        <w:trPr>
          <w:trHeight w:val="283"/>
        </w:trPr>
        <w:tc>
          <w:tcPr>
            <w:tcW w:w="2666" w:type="pct"/>
            <w:tcBorders>
              <w:top w:val="nil"/>
              <w:left w:val="nil"/>
              <w:bottom w:val="nil"/>
              <w:right w:val="nil"/>
            </w:tcBorders>
            <w:shd w:val="clear" w:color="auto" w:fill="auto"/>
            <w:noWrap/>
            <w:vAlign w:val="center"/>
            <w:hideMark/>
          </w:tcPr>
          <w:p w14:paraId="06D7942E" w14:textId="77777777" w:rsidR="00E75580" w:rsidRPr="00FF4346" w:rsidRDefault="00E75580" w:rsidP="00E75580">
            <w:pPr>
              <w:rPr>
                <w:rFonts w:ascii="CAIXA Std Book" w:hAnsi="CAIXA Std Book"/>
                <w:color w:val="005CA9"/>
                <w:sz w:val="18"/>
                <w:szCs w:val="18"/>
              </w:rPr>
            </w:pPr>
            <w:r w:rsidRPr="00FF4346">
              <w:rPr>
                <w:rFonts w:ascii="CAIXA Std Book" w:hAnsi="CAIXA Std Book"/>
                <w:color w:val="005CA9"/>
                <w:sz w:val="18"/>
                <w:szCs w:val="18"/>
              </w:rPr>
              <w:t>Administração indireta – saneamento e infraestrutura</w:t>
            </w:r>
          </w:p>
        </w:tc>
        <w:tc>
          <w:tcPr>
            <w:tcW w:w="731" w:type="pct"/>
            <w:tcBorders>
              <w:top w:val="nil"/>
              <w:left w:val="nil"/>
              <w:bottom w:val="nil"/>
              <w:right w:val="nil"/>
            </w:tcBorders>
            <w:shd w:val="clear" w:color="auto" w:fill="auto"/>
            <w:noWrap/>
            <w:vAlign w:val="center"/>
          </w:tcPr>
          <w:p w14:paraId="175C6DCC" w14:textId="4CC02AB4"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6.504.576</w:t>
            </w:r>
          </w:p>
        </w:tc>
        <w:tc>
          <w:tcPr>
            <w:tcW w:w="420" w:type="pct"/>
            <w:tcBorders>
              <w:top w:val="nil"/>
              <w:left w:val="nil"/>
              <w:bottom w:val="nil"/>
              <w:right w:val="nil"/>
            </w:tcBorders>
            <w:vAlign w:val="center"/>
          </w:tcPr>
          <w:p w14:paraId="24D7DA8E" w14:textId="2E479677"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0,57</w:t>
            </w:r>
          </w:p>
        </w:tc>
        <w:tc>
          <w:tcPr>
            <w:tcW w:w="771" w:type="pct"/>
            <w:tcBorders>
              <w:top w:val="nil"/>
              <w:left w:val="nil"/>
              <w:bottom w:val="nil"/>
              <w:right w:val="nil"/>
            </w:tcBorders>
            <w:vAlign w:val="center"/>
          </w:tcPr>
          <w:p w14:paraId="1C0AA757" w14:textId="12619A47"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6.481.045</w:t>
            </w:r>
          </w:p>
        </w:tc>
        <w:tc>
          <w:tcPr>
            <w:tcW w:w="412" w:type="pct"/>
            <w:tcBorders>
              <w:top w:val="nil"/>
              <w:left w:val="nil"/>
              <w:bottom w:val="nil"/>
              <w:right w:val="nil"/>
            </w:tcBorders>
            <w:vAlign w:val="center"/>
          </w:tcPr>
          <w:p w14:paraId="4FECF0B8" w14:textId="4568496B"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0,58</w:t>
            </w:r>
          </w:p>
        </w:tc>
      </w:tr>
      <w:tr w:rsidR="00E75580" w:rsidRPr="00A33766" w14:paraId="1FBB6D3C" w14:textId="77777777" w:rsidTr="001529B0">
        <w:trPr>
          <w:trHeight w:val="283"/>
        </w:trPr>
        <w:tc>
          <w:tcPr>
            <w:tcW w:w="2666" w:type="pct"/>
            <w:tcBorders>
              <w:top w:val="nil"/>
              <w:left w:val="nil"/>
              <w:bottom w:val="nil"/>
              <w:right w:val="nil"/>
            </w:tcBorders>
            <w:shd w:val="clear" w:color="auto" w:fill="auto"/>
            <w:noWrap/>
            <w:vAlign w:val="center"/>
            <w:hideMark/>
          </w:tcPr>
          <w:p w14:paraId="359E2830" w14:textId="77777777" w:rsidR="00E75580" w:rsidRPr="00FF4346" w:rsidRDefault="00E75580" w:rsidP="00E75580">
            <w:pPr>
              <w:rPr>
                <w:rFonts w:ascii="CAIXA Std Book" w:hAnsi="CAIXA Std Book"/>
                <w:color w:val="005CA9"/>
                <w:sz w:val="18"/>
                <w:szCs w:val="18"/>
              </w:rPr>
            </w:pPr>
            <w:r w:rsidRPr="00FF4346">
              <w:rPr>
                <w:rFonts w:ascii="CAIXA Std Book" w:hAnsi="CAIXA Std Book"/>
                <w:color w:val="005CA9"/>
                <w:sz w:val="18"/>
                <w:szCs w:val="18"/>
              </w:rPr>
              <w:t>Administração indireta – outros</w:t>
            </w:r>
          </w:p>
        </w:tc>
        <w:tc>
          <w:tcPr>
            <w:tcW w:w="731" w:type="pct"/>
            <w:tcBorders>
              <w:top w:val="nil"/>
              <w:left w:val="nil"/>
              <w:bottom w:val="nil"/>
              <w:right w:val="nil"/>
            </w:tcBorders>
            <w:shd w:val="clear" w:color="auto" w:fill="auto"/>
            <w:noWrap/>
            <w:vAlign w:val="center"/>
          </w:tcPr>
          <w:p w14:paraId="0F78959A" w14:textId="03331A7B"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5.467.055</w:t>
            </w:r>
          </w:p>
        </w:tc>
        <w:tc>
          <w:tcPr>
            <w:tcW w:w="420" w:type="pct"/>
            <w:tcBorders>
              <w:top w:val="nil"/>
              <w:left w:val="nil"/>
              <w:bottom w:val="nil"/>
              <w:right w:val="nil"/>
            </w:tcBorders>
            <w:vAlign w:val="center"/>
          </w:tcPr>
          <w:p w14:paraId="7157AD82" w14:textId="1DB196BF"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0,48</w:t>
            </w:r>
          </w:p>
        </w:tc>
        <w:tc>
          <w:tcPr>
            <w:tcW w:w="771" w:type="pct"/>
            <w:tcBorders>
              <w:top w:val="nil"/>
              <w:left w:val="nil"/>
              <w:bottom w:val="nil"/>
              <w:right w:val="nil"/>
            </w:tcBorders>
            <w:vAlign w:val="center"/>
          </w:tcPr>
          <w:p w14:paraId="44BD2A26" w14:textId="4CD56D7B"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5.399.739</w:t>
            </w:r>
          </w:p>
        </w:tc>
        <w:tc>
          <w:tcPr>
            <w:tcW w:w="412" w:type="pct"/>
            <w:tcBorders>
              <w:top w:val="nil"/>
              <w:left w:val="nil"/>
              <w:bottom w:val="nil"/>
              <w:right w:val="nil"/>
            </w:tcBorders>
            <w:vAlign w:val="center"/>
          </w:tcPr>
          <w:p w14:paraId="200FF875" w14:textId="32D5D8D5"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0,48</w:t>
            </w:r>
          </w:p>
        </w:tc>
      </w:tr>
      <w:tr w:rsidR="00E75580" w:rsidRPr="00A33766" w14:paraId="25AF1EB6" w14:textId="77777777" w:rsidTr="001529B0">
        <w:trPr>
          <w:trHeight w:val="283"/>
        </w:trPr>
        <w:tc>
          <w:tcPr>
            <w:tcW w:w="2666" w:type="pct"/>
            <w:tcBorders>
              <w:top w:val="single" w:sz="4" w:space="0" w:color="F39200"/>
              <w:left w:val="nil"/>
              <w:bottom w:val="single" w:sz="4" w:space="0" w:color="F39200"/>
              <w:right w:val="nil"/>
            </w:tcBorders>
            <w:shd w:val="clear" w:color="auto" w:fill="auto"/>
            <w:noWrap/>
            <w:vAlign w:val="center"/>
            <w:hideMark/>
          </w:tcPr>
          <w:p w14:paraId="745A4A45" w14:textId="77777777" w:rsidR="00E75580" w:rsidRPr="00FF4346" w:rsidRDefault="00E75580" w:rsidP="00E75580">
            <w:pPr>
              <w:rPr>
                <w:rFonts w:ascii="CAIXA Std Book" w:hAnsi="CAIXA Std Book"/>
                <w:b/>
                <w:color w:val="005CA9"/>
                <w:sz w:val="18"/>
                <w:szCs w:val="18"/>
              </w:rPr>
            </w:pPr>
            <w:r w:rsidRPr="00FF4346">
              <w:rPr>
                <w:rFonts w:ascii="CAIXA Std Book" w:hAnsi="CAIXA Std Book"/>
                <w:b/>
                <w:color w:val="005CA9"/>
                <w:sz w:val="18"/>
                <w:szCs w:val="18"/>
              </w:rPr>
              <w:t>SETOR PRIVADO</w:t>
            </w:r>
          </w:p>
        </w:tc>
        <w:tc>
          <w:tcPr>
            <w:tcW w:w="731" w:type="pct"/>
            <w:tcBorders>
              <w:top w:val="single" w:sz="4" w:space="0" w:color="F39200"/>
              <w:left w:val="nil"/>
              <w:bottom w:val="single" w:sz="4" w:space="0" w:color="F39200"/>
              <w:right w:val="nil"/>
            </w:tcBorders>
            <w:shd w:val="clear" w:color="auto" w:fill="auto"/>
            <w:noWrap/>
            <w:vAlign w:val="center"/>
          </w:tcPr>
          <w:p w14:paraId="46E0311A" w14:textId="05E28E64" w:rsidR="00E75580" w:rsidRPr="004C20CF" w:rsidRDefault="0042326B" w:rsidP="00E75580">
            <w:pPr>
              <w:jc w:val="right"/>
              <w:rPr>
                <w:rFonts w:ascii="CAIXA Std Book" w:hAnsi="CAIXA Std Book"/>
                <w:b/>
                <w:bCs/>
                <w:color w:val="005CA9"/>
                <w:sz w:val="18"/>
                <w:szCs w:val="18"/>
              </w:rPr>
            </w:pPr>
            <w:r w:rsidRPr="0042326B">
              <w:rPr>
                <w:rFonts w:ascii="CAIXA Std Book" w:hAnsi="CAIXA Std Book"/>
                <w:b/>
                <w:bCs/>
                <w:color w:val="005CA9"/>
                <w:sz w:val="18"/>
                <w:szCs w:val="18"/>
              </w:rPr>
              <w:t>1.067.656.133</w:t>
            </w:r>
          </w:p>
        </w:tc>
        <w:tc>
          <w:tcPr>
            <w:tcW w:w="420" w:type="pct"/>
            <w:tcBorders>
              <w:top w:val="single" w:sz="4" w:space="0" w:color="F39200"/>
              <w:left w:val="nil"/>
              <w:bottom w:val="single" w:sz="4" w:space="0" w:color="F39200"/>
              <w:right w:val="nil"/>
            </w:tcBorders>
            <w:vAlign w:val="center"/>
          </w:tcPr>
          <w:p w14:paraId="10F5D194" w14:textId="7515D716" w:rsidR="00E75580" w:rsidRPr="00E75580" w:rsidRDefault="00E75580" w:rsidP="00E75580">
            <w:pPr>
              <w:jc w:val="right"/>
              <w:rPr>
                <w:rFonts w:ascii="CAIXA Std Book" w:hAnsi="CAIXA Std Book"/>
                <w:b/>
                <w:bCs/>
                <w:color w:val="005CA9"/>
                <w:sz w:val="18"/>
                <w:szCs w:val="18"/>
              </w:rPr>
            </w:pPr>
            <w:r w:rsidRPr="00E75580">
              <w:rPr>
                <w:rFonts w:ascii="CAIXA Std Book" w:hAnsi="CAIXA Std Book"/>
                <w:b/>
                <w:bCs/>
                <w:color w:val="005CA9"/>
                <w:sz w:val="18"/>
                <w:szCs w:val="18"/>
              </w:rPr>
              <w:t>93,30</w:t>
            </w:r>
          </w:p>
        </w:tc>
        <w:tc>
          <w:tcPr>
            <w:tcW w:w="771" w:type="pct"/>
            <w:tcBorders>
              <w:top w:val="single" w:sz="4" w:space="0" w:color="F39200"/>
              <w:left w:val="nil"/>
              <w:bottom w:val="single" w:sz="4" w:space="0" w:color="F39200"/>
              <w:right w:val="nil"/>
            </w:tcBorders>
            <w:vAlign w:val="center"/>
          </w:tcPr>
          <w:p w14:paraId="271D6F59" w14:textId="50EC325A"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1.045.283.696</w:t>
            </w:r>
          </w:p>
        </w:tc>
        <w:tc>
          <w:tcPr>
            <w:tcW w:w="412" w:type="pct"/>
            <w:tcBorders>
              <w:top w:val="single" w:sz="4" w:space="0" w:color="F39200"/>
              <w:left w:val="nil"/>
              <w:bottom w:val="single" w:sz="4" w:space="0" w:color="F39200"/>
              <w:right w:val="nil"/>
            </w:tcBorders>
            <w:vAlign w:val="center"/>
          </w:tcPr>
          <w:p w14:paraId="21C88BFD" w14:textId="105491C5"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93,34</w:t>
            </w:r>
          </w:p>
        </w:tc>
      </w:tr>
      <w:tr w:rsidR="00E75580" w:rsidRPr="00A33766" w14:paraId="2C1064F6" w14:textId="77777777" w:rsidTr="001529B0">
        <w:trPr>
          <w:trHeight w:val="283"/>
        </w:trPr>
        <w:tc>
          <w:tcPr>
            <w:tcW w:w="2666" w:type="pct"/>
            <w:tcBorders>
              <w:top w:val="nil"/>
              <w:left w:val="nil"/>
              <w:bottom w:val="single" w:sz="4" w:space="0" w:color="F39200"/>
              <w:right w:val="nil"/>
            </w:tcBorders>
            <w:shd w:val="clear" w:color="auto" w:fill="auto"/>
            <w:noWrap/>
            <w:vAlign w:val="center"/>
            <w:hideMark/>
          </w:tcPr>
          <w:p w14:paraId="4A39EFA1" w14:textId="77777777" w:rsidR="00E75580" w:rsidRPr="00FF4346" w:rsidRDefault="00E75580" w:rsidP="00E75580">
            <w:pPr>
              <w:rPr>
                <w:rFonts w:ascii="CAIXA Std Book" w:hAnsi="CAIXA Std Book"/>
                <w:b/>
                <w:color w:val="005CA9"/>
                <w:sz w:val="18"/>
                <w:szCs w:val="18"/>
              </w:rPr>
            </w:pPr>
            <w:r w:rsidRPr="00FF4346">
              <w:rPr>
                <w:rFonts w:ascii="CAIXA Std Book" w:hAnsi="CAIXA Std Book"/>
                <w:b/>
                <w:color w:val="005CA9"/>
                <w:sz w:val="18"/>
                <w:szCs w:val="18"/>
              </w:rPr>
              <w:t>PESSOA JURÍDICA</w:t>
            </w:r>
          </w:p>
        </w:tc>
        <w:tc>
          <w:tcPr>
            <w:tcW w:w="731" w:type="pct"/>
            <w:tcBorders>
              <w:top w:val="nil"/>
              <w:left w:val="nil"/>
              <w:bottom w:val="single" w:sz="4" w:space="0" w:color="F39200"/>
              <w:right w:val="nil"/>
            </w:tcBorders>
            <w:shd w:val="clear" w:color="auto" w:fill="auto"/>
            <w:noWrap/>
            <w:vAlign w:val="center"/>
          </w:tcPr>
          <w:p w14:paraId="2BAAC037" w14:textId="6BD9BCBE"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117.923.740</w:t>
            </w:r>
          </w:p>
        </w:tc>
        <w:tc>
          <w:tcPr>
            <w:tcW w:w="420" w:type="pct"/>
            <w:tcBorders>
              <w:top w:val="nil"/>
              <w:left w:val="nil"/>
              <w:bottom w:val="single" w:sz="4" w:space="0" w:color="F39200"/>
              <w:right w:val="nil"/>
            </w:tcBorders>
            <w:vAlign w:val="center"/>
          </w:tcPr>
          <w:p w14:paraId="62756FAA" w14:textId="5267F811" w:rsidR="00E75580" w:rsidRPr="00E75580" w:rsidRDefault="00E75580" w:rsidP="00E75580">
            <w:pPr>
              <w:jc w:val="right"/>
              <w:rPr>
                <w:rFonts w:ascii="CAIXA Std Book" w:hAnsi="CAIXA Std Book"/>
                <w:b/>
                <w:bCs/>
                <w:color w:val="005CA9"/>
                <w:sz w:val="18"/>
                <w:szCs w:val="18"/>
              </w:rPr>
            </w:pPr>
            <w:r w:rsidRPr="00E75580">
              <w:rPr>
                <w:rFonts w:ascii="CAIXA Std Book" w:hAnsi="CAIXA Std Book"/>
                <w:b/>
                <w:bCs/>
                <w:color w:val="005CA9"/>
                <w:sz w:val="18"/>
                <w:szCs w:val="18"/>
              </w:rPr>
              <w:t>10,30</w:t>
            </w:r>
          </w:p>
        </w:tc>
        <w:tc>
          <w:tcPr>
            <w:tcW w:w="771" w:type="pct"/>
            <w:tcBorders>
              <w:top w:val="nil"/>
              <w:left w:val="nil"/>
              <w:bottom w:val="single" w:sz="4" w:space="0" w:color="F39200"/>
              <w:right w:val="nil"/>
            </w:tcBorders>
            <w:vAlign w:val="center"/>
          </w:tcPr>
          <w:p w14:paraId="183926FF" w14:textId="1768FBB3"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120.719.779</w:t>
            </w:r>
          </w:p>
        </w:tc>
        <w:tc>
          <w:tcPr>
            <w:tcW w:w="412" w:type="pct"/>
            <w:tcBorders>
              <w:top w:val="nil"/>
              <w:left w:val="nil"/>
              <w:bottom w:val="single" w:sz="4" w:space="0" w:color="F39200"/>
              <w:right w:val="nil"/>
            </w:tcBorders>
            <w:vAlign w:val="center"/>
          </w:tcPr>
          <w:p w14:paraId="509CD7D2" w14:textId="318CC04B"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10,77</w:t>
            </w:r>
          </w:p>
        </w:tc>
      </w:tr>
      <w:tr w:rsidR="00E75580" w:rsidRPr="00A33766" w14:paraId="1D9D1F80" w14:textId="77777777" w:rsidTr="001529B0">
        <w:trPr>
          <w:trHeight w:val="283"/>
        </w:trPr>
        <w:tc>
          <w:tcPr>
            <w:tcW w:w="2666" w:type="pct"/>
            <w:tcBorders>
              <w:top w:val="nil"/>
              <w:left w:val="nil"/>
              <w:bottom w:val="nil"/>
              <w:right w:val="nil"/>
            </w:tcBorders>
            <w:shd w:val="clear" w:color="auto" w:fill="auto"/>
            <w:noWrap/>
            <w:vAlign w:val="center"/>
            <w:hideMark/>
          </w:tcPr>
          <w:p w14:paraId="15CEC37B"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Comércio varejista</w:t>
            </w:r>
          </w:p>
        </w:tc>
        <w:tc>
          <w:tcPr>
            <w:tcW w:w="731" w:type="pct"/>
            <w:tcBorders>
              <w:top w:val="nil"/>
              <w:left w:val="nil"/>
              <w:bottom w:val="nil"/>
              <w:right w:val="nil"/>
            </w:tcBorders>
            <w:shd w:val="clear" w:color="auto" w:fill="auto"/>
            <w:noWrap/>
            <w:vAlign w:val="center"/>
          </w:tcPr>
          <w:p w14:paraId="382DF38A" w14:textId="74048094"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19.215.509</w:t>
            </w:r>
          </w:p>
        </w:tc>
        <w:tc>
          <w:tcPr>
            <w:tcW w:w="420" w:type="pct"/>
            <w:tcBorders>
              <w:top w:val="nil"/>
              <w:left w:val="nil"/>
              <w:bottom w:val="nil"/>
              <w:right w:val="nil"/>
            </w:tcBorders>
            <w:vAlign w:val="center"/>
          </w:tcPr>
          <w:p w14:paraId="55E4D544" w14:textId="41381C51"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1,</w:t>
            </w:r>
            <w:r w:rsidR="00570C4A">
              <w:rPr>
                <w:rFonts w:ascii="CAIXA Std Book" w:hAnsi="CAIXA Std Book"/>
                <w:color w:val="005CA9"/>
                <w:sz w:val="18"/>
                <w:szCs w:val="18"/>
              </w:rPr>
              <w:t>68</w:t>
            </w:r>
          </w:p>
        </w:tc>
        <w:tc>
          <w:tcPr>
            <w:tcW w:w="771" w:type="pct"/>
            <w:tcBorders>
              <w:top w:val="nil"/>
              <w:left w:val="nil"/>
              <w:bottom w:val="nil"/>
              <w:right w:val="nil"/>
            </w:tcBorders>
            <w:vAlign w:val="center"/>
          </w:tcPr>
          <w:p w14:paraId="46D66D44" w14:textId="7FB9D4E9"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20.370.720</w:t>
            </w:r>
          </w:p>
        </w:tc>
        <w:tc>
          <w:tcPr>
            <w:tcW w:w="412" w:type="pct"/>
            <w:tcBorders>
              <w:top w:val="nil"/>
              <w:left w:val="nil"/>
              <w:bottom w:val="nil"/>
              <w:right w:val="nil"/>
            </w:tcBorders>
            <w:vAlign w:val="center"/>
          </w:tcPr>
          <w:p w14:paraId="2B2AA232" w14:textId="1729DC6B"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1,82</w:t>
            </w:r>
          </w:p>
        </w:tc>
      </w:tr>
      <w:tr w:rsidR="00E75580" w:rsidRPr="00A33766" w14:paraId="4E4D5431" w14:textId="77777777" w:rsidTr="001529B0">
        <w:trPr>
          <w:trHeight w:val="283"/>
        </w:trPr>
        <w:tc>
          <w:tcPr>
            <w:tcW w:w="2666" w:type="pct"/>
            <w:tcBorders>
              <w:top w:val="nil"/>
              <w:left w:val="nil"/>
              <w:bottom w:val="nil"/>
              <w:right w:val="nil"/>
            </w:tcBorders>
            <w:shd w:val="clear" w:color="auto" w:fill="auto"/>
            <w:noWrap/>
            <w:vAlign w:val="center"/>
            <w:hideMark/>
          </w:tcPr>
          <w:p w14:paraId="2FCE21FB"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Construção civil</w:t>
            </w:r>
          </w:p>
        </w:tc>
        <w:tc>
          <w:tcPr>
            <w:tcW w:w="731" w:type="pct"/>
            <w:tcBorders>
              <w:top w:val="nil"/>
              <w:left w:val="nil"/>
              <w:bottom w:val="nil"/>
              <w:right w:val="nil"/>
            </w:tcBorders>
            <w:shd w:val="clear" w:color="auto" w:fill="auto"/>
            <w:noWrap/>
            <w:vAlign w:val="center"/>
          </w:tcPr>
          <w:p w14:paraId="11FA61AB" w14:textId="5F79F223"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17.572.640</w:t>
            </w:r>
          </w:p>
        </w:tc>
        <w:tc>
          <w:tcPr>
            <w:tcW w:w="420" w:type="pct"/>
            <w:tcBorders>
              <w:top w:val="nil"/>
              <w:left w:val="nil"/>
              <w:bottom w:val="nil"/>
              <w:right w:val="nil"/>
            </w:tcBorders>
            <w:vAlign w:val="center"/>
          </w:tcPr>
          <w:p w14:paraId="4D819B89" w14:textId="7FA2AD79"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1,54</w:t>
            </w:r>
          </w:p>
        </w:tc>
        <w:tc>
          <w:tcPr>
            <w:tcW w:w="771" w:type="pct"/>
            <w:tcBorders>
              <w:top w:val="nil"/>
              <w:left w:val="nil"/>
              <w:bottom w:val="nil"/>
              <w:right w:val="nil"/>
            </w:tcBorders>
            <w:vAlign w:val="center"/>
          </w:tcPr>
          <w:p w14:paraId="0038BC60" w14:textId="3BF9AC65"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17.559.077</w:t>
            </w:r>
          </w:p>
        </w:tc>
        <w:tc>
          <w:tcPr>
            <w:tcW w:w="412" w:type="pct"/>
            <w:tcBorders>
              <w:top w:val="nil"/>
              <w:left w:val="nil"/>
              <w:bottom w:val="nil"/>
              <w:right w:val="nil"/>
            </w:tcBorders>
            <w:vAlign w:val="center"/>
          </w:tcPr>
          <w:p w14:paraId="1B9F6E0B" w14:textId="74576904"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1,57</w:t>
            </w:r>
          </w:p>
        </w:tc>
      </w:tr>
      <w:tr w:rsidR="00E75580" w:rsidRPr="00A33766" w14:paraId="6EA25291" w14:textId="77777777" w:rsidTr="001529B0">
        <w:trPr>
          <w:trHeight w:val="283"/>
        </w:trPr>
        <w:tc>
          <w:tcPr>
            <w:tcW w:w="2666" w:type="pct"/>
            <w:tcBorders>
              <w:top w:val="nil"/>
              <w:left w:val="nil"/>
              <w:bottom w:val="nil"/>
              <w:right w:val="nil"/>
            </w:tcBorders>
            <w:shd w:val="clear" w:color="auto" w:fill="auto"/>
            <w:noWrap/>
            <w:vAlign w:val="center"/>
            <w:hideMark/>
          </w:tcPr>
          <w:p w14:paraId="07A3CCDF"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Energia elétrica</w:t>
            </w:r>
          </w:p>
        </w:tc>
        <w:tc>
          <w:tcPr>
            <w:tcW w:w="731" w:type="pct"/>
            <w:tcBorders>
              <w:top w:val="nil"/>
              <w:left w:val="nil"/>
              <w:bottom w:val="nil"/>
              <w:right w:val="nil"/>
            </w:tcBorders>
            <w:shd w:val="clear" w:color="auto" w:fill="auto"/>
            <w:noWrap/>
            <w:vAlign w:val="center"/>
          </w:tcPr>
          <w:p w14:paraId="31F73E29" w14:textId="1FDF2891"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12.597.139</w:t>
            </w:r>
          </w:p>
        </w:tc>
        <w:tc>
          <w:tcPr>
            <w:tcW w:w="420" w:type="pct"/>
            <w:tcBorders>
              <w:top w:val="nil"/>
              <w:left w:val="nil"/>
              <w:bottom w:val="nil"/>
              <w:right w:val="nil"/>
            </w:tcBorders>
            <w:vAlign w:val="center"/>
          </w:tcPr>
          <w:p w14:paraId="751878BE" w14:textId="131361C4"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1,</w:t>
            </w:r>
            <w:r w:rsidR="00570C4A">
              <w:rPr>
                <w:rFonts w:ascii="CAIXA Std Book" w:hAnsi="CAIXA Std Book"/>
                <w:color w:val="005CA9"/>
                <w:sz w:val="18"/>
                <w:szCs w:val="18"/>
              </w:rPr>
              <w:t>10</w:t>
            </w:r>
          </w:p>
        </w:tc>
        <w:tc>
          <w:tcPr>
            <w:tcW w:w="771" w:type="pct"/>
            <w:tcBorders>
              <w:top w:val="nil"/>
              <w:left w:val="nil"/>
              <w:bottom w:val="nil"/>
              <w:right w:val="nil"/>
            </w:tcBorders>
            <w:vAlign w:val="center"/>
          </w:tcPr>
          <w:p w14:paraId="46DD06A9" w14:textId="5864C5D9"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12.740.298</w:t>
            </w:r>
          </w:p>
        </w:tc>
        <w:tc>
          <w:tcPr>
            <w:tcW w:w="412" w:type="pct"/>
            <w:tcBorders>
              <w:top w:val="nil"/>
              <w:left w:val="nil"/>
              <w:bottom w:val="nil"/>
              <w:right w:val="nil"/>
            </w:tcBorders>
            <w:vAlign w:val="center"/>
          </w:tcPr>
          <w:p w14:paraId="28556221" w14:textId="2D06F85D"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1,14</w:t>
            </w:r>
          </w:p>
        </w:tc>
      </w:tr>
      <w:tr w:rsidR="00E75580" w:rsidRPr="00A33766" w14:paraId="3C18B594" w14:textId="77777777" w:rsidTr="001529B0">
        <w:trPr>
          <w:trHeight w:val="283"/>
        </w:trPr>
        <w:tc>
          <w:tcPr>
            <w:tcW w:w="2666" w:type="pct"/>
            <w:tcBorders>
              <w:top w:val="nil"/>
              <w:left w:val="nil"/>
              <w:bottom w:val="nil"/>
              <w:right w:val="nil"/>
            </w:tcBorders>
            <w:shd w:val="clear" w:color="auto" w:fill="auto"/>
            <w:noWrap/>
            <w:vAlign w:val="center"/>
            <w:hideMark/>
          </w:tcPr>
          <w:p w14:paraId="644688EC"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Comércio atacadista</w:t>
            </w:r>
          </w:p>
        </w:tc>
        <w:tc>
          <w:tcPr>
            <w:tcW w:w="731" w:type="pct"/>
            <w:tcBorders>
              <w:top w:val="nil"/>
              <w:left w:val="nil"/>
              <w:bottom w:val="nil"/>
              <w:right w:val="nil"/>
            </w:tcBorders>
            <w:shd w:val="clear" w:color="auto" w:fill="auto"/>
            <w:noWrap/>
            <w:vAlign w:val="center"/>
          </w:tcPr>
          <w:p w14:paraId="00FFB681" w14:textId="7CF82D72"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12.051.001</w:t>
            </w:r>
          </w:p>
        </w:tc>
        <w:tc>
          <w:tcPr>
            <w:tcW w:w="420" w:type="pct"/>
            <w:tcBorders>
              <w:top w:val="nil"/>
              <w:left w:val="nil"/>
              <w:bottom w:val="nil"/>
              <w:right w:val="nil"/>
            </w:tcBorders>
            <w:vAlign w:val="center"/>
          </w:tcPr>
          <w:p w14:paraId="6D09347F" w14:textId="6E15594B" w:rsidR="00E75580" w:rsidRPr="00E75580" w:rsidRDefault="00570C4A" w:rsidP="00E75580">
            <w:pPr>
              <w:jc w:val="right"/>
              <w:rPr>
                <w:rFonts w:ascii="CAIXA Std Book" w:hAnsi="CAIXA Std Book"/>
                <w:color w:val="005CA9"/>
                <w:sz w:val="18"/>
                <w:szCs w:val="18"/>
              </w:rPr>
            </w:pPr>
            <w:r>
              <w:rPr>
                <w:rFonts w:ascii="CAIXA Std Book" w:hAnsi="CAIXA Std Book"/>
                <w:color w:val="005CA9"/>
                <w:sz w:val="18"/>
                <w:szCs w:val="18"/>
              </w:rPr>
              <w:t>1,05</w:t>
            </w:r>
          </w:p>
        </w:tc>
        <w:tc>
          <w:tcPr>
            <w:tcW w:w="771" w:type="pct"/>
            <w:tcBorders>
              <w:top w:val="nil"/>
              <w:left w:val="nil"/>
              <w:bottom w:val="nil"/>
              <w:right w:val="nil"/>
            </w:tcBorders>
            <w:vAlign w:val="center"/>
          </w:tcPr>
          <w:p w14:paraId="152FF0D7" w14:textId="7F72DC27"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12.369.007</w:t>
            </w:r>
          </w:p>
        </w:tc>
        <w:tc>
          <w:tcPr>
            <w:tcW w:w="412" w:type="pct"/>
            <w:tcBorders>
              <w:top w:val="nil"/>
              <w:left w:val="nil"/>
              <w:bottom w:val="nil"/>
              <w:right w:val="nil"/>
            </w:tcBorders>
            <w:vAlign w:val="center"/>
          </w:tcPr>
          <w:p w14:paraId="6B371B21" w14:textId="7474B23C"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1,10</w:t>
            </w:r>
          </w:p>
        </w:tc>
      </w:tr>
      <w:tr w:rsidR="00E75580" w:rsidRPr="00A33766" w14:paraId="0C1A5E2B" w14:textId="77777777" w:rsidTr="001529B0">
        <w:trPr>
          <w:trHeight w:val="283"/>
        </w:trPr>
        <w:tc>
          <w:tcPr>
            <w:tcW w:w="2666" w:type="pct"/>
            <w:tcBorders>
              <w:top w:val="nil"/>
              <w:left w:val="nil"/>
              <w:bottom w:val="nil"/>
              <w:right w:val="nil"/>
            </w:tcBorders>
            <w:shd w:val="clear" w:color="auto" w:fill="auto"/>
            <w:noWrap/>
            <w:vAlign w:val="center"/>
            <w:hideMark/>
          </w:tcPr>
          <w:p w14:paraId="1AFABA85"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Transporte</w:t>
            </w:r>
          </w:p>
        </w:tc>
        <w:tc>
          <w:tcPr>
            <w:tcW w:w="731" w:type="pct"/>
            <w:tcBorders>
              <w:top w:val="nil"/>
              <w:left w:val="nil"/>
              <w:bottom w:val="nil"/>
              <w:right w:val="nil"/>
            </w:tcBorders>
            <w:shd w:val="clear" w:color="auto" w:fill="auto"/>
            <w:noWrap/>
            <w:vAlign w:val="center"/>
          </w:tcPr>
          <w:p w14:paraId="1FD24C4C" w14:textId="0AC9E11A"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10.141.074</w:t>
            </w:r>
          </w:p>
        </w:tc>
        <w:tc>
          <w:tcPr>
            <w:tcW w:w="420" w:type="pct"/>
            <w:tcBorders>
              <w:top w:val="nil"/>
              <w:left w:val="nil"/>
              <w:bottom w:val="nil"/>
              <w:right w:val="nil"/>
            </w:tcBorders>
            <w:vAlign w:val="center"/>
          </w:tcPr>
          <w:p w14:paraId="61C5BA20" w14:textId="031EAE02"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0,89</w:t>
            </w:r>
          </w:p>
        </w:tc>
        <w:tc>
          <w:tcPr>
            <w:tcW w:w="771" w:type="pct"/>
            <w:tcBorders>
              <w:top w:val="nil"/>
              <w:left w:val="nil"/>
              <w:bottom w:val="nil"/>
              <w:right w:val="nil"/>
            </w:tcBorders>
            <w:vAlign w:val="center"/>
          </w:tcPr>
          <w:p w14:paraId="79825881" w14:textId="3BE6A18E"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10.111.240</w:t>
            </w:r>
          </w:p>
        </w:tc>
        <w:tc>
          <w:tcPr>
            <w:tcW w:w="412" w:type="pct"/>
            <w:tcBorders>
              <w:top w:val="nil"/>
              <w:left w:val="nil"/>
              <w:bottom w:val="nil"/>
              <w:right w:val="nil"/>
            </w:tcBorders>
            <w:vAlign w:val="center"/>
          </w:tcPr>
          <w:p w14:paraId="188A48DF" w14:textId="19D0A4DF"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0,90</w:t>
            </w:r>
          </w:p>
        </w:tc>
      </w:tr>
      <w:tr w:rsidR="00E75580" w:rsidRPr="00A33766" w14:paraId="5C37AB42" w14:textId="77777777" w:rsidTr="001529B0">
        <w:trPr>
          <w:trHeight w:val="283"/>
        </w:trPr>
        <w:tc>
          <w:tcPr>
            <w:tcW w:w="2666" w:type="pct"/>
            <w:tcBorders>
              <w:top w:val="nil"/>
              <w:left w:val="nil"/>
              <w:bottom w:val="nil"/>
              <w:right w:val="nil"/>
            </w:tcBorders>
            <w:shd w:val="clear" w:color="auto" w:fill="auto"/>
            <w:noWrap/>
            <w:vAlign w:val="center"/>
            <w:hideMark/>
          </w:tcPr>
          <w:p w14:paraId="6A9B5236"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Saneamento e infraestrutura</w:t>
            </w:r>
          </w:p>
        </w:tc>
        <w:tc>
          <w:tcPr>
            <w:tcW w:w="731" w:type="pct"/>
            <w:tcBorders>
              <w:top w:val="nil"/>
              <w:left w:val="nil"/>
              <w:bottom w:val="nil"/>
              <w:right w:val="nil"/>
            </w:tcBorders>
            <w:shd w:val="clear" w:color="auto" w:fill="auto"/>
            <w:noWrap/>
            <w:vAlign w:val="center"/>
          </w:tcPr>
          <w:p w14:paraId="63ADE377" w14:textId="4386C21B"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7.755.196</w:t>
            </w:r>
          </w:p>
        </w:tc>
        <w:tc>
          <w:tcPr>
            <w:tcW w:w="420" w:type="pct"/>
            <w:tcBorders>
              <w:top w:val="nil"/>
              <w:left w:val="nil"/>
              <w:bottom w:val="nil"/>
              <w:right w:val="nil"/>
            </w:tcBorders>
            <w:vAlign w:val="center"/>
          </w:tcPr>
          <w:p w14:paraId="20FC441E" w14:textId="4A5143EF"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0,68</w:t>
            </w:r>
          </w:p>
        </w:tc>
        <w:tc>
          <w:tcPr>
            <w:tcW w:w="771" w:type="pct"/>
            <w:tcBorders>
              <w:top w:val="nil"/>
              <w:left w:val="nil"/>
              <w:bottom w:val="nil"/>
              <w:right w:val="nil"/>
            </w:tcBorders>
            <w:vAlign w:val="center"/>
          </w:tcPr>
          <w:p w14:paraId="08CDFE5B" w14:textId="7451C225"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7.760.305</w:t>
            </w:r>
          </w:p>
        </w:tc>
        <w:tc>
          <w:tcPr>
            <w:tcW w:w="412" w:type="pct"/>
            <w:tcBorders>
              <w:top w:val="nil"/>
              <w:left w:val="nil"/>
              <w:bottom w:val="nil"/>
              <w:right w:val="nil"/>
            </w:tcBorders>
            <w:vAlign w:val="center"/>
          </w:tcPr>
          <w:p w14:paraId="61A39929" w14:textId="7F91FC0D"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0,69</w:t>
            </w:r>
          </w:p>
        </w:tc>
      </w:tr>
      <w:tr w:rsidR="00E75580" w:rsidRPr="00A33766" w14:paraId="39F5B9E3" w14:textId="77777777" w:rsidTr="001529B0">
        <w:trPr>
          <w:trHeight w:val="283"/>
        </w:trPr>
        <w:tc>
          <w:tcPr>
            <w:tcW w:w="2666" w:type="pct"/>
            <w:tcBorders>
              <w:top w:val="nil"/>
              <w:left w:val="nil"/>
              <w:bottom w:val="nil"/>
              <w:right w:val="nil"/>
            </w:tcBorders>
            <w:shd w:val="clear" w:color="auto" w:fill="auto"/>
            <w:noWrap/>
            <w:vAlign w:val="center"/>
            <w:hideMark/>
          </w:tcPr>
          <w:p w14:paraId="5EB1FC5C"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Saúde</w:t>
            </w:r>
          </w:p>
        </w:tc>
        <w:tc>
          <w:tcPr>
            <w:tcW w:w="731" w:type="pct"/>
            <w:tcBorders>
              <w:top w:val="nil"/>
              <w:left w:val="nil"/>
              <w:bottom w:val="nil"/>
              <w:right w:val="nil"/>
            </w:tcBorders>
            <w:shd w:val="clear" w:color="auto" w:fill="auto"/>
            <w:noWrap/>
            <w:vAlign w:val="center"/>
          </w:tcPr>
          <w:p w14:paraId="6D2B3926" w14:textId="0517B521"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6.326.999</w:t>
            </w:r>
          </w:p>
        </w:tc>
        <w:tc>
          <w:tcPr>
            <w:tcW w:w="420" w:type="pct"/>
            <w:tcBorders>
              <w:top w:val="nil"/>
              <w:left w:val="nil"/>
              <w:bottom w:val="nil"/>
              <w:right w:val="nil"/>
            </w:tcBorders>
            <w:vAlign w:val="center"/>
          </w:tcPr>
          <w:p w14:paraId="2E3C5DF1" w14:textId="00C2E0F3" w:rsidR="00E75580" w:rsidRPr="00E75580" w:rsidRDefault="000326B4" w:rsidP="00E75580">
            <w:pPr>
              <w:jc w:val="right"/>
              <w:rPr>
                <w:rFonts w:ascii="CAIXA Std Book" w:hAnsi="CAIXA Std Book"/>
                <w:color w:val="005CA9"/>
                <w:sz w:val="18"/>
                <w:szCs w:val="18"/>
              </w:rPr>
            </w:pPr>
            <w:r>
              <w:rPr>
                <w:rFonts w:ascii="CAIXA Std Book" w:hAnsi="CAIXA Std Book"/>
                <w:color w:val="005CA9"/>
                <w:sz w:val="18"/>
                <w:szCs w:val="18"/>
              </w:rPr>
              <w:t>0,55</w:t>
            </w:r>
          </w:p>
        </w:tc>
        <w:tc>
          <w:tcPr>
            <w:tcW w:w="771" w:type="pct"/>
            <w:tcBorders>
              <w:top w:val="nil"/>
              <w:left w:val="nil"/>
              <w:bottom w:val="nil"/>
              <w:right w:val="nil"/>
            </w:tcBorders>
            <w:vAlign w:val="center"/>
          </w:tcPr>
          <w:p w14:paraId="5CECB932" w14:textId="1E7F6D3F"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6.298.583</w:t>
            </w:r>
          </w:p>
        </w:tc>
        <w:tc>
          <w:tcPr>
            <w:tcW w:w="412" w:type="pct"/>
            <w:tcBorders>
              <w:top w:val="nil"/>
              <w:left w:val="nil"/>
              <w:bottom w:val="nil"/>
              <w:right w:val="nil"/>
            </w:tcBorders>
            <w:vAlign w:val="center"/>
          </w:tcPr>
          <w:p w14:paraId="00899A6B" w14:textId="198EBA5E"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0,56</w:t>
            </w:r>
          </w:p>
        </w:tc>
      </w:tr>
      <w:tr w:rsidR="00E75580" w:rsidRPr="00A33766" w14:paraId="7352AE40" w14:textId="77777777" w:rsidTr="001529B0">
        <w:trPr>
          <w:trHeight w:val="283"/>
        </w:trPr>
        <w:tc>
          <w:tcPr>
            <w:tcW w:w="2666" w:type="pct"/>
            <w:tcBorders>
              <w:top w:val="nil"/>
              <w:left w:val="nil"/>
              <w:bottom w:val="nil"/>
              <w:right w:val="nil"/>
            </w:tcBorders>
            <w:shd w:val="clear" w:color="auto" w:fill="auto"/>
            <w:noWrap/>
            <w:vAlign w:val="center"/>
            <w:hideMark/>
          </w:tcPr>
          <w:p w14:paraId="22E90A17"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Agronegócio e extrativismo</w:t>
            </w:r>
          </w:p>
        </w:tc>
        <w:tc>
          <w:tcPr>
            <w:tcW w:w="731" w:type="pct"/>
            <w:tcBorders>
              <w:top w:val="nil"/>
              <w:left w:val="nil"/>
              <w:bottom w:val="nil"/>
              <w:right w:val="nil"/>
            </w:tcBorders>
            <w:shd w:val="clear" w:color="auto" w:fill="auto"/>
            <w:noWrap/>
            <w:vAlign w:val="center"/>
          </w:tcPr>
          <w:p w14:paraId="6134E461" w14:textId="2EA5FBE2"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4.529.385</w:t>
            </w:r>
          </w:p>
        </w:tc>
        <w:tc>
          <w:tcPr>
            <w:tcW w:w="420" w:type="pct"/>
            <w:tcBorders>
              <w:top w:val="nil"/>
              <w:left w:val="nil"/>
              <w:bottom w:val="nil"/>
              <w:right w:val="nil"/>
            </w:tcBorders>
            <w:vAlign w:val="center"/>
          </w:tcPr>
          <w:p w14:paraId="452A36C7" w14:textId="5FAE3E05"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0,40</w:t>
            </w:r>
          </w:p>
        </w:tc>
        <w:tc>
          <w:tcPr>
            <w:tcW w:w="771" w:type="pct"/>
            <w:tcBorders>
              <w:top w:val="nil"/>
              <w:left w:val="nil"/>
              <w:bottom w:val="nil"/>
              <w:right w:val="nil"/>
            </w:tcBorders>
            <w:vAlign w:val="center"/>
          </w:tcPr>
          <w:p w14:paraId="7F844C74" w14:textId="13906FA2"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4.646.013</w:t>
            </w:r>
          </w:p>
        </w:tc>
        <w:tc>
          <w:tcPr>
            <w:tcW w:w="412" w:type="pct"/>
            <w:tcBorders>
              <w:top w:val="nil"/>
              <w:left w:val="nil"/>
              <w:bottom w:val="nil"/>
              <w:right w:val="nil"/>
            </w:tcBorders>
            <w:vAlign w:val="center"/>
          </w:tcPr>
          <w:p w14:paraId="1175E804" w14:textId="27175845"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0,41</w:t>
            </w:r>
          </w:p>
        </w:tc>
      </w:tr>
      <w:tr w:rsidR="00E75580" w:rsidRPr="00A33766" w14:paraId="10F0A7B3" w14:textId="77777777" w:rsidTr="001529B0">
        <w:trPr>
          <w:trHeight w:val="283"/>
        </w:trPr>
        <w:tc>
          <w:tcPr>
            <w:tcW w:w="2666" w:type="pct"/>
            <w:tcBorders>
              <w:top w:val="nil"/>
              <w:left w:val="nil"/>
              <w:bottom w:val="nil"/>
              <w:right w:val="nil"/>
            </w:tcBorders>
            <w:shd w:val="clear" w:color="auto" w:fill="auto"/>
            <w:noWrap/>
            <w:vAlign w:val="center"/>
            <w:hideMark/>
          </w:tcPr>
          <w:p w14:paraId="45F3D46C"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Outras indústrias</w:t>
            </w:r>
          </w:p>
        </w:tc>
        <w:tc>
          <w:tcPr>
            <w:tcW w:w="731" w:type="pct"/>
            <w:tcBorders>
              <w:top w:val="nil"/>
              <w:left w:val="nil"/>
              <w:bottom w:val="nil"/>
              <w:right w:val="nil"/>
            </w:tcBorders>
            <w:shd w:val="clear" w:color="auto" w:fill="auto"/>
            <w:noWrap/>
            <w:vAlign w:val="center"/>
          </w:tcPr>
          <w:p w14:paraId="362900C9" w14:textId="60E71082"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4.519.927</w:t>
            </w:r>
          </w:p>
        </w:tc>
        <w:tc>
          <w:tcPr>
            <w:tcW w:w="420" w:type="pct"/>
            <w:tcBorders>
              <w:top w:val="nil"/>
              <w:left w:val="nil"/>
              <w:bottom w:val="nil"/>
              <w:right w:val="nil"/>
            </w:tcBorders>
            <w:vAlign w:val="center"/>
          </w:tcPr>
          <w:p w14:paraId="5E0FF8C8" w14:textId="1F3EB9FC"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w:t>
            </w:r>
            <w:r w:rsidR="000326B4">
              <w:rPr>
                <w:rFonts w:ascii="CAIXA Std Book" w:hAnsi="CAIXA Std Book"/>
                <w:color w:val="005CA9"/>
                <w:sz w:val="18"/>
                <w:szCs w:val="18"/>
              </w:rPr>
              <w:t>40</w:t>
            </w:r>
          </w:p>
        </w:tc>
        <w:tc>
          <w:tcPr>
            <w:tcW w:w="771" w:type="pct"/>
            <w:tcBorders>
              <w:top w:val="nil"/>
              <w:left w:val="nil"/>
              <w:bottom w:val="nil"/>
              <w:right w:val="nil"/>
            </w:tcBorders>
            <w:vAlign w:val="center"/>
          </w:tcPr>
          <w:p w14:paraId="25C801BA" w14:textId="45A20E4E"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4.594.062</w:t>
            </w:r>
          </w:p>
        </w:tc>
        <w:tc>
          <w:tcPr>
            <w:tcW w:w="412" w:type="pct"/>
            <w:tcBorders>
              <w:top w:val="nil"/>
              <w:left w:val="nil"/>
              <w:bottom w:val="nil"/>
              <w:right w:val="nil"/>
            </w:tcBorders>
            <w:vAlign w:val="center"/>
          </w:tcPr>
          <w:p w14:paraId="04F6F3B9" w14:textId="750BABDC"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0,41</w:t>
            </w:r>
          </w:p>
        </w:tc>
      </w:tr>
      <w:tr w:rsidR="00E75580" w:rsidRPr="00A33766" w14:paraId="4991FBD3" w14:textId="77777777" w:rsidTr="001529B0">
        <w:trPr>
          <w:trHeight w:val="283"/>
        </w:trPr>
        <w:tc>
          <w:tcPr>
            <w:tcW w:w="2666" w:type="pct"/>
            <w:tcBorders>
              <w:top w:val="nil"/>
              <w:left w:val="nil"/>
              <w:bottom w:val="nil"/>
              <w:right w:val="nil"/>
            </w:tcBorders>
            <w:shd w:val="clear" w:color="auto" w:fill="auto"/>
            <w:noWrap/>
            <w:vAlign w:val="center"/>
            <w:hideMark/>
          </w:tcPr>
          <w:p w14:paraId="7B5E26EF"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Alimentação</w:t>
            </w:r>
          </w:p>
        </w:tc>
        <w:tc>
          <w:tcPr>
            <w:tcW w:w="731" w:type="pct"/>
            <w:tcBorders>
              <w:top w:val="nil"/>
              <w:left w:val="nil"/>
              <w:bottom w:val="nil"/>
              <w:right w:val="nil"/>
            </w:tcBorders>
            <w:shd w:val="clear" w:color="auto" w:fill="auto"/>
            <w:noWrap/>
            <w:vAlign w:val="center"/>
          </w:tcPr>
          <w:p w14:paraId="6608A5C5" w14:textId="2422F8D1"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3.033.501</w:t>
            </w:r>
          </w:p>
        </w:tc>
        <w:tc>
          <w:tcPr>
            <w:tcW w:w="420" w:type="pct"/>
            <w:tcBorders>
              <w:top w:val="nil"/>
              <w:left w:val="nil"/>
              <w:bottom w:val="nil"/>
              <w:right w:val="nil"/>
            </w:tcBorders>
            <w:vAlign w:val="center"/>
          </w:tcPr>
          <w:p w14:paraId="74CC55A6" w14:textId="5B99D7C1"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w:t>
            </w:r>
            <w:r w:rsidR="00715C0D">
              <w:rPr>
                <w:rFonts w:ascii="CAIXA Std Book" w:hAnsi="CAIXA Std Book"/>
                <w:color w:val="005CA9"/>
                <w:sz w:val="18"/>
                <w:szCs w:val="18"/>
              </w:rPr>
              <w:t>27</w:t>
            </w:r>
          </w:p>
        </w:tc>
        <w:tc>
          <w:tcPr>
            <w:tcW w:w="771" w:type="pct"/>
            <w:tcBorders>
              <w:top w:val="nil"/>
              <w:left w:val="nil"/>
              <w:bottom w:val="nil"/>
              <w:right w:val="nil"/>
            </w:tcBorders>
            <w:vAlign w:val="center"/>
          </w:tcPr>
          <w:p w14:paraId="5DFEAE66" w14:textId="5BCD1BD8"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3.321.471</w:t>
            </w:r>
          </w:p>
        </w:tc>
        <w:tc>
          <w:tcPr>
            <w:tcW w:w="412" w:type="pct"/>
            <w:tcBorders>
              <w:top w:val="nil"/>
              <w:left w:val="nil"/>
              <w:bottom w:val="nil"/>
              <w:right w:val="nil"/>
            </w:tcBorders>
            <w:vAlign w:val="center"/>
          </w:tcPr>
          <w:p w14:paraId="0E756AE1" w14:textId="66B2104C"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0,30</w:t>
            </w:r>
          </w:p>
        </w:tc>
      </w:tr>
      <w:tr w:rsidR="00E75580" w:rsidRPr="00A33766" w14:paraId="26468A02" w14:textId="77777777" w:rsidTr="001529B0">
        <w:trPr>
          <w:trHeight w:val="283"/>
        </w:trPr>
        <w:tc>
          <w:tcPr>
            <w:tcW w:w="2666" w:type="pct"/>
            <w:tcBorders>
              <w:top w:val="nil"/>
              <w:left w:val="nil"/>
              <w:bottom w:val="nil"/>
              <w:right w:val="nil"/>
            </w:tcBorders>
            <w:shd w:val="clear" w:color="auto" w:fill="auto"/>
            <w:noWrap/>
            <w:vAlign w:val="center"/>
            <w:hideMark/>
          </w:tcPr>
          <w:p w14:paraId="0076AF70"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Siderurgia e metalurgia</w:t>
            </w:r>
          </w:p>
        </w:tc>
        <w:tc>
          <w:tcPr>
            <w:tcW w:w="731" w:type="pct"/>
            <w:tcBorders>
              <w:top w:val="nil"/>
              <w:left w:val="nil"/>
              <w:bottom w:val="nil"/>
              <w:right w:val="nil"/>
            </w:tcBorders>
            <w:shd w:val="clear" w:color="auto" w:fill="auto"/>
            <w:noWrap/>
            <w:vAlign w:val="center"/>
          </w:tcPr>
          <w:p w14:paraId="643510BC" w14:textId="4330094C"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2.683.533</w:t>
            </w:r>
          </w:p>
        </w:tc>
        <w:tc>
          <w:tcPr>
            <w:tcW w:w="420" w:type="pct"/>
            <w:tcBorders>
              <w:top w:val="nil"/>
              <w:left w:val="nil"/>
              <w:bottom w:val="nil"/>
              <w:right w:val="nil"/>
            </w:tcBorders>
            <w:vAlign w:val="center"/>
          </w:tcPr>
          <w:p w14:paraId="62CFED37" w14:textId="7EA8C1B8"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0,2</w:t>
            </w:r>
            <w:r w:rsidR="006D119D">
              <w:rPr>
                <w:rFonts w:ascii="CAIXA Std Book" w:hAnsi="CAIXA Std Book"/>
                <w:color w:val="005CA9"/>
                <w:sz w:val="18"/>
                <w:szCs w:val="18"/>
              </w:rPr>
              <w:t>3</w:t>
            </w:r>
          </w:p>
        </w:tc>
        <w:tc>
          <w:tcPr>
            <w:tcW w:w="771" w:type="pct"/>
            <w:tcBorders>
              <w:top w:val="nil"/>
              <w:left w:val="nil"/>
              <w:bottom w:val="nil"/>
              <w:right w:val="nil"/>
            </w:tcBorders>
            <w:vAlign w:val="center"/>
          </w:tcPr>
          <w:p w14:paraId="5DCC3204" w14:textId="582823DA"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2.883.984</w:t>
            </w:r>
          </w:p>
        </w:tc>
        <w:tc>
          <w:tcPr>
            <w:tcW w:w="412" w:type="pct"/>
            <w:tcBorders>
              <w:top w:val="nil"/>
              <w:left w:val="nil"/>
              <w:bottom w:val="nil"/>
              <w:right w:val="nil"/>
            </w:tcBorders>
            <w:vAlign w:val="center"/>
          </w:tcPr>
          <w:p w14:paraId="7DA7B7E3" w14:textId="16F43FC9"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0,26</w:t>
            </w:r>
          </w:p>
        </w:tc>
      </w:tr>
      <w:tr w:rsidR="00E75580" w:rsidRPr="00A33766" w14:paraId="5823B20E" w14:textId="77777777" w:rsidTr="001529B0">
        <w:trPr>
          <w:trHeight w:val="283"/>
        </w:trPr>
        <w:tc>
          <w:tcPr>
            <w:tcW w:w="2666" w:type="pct"/>
            <w:tcBorders>
              <w:top w:val="nil"/>
              <w:left w:val="nil"/>
              <w:bottom w:val="nil"/>
              <w:right w:val="nil"/>
            </w:tcBorders>
            <w:shd w:val="clear" w:color="auto" w:fill="auto"/>
            <w:noWrap/>
            <w:vAlign w:val="center"/>
            <w:hideMark/>
          </w:tcPr>
          <w:p w14:paraId="7B294305"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Petroquímico</w:t>
            </w:r>
          </w:p>
        </w:tc>
        <w:tc>
          <w:tcPr>
            <w:tcW w:w="731" w:type="pct"/>
            <w:tcBorders>
              <w:top w:val="nil"/>
              <w:left w:val="nil"/>
              <w:bottom w:val="nil"/>
              <w:right w:val="nil"/>
            </w:tcBorders>
            <w:shd w:val="clear" w:color="auto" w:fill="auto"/>
            <w:noWrap/>
            <w:vAlign w:val="center"/>
          </w:tcPr>
          <w:p w14:paraId="78FCFDEA" w14:textId="724099F3"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1.708.792</w:t>
            </w:r>
          </w:p>
        </w:tc>
        <w:tc>
          <w:tcPr>
            <w:tcW w:w="420" w:type="pct"/>
            <w:tcBorders>
              <w:top w:val="nil"/>
              <w:left w:val="nil"/>
              <w:bottom w:val="nil"/>
              <w:right w:val="nil"/>
            </w:tcBorders>
            <w:vAlign w:val="center"/>
          </w:tcPr>
          <w:p w14:paraId="1CA5F7D1" w14:textId="1195F0FB"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0,1</w:t>
            </w:r>
            <w:r w:rsidR="006D119D">
              <w:rPr>
                <w:rFonts w:ascii="CAIXA Std Book" w:hAnsi="CAIXA Std Book"/>
                <w:color w:val="005CA9"/>
                <w:sz w:val="18"/>
                <w:szCs w:val="18"/>
              </w:rPr>
              <w:t>5</w:t>
            </w:r>
          </w:p>
        </w:tc>
        <w:tc>
          <w:tcPr>
            <w:tcW w:w="771" w:type="pct"/>
            <w:tcBorders>
              <w:top w:val="nil"/>
              <w:left w:val="nil"/>
              <w:bottom w:val="nil"/>
              <w:right w:val="nil"/>
            </w:tcBorders>
            <w:vAlign w:val="center"/>
          </w:tcPr>
          <w:p w14:paraId="2620BF81" w14:textId="333FB07A"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1.800.436</w:t>
            </w:r>
          </w:p>
        </w:tc>
        <w:tc>
          <w:tcPr>
            <w:tcW w:w="412" w:type="pct"/>
            <w:tcBorders>
              <w:top w:val="nil"/>
              <w:left w:val="nil"/>
              <w:bottom w:val="nil"/>
              <w:right w:val="nil"/>
            </w:tcBorders>
            <w:vAlign w:val="center"/>
          </w:tcPr>
          <w:p w14:paraId="515F82A4" w14:textId="2D62037A"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0,16</w:t>
            </w:r>
          </w:p>
        </w:tc>
      </w:tr>
      <w:tr w:rsidR="00E75580" w:rsidRPr="00A33766" w14:paraId="46BB37D5" w14:textId="77777777" w:rsidTr="001529B0">
        <w:trPr>
          <w:trHeight w:val="283"/>
        </w:trPr>
        <w:tc>
          <w:tcPr>
            <w:tcW w:w="2666" w:type="pct"/>
            <w:tcBorders>
              <w:top w:val="nil"/>
              <w:left w:val="nil"/>
              <w:bottom w:val="nil"/>
              <w:right w:val="nil"/>
            </w:tcBorders>
            <w:shd w:val="clear" w:color="auto" w:fill="auto"/>
            <w:noWrap/>
            <w:vAlign w:val="center"/>
            <w:hideMark/>
          </w:tcPr>
          <w:p w14:paraId="6C72B32D"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Têxtil</w:t>
            </w:r>
          </w:p>
        </w:tc>
        <w:tc>
          <w:tcPr>
            <w:tcW w:w="731" w:type="pct"/>
            <w:tcBorders>
              <w:top w:val="nil"/>
              <w:left w:val="nil"/>
              <w:bottom w:val="nil"/>
              <w:right w:val="nil"/>
            </w:tcBorders>
            <w:shd w:val="clear" w:color="auto" w:fill="auto"/>
            <w:noWrap/>
            <w:vAlign w:val="center"/>
          </w:tcPr>
          <w:p w14:paraId="0750BB5D" w14:textId="03D2A3D4"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1.535.612</w:t>
            </w:r>
          </w:p>
        </w:tc>
        <w:tc>
          <w:tcPr>
            <w:tcW w:w="420" w:type="pct"/>
            <w:tcBorders>
              <w:top w:val="nil"/>
              <w:left w:val="nil"/>
              <w:bottom w:val="nil"/>
              <w:right w:val="nil"/>
            </w:tcBorders>
            <w:vAlign w:val="center"/>
          </w:tcPr>
          <w:p w14:paraId="3F30958F" w14:textId="3C7FF94D"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w:t>
            </w:r>
            <w:r w:rsidR="00A730AE">
              <w:rPr>
                <w:rFonts w:ascii="CAIXA Std Book" w:hAnsi="CAIXA Std Book"/>
                <w:color w:val="005CA9"/>
                <w:sz w:val="18"/>
                <w:szCs w:val="18"/>
              </w:rPr>
              <w:t>13</w:t>
            </w:r>
          </w:p>
        </w:tc>
        <w:tc>
          <w:tcPr>
            <w:tcW w:w="771" w:type="pct"/>
            <w:tcBorders>
              <w:top w:val="nil"/>
              <w:left w:val="nil"/>
              <w:bottom w:val="nil"/>
              <w:right w:val="nil"/>
            </w:tcBorders>
            <w:vAlign w:val="center"/>
          </w:tcPr>
          <w:p w14:paraId="45E66052" w14:textId="242C19EB"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1.637.433</w:t>
            </w:r>
          </w:p>
        </w:tc>
        <w:tc>
          <w:tcPr>
            <w:tcW w:w="412" w:type="pct"/>
            <w:tcBorders>
              <w:top w:val="nil"/>
              <w:left w:val="nil"/>
              <w:bottom w:val="nil"/>
              <w:right w:val="nil"/>
            </w:tcBorders>
            <w:vAlign w:val="center"/>
          </w:tcPr>
          <w:p w14:paraId="320A0DAB" w14:textId="4AEB017F"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0,15</w:t>
            </w:r>
          </w:p>
        </w:tc>
      </w:tr>
      <w:tr w:rsidR="00E75580" w:rsidRPr="00A33766" w14:paraId="6F95AC4E" w14:textId="77777777" w:rsidTr="001529B0">
        <w:trPr>
          <w:trHeight w:val="283"/>
        </w:trPr>
        <w:tc>
          <w:tcPr>
            <w:tcW w:w="2666" w:type="pct"/>
            <w:tcBorders>
              <w:top w:val="nil"/>
              <w:left w:val="nil"/>
              <w:bottom w:val="nil"/>
              <w:right w:val="nil"/>
            </w:tcBorders>
            <w:shd w:val="clear" w:color="auto" w:fill="auto"/>
            <w:noWrap/>
            <w:vAlign w:val="center"/>
            <w:hideMark/>
          </w:tcPr>
          <w:p w14:paraId="1759B0A3"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Comunicação</w:t>
            </w:r>
          </w:p>
        </w:tc>
        <w:tc>
          <w:tcPr>
            <w:tcW w:w="731" w:type="pct"/>
            <w:tcBorders>
              <w:top w:val="nil"/>
              <w:left w:val="nil"/>
              <w:bottom w:val="nil"/>
              <w:right w:val="nil"/>
            </w:tcBorders>
            <w:shd w:val="clear" w:color="auto" w:fill="auto"/>
            <w:noWrap/>
            <w:vAlign w:val="center"/>
          </w:tcPr>
          <w:p w14:paraId="66DA10EA" w14:textId="3A84A3CE"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1.180.503</w:t>
            </w:r>
          </w:p>
        </w:tc>
        <w:tc>
          <w:tcPr>
            <w:tcW w:w="420" w:type="pct"/>
            <w:tcBorders>
              <w:top w:val="nil"/>
              <w:left w:val="nil"/>
              <w:bottom w:val="nil"/>
              <w:right w:val="nil"/>
            </w:tcBorders>
            <w:vAlign w:val="center"/>
          </w:tcPr>
          <w:p w14:paraId="56C7C795" w14:textId="3DEB1523"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0,10</w:t>
            </w:r>
          </w:p>
        </w:tc>
        <w:tc>
          <w:tcPr>
            <w:tcW w:w="771" w:type="pct"/>
            <w:tcBorders>
              <w:top w:val="nil"/>
              <w:left w:val="nil"/>
              <w:bottom w:val="nil"/>
              <w:right w:val="nil"/>
            </w:tcBorders>
            <w:vAlign w:val="center"/>
          </w:tcPr>
          <w:p w14:paraId="49409285" w14:textId="34A536A9"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1.161.492</w:t>
            </w:r>
          </w:p>
        </w:tc>
        <w:tc>
          <w:tcPr>
            <w:tcW w:w="412" w:type="pct"/>
            <w:tcBorders>
              <w:top w:val="nil"/>
              <w:left w:val="nil"/>
              <w:bottom w:val="nil"/>
              <w:right w:val="nil"/>
            </w:tcBorders>
            <w:vAlign w:val="center"/>
          </w:tcPr>
          <w:p w14:paraId="4D41C7AA" w14:textId="412EBCD9"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0,10</w:t>
            </w:r>
          </w:p>
        </w:tc>
      </w:tr>
      <w:tr w:rsidR="00E75580" w:rsidRPr="00A33766" w14:paraId="763F08D2" w14:textId="77777777" w:rsidTr="001529B0">
        <w:trPr>
          <w:trHeight w:val="283"/>
        </w:trPr>
        <w:tc>
          <w:tcPr>
            <w:tcW w:w="2666" w:type="pct"/>
            <w:tcBorders>
              <w:top w:val="nil"/>
              <w:left w:val="nil"/>
              <w:bottom w:val="nil"/>
              <w:right w:val="nil"/>
            </w:tcBorders>
            <w:shd w:val="clear" w:color="auto" w:fill="auto"/>
            <w:noWrap/>
            <w:vAlign w:val="center"/>
            <w:hideMark/>
          </w:tcPr>
          <w:p w14:paraId="5C002D96"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Serviços financeiros</w:t>
            </w:r>
          </w:p>
        </w:tc>
        <w:tc>
          <w:tcPr>
            <w:tcW w:w="731" w:type="pct"/>
            <w:tcBorders>
              <w:top w:val="nil"/>
              <w:left w:val="nil"/>
              <w:bottom w:val="nil"/>
              <w:right w:val="nil"/>
            </w:tcBorders>
            <w:shd w:val="clear" w:color="auto" w:fill="auto"/>
            <w:noWrap/>
            <w:vAlign w:val="center"/>
          </w:tcPr>
          <w:p w14:paraId="0DE1BA13" w14:textId="2C4F49DF"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880.290</w:t>
            </w:r>
          </w:p>
        </w:tc>
        <w:tc>
          <w:tcPr>
            <w:tcW w:w="420" w:type="pct"/>
            <w:tcBorders>
              <w:top w:val="nil"/>
              <w:left w:val="nil"/>
              <w:bottom w:val="nil"/>
              <w:right w:val="nil"/>
            </w:tcBorders>
            <w:vAlign w:val="center"/>
          </w:tcPr>
          <w:p w14:paraId="27AC1191" w14:textId="0AD75D48"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w:t>
            </w:r>
            <w:r w:rsidR="001003CD">
              <w:rPr>
                <w:rFonts w:ascii="CAIXA Std Book" w:hAnsi="CAIXA Std Book"/>
                <w:color w:val="005CA9"/>
                <w:sz w:val="18"/>
                <w:szCs w:val="18"/>
              </w:rPr>
              <w:t>08</w:t>
            </w:r>
          </w:p>
        </w:tc>
        <w:tc>
          <w:tcPr>
            <w:tcW w:w="771" w:type="pct"/>
            <w:tcBorders>
              <w:top w:val="nil"/>
              <w:left w:val="nil"/>
              <w:bottom w:val="nil"/>
              <w:right w:val="nil"/>
            </w:tcBorders>
            <w:vAlign w:val="center"/>
          </w:tcPr>
          <w:p w14:paraId="0F2AB707" w14:textId="390FA74D"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934.403</w:t>
            </w:r>
          </w:p>
        </w:tc>
        <w:tc>
          <w:tcPr>
            <w:tcW w:w="412" w:type="pct"/>
            <w:tcBorders>
              <w:top w:val="nil"/>
              <w:left w:val="nil"/>
              <w:bottom w:val="nil"/>
              <w:right w:val="nil"/>
            </w:tcBorders>
            <w:vAlign w:val="center"/>
          </w:tcPr>
          <w:p w14:paraId="74BC48BA" w14:textId="2891FFFA"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0,08</w:t>
            </w:r>
          </w:p>
        </w:tc>
      </w:tr>
      <w:tr w:rsidR="00E75580" w:rsidRPr="00A33766" w14:paraId="4D9F9739" w14:textId="77777777" w:rsidTr="001529B0">
        <w:trPr>
          <w:trHeight w:val="283"/>
        </w:trPr>
        <w:tc>
          <w:tcPr>
            <w:tcW w:w="2666" w:type="pct"/>
            <w:tcBorders>
              <w:top w:val="nil"/>
              <w:left w:val="nil"/>
              <w:bottom w:val="nil"/>
              <w:right w:val="nil"/>
            </w:tcBorders>
            <w:shd w:val="clear" w:color="auto" w:fill="auto"/>
            <w:noWrap/>
            <w:vAlign w:val="center"/>
            <w:hideMark/>
          </w:tcPr>
          <w:p w14:paraId="6B4246DD" w14:textId="777777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Serviços pessoais</w:t>
            </w:r>
          </w:p>
        </w:tc>
        <w:tc>
          <w:tcPr>
            <w:tcW w:w="731" w:type="pct"/>
            <w:tcBorders>
              <w:top w:val="nil"/>
              <w:left w:val="nil"/>
              <w:bottom w:val="nil"/>
              <w:right w:val="nil"/>
            </w:tcBorders>
            <w:shd w:val="clear" w:color="auto" w:fill="auto"/>
            <w:noWrap/>
            <w:vAlign w:val="center"/>
          </w:tcPr>
          <w:p w14:paraId="68A57FBF" w14:textId="479B464E"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27</w:t>
            </w:r>
            <w:r w:rsidR="005D060A">
              <w:rPr>
                <w:rFonts w:ascii="CAIXA Std Book" w:hAnsi="CAIXA Std Book"/>
                <w:color w:val="005CA9"/>
                <w:sz w:val="18"/>
                <w:szCs w:val="18"/>
              </w:rPr>
              <w:t>2</w:t>
            </w:r>
            <w:r w:rsidRPr="004C20CF">
              <w:rPr>
                <w:rFonts w:ascii="CAIXA Std Book" w:hAnsi="CAIXA Std Book"/>
                <w:color w:val="005CA9"/>
                <w:sz w:val="18"/>
                <w:szCs w:val="18"/>
              </w:rPr>
              <w:t>.059</w:t>
            </w:r>
          </w:p>
        </w:tc>
        <w:tc>
          <w:tcPr>
            <w:tcW w:w="420" w:type="pct"/>
            <w:tcBorders>
              <w:top w:val="nil"/>
              <w:left w:val="nil"/>
              <w:bottom w:val="nil"/>
              <w:right w:val="nil"/>
            </w:tcBorders>
            <w:vAlign w:val="center"/>
          </w:tcPr>
          <w:p w14:paraId="3022BF25" w14:textId="3968CD09"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0,02</w:t>
            </w:r>
          </w:p>
        </w:tc>
        <w:tc>
          <w:tcPr>
            <w:tcW w:w="771" w:type="pct"/>
            <w:tcBorders>
              <w:top w:val="nil"/>
              <w:left w:val="nil"/>
              <w:bottom w:val="nil"/>
              <w:right w:val="nil"/>
            </w:tcBorders>
            <w:vAlign w:val="center"/>
          </w:tcPr>
          <w:p w14:paraId="400BB27A" w14:textId="0415ECD8"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287.740</w:t>
            </w:r>
          </w:p>
        </w:tc>
        <w:tc>
          <w:tcPr>
            <w:tcW w:w="412" w:type="pct"/>
            <w:tcBorders>
              <w:top w:val="nil"/>
              <w:left w:val="nil"/>
              <w:bottom w:val="nil"/>
              <w:right w:val="nil"/>
            </w:tcBorders>
            <w:vAlign w:val="center"/>
          </w:tcPr>
          <w:p w14:paraId="1BCAC977" w14:textId="582BD7D5"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0,03</w:t>
            </w:r>
          </w:p>
        </w:tc>
      </w:tr>
      <w:tr w:rsidR="00E75580" w:rsidRPr="00A33766" w14:paraId="26F93E47" w14:textId="77777777" w:rsidTr="001529B0">
        <w:trPr>
          <w:trHeight w:val="283"/>
        </w:trPr>
        <w:tc>
          <w:tcPr>
            <w:tcW w:w="2666" w:type="pct"/>
            <w:tcBorders>
              <w:top w:val="nil"/>
              <w:left w:val="nil"/>
              <w:bottom w:val="nil"/>
              <w:right w:val="nil"/>
            </w:tcBorders>
            <w:shd w:val="clear" w:color="auto" w:fill="auto"/>
            <w:noWrap/>
            <w:vAlign w:val="center"/>
            <w:hideMark/>
          </w:tcPr>
          <w:p w14:paraId="458D35E2" w14:textId="30C91077" w:rsidR="00E75580" w:rsidRPr="00FF4346" w:rsidRDefault="00E75580" w:rsidP="00E75580">
            <w:pPr>
              <w:rPr>
                <w:rFonts w:ascii="CAIXA Std Book" w:hAnsi="CAIXA Std Book"/>
                <w:color w:val="005CA9"/>
                <w:sz w:val="18"/>
                <w:szCs w:val="18"/>
              </w:rPr>
            </w:pPr>
            <w:r w:rsidRPr="00FF4346">
              <w:rPr>
                <w:rFonts w:ascii="CAIXA Std Book" w:hAnsi="CAIXA Std Book" w:cs="Arial"/>
                <w:color w:val="005CA9"/>
                <w:sz w:val="18"/>
                <w:szCs w:val="18"/>
              </w:rPr>
              <w:t>Outros serviços</w:t>
            </w:r>
          </w:p>
        </w:tc>
        <w:tc>
          <w:tcPr>
            <w:tcW w:w="731" w:type="pct"/>
            <w:tcBorders>
              <w:top w:val="nil"/>
              <w:left w:val="nil"/>
              <w:bottom w:val="nil"/>
              <w:right w:val="nil"/>
            </w:tcBorders>
            <w:shd w:val="clear" w:color="auto" w:fill="auto"/>
            <w:noWrap/>
            <w:vAlign w:val="center"/>
          </w:tcPr>
          <w:p w14:paraId="5558E90E" w14:textId="740332B8" w:rsidR="00E75580" w:rsidRPr="00FF4346"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11.920.580</w:t>
            </w:r>
          </w:p>
        </w:tc>
        <w:tc>
          <w:tcPr>
            <w:tcW w:w="420" w:type="pct"/>
            <w:tcBorders>
              <w:top w:val="nil"/>
              <w:left w:val="nil"/>
              <w:bottom w:val="nil"/>
              <w:right w:val="nil"/>
            </w:tcBorders>
            <w:vAlign w:val="center"/>
          </w:tcPr>
          <w:p w14:paraId="253DD1E6" w14:textId="6E093B63" w:rsidR="00E75580" w:rsidRPr="00E75580" w:rsidRDefault="00E75580" w:rsidP="00E75580">
            <w:pPr>
              <w:jc w:val="right"/>
              <w:rPr>
                <w:rFonts w:ascii="CAIXA Std Book" w:hAnsi="CAIXA Std Book"/>
                <w:color w:val="005CA9"/>
                <w:sz w:val="18"/>
                <w:szCs w:val="18"/>
              </w:rPr>
            </w:pPr>
            <w:r w:rsidRPr="00E75580">
              <w:rPr>
                <w:rFonts w:ascii="CAIXA Std Book" w:hAnsi="CAIXA Std Book"/>
                <w:color w:val="005CA9"/>
                <w:sz w:val="18"/>
                <w:szCs w:val="18"/>
              </w:rPr>
              <w:t>1,04</w:t>
            </w:r>
          </w:p>
        </w:tc>
        <w:tc>
          <w:tcPr>
            <w:tcW w:w="771" w:type="pct"/>
            <w:tcBorders>
              <w:top w:val="nil"/>
              <w:left w:val="nil"/>
              <w:bottom w:val="nil"/>
              <w:right w:val="nil"/>
            </w:tcBorders>
            <w:vAlign w:val="center"/>
          </w:tcPr>
          <w:p w14:paraId="6777EC2D" w14:textId="2503FD84"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12.243.515</w:t>
            </w:r>
          </w:p>
        </w:tc>
        <w:tc>
          <w:tcPr>
            <w:tcW w:w="412" w:type="pct"/>
            <w:tcBorders>
              <w:top w:val="nil"/>
              <w:left w:val="nil"/>
              <w:bottom w:val="nil"/>
              <w:right w:val="nil"/>
            </w:tcBorders>
            <w:vAlign w:val="center"/>
          </w:tcPr>
          <w:p w14:paraId="4EF1A2A4" w14:textId="25218373" w:rsidR="00E75580" w:rsidRPr="004C20CF" w:rsidRDefault="00E75580" w:rsidP="00E75580">
            <w:pPr>
              <w:jc w:val="right"/>
              <w:rPr>
                <w:rFonts w:ascii="CAIXA Std Book" w:hAnsi="CAIXA Std Book"/>
                <w:color w:val="005CA9"/>
                <w:sz w:val="18"/>
                <w:szCs w:val="18"/>
              </w:rPr>
            </w:pPr>
            <w:r w:rsidRPr="004C20CF">
              <w:rPr>
                <w:rFonts w:ascii="CAIXA Std Book" w:hAnsi="CAIXA Std Book"/>
                <w:color w:val="005CA9"/>
                <w:sz w:val="18"/>
                <w:szCs w:val="18"/>
              </w:rPr>
              <w:t>1,09</w:t>
            </w:r>
          </w:p>
        </w:tc>
      </w:tr>
      <w:tr w:rsidR="00E75580" w:rsidRPr="00A33766" w14:paraId="3FCD0709" w14:textId="77777777" w:rsidTr="001529B0">
        <w:trPr>
          <w:trHeight w:val="283"/>
        </w:trPr>
        <w:tc>
          <w:tcPr>
            <w:tcW w:w="2666" w:type="pct"/>
            <w:tcBorders>
              <w:top w:val="single" w:sz="4" w:space="0" w:color="F39200"/>
              <w:left w:val="nil"/>
              <w:bottom w:val="single" w:sz="4" w:space="0" w:color="F39200"/>
              <w:right w:val="nil"/>
            </w:tcBorders>
            <w:shd w:val="clear" w:color="auto" w:fill="auto"/>
            <w:noWrap/>
            <w:vAlign w:val="center"/>
            <w:hideMark/>
          </w:tcPr>
          <w:p w14:paraId="42D6F552" w14:textId="77777777" w:rsidR="00E75580" w:rsidRPr="00FF4346" w:rsidRDefault="00E75580" w:rsidP="00E75580">
            <w:pPr>
              <w:rPr>
                <w:rFonts w:ascii="CAIXA Std Book" w:hAnsi="CAIXA Std Book"/>
                <w:b/>
                <w:color w:val="005CA9"/>
                <w:sz w:val="18"/>
                <w:szCs w:val="18"/>
              </w:rPr>
            </w:pPr>
            <w:r w:rsidRPr="00FF4346">
              <w:rPr>
                <w:rFonts w:ascii="CAIXA Std Book" w:hAnsi="CAIXA Std Book"/>
                <w:b/>
                <w:color w:val="005CA9"/>
                <w:sz w:val="18"/>
                <w:szCs w:val="18"/>
              </w:rPr>
              <w:t>PESSOA FÍSICA</w:t>
            </w:r>
          </w:p>
        </w:tc>
        <w:tc>
          <w:tcPr>
            <w:tcW w:w="731" w:type="pct"/>
            <w:tcBorders>
              <w:top w:val="single" w:sz="4" w:space="0" w:color="F39200"/>
              <w:left w:val="nil"/>
              <w:bottom w:val="single" w:sz="4" w:space="0" w:color="F39200"/>
              <w:right w:val="nil"/>
            </w:tcBorders>
            <w:shd w:val="clear" w:color="auto" w:fill="auto"/>
            <w:noWrap/>
            <w:vAlign w:val="center"/>
          </w:tcPr>
          <w:p w14:paraId="4B8E2839" w14:textId="77066710"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949.732.393</w:t>
            </w:r>
          </w:p>
        </w:tc>
        <w:tc>
          <w:tcPr>
            <w:tcW w:w="420" w:type="pct"/>
            <w:tcBorders>
              <w:top w:val="single" w:sz="4" w:space="0" w:color="F39200"/>
              <w:left w:val="nil"/>
              <w:bottom w:val="single" w:sz="4" w:space="0" w:color="F39200"/>
              <w:right w:val="nil"/>
            </w:tcBorders>
            <w:vAlign w:val="center"/>
          </w:tcPr>
          <w:p w14:paraId="4C79D04B" w14:textId="5001BCF5" w:rsidR="00E75580" w:rsidRPr="00E75580" w:rsidRDefault="00E75580" w:rsidP="00E75580">
            <w:pPr>
              <w:jc w:val="right"/>
              <w:rPr>
                <w:rFonts w:ascii="CAIXA Std Book" w:hAnsi="CAIXA Std Book"/>
                <w:b/>
                <w:bCs/>
                <w:color w:val="005CA9"/>
                <w:sz w:val="18"/>
                <w:szCs w:val="18"/>
              </w:rPr>
            </w:pPr>
            <w:r w:rsidRPr="00E75580">
              <w:rPr>
                <w:rFonts w:ascii="CAIXA Std Book" w:hAnsi="CAIXA Std Book"/>
                <w:b/>
                <w:bCs/>
                <w:color w:val="005CA9"/>
                <w:sz w:val="18"/>
                <w:szCs w:val="18"/>
              </w:rPr>
              <w:t>83,00</w:t>
            </w:r>
          </w:p>
        </w:tc>
        <w:tc>
          <w:tcPr>
            <w:tcW w:w="771" w:type="pct"/>
            <w:tcBorders>
              <w:top w:val="single" w:sz="4" w:space="0" w:color="F39200"/>
              <w:left w:val="nil"/>
              <w:bottom w:val="single" w:sz="4" w:space="0" w:color="F39200"/>
              <w:right w:val="nil"/>
            </w:tcBorders>
            <w:vAlign w:val="center"/>
          </w:tcPr>
          <w:p w14:paraId="34FE1D69" w14:textId="11BCAC18"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924.563.917</w:t>
            </w:r>
          </w:p>
        </w:tc>
        <w:tc>
          <w:tcPr>
            <w:tcW w:w="412" w:type="pct"/>
            <w:tcBorders>
              <w:top w:val="single" w:sz="4" w:space="0" w:color="F39200"/>
              <w:left w:val="nil"/>
              <w:bottom w:val="single" w:sz="4" w:space="0" w:color="F39200"/>
              <w:right w:val="nil"/>
            </w:tcBorders>
            <w:vAlign w:val="center"/>
          </w:tcPr>
          <w:p w14:paraId="27A9FFF4" w14:textId="0E22DBFB"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82,57</w:t>
            </w:r>
          </w:p>
        </w:tc>
      </w:tr>
      <w:tr w:rsidR="00E75580" w:rsidRPr="00A33766" w14:paraId="72007361" w14:textId="77777777" w:rsidTr="001529B0">
        <w:trPr>
          <w:trHeight w:val="283"/>
        </w:trPr>
        <w:tc>
          <w:tcPr>
            <w:tcW w:w="2666" w:type="pct"/>
            <w:tcBorders>
              <w:top w:val="nil"/>
              <w:left w:val="nil"/>
              <w:bottom w:val="single" w:sz="4" w:space="0" w:color="F39200"/>
              <w:right w:val="nil"/>
            </w:tcBorders>
            <w:shd w:val="clear" w:color="auto" w:fill="auto"/>
            <w:noWrap/>
            <w:vAlign w:val="center"/>
            <w:hideMark/>
          </w:tcPr>
          <w:p w14:paraId="3793C47A" w14:textId="77777777" w:rsidR="00E75580" w:rsidRPr="00FF4346" w:rsidRDefault="00E75580" w:rsidP="00E75580">
            <w:pPr>
              <w:rPr>
                <w:rFonts w:ascii="CAIXA Std Book" w:hAnsi="CAIXA Std Book"/>
                <w:b/>
                <w:color w:val="005CA9"/>
                <w:sz w:val="18"/>
                <w:szCs w:val="18"/>
              </w:rPr>
            </w:pPr>
            <w:r w:rsidRPr="00FF4346">
              <w:rPr>
                <w:rFonts w:ascii="CAIXA Std Book" w:hAnsi="CAIXA Std Book"/>
                <w:b/>
                <w:color w:val="005CA9"/>
                <w:sz w:val="18"/>
                <w:szCs w:val="18"/>
              </w:rPr>
              <w:t>Total</w:t>
            </w:r>
          </w:p>
        </w:tc>
        <w:tc>
          <w:tcPr>
            <w:tcW w:w="731" w:type="pct"/>
            <w:tcBorders>
              <w:top w:val="nil"/>
              <w:left w:val="nil"/>
              <w:bottom w:val="single" w:sz="4" w:space="0" w:color="F39200"/>
              <w:right w:val="nil"/>
            </w:tcBorders>
            <w:shd w:val="clear" w:color="auto" w:fill="auto"/>
            <w:noWrap/>
            <w:vAlign w:val="center"/>
          </w:tcPr>
          <w:p w14:paraId="3AE55EDA" w14:textId="4BACD9B5"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1.144.237.736</w:t>
            </w:r>
          </w:p>
        </w:tc>
        <w:tc>
          <w:tcPr>
            <w:tcW w:w="420" w:type="pct"/>
            <w:tcBorders>
              <w:top w:val="nil"/>
              <w:left w:val="nil"/>
              <w:bottom w:val="single" w:sz="4" w:space="0" w:color="F39200"/>
              <w:right w:val="nil"/>
            </w:tcBorders>
            <w:vAlign w:val="center"/>
          </w:tcPr>
          <w:p w14:paraId="2F2FB705" w14:textId="35CB0FBA" w:rsidR="00E75580" w:rsidRPr="00E75580" w:rsidRDefault="00E75580" w:rsidP="00E75580">
            <w:pPr>
              <w:jc w:val="right"/>
              <w:rPr>
                <w:rFonts w:ascii="CAIXA Std Book" w:hAnsi="CAIXA Std Book"/>
                <w:b/>
                <w:bCs/>
                <w:color w:val="005CA9"/>
                <w:sz w:val="18"/>
                <w:szCs w:val="18"/>
              </w:rPr>
            </w:pPr>
            <w:r w:rsidRPr="00E75580">
              <w:rPr>
                <w:rFonts w:ascii="CAIXA Std Book" w:hAnsi="CAIXA Std Book"/>
                <w:b/>
                <w:bCs/>
                <w:color w:val="005CA9"/>
                <w:sz w:val="18"/>
                <w:szCs w:val="18"/>
              </w:rPr>
              <w:t>100,00</w:t>
            </w:r>
          </w:p>
        </w:tc>
        <w:tc>
          <w:tcPr>
            <w:tcW w:w="771" w:type="pct"/>
            <w:tcBorders>
              <w:top w:val="nil"/>
              <w:left w:val="nil"/>
              <w:bottom w:val="single" w:sz="4" w:space="0" w:color="F39200"/>
              <w:right w:val="nil"/>
            </w:tcBorders>
            <w:vAlign w:val="center"/>
          </w:tcPr>
          <w:p w14:paraId="0C3EBF9F" w14:textId="6A5DD5B1"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1.119.820.258</w:t>
            </w:r>
          </w:p>
        </w:tc>
        <w:tc>
          <w:tcPr>
            <w:tcW w:w="412" w:type="pct"/>
            <w:tcBorders>
              <w:top w:val="nil"/>
              <w:left w:val="nil"/>
              <w:bottom w:val="single" w:sz="4" w:space="0" w:color="F39200"/>
              <w:right w:val="nil"/>
            </w:tcBorders>
            <w:vAlign w:val="center"/>
          </w:tcPr>
          <w:p w14:paraId="0C74A591" w14:textId="2CDBD945" w:rsidR="00E75580" w:rsidRPr="004C20CF" w:rsidRDefault="00E75580" w:rsidP="00E75580">
            <w:pPr>
              <w:jc w:val="right"/>
              <w:rPr>
                <w:rFonts w:ascii="CAIXA Std Book" w:hAnsi="CAIXA Std Book"/>
                <w:b/>
                <w:bCs/>
                <w:color w:val="005CA9"/>
                <w:sz w:val="18"/>
                <w:szCs w:val="18"/>
              </w:rPr>
            </w:pPr>
            <w:r w:rsidRPr="004C20CF">
              <w:rPr>
                <w:rFonts w:ascii="CAIXA Std Book" w:hAnsi="CAIXA Std Book"/>
                <w:b/>
                <w:bCs/>
                <w:color w:val="005CA9"/>
                <w:sz w:val="18"/>
                <w:szCs w:val="18"/>
              </w:rPr>
              <w:t>100,00</w:t>
            </w:r>
          </w:p>
        </w:tc>
      </w:tr>
    </w:tbl>
    <w:p w14:paraId="0429E41C" w14:textId="77777777" w:rsidR="0009069D" w:rsidRDefault="0009069D" w:rsidP="0009069D">
      <w:pPr>
        <w:pStyle w:val="PargrafodaLista"/>
        <w:spacing w:after="120"/>
        <w:ind w:left="0"/>
        <w:contextualSpacing w:val="0"/>
        <w:jc w:val="both"/>
        <w:rPr>
          <w:rFonts w:ascii="CAIXA Std Book" w:hAnsi="CAIXA Std Book"/>
          <w:b/>
          <w:color w:val="005CA9"/>
          <w:sz w:val="20"/>
          <w:szCs w:val="20"/>
        </w:rPr>
      </w:pPr>
    </w:p>
    <w:p w14:paraId="4348C16C" w14:textId="0AFFC098" w:rsidR="00BA44FA" w:rsidRPr="00FF4346" w:rsidRDefault="009865A7"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t xml:space="preserve">Receita da </w:t>
      </w:r>
      <w:r w:rsidR="005B2F30" w:rsidRPr="00FF4346">
        <w:rPr>
          <w:rFonts w:ascii="CAIXA Std Book" w:hAnsi="CAIXA Std Book"/>
          <w:b/>
          <w:color w:val="005CA9"/>
          <w:sz w:val="20"/>
          <w:szCs w:val="20"/>
        </w:rPr>
        <w:t>c</w:t>
      </w:r>
      <w:r w:rsidRPr="00FF4346">
        <w:rPr>
          <w:rFonts w:ascii="CAIXA Std Book" w:hAnsi="CAIXA Std Book"/>
          <w:b/>
          <w:color w:val="005CA9"/>
          <w:sz w:val="20"/>
          <w:szCs w:val="20"/>
        </w:rPr>
        <w:t>arteira de crédito</w:t>
      </w:r>
    </w:p>
    <w:p w14:paraId="6F87F00F" w14:textId="51F1CB8F" w:rsidR="00DB1D6F" w:rsidRPr="00FF4346" w:rsidRDefault="000D0BDE" w:rsidP="005B2F30">
      <w:pPr>
        <w:spacing w:before="240" w:after="240"/>
        <w:jc w:val="both"/>
        <w:rPr>
          <w:rFonts w:ascii="CAIXA Std Book" w:hAnsi="CAIXA Std Book"/>
          <w:color w:val="005CA9"/>
          <w:sz w:val="20"/>
          <w:szCs w:val="20"/>
        </w:rPr>
      </w:pPr>
      <w:r w:rsidRPr="00FF4346">
        <w:rPr>
          <w:rFonts w:ascii="CAIXA Std Book" w:hAnsi="CAIXA Std Book"/>
          <w:color w:val="005CA9"/>
          <w:sz w:val="20"/>
          <w:szCs w:val="20"/>
        </w:rPr>
        <w:t xml:space="preserve">A receita da Carteira de crédito apresentou variação entre o individual e o consolidado </w:t>
      </w:r>
      <w:r w:rsidRPr="00677547">
        <w:rPr>
          <w:rFonts w:ascii="CAIXA Std Book" w:hAnsi="CAIXA Std Book"/>
          <w:color w:val="005CA9"/>
          <w:sz w:val="20"/>
          <w:szCs w:val="20"/>
        </w:rPr>
        <w:t xml:space="preserve">de R$ </w:t>
      </w:r>
      <w:r w:rsidR="00677547" w:rsidRPr="00677547">
        <w:rPr>
          <w:rFonts w:ascii="CAIXA Std Book" w:hAnsi="CAIXA Std Book"/>
          <w:color w:val="005CA9"/>
          <w:sz w:val="20"/>
          <w:szCs w:val="20"/>
        </w:rPr>
        <w:t>32.2</w:t>
      </w:r>
      <w:r w:rsidR="001F6FF0">
        <w:rPr>
          <w:rFonts w:ascii="CAIXA Std Book" w:hAnsi="CAIXA Std Book"/>
          <w:color w:val="005CA9"/>
          <w:sz w:val="20"/>
          <w:szCs w:val="20"/>
        </w:rPr>
        <w:t>06</w:t>
      </w:r>
      <w:r w:rsidRPr="00677547">
        <w:rPr>
          <w:rFonts w:ascii="CAIXA Std Book" w:hAnsi="CAIXA Std Book"/>
          <w:color w:val="005CA9"/>
          <w:sz w:val="20"/>
          <w:szCs w:val="20"/>
        </w:rPr>
        <w:t xml:space="preserve"> no</w:t>
      </w:r>
      <w:r w:rsidRPr="00FF4346">
        <w:rPr>
          <w:rFonts w:ascii="CAIXA Std Book" w:hAnsi="CAIXA Std Book"/>
          <w:color w:val="005CA9"/>
          <w:sz w:val="20"/>
          <w:szCs w:val="20"/>
        </w:rPr>
        <w:t xml:space="preserve"> </w:t>
      </w:r>
      <w:r w:rsidR="002765BA">
        <w:rPr>
          <w:rFonts w:ascii="CAIXA Std Book" w:hAnsi="CAIXA Std Book"/>
          <w:color w:val="005CA9"/>
          <w:sz w:val="20"/>
          <w:szCs w:val="20"/>
        </w:rPr>
        <w:t>1º trimestre</w:t>
      </w:r>
      <w:r w:rsidRPr="00FF4346">
        <w:rPr>
          <w:rFonts w:ascii="CAIXA Std Book" w:hAnsi="CAIXA Std Book"/>
          <w:color w:val="005CA9"/>
          <w:sz w:val="20"/>
          <w:szCs w:val="20"/>
        </w:rPr>
        <w:t xml:space="preserve"> </w:t>
      </w:r>
      <w:r w:rsidR="003F41DB">
        <w:rPr>
          <w:rFonts w:ascii="CAIXA Std Book" w:hAnsi="CAIXA Std Book"/>
          <w:color w:val="005CA9"/>
          <w:sz w:val="20"/>
          <w:szCs w:val="20"/>
        </w:rPr>
        <w:t xml:space="preserve">de 2024 </w:t>
      </w:r>
      <w:r w:rsidRPr="00FF4346">
        <w:rPr>
          <w:rFonts w:ascii="CAIXA Std Book" w:hAnsi="CAIXA Std Book"/>
          <w:color w:val="005CA9"/>
          <w:sz w:val="20"/>
          <w:szCs w:val="20"/>
        </w:rPr>
        <w:t xml:space="preserve">(R$ </w:t>
      </w:r>
      <w:r w:rsidR="003F41DB">
        <w:rPr>
          <w:rFonts w:ascii="CAIXA Std Book" w:hAnsi="CAIXA Std Book"/>
          <w:color w:val="005CA9"/>
          <w:sz w:val="20"/>
          <w:szCs w:val="20"/>
        </w:rPr>
        <w:t>32.429</w:t>
      </w:r>
      <w:r w:rsidRPr="00FF4346">
        <w:rPr>
          <w:rFonts w:ascii="CAIXA Std Book" w:hAnsi="CAIXA Std Book"/>
          <w:color w:val="005CA9"/>
          <w:sz w:val="20"/>
          <w:szCs w:val="20"/>
        </w:rPr>
        <w:t xml:space="preserve"> no </w:t>
      </w:r>
      <w:r w:rsidR="00BA1A79">
        <w:rPr>
          <w:rFonts w:ascii="CAIXA Std Book" w:hAnsi="CAIXA Std Book"/>
          <w:color w:val="005CA9"/>
          <w:sz w:val="20"/>
          <w:szCs w:val="20"/>
        </w:rPr>
        <w:t>1º trimestre de 2023</w:t>
      </w:r>
      <w:r w:rsidRPr="00FF4346">
        <w:rPr>
          <w:rFonts w:ascii="CAIXA Std Book" w:hAnsi="CAIXA Std Book"/>
          <w:color w:val="005CA9"/>
          <w:sz w:val="20"/>
          <w:szCs w:val="20"/>
        </w:rPr>
        <w:t>)</w:t>
      </w:r>
      <w:r w:rsidR="00451986" w:rsidRPr="00FF4346">
        <w:rPr>
          <w:rFonts w:ascii="CAIXA Std Book" w:hAnsi="CAIXA Std Book"/>
          <w:color w:val="005CA9"/>
          <w:sz w:val="20"/>
          <w:szCs w:val="20"/>
        </w:rPr>
        <w:t>.</w:t>
      </w:r>
    </w:p>
    <w:tbl>
      <w:tblPr>
        <w:tblW w:w="5001" w:type="pct"/>
        <w:tblLayout w:type="fixed"/>
        <w:tblCellMar>
          <w:left w:w="70" w:type="dxa"/>
          <w:right w:w="70" w:type="dxa"/>
        </w:tblCellMar>
        <w:tblLook w:val="04A0" w:firstRow="1" w:lastRow="0" w:firstColumn="1" w:lastColumn="0" w:noHBand="0" w:noVBand="1"/>
      </w:tblPr>
      <w:tblGrid>
        <w:gridCol w:w="5529"/>
        <w:gridCol w:w="1985"/>
        <w:gridCol w:w="1985"/>
      </w:tblGrid>
      <w:tr w:rsidR="00CF3CAA" w:rsidRPr="00B11D80" w14:paraId="35366767" w14:textId="77777777" w:rsidTr="007B793D">
        <w:trPr>
          <w:trHeight w:val="283"/>
        </w:trPr>
        <w:tc>
          <w:tcPr>
            <w:tcW w:w="5000" w:type="pct"/>
            <w:gridSpan w:val="3"/>
            <w:tcBorders>
              <w:top w:val="single" w:sz="4" w:space="0" w:color="F79646"/>
              <w:left w:val="nil"/>
              <w:bottom w:val="single" w:sz="4" w:space="0" w:color="F79646"/>
              <w:right w:val="nil"/>
            </w:tcBorders>
            <w:vAlign w:val="center"/>
          </w:tcPr>
          <w:p w14:paraId="58E07005" w14:textId="77777777" w:rsidR="00CF3CAA" w:rsidRPr="00B11D80" w:rsidRDefault="00CF3CAA">
            <w:pPr>
              <w:jc w:val="center"/>
              <w:rPr>
                <w:rFonts w:ascii="CAIXA Std Book" w:hAnsi="CAIXA Std Book"/>
                <w:b/>
                <w:color w:val="005CA9"/>
                <w:sz w:val="18"/>
                <w:szCs w:val="18"/>
              </w:rPr>
            </w:pPr>
            <w:r w:rsidRPr="00B11D80">
              <w:rPr>
                <w:rFonts w:ascii="CAIXA Std Book" w:hAnsi="CAIXA Std Book"/>
                <w:b/>
                <w:color w:val="005CA9"/>
                <w:sz w:val="18"/>
                <w:szCs w:val="18"/>
              </w:rPr>
              <w:t>INDIVIDUAL</w:t>
            </w:r>
          </w:p>
        </w:tc>
      </w:tr>
      <w:tr w:rsidR="00CF3CAA" w:rsidRPr="00B11D80" w14:paraId="79B71D58" w14:textId="77777777" w:rsidTr="00DB303C">
        <w:trPr>
          <w:trHeight w:val="283"/>
        </w:trPr>
        <w:tc>
          <w:tcPr>
            <w:tcW w:w="2910" w:type="pct"/>
            <w:vMerge w:val="restart"/>
            <w:tcBorders>
              <w:top w:val="single" w:sz="4" w:space="0" w:color="F79646"/>
              <w:left w:val="nil"/>
              <w:bottom w:val="single" w:sz="4" w:space="0" w:color="F79646"/>
              <w:right w:val="nil"/>
            </w:tcBorders>
            <w:shd w:val="clear" w:color="auto" w:fill="auto"/>
            <w:vAlign w:val="center"/>
            <w:hideMark/>
          </w:tcPr>
          <w:p w14:paraId="0329B05D" w14:textId="77777777" w:rsidR="00CF3CAA" w:rsidRPr="00B11D80" w:rsidRDefault="00CF3CAA">
            <w:pPr>
              <w:jc w:val="center"/>
              <w:rPr>
                <w:rFonts w:ascii="CAIXA Std Book" w:eastAsia="Times New Roman" w:hAnsi="CAIXA Std Book" w:cs="Arial"/>
                <w:b/>
                <w:color w:val="005CA9"/>
                <w:sz w:val="18"/>
                <w:szCs w:val="18"/>
              </w:rPr>
            </w:pPr>
            <w:r w:rsidRPr="00B11D80">
              <w:rPr>
                <w:rFonts w:ascii="CAIXA Std Book" w:eastAsia="Times New Roman" w:hAnsi="CAIXA Std Book" w:cs="Arial"/>
                <w:b/>
                <w:color w:val="005CA9"/>
                <w:sz w:val="18"/>
                <w:szCs w:val="18"/>
              </w:rPr>
              <w:t>Descrição</w:t>
            </w:r>
          </w:p>
        </w:tc>
        <w:tc>
          <w:tcPr>
            <w:tcW w:w="1045" w:type="pct"/>
            <w:tcBorders>
              <w:top w:val="single" w:sz="4" w:space="0" w:color="F79646"/>
              <w:left w:val="nil"/>
              <w:bottom w:val="single" w:sz="4" w:space="0" w:color="F79646"/>
              <w:right w:val="nil"/>
            </w:tcBorders>
            <w:shd w:val="clear" w:color="auto" w:fill="auto"/>
            <w:vAlign w:val="center"/>
            <w:hideMark/>
          </w:tcPr>
          <w:p w14:paraId="715FA05F" w14:textId="0FD455CA" w:rsidR="00CF3CAA" w:rsidRPr="00B11D80" w:rsidRDefault="00CF3CAA">
            <w:pPr>
              <w:jc w:val="center"/>
              <w:rPr>
                <w:rFonts w:ascii="CAIXA Std Book" w:hAnsi="CAIXA Std Book"/>
                <w:b/>
                <w:color w:val="005CA9"/>
                <w:sz w:val="18"/>
                <w:szCs w:val="18"/>
              </w:rPr>
            </w:pPr>
            <w:r w:rsidRPr="00B11D80">
              <w:rPr>
                <w:rFonts w:ascii="CAIXA Std Book" w:hAnsi="CAIXA Std Book"/>
                <w:b/>
                <w:color w:val="005CA9"/>
                <w:sz w:val="18"/>
                <w:szCs w:val="18"/>
              </w:rPr>
              <w:t>2024</w:t>
            </w:r>
          </w:p>
        </w:tc>
        <w:tc>
          <w:tcPr>
            <w:tcW w:w="1045" w:type="pct"/>
            <w:tcBorders>
              <w:top w:val="single" w:sz="4" w:space="0" w:color="F79646"/>
              <w:left w:val="nil"/>
              <w:bottom w:val="single" w:sz="4" w:space="0" w:color="F79646"/>
              <w:right w:val="nil"/>
            </w:tcBorders>
            <w:shd w:val="clear" w:color="auto" w:fill="auto"/>
            <w:vAlign w:val="center"/>
          </w:tcPr>
          <w:p w14:paraId="7C984C61" w14:textId="05540788" w:rsidR="00CF3CAA" w:rsidRPr="00B11D80" w:rsidRDefault="00CF3CAA">
            <w:pPr>
              <w:jc w:val="center"/>
              <w:rPr>
                <w:rFonts w:ascii="CAIXA Std Book" w:hAnsi="CAIXA Std Book"/>
                <w:b/>
                <w:color w:val="005CA9"/>
                <w:sz w:val="18"/>
                <w:szCs w:val="18"/>
              </w:rPr>
            </w:pPr>
            <w:r w:rsidRPr="00B11D80">
              <w:rPr>
                <w:rFonts w:ascii="CAIXA Std Book" w:hAnsi="CAIXA Std Book"/>
                <w:b/>
                <w:color w:val="005CA9"/>
                <w:sz w:val="18"/>
                <w:szCs w:val="18"/>
              </w:rPr>
              <w:t>2023</w:t>
            </w:r>
          </w:p>
        </w:tc>
      </w:tr>
      <w:tr w:rsidR="00CF3CAA" w:rsidRPr="00B11D80" w14:paraId="534240A8" w14:textId="77777777" w:rsidTr="00DB303C">
        <w:trPr>
          <w:trHeight w:val="283"/>
        </w:trPr>
        <w:tc>
          <w:tcPr>
            <w:tcW w:w="2910" w:type="pct"/>
            <w:vMerge/>
            <w:tcBorders>
              <w:top w:val="single" w:sz="4" w:space="0" w:color="F79646"/>
              <w:left w:val="nil"/>
              <w:bottom w:val="single" w:sz="4" w:space="0" w:color="F79646"/>
              <w:right w:val="nil"/>
            </w:tcBorders>
            <w:vAlign w:val="center"/>
            <w:hideMark/>
          </w:tcPr>
          <w:p w14:paraId="00EDBFC5" w14:textId="77777777" w:rsidR="00CF3CAA" w:rsidRPr="00B11D80" w:rsidRDefault="00CF3CAA">
            <w:pPr>
              <w:jc w:val="center"/>
              <w:rPr>
                <w:rFonts w:ascii="CAIXA Std Book" w:eastAsia="Times New Roman" w:hAnsi="CAIXA Std Book" w:cs="Arial"/>
                <w:b/>
                <w:color w:val="005CA9"/>
                <w:sz w:val="18"/>
                <w:szCs w:val="18"/>
              </w:rPr>
            </w:pPr>
          </w:p>
        </w:tc>
        <w:tc>
          <w:tcPr>
            <w:tcW w:w="1045" w:type="pct"/>
            <w:tcBorders>
              <w:top w:val="single" w:sz="4" w:space="0" w:color="F79646"/>
              <w:left w:val="nil"/>
              <w:bottom w:val="single" w:sz="4" w:space="0" w:color="F79646"/>
              <w:right w:val="nil"/>
            </w:tcBorders>
            <w:shd w:val="clear" w:color="auto" w:fill="auto"/>
            <w:noWrap/>
            <w:vAlign w:val="center"/>
          </w:tcPr>
          <w:p w14:paraId="3BE2935A" w14:textId="77777777" w:rsidR="00CF3CAA" w:rsidRPr="00B11D80" w:rsidRDefault="00CF3CAA">
            <w:pPr>
              <w:jc w:val="center"/>
              <w:rPr>
                <w:rFonts w:ascii="CAIXA Std Book" w:hAnsi="CAIXA Std Book"/>
                <w:b/>
                <w:color w:val="005CA9"/>
                <w:sz w:val="18"/>
                <w:szCs w:val="18"/>
              </w:rPr>
            </w:pPr>
            <w:r w:rsidRPr="00B11D80">
              <w:rPr>
                <w:rFonts w:ascii="CAIXA Std Book" w:hAnsi="CAIXA Std Book"/>
                <w:b/>
                <w:color w:val="005CA9"/>
                <w:sz w:val="18"/>
                <w:szCs w:val="18"/>
              </w:rPr>
              <w:t>1º trimestre</w:t>
            </w:r>
          </w:p>
        </w:tc>
        <w:tc>
          <w:tcPr>
            <w:tcW w:w="1045" w:type="pct"/>
            <w:tcBorders>
              <w:top w:val="single" w:sz="4" w:space="0" w:color="F79646"/>
              <w:left w:val="nil"/>
              <w:bottom w:val="single" w:sz="4" w:space="0" w:color="F79646"/>
              <w:right w:val="nil"/>
            </w:tcBorders>
            <w:shd w:val="clear" w:color="auto" w:fill="auto"/>
            <w:vAlign w:val="center"/>
          </w:tcPr>
          <w:p w14:paraId="7E3BB2AB" w14:textId="77777777" w:rsidR="00CF3CAA" w:rsidRPr="00B11D80" w:rsidRDefault="00CF3CAA">
            <w:pPr>
              <w:jc w:val="center"/>
              <w:rPr>
                <w:rFonts w:ascii="CAIXA Std Book" w:hAnsi="CAIXA Std Book"/>
                <w:b/>
                <w:color w:val="005CA9"/>
                <w:sz w:val="18"/>
                <w:szCs w:val="18"/>
              </w:rPr>
            </w:pPr>
            <w:r w:rsidRPr="00B11D80">
              <w:rPr>
                <w:rFonts w:ascii="CAIXA Std Book" w:hAnsi="CAIXA Std Book"/>
                <w:b/>
                <w:color w:val="005CA9"/>
                <w:sz w:val="18"/>
                <w:szCs w:val="18"/>
              </w:rPr>
              <w:t>1º trimestre</w:t>
            </w:r>
          </w:p>
        </w:tc>
      </w:tr>
      <w:tr w:rsidR="0039640F" w:rsidRPr="00B11D80" w14:paraId="30C67B44" w14:textId="77777777" w:rsidTr="00DB303C">
        <w:trPr>
          <w:trHeight w:val="283"/>
        </w:trPr>
        <w:tc>
          <w:tcPr>
            <w:tcW w:w="2910" w:type="pct"/>
            <w:tcBorders>
              <w:top w:val="single" w:sz="4" w:space="0" w:color="F79646"/>
              <w:left w:val="nil"/>
              <w:bottom w:val="nil"/>
              <w:right w:val="nil"/>
            </w:tcBorders>
            <w:shd w:val="clear" w:color="auto" w:fill="auto"/>
            <w:vAlign w:val="center"/>
            <w:hideMark/>
          </w:tcPr>
          <w:p w14:paraId="2FB754A9" w14:textId="6302DF8A" w:rsidR="0039640F" w:rsidRPr="00B11D80" w:rsidRDefault="00444A6C" w:rsidP="0039640F">
            <w:pPr>
              <w:rPr>
                <w:rFonts w:ascii="CAIXA Std Book" w:hAnsi="CAIXA Std Book"/>
                <w:color w:val="005CA9"/>
                <w:sz w:val="18"/>
                <w:szCs w:val="18"/>
              </w:rPr>
            </w:pPr>
            <w:r w:rsidRPr="00B11D80">
              <w:rPr>
                <w:rFonts w:ascii="CAIXA Std Book" w:hAnsi="CAIXA Std Book"/>
                <w:color w:val="005CA9"/>
                <w:sz w:val="18"/>
                <w:szCs w:val="18"/>
              </w:rPr>
              <w:t>Financiamentos imobiliários</w:t>
            </w:r>
          </w:p>
        </w:tc>
        <w:tc>
          <w:tcPr>
            <w:tcW w:w="1045" w:type="pct"/>
            <w:tcBorders>
              <w:top w:val="single" w:sz="4" w:space="0" w:color="F79646"/>
              <w:left w:val="nil"/>
              <w:bottom w:val="nil"/>
              <w:right w:val="nil"/>
            </w:tcBorders>
            <w:shd w:val="clear" w:color="auto" w:fill="auto"/>
            <w:noWrap/>
            <w:vAlign w:val="center"/>
          </w:tcPr>
          <w:p w14:paraId="273792E4" w14:textId="2622F5D8"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14.738.872</w:t>
            </w:r>
          </w:p>
        </w:tc>
        <w:tc>
          <w:tcPr>
            <w:tcW w:w="1045" w:type="pct"/>
            <w:tcBorders>
              <w:top w:val="single" w:sz="4" w:space="0" w:color="F79646"/>
              <w:left w:val="nil"/>
              <w:bottom w:val="nil"/>
              <w:right w:val="nil"/>
            </w:tcBorders>
            <w:vAlign w:val="center"/>
          </w:tcPr>
          <w:p w14:paraId="1A0AF0D9" w14:textId="6B376DFD" w:rsidR="0039640F" w:rsidRPr="00B11D80" w:rsidRDefault="00F32333"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14.800.325</w:t>
            </w:r>
          </w:p>
        </w:tc>
      </w:tr>
      <w:tr w:rsidR="0039640F" w:rsidRPr="00B11D80" w14:paraId="6C9C189F" w14:textId="77777777" w:rsidTr="00DB303C">
        <w:trPr>
          <w:trHeight w:val="283"/>
        </w:trPr>
        <w:tc>
          <w:tcPr>
            <w:tcW w:w="2910" w:type="pct"/>
            <w:tcBorders>
              <w:top w:val="nil"/>
              <w:left w:val="nil"/>
              <w:bottom w:val="nil"/>
              <w:right w:val="nil"/>
            </w:tcBorders>
            <w:shd w:val="clear" w:color="auto" w:fill="auto"/>
            <w:vAlign w:val="center"/>
            <w:hideMark/>
          </w:tcPr>
          <w:p w14:paraId="4973AFA7" w14:textId="319E1278" w:rsidR="0039640F" w:rsidRPr="00B11D80" w:rsidRDefault="00444A6C" w:rsidP="0039640F">
            <w:pPr>
              <w:rPr>
                <w:rFonts w:ascii="CAIXA Std Book" w:hAnsi="CAIXA Std Book"/>
                <w:color w:val="005CA9"/>
                <w:sz w:val="18"/>
                <w:szCs w:val="18"/>
              </w:rPr>
            </w:pPr>
            <w:r w:rsidRPr="00B11D80">
              <w:rPr>
                <w:rFonts w:ascii="CAIXA Std Book" w:hAnsi="CAIXA Std Book"/>
                <w:color w:val="005CA9"/>
                <w:sz w:val="18"/>
                <w:szCs w:val="18"/>
              </w:rPr>
              <w:t>Empréstimos e títulos descontados</w:t>
            </w:r>
          </w:p>
        </w:tc>
        <w:tc>
          <w:tcPr>
            <w:tcW w:w="1045" w:type="pct"/>
            <w:tcBorders>
              <w:top w:val="nil"/>
              <w:left w:val="nil"/>
              <w:bottom w:val="nil"/>
              <w:right w:val="nil"/>
            </w:tcBorders>
            <w:shd w:val="clear" w:color="auto" w:fill="auto"/>
            <w:noWrap/>
            <w:vAlign w:val="center"/>
          </w:tcPr>
          <w:p w14:paraId="76266C3C" w14:textId="263E1B43"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10.563.376</w:t>
            </w:r>
          </w:p>
        </w:tc>
        <w:tc>
          <w:tcPr>
            <w:tcW w:w="1045" w:type="pct"/>
            <w:tcBorders>
              <w:top w:val="nil"/>
              <w:left w:val="nil"/>
              <w:bottom w:val="nil"/>
              <w:right w:val="nil"/>
            </w:tcBorders>
            <w:vAlign w:val="center"/>
          </w:tcPr>
          <w:p w14:paraId="3B134072" w14:textId="2EB30D01" w:rsidR="0039640F" w:rsidRPr="00B11D80" w:rsidRDefault="00393B86"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10.730.707</w:t>
            </w:r>
          </w:p>
        </w:tc>
      </w:tr>
      <w:tr w:rsidR="0039640F" w:rsidRPr="00B11D80" w14:paraId="71BBF853" w14:textId="77777777" w:rsidTr="00DB303C">
        <w:trPr>
          <w:trHeight w:val="283"/>
        </w:trPr>
        <w:tc>
          <w:tcPr>
            <w:tcW w:w="2910" w:type="pct"/>
            <w:tcBorders>
              <w:top w:val="nil"/>
              <w:left w:val="nil"/>
              <w:bottom w:val="nil"/>
              <w:right w:val="nil"/>
            </w:tcBorders>
            <w:shd w:val="clear" w:color="auto" w:fill="auto"/>
            <w:noWrap/>
            <w:vAlign w:val="center"/>
            <w:hideMark/>
          </w:tcPr>
          <w:p w14:paraId="3B698958" w14:textId="1DD3D6B7" w:rsidR="0039640F" w:rsidRPr="00B11D80" w:rsidRDefault="00444A6C" w:rsidP="0039640F">
            <w:pPr>
              <w:rPr>
                <w:rFonts w:ascii="CAIXA Std Book" w:hAnsi="CAIXA Std Book"/>
                <w:color w:val="005CA9"/>
                <w:sz w:val="18"/>
                <w:szCs w:val="18"/>
              </w:rPr>
            </w:pPr>
            <w:r w:rsidRPr="00B11D80">
              <w:rPr>
                <w:rFonts w:ascii="CAIXA Std Book" w:hAnsi="CAIXA Std Book"/>
                <w:color w:val="005CA9"/>
                <w:sz w:val="18"/>
                <w:szCs w:val="18"/>
              </w:rPr>
              <w:t>Financiamentos de infraestrutura e desenvolvimento</w:t>
            </w:r>
          </w:p>
        </w:tc>
        <w:tc>
          <w:tcPr>
            <w:tcW w:w="1045" w:type="pct"/>
            <w:tcBorders>
              <w:top w:val="nil"/>
              <w:left w:val="nil"/>
              <w:bottom w:val="nil"/>
              <w:right w:val="nil"/>
            </w:tcBorders>
            <w:shd w:val="clear" w:color="auto" w:fill="auto"/>
            <w:noWrap/>
            <w:vAlign w:val="center"/>
          </w:tcPr>
          <w:p w14:paraId="5AC6B8ED" w14:textId="37A8B13B"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2.383.069</w:t>
            </w:r>
          </w:p>
        </w:tc>
        <w:tc>
          <w:tcPr>
            <w:tcW w:w="1045" w:type="pct"/>
            <w:tcBorders>
              <w:top w:val="nil"/>
              <w:left w:val="nil"/>
              <w:bottom w:val="nil"/>
              <w:right w:val="nil"/>
            </w:tcBorders>
            <w:vAlign w:val="center"/>
          </w:tcPr>
          <w:p w14:paraId="14B152A3" w14:textId="6E073AB9" w:rsidR="0039640F" w:rsidRPr="00B11D80" w:rsidRDefault="002E4631"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2.435.483</w:t>
            </w:r>
          </w:p>
        </w:tc>
      </w:tr>
      <w:tr w:rsidR="0039640F" w:rsidRPr="00B11D80" w14:paraId="13253D5D" w14:textId="77777777" w:rsidTr="00DB303C">
        <w:trPr>
          <w:trHeight w:val="283"/>
        </w:trPr>
        <w:tc>
          <w:tcPr>
            <w:tcW w:w="2910" w:type="pct"/>
            <w:tcBorders>
              <w:top w:val="nil"/>
              <w:left w:val="nil"/>
              <w:bottom w:val="nil"/>
              <w:right w:val="nil"/>
            </w:tcBorders>
            <w:shd w:val="clear" w:color="auto" w:fill="auto"/>
            <w:noWrap/>
            <w:vAlign w:val="center"/>
            <w:hideMark/>
          </w:tcPr>
          <w:p w14:paraId="5332826F" w14:textId="692B409A" w:rsidR="0039640F" w:rsidRPr="00B11D80" w:rsidRDefault="00444A6C" w:rsidP="0039640F">
            <w:pPr>
              <w:rPr>
                <w:rFonts w:ascii="CAIXA Std Book" w:hAnsi="CAIXA Std Book"/>
                <w:color w:val="005CA9"/>
                <w:sz w:val="18"/>
                <w:szCs w:val="18"/>
              </w:rPr>
            </w:pPr>
            <w:r w:rsidRPr="00B11D80">
              <w:rPr>
                <w:rFonts w:ascii="CAIXA Std Book" w:hAnsi="CAIXA Std Book"/>
                <w:color w:val="005CA9"/>
                <w:sz w:val="18"/>
                <w:szCs w:val="18"/>
              </w:rPr>
              <w:t>Financiamentos rurais e agroindustriais</w:t>
            </w:r>
          </w:p>
        </w:tc>
        <w:tc>
          <w:tcPr>
            <w:tcW w:w="1045" w:type="pct"/>
            <w:tcBorders>
              <w:top w:val="nil"/>
              <w:left w:val="nil"/>
              <w:bottom w:val="nil"/>
              <w:right w:val="nil"/>
            </w:tcBorders>
            <w:shd w:val="clear" w:color="auto" w:fill="auto"/>
            <w:noWrap/>
            <w:vAlign w:val="center"/>
          </w:tcPr>
          <w:p w14:paraId="53C2C6F2" w14:textId="5DA400BE"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1.597.521</w:t>
            </w:r>
          </w:p>
        </w:tc>
        <w:tc>
          <w:tcPr>
            <w:tcW w:w="1045" w:type="pct"/>
            <w:tcBorders>
              <w:top w:val="nil"/>
              <w:left w:val="nil"/>
              <w:bottom w:val="nil"/>
              <w:right w:val="nil"/>
            </w:tcBorders>
            <w:vAlign w:val="center"/>
          </w:tcPr>
          <w:p w14:paraId="72571DF5" w14:textId="5FD3700E" w:rsidR="0039640F" w:rsidRPr="00B11D80" w:rsidRDefault="0058119C"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1.262.274</w:t>
            </w:r>
          </w:p>
        </w:tc>
      </w:tr>
      <w:tr w:rsidR="0039640F" w:rsidRPr="00B11D80" w14:paraId="5F1F6539" w14:textId="77777777" w:rsidTr="00DB303C">
        <w:trPr>
          <w:trHeight w:val="283"/>
        </w:trPr>
        <w:tc>
          <w:tcPr>
            <w:tcW w:w="2910" w:type="pct"/>
            <w:tcBorders>
              <w:top w:val="nil"/>
              <w:left w:val="nil"/>
              <w:right w:val="nil"/>
            </w:tcBorders>
            <w:shd w:val="clear" w:color="auto" w:fill="auto"/>
            <w:noWrap/>
            <w:vAlign w:val="center"/>
            <w:hideMark/>
          </w:tcPr>
          <w:p w14:paraId="16AFC7EB" w14:textId="12415427" w:rsidR="0039640F" w:rsidRPr="00B11D80" w:rsidRDefault="00444A6C" w:rsidP="0039640F">
            <w:pPr>
              <w:rPr>
                <w:rFonts w:ascii="CAIXA Std Book" w:hAnsi="CAIXA Std Book"/>
                <w:color w:val="005CA9"/>
                <w:sz w:val="18"/>
                <w:szCs w:val="18"/>
              </w:rPr>
            </w:pPr>
            <w:r w:rsidRPr="00B11D80">
              <w:rPr>
                <w:rFonts w:ascii="CAIXA Std Book" w:hAnsi="CAIXA Std Book"/>
                <w:color w:val="005CA9"/>
                <w:sz w:val="18"/>
                <w:szCs w:val="18"/>
              </w:rPr>
              <w:t xml:space="preserve">Resultado da venda ou </w:t>
            </w:r>
            <w:proofErr w:type="spellStart"/>
            <w:r w:rsidRPr="00B11D80">
              <w:rPr>
                <w:rFonts w:ascii="CAIXA Std Book" w:hAnsi="CAIXA Std Book"/>
                <w:color w:val="005CA9"/>
                <w:sz w:val="18"/>
                <w:szCs w:val="18"/>
              </w:rPr>
              <w:t>transferencia</w:t>
            </w:r>
            <w:proofErr w:type="spellEnd"/>
            <w:r w:rsidRPr="00B11D80">
              <w:rPr>
                <w:rFonts w:ascii="CAIXA Std Book" w:hAnsi="CAIXA Std Book"/>
                <w:color w:val="005CA9"/>
                <w:sz w:val="18"/>
                <w:szCs w:val="18"/>
              </w:rPr>
              <w:t xml:space="preserve"> de ativos financeiros</w:t>
            </w:r>
          </w:p>
        </w:tc>
        <w:tc>
          <w:tcPr>
            <w:tcW w:w="1045" w:type="pct"/>
            <w:tcBorders>
              <w:top w:val="nil"/>
              <w:left w:val="nil"/>
              <w:right w:val="nil"/>
            </w:tcBorders>
            <w:shd w:val="clear" w:color="auto" w:fill="auto"/>
            <w:noWrap/>
            <w:vAlign w:val="center"/>
          </w:tcPr>
          <w:p w14:paraId="70953F83" w14:textId="77BD70D5"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8.672</w:t>
            </w:r>
          </w:p>
        </w:tc>
        <w:tc>
          <w:tcPr>
            <w:tcW w:w="1045" w:type="pct"/>
            <w:tcBorders>
              <w:top w:val="nil"/>
              <w:left w:val="nil"/>
              <w:right w:val="nil"/>
            </w:tcBorders>
            <w:vAlign w:val="center"/>
          </w:tcPr>
          <w:p w14:paraId="28B266D3" w14:textId="460607FC" w:rsidR="0039640F" w:rsidRPr="00B11D80" w:rsidRDefault="00FF4E45"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13.914</w:t>
            </w:r>
          </w:p>
        </w:tc>
      </w:tr>
      <w:tr w:rsidR="0039640F" w:rsidRPr="00B11D80" w14:paraId="57F845BB" w14:textId="77777777" w:rsidTr="00DB303C">
        <w:trPr>
          <w:trHeight w:val="283"/>
        </w:trPr>
        <w:tc>
          <w:tcPr>
            <w:tcW w:w="2910" w:type="pct"/>
            <w:tcBorders>
              <w:top w:val="nil"/>
              <w:left w:val="nil"/>
              <w:bottom w:val="single" w:sz="4" w:space="0" w:color="F79646"/>
              <w:right w:val="nil"/>
            </w:tcBorders>
            <w:shd w:val="clear" w:color="auto" w:fill="auto"/>
            <w:noWrap/>
            <w:vAlign w:val="center"/>
            <w:hideMark/>
          </w:tcPr>
          <w:p w14:paraId="527B1ADD" w14:textId="6A441826" w:rsidR="0039640F" w:rsidRPr="00B11D80" w:rsidRDefault="0016664C" w:rsidP="0039640F">
            <w:pPr>
              <w:rPr>
                <w:rFonts w:ascii="CAIXA Std Book" w:hAnsi="CAIXA Std Book"/>
                <w:color w:val="005CA9"/>
                <w:sz w:val="18"/>
                <w:szCs w:val="18"/>
              </w:rPr>
            </w:pPr>
            <w:r>
              <w:rPr>
                <w:rFonts w:ascii="CAIXA Std Book" w:hAnsi="CAIXA Std Book"/>
                <w:color w:val="005CA9"/>
                <w:sz w:val="18"/>
                <w:szCs w:val="18"/>
              </w:rPr>
              <w:t>Créditos por avais e fiança</w:t>
            </w:r>
          </w:p>
        </w:tc>
        <w:tc>
          <w:tcPr>
            <w:tcW w:w="1045" w:type="pct"/>
            <w:tcBorders>
              <w:top w:val="nil"/>
              <w:left w:val="nil"/>
              <w:bottom w:val="single" w:sz="4" w:space="0" w:color="F79646"/>
              <w:right w:val="nil"/>
            </w:tcBorders>
            <w:shd w:val="clear" w:color="auto" w:fill="auto"/>
            <w:noWrap/>
            <w:vAlign w:val="center"/>
          </w:tcPr>
          <w:p w14:paraId="57C28459" w14:textId="399E863A" w:rsidR="0039640F" w:rsidRPr="00B11D80" w:rsidRDefault="0039640F"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1.547</w:t>
            </w:r>
          </w:p>
        </w:tc>
        <w:tc>
          <w:tcPr>
            <w:tcW w:w="1045" w:type="pct"/>
            <w:tcBorders>
              <w:top w:val="nil"/>
              <w:left w:val="nil"/>
              <w:bottom w:val="single" w:sz="4" w:space="0" w:color="F79646"/>
              <w:right w:val="nil"/>
            </w:tcBorders>
            <w:vAlign w:val="center"/>
          </w:tcPr>
          <w:p w14:paraId="5C5C3208" w14:textId="33A29461" w:rsidR="0039640F" w:rsidRPr="00B11D80" w:rsidRDefault="00FA5F4B" w:rsidP="0039640F">
            <w:pPr>
              <w:ind w:firstLineChars="200" w:firstLine="360"/>
              <w:jc w:val="right"/>
              <w:rPr>
                <w:rFonts w:ascii="CAIXA Std Book" w:hAnsi="CAIXA Std Book"/>
                <w:color w:val="005CA9"/>
                <w:sz w:val="18"/>
                <w:szCs w:val="18"/>
              </w:rPr>
            </w:pPr>
            <w:r w:rsidRPr="00B11D80">
              <w:rPr>
                <w:rFonts w:ascii="CAIXA Std Book" w:hAnsi="CAIXA Std Book"/>
                <w:color w:val="005CA9"/>
                <w:sz w:val="18"/>
                <w:szCs w:val="18"/>
              </w:rPr>
              <w:t>1.755</w:t>
            </w:r>
          </w:p>
        </w:tc>
      </w:tr>
      <w:tr w:rsidR="0039640F" w:rsidRPr="00B11D80" w14:paraId="1D081B6F" w14:textId="77777777" w:rsidTr="00DB303C">
        <w:trPr>
          <w:trHeight w:val="283"/>
        </w:trPr>
        <w:tc>
          <w:tcPr>
            <w:tcW w:w="2910" w:type="pct"/>
            <w:tcBorders>
              <w:top w:val="single" w:sz="4" w:space="0" w:color="F79646"/>
              <w:left w:val="nil"/>
              <w:bottom w:val="single" w:sz="4" w:space="0" w:color="F79646"/>
              <w:right w:val="nil"/>
            </w:tcBorders>
            <w:shd w:val="clear" w:color="auto" w:fill="auto"/>
            <w:noWrap/>
            <w:vAlign w:val="center"/>
            <w:hideMark/>
          </w:tcPr>
          <w:p w14:paraId="6A97F531" w14:textId="77777777" w:rsidR="0039640F" w:rsidRPr="00B11D80" w:rsidRDefault="0039640F" w:rsidP="0039640F">
            <w:pPr>
              <w:rPr>
                <w:rFonts w:ascii="CAIXA Std Book" w:hAnsi="CAIXA Std Book"/>
                <w:b/>
                <w:bCs/>
                <w:color w:val="005CA9"/>
                <w:sz w:val="18"/>
                <w:szCs w:val="18"/>
              </w:rPr>
            </w:pPr>
            <w:r w:rsidRPr="00B11D80">
              <w:rPr>
                <w:rFonts w:ascii="CAIXA Std Book" w:hAnsi="CAIXA Std Book"/>
                <w:b/>
                <w:bCs/>
                <w:color w:val="005CA9"/>
                <w:sz w:val="18"/>
                <w:szCs w:val="18"/>
              </w:rPr>
              <w:t>Total</w:t>
            </w:r>
          </w:p>
        </w:tc>
        <w:tc>
          <w:tcPr>
            <w:tcW w:w="1045" w:type="pct"/>
            <w:tcBorders>
              <w:top w:val="single" w:sz="4" w:space="0" w:color="F79646"/>
              <w:left w:val="nil"/>
              <w:bottom w:val="single" w:sz="4" w:space="0" w:color="F79646"/>
              <w:right w:val="nil"/>
            </w:tcBorders>
            <w:shd w:val="clear" w:color="auto" w:fill="auto"/>
            <w:noWrap/>
            <w:vAlign w:val="center"/>
          </w:tcPr>
          <w:p w14:paraId="62A645F8" w14:textId="119039D0" w:rsidR="0039640F" w:rsidRPr="00B11D80" w:rsidRDefault="0039640F" w:rsidP="0039640F">
            <w:pPr>
              <w:ind w:firstLineChars="200" w:firstLine="353"/>
              <w:jc w:val="right"/>
              <w:rPr>
                <w:rFonts w:ascii="CAIXA Std Book" w:hAnsi="CAIXA Std Book"/>
                <w:b/>
                <w:bCs/>
                <w:color w:val="005CA9"/>
                <w:sz w:val="18"/>
                <w:szCs w:val="18"/>
              </w:rPr>
            </w:pPr>
            <w:r w:rsidRPr="00B11D80">
              <w:rPr>
                <w:rFonts w:ascii="CAIXA Std Book" w:hAnsi="CAIXA Std Book"/>
                <w:b/>
                <w:bCs/>
                <w:color w:val="005CA9"/>
                <w:sz w:val="18"/>
                <w:szCs w:val="18"/>
              </w:rPr>
              <w:t>29.293.057</w:t>
            </w:r>
          </w:p>
        </w:tc>
        <w:tc>
          <w:tcPr>
            <w:tcW w:w="1045" w:type="pct"/>
            <w:tcBorders>
              <w:top w:val="single" w:sz="4" w:space="0" w:color="F79646"/>
              <w:left w:val="nil"/>
              <w:bottom w:val="single" w:sz="4" w:space="0" w:color="F79646"/>
              <w:right w:val="nil"/>
            </w:tcBorders>
            <w:vAlign w:val="center"/>
          </w:tcPr>
          <w:p w14:paraId="1FD72DE3" w14:textId="5634F8A4" w:rsidR="0039640F" w:rsidRPr="00B11D80" w:rsidRDefault="0039640F" w:rsidP="0039640F">
            <w:pPr>
              <w:jc w:val="right"/>
              <w:rPr>
                <w:rFonts w:ascii="CAIXA Std Book" w:hAnsi="CAIXA Std Book" w:cs="Arial"/>
                <w:b/>
                <w:bCs/>
                <w:color w:val="005CA9"/>
                <w:sz w:val="18"/>
                <w:szCs w:val="18"/>
              </w:rPr>
            </w:pPr>
            <w:r w:rsidRPr="00B11D80">
              <w:rPr>
                <w:rFonts w:ascii="CAIXA Std Book" w:hAnsi="CAIXA Std Book" w:cs="Arial"/>
                <w:b/>
                <w:bCs/>
                <w:color w:val="005CA9"/>
                <w:sz w:val="18"/>
                <w:szCs w:val="18"/>
              </w:rPr>
              <w:t>29.244.458</w:t>
            </w:r>
          </w:p>
        </w:tc>
      </w:tr>
    </w:tbl>
    <w:p w14:paraId="45148DC8" w14:textId="735C7148" w:rsidR="0009069D" w:rsidRDefault="0009069D" w:rsidP="0009069D">
      <w:pPr>
        <w:pStyle w:val="PargrafodaLista"/>
        <w:spacing w:after="120"/>
        <w:ind w:left="0"/>
        <w:contextualSpacing w:val="0"/>
        <w:jc w:val="both"/>
        <w:rPr>
          <w:rFonts w:ascii="CAIXA Std Book" w:hAnsi="CAIXA Std Book"/>
          <w:b/>
          <w:color w:val="005CA9"/>
          <w:sz w:val="20"/>
          <w:szCs w:val="20"/>
        </w:rPr>
      </w:pPr>
    </w:p>
    <w:p w14:paraId="3C72DBEE" w14:textId="77777777" w:rsidR="0009069D" w:rsidRDefault="0009069D">
      <w:pPr>
        <w:rPr>
          <w:rFonts w:ascii="CAIXA Std Book" w:hAnsi="CAIXA Std Book"/>
          <w:b/>
          <w:color w:val="005CA9"/>
          <w:sz w:val="20"/>
          <w:szCs w:val="20"/>
        </w:rPr>
      </w:pPr>
      <w:r>
        <w:rPr>
          <w:rFonts w:ascii="CAIXA Std Book" w:hAnsi="CAIXA Std Book"/>
          <w:b/>
          <w:color w:val="005CA9"/>
          <w:sz w:val="20"/>
          <w:szCs w:val="20"/>
        </w:rPr>
        <w:br w:type="page"/>
      </w:r>
    </w:p>
    <w:p w14:paraId="39D6D39F" w14:textId="6CC9E37A" w:rsidR="00235CD5" w:rsidRPr="00FF4346" w:rsidRDefault="00BA44FA"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lastRenderedPageBreak/>
        <w:t>Créditos recuperados</w:t>
      </w:r>
      <w:r w:rsidR="00235CD5" w:rsidRPr="00FF4346">
        <w:rPr>
          <w:rFonts w:ascii="CAIXA Std Book" w:hAnsi="CAIXA Std Book"/>
          <w:b/>
          <w:color w:val="005CA9"/>
          <w:sz w:val="20"/>
          <w:szCs w:val="20"/>
        </w:rPr>
        <w:t xml:space="preserve"> e renegociados</w:t>
      </w:r>
    </w:p>
    <w:tbl>
      <w:tblPr>
        <w:tblW w:w="5000" w:type="pct"/>
        <w:tblCellMar>
          <w:left w:w="70" w:type="dxa"/>
          <w:right w:w="70" w:type="dxa"/>
        </w:tblCellMar>
        <w:tblLook w:val="04A0" w:firstRow="1" w:lastRow="0" w:firstColumn="1" w:lastColumn="0" w:noHBand="0" w:noVBand="1"/>
      </w:tblPr>
      <w:tblGrid>
        <w:gridCol w:w="5245"/>
        <w:gridCol w:w="2125"/>
        <w:gridCol w:w="2127"/>
      </w:tblGrid>
      <w:tr w:rsidR="000B465D" w:rsidRPr="00A33766" w14:paraId="6FF5F491" w14:textId="77777777" w:rsidTr="0009069D">
        <w:trPr>
          <w:trHeight w:val="283"/>
        </w:trPr>
        <w:tc>
          <w:tcPr>
            <w:tcW w:w="5000" w:type="pct"/>
            <w:gridSpan w:val="3"/>
            <w:tcBorders>
              <w:top w:val="single" w:sz="4" w:space="0" w:color="F79646"/>
              <w:left w:val="nil"/>
              <w:bottom w:val="single" w:sz="4" w:space="0" w:color="F79646"/>
            </w:tcBorders>
            <w:vAlign w:val="center"/>
          </w:tcPr>
          <w:p w14:paraId="3B92D785" w14:textId="15233A18" w:rsidR="000B465D" w:rsidRPr="00FF4346" w:rsidRDefault="000B465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 / CONSOLIDADO</w:t>
            </w:r>
          </w:p>
        </w:tc>
      </w:tr>
      <w:tr w:rsidR="002B3145" w:rsidRPr="00A33766" w14:paraId="29CBAF5D" w14:textId="77777777" w:rsidTr="00DB303C">
        <w:trPr>
          <w:trHeight w:val="283"/>
        </w:trPr>
        <w:tc>
          <w:tcPr>
            <w:tcW w:w="2761" w:type="pct"/>
            <w:vMerge w:val="restart"/>
            <w:tcBorders>
              <w:top w:val="single" w:sz="4" w:space="0" w:color="F79646"/>
              <w:left w:val="nil"/>
              <w:right w:val="nil"/>
            </w:tcBorders>
            <w:shd w:val="clear" w:color="auto" w:fill="auto"/>
            <w:vAlign w:val="center"/>
            <w:hideMark/>
          </w:tcPr>
          <w:p w14:paraId="49B463E6" w14:textId="77777777" w:rsidR="002B3145" w:rsidRPr="00FF4346" w:rsidRDefault="002B3145" w:rsidP="000B465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 xml:space="preserve">Descrição </w:t>
            </w:r>
          </w:p>
        </w:tc>
        <w:tc>
          <w:tcPr>
            <w:tcW w:w="1119" w:type="pct"/>
            <w:tcBorders>
              <w:top w:val="single" w:sz="4" w:space="0" w:color="F79646"/>
              <w:left w:val="nil"/>
              <w:bottom w:val="single" w:sz="4" w:space="0" w:color="F79646"/>
              <w:right w:val="nil"/>
            </w:tcBorders>
            <w:shd w:val="clear" w:color="auto" w:fill="auto"/>
            <w:vAlign w:val="center"/>
            <w:hideMark/>
          </w:tcPr>
          <w:p w14:paraId="689B0698" w14:textId="4E4A68F7" w:rsidR="002B3145" w:rsidRPr="00FF4346" w:rsidRDefault="002B3145" w:rsidP="000B465D">
            <w:pPr>
              <w:jc w:val="center"/>
              <w:rPr>
                <w:rFonts w:ascii="CAIXA Std Book" w:eastAsia="Times New Roman" w:hAnsi="CAIXA Std Book" w:cs="Arial"/>
                <w:b/>
                <w:bCs/>
                <w:color w:val="005CA9"/>
                <w:sz w:val="18"/>
                <w:szCs w:val="18"/>
              </w:rPr>
            </w:pPr>
            <w:r w:rsidRPr="00AF4BD6">
              <w:rPr>
                <w:rFonts w:ascii="CAIXA Std Book" w:hAnsi="CAIXA Std Book"/>
                <w:b/>
                <w:color w:val="005CA9"/>
                <w:sz w:val="18"/>
                <w:szCs w:val="18"/>
              </w:rPr>
              <w:t>2024</w:t>
            </w:r>
          </w:p>
        </w:tc>
        <w:tc>
          <w:tcPr>
            <w:tcW w:w="1120" w:type="pct"/>
            <w:tcBorders>
              <w:top w:val="single" w:sz="4" w:space="0" w:color="F79646"/>
              <w:left w:val="nil"/>
              <w:bottom w:val="single" w:sz="4" w:space="0" w:color="F79646"/>
              <w:right w:val="nil"/>
            </w:tcBorders>
            <w:shd w:val="clear" w:color="auto" w:fill="auto"/>
            <w:vAlign w:val="center"/>
          </w:tcPr>
          <w:p w14:paraId="01779961" w14:textId="17A9B6E1" w:rsidR="002B3145" w:rsidRPr="00FF4346" w:rsidRDefault="002B3145" w:rsidP="000B465D">
            <w:pPr>
              <w:jc w:val="center"/>
              <w:rPr>
                <w:rFonts w:ascii="CAIXA Std Book" w:eastAsia="Times New Roman" w:hAnsi="CAIXA Std Book" w:cs="Arial"/>
                <w:b/>
                <w:bCs/>
                <w:color w:val="005CA9"/>
                <w:sz w:val="18"/>
                <w:szCs w:val="18"/>
              </w:rPr>
            </w:pPr>
            <w:r>
              <w:rPr>
                <w:rFonts w:ascii="CAIXA Std Book" w:hAnsi="CAIXA Std Book"/>
                <w:b/>
                <w:color w:val="005CA9"/>
                <w:sz w:val="18"/>
                <w:szCs w:val="18"/>
              </w:rPr>
              <w:t>2023</w:t>
            </w:r>
          </w:p>
        </w:tc>
      </w:tr>
      <w:tr w:rsidR="000B465D" w:rsidRPr="00A33766" w14:paraId="2A30C63B" w14:textId="77777777" w:rsidTr="00DB303C">
        <w:trPr>
          <w:trHeight w:val="283"/>
        </w:trPr>
        <w:tc>
          <w:tcPr>
            <w:tcW w:w="2761" w:type="pct"/>
            <w:vMerge/>
            <w:tcBorders>
              <w:left w:val="nil"/>
              <w:bottom w:val="single" w:sz="4" w:space="0" w:color="F79646"/>
              <w:right w:val="nil"/>
            </w:tcBorders>
            <w:vAlign w:val="center"/>
            <w:hideMark/>
          </w:tcPr>
          <w:p w14:paraId="06134985" w14:textId="77777777" w:rsidR="000B465D" w:rsidRPr="00FF4346" w:rsidRDefault="000B465D" w:rsidP="000B465D">
            <w:pPr>
              <w:rPr>
                <w:rFonts w:ascii="CAIXA Std Book" w:eastAsia="Times New Roman" w:hAnsi="CAIXA Std Book" w:cs="Arial"/>
                <w:b/>
                <w:bCs/>
                <w:color w:val="005CA9"/>
                <w:sz w:val="18"/>
                <w:szCs w:val="18"/>
              </w:rPr>
            </w:pPr>
          </w:p>
        </w:tc>
        <w:tc>
          <w:tcPr>
            <w:tcW w:w="1119" w:type="pct"/>
            <w:tcBorders>
              <w:top w:val="single" w:sz="4" w:space="0" w:color="F79646"/>
              <w:left w:val="nil"/>
              <w:bottom w:val="single" w:sz="4" w:space="0" w:color="F79646"/>
              <w:right w:val="nil"/>
            </w:tcBorders>
            <w:shd w:val="clear" w:color="auto" w:fill="auto"/>
            <w:vAlign w:val="center"/>
          </w:tcPr>
          <w:p w14:paraId="2CF838C7" w14:textId="64026BC7" w:rsidR="000B465D" w:rsidRPr="00FF4346" w:rsidRDefault="000B465D" w:rsidP="000B465D">
            <w:pPr>
              <w:jc w:val="center"/>
              <w:rPr>
                <w:rFonts w:ascii="CAIXA Std Book" w:eastAsia="Times New Roman" w:hAnsi="CAIXA Std Book" w:cs="Arial"/>
                <w:b/>
                <w:bCs/>
                <w:color w:val="005CA9"/>
                <w:sz w:val="18"/>
                <w:szCs w:val="18"/>
              </w:rPr>
            </w:pPr>
            <w:r w:rsidRPr="00AF4BD6">
              <w:rPr>
                <w:rFonts w:ascii="CAIXA Std Book" w:hAnsi="CAIXA Std Book"/>
                <w:b/>
                <w:color w:val="005CA9"/>
                <w:sz w:val="18"/>
                <w:szCs w:val="18"/>
              </w:rPr>
              <w:t>1º trimestre</w:t>
            </w:r>
          </w:p>
        </w:tc>
        <w:tc>
          <w:tcPr>
            <w:tcW w:w="1120" w:type="pct"/>
            <w:tcBorders>
              <w:top w:val="single" w:sz="4" w:space="0" w:color="F79646"/>
              <w:left w:val="nil"/>
              <w:bottom w:val="single" w:sz="4" w:space="0" w:color="F79646"/>
              <w:right w:val="nil"/>
            </w:tcBorders>
            <w:vAlign w:val="center"/>
          </w:tcPr>
          <w:p w14:paraId="40F441A9" w14:textId="2035AFA1" w:rsidR="000B465D" w:rsidRPr="00FF4346" w:rsidRDefault="00491E3D" w:rsidP="000B465D">
            <w:pPr>
              <w:jc w:val="center"/>
              <w:rPr>
                <w:rFonts w:ascii="CAIXA Std Book" w:eastAsia="Times New Roman" w:hAnsi="CAIXA Std Book" w:cs="Arial"/>
                <w:b/>
                <w:bCs/>
                <w:color w:val="005CA9"/>
                <w:sz w:val="18"/>
                <w:szCs w:val="18"/>
              </w:rPr>
            </w:pPr>
            <w:r w:rsidRPr="00AF4BD6">
              <w:rPr>
                <w:rFonts w:ascii="CAIXA Std Book" w:hAnsi="CAIXA Std Book"/>
                <w:b/>
                <w:color w:val="005CA9"/>
                <w:sz w:val="18"/>
                <w:szCs w:val="18"/>
              </w:rPr>
              <w:t>1º trimestre</w:t>
            </w:r>
          </w:p>
        </w:tc>
      </w:tr>
      <w:tr w:rsidR="009B2C14" w:rsidRPr="007D5CDF" w14:paraId="7F80E191" w14:textId="77777777" w:rsidTr="00DB303C">
        <w:trPr>
          <w:trHeight w:val="283"/>
        </w:trPr>
        <w:tc>
          <w:tcPr>
            <w:tcW w:w="2761" w:type="pct"/>
            <w:tcBorders>
              <w:top w:val="single" w:sz="4" w:space="0" w:color="F79646"/>
              <w:left w:val="nil"/>
              <w:bottom w:val="nil"/>
              <w:right w:val="nil"/>
            </w:tcBorders>
            <w:shd w:val="clear" w:color="auto" w:fill="auto"/>
            <w:noWrap/>
            <w:vAlign w:val="center"/>
          </w:tcPr>
          <w:p w14:paraId="2C318FFD" w14:textId="77777777" w:rsidR="009B2C14" w:rsidRPr="00FF4346" w:rsidRDefault="009B2C14" w:rsidP="009B2C14">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Créditos Recuperados</w:t>
            </w:r>
          </w:p>
        </w:tc>
        <w:tc>
          <w:tcPr>
            <w:tcW w:w="1119" w:type="pct"/>
            <w:tcBorders>
              <w:top w:val="single" w:sz="4" w:space="0" w:color="F79646"/>
              <w:left w:val="nil"/>
              <w:bottom w:val="nil"/>
              <w:right w:val="nil"/>
            </w:tcBorders>
            <w:shd w:val="clear" w:color="auto" w:fill="auto"/>
            <w:vAlign w:val="center"/>
          </w:tcPr>
          <w:p w14:paraId="046DAC7D" w14:textId="39A511D3" w:rsidR="009B2C14" w:rsidRPr="009B2C14" w:rsidRDefault="009B2C14" w:rsidP="009B2C14">
            <w:pPr>
              <w:jc w:val="right"/>
              <w:rPr>
                <w:rFonts w:ascii="CAIXA Std Book" w:hAnsi="CAIXA Std Book"/>
                <w:b/>
                <w:bCs/>
                <w:color w:val="005CA9"/>
                <w:sz w:val="18"/>
                <w:szCs w:val="18"/>
              </w:rPr>
            </w:pPr>
            <w:r w:rsidRPr="009B2C14">
              <w:rPr>
                <w:rFonts w:ascii="CAIXA Std Book" w:hAnsi="CAIXA Std Book"/>
                <w:b/>
                <w:bCs/>
                <w:color w:val="005CA9"/>
                <w:sz w:val="18"/>
                <w:szCs w:val="18"/>
              </w:rPr>
              <w:t>1.181.515</w:t>
            </w:r>
          </w:p>
        </w:tc>
        <w:tc>
          <w:tcPr>
            <w:tcW w:w="1120" w:type="pct"/>
            <w:tcBorders>
              <w:top w:val="single" w:sz="4" w:space="0" w:color="F79646"/>
              <w:left w:val="nil"/>
              <w:bottom w:val="nil"/>
              <w:right w:val="nil"/>
            </w:tcBorders>
            <w:vAlign w:val="center"/>
          </w:tcPr>
          <w:p w14:paraId="7023D2DD" w14:textId="510F7737" w:rsidR="009B2C14" w:rsidRPr="007D5CDF" w:rsidRDefault="009B2C14" w:rsidP="009B2C14">
            <w:pPr>
              <w:jc w:val="right"/>
              <w:rPr>
                <w:rFonts w:ascii="CAIXA Std Book" w:hAnsi="CAIXA Std Book"/>
                <w:b/>
                <w:bCs/>
                <w:color w:val="005CA9"/>
                <w:sz w:val="18"/>
                <w:szCs w:val="18"/>
              </w:rPr>
            </w:pPr>
            <w:r w:rsidRPr="007D5CDF">
              <w:rPr>
                <w:rFonts w:ascii="CAIXA Std Book" w:hAnsi="CAIXA Std Book"/>
                <w:b/>
                <w:bCs/>
                <w:color w:val="005CA9"/>
                <w:sz w:val="18"/>
                <w:szCs w:val="18"/>
              </w:rPr>
              <w:t>922.830</w:t>
            </w:r>
          </w:p>
        </w:tc>
      </w:tr>
      <w:tr w:rsidR="009B2C14" w:rsidRPr="00A33766" w14:paraId="0EDE5948" w14:textId="77777777" w:rsidTr="00DB303C">
        <w:trPr>
          <w:trHeight w:val="283"/>
        </w:trPr>
        <w:tc>
          <w:tcPr>
            <w:tcW w:w="2761" w:type="pct"/>
            <w:tcBorders>
              <w:top w:val="single" w:sz="4" w:space="0" w:color="F79646"/>
              <w:left w:val="nil"/>
              <w:bottom w:val="nil"/>
              <w:right w:val="nil"/>
            </w:tcBorders>
            <w:shd w:val="clear" w:color="auto" w:fill="auto"/>
            <w:noWrap/>
            <w:vAlign w:val="center"/>
            <w:hideMark/>
          </w:tcPr>
          <w:p w14:paraId="0E5A7FE6" w14:textId="77777777" w:rsidR="009B2C14" w:rsidRPr="00FF4346" w:rsidRDefault="009B2C14" w:rsidP="009B2C1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Operações comerciais</w:t>
            </w:r>
          </w:p>
        </w:tc>
        <w:tc>
          <w:tcPr>
            <w:tcW w:w="1119" w:type="pct"/>
            <w:tcBorders>
              <w:top w:val="single" w:sz="4" w:space="0" w:color="F79646"/>
              <w:left w:val="nil"/>
              <w:bottom w:val="nil"/>
              <w:right w:val="nil"/>
            </w:tcBorders>
            <w:shd w:val="clear" w:color="auto" w:fill="auto"/>
            <w:vAlign w:val="center"/>
          </w:tcPr>
          <w:p w14:paraId="40E956B9" w14:textId="0CA9AFC3" w:rsidR="009B2C14" w:rsidRPr="009B2C14" w:rsidRDefault="009B2C14" w:rsidP="009B2C14">
            <w:pPr>
              <w:jc w:val="right"/>
              <w:rPr>
                <w:rFonts w:ascii="CAIXA Std Book" w:hAnsi="CAIXA Std Book"/>
                <w:color w:val="005CA9"/>
                <w:sz w:val="18"/>
                <w:szCs w:val="18"/>
              </w:rPr>
            </w:pPr>
            <w:r w:rsidRPr="009B2C14">
              <w:rPr>
                <w:rFonts w:ascii="CAIXA Std Book" w:hAnsi="CAIXA Std Book"/>
                <w:color w:val="005CA9"/>
                <w:sz w:val="18"/>
                <w:szCs w:val="18"/>
              </w:rPr>
              <w:t>399.711</w:t>
            </w:r>
          </w:p>
        </w:tc>
        <w:tc>
          <w:tcPr>
            <w:tcW w:w="1120" w:type="pct"/>
            <w:tcBorders>
              <w:top w:val="single" w:sz="4" w:space="0" w:color="F79646"/>
              <w:left w:val="nil"/>
              <w:bottom w:val="nil"/>
              <w:right w:val="nil"/>
            </w:tcBorders>
            <w:vAlign w:val="center"/>
          </w:tcPr>
          <w:p w14:paraId="213CA28E" w14:textId="595D6A7F" w:rsidR="009B2C14" w:rsidRPr="007D5CDF" w:rsidRDefault="009B2C14" w:rsidP="009B2C14">
            <w:pPr>
              <w:jc w:val="right"/>
              <w:rPr>
                <w:rFonts w:ascii="CAIXA Std Book" w:hAnsi="CAIXA Std Book"/>
                <w:color w:val="005CA9"/>
                <w:sz w:val="18"/>
                <w:szCs w:val="18"/>
              </w:rPr>
            </w:pPr>
            <w:r w:rsidRPr="007D5CDF">
              <w:rPr>
                <w:rFonts w:ascii="CAIXA Std Book" w:hAnsi="CAIXA Std Book"/>
                <w:color w:val="005CA9"/>
                <w:sz w:val="18"/>
                <w:szCs w:val="18"/>
              </w:rPr>
              <w:t>345.966</w:t>
            </w:r>
          </w:p>
        </w:tc>
      </w:tr>
      <w:tr w:rsidR="009B2C14" w:rsidRPr="00A33766" w14:paraId="40EE304D" w14:textId="77777777" w:rsidTr="00DB303C">
        <w:trPr>
          <w:trHeight w:val="283"/>
        </w:trPr>
        <w:tc>
          <w:tcPr>
            <w:tcW w:w="2761" w:type="pct"/>
            <w:tcBorders>
              <w:top w:val="nil"/>
              <w:left w:val="nil"/>
              <w:bottom w:val="single" w:sz="4" w:space="0" w:color="F79646"/>
              <w:right w:val="nil"/>
            </w:tcBorders>
            <w:shd w:val="clear" w:color="auto" w:fill="auto"/>
            <w:noWrap/>
            <w:vAlign w:val="center"/>
            <w:hideMark/>
          </w:tcPr>
          <w:p w14:paraId="0313D209" w14:textId="77777777" w:rsidR="009B2C14" w:rsidRPr="00FF4346" w:rsidRDefault="009B2C14" w:rsidP="009B2C1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Operações habitacionais</w:t>
            </w:r>
          </w:p>
        </w:tc>
        <w:tc>
          <w:tcPr>
            <w:tcW w:w="1119" w:type="pct"/>
            <w:tcBorders>
              <w:top w:val="nil"/>
              <w:left w:val="nil"/>
              <w:bottom w:val="single" w:sz="4" w:space="0" w:color="F79646"/>
              <w:right w:val="nil"/>
            </w:tcBorders>
            <w:shd w:val="clear" w:color="auto" w:fill="auto"/>
            <w:vAlign w:val="center"/>
          </w:tcPr>
          <w:p w14:paraId="2A6D638F" w14:textId="64C872BA" w:rsidR="009B2C14" w:rsidRPr="009B2C14" w:rsidRDefault="009B2C14" w:rsidP="009B2C14">
            <w:pPr>
              <w:jc w:val="right"/>
              <w:rPr>
                <w:rFonts w:ascii="CAIXA Std Book" w:hAnsi="CAIXA Std Book"/>
                <w:color w:val="005CA9"/>
                <w:sz w:val="18"/>
                <w:szCs w:val="18"/>
              </w:rPr>
            </w:pPr>
            <w:r w:rsidRPr="009B2C14">
              <w:rPr>
                <w:rFonts w:ascii="CAIXA Std Book" w:hAnsi="CAIXA Std Book"/>
                <w:color w:val="005CA9"/>
                <w:sz w:val="18"/>
                <w:szCs w:val="18"/>
              </w:rPr>
              <w:t>781.804</w:t>
            </w:r>
          </w:p>
        </w:tc>
        <w:tc>
          <w:tcPr>
            <w:tcW w:w="1120" w:type="pct"/>
            <w:tcBorders>
              <w:top w:val="nil"/>
              <w:left w:val="nil"/>
              <w:bottom w:val="single" w:sz="4" w:space="0" w:color="F79646"/>
              <w:right w:val="nil"/>
            </w:tcBorders>
            <w:vAlign w:val="center"/>
          </w:tcPr>
          <w:p w14:paraId="78D0BE0D" w14:textId="6FCB6B17" w:rsidR="009B2C14" w:rsidRPr="007D5CDF" w:rsidRDefault="009B2C14" w:rsidP="009B2C14">
            <w:pPr>
              <w:jc w:val="right"/>
              <w:rPr>
                <w:rFonts w:ascii="CAIXA Std Book" w:hAnsi="CAIXA Std Book"/>
                <w:color w:val="005CA9"/>
                <w:sz w:val="18"/>
                <w:szCs w:val="18"/>
              </w:rPr>
            </w:pPr>
            <w:r w:rsidRPr="007D5CDF">
              <w:rPr>
                <w:rFonts w:ascii="CAIXA Std Book" w:hAnsi="CAIXA Std Book"/>
                <w:color w:val="005CA9"/>
                <w:sz w:val="18"/>
                <w:szCs w:val="18"/>
              </w:rPr>
              <w:t>576.864</w:t>
            </w:r>
          </w:p>
        </w:tc>
      </w:tr>
      <w:tr w:rsidR="007D5CDF" w:rsidRPr="00A33766" w14:paraId="465047CE" w14:textId="77777777" w:rsidTr="00DB303C">
        <w:trPr>
          <w:trHeight w:val="283"/>
        </w:trPr>
        <w:tc>
          <w:tcPr>
            <w:tcW w:w="2761" w:type="pct"/>
            <w:tcBorders>
              <w:top w:val="single" w:sz="4" w:space="0" w:color="F79646"/>
              <w:left w:val="nil"/>
              <w:bottom w:val="single" w:sz="4" w:space="0" w:color="F79646"/>
              <w:right w:val="nil"/>
            </w:tcBorders>
            <w:shd w:val="clear" w:color="auto" w:fill="auto"/>
            <w:noWrap/>
            <w:vAlign w:val="center"/>
          </w:tcPr>
          <w:p w14:paraId="29E29271" w14:textId="77777777" w:rsidR="007D5CDF" w:rsidRPr="00FF4346" w:rsidRDefault="007D5CDF" w:rsidP="007D5CDF">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Créditos Renegociados</w:t>
            </w:r>
          </w:p>
        </w:tc>
        <w:tc>
          <w:tcPr>
            <w:tcW w:w="1119" w:type="pct"/>
            <w:tcBorders>
              <w:top w:val="single" w:sz="4" w:space="0" w:color="F79646"/>
              <w:left w:val="nil"/>
              <w:bottom w:val="single" w:sz="4" w:space="0" w:color="F79646"/>
              <w:right w:val="nil"/>
            </w:tcBorders>
            <w:shd w:val="clear" w:color="auto" w:fill="auto"/>
            <w:vAlign w:val="center"/>
          </w:tcPr>
          <w:p w14:paraId="7418B477" w14:textId="651410CC" w:rsidR="007D5CDF" w:rsidRPr="00E311C5" w:rsidRDefault="00E311C5" w:rsidP="00E311C5">
            <w:pPr>
              <w:jc w:val="right"/>
              <w:rPr>
                <w:rFonts w:ascii="CAIXA Std Book" w:hAnsi="CAIXA Std Book"/>
                <w:b/>
                <w:color w:val="005CA9"/>
                <w:sz w:val="18"/>
                <w:szCs w:val="18"/>
              </w:rPr>
            </w:pPr>
            <w:r w:rsidRPr="00E311C5">
              <w:rPr>
                <w:rFonts w:ascii="CAIXA Std Book" w:hAnsi="CAIXA Std Book"/>
                <w:b/>
                <w:bCs/>
                <w:color w:val="005CA9"/>
                <w:sz w:val="18"/>
                <w:szCs w:val="18"/>
              </w:rPr>
              <w:t>16.124.366</w:t>
            </w:r>
          </w:p>
        </w:tc>
        <w:tc>
          <w:tcPr>
            <w:tcW w:w="1120" w:type="pct"/>
            <w:tcBorders>
              <w:top w:val="single" w:sz="4" w:space="0" w:color="F79646"/>
              <w:left w:val="nil"/>
              <w:bottom w:val="single" w:sz="4" w:space="0" w:color="F79646"/>
              <w:right w:val="nil"/>
            </w:tcBorders>
            <w:vAlign w:val="center"/>
          </w:tcPr>
          <w:p w14:paraId="53E6A3F2" w14:textId="69D85334" w:rsidR="007D5CDF" w:rsidRPr="007D5CDF" w:rsidRDefault="007D5CDF" w:rsidP="007D5CDF">
            <w:pPr>
              <w:jc w:val="right"/>
              <w:rPr>
                <w:rFonts w:ascii="CAIXA Std Book" w:hAnsi="CAIXA Std Book"/>
                <w:b/>
                <w:bCs/>
                <w:color w:val="005CA9"/>
                <w:sz w:val="18"/>
                <w:szCs w:val="18"/>
              </w:rPr>
            </w:pPr>
            <w:r w:rsidRPr="007D5CDF">
              <w:rPr>
                <w:rFonts w:ascii="CAIXA Std Book" w:hAnsi="CAIXA Std Book"/>
                <w:b/>
                <w:bCs/>
                <w:color w:val="005CA9"/>
                <w:sz w:val="18"/>
                <w:szCs w:val="18"/>
              </w:rPr>
              <w:t>16.372.041</w:t>
            </w:r>
          </w:p>
        </w:tc>
      </w:tr>
      <w:tr w:rsidR="007D5CDF" w:rsidRPr="00A33766" w14:paraId="75ED96CD" w14:textId="77777777" w:rsidTr="00DB303C">
        <w:trPr>
          <w:trHeight w:val="283"/>
        </w:trPr>
        <w:tc>
          <w:tcPr>
            <w:tcW w:w="2761" w:type="pct"/>
            <w:tcBorders>
              <w:top w:val="single" w:sz="4" w:space="0" w:color="F79646"/>
              <w:left w:val="nil"/>
              <w:right w:val="nil"/>
            </w:tcBorders>
            <w:shd w:val="clear" w:color="auto" w:fill="auto"/>
            <w:noWrap/>
            <w:vAlign w:val="center"/>
          </w:tcPr>
          <w:p w14:paraId="10DF86E6" w14:textId="77777777" w:rsidR="007D5CDF" w:rsidRPr="00FF4346" w:rsidRDefault="007D5CDF" w:rsidP="007D5CDF">
            <w:pPr>
              <w:rPr>
                <w:rFonts w:ascii="CAIXA Std Book" w:eastAsia="Times New Roman" w:hAnsi="CAIXA Std Book" w:cs="Arial"/>
                <w:b/>
                <w:bCs/>
                <w:color w:val="005CA9"/>
                <w:sz w:val="18"/>
                <w:szCs w:val="18"/>
              </w:rPr>
            </w:pPr>
            <w:r w:rsidRPr="00FF4346">
              <w:rPr>
                <w:rFonts w:ascii="CAIXA Std Book" w:eastAsia="Times New Roman" w:hAnsi="CAIXA Std Book" w:cs="Arial"/>
                <w:color w:val="005CA9"/>
                <w:sz w:val="18"/>
                <w:szCs w:val="18"/>
              </w:rPr>
              <w:t>Operações comerciais</w:t>
            </w:r>
          </w:p>
        </w:tc>
        <w:tc>
          <w:tcPr>
            <w:tcW w:w="1119" w:type="pct"/>
            <w:tcBorders>
              <w:top w:val="single" w:sz="4" w:space="0" w:color="F79646"/>
              <w:left w:val="nil"/>
              <w:right w:val="nil"/>
            </w:tcBorders>
            <w:shd w:val="clear" w:color="auto" w:fill="auto"/>
            <w:vAlign w:val="center"/>
          </w:tcPr>
          <w:p w14:paraId="6A46EFF5" w14:textId="4DD54F94" w:rsidR="007D5CDF" w:rsidRPr="00E311C5" w:rsidRDefault="00E311C5" w:rsidP="00E311C5">
            <w:pPr>
              <w:jc w:val="right"/>
              <w:rPr>
                <w:rFonts w:ascii="CAIXA Std Book" w:hAnsi="CAIXA Std Book"/>
                <w:color w:val="005CA9"/>
                <w:sz w:val="18"/>
                <w:szCs w:val="18"/>
              </w:rPr>
            </w:pPr>
            <w:r w:rsidRPr="00E311C5">
              <w:rPr>
                <w:rFonts w:ascii="CAIXA Std Book" w:hAnsi="CAIXA Std Book"/>
                <w:color w:val="005CA9"/>
                <w:sz w:val="18"/>
                <w:szCs w:val="18"/>
              </w:rPr>
              <w:t>206.187</w:t>
            </w:r>
          </w:p>
        </w:tc>
        <w:tc>
          <w:tcPr>
            <w:tcW w:w="1120" w:type="pct"/>
            <w:tcBorders>
              <w:top w:val="single" w:sz="4" w:space="0" w:color="F79646"/>
              <w:left w:val="nil"/>
              <w:right w:val="nil"/>
            </w:tcBorders>
            <w:vAlign w:val="center"/>
          </w:tcPr>
          <w:p w14:paraId="0F8A3512" w14:textId="2AFCE9DA" w:rsidR="007D5CDF" w:rsidRPr="007D5CDF" w:rsidRDefault="007D5CDF" w:rsidP="007D5CDF">
            <w:pPr>
              <w:jc w:val="right"/>
              <w:rPr>
                <w:rFonts w:ascii="CAIXA Std Book" w:hAnsi="CAIXA Std Book"/>
                <w:color w:val="005CA9"/>
                <w:sz w:val="18"/>
                <w:szCs w:val="18"/>
              </w:rPr>
            </w:pPr>
            <w:r w:rsidRPr="007D5CDF">
              <w:rPr>
                <w:rFonts w:ascii="CAIXA Std Book" w:hAnsi="CAIXA Std Book"/>
                <w:color w:val="005CA9"/>
                <w:sz w:val="18"/>
                <w:szCs w:val="18"/>
              </w:rPr>
              <w:t>131.106</w:t>
            </w:r>
          </w:p>
        </w:tc>
      </w:tr>
      <w:tr w:rsidR="007D5CDF" w:rsidRPr="00A33766" w14:paraId="2718AF89" w14:textId="77777777" w:rsidTr="00033FE9">
        <w:trPr>
          <w:trHeight w:val="283"/>
        </w:trPr>
        <w:tc>
          <w:tcPr>
            <w:tcW w:w="2761" w:type="pct"/>
            <w:tcBorders>
              <w:left w:val="nil"/>
              <w:bottom w:val="single" w:sz="4" w:space="0" w:color="F79646"/>
              <w:right w:val="nil"/>
            </w:tcBorders>
            <w:shd w:val="clear" w:color="auto" w:fill="auto"/>
            <w:noWrap/>
            <w:vAlign w:val="center"/>
          </w:tcPr>
          <w:p w14:paraId="36BF254B" w14:textId="54A08C04" w:rsidR="007D5CDF" w:rsidRPr="00FF4346" w:rsidRDefault="007D5CDF" w:rsidP="007D5CDF">
            <w:pPr>
              <w:rPr>
                <w:rFonts w:ascii="CAIXA Std Book" w:eastAsia="Times New Roman" w:hAnsi="CAIXA Std Book" w:cs="Arial"/>
                <w:b/>
                <w:bCs/>
                <w:color w:val="005CA9"/>
                <w:sz w:val="18"/>
                <w:szCs w:val="18"/>
              </w:rPr>
            </w:pPr>
            <w:r w:rsidRPr="00FF4346">
              <w:rPr>
                <w:rFonts w:ascii="CAIXA Std Book" w:eastAsia="Times New Roman" w:hAnsi="CAIXA Std Book" w:cs="Arial"/>
                <w:color w:val="005CA9"/>
                <w:sz w:val="18"/>
                <w:szCs w:val="18"/>
              </w:rPr>
              <w:t>Operações habitacionais</w:t>
            </w:r>
          </w:p>
        </w:tc>
        <w:tc>
          <w:tcPr>
            <w:tcW w:w="1119" w:type="pct"/>
            <w:tcBorders>
              <w:left w:val="nil"/>
              <w:bottom w:val="single" w:sz="4" w:space="0" w:color="F79646"/>
              <w:right w:val="nil"/>
            </w:tcBorders>
            <w:shd w:val="clear" w:color="auto" w:fill="auto"/>
            <w:vAlign w:val="bottom"/>
          </w:tcPr>
          <w:p w14:paraId="5E067A99" w14:textId="0B5AC912" w:rsidR="007D5CDF" w:rsidRPr="00E311C5" w:rsidRDefault="00E311C5" w:rsidP="00E311C5">
            <w:pPr>
              <w:jc w:val="right"/>
              <w:rPr>
                <w:rFonts w:ascii="CAIXA Std Book" w:hAnsi="CAIXA Std Book"/>
                <w:color w:val="005CA9"/>
                <w:sz w:val="18"/>
                <w:szCs w:val="18"/>
              </w:rPr>
            </w:pPr>
            <w:r w:rsidRPr="00E311C5">
              <w:rPr>
                <w:rFonts w:ascii="CAIXA Std Book" w:hAnsi="CAIXA Std Book"/>
                <w:color w:val="005CA9"/>
                <w:sz w:val="18"/>
                <w:szCs w:val="18"/>
              </w:rPr>
              <w:t>15.918.179</w:t>
            </w:r>
          </w:p>
        </w:tc>
        <w:tc>
          <w:tcPr>
            <w:tcW w:w="1120" w:type="pct"/>
            <w:tcBorders>
              <w:left w:val="nil"/>
              <w:bottom w:val="single" w:sz="4" w:space="0" w:color="F79646"/>
              <w:right w:val="nil"/>
            </w:tcBorders>
            <w:vAlign w:val="center"/>
          </w:tcPr>
          <w:p w14:paraId="4E7E62C5" w14:textId="43A4229E" w:rsidR="007D5CDF" w:rsidRPr="007D5CDF" w:rsidRDefault="007D5CDF" w:rsidP="007D5CDF">
            <w:pPr>
              <w:jc w:val="right"/>
              <w:rPr>
                <w:rFonts w:ascii="CAIXA Std Book" w:hAnsi="CAIXA Std Book"/>
                <w:color w:val="005CA9"/>
                <w:sz w:val="18"/>
                <w:szCs w:val="18"/>
              </w:rPr>
            </w:pPr>
            <w:r w:rsidRPr="007D5CDF">
              <w:rPr>
                <w:rFonts w:ascii="CAIXA Std Book" w:hAnsi="CAIXA Std Book"/>
                <w:color w:val="005CA9"/>
                <w:sz w:val="18"/>
                <w:szCs w:val="18"/>
              </w:rPr>
              <w:t>16.240.935</w:t>
            </w:r>
          </w:p>
        </w:tc>
      </w:tr>
    </w:tbl>
    <w:p w14:paraId="0C3C5AE3" w14:textId="77777777" w:rsidR="0009069D" w:rsidRDefault="0009069D" w:rsidP="0009069D">
      <w:pPr>
        <w:pStyle w:val="PargrafodaLista"/>
        <w:spacing w:after="120"/>
        <w:ind w:left="0"/>
        <w:contextualSpacing w:val="0"/>
        <w:jc w:val="both"/>
        <w:rPr>
          <w:rFonts w:ascii="CAIXA Std Book" w:hAnsi="CAIXA Std Book"/>
          <w:b/>
          <w:color w:val="005CA9"/>
          <w:sz w:val="20"/>
          <w:szCs w:val="20"/>
        </w:rPr>
      </w:pPr>
    </w:p>
    <w:p w14:paraId="77A1A3CE" w14:textId="2D46B28B" w:rsidR="00F8586F" w:rsidRPr="00FF4346" w:rsidRDefault="00BA44FA"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t xml:space="preserve">Movimentação da provisão para </w:t>
      </w:r>
      <w:r w:rsidR="00C06DA5" w:rsidRPr="00FF4346">
        <w:rPr>
          <w:rFonts w:ascii="CAIXA Std Book" w:hAnsi="CAIXA Std Book"/>
          <w:b/>
          <w:color w:val="005CA9"/>
          <w:sz w:val="20"/>
          <w:szCs w:val="20"/>
        </w:rPr>
        <w:t>perdas associadas ao risco de crédito</w:t>
      </w:r>
    </w:p>
    <w:tbl>
      <w:tblPr>
        <w:tblW w:w="5000" w:type="pct"/>
        <w:tblCellMar>
          <w:left w:w="70" w:type="dxa"/>
          <w:right w:w="70" w:type="dxa"/>
        </w:tblCellMar>
        <w:tblLook w:val="04A0" w:firstRow="1" w:lastRow="0" w:firstColumn="1" w:lastColumn="0" w:noHBand="0" w:noVBand="1"/>
      </w:tblPr>
      <w:tblGrid>
        <w:gridCol w:w="5245"/>
        <w:gridCol w:w="2125"/>
        <w:gridCol w:w="2127"/>
      </w:tblGrid>
      <w:tr w:rsidR="00491E3D" w:rsidRPr="00A33766" w14:paraId="619BC333" w14:textId="295BD3DD" w:rsidTr="0009069D">
        <w:trPr>
          <w:trHeight w:val="283"/>
        </w:trPr>
        <w:tc>
          <w:tcPr>
            <w:tcW w:w="5000" w:type="pct"/>
            <w:gridSpan w:val="3"/>
            <w:tcBorders>
              <w:top w:val="single" w:sz="4" w:space="0" w:color="F79646"/>
              <w:left w:val="nil"/>
              <w:bottom w:val="single" w:sz="4" w:space="0" w:color="F79646"/>
            </w:tcBorders>
            <w:vAlign w:val="center"/>
          </w:tcPr>
          <w:p w14:paraId="20BD4D7C" w14:textId="1A9BB7B1" w:rsidR="00491E3D" w:rsidRPr="00FF4346" w:rsidRDefault="00491E3D" w:rsidP="0059601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 / CONSOLIDADO</w:t>
            </w:r>
          </w:p>
        </w:tc>
      </w:tr>
      <w:tr w:rsidR="00491E3D" w:rsidRPr="00A33766" w14:paraId="631F4615" w14:textId="6C19284B" w:rsidTr="00DB303C">
        <w:trPr>
          <w:trHeight w:val="283"/>
        </w:trPr>
        <w:tc>
          <w:tcPr>
            <w:tcW w:w="2761" w:type="pct"/>
            <w:vMerge w:val="restart"/>
            <w:tcBorders>
              <w:top w:val="single" w:sz="4" w:space="0" w:color="F79646"/>
              <w:left w:val="nil"/>
              <w:bottom w:val="single" w:sz="4" w:space="0" w:color="F39200"/>
              <w:right w:val="nil"/>
            </w:tcBorders>
            <w:shd w:val="clear" w:color="auto" w:fill="auto"/>
            <w:noWrap/>
            <w:vAlign w:val="center"/>
            <w:hideMark/>
          </w:tcPr>
          <w:p w14:paraId="2F9C7909" w14:textId="77777777" w:rsidR="00491E3D" w:rsidRPr="00FF4346" w:rsidRDefault="00491E3D" w:rsidP="0059601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 xml:space="preserve">Descrição </w:t>
            </w:r>
          </w:p>
        </w:tc>
        <w:tc>
          <w:tcPr>
            <w:tcW w:w="1119" w:type="pct"/>
            <w:tcBorders>
              <w:top w:val="single" w:sz="4" w:space="0" w:color="F79646"/>
              <w:left w:val="nil"/>
              <w:bottom w:val="single" w:sz="4" w:space="0" w:color="F79646"/>
              <w:right w:val="nil"/>
            </w:tcBorders>
            <w:shd w:val="clear" w:color="auto" w:fill="auto"/>
            <w:noWrap/>
            <w:vAlign w:val="center"/>
            <w:hideMark/>
          </w:tcPr>
          <w:p w14:paraId="77D0A7F0" w14:textId="04D561EB" w:rsidR="00491E3D" w:rsidRPr="00FF4346" w:rsidRDefault="00491E3D" w:rsidP="0059601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w:t>
            </w:r>
            <w:r>
              <w:rPr>
                <w:rFonts w:ascii="CAIXA Std Book" w:eastAsia="Times New Roman" w:hAnsi="CAIXA Std Book" w:cs="Arial"/>
                <w:b/>
                <w:bCs/>
                <w:color w:val="005CA9"/>
                <w:sz w:val="18"/>
                <w:szCs w:val="18"/>
              </w:rPr>
              <w:t>4</w:t>
            </w:r>
          </w:p>
        </w:tc>
        <w:tc>
          <w:tcPr>
            <w:tcW w:w="1119" w:type="pct"/>
            <w:tcBorders>
              <w:top w:val="single" w:sz="4" w:space="0" w:color="F79646"/>
              <w:left w:val="nil"/>
              <w:bottom w:val="single" w:sz="4" w:space="0" w:color="F79646"/>
              <w:right w:val="nil"/>
            </w:tcBorders>
            <w:shd w:val="clear" w:color="auto" w:fill="auto"/>
            <w:vAlign w:val="center"/>
          </w:tcPr>
          <w:p w14:paraId="031DDFED" w14:textId="5EEA47BC" w:rsidR="00491E3D" w:rsidRPr="00FF4346" w:rsidRDefault="00491E3D" w:rsidP="0059601F">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2023</w:t>
            </w:r>
          </w:p>
        </w:tc>
      </w:tr>
      <w:tr w:rsidR="00491E3D" w:rsidRPr="00A33766" w14:paraId="0E140751" w14:textId="11BAB030" w:rsidTr="00DB303C">
        <w:trPr>
          <w:trHeight w:val="283"/>
        </w:trPr>
        <w:tc>
          <w:tcPr>
            <w:tcW w:w="2761" w:type="pct"/>
            <w:vMerge/>
            <w:tcBorders>
              <w:top w:val="single" w:sz="4" w:space="0" w:color="F79646"/>
              <w:left w:val="nil"/>
              <w:bottom w:val="single" w:sz="4" w:space="0" w:color="F39200"/>
              <w:right w:val="nil"/>
            </w:tcBorders>
            <w:vAlign w:val="center"/>
            <w:hideMark/>
          </w:tcPr>
          <w:p w14:paraId="41D06C7E" w14:textId="77777777" w:rsidR="00491E3D" w:rsidRPr="00FF4346" w:rsidRDefault="00491E3D" w:rsidP="00491E3D">
            <w:pPr>
              <w:rPr>
                <w:rFonts w:ascii="CAIXA Std Book" w:eastAsia="Times New Roman" w:hAnsi="CAIXA Std Book" w:cs="Arial"/>
                <w:b/>
                <w:bCs/>
                <w:color w:val="005CA9"/>
                <w:sz w:val="18"/>
                <w:szCs w:val="18"/>
              </w:rPr>
            </w:pPr>
          </w:p>
        </w:tc>
        <w:tc>
          <w:tcPr>
            <w:tcW w:w="1119" w:type="pct"/>
            <w:tcBorders>
              <w:top w:val="single" w:sz="4" w:space="0" w:color="F79646"/>
              <w:left w:val="nil"/>
              <w:bottom w:val="single" w:sz="4" w:space="0" w:color="F79646"/>
              <w:right w:val="nil"/>
            </w:tcBorders>
            <w:shd w:val="clear" w:color="auto" w:fill="auto"/>
            <w:vAlign w:val="center"/>
          </w:tcPr>
          <w:p w14:paraId="73DF07F2" w14:textId="020489DF" w:rsidR="00491E3D" w:rsidRPr="00FF4346" w:rsidRDefault="00491E3D" w:rsidP="00491E3D">
            <w:pPr>
              <w:jc w:val="center"/>
              <w:rPr>
                <w:rFonts w:ascii="CAIXA Std Book" w:eastAsia="Times New Roman" w:hAnsi="CAIXA Std Book" w:cs="Arial"/>
                <w:b/>
                <w:bCs/>
                <w:color w:val="005CA9"/>
                <w:sz w:val="18"/>
                <w:szCs w:val="18"/>
              </w:rPr>
            </w:pPr>
            <w:r w:rsidRPr="00AF4BD6">
              <w:rPr>
                <w:rFonts w:ascii="CAIXA Std Book" w:hAnsi="CAIXA Std Book"/>
                <w:b/>
                <w:color w:val="005CA9"/>
                <w:sz w:val="18"/>
                <w:szCs w:val="18"/>
              </w:rPr>
              <w:t>1º trimestre</w:t>
            </w:r>
          </w:p>
        </w:tc>
        <w:tc>
          <w:tcPr>
            <w:tcW w:w="1119" w:type="pct"/>
            <w:tcBorders>
              <w:top w:val="single" w:sz="4" w:space="0" w:color="F79646"/>
              <w:left w:val="nil"/>
              <w:bottom w:val="single" w:sz="4" w:space="0" w:color="F79646"/>
              <w:right w:val="nil"/>
            </w:tcBorders>
            <w:vAlign w:val="center"/>
          </w:tcPr>
          <w:p w14:paraId="6D75A560" w14:textId="708AD1DE" w:rsidR="00491E3D" w:rsidRPr="00FF4346" w:rsidRDefault="00491E3D" w:rsidP="00491E3D">
            <w:pPr>
              <w:jc w:val="center"/>
              <w:rPr>
                <w:rFonts w:ascii="CAIXA Std Book" w:eastAsia="Times New Roman" w:hAnsi="CAIXA Std Book" w:cs="Arial"/>
                <w:b/>
                <w:bCs/>
                <w:color w:val="005CA9"/>
                <w:sz w:val="18"/>
                <w:szCs w:val="18"/>
              </w:rPr>
            </w:pPr>
            <w:r w:rsidRPr="00AF4BD6">
              <w:rPr>
                <w:rFonts w:ascii="CAIXA Std Book" w:hAnsi="CAIXA Std Book"/>
                <w:b/>
                <w:color w:val="005CA9"/>
                <w:sz w:val="18"/>
                <w:szCs w:val="18"/>
              </w:rPr>
              <w:t>1º trimestre</w:t>
            </w:r>
          </w:p>
        </w:tc>
      </w:tr>
      <w:tr w:rsidR="00D543B9" w:rsidRPr="007A65B4" w14:paraId="2A12AC92" w14:textId="75AEC386" w:rsidTr="00DB303C">
        <w:trPr>
          <w:trHeight w:val="283"/>
        </w:trPr>
        <w:tc>
          <w:tcPr>
            <w:tcW w:w="2761" w:type="pct"/>
            <w:tcBorders>
              <w:top w:val="nil"/>
              <w:left w:val="nil"/>
              <w:bottom w:val="single" w:sz="4" w:space="0" w:color="F79646"/>
              <w:right w:val="nil"/>
            </w:tcBorders>
            <w:shd w:val="clear" w:color="auto" w:fill="auto"/>
            <w:noWrap/>
            <w:vAlign w:val="center"/>
            <w:hideMark/>
          </w:tcPr>
          <w:p w14:paraId="316976F5" w14:textId="77777777" w:rsidR="00D543B9" w:rsidRPr="00FF4346" w:rsidRDefault="00D543B9" w:rsidP="00D543B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Saldo inicial</w:t>
            </w:r>
          </w:p>
        </w:tc>
        <w:tc>
          <w:tcPr>
            <w:tcW w:w="1119" w:type="pct"/>
            <w:tcBorders>
              <w:top w:val="single" w:sz="4" w:space="0" w:color="F79646"/>
              <w:left w:val="nil"/>
              <w:bottom w:val="single" w:sz="4" w:space="0" w:color="F79646"/>
              <w:right w:val="nil"/>
            </w:tcBorders>
            <w:shd w:val="clear" w:color="auto" w:fill="auto"/>
            <w:vAlign w:val="center"/>
          </w:tcPr>
          <w:p w14:paraId="36056840" w14:textId="70D37D88" w:rsidR="00D543B9" w:rsidRPr="00D543B9" w:rsidRDefault="00D543B9" w:rsidP="00D543B9">
            <w:pPr>
              <w:jc w:val="right"/>
              <w:rPr>
                <w:rFonts w:ascii="CAIXA Std Book" w:hAnsi="CAIXA Std Book"/>
                <w:b/>
                <w:bCs/>
                <w:color w:val="005CA9"/>
                <w:sz w:val="18"/>
                <w:szCs w:val="18"/>
              </w:rPr>
            </w:pPr>
            <w:r>
              <w:rPr>
                <w:rFonts w:ascii="CAIXA Std Book" w:hAnsi="CAIXA Std Book"/>
                <w:b/>
                <w:bCs/>
                <w:color w:val="005CA9"/>
                <w:sz w:val="18"/>
                <w:szCs w:val="18"/>
              </w:rPr>
              <w:t>(</w:t>
            </w:r>
            <w:r w:rsidRPr="00D543B9">
              <w:rPr>
                <w:rFonts w:ascii="CAIXA Std Book" w:hAnsi="CAIXA Std Book"/>
                <w:b/>
                <w:bCs/>
                <w:color w:val="005CA9"/>
                <w:sz w:val="18"/>
                <w:szCs w:val="18"/>
              </w:rPr>
              <w:t>49.842.524</w:t>
            </w:r>
            <w:r>
              <w:rPr>
                <w:rFonts w:ascii="CAIXA Std Book" w:hAnsi="CAIXA Std Book"/>
                <w:b/>
                <w:bCs/>
                <w:color w:val="005CA9"/>
                <w:sz w:val="18"/>
                <w:szCs w:val="18"/>
              </w:rPr>
              <w:t>)</w:t>
            </w:r>
          </w:p>
        </w:tc>
        <w:tc>
          <w:tcPr>
            <w:tcW w:w="1119" w:type="pct"/>
            <w:tcBorders>
              <w:top w:val="single" w:sz="4" w:space="0" w:color="F79646"/>
              <w:left w:val="nil"/>
              <w:bottom w:val="single" w:sz="4" w:space="0" w:color="F79646"/>
              <w:right w:val="nil"/>
            </w:tcBorders>
            <w:vAlign w:val="center"/>
          </w:tcPr>
          <w:p w14:paraId="71CE9F7C" w14:textId="09F8FCF1" w:rsidR="00D543B9" w:rsidRPr="007A65B4" w:rsidRDefault="00D543B9" w:rsidP="00D543B9">
            <w:pPr>
              <w:jc w:val="right"/>
              <w:rPr>
                <w:rFonts w:ascii="CAIXA Std Book" w:hAnsi="CAIXA Std Book"/>
                <w:b/>
                <w:bCs/>
                <w:color w:val="005CA9"/>
                <w:sz w:val="18"/>
                <w:szCs w:val="18"/>
              </w:rPr>
            </w:pPr>
            <w:r w:rsidRPr="007A65B4">
              <w:rPr>
                <w:rFonts w:ascii="CAIXA Std Book" w:hAnsi="CAIXA Std Book"/>
                <w:b/>
                <w:bCs/>
                <w:color w:val="005CA9"/>
                <w:sz w:val="18"/>
                <w:szCs w:val="18"/>
              </w:rPr>
              <w:t>(46.427.588)</w:t>
            </w:r>
          </w:p>
        </w:tc>
      </w:tr>
      <w:tr w:rsidR="00D543B9" w:rsidRPr="007A65B4" w14:paraId="341473CC" w14:textId="58703643" w:rsidTr="00DB303C">
        <w:trPr>
          <w:trHeight w:val="283"/>
        </w:trPr>
        <w:tc>
          <w:tcPr>
            <w:tcW w:w="2761" w:type="pct"/>
            <w:tcBorders>
              <w:top w:val="single" w:sz="4" w:space="0" w:color="F79646"/>
              <w:left w:val="nil"/>
              <w:bottom w:val="nil"/>
              <w:right w:val="nil"/>
            </w:tcBorders>
            <w:shd w:val="clear" w:color="auto" w:fill="auto"/>
            <w:noWrap/>
            <w:vAlign w:val="center"/>
            <w:hideMark/>
          </w:tcPr>
          <w:p w14:paraId="29733349" w14:textId="03142AAA" w:rsidR="00D543B9" w:rsidRPr="00FF4346" w:rsidRDefault="00D543B9" w:rsidP="00D543B9">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Constituição/Reversão de provisão no período</w:t>
            </w:r>
          </w:p>
        </w:tc>
        <w:tc>
          <w:tcPr>
            <w:tcW w:w="1119" w:type="pct"/>
            <w:tcBorders>
              <w:top w:val="single" w:sz="4" w:space="0" w:color="F79646"/>
              <w:left w:val="nil"/>
              <w:bottom w:val="nil"/>
              <w:right w:val="nil"/>
            </w:tcBorders>
            <w:shd w:val="clear" w:color="auto" w:fill="auto"/>
            <w:vAlign w:val="center"/>
          </w:tcPr>
          <w:p w14:paraId="43832D9E" w14:textId="012DBFFC" w:rsidR="00D543B9" w:rsidRPr="00D543B9" w:rsidRDefault="00D543B9" w:rsidP="00D543B9">
            <w:pPr>
              <w:jc w:val="right"/>
              <w:rPr>
                <w:rFonts w:ascii="CAIXA Std Book" w:hAnsi="CAIXA Std Book"/>
                <w:color w:val="005CA9"/>
                <w:sz w:val="18"/>
                <w:szCs w:val="18"/>
              </w:rPr>
            </w:pPr>
            <w:r>
              <w:rPr>
                <w:rFonts w:ascii="CAIXA Std Book" w:hAnsi="CAIXA Std Book"/>
                <w:color w:val="005CA9"/>
                <w:sz w:val="18"/>
                <w:szCs w:val="18"/>
              </w:rPr>
              <w:t>(</w:t>
            </w:r>
            <w:r w:rsidRPr="00D543B9">
              <w:rPr>
                <w:rFonts w:ascii="CAIXA Std Book" w:hAnsi="CAIXA Std Book"/>
                <w:color w:val="005CA9"/>
                <w:sz w:val="18"/>
                <w:szCs w:val="18"/>
              </w:rPr>
              <w:t>4.945.520</w:t>
            </w:r>
            <w:r>
              <w:rPr>
                <w:rFonts w:ascii="CAIXA Std Book" w:hAnsi="CAIXA Std Book"/>
                <w:color w:val="005CA9"/>
                <w:sz w:val="18"/>
                <w:szCs w:val="18"/>
              </w:rPr>
              <w:t>)</w:t>
            </w:r>
          </w:p>
        </w:tc>
        <w:tc>
          <w:tcPr>
            <w:tcW w:w="1119" w:type="pct"/>
            <w:tcBorders>
              <w:top w:val="single" w:sz="4" w:space="0" w:color="F79646"/>
              <w:left w:val="nil"/>
              <w:bottom w:val="nil"/>
              <w:right w:val="nil"/>
            </w:tcBorders>
            <w:vAlign w:val="center"/>
          </w:tcPr>
          <w:p w14:paraId="61AB61B8" w14:textId="300C6379" w:rsidR="00D543B9" w:rsidRPr="007A65B4" w:rsidRDefault="00D543B9" w:rsidP="00D543B9">
            <w:pPr>
              <w:jc w:val="right"/>
              <w:rPr>
                <w:rFonts w:ascii="CAIXA Std Book" w:hAnsi="CAIXA Std Book"/>
                <w:color w:val="005CA9"/>
                <w:sz w:val="18"/>
                <w:szCs w:val="18"/>
              </w:rPr>
            </w:pPr>
            <w:r w:rsidRPr="007A65B4">
              <w:rPr>
                <w:rFonts w:ascii="CAIXA Std Book" w:hAnsi="CAIXA Std Book"/>
                <w:color w:val="005CA9"/>
                <w:sz w:val="18"/>
                <w:szCs w:val="18"/>
              </w:rPr>
              <w:t>(4.991.070)</w:t>
            </w:r>
          </w:p>
        </w:tc>
      </w:tr>
      <w:tr w:rsidR="00D543B9" w:rsidRPr="007A65B4" w14:paraId="7E8AA016" w14:textId="2127D352" w:rsidTr="00DB303C">
        <w:trPr>
          <w:trHeight w:val="283"/>
        </w:trPr>
        <w:tc>
          <w:tcPr>
            <w:tcW w:w="2761" w:type="pct"/>
            <w:tcBorders>
              <w:top w:val="nil"/>
              <w:left w:val="nil"/>
              <w:bottom w:val="single" w:sz="4" w:space="0" w:color="F79646"/>
              <w:right w:val="nil"/>
            </w:tcBorders>
            <w:shd w:val="clear" w:color="auto" w:fill="auto"/>
            <w:noWrap/>
            <w:vAlign w:val="center"/>
            <w:hideMark/>
          </w:tcPr>
          <w:p w14:paraId="72B3659E" w14:textId="77777777" w:rsidR="00D543B9" w:rsidRPr="00FF4346" w:rsidRDefault="00D543B9" w:rsidP="00D543B9">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Transferência para prejuízo</w:t>
            </w:r>
          </w:p>
        </w:tc>
        <w:tc>
          <w:tcPr>
            <w:tcW w:w="1119" w:type="pct"/>
            <w:tcBorders>
              <w:top w:val="nil"/>
              <w:left w:val="nil"/>
              <w:bottom w:val="single" w:sz="4" w:space="0" w:color="F79646"/>
              <w:right w:val="nil"/>
            </w:tcBorders>
            <w:shd w:val="clear" w:color="auto" w:fill="auto"/>
            <w:vAlign w:val="center"/>
          </w:tcPr>
          <w:p w14:paraId="674E4E7D" w14:textId="10B8A03F" w:rsidR="00D543B9" w:rsidRPr="00D543B9" w:rsidRDefault="00D543B9" w:rsidP="00D543B9">
            <w:pPr>
              <w:jc w:val="right"/>
              <w:rPr>
                <w:rFonts w:ascii="CAIXA Std Book" w:hAnsi="CAIXA Std Book"/>
                <w:color w:val="005CA9"/>
                <w:sz w:val="18"/>
                <w:szCs w:val="18"/>
              </w:rPr>
            </w:pPr>
            <w:r w:rsidRPr="00D543B9">
              <w:rPr>
                <w:rFonts w:ascii="CAIXA Std Book" w:hAnsi="CAIXA Std Book"/>
                <w:color w:val="005CA9"/>
                <w:sz w:val="18"/>
                <w:szCs w:val="18"/>
              </w:rPr>
              <w:t>4.068.128</w:t>
            </w:r>
          </w:p>
        </w:tc>
        <w:tc>
          <w:tcPr>
            <w:tcW w:w="1119" w:type="pct"/>
            <w:tcBorders>
              <w:top w:val="nil"/>
              <w:left w:val="nil"/>
              <w:bottom w:val="single" w:sz="4" w:space="0" w:color="F79646"/>
              <w:right w:val="nil"/>
            </w:tcBorders>
            <w:vAlign w:val="center"/>
          </w:tcPr>
          <w:p w14:paraId="36EE56A8" w14:textId="6650DC17" w:rsidR="00D543B9" w:rsidRPr="007A65B4" w:rsidRDefault="00D543B9" w:rsidP="00D543B9">
            <w:pPr>
              <w:jc w:val="right"/>
              <w:rPr>
                <w:rFonts w:ascii="CAIXA Std Book" w:hAnsi="CAIXA Std Book"/>
                <w:color w:val="005CA9"/>
                <w:sz w:val="18"/>
                <w:szCs w:val="18"/>
              </w:rPr>
            </w:pPr>
            <w:r w:rsidRPr="007A65B4">
              <w:rPr>
                <w:rFonts w:ascii="CAIXA Std Book" w:hAnsi="CAIXA Std Book"/>
                <w:color w:val="005CA9"/>
                <w:sz w:val="18"/>
                <w:szCs w:val="18"/>
              </w:rPr>
              <w:t>2.818.846</w:t>
            </w:r>
          </w:p>
        </w:tc>
      </w:tr>
      <w:tr w:rsidR="00D543B9" w:rsidRPr="007A65B4" w14:paraId="7849CBBE" w14:textId="255DAD60" w:rsidTr="00DB303C">
        <w:trPr>
          <w:trHeight w:val="283"/>
        </w:trPr>
        <w:tc>
          <w:tcPr>
            <w:tcW w:w="2761" w:type="pct"/>
            <w:tcBorders>
              <w:top w:val="single" w:sz="4" w:space="0" w:color="F79646"/>
              <w:left w:val="nil"/>
              <w:bottom w:val="single" w:sz="4" w:space="0" w:color="F79646"/>
              <w:right w:val="nil"/>
            </w:tcBorders>
            <w:shd w:val="clear" w:color="auto" w:fill="auto"/>
            <w:noWrap/>
            <w:vAlign w:val="center"/>
            <w:hideMark/>
          </w:tcPr>
          <w:p w14:paraId="272C70B1" w14:textId="77777777" w:rsidR="00D543B9" w:rsidRPr="00FF4346" w:rsidRDefault="00D543B9" w:rsidP="00D543B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Saldo final</w:t>
            </w:r>
          </w:p>
        </w:tc>
        <w:tc>
          <w:tcPr>
            <w:tcW w:w="1119" w:type="pct"/>
            <w:tcBorders>
              <w:top w:val="single" w:sz="4" w:space="0" w:color="F79646"/>
              <w:left w:val="nil"/>
              <w:bottom w:val="single" w:sz="4" w:space="0" w:color="F79646"/>
              <w:right w:val="nil"/>
            </w:tcBorders>
            <w:shd w:val="clear" w:color="auto" w:fill="auto"/>
            <w:vAlign w:val="center"/>
          </w:tcPr>
          <w:p w14:paraId="6EEC0FB0" w14:textId="46A6854A" w:rsidR="00D543B9" w:rsidRPr="00D543B9" w:rsidRDefault="00D543B9" w:rsidP="00D543B9">
            <w:pPr>
              <w:jc w:val="right"/>
              <w:rPr>
                <w:rFonts w:ascii="CAIXA Std Book" w:hAnsi="CAIXA Std Book"/>
                <w:b/>
                <w:bCs/>
                <w:color w:val="005CA9"/>
                <w:sz w:val="18"/>
                <w:szCs w:val="18"/>
              </w:rPr>
            </w:pPr>
            <w:r>
              <w:rPr>
                <w:rFonts w:ascii="CAIXA Std Book" w:hAnsi="CAIXA Std Book"/>
                <w:b/>
                <w:bCs/>
                <w:color w:val="005CA9"/>
                <w:sz w:val="18"/>
                <w:szCs w:val="18"/>
              </w:rPr>
              <w:t>(</w:t>
            </w:r>
            <w:r w:rsidRPr="00D543B9">
              <w:rPr>
                <w:rFonts w:ascii="CAIXA Std Book" w:hAnsi="CAIXA Std Book"/>
                <w:b/>
                <w:bCs/>
                <w:color w:val="005CA9"/>
                <w:sz w:val="18"/>
                <w:szCs w:val="18"/>
              </w:rPr>
              <w:t>50.719.916</w:t>
            </w:r>
            <w:r>
              <w:rPr>
                <w:rFonts w:ascii="CAIXA Std Book" w:hAnsi="CAIXA Std Book"/>
                <w:b/>
                <w:bCs/>
                <w:color w:val="005CA9"/>
                <w:sz w:val="18"/>
                <w:szCs w:val="18"/>
              </w:rPr>
              <w:t>)</w:t>
            </w:r>
          </w:p>
        </w:tc>
        <w:tc>
          <w:tcPr>
            <w:tcW w:w="1119" w:type="pct"/>
            <w:tcBorders>
              <w:top w:val="single" w:sz="4" w:space="0" w:color="F79646"/>
              <w:left w:val="nil"/>
              <w:bottom w:val="single" w:sz="4" w:space="0" w:color="F79646"/>
              <w:right w:val="nil"/>
            </w:tcBorders>
            <w:vAlign w:val="center"/>
          </w:tcPr>
          <w:p w14:paraId="7BB9C1A1" w14:textId="4F8142BE" w:rsidR="00D543B9" w:rsidRPr="007A65B4" w:rsidRDefault="00D543B9" w:rsidP="00D543B9">
            <w:pPr>
              <w:jc w:val="right"/>
              <w:rPr>
                <w:rFonts w:ascii="CAIXA Std Book" w:hAnsi="CAIXA Std Book"/>
                <w:b/>
                <w:bCs/>
                <w:color w:val="005CA9"/>
                <w:sz w:val="18"/>
                <w:szCs w:val="18"/>
              </w:rPr>
            </w:pPr>
            <w:r w:rsidRPr="007A65B4">
              <w:rPr>
                <w:rFonts w:ascii="CAIXA Std Book" w:hAnsi="CAIXA Std Book"/>
                <w:b/>
                <w:bCs/>
                <w:color w:val="005CA9"/>
                <w:sz w:val="18"/>
                <w:szCs w:val="18"/>
              </w:rPr>
              <w:t>(48.599.812)</w:t>
            </w:r>
          </w:p>
        </w:tc>
      </w:tr>
    </w:tbl>
    <w:p w14:paraId="05F4F559" w14:textId="77777777" w:rsidR="0009069D" w:rsidRDefault="0009069D" w:rsidP="0009069D">
      <w:pPr>
        <w:pStyle w:val="PargrafodaLista"/>
        <w:spacing w:after="120"/>
        <w:ind w:left="0"/>
        <w:contextualSpacing w:val="0"/>
        <w:jc w:val="both"/>
        <w:rPr>
          <w:rFonts w:ascii="CAIXA Std Book" w:hAnsi="CAIXA Std Book"/>
          <w:b/>
          <w:color w:val="005CA9"/>
          <w:sz w:val="20"/>
          <w:szCs w:val="20"/>
        </w:rPr>
      </w:pPr>
    </w:p>
    <w:p w14:paraId="43D66275" w14:textId="726ACADA" w:rsidR="004944AB" w:rsidRPr="00FF4346" w:rsidRDefault="004944AB" w:rsidP="00B37B40">
      <w:pPr>
        <w:pStyle w:val="PargrafodaLista"/>
        <w:numPr>
          <w:ilvl w:val="0"/>
          <w:numId w:val="7"/>
        </w:numPr>
        <w:spacing w:after="120"/>
        <w:ind w:left="0" w:firstLine="0"/>
        <w:contextualSpacing w:val="0"/>
        <w:jc w:val="both"/>
        <w:rPr>
          <w:rFonts w:ascii="CAIXA Std Book" w:hAnsi="CAIXA Std Book"/>
          <w:b/>
          <w:color w:val="005CA9"/>
          <w:sz w:val="20"/>
          <w:szCs w:val="20"/>
        </w:rPr>
      </w:pPr>
      <w:r w:rsidRPr="00FF4346">
        <w:rPr>
          <w:rFonts w:ascii="CAIXA Std Book" w:hAnsi="CAIXA Std Book"/>
          <w:b/>
          <w:color w:val="005CA9"/>
          <w:sz w:val="20"/>
          <w:szCs w:val="20"/>
        </w:rPr>
        <w:t>Programas Governamentais para a Concessão de Crédito</w:t>
      </w:r>
    </w:p>
    <w:tbl>
      <w:tblPr>
        <w:tblW w:w="5000" w:type="pct"/>
        <w:tblCellMar>
          <w:left w:w="70" w:type="dxa"/>
          <w:right w:w="70" w:type="dxa"/>
        </w:tblCellMar>
        <w:tblLook w:val="04A0" w:firstRow="1" w:lastRow="0" w:firstColumn="1" w:lastColumn="0" w:noHBand="0" w:noVBand="1"/>
      </w:tblPr>
      <w:tblGrid>
        <w:gridCol w:w="5245"/>
        <w:gridCol w:w="2125"/>
        <w:gridCol w:w="2127"/>
      </w:tblGrid>
      <w:tr w:rsidR="003B2B2A" w:rsidRPr="00A33766" w14:paraId="494E3853" w14:textId="77777777" w:rsidTr="0009069D">
        <w:trPr>
          <w:trHeight w:val="283"/>
        </w:trPr>
        <w:tc>
          <w:tcPr>
            <w:tcW w:w="5000" w:type="pct"/>
            <w:gridSpan w:val="3"/>
            <w:tcBorders>
              <w:top w:val="single" w:sz="4" w:space="0" w:color="F39200"/>
              <w:left w:val="nil"/>
              <w:bottom w:val="single" w:sz="4" w:space="0" w:color="F79646"/>
              <w:right w:val="nil"/>
            </w:tcBorders>
            <w:shd w:val="clear" w:color="auto" w:fill="auto"/>
            <w:vAlign w:val="center"/>
            <w:hideMark/>
          </w:tcPr>
          <w:p w14:paraId="7D0BD097" w14:textId="77777777" w:rsidR="004944AB" w:rsidRPr="00FF4346" w:rsidRDefault="004944AB" w:rsidP="004944AB">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 / CONSOLIDADO</w:t>
            </w:r>
          </w:p>
        </w:tc>
      </w:tr>
      <w:tr w:rsidR="00DD4D38" w:rsidRPr="00A33766" w14:paraId="1F78D18C" w14:textId="77777777" w:rsidTr="00DB303C">
        <w:trPr>
          <w:trHeight w:val="283"/>
        </w:trPr>
        <w:tc>
          <w:tcPr>
            <w:tcW w:w="2761" w:type="pct"/>
            <w:tcBorders>
              <w:top w:val="single" w:sz="4" w:space="0" w:color="F79646"/>
              <w:left w:val="nil"/>
              <w:bottom w:val="single" w:sz="4" w:space="0" w:color="F79646"/>
              <w:right w:val="nil"/>
            </w:tcBorders>
            <w:vAlign w:val="center"/>
            <w:hideMark/>
          </w:tcPr>
          <w:p w14:paraId="3CB7BDD1" w14:textId="32A8629A" w:rsidR="00DD4D38" w:rsidRPr="00FF4346" w:rsidRDefault="00DD4D38" w:rsidP="00DD4D38">
            <w:pPr>
              <w:jc w:val="center"/>
              <w:rPr>
                <w:rFonts w:ascii="CAIXA Std Book" w:eastAsia="Times New Roman" w:hAnsi="CAIXA Std Book" w:cs="Arial"/>
                <w:b/>
                <w:bCs/>
                <w:color w:val="005CA9"/>
                <w:sz w:val="18"/>
                <w:szCs w:val="18"/>
              </w:rPr>
            </w:pPr>
            <w:r w:rsidRPr="00FF4346">
              <w:rPr>
                <w:rFonts w:ascii="CAIXA Std Book" w:hAnsi="CAIXA Std Book"/>
                <w:b/>
                <w:color w:val="005CA9"/>
                <w:sz w:val="18"/>
                <w:szCs w:val="18"/>
              </w:rPr>
              <w:t>Descrição</w:t>
            </w:r>
          </w:p>
        </w:tc>
        <w:tc>
          <w:tcPr>
            <w:tcW w:w="1119" w:type="pct"/>
            <w:tcBorders>
              <w:top w:val="single" w:sz="4" w:space="0" w:color="F79646"/>
              <w:left w:val="nil"/>
              <w:bottom w:val="single" w:sz="4" w:space="0" w:color="F39200"/>
              <w:right w:val="nil"/>
            </w:tcBorders>
            <w:shd w:val="clear" w:color="auto" w:fill="auto"/>
            <w:noWrap/>
            <w:vAlign w:val="center"/>
          </w:tcPr>
          <w:p w14:paraId="6FF9D1B1" w14:textId="545B7FB0" w:rsidR="00DD4D38" w:rsidRPr="00FF4346" w:rsidRDefault="00C115F2" w:rsidP="00DD4D3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911360">
              <w:rPr>
                <w:rFonts w:ascii="CAIXA Std Book" w:eastAsia="Times New Roman" w:hAnsi="CAIXA Std Book" w:cs="Arial"/>
                <w:b/>
                <w:bCs/>
                <w:color w:val="005CA9"/>
                <w:sz w:val="18"/>
                <w:szCs w:val="18"/>
              </w:rPr>
              <w:t>03/2024</w:t>
            </w:r>
          </w:p>
        </w:tc>
        <w:tc>
          <w:tcPr>
            <w:tcW w:w="1120" w:type="pct"/>
            <w:tcBorders>
              <w:top w:val="single" w:sz="4" w:space="0" w:color="F79646"/>
              <w:left w:val="nil"/>
              <w:bottom w:val="single" w:sz="4" w:space="0" w:color="F39200"/>
              <w:right w:val="nil"/>
            </w:tcBorders>
            <w:shd w:val="clear" w:color="auto" w:fill="auto"/>
            <w:noWrap/>
            <w:vAlign w:val="center"/>
            <w:hideMark/>
          </w:tcPr>
          <w:p w14:paraId="5DEE712E" w14:textId="58EC2F98" w:rsidR="00DD4D38" w:rsidRPr="00FF4346" w:rsidRDefault="00DD4D38" w:rsidP="00DD4D38">
            <w:pPr>
              <w:jc w:val="center"/>
              <w:rPr>
                <w:rFonts w:ascii="CAIXA Std Book" w:eastAsia="Times New Roman" w:hAnsi="CAIXA Std Book" w:cs="Arial"/>
                <w:b/>
                <w:bCs/>
                <w:color w:val="005CA9"/>
                <w:sz w:val="18"/>
                <w:szCs w:val="18"/>
              </w:rPr>
            </w:pPr>
            <w:r w:rsidRPr="00FF4346">
              <w:rPr>
                <w:rFonts w:ascii="CAIXA Std Book" w:eastAsia="Times New Roman" w:hAnsi="CAIXA Std Book" w:cs="Calibri"/>
                <w:b/>
                <w:bCs/>
                <w:color w:val="005CA9"/>
                <w:sz w:val="18"/>
                <w:szCs w:val="18"/>
              </w:rPr>
              <w:t>31/12/202</w:t>
            </w:r>
            <w:r w:rsidR="00943C30">
              <w:rPr>
                <w:rFonts w:ascii="CAIXA Std Book" w:eastAsia="Times New Roman" w:hAnsi="CAIXA Std Book" w:cs="Calibri"/>
                <w:b/>
                <w:bCs/>
                <w:color w:val="005CA9"/>
                <w:sz w:val="18"/>
                <w:szCs w:val="18"/>
              </w:rPr>
              <w:t>3</w:t>
            </w:r>
          </w:p>
        </w:tc>
      </w:tr>
      <w:tr w:rsidR="00274BBD" w:rsidRPr="00A33766" w14:paraId="4CB9E520" w14:textId="77777777" w:rsidTr="00DB303C">
        <w:trPr>
          <w:trHeight w:val="283"/>
        </w:trPr>
        <w:tc>
          <w:tcPr>
            <w:tcW w:w="2761" w:type="pct"/>
            <w:tcBorders>
              <w:top w:val="nil"/>
              <w:left w:val="nil"/>
              <w:bottom w:val="nil"/>
              <w:right w:val="nil"/>
            </w:tcBorders>
            <w:shd w:val="clear" w:color="auto" w:fill="auto"/>
            <w:vAlign w:val="center"/>
            <w:hideMark/>
          </w:tcPr>
          <w:p w14:paraId="155C32D7" w14:textId="77777777" w:rsidR="00274BBD" w:rsidRPr="00FF4346" w:rsidRDefault="00274BBD" w:rsidP="00274BBD">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Giro Caixa e microcrédito PRONAMPE</w:t>
            </w:r>
          </w:p>
        </w:tc>
        <w:tc>
          <w:tcPr>
            <w:tcW w:w="1119" w:type="pct"/>
            <w:tcBorders>
              <w:top w:val="nil"/>
              <w:left w:val="nil"/>
              <w:bottom w:val="nil"/>
              <w:right w:val="nil"/>
            </w:tcBorders>
            <w:shd w:val="clear" w:color="auto" w:fill="auto"/>
            <w:vAlign w:val="center"/>
          </w:tcPr>
          <w:p w14:paraId="0D170DDE" w14:textId="4397E363" w:rsidR="00274BBD" w:rsidRPr="00FF4346" w:rsidRDefault="005A7E71" w:rsidP="00274BBD">
            <w:pPr>
              <w:jc w:val="right"/>
              <w:rPr>
                <w:rFonts w:ascii="CAIXA Std Book" w:eastAsia="Times New Roman" w:hAnsi="CAIXA Std Book" w:cs="Arial"/>
                <w:color w:val="005CA9"/>
                <w:sz w:val="18"/>
                <w:szCs w:val="18"/>
              </w:rPr>
            </w:pPr>
            <w:r>
              <w:rPr>
                <w:rFonts w:ascii="CAIXA Std Book" w:hAnsi="CAIXA Std Book" w:cs="Arial"/>
                <w:color w:val="005CA9"/>
                <w:sz w:val="18"/>
                <w:szCs w:val="18"/>
              </w:rPr>
              <w:t>25.</w:t>
            </w:r>
            <w:r w:rsidR="006131CA">
              <w:rPr>
                <w:rFonts w:ascii="CAIXA Std Book" w:hAnsi="CAIXA Std Book" w:cs="Arial"/>
                <w:color w:val="005CA9"/>
                <w:sz w:val="18"/>
                <w:szCs w:val="18"/>
              </w:rPr>
              <w:t>354</w:t>
            </w:r>
            <w:r w:rsidR="001B0256">
              <w:rPr>
                <w:rFonts w:ascii="CAIXA Std Book" w:hAnsi="CAIXA Std Book" w:cs="Arial"/>
                <w:color w:val="005CA9"/>
                <w:sz w:val="18"/>
                <w:szCs w:val="18"/>
              </w:rPr>
              <w:t>.968</w:t>
            </w:r>
          </w:p>
        </w:tc>
        <w:tc>
          <w:tcPr>
            <w:tcW w:w="1120" w:type="pct"/>
            <w:tcBorders>
              <w:top w:val="nil"/>
              <w:left w:val="nil"/>
              <w:bottom w:val="nil"/>
              <w:right w:val="nil"/>
            </w:tcBorders>
            <w:shd w:val="clear" w:color="auto" w:fill="auto"/>
            <w:vAlign w:val="center"/>
            <w:hideMark/>
          </w:tcPr>
          <w:p w14:paraId="487BB41F" w14:textId="42943E0F" w:rsidR="00274BBD" w:rsidRPr="00274BBD" w:rsidRDefault="00274BBD" w:rsidP="00274BBD">
            <w:pPr>
              <w:jc w:val="right"/>
              <w:rPr>
                <w:rFonts w:ascii="CAIXA Std Book" w:hAnsi="CAIXA Std Book"/>
                <w:color w:val="005CA9"/>
                <w:sz w:val="18"/>
                <w:szCs w:val="18"/>
              </w:rPr>
            </w:pPr>
            <w:r w:rsidRPr="00274BBD">
              <w:rPr>
                <w:rFonts w:ascii="CAIXA Std Book" w:hAnsi="CAIXA Std Book"/>
                <w:color w:val="005CA9"/>
                <w:sz w:val="18"/>
                <w:szCs w:val="18"/>
              </w:rPr>
              <w:t>25.790.315</w:t>
            </w:r>
          </w:p>
        </w:tc>
      </w:tr>
      <w:tr w:rsidR="00274BBD" w:rsidRPr="00A33766" w14:paraId="21ACE3E4" w14:textId="77777777" w:rsidTr="00DB303C">
        <w:trPr>
          <w:trHeight w:val="283"/>
        </w:trPr>
        <w:tc>
          <w:tcPr>
            <w:tcW w:w="2761" w:type="pct"/>
            <w:tcBorders>
              <w:top w:val="nil"/>
              <w:left w:val="nil"/>
              <w:bottom w:val="nil"/>
              <w:right w:val="nil"/>
            </w:tcBorders>
            <w:shd w:val="clear" w:color="auto" w:fill="auto"/>
            <w:vAlign w:val="center"/>
            <w:hideMark/>
          </w:tcPr>
          <w:p w14:paraId="1297CAA1" w14:textId="77777777" w:rsidR="00274BBD" w:rsidRPr="00FF4346" w:rsidRDefault="00274BBD" w:rsidP="00274BBD">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Giro Caixa FGI</w:t>
            </w:r>
          </w:p>
        </w:tc>
        <w:tc>
          <w:tcPr>
            <w:tcW w:w="1119" w:type="pct"/>
            <w:tcBorders>
              <w:top w:val="nil"/>
              <w:left w:val="nil"/>
              <w:bottom w:val="nil"/>
              <w:right w:val="nil"/>
            </w:tcBorders>
            <w:shd w:val="clear" w:color="auto" w:fill="auto"/>
            <w:vAlign w:val="center"/>
          </w:tcPr>
          <w:p w14:paraId="64453955" w14:textId="247C4272" w:rsidR="00274BBD" w:rsidRPr="00FF4346" w:rsidRDefault="00F31042" w:rsidP="00274BBD">
            <w:pPr>
              <w:jc w:val="right"/>
              <w:rPr>
                <w:rFonts w:ascii="CAIXA Std Book" w:eastAsia="Times New Roman" w:hAnsi="CAIXA Std Book" w:cs="Arial"/>
                <w:color w:val="005CA9"/>
                <w:sz w:val="18"/>
                <w:szCs w:val="18"/>
              </w:rPr>
            </w:pPr>
            <w:r>
              <w:rPr>
                <w:rFonts w:ascii="CAIXA Std Book" w:hAnsi="CAIXA Std Book" w:cs="Arial"/>
                <w:color w:val="005CA9"/>
                <w:sz w:val="18"/>
                <w:szCs w:val="18"/>
              </w:rPr>
              <w:t>8.</w:t>
            </w:r>
            <w:r w:rsidR="006131CA">
              <w:rPr>
                <w:rFonts w:ascii="CAIXA Std Book" w:hAnsi="CAIXA Std Book" w:cs="Arial"/>
                <w:color w:val="005CA9"/>
                <w:sz w:val="18"/>
                <w:szCs w:val="18"/>
              </w:rPr>
              <w:t>755</w:t>
            </w:r>
            <w:r>
              <w:rPr>
                <w:rFonts w:ascii="CAIXA Std Book" w:hAnsi="CAIXA Std Book" w:cs="Arial"/>
                <w:color w:val="005CA9"/>
                <w:sz w:val="18"/>
                <w:szCs w:val="18"/>
              </w:rPr>
              <w:t>.664</w:t>
            </w:r>
          </w:p>
        </w:tc>
        <w:tc>
          <w:tcPr>
            <w:tcW w:w="1120" w:type="pct"/>
            <w:tcBorders>
              <w:top w:val="nil"/>
              <w:left w:val="nil"/>
              <w:bottom w:val="nil"/>
              <w:right w:val="nil"/>
            </w:tcBorders>
            <w:shd w:val="clear" w:color="auto" w:fill="auto"/>
            <w:noWrap/>
            <w:vAlign w:val="center"/>
            <w:hideMark/>
          </w:tcPr>
          <w:p w14:paraId="4EB57095" w14:textId="4C1D910D" w:rsidR="00274BBD" w:rsidRPr="00274BBD" w:rsidRDefault="00274BBD" w:rsidP="00274BBD">
            <w:pPr>
              <w:jc w:val="right"/>
              <w:rPr>
                <w:rFonts w:ascii="CAIXA Std Book" w:hAnsi="CAIXA Std Book"/>
                <w:color w:val="005CA9"/>
                <w:sz w:val="18"/>
                <w:szCs w:val="18"/>
              </w:rPr>
            </w:pPr>
            <w:r w:rsidRPr="00274BBD">
              <w:rPr>
                <w:rFonts w:ascii="CAIXA Std Book" w:hAnsi="CAIXA Std Book"/>
                <w:color w:val="005CA9"/>
                <w:sz w:val="18"/>
                <w:szCs w:val="18"/>
              </w:rPr>
              <w:t>8.896.668</w:t>
            </w:r>
          </w:p>
        </w:tc>
      </w:tr>
      <w:tr w:rsidR="00274BBD" w:rsidRPr="00A33766" w14:paraId="3266CFC8" w14:textId="77777777" w:rsidTr="00DB303C">
        <w:trPr>
          <w:trHeight w:val="283"/>
        </w:trPr>
        <w:tc>
          <w:tcPr>
            <w:tcW w:w="2761" w:type="pct"/>
            <w:tcBorders>
              <w:top w:val="nil"/>
              <w:left w:val="nil"/>
              <w:bottom w:val="nil"/>
              <w:right w:val="nil"/>
            </w:tcBorders>
            <w:shd w:val="clear" w:color="auto" w:fill="auto"/>
            <w:vAlign w:val="center"/>
            <w:hideMark/>
          </w:tcPr>
          <w:p w14:paraId="00AF5A8E" w14:textId="77777777" w:rsidR="00274BBD" w:rsidRPr="00FF4346" w:rsidRDefault="00274BBD" w:rsidP="00274BBD">
            <w:pPr>
              <w:rPr>
                <w:rFonts w:ascii="CAIXA Std Book" w:eastAsia="Times New Roman" w:hAnsi="CAIXA Std Book" w:cs="Arial"/>
                <w:color w:val="005CA9"/>
                <w:sz w:val="18"/>
                <w:szCs w:val="18"/>
              </w:rPr>
            </w:pPr>
            <w:r w:rsidRPr="00FF4346">
              <w:rPr>
                <w:rFonts w:ascii="CAIXA Std Book" w:eastAsia="Times New Roman" w:hAnsi="CAIXA Std Book"/>
                <w:color w:val="005CA9"/>
                <w:sz w:val="18"/>
                <w:szCs w:val="18"/>
              </w:rPr>
              <w:t>Crédito especial empresa</w:t>
            </w:r>
            <w:r w:rsidRPr="00FF4346">
              <w:rPr>
                <w:rFonts w:ascii="CAIXA Std Book" w:eastAsia="Times New Roman" w:hAnsi="CAIXA Std Book" w:cs="Arial"/>
                <w:color w:val="005CA9"/>
                <w:sz w:val="18"/>
                <w:szCs w:val="18"/>
              </w:rPr>
              <w:t xml:space="preserve"> FAMPE</w:t>
            </w:r>
          </w:p>
        </w:tc>
        <w:tc>
          <w:tcPr>
            <w:tcW w:w="1119" w:type="pct"/>
            <w:tcBorders>
              <w:top w:val="nil"/>
              <w:left w:val="nil"/>
              <w:bottom w:val="nil"/>
              <w:right w:val="nil"/>
            </w:tcBorders>
            <w:shd w:val="clear" w:color="auto" w:fill="auto"/>
            <w:vAlign w:val="center"/>
          </w:tcPr>
          <w:p w14:paraId="623199F4" w14:textId="04DFE9A1" w:rsidR="00274BBD" w:rsidRPr="00FF4346" w:rsidRDefault="00917134" w:rsidP="00274BBD">
            <w:pPr>
              <w:jc w:val="right"/>
              <w:rPr>
                <w:rFonts w:ascii="CAIXA Std Book" w:eastAsia="Times New Roman" w:hAnsi="CAIXA Std Book" w:cs="Arial"/>
                <w:color w:val="005CA9"/>
                <w:sz w:val="18"/>
                <w:szCs w:val="18"/>
              </w:rPr>
            </w:pPr>
            <w:r>
              <w:rPr>
                <w:rFonts w:ascii="CAIXA Std Book" w:hAnsi="CAIXA Std Book" w:cs="Arial"/>
                <w:color w:val="005CA9"/>
                <w:sz w:val="18"/>
                <w:szCs w:val="18"/>
              </w:rPr>
              <w:t>6.239.415</w:t>
            </w:r>
          </w:p>
        </w:tc>
        <w:tc>
          <w:tcPr>
            <w:tcW w:w="1120" w:type="pct"/>
            <w:tcBorders>
              <w:top w:val="nil"/>
              <w:left w:val="nil"/>
              <w:bottom w:val="nil"/>
              <w:right w:val="nil"/>
            </w:tcBorders>
            <w:shd w:val="clear" w:color="auto" w:fill="auto"/>
            <w:vAlign w:val="center"/>
            <w:hideMark/>
          </w:tcPr>
          <w:p w14:paraId="23EC1177" w14:textId="25528421" w:rsidR="00274BBD" w:rsidRPr="00274BBD" w:rsidRDefault="00274BBD" w:rsidP="00274BBD">
            <w:pPr>
              <w:jc w:val="right"/>
              <w:rPr>
                <w:rFonts w:ascii="CAIXA Std Book" w:hAnsi="CAIXA Std Book"/>
                <w:color w:val="005CA9"/>
                <w:sz w:val="18"/>
                <w:szCs w:val="18"/>
              </w:rPr>
            </w:pPr>
            <w:r w:rsidRPr="00274BBD">
              <w:rPr>
                <w:rFonts w:ascii="CAIXA Std Book" w:hAnsi="CAIXA Std Book"/>
                <w:color w:val="005CA9"/>
                <w:sz w:val="18"/>
                <w:szCs w:val="18"/>
              </w:rPr>
              <w:t>7.010.874</w:t>
            </w:r>
          </w:p>
        </w:tc>
      </w:tr>
      <w:tr w:rsidR="00274BBD" w:rsidRPr="00A33766" w14:paraId="250F3EE1" w14:textId="77777777" w:rsidTr="00DB303C">
        <w:trPr>
          <w:trHeight w:val="283"/>
        </w:trPr>
        <w:tc>
          <w:tcPr>
            <w:tcW w:w="2761" w:type="pct"/>
            <w:tcBorders>
              <w:top w:val="nil"/>
              <w:left w:val="nil"/>
              <w:bottom w:val="single" w:sz="4" w:space="0" w:color="F39200"/>
              <w:right w:val="nil"/>
            </w:tcBorders>
            <w:shd w:val="clear" w:color="auto" w:fill="auto"/>
            <w:vAlign w:val="center"/>
            <w:hideMark/>
          </w:tcPr>
          <w:p w14:paraId="2D3E056C" w14:textId="77777777" w:rsidR="00274BBD" w:rsidRPr="00FF4346" w:rsidRDefault="00274BBD" w:rsidP="00274BBD">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Microcrédito produtivo orientado - MPO</w:t>
            </w:r>
          </w:p>
        </w:tc>
        <w:tc>
          <w:tcPr>
            <w:tcW w:w="1119" w:type="pct"/>
            <w:tcBorders>
              <w:top w:val="nil"/>
              <w:left w:val="nil"/>
              <w:bottom w:val="nil"/>
              <w:right w:val="nil"/>
            </w:tcBorders>
            <w:shd w:val="clear" w:color="auto" w:fill="auto"/>
            <w:vAlign w:val="center"/>
          </w:tcPr>
          <w:p w14:paraId="3F62CAF0" w14:textId="6710E069" w:rsidR="00274BBD" w:rsidRPr="00FF4346" w:rsidRDefault="003A2CA6" w:rsidP="00274BBD">
            <w:pPr>
              <w:jc w:val="right"/>
              <w:rPr>
                <w:rFonts w:ascii="CAIXA Std Book" w:eastAsia="Times New Roman" w:hAnsi="CAIXA Std Book" w:cs="Arial"/>
                <w:color w:val="005CA9"/>
                <w:sz w:val="18"/>
                <w:szCs w:val="18"/>
              </w:rPr>
            </w:pPr>
            <w:r>
              <w:rPr>
                <w:rFonts w:ascii="CAIXA Std Book" w:hAnsi="CAIXA Std Book" w:cs="Arial"/>
                <w:color w:val="005CA9"/>
                <w:sz w:val="18"/>
                <w:szCs w:val="18"/>
              </w:rPr>
              <w:t>125.633</w:t>
            </w:r>
          </w:p>
        </w:tc>
        <w:tc>
          <w:tcPr>
            <w:tcW w:w="1120" w:type="pct"/>
            <w:tcBorders>
              <w:top w:val="nil"/>
              <w:left w:val="nil"/>
              <w:bottom w:val="nil"/>
              <w:right w:val="nil"/>
            </w:tcBorders>
            <w:shd w:val="clear" w:color="auto" w:fill="auto"/>
            <w:noWrap/>
            <w:vAlign w:val="center"/>
            <w:hideMark/>
          </w:tcPr>
          <w:p w14:paraId="4C1036B3" w14:textId="69A3A8BF" w:rsidR="00274BBD" w:rsidRPr="00274BBD" w:rsidRDefault="00274BBD" w:rsidP="00274BBD">
            <w:pPr>
              <w:jc w:val="right"/>
              <w:rPr>
                <w:rFonts w:ascii="CAIXA Std Book" w:hAnsi="CAIXA Std Book"/>
                <w:color w:val="005CA9"/>
                <w:sz w:val="18"/>
                <w:szCs w:val="18"/>
              </w:rPr>
            </w:pPr>
            <w:r w:rsidRPr="00274BBD">
              <w:rPr>
                <w:rFonts w:ascii="CAIXA Std Book" w:hAnsi="CAIXA Std Book"/>
                <w:color w:val="005CA9"/>
                <w:sz w:val="18"/>
                <w:szCs w:val="18"/>
              </w:rPr>
              <w:t>285.451</w:t>
            </w:r>
          </w:p>
        </w:tc>
      </w:tr>
      <w:tr w:rsidR="00274BBD" w:rsidRPr="00274BBD" w14:paraId="4CC7002F" w14:textId="77777777" w:rsidTr="00DB303C">
        <w:trPr>
          <w:trHeight w:val="283"/>
        </w:trPr>
        <w:tc>
          <w:tcPr>
            <w:tcW w:w="2761" w:type="pct"/>
            <w:tcBorders>
              <w:top w:val="nil"/>
              <w:left w:val="nil"/>
              <w:bottom w:val="single" w:sz="4" w:space="0" w:color="F39200"/>
              <w:right w:val="nil"/>
            </w:tcBorders>
            <w:shd w:val="clear" w:color="auto" w:fill="auto"/>
            <w:vAlign w:val="center"/>
            <w:hideMark/>
          </w:tcPr>
          <w:p w14:paraId="266B84B2" w14:textId="77777777" w:rsidR="00274BBD" w:rsidRPr="00FF4346" w:rsidRDefault="00274BBD" w:rsidP="00274BBD">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1119" w:type="pct"/>
            <w:tcBorders>
              <w:top w:val="single" w:sz="4" w:space="0" w:color="F39200"/>
              <w:left w:val="nil"/>
              <w:bottom w:val="single" w:sz="4" w:space="0" w:color="F39200"/>
              <w:right w:val="nil"/>
            </w:tcBorders>
            <w:shd w:val="clear" w:color="auto" w:fill="auto"/>
            <w:noWrap/>
            <w:vAlign w:val="center"/>
          </w:tcPr>
          <w:p w14:paraId="05CE6D78" w14:textId="168348D7" w:rsidR="00274BBD" w:rsidRPr="00FF4346" w:rsidRDefault="00E9331F" w:rsidP="00274BBD">
            <w:pPr>
              <w:jc w:val="right"/>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40.475.680</w:t>
            </w:r>
          </w:p>
        </w:tc>
        <w:tc>
          <w:tcPr>
            <w:tcW w:w="1120" w:type="pct"/>
            <w:tcBorders>
              <w:top w:val="single" w:sz="4" w:space="0" w:color="F39200"/>
              <w:left w:val="nil"/>
              <w:bottom w:val="single" w:sz="4" w:space="0" w:color="F39200"/>
              <w:right w:val="nil"/>
            </w:tcBorders>
            <w:shd w:val="clear" w:color="auto" w:fill="auto"/>
            <w:noWrap/>
            <w:vAlign w:val="center"/>
            <w:hideMark/>
          </w:tcPr>
          <w:p w14:paraId="5B4A4F09" w14:textId="468DA185" w:rsidR="00274BBD" w:rsidRPr="00274BBD" w:rsidRDefault="00274BBD" w:rsidP="00274BBD">
            <w:pPr>
              <w:jc w:val="right"/>
              <w:rPr>
                <w:rFonts w:ascii="CAIXA Std Book" w:hAnsi="CAIXA Std Book"/>
                <w:b/>
                <w:bCs/>
                <w:color w:val="005CA9"/>
                <w:sz w:val="18"/>
                <w:szCs w:val="18"/>
              </w:rPr>
            </w:pPr>
            <w:r w:rsidRPr="00274BBD">
              <w:rPr>
                <w:rFonts w:ascii="CAIXA Std Book" w:hAnsi="CAIXA Std Book"/>
                <w:b/>
                <w:bCs/>
                <w:color w:val="005CA9"/>
                <w:sz w:val="18"/>
                <w:szCs w:val="18"/>
              </w:rPr>
              <w:t>41.983.308</w:t>
            </w:r>
          </w:p>
        </w:tc>
      </w:tr>
    </w:tbl>
    <w:p w14:paraId="3532C213" w14:textId="77777777" w:rsidR="00BC5FBB" w:rsidRPr="00FF4346" w:rsidRDefault="00BC5FBB" w:rsidP="00BC5FBB">
      <w:pPr>
        <w:rPr>
          <w:rFonts w:ascii="CAIXA Std Book" w:hAnsi="CAIXA Std Book"/>
          <w:b/>
          <w:color w:val="005CA9"/>
          <w:sz w:val="20"/>
          <w:szCs w:val="20"/>
        </w:rPr>
      </w:pPr>
    </w:p>
    <w:p w14:paraId="6DC03BFA" w14:textId="77043A79" w:rsidR="00AE4273" w:rsidRPr="00F5653F" w:rsidRDefault="00AE4273">
      <w:pPr>
        <w:rPr>
          <w:rFonts w:ascii="CAIXA Std Book" w:hAnsi="CAIXA Std Book"/>
          <w:color w:val="005CA9"/>
          <w:sz w:val="20"/>
          <w:szCs w:val="20"/>
        </w:rPr>
      </w:pPr>
    </w:p>
    <w:p w14:paraId="78441FED" w14:textId="77777777" w:rsidR="001F1673" w:rsidRDefault="001F1673">
      <w:pPr>
        <w:rPr>
          <w:rFonts w:ascii="CAIXA Std Book" w:hAnsi="CAIXA Std Book"/>
          <w:b/>
          <w:color w:val="005CA9"/>
        </w:rPr>
      </w:pPr>
      <w:r>
        <w:rPr>
          <w:rFonts w:ascii="CAIXA Std Book" w:hAnsi="CAIXA Std Book"/>
          <w:b/>
          <w:color w:val="005CA9"/>
        </w:rPr>
        <w:br w:type="page"/>
      </w:r>
    </w:p>
    <w:p w14:paraId="3AA9ED7A" w14:textId="11097C6F" w:rsidR="00657973" w:rsidRPr="00FF4346" w:rsidRDefault="005A22E5" w:rsidP="005A596E">
      <w:pPr>
        <w:pStyle w:val="Ttulo1"/>
      </w:pPr>
      <w:bookmarkStart w:id="62" w:name="_Toc166594485"/>
      <w:r>
        <w:lastRenderedPageBreak/>
        <w:t>N</w:t>
      </w:r>
      <w:r w:rsidR="00657973" w:rsidRPr="00FF4346">
        <w:t>ota</w:t>
      </w:r>
      <w:r w:rsidR="004917F8" w:rsidRPr="00FF4346">
        <w:t xml:space="preserve"> 10 </w:t>
      </w:r>
      <w:r w:rsidR="00657973" w:rsidRPr="00FF4346">
        <w:t xml:space="preserve">– Outros </w:t>
      </w:r>
      <w:r w:rsidR="00B80DDD" w:rsidRPr="00FF4346">
        <w:t>ativos financeiros</w:t>
      </w:r>
      <w:bookmarkEnd w:id="62"/>
      <w:r w:rsidR="00ED1F0B" w:rsidRPr="00FF4346">
        <w:rPr>
          <w:rFonts w:cs="MS Gothic"/>
          <w:sz w:val="16"/>
          <w:szCs w:val="16"/>
        </w:rPr>
        <w:t xml:space="preserve"> </w:t>
      </w:r>
    </w:p>
    <w:p w14:paraId="0CBA37D5" w14:textId="6F3727CD" w:rsidR="005664DE" w:rsidRPr="00FF4346" w:rsidRDefault="005664DE" w:rsidP="00B37B40">
      <w:pPr>
        <w:pStyle w:val="PargrafodaLista"/>
        <w:numPr>
          <w:ilvl w:val="0"/>
          <w:numId w:val="17"/>
        </w:numPr>
        <w:spacing w:before="480" w:after="240"/>
        <w:ind w:left="567" w:hanging="567"/>
        <w:contextualSpacing w:val="0"/>
        <w:rPr>
          <w:rStyle w:val="Nmerodepgina"/>
          <w:rFonts w:ascii="CAIXA Std Book" w:hAnsi="CAIXA Std Book" w:cs="Arial Unicode MS"/>
          <w:b/>
          <w:color w:val="005CA9"/>
          <w:sz w:val="20"/>
          <w:szCs w:val="20"/>
        </w:rPr>
      </w:pPr>
      <w:r w:rsidRPr="00FF4346">
        <w:rPr>
          <w:rStyle w:val="Nmerodepgina"/>
          <w:rFonts w:ascii="CAIXA Std Book" w:hAnsi="CAIXA Std Book" w:cs="Arial Unicode MS"/>
          <w:b/>
          <w:color w:val="005CA9"/>
          <w:sz w:val="20"/>
          <w:szCs w:val="20"/>
        </w:rPr>
        <w:t>Composição</w:t>
      </w:r>
    </w:p>
    <w:tbl>
      <w:tblPr>
        <w:tblW w:w="5000" w:type="pct"/>
        <w:tblCellMar>
          <w:left w:w="0" w:type="dxa"/>
          <w:right w:w="28" w:type="dxa"/>
        </w:tblCellMar>
        <w:tblLook w:val="04A0" w:firstRow="1" w:lastRow="0" w:firstColumn="1" w:lastColumn="0" w:noHBand="0" w:noVBand="1"/>
      </w:tblPr>
      <w:tblGrid>
        <w:gridCol w:w="4556"/>
        <w:gridCol w:w="1234"/>
        <w:gridCol w:w="1235"/>
        <w:gridCol w:w="1235"/>
        <w:gridCol w:w="1237"/>
      </w:tblGrid>
      <w:tr w:rsidR="003B2B2A" w:rsidRPr="00E115A4" w14:paraId="62C7F0B6" w14:textId="77777777" w:rsidTr="009008E5">
        <w:trPr>
          <w:trHeight w:val="283"/>
        </w:trPr>
        <w:tc>
          <w:tcPr>
            <w:tcW w:w="2399" w:type="pct"/>
            <w:vMerge w:val="restart"/>
            <w:tcBorders>
              <w:top w:val="single" w:sz="4" w:space="0" w:color="F79646" w:themeColor="accent6"/>
              <w:left w:val="nil"/>
              <w:right w:val="nil"/>
            </w:tcBorders>
            <w:shd w:val="clear" w:color="auto" w:fill="auto"/>
            <w:noWrap/>
            <w:vAlign w:val="center"/>
          </w:tcPr>
          <w:p w14:paraId="4BB2D3D6" w14:textId="77777777" w:rsidR="007120DB" w:rsidRPr="00FF4346" w:rsidRDefault="007120DB"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Descrição</w:t>
            </w:r>
          </w:p>
        </w:tc>
        <w:tc>
          <w:tcPr>
            <w:tcW w:w="1300" w:type="pct"/>
            <w:gridSpan w:val="2"/>
            <w:tcBorders>
              <w:top w:val="single" w:sz="4" w:space="0" w:color="F79646" w:themeColor="accent6"/>
              <w:left w:val="nil"/>
              <w:bottom w:val="single" w:sz="4" w:space="0" w:color="F79646" w:themeColor="accent6"/>
              <w:right w:val="nil"/>
            </w:tcBorders>
            <w:shd w:val="clear" w:color="auto" w:fill="auto"/>
            <w:vAlign w:val="center"/>
          </w:tcPr>
          <w:p w14:paraId="6A2A3BC4" w14:textId="568816E3" w:rsidR="007120DB" w:rsidRPr="00FF4346" w:rsidRDefault="007120DB"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INDIVIDUAL</w:t>
            </w:r>
          </w:p>
        </w:tc>
        <w:tc>
          <w:tcPr>
            <w:tcW w:w="1301" w:type="pct"/>
            <w:gridSpan w:val="2"/>
            <w:tcBorders>
              <w:top w:val="single" w:sz="4" w:space="0" w:color="F79646" w:themeColor="accent6"/>
              <w:left w:val="nil"/>
              <w:bottom w:val="single" w:sz="4" w:space="0" w:color="F79646" w:themeColor="accent6"/>
              <w:right w:val="nil"/>
            </w:tcBorders>
            <w:shd w:val="clear" w:color="auto" w:fill="auto"/>
            <w:vAlign w:val="center"/>
          </w:tcPr>
          <w:p w14:paraId="46631921" w14:textId="05E320DA" w:rsidR="007120DB" w:rsidRPr="00FF4346" w:rsidRDefault="007120DB"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CONSOLIDADO</w:t>
            </w:r>
          </w:p>
        </w:tc>
      </w:tr>
      <w:tr w:rsidR="00D87B3D" w:rsidRPr="00E115A4" w14:paraId="07F226EB" w14:textId="0F60A294" w:rsidTr="009008E5">
        <w:trPr>
          <w:trHeight w:val="283"/>
        </w:trPr>
        <w:tc>
          <w:tcPr>
            <w:tcW w:w="2399" w:type="pct"/>
            <w:vMerge/>
            <w:tcBorders>
              <w:left w:val="nil"/>
              <w:bottom w:val="single" w:sz="4" w:space="0" w:color="F79646" w:themeColor="accent6"/>
            </w:tcBorders>
            <w:shd w:val="clear" w:color="auto" w:fill="auto"/>
            <w:vAlign w:val="center"/>
            <w:hideMark/>
          </w:tcPr>
          <w:p w14:paraId="339E20A9" w14:textId="2BE09C3C" w:rsidR="00D87B3D" w:rsidRPr="00FF4346" w:rsidRDefault="00D87B3D" w:rsidP="00D87B3D">
            <w:pPr>
              <w:jc w:val="center"/>
              <w:rPr>
                <w:rFonts w:ascii="CAIXA Std Book" w:hAnsi="CAIXA Std Book" w:cs="MS Gothic"/>
                <w:b/>
                <w:color w:val="005CA9"/>
                <w:sz w:val="18"/>
                <w:szCs w:val="18"/>
              </w:rPr>
            </w:pPr>
          </w:p>
        </w:tc>
        <w:tc>
          <w:tcPr>
            <w:tcW w:w="650" w:type="pct"/>
            <w:tcBorders>
              <w:top w:val="single" w:sz="4" w:space="0" w:color="F79646" w:themeColor="accent6"/>
              <w:bottom w:val="single" w:sz="4" w:space="0" w:color="F79646" w:themeColor="accent6"/>
            </w:tcBorders>
            <w:shd w:val="clear" w:color="auto" w:fill="auto"/>
            <w:noWrap/>
            <w:vAlign w:val="center"/>
            <w:hideMark/>
          </w:tcPr>
          <w:p w14:paraId="5457C0F2" w14:textId="218222A4" w:rsidR="00D87B3D" w:rsidRPr="00FF4346" w:rsidRDefault="00D87B3D" w:rsidP="00D87B3D">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31/03/2024</w:t>
            </w:r>
          </w:p>
        </w:tc>
        <w:tc>
          <w:tcPr>
            <w:tcW w:w="650" w:type="pct"/>
            <w:tcBorders>
              <w:top w:val="single" w:sz="4" w:space="0" w:color="F79646" w:themeColor="accent6"/>
              <w:bottom w:val="single" w:sz="4" w:space="0" w:color="F79646" w:themeColor="accent6"/>
            </w:tcBorders>
            <w:shd w:val="clear" w:color="auto" w:fill="auto"/>
            <w:noWrap/>
            <w:vAlign w:val="center"/>
          </w:tcPr>
          <w:p w14:paraId="4591DDAE" w14:textId="5B031096" w:rsidR="00D87B3D" w:rsidRPr="00FF4346" w:rsidRDefault="00D87B3D" w:rsidP="00D87B3D">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31/12/2023</w:t>
            </w:r>
          </w:p>
        </w:tc>
        <w:tc>
          <w:tcPr>
            <w:tcW w:w="650" w:type="pct"/>
            <w:tcBorders>
              <w:top w:val="single" w:sz="4" w:space="0" w:color="F79646" w:themeColor="accent6"/>
              <w:bottom w:val="single" w:sz="4" w:space="0" w:color="F79646" w:themeColor="accent6"/>
            </w:tcBorders>
            <w:vAlign w:val="center"/>
          </w:tcPr>
          <w:p w14:paraId="3F6DFB20" w14:textId="0814253B" w:rsidR="00D87B3D" w:rsidRPr="00FF4346" w:rsidRDefault="00D87B3D" w:rsidP="00D87B3D">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31/03/2024</w:t>
            </w:r>
          </w:p>
        </w:tc>
        <w:tc>
          <w:tcPr>
            <w:tcW w:w="651" w:type="pct"/>
            <w:tcBorders>
              <w:top w:val="single" w:sz="4" w:space="0" w:color="F79646" w:themeColor="accent6"/>
              <w:bottom w:val="single" w:sz="4" w:space="0" w:color="F79646" w:themeColor="accent6"/>
              <w:right w:val="nil"/>
            </w:tcBorders>
            <w:vAlign w:val="center"/>
          </w:tcPr>
          <w:p w14:paraId="7947BFA1" w14:textId="4BC40A76" w:rsidR="00D87B3D" w:rsidRPr="00FF4346" w:rsidRDefault="00D87B3D" w:rsidP="00D87B3D">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31/12/2023</w:t>
            </w:r>
          </w:p>
        </w:tc>
      </w:tr>
      <w:tr w:rsidR="00B75653" w:rsidRPr="00E115A4" w14:paraId="5978643B" w14:textId="77777777" w:rsidTr="009008E5">
        <w:trPr>
          <w:trHeight w:val="283"/>
        </w:trPr>
        <w:tc>
          <w:tcPr>
            <w:tcW w:w="2399" w:type="pct"/>
            <w:tcBorders>
              <w:top w:val="single" w:sz="4" w:space="0" w:color="F79646" w:themeColor="accent6"/>
              <w:left w:val="nil"/>
              <w:bottom w:val="nil"/>
            </w:tcBorders>
            <w:shd w:val="clear" w:color="auto" w:fill="auto"/>
            <w:noWrap/>
            <w:vAlign w:val="center"/>
            <w:hideMark/>
          </w:tcPr>
          <w:p w14:paraId="369C3EA9" w14:textId="1DD191D2"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Créditos vinculados ao SFH (</w:t>
            </w:r>
            <w:r w:rsidR="00287713">
              <w:rPr>
                <w:rFonts w:ascii="CAIXA Std Book" w:eastAsia="Times New Roman" w:hAnsi="CAIXA Std Book" w:cs="Arial"/>
                <w:color w:val="005CA9"/>
                <w:sz w:val="18"/>
                <w:szCs w:val="18"/>
              </w:rPr>
              <w:t>c</w:t>
            </w:r>
            <w:r w:rsidRPr="00FF4346">
              <w:rPr>
                <w:rFonts w:ascii="CAIXA Std Book" w:eastAsia="Times New Roman" w:hAnsi="CAIXA Std Book" w:cs="Arial"/>
                <w:color w:val="005CA9"/>
                <w:sz w:val="18"/>
                <w:szCs w:val="18"/>
              </w:rPr>
              <w:t>)</w:t>
            </w:r>
          </w:p>
        </w:tc>
        <w:tc>
          <w:tcPr>
            <w:tcW w:w="650" w:type="pct"/>
            <w:tcBorders>
              <w:top w:val="single" w:sz="4" w:space="0" w:color="F79646" w:themeColor="accent6"/>
              <w:bottom w:val="nil"/>
            </w:tcBorders>
            <w:shd w:val="clear" w:color="auto" w:fill="auto"/>
            <w:vAlign w:val="center"/>
          </w:tcPr>
          <w:p w14:paraId="231CA17A" w14:textId="670CE83E"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31.907.400</w:t>
            </w:r>
          </w:p>
        </w:tc>
        <w:tc>
          <w:tcPr>
            <w:tcW w:w="650" w:type="pct"/>
            <w:tcBorders>
              <w:top w:val="single" w:sz="4" w:space="0" w:color="F79646" w:themeColor="accent6"/>
              <w:bottom w:val="nil"/>
            </w:tcBorders>
            <w:shd w:val="clear" w:color="auto" w:fill="auto"/>
            <w:noWrap/>
            <w:vAlign w:val="center"/>
          </w:tcPr>
          <w:p w14:paraId="1C6B951F" w14:textId="48A506E2"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32.051.579</w:t>
            </w:r>
          </w:p>
        </w:tc>
        <w:tc>
          <w:tcPr>
            <w:tcW w:w="650" w:type="pct"/>
            <w:tcBorders>
              <w:top w:val="single" w:sz="4" w:space="0" w:color="F79646" w:themeColor="accent6"/>
              <w:bottom w:val="nil"/>
            </w:tcBorders>
            <w:shd w:val="clear" w:color="auto" w:fill="auto"/>
            <w:vAlign w:val="center"/>
          </w:tcPr>
          <w:p w14:paraId="66448AE5" w14:textId="415936FC"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31.907.400</w:t>
            </w:r>
          </w:p>
        </w:tc>
        <w:tc>
          <w:tcPr>
            <w:tcW w:w="651" w:type="pct"/>
            <w:tcBorders>
              <w:top w:val="single" w:sz="4" w:space="0" w:color="F79646" w:themeColor="accent6"/>
              <w:bottom w:val="nil"/>
              <w:right w:val="nil"/>
            </w:tcBorders>
            <w:shd w:val="clear" w:color="auto" w:fill="auto"/>
            <w:noWrap/>
            <w:vAlign w:val="center"/>
          </w:tcPr>
          <w:p w14:paraId="6E915BB7" w14:textId="75209D5C"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32.051.579</w:t>
            </w:r>
          </w:p>
        </w:tc>
      </w:tr>
      <w:tr w:rsidR="00B75653" w:rsidRPr="00E115A4" w14:paraId="1E068236" w14:textId="77777777" w:rsidTr="009008E5">
        <w:trPr>
          <w:trHeight w:val="283"/>
        </w:trPr>
        <w:tc>
          <w:tcPr>
            <w:tcW w:w="2399" w:type="pct"/>
            <w:tcBorders>
              <w:top w:val="nil"/>
              <w:left w:val="nil"/>
              <w:bottom w:val="nil"/>
            </w:tcBorders>
            <w:shd w:val="clear" w:color="auto" w:fill="auto"/>
            <w:noWrap/>
            <w:vAlign w:val="center"/>
            <w:hideMark/>
          </w:tcPr>
          <w:p w14:paraId="7AAA02DF"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Devedores por depósitos em garantia (Nota 19 (g))</w:t>
            </w:r>
          </w:p>
        </w:tc>
        <w:tc>
          <w:tcPr>
            <w:tcW w:w="650" w:type="pct"/>
            <w:tcBorders>
              <w:top w:val="nil"/>
              <w:bottom w:val="nil"/>
            </w:tcBorders>
            <w:shd w:val="clear" w:color="auto" w:fill="auto"/>
            <w:vAlign w:val="center"/>
          </w:tcPr>
          <w:p w14:paraId="673D243D" w14:textId="18C77211"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20.929.622</w:t>
            </w:r>
          </w:p>
        </w:tc>
        <w:tc>
          <w:tcPr>
            <w:tcW w:w="650" w:type="pct"/>
            <w:tcBorders>
              <w:top w:val="nil"/>
              <w:bottom w:val="nil"/>
            </w:tcBorders>
            <w:shd w:val="clear" w:color="auto" w:fill="auto"/>
            <w:noWrap/>
            <w:vAlign w:val="center"/>
          </w:tcPr>
          <w:p w14:paraId="2FA4227C" w14:textId="78305648"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20.751.842</w:t>
            </w:r>
          </w:p>
        </w:tc>
        <w:tc>
          <w:tcPr>
            <w:tcW w:w="650" w:type="pct"/>
            <w:tcBorders>
              <w:top w:val="nil"/>
              <w:bottom w:val="nil"/>
            </w:tcBorders>
            <w:shd w:val="clear" w:color="auto" w:fill="auto"/>
            <w:vAlign w:val="center"/>
          </w:tcPr>
          <w:p w14:paraId="46CBBF38" w14:textId="2F91A12C"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20.929.622</w:t>
            </w:r>
          </w:p>
        </w:tc>
        <w:tc>
          <w:tcPr>
            <w:tcW w:w="651" w:type="pct"/>
            <w:tcBorders>
              <w:top w:val="nil"/>
              <w:bottom w:val="nil"/>
              <w:right w:val="nil"/>
            </w:tcBorders>
            <w:shd w:val="clear" w:color="auto" w:fill="auto"/>
            <w:noWrap/>
            <w:vAlign w:val="center"/>
          </w:tcPr>
          <w:p w14:paraId="1173AED3" w14:textId="5CFDBB79"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20.751.842</w:t>
            </w:r>
          </w:p>
        </w:tc>
      </w:tr>
      <w:tr w:rsidR="00B75653" w:rsidRPr="00E115A4" w14:paraId="796777AB" w14:textId="77777777" w:rsidTr="009008E5">
        <w:trPr>
          <w:trHeight w:val="283"/>
        </w:trPr>
        <w:tc>
          <w:tcPr>
            <w:tcW w:w="2399" w:type="pct"/>
            <w:tcBorders>
              <w:top w:val="nil"/>
              <w:left w:val="nil"/>
              <w:bottom w:val="nil"/>
            </w:tcBorders>
            <w:shd w:val="clear" w:color="auto" w:fill="auto"/>
            <w:noWrap/>
            <w:vAlign w:val="center"/>
          </w:tcPr>
          <w:p w14:paraId="7ABE15E0" w14:textId="394D5F3F"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Créditos por diferença de cessão</w:t>
            </w:r>
            <w:r w:rsidR="00CE37C6">
              <w:rPr>
                <w:rFonts w:ascii="CAIXA Std Book" w:eastAsia="Times New Roman" w:hAnsi="CAIXA Std Book" w:cs="Arial"/>
                <w:color w:val="005CA9"/>
                <w:sz w:val="18"/>
                <w:szCs w:val="18"/>
              </w:rPr>
              <w:t xml:space="preserve"> (b)</w:t>
            </w:r>
          </w:p>
        </w:tc>
        <w:tc>
          <w:tcPr>
            <w:tcW w:w="650" w:type="pct"/>
            <w:tcBorders>
              <w:top w:val="nil"/>
              <w:bottom w:val="nil"/>
            </w:tcBorders>
            <w:shd w:val="clear" w:color="auto" w:fill="auto"/>
            <w:vAlign w:val="center"/>
          </w:tcPr>
          <w:p w14:paraId="695A1E6B" w14:textId="50C0E01E"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2.315.019</w:t>
            </w:r>
          </w:p>
        </w:tc>
        <w:tc>
          <w:tcPr>
            <w:tcW w:w="650" w:type="pct"/>
            <w:tcBorders>
              <w:top w:val="nil"/>
              <w:bottom w:val="nil"/>
            </w:tcBorders>
            <w:shd w:val="clear" w:color="auto" w:fill="auto"/>
            <w:noWrap/>
            <w:vAlign w:val="center"/>
          </w:tcPr>
          <w:p w14:paraId="414DEC60" w14:textId="6F5ED2EA" w:rsidR="00B75653" w:rsidRPr="00FF4346" w:rsidRDefault="00B75653" w:rsidP="00B75653">
            <w:pPr>
              <w:jc w:val="right"/>
              <w:rPr>
                <w:rFonts w:ascii="CAIXA Std Book" w:hAnsi="CAIXA Std Book" w:cs="Arial"/>
                <w:color w:val="005CA9"/>
                <w:sz w:val="18"/>
                <w:szCs w:val="18"/>
              </w:rPr>
            </w:pPr>
            <w:r w:rsidRPr="00FF4346">
              <w:rPr>
                <w:rFonts w:ascii="CAIXA Std Book" w:hAnsi="CAIXA Std Book" w:cs="Arial"/>
                <w:color w:val="005CA9"/>
                <w:sz w:val="18"/>
                <w:szCs w:val="18"/>
              </w:rPr>
              <w:t>2.315.019</w:t>
            </w:r>
          </w:p>
        </w:tc>
        <w:tc>
          <w:tcPr>
            <w:tcW w:w="650" w:type="pct"/>
            <w:tcBorders>
              <w:top w:val="nil"/>
              <w:bottom w:val="nil"/>
            </w:tcBorders>
            <w:shd w:val="clear" w:color="auto" w:fill="auto"/>
            <w:vAlign w:val="center"/>
          </w:tcPr>
          <w:p w14:paraId="6572023A" w14:textId="3EA7D720"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2.315.019</w:t>
            </w:r>
          </w:p>
        </w:tc>
        <w:tc>
          <w:tcPr>
            <w:tcW w:w="651" w:type="pct"/>
            <w:tcBorders>
              <w:top w:val="nil"/>
              <w:bottom w:val="nil"/>
              <w:right w:val="nil"/>
            </w:tcBorders>
            <w:shd w:val="clear" w:color="auto" w:fill="auto"/>
            <w:noWrap/>
            <w:vAlign w:val="center"/>
          </w:tcPr>
          <w:p w14:paraId="61CC65BA" w14:textId="1F0647D4"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2.315.019</w:t>
            </w:r>
          </w:p>
        </w:tc>
      </w:tr>
      <w:tr w:rsidR="00B75653" w:rsidRPr="00E115A4" w14:paraId="21E86F36" w14:textId="77777777" w:rsidTr="009008E5">
        <w:trPr>
          <w:trHeight w:val="283"/>
        </w:trPr>
        <w:tc>
          <w:tcPr>
            <w:tcW w:w="2399" w:type="pct"/>
            <w:tcBorders>
              <w:top w:val="nil"/>
              <w:left w:val="nil"/>
              <w:bottom w:val="nil"/>
            </w:tcBorders>
            <w:shd w:val="clear" w:color="auto" w:fill="auto"/>
            <w:noWrap/>
            <w:vAlign w:val="center"/>
            <w:hideMark/>
          </w:tcPr>
          <w:p w14:paraId="1166D8EE"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Prêmio em aquisição de carteiras</w:t>
            </w:r>
          </w:p>
        </w:tc>
        <w:tc>
          <w:tcPr>
            <w:tcW w:w="650" w:type="pct"/>
            <w:tcBorders>
              <w:top w:val="nil"/>
              <w:bottom w:val="nil"/>
            </w:tcBorders>
            <w:shd w:val="clear" w:color="auto" w:fill="auto"/>
            <w:vAlign w:val="center"/>
          </w:tcPr>
          <w:p w14:paraId="319CD50A" w14:textId="13A8057C"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1.994.372</w:t>
            </w:r>
          </w:p>
        </w:tc>
        <w:tc>
          <w:tcPr>
            <w:tcW w:w="650" w:type="pct"/>
            <w:tcBorders>
              <w:top w:val="nil"/>
              <w:bottom w:val="nil"/>
            </w:tcBorders>
            <w:shd w:val="clear" w:color="auto" w:fill="auto"/>
            <w:noWrap/>
            <w:vAlign w:val="center"/>
          </w:tcPr>
          <w:p w14:paraId="68A5AB69" w14:textId="4EAE6827"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2.268.334</w:t>
            </w:r>
          </w:p>
        </w:tc>
        <w:tc>
          <w:tcPr>
            <w:tcW w:w="650" w:type="pct"/>
            <w:tcBorders>
              <w:top w:val="nil"/>
              <w:bottom w:val="nil"/>
            </w:tcBorders>
            <w:shd w:val="clear" w:color="auto" w:fill="auto"/>
            <w:vAlign w:val="center"/>
          </w:tcPr>
          <w:p w14:paraId="36ADBFA0" w14:textId="5C906724"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1.994.372</w:t>
            </w:r>
          </w:p>
        </w:tc>
        <w:tc>
          <w:tcPr>
            <w:tcW w:w="651" w:type="pct"/>
            <w:tcBorders>
              <w:top w:val="nil"/>
              <w:bottom w:val="nil"/>
              <w:right w:val="nil"/>
            </w:tcBorders>
            <w:shd w:val="clear" w:color="auto" w:fill="auto"/>
            <w:noWrap/>
            <w:vAlign w:val="center"/>
          </w:tcPr>
          <w:p w14:paraId="429D26DB" w14:textId="020D85AC"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2.268.334</w:t>
            </w:r>
          </w:p>
        </w:tc>
      </w:tr>
      <w:tr w:rsidR="00B75653" w:rsidRPr="00E115A4" w14:paraId="586DFE67" w14:textId="77777777" w:rsidTr="009008E5">
        <w:trPr>
          <w:trHeight w:val="283"/>
        </w:trPr>
        <w:tc>
          <w:tcPr>
            <w:tcW w:w="2399" w:type="pct"/>
            <w:tcBorders>
              <w:top w:val="nil"/>
              <w:left w:val="nil"/>
              <w:bottom w:val="nil"/>
            </w:tcBorders>
            <w:shd w:val="clear" w:color="auto" w:fill="auto"/>
            <w:noWrap/>
            <w:vAlign w:val="center"/>
            <w:hideMark/>
          </w:tcPr>
          <w:p w14:paraId="6CFF2150"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Rendas a receber do setor público</w:t>
            </w:r>
          </w:p>
        </w:tc>
        <w:tc>
          <w:tcPr>
            <w:tcW w:w="650" w:type="pct"/>
            <w:tcBorders>
              <w:top w:val="nil"/>
              <w:bottom w:val="nil"/>
            </w:tcBorders>
            <w:shd w:val="clear" w:color="auto" w:fill="auto"/>
            <w:vAlign w:val="center"/>
          </w:tcPr>
          <w:p w14:paraId="12ADEAD5" w14:textId="4C951E52"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1.957.653</w:t>
            </w:r>
          </w:p>
        </w:tc>
        <w:tc>
          <w:tcPr>
            <w:tcW w:w="650" w:type="pct"/>
            <w:tcBorders>
              <w:top w:val="nil"/>
              <w:bottom w:val="nil"/>
            </w:tcBorders>
            <w:shd w:val="clear" w:color="auto" w:fill="auto"/>
            <w:noWrap/>
            <w:vAlign w:val="center"/>
          </w:tcPr>
          <w:p w14:paraId="3516AF18" w14:textId="4AB5C003" w:rsidR="00B75653" w:rsidRPr="00616EE1" w:rsidRDefault="00B75653" w:rsidP="00B75653">
            <w:pPr>
              <w:jc w:val="right"/>
              <w:rPr>
                <w:rFonts w:ascii="CAIXA Std Book" w:hAnsi="CAIXA Std Book" w:cs="Arial"/>
                <w:color w:val="005CA9"/>
                <w:sz w:val="18"/>
                <w:szCs w:val="18"/>
              </w:rPr>
            </w:pPr>
            <w:r w:rsidRPr="00FF4346">
              <w:rPr>
                <w:rFonts w:ascii="CAIXA Std Book" w:hAnsi="CAIXA Std Book" w:cs="Arial"/>
                <w:color w:val="005CA9"/>
                <w:sz w:val="18"/>
                <w:szCs w:val="18"/>
              </w:rPr>
              <w:t>1.911.136</w:t>
            </w:r>
          </w:p>
        </w:tc>
        <w:tc>
          <w:tcPr>
            <w:tcW w:w="650" w:type="pct"/>
            <w:tcBorders>
              <w:top w:val="nil"/>
              <w:bottom w:val="nil"/>
            </w:tcBorders>
            <w:shd w:val="clear" w:color="auto" w:fill="auto"/>
            <w:vAlign w:val="center"/>
          </w:tcPr>
          <w:p w14:paraId="4247EAA9" w14:textId="7E5F4809"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1.957.653</w:t>
            </w:r>
          </w:p>
        </w:tc>
        <w:tc>
          <w:tcPr>
            <w:tcW w:w="651" w:type="pct"/>
            <w:tcBorders>
              <w:top w:val="nil"/>
              <w:bottom w:val="nil"/>
              <w:right w:val="nil"/>
            </w:tcBorders>
            <w:shd w:val="clear" w:color="auto" w:fill="auto"/>
            <w:noWrap/>
            <w:vAlign w:val="center"/>
          </w:tcPr>
          <w:p w14:paraId="5C021F0C" w14:textId="12E0D66D" w:rsidR="00B75653" w:rsidRPr="00FF4346" w:rsidRDefault="00B75653" w:rsidP="00B75653">
            <w:pPr>
              <w:jc w:val="right"/>
              <w:rPr>
                <w:rFonts w:ascii="CAIXA Std Book" w:hAnsi="CAIXA Std Book" w:cs="Arial"/>
                <w:color w:val="005CA9"/>
                <w:sz w:val="18"/>
                <w:szCs w:val="18"/>
              </w:rPr>
            </w:pPr>
            <w:r w:rsidRPr="00FF4346">
              <w:rPr>
                <w:rFonts w:ascii="CAIXA Std Book" w:hAnsi="CAIXA Std Book" w:cs="Arial"/>
                <w:color w:val="005CA9"/>
                <w:sz w:val="18"/>
                <w:szCs w:val="18"/>
              </w:rPr>
              <w:t>1.911.136</w:t>
            </w:r>
          </w:p>
        </w:tc>
      </w:tr>
      <w:tr w:rsidR="00B75653" w:rsidRPr="00E115A4" w14:paraId="7777A9EF" w14:textId="77777777" w:rsidTr="009008E5">
        <w:trPr>
          <w:trHeight w:val="283"/>
        </w:trPr>
        <w:tc>
          <w:tcPr>
            <w:tcW w:w="2399" w:type="pct"/>
            <w:tcBorders>
              <w:top w:val="nil"/>
              <w:left w:val="nil"/>
              <w:bottom w:val="nil"/>
            </w:tcBorders>
            <w:shd w:val="clear" w:color="auto" w:fill="auto"/>
            <w:noWrap/>
            <w:vAlign w:val="center"/>
            <w:hideMark/>
          </w:tcPr>
          <w:p w14:paraId="0EC5969A" w14:textId="3E90BC5B"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Carteira de câmbio (</w:t>
            </w:r>
            <w:r w:rsidR="00287713">
              <w:rPr>
                <w:rFonts w:ascii="CAIXA Std Book" w:eastAsia="Times New Roman" w:hAnsi="CAIXA Std Book" w:cs="Arial"/>
                <w:color w:val="005CA9"/>
                <w:sz w:val="18"/>
                <w:szCs w:val="18"/>
              </w:rPr>
              <w:t>d</w:t>
            </w:r>
            <w:r w:rsidRPr="00FF4346">
              <w:rPr>
                <w:rFonts w:ascii="CAIXA Std Book" w:eastAsia="Times New Roman" w:hAnsi="CAIXA Std Book" w:cs="Arial"/>
                <w:color w:val="005CA9"/>
                <w:sz w:val="18"/>
                <w:szCs w:val="18"/>
              </w:rPr>
              <w:t>)</w:t>
            </w:r>
          </w:p>
        </w:tc>
        <w:tc>
          <w:tcPr>
            <w:tcW w:w="650" w:type="pct"/>
            <w:tcBorders>
              <w:top w:val="nil"/>
              <w:bottom w:val="nil"/>
            </w:tcBorders>
            <w:shd w:val="clear" w:color="auto" w:fill="auto"/>
            <w:vAlign w:val="center"/>
          </w:tcPr>
          <w:p w14:paraId="4D2F5BF9" w14:textId="5AAAE375"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1.877.734</w:t>
            </w:r>
          </w:p>
        </w:tc>
        <w:tc>
          <w:tcPr>
            <w:tcW w:w="650" w:type="pct"/>
            <w:tcBorders>
              <w:top w:val="nil"/>
              <w:bottom w:val="nil"/>
            </w:tcBorders>
            <w:shd w:val="clear" w:color="auto" w:fill="auto"/>
            <w:noWrap/>
            <w:vAlign w:val="center"/>
          </w:tcPr>
          <w:p w14:paraId="2CE84AFB" w14:textId="301963A2"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1.815.157</w:t>
            </w:r>
          </w:p>
        </w:tc>
        <w:tc>
          <w:tcPr>
            <w:tcW w:w="650" w:type="pct"/>
            <w:tcBorders>
              <w:top w:val="nil"/>
              <w:bottom w:val="nil"/>
            </w:tcBorders>
            <w:shd w:val="clear" w:color="auto" w:fill="auto"/>
            <w:vAlign w:val="center"/>
          </w:tcPr>
          <w:p w14:paraId="66914BC2" w14:textId="54CC4820"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1.877.734</w:t>
            </w:r>
          </w:p>
        </w:tc>
        <w:tc>
          <w:tcPr>
            <w:tcW w:w="651" w:type="pct"/>
            <w:tcBorders>
              <w:top w:val="nil"/>
              <w:bottom w:val="nil"/>
              <w:right w:val="nil"/>
            </w:tcBorders>
            <w:shd w:val="clear" w:color="auto" w:fill="auto"/>
            <w:noWrap/>
            <w:vAlign w:val="center"/>
          </w:tcPr>
          <w:p w14:paraId="6F1443BD" w14:textId="4216C0A7"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1.815.157</w:t>
            </w:r>
          </w:p>
        </w:tc>
      </w:tr>
      <w:tr w:rsidR="00B75653" w:rsidRPr="00E115A4" w14:paraId="4A999A22" w14:textId="77777777" w:rsidTr="009008E5">
        <w:trPr>
          <w:trHeight w:val="283"/>
        </w:trPr>
        <w:tc>
          <w:tcPr>
            <w:tcW w:w="2399" w:type="pct"/>
            <w:tcBorders>
              <w:top w:val="nil"/>
              <w:left w:val="nil"/>
              <w:bottom w:val="nil"/>
            </w:tcBorders>
            <w:shd w:val="clear" w:color="auto" w:fill="auto"/>
            <w:noWrap/>
            <w:vAlign w:val="center"/>
            <w:hideMark/>
          </w:tcPr>
          <w:p w14:paraId="44BF34D4"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Cartão de crédito</w:t>
            </w:r>
          </w:p>
        </w:tc>
        <w:tc>
          <w:tcPr>
            <w:tcW w:w="650" w:type="pct"/>
            <w:tcBorders>
              <w:top w:val="nil"/>
              <w:bottom w:val="nil"/>
            </w:tcBorders>
            <w:shd w:val="clear" w:color="auto" w:fill="auto"/>
            <w:vAlign w:val="center"/>
          </w:tcPr>
          <w:p w14:paraId="765A7E5B" w14:textId="2D5E36B9"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228.948</w:t>
            </w:r>
          </w:p>
        </w:tc>
        <w:tc>
          <w:tcPr>
            <w:tcW w:w="650" w:type="pct"/>
            <w:tcBorders>
              <w:top w:val="nil"/>
              <w:bottom w:val="nil"/>
            </w:tcBorders>
            <w:shd w:val="clear" w:color="auto" w:fill="auto"/>
            <w:noWrap/>
            <w:vAlign w:val="center"/>
          </w:tcPr>
          <w:p w14:paraId="08AE64FE" w14:textId="71C87551"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962.105</w:t>
            </w:r>
          </w:p>
        </w:tc>
        <w:tc>
          <w:tcPr>
            <w:tcW w:w="650" w:type="pct"/>
            <w:tcBorders>
              <w:top w:val="nil"/>
              <w:bottom w:val="nil"/>
            </w:tcBorders>
            <w:shd w:val="clear" w:color="auto" w:fill="auto"/>
            <w:vAlign w:val="center"/>
          </w:tcPr>
          <w:p w14:paraId="25652889" w14:textId="4EE71EAE"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228.948</w:t>
            </w:r>
          </w:p>
        </w:tc>
        <w:tc>
          <w:tcPr>
            <w:tcW w:w="651" w:type="pct"/>
            <w:tcBorders>
              <w:top w:val="nil"/>
              <w:bottom w:val="nil"/>
              <w:right w:val="nil"/>
            </w:tcBorders>
            <w:shd w:val="clear" w:color="auto" w:fill="auto"/>
            <w:noWrap/>
            <w:vAlign w:val="center"/>
          </w:tcPr>
          <w:p w14:paraId="34D0D574" w14:textId="3EA2F38F"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962.105</w:t>
            </w:r>
          </w:p>
        </w:tc>
      </w:tr>
      <w:tr w:rsidR="00B75653" w:rsidRPr="00E115A4" w14:paraId="3E6C0D28" w14:textId="77777777" w:rsidTr="009008E5">
        <w:trPr>
          <w:trHeight w:val="283"/>
        </w:trPr>
        <w:tc>
          <w:tcPr>
            <w:tcW w:w="2399" w:type="pct"/>
            <w:tcBorders>
              <w:top w:val="nil"/>
              <w:left w:val="nil"/>
              <w:bottom w:val="nil"/>
            </w:tcBorders>
            <w:shd w:val="clear" w:color="auto" w:fill="auto"/>
            <w:noWrap/>
            <w:vAlign w:val="center"/>
            <w:hideMark/>
          </w:tcPr>
          <w:p w14:paraId="01BADFC6"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Direitos sobre royalties</w:t>
            </w:r>
          </w:p>
        </w:tc>
        <w:tc>
          <w:tcPr>
            <w:tcW w:w="650" w:type="pct"/>
            <w:tcBorders>
              <w:top w:val="nil"/>
              <w:bottom w:val="nil"/>
            </w:tcBorders>
            <w:shd w:val="clear" w:color="auto" w:fill="auto"/>
            <w:vAlign w:val="center"/>
          </w:tcPr>
          <w:p w14:paraId="7927651A" w14:textId="36118A7D"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742.205</w:t>
            </w:r>
          </w:p>
        </w:tc>
        <w:tc>
          <w:tcPr>
            <w:tcW w:w="650" w:type="pct"/>
            <w:tcBorders>
              <w:top w:val="nil"/>
              <w:bottom w:val="nil"/>
            </w:tcBorders>
            <w:shd w:val="clear" w:color="auto" w:fill="auto"/>
            <w:noWrap/>
            <w:vAlign w:val="center"/>
          </w:tcPr>
          <w:p w14:paraId="775E7CCC" w14:textId="03B0B447"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755.565</w:t>
            </w:r>
          </w:p>
        </w:tc>
        <w:tc>
          <w:tcPr>
            <w:tcW w:w="650" w:type="pct"/>
            <w:tcBorders>
              <w:top w:val="nil"/>
              <w:bottom w:val="nil"/>
            </w:tcBorders>
            <w:shd w:val="clear" w:color="auto" w:fill="auto"/>
            <w:vAlign w:val="center"/>
          </w:tcPr>
          <w:p w14:paraId="7EE693AB" w14:textId="100EB863"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742.205</w:t>
            </w:r>
          </w:p>
        </w:tc>
        <w:tc>
          <w:tcPr>
            <w:tcW w:w="651" w:type="pct"/>
            <w:tcBorders>
              <w:top w:val="nil"/>
              <w:bottom w:val="nil"/>
              <w:right w:val="nil"/>
            </w:tcBorders>
            <w:shd w:val="clear" w:color="auto" w:fill="auto"/>
            <w:noWrap/>
            <w:vAlign w:val="center"/>
          </w:tcPr>
          <w:p w14:paraId="6EBC072C" w14:textId="21937820"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755.565</w:t>
            </w:r>
          </w:p>
        </w:tc>
      </w:tr>
      <w:tr w:rsidR="00B75653" w:rsidRPr="00E115A4" w14:paraId="1780CD40" w14:textId="77777777" w:rsidTr="009008E5">
        <w:trPr>
          <w:trHeight w:val="283"/>
        </w:trPr>
        <w:tc>
          <w:tcPr>
            <w:tcW w:w="2399" w:type="pct"/>
            <w:tcBorders>
              <w:top w:val="nil"/>
              <w:left w:val="nil"/>
              <w:bottom w:val="nil"/>
            </w:tcBorders>
            <w:shd w:val="clear" w:color="auto" w:fill="auto"/>
            <w:noWrap/>
            <w:vAlign w:val="center"/>
            <w:hideMark/>
          </w:tcPr>
          <w:p w14:paraId="5241A035"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Rendas a receber do setor privado</w:t>
            </w:r>
          </w:p>
        </w:tc>
        <w:tc>
          <w:tcPr>
            <w:tcW w:w="650" w:type="pct"/>
            <w:tcBorders>
              <w:top w:val="nil"/>
              <w:bottom w:val="nil"/>
            </w:tcBorders>
            <w:shd w:val="clear" w:color="auto" w:fill="auto"/>
            <w:vAlign w:val="center"/>
          </w:tcPr>
          <w:p w14:paraId="3AABE194" w14:textId="4EE03AEF"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231.778</w:t>
            </w:r>
          </w:p>
        </w:tc>
        <w:tc>
          <w:tcPr>
            <w:tcW w:w="650" w:type="pct"/>
            <w:tcBorders>
              <w:top w:val="nil"/>
              <w:bottom w:val="nil"/>
            </w:tcBorders>
            <w:shd w:val="clear" w:color="auto" w:fill="auto"/>
            <w:noWrap/>
            <w:vAlign w:val="center"/>
          </w:tcPr>
          <w:p w14:paraId="6EF9B9D0" w14:textId="7476B159" w:rsidR="00B75653" w:rsidRPr="00FF4346" w:rsidRDefault="00B75653" w:rsidP="00B75653">
            <w:pPr>
              <w:jc w:val="right"/>
              <w:rPr>
                <w:rFonts w:ascii="CAIXA Std Book" w:hAnsi="CAIXA Std Book" w:cs="Arial"/>
                <w:color w:val="005CA9"/>
                <w:sz w:val="18"/>
                <w:szCs w:val="18"/>
              </w:rPr>
            </w:pPr>
            <w:r w:rsidRPr="00FF4346">
              <w:rPr>
                <w:rFonts w:ascii="CAIXA Std Book" w:hAnsi="CAIXA Std Book" w:cs="Arial"/>
                <w:color w:val="005CA9"/>
                <w:sz w:val="18"/>
                <w:szCs w:val="18"/>
              </w:rPr>
              <w:t>262.808</w:t>
            </w:r>
          </w:p>
        </w:tc>
        <w:tc>
          <w:tcPr>
            <w:tcW w:w="650" w:type="pct"/>
            <w:tcBorders>
              <w:top w:val="nil"/>
              <w:bottom w:val="nil"/>
            </w:tcBorders>
            <w:shd w:val="clear" w:color="auto" w:fill="auto"/>
            <w:vAlign w:val="center"/>
          </w:tcPr>
          <w:p w14:paraId="7D5A529A" w14:textId="7CFB7472"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370.811</w:t>
            </w:r>
          </w:p>
        </w:tc>
        <w:tc>
          <w:tcPr>
            <w:tcW w:w="651" w:type="pct"/>
            <w:tcBorders>
              <w:top w:val="nil"/>
              <w:bottom w:val="nil"/>
              <w:right w:val="nil"/>
            </w:tcBorders>
            <w:shd w:val="clear" w:color="auto" w:fill="auto"/>
            <w:noWrap/>
            <w:vAlign w:val="center"/>
          </w:tcPr>
          <w:p w14:paraId="0D1FC979" w14:textId="685B3558" w:rsidR="00B75653" w:rsidRPr="00FF4346" w:rsidRDefault="00B75653" w:rsidP="00B75653">
            <w:pPr>
              <w:jc w:val="right"/>
              <w:rPr>
                <w:rFonts w:ascii="CAIXA Std Book" w:hAnsi="CAIXA Std Book" w:cs="Arial"/>
                <w:color w:val="005CA9"/>
                <w:sz w:val="18"/>
                <w:szCs w:val="18"/>
              </w:rPr>
            </w:pPr>
            <w:r w:rsidRPr="00FF4346">
              <w:rPr>
                <w:rFonts w:ascii="CAIXA Std Book" w:hAnsi="CAIXA Std Book" w:cs="Arial"/>
                <w:color w:val="005CA9"/>
                <w:sz w:val="18"/>
                <w:szCs w:val="18"/>
              </w:rPr>
              <w:t>389.665</w:t>
            </w:r>
          </w:p>
        </w:tc>
      </w:tr>
      <w:tr w:rsidR="00B75653" w:rsidRPr="00E115A4" w14:paraId="48729870" w14:textId="20BE91C9" w:rsidTr="009008E5">
        <w:trPr>
          <w:trHeight w:val="283"/>
        </w:trPr>
        <w:tc>
          <w:tcPr>
            <w:tcW w:w="2399" w:type="pct"/>
            <w:tcBorders>
              <w:top w:val="nil"/>
              <w:left w:val="nil"/>
            </w:tcBorders>
            <w:shd w:val="clear" w:color="auto" w:fill="auto"/>
            <w:noWrap/>
            <w:vAlign w:val="center"/>
            <w:hideMark/>
          </w:tcPr>
          <w:p w14:paraId="3DBF8AFC" w14:textId="77777777" w:rsidR="00B75653" w:rsidRPr="00FF4346" w:rsidRDefault="00B75653" w:rsidP="00B75653">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Demais</w:t>
            </w:r>
          </w:p>
        </w:tc>
        <w:tc>
          <w:tcPr>
            <w:tcW w:w="650" w:type="pct"/>
            <w:tcBorders>
              <w:top w:val="nil"/>
            </w:tcBorders>
            <w:shd w:val="clear" w:color="auto" w:fill="auto"/>
            <w:noWrap/>
            <w:vAlign w:val="center"/>
          </w:tcPr>
          <w:p w14:paraId="7843B079" w14:textId="4016BF24"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210.169</w:t>
            </w:r>
          </w:p>
        </w:tc>
        <w:tc>
          <w:tcPr>
            <w:tcW w:w="650" w:type="pct"/>
            <w:tcBorders>
              <w:top w:val="nil"/>
            </w:tcBorders>
            <w:shd w:val="clear" w:color="auto" w:fill="auto"/>
            <w:noWrap/>
            <w:vAlign w:val="center"/>
          </w:tcPr>
          <w:p w14:paraId="57D6045F" w14:textId="42FAB085"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355.073</w:t>
            </w:r>
          </w:p>
        </w:tc>
        <w:tc>
          <w:tcPr>
            <w:tcW w:w="650" w:type="pct"/>
            <w:tcBorders>
              <w:top w:val="nil"/>
            </w:tcBorders>
            <w:vAlign w:val="center"/>
          </w:tcPr>
          <w:p w14:paraId="534096F2" w14:textId="4CA69CC4" w:rsidR="00B75653" w:rsidRPr="00FF4346" w:rsidRDefault="00D45B6E" w:rsidP="00D45B6E">
            <w:pPr>
              <w:jc w:val="right"/>
              <w:rPr>
                <w:rFonts w:ascii="CAIXA Std Book" w:hAnsi="CAIXA Std Book" w:cs="Arial"/>
                <w:color w:val="005CA9"/>
                <w:sz w:val="18"/>
                <w:szCs w:val="18"/>
              </w:rPr>
            </w:pPr>
            <w:r>
              <w:rPr>
                <w:rFonts w:ascii="CAIXA Std Book" w:hAnsi="CAIXA Std Book" w:cs="Arial"/>
                <w:color w:val="005CA9"/>
                <w:sz w:val="18"/>
                <w:szCs w:val="18"/>
              </w:rPr>
              <w:t>215.767</w:t>
            </w:r>
          </w:p>
        </w:tc>
        <w:tc>
          <w:tcPr>
            <w:tcW w:w="651" w:type="pct"/>
            <w:tcBorders>
              <w:top w:val="nil"/>
              <w:right w:val="nil"/>
            </w:tcBorders>
            <w:vAlign w:val="center"/>
          </w:tcPr>
          <w:p w14:paraId="6FEB9EE6" w14:textId="2918492F"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388.560</w:t>
            </w:r>
          </w:p>
        </w:tc>
      </w:tr>
      <w:tr w:rsidR="00B75653" w:rsidRPr="00E115A4" w14:paraId="21E2816B" w14:textId="683EDD0F" w:rsidTr="009008E5">
        <w:trPr>
          <w:trHeight w:val="283"/>
        </w:trPr>
        <w:tc>
          <w:tcPr>
            <w:tcW w:w="2399" w:type="pct"/>
            <w:tcBorders>
              <w:left w:val="nil"/>
              <w:bottom w:val="single" w:sz="4" w:space="0" w:color="F39200"/>
              <w:right w:val="nil"/>
            </w:tcBorders>
            <w:shd w:val="clear" w:color="auto" w:fill="auto"/>
            <w:noWrap/>
            <w:vAlign w:val="center"/>
            <w:hideMark/>
          </w:tcPr>
          <w:p w14:paraId="6F4ED80D" w14:textId="77777777" w:rsidR="00B75653" w:rsidRPr="00FF4346" w:rsidRDefault="00B75653" w:rsidP="00B75653">
            <w:pPr>
              <w:rPr>
                <w:rFonts w:ascii="CAIXA Std Book" w:hAnsi="CAIXA Std Book" w:cs="MS Gothic"/>
                <w:b/>
                <w:color w:val="005CA9"/>
                <w:sz w:val="18"/>
                <w:szCs w:val="18"/>
              </w:rPr>
            </w:pPr>
            <w:r w:rsidRPr="00FF4346">
              <w:rPr>
                <w:rFonts w:ascii="CAIXA Std Book" w:hAnsi="CAIXA Std Book" w:cs="MS Gothic"/>
                <w:b/>
                <w:color w:val="005CA9"/>
                <w:sz w:val="18"/>
                <w:szCs w:val="18"/>
              </w:rPr>
              <w:t>Total</w:t>
            </w:r>
          </w:p>
        </w:tc>
        <w:tc>
          <w:tcPr>
            <w:tcW w:w="650" w:type="pct"/>
            <w:tcBorders>
              <w:left w:val="nil"/>
              <w:bottom w:val="single" w:sz="4" w:space="0" w:color="F39200"/>
              <w:right w:val="nil"/>
            </w:tcBorders>
            <w:shd w:val="clear" w:color="auto" w:fill="auto"/>
            <w:noWrap/>
            <w:vAlign w:val="center"/>
          </w:tcPr>
          <w:p w14:paraId="3EC362FC" w14:textId="523C4424" w:rsidR="00B75653" w:rsidRPr="00FF4346" w:rsidRDefault="00B75653" w:rsidP="00B75653">
            <w:pPr>
              <w:jc w:val="right"/>
              <w:rPr>
                <w:rFonts w:ascii="CAIXA Std Book" w:hAnsi="CAIXA Std Book" w:cs="Arial Unicode MS"/>
                <w:b/>
                <w:color w:val="005CA9"/>
                <w:sz w:val="18"/>
                <w:szCs w:val="18"/>
              </w:rPr>
            </w:pPr>
            <w:r>
              <w:rPr>
                <w:rFonts w:ascii="CAIXA Std Book" w:hAnsi="CAIXA Std Book" w:cs="Arial"/>
                <w:b/>
                <w:bCs/>
                <w:color w:val="005CA9"/>
                <w:sz w:val="18"/>
                <w:szCs w:val="18"/>
              </w:rPr>
              <w:t>62.394.900</w:t>
            </w:r>
          </w:p>
        </w:tc>
        <w:tc>
          <w:tcPr>
            <w:tcW w:w="650" w:type="pct"/>
            <w:tcBorders>
              <w:left w:val="nil"/>
              <w:bottom w:val="single" w:sz="4" w:space="0" w:color="F39200"/>
              <w:right w:val="nil"/>
            </w:tcBorders>
            <w:shd w:val="clear" w:color="auto" w:fill="auto"/>
            <w:noWrap/>
            <w:vAlign w:val="center"/>
          </w:tcPr>
          <w:p w14:paraId="68B9258D" w14:textId="72DA43E9" w:rsidR="00B75653" w:rsidRPr="00FF4346" w:rsidRDefault="00B75653" w:rsidP="00B75653">
            <w:pPr>
              <w:jc w:val="right"/>
              <w:rPr>
                <w:rFonts w:ascii="CAIXA Std Book" w:hAnsi="CAIXA Std Book" w:cs="Arial Unicode MS"/>
                <w:b/>
                <w:color w:val="005CA9"/>
                <w:sz w:val="18"/>
                <w:szCs w:val="18"/>
              </w:rPr>
            </w:pPr>
            <w:r w:rsidRPr="00FF4346">
              <w:rPr>
                <w:rFonts w:ascii="CAIXA Std Book" w:hAnsi="CAIXA Std Book" w:cs="Arial"/>
                <w:b/>
                <w:bCs/>
                <w:color w:val="005CA9"/>
                <w:sz w:val="18"/>
                <w:szCs w:val="18"/>
              </w:rPr>
              <w:t>63.448.618</w:t>
            </w:r>
          </w:p>
        </w:tc>
        <w:tc>
          <w:tcPr>
            <w:tcW w:w="650" w:type="pct"/>
            <w:tcBorders>
              <w:left w:val="nil"/>
              <w:bottom w:val="single" w:sz="4" w:space="0" w:color="F39200"/>
              <w:right w:val="nil"/>
            </w:tcBorders>
            <w:vAlign w:val="center"/>
          </w:tcPr>
          <w:p w14:paraId="525C73C3" w14:textId="62D419DC" w:rsidR="00B75653" w:rsidRPr="00FF4346" w:rsidRDefault="00D45B6E" w:rsidP="00D45B6E">
            <w:pPr>
              <w:jc w:val="right"/>
              <w:rPr>
                <w:rFonts w:ascii="CAIXA Std Book" w:hAnsi="CAIXA Std Book" w:cs="Arial Unicode MS"/>
                <w:b/>
                <w:color w:val="005CA9"/>
                <w:sz w:val="18"/>
                <w:szCs w:val="18"/>
              </w:rPr>
            </w:pPr>
            <w:r>
              <w:rPr>
                <w:rFonts w:ascii="CAIXA Std Book" w:hAnsi="CAIXA Std Book" w:cs="Arial"/>
                <w:b/>
                <w:bCs/>
                <w:color w:val="005CA9"/>
                <w:sz w:val="18"/>
                <w:szCs w:val="18"/>
              </w:rPr>
              <w:t>62.539.531</w:t>
            </w:r>
          </w:p>
        </w:tc>
        <w:tc>
          <w:tcPr>
            <w:tcW w:w="651" w:type="pct"/>
            <w:tcBorders>
              <w:left w:val="nil"/>
              <w:bottom w:val="single" w:sz="4" w:space="0" w:color="F39200"/>
              <w:right w:val="nil"/>
            </w:tcBorders>
            <w:vAlign w:val="center"/>
          </w:tcPr>
          <w:p w14:paraId="3FD1DCC0" w14:textId="1DA0BAB6" w:rsidR="00B75653" w:rsidRPr="00FF4346" w:rsidRDefault="00B75653" w:rsidP="00B75653">
            <w:pPr>
              <w:jc w:val="right"/>
              <w:rPr>
                <w:rFonts w:ascii="CAIXA Std Book" w:hAnsi="CAIXA Std Book" w:cs="Arial Unicode MS"/>
                <w:b/>
                <w:color w:val="005CA9"/>
                <w:sz w:val="18"/>
                <w:szCs w:val="18"/>
              </w:rPr>
            </w:pPr>
            <w:r w:rsidRPr="00FF4346">
              <w:rPr>
                <w:rFonts w:ascii="CAIXA Std Book" w:hAnsi="CAIXA Std Book" w:cs="Arial"/>
                <w:b/>
                <w:bCs/>
                <w:color w:val="005CA9"/>
                <w:sz w:val="18"/>
                <w:szCs w:val="18"/>
              </w:rPr>
              <w:t>63.608.962</w:t>
            </w:r>
          </w:p>
        </w:tc>
      </w:tr>
      <w:tr w:rsidR="00B75653" w:rsidRPr="00E115A4" w14:paraId="4EB8BBEC" w14:textId="7B23D549" w:rsidTr="009008E5">
        <w:trPr>
          <w:trHeight w:val="283"/>
        </w:trPr>
        <w:tc>
          <w:tcPr>
            <w:tcW w:w="2399" w:type="pct"/>
            <w:tcBorders>
              <w:top w:val="nil"/>
              <w:left w:val="nil"/>
              <w:bottom w:val="single" w:sz="4" w:space="0" w:color="F39200"/>
              <w:right w:val="nil"/>
            </w:tcBorders>
            <w:shd w:val="clear" w:color="auto" w:fill="auto"/>
            <w:noWrap/>
            <w:vAlign w:val="center"/>
            <w:hideMark/>
          </w:tcPr>
          <w:p w14:paraId="098BAEA1" w14:textId="1619ADE0" w:rsidR="00B75653" w:rsidRPr="00FF4346" w:rsidRDefault="00B75653" w:rsidP="00B75653">
            <w:pPr>
              <w:rPr>
                <w:rFonts w:ascii="CAIXA Std Book" w:hAnsi="CAIXA Std Book" w:cs="MS Gothic"/>
                <w:color w:val="005CA9"/>
                <w:sz w:val="18"/>
                <w:szCs w:val="18"/>
              </w:rPr>
            </w:pPr>
            <w:r w:rsidRPr="00FF4346">
              <w:rPr>
                <w:rFonts w:ascii="CAIXA Std Book" w:hAnsi="CAIXA Std Book" w:cs="MS Gothic"/>
                <w:color w:val="005CA9"/>
                <w:sz w:val="18"/>
                <w:szCs w:val="18"/>
              </w:rPr>
              <w:t>Perdas por redução ao valor recuperável</w:t>
            </w:r>
          </w:p>
        </w:tc>
        <w:tc>
          <w:tcPr>
            <w:tcW w:w="650" w:type="pct"/>
            <w:tcBorders>
              <w:top w:val="nil"/>
              <w:left w:val="nil"/>
              <w:bottom w:val="single" w:sz="4" w:space="0" w:color="F39200"/>
              <w:right w:val="nil"/>
            </w:tcBorders>
            <w:shd w:val="clear" w:color="auto" w:fill="auto"/>
            <w:noWrap/>
            <w:vAlign w:val="center"/>
          </w:tcPr>
          <w:p w14:paraId="4EB71846" w14:textId="3A27AAEA" w:rsidR="00B75653" w:rsidRPr="00FF4346" w:rsidRDefault="00B75653" w:rsidP="00B75653">
            <w:pPr>
              <w:jc w:val="right"/>
              <w:rPr>
                <w:rFonts w:ascii="CAIXA Std Book" w:hAnsi="CAIXA Std Book" w:cs="Arial"/>
                <w:color w:val="005CA9"/>
                <w:sz w:val="18"/>
                <w:szCs w:val="18"/>
              </w:rPr>
            </w:pPr>
            <w:r>
              <w:rPr>
                <w:rFonts w:ascii="CAIXA Std Book" w:hAnsi="CAIXA Std Book" w:cs="Arial"/>
                <w:color w:val="005CA9"/>
                <w:sz w:val="18"/>
                <w:szCs w:val="18"/>
              </w:rPr>
              <w:t>(2.741.</w:t>
            </w:r>
            <w:r w:rsidR="00444CC7">
              <w:rPr>
                <w:rFonts w:ascii="CAIXA Std Book" w:hAnsi="CAIXA Std Book" w:cs="Arial"/>
                <w:color w:val="005CA9"/>
                <w:sz w:val="18"/>
                <w:szCs w:val="18"/>
              </w:rPr>
              <w:t>191</w:t>
            </w:r>
            <w:r>
              <w:rPr>
                <w:rFonts w:ascii="CAIXA Std Book" w:hAnsi="CAIXA Std Book" w:cs="Arial"/>
                <w:color w:val="005CA9"/>
                <w:sz w:val="18"/>
                <w:szCs w:val="18"/>
              </w:rPr>
              <w:t>)</w:t>
            </w:r>
          </w:p>
        </w:tc>
        <w:tc>
          <w:tcPr>
            <w:tcW w:w="650" w:type="pct"/>
            <w:tcBorders>
              <w:top w:val="nil"/>
              <w:left w:val="nil"/>
              <w:bottom w:val="single" w:sz="4" w:space="0" w:color="F39200"/>
              <w:right w:val="nil"/>
            </w:tcBorders>
            <w:shd w:val="clear" w:color="auto" w:fill="auto"/>
            <w:noWrap/>
            <w:vAlign w:val="center"/>
          </w:tcPr>
          <w:p w14:paraId="612B21B3" w14:textId="1ED4A1D6" w:rsidR="00B75653" w:rsidRPr="00FF4346" w:rsidRDefault="00B75653" w:rsidP="00B75653">
            <w:pPr>
              <w:jc w:val="right"/>
              <w:rPr>
                <w:rFonts w:ascii="CAIXA Std Book" w:hAnsi="CAIXA Std Book" w:cs="MS Gothic"/>
                <w:color w:val="005CA9"/>
                <w:sz w:val="18"/>
                <w:szCs w:val="18"/>
              </w:rPr>
            </w:pPr>
            <w:r w:rsidRPr="00FF4346">
              <w:rPr>
                <w:rFonts w:ascii="CAIXA Std Book" w:hAnsi="CAIXA Std Book" w:cs="Arial"/>
                <w:color w:val="005CA9"/>
                <w:sz w:val="18"/>
                <w:szCs w:val="18"/>
              </w:rPr>
              <w:t>(2.741.191)</w:t>
            </w:r>
          </w:p>
        </w:tc>
        <w:tc>
          <w:tcPr>
            <w:tcW w:w="650" w:type="pct"/>
            <w:tcBorders>
              <w:top w:val="nil"/>
              <w:left w:val="nil"/>
              <w:bottom w:val="single" w:sz="4" w:space="0" w:color="F39200"/>
              <w:right w:val="nil"/>
            </w:tcBorders>
            <w:vAlign w:val="center"/>
          </w:tcPr>
          <w:p w14:paraId="15C445A0" w14:textId="5E514583" w:rsidR="00B75653" w:rsidRPr="00FF4346" w:rsidRDefault="00D45B6E" w:rsidP="00D45B6E">
            <w:pPr>
              <w:jc w:val="right"/>
              <w:rPr>
                <w:rFonts w:ascii="CAIXA Std Book" w:hAnsi="CAIXA Std Book" w:cs="Arial Unicode MS"/>
                <w:color w:val="005CA9"/>
                <w:sz w:val="18"/>
                <w:szCs w:val="18"/>
              </w:rPr>
            </w:pPr>
            <w:r>
              <w:rPr>
                <w:rFonts w:ascii="CAIXA Std Book" w:hAnsi="CAIXA Std Book" w:cs="Arial"/>
                <w:color w:val="005CA9"/>
                <w:sz w:val="18"/>
                <w:szCs w:val="18"/>
              </w:rPr>
              <w:t>(2.741.</w:t>
            </w:r>
            <w:r w:rsidR="00444CC7">
              <w:rPr>
                <w:rFonts w:ascii="CAIXA Std Book" w:hAnsi="CAIXA Std Book" w:cs="Arial"/>
                <w:color w:val="005CA9"/>
                <w:sz w:val="18"/>
                <w:szCs w:val="18"/>
              </w:rPr>
              <w:t>191</w:t>
            </w:r>
            <w:r>
              <w:rPr>
                <w:rFonts w:ascii="CAIXA Std Book" w:hAnsi="CAIXA Std Book" w:cs="Arial"/>
                <w:color w:val="005CA9"/>
                <w:sz w:val="18"/>
                <w:szCs w:val="18"/>
              </w:rPr>
              <w:t>)</w:t>
            </w:r>
          </w:p>
        </w:tc>
        <w:tc>
          <w:tcPr>
            <w:tcW w:w="651" w:type="pct"/>
            <w:tcBorders>
              <w:top w:val="nil"/>
              <w:left w:val="nil"/>
              <w:bottom w:val="single" w:sz="4" w:space="0" w:color="F39200"/>
              <w:right w:val="nil"/>
            </w:tcBorders>
            <w:vAlign w:val="center"/>
          </w:tcPr>
          <w:p w14:paraId="25AFCE0A" w14:textId="6EE4AA53"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(2.741.191)</w:t>
            </w:r>
          </w:p>
        </w:tc>
      </w:tr>
      <w:tr w:rsidR="00B75653" w:rsidRPr="00E115A4" w14:paraId="699A0EDE" w14:textId="2DC1D3D1" w:rsidTr="009008E5">
        <w:trPr>
          <w:trHeight w:val="283"/>
        </w:trPr>
        <w:tc>
          <w:tcPr>
            <w:tcW w:w="2399" w:type="pct"/>
            <w:tcBorders>
              <w:top w:val="nil"/>
              <w:left w:val="nil"/>
              <w:bottom w:val="single" w:sz="4" w:space="0" w:color="F39200"/>
              <w:right w:val="nil"/>
            </w:tcBorders>
            <w:shd w:val="clear" w:color="auto" w:fill="auto"/>
            <w:noWrap/>
            <w:vAlign w:val="center"/>
            <w:hideMark/>
          </w:tcPr>
          <w:p w14:paraId="200E3C28" w14:textId="77777777" w:rsidR="00B75653" w:rsidRPr="00FF4346" w:rsidRDefault="00B75653" w:rsidP="00B75653">
            <w:pPr>
              <w:rPr>
                <w:rFonts w:ascii="CAIXA Std Book" w:hAnsi="CAIXA Std Book" w:cs="MS Gothic"/>
                <w:b/>
                <w:color w:val="005CA9"/>
                <w:sz w:val="18"/>
                <w:szCs w:val="18"/>
              </w:rPr>
            </w:pPr>
            <w:r w:rsidRPr="00FF4346">
              <w:rPr>
                <w:rFonts w:ascii="CAIXA Std Book" w:hAnsi="CAIXA Std Book" w:cs="MS Gothic"/>
                <w:b/>
                <w:color w:val="005CA9"/>
                <w:sz w:val="18"/>
                <w:szCs w:val="18"/>
              </w:rPr>
              <w:t>Total líquido de provisão</w:t>
            </w:r>
          </w:p>
        </w:tc>
        <w:tc>
          <w:tcPr>
            <w:tcW w:w="650" w:type="pct"/>
            <w:tcBorders>
              <w:top w:val="nil"/>
              <w:left w:val="nil"/>
              <w:bottom w:val="single" w:sz="4" w:space="0" w:color="F39200"/>
              <w:right w:val="nil"/>
            </w:tcBorders>
            <w:shd w:val="clear" w:color="auto" w:fill="auto"/>
            <w:noWrap/>
            <w:vAlign w:val="center"/>
          </w:tcPr>
          <w:p w14:paraId="5D2681D4" w14:textId="6EC50FB0" w:rsidR="00B75653" w:rsidRPr="00FF4346" w:rsidRDefault="00B75653" w:rsidP="00B75653">
            <w:pPr>
              <w:jc w:val="right"/>
              <w:rPr>
                <w:rFonts w:ascii="CAIXA Std Book" w:hAnsi="CAIXA Std Book" w:cs="Arial"/>
                <w:b/>
                <w:color w:val="005CA9"/>
                <w:sz w:val="18"/>
                <w:szCs w:val="18"/>
              </w:rPr>
            </w:pPr>
            <w:r>
              <w:rPr>
                <w:rFonts w:ascii="CAIXA Std Book" w:hAnsi="CAIXA Std Book" w:cs="Arial"/>
                <w:b/>
                <w:bCs/>
                <w:color w:val="005CA9"/>
                <w:sz w:val="18"/>
                <w:szCs w:val="18"/>
              </w:rPr>
              <w:t>59.653.</w:t>
            </w:r>
            <w:r w:rsidR="00444CC7">
              <w:rPr>
                <w:rFonts w:ascii="CAIXA Std Book" w:hAnsi="CAIXA Std Book" w:cs="Arial"/>
                <w:b/>
                <w:bCs/>
                <w:color w:val="005CA9"/>
                <w:sz w:val="18"/>
                <w:szCs w:val="18"/>
              </w:rPr>
              <w:t>709</w:t>
            </w:r>
          </w:p>
        </w:tc>
        <w:tc>
          <w:tcPr>
            <w:tcW w:w="650" w:type="pct"/>
            <w:tcBorders>
              <w:top w:val="nil"/>
              <w:left w:val="nil"/>
              <w:bottom w:val="single" w:sz="4" w:space="0" w:color="F39200"/>
              <w:right w:val="nil"/>
            </w:tcBorders>
            <w:shd w:val="clear" w:color="auto" w:fill="auto"/>
            <w:noWrap/>
            <w:vAlign w:val="center"/>
          </w:tcPr>
          <w:p w14:paraId="294F7DCE" w14:textId="75214C9F" w:rsidR="00B75653" w:rsidRPr="00FF4346" w:rsidRDefault="00B75653" w:rsidP="00B75653">
            <w:pPr>
              <w:jc w:val="right"/>
              <w:rPr>
                <w:rFonts w:ascii="CAIXA Std Book" w:hAnsi="CAIXA Std Book" w:cs="MS Gothic"/>
                <w:b/>
                <w:color w:val="005CA9"/>
                <w:sz w:val="18"/>
                <w:szCs w:val="18"/>
              </w:rPr>
            </w:pPr>
            <w:r w:rsidRPr="00FF4346">
              <w:rPr>
                <w:rFonts w:ascii="CAIXA Std Book" w:hAnsi="CAIXA Std Book" w:cs="Arial"/>
                <w:b/>
                <w:bCs/>
                <w:color w:val="005CA9"/>
                <w:sz w:val="18"/>
                <w:szCs w:val="18"/>
              </w:rPr>
              <w:t>60.707.427</w:t>
            </w:r>
          </w:p>
        </w:tc>
        <w:tc>
          <w:tcPr>
            <w:tcW w:w="650" w:type="pct"/>
            <w:tcBorders>
              <w:top w:val="nil"/>
              <w:left w:val="nil"/>
              <w:bottom w:val="single" w:sz="4" w:space="0" w:color="F39200"/>
              <w:right w:val="nil"/>
            </w:tcBorders>
            <w:vAlign w:val="center"/>
          </w:tcPr>
          <w:p w14:paraId="002C2E71" w14:textId="2B5C7423" w:rsidR="00B75653" w:rsidRPr="00FF4346" w:rsidRDefault="00D45B6E" w:rsidP="00D45B6E">
            <w:pPr>
              <w:jc w:val="right"/>
              <w:rPr>
                <w:rFonts w:ascii="CAIXA Std Book" w:hAnsi="CAIXA Std Book" w:cs="Arial Unicode MS"/>
                <w:b/>
                <w:color w:val="005CA9"/>
                <w:sz w:val="18"/>
                <w:szCs w:val="18"/>
              </w:rPr>
            </w:pPr>
            <w:r>
              <w:rPr>
                <w:rFonts w:ascii="CAIXA Std Book" w:hAnsi="CAIXA Std Book" w:cs="Arial"/>
                <w:b/>
                <w:bCs/>
                <w:color w:val="005CA9"/>
                <w:sz w:val="18"/>
                <w:szCs w:val="18"/>
              </w:rPr>
              <w:t>59.798.</w:t>
            </w:r>
            <w:r w:rsidR="00444CC7">
              <w:rPr>
                <w:rFonts w:ascii="CAIXA Std Book" w:hAnsi="CAIXA Std Book" w:cs="Arial"/>
                <w:b/>
                <w:bCs/>
                <w:color w:val="005CA9"/>
                <w:sz w:val="18"/>
                <w:szCs w:val="18"/>
              </w:rPr>
              <w:t>340</w:t>
            </w:r>
          </w:p>
        </w:tc>
        <w:tc>
          <w:tcPr>
            <w:tcW w:w="651" w:type="pct"/>
            <w:tcBorders>
              <w:top w:val="nil"/>
              <w:left w:val="nil"/>
              <w:bottom w:val="single" w:sz="4" w:space="0" w:color="F39200"/>
              <w:right w:val="nil"/>
            </w:tcBorders>
            <w:vAlign w:val="center"/>
          </w:tcPr>
          <w:p w14:paraId="39FE584D" w14:textId="76EDA2DF" w:rsidR="00B75653" w:rsidRPr="00FF4346" w:rsidRDefault="00B75653" w:rsidP="00B75653">
            <w:pPr>
              <w:jc w:val="right"/>
              <w:rPr>
                <w:rFonts w:ascii="CAIXA Std Book" w:hAnsi="CAIXA Std Book" w:cs="Arial Unicode MS"/>
                <w:b/>
                <w:color w:val="005CA9"/>
                <w:sz w:val="18"/>
                <w:szCs w:val="18"/>
              </w:rPr>
            </w:pPr>
            <w:r w:rsidRPr="00FF4346">
              <w:rPr>
                <w:rFonts w:ascii="CAIXA Std Book" w:hAnsi="CAIXA Std Book" w:cs="Arial"/>
                <w:b/>
                <w:bCs/>
                <w:color w:val="005CA9"/>
                <w:sz w:val="18"/>
                <w:szCs w:val="18"/>
              </w:rPr>
              <w:t>60.867.771</w:t>
            </w:r>
          </w:p>
        </w:tc>
      </w:tr>
      <w:tr w:rsidR="00B75653" w:rsidRPr="00E115A4" w14:paraId="1F233E65" w14:textId="23C38C13" w:rsidTr="009008E5">
        <w:trPr>
          <w:trHeight w:val="283"/>
        </w:trPr>
        <w:tc>
          <w:tcPr>
            <w:tcW w:w="2399" w:type="pct"/>
            <w:tcBorders>
              <w:top w:val="nil"/>
              <w:left w:val="nil"/>
              <w:bottom w:val="nil"/>
              <w:right w:val="nil"/>
            </w:tcBorders>
            <w:shd w:val="clear" w:color="auto" w:fill="auto"/>
            <w:noWrap/>
            <w:vAlign w:val="center"/>
            <w:hideMark/>
          </w:tcPr>
          <w:p w14:paraId="56393BFB" w14:textId="23DAB76F" w:rsidR="00B75653" w:rsidRPr="00FF4346" w:rsidRDefault="00B75653" w:rsidP="00B75653">
            <w:pPr>
              <w:rPr>
                <w:rFonts w:ascii="CAIXA Std Book" w:hAnsi="CAIXA Std Book" w:cs="MS Gothic"/>
                <w:color w:val="005CA9"/>
                <w:sz w:val="18"/>
                <w:szCs w:val="18"/>
              </w:rPr>
            </w:pPr>
            <w:r w:rsidRPr="00FF4346">
              <w:rPr>
                <w:rFonts w:ascii="CAIXA Std Book" w:hAnsi="CAIXA Std Book" w:cs="MS Gothic"/>
                <w:color w:val="005CA9"/>
                <w:sz w:val="18"/>
                <w:szCs w:val="18"/>
              </w:rPr>
              <w:t>Ativo circulante</w:t>
            </w:r>
          </w:p>
        </w:tc>
        <w:tc>
          <w:tcPr>
            <w:tcW w:w="650" w:type="pct"/>
            <w:tcBorders>
              <w:top w:val="nil"/>
              <w:left w:val="nil"/>
              <w:bottom w:val="nil"/>
              <w:right w:val="nil"/>
            </w:tcBorders>
            <w:shd w:val="clear" w:color="auto" w:fill="auto"/>
            <w:noWrap/>
            <w:vAlign w:val="center"/>
          </w:tcPr>
          <w:p w14:paraId="6CBEE426" w14:textId="4A16DDF4" w:rsidR="00B75653" w:rsidRPr="00E115A4" w:rsidRDefault="00875CBC" w:rsidP="00D45B6E">
            <w:pPr>
              <w:jc w:val="right"/>
              <w:rPr>
                <w:rFonts w:ascii="CAIXA Std Book" w:hAnsi="CAIXA Std Book" w:cs="Arial Unicode MS"/>
                <w:color w:val="005CA9"/>
                <w:sz w:val="18"/>
                <w:szCs w:val="18"/>
                <w:highlight w:val="yellow"/>
              </w:rPr>
            </w:pPr>
            <w:r>
              <w:rPr>
                <w:rFonts w:ascii="CAIXA Std Book" w:hAnsi="CAIXA Std Book" w:cs="Arial"/>
                <w:color w:val="005CA9"/>
                <w:sz w:val="18"/>
                <w:szCs w:val="18"/>
              </w:rPr>
              <w:t>4.060.</w:t>
            </w:r>
            <w:r w:rsidR="00444CC7">
              <w:rPr>
                <w:rFonts w:ascii="CAIXA Std Book" w:hAnsi="CAIXA Std Book" w:cs="Arial"/>
                <w:color w:val="005CA9"/>
                <w:sz w:val="18"/>
                <w:szCs w:val="18"/>
              </w:rPr>
              <w:t>712</w:t>
            </w:r>
          </w:p>
        </w:tc>
        <w:tc>
          <w:tcPr>
            <w:tcW w:w="650" w:type="pct"/>
            <w:tcBorders>
              <w:top w:val="nil"/>
              <w:left w:val="nil"/>
              <w:right w:val="nil"/>
            </w:tcBorders>
            <w:shd w:val="clear" w:color="auto" w:fill="auto"/>
            <w:noWrap/>
            <w:vAlign w:val="center"/>
          </w:tcPr>
          <w:p w14:paraId="72436915" w14:textId="40617913"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4.860.580</w:t>
            </w:r>
          </w:p>
        </w:tc>
        <w:tc>
          <w:tcPr>
            <w:tcW w:w="650" w:type="pct"/>
            <w:tcBorders>
              <w:top w:val="nil"/>
              <w:left w:val="nil"/>
              <w:right w:val="nil"/>
            </w:tcBorders>
            <w:vAlign w:val="center"/>
          </w:tcPr>
          <w:p w14:paraId="6BEB8A8D" w14:textId="0C73E93A" w:rsidR="00B75653" w:rsidRPr="00E115A4" w:rsidRDefault="003453AC" w:rsidP="00D45B6E">
            <w:pPr>
              <w:jc w:val="right"/>
              <w:rPr>
                <w:rFonts w:ascii="CAIXA Std Book" w:hAnsi="CAIXA Std Book" w:cs="Arial"/>
                <w:color w:val="005CA9"/>
                <w:sz w:val="18"/>
                <w:szCs w:val="18"/>
                <w:highlight w:val="yellow"/>
              </w:rPr>
            </w:pPr>
            <w:r>
              <w:rPr>
                <w:rFonts w:ascii="CAIXA Std Book" w:hAnsi="CAIXA Std Book" w:cs="Arial"/>
                <w:color w:val="005CA9"/>
                <w:sz w:val="18"/>
                <w:szCs w:val="18"/>
              </w:rPr>
              <w:t>4.205.</w:t>
            </w:r>
            <w:r w:rsidR="00444CC7">
              <w:rPr>
                <w:rFonts w:ascii="CAIXA Std Book" w:hAnsi="CAIXA Std Book" w:cs="Arial"/>
                <w:color w:val="005CA9"/>
                <w:sz w:val="18"/>
                <w:szCs w:val="18"/>
              </w:rPr>
              <w:t>343</w:t>
            </w:r>
          </w:p>
        </w:tc>
        <w:tc>
          <w:tcPr>
            <w:tcW w:w="651" w:type="pct"/>
            <w:tcBorders>
              <w:top w:val="nil"/>
              <w:left w:val="nil"/>
              <w:right w:val="nil"/>
            </w:tcBorders>
            <w:vAlign w:val="center"/>
          </w:tcPr>
          <w:p w14:paraId="462F4021" w14:textId="50FC8390" w:rsidR="00B75653" w:rsidRPr="00FF4346" w:rsidRDefault="00B75653" w:rsidP="00B7565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5.020.924</w:t>
            </w:r>
          </w:p>
        </w:tc>
      </w:tr>
      <w:tr w:rsidR="00FF20EB" w:rsidRPr="00E115A4" w14:paraId="3360C28B" w14:textId="2AA1C460" w:rsidTr="009008E5">
        <w:trPr>
          <w:trHeight w:val="283"/>
        </w:trPr>
        <w:tc>
          <w:tcPr>
            <w:tcW w:w="2399" w:type="pct"/>
            <w:tcBorders>
              <w:top w:val="nil"/>
              <w:left w:val="nil"/>
              <w:bottom w:val="single" w:sz="4" w:space="0" w:color="F39200"/>
              <w:right w:val="nil"/>
            </w:tcBorders>
            <w:shd w:val="clear" w:color="auto" w:fill="auto"/>
            <w:noWrap/>
            <w:vAlign w:val="center"/>
            <w:hideMark/>
          </w:tcPr>
          <w:p w14:paraId="261D7498" w14:textId="77777777" w:rsidR="00FF20EB" w:rsidRPr="00FF4346" w:rsidRDefault="00FF20EB" w:rsidP="00FF20EB">
            <w:pPr>
              <w:rPr>
                <w:rFonts w:ascii="CAIXA Std Book" w:hAnsi="CAIXA Std Book" w:cs="MS Gothic"/>
                <w:color w:val="005CA9"/>
                <w:sz w:val="18"/>
                <w:szCs w:val="18"/>
              </w:rPr>
            </w:pPr>
            <w:r w:rsidRPr="00FF4346">
              <w:rPr>
                <w:rFonts w:ascii="CAIXA Std Book" w:hAnsi="CAIXA Std Book" w:cs="MS Gothic"/>
                <w:color w:val="005CA9"/>
                <w:sz w:val="18"/>
                <w:szCs w:val="18"/>
              </w:rPr>
              <w:t>Ativo não circulante</w:t>
            </w:r>
          </w:p>
        </w:tc>
        <w:tc>
          <w:tcPr>
            <w:tcW w:w="650" w:type="pct"/>
            <w:tcBorders>
              <w:top w:val="nil"/>
              <w:left w:val="nil"/>
              <w:bottom w:val="single" w:sz="4" w:space="0" w:color="F39200"/>
              <w:right w:val="nil"/>
            </w:tcBorders>
            <w:shd w:val="clear" w:color="auto" w:fill="auto"/>
            <w:noWrap/>
            <w:vAlign w:val="center"/>
          </w:tcPr>
          <w:p w14:paraId="530EC522" w14:textId="551BA13B" w:rsidR="00FF20EB" w:rsidRPr="00E115A4" w:rsidRDefault="00875CBC" w:rsidP="00875CBC">
            <w:pPr>
              <w:jc w:val="right"/>
              <w:rPr>
                <w:rFonts w:ascii="CAIXA Std Book" w:hAnsi="CAIXA Std Book" w:cs="Arial Unicode MS"/>
                <w:color w:val="005CA9"/>
                <w:sz w:val="18"/>
                <w:szCs w:val="18"/>
                <w:highlight w:val="yellow"/>
              </w:rPr>
            </w:pPr>
            <w:r>
              <w:rPr>
                <w:rFonts w:ascii="CAIXA Std Book" w:hAnsi="CAIXA Std Book" w:cs="Arial"/>
                <w:color w:val="005CA9"/>
                <w:sz w:val="18"/>
                <w:szCs w:val="18"/>
              </w:rPr>
              <w:t>55.592.997</w:t>
            </w:r>
          </w:p>
        </w:tc>
        <w:tc>
          <w:tcPr>
            <w:tcW w:w="650" w:type="pct"/>
            <w:tcBorders>
              <w:top w:val="nil"/>
              <w:left w:val="nil"/>
              <w:bottom w:val="single" w:sz="4" w:space="0" w:color="F39200"/>
              <w:right w:val="nil"/>
            </w:tcBorders>
            <w:shd w:val="clear" w:color="auto" w:fill="auto"/>
            <w:noWrap/>
            <w:vAlign w:val="center"/>
          </w:tcPr>
          <w:p w14:paraId="78AD81FD" w14:textId="05EEEC84" w:rsidR="00FF20EB" w:rsidRPr="00FF4346" w:rsidRDefault="00FF20EB" w:rsidP="00121351">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55.846.847</w:t>
            </w:r>
          </w:p>
        </w:tc>
        <w:tc>
          <w:tcPr>
            <w:tcW w:w="650" w:type="pct"/>
            <w:tcBorders>
              <w:top w:val="nil"/>
              <w:left w:val="nil"/>
              <w:bottom w:val="single" w:sz="4" w:space="0" w:color="F39200"/>
              <w:right w:val="nil"/>
            </w:tcBorders>
            <w:vAlign w:val="center"/>
          </w:tcPr>
          <w:p w14:paraId="2CD281A8" w14:textId="6A441A04" w:rsidR="00FF20EB" w:rsidRPr="00E115A4" w:rsidRDefault="003453AC" w:rsidP="003453AC">
            <w:pPr>
              <w:jc w:val="right"/>
              <w:rPr>
                <w:rFonts w:ascii="CAIXA Std Book" w:hAnsi="CAIXA Std Book" w:cs="Arial"/>
                <w:color w:val="005CA9"/>
                <w:sz w:val="18"/>
                <w:szCs w:val="18"/>
                <w:highlight w:val="yellow"/>
              </w:rPr>
            </w:pPr>
            <w:r>
              <w:rPr>
                <w:rFonts w:ascii="CAIXA Std Book" w:hAnsi="CAIXA Std Book" w:cs="Arial"/>
                <w:color w:val="005CA9"/>
                <w:sz w:val="18"/>
                <w:szCs w:val="18"/>
              </w:rPr>
              <w:t>55.592.997</w:t>
            </w:r>
          </w:p>
        </w:tc>
        <w:tc>
          <w:tcPr>
            <w:tcW w:w="651" w:type="pct"/>
            <w:tcBorders>
              <w:top w:val="nil"/>
              <w:left w:val="nil"/>
              <w:bottom w:val="single" w:sz="4" w:space="0" w:color="F39200"/>
              <w:right w:val="nil"/>
            </w:tcBorders>
            <w:vAlign w:val="center"/>
          </w:tcPr>
          <w:p w14:paraId="22C4C467" w14:textId="0F99A7AA" w:rsidR="00FF20EB" w:rsidRPr="00FF4346" w:rsidRDefault="00FF20EB" w:rsidP="00121351">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55.846.847</w:t>
            </w:r>
          </w:p>
        </w:tc>
      </w:tr>
    </w:tbl>
    <w:p w14:paraId="12DEDE6D" w14:textId="6C920CEF" w:rsidR="004E5D1D" w:rsidRPr="00D6075F" w:rsidRDefault="00CD535D" w:rsidP="00CD535D">
      <w:pPr>
        <w:pStyle w:val="PargrafodaLista"/>
        <w:numPr>
          <w:ilvl w:val="0"/>
          <w:numId w:val="17"/>
        </w:numPr>
        <w:spacing w:before="480" w:after="240"/>
        <w:ind w:left="567" w:hanging="567"/>
        <w:contextualSpacing w:val="0"/>
        <w:rPr>
          <w:rStyle w:val="Nmerodepgina"/>
          <w:rFonts w:ascii="CAIXA Std Book" w:hAnsi="CAIXA Std Book" w:cs="Arial Unicode MS"/>
          <w:b/>
          <w:color w:val="005CA9"/>
          <w:sz w:val="20"/>
          <w:szCs w:val="20"/>
        </w:rPr>
      </w:pPr>
      <w:r w:rsidRPr="00D6075F">
        <w:rPr>
          <w:rStyle w:val="Nmerodepgina"/>
          <w:rFonts w:ascii="CAIXA Std Book" w:hAnsi="CAIXA Std Book" w:cs="Arial Unicode MS"/>
          <w:b/>
          <w:color w:val="005CA9"/>
          <w:sz w:val="20"/>
          <w:szCs w:val="20"/>
        </w:rPr>
        <w:t>Diferença de cessão</w:t>
      </w:r>
    </w:p>
    <w:p w14:paraId="637ED398" w14:textId="43E47ED4" w:rsidR="00302A3F" w:rsidRPr="00D6075F" w:rsidRDefault="00302A3F" w:rsidP="00302A3F">
      <w:pPr>
        <w:spacing w:before="120" w:after="120"/>
        <w:jc w:val="both"/>
        <w:rPr>
          <w:rFonts w:ascii="CAIXA Std Book" w:hAnsi="CAIXA Std Book"/>
          <w:color w:val="005CA9"/>
          <w:sz w:val="20"/>
          <w:szCs w:val="20"/>
        </w:rPr>
      </w:pPr>
      <w:r w:rsidRPr="00D6075F">
        <w:rPr>
          <w:rFonts w:ascii="CAIXA Std Book" w:hAnsi="CAIXA Std Book"/>
          <w:color w:val="005CA9"/>
          <w:sz w:val="20"/>
          <w:szCs w:val="20"/>
        </w:rPr>
        <w:t>Os contratos de cessão de carteiras imobiliárias cedidos à CAIXA por outros agentes financeiros possuem</w:t>
      </w:r>
      <w:r w:rsidR="00E63088">
        <w:rPr>
          <w:rFonts w:ascii="CAIXA Std Book" w:hAnsi="CAIXA Std Book"/>
          <w:color w:val="005CA9"/>
          <w:sz w:val="20"/>
          <w:szCs w:val="20"/>
        </w:rPr>
        <w:t xml:space="preserve"> </w:t>
      </w:r>
      <w:r w:rsidRPr="00D6075F">
        <w:rPr>
          <w:rFonts w:ascii="CAIXA Std Book" w:hAnsi="CAIXA Std Book"/>
          <w:color w:val="005CA9"/>
          <w:sz w:val="20"/>
          <w:szCs w:val="20"/>
        </w:rPr>
        <w:t>cláusula pró-solvendo, segundo a qual o agente cedente se compromete a ressarcir à CAIXA eventuais diferenças apuradas, resultantes do processo de depuração e validação dos contratos cedidos pelo Conselho Curador do FCVS.</w:t>
      </w:r>
    </w:p>
    <w:p w14:paraId="138864E8" w14:textId="77777777" w:rsidR="00302A3F" w:rsidRPr="00D6075F" w:rsidRDefault="00302A3F" w:rsidP="00302A3F">
      <w:pPr>
        <w:spacing w:before="120" w:after="120"/>
        <w:jc w:val="both"/>
        <w:rPr>
          <w:rFonts w:ascii="CAIXA Std Book" w:hAnsi="CAIXA Std Book"/>
          <w:color w:val="005CA9"/>
          <w:sz w:val="20"/>
          <w:szCs w:val="20"/>
        </w:rPr>
      </w:pPr>
      <w:r w:rsidRPr="00D6075F">
        <w:rPr>
          <w:rFonts w:ascii="CAIXA Std Book" w:hAnsi="CAIXA Std Book"/>
          <w:color w:val="005CA9"/>
          <w:sz w:val="20"/>
          <w:szCs w:val="20"/>
        </w:rPr>
        <w:t>Diferença de Cessão é o resultado apurado entre o valor informado por cada agente financeiro cedente no respectivo instrumento de cessão de contratos habitacionais com cobertura do FCVS à CAIXA, e o valor efetivamente apurado junto à Administradora do FCVS como passível de novação.</w:t>
      </w:r>
    </w:p>
    <w:p w14:paraId="7293E754" w14:textId="77777777" w:rsidR="00302A3F" w:rsidRPr="00D6075F" w:rsidRDefault="00302A3F" w:rsidP="00302A3F">
      <w:pPr>
        <w:spacing w:before="120" w:after="120"/>
        <w:jc w:val="both"/>
        <w:rPr>
          <w:rFonts w:ascii="CAIXA Std Book" w:hAnsi="CAIXA Std Book"/>
          <w:color w:val="005CA9"/>
          <w:sz w:val="20"/>
          <w:szCs w:val="20"/>
        </w:rPr>
      </w:pPr>
      <w:r w:rsidRPr="00D6075F">
        <w:rPr>
          <w:rFonts w:ascii="CAIXA Std Book" w:hAnsi="CAIXA Std Book"/>
          <w:color w:val="005CA9"/>
          <w:sz w:val="20"/>
          <w:szCs w:val="20"/>
        </w:rPr>
        <w:t>Após análise dos créditos FCVS relacionados a diferenças de cessão e sua recuperabilidade, conclui-se que tais valores representam direito da CAIXA com o Agente Financeiro cedente, contratualmente comprometido com o ressarcimento à CAIXA dos valores não cobertos pelo FCVS.</w:t>
      </w:r>
    </w:p>
    <w:p w14:paraId="2F1E738F" w14:textId="77777777" w:rsidR="00302A3F" w:rsidRPr="00D6075F" w:rsidRDefault="00302A3F" w:rsidP="00302A3F">
      <w:pPr>
        <w:spacing w:before="120" w:after="120"/>
        <w:jc w:val="both"/>
        <w:rPr>
          <w:rFonts w:ascii="CAIXA Std Book" w:hAnsi="CAIXA Std Book"/>
          <w:color w:val="005CA9"/>
          <w:sz w:val="20"/>
          <w:szCs w:val="20"/>
        </w:rPr>
      </w:pPr>
      <w:r w:rsidRPr="00D6075F">
        <w:rPr>
          <w:rFonts w:ascii="CAIXA Std Book" w:hAnsi="CAIXA Std Book"/>
          <w:color w:val="005CA9"/>
          <w:sz w:val="20"/>
          <w:szCs w:val="20"/>
        </w:rPr>
        <w:t>Desse modo, considerando que os ativos de diferença de cessão seriam separados dos créditos FCVS próprios, restou necessária sua reclassificação dentro de Outros ativos financeiros da rubrica “Créditos vinculados ao SFH (c)” para a rubrica “Créditos por diferença de cessão”.</w:t>
      </w:r>
    </w:p>
    <w:p w14:paraId="3FD748F5" w14:textId="6E380F08" w:rsidR="004E5D1D" w:rsidRPr="00616EE1" w:rsidRDefault="00302A3F" w:rsidP="00CE37C6">
      <w:pPr>
        <w:spacing w:before="120" w:after="120"/>
        <w:jc w:val="both"/>
        <w:rPr>
          <w:rFonts w:ascii="CAIXA Std Book" w:hAnsi="CAIXA Std Book"/>
          <w:color w:val="005CA9"/>
        </w:rPr>
      </w:pPr>
      <w:r w:rsidRPr="00D6075F">
        <w:rPr>
          <w:rFonts w:ascii="CAIXA Std Book" w:hAnsi="CAIXA Std Book"/>
          <w:color w:val="005CA9"/>
          <w:sz w:val="20"/>
          <w:szCs w:val="20"/>
        </w:rPr>
        <w:t xml:space="preserve">Assim, sopesando a baixa probabilidade de ressarcimentos desses valores pelos Agentes Financeiros cedentes, haja vista o tempo decorrido e o histórico de ações judiciais em andamento, decidiu-se pela aplicação do </w:t>
      </w:r>
      <w:r w:rsidRPr="000E14A2">
        <w:rPr>
          <w:rFonts w:ascii="CAIXA Std Book" w:hAnsi="CAIXA Std Book"/>
          <w:i/>
          <w:iCs/>
          <w:color w:val="005CA9"/>
          <w:sz w:val="20"/>
          <w:szCs w:val="20"/>
        </w:rPr>
        <w:t>impairment</w:t>
      </w:r>
      <w:r w:rsidRPr="00D6075F">
        <w:rPr>
          <w:rFonts w:ascii="CAIXA Std Book" w:hAnsi="CAIXA Std Book"/>
          <w:color w:val="005CA9"/>
          <w:sz w:val="20"/>
          <w:szCs w:val="20"/>
        </w:rPr>
        <w:t> sobre a totalidade dos créditos (R$ 2.315.019).</w:t>
      </w:r>
    </w:p>
    <w:p w14:paraId="772E7BE1" w14:textId="0B07A87C" w:rsidR="005664DE" w:rsidRPr="00FF4346" w:rsidRDefault="005664DE" w:rsidP="00B37B40">
      <w:pPr>
        <w:pStyle w:val="PargrafodaLista"/>
        <w:numPr>
          <w:ilvl w:val="0"/>
          <w:numId w:val="17"/>
        </w:numPr>
        <w:spacing w:before="480" w:after="240"/>
        <w:ind w:left="567" w:hanging="567"/>
        <w:contextualSpacing w:val="0"/>
        <w:rPr>
          <w:rStyle w:val="Nmerodepgina"/>
          <w:rFonts w:ascii="CAIXA Std Book" w:hAnsi="CAIXA Std Book" w:cs="Arial Unicode MS"/>
          <w:b/>
          <w:color w:val="005CA9"/>
          <w:sz w:val="20"/>
          <w:szCs w:val="20"/>
        </w:rPr>
      </w:pPr>
      <w:r w:rsidRPr="00FF4346">
        <w:rPr>
          <w:rStyle w:val="Nmerodepgina"/>
          <w:rFonts w:ascii="CAIXA Std Book" w:hAnsi="CAIXA Std Book" w:cs="Arial Unicode MS"/>
          <w:b/>
          <w:color w:val="005CA9"/>
          <w:sz w:val="20"/>
          <w:szCs w:val="20"/>
        </w:rPr>
        <w:t>Créditos Vinculados - Sistema Financeiro da Habitação (SFH)</w:t>
      </w:r>
    </w:p>
    <w:p w14:paraId="0C95B304" w14:textId="2F8C44EF" w:rsidR="00254FD0" w:rsidRDefault="00254FD0" w:rsidP="00254FD0">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O FCVS é um fundo público de natureza contábil e financeira, criado no âmbito do Sistema Financeiro da Habitação (SFH) </w:t>
      </w:r>
      <w:r w:rsidR="00753CFD" w:rsidRPr="00FF4346">
        <w:rPr>
          <w:rFonts w:ascii="CAIXA Std Book" w:hAnsi="CAIXA Std Book"/>
          <w:color w:val="005CA9"/>
          <w:sz w:val="20"/>
          <w:szCs w:val="20"/>
        </w:rPr>
        <w:t>pela Resolução nº 25</w:t>
      </w:r>
      <w:r w:rsidRPr="00FF4346">
        <w:rPr>
          <w:rFonts w:ascii="CAIXA Std Book" w:hAnsi="CAIXA Std Book"/>
          <w:color w:val="005CA9"/>
          <w:sz w:val="20"/>
          <w:szCs w:val="20"/>
        </w:rPr>
        <w:t xml:space="preserve"> de </w:t>
      </w:r>
      <w:r w:rsidR="00753CFD" w:rsidRPr="00FF4346">
        <w:rPr>
          <w:rFonts w:ascii="CAIXA Std Book" w:hAnsi="CAIXA Std Book"/>
          <w:color w:val="005CA9"/>
          <w:sz w:val="20"/>
          <w:szCs w:val="20"/>
        </w:rPr>
        <w:t>1967 do Conselho</w:t>
      </w:r>
      <w:r w:rsidRPr="00FF4346">
        <w:rPr>
          <w:rFonts w:ascii="CAIXA Std Book" w:hAnsi="CAIXA Std Book"/>
          <w:color w:val="005CA9"/>
          <w:sz w:val="20"/>
          <w:szCs w:val="20"/>
        </w:rPr>
        <w:t xml:space="preserve"> de </w:t>
      </w:r>
      <w:r w:rsidR="00753CFD" w:rsidRPr="00FF4346">
        <w:rPr>
          <w:rFonts w:ascii="CAIXA Std Book" w:hAnsi="CAIXA Std Book"/>
          <w:color w:val="005CA9"/>
          <w:sz w:val="20"/>
          <w:szCs w:val="20"/>
        </w:rPr>
        <w:t>Administração do BNH (Banco Nacional</w:t>
      </w:r>
      <w:r w:rsidRPr="00FF4346">
        <w:rPr>
          <w:rFonts w:ascii="CAIXA Std Book" w:hAnsi="CAIXA Std Book"/>
          <w:color w:val="005CA9"/>
          <w:sz w:val="20"/>
          <w:szCs w:val="20"/>
        </w:rPr>
        <w:t xml:space="preserve"> de </w:t>
      </w:r>
      <w:r w:rsidR="00753CFD" w:rsidRPr="00FF4346">
        <w:rPr>
          <w:rFonts w:ascii="CAIXA Std Book" w:hAnsi="CAIXA Std Book"/>
          <w:color w:val="005CA9"/>
          <w:sz w:val="20"/>
          <w:szCs w:val="20"/>
        </w:rPr>
        <w:t>Habitação).</w:t>
      </w:r>
    </w:p>
    <w:p w14:paraId="43CD02EE" w14:textId="77777777" w:rsidR="00F473DA" w:rsidRPr="00692C83" w:rsidRDefault="00F473DA" w:rsidP="00F473DA">
      <w:pPr>
        <w:spacing w:before="120" w:after="120"/>
        <w:jc w:val="both"/>
        <w:rPr>
          <w:rFonts w:ascii="CAIXA Std Book" w:hAnsi="CAIXA Std Book"/>
          <w:color w:val="005CA9"/>
          <w:sz w:val="20"/>
          <w:szCs w:val="20"/>
        </w:rPr>
      </w:pPr>
      <w:r w:rsidRPr="00692C83">
        <w:rPr>
          <w:rFonts w:ascii="CAIXA Std Book" w:hAnsi="CAIXA Std Book"/>
          <w:color w:val="005CA9"/>
          <w:sz w:val="20"/>
          <w:szCs w:val="20"/>
        </w:rPr>
        <w:lastRenderedPageBreak/>
        <w:t>O FCVS para cumprir a sua primeira finalidade que é a liquidação do saldo devedor, possibilitou a contratação de financiamentos até 24/04/1993 e, para a segunda finalidade, que é o oferecimento de cobertura direta a contratos de financiamento habitacional averbados na Apólice Pública do SH/SFH até 31/12/2009. </w:t>
      </w:r>
    </w:p>
    <w:p w14:paraId="5CF1F823" w14:textId="78786683" w:rsidR="00254FD0" w:rsidRPr="00FF4346" w:rsidRDefault="00254FD0" w:rsidP="00254FD0">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Destaca-se que o FCVS se relaciona exclusivamente com o agente financeiro, visto que a habilitação somente ocorre após cessada a relação do mutuário com a instituição financiadora do contrato. Assim, eventuais inconformidades relacionadas a um contrato habitacional com cobertura do FCVS, tais como a inobservância da legislação pertinente ou inconformidades identificadas na concessão ou manutenção do contrato, pelo agente financeiro, podem acarretar negativas de cobertura pelo agente operador do FCVS, o que implica em perdas para o agente financeiro.</w:t>
      </w:r>
    </w:p>
    <w:p w14:paraId="6D25AFCA" w14:textId="4EC2A69B" w:rsidR="00162420" w:rsidRPr="00FF4346" w:rsidRDefault="00674DA4" w:rsidP="005F7C47">
      <w:pPr>
        <w:spacing w:after="240"/>
        <w:jc w:val="both"/>
        <w:rPr>
          <w:rFonts w:ascii="CAIXA Std Book" w:hAnsi="CAIXA Std Book"/>
          <w:color w:val="005CA9"/>
          <w:sz w:val="20"/>
          <w:szCs w:val="20"/>
        </w:rPr>
      </w:pPr>
      <w:r w:rsidRPr="00FF4346">
        <w:rPr>
          <w:rFonts w:ascii="CAIXA Std Book" w:hAnsi="CAIXA Std Book"/>
          <w:color w:val="005CA9"/>
          <w:sz w:val="20"/>
          <w:szCs w:val="20"/>
        </w:rPr>
        <w:t>O quadro abaixo inclui</w:t>
      </w:r>
      <w:r w:rsidR="00CD4045" w:rsidRPr="00FF4346">
        <w:rPr>
          <w:rFonts w:ascii="CAIXA Std Book" w:hAnsi="CAIXA Std Book"/>
          <w:color w:val="005CA9"/>
          <w:sz w:val="20"/>
          <w:szCs w:val="20"/>
        </w:rPr>
        <w:t xml:space="preserve"> os status</w:t>
      </w:r>
      <w:r w:rsidR="00A628DF" w:rsidRPr="00FF4346">
        <w:rPr>
          <w:rFonts w:ascii="CAIXA Std Book" w:hAnsi="CAIXA Std Book"/>
          <w:color w:val="005CA9"/>
          <w:sz w:val="20"/>
          <w:szCs w:val="20"/>
        </w:rPr>
        <w:t xml:space="preserve"> nas quais </w:t>
      </w:r>
      <w:r w:rsidR="00254B8B" w:rsidRPr="00FF4346">
        <w:rPr>
          <w:rFonts w:ascii="CAIXA Std Book" w:hAnsi="CAIXA Std Book"/>
          <w:color w:val="005CA9"/>
          <w:sz w:val="20"/>
          <w:szCs w:val="20"/>
        </w:rPr>
        <w:t>se encontram os processos</w:t>
      </w:r>
      <w:r w:rsidR="00591E74" w:rsidRPr="00FF4346">
        <w:rPr>
          <w:rFonts w:ascii="CAIXA Std Book" w:hAnsi="CAIXA Std Book"/>
          <w:color w:val="005CA9"/>
          <w:sz w:val="20"/>
          <w:szCs w:val="20"/>
        </w:rPr>
        <w:t>,</w:t>
      </w:r>
      <w:r w:rsidR="006952D3" w:rsidRPr="00FF4346">
        <w:rPr>
          <w:rFonts w:ascii="CAIXA Std Book" w:hAnsi="CAIXA Std Book"/>
          <w:color w:val="005CA9"/>
          <w:sz w:val="20"/>
          <w:szCs w:val="20"/>
        </w:rPr>
        <w:t xml:space="preserve"> </w:t>
      </w:r>
      <w:r w:rsidR="006011CC" w:rsidRPr="00FF4346">
        <w:rPr>
          <w:rFonts w:ascii="CAIXA Std Book" w:hAnsi="CAIXA Std Book"/>
          <w:color w:val="005CA9"/>
          <w:sz w:val="20"/>
          <w:szCs w:val="20"/>
        </w:rPr>
        <w:t>objeto de novação</w:t>
      </w:r>
      <w:r w:rsidR="00E1466D" w:rsidRPr="00FF4346">
        <w:rPr>
          <w:rFonts w:ascii="CAIXA Std Book" w:hAnsi="CAIXA Std Book"/>
          <w:color w:val="005CA9"/>
          <w:sz w:val="20"/>
          <w:szCs w:val="20"/>
        </w:rPr>
        <w:t xml:space="preserve"> com o </w:t>
      </w:r>
      <w:r w:rsidR="00775CB2" w:rsidRPr="00FF4346">
        <w:rPr>
          <w:rFonts w:ascii="CAIXA Std Book" w:hAnsi="CAIXA Std Book"/>
          <w:color w:val="005CA9"/>
          <w:sz w:val="20"/>
          <w:szCs w:val="20"/>
        </w:rPr>
        <w:t>fundo</w:t>
      </w:r>
      <w:r w:rsidR="00823B98" w:rsidRPr="00FF4346">
        <w:rPr>
          <w:rFonts w:ascii="CAIXA Std Book" w:hAnsi="CAIXA Std Book"/>
          <w:color w:val="005CA9"/>
          <w:sz w:val="20"/>
          <w:szCs w:val="20"/>
        </w:rPr>
        <w:t>:</w:t>
      </w:r>
    </w:p>
    <w:p w14:paraId="297540A3" w14:textId="7EF40DB3" w:rsidR="001B1CB3" w:rsidRPr="00FF4346" w:rsidRDefault="001B1CB3" w:rsidP="00B37B40">
      <w:pPr>
        <w:pStyle w:val="PargrafodaLista"/>
        <w:numPr>
          <w:ilvl w:val="0"/>
          <w:numId w:val="21"/>
        </w:numPr>
        <w:tabs>
          <w:tab w:val="left" w:pos="1650"/>
        </w:tabs>
        <w:spacing w:before="120" w:after="120"/>
        <w:ind w:left="426" w:hanging="426"/>
        <w:contextualSpacing w:val="0"/>
        <w:jc w:val="both"/>
        <w:rPr>
          <w:rFonts w:ascii="CAIXA Std Book" w:hAnsi="CAIXA Std Book"/>
          <w:color w:val="005CA9"/>
          <w:sz w:val="20"/>
          <w:szCs w:val="20"/>
        </w:rPr>
      </w:pPr>
      <w:r w:rsidRPr="00FF4346">
        <w:rPr>
          <w:rFonts w:ascii="CAIXA Std Book" w:hAnsi="CAIXA Std Book"/>
          <w:color w:val="005CA9"/>
          <w:sz w:val="20"/>
          <w:szCs w:val="20"/>
        </w:rPr>
        <w:t>Habilitado - Cadastro do contrato pel</w:t>
      </w:r>
      <w:r w:rsidR="000B0963" w:rsidRPr="00FF4346">
        <w:rPr>
          <w:rFonts w:ascii="CAIXA Std Book" w:hAnsi="CAIXA Std Book"/>
          <w:color w:val="005CA9"/>
          <w:sz w:val="20"/>
          <w:szCs w:val="20"/>
        </w:rPr>
        <w:t>a CAIXA</w:t>
      </w:r>
      <w:r w:rsidRPr="00FF4346">
        <w:rPr>
          <w:rFonts w:ascii="CAIXA Std Book" w:hAnsi="CAIXA Std Book"/>
          <w:color w:val="005CA9"/>
          <w:sz w:val="20"/>
          <w:szCs w:val="20"/>
        </w:rPr>
        <w:t xml:space="preserve"> </w:t>
      </w:r>
      <w:r w:rsidR="000B0963" w:rsidRPr="00FF4346">
        <w:rPr>
          <w:rFonts w:ascii="CAIXA Std Book" w:hAnsi="CAIXA Std Book"/>
          <w:color w:val="005CA9"/>
          <w:sz w:val="20"/>
          <w:szCs w:val="20"/>
        </w:rPr>
        <w:t>a</w:t>
      </w:r>
      <w:r w:rsidRPr="00FF4346">
        <w:rPr>
          <w:rFonts w:ascii="CAIXA Std Book" w:hAnsi="CAIXA Std Book"/>
          <w:color w:val="005CA9"/>
          <w:sz w:val="20"/>
          <w:szCs w:val="20"/>
        </w:rPr>
        <w:t xml:space="preserve">gente </w:t>
      </w:r>
      <w:r w:rsidR="000B0963" w:rsidRPr="00FF4346">
        <w:rPr>
          <w:rFonts w:ascii="CAIXA Std Book" w:hAnsi="CAIXA Std Book"/>
          <w:color w:val="005CA9"/>
          <w:sz w:val="20"/>
          <w:szCs w:val="20"/>
        </w:rPr>
        <w:t>f</w:t>
      </w:r>
      <w:r w:rsidRPr="00FF4346">
        <w:rPr>
          <w:rFonts w:ascii="CAIXA Std Book" w:hAnsi="CAIXA Std Book"/>
          <w:color w:val="005CA9"/>
          <w:sz w:val="20"/>
          <w:szCs w:val="20"/>
        </w:rPr>
        <w:t xml:space="preserve">inanceiro junto ao sistema do </w:t>
      </w:r>
      <w:r w:rsidR="00C13EDF" w:rsidRPr="00FF4346">
        <w:rPr>
          <w:rFonts w:ascii="CAIXA Std Book" w:hAnsi="CAIXA Std Book"/>
          <w:color w:val="005CA9"/>
          <w:sz w:val="20"/>
          <w:szCs w:val="20"/>
        </w:rPr>
        <w:t>FCVS</w:t>
      </w:r>
      <w:r w:rsidR="000B0963" w:rsidRPr="00FF4346">
        <w:rPr>
          <w:rFonts w:ascii="CAIXA Std Book" w:hAnsi="CAIXA Std Book"/>
          <w:color w:val="005CA9"/>
          <w:sz w:val="20"/>
          <w:szCs w:val="20"/>
        </w:rPr>
        <w:t xml:space="preserve"> (CAIXA </w:t>
      </w:r>
      <w:r w:rsidRPr="00FF4346">
        <w:rPr>
          <w:rFonts w:ascii="CAIXA Std Book" w:hAnsi="CAIXA Std Book"/>
          <w:color w:val="005CA9"/>
          <w:sz w:val="20"/>
          <w:szCs w:val="20"/>
        </w:rPr>
        <w:t>Agente Operador</w:t>
      </w:r>
      <w:r w:rsidR="000B0963" w:rsidRPr="00FF4346">
        <w:rPr>
          <w:rFonts w:ascii="CAIXA Std Book" w:hAnsi="CAIXA Std Book"/>
          <w:color w:val="005CA9"/>
          <w:sz w:val="20"/>
          <w:szCs w:val="20"/>
        </w:rPr>
        <w:t>)</w:t>
      </w:r>
      <w:r w:rsidRPr="00FF4346">
        <w:rPr>
          <w:rFonts w:ascii="CAIXA Std Book" w:hAnsi="CAIXA Std Book"/>
          <w:color w:val="005CA9"/>
          <w:sz w:val="20"/>
          <w:szCs w:val="20"/>
        </w:rPr>
        <w:t>;</w:t>
      </w:r>
    </w:p>
    <w:p w14:paraId="39123049" w14:textId="56A3D0FF" w:rsidR="00D31C30" w:rsidRPr="00FF4346" w:rsidRDefault="00D31C30" w:rsidP="00B37B40">
      <w:pPr>
        <w:pStyle w:val="PargrafodaLista"/>
        <w:numPr>
          <w:ilvl w:val="0"/>
          <w:numId w:val="21"/>
        </w:numPr>
        <w:tabs>
          <w:tab w:val="left" w:pos="1650"/>
        </w:tabs>
        <w:spacing w:before="120" w:after="120"/>
        <w:ind w:left="426" w:hanging="426"/>
        <w:contextualSpacing w:val="0"/>
        <w:jc w:val="both"/>
        <w:rPr>
          <w:rFonts w:ascii="CAIXA Std Book" w:eastAsiaTheme="minorEastAsia" w:hAnsi="CAIXA Std Book" w:cstheme="minorBidi"/>
          <w:color w:val="005CA9"/>
          <w:sz w:val="20"/>
          <w:szCs w:val="20"/>
          <w:lang w:eastAsia="en-US"/>
        </w:rPr>
      </w:pPr>
      <w:r w:rsidRPr="00FF4346">
        <w:rPr>
          <w:rFonts w:ascii="CAIXA Std Book" w:eastAsiaTheme="minorEastAsia" w:hAnsi="CAIXA Std Book" w:cstheme="minorBidi"/>
          <w:color w:val="005CA9"/>
          <w:sz w:val="20"/>
          <w:szCs w:val="20"/>
          <w:lang w:eastAsia="en-US"/>
        </w:rPr>
        <w:t>Não habilitado</w:t>
      </w:r>
      <w:r w:rsidR="007D62A2" w:rsidRPr="00FF4346">
        <w:rPr>
          <w:rFonts w:ascii="CAIXA Std Book" w:eastAsiaTheme="minorEastAsia" w:hAnsi="CAIXA Std Book" w:cstheme="minorBidi"/>
          <w:color w:val="005CA9"/>
          <w:sz w:val="20"/>
          <w:szCs w:val="20"/>
          <w:lang w:eastAsia="en-US"/>
        </w:rPr>
        <w:t xml:space="preserve"> </w:t>
      </w:r>
      <w:r w:rsidR="00195420" w:rsidRPr="00FF4346">
        <w:rPr>
          <w:rFonts w:ascii="CAIXA Std Book" w:eastAsiaTheme="minorEastAsia" w:hAnsi="CAIXA Std Book" w:cstheme="minorBidi"/>
          <w:color w:val="005CA9"/>
          <w:sz w:val="20"/>
          <w:szCs w:val="20"/>
          <w:lang w:eastAsia="en-US"/>
        </w:rPr>
        <w:t>–</w:t>
      </w:r>
      <w:r w:rsidR="007D62A2" w:rsidRPr="00FF4346">
        <w:rPr>
          <w:rFonts w:ascii="CAIXA Std Book" w:eastAsiaTheme="minorEastAsia" w:hAnsi="CAIXA Std Book" w:cstheme="minorBidi"/>
          <w:color w:val="005CA9"/>
          <w:sz w:val="20"/>
          <w:szCs w:val="20"/>
          <w:lang w:eastAsia="en-US"/>
        </w:rPr>
        <w:t xml:space="preserve"> </w:t>
      </w:r>
      <w:r w:rsidR="00195420" w:rsidRPr="00FF4346">
        <w:rPr>
          <w:rFonts w:ascii="CAIXA Std Book" w:eastAsiaTheme="minorEastAsia" w:hAnsi="CAIXA Std Book" w:cstheme="minorBidi"/>
          <w:color w:val="005CA9"/>
          <w:sz w:val="20"/>
          <w:szCs w:val="20"/>
          <w:lang w:eastAsia="en-US"/>
        </w:rPr>
        <w:t>Contratos em análise pela CAIXA Agente Financeiro para os procedimentos de habilitação junto ao FCVS</w:t>
      </w:r>
      <w:r w:rsidR="00B648D8" w:rsidRPr="00FF4346">
        <w:rPr>
          <w:rFonts w:ascii="CAIXA Std Book" w:eastAsiaTheme="minorEastAsia" w:hAnsi="CAIXA Std Book" w:cstheme="minorBidi"/>
          <w:color w:val="005CA9"/>
          <w:sz w:val="20"/>
          <w:szCs w:val="20"/>
          <w:lang w:eastAsia="en-US"/>
        </w:rPr>
        <w:t>;</w:t>
      </w:r>
    </w:p>
    <w:p w14:paraId="3C685916" w14:textId="33355BF0" w:rsidR="00D31C30" w:rsidRPr="00FF4346" w:rsidRDefault="00D31C30" w:rsidP="00B37B40">
      <w:pPr>
        <w:pStyle w:val="PargrafodaLista"/>
        <w:numPr>
          <w:ilvl w:val="0"/>
          <w:numId w:val="21"/>
        </w:numPr>
        <w:tabs>
          <w:tab w:val="left" w:pos="1650"/>
        </w:tabs>
        <w:spacing w:before="120" w:after="120"/>
        <w:ind w:left="426" w:hanging="426"/>
        <w:contextualSpacing w:val="0"/>
        <w:jc w:val="both"/>
        <w:rPr>
          <w:rFonts w:ascii="CAIXA Std Book" w:eastAsiaTheme="minorEastAsia" w:hAnsi="CAIXA Std Book" w:cstheme="minorBidi"/>
          <w:color w:val="005CA9"/>
          <w:sz w:val="20"/>
          <w:szCs w:val="20"/>
          <w:lang w:eastAsia="en-US"/>
        </w:rPr>
      </w:pPr>
      <w:r w:rsidRPr="00FF4346">
        <w:rPr>
          <w:rFonts w:ascii="CAIXA Std Book" w:eastAsiaTheme="minorEastAsia" w:hAnsi="CAIXA Std Book" w:cstheme="minorBidi"/>
          <w:color w:val="005CA9"/>
          <w:sz w:val="20"/>
          <w:szCs w:val="20"/>
          <w:lang w:eastAsia="en-US"/>
        </w:rPr>
        <w:t>Habilitado e não homologado</w:t>
      </w:r>
      <w:r w:rsidR="007D62A2" w:rsidRPr="00FF4346">
        <w:rPr>
          <w:rFonts w:ascii="CAIXA Std Book" w:eastAsiaTheme="minorEastAsia" w:hAnsi="CAIXA Std Book" w:cstheme="minorBidi"/>
          <w:color w:val="005CA9"/>
          <w:sz w:val="20"/>
          <w:szCs w:val="20"/>
          <w:lang w:eastAsia="en-US"/>
        </w:rPr>
        <w:t xml:space="preserve"> </w:t>
      </w:r>
      <w:r w:rsidR="00B648D8" w:rsidRPr="00FF4346">
        <w:rPr>
          <w:rFonts w:ascii="CAIXA Std Book" w:eastAsiaTheme="minorEastAsia" w:hAnsi="CAIXA Std Book" w:cstheme="minorBidi"/>
          <w:color w:val="005CA9"/>
          <w:sz w:val="20"/>
          <w:szCs w:val="20"/>
          <w:lang w:eastAsia="en-US"/>
        </w:rPr>
        <w:t>–</w:t>
      </w:r>
      <w:r w:rsidR="007D62A2" w:rsidRPr="00FF4346">
        <w:rPr>
          <w:rFonts w:ascii="CAIXA Std Book" w:eastAsiaTheme="minorEastAsia" w:hAnsi="CAIXA Std Book" w:cstheme="minorBidi"/>
          <w:color w:val="005CA9"/>
          <w:sz w:val="20"/>
          <w:szCs w:val="20"/>
          <w:lang w:eastAsia="en-US"/>
        </w:rPr>
        <w:t xml:space="preserve"> </w:t>
      </w:r>
      <w:r w:rsidR="00B648D8" w:rsidRPr="00FF4346">
        <w:rPr>
          <w:rFonts w:ascii="CAIXA Std Book" w:eastAsiaTheme="minorEastAsia" w:hAnsi="CAIXA Std Book" w:cstheme="minorBidi"/>
          <w:color w:val="005CA9"/>
          <w:sz w:val="20"/>
          <w:szCs w:val="20"/>
          <w:lang w:eastAsia="en-US"/>
        </w:rPr>
        <w:t xml:space="preserve">Contratos </w:t>
      </w:r>
      <w:r w:rsidR="001B1CB3" w:rsidRPr="00FF4346">
        <w:rPr>
          <w:rFonts w:ascii="CAIXA Std Book" w:eastAsiaTheme="minorEastAsia" w:hAnsi="CAIXA Std Book" w:cstheme="minorBidi"/>
          <w:color w:val="005CA9"/>
          <w:sz w:val="20"/>
          <w:szCs w:val="20"/>
          <w:lang w:eastAsia="en-US"/>
        </w:rPr>
        <w:t>habilitados e</w:t>
      </w:r>
      <w:r w:rsidR="00B648D8" w:rsidRPr="00FF4346">
        <w:rPr>
          <w:rFonts w:ascii="CAIXA Std Book" w:eastAsiaTheme="minorEastAsia" w:hAnsi="CAIXA Std Book" w:cstheme="minorBidi"/>
          <w:color w:val="005CA9"/>
          <w:sz w:val="20"/>
          <w:szCs w:val="20"/>
          <w:lang w:eastAsia="en-US"/>
        </w:rPr>
        <w:t xml:space="preserve"> ainda não analisados pel</w:t>
      </w:r>
      <w:r w:rsidR="00D319ED" w:rsidRPr="00FF4346">
        <w:rPr>
          <w:rFonts w:ascii="CAIXA Std Book" w:eastAsiaTheme="minorEastAsia" w:hAnsi="CAIXA Std Book" w:cstheme="minorBidi"/>
          <w:color w:val="005CA9"/>
          <w:sz w:val="20"/>
          <w:szCs w:val="20"/>
          <w:lang w:eastAsia="en-US"/>
        </w:rPr>
        <w:t>o</w:t>
      </w:r>
      <w:r w:rsidR="00443DE3" w:rsidRPr="00FF4346">
        <w:rPr>
          <w:rFonts w:ascii="CAIXA Std Book" w:eastAsiaTheme="minorEastAsia" w:hAnsi="CAIXA Std Book" w:cstheme="minorBidi"/>
          <w:color w:val="005CA9"/>
          <w:sz w:val="20"/>
          <w:szCs w:val="20"/>
          <w:lang w:eastAsia="en-US"/>
        </w:rPr>
        <w:t xml:space="preserve"> FCVS;</w:t>
      </w:r>
    </w:p>
    <w:p w14:paraId="766041EA" w14:textId="3E3EF2D4" w:rsidR="001B1CB3" w:rsidRPr="00FF4346" w:rsidRDefault="009F643F" w:rsidP="00B37B40">
      <w:pPr>
        <w:pStyle w:val="PargrafodaLista"/>
        <w:numPr>
          <w:ilvl w:val="0"/>
          <w:numId w:val="21"/>
        </w:numPr>
        <w:tabs>
          <w:tab w:val="left" w:pos="1650"/>
        </w:tabs>
        <w:spacing w:before="120" w:after="120"/>
        <w:ind w:left="426" w:hanging="426"/>
        <w:contextualSpacing w:val="0"/>
        <w:jc w:val="both"/>
        <w:rPr>
          <w:rFonts w:ascii="CAIXA Std Book" w:eastAsiaTheme="minorEastAsia" w:hAnsi="CAIXA Std Book" w:cstheme="minorBidi"/>
          <w:color w:val="005CA9"/>
          <w:sz w:val="20"/>
          <w:szCs w:val="20"/>
          <w:lang w:eastAsia="en-US"/>
        </w:rPr>
      </w:pPr>
      <w:r w:rsidRPr="00FF4346">
        <w:rPr>
          <w:rFonts w:ascii="CAIXA Std Book" w:eastAsiaTheme="minorEastAsia" w:hAnsi="CAIXA Std Book" w:cstheme="minorBidi"/>
          <w:color w:val="005CA9"/>
          <w:sz w:val="20"/>
          <w:szCs w:val="20"/>
          <w:lang w:eastAsia="en-US"/>
        </w:rPr>
        <w:t>Homologado com re</w:t>
      </w:r>
      <w:r w:rsidR="007E767C" w:rsidRPr="00FF4346">
        <w:rPr>
          <w:rFonts w:ascii="CAIXA Std Book" w:eastAsiaTheme="minorEastAsia" w:hAnsi="CAIXA Std Book" w:cstheme="minorBidi"/>
          <w:color w:val="005CA9"/>
          <w:sz w:val="20"/>
          <w:szCs w:val="20"/>
          <w:lang w:eastAsia="en-US"/>
        </w:rPr>
        <w:t>c</w:t>
      </w:r>
      <w:r w:rsidRPr="00FF4346">
        <w:rPr>
          <w:rFonts w:ascii="CAIXA Std Book" w:eastAsiaTheme="minorEastAsia" w:hAnsi="CAIXA Std Book" w:cstheme="minorBidi"/>
          <w:color w:val="005CA9"/>
          <w:sz w:val="20"/>
          <w:szCs w:val="20"/>
          <w:lang w:eastAsia="en-US"/>
        </w:rPr>
        <w:t>urso – Contratos com re</w:t>
      </w:r>
      <w:r w:rsidR="007E767C" w:rsidRPr="00FF4346">
        <w:rPr>
          <w:rFonts w:ascii="CAIXA Std Book" w:eastAsiaTheme="minorEastAsia" w:hAnsi="CAIXA Std Book" w:cstheme="minorBidi"/>
          <w:color w:val="005CA9"/>
          <w:sz w:val="20"/>
          <w:szCs w:val="20"/>
          <w:lang w:eastAsia="en-US"/>
        </w:rPr>
        <w:t>cur</w:t>
      </w:r>
      <w:r w:rsidRPr="00FF4346">
        <w:rPr>
          <w:rFonts w:ascii="CAIXA Std Book" w:eastAsiaTheme="minorEastAsia" w:hAnsi="CAIXA Std Book" w:cstheme="minorBidi"/>
          <w:color w:val="005CA9"/>
          <w:sz w:val="20"/>
          <w:szCs w:val="20"/>
          <w:lang w:eastAsia="en-US"/>
        </w:rPr>
        <w:t xml:space="preserve">so emitido pela CAIXA agente </w:t>
      </w:r>
      <w:r w:rsidR="00E2192E" w:rsidRPr="00FF4346">
        <w:rPr>
          <w:rFonts w:ascii="CAIXA Std Book" w:eastAsiaTheme="minorEastAsia" w:hAnsi="CAIXA Std Book" w:cstheme="minorBidi"/>
          <w:color w:val="005CA9"/>
          <w:sz w:val="20"/>
          <w:szCs w:val="20"/>
          <w:lang w:eastAsia="en-US"/>
        </w:rPr>
        <w:t>f</w:t>
      </w:r>
      <w:r w:rsidR="007E767C" w:rsidRPr="00FF4346">
        <w:rPr>
          <w:rFonts w:ascii="CAIXA Std Book" w:eastAsiaTheme="minorEastAsia" w:hAnsi="CAIXA Std Book" w:cstheme="minorBidi"/>
          <w:color w:val="005CA9"/>
          <w:sz w:val="20"/>
          <w:szCs w:val="20"/>
          <w:lang w:eastAsia="en-US"/>
        </w:rPr>
        <w:t>inanceiro e ainda não analisados pel</w:t>
      </w:r>
      <w:r w:rsidR="00D319ED" w:rsidRPr="00FF4346">
        <w:rPr>
          <w:rFonts w:ascii="CAIXA Std Book" w:eastAsiaTheme="minorEastAsia" w:hAnsi="CAIXA Std Book" w:cstheme="minorBidi"/>
          <w:color w:val="005CA9"/>
          <w:sz w:val="20"/>
          <w:szCs w:val="20"/>
          <w:lang w:eastAsia="en-US"/>
        </w:rPr>
        <w:t>o</w:t>
      </w:r>
      <w:r w:rsidR="007E767C" w:rsidRPr="00FF4346">
        <w:rPr>
          <w:rFonts w:ascii="CAIXA Std Book" w:eastAsiaTheme="minorEastAsia" w:hAnsi="CAIXA Std Book" w:cstheme="minorBidi"/>
          <w:color w:val="005CA9"/>
          <w:sz w:val="20"/>
          <w:szCs w:val="20"/>
          <w:lang w:eastAsia="en-US"/>
        </w:rPr>
        <w:t xml:space="preserve"> FCVS</w:t>
      </w:r>
      <w:r w:rsidR="00173E8A" w:rsidRPr="00FF4346">
        <w:rPr>
          <w:rFonts w:ascii="CAIXA Std Book" w:eastAsiaTheme="minorEastAsia" w:hAnsi="CAIXA Std Book" w:cstheme="minorBidi"/>
          <w:color w:val="005CA9"/>
          <w:sz w:val="20"/>
          <w:szCs w:val="20"/>
          <w:lang w:eastAsia="en-US"/>
        </w:rPr>
        <w:t xml:space="preserve">, com </w:t>
      </w:r>
      <w:r w:rsidR="007E767C" w:rsidRPr="00FF4346">
        <w:rPr>
          <w:rFonts w:ascii="CAIXA Std Book" w:eastAsiaTheme="minorEastAsia" w:hAnsi="CAIXA Std Book" w:cstheme="minorBidi"/>
          <w:color w:val="005CA9"/>
          <w:sz w:val="20"/>
          <w:szCs w:val="20"/>
          <w:lang w:eastAsia="en-US"/>
        </w:rPr>
        <w:t>divergência de valores;</w:t>
      </w:r>
    </w:p>
    <w:p w14:paraId="7BD3B3FD" w14:textId="25FFAA5F" w:rsidR="009F643F" w:rsidRPr="00FF4346" w:rsidRDefault="009F643F" w:rsidP="00B37B40">
      <w:pPr>
        <w:pStyle w:val="PargrafodaLista"/>
        <w:numPr>
          <w:ilvl w:val="0"/>
          <w:numId w:val="21"/>
        </w:numPr>
        <w:tabs>
          <w:tab w:val="left" w:pos="1650"/>
        </w:tabs>
        <w:spacing w:before="120" w:after="120"/>
        <w:ind w:left="426" w:hanging="426"/>
        <w:contextualSpacing w:val="0"/>
        <w:jc w:val="both"/>
        <w:rPr>
          <w:rFonts w:ascii="CAIXA Std Book" w:eastAsiaTheme="minorEastAsia" w:hAnsi="CAIXA Std Book" w:cstheme="minorBidi"/>
          <w:color w:val="005CA9"/>
          <w:sz w:val="20"/>
          <w:szCs w:val="20"/>
          <w:lang w:eastAsia="en-US"/>
        </w:rPr>
      </w:pPr>
      <w:r w:rsidRPr="00FF4346">
        <w:rPr>
          <w:rFonts w:ascii="CAIXA Std Book" w:eastAsiaTheme="minorEastAsia" w:hAnsi="CAIXA Std Book" w:cstheme="minorBidi"/>
          <w:color w:val="005CA9"/>
          <w:sz w:val="20"/>
          <w:szCs w:val="20"/>
          <w:lang w:eastAsia="en-US"/>
        </w:rPr>
        <w:t xml:space="preserve">Homologado sem recurso </w:t>
      </w:r>
      <w:r w:rsidR="00FA6B75" w:rsidRPr="00FF4346">
        <w:rPr>
          <w:rFonts w:ascii="CAIXA Std Book" w:eastAsiaTheme="minorEastAsia" w:hAnsi="CAIXA Std Book" w:cstheme="minorBidi"/>
          <w:color w:val="005CA9"/>
          <w:sz w:val="20"/>
          <w:szCs w:val="20"/>
          <w:lang w:eastAsia="en-US"/>
        </w:rPr>
        <w:t>–</w:t>
      </w:r>
      <w:r w:rsidRPr="00FF4346">
        <w:rPr>
          <w:rFonts w:ascii="CAIXA Std Book" w:eastAsiaTheme="minorEastAsia" w:hAnsi="CAIXA Std Book" w:cstheme="minorBidi"/>
          <w:color w:val="005CA9"/>
          <w:sz w:val="20"/>
          <w:szCs w:val="20"/>
          <w:lang w:eastAsia="en-US"/>
        </w:rPr>
        <w:t xml:space="preserve"> </w:t>
      </w:r>
      <w:r w:rsidR="00FA6B75" w:rsidRPr="00FF4346">
        <w:rPr>
          <w:rFonts w:ascii="CAIXA Std Book" w:eastAsiaTheme="minorEastAsia" w:hAnsi="CAIXA Std Book" w:cstheme="minorBidi"/>
          <w:color w:val="005CA9"/>
          <w:sz w:val="20"/>
          <w:szCs w:val="20"/>
          <w:lang w:eastAsia="en-US"/>
        </w:rPr>
        <w:t xml:space="preserve">Contratos em análise pela CAIXA </w:t>
      </w:r>
      <w:r w:rsidR="00173E8A" w:rsidRPr="00FF4346">
        <w:rPr>
          <w:rFonts w:ascii="CAIXA Std Book" w:eastAsiaTheme="minorEastAsia" w:hAnsi="CAIXA Std Book" w:cstheme="minorBidi"/>
          <w:color w:val="005CA9"/>
          <w:sz w:val="20"/>
          <w:szCs w:val="20"/>
          <w:lang w:eastAsia="en-US"/>
        </w:rPr>
        <w:t>a</w:t>
      </w:r>
      <w:r w:rsidR="00FA6B75" w:rsidRPr="00FF4346">
        <w:rPr>
          <w:rFonts w:ascii="CAIXA Std Book" w:eastAsiaTheme="minorEastAsia" w:hAnsi="CAIXA Std Book" w:cstheme="minorBidi"/>
          <w:color w:val="005CA9"/>
          <w:sz w:val="20"/>
          <w:szCs w:val="20"/>
          <w:lang w:eastAsia="en-US"/>
        </w:rPr>
        <w:t xml:space="preserve">gente </w:t>
      </w:r>
      <w:r w:rsidR="00173E8A" w:rsidRPr="00FF4346">
        <w:rPr>
          <w:rFonts w:ascii="CAIXA Std Book" w:eastAsiaTheme="minorEastAsia" w:hAnsi="CAIXA Std Book" w:cstheme="minorBidi"/>
          <w:color w:val="005CA9"/>
          <w:sz w:val="20"/>
          <w:szCs w:val="20"/>
          <w:lang w:eastAsia="en-US"/>
        </w:rPr>
        <w:t>f</w:t>
      </w:r>
      <w:r w:rsidR="00FA6B75" w:rsidRPr="00FF4346">
        <w:rPr>
          <w:rFonts w:ascii="CAIXA Std Book" w:eastAsiaTheme="minorEastAsia" w:hAnsi="CAIXA Std Book" w:cstheme="minorBidi"/>
          <w:color w:val="005CA9"/>
          <w:sz w:val="20"/>
          <w:szCs w:val="20"/>
          <w:lang w:eastAsia="en-US"/>
        </w:rPr>
        <w:t>inanceiro para validação junto ao FCVS</w:t>
      </w:r>
      <w:r w:rsidR="00F10DBA" w:rsidRPr="00FF4346">
        <w:rPr>
          <w:rFonts w:ascii="CAIXA Std Book" w:eastAsiaTheme="minorEastAsia" w:hAnsi="CAIXA Std Book" w:cstheme="minorBidi"/>
          <w:color w:val="005CA9"/>
          <w:sz w:val="20"/>
          <w:szCs w:val="20"/>
          <w:lang w:eastAsia="en-US"/>
        </w:rPr>
        <w:t>, para emissão ou não de recurso</w:t>
      </w:r>
      <w:r w:rsidR="005C6CD5" w:rsidRPr="00FF4346">
        <w:rPr>
          <w:rFonts w:ascii="CAIXA Std Book" w:eastAsiaTheme="minorEastAsia" w:hAnsi="CAIXA Std Book" w:cstheme="minorBidi"/>
          <w:color w:val="005CA9"/>
          <w:sz w:val="20"/>
          <w:szCs w:val="20"/>
          <w:lang w:eastAsia="en-US"/>
        </w:rPr>
        <w:t>;</w:t>
      </w:r>
    </w:p>
    <w:p w14:paraId="68B38A53" w14:textId="656C0F73" w:rsidR="004D6270" w:rsidRPr="00FF4346" w:rsidRDefault="005F783B" w:rsidP="00B37B40">
      <w:pPr>
        <w:pStyle w:val="PargrafodaLista"/>
        <w:numPr>
          <w:ilvl w:val="0"/>
          <w:numId w:val="21"/>
        </w:numPr>
        <w:tabs>
          <w:tab w:val="left" w:pos="1650"/>
        </w:tabs>
        <w:spacing w:before="240" w:after="240"/>
        <w:ind w:left="425" w:hanging="425"/>
        <w:contextualSpacing w:val="0"/>
        <w:jc w:val="both"/>
        <w:rPr>
          <w:rFonts w:ascii="CAIXA Std Book" w:hAnsi="CAIXA Std Book"/>
          <w:color w:val="005CA9"/>
          <w:sz w:val="20"/>
          <w:szCs w:val="20"/>
        </w:rPr>
      </w:pPr>
      <w:r w:rsidRPr="00FF4346">
        <w:rPr>
          <w:rFonts w:ascii="CAIXA Std Book" w:eastAsiaTheme="minorEastAsia" w:hAnsi="CAIXA Std Book" w:cstheme="minorBidi"/>
          <w:color w:val="005CA9"/>
          <w:sz w:val="20"/>
          <w:szCs w:val="20"/>
          <w:lang w:eastAsia="en-US"/>
        </w:rPr>
        <w:t>Negativa</w:t>
      </w:r>
      <w:r w:rsidRPr="00FF4346">
        <w:rPr>
          <w:rFonts w:ascii="CAIXA Std Book" w:hAnsi="CAIXA Std Book"/>
          <w:color w:val="005CA9"/>
          <w:sz w:val="20"/>
          <w:szCs w:val="20"/>
        </w:rPr>
        <w:t xml:space="preserve"> de cobertura</w:t>
      </w:r>
      <w:r w:rsidR="007D62A2" w:rsidRPr="00FF4346">
        <w:rPr>
          <w:rFonts w:ascii="CAIXA Std Book" w:hAnsi="CAIXA Std Book"/>
          <w:color w:val="005CA9"/>
          <w:sz w:val="20"/>
          <w:szCs w:val="20"/>
        </w:rPr>
        <w:t xml:space="preserve"> </w:t>
      </w:r>
      <w:r w:rsidR="00BB4EDB" w:rsidRPr="00FF4346">
        <w:rPr>
          <w:rFonts w:ascii="CAIXA Std Book" w:hAnsi="CAIXA Std Book"/>
          <w:color w:val="005CA9"/>
          <w:sz w:val="20"/>
          <w:szCs w:val="20"/>
        </w:rPr>
        <w:t>–</w:t>
      </w:r>
      <w:r w:rsidR="007D62A2" w:rsidRPr="00FF4346">
        <w:rPr>
          <w:rFonts w:ascii="CAIXA Std Book" w:hAnsi="CAIXA Std Book"/>
          <w:color w:val="005CA9"/>
          <w:sz w:val="20"/>
          <w:szCs w:val="20"/>
        </w:rPr>
        <w:t xml:space="preserve"> </w:t>
      </w:r>
      <w:r w:rsidR="00BB4EDB" w:rsidRPr="00FF4346">
        <w:rPr>
          <w:rFonts w:ascii="CAIXA Std Book" w:hAnsi="CAIXA Std Book"/>
          <w:color w:val="005CA9"/>
          <w:sz w:val="20"/>
          <w:szCs w:val="20"/>
        </w:rPr>
        <w:t xml:space="preserve">Contempla contratos com negativa de cobertura com e </w:t>
      </w:r>
      <w:r w:rsidR="00D319ED" w:rsidRPr="00FF4346">
        <w:rPr>
          <w:rFonts w:ascii="CAIXA Std Book" w:hAnsi="CAIXA Std Book"/>
          <w:color w:val="005CA9"/>
          <w:sz w:val="20"/>
          <w:szCs w:val="20"/>
        </w:rPr>
        <w:t>sem recurso</w:t>
      </w:r>
      <w:r w:rsidR="007E127C" w:rsidRPr="00FF4346">
        <w:rPr>
          <w:rFonts w:ascii="CAIXA Std Book" w:hAnsi="CAIXA Std Book"/>
          <w:color w:val="005CA9"/>
          <w:sz w:val="20"/>
          <w:szCs w:val="20"/>
        </w:rPr>
        <w:t xml:space="preserve">, e </w:t>
      </w:r>
      <w:r w:rsidR="00EF63DA" w:rsidRPr="00FF4346">
        <w:rPr>
          <w:rFonts w:ascii="CAIXA Std Book" w:hAnsi="CAIXA Std Book"/>
          <w:color w:val="005CA9"/>
          <w:sz w:val="20"/>
          <w:szCs w:val="20"/>
        </w:rPr>
        <w:t xml:space="preserve">contratos que </w:t>
      </w:r>
      <w:r w:rsidR="007E127C" w:rsidRPr="00FF4346">
        <w:rPr>
          <w:rFonts w:ascii="CAIXA Std Book" w:hAnsi="CAIXA Std Book"/>
          <w:color w:val="005CA9"/>
          <w:sz w:val="20"/>
          <w:szCs w:val="20"/>
        </w:rPr>
        <w:t xml:space="preserve">não </w:t>
      </w:r>
      <w:r w:rsidR="00EF63DA" w:rsidRPr="00FF4346">
        <w:rPr>
          <w:rFonts w:ascii="CAIXA Std Book" w:hAnsi="CAIXA Std Book"/>
          <w:color w:val="005CA9"/>
          <w:sz w:val="20"/>
          <w:szCs w:val="20"/>
        </w:rPr>
        <w:t>c</w:t>
      </w:r>
      <w:r w:rsidR="007E127C" w:rsidRPr="00FF4346">
        <w:rPr>
          <w:rFonts w:ascii="CAIXA Std Book" w:hAnsi="CAIXA Std Book"/>
          <w:color w:val="005CA9"/>
          <w:sz w:val="20"/>
          <w:szCs w:val="20"/>
        </w:rPr>
        <w:t>abe</w:t>
      </w:r>
      <w:r w:rsidR="00EF63DA" w:rsidRPr="00FF4346">
        <w:rPr>
          <w:rFonts w:ascii="CAIXA Std Book" w:hAnsi="CAIXA Std Book"/>
          <w:color w:val="005CA9"/>
          <w:sz w:val="20"/>
          <w:szCs w:val="20"/>
        </w:rPr>
        <w:t>m</w:t>
      </w:r>
      <w:r w:rsidR="007E127C" w:rsidRPr="00FF4346">
        <w:rPr>
          <w:rFonts w:ascii="CAIXA Std Book" w:hAnsi="CAIXA Std Book"/>
          <w:color w:val="005CA9"/>
          <w:sz w:val="20"/>
          <w:szCs w:val="20"/>
        </w:rPr>
        <w:t xml:space="preserve"> recurso</w:t>
      </w:r>
      <w:r w:rsidR="00EF63DA" w:rsidRPr="00FF4346">
        <w:rPr>
          <w:rFonts w:ascii="CAIXA Std Book" w:hAnsi="CAIXA Std Book"/>
          <w:color w:val="005CA9"/>
          <w:sz w:val="20"/>
          <w:szCs w:val="20"/>
        </w:rPr>
        <w:t xml:space="preserve"> pelo</w:t>
      </w:r>
      <w:r w:rsidR="00BB4B8D" w:rsidRPr="00FF4346">
        <w:rPr>
          <w:rFonts w:ascii="CAIXA Std Book" w:hAnsi="CAIXA Std Book"/>
          <w:color w:val="005CA9"/>
          <w:sz w:val="20"/>
          <w:szCs w:val="20"/>
        </w:rPr>
        <w:t xml:space="preserve"> esgota</w:t>
      </w:r>
      <w:r w:rsidR="00EF63DA" w:rsidRPr="00FF4346">
        <w:rPr>
          <w:rFonts w:ascii="CAIXA Std Book" w:hAnsi="CAIXA Std Book"/>
          <w:color w:val="005CA9"/>
          <w:sz w:val="20"/>
          <w:szCs w:val="20"/>
        </w:rPr>
        <w:t>mento d</w:t>
      </w:r>
      <w:r w:rsidR="00BB4B8D" w:rsidRPr="00FF4346">
        <w:rPr>
          <w:rFonts w:ascii="CAIXA Std Book" w:hAnsi="CAIXA Std Book"/>
          <w:color w:val="005CA9"/>
          <w:sz w:val="20"/>
          <w:szCs w:val="20"/>
        </w:rPr>
        <w:t>as possibilidades de reversão da negativa,</w:t>
      </w:r>
      <w:r w:rsidR="00D319ED" w:rsidRPr="00FF4346">
        <w:rPr>
          <w:rFonts w:ascii="CAIXA Std Book" w:hAnsi="CAIXA Std Book"/>
          <w:color w:val="005CA9"/>
          <w:sz w:val="20"/>
          <w:szCs w:val="20"/>
        </w:rPr>
        <w:t xml:space="preserve"> </w:t>
      </w:r>
      <w:r w:rsidR="00F31C31" w:rsidRPr="00FF4346">
        <w:rPr>
          <w:rFonts w:ascii="CAIXA Std Book" w:hAnsi="CAIXA Std Book"/>
          <w:color w:val="005CA9"/>
          <w:sz w:val="20"/>
          <w:szCs w:val="20"/>
        </w:rPr>
        <w:t>pelo</w:t>
      </w:r>
      <w:r w:rsidR="00D319ED" w:rsidRPr="00FF4346">
        <w:rPr>
          <w:rFonts w:ascii="CAIXA Std Book" w:hAnsi="CAIXA Std Book"/>
          <w:color w:val="005CA9"/>
          <w:sz w:val="20"/>
          <w:szCs w:val="20"/>
        </w:rPr>
        <w:t xml:space="preserve"> FCVS</w:t>
      </w:r>
      <w:r w:rsidR="00705633" w:rsidRPr="00FF4346">
        <w:rPr>
          <w:rFonts w:ascii="CAIXA Std Book" w:hAnsi="CAIXA Std Book"/>
          <w:color w:val="005CA9"/>
          <w:sz w:val="20"/>
          <w:szCs w:val="20"/>
        </w:rPr>
        <w:t>.</w:t>
      </w:r>
    </w:p>
    <w:tbl>
      <w:tblPr>
        <w:tblW w:w="5000" w:type="pct"/>
        <w:tblLayout w:type="fixed"/>
        <w:tblCellMar>
          <w:left w:w="70" w:type="dxa"/>
          <w:right w:w="70" w:type="dxa"/>
        </w:tblCellMar>
        <w:tblLook w:val="04A0" w:firstRow="1" w:lastRow="0" w:firstColumn="1" w:lastColumn="0" w:noHBand="0" w:noVBand="1"/>
      </w:tblPr>
      <w:tblGrid>
        <w:gridCol w:w="2977"/>
        <w:gridCol w:w="1087"/>
        <w:gridCol w:w="1087"/>
        <w:gridCol w:w="1086"/>
        <w:gridCol w:w="1086"/>
        <w:gridCol w:w="1086"/>
        <w:gridCol w:w="1088"/>
      </w:tblGrid>
      <w:tr w:rsidR="00552961" w:rsidRPr="00E115A4" w14:paraId="32BEC347" w14:textId="77777777" w:rsidTr="00FC4AD5">
        <w:trPr>
          <w:trHeight w:val="283"/>
        </w:trPr>
        <w:tc>
          <w:tcPr>
            <w:tcW w:w="5000" w:type="pct"/>
            <w:gridSpan w:val="7"/>
            <w:tcBorders>
              <w:top w:val="single" w:sz="4" w:space="0" w:color="F39200"/>
              <w:left w:val="nil"/>
              <w:bottom w:val="single" w:sz="4" w:space="0" w:color="F39200"/>
              <w:right w:val="nil"/>
            </w:tcBorders>
            <w:shd w:val="clear" w:color="auto" w:fill="auto"/>
            <w:noWrap/>
            <w:vAlign w:val="center"/>
            <w:hideMark/>
          </w:tcPr>
          <w:p w14:paraId="261946D3" w14:textId="77777777" w:rsidR="00552961" w:rsidRPr="00662B0A" w:rsidRDefault="00552961" w:rsidP="00552961">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INDIVIDUAL / CONSOLIDADO</w:t>
            </w:r>
          </w:p>
        </w:tc>
      </w:tr>
      <w:tr w:rsidR="00552961" w:rsidRPr="00E115A4" w14:paraId="105FC624" w14:textId="77777777" w:rsidTr="00FC4AD5">
        <w:trPr>
          <w:trHeight w:val="283"/>
        </w:trPr>
        <w:tc>
          <w:tcPr>
            <w:tcW w:w="1567" w:type="pct"/>
            <w:vMerge w:val="restart"/>
            <w:tcBorders>
              <w:top w:val="single" w:sz="4" w:space="0" w:color="F39200"/>
              <w:left w:val="nil"/>
              <w:bottom w:val="single" w:sz="8" w:space="0" w:color="F39200"/>
              <w:right w:val="nil"/>
            </w:tcBorders>
            <w:shd w:val="clear" w:color="auto" w:fill="auto"/>
            <w:vAlign w:val="center"/>
            <w:hideMark/>
          </w:tcPr>
          <w:p w14:paraId="5B563E3A" w14:textId="77777777" w:rsidR="00552961" w:rsidRPr="00662B0A" w:rsidRDefault="00552961" w:rsidP="00552961">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Descrição</w:t>
            </w:r>
          </w:p>
        </w:tc>
        <w:tc>
          <w:tcPr>
            <w:tcW w:w="1716" w:type="pct"/>
            <w:gridSpan w:val="3"/>
            <w:tcBorders>
              <w:top w:val="single" w:sz="4" w:space="0" w:color="F39200"/>
              <w:left w:val="nil"/>
              <w:bottom w:val="single" w:sz="4" w:space="0" w:color="F39200"/>
              <w:right w:val="nil"/>
            </w:tcBorders>
            <w:shd w:val="clear" w:color="auto" w:fill="auto"/>
            <w:vAlign w:val="center"/>
            <w:hideMark/>
          </w:tcPr>
          <w:p w14:paraId="169E2332" w14:textId="30C6E125" w:rsidR="006C22D3" w:rsidRPr="00662B0A" w:rsidRDefault="006C22D3" w:rsidP="006C22D3">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31/</w:t>
            </w:r>
            <w:r w:rsidR="002076EF" w:rsidRPr="00662B0A">
              <w:rPr>
                <w:rFonts w:ascii="CAIXA Std Book" w:eastAsia="Times New Roman" w:hAnsi="CAIXA Std Book" w:cs="Arial"/>
                <w:b/>
                <w:color w:val="005CA9"/>
                <w:sz w:val="16"/>
                <w:szCs w:val="16"/>
              </w:rPr>
              <w:t>03/2024</w:t>
            </w:r>
          </w:p>
        </w:tc>
        <w:tc>
          <w:tcPr>
            <w:tcW w:w="1716" w:type="pct"/>
            <w:gridSpan w:val="3"/>
            <w:tcBorders>
              <w:top w:val="single" w:sz="4" w:space="0" w:color="F39200"/>
              <w:left w:val="nil"/>
              <w:bottom w:val="single" w:sz="4" w:space="0" w:color="F39200"/>
              <w:right w:val="nil"/>
            </w:tcBorders>
            <w:shd w:val="clear" w:color="auto" w:fill="auto"/>
            <w:vAlign w:val="center"/>
          </w:tcPr>
          <w:p w14:paraId="4BB8ECC3" w14:textId="60F44681" w:rsidR="00552961" w:rsidRPr="00662B0A" w:rsidRDefault="002076EF" w:rsidP="00552961">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31/12/2023</w:t>
            </w:r>
          </w:p>
        </w:tc>
      </w:tr>
      <w:tr w:rsidR="00462013" w:rsidRPr="00E115A4" w14:paraId="310FE9A4" w14:textId="77777777" w:rsidTr="00FC4AD5">
        <w:trPr>
          <w:trHeight w:val="283"/>
        </w:trPr>
        <w:tc>
          <w:tcPr>
            <w:tcW w:w="1567" w:type="pct"/>
            <w:vMerge/>
            <w:tcBorders>
              <w:top w:val="nil"/>
              <w:left w:val="nil"/>
              <w:bottom w:val="single" w:sz="4" w:space="0" w:color="F39200"/>
              <w:right w:val="nil"/>
            </w:tcBorders>
            <w:vAlign w:val="center"/>
            <w:hideMark/>
          </w:tcPr>
          <w:p w14:paraId="454109A0" w14:textId="77777777" w:rsidR="00802404" w:rsidRPr="00662B0A" w:rsidRDefault="00802404" w:rsidP="00802404">
            <w:pPr>
              <w:rPr>
                <w:rFonts w:ascii="CAIXA Std Book" w:eastAsia="Times New Roman" w:hAnsi="CAIXA Std Book" w:cs="Arial"/>
                <w:b/>
                <w:color w:val="005CA9"/>
                <w:sz w:val="16"/>
                <w:szCs w:val="16"/>
              </w:rPr>
            </w:pPr>
          </w:p>
        </w:tc>
        <w:tc>
          <w:tcPr>
            <w:tcW w:w="572" w:type="pct"/>
            <w:tcBorders>
              <w:top w:val="single" w:sz="4" w:space="0" w:color="F39200"/>
              <w:left w:val="nil"/>
              <w:bottom w:val="single" w:sz="4" w:space="0" w:color="F39200"/>
              <w:right w:val="nil"/>
            </w:tcBorders>
            <w:shd w:val="clear" w:color="auto" w:fill="auto"/>
            <w:vAlign w:val="center"/>
          </w:tcPr>
          <w:p w14:paraId="6B1B21F4" w14:textId="6FF625B8"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 xml:space="preserve">Saldo Base </w:t>
            </w:r>
          </w:p>
        </w:tc>
        <w:tc>
          <w:tcPr>
            <w:tcW w:w="572" w:type="pct"/>
            <w:tcBorders>
              <w:top w:val="single" w:sz="4" w:space="0" w:color="F39200"/>
              <w:left w:val="nil"/>
              <w:bottom w:val="single" w:sz="4" w:space="0" w:color="F39200"/>
              <w:right w:val="nil"/>
            </w:tcBorders>
            <w:shd w:val="clear" w:color="auto" w:fill="auto"/>
            <w:vAlign w:val="center"/>
          </w:tcPr>
          <w:p w14:paraId="0AF27DE3" w14:textId="5111F9DB"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Saldo Provisão</w:t>
            </w:r>
          </w:p>
        </w:tc>
        <w:tc>
          <w:tcPr>
            <w:tcW w:w="572" w:type="pct"/>
            <w:tcBorders>
              <w:top w:val="single" w:sz="4" w:space="0" w:color="F39200"/>
              <w:left w:val="nil"/>
              <w:bottom w:val="single" w:sz="4" w:space="0" w:color="F39200"/>
              <w:right w:val="nil"/>
            </w:tcBorders>
            <w:shd w:val="clear" w:color="auto" w:fill="auto"/>
            <w:vAlign w:val="center"/>
          </w:tcPr>
          <w:p w14:paraId="13D424D7" w14:textId="39AB23B2"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Saldo Líquido</w:t>
            </w:r>
          </w:p>
        </w:tc>
        <w:tc>
          <w:tcPr>
            <w:tcW w:w="572" w:type="pct"/>
            <w:tcBorders>
              <w:top w:val="single" w:sz="4" w:space="0" w:color="F39200"/>
              <w:left w:val="nil"/>
              <w:bottom w:val="single" w:sz="4" w:space="0" w:color="F39200"/>
              <w:right w:val="nil"/>
            </w:tcBorders>
            <w:shd w:val="clear" w:color="auto" w:fill="auto"/>
            <w:vAlign w:val="center"/>
          </w:tcPr>
          <w:p w14:paraId="4C96087F" w14:textId="0B14AA38"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 xml:space="preserve">Saldo Base </w:t>
            </w:r>
          </w:p>
        </w:tc>
        <w:tc>
          <w:tcPr>
            <w:tcW w:w="572" w:type="pct"/>
            <w:tcBorders>
              <w:top w:val="single" w:sz="4" w:space="0" w:color="F39200"/>
              <w:left w:val="nil"/>
              <w:bottom w:val="single" w:sz="4" w:space="0" w:color="F39200"/>
              <w:right w:val="nil"/>
            </w:tcBorders>
            <w:shd w:val="clear" w:color="auto" w:fill="auto"/>
            <w:vAlign w:val="center"/>
          </w:tcPr>
          <w:p w14:paraId="32D0D969" w14:textId="03474EE4"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Saldo Provisão</w:t>
            </w:r>
          </w:p>
        </w:tc>
        <w:tc>
          <w:tcPr>
            <w:tcW w:w="572" w:type="pct"/>
            <w:tcBorders>
              <w:top w:val="single" w:sz="4" w:space="0" w:color="F39200"/>
              <w:left w:val="nil"/>
              <w:bottom w:val="single" w:sz="4" w:space="0" w:color="F39200"/>
              <w:right w:val="nil"/>
            </w:tcBorders>
            <w:shd w:val="clear" w:color="auto" w:fill="auto"/>
            <w:vAlign w:val="center"/>
          </w:tcPr>
          <w:p w14:paraId="113172DB" w14:textId="50246AD6" w:rsidR="00802404" w:rsidRPr="00662B0A" w:rsidRDefault="00802404" w:rsidP="00802404">
            <w:pPr>
              <w:jc w:val="cente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Saldo Líquido</w:t>
            </w:r>
          </w:p>
        </w:tc>
      </w:tr>
      <w:tr w:rsidR="006413D0" w:rsidRPr="00E115A4" w14:paraId="6E4CE36B" w14:textId="77777777" w:rsidTr="00FC4AD5">
        <w:trPr>
          <w:trHeight w:val="283"/>
        </w:trPr>
        <w:tc>
          <w:tcPr>
            <w:tcW w:w="1567" w:type="pct"/>
            <w:tcBorders>
              <w:top w:val="single" w:sz="4" w:space="0" w:color="F39200"/>
              <w:left w:val="nil"/>
              <w:bottom w:val="nil"/>
              <w:right w:val="nil"/>
            </w:tcBorders>
            <w:shd w:val="clear" w:color="auto" w:fill="auto"/>
            <w:noWrap/>
            <w:vAlign w:val="center"/>
            <w:hideMark/>
          </w:tcPr>
          <w:p w14:paraId="4A830741" w14:textId="7AE373A5" w:rsidR="006413D0" w:rsidRPr="00662B0A" w:rsidRDefault="006413D0" w:rsidP="006413D0">
            <w:pP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FCVS a receber</w:t>
            </w:r>
          </w:p>
        </w:tc>
        <w:tc>
          <w:tcPr>
            <w:tcW w:w="572" w:type="pct"/>
            <w:tcBorders>
              <w:top w:val="single" w:sz="4" w:space="0" w:color="F39200"/>
              <w:left w:val="nil"/>
              <w:bottom w:val="nil"/>
              <w:right w:val="nil"/>
            </w:tcBorders>
            <w:shd w:val="clear" w:color="auto" w:fill="auto"/>
            <w:noWrap/>
            <w:vAlign w:val="center"/>
          </w:tcPr>
          <w:p w14:paraId="1FBA17D1" w14:textId="0EA2912F"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41.763.379</w:t>
            </w:r>
          </w:p>
        </w:tc>
        <w:tc>
          <w:tcPr>
            <w:tcW w:w="572" w:type="pct"/>
            <w:tcBorders>
              <w:top w:val="single" w:sz="4" w:space="0" w:color="F39200"/>
              <w:left w:val="nil"/>
              <w:bottom w:val="nil"/>
              <w:right w:val="nil"/>
            </w:tcBorders>
            <w:shd w:val="clear" w:color="auto" w:fill="auto"/>
            <w:noWrap/>
            <w:vAlign w:val="center"/>
          </w:tcPr>
          <w:p w14:paraId="4130602D" w14:textId="0DA87F2F"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(9.879.859)</w:t>
            </w:r>
          </w:p>
        </w:tc>
        <w:tc>
          <w:tcPr>
            <w:tcW w:w="572" w:type="pct"/>
            <w:tcBorders>
              <w:top w:val="single" w:sz="4" w:space="0" w:color="F39200"/>
              <w:left w:val="nil"/>
              <w:bottom w:val="nil"/>
              <w:right w:val="nil"/>
            </w:tcBorders>
            <w:shd w:val="clear" w:color="auto" w:fill="auto"/>
            <w:noWrap/>
            <w:vAlign w:val="center"/>
          </w:tcPr>
          <w:p w14:paraId="77E6817A" w14:textId="41BB76EF"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31.883.520</w:t>
            </w:r>
          </w:p>
        </w:tc>
        <w:tc>
          <w:tcPr>
            <w:tcW w:w="572" w:type="pct"/>
            <w:tcBorders>
              <w:top w:val="single" w:sz="4" w:space="0" w:color="F39200"/>
              <w:left w:val="nil"/>
              <w:bottom w:val="nil"/>
              <w:right w:val="nil"/>
            </w:tcBorders>
            <w:shd w:val="clear" w:color="auto" w:fill="auto"/>
            <w:noWrap/>
            <w:vAlign w:val="center"/>
          </w:tcPr>
          <w:p w14:paraId="61020B12" w14:textId="7ABDEEB9" w:rsidR="006413D0" w:rsidRPr="00662B0A" w:rsidRDefault="006413D0" w:rsidP="006413D0">
            <w:pPr>
              <w:jc w:val="right"/>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41.379.122</w:t>
            </w:r>
          </w:p>
        </w:tc>
        <w:tc>
          <w:tcPr>
            <w:tcW w:w="572" w:type="pct"/>
            <w:tcBorders>
              <w:top w:val="single" w:sz="4" w:space="0" w:color="F39200"/>
              <w:left w:val="nil"/>
              <w:bottom w:val="nil"/>
              <w:right w:val="nil"/>
            </w:tcBorders>
            <w:shd w:val="clear" w:color="auto" w:fill="auto"/>
            <w:noWrap/>
            <w:vAlign w:val="center"/>
          </w:tcPr>
          <w:p w14:paraId="266FA528" w14:textId="2ECED9E9" w:rsidR="006413D0" w:rsidRPr="00662B0A" w:rsidRDefault="006413D0" w:rsidP="006413D0">
            <w:pPr>
              <w:jc w:val="right"/>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(9.363.775)</w:t>
            </w:r>
          </w:p>
        </w:tc>
        <w:tc>
          <w:tcPr>
            <w:tcW w:w="572" w:type="pct"/>
            <w:tcBorders>
              <w:top w:val="single" w:sz="4" w:space="0" w:color="F39200"/>
              <w:left w:val="nil"/>
              <w:bottom w:val="nil"/>
              <w:right w:val="nil"/>
            </w:tcBorders>
            <w:shd w:val="clear" w:color="auto" w:fill="auto"/>
            <w:noWrap/>
            <w:vAlign w:val="center"/>
          </w:tcPr>
          <w:p w14:paraId="241FAD6D" w14:textId="6C8E857D" w:rsidR="006413D0" w:rsidRPr="00662B0A" w:rsidRDefault="006413D0" w:rsidP="006413D0">
            <w:pPr>
              <w:jc w:val="right"/>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32.015.346</w:t>
            </w:r>
          </w:p>
        </w:tc>
      </w:tr>
      <w:tr w:rsidR="006413D0" w:rsidRPr="00E115A4" w14:paraId="12FACDE9" w14:textId="77777777" w:rsidTr="00FC4AD5">
        <w:trPr>
          <w:trHeight w:val="283"/>
        </w:trPr>
        <w:tc>
          <w:tcPr>
            <w:tcW w:w="1567" w:type="pct"/>
            <w:tcBorders>
              <w:top w:val="nil"/>
              <w:left w:val="nil"/>
              <w:bottom w:val="nil"/>
              <w:right w:val="nil"/>
            </w:tcBorders>
            <w:shd w:val="clear" w:color="auto" w:fill="auto"/>
            <w:noWrap/>
            <w:vAlign w:val="center"/>
            <w:hideMark/>
          </w:tcPr>
          <w:p w14:paraId="16BD8240" w14:textId="77777777" w:rsidR="006413D0" w:rsidRPr="00662B0A" w:rsidRDefault="006413D0" w:rsidP="006413D0">
            <w:pPr>
              <w:rPr>
                <w:rFonts w:ascii="CAIXA Std Book" w:eastAsia="Times New Roman" w:hAnsi="CAIXA Std Book" w:cs="Arial"/>
                <w:color w:val="005CA9"/>
                <w:sz w:val="16"/>
                <w:szCs w:val="16"/>
              </w:rPr>
            </w:pPr>
            <w:r w:rsidRPr="00662B0A">
              <w:rPr>
                <w:rFonts w:ascii="CAIXA Std Book" w:eastAsia="Times New Roman" w:hAnsi="CAIXA Std Book" w:cs="Arial"/>
                <w:color w:val="005CA9"/>
                <w:sz w:val="16"/>
                <w:szCs w:val="16"/>
              </w:rPr>
              <w:t>Não habilitado</w:t>
            </w:r>
          </w:p>
        </w:tc>
        <w:tc>
          <w:tcPr>
            <w:tcW w:w="572" w:type="pct"/>
            <w:tcBorders>
              <w:top w:val="nil"/>
              <w:left w:val="nil"/>
              <w:bottom w:val="nil"/>
              <w:right w:val="nil"/>
            </w:tcBorders>
            <w:shd w:val="clear" w:color="auto" w:fill="auto"/>
            <w:noWrap/>
            <w:vAlign w:val="center"/>
          </w:tcPr>
          <w:p w14:paraId="7F3A86D2" w14:textId="42D6427D"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46.441</w:t>
            </w:r>
          </w:p>
        </w:tc>
        <w:tc>
          <w:tcPr>
            <w:tcW w:w="572" w:type="pct"/>
            <w:tcBorders>
              <w:top w:val="nil"/>
              <w:left w:val="nil"/>
              <w:bottom w:val="nil"/>
              <w:right w:val="nil"/>
            </w:tcBorders>
            <w:shd w:val="clear" w:color="auto" w:fill="auto"/>
            <w:noWrap/>
            <w:vAlign w:val="center"/>
          </w:tcPr>
          <w:p w14:paraId="035321A0" w14:textId="30C18C07"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(21.714)</w:t>
            </w:r>
          </w:p>
        </w:tc>
        <w:tc>
          <w:tcPr>
            <w:tcW w:w="572" w:type="pct"/>
            <w:tcBorders>
              <w:top w:val="nil"/>
              <w:left w:val="nil"/>
              <w:bottom w:val="nil"/>
              <w:right w:val="nil"/>
            </w:tcBorders>
            <w:shd w:val="clear" w:color="auto" w:fill="auto"/>
            <w:noWrap/>
            <w:vAlign w:val="center"/>
          </w:tcPr>
          <w:p w14:paraId="273DAA01" w14:textId="1F7C7CD4"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24.727</w:t>
            </w:r>
          </w:p>
        </w:tc>
        <w:tc>
          <w:tcPr>
            <w:tcW w:w="572" w:type="pct"/>
            <w:tcBorders>
              <w:top w:val="nil"/>
              <w:left w:val="nil"/>
              <w:bottom w:val="nil"/>
              <w:right w:val="nil"/>
            </w:tcBorders>
            <w:shd w:val="clear" w:color="auto" w:fill="auto"/>
            <w:vAlign w:val="center"/>
          </w:tcPr>
          <w:p w14:paraId="03AFA8A8" w14:textId="58B5E9AD"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92.066</w:t>
            </w:r>
          </w:p>
        </w:tc>
        <w:tc>
          <w:tcPr>
            <w:tcW w:w="572" w:type="pct"/>
            <w:tcBorders>
              <w:top w:val="nil"/>
              <w:left w:val="nil"/>
              <w:bottom w:val="nil"/>
              <w:right w:val="nil"/>
            </w:tcBorders>
            <w:shd w:val="clear" w:color="auto" w:fill="auto"/>
            <w:vAlign w:val="center"/>
          </w:tcPr>
          <w:p w14:paraId="04E5F9AB" w14:textId="083185CE"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(18.447)</w:t>
            </w:r>
          </w:p>
        </w:tc>
        <w:tc>
          <w:tcPr>
            <w:tcW w:w="572" w:type="pct"/>
            <w:tcBorders>
              <w:top w:val="nil"/>
              <w:left w:val="nil"/>
              <w:bottom w:val="nil"/>
              <w:right w:val="nil"/>
            </w:tcBorders>
            <w:shd w:val="clear" w:color="auto" w:fill="auto"/>
            <w:vAlign w:val="center"/>
          </w:tcPr>
          <w:p w14:paraId="05A7D749" w14:textId="2D268928"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73.619</w:t>
            </w:r>
          </w:p>
        </w:tc>
      </w:tr>
      <w:tr w:rsidR="006413D0" w:rsidRPr="00E115A4" w14:paraId="150AF654" w14:textId="77777777" w:rsidTr="00FC4AD5">
        <w:trPr>
          <w:trHeight w:val="283"/>
        </w:trPr>
        <w:tc>
          <w:tcPr>
            <w:tcW w:w="1567" w:type="pct"/>
            <w:tcBorders>
              <w:top w:val="nil"/>
              <w:left w:val="nil"/>
              <w:bottom w:val="nil"/>
              <w:right w:val="nil"/>
            </w:tcBorders>
            <w:shd w:val="clear" w:color="auto" w:fill="auto"/>
            <w:noWrap/>
            <w:vAlign w:val="center"/>
            <w:hideMark/>
          </w:tcPr>
          <w:p w14:paraId="3ABA1493" w14:textId="77777777" w:rsidR="006413D0" w:rsidRPr="00662B0A" w:rsidRDefault="006413D0" w:rsidP="006413D0">
            <w:pPr>
              <w:rPr>
                <w:rFonts w:ascii="CAIXA Std Book" w:eastAsia="Times New Roman" w:hAnsi="CAIXA Std Book" w:cs="Arial"/>
                <w:color w:val="005CA9"/>
                <w:sz w:val="16"/>
                <w:szCs w:val="16"/>
              </w:rPr>
            </w:pPr>
            <w:r w:rsidRPr="00662B0A">
              <w:rPr>
                <w:rFonts w:ascii="CAIXA Std Book" w:eastAsia="Times New Roman" w:hAnsi="CAIXA Std Book" w:cs="Arial"/>
                <w:color w:val="005CA9"/>
                <w:sz w:val="16"/>
                <w:szCs w:val="16"/>
              </w:rPr>
              <w:t>Habilitado e não homologado</w:t>
            </w:r>
          </w:p>
        </w:tc>
        <w:tc>
          <w:tcPr>
            <w:tcW w:w="572" w:type="pct"/>
            <w:tcBorders>
              <w:top w:val="nil"/>
              <w:left w:val="nil"/>
              <w:bottom w:val="nil"/>
              <w:right w:val="nil"/>
            </w:tcBorders>
            <w:shd w:val="clear" w:color="auto" w:fill="auto"/>
            <w:noWrap/>
            <w:vAlign w:val="center"/>
          </w:tcPr>
          <w:p w14:paraId="0FB41655" w14:textId="39F8D515"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401.028</w:t>
            </w:r>
          </w:p>
        </w:tc>
        <w:tc>
          <w:tcPr>
            <w:tcW w:w="572" w:type="pct"/>
            <w:tcBorders>
              <w:top w:val="nil"/>
              <w:left w:val="nil"/>
              <w:bottom w:val="nil"/>
              <w:right w:val="nil"/>
            </w:tcBorders>
            <w:shd w:val="clear" w:color="auto" w:fill="auto"/>
            <w:noWrap/>
            <w:vAlign w:val="center"/>
          </w:tcPr>
          <w:p w14:paraId="0AC986EF" w14:textId="1A135648"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(162.528)</w:t>
            </w:r>
          </w:p>
        </w:tc>
        <w:tc>
          <w:tcPr>
            <w:tcW w:w="572" w:type="pct"/>
            <w:tcBorders>
              <w:top w:val="nil"/>
              <w:left w:val="nil"/>
              <w:bottom w:val="nil"/>
              <w:right w:val="nil"/>
            </w:tcBorders>
            <w:shd w:val="clear" w:color="auto" w:fill="auto"/>
            <w:noWrap/>
            <w:vAlign w:val="center"/>
          </w:tcPr>
          <w:p w14:paraId="704A404F" w14:textId="5963A1F6"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238.500</w:t>
            </w:r>
          </w:p>
        </w:tc>
        <w:tc>
          <w:tcPr>
            <w:tcW w:w="572" w:type="pct"/>
            <w:tcBorders>
              <w:top w:val="nil"/>
              <w:left w:val="nil"/>
              <w:bottom w:val="nil"/>
              <w:right w:val="nil"/>
            </w:tcBorders>
            <w:shd w:val="clear" w:color="auto" w:fill="auto"/>
            <w:vAlign w:val="center"/>
          </w:tcPr>
          <w:p w14:paraId="6B920D75" w14:textId="561A48D8"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525.259</w:t>
            </w:r>
          </w:p>
        </w:tc>
        <w:tc>
          <w:tcPr>
            <w:tcW w:w="572" w:type="pct"/>
            <w:tcBorders>
              <w:top w:val="nil"/>
              <w:left w:val="nil"/>
              <w:bottom w:val="nil"/>
              <w:right w:val="nil"/>
            </w:tcBorders>
            <w:shd w:val="clear" w:color="auto" w:fill="auto"/>
            <w:vAlign w:val="center"/>
          </w:tcPr>
          <w:p w14:paraId="5D1B3DF5" w14:textId="6BFF3897"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(73.066)</w:t>
            </w:r>
          </w:p>
        </w:tc>
        <w:tc>
          <w:tcPr>
            <w:tcW w:w="572" w:type="pct"/>
            <w:tcBorders>
              <w:top w:val="nil"/>
              <w:left w:val="nil"/>
              <w:bottom w:val="nil"/>
              <w:right w:val="nil"/>
            </w:tcBorders>
            <w:shd w:val="clear" w:color="auto" w:fill="auto"/>
            <w:vAlign w:val="center"/>
          </w:tcPr>
          <w:p w14:paraId="7924D4F7" w14:textId="3FF50DF5"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452.193</w:t>
            </w:r>
          </w:p>
        </w:tc>
      </w:tr>
      <w:tr w:rsidR="006413D0" w:rsidRPr="00E115A4" w14:paraId="4E7C773E" w14:textId="77777777" w:rsidTr="00FC4AD5">
        <w:trPr>
          <w:trHeight w:val="283"/>
        </w:trPr>
        <w:tc>
          <w:tcPr>
            <w:tcW w:w="1567" w:type="pct"/>
            <w:tcBorders>
              <w:top w:val="nil"/>
              <w:left w:val="nil"/>
              <w:bottom w:val="nil"/>
              <w:right w:val="nil"/>
            </w:tcBorders>
            <w:shd w:val="clear" w:color="auto" w:fill="auto"/>
            <w:noWrap/>
            <w:vAlign w:val="center"/>
            <w:hideMark/>
          </w:tcPr>
          <w:p w14:paraId="6098ABE3" w14:textId="5E0C8E36" w:rsidR="006413D0" w:rsidRPr="00662B0A" w:rsidRDefault="006413D0" w:rsidP="006413D0">
            <w:pPr>
              <w:rPr>
                <w:rFonts w:ascii="CAIXA Std Book" w:eastAsia="Times New Roman" w:hAnsi="CAIXA Std Book" w:cs="Arial"/>
                <w:color w:val="005CA9"/>
                <w:sz w:val="16"/>
                <w:szCs w:val="16"/>
              </w:rPr>
            </w:pPr>
            <w:r w:rsidRPr="00662B0A">
              <w:rPr>
                <w:rFonts w:ascii="CAIXA Std Book" w:eastAsia="Times New Roman" w:hAnsi="CAIXA Std Book" w:cs="Arial"/>
                <w:color w:val="005CA9"/>
                <w:sz w:val="16"/>
                <w:szCs w:val="16"/>
              </w:rPr>
              <w:t>Homologado com e sem recurso ou manifestação</w:t>
            </w:r>
          </w:p>
        </w:tc>
        <w:tc>
          <w:tcPr>
            <w:tcW w:w="572" w:type="pct"/>
            <w:tcBorders>
              <w:top w:val="nil"/>
              <w:left w:val="nil"/>
              <w:bottom w:val="nil"/>
              <w:right w:val="nil"/>
            </w:tcBorders>
            <w:shd w:val="clear" w:color="auto" w:fill="auto"/>
            <w:noWrap/>
            <w:vAlign w:val="center"/>
          </w:tcPr>
          <w:p w14:paraId="5C070638" w14:textId="3B86CE5B"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6.824.012</w:t>
            </w:r>
          </w:p>
        </w:tc>
        <w:tc>
          <w:tcPr>
            <w:tcW w:w="572" w:type="pct"/>
            <w:tcBorders>
              <w:top w:val="nil"/>
              <w:left w:val="nil"/>
              <w:bottom w:val="nil"/>
              <w:right w:val="nil"/>
            </w:tcBorders>
            <w:shd w:val="clear" w:color="auto" w:fill="auto"/>
            <w:noWrap/>
            <w:vAlign w:val="center"/>
          </w:tcPr>
          <w:p w14:paraId="14867B9F" w14:textId="3DA742B7"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(1.984.109)</w:t>
            </w:r>
          </w:p>
        </w:tc>
        <w:tc>
          <w:tcPr>
            <w:tcW w:w="572" w:type="pct"/>
            <w:tcBorders>
              <w:top w:val="nil"/>
              <w:left w:val="nil"/>
              <w:bottom w:val="nil"/>
              <w:right w:val="nil"/>
            </w:tcBorders>
            <w:shd w:val="clear" w:color="auto" w:fill="auto"/>
            <w:noWrap/>
            <w:vAlign w:val="center"/>
          </w:tcPr>
          <w:p w14:paraId="06413E1C" w14:textId="12991914"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4.839.903</w:t>
            </w:r>
          </w:p>
        </w:tc>
        <w:tc>
          <w:tcPr>
            <w:tcW w:w="572" w:type="pct"/>
            <w:tcBorders>
              <w:top w:val="nil"/>
              <w:left w:val="nil"/>
              <w:bottom w:val="nil"/>
              <w:right w:val="nil"/>
            </w:tcBorders>
            <w:shd w:val="clear" w:color="auto" w:fill="auto"/>
            <w:noWrap/>
            <w:vAlign w:val="center"/>
          </w:tcPr>
          <w:p w14:paraId="0FF86642" w14:textId="2A586E9F"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7.072.961</w:t>
            </w:r>
          </w:p>
        </w:tc>
        <w:tc>
          <w:tcPr>
            <w:tcW w:w="572" w:type="pct"/>
            <w:tcBorders>
              <w:top w:val="nil"/>
              <w:left w:val="nil"/>
              <w:bottom w:val="nil"/>
              <w:right w:val="nil"/>
            </w:tcBorders>
            <w:shd w:val="clear" w:color="auto" w:fill="auto"/>
            <w:noWrap/>
            <w:vAlign w:val="center"/>
          </w:tcPr>
          <w:p w14:paraId="47779A4A" w14:textId="7EE6B4DF"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(2.005.941)</w:t>
            </w:r>
          </w:p>
        </w:tc>
        <w:tc>
          <w:tcPr>
            <w:tcW w:w="572" w:type="pct"/>
            <w:tcBorders>
              <w:top w:val="nil"/>
              <w:left w:val="nil"/>
              <w:bottom w:val="nil"/>
              <w:right w:val="nil"/>
            </w:tcBorders>
            <w:shd w:val="clear" w:color="auto" w:fill="auto"/>
            <w:noWrap/>
            <w:vAlign w:val="center"/>
          </w:tcPr>
          <w:p w14:paraId="5266D815" w14:textId="1F3A758F"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5.067.019</w:t>
            </w:r>
          </w:p>
        </w:tc>
      </w:tr>
      <w:tr w:rsidR="006413D0" w:rsidRPr="00E115A4" w14:paraId="16C07581" w14:textId="77777777" w:rsidTr="00FC4AD5">
        <w:trPr>
          <w:trHeight w:val="283"/>
        </w:trPr>
        <w:tc>
          <w:tcPr>
            <w:tcW w:w="1567" w:type="pct"/>
            <w:tcBorders>
              <w:top w:val="nil"/>
              <w:left w:val="nil"/>
              <w:bottom w:val="nil"/>
              <w:right w:val="nil"/>
            </w:tcBorders>
            <w:shd w:val="clear" w:color="auto" w:fill="auto"/>
            <w:noWrap/>
            <w:vAlign w:val="center"/>
            <w:hideMark/>
          </w:tcPr>
          <w:p w14:paraId="17F768A8" w14:textId="77777777" w:rsidR="006413D0" w:rsidRPr="00662B0A" w:rsidRDefault="006413D0" w:rsidP="006413D0">
            <w:pPr>
              <w:rPr>
                <w:rFonts w:ascii="CAIXA Std Book" w:eastAsia="Times New Roman" w:hAnsi="CAIXA Std Book" w:cs="Arial"/>
                <w:color w:val="005CA9"/>
                <w:sz w:val="16"/>
                <w:szCs w:val="16"/>
              </w:rPr>
            </w:pPr>
            <w:r w:rsidRPr="00662B0A">
              <w:rPr>
                <w:rFonts w:ascii="CAIXA Std Book" w:eastAsia="Times New Roman" w:hAnsi="CAIXA Std Book" w:cs="Arial"/>
                <w:color w:val="005CA9"/>
                <w:sz w:val="16"/>
                <w:szCs w:val="16"/>
              </w:rPr>
              <w:t>Homologados validados e em novação</w:t>
            </w:r>
          </w:p>
        </w:tc>
        <w:tc>
          <w:tcPr>
            <w:tcW w:w="572" w:type="pct"/>
            <w:tcBorders>
              <w:top w:val="nil"/>
              <w:left w:val="nil"/>
              <w:bottom w:val="nil"/>
              <w:right w:val="nil"/>
            </w:tcBorders>
            <w:shd w:val="clear" w:color="auto" w:fill="auto"/>
            <w:noWrap/>
            <w:vAlign w:val="center"/>
          </w:tcPr>
          <w:p w14:paraId="0976B46D" w14:textId="1053CEC5"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21.306.954</w:t>
            </w:r>
          </w:p>
        </w:tc>
        <w:tc>
          <w:tcPr>
            <w:tcW w:w="572" w:type="pct"/>
            <w:tcBorders>
              <w:top w:val="nil"/>
              <w:left w:val="nil"/>
              <w:bottom w:val="nil"/>
              <w:right w:val="nil"/>
            </w:tcBorders>
            <w:shd w:val="clear" w:color="auto" w:fill="auto"/>
            <w:noWrap/>
            <w:vAlign w:val="center"/>
          </w:tcPr>
          <w:p w14:paraId="29F46056" w14:textId="7A302824"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(233.561)</w:t>
            </w:r>
          </w:p>
        </w:tc>
        <w:tc>
          <w:tcPr>
            <w:tcW w:w="572" w:type="pct"/>
            <w:tcBorders>
              <w:top w:val="nil"/>
              <w:left w:val="nil"/>
              <w:bottom w:val="nil"/>
              <w:right w:val="nil"/>
            </w:tcBorders>
            <w:shd w:val="clear" w:color="auto" w:fill="auto"/>
            <w:noWrap/>
            <w:vAlign w:val="center"/>
          </w:tcPr>
          <w:p w14:paraId="1F209990" w14:textId="7F050CF4"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21.073.393</w:t>
            </w:r>
          </w:p>
        </w:tc>
        <w:tc>
          <w:tcPr>
            <w:tcW w:w="572" w:type="pct"/>
            <w:tcBorders>
              <w:top w:val="nil"/>
              <w:left w:val="nil"/>
              <w:bottom w:val="nil"/>
              <w:right w:val="nil"/>
            </w:tcBorders>
            <w:shd w:val="clear" w:color="auto" w:fill="auto"/>
            <w:noWrap/>
            <w:vAlign w:val="center"/>
          </w:tcPr>
          <w:p w14:paraId="40AFE661" w14:textId="7F4885EC"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20.821.224</w:t>
            </w:r>
          </w:p>
        </w:tc>
        <w:tc>
          <w:tcPr>
            <w:tcW w:w="572" w:type="pct"/>
            <w:tcBorders>
              <w:top w:val="nil"/>
              <w:left w:val="nil"/>
              <w:bottom w:val="nil"/>
              <w:right w:val="nil"/>
            </w:tcBorders>
            <w:shd w:val="clear" w:color="auto" w:fill="auto"/>
            <w:noWrap/>
            <w:vAlign w:val="center"/>
          </w:tcPr>
          <w:p w14:paraId="3725F280" w14:textId="5DDD4881"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(315.937)</w:t>
            </w:r>
          </w:p>
        </w:tc>
        <w:tc>
          <w:tcPr>
            <w:tcW w:w="572" w:type="pct"/>
            <w:tcBorders>
              <w:top w:val="nil"/>
              <w:left w:val="nil"/>
              <w:bottom w:val="nil"/>
              <w:right w:val="nil"/>
            </w:tcBorders>
            <w:shd w:val="clear" w:color="auto" w:fill="auto"/>
            <w:noWrap/>
            <w:vAlign w:val="center"/>
          </w:tcPr>
          <w:p w14:paraId="45D4FB7B" w14:textId="0641612D"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20.505.287</w:t>
            </w:r>
          </w:p>
        </w:tc>
      </w:tr>
      <w:tr w:rsidR="006413D0" w:rsidRPr="00E115A4" w14:paraId="6F262056" w14:textId="77777777" w:rsidTr="00FC4AD5">
        <w:trPr>
          <w:trHeight w:val="283"/>
        </w:trPr>
        <w:tc>
          <w:tcPr>
            <w:tcW w:w="1567" w:type="pct"/>
            <w:tcBorders>
              <w:top w:val="nil"/>
              <w:left w:val="nil"/>
              <w:bottom w:val="nil"/>
              <w:right w:val="nil"/>
            </w:tcBorders>
            <w:shd w:val="clear" w:color="auto" w:fill="auto"/>
            <w:noWrap/>
            <w:vAlign w:val="center"/>
            <w:hideMark/>
          </w:tcPr>
          <w:p w14:paraId="706884D7" w14:textId="3902D960" w:rsidR="006413D0" w:rsidRPr="00662B0A" w:rsidRDefault="006413D0" w:rsidP="006413D0">
            <w:pPr>
              <w:rPr>
                <w:rFonts w:ascii="CAIXA Std Book" w:eastAsia="Times New Roman" w:hAnsi="CAIXA Std Book" w:cs="Arial"/>
                <w:color w:val="005CA9"/>
                <w:sz w:val="16"/>
                <w:szCs w:val="16"/>
              </w:rPr>
            </w:pPr>
            <w:r w:rsidRPr="00662B0A">
              <w:rPr>
                <w:rFonts w:ascii="CAIXA Std Book" w:eastAsia="Times New Roman" w:hAnsi="CAIXA Std Book" w:cs="Arial"/>
                <w:color w:val="005CA9"/>
                <w:sz w:val="16"/>
                <w:szCs w:val="16"/>
              </w:rPr>
              <w:t>Negativa de cobertura (1)</w:t>
            </w:r>
          </w:p>
        </w:tc>
        <w:tc>
          <w:tcPr>
            <w:tcW w:w="572" w:type="pct"/>
            <w:tcBorders>
              <w:top w:val="nil"/>
              <w:left w:val="nil"/>
              <w:bottom w:val="nil"/>
              <w:right w:val="nil"/>
            </w:tcBorders>
            <w:shd w:val="clear" w:color="auto" w:fill="auto"/>
            <w:noWrap/>
            <w:vAlign w:val="center"/>
          </w:tcPr>
          <w:p w14:paraId="74BD2809" w14:textId="413E422F"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13.184.944</w:t>
            </w:r>
          </w:p>
        </w:tc>
        <w:tc>
          <w:tcPr>
            <w:tcW w:w="572" w:type="pct"/>
            <w:tcBorders>
              <w:top w:val="nil"/>
              <w:left w:val="nil"/>
              <w:bottom w:val="nil"/>
              <w:right w:val="nil"/>
            </w:tcBorders>
            <w:shd w:val="clear" w:color="auto" w:fill="auto"/>
            <w:noWrap/>
            <w:vAlign w:val="center"/>
          </w:tcPr>
          <w:p w14:paraId="17B5CBE5" w14:textId="0C7DD421"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(7.477.947)</w:t>
            </w:r>
          </w:p>
        </w:tc>
        <w:tc>
          <w:tcPr>
            <w:tcW w:w="572" w:type="pct"/>
            <w:tcBorders>
              <w:top w:val="nil"/>
              <w:left w:val="nil"/>
              <w:bottom w:val="nil"/>
              <w:right w:val="nil"/>
            </w:tcBorders>
            <w:shd w:val="clear" w:color="auto" w:fill="auto"/>
            <w:noWrap/>
            <w:vAlign w:val="center"/>
          </w:tcPr>
          <w:p w14:paraId="345BD5F3" w14:textId="6D35C458"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5.706.997</w:t>
            </w:r>
          </w:p>
        </w:tc>
        <w:tc>
          <w:tcPr>
            <w:tcW w:w="572" w:type="pct"/>
            <w:tcBorders>
              <w:top w:val="nil"/>
              <w:left w:val="nil"/>
              <w:bottom w:val="nil"/>
              <w:right w:val="nil"/>
            </w:tcBorders>
            <w:shd w:val="clear" w:color="auto" w:fill="auto"/>
            <w:noWrap/>
            <w:vAlign w:val="center"/>
          </w:tcPr>
          <w:p w14:paraId="422BA93D" w14:textId="6375A97C"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12.867.612</w:t>
            </w:r>
          </w:p>
        </w:tc>
        <w:tc>
          <w:tcPr>
            <w:tcW w:w="572" w:type="pct"/>
            <w:tcBorders>
              <w:top w:val="nil"/>
              <w:left w:val="nil"/>
              <w:bottom w:val="nil"/>
              <w:right w:val="nil"/>
            </w:tcBorders>
            <w:shd w:val="clear" w:color="auto" w:fill="auto"/>
            <w:noWrap/>
            <w:vAlign w:val="center"/>
          </w:tcPr>
          <w:p w14:paraId="20085A76" w14:textId="2C455AF1"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(6.950.384)</w:t>
            </w:r>
          </w:p>
        </w:tc>
        <w:tc>
          <w:tcPr>
            <w:tcW w:w="572" w:type="pct"/>
            <w:tcBorders>
              <w:top w:val="nil"/>
              <w:left w:val="nil"/>
              <w:bottom w:val="nil"/>
              <w:right w:val="nil"/>
            </w:tcBorders>
            <w:shd w:val="clear" w:color="auto" w:fill="auto"/>
            <w:noWrap/>
            <w:vAlign w:val="center"/>
          </w:tcPr>
          <w:p w14:paraId="7B831769" w14:textId="57A40A7B" w:rsidR="006413D0" w:rsidRPr="00662B0A" w:rsidRDefault="006413D0" w:rsidP="006413D0">
            <w:pPr>
              <w:jc w:val="right"/>
              <w:rPr>
                <w:rFonts w:ascii="CAIXA Std Book" w:hAnsi="CAIXA Std Book" w:cs="Arial"/>
                <w:color w:val="005CA9"/>
                <w:sz w:val="16"/>
                <w:szCs w:val="16"/>
              </w:rPr>
            </w:pPr>
            <w:r w:rsidRPr="00662B0A">
              <w:rPr>
                <w:rFonts w:ascii="CAIXA Std Book" w:hAnsi="CAIXA Std Book" w:cs="Arial"/>
                <w:color w:val="005CA9"/>
                <w:sz w:val="16"/>
                <w:szCs w:val="16"/>
              </w:rPr>
              <w:t>5.917.228</w:t>
            </w:r>
          </w:p>
        </w:tc>
      </w:tr>
      <w:tr w:rsidR="006413D0" w:rsidRPr="00E115A4" w14:paraId="0F53B038" w14:textId="77777777" w:rsidTr="00FC4AD5">
        <w:trPr>
          <w:trHeight w:val="283"/>
        </w:trPr>
        <w:tc>
          <w:tcPr>
            <w:tcW w:w="1567" w:type="pct"/>
            <w:tcBorders>
              <w:top w:val="nil"/>
              <w:left w:val="nil"/>
              <w:bottom w:val="single" w:sz="4" w:space="0" w:color="F39200"/>
              <w:right w:val="nil"/>
            </w:tcBorders>
            <w:shd w:val="clear" w:color="auto" w:fill="auto"/>
            <w:noWrap/>
            <w:vAlign w:val="center"/>
            <w:hideMark/>
          </w:tcPr>
          <w:p w14:paraId="24B37390" w14:textId="77777777" w:rsidR="006413D0" w:rsidRPr="00662B0A" w:rsidRDefault="006413D0" w:rsidP="006413D0">
            <w:pP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FGTS a ressarcir</w:t>
            </w:r>
          </w:p>
        </w:tc>
        <w:tc>
          <w:tcPr>
            <w:tcW w:w="572" w:type="pct"/>
            <w:tcBorders>
              <w:top w:val="nil"/>
              <w:left w:val="nil"/>
              <w:bottom w:val="single" w:sz="4" w:space="0" w:color="F39200"/>
              <w:right w:val="nil"/>
            </w:tcBorders>
            <w:shd w:val="clear" w:color="auto" w:fill="auto"/>
            <w:noWrap/>
            <w:vAlign w:val="center"/>
          </w:tcPr>
          <w:p w14:paraId="13651995" w14:textId="7F8E4C99"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23.880</w:t>
            </w:r>
          </w:p>
        </w:tc>
        <w:tc>
          <w:tcPr>
            <w:tcW w:w="572" w:type="pct"/>
            <w:tcBorders>
              <w:top w:val="nil"/>
              <w:left w:val="nil"/>
              <w:bottom w:val="single" w:sz="4" w:space="0" w:color="F39200"/>
              <w:right w:val="nil"/>
            </w:tcBorders>
            <w:shd w:val="clear" w:color="auto" w:fill="auto"/>
            <w:noWrap/>
            <w:vAlign w:val="center"/>
          </w:tcPr>
          <w:p w14:paraId="28931A6F" w14:textId="3521D702" w:rsidR="006413D0" w:rsidRPr="00662B0A" w:rsidRDefault="006413D0" w:rsidP="006413D0">
            <w:pPr>
              <w:jc w:val="center"/>
              <w:rPr>
                <w:rFonts w:ascii="CAIXA Std Book" w:hAnsi="CAIXA Std Book" w:cs="Arial"/>
                <w:b/>
                <w:color w:val="005CA9"/>
                <w:sz w:val="16"/>
                <w:szCs w:val="16"/>
              </w:rPr>
            </w:pPr>
            <w:r w:rsidRPr="00662B0A">
              <w:rPr>
                <w:rFonts w:ascii="CAIXA Std Book" w:hAnsi="CAIXA Std Book" w:cs="Arial"/>
                <w:b/>
                <w:bCs/>
                <w:color w:val="005CA9"/>
                <w:sz w:val="16"/>
                <w:szCs w:val="16"/>
              </w:rPr>
              <w:t>-</w:t>
            </w:r>
          </w:p>
        </w:tc>
        <w:tc>
          <w:tcPr>
            <w:tcW w:w="572" w:type="pct"/>
            <w:tcBorders>
              <w:top w:val="nil"/>
              <w:left w:val="nil"/>
              <w:bottom w:val="single" w:sz="4" w:space="0" w:color="F39200"/>
              <w:right w:val="nil"/>
            </w:tcBorders>
            <w:shd w:val="clear" w:color="auto" w:fill="auto"/>
            <w:noWrap/>
            <w:vAlign w:val="center"/>
          </w:tcPr>
          <w:p w14:paraId="2E69DBBB" w14:textId="7AEEF67B"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23.880</w:t>
            </w:r>
          </w:p>
        </w:tc>
        <w:tc>
          <w:tcPr>
            <w:tcW w:w="572" w:type="pct"/>
            <w:tcBorders>
              <w:top w:val="nil"/>
              <w:left w:val="nil"/>
              <w:bottom w:val="single" w:sz="4" w:space="0" w:color="F39200"/>
              <w:right w:val="nil"/>
            </w:tcBorders>
            <w:shd w:val="clear" w:color="auto" w:fill="auto"/>
            <w:vAlign w:val="center"/>
          </w:tcPr>
          <w:p w14:paraId="2E1F72BF" w14:textId="7BC9236F" w:rsidR="006413D0" w:rsidRPr="00662B0A" w:rsidRDefault="006413D0" w:rsidP="006413D0">
            <w:pPr>
              <w:jc w:val="right"/>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36.233</w:t>
            </w:r>
          </w:p>
        </w:tc>
        <w:tc>
          <w:tcPr>
            <w:tcW w:w="572" w:type="pct"/>
            <w:tcBorders>
              <w:top w:val="nil"/>
              <w:left w:val="nil"/>
              <w:bottom w:val="single" w:sz="4" w:space="0" w:color="F39200"/>
              <w:right w:val="nil"/>
            </w:tcBorders>
            <w:shd w:val="clear" w:color="auto" w:fill="auto"/>
            <w:vAlign w:val="center"/>
          </w:tcPr>
          <w:p w14:paraId="0781CCC0" w14:textId="272A6800" w:rsidR="006413D0" w:rsidRPr="00662B0A" w:rsidRDefault="006413D0" w:rsidP="006413D0">
            <w:pPr>
              <w:jc w:val="center"/>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w:t>
            </w:r>
          </w:p>
        </w:tc>
        <w:tc>
          <w:tcPr>
            <w:tcW w:w="572" w:type="pct"/>
            <w:tcBorders>
              <w:top w:val="nil"/>
              <w:left w:val="nil"/>
              <w:bottom w:val="single" w:sz="4" w:space="0" w:color="F39200"/>
              <w:right w:val="nil"/>
            </w:tcBorders>
            <w:shd w:val="clear" w:color="auto" w:fill="auto"/>
            <w:vAlign w:val="center"/>
          </w:tcPr>
          <w:p w14:paraId="1998A08B" w14:textId="7A44B343" w:rsidR="006413D0" w:rsidRPr="00662B0A" w:rsidRDefault="006413D0" w:rsidP="006413D0">
            <w:pPr>
              <w:jc w:val="right"/>
              <w:rPr>
                <w:rFonts w:ascii="CAIXA Std Book" w:eastAsia="Times New Roman" w:hAnsi="CAIXA Std Book" w:cs="Arial"/>
                <w:b/>
                <w:color w:val="005CA9"/>
                <w:sz w:val="16"/>
                <w:szCs w:val="16"/>
              </w:rPr>
            </w:pPr>
            <w:r w:rsidRPr="00662B0A">
              <w:rPr>
                <w:rFonts w:ascii="CAIXA Std Book" w:hAnsi="CAIXA Std Book" w:cs="Arial"/>
                <w:b/>
                <w:color w:val="005CA9"/>
                <w:sz w:val="16"/>
                <w:szCs w:val="16"/>
              </w:rPr>
              <w:t>36.233</w:t>
            </w:r>
          </w:p>
        </w:tc>
      </w:tr>
      <w:tr w:rsidR="006413D0" w:rsidRPr="00E115A4" w14:paraId="2BE01DA8" w14:textId="77777777" w:rsidTr="00FC4AD5">
        <w:trPr>
          <w:trHeight w:val="283"/>
        </w:trPr>
        <w:tc>
          <w:tcPr>
            <w:tcW w:w="1567" w:type="pct"/>
            <w:tcBorders>
              <w:top w:val="single" w:sz="4" w:space="0" w:color="F39200"/>
              <w:left w:val="nil"/>
              <w:bottom w:val="single" w:sz="4" w:space="0" w:color="F39200"/>
              <w:right w:val="nil"/>
            </w:tcBorders>
            <w:shd w:val="clear" w:color="auto" w:fill="auto"/>
            <w:noWrap/>
            <w:vAlign w:val="center"/>
            <w:hideMark/>
          </w:tcPr>
          <w:p w14:paraId="189BFEE8" w14:textId="77777777" w:rsidR="006413D0" w:rsidRPr="00662B0A" w:rsidRDefault="006413D0" w:rsidP="006413D0">
            <w:pPr>
              <w:rPr>
                <w:rFonts w:ascii="CAIXA Std Book" w:eastAsia="Times New Roman" w:hAnsi="CAIXA Std Book" w:cs="Arial"/>
                <w:b/>
                <w:color w:val="005CA9"/>
                <w:sz w:val="16"/>
                <w:szCs w:val="16"/>
              </w:rPr>
            </w:pPr>
            <w:r w:rsidRPr="00662B0A">
              <w:rPr>
                <w:rFonts w:ascii="CAIXA Std Book" w:eastAsia="Times New Roman" w:hAnsi="CAIXA Std Book" w:cs="Arial"/>
                <w:b/>
                <w:color w:val="005CA9"/>
                <w:sz w:val="16"/>
                <w:szCs w:val="16"/>
              </w:rPr>
              <w:t>Total (líquido de provisão)</w:t>
            </w:r>
          </w:p>
        </w:tc>
        <w:tc>
          <w:tcPr>
            <w:tcW w:w="572" w:type="pct"/>
            <w:tcBorders>
              <w:top w:val="single" w:sz="4" w:space="0" w:color="F39200"/>
              <w:left w:val="nil"/>
              <w:bottom w:val="single" w:sz="4" w:space="0" w:color="F39200"/>
              <w:right w:val="nil"/>
            </w:tcBorders>
            <w:shd w:val="clear" w:color="auto" w:fill="auto"/>
            <w:noWrap/>
            <w:vAlign w:val="center"/>
          </w:tcPr>
          <w:p w14:paraId="338EC45A" w14:textId="182E549D"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41.787.259</w:t>
            </w:r>
          </w:p>
        </w:tc>
        <w:tc>
          <w:tcPr>
            <w:tcW w:w="572" w:type="pct"/>
            <w:tcBorders>
              <w:top w:val="single" w:sz="4" w:space="0" w:color="F39200"/>
              <w:left w:val="nil"/>
              <w:bottom w:val="single" w:sz="4" w:space="0" w:color="F39200"/>
              <w:right w:val="nil"/>
            </w:tcBorders>
            <w:shd w:val="clear" w:color="auto" w:fill="auto"/>
            <w:noWrap/>
            <w:vAlign w:val="center"/>
          </w:tcPr>
          <w:p w14:paraId="070F81C6" w14:textId="4470DB0F"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(9.879.859)</w:t>
            </w:r>
          </w:p>
        </w:tc>
        <w:tc>
          <w:tcPr>
            <w:tcW w:w="572" w:type="pct"/>
            <w:tcBorders>
              <w:top w:val="single" w:sz="4" w:space="0" w:color="F39200"/>
              <w:left w:val="nil"/>
              <w:bottom w:val="single" w:sz="4" w:space="0" w:color="F39200"/>
              <w:right w:val="nil"/>
            </w:tcBorders>
            <w:shd w:val="clear" w:color="auto" w:fill="auto"/>
            <w:noWrap/>
            <w:vAlign w:val="center"/>
          </w:tcPr>
          <w:p w14:paraId="78F22A92" w14:textId="20897113"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bCs/>
                <w:color w:val="005CA9"/>
                <w:sz w:val="16"/>
                <w:szCs w:val="16"/>
              </w:rPr>
              <w:t>31.907.400</w:t>
            </w:r>
          </w:p>
        </w:tc>
        <w:tc>
          <w:tcPr>
            <w:tcW w:w="572" w:type="pct"/>
            <w:tcBorders>
              <w:top w:val="single" w:sz="4" w:space="0" w:color="F39200"/>
              <w:left w:val="nil"/>
              <w:bottom w:val="single" w:sz="4" w:space="0" w:color="F39200"/>
              <w:right w:val="nil"/>
            </w:tcBorders>
            <w:shd w:val="clear" w:color="auto" w:fill="auto"/>
            <w:vAlign w:val="center"/>
          </w:tcPr>
          <w:p w14:paraId="7D58123B" w14:textId="22BD9720"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color w:val="005CA9"/>
                <w:sz w:val="16"/>
                <w:szCs w:val="16"/>
              </w:rPr>
              <w:t>41.415.355</w:t>
            </w:r>
          </w:p>
        </w:tc>
        <w:tc>
          <w:tcPr>
            <w:tcW w:w="572" w:type="pct"/>
            <w:tcBorders>
              <w:top w:val="single" w:sz="4" w:space="0" w:color="F39200"/>
              <w:left w:val="nil"/>
              <w:bottom w:val="single" w:sz="4" w:space="0" w:color="F39200"/>
              <w:right w:val="nil"/>
            </w:tcBorders>
            <w:shd w:val="clear" w:color="auto" w:fill="auto"/>
            <w:vAlign w:val="center"/>
          </w:tcPr>
          <w:p w14:paraId="36C0508E" w14:textId="73DE2F1F"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color w:val="005CA9"/>
                <w:sz w:val="16"/>
                <w:szCs w:val="16"/>
              </w:rPr>
              <w:t>(9.363.775)</w:t>
            </w:r>
          </w:p>
        </w:tc>
        <w:tc>
          <w:tcPr>
            <w:tcW w:w="572" w:type="pct"/>
            <w:tcBorders>
              <w:top w:val="single" w:sz="4" w:space="0" w:color="F39200"/>
              <w:left w:val="nil"/>
              <w:bottom w:val="single" w:sz="4" w:space="0" w:color="F39200"/>
              <w:right w:val="nil"/>
            </w:tcBorders>
            <w:shd w:val="clear" w:color="auto" w:fill="auto"/>
            <w:noWrap/>
            <w:vAlign w:val="center"/>
          </w:tcPr>
          <w:p w14:paraId="0ADF1974" w14:textId="1EB34704" w:rsidR="006413D0" w:rsidRPr="00662B0A" w:rsidRDefault="006413D0" w:rsidP="006413D0">
            <w:pPr>
              <w:jc w:val="right"/>
              <w:rPr>
                <w:rFonts w:ascii="CAIXA Std Book" w:hAnsi="CAIXA Std Book" w:cs="Arial"/>
                <w:b/>
                <w:color w:val="005CA9"/>
                <w:sz w:val="16"/>
                <w:szCs w:val="16"/>
              </w:rPr>
            </w:pPr>
            <w:r w:rsidRPr="00662B0A">
              <w:rPr>
                <w:rFonts w:ascii="CAIXA Std Book" w:hAnsi="CAIXA Std Book" w:cs="Arial"/>
                <w:b/>
                <w:color w:val="005CA9"/>
                <w:sz w:val="16"/>
                <w:szCs w:val="16"/>
              </w:rPr>
              <w:t>32.051.579</w:t>
            </w:r>
          </w:p>
        </w:tc>
      </w:tr>
    </w:tbl>
    <w:p w14:paraId="209B28F7" w14:textId="68136795" w:rsidR="007D2F06" w:rsidRPr="0009069D" w:rsidRDefault="001F3E89" w:rsidP="008B2811">
      <w:pPr>
        <w:jc w:val="both"/>
        <w:rPr>
          <w:rFonts w:ascii="CAIXA Std Book" w:hAnsi="CAIXA Std Book"/>
          <w:color w:val="005CA9"/>
          <w:sz w:val="16"/>
          <w:szCs w:val="16"/>
        </w:rPr>
      </w:pPr>
      <w:r w:rsidRPr="0009069D">
        <w:rPr>
          <w:rFonts w:ascii="CAIXA Std Book" w:hAnsi="CAIXA Std Book"/>
          <w:color w:val="005CA9"/>
          <w:sz w:val="16"/>
          <w:szCs w:val="16"/>
        </w:rPr>
        <w:t>(</w:t>
      </w:r>
      <w:r w:rsidR="005B129E" w:rsidRPr="0009069D">
        <w:rPr>
          <w:rFonts w:ascii="CAIXA Std Book" w:hAnsi="CAIXA Std Book"/>
          <w:color w:val="005CA9"/>
          <w:sz w:val="16"/>
          <w:szCs w:val="16"/>
        </w:rPr>
        <w:t>1</w:t>
      </w:r>
      <w:r w:rsidR="007D2F06" w:rsidRPr="0009069D">
        <w:rPr>
          <w:rFonts w:ascii="CAIXA Std Book" w:hAnsi="CAIXA Std Book"/>
          <w:color w:val="005CA9"/>
          <w:sz w:val="16"/>
          <w:szCs w:val="16"/>
        </w:rPr>
        <w:t xml:space="preserve">) Inclui o valor de negativa por multiplicidade de CADMUT no montante de R$ </w:t>
      </w:r>
      <w:r w:rsidR="00CE7160" w:rsidRPr="0009069D">
        <w:rPr>
          <w:rFonts w:ascii="CAIXA Std Book" w:hAnsi="CAIXA Std Book"/>
          <w:color w:val="005CA9"/>
          <w:sz w:val="16"/>
          <w:szCs w:val="16"/>
        </w:rPr>
        <w:t>3.985.92</w:t>
      </w:r>
      <w:r w:rsidR="004B12B4">
        <w:rPr>
          <w:rFonts w:ascii="CAIXA Std Book" w:hAnsi="CAIXA Std Book"/>
          <w:color w:val="005CA9"/>
          <w:sz w:val="16"/>
          <w:szCs w:val="16"/>
        </w:rPr>
        <w:t>5</w:t>
      </w:r>
      <w:r w:rsidR="007E6DA4" w:rsidRPr="0009069D">
        <w:rPr>
          <w:rFonts w:ascii="CAIXA Std Book" w:hAnsi="CAIXA Std Book"/>
          <w:color w:val="005CA9"/>
          <w:sz w:val="16"/>
          <w:szCs w:val="16"/>
        </w:rPr>
        <w:t xml:space="preserve"> </w:t>
      </w:r>
      <w:r w:rsidR="005F61B2" w:rsidRPr="0009069D">
        <w:rPr>
          <w:rFonts w:ascii="CAIXA Std Book" w:hAnsi="CAIXA Std Book"/>
          <w:color w:val="005CA9"/>
          <w:sz w:val="16"/>
          <w:szCs w:val="16"/>
        </w:rPr>
        <w:t>(</w:t>
      </w:r>
      <w:r w:rsidR="003548DB" w:rsidRPr="0009069D">
        <w:rPr>
          <w:rFonts w:ascii="CAIXA Std Book" w:hAnsi="CAIXA Std Book"/>
          <w:color w:val="005CA9"/>
          <w:sz w:val="16"/>
          <w:szCs w:val="16"/>
        </w:rPr>
        <w:t>31/12/202</w:t>
      </w:r>
      <w:r w:rsidR="00AA66D0" w:rsidRPr="0009069D">
        <w:rPr>
          <w:rFonts w:ascii="CAIXA Std Book" w:hAnsi="CAIXA Std Book"/>
          <w:color w:val="005CA9"/>
          <w:sz w:val="16"/>
          <w:szCs w:val="16"/>
        </w:rPr>
        <w:t>3</w:t>
      </w:r>
      <w:r w:rsidR="003548DB" w:rsidRPr="0009069D">
        <w:rPr>
          <w:rFonts w:ascii="CAIXA Std Book" w:hAnsi="CAIXA Std Book"/>
          <w:color w:val="005CA9"/>
          <w:sz w:val="16"/>
          <w:szCs w:val="16"/>
        </w:rPr>
        <w:t xml:space="preserve"> - </w:t>
      </w:r>
      <w:r w:rsidR="005F61B2" w:rsidRPr="0009069D">
        <w:rPr>
          <w:rFonts w:ascii="CAIXA Std Book" w:hAnsi="CAIXA Std Book"/>
          <w:color w:val="005CA9"/>
          <w:sz w:val="16"/>
          <w:szCs w:val="16"/>
        </w:rPr>
        <w:t xml:space="preserve">R$ </w:t>
      </w:r>
      <w:r w:rsidR="00AA66D0" w:rsidRPr="0009069D">
        <w:rPr>
          <w:rFonts w:ascii="CAIXA Std Book" w:hAnsi="CAIXA Std Book"/>
          <w:color w:val="005CA9"/>
          <w:sz w:val="16"/>
          <w:szCs w:val="16"/>
        </w:rPr>
        <w:t>4.249.366</w:t>
      </w:r>
      <w:r w:rsidR="003548DB" w:rsidRPr="0009069D">
        <w:rPr>
          <w:rFonts w:ascii="CAIXA Std Book" w:hAnsi="CAIXA Std Book"/>
          <w:color w:val="005CA9"/>
          <w:sz w:val="16"/>
          <w:szCs w:val="16"/>
        </w:rPr>
        <w:t>)</w:t>
      </w:r>
      <w:r w:rsidR="007E6DA4" w:rsidRPr="0009069D">
        <w:rPr>
          <w:rFonts w:ascii="CAIXA Std Book" w:hAnsi="CAIXA Std Book"/>
          <w:color w:val="005CA9"/>
          <w:sz w:val="16"/>
          <w:szCs w:val="16"/>
        </w:rPr>
        <w:t xml:space="preserve"> </w:t>
      </w:r>
      <w:r w:rsidR="007D2F06" w:rsidRPr="0009069D">
        <w:rPr>
          <w:rFonts w:ascii="CAIXA Std Book" w:hAnsi="CAIXA Std Book"/>
          <w:color w:val="005CA9"/>
          <w:sz w:val="16"/>
          <w:szCs w:val="16"/>
        </w:rPr>
        <w:t>líquido de provisão. O CADMUT é o cadastro para registro das informações dos contratos de financiamento habitacional, ativos e inativos, firmados no âmbito do Sistema Financeiro da Habitação - SFH e dos programas habitacionais e sociais do governo federal, conforme disposto na Lei nº 10.150, de 21/12/2000.</w:t>
      </w:r>
    </w:p>
    <w:p w14:paraId="67FD890D" w14:textId="14FEB5E9" w:rsidR="005664DE" w:rsidRPr="00FF4346" w:rsidRDefault="005664DE" w:rsidP="005664DE">
      <w:pPr>
        <w:spacing w:before="240" w:after="120"/>
        <w:jc w:val="both"/>
        <w:rPr>
          <w:rFonts w:ascii="CAIXA Std Book" w:hAnsi="CAIXA Std Book"/>
          <w:color w:val="005CA9"/>
          <w:sz w:val="20"/>
          <w:szCs w:val="20"/>
        </w:rPr>
      </w:pPr>
      <w:r w:rsidRPr="00FF4346">
        <w:rPr>
          <w:rFonts w:ascii="CAIXA Std Book" w:hAnsi="CAIXA Std Book"/>
          <w:color w:val="005CA9"/>
          <w:sz w:val="20"/>
          <w:szCs w:val="20"/>
        </w:rPr>
        <w:t>Os contratos a serem ressarcidos pelo FCVS rendem juros de até 6,17% ao ano e são atualizados monetariamente de acordo com a variação da Taxa Referencial de Juros (TR)</w:t>
      </w:r>
      <w:r w:rsidR="007368C7" w:rsidRPr="00FF4346">
        <w:rPr>
          <w:rFonts w:ascii="CAIXA Std Book" w:hAnsi="CAIXA Std Book"/>
          <w:color w:val="005CA9"/>
          <w:sz w:val="20"/>
          <w:szCs w:val="20"/>
        </w:rPr>
        <w:t xml:space="preserve"> </w:t>
      </w:r>
      <w:r w:rsidR="009E4F45" w:rsidRPr="00FF4346">
        <w:rPr>
          <w:rFonts w:ascii="CAIXA Std Book" w:hAnsi="CAIXA Std Book"/>
          <w:color w:val="005CA9"/>
          <w:sz w:val="20"/>
          <w:szCs w:val="20"/>
        </w:rPr>
        <w:t xml:space="preserve">de acordo com a </w:t>
      </w:r>
      <w:r w:rsidR="00E967D9" w:rsidRPr="00FF4346">
        <w:rPr>
          <w:rFonts w:ascii="CAIXA Std Book" w:hAnsi="CAIXA Std Book"/>
          <w:color w:val="005CA9"/>
          <w:sz w:val="20"/>
          <w:szCs w:val="20"/>
        </w:rPr>
        <w:t xml:space="preserve">Lei nº 10.150, de </w:t>
      </w:r>
      <w:r w:rsidR="00D43546" w:rsidRPr="00FF4346">
        <w:rPr>
          <w:rFonts w:ascii="CAIXA Std Book" w:hAnsi="CAIXA Std Book"/>
          <w:color w:val="005CA9"/>
          <w:sz w:val="20"/>
          <w:szCs w:val="20"/>
        </w:rPr>
        <w:t>21</w:t>
      </w:r>
      <w:r w:rsidR="00E967D9" w:rsidRPr="00FF4346">
        <w:rPr>
          <w:rFonts w:ascii="CAIXA Std Book" w:hAnsi="CAIXA Std Book"/>
          <w:color w:val="005CA9"/>
          <w:sz w:val="20"/>
          <w:szCs w:val="20"/>
        </w:rPr>
        <w:t xml:space="preserve"> de </w:t>
      </w:r>
      <w:r w:rsidR="00D43546" w:rsidRPr="00FF4346">
        <w:rPr>
          <w:rFonts w:ascii="CAIXA Std Book" w:hAnsi="CAIXA Std Book"/>
          <w:color w:val="005CA9"/>
          <w:sz w:val="20"/>
          <w:szCs w:val="20"/>
        </w:rPr>
        <w:t xml:space="preserve">dezembro de 2000, alterada pela Lei nº </w:t>
      </w:r>
      <w:r w:rsidR="001500DD" w:rsidRPr="00FF4346">
        <w:rPr>
          <w:rFonts w:ascii="CAIXA Std Book" w:hAnsi="CAIXA Std Book"/>
          <w:color w:val="005CA9"/>
          <w:sz w:val="20"/>
          <w:szCs w:val="20"/>
        </w:rPr>
        <w:t>13.932</w:t>
      </w:r>
      <w:r w:rsidR="00D43546" w:rsidRPr="00FF4346">
        <w:rPr>
          <w:rFonts w:ascii="CAIXA Std Book" w:hAnsi="CAIXA Std Book"/>
          <w:color w:val="005CA9"/>
          <w:sz w:val="20"/>
          <w:szCs w:val="20"/>
        </w:rPr>
        <w:t xml:space="preserve">, de </w:t>
      </w:r>
      <w:r w:rsidR="008D2146" w:rsidRPr="00FF4346">
        <w:rPr>
          <w:rFonts w:ascii="CAIXA Std Book" w:hAnsi="CAIXA Std Book"/>
          <w:color w:val="005CA9"/>
          <w:sz w:val="20"/>
          <w:szCs w:val="20"/>
        </w:rPr>
        <w:t>11</w:t>
      </w:r>
      <w:r w:rsidR="00D43546" w:rsidRPr="00FF4346">
        <w:rPr>
          <w:rFonts w:ascii="CAIXA Std Book" w:hAnsi="CAIXA Std Book"/>
          <w:color w:val="005CA9"/>
          <w:sz w:val="20"/>
          <w:szCs w:val="20"/>
        </w:rPr>
        <w:t xml:space="preserve"> de dezembro de </w:t>
      </w:r>
      <w:r w:rsidR="008D2146" w:rsidRPr="00FF4346">
        <w:rPr>
          <w:rFonts w:ascii="CAIXA Std Book" w:hAnsi="CAIXA Std Book"/>
          <w:color w:val="005CA9"/>
          <w:sz w:val="20"/>
          <w:szCs w:val="20"/>
        </w:rPr>
        <w:t>2019</w:t>
      </w:r>
      <w:r w:rsidRPr="00FF4346">
        <w:rPr>
          <w:rFonts w:ascii="CAIXA Std Book" w:hAnsi="CAIXA Std Book"/>
          <w:color w:val="005CA9"/>
          <w:sz w:val="20"/>
          <w:szCs w:val="20"/>
        </w:rPr>
        <w:t>. A efetiva realização desses créditos depende da aderência a um conjunto de normas e procedimentos definidos em regulamentação emitida pelo FCVS.</w:t>
      </w:r>
    </w:p>
    <w:p w14:paraId="79ED6D74" w14:textId="12EFD2F1" w:rsidR="00B27605" w:rsidRPr="00B27605" w:rsidRDefault="00B27605" w:rsidP="00B27605">
      <w:pPr>
        <w:jc w:val="both"/>
        <w:rPr>
          <w:rFonts w:ascii="CAIXA Std Book" w:hAnsi="CAIXA Std Book"/>
          <w:color w:val="005CA9"/>
          <w:sz w:val="20"/>
          <w:szCs w:val="20"/>
        </w:rPr>
      </w:pPr>
      <w:r w:rsidRPr="00B27605">
        <w:rPr>
          <w:rFonts w:ascii="CAIXA Std Book" w:hAnsi="CAIXA Std Book"/>
          <w:color w:val="005CA9"/>
          <w:sz w:val="20"/>
          <w:szCs w:val="20"/>
        </w:rPr>
        <w:lastRenderedPageBreak/>
        <w:t>A apuração da provisão para o ativo do FCVS é realizada por metodologia estatística, atualizada em janeiro de 2024, e baseada em conceitos de risco operacional, uma vez que a novação dos créditos depende da documentação dos contratos, não há processo de crédito envolvido, ou seja, a constituição da provisão é para fazer frente às perdas esperadas decorrentes do processo de novação dos contratos cobertos pelo FCVS.</w:t>
      </w:r>
    </w:p>
    <w:p w14:paraId="1DCF6FCD" w14:textId="081B7F28" w:rsidR="005664DE" w:rsidRPr="00FF4346" w:rsidRDefault="005664DE" w:rsidP="00B37B40">
      <w:pPr>
        <w:pStyle w:val="PargrafodaLista"/>
        <w:numPr>
          <w:ilvl w:val="0"/>
          <w:numId w:val="17"/>
        </w:numPr>
        <w:spacing w:before="360" w:after="240"/>
        <w:ind w:left="567" w:hanging="567"/>
        <w:contextualSpacing w:val="0"/>
        <w:rPr>
          <w:rFonts w:ascii="CAIXA Std Book" w:hAnsi="CAIXA Std Book"/>
          <w:b/>
          <w:color w:val="005CA9"/>
          <w:sz w:val="20"/>
          <w:szCs w:val="20"/>
        </w:rPr>
      </w:pPr>
      <w:bookmarkStart w:id="63" w:name="_Hlk39157449"/>
      <w:r w:rsidRPr="00FF4346">
        <w:rPr>
          <w:rFonts w:ascii="CAIXA Std Book" w:hAnsi="CAIXA Std Book"/>
          <w:b/>
          <w:color w:val="005CA9"/>
          <w:sz w:val="20"/>
          <w:szCs w:val="20"/>
        </w:rPr>
        <w:t>Carteira de câmbio</w:t>
      </w:r>
    </w:p>
    <w:tbl>
      <w:tblPr>
        <w:tblW w:w="5000" w:type="pct"/>
        <w:tblCellMar>
          <w:left w:w="0" w:type="dxa"/>
          <w:right w:w="28" w:type="dxa"/>
        </w:tblCellMar>
        <w:tblLook w:val="04A0" w:firstRow="1" w:lastRow="0" w:firstColumn="1" w:lastColumn="0" w:noHBand="0" w:noVBand="1"/>
      </w:tblPr>
      <w:tblGrid>
        <w:gridCol w:w="6226"/>
        <w:gridCol w:w="1681"/>
        <w:gridCol w:w="1590"/>
      </w:tblGrid>
      <w:tr w:rsidR="003B2B2A" w:rsidRPr="00A33766" w14:paraId="4E280E38" w14:textId="77777777" w:rsidTr="00120D78">
        <w:trPr>
          <w:trHeight w:val="283"/>
        </w:trPr>
        <w:tc>
          <w:tcPr>
            <w:tcW w:w="5000" w:type="pct"/>
            <w:gridSpan w:val="3"/>
            <w:tcBorders>
              <w:top w:val="single" w:sz="4" w:space="0" w:color="F39200"/>
              <w:left w:val="nil"/>
              <w:bottom w:val="single" w:sz="4" w:space="0" w:color="F39200"/>
              <w:right w:val="nil"/>
            </w:tcBorders>
            <w:shd w:val="clear" w:color="auto" w:fill="auto"/>
            <w:noWrap/>
            <w:vAlign w:val="center"/>
            <w:hideMark/>
          </w:tcPr>
          <w:bookmarkEnd w:id="63"/>
          <w:p w14:paraId="3A00DCEC" w14:textId="77777777" w:rsidR="005664DE" w:rsidRPr="00FF4346" w:rsidRDefault="005664DE"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 xml:space="preserve">INDIVIDUAL / CONSOLIDADO </w:t>
            </w:r>
          </w:p>
        </w:tc>
      </w:tr>
      <w:tr w:rsidR="003B2B2A" w:rsidRPr="00A33766" w14:paraId="3839BA9F" w14:textId="77777777" w:rsidTr="00120D78">
        <w:trPr>
          <w:trHeight w:val="283"/>
        </w:trPr>
        <w:tc>
          <w:tcPr>
            <w:tcW w:w="3278" w:type="pct"/>
            <w:tcBorders>
              <w:top w:val="nil"/>
              <w:left w:val="nil"/>
              <w:bottom w:val="single" w:sz="4" w:space="0" w:color="F39200"/>
              <w:right w:val="nil"/>
            </w:tcBorders>
            <w:shd w:val="clear" w:color="auto" w:fill="auto"/>
            <w:noWrap/>
            <w:vAlign w:val="center"/>
            <w:hideMark/>
          </w:tcPr>
          <w:p w14:paraId="71B654EE" w14:textId="77777777" w:rsidR="005664DE" w:rsidRPr="00FF4346" w:rsidRDefault="005664DE"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Descrição</w:t>
            </w:r>
          </w:p>
        </w:tc>
        <w:tc>
          <w:tcPr>
            <w:tcW w:w="885" w:type="pct"/>
            <w:tcBorders>
              <w:top w:val="nil"/>
              <w:left w:val="nil"/>
              <w:bottom w:val="single" w:sz="4" w:space="0" w:color="F39200"/>
              <w:right w:val="nil"/>
            </w:tcBorders>
            <w:shd w:val="clear" w:color="auto" w:fill="auto"/>
            <w:noWrap/>
            <w:vAlign w:val="center"/>
            <w:hideMark/>
          </w:tcPr>
          <w:p w14:paraId="7AE51F73" w14:textId="7346E663" w:rsidR="005664DE" w:rsidRPr="00FF4346" w:rsidRDefault="006C22D3"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w:t>
            </w:r>
            <w:r w:rsidR="002076EF" w:rsidRPr="00FF4346">
              <w:rPr>
                <w:rFonts w:ascii="CAIXA Std Book" w:hAnsi="CAIXA Std Book" w:cs="MS Gothic"/>
                <w:b/>
                <w:color w:val="005CA9"/>
                <w:sz w:val="18"/>
                <w:szCs w:val="18"/>
              </w:rPr>
              <w:t>03/2024</w:t>
            </w:r>
          </w:p>
        </w:tc>
        <w:tc>
          <w:tcPr>
            <w:tcW w:w="837" w:type="pct"/>
            <w:tcBorders>
              <w:top w:val="nil"/>
              <w:left w:val="nil"/>
              <w:bottom w:val="single" w:sz="4" w:space="0" w:color="F39200"/>
              <w:right w:val="nil"/>
            </w:tcBorders>
            <w:shd w:val="clear" w:color="auto" w:fill="auto"/>
            <w:noWrap/>
            <w:vAlign w:val="center"/>
            <w:hideMark/>
          </w:tcPr>
          <w:p w14:paraId="42F47BAF" w14:textId="5C569C00" w:rsidR="005664DE" w:rsidRPr="00FF4346" w:rsidRDefault="002076EF" w:rsidP="006D093A">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31/12/2023</w:t>
            </w:r>
          </w:p>
        </w:tc>
      </w:tr>
      <w:tr w:rsidR="003B2B2A" w:rsidRPr="00A33766" w14:paraId="059D2EDD" w14:textId="77777777" w:rsidTr="00120D78">
        <w:trPr>
          <w:trHeight w:val="283"/>
        </w:trPr>
        <w:tc>
          <w:tcPr>
            <w:tcW w:w="5000" w:type="pct"/>
            <w:gridSpan w:val="3"/>
            <w:tcBorders>
              <w:top w:val="nil"/>
              <w:left w:val="nil"/>
              <w:bottom w:val="single" w:sz="4" w:space="0" w:color="F39200"/>
              <w:right w:val="nil"/>
            </w:tcBorders>
            <w:shd w:val="clear" w:color="auto" w:fill="auto"/>
            <w:noWrap/>
            <w:vAlign w:val="center"/>
            <w:hideMark/>
          </w:tcPr>
          <w:p w14:paraId="6D8E4295" w14:textId="749038B7" w:rsidR="008108AC" w:rsidRPr="00FF4346" w:rsidRDefault="008108AC" w:rsidP="008108AC">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Ativ</w:t>
            </w:r>
            <w:r w:rsidR="00C827C0" w:rsidRPr="00FF4346">
              <w:rPr>
                <w:rFonts w:ascii="CAIXA Std Book" w:hAnsi="CAIXA Std Book" w:cs="MS Gothic"/>
                <w:b/>
                <w:color w:val="005CA9"/>
                <w:sz w:val="18"/>
                <w:szCs w:val="18"/>
              </w:rPr>
              <w:t>o</w:t>
            </w:r>
          </w:p>
        </w:tc>
      </w:tr>
      <w:tr w:rsidR="00E20412" w:rsidRPr="00A33766" w14:paraId="1B8ACA16" w14:textId="77777777" w:rsidTr="00120D78">
        <w:trPr>
          <w:trHeight w:val="283"/>
        </w:trPr>
        <w:tc>
          <w:tcPr>
            <w:tcW w:w="3278" w:type="pct"/>
            <w:tcBorders>
              <w:top w:val="nil"/>
              <w:left w:val="nil"/>
              <w:bottom w:val="nil"/>
              <w:right w:val="nil"/>
            </w:tcBorders>
            <w:shd w:val="clear" w:color="auto" w:fill="auto"/>
            <w:noWrap/>
            <w:vAlign w:val="center"/>
            <w:hideMark/>
          </w:tcPr>
          <w:p w14:paraId="3C872B7B" w14:textId="77777777"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Câmbio comprado a liquidar – moeda estrangeira</w:t>
            </w:r>
          </w:p>
        </w:tc>
        <w:tc>
          <w:tcPr>
            <w:tcW w:w="885" w:type="pct"/>
            <w:tcBorders>
              <w:top w:val="nil"/>
              <w:left w:val="nil"/>
              <w:bottom w:val="nil"/>
              <w:right w:val="nil"/>
            </w:tcBorders>
            <w:shd w:val="clear" w:color="auto" w:fill="auto"/>
            <w:noWrap/>
            <w:vAlign w:val="center"/>
          </w:tcPr>
          <w:p w14:paraId="289BE2BB" w14:textId="69005907"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1.871.865</w:t>
            </w:r>
          </w:p>
        </w:tc>
        <w:tc>
          <w:tcPr>
            <w:tcW w:w="837" w:type="pct"/>
            <w:tcBorders>
              <w:top w:val="nil"/>
              <w:left w:val="nil"/>
              <w:bottom w:val="nil"/>
              <w:right w:val="nil"/>
            </w:tcBorders>
            <w:shd w:val="clear" w:color="auto" w:fill="auto"/>
            <w:noWrap/>
            <w:vAlign w:val="center"/>
          </w:tcPr>
          <w:p w14:paraId="7F55D9A0" w14:textId="0DB3F773" w:rsidR="00E20412" w:rsidRPr="00FF4346" w:rsidRDefault="00E20412" w:rsidP="00E20412">
            <w:pPr>
              <w:jc w:val="right"/>
              <w:rPr>
                <w:rFonts w:ascii="CAIXA Std Book" w:hAnsi="CAIXA Std Book" w:cs="MS Gothic"/>
                <w:color w:val="005CA9"/>
                <w:sz w:val="18"/>
                <w:szCs w:val="18"/>
              </w:rPr>
            </w:pPr>
            <w:r w:rsidRPr="00FF4346">
              <w:rPr>
                <w:rFonts w:ascii="CAIXA Std Book" w:hAnsi="CAIXA Std Book" w:cs="Arial Unicode MS"/>
                <w:color w:val="005CA9"/>
                <w:sz w:val="18"/>
                <w:szCs w:val="18"/>
              </w:rPr>
              <w:t>1.813.106</w:t>
            </w:r>
          </w:p>
        </w:tc>
      </w:tr>
      <w:tr w:rsidR="00E20412" w:rsidRPr="00A33766" w14:paraId="587A56A4" w14:textId="77777777" w:rsidTr="00120D78">
        <w:trPr>
          <w:trHeight w:val="283"/>
        </w:trPr>
        <w:tc>
          <w:tcPr>
            <w:tcW w:w="3278" w:type="pct"/>
            <w:tcBorders>
              <w:top w:val="nil"/>
              <w:left w:val="nil"/>
              <w:bottom w:val="nil"/>
              <w:right w:val="nil"/>
            </w:tcBorders>
            <w:shd w:val="clear" w:color="auto" w:fill="auto"/>
            <w:noWrap/>
            <w:vAlign w:val="center"/>
          </w:tcPr>
          <w:p w14:paraId="7BB19064" w14:textId="4263AF59"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Rendas a receber de adiantamentos concedidos - ACC/ACE (Nota 9 (a))</w:t>
            </w:r>
          </w:p>
        </w:tc>
        <w:tc>
          <w:tcPr>
            <w:tcW w:w="885" w:type="pct"/>
            <w:tcBorders>
              <w:top w:val="nil"/>
              <w:left w:val="nil"/>
              <w:bottom w:val="nil"/>
              <w:right w:val="nil"/>
            </w:tcBorders>
            <w:shd w:val="clear" w:color="auto" w:fill="auto"/>
            <w:noWrap/>
            <w:vAlign w:val="center"/>
          </w:tcPr>
          <w:p w14:paraId="65FD39F2" w14:textId="1DCA7C49"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73.592</w:t>
            </w:r>
          </w:p>
        </w:tc>
        <w:tc>
          <w:tcPr>
            <w:tcW w:w="837" w:type="pct"/>
            <w:tcBorders>
              <w:top w:val="nil"/>
              <w:left w:val="nil"/>
              <w:bottom w:val="nil"/>
              <w:right w:val="nil"/>
            </w:tcBorders>
            <w:shd w:val="clear" w:color="auto" w:fill="auto"/>
            <w:noWrap/>
            <w:vAlign w:val="center"/>
          </w:tcPr>
          <w:p w14:paraId="3EA4EF3A" w14:textId="529928EF" w:rsidR="00E20412" w:rsidRPr="00FF4346" w:rsidRDefault="00E20412" w:rsidP="00E20412">
            <w:pPr>
              <w:jc w:val="right"/>
              <w:rPr>
                <w:rFonts w:ascii="CAIXA Std Book" w:hAnsi="CAIXA Std Book" w:cs="Arial Unicode MS"/>
                <w:color w:val="005CA9"/>
                <w:sz w:val="18"/>
                <w:szCs w:val="18"/>
              </w:rPr>
            </w:pPr>
            <w:r w:rsidRPr="00FF4346">
              <w:rPr>
                <w:rFonts w:ascii="CAIXA Std Book" w:hAnsi="CAIXA Std Book" w:cs="Arial Unicode MS"/>
                <w:color w:val="005CA9"/>
                <w:sz w:val="18"/>
                <w:szCs w:val="18"/>
              </w:rPr>
              <w:t>77.160</w:t>
            </w:r>
          </w:p>
        </w:tc>
      </w:tr>
      <w:tr w:rsidR="00E20412" w:rsidRPr="00A33766" w14:paraId="1DE3CAA7" w14:textId="77777777" w:rsidTr="00120D78">
        <w:trPr>
          <w:trHeight w:val="283"/>
        </w:trPr>
        <w:tc>
          <w:tcPr>
            <w:tcW w:w="3278" w:type="pct"/>
            <w:tcBorders>
              <w:top w:val="nil"/>
              <w:left w:val="nil"/>
              <w:bottom w:val="nil"/>
              <w:right w:val="nil"/>
            </w:tcBorders>
            <w:shd w:val="clear" w:color="auto" w:fill="auto"/>
            <w:noWrap/>
            <w:vAlign w:val="center"/>
          </w:tcPr>
          <w:p w14:paraId="36776451" w14:textId="054AC5B9"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Direitos sobre vendas de câmbio – moeda nacional</w:t>
            </w:r>
          </w:p>
        </w:tc>
        <w:tc>
          <w:tcPr>
            <w:tcW w:w="885" w:type="pct"/>
            <w:tcBorders>
              <w:top w:val="nil"/>
              <w:left w:val="nil"/>
              <w:bottom w:val="nil"/>
              <w:right w:val="nil"/>
            </w:tcBorders>
            <w:shd w:val="clear" w:color="auto" w:fill="auto"/>
            <w:noWrap/>
            <w:vAlign w:val="center"/>
          </w:tcPr>
          <w:p w14:paraId="1D50455B" w14:textId="5F22E606"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54.333</w:t>
            </w:r>
          </w:p>
        </w:tc>
        <w:tc>
          <w:tcPr>
            <w:tcW w:w="837" w:type="pct"/>
            <w:tcBorders>
              <w:top w:val="nil"/>
              <w:left w:val="nil"/>
              <w:bottom w:val="nil"/>
              <w:right w:val="nil"/>
            </w:tcBorders>
            <w:shd w:val="clear" w:color="auto" w:fill="auto"/>
            <w:noWrap/>
            <w:vAlign w:val="center"/>
          </w:tcPr>
          <w:p w14:paraId="2B8163F0" w14:textId="7C901621" w:rsidR="00E20412" w:rsidRPr="00FF4346" w:rsidRDefault="00E20412" w:rsidP="00E20412">
            <w:pPr>
              <w:jc w:val="right"/>
              <w:rPr>
                <w:rFonts w:ascii="CAIXA Std Book" w:hAnsi="CAIXA Std Book" w:cs="Arial Unicode MS"/>
                <w:color w:val="005CA9"/>
                <w:sz w:val="18"/>
                <w:szCs w:val="18"/>
              </w:rPr>
            </w:pPr>
            <w:r w:rsidRPr="00FF4346">
              <w:rPr>
                <w:rFonts w:ascii="CAIXA Std Book" w:hAnsi="CAIXA Std Book" w:cs="Arial Unicode MS"/>
                <w:color w:val="005CA9"/>
                <w:sz w:val="18"/>
                <w:szCs w:val="18"/>
              </w:rPr>
              <w:t>14.894</w:t>
            </w:r>
          </w:p>
        </w:tc>
      </w:tr>
      <w:tr w:rsidR="00E20412" w:rsidRPr="00A33766" w14:paraId="054E7021" w14:textId="77777777" w:rsidTr="00120D78">
        <w:trPr>
          <w:trHeight w:val="283"/>
        </w:trPr>
        <w:tc>
          <w:tcPr>
            <w:tcW w:w="3278" w:type="pct"/>
            <w:tcBorders>
              <w:top w:val="nil"/>
              <w:left w:val="nil"/>
              <w:bottom w:val="nil"/>
              <w:right w:val="nil"/>
            </w:tcBorders>
            <w:shd w:val="clear" w:color="auto" w:fill="auto"/>
            <w:noWrap/>
            <w:vAlign w:val="center"/>
            <w:hideMark/>
          </w:tcPr>
          <w:p w14:paraId="4F40DE9B" w14:textId="77777777"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 xml:space="preserve">(-) Adiantamentos recebidos – moeda nacional </w:t>
            </w:r>
          </w:p>
        </w:tc>
        <w:tc>
          <w:tcPr>
            <w:tcW w:w="885" w:type="pct"/>
            <w:tcBorders>
              <w:top w:val="nil"/>
              <w:left w:val="nil"/>
              <w:bottom w:val="nil"/>
              <w:right w:val="nil"/>
            </w:tcBorders>
            <w:shd w:val="clear" w:color="auto" w:fill="auto"/>
            <w:noWrap/>
            <w:vAlign w:val="center"/>
          </w:tcPr>
          <w:p w14:paraId="06A8AF96" w14:textId="58DF6A31"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(42.778)</w:t>
            </w:r>
          </w:p>
        </w:tc>
        <w:tc>
          <w:tcPr>
            <w:tcW w:w="837" w:type="pct"/>
            <w:tcBorders>
              <w:top w:val="nil"/>
              <w:left w:val="nil"/>
              <w:bottom w:val="nil"/>
              <w:right w:val="nil"/>
            </w:tcBorders>
            <w:shd w:val="clear" w:color="auto" w:fill="auto"/>
            <w:noWrap/>
            <w:vAlign w:val="center"/>
          </w:tcPr>
          <w:p w14:paraId="1064C7B7" w14:textId="31D8DA11" w:rsidR="00E20412" w:rsidRPr="00FF4346" w:rsidRDefault="00E20412" w:rsidP="00E20412">
            <w:pPr>
              <w:jc w:val="right"/>
              <w:rPr>
                <w:rFonts w:ascii="CAIXA Std Book" w:hAnsi="CAIXA Std Book" w:cs="MS Gothic"/>
                <w:color w:val="005CA9"/>
                <w:sz w:val="18"/>
                <w:szCs w:val="18"/>
              </w:rPr>
            </w:pPr>
            <w:r w:rsidRPr="00FF4346">
              <w:rPr>
                <w:rFonts w:ascii="CAIXA Std Book" w:hAnsi="CAIXA Std Book" w:cs="Arial Unicode MS"/>
                <w:color w:val="005CA9"/>
                <w:sz w:val="18"/>
                <w:szCs w:val="18"/>
              </w:rPr>
              <w:t>(12.353)</w:t>
            </w:r>
          </w:p>
        </w:tc>
      </w:tr>
      <w:tr w:rsidR="00E20412" w:rsidRPr="00A33766" w14:paraId="2CA1A5CC" w14:textId="77777777" w:rsidTr="00120D78">
        <w:trPr>
          <w:trHeight w:val="283"/>
        </w:trPr>
        <w:tc>
          <w:tcPr>
            <w:tcW w:w="3278" w:type="pct"/>
            <w:tcBorders>
              <w:top w:val="nil"/>
              <w:left w:val="nil"/>
              <w:bottom w:val="nil"/>
              <w:right w:val="nil"/>
            </w:tcBorders>
            <w:shd w:val="clear" w:color="auto" w:fill="auto"/>
            <w:noWrap/>
            <w:vAlign w:val="center"/>
          </w:tcPr>
          <w:p w14:paraId="683385A8" w14:textId="66500212"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 Adiantamentos recebidos – moeda estrangeira</w:t>
            </w:r>
          </w:p>
        </w:tc>
        <w:tc>
          <w:tcPr>
            <w:tcW w:w="885" w:type="pct"/>
            <w:tcBorders>
              <w:top w:val="nil"/>
              <w:left w:val="nil"/>
              <w:bottom w:val="nil"/>
              <w:right w:val="nil"/>
            </w:tcBorders>
            <w:shd w:val="clear" w:color="auto" w:fill="auto"/>
            <w:noWrap/>
            <w:vAlign w:val="center"/>
          </w:tcPr>
          <w:p w14:paraId="1B9B5ED7" w14:textId="0DF9B6DD"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(5.686)</w:t>
            </w:r>
          </w:p>
        </w:tc>
        <w:tc>
          <w:tcPr>
            <w:tcW w:w="837" w:type="pct"/>
            <w:tcBorders>
              <w:top w:val="nil"/>
              <w:left w:val="nil"/>
              <w:bottom w:val="nil"/>
              <w:right w:val="nil"/>
            </w:tcBorders>
            <w:shd w:val="clear" w:color="auto" w:fill="auto"/>
            <w:noWrap/>
            <w:vAlign w:val="center"/>
          </w:tcPr>
          <w:p w14:paraId="32922BA8" w14:textId="18B15DA4" w:rsidR="00E20412" w:rsidRPr="00FF4346" w:rsidRDefault="00E20412" w:rsidP="00E20412">
            <w:pPr>
              <w:jc w:val="right"/>
              <w:rPr>
                <w:rFonts w:ascii="CAIXA Std Book" w:hAnsi="CAIXA Std Book" w:cs="MS Gothic"/>
                <w:color w:val="005CA9"/>
                <w:sz w:val="18"/>
                <w:szCs w:val="18"/>
              </w:rPr>
            </w:pPr>
            <w:r w:rsidRPr="00FF4346">
              <w:rPr>
                <w:rFonts w:ascii="CAIXA Std Book" w:hAnsi="CAIXA Std Book" w:cs="Arial Unicode MS"/>
                <w:color w:val="005CA9"/>
                <w:sz w:val="18"/>
                <w:szCs w:val="18"/>
              </w:rPr>
              <w:t>(490)</w:t>
            </w:r>
          </w:p>
        </w:tc>
      </w:tr>
      <w:tr w:rsidR="00E20412" w:rsidRPr="00A33766" w14:paraId="1CDC402E" w14:textId="77777777" w:rsidTr="00120D78">
        <w:trPr>
          <w:trHeight w:val="283"/>
        </w:trPr>
        <w:tc>
          <w:tcPr>
            <w:tcW w:w="3278" w:type="pct"/>
            <w:tcBorders>
              <w:top w:val="nil"/>
              <w:left w:val="nil"/>
              <w:bottom w:val="single" w:sz="4" w:space="0" w:color="F39200"/>
              <w:right w:val="nil"/>
            </w:tcBorders>
            <w:shd w:val="clear" w:color="auto" w:fill="auto"/>
            <w:noWrap/>
            <w:vAlign w:val="center"/>
            <w:hideMark/>
          </w:tcPr>
          <w:p w14:paraId="2D3061C1" w14:textId="77777777" w:rsidR="00E20412" w:rsidRPr="00FF4346" w:rsidRDefault="00E20412" w:rsidP="00E20412">
            <w:pPr>
              <w:rPr>
                <w:rFonts w:ascii="CAIXA Std Book" w:hAnsi="CAIXA Std Book" w:cs="MS Gothic"/>
                <w:b/>
                <w:color w:val="005CA9"/>
                <w:sz w:val="18"/>
                <w:szCs w:val="18"/>
              </w:rPr>
            </w:pPr>
            <w:r w:rsidRPr="00FF4346">
              <w:rPr>
                <w:rFonts w:ascii="CAIXA Std Book" w:hAnsi="CAIXA Std Book" w:cs="MS Gothic"/>
                <w:b/>
                <w:color w:val="005CA9"/>
                <w:sz w:val="18"/>
                <w:szCs w:val="18"/>
              </w:rPr>
              <w:t>Ativo circulante</w:t>
            </w:r>
          </w:p>
        </w:tc>
        <w:tc>
          <w:tcPr>
            <w:tcW w:w="885" w:type="pct"/>
            <w:tcBorders>
              <w:top w:val="nil"/>
              <w:left w:val="nil"/>
              <w:bottom w:val="single" w:sz="4" w:space="0" w:color="F39200"/>
              <w:right w:val="nil"/>
            </w:tcBorders>
            <w:shd w:val="clear" w:color="auto" w:fill="auto"/>
            <w:noWrap/>
            <w:vAlign w:val="center"/>
          </w:tcPr>
          <w:p w14:paraId="3422F2B2" w14:textId="0F02AB13" w:rsidR="00E20412" w:rsidRPr="00FF4346" w:rsidRDefault="00E20412" w:rsidP="00E20412">
            <w:pPr>
              <w:jc w:val="right"/>
              <w:rPr>
                <w:rFonts w:ascii="CAIXA Std Book" w:hAnsi="CAIXA Std Book" w:cs="Arial Unicode MS"/>
                <w:b/>
                <w:color w:val="005CA9"/>
                <w:sz w:val="18"/>
                <w:szCs w:val="18"/>
              </w:rPr>
            </w:pPr>
            <w:r>
              <w:rPr>
                <w:rFonts w:ascii="CAIXA Std Book" w:hAnsi="CAIXA Std Book" w:cs="Arial"/>
                <w:b/>
                <w:bCs/>
                <w:color w:val="005CA9"/>
                <w:sz w:val="18"/>
                <w:szCs w:val="18"/>
              </w:rPr>
              <w:t>1.951.326</w:t>
            </w:r>
          </w:p>
        </w:tc>
        <w:tc>
          <w:tcPr>
            <w:tcW w:w="837" w:type="pct"/>
            <w:tcBorders>
              <w:top w:val="nil"/>
              <w:left w:val="nil"/>
              <w:bottom w:val="single" w:sz="4" w:space="0" w:color="F39200"/>
              <w:right w:val="nil"/>
            </w:tcBorders>
            <w:shd w:val="clear" w:color="auto" w:fill="auto"/>
            <w:noWrap/>
            <w:vAlign w:val="center"/>
          </w:tcPr>
          <w:p w14:paraId="3BC55860" w14:textId="381D1A1D" w:rsidR="00E20412" w:rsidRPr="00FF4346" w:rsidRDefault="00E20412" w:rsidP="00E20412">
            <w:pPr>
              <w:jc w:val="right"/>
              <w:rPr>
                <w:rFonts w:ascii="CAIXA Std Book" w:hAnsi="CAIXA Std Book" w:cs="Arial Unicode MS"/>
                <w:b/>
                <w:color w:val="005CA9"/>
                <w:sz w:val="18"/>
                <w:szCs w:val="18"/>
              </w:rPr>
            </w:pPr>
            <w:r w:rsidRPr="00FF4346">
              <w:rPr>
                <w:rFonts w:ascii="CAIXA Std Book" w:hAnsi="CAIXA Std Book" w:cs="Arial Unicode MS"/>
                <w:b/>
                <w:color w:val="005CA9"/>
                <w:sz w:val="18"/>
                <w:szCs w:val="18"/>
              </w:rPr>
              <w:t>1.892.317</w:t>
            </w:r>
          </w:p>
        </w:tc>
      </w:tr>
      <w:tr w:rsidR="003B2B2A" w:rsidRPr="00A33766" w14:paraId="59D1B08E" w14:textId="77777777" w:rsidTr="00120D78">
        <w:trPr>
          <w:trHeight w:val="283"/>
        </w:trPr>
        <w:tc>
          <w:tcPr>
            <w:tcW w:w="5000" w:type="pct"/>
            <w:gridSpan w:val="3"/>
            <w:tcBorders>
              <w:top w:val="nil"/>
              <w:left w:val="nil"/>
              <w:bottom w:val="single" w:sz="4" w:space="0" w:color="F39200"/>
              <w:right w:val="nil"/>
            </w:tcBorders>
            <w:shd w:val="clear" w:color="auto" w:fill="auto"/>
            <w:noWrap/>
            <w:vAlign w:val="center"/>
            <w:hideMark/>
          </w:tcPr>
          <w:p w14:paraId="6F1A2A32" w14:textId="636D562F" w:rsidR="00905AA4" w:rsidRPr="00FF4346" w:rsidRDefault="00905AA4" w:rsidP="00905AA4">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Passivo</w:t>
            </w:r>
          </w:p>
        </w:tc>
      </w:tr>
      <w:tr w:rsidR="00E20412" w:rsidRPr="00A33766" w14:paraId="52EBE791" w14:textId="77777777" w:rsidTr="00120D78">
        <w:trPr>
          <w:trHeight w:val="283"/>
        </w:trPr>
        <w:tc>
          <w:tcPr>
            <w:tcW w:w="3278" w:type="pct"/>
            <w:tcBorders>
              <w:top w:val="nil"/>
              <w:left w:val="nil"/>
              <w:bottom w:val="nil"/>
              <w:right w:val="nil"/>
            </w:tcBorders>
            <w:shd w:val="clear" w:color="auto" w:fill="auto"/>
            <w:noWrap/>
            <w:vAlign w:val="center"/>
            <w:hideMark/>
          </w:tcPr>
          <w:p w14:paraId="73710902" w14:textId="77777777"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Obrigações por compras de câmbio – moeda nacional</w:t>
            </w:r>
          </w:p>
        </w:tc>
        <w:tc>
          <w:tcPr>
            <w:tcW w:w="885" w:type="pct"/>
            <w:tcBorders>
              <w:top w:val="nil"/>
              <w:left w:val="nil"/>
              <w:bottom w:val="nil"/>
              <w:right w:val="nil"/>
            </w:tcBorders>
            <w:shd w:val="clear" w:color="auto" w:fill="auto"/>
            <w:noWrap/>
            <w:vAlign w:val="center"/>
          </w:tcPr>
          <w:p w14:paraId="5273789A" w14:textId="69B275F0"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1.846.342</w:t>
            </w:r>
          </w:p>
        </w:tc>
        <w:tc>
          <w:tcPr>
            <w:tcW w:w="837" w:type="pct"/>
            <w:tcBorders>
              <w:top w:val="nil"/>
              <w:left w:val="nil"/>
              <w:bottom w:val="nil"/>
              <w:right w:val="nil"/>
            </w:tcBorders>
            <w:shd w:val="clear" w:color="auto" w:fill="auto"/>
            <w:noWrap/>
            <w:vAlign w:val="center"/>
          </w:tcPr>
          <w:p w14:paraId="32E694EC" w14:textId="3E0E7CF2" w:rsidR="00E20412" w:rsidRPr="00FF4346" w:rsidRDefault="00E20412" w:rsidP="00E20412">
            <w:pPr>
              <w:jc w:val="right"/>
              <w:rPr>
                <w:rFonts w:ascii="CAIXA Std Book" w:hAnsi="CAIXA Std Book" w:cs="Arial Unicode MS"/>
                <w:color w:val="005CA9"/>
                <w:sz w:val="18"/>
                <w:szCs w:val="18"/>
              </w:rPr>
            </w:pPr>
            <w:r w:rsidRPr="00FF4346">
              <w:rPr>
                <w:rFonts w:ascii="CAIXA Std Book" w:hAnsi="CAIXA Std Book" w:cs="Arial Unicode MS"/>
                <w:color w:val="005CA9"/>
                <w:sz w:val="18"/>
                <w:szCs w:val="18"/>
              </w:rPr>
              <w:t>1.837.664</w:t>
            </w:r>
          </w:p>
        </w:tc>
      </w:tr>
      <w:tr w:rsidR="00E20412" w:rsidRPr="00A33766" w14:paraId="5F543730" w14:textId="77777777" w:rsidTr="00120D78">
        <w:trPr>
          <w:trHeight w:val="283"/>
        </w:trPr>
        <w:tc>
          <w:tcPr>
            <w:tcW w:w="3278" w:type="pct"/>
            <w:tcBorders>
              <w:top w:val="nil"/>
              <w:left w:val="nil"/>
              <w:bottom w:val="nil"/>
              <w:right w:val="nil"/>
            </w:tcBorders>
            <w:shd w:val="clear" w:color="auto" w:fill="auto"/>
            <w:noWrap/>
            <w:vAlign w:val="center"/>
            <w:hideMark/>
          </w:tcPr>
          <w:p w14:paraId="3F1F8A9B" w14:textId="77777777"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 xml:space="preserve">Câmbio vendido a liquidar – moeda estrangeira </w:t>
            </w:r>
          </w:p>
        </w:tc>
        <w:tc>
          <w:tcPr>
            <w:tcW w:w="885" w:type="pct"/>
            <w:tcBorders>
              <w:top w:val="nil"/>
              <w:left w:val="nil"/>
              <w:bottom w:val="nil"/>
              <w:right w:val="nil"/>
            </w:tcBorders>
            <w:shd w:val="clear" w:color="auto" w:fill="auto"/>
            <w:noWrap/>
            <w:vAlign w:val="center"/>
          </w:tcPr>
          <w:p w14:paraId="3815297C" w14:textId="43FB2075"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54.336</w:t>
            </w:r>
          </w:p>
        </w:tc>
        <w:tc>
          <w:tcPr>
            <w:tcW w:w="837" w:type="pct"/>
            <w:tcBorders>
              <w:top w:val="nil"/>
              <w:left w:val="nil"/>
              <w:bottom w:val="nil"/>
              <w:right w:val="nil"/>
            </w:tcBorders>
            <w:shd w:val="clear" w:color="auto" w:fill="auto"/>
            <w:noWrap/>
            <w:vAlign w:val="center"/>
          </w:tcPr>
          <w:p w14:paraId="1EE55756" w14:textId="33ADF4A2" w:rsidR="00E20412" w:rsidRPr="00FF4346" w:rsidRDefault="00E20412" w:rsidP="00E20412">
            <w:pPr>
              <w:jc w:val="right"/>
              <w:rPr>
                <w:rFonts w:ascii="CAIXA Std Book" w:hAnsi="CAIXA Std Book" w:cs="Arial Unicode MS"/>
                <w:color w:val="005CA9"/>
                <w:sz w:val="18"/>
                <w:szCs w:val="18"/>
              </w:rPr>
            </w:pPr>
            <w:r w:rsidRPr="00FF4346">
              <w:rPr>
                <w:rFonts w:ascii="CAIXA Std Book" w:hAnsi="CAIXA Std Book" w:cs="Arial Unicode MS"/>
                <w:color w:val="005CA9"/>
                <w:sz w:val="18"/>
                <w:szCs w:val="18"/>
              </w:rPr>
              <w:t>14.724</w:t>
            </w:r>
          </w:p>
        </w:tc>
      </w:tr>
      <w:tr w:rsidR="00E20412" w:rsidRPr="00A33766" w14:paraId="15FE4534" w14:textId="77777777" w:rsidTr="00120D78">
        <w:trPr>
          <w:trHeight w:val="283"/>
        </w:trPr>
        <w:tc>
          <w:tcPr>
            <w:tcW w:w="3278" w:type="pct"/>
            <w:tcBorders>
              <w:top w:val="nil"/>
              <w:left w:val="nil"/>
              <w:bottom w:val="nil"/>
              <w:right w:val="nil"/>
            </w:tcBorders>
            <w:shd w:val="clear" w:color="auto" w:fill="auto"/>
            <w:noWrap/>
            <w:vAlign w:val="center"/>
            <w:hideMark/>
          </w:tcPr>
          <w:p w14:paraId="6FB4445A" w14:textId="77777777" w:rsidR="00E20412" w:rsidRPr="00FF4346" w:rsidRDefault="00E20412" w:rsidP="00E20412">
            <w:pPr>
              <w:rPr>
                <w:rFonts w:ascii="CAIXA Std Book" w:hAnsi="CAIXA Std Book" w:cs="MS Gothic"/>
                <w:color w:val="005CA9"/>
                <w:sz w:val="18"/>
                <w:szCs w:val="18"/>
              </w:rPr>
            </w:pPr>
            <w:r w:rsidRPr="00FF4346">
              <w:rPr>
                <w:rFonts w:ascii="CAIXA Std Book" w:hAnsi="CAIXA Std Book" w:cs="MS Gothic"/>
                <w:color w:val="005CA9"/>
                <w:sz w:val="18"/>
                <w:szCs w:val="18"/>
              </w:rPr>
              <w:t>(-) Adiantamentos sobre contratos de câmbio - ACC/ACE (Nota 9 (a))</w:t>
            </w:r>
          </w:p>
        </w:tc>
        <w:tc>
          <w:tcPr>
            <w:tcW w:w="885" w:type="pct"/>
            <w:tcBorders>
              <w:top w:val="nil"/>
              <w:left w:val="nil"/>
              <w:bottom w:val="nil"/>
              <w:right w:val="nil"/>
            </w:tcBorders>
            <w:shd w:val="clear" w:color="auto" w:fill="auto"/>
            <w:noWrap/>
            <w:vAlign w:val="center"/>
          </w:tcPr>
          <w:p w14:paraId="71AF36AA" w14:textId="1418F0F6" w:rsidR="00E20412" w:rsidRPr="00FF4346" w:rsidRDefault="00E20412" w:rsidP="00E20412">
            <w:pPr>
              <w:jc w:val="right"/>
              <w:rPr>
                <w:rFonts w:ascii="CAIXA Std Book" w:hAnsi="CAIXA Std Book" w:cs="Arial Unicode MS"/>
                <w:color w:val="005CA9"/>
                <w:sz w:val="18"/>
                <w:szCs w:val="18"/>
              </w:rPr>
            </w:pPr>
            <w:r>
              <w:rPr>
                <w:rFonts w:ascii="CAIXA Std Book" w:hAnsi="CAIXA Std Book" w:cs="Arial"/>
                <w:color w:val="005CA9"/>
                <w:sz w:val="18"/>
                <w:szCs w:val="18"/>
              </w:rPr>
              <w:t>(1.687.864)</w:t>
            </w:r>
          </w:p>
        </w:tc>
        <w:tc>
          <w:tcPr>
            <w:tcW w:w="837" w:type="pct"/>
            <w:tcBorders>
              <w:top w:val="nil"/>
              <w:left w:val="nil"/>
              <w:bottom w:val="nil"/>
              <w:right w:val="nil"/>
            </w:tcBorders>
            <w:shd w:val="clear" w:color="auto" w:fill="auto"/>
            <w:noWrap/>
            <w:vAlign w:val="center"/>
          </w:tcPr>
          <w:p w14:paraId="69D11ACE" w14:textId="06089864" w:rsidR="00E20412" w:rsidRPr="00FF4346" w:rsidRDefault="00E20412" w:rsidP="00E20412">
            <w:pPr>
              <w:jc w:val="right"/>
              <w:rPr>
                <w:rFonts w:ascii="CAIXA Std Book" w:hAnsi="CAIXA Std Book" w:cs="Arial Unicode MS"/>
                <w:color w:val="005CA9"/>
                <w:sz w:val="18"/>
                <w:szCs w:val="18"/>
              </w:rPr>
            </w:pPr>
            <w:r w:rsidRPr="00FF4346">
              <w:rPr>
                <w:rFonts w:ascii="CAIXA Std Book" w:hAnsi="CAIXA Std Book" w:cs="Arial Unicode MS"/>
                <w:color w:val="005CA9"/>
                <w:sz w:val="18"/>
                <w:szCs w:val="18"/>
              </w:rPr>
              <w:t>(1.661.060)</w:t>
            </w:r>
          </w:p>
        </w:tc>
      </w:tr>
      <w:tr w:rsidR="00E20412" w:rsidRPr="00A33766" w14:paraId="668A91B5" w14:textId="77777777" w:rsidTr="00120D78">
        <w:trPr>
          <w:trHeight w:val="283"/>
        </w:trPr>
        <w:tc>
          <w:tcPr>
            <w:tcW w:w="3278" w:type="pct"/>
            <w:tcBorders>
              <w:top w:val="nil"/>
              <w:left w:val="nil"/>
              <w:bottom w:val="single" w:sz="4" w:space="0" w:color="F39200"/>
              <w:right w:val="nil"/>
            </w:tcBorders>
            <w:shd w:val="clear" w:color="auto" w:fill="auto"/>
            <w:noWrap/>
            <w:vAlign w:val="center"/>
            <w:hideMark/>
          </w:tcPr>
          <w:p w14:paraId="56B192BD" w14:textId="77777777" w:rsidR="00E20412" w:rsidRPr="00FF4346" w:rsidRDefault="00E20412" w:rsidP="00E20412">
            <w:pPr>
              <w:rPr>
                <w:rFonts w:ascii="CAIXA Std Book" w:hAnsi="CAIXA Std Book" w:cs="MS Gothic"/>
                <w:b/>
                <w:color w:val="005CA9"/>
                <w:sz w:val="18"/>
                <w:szCs w:val="18"/>
              </w:rPr>
            </w:pPr>
            <w:r w:rsidRPr="00FF4346">
              <w:rPr>
                <w:rFonts w:ascii="CAIXA Std Book" w:hAnsi="CAIXA Std Book" w:cs="MS Gothic"/>
                <w:b/>
                <w:color w:val="005CA9"/>
                <w:sz w:val="18"/>
                <w:szCs w:val="18"/>
              </w:rPr>
              <w:t xml:space="preserve">Passivo circulante </w:t>
            </w:r>
          </w:p>
        </w:tc>
        <w:tc>
          <w:tcPr>
            <w:tcW w:w="885" w:type="pct"/>
            <w:tcBorders>
              <w:top w:val="nil"/>
              <w:left w:val="nil"/>
              <w:bottom w:val="single" w:sz="4" w:space="0" w:color="F39200"/>
              <w:right w:val="nil"/>
            </w:tcBorders>
            <w:shd w:val="clear" w:color="auto" w:fill="auto"/>
            <w:noWrap/>
            <w:vAlign w:val="center"/>
          </w:tcPr>
          <w:p w14:paraId="755734FF" w14:textId="33ECD7C5" w:rsidR="00E20412" w:rsidRPr="00FF4346" w:rsidRDefault="00E20412" w:rsidP="00E20412">
            <w:pPr>
              <w:jc w:val="right"/>
              <w:rPr>
                <w:rFonts w:ascii="CAIXA Std Book" w:hAnsi="CAIXA Std Book" w:cs="Arial Unicode MS"/>
                <w:b/>
                <w:color w:val="005CA9"/>
                <w:sz w:val="18"/>
                <w:szCs w:val="18"/>
              </w:rPr>
            </w:pPr>
            <w:r>
              <w:rPr>
                <w:rFonts w:ascii="CAIXA Std Book" w:hAnsi="CAIXA Std Book" w:cs="Arial"/>
                <w:b/>
                <w:bCs/>
                <w:color w:val="005CA9"/>
                <w:sz w:val="18"/>
                <w:szCs w:val="18"/>
              </w:rPr>
              <w:t>212.814</w:t>
            </w:r>
          </w:p>
        </w:tc>
        <w:tc>
          <w:tcPr>
            <w:tcW w:w="837" w:type="pct"/>
            <w:tcBorders>
              <w:top w:val="nil"/>
              <w:left w:val="nil"/>
              <w:bottom w:val="single" w:sz="4" w:space="0" w:color="F39200"/>
              <w:right w:val="nil"/>
            </w:tcBorders>
            <w:shd w:val="clear" w:color="auto" w:fill="auto"/>
            <w:noWrap/>
            <w:vAlign w:val="center"/>
          </w:tcPr>
          <w:p w14:paraId="2D9920C3" w14:textId="0EE64798" w:rsidR="00E20412" w:rsidRPr="00FF4346" w:rsidRDefault="00E20412" w:rsidP="00E20412">
            <w:pPr>
              <w:jc w:val="right"/>
              <w:rPr>
                <w:rFonts w:ascii="CAIXA Std Book" w:hAnsi="CAIXA Std Book" w:cs="Arial Unicode MS"/>
                <w:b/>
                <w:color w:val="005CA9"/>
                <w:sz w:val="18"/>
                <w:szCs w:val="18"/>
              </w:rPr>
            </w:pPr>
            <w:r w:rsidRPr="00FF4346">
              <w:rPr>
                <w:rFonts w:ascii="CAIXA Std Book" w:hAnsi="CAIXA Std Book" w:cs="Arial Unicode MS"/>
                <w:b/>
                <w:color w:val="005CA9"/>
                <w:sz w:val="18"/>
                <w:szCs w:val="18"/>
              </w:rPr>
              <w:t>191.328</w:t>
            </w:r>
          </w:p>
        </w:tc>
      </w:tr>
      <w:tr w:rsidR="00E20412" w:rsidRPr="00A33766" w14:paraId="3DC4E657" w14:textId="77777777" w:rsidTr="00120D78">
        <w:trPr>
          <w:trHeight w:val="283"/>
        </w:trPr>
        <w:tc>
          <w:tcPr>
            <w:tcW w:w="3278" w:type="pct"/>
            <w:tcBorders>
              <w:top w:val="nil"/>
              <w:left w:val="nil"/>
              <w:bottom w:val="single" w:sz="4" w:space="0" w:color="F39200"/>
              <w:right w:val="nil"/>
            </w:tcBorders>
            <w:shd w:val="clear" w:color="auto" w:fill="auto"/>
            <w:noWrap/>
            <w:vAlign w:val="center"/>
            <w:hideMark/>
          </w:tcPr>
          <w:p w14:paraId="6D04C7C9" w14:textId="77777777" w:rsidR="00E20412" w:rsidRPr="00FF4346" w:rsidRDefault="00E20412" w:rsidP="00E20412">
            <w:pPr>
              <w:rPr>
                <w:rFonts w:ascii="CAIXA Std Book" w:hAnsi="CAIXA Std Book" w:cs="MS Gothic"/>
                <w:b/>
                <w:color w:val="005CA9"/>
                <w:sz w:val="18"/>
                <w:szCs w:val="18"/>
              </w:rPr>
            </w:pPr>
            <w:r w:rsidRPr="00FF4346">
              <w:rPr>
                <w:rFonts w:ascii="CAIXA Std Book" w:hAnsi="CAIXA Std Book" w:cs="MS Gothic"/>
                <w:b/>
                <w:color w:val="005CA9"/>
                <w:sz w:val="18"/>
                <w:szCs w:val="18"/>
              </w:rPr>
              <w:t>Carteira líquida de câmbio</w:t>
            </w:r>
          </w:p>
        </w:tc>
        <w:tc>
          <w:tcPr>
            <w:tcW w:w="885" w:type="pct"/>
            <w:tcBorders>
              <w:top w:val="nil"/>
              <w:left w:val="nil"/>
              <w:bottom w:val="single" w:sz="4" w:space="0" w:color="F39200"/>
              <w:right w:val="nil"/>
            </w:tcBorders>
            <w:shd w:val="clear" w:color="auto" w:fill="auto"/>
            <w:noWrap/>
            <w:vAlign w:val="center"/>
          </w:tcPr>
          <w:p w14:paraId="6B714D99" w14:textId="483A2845" w:rsidR="00E20412" w:rsidRPr="00FF4346" w:rsidRDefault="00E20412" w:rsidP="00E20412">
            <w:pPr>
              <w:jc w:val="right"/>
              <w:rPr>
                <w:rFonts w:ascii="CAIXA Std Book" w:hAnsi="CAIXA Std Book" w:cs="Arial Unicode MS"/>
                <w:b/>
                <w:color w:val="005CA9"/>
                <w:sz w:val="18"/>
                <w:szCs w:val="18"/>
              </w:rPr>
            </w:pPr>
            <w:r>
              <w:rPr>
                <w:rFonts w:ascii="CAIXA Std Book" w:hAnsi="CAIXA Std Book" w:cs="Arial"/>
                <w:b/>
                <w:bCs/>
                <w:color w:val="005CA9"/>
                <w:sz w:val="18"/>
                <w:szCs w:val="18"/>
              </w:rPr>
              <w:t>1.738.512</w:t>
            </w:r>
          </w:p>
        </w:tc>
        <w:tc>
          <w:tcPr>
            <w:tcW w:w="837" w:type="pct"/>
            <w:tcBorders>
              <w:top w:val="nil"/>
              <w:left w:val="nil"/>
              <w:bottom w:val="single" w:sz="4" w:space="0" w:color="F39200"/>
              <w:right w:val="nil"/>
            </w:tcBorders>
            <w:shd w:val="clear" w:color="auto" w:fill="auto"/>
            <w:noWrap/>
            <w:vAlign w:val="center"/>
          </w:tcPr>
          <w:p w14:paraId="74BACFDA" w14:textId="6BEEF1D9" w:rsidR="00E20412" w:rsidRPr="00FF4346" w:rsidRDefault="00E20412" w:rsidP="00E20412">
            <w:pPr>
              <w:jc w:val="right"/>
              <w:rPr>
                <w:rFonts w:ascii="CAIXA Std Book" w:hAnsi="CAIXA Std Book" w:cs="Arial Unicode MS"/>
                <w:b/>
                <w:color w:val="005CA9"/>
                <w:sz w:val="18"/>
                <w:szCs w:val="18"/>
              </w:rPr>
            </w:pPr>
            <w:r w:rsidRPr="00FF4346">
              <w:rPr>
                <w:rFonts w:ascii="CAIXA Std Book" w:hAnsi="CAIXA Std Book" w:cs="Arial Unicode MS"/>
                <w:b/>
                <w:color w:val="005CA9"/>
                <w:sz w:val="18"/>
                <w:szCs w:val="18"/>
              </w:rPr>
              <w:t>1.700.989</w:t>
            </w:r>
          </w:p>
        </w:tc>
      </w:tr>
    </w:tbl>
    <w:p w14:paraId="13D2150A" w14:textId="52679105" w:rsidR="0054636F" w:rsidRPr="00FF4346" w:rsidRDefault="00BF7D51" w:rsidP="00B37B40">
      <w:pPr>
        <w:pStyle w:val="PargrafodaLista"/>
        <w:numPr>
          <w:ilvl w:val="0"/>
          <w:numId w:val="17"/>
        </w:numPr>
        <w:spacing w:before="360" w:after="240"/>
        <w:ind w:left="567" w:hanging="567"/>
        <w:contextualSpacing w:val="0"/>
        <w:rPr>
          <w:rFonts w:ascii="CAIXA Std Book" w:hAnsi="CAIXA Std Book"/>
          <w:b/>
          <w:color w:val="005CA9"/>
          <w:sz w:val="20"/>
          <w:szCs w:val="20"/>
        </w:rPr>
      </w:pPr>
      <w:r w:rsidRPr="00FF4346">
        <w:rPr>
          <w:rFonts w:ascii="CAIXA Std Book" w:hAnsi="CAIXA Std Book"/>
          <w:b/>
          <w:color w:val="005CA9"/>
          <w:sz w:val="20"/>
          <w:szCs w:val="20"/>
        </w:rPr>
        <w:t>Resultado de outros ativos financeiros</w:t>
      </w:r>
    </w:p>
    <w:tbl>
      <w:tblPr>
        <w:tblW w:w="5000" w:type="pct"/>
        <w:tblCellMar>
          <w:left w:w="70" w:type="dxa"/>
          <w:right w:w="70" w:type="dxa"/>
        </w:tblCellMar>
        <w:tblLook w:val="04A0" w:firstRow="1" w:lastRow="0" w:firstColumn="1" w:lastColumn="0" w:noHBand="0" w:noVBand="1"/>
      </w:tblPr>
      <w:tblGrid>
        <w:gridCol w:w="3223"/>
        <w:gridCol w:w="1571"/>
        <w:gridCol w:w="1569"/>
        <w:gridCol w:w="1569"/>
        <w:gridCol w:w="1565"/>
      </w:tblGrid>
      <w:tr w:rsidR="0054636F" w:rsidRPr="00A33766" w14:paraId="5D9302DC" w14:textId="77777777" w:rsidTr="00120D78">
        <w:trPr>
          <w:trHeight w:val="283"/>
        </w:trPr>
        <w:tc>
          <w:tcPr>
            <w:tcW w:w="1697" w:type="pct"/>
            <w:vMerge w:val="restart"/>
            <w:tcBorders>
              <w:top w:val="single" w:sz="4" w:space="0" w:color="F39200"/>
              <w:left w:val="nil"/>
              <w:right w:val="nil"/>
            </w:tcBorders>
            <w:shd w:val="clear" w:color="auto" w:fill="auto"/>
            <w:noWrap/>
            <w:vAlign w:val="center"/>
            <w:hideMark/>
          </w:tcPr>
          <w:p w14:paraId="5981E71E" w14:textId="77777777" w:rsidR="0054636F" w:rsidRPr="00FF4346" w:rsidRDefault="0054636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Descrição</w:t>
            </w:r>
          </w:p>
        </w:tc>
        <w:tc>
          <w:tcPr>
            <w:tcW w:w="1653" w:type="pct"/>
            <w:gridSpan w:val="2"/>
            <w:tcBorders>
              <w:top w:val="single" w:sz="4" w:space="0" w:color="F39200"/>
              <w:left w:val="nil"/>
              <w:bottom w:val="single" w:sz="4" w:space="0" w:color="F39200"/>
              <w:right w:val="nil"/>
            </w:tcBorders>
            <w:shd w:val="clear" w:color="auto" w:fill="auto"/>
            <w:vAlign w:val="center"/>
          </w:tcPr>
          <w:p w14:paraId="678C5CB0" w14:textId="77777777" w:rsidR="0054636F" w:rsidRPr="00FF4346" w:rsidRDefault="0054636F">
            <w:pPr>
              <w:jc w:val="center"/>
              <w:rPr>
                <w:rFonts w:ascii="CAIXA Std Book" w:hAnsi="CAIXA Std Book" w:cs="Calibri"/>
                <w:b/>
                <w:bCs/>
                <w:color w:val="005CA9"/>
                <w:sz w:val="18"/>
                <w:szCs w:val="18"/>
              </w:rPr>
            </w:pPr>
            <w:r w:rsidRPr="00FF4346">
              <w:rPr>
                <w:rFonts w:ascii="CAIXA Std Book" w:hAnsi="CAIXA Std Book" w:cs="MS Gothic"/>
                <w:b/>
                <w:color w:val="005CA9"/>
                <w:sz w:val="18"/>
                <w:szCs w:val="18"/>
              </w:rPr>
              <w:t>INDIVIDUAL</w:t>
            </w:r>
          </w:p>
        </w:tc>
        <w:tc>
          <w:tcPr>
            <w:tcW w:w="1650" w:type="pct"/>
            <w:gridSpan w:val="2"/>
            <w:tcBorders>
              <w:top w:val="single" w:sz="4" w:space="0" w:color="F39200"/>
              <w:left w:val="nil"/>
              <w:bottom w:val="single" w:sz="4" w:space="0" w:color="F39200"/>
              <w:right w:val="nil"/>
            </w:tcBorders>
            <w:vAlign w:val="center"/>
          </w:tcPr>
          <w:p w14:paraId="0ECCB045" w14:textId="77777777" w:rsidR="0054636F" w:rsidRPr="00FF4346" w:rsidRDefault="0054636F">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CONSOLIDADO</w:t>
            </w:r>
          </w:p>
        </w:tc>
      </w:tr>
      <w:tr w:rsidR="0054636F" w:rsidRPr="00A33766" w14:paraId="06FA80B6" w14:textId="77777777" w:rsidTr="00120D78">
        <w:trPr>
          <w:trHeight w:val="283"/>
        </w:trPr>
        <w:tc>
          <w:tcPr>
            <w:tcW w:w="1697" w:type="pct"/>
            <w:vMerge/>
            <w:tcBorders>
              <w:left w:val="nil"/>
              <w:right w:val="nil"/>
            </w:tcBorders>
            <w:shd w:val="clear" w:color="auto" w:fill="auto"/>
            <w:vAlign w:val="center"/>
          </w:tcPr>
          <w:p w14:paraId="6BE189CF" w14:textId="77777777" w:rsidR="0054636F" w:rsidRPr="00FF4346" w:rsidRDefault="0054636F" w:rsidP="0054636F">
            <w:pPr>
              <w:jc w:val="center"/>
              <w:rPr>
                <w:rFonts w:ascii="CAIXA Std Book" w:hAnsi="CAIXA Std Book" w:cs="Calibri"/>
                <w:b/>
                <w:bCs/>
                <w:color w:val="005CA9"/>
                <w:sz w:val="18"/>
                <w:szCs w:val="18"/>
              </w:rPr>
            </w:pPr>
          </w:p>
        </w:tc>
        <w:tc>
          <w:tcPr>
            <w:tcW w:w="827" w:type="pct"/>
            <w:tcBorders>
              <w:top w:val="single" w:sz="4" w:space="0" w:color="F39200"/>
              <w:left w:val="nil"/>
              <w:bottom w:val="single" w:sz="4" w:space="0" w:color="F39200"/>
              <w:right w:val="nil"/>
            </w:tcBorders>
            <w:shd w:val="clear" w:color="auto" w:fill="auto"/>
            <w:noWrap/>
            <w:vAlign w:val="center"/>
          </w:tcPr>
          <w:p w14:paraId="4670CCE0" w14:textId="7CEF074E"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2024</w:t>
            </w:r>
          </w:p>
        </w:tc>
        <w:tc>
          <w:tcPr>
            <w:tcW w:w="826" w:type="pct"/>
            <w:tcBorders>
              <w:top w:val="single" w:sz="4" w:space="0" w:color="F39200"/>
              <w:left w:val="nil"/>
              <w:bottom w:val="single" w:sz="4" w:space="0" w:color="F39200"/>
              <w:right w:val="nil"/>
            </w:tcBorders>
            <w:shd w:val="clear" w:color="auto" w:fill="auto"/>
            <w:vAlign w:val="center"/>
          </w:tcPr>
          <w:p w14:paraId="70707ED2" w14:textId="34FF8DB3"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2023</w:t>
            </w:r>
          </w:p>
        </w:tc>
        <w:tc>
          <w:tcPr>
            <w:tcW w:w="826" w:type="pct"/>
            <w:tcBorders>
              <w:top w:val="single" w:sz="4" w:space="0" w:color="F39200"/>
              <w:left w:val="nil"/>
              <w:bottom w:val="single" w:sz="4" w:space="0" w:color="F39200"/>
              <w:right w:val="nil"/>
            </w:tcBorders>
            <w:vAlign w:val="center"/>
          </w:tcPr>
          <w:p w14:paraId="26BE2924" w14:textId="125A58DC"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202</w:t>
            </w:r>
            <w:r w:rsidR="00F236F0" w:rsidRPr="00FF4346">
              <w:rPr>
                <w:rFonts w:ascii="CAIXA Std Book" w:hAnsi="CAIXA Std Book" w:cs="Calibri"/>
                <w:b/>
                <w:bCs/>
                <w:color w:val="005CA9"/>
                <w:sz w:val="18"/>
                <w:szCs w:val="18"/>
              </w:rPr>
              <w:t>4</w:t>
            </w:r>
          </w:p>
        </w:tc>
        <w:tc>
          <w:tcPr>
            <w:tcW w:w="824" w:type="pct"/>
            <w:tcBorders>
              <w:top w:val="single" w:sz="4" w:space="0" w:color="F39200"/>
              <w:left w:val="nil"/>
              <w:bottom w:val="single" w:sz="4" w:space="0" w:color="F39200"/>
              <w:right w:val="nil"/>
            </w:tcBorders>
            <w:vAlign w:val="center"/>
          </w:tcPr>
          <w:p w14:paraId="683CFE73" w14:textId="5E4D1F6A"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cs="Calibri"/>
                <w:b/>
                <w:bCs/>
                <w:color w:val="005CA9"/>
                <w:sz w:val="18"/>
                <w:szCs w:val="18"/>
              </w:rPr>
              <w:t>2023</w:t>
            </w:r>
          </w:p>
        </w:tc>
      </w:tr>
      <w:tr w:rsidR="0054636F" w:rsidRPr="00A33766" w14:paraId="42EBE735" w14:textId="77777777" w:rsidTr="00120D78">
        <w:trPr>
          <w:trHeight w:val="283"/>
        </w:trPr>
        <w:tc>
          <w:tcPr>
            <w:tcW w:w="1697" w:type="pct"/>
            <w:vMerge/>
            <w:tcBorders>
              <w:left w:val="nil"/>
              <w:bottom w:val="single" w:sz="4" w:space="0" w:color="F39200"/>
              <w:right w:val="nil"/>
            </w:tcBorders>
            <w:shd w:val="clear" w:color="auto" w:fill="auto"/>
            <w:vAlign w:val="center"/>
            <w:hideMark/>
          </w:tcPr>
          <w:p w14:paraId="53286E0E" w14:textId="77777777" w:rsidR="0054636F" w:rsidRPr="00FF4346" w:rsidRDefault="0054636F" w:rsidP="0054636F">
            <w:pPr>
              <w:rPr>
                <w:rFonts w:ascii="CAIXA Std Book" w:hAnsi="CAIXA Std Book" w:cs="Calibri"/>
                <w:b/>
                <w:bCs/>
                <w:color w:val="005CA9"/>
                <w:sz w:val="18"/>
                <w:szCs w:val="18"/>
              </w:rPr>
            </w:pPr>
          </w:p>
        </w:tc>
        <w:tc>
          <w:tcPr>
            <w:tcW w:w="827" w:type="pct"/>
            <w:tcBorders>
              <w:top w:val="nil"/>
              <w:left w:val="nil"/>
              <w:bottom w:val="single" w:sz="4" w:space="0" w:color="F39200"/>
              <w:right w:val="nil"/>
            </w:tcBorders>
            <w:shd w:val="clear" w:color="auto" w:fill="auto"/>
            <w:noWrap/>
            <w:vAlign w:val="center"/>
            <w:hideMark/>
          </w:tcPr>
          <w:p w14:paraId="5112E1CE" w14:textId="77777777"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b/>
                <w:color w:val="005CA9"/>
                <w:sz w:val="18"/>
                <w:szCs w:val="18"/>
              </w:rPr>
              <w:t>1º trimestre</w:t>
            </w:r>
          </w:p>
        </w:tc>
        <w:tc>
          <w:tcPr>
            <w:tcW w:w="826" w:type="pct"/>
            <w:tcBorders>
              <w:top w:val="nil"/>
              <w:left w:val="nil"/>
              <w:bottom w:val="single" w:sz="4" w:space="0" w:color="F39200"/>
              <w:right w:val="nil"/>
            </w:tcBorders>
            <w:shd w:val="clear" w:color="auto" w:fill="auto"/>
            <w:noWrap/>
            <w:vAlign w:val="center"/>
            <w:hideMark/>
          </w:tcPr>
          <w:p w14:paraId="5C6D8A0E" w14:textId="563D4E90" w:rsidR="0054636F" w:rsidRPr="00FF4346" w:rsidRDefault="0054636F" w:rsidP="0054636F">
            <w:pPr>
              <w:jc w:val="center"/>
              <w:rPr>
                <w:rFonts w:ascii="CAIXA Std Book" w:hAnsi="CAIXA Std Book" w:cs="Calibri"/>
                <w:b/>
                <w:bCs/>
                <w:color w:val="005CA9"/>
                <w:sz w:val="18"/>
                <w:szCs w:val="18"/>
              </w:rPr>
            </w:pPr>
            <w:r w:rsidRPr="00FF4346">
              <w:rPr>
                <w:rFonts w:ascii="CAIXA Std Book" w:hAnsi="CAIXA Std Book"/>
                <w:b/>
                <w:color w:val="005CA9"/>
                <w:sz w:val="18"/>
                <w:szCs w:val="18"/>
              </w:rPr>
              <w:t>1º trimestre</w:t>
            </w:r>
          </w:p>
        </w:tc>
        <w:tc>
          <w:tcPr>
            <w:tcW w:w="826" w:type="pct"/>
            <w:tcBorders>
              <w:top w:val="nil"/>
              <w:left w:val="nil"/>
              <w:bottom w:val="single" w:sz="4" w:space="0" w:color="F39200"/>
              <w:right w:val="nil"/>
            </w:tcBorders>
            <w:vAlign w:val="center"/>
          </w:tcPr>
          <w:p w14:paraId="71561C57" w14:textId="77777777" w:rsidR="0054636F" w:rsidRPr="00FF4346" w:rsidRDefault="0054636F" w:rsidP="0054636F">
            <w:pPr>
              <w:jc w:val="center"/>
              <w:rPr>
                <w:rFonts w:ascii="CAIXA Std Book" w:hAnsi="CAIXA Std Book"/>
                <w:b/>
                <w:color w:val="005CA9"/>
                <w:sz w:val="18"/>
                <w:szCs w:val="18"/>
              </w:rPr>
            </w:pPr>
            <w:r w:rsidRPr="00FF4346">
              <w:rPr>
                <w:rFonts w:ascii="CAIXA Std Book" w:hAnsi="CAIXA Std Book"/>
                <w:b/>
                <w:color w:val="005CA9"/>
                <w:sz w:val="18"/>
                <w:szCs w:val="18"/>
              </w:rPr>
              <w:t>1º trimestre</w:t>
            </w:r>
          </w:p>
        </w:tc>
        <w:tc>
          <w:tcPr>
            <w:tcW w:w="824" w:type="pct"/>
            <w:tcBorders>
              <w:top w:val="nil"/>
              <w:left w:val="nil"/>
              <w:bottom w:val="single" w:sz="4" w:space="0" w:color="F39200"/>
              <w:right w:val="nil"/>
            </w:tcBorders>
            <w:vAlign w:val="center"/>
          </w:tcPr>
          <w:p w14:paraId="0F8A2CF8" w14:textId="537B4FA9" w:rsidR="0054636F" w:rsidRPr="00FF4346" w:rsidRDefault="0054636F" w:rsidP="0054636F">
            <w:pPr>
              <w:jc w:val="center"/>
              <w:rPr>
                <w:rFonts w:ascii="CAIXA Std Book" w:hAnsi="CAIXA Std Book"/>
                <w:b/>
                <w:color w:val="005CA9"/>
                <w:sz w:val="18"/>
                <w:szCs w:val="18"/>
              </w:rPr>
            </w:pPr>
            <w:r w:rsidRPr="00FF4346">
              <w:rPr>
                <w:rFonts w:ascii="CAIXA Std Book" w:hAnsi="CAIXA Std Book"/>
                <w:b/>
                <w:color w:val="005CA9"/>
                <w:sz w:val="18"/>
                <w:szCs w:val="18"/>
              </w:rPr>
              <w:t>1º trimestre</w:t>
            </w:r>
          </w:p>
        </w:tc>
      </w:tr>
      <w:tr w:rsidR="00E20412" w:rsidRPr="00A33766" w14:paraId="3A88D3D1" w14:textId="77777777" w:rsidTr="00120D78">
        <w:trPr>
          <w:trHeight w:val="283"/>
        </w:trPr>
        <w:tc>
          <w:tcPr>
            <w:tcW w:w="1697" w:type="pct"/>
            <w:tcBorders>
              <w:top w:val="nil"/>
              <w:left w:val="nil"/>
              <w:bottom w:val="nil"/>
              <w:right w:val="nil"/>
            </w:tcBorders>
            <w:shd w:val="clear" w:color="auto" w:fill="auto"/>
            <w:noWrap/>
            <w:vAlign w:val="center"/>
            <w:hideMark/>
          </w:tcPr>
          <w:p w14:paraId="6F11B02C" w14:textId="33D23C31" w:rsidR="00E20412" w:rsidRPr="00FF4346" w:rsidRDefault="00E20412" w:rsidP="00E20412">
            <w:pPr>
              <w:rPr>
                <w:rFonts w:ascii="CAIXA Std Book" w:hAnsi="CAIXA Std Book" w:cs="Calibri"/>
                <w:color w:val="005CA9"/>
                <w:sz w:val="18"/>
                <w:szCs w:val="18"/>
              </w:rPr>
            </w:pPr>
            <w:r w:rsidRPr="00FF4346">
              <w:rPr>
                <w:rFonts w:ascii="CAIXA Std Book" w:hAnsi="CAIXA Std Book" w:cs="Calibri"/>
                <w:color w:val="005CA9"/>
                <w:sz w:val="18"/>
                <w:szCs w:val="18"/>
              </w:rPr>
              <w:t>Créditos vinculados ao SFH</w:t>
            </w:r>
          </w:p>
        </w:tc>
        <w:tc>
          <w:tcPr>
            <w:tcW w:w="827" w:type="pct"/>
            <w:tcBorders>
              <w:top w:val="nil"/>
              <w:left w:val="nil"/>
              <w:bottom w:val="nil"/>
              <w:right w:val="nil"/>
            </w:tcBorders>
            <w:shd w:val="clear" w:color="auto" w:fill="auto"/>
            <w:noWrap/>
            <w:vAlign w:val="center"/>
          </w:tcPr>
          <w:p w14:paraId="14A0729C" w14:textId="7E46C131" w:rsidR="00E20412" w:rsidRPr="00FF4346" w:rsidRDefault="00E20412" w:rsidP="00E20412">
            <w:pPr>
              <w:jc w:val="right"/>
              <w:rPr>
                <w:rFonts w:ascii="CAIXA Std Book" w:hAnsi="CAIXA Std Book" w:cs="Arial"/>
                <w:color w:val="005CA9"/>
                <w:sz w:val="18"/>
                <w:szCs w:val="18"/>
              </w:rPr>
            </w:pPr>
            <w:r>
              <w:rPr>
                <w:rFonts w:ascii="CAIXA Std Book" w:hAnsi="CAIXA Std Book" w:cs="Arial"/>
                <w:color w:val="005CA9"/>
                <w:sz w:val="18"/>
                <w:szCs w:val="18"/>
              </w:rPr>
              <w:t>626.883</w:t>
            </w:r>
          </w:p>
        </w:tc>
        <w:tc>
          <w:tcPr>
            <w:tcW w:w="826" w:type="pct"/>
            <w:tcBorders>
              <w:top w:val="nil"/>
              <w:left w:val="nil"/>
              <w:bottom w:val="nil"/>
              <w:right w:val="nil"/>
            </w:tcBorders>
            <w:shd w:val="clear" w:color="auto" w:fill="auto"/>
            <w:noWrap/>
            <w:vAlign w:val="center"/>
          </w:tcPr>
          <w:p w14:paraId="6A59906E" w14:textId="3DA69D95" w:rsidR="00E20412" w:rsidRPr="00FF4346" w:rsidRDefault="00E20412" w:rsidP="00E20412">
            <w:pPr>
              <w:jc w:val="right"/>
              <w:rPr>
                <w:rFonts w:ascii="CAIXA Std Book" w:hAnsi="CAIXA Std Book" w:cs="Arial"/>
                <w:color w:val="005CA9"/>
                <w:sz w:val="18"/>
                <w:szCs w:val="18"/>
              </w:rPr>
            </w:pPr>
            <w:r w:rsidRPr="00FF4346">
              <w:rPr>
                <w:rFonts w:ascii="CAIXA Std Book" w:hAnsi="CAIXA Std Book" w:cs="Arial"/>
                <w:color w:val="005CA9"/>
                <w:sz w:val="18"/>
                <w:szCs w:val="18"/>
              </w:rPr>
              <w:t>836.810</w:t>
            </w:r>
          </w:p>
        </w:tc>
        <w:tc>
          <w:tcPr>
            <w:tcW w:w="826" w:type="pct"/>
            <w:tcBorders>
              <w:top w:val="nil"/>
              <w:left w:val="nil"/>
              <w:bottom w:val="nil"/>
              <w:right w:val="nil"/>
            </w:tcBorders>
            <w:vAlign w:val="center"/>
          </w:tcPr>
          <w:p w14:paraId="0906A9ED" w14:textId="4456FB51" w:rsidR="00E20412" w:rsidRPr="00FF4346" w:rsidRDefault="00E823BB" w:rsidP="00E823BB">
            <w:pPr>
              <w:jc w:val="right"/>
              <w:rPr>
                <w:rFonts w:ascii="CAIXA Std Book" w:hAnsi="CAIXA Std Book" w:cs="Arial"/>
                <w:color w:val="005CA9"/>
                <w:sz w:val="18"/>
                <w:szCs w:val="18"/>
              </w:rPr>
            </w:pPr>
            <w:r>
              <w:rPr>
                <w:rFonts w:ascii="CAIXA Std Book" w:hAnsi="CAIXA Std Book" w:cs="Arial"/>
                <w:color w:val="005CA9"/>
                <w:sz w:val="18"/>
                <w:szCs w:val="18"/>
              </w:rPr>
              <w:t>626.883</w:t>
            </w:r>
          </w:p>
        </w:tc>
        <w:tc>
          <w:tcPr>
            <w:tcW w:w="824" w:type="pct"/>
            <w:tcBorders>
              <w:top w:val="nil"/>
              <w:left w:val="nil"/>
              <w:bottom w:val="nil"/>
              <w:right w:val="nil"/>
            </w:tcBorders>
            <w:vAlign w:val="center"/>
          </w:tcPr>
          <w:p w14:paraId="5FB19408" w14:textId="27F1790A" w:rsidR="00E20412" w:rsidRPr="00FF4346" w:rsidRDefault="00E20412" w:rsidP="00E20412">
            <w:pPr>
              <w:jc w:val="right"/>
              <w:rPr>
                <w:rFonts w:ascii="CAIXA Std Book" w:hAnsi="CAIXA Std Book" w:cs="Arial"/>
                <w:color w:val="005CA9"/>
                <w:sz w:val="18"/>
                <w:szCs w:val="18"/>
              </w:rPr>
            </w:pPr>
            <w:r w:rsidRPr="00FF4346">
              <w:rPr>
                <w:rFonts w:ascii="CAIXA Std Book" w:hAnsi="CAIXA Std Book" w:cs="Arial"/>
                <w:color w:val="005CA9"/>
                <w:sz w:val="18"/>
                <w:szCs w:val="18"/>
              </w:rPr>
              <w:t>836.810</w:t>
            </w:r>
          </w:p>
        </w:tc>
      </w:tr>
      <w:tr w:rsidR="00E20412" w:rsidRPr="00A33766" w14:paraId="589ECB1F" w14:textId="77777777" w:rsidTr="00120D78">
        <w:trPr>
          <w:trHeight w:val="283"/>
        </w:trPr>
        <w:tc>
          <w:tcPr>
            <w:tcW w:w="1697" w:type="pct"/>
            <w:tcBorders>
              <w:top w:val="nil"/>
              <w:left w:val="nil"/>
              <w:bottom w:val="nil"/>
              <w:right w:val="nil"/>
            </w:tcBorders>
            <w:shd w:val="clear" w:color="auto" w:fill="auto"/>
            <w:noWrap/>
            <w:vAlign w:val="center"/>
            <w:hideMark/>
          </w:tcPr>
          <w:p w14:paraId="2E32DBC2" w14:textId="77777777" w:rsidR="00E20412" w:rsidRPr="00FF4346" w:rsidRDefault="00E20412" w:rsidP="00E20412">
            <w:pPr>
              <w:rPr>
                <w:rFonts w:ascii="CAIXA Std Book" w:hAnsi="CAIXA Std Book" w:cs="Calibri"/>
                <w:color w:val="005CA9"/>
                <w:sz w:val="18"/>
                <w:szCs w:val="18"/>
              </w:rPr>
            </w:pPr>
            <w:r w:rsidRPr="00FF4346">
              <w:rPr>
                <w:rFonts w:ascii="CAIXA Std Book" w:hAnsi="CAIXA Std Book" w:cs="Calibri"/>
                <w:color w:val="005CA9"/>
                <w:sz w:val="18"/>
                <w:szCs w:val="18"/>
              </w:rPr>
              <w:t>Resultado de câmbio</w:t>
            </w:r>
          </w:p>
        </w:tc>
        <w:tc>
          <w:tcPr>
            <w:tcW w:w="827" w:type="pct"/>
            <w:tcBorders>
              <w:top w:val="nil"/>
              <w:left w:val="nil"/>
              <w:bottom w:val="nil"/>
              <w:right w:val="nil"/>
            </w:tcBorders>
            <w:shd w:val="clear" w:color="auto" w:fill="auto"/>
            <w:noWrap/>
            <w:vAlign w:val="center"/>
          </w:tcPr>
          <w:p w14:paraId="70256B5A" w14:textId="591DE701" w:rsidR="00E20412" w:rsidRPr="00FF4346" w:rsidRDefault="00E20412" w:rsidP="00E20412">
            <w:pPr>
              <w:jc w:val="right"/>
              <w:rPr>
                <w:rFonts w:ascii="CAIXA Std Book" w:hAnsi="CAIXA Std Book" w:cs="Arial"/>
                <w:color w:val="005CA9"/>
                <w:sz w:val="18"/>
                <w:szCs w:val="18"/>
              </w:rPr>
            </w:pPr>
            <w:r>
              <w:rPr>
                <w:rFonts w:ascii="CAIXA Std Book" w:hAnsi="CAIXA Std Book" w:cs="Arial"/>
                <w:color w:val="005CA9"/>
                <w:sz w:val="18"/>
                <w:szCs w:val="18"/>
              </w:rPr>
              <w:t>85.652</w:t>
            </w:r>
          </w:p>
        </w:tc>
        <w:tc>
          <w:tcPr>
            <w:tcW w:w="826" w:type="pct"/>
            <w:tcBorders>
              <w:top w:val="nil"/>
              <w:left w:val="nil"/>
              <w:bottom w:val="nil"/>
              <w:right w:val="nil"/>
            </w:tcBorders>
            <w:shd w:val="clear" w:color="auto" w:fill="auto"/>
            <w:noWrap/>
            <w:vAlign w:val="center"/>
          </w:tcPr>
          <w:p w14:paraId="66945FA4" w14:textId="3B1428C5" w:rsidR="00E20412" w:rsidRPr="00FF4346" w:rsidRDefault="00E20412" w:rsidP="00E20412">
            <w:pPr>
              <w:jc w:val="right"/>
              <w:rPr>
                <w:rFonts w:ascii="CAIXA Std Book" w:hAnsi="CAIXA Std Book" w:cs="Arial"/>
                <w:color w:val="005CA9"/>
                <w:sz w:val="18"/>
                <w:szCs w:val="18"/>
              </w:rPr>
            </w:pPr>
            <w:r w:rsidRPr="00FF4346">
              <w:rPr>
                <w:rFonts w:ascii="CAIXA Std Book" w:hAnsi="CAIXA Std Book" w:cs="Arial"/>
                <w:color w:val="005CA9"/>
                <w:sz w:val="18"/>
                <w:szCs w:val="18"/>
              </w:rPr>
              <w:t>(19.770)</w:t>
            </w:r>
          </w:p>
        </w:tc>
        <w:tc>
          <w:tcPr>
            <w:tcW w:w="826" w:type="pct"/>
            <w:tcBorders>
              <w:top w:val="nil"/>
              <w:left w:val="nil"/>
              <w:bottom w:val="nil"/>
              <w:right w:val="nil"/>
            </w:tcBorders>
            <w:vAlign w:val="center"/>
          </w:tcPr>
          <w:p w14:paraId="652611D5" w14:textId="4D2DA00E" w:rsidR="00E20412" w:rsidRPr="00FF4346" w:rsidRDefault="00E823BB" w:rsidP="00E823BB">
            <w:pPr>
              <w:jc w:val="right"/>
              <w:rPr>
                <w:rFonts w:ascii="CAIXA Std Book" w:hAnsi="CAIXA Std Book" w:cs="Arial"/>
                <w:color w:val="005CA9"/>
                <w:sz w:val="18"/>
                <w:szCs w:val="18"/>
              </w:rPr>
            </w:pPr>
            <w:r>
              <w:rPr>
                <w:rFonts w:ascii="CAIXA Std Book" w:hAnsi="CAIXA Std Book" w:cs="Arial"/>
                <w:color w:val="005CA9"/>
                <w:sz w:val="18"/>
                <w:szCs w:val="18"/>
              </w:rPr>
              <w:t>85.652</w:t>
            </w:r>
          </w:p>
        </w:tc>
        <w:tc>
          <w:tcPr>
            <w:tcW w:w="824" w:type="pct"/>
            <w:tcBorders>
              <w:top w:val="nil"/>
              <w:left w:val="nil"/>
              <w:bottom w:val="nil"/>
              <w:right w:val="nil"/>
            </w:tcBorders>
            <w:vAlign w:val="center"/>
          </w:tcPr>
          <w:p w14:paraId="008710DE" w14:textId="7A1C4DC4" w:rsidR="00E20412" w:rsidRPr="00FF4346" w:rsidRDefault="00E20412" w:rsidP="00E20412">
            <w:pPr>
              <w:jc w:val="right"/>
              <w:rPr>
                <w:rFonts w:ascii="CAIXA Std Book" w:hAnsi="CAIXA Std Book" w:cs="Arial"/>
                <w:color w:val="005CA9"/>
                <w:sz w:val="18"/>
                <w:szCs w:val="18"/>
              </w:rPr>
            </w:pPr>
            <w:r w:rsidRPr="00FF4346">
              <w:rPr>
                <w:rFonts w:ascii="CAIXA Std Book" w:hAnsi="CAIXA Std Book" w:cs="Arial"/>
                <w:color w:val="005CA9"/>
                <w:sz w:val="18"/>
                <w:szCs w:val="18"/>
              </w:rPr>
              <w:t>(19.908)</w:t>
            </w:r>
          </w:p>
        </w:tc>
      </w:tr>
      <w:tr w:rsidR="00E20412" w:rsidRPr="00A33766" w14:paraId="7FED5100" w14:textId="77777777" w:rsidTr="00120D78">
        <w:trPr>
          <w:trHeight w:val="283"/>
        </w:trPr>
        <w:tc>
          <w:tcPr>
            <w:tcW w:w="1697" w:type="pct"/>
            <w:tcBorders>
              <w:top w:val="single" w:sz="4" w:space="0" w:color="F39200"/>
              <w:left w:val="nil"/>
              <w:bottom w:val="single" w:sz="4" w:space="0" w:color="F39200"/>
              <w:right w:val="nil"/>
            </w:tcBorders>
            <w:shd w:val="clear" w:color="auto" w:fill="auto"/>
            <w:noWrap/>
            <w:vAlign w:val="center"/>
            <w:hideMark/>
          </w:tcPr>
          <w:p w14:paraId="5EE34020" w14:textId="77777777" w:rsidR="00E20412" w:rsidRPr="00FF4346" w:rsidRDefault="00E20412" w:rsidP="00E20412">
            <w:pPr>
              <w:rPr>
                <w:rFonts w:ascii="CAIXA Std Book" w:hAnsi="CAIXA Std Book" w:cs="Calibri"/>
                <w:b/>
                <w:bCs/>
                <w:color w:val="005CA9"/>
                <w:sz w:val="18"/>
                <w:szCs w:val="18"/>
              </w:rPr>
            </w:pPr>
            <w:r w:rsidRPr="00FF4346">
              <w:rPr>
                <w:rFonts w:ascii="CAIXA Std Book" w:hAnsi="CAIXA Std Book" w:cs="Calibri"/>
                <w:b/>
                <w:bCs/>
                <w:color w:val="005CA9"/>
                <w:sz w:val="18"/>
                <w:szCs w:val="18"/>
              </w:rPr>
              <w:t>Total</w:t>
            </w:r>
          </w:p>
        </w:tc>
        <w:tc>
          <w:tcPr>
            <w:tcW w:w="827" w:type="pct"/>
            <w:tcBorders>
              <w:top w:val="single" w:sz="4" w:space="0" w:color="F39200"/>
              <w:left w:val="nil"/>
              <w:bottom w:val="single" w:sz="4" w:space="0" w:color="F39200"/>
              <w:right w:val="nil"/>
            </w:tcBorders>
            <w:shd w:val="clear" w:color="auto" w:fill="auto"/>
            <w:noWrap/>
            <w:vAlign w:val="center"/>
          </w:tcPr>
          <w:p w14:paraId="4F1FE517" w14:textId="429672C5" w:rsidR="00E20412" w:rsidRPr="00FF4346" w:rsidRDefault="00E20412" w:rsidP="00E20412">
            <w:pPr>
              <w:jc w:val="right"/>
              <w:rPr>
                <w:rFonts w:ascii="CAIXA Std Book" w:hAnsi="CAIXA Std Book" w:cs="Arial Unicode MS"/>
                <w:b/>
                <w:color w:val="005CA9"/>
                <w:sz w:val="18"/>
                <w:szCs w:val="18"/>
              </w:rPr>
            </w:pPr>
            <w:r>
              <w:rPr>
                <w:rFonts w:ascii="CAIXA Std Book" w:hAnsi="CAIXA Std Book" w:cs="Arial"/>
                <w:b/>
                <w:bCs/>
                <w:color w:val="005CA9"/>
                <w:sz w:val="18"/>
                <w:szCs w:val="18"/>
              </w:rPr>
              <w:t>712.535</w:t>
            </w:r>
          </w:p>
        </w:tc>
        <w:tc>
          <w:tcPr>
            <w:tcW w:w="826" w:type="pct"/>
            <w:tcBorders>
              <w:top w:val="single" w:sz="4" w:space="0" w:color="F39200"/>
              <w:left w:val="nil"/>
              <w:bottom w:val="single" w:sz="4" w:space="0" w:color="F39200"/>
              <w:right w:val="nil"/>
            </w:tcBorders>
            <w:shd w:val="clear" w:color="auto" w:fill="auto"/>
            <w:noWrap/>
            <w:vAlign w:val="center"/>
          </w:tcPr>
          <w:p w14:paraId="15A4788D" w14:textId="5CCBB6EC" w:rsidR="00E20412" w:rsidRPr="00FF4346" w:rsidRDefault="00E20412" w:rsidP="00E20412">
            <w:pPr>
              <w:jc w:val="right"/>
              <w:rPr>
                <w:rFonts w:ascii="CAIXA Std Book" w:hAnsi="CAIXA Std Book" w:cs="Arial"/>
                <w:b/>
                <w:color w:val="005CA9"/>
                <w:sz w:val="18"/>
                <w:szCs w:val="18"/>
              </w:rPr>
            </w:pPr>
            <w:r w:rsidRPr="00FF4346">
              <w:rPr>
                <w:rFonts w:ascii="CAIXA Std Book" w:hAnsi="CAIXA Std Book" w:cs="Arial"/>
                <w:b/>
                <w:bCs/>
                <w:color w:val="005CA9"/>
                <w:sz w:val="18"/>
                <w:szCs w:val="18"/>
              </w:rPr>
              <w:t>817.040</w:t>
            </w:r>
          </w:p>
        </w:tc>
        <w:tc>
          <w:tcPr>
            <w:tcW w:w="826" w:type="pct"/>
            <w:tcBorders>
              <w:top w:val="single" w:sz="4" w:space="0" w:color="F39200"/>
              <w:left w:val="nil"/>
              <w:bottom w:val="single" w:sz="4" w:space="0" w:color="F39200"/>
              <w:right w:val="nil"/>
            </w:tcBorders>
            <w:vAlign w:val="center"/>
          </w:tcPr>
          <w:p w14:paraId="61B180DA" w14:textId="51B3264B" w:rsidR="00E20412" w:rsidRPr="00FF4346" w:rsidRDefault="00E823BB" w:rsidP="00E823BB">
            <w:pPr>
              <w:jc w:val="right"/>
              <w:rPr>
                <w:rFonts w:ascii="CAIXA Std Book" w:hAnsi="CAIXA Std Book" w:cs="Arial"/>
                <w:b/>
                <w:bCs/>
                <w:color w:val="005CA9"/>
                <w:sz w:val="18"/>
                <w:szCs w:val="18"/>
              </w:rPr>
            </w:pPr>
            <w:r>
              <w:rPr>
                <w:rFonts w:ascii="CAIXA Std Book" w:hAnsi="CAIXA Std Book" w:cs="Arial"/>
                <w:b/>
                <w:bCs/>
                <w:color w:val="005CA9"/>
                <w:sz w:val="18"/>
                <w:szCs w:val="18"/>
              </w:rPr>
              <w:t>712.535</w:t>
            </w:r>
          </w:p>
        </w:tc>
        <w:tc>
          <w:tcPr>
            <w:tcW w:w="824" w:type="pct"/>
            <w:tcBorders>
              <w:top w:val="single" w:sz="4" w:space="0" w:color="F39200"/>
              <w:left w:val="nil"/>
              <w:bottom w:val="single" w:sz="4" w:space="0" w:color="F39200"/>
              <w:right w:val="nil"/>
            </w:tcBorders>
            <w:vAlign w:val="center"/>
          </w:tcPr>
          <w:p w14:paraId="71A91DE8" w14:textId="7865054A" w:rsidR="00E20412" w:rsidRPr="00FF4346" w:rsidRDefault="00E20412" w:rsidP="00E20412">
            <w:pPr>
              <w:jc w:val="right"/>
              <w:rPr>
                <w:rFonts w:ascii="CAIXA Std Book" w:hAnsi="CAIXA Std Book" w:cs="Arial"/>
                <w:b/>
                <w:bCs/>
                <w:color w:val="005CA9"/>
                <w:sz w:val="18"/>
                <w:szCs w:val="18"/>
              </w:rPr>
            </w:pPr>
            <w:r w:rsidRPr="00FF4346">
              <w:rPr>
                <w:rFonts w:ascii="CAIXA Std Book" w:hAnsi="CAIXA Std Book" w:cs="Arial"/>
                <w:b/>
                <w:bCs/>
                <w:color w:val="005CA9"/>
                <w:sz w:val="18"/>
                <w:szCs w:val="18"/>
              </w:rPr>
              <w:t>816.902</w:t>
            </w:r>
          </w:p>
        </w:tc>
      </w:tr>
    </w:tbl>
    <w:p w14:paraId="3DC1E653" w14:textId="77777777" w:rsidR="00DF1B37" w:rsidRPr="00FF4346" w:rsidRDefault="00DF1B37" w:rsidP="00FC6A98">
      <w:pPr>
        <w:ind w:right="-142"/>
        <w:jc w:val="both"/>
        <w:rPr>
          <w:rFonts w:ascii="CAIXA Std Book" w:hAnsi="CAIXA Std Book"/>
          <w:color w:val="005CA9"/>
          <w:sz w:val="16"/>
          <w:szCs w:val="16"/>
        </w:rPr>
      </w:pPr>
      <w:bookmarkStart w:id="64" w:name="_Hlk102580140"/>
    </w:p>
    <w:p w14:paraId="453C1B73" w14:textId="498BC7E3" w:rsidR="0015370F" w:rsidRPr="00FF4346" w:rsidRDefault="0015370F" w:rsidP="00101596">
      <w:pPr>
        <w:spacing w:before="480" w:after="240"/>
        <w:rPr>
          <w:rFonts w:ascii="CAIXA Std Book" w:eastAsia="Times New Roman" w:hAnsi="CAIXA Std Book" w:cs="Arial"/>
          <w:b/>
          <w:color w:val="005CA9"/>
          <w:sz w:val="20"/>
          <w:szCs w:val="20"/>
        </w:rPr>
        <w:sectPr w:rsidR="0015370F" w:rsidRPr="00FF4346" w:rsidSect="0088151D">
          <w:headerReference w:type="default" r:id="rId43"/>
          <w:footerReference w:type="default" r:id="rId44"/>
          <w:headerReference w:type="first" r:id="rId45"/>
          <w:footerReference w:type="first" r:id="rId46"/>
          <w:pgSz w:w="11907" w:h="16840" w:code="9"/>
          <w:pgMar w:top="1418" w:right="992" w:bottom="1418" w:left="1418" w:header="1134" w:footer="709" w:gutter="0"/>
          <w:cols w:space="708"/>
          <w:titlePg/>
          <w:docGrid w:linePitch="360"/>
        </w:sectPr>
      </w:pPr>
      <w:bookmarkStart w:id="65" w:name="_Hlk54796483"/>
      <w:bookmarkEnd w:id="64"/>
    </w:p>
    <w:p w14:paraId="22495EB4" w14:textId="77777777" w:rsidR="00EB7492" w:rsidRPr="00FF4346" w:rsidRDefault="00EB7492" w:rsidP="005A596E">
      <w:pPr>
        <w:pStyle w:val="Ttulo1"/>
      </w:pPr>
      <w:bookmarkStart w:id="66" w:name="_Toc166594486"/>
      <w:r w:rsidRPr="00FF4346">
        <w:lastRenderedPageBreak/>
        <w:t>Nota 11 – Investimentos</w:t>
      </w:r>
      <w:bookmarkEnd w:id="66"/>
    </w:p>
    <w:p w14:paraId="1955A319" w14:textId="12AF63A9" w:rsidR="00E259C0" w:rsidRPr="00FF4346" w:rsidRDefault="00E259C0" w:rsidP="00E259C0">
      <w:pPr>
        <w:spacing w:before="120" w:after="240"/>
        <w:jc w:val="both"/>
        <w:rPr>
          <w:rFonts w:ascii="CAIXA Std Book" w:hAnsi="CAIXA Std Book"/>
          <w:color w:val="005CA9"/>
          <w:sz w:val="20"/>
          <w:szCs w:val="20"/>
        </w:rPr>
      </w:pPr>
      <w:r w:rsidRPr="00FF4346">
        <w:rPr>
          <w:rFonts w:ascii="CAIXA Std Book" w:hAnsi="CAIXA Std Book"/>
          <w:color w:val="005CA9"/>
          <w:sz w:val="20"/>
          <w:szCs w:val="20"/>
        </w:rPr>
        <w:t>A tabela a seguir apresenta as participações em controladas, controladas em conjunto e coligadas do conglomerado CAIXA.</w:t>
      </w:r>
    </w:p>
    <w:tbl>
      <w:tblPr>
        <w:tblW w:w="5000" w:type="pct"/>
        <w:tblCellMar>
          <w:left w:w="0" w:type="dxa"/>
          <w:right w:w="0" w:type="dxa"/>
        </w:tblCellMar>
        <w:tblLook w:val="04A0" w:firstRow="1" w:lastRow="0" w:firstColumn="1" w:lastColumn="0" w:noHBand="0" w:noVBand="1"/>
      </w:tblPr>
      <w:tblGrid>
        <w:gridCol w:w="2415"/>
        <w:gridCol w:w="1243"/>
        <w:gridCol w:w="1923"/>
        <w:gridCol w:w="2556"/>
        <w:gridCol w:w="5083"/>
        <w:gridCol w:w="1238"/>
      </w:tblGrid>
      <w:tr w:rsidR="003B2B2A" w:rsidRPr="00A33766" w14:paraId="23CF350E" w14:textId="77777777" w:rsidTr="0013769A">
        <w:trPr>
          <w:trHeight w:val="283"/>
        </w:trPr>
        <w:tc>
          <w:tcPr>
            <w:tcW w:w="835" w:type="pct"/>
            <w:tcBorders>
              <w:top w:val="single" w:sz="4" w:space="0" w:color="F79646" w:themeColor="accent6"/>
              <w:left w:val="nil"/>
              <w:bottom w:val="single" w:sz="4" w:space="0" w:color="F79646" w:themeColor="accent6"/>
              <w:right w:val="nil"/>
            </w:tcBorders>
            <w:shd w:val="clear" w:color="auto" w:fill="auto"/>
            <w:vAlign w:val="center"/>
            <w:hideMark/>
          </w:tcPr>
          <w:p w14:paraId="2C730E2F" w14:textId="77777777" w:rsidR="001D44DF" w:rsidRPr="00FF4346" w:rsidRDefault="001D44DF" w:rsidP="001D44DF">
            <w:pPr>
              <w:jc w:val="center"/>
              <w:rPr>
                <w:rFonts w:ascii="CAIXA Std Book" w:eastAsia="Calibri" w:hAnsi="CAIXA Std Book" w:cs="Arial"/>
                <w:b/>
                <w:color w:val="005CA9"/>
                <w:sz w:val="18"/>
                <w:szCs w:val="18"/>
              </w:rPr>
            </w:pPr>
            <w:bookmarkStart w:id="67" w:name="_Hlk54796496"/>
            <w:bookmarkEnd w:id="65"/>
            <w:r w:rsidRPr="00FF4346">
              <w:rPr>
                <w:rFonts w:ascii="CAIXA Std Book" w:eastAsia="Calibri" w:hAnsi="CAIXA Std Book" w:cs="Arial"/>
                <w:b/>
                <w:color w:val="005CA9"/>
                <w:sz w:val="18"/>
                <w:szCs w:val="18"/>
                <w:lang w:eastAsia="en-US"/>
              </w:rPr>
              <w:t>Empresa (1)</w:t>
            </w:r>
          </w:p>
        </w:tc>
        <w:tc>
          <w:tcPr>
            <w:tcW w:w="430" w:type="pct"/>
            <w:tcBorders>
              <w:top w:val="single" w:sz="4" w:space="0" w:color="F79646" w:themeColor="accent6"/>
              <w:left w:val="nil"/>
              <w:bottom w:val="single" w:sz="4" w:space="0" w:color="F79646" w:themeColor="accent6"/>
              <w:right w:val="nil"/>
            </w:tcBorders>
            <w:shd w:val="clear" w:color="auto" w:fill="auto"/>
            <w:vAlign w:val="center"/>
            <w:hideMark/>
          </w:tcPr>
          <w:p w14:paraId="54F3F1C5"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País de constituição</w:t>
            </w:r>
          </w:p>
        </w:tc>
        <w:tc>
          <w:tcPr>
            <w:tcW w:w="665" w:type="pct"/>
            <w:tcBorders>
              <w:top w:val="single" w:sz="4" w:space="0" w:color="F79646" w:themeColor="accent6"/>
              <w:left w:val="nil"/>
              <w:bottom w:val="single" w:sz="4" w:space="0" w:color="F79646" w:themeColor="accent6"/>
              <w:right w:val="nil"/>
            </w:tcBorders>
            <w:shd w:val="clear" w:color="auto" w:fill="auto"/>
            <w:vAlign w:val="center"/>
            <w:hideMark/>
          </w:tcPr>
          <w:p w14:paraId="2D8F0475"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Sede</w:t>
            </w:r>
          </w:p>
        </w:tc>
        <w:tc>
          <w:tcPr>
            <w:tcW w:w="884" w:type="pct"/>
            <w:tcBorders>
              <w:top w:val="single" w:sz="4" w:space="0" w:color="F79646" w:themeColor="accent6"/>
              <w:left w:val="nil"/>
              <w:bottom w:val="single" w:sz="4" w:space="0" w:color="F79646" w:themeColor="accent6"/>
              <w:right w:val="nil"/>
            </w:tcBorders>
            <w:shd w:val="clear" w:color="auto" w:fill="auto"/>
            <w:vAlign w:val="center"/>
            <w:hideMark/>
          </w:tcPr>
          <w:p w14:paraId="62AAD9F0"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Natureza do relacionamento</w:t>
            </w:r>
          </w:p>
        </w:tc>
        <w:tc>
          <w:tcPr>
            <w:tcW w:w="1758" w:type="pct"/>
            <w:tcBorders>
              <w:top w:val="single" w:sz="4" w:space="0" w:color="F79646" w:themeColor="accent6"/>
              <w:left w:val="nil"/>
              <w:bottom w:val="single" w:sz="4" w:space="0" w:color="F79646" w:themeColor="accent6"/>
              <w:right w:val="nil"/>
            </w:tcBorders>
            <w:shd w:val="clear" w:color="auto" w:fill="auto"/>
            <w:vAlign w:val="center"/>
            <w:hideMark/>
          </w:tcPr>
          <w:p w14:paraId="4F77B96F"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Atividade</w:t>
            </w:r>
          </w:p>
        </w:tc>
        <w:tc>
          <w:tcPr>
            <w:tcW w:w="428" w:type="pct"/>
            <w:tcBorders>
              <w:top w:val="single" w:sz="4" w:space="0" w:color="F79646" w:themeColor="accent6"/>
              <w:left w:val="nil"/>
              <w:bottom w:val="single" w:sz="4" w:space="0" w:color="F79646" w:themeColor="accent6"/>
              <w:right w:val="nil"/>
            </w:tcBorders>
            <w:shd w:val="clear" w:color="auto" w:fill="auto"/>
            <w:vAlign w:val="center"/>
            <w:hideMark/>
          </w:tcPr>
          <w:p w14:paraId="3F11AAB8"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Participação estratégica (2)</w:t>
            </w:r>
          </w:p>
        </w:tc>
      </w:tr>
      <w:tr w:rsidR="003B2B2A" w:rsidRPr="00A33766" w14:paraId="040B78B1" w14:textId="77777777" w:rsidTr="0013769A">
        <w:trPr>
          <w:trHeight w:val="283"/>
        </w:trPr>
        <w:tc>
          <w:tcPr>
            <w:tcW w:w="835" w:type="pct"/>
            <w:tcBorders>
              <w:top w:val="nil"/>
              <w:left w:val="nil"/>
              <w:bottom w:val="single" w:sz="4" w:space="0" w:color="F79646" w:themeColor="accent6"/>
              <w:right w:val="nil"/>
            </w:tcBorders>
            <w:shd w:val="clear" w:color="auto" w:fill="auto"/>
            <w:vAlign w:val="center"/>
            <w:hideMark/>
          </w:tcPr>
          <w:p w14:paraId="5F331640"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CAIXA</w:t>
            </w:r>
          </w:p>
        </w:tc>
        <w:tc>
          <w:tcPr>
            <w:tcW w:w="430" w:type="pct"/>
            <w:tcBorders>
              <w:top w:val="nil"/>
              <w:left w:val="nil"/>
              <w:bottom w:val="single" w:sz="4" w:space="0" w:color="F79646" w:themeColor="accent6"/>
              <w:right w:val="nil"/>
            </w:tcBorders>
            <w:shd w:val="clear" w:color="auto" w:fill="auto"/>
            <w:noWrap/>
            <w:vAlign w:val="center"/>
            <w:hideMark/>
          </w:tcPr>
          <w:p w14:paraId="45E98FFC"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Brasil</w:t>
            </w:r>
          </w:p>
        </w:tc>
        <w:tc>
          <w:tcPr>
            <w:tcW w:w="665" w:type="pct"/>
            <w:tcBorders>
              <w:top w:val="nil"/>
              <w:left w:val="nil"/>
              <w:bottom w:val="single" w:sz="4" w:space="0" w:color="F79646" w:themeColor="accent6"/>
              <w:right w:val="nil"/>
            </w:tcBorders>
            <w:shd w:val="clear" w:color="auto" w:fill="auto"/>
            <w:noWrap/>
            <w:vAlign w:val="center"/>
            <w:hideMark/>
          </w:tcPr>
          <w:p w14:paraId="2C457E41"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Brasília (DF)</w:t>
            </w:r>
          </w:p>
        </w:tc>
        <w:tc>
          <w:tcPr>
            <w:tcW w:w="884" w:type="pct"/>
            <w:tcBorders>
              <w:top w:val="nil"/>
              <w:left w:val="nil"/>
              <w:bottom w:val="single" w:sz="4" w:space="0" w:color="F79646" w:themeColor="accent6"/>
              <w:right w:val="nil"/>
            </w:tcBorders>
            <w:shd w:val="clear" w:color="auto" w:fill="auto"/>
            <w:noWrap/>
            <w:vAlign w:val="center"/>
            <w:hideMark/>
          </w:tcPr>
          <w:p w14:paraId="010956F0"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Líd</w:t>
            </w:r>
            <w:r w:rsidR="00BF07B4" w:rsidRPr="00FF4346">
              <w:rPr>
                <w:rFonts w:ascii="CAIXA Std Book" w:eastAsia="Calibri" w:hAnsi="CAIXA Std Book" w:cs="Arial"/>
                <w:b/>
                <w:color w:val="005CA9"/>
                <w:sz w:val="18"/>
                <w:szCs w:val="18"/>
                <w:lang w:eastAsia="en-US"/>
              </w:rPr>
              <w:t>er do Conglomerado</w:t>
            </w:r>
          </w:p>
        </w:tc>
        <w:tc>
          <w:tcPr>
            <w:tcW w:w="1758" w:type="pct"/>
            <w:tcBorders>
              <w:top w:val="nil"/>
              <w:left w:val="nil"/>
              <w:bottom w:val="single" w:sz="4" w:space="0" w:color="F79646" w:themeColor="accent6"/>
              <w:right w:val="nil"/>
            </w:tcBorders>
            <w:shd w:val="clear" w:color="auto" w:fill="auto"/>
            <w:noWrap/>
            <w:vAlign w:val="center"/>
            <w:hideMark/>
          </w:tcPr>
          <w:p w14:paraId="5E58E810" w14:textId="77777777" w:rsidR="001D44DF" w:rsidRPr="00FF4346" w:rsidRDefault="18D2B3E5"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Caixa Eco</w:t>
            </w:r>
            <w:r w:rsidR="615EBF43" w:rsidRPr="00FF4346">
              <w:rPr>
                <w:rFonts w:ascii="CAIXA Std Book" w:eastAsia="Calibri" w:hAnsi="CAIXA Std Book" w:cs="Arial"/>
                <w:b/>
                <w:color w:val="005CA9"/>
                <w:sz w:val="18"/>
                <w:szCs w:val="18"/>
                <w:lang w:eastAsia="en-US"/>
              </w:rPr>
              <w:t>n</w:t>
            </w:r>
            <w:r w:rsidRPr="00FF4346">
              <w:rPr>
                <w:rFonts w:ascii="CAIXA Std Book" w:eastAsia="Calibri" w:hAnsi="CAIXA Std Book" w:cs="Arial"/>
                <w:b/>
                <w:color w:val="005CA9"/>
                <w:sz w:val="18"/>
                <w:szCs w:val="18"/>
                <w:lang w:eastAsia="en-US"/>
              </w:rPr>
              <w:t>ômica Federal</w:t>
            </w:r>
          </w:p>
        </w:tc>
        <w:tc>
          <w:tcPr>
            <w:tcW w:w="428" w:type="pct"/>
            <w:tcBorders>
              <w:top w:val="nil"/>
              <w:left w:val="nil"/>
              <w:bottom w:val="single" w:sz="4" w:space="0" w:color="F79646" w:themeColor="accent6"/>
              <w:right w:val="nil"/>
            </w:tcBorders>
            <w:shd w:val="clear" w:color="auto" w:fill="auto"/>
            <w:noWrap/>
            <w:vAlign w:val="center"/>
            <w:hideMark/>
          </w:tcPr>
          <w:p w14:paraId="13CB9478"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 </w:t>
            </w:r>
          </w:p>
        </w:tc>
      </w:tr>
      <w:tr w:rsidR="003B2B2A" w:rsidRPr="00A33766" w14:paraId="23472553" w14:textId="77777777" w:rsidTr="0013769A">
        <w:trPr>
          <w:trHeight w:val="283"/>
        </w:trPr>
        <w:tc>
          <w:tcPr>
            <w:tcW w:w="835" w:type="pct"/>
            <w:tcBorders>
              <w:top w:val="nil"/>
              <w:left w:val="nil"/>
              <w:bottom w:val="nil"/>
              <w:right w:val="nil"/>
            </w:tcBorders>
            <w:shd w:val="clear" w:color="auto" w:fill="auto"/>
            <w:vAlign w:val="center"/>
            <w:hideMark/>
          </w:tcPr>
          <w:p w14:paraId="4721E183"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TecBan</w:t>
            </w:r>
          </w:p>
        </w:tc>
        <w:tc>
          <w:tcPr>
            <w:tcW w:w="430" w:type="pct"/>
            <w:tcBorders>
              <w:top w:val="nil"/>
              <w:left w:val="nil"/>
              <w:bottom w:val="nil"/>
              <w:right w:val="nil"/>
            </w:tcBorders>
            <w:shd w:val="clear" w:color="auto" w:fill="auto"/>
            <w:noWrap/>
            <w:vAlign w:val="center"/>
            <w:hideMark/>
          </w:tcPr>
          <w:p w14:paraId="79D535CE"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037E0A2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Barueri (SP)</w:t>
            </w:r>
          </w:p>
        </w:tc>
        <w:tc>
          <w:tcPr>
            <w:tcW w:w="884" w:type="pct"/>
            <w:tcBorders>
              <w:top w:val="nil"/>
              <w:left w:val="nil"/>
              <w:bottom w:val="nil"/>
              <w:right w:val="nil"/>
            </w:tcBorders>
            <w:shd w:val="clear" w:color="auto" w:fill="auto"/>
            <w:noWrap/>
            <w:vAlign w:val="center"/>
            <w:hideMark/>
          </w:tcPr>
          <w:p w14:paraId="15589725" w14:textId="48F33C7E"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w:t>
            </w:r>
            <w:r w:rsidR="00791784" w:rsidRPr="00FF4346">
              <w:rPr>
                <w:rFonts w:ascii="CAIXA Std Book" w:eastAsia="Calibri" w:hAnsi="CAIXA Std Book" w:cs="Arial"/>
                <w:color w:val="005CA9"/>
                <w:sz w:val="18"/>
                <w:szCs w:val="18"/>
                <w:lang w:eastAsia="en-US"/>
              </w:rPr>
              <w:t>ligada</w:t>
            </w:r>
          </w:p>
        </w:tc>
        <w:tc>
          <w:tcPr>
            <w:tcW w:w="1758" w:type="pct"/>
            <w:tcBorders>
              <w:top w:val="nil"/>
              <w:left w:val="nil"/>
              <w:bottom w:val="nil"/>
              <w:right w:val="nil"/>
            </w:tcBorders>
            <w:shd w:val="clear" w:color="auto" w:fill="auto"/>
            <w:noWrap/>
            <w:vAlign w:val="center"/>
            <w:hideMark/>
          </w:tcPr>
          <w:p w14:paraId="02AB2E87"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Tecnologia bancária</w:t>
            </w:r>
          </w:p>
        </w:tc>
        <w:tc>
          <w:tcPr>
            <w:tcW w:w="428" w:type="pct"/>
            <w:tcBorders>
              <w:top w:val="nil"/>
              <w:left w:val="nil"/>
              <w:bottom w:val="nil"/>
              <w:right w:val="nil"/>
            </w:tcBorders>
            <w:shd w:val="clear" w:color="auto" w:fill="auto"/>
            <w:noWrap/>
            <w:vAlign w:val="center"/>
            <w:hideMark/>
          </w:tcPr>
          <w:p w14:paraId="7C249A7A"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592D05FA" w14:textId="77777777" w:rsidTr="0013769A">
        <w:trPr>
          <w:trHeight w:val="283"/>
        </w:trPr>
        <w:tc>
          <w:tcPr>
            <w:tcW w:w="835" w:type="pct"/>
            <w:tcBorders>
              <w:top w:val="nil"/>
              <w:left w:val="nil"/>
              <w:bottom w:val="nil"/>
              <w:right w:val="nil"/>
            </w:tcBorders>
            <w:shd w:val="clear" w:color="auto" w:fill="auto"/>
            <w:vAlign w:val="center"/>
            <w:hideMark/>
          </w:tcPr>
          <w:p w14:paraId="7B6F9406"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Quod</w:t>
            </w:r>
          </w:p>
        </w:tc>
        <w:tc>
          <w:tcPr>
            <w:tcW w:w="430" w:type="pct"/>
            <w:tcBorders>
              <w:top w:val="nil"/>
              <w:left w:val="nil"/>
              <w:bottom w:val="nil"/>
              <w:right w:val="nil"/>
            </w:tcBorders>
            <w:shd w:val="clear" w:color="auto" w:fill="auto"/>
            <w:noWrap/>
            <w:vAlign w:val="center"/>
            <w:hideMark/>
          </w:tcPr>
          <w:p w14:paraId="028EB733"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3816CD4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Barueri (SP)</w:t>
            </w:r>
          </w:p>
        </w:tc>
        <w:tc>
          <w:tcPr>
            <w:tcW w:w="884" w:type="pct"/>
            <w:tcBorders>
              <w:top w:val="nil"/>
              <w:left w:val="nil"/>
              <w:bottom w:val="nil"/>
              <w:right w:val="nil"/>
            </w:tcBorders>
            <w:shd w:val="clear" w:color="auto" w:fill="auto"/>
            <w:noWrap/>
            <w:vAlign w:val="center"/>
            <w:hideMark/>
          </w:tcPr>
          <w:p w14:paraId="5DCF28DD" w14:textId="728DD9BB"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w:t>
            </w:r>
            <w:r w:rsidR="009D6E2F" w:rsidRPr="00FF4346">
              <w:rPr>
                <w:rFonts w:ascii="CAIXA Std Book" w:eastAsia="Calibri" w:hAnsi="CAIXA Std Book" w:cs="Arial"/>
                <w:color w:val="005CA9"/>
                <w:sz w:val="18"/>
                <w:szCs w:val="18"/>
                <w:lang w:eastAsia="en-US"/>
              </w:rPr>
              <w:t>ligada</w:t>
            </w:r>
          </w:p>
        </w:tc>
        <w:tc>
          <w:tcPr>
            <w:tcW w:w="1758" w:type="pct"/>
            <w:tcBorders>
              <w:top w:val="nil"/>
              <w:left w:val="nil"/>
              <w:bottom w:val="nil"/>
              <w:right w:val="nil"/>
            </w:tcBorders>
            <w:shd w:val="clear" w:color="auto" w:fill="auto"/>
            <w:noWrap/>
            <w:vAlign w:val="center"/>
            <w:hideMark/>
          </w:tcPr>
          <w:p w14:paraId="6F5F9CF8"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Birô de crédito</w:t>
            </w:r>
          </w:p>
        </w:tc>
        <w:tc>
          <w:tcPr>
            <w:tcW w:w="428" w:type="pct"/>
            <w:tcBorders>
              <w:top w:val="nil"/>
              <w:left w:val="nil"/>
              <w:bottom w:val="nil"/>
              <w:right w:val="nil"/>
            </w:tcBorders>
            <w:shd w:val="clear" w:color="auto" w:fill="auto"/>
            <w:noWrap/>
            <w:vAlign w:val="center"/>
            <w:hideMark/>
          </w:tcPr>
          <w:p w14:paraId="4215CB82"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35D11442" w14:textId="77777777" w:rsidTr="0013769A">
        <w:trPr>
          <w:trHeight w:val="283"/>
        </w:trPr>
        <w:tc>
          <w:tcPr>
            <w:tcW w:w="835" w:type="pct"/>
            <w:tcBorders>
              <w:top w:val="nil"/>
              <w:left w:val="nil"/>
              <w:bottom w:val="nil"/>
              <w:right w:val="nil"/>
            </w:tcBorders>
            <w:shd w:val="clear" w:color="auto" w:fill="auto"/>
            <w:vAlign w:val="center"/>
            <w:hideMark/>
          </w:tcPr>
          <w:p w14:paraId="2F4B3A2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Galgo Sistemas de Informações</w:t>
            </w:r>
          </w:p>
        </w:tc>
        <w:tc>
          <w:tcPr>
            <w:tcW w:w="430" w:type="pct"/>
            <w:tcBorders>
              <w:top w:val="nil"/>
              <w:left w:val="nil"/>
              <w:bottom w:val="nil"/>
              <w:right w:val="nil"/>
            </w:tcBorders>
            <w:shd w:val="clear" w:color="auto" w:fill="auto"/>
            <w:noWrap/>
            <w:vAlign w:val="center"/>
            <w:hideMark/>
          </w:tcPr>
          <w:p w14:paraId="740317C6" w14:textId="77777777" w:rsidR="001D44DF" w:rsidRPr="00FF4346" w:rsidRDefault="006C4E63"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35B401D0"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55B65E34" w14:textId="77777777" w:rsidR="001D44DF" w:rsidRPr="00FF4346" w:rsidRDefault="002C7FF7"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Coligada</w:t>
            </w:r>
          </w:p>
        </w:tc>
        <w:tc>
          <w:tcPr>
            <w:tcW w:w="1758" w:type="pct"/>
            <w:tcBorders>
              <w:top w:val="nil"/>
              <w:left w:val="nil"/>
              <w:bottom w:val="nil"/>
              <w:right w:val="nil"/>
            </w:tcBorders>
            <w:shd w:val="clear" w:color="auto" w:fill="auto"/>
            <w:noWrap/>
            <w:vAlign w:val="center"/>
            <w:hideMark/>
          </w:tcPr>
          <w:p w14:paraId="5048E255"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Outras atividades</w:t>
            </w:r>
          </w:p>
        </w:tc>
        <w:tc>
          <w:tcPr>
            <w:tcW w:w="428" w:type="pct"/>
            <w:tcBorders>
              <w:top w:val="nil"/>
              <w:left w:val="nil"/>
              <w:bottom w:val="nil"/>
              <w:right w:val="nil"/>
            </w:tcBorders>
            <w:shd w:val="clear" w:color="auto" w:fill="auto"/>
            <w:noWrap/>
            <w:vAlign w:val="center"/>
            <w:hideMark/>
          </w:tcPr>
          <w:p w14:paraId="171FB0DF"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20837FB2" w14:textId="77777777" w:rsidTr="0013769A">
        <w:trPr>
          <w:trHeight w:val="283"/>
        </w:trPr>
        <w:tc>
          <w:tcPr>
            <w:tcW w:w="835" w:type="pct"/>
            <w:tcBorders>
              <w:top w:val="nil"/>
              <w:left w:val="nil"/>
              <w:bottom w:val="nil"/>
              <w:right w:val="nil"/>
            </w:tcBorders>
            <w:shd w:val="clear" w:color="auto" w:fill="auto"/>
            <w:vAlign w:val="center"/>
          </w:tcPr>
          <w:p w14:paraId="3102F920" w14:textId="679B8822" w:rsidR="006C4E63" w:rsidRPr="00FF4346" w:rsidRDefault="009E7E33" w:rsidP="001D44DF">
            <w:pPr>
              <w:rPr>
                <w:rFonts w:ascii="CAIXA Std Book" w:eastAsia="Calibri" w:hAnsi="CAIXA Std Book" w:cs="Arial"/>
                <w:color w:val="005CA9"/>
                <w:sz w:val="18"/>
                <w:szCs w:val="18"/>
                <w:lang w:eastAsia="en-US"/>
              </w:rPr>
            </w:pPr>
            <w:proofErr w:type="spellStart"/>
            <w:r w:rsidRPr="00FF4346">
              <w:rPr>
                <w:rFonts w:ascii="CAIXA Std Book" w:eastAsia="Calibri" w:hAnsi="CAIXA Std Book" w:cs="Arial"/>
                <w:color w:val="005CA9"/>
                <w:sz w:val="18"/>
                <w:szCs w:val="18"/>
                <w:lang w:eastAsia="en-US"/>
              </w:rPr>
              <w:t>Núclea</w:t>
            </w:r>
            <w:proofErr w:type="spellEnd"/>
          </w:p>
        </w:tc>
        <w:tc>
          <w:tcPr>
            <w:tcW w:w="430" w:type="pct"/>
            <w:tcBorders>
              <w:top w:val="nil"/>
              <w:left w:val="nil"/>
              <w:bottom w:val="nil"/>
              <w:right w:val="nil"/>
            </w:tcBorders>
            <w:shd w:val="clear" w:color="auto" w:fill="auto"/>
            <w:noWrap/>
            <w:vAlign w:val="center"/>
          </w:tcPr>
          <w:p w14:paraId="5A1C0F99" w14:textId="77777777" w:rsidR="006C4E63" w:rsidRPr="00FF4346" w:rsidRDefault="006C4E63"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tcPr>
          <w:p w14:paraId="018F4BA9" w14:textId="77777777" w:rsidR="006C4E63" w:rsidRPr="00FF4346" w:rsidRDefault="006C4E63"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tcPr>
          <w:p w14:paraId="71563529" w14:textId="77777777" w:rsidR="006C4E63" w:rsidRPr="00FF4346" w:rsidRDefault="006C4E63"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w:t>
            </w:r>
            <w:r w:rsidR="006815CB" w:rsidRPr="00FF4346">
              <w:rPr>
                <w:rFonts w:ascii="CAIXA Std Book" w:eastAsia="Calibri" w:hAnsi="CAIXA Std Book" w:cs="Arial"/>
                <w:color w:val="005CA9"/>
                <w:sz w:val="18"/>
                <w:szCs w:val="18"/>
                <w:lang w:eastAsia="en-US"/>
              </w:rPr>
              <w:t>ligada</w:t>
            </w:r>
          </w:p>
        </w:tc>
        <w:tc>
          <w:tcPr>
            <w:tcW w:w="1758" w:type="pct"/>
            <w:tcBorders>
              <w:top w:val="nil"/>
              <w:left w:val="nil"/>
              <w:bottom w:val="nil"/>
              <w:right w:val="nil"/>
            </w:tcBorders>
            <w:shd w:val="clear" w:color="auto" w:fill="auto"/>
            <w:noWrap/>
            <w:vAlign w:val="center"/>
          </w:tcPr>
          <w:p w14:paraId="13424A87" w14:textId="77777777" w:rsidR="006C4E63" w:rsidRPr="00FF4346" w:rsidRDefault="006C4E63"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Outras atividades</w:t>
            </w:r>
          </w:p>
        </w:tc>
        <w:tc>
          <w:tcPr>
            <w:tcW w:w="428" w:type="pct"/>
            <w:tcBorders>
              <w:top w:val="nil"/>
              <w:left w:val="nil"/>
              <w:bottom w:val="nil"/>
              <w:right w:val="nil"/>
            </w:tcBorders>
            <w:shd w:val="clear" w:color="auto" w:fill="auto"/>
            <w:noWrap/>
            <w:vAlign w:val="center"/>
          </w:tcPr>
          <w:p w14:paraId="7131D9F5" w14:textId="77777777" w:rsidR="006C4E63" w:rsidRPr="00FF4346" w:rsidRDefault="006C4E63"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4A86E955" w14:textId="77777777" w:rsidTr="0013769A">
        <w:trPr>
          <w:trHeight w:val="283"/>
        </w:trPr>
        <w:tc>
          <w:tcPr>
            <w:tcW w:w="835" w:type="pct"/>
            <w:tcBorders>
              <w:top w:val="single" w:sz="4" w:space="0" w:color="F79646" w:themeColor="accent6"/>
              <w:left w:val="nil"/>
              <w:bottom w:val="single" w:sz="4" w:space="0" w:color="F79646" w:themeColor="accent6"/>
              <w:right w:val="nil"/>
            </w:tcBorders>
            <w:shd w:val="clear" w:color="auto" w:fill="auto"/>
            <w:vAlign w:val="center"/>
            <w:hideMark/>
          </w:tcPr>
          <w:p w14:paraId="6FC69485" w14:textId="0205A940"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w:t>
            </w:r>
            <w:r w:rsidR="00140B92" w:rsidRPr="00FF4346">
              <w:rPr>
                <w:rFonts w:ascii="CAIXA Std Book" w:eastAsia="Calibri" w:hAnsi="CAIXA Std Book" w:cs="Arial"/>
                <w:b/>
                <w:color w:val="005CA9"/>
                <w:sz w:val="18"/>
                <w:szCs w:val="18"/>
                <w:lang w:eastAsia="en-US"/>
              </w:rPr>
              <w:t>aixa</w:t>
            </w:r>
            <w:r w:rsidRPr="00FF4346">
              <w:rPr>
                <w:rFonts w:ascii="CAIXA Std Book" w:eastAsia="Calibri" w:hAnsi="CAIXA Std Book" w:cs="Arial"/>
                <w:b/>
                <w:color w:val="005CA9"/>
                <w:sz w:val="18"/>
                <w:szCs w:val="18"/>
                <w:lang w:eastAsia="en-US"/>
              </w:rPr>
              <w:t xml:space="preserve"> Seguridade</w:t>
            </w:r>
          </w:p>
        </w:tc>
        <w:tc>
          <w:tcPr>
            <w:tcW w:w="430" w:type="pct"/>
            <w:tcBorders>
              <w:top w:val="single" w:sz="4" w:space="0" w:color="F79646" w:themeColor="accent6"/>
              <w:left w:val="nil"/>
              <w:bottom w:val="single" w:sz="4" w:space="0" w:color="F79646" w:themeColor="accent6"/>
              <w:right w:val="nil"/>
            </w:tcBorders>
            <w:shd w:val="clear" w:color="auto" w:fill="auto"/>
            <w:noWrap/>
            <w:vAlign w:val="center"/>
            <w:hideMark/>
          </w:tcPr>
          <w:p w14:paraId="303CAFBF"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Brasi</w:t>
            </w:r>
            <w:r w:rsidRPr="00FF4346">
              <w:rPr>
                <w:rFonts w:ascii="CAIXA Std Book" w:eastAsia="Calibri" w:hAnsi="CAIXA Std Book" w:cs="Arial"/>
                <w:color w:val="005CA9"/>
                <w:sz w:val="18"/>
                <w:szCs w:val="18"/>
                <w:lang w:eastAsia="en-US"/>
              </w:rPr>
              <w:t>l</w:t>
            </w:r>
          </w:p>
        </w:tc>
        <w:tc>
          <w:tcPr>
            <w:tcW w:w="665" w:type="pct"/>
            <w:tcBorders>
              <w:top w:val="single" w:sz="4" w:space="0" w:color="F79646" w:themeColor="accent6"/>
              <w:left w:val="nil"/>
              <w:bottom w:val="single" w:sz="4" w:space="0" w:color="F79646" w:themeColor="accent6"/>
              <w:right w:val="nil"/>
            </w:tcBorders>
            <w:shd w:val="clear" w:color="auto" w:fill="auto"/>
            <w:noWrap/>
            <w:vAlign w:val="center"/>
            <w:hideMark/>
          </w:tcPr>
          <w:p w14:paraId="232F0EED"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Brasília (DF)</w:t>
            </w:r>
          </w:p>
        </w:tc>
        <w:tc>
          <w:tcPr>
            <w:tcW w:w="884" w:type="pct"/>
            <w:tcBorders>
              <w:top w:val="single" w:sz="4" w:space="0" w:color="F79646" w:themeColor="accent6"/>
              <w:left w:val="nil"/>
              <w:bottom w:val="single" w:sz="4" w:space="0" w:color="F79646" w:themeColor="accent6"/>
              <w:right w:val="nil"/>
            </w:tcBorders>
            <w:shd w:val="clear" w:color="auto" w:fill="auto"/>
            <w:noWrap/>
            <w:vAlign w:val="center"/>
            <w:hideMark/>
          </w:tcPr>
          <w:p w14:paraId="5F5C5A16" w14:textId="77777777" w:rsidR="001D44DF" w:rsidRPr="00FF4346" w:rsidRDefault="00F14CA0"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Controlada</w:t>
            </w:r>
          </w:p>
        </w:tc>
        <w:tc>
          <w:tcPr>
            <w:tcW w:w="1758" w:type="pct"/>
            <w:tcBorders>
              <w:top w:val="single" w:sz="4" w:space="0" w:color="F79646" w:themeColor="accent6"/>
              <w:left w:val="nil"/>
              <w:bottom w:val="single" w:sz="4" w:space="0" w:color="F79646" w:themeColor="accent6"/>
              <w:right w:val="nil"/>
            </w:tcBorders>
            <w:shd w:val="clear" w:color="auto" w:fill="auto"/>
            <w:noWrap/>
            <w:vAlign w:val="center"/>
            <w:hideMark/>
          </w:tcPr>
          <w:p w14:paraId="74F8DC79"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Holding</w:t>
            </w:r>
          </w:p>
        </w:tc>
        <w:tc>
          <w:tcPr>
            <w:tcW w:w="428" w:type="pct"/>
            <w:tcBorders>
              <w:top w:val="single" w:sz="4" w:space="0" w:color="F79646" w:themeColor="accent6"/>
              <w:left w:val="nil"/>
              <w:bottom w:val="single" w:sz="4" w:space="0" w:color="F79646" w:themeColor="accent6"/>
              <w:right w:val="nil"/>
            </w:tcBorders>
            <w:shd w:val="clear" w:color="auto" w:fill="auto"/>
            <w:noWrap/>
            <w:vAlign w:val="center"/>
            <w:hideMark/>
          </w:tcPr>
          <w:p w14:paraId="0A2F1009"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Sim</w:t>
            </w:r>
          </w:p>
        </w:tc>
      </w:tr>
      <w:tr w:rsidR="003B2B2A" w:rsidRPr="00A33766" w14:paraId="4DEE74F9" w14:textId="77777777" w:rsidTr="0013769A">
        <w:trPr>
          <w:trHeight w:val="283"/>
        </w:trPr>
        <w:tc>
          <w:tcPr>
            <w:tcW w:w="835" w:type="pct"/>
            <w:tcBorders>
              <w:top w:val="nil"/>
              <w:left w:val="nil"/>
              <w:bottom w:val="nil"/>
              <w:right w:val="nil"/>
            </w:tcBorders>
            <w:shd w:val="clear" w:color="auto" w:fill="auto"/>
            <w:vAlign w:val="center"/>
            <w:hideMark/>
          </w:tcPr>
          <w:p w14:paraId="34B24755" w14:textId="4D7BF3AA"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Caixa Holding</w:t>
            </w:r>
            <w:r w:rsidR="00D96898" w:rsidRPr="00FF4346">
              <w:rPr>
                <w:rFonts w:ascii="CAIXA Std Book" w:eastAsia="Calibri" w:hAnsi="CAIXA Std Book" w:cs="Arial"/>
                <w:color w:val="005CA9"/>
                <w:sz w:val="18"/>
                <w:szCs w:val="18"/>
                <w:lang w:eastAsia="en-US"/>
              </w:rPr>
              <w:t xml:space="preserve"> </w:t>
            </w:r>
          </w:p>
        </w:tc>
        <w:tc>
          <w:tcPr>
            <w:tcW w:w="430" w:type="pct"/>
            <w:tcBorders>
              <w:top w:val="nil"/>
              <w:left w:val="nil"/>
              <w:bottom w:val="nil"/>
              <w:right w:val="nil"/>
            </w:tcBorders>
            <w:shd w:val="clear" w:color="auto" w:fill="auto"/>
            <w:noWrap/>
            <w:vAlign w:val="center"/>
            <w:hideMark/>
          </w:tcPr>
          <w:p w14:paraId="36675F79"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36C66565"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Brasília (DF)</w:t>
            </w:r>
          </w:p>
        </w:tc>
        <w:tc>
          <w:tcPr>
            <w:tcW w:w="884" w:type="pct"/>
            <w:tcBorders>
              <w:top w:val="nil"/>
              <w:left w:val="nil"/>
              <w:bottom w:val="nil"/>
              <w:right w:val="nil"/>
            </w:tcBorders>
            <w:shd w:val="clear" w:color="auto" w:fill="auto"/>
            <w:noWrap/>
            <w:vAlign w:val="center"/>
            <w:hideMark/>
          </w:tcPr>
          <w:p w14:paraId="742CB59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Controlada</w:t>
            </w:r>
          </w:p>
        </w:tc>
        <w:tc>
          <w:tcPr>
            <w:tcW w:w="1758" w:type="pct"/>
            <w:tcBorders>
              <w:top w:val="nil"/>
              <w:left w:val="nil"/>
              <w:bottom w:val="nil"/>
              <w:right w:val="nil"/>
            </w:tcBorders>
            <w:shd w:val="clear" w:color="auto" w:fill="auto"/>
            <w:noWrap/>
            <w:vAlign w:val="center"/>
            <w:hideMark/>
          </w:tcPr>
          <w:p w14:paraId="72407E1C"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Holding</w:t>
            </w:r>
          </w:p>
        </w:tc>
        <w:tc>
          <w:tcPr>
            <w:tcW w:w="428" w:type="pct"/>
            <w:tcBorders>
              <w:top w:val="nil"/>
              <w:left w:val="nil"/>
              <w:bottom w:val="nil"/>
              <w:right w:val="nil"/>
            </w:tcBorders>
            <w:shd w:val="clear" w:color="auto" w:fill="auto"/>
            <w:noWrap/>
            <w:vAlign w:val="center"/>
            <w:hideMark/>
          </w:tcPr>
          <w:p w14:paraId="2F32E0FF"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31E7548B" w14:textId="77777777" w:rsidTr="0013769A">
        <w:trPr>
          <w:trHeight w:val="283"/>
        </w:trPr>
        <w:tc>
          <w:tcPr>
            <w:tcW w:w="835" w:type="pct"/>
            <w:tcBorders>
              <w:top w:val="nil"/>
              <w:left w:val="nil"/>
              <w:bottom w:val="nil"/>
              <w:right w:val="nil"/>
            </w:tcBorders>
            <w:shd w:val="clear" w:color="auto" w:fill="auto"/>
            <w:vAlign w:val="center"/>
            <w:hideMark/>
          </w:tcPr>
          <w:p w14:paraId="500A423B" w14:textId="0A2662CC"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w:t>
            </w:r>
            <w:r w:rsidR="00140B92" w:rsidRPr="00FF4346">
              <w:rPr>
                <w:rFonts w:ascii="CAIXA Std Book" w:eastAsia="Calibri" w:hAnsi="CAIXA Std Book" w:cs="Arial"/>
                <w:color w:val="005CA9"/>
                <w:sz w:val="18"/>
                <w:szCs w:val="18"/>
                <w:lang w:eastAsia="en-US"/>
              </w:rPr>
              <w:t>aixa</w:t>
            </w:r>
            <w:r w:rsidRPr="00FF4346">
              <w:rPr>
                <w:rFonts w:ascii="CAIXA Std Book" w:eastAsia="Calibri" w:hAnsi="CAIXA Std Book" w:cs="Arial"/>
                <w:color w:val="005CA9"/>
                <w:sz w:val="18"/>
                <w:szCs w:val="18"/>
                <w:lang w:eastAsia="en-US"/>
              </w:rPr>
              <w:t xml:space="preserve"> Corretora</w:t>
            </w:r>
          </w:p>
        </w:tc>
        <w:tc>
          <w:tcPr>
            <w:tcW w:w="430" w:type="pct"/>
            <w:tcBorders>
              <w:top w:val="nil"/>
              <w:left w:val="nil"/>
              <w:bottom w:val="nil"/>
              <w:right w:val="nil"/>
            </w:tcBorders>
            <w:shd w:val="clear" w:color="auto" w:fill="auto"/>
            <w:noWrap/>
            <w:vAlign w:val="center"/>
            <w:hideMark/>
          </w:tcPr>
          <w:p w14:paraId="349BC01B"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56258A26" w14:textId="77777777" w:rsidR="001D44DF" w:rsidRPr="00FF4346" w:rsidRDefault="00607367"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Brasília (DF)</w:t>
            </w:r>
          </w:p>
        </w:tc>
        <w:tc>
          <w:tcPr>
            <w:tcW w:w="884" w:type="pct"/>
            <w:tcBorders>
              <w:top w:val="nil"/>
              <w:left w:val="nil"/>
              <w:bottom w:val="nil"/>
              <w:right w:val="nil"/>
            </w:tcBorders>
            <w:shd w:val="clear" w:color="auto" w:fill="auto"/>
            <w:noWrap/>
            <w:vAlign w:val="center"/>
            <w:hideMark/>
          </w:tcPr>
          <w:p w14:paraId="7931B270"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Controlada</w:t>
            </w:r>
          </w:p>
        </w:tc>
        <w:tc>
          <w:tcPr>
            <w:tcW w:w="1758" w:type="pct"/>
            <w:tcBorders>
              <w:top w:val="nil"/>
              <w:left w:val="nil"/>
              <w:bottom w:val="nil"/>
              <w:right w:val="nil"/>
            </w:tcBorders>
            <w:shd w:val="clear" w:color="auto" w:fill="auto"/>
            <w:noWrap/>
            <w:vAlign w:val="center"/>
            <w:hideMark/>
          </w:tcPr>
          <w:p w14:paraId="02975C57"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Corretora de seguros</w:t>
            </w:r>
          </w:p>
        </w:tc>
        <w:tc>
          <w:tcPr>
            <w:tcW w:w="428" w:type="pct"/>
            <w:tcBorders>
              <w:top w:val="nil"/>
              <w:left w:val="nil"/>
              <w:bottom w:val="nil"/>
              <w:right w:val="nil"/>
            </w:tcBorders>
            <w:shd w:val="clear" w:color="auto" w:fill="auto"/>
            <w:noWrap/>
            <w:vAlign w:val="center"/>
            <w:hideMark/>
          </w:tcPr>
          <w:p w14:paraId="03BE2D95"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37ED3E33" w14:textId="77777777" w:rsidTr="0013769A">
        <w:trPr>
          <w:trHeight w:val="283"/>
        </w:trPr>
        <w:tc>
          <w:tcPr>
            <w:tcW w:w="835" w:type="pct"/>
            <w:tcBorders>
              <w:top w:val="nil"/>
              <w:left w:val="nil"/>
              <w:bottom w:val="nil"/>
              <w:right w:val="nil"/>
            </w:tcBorders>
            <w:shd w:val="clear" w:color="auto" w:fill="auto"/>
            <w:vAlign w:val="center"/>
            <w:hideMark/>
          </w:tcPr>
          <w:p w14:paraId="12A337CC"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Too Seguros</w:t>
            </w:r>
          </w:p>
        </w:tc>
        <w:tc>
          <w:tcPr>
            <w:tcW w:w="430" w:type="pct"/>
            <w:tcBorders>
              <w:top w:val="nil"/>
              <w:left w:val="nil"/>
              <w:bottom w:val="nil"/>
              <w:right w:val="nil"/>
            </w:tcBorders>
            <w:shd w:val="clear" w:color="auto" w:fill="auto"/>
            <w:noWrap/>
            <w:vAlign w:val="center"/>
            <w:hideMark/>
          </w:tcPr>
          <w:p w14:paraId="1AA05980"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1496512B"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65B4894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5A03D9F3"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Seguradora</w:t>
            </w:r>
          </w:p>
        </w:tc>
        <w:tc>
          <w:tcPr>
            <w:tcW w:w="428" w:type="pct"/>
            <w:tcBorders>
              <w:top w:val="nil"/>
              <w:left w:val="nil"/>
              <w:bottom w:val="nil"/>
              <w:right w:val="nil"/>
            </w:tcBorders>
            <w:shd w:val="clear" w:color="auto" w:fill="auto"/>
            <w:noWrap/>
            <w:vAlign w:val="center"/>
            <w:hideMark/>
          </w:tcPr>
          <w:p w14:paraId="60CD1D63" w14:textId="77777777" w:rsidR="001D44DF" w:rsidRPr="00FF4346" w:rsidRDefault="00607367"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Não</w:t>
            </w:r>
          </w:p>
        </w:tc>
      </w:tr>
      <w:tr w:rsidR="003B2B2A" w:rsidRPr="00A33766" w14:paraId="26560AC5" w14:textId="77777777" w:rsidTr="0013769A">
        <w:trPr>
          <w:trHeight w:val="283"/>
        </w:trPr>
        <w:tc>
          <w:tcPr>
            <w:tcW w:w="835" w:type="pct"/>
            <w:tcBorders>
              <w:top w:val="nil"/>
              <w:left w:val="nil"/>
              <w:bottom w:val="nil"/>
              <w:right w:val="nil"/>
            </w:tcBorders>
            <w:shd w:val="clear" w:color="auto" w:fill="auto"/>
            <w:vAlign w:val="center"/>
            <w:hideMark/>
          </w:tcPr>
          <w:p w14:paraId="2377FF33"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PAN Corretora</w:t>
            </w:r>
          </w:p>
        </w:tc>
        <w:tc>
          <w:tcPr>
            <w:tcW w:w="430" w:type="pct"/>
            <w:tcBorders>
              <w:top w:val="nil"/>
              <w:left w:val="nil"/>
              <w:bottom w:val="nil"/>
              <w:right w:val="nil"/>
            </w:tcBorders>
            <w:shd w:val="clear" w:color="auto" w:fill="auto"/>
            <w:noWrap/>
            <w:vAlign w:val="center"/>
            <w:hideMark/>
          </w:tcPr>
          <w:p w14:paraId="4D8604BE"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2970D639" w14:textId="77777777" w:rsidR="001D44DF" w:rsidRPr="00FF4346" w:rsidRDefault="00370698"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68D72371"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2077A4FB"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Corretora</w:t>
            </w:r>
          </w:p>
        </w:tc>
        <w:tc>
          <w:tcPr>
            <w:tcW w:w="428" w:type="pct"/>
            <w:tcBorders>
              <w:top w:val="nil"/>
              <w:left w:val="nil"/>
              <w:bottom w:val="nil"/>
              <w:right w:val="nil"/>
            </w:tcBorders>
            <w:shd w:val="clear" w:color="auto" w:fill="auto"/>
            <w:noWrap/>
            <w:vAlign w:val="center"/>
            <w:hideMark/>
          </w:tcPr>
          <w:p w14:paraId="2900FF7C" w14:textId="77777777" w:rsidR="001D44DF" w:rsidRPr="00FF4346" w:rsidRDefault="0075139A"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Não</w:t>
            </w:r>
          </w:p>
        </w:tc>
      </w:tr>
      <w:tr w:rsidR="003B2B2A" w:rsidRPr="00A33766" w14:paraId="0033867C" w14:textId="77777777" w:rsidTr="0013769A">
        <w:trPr>
          <w:trHeight w:val="283"/>
        </w:trPr>
        <w:tc>
          <w:tcPr>
            <w:tcW w:w="835" w:type="pct"/>
            <w:tcBorders>
              <w:top w:val="nil"/>
              <w:left w:val="nil"/>
              <w:bottom w:val="nil"/>
              <w:right w:val="nil"/>
            </w:tcBorders>
            <w:shd w:val="clear" w:color="auto" w:fill="auto"/>
            <w:vAlign w:val="center"/>
            <w:hideMark/>
          </w:tcPr>
          <w:p w14:paraId="4DE7EF6C"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XS3 Seguros</w:t>
            </w:r>
          </w:p>
        </w:tc>
        <w:tc>
          <w:tcPr>
            <w:tcW w:w="430" w:type="pct"/>
            <w:tcBorders>
              <w:top w:val="nil"/>
              <w:left w:val="nil"/>
              <w:bottom w:val="nil"/>
              <w:right w:val="nil"/>
            </w:tcBorders>
            <w:shd w:val="clear" w:color="auto" w:fill="auto"/>
            <w:noWrap/>
            <w:vAlign w:val="center"/>
            <w:hideMark/>
          </w:tcPr>
          <w:p w14:paraId="55D8E37E"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7C9C29C4" w14:textId="77777777" w:rsidR="001D44DF" w:rsidRPr="00FF4346" w:rsidRDefault="00370698"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0DFB51F9"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7D84640B"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Seguros</w:t>
            </w:r>
          </w:p>
        </w:tc>
        <w:tc>
          <w:tcPr>
            <w:tcW w:w="428" w:type="pct"/>
            <w:tcBorders>
              <w:top w:val="nil"/>
              <w:left w:val="nil"/>
              <w:bottom w:val="nil"/>
              <w:right w:val="nil"/>
            </w:tcBorders>
            <w:shd w:val="clear" w:color="auto" w:fill="auto"/>
            <w:noWrap/>
            <w:vAlign w:val="center"/>
            <w:hideMark/>
          </w:tcPr>
          <w:p w14:paraId="5AFEE8BD"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566FE04C" w14:textId="77777777" w:rsidTr="0013769A">
        <w:trPr>
          <w:trHeight w:val="283"/>
        </w:trPr>
        <w:tc>
          <w:tcPr>
            <w:tcW w:w="835" w:type="pct"/>
            <w:tcBorders>
              <w:top w:val="nil"/>
              <w:left w:val="nil"/>
              <w:bottom w:val="nil"/>
              <w:right w:val="nil"/>
            </w:tcBorders>
            <w:shd w:val="clear" w:color="auto" w:fill="auto"/>
            <w:vAlign w:val="center"/>
            <w:hideMark/>
          </w:tcPr>
          <w:p w14:paraId="53BB0522"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XS4 Capitalização</w:t>
            </w:r>
          </w:p>
        </w:tc>
        <w:tc>
          <w:tcPr>
            <w:tcW w:w="430" w:type="pct"/>
            <w:tcBorders>
              <w:top w:val="nil"/>
              <w:left w:val="nil"/>
              <w:bottom w:val="nil"/>
              <w:right w:val="nil"/>
            </w:tcBorders>
            <w:shd w:val="clear" w:color="auto" w:fill="auto"/>
            <w:noWrap/>
            <w:vAlign w:val="center"/>
            <w:hideMark/>
          </w:tcPr>
          <w:p w14:paraId="48C0CB22"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273DC127"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Rio de Janeiro (RJ)</w:t>
            </w:r>
          </w:p>
        </w:tc>
        <w:tc>
          <w:tcPr>
            <w:tcW w:w="884" w:type="pct"/>
            <w:tcBorders>
              <w:top w:val="nil"/>
              <w:left w:val="nil"/>
              <w:bottom w:val="nil"/>
              <w:right w:val="nil"/>
            </w:tcBorders>
            <w:shd w:val="clear" w:color="auto" w:fill="auto"/>
            <w:noWrap/>
            <w:vAlign w:val="center"/>
            <w:hideMark/>
          </w:tcPr>
          <w:p w14:paraId="0727BAEE"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1A3AF40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Capitalização</w:t>
            </w:r>
          </w:p>
        </w:tc>
        <w:tc>
          <w:tcPr>
            <w:tcW w:w="428" w:type="pct"/>
            <w:tcBorders>
              <w:top w:val="nil"/>
              <w:left w:val="nil"/>
              <w:bottom w:val="nil"/>
              <w:right w:val="nil"/>
            </w:tcBorders>
            <w:shd w:val="clear" w:color="auto" w:fill="auto"/>
            <w:noWrap/>
            <w:vAlign w:val="center"/>
            <w:hideMark/>
          </w:tcPr>
          <w:p w14:paraId="62B1B4BF"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64A276F7" w14:textId="77777777" w:rsidTr="0013769A">
        <w:trPr>
          <w:trHeight w:val="283"/>
        </w:trPr>
        <w:tc>
          <w:tcPr>
            <w:tcW w:w="835" w:type="pct"/>
            <w:tcBorders>
              <w:top w:val="nil"/>
              <w:left w:val="nil"/>
              <w:bottom w:val="nil"/>
              <w:right w:val="nil"/>
            </w:tcBorders>
            <w:shd w:val="clear" w:color="auto" w:fill="auto"/>
            <w:vAlign w:val="center"/>
            <w:hideMark/>
          </w:tcPr>
          <w:p w14:paraId="1CFCA671"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XS5 Consórcios</w:t>
            </w:r>
          </w:p>
        </w:tc>
        <w:tc>
          <w:tcPr>
            <w:tcW w:w="430" w:type="pct"/>
            <w:tcBorders>
              <w:top w:val="nil"/>
              <w:left w:val="nil"/>
              <w:bottom w:val="nil"/>
              <w:right w:val="nil"/>
            </w:tcBorders>
            <w:shd w:val="clear" w:color="auto" w:fill="auto"/>
            <w:noWrap/>
            <w:vAlign w:val="center"/>
            <w:hideMark/>
          </w:tcPr>
          <w:p w14:paraId="238A06E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0138B60D" w14:textId="77777777" w:rsidR="001D44DF" w:rsidRPr="00FF4346" w:rsidRDefault="00A0189D"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77ACBF2D"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392F12DE"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Consórcios</w:t>
            </w:r>
          </w:p>
        </w:tc>
        <w:tc>
          <w:tcPr>
            <w:tcW w:w="428" w:type="pct"/>
            <w:tcBorders>
              <w:top w:val="nil"/>
              <w:left w:val="nil"/>
              <w:bottom w:val="nil"/>
              <w:right w:val="nil"/>
            </w:tcBorders>
            <w:shd w:val="clear" w:color="auto" w:fill="auto"/>
            <w:noWrap/>
            <w:vAlign w:val="center"/>
            <w:hideMark/>
          </w:tcPr>
          <w:p w14:paraId="5DF394DB"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61D5E3F3" w14:textId="77777777" w:rsidTr="0013769A">
        <w:trPr>
          <w:trHeight w:val="283"/>
        </w:trPr>
        <w:tc>
          <w:tcPr>
            <w:tcW w:w="835" w:type="pct"/>
            <w:tcBorders>
              <w:top w:val="nil"/>
              <w:left w:val="nil"/>
              <w:bottom w:val="nil"/>
              <w:right w:val="nil"/>
            </w:tcBorders>
            <w:shd w:val="clear" w:color="auto" w:fill="auto"/>
            <w:vAlign w:val="center"/>
            <w:hideMark/>
          </w:tcPr>
          <w:p w14:paraId="47BAC0A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XS6 Assistência</w:t>
            </w:r>
          </w:p>
        </w:tc>
        <w:tc>
          <w:tcPr>
            <w:tcW w:w="430" w:type="pct"/>
            <w:tcBorders>
              <w:top w:val="nil"/>
              <w:left w:val="nil"/>
              <w:bottom w:val="nil"/>
              <w:right w:val="nil"/>
            </w:tcBorders>
            <w:shd w:val="clear" w:color="auto" w:fill="auto"/>
            <w:noWrap/>
            <w:vAlign w:val="center"/>
            <w:hideMark/>
          </w:tcPr>
          <w:p w14:paraId="627E18E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1A8EBD13" w14:textId="77777777" w:rsidR="001D44DF" w:rsidRPr="00FF4346" w:rsidRDefault="003D5A7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Barueri (SP)</w:t>
            </w:r>
          </w:p>
        </w:tc>
        <w:tc>
          <w:tcPr>
            <w:tcW w:w="884" w:type="pct"/>
            <w:tcBorders>
              <w:top w:val="nil"/>
              <w:left w:val="nil"/>
              <w:bottom w:val="nil"/>
              <w:right w:val="nil"/>
            </w:tcBorders>
            <w:shd w:val="clear" w:color="auto" w:fill="auto"/>
            <w:noWrap/>
            <w:vAlign w:val="center"/>
            <w:hideMark/>
          </w:tcPr>
          <w:p w14:paraId="70F8433D"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7F3863FB"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Serviços assistenciais</w:t>
            </w:r>
          </w:p>
        </w:tc>
        <w:tc>
          <w:tcPr>
            <w:tcW w:w="428" w:type="pct"/>
            <w:tcBorders>
              <w:top w:val="nil"/>
              <w:left w:val="nil"/>
              <w:bottom w:val="nil"/>
              <w:right w:val="nil"/>
            </w:tcBorders>
            <w:shd w:val="clear" w:color="auto" w:fill="auto"/>
            <w:noWrap/>
            <w:vAlign w:val="center"/>
            <w:hideMark/>
          </w:tcPr>
          <w:p w14:paraId="316098E2"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0D41E739" w14:textId="77777777" w:rsidTr="0013769A">
        <w:trPr>
          <w:trHeight w:val="283"/>
        </w:trPr>
        <w:tc>
          <w:tcPr>
            <w:tcW w:w="835" w:type="pct"/>
            <w:tcBorders>
              <w:top w:val="nil"/>
              <w:left w:val="nil"/>
              <w:bottom w:val="nil"/>
              <w:right w:val="nil"/>
            </w:tcBorders>
            <w:shd w:val="clear" w:color="auto" w:fill="auto"/>
            <w:vAlign w:val="center"/>
            <w:hideMark/>
          </w:tcPr>
          <w:p w14:paraId="6596D6EA"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CNP Brasil</w:t>
            </w:r>
          </w:p>
        </w:tc>
        <w:tc>
          <w:tcPr>
            <w:tcW w:w="430" w:type="pct"/>
            <w:tcBorders>
              <w:top w:val="nil"/>
              <w:left w:val="nil"/>
              <w:bottom w:val="nil"/>
              <w:right w:val="nil"/>
            </w:tcBorders>
            <w:shd w:val="clear" w:color="auto" w:fill="auto"/>
            <w:noWrap/>
            <w:vAlign w:val="center"/>
            <w:hideMark/>
          </w:tcPr>
          <w:p w14:paraId="66BFAF97"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62C012DD"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Brasília (DF)</w:t>
            </w:r>
          </w:p>
        </w:tc>
        <w:tc>
          <w:tcPr>
            <w:tcW w:w="884" w:type="pct"/>
            <w:tcBorders>
              <w:top w:val="nil"/>
              <w:left w:val="nil"/>
              <w:bottom w:val="nil"/>
              <w:right w:val="nil"/>
            </w:tcBorders>
            <w:shd w:val="clear" w:color="auto" w:fill="auto"/>
            <w:noWrap/>
            <w:vAlign w:val="center"/>
            <w:hideMark/>
          </w:tcPr>
          <w:p w14:paraId="7DA08E69"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Coligada</w:t>
            </w:r>
          </w:p>
        </w:tc>
        <w:tc>
          <w:tcPr>
            <w:tcW w:w="1758" w:type="pct"/>
            <w:tcBorders>
              <w:top w:val="nil"/>
              <w:left w:val="nil"/>
              <w:bottom w:val="nil"/>
              <w:right w:val="nil"/>
            </w:tcBorders>
            <w:shd w:val="clear" w:color="auto" w:fill="auto"/>
            <w:noWrap/>
            <w:vAlign w:val="center"/>
            <w:hideMark/>
          </w:tcPr>
          <w:p w14:paraId="13844217"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Holding</w:t>
            </w:r>
          </w:p>
        </w:tc>
        <w:tc>
          <w:tcPr>
            <w:tcW w:w="428" w:type="pct"/>
            <w:tcBorders>
              <w:top w:val="nil"/>
              <w:left w:val="nil"/>
              <w:bottom w:val="nil"/>
              <w:right w:val="nil"/>
            </w:tcBorders>
            <w:shd w:val="clear" w:color="auto" w:fill="auto"/>
            <w:noWrap/>
            <w:vAlign w:val="center"/>
            <w:hideMark/>
          </w:tcPr>
          <w:p w14:paraId="53E82E37"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2F9BDA91" w14:textId="77777777" w:rsidTr="0013769A">
        <w:trPr>
          <w:trHeight w:val="283"/>
        </w:trPr>
        <w:tc>
          <w:tcPr>
            <w:tcW w:w="835" w:type="pct"/>
            <w:tcBorders>
              <w:top w:val="nil"/>
              <w:left w:val="nil"/>
              <w:bottom w:val="nil"/>
              <w:right w:val="nil"/>
            </w:tcBorders>
            <w:shd w:val="clear" w:color="auto" w:fill="auto"/>
            <w:vAlign w:val="center"/>
            <w:hideMark/>
          </w:tcPr>
          <w:p w14:paraId="3450371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Holding XS1</w:t>
            </w:r>
          </w:p>
        </w:tc>
        <w:tc>
          <w:tcPr>
            <w:tcW w:w="430" w:type="pct"/>
            <w:tcBorders>
              <w:top w:val="nil"/>
              <w:left w:val="nil"/>
              <w:bottom w:val="nil"/>
              <w:right w:val="nil"/>
            </w:tcBorders>
            <w:shd w:val="clear" w:color="auto" w:fill="auto"/>
            <w:noWrap/>
            <w:vAlign w:val="center"/>
            <w:hideMark/>
          </w:tcPr>
          <w:p w14:paraId="045F69B2"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5B668570" w14:textId="77777777" w:rsidR="001D44DF" w:rsidRPr="00FF4346" w:rsidRDefault="00741A6A"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hideMark/>
          </w:tcPr>
          <w:p w14:paraId="071A073D"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Coligada</w:t>
            </w:r>
          </w:p>
        </w:tc>
        <w:tc>
          <w:tcPr>
            <w:tcW w:w="1758" w:type="pct"/>
            <w:tcBorders>
              <w:top w:val="nil"/>
              <w:left w:val="nil"/>
              <w:bottom w:val="nil"/>
              <w:right w:val="nil"/>
            </w:tcBorders>
            <w:shd w:val="clear" w:color="auto" w:fill="auto"/>
            <w:noWrap/>
            <w:vAlign w:val="center"/>
            <w:hideMark/>
          </w:tcPr>
          <w:p w14:paraId="0C9451B5"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Holding</w:t>
            </w:r>
          </w:p>
        </w:tc>
        <w:tc>
          <w:tcPr>
            <w:tcW w:w="428" w:type="pct"/>
            <w:tcBorders>
              <w:top w:val="nil"/>
              <w:left w:val="nil"/>
              <w:bottom w:val="nil"/>
              <w:right w:val="nil"/>
            </w:tcBorders>
            <w:shd w:val="clear" w:color="auto" w:fill="auto"/>
            <w:noWrap/>
            <w:vAlign w:val="center"/>
            <w:hideMark/>
          </w:tcPr>
          <w:p w14:paraId="310F361E"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35A30C96" w14:textId="77777777" w:rsidTr="0013769A">
        <w:trPr>
          <w:trHeight w:val="283"/>
        </w:trPr>
        <w:tc>
          <w:tcPr>
            <w:tcW w:w="835" w:type="pct"/>
            <w:tcBorders>
              <w:top w:val="single" w:sz="4" w:space="0" w:color="F79646" w:themeColor="accent6"/>
              <w:left w:val="nil"/>
              <w:bottom w:val="single" w:sz="4" w:space="0" w:color="F79646" w:themeColor="accent6"/>
              <w:right w:val="nil"/>
            </w:tcBorders>
            <w:shd w:val="clear" w:color="auto" w:fill="auto"/>
            <w:vAlign w:val="center"/>
            <w:hideMark/>
          </w:tcPr>
          <w:p w14:paraId="091CB2F6" w14:textId="02EC521C"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w:t>
            </w:r>
            <w:r w:rsidR="00140B92" w:rsidRPr="00FF4346">
              <w:rPr>
                <w:rFonts w:ascii="CAIXA Std Book" w:eastAsia="Calibri" w:hAnsi="CAIXA Std Book" w:cs="Arial"/>
                <w:b/>
                <w:color w:val="005CA9"/>
                <w:sz w:val="18"/>
                <w:szCs w:val="18"/>
                <w:lang w:eastAsia="en-US"/>
              </w:rPr>
              <w:t>aixa</w:t>
            </w:r>
            <w:r w:rsidRPr="00FF4346">
              <w:rPr>
                <w:rFonts w:ascii="CAIXA Std Book" w:eastAsia="Calibri" w:hAnsi="CAIXA Std Book" w:cs="Arial"/>
                <w:b/>
                <w:color w:val="005CA9"/>
                <w:sz w:val="18"/>
                <w:szCs w:val="18"/>
                <w:lang w:eastAsia="en-US"/>
              </w:rPr>
              <w:t xml:space="preserve"> Cartões</w:t>
            </w:r>
          </w:p>
        </w:tc>
        <w:tc>
          <w:tcPr>
            <w:tcW w:w="430" w:type="pct"/>
            <w:tcBorders>
              <w:top w:val="single" w:sz="4" w:space="0" w:color="F79646" w:themeColor="accent6"/>
              <w:left w:val="nil"/>
              <w:bottom w:val="single" w:sz="4" w:space="0" w:color="F79646" w:themeColor="accent6"/>
              <w:right w:val="nil"/>
            </w:tcBorders>
            <w:shd w:val="clear" w:color="auto" w:fill="auto"/>
            <w:noWrap/>
            <w:vAlign w:val="center"/>
            <w:hideMark/>
          </w:tcPr>
          <w:p w14:paraId="2D0A4961"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Brasil</w:t>
            </w:r>
          </w:p>
        </w:tc>
        <w:tc>
          <w:tcPr>
            <w:tcW w:w="665" w:type="pct"/>
            <w:tcBorders>
              <w:top w:val="single" w:sz="4" w:space="0" w:color="F79646" w:themeColor="accent6"/>
              <w:left w:val="nil"/>
              <w:bottom w:val="single" w:sz="4" w:space="0" w:color="F79646" w:themeColor="accent6"/>
              <w:right w:val="nil"/>
            </w:tcBorders>
            <w:shd w:val="clear" w:color="auto" w:fill="auto"/>
            <w:noWrap/>
            <w:vAlign w:val="center"/>
            <w:hideMark/>
          </w:tcPr>
          <w:p w14:paraId="7EADE90C"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Brasília (DF)</w:t>
            </w:r>
          </w:p>
        </w:tc>
        <w:tc>
          <w:tcPr>
            <w:tcW w:w="884" w:type="pct"/>
            <w:tcBorders>
              <w:top w:val="single" w:sz="4" w:space="0" w:color="F79646" w:themeColor="accent6"/>
              <w:left w:val="nil"/>
              <w:bottom w:val="single" w:sz="4" w:space="0" w:color="F79646" w:themeColor="accent6"/>
              <w:right w:val="nil"/>
            </w:tcBorders>
            <w:shd w:val="clear" w:color="auto" w:fill="auto"/>
            <w:noWrap/>
            <w:vAlign w:val="center"/>
            <w:hideMark/>
          </w:tcPr>
          <w:p w14:paraId="70D27741"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Subsidiária integral</w:t>
            </w:r>
          </w:p>
        </w:tc>
        <w:tc>
          <w:tcPr>
            <w:tcW w:w="1758" w:type="pct"/>
            <w:tcBorders>
              <w:top w:val="single" w:sz="4" w:space="0" w:color="F79646" w:themeColor="accent6"/>
              <w:left w:val="nil"/>
              <w:bottom w:val="single" w:sz="4" w:space="0" w:color="F79646" w:themeColor="accent6"/>
              <w:right w:val="nil"/>
            </w:tcBorders>
            <w:shd w:val="clear" w:color="auto" w:fill="auto"/>
            <w:noWrap/>
            <w:vAlign w:val="center"/>
            <w:hideMark/>
          </w:tcPr>
          <w:p w14:paraId="5535E93B"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Holding</w:t>
            </w:r>
          </w:p>
        </w:tc>
        <w:tc>
          <w:tcPr>
            <w:tcW w:w="428" w:type="pct"/>
            <w:tcBorders>
              <w:top w:val="single" w:sz="4" w:space="0" w:color="F79646" w:themeColor="accent6"/>
              <w:left w:val="nil"/>
              <w:bottom w:val="single" w:sz="4" w:space="0" w:color="F79646" w:themeColor="accent6"/>
              <w:right w:val="nil"/>
            </w:tcBorders>
            <w:shd w:val="clear" w:color="auto" w:fill="auto"/>
            <w:noWrap/>
            <w:vAlign w:val="center"/>
            <w:hideMark/>
          </w:tcPr>
          <w:p w14:paraId="10415693"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Sim</w:t>
            </w:r>
          </w:p>
        </w:tc>
      </w:tr>
      <w:tr w:rsidR="003B2B2A" w:rsidRPr="00A33766" w14:paraId="21B98D83" w14:textId="77777777" w:rsidTr="0013769A">
        <w:trPr>
          <w:trHeight w:val="283"/>
        </w:trPr>
        <w:tc>
          <w:tcPr>
            <w:tcW w:w="835" w:type="pct"/>
            <w:tcBorders>
              <w:top w:val="nil"/>
              <w:left w:val="nil"/>
              <w:bottom w:val="nil"/>
              <w:right w:val="nil"/>
            </w:tcBorders>
            <w:shd w:val="clear" w:color="auto" w:fill="auto"/>
            <w:vAlign w:val="center"/>
            <w:hideMark/>
          </w:tcPr>
          <w:p w14:paraId="4B269F66"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Elo Serviços</w:t>
            </w:r>
          </w:p>
        </w:tc>
        <w:tc>
          <w:tcPr>
            <w:tcW w:w="430" w:type="pct"/>
            <w:tcBorders>
              <w:top w:val="nil"/>
              <w:left w:val="nil"/>
              <w:bottom w:val="nil"/>
              <w:right w:val="nil"/>
            </w:tcBorders>
            <w:shd w:val="clear" w:color="auto" w:fill="auto"/>
            <w:noWrap/>
            <w:vAlign w:val="center"/>
            <w:hideMark/>
          </w:tcPr>
          <w:p w14:paraId="23BDDBC8"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hideMark/>
          </w:tcPr>
          <w:p w14:paraId="45A54552"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Barueri (SP)</w:t>
            </w:r>
          </w:p>
        </w:tc>
        <w:tc>
          <w:tcPr>
            <w:tcW w:w="884" w:type="pct"/>
            <w:tcBorders>
              <w:top w:val="nil"/>
              <w:left w:val="nil"/>
              <w:bottom w:val="nil"/>
              <w:right w:val="nil"/>
            </w:tcBorders>
            <w:shd w:val="clear" w:color="auto" w:fill="auto"/>
            <w:noWrap/>
            <w:vAlign w:val="center"/>
            <w:hideMark/>
          </w:tcPr>
          <w:p w14:paraId="7061476F"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Controle conjunto</w:t>
            </w:r>
          </w:p>
        </w:tc>
        <w:tc>
          <w:tcPr>
            <w:tcW w:w="1758" w:type="pct"/>
            <w:tcBorders>
              <w:top w:val="nil"/>
              <w:left w:val="nil"/>
              <w:bottom w:val="nil"/>
              <w:right w:val="nil"/>
            </w:tcBorders>
            <w:shd w:val="clear" w:color="auto" w:fill="auto"/>
            <w:noWrap/>
            <w:vAlign w:val="center"/>
            <w:hideMark/>
          </w:tcPr>
          <w:p w14:paraId="5EFE55B3" w14:textId="77777777" w:rsidR="001D44DF" w:rsidRPr="00FF4346" w:rsidRDefault="001D44DF"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Instituição de pagamento</w:t>
            </w:r>
          </w:p>
        </w:tc>
        <w:tc>
          <w:tcPr>
            <w:tcW w:w="428" w:type="pct"/>
            <w:tcBorders>
              <w:top w:val="nil"/>
              <w:left w:val="nil"/>
              <w:bottom w:val="nil"/>
              <w:right w:val="nil"/>
            </w:tcBorders>
            <w:shd w:val="clear" w:color="auto" w:fill="auto"/>
            <w:noWrap/>
            <w:vAlign w:val="center"/>
            <w:hideMark/>
          </w:tcPr>
          <w:p w14:paraId="5E2A8EEA" w14:textId="77777777" w:rsidR="001D44DF" w:rsidRPr="00FF4346" w:rsidRDefault="001D44DF"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0956984F" w14:textId="77777777" w:rsidTr="0013769A">
        <w:trPr>
          <w:trHeight w:val="283"/>
        </w:trPr>
        <w:tc>
          <w:tcPr>
            <w:tcW w:w="835" w:type="pct"/>
            <w:tcBorders>
              <w:top w:val="nil"/>
              <w:left w:val="nil"/>
              <w:bottom w:val="nil"/>
              <w:right w:val="nil"/>
            </w:tcBorders>
            <w:shd w:val="clear" w:color="auto" w:fill="auto"/>
            <w:vAlign w:val="center"/>
          </w:tcPr>
          <w:p w14:paraId="6676A0A5" w14:textId="5B53284B" w:rsidR="001D79B2" w:rsidRPr="00FF4346" w:rsidRDefault="00087A09"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C</w:t>
            </w:r>
            <w:r w:rsidR="00140B92" w:rsidRPr="00FF4346">
              <w:rPr>
                <w:rFonts w:ascii="CAIXA Std Book" w:eastAsia="Calibri" w:hAnsi="CAIXA Std Book" w:cs="Arial"/>
                <w:color w:val="005CA9"/>
                <w:sz w:val="18"/>
                <w:szCs w:val="18"/>
                <w:lang w:eastAsia="en-US"/>
              </w:rPr>
              <w:t>aixa</w:t>
            </w:r>
            <w:r w:rsidRPr="00FF4346">
              <w:rPr>
                <w:rFonts w:ascii="CAIXA Std Book" w:eastAsia="Calibri" w:hAnsi="CAIXA Std Book" w:cs="Arial"/>
                <w:color w:val="005CA9"/>
                <w:sz w:val="18"/>
                <w:szCs w:val="18"/>
                <w:lang w:eastAsia="en-US"/>
              </w:rPr>
              <w:t xml:space="preserve"> Cartões Pré-Pagos</w:t>
            </w:r>
          </w:p>
        </w:tc>
        <w:tc>
          <w:tcPr>
            <w:tcW w:w="430" w:type="pct"/>
            <w:tcBorders>
              <w:top w:val="nil"/>
              <w:left w:val="nil"/>
              <w:bottom w:val="nil"/>
              <w:right w:val="nil"/>
            </w:tcBorders>
            <w:shd w:val="clear" w:color="auto" w:fill="auto"/>
            <w:noWrap/>
            <w:vAlign w:val="center"/>
          </w:tcPr>
          <w:p w14:paraId="6FFDD3C6" w14:textId="77777777" w:rsidR="001D79B2" w:rsidRPr="00FF4346" w:rsidRDefault="00087A09"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Brasil</w:t>
            </w:r>
          </w:p>
        </w:tc>
        <w:tc>
          <w:tcPr>
            <w:tcW w:w="665" w:type="pct"/>
            <w:tcBorders>
              <w:top w:val="nil"/>
              <w:left w:val="nil"/>
              <w:bottom w:val="nil"/>
              <w:right w:val="nil"/>
            </w:tcBorders>
            <w:shd w:val="clear" w:color="auto" w:fill="auto"/>
            <w:noWrap/>
            <w:vAlign w:val="center"/>
          </w:tcPr>
          <w:p w14:paraId="77B23A1A" w14:textId="77777777" w:rsidR="001D79B2" w:rsidRPr="00FF4346" w:rsidRDefault="00E01CCB"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São Paulo (SP)</w:t>
            </w:r>
          </w:p>
        </w:tc>
        <w:tc>
          <w:tcPr>
            <w:tcW w:w="884" w:type="pct"/>
            <w:tcBorders>
              <w:top w:val="nil"/>
              <w:left w:val="nil"/>
              <w:bottom w:val="nil"/>
              <w:right w:val="nil"/>
            </w:tcBorders>
            <w:shd w:val="clear" w:color="auto" w:fill="auto"/>
            <w:noWrap/>
            <w:vAlign w:val="center"/>
          </w:tcPr>
          <w:p w14:paraId="0B6BFC4C" w14:textId="77777777" w:rsidR="001D79B2" w:rsidRPr="00FF4346" w:rsidRDefault="006A29C7"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 xml:space="preserve">Controle </w:t>
            </w:r>
            <w:r w:rsidR="005C7932" w:rsidRPr="00FF4346">
              <w:rPr>
                <w:rFonts w:ascii="CAIXA Std Book" w:eastAsia="Calibri" w:hAnsi="CAIXA Std Book" w:cs="Arial"/>
                <w:color w:val="005CA9"/>
                <w:sz w:val="18"/>
                <w:szCs w:val="18"/>
                <w:lang w:eastAsia="en-US"/>
              </w:rPr>
              <w:t>c</w:t>
            </w:r>
            <w:r w:rsidRPr="00FF4346">
              <w:rPr>
                <w:rFonts w:ascii="CAIXA Std Book" w:eastAsia="Calibri" w:hAnsi="CAIXA Std Book" w:cs="Arial"/>
                <w:color w:val="005CA9"/>
                <w:sz w:val="18"/>
                <w:szCs w:val="18"/>
                <w:lang w:eastAsia="en-US"/>
              </w:rPr>
              <w:t>onjunto</w:t>
            </w:r>
          </w:p>
        </w:tc>
        <w:tc>
          <w:tcPr>
            <w:tcW w:w="1758" w:type="pct"/>
            <w:tcBorders>
              <w:top w:val="nil"/>
              <w:left w:val="nil"/>
              <w:bottom w:val="nil"/>
              <w:right w:val="nil"/>
            </w:tcBorders>
            <w:shd w:val="clear" w:color="auto" w:fill="auto"/>
            <w:noWrap/>
            <w:vAlign w:val="center"/>
          </w:tcPr>
          <w:p w14:paraId="48BAA508" w14:textId="77777777" w:rsidR="001D79B2" w:rsidRPr="00FF4346" w:rsidRDefault="00D7280C" w:rsidP="001D44DF">
            <w:pP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 xml:space="preserve">Emissão de vales-alimentação, </w:t>
            </w:r>
            <w:proofErr w:type="spellStart"/>
            <w:r w:rsidRPr="00FF4346">
              <w:rPr>
                <w:rFonts w:ascii="CAIXA Std Book" w:eastAsia="Calibri" w:hAnsi="CAIXA Std Book" w:cs="Arial"/>
                <w:color w:val="005CA9"/>
                <w:sz w:val="18"/>
                <w:szCs w:val="18"/>
                <w:lang w:eastAsia="en-US"/>
              </w:rPr>
              <w:t>vales-transporte</w:t>
            </w:r>
            <w:proofErr w:type="spellEnd"/>
            <w:r w:rsidRPr="00FF4346">
              <w:rPr>
                <w:rFonts w:ascii="CAIXA Std Book" w:eastAsia="Calibri" w:hAnsi="CAIXA Std Book" w:cs="Arial"/>
                <w:color w:val="005CA9"/>
                <w:sz w:val="18"/>
                <w:szCs w:val="18"/>
                <w:lang w:eastAsia="en-US"/>
              </w:rPr>
              <w:t xml:space="preserve"> e similares</w:t>
            </w:r>
          </w:p>
        </w:tc>
        <w:tc>
          <w:tcPr>
            <w:tcW w:w="428" w:type="pct"/>
            <w:tcBorders>
              <w:top w:val="nil"/>
              <w:left w:val="nil"/>
              <w:bottom w:val="nil"/>
              <w:right w:val="nil"/>
            </w:tcBorders>
            <w:shd w:val="clear" w:color="auto" w:fill="auto"/>
            <w:noWrap/>
            <w:vAlign w:val="center"/>
          </w:tcPr>
          <w:p w14:paraId="3B5A114D" w14:textId="77777777" w:rsidR="001D79B2" w:rsidRPr="00FF4346" w:rsidRDefault="00D7280C" w:rsidP="001D44DF">
            <w:pPr>
              <w:jc w:val="center"/>
              <w:rPr>
                <w:rFonts w:ascii="CAIXA Std Book" w:eastAsia="Calibri" w:hAnsi="CAIXA Std Book" w:cs="Arial"/>
                <w:color w:val="005CA9"/>
                <w:sz w:val="18"/>
                <w:szCs w:val="18"/>
                <w:lang w:eastAsia="en-US"/>
              </w:rPr>
            </w:pPr>
            <w:r w:rsidRPr="00FF4346">
              <w:rPr>
                <w:rFonts w:ascii="CAIXA Std Book" w:eastAsia="Calibri" w:hAnsi="CAIXA Std Book" w:cs="Arial"/>
                <w:color w:val="005CA9"/>
                <w:sz w:val="18"/>
                <w:szCs w:val="18"/>
                <w:lang w:eastAsia="en-US"/>
              </w:rPr>
              <w:t>Sim</w:t>
            </w:r>
          </w:p>
        </w:tc>
      </w:tr>
      <w:tr w:rsidR="003B2B2A" w:rsidRPr="00A33766" w14:paraId="5ED9CAC7" w14:textId="77777777" w:rsidTr="0013769A">
        <w:trPr>
          <w:trHeight w:val="283"/>
        </w:trPr>
        <w:tc>
          <w:tcPr>
            <w:tcW w:w="835" w:type="pct"/>
            <w:tcBorders>
              <w:top w:val="single" w:sz="4" w:space="0" w:color="F79646" w:themeColor="accent6"/>
              <w:left w:val="nil"/>
              <w:bottom w:val="single" w:sz="4" w:space="0" w:color="F79646" w:themeColor="accent6"/>
              <w:right w:val="nil"/>
            </w:tcBorders>
            <w:shd w:val="clear" w:color="auto" w:fill="auto"/>
            <w:vAlign w:val="center"/>
            <w:hideMark/>
          </w:tcPr>
          <w:p w14:paraId="5A1DC04D" w14:textId="64A2F311"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w:t>
            </w:r>
            <w:r w:rsidR="00140B92" w:rsidRPr="00FF4346">
              <w:rPr>
                <w:rFonts w:ascii="CAIXA Std Book" w:eastAsia="Calibri" w:hAnsi="CAIXA Std Book" w:cs="Arial"/>
                <w:b/>
                <w:color w:val="005CA9"/>
                <w:sz w:val="18"/>
                <w:szCs w:val="18"/>
                <w:lang w:eastAsia="en-US"/>
              </w:rPr>
              <w:t>aixa</w:t>
            </w:r>
            <w:r w:rsidRPr="00FF4346">
              <w:rPr>
                <w:rFonts w:ascii="CAIXA Std Book" w:eastAsia="Calibri" w:hAnsi="CAIXA Std Book" w:cs="Arial"/>
                <w:b/>
                <w:color w:val="005CA9"/>
                <w:sz w:val="18"/>
                <w:szCs w:val="18"/>
                <w:lang w:eastAsia="en-US"/>
              </w:rPr>
              <w:t xml:space="preserve"> Loterias</w:t>
            </w:r>
          </w:p>
        </w:tc>
        <w:tc>
          <w:tcPr>
            <w:tcW w:w="430" w:type="pct"/>
            <w:tcBorders>
              <w:top w:val="single" w:sz="4" w:space="0" w:color="F79646" w:themeColor="accent6"/>
              <w:left w:val="nil"/>
              <w:bottom w:val="single" w:sz="4" w:space="0" w:color="F79646" w:themeColor="accent6"/>
              <w:right w:val="nil"/>
            </w:tcBorders>
            <w:shd w:val="clear" w:color="auto" w:fill="auto"/>
            <w:noWrap/>
            <w:vAlign w:val="center"/>
            <w:hideMark/>
          </w:tcPr>
          <w:p w14:paraId="42672D41"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Brasil</w:t>
            </w:r>
          </w:p>
        </w:tc>
        <w:tc>
          <w:tcPr>
            <w:tcW w:w="665" w:type="pct"/>
            <w:tcBorders>
              <w:top w:val="single" w:sz="4" w:space="0" w:color="F79646" w:themeColor="accent6"/>
              <w:left w:val="nil"/>
              <w:bottom w:val="single" w:sz="4" w:space="0" w:color="F79646" w:themeColor="accent6"/>
              <w:right w:val="nil"/>
            </w:tcBorders>
            <w:shd w:val="clear" w:color="auto" w:fill="auto"/>
            <w:noWrap/>
            <w:vAlign w:val="center"/>
            <w:hideMark/>
          </w:tcPr>
          <w:p w14:paraId="0B3FE3F1"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Brasília (DF)</w:t>
            </w:r>
          </w:p>
        </w:tc>
        <w:tc>
          <w:tcPr>
            <w:tcW w:w="884" w:type="pct"/>
            <w:tcBorders>
              <w:top w:val="single" w:sz="4" w:space="0" w:color="F79646" w:themeColor="accent6"/>
              <w:left w:val="nil"/>
              <w:bottom w:val="single" w:sz="4" w:space="0" w:color="F79646" w:themeColor="accent6"/>
              <w:right w:val="nil"/>
            </w:tcBorders>
            <w:shd w:val="clear" w:color="auto" w:fill="auto"/>
            <w:noWrap/>
            <w:vAlign w:val="center"/>
            <w:hideMark/>
          </w:tcPr>
          <w:p w14:paraId="2D185969"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Subsidiária integral</w:t>
            </w:r>
          </w:p>
        </w:tc>
        <w:tc>
          <w:tcPr>
            <w:tcW w:w="1758" w:type="pct"/>
            <w:tcBorders>
              <w:top w:val="single" w:sz="4" w:space="0" w:color="F79646" w:themeColor="accent6"/>
              <w:left w:val="nil"/>
              <w:bottom w:val="single" w:sz="4" w:space="0" w:color="F79646" w:themeColor="accent6"/>
              <w:right w:val="nil"/>
            </w:tcBorders>
            <w:shd w:val="clear" w:color="auto" w:fill="auto"/>
            <w:noWrap/>
            <w:vAlign w:val="center"/>
            <w:hideMark/>
          </w:tcPr>
          <w:p w14:paraId="1A2AE837"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Holding</w:t>
            </w:r>
          </w:p>
        </w:tc>
        <w:tc>
          <w:tcPr>
            <w:tcW w:w="428" w:type="pct"/>
            <w:tcBorders>
              <w:top w:val="single" w:sz="4" w:space="0" w:color="F79646" w:themeColor="accent6"/>
              <w:left w:val="nil"/>
              <w:bottom w:val="single" w:sz="4" w:space="0" w:color="F79646" w:themeColor="accent6"/>
              <w:right w:val="nil"/>
            </w:tcBorders>
            <w:shd w:val="clear" w:color="auto" w:fill="auto"/>
            <w:noWrap/>
            <w:vAlign w:val="center"/>
            <w:hideMark/>
          </w:tcPr>
          <w:p w14:paraId="7B1B3C00"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Sim</w:t>
            </w:r>
          </w:p>
        </w:tc>
      </w:tr>
      <w:tr w:rsidR="003B2B2A" w:rsidRPr="00A33766" w14:paraId="33A82422" w14:textId="77777777" w:rsidTr="0013769A">
        <w:trPr>
          <w:trHeight w:val="283"/>
        </w:trPr>
        <w:tc>
          <w:tcPr>
            <w:tcW w:w="835" w:type="pct"/>
            <w:tcBorders>
              <w:top w:val="single" w:sz="4" w:space="0" w:color="F79646" w:themeColor="accent6"/>
              <w:left w:val="nil"/>
              <w:bottom w:val="single" w:sz="4" w:space="0" w:color="F79646"/>
              <w:right w:val="nil"/>
            </w:tcBorders>
            <w:shd w:val="clear" w:color="auto" w:fill="auto"/>
            <w:vAlign w:val="center"/>
            <w:hideMark/>
          </w:tcPr>
          <w:p w14:paraId="64451B05" w14:textId="7A58C500"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C</w:t>
            </w:r>
            <w:r w:rsidR="00140B92" w:rsidRPr="00FF4346">
              <w:rPr>
                <w:rFonts w:ascii="CAIXA Std Book" w:eastAsia="Calibri" w:hAnsi="CAIXA Std Book" w:cs="Arial"/>
                <w:b/>
                <w:color w:val="005CA9"/>
                <w:sz w:val="18"/>
                <w:szCs w:val="18"/>
                <w:lang w:eastAsia="en-US"/>
              </w:rPr>
              <w:t>aixa</w:t>
            </w:r>
            <w:r w:rsidRPr="00FF4346">
              <w:rPr>
                <w:rFonts w:ascii="CAIXA Std Book" w:eastAsia="Calibri" w:hAnsi="CAIXA Std Book" w:cs="Arial"/>
                <w:b/>
                <w:color w:val="005CA9"/>
                <w:sz w:val="18"/>
                <w:szCs w:val="18"/>
                <w:lang w:eastAsia="en-US"/>
              </w:rPr>
              <w:t xml:space="preserve"> </w:t>
            </w:r>
            <w:proofErr w:type="spellStart"/>
            <w:r w:rsidR="0003156F" w:rsidRPr="00FF4346">
              <w:rPr>
                <w:rFonts w:ascii="CAIXA Std Book" w:eastAsia="Calibri" w:hAnsi="CAIXA Std Book" w:cs="Arial"/>
                <w:b/>
                <w:color w:val="005CA9"/>
                <w:sz w:val="18"/>
                <w:szCs w:val="18"/>
                <w:lang w:eastAsia="en-US"/>
              </w:rPr>
              <w:t>Asset</w:t>
            </w:r>
            <w:proofErr w:type="spellEnd"/>
          </w:p>
        </w:tc>
        <w:tc>
          <w:tcPr>
            <w:tcW w:w="430" w:type="pct"/>
            <w:tcBorders>
              <w:top w:val="single" w:sz="4" w:space="0" w:color="F79646" w:themeColor="accent6"/>
              <w:left w:val="nil"/>
              <w:bottom w:val="single" w:sz="4" w:space="0" w:color="F79646"/>
              <w:right w:val="nil"/>
            </w:tcBorders>
            <w:shd w:val="clear" w:color="auto" w:fill="auto"/>
            <w:noWrap/>
            <w:vAlign w:val="center"/>
            <w:hideMark/>
          </w:tcPr>
          <w:p w14:paraId="4A2A69C7"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Brasil</w:t>
            </w:r>
          </w:p>
        </w:tc>
        <w:tc>
          <w:tcPr>
            <w:tcW w:w="665" w:type="pct"/>
            <w:tcBorders>
              <w:top w:val="single" w:sz="4" w:space="0" w:color="F79646" w:themeColor="accent6"/>
              <w:left w:val="nil"/>
              <w:bottom w:val="single" w:sz="4" w:space="0" w:color="F79646"/>
              <w:right w:val="nil"/>
            </w:tcBorders>
            <w:shd w:val="clear" w:color="auto" w:fill="auto"/>
            <w:noWrap/>
            <w:vAlign w:val="center"/>
            <w:hideMark/>
          </w:tcPr>
          <w:p w14:paraId="5828E4C3"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Brasília (DF)</w:t>
            </w:r>
          </w:p>
        </w:tc>
        <w:tc>
          <w:tcPr>
            <w:tcW w:w="884" w:type="pct"/>
            <w:tcBorders>
              <w:top w:val="single" w:sz="4" w:space="0" w:color="F79646" w:themeColor="accent6"/>
              <w:left w:val="nil"/>
              <w:bottom w:val="single" w:sz="4" w:space="0" w:color="F79646"/>
              <w:right w:val="nil"/>
            </w:tcBorders>
            <w:shd w:val="clear" w:color="auto" w:fill="auto"/>
            <w:noWrap/>
            <w:vAlign w:val="center"/>
            <w:hideMark/>
          </w:tcPr>
          <w:p w14:paraId="33DCF524" w14:textId="77777777" w:rsidR="001D44DF" w:rsidRPr="00FF4346" w:rsidRDefault="001D44DF" w:rsidP="001D44DF">
            <w:pP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Subsidiária integral</w:t>
            </w:r>
          </w:p>
        </w:tc>
        <w:tc>
          <w:tcPr>
            <w:tcW w:w="1758" w:type="pct"/>
            <w:tcBorders>
              <w:top w:val="single" w:sz="4" w:space="0" w:color="F79646" w:themeColor="accent6"/>
              <w:left w:val="nil"/>
              <w:bottom w:val="single" w:sz="4" w:space="0" w:color="F79646"/>
              <w:right w:val="nil"/>
            </w:tcBorders>
            <w:shd w:val="clear" w:color="auto" w:fill="auto"/>
            <w:noWrap/>
            <w:vAlign w:val="center"/>
            <w:hideMark/>
          </w:tcPr>
          <w:p w14:paraId="3EB539EC" w14:textId="77777777" w:rsidR="001D44DF" w:rsidRPr="00FF4346" w:rsidRDefault="001D44DF" w:rsidP="001D44DF">
            <w:pPr>
              <w:rPr>
                <w:rFonts w:ascii="CAIXA Std Book" w:eastAsia="Calibri" w:hAnsi="CAIXA Std Book" w:cs="Arial"/>
                <w:b/>
                <w:color w:val="005CA9"/>
                <w:sz w:val="18"/>
                <w:szCs w:val="18"/>
                <w:lang w:eastAsia="en-US"/>
              </w:rPr>
            </w:pPr>
            <w:proofErr w:type="spellStart"/>
            <w:r w:rsidRPr="00FF4346">
              <w:rPr>
                <w:rFonts w:ascii="CAIXA Std Book" w:eastAsia="Calibri" w:hAnsi="CAIXA Std Book" w:cs="Arial"/>
                <w:b/>
                <w:color w:val="005CA9"/>
                <w:sz w:val="18"/>
                <w:szCs w:val="18"/>
                <w:lang w:eastAsia="en-US"/>
              </w:rPr>
              <w:t>Distrib</w:t>
            </w:r>
            <w:proofErr w:type="spellEnd"/>
            <w:r w:rsidRPr="00FF4346">
              <w:rPr>
                <w:rFonts w:ascii="CAIXA Std Book" w:eastAsia="Calibri" w:hAnsi="CAIXA Std Book" w:cs="Arial"/>
                <w:b/>
                <w:color w:val="005CA9"/>
                <w:sz w:val="18"/>
                <w:szCs w:val="18"/>
                <w:lang w:eastAsia="en-US"/>
              </w:rPr>
              <w:t>. de títulos e valores mobiliários</w:t>
            </w:r>
          </w:p>
        </w:tc>
        <w:tc>
          <w:tcPr>
            <w:tcW w:w="428" w:type="pct"/>
            <w:tcBorders>
              <w:top w:val="single" w:sz="4" w:space="0" w:color="F79646" w:themeColor="accent6"/>
              <w:left w:val="nil"/>
              <w:bottom w:val="single" w:sz="4" w:space="0" w:color="F79646"/>
              <w:right w:val="nil"/>
            </w:tcBorders>
            <w:shd w:val="clear" w:color="auto" w:fill="auto"/>
            <w:noWrap/>
            <w:vAlign w:val="center"/>
            <w:hideMark/>
          </w:tcPr>
          <w:p w14:paraId="497BF664" w14:textId="77777777" w:rsidR="001D44DF" w:rsidRPr="00FF4346" w:rsidRDefault="001D44DF" w:rsidP="001D44DF">
            <w:pPr>
              <w:jc w:val="center"/>
              <w:rPr>
                <w:rFonts w:ascii="CAIXA Std Book" w:eastAsia="Calibri" w:hAnsi="CAIXA Std Book" w:cs="Arial"/>
                <w:b/>
                <w:color w:val="005CA9"/>
                <w:sz w:val="18"/>
                <w:szCs w:val="18"/>
                <w:lang w:eastAsia="en-US"/>
              </w:rPr>
            </w:pPr>
            <w:r w:rsidRPr="00FF4346">
              <w:rPr>
                <w:rFonts w:ascii="CAIXA Std Book" w:eastAsia="Calibri" w:hAnsi="CAIXA Std Book" w:cs="Arial"/>
                <w:b/>
                <w:color w:val="005CA9"/>
                <w:sz w:val="18"/>
                <w:szCs w:val="18"/>
                <w:lang w:eastAsia="en-US"/>
              </w:rPr>
              <w:t>Sim</w:t>
            </w:r>
          </w:p>
        </w:tc>
      </w:tr>
    </w:tbl>
    <w:p w14:paraId="1CE5C2F7" w14:textId="7B6325F9" w:rsidR="00936563" w:rsidRPr="00FF4346" w:rsidRDefault="00936563" w:rsidP="00705633">
      <w:pPr>
        <w:jc w:val="both"/>
        <w:rPr>
          <w:rFonts w:ascii="CAIXA Std Book" w:hAnsi="CAIXA Std Book"/>
          <w:color w:val="005CA9"/>
          <w:sz w:val="16"/>
          <w:szCs w:val="16"/>
        </w:rPr>
      </w:pPr>
      <w:r w:rsidRPr="00FF4346">
        <w:rPr>
          <w:rFonts w:ascii="CAIXA Std Book" w:hAnsi="CAIXA Std Book"/>
          <w:color w:val="005CA9"/>
          <w:sz w:val="16"/>
          <w:szCs w:val="16"/>
        </w:rPr>
        <w:t>(1) Todas as empresas mencionadas adotam o Real como moeda funcional.</w:t>
      </w:r>
    </w:p>
    <w:p w14:paraId="35754AD5" w14:textId="692ABA62" w:rsidR="009345B4" w:rsidRPr="00FF4346" w:rsidRDefault="00936563" w:rsidP="00705633">
      <w:pPr>
        <w:jc w:val="both"/>
        <w:rPr>
          <w:rFonts w:ascii="CAIXA Std Book" w:hAnsi="CAIXA Std Book"/>
          <w:color w:val="005CA9"/>
          <w:sz w:val="16"/>
          <w:szCs w:val="16"/>
        </w:rPr>
      </w:pPr>
      <w:r w:rsidRPr="00FF4346">
        <w:rPr>
          <w:rFonts w:ascii="CAIXA Std Book" w:hAnsi="CAIXA Std Book"/>
          <w:color w:val="005CA9"/>
          <w:sz w:val="16"/>
          <w:szCs w:val="16"/>
        </w:rPr>
        <w:t xml:space="preserve">(2) Consideram-se participações estratégicas os investimentos em sociedades cujas atividades complementam ou dão suporte </w:t>
      </w:r>
      <w:r w:rsidR="007C537D" w:rsidRPr="00FF4346">
        <w:rPr>
          <w:rFonts w:ascii="CAIXA Std Book" w:hAnsi="CAIXA Std Book"/>
          <w:color w:val="005CA9"/>
          <w:sz w:val="16"/>
          <w:szCs w:val="16"/>
        </w:rPr>
        <w:t>à</w:t>
      </w:r>
      <w:r w:rsidRPr="00FF4346">
        <w:rPr>
          <w:rFonts w:ascii="CAIXA Std Book" w:hAnsi="CAIXA Std Book"/>
          <w:color w:val="005CA9"/>
          <w:sz w:val="16"/>
          <w:szCs w:val="16"/>
        </w:rPr>
        <w:t>s atividades do banco.</w:t>
      </w:r>
    </w:p>
    <w:p w14:paraId="1C0149E4" w14:textId="6C21A4F2" w:rsidR="009345B4" w:rsidRPr="00FF4346" w:rsidRDefault="009345B4">
      <w:pPr>
        <w:rPr>
          <w:rFonts w:ascii="CAIXA Std Book" w:hAnsi="CAIXA Std Book"/>
          <w:color w:val="005CA9"/>
          <w:sz w:val="16"/>
          <w:szCs w:val="16"/>
        </w:rPr>
      </w:pPr>
      <w:r w:rsidRPr="00FF4346">
        <w:rPr>
          <w:rFonts w:ascii="CAIXA Std Book" w:hAnsi="CAIXA Std Book"/>
          <w:color w:val="005CA9"/>
          <w:sz w:val="16"/>
          <w:szCs w:val="16"/>
        </w:rPr>
        <w:br w:type="page"/>
      </w:r>
    </w:p>
    <w:p w14:paraId="2A5F74EE" w14:textId="226EEA03" w:rsidR="00EC1023" w:rsidRPr="00FF4346" w:rsidRDefault="00EC1023" w:rsidP="00B37B40">
      <w:pPr>
        <w:pStyle w:val="PargrafodaLista"/>
        <w:numPr>
          <w:ilvl w:val="0"/>
          <w:numId w:val="20"/>
        </w:numPr>
        <w:spacing w:before="480" w:after="240"/>
        <w:ind w:hanging="644"/>
        <w:rPr>
          <w:rFonts w:ascii="CAIXA Std Book" w:hAnsi="CAIXA Std Book"/>
          <w:b/>
          <w:color w:val="005CA9"/>
          <w:sz w:val="20"/>
          <w:szCs w:val="20"/>
        </w:rPr>
      </w:pPr>
      <w:r w:rsidRPr="00FF4346">
        <w:rPr>
          <w:rFonts w:ascii="CAIXA Std Book" w:hAnsi="CAIXA Std Book"/>
          <w:b/>
          <w:color w:val="005CA9"/>
          <w:sz w:val="20"/>
          <w:szCs w:val="20"/>
        </w:rPr>
        <w:lastRenderedPageBreak/>
        <w:t>Composição do investimento e do resultado de equivalência patrimonial</w:t>
      </w:r>
    </w:p>
    <w:tbl>
      <w:tblPr>
        <w:tblW w:w="5000" w:type="pct"/>
        <w:tblCellMar>
          <w:left w:w="70" w:type="dxa"/>
          <w:right w:w="70" w:type="dxa"/>
        </w:tblCellMar>
        <w:tblLook w:val="04A0" w:firstRow="1" w:lastRow="0" w:firstColumn="1" w:lastColumn="0" w:noHBand="0" w:noVBand="1"/>
      </w:tblPr>
      <w:tblGrid>
        <w:gridCol w:w="1822"/>
        <w:gridCol w:w="1006"/>
        <w:gridCol w:w="1102"/>
        <w:gridCol w:w="905"/>
        <w:gridCol w:w="922"/>
        <w:gridCol w:w="1096"/>
        <w:gridCol w:w="1154"/>
        <w:gridCol w:w="1119"/>
        <w:gridCol w:w="1009"/>
        <w:gridCol w:w="1006"/>
        <w:gridCol w:w="1073"/>
        <w:gridCol w:w="1125"/>
        <w:gridCol w:w="1119"/>
      </w:tblGrid>
      <w:tr w:rsidR="00576123" w:rsidRPr="0013769A" w14:paraId="4913C2A1" w14:textId="77777777" w:rsidTr="0013769A">
        <w:trPr>
          <w:trHeight w:val="340"/>
        </w:trPr>
        <w:tc>
          <w:tcPr>
            <w:tcW w:w="5000" w:type="pct"/>
            <w:gridSpan w:val="13"/>
            <w:tcBorders>
              <w:top w:val="single" w:sz="4" w:space="0" w:color="ED7D31"/>
              <w:left w:val="nil"/>
              <w:bottom w:val="single" w:sz="4" w:space="0" w:color="ED7D31"/>
              <w:right w:val="nil"/>
            </w:tcBorders>
            <w:shd w:val="clear" w:color="auto" w:fill="auto"/>
            <w:vAlign w:val="center"/>
            <w:hideMark/>
          </w:tcPr>
          <w:p w14:paraId="26529466"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INDIVIDUAL</w:t>
            </w:r>
          </w:p>
        </w:tc>
      </w:tr>
      <w:tr w:rsidR="00576123" w:rsidRPr="0013769A" w14:paraId="1F5ABC4C" w14:textId="77777777" w:rsidTr="0013769A">
        <w:trPr>
          <w:trHeight w:val="340"/>
        </w:trPr>
        <w:tc>
          <w:tcPr>
            <w:tcW w:w="630" w:type="pct"/>
            <w:vMerge w:val="restart"/>
            <w:tcBorders>
              <w:top w:val="nil"/>
              <w:left w:val="nil"/>
              <w:bottom w:val="nil"/>
              <w:right w:val="nil"/>
            </w:tcBorders>
            <w:shd w:val="clear" w:color="auto" w:fill="auto"/>
            <w:vAlign w:val="center"/>
            <w:hideMark/>
          </w:tcPr>
          <w:p w14:paraId="161E6F76"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Empresa</w:t>
            </w:r>
          </w:p>
        </w:tc>
        <w:tc>
          <w:tcPr>
            <w:tcW w:w="1361" w:type="pct"/>
            <w:gridSpan w:val="4"/>
            <w:tcBorders>
              <w:top w:val="single" w:sz="4" w:space="0" w:color="ED7D31"/>
              <w:left w:val="nil"/>
              <w:bottom w:val="single" w:sz="4" w:space="0" w:color="ED7D31"/>
              <w:right w:val="nil"/>
            </w:tcBorders>
            <w:shd w:val="clear" w:color="auto" w:fill="auto"/>
            <w:vAlign w:val="center"/>
            <w:hideMark/>
          </w:tcPr>
          <w:p w14:paraId="28A6B498"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de participação</w:t>
            </w:r>
          </w:p>
        </w:tc>
        <w:tc>
          <w:tcPr>
            <w:tcW w:w="778" w:type="pct"/>
            <w:gridSpan w:val="2"/>
            <w:vMerge w:val="restart"/>
            <w:tcBorders>
              <w:top w:val="single" w:sz="4" w:space="0" w:color="ED7D31"/>
              <w:left w:val="nil"/>
              <w:bottom w:val="single" w:sz="4" w:space="0" w:color="ED7D31"/>
              <w:right w:val="nil"/>
            </w:tcBorders>
            <w:shd w:val="clear" w:color="auto" w:fill="auto"/>
            <w:vAlign w:val="center"/>
            <w:hideMark/>
          </w:tcPr>
          <w:p w14:paraId="1E6B03F0"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Patrimônio Líquido</w:t>
            </w:r>
          </w:p>
        </w:tc>
        <w:tc>
          <w:tcPr>
            <w:tcW w:w="387" w:type="pct"/>
            <w:vMerge w:val="restart"/>
            <w:tcBorders>
              <w:top w:val="nil"/>
              <w:left w:val="nil"/>
              <w:bottom w:val="single" w:sz="4" w:space="0" w:color="ED7D31"/>
              <w:right w:val="nil"/>
            </w:tcBorders>
            <w:shd w:val="clear" w:color="auto" w:fill="auto"/>
            <w:vAlign w:val="center"/>
            <w:hideMark/>
          </w:tcPr>
          <w:p w14:paraId="0A82C411"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1068" w:type="pct"/>
            <w:gridSpan w:val="3"/>
            <w:vMerge w:val="restart"/>
            <w:tcBorders>
              <w:top w:val="single" w:sz="4" w:space="0" w:color="ED7D31"/>
              <w:left w:val="nil"/>
              <w:bottom w:val="single" w:sz="4" w:space="0" w:color="ED7D31"/>
              <w:right w:val="nil"/>
            </w:tcBorders>
            <w:shd w:val="clear" w:color="auto" w:fill="auto"/>
            <w:vAlign w:val="center"/>
            <w:hideMark/>
          </w:tcPr>
          <w:p w14:paraId="55A8644A"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Movimentação</w:t>
            </w:r>
          </w:p>
        </w:tc>
        <w:tc>
          <w:tcPr>
            <w:tcW w:w="389" w:type="pct"/>
            <w:vMerge w:val="restart"/>
            <w:tcBorders>
              <w:top w:val="nil"/>
              <w:left w:val="nil"/>
              <w:bottom w:val="single" w:sz="4" w:space="0" w:color="ED7D31"/>
              <w:right w:val="nil"/>
            </w:tcBorders>
            <w:shd w:val="clear" w:color="auto" w:fill="auto"/>
            <w:vAlign w:val="center"/>
            <w:hideMark/>
          </w:tcPr>
          <w:p w14:paraId="381C59DA"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387" w:type="pct"/>
            <w:vMerge w:val="restart"/>
            <w:tcBorders>
              <w:top w:val="nil"/>
              <w:left w:val="nil"/>
              <w:bottom w:val="single" w:sz="4" w:space="0" w:color="ED7D31"/>
              <w:right w:val="nil"/>
            </w:tcBorders>
            <w:shd w:val="clear" w:color="auto" w:fill="auto"/>
            <w:vAlign w:val="center"/>
            <w:hideMark/>
          </w:tcPr>
          <w:p w14:paraId="32AFDA69"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Resultado MEP</w:t>
            </w:r>
          </w:p>
        </w:tc>
      </w:tr>
      <w:tr w:rsidR="00576123" w:rsidRPr="0013769A" w14:paraId="2EC3AFBD" w14:textId="77777777" w:rsidTr="0013769A">
        <w:trPr>
          <w:trHeight w:val="340"/>
        </w:trPr>
        <w:tc>
          <w:tcPr>
            <w:tcW w:w="630" w:type="pct"/>
            <w:vMerge/>
            <w:tcBorders>
              <w:top w:val="nil"/>
              <w:left w:val="nil"/>
              <w:bottom w:val="nil"/>
              <w:right w:val="nil"/>
            </w:tcBorders>
            <w:vAlign w:val="center"/>
            <w:hideMark/>
          </w:tcPr>
          <w:p w14:paraId="76F67464" w14:textId="77777777" w:rsidR="00576123" w:rsidRPr="00FF4346" w:rsidRDefault="00576123" w:rsidP="00711413">
            <w:pPr>
              <w:rPr>
                <w:rFonts w:ascii="CAIXA Std Book" w:eastAsia="Times New Roman" w:hAnsi="CAIXA Std Book" w:cs="Calibri"/>
                <w:b/>
                <w:bCs/>
                <w:color w:val="005CA9"/>
                <w:sz w:val="16"/>
                <w:szCs w:val="16"/>
              </w:rPr>
            </w:pPr>
          </w:p>
        </w:tc>
        <w:tc>
          <w:tcPr>
            <w:tcW w:w="729" w:type="pct"/>
            <w:gridSpan w:val="2"/>
            <w:tcBorders>
              <w:top w:val="single" w:sz="4" w:space="0" w:color="ED7D31"/>
              <w:left w:val="nil"/>
              <w:bottom w:val="single" w:sz="4" w:space="0" w:color="ED7D31"/>
              <w:right w:val="nil"/>
            </w:tcBorders>
            <w:shd w:val="clear" w:color="auto" w:fill="auto"/>
            <w:vAlign w:val="center"/>
            <w:hideMark/>
          </w:tcPr>
          <w:p w14:paraId="67DC16CA" w14:textId="1AEA17E1" w:rsidR="00576123" w:rsidRPr="00FF4346" w:rsidRDefault="00576123" w:rsidP="00711413">
            <w:pPr>
              <w:jc w:val="center"/>
              <w:rPr>
                <w:rFonts w:ascii="CAIXA Std Book" w:eastAsia="Times New Roman" w:hAnsi="CAIXA Std Book" w:cs="Calibri"/>
                <w:b/>
                <w:bCs/>
                <w:color w:val="005CA9"/>
                <w:sz w:val="16"/>
                <w:szCs w:val="16"/>
              </w:rPr>
            </w:pPr>
            <w:r w:rsidRPr="00A33766">
              <w:rPr>
                <w:rFonts w:ascii="CAIXA Std Book" w:eastAsia="Times New Roman" w:hAnsi="CAIXA Std Book" w:cs="Calibri"/>
                <w:b/>
                <w:bCs/>
                <w:color w:val="005CA9"/>
                <w:sz w:val="16"/>
                <w:szCs w:val="16"/>
              </w:rPr>
              <w:t>31/</w:t>
            </w:r>
            <w:r w:rsidR="00891566">
              <w:rPr>
                <w:rFonts w:ascii="CAIXA Std Book" w:eastAsia="Times New Roman" w:hAnsi="CAIXA Std Book" w:cs="Calibri"/>
                <w:b/>
                <w:bCs/>
                <w:color w:val="005CA9"/>
                <w:sz w:val="16"/>
                <w:szCs w:val="16"/>
              </w:rPr>
              <w:t>03/2024</w:t>
            </w:r>
          </w:p>
        </w:tc>
        <w:tc>
          <w:tcPr>
            <w:tcW w:w="632" w:type="pct"/>
            <w:gridSpan w:val="2"/>
            <w:tcBorders>
              <w:top w:val="nil"/>
              <w:left w:val="nil"/>
              <w:bottom w:val="nil"/>
              <w:right w:val="nil"/>
            </w:tcBorders>
            <w:shd w:val="clear" w:color="auto" w:fill="auto"/>
            <w:vAlign w:val="center"/>
            <w:hideMark/>
          </w:tcPr>
          <w:p w14:paraId="016323F8" w14:textId="5C3481A6"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31/12/</w:t>
            </w:r>
            <w:r w:rsidRPr="00A33766">
              <w:rPr>
                <w:rFonts w:ascii="CAIXA Std Book" w:eastAsia="Times New Roman" w:hAnsi="CAIXA Std Book" w:cs="Calibri"/>
                <w:b/>
                <w:bCs/>
                <w:color w:val="005CA9"/>
                <w:sz w:val="16"/>
                <w:szCs w:val="16"/>
              </w:rPr>
              <w:t>202</w:t>
            </w:r>
            <w:r w:rsidR="00891566">
              <w:rPr>
                <w:rFonts w:ascii="CAIXA Std Book" w:eastAsia="Times New Roman" w:hAnsi="CAIXA Std Book" w:cs="Calibri"/>
                <w:b/>
                <w:bCs/>
                <w:color w:val="005CA9"/>
                <w:sz w:val="16"/>
                <w:szCs w:val="16"/>
              </w:rPr>
              <w:t>3</w:t>
            </w:r>
          </w:p>
        </w:tc>
        <w:tc>
          <w:tcPr>
            <w:tcW w:w="778" w:type="pct"/>
            <w:gridSpan w:val="2"/>
            <w:vMerge/>
            <w:tcBorders>
              <w:top w:val="single" w:sz="4" w:space="0" w:color="ED7D31"/>
              <w:left w:val="nil"/>
              <w:bottom w:val="single" w:sz="4" w:space="0" w:color="ED7D31"/>
              <w:right w:val="nil"/>
            </w:tcBorders>
            <w:vAlign w:val="center"/>
            <w:hideMark/>
          </w:tcPr>
          <w:p w14:paraId="536799BD" w14:textId="77777777" w:rsidR="00576123" w:rsidRPr="00FF4346" w:rsidRDefault="00576123" w:rsidP="00711413">
            <w:pPr>
              <w:rPr>
                <w:rFonts w:ascii="CAIXA Std Book" w:eastAsia="Times New Roman" w:hAnsi="CAIXA Std Book" w:cs="Calibri"/>
                <w:b/>
                <w:bCs/>
                <w:color w:val="005CA9"/>
                <w:sz w:val="16"/>
                <w:szCs w:val="16"/>
              </w:rPr>
            </w:pPr>
          </w:p>
        </w:tc>
        <w:tc>
          <w:tcPr>
            <w:tcW w:w="387" w:type="pct"/>
            <w:vMerge/>
            <w:tcBorders>
              <w:top w:val="nil"/>
              <w:left w:val="nil"/>
              <w:bottom w:val="single" w:sz="4" w:space="0" w:color="ED7D31"/>
              <w:right w:val="nil"/>
            </w:tcBorders>
            <w:vAlign w:val="center"/>
            <w:hideMark/>
          </w:tcPr>
          <w:p w14:paraId="4881CDCA" w14:textId="77777777" w:rsidR="00576123" w:rsidRPr="00FF4346" w:rsidRDefault="00576123" w:rsidP="00711413">
            <w:pPr>
              <w:rPr>
                <w:rFonts w:ascii="CAIXA Std Book" w:eastAsia="Times New Roman" w:hAnsi="CAIXA Std Book" w:cs="Calibri"/>
                <w:b/>
                <w:bCs/>
                <w:color w:val="005CA9"/>
                <w:sz w:val="16"/>
                <w:szCs w:val="16"/>
              </w:rPr>
            </w:pPr>
          </w:p>
        </w:tc>
        <w:tc>
          <w:tcPr>
            <w:tcW w:w="1068" w:type="pct"/>
            <w:gridSpan w:val="3"/>
            <w:vMerge/>
            <w:tcBorders>
              <w:top w:val="single" w:sz="4" w:space="0" w:color="ED7D31"/>
              <w:left w:val="nil"/>
              <w:bottom w:val="single" w:sz="4" w:space="0" w:color="ED7D31"/>
              <w:right w:val="nil"/>
            </w:tcBorders>
            <w:vAlign w:val="center"/>
            <w:hideMark/>
          </w:tcPr>
          <w:p w14:paraId="36C0936D" w14:textId="77777777" w:rsidR="00576123" w:rsidRPr="00FF4346" w:rsidRDefault="00576123" w:rsidP="00711413">
            <w:pPr>
              <w:rPr>
                <w:rFonts w:ascii="CAIXA Std Book" w:eastAsia="Times New Roman" w:hAnsi="CAIXA Std Book" w:cs="Calibri"/>
                <w:b/>
                <w:bCs/>
                <w:color w:val="005CA9"/>
                <w:sz w:val="16"/>
                <w:szCs w:val="16"/>
              </w:rPr>
            </w:pPr>
          </w:p>
        </w:tc>
        <w:tc>
          <w:tcPr>
            <w:tcW w:w="389" w:type="pct"/>
            <w:vMerge/>
            <w:tcBorders>
              <w:top w:val="nil"/>
              <w:left w:val="nil"/>
              <w:bottom w:val="single" w:sz="4" w:space="0" w:color="ED7D31"/>
              <w:right w:val="nil"/>
            </w:tcBorders>
            <w:vAlign w:val="center"/>
            <w:hideMark/>
          </w:tcPr>
          <w:p w14:paraId="14E49CA9" w14:textId="77777777" w:rsidR="00576123" w:rsidRPr="00FF4346" w:rsidRDefault="00576123" w:rsidP="00711413">
            <w:pPr>
              <w:rPr>
                <w:rFonts w:ascii="CAIXA Std Book" w:eastAsia="Times New Roman" w:hAnsi="CAIXA Std Book" w:cs="Calibri"/>
                <w:b/>
                <w:bCs/>
                <w:color w:val="005CA9"/>
                <w:sz w:val="16"/>
                <w:szCs w:val="16"/>
              </w:rPr>
            </w:pPr>
          </w:p>
        </w:tc>
        <w:tc>
          <w:tcPr>
            <w:tcW w:w="387" w:type="pct"/>
            <w:vMerge/>
            <w:tcBorders>
              <w:top w:val="nil"/>
              <w:left w:val="nil"/>
              <w:bottom w:val="single" w:sz="4" w:space="0" w:color="ED7D31"/>
              <w:right w:val="nil"/>
            </w:tcBorders>
            <w:vAlign w:val="center"/>
            <w:hideMark/>
          </w:tcPr>
          <w:p w14:paraId="215AADA1" w14:textId="77777777" w:rsidR="00576123" w:rsidRPr="00FF4346" w:rsidRDefault="00576123" w:rsidP="00711413">
            <w:pPr>
              <w:rPr>
                <w:rFonts w:ascii="CAIXA Std Book" w:eastAsia="Times New Roman" w:hAnsi="CAIXA Std Book" w:cs="Calibri"/>
                <w:b/>
                <w:bCs/>
                <w:color w:val="005CA9"/>
                <w:sz w:val="16"/>
                <w:szCs w:val="16"/>
              </w:rPr>
            </w:pPr>
          </w:p>
        </w:tc>
      </w:tr>
      <w:tr w:rsidR="00576123" w:rsidRPr="0013769A" w14:paraId="20A73717" w14:textId="77777777" w:rsidTr="001F18B9">
        <w:trPr>
          <w:trHeight w:val="163"/>
        </w:trPr>
        <w:tc>
          <w:tcPr>
            <w:tcW w:w="630" w:type="pct"/>
            <w:vMerge/>
            <w:tcBorders>
              <w:top w:val="nil"/>
              <w:left w:val="nil"/>
              <w:bottom w:val="nil"/>
              <w:right w:val="nil"/>
            </w:tcBorders>
            <w:vAlign w:val="center"/>
            <w:hideMark/>
          </w:tcPr>
          <w:p w14:paraId="2439AC9F" w14:textId="77777777" w:rsidR="00576123" w:rsidRPr="00FF4346" w:rsidRDefault="00576123" w:rsidP="00711413">
            <w:pPr>
              <w:rPr>
                <w:rFonts w:ascii="CAIXA Std Book" w:eastAsia="Times New Roman" w:hAnsi="CAIXA Std Book" w:cs="Calibri"/>
                <w:b/>
                <w:bCs/>
                <w:color w:val="005CA9"/>
                <w:sz w:val="16"/>
                <w:szCs w:val="16"/>
              </w:rPr>
            </w:pPr>
          </w:p>
        </w:tc>
        <w:tc>
          <w:tcPr>
            <w:tcW w:w="348" w:type="pct"/>
            <w:vMerge w:val="restart"/>
            <w:tcBorders>
              <w:top w:val="nil"/>
              <w:left w:val="nil"/>
              <w:bottom w:val="nil"/>
              <w:right w:val="nil"/>
            </w:tcBorders>
            <w:shd w:val="clear" w:color="auto" w:fill="auto"/>
            <w:vAlign w:val="center"/>
            <w:hideMark/>
          </w:tcPr>
          <w:p w14:paraId="53A003C3"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Total</w:t>
            </w:r>
          </w:p>
        </w:tc>
        <w:tc>
          <w:tcPr>
            <w:tcW w:w="381" w:type="pct"/>
            <w:tcBorders>
              <w:top w:val="nil"/>
              <w:left w:val="nil"/>
              <w:bottom w:val="nil"/>
              <w:right w:val="nil"/>
            </w:tcBorders>
            <w:shd w:val="clear" w:color="auto" w:fill="auto"/>
            <w:vAlign w:val="center"/>
            <w:hideMark/>
          </w:tcPr>
          <w:p w14:paraId="3CBD2BED"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Ações</w:t>
            </w:r>
          </w:p>
        </w:tc>
        <w:tc>
          <w:tcPr>
            <w:tcW w:w="313" w:type="pct"/>
            <w:vMerge w:val="restart"/>
            <w:tcBorders>
              <w:top w:val="single" w:sz="4" w:space="0" w:color="ED7D31"/>
              <w:left w:val="nil"/>
              <w:bottom w:val="nil"/>
              <w:right w:val="nil"/>
            </w:tcBorders>
            <w:shd w:val="clear" w:color="auto" w:fill="auto"/>
            <w:vAlign w:val="center"/>
            <w:hideMark/>
          </w:tcPr>
          <w:p w14:paraId="404B0601"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Total</w:t>
            </w:r>
          </w:p>
        </w:tc>
        <w:tc>
          <w:tcPr>
            <w:tcW w:w="319" w:type="pct"/>
            <w:tcBorders>
              <w:top w:val="single" w:sz="4" w:space="0" w:color="ED7D31"/>
              <w:left w:val="nil"/>
              <w:bottom w:val="nil"/>
              <w:right w:val="nil"/>
            </w:tcBorders>
            <w:shd w:val="clear" w:color="auto" w:fill="auto"/>
            <w:vAlign w:val="center"/>
            <w:hideMark/>
          </w:tcPr>
          <w:p w14:paraId="19322537"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Ações</w:t>
            </w:r>
          </w:p>
        </w:tc>
        <w:tc>
          <w:tcPr>
            <w:tcW w:w="379" w:type="pct"/>
            <w:vMerge w:val="restart"/>
            <w:tcBorders>
              <w:top w:val="nil"/>
              <w:left w:val="nil"/>
              <w:bottom w:val="single" w:sz="4" w:space="0" w:color="ED7D31"/>
              <w:right w:val="nil"/>
            </w:tcBorders>
            <w:shd w:val="clear" w:color="auto" w:fill="auto"/>
            <w:vAlign w:val="center"/>
            <w:hideMark/>
          </w:tcPr>
          <w:p w14:paraId="33CA6215" w14:textId="087EDAA5" w:rsidR="00576123" w:rsidRPr="00FF4346" w:rsidRDefault="00576123" w:rsidP="00711413">
            <w:pPr>
              <w:jc w:val="center"/>
              <w:rPr>
                <w:rFonts w:ascii="CAIXA Std Book" w:eastAsia="Times New Roman" w:hAnsi="CAIXA Std Book" w:cs="Calibri"/>
                <w:b/>
                <w:bCs/>
                <w:color w:val="005CA9"/>
                <w:sz w:val="16"/>
                <w:szCs w:val="16"/>
              </w:rPr>
            </w:pPr>
            <w:r w:rsidRPr="00A33766">
              <w:rPr>
                <w:rFonts w:ascii="CAIXA Std Book" w:eastAsia="Times New Roman" w:hAnsi="CAIXA Std Book" w:cs="Calibri"/>
                <w:b/>
                <w:bCs/>
                <w:color w:val="005CA9"/>
                <w:sz w:val="16"/>
                <w:szCs w:val="16"/>
              </w:rPr>
              <w:t>31/</w:t>
            </w:r>
            <w:r w:rsidR="00891566">
              <w:rPr>
                <w:rFonts w:ascii="CAIXA Std Book" w:eastAsia="Times New Roman" w:hAnsi="CAIXA Std Book" w:cs="Calibri"/>
                <w:b/>
                <w:bCs/>
                <w:color w:val="005CA9"/>
                <w:sz w:val="16"/>
                <w:szCs w:val="16"/>
              </w:rPr>
              <w:t>03/2024</w:t>
            </w:r>
          </w:p>
        </w:tc>
        <w:tc>
          <w:tcPr>
            <w:tcW w:w="399" w:type="pct"/>
            <w:vMerge w:val="restart"/>
            <w:tcBorders>
              <w:top w:val="nil"/>
              <w:left w:val="nil"/>
              <w:bottom w:val="single" w:sz="4" w:space="0" w:color="ED7D31"/>
              <w:right w:val="nil"/>
            </w:tcBorders>
            <w:shd w:val="clear" w:color="auto" w:fill="auto"/>
            <w:vAlign w:val="center"/>
            <w:hideMark/>
          </w:tcPr>
          <w:p w14:paraId="762194D2" w14:textId="694C7F10"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31/12/</w:t>
            </w:r>
            <w:r w:rsidRPr="00A33766">
              <w:rPr>
                <w:rFonts w:ascii="CAIXA Std Book" w:eastAsia="Times New Roman" w:hAnsi="CAIXA Std Book" w:cs="Calibri"/>
                <w:b/>
                <w:bCs/>
                <w:color w:val="005CA9"/>
                <w:sz w:val="16"/>
                <w:szCs w:val="16"/>
              </w:rPr>
              <w:t>202</w:t>
            </w:r>
            <w:r w:rsidR="00891566">
              <w:rPr>
                <w:rFonts w:ascii="CAIXA Std Book" w:eastAsia="Times New Roman" w:hAnsi="CAIXA Std Book" w:cs="Calibri"/>
                <w:b/>
                <w:bCs/>
                <w:color w:val="005CA9"/>
                <w:sz w:val="16"/>
                <w:szCs w:val="16"/>
              </w:rPr>
              <w:t>3</w:t>
            </w:r>
          </w:p>
        </w:tc>
        <w:tc>
          <w:tcPr>
            <w:tcW w:w="387" w:type="pct"/>
            <w:vMerge w:val="restart"/>
            <w:tcBorders>
              <w:top w:val="nil"/>
              <w:left w:val="nil"/>
              <w:bottom w:val="single" w:sz="4" w:space="0" w:color="ED7D31"/>
              <w:right w:val="nil"/>
            </w:tcBorders>
            <w:shd w:val="clear" w:color="auto" w:fill="auto"/>
            <w:vAlign w:val="center"/>
            <w:hideMark/>
          </w:tcPr>
          <w:p w14:paraId="01572A4A" w14:textId="59571514"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31/12/</w:t>
            </w:r>
            <w:r w:rsidRPr="00A33766">
              <w:rPr>
                <w:rFonts w:ascii="CAIXA Std Book" w:eastAsia="Times New Roman" w:hAnsi="CAIXA Std Book" w:cs="Calibri"/>
                <w:b/>
                <w:bCs/>
                <w:color w:val="005CA9"/>
                <w:sz w:val="16"/>
                <w:szCs w:val="16"/>
              </w:rPr>
              <w:t>202</w:t>
            </w:r>
            <w:r w:rsidR="00891566">
              <w:rPr>
                <w:rFonts w:ascii="CAIXA Std Book" w:eastAsia="Times New Roman" w:hAnsi="CAIXA Std Book" w:cs="Calibri"/>
                <w:b/>
                <w:bCs/>
                <w:color w:val="005CA9"/>
                <w:sz w:val="16"/>
                <w:szCs w:val="16"/>
              </w:rPr>
              <w:t>3</w:t>
            </w:r>
          </w:p>
        </w:tc>
        <w:tc>
          <w:tcPr>
            <w:tcW w:w="349" w:type="pct"/>
            <w:vMerge w:val="restart"/>
            <w:tcBorders>
              <w:top w:val="nil"/>
              <w:left w:val="nil"/>
              <w:bottom w:val="single" w:sz="4" w:space="0" w:color="ED7D31"/>
              <w:right w:val="nil"/>
            </w:tcBorders>
            <w:shd w:val="clear" w:color="auto" w:fill="auto"/>
            <w:vAlign w:val="center"/>
            <w:hideMark/>
          </w:tcPr>
          <w:p w14:paraId="07FDFEE0"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Resultado MEP</w:t>
            </w:r>
          </w:p>
        </w:tc>
        <w:tc>
          <w:tcPr>
            <w:tcW w:w="348" w:type="pct"/>
            <w:vMerge w:val="restart"/>
            <w:tcBorders>
              <w:top w:val="nil"/>
              <w:left w:val="nil"/>
              <w:bottom w:val="single" w:sz="4" w:space="0" w:color="ED7D31"/>
              <w:right w:val="nil"/>
            </w:tcBorders>
            <w:shd w:val="clear" w:color="auto" w:fill="auto"/>
            <w:vAlign w:val="center"/>
            <w:hideMark/>
          </w:tcPr>
          <w:p w14:paraId="36278E60" w14:textId="0F384DCD"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Dividendos e JCP</w:t>
            </w:r>
          </w:p>
        </w:tc>
        <w:tc>
          <w:tcPr>
            <w:tcW w:w="371" w:type="pct"/>
            <w:vMerge w:val="restart"/>
            <w:tcBorders>
              <w:top w:val="nil"/>
              <w:left w:val="nil"/>
              <w:bottom w:val="single" w:sz="4" w:space="0" w:color="ED7D31"/>
              <w:right w:val="nil"/>
            </w:tcBorders>
            <w:shd w:val="clear" w:color="auto" w:fill="auto"/>
            <w:vAlign w:val="center"/>
            <w:hideMark/>
          </w:tcPr>
          <w:p w14:paraId="268DC44B" w14:textId="553F759A"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Outros</w:t>
            </w:r>
          </w:p>
        </w:tc>
        <w:tc>
          <w:tcPr>
            <w:tcW w:w="389" w:type="pct"/>
            <w:vMerge w:val="restart"/>
            <w:tcBorders>
              <w:top w:val="nil"/>
              <w:left w:val="nil"/>
              <w:bottom w:val="single" w:sz="4" w:space="0" w:color="ED7D31"/>
              <w:right w:val="nil"/>
            </w:tcBorders>
            <w:shd w:val="clear" w:color="auto" w:fill="auto"/>
            <w:vAlign w:val="center"/>
            <w:hideMark/>
          </w:tcPr>
          <w:p w14:paraId="27B03116" w14:textId="7962A7DA" w:rsidR="00576123" w:rsidRPr="00FF4346" w:rsidRDefault="00576123" w:rsidP="00711413">
            <w:pPr>
              <w:jc w:val="center"/>
              <w:rPr>
                <w:rFonts w:ascii="CAIXA Std Book" w:eastAsia="Times New Roman" w:hAnsi="CAIXA Std Book" w:cs="Calibri"/>
                <w:b/>
                <w:bCs/>
                <w:color w:val="005CA9"/>
                <w:sz w:val="16"/>
                <w:szCs w:val="16"/>
              </w:rPr>
            </w:pPr>
            <w:r w:rsidRPr="00A33766">
              <w:rPr>
                <w:rFonts w:ascii="CAIXA Std Book" w:eastAsia="Times New Roman" w:hAnsi="CAIXA Std Book" w:cs="Calibri"/>
                <w:b/>
                <w:bCs/>
                <w:color w:val="005CA9"/>
                <w:sz w:val="16"/>
                <w:szCs w:val="16"/>
              </w:rPr>
              <w:t>31/</w:t>
            </w:r>
            <w:r w:rsidR="00891566">
              <w:rPr>
                <w:rFonts w:ascii="CAIXA Std Book" w:eastAsia="Times New Roman" w:hAnsi="CAIXA Std Book" w:cs="Calibri"/>
                <w:b/>
                <w:bCs/>
                <w:color w:val="005CA9"/>
                <w:sz w:val="16"/>
                <w:szCs w:val="16"/>
              </w:rPr>
              <w:t>03/2024</w:t>
            </w:r>
          </w:p>
        </w:tc>
        <w:tc>
          <w:tcPr>
            <w:tcW w:w="387" w:type="pct"/>
            <w:tcBorders>
              <w:top w:val="nil"/>
              <w:left w:val="nil"/>
              <w:right w:val="nil"/>
            </w:tcBorders>
            <w:shd w:val="clear" w:color="auto" w:fill="auto"/>
            <w:vAlign w:val="center"/>
            <w:hideMark/>
          </w:tcPr>
          <w:p w14:paraId="2D57E98B" w14:textId="20230CD3" w:rsidR="00576123" w:rsidRPr="00FF4346" w:rsidRDefault="00576123" w:rsidP="00711413">
            <w:pPr>
              <w:jc w:val="center"/>
              <w:rPr>
                <w:rFonts w:ascii="CAIXA Std Book" w:eastAsia="Times New Roman" w:hAnsi="CAIXA Std Book" w:cs="Calibri"/>
                <w:b/>
                <w:bCs/>
                <w:color w:val="005CA9"/>
                <w:sz w:val="16"/>
                <w:szCs w:val="16"/>
              </w:rPr>
            </w:pPr>
            <w:r w:rsidRPr="00A33766">
              <w:rPr>
                <w:rFonts w:ascii="CAIXA Std Book" w:eastAsia="Times New Roman" w:hAnsi="CAIXA Std Book" w:cs="Calibri"/>
                <w:b/>
                <w:bCs/>
                <w:color w:val="005CA9"/>
                <w:sz w:val="16"/>
                <w:szCs w:val="16"/>
              </w:rPr>
              <w:t>202</w:t>
            </w:r>
            <w:r w:rsidR="00891566">
              <w:rPr>
                <w:rFonts w:ascii="CAIXA Std Book" w:eastAsia="Times New Roman" w:hAnsi="CAIXA Std Book" w:cs="Calibri"/>
                <w:b/>
                <w:bCs/>
                <w:color w:val="005CA9"/>
                <w:sz w:val="16"/>
                <w:szCs w:val="16"/>
              </w:rPr>
              <w:t>3</w:t>
            </w:r>
          </w:p>
        </w:tc>
      </w:tr>
      <w:tr w:rsidR="00576123" w:rsidRPr="0013769A" w14:paraId="386DAD2E" w14:textId="77777777" w:rsidTr="001F18B9">
        <w:trPr>
          <w:trHeight w:val="60"/>
        </w:trPr>
        <w:tc>
          <w:tcPr>
            <w:tcW w:w="630" w:type="pct"/>
            <w:vMerge/>
            <w:tcBorders>
              <w:top w:val="nil"/>
              <w:left w:val="nil"/>
              <w:bottom w:val="single" w:sz="4" w:space="0" w:color="F79646" w:themeColor="accent6"/>
              <w:right w:val="nil"/>
            </w:tcBorders>
            <w:vAlign w:val="center"/>
            <w:hideMark/>
          </w:tcPr>
          <w:p w14:paraId="49F92CAB" w14:textId="77777777" w:rsidR="00576123" w:rsidRPr="00FF4346" w:rsidRDefault="00576123" w:rsidP="00711413">
            <w:pPr>
              <w:rPr>
                <w:rFonts w:ascii="CAIXA Std Book" w:eastAsia="Times New Roman" w:hAnsi="CAIXA Std Book" w:cs="Calibri"/>
                <w:b/>
                <w:bCs/>
                <w:color w:val="005CA9"/>
                <w:sz w:val="16"/>
                <w:szCs w:val="16"/>
              </w:rPr>
            </w:pPr>
          </w:p>
        </w:tc>
        <w:tc>
          <w:tcPr>
            <w:tcW w:w="348" w:type="pct"/>
            <w:vMerge/>
            <w:tcBorders>
              <w:top w:val="nil"/>
              <w:left w:val="nil"/>
              <w:bottom w:val="single" w:sz="4" w:space="0" w:color="F79646" w:themeColor="accent6"/>
              <w:right w:val="nil"/>
            </w:tcBorders>
            <w:vAlign w:val="center"/>
            <w:hideMark/>
          </w:tcPr>
          <w:p w14:paraId="7733889D" w14:textId="77777777" w:rsidR="00576123" w:rsidRPr="00FF4346" w:rsidRDefault="00576123" w:rsidP="00711413">
            <w:pPr>
              <w:rPr>
                <w:rFonts w:ascii="CAIXA Std Book" w:eastAsia="Times New Roman" w:hAnsi="CAIXA Std Book" w:cs="Calibri"/>
                <w:b/>
                <w:bCs/>
                <w:color w:val="005CA9"/>
                <w:sz w:val="16"/>
                <w:szCs w:val="16"/>
              </w:rPr>
            </w:pPr>
          </w:p>
        </w:tc>
        <w:tc>
          <w:tcPr>
            <w:tcW w:w="381" w:type="pct"/>
            <w:tcBorders>
              <w:top w:val="nil"/>
              <w:left w:val="nil"/>
              <w:bottom w:val="single" w:sz="4" w:space="0" w:color="F79646" w:themeColor="accent6"/>
              <w:right w:val="nil"/>
            </w:tcBorders>
            <w:shd w:val="clear" w:color="auto" w:fill="auto"/>
            <w:vAlign w:val="center"/>
            <w:hideMark/>
          </w:tcPr>
          <w:p w14:paraId="0F0CEFD7"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Ordinárias</w:t>
            </w:r>
          </w:p>
        </w:tc>
        <w:tc>
          <w:tcPr>
            <w:tcW w:w="313" w:type="pct"/>
            <w:vMerge/>
            <w:tcBorders>
              <w:top w:val="single" w:sz="4" w:space="0" w:color="ED7D31"/>
              <w:left w:val="nil"/>
              <w:bottom w:val="single" w:sz="4" w:space="0" w:color="F79646" w:themeColor="accent6"/>
              <w:right w:val="nil"/>
            </w:tcBorders>
            <w:vAlign w:val="center"/>
            <w:hideMark/>
          </w:tcPr>
          <w:p w14:paraId="7E59C7DE" w14:textId="77777777" w:rsidR="00576123" w:rsidRPr="00FF4346" w:rsidRDefault="00576123" w:rsidP="00711413">
            <w:pPr>
              <w:rPr>
                <w:rFonts w:ascii="CAIXA Std Book" w:eastAsia="Times New Roman" w:hAnsi="CAIXA Std Book" w:cs="Calibri"/>
                <w:b/>
                <w:bCs/>
                <w:color w:val="005CA9"/>
                <w:sz w:val="16"/>
                <w:szCs w:val="16"/>
              </w:rPr>
            </w:pPr>
          </w:p>
        </w:tc>
        <w:tc>
          <w:tcPr>
            <w:tcW w:w="319" w:type="pct"/>
            <w:tcBorders>
              <w:top w:val="nil"/>
              <w:left w:val="nil"/>
              <w:bottom w:val="single" w:sz="4" w:space="0" w:color="F79646" w:themeColor="accent6"/>
              <w:right w:val="nil"/>
            </w:tcBorders>
            <w:shd w:val="clear" w:color="auto" w:fill="auto"/>
            <w:vAlign w:val="center"/>
            <w:hideMark/>
          </w:tcPr>
          <w:p w14:paraId="55559BC3"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Ordinária</w:t>
            </w:r>
          </w:p>
        </w:tc>
        <w:tc>
          <w:tcPr>
            <w:tcW w:w="379" w:type="pct"/>
            <w:vMerge/>
            <w:tcBorders>
              <w:top w:val="nil"/>
              <w:left w:val="nil"/>
              <w:bottom w:val="single" w:sz="4" w:space="0" w:color="F79646" w:themeColor="accent6"/>
              <w:right w:val="nil"/>
            </w:tcBorders>
            <w:vAlign w:val="center"/>
            <w:hideMark/>
          </w:tcPr>
          <w:p w14:paraId="50457B74" w14:textId="77777777" w:rsidR="00576123" w:rsidRPr="00FF4346" w:rsidRDefault="00576123" w:rsidP="00711413">
            <w:pPr>
              <w:rPr>
                <w:rFonts w:ascii="CAIXA Std Book" w:eastAsia="Times New Roman" w:hAnsi="CAIXA Std Book" w:cs="Calibri"/>
                <w:b/>
                <w:bCs/>
                <w:color w:val="005CA9"/>
                <w:sz w:val="16"/>
                <w:szCs w:val="16"/>
              </w:rPr>
            </w:pPr>
          </w:p>
        </w:tc>
        <w:tc>
          <w:tcPr>
            <w:tcW w:w="399" w:type="pct"/>
            <w:vMerge/>
            <w:tcBorders>
              <w:top w:val="nil"/>
              <w:left w:val="nil"/>
              <w:bottom w:val="single" w:sz="4" w:space="0" w:color="F79646" w:themeColor="accent6"/>
              <w:right w:val="nil"/>
            </w:tcBorders>
            <w:vAlign w:val="center"/>
            <w:hideMark/>
          </w:tcPr>
          <w:p w14:paraId="149DF566" w14:textId="77777777" w:rsidR="00576123" w:rsidRPr="00FF4346" w:rsidRDefault="00576123" w:rsidP="00711413">
            <w:pPr>
              <w:rPr>
                <w:rFonts w:ascii="CAIXA Std Book" w:eastAsia="Times New Roman" w:hAnsi="CAIXA Std Book" w:cs="Calibri"/>
                <w:b/>
                <w:bCs/>
                <w:color w:val="005CA9"/>
                <w:sz w:val="16"/>
                <w:szCs w:val="16"/>
              </w:rPr>
            </w:pPr>
          </w:p>
        </w:tc>
        <w:tc>
          <w:tcPr>
            <w:tcW w:w="387" w:type="pct"/>
            <w:vMerge/>
            <w:tcBorders>
              <w:top w:val="nil"/>
              <w:left w:val="nil"/>
              <w:bottom w:val="single" w:sz="4" w:space="0" w:color="F79646" w:themeColor="accent6"/>
              <w:right w:val="nil"/>
            </w:tcBorders>
            <w:vAlign w:val="center"/>
            <w:hideMark/>
          </w:tcPr>
          <w:p w14:paraId="0ADBFEE2" w14:textId="77777777" w:rsidR="00576123" w:rsidRPr="00FF4346" w:rsidRDefault="00576123" w:rsidP="00711413">
            <w:pPr>
              <w:rPr>
                <w:rFonts w:ascii="CAIXA Std Book" w:eastAsia="Times New Roman" w:hAnsi="CAIXA Std Book" w:cs="Calibri"/>
                <w:b/>
                <w:bCs/>
                <w:color w:val="005CA9"/>
                <w:sz w:val="16"/>
                <w:szCs w:val="16"/>
              </w:rPr>
            </w:pPr>
          </w:p>
        </w:tc>
        <w:tc>
          <w:tcPr>
            <w:tcW w:w="349" w:type="pct"/>
            <w:vMerge/>
            <w:tcBorders>
              <w:top w:val="nil"/>
              <w:left w:val="nil"/>
              <w:bottom w:val="single" w:sz="4" w:space="0" w:color="F79646" w:themeColor="accent6"/>
              <w:right w:val="nil"/>
            </w:tcBorders>
            <w:vAlign w:val="center"/>
            <w:hideMark/>
          </w:tcPr>
          <w:p w14:paraId="34CDD9C0" w14:textId="77777777" w:rsidR="00576123" w:rsidRPr="00FF4346" w:rsidRDefault="00576123" w:rsidP="00711413">
            <w:pPr>
              <w:rPr>
                <w:rFonts w:ascii="CAIXA Std Book" w:eastAsia="Times New Roman" w:hAnsi="CAIXA Std Book" w:cs="Calibri"/>
                <w:b/>
                <w:bCs/>
                <w:color w:val="005CA9"/>
                <w:sz w:val="16"/>
                <w:szCs w:val="16"/>
              </w:rPr>
            </w:pPr>
          </w:p>
        </w:tc>
        <w:tc>
          <w:tcPr>
            <w:tcW w:w="348" w:type="pct"/>
            <w:vMerge/>
            <w:tcBorders>
              <w:top w:val="nil"/>
              <w:left w:val="nil"/>
              <w:bottom w:val="single" w:sz="4" w:space="0" w:color="F79646" w:themeColor="accent6"/>
              <w:right w:val="nil"/>
            </w:tcBorders>
            <w:vAlign w:val="center"/>
            <w:hideMark/>
          </w:tcPr>
          <w:p w14:paraId="582776B0" w14:textId="77777777" w:rsidR="00576123" w:rsidRPr="00FF4346" w:rsidRDefault="00576123" w:rsidP="00711413">
            <w:pPr>
              <w:rPr>
                <w:rFonts w:ascii="CAIXA Std Book" w:eastAsia="Times New Roman" w:hAnsi="CAIXA Std Book" w:cs="Calibri"/>
                <w:b/>
                <w:bCs/>
                <w:color w:val="005CA9"/>
                <w:sz w:val="16"/>
                <w:szCs w:val="16"/>
              </w:rPr>
            </w:pPr>
          </w:p>
        </w:tc>
        <w:tc>
          <w:tcPr>
            <w:tcW w:w="371" w:type="pct"/>
            <w:vMerge/>
            <w:tcBorders>
              <w:top w:val="nil"/>
              <w:left w:val="nil"/>
              <w:bottom w:val="single" w:sz="4" w:space="0" w:color="F79646" w:themeColor="accent6"/>
              <w:right w:val="nil"/>
            </w:tcBorders>
            <w:vAlign w:val="center"/>
            <w:hideMark/>
          </w:tcPr>
          <w:p w14:paraId="7D0112E7" w14:textId="77777777" w:rsidR="00576123" w:rsidRPr="00FF4346" w:rsidRDefault="00576123" w:rsidP="00711413">
            <w:pPr>
              <w:rPr>
                <w:rFonts w:ascii="CAIXA Std Book" w:eastAsia="Times New Roman" w:hAnsi="CAIXA Std Book" w:cs="Calibri"/>
                <w:b/>
                <w:bCs/>
                <w:color w:val="005CA9"/>
                <w:sz w:val="16"/>
                <w:szCs w:val="16"/>
              </w:rPr>
            </w:pPr>
          </w:p>
        </w:tc>
        <w:tc>
          <w:tcPr>
            <w:tcW w:w="389" w:type="pct"/>
            <w:vMerge/>
            <w:tcBorders>
              <w:top w:val="nil"/>
              <w:left w:val="nil"/>
              <w:bottom w:val="single" w:sz="4" w:space="0" w:color="F79646" w:themeColor="accent6"/>
              <w:right w:val="nil"/>
            </w:tcBorders>
            <w:vAlign w:val="center"/>
            <w:hideMark/>
          </w:tcPr>
          <w:p w14:paraId="2D3F275F" w14:textId="77777777" w:rsidR="00576123" w:rsidRPr="00FF4346" w:rsidRDefault="00576123" w:rsidP="00711413">
            <w:pPr>
              <w:rPr>
                <w:rFonts w:ascii="CAIXA Std Book" w:eastAsia="Times New Roman" w:hAnsi="CAIXA Std Book" w:cs="Calibri"/>
                <w:b/>
                <w:bCs/>
                <w:color w:val="005CA9"/>
                <w:sz w:val="16"/>
                <w:szCs w:val="16"/>
              </w:rPr>
            </w:pPr>
          </w:p>
        </w:tc>
        <w:tc>
          <w:tcPr>
            <w:tcW w:w="387" w:type="pct"/>
            <w:tcBorders>
              <w:left w:val="nil"/>
              <w:bottom w:val="single" w:sz="4" w:space="0" w:color="F79646" w:themeColor="accent6"/>
              <w:right w:val="nil"/>
            </w:tcBorders>
            <w:shd w:val="clear" w:color="auto" w:fill="auto"/>
            <w:vAlign w:val="center"/>
            <w:hideMark/>
          </w:tcPr>
          <w:p w14:paraId="6AD6404D" w14:textId="33BD505D" w:rsidR="00576123" w:rsidRPr="00FF4346" w:rsidRDefault="00891566" w:rsidP="00711413">
            <w:pPr>
              <w:jc w:val="center"/>
              <w:rPr>
                <w:rFonts w:ascii="CAIXA Std Book" w:eastAsia="Times New Roman" w:hAnsi="CAIXA Std Book" w:cs="Calibri"/>
                <w:b/>
                <w:bCs/>
                <w:color w:val="005CA9"/>
                <w:sz w:val="16"/>
                <w:szCs w:val="16"/>
              </w:rPr>
            </w:pPr>
            <w:r>
              <w:rPr>
                <w:rFonts w:ascii="CAIXA Std Book" w:eastAsia="Times New Roman" w:hAnsi="CAIXA Std Book" w:cs="Calibri"/>
                <w:b/>
                <w:bCs/>
                <w:color w:val="005CA9"/>
                <w:sz w:val="16"/>
                <w:szCs w:val="16"/>
              </w:rPr>
              <w:t>1º trimestre</w:t>
            </w:r>
          </w:p>
        </w:tc>
      </w:tr>
      <w:tr w:rsidR="00576123" w:rsidRPr="0013769A" w14:paraId="277E469B" w14:textId="77777777" w:rsidTr="0013769A">
        <w:trPr>
          <w:trHeight w:val="340"/>
        </w:trPr>
        <w:tc>
          <w:tcPr>
            <w:tcW w:w="630" w:type="pct"/>
            <w:tcBorders>
              <w:top w:val="single" w:sz="4" w:space="0" w:color="F79646" w:themeColor="accent6"/>
              <w:left w:val="nil"/>
              <w:bottom w:val="nil"/>
              <w:right w:val="nil"/>
            </w:tcBorders>
            <w:shd w:val="clear" w:color="auto" w:fill="auto"/>
            <w:vAlign w:val="center"/>
            <w:hideMark/>
          </w:tcPr>
          <w:p w14:paraId="62998411" w14:textId="6B243FC5"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w:t>
            </w:r>
            <w:r w:rsidR="00140B92" w:rsidRPr="00FF4346">
              <w:rPr>
                <w:rFonts w:ascii="CAIXA Std Book" w:eastAsia="Times New Roman" w:hAnsi="CAIXA Std Book" w:cs="Calibri"/>
                <w:color w:val="005CA9"/>
                <w:sz w:val="16"/>
                <w:szCs w:val="16"/>
              </w:rPr>
              <w:t>aixa</w:t>
            </w:r>
            <w:r w:rsidRPr="00FF4346">
              <w:rPr>
                <w:rFonts w:ascii="CAIXA Std Book" w:eastAsia="Times New Roman" w:hAnsi="CAIXA Std Book" w:cs="Calibri"/>
                <w:color w:val="005CA9"/>
                <w:sz w:val="16"/>
                <w:szCs w:val="16"/>
              </w:rPr>
              <w:t xml:space="preserve"> Seguridade</w:t>
            </w:r>
          </w:p>
        </w:tc>
        <w:tc>
          <w:tcPr>
            <w:tcW w:w="348" w:type="pct"/>
            <w:tcBorders>
              <w:top w:val="single" w:sz="4" w:space="0" w:color="F79646" w:themeColor="accent6"/>
              <w:left w:val="nil"/>
              <w:bottom w:val="nil"/>
              <w:right w:val="nil"/>
            </w:tcBorders>
            <w:shd w:val="clear" w:color="auto" w:fill="auto"/>
            <w:noWrap/>
            <w:vAlign w:val="center"/>
          </w:tcPr>
          <w:p w14:paraId="366C6F85" w14:textId="7187DC10"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82,75%</w:t>
            </w:r>
          </w:p>
        </w:tc>
        <w:tc>
          <w:tcPr>
            <w:tcW w:w="381" w:type="pct"/>
            <w:tcBorders>
              <w:top w:val="single" w:sz="4" w:space="0" w:color="F79646" w:themeColor="accent6"/>
              <w:left w:val="nil"/>
              <w:bottom w:val="nil"/>
              <w:right w:val="nil"/>
            </w:tcBorders>
            <w:shd w:val="clear" w:color="auto" w:fill="auto"/>
            <w:vAlign w:val="center"/>
          </w:tcPr>
          <w:p w14:paraId="78FF1801" w14:textId="041239F8"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82,75%</w:t>
            </w:r>
          </w:p>
        </w:tc>
        <w:tc>
          <w:tcPr>
            <w:tcW w:w="313" w:type="pct"/>
            <w:tcBorders>
              <w:top w:val="single" w:sz="4" w:space="0" w:color="F79646" w:themeColor="accent6"/>
              <w:left w:val="nil"/>
              <w:bottom w:val="nil"/>
              <w:right w:val="nil"/>
            </w:tcBorders>
            <w:shd w:val="clear" w:color="auto" w:fill="auto"/>
            <w:noWrap/>
            <w:vAlign w:val="center"/>
            <w:hideMark/>
          </w:tcPr>
          <w:p w14:paraId="6D48E4A2"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82,75%</w:t>
            </w:r>
          </w:p>
        </w:tc>
        <w:tc>
          <w:tcPr>
            <w:tcW w:w="319" w:type="pct"/>
            <w:tcBorders>
              <w:top w:val="single" w:sz="4" w:space="0" w:color="F79646" w:themeColor="accent6"/>
              <w:left w:val="nil"/>
              <w:bottom w:val="nil"/>
              <w:right w:val="nil"/>
            </w:tcBorders>
            <w:shd w:val="clear" w:color="auto" w:fill="auto"/>
            <w:vAlign w:val="center"/>
            <w:hideMark/>
          </w:tcPr>
          <w:p w14:paraId="207807E0"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82,75%</w:t>
            </w:r>
          </w:p>
        </w:tc>
        <w:tc>
          <w:tcPr>
            <w:tcW w:w="379" w:type="pct"/>
            <w:tcBorders>
              <w:top w:val="single" w:sz="4" w:space="0" w:color="F79646" w:themeColor="accent6"/>
              <w:left w:val="nil"/>
              <w:bottom w:val="nil"/>
              <w:right w:val="nil"/>
            </w:tcBorders>
            <w:shd w:val="clear" w:color="auto" w:fill="auto"/>
            <w:noWrap/>
            <w:vAlign w:val="center"/>
          </w:tcPr>
          <w:p w14:paraId="37D2DAF1" w14:textId="5180724F" w:rsidR="00576123" w:rsidRPr="00FF4346" w:rsidRDefault="0030696F"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13.429.434</w:t>
            </w:r>
          </w:p>
        </w:tc>
        <w:tc>
          <w:tcPr>
            <w:tcW w:w="399" w:type="pct"/>
            <w:tcBorders>
              <w:top w:val="single" w:sz="4" w:space="0" w:color="F79646" w:themeColor="accent6"/>
              <w:left w:val="nil"/>
              <w:bottom w:val="nil"/>
              <w:right w:val="nil"/>
            </w:tcBorders>
            <w:shd w:val="clear" w:color="auto" w:fill="auto"/>
            <w:noWrap/>
            <w:vAlign w:val="center"/>
            <w:hideMark/>
          </w:tcPr>
          <w:p w14:paraId="2F261CBA" w14:textId="6113224C"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12.610.606</w:t>
            </w:r>
          </w:p>
        </w:tc>
        <w:tc>
          <w:tcPr>
            <w:tcW w:w="387" w:type="pct"/>
            <w:tcBorders>
              <w:top w:val="single" w:sz="4" w:space="0" w:color="F79646" w:themeColor="accent6"/>
              <w:left w:val="nil"/>
              <w:bottom w:val="nil"/>
              <w:right w:val="nil"/>
            </w:tcBorders>
            <w:shd w:val="clear" w:color="auto" w:fill="auto"/>
            <w:noWrap/>
            <w:vAlign w:val="center"/>
            <w:hideMark/>
          </w:tcPr>
          <w:p w14:paraId="6428E8DB" w14:textId="2BA732B7"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10.435.277</w:t>
            </w:r>
          </w:p>
        </w:tc>
        <w:tc>
          <w:tcPr>
            <w:tcW w:w="349" w:type="pct"/>
            <w:tcBorders>
              <w:top w:val="single" w:sz="4" w:space="0" w:color="F79646" w:themeColor="accent6"/>
              <w:left w:val="nil"/>
              <w:bottom w:val="nil"/>
              <w:right w:val="nil"/>
            </w:tcBorders>
            <w:shd w:val="clear" w:color="auto" w:fill="auto"/>
            <w:noWrap/>
            <w:vAlign w:val="center"/>
          </w:tcPr>
          <w:p w14:paraId="1079F8DF" w14:textId="58F7FF52"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621.988</w:t>
            </w:r>
          </w:p>
        </w:tc>
        <w:tc>
          <w:tcPr>
            <w:tcW w:w="348" w:type="pct"/>
            <w:tcBorders>
              <w:top w:val="single" w:sz="4" w:space="0" w:color="F79646" w:themeColor="accent6"/>
              <w:left w:val="nil"/>
              <w:bottom w:val="nil"/>
              <w:right w:val="nil"/>
            </w:tcBorders>
            <w:shd w:val="clear" w:color="auto" w:fill="auto"/>
            <w:noWrap/>
            <w:vAlign w:val="center"/>
          </w:tcPr>
          <w:p w14:paraId="324D3849" w14:textId="6233777E"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21.528</w:t>
            </w:r>
          </w:p>
        </w:tc>
        <w:tc>
          <w:tcPr>
            <w:tcW w:w="371" w:type="pct"/>
            <w:tcBorders>
              <w:top w:val="single" w:sz="4" w:space="0" w:color="F79646" w:themeColor="accent6"/>
              <w:left w:val="nil"/>
              <w:bottom w:val="nil"/>
              <w:right w:val="nil"/>
            </w:tcBorders>
            <w:shd w:val="clear" w:color="auto" w:fill="auto"/>
            <w:noWrap/>
            <w:vAlign w:val="center"/>
          </w:tcPr>
          <w:p w14:paraId="577527FA" w14:textId="123CE255"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34.064</w:t>
            </w:r>
          </w:p>
        </w:tc>
        <w:tc>
          <w:tcPr>
            <w:tcW w:w="389" w:type="pct"/>
            <w:tcBorders>
              <w:top w:val="single" w:sz="4" w:space="0" w:color="F79646" w:themeColor="accent6"/>
              <w:left w:val="nil"/>
              <w:bottom w:val="nil"/>
              <w:right w:val="nil"/>
            </w:tcBorders>
            <w:shd w:val="clear" w:color="auto" w:fill="auto"/>
            <w:noWrap/>
            <w:vAlign w:val="center"/>
          </w:tcPr>
          <w:p w14:paraId="448B8B65" w14:textId="1F6876A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11.112.857</w:t>
            </w:r>
          </w:p>
        </w:tc>
        <w:tc>
          <w:tcPr>
            <w:tcW w:w="387" w:type="pct"/>
            <w:tcBorders>
              <w:top w:val="single" w:sz="4" w:space="0" w:color="F79646" w:themeColor="accent6"/>
              <w:left w:val="nil"/>
              <w:bottom w:val="nil"/>
              <w:right w:val="nil"/>
            </w:tcBorders>
            <w:shd w:val="clear" w:color="auto" w:fill="auto"/>
            <w:noWrap/>
            <w:vAlign w:val="center"/>
          </w:tcPr>
          <w:p w14:paraId="386F78E9" w14:textId="7104B9A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695.406</w:t>
            </w:r>
          </w:p>
        </w:tc>
      </w:tr>
      <w:tr w:rsidR="00576123" w:rsidRPr="0013769A" w14:paraId="4FF61B87" w14:textId="77777777" w:rsidTr="0013769A">
        <w:trPr>
          <w:trHeight w:val="340"/>
        </w:trPr>
        <w:tc>
          <w:tcPr>
            <w:tcW w:w="630" w:type="pct"/>
            <w:tcBorders>
              <w:top w:val="nil"/>
              <w:left w:val="nil"/>
              <w:bottom w:val="nil"/>
              <w:right w:val="nil"/>
            </w:tcBorders>
            <w:shd w:val="clear" w:color="auto" w:fill="auto"/>
            <w:vAlign w:val="center"/>
            <w:hideMark/>
          </w:tcPr>
          <w:p w14:paraId="3267787C" w14:textId="04712AF1"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w:t>
            </w:r>
            <w:r w:rsidR="00140B92" w:rsidRPr="00FF4346">
              <w:rPr>
                <w:rFonts w:ascii="CAIXA Std Book" w:eastAsia="Times New Roman" w:hAnsi="CAIXA Std Book" w:cs="Calibri"/>
                <w:color w:val="005CA9"/>
                <w:sz w:val="16"/>
                <w:szCs w:val="16"/>
              </w:rPr>
              <w:t>aixa</w:t>
            </w:r>
            <w:r w:rsidRPr="00FF4346">
              <w:rPr>
                <w:rFonts w:ascii="CAIXA Std Book" w:eastAsia="Times New Roman" w:hAnsi="CAIXA Std Book" w:cs="Calibri"/>
                <w:color w:val="005CA9"/>
                <w:sz w:val="16"/>
                <w:szCs w:val="16"/>
              </w:rPr>
              <w:t xml:space="preserve"> Cartões </w:t>
            </w:r>
          </w:p>
        </w:tc>
        <w:tc>
          <w:tcPr>
            <w:tcW w:w="348" w:type="pct"/>
            <w:tcBorders>
              <w:top w:val="nil"/>
              <w:left w:val="nil"/>
              <w:bottom w:val="nil"/>
              <w:right w:val="nil"/>
            </w:tcBorders>
            <w:shd w:val="clear" w:color="auto" w:fill="auto"/>
            <w:noWrap/>
            <w:vAlign w:val="center"/>
          </w:tcPr>
          <w:p w14:paraId="4685EE29" w14:textId="4A467ECA"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81" w:type="pct"/>
            <w:tcBorders>
              <w:top w:val="nil"/>
              <w:left w:val="nil"/>
              <w:bottom w:val="nil"/>
              <w:right w:val="nil"/>
            </w:tcBorders>
            <w:shd w:val="clear" w:color="auto" w:fill="auto"/>
            <w:vAlign w:val="center"/>
          </w:tcPr>
          <w:p w14:paraId="1B0E6ED1" w14:textId="0D7ADEDB"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3" w:type="pct"/>
            <w:tcBorders>
              <w:top w:val="nil"/>
              <w:left w:val="nil"/>
              <w:bottom w:val="nil"/>
              <w:right w:val="nil"/>
            </w:tcBorders>
            <w:shd w:val="clear" w:color="auto" w:fill="auto"/>
            <w:noWrap/>
            <w:vAlign w:val="center"/>
            <w:hideMark/>
          </w:tcPr>
          <w:p w14:paraId="13BE0C30"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9" w:type="pct"/>
            <w:tcBorders>
              <w:top w:val="nil"/>
              <w:left w:val="nil"/>
              <w:bottom w:val="nil"/>
              <w:right w:val="nil"/>
            </w:tcBorders>
            <w:shd w:val="clear" w:color="auto" w:fill="auto"/>
            <w:vAlign w:val="center"/>
            <w:hideMark/>
          </w:tcPr>
          <w:p w14:paraId="7CE6531E"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79" w:type="pct"/>
            <w:tcBorders>
              <w:top w:val="nil"/>
              <w:left w:val="nil"/>
              <w:bottom w:val="nil"/>
              <w:right w:val="nil"/>
            </w:tcBorders>
            <w:shd w:val="clear" w:color="auto" w:fill="auto"/>
            <w:noWrap/>
            <w:vAlign w:val="center"/>
          </w:tcPr>
          <w:p w14:paraId="2B0FA341" w14:textId="414E48AA"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951.512</w:t>
            </w:r>
          </w:p>
        </w:tc>
        <w:tc>
          <w:tcPr>
            <w:tcW w:w="399" w:type="pct"/>
            <w:tcBorders>
              <w:top w:val="nil"/>
              <w:left w:val="nil"/>
              <w:bottom w:val="nil"/>
              <w:right w:val="nil"/>
            </w:tcBorders>
            <w:shd w:val="clear" w:color="auto" w:fill="auto"/>
            <w:noWrap/>
            <w:vAlign w:val="center"/>
            <w:hideMark/>
          </w:tcPr>
          <w:p w14:paraId="11F6CA1C" w14:textId="44DD08A3"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829.861</w:t>
            </w:r>
          </w:p>
        </w:tc>
        <w:tc>
          <w:tcPr>
            <w:tcW w:w="387" w:type="pct"/>
            <w:tcBorders>
              <w:top w:val="nil"/>
              <w:left w:val="nil"/>
              <w:bottom w:val="nil"/>
              <w:right w:val="nil"/>
            </w:tcBorders>
            <w:shd w:val="clear" w:color="auto" w:fill="auto"/>
            <w:noWrap/>
            <w:vAlign w:val="center"/>
            <w:hideMark/>
          </w:tcPr>
          <w:p w14:paraId="43B45150" w14:textId="767FD4C5"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829.861</w:t>
            </w:r>
          </w:p>
        </w:tc>
        <w:tc>
          <w:tcPr>
            <w:tcW w:w="349" w:type="pct"/>
            <w:tcBorders>
              <w:top w:val="nil"/>
              <w:left w:val="nil"/>
              <w:bottom w:val="nil"/>
              <w:right w:val="nil"/>
            </w:tcBorders>
            <w:shd w:val="clear" w:color="auto" w:fill="auto"/>
            <w:noWrap/>
            <w:vAlign w:val="center"/>
          </w:tcPr>
          <w:p w14:paraId="77A04C4A" w14:textId="67E8B01F"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125.836</w:t>
            </w:r>
          </w:p>
        </w:tc>
        <w:tc>
          <w:tcPr>
            <w:tcW w:w="348" w:type="pct"/>
            <w:tcBorders>
              <w:top w:val="nil"/>
              <w:left w:val="nil"/>
              <w:bottom w:val="nil"/>
              <w:right w:val="nil"/>
            </w:tcBorders>
            <w:shd w:val="clear" w:color="auto" w:fill="auto"/>
            <w:noWrap/>
            <w:vAlign w:val="center"/>
          </w:tcPr>
          <w:p w14:paraId="5B9BB81B" w14:textId="64B9814E"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(803)</w:t>
            </w:r>
          </w:p>
        </w:tc>
        <w:tc>
          <w:tcPr>
            <w:tcW w:w="371" w:type="pct"/>
            <w:tcBorders>
              <w:top w:val="nil"/>
              <w:left w:val="nil"/>
              <w:bottom w:val="nil"/>
              <w:right w:val="nil"/>
            </w:tcBorders>
            <w:shd w:val="clear" w:color="auto" w:fill="auto"/>
            <w:noWrap/>
            <w:vAlign w:val="center"/>
          </w:tcPr>
          <w:p w14:paraId="7FF2BC25" w14:textId="3BA28AB1"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(3.382)</w:t>
            </w:r>
          </w:p>
        </w:tc>
        <w:tc>
          <w:tcPr>
            <w:tcW w:w="389" w:type="pct"/>
            <w:tcBorders>
              <w:top w:val="nil"/>
              <w:left w:val="nil"/>
              <w:bottom w:val="nil"/>
              <w:right w:val="nil"/>
            </w:tcBorders>
            <w:shd w:val="clear" w:color="auto" w:fill="auto"/>
            <w:noWrap/>
            <w:vAlign w:val="center"/>
          </w:tcPr>
          <w:p w14:paraId="1E28DD91" w14:textId="1876D862"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951.512</w:t>
            </w:r>
          </w:p>
        </w:tc>
        <w:tc>
          <w:tcPr>
            <w:tcW w:w="387" w:type="pct"/>
            <w:tcBorders>
              <w:top w:val="nil"/>
              <w:left w:val="nil"/>
              <w:bottom w:val="nil"/>
              <w:right w:val="nil"/>
            </w:tcBorders>
            <w:shd w:val="clear" w:color="auto" w:fill="auto"/>
            <w:noWrap/>
            <w:vAlign w:val="center"/>
          </w:tcPr>
          <w:p w14:paraId="20C8BC8C" w14:textId="215C6A58"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43.822</w:t>
            </w:r>
          </w:p>
        </w:tc>
      </w:tr>
      <w:tr w:rsidR="00576123" w:rsidRPr="0013769A" w14:paraId="12921AD4" w14:textId="77777777" w:rsidTr="0013769A">
        <w:trPr>
          <w:trHeight w:val="340"/>
        </w:trPr>
        <w:tc>
          <w:tcPr>
            <w:tcW w:w="630" w:type="pct"/>
            <w:tcBorders>
              <w:top w:val="nil"/>
              <w:left w:val="nil"/>
              <w:bottom w:val="nil"/>
              <w:right w:val="nil"/>
            </w:tcBorders>
            <w:shd w:val="clear" w:color="auto" w:fill="auto"/>
            <w:vAlign w:val="center"/>
            <w:hideMark/>
          </w:tcPr>
          <w:p w14:paraId="2F8AEDA0" w14:textId="29690F36"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w:t>
            </w:r>
            <w:r w:rsidR="00140B92" w:rsidRPr="00FF4346">
              <w:rPr>
                <w:rFonts w:ascii="CAIXA Std Book" w:eastAsia="Times New Roman" w:hAnsi="CAIXA Std Book" w:cs="Calibri"/>
                <w:color w:val="005CA9"/>
                <w:sz w:val="16"/>
                <w:szCs w:val="16"/>
              </w:rPr>
              <w:t>aixa</w:t>
            </w:r>
            <w:r w:rsidRPr="00FF4346">
              <w:rPr>
                <w:rFonts w:ascii="CAIXA Std Book" w:eastAsia="Times New Roman" w:hAnsi="CAIXA Std Book" w:cs="Calibri"/>
                <w:color w:val="005CA9"/>
                <w:sz w:val="16"/>
                <w:szCs w:val="16"/>
              </w:rPr>
              <w:t xml:space="preserve"> Loterias</w:t>
            </w:r>
          </w:p>
        </w:tc>
        <w:tc>
          <w:tcPr>
            <w:tcW w:w="348" w:type="pct"/>
            <w:tcBorders>
              <w:top w:val="nil"/>
              <w:left w:val="nil"/>
              <w:bottom w:val="nil"/>
              <w:right w:val="nil"/>
            </w:tcBorders>
            <w:shd w:val="clear" w:color="auto" w:fill="auto"/>
            <w:noWrap/>
            <w:vAlign w:val="center"/>
          </w:tcPr>
          <w:p w14:paraId="7FCAD5F5" w14:textId="3DC4385F"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81" w:type="pct"/>
            <w:tcBorders>
              <w:top w:val="nil"/>
              <w:left w:val="nil"/>
              <w:bottom w:val="nil"/>
              <w:right w:val="nil"/>
            </w:tcBorders>
            <w:shd w:val="clear" w:color="auto" w:fill="auto"/>
            <w:vAlign w:val="center"/>
          </w:tcPr>
          <w:p w14:paraId="237F191C" w14:textId="2BB372EC"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3" w:type="pct"/>
            <w:tcBorders>
              <w:top w:val="nil"/>
              <w:left w:val="nil"/>
              <w:bottom w:val="nil"/>
              <w:right w:val="nil"/>
            </w:tcBorders>
            <w:shd w:val="clear" w:color="auto" w:fill="auto"/>
            <w:noWrap/>
            <w:vAlign w:val="center"/>
            <w:hideMark/>
          </w:tcPr>
          <w:p w14:paraId="5DF2F972"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9" w:type="pct"/>
            <w:tcBorders>
              <w:top w:val="nil"/>
              <w:left w:val="nil"/>
              <w:bottom w:val="nil"/>
              <w:right w:val="nil"/>
            </w:tcBorders>
            <w:shd w:val="clear" w:color="auto" w:fill="auto"/>
            <w:vAlign w:val="center"/>
            <w:hideMark/>
          </w:tcPr>
          <w:p w14:paraId="4D58860C"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79" w:type="pct"/>
            <w:tcBorders>
              <w:top w:val="nil"/>
              <w:left w:val="nil"/>
              <w:bottom w:val="nil"/>
              <w:right w:val="nil"/>
            </w:tcBorders>
            <w:shd w:val="clear" w:color="auto" w:fill="auto"/>
            <w:noWrap/>
            <w:vAlign w:val="center"/>
          </w:tcPr>
          <w:p w14:paraId="581B48F5" w14:textId="73467A06"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(164)</w:t>
            </w:r>
          </w:p>
        </w:tc>
        <w:tc>
          <w:tcPr>
            <w:tcW w:w="399" w:type="pct"/>
            <w:tcBorders>
              <w:top w:val="nil"/>
              <w:left w:val="nil"/>
              <w:bottom w:val="nil"/>
              <w:right w:val="nil"/>
            </w:tcBorders>
            <w:shd w:val="clear" w:color="auto" w:fill="auto"/>
            <w:noWrap/>
            <w:vAlign w:val="center"/>
            <w:hideMark/>
          </w:tcPr>
          <w:p w14:paraId="29CACD9A" w14:textId="36131ABA"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335</w:t>
            </w:r>
          </w:p>
        </w:tc>
        <w:tc>
          <w:tcPr>
            <w:tcW w:w="387" w:type="pct"/>
            <w:tcBorders>
              <w:top w:val="nil"/>
              <w:left w:val="nil"/>
              <w:bottom w:val="nil"/>
              <w:right w:val="nil"/>
            </w:tcBorders>
            <w:shd w:val="clear" w:color="auto" w:fill="auto"/>
            <w:noWrap/>
            <w:vAlign w:val="center"/>
            <w:hideMark/>
          </w:tcPr>
          <w:p w14:paraId="643E4451" w14:textId="5DA3EEAD"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335</w:t>
            </w:r>
          </w:p>
        </w:tc>
        <w:tc>
          <w:tcPr>
            <w:tcW w:w="349" w:type="pct"/>
            <w:tcBorders>
              <w:top w:val="nil"/>
              <w:left w:val="nil"/>
              <w:bottom w:val="nil"/>
              <w:right w:val="nil"/>
            </w:tcBorders>
            <w:shd w:val="clear" w:color="auto" w:fill="auto"/>
            <w:noWrap/>
            <w:vAlign w:val="center"/>
          </w:tcPr>
          <w:p w14:paraId="43CFBA2E" w14:textId="71686751"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(499)</w:t>
            </w:r>
          </w:p>
        </w:tc>
        <w:tc>
          <w:tcPr>
            <w:tcW w:w="348" w:type="pct"/>
            <w:tcBorders>
              <w:top w:val="nil"/>
              <w:left w:val="nil"/>
              <w:bottom w:val="nil"/>
              <w:right w:val="nil"/>
            </w:tcBorders>
            <w:shd w:val="clear" w:color="auto" w:fill="auto"/>
            <w:noWrap/>
            <w:vAlign w:val="center"/>
          </w:tcPr>
          <w:p w14:paraId="13265FFD" w14:textId="229FB4BA"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71" w:type="pct"/>
            <w:tcBorders>
              <w:top w:val="nil"/>
              <w:left w:val="nil"/>
              <w:bottom w:val="nil"/>
              <w:right w:val="nil"/>
            </w:tcBorders>
            <w:shd w:val="clear" w:color="auto" w:fill="auto"/>
            <w:noWrap/>
            <w:vAlign w:val="center"/>
          </w:tcPr>
          <w:p w14:paraId="423D2841" w14:textId="349AEF57" w:rsidR="00576123" w:rsidRPr="00FF4346" w:rsidRDefault="009F0FB5" w:rsidP="009F0FB5">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164</w:t>
            </w:r>
          </w:p>
        </w:tc>
        <w:tc>
          <w:tcPr>
            <w:tcW w:w="389" w:type="pct"/>
            <w:tcBorders>
              <w:top w:val="nil"/>
              <w:left w:val="nil"/>
              <w:bottom w:val="nil"/>
              <w:right w:val="nil"/>
            </w:tcBorders>
            <w:shd w:val="clear" w:color="auto" w:fill="auto"/>
            <w:noWrap/>
            <w:vAlign w:val="center"/>
          </w:tcPr>
          <w:p w14:paraId="3F3E1A0F" w14:textId="499B4441" w:rsidR="00576123" w:rsidRPr="00FF4346" w:rsidRDefault="009F0FB5" w:rsidP="009F0FB5">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87" w:type="pct"/>
            <w:tcBorders>
              <w:top w:val="nil"/>
              <w:left w:val="nil"/>
              <w:bottom w:val="nil"/>
              <w:right w:val="nil"/>
            </w:tcBorders>
            <w:shd w:val="clear" w:color="auto" w:fill="auto"/>
            <w:noWrap/>
            <w:vAlign w:val="center"/>
          </w:tcPr>
          <w:p w14:paraId="4C7A8020" w14:textId="76BCD3BD"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(603)</w:t>
            </w:r>
          </w:p>
        </w:tc>
      </w:tr>
      <w:tr w:rsidR="00576123" w:rsidRPr="0013769A" w14:paraId="557651A3" w14:textId="77777777" w:rsidTr="0013769A">
        <w:trPr>
          <w:trHeight w:val="340"/>
        </w:trPr>
        <w:tc>
          <w:tcPr>
            <w:tcW w:w="630" w:type="pct"/>
            <w:tcBorders>
              <w:top w:val="nil"/>
              <w:left w:val="nil"/>
              <w:bottom w:val="nil"/>
              <w:right w:val="nil"/>
            </w:tcBorders>
            <w:shd w:val="clear" w:color="auto" w:fill="auto"/>
            <w:vAlign w:val="center"/>
            <w:hideMark/>
          </w:tcPr>
          <w:p w14:paraId="0A1BEA45" w14:textId="7C54AAD8"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w:t>
            </w:r>
            <w:r w:rsidR="00140B92" w:rsidRPr="00FF4346">
              <w:rPr>
                <w:rFonts w:ascii="CAIXA Std Book" w:eastAsia="Times New Roman" w:hAnsi="CAIXA Std Book" w:cs="Calibri"/>
                <w:color w:val="005CA9"/>
                <w:sz w:val="16"/>
                <w:szCs w:val="16"/>
              </w:rPr>
              <w:t>aixa</w:t>
            </w:r>
            <w:r w:rsidRPr="00FF4346">
              <w:rPr>
                <w:rFonts w:ascii="CAIXA Std Book" w:eastAsia="Times New Roman" w:hAnsi="CAIXA Std Book" w:cs="Calibri"/>
                <w:color w:val="005CA9"/>
                <w:sz w:val="16"/>
                <w:szCs w:val="16"/>
              </w:rPr>
              <w:t xml:space="preserve"> </w:t>
            </w:r>
            <w:proofErr w:type="spellStart"/>
            <w:r w:rsidRPr="00FF4346">
              <w:rPr>
                <w:rFonts w:ascii="CAIXA Std Book" w:eastAsia="Times New Roman" w:hAnsi="CAIXA Std Book" w:cs="Calibri"/>
                <w:color w:val="005CA9"/>
                <w:sz w:val="16"/>
                <w:szCs w:val="16"/>
              </w:rPr>
              <w:t>Asset</w:t>
            </w:r>
            <w:proofErr w:type="spellEnd"/>
            <w:r w:rsidRPr="00FF4346">
              <w:rPr>
                <w:rFonts w:ascii="CAIXA Std Book" w:eastAsia="Times New Roman" w:hAnsi="CAIXA Std Book" w:cs="Calibri"/>
                <w:color w:val="005CA9"/>
                <w:sz w:val="16"/>
                <w:szCs w:val="16"/>
              </w:rPr>
              <w:t xml:space="preserve"> </w:t>
            </w:r>
          </w:p>
        </w:tc>
        <w:tc>
          <w:tcPr>
            <w:tcW w:w="348" w:type="pct"/>
            <w:tcBorders>
              <w:top w:val="nil"/>
              <w:left w:val="nil"/>
              <w:bottom w:val="nil"/>
              <w:right w:val="nil"/>
            </w:tcBorders>
            <w:shd w:val="clear" w:color="auto" w:fill="auto"/>
            <w:noWrap/>
            <w:vAlign w:val="center"/>
          </w:tcPr>
          <w:p w14:paraId="6BF715D5" w14:textId="1E4C9C7B"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81" w:type="pct"/>
            <w:tcBorders>
              <w:top w:val="nil"/>
              <w:left w:val="nil"/>
              <w:bottom w:val="nil"/>
              <w:right w:val="nil"/>
            </w:tcBorders>
            <w:shd w:val="clear" w:color="auto" w:fill="auto"/>
            <w:vAlign w:val="center"/>
          </w:tcPr>
          <w:p w14:paraId="010D7223" w14:textId="7C1BDEDD"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3" w:type="pct"/>
            <w:tcBorders>
              <w:top w:val="nil"/>
              <w:left w:val="nil"/>
              <w:bottom w:val="nil"/>
              <w:right w:val="nil"/>
            </w:tcBorders>
            <w:shd w:val="clear" w:color="auto" w:fill="auto"/>
            <w:noWrap/>
            <w:vAlign w:val="center"/>
            <w:hideMark/>
          </w:tcPr>
          <w:p w14:paraId="7BE04F99"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19" w:type="pct"/>
            <w:tcBorders>
              <w:top w:val="nil"/>
              <w:left w:val="nil"/>
              <w:bottom w:val="nil"/>
              <w:right w:val="nil"/>
            </w:tcBorders>
            <w:shd w:val="clear" w:color="auto" w:fill="auto"/>
            <w:vAlign w:val="center"/>
            <w:hideMark/>
          </w:tcPr>
          <w:p w14:paraId="675AAB33"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100,00%</w:t>
            </w:r>
          </w:p>
        </w:tc>
        <w:tc>
          <w:tcPr>
            <w:tcW w:w="379" w:type="pct"/>
            <w:tcBorders>
              <w:top w:val="nil"/>
              <w:left w:val="nil"/>
              <w:bottom w:val="nil"/>
              <w:right w:val="nil"/>
            </w:tcBorders>
            <w:shd w:val="clear" w:color="auto" w:fill="auto"/>
            <w:noWrap/>
            <w:vAlign w:val="center"/>
          </w:tcPr>
          <w:p w14:paraId="1C66AA42" w14:textId="0BF3C48C"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1.119.968</w:t>
            </w:r>
          </w:p>
        </w:tc>
        <w:tc>
          <w:tcPr>
            <w:tcW w:w="399" w:type="pct"/>
            <w:tcBorders>
              <w:top w:val="nil"/>
              <w:left w:val="nil"/>
              <w:bottom w:val="nil"/>
              <w:right w:val="nil"/>
            </w:tcBorders>
            <w:shd w:val="clear" w:color="auto" w:fill="auto"/>
            <w:noWrap/>
            <w:vAlign w:val="center"/>
            <w:hideMark/>
          </w:tcPr>
          <w:p w14:paraId="299E5A94" w14:textId="79DFA931"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859.063</w:t>
            </w:r>
          </w:p>
        </w:tc>
        <w:tc>
          <w:tcPr>
            <w:tcW w:w="387" w:type="pct"/>
            <w:tcBorders>
              <w:top w:val="nil"/>
              <w:left w:val="nil"/>
              <w:bottom w:val="nil"/>
              <w:right w:val="nil"/>
            </w:tcBorders>
            <w:shd w:val="clear" w:color="auto" w:fill="auto"/>
            <w:noWrap/>
            <w:vAlign w:val="center"/>
            <w:hideMark/>
          </w:tcPr>
          <w:p w14:paraId="3B05A6E0" w14:textId="5A7CC18B"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859.063</w:t>
            </w:r>
          </w:p>
        </w:tc>
        <w:tc>
          <w:tcPr>
            <w:tcW w:w="349" w:type="pct"/>
            <w:tcBorders>
              <w:top w:val="nil"/>
              <w:left w:val="nil"/>
              <w:bottom w:val="nil"/>
              <w:right w:val="nil"/>
            </w:tcBorders>
            <w:shd w:val="clear" w:color="auto" w:fill="auto"/>
            <w:noWrap/>
            <w:vAlign w:val="center"/>
          </w:tcPr>
          <w:p w14:paraId="62DFA14F" w14:textId="2B681965"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260.905</w:t>
            </w:r>
          </w:p>
        </w:tc>
        <w:tc>
          <w:tcPr>
            <w:tcW w:w="348" w:type="pct"/>
            <w:tcBorders>
              <w:top w:val="nil"/>
              <w:left w:val="nil"/>
              <w:bottom w:val="nil"/>
              <w:right w:val="nil"/>
            </w:tcBorders>
            <w:shd w:val="clear" w:color="auto" w:fill="auto"/>
            <w:noWrap/>
            <w:vAlign w:val="center"/>
          </w:tcPr>
          <w:p w14:paraId="383C4DE8" w14:textId="2F07610F" w:rsidR="00576123" w:rsidRPr="00FF4346" w:rsidRDefault="009F0FB5" w:rsidP="009F0FB5">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71" w:type="pct"/>
            <w:tcBorders>
              <w:top w:val="nil"/>
              <w:left w:val="nil"/>
              <w:bottom w:val="nil"/>
              <w:right w:val="nil"/>
            </w:tcBorders>
            <w:shd w:val="clear" w:color="auto" w:fill="auto"/>
            <w:noWrap/>
            <w:vAlign w:val="center"/>
          </w:tcPr>
          <w:p w14:paraId="7C85A0EF" w14:textId="6822EF8C"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89" w:type="pct"/>
            <w:tcBorders>
              <w:top w:val="nil"/>
              <w:left w:val="nil"/>
              <w:bottom w:val="nil"/>
              <w:right w:val="nil"/>
            </w:tcBorders>
            <w:shd w:val="clear" w:color="auto" w:fill="auto"/>
            <w:noWrap/>
            <w:vAlign w:val="center"/>
          </w:tcPr>
          <w:p w14:paraId="2D7BE0FE" w14:textId="60C66AC4"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1.119.968</w:t>
            </w:r>
          </w:p>
        </w:tc>
        <w:tc>
          <w:tcPr>
            <w:tcW w:w="387" w:type="pct"/>
            <w:tcBorders>
              <w:top w:val="nil"/>
              <w:left w:val="nil"/>
              <w:bottom w:val="nil"/>
              <w:right w:val="nil"/>
            </w:tcBorders>
            <w:shd w:val="clear" w:color="auto" w:fill="auto"/>
            <w:noWrap/>
            <w:vAlign w:val="center"/>
          </w:tcPr>
          <w:p w14:paraId="047346F8" w14:textId="501C562C"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265.864</w:t>
            </w:r>
          </w:p>
        </w:tc>
      </w:tr>
      <w:tr w:rsidR="00576123" w:rsidRPr="0013769A" w14:paraId="64E74F68" w14:textId="77777777" w:rsidTr="0013769A">
        <w:trPr>
          <w:trHeight w:val="340"/>
        </w:trPr>
        <w:tc>
          <w:tcPr>
            <w:tcW w:w="630" w:type="pct"/>
            <w:tcBorders>
              <w:top w:val="nil"/>
              <w:left w:val="nil"/>
              <w:bottom w:val="nil"/>
              <w:right w:val="nil"/>
            </w:tcBorders>
            <w:shd w:val="clear" w:color="auto" w:fill="auto"/>
            <w:vAlign w:val="center"/>
            <w:hideMark/>
          </w:tcPr>
          <w:p w14:paraId="3726C73D" w14:textId="77777777"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TecBan</w:t>
            </w:r>
          </w:p>
        </w:tc>
        <w:tc>
          <w:tcPr>
            <w:tcW w:w="348" w:type="pct"/>
            <w:tcBorders>
              <w:top w:val="nil"/>
              <w:left w:val="nil"/>
              <w:bottom w:val="nil"/>
              <w:right w:val="nil"/>
            </w:tcBorders>
            <w:shd w:val="clear" w:color="auto" w:fill="auto"/>
            <w:noWrap/>
            <w:vAlign w:val="center"/>
          </w:tcPr>
          <w:p w14:paraId="65B62DA6" w14:textId="5441CFBA"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13,01%</w:t>
            </w:r>
          </w:p>
        </w:tc>
        <w:tc>
          <w:tcPr>
            <w:tcW w:w="381" w:type="pct"/>
            <w:tcBorders>
              <w:top w:val="nil"/>
              <w:left w:val="nil"/>
              <w:bottom w:val="nil"/>
              <w:right w:val="nil"/>
            </w:tcBorders>
            <w:shd w:val="clear" w:color="auto" w:fill="auto"/>
            <w:vAlign w:val="center"/>
          </w:tcPr>
          <w:p w14:paraId="190225E1" w14:textId="7BCAEDC1"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11,61%</w:t>
            </w:r>
          </w:p>
        </w:tc>
        <w:tc>
          <w:tcPr>
            <w:tcW w:w="313" w:type="pct"/>
            <w:tcBorders>
              <w:top w:val="nil"/>
              <w:left w:val="nil"/>
              <w:bottom w:val="nil"/>
              <w:right w:val="nil"/>
            </w:tcBorders>
            <w:shd w:val="clear" w:color="auto" w:fill="auto"/>
            <w:noWrap/>
            <w:vAlign w:val="center"/>
            <w:hideMark/>
          </w:tcPr>
          <w:p w14:paraId="0273E3C9"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13,01%</w:t>
            </w:r>
          </w:p>
        </w:tc>
        <w:tc>
          <w:tcPr>
            <w:tcW w:w="319" w:type="pct"/>
            <w:tcBorders>
              <w:top w:val="nil"/>
              <w:left w:val="nil"/>
              <w:bottom w:val="nil"/>
              <w:right w:val="nil"/>
            </w:tcBorders>
            <w:shd w:val="clear" w:color="auto" w:fill="auto"/>
            <w:vAlign w:val="center"/>
            <w:hideMark/>
          </w:tcPr>
          <w:p w14:paraId="32F64E97"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11,61%</w:t>
            </w:r>
          </w:p>
        </w:tc>
        <w:tc>
          <w:tcPr>
            <w:tcW w:w="379" w:type="pct"/>
            <w:tcBorders>
              <w:top w:val="nil"/>
              <w:left w:val="nil"/>
              <w:bottom w:val="nil"/>
              <w:right w:val="nil"/>
            </w:tcBorders>
            <w:shd w:val="clear" w:color="auto" w:fill="auto"/>
            <w:noWrap/>
            <w:vAlign w:val="center"/>
          </w:tcPr>
          <w:p w14:paraId="2E31D605" w14:textId="0C8D8B8E"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985.779</w:t>
            </w:r>
          </w:p>
        </w:tc>
        <w:tc>
          <w:tcPr>
            <w:tcW w:w="399" w:type="pct"/>
            <w:tcBorders>
              <w:top w:val="nil"/>
              <w:left w:val="nil"/>
              <w:bottom w:val="nil"/>
              <w:right w:val="nil"/>
            </w:tcBorders>
            <w:shd w:val="clear" w:color="auto" w:fill="auto"/>
            <w:noWrap/>
            <w:vAlign w:val="center"/>
            <w:hideMark/>
          </w:tcPr>
          <w:p w14:paraId="48EC3C28" w14:textId="5DC4E267"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976.260</w:t>
            </w:r>
          </w:p>
        </w:tc>
        <w:tc>
          <w:tcPr>
            <w:tcW w:w="387" w:type="pct"/>
            <w:tcBorders>
              <w:top w:val="nil"/>
              <w:left w:val="nil"/>
              <w:bottom w:val="nil"/>
              <w:right w:val="nil"/>
            </w:tcBorders>
            <w:shd w:val="clear" w:color="auto" w:fill="auto"/>
            <w:noWrap/>
            <w:vAlign w:val="center"/>
            <w:hideMark/>
          </w:tcPr>
          <w:p w14:paraId="29CCA92B" w14:textId="1F82C6E9"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182.047</w:t>
            </w:r>
          </w:p>
        </w:tc>
        <w:tc>
          <w:tcPr>
            <w:tcW w:w="349" w:type="pct"/>
            <w:tcBorders>
              <w:top w:val="nil"/>
              <w:left w:val="nil"/>
              <w:bottom w:val="nil"/>
              <w:right w:val="nil"/>
            </w:tcBorders>
            <w:shd w:val="clear" w:color="auto" w:fill="auto"/>
            <w:noWrap/>
            <w:vAlign w:val="center"/>
          </w:tcPr>
          <w:p w14:paraId="2B8299E9" w14:textId="4E0DF6DA"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2.406</w:t>
            </w:r>
          </w:p>
        </w:tc>
        <w:tc>
          <w:tcPr>
            <w:tcW w:w="348" w:type="pct"/>
            <w:tcBorders>
              <w:top w:val="nil"/>
              <w:left w:val="nil"/>
              <w:bottom w:val="nil"/>
              <w:right w:val="nil"/>
            </w:tcBorders>
            <w:shd w:val="clear" w:color="auto" w:fill="auto"/>
            <w:noWrap/>
            <w:vAlign w:val="center"/>
          </w:tcPr>
          <w:p w14:paraId="4C573777" w14:textId="08C3EB0E"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(1.167)</w:t>
            </w:r>
          </w:p>
        </w:tc>
        <w:tc>
          <w:tcPr>
            <w:tcW w:w="371" w:type="pct"/>
            <w:tcBorders>
              <w:top w:val="nil"/>
              <w:left w:val="nil"/>
              <w:bottom w:val="nil"/>
              <w:right w:val="nil"/>
            </w:tcBorders>
            <w:shd w:val="clear" w:color="auto" w:fill="auto"/>
            <w:noWrap/>
            <w:vAlign w:val="center"/>
          </w:tcPr>
          <w:p w14:paraId="48F7B66F" w14:textId="5F1D341A"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(396)</w:t>
            </w:r>
          </w:p>
        </w:tc>
        <w:tc>
          <w:tcPr>
            <w:tcW w:w="389" w:type="pct"/>
            <w:tcBorders>
              <w:top w:val="nil"/>
              <w:left w:val="nil"/>
              <w:bottom w:val="nil"/>
              <w:right w:val="nil"/>
            </w:tcBorders>
            <w:shd w:val="clear" w:color="auto" w:fill="auto"/>
            <w:noWrap/>
            <w:vAlign w:val="center"/>
          </w:tcPr>
          <w:p w14:paraId="621E90DF" w14:textId="78B03878"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182.890</w:t>
            </w:r>
          </w:p>
        </w:tc>
        <w:tc>
          <w:tcPr>
            <w:tcW w:w="387" w:type="pct"/>
            <w:tcBorders>
              <w:top w:val="nil"/>
              <w:left w:val="nil"/>
              <w:bottom w:val="nil"/>
              <w:right w:val="nil"/>
            </w:tcBorders>
            <w:shd w:val="clear" w:color="auto" w:fill="auto"/>
            <w:noWrap/>
            <w:vAlign w:val="center"/>
          </w:tcPr>
          <w:p w14:paraId="49A89EF7" w14:textId="1B734C9B"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(4.828)</w:t>
            </w:r>
          </w:p>
        </w:tc>
      </w:tr>
      <w:tr w:rsidR="00576123" w:rsidRPr="0013769A" w14:paraId="157F1271" w14:textId="77777777" w:rsidTr="0013769A">
        <w:trPr>
          <w:trHeight w:val="340"/>
        </w:trPr>
        <w:tc>
          <w:tcPr>
            <w:tcW w:w="630" w:type="pct"/>
            <w:tcBorders>
              <w:top w:val="nil"/>
              <w:left w:val="nil"/>
              <w:bottom w:val="nil"/>
              <w:right w:val="nil"/>
            </w:tcBorders>
            <w:shd w:val="clear" w:color="auto" w:fill="auto"/>
            <w:vAlign w:val="center"/>
            <w:hideMark/>
          </w:tcPr>
          <w:p w14:paraId="18DE3548" w14:textId="77777777"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Quod</w:t>
            </w:r>
          </w:p>
        </w:tc>
        <w:tc>
          <w:tcPr>
            <w:tcW w:w="348" w:type="pct"/>
            <w:tcBorders>
              <w:top w:val="nil"/>
              <w:left w:val="nil"/>
              <w:bottom w:val="nil"/>
              <w:right w:val="nil"/>
            </w:tcBorders>
            <w:shd w:val="clear" w:color="auto" w:fill="auto"/>
            <w:noWrap/>
            <w:vAlign w:val="center"/>
          </w:tcPr>
          <w:p w14:paraId="1FAEBF3C" w14:textId="3310077D"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15,29%</w:t>
            </w:r>
          </w:p>
        </w:tc>
        <w:tc>
          <w:tcPr>
            <w:tcW w:w="381" w:type="pct"/>
            <w:tcBorders>
              <w:top w:val="nil"/>
              <w:left w:val="nil"/>
              <w:bottom w:val="nil"/>
              <w:right w:val="nil"/>
            </w:tcBorders>
            <w:shd w:val="clear" w:color="auto" w:fill="auto"/>
            <w:vAlign w:val="center"/>
          </w:tcPr>
          <w:p w14:paraId="0DEB1D7E" w14:textId="08FC225A"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16,00%</w:t>
            </w:r>
          </w:p>
        </w:tc>
        <w:tc>
          <w:tcPr>
            <w:tcW w:w="313" w:type="pct"/>
            <w:tcBorders>
              <w:top w:val="nil"/>
              <w:left w:val="nil"/>
              <w:bottom w:val="nil"/>
              <w:right w:val="nil"/>
            </w:tcBorders>
            <w:shd w:val="clear" w:color="auto" w:fill="auto"/>
            <w:noWrap/>
            <w:vAlign w:val="center"/>
            <w:hideMark/>
          </w:tcPr>
          <w:p w14:paraId="0FD72333"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15,29%</w:t>
            </w:r>
          </w:p>
        </w:tc>
        <w:tc>
          <w:tcPr>
            <w:tcW w:w="319" w:type="pct"/>
            <w:tcBorders>
              <w:top w:val="nil"/>
              <w:left w:val="nil"/>
              <w:bottom w:val="nil"/>
              <w:right w:val="nil"/>
            </w:tcBorders>
            <w:shd w:val="clear" w:color="auto" w:fill="auto"/>
            <w:vAlign w:val="center"/>
            <w:hideMark/>
          </w:tcPr>
          <w:p w14:paraId="4B6E0663"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16,00%</w:t>
            </w:r>
          </w:p>
        </w:tc>
        <w:tc>
          <w:tcPr>
            <w:tcW w:w="379" w:type="pct"/>
            <w:tcBorders>
              <w:top w:val="nil"/>
              <w:left w:val="nil"/>
              <w:bottom w:val="nil"/>
              <w:right w:val="nil"/>
            </w:tcBorders>
            <w:shd w:val="clear" w:color="auto" w:fill="auto"/>
            <w:noWrap/>
            <w:vAlign w:val="center"/>
          </w:tcPr>
          <w:p w14:paraId="56F7D9E8" w14:textId="1289FC8E"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353.837</w:t>
            </w:r>
          </w:p>
        </w:tc>
        <w:tc>
          <w:tcPr>
            <w:tcW w:w="399" w:type="pct"/>
            <w:tcBorders>
              <w:top w:val="nil"/>
              <w:left w:val="nil"/>
              <w:bottom w:val="nil"/>
              <w:right w:val="nil"/>
            </w:tcBorders>
            <w:shd w:val="clear" w:color="auto" w:fill="auto"/>
            <w:noWrap/>
            <w:vAlign w:val="center"/>
            <w:hideMark/>
          </w:tcPr>
          <w:p w14:paraId="7D6F803B" w14:textId="4109FC7C"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362.536</w:t>
            </w:r>
          </w:p>
        </w:tc>
        <w:tc>
          <w:tcPr>
            <w:tcW w:w="387" w:type="pct"/>
            <w:tcBorders>
              <w:top w:val="nil"/>
              <w:left w:val="nil"/>
              <w:bottom w:val="nil"/>
              <w:right w:val="nil"/>
            </w:tcBorders>
            <w:shd w:val="clear" w:color="auto" w:fill="auto"/>
            <w:noWrap/>
            <w:vAlign w:val="center"/>
            <w:hideMark/>
          </w:tcPr>
          <w:p w14:paraId="3997474D" w14:textId="142E2A96"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55.432</w:t>
            </w:r>
          </w:p>
        </w:tc>
        <w:tc>
          <w:tcPr>
            <w:tcW w:w="349" w:type="pct"/>
            <w:tcBorders>
              <w:top w:val="nil"/>
              <w:left w:val="nil"/>
              <w:bottom w:val="nil"/>
              <w:right w:val="nil"/>
            </w:tcBorders>
            <w:shd w:val="clear" w:color="auto" w:fill="auto"/>
            <w:noWrap/>
            <w:vAlign w:val="center"/>
          </w:tcPr>
          <w:p w14:paraId="7B973627" w14:textId="314E9746"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(1.330)</w:t>
            </w:r>
          </w:p>
        </w:tc>
        <w:tc>
          <w:tcPr>
            <w:tcW w:w="348" w:type="pct"/>
            <w:tcBorders>
              <w:top w:val="nil"/>
              <w:left w:val="nil"/>
              <w:bottom w:val="nil"/>
              <w:right w:val="nil"/>
            </w:tcBorders>
            <w:shd w:val="clear" w:color="auto" w:fill="auto"/>
            <w:noWrap/>
            <w:vAlign w:val="center"/>
          </w:tcPr>
          <w:p w14:paraId="7305668F" w14:textId="4BB19502"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71" w:type="pct"/>
            <w:tcBorders>
              <w:top w:val="nil"/>
              <w:left w:val="nil"/>
              <w:bottom w:val="nil"/>
              <w:right w:val="nil"/>
            </w:tcBorders>
            <w:shd w:val="clear" w:color="auto" w:fill="auto"/>
            <w:noWrap/>
            <w:vAlign w:val="center"/>
          </w:tcPr>
          <w:p w14:paraId="313C6779" w14:textId="199A1938" w:rsidR="00576123" w:rsidRPr="00FF4346" w:rsidRDefault="009F0FB5" w:rsidP="009F0FB5">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89" w:type="pct"/>
            <w:tcBorders>
              <w:top w:val="nil"/>
              <w:left w:val="nil"/>
              <w:bottom w:val="nil"/>
              <w:right w:val="nil"/>
            </w:tcBorders>
            <w:shd w:val="clear" w:color="auto" w:fill="auto"/>
            <w:noWrap/>
            <w:vAlign w:val="center"/>
          </w:tcPr>
          <w:p w14:paraId="755A599B" w14:textId="1878C88D"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54.102</w:t>
            </w:r>
          </w:p>
        </w:tc>
        <w:tc>
          <w:tcPr>
            <w:tcW w:w="387" w:type="pct"/>
            <w:tcBorders>
              <w:top w:val="nil"/>
              <w:left w:val="nil"/>
              <w:bottom w:val="nil"/>
              <w:right w:val="nil"/>
            </w:tcBorders>
            <w:shd w:val="clear" w:color="auto" w:fill="auto"/>
            <w:noWrap/>
            <w:vAlign w:val="center"/>
          </w:tcPr>
          <w:p w14:paraId="262C888B" w14:textId="6CB281F1"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(1.287)</w:t>
            </w:r>
          </w:p>
        </w:tc>
      </w:tr>
      <w:tr w:rsidR="00576123" w:rsidRPr="0013769A" w14:paraId="6059F510" w14:textId="77777777" w:rsidTr="0013769A">
        <w:trPr>
          <w:trHeight w:val="340"/>
        </w:trPr>
        <w:tc>
          <w:tcPr>
            <w:tcW w:w="630" w:type="pct"/>
            <w:tcBorders>
              <w:top w:val="nil"/>
              <w:left w:val="nil"/>
              <w:bottom w:val="nil"/>
              <w:right w:val="nil"/>
            </w:tcBorders>
            <w:shd w:val="clear" w:color="auto" w:fill="auto"/>
            <w:vAlign w:val="center"/>
            <w:hideMark/>
          </w:tcPr>
          <w:p w14:paraId="46F339A4" w14:textId="77777777"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Galgo Sistemas de Informações</w:t>
            </w:r>
          </w:p>
        </w:tc>
        <w:tc>
          <w:tcPr>
            <w:tcW w:w="348" w:type="pct"/>
            <w:tcBorders>
              <w:top w:val="nil"/>
              <w:left w:val="nil"/>
              <w:bottom w:val="nil"/>
              <w:right w:val="nil"/>
            </w:tcBorders>
            <w:shd w:val="clear" w:color="auto" w:fill="auto"/>
            <w:noWrap/>
            <w:vAlign w:val="center"/>
          </w:tcPr>
          <w:p w14:paraId="7BF71214" w14:textId="4BBE854D"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6,67%</w:t>
            </w:r>
          </w:p>
        </w:tc>
        <w:tc>
          <w:tcPr>
            <w:tcW w:w="381" w:type="pct"/>
            <w:tcBorders>
              <w:top w:val="nil"/>
              <w:left w:val="nil"/>
              <w:bottom w:val="nil"/>
              <w:right w:val="nil"/>
            </w:tcBorders>
            <w:shd w:val="clear" w:color="auto" w:fill="auto"/>
            <w:vAlign w:val="center"/>
          </w:tcPr>
          <w:p w14:paraId="507D90BC" w14:textId="670CB40F"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6,67%</w:t>
            </w:r>
          </w:p>
        </w:tc>
        <w:tc>
          <w:tcPr>
            <w:tcW w:w="313" w:type="pct"/>
            <w:tcBorders>
              <w:top w:val="nil"/>
              <w:left w:val="nil"/>
              <w:bottom w:val="nil"/>
              <w:right w:val="nil"/>
            </w:tcBorders>
            <w:shd w:val="clear" w:color="auto" w:fill="auto"/>
            <w:noWrap/>
            <w:vAlign w:val="center"/>
            <w:hideMark/>
          </w:tcPr>
          <w:p w14:paraId="7C2665B8"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6,67%</w:t>
            </w:r>
          </w:p>
        </w:tc>
        <w:tc>
          <w:tcPr>
            <w:tcW w:w="319" w:type="pct"/>
            <w:tcBorders>
              <w:top w:val="nil"/>
              <w:left w:val="nil"/>
              <w:bottom w:val="nil"/>
              <w:right w:val="nil"/>
            </w:tcBorders>
            <w:shd w:val="clear" w:color="auto" w:fill="auto"/>
            <w:vAlign w:val="center"/>
            <w:hideMark/>
          </w:tcPr>
          <w:p w14:paraId="6819337C"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6,67%</w:t>
            </w:r>
          </w:p>
        </w:tc>
        <w:tc>
          <w:tcPr>
            <w:tcW w:w="379" w:type="pct"/>
            <w:tcBorders>
              <w:top w:val="nil"/>
              <w:left w:val="nil"/>
              <w:bottom w:val="nil"/>
              <w:right w:val="nil"/>
            </w:tcBorders>
            <w:shd w:val="clear" w:color="auto" w:fill="auto"/>
            <w:noWrap/>
            <w:vAlign w:val="center"/>
          </w:tcPr>
          <w:p w14:paraId="29D90EC4" w14:textId="47C0E2C7"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34.</w:t>
            </w:r>
            <w:r w:rsidR="00D26E64">
              <w:rPr>
                <w:rFonts w:ascii="CAIXA Std Book" w:hAnsi="CAIXA Std Book" w:cs="Arial"/>
                <w:color w:val="005CA9"/>
                <w:sz w:val="16"/>
                <w:szCs w:val="16"/>
              </w:rPr>
              <w:t>215</w:t>
            </w:r>
          </w:p>
        </w:tc>
        <w:tc>
          <w:tcPr>
            <w:tcW w:w="399" w:type="pct"/>
            <w:tcBorders>
              <w:top w:val="nil"/>
              <w:left w:val="nil"/>
              <w:bottom w:val="nil"/>
              <w:right w:val="nil"/>
            </w:tcBorders>
            <w:shd w:val="clear" w:color="auto" w:fill="auto"/>
            <w:noWrap/>
            <w:vAlign w:val="center"/>
            <w:hideMark/>
          </w:tcPr>
          <w:p w14:paraId="07182C34" w14:textId="1149E53D"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34.550</w:t>
            </w:r>
          </w:p>
        </w:tc>
        <w:tc>
          <w:tcPr>
            <w:tcW w:w="387" w:type="pct"/>
            <w:tcBorders>
              <w:top w:val="nil"/>
              <w:left w:val="nil"/>
              <w:bottom w:val="nil"/>
              <w:right w:val="nil"/>
            </w:tcBorders>
            <w:shd w:val="clear" w:color="auto" w:fill="auto"/>
            <w:noWrap/>
            <w:vAlign w:val="center"/>
            <w:hideMark/>
          </w:tcPr>
          <w:p w14:paraId="456486CE" w14:textId="75A5AF35"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2.303</w:t>
            </w:r>
          </w:p>
        </w:tc>
        <w:tc>
          <w:tcPr>
            <w:tcW w:w="349" w:type="pct"/>
            <w:tcBorders>
              <w:top w:val="nil"/>
              <w:left w:val="nil"/>
              <w:bottom w:val="nil"/>
              <w:right w:val="nil"/>
            </w:tcBorders>
            <w:shd w:val="clear" w:color="auto" w:fill="auto"/>
            <w:noWrap/>
            <w:vAlign w:val="center"/>
          </w:tcPr>
          <w:p w14:paraId="3C94645A" w14:textId="23D690C4"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86</w:t>
            </w:r>
          </w:p>
        </w:tc>
        <w:tc>
          <w:tcPr>
            <w:tcW w:w="348" w:type="pct"/>
            <w:tcBorders>
              <w:top w:val="nil"/>
              <w:left w:val="nil"/>
              <w:bottom w:val="nil"/>
              <w:right w:val="nil"/>
            </w:tcBorders>
            <w:shd w:val="clear" w:color="auto" w:fill="auto"/>
            <w:noWrap/>
            <w:vAlign w:val="center"/>
          </w:tcPr>
          <w:p w14:paraId="23DAB088" w14:textId="797C714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(108)</w:t>
            </w:r>
          </w:p>
        </w:tc>
        <w:tc>
          <w:tcPr>
            <w:tcW w:w="371" w:type="pct"/>
            <w:tcBorders>
              <w:top w:val="nil"/>
              <w:left w:val="nil"/>
              <w:bottom w:val="nil"/>
              <w:right w:val="nil"/>
            </w:tcBorders>
            <w:shd w:val="clear" w:color="auto" w:fill="auto"/>
            <w:noWrap/>
            <w:vAlign w:val="center"/>
          </w:tcPr>
          <w:p w14:paraId="17B31119" w14:textId="12CD2640"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89" w:type="pct"/>
            <w:tcBorders>
              <w:top w:val="nil"/>
              <w:left w:val="nil"/>
              <w:bottom w:val="nil"/>
              <w:right w:val="nil"/>
            </w:tcBorders>
            <w:shd w:val="clear" w:color="auto" w:fill="auto"/>
            <w:noWrap/>
            <w:vAlign w:val="center"/>
          </w:tcPr>
          <w:p w14:paraId="4BA3AEB1" w14:textId="521F579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2.281</w:t>
            </w:r>
          </w:p>
        </w:tc>
        <w:tc>
          <w:tcPr>
            <w:tcW w:w="387" w:type="pct"/>
            <w:tcBorders>
              <w:top w:val="nil"/>
              <w:left w:val="nil"/>
              <w:bottom w:val="nil"/>
              <w:right w:val="nil"/>
            </w:tcBorders>
            <w:shd w:val="clear" w:color="auto" w:fill="auto"/>
            <w:noWrap/>
            <w:vAlign w:val="center"/>
          </w:tcPr>
          <w:p w14:paraId="6171A87F" w14:textId="4CFB40BA"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132</w:t>
            </w:r>
          </w:p>
        </w:tc>
      </w:tr>
      <w:tr w:rsidR="00576123" w:rsidRPr="0013769A" w14:paraId="0C271E7A" w14:textId="77777777" w:rsidTr="0013769A">
        <w:trPr>
          <w:trHeight w:val="340"/>
        </w:trPr>
        <w:tc>
          <w:tcPr>
            <w:tcW w:w="630" w:type="pct"/>
            <w:tcBorders>
              <w:top w:val="nil"/>
              <w:left w:val="nil"/>
              <w:bottom w:val="nil"/>
              <w:right w:val="nil"/>
            </w:tcBorders>
            <w:shd w:val="clear" w:color="auto" w:fill="auto"/>
            <w:vAlign w:val="center"/>
            <w:hideMark/>
          </w:tcPr>
          <w:p w14:paraId="761B5A59" w14:textId="77777777" w:rsidR="00576123" w:rsidRPr="00FF4346" w:rsidRDefault="00576123" w:rsidP="00711413">
            <w:pPr>
              <w:rPr>
                <w:rFonts w:ascii="CAIXA Std Book" w:eastAsia="Times New Roman" w:hAnsi="CAIXA Std Book" w:cs="Calibri"/>
                <w:color w:val="005CA9"/>
                <w:sz w:val="16"/>
                <w:szCs w:val="16"/>
              </w:rPr>
            </w:pPr>
            <w:proofErr w:type="spellStart"/>
            <w:r w:rsidRPr="00FF4346">
              <w:rPr>
                <w:rFonts w:ascii="CAIXA Std Book" w:eastAsia="Times New Roman" w:hAnsi="CAIXA Std Book" w:cs="Calibri"/>
                <w:color w:val="005CA9"/>
                <w:sz w:val="16"/>
                <w:szCs w:val="16"/>
              </w:rPr>
              <w:t>Nuclea</w:t>
            </w:r>
            <w:proofErr w:type="spellEnd"/>
          </w:p>
        </w:tc>
        <w:tc>
          <w:tcPr>
            <w:tcW w:w="348" w:type="pct"/>
            <w:tcBorders>
              <w:top w:val="nil"/>
              <w:left w:val="nil"/>
              <w:bottom w:val="nil"/>
              <w:right w:val="nil"/>
            </w:tcBorders>
            <w:shd w:val="clear" w:color="auto" w:fill="auto"/>
            <w:noWrap/>
            <w:vAlign w:val="center"/>
          </w:tcPr>
          <w:p w14:paraId="12660BFC" w14:textId="6D64A286" w:rsidR="00576123" w:rsidRPr="00FF4346" w:rsidRDefault="00D87890"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w:t>
            </w:r>
            <w:r w:rsidRPr="00A33766">
              <w:rPr>
                <w:rFonts w:ascii="CAIXA Std Book" w:hAnsi="CAIXA Std Book" w:cs="Arial"/>
                <w:color w:val="005CA9"/>
                <w:sz w:val="16"/>
                <w:szCs w:val="16"/>
              </w:rPr>
              <w:t>18</w:t>
            </w:r>
            <w:r w:rsidRPr="00FF4346">
              <w:rPr>
                <w:rFonts w:ascii="CAIXA Std Book" w:eastAsia="Times New Roman" w:hAnsi="CAIXA Std Book" w:cs="Calibri"/>
                <w:color w:val="005CA9"/>
                <w:sz w:val="16"/>
                <w:szCs w:val="16"/>
              </w:rPr>
              <w:t>%</w:t>
            </w:r>
          </w:p>
        </w:tc>
        <w:tc>
          <w:tcPr>
            <w:tcW w:w="381" w:type="pct"/>
            <w:tcBorders>
              <w:top w:val="nil"/>
              <w:left w:val="nil"/>
              <w:bottom w:val="nil"/>
              <w:right w:val="nil"/>
            </w:tcBorders>
            <w:shd w:val="clear" w:color="auto" w:fill="auto"/>
            <w:vAlign w:val="center"/>
          </w:tcPr>
          <w:p w14:paraId="6FE67B91" w14:textId="48BBF148" w:rsidR="00576123" w:rsidRPr="00FF4346" w:rsidRDefault="00D87890" w:rsidP="00711413">
            <w:pPr>
              <w:jc w:val="center"/>
              <w:rPr>
                <w:rFonts w:ascii="CAIXA Std Book" w:eastAsia="Times New Roman" w:hAnsi="CAIXA Std Book" w:cs="Calibri"/>
                <w:color w:val="005CA9"/>
                <w:sz w:val="16"/>
                <w:szCs w:val="16"/>
                <w:highlight w:val="yellow"/>
              </w:rPr>
            </w:pPr>
            <w:r w:rsidRPr="00FF4346">
              <w:rPr>
                <w:rFonts w:ascii="CAIXA Std Book" w:eastAsia="Times New Roman" w:hAnsi="CAIXA Std Book" w:cs="Calibri"/>
                <w:color w:val="005CA9"/>
                <w:sz w:val="16"/>
                <w:szCs w:val="16"/>
              </w:rPr>
              <w:t>8,</w:t>
            </w:r>
            <w:r w:rsidRPr="00A33766">
              <w:rPr>
                <w:rFonts w:ascii="CAIXA Std Book" w:hAnsi="CAIXA Std Book" w:cs="Arial"/>
                <w:color w:val="005CA9"/>
                <w:sz w:val="16"/>
                <w:szCs w:val="16"/>
              </w:rPr>
              <w:t>18</w:t>
            </w:r>
            <w:r w:rsidRPr="00FF4346">
              <w:rPr>
                <w:rFonts w:ascii="CAIXA Std Book" w:eastAsia="Times New Roman" w:hAnsi="CAIXA Std Book" w:cs="Calibri"/>
                <w:color w:val="005CA9"/>
                <w:sz w:val="16"/>
                <w:szCs w:val="16"/>
              </w:rPr>
              <w:t>%</w:t>
            </w:r>
          </w:p>
        </w:tc>
        <w:tc>
          <w:tcPr>
            <w:tcW w:w="313" w:type="pct"/>
            <w:tcBorders>
              <w:top w:val="nil"/>
              <w:left w:val="nil"/>
              <w:bottom w:val="nil"/>
              <w:right w:val="nil"/>
            </w:tcBorders>
            <w:shd w:val="clear" w:color="auto" w:fill="auto"/>
            <w:noWrap/>
            <w:vAlign w:val="center"/>
            <w:hideMark/>
          </w:tcPr>
          <w:p w14:paraId="781F4C47" w14:textId="736AE560"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w:t>
            </w:r>
            <w:r w:rsidR="00891566" w:rsidRPr="00A33766">
              <w:rPr>
                <w:rFonts w:ascii="CAIXA Std Book" w:hAnsi="CAIXA Std Book" w:cs="Arial"/>
                <w:color w:val="005CA9"/>
                <w:sz w:val="16"/>
                <w:szCs w:val="16"/>
              </w:rPr>
              <w:t>18</w:t>
            </w:r>
            <w:r w:rsidRPr="00FF4346">
              <w:rPr>
                <w:rFonts w:ascii="CAIXA Std Book" w:eastAsia="Times New Roman" w:hAnsi="CAIXA Std Book" w:cs="Calibri"/>
                <w:color w:val="005CA9"/>
                <w:sz w:val="16"/>
                <w:szCs w:val="16"/>
              </w:rPr>
              <w:t>%</w:t>
            </w:r>
          </w:p>
        </w:tc>
        <w:tc>
          <w:tcPr>
            <w:tcW w:w="319" w:type="pct"/>
            <w:tcBorders>
              <w:top w:val="nil"/>
              <w:left w:val="nil"/>
              <w:bottom w:val="nil"/>
              <w:right w:val="nil"/>
            </w:tcBorders>
            <w:shd w:val="clear" w:color="auto" w:fill="auto"/>
            <w:vAlign w:val="center"/>
            <w:hideMark/>
          </w:tcPr>
          <w:p w14:paraId="63BE417E" w14:textId="69409A2F"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8,</w:t>
            </w:r>
            <w:r w:rsidR="00891566" w:rsidRPr="00A33766">
              <w:rPr>
                <w:rFonts w:ascii="CAIXA Std Book" w:hAnsi="CAIXA Std Book" w:cs="Arial"/>
                <w:color w:val="005CA9"/>
                <w:sz w:val="16"/>
                <w:szCs w:val="16"/>
              </w:rPr>
              <w:t>18</w:t>
            </w:r>
            <w:r w:rsidRPr="00FF4346">
              <w:rPr>
                <w:rFonts w:ascii="CAIXA Std Book" w:eastAsia="Times New Roman" w:hAnsi="CAIXA Std Book" w:cs="Calibri"/>
                <w:color w:val="005CA9"/>
                <w:sz w:val="16"/>
                <w:szCs w:val="16"/>
              </w:rPr>
              <w:t>%</w:t>
            </w:r>
          </w:p>
        </w:tc>
        <w:tc>
          <w:tcPr>
            <w:tcW w:w="379" w:type="pct"/>
            <w:tcBorders>
              <w:top w:val="nil"/>
              <w:left w:val="nil"/>
              <w:bottom w:val="nil"/>
              <w:right w:val="nil"/>
            </w:tcBorders>
            <w:shd w:val="clear" w:color="auto" w:fill="auto"/>
            <w:noWrap/>
            <w:vAlign w:val="center"/>
          </w:tcPr>
          <w:p w14:paraId="14E368CD" w14:textId="5EC5D889" w:rsidR="00576123" w:rsidRPr="00FF4346" w:rsidRDefault="00735FD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1.875.757</w:t>
            </w:r>
          </w:p>
        </w:tc>
        <w:tc>
          <w:tcPr>
            <w:tcW w:w="399" w:type="pct"/>
            <w:tcBorders>
              <w:top w:val="nil"/>
              <w:left w:val="nil"/>
              <w:bottom w:val="nil"/>
              <w:right w:val="nil"/>
            </w:tcBorders>
            <w:shd w:val="clear" w:color="auto" w:fill="auto"/>
            <w:noWrap/>
            <w:vAlign w:val="center"/>
            <w:hideMark/>
          </w:tcPr>
          <w:p w14:paraId="733834C5" w14:textId="2CFCFC6A"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1.783.796</w:t>
            </w:r>
          </w:p>
        </w:tc>
        <w:tc>
          <w:tcPr>
            <w:tcW w:w="387" w:type="pct"/>
            <w:tcBorders>
              <w:top w:val="nil"/>
              <w:left w:val="nil"/>
              <w:bottom w:val="nil"/>
              <w:right w:val="nil"/>
            </w:tcBorders>
            <w:shd w:val="clear" w:color="auto" w:fill="auto"/>
            <w:noWrap/>
            <w:vAlign w:val="center"/>
            <w:hideMark/>
          </w:tcPr>
          <w:p w14:paraId="4E4D6187" w14:textId="4E819CFE" w:rsidR="00576123" w:rsidRPr="00FF4346" w:rsidRDefault="00891566" w:rsidP="00711413">
            <w:pPr>
              <w:jc w:val="right"/>
              <w:rPr>
                <w:rFonts w:ascii="CAIXA Std Book" w:eastAsia="Times New Roman" w:hAnsi="CAIXA Std Book" w:cs="Calibri"/>
                <w:color w:val="005CA9"/>
                <w:sz w:val="16"/>
                <w:szCs w:val="16"/>
              </w:rPr>
            </w:pPr>
            <w:r w:rsidRPr="00A33766">
              <w:rPr>
                <w:rFonts w:ascii="CAIXA Std Book" w:hAnsi="CAIXA Std Book" w:cs="Arial"/>
                <w:color w:val="005CA9"/>
                <w:sz w:val="16"/>
                <w:szCs w:val="16"/>
              </w:rPr>
              <w:t>145.833</w:t>
            </w:r>
          </w:p>
        </w:tc>
        <w:tc>
          <w:tcPr>
            <w:tcW w:w="349" w:type="pct"/>
            <w:tcBorders>
              <w:top w:val="nil"/>
              <w:left w:val="nil"/>
              <w:bottom w:val="nil"/>
              <w:right w:val="nil"/>
            </w:tcBorders>
            <w:shd w:val="clear" w:color="auto" w:fill="auto"/>
            <w:noWrap/>
            <w:vAlign w:val="center"/>
          </w:tcPr>
          <w:p w14:paraId="09A34A8B" w14:textId="32DD6E96"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6.891</w:t>
            </w:r>
          </w:p>
        </w:tc>
        <w:tc>
          <w:tcPr>
            <w:tcW w:w="348" w:type="pct"/>
            <w:tcBorders>
              <w:top w:val="nil"/>
              <w:left w:val="nil"/>
              <w:bottom w:val="nil"/>
              <w:right w:val="nil"/>
            </w:tcBorders>
            <w:shd w:val="clear" w:color="auto" w:fill="auto"/>
            <w:noWrap/>
            <w:vAlign w:val="center"/>
          </w:tcPr>
          <w:p w14:paraId="586F6972" w14:textId="301CA033"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48</w:t>
            </w:r>
          </w:p>
        </w:tc>
        <w:tc>
          <w:tcPr>
            <w:tcW w:w="371" w:type="pct"/>
            <w:tcBorders>
              <w:top w:val="nil"/>
              <w:left w:val="nil"/>
              <w:bottom w:val="nil"/>
              <w:right w:val="nil"/>
            </w:tcBorders>
            <w:shd w:val="clear" w:color="auto" w:fill="auto"/>
            <w:noWrap/>
            <w:vAlign w:val="center"/>
          </w:tcPr>
          <w:p w14:paraId="452D2809" w14:textId="44C90E9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579</w:t>
            </w:r>
          </w:p>
        </w:tc>
        <w:tc>
          <w:tcPr>
            <w:tcW w:w="389" w:type="pct"/>
            <w:tcBorders>
              <w:top w:val="nil"/>
              <w:left w:val="nil"/>
              <w:bottom w:val="nil"/>
              <w:right w:val="nil"/>
            </w:tcBorders>
            <w:shd w:val="clear" w:color="auto" w:fill="auto"/>
            <w:noWrap/>
            <w:vAlign w:val="center"/>
          </w:tcPr>
          <w:p w14:paraId="7065B124" w14:textId="27BBE239"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153.351</w:t>
            </w:r>
          </w:p>
        </w:tc>
        <w:tc>
          <w:tcPr>
            <w:tcW w:w="387" w:type="pct"/>
            <w:tcBorders>
              <w:top w:val="nil"/>
              <w:left w:val="nil"/>
              <w:bottom w:val="nil"/>
              <w:right w:val="nil"/>
            </w:tcBorders>
            <w:shd w:val="clear" w:color="auto" w:fill="auto"/>
            <w:noWrap/>
            <w:vAlign w:val="center"/>
          </w:tcPr>
          <w:p w14:paraId="0849A40C" w14:textId="2071C855"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10.841</w:t>
            </w:r>
          </w:p>
        </w:tc>
      </w:tr>
      <w:tr w:rsidR="00576123" w:rsidRPr="0013769A" w14:paraId="283492EF" w14:textId="77777777" w:rsidTr="0013769A">
        <w:trPr>
          <w:trHeight w:val="340"/>
        </w:trPr>
        <w:tc>
          <w:tcPr>
            <w:tcW w:w="630" w:type="pct"/>
            <w:tcBorders>
              <w:top w:val="nil"/>
              <w:left w:val="nil"/>
              <w:bottom w:val="single" w:sz="4" w:space="0" w:color="F79646" w:themeColor="accent6"/>
              <w:right w:val="nil"/>
            </w:tcBorders>
            <w:shd w:val="clear" w:color="auto" w:fill="auto"/>
            <w:vAlign w:val="center"/>
            <w:hideMark/>
          </w:tcPr>
          <w:p w14:paraId="53C8F80D" w14:textId="77777777" w:rsidR="00576123" w:rsidRPr="00FF4346" w:rsidRDefault="00576123" w:rsidP="00711413">
            <w:pP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 xml:space="preserve">Outros Investimentos </w:t>
            </w:r>
          </w:p>
        </w:tc>
        <w:tc>
          <w:tcPr>
            <w:tcW w:w="348" w:type="pct"/>
            <w:tcBorders>
              <w:top w:val="nil"/>
              <w:left w:val="nil"/>
              <w:bottom w:val="single" w:sz="4" w:space="0" w:color="F79646" w:themeColor="accent6"/>
              <w:right w:val="nil"/>
            </w:tcBorders>
            <w:shd w:val="clear" w:color="auto" w:fill="auto"/>
            <w:noWrap/>
            <w:vAlign w:val="center"/>
            <w:hideMark/>
          </w:tcPr>
          <w:p w14:paraId="5FE0DA5F"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 -</w:t>
            </w:r>
          </w:p>
        </w:tc>
        <w:tc>
          <w:tcPr>
            <w:tcW w:w="381" w:type="pct"/>
            <w:tcBorders>
              <w:top w:val="nil"/>
              <w:left w:val="nil"/>
              <w:bottom w:val="single" w:sz="4" w:space="0" w:color="F79646" w:themeColor="accent6"/>
              <w:right w:val="nil"/>
            </w:tcBorders>
            <w:shd w:val="clear" w:color="auto" w:fill="auto"/>
            <w:vAlign w:val="center"/>
            <w:hideMark/>
          </w:tcPr>
          <w:p w14:paraId="50264B92"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313" w:type="pct"/>
            <w:tcBorders>
              <w:top w:val="nil"/>
              <w:left w:val="nil"/>
              <w:bottom w:val="single" w:sz="4" w:space="0" w:color="F79646" w:themeColor="accent6"/>
              <w:right w:val="nil"/>
            </w:tcBorders>
            <w:shd w:val="clear" w:color="auto" w:fill="auto"/>
            <w:noWrap/>
            <w:vAlign w:val="center"/>
            <w:hideMark/>
          </w:tcPr>
          <w:p w14:paraId="682E10CE"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319" w:type="pct"/>
            <w:tcBorders>
              <w:top w:val="nil"/>
              <w:left w:val="nil"/>
              <w:bottom w:val="single" w:sz="4" w:space="0" w:color="F79646" w:themeColor="accent6"/>
              <w:right w:val="nil"/>
            </w:tcBorders>
            <w:shd w:val="clear" w:color="auto" w:fill="auto"/>
            <w:vAlign w:val="center"/>
            <w:hideMark/>
          </w:tcPr>
          <w:p w14:paraId="4A4796D6"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379" w:type="pct"/>
            <w:tcBorders>
              <w:top w:val="nil"/>
              <w:left w:val="nil"/>
              <w:bottom w:val="single" w:sz="4" w:space="0" w:color="F79646" w:themeColor="accent6"/>
              <w:right w:val="nil"/>
            </w:tcBorders>
            <w:shd w:val="clear" w:color="auto" w:fill="auto"/>
            <w:noWrap/>
            <w:vAlign w:val="center"/>
          </w:tcPr>
          <w:p w14:paraId="37726E14"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399" w:type="pct"/>
            <w:tcBorders>
              <w:top w:val="nil"/>
              <w:left w:val="nil"/>
              <w:bottom w:val="single" w:sz="4" w:space="0" w:color="F79646" w:themeColor="accent6"/>
              <w:right w:val="nil"/>
            </w:tcBorders>
            <w:shd w:val="clear" w:color="auto" w:fill="auto"/>
            <w:noWrap/>
            <w:vAlign w:val="center"/>
            <w:hideMark/>
          </w:tcPr>
          <w:p w14:paraId="3BF5C30B" w14:textId="77777777" w:rsidR="00576123" w:rsidRPr="00FF4346" w:rsidRDefault="00576123" w:rsidP="0071141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387" w:type="pct"/>
            <w:tcBorders>
              <w:top w:val="nil"/>
              <w:left w:val="nil"/>
              <w:bottom w:val="single" w:sz="4" w:space="0" w:color="F79646" w:themeColor="accent6"/>
              <w:right w:val="nil"/>
            </w:tcBorders>
            <w:shd w:val="clear" w:color="auto" w:fill="auto"/>
            <w:noWrap/>
            <w:vAlign w:val="center"/>
            <w:hideMark/>
          </w:tcPr>
          <w:p w14:paraId="5E48454D" w14:textId="77777777" w:rsidR="00576123" w:rsidRPr="00FF4346" w:rsidRDefault="00576123" w:rsidP="00711413">
            <w:pPr>
              <w:jc w:val="right"/>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1.492</w:t>
            </w:r>
          </w:p>
        </w:tc>
        <w:tc>
          <w:tcPr>
            <w:tcW w:w="349" w:type="pct"/>
            <w:tcBorders>
              <w:top w:val="nil"/>
              <w:left w:val="nil"/>
              <w:bottom w:val="single" w:sz="4" w:space="0" w:color="F79646" w:themeColor="accent6"/>
              <w:right w:val="nil"/>
            </w:tcBorders>
            <w:shd w:val="clear" w:color="auto" w:fill="auto"/>
            <w:noWrap/>
            <w:vAlign w:val="center"/>
          </w:tcPr>
          <w:p w14:paraId="15977FAE" w14:textId="6FDE7FB9" w:rsidR="00576123" w:rsidRPr="00FF4346" w:rsidRDefault="009F0FB5" w:rsidP="009F0FB5">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48" w:type="pct"/>
            <w:tcBorders>
              <w:top w:val="nil"/>
              <w:left w:val="nil"/>
              <w:bottom w:val="single" w:sz="4" w:space="0" w:color="F79646" w:themeColor="accent6"/>
              <w:right w:val="nil"/>
            </w:tcBorders>
            <w:shd w:val="clear" w:color="auto" w:fill="auto"/>
            <w:noWrap/>
            <w:vAlign w:val="center"/>
          </w:tcPr>
          <w:p w14:paraId="7009EE7B" w14:textId="5C8DD404"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71" w:type="pct"/>
            <w:tcBorders>
              <w:top w:val="nil"/>
              <w:left w:val="nil"/>
              <w:bottom w:val="single" w:sz="4" w:space="0" w:color="F79646" w:themeColor="accent6"/>
              <w:right w:val="nil"/>
            </w:tcBorders>
            <w:shd w:val="clear" w:color="auto" w:fill="auto"/>
            <w:noWrap/>
            <w:vAlign w:val="center"/>
          </w:tcPr>
          <w:p w14:paraId="480ECE55" w14:textId="7A2BB294"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c>
          <w:tcPr>
            <w:tcW w:w="389" w:type="pct"/>
            <w:tcBorders>
              <w:top w:val="nil"/>
              <w:left w:val="nil"/>
              <w:bottom w:val="single" w:sz="4" w:space="0" w:color="F79646" w:themeColor="accent6"/>
              <w:right w:val="nil"/>
            </w:tcBorders>
            <w:shd w:val="clear" w:color="auto" w:fill="auto"/>
            <w:noWrap/>
            <w:vAlign w:val="center"/>
          </w:tcPr>
          <w:p w14:paraId="7B0E7136" w14:textId="2D712AA2" w:rsidR="00576123" w:rsidRPr="00FF4346" w:rsidRDefault="009F0FB5" w:rsidP="00711413">
            <w:pPr>
              <w:jc w:val="right"/>
              <w:rPr>
                <w:rFonts w:ascii="CAIXA Std Book" w:eastAsia="Times New Roman" w:hAnsi="CAIXA Std Book" w:cs="Calibri"/>
                <w:color w:val="005CA9"/>
                <w:sz w:val="16"/>
                <w:szCs w:val="16"/>
              </w:rPr>
            </w:pPr>
            <w:r>
              <w:rPr>
                <w:rFonts w:ascii="CAIXA Std Book" w:hAnsi="CAIXA Std Book" w:cs="Arial"/>
                <w:color w:val="005CA9"/>
                <w:sz w:val="16"/>
                <w:szCs w:val="16"/>
              </w:rPr>
              <w:t>1.492</w:t>
            </w:r>
          </w:p>
        </w:tc>
        <w:tc>
          <w:tcPr>
            <w:tcW w:w="387" w:type="pct"/>
            <w:tcBorders>
              <w:top w:val="nil"/>
              <w:left w:val="nil"/>
              <w:bottom w:val="single" w:sz="4" w:space="0" w:color="F79646" w:themeColor="accent6"/>
              <w:right w:val="nil"/>
            </w:tcBorders>
            <w:shd w:val="clear" w:color="auto" w:fill="auto"/>
            <w:noWrap/>
            <w:vAlign w:val="center"/>
          </w:tcPr>
          <w:p w14:paraId="741A18C1" w14:textId="055AAA5D" w:rsidR="00576123" w:rsidRPr="00FF4346" w:rsidRDefault="009F0FB5" w:rsidP="00711413">
            <w:pPr>
              <w:jc w:val="center"/>
              <w:rPr>
                <w:rFonts w:ascii="CAIXA Std Book" w:eastAsia="Times New Roman" w:hAnsi="CAIXA Std Book" w:cs="Calibri"/>
                <w:color w:val="005CA9"/>
                <w:sz w:val="16"/>
                <w:szCs w:val="16"/>
              </w:rPr>
            </w:pPr>
            <w:r>
              <w:rPr>
                <w:rFonts w:ascii="CAIXA Std Book" w:hAnsi="CAIXA Std Book" w:cs="Arial"/>
                <w:color w:val="005CA9"/>
                <w:sz w:val="16"/>
                <w:szCs w:val="16"/>
              </w:rPr>
              <w:t>-</w:t>
            </w:r>
          </w:p>
        </w:tc>
      </w:tr>
      <w:tr w:rsidR="00576123" w:rsidRPr="0013769A" w14:paraId="73FC0769" w14:textId="77777777" w:rsidTr="0013769A">
        <w:trPr>
          <w:trHeight w:val="340"/>
        </w:trPr>
        <w:tc>
          <w:tcPr>
            <w:tcW w:w="630" w:type="pct"/>
            <w:tcBorders>
              <w:top w:val="single" w:sz="4" w:space="0" w:color="F79646" w:themeColor="accent6"/>
              <w:left w:val="nil"/>
              <w:bottom w:val="single" w:sz="4" w:space="0" w:color="F79646" w:themeColor="accent6"/>
              <w:right w:val="nil"/>
            </w:tcBorders>
            <w:shd w:val="clear" w:color="auto" w:fill="auto"/>
            <w:vAlign w:val="center"/>
            <w:hideMark/>
          </w:tcPr>
          <w:p w14:paraId="03F5A72E" w14:textId="77777777" w:rsidR="00576123" w:rsidRPr="00FF4346" w:rsidRDefault="00576123" w:rsidP="00711413">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Total</w:t>
            </w:r>
          </w:p>
        </w:tc>
        <w:tc>
          <w:tcPr>
            <w:tcW w:w="348" w:type="pct"/>
            <w:tcBorders>
              <w:top w:val="single" w:sz="4" w:space="0" w:color="F79646" w:themeColor="accent6"/>
              <w:left w:val="nil"/>
              <w:bottom w:val="single" w:sz="4" w:space="0" w:color="F79646" w:themeColor="accent6"/>
              <w:right w:val="nil"/>
            </w:tcBorders>
            <w:shd w:val="clear" w:color="auto" w:fill="auto"/>
            <w:noWrap/>
            <w:vAlign w:val="center"/>
            <w:hideMark/>
          </w:tcPr>
          <w:p w14:paraId="021B46B6"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w:t>
            </w:r>
          </w:p>
        </w:tc>
        <w:tc>
          <w:tcPr>
            <w:tcW w:w="381" w:type="pct"/>
            <w:tcBorders>
              <w:top w:val="single" w:sz="4" w:space="0" w:color="F79646" w:themeColor="accent6"/>
              <w:left w:val="nil"/>
              <w:bottom w:val="single" w:sz="4" w:space="0" w:color="F79646" w:themeColor="accent6"/>
              <w:right w:val="nil"/>
            </w:tcBorders>
            <w:shd w:val="clear" w:color="auto" w:fill="auto"/>
            <w:vAlign w:val="center"/>
            <w:hideMark/>
          </w:tcPr>
          <w:p w14:paraId="6B747407" w14:textId="77777777" w:rsidR="00576123" w:rsidRPr="00FF4346" w:rsidRDefault="00576123" w:rsidP="00711413">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w:t>
            </w:r>
          </w:p>
        </w:tc>
        <w:tc>
          <w:tcPr>
            <w:tcW w:w="313" w:type="pct"/>
            <w:tcBorders>
              <w:top w:val="single" w:sz="4" w:space="0" w:color="F79646" w:themeColor="accent6"/>
              <w:left w:val="nil"/>
              <w:bottom w:val="single" w:sz="4" w:space="0" w:color="F79646" w:themeColor="accent6"/>
              <w:right w:val="nil"/>
            </w:tcBorders>
            <w:shd w:val="clear" w:color="auto" w:fill="auto"/>
            <w:noWrap/>
            <w:vAlign w:val="center"/>
          </w:tcPr>
          <w:p w14:paraId="6D942E6C" w14:textId="77777777" w:rsidR="00576123" w:rsidRPr="00FF4346" w:rsidRDefault="00576123" w:rsidP="00711413">
            <w:pPr>
              <w:jc w:val="center"/>
              <w:rPr>
                <w:rFonts w:ascii="CAIXA Std Book" w:eastAsia="Times New Roman" w:hAnsi="CAIXA Std Book" w:cs="Calibri"/>
                <w:b/>
                <w:bCs/>
                <w:color w:val="005CA9"/>
                <w:sz w:val="16"/>
                <w:szCs w:val="16"/>
              </w:rPr>
            </w:pPr>
          </w:p>
        </w:tc>
        <w:tc>
          <w:tcPr>
            <w:tcW w:w="319" w:type="pct"/>
            <w:tcBorders>
              <w:top w:val="single" w:sz="4" w:space="0" w:color="F79646" w:themeColor="accent6"/>
              <w:left w:val="nil"/>
              <w:bottom w:val="single" w:sz="4" w:space="0" w:color="F79646" w:themeColor="accent6"/>
              <w:right w:val="nil"/>
            </w:tcBorders>
            <w:shd w:val="clear" w:color="auto" w:fill="auto"/>
            <w:vAlign w:val="center"/>
          </w:tcPr>
          <w:p w14:paraId="68C5DC25" w14:textId="77777777" w:rsidR="00576123" w:rsidRPr="00FF4346" w:rsidRDefault="00576123" w:rsidP="00711413">
            <w:pPr>
              <w:jc w:val="center"/>
              <w:rPr>
                <w:rFonts w:ascii="CAIXA Std Book" w:eastAsia="Times New Roman" w:hAnsi="CAIXA Std Book" w:cs="Calibri"/>
                <w:b/>
                <w:bCs/>
                <w:color w:val="005CA9"/>
                <w:sz w:val="16"/>
                <w:szCs w:val="16"/>
              </w:rPr>
            </w:pPr>
          </w:p>
        </w:tc>
        <w:tc>
          <w:tcPr>
            <w:tcW w:w="379" w:type="pct"/>
            <w:tcBorders>
              <w:top w:val="single" w:sz="4" w:space="0" w:color="F79646" w:themeColor="accent6"/>
              <w:left w:val="nil"/>
              <w:bottom w:val="single" w:sz="4" w:space="0" w:color="F79646" w:themeColor="accent6"/>
              <w:right w:val="nil"/>
            </w:tcBorders>
            <w:shd w:val="clear" w:color="auto" w:fill="auto"/>
            <w:noWrap/>
            <w:vAlign w:val="center"/>
          </w:tcPr>
          <w:p w14:paraId="099B5B79" w14:textId="77777777" w:rsidR="00576123" w:rsidRPr="00FF4346" w:rsidRDefault="00576123" w:rsidP="00711413">
            <w:pPr>
              <w:jc w:val="center"/>
              <w:rPr>
                <w:rFonts w:ascii="CAIXA Std Book" w:eastAsia="Times New Roman" w:hAnsi="CAIXA Std Book" w:cs="Calibri"/>
                <w:color w:val="005CA9"/>
                <w:sz w:val="16"/>
                <w:szCs w:val="16"/>
              </w:rPr>
            </w:pPr>
          </w:p>
        </w:tc>
        <w:tc>
          <w:tcPr>
            <w:tcW w:w="399" w:type="pct"/>
            <w:tcBorders>
              <w:top w:val="single" w:sz="4" w:space="0" w:color="F79646" w:themeColor="accent6"/>
              <w:left w:val="nil"/>
              <w:bottom w:val="single" w:sz="4" w:space="0" w:color="F79646" w:themeColor="accent6"/>
              <w:right w:val="nil"/>
            </w:tcBorders>
            <w:shd w:val="clear" w:color="auto" w:fill="auto"/>
            <w:noWrap/>
            <w:vAlign w:val="center"/>
          </w:tcPr>
          <w:p w14:paraId="2810F73E" w14:textId="77777777" w:rsidR="00576123" w:rsidRPr="00FF4346" w:rsidRDefault="00576123" w:rsidP="00711413">
            <w:pPr>
              <w:jc w:val="center"/>
              <w:rPr>
                <w:rFonts w:ascii="CAIXA Std Book" w:eastAsia="Times New Roman" w:hAnsi="CAIXA Std Book" w:cs="Calibri"/>
                <w:b/>
                <w:bCs/>
                <w:color w:val="005CA9"/>
                <w:sz w:val="16"/>
                <w:szCs w:val="16"/>
              </w:rPr>
            </w:pPr>
          </w:p>
        </w:tc>
        <w:tc>
          <w:tcPr>
            <w:tcW w:w="387" w:type="pct"/>
            <w:tcBorders>
              <w:top w:val="single" w:sz="4" w:space="0" w:color="F79646" w:themeColor="accent6"/>
              <w:left w:val="nil"/>
              <w:bottom w:val="single" w:sz="4" w:space="0" w:color="F79646" w:themeColor="accent6"/>
              <w:right w:val="nil"/>
            </w:tcBorders>
            <w:shd w:val="clear" w:color="auto" w:fill="auto"/>
            <w:noWrap/>
            <w:vAlign w:val="center"/>
            <w:hideMark/>
          </w:tcPr>
          <w:p w14:paraId="2DE9C789" w14:textId="7658DD8E" w:rsidR="00576123" w:rsidRPr="00FF4346" w:rsidRDefault="00891566" w:rsidP="00711413">
            <w:pPr>
              <w:jc w:val="right"/>
              <w:rPr>
                <w:rFonts w:ascii="CAIXA Std Book" w:eastAsia="Times New Roman" w:hAnsi="CAIXA Std Book" w:cs="Calibri"/>
                <w:b/>
                <w:bCs/>
                <w:color w:val="005CA9"/>
                <w:sz w:val="16"/>
                <w:szCs w:val="16"/>
              </w:rPr>
            </w:pPr>
            <w:r w:rsidRPr="00A33766">
              <w:rPr>
                <w:rFonts w:ascii="CAIXA Std Book" w:hAnsi="CAIXA Std Book" w:cs="Arial"/>
                <w:b/>
                <w:bCs/>
                <w:color w:val="005CA9"/>
                <w:sz w:val="16"/>
                <w:szCs w:val="16"/>
              </w:rPr>
              <w:t>12.511.643</w:t>
            </w:r>
          </w:p>
        </w:tc>
        <w:tc>
          <w:tcPr>
            <w:tcW w:w="349" w:type="pct"/>
            <w:tcBorders>
              <w:top w:val="single" w:sz="4" w:space="0" w:color="F79646" w:themeColor="accent6"/>
              <w:left w:val="nil"/>
              <w:bottom w:val="single" w:sz="4" w:space="0" w:color="F79646" w:themeColor="accent6"/>
              <w:right w:val="nil"/>
            </w:tcBorders>
            <w:shd w:val="clear" w:color="auto" w:fill="auto"/>
            <w:noWrap/>
            <w:vAlign w:val="center"/>
          </w:tcPr>
          <w:p w14:paraId="7C98AD94" w14:textId="60A4D8A6" w:rsidR="00576123" w:rsidRPr="00FF4346" w:rsidRDefault="009F0FB5" w:rsidP="00711413">
            <w:pPr>
              <w:jc w:val="right"/>
              <w:rPr>
                <w:rFonts w:ascii="CAIXA Std Book" w:eastAsia="Times New Roman" w:hAnsi="CAIXA Std Book" w:cs="Calibri"/>
                <w:b/>
                <w:bCs/>
                <w:color w:val="005CA9"/>
                <w:sz w:val="16"/>
                <w:szCs w:val="16"/>
              </w:rPr>
            </w:pPr>
            <w:r>
              <w:rPr>
                <w:rFonts w:ascii="CAIXA Std Book" w:hAnsi="CAIXA Std Book" w:cs="Arial"/>
                <w:b/>
                <w:bCs/>
                <w:color w:val="005CA9"/>
                <w:sz w:val="16"/>
                <w:szCs w:val="16"/>
              </w:rPr>
              <w:t>1.016.283</w:t>
            </w:r>
          </w:p>
        </w:tc>
        <w:tc>
          <w:tcPr>
            <w:tcW w:w="348" w:type="pct"/>
            <w:tcBorders>
              <w:top w:val="single" w:sz="4" w:space="0" w:color="F79646" w:themeColor="accent6"/>
              <w:left w:val="nil"/>
              <w:bottom w:val="single" w:sz="4" w:space="0" w:color="F79646" w:themeColor="accent6"/>
              <w:right w:val="nil"/>
            </w:tcBorders>
            <w:shd w:val="clear" w:color="auto" w:fill="auto"/>
            <w:vAlign w:val="center"/>
          </w:tcPr>
          <w:p w14:paraId="08480CAB" w14:textId="520E72A9" w:rsidR="00576123" w:rsidRPr="00FF4346" w:rsidRDefault="009F0FB5" w:rsidP="00711413">
            <w:pPr>
              <w:jc w:val="right"/>
              <w:rPr>
                <w:rFonts w:ascii="CAIXA Std Book" w:eastAsia="Times New Roman" w:hAnsi="CAIXA Std Book" w:cs="Calibri"/>
                <w:b/>
                <w:bCs/>
                <w:color w:val="005CA9"/>
                <w:sz w:val="16"/>
                <w:szCs w:val="16"/>
              </w:rPr>
            </w:pPr>
            <w:r>
              <w:rPr>
                <w:rFonts w:ascii="CAIXA Std Book" w:hAnsi="CAIXA Std Book" w:cs="Arial"/>
                <w:b/>
                <w:bCs/>
                <w:color w:val="005CA9"/>
                <w:sz w:val="16"/>
                <w:szCs w:val="16"/>
              </w:rPr>
              <w:t>19.498</w:t>
            </w:r>
          </w:p>
        </w:tc>
        <w:tc>
          <w:tcPr>
            <w:tcW w:w="371" w:type="pct"/>
            <w:tcBorders>
              <w:top w:val="single" w:sz="4" w:space="0" w:color="F79646" w:themeColor="accent6"/>
              <w:left w:val="nil"/>
              <w:bottom w:val="single" w:sz="4" w:space="0" w:color="F79646" w:themeColor="accent6"/>
              <w:right w:val="nil"/>
            </w:tcBorders>
            <w:shd w:val="clear" w:color="auto" w:fill="auto"/>
            <w:vAlign w:val="center"/>
          </w:tcPr>
          <w:p w14:paraId="4F1AA003" w14:textId="4BEC5EE3" w:rsidR="00576123" w:rsidRPr="00FF4346" w:rsidRDefault="009F0FB5" w:rsidP="00711413">
            <w:pPr>
              <w:jc w:val="right"/>
              <w:rPr>
                <w:rFonts w:ascii="CAIXA Std Book" w:eastAsia="Times New Roman" w:hAnsi="CAIXA Std Book" w:cs="Calibri"/>
                <w:b/>
                <w:bCs/>
                <w:color w:val="005CA9"/>
                <w:sz w:val="16"/>
                <w:szCs w:val="16"/>
              </w:rPr>
            </w:pPr>
            <w:r>
              <w:rPr>
                <w:rFonts w:ascii="CAIXA Std Book" w:hAnsi="CAIXA Std Book" w:cs="Arial"/>
                <w:b/>
                <w:bCs/>
                <w:color w:val="005CA9"/>
                <w:sz w:val="16"/>
                <w:szCs w:val="16"/>
              </w:rPr>
              <w:t>31.029</w:t>
            </w:r>
          </w:p>
        </w:tc>
        <w:tc>
          <w:tcPr>
            <w:tcW w:w="389" w:type="pct"/>
            <w:tcBorders>
              <w:top w:val="single" w:sz="4" w:space="0" w:color="F79646" w:themeColor="accent6"/>
              <w:left w:val="nil"/>
              <w:bottom w:val="single" w:sz="4" w:space="0" w:color="F79646" w:themeColor="accent6"/>
              <w:right w:val="nil"/>
            </w:tcBorders>
            <w:shd w:val="clear" w:color="auto" w:fill="auto"/>
            <w:vAlign w:val="center"/>
          </w:tcPr>
          <w:p w14:paraId="4B796D27" w14:textId="2ED5A41B" w:rsidR="00576123" w:rsidRPr="00FF4346" w:rsidRDefault="009F0FB5" w:rsidP="00711413">
            <w:pPr>
              <w:jc w:val="right"/>
              <w:rPr>
                <w:rFonts w:ascii="CAIXA Std Book" w:eastAsia="Times New Roman" w:hAnsi="CAIXA Std Book" w:cs="Calibri"/>
                <w:b/>
                <w:bCs/>
                <w:color w:val="005CA9"/>
                <w:sz w:val="16"/>
                <w:szCs w:val="16"/>
              </w:rPr>
            </w:pPr>
            <w:r>
              <w:rPr>
                <w:rFonts w:ascii="CAIXA Std Book" w:hAnsi="CAIXA Std Book" w:cs="Arial"/>
                <w:b/>
                <w:bCs/>
                <w:color w:val="005CA9"/>
                <w:sz w:val="16"/>
                <w:szCs w:val="16"/>
              </w:rPr>
              <w:t>13.578.453</w:t>
            </w:r>
          </w:p>
        </w:tc>
        <w:tc>
          <w:tcPr>
            <w:tcW w:w="387" w:type="pct"/>
            <w:tcBorders>
              <w:top w:val="single" w:sz="4" w:space="0" w:color="F79646" w:themeColor="accent6"/>
              <w:left w:val="nil"/>
              <w:bottom w:val="single" w:sz="4" w:space="0" w:color="F79646" w:themeColor="accent6"/>
              <w:right w:val="nil"/>
            </w:tcBorders>
            <w:shd w:val="clear" w:color="auto" w:fill="auto"/>
            <w:noWrap/>
            <w:vAlign w:val="center"/>
          </w:tcPr>
          <w:p w14:paraId="0C5D57C0" w14:textId="4C5B1B06" w:rsidR="00576123" w:rsidRPr="00FF4346" w:rsidRDefault="009F0FB5" w:rsidP="00711413">
            <w:pPr>
              <w:jc w:val="right"/>
              <w:rPr>
                <w:rFonts w:ascii="CAIXA Std Book" w:eastAsia="Times New Roman" w:hAnsi="CAIXA Std Book" w:cs="Calibri"/>
                <w:b/>
                <w:bCs/>
                <w:color w:val="005CA9"/>
                <w:sz w:val="16"/>
                <w:szCs w:val="16"/>
              </w:rPr>
            </w:pPr>
            <w:r>
              <w:rPr>
                <w:rFonts w:ascii="CAIXA Std Book" w:hAnsi="CAIXA Std Book" w:cs="Arial"/>
                <w:b/>
                <w:bCs/>
                <w:color w:val="005CA9"/>
                <w:sz w:val="16"/>
                <w:szCs w:val="16"/>
              </w:rPr>
              <w:t>1.009.347</w:t>
            </w:r>
          </w:p>
        </w:tc>
      </w:tr>
    </w:tbl>
    <w:p w14:paraId="1492FB38" w14:textId="113853E6" w:rsidR="00B23C1D" w:rsidRPr="00FF4346" w:rsidRDefault="005C233A" w:rsidP="00851148">
      <w:pPr>
        <w:rPr>
          <w:rFonts w:ascii="CAIXA Std Book" w:hAnsi="CAIXA Std Book"/>
          <w:color w:val="005CA9"/>
          <w:sz w:val="16"/>
          <w:szCs w:val="16"/>
        </w:rPr>
      </w:pPr>
      <w:bookmarkStart w:id="68" w:name="_Hlk70609860"/>
      <w:bookmarkEnd w:id="67"/>
      <w:r w:rsidRPr="00FF4346">
        <w:rPr>
          <w:rFonts w:ascii="CAIXA Std Book" w:hAnsi="CAIXA Std Book"/>
          <w:color w:val="005CA9"/>
          <w:sz w:val="16"/>
          <w:szCs w:val="16"/>
        </w:rPr>
        <w:br w:type="page"/>
      </w:r>
    </w:p>
    <w:tbl>
      <w:tblPr>
        <w:tblW w:w="5000" w:type="pct"/>
        <w:tblCellMar>
          <w:left w:w="70" w:type="dxa"/>
          <w:right w:w="70" w:type="dxa"/>
        </w:tblCellMar>
        <w:tblLook w:val="04A0" w:firstRow="1" w:lastRow="0" w:firstColumn="1" w:lastColumn="0" w:noHBand="0" w:noVBand="1"/>
      </w:tblPr>
      <w:tblGrid>
        <w:gridCol w:w="2123"/>
        <w:gridCol w:w="711"/>
        <w:gridCol w:w="995"/>
        <w:gridCol w:w="815"/>
        <w:gridCol w:w="1021"/>
        <w:gridCol w:w="1171"/>
        <w:gridCol w:w="1107"/>
        <w:gridCol w:w="1171"/>
        <w:gridCol w:w="1107"/>
        <w:gridCol w:w="1021"/>
        <w:gridCol w:w="1024"/>
        <w:gridCol w:w="1171"/>
        <w:gridCol w:w="1021"/>
      </w:tblGrid>
      <w:tr w:rsidR="00576123" w:rsidRPr="00A33766" w14:paraId="53D88D7F" w14:textId="77777777" w:rsidTr="00711413">
        <w:trPr>
          <w:trHeight w:val="283"/>
        </w:trPr>
        <w:tc>
          <w:tcPr>
            <w:tcW w:w="5000" w:type="pct"/>
            <w:gridSpan w:val="13"/>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33C97D4C"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lastRenderedPageBreak/>
              <w:t>CONSOLIDADO</w:t>
            </w:r>
          </w:p>
        </w:tc>
      </w:tr>
      <w:tr w:rsidR="00576123" w:rsidRPr="00A33766" w14:paraId="7E26F9F5" w14:textId="77777777" w:rsidTr="00711413">
        <w:trPr>
          <w:trHeight w:val="283"/>
        </w:trPr>
        <w:tc>
          <w:tcPr>
            <w:tcW w:w="734" w:type="pct"/>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35B92684"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Empresa</w:t>
            </w:r>
          </w:p>
        </w:tc>
        <w:tc>
          <w:tcPr>
            <w:tcW w:w="1225" w:type="pct"/>
            <w:gridSpan w:val="4"/>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1B076694"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 de participação (1)</w:t>
            </w:r>
          </w:p>
        </w:tc>
        <w:tc>
          <w:tcPr>
            <w:tcW w:w="788" w:type="pct"/>
            <w:gridSpan w:val="2"/>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05F70054"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Patrimônio Líquido</w:t>
            </w:r>
          </w:p>
        </w:tc>
        <w:tc>
          <w:tcPr>
            <w:tcW w:w="405" w:type="pct"/>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6FD451B5"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eastAsia="Times New Roman" w:hAnsi="CAIXA Std Book" w:cs="Calibri"/>
                <w:b/>
                <w:color w:val="005CA9"/>
                <w:sz w:val="16"/>
                <w:szCs w:val="16"/>
              </w:rPr>
              <w:t>Valor contábil</w:t>
            </w:r>
          </w:p>
        </w:tc>
        <w:tc>
          <w:tcPr>
            <w:tcW w:w="1090" w:type="pct"/>
            <w:gridSpan w:val="3"/>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3F4F79A0"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Movimentação</w:t>
            </w:r>
          </w:p>
        </w:tc>
        <w:tc>
          <w:tcPr>
            <w:tcW w:w="405" w:type="pct"/>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66F9C61D"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eastAsia="Times New Roman" w:hAnsi="CAIXA Std Book" w:cs="Calibri"/>
                <w:b/>
                <w:color w:val="005CA9"/>
                <w:sz w:val="16"/>
                <w:szCs w:val="16"/>
              </w:rPr>
              <w:t>Valor contábil</w:t>
            </w:r>
          </w:p>
        </w:tc>
        <w:tc>
          <w:tcPr>
            <w:tcW w:w="353" w:type="pct"/>
            <w:vMerge w:val="restar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17324252"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Resultado MEP</w:t>
            </w:r>
          </w:p>
        </w:tc>
      </w:tr>
      <w:tr w:rsidR="00576123" w:rsidRPr="00A33766" w14:paraId="3ACB5AED" w14:textId="77777777" w:rsidTr="00711413">
        <w:trPr>
          <w:trHeight w:val="283"/>
        </w:trPr>
        <w:tc>
          <w:tcPr>
            <w:tcW w:w="734" w:type="pct"/>
            <w:vMerge/>
            <w:tcBorders>
              <w:top w:val="single" w:sz="8" w:space="0" w:color="ED7D31"/>
              <w:left w:val="nil"/>
              <w:bottom w:val="single" w:sz="4" w:space="0" w:color="ED7D31"/>
              <w:right w:val="nil"/>
            </w:tcBorders>
            <w:vAlign w:val="center"/>
            <w:hideMark/>
          </w:tcPr>
          <w:p w14:paraId="385038B8" w14:textId="77777777" w:rsidR="00576123" w:rsidRPr="0082298E" w:rsidRDefault="00576123" w:rsidP="00711413">
            <w:pPr>
              <w:rPr>
                <w:rFonts w:ascii="CAIXA Std Book" w:hAnsi="CAIXA Std Book" w:cs="Calibri"/>
                <w:b/>
                <w:color w:val="005CA9"/>
                <w:sz w:val="16"/>
                <w:szCs w:val="16"/>
              </w:rPr>
            </w:pPr>
          </w:p>
        </w:tc>
        <w:tc>
          <w:tcPr>
            <w:tcW w:w="590" w:type="pct"/>
            <w:gridSpan w:val="2"/>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789CC97A" w14:textId="418CBE9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w:t>
            </w:r>
            <w:r w:rsidR="00891566" w:rsidRPr="0082298E">
              <w:rPr>
                <w:rFonts w:ascii="CAIXA Std Book" w:hAnsi="CAIXA Std Book" w:cs="Calibri"/>
                <w:b/>
                <w:color w:val="005CA9"/>
                <w:sz w:val="16"/>
                <w:szCs w:val="16"/>
              </w:rPr>
              <w:t>03/2024</w:t>
            </w:r>
          </w:p>
        </w:tc>
        <w:tc>
          <w:tcPr>
            <w:tcW w:w="635" w:type="pct"/>
            <w:gridSpan w:val="2"/>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31EA36F8" w14:textId="0E816401"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31/12/202</w:t>
            </w:r>
            <w:r w:rsidR="00891566" w:rsidRPr="0082298E">
              <w:rPr>
                <w:rFonts w:ascii="CAIXA Std Book" w:hAnsi="CAIXA Std Book" w:cs="Calibri"/>
                <w:b/>
                <w:color w:val="005CA9"/>
                <w:sz w:val="16"/>
                <w:szCs w:val="16"/>
              </w:rPr>
              <w:t>3</w:t>
            </w:r>
          </w:p>
        </w:tc>
        <w:tc>
          <w:tcPr>
            <w:tcW w:w="788" w:type="pct"/>
            <w:gridSpan w:val="2"/>
            <w:vMerge/>
            <w:tcBorders>
              <w:left w:val="nil"/>
              <w:bottom w:val="single" w:sz="4" w:space="0" w:color="ED7D31"/>
              <w:right w:val="nil"/>
            </w:tcBorders>
            <w:vAlign w:val="center"/>
            <w:hideMark/>
          </w:tcPr>
          <w:p w14:paraId="014BA66F" w14:textId="77777777" w:rsidR="00576123" w:rsidRPr="0082298E" w:rsidRDefault="00576123" w:rsidP="00711413">
            <w:pPr>
              <w:rPr>
                <w:rFonts w:ascii="CAIXA Std Book" w:hAnsi="CAIXA Std Book" w:cs="Calibri"/>
                <w:b/>
                <w:color w:val="005CA9"/>
                <w:sz w:val="16"/>
                <w:szCs w:val="16"/>
              </w:rPr>
            </w:pPr>
          </w:p>
        </w:tc>
        <w:tc>
          <w:tcPr>
            <w:tcW w:w="405" w:type="pct"/>
            <w:vMerge/>
            <w:tcBorders>
              <w:left w:val="nil"/>
              <w:bottom w:val="single" w:sz="4" w:space="0" w:color="ED7D31"/>
              <w:right w:val="nil"/>
            </w:tcBorders>
            <w:vAlign w:val="center"/>
            <w:hideMark/>
          </w:tcPr>
          <w:p w14:paraId="4E3C97BC" w14:textId="77777777" w:rsidR="00576123" w:rsidRPr="0082298E" w:rsidRDefault="00576123" w:rsidP="00711413">
            <w:pPr>
              <w:rPr>
                <w:rFonts w:ascii="CAIXA Std Book" w:hAnsi="CAIXA Std Book" w:cs="Calibri"/>
                <w:b/>
                <w:color w:val="005CA9"/>
                <w:sz w:val="16"/>
                <w:szCs w:val="16"/>
              </w:rPr>
            </w:pPr>
          </w:p>
        </w:tc>
        <w:tc>
          <w:tcPr>
            <w:tcW w:w="1090" w:type="pct"/>
            <w:gridSpan w:val="3"/>
            <w:vMerge/>
            <w:tcBorders>
              <w:left w:val="nil"/>
              <w:bottom w:val="single" w:sz="4" w:space="0" w:color="ED7D31"/>
              <w:right w:val="nil"/>
            </w:tcBorders>
            <w:vAlign w:val="center"/>
            <w:hideMark/>
          </w:tcPr>
          <w:p w14:paraId="0595F5F9" w14:textId="77777777" w:rsidR="00576123" w:rsidRPr="0082298E" w:rsidRDefault="00576123" w:rsidP="00711413">
            <w:pPr>
              <w:rPr>
                <w:rFonts w:ascii="CAIXA Std Book" w:hAnsi="CAIXA Std Book" w:cs="Calibri"/>
                <w:b/>
                <w:color w:val="005CA9"/>
                <w:sz w:val="16"/>
                <w:szCs w:val="16"/>
              </w:rPr>
            </w:pPr>
          </w:p>
        </w:tc>
        <w:tc>
          <w:tcPr>
            <w:tcW w:w="405" w:type="pct"/>
            <w:vMerge/>
            <w:tcBorders>
              <w:left w:val="nil"/>
              <w:bottom w:val="single" w:sz="4" w:space="0" w:color="ED7D31"/>
              <w:right w:val="nil"/>
            </w:tcBorders>
            <w:vAlign w:val="center"/>
            <w:hideMark/>
          </w:tcPr>
          <w:p w14:paraId="6509F4E5" w14:textId="77777777" w:rsidR="00576123" w:rsidRPr="0082298E" w:rsidRDefault="00576123" w:rsidP="00711413">
            <w:pPr>
              <w:rPr>
                <w:rFonts w:ascii="CAIXA Std Book" w:hAnsi="CAIXA Std Book" w:cs="Calibri"/>
                <w:b/>
                <w:color w:val="005CA9"/>
                <w:sz w:val="16"/>
                <w:szCs w:val="16"/>
              </w:rPr>
            </w:pPr>
          </w:p>
        </w:tc>
        <w:tc>
          <w:tcPr>
            <w:tcW w:w="353" w:type="pct"/>
            <w:vMerge/>
            <w:tcBorders>
              <w:left w:val="nil"/>
              <w:bottom w:val="single" w:sz="4" w:space="0" w:color="ED7D31"/>
              <w:right w:val="nil"/>
            </w:tcBorders>
            <w:vAlign w:val="center"/>
            <w:hideMark/>
          </w:tcPr>
          <w:p w14:paraId="4A04F22C" w14:textId="77777777" w:rsidR="00576123" w:rsidRPr="0082298E" w:rsidRDefault="00576123" w:rsidP="00711413">
            <w:pPr>
              <w:rPr>
                <w:rFonts w:ascii="CAIXA Std Book" w:hAnsi="CAIXA Std Book" w:cs="Calibri"/>
                <w:b/>
                <w:color w:val="005CA9"/>
                <w:sz w:val="16"/>
                <w:szCs w:val="16"/>
              </w:rPr>
            </w:pPr>
          </w:p>
        </w:tc>
      </w:tr>
      <w:tr w:rsidR="00576123" w:rsidRPr="00A33766" w14:paraId="77F844BF" w14:textId="77777777" w:rsidTr="00711413">
        <w:trPr>
          <w:trHeight w:val="283"/>
        </w:trPr>
        <w:tc>
          <w:tcPr>
            <w:tcW w:w="734" w:type="pct"/>
            <w:vMerge/>
            <w:tcBorders>
              <w:top w:val="single" w:sz="8" w:space="0" w:color="ED7D31"/>
              <w:left w:val="nil"/>
              <w:bottom w:val="single" w:sz="4" w:space="0" w:color="ED7D31"/>
              <w:right w:val="nil"/>
            </w:tcBorders>
            <w:vAlign w:val="center"/>
            <w:hideMark/>
          </w:tcPr>
          <w:p w14:paraId="266C00E1" w14:textId="77777777" w:rsidR="00576123" w:rsidRPr="0082298E" w:rsidRDefault="00576123" w:rsidP="00711413">
            <w:pPr>
              <w:rPr>
                <w:rFonts w:ascii="CAIXA Std Book" w:hAnsi="CAIXA Std Book" w:cs="Calibri"/>
                <w:b/>
                <w:color w:val="005CA9"/>
                <w:sz w:val="16"/>
                <w:szCs w:val="16"/>
              </w:rPr>
            </w:pPr>
          </w:p>
        </w:tc>
        <w:tc>
          <w:tcPr>
            <w:tcW w:w="246"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186A75DB"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Total</w:t>
            </w:r>
          </w:p>
        </w:tc>
        <w:tc>
          <w:tcPr>
            <w:tcW w:w="344" w:type="pct"/>
            <w:tcBorders>
              <w:top w:val="single" w:sz="4" w:space="0" w:color="ED7D31"/>
              <w:left w:val="nil"/>
              <w:bottom w:val="nil"/>
              <w:right w:val="nil"/>
            </w:tcBorders>
            <w:shd w:val="clear" w:color="auto" w:fill="auto"/>
            <w:tcMar>
              <w:top w:w="15" w:type="dxa"/>
              <w:left w:w="15" w:type="dxa"/>
              <w:bottom w:w="0" w:type="dxa"/>
              <w:right w:w="15" w:type="dxa"/>
            </w:tcMar>
            <w:vAlign w:val="center"/>
            <w:hideMark/>
          </w:tcPr>
          <w:p w14:paraId="47381C4A"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Ações</w:t>
            </w:r>
          </w:p>
        </w:tc>
        <w:tc>
          <w:tcPr>
            <w:tcW w:w="282"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4EA21288"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Total</w:t>
            </w:r>
          </w:p>
        </w:tc>
        <w:tc>
          <w:tcPr>
            <w:tcW w:w="353" w:type="pct"/>
            <w:tcBorders>
              <w:top w:val="single" w:sz="4" w:space="0" w:color="ED7D31"/>
              <w:left w:val="nil"/>
              <w:bottom w:val="nil"/>
              <w:right w:val="nil"/>
            </w:tcBorders>
            <w:shd w:val="clear" w:color="auto" w:fill="auto"/>
            <w:tcMar>
              <w:top w:w="15" w:type="dxa"/>
              <w:left w:w="15" w:type="dxa"/>
              <w:bottom w:w="0" w:type="dxa"/>
              <w:right w:w="15" w:type="dxa"/>
            </w:tcMar>
            <w:vAlign w:val="center"/>
            <w:hideMark/>
          </w:tcPr>
          <w:p w14:paraId="3AADC878"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Ações</w:t>
            </w:r>
          </w:p>
        </w:tc>
        <w:tc>
          <w:tcPr>
            <w:tcW w:w="405"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37F06E00" w14:textId="1F807371"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w:t>
            </w:r>
            <w:r w:rsidR="00ED40F5">
              <w:rPr>
                <w:rFonts w:ascii="CAIXA Std Book" w:hAnsi="CAIXA Std Book" w:cs="Calibri"/>
                <w:b/>
                <w:color w:val="005CA9"/>
                <w:sz w:val="16"/>
                <w:szCs w:val="16"/>
              </w:rPr>
              <w:t>03</w:t>
            </w:r>
            <w:r w:rsidRPr="0082298E">
              <w:rPr>
                <w:rFonts w:ascii="CAIXA Std Book" w:hAnsi="CAIXA Std Book" w:cs="Calibri"/>
                <w:b/>
                <w:color w:val="005CA9"/>
                <w:sz w:val="16"/>
                <w:szCs w:val="16"/>
              </w:rPr>
              <w:t>/202</w:t>
            </w:r>
            <w:r w:rsidR="00891566" w:rsidRPr="0082298E">
              <w:rPr>
                <w:rFonts w:ascii="CAIXA Std Book" w:hAnsi="CAIXA Std Book" w:cs="Calibri"/>
                <w:b/>
                <w:color w:val="005CA9"/>
                <w:sz w:val="16"/>
                <w:szCs w:val="16"/>
              </w:rPr>
              <w:t>4</w:t>
            </w:r>
          </w:p>
        </w:tc>
        <w:tc>
          <w:tcPr>
            <w:tcW w:w="383"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1DB8B7A4" w14:textId="182A987B"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31/12/202</w:t>
            </w:r>
            <w:r w:rsidR="00891566" w:rsidRPr="0082298E">
              <w:rPr>
                <w:rFonts w:ascii="CAIXA Std Book" w:hAnsi="CAIXA Std Book" w:cs="Calibri"/>
                <w:b/>
                <w:color w:val="005CA9"/>
                <w:sz w:val="16"/>
                <w:szCs w:val="16"/>
              </w:rPr>
              <w:t>3</w:t>
            </w:r>
          </w:p>
        </w:tc>
        <w:tc>
          <w:tcPr>
            <w:tcW w:w="405" w:type="pct"/>
            <w:vMerge w:val="restart"/>
            <w:tcBorders>
              <w:top w:val="single" w:sz="4" w:space="0" w:color="ED7D31"/>
              <w:left w:val="nil"/>
              <w:bottom w:val="single" w:sz="8" w:space="0" w:color="ED7D31"/>
              <w:right w:val="nil"/>
            </w:tcBorders>
            <w:shd w:val="clear" w:color="auto" w:fill="auto"/>
            <w:vAlign w:val="center"/>
            <w:hideMark/>
          </w:tcPr>
          <w:p w14:paraId="5269C68C" w14:textId="686171C1"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31/12/202</w:t>
            </w:r>
            <w:r w:rsidR="00891566" w:rsidRPr="0082298E">
              <w:rPr>
                <w:rFonts w:ascii="CAIXA Std Book" w:hAnsi="CAIXA Std Book" w:cs="Calibri"/>
                <w:b/>
                <w:color w:val="005CA9"/>
                <w:sz w:val="16"/>
                <w:szCs w:val="16"/>
              </w:rPr>
              <w:t>3</w:t>
            </w:r>
          </w:p>
        </w:tc>
        <w:tc>
          <w:tcPr>
            <w:tcW w:w="383"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3EF2DD00"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Resultado MEP</w:t>
            </w:r>
          </w:p>
        </w:tc>
        <w:tc>
          <w:tcPr>
            <w:tcW w:w="353"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0615114F" w14:textId="3D993B1B"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Dividendos e JCP</w:t>
            </w:r>
          </w:p>
        </w:tc>
        <w:tc>
          <w:tcPr>
            <w:tcW w:w="354" w:type="pct"/>
            <w:vMerge w:val="restart"/>
            <w:tcBorders>
              <w:top w:val="single" w:sz="4" w:space="0" w:color="ED7D31"/>
              <w:left w:val="nil"/>
              <w:bottom w:val="single" w:sz="8" w:space="0" w:color="ED7D31"/>
              <w:right w:val="nil"/>
            </w:tcBorders>
            <w:shd w:val="clear" w:color="auto" w:fill="auto"/>
            <w:tcMar>
              <w:top w:w="15" w:type="dxa"/>
              <w:left w:w="15" w:type="dxa"/>
              <w:bottom w:w="0" w:type="dxa"/>
              <w:right w:w="15" w:type="dxa"/>
            </w:tcMar>
            <w:vAlign w:val="center"/>
            <w:hideMark/>
          </w:tcPr>
          <w:p w14:paraId="7145C209"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Outros</w:t>
            </w:r>
          </w:p>
        </w:tc>
        <w:tc>
          <w:tcPr>
            <w:tcW w:w="405" w:type="pct"/>
            <w:vMerge w:val="restart"/>
            <w:tcBorders>
              <w:top w:val="single" w:sz="4" w:space="0" w:color="ED7D31"/>
              <w:left w:val="nil"/>
              <w:bottom w:val="single" w:sz="8" w:space="0" w:color="ED7D31"/>
              <w:right w:val="nil"/>
            </w:tcBorders>
            <w:shd w:val="clear" w:color="auto" w:fill="auto"/>
            <w:vAlign w:val="center"/>
            <w:hideMark/>
          </w:tcPr>
          <w:p w14:paraId="1C31D845" w14:textId="1ABCBFD0"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31/</w:t>
            </w:r>
            <w:r w:rsidR="00891566" w:rsidRPr="0082298E">
              <w:rPr>
                <w:rFonts w:ascii="CAIXA Std Book" w:hAnsi="CAIXA Std Book" w:cs="Calibri"/>
                <w:b/>
                <w:color w:val="005CA9"/>
                <w:sz w:val="16"/>
                <w:szCs w:val="16"/>
              </w:rPr>
              <w:t>03/2024</w:t>
            </w:r>
          </w:p>
        </w:tc>
        <w:tc>
          <w:tcPr>
            <w:tcW w:w="353" w:type="pct"/>
            <w:tcBorders>
              <w:top w:val="single" w:sz="4" w:space="0" w:color="ED7D31"/>
              <w:left w:val="nil"/>
              <w:bottom w:val="nil"/>
              <w:right w:val="nil"/>
            </w:tcBorders>
            <w:shd w:val="clear" w:color="auto" w:fill="auto"/>
            <w:tcMar>
              <w:top w:w="15" w:type="dxa"/>
              <w:left w:w="15" w:type="dxa"/>
              <w:bottom w:w="0" w:type="dxa"/>
              <w:right w:w="15" w:type="dxa"/>
            </w:tcMar>
            <w:vAlign w:val="center"/>
            <w:hideMark/>
          </w:tcPr>
          <w:p w14:paraId="3F42926D" w14:textId="08CB6E8E"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202</w:t>
            </w:r>
            <w:r w:rsidR="00891566" w:rsidRPr="0082298E">
              <w:rPr>
                <w:rFonts w:ascii="CAIXA Std Book" w:hAnsi="CAIXA Std Book" w:cs="Calibri"/>
                <w:b/>
                <w:color w:val="005CA9"/>
                <w:sz w:val="16"/>
                <w:szCs w:val="16"/>
              </w:rPr>
              <w:t>3</w:t>
            </w:r>
          </w:p>
        </w:tc>
      </w:tr>
      <w:tr w:rsidR="00576123" w:rsidRPr="00A33766" w14:paraId="7AE15E94" w14:textId="77777777" w:rsidTr="00BB0CBB">
        <w:trPr>
          <w:trHeight w:val="50"/>
        </w:trPr>
        <w:tc>
          <w:tcPr>
            <w:tcW w:w="734" w:type="pct"/>
            <w:vMerge/>
            <w:tcBorders>
              <w:top w:val="single" w:sz="8" w:space="0" w:color="ED7D31"/>
              <w:left w:val="nil"/>
              <w:bottom w:val="single" w:sz="4" w:space="0" w:color="ED7D31"/>
              <w:right w:val="nil"/>
            </w:tcBorders>
            <w:vAlign w:val="center"/>
            <w:hideMark/>
          </w:tcPr>
          <w:p w14:paraId="0A725BD6" w14:textId="77777777" w:rsidR="00576123" w:rsidRPr="0082298E" w:rsidRDefault="00576123" w:rsidP="00711413">
            <w:pPr>
              <w:rPr>
                <w:rFonts w:ascii="CAIXA Std Book" w:hAnsi="CAIXA Std Book" w:cs="Calibri"/>
                <w:b/>
                <w:color w:val="005CA9"/>
                <w:sz w:val="16"/>
                <w:szCs w:val="16"/>
              </w:rPr>
            </w:pPr>
          </w:p>
        </w:tc>
        <w:tc>
          <w:tcPr>
            <w:tcW w:w="246" w:type="pct"/>
            <w:vMerge/>
            <w:tcBorders>
              <w:top w:val="nil"/>
              <w:left w:val="nil"/>
              <w:bottom w:val="single" w:sz="4" w:space="0" w:color="ED7D31"/>
              <w:right w:val="nil"/>
            </w:tcBorders>
            <w:vAlign w:val="center"/>
            <w:hideMark/>
          </w:tcPr>
          <w:p w14:paraId="6039CB60" w14:textId="77777777" w:rsidR="00576123" w:rsidRPr="0082298E" w:rsidRDefault="00576123" w:rsidP="00711413">
            <w:pPr>
              <w:rPr>
                <w:rFonts w:ascii="CAIXA Std Book" w:hAnsi="CAIXA Std Book" w:cs="Calibri"/>
                <w:b/>
                <w:color w:val="005CA9"/>
                <w:sz w:val="16"/>
                <w:szCs w:val="16"/>
              </w:rPr>
            </w:pPr>
          </w:p>
        </w:tc>
        <w:tc>
          <w:tcPr>
            <w:tcW w:w="344" w:type="pct"/>
            <w:tcBorders>
              <w:top w:val="nil"/>
              <w:left w:val="nil"/>
              <w:bottom w:val="single" w:sz="4" w:space="0" w:color="ED7D31"/>
              <w:right w:val="nil"/>
            </w:tcBorders>
            <w:shd w:val="clear" w:color="auto" w:fill="auto"/>
            <w:tcMar>
              <w:top w:w="15" w:type="dxa"/>
              <w:left w:w="15" w:type="dxa"/>
              <w:bottom w:w="0" w:type="dxa"/>
              <w:right w:w="15" w:type="dxa"/>
            </w:tcMar>
            <w:vAlign w:val="center"/>
            <w:hideMark/>
          </w:tcPr>
          <w:p w14:paraId="243C0947"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Ordinárias</w:t>
            </w:r>
          </w:p>
        </w:tc>
        <w:tc>
          <w:tcPr>
            <w:tcW w:w="282" w:type="pct"/>
            <w:vMerge/>
            <w:tcBorders>
              <w:top w:val="nil"/>
              <w:left w:val="nil"/>
              <w:bottom w:val="single" w:sz="4" w:space="0" w:color="ED7D31"/>
              <w:right w:val="nil"/>
            </w:tcBorders>
            <w:vAlign w:val="center"/>
            <w:hideMark/>
          </w:tcPr>
          <w:p w14:paraId="2E3CB5BF" w14:textId="77777777" w:rsidR="00576123" w:rsidRPr="0082298E" w:rsidRDefault="00576123" w:rsidP="00711413">
            <w:pPr>
              <w:rPr>
                <w:rFonts w:ascii="CAIXA Std Book" w:hAnsi="CAIXA Std Book" w:cs="Calibri"/>
                <w:b/>
                <w:color w:val="005CA9"/>
                <w:sz w:val="16"/>
                <w:szCs w:val="16"/>
              </w:rPr>
            </w:pPr>
          </w:p>
        </w:tc>
        <w:tc>
          <w:tcPr>
            <w:tcW w:w="353" w:type="pct"/>
            <w:tcBorders>
              <w:top w:val="nil"/>
              <w:left w:val="nil"/>
              <w:bottom w:val="single" w:sz="4" w:space="0" w:color="ED7D31"/>
              <w:right w:val="nil"/>
            </w:tcBorders>
            <w:shd w:val="clear" w:color="auto" w:fill="auto"/>
            <w:tcMar>
              <w:top w:w="15" w:type="dxa"/>
              <w:left w:w="15" w:type="dxa"/>
              <w:bottom w:w="0" w:type="dxa"/>
              <w:right w:w="15" w:type="dxa"/>
            </w:tcMar>
            <w:vAlign w:val="center"/>
            <w:hideMark/>
          </w:tcPr>
          <w:p w14:paraId="6A1528C4" w14:textId="77777777" w:rsidR="00576123" w:rsidRPr="0082298E" w:rsidRDefault="00576123"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Ordinárias</w:t>
            </w:r>
          </w:p>
        </w:tc>
        <w:tc>
          <w:tcPr>
            <w:tcW w:w="405" w:type="pct"/>
            <w:vMerge/>
            <w:tcBorders>
              <w:top w:val="nil"/>
              <w:left w:val="nil"/>
              <w:bottom w:val="single" w:sz="4" w:space="0" w:color="ED7D31"/>
              <w:right w:val="nil"/>
            </w:tcBorders>
            <w:vAlign w:val="center"/>
            <w:hideMark/>
          </w:tcPr>
          <w:p w14:paraId="48C9D2E0" w14:textId="77777777" w:rsidR="00576123" w:rsidRPr="0082298E" w:rsidRDefault="00576123" w:rsidP="00711413">
            <w:pPr>
              <w:rPr>
                <w:rFonts w:ascii="CAIXA Std Book" w:hAnsi="CAIXA Std Book" w:cs="Calibri"/>
                <w:b/>
                <w:color w:val="005CA9"/>
                <w:sz w:val="16"/>
                <w:szCs w:val="16"/>
              </w:rPr>
            </w:pPr>
          </w:p>
        </w:tc>
        <w:tc>
          <w:tcPr>
            <w:tcW w:w="383" w:type="pct"/>
            <w:vMerge/>
            <w:tcBorders>
              <w:top w:val="nil"/>
              <w:left w:val="nil"/>
              <w:bottom w:val="single" w:sz="4" w:space="0" w:color="ED7D31"/>
              <w:right w:val="nil"/>
            </w:tcBorders>
            <w:vAlign w:val="center"/>
            <w:hideMark/>
          </w:tcPr>
          <w:p w14:paraId="01ABB5E4" w14:textId="77777777" w:rsidR="00576123" w:rsidRPr="0082298E" w:rsidRDefault="00576123" w:rsidP="00711413">
            <w:pPr>
              <w:rPr>
                <w:rFonts w:ascii="CAIXA Std Book" w:hAnsi="CAIXA Std Book" w:cs="Calibri"/>
                <w:b/>
                <w:color w:val="005CA9"/>
                <w:sz w:val="16"/>
                <w:szCs w:val="16"/>
              </w:rPr>
            </w:pPr>
          </w:p>
        </w:tc>
        <w:tc>
          <w:tcPr>
            <w:tcW w:w="405" w:type="pct"/>
            <w:vMerge/>
            <w:tcBorders>
              <w:top w:val="nil"/>
              <w:left w:val="nil"/>
              <w:bottom w:val="single" w:sz="4" w:space="0" w:color="ED7D31"/>
              <w:right w:val="nil"/>
            </w:tcBorders>
            <w:vAlign w:val="center"/>
            <w:hideMark/>
          </w:tcPr>
          <w:p w14:paraId="336DAF7D" w14:textId="77777777" w:rsidR="00576123" w:rsidRPr="0082298E" w:rsidRDefault="00576123" w:rsidP="00711413">
            <w:pPr>
              <w:rPr>
                <w:rFonts w:ascii="CAIXA Std Book" w:hAnsi="CAIXA Std Book" w:cs="Calibri"/>
                <w:b/>
                <w:color w:val="005CA9"/>
                <w:sz w:val="16"/>
                <w:szCs w:val="16"/>
              </w:rPr>
            </w:pPr>
          </w:p>
        </w:tc>
        <w:tc>
          <w:tcPr>
            <w:tcW w:w="383" w:type="pct"/>
            <w:vMerge/>
            <w:tcBorders>
              <w:top w:val="nil"/>
              <w:left w:val="nil"/>
              <w:bottom w:val="single" w:sz="4" w:space="0" w:color="ED7D31"/>
              <w:right w:val="nil"/>
            </w:tcBorders>
            <w:vAlign w:val="center"/>
            <w:hideMark/>
          </w:tcPr>
          <w:p w14:paraId="11F22914" w14:textId="77777777" w:rsidR="00576123" w:rsidRPr="0082298E" w:rsidRDefault="00576123" w:rsidP="00711413">
            <w:pPr>
              <w:rPr>
                <w:rFonts w:ascii="CAIXA Std Book" w:hAnsi="CAIXA Std Book" w:cs="Calibri"/>
                <w:b/>
                <w:color w:val="005CA9"/>
                <w:sz w:val="16"/>
                <w:szCs w:val="16"/>
              </w:rPr>
            </w:pPr>
          </w:p>
        </w:tc>
        <w:tc>
          <w:tcPr>
            <w:tcW w:w="353" w:type="pct"/>
            <w:vMerge/>
            <w:tcBorders>
              <w:top w:val="nil"/>
              <w:left w:val="nil"/>
              <w:bottom w:val="single" w:sz="4" w:space="0" w:color="ED7D31"/>
              <w:right w:val="nil"/>
            </w:tcBorders>
            <w:vAlign w:val="center"/>
            <w:hideMark/>
          </w:tcPr>
          <w:p w14:paraId="121EA681" w14:textId="77777777" w:rsidR="00576123" w:rsidRPr="0082298E" w:rsidRDefault="00576123" w:rsidP="00711413">
            <w:pPr>
              <w:rPr>
                <w:rFonts w:ascii="CAIXA Std Book" w:hAnsi="CAIXA Std Book" w:cs="Calibri"/>
                <w:b/>
                <w:color w:val="005CA9"/>
                <w:sz w:val="16"/>
                <w:szCs w:val="16"/>
              </w:rPr>
            </w:pPr>
          </w:p>
        </w:tc>
        <w:tc>
          <w:tcPr>
            <w:tcW w:w="354" w:type="pct"/>
            <w:vMerge/>
            <w:tcBorders>
              <w:top w:val="nil"/>
              <w:left w:val="nil"/>
              <w:bottom w:val="single" w:sz="4" w:space="0" w:color="ED7D31"/>
              <w:right w:val="nil"/>
            </w:tcBorders>
            <w:vAlign w:val="center"/>
            <w:hideMark/>
          </w:tcPr>
          <w:p w14:paraId="3CE66C38" w14:textId="77777777" w:rsidR="00576123" w:rsidRPr="0082298E" w:rsidRDefault="00576123" w:rsidP="00711413">
            <w:pPr>
              <w:rPr>
                <w:rFonts w:ascii="CAIXA Std Book" w:hAnsi="CAIXA Std Book" w:cs="Calibri"/>
                <w:b/>
                <w:color w:val="005CA9"/>
                <w:sz w:val="16"/>
                <w:szCs w:val="16"/>
              </w:rPr>
            </w:pPr>
          </w:p>
        </w:tc>
        <w:tc>
          <w:tcPr>
            <w:tcW w:w="405" w:type="pct"/>
            <w:vMerge/>
            <w:tcBorders>
              <w:top w:val="nil"/>
              <w:left w:val="nil"/>
              <w:bottom w:val="single" w:sz="4" w:space="0" w:color="ED7D31"/>
              <w:right w:val="nil"/>
            </w:tcBorders>
            <w:vAlign w:val="center"/>
            <w:hideMark/>
          </w:tcPr>
          <w:p w14:paraId="6ED27383" w14:textId="77777777" w:rsidR="00576123" w:rsidRPr="0082298E" w:rsidRDefault="00576123" w:rsidP="00711413">
            <w:pPr>
              <w:rPr>
                <w:rFonts w:ascii="CAIXA Std Book" w:hAnsi="CAIXA Std Book" w:cs="Calibri"/>
                <w:b/>
                <w:color w:val="005CA9"/>
                <w:sz w:val="16"/>
                <w:szCs w:val="16"/>
              </w:rPr>
            </w:pPr>
          </w:p>
        </w:tc>
        <w:tc>
          <w:tcPr>
            <w:tcW w:w="353" w:type="pct"/>
            <w:tcBorders>
              <w:top w:val="nil"/>
              <w:left w:val="nil"/>
              <w:bottom w:val="single" w:sz="4" w:space="0" w:color="ED7D31"/>
              <w:right w:val="nil"/>
            </w:tcBorders>
            <w:shd w:val="clear" w:color="auto" w:fill="auto"/>
            <w:tcMar>
              <w:top w:w="15" w:type="dxa"/>
              <w:left w:w="15" w:type="dxa"/>
              <w:bottom w:w="0" w:type="dxa"/>
              <w:right w:w="15" w:type="dxa"/>
            </w:tcMar>
            <w:vAlign w:val="center"/>
            <w:hideMark/>
          </w:tcPr>
          <w:p w14:paraId="1AA65A42" w14:textId="661970A7" w:rsidR="00576123" w:rsidRPr="0082298E" w:rsidRDefault="00891566" w:rsidP="00711413">
            <w:pPr>
              <w:jc w:val="center"/>
              <w:rPr>
                <w:rFonts w:ascii="CAIXA Std Book" w:hAnsi="CAIXA Std Book" w:cs="Calibri"/>
                <w:b/>
                <w:color w:val="005CA9"/>
                <w:sz w:val="16"/>
                <w:szCs w:val="16"/>
              </w:rPr>
            </w:pPr>
            <w:r w:rsidRPr="0082298E">
              <w:rPr>
                <w:rFonts w:ascii="CAIXA Std Book" w:hAnsi="CAIXA Std Book" w:cs="Calibri"/>
                <w:b/>
                <w:color w:val="005CA9"/>
                <w:sz w:val="16"/>
                <w:szCs w:val="16"/>
              </w:rPr>
              <w:t>1º trimestre</w:t>
            </w:r>
          </w:p>
        </w:tc>
      </w:tr>
      <w:tr w:rsidR="00576123" w:rsidRPr="00A33766" w14:paraId="6A76629A" w14:textId="77777777" w:rsidTr="00711413">
        <w:trPr>
          <w:trHeight w:val="283"/>
        </w:trPr>
        <w:tc>
          <w:tcPr>
            <w:tcW w:w="734" w:type="pct"/>
            <w:tcBorders>
              <w:top w:val="single" w:sz="4" w:space="0" w:color="ED7D31"/>
              <w:left w:val="nil"/>
              <w:bottom w:val="nil"/>
              <w:right w:val="nil"/>
            </w:tcBorders>
            <w:shd w:val="clear" w:color="auto" w:fill="auto"/>
            <w:tcMar>
              <w:top w:w="15" w:type="dxa"/>
              <w:left w:w="15" w:type="dxa"/>
              <w:bottom w:w="0" w:type="dxa"/>
              <w:right w:w="15" w:type="dxa"/>
            </w:tcMar>
            <w:vAlign w:val="center"/>
            <w:hideMark/>
          </w:tcPr>
          <w:p w14:paraId="32F65458"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 xml:space="preserve">Holding XS1 </w:t>
            </w:r>
          </w:p>
        </w:tc>
        <w:tc>
          <w:tcPr>
            <w:tcW w:w="246"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2F0E821F" w14:textId="537AB787"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60,00%</w:t>
            </w:r>
          </w:p>
        </w:tc>
        <w:tc>
          <w:tcPr>
            <w:tcW w:w="344" w:type="pct"/>
            <w:tcBorders>
              <w:top w:val="single" w:sz="4" w:space="0" w:color="ED7D31"/>
              <w:left w:val="nil"/>
              <w:bottom w:val="nil"/>
              <w:right w:val="nil"/>
            </w:tcBorders>
            <w:shd w:val="clear" w:color="auto" w:fill="auto"/>
            <w:tcMar>
              <w:top w:w="15" w:type="dxa"/>
              <w:left w:w="15" w:type="dxa"/>
              <w:bottom w:w="0" w:type="dxa"/>
              <w:right w:w="15" w:type="dxa"/>
            </w:tcMar>
            <w:vAlign w:val="center"/>
          </w:tcPr>
          <w:p w14:paraId="5AA2A40B" w14:textId="25DFA5EA"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49,00%</w:t>
            </w:r>
          </w:p>
        </w:tc>
        <w:tc>
          <w:tcPr>
            <w:tcW w:w="282" w:type="pct"/>
            <w:tcBorders>
              <w:top w:val="single" w:sz="4" w:space="0" w:color="ED7D31"/>
              <w:left w:val="nil"/>
              <w:bottom w:val="nil"/>
              <w:right w:val="nil"/>
            </w:tcBorders>
            <w:shd w:val="clear" w:color="auto" w:fill="auto"/>
            <w:noWrap/>
            <w:tcMar>
              <w:top w:w="15" w:type="dxa"/>
              <w:left w:w="15" w:type="dxa"/>
              <w:bottom w:w="0" w:type="dxa"/>
              <w:right w:w="15" w:type="dxa"/>
            </w:tcMar>
            <w:vAlign w:val="center"/>
            <w:hideMark/>
          </w:tcPr>
          <w:p w14:paraId="2C7C3076"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60,00%</w:t>
            </w:r>
          </w:p>
        </w:tc>
        <w:tc>
          <w:tcPr>
            <w:tcW w:w="353" w:type="pct"/>
            <w:tcBorders>
              <w:top w:val="single" w:sz="4" w:space="0" w:color="ED7D31"/>
              <w:left w:val="nil"/>
              <w:bottom w:val="nil"/>
              <w:right w:val="nil"/>
            </w:tcBorders>
            <w:shd w:val="clear" w:color="auto" w:fill="auto"/>
            <w:tcMar>
              <w:top w:w="15" w:type="dxa"/>
              <w:left w:w="15" w:type="dxa"/>
              <w:bottom w:w="0" w:type="dxa"/>
              <w:right w:w="15" w:type="dxa"/>
            </w:tcMar>
            <w:vAlign w:val="center"/>
            <w:hideMark/>
          </w:tcPr>
          <w:p w14:paraId="335BD903"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49,00%</w:t>
            </w:r>
          </w:p>
        </w:tc>
        <w:tc>
          <w:tcPr>
            <w:tcW w:w="405"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65A12021" w14:textId="0DF2D8F1"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12.200.253</w:t>
            </w:r>
          </w:p>
        </w:tc>
        <w:tc>
          <w:tcPr>
            <w:tcW w:w="383" w:type="pct"/>
            <w:tcBorders>
              <w:top w:val="single" w:sz="4" w:space="0" w:color="ED7D31"/>
              <w:left w:val="nil"/>
              <w:bottom w:val="nil"/>
              <w:right w:val="nil"/>
            </w:tcBorders>
            <w:shd w:val="clear" w:color="auto" w:fill="auto"/>
            <w:noWrap/>
            <w:tcMar>
              <w:top w:w="15" w:type="dxa"/>
              <w:left w:w="15" w:type="dxa"/>
              <w:bottom w:w="0" w:type="dxa"/>
              <w:right w:w="15" w:type="dxa"/>
            </w:tcMar>
            <w:vAlign w:val="center"/>
            <w:hideMark/>
          </w:tcPr>
          <w:p w14:paraId="715A7C3C" w14:textId="7E9CF95A"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12.510.633</w:t>
            </w:r>
          </w:p>
        </w:tc>
        <w:tc>
          <w:tcPr>
            <w:tcW w:w="405" w:type="pct"/>
            <w:tcBorders>
              <w:top w:val="single" w:sz="4" w:space="0" w:color="ED7D31"/>
              <w:left w:val="nil"/>
              <w:bottom w:val="nil"/>
              <w:right w:val="nil"/>
            </w:tcBorders>
            <w:shd w:val="clear" w:color="auto" w:fill="auto"/>
            <w:noWrap/>
            <w:tcMar>
              <w:top w:w="15" w:type="dxa"/>
              <w:left w:w="15" w:type="dxa"/>
              <w:bottom w:w="0" w:type="dxa"/>
              <w:right w:w="15" w:type="dxa"/>
            </w:tcMar>
            <w:vAlign w:val="center"/>
            <w:hideMark/>
          </w:tcPr>
          <w:p w14:paraId="375CF95E" w14:textId="5B62B545"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7.574.688</w:t>
            </w:r>
          </w:p>
        </w:tc>
        <w:tc>
          <w:tcPr>
            <w:tcW w:w="383"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04D75076" w14:textId="58A559B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244.435</w:t>
            </w:r>
          </w:p>
        </w:tc>
        <w:tc>
          <w:tcPr>
            <w:tcW w:w="353"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53367304" w14:textId="5A70C250"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(423.567)</w:t>
            </w:r>
          </w:p>
        </w:tc>
        <w:tc>
          <w:tcPr>
            <w:tcW w:w="354"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6AE74A79" w14:textId="32DB4D4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(5.275)</w:t>
            </w:r>
          </w:p>
        </w:tc>
        <w:tc>
          <w:tcPr>
            <w:tcW w:w="405"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462104FC" w14:textId="60E6C27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7.390.281</w:t>
            </w:r>
          </w:p>
        </w:tc>
        <w:tc>
          <w:tcPr>
            <w:tcW w:w="353" w:type="pct"/>
            <w:tcBorders>
              <w:top w:val="single" w:sz="4" w:space="0" w:color="ED7D31"/>
              <w:left w:val="nil"/>
              <w:bottom w:val="nil"/>
              <w:right w:val="nil"/>
            </w:tcBorders>
            <w:shd w:val="clear" w:color="auto" w:fill="auto"/>
            <w:noWrap/>
            <w:tcMar>
              <w:top w:w="15" w:type="dxa"/>
              <w:left w:w="15" w:type="dxa"/>
              <w:bottom w:w="0" w:type="dxa"/>
              <w:right w:w="15" w:type="dxa"/>
            </w:tcMar>
            <w:vAlign w:val="center"/>
          </w:tcPr>
          <w:p w14:paraId="7BC9094A" w14:textId="03154B2B"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337.258</w:t>
            </w:r>
          </w:p>
        </w:tc>
      </w:tr>
      <w:tr w:rsidR="00576123" w:rsidRPr="00A33766" w14:paraId="53BFAC0D"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5AB19E90"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 xml:space="preserve">CNP Brasil </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6B1CD460" w14:textId="0FECBCC1"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48,25%</w:t>
            </w:r>
          </w:p>
        </w:tc>
        <w:tc>
          <w:tcPr>
            <w:tcW w:w="344" w:type="pct"/>
            <w:tcBorders>
              <w:top w:val="nil"/>
              <w:left w:val="nil"/>
              <w:bottom w:val="nil"/>
              <w:right w:val="nil"/>
            </w:tcBorders>
            <w:shd w:val="clear" w:color="auto" w:fill="auto"/>
            <w:tcMar>
              <w:top w:w="15" w:type="dxa"/>
              <w:left w:w="15" w:type="dxa"/>
              <w:bottom w:w="0" w:type="dxa"/>
              <w:right w:w="15" w:type="dxa"/>
            </w:tcMar>
            <w:vAlign w:val="center"/>
          </w:tcPr>
          <w:p w14:paraId="4C0C4D74" w14:textId="0811FB2E"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48,25%</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0F04283F"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48,25%</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2D88A8D8"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48,25%</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6EC22388" w14:textId="216352AA"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5.043.449</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28DA1A09" w14:textId="759E020C"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4.801.026</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52258809" w14:textId="122D1CCE"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2.316.495</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04E0A707" w14:textId="5D25EA93"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119.136</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39745E48" w14:textId="12A4F35B"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(203.566)</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4051C679" w14:textId="1374AD0D"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201.399</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1C37F364" w14:textId="1834A6A7"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2.433.464</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2980F83B" w14:textId="5F1601B9"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118.543</w:t>
            </w:r>
          </w:p>
        </w:tc>
      </w:tr>
      <w:tr w:rsidR="00576123" w:rsidRPr="00A33766" w14:paraId="1D4592A5"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7B384689"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 xml:space="preserve">XS3 Seguros </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38F6F17A" w14:textId="34DDB6A1"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75,00%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749AAAF6" w14:textId="38B40AB1"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49,99%</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6C9D90CE"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75,00%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73C92F56"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49,99%</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0829E3DE" w14:textId="5C863AB1"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1.886.680</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4A17653C" w14:textId="1DCD513C"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1.910.462</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7E93815D" w14:textId="6A6A80D1"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1.432.776</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7BD6D36E" w14:textId="4C38BA40"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53.833</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7B7A0C88" w14:textId="374E01B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(71.669)</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143FBB10" w14:textId="5A9282E6" w:rsidR="00576123"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6BF81FD0" w14:textId="4953F0D5"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1.414.940</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28E967F3" w14:textId="285F02F8"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60.504</w:t>
            </w:r>
          </w:p>
        </w:tc>
      </w:tr>
      <w:tr w:rsidR="00576123" w:rsidRPr="00A33766" w14:paraId="7C480B05"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111794B8"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XS4 Capitalização</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50B102FA" w14:textId="6E0AF7B9"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75,00%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31CC0A23" w14:textId="35CE62BA"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49,99%</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7BADA7F8"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75,00%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5011CB54"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49,99%</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55B247A1" w14:textId="54292882"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313.508</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3372DDD4" w14:textId="173FB293"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312.402</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58B4EEE6" w14:textId="3945B264"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234.286</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303DC213" w14:textId="3C7182B6"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36.643</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4C4B288C" w14:textId="69B05EAD"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(29.934)</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7A5F4DEF" w14:textId="2E2CF588"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(5.880)</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353DCA2D" w14:textId="1D9D2229"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235.115</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1E820009" w14:textId="395F9F5B"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31.345</w:t>
            </w:r>
          </w:p>
        </w:tc>
      </w:tr>
      <w:tr w:rsidR="00576123" w:rsidRPr="00A33766" w14:paraId="11C1ED13"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72DBB008"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XS5 Consórcios</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70FD0E6D" w14:textId="49AE5069"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75,00%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371F5E9D" w14:textId="3F4FB9FD"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49,99%</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497D7FFB"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75,00%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6EA39CF1"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49,99%</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15C8C4D0" w14:textId="13C2CA24"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550.035</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52330B65" w14:textId="3598291B"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501.630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0B490580" w14:textId="4D3124A9"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376.209</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0B64B0E2" w14:textId="625F9FED"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36.302</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30E2761D" w14:textId="2185B7A9" w:rsidR="00576123"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7ADA1039" w14:textId="34020B42" w:rsidR="00576123"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1AAD44CF" w14:textId="5BE675BF"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412.511</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04357479" w14:textId="280C07F6"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13.978</w:t>
            </w:r>
          </w:p>
        </w:tc>
      </w:tr>
      <w:tr w:rsidR="00576123" w:rsidRPr="00A33766" w14:paraId="3D0B99C8"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57B09E55"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XS6 Assistência</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2DB71811" w14:textId="709F03B0"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75,00%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6423214F" w14:textId="1F5D5C8B"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49,99%</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32C1CB70"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75,00%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4FA64534"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49,99%</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38B9BA9A" w14:textId="2A2661F3"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48.735</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48387033" w14:textId="74B942D4"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41.854</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38352E98" w14:textId="60168020"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31.390</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6B493D6E" w14:textId="3C54C7D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5.161</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73C69859" w14:textId="40292518" w:rsidR="00576123"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24CF840C" w14:textId="3B61E53C"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4809819F" w14:textId="71A6FE7A"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36.551</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2FBE929F" w14:textId="65B781C8"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2.666</w:t>
            </w:r>
          </w:p>
        </w:tc>
      </w:tr>
      <w:tr w:rsidR="00576123" w:rsidRPr="00A33766" w14:paraId="0CF33407"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01175418"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Elo Serviços</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7701C64D" w14:textId="5BB3FFA9"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41,41%</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1A2170E9" w14:textId="2363D4F5"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0,01%</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0FF5601B"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41,41%</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5374ADE5"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0,01%</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3E400BF9" w14:textId="14841EFA"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774.222</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3A182ADF" w14:textId="48AE9A20"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891.852</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4C317791" w14:textId="1F0782B2"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369.360</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20C4C540" w14:textId="21DA1C1E"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111.428</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37CFFE58" w14:textId="7CDD789B" w:rsidR="00576123" w:rsidRPr="0082298E" w:rsidRDefault="00D87890" w:rsidP="000C6415">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415D447E" w14:textId="67CBC684"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32197D67" w14:textId="7990BF79"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480.788</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16EC93EA" w14:textId="6EA684B7"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45.214</w:t>
            </w:r>
          </w:p>
        </w:tc>
      </w:tr>
      <w:tr w:rsidR="00576123" w:rsidRPr="00A33766" w14:paraId="663091AE"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691FB6F9" w14:textId="0A42FB6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C</w:t>
            </w:r>
            <w:r w:rsidR="00140B92" w:rsidRPr="0082298E">
              <w:rPr>
                <w:rFonts w:ascii="CAIXA Std Book" w:hAnsi="CAIXA Std Book" w:cs="Calibri"/>
                <w:color w:val="005CA9"/>
                <w:sz w:val="16"/>
                <w:szCs w:val="16"/>
              </w:rPr>
              <w:t>aixa</w:t>
            </w:r>
            <w:r w:rsidRPr="0082298E">
              <w:rPr>
                <w:rFonts w:ascii="CAIXA Std Book" w:hAnsi="CAIXA Std Book" w:cs="Calibri"/>
                <w:color w:val="005CA9"/>
                <w:sz w:val="16"/>
                <w:szCs w:val="16"/>
              </w:rPr>
              <w:t xml:space="preserve"> Cartões Pré-Pagos</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00BB64C6" w14:textId="47ED7752"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75,00%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3015AC24" w14:textId="7C076717"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50%-1</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4A799B00"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75,00%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363C1DA3"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50%-1</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3B49D513" w14:textId="769183BA"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403.480</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1A801218" w14:textId="6DF9B6F7"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400.310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3E42F48A" w14:textId="38A1502E"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300.233</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29AC3976" w14:textId="649BAD20"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5.759</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4F2529DA" w14:textId="127764AF"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5FC35CB2" w14:textId="095E574F"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(3.382)</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64C803F6" w14:textId="0040129D"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302.610</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684CD266" w14:textId="053E54B3"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(5.316)</w:t>
            </w:r>
          </w:p>
        </w:tc>
      </w:tr>
      <w:tr w:rsidR="00576123" w:rsidRPr="00A33766" w14:paraId="1FE00869"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7051BF5D"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 xml:space="preserve">Too Seguros </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0B2735FE" w14:textId="430AE98C"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7A4F17A1" w14:textId="14AE7402"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49,00%</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474A6AD5"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0CF14439"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49,00%</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1ED30631" w14:textId="4B59AF98"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921.323</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20A14438" w14:textId="624AD879"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909.513</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65C2D795" w14:textId="1BCCE4D5"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443.179</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7ED554A7" w14:textId="432D98E6"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47.569</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591D8F97" w14:textId="474F9AED"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(25.855)</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5E1A76AF" w14:textId="53F75B1A"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(15.927)</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384807D1" w14:textId="5C122205"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448.966</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3E60BA83" w14:textId="22C15AA5"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41.925</w:t>
            </w:r>
          </w:p>
        </w:tc>
      </w:tr>
      <w:tr w:rsidR="00487806" w:rsidRPr="00A33766" w14:paraId="40F5211F" w14:textId="77777777" w:rsidTr="00DA0B26">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59EEC898" w14:textId="77777777" w:rsidR="00487806" w:rsidRPr="0082298E" w:rsidRDefault="00487806" w:rsidP="00DA0B26">
            <w:pPr>
              <w:rPr>
                <w:rFonts w:ascii="CAIXA Std Book" w:hAnsi="CAIXA Std Book" w:cs="Calibri"/>
                <w:color w:val="005CA9"/>
                <w:sz w:val="16"/>
                <w:szCs w:val="16"/>
              </w:rPr>
            </w:pPr>
            <w:r w:rsidRPr="0082298E">
              <w:rPr>
                <w:rFonts w:ascii="CAIXA Std Book" w:hAnsi="CAIXA Std Book" w:cs="Calibri"/>
                <w:color w:val="005CA9"/>
                <w:sz w:val="16"/>
                <w:szCs w:val="16"/>
              </w:rPr>
              <w:t>PAN Corretora (2)</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389251AD" w14:textId="03A52388" w:rsidR="00487806" w:rsidRPr="0082298E" w:rsidRDefault="006D2342" w:rsidP="00DA0B26">
            <w:pPr>
              <w:jc w:val="center"/>
              <w:rPr>
                <w:rFonts w:ascii="CAIXA Std Book" w:hAnsi="CAIXA Std Book" w:cs="Calibri"/>
                <w:color w:val="005CA9"/>
                <w:sz w:val="16"/>
                <w:szCs w:val="16"/>
              </w:rPr>
            </w:pPr>
            <w:r>
              <w:rPr>
                <w:rFonts w:ascii="CAIXA Std Book" w:hAnsi="CAIXA Std Book" w:cs="Arial"/>
                <w:color w:val="005CA9"/>
                <w:sz w:val="16"/>
                <w:szCs w:val="16"/>
              </w:rPr>
              <w:t>49,00%</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6054273F" w14:textId="7150D1B9" w:rsidR="00487806" w:rsidRPr="0082298E" w:rsidRDefault="006D2342" w:rsidP="00DA0B26">
            <w:pPr>
              <w:jc w:val="center"/>
              <w:rPr>
                <w:rFonts w:ascii="CAIXA Std Book" w:hAnsi="CAIXA Std Book" w:cs="Calibri"/>
                <w:color w:val="005CA9"/>
                <w:sz w:val="16"/>
                <w:szCs w:val="16"/>
              </w:rPr>
            </w:pPr>
            <w:r>
              <w:rPr>
                <w:rFonts w:ascii="CAIXA Std Book" w:hAnsi="CAIXA Std Book" w:cs="Arial"/>
                <w:color w:val="005CA9"/>
                <w:sz w:val="16"/>
                <w:szCs w:val="16"/>
              </w:rPr>
              <w:t>49,00%</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17728E15" w14:textId="77777777" w:rsidR="00487806" w:rsidRPr="0082298E" w:rsidRDefault="00487806" w:rsidP="00DA0B26">
            <w:pPr>
              <w:jc w:val="center"/>
              <w:rPr>
                <w:rFonts w:ascii="CAIXA Std Book" w:hAnsi="CAIXA Std Book" w:cs="Calibri"/>
                <w:color w:val="005CA9"/>
                <w:sz w:val="16"/>
                <w:szCs w:val="16"/>
              </w:rPr>
            </w:pPr>
            <w:r w:rsidRPr="0082298E">
              <w:rPr>
                <w:rFonts w:ascii="CAIXA Std Book" w:hAnsi="CAIXA Std Book" w:cs="Calibri"/>
                <w:color w:val="005CA9"/>
                <w:sz w:val="16"/>
                <w:szCs w:val="16"/>
              </w:rPr>
              <w:t>49,00%</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20C16837" w14:textId="77777777" w:rsidR="00487806" w:rsidRPr="0082298E" w:rsidRDefault="00487806" w:rsidP="00DA0B26">
            <w:pPr>
              <w:jc w:val="center"/>
              <w:rPr>
                <w:rFonts w:ascii="CAIXA Std Book" w:hAnsi="CAIXA Std Book" w:cs="Calibri"/>
                <w:color w:val="005CA9"/>
                <w:sz w:val="16"/>
                <w:szCs w:val="16"/>
              </w:rPr>
            </w:pPr>
            <w:r w:rsidRPr="0082298E">
              <w:rPr>
                <w:rFonts w:ascii="CAIXA Std Book" w:hAnsi="CAIXA Std Book" w:cs="Calibri"/>
                <w:color w:val="005CA9"/>
                <w:sz w:val="16"/>
                <w:szCs w:val="16"/>
              </w:rPr>
              <w:t>49,00%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36C7BC61" w14:textId="2FDD6822" w:rsidR="00487806" w:rsidRPr="0082298E" w:rsidRDefault="00034597" w:rsidP="00DA0B26">
            <w:pPr>
              <w:jc w:val="right"/>
              <w:rPr>
                <w:rFonts w:ascii="CAIXA Std Book" w:hAnsi="CAIXA Std Book" w:cs="Calibri"/>
                <w:color w:val="005CA9"/>
                <w:sz w:val="16"/>
                <w:szCs w:val="16"/>
              </w:rPr>
            </w:pPr>
            <w:r>
              <w:rPr>
                <w:rFonts w:ascii="CAIXA Std Book" w:hAnsi="CAIXA Std Book" w:cs="Arial"/>
                <w:color w:val="005CA9"/>
                <w:sz w:val="16"/>
                <w:szCs w:val="16"/>
              </w:rPr>
              <w:t>79.900</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2792AA22" w14:textId="276B2DF2" w:rsidR="00487806" w:rsidRPr="0082298E" w:rsidRDefault="00891566" w:rsidP="00DA0B26">
            <w:pPr>
              <w:jc w:val="right"/>
              <w:rPr>
                <w:rFonts w:ascii="CAIXA Std Book" w:hAnsi="CAIXA Std Book" w:cs="Calibri"/>
                <w:color w:val="005CA9"/>
                <w:sz w:val="16"/>
                <w:szCs w:val="16"/>
              </w:rPr>
            </w:pPr>
            <w:r w:rsidRPr="0082298E">
              <w:rPr>
                <w:rFonts w:ascii="CAIXA Std Book" w:hAnsi="CAIXA Std Book" w:cs="Arial"/>
                <w:color w:val="005CA9"/>
                <w:sz w:val="16"/>
                <w:szCs w:val="16"/>
              </w:rPr>
              <w:t>61.900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4095AC79" w14:textId="4F23C08E" w:rsidR="00487806" w:rsidRPr="0082298E" w:rsidRDefault="00891566" w:rsidP="00DA0B26">
            <w:pPr>
              <w:jc w:val="right"/>
              <w:rPr>
                <w:rFonts w:ascii="CAIXA Std Book" w:hAnsi="CAIXA Std Book" w:cs="Calibri"/>
                <w:color w:val="005CA9"/>
                <w:sz w:val="16"/>
                <w:szCs w:val="16"/>
              </w:rPr>
            </w:pPr>
            <w:r w:rsidRPr="0082298E">
              <w:rPr>
                <w:rFonts w:ascii="CAIXA Std Book" w:hAnsi="CAIXA Std Book" w:cs="Arial"/>
                <w:color w:val="005CA9"/>
                <w:sz w:val="16"/>
                <w:szCs w:val="16"/>
              </w:rPr>
              <w:t>30.331</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49067ACB" w14:textId="00037B9F" w:rsidR="00487806" w:rsidRPr="0082298E" w:rsidRDefault="00D87890" w:rsidP="00DA0B26">
            <w:pPr>
              <w:jc w:val="right"/>
              <w:rPr>
                <w:rFonts w:ascii="CAIXA Std Book" w:hAnsi="CAIXA Std Book" w:cs="Calibri"/>
                <w:color w:val="005CA9"/>
                <w:sz w:val="16"/>
                <w:szCs w:val="16"/>
              </w:rPr>
            </w:pPr>
            <w:r>
              <w:rPr>
                <w:rFonts w:ascii="CAIXA Std Book" w:hAnsi="CAIXA Std Book" w:cs="Arial"/>
                <w:color w:val="005CA9"/>
                <w:sz w:val="16"/>
                <w:szCs w:val="16"/>
              </w:rPr>
              <w:t>8.820</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18A1999C" w14:textId="3AB0ADB3" w:rsidR="00487806"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0A8EC3AD" w14:textId="729AA256" w:rsidR="00487806" w:rsidRPr="0082298E" w:rsidRDefault="00D87890" w:rsidP="00EA61C4">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21F57AB3" w14:textId="4EB34ABB" w:rsidR="00487806" w:rsidRPr="0082298E" w:rsidRDefault="00D87890" w:rsidP="00DA0B26">
            <w:pPr>
              <w:jc w:val="right"/>
              <w:rPr>
                <w:rFonts w:ascii="CAIXA Std Book" w:hAnsi="CAIXA Std Book" w:cs="Calibri"/>
                <w:color w:val="005CA9"/>
                <w:sz w:val="16"/>
                <w:szCs w:val="16"/>
              </w:rPr>
            </w:pPr>
            <w:r>
              <w:rPr>
                <w:rFonts w:ascii="CAIXA Std Book" w:hAnsi="CAIXA Std Book" w:cs="Arial"/>
                <w:color w:val="005CA9"/>
                <w:sz w:val="16"/>
                <w:szCs w:val="16"/>
              </w:rPr>
              <w:t>39.151</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6170D701" w14:textId="6EBF2077" w:rsidR="00487806" w:rsidRPr="0082298E" w:rsidRDefault="0082298E" w:rsidP="00DA0B26">
            <w:pPr>
              <w:jc w:val="right"/>
              <w:rPr>
                <w:rFonts w:ascii="CAIXA Std Book" w:hAnsi="CAIXA Std Book" w:cs="Calibri"/>
                <w:color w:val="005CA9"/>
                <w:sz w:val="16"/>
                <w:szCs w:val="16"/>
              </w:rPr>
            </w:pPr>
            <w:r w:rsidRPr="0082298E">
              <w:rPr>
                <w:rFonts w:ascii="CAIXA Std Book" w:hAnsi="CAIXA Std Book" w:cs="Arial"/>
                <w:color w:val="005CA9"/>
                <w:sz w:val="16"/>
                <w:szCs w:val="16"/>
              </w:rPr>
              <w:t>(4.828)</w:t>
            </w:r>
          </w:p>
        </w:tc>
      </w:tr>
      <w:tr w:rsidR="00576123" w:rsidRPr="00A33766" w14:paraId="72931D0A"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70AF6F4C"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Tecban</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154D9792" w14:textId="448AA4B0"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13,01%</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5CBC7150" w14:textId="15DCBECB"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11,61%</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4453E985"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13,01%</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62327CE3" w14:textId="412F7605" w:rsidR="00576123" w:rsidRPr="0082298E" w:rsidRDefault="00891566" w:rsidP="00711413">
            <w:pPr>
              <w:jc w:val="center"/>
              <w:rPr>
                <w:rFonts w:ascii="CAIXA Std Book" w:hAnsi="CAIXA Std Book" w:cs="Calibri"/>
                <w:color w:val="005CA9"/>
                <w:sz w:val="16"/>
                <w:szCs w:val="16"/>
              </w:rPr>
            </w:pPr>
            <w:r w:rsidRPr="0082298E">
              <w:rPr>
                <w:rFonts w:ascii="CAIXA Std Book" w:hAnsi="CAIXA Std Book" w:cs="Arial"/>
                <w:color w:val="005CA9"/>
                <w:sz w:val="16"/>
                <w:szCs w:val="16"/>
              </w:rPr>
              <w:t>13,01%</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45EE0E0B" w14:textId="3BDEEA16"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985.779</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589DA651" w14:textId="67229BAC"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976.260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330267F7" w14:textId="51E145BF"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182.047</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7E5B2FD7" w14:textId="668D913B"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2.406</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0B474564" w14:textId="60097C78"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(1.167)</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483DD196" w14:textId="66F8E0FB"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(396)</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069E538B" w14:textId="34D704AF"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182.890</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02F7AC21" w14:textId="73C5015A"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7.153</w:t>
            </w:r>
          </w:p>
        </w:tc>
      </w:tr>
      <w:tr w:rsidR="00576123" w:rsidRPr="00A33766" w14:paraId="2BECFD81"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4E1A64FC"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Quod</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65A0FC8C" w14:textId="509036D4"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15,29%</w:t>
            </w:r>
          </w:p>
        </w:tc>
        <w:tc>
          <w:tcPr>
            <w:tcW w:w="344" w:type="pct"/>
            <w:tcBorders>
              <w:top w:val="nil"/>
              <w:left w:val="nil"/>
              <w:bottom w:val="nil"/>
              <w:right w:val="nil"/>
            </w:tcBorders>
            <w:shd w:val="clear" w:color="auto" w:fill="auto"/>
            <w:tcMar>
              <w:top w:w="0" w:type="dxa"/>
              <w:left w:w="15" w:type="dxa"/>
              <w:bottom w:w="0" w:type="dxa"/>
              <w:right w:w="15" w:type="dxa"/>
            </w:tcMar>
            <w:vAlign w:val="center"/>
          </w:tcPr>
          <w:p w14:paraId="6C05815D" w14:textId="47944EFD"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16,00%</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2A40CC51"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15,29%</w:t>
            </w:r>
          </w:p>
        </w:tc>
        <w:tc>
          <w:tcPr>
            <w:tcW w:w="353" w:type="pct"/>
            <w:tcBorders>
              <w:top w:val="nil"/>
              <w:left w:val="nil"/>
              <w:bottom w:val="nil"/>
              <w:right w:val="nil"/>
            </w:tcBorders>
            <w:shd w:val="clear" w:color="auto" w:fill="auto"/>
            <w:tcMar>
              <w:top w:w="0" w:type="dxa"/>
              <w:left w:w="15" w:type="dxa"/>
              <w:bottom w:w="0" w:type="dxa"/>
              <w:right w:w="15" w:type="dxa"/>
            </w:tcMar>
            <w:vAlign w:val="center"/>
            <w:hideMark/>
          </w:tcPr>
          <w:p w14:paraId="12EAF8E6"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16,00%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5B5B4F3E" w14:textId="010ABFA6"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353.837</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58FBE67F" w14:textId="5FCC9134"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362.536</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52C68255" w14:textId="3995BA95"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55.432</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2482DBCF" w14:textId="37DB79A1"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(1.330)</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4B376160" w14:textId="1BA50539"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269F7D2A" w14:textId="5CB19636" w:rsidR="00576123" w:rsidRPr="0082298E" w:rsidRDefault="00D87890" w:rsidP="00D87890">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4F916D34" w14:textId="5CBD9561"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54.102</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19173F88" w14:textId="67D1D387"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(1.287)</w:t>
            </w:r>
          </w:p>
        </w:tc>
      </w:tr>
      <w:tr w:rsidR="00576123" w:rsidRPr="00A33766" w14:paraId="25B8F391" w14:textId="77777777" w:rsidTr="00711413">
        <w:trPr>
          <w:trHeight w:val="283"/>
        </w:trPr>
        <w:tc>
          <w:tcPr>
            <w:tcW w:w="734" w:type="pct"/>
            <w:tcBorders>
              <w:top w:val="nil"/>
              <w:left w:val="nil"/>
              <w:bottom w:val="nil"/>
              <w:right w:val="nil"/>
            </w:tcBorders>
            <w:shd w:val="clear" w:color="auto" w:fill="auto"/>
            <w:tcMar>
              <w:top w:w="0" w:type="dxa"/>
              <w:left w:w="15" w:type="dxa"/>
              <w:bottom w:w="0" w:type="dxa"/>
              <w:right w:w="15" w:type="dxa"/>
            </w:tcMar>
            <w:vAlign w:val="center"/>
            <w:hideMark/>
          </w:tcPr>
          <w:p w14:paraId="3DC60113"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Galgo Sistemas de Informações</w:t>
            </w:r>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70240D1E" w14:textId="1FA70FF0"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6,67%</w:t>
            </w:r>
          </w:p>
        </w:tc>
        <w:tc>
          <w:tcPr>
            <w:tcW w:w="344" w:type="pct"/>
            <w:tcBorders>
              <w:top w:val="nil"/>
              <w:left w:val="nil"/>
              <w:bottom w:val="nil"/>
              <w:right w:val="nil"/>
            </w:tcBorders>
            <w:shd w:val="clear" w:color="auto" w:fill="auto"/>
            <w:noWrap/>
            <w:tcMar>
              <w:top w:w="0" w:type="dxa"/>
              <w:left w:w="15" w:type="dxa"/>
              <w:bottom w:w="0" w:type="dxa"/>
              <w:right w:w="15" w:type="dxa"/>
            </w:tcMar>
            <w:vAlign w:val="center"/>
          </w:tcPr>
          <w:p w14:paraId="32182239" w14:textId="671B1D5D"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6,67%</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62E5B4F4"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6,67%</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hideMark/>
          </w:tcPr>
          <w:p w14:paraId="215BE316"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6,67%</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5D2392CA" w14:textId="59BA5DCB"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34.</w:t>
            </w:r>
            <w:r w:rsidR="00D26E64">
              <w:rPr>
                <w:rFonts w:ascii="CAIXA Std Book" w:hAnsi="CAIXA Std Book" w:cs="Arial"/>
                <w:color w:val="005CA9"/>
                <w:sz w:val="16"/>
                <w:szCs w:val="16"/>
              </w:rPr>
              <w:t>215</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38C33A62" w14:textId="6F8E85E5"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34.550</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34A383C4" w14:textId="365A60D6"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2.303</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0002B898" w14:textId="78D77631"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86</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03705027" w14:textId="7CDE2C1C"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(108)</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06BF8CBD" w14:textId="619EF709"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7D86E22E" w14:textId="58BF59C5"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2.281</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3A9FF64E" w14:textId="3AB6077F"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132</w:t>
            </w:r>
          </w:p>
        </w:tc>
      </w:tr>
      <w:tr w:rsidR="00576123" w:rsidRPr="00A33766" w14:paraId="0D13F383" w14:textId="77777777" w:rsidTr="00711413">
        <w:trPr>
          <w:trHeight w:val="283"/>
        </w:trPr>
        <w:tc>
          <w:tcPr>
            <w:tcW w:w="734" w:type="pct"/>
            <w:tcBorders>
              <w:top w:val="nil"/>
              <w:left w:val="nil"/>
              <w:bottom w:val="nil"/>
              <w:right w:val="nil"/>
            </w:tcBorders>
            <w:shd w:val="clear" w:color="auto" w:fill="auto"/>
            <w:noWrap/>
            <w:tcMar>
              <w:top w:w="0" w:type="dxa"/>
              <w:left w:w="15" w:type="dxa"/>
              <w:bottom w:w="0" w:type="dxa"/>
              <w:right w:w="15" w:type="dxa"/>
            </w:tcMar>
            <w:vAlign w:val="center"/>
            <w:hideMark/>
          </w:tcPr>
          <w:p w14:paraId="4364C45D" w14:textId="77777777" w:rsidR="00576123" w:rsidRPr="0082298E" w:rsidRDefault="00576123" w:rsidP="00711413">
            <w:pPr>
              <w:rPr>
                <w:rFonts w:ascii="CAIXA Std Book" w:hAnsi="CAIXA Std Book" w:cs="Calibri"/>
                <w:color w:val="005CA9"/>
                <w:sz w:val="16"/>
                <w:szCs w:val="16"/>
              </w:rPr>
            </w:pPr>
            <w:proofErr w:type="spellStart"/>
            <w:r w:rsidRPr="0082298E">
              <w:rPr>
                <w:rFonts w:ascii="CAIXA Std Book" w:hAnsi="CAIXA Std Book" w:cs="Calibri"/>
                <w:color w:val="005CA9"/>
                <w:sz w:val="16"/>
                <w:szCs w:val="16"/>
              </w:rPr>
              <w:t>Nuclea</w:t>
            </w:r>
            <w:proofErr w:type="spellEnd"/>
          </w:p>
        </w:tc>
        <w:tc>
          <w:tcPr>
            <w:tcW w:w="246" w:type="pct"/>
            <w:tcBorders>
              <w:top w:val="nil"/>
              <w:left w:val="nil"/>
              <w:bottom w:val="nil"/>
              <w:right w:val="nil"/>
            </w:tcBorders>
            <w:shd w:val="clear" w:color="auto" w:fill="auto"/>
            <w:noWrap/>
            <w:tcMar>
              <w:top w:w="0" w:type="dxa"/>
              <w:left w:w="15" w:type="dxa"/>
              <w:bottom w:w="0" w:type="dxa"/>
              <w:right w:w="15" w:type="dxa"/>
            </w:tcMar>
            <w:vAlign w:val="center"/>
          </w:tcPr>
          <w:p w14:paraId="0BCDF097" w14:textId="164254F3"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8,18%</w:t>
            </w:r>
          </w:p>
        </w:tc>
        <w:tc>
          <w:tcPr>
            <w:tcW w:w="344" w:type="pct"/>
            <w:tcBorders>
              <w:top w:val="nil"/>
              <w:left w:val="nil"/>
              <w:bottom w:val="nil"/>
              <w:right w:val="nil"/>
            </w:tcBorders>
            <w:shd w:val="clear" w:color="auto" w:fill="auto"/>
            <w:noWrap/>
            <w:tcMar>
              <w:top w:w="0" w:type="dxa"/>
              <w:left w:w="15" w:type="dxa"/>
              <w:bottom w:w="0" w:type="dxa"/>
              <w:right w:w="15" w:type="dxa"/>
            </w:tcMar>
            <w:vAlign w:val="center"/>
          </w:tcPr>
          <w:p w14:paraId="76938B4C" w14:textId="09C1B1CB" w:rsidR="00576123" w:rsidRPr="0082298E" w:rsidRDefault="006D2342" w:rsidP="00711413">
            <w:pPr>
              <w:jc w:val="center"/>
              <w:rPr>
                <w:rFonts w:ascii="CAIXA Std Book" w:hAnsi="CAIXA Std Book" w:cs="Calibri"/>
                <w:color w:val="005CA9"/>
                <w:sz w:val="16"/>
                <w:szCs w:val="16"/>
              </w:rPr>
            </w:pPr>
            <w:r>
              <w:rPr>
                <w:rFonts w:ascii="CAIXA Std Book" w:hAnsi="CAIXA Std Book" w:cs="Arial"/>
                <w:color w:val="005CA9"/>
                <w:sz w:val="16"/>
                <w:szCs w:val="16"/>
              </w:rPr>
              <w:t>8,18%</w:t>
            </w:r>
          </w:p>
        </w:tc>
        <w:tc>
          <w:tcPr>
            <w:tcW w:w="282" w:type="pct"/>
            <w:tcBorders>
              <w:top w:val="nil"/>
              <w:left w:val="nil"/>
              <w:bottom w:val="nil"/>
              <w:right w:val="nil"/>
            </w:tcBorders>
            <w:shd w:val="clear" w:color="auto" w:fill="auto"/>
            <w:noWrap/>
            <w:tcMar>
              <w:top w:w="0" w:type="dxa"/>
              <w:left w:w="15" w:type="dxa"/>
              <w:bottom w:w="0" w:type="dxa"/>
              <w:right w:w="15" w:type="dxa"/>
            </w:tcMar>
            <w:vAlign w:val="center"/>
            <w:hideMark/>
          </w:tcPr>
          <w:p w14:paraId="1553D687" w14:textId="62B9A5D2"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8,</w:t>
            </w:r>
            <w:r w:rsidR="00891566" w:rsidRPr="0082298E">
              <w:rPr>
                <w:rFonts w:ascii="CAIXA Std Book" w:hAnsi="CAIXA Std Book" w:cs="Arial"/>
                <w:color w:val="005CA9"/>
                <w:sz w:val="16"/>
                <w:szCs w:val="16"/>
              </w:rPr>
              <w:t>18</w:t>
            </w:r>
            <w:r w:rsidRPr="0082298E">
              <w:rPr>
                <w:rFonts w:ascii="CAIXA Std Book" w:hAnsi="CAIXA Std Book" w:cs="Calibri"/>
                <w:color w:val="005CA9"/>
                <w:sz w:val="16"/>
                <w:szCs w:val="16"/>
              </w:rPr>
              <w:t>%</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hideMark/>
          </w:tcPr>
          <w:p w14:paraId="4C59AC85" w14:textId="3DDC644A"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8,</w:t>
            </w:r>
            <w:r w:rsidR="00891566" w:rsidRPr="0082298E">
              <w:rPr>
                <w:rFonts w:ascii="CAIXA Std Book" w:hAnsi="CAIXA Std Book" w:cs="Arial"/>
                <w:color w:val="005CA9"/>
                <w:sz w:val="16"/>
                <w:szCs w:val="16"/>
              </w:rPr>
              <w:t>18</w:t>
            </w:r>
            <w:r w:rsidRPr="0082298E">
              <w:rPr>
                <w:rFonts w:ascii="CAIXA Std Book" w:hAnsi="CAIXA Std Book" w:cs="Calibri"/>
                <w:color w:val="005CA9"/>
                <w:sz w:val="16"/>
                <w:szCs w:val="16"/>
              </w:rPr>
              <w:t>%</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tcPr>
          <w:p w14:paraId="273C3BFD" w14:textId="02BECA82" w:rsidR="00576123" w:rsidRPr="0082298E" w:rsidRDefault="00034597" w:rsidP="00711413">
            <w:pPr>
              <w:jc w:val="right"/>
              <w:rPr>
                <w:rFonts w:ascii="CAIXA Std Book" w:hAnsi="CAIXA Std Book" w:cs="Calibri"/>
                <w:color w:val="005CA9"/>
                <w:sz w:val="16"/>
                <w:szCs w:val="16"/>
              </w:rPr>
            </w:pPr>
            <w:r>
              <w:rPr>
                <w:rFonts w:ascii="CAIXA Std Book" w:hAnsi="CAIXA Std Book" w:cs="Arial"/>
                <w:color w:val="005CA9"/>
                <w:sz w:val="16"/>
                <w:szCs w:val="16"/>
              </w:rPr>
              <w:t>1.875.757</w:t>
            </w:r>
          </w:p>
        </w:tc>
        <w:tc>
          <w:tcPr>
            <w:tcW w:w="383" w:type="pct"/>
            <w:tcBorders>
              <w:top w:val="nil"/>
              <w:left w:val="nil"/>
              <w:bottom w:val="nil"/>
              <w:right w:val="nil"/>
            </w:tcBorders>
            <w:shd w:val="clear" w:color="auto" w:fill="auto"/>
            <w:noWrap/>
            <w:tcMar>
              <w:top w:w="0" w:type="dxa"/>
              <w:left w:w="15" w:type="dxa"/>
              <w:bottom w:w="0" w:type="dxa"/>
              <w:right w:w="15" w:type="dxa"/>
            </w:tcMar>
            <w:vAlign w:val="center"/>
            <w:hideMark/>
          </w:tcPr>
          <w:p w14:paraId="4CD6324D" w14:textId="0BC5CA4E"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1.783.796</w:t>
            </w:r>
          </w:p>
        </w:tc>
        <w:tc>
          <w:tcPr>
            <w:tcW w:w="405" w:type="pct"/>
            <w:tcBorders>
              <w:top w:val="nil"/>
              <w:left w:val="nil"/>
              <w:bottom w:val="nil"/>
              <w:right w:val="nil"/>
            </w:tcBorders>
            <w:shd w:val="clear" w:color="auto" w:fill="auto"/>
            <w:noWrap/>
            <w:tcMar>
              <w:top w:w="0" w:type="dxa"/>
              <w:left w:w="15" w:type="dxa"/>
              <w:bottom w:w="0" w:type="dxa"/>
              <w:right w:w="15" w:type="dxa"/>
            </w:tcMar>
            <w:vAlign w:val="center"/>
            <w:hideMark/>
          </w:tcPr>
          <w:p w14:paraId="50548232" w14:textId="297CB834" w:rsidR="00576123" w:rsidRPr="0082298E" w:rsidRDefault="00891566"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145.833</w:t>
            </w:r>
          </w:p>
        </w:tc>
        <w:tc>
          <w:tcPr>
            <w:tcW w:w="383" w:type="pct"/>
            <w:tcBorders>
              <w:top w:val="nil"/>
              <w:left w:val="nil"/>
              <w:bottom w:val="nil"/>
              <w:right w:val="nil"/>
            </w:tcBorders>
            <w:shd w:val="clear" w:color="auto" w:fill="auto"/>
            <w:noWrap/>
            <w:tcMar>
              <w:top w:w="15" w:type="dxa"/>
              <w:left w:w="15" w:type="dxa"/>
              <w:bottom w:w="0" w:type="dxa"/>
              <w:right w:w="15" w:type="dxa"/>
            </w:tcMar>
            <w:vAlign w:val="center"/>
          </w:tcPr>
          <w:p w14:paraId="5513AA47" w14:textId="1F8C746F"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6.891</w:t>
            </w:r>
          </w:p>
        </w:tc>
        <w:tc>
          <w:tcPr>
            <w:tcW w:w="353" w:type="pct"/>
            <w:tcBorders>
              <w:top w:val="nil"/>
              <w:left w:val="nil"/>
              <w:bottom w:val="nil"/>
              <w:right w:val="nil"/>
            </w:tcBorders>
            <w:shd w:val="clear" w:color="auto" w:fill="auto"/>
            <w:noWrap/>
            <w:tcMar>
              <w:top w:w="0" w:type="dxa"/>
              <w:left w:w="15" w:type="dxa"/>
              <w:bottom w:w="0" w:type="dxa"/>
              <w:right w:w="15" w:type="dxa"/>
            </w:tcMar>
            <w:vAlign w:val="center"/>
          </w:tcPr>
          <w:p w14:paraId="6E785822" w14:textId="5758C5B9"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48</w:t>
            </w:r>
          </w:p>
        </w:tc>
        <w:tc>
          <w:tcPr>
            <w:tcW w:w="354" w:type="pct"/>
            <w:tcBorders>
              <w:top w:val="nil"/>
              <w:left w:val="nil"/>
              <w:bottom w:val="nil"/>
              <w:right w:val="nil"/>
            </w:tcBorders>
            <w:shd w:val="clear" w:color="auto" w:fill="auto"/>
            <w:noWrap/>
            <w:tcMar>
              <w:top w:w="15" w:type="dxa"/>
              <w:left w:w="15" w:type="dxa"/>
              <w:bottom w:w="0" w:type="dxa"/>
              <w:right w:w="15" w:type="dxa"/>
            </w:tcMar>
            <w:vAlign w:val="center"/>
          </w:tcPr>
          <w:p w14:paraId="19D9F13D" w14:textId="1970DEA3"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579</w:t>
            </w:r>
          </w:p>
        </w:tc>
        <w:tc>
          <w:tcPr>
            <w:tcW w:w="405" w:type="pct"/>
            <w:tcBorders>
              <w:top w:val="nil"/>
              <w:left w:val="nil"/>
              <w:bottom w:val="nil"/>
              <w:right w:val="nil"/>
            </w:tcBorders>
            <w:shd w:val="clear" w:color="auto" w:fill="auto"/>
            <w:noWrap/>
            <w:tcMar>
              <w:top w:w="15" w:type="dxa"/>
              <w:left w:w="15" w:type="dxa"/>
              <w:bottom w:w="0" w:type="dxa"/>
              <w:right w:w="15" w:type="dxa"/>
            </w:tcMar>
            <w:vAlign w:val="center"/>
          </w:tcPr>
          <w:p w14:paraId="59085F64" w14:textId="69304E3F"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153.351</w:t>
            </w:r>
          </w:p>
        </w:tc>
        <w:tc>
          <w:tcPr>
            <w:tcW w:w="353" w:type="pct"/>
            <w:tcBorders>
              <w:top w:val="nil"/>
              <w:left w:val="nil"/>
              <w:bottom w:val="nil"/>
              <w:right w:val="nil"/>
            </w:tcBorders>
            <w:shd w:val="clear" w:color="auto" w:fill="auto"/>
            <w:noWrap/>
            <w:tcMar>
              <w:top w:w="15" w:type="dxa"/>
              <w:left w:w="15" w:type="dxa"/>
              <w:bottom w:w="0" w:type="dxa"/>
              <w:right w:w="15" w:type="dxa"/>
            </w:tcMar>
            <w:vAlign w:val="center"/>
          </w:tcPr>
          <w:p w14:paraId="31405BF1" w14:textId="64499B40" w:rsidR="00576123" w:rsidRPr="0082298E" w:rsidRDefault="0082298E" w:rsidP="00711413">
            <w:pPr>
              <w:jc w:val="right"/>
              <w:rPr>
                <w:rFonts w:ascii="CAIXA Std Book" w:hAnsi="CAIXA Std Book" w:cs="Calibri"/>
                <w:color w:val="005CA9"/>
                <w:sz w:val="16"/>
                <w:szCs w:val="16"/>
              </w:rPr>
            </w:pPr>
            <w:r w:rsidRPr="0082298E">
              <w:rPr>
                <w:rFonts w:ascii="CAIXA Std Book" w:hAnsi="CAIXA Std Book" w:cs="Arial"/>
                <w:color w:val="005CA9"/>
                <w:sz w:val="16"/>
                <w:szCs w:val="16"/>
              </w:rPr>
              <w:t>10.841</w:t>
            </w:r>
          </w:p>
        </w:tc>
      </w:tr>
      <w:tr w:rsidR="00576123" w:rsidRPr="00A33766" w14:paraId="7DF4E4AA" w14:textId="77777777" w:rsidTr="00711413">
        <w:trPr>
          <w:trHeight w:val="283"/>
        </w:trPr>
        <w:tc>
          <w:tcPr>
            <w:tcW w:w="734" w:type="pct"/>
            <w:tcBorders>
              <w:top w:val="nil"/>
              <w:left w:val="nil"/>
              <w:bottom w:val="single" w:sz="4" w:space="0" w:color="ED7D31"/>
              <w:right w:val="nil"/>
            </w:tcBorders>
            <w:shd w:val="clear" w:color="auto" w:fill="auto"/>
            <w:tcMar>
              <w:top w:w="15" w:type="dxa"/>
              <w:left w:w="15" w:type="dxa"/>
              <w:bottom w:w="0" w:type="dxa"/>
              <w:right w:w="15" w:type="dxa"/>
            </w:tcMar>
            <w:vAlign w:val="center"/>
            <w:hideMark/>
          </w:tcPr>
          <w:p w14:paraId="51719C97" w14:textId="77777777" w:rsidR="00576123" w:rsidRPr="0082298E" w:rsidRDefault="00576123" w:rsidP="00711413">
            <w:pPr>
              <w:rPr>
                <w:rFonts w:ascii="CAIXA Std Book" w:hAnsi="CAIXA Std Book" w:cs="Calibri"/>
                <w:color w:val="005CA9"/>
                <w:sz w:val="16"/>
                <w:szCs w:val="16"/>
              </w:rPr>
            </w:pPr>
            <w:r w:rsidRPr="0082298E">
              <w:rPr>
                <w:rFonts w:ascii="CAIXA Std Book" w:hAnsi="CAIXA Std Book" w:cs="Calibri"/>
                <w:color w:val="005CA9"/>
                <w:sz w:val="16"/>
                <w:szCs w:val="16"/>
              </w:rPr>
              <w:t xml:space="preserve">Outros investimentos (3) </w:t>
            </w:r>
          </w:p>
        </w:tc>
        <w:tc>
          <w:tcPr>
            <w:tcW w:w="246"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0E9128F2" w14:textId="51F01AFD" w:rsidR="00576123" w:rsidRPr="0082298E" w:rsidRDefault="00891566"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344"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71DC8874" w14:textId="034830CF" w:rsidR="00576123" w:rsidRPr="0082298E" w:rsidRDefault="00891566"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282" w:type="pct"/>
            <w:tcBorders>
              <w:top w:val="nil"/>
              <w:left w:val="nil"/>
              <w:bottom w:val="single" w:sz="4" w:space="0" w:color="ED7D31"/>
              <w:right w:val="nil"/>
            </w:tcBorders>
            <w:shd w:val="clear" w:color="auto" w:fill="auto"/>
            <w:noWrap/>
            <w:tcMar>
              <w:top w:w="15" w:type="dxa"/>
              <w:left w:w="15" w:type="dxa"/>
              <w:bottom w:w="0" w:type="dxa"/>
              <w:right w:w="15" w:type="dxa"/>
            </w:tcMar>
            <w:vAlign w:val="center"/>
            <w:hideMark/>
          </w:tcPr>
          <w:p w14:paraId="346BC15A"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353" w:type="pct"/>
            <w:tcBorders>
              <w:top w:val="nil"/>
              <w:left w:val="nil"/>
              <w:bottom w:val="single" w:sz="4" w:space="0" w:color="ED7D31"/>
              <w:right w:val="nil"/>
            </w:tcBorders>
            <w:shd w:val="clear" w:color="auto" w:fill="auto"/>
            <w:noWrap/>
            <w:tcMar>
              <w:top w:w="15" w:type="dxa"/>
              <w:left w:w="15" w:type="dxa"/>
              <w:bottom w:w="0" w:type="dxa"/>
              <w:right w:w="15" w:type="dxa"/>
            </w:tcMar>
            <w:vAlign w:val="center"/>
            <w:hideMark/>
          </w:tcPr>
          <w:p w14:paraId="24E5733D"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405"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1182A0F6"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383" w:type="pct"/>
            <w:tcBorders>
              <w:top w:val="nil"/>
              <w:left w:val="nil"/>
              <w:bottom w:val="single" w:sz="4" w:space="0" w:color="ED7D31"/>
              <w:right w:val="nil"/>
            </w:tcBorders>
            <w:shd w:val="clear" w:color="auto" w:fill="auto"/>
            <w:noWrap/>
            <w:tcMar>
              <w:top w:w="15" w:type="dxa"/>
              <w:left w:w="15" w:type="dxa"/>
              <w:bottom w:w="0" w:type="dxa"/>
              <w:right w:w="15" w:type="dxa"/>
            </w:tcMar>
            <w:vAlign w:val="center"/>
            <w:hideMark/>
          </w:tcPr>
          <w:p w14:paraId="5B65C0E0" w14:textId="77777777" w:rsidR="00576123" w:rsidRPr="0082298E" w:rsidRDefault="00576123" w:rsidP="00711413">
            <w:pPr>
              <w:jc w:val="center"/>
              <w:rPr>
                <w:rFonts w:ascii="CAIXA Std Book" w:hAnsi="CAIXA Std Book" w:cs="Calibri"/>
                <w:color w:val="005CA9"/>
                <w:sz w:val="16"/>
                <w:szCs w:val="16"/>
              </w:rPr>
            </w:pPr>
            <w:r w:rsidRPr="0082298E">
              <w:rPr>
                <w:rFonts w:ascii="CAIXA Std Book" w:hAnsi="CAIXA Std Book" w:cs="Calibri"/>
                <w:color w:val="005CA9"/>
                <w:sz w:val="16"/>
                <w:szCs w:val="16"/>
              </w:rPr>
              <w:t>-</w:t>
            </w:r>
          </w:p>
        </w:tc>
        <w:tc>
          <w:tcPr>
            <w:tcW w:w="405" w:type="pct"/>
            <w:tcBorders>
              <w:top w:val="nil"/>
              <w:left w:val="nil"/>
              <w:bottom w:val="single" w:sz="4" w:space="0" w:color="ED7D31"/>
              <w:right w:val="nil"/>
            </w:tcBorders>
            <w:shd w:val="clear" w:color="auto" w:fill="auto"/>
            <w:noWrap/>
            <w:tcMar>
              <w:top w:w="15" w:type="dxa"/>
              <w:left w:w="15" w:type="dxa"/>
              <w:bottom w:w="0" w:type="dxa"/>
              <w:right w:w="15" w:type="dxa"/>
            </w:tcMar>
            <w:vAlign w:val="center"/>
            <w:hideMark/>
          </w:tcPr>
          <w:p w14:paraId="69A54476" w14:textId="77777777" w:rsidR="00576123" w:rsidRPr="0082298E" w:rsidRDefault="00576123" w:rsidP="00711413">
            <w:pPr>
              <w:jc w:val="right"/>
              <w:rPr>
                <w:rFonts w:ascii="CAIXA Std Book" w:hAnsi="CAIXA Std Book" w:cs="Calibri"/>
                <w:color w:val="005CA9"/>
                <w:sz w:val="16"/>
                <w:szCs w:val="16"/>
              </w:rPr>
            </w:pPr>
            <w:r w:rsidRPr="0082298E">
              <w:rPr>
                <w:rFonts w:ascii="CAIXA Std Book" w:hAnsi="CAIXA Std Book" w:cs="Calibri"/>
                <w:color w:val="005CA9"/>
                <w:sz w:val="16"/>
                <w:szCs w:val="16"/>
              </w:rPr>
              <w:t>1.752</w:t>
            </w:r>
          </w:p>
        </w:tc>
        <w:tc>
          <w:tcPr>
            <w:tcW w:w="383"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04406313" w14:textId="38B75815"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3"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35257B36" w14:textId="58E028DB"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354" w:type="pct"/>
            <w:tcBorders>
              <w:top w:val="nil"/>
              <w:left w:val="nil"/>
              <w:bottom w:val="single" w:sz="4" w:space="0" w:color="ED7D31"/>
              <w:right w:val="nil"/>
            </w:tcBorders>
            <w:shd w:val="clear" w:color="auto" w:fill="auto"/>
            <w:noWrap/>
            <w:tcMar>
              <w:top w:w="15" w:type="dxa"/>
              <w:left w:w="15" w:type="dxa"/>
              <w:bottom w:w="0" w:type="dxa"/>
              <w:right w:w="15" w:type="dxa"/>
            </w:tcMar>
            <w:vAlign w:val="center"/>
          </w:tcPr>
          <w:p w14:paraId="79F4A001" w14:textId="5FF89D96" w:rsidR="00576123" w:rsidRPr="0082298E" w:rsidRDefault="00D87890" w:rsidP="00711413">
            <w:pPr>
              <w:jc w:val="center"/>
              <w:rPr>
                <w:rFonts w:ascii="CAIXA Std Book" w:hAnsi="CAIXA Std Book" w:cs="Calibri"/>
                <w:color w:val="005CA9"/>
                <w:sz w:val="16"/>
                <w:szCs w:val="16"/>
              </w:rPr>
            </w:pPr>
            <w:r>
              <w:rPr>
                <w:rFonts w:ascii="CAIXA Std Book" w:hAnsi="CAIXA Std Book" w:cs="Arial"/>
                <w:color w:val="005CA9"/>
                <w:sz w:val="16"/>
                <w:szCs w:val="16"/>
              </w:rPr>
              <w:t>-</w:t>
            </w:r>
          </w:p>
        </w:tc>
        <w:tc>
          <w:tcPr>
            <w:tcW w:w="405" w:type="pct"/>
            <w:tcBorders>
              <w:top w:val="nil"/>
              <w:left w:val="nil"/>
              <w:bottom w:val="single" w:sz="4" w:space="0" w:color="ED7D31"/>
              <w:right w:val="nil"/>
            </w:tcBorders>
            <w:shd w:val="clear" w:color="auto" w:fill="auto"/>
            <w:tcMar>
              <w:top w:w="15" w:type="dxa"/>
              <w:left w:w="15" w:type="dxa"/>
              <w:bottom w:w="0" w:type="dxa"/>
              <w:right w:w="15" w:type="dxa"/>
            </w:tcMar>
            <w:vAlign w:val="center"/>
          </w:tcPr>
          <w:p w14:paraId="38AB3AF4" w14:textId="41ADF315" w:rsidR="00576123" w:rsidRPr="0082298E" w:rsidRDefault="00D87890" w:rsidP="00711413">
            <w:pPr>
              <w:jc w:val="right"/>
              <w:rPr>
                <w:rFonts w:ascii="CAIXA Std Book" w:hAnsi="CAIXA Std Book" w:cs="Calibri"/>
                <w:color w:val="005CA9"/>
                <w:sz w:val="16"/>
                <w:szCs w:val="16"/>
              </w:rPr>
            </w:pPr>
            <w:r>
              <w:rPr>
                <w:rFonts w:ascii="CAIXA Std Book" w:hAnsi="CAIXA Std Book" w:cs="Arial"/>
                <w:color w:val="005CA9"/>
                <w:sz w:val="16"/>
                <w:szCs w:val="16"/>
              </w:rPr>
              <w:t>1.752</w:t>
            </w:r>
          </w:p>
        </w:tc>
        <w:tc>
          <w:tcPr>
            <w:tcW w:w="353" w:type="pct"/>
            <w:tcBorders>
              <w:top w:val="nil"/>
              <w:left w:val="nil"/>
              <w:bottom w:val="single" w:sz="4" w:space="0" w:color="ED7D31"/>
              <w:right w:val="nil"/>
            </w:tcBorders>
            <w:shd w:val="clear" w:color="auto" w:fill="auto"/>
            <w:tcMar>
              <w:top w:w="15" w:type="dxa"/>
              <w:left w:w="15" w:type="dxa"/>
              <w:bottom w:w="0" w:type="dxa"/>
              <w:right w:w="15" w:type="dxa"/>
            </w:tcMar>
            <w:vAlign w:val="center"/>
          </w:tcPr>
          <w:p w14:paraId="1C016E65" w14:textId="0661488B" w:rsidR="00576123" w:rsidRPr="0082298E" w:rsidRDefault="0082298E" w:rsidP="0082298E">
            <w:pPr>
              <w:jc w:val="center"/>
              <w:rPr>
                <w:rFonts w:ascii="CAIXA Std Book" w:hAnsi="CAIXA Std Book" w:cs="Calibri"/>
                <w:color w:val="005CA9"/>
                <w:sz w:val="16"/>
                <w:szCs w:val="16"/>
              </w:rPr>
            </w:pPr>
            <w:r w:rsidRPr="0082298E">
              <w:rPr>
                <w:rFonts w:ascii="CAIXA Std Book" w:hAnsi="CAIXA Std Book" w:cs="Arial"/>
                <w:color w:val="005CA9"/>
                <w:sz w:val="16"/>
                <w:szCs w:val="16"/>
              </w:rPr>
              <w:t>-</w:t>
            </w:r>
          </w:p>
        </w:tc>
      </w:tr>
      <w:tr w:rsidR="00576123" w:rsidRPr="00A33766" w14:paraId="358C2EFC" w14:textId="77777777" w:rsidTr="00711413">
        <w:trPr>
          <w:trHeight w:val="283"/>
        </w:trPr>
        <w:tc>
          <w:tcPr>
            <w:tcW w:w="734" w:type="pc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hideMark/>
          </w:tcPr>
          <w:p w14:paraId="36F55501" w14:textId="77777777" w:rsidR="00576123" w:rsidRPr="0082298E" w:rsidRDefault="00576123" w:rsidP="00711413">
            <w:pPr>
              <w:rPr>
                <w:rFonts w:ascii="CAIXA Std Book" w:hAnsi="CAIXA Std Book" w:cs="Calibri"/>
                <w:b/>
                <w:color w:val="005CA9"/>
                <w:sz w:val="16"/>
                <w:szCs w:val="16"/>
              </w:rPr>
            </w:pPr>
            <w:r w:rsidRPr="0082298E">
              <w:rPr>
                <w:rFonts w:ascii="CAIXA Std Book" w:hAnsi="CAIXA Std Book" w:cs="Calibri"/>
                <w:b/>
                <w:color w:val="005CA9"/>
                <w:sz w:val="16"/>
                <w:szCs w:val="16"/>
              </w:rPr>
              <w:t>Total</w:t>
            </w:r>
          </w:p>
        </w:tc>
        <w:tc>
          <w:tcPr>
            <w:tcW w:w="246"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7CCADBF4" w14:textId="77777777" w:rsidR="00576123" w:rsidRPr="0082298E" w:rsidRDefault="00576123" w:rsidP="00711413">
            <w:pPr>
              <w:jc w:val="center"/>
              <w:rPr>
                <w:rFonts w:ascii="CAIXA Std Book" w:hAnsi="CAIXA Std Book" w:cs="Calibri"/>
                <w:b/>
                <w:color w:val="005CA9"/>
                <w:sz w:val="16"/>
                <w:szCs w:val="16"/>
              </w:rPr>
            </w:pPr>
          </w:p>
        </w:tc>
        <w:tc>
          <w:tcPr>
            <w:tcW w:w="344"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0D65229E" w14:textId="77777777" w:rsidR="00576123" w:rsidRPr="0082298E" w:rsidRDefault="00576123" w:rsidP="00711413">
            <w:pPr>
              <w:jc w:val="center"/>
              <w:rPr>
                <w:rFonts w:ascii="CAIXA Std Book" w:hAnsi="CAIXA Std Book" w:cs="Calibri"/>
                <w:b/>
                <w:color w:val="005CA9"/>
                <w:sz w:val="16"/>
                <w:szCs w:val="16"/>
              </w:rPr>
            </w:pPr>
          </w:p>
        </w:tc>
        <w:tc>
          <w:tcPr>
            <w:tcW w:w="282"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7BEDCE5A" w14:textId="77777777" w:rsidR="00576123" w:rsidRPr="0082298E" w:rsidRDefault="00576123" w:rsidP="00711413">
            <w:pPr>
              <w:jc w:val="center"/>
              <w:rPr>
                <w:rFonts w:ascii="CAIXA Std Book" w:hAnsi="CAIXA Std Book" w:cs="Calibri"/>
                <w:b/>
                <w:color w:val="005CA9"/>
                <w:sz w:val="16"/>
                <w:szCs w:val="16"/>
              </w:rPr>
            </w:pPr>
          </w:p>
        </w:tc>
        <w:tc>
          <w:tcPr>
            <w:tcW w:w="353"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6D12536B" w14:textId="77777777" w:rsidR="00576123" w:rsidRPr="0082298E" w:rsidRDefault="00576123" w:rsidP="00711413">
            <w:pPr>
              <w:jc w:val="center"/>
              <w:rPr>
                <w:rFonts w:ascii="CAIXA Std Book" w:hAnsi="CAIXA Std Book" w:cs="Calibri"/>
                <w:b/>
                <w:color w:val="005CA9"/>
                <w:sz w:val="16"/>
                <w:szCs w:val="16"/>
              </w:rPr>
            </w:pPr>
          </w:p>
        </w:tc>
        <w:tc>
          <w:tcPr>
            <w:tcW w:w="405"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73173278" w14:textId="77777777" w:rsidR="00576123" w:rsidRPr="0082298E" w:rsidRDefault="00576123" w:rsidP="00711413">
            <w:pPr>
              <w:jc w:val="center"/>
              <w:rPr>
                <w:rFonts w:ascii="CAIXA Std Book" w:hAnsi="CAIXA Std Book" w:cs="Calibri"/>
                <w:b/>
                <w:color w:val="005CA9"/>
                <w:sz w:val="16"/>
                <w:szCs w:val="16"/>
              </w:rPr>
            </w:pPr>
          </w:p>
        </w:tc>
        <w:tc>
          <w:tcPr>
            <w:tcW w:w="383"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5BF81682" w14:textId="77777777" w:rsidR="00576123" w:rsidRPr="0082298E" w:rsidRDefault="00576123" w:rsidP="00711413">
            <w:pPr>
              <w:jc w:val="center"/>
              <w:rPr>
                <w:rFonts w:ascii="CAIXA Std Book" w:hAnsi="CAIXA Std Book" w:cs="Calibri"/>
                <w:b/>
                <w:color w:val="005CA9"/>
                <w:sz w:val="16"/>
                <w:szCs w:val="16"/>
              </w:rPr>
            </w:pPr>
          </w:p>
        </w:tc>
        <w:tc>
          <w:tcPr>
            <w:tcW w:w="405"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hideMark/>
          </w:tcPr>
          <w:p w14:paraId="57846F3D" w14:textId="2821A60E" w:rsidR="00576123" w:rsidRPr="0082298E" w:rsidRDefault="00891566" w:rsidP="00711413">
            <w:pPr>
              <w:jc w:val="right"/>
              <w:rPr>
                <w:rFonts w:ascii="CAIXA Std Book" w:hAnsi="CAIXA Std Book" w:cs="Calibri"/>
                <w:b/>
                <w:color w:val="005CA9"/>
                <w:sz w:val="16"/>
                <w:szCs w:val="16"/>
              </w:rPr>
            </w:pPr>
            <w:r w:rsidRPr="0082298E">
              <w:rPr>
                <w:rFonts w:ascii="CAIXA Std Book" w:hAnsi="CAIXA Std Book" w:cs="Arial"/>
                <w:b/>
                <w:color w:val="005CA9"/>
                <w:sz w:val="16"/>
                <w:szCs w:val="16"/>
              </w:rPr>
              <w:t>13.496.314</w:t>
            </w:r>
          </w:p>
        </w:tc>
        <w:tc>
          <w:tcPr>
            <w:tcW w:w="383"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0EAC5439" w14:textId="1902CF71" w:rsidR="00576123" w:rsidRPr="0082298E" w:rsidRDefault="00D87890" w:rsidP="00711413">
            <w:pPr>
              <w:jc w:val="right"/>
              <w:rPr>
                <w:rFonts w:ascii="CAIXA Std Book" w:hAnsi="CAIXA Std Book" w:cs="Calibri"/>
                <w:b/>
                <w:color w:val="005CA9"/>
                <w:sz w:val="16"/>
                <w:szCs w:val="16"/>
              </w:rPr>
            </w:pPr>
            <w:r>
              <w:rPr>
                <w:rFonts w:ascii="CAIXA Std Book" w:hAnsi="CAIXA Std Book" w:cs="Arial"/>
                <w:b/>
                <w:bCs/>
                <w:color w:val="005CA9"/>
                <w:sz w:val="16"/>
                <w:szCs w:val="16"/>
              </w:rPr>
              <w:t>677.139</w:t>
            </w:r>
          </w:p>
        </w:tc>
        <w:tc>
          <w:tcPr>
            <w:tcW w:w="353"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0427D91D" w14:textId="1BDCF227" w:rsidR="00576123" w:rsidRPr="0082298E" w:rsidRDefault="00D87890" w:rsidP="00711413">
            <w:pPr>
              <w:jc w:val="right"/>
              <w:rPr>
                <w:rFonts w:ascii="CAIXA Std Book" w:hAnsi="CAIXA Std Book" w:cs="Calibri"/>
                <w:b/>
                <w:color w:val="005CA9"/>
                <w:sz w:val="16"/>
                <w:szCs w:val="16"/>
              </w:rPr>
            </w:pPr>
            <w:r>
              <w:rPr>
                <w:rFonts w:ascii="CAIXA Std Book" w:hAnsi="CAIXA Std Book" w:cs="Arial"/>
                <w:b/>
                <w:bCs/>
                <w:color w:val="005CA9"/>
                <w:sz w:val="16"/>
                <w:szCs w:val="16"/>
              </w:rPr>
              <w:t>(755.818)</w:t>
            </w:r>
          </w:p>
        </w:tc>
        <w:tc>
          <w:tcPr>
            <w:tcW w:w="354" w:type="pct"/>
            <w:tcBorders>
              <w:top w:val="single" w:sz="4" w:space="0" w:color="ED7D31"/>
              <w:left w:val="nil"/>
              <w:bottom w:val="single" w:sz="4" w:space="0" w:color="ED7D31"/>
              <w:right w:val="nil"/>
            </w:tcBorders>
            <w:shd w:val="clear" w:color="auto" w:fill="auto"/>
            <w:noWrap/>
            <w:tcMar>
              <w:top w:w="15" w:type="dxa"/>
              <w:left w:w="15" w:type="dxa"/>
              <w:bottom w:w="0" w:type="dxa"/>
              <w:right w:w="15" w:type="dxa"/>
            </w:tcMar>
            <w:vAlign w:val="center"/>
          </w:tcPr>
          <w:p w14:paraId="07C0EF2D" w14:textId="3FA7E11B" w:rsidR="00576123" w:rsidRPr="0082298E" w:rsidRDefault="00D87890" w:rsidP="00711413">
            <w:pPr>
              <w:jc w:val="right"/>
              <w:rPr>
                <w:rFonts w:ascii="CAIXA Std Book" w:hAnsi="CAIXA Std Book" w:cs="Calibri"/>
                <w:b/>
                <w:color w:val="005CA9"/>
                <w:sz w:val="16"/>
                <w:szCs w:val="16"/>
              </w:rPr>
            </w:pPr>
            <w:r>
              <w:rPr>
                <w:rFonts w:ascii="CAIXA Std Book" w:hAnsi="CAIXA Std Book" w:cs="Arial"/>
                <w:b/>
                <w:bCs/>
                <w:color w:val="005CA9"/>
                <w:sz w:val="16"/>
                <w:szCs w:val="16"/>
              </w:rPr>
              <w:t>171.118</w:t>
            </w:r>
          </w:p>
        </w:tc>
        <w:tc>
          <w:tcPr>
            <w:tcW w:w="405" w:type="pc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tcPr>
          <w:p w14:paraId="0FA44953" w14:textId="39E951DF" w:rsidR="00576123" w:rsidRPr="0082298E" w:rsidRDefault="00D87890" w:rsidP="00711413">
            <w:pPr>
              <w:jc w:val="right"/>
              <w:rPr>
                <w:rFonts w:ascii="CAIXA Std Book" w:hAnsi="CAIXA Std Book" w:cs="Calibri"/>
                <w:b/>
                <w:color w:val="005CA9"/>
                <w:sz w:val="16"/>
                <w:szCs w:val="16"/>
              </w:rPr>
            </w:pPr>
            <w:r>
              <w:rPr>
                <w:rFonts w:ascii="CAIXA Std Book" w:hAnsi="CAIXA Std Book" w:cs="Arial"/>
                <w:b/>
                <w:bCs/>
                <w:color w:val="005CA9"/>
                <w:sz w:val="16"/>
                <w:szCs w:val="16"/>
              </w:rPr>
              <w:t>13.588.753</w:t>
            </w:r>
          </w:p>
        </w:tc>
        <w:tc>
          <w:tcPr>
            <w:tcW w:w="353" w:type="pct"/>
            <w:tcBorders>
              <w:top w:val="single" w:sz="4" w:space="0" w:color="ED7D31"/>
              <w:left w:val="nil"/>
              <w:bottom w:val="single" w:sz="4" w:space="0" w:color="ED7D31"/>
              <w:right w:val="nil"/>
            </w:tcBorders>
            <w:shd w:val="clear" w:color="auto" w:fill="auto"/>
            <w:tcMar>
              <w:top w:w="15" w:type="dxa"/>
              <w:left w:w="15" w:type="dxa"/>
              <w:bottom w:w="0" w:type="dxa"/>
              <w:right w:w="15" w:type="dxa"/>
            </w:tcMar>
            <w:vAlign w:val="center"/>
          </w:tcPr>
          <w:p w14:paraId="2C9D9C91" w14:textId="7A86D10F" w:rsidR="00576123" w:rsidRPr="0082298E" w:rsidRDefault="0082298E" w:rsidP="00711413">
            <w:pPr>
              <w:jc w:val="right"/>
              <w:rPr>
                <w:rFonts w:ascii="CAIXA Std Book" w:hAnsi="CAIXA Std Book" w:cs="Calibri"/>
                <w:b/>
                <w:color w:val="005CA9"/>
                <w:sz w:val="16"/>
                <w:szCs w:val="16"/>
              </w:rPr>
            </w:pPr>
            <w:r w:rsidRPr="0082298E">
              <w:rPr>
                <w:rFonts w:ascii="CAIXA Std Book" w:hAnsi="CAIXA Std Book" w:cs="Arial"/>
                <w:b/>
                <w:bCs/>
                <w:color w:val="005CA9"/>
                <w:sz w:val="16"/>
                <w:szCs w:val="16"/>
              </w:rPr>
              <w:t>658.128</w:t>
            </w:r>
          </w:p>
        </w:tc>
      </w:tr>
    </w:tbl>
    <w:p w14:paraId="23968198" w14:textId="2CB37538" w:rsidR="00700A83" w:rsidRPr="004A4BF9" w:rsidRDefault="00AF3FE9" w:rsidP="005A455B">
      <w:pPr>
        <w:jc w:val="both"/>
        <w:rPr>
          <w:rFonts w:ascii="CAIXA Std Book" w:hAnsi="CAIXA Std Book"/>
          <w:color w:val="005CA9"/>
          <w:sz w:val="14"/>
          <w:szCs w:val="14"/>
        </w:rPr>
      </w:pPr>
      <w:r w:rsidRPr="004A4BF9">
        <w:rPr>
          <w:rFonts w:ascii="CAIXA Std Book" w:hAnsi="CAIXA Std Book"/>
          <w:color w:val="005CA9"/>
          <w:sz w:val="14"/>
          <w:szCs w:val="14"/>
        </w:rPr>
        <w:t>(1)</w:t>
      </w:r>
      <w:r w:rsidR="00B2418F" w:rsidRPr="004A4BF9">
        <w:rPr>
          <w:rFonts w:ascii="CAIXA Std Book" w:hAnsi="CAIXA Std Book"/>
          <w:color w:val="005CA9"/>
          <w:sz w:val="14"/>
          <w:szCs w:val="14"/>
        </w:rPr>
        <w:t xml:space="preserve"> </w:t>
      </w:r>
      <w:r w:rsidR="00700A83" w:rsidRPr="004A4BF9">
        <w:rPr>
          <w:rFonts w:ascii="CAIXA Std Book" w:hAnsi="CAIXA Std Book"/>
          <w:color w:val="005CA9"/>
          <w:sz w:val="14"/>
          <w:szCs w:val="14"/>
        </w:rPr>
        <w:t xml:space="preserve">O </w:t>
      </w:r>
      <w:r w:rsidR="005E446E" w:rsidRPr="004A4BF9">
        <w:rPr>
          <w:rFonts w:ascii="CAIXA Std Book" w:hAnsi="CAIXA Std Book"/>
          <w:color w:val="005CA9"/>
          <w:sz w:val="14"/>
          <w:szCs w:val="14"/>
        </w:rPr>
        <w:t>percentual</w:t>
      </w:r>
      <w:r w:rsidR="00700A83" w:rsidRPr="004A4BF9">
        <w:rPr>
          <w:rFonts w:ascii="CAIXA Std Book" w:hAnsi="CAIXA Std Book"/>
          <w:color w:val="005CA9"/>
          <w:sz w:val="14"/>
          <w:szCs w:val="14"/>
        </w:rPr>
        <w:t xml:space="preserve"> de participação na Holding XS1, CNP Brasil, XS3 Seguros, XS4 Capitalização, XS5 Consórcios, XS6 </w:t>
      </w:r>
      <w:r w:rsidR="2978FB64" w:rsidRPr="004A4BF9">
        <w:rPr>
          <w:rFonts w:ascii="CAIXA Std Book" w:hAnsi="CAIXA Std Book"/>
          <w:color w:val="005CA9"/>
          <w:sz w:val="14"/>
          <w:szCs w:val="14"/>
        </w:rPr>
        <w:t>Assistência</w:t>
      </w:r>
      <w:r w:rsidR="00700A83" w:rsidRPr="004A4BF9">
        <w:rPr>
          <w:rFonts w:ascii="CAIXA Std Book" w:hAnsi="CAIXA Std Book"/>
          <w:color w:val="005CA9"/>
          <w:sz w:val="14"/>
          <w:szCs w:val="14"/>
        </w:rPr>
        <w:t>, Too Seguros e Pan Corretora são demonstrados pela ótica da Controlada Caixa Seguridade.</w:t>
      </w:r>
    </w:p>
    <w:p w14:paraId="02F587E5" w14:textId="77FBBC76" w:rsidR="00AF3FE9" w:rsidRPr="004A4BF9" w:rsidRDefault="00700A83" w:rsidP="005A455B">
      <w:pPr>
        <w:jc w:val="both"/>
        <w:rPr>
          <w:rFonts w:ascii="CAIXA Std Book" w:hAnsi="CAIXA Std Book"/>
          <w:color w:val="005CA9"/>
          <w:sz w:val="14"/>
          <w:szCs w:val="14"/>
        </w:rPr>
      </w:pPr>
      <w:r w:rsidRPr="004A4BF9">
        <w:rPr>
          <w:rFonts w:ascii="CAIXA Std Book" w:hAnsi="CAIXA Std Book"/>
          <w:color w:val="005CA9"/>
          <w:sz w:val="14"/>
          <w:szCs w:val="14"/>
        </w:rPr>
        <w:t xml:space="preserve">(2) </w:t>
      </w:r>
      <w:r w:rsidR="003C633B" w:rsidRPr="004A4BF9">
        <w:rPr>
          <w:rFonts w:ascii="CAIXA Std Book" w:hAnsi="CAIXA Std Book"/>
          <w:color w:val="005CA9"/>
          <w:sz w:val="14"/>
          <w:szCs w:val="14"/>
        </w:rPr>
        <w:t xml:space="preserve">Inclui uma perda por redução ao valor recuperável em </w:t>
      </w:r>
      <w:r w:rsidR="00372491" w:rsidRPr="004A4BF9">
        <w:rPr>
          <w:rFonts w:ascii="CAIXA Std Book" w:hAnsi="CAIXA Std Book"/>
          <w:color w:val="005CA9"/>
          <w:sz w:val="14"/>
          <w:szCs w:val="14"/>
        </w:rPr>
        <w:t>31</w:t>
      </w:r>
      <w:r w:rsidR="00F71F09" w:rsidRPr="004A4BF9">
        <w:rPr>
          <w:rFonts w:ascii="CAIXA Std Book" w:hAnsi="CAIXA Std Book"/>
          <w:color w:val="005CA9"/>
          <w:sz w:val="14"/>
          <w:szCs w:val="14"/>
        </w:rPr>
        <w:t>/</w:t>
      </w:r>
      <w:r w:rsidR="00D87890">
        <w:rPr>
          <w:rFonts w:ascii="CAIXA Std Book" w:hAnsi="CAIXA Std Book"/>
          <w:color w:val="005CA9"/>
          <w:sz w:val="14"/>
          <w:szCs w:val="14"/>
        </w:rPr>
        <w:t>03</w:t>
      </w:r>
      <w:r w:rsidR="003C633B" w:rsidRPr="004A4BF9">
        <w:rPr>
          <w:rFonts w:ascii="CAIXA Std Book" w:hAnsi="CAIXA Std Book"/>
          <w:color w:val="005CA9"/>
          <w:sz w:val="14"/>
          <w:szCs w:val="14"/>
        </w:rPr>
        <w:t>/202</w:t>
      </w:r>
      <w:r w:rsidR="00D87890">
        <w:rPr>
          <w:rFonts w:ascii="CAIXA Std Book" w:hAnsi="CAIXA Std Book"/>
          <w:color w:val="005CA9"/>
          <w:sz w:val="14"/>
          <w:szCs w:val="14"/>
        </w:rPr>
        <w:t>4</w:t>
      </w:r>
      <w:r w:rsidR="003C633B" w:rsidRPr="004A4BF9">
        <w:rPr>
          <w:rFonts w:ascii="CAIXA Std Book" w:hAnsi="CAIXA Std Book"/>
          <w:color w:val="005CA9"/>
          <w:sz w:val="14"/>
          <w:szCs w:val="14"/>
        </w:rPr>
        <w:t xml:space="preserve"> no valor de (R$ </w:t>
      </w:r>
      <w:r w:rsidR="005B04C7" w:rsidRPr="004A4BF9">
        <w:rPr>
          <w:rFonts w:ascii="CAIXA Std Book" w:hAnsi="CAIXA Std Book"/>
          <w:color w:val="005CA9"/>
          <w:sz w:val="14"/>
          <w:szCs w:val="14"/>
        </w:rPr>
        <w:t>3</w:t>
      </w:r>
      <w:r w:rsidR="001C435E" w:rsidRPr="004A4BF9">
        <w:rPr>
          <w:rFonts w:ascii="CAIXA Std Book" w:hAnsi="CAIXA Std Book"/>
          <w:color w:val="005CA9"/>
          <w:sz w:val="14"/>
          <w:szCs w:val="14"/>
        </w:rPr>
        <w:t>3</w:t>
      </w:r>
      <w:r w:rsidR="003C633B" w:rsidRPr="004A4BF9">
        <w:rPr>
          <w:rFonts w:ascii="CAIXA Std Book" w:hAnsi="CAIXA Std Book"/>
          <w:color w:val="005CA9"/>
          <w:sz w:val="14"/>
          <w:szCs w:val="14"/>
        </w:rPr>
        <w:t>) (31/12/202</w:t>
      </w:r>
      <w:r w:rsidR="00D87890">
        <w:rPr>
          <w:rFonts w:ascii="CAIXA Std Book" w:hAnsi="CAIXA Std Book"/>
          <w:color w:val="005CA9"/>
          <w:sz w:val="14"/>
          <w:szCs w:val="14"/>
        </w:rPr>
        <w:t>3</w:t>
      </w:r>
      <w:r w:rsidR="003C633B" w:rsidRPr="004A4BF9">
        <w:rPr>
          <w:rFonts w:ascii="CAIXA Std Book" w:hAnsi="CAIXA Std Book"/>
          <w:color w:val="005CA9"/>
          <w:sz w:val="14"/>
          <w:szCs w:val="14"/>
        </w:rPr>
        <w:t xml:space="preserve"> – (R$ 3</w:t>
      </w:r>
      <w:r w:rsidR="00964994" w:rsidRPr="004A4BF9">
        <w:rPr>
          <w:rFonts w:ascii="CAIXA Std Book" w:hAnsi="CAIXA Std Book"/>
          <w:color w:val="005CA9"/>
          <w:sz w:val="14"/>
          <w:szCs w:val="14"/>
        </w:rPr>
        <w:t>3</w:t>
      </w:r>
      <w:r w:rsidR="003C633B" w:rsidRPr="004A4BF9">
        <w:rPr>
          <w:rFonts w:ascii="CAIXA Std Book" w:hAnsi="CAIXA Std Book"/>
          <w:color w:val="005CA9"/>
          <w:sz w:val="14"/>
          <w:szCs w:val="14"/>
        </w:rPr>
        <w:t>))</w:t>
      </w:r>
      <w:r w:rsidR="00303B74" w:rsidRPr="004A4BF9">
        <w:rPr>
          <w:rFonts w:ascii="CAIXA Std Book" w:hAnsi="CAIXA Std Book"/>
          <w:color w:val="005CA9"/>
          <w:sz w:val="14"/>
          <w:szCs w:val="14"/>
        </w:rPr>
        <w:t>.</w:t>
      </w:r>
    </w:p>
    <w:p w14:paraId="7C6CF5A8" w14:textId="54CB2352" w:rsidR="00623D06" w:rsidRPr="004A4BF9" w:rsidRDefault="008B5698" w:rsidP="008B5698">
      <w:pPr>
        <w:jc w:val="both"/>
        <w:rPr>
          <w:rFonts w:ascii="CAIXA Std Book" w:hAnsi="CAIXA Std Book"/>
          <w:color w:val="005CA9"/>
          <w:sz w:val="14"/>
          <w:szCs w:val="14"/>
        </w:rPr>
      </w:pPr>
      <w:r w:rsidRPr="004A4BF9">
        <w:rPr>
          <w:rFonts w:ascii="CAIXA Std Book" w:hAnsi="CAIXA Std Book"/>
          <w:color w:val="005CA9"/>
          <w:sz w:val="14"/>
          <w:szCs w:val="14"/>
        </w:rPr>
        <w:t>(</w:t>
      </w:r>
      <w:r w:rsidR="00784FC4" w:rsidRPr="004A4BF9">
        <w:rPr>
          <w:rFonts w:ascii="CAIXA Std Book" w:hAnsi="CAIXA Std Book"/>
          <w:color w:val="005CA9"/>
          <w:sz w:val="14"/>
          <w:szCs w:val="14"/>
        </w:rPr>
        <w:t>3</w:t>
      </w:r>
      <w:r w:rsidRPr="004A4BF9">
        <w:rPr>
          <w:rFonts w:ascii="CAIXA Std Book" w:hAnsi="CAIXA Std Book"/>
          <w:color w:val="005CA9"/>
          <w:sz w:val="14"/>
          <w:szCs w:val="14"/>
        </w:rPr>
        <w:t xml:space="preserve">) </w:t>
      </w:r>
      <w:r w:rsidR="0009622B" w:rsidRPr="004A4BF9">
        <w:rPr>
          <w:rFonts w:ascii="CAIXA Std Book" w:hAnsi="CAIXA Std Book"/>
          <w:color w:val="005CA9"/>
          <w:sz w:val="14"/>
          <w:szCs w:val="14"/>
        </w:rPr>
        <w:t xml:space="preserve">Inclui </w:t>
      </w:r>
      <w:r w:rsidR="00A054F8" w:rsidRPr="004A4BF9">
        <w:rPr>
          <w:rFonts w:ascii="CAIXA Std Book" w:hAnsi="CAIXA Std Book"/>
          <w:color w:val="005CA9"/>
          <w:sz w:val="14"/>
          <w:szCs w:val="14"/>
        </w:rPr>
        <w:t>os</w:t>
      </w:r>
      <w:r w:rsidR="00F32980" w:rsidRPr="004A4BF9">
        <w:rPr>
          <w:rFonts w:ascii="CAIXA Std Book" w:hAnsi="CAIXA Std Book"/>
          <w:color w:val="005CA9"/>
          <w:sz w:val="14"/>
          <w:szCs w:val="14"/>
        </w:rPr>
        <w:t xml:space="preserve"> inve</w:t>
      </w:r>
      <w:r w:rsidR="0009622B" w:rsidRPr="004A4BF9">
        <w:rPr>
          <w:rFonts w:ascii="CAIXA Std Book" w:hAnsi="CAIXA Std Book"/>
          <w:color w:val="005CA9"/>
          <w:sz w:val="14"/>
          <w:szCs w:val="14"/>
        </w:rPr>
        <w:t>stimentos pré</w:t>
      </w:r>
      <w:r w:rsidR="006F2947" w:rsidRPr="004A4BF9">
        <w:rPr>
          <w:rFonts w:ascii="CAIXA Std Book" w:hAnsi="CAIXA Std Book"/>
          <w:color w:val="005CA9"/>
          <w:sz w:val="14"/>
          <w:szCs w:val="14"/>
        </w:rPr>
        <w:t>-</w:t>
      </w:r>
      <w:r w:rsidR="0009622B" w:rsidRPr="004A4BF9">
        <w:rPr>
          <w:rFonts w:ascii="CAIXA Std Book" w:hAnsi="CAIXA Std Book"/>
          <w:color w:val="005CA9"/>
          <w:sz w:val="14"/>
          <w:szCs w:val="14"/>
        </w:rPr>
        <w:t xml:space="preserve">operacionais: </w:t>
      </w:r>
      <w:r w:rsidR="00842F97" w:rsidRPr="004A4BF9">
        <w:rPr>
          <w:rFonts w:ascii="CAIXA Std Book" w:hAnsi="CAIXA Std Book"/>
          <w:color w:val="005CA9"/>
          <w:sz w:val="14"/>
          <w:szCs w:val="14"/>
        </w:rPr>
        <w:t>Negócios Digitais</w:t>
      </w:r>
      <w:r w:rsidR="008200BB" w:rsidRPr="004A4BF9">
        <w:rPr>
          <w:rFonts w:ascii="CAIXA Std Book" w:hAnsi="CAIXA Std Book"/>
          <w:color w:val="005CA9"/>
          <w:sz w:val="14"/>
          <w:szCs w:val="14"/>
        </w:rPr>
        <w:t>,</w:t>
      </w:r>
      <w:r w:rsidR="0009622B" w:rsidRPr="004A4BF9">
        <w:rPr>
          <w:rFonts w:ascii="CAIXA Std Book" w:hAnsi="CAIXA Std Book"/>
          <w:color w:val="005CA9"/>
          <w:sz w:val="14"/>
          <w:szCs w:val="14"/>
        </w:rPr>
        <w:t xml:space="preserve"> </w:t>
      </w:r>
      <w:r w:rsidR="007D0EDC" w:rsidRPr="004A4BF9">
        <w:rPr>
          <w:rFonts w:ascii="CAIXA Std Book" w:hAnsi="CAIXA Std Book"/>
          <w:color w:val="005CA9"/>
          <w:sz w:val="14"/>
          <w:szCs w:val="14"/>
        </w:rPr>
        <w:t>Caixa Imóveis</w:t>
      </w:r>
      <w:r w:rsidR="008200BB" w:rsidRPr="004A4BF9">
        <w:rPr>
          <w:rFonts w:ascii="CAIXA Std Book" w:hAnsi="CAIXA Std Book"/>
          <w:color w:val="005CA9"/>
          <w:sz w:val="14"/>
          <w:szCs w:val="14"/>
        </w:rPr>
        <w:t>,</w:t>
      </w:r>
      <w:r w:rsidR="0009622B" w:rsidRPr="004A4BF9">
        <w:rPr>
          <w:rFonts w:ascii="CAIXA Std Book" w:hAnsi="CAIXA Std Book"/>
          <w:color w:val="005CA9"/>
          <w:sz w:val="14"/>
          <w:szCs w:val="14"/>
        </w:rPr>
        <w:t xml:space="preserve"> C</w:t>
      </w:r>
      <w:r w:rsidR="00140B92" w:rsidRPr="004A4BF9">
        <w:rPr>
          <w:rFonts w:ascii="CAIXA Std Book" w:hAnsi="CAIXA Std Book"/>
          <w:color w:val="005CA9"/>
          <w:sz w:val="14"/>
          <w:szCs w:val="14"/>
        </w:rPr>
        <w:t>aixa</w:t>
      </w:r>
      <w:r w:rsidR="0009622B" w:rsidRPr="004A4BF9">
        <w:rPr>
          <w:rFonts w:ascii="CAIXA Std Book" w:hAnsi="CAIXA Std Book"/>
          <w:color w:val="005CA9"/>
          <w:sz w:val="14"/>
          <w:szCs w:val="14"/>
        </w:rPr>
        <w:t xml:space="preserve"> Cartões </w:t>
      </w:r>
      <w:proofErr w:type="spellStart"/>
      <w:proofErr w:type="gramStart"/>
      <w:r w:rsidR="0009622B" w:rsidRPr="004A4BF9">
        <w:rPr>
          <w:rFonts w:ascii="CAIXA Std Book" w:hAnsi="CAIXA Std Book"/>
          <w:color w:val="005CA9"/>
          <w:sz w:val="14"/>
          <w:szCs w:val="14"/>
        </w:rPr>
        <w:t>Adquirência</w:t>
      </w:r>
      <w:proofErr w:type="spellEnd"/>
      <w:r w:rsidR="0009622B" w:rsidRPr="004A4BF9">
        <w:rPr>
          <w:rFonts w:ascii="CAIXA Std Book" w:hAnsi="CAIXA Std Book"/>
          <w:color w:val="005CA9"/>
          <w:sz w:val="14"/>
          <w:szCs w:val="14"/>
        </w:rPr>
        <w:t>,  C</w:t>
      </w:r>
      <w:r w:rsidR="00140B92" w:rsidRPr="004A4BF9">
        <w:rPr>
          <w:rFonts w:ascii="CAIXA Std Book" w:hAnsi="CAIXA Std Book"/>
          <w:color w:val="005CA9"/>
          <w:sz w:val="14"/>
          <w:szCs w:val="14"/>
        </w:rPr>
        <w:t>aixa</w:t>
      </w:r>
      <w:proofErr w:type="gramEnd"/>
      <w:r w:rsidR="0009622B" w:rsidRPr="004A4BF9">
        <w:rPr>
          <w:rFonts w:ascii="CAIXA Std Book" w:hAnsi="CAIXA Std Book"/>
          <w:color w:val="005CA9"/>
          <w:sz w:val="14"/>
          <w:szCs w:val="14"/>
        </w:rPr>
        <w:t xml:space="preserve"> Cartões PAT, C</w:t>
      </w:r>
      <w:r w:rsidR="00140B92" w:rsidRPr="004A4BF9">
        <w:rPr>
          <w:rFonts w:ascii="CAIXA Std Book" w:hAnsi="CAIXA Std Book"/>
          <w:color w:val="005CA9"/>
          <w:sz w:val="14"/>
          <w:szCs w:val="14"/>
        </w:rPr>
        <w:t>aixa</w:t>
      </w:r>
      <w:r w:rsidR="0009622B" w:rsidRPr="004A4BF9">
        <w:rPr>
          <w:rFonts w:ascii="CAIXA Std Book" w:hAnsi="CAIXA Std Book"/>
          <w:color w:val="005CA9"/>
          <w:sz w:val="14"/>
          <w:szCs w:val="14"/>
        </w:rPr>
        <w:t xml:space="preserve"> Cartões Fidelidade, C</w:t>
      </w:r>
      <w:r w:rsidR="00140B92" w:rsidRPr="004A4BF9">
        <w:rPr>
          <w:rFonts w:ascii="CAIXA Std Book" w:hAnsi="CAIXA Std Book"/>
          <w:color w:val="005CA9"/>
          <w:sz w:val="14"/>
          <w:szCs w:val="14"/>
        </w:rPr>
        <w:t>aixa</w:t>
      </w:r>
      <w:r w:rsidR="0009622B" w:rsidRPr="004A4BF9">
        <w:rPr>
          <w:rFonts w:ascii="CAIXA Std Book" w:hAnsi="CAIXA Std Book"/>
          <w:color w:val="005CA9"/>
          <w:sz w:val="14"/>
          <w:szCs w:val="14"/>
        </w:rPr>
        <w:t xml:space="preserve"> Cartões Contas de Pagamento</w:t>
      </w:r>
      <w:r w:rsidR="00F32980" w:rsidRPr="004A4BF9">
        <w:rPr>
          <w:rFonts w:ascii="CAIXA Std Book" w:hAnsi="CAIXA Std Book"/>
          <w:color w:val="005CA9"/>
          <w:sz w:val="14"/>
          <w:szCs w:val="14"/>
        </w:rPr>
        <w:t>.</w:t>
      </w:r>
    </w:p>
    <w:bookmarkEnd w:id="68"/>
    <w:p w14:paraId="664A8433" w14:textId="1332909A" w:rsidR="00321AAD" w:rsidRPr="00FF4346" w:rsidRDefault="008B3AD1" w:rsidP="0005523B">
      <w:pPr>
        <w:rPr>
          <w:rFonts w:ascii="CAIXA Std Book" w:eastAsia="Times New Roman" w:hAnsi="CAIXA Std Book" w:cs="Arial"/>
          <w:b/>
          <w:color w:val="005CA9"/>
          <w:sz w:val="20"/>
          <w:szCs w:val="20"/>
        </w:rPr>
      </w:pPr>
      <w:r w:rsidRPr="00FF4346">
        <w:rPr>
          <w:rFonts w:ascii="CAIXA Std Book" w:eastAsia="Times New Roman" w:hAnsi="CAIXA Std Book" w:cs="Arial"/>
          <w:b/>
          <w:bCs/>
          <w:color w:val="005CA9"/>
          <w:sz w:val="20"/>
          <w:szCs w:val="20"/>
        </w:rPr>
        <w:br w:type="page"/>
      </w:r>
    </w:p>
    <w:p w14:paraId="578D20DC" w14:textId="6FF89BD0" w:rsidR="0042798C" w:rsidRPr="00FF4346" w:rsidRDefault="0042798C" w:rsidP="00677E27">
      <w:pPr>
        <w:rPr>
          <w:rFonts w:ascii="CAIXA Std Book" w:hAnsi="CAIXA Std Book"/>
          <w:color w:val="005CA9"/>
          <w:sz w:val="14"/>
          <w:szCs w:val="14"/>
        </w:rPr>
        <w:sectPr w:rsidR="0042798C" w:rsidRPr="00FF4346" w:rsidSect="0088151D">
          <w:headerReference w:type="default" r:id="rId47"/>
          <w:footerReference w:type="default" r:id="rId48"/>
          <w:headerReference w:type="first" r:id="rId49"/>
          <w:footerReference w:type="first" r:id="rId50"/>
          <w:pgSz w:w="16840" w:h="11907" w:orient="landscape" w:code="9"/>
          <w:pgMar w:top="1418" w:right="964" w:bottom="851" w:left="1418" w:header="1134" w:footer="709" w:gutter="0"/>
          <w:cols w:space="708"/>
          <w:titlePg/>
          <w:docGrid w:linePitch="360"/>
        </w:sectPr>
      </w:pPr>
    </w:p>
    <w:p w14:paraId="04FC5C36" w14:textId="0FC50C3F" w:rsidR="00AF6C4E" w:rsidRPr="00FF4346" w:rsidRDefault="00AF6C4E" w:rsidP="005A596E">
      <w:pPr>
        <w:pStyle w:val="Ttulo1"/>
      </w:pPr>
      <w:bookmarkStart w:id="69" w:name="_Toc166594487"/>
      <w:r w:rsidRPr="00FF4346">
        <w:lastRenderedPageBreak/>
        <w:t>Nota 1</w:t>
      </w:r>
      <w:r w:rsidR="004917F8" w:rsidRPr="00FF4346">
        <w:t>2</w:t>
      </w:r>
      <w:r w:rsidRPr="00FF4346">
        <w:t xml:space="preserve"> – Imobilizado</w:t>
      </w:r>
      <w:r w:rsidR="00C679FC" w:rsidRPr="00FF4346">
        <w:t xml:space="preserve"> de uso</w:t>
      </w:r>
      <w:bookmarkEnd w:id="69"/>
    </w:p>
    <w:p w14:paraId="4D1BBAC2" w14:textId="4FD73456" w:rsidR="000816A6" w:rsidRPr="00FF4346" w:rsidRDefault="00D63FBE" w:rsidP="00AD270F">
      <w:pPr>
        <w:tabs>
          <w:tab w:val="left" w:pos="1650"/>
        </w:tabs>
        <w:spacing w:before="120" w:after="120"/>
        <w:jc w:val="both"/>
        <w:rPr>
          <w:rFonts w:ascii="CAIXA Std Book" w:hAnsi="CAIXA Std Book"/>
          <w:color w:val="005CA9"/>
          <w:sz w:val="20"/>
          <w:szCs w:val="20"/>
        </w:rPr>
      </w:pPr>
      <w:bookmarkStart w:id="70" w:name="_Hlk79055261"/>
      <w:r w:rsidRPr="00FF4346">
        <w:rPr>
          <w:rFonts w:ascii="CAIXA Std Book" w:hAnsi="CAIXA Std Book"/>
          <w:color w:val="005CA9"/>
          <w:sz w:val="20"/>
          <w:szCs w:val="20"/>
        </w:rPr>
        <w:t>O</w:t>
      </w:r>
      <w:r w:rsidR="00497908" w:rsidRPr="00FF4346">
        <w:rPr>
          <w:rFonts w:ascii="CAIXA Std Book" w:hAnsi="CAIXA Std Book"/>
          <w:color w:val="005CA9"/>
          <w:sz w:val="20"/>
          <w:szCs w:val="20"/>
        </w:rPr>
        <w:t xml:space="preserve"> índice de imobilização apurado </w:t>
      </w:r>
      <w:r w:rsidRPr="00FF4346">
        <w:rPr>
          <w:rFonts w:ascii="CAIXA Std Book" w:hAnsi="CAIXA Std Book"/>
          <w:color w:val="005CA9"/>
          <w:sz w:val="20"/>
          <w:szCs w:val="20"/>
        </w:rPr>
        <w:t xml:space="preserve">foi </w:t>
      </w:r>
      <w:r w:rsidR="00497908" w:rsidRPr="00FF4346">
        <w:rPr>
          <w:rFonts w:ascii="CAIXA Std Book" w:hAnsi="CAIXA Std Book"/>
          <w:color w:val="005CA9"/>
          <w:sz w:val="20"/>
          <w:szCs w:val="20"/>
        </w:rPr>
        <w:t>de</w:t>
      </w:r>
      <w:r w:rsidR="00F54DBD" w:rsidRPr="00FF4346">
        <w:rPr>
          <w:rFonts w:ascii="CAIXA Std Book" w:hAnsi="CAIXA Std Book"/>
          <w:color w:val="005CA9"/>
          <w:sz w:val="20"/>
          <w:szCs w:val="20"/>
        </w:rPr>
        <w:t xml:space="preserve"> </w:t>
      </w:r>
      <w:r w:rsidR="001C5DFB">
        <w:rPr>
          <w:rFonts w:ascii="CAIXA Std Book" w:hAnsi="CAIXA Std Book"/>
          <w:color w:val="005CA9"/>
          <w:sz w:val="20"/>
          <w:szCs w:val="20"/>
        </w:rPr>
        <w:t>9,43</w:t>
      </w:r>
      <w:r w:rsidR="00AE414C" w:rsidRPr="00FF4346">
        <w:rPr>
          <w:rFonts w:ascii="CAIXA Std Book" w:hAnsi="CAIXA Std Book"/>
          <w:color w:val="005CA9"/>
          <w:sz w:val="20"/>
          <w:szCs w:val="20"/>
        </w:rPr>
        <w:t>%</w:t>
      </w:r>
      <w:r w:rsidR="00497908" w:rsidRPr="00FF4346">
        <w:rPr>
          <w:rFonts w:ascii="CAIXA Std Book" w:hAnsi="CAIXA Std Book"/>
          <w:color w:val="005CA9"/>
          <w:sz w:val="20"/>
          <w:szCs w:val="20"/>
        </w:rPr>
        <w:t xml:space="preserve"> </w:t>
      </w:r>
      <w:r w:rsidR="003E7E90" w:rsidRPr="00FF4346">
        <w:rPr>
          <w:rFonts w:ascii="CAIXA Std Book" w:hAnsi="CAIXA Std Book"/>
          <w:color w:val="005CA9"/>
          <w:sz w:val="20"/>
          <w:szCs w:val="20"/>
        </w:rPr>
        <w:t xml:space="preserve">em </w:t>
      </w:r>
      <w:r w:rsidR="00D74633" w:rsidRPr="00FF4346">
        <w:rPr>
          <w:rFonts w:ascii="CAIXA Std Book" w:hAnsi="CAIXA Std Book"/>
          <w:color w:val="005CA9"/>
          <w:sz w:val="20"/>
          <w:szCs w:val="20"/>
        </w:rPr>
        <w:t>31</w:t>
      </w:r>
      <w:r w:rsidR="00560977" w:rsidRPr="00FF4346">
        <w:rPr>
          <w:rFonts w:ascii="CAIXA Std Book" w:hAnsi="CAIXA Std Book"/>
          <w:color w:val="005CA9"/>
          <w:sz w:val="20"/>
          <w:szCs w:val="20"/>
        </w:rPr>
        <w:t>/</w:t>
      </w:r>
      <w:r w:rsidR="00AA37D6">
        <w:rPr>
          <w:rFonts w:ascii="CAIXA Std Book" w:hAnsi="CAIXA Std Book"/>
          <w:color w:val="005CA9"/>
          <w:sz w:val="20"/>
          <w:szCs w:val="20"/>
        </w:rPr>
        <w:t>03</w:t>
      </w:r>
      <w:r w:rsidR="00F302CE" w:rsidRPr="00FF4346">
        <w:rPr>
          <w:rFonts w:ascii="CAIXA Std Book" w:hAnsi="CAIXA Std Book"/>
          <w:color w:val="005CA9"/>
          <w:sz w:val="20"/>
          <w:szCs w:val="20"/>
        </w:rPr>
        <w:t>/20</w:t>
      </w:r>
      <w:r w:rsidR="003E7E90" w:rsidRPr="00FF4346">
        <w:rPr>
          <w:rFonts w:ascii="CAIXA Std Book" w:hAnsi="CAIXA Std Book"/>
          <w:color w:val="005CA9"/>
          <w:sz w:val="20"/>
          <w:szCs w:val="20"/>
        </w:rPr>
        <w:t>2</w:t>
      </w:r>
      <w:r w:rsidR="00AA37D6">
        <w:rPr>
          <w:rFonts w:ascii="CAIXA Std Book" w:hAnsi="CAIXA Std Book"/>
          <w:color w:val="005CA9"/>
          <w:sz w:val="20"/>
          <w:szCs w:val="20"/>
        </w:rPr>
        <w:t>4</w:t>
      </w:r>
      <w:r w:rsidR="00F302CE" w:rsidRPr="00FF4346">
        <w:rPr>
          <w:rFonts w:ascii="CAIXA Std Book" w:hAnsi="CAIXA Std Book"/>
          <w:color w:val="005CA9"/>
          <w:sz w:val="20"/>
          <w:szCs w:val="20"/>
        </w:rPr>
        <w:t xml:space="preserve"> </w:t>
      </w:r>
      <w:r w:rsidR="00497908" w:rsidRPr="00FF4346">
        <w:rPr>
          <w:rFonts w:ascii="CAIXA Std Book" w:hAnsi="CAIXA Std Book"/>
          <w:color w:val="005CA9"/>
          <w:sz w:val="20"/>
          <w:szCs w:val="20"/>
        </w:rPr>
        <w:t>(31/12/20</w:t>
      </w:r>
      <w:r w:rsidR="00897C50" w:rsidRPr="00FF4346">
        <w:rPr>
          <w:rFonts w:ascii="CAIXA Std Book" w:hAnsi="CAIXA Std Book"/>
          <w:color w:val="005CA9"/>
          <w:sz w:val="20"/>
          <w:szCs w:val="20"/>
        </w:rPr>
        <w:t>2</w:t>
      </w:r>
      <w:r w:rsidR="00936219">
        <w:rPr>
          <w:rFonts w:ascii="CAIXA Std Book" w:hAnsi="CAIXA Std Book"/>
          <w:color w:val="005CA9"/>
          <w:sz w:val="20"/>
          <w:szCs w:val="20"/>
        </w:rPr>
        <w:t>3</w:t>
      </w:r>
      <w:r w:rsidR="003B697F" w:rsidRPr="00FF4346">
        <w:rPr>
          <w:rFonts w:ascii="CAIXA Std Book" w:hAnsi="CAIXA Std Book"/>
          <w:color w:val="005CA9"/>
          <w:sz w:val="20"/>
          <w:szCs w:val="20"/>
        </w:rPr>
        <w:t xml:space="preserve"> </w:t>
      </w:r>
      <w:r w:rsidR="00497908" w:rsidRPr="00FF4346">
        <w:rPr>
          <w:rFonts w:ascii="CAIXA Std Book" w:hAnsi="CAIXA Std Book"/>
          <w:color w:val="005CA9"/>
          <w:sz w:val="20"/>
          <w:szCs w:val="20"/>
        </w:rPr>
        <w:t xml:space="preserve">– </w:t>
      </w:r>
      <w:r w:rsidR="00CB4D03" w:rsidRPr="00FF4346">
        <w:rPr>
          <w:rFonts w:ascii="CAIXA Std Book" w:hAnsi="CAIXA Std Book"/>
          <w:color w:val="005CA9"/>
          <w:sz w:val="20"/>
          <w:szCs w:val="20"/>
        </w:rPr>
        <w:t>8,72%</w:t>
      </w:r>
      <w:r w:rsidR="00497908" w:rsidRPr="00FF4346">
        <w:rPr>
          <w:rFonts w:ascii="CAIXA Std Book" w:hAnsi="CAIXA Std Book"/>
          <w:color w:val="005CA9"/>
          <w:sz w:val="20"/>
          <w:szCs w:val="20"/>
        </w:rPr>
        <w:t xml:space="preserve">), a CAIXA está enquadrada na forma definida pela Resolução CMN nº </w:t>
      </w:r>
      <w:r w:rsidR="00490F57" w:rsidRPr="00FF4346">
        <w:rPr>
          <w:rFonts w:ascii="CAIXA Std Book" w:hAnsi="CAIXA Std Book"/>
          <w:color w:val="005CA9"/>
          <w:sz w:val="20"/>
          <w:szCs w:val="20"/>
        </w:rPr>
        <w:t>4.957/2021</w:t>
      </w:r>
      <w:r w:rsidR="00497908" w:rsidRPr="00FF4346">
        <w:rPr>
          <w:rFonts w:ascii="CAIXA Std Book" w:hAnsi="CAIXA Std Book"/>
          <w:color w:val="005CA9"/>
          <w:sz w:val="20"/>
          <w:szCs w:val="20"/>
        </w:rPr>
        <w:t>, a qual estabelece o limite de 50% do Patrimônio de Referência.</w:t>
      </w:r>
    </w:p>
    <w:bookmarkEnd w:id="70"/>
    <w:p w14:paraId="383E74A8" w14:textId="753A23BA" w:rsidR="003D4E01" w:rsidRPr="00FF4346" w:rsidRDefault="00657973" w:rsidP="00B37B40">
      <w:pPr>
        <w:pStyle w:val="PargrafodaLista"/>
        <w:numPr>
          <w:ilvl w:val="1"/>
          <w:numId w:val="11"/>
        </w:numPr>
        <w:shd w:val="clear" w:color="auto" w:fill="FFFFFF" w:themeFill="background1"/>
        <w:spacing w:before="240" w:after="240"/>
        <w:ind w:left="567" w:right="-40"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3305"/>
        <w:gridCol w:w="756"/>
        <w:gridCol w:w="1172"/>
        <w:gridCol w:w="1172"/>
        <w:gridCol w:w="1016"/>
        <w:gridCol w:w="1143"/>
        <w:gridCol w:w="1074"/>
      </w:tblGrid>
      <w:tr w:rsidR="003B2B2A" w:rsidRPr="0013769A" w14:paraId="15137C1A" w14:textId="77777777" w:rsidTr="004F7AE7">
        <w:trPr>
          <w:trHeight w:val="283"/>
        </w:trPr>
        <w:tc>
          <w:tcPr>
            <w:tcW w:w="5000" w:type="pct"/>
            <w:gridSpan w:val="7"/>
            <w:tcBorders>
              <w:top w:val="single" w:sz="4" w:space="0" w:color="F39200"/>
              <w:left w:val="nil"/>
              <w:bottom w:val="single" w:sz="4" w:space="0" w:color="F39200"/>
              <w:right w:val="nil"/>
            </w:tcBorders>
            <w:shd w:val="clear" w:color="auto" w:fill="auto"/>
            <w:vAlign w:val="center"/>
            <w:hideMark/>
          </w:tcPr>
          <w:p w14:paraId="01437CB2"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INDIVIDUAL</w:t>
            </w:r>
          </w:p>
        </w:tc>
      </w:tr>
      <w:tr w:rsidR="003B2B2A" w:rsidRPr="0013769A" w14:paraId="3F92B49D" w14:textId="77777777" w:rsidTr="004F7AE7">
        <w:trPr>
          <w:trHeight w:val="283"/>
        </w:trPr>
        <w:tc>
          <w:tcPr>
            <w:tcW w:w="1715" w:type="pct"/>
            <w:vMerge w:val="restart"/>
            <w:tcBorders>
              <w:top w:val="nil"/>
              <w:left w:val="nil"/>
              <w:bottom w:val="single" w:sz="4" w:space="0" w:color="F39200"/>
              <w:right w:val="nil"/>
            </w:tcBorders>
            <w:shd w:val="clear" w:color="auto" w:fill="auto"/>
            <w:vAlign w:val="center"/>
            <w:hideMark/>
          </w:tcPr>
          <w:p w14:paraId="278CB735"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 xml:space="preserve">Descrição </w:t>
            </w:r>
          </w:p>
        </w:tc>
        <w:tc>
          <w:tcPr>
            <w:tcW w:w="392" w:type="pct"/>
            <w:vMerge w:val="restart"/>
            <w:tcBorders>
              <w:top w:val="nil"/>
              <w:left w:val="nil"/>
              <w:bottom w:val="single" w:sz="4" w:space="0" w:color="F39200"/>
              <w:right w:val="nil"/>
            </w:tcBorders>
            <w:shd w:val="clear" w:color="auto" w:fill="auto"/>
            <w:vAlign w:val="center"/>
            <w:hideMark/>
          </w:tcPr>
          <w:p w14:paraId="5C5D2F5A"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Vida útil (em anos)</w:t>
            </w:r>
          </w:p>
        </w:tc>
        <w:tc>
          <w:tcPr>
            <w:tcW w:w="2336" w:type="pct"/>
            <w:gridSpan w:val="4"/>
            <w:tcBorders>
              <w:top w:val="single" w:sz="4" w:space="0" w:color="F39200"/>
              <w:left w:val="nil"/>
              <w:bottom w:val="single" w:sz="4" w:space="0" w:color="F39200"/>
              <w:right w:val="nil"/>
            </w:tcBorders>
            <w:shd w:val="clear" w:color="auto" w:fill="auto"/>
            <w:vAlign w:val="center"/>
            <w:hideMark/>
          </w:tcPr>
          <w:p w14:paraId="7DEE6FA3" w14:textId="6D9C8933" w:rsidR="00001CC8" w:rsidRPr="00FF4346" w:rsidRDefault="00D74633" w:rsidP="003D64FC">
            <w:pPr>
              <w:jc w:val="center"/>
              <w:rPr>
                <w:rFonts w:ascii="CAIXA Std Book" w:hAnsi="CAIXA Std Book"/>
                <w:b/>
                <w:color w:val="005CA9"/>
                <w:sz w:val="16"/>
                <w:szCs w:val="16"/>
              </w:rPr>
            </w:pPr>
            <w:r w:rsidRPr="00FF4346">
              <w:rPr>
                <w:rFonts w:ascii="CAIXA Std Book" w:hAnsi="CAIXA Std Book"/>
                <w:b/>
                <w:color w:val="005CA9"/>
                <w:sz w:val="16"/>
                <w:szCs w:val="16"/>
              </w:rPr>
              <w:t>31</w:t>
            </w:r>
            <w:r w:rsidR="005B25E5" w:rsidRPr="00FF4346">
              <w:rPr>
                <w:rFonts w:ascii="CAIXA Std Book" w:hAnsi="CAIXA Std Book"/>
                <w:b/>
                <w:color w:val="005CA9"/>
                <w:sz w:val="16"/>
                <w:szCs w:val="16"/>
              </w:rPr>
              <w:t>/</w:t>
            </w:r>
            <w:r w:rsidR="00AA37D6">
              <w:rPr>
                <w:rFonts w:ascii="CAIXA Std Book" w:hAnsi="CAIXA Std Book"/>
                <w:b/>
                <w:color w:val="005CA9"/>
                <w:sz w:val="16"/>
                <w:szCs w:val="16"/>
              </w:rPr>
              <w:t>03</w:t>
            </w:r>
            <w:r w:rsidR="005B25E5" w:rsidRPr="00FF4346">
              <w:rPr>
                <w:rFonts w:ascii="CAIXA Std Book" w:hAnsi="CAIXA Std Book"/>
                <w:b/>
                <w:color w:val="005CA9"/>
                <w:sz w:val="16"/>
                <w:szCs w:val="16"/>
              </w:rPr>
              <w:t>/202</w:t>
            </w:r>
            <w:r w:rsidR="00AA37D6">
              <w:rPr>
                <w:rFonts w:ascii="CAIXA Std Book" w:hAnsi="CAIXA Std Book"/>
                <w:b/>
                <w:color w:val="005CA9"/>
                <w:sz w:val="16"/>
                <w:szCs w:val="16"/>
              </w:rPr>
              <w:t>4</w:t>
            </w:r>
          </w:p>
        </w:tc>
        <w:tc>
          <w:tcPr>
            <w:tcW w:w="557" w:type="pct"/>
            <w:tcBorders>
              <w:top w:val="nil"/>
              <w:left w:val="nil"/>
              <w:bottom w:val="single" w:sz="4" w:space="0" w:color="F39200"/>
              <w:right w:val="nil"/>
            </w:tcBorders>
            <w:shd w:val="clear" w:color="auto" w:fill="auto"/>
            <w:vAlign w:val="center"/>
            <w:hideMark/>
          </w:tcPr>
          <w:p w14:paraId="3F3DC3F0" w14:textId="23048683"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31/12/</w:t>
            </w:r>
            <w:r w:rsidR="00AA37D6" w:rsidRPr="00FF4346">
              <w:rPr>
                <w:rFonts w:ascii="CAIXA Std Book" w:hAnsi="CAIXA Std Book"/>
                <w:b/>
                <w:color w:val="005CA9"/>
                <w:sz w:val="16"/>
                <w:szCs w:val="16"/>
              </w:rPr>
              <w:t>2023</w:t>
            </w:r>
          </w:p>
        </w:tc>
      </w:tr>
      <w:tr w:rsidR="003B2B2A" w:rsidRPr="0013769A" w14:paraId="2FD869C5" w14:textId="77777777" w:rsidTr="004F7AE7">
        <w:trPr>
          <w:trHeight w:val="283"/>
        </w:trPr>
        <w:tc>
          <w:tcPr>
            <w:tcW w:w="1715" w:type="pct"/>
            <w:vMerge/>
            <w:tcBorders>
              <w:top w:val="nil"/>
              <w:left w:val="nil"/>
              <w:bottom w:val="single" w:sz="4" w:space="0" w:color="F39200"/>
              <w:right w:val="nil"/>
            </w:tcBorders>
            <w:vAlign w:val="center"/>
            <w:hideMark/>
          </w:tcPr>
          <w:p w14:paraId="7A27D07C" w14:textId="77777777" w:rsidR="00001CC8" w:rsidRPr="00FF4346" w:rsidRDefault="00001CC8" w:rsidP="003D64FC">
            <w:pPr>
              <w:rPr>
                <w:rFonts w:ascii="CAIXA Std Book" w:hAnsi="CAIXA Std Book"/>
                <w:b/>
                <w:color w:val="005CA9"/>
                <w:sz w:val="16"/>
                <w:szCs w:val="16"/>
              </w:rPr>
            </w:pPr>
          </w:p>
        </w:tc>
        <w:tc>
          <w:tcPr>
            <w:tcW w:w="392" w:type="pct"/>
            <w:vMerge/>
            <w:tcBorders>
              <w:top w:val="nil"/>
              <w:left w:val="nil"/>
              <w:bottom w:val="single" w:sz="4" w:space="0" w:color="F39200"/>
              <w:right w:val="nil"/>
            </w:tcBorders>
            <w:vAlign w:val="center"/>
            <w:hideMark/>
          </w:tcPr>
          <w:p w14:paraId="64762300" w14:textId="77777777" w:rsidR="00001CC8" w:rsidRPr="00FF4346" w:rsidRDefault="00001CC8" w:rsidP="003D64FC">
            <w:pPr>
              <w:jc w:val="center"/>
              <w:rPr>
                <w:rFonts w:ascii="CAIXA Std Book" w:hAnsi="CAIXA Std Book"/>
                <w:b/>
                <w:color w:val="005CA9"/>
                <w:sz w:val="16"/>
                <w:szCs w:val="16"/>
              </w:rPr>
            </w:pPr>
          </w:p>
        </w:tc>
        <w:tc>
          <w:tcPr>
            <w:tcW w:w="608" w:type="pct"/>
            <w:tcBorders>
              <w:top w:val="nil"/>
              <w:left w:val="nil"/>
              <w:bottom w:val="single" w:sz="4" w:space="0" w:color="F39200"/>
              <w:right w:val="nil"/>
            </w:tcBorders>
            <w:shd w:val="clear" w:color="auto" w:fill="auto"/>
            <w:vAlign w:val="center"/>
            <w:hideMark/>
          </w:tcPr>
          <w:p w14:paraId="23299DE1"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Custo</w:t>
            </w:r>
          </w:p>
        </w:tc>
        <w:tc>
          <w:tcPr>
            <w:tcW w:w="608" w:type="pct"/>
            <w:tcBorders>
              <w:top w:val="nil"/>
              <w:left w:val="nil"/>
              <w:bottom w:val="single" w:sz="4" w:space="0" w:color="F39200"/>
              <w:right w:val="nil"/>
            </w:tcBorders>
            <w:shd w:val="clear" w:color="auto" w:fill="auto"/>
            <w:vAlign w:val="center"/>
            <w:hideMark/>
          </w:tcPr>
          <w:p w14:paraId="0E9A8347"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 xml:space="preserve">Depreciação </w:t>
            </w:r>
          </w:p>
        </w:tc>
        <w:tc>
          <w:tcPr>
            <w:tcW w:w="527" w:type="pct"/>
            <w:tcBorders>
              <w:top w:val="nil"/>
              <w:left w:val="nil"/>
              <w:bottom w:val="single" w:sz="4" w:space="0" w:color="F39200"/>
              <w:right w:val="nil"/>
            </w:tcBorders>
            <w:shd w:val="clear" w:color="auto" w:fill="auto"/>
            <w:vAlign w:val="center"/>
            <w:hideMark/>
          </w:tcPr>
          <w:p w14:paraId="58AAF9A8"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Redução ao valor recuperável</w:t>
            </w:r>
          </w:p>
        </w:tc>
        <w:tc>
          <w:tcPr>
            <w:tcW w:w="593" w:type="pct"/>
            <w:tcBorders>
              <w:top w:val="nil"/>
              <w:left w:val="nil"/>
              <w:bottom w:val="single" w:sz="4" w:space="0" w:color="F39200"/>
              <w:right w:val="nil"/>
            </w:tcBorders>
            <w:shd w:val="clear" w:color="auto" w:fill="auto"/>
            <w:vAlign w:val="center"/>
            <w:hideMark/>
          </w:tcPr>
          <w:p w14:paraId="32388B15"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Líquido</w:t>
            </w:r>
          </w:p>
        </w:tc>
        <w:tc>
          <w:tcPr>
            <w:tcW w:w="557" w:type="pct"/>
            <w:tcBorders>
              <w:top w:val="nil"/>
              <w:left w:val="nil"/>
              <w:bottom w:val="single" w:sz="4" w:space="0" w:color="F39200"/>
              <w:right w:val="nil"/>
            </w:tcBorders>
            <w:shd w:val="clear" w:color="auto" w:fill="auto"/>
            <w:vAlign w:val="center"/>
            <w:hideMark/>
          </w:tcPr>
          <w:p w14:paraId="3E3C716E" w14:textId="77777777" w:rsidR="00001CC8" w:rsidRPr="00FF4346" w:rsidRDefault="00001CC8" w:rsidP="003D64FC">
            <w:pPr>
              <w:jc w:val="center"/>
              <w:rPr>
                <w:rFonts w:ascii="CAIXA Std Book" w:hAnsi="CAIXA Std Book"/>
                <w:b/>
                <w:color w:val="005CA9"/>
                <w:sz w:val="16"/>
                <w:szCs w:val="16"/>
              </w:rPr>
            </w:pPr>
            <w:r w:rsidRPr="00FF4346">
              <w:rPr>
                <w:rFonts w:ascii="CAIXA Std Book" w:hAnsi="CAIXA Std Book"/>
                <w:b/>
                <w:color w:val="005CA9"/>
                <w:sz w:val="16"/>
                <w:szCs w:val="16"/>
              </w:rPr>
              <w:t>Líquido</w:t>
            </w:r>
          </w:p>
        </w:tc>
      </w:tr>
      <w:tr w:rsidR="009D2435" w:rsidRPr="0013769A" w14:paraId="25233212" w14:textId="77777777" w:rsidTr="004F7AE7">
        <w:trPr>
          <w:trHeight w:val="283"/>
        </w:trPr>
        <w:tc>
          <w:tcPr>
            <w:tcW w:w="1715" w:type="pct"/>
            <w:tcBorders>
              <w:top w:val="nil"/>
              <w:left w:val="nil"/>
              <w:bottom w:val="nil"/>
              <w:right w:val="nil"/>
            </w:tcBorders>
            <w:shd w:val="clear" w:color="auto" w:fill="auto"/>
            <w:vAlign w:val="center"/>
            <w:hideMark/>
          </w:tcPr>
          <w:p w14:paraId="1C5E781F"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 xml:space="preserve">Imóveis de uso </w:t>
            </w:r>
          </w:p>
        </w:tc>
        <w:tc>
          <w:tcPr>
            <w:tcW w:w="392" w:type="pct"/>
            <w:tcBorders>
              <w:top w:val="nil"/>
              <w:left w:val="nil"/>
              <w:bottom w:val="nil"/>
              <w:right w:val="nil"/>
            </w:tcBorders>
            <w:shd w:val="clear" w:color="auto" w:fill="auto"/>
            <w:vAlign w:val="center"/>
            <w:hideMark/>
          </w:tcPr>
          <w:p w14:paraId="6F32F0A9" w14:textId="77777777" w:rsidR="009D2435" w:rsidRPr="00FF4346" w:rsidRDefault="009D2435" w:rsidP="009D2435">
            <w:pPr>
              <w:jc w:val="center"/>
              <w:rPr>
                <w:rFonts w:ascii="CAIXA Std Book" w:hAnsi="CAIXA Std Book"/>
                <w:b/>
                <w:color w:val="005CA9"/>
                <w:sz w:val="16"/>
                <w:szCs w:val="16"/>
              </w:rPr>
            </w:pPr>
            <w:r w:rsidRPr="00FF4346">
              <w:rPr>
                <w:rFonts w:ascii="CAIXA Std Book" w:hAnsi="CAIXA Std Book"/>
                <w:b/>
                <w:color w:val="005CA9"/>
                <w:sz w:val="16"/>
                <w:szCs w:val="16"/>
              </w:rPr>
              <w:t>-</w:t>
            </w:r>
          </w:p>
        </w:tc>
        <w:tc>
          <w:tcPr>
            <w:tcW w:w="608" w:type="pct"/>
            <w:tcBorders>
              <w:top w:val="nil"/>
              <w:left w:val="nil"/>
              <w:bottom w:val="nil"/>
              <w:right w:val="nil"/>
            </w:tcBorders>
            <w:shd w:val="clear" w:color="auto" w:fill="auto"/>
            <w:vAlign w:val="center"/>
          </w:tcPr>
          <w:p w14:paraId="10477477" w14:textId="0A35D791"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1.794.874</w:t>
            </w:r>
          </w:p>
        </w:tc>
        <w:tc>
          <w:tcPr>
            <w:tcW w:w="608" w:type="pct"/>
            <w:tcBorders>
              <w:top w:val="nil"/>
              <w:left w:val="nil"/>
              <w:bottom w:val="nil"/>
              <w:right w:val="nil"/>
            </w:tcBorders>
            <w:shd w:val="clear" w:color="auto" w:fill="auto"/>
            <w:vAlign w:val="center"/>
          </w:tcPr>
          <w:p w14:paraId="204BB074" w14:textId="4E9B925E"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(858.875)</w:t>
            </w:r>
          </w:p>
        </w:tc>
        <w:tc>
          <w:tcPr>
            <w:tcW w:w="527" w:type="pct"/>
            <w:tcBorders>
              <w:top w:val="nil"/>
              <w:left w:val="nil"/>
              <w:bottom w:val="nil"/>
              <w:right w:val="nil"/>
            </w:tcBorders>
            <w:shd w:val="clear" w:color="auto" w:fill="auto"/>
            <w:vAlign w:val="center"/>
          </w:tcPr>
          <w:p w14:paraId="12BD26F6" w14:textId="414AFEEF"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(30.281)</w:t>
            </w:r>
          </w:p>
        </w:tc>
        <w:tc>
          <w:tcPr>
            <w:tcW w:w="593" w:type="pct"/>
            <w:tcBorders>
              <w:top w:val="nil"/>
              <w:left w:val="nil"/>
              <w:bottom w:val="nil"/>
              <w:right w:val="nil"/>
            </w:tcBorders>
            <w:shd w:val="clear" w:color="auto" w:fill="auto"/>
            <w:vAlign w:val="center"/>
          </w:tcPr>
          <w:p w14:paraId="7D8C7684" w14:textId="7522E80B"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905.718</w:t>
            </w:r>
          </w:p>
        </w:tc>
        <w:tc>
          <w:tcPr>
            <w:tcW w:w="557" w:type="pct"/>
            <w:tcBorders>
              <w:top w:val="nil"/>
              <w:left w:val="nil"/>
              <w:bottom w:val="nil"/>
              <w:right w:val="nil"/>
            </w:tcBorders>
            <w:shd w:val="clear" w:color="auto" w:fill="auto"/>
            <w:vAlign w:val="center"/>
          </w:tcPr>
          <w:p w14:paraId="10ABAD47" w14:textId="0AD54417" w:rsidR="009D2435" w:rsidRPr="00FF4346" w:rsidRDefault="009D2435"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908.</w:t>
            </w:r>
            <w:r w:rsidR="00AA37D6" w:rsidRPr="00FF4346">
              <w:rPr>
                <w:rFonts w:ascii="CAIXA Std Book" w:hAnsi="CAIXA Std Book"/>
                <w:b/>
                <w:color w:val="005CA9"/>
                <w:sz w:val="16"/>
                <w:szCs w:val="16"/>
              </w:rPr>
              <w:t>144</w:t>
            </w:r>
          </w:p>
        </w:tc>
      </w:tr>
      <w:tr w:rsidR="009D2435" w:rsidRPr="0013769A" w14:paraId="6598E2F7" w14:textId="77777777" w:rsidTr="004F7AE7">
        <w:trPr>
          <w:trHeight w:val="283"/>
        </w:trPr>
        <w:tc>
          <w:tcPr>
            <w:tcW w:w="1715" w:type="pct"/>
            <w:tcBorders>
              <w:top w:val="nil"/>
              <w:left w:val="nil"/>
              <w:bottom w:val="nil"/>
              <w:right w:val="nil"/>
            </w:tcBorders>
            <w:shd w:val="clear" w:color="auto" w:fill="auto"/>
            <w:vAlign w:val="center"/>
            <w:hideMark/>
          </w:tcPr>
          <w:p w14:paraId="524495A2" w14:textId="77777777" w:rsidR="009D2435" w:rsidRPr="00FF4346" w:rsidRDefault="009D2435" w:rsidP="009D2435">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Edificações </w:t>
            </w:r>
          </w:p>
        </w:tc>
        <w:tc>
          <w:tcPr>
            <w:tcW w:w="392" w:type="pct"/>
            <w:tcBorders>
              <w:top w:val="nil"/>
              <w:left w:val="nil"/>
              <w:bottom w:val="nil"/>
              <w:right w:val="nil"/>
            </w:tcBorders>
            <w:shd w:val="clear" w:color="auto" w:fill="auto"/>
            <w:vAlign w:val="center"/>
            <w:hideMark/>
          </w:tcPr>
          <w:p w14:paraId="2C2D516D" w14:textId="77777777" w:rsidR="009D2435" w:rsidRPr="00FF4346" w:rsidRDefault="009D2435" w:rsidP="009D2435">
            <w:pPr>
              <w:jc w:val="center"/>
              <w:rPr>
                <w:rFonts w:ascii="CAIXA Std Book" w:hAnsi="CAIXA Std Book"/>
                <w:color w:val="005CA9"/>
                <w:sz w:val="16"/>
                <w:szCs w:val="16"/>
              </w:rPr>
            </w:pPr>
            <w:r w:rsidRPr="00FF4346">
              <w:rPr>
                <w:rFonts w:ascii="CAIXA Std Book" w:hAnsi="CAIXA Std Book"/>
                <w:color w:val="005CA9"/>
                <w:sz w:val="16"/>
                <w:szCs w:val="16"/>
              </w:rPr>
              <w:t>25</w:t>
            </w:r>
          </w:p>
        </w:tc>
        <w:tc>
          <w:tcPr>
            <w:tcW w:w="608" w:type="pct"/>
            <w:tcBorders>
              <w:top w:val="nil"/>
              <w:left w:val="nil"/>
              <w:bottom w:val="nil"/>
              <w:right w:val="nil"/>
            </w:tcBorders>
            <w:shd w:val="clear" w:color="auto" w:fill="auto"/>
            <w:vAlign w:val="center"/>
          </w:tcPr>
          <w:p w14:paraId="619999D0" w14:textId="572CEA4D"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1.587.159</w:t>
            </w:r>
          </w:p>
        </w:tc>
        <w:tc>
          <w:tcPr>
            <w:tcW w:w="608" w:type="pct"/>
            <w:tcBorders>
              <w:top w:val="nil"/>
              <w:left w:val="nil"/>
              <w:bottom w:val="nil"/>
              <w:right w:val="nil"/>
            </w:tcBorders>
            <w:shd w:val="clear" w:color="auto" w:fill="auto"/>
            <w:vAlign w:val="center"/>
          </w:tcPr>
          <w:p w14:paraId="5CAEAAE2" w14:textId="712572FF"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(858.875)</w:t>
            </w:r>
          </w:p>
        </w:tc>
        <w:tc>
          <w:tcPr>
            <w:tcW w:w="527" w:type="pct"/>
            <w:tcBorders>
              <w:top w:val="nil"/>
              <w:left w:val="nil"/>
              <w:bottom w:val="nil"/>
              <w:right w:val="nil"/>
            </w:tcBorders>
            <w:shd w:val="clear" w:color="auto" w:fill="auto"/>
            <w:vAlign w:val="center"/>
          </w:tcPr>
          <w:p w14:paraId="33DE96A4" w14:textId="44B99779"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(28.500)</w:t>
            </w:r>
          </w:p>
        </w:tc>
        <w:tc>
          <w:tcPr>
            <w:tcW w:w="593" w:type="pct"/>
            <w:tcBorders>
              <w:top w:val="nil"/>
              <w:left w:val="nil"/>
              <w:bottom w:val="nil"/>
              <w:right w:val="nil"/>
            </w:tcBorders>
            <w:shd w:val="clear" w:color="auto" w:fill="auto"/>
            <w:vAlign w:val="center"/>
          </w:tcPr>
          <w:p w14:paraId="7D45D2B0" w14:textId="1EF4DA18"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699.784</w:t>
            </w:r>
          </w:p>
        </w:tc>
        <w:tc>
          <w:tcPr>
            <w:tcW w:w="557" w:type="pct"/>
            <w:tcBorders>
              <w:top w:val="nil"/>
              <w:left w:val="nil"/>
              <w:bottom w:val="nil"/>
              <w:right w:val="nil"/>
            </w:tcBorders>
            <w:shd w:val="clear" w:color="auto" w:fill="auto"/>
            <w:vAlign w:val="center"/>
          </w:tcPr>
          <w:p w14:paraId="7AB0A438" w14:textId="05A77822" w:rsidR="009D2435" w:rsidRPr="00FF4346" w:rsidRDefault="00AA37D6" w:rsidP="009D2435">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701.690</w:t>
            </w:r>
          </w:p>
        </w:tc>
      </w:tr>
      <w:tr w:rsidR="009D2435" w:rsidRPr="0013769A" w14:paraId="242E5B9F" w14:textId="77777777" w:rsidTr="004F7AE7">
        <w:trPr>
          <w:trHeight w:val="283"/>
        </w:trPr>
        <w:tc>
          <w:tcPr>
            <w:tcW w:w="1715" w:type="pct"/>
            <w:tcBorders>
              <w:top w:val="nil"/>
              <w:left w:val="nil"/>
              <w:bottom w:val="nil"/>
              <w:right w:val="nil"/>
            </w:tcBorders>
            <w:shd w:val="clear" w:color="auto" w:fill="auto"/>
            <w:vAlign w:val="center"/>
            <w:hideMark/>
          </w:tcPr>
          <w:p w14:paraId="354809DA" w14:textId="77777777" w:rsidR="009D2435" w:rsidRPr="00FF4346" w:rsidRDefault="009D2435" w:rsidP="009D2435">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Terrenos </w:t>
            </w:r>
          </w:p>
        </w:tc>
        <w:tc>
          <w:tcPr>
            <w:tcW w:w="392" w:type="pct"/>
            <w:tcBorders>
              <w:top w:val="nil"/>
              <w:left w:val="nil"/>
              <w:bottom w:val="nil"/>
              <w:right w:val="nil"/>
            </w:tcBorders>
            <w:shd w:val="clear" w:color="auto" w:fill="auto"/>
            <w:vAlign w:val="center"/>
            <w:hideMark/>
          </w:tcPr>
          <w:p w14:paraId="27AECE28" w14:textId="77777777" w:rsidR="009D2435" w:rsidRPr="00FF4346" w:rsidRDefault="009D2435" w:rsidP="009D2435">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608" w:type="pct"/>
            <w:tcBorders>
              <w:top w:val="nil"/>
              <w:left w:val="nil"/>
              <w:bottom w:val="nil"/>
              <w:right w:val="nil"/>
            </w:tcBorders>
            <w:shd w:val="clear" w:color="auto" w:fill="auto"/>
            <w:vAlign w:val="center"/>
          </w:tcPr>
          <w:p w14:paraId="7827A5D3" w14:textId="325F9C18"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207.715</w:t>
            </w:r>
          </w:p>
        </w:tc>
        <w:tc>
          <w:tcPr>
            <w:tcW w:w="608" w:type="pct"/>
            <w:tcBorders>
              <w:top w:val="nil"/>
              <w:left w:val="nil"/>
              <w:bottom w:val="nil"/>
              <w:right w:val="nil"/>
            </w:tcBorders>
            <w:shd w:val="clear" w:color="auto" w:fill="auto"/>
            <w:vAlign w:val="center"/>
          </w:tcPr>
          <w:p w14:paraId="241192EE" w14:textId="24A9FC8C" w:rsidR="009D2435" w:rsidRPr="00FF4346" w:rsidRDefault="00225412" w:rsidP="003B2606">
            <w:pPr>
              <w:ind w:firstLineChars="100" w:firstLine="160"/>
              <w:jc w:val="center"/>
              <w:rPr>
                <w:rFonts w:ascii="CAIXA Std Book" w:hAnsi="CAIXA Std Book"/>
                <w:color w:val="005CA9"/>
                <w:sz w:val="16"/>
                <w:szCs w:val="16"/>
              </w:rPr>
            </w:pPr>
            <w:r>
              <w:rPr>
                <w:rFonts w:ascii="CAIXA Std Book" w:hAnsi="CAIXA Std Book"/>
                <w:color w:val="005CA9"/>
                <w:sz w:val="16"/>
                <w:szCs w:val="16"/>
              </w:rPr>
              <w:t>-</w:t>
            </w:r>
          </w:p>
        </w:tc>
        <w:tc>
          <w:tcPr>
            <w:tcW w:w="527" w:type="pct"/>
            <w:tcBorders>
              <w:top w:val="nil"/>
              <w:left w:val="nil"/>
              <w:bottom w:val="nil"/>
              <w:right w:val="nil"/>
            </w:tcBorders>
            <w:shd w:val="clear" w:color="auto" w:fill="auto"/>
            <w:vAlign w:val="center"/>
          </w:tcPr>
          <w:p w14:paraId="513E70ED" w14:textId="18F4023D"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(1.781)</w:t>
            </w:r>
          </w:p>
        </w:tc>
        <w:tc>
          <w:tcPr>
            <w:tcW w:w="593" w:type="pct"/>
            <w:tcBorders>
              <w:top w:val="nil"/>
              <w:left w:val="nil"/>
              <w:bottom w:val="nil"/>
              <w:right w:val="nil"/>
            </w:tcBorders>
            <w:shd w:val="clear" w:color="auto" w:fill="auto"/>
            <w:vAlign w:val="center"/>
          </w:tcPr>
          <w:p w14:paraId="637F2457" w14:textId="64069681"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205.934</w:t>
            </w:r>
          </w:p>
        </w:tc>
        <w:tc>
          <w:tcPr>
            <w:tcW w:w="557" w:type="pct"/>
            <w:tcBorders>
              <w:top w:val="nil"/>
              <w:left w:val="nil"/>
              <w:bottom w:val="nil"/>
              <w:right w:val="nil"/>
            </w:tcBorders>
            <w:shd w:val="clear" w:color="auto" w:fill="auto"/>
            <w:vAlign w:val="center"/>
          </w:tcPr>
          <w:p w14:paraId="1FA1FB31" w14:textId="31112B3B" w:rsidR="009D2435" w:rsidRPr="00FF4346" w:rsidRDefault="00AA37D6" w:rsidP="009D2435">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206.454</w:t>
            </w:r>
          </w:p>
        </w:tc>
      </w:tr>
      <w:tr w:rsidR="009D2435" w:rsidRPr="0013769A" w14:paraId="6C149EA0" w14:textId="77777777" w:rsidTr="004F7AE7">
        <w:trPr>
          <w:trHeight w:val="283"/>
        </w:trPr>
        <w:tc>
          <w:tcPr>
            <w:tcW w:w="1715" w:type="pct"/>
            <w:tcBorders>
              <w:top w:val="nil"/>
              <w:left w:val="nil"/>
              <w:bottom w:val="nil"/>
              <w:right w:val="nil"/>
            </w:tcBorders>
            <w:shd w:val="clear" w:color="auto" w:fill="auto"/>
            <w:vAlign w:val="center"/>
            <w:hideMark/>
          </w:tcPr>
          <w:p w14:paraId="217DADEB"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Benfeitorias em imóveis de terceiros</w:t>
            </w:r>
          </w:p>
        </w:tc>
        <w:tc>
          <w:tcPr>
            <w:tcW w:w="392" w:type="pct"/>
            <w:tcBorders>
              <w:top w:val="nil"/>
              <w:left w:val="nil"/>
              <w:bottom w:val="nil"/>
              <w:right w:val="nil"/>
            </w:tcBorders>
            <w:shd w:val="clear" w:color="auto" w:fill="auto"/>
            <w:vAlign w:val="center"/>
            <w:hideMark/>
          </w:tcPr>
          <w:p w14:paraId="6D85CAF6" w14:textId="77777777" w:rsidR="009D2435" w:rsidRPr="00FF4346" w:rsidRDefault="009D2435" w:rsidP="009D2435">
            <w:pPr>
              <w:jc w:val="center"/>
              <w:rPr>
                <w:rFonts w:ascii="CAIXA Std Book" w:hAnsi="CAIXA Std Book"/>
                <w:b/>
                <w:bCs/>
                <w:color w:val="005CA9"/>
                <w:sz w:val="16"/>
                <w:szCs w:val="16"/>
              </w:rPr>
            </w:pPr>
            <w:r w:rsidRPr="00FF4346">
              <w:rPr>
                <w:rFonts w:ascii="CAIXA Std Book" w:hAnsi="CAIXA Std Book"/>
                <w:b/>
                <w:bCs/>
                <w:color w:val="005CA9"/>
                <w:sz w:val="16"/>
                <w:szCs w:val="16"/>
              </w:rPr>
              <w:t>5</w:t>
            </w:r>
          </w:p>
        </w:tc>
        <w:tc>
          <w:tcPr>
            <w:tcW w:w="608" w:type="pct"/>
            <w:tcBorders>
              <w:top w:val="nil"/>
              <w:left w:val="nil"/>
              <w:bottom w:val="nil"/>
              <w:right w:val="nil"/>
            </w:tcBorders>
            <w:shd w:val="clear" w:color="auto" w:fill="auto"/>
            <w:vAlign w:val="center"/>
          </w:tcPr>
          <w:p w14:paraId="40C84138" w14:textId="6BC8C37A"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2.404.330</w:t>
            </w:r>
          </w:p>
        </w:tc>
        <w:tc>
          <w:tcPr>
            <w:tcW w:w="608" w:type="pct"/>
            <w:tcBorders>
              <w:top w:val="nil"/>
              <w:left w:val="nil"/>
              <w:bottom w:val="nil"/>
              <w:right w:val="nil"/>
            </w:tcBorders>
            <w:shd w:val="clear" w:color="auto" w:fill="auto"/>
            <w:vAlign w:val="center"/>
          </w:tcPr>
          <w:p w14:paraId="5D7AD2F0" w14:textId="10001FC0"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(1.894.911)</w:t>
            </w:r>
          </w:p>
        </w:tc>
        <w:tc>
          <w:tcPr>
            <w:tcW w:w="527" w:type="pct"/>
            <w:tcBorders>
              <w:top w:val="nil"/>
              <w:left w:val="nil"/>
              <w:bottom w:val="nil"/>
              <w:right w:val="nil"/>
            </w:tcBorders>
            <w:shd w:val="clear" w:color="auto" w:fill="auto"/>
            <w:vAlign w:val="center"/>
          </w:tcPr>
          <w:p w14:paraId="4BFB39F9" w14:textId="6FCEC91C"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(143)</w:t>
            </w:r>
          </w:p>
        </w:tc>
        <w:tc>
          <w:tcPr>
            <w:tcW w:w="593" w:type="pct"/>
            <w:tcBorders>
              <w:top w:val="nil"/>
              <w:left w:val="nil"/>
              <w:bottom w:val="nil"/>
              <w:right w:val="nil"/>
            </w:tcBorders>
            <w:shd w:val="clear" w:color="auto" w:fill="auto"/>
            <w:vAlign w:val="center"/>
          </w:tcPr>
          <w:p w14:paraId="7FEBD7CD" w14:textId="6B06387F"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509.276</w:t>
            </w:r>
          </w:p>
        </w:tc>
        <w:tc>
          <w:tcPr>
            <w:tcW w:w="557" w:type="pct"/>
            <w:tcBorders>
              <w:top w:val="nil"/>
              <w:left w:val="nil"/>
              <w:bottom w:val="nil"/>
              <w:right w:val="nil"/>
            </w:tcBorders>
            <w:shd w:val="clear" w:color="auto" w:fill="auto"/>
            <w:vAlign w:val="center"/>
          </w:tcPr>
          <w:p w14:paraId="15C2C537" w14:textId="722AC297" w:rsidR="009D2435" w:rsidRPr="00FF4346" w:rsidRDefault="00AA37D6"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499.576</w:t>
            </w:r>
          </w:p>
        </w:tc>
      </w:tr>
      <w:tr w:rsidR="009D2435" w:rsidRPr="0013769A" w14:paraId="4852A693" w14:textId="77777777" w:rsidTr="004F7AE7">
        <w:trPr>
          <w:trHeight w:val="283"/>
        </w:trPr>
        <w:tc>
          <w:tcPr>
            <w:tcW w:w="1715" w:type="pct"/>
            <w:tcBorders>
              <w:top w:val="nil"/>
              <w:left w:val="nil"/>
              <w:bottom w:val="nil"/>
              <w:right w:val="nil"/>
            </w:tcBorders>
            <w:shd w:val="clear" w:color="auto" w:fill="auto"/>
            <w:vAlign w:val="center"/>
            <w:hideMark/>
          </w:tcPr>
          <w:p w14:paraId="6E16638C"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Imobilizações em curso</w:t>
            </w:r>
          </w:p>
        </w:tc>
        <w:tc>
          <w:tcPr>
            <w:tcW w:w="392" w:type="pct"/>
            <w:tcBorders>
              <w:top w:val="nil"/>
              <w:left w:val="nil"/>
              <w:bottom w:val="nil"/>
              <w:right w:val="nil"/>
            </w:tcBorders>
            <w:shd w:val="clear" w:color="auto" w:fill="auto"/>
            <w:vAlign w:val="center"/>
            <w:hideMark/>
          </w:tcPr>
          <w:p w14:paraId="6BF5E2C6" w14:textId="77777777" w:rsidR="009D2435" w:rsidRPr="00FF4346" w:rsidRDefault="009D2435" w:rsidP="009D2435">
            <w:pPr>
              <w:jc w:val="center"/>
              <w:rPr>
                <w:rFonts w:ascii="CAIXA Std Book" w:hAnsi="CAIXA Std Book"/>
                <w:b/>
                <w:bCs/>
                <w:color w:val="005CA9"/>
                <w:sz w:val="16"/>
                <w:szCs w:val="16"/>
              </w:rPr>
            </w:pPr>
            <w:r w:rsidRPr="00FF4346">
              <w:rPr>
                <w:rFonts w:ascii="CAIXA Std Book" w:hAnsi="CAIXA Std Book"/>
                <w:b/>
                <w:bCs/>
                <w:color w:val="005CA9"/>
                <w:sz w:val="16"/>
                <w:szCs w:val="16"/>
              </w:rPr>
              <w:t>-</w:t>
            </w:r>
          </w:p>
        </w:tc>
        <w:tc>
          <w:tcPr>
            <w:tcW w:w="608" w:type="pct"/>
            <w:tcBorders>
              <w:top w:val="nil"/>
              <w:left w:val="nil"/>
              <w:bottom w:val="nil"/>
              <w:right w:val="nil"/>
            </w:tcBorders>
            <w:shd w:val="clear" w:color="auto" w:fill="auto"/>
            <w:vAlign w:val="center"/>
          </w:tcPr>
          <w:p w14:paraId="5309BBF1" w14:textId="68B24DC1"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272.947</w:t>
            </w:r>
          </w:p>
        </w:tc>
        <w:tc>
          <w:tcPr>
            <w:tcW w:w="608" w:type="pct"/>
            <w:tcBorders>
              <w:top w:val="nil"/>
              <w:left w:val="nil"/>
              <w:bottom w:val="nil"/>
              <w:right w:val="nil"/>
            </w:tcBorders>
            <w:shd w:val="clear" w:color="auto" w:fill="auto"/>
            <w:vAlign w:val="center"/>
          </w:tcPr>
          <w:p w14:paraId="377BE9B0" w14:textId="0D522D8C" w:rsidR="009D2435" w:rsidRPr="00FF4346" w:rsidRDefault="00225412" w:rsidP="003B2606">
            <w:pPr>
              <w:ind w:firstLineChars="100" w:firstLine="157"/>
              <w:jc w:val="center"/>
              <w:rPr>
                <w:rFonts w:ascii="CAIXA Std Book" w:hAnsi="CAIXA Std Book"/>
                <w:b/>
                <w:color w:val="005CA9"/>
                <w:sz w:val="16"/>
                <w:szCs w:val="16"/>
              </w:rPr>
            </w:pPr>
            <w:r>
              <w:rPr>
                <w:rFonts w:ascii="CAIXA Std Book" w:hAnsi="CAIXA Std Book"/>
                <w:b/>
                <w:color w:val="005CA9"/>
                <w:sz w:val="16"/>
                <w:szCs w:val="16"/>
              </w:rPr>
              <w:t>-</w:t>
            </w:r>
          </w:p>
        </w:tc>
        <w:tc>
          <w:tcPr>
            <w:tcW w:w="527" w:type="pct"/>
            <w:tcBorders>
              <w:top w:val="nil"/>
              <w:left w:val="nil"/>
              <w:bottom w:val="nil"/>
              <w:right w:val="nil"/>
            </w:tcBorders>
            <w:shd w:val="clear" w:color="auto" w:fill="auto"/>
            <w:vAlign w:val="center"/>
          </w:tcPr>
          <w:p w14:paraId="27C0D650" w14:textId="1B5DDB6D" w:rsidR="009D2435" w:rsidRPr="00FF4346" w:rsidRDefault="00FD3E84" w:rsidP="003B2606">
            <w:pPr>
              <w:ind w:firstLineChars="100" w:firstLine="157"/>
              <w:jc w:val="center"/>
              <w:rPr>
                <w:rFonts w:ascii="CAIXA Std Book" w:hAnsi="CAIXA Std Book"/>
                <w:b/>
                <w:color w:val="005CA9"/>
                <w:sz w:val="16"/>
                <w:szCs w:val="16"/>
              </w:rPr>
            </w:pPr>
            <w:r w:rsidRPr="00FD3E84">
              <w:rPr>
                <w:rFonts w:ascii="CAIXA Std Book" w:hAnsi="CAIXA Std Book"/>
                <w:b/>
                <w:color w:val="005CA9"/>
                <w:sz w:val="16"/>
                <w:szCs w:val="16"/>
              </w:rPr>
              <w:t>-</w:t>
            </w:r>
          </w:p>
        </w:tc>
        <w:tc>
          <w:tcPr>
            <w:tcW w:w="593" w:type="pct"/>
            <w:tcBorders>
              <w:top w:val="nil"/>
              <w:left w:val="nil"/>
              <w:bottom w:val="nil"/>
              <w:right w:val="nil"/>
            </w:tcBorders>
            <w:shd w:val="clear" w:color="auto" w:fill="auto"/>
            <w:vAlign w:val="center"/>
          </w:tcPr>
          <w:p w14:paraId="2BEA7895" w14:textId="7AB7B72A"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272.947</w:t>
            </w:r>
          </w:p>
        </w:tc>
        <w:tc>
          <w:tcPr>
            <w:tcW w:w="557" w:type="pct"/>
            <w:tcBorders>
              <w:top w:val="nil"/>
              <w:left w:val="nil"/>
              <w:bottom w:val="nil"/>
              <w:right w:val="nil"/>
            </w:tcBorders>
            <w:shd w:val="clear" w:color="auto" w:fill="auto"/>
            <w:vAlign w:val="center"/>
          </w:tcPr>
          <w:p w14:paraId="5D20A479" w14:textId="3311E770" w:rsidR="009D2435" w:rsidRPr="00FF4346" w:rsidRDefault="00AA37D6"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260.853</w:t>
            </w:r>
          </w:p>
        </w:tc>
      </w:tr>
      <w:tr w:rsidR="009D2435" w:rsidRPr="0013769A" w14:paraId="338B1622" w14:textId="77777777" w:rsidTr="004F7AE7">
        <w:trPr>
          <w:trHeight w:val="283"/>
        </w:trPr>
        <w:tc>
          <w:tcPr>
            <w:tcW w:w="1715" w:type="pct"/>
            <w:tcBorders>
              <w:top w:val="nil"/>
              <w:left w:val="nil"/>
              <w:bottom w:val="nil"/>
              <w:right w:val="nil"/>
            </w:tcBorders>
            <w:shd w:val="clear" w:color="auto" w:fill="auto"/>
            <w:vAlign w:val="center"/>
            <w:hideMark/>
          </w:tcPr>
          <w:p w14:paraId="25CD2F78"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Móveis e equipamentos de uso</w:t>
            </w:r>
          </w:p>
        </w:tc>
        <w:tc>
          <w:tcPr>
            <w:tcW w:w="392" w:type="pct"/>
            <w:tcBorders>
              <w:top w:val="nil"/>
              <w:left w:val="nil"/>
              <w:bottom w:val="nil"/>
              <w:right w:val="nil"/>
            </w:tcBorders>
            <w:shd w:val="clear" w:color="auto" w:fill="auto"/>
            <w:vAlign w:val="center"/>
            <w:hideMark/>
          </w:tcPr>
          <w:p w14:paraId="4BA2CECF" w14:textId="77777777" w:rsidR="009D2435" w:rsidRPr="00FF4346" w:rsidRDefault="009D2435" w:rsidP="009D2435">
            <w:pPr>
              <w:jc w:val="center"/>
              <w:rPr>
                <w:rFonts w:ascii="CAIXA Std Book" w:hAnsi="CAIXA Std Book"/>
                <w:b/>
                <w:bCs/>
                <w:color w:val="005CA9"/>
                <w:sz w:val="16"/>
                <w:szCs w:val="16"/>
              </w:rPr>
            </w:pPr>
            <w:r w:rsidRPr="00FF4346">
              <w:rPr>
                <w:rFonts w:ascii="CAIXA Std Book" w:hAnsi="CAIXA Std Book"/>
                <w:b/>
                <w:bCs/>
                <w:color w:val="005CA9"/>
                <w:sz w:val="16"/>
                <w:szCs w:val="16"/>
              </w:rPr>
              <w:t>-</w:t>
            </w:r>
          </w:p>
        </w:tc>
        <w:tc>
          <w:tcPr>
            <w:tcW w:w="608" w:type="pct"/>
            <w:tcBorders>
              <w:top w:val="nil"/>
              <w:left w:val="nil"/>
              <w:bottom w:val="nil"/>
              <w:right w:val="nil"/>
            </w:tcBorders>
            <w:shd w:val="clear" w:color="auto" w:fill="auto"/>
            <w:vAlign w:val="center"/>
          </w:tcPr>
          <w:p w14:paraId="3FE4A83A" w14:textId="74FACCE7"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6.301.844</w:t>
            </w:r>
          </w:p>
        </w:tc>
        <w:tc>
          <w:tcPr>
            <w:tcW w:w="608" w:type="pct"/>
            <w:tcBorders>
              <w:top w:val="nil"/>
              <w:left w:val="nil"/>
              <w:bottom w:val="nil"/>
              <w:right w:val="nil"/>
            </w:tcBorders>
            <w:shd w:val="clear" w:color="auto" w:fill="auto"/>
            <w:vAlign w:val="center"/>
          </w:tcPr>
          <w:p w14:paraId="4216886B" w14:textId="5493A37E"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(5.201.665)</w:t>
            </w:r>
          </w:p>
        </w:tc>
        <w:tc>
          <w:tcPr>
            <w:tcW w:w="527" w:type="pct"/>
            <w:tcBorders>
              <w:top w:val="nil"/>
              <w:left w:val="nil"/>
              <w:bottom w:val="nil"/>
              <w:right w:val="nil"/>
            </w:tcBorders>
            <w:shd w:val="clear" w:color="auto" w:fill="auto"/>
            <w:vAlign w:val="center"/>
          </w:tcPr>
          <w:p w14:paraId="757C586B" w14:textId="3EF3F011" w:rsidR="009D2435" w:rsidRPr="00FF4346" w:rsidRDefault="00FD3E84" w:rsidP="003B2606">
            <w:pPr>
              <w:ind w:firstLineChars="100" w:firstLine="157"/>
              <w:jc w:val="center"/>
              <w:rPr>
                <w:rFonts w:ascii="CAIXA Std Book" w:hAnsi="CAIXA Std Book"/>
                <w:b/>
                <w:color w:val="005CA9"/>
                <w:sz w:val="16"/>
                <w:szCs w:val="16"/>
              </w:rPr>
            </w:pPr>
            <w:r w:rsidRPr="00FD3E84">
              <w:rPr>
                <w:rFonts w:ascii="CAIXA Std Book" w:hAnsi="CAIXA Std Book"/>
                <w:b/>
                <w:color w:val="005CA9"/>
                <w:sz w:val="16"/>
                <w:szCs w:val="16"/>
              </w:rPr>
              <w:t>-</w:t>
            </w:r>
          </w:p>
        </w:tc>
        <w:tc>
          <w:tcPr>
            <w:tcW w:w="593" w:type="pct"/>
            <w:tcBorders>
              <w:top w:val="nil"/>
              <w:left w:val="nil"/>
              <w:bottom w:val="nil"/>
              <w:right w:val="nil"/>
            </w:tcBorders>
            <w:shd w:val="clear" w:color="auto" w:fill="auto"/>
            <w:vAlign w:val="center"/>
          </w:tcPr>
          <w:p w14:paraId="3E59021F" w14:textId="2F4D871B"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1.100.179</w:t>
            </w:r>
          </w:p>
        </w:tc>
        <w:tc>
          <w:tcPr>
            <w:tcW w:w="557" w:type="pct"/>
            <w:tcBorders>
              <w:top w:val="nil"/>
              <w:left w:val="nil"/>
              <w:bottom w:val="nil"/>
              <w:right w:val="nil"/>
            </w:tcBorders>
            <w:shd w:val="clear" w:color="auto" w:fill="auto"/>
            <w:vAlign w:val="center"/>
          </w:tcPr>
          <w:p w14:paraId="77B345D6" w14:textId="059E394E" w:rsidR="009D2435" w:rsidRPr="00FF4346" w:rsidRDefault="00AA37D6"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1.045.584</w:t>
            </w:r>
          </w:p>
        </w:tc>
      </w:tr>
      <w:tr w:rsidR="009D2435" w:rsidRPr="0013769A" w14:paraId="03875528" w14:textId="77777777" w:rsidTr="004F7AE7">
        <w:trPr>
          <w:trHeight w:val="283"/>
        </w:trPr>
        <w:tc>
          <w:tcPr>
            <w:tcW w:w="1715" w:type="pct"/>
            <w:tcBorders>
              <w:top w:val="nil"/>
              <w:left w:val="nil"/>
              <w:bottom w:val="nil"/>
              <w:right w:val="nil"/>
            </w:tcBorders>
            <w:shd w:val="clear" w:color="auto" w:fill="auto"/>
            <w:vAlign w:val="center"/>
            <w:hideMark/>
          </w:tcPr>
          <w:p w14:paraId="79DCE5B3" w14:textId="5CBF9043" w:rsidR="009D2435" w:rsidRPr="00FF4346" w:rsidRDefault="009D2435" w:rsidP="009D2435">
            <w:pPr>
              <w:ind w:firstLineChars="100" w:firstLine="160"/>
              <w:rPr>
                <w:rFonts w:ascii="CAIXA Std Book" w:hAnsi="CAIXA Std Book"/>
                <w:color w:val="005CA9"/>
                <w:sz w:val="16"/>
                <w:szCs w:val="16"/>
              </w:rPr>
            </w:pPr>
            <w:r w:rsidRPr="00FF4346">
              <w:rPr>
                <w:rFonts w:ascii="CAIXA Std Book" w:hAnsi="CAIXA Std Book"/>
                <w:color w:val="005CA9"/>
                <w:sz w:val="16"/>
                <w:szCs w:val="16"/>
              </w:rPr>
              <w:t>Sistema de comunicação e de segurança</w:t>
            </w:r>
          </w:p>
        </w:tc>
        <w:tc>
          <w:tcPr>
            <w:tcW w:w="392" w:type="pct"/>
            <w:tcBorders>
              <w:top w:val="nil"/>
              <w:left w:val="nil"/>
              <w:bottom w:val="nil"/>
              <w:right w:val="nil"/>
            </w:tcBorders>
            <w:shd w:val="clear" w:color="auto" w:fill="auto"/>
            <w:vAlign w:val="center"/>
            <w:hideMark/>
          </w:tcPr>
          <w:p w14:paraId="2A64EB94" w14:textId="1B51EBAF" w:rsidR="009D2435" w:rsidRPr="00FF4346" w:rsidRDefault="009D2435" w:rsidP="009D2435">
            <w:pPr>
              <w:jc w:val="center"/>
              <w:rPr>
                <w:rFonts w:ascii="CAIXA Std Book" w:hAnsi="CAIXA Std Book"/>
                <w:color w:val="005CA9"/>
                <w:sz w:val="16"/>
                <w:szCs w:val="16"/>
              </w:rPr>
            </w:pPr>
            <w:r w:rsidRPr="00FF4346">
              <w:rPr>
                <w:rFonts w:ascii="CAIXA Std Book" w:hAnsi="CAIXA Std Book"/>
                <w:color w:val="005CA9"/>
                <w:sz w:val="16"/>
                <w:szCs w:val="16"/>
              </w:rPr>
              <w:t>5 a 10</w:t>
            </w:r>
          </w:p>
        </w:tc>
        <w:tc>
          <w:tcPr>
            <w:tcW w:w="608" w:type="pct"/>
            <w:tcBorders>
              <w:top w:val="nil"/>
              <w:left w:val="nil"/>
              <w:bottom w:val="nil"/>
              <w:right w:val="nil"/>
            </w:tcBorders>
            <w:shd w:val="clear" w:color="auto" w:fill="auto"/>
            <w:vAlign w:val="center"/>
          </w:tcPr>
          <w:p w14:paraId="7CAE67CD" w14:textId="4C44E2DC"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807.938</w:t>
            </w:r>
          </w:p>
        </w:tc>
        <w:tc>
          <w:tcPr>
            <w:tcW w:w="608" w:type="pct"/>
            <w:tcBorders>
              <w:top w:val="nil"/>
              <w:left w:val="nil"/>
              <w:bottom w:val="nil"/>
              <w:right w:val="nil"/>
            </w:tcBorders>
            <w:shd w:val="clear" w:color="auto" w:fill="auto"/>
            <w:vAlign w:val="center"/>
          </w:tcPr>
          <w:p w14:paraId="49D117E9" w14:textId="09BFF9C7"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(663.297)</w:t>
            </w:r>
          </w:p>
        </w:tc>
        <w:tc>
          <w:tcPr>
            <w:tcW w:w="527" w:type="pct"/>
            <w:tcBorders>
              <w:top w:val="nil"/>
              <w:left w:val="nil"/>
              <w:bottom w:val="nil"/>
              <w:right w:val="nil"/>
            </w:tcBorders>
            <w:shd w:val="clear" w:color="auto" w:fill="auto"/>
            <w:vAlign w:val="center"/>
          </w:tcPr>
          <w:p w14:paraId="758F29F8" w14:textId="24DDF154" w:rsidR="009D2435" w:rsidRPr="00FF4346" w:rsidRDefault="00FD3E84" w:rsidP="003B2606">
            <w:pPr>
              <w:ind w:firstLineChars="100" w:firstLine="160"/>
              <w:jc w:val="center"/>
              <w:rPr>
                <w:rFonts w:ascii="CAIXA Std Book" w:hAnsi="CAIXA Std Book"/>
                <w:color w:val="005CA9"/>
                <w:sz w:val="16"/>
                <w:szCs w:val="16"/>
              </w:rPr>
            </w:pPr>
            <w:r w:rsidRPr="00FD3E84">
              <w:rPr>
                <w:rFonts w:ascii="CAIXA Std Book" w:hAnsi="CAIXA Std Book"/>
                <w:color w:val="005CA9"/>
                <w:sz w:val="16"/>
                <w:szCs w:val="16"/>
              </w:rPr>
              <w:t>-</w:t>
            </w:r>
          </w:p>
        </w:tc>
        <w:tc>
          <w:tcPr>
            <w:tcW w:w="593" w:type="pct"/>
            <w:tcBorders>
              <w:top w:val="nil"/>
              <w:left w:val="nil"/>
              <w:bottom w:val="nil"/>
              <w:right w:val="nil"/>
            </w:tcBorders>
            <w:shd w:val="clear" w:color="auto" w:fill="auto"/>
            <w:vAlign w:val="center"/>
          </w:tcPr>
          <w:p w14:paraId="104A179E" w14:textId="717FF988"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144.641</w:t>
            </w:r>
          </w:p>
        </w:tc>
        <w:tc>
          <w:tcPr>
            <w:tcW w:w="557" w:type="pct"/>
            <w:tcBorders>
              <w:top w:val="nil"/>
              <w:left w:val="nil"/>
              <w:bottom w:val="nil"/>
              <w:right w:val="nil"/>
            </w:tcBorders>
            <w:shd w:val="clear" w:color="auto" w:fill="auto"/>
            <w:vAlign w:val="center"/>
          </w:tcPr>
          <w:p w14:paraId="0578BA14" w14:textId="502C8AB4" w:rsidR="009D2435" w:rsidRPr="00FF4346" w:rsidRDefault="00AA37D6" w:rsidP="009D2435">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135.168</w:t>
            </w:r>
          </w:p>
        </w:tc>
      </w:tr>
      <w:tr w:rsidR="009D2435" w:rsidRPr="0013769A" w14:paraId="0E3C860D" w14:textId="77777777" w:rsidTr="004F7AE7">
        <w:trPr>
          <w:trHeight w:val="283"/>
        </w:trPr>
        <w:tc>
          <w:tcPr>
            <w:tcW w:w="1715" w:type="pct"/>
            <w:tcBorders>
              <w:top w:val="nil"/>
              <w:left w:val="nil"/>
              <w:bottom w:val="nil"/>
              <w:right w:val="nil"/>
            </w:tcBorders>
            <w:shd w:val="clear" w:color="auto" w:fill="auto"/>
            <w:vAlign w:val="center"/>
            <w:hideMark/>
          </w:tcPr>
          <w:p w14:paraId="79DA825F" w14:textId="77777777" w:rsidR="009D2435" w:rsidRPr="00FF4346" w:rsidRDefault="009D2435" w:rsidP="009D2435">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Sistema de processamento de dados </w:t>
            </w:r>
          </w:p>
        </w:tc>
        <w:tc>
          <w:tcPr>
            <w:tcW w:w="392" w:type="pct"/>
            <w:tcBorders>
              <w:top w:val="nil"/>
              <w:left w:val="nil"/>
              <w:bottom w:val="nil"/>
              <w:right w:val="nil"/>
            </w:tcBorders>
            <w:shd w:val="clear" w:color="auto" w:fill="auto"/>
            <w:vAlign w:val="center"/>
            <w:hideMark/>
          </w:tcPr>
          <w:p w14:paraId="4EC8621C" w14:textId="77777777" w:rsidR="009D2435" w:rsidRPr="00FF4346" w:rsidRDefault="009D2435" w:rsidP="009D2435">
            <w:pPr>
              <w:jc w:val="center"/>
              <w:rPr>
                <w:rFonts w:ascii="CAIXA Std Book" w:hAnsi="CAIXA Std Book"/>
                <w:color w:val="005CA9"/>
                <w:sz w:val="16"/>
                <w:szCs w:val="16"/>
              </w:rPr>
            </w:pPr>
            <w:r w:rsidRPr="00FF4346">
              <w:rPr>
                <w:rFonts w:ascii="CAIXA Std Book" w:hAnsi="CAIXA Std Book"/>
                <w:color w:val="005CA9"/>
                <w:sz w:val="16"/>
                <w:szCs w:val="16"/>
              </w:rPr>
              <w:t>5</w:t>
            </w:r>
          </w:p>
        </w:tc>
        <w:tc>
          <w:tcPr>
            <w:tcW w:w="608" w:type="pct"/>
            <w:tcBorders>
              <w:top w:val="nil"/>
              <w:left w:val="nil"/>
              <w:bottom w:val="nil"/>
              <w:right w:val="nil"/>
            </w:tcBorders>
            <w:shd w:val="clear" w:color="auto" w:fill="auto"/>
            <w:vAlign w:val="center"/>
          </w:tcPr>
          <w:p w14:paraId="78689FB7" w14:textId="5594C453"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5.493.906</w:t>
            </w:r>
          </w:p>
        </w:tc>
        <w:tc>
          <w:tcPr>
            <w:tcW w:w="608" w:type="pct"/>
            <w:tcBorders>
              <w:top w:val="nil"/>
              <w:left w:val="nil"/>
              <w:bottom w:val="nil"/>
              <w:right w:val="nil"/>
            </w:tcBorders>
            <w:shd w:val="clear" w:color="auto" w:fill="auto"/>
            <w:vAlign w:val="center"/>
          </w:tcPr>
          <w:p w14:paraId="60C41DA0" w14:textId="473C8FF9"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(4.538.368)</w:t>
            </w:r>
          </w:p>
        </w:tc>
        <w:tc>
          <w:tcPr>
            <w:tcW w:w="527" w:type="pct"/>
            <w:tcBorders>
              <w:top w:val="nil"/>
              <w:left w:val="nil"/>
              <w:bottom w:val="nil"/>
              <w:right w:val="nil"/>
            </w:tcBorders>
            <w:shd w:val="clear" w:color="auto" w:fill="auto"/>
            <w:vAlign w:val="center"/>
          </w:tcPr>
          <w:p w14:paraId="5EB15D90" w14:textId="796C2BE7" w:rsidR="009D2435" w:rsidRPr="00FF4346" w:rsidRDefault="00FD3E84" w:rsidP="003B2606">
            <w:pPr>
              <w:ind w:firstLineChars="100" w:firstLine="160"/>
              <w:jc w:val="center"/>
              <w:rPr>
                <w:rFonts w:ascii="CAIXA Std Book" w:hAnsi="CAIXA Std Book"/>
                <w:color w:val="005CA9"/>
                <w:sz w:val="16"/>
                <w:szCs w:val="16"/>
              </w:rPr>
            </w:pPr>
            <w:r w:rsidRPr="00FD3E84">
              <w:rPr>
                <w:rFonts w:ascii="CAIXA Std Book" w:hAnsi="CAIXA Std Book"/>
                <w:color w:val="005CA9"/>
                <w:sz w:val="16"/>
                <w:szCs w:val="16"/>
              </w:rPr>
              <w:t>-</w:t>
            </w:r>
          </w:p>
        </w:tc>
        <w:tc>
          <w:tcPr>
            <w:tcW w:w="593" w:type="pct"/>
            <w:tcBorders>
              <w:top w:val="nil"/>
              <w:left w:val="nil"/>
              <w:bottom w:val="nil"/>
              <w:right w:val="nil"/>
            </w:tcBorders>
            <w:shd w:val="clear" w:color="auto" w:fill="auto"/>
            <w:vAlign w:val="center"/>
          </w:tcPr>
          <w:p w14:paraId="555F405E" w14:textId="45DD4510" w:rsidR="009D2435" w:rsidRPr="00FF4346" w:rsidRDefault="00FD3E84" w:rsidP="00637389">
            <w:pPr>
              <w:ind w:firstLineChars="100" w:firstLine="160"/>
              <w:jc w:val="right"/>
              <w:rPr>
                <w:rFonts w:ascii="CAIXA Std Book" w:hAnsi="CAIXA Std Book"/>
                <w:color w:val="005CA9"/>
                <w:sz w:val="16"/>
                <w:szCs w:val="16"/>
              </w:rPr>
            </w:pPr>
            <w:r w:rsidRPr="00FD3E84">
              <w:rPr>
                <w:rFonts w:ascii="CAIXA Std Book" w:hAnsi="CAIXA Std Book"/>
                <w:color w:val="005CA9"/>
                <w:sz w:val="16"/>
                <w:szCs w:val="16"/>
              </w:rPr>
              <w:t>955.538</w:t>
            </w:r>
          </w:p>
        </w:tc>
        <w:tc>
          <w:tcPr>
            <w:tcW w:w="557" w:type="pct"/>
            <w:tcBorders>
              <w:top w:val="nil"/>
              <w:left w:val="nil"/>
              <w:bottom w:val="nil"/>
              <w:right w:val="nil"/>
            </w:tcBorders>
            <w:shd w:val="clear" w:color="auto" w:fill="auto"/>
            <w:vAlign w:val="center"/>
          </w:tcPr>
          <w:p w14:paraId="423534EF" w14:textId="2BB13601" w:rsidR="009D2435" w:rsidRPr="00FF4346" w:rsidRDefault="00AA37D6" w:rsidP="009D2435">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910.416</w:t>
            </w:r>
          </w:p>
        </w:tc>
      </w:tr>
      <w:tr w:rsidR="009D2435" w:rsidRPr="0013769A" w14:paraId="017B8876" w14:textId="77777777" w:rsidTr="004F7AE7">
        <w:trPr>
          <w:trHeight w:val="283"/>
        </w:trPr>
        <w:tc>
          <w:tcPr>
            <w:tcW w:w="1715" w:type="pct"/>
            <w:tcBorders>
              <w:top w:val="nil"/>
              <w:left w:val="nil"/>
              <w:bottom w:val="nil"/>
              <w:right w:val="nil"/>
            </w:tcBorders>
            <w:shd w:val="clear" w:color="auto" w:fill="auto"/>
            <w:vAlign w:val="center"/>
            <w:hideMark/>
          </w:tcPr>
          <w:p w14:paraId="44800D3C"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Móveis em estoque e outros equipamentos</w:t>
            </w:r>
          </w:p>
        </w:tc>
        <w:tc>
          <w:tcPr>
            <w:tcW w:w="392" w:type="pct"/>
            <w:tcBorders>
              <w:top w:val="nil"/>
              <w:left w:val="nil"/>
              <w:bottom w:val="nil"/>
              <w:right w:val="nil"/>
            </w:tcBorders>
            <w:shd w:val="clear" w:color="auto" w:fill="auto"/>
            <w:vAlign w:val="center"/>
            <w:hideMark/>
          </w:tcPr>
          <w:p w14:paraId="7F887DAD" w14:textId="77777777" w:rsidR="009D2435" w:rsidRPr="00FF4346" w:rsidRDefault="009D2435" w:rsidP="009D2435">
            <w:pPr>
              <w:jc w:val="center"/>
              <w:rPr>
                <w:rFonts w:ascii="CAIXA Std Book" w:hAnsi="CAIXA Std Book"/>
                <w:b/>
                <w:color w:val="005CA9"/>
                <w:sz w:val="16"/>
                <w:szCs w:val="16"/>
              </w:rPr>
            </w:pPr>
            <w:r w:rsidRPr="00FF4346">
              <w:rPr>
                <w:rFonts w:ascii="CAIXA Std Book" w:hAnsi="CAIXA Std Book"/>
                <w:b/>
                <w:color w:val="005CA9"/>
                <w:sz w:val="16"/>
                <w:szCs w:val="16"/>
              </w:rPr>
              <w:t>-</w:t>
            </w:r>
          </w:p>
        </w:tc>
        <w:tc>
          <w:tcPr>
            <w:tcW w:w="608" w:type="pct"/>
            <w:tcBorders>
              <w:top w:val="nil"/>
              <w:left w:val="nil"/>
              <w:bottom w:val="nil"/>
              <w:right w:val="nil"/>
            </w:tcBorders>
            <w:shd w:val="clear" w:color="auto" w:fill="auto"/>
            <w:vAlign w:val="center"/>
          </w:tcPr>
          <w:p w14:paraId="324A4F9B" w14:textId="54AF524D"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868.239</w:t>
            </w:r>
          </w:p>
        </w:tc>
        <w:tc>
          <w:tcPr>
            <w:tcW w:w="608" w:type="pct"/>
            <w:tcBorders>
              <w:top w:val="nil"/>
              <w:left w:val="nil"/>
              <w:bottom w:val="nil"/>
              <w:right w:val="nil"/>
            </w:tcBorders>
            <w:shd w:val="clear" w:color="auto" w:fill="auto"/>
            <w:vAlign w:val="center"/>
          </w:tcPr>
          <w:p w14:paraId="67DCCD97" w14:textId="64F5257E"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(650.058)</w:t>
            </w:r>
          </w:p>
        </w:tc>
        <w:tc>
          <w:tcPr>
            <w:tcW w:w="527" w:type="pct"/>
            <w:tcBorders>
              <w:top w:val="nil"/>
              <w:left w:val="nil"/>
              <w:bottom w:val="nil"/>
              <w:right w:val="nil"/>
            </w:tcBorders>
            <w:shd w:val="clear" w:color="auto" w:fill="auto"/>
            <w:vAlign w:val="center"/>
          </w:tcPr>
          <w:p w14:paraId="1CC8035B" w14:textId="2BAC4497"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(9.087)</w:t>
            </w:r>
          </w:p>
        </w:tc>
        <w:tc>
          <w:tcPr>
            <w:tcW w:w="593" w:type="pct"/>
            <w:tcBorders>
              <w:top w:val="nil"/>
              <w:left w:val="nil"/>
              <w:bottom w:val="nil"/>
              <w:right w:val="nil"/>
            </w:tcBorders>
            <w:shd w:val="clear" w:color="auto" w:fill="auto"/>
            <w:vAlign w:val="center"/>
          </w:tcPr>
          <w:p w14:paraId="40358A4F" w14:textId="0AD02B54"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209.094</w:t>
            </w:r>
          </w:p>
        </w:tc>
        <w:tc>
          <w:tcPr>
            <w:tcW w:w="557" w:type="pct"/>
            <w:tcBorders>
              <w:top w:val="nil"/>
              <w:left w:val="nil"/>
              <w:bottom w:val="single" w:sz="4" w:space="0" w:color="F39200"/>
              <w:right w:val="nil"/>
            </w:tcBorders>
            <w:shd w:val="clear" w:color="auto" w:fill="auto"/>
            <w:vAlign w:val="center"/>
          </w:tcPr>
          <w:p w14:paraId="6107C0C7" w14:textId="49114B19" w:rsidR="009D2435" w:rsidRPr="00FF4346" w:rsidRDefault="00AA37D6"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188.569</w:t>
            </w:r>
          </w:p>
        </w:tc>
      </w:tr>
      <w:tr w:rsidR="009D2435" w:rsidRPr="0013769A" w14:paraId="04CE47E3" w14:textId="77777777" w:rsidTr="004F7AE7">
        <w:trPr>
          <w:trHeight w:val="283"/>
        </w:trPr>
        <w:tc>
          <w:tcPr>
            <w:tcW w:w="1715" w:type="pct"/>
            <w:tcBorders>
              <w:top w:val="single" w:sz="4" w:space="0" w:color="F39200"/>
              <w:left w:val="nil"/>
              <w:bottom w:val="single" w:sz="4" w:space="0" w:color="F39200"/>
              <w:right w:val="nil"/>
            </w:tcBorders>
            <w:shd w:val="clear" w:color="auto" w:fill="auto"/>
            <w:vAlign w:val="center"/>
            <w:hideMark/>
          </w:tcPr>
          <w:p w14:paraId="7B2EB523" w14:textId="77777777" w:rsidR="009D2435" w:rsidRPr="00FF4346" w:rsidRDefault="009D2435" w:rsidP="009D2435">
            <w:pPr>
              <w:rPr>
                <w:rFonts w:ascii="CAIXA Std Book" w:hAnsi="CAIXA Std Book"/>
                <w:b/>
                <w:color w:val="005CA9"/>
                <w:sz w:val="16"/>
                <w:szCs w:val="16"/>
              </w:rPr>
            </w:pPr>
            <w:r w:rsidRPr="00FF4346">
              <w:rPr>
                <w:rFonts w:ascii="CAIXA Std Book" w:hAnsi="CAIXA Std Book"/>
                <w:b/>
                <w:color w:val="005CA9"/>
                <w:sz w:val="16"/>
                <w:szCs w:val="16"/>
              </w:rPr>
              <w:t xml:space="preserve">Total </w:t>
            </w:r>
          </w:p>
        </w:tc>
        <w:tc>
          <w:tcPr>
            <w:tcW w:w="392" w:type="pct"/>
            <w:tcBorders>
              <w:top w:val="single" w:sz="4" w:space="0" w:color="F39200"/>
              <w:left w:val="nil"/>
              <w:bottom w:val="single" w:sz="4" w:space="0" w:color="F39200"/>
              <w:right w:val="nil"/>
            </w:tcBorders>
            <w:shd w:val="clear" w:color="auto" w:fill="auto"/>
            <w:vAlign w:val="center"/>
            <w:hideMark/>
          </w:tcPr>
          <w:p w14:paraId="49E7E83E" w14:textId="709362F0" w:rsidR="009D2435" w:rsidRPr="00FF4346" w:rsidRDefault="009D2435" w:rsidP="009D2435">
            <w:pPr>
              <w:jc w:val="center"/>
              <w:rPr>
                <w:rFonts w:ascii="CAIXA Std Book" w:hAnsi="CAIXA Std Book"/>
                <w:b/>
                <w:color w:val="005CA9"/>
                <w:sz w:val="16"/>
                <w:szCs w:val="16"/>
              </w:rPr>
            </w:pPr>
          </w:p>
        </w:tc>
        <w:tc>
          <w:tcPr>
            <w:tcW w:w="608" w:type="pct"/>
            <w:tcBorders>
              <w:top w:val="single" w:sz="4" w:space="0" w:color="F39200"/>
              <w:left w:val="nil"/>
              <w:bottom w:val="single" w:sz="4" w:space="0" w:color="F39200"/>
              <w:right w:val="nil"/>
            </w:tcBorders>
            <w:shd w:val="clear" w:color="auto" w:fill="auto"/>
            <w:vAlign w:val="center"/>
          </w:tcPr>
          <w:p w14:paraId="60C56086" w14:textId="6F1ADA27"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11.642.234</w:t>
            </w:r>
          </w:p>
        </w:tc>
        <w:tc>
          <w:tcPr>
            <w:tcW w:w="608" w:type="pct"/>
            <w:tcBorders>
              <w:top w:val="single" w:sz="4" w:space="0" w:color="F39200"/>
              <w:left w:val="nil"/>
              <w:bottom w:val="single" w:sz="4" w:space="0" w:color="F39200"/>
              <w:right w:val="nil"/>
            </w:tcBorders>
            <w:shd w:val="clear" w:color="auto" w:fill="auto"/>
            <w:vAlign w:val="center"/>
          </w:tcPr>
          <w:p w14:paraId="0F14D1E5" w14:textId="7430038D"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(8.605.509)</w:t>
            </w:r>
          </w:p>
        </w:tc>
        <w:tc>
          <w:tcPr>
            <w:tcW w:w="527" w:type="pct"/>
            <w:tcBorders>
              <w:top w:val="single" w:sz="4" w:space="0" w:color="F39200"/>
              <w:left w:val="nil"/>
              <w:bottom w:val="single" w:sz="4" w:space="0" w:color="F39200"/>
              <w:right w:val="nil"/>
            </w:tcBorders>
            <w:shd w:val="clear" w:color="auto" w:fill="auto"/>
            <w:vAlign w:val="center"/>
          </w:tcPr>
          <w:p w14:paraId="2CC4F02C" w14:textId="71051BF3"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(39.511)</w:t>
            </w:r>
          </w:p>
        </w:tc>
        <w:tc>
          <w:tcPr>
            <w:tcW w:w="593" w:type="pct"/>
            <w:tcBorders>
              <w:top w:val="single" w:sz="4" w:space="0" w:color="F39200"/>
              <w:left w:val="nil"/>
              <w:bottom w:val="single" w:sz="4" w:space="0" w:color="F39200"/>
              <w:right w:val="nil"/>
            </w:tcBorders>
            <w:shd w:val="clear" w:color="auto" w:fill="auto"/>
            <w:vAlign w:val="center"/>
          </w:tcPr>
          <w:p w14:paraId="1A3E8162" w14:textId="6C0E307C" w:rsidR="009D2435" w:rsidRPr="00FF4346" w:rsidRDefault="00FD3E84" w:rsidP="00637389">
            <w:pPr>
              <w:ind w:firstLineChars="100" w:firstLine="157"/>
              <w:jc w:val="right"/>
              <w:rPr>
                <w:rFonts w:ascii="CAIXA Std Book" w:hAnsi="CAIXA Std Book"/>
                <w:b/>
                <w:color w:val="005CA9"/>
                <w:sz w:val="16"/>
                <w:szCs w:val="16"/>
              </w:rPr>
            </w:pPr>
            <w:r w:rsidRPr="00FD3E84">
              <w:rPr>
                <w:rFonts w:ascii="CAIXA Std Book" w:hAnsi="CAIXA Std Book"/>
                <w:b/>
                <w:color w:val="005CA9"/>
                <w:sz w:val="16"/>
                <w:szCs w:val="16"/>
              </w:rPr>
              <w:t>2.997.214</w:t>
            </w:r>
          </w:p>
        </w:tc>
        <w:tc>
          <w:tcPr>
            <w:tcW w:w="557" w:type="pct"/>
            <w:tcBorders>
              <w:top w:val="nil"/>
              <w:left w:val="nil"/>
              <w:bottom w:val="single" w:sz="4" w:space="0" w:color="F39200"/>
              <w:right w:val="nil"/>
            </w:tcBorders>
            <w:shd w:val="clear" w:color="auto" w:fill="auto"/>
            <w:vAlign w:val="center"/>
          </w:tcPr>
          <w:p w14:paraId="6AF64552" w14:textId="7F2D453B" w:rsidR="009D2435" w:rsidRPr="00FF4346" w:rsidRDefault="00AA37D6" w:rsidP="009D2435">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2.902.726</w:t>
            </w:r>
          </w:p>
        </w:tc>
      </w:tr>
    </w:tbl>
    <w:p w14:paraId="01A60C39" w14:textId="77777777" w:rsidR="00E93A21" w:rsidRDefault="00E93A21" w:rsidP="00E93A21">
      <w:pPr>
        <w:rPr>
          <w:rFonts w:ascii="CAIXA Std Book" w:hAnsi="CAIXA Std Book"/>
          <w:color w:val="005CA9"/>
        </w:rPr>
      </w:pPr>
    </w:p>
    <w:p w14:paraId="76E9202A" w14:textId="77777777" w:rsidR="006D0E67" w:rsidRPr="00616EE1" w:rsidRDefault="006D0E67" w:rsidP="00E93A21">
      <w:pPr>
        <w:rPr>
          <w:rFonts w:ascii="CAIXA Std Book" w:hAnsi="CAIXA Std Book"/>
          <w:color w:val="005CA9"/>
        </w:rPr>
      </w:pPr>
    </w:p>
    <w:tbl>
      <w:tblPr>
        <w:tblW w:w="5000" w:type="pct"/>
        <w:tblCellMar>
          <w:left w:w="70" w:type="dxa"/>
          <w:right w:w="70" w:type="dxa"/>
        </w:tblCellMar>
        <w:tblLook w:val="04A0" w:firstRow="1" w:lastRow="0" w:firstColumn="1" w:lastColumn="0" w:noHBand="0" w:noVBand="1"/>
      </w:tblPr>
      <w:tblGrid>
        <w:gridCol w:w="3304"/>
        <w:gridCol w:w="757"/>
        <w:gridCol w:w="1169"/>
        <w:gridCol w:w="1171"/>
        <w:gridCol w:w="1019"/>
        <w:gridCol w:w="1148"/>
        <w:gridCol w:w="1070"/>
      </w:tblGrid>
      <w:tr w:rsidR="004F7AE7" w:rsidRPr="0013769A" w14:paraId="6EE17388" w14:textId="77777777">
        <w:trPr>
          <w:trHeight w:val="283"/>
        </w:trPr>
        <w:tc>
          <w:tcPr>
            <w:tcW w:w="5000" w:type="pct"/>
            <w:gridSpan w:val="7"/>
            <w:tcBorders>
              <w:top w:val="single" w:sz="4" w:space="0" w:color="F39200"/>
              <w:left w:val="nil"/>
              <w:bottom w:val="single" w:sz="4" w:space="0" w:color="F39200"/>
              <w:right w:val="nil"/>
            </w:tcBorders>
            <w:shd w:val="clear" w:color="auto" w:fill="auto"/>
            <w:vAlign w:val="center"/>
            <w:hideMark/>
          </w:tcPr>
          <w:p w14:paraId="441B859B" w14:textId="3EBDDC23" w:rsidR="004F7AE7" w:rsidRPr="00FF4346" w:rsidRDefault="00BB3136">
            <w:pPr>
              <w:jc w:val="center"/>
              <w:rPr>
                <w:rFonts w:ascii="CAIXA Std Book" w:hAnsi="CAIXA Std Book"/>
                <w:b/>
                <w:color w:val="005CA9"/>
                <w:sz w:val="16"/>
                <w:szCs w:val="16"/>
              </w:rPr>
            </w:pPr>
            <w:r>
              <w:rPr>
                <w:rFonts w:ascii="CAIXA Std Book" w:hAnsi="CAIXA Std Book"/>
                <w:b/>
                <w:color w:val="005CA9"/>
                <w:sz w:val="16"/>
                <w:szCs w:val="16"/>
              </w:rPr>
              <w:t>CONSOLIDADO</w:t>
            </w:r>
          </w:p>
        </w:tc>
      </w:tr>
      <w:tr w:rsidR="004F7AE7" w:rsidRPr="0013769A" w14:paraId="436D4FA0" w14:textId="77777777" w:rsidTr="00830063">
        <w:trPr>
          <w:trHeight w:val="283"/>
        </w:trPr>
        <w:tc>
          <w:tcPr>
            <w:tcW w:w="1715" w:type="pct"/>
            <w:vMerge w:val="restart"/>
            <w:tcBorders>
              <w:top w:val="nil"/>
              <w:left w:val="nil"/>
              <w:bottom w:val="single" w:sz="4" w:space="0" w:color="F39200"/>
              <w:right w:val="nil"/>
            </w:tcBorders>
            <w:shd w:val="clear" w:color="auto" w:fill="auto"/>
            <w:vAlign w:val="center"/>
            <w:hideMark/>
          </w:tcPr>
          <w:p w14:paraId="5A1A1BA5"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 xml:space="preserve">Descrição </w:t>
            </w:r>
          </w:p>
        </w:tc>
        <w:tc>
          <w:tcPr>
            <w:tcW w:w="393" w:type="pct"/>
            <w:vMerge w:val="restart"/>
            <w:tcBorders>
              <w:top w:val="nil"/>
              <w:left w:val="nil"/>
              <w:bottom w:val="single" w:sz="4" w:space="0" w:color="F39200"/>
              <w:right w:val="nil"/>
            </w:tcBorders>
            <w:shd w:val="clear" w:color="auto" w:fill="auto"/>
            <w:vAlign w:val="center"/>
            <w:hideMark/>
          </w:tcPr>
          <w:p w14:paraId="36A370DE"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Vida útil (em anos)</w:t>
            </w:r>
          </w:p>
        </w:tc>
        <w:tc>
          <w:tcPr>
            <w:tcW w:w="2338" w:type="pct"/>
            <w:gridSpan w:val="4"/>
            <w:tcBorders>
              <w:top w:val="single" w:sz="4" w:space="0" w:color="F39200"/>
              <w:left w:val="nil"/>
              <w:bottom w:val="single" w:sz="4" w:space="0" w:color="F39200"/>
              <w:right w:val="nil"/>
            </w:tcBorders>
            <w:shd w:val="clear" w:color="auto" w:fill="auto"/>
            <w:vAlign w:val="center"/>
            <w:hideMark/>
          </w:tcPr>
          <w:p w14:paraId="372DCC04"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31/</w:t>
            </w:r>
            <w:r>
              <w:rPr>
                <w:rFonts w:ascii="CAIXA Std Book" w:hAnsi="CAIXA Std Book"/>
                <w:b/>
                <w:color w:val="005CA9"/>
                <w:sz w:val="16"/>
                <w:szCs w:val="16"/>
              </w:rPr>
              <w:t>03</w:t>
            </w:r>
            <w:r w:rsidRPr="00FF4346">
              <w:rPr>
                <w:rFonts w:ascii="CAIXA Std Book" w:hAnsi="CAIXA Std Book"/>
                <w:b/>
                <w:color w:val="005CA9"/>
                <w:sz w:val="16"/>
                <w:szCs w:val="16"/>
              </w:rPr>
              <w:t>/202</w:t>
            </w:r>
            <w:r>
              <w:rPr>
                <w:rFonts w:ascii="CAIXA Std Book" w:hAnsi="CAIXA Std Book"/>
                <w:b/>
                <w:color w:val="005CA9"/>
                <w:sz w:val="16"/>
                <w:szCs w:val="16"/>
              </w:rPr>
              <w:t>4</w:t>
            </w:r>
          </w:p>
        </w:tc>
        <w:tc>
          <w:tcPr>
            <w:tcW w:w="555" w:type="pct"/>
            <w:tcBorders>
              <w:top w:val="nil"/>
              <w:left w:val="nil"/>
              <w:bottom w:val="single" w:sz="4" w:space="0" w:color="F39200"/>
              <w:right w:val="nil"/>
            </w:tcBorders>
            <w:shd w:val="clear" w:color="auto" w:fill="auto"/>
            <w:vAlign w:val="center"/>
            <w:hideMark/>
          </w:tcPr>
          <w:p w14:paraId="72F88759"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31/12/2023</w:t>
            </w:r>
          </w:p>
        </w:tc>
      </w:tr>
      <w:tr w:rsidR="004F7AE7" w:rsidRPr="0013769A" w14:paraId="610729E7" w14:textId="77777777" w:rsidTr="00830063">
        <w:trPr>
          <w:trHeight w:val="283"/>
        </w:trPr>
        <w:tc>
          <w:tcPr>
            <w:tcW w:w="1715" w:type="pct"/>
            <w:vMerge/>
            <w:tcBorders>
              <w:top w:val="nil"/>
              <w:left w:val="nil"/>
              <w:bottom w:val="single" w:sz="4" w:space="0" w:color="F39200"/>
              <w:right w:val="nil"/>
            </w:tcBorders>
            <w:vAlign w:val="center"/>
            <w:hideMark/>
          </w:tcPr>
          <w:p w14:paraId="53949559" w14:textId="77777777" w:rsidR="004F7AE7" w:rsidRPr="00FF4346" w:rsidRDefault="004F7AE7">
            <w:pPr>
              <w:rPr>
                <w:rFonts w:ascii="CAIXA Std Book" w:hAnsi="CAIXA Std Book"/>
                <w:b/>
                <w:color w:val="005CA9"/>
                <w:sz w:val="16"/>
                <w:szCs w:val="16"/>
              </w:rPr>
            </w:pPr>
          </w:p>
        </w:tc>
        <w:tc>
          <w:tcPr>
            <w:tcW w:w="393" w:type="pct"/>
            <w:vMerge/>
            <w:tcBorders>
              <w:top w:val="nil"/>
              <w:left w:val="nil"/>
              <w:bottom w:val="single" w:sz="4" w:space="0" w:color="F39200"/>
              <w:right w:val="nil"/>
            </w:tcBorders>
            <w:vAlign w:val="center"/>
            <w:hideMark/>
          </w:tcPr>
          <w:p w14:paraId="06326A93" w14:textId="77777777" w:rsidR="004F7AE7" w:rsidRPr="00FF4346" w:rsidRDefault="004F7AE7">
            <w:pPr>
              <w:jc w:val="center"/>
              <w:rPr>
                <w:rFonts w:ascii="CAIXA Std Book" w:hAnsi="CAIXA Std Book"/>
                <w:b/>
                <w:color w:val="005CA9"/>
                <w:sz w:val="16"/>
                <w:szCs w:val="16"/>
              </w:rPr>
            </w:pPr>
          </w:p>
        </w:tc>
        <w:tc>
          <w:tcPr>
            <w:tcW w:w="606" w:type="pct"/>
            <w:tcBorders>
              <w:top w:val="nil"/>
              <w:left w:val="nil"/>
              <w:bottom w:val="single" w:sz="4" w:space="0" w:color="F39200"/>
              <w:right w:val="nil"/>
            </w:tcBorders>
            <w:shd w:val="clear" w:color="auto" w:fill="auto"/>
            <w:vAlign w:val="center"/>
            <w:hideMark/>
          </w:tcPr>
          <w:p w14:paraId="572F4AD0"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Custo</w:t>
            </w:r>
          </w:p>
        </w:tc>
        <w:tc>
          <w:tcPr>
            <w:tcW w:w="607" w:type="pct"/>
            <w:tcBorders>
              <w:top w:val="nil"/>
              <w:left w:val="nil"/>
              <w:bottom w:val="single" w:sz="4" w:space="0" w:color="F39200"/>
              <w:right w:val="nil"/>
            </w:tcBorders>
            <w:shd w:val="clear" w:color="auto" w:fill="auto"/>
            <w:vAlign w:val="center"/>
            <w:hideMark/>
          </w:tcPr>
          <w:p w14:paraId="4C55FD5B"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 xml:space="preserve">Depreciação </w:t>
            </w:r>
          </w:p>
        </w:tc>
        <w:tc>
          <w:tcPr>
            <w:tcW w:w="529" w:type="pct"/>
            <w:tcBorders>
              <w:top w:val="nil"/>
              <w:left w:val="nil"/>
              <w:bottom w:val="single" w:sz="4" w:space="0" w:color="F39200"/>
              <w:right w:val="nil"/>
            </w:tcBorders>
            <w:shd w:val="clear" w:color="auto" w:fill="auto"/>
            <w:vAlign w:val="center"/>
            <w:hideMark/>
          </w:tcPr>
          <w:p w14:paraId="19E56633"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Redução ao valor recuperável</w:t>
            </w:r>
          </w:p>
        </w:tc>
        <w:tc>
          <w:tcPr>
            <w:tcW w:w="595" w:type="pct"/>
            <w:tcBorders>
              <w:top w:val="nil"/>
              <w:left w:val="nil"/>
              <w:bottom w:val="single" w:sz="4" w:space="0" w:color="F39200"/>
              <w:right w:val="nil"/>
            </w:tcBorders>
            <w:shd w:val="clear" w:color="auto" w:fill="auto"/>
            <w:vAlign w:val="center"/>
            <w:hideMark/>
          </w:tcPr>
          <w:p w14:paraId="108E79B6"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Líquido</w:t>
            </w:r>
          </w:p>
        </w:tc>
        <w:tc>
          <w:tcPr>
            <w:tcW w:w="555" w:type="pct"/>
            <w:tcBorders>
              <w:top w:val="nil"/>
              <w:left w:val="nil"/>
              <w:bottom w:val="single" w:sz="4" w:space="0" w:color="F39200"/>
              <w:right w:val="nil"/>
            </w:tcBorders>
            <w:shd w:val="clear" w:color="auto" w:fill="auto"/>
            <w:vAlign w:val="center"/>
            <w:hideMark/>
          </w:tcPr>
          <w:p w14:paraId="44E00406" w14:textId="77777777" w:rsidR="004F7AE7" w:rsidRPr="00FF4346" w:rsidRDefault="004F7AE7">
            <w:pPr>
              <w:jc w:val="center"/>
              <w:rPr>
                <w:rFonts w:ascii="CAIXA Std Book" w:hAnsi="CAIXA Std Book"/>
                <w:b/>
                <w:color w:val="005CA9"/>
                <w:sz w:val="16"/>
                <w:szCs w:val="16"/>
              </w:rPr>
            </w:pPr>
            <w:r w:rsidRPr="00FF4346">
              <w:rPr>
                <w:rFonts w:ascii="CAIXA Std Book" w:hAnsi="CAIXA Std Book"/>
                <w:b/>
                <w:color w:val="005CA9"/>
                <w:sz w:val="16"/>
                <w:szCs w:val="16"/>
              </w:rPr>
              <w:t>Líquido</w:t>
            </w:r>
          </w:p>
        </w:tc>
      </w:tr>
      <w:tr w:rsidR="004F7AE7" w:rsidRPr="0013769A" w14:paraId="70030AAC" w14:textId="77777777" w:rsidTr="00830063">
        <w:trPr>
          <w:trHeight w:val="283"/>
        </w:trPr>
        <w:tc>
          <w:tcPr>
            <w:tcW w:w="1715" w:type="pct"/>
            <w:tcBorders>
              <w:top w:val="nil"/>
              <w:left w:val="nil"/>
              <w:bottom w:val="nil"/>
              <w:right w:val="nil"/>
            </w:tcBorders>
            <w:shd w:val="clear" w:color="auto" w:fill="auto"/>
            <w:vAlign w:val="center"/>
            <w:hideMark/>
          </w:tcPr>
          <w:p w14:paraId="6ADF66F2"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 xml:space="preserve">Imóveis de uso </w:t>
            </w:r>
          </w:p>
        </w:tc>
        <w:tc>
          <w:tcPr>
            <w:tcW w:w="393" w:type="pct"/>
            <w:tcBorders>
              <w:top w:val="nil"/>
              <w:left w:val="nil"/>
              <w:bottom w:val="nil"/>
              <w:right w:val="nil"/>
            </w:tcBorders>
            <w:shd w:val="clear" w:color="auto" w:fill="auto"/>
            <w:vAlign w:val="center"/>
            <w:hideMark/>
          </w:tcPr>
          <w:p w14:paraId="177D3E90" w14:textId="77777777" w:rsidR="004F7AE7" w:rsidRPr="00FF4346" w:rsidRDefault="004F7AE7" w:rsidP="004F7AE7">
            <w:pPr>
              <w:jc w:val="center"/>
              <w:rPr>
                <w:rFonts w:ascii="CAIXA Std Book" w:hAnsi="CAIXA Std Book"/>
                <w:b/>
                <w:color w:val="005CA9"/>
                <w:sz w:val="16"/>
                <w:szCs w:val="16"/>
              </w:rPr>
            </w:pPr>
            <w:r w:rsidRPr="00FF4346">
              <w:rPr>
                <w:rFonts w:ascii="CAIXA Std Book" w:hAnsi="CAIXA Std Book"/>
                <w:b/>
                <w:color w:val="005CA9"/>
                <w:sz w:val="16"/>
                <w:szCs w:val="16"/>
              </w:rPr>
              <w:t>-</w:t>
            </w:r>
          </w:p>
        </w:tc>
        <w:tc>
          <w:tcPr>
            <w:tcW w:w="606" w:type="pct"/>
            <w:tcBorders>
              <w:top w:val="nil"/>
              <w:left w:val="nil"/>
              <w:bottom w:val="nil"/>
              <w:right w:val="nil"/>
            </w:tcBorders>
            <w:shd w:val="clear" w:color="auto" w:fill="auto"/>
            <w:vAlign w:val="center"/>
          </w:tcPr>
          <w:p w14:paraId="3AD5DC7A" w14:textId="47171F22"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1.794.874</w:t>
            </w:r>
          </w:p>
        </w:tc>
        <w:tc>
          <w:tcPr>
            <w:tcW w:w="607" w:type="pct"/>
            <w:tcBorders>
              <w:top w:val="nil"/>
              <w:left w:val="nil"/>
              <w:bottom w:val="nil"/>
              <w:right w:val="nil"/>
            </w:tcBorders>
            <w:shd w:val="clear" w:color="auto" w:fill="auto"/>
            <w:vAlign w:val="center"/>
          </w:tcPr>
          <w:p w14:paraId="3977F6B5" w14:textId="5D1234BD"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(858.875)</w:t>
            </w:r>
          </w:p>
        </w:tc>
        <w:tc>
          <w:tcPr>
            <w:tcW w:w="529" w:type="pct"/>
            <w:tcBorders>
              <w:top w:val="nil"/>
              <w:left w:val="nil"/>
              <w:bottom w:val="nil"/>
              <w:right w:val="nil"/>
            </w:tcBorders>
            <w:shd w:val="clear" w:color="auto" w:fill="auto"/>
            <w:vAlign w:val="center"/>
          </w:tcPr>
          <w:p w14:paraId="4A40550C" w14:textId="1E7E2B40"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(30.281)</w:t>
            </w:r>
          </w:p>
        </w:tc>
        <w:tc>
          <w:tcPr>
            <w:tcW w:w="595" w:type="pct"/>
            <w:tcBorders>
              <w:top w:val="nil"/>
              <w:left w:val="nil"/>
              <w:bottom w:val="nil"/>
              <w:right w:val="nil"/>
            </w:tcBorders>
            <w:shd w:val="clear" w:color="auto" w:fill="auto"/>
            <w:vAlign w:val="center"/>
          </w:tcPr>
          <w:p w14:paraId="210B784A" w14:textId="694E0200"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905.718</w:t>
            </w:r>
          </w:p>
        </w:tc>
        <w:tc>
          <w:tcPr>
            <w:tcW w:w="555" w:type="pct"/>
            <w:tcBorders>
              <w:top w:val="nil"/>
              <w:left w:val="nil"/>
              <w:bottom w:val="nil"/>
              <w:right w:val="nil"/>
            </w:tcBorders>
            <w:shd w:val="clear" w:color="auto" w:fill="auto"/>
            <w:vAlign w:val="center"/>
          </w:tcPr>
          <w:p w14:paraId="50127AEF" w14:textId="234FC25D"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908.144</w:t>
            </w:r>
          </w:p>
        </w:tc>
      </w:tr>
      <w:tr w:rsidR="004F7AE7" w:rsidRPr="0013769A" w14:paraId="1C7207E4" w14:textId="77777777" w:rsidTr="00830063">
        <w:trPr>
          <w:trHeight w:val="283"/>
        </w:trPr>
        <w:tc>
          <w:tcPr>
            <w:tcW w:w="1715" w:type="pct"/>
            <w:tcBorders>
              <w:top w:val="nil"/>
              <w:left w:val="nil"/>
              <w:bottom w:val="nil"/>
              <w:right w:val="nil"/>
            </w:tcBorders>
            <w:shd w:val="clear" w:color="auto" w:fill="auto"/>
            <w:vAlign w:val="center"/>
            <w:hideMark/>
          </w:tcPr>
          <w:p w14:paraId="3FBD5F3F" w14:textId="77777777" w:rsidR="004F7AE7" w:rsidRPr="00FF4346" w:rsidRDefault="004F7AE7" w:rsidP="004F7AE7">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Edificações </w:t>
            </w:r>
          </w:p>
        </w:tc>
        <w:tc>
          <w:tcPr>
            <w:tcW w:w="393" w:type="pct"/>
            <w:tcBorders>
              <w:top w:val="nil"/>
              <w:left w:val="nil"/>
              <w:bottom w:val="nil"/>
              <w:right w:val="nil"/>
            </w:tcBorders>
            <w:shd w:val="clear" w:color="auto" w:fill="auto"/>
            <w:vAlign w:val="center"/>
            <w:hideMark/>
          </w:tcPr>
          <w:p w14:paraId="5EFBC9FA" w14:textId="77777777" w:rsidR="004F7AE7" w:rsidRPr="00FF4346" w:rsidRDefault="004F7AE7" w:rsidP="004F7AE7">
            <w:pPr>
              <w:jc w:val="center"/>
              <w:rPr>
                <w:rFonts w:ascii="CAIXA Std Book" w:hAnsi="CAIXA Std Book"/>
                <w:color w:val="005CA9"/>
                <w:sz w:val="16"/>
                <w:szCs w:val="16"/>
              </w:rPr>
            </w:pPr>
            <w:r w:rsidRPr="00FF4346">
              <w:rPr>
                <w:rFonts w:ascii="CAIXA Std Book" w:hAnsi="CAIXA Std Book"/>
                <w:color w:val="005CA9"/>
                <w:sz w:val="16"/>
                <w:szCs w:val="16"/>
              </w:rPr>
              <w:t>25</w:t>
            </w:r>
          </w:p>
        </w:tc>
        <w:tc>
          <w:tcPr>
            <w:tcW w:w="606" w:type="pct"/>
            <w:tcBorders>
              <w:top w:val="nil"/>
              <w:left w:val="nil"/>
              <w:bottom w:val="nil"/>
              <w:right w:val="nil"/>
            </w:tcBorders>
            <w:shd w:val="clear" w:color="auto" w:fill="auto"/>
            <w:vAlign w:val="center"/>
          </w:tcPr>
          <w:p w14:paraId="7C8070B4" w14:textId="4C2F9E01"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1.587.159</w:t>
            </w:r>
          </w:p>
        </w:tc>
        <w:tc>
          <w:tcPr>
            <w:tcW w:w="607" w:type="pct"/>
            <w:tcBorders>
              <w:top w:val="nil"/>
              <w:left w:val="nil"/>
              <w:bottom w:val="nil"/>
              <w:right w:val="nil"/>
            </w:tcBorders>
            <w:shd w:val="clear" w:color="auto" w:fill="auto"/>
            <w:vAlign w:val="center"/>
          </w:tcPr>
          <w:p w14:paraId="6670B761" w14:textId="59CD68F9"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(858.875)</w:t>
            </w:r>
          </w:p>
        </w:tc>
        <w:tc>
          <w:tcPr>
            <w:tcW w:w="529" w:type="pct"/>
            <w:tcBorders>
              <w:top w:val="nil"/>
              <w:left w:val="nil"/>
              <w:bottom w:val="nil"/>
              <w:right w:val="nil"/>
            </w:tcBorders>
            <w:shd w:val="clear" w:color="auto" w:fill="auto"/>
            <w:vAlign w:val="center"/>
          </w:tcPr>
          <w:p w14:paraId="0D37E62C" w14:textId="384105C7"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(28.500)</w:t>
            </w:r>
          </w:p>
        </w:tc>
        <w:tc>
          <w:tcPr>
            <w:tcW w:w="595" w:type="pct"/>
            <w:tcBorders>
              <w:top w:val="nil"/>
              <w:left w:val="nil"/>
              <w:bottom w:val="nil"/>
              <w:right w:val="nil"/>
            </w:tcBorders>
            <w:shd w:val="clear" w:color="auto" w:fill="auto"/>
            <w:vAlign w:val="center"/>
          </w:tcPr>
          <w:p w14:paraId="3485E8F9" w14:textId="31877DA8"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699.784</w:t>
            </w:r>
          </w:p>
        </w:tc>
        <w:tc>
          <w:tcPr>
            <w:tcW w:w="555" w:type="pct"/>
            <w:tcBorders>
              <w:top w:val="nil"/>
              <w:left w:val="nil"/>
              <w:bottom w:val="nil"/>
              <w:right w:val="nil"/>
            </w:tcBorders>
            <w:shd w:val="clear" w:color="auto" w:fill="auto"/>
            <w:vAlign w:val="center"/>
          </w:tcPr>
          <w:p w14:paraId="10475AC6" w14:textId="45E03BE8" w:rsidR="004F7AE7" w:rsidRPr="00FF4346" w:rsidRDefault="004F7AE7" w:rsidP="004F7AE7">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701.690</w:t>
            </w:r>
          </w:p>
        </w:tc>
      </w:tr>
      <w:tr w:rsidR="004F7AE7" w:rsidRPr="0013769A" w14:paraId="1F897695" w14:textId="77777777" w:rsidTr="00830063">
        <w:trPr>
          <w:trHeight w:val="283"/>
        </w:trPr>
        <w:tc>
          <w:tcPr>
            <w:tcW w:w="1715" w:type="pct"/>
            <w:tcBorders>
              <w:top w:val="nil"/>
              <w:left w:val="nil"/>
              <w:bottom w:val="nil"/>
              <w:right w:val="nil"/>
            </w:tcBorders>
            <w:shd w:val="clear" w:color="auto" w:fill="auto"/>
            <w:vAlign w:val="center"/>
            <w:hideMark/>
          </w:tcPr>
          <w:p w14:paraId="5DA584E0" w14:textId="77777777" w:rsidR="004F7AE7" w:rsidRPr="00FF4346" w:rsidRDefault="004F7AE7" w:rsidP="004F7AE7">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Terrenos </w:t>
            </w:r>
          </w:p>
        </w:tc>
        <w:tc>
          <w:tcPr>
            <w:tcW w:w="393" w:type="pct"/>
            <w:tcBorders>
              <w:top w:val="nil"/>
              <w:left w:val="nil"/>
              <w:bottom w:val="nil"/>
              <w:right w:val="nil"/>
            </w:tcBorders>
            <w:shd w:val="clear" w:color="auto" w:fill="auto"/>
            <w:vAlign w:val="center"/>
            <w:hideMark/>
          </w:tcPr>
          <w:p w14:paraId="31E7776B" w14:textId="77777777" w:rsidR="004F7AE7" w:rsidRPr="00FF4346" w:rsidRDefault="004F7AE7" w:rsidP="004F7AE7">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606" w:type="pct"/>
            <w:tcBorders>
              <w:top w:val="nil"/>
              <w:left w:val="nil"/>
              <w:bottom w:val="nil"/>
              <w:right w:val="nil"/>
            </w:tcBorders>
            <w:shd w:val="clear" w:color="auto" w:fill="auto"/>
            <w:vAlign w:val="center"/>
          </w:tcPr>
          <w:p w14:paraId="17DD08E2" w14:textId="79B16EAE"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207.715</w:t>
            </w:r>
          </w:p>
        </w:tc>
        <w:tc>
          <w:tcPr>
            <w:tcW w:w="607" w:type="pct"/>
            <w:tcBorders>
              <w:top w:val="nil"/>
              <w:left w:val="nil"/>
              <w:bottom w:val="nil"/>
              <w:right w:val="nil"/>
            </w:tcBorders>
            <w:shd w:val="clear" w:color="auto" w:fill="auto"/>
            <w:vAlign w:val="center"/>
          </w:tcPr>
          <w:p w14:paraId="15AA84BF" w14:textId="2D29A102" w:rsidR="004F7AE7" w:rsidRPr="00FF4346" w:rsidRDefault="00A6262F" w:rsidP="004F7AE7">
            <w:pPr>
              <w:ind w:firstLineChars="100" w:firstLine="160"/>
              <w:jc w:val="center"/>
              <w:rPr>
                <w:rFonts w:ascii="CAIXA Std Book" w:hAnsi="CAIXA Std Book"/>
                <w:color w:val="005CA9"/>
                <w:sz w:val="16"/>
                <w:szCs w:val="16"/>
              </w:rPr>
            </w:pPr>
            <w:r>
              <w:rPr>
                <w:rFonts w:ascii="CAIXA Std Book" w:hAnsi="CAIXA Std Book"/>
                <w:color w:val="005CA9"/>
                <w:sz w:val="16"/>
                <w:szCs w:val="16"/>
              </w:rPr>
              <w:t>-</w:t>
            </w:r>
          </w:p>
        </w:tc>
        <w:tc>
          <w:tcPr>
            <w:tcW w:w="529" w:type="pct"/>
            <w:tcBorders>
              <w:top w:val="nil"/>
              <w:left w:val="nil"/>
              <w:bottom w:val="nil"/>
              <w:right w:val="nil"/>
            </w:tcBorders>
            <w:shd w:val="clear" w:color="auto" w:fill="auto"/>
            <w:vAlign w:val="center"/>
          </w:tcPr>
          <w:p w14:paraId="49B3412B" w14:textId="26F0090A"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(1.781)</w:t>
            </w:r>
          </w:p>
        </w:tc>
        <w:tc>
          <w:tcPr>
            <w:tcW w:w="595" w:type="pct"/>
            <w:tcBorders>
              <w:top w:val="nil"/>
              <w:left w:val="nil"/>
              <w:bottom w:val="nil"/>
              <w:right w:val="nil"/>
            </w:tcBorders>
            <w:shd w:val="clear" w:color="auto" w:fill="auto"/>
            <w:vAlign w:val="center"/>
          </w:tcPr>
          <w:p w14:paraId="7CD7E7C8" w14:textId="619799F9"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205.934</w:t>
            </w:r>
          </w:p>
        </w:tc>
        <w:tc>
          <w:tcPr>
            <w:tcW w:w="555" w:type="pct"/>
            <w:tcBorders>
              <w:top w:val="nil"/>
              <w:left w:val="nil"/>
              <w:bottom w:val="nil"/>
              <w:right w:val="nil"/>
            </w:tcBorders>
            <w:shd w:val="clear" w:color="auto" w:fill="auto"/>
            <w:vAlign w:val="center"/>
          </w:tcPr>
          <w:p w14:paraId="01E3E9B5" w14:textId="4667101E" w:rsidR="004F7AE7" w:rsidRPr="00FF4346" w:rsidRDefault="004F7AE7" w:rsidP="004F7AE7">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206.454</w:t>
            </w:r>
          </w:p>
        </w:tc>
      </w:tr>
      <w:tr w:rsidR="004F7AE7" w:rsidRPr="0013769A" w14:paraId="4F1486C8" w14:textId="77777777" w:rsidTr="00830063">
        <w:trPr>
          <w:trHeight w:val="283"/>
        </w:trPr>
        <w:tc>
          <w:tcPr>
            <w:tcW w:w="1715" w:type="pct"/>
            <w:tcBorders>
              <w:top w:val="nil"/>
              <w:left w:val="nil"/>
              <w:bottom w:val="nil"/>
              <w:right w:val="nil"/>
            </w:tcBorders>
            <w:shd w:val="clear" w:color="auto" w:fill="auto"/>
            <w:vAlign w:val="center"/>
            <w:hideMark/>
          </w:tcPr>
          <w:p w14:paraId="779703F3"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Benfeitorias em imóveis de terceiros</w:t>
            </w:r>
          </w:p>
        </w:tc>
        <w:tc>
          <w:tcPr>
            <w:tcW w:w="393" w:type="pct"/>
            <w:tcBorders>
              <w:top w:val="nil"/>
              <w:left w:val="nil"/>
              <w:bottom w:val="nil"/>
              <w:right w:val="nil"/>
            </w:tcBorders>
            <w:shd w:val="clear" w:color="auto" w:fill="auto"/>
            <w:vAlign w:val="center"/>
            <w:hideMark/>
          </w:tcPr>
          <w:p w14:paraId="777F7F9A" w14:textId="77777777" w:rsidR="004F7AE7" w:rsidRPr="00FF4346" w:rsidRDefault="004F7AE7" w:rsidP="004F7AE7">
            <w:pPr>
              <w:jc w:val="center"/>
              <w:rPr>
                <w:rFonts w:ascii="CAIXA Std Book" w:hAnsi="CAIXA Std Book"/>
                <w:b/>
                <w:bCs/>
                <w:color w:val="005CA9"/>
                <w:sz w:val="16"/>
                <w:szCs w:val="16"/>
              </w:rPr>
            </w:pPr>
            <w:r w:rsidRPr="00FF4346">
              <w:rPr>
                <w:rFonts w:ascii="CAIXA Std Book" w:hAnsi="CAIXA Std Book"/>
                <w:b/>
                <w:bCs/>
                <w:color w:val="005CA9"/>
                <w:sz w:val="16"/>
                <w:szCs w:val="16"/>
              </w:rPr>
              <w:t>5</w:t>
            </w:r>
          </w:p>
        </w:tc>
        <w:tc>
          <w:tcPr>
            <w:tcW w:w="606" w:type="pct"/>
            <w:tcBorders>
              <w:top w:val="nil"/>
              <w:left w:val="nil"/>
              <w:bottom w:val="nil"/>
              <w:right w:val="nil"/>
            </w:tcBorders>
            <w:shd w:val="clear" w:color="auto" w:fill="auto"/>
            <w:vAlign w:val="center"/>
          </w:tcPr>
          <w:p w14:paraId="714F40BC" w14:textId="35CA0FCC"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2.404.330</w:t>
            </w:r>
          </w:p>
        </w:tc>
        <w:tc>
          <w:tcPr>
            <w:tcW w:w="607" w:type="pct"/>
            <w:tcBorders>
              <w:top w:val="nil"/>
              <w:left w:val="nil"/>
              <w:bottom w:val="nil"/>
              <w:right w:val="nil"/>
            </w:tcBorders>
            <w:shd w:val="clear" w:color="auto" w:fill="auto"/>
            <w:vAlign w:val="center"/>
          </w:tcPr>
          <w:p w14:paraId="08736E00" w14:textId="23CCE458"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(1.894.911)</w:t>
            </w:r>
          </w:p>
        </w:tc>
        <w:tc>
          <w:tcPr>
            <w:tcW w:w="529" w:type="pct"/>
            <w:tcBorders>
              <w:top w:val="nil"/>
              <w:left w:val="nil"/>
              <w:bottom w:val="nil"/>
              <w:right w:val="nil"/>
            </w:tcBorders>
            <w:shd w:val="clear" w:color="auto" w:fill="auto"/>
            <w:vAlign w:val="center"/>
          </w:tcPr>
          <w:p w14:paraId="4F4FB9A9" w14:textId="0660D8A4"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(143)</w:t>
            </w:r>
          </w:p>
        </w:tc>
        <w:tc>
          <w:tcPr>
            <w:tcW w:w="595" w:type="pct"/>
            <w:tcBorders>
              <w:top w:val="nil"/>
              <w:left w:val="nil"/>
              <w:bottom w:val="nil"/>
              <w:right w:val="nil"/>
            </w:tcBorders>
            <w:shd w:val="clear" w:color="auto" w:fill="auto"/>
            <w:vAlign w:val="center"/>
          </w:tcPr>
          <w:p w14:paraId="4092630F" w14:textId="4C63C8CB"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509.276</w:t>
            </w:r>
          </w:p>
        </w:tc>
        <w:tc>
          <w:tcPr>
            <w:tcW w:w="555" w:type="pct"/>
            <w:tcBorders>
              <w:top w:val="nil"/>
              <w:left w:val="nil"/>
              <w:bottom w:val="nil"/>
              <w:right w:val="nil"/>
            </w:tcBorders>
            <w:shd w:val="clear" w:color="auto" w:fill="auto"/>
            <w:vAlign w:val="center"/>
          </w:tcPr>
          <w:p w14:paraId="4AEF080C" w14:textId="7AE22AC2"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499.576</w:t>
            </w:r>
          </w:p>
        </w:tc>
      </w:tr>
      <w:tr w:rsidR="004F7AE7" w:rsidRPr="0013769A" w14:paraId="32C15C84" w14:textId="77777777" w:rsidTr="00830063">
        <w:trPr>
          <w:trHeight w:val="283"/>
        </w:trPr>
        <w:tc>
          <w:tcPr>
            <w:tcW w:w="1715" w:type="pct"/>
            <w:tcBorders>
              <w:top w:val="nil"/>
              <w:left w:val="nil"/>
              <w:bottom w:val="nil"/>
              <w:right w:val="nil"/>
            </w:tcBorders>
            <w:shd w:val="clear" w:color="auto" w:fill="auto"/>
            <w:vAlign w:val="center"/>
            <w:hideMark/>
          </w:tcPr>
          <w:p w14:paraId="61837900"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Imobilizações em curso</w:t>
            </w:r>
          </w:p>
        </w:tc>
        <w:tc>
          <w:tcPr>
            <w:tcW w:w="393" w:type="pct"/>
            <w:tcBorders>
              <w:top w:val="nil"/>
              <w:left w:val="nil"/>
              <w:bottom w:val="nil"/>
              <w:right w:val="nil"/>
            </w:tcBorders>
            <w:shd w:val="clear" w:color="auto" w:fill="auto"/>
            <w:vAlign w:val="center"/>
            <w:hideMark/>
          </w:tcPr>
          <w:p w14:paraId="0BC5E6BF" w14:textId="77777777" w:rsidR="004F7AE7" w:rsidRPr="00FF4346" w:rsidRDefault="004F7AE7" w:rsidP="004F7AE7">
            <w:pPr>
              <w:jc w:val="center"/>
              <w:rPr>
                <w:rFonts w:ascii="CAIXA Std Book" w:hAnsi="CAIXA Std Book"/>
                <w:b/>
                <w:bCs/>
                <w:color w:val="005CA9"/>
                <w:sz w:val="16"/>
                <w:szCs w:val="16"/>
              </w:rPr>
            </w:pPr>
            <w:r w:rsidRPr="00FF4346">
              <w:rPr>
                <w:rFonts w:ascii="CAIXA Std Book" w:hAnsi="CAIXA Std Book"/>
                <w:b/>
                <w:bCs/>
                <w:color w:val="005CA9"/>
                <w:sz w:val="16"/>
                <w:szCs w:val="16"/>
              </w:rPr>
              <w:t>-</w:t>
            </w:r>
          </w:p>
        </w:tc>
        <w:tc>
          <w:tcPr>
            <w:tcW w:w="606" w:type="pct"/>
            <w:tcBorders>
              <w:top w:val="nil"/>
              <w:left w:val="nil"/>
              <w:bottom w:val="nil"/>
              <w:right w:val="nil"/>
            </w:tcBorders>
            <w:shd w:val="clear" w:color="auto" w:fill="auto"/>
            <w:vAlign w:val="center"/>
          </w:tcPr>
          <w:p w14:paraId="4231D686" w14:textId="0EADA13D"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272.947</w:t>
            </w:r>
          </w:p>
        </w:tc>
        <w:tc>
          <w:tcPr>
            <w:tcW w:w="607" w:type="pct"/>
            <w:tcBorders>
              <w:top w:val="nil"/>
              <w:left w:val="nil"/>
              <w:bottom w:val="nil"/>
              <w:right w:val="nil"/>
            </w:tcBorders>
            <w:shd w:val="clear" w:color="auto" w:fill="auto"/>
            <w:vAlign w:val="center"/>
          </w:tcPr>
          <w:p w14:paraId="0CFFA1CF" w14:textId="3112999A" w:rsidR="004F7AE7" w:rsidRPr="00FF4346" w:rsidRDefault="00A6262F" w:rsidP="004F7AE7">
            <w:pPr>
              <w:ind w:firstLineChars="100" w:firstLine="157"/>
              <w:jc w:val="center"/>
              <w:rPr>
                <w:rFonts w:ascii="CAIXA Std Book" w:hAnsi="CAIXA Std Book"/>
                <w:b/>
                <w:color w:val="005CA9"/>
                <w:sz w:val="16"/>
                <w:szCs w:val="16"/>
              </w:rPr>
            </w:pPr>
            <w:r>
              <w:rPr>
                <w:rFonts w:ascii="CAIXA Std Book" w:hAnsi="CAIXA Std Book"/>
                <w:b/>
                <w:color w:val="005CA9"/>
                <w:sz w:val="16"/>
                <w:szCs w:val="16"/>
              </w:rPr>
              <w:t>-</w:t>
            </w:r>
          </w:p>
        </w:tc>
        <w:tc>
          <w:tcPr>
            <w:tcW w:w="529" w:type="pct"/>
            <w:tcBorders>
              <w:top w:val="nil"/>
              <w:left w:val="nil"/>
              <w:bottom w:val="nil"/>
              <w:right w:val="nil"/>
            </w:tcBorders>
            <w:shd w:val="clear" w:color="auto" w:fill="auto"/>
            <w:vAlign w:val="center"/>
          </w:tcPr>
          <w:p w14:paraId="45EF2E7B" w14:textId="319B748D" w:rsidR="004F7AE7" w:rsidRPr="00FF4346" w:rsidRDefault="00A6262F" w:rsidP="004F7AE7">
            <w:pPr>
              <w:ind w:firstLineChars="100" w:firstLine="157"/>
              <w:jc w:val="center"/>
              <w:rPr>
                <w:rFonts w:ascii="CAIXA Std Book" w:hAnsi="CAIXA Std Book"/>
                <w:b/>
                <w:color w:val="005CA9"/>
                <w:sz w:val="16"/>
                <w:szCs w:val="16"/>
              </w:rPr>
            </w:pPr>
            <w:r>
              <w:rPr>
                <w:rFonts w:ascii="CAIXA Std Book" w:hAnsi="CAIXA Std Book"/>
                <w:b/>
                <w:color w:val="005CA9"/>
                <w:sz w:val="16"/>
                <w:szCs w:val="16"/>
              </w:rPr>
              <w:t>-</w:t>
            </w:r>
          </w:p>
        </w:tc>
        <w:tc>
          <w:tcPr>
            <w:tcW w:w="595" w:type="pct"/>
            <w:tcBorders>
              <w:top w:val="nil"/>
              <w:left w:val="nil"/>
              <w:bottom w:val="nil"/>
              <w:right w:val="nil"/>
            </w:tcBorders>
            <w:shd w:val="clear" w:color="auto" w:fill="auto"/>
            <w:vAlign w:val="center"/>
          </w:tcPr>
          <w:p w14:paraId="03D70BF0" w14:textId="360F4919" w:rsidR="004F7AE7" w:rsidRPr="00FF4346" w:rsidRDefault="00A6262F" w:rsidP="00A6262F">
            <w:pPr>
              <w:ind w:firstLineChars="100" w:firstLine="160"/>
              <w:jc w:val="right"/>
              <w:rPr>
                <w:rFonts w:ascii="CAIXA Std Book" w:hAnsi="CAIXA Std Book"/>
                <w:b/>
                <w:color w:val="005CA9"/>
                <w:sz w:val="16"/>
                <w:szCs w:val="16"/>
              </w:rPr>
            </w:pPr>
            <w:r w:rsidRPr="00616EE1">
              <w:rPr>
                <w:rFonts w:ascii="CAIXA Std Book" w:hAnsi="CAIXA Std Book" w:cs="Arial"/>
                <w:color w:val="005CA9"/>
                <w:sz w:val="16"/>
                <w:szCs w:val="16"/>
              </w:rPr>
              <w:t>272.947</w:t>
            </w:r>
          </w:p>
        </w:tc>
        <w:tc>
          <w:tcPr>
            <w:tcW w:w="555" w:type="pct"/>
            <w:tcBorders>
              <w:top w:val="nil"/>
              <w:left w:val="nil"/>
              <w:bottom w:val="nil"/>
              <w:right w:val="nil"/>
            </w:tcBorders>
            <w:shd w:val="clear" w:color="auto" w:fill="auto"/>
            <w:vAlign w:val="center"/>
          </w:tcPr>
          <w:p w14:paraId="6BF1B533" w14:textId="518F48D7"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260.853</w:t>
            </w:r>
          </w:p>
        </w:tc>
      </w:tr>
      <w:tr w:rsidR="004F7AE7" w:rsidRPr="0013769A" w14:paraId="55E21DF9" w14:textId="77777777" w:rsidTr="00830063">
        <w:trPr>
          <w:trHeight w:val="283"/>
        </w:trPr>
        <w:tc>
          <w:tcPr>
            <w:tcW w:w="1715" w:type="pct"/>
            <w:tcBorders>
              <w:top w:val="nil"/>
              <w:left w:val="nil"/>
              <w:bottom w:val="nil"/>
              <w:right w:val="nil"/>
            </w:tcBorders>
            <w:shd w:val="clear" w:color="auto" w:fill="auto"/>
            <w:vAlign w:val="center"/>
            <w:hideMark/>
          </w:tcPr>
          <w:p w14:paraId="3F06F883"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Móveis e equipamentos de uso</w:t>
            </w:r>
          </w:p>
        </w:tc>
        <w:tc>
          <w:tcPr>
            <w:tcW w:w="393" w:type="pct"/>
            <w:tcBorders>
              <w:top w:val="nil"/>
              <w:left w:val="nil"/>
              <w:bottom w:val="nil"/>
              <w:right w:val="nil"/>
            </w:tcBorders>
            <w:shd w:val="clear" w:color="auto" w:fill="auto"/>
            <w:vAlign w:val="center"/>
            <w:hideMark/>
          </w:tcPr>
          <w:p w14:paraId="09789B26" w14:textId="77777777" w:rsidR="004F7AE7" w:rsidRPr="00FF4346" w:rsidRDefault="004F7AE7" w:rsidP="004F7AE7">
            <w:pPr>
              <w:jc w:val="center"/>
              <w:rPr>
                <w:rFonts w:ascii="CAIXA Std Book" w:hAnsi="CAIXA Std Book"/>
                <w:b/>
                <w:bCs/>
                <w:color w:val="005CA9"/>
                <w:sz w:val="16"/>
                <w:szCs w:val="16"/>
              </w:rPr>
            </w:pPr>
            <w:r w:rsidRPr="00FF4346">
              <w:rPr>
                <w:rFonts w:ascii="CAIXA Std Book" w:hAnsi="CAIXA Std Book"/>
                <w:b/>
                <w:bCs/>
                <w:color w:val="005CA9"/>
                <w:sz w:val="16"/>
                <w:szCs w:val="16"/>
              </w:rPr>
              <w:t>-</w:t>
            </w:r>
          </w:p>
        </w:tc>
        <w:tc>
          <w:tcPr>
            <w:tcW w:w="606" w:type="pct"/>
            <w:tcBorders>
              <w:top w:val="nil"/>
              <w:left w:val="nil"/>
              <w:bottom w:val="nil"/>
              <w:right w:val="nil"/>
            </w:tcBorders>
            <w:shd w:val="clear" w:color="auto" w:fill="auto"/>
            <w:vAlign w:val="center"/>
          </w:tcPr>
          <w:p w14:paraId="72E4C74F" w14:textId="4909FB8F"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6.301.909</w:t>
            </w:r>
          </w:p>
        </w:tc>
        <w:tc>
          <w:tcPr>
            <w:tcW w:w="607" w:type="pct"/>
            <w:tcBorders>
              <w:top w:val="nil"/>
              <w:left w:val="nil"/>
              <w:bottom w:val="nil"/>
              <w:right w:val="nil"/>
            </w:tcBorders>
            <w:shd w:val="clear" w:color="auto" w:fill="auto"/>
            <w:vAlign w:val="center"/>
          </w:tcPr>
          <w:p w14:paraId="4DBF1EFB" w14:textId="1F046DF3"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(5.201.720)</w:t>
            </w:r>
          </w:p>
        </w:tc>
        <w:tc>
          <w:tcPr>
            <w:tcW w:w="529" w:type="pct"/>
            <w:tcBorders>
              <w:top w:val="nil"/>
              <w:left w:val="nil"/>
              <w:bottom w:val="nil"/>
              <w:right w:val="nil"/>
            </w:tcBorders>
            <w:shd w:val="clear" w:color="auto" w:fill="auto"/>
            <w:vAlign w:val="center"/>
          </w:tcPr>
          <w:p w14:paraId="381451A2" w14:textId="07FAC452" w:rsidR="004F7AE7" w:rsidRPr="00FF4346" w:rsidRDefault="00A6262F" w:rsidP="004F7AE7">
            <w:pPr>
              <w:ind w:firstLineChars="100" w:firstLine="157"/>
              <w:jc w:val="center"/>
              <w:rPr>
                <w:rFonts w:ascii="CAIXA Std Book" w:hAnsi="CAIXA Std Book"/>
                <w:b/>
                <w:color w:val="005CA9"/>
                <w:sz w:val="16"/>
                <w:szCs w:val="16"/>
              </w:rPr>
            </w:pPr>
            <w:r w:rsidRPr="00616EE1">
              <w:rPr>
                <w:rFonts w:ascii="CAIXA Std Book" w:hAnsi="CAIXA Std Book" w:cs="Arial"/>
                <w:b/>
                <w:color w:val="005CA9"/>
                <w:sz w:val="16"/>
                <w:szCs w:val="16"/>
              </w:rPr>
              <w:t>-</w:t>
            </w:r>
          </w:p>
        </w:tc>
        <w:tc>
          <w:tcPr>
            <w:tcW w:w="595" w:type="pct"/>
            <w:tcBorders>
              <w:top w:val="nil"/>
              <w:left w:val="nil"/>
              <w:bottom w:val="nil"/>
              <w:right w:val="nil"/>
            </w:tcBorders>
            <w:shd w:val="clear" w:color="auto" w:fill="auto"/>
            <w:vAlign w:val="center"/>
          </w:tcPr>
          <w:p w14:paraId="7E8C9481" w14:textId="3A4A2461"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1.100.189</w:t>
            </w:r>
          </w:p>
        </w:tc>
        <w:tc>
          <w:tcPr>
            <w:tcW w:w="555" w:type="pct"/>
            <w:tcBorders>
              <w:top w:val="nil"/>
              <w:left w:val="nil"/>
              <w:bottom w:val="nil"/>
              <w:right w:val="nil"/>
            </w:tcBorders>
            <w:shd w:val="clear" w:color="auto" w:fill="auto"/>
            <w:vAlign w:val="center"/>
          </w:tcPr>
          <w:p w14:paraId="722A2534" w14:textId="00EA3D65"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1.045.595</w:t>
            </w:r>
          </w:p>
        </w:tc>
      </w:tr>
      <w:tr w:rsidR="004F7AE7" w:rsidRPr="0013769A" w14:paraId="302E7916" w14:textId="77777777" w:rsidTr="00830063">
        <w:trPr>
          <w:trHeight w:val="283"/>
        </w:trPr>
        <w:tc>
          <w:tcPr>
            <w:tcW w:w="1715" w:type="pct"/>
            <w:tcBorders>
              <w:top w:val="nil"/>
              <w:left w:val="nil"/>
              <w:bottom w:val="nil"/>
              <w:right w:val="nil"/>
            </w:tcBorders>
            <w:shd w:val="clear" w:color="auto" w:fill="auto"/>
            <w:vAlign w:val="center"/>
            <w:hideMark/>
          </w:tcPr>
          <w:p w14:paraId="5EA4AA74" w14:textId="77777777" w:rsidR="004F7AE7" w:rsidRPr="00FF4346" w:rsidRDefault="004F7AE7" w:rsidP="004F7AE7">
            <w:pPr>
              <w:ind w:firstLineChars="100" w:firstLine="160"/>
              <w:rPr>
                <w:rFonts w:ascii="CAIXA Std Book" w:hAnsi="CAIXA Std Book"/>
                <w:color w:val="005CA9"/>
                <w:sz w:val="16"/>
                <w:szCs w:val="16"/>
              </w:rPr>
            </w:pPr>
            <w:r w:rsidRPr="00FF4346">
              <w:rPr>
                <w:rFonts w:ascii="CAIXA Std Book" w:hAnsi="CAIXA Std Book"/>
                <w:color w:val="005CA9"/>
                <w:sz w:val="16"/>
                <w:szCs w:val="16"/>
              </w:rPr>
              <w:t>Sistema de comunicação e de segurança</w:t>
            </w:r>
          </w:p>
        </w:tc>
        <w:tc>
          <w:tcPr>
            <w:tcW w:w="393" w:type="pct"/>
            <w:tcBorders>
              <w:top w:val="nil"/>
              <w:left w:val="nil"/>
              <w:bottom w:val="nil"/>
              <w:right w:val="nil"/>
            </w:tcBorders>
            <w:shd w:val="clear" w:color="auto" w:fill="auto"/>
            <w:vAlign w:val="center"/>
            <w:hideMark/>
          </w:tcPr>
          <w:p w14:paraId="6E2C0B8A" w14:textId="77777777" w:rsidR="004F7AE7" w:rsidRPr="00FF4346" w:rsidRDefault="004F7AE7" w:rsidP="004F7AE7">
            <w:pPr>
              <w:jc w:val="center"/>
              <w:rPr>
                <w:rFonts w:ascii="CAIXA Std Book" w:hAnsi="CAIXA Std Book"/>
                <w:color w:val="005CA9"/>
                <w:sz w:val="16"/>
                <w:szCs w:val="16"/>
              </w:rPr>
            </w:pPr>
            <w:r w:rsidRPr="00FF4346">
              <w:rPr>
                <w:rFonts w:ascii="CAIXA Std Book" w:hAnsi="CAIXA Std Book"/>
                <w:color w:val="005CA9"/>
                <w:sz w:val="16"/>
                <w:szCs w:val="16"/>
              </w:rPr>
              <w:t>5 a 10</w:t>
            </w:r>
          </w:p>
        </w:tc>
        <w:tc>
          <w:tcPr>
            <w:tcW w:w="606" w:type="pct"/>
            <w:tcBorders>
              <w:top w:val="nil"/>
              <w:left w:val="nil"/>
              <w:bottom w:val="nil"/>
              <w:right w:val="nil"/>
            </w:tcBorders>
            <w:shd w:val="clear" w:color="auto" w:fill="auto"/>
            <w:vAlign w:val="center"/>
          </w:tcPr>
          <w:p w14:paraId="2AC3A073" w14:textId="03E36F0E"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807.957</w:t>
            </w:r>
          </w:p>
        </w:tc>
        <w:tc>
          <w:tcPr>
            <w:tcW w:w="607" w:type="pct"/>
            <w:tcBorders>
              <w:top w:val="nil"/>
              <w:left w:val="nil"/>
              <w:bottom w:val="nil"/>
              <w:right w:val="nil"/>
            </w:tcBorders>
            <w:shd w:val="clear" w:color="auto" w:fill="auto"/>
            <w:vAlign w:val="center"/>
          </w:tcPr>
          <w:p w14:paraId="2DEF243C" w14:textId="47282FBF"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(663.316)</w:t>
            </w:r>
          </w:p>
        </w:tc>
        <w:tc>
          <w:tcPr>
            <w:tcW w:w="529" w:type="pct"/>
            <w:tcBorders>
              <w:top w:val="nil"/>
              <w:left w:val="nil"/>
              <w:bottom w:val="nil"/>
              <w:right w:val="nil"/>
            </w:tcBorders>
            <w:shd w:val="clear" w:color="auto" w:fill="auto"/>
            <w:vAlign w:val="center"/>
          </w:tcPr>
          <w:p w14:paraId="4A4DDE13" w14:textId="33D30344" w:rsidR="004F7AE7" w:rsidRPr="00FF4346" w:rsidRDefault="00A6262F" w:rsidP="004F7AE7">
            <w:pPr>
              <w:ind w:firstLineChars="100" w:firstLine="160"/>
              <w:jc w:val="center"/>
              <w:rPr>
                <w:rFonts w:ascii="CAIXA Std Book" w:hAnsi="CAIXA Std Book"/>
                <w:color w:val="005CA9"/>
                <w:sz w:val="16"/>
                <w:szCs w:val="16"/>
              </w:rPr>
            </w:pPr>
            <w:r>
              <w:rPr>
                <w:rFonts w:ascii="CAIXA Std Book" w:hAnsi="CAIXA Std Book"/>
                <w:color w:val="005CA9"/>
                <w:sz w:val="16"/>
                <w:szCs w:val="16"/>
              </w:rPr>
              <w:t>-</w:t>
            </w:r>
          </w:p>
        </w:tc>
        <w:tc>
          <w:tcPr>
            <w:tcW w:w="595" w:type="pct"/>
            <w:tcBorders>
              <w:top w:val="nil"/>
              <w:left w:val="nil"/>
              <w:bottom w:val="nil"/>
              <w:right w:val="nil"/>
            </w:tcBorders>
            <w:shd w:val="clear" w:color="auto" w:fill="auto"/>
            <w:vAlign w:val="center"/>
          </w:tcPr>
          <w:p w14:paraId="284D554C" w14:textId="6BBC8D0C"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144.641</w:t>
            </w:r>
          </w:p>
        </w:tc>
        <w:tc>
          <w:tcPr>
            <w:tcW w:w="555" w:type="pct"/>
            <w:tcBorders>
              <w:top w:val="nil"/>
              <w:left w:val="nil"/>
              <w:bottom w:val="nil"/>
              <w:right w:val="nil"/>
            </w:tcBorders>
            <w:shd w:val="clear" w:color="auto" w:fill="auto"/>
            <w:vAlign w:val="center"/>
          </w:tcPr>
          <w:p w14:paraId="39CE08A5" w14:textId="354204A3" w:rsidR="004F7AE7" w:rsidRPr="00FF4346" w:rsidRDefault="004F7AE7" w:rsidP="004F7AE7">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135.168</w:t>
            </w:r>
          </w:p>
        </w:tc>
      </w:tr>
      <w:tr w:rsidR="004F7AE7" w:rsidRPr="0013769A" w14:paraId="3A1152C4" w14:textId="77777777" w:rsidTr="00830063">
        <w:trPr>
          <w:trHeight w:val="283"/>
        </w:trPr>
        <w:tc>
          <w:tcPr>
            <w:tcW w:w="1715" w:type="pct"/>
            <w:tcBorders>
              <w:top w:val="nil"/>
              <w:left w:val="nil"/>
              <w:bottom w:val="nil"/>
              <w:right w:val="nil"/>
            </w:tcBorders>
            <w:shd w:val="clear" w:color="auto" w:fill="auto"/>
            <w:vAlign w:val="center"/>
            <w:hideMark/>
          </w:tcPr>
          <w:p w14:paraId="01E7FDFD" w14:textId="77777777" w:rsidR="004F7AE7" w:rsidRPr="00FF4346" w:rsidRDefault="004F7AE7" w:rsidP="004F7AE7">
            <w:pPr>
              <w:ind w:firstLineChars="100" w:firstLine="160"/>
              <w:rPr>
                <w:rFonts w:ascii="CAIXA Std Book" w:hAnsi="CAIXA Std Book"/>
                <w:color w:val="005CA9"/>
                <w:sz w:val="16"/>
                <w:szCs w:val="16"/>
              </w:rPr>
            </w:pPr>
            <w:r w:rsidRPr="00FF4346">
              <w:rPr>
                <w:rFonts w:ascii="CAIXA Std Book" w:hAnsi="CAIXA Std Book"/>
                <w:color w:val="005CA9"/>
                <w:sz w:val="16"/>
                <w:szCs w:val="16"/>
              </w:rPr>
              <w:t xml:space="preserve">Sistema de processamento de dados </w:t>
            </w:r>
          </w:p>
        </w:tc>
        <w:tc>
          <w:tcPr>
            <w:tcW w:w="393" w:type="pct"/>
            <w:tcBorders>
              <w:top w:val="nil"/>
              <w:left w:val="nil"/>
              <w:bottom w:val="nil"/>
              <w:right w:val="nil"/>
            </w:tcBorders>
            <w:shd w:val="clear" w:color="auto" w:fill="auto"/>
            <w:vAlign w:val="center"/>
            <w:hideMark/>
          </w:tcPr>
          <w:p w14:paraId="3C0780D7" w14:textId="77777777" w:rsidR="004F7AE7" w:rsidRPr="00FF4346" w:rsidRDefault="004F7AE7" w:rsidP="004F7AE7">
            <w:pPr>
              <w:jc w:val="center"/>
              <w:rPr>
                <w:rFonts w:ascii="CAIXA Std Book" w:hAnsi="CAIXA Std Book"/>
                <w:color w:val="005CA9"/>
                <w:sz w:val="16"/>
                <w:szCs w:val="16"/>
              </w:rPr>
            </w:pPr>
            <w:r w:rsidRPr="00FF4346">
              <w:rPr>
                <w:rFonts w:ascii="CAIXA Std Book" w:hAnsi="CAIXA Std Book"/>
                <w:color w:val="005CA9"/>
                <w:sz w:val="16"/>
                <w:szCs w:val="16"/>
              </w:rPr>
              <w:t>5</w:t>
            </w:r>
          </w:p>
        </w:tc>
        <w:tc>
          <w:tcPr>
            <w:tcW w:w="606" w:type="pct"/>
            <w:tcBorders>
              <w:top w:val="nil"/>
              <w:left w:val="nil"/>
              <w:bottom w:val="nil"/>
              <w:right w:val="nil"/>
            </w:tcBorders>
            <w:shd w:val="clear" w:color="auto" w:fill="auto"/>
            <w:vAlign w:val="center"/>
          </w:tcPr>
          <w:p w14:paraId="06E69F37" w14:textId="2E819AD6"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5.493.952</w:t>
            </w:r>
          </w:p>
        </w:tc>
        <w:tc>
          <w:tcPr>
            <w:tcW w:w="607" w:type="pct"/>
            <w:tcBorders>
              <w:top w:val="nil"/>
              <w:left w:val="nil"/>
              <w:bottom w:val="nil"/>
              <w:right w:val="nil"/>
            </w:tcBorders>
            <w:shd w:val="clear" w:color="auto" w:fill="auto"/>
            <w:vAlign w:val="center"/>
          </w:tcPr>
          <w:p w14:paraId="5876A2B2" w14:textId="3D1DCB00"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(4.538.404)</w:t>
            </w:r>
          </w:p>
        </w:tc>
        <w:tc>
          <w:tcPr>
            <w:tcW w:w="529" w:type="pct"/>
            <w:tcBorders>
              <w:top w:val="nil"/>
              <w:left w:val="nil"/>
              <w:bottom w:val="nil"/>
              <w:right w:val="nil"/>
            </w:tcBorders>
            <w:shd w:val="clear" w:color="auto" w:fill="auto"/>
            <w:vAlign w:val="center"/>
          </w:tcPr>
          <w:p w14:paraId="5A4C7CD3" w14:textId="41310A77" w:rsidR="004F7AE7" w:rsidRPr="00FF4346" w:rsidRDefault="00A6262F" w:rsidP="004F7AE7">
            <w:pPr>
              <w:ind w:firstLineChars="100" w:firstLine="160"/>
              <w:jc w:val="center"/>
              <w:rPr>
                <w:rFonts w:ascii="CAIXA Std Book" w:hAnsi="CAIXA Std Book"/>
                <w:color w:val="005CA9"/>
                <w:sz w:val="16"/>
                <w:szCs w:val="16"/>
              </w:rPr>
            </w:pPr>
            <w:r>
              <w:rPr>
                <w:rFonts w:ascii="CAIXA Std Book" w:hAnsi="CAIXA Std Book"/>
                <w:color w:val="005CA9"/>
                <w:sz w:val="16"/>
                <w:szCs w:val="16"/>
              </w:rPr>
              <w:t>-</w:t>
            </w:r>
          </w:p>
        </w:tc>
        <w:tc>
          <w:tcPr>
            <w:tcW w:w="595" w:type="pct"/>
            <w:tcBorders>
              <w:top w:val="nil"/>
              <w:left w:val="nil"/>
              <w:bottom w:val="nil"/>
              <w:right w:val="nil"/>
            </w:tcBorders>
            <w:shd w:val="clear" w:color="auto" w:fill="auto"/>
            <w:vAlign w:val="center"/>
          </w:tcPr>
          <w:p w14:paraId="435D95A6" w14:textId="3B018EE0" w:rsidR="004F7AE7" w:rsidRPr="00FF4346" w:rsidRDefault="00A6262F" w:rsidP="004F7AE7">
            <w:pPr>
              <w:ind w:firstLineChars="100" w:firstLine="160"/>
              <w:jc w:val="right"/>
              <w:rPr>
                <w:rFonts w:ascii="CAIXA Std Book" w:hAnsi="CAIXA Std Book"/>
                <w:color w:val="005CA9"/>
                <w:sz w:val="16"/>
                <w:szCs w:val="16"/>
              </w:rPr>
            </w:pPr>
            <w:r w:rsidRPr="00616EE1">
              <w:rPr>
                <w:rFonts w:ascii="CAIXA Std Book" w:hAnsi="CAIXA Std Book" w:cs="Arial"/>
                <w:color w:val="005CA9"/>
                <w:sz w:val="16"/>
                <w:szCs w:val="16"/>
              </w:rPr>
              <w:t>955.548</w:t>
            </w:r>
          </w:p>
        </w:tc>
        <w:tc>
          <w:tcPr>
            <w:tcW w:w="555" w:type="pct"/>
            <w:tcBorders>
              <w:top w:val="nil"/>
              <w:left w:val="nil"/>
              <w:bottom w:val="nil"/>
              <w:right w:val="nil"/>
            </w:tcBorders>
            <w:shd w:val="clear" w:color="auto" w:fill="auto"/>
            <w:vAlign w:val="center"/>
          </w:tcPr>
          <w:p w14:paraId="7842E9D4" w14:textId="40B8BCDB" w:rsidR="004F7AE7" w:rsidRPr="00FF4346" w:rsidRDefault="004F7AE7" w:rsidP="004F7AE7">
            <w:pPr>
              <w:ind w:firstLineChars="100" w:firstLine="160"/>
              <w:jc w:val="right"/>
              <w:rPr>
                <w:rFonts w:ascii="CAIXA Std Book" w:hAnsi="CAIXA Std Book"/>
                <w:color w:val="005CA9"/>
                <w:sz w:val="16"/>
                <w:szCs w:val="16"/>
              </w:rPr>
            </w:pPr>
            <w:r w:rsidRPr="00FF4346">
              <w:rPr>
                <w:rFonts w:ascii="CAIXA Std Book" w:hAnsi="CAIXA Std Book"/>
                <w:color w:val="005CA9"/>
                <w:sz w:val="16"/>
                <w:szCs w:val="16"/>
              </w:rPr>
              <w:t>910.427</w:t>
            </w:r>
          </w:p>
        </w:tc>
      </w:tr>
      <w:tr w:rsidR="004F7AE7" w:rsidRPr="0013769A" w14:paraId="26A034C5" w14:textId="77777777" w:rsidTr="00830063">
        <w:trPr>
          <w:trHeight w:val="283"/>
        </w:trPr>
        <w:tc>
          <w:tcPr>
            <w:tcW w:w="1715" w:type="pct"/>
            <w:tcBorders>
              <w:top w:val="nil"/>
              <w:left w:val="nil"/>
              <w:bottom w:val="nil"/>
              <w:right w:val="nil"/>
            </w:tcBorders>
            <w:shd w:val="clear" w:color="auto" w:fill="auto"/>
            <w:vAlign w:val="center"/>
            <w:hideMark/>
          </w:tcPr>
          <w:p w14:paraId="45A100A5"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Móveis em estoque e outros equipamentos</w:t>
            </w:r>
          </w:p>
        </w:tc>
        <w:tc>
          <w:tcPr>
            <w:tcW w:w="393" w:type="pct"/>
            <w:tcBorders>
              <w:top w:val="nil"/>
              <w:left w:val="nil"/>
              <w:bottom w:val="nil"/>
              <w:right w:val="nil"/>
            </w:tcBorders>
            <w:shd w:val="clear" w:color="auto" w:fill="auto"/>
            <w:vAlign w:val="center"/>
            <w:hideMark/>
          </w:tcPr>
          <w:p w14:paraId="4CA292CE" w14:textId="77777777" w:rsidR="004F7AE7" w:rsidRPr="00FF4346" w:rsidRDefault="004F7AE7" w:rsidP="004F7AE7">
            <w:pPr>
              <w:jc w:val="center"/>
              <w:rPr>
                <w:rFonts w:ascii="CAIXA Std Book" w:hAnsi="CAIXA Std Book"/>
                <w:b/>
                <w:color w:val="005CA9"/>
                <w:sz w:val="16"/>
                <w:szCs w:val="16"/>
              </w:rPr>
            </w:pPr>
            <w:r w:rsidRPr="00FF4346">
              <w:rPr>
                <w:rFonts w:ascii="CAIXA Std Book" w:hAnsi="CAIXA Std Book"/>
                <w:b/>
                <w:color w:val="005CA9"/>
                <w:sz w:val="16"/>
                <w:szCs w:val="16"/>
              </w:rPr>
              <w:t>-</w:t>
            </w:r>
          </w:p>
        </w:tc>
        <w:tc>
          <w:tcPr>
            <w:tcW w:w="606" w:type="pct"/>
            <w:tcBorders>
              <w:top w:val="nil"/>
              <w:left w:val="nil"/>
              <w:bottom w:val="nil"/>
              <w:right w:val="nil"/>
            </w:tcBorders>
            <w:shd w:val="clear" w:color="auto" w:fill="auto"/>
            <w:vAlign w:val="center"/>
          </w:tcPr>
          <w:p w14:paraId="13E6D303" w14:textId="132C84D6"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868.239</w:t>
            </w:r>
          </w:p>
        </w:tc>
        <w:tc>
          <w:tcPr>
            <w:tcW w:w="607" w:type="pct"/>
            <w:tcBorders>
              <w:top w:val="nil"/>
              <w:left w:val="nil"/>
              <w:bottom w:val="nil"/>
              <w:right w:val="nil"/>
            </w:tcBorders>
            <w:shd w:val="clear" w:color="auto" w:fill="auto"/>
            <w:vAlign w:val="center"/>
          </w:tcPr>
          <w:p w14:paraId="1939DC54" w14:textId="2DF0B326"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(650.058)</w:t>
            </w:r>
          </w:p>
        </w:tc>
        <w:tc>
          <w:tcPr>
            <w:tcW w:w="529" w:type="pct"/>
            <w:tcBorders>
              <w:top w:val="nil"/>
              <w:left w:val="nil"/>
              <w:bottom w:val="nil"/>
              <w:right w:val="nil"/>
            </w:tcBorders>
            <w:shd w:val="clear" w:color="auto" w:fill="auto"/>
            <w:vAlign w:val="center"/>
          </w:tcPr>
          <w:p w14:paraId="5BC64BDE" w14:textId="0615957F"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(9.087)</w:t>
            </w:r>
          </w:p>
        </w:tc>
        <w:tc>
          <w:tcPr>
            <w:tcW w:w="595" w:type="pct"/>
            <w:tcBorders>
              <w:top w:val="nil"/>
              <w:left w:val="nil"/>
              <w:bottom w:val="nil"/>
              <w:right w:val="nil"/>
            </w:tcBorders>
            <w:shd w:val="clear" w:color="auto" w:fill="auto"/>
            <w:vAlign w:val="center"/>
          </w:tcPr>
          <w:p w14:paraId="61597D2E" w14:textId="0514D0B4"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209.094</w:t>
            </w:r>
          </w:p>
        </w:tc>
        <w:tc>
          <w:tcPr>
            <w:tcW w:w="555" w:type="pct"/>
            <w:tcBorders>
              <w:top w:val="nil"/>
              <w:left w:val="nil"/>
              <w:bottom w:val="single" w:sz="4" w:space="0" w:color="F39200"/>
              <w:right w:val="nil"/>
            </w:tcBorders>
            <w:shd w:val="clear" w:color="auto" w:fill="auto"/>
            <w:vAlign w:val="center"/>
          </w:tcPr>
          <w:p w14:paraId="41243F61" w14:textId="0A31E229"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188.569</w:t>
            </w:r>
          </w:p>
        </w:tc>
      </w:tr>
      <w:tr w:rsidR="004F7AE7" w:rsidRPr="0013769A" w14:paraId="51E4E197" w14:textId="77777777" w:rsidTr="00830063">
        <w:trPr>
          <w:trHeight w:val="283"/>
        </w:trPr>
        <w:tc>
          <w:tcPr>
            <w:tcW w:w="1715" w:type="pct"/>
            <w:tcBorders>
              <w:top w:val="single" w:sz="4" w:space="0" w:color="F39200"/>
              <w:left w:val="nil"/>
              <w:bottom w:val="single" w:sz="4" w:space="0" w:color="F39200"/>
              <w:right w:val="nil"/>
            </w:tcBorders>
            <w:shd w:val="clear" w:color="auto" w:fill="auto"/>
            <w:vAlign w:val="center"/>
            <w:hideMark/>
          </w:tcPr>
          <w:p w14:paraId="6B153CCF" w14:textId="77777777" w:rsidR="004F7AE7" w:rsidRPr="00FF4346" w:rsidRDefault="004F7AE7" w:rsidP="004F7AE7">
            <w:pPr>
              <w:rPr>
                <w:rFonts w:ascii="CAIXA Std Book" w:hAnsi="CAIXA Std Book"/>
                <w:b/>
                <w:color w:val="005CA9"/>
                <w:sz w:val="16"/>
                <w:szCs w:val="16"/>
              </w:rPr>
            </w:pPr>
            <w:r w:rsidRPr="00FF4346">
              <w:rPr>
                <w:rFonts w:ascii="CAIXA Std Book" w:hAnsi="CAIXA Std Book"/>
                <w:b/>
                <w:color w:val="005CA9"/>
                <w:sz w:val="16"/>
                <w:szCs w:val="16"/>
              </w:rPr>
              <w:t xml:space="preserve">Total </w:t>
            </w:r>
          </w:p>
        </w:tc>
        <w:tc>
          <w:tcPr>
            <w:tcW w:w="393" w:type="pct"/>
            <w:tcBorders>
              <w:top w:val="single" w:sz="4" w:space="0" w:color="F39200"/>
              <w:left w:val="nil"/>
              <w:bottom w:val="single" w:sz="4" w:space="0" w:color="F39200"/>
              <w:right w:val="nil"/>
            </w:tcBorders>
            <w:shd w:val="clear" w:color="auto" w:fill="auto"/>
            <w:vAlign w:val="center"/>
            <w:hideMark/>
          </w:tcPr>
          <w:p w14:paraId="28CAC9D6" w14:textId="61477763" w:rsidR="004F7AE7" w:rsidRPr="00FF4346" w:rsidRDefault="004F7AE7" w:rsidP="004F7AE7">
            <w:pPr>
              <w:jc w:val="center"/>
              <w:rPr>
                <w:rFonts w:ascii="CAIXA Std Book" w:hAnsi="CAIXA Std Book"/>
                <w:b/>
                <w:color w:val="005CA9"/>
                <w:sz w:val="16"/>
                <w:szCs w:val="16"/>
              </w:rPr>
            </w:pPr>
          </w:p>
        </w:tc>
        <w:tc>
          <w:tcPr>
            <w:tcW w:w="606" w:type="pct"/>
            <w:tcBorders>
              <w:top w:val="single" w:sz="4" w:space="0" w:color="F39200"/>
              <w:left w:val="nil"/>
              <w:bottom w:val="single" w:sz="4" w:space="0" w:color="F39200"/>
              <w:right w:val="nil"/>
            </w:tcBorders>
            <w:shd w:val="clear" w:color="auto" w:fill="auto"/>
            <w:vAlign w:val="center"/>
          </w:tcPr>
          <w:p w14:paraId="06ADDB4E" w14:textId="60F1626D"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11.642.299</w:t>
            </w:r>
          </w:p>
        </w:tc>
        <w:tc>
          <w:tcPr>
            <w:tcW w:w="607" w:type="pct"/>
            <w:tcBorders>
              <w:top w:val="single" w:sz="4" w:space="0" w:color="F39200"/>
              <w:left w:val="nil"/>
              <w:bottom w:val="single" w:sz="4" w:space="0" w:color="F39200"/>
              <w:right w:val="nil"/>
            </w:tcBorders>
            <w:shd w:val="clear" w:color="auto" w:fill="auto"/>
            <w:vAlign w:val="center"/>
          </w:tcPr>
          <w:p w14:paraId="56C2FA87" w14:textId="2759D235"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(8.605.564)</w:t>
            </w:r>
          </w:p>
        </w:tc>
        <w:tc>
          <w:tcPr>
            <w:tcW w:w="529" w:type="pct"/>
            <w:tcBorders>
              <w:top w:val="single" w:sz="4" w:space="0" w:color="F39200"/>
              <w:left w:val="nil"/>
              <w:bottom w:val="single" w:sz="4" w:space="0" w:color="F39200"/>
              <w:right w:val="nil"/>
            </w:tcBorders>
            <w:shd w:val="clear" w:color="auto" w:fill="auto"/>
            <w:vAlign w:val="center"/>
          </w:tcPr>
          <w:p w14:paraId="1111F9EB" w14:textId="3BE1F03B"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(39.511)</w:t>
            </w:r>
          </w:p>
        </w:tc>
        <w:tc>
          <w:tcPr>
            <w:tcW w:w="595" w:type="pct"/>
            <w:tcBorders>
              <w:top w:val="single" w:sz="4" w:space="0" w:color="F39200"/>
              <w:left w:val="nil"/>
              <w:bottom w:val="single" w:sz="4" w:space="0" w:color="F39200"/>
              <w:right w:val="nil"/>
            </w:tcBorders>
            <w:shd w:val="clear" w:color="auto" w:fill="auto"/>
            <w:vAlign w:val="center"/>
          </w:tcPr>
          <w:p w14:paraId="79AD5CEC" w14:textId="65C9CB04" w:rsidR="004F7AE7" w:rsidRPr="00FF4346" w:rsidRDefault="00A6262F" w:rsidP="004F7AE7">
            <w:pPr>
              <w:ind w:firstLineChars="100" w:firstLine="157"/>
              <w:jc w:val="right"/>
              <w:rPr>
                <w:rFonts w:ascii="CAIXA Std Book" w:hAnsi="CAIXA Std Book"/>
                <w:b/>
                <w:color w:val="005CA9"/>
                <w:sz w:val="16"/>
                <w:szCs w:val="16"/>
              </w:rPr>
            </w:pPr>
            <w:r w:rsidRPr="00616EE1">
              <w:rPr>
                <w:rFonts w:ascii="CAIXA Std Book" w:hAnsi="CAIXA Std Book" w:cs="Arial"/>
                <w:b/>
                <w:color w:val="005CA9"/>
                <w:sz w:val="16"/>
                <w:szCs w:val="16"/>
              </w:rPr>
              <w:t>2.997.224</w:t>
            </w:r>
          </w:p>
        </w:tc>
        <w:tc>
          <w:tcPr>
            <w:tcW w:w="555" w:type="pct"/>
            <w:tcBorders>
              <w:top w:val="nil"/>
              <w:left w:val="nil"/>
              <w:bottom w:val="single" w:sz="4" w:space="0" w:color="F39200"/>
              <w:right w:val="nil"/>
            </w:tcBorders>
            <w:shd w:val="clear" w:color="auto" w:fill="auto"/>
            <w:vAlign w:val="center"/>
          </w:tcPr>
          <w:p w14:paraId="0AD2BE8D" w14:textId="36BDEA5B" w:rsidR="004F7AE7" w:rsidRPr="00FF4346" w:rsidRDefault="004F7AE7" w:rsidP="004F7AE7">
            <w:pPr>
              <w:ind w:firstLineChars="100" w:firstLine="157"/>
              <w:jc w:val="right"/>
              <w:rPr>
                <w:rFonts w:ascii="CAIXA Std Book" w:hAnsi="CAIXA Std Book"/>
                <w:b/>
                <w:color w:val="005CA9"/>
                <w:sz w:val="16"/>
                <w:szCs w:val="16"/>
              </w:rPr>
            </w:pPr>
            <w:r w:rsidRPr="00FF4346">
              <w:rPr>
                <w:rFonts w:ascii="CAIXA Std Book" w:hAnsi="CAIXA Std Book"/>
                <w:b/>
                <w:color w:val="005CA9"/>
                <w:sz w:val="16"/>
                <w:szCs w:val="16"/>
              </w:rPr>
              <w:t>2.902.737</w:t>
            </w:r>
          </w:p>
        </w:tc>
      </w:tr>
    </w:tbl>
    <w:p w14:paraId="0B54B9F8" w14:textId="77777777" w:rsidR="004F7AE7" w:rsidRDefault="004F7AE7" w:rsidP="00E93A21">
      <w:pPr>
        <w:rPr>
          <w:rFonts w:ascii="CAIXA Std Book" w:hAnsi="CAIXA Std Book"/>
          <w:color w:val="005CA9"/>
        </w:rPr>
      </w:pPr>
    </w:p>
    <w:p w14:paraId="132F7E48" w14:textId="77777777" w:rsidR="004F7AE7" w:rsidRDefault="004F7AE7" w:rsidP="00E93A21">
      <w:pPr>
        <w:rPr>
          <w:rFonts w:ascii="CAIXA Std Book" w:hAnsi="CAIXA Std Book"/>
          <w:color w:val="005CA9"/>
        </w:rPr>
      </w:pPr>
    </w:p>
    <w:p w14:paraId="0FF901A2" w14:textId="77777777" w:rsidR="004F7AE7" w:rsidRDefault="004F7AE7" w:rsidP="00E93A21">
      <w:pPr>
        <w:rPr>
          <w:rFonts w:ascii="CAIXA Std Book" w:hAnsi="CAIXA Std Book"/>
          <w:color w:val="005CA9"/>
        </w:rPr>
      </w:pPr>
    </w:p>
    <w:p w14:paraId="140B4161" w14:textId="77777777" w:rsidR="004F7AE7" w:rsidRDefault="004F7AE7" w:rsidP="00E93A21">
      <w:pPr>
        <w:rPr>
          <w:rFonts w:ascii="CAIXA Std Book" w:hAnsi="CAIXA Std Book"/>
          <w:color w:val="005CA9"/>
        </w:rPr>
      </w:pPr>
    </w:p>
    <w:p w14:paraId="0C90F315" w14:textId="141E7119" w:rsidR="004F7AE7" w:rsidRDefault="004F7AE7">
      <w:pPr>
        <w:rPr>
          <w:rFonts w:ascii="CAIXA Std Book" w:hAnsi="CAIXA Std Book"/>
          <w:color w:val="005CA9"/>
        </w:rPr>
      </w:pPr>
      <w:r>
        <w:rPr>
          <w:rFonts w:ascii="CAIXA Std Book" w:hAnsi="CAIXA Std Book"/>
          <w:color w:val="005CA9"/>
        </w:rPr>
        <w:br w:type="page"/>
      </w:r>
    </w:p>
    <w:p w14:paraId="0E915381" w14:textId="756227DD" w:rsidR="00657973" w:rsidRPr="00FF4346" w:rsidRDefault="00657973" w:rsidP="005A596E">
      <w:pPr>
        <w:pStyle w:val="Ttulo1"/>
      </w:pPr>
      <w:bookmarkStart w:id="71" w:name="_Toc166594488"/>
      <w:r w:rsidRPr="00FF4346">
        <w:lastRenderedPageBreak/>
        <w:t>Nota 1</w:t>
      </w:r>
      <w:r w:rsidR="004917F8" w:rsidRPr="00FF4346">
        <w:t>3</w:t>
      </w:r>
      <w:r w:rsidRPr="00FF4346">
        <w:t xml:space="preserve"> – Intangível</w:t>
      </w:r>
      <w:bookmarkEnd w:id="71"/>
    </w:p>
    <w:p w14:paraId="038FCA4F" w14:textId="1A537C4C" w:rsidR="00E952CE" w:rsidRPr="00FF4346" w:rsidRDefault="00657973" w:rsidP="00B37B40">
      <w:pPr>
        <w:pStyle w:val="PargrafodaLista"/>
        <w:numPr>
          <w:ilvl w:val="1"/>
          <w:numId w:val="10"/>
        </w:numPr>
        <w:shd w:val="clear" w:color="auto" w:fill="FFFFFF" w:themeFill="background1"/>
        <w:spacing w:before="240" w:after="240"/>
        <w:ind w:left="567" w:right="-40"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3262"/>
        <w:gridCol w:w="1274"/>
        <w:gridCol w:w="1274"/>
        <w:gridCol w:w="1274"/>
        <w:gridCol w:w="1274"/>
        <w:gridCol w:w="1280"/>
      </w:tblGrid>
      <w:tr w:rsidR="003B2B2A" w:rsidRPr="00A33766" w14:paraId="08754F5C" w14:textId="77777777" w:rsidTr="004F7AE7">
        <w:trPr>
          <w:trHeight w:val="283"/>
        </w:trPr>
        <w:tc>
          <w:tcPr>
            <w:tcW w:w="5000" w:type="pct"/>
            <w:gridSpan w:val="6"/>
            <w:tcBorders>
              <w:top w:val="single" w:sz="4" w:space="0" w:color="F39200"/>
              <w:left w:val="nil"/>
              <w:bottom w:val="single" w:sz="4" w:space="0" w:color="F39200"/>
              <w:right w:val="nil"/>
            </w:tcBorders>
            <w:shd w:val="clear" w:color="auto" w:fill="auto"/>
            <w:vAlign w:val="center"/>
            <w:hideMark/>
          </w:tcPr>
          <w:p w14:paraId="421A5D2D" w14:textId="77777777" w:rsidR="00001CC8" w:rsidRPr="001963A9" w:rsidRDefault="00001CC8" w:rsidP="003D64FC">
            <w:pPr>
              <w:jc w:val="center"/>
              <w:rPr>
                <w:rFonts w:ascii="CAIXA Std Book" w:hAnsi="CAIXA Std Book"/>
                <w:b/>
                <w:color w:val="005CA9"/>
                <w:sz w:val="18"/>
                <w:szCs w:val="18"/>
              </w:rPr>
            </w:pPr>
            <w:bookmarkStart w:id="72" w:name="_Hlk64655346"/>
            <w:r w:rsidRPr="001963A9">
              <w:rPr>
                <w:rFonts w:ascii="CAIXA Std Book" w:hAnsi="CAIXA Std Book"/>
                <w:b/>
                <w:color w:val="005CA9"/>
                <w:sz w:val="18"/>
                <w:szCs w:val="18"/>
              </w:rPr>
              <w:t>INDIVIDUAL / CONSOLIDADO</w:t>
            </w:r>
          </w:p>
        </w:tc>
      </w:tr>
      <w:tr w:rsidR="003B2B2A" w:rsidRPr="00A33766" w14:paraId="56BABD10" w14:textId="77777777" w:rsidTr="004F7AE7">
        <w:trPr>
          <w:trHeight w:val="283"/>
        </w:trPr>
        <w:tc>
          <w:tcPr>
            <w:tcW w:w="1692" w:type="pct"/>
            <w:vMerge w:val="restart"/>
            <w:tcBorders>
              <w:top w:val="nil"/>
              <w:left w:val="nil"/>
              <w:bottom w:val="single" w:sz="4" w:space="0" w:color="F39200"/>
              <w:right w:val="nil"/>
            </w:tcBorders>
            <w:shd w:val="clear" w:color="auto" w:fill="auto"/>
            <w:vAlign w:val="center"/>
            <w:hideMark/>
          </w:tcPr>
          <w:p w14:paraId="17721EE4"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Descrição</w:t>
            </w:r>
          </w:p>
        </w:tc>
        <w:tc>
          <w:tcPr>
            <w:tcW w:w="2644" w:type="pct"/>
            <w:gridSpan w:val="4"/>
            <w:tcBorders>
              <w:top w:val="single" w:sz="4" w:space="0" w:color="F39200"/>
              <w:left w:val="nil"/>
              <w:bottom w:val="single" w:sz="4" w:space="0" w:color="F39200"/>
              <w:right w:val="nil"/>
            </w:tcBorders>
            <w:shd w:val="clear" w:color="auto" w:fill="auto"/>
            <w:vAlign w:val="center"/>
            <w:hideMark/>
          </w:tcPr>
          <w:p w14:paraId="1017D996" w14:textId="54B05E60" w:rsidR="00001CC8" w:rsidRPr="001963A9" w:rsidRDefault="00373B8E" w:rsidP="003D64FC">
            <w:pPr>
              <w:jc w:val="center"/>
              <w:rPr>
                <w:rFonts w:ascii="CAIXA Std Book" w:hAnsi="CAIXA Std Book"/>
                <w:b/>
                <w:color w:val="005CA9"/>
                <w:sz w:val="18"/>
                <w:szCs w:val="18"/>
              </w:rPr>
            </w:pPr>
            <w:r w:rsidRPr="001963A9">
              <w:rPr>
                <w:rFonts w:ascii="CAIXA Std Book" w:hAnsi="CAIXA Std Book"/>
                <w:b/>
                <w:color w:val="005CA9"/>
                <w:sz w:val="18"/>
                <w:szCs w:val="18"/>
              </w:rPr>
              <w:t>31</w:t>
            </w:r>
            <w:r w:rsidR="00FB1608" w:rsidRPr="001963A9">
              <w:rPr>
                <w:rFonts w:ascii="CAIXA Std Book" w:hAnsi="CAIXA Std Book"/>
                <w:b/>
                <w:color w:val="005CA9"/>
                <w:sz w:val="18"/>
                <w:szCs w:val="18"/>
              </w:rPr>
              <w:t>/</w:t>
            </w:r>
            <w:r w:rsidR="00023EF7" w:rsidRPr="001963A9">
              <w:rPr>
                <w:rFonts w:ascii="CAIXA Std Book" w:hAnsi="CAIXA Std Book"/>
                <w:b/>
                <w:color w:val="005CA9"/>
                <w:sz w:val="18"/>
                <w:szCs w:val="18"/>
              </w:rPr>
              <w:t>03</w:t>
            </w:r>
            <w:r w:rsidR="00FB1608" w:rsidRPr="001963A9">
              <w:rPr>
                <w:rFonts w:ascii="CAIXA Std Book" w:hAnsi="CAIXA Std Book"/>
                <w:b/>
                <w:color w:val="005CA9"/>
                <w:sz w:val="18"/>
                <w:szCs w:val="18"/>
              </w:rPr>
              <w:t>/202</w:t>
            </w:r>
            <w:r w:rsidR="00023EF7" w:rsidRPr="001963A9">
              <w:rPr>
                <w:rFonts w:ascii="CAIXA Std Book" w:hAnsi="CAIXA Std Book"/>
                <w:b/>
                <w:color w:val="005CA9"/>
                <w:sz w:val="18"/>
                <w:szCs w:val="18"/>
              </w:rPr>
              <w:t>4</w:t>
            </w:r>
          </w:p>
        </w:tc>
        <w:tc>
          <w:tcPr>
            <w:tcW w:w="664" w:type="pct"/>
            <w:tcBorders>
              <w:top w:val="nil"/>
              <w:left w:val="nil"/>
              <w:bottom w:val="single" w:sz="4" w:space="0" w:color="F39200"/>
              <w:right w:val="nil"/>
            </w:tcBorders>
            <w:shd w:val="clear" w:color="auto" w:fill="auto"/>
            <w:vAlign w:val="center"/>
            <w:hideMark/>
          </w:tcPr>
          <w:p w14:paraId="7E031147" w14:textId="66CDFF4E"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31/12/</w:t>
            </w:r>
            <w:r w:rsidR="00023EF7" w:rsidRPr="001963A9">
              <w:rPr>
                <w:rFonts w:ascii="CAIXA Std Book" w:hAnsi="CAIXA Std Book"/>
                <w:b/>
                <w:color w:val="005CA9"/>
                <w:sz w:val="18"/>
                <w:szCs w:val="18"/>
              </w:rPr>
              <w:t>2023</w:t>
            </w:r>
          </w:p>
        </w:tc>
      </w:tr>
      <w:tr w:rsidR="003B2B2A" w:rsidRPr="00A33766" w14:paraId="710D15EE" w14:textId="77777777" w:rsidTr="004F7AE7">
        <w:trPr>
          <w:trHeight w:val="283"/>
        </w:trPr>
        <w:tc>
          <w:tcPr>
            <w:tcW w:w="1692" w:type="pct"/>
            <w:vMerge/>
            <w:tcBorders>
              <w:top w:val="nil"/>
              <w:left w:val="nil"/>
              <w:bottom w:val="single" w:sz="4" w:space="0" w:color="F79646" w:themeColor="accent6"/>
              <w:right w:val="nil"/>
            </w:tcBorders>
            <w:vAlign w:val="center"/>
            <w:hideMark/>
          </w:tcPr>
          <w:p w14:paraId="54F3FAC9" w14:textId="77777777" w:rsidR="00001CC8" w:rsidRPr="001963A9" w:rsidRDefault="00001CC8" w:rsidP="003D64FC">
            <w:pPr>
              <w:rPr>
                <w:rFonts w:ascii="CAIXA Std Book" w:hAnsi="CAIXA Std Book"/>
                <w:b/>
                <w:color w:val="005CA9"/>
                <w:sz w:val="18"/>
                <w:szCs w:val="18"/>
              </w:rPr>
            </w:pPr>
          </w:p>
        </w:tc>
        <w:tc>
          <w:tcPr>
            <w:tcW w:w="661" w:type="pct"/>
            <w:tcBorders>
              <w:top w:val="nil"/>
              <w:left w:val="nil"/>
              <w:bottom w:val="single" w:sz="4" w:space="0" w:color="F79646" w:themeColor="accent6"/>
              <w:right w:val="nil"/>
            </w:tcBorders>
            <w:shd w:val="clear" w:color="auto" w:fill="auto"/>
            <w:vAlign w:val="center"/>
            <w:hideMark/>
          </w:tcPr>
          <w:p w14:paraId="2EE8C10B"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Custo</w:t>
            </w:r>
          </w:p>
        </w:tc>
        <w:tc>
          <w:tcPr>
            <w:tcW w:w="661" w:type="pct"/>
            <w:tcBorders>
              <w:top w:val="nil"/>
              <w:left w:val="nil"/>
              <w:bottom w:val="single" w:sz="4" w:space="0" w:color="F79646" w:themeColor="accent6"/>
              <w:right w:val="nil"/>
            </w:tcBorders>
            <w:shd w:val="clear" w:color="auto" w:fill="auto"/>
            <w:vAlign w:val="center"/>
            <w:hideMark/>
          </w:tcPr>
          <w:p w14:paraId="32429C89"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Amortização Acumulada</w:t>
            </w:r>
          </w:p>
        </w:tc>
        <w:tc>
          <w:tcPr>
            <w:tcW w:w="661" w:type="pct"/>
            <w:tcBorders>
              <w:top w:val="nil"/>
              <w:left w:val="nil"/>
              <w:bottom w:val="single" w:sz="4" w:space="0" w:color="F79646" w:themeColor="accent6"/>
              <w:right w:val="nil"/>
            </w:tcBorders>
            <w:shd w:val="clear" w:color="auto" w:fill="auto"/>
            <w:vAlign w:val="center"/>
            <w:hideMark/>
          </w:tcPr>
          <w:p w14:paraId="407C0FEE"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Redução ao valor recuperável</w:t>
            </w:r>
          </w:p>
        </w:tc>
        <w:tc>
          <w:tcPr>
            <w:tcW w:w="661" w:type="pct"/>
            <w:tcBorders>
              <w:top w:val="nil"/>
              <w:left w:val="nil"/>
              <w:bottom w:val="single" w:sz="4" w:space="0" w:color="F79646" w:themeColor="accent6"/>
              <w:right w:val="nil"/>
            </w:tcBorders>
            <w:shd w:val="clear" w:color="auto" w:fill="auto"/>
            <w:vAlign w:val="center"/>
            <w:hideMark/>
          </w:tcPr>
          <w:p w14:paraId="727C0755"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Líquido</w:t>
            </w:r>
          </w:p>
        </w:tc>
        <w:tc>
          <w:tcPr>
            <w:tcW w:w="664" w:type="pct"/>
            <w:tcBorders>
              <w:top w:val="nil"/>
              <w:left w:val="nil"/>
              <w:bottom w:val="single" w:sz="4" w:space="0" w:color="F79646" w:themeColor="accent6"/>
              <w:right w:val="nil"/>
            </w:tcBorders>
            <w:shd w:val="clear" w:color="auto" w:fill="auto"/>
            <w:vAlign w:val="center"/>
            <w:hideMark/>
          </w:tcPr>
          <w:p w14:paraId="1B323AF9" w14:textId="77777777" w:rsidR="00001CC8" w:rsidRPr="001963A9" w:rsidRDefault="00001CC8" w:rsidP="003D64FC">
            <w:pPr>
              <w:jc w:val="center"/>
              <w:rPr>
                <w:rFonts w:ascii="CAIXA Std Book" w:hAnsi="CAIXA Std Book"/>
                <w:b/>
                <w:color w:val="005CA9"/>
                <w:sz w:val="18"/>
                <w:szCs w:val="18"/>
              </w:rPr>
            </w:pPr>
            <w:r w:rsidRPr="001963A9">
              <w:rPr>
                <w:rFonts w:ascii="CAIXA Std Book" w:hAnsi="CAIXA Std Book"/>
                <w:b/>
                <w:color w:val="005CA9"/>
                <w:sz w:val="18"/>
                <w:szCs w:val="18"/>
              </w:rPr>
              <w:t>Líquido</w:t>
            </w:r>
          </w:p>
        </w:tc>
      </w:tr>
      <w:tr w:rsidR="009D2435" w:rsidRPr="00A33766" w14:paraId="791440D2" w14:textId="77777777" w:rsidTr="004F7AE7">
        <w:trPr>
          <w:trHeight w:val="283"/>
        </w:trPr>
        <w:tc>
          <w:tcPr>
            <w:tcW w:w="1692" w:type="pct"/>
            <w:tcBorders>
              <w:top w:val="single" w:sz="4" w:space="0" w:color="F79646" w:themeColor="accent6"/>
            </w:tcBorders>
            <w:shd w:val="clear" w:color="auto" w:fill="auto"/>
            <w:vAlign w:val="center"/>
            <w:hideMark/>
          </w:tcPr>
          <w:p w14:paraId="1E0F4380" w14:textId="77777777" w:rsidR="009D2435" w:rsidRPr="001963A9" w:rsidRDefault="009D2435" w:rsidP="009D2435">
            <w:pPr>
              <w:rPr>
                <w:rFonts w:ascii="CAIXA Std Book" w:hAnsi="CAIXA Std Book"/>
                <w:color w:val="005CA9"/>
                <w:sz w:val="18"/>
                <w:szCs w:val="18"/>
              </w:rPr>
            </w:pPr>
            <w:r w:rsidRPr="001963A9">
              <w:rPr>
                <w:rFonts w:ascii="CAIXA Std Book" w:hAnsi="CAIXA Std Book"/>
                <w:color w:val="005CA9"/>
                <w:sz w:val="18"/>
                <w:szCs w:val="18"/>
              </w:rPr>
              <w:t xml:space="preserve">Aquisição de folha de pagamento </w:t>
            </w:r>
          </w:p>
        </w:tc>
        <w:tc>
          <w:tcPr>
            <w:tcW w:w="661" w:type="pct"/>
            <w:tcBorders>
              <w:top w:val="nil"/>
              <w:left w:val="nil"/>
              <w:bottom w:val="nil"/>
              <w:right w:val="nil"/>
            </w:tcBorders>
            <w:shd w:val="clear" w:color="auto" w:fill="auto"/>
            <w:vAlign w:val="center"/>
          </w:tcPr>
          <w:p w14:paraId="4A9D38AD" w14:textId="1BA559B7"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2.495.799</w:t>
            </w:r>
          </w:p>
        </w:tc>
        <w:tc>
          <w:tcPr>
            <w:tcW w:w="661" w:type="pct"/>
            <w:tcBorders>
              <w:top w:val="nil"/>
              <w:left w:val="nil"/>
              <w:bottom w:val="nil"/>
              <w:right w:val="nil"/>
            </w:tcBorders>
            <w:shd w:val="clear" w:color="auto" w:fill="auto"/>
            <w:vAlign w:val="center"/>
          </w:tcPr>
          <w:p w14:paraId="0C942103" w14:textId="316F757B"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(1.371.605)</w:t>
            </w:r>
          </w:p>
        </w:tc>
        <w:tc>
          <w:tcPr>
            <w:tcW w:w="661" w:type="pct"/>
            <w:tcBorders>
              <w:top w:val="nil"/>
              <w:left w:val="nil"/>
              <w:bottom w:val="nil"/>
              <w:right w:val="nil"/>
            </w:tcBorders>
            <w:shd w:val="clear" w:color="auto" w:fill="auto"/>
            <w:vAlign w:val="center"/>
          </w:tcPr>
          <w:p w14:paraId="29C3339A" w14:textId="1BFACBC6" w:rsidR="009D2435" w:rsidRPr="001963A9" w:rsidRDefault="001D4F5B" w:rsidP="009D2435">
            <w:pPr>
              <w:jc w:val="center"/>
              <w:rPr>
                <w:rFonts w:ascii="CAIXA Std Book" w:hAnsi="CAIXA Std Book"/>
                <w:color w:val="005CA9"/>
                <w:sz w:val="18"/>
                <w:szCs w:val="18"/>
              </w:rPr>
            </w:pPr>
            <w:r w:rsidRPr="001963A9">
              <w:rPr>
                <w:rFonts w:ascii="CAIXA Std Book" w:hAnsi="CAIXA Std Book"/>
                <w:color w:val="005CA9"/>
                <w:sz w:val="18"/>
                <w:szCs w:val="18"/>
              </w:rPr>
              <w:t>-</w:t>
            </w:r>
          </w:p>
        </w:tc>
        <w:tc>
          <w:tcPr>
            <w:tcW w:w="661" w:type="pct"/>
            <w:tcBorders>
              <w:top w:val="nil"/>
              <w:left w:val="nil"/>
              <w:bottom w:val="nil"/>
              <w:right w:val="nil"/>
            </w:tcBorders>
            <w:shd w:val="clear" w:color="auto" w:fill="auto"/>
            <w:vAlign w:val="center"/>
          </w:tcPr>
          <w:p w14:paraId="409F67AC" w14:textId="7F682778"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1.124.194</w:t>
            </w:r>
          </w:p>
        </w:tc>
        <w:tc>
          <w:tcPr>
            <w:tcW w:w="664" w:type="pct"/>
            <w:tcBorders>
              <w:top w:val="nil"/>
              <w:left w:val="nil"/>
              <w:bottom w:val="nil"/>
              <w:right w:val="nil"/>
            </w:tcBorders>
            <w:shd w:val="clear" w:color="auto" w:fill="auto"/>
            <w:vAlign w:val="center"/>
          </w:tcPr>
          <w:p w14:paraId="3E590B53" w14:textId="4F545A45" w:rsidR="009D2435" w:rsidRPr="001963A9" w:rsidRDefault="00023EF7" w:rsidP="009D2435">
            <w:pPr>
              <w:jc w:val="right"/>
              <w:rPr>
                <w:rFonts w:ascii="CAIXA Std Book" w:hAnsi="CAIXA Std Book"/>
                <w:color w:val="005CA9"/>
                <w:sz w:val="18"/>
                <w:szCs w:val="18"/>
              </w:rPr>
            </w:pPr>
            <w:r w:rsidRPr="001963A9">
              <w:rPr>
                <w:rFonts w:ascii="CAIXA Std Book" w:hAnsi="CAIXA Std Book"/>
                <w:color w:val="005CA9"/>
                <w:sz w:val="18"/>
                <w:szCs w:val="18"/>
              </w:rPr>
              <w:t>1.164.663</w:t>
            </w:r>
          </w:p>
        </w:tc>
      </w:tr>
      <w:tr w:rsidR="009D2435" w:rsidRPr="00A33766" w14:paraId="0ADA2E89" w14:textId="77777777" w:rsidTr="004F7AE7">
        <w:trPr>
          <w:trHeight w:val="283"/>
        </w:trPr>
        <w:tc>
          <w:tcPr>
            <w:tcW w:w="1692" w:type="pct"/>
            <w:shd w:val="clear" w:color="auto" w:fill="auto"/>
            <w:vAlign w:val="center"/>
          </w:tcPr>
          <w:p w14:paraId="1907B80B" w14:textId="77777777" w:rsidR="009D2435" w:rsidRPr="001963A9" w:rsidRDefault="009D2435" w:rsidP="009D2435">
            <w:pPr>
              <w:rPr>
                <w:rFonts w:ascii="CAIXA Std Book" w:hAnsi="CAIXA Std Book"/>
                <w:color w:val="005CA9"/>
                <w:sz w:val="18"/>
                <w:szCs w:val="18"/>
              </w:rPr>
            </w:pPr>
            <w:r w:rsidRPr="001963A9">
              <w:rPr>
                <w:rFonts w:ascii="CAIXA Std Book" w:hAnsi="CAIXA Std Book"/>
                <w:color w:val="005CA9"/>
                <w:sz w:val="18"/>
                <w:szCs w:val="18"/>
              </w:rPr>
              <w:t xml:space="preserve">Projetos </w:t>
            </w:r>
            <w:proofErr w:type="spellStart"/>
            <w:r w:rsidRPr="001963A9">
              <w:rPr>
                <w:rFonts w:ascii="CAIXA Std Book" w:hAnsi="CAIXA Std Book"/>
                <w:color w:val="005CA9"/>
                <w:sz w:val="18"/>
                <w:szCs w:val="18"/>
              </w:rPr>
              <w:t>logiciais</w:t>
            </w:r>
            <w:proofErr w:type="spellEnd"/>
            <w:r w:rsidRPr="001963A9">
              <w:rPr>
                <w:rFonts w:ascii="CAIXA Std Book" w:hAnsi="CAIXA Std Book"/>
                <w:color w:val="005CA9"/>
                <w:sz w:val="18"/>
                <w:szCs w:val="18"/>
              </w:rPr>
              <w:t xml:space="preserve"> – software</w:t>
            </w:r>
          </w:p>
        </w:tc>
        <w:tc>
          <w:tcPr>
            <w:tcW w:w="661" w:type="pct"/>
            <w:tcBorders>
              <w:top w:val="nil"/>
              <w:left w:val="nil"/>
              <w:bottom w:val="nil"/>
              <w:right w:val="nil"/>
            </w:tcBorders>
            <w:shd w:val="clear" w:color="auto" w:fill="auto"/>
            <w:vAlign w:val="center"/>
          </w:tcPr>
          <w:p w14:paraId="582C4C4C" w14:textId="59BF1DCE"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2.694.333</w:t>
            </w:r>
          </w:p>
        </w:tc>
        <w:tc>
          <w:tcPr>
            <w:tcW w:w="661" w:type="pct"/>
            <w:tcBorders>
              <w:top w:val="nil"/>
              <w:left w:val="nil"/>
              <w:bottom w:val="nil"/>
              <w:right w:val="nil"/>
            </w:tcBorders>
            <w:shd w:val="clear" w:color="auto" w:fill="auto"/>
            <w:vAlign w:val="center"/>
          </w:tcPr>
          <w:p w14:paraId="3677D255" w14:textId="13E74161"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(1.758.812)</w:t>
            </w:r>
          </w:p>
        </w:tc>
        <w:tc>
          <w:tcPr>
            <w:tcW w:w="661" w:type="pct"/>
            <w:tcBorders>
              <w:top w:val="nil"/>
              <w:left w:val="nil"/>
              <w:bottom w:val="nil"/>
              <w:right w:val="nil"/>
            </w:tcBorders>
            <w:shd w:val="clear" w:color="auto" w:fill="auto"/>
            <w:vAlign w:val="center"/>
          </w:tcPr>
          <w:p w14:paraId="2DCCCEBD" w14:textId="29C3DC0A"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(26.551)</w:t>
            </w:r>
          </w:p>
        </w:tc>
        <w:tc>
          <w:tcPr>
            <w:tcW w:w="661" w:type="pct"/>
            <w:tcBorders>
              <w:top w:val="nil"/>
              <w:left w:val="nil"/>
              <w:bottom w:val="nil"/>
              <w:right w:val="nil"/>
            </w:tcBorders>
            <w:shd w:val="clear" w:color="auto" w:fill="auto"/>
            <w:vAlign w:val="center"/>
          </w:tcPr>
          <w:p w14:paraId="2523E38E" w14:textId="59DD2F24"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908.970</w:t>
            </w:r>
          </w:p>
        </w:tc>
        <w:tc>
          <w:tcPr>
            <w:tcW w:w="664" w:type="pct"/>
            <w:tcBorders>
              <w:top w:val="nil"/>
              <w:left w:val="nil"/>
              <w:bottom w:val="nil"/>
              <w:right w:val="nil"/>
            </w:tcBorders>
            <w:shd w:val="clear" w:color="auto" w:fill="auto"/>
            <w:vAlign w:val="center"/>
          </w:tcPr>
          <w:p w14:paraId="6CDD8F95" w14:textId="1C0671D3" w:rsidR="009D2435" w:rsidRPr="001963A9" w:rsidRDefault="00023EF7" w:rsidP="009D2435">
            <w:pPr>
              <w:jc w:val="right"/>
              <w:rPr>
                <w:rFonts w:ascii="CAIXA Std Book" w:hAnsi="CAIXA Std Book"/>
                <w:color w:val="005CA9"/>
                <w:sz w:val="18"/>
                <w:szCs w:val="18"/>
              </w:rPr>
            </w:pPr>
            <w:r w:rsidRPr="001963A9">
              <w:rPr>
                <w:rFonts w:ascii="CAIXA Std Book" w:hAnsi="CAIXA Std Book"/>
                <w:color w:val="005CA9"/>
                <w:sz w:val="18"/>
                <w:szCs w:val="18"/>
              </w:rPr>
              <w:t>971.851</w:t>
            </w:r>
          </w:p>
        </w:tc>
      </w:tr>
      <w:tr w:rsidR="009D2435" w:rsidRPr="00A33766" w14:paraId="61585B91" w14:textId="77777777" w:rsidTr="004F7AE7">
        <w:trPr>
          <w:trHeight w:val="283"/>
        </w:trPr>
        <w:tc>
          <w:tcPr>
            <w:tcW w:w="1692" w:type="pct"/>
            <w:tcBorders>
              <w:top w:val="nil"/>
              <w:bottom w:val="single" w:sz="4" w:space="0" w:color="F39200"/>
            </w:tcBorders>
            <w:shd w:val="clear" w:color="auto" w:fill="auto"/>
            <w:vAlign w:val="center"/>
            <w:hideMark/>
          </w:tcPr>
          <w:p w14:paraId="6F37E45B" w14:textId="77777777" w:rsidR="009D2435" w:rsidRPr="001963A9" w:rsidRDefault="009D2435" w:rsidP="009D2435">
            <w:pPr>
              <w:rPr>
                <w:rFonts w:ascii="CAIXA Std Book" w:hAnsi="CAIXA Std Book"/>
                <w:color w:val="005CA9"/>
                <w:sz w:val="18"/>
                <w:szCs w:val="18"/>
              </w:rPr>
            </w:pPr>
            <w:r w:rsidRPr="001963A9">
              <w:rPr>
                <w:rFonts w:ascii="CAIXA Std Book" w:hAnsi="CAIXA Std Book"/>
                <w:color w:val="005CA9"/>
                <w:sz w:val="18"/>
                <w:szCs w:val="18"/>
              </w:rPr>
              <w:t>Outros intangíveis</w:t>
            </w:r>
          </w:p>
        </w:tc>
        <w:tc>
          <w:tcPr>
            <w:tcW w:w="661" w:type="pct"/>
            <w:tcBorders>
              <w:top w:val="nil"/>
              <w:left w:val="nil"/>
              <w:bottom w:val="single" w:sz="4" w:space="0" w:color="F39200"/>
              <w:right w:val="nil"/>
            </w:tcBorders>
            <w:shd w:val="clear" w:color="auto" w:fill="auto"/>
            <w:vAlign w:val="center"/>
          </w:tcPr>
          <w:p w14:paraId="4E4065CD" w14:textId="15666B2C"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1.709.151</w:t>
            </w:r>
          </w:p>
        </w:tc>
        <w:tc>
          <w:tcPr>
            <w:tcW w:w="661" w:type="pct"/>
            <w:tcBorders>
              <w:top w:val="nil"/>
              <w:left w:val="nil"/>
              <w:bottom w:val="single" w:sz="4" w:space="0" w:color="F39200"/>
              <w:right w:val="nil"/>
            </w:tcBorders>
            <w:shd w:val="clear" w:color="auto" w:fill="auto"/>
            <w:vAlign w:val="center"/>
          </w:tcPr>
          <w:p w14:paraId="178E554C" w14:textId="152A2A77"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(917.628)</w:t>
            </w:r>
          </w:p>
        </w:tc>
        <w:tc>
          <w:tcPr>
            <w:tcW w:w="661" w:type="pct"/>
            <w:tcBorders>
              <w:top w:val="nil"/>
              <w:left w:val="nil"/>
              <w:bottom w:val="single" w:sz="4" w:space="0" w:color="F39200"/>
              <w:right w:val="nil"/>
            </w:tcBorders>
            <w:shd w:val="clear" w:color="auto" w:fill="auto"/>
            <w:vAlign w:val="center"/>
          </w:tcPr>
          <w:p w14:paraId="4A6B06B2" w14:textId="0DABC28B" w:rsidR="009D2435" w:rsidRPr="001963A9" w:rsidRDefault="001D4F5B" w:rsidP="009D2435">
            <w:pPr>
              <w:jc w:val="center"/>
              <w:rPr>
                <w:rFonts w:ascii="CAIXA Std Book" w:hAnsi="CAIXA Std Book"/>
                <w:color w:val="005CA9"/>
                <w:sz w:val="18"/>
                <w:szCs w:val="18"/>
              </w:rPr>
            </w:pPr>
            <w:r w:rsidRPr="001963A9">
              <w:rPr>
                <w:rFonts w:ascii="CAIXA Std Book" w:hAnsi="CAIXA Std Book"/>
                <w:color w:val="005CA9"/>
                <w:sz w:val="18"/>
                <w:szCs w:val="18"/>
              </w:rPr>
              <w:t>-</w:t>
            </w:r>
          </w:p>
        </w:tc>
        <w:tc>
          <w:tcPr>
            <w:tcW w:w="661" w:type="pct"/>
            <w:tcBorders>
              <w:top w:val="nil"/>
              <w:left w:val="nil"/>
              <w:bottom w:val="nil"/>
              <w:right w:val="nil"/>
            </w:tcBorders>
            <w:shd w:val="clear" w:color="auto" w:fill="auto"/>
            <w:vAlign w:val="center"/>
          </w:tcPr>
          <w:p w14:paraId="06ECBC73" w14:textId="11530187" w:rsidR="009D2435" w:rsidRPr="001963A9" w:rsidRDefault="001D4F5B" w:rsidP="00A72E46">
            <w:pPr>
              <w:jc w:val="right"/>
              <w:rPr>
                <w:rFonts w:ascii="CAIXA Std Book" w:hAnsi="CAIXA Std Book"/>
                <w:color w:val="005CA9"/>
                <w:sz w:val="18"/>
                <w:szCs w:val="18"/>
              </w:rPr>
            </w:pPr>
            <w:r w:rsidRPr="001963A9">
              <w:rPr>
                <w:rFonts w:ascii="CAIXA Std Book" w:hAnsi="CAIXA Std Book"/>
                <w:color w:val="005CA9"/>
                <w:sz w:val="18"/>
                <w:szCs w:val="18"/>
              </w:rPr>
              <w:t>791.523</w:t>
            </w:r>
          </w:p>
        </w:tc>
        <w:tc>
          <w:tcPr>
            <w:tcW w:w="664" w:type="pct"/>
            <w:tcBorders>
              <w:top w:val="nil"/>
              <w:left w:val="nil"/>
              <w:bottom w:val="single" w:sz="4" w:space="0" w:color="F39200"/>
              <w:right w:val="nil"/>
            </w:tcBorders>
            <w:shd w:val="clear" w:color="auto" w:fill="auto"/>
            <w:vAlign w:val="center"/>
          </w:tcPr>
          <w:p w14:paraId="43063CD4" w14:textId="1F99C940" w:rsidR="009D2435" w:rsidRPr="001963A9" w:rsidRDefault="00023EF7" w:rsidP="009D2435">
            <w:pPr>
              <w:jc w:val="right"/>
              <w:rPr>
                <w:rFonts w:ascii="CAIXA Std Book" w:hAnsi="CAIXA Std Book"/>
                <w:color w:val="005CA9"/>
                <w:sz w:val="18"/>
                <w:szCs w:val="18"/>
              </w:rPr>
            </w:pPr>
            <w:r w:rsidRPr="001963A9">
              <w:rPr>
                <w:rFonts w:ascii="CAIXA Std Book" w:hAnsi="CAIXA Std Book"/>
                <w:color w:val="005CA9"/>
                <w:sz w:val="18"/>
                <w:szCs w:val="18"/>
              </w:rPr>
              <w:t>863.417</w:t>
            </w:r>
          </w:p>
        </w:tc>
      </w:tr>
      <w:tr w:rsidR="009D2435" w:rsidRPr="00A33766" w14:paraId="4F2CBA22" w14:textId="77777777" w:rsidTr="004F7AE7">
        <w:trPr>
          <w:trHeight w:val="283"/>
        </w:trPr>
        <w:tc>
          <w:tcPr>
            <w:tcW w:w="1692" w:type="pct"/>
            <w:tcBorders>
              <w:top w:val="single" w:sz="4" w:space="0" w:color="F39200"/>
              <w:left w:val="nil"/>
              <w:bottom w:val="single" w:sz="4" w:space="0" w:color="F39200"/>
            </w:tcBorders>
            <w:shd w:val="clear" w:color="auto" w:fill="auto"/>
            <w:vAlign w:val="center"/>
            <w:hideMark/>
          </w:tcPr>
          <w:p w14:paraId="15BDBF9E" w14:textId="77777777" w:rsidR="009D2435" w:rsidRPr="001963A9" w:rsidRDefault="009D2435" w:rsidP="009D2435">
            <w:pPr>
              <w:rPr>
                <w:rFonts w:ascii="CAIXA Std Book" w:hAnsi="CAIXA Std Book"/>
                <w:b/>
                <w:color w:val="005CA9"/>
                <w:sz w:val="18"/>
                <w:szCs w:val="18"/>
              </w:rPr>
            </w:pPr>
            <w:r w:rsidRPr="001963A9">
              <w:rPr>
                <w:rFonts w:ascii="CAIXA Std Book" w:hAnsi="CAIXA Std Book"/>
                <w:b/>
                <w:color w:val="005CA9"/>
                <w:sz w:val="18"/>
                <w:szCs w:val="18"/>
              </w:rPr>
              <w:t xml:space="preserve">Total </w:t>
            </w:r>
          </w:p>
        </w:tc>
        <w:tc>
          <w:tcPr>
            <w:tcW w:w="661" w:type="pct"/>
            <w:tcBorders>
              <w:top w:val="nil"/>
              <w:left w:val="nil"/>
              <w:bottom w:val="single" w:sz="4" w:space="0" w:color="F39200"/>
              <w:right w:val="nil"/>
            </w:tcBorders>
            <w:shd w:val="clear" w:color="auto" w:fill="auto"/>
            <w:vAlign w:val="center"/>
          </w:tcPr>
          <w:p w14:paraId="2B6CC021" w14:textId="386E3FE8" w:rsidR="009D2435" w:rsidRPr="001963A9" w:rsidRDefault="001D4F5B" w:rsidP="00A72E46">
            <w:pPr>
              <w:jc w:val="right"/>
              <w:rPr>
                <w:rFonts w:ascii="CAIXA Std Book" w:hAnsi="CAIXA Std Book"/>
                <w:b/>
                <w:color w:val="005CA9"/>
                <w:sz w:val="18"/>
                <w:szCs w:val="18"/>
              </w:rPr>
            </w:pPr>
            <w:r w:rsidRPr="001963A9">
              <w:rPr>
                <w:rFonts w:ascii="CAIXA Std Book" w:hAnsi="CAIXA Std Book"/>
                <w:b/>
                <w:color w:val="005CA9"/>
                <w:sz w:val="18"/>
                <w:szCs w:val="18"/>
              </w:rPr>
              <w:t>6.899.283</w:t>
            </w:r>
          </w:p>
        </w:tc>
        <w:tc>
          <w:tcPr>
            <w:tcW w:w="661" w:type="pct"/>
            <w:tcBorders>
              <w:top w:val="nil"/>
              <w:left w:val="nil"/>
              <w:bottom w:val="single" w:sz="4" w:space="0" w:color="F39200"/>
              <w:right w:val="nil"/>
            </w:tcBorders>
            <w:shd w:val="clear" w:color="auto" w:fill="auto"/>
            <w:vAlign w:val="center"/>
          </w:tcPr>
          <w:p w14:paraId="06138084" w14:textId="78967308" w:rsidR="009D2435" w:rsidRPr="001963A9" w:rsidRDefault="001D4F5B" w:rsidP="00A72E46">
            <w:pPr>
              <w:jc w:val="right"/>
              <w:rPr>
                <w:rFonts w:ascii="CAIXA Std Book" w:hAnsi="CAIXA Std Book"/>
                <w:b/>
                <w:color w:val="005CA9"/>
                <w:sz w:val="18"/>
                <w:szCs w:val="18"/>
              </w:rPr>
            </w:pPr>
            <w:r w:rsidRPr="001963A9">
              <w:rPr>
                <w:rFonts w:ascii="CAIXA Std Book" w:hAnsi="CAIXA Std Book"/>
                <w:b/>
                <w:color w:val="005CA9"/>
                <w:sz w:val="18"/>
                <w:szCs w:val="18"/>
              </w:rPr>
              <w:t>(4.048.045)</w:t>
            </w:r>
          </w:p>
        </w:tc>
        <w:tc>
          <w:tcPr>
            <w:tcW w:w="661" w:type="pct"/>
            <w:tcBorders>
              <w:top w:val="nil"/>
              <w:left w:val="nil"/>
              <w:bottom w:val="single" w:sz="4" w:space="0" w:color="F39200"/>
              <w:right w:val="nil"/>
            </w:tcBorders>
            <w:shd w:val="clear" w:color="auto" w:fill="auto"/>
            <w:vAlign w:val="center"/>
          </w:tcPr>
          <w:p w14:paraId="35360937" w14:textId="3EC7EC3F" w:rsidR="009D2435" w:rsidRPr="001963A9" w:rsidRDefault="001D4F5B" w:rsidP="00A72E46">
            <w:pPr>
              <w:jc w:val="right"/>
              <w:rPr>
                <w:rFonts w:ascii="CAIXA Std Book" w:hAnsi="CAIXA Std Book"/>
                <w:b/>
                <w:color w:val="005CA9"/>
                <w:sz w:val="18"/>
                <w:szCs w:val="18"/>
              </w:rPr>
            </w:pPr>
            <w:r w:rsidRPr="001963A9">
              <w:rPr>
                <w:rFonts w:ascii="CAIXA Std Book" w:hAnsi="CAIXA Std Book"/>
                <w:b/>
                <w:color w:val="005CA9"/>
                <w:sz w:val="18"/>
                <w:szCs w:val="18"/>
              </w:rPr>
              <w:t>(26.551)</w:t>
            </w:r>
          </w:p>
        </w:tc>
        <w:tc>
          <w:tcPr>
            <w:tcW w:w="661" w:type="pct"/>
            <w:tcBorders>
              <w:top w:val="single" w:sz="4" w:space="0" w:color="F39200"/>
              <w:left w:val="nil"/>
              <w:bottom w:val="single" w:sz="4" w:space="0" w:color="F39200"/>
              <w:right w:val="nil"/>
            </w:tcBorders>
            <w:shd w:val="clear" w:color="auto" w:fill="auto"/>
            <w:vAlign w:val="center"/>
          </w:tcPr>
          <w:p w14:paraId="750C64D5" w14:textId="16BF0DEC" w:rsidR="009D2435" w:rsidRPr="001963A9" w:rsidRDefault="001D4F5B" w:rsidP="00A72E46">
            <w:pPr>
              <w:jc w:val="right"/>
              <w:rPr>
                <w:rFonts w:ascii="CAIXA Std Book" w:hAnsi="CAIXA Std Book"/>
                <w:b/>
                <w:color w:val="005CA9"/>
                <w:sz w:val="18"/>
                <w:szCs w:val="18"/>
              </w:rPr>
            </w:pPr>
            <w:r w:rsidRPr="001963A9">
              <w:rPr>
                <w:rFonts w:ascii="CAIXA Std Book" w:hAnsi="CAIXA Std Book"/>
                <w:b/>
                <w:color w:val="005CA9"/>
                <w:sz w:val="18"/>
                <w:szCs w:val="18"/>
              </w:rPr>
              <w:t>2.824.687</w:t>
            </w:r>
          </w:p>
        </w:tc>
        <w:tc>
          <w:tcPr>
            <w:tcW w:w="664" w:type="pct"/>
            <w:tcBorders>
              <w:top w:val="nil"/>
              <w:left w:val="nil"/>
              <w:bottom w:val="single" w:sz="4" w:space="0" w:color="F39200"/>
              <w:right w:val="nil"/>
            </w:tcBorders>
            <w:shd w:val="clear" w:color="auto" w:fill="auto"/>
            <w:vAlign w:val="center"/>
          </w:tcPr>
          <w:p w14:paraId="7785481F" w14:textId="122A9B31" w:rsidR="009D2435" w:rsidRPr="001963A9" w:rsidRDefault="00023EF7" w:rsidP="009D2435">
            <w:pPr>
              <w:jc w:val="right"/>
              <w:rPr>
                <w:rFonts w:ascii="CAIXA Std Book" w:hAnsi="CAIXA Std Book"/>
                <w:b/>
                <w:color w:val="005CA9"/>
                <w:sz w:val="18"/>
                <w:szCs w:val="18"/>
              </w:rPr>
            </w:pPr>
            <w:r w:rsidRPr="001963A9">
              <w:rPr>
                <w:rFonts w:ascii="CAIXA Std Book" w:hAnsi="CAIXA Std Book"/>
                <w:b/>
                <w:color w:val="005CA9"/>
                <w:sz w:val="18"/>
                <w:szCs w:val="18"/>
              </w:rPr>
              <w:t>2.999.931</w:t>
            </w:r>
          </w:p>
        </w:tc>
      </w:tr>
    </w:tbl>
    <w:p w14:paraId="7DB2F2D4" w14:textId="66DFF8E2" w:rsidR="00353F12" w:rsidRPr="00FF4346" w:rsidRDefault="00353F12" w:rsidP="005A596E">
      <w:pPr>
        <w:pStyle w:val="Ttulo1"/>
      </w:pPr>
      <w:bookmarkStart w:id="73" w:name="_Toc166594489"/>
      <w:bookmarkEnd w:id="72"/>
      <w:r w:rsidRPr="00FF4346">
        <w:t>Nota 1</w:t>
      </w:r>
      <w:r w:rsidR="004917F8" w:rsidRPr="00FF4346">
        <w:t>4</w:t>
      </w:r>
      <w:r w:rsidRPr="00FF4346">
        <w:t xml:space="preserve"> – Outros ativos</w:t>
      </w:r>
      <w:bookmarkEnd w:id="73"/>
    </w:p>
    <w:p w14:paraId="2DC4385B" w14:textId="77777777" w:rsidR="005664DE" w:rsidRPr="00FF4346" w:rsidRDefault="005664DE" w:rsidP="00B37B40">
      <w:pPr>
        <w:pStyle w:val="PargrafodaLista"/>
        <w:numPr>
          <w:ilvl w:val="0"/>
          <w:numId w:val="18"/>
        </w:numPr>
        <w:spacing w:before="360" w:after="240"/>
        <w:ind w:left="567" w:hanging="567"/>
        <w:contextualSpacing w:val="0"/>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Layout w:type="fixed"/>
        <w:tblCellMar>
          <w:left w:w="70" w:type="dxa"/>
          <w:right w:w="70" w:type="dxa"/>
        </w:tblCellMar>
        <w:tblLook w:val="04A0" w:firstRow="1" w:lastRow="0" w:firstColumn="1" w:lastColumn="0" w:noHBand="0" w:noVBand="1"/>
      </w:tblPr>
      <w:tblGrid>
        <w:gridCol w:w="4679"/>
        <w:gridCol w:w="1240"/>
        <w:gridCol w:w="1241"/>
        <w:gridCol w:w="1239"/>
        <w:gridCol w:w="1239"/>
      </w:tblGrid>
      <w:tr w:rsidR="003B2B2A" w:rsidRPr="005C15DC" w14:paraId="29A0D125" w14:textId="77777777" w:rsidTr="00780C25">
        <w:trPr>
          <w:trHeight w:val="283"/>
        </w:trPr>
        <w:tc>
          <w:tcPr>
            <w:tcW w:w="2427" w:type="pct"/>
            <w:vMerge w:val="restart"/>
            <w:tcBorders>
              <w:top w:val="single" w:sz="4" w:space="0" w:color="F39200"/>
              <w:left w:val="nil"/>
              <w:right w:val="nil"/>
            </w:tcBorders>
            <w:shd w:val="clear" w:color="auto" w:fill="auto"/>
            <w:noWrap/>
            <w:vAlign w:val="center"/>
            <w:hideMark/>
          </w:tcPr>
          <w:p w14:paraId="1C2476DA" w14:textId="77777777" w:rsidR="003E37F9" w:rsidRPr="005C15DC" w:rsidRDefault="003E37F9">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Descrição</w:t>
            </w:r>
          </w:p>
        </w:tc>
        <w:tc>
          <w:tcPr>
            <w:tcW w:w="1287" w:type="pct"/>
            <w:gridSpan w:val="2"/>
            <w:tcBorders>
              <w:top w:val="single" w:sz="4" w:space="0" w:color="F39200"/>
              <w:left w:val="nil"/>
              <w:bottom w:val="single" w:sz="4" w:space="0" w:color="F39200"/>
              <w:right w:val="nil"/>
            </w:tcBorders>
            <w:shd w:val="clear" w:color="auto" w:fill="auto"/>
            <w:noWrap/>
            <w:vAlign w:val="center"/>
            <w:hideMark/>
          </w:tcPr>
          <w:p w14:paraId="3DF04151" w14:textId="77777777" w:rsidR="003E37F9" w:rsidRPr="005C15DC" w:rsidRDefault="003E37F9">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 xml:space="preserve">INDIVIDUAL </w:t>
            </w:r>
          </w:p>
        </w:tc>
        <w:tc>
          <w:tcPr>
            <w:tcW w:w="1286" w:type="pct"/>
            <w:gridSpan w:val="2"/>
            <w:tcBorders>
              <w:top w:val="single" w:sz="4" w:space="0" w:color="F39200"/>
              <w:left w:val="nil"/>
              <w:bottom w:val="single" w:sz="4" w:space="0" w:color="F39200"/>
              <w:right w:val="nil"/>
            </w:tcBorders>
            <w:shd w:val="clear" w:color="auto" w:fill="auto"/>
            <w:noWrap/>
            <w:vAlign w:val="center"/>
            <w:hideMark/>
          </w:tcPr>
          <w:p w14:paraId="45069C23" w14:textId="77777777" w:rsidR="003E37F9" w:rsidRPr="005C15DC" w:rsidRDefault="003E37F9">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CONSOLIDADO</w:t>
            </w:r>
          </w:p>
        </w:tc>
      </w:tr>
      <w:tr w:rsidR="004F7AE7" w:rsidRPr="005C15DC" w14:paraId="69C4E348" w14:textId="77777777" w:rsidTr="00780C25">
        <w:trPr>
          <w:trHeight w:val="283"/>
        </w:trPr>
        <w:tc>
          <w:tcPr>
            <w:tcW w:w="2427" w:type="pct"/>
            <w:vMerge/>
            <w:tcBorders>
              <w:left w:val="nil"/>
              <w:bottom w:val="single" w:sz="4" w:space="0" w:color="F39200"/>
              <w:right w:val="nil"/>
            </w:tcBorders>
            <w:vAlign w:val="center"/>
            <w:hideMark/>
          </w:tcPr>
          <w:p w14:paraId="19843789" w14:textId="77777777" w:rsidR="002F65D3" w:rsidRPr="005C15DC" w:rsidRDefault="002F65D3" w:rsidP="002F65D3">
            <w:pPr>
              <w:rPr>
                <w:rFonts w:ascii="CAIXA Std Book" w:hAnsi="CAIXA Std Book" w:cs="MS Gothic"/>
                <w:b/>
                <w:color w:val="005CA9"/>
                <w:sz w:val="18"/>
                <w:szCs w:val="18"/>
              </w:rPr>
            </w:pPr>
          </w:p>
        </w:tc>
        <w:tc>
          <w:tcPr>
            <w:tcW w:w="643" w:type="pct"/>
            <w:tcBorders>
              <w:top w:val="nil"/>
              <w:left w:val="nil"/>
              <w:bottom w:val="single" w:sz="4" w:space="0" w:color="F39200"/>
              <w:right w:val="nil"/>
            </w:tcBorders>
            <w:shd w:val="clear" w:color="auto" w:fill="auto"/>
            <w:noWrap/>
            <w:vAlign w:val="center"/>
            <w:hideMark/>
          </w:tcPr>
          <w:p w14:paraId="00533400" w14:textId="7B126144" w:rsidR="002F65D3" w:rsidRPr="005C15DC" w:rsidRDefault="002F65D3" w:rsidP="002F65D3">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31/03/2024</w:t>
            </w:r>
          </w:p>
        </w:tc>
        <w:tc>
          <w:tcPr>
            <w:tcW w:w="644" w:type="pct"/>
            <w:tcBorders>
              <w:top w:val="nil"/>
              <w:left w:val="nil"/>
              <w:bottom w:val="single" w:sz="4" w:space="0" w:color="F39200"/>
              <w:right w:val="nil"/>
            </w:tcBorders>
            <w:shd w:val="clear" w:color="auto" w:fill="auto"/>
            <w:noWrap/>
            <w:vAlign w:val="center"/>
            <w:hideMark/>
          </w:tcPr>
          <w:p w14:paraId="12FEA471" w14:textId="56763EF7" w:rsidR="002F65D3" w:rsidRPr="005C15DC" w:rsidRDefault="002F65D3" w:rsidP="002F65D3">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31/12/2023</w:t>
            </w:r>
          </w:p>
        </w:tc>
        <w:tc>
          <w:tcPr>
            <w:tcW w:w="643" w:type="pct"/>
            <w:tcBorders>
              <w:top w:val="nil"/>
              <w:left w:val="nil"/>
              <w:bottom w:val="single" w:sz="4" w:space="0" w:color="F39200"/>
              <w:right w:val="nil"/>
            </w:tcBorders>
            <w:shd w:val="clear" w:color="auto" w:fill="auto"/>
            <w:noWrap/>
            <w:vAlign w:val="center"/>
            <w:hideMark/>
          </w:tcPr>
          <w:p w14:paraId="4DF73E9F" w14:textId="2BC4362B" w:rsidR="002F65D3" w:rsidRPr="005C15DC" w:rsidRDefault="002F65D3" w:rsidP="002F65D3">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31/03/2024</w:t>
            </w:r>
          </w:p>
        </w:tc>
        <w:tc>
          <w:tcPr>
            <w:tcW w:w="643" w:type="pct"/>
            <w:tcBorders>
              <w:top w:val="nil"/>
              <w:left w:val="nil"/>
              <w:bottom w:val="single" w:sz="4" w:space="0" w:color="F39200"/>
              <w:right w:val="nil"/>
            </w:tcBorders>
            <w:shd w:val="clear" w:color="auto" w:fill="auto"/>
            <w:noWrap/>
            <w:vAlign w:val="center"/>
            <w:hideMark/>
          </w:tcPr>
          <w:p w14:paraId="212A2B1E" w14:textId="183C1D38" w:rsidR="002F65D3" w:rsidRPr="005C15DC" w:rsidRDefault="002F65D3" w:rsidP="002F65D3">
            <w:pPr>
              <w:jc w:val="center"/>
              <w:rPr>
                <w:rFonts w:ascii="CAIXA Std Book" w:hAnsi="CAIXA Std Book" w:cs="MS Gothic"/>
                <w:b/>
                <w:color w:val="005CA9"/>
                <w:sz w:val="18"/>
                <w:szCs w:val="18"/>
              </w:rPr>
            </w:pPr>
            <w:r w:rsidRPr="005C15DC">
              <w:rPr>
                <w:rFonts w:ascii="CAIXA Std Book" w:hAnsi="CAIXA Std Book" w:cs="MS Gothic"/>
                <w:b/>
                <w:color w:val="005CA9"/>
                <w:sz w:val="18"/>
                <w:szCs w:val="18"/>
              </w:rPr>
              <w:t>31/12/2023</w:t>
            </w:r>
          </w:p>
        </w:tc>
      </w:tr>
      <w:tr w:rsidR="00337302" w:rsidRPr="005C15DC" w14:paraId="1A2DECBE" w14:textId="77777777" w:rsidTr="00780C25">
        <w:trPr>
          <w:trHeight w:val="283"/>
        </w:trPr>
        <w:tc>
          <w:tcPr>
            <w:tcW w:w="2427" w:type="pct"/>
            <w:tcBorders>
              <w:top w:val="nil"/>
              <w:left w:val="nil"/>
              <w:bottom w:val="nil"/>
              <w:right w:val="nil"/>
            </w:tcBorders>
            <w:shd w:val="clear" w:color="auto" w:fill="auto"/>
            <w:noWrap/>
            <w:vAlign w:val="center"/>
            <w:hideMark/>
          </w:tcPr>
          <w:p w14:paraId="7FDD3494" w14:textId="5D69D0F8"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Ativos não financ</w:t>
            </w:r>
            <w:r w:rsidR="00DB20C3">
              <w:rPr>
                <w:rFonts w:ascii="CAIXA Std Book" w:hAnsi="CAIXA Std Book" w:cs="MS Gothic"/>
                <w:color w:val="005CA9"/>
                <w:sz w:val="18"/>
                <w:szCs w:val="18"/>
              </w:rPr>
              <w:t>eiros</w:t>
            </w:r>
            <w:r w:rsidRPr="005C15DC">
              <w:rPr>
                <w:rFonts w:ascii="CAIXA Std Book" w:hAnsi="CAIXA Std Book" w:cs="MS Gothic"/>
                <w:color w:val="005CA9"/>
                <w:sz w:val="18"/>
                <w:szCs w:val="18"/>
              </w:rPr>
              <w:t xml:space="preserve"> mantidos p</w:t>
            </w:r>
            <w:r w:rsidR="00DB20C3">
              <w:rPr>
                <w:rFonts w:ascii="CAIXA Std Book" w:hAnsi="CAIXA Std Book" w:cs="MS Gothic"/>
                <w:color w:val="005CA9"/>
                <w:sz w:val="18"/>
                <w:szCs w:val="18"/>
              </w:rPr>
              <w:t>ara</w:t>
            </w:r>
            <w:r w:rsidRPr="005C15DC">
              <w:rPr>
                <w:rFonts w:ascii="CAIXA Std Book" w:hAnsi="CAIXA Std Book" w:cs="MS Gothic"/>
                <w:color w:val="005CA9"/>
                <w:sz w:val="18"/>
                <w:szCs w:val="18"/>
              </w:rPr>
              <w:t xml:space="preserve"> venda e mat</w:t>
            </w:r>
            <w:r w:rsidR="00DB20C3">
              <w:rPr>
                <w:rFonts w:ascii="CAIXA Std Book" w:hAnsi="CAIXA Std Book" w:cs="MS Gothic"/>
                <w:color w:val="005CA9"/>
                <w:sz w:val="18"/>
                <w:szCs w:val="18"/>
              </w:rPr>
              <w:t>eriais</w:t>
            </w:r>
            <w:r w:rsidRPr="005C15DC">
              <w:rPr>
                <w:rFonts w:ascii="CAIXA Std Book" w:hAnsi="CAIXA Std Book" w:cs="MS Gothic"/>
                <w:color w:val="005CA9"/>
                <w:sz w:val="18"/>
                <w:szCs w:val="18"/>
              </w:rPr>
              <w:t xml:space="preserve"> de estoque</w:t>
            </w:r>
          </w:p>
        </w:tc>
        <w:tc>
          <w:tcPr>
            <w:tcW w:w="643" w:type="pct"/>
            <w:tcBorders>
              <w:top w:val="nil"/>
              <w:left w:val="nil"/>
              <w:bottom w:val="nil"/>
              <w:right w:val="nil"/>
            </w:tcBorders>
            <w:shd w:val="clear" w:color="auto" w:fill="auto"/>
            <w:noWrap/>
            <w:vAlign w:val="center"/>
          </w:tcPr>
          <w:p w14:paraId="6436FDBC" w14:textId="5BF517AF"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5.128.862</w:t>
            </w:r>
          </w:p>
        </w:tc>
        <w:tc>
          <w:tcPr>
            <w:tcW w:w="644" w:type="pct"/>
            <w:tcBorders>
              <w:top w:val="nil"/>
              <w:left w:val="nil"/>
              <w:bottom w:val="nil"/>
              <w:right w:val="nil"/>
            </w:tcBorders>
            <w:shd w:val="clear" w:color="auto" w:fill="auto"/>
            <w:noWrap/>
            <w:vAlign w:val="center"/>
          </w:tcPr>
          <w:p w14:paraId="2CB10BC3" w14:textId="140084E1"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4.758.230</w:t>
            </w:r>
          </w:p>
        </w:tc>
        <w:tc>
          <w:tcPr>
            <w:tcW w:w="643" w:type="pct"/>
            <w:tcBorders>
              <w:top w:val="nil"/>
              <w:left w:val="nil"/>
              <w:bottom w:val="nil"/>
              <w:right w:val="nil"/>
            </w:tcBorders>
            <w:shd w:val="clear" w:color="auto" w:fill="auto"/>
            <w:noWrap/>
            <w:vAlign w:val="center"/>
          </w:tcPr>
          <w:p w14:paraId="1F1CF1FD" w14:textId="740B0BFB"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5.128.862</w:t>
            </w:r>
          </w:p>
        </w:tc>
        <w:tc>
          <w:tcPr>
            <w:tcW w:w="643" w:type="pct"/>
            <w:tcBorders>
              <w:top w:val="nil"/>
              <w:left w:val="nil"/>
              <w:bottom w:val="nil"/>
              <w:right w:val="nil"/>
            </w:tcBorders>
            <w:shd w:val="clear" w:color="auto" w:fill="auto"/>
            <w:noWrap/>
            <w:vAlign w:val="center"/>
          </w:tcPr>
          <w:p w14:paraId="347C2897" w14:textId="497464FB"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4.758.230</w:t>
            </w:r>
          </w:p>
        </w:tc>
      </w:tr>
      <w:tr w:rsidR="00337302" w:rsidRPr="005C15DC" w14:paraId="08307A3C" w14:textId="77777777" w:rsidTr="00780C25">
        <w:trPr>
          <w:trHeight w:val="283"/>
        </w:trPr>
        <w:tc>
          <w:tcPr>
            <w:tcW w:w="2427" w:type="pct"/>
            <w:tcBorders>
              <w:top w:val="nil"/>
              <w:left w:val="nil"/>
              <w:bottom w:val="nil"/>
              <w:right w:val="nil"/>
            </w:tcBorders>
            <w:shd w:val="clear" w:color="auto" w:fill="auto"/>
            <w:noWrap/>
            <w:vAlign w:val="center"/>
            <w:hideMark/>
          </w:tcPr>
          <w:p w14:paraId="249A698A"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Relações interfinanceiras e interdependências</w:t>
            </w:r>
          </w:p>
        </w:tc>
        <w:tc>
          <w:tcPr>
            <w:tcW w:w="643" w:type="pct"/>
            <w:tcBorders>
              <w:top w:val="nil"/>
              <w:left w:val="nil"/>
              <w:bottom w:val="nil"/>
              <w:right w:val="nil"/>
            </w:tcBorders>
            <w:shd w:val="clear" w:color="auto" w:fill="auto"/>
            <w:noWrap/>
            <w:vAlign w:val="center"/>
          </w:tcPr>
          <w:p w14:paraId="52CFA3AE" w14:textId="68C35E0A"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1.264.184</w:t>
            </w:r>
          </w:p>
        </w:tc>
        <w:tc>
          <w:tcPr>
            <w:tcW w:w="644" w:type="pct"/>
            <w:tcBorders>
              <w:top w:val="nil"/>
              <w:left w:val="nil"/>
              <w:bottom w:val="nil"/>
              <w:right w:val="nil"/>
            </w:tcBorders>
            <w:shd w:val="clear" w:color="auto" w:fill="auto"/>
            <w:noWrap/>
            <w:vAlign w:val="center"/>
          </w:tcPr>
          <w:p w14:paraId="02C72E2B" w14:textId="3460E813"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1.287.041</w:t>
            </w:r>
          </w:p>
        </w:tc>
        <w:tc>
          <w:tcPr>
            <w:tcW w:w="643" w:type="pct"/>
            <w:tcBorders>
              <w:top w:val="nil"/>
              <w:left w:val="nil"/>
              <w:bottom w:val="nil"/>
              <w:right w:val="nil"/>
            </w:tcBorders>
            <w:shd w:val="clear" w:color="auto" w:fill="auto"/>
            <w:noWrap/>
            <w:vAlign w:val="center"/>
          </w:tcPr>
          <w:p w14:paraId="2E42E6F0" w14:textId="03B909F7"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1.264.184</w:t>
            </w:r>
          </w:p>
        </w:tc>
        <w:tc>
          <w:tcPr>
            <w:tcW w:w="643" w:type="pct"/>
            <w:tcBorders>
              <w:top w:val="nil"/>
              <w:left w:val="nil"/>
              <w:bottom w:val="nil"/>
              <w:right w:val="nil"/>
            </w:tcBorders>
            <w:shd w:val="clear" w:color="auto" w:fill="auto"/>
            <w:noWrap/>
            <w:vAlign w:val="center"/>
          </w:tcPr>
          <w:p w14:paraId="57A24B52" w14:textId="32B05AEB"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1.287.041</w:t>
            </w:r>
          </w:p>
        </w:tc>
      </w:tr>
      <w:tr w:rsidR="00337302" w:rsidRPr="005C15DC" w14:paraId="44DCEA9F" w14:textId="77777777" w:rsidTr="00780C25">
        <w:trPr>
          <w:trHeight w:val="283"/>
        </w:trPr>
        <w:tc>
          <w:tcPr>
            <w:tcW w:w="2427" w:type="pct"/>
            <w:tcBorders>
              <w:top w:val="nil"/>
              <w:left w:val="nil"/>
              <w:bottom w:val="nil"/>
              <w:right w:val="nil"/>
            </w:tcBorders>
            <w:shd w:val="clear" w:color="auto" w:fill="auto"/>
            <w:noWrap/>
            <w:vAlign w:val="center"/>
            <w:hideMark/>
          </w:tcPr>
          <w:p w14:paraId="46CE036C"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Antecipações salariais e outros adiantamentos</w:t>
            </w:r>
          </w:p>
        </w:tc>
        <w:tc>
          <w:tcPr>
            <w:tcW w:w="643" w:type="pct"/>
            <w:tcBorders>
              <w:top w:val="nil"/>
              <w:left w:val="nil"/>
              <w:bottom w:val="nil"/>
              <w:right w:val="nil"/>
            </w:tcBorders>
            <w:shd w:val="clear" w:color="auto" w:fill="auto"/>
            <w:noWrap/>
            <w:vAlign w:val="center"/>
          </w:tcPr>
          <w:p w14:paraId="686625D7" w14:textId="1378E565"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1.683.061</w:t>
            </w:r>
          </w:p>
        </w:tc>
        <w:tc>
          <w:tcPr>
            <w:tcW w:w="644" w:type="pct"/>
            <w:tcBorders>
              <w:top w:val="nil"/>
              <w:left w:val="nil"/>
              <w:bottom w:val="nil"/>
              <w:right w:val="nil"/>
            </w:tcBorders>
            <w:shd w:val="clear" w:color="auto" w:fill="auto"/>
            <w:noWrap/>
            <w:vAlign w:val="center"/>
          </w:tcPr>
          <w:p w14:paraId="31C6A09E" w14:textId="7B3E964F"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1.211.356</w:t>
            </w:r>
          </w:p>
        </w:tc>
        <w:tc>
          <w:tcPr>
            <w:tcW w:w="643" w:type="pct"/>
            <w:tcBorders>
              <w:top w:val="nil"/>
              <w:left w:val="nil"/>
              <w:bottom w:val="nil"/>
              <w:right w:val="nil"/>
            </w:tcBorders>
            <w:shd w:val="clear" w:color="auto" w:fill="auto"/>
            <w:noWrap/>
            <w:vAlign w:val="center"/>
          </w:tcPr>
          <w:p w14:paraId="2C0C9C60" w14:textId="03D58AF3"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1.683.408</w:t>
            </w:r>
          </w:p>
        </w:tc>
        <w:tc>
          <w:tcPr>
            <w:tcW w:w="643" w:type="pct"/>
            <w:tcBorders>
              <w:top w:val="nil"/>
              <w:left w:val="nil"/>
              <w:bottom w:val="nil"/>
              <w:right w:val="nil"/>
            </w:tcBorders>
            <w:shd w:val="clear" w:color="auto" w:fill="auto"/>
            <w:noWrap/>
            <w:vAlign w:val="center"/>
          </w:tcPr>
          <w:p w14:paraId="7AD7D395" w14:textId="41BD8E84"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1.211.602</w:t>
            </w:r>
          </w:p>
        </w:tc>
      </w:tr>
      <w:tr w:rsidR="00337302" w:rsidRPr="005C15DC" w14:paraId="09B2411B" w14:textId="77777777" w:rsidTr="00780C25">
        <w:trPr>
          <w:trHeight w:val="283"/>
        </w:trPr>
        <w:tc>
          <w:tcPr>
            <w:tcW w:w="2427" w:type="pct"/>
            <w:tcBorders>
              <w:top w:val="nil"/>
              <w:left w:val="nil"/>
              <w:bottom w:val="nil"/>
              <w:right w:val="nil"/>
            </w:tcBorders>
            <w:shd w:val="clear" w:color="auto" w:fill="auto"/>
            <w:noWrap/>
            <w:vAlign w:val="center"/>
            <w:hideMark/>
          </w:tcPr>
          <w:p w14:paraId="6A21BA63" w14:textId="546281F5"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Valores a apropriar (1)</w:t>
            </w:r>
          </w:p>
        </w:tc>
        <w:tc>
          <w:tcPr>
            <w:tcW w:w="643" w:type="pct"/>
            <w:tcBorders>
              <w:top w:val="nil"/>
              <w:left w:val="nil"/>
              <w:bottom w:val="nil"/>
              <w:right w:val="nil"/>
            </w:tcBorders>
            <w:shd w:val="clear" w:color="auto" w:fill="auto"/>
            <w:noWrap/>
            <w:vAlign w:val="center"/>
          </w:tcPr>
          <w:p w14:paraId="2AF865FF" w14:textId="58E4FF12" w:rsidR="00337302" w:rsidRPr="005C15DC" w:rsidRDefault="006F7257" w:rsidP="006F7257">
            <w:pPr>
              <w:jc w:val="right"/>
              <w:rPr>
                <w:rFonts w:ascii="CAIXA Std Book" w:hAnsi="CAIXA Std Book" w:cs="Arial"/>
                <w:color w:val="005CA9"/>
                <w:sz w:val="18"/>
                <w:szCs w:val="18"/>
              </w:rPr>
            </w:pPr>
            <w:r w:rsidRPr="005C15DC">
              <w:rPr>
                <w:rFonts w:ascii="CAIXA Std Book" w:hAnsi="CAIXA Std Book" w:cs="Arial"/>
                <w:color w:val="005CA9"/>
                <w:sz w:val="18"/>
                <w:szCs w:val="18"/>
              </w:rPr>
              <w:t>1.390.388</w:t>
            </w:r>
          </w:p>
        </w:tc>
        <w:tc>
          <w:tcPr>
            <w:tcW w:w="644" w:type="pct"/>
            <w:tcBorders>
              <w:top w:val="nil"/>
              <w:left w:val="nil"/>
              <w:bottom w:val="nil"/>
              <w:right w:val="nil"/>
            </w:tcBorders>
            <w:shd w:val="clear" w:color="auto" w:fill="auto"/>
            <w:noWrap/>
            <w:vAlign w:val="center"/>
          </w:tcPr>
          <w:p w14:paraId="166DAF0C" w14:textId="5AC69759"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1.180.593</w:t>
            </w:r>
          </w:p>
        </w:tc>
        <w:tc>
          <w:tcPr>
            <w:tcW w:w="643" w:type="pct"/>
            <w:tcBorders>
              <w:top w:val="nil"/>
              <w:left w:val="nil"/>
              <w:bottom w:val="nil"/>
              <w:right w:val="nil"/>
            </w:tcBorders>
            <w:shd w:val="clear" w:color="auto" w:fill="auto"/>
            <w:noWrap/>
            <w:vAlign w:val="center"/>
          </w:tcPr>
          <w:p w14:paraId="08E116CF" w14:textId="67E411B1"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1.390.388</w:t>
            </w:r>
          </w:p>
        </w:tc>
        <w:tc>
          <w:tcPr>
            <w:tcW w:w="643" w:type="pct"/>
            <w:tcBorders>
              <w:top w:val="nil"/>
              <w:left w:val="nil"/>
              <w:bottom w:val="nil"/>
              <w:right w:val="nil"/>
            </w:tcBorders>
            <w:shd w:val="clear" w:color="auto" w:fill="auto"/>
            <w:noWrap/>
            <w:vAlign w:val="center"/>
          </w:tcPr>
          <w:p w14:paraId="3E34C68F" w14:textId="4E76C55A"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1.180.593</w:t>
            </w:r>
          </w:p>
        </w:tc>
      </w:tr>
      <w:tr w:rsidR="00337302" w:rsidRPr="005C15DC" w14:paraId="7B9D9D2E" w14:textId="77777777" w:rsidTr="00780C25">
        <w:trPr>
          <w:trHeight w:val="283"/>
        </w:trPr>
        <w:tc>
          <w:tcPr>
            <w:tcW w:w="2427" w:type="pct"/>
            <w:tcBorders>
              <w:top w:val="nil"/>
              <w:left w:val="nil"/>
              <w:bottom w:val="nil"/>
              <w:right w:val="nil"/>
            </w:tcBorders>
            <w:shd w:val="clear" w:color="auto" w:fill="auto"/>
            <w:noWrap/>
            <w:vAlign w:val="center"/>
          </w:tcPr>
          <w:p w14:paraId="44ECA689" w14:textId="22B3A258"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Dividendos e JCP a receber</w:t>
            </w:r>
          </w:p>
        </w:tc>
        <w:tc>
          <w:tcPr>
            <w:tcW w:w="643" w:type="pct"/>
            <w:tcBorders>
              <w:top w:val="nil"/>
              <w:left w:val="nil"/>
              <w:bottom w:val="nil"/>
              <w:right w:val="nil"/>
            </w:tcBorders>
            <w:shd w:val="clear" w:color="auto" w:fill="auto"/>
            <w:noWrap/>
            <w:vAlign w:val="center"/>
          </w:tcPr>
          <w:p w14:paraId="45BDA4AB" w14:textId="76BCAFF9" w:rsidR="00337302" w:rsidRPr="005C15DC" w:rsidRDefault="006F7257" w:rsidP="006F7257">
            <w:pPr>
              <w:jc w:val="right"/>
              <w:rPr>
                <w:rFonts w:ascii="CAIXA Std Book" w:hAnsi="CAIXA Std Book" w:cs="Arial"/>
                <w:color w:val="005CA9"/>
                <w:sz w:val="18"/>
                <w:szCs w:val="18"/>
              </w:rPr>
            </w:pPr>
            <w:r w:rsidRPr="005C15DC">
              <w:rPr>
                <w:rFonts w:ascii="CAIXA Std Book" w:hAnsi="CAIXA Std Book" w:cs="Arial"/>
                <w:color w:val="005CA9"/>
                <w:sz w:val="18"/>
                <w:szCs w:val="18"/>
              </w:rPr>
              <w:t>1.372.827</w:t>
            </w:r>
          </w:p>
        </w:tc>
        <w:tc>
          <w:tcPr>
            <w:tcW w:w="644" w:type="pct"/>
            <w:tcBorders>
              <w:top w:val="nil"/>
              <w:left w:val="nil"/>
              <w:bottom w:val="nil"/>
              <w:right w:val="nil"/>
            </w:tcBorders>
            <w:shd w:val="clear" w:color="auto" w:fill="auto"/>
            <w:noWrap/>
            <w:vAlign w:val="center"/>
          </w:tcPr>
          <w:p w14:paraId="1763183A" w14:textId="0C46C07D" w:rsidR="00337302" w:rsidRPr="005C15DC" w:rsidRDefault="00337302" w:rsidP="00337302">
            <w:pPr>
              <w:jc w:val="right"/>
              <w:rPr>
                <w:rFonts w:ascii="CAIXA Std Book" w:hAnsi="CAIXA Std Book" w:cs="Arial"/>
                <w:color w:val="005CA9"/>
                <w:sz w:val="18"/>
                <w:szCs w:val="18"/>
              </w:rPr>
            </w:pPr>
            <w:r w:rsidRPr="005C15DC">
              <w:rPr>
                <w:rFonts w:ascii="CAIXA Std Book" w:hAnsi="CAIXA Std Book" w:cs="Arial"/>
                <w:color w:val="005CA9"/>
                <w:sz w:val="18"/>
                <w:szCs w:val="18"/>
              </w:rPr>
              <w:t>1.358.422</w:t>
            </w:r>
          </w:p>
        </w:tc>
        <w:tc>
          <w:tcPr>
            <w:tcW w:w="643" w:type="pct"/>
            <w:tcBorders>
              <w:top w:val="nil"/>
              <w:left w:val="nil"/>
              <w:bottom w:val="nil"/>
              <w:right w:val="nil"/>
            </w:tcBorders>
            <w:shd w:val="clear" w:color="auto" w:fill="auto"/>
            <w:noWrap/>
            <w:vAlign w:val="center"/>
          </w:tcPr>
          <w:p w14:paraId="4FA53652" w14:textId="3EA232FE" w:rsidR="00337302" w:rsidRPr="005C15DC" w:rsidRDefault="00780C25" w:rsidP="00780C25">
            <w:pPr>
              <w:jc w:val="right"/>
              <w:rPr>
                <w:rFonts w:ascii="CAIXA Std Book" w:hAnsi="CAIXA Std Book" w:cs="Arial"/>
                <w:color w:val="005CA9"/>
                <w:sz w:val="18"/>
                <w:szCs w:val="18"/>
              </w:rPr>
            </w:pPr>
            <w:r w:rsidRPr="005C15DC">
              <w:rPr>
                <w:rFonts w:ascii="CAIXA Std Book" w:hAnsi="CAIXA Std Book" w:cs="Arial"/>
                <w:color w:val="005CA9"/>
                <w:sz w:val="18"/>
                <w:szCs w:val="18"/>
              </w:rPr>
              <w:t>1.065.445</w:t>
            </w:r>
          </w:p>
        </w:tc>
        <w:tc>
          <w:tcPr>
            <w:tcW w:w="643" w:type="pct"/>
            <w:tcBorders>
              <w:top w:val="nil"/>
              <w:left w:val="nil"/>
              <w:bottom w:val="nil"/>
              <w:right w:val="nil"/>
            </w:tcBorders>
            <w:shd w:val="clear" w:color="auto" w:fill="auto"/>
            <w:noWrap/>
            <w:vAlign w:val="center"/>
          </w:tcPr>
          <w:p w14:paraId="1021CC0C" w14:textId="209B964A" w:rsidR="00337302" w:rsidRPr="005C15DC" w:rsidRDefault="00337302" w:rsidP="00337302">
            <w:pPr>
              <w:jc w:val="right"/>
              <w:rPr>
                <w:rFonts w:ascii="CAIXA Std Book" w:hAnsi="CAIXA Std Book" w:cs="Arial"/>
                <w:color w:val="005CA9"/>
                <w:sz w:val="18"/>
                <w:szCs w:val="18"/>
              </w:rPr>
            </w:pPr>
            <w:r w:rsidRPr="005C15DC">
              <w:rPr>
                <w:rFonts w:ascii="CAIXA Std Book" w:hAnsi="CAIXA Std Book" w:cs="Arial"/>
                <w:color w:val="005CA9"/>
                <w:sz w:val="18"/>
                <w:szCs w:val="18"/>
              </w:rPr>
              <w:t>621.</w:t>
            </w:r>
            <w:r w:rsidR="009F4EF0">
              <w:rPr>
                <w:rFonts w:ascii="CAIXA Std Book" w:hAnsi="CAIXA Std Book" w:cs="Arial"/>
                <w:color w:val="005CA9"/>
                <w:sz w:val="18"/>
                <w:szCs w:val="18"/>
              </w:rPr>
              <w:t>236</w:t>
            </w:r>
          </w:p>
        </w:tc>
      </w:tr>
      <w:tr w:rsidR="00337302" w:rsidRPr="005C15DC" w14:paraId="6D1DCEAE" w14:textId="77777777" w:rsidTr="00780C25">
        <w:trPr>
          <w:trHeight w:val="283"/>
        </w:trPr>
        <w:tc>
          <w:tcPr>
            <w:tcW w:w="2427" w:type="pct"/>
            <w:tcBorders>
              <w:top w:val="nil"/>
              <w:left w:val="nil"/>
              <w:bottom w:val="nil"/>
              <w:right w:val="nil"/>
            </w:tcBorders>
            <w:shd w:val="clear" w:color="auto" w:fill="auto"/>
            <w:noWrap/>
            <w:vAlign w:val="center"/>
          </w:tcPr>
          <w:p w14:paraId="16786488" w14:textId="6D2FB059"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Valores a receber – FND</w:t>
            </w:r>
          </w:p>
        </w:tc>
        <w:tc>
          <w:tcPr>
            <w:tcW w:w="643" w:type="pct"/>
            <w:tcBorders>
              <w:top w:val="nil"/>
              <w:left w:val="nil"/>
              <w:bottom w:val="nil"/>
              <w:right w:val="nil"/>
            </w:tcBorders>
            <w:shd w:val="clear" w:color="auto" w:fill="auto"/>
            <w:noWrap/>
            <w:vAlign w:val="center"/>
          </w:tcPr>
          <w:p w14:paraId="23B55FF8" w14:textId="01EE16FE"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733.969</w:t>
            </w:r>
          </w:p>
        </w:tc>
        <w:tc>
          <w:tcPr>
            <w:tcW w:w="644" w:type="pct"/>
            <w:tcBorders>
              <w:top w:val="nil"/>
              <w:left w:val="nil"/>
              <w:bottom w:val="nil"/>
              <w:right w:val="nil"/>
            </w:tcBorders>
            <w:shd w:val="clear" w:color="auto" w:fill="auto"/>
            <w:noWrap/>
            <w:vAlign w:val="center"/>
          </w:tcPr>
          <w:p w14:paraId="002F672B" w14:textId="36CE560D"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723.031</w:t>
            </w:r>
          </w:p>
        </w:tc>
        <w:tc>
          <w:tcPr>
            <w:tcW w:w="643" w:type="pct"/>
            <w:tcBorders>
              <w:top w:val="nil"/>
              <w:left w:val="nil"/>
              <w:bottom w:val="nil"/>
              <w:right w:val="nil"/>
            </w:tcBorders>
            <w:shd w:val="clear" w:color="auto" w:fill="auto"/>
            <w:noWrap/>
            <w:vAlign w:val="center"/>
          </w:tcPr>
          <w:p w14:paraId="35958755" w14:textId="268407EE"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733.969</w:t>
            </w:r>
          </w:p>
        </w:tc>
        <w:tc>
          <w:tcPr>
            <w:tcW w:w="643" w:type="pct"/>
            <w:tcBorders>
              <w:top w:val="nil"/>
              <w:left w:val="nil"/>
              <w:bottom w:val="nil"/>
              <w:right w:val="nil"/>
            </w:tcBorders>
            <w:shd w:val="clear" w:color="auto" w:fill="auto"/>
            <w:noWrap/>
            <w:vAlign w:val="center"/>
          </w:tcPr>
          <w:p w14:paraId="44758FE3" w14:textId="614D8D4B"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723.031</w:t>
            </w:r>
          </w:p>
        </w:tc>
      </w:tr>
      <w:tr w:rsidR="00337302" w:rsidRPr="005C15DC" w14:paraId="261F4AB3" w14:textId="77777777" w:rsidTr="00780C25">
        <w:trPr>
          <w:trHeight w:val="283"/>
        </w:trPr>
        <w:tc>
          <w:tcPr>
            <w:tcW w:w="2427" w:type="pct"/>
            <w:tcBorders>
              <w:top w:val="nil"/>
              <w:left w:val="nil"/>
              <w:bottom w:val="nil"/>
              <w:right w:val="nil"/>
            </w:tcBorders>
            <w:shd w:val="clear" w:color="auto" w:fill="auto"/>
            <w:noWrap/>
            <w:vAlign w:val="center"/>
          </w:tcPr>
          <w:p w14:paraId="2B8ED389"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Despesas antecipadas</w:t>
            </w:r>
          </w:p>
        </w:tc>
        <w:tc>
          <w:tcPr>
            <w:tcW w:w="643" w:type="pct"/>
            <w:tcBorders>
              <w:top w:val="nil"/>
              <w:left w:val="nil"/>
              <w:bottom w:val="nil"/>
              <w:right w:val="nil"/>
            </w:tcBorders>
            <w:shd w:val="clear" w:color="auto" w:fill="auto"/>
            <w:noWrap/>
            <w:vAlign w:val="center"/>
          </w:tcPr>
          <w:p w14:paraId="2155FF05" w14:textId="3584EE6D"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232.608</w:t>
            </w:r>
          </w:p>
        </w:tc>
        <w:tc>
          <w:tcPr>
            <w:tcW w:w="644" w:type="pct"/>
            <w:tcBorders>
              <w:top w:val="nil"/>
              <w:left w:val="nil"/>
              <w:bottom w:val="nil"/>
              <w:right w:val="nil"/>
            </w:tcBorders>
            <w:shd w:val="clear" w:color="auto" w:fill="auto"/>
            <w:noWrap/>
            <w:vAlign w:val="center"/>
          </w:tcPr>
          <w:p w14:paraId="7B252AE5" w14:textId="057BA337"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140.929</w:t>
            </w:r>
          </w:p>
        </w:tc>
        <w:tc>
          <w:tcPr>
            <w:tcW w:w="643" w:type="pct"/>
            <w:tcBorders>
              <w:top w:val="nil"/>
              <w:left w:val="nil"/>
              <w:bottom w:val="nil"/>
              <w:right w:val="nil"/>
            </w:tcBorders>
            <w:shd w:val="clear" w:color="auto" w:fill="auto"/>
            <w:noWrap/>
            <w:vAlign w:val="center"/>
          </w:tcPr>
          <w:p w14:paraId="5BEB895A" w14:textId="412EB390"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234.148</w:t>
            </w:r>
          </w:p>
        </w:tc>
        <w:tc>
          <w:tcPr>
            <w:tcW w:w="643" w:type="pct"/>
            <w:tcBorders>
              <w:top w:val="nil"/>
              <w:left w:val="nil"/>
              <w:bottom w:val="nil"/>
              <w:right w:val="nil"/>
            </w:tcBorders>
            <w:shd w:val="clear" w:color="auto" w:fill="auto"/>
            <w:noWrap/>
            <w:vAlign w:val="center"/>
          </w:tcPr>
          <w:p w14:paraId="76012CC4" w14:textId="61F1D9BF"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142.</w:t>
            </w:r>
            <w:r w:rsidR="009F4EF0">
              <w:rPr>
                <w:rFonts w:ascii="CAIXA Std Book" w:hAnsi="CAIXA Std Book" w:cs="Arial"/>
                <w:color w:val="005CA9"/>
                <w:sz w:val="18"/>
                <w:szCs w:val="18"/>
              </w:rPr>
              <w:t>888</w:t>
            </w:r>
          </w:p>
        </w:tc>
      </w:tr>
      <w:tr w:rsidR="00337302" w:rsidRPr="005C15DC" w14:paraId="051C1309" w14:textId="77777777" w:rsidTr="00780C25">
        <w:trPr>
          <w:trHeight w:val="283"/>
        </w:trPr>
        <w:tc>
          <w:tcPr>
            <w:tcW w:w="2427" w:type="pct"/>
            <w:tcBorders>
              <w:top w:val="nil"/>
              <w:left w:val="nil"/>
              <w:bottom w:val="nil"/>
              <w:right w:val="nil"/>
            </w:tcBorders>
            <w:shd w:val="clear" w:color="auto" w:fill="auto"/>
            <w:noWrap/>
            <w:vAlign w:val="center"/>
            <w:hideMark/>
          </w:tcPr>
          <w:p w14:paraId="1981734C" w14:textId="1B3A0BBF"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Créditos específicos</w:t>
            </w:r>
          </w:p>
        </w:tc>
        <w:tc>
          <w:tcPr>
            <w:tcW w:w="643" w:type="pct"/>
            <w:tcBorders>
              <w:top w:val="nil"/>
              <w:left w:val="nil"/>
              <w:bottom w:val="nil"/>
              <w:right w:val="nil"/>
            </w:tcBorders>
            <w:shd w:val="clear" w:color="auto" w:fill="auto"/>
            <w:noWrap/>
            <w:vAlign w:val="center"/>
          </w:tcPr>
          <w:p w14:paraId="1630DBEA" w14:textId="488A2DF4"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97.322</w:t>
            </w:r>
          </w:p>
        </w:tc>
        <w:tc>
          <w:tcPr>
            <w:tcW w:w="644" w:type="pct"/>
            <w:tcBorders>
              <w:top w:val="nil"/>
              <w:left w:val="nil"/>
              <w:bottom w:val="nil"/>
              <w:right w:val="nil"/>
            </w:tcBorders>
            <w:shd w:val="clear" w:color="auto" w:fill="auto"/>
            <w:noWrap/>
            <w:vAlign w:val="center"/>
          </w:tcPr>
          <w:p w14:paraId="6B71676A" w14:textId="5A463138"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98.814</w:t>
            </w:r>
          </w:p>
        </w:tc>
        <w:tc>
          <w:tcPr>
            <w:tcW w:w="643" w:type="pct"/>
            <w:tcBorders>
              <w:top w:val="nil"/>
              <w:left w:val="nil"/>
              <w:bottom w:val="nil"/>
              <w:right w:val="nil"/>
            </w:tcBorders>
            <w:shd w:val="clear" w:color="auto" w:fill="auto"/>
            <w:noWrap/>
            <w:vAlign w:val="center"/>
          </w:tcPr>
          <w:p w14:paraId="78992B51" w14:textId="5E063C30"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97.322</w:t>
            </w:r>
          </w:p>
        </w:tc>
        <w:tc>
          <w:tcPr>
            <w:tcW w:w="643" w:type="pct"/>
            <w:tcBorders>
              <w:top w:val="nil"/>
              <w:left w:val="nil"/>
              <w:bottom w:val="nil"/>
              <w:right w:val="nil"/>
            </w:tcBorders>
            <w:shd w:val="clear" w:color="auto" w:fill="auto"/>
            <w:noWrap/>
            <w:vAlign w:val="center"/>
          </w:tcPr>
          <w:p w14:paraId="271FAC27" w14:textId="7EC43B41"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98.814</w:t>
            </w:r>
          </w:p>
        </w:tc>
      </w:tr>
      <w:tr w:rsidR="00337302" w:rsidRPr="005C15DC" w14:paraId="7AD0EED5" w14:textId="77777777" w:rsidTr="00780C25">
        <w:trPr>
          <w:trHeight w:val="283"/>
        </w:trPr>
        <w:tc>
          <w:tcPr>
            <w:tcW w:w="2427" w:type="pct"/>
            <w:tcBorders>
              <w:top w:val="nil"/>
              <w:left w:val="nil"/>
              <w:bottom w:val="nil"/>
              <w:right w:val="nil"/>
            </w:tcBorders>
            <w:shd w:val="clear" w:color="auto" w:fill="auto"/>
            <w:noWrap/>
            <w:vAlign w:val="center"/>
          </w:tcPr>
          <w:p w14:paraId="211302F5"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Valores a ressarcir – FGTS</w:t>
            </w:r>
          </w:p>
        </w:tc>
        <w:tc>
          <w:tcPr>
            <w:tcW w:w="643" w:type="pct"/>
            <w:tcBorders>
              <w:top w:val="nil"/>
              <w:left w:val="nil"/>
              <w:bottom w:val="nil"/>
              <w:right w:val="nil"/>
            </w:tcBorders>
            <w:shd w:val="clear" w:color="auto" w:fill="auto"/>
            <w:noWrap/>
            <w:vAlign w:val="center"/>
          </w:tcPr>
          <w:p w14:paraId="71653DCD" w14:textId="0BC598B1" w:rsidR="00337302" w:rsidRPr="005C15DC" w:rsidRDefault="006F7257" w:rsidP="006F7257">
            <w:pPr>
              <w:jc w:val="right"/>
              <w:rPr>
                <w:rFonts w:ascii="CAIXA Std Book" w:hAnsi="CAIXA Std Book" w:cs="MS Gothic"/>
                <w:color w:val="005CA9"/>
                <w:sz w:val="18"/>
                <w:szCs w:val="18"/>
              </w:rPr>
            </w:pPr>
            <w:r w:rsidRPr="005C15DC">
              <w:rPr>
                <w:rFonts w:ascii="CAIXA Std Book" w:hAnsi="CAIXA Std Book" w:cs="Arial"/>
                <w:color w:val="005CA9"/>
                <w:sz w:val="18"/>
                <w:szCs w:val="18"/>
              </w:rPr>
              <w:t>15.802</w:t>
            </w:r>
          </w:p>
        </w:tc>
        <w:tc>
          <w:tcPr>
            <w:tcW w:w="644" w:type="pct"/>
            <w:tcBorders>
              <w:top w:val="nil"/>
              <w:left w:val="nil"/>
              <w:bottom w:val="nil"/>
              <w:right w:val="nil"/>
            </w:tcBorders>
            <w:shd w:val="clear" w:color="auto" w:fill="auto"/>
            <w:noWrap/>
            <w:vAlign w:val="center"/>
          </w:tcPr>
          <w:p w14:paraId="5400E8A4" w14:textId="52CC6A7F"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33.803</w:t>
            </w:r>
          </w:p>
        </w:tc>
        <w:tc>
          <w:tcPr>
            <w:tcW w:w="643" w:type="pct"/>
            <w:tcBorders>
              <w:top w:val="nil"/>
              <w:left w:val="nil"/>
              <w:bottom w:val="nil"/>
              <w:right w:val="nil"/>
            </w:tcBorders>
            <w:shd w:val="clear" w:color="auto" w:fill="auto"/>
            <w:noWrap/>
            <w:vAlign w:val="center"/>
          </w:tcPr>
          <w:p w14:paraId="41E9CF7E" w14:textId="377A96A0"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15.802</w:t>
            </w:r>
          </w:p>
        </w:tc>
        <w:tc>
          <w:tcPr>
            <w:tcW w:w="643" w:type="pct"/>
            <w:tcBorders>
              <w:top w:val="nil"/>
              <w:left w:val="nil"/>
              <w:bottom w:val="nil"/>
              <w:right w:val="nil"/>
            </w:tcBorders>
            <w:shd w:val="clear" w:color="auto" w:fill="auto"/>
            <w:noWrap/>
            <w:vAlign w:val="center"/>
          </w:tcPr>
          <w:p w14:paraId="41C9EE8A" w14:textId="3C38810A"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33.803</w:t>
            </w:r>
          </w:p>
        </w:tc>
      </w:tr>
      <w:tr w:rsidR="00337302" w:rsidRPr="005C15DC" w14:paraId="17A9E002" w14:textId="77777777" w:rsidTr="00780C25">
        <w:trPr>
          <w:trHeight w:val="283"/>
        </w:trPr>
        <w:tc>
          <w:tcPr>
            <w:tcW w:w="2427" w:type="pct"/>
            <w:tcBorders>
              <w:top w:val="nil"/>
              <w:left w:val="nil"/>
              <w:bottom w:val="nil"/>
              <w:right w:val="nil"/>
            </w:tcBorders>
            <w:shd w:val="clear" w:color="auto" w:fill="auto"/>
            <w:noWrap/>
            <w:vAlign w:val="center"/>
          </w:tcPr>
          <w:p w14:paraId="69A95B2A" w14:textId="4D01FD7B"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Devedores diversos</w:t>
            </w:r>
          </w:p>
        </w:tc>
        <w:tc>
          <w:tcPr>
            <w:tcW w:w="643" w:type="pct"/>
            <w:tcBorders>
              <w:top w:val="nil"/>
              <w:left w:val="nil"/>
              <w:bottom w:val="nil"/>
              <w:right w:val="nil"/>
            </w:tcBorders>
            <w:shd w:val="clear" w:color="auto" w:fill="auto"/>
            <w:noWrap/>
            <w:vAlign w:val="center"/>
          </w:tcPr>
          <w:p w14:paraId="211B3D2B" w14:textId="1210B1E3" w:rsidR="00337302" w:rsidRPr="005C15DC" w:rsidRDefault="006F7257" w:rsidP="006F7257">
            <w:pPr>
              <w:jc w:val="right"/>
              <w:rPr>
                <w:rFonts w:ascii="CAIXA Std Book" w:hAnsi="CAIXA Std Book" w:cs="Arial"/>
                <w:color w:val="005CA9"/>
                <w:sz w:val="18"/>
                <w:szCs w:val="18"/>
              </w:rPr>
            </w:pPr>
            <w:r w:rsidRPr="005C15DC">
              <w:rPr>
                <w:rFonts w:ascii="CAIXA Std Book" w:hAnsi="CAIXA Std Book" w:cs="Arial"/>
                <w:color w:val="005CA9"/>
                <w:sz w:val="18"/>
                <w:szCs w:val="18"/>
              </w:rPr>
              <w:t>978.761</w:t>
            </w:r>
          </w:p>
        </w:tc>
        <w:tc>
          <w:tcPr>
            <w:tcW w:w="644" w:type="pct"/>
            <w:tcBorders>
              <w:top w:val="nil"/>
              <w:left w:val="nil"/>
              <w:bottom w:val="nil"/>
              <w:right w:val="nil"/>
            </w:tcBorders>
            <w:shd w:val="clear" w:color="auto" w:fill="auto"/>
            <w:noWrap/>
            <w:vAlign w:val="center"/>
          </w:tcPr>
          <w:p w14:paraId="2D065C1C" w14:textId="7EA1FA9C"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890.897</w:t>
            </w:r>
          </w:p>
        </w:tc>
        <w:tc>
          <w:tcPr>
            <w:tcW w:w="643" w:type="pct"/>
            <w:tcBorders>
              <w:top w:val="nil"/>
              <w:left w:val="nil"/>
              <w:bottom w:val="nil"/>
              <w:right w:val="nil"/>
            </w:tcBorders>
            <w:shd w:val="clear" w:color="auto" w:fill="auto"/>
            <w:noWrap/>
            <w:vAlign w:val="center"/>
          </w:tcPr>
          <w:p w14:paraId="68086E91" w14:textId="67DFFC0C" w:rsidR="00337302" w:rsidRPr="005C15DC" w:rsidRDefault="00780C25" w:rsidP="00780C25">
            <w:pPr>
              <w:jc w:val="right"/>
              <w:rPr>
                <w:rFonts w:ascii="CAIXA Std Book" w:hAnsi="CAIXA Std Book" w:cs="MS Gothic"/>
                <w:color w:val="005CA9"/>
                <w:sz w:val="18"/>
                <w:szCs w:val="18"/>
              </w:rPr>
            </w:pPr>
            <w:r w:rsidRPr="005C15DC">
              <w:rPr>
                <w:rFonts w:ascii="CAIXA Std Book" w:hAnsi="CAIXA Std Book" w:cs="Arial"/>
                <w:color w:val="005CA9"/>
                <w:sz w:val="18"/>
                <w:szCs w:val="18"/>
              </w:rPr>
              <w:t>966.099</w:t>
            </w:r>
          </w:p>
        </w:tc>
        <w:tc>
          <w:tcPr>
            <w:tcW w:w="643" w:type="pct"/>
            <w:tcBorders>
              <w:top w:val="nil"/>
              <w:left w:val="nil"/>
              <w:bottom w:val="nil"/>
              <w:right w:val="nil"/>
            </w:tcBorders>
            <w:shd w:val="clear" w:color="auto" w:fill="auto"/>
            <w:noWrap/>
            <w:vAlign w:val="center"/>
          </w:tcPr>
          <w:p w14:paraId="2686AD0F" w14:textId="4E7BF942"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884.228</w:t>
            </w:r>
          </w:p>
        </w:tc>
      </w:tr>
      <w:tr w:rsidR="004F7AE7" w:rsidRPr="005C15DC" w14:paraId="0FAFB22F" w14:textId="77777777" w:rsidTr="00780C25">
        <w:trPr>
          <w:trHeight w:val="283"/>
        </w:trPr>
        <w:tc>
          <w:tcPr>
            <w:tcW w:w="2427" w:type="pct"/>
            <w:tcBorders>
              <w:top w:val="single" w:sz="4" w:space="0" w:color="F39200"/>
              <w:left w:val="nil"/>
              <w:bottom w:val="single" w:sz="4" w:space="0" w:color="F39200"/>
              <w:right w:val="nil"/>
            </w:tcBorders>
            <w:shd w:val="clear" w:color="auto" w:fill="auto"/>
            <w:noWrap/>
            <w:vAlign w:val="center"/>
            <w:hideMark/>
          </w:tcPr>
          <w:p w14:paraId="50D07299" w14:textId="77777777" w:rsidR="00337302" w:rsidRPr="005C15DC" w:rsidRDefault="00337302" w:rsidP="00337302">
            <w:pPr>
              <w:rPr>
                <w:rFonts w:ascii="CAIXA Std Book" w:hAnsi="CAIXA Std Book" w:cs="MS Gothic"/>
                <w:b/>
                <w:color w:val="005CA9"/>
                <w:sz w:val="18"/>
                <w:szCs w:val="18"/>
              </w:rPr>
            </w:pPr>
            <w:r w:rsidRPr="005C15DC">
              <w:rPr>
                <w:rFonts w:ascii="CAIXA Std Book" w:hAnsi="CAIXA Std Book" w:cs="MS Gothic"/>
                <w:b/>
                <w:color w:val="005CA9"/>
                <w:sz w:val="18"/>
                <w:szCs w:val="18"/>
              </w:rPr>
              <w:t>Total</w:t>
            </w:r>
          </w:p>
        </w:tc>
        <w:tc>
          <w:tcPr>
            <w:tcW w:w="643" w:type="pct"/>
            <w:tcBorders>
              <w:top w:val="single" w:sz="4" w:space="0" w:color="F39200"/>
              <w:left w:val="nil"/>
              <w:bottom w:val="single" w:sz="4" w:space="0" w:color="F39200"/>
              <w:right w:val="nil"/>
            </w:tcBorders>
            <w:shd w:val="clear" w:color="auto" w:fill="auto"/>
            <w:noWrap/>
            <w:vAlign w:val="center"/>
          </w:tcPr>
          <w:p w14:paraId="67C930AB" w14:textId="23BAE567" w:rsidR="00337302" w:rsidRPr="005C15DC" w:rsidRDefault="006F7257" w:rsidP="006F7257">
            <w:pPr>
              <w:jc w:val="right"/>
              <w:rPr>
                <w:rFonts w:ascii="CAIXA Std Book" w:hAnsi="CAIXA Std Book" w:cs="Arial"/>
                <w:b/>
                <w:color w:val="005CA9"/>
                <w:sz w:val="18"/>
                <w:szCs w:val="18"/>
              </w:rPr>
            </w:pPr>
            <w:r w:rsidRPr="005C15DC">
              <w:rPr>
                <w:rFonts w:ascii="CAIXA Std Book" w:hAnsi="CAIXA Std Book" w:cs="Arial"/>
                <w:b/>
                <w:bCs/>
                <w:color w:val="005CA9"/>
                <w:sz w:val="18"/>
                <w:szCs w:val="18"/>
              </w:rPr>
              <w:t>12.897.784</w:t>
            </w:r>
          </w:p>
        </w:tc>
        <w:tc>
          <w:tcPr>
            <w:tcW w:w="644" w:type="pct"/>
            <w:tcBorders>
              <w:top w:val="single" w:sz="4" w:space="0" w:color="F39200"/>
              <w:left w:val="nil"/>
              <w:bottom w:val="single" w:sz="4" w:space="0" w:color="F39200"/>
              <w:right w:val="nil"/>
            </w:tcBorders>
            <w:shd w:val="clear" w:color="auto" w:fill="auto"/>
            <w:noWrap/>
            <w:vAlign w:val="center"/>
          </w:tcPr>
          <w:p w14:paraId="2C5D0F33" w14:textId="05C97ACB" w:rsidR="00337302" w:rsidRPr="005C15DC" w:rsidRDefault="00337302" w:rsidP="00337302">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11.683.116</w:t>
            </w:r>
          </w:p>
        </w:tc>
        <w:tc>
          <w:tcPr>
            <w:tcW w:w="643" w:type="pct"/>
            <w:tcBorders>
              <w:top w:val="single" w:sz="4" w:space="0" w:color="F39200"/>
              <w:left w:val="nil"/>
              <w:bottom w:val="single" w:sz="4" w:space="0" w:color="F39200"/>
              <w:right w:val="nil"/>
            </w:tcBorders>
            <w:shd w:val="clear" w:color="auto" w:fill="auto"/>
            <w:noWrap/>
            <w:vAlign w:val="center"/>
          </w:tcPr>
          <w:p w14:paraId="091CF3C5" w14:textId="2EE77D0A" w:rsidR="00337302" w:rsidRPr="005C15DC" w:rsidRDefault="00780C25" w:rsidP="00780C25">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12.579.627</w:t>
            </w:r>
          </w:p>
        </w:tc>
        <w:tc>
          <w:tcPr>
            <w:tcW w:w="643" w:type="pct"/>
            <w:tcBorders>
              <w:top w:val="single" w:sz="4" w:space="0" w:color="F39200"/>
              <w:left w:val="nil"/>
              <w:bottom w:val="single" w:sz="4" w:space="0" w:color="F39200"/>
              <w:right w:val="nil"/>
            </w:tcBorders>
            <w:shd w:val="clear" w:color="auto" w:fill="auto"/>
            <w:noWrap/>
            <w:vAlign w:val="center"/>
          </w:tcPr>
          <w:p w14:paraId="36C070AF" w14:textId="41885800" w:rsidR="00337302" w:rsidRPr="005C15DC" w:rsidRDefault="00337302" w:rsidP="00337302">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10.941.466</w:t>
            </w:r>
          </w:p>
        </w:tc>
      </w:tr>
      <w:tr w:rsidR="004F7AE7" w:rsidRPr="005C15DC" w14:paraId="6C309A12" w14:textId="77777777" w:rsidTr="00780C25">
        <w:trPr>
          <w:trHeight w:val="283"/>
        </w:trPr>
        <w:tc>
          <w:tcPr>
            <w:tcW w:w="2427" w:type="pct"/>
            <w:tcBorders>
              <w:top w:val="nil"/>
              <w:left w:val="nil"/>
              <w:bottom w:val="single" w:sz="4" w:space="0" w:color="F39200"/>
              <w:right w:val="nil"/>
            </w:tcBorders>
            <w:shd w:val="clear" w:color="auto" w:fill="auto"/>
            <w:noWrap/>
            <w:vAlign w:val="center"/>
            <w:hideMark/>
          </w:tcPr>
          <w:p w14:paraId="625368EC" w14:textId="22DA1E1E" w:rsidR="00337302" w:rsidRPr="005C15DC" w:rsidRDefault="00337302" w:rsidP="00337302">
            <w:pPr>
              <w:rPr>
                <w:rFonts w:ascii="CAIXA Std Book" w:hAnsi="CAIXA Std Book" w:cs="MS Gothic"/>
                <w:color w:val="005CA9"/>
                <w:sz w:val="18"/>
                <w:szCs w:val="18"/>
              </w:rPr>
            </w:pPr>
            <w:r w:rsidRPr="005C15DC">
              <w:rPr>
                <w:rFonts w:ascii="CAIXA Std Book" w:hAnsi="CAIXA Std Book" w:cs="Arial Unicode MS"/>
                <w:color w:val="005CA9"/>
                <w:sz w:val="18"/>
                <w:szCs w:val="18"/>
              </w:rPr>
              <w:t>Provisão</w:t>
            </w:r>
            <w:r w:rsidRPr="005C15DC">
              <w:rPr>
                <w:rFonts w:ascii="CAIXA Std Book" w:hAnsi="CAIXA Std Book" w:cs="MS Gothic"/>
                <w:color w:val="005CA9"/>
                <w:sz w:val="18"/>
                <w:szCs w:val="18"/>
              </w:rPr>
              <w:t xml:space="preserve"> para perdas ao valor recuperável de ativos</w:t>
            </w:r>
          </w:p>
        </w:tc>
        <w:tc>
          <w:tcPr>
            <w:tcW w:w="643" w:type="pct"/>
            <w:tcBorders>
              <w:top w:val="nil"/>
              <w:left w:val="nil"/>
              <w:bottom w:val="single" w:sz="4" w:space="0" w:color="F39200"/>
              <w:right w:val="nil"/>
            </w:tcBorders>
            <w:shd w:val="clear" w:color="auto" w:fill="auto"/>
            <w:noWrap/>
            <w:vAlign w:val="center"/>
          </w:tcPr>
          <w:p w14:paraId="34ED1A40" w14:textId="5156CD26" w:rsidR="00337302" w:rsidRPr="005C15DC" w:rsidRDefault="006F7257" w:rsidP="006F7257">
            <w:pPr>
              <w:jc w:val="right"/>
              <w:rPr>
                <w:rFonts w:ascii="CAIXA Std Book" w:hAnsi="CAIXA Std Book" w:cs="Arial Unicode MS"/>
                <w:color w:val="005CA9"/>
                <w:sz w:val="18"/>
                <w:szCs w:val="18"/>
              </w:rPr>
            </w:pPr>
            <w:r w:rsidRPr="005C15DC">
              <w:rPr>
                <w:rFonts w:ascii="CAIXA Std Book" w:hAnsi="CAIXA Std Book" w:cs="Arial"/>
                <w:color w:val="005CA9"/>
                <w:sz w:val="18"/>
                <w:szCs w:val="18"/>
              </w:rPr>
              <w:t>(1.163.019)</w:t>
            </w:r>
          </w:p>
        </w:tc>
        <w:tc>
          <w:tcPr>
            <w:tcW w:w="644" w:type="pct"/>
            <w:tcBorders>
              <w:top w:val="nil"/>
              <w:left w:val="nil"/>
              <w:bottom w:val="single" w:sz="4" w:space="0" w:color="F39200"/>
              <w:right w:val="nil"/>
            </w:tcBorders>
            <w:shd w:val="clear" w:color="auto" w:fill="auto"/>
            <w:noWrap/>
            <w:vAlign w:val="center"/>
          </w:tcPr>
          <w:p w14:paraId="0714CE0A" w14:textId="0A08FFFE"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(1.042.719)</w:t>
            </w:r>
          </w:p>
        </w:tc>
        <w:tc>
          <w:tcPr>
            <w:tcW w:w="643" w:type="pct"/>
            <w:tcBorders>
              <w:top w:val="nil"/>
              <w:left w:val="nil"/>
              <w:bottom w:val="single" w:sz="4" w:space="0" w:color="F39200"/>
              <w:right w:val="nil"/>
            </w:tcBorders>
            <w:shd w:val="clear" w:color="auto" w:fill="auto"/>
            <w:noWrap/>
            <w:vAlign w:val="center"/>
          </w:tcPr>
          <w:p w14:paraId="4430FF5E" w14:textId="16516B9F" w:rsidR="00337302" w:rsidRPr="005C15DC" w:rsidRDefault="00780C25" w:rsidP="00780C25">
            <w:pPr>
              <w:jc w:val="right"/>
              <w:rPr>
                <w:rFonts w:ascii="CAIXA Std Book" w:hAnsi="CAIXA Std Book" w:cs="Arial Unicode MS"/>
                <w:color w:val="005CA9"/>
                <w:sz w:val="18"/>
                <w:szCs w:val="18"/>
              </w:rPr>
            </w:pPr>
            <w:r w:rsidRPr="005C15DC">
              <w:rPr>
                <w:rFonts w:ascii="CAIXA Std Book" w:hAnsi="CAIXA Std Book" w:cs="Arial"/>
                <w:color w:val="005CA9"/>
                <w:sz w:val="18"/>
                <w:szCs w:val="18"/>
              </w:rPr>
              <w:t>(1.163.019)</w:t>
            </w:r>
          </w:p>
        </w:tc>
        <w:tc>
          <w:tcPr>
            <w:tcW w:w="643" w:type="pct"/>
            <w:tcBorders>
              <w:top w:val="nil"/>
              <w:left w:val="nil"/>
              <w:bottom w:val="single" w:sz="4" w:space="0" w:color="F39200"/>
              <w:right w:val="nil"/>
            </w:tcBorders>
            <w:shd w:val="clear" w:color="auto" w:fill="auto"/>
            <w:noWrap/>
            <w:vAlign w:val="center"/>
          </w:tcPr>
          <w:p w14:paraId="26C199A8" w14:textId="26A4D3B7"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(1.042.719)</w:t>
            </w:r>
          </w:p>
        </w:tc>
      </w:tr>
      <w:tr w:rsidR="004F7AE7" w:rsidRPr="005C15DC" w14:paraId="49EEEFD6" w14:textId="77777777" w:rsidTr="00780C25">
        <w:trPr>
          <w:trHeight w:val="283"/>
        </w:trPr>
        <w:tc>
          <w:tcPr>
            <w:tcW w:w="2427" w:type="pct"/>
            <w:tcBorders>
              <w:top w:val="nil"/>
              <w:left w:val="nil"/>
              <w:bottom w:val="single" w:sz="4" w:space="0" w:color="F39200"/>
              <w:right w:val="nil"/>
            </w:tcBorders>
            <w:shd w:val="clear" w:color="auto" w:fill="auto"/>
            <w:noWrap/>
            <w:vAlign w:val="center"/>
            <w:hideMark/>
          </w:tcPr>
          <w:p w14:paraId="1F938ECA" w14:textId="77777777" w:rsidR="00337302" w:rsidRPr="005C15DC" w:rsidRDefault="00337302" w:rsidP="00337302">
            <w:pPr>
              <w:rPr>
                <w:rFonts w:ascii="CAIXA Std Book" w:hAnsi="CAIXA Std Book" w:cs="MS Gothic"/>
                <w:b/>
                <w:color w:val="005CA9"/>
                <w:sz w:val="18"/>
                <w:szCs w:val="18"/>
              </w:rPr>
            </w:pPr>
            <w:r w:rsidRPr="005C15DC">
              <w:rPr>
                <w:rFonts w:ascii="CAIXA Std Book" w:hAnsi="CAIXA Std Book" w:cs="MS Gothic"/>
                <w:b/>
                <w:color w:val="005CA9"/>
                <w:sz w:val="18"/>
                <w:szCs w:val="18"/>
              </w:rPr>
              <w:t>Total líquido de provisão</w:t>
            </w:r>
          </w:p>
        </w:tc>
        <w:tc>
          <w:tcPr>
            <w:tcW w:w="643" w:type="pct"/>
            <w:tcBorders>
              <w:top w:val="nil"/>
              <w:left w:val="nil"/>
              <w:bottom w:val="single" w:sz="4" w:space="0" w:color="F39200"/>
              <w:right w:val="nil"/>
            </w:tcBorders>
            <w:shd w:val="clear" w:color="auto" w:fill="auto"/>
            <w:noWrap/>
            <w:vAlign w:val="center"/>
          </w:tcPr>
          <w:p w14:paraId="7AD9A4BC" w14:textId="64AA9A87" w:rsidR="00337302" w:rsidRPr="005C15DC" w:rsidRDefault="006F7257" w:rsidP="006F7257">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11.734.765</w:t>
            </w:r>
          </w:p>
        </w:tc>
        <w:tc>
          <w:tcPr>
            <w:tcW w:w="644" w:type="pct"/>
            <w:tcBorders>
              <w:top w:val="nil"/>
              <w:left w:val="nil"/>
              <w:bottom w:val="single" w:sz="4" w:space="0" w:color="F39200"/>
              <w:right w:val="nil"/>
            </w:tcBorders>
            <w:shd w:val="clear" w:color="auto" w:fill="auto"/>
            <w:noWrap/>
            <w:vAlign w:val="center"/>
          </w:tcPr>
          <w:p w14:paraId="0A91B9D6" w14:textId="46A411AC" w:rsidR="00337302" w:rsidRPr="005C15DC" w:rsidRDefault="00337302" w:rsidP="00337302">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10.640.397</w:t>
            </w:r>
          </w:p>
        </w:tc>
        <w:tc>
          <w:tcPr>
            <w:tcW w:w="643" w:type="pct"/>
            <w:tcBorders>
              <w:top w:val="nil"/>
              <w:left w:val="nil"/>
              <w:bottom w:val="single" w:sz="4" w:space="0" w:color="F39200"/>
              <w:right w:val="nil"/>
            </w:tcBorders>
            <w:shd w:val="clear" w:color="auto" w:fill="auto"/>
            <w:noWrap/>
            <w:vAlign w:val="center"/>
          </w:tcPr>
          <w:p w14:paraId="1392EBD6" w14:textId="7C50A306" w:rsidR="00337302" w:rsidRPr="005C15DC" w:rsidRDefault="00780C25" w:rsidP="00780C25">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11.416.608</w:t>
            </w:r>
          </w:p>
        </w:tc>
        <w:tc>
          <w:tcPr>
            <w:tcW w:w="643" w:type="pct"/>
            <w:tcBorders>
              <w:top w:val="nil"/>
              <w:left w:val="nil"/>
              <w:bottom w:val="single" w:sz="4" w:space="0" w:color="F39200"/>
              <w:right w:val="nil"/>
            </w:tcBorders>
            <w:shd w:val="clear" w:color="auto" w:fill="auto"/>
            <w:noWrap/>
            <w:vAlign w:val="center"/>
          </w:tcPr>
          <w:p w14:paraId="066E20DA" w14:textId="637260F2" w:rsidR="00337302" w:rsidRPr="005C15DC" w:rsidRDefault="00337302" w:rsidP="00337302">
            <w:pPr>
              <w:jc w:val="right"/>
              <w:rPr>
                <w:rFonts w:ascii="CAIXA Std Book" w:hAnsi="CAIXA Std Book" w:cs="MS Gothic"/>
                <w:b/>
                <w:color w:val="005CA9"/>
                <w:sz w:val="18"/>
                <w:szCs w:val="18"/>
              </w:rPr>
            </w:pPr>
            <w:r w:rsidRPr="005C15DC">
              <w:rPr>
                <w:rFonts w:ascii="CAIXA Std Book" w:hAnsi="CAIXA Std Book" w:cs="Arial"/>
                <w:b/>
                <w:bCs/>
                <w:color w:val="005CA9"/>
                <w:sz w:val="18"/>
                <w:szCs w:val="18"/>
              </w:rPr>
              <w:t>9.898.747</w:t>
            </w:r>
          </w:p>
        </w:tc>
      </w:tr>
      <w:tr w:rsidR="00337302" w:rsidRPr="005C15DC" w14:paraId="43B158AA" w14:textId="77777777" w:rsidTr="00780C25">
        <w:trPr>
          <w:trHeight w:val="283"/>
        </w:trPr>
        <w:tc>
          <w:tcPr>
            <w:tcW w:w="2427" w:type="pct"/>
            <w:tcBorders>
              <w:top w:val="nil"/>
              <w:left w:val="nil"/>
              <w:bottom w:val="nil"/>
              <w:right w:val="nil"/>
            </w:tcBorders>
            <w:shd w:val="clear" w:color="auto" w:fill="auto"/>
            <w:noWrap/>
            <w:vAlign w:val="center"/>
            <w:hideMark/>
          </w:tcPr>
          <w:p w14:paraId="6E73B7C3"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Ativo circulante</w:t>
            </w:r>
          </w:p>
        </w:tc>
        <w:tc>
          <w:tcPr>
            <w:tcW w:w="643" w:type="pct"/>
            <w:tcBorders>
              <w:top w:val="nil"/>
              <w:left w:val="nil"/>
              <w:bottom w:val="nil"/>
              <w:right w:val="nil"/>
            </w:tcBorders>
            <w:shd w:val="clear" w:color="auto" w:fill="auto"/>
            <w:noWrap/>
            <w:vAlign w:val="center"/>
          </w:tcPr>
          <w:p w14:paraId="685D9791" w14:textId="2E124360" w:rsidR="00337302" w:rsidRPr="005C15DC" w:rsidRDefault="00C86CC2" w:rsidP="00C86CC2">
            <w:pPr>
              <w:jc w:val="right"/>
              <w:rPr>
                <w:rFonts w:ascii="CAIXA Std Book" w:hAnsi="CAIXA Std Book" w:cs="Arial"/>
                <w:color w:val="005CA9"/>
                <w:sz w:val="18"/>
                <w:szCs w:val="18"/>
              </w:rPr>
            </w:pPr>
            <w:r>
              <w:rPr>
                <w:rFonts w:ascii="CAIXA Std Book" w:hAnsi="CAIXA Std Book" w:cs="Arial"/>
                <w:color w:val="005CA9"/>
                <w:sz w:val="18"/>
                <w:szCs w:val="18"/>
              </w:rPr>
              <w:t>11.477.590</w:t>
            </w:r>
          </w:p>
        </w:tc>
        <w:tc>
          <w:tcPr>
            <w:tcW w:w="644" w:type="pct"/>
            <w:tcBorders>
              <w:top w:val="nil"/>
              <w:left w:val="nil"/>
              <w:bottom w:val="nil"/>
              <w:right w:val="nil"/>
            </w:tcBorders>
            <w:shd w:val="clear" w:color="auto" w:fill="auto"/>
            <w:noWrap/>
            <w:vAlign w:val="center"/>
          </w:tcPr>
          <w:p w14:paraId="698C8CE2" w14:textId="20502CDC"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10.282.447</w:t>
            </w:r>
          </w:p>
        </w:tc>
        <w:tc>
          <w:tcPr>
            <w:tcW w:w="643" w:type="pct"/>
            <w:tcBorders>
              <w:top w:val="nil"/>
              <w:left w:val="nil"/>
              <w:bottom w:val="nil"/>
              <w:right w:val="nil"/>
            </w:tcBorders>
            <w:shd w:val="clear" w:color="auto" w:fill="auto"/>
            <w:noWrap/>
            <w:vAlign w:val="center"/>
          </w:tcPr>
          <w:p w14:paraId="5005B9EE" w14:textId="2552E7ED" w:rsidR="00337302" w:rsidRPr="005C15DC" w:rsidRDefault="00C86CC2" w:rsidP="00C86CC2">
            <w:pPr>
              <w:jc w:val="right"/>
              <w:rPr>
                <w:rFonts w:ascii="CAIXA Std Book" w:hAnsi="CAIXA Std Book" w:cs="Arial"/>
                <w:color w:val="005CA9"/>
                <w:sz w:val="18"/>
                <w:szCs w:val="18"/>
              </w:rPr>
            </w:pPr>
            <w:r>
              <w:rPr>
                <w:rFonts w:ascii="CAIXA Std Book" w:hAnsi="CAIXA Std Book" w:cs="Arial"/>
                <w:color w:val="005CA9"/>
                <w:sz w:val="18"/>
                <w:szCs w:val="18"/>
              </w:rPr>
              <w:t>11.159.433</w:t>
            </w:r>
          </w:p>
        </w:tc>
        <w:tc>
          <w:tcPr>
            <w:tcW w:w="643" w:type="pct"/>
            <w:tcBorders>
              <w:top w:val="nil"/>
              <w:left w:val="nil"/>
              <w:bottom w:val="nil"/>
              <w:right w:val="nil"/>
            </w:tcBorders>
            <w:shd w:val="clear" w:color="auto" w:fill="auto"/>
            <w:noWrap/>
            <w:vAlign w:val="center"/>
          </w:tcPr>
          <w:p w14:paraId="06BAB4A9" w14:textId="5100652C"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9.540.797</w:t>
            </w:r>
          </w:p>
        </w:tc>
      </w:tr>
      <w:tr w:rsidR="004F7AE7" w:rsidRPr="005C15DC" w14:paraId="5424427D" w14:textId="77777777" w:rsidTr="00780C25">
        <w:trPr>
          <w:trHeight w:val="283"/>
        </w:trPr>
        <w:tc>
          <w:tcPr>
            <w:tcW w:w="2427" w:type="pct"/>
            <w:tcBorders>
              <w:top w:val="nil"/>
              <w:left w:val="nil"/>
              <w:bottom w:val="single" w:sz="4" w:space="0" w:color="F39200"/>
              <w:right w:val="nil"/>
            </w:tcBorders>
            <w:shd w:val="clear" w:color="auto" w:fill="auto"/>
            <w:noWrap/>
            <w:vAlign w:val="center"/>
            <w:hideMark/>
          </w:tcPr>
          <w:p w14:paraId="05A33E1D" w14:textId="77777777" w:rsidR="00337302" w:rsidRPr="005C15DC" w:rsidRDefault="00337302" w:rsidP="00337302">
            <w:pPr>
              <w:rPr>
                <w:rFonts w:ascii="CAIXA Std Book" w:hAnsi="CAIXA Std Book" w:cs="MS Gothic"/>
                <w:color w:val="005CA9"/>
                <w:sz w:val="18"/>
                <w:szCs w:val="18"/>
              </w:rPr>
            </w:pPr>
            <w:r w:rsidRPr="005C15DC">
              <w:rPr>
                <w:rFonts w:ascii="CAIXA Std Book" w:hAnsi="CAIXA Std Book" w:cs="MS Gothic"/>
                <w:color w:val="005CA9"/>
                <w:sz w:val="18"/>
                <w:szCs w:val="18"/>
              </w:rPr>
              <w:t>Ativo não circulante</w:t>
            </w:r>
          </w:p>
        </w:tc>
        <w:tc>
          <w:tcPr>
            <w:tcW w:w="643" w:type="pct"/>
            <w:tcBorders>
              <w:top w:val="nil"/>
              <w:left w:val="nil"/>
              <w:bottom w:val="single" w:sz="4" w:space="0" w:color="F39200"/>
              <w:right w:val="nil"/>
            </w:tcBorders>
            <w:shd w:val="clear" w:color="auto" w:fill="auto"/>
            <w:noWrap/>
            <w:vAlign w:val="center"/>
          </w:tcPr>
          <w:p w14:paraId="62929588" w14:textId="69E17F85" w:rsidR="00337302" w:rsidRPr="005C15DC" w:rsidRDefault="00C86CC2" w:rsidP="00C86CC2">
            <w:pPr>
              <w:jc w:val="right"/>
              <w:rPr>
                <w:rFonts w:ascii="CAIXA Std Book" w:hAnsi="CAIXA Std Book" w:cs="Arial"/>
                <w:color w:val="005CA9"/>
                <w:sz w:val="18"/>
                <w:szCs w:val="18"/>
              </w:rPr>
            </w:pPr>
            <w:r>
              <w:rPr>
                <w:rFonts w:ascii="CAIXA Std Book" w:hAnsi="CAIXA Std Book" w:cs="Arial"/>
                <w:color w:val="005CA9"/>
                <w:sz w:val="18"/>
                <w:szCs w:val="18"/>
              </w:rPr>
              <w:t>257.175</w:t>
            </w:r>
          </w:p>
        </w:tc>
        <w:tc>
          <w:tcPr>
            <w:tcW w:w="644" w:type="pct"/>
            <w:tcBorders>
              <w:top w:val="nil"/>
              <w:left w:val="nil"/>
              <w:bottom w:val="single" w:sz="4" w:space="0" w:color="F39200"/>
              <w:right w:val="nil"/>
            </w:tcBorders>
            <w:shd w:val="clear" w:color="auto" w:fill="auto"/>
            <w:noWrap/>
            <w:vAlign w:val="center"/>
          </w:tcPr>
          <w:p w14:paraId="2C7F68AF" w14:textId="3280C370"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357.950</w:t>
            </w:r>
          </w:p>
        </w:tc>
        <w:tc>
          <w:tcPr>
            <w:tcW w:w="643" w:type="pct"/>
            <w:tcBorders>
              <w:top w:val="nil"/>
              <w:left w:val="nil"/>
              <w:bottom w:val="single" w:sz="4" w:space="0" w:color="F39200"/>
              <w:right w:val="nil"/>
            </w:tcBorders>
            <w:shd w:val="clear" w:color="auto" w:fill="auto"/>
            <w:noWrap/>
            <w:vAlign w:val="center"/>
          </w:tcPr>
          <w:p w14:paraId="2EDFD918" w14:textId="0A7A95D6" w:rsidR="00337302" w:rsidRPr="005C15DC" w:rsidRDefault="00C86CC2" w:rsidP="00C86CC2">
            <w:pPr>
              <w:jc w:val="right"/>
              <w:rPr>
                <w:rFonts w:ascii="CAIXA Std Book" w:hAnsi="CAIXA Std Book" w:cs="Arial"/>
                <w:color w:val="005CA9"/>
                <w:sz w:val="18"/>
                <w:szCs w:val="18"/>
              </w:rPr>
            </w:pPr>
            <w:r>
              <w:rPr>
                <w:rFonts w:ascii="CAIXA Std Book" w:hAnsi="CAIXA Std Book" w:cs="Arial"/>
                <w:color w:val="005CA9"/>
                <w:sz w:val="18"/>
                <w:szCs w:val="18"/>
              </w:rPr>
              <w:t>257.175</w:t>
            </w:r>
          </w:p>
        </w:tc>
        <w:tc>
          <w:tcPr>
            <w:tcW w:w="643" w:type="pct"/>
            <w:tcBorders>
              <w:top w:val="nil"/>
              <w:left w:val="nil"/>
              <w:bottom w:val="single" w:sz="4" w:space="0" w:color="F39200"/>
              <w:right w:val="nil"/>
            </w:tcBorders>
            <w:shd w:val="clear" w:color="auto" w:fill="auto"/>
            <w:noWrap/>
            <w:vAlign w:val="center"/>
          </w:tcPr>
          <w:p w14:paraId="5C982730" w14:textId="71662873" w:rsidR="00337302" w:rsidRPr="005C15DC" w:rsidRDefault="00337302" w:rsidP="00337302">
            <w:pPr>
              <w:jc w:val="right"/>
              <w:rPr>
                <w:rFonts w:ascii="CAIXA Std Book" w:hAnsi="CAIXA Std Book" w:cs="MS Gothic"/>
                <w:color w:val="005CA9"/>
                <w:sz w:val="18"/>
                <w:szCs w:val="18"/>
              </w:rPr>
            </w:pPr>
            <w:r w:rsidRPr="005C15DC">
              <w:rPr>
                <w:rFonts w:ascii="CAIXA Std Book" w:hAnsi="CAIXA Std Book" w:cs="Arial"/>
                <w:color w:val="005CA9"/>
                <w:sz w:val="18"/>
                <w:szCs w:val="18"/>
              </w:rPr>
              <w:t>357.950</w:t>
            </w:r>
          </w:p>
        </w:tc>
      </w:tr>
    </w:tbl>
    <w:p w14:paraId="1B88352D" w14:textId="345B1988" w:rsidR="00FF0878" w:rsidRPr="00F8116D" w:rsidRDefault="00FF0878" w:rsidP="00952658">
      <w:pPr>
        <w:ind w:right="-143"/>
        <w:jc w:val="both"/>
        <w:rPr>
          <w:rFonts w:ascii="CAIXA Std Book" w:hAnsi="CAIXA Std Book"/>
          <w:color w:val="005CA9"/>
          <w:sz w:val="16"/>
          <w:szCs w:val="16"/>
        </w:rPr>
      </w:pPr>
      <w:r w:rsidRPr="00FF4346">
        <w:rPr>
          <w:rFonts w:ascii="CAIXA Std Book" w:hAnsi="CAIXA Std Book"/>
          <w:color w:val="005CA9"/>
          <w:sz w:val="16"/>
          <w:szCs w:val="16"/>
        </w:rPr>
        <w:t>(</w:t>
      </w:r>
      <w:r w:rsidRPr="00F8116D">
        <w:rPr>
          <w:rFonts w:ascii="CAIXA Std Book" w:hAnsi="CAIXA Std Book"/>
          <w:color w:val="005CA9"/>
          <w:sz w:val="16"/>
          <w:szCs w:val="16"/>
        </w:rPr>
        <w:t xml:space="preserve">1) Representam os ativos classificados em contas transitórias, principalmente liberações de crédito imobiliário. </w:t>
      </w:r>
    </w:p>
    <w:p w14:paraId="2D28B275" w14:textId="732048B7" w:rsidR="00BA2F9C" w:rsidRDefault="00BA2F9C" w:rsidP="00952658">
      <w:pPr>
        <w:ind w:right="-143"/>
        <w:jc w:val="both"/>
        <w:rPr>
          <w:rFonts w:ascii="CAIXA Std Book" w:hAnsi="CAIXA Std Book"/>
          <w:color w:val="005CA9"/>
          <w:sz w:val="16"/>
          <w:szCs w:val="16"/>
        </w:rPr>
      </w:pPr>
    </w:p>
    <w:p w14:paraId="3385C96E" w14:textId="430FDF41" w:rsidR="004F7AE7" w:rsidRDefault="004F7AE7">
      <w:pPr>
        <w:rPr>
          <w:rFonts w:ascii="CAIXA Std Book" w:hAnsi="CAIXA Std Book"/>
          <w:color w:val="005CA9"/>
          <w:sz w:val="16"/>
          <w:szCs w:val="16"/>
        </w:rPr>
      </w:pPr>
    </w:p>
    <w:p w14:paraId="4594D609" w14:textId="4799F075" w:rsidR="004F7AE7" w:rsidRDefault="004F7AE7" w:rsidP="00952658">
      <w:pPr>
        <w:ind w:right="-143"/>
        <w:jc w:val="both"/>
        <w:rPr>
          <w:rFonts w:ascii="CAIXA Std Book" w:hAnsi="CAIXA Std Book"/>
          <w:color w:val="005CA9"/>
          <w:sz w:val="16"/>
          <w:szCs w:val="16"/>
        </w:rPr>
        <w:sectPr w:rsidR="004F7AE7" w:rsidSect="0088151D">
          <w:headerReference w:type="default" r:id="rId51"/>
          <w:footerReference w:type="default" r:id="rId52"/>
          <w:headerReference w:type="first" r:id="rId53"/>
          <w:footerReference w:type="first" r:id="rId54"/>
          <w:pgSz w:w="11907" w:h="16840" w:code="9"/>
          <w:pgMar w:top="851" w:right="851" w:bottom="1418" w:left="1418" w:header="1134" w:footer="709" w:gutter="0"/>
          <w:cols w:space="708"/>
          <w:titlePg/>
          <w:docGrid w:linePitch="360"/>
        </w:sectPr>
      </w:pPr>
    </w:p>
    <w:p w14:paraId="65D17D91" w14:textId="2C1D6678" w:rsidR="006D07D6" w:rsidRPr="00FF4346" w:rsidRDefault="006D07D6" w:rsidP="005A596E">
      <w:pPr>
        <w:pStyle w:val="Ttulo1"/>
      </w:pPr>
      <w:bookmarkStart w:id="74" w:name="_Toc166594490"/>
      <w:bookmarkStart w:id="75" w:name="_Toc48574166"/>
      <w:r w:rsidRPr="00FF4346">
        <w:lastRenderedPageBreak/>
        <w:t>Nota 15 – Recursos de clientes</w:t>
      </w:r>
      <w:bookmarkEnd w:id="74"/>
    </w:p>
    <w:p w14:paraId="30CB0396" w14:textId="77777777" w:rsidR="006D07D6" w:rsidRPr="00FF4346" w:rsidRDefault="006D07D6" w:rsidP="006D07D6">
      <w:pPr>
        <w:keepNext/>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(a)</w:t>
      </w:r>
      <w:r w:rsidRPr="00FF4346">
        <w:rPr>
          <w:rFonts w:ascii="CAIXA Std Book" w:hAnsi="CAIXA Std Book"/>
          <w:b/>
          <w:color w:val="005CA9"/>
          <w:sz w:val="20"/>
          <w:szCs w:val="20"/>
        </w:rPr>
        <w:tab/>
        <w:t>Depósitos por prazo de exigibilidade</w:t>
      </w:r>
    </w:p>
    <w:tbl>
      <w:tblPr>
        <w:tblW w:w="5000" w:type="pct"/>
        <w:tblCellMar>
          <w:left w:w="70" w:type="dxa"/>
          <w:right w:w="70" w:type="dxa"/>
        </w:tblCellMar>
        <w:tblLook w:val="04A0" w:firstRow="1" w:lastRow="0" w:firstColumn="1" w:lastColumn="0" w:noHBand="0" w:noVBand="1"/>
      </w:tblPr>
      <w:tblGrid>
        <w:gridCol w:w="4226"/>
        <w:gridCol w:w="1547"/>
        <w:gridCol w:w="1107"/>
        <w:gridCol w:w="1276"/>
        <w:gridCol w:w="1346"/>
        <w:gridCol w:w="1268"/>
        <w:gridCol w:w="1268"/>
        <w:gridCol w:w="1268"/>
        <w:gridCol w:w="1265"/>
      </w:tblGrid>
      <w:tr w:rsidR="00CB214B" w:rsidRPr="00BE1A58" w14:paraId="0C9ADEF3" w14:textId="77777777" w:rsidTr="00CB5F7F">
        <w:trPr>
          <w:trHeight w:val="283"/>
        </w:trPr>
        <w:tc>
          <w:tcPr>
            <w:tcW w:w="1450" w:type="pct"/>
            <w:vMerge w:val="restart"/>
            <w:tcBorders>
              <w:top w:val="single" w:sz="4" w:space="0" w:color="F39200"/>
              <w:left w:val="nil"/>
              <w:bottom w:val="single" w:sz="4" w:space="0" w:color="F39200"/>
              <w:right w:val="nil"/>
            </w:tcBorders>
            <w:shd w:val="clear" w:color="auto" w:fill="auto"/>
            <w:vAlign w:val="center"/>
            <w:hideMark/>
          </w:tcPr>
          <w:p w14:paraId="508FF391"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Depósitos</w:t>
            </w:r>
          </w:p>
        </w:tc>
        <w:tc>
          <w:tcPr>
            <w:tcW w:w="2681" w:type="pct"/>
            <w:gridSpan w:val="6"/>
            <w:tcBorders>
              <w:top w:val="single" w:sz="4" w:space="0" w:color="F39200"/>
              <w:left w:val="nil"/>
              <w:bottom w:val="single" w:sz="4" w:space="0" w:color="F39200"/>
              <w:right w:val="nil"/>
            </w:tcBorders>
            <w:shd w:val="clear" w:color="auto" w:fill="auto"/>
            <w:noWrap/>
            <w:vAlign w:val="center"/>
            <w:hideMark/>
          </w:tcPr>
          <w:p w14:paraId="3D7FEDB9"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INDIVIDUAL</w:t>
            </w:r>
          </w:p>
        </w:tc>
        <w:tc>
          <w:tcPr>
            <w:tcW w:w="869" w:type="pct"/>
            <w:gridSpan w:val="2"/>
            <w:tcBorders>
              <w:top w:val="single" w:sz="4" w:space="0" w:color="F39200"/>
              <w:left w:val="nil"/>
              <w:bottom w:val="single" w:sz="4" w:space="0" w:color="F39200"/>
              <w:right w:val="nil"/>
            </w:tcBorders>
            <w:shd w:val="clear" w:color="auto" w:fill="auto"/>
            <w:noWrap/>
            <w:vAlign w:val="center"/>
            <w:hideMark/>
          </w:tcPr>
          <w:p w14:paraId="6FCFA932"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CONSOLIDADO</w:t>
            </w:r>
          </w:p>
        </w:tc>
      </w:tr>
      <w:tr w:rsidR="00CB214B" w:rsidRPr="00BE1A58" w14:paraId="1D068B22" w14:textId="77777777" w:rsidTr="00CB5F7F">
        <w:trPr>
          <w:trHeight w:val="283"/>
        </w:trPr>
        <w:tc>
          <w:tcPr>
            <w:tcW w:w="1450" w:type="pct"/>
            <w:vMerge/>
            <w:tcBorders>
              <w:top w:val="single" w:sz="4" w:space="0" w:color="F39200"/>
              <w:left w:val="nil"/>
              <w:bottom w:val="single" w:sz="4" w:space="0" w:color="F39200"/>
              <w:right w:val="nil"/>
            </w:tcBorders>
            <w:vAlign w:val="center"/>
            <w:hideMark/>
          </w:tcPr>
          <w:p w14:paraId="2C67C674" w14:textId="77777777" w:rsidR="00CB214B" w:rsidRPr="00CB214B" w:rsidRDefault="00CB214B" w:rsidP="00CB214B">
            <w:pPr>
              <w:rPr>
                <w:rFonts w:ascii="CAIXA Std Book" w:eastAsia="Times New Roman" w:hAnsi="CAIXA Std Book" w:cs="Arial"/>
                <w:b/>
                <w:bCs/>
                <w:color w:val="005CA9"/>
                <w:sz w:val="18"/>
                <w:szCs w:val="18"/>
              </w:rPr>
            </w:pPr>
          </w:p>
        </w:tc>
        <w:tc>
          <w:tcPr>
            <w:tcW w:w="531" w:type="pct"/>
            <w:tcBorders>
              <w:top w:val="nil"/>
              <w:left w:val="nil"/>
              <w:bottom w:val="single" w:sz="4" w:space="0" w:color="F39200"/>
              <w:right w:val="nil"/>
            </w:tcBorders>
            <w:shd w:val="clear" w:color="auto" w:fill="auto"/>
            <w:vAlign w:val="center"/>
            <w:hideMark/>
          </w:tcPr>
          <w:p w14:paraId="24351022"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Sem vencimento</w:t>
            </w:r>
          </w:p>
        </w:tc>
        <w:tc>
          <w:tcPr>
            <w:tcW w:w="380" w:type="pct"/>
            <w:tcBorders>
              <w:top w:val="nil"/>
              <w:left w:val="nil"/>
              <w:bottom w:val="single" w:sz="4" w:space="0" w:color="F39200"/>
              <w:right w:val="nil"/>
            </w:tcBorders>
            <w:shd w:val="clear" w:color="auto" w:fill="auto"/>
            <w:vAlign w:val="center"/>
            <w:hideMark/>
          </w:tcPr>
          <w:p w14:paraId="22B8A07A"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01 a 90 dias</w:t>
            </w:r>
          </w:p>
        </w:tc>
        <w:tc>
          <w:tcPr>
            <w:tcW w:w="438" w:type="pct"/>
            <w:tcBorders>
              <w:top w:val="nil"/>
              <w:left w:val="nil"/>
              <w:bottom w:val="single" w:sz="4" w:space="0" w:color="F39200"/>
              <w:right w:val="nil"/>
            </w:tcBorders>
            <w:shd w:val="clear" w:color="auto" w:fill="auto"/>
            <w:vAlign w:val="center"/>
            <w:hideMark/>
          </w:tcPr>
          <w:p w14:paraId="1FF11DAC"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91 a 360 dias</w:t>
            </w:r>
          </w:p>
        </w:tc>
        <w:tc>
          <w:tcPr>
            <w:tcW w:w="462" w:type="pct"/>
            <w:tcBorders>
              <w:top w:val="nil"/>
              <w:left w:val="nil"/>
              <w:bottom w:val="single" w:sz="4" w:space="0" w:color="F39200"/>
              <w:right w:val="nil"/>
            </w:tcBorders>
            <w:shd w:val="clear" w:color="auto" w:fill="auto"/>
            <w:vAlign w:val="center"/>
            <w:hideMark/>
          </w:tcPr>
          <w:p w14:paraId="000C0F8D"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Acima de 360 dias</w:t>
            </w:r>
          </w:p>
        </w:tc>
        <w:tc>
          <w:tcPr>
            <w:tcW w:w="435" w:type="pct"/>
            <w:tcBorders>
              <w:top w:val="nil"/>
              <w:left w:val="nil"/>
              <w:bottom w:val="single" w:sz="4" w:space="0" w:color="F39200"/>
              <w:right w:val="nil"/>
            </w:tcBorders>
            <w:shd w:val="clear" w:color="auto" w:fill="auto"/>
            <w:vAlign w:val="center"/>
            <w:hideMark/>
          </w:tcPr>
          <w:p w14:paraId="69BD534F"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31/03/2024</w:t>
            </w:r>
          </w:p>
        </w:tc>
        <w:tc>
          <w:tcPr>
            <w:tcW w:w="435" w:type="pct"/>
            <w:tcBorders>
              <w:top w:val="nil"/>
              <w:left w:val="nil"/>
              <w:bottom w:val="single" w:sz="4" w:space="0" w:color="F39200"/>
              <w:right w:val="nil"/>
            </w:tcBorders>
            <w:shd w:val="clear" w:color="auto" w:fill="auto"/>
            <w:vAlign w:val="center"/>
            <w:hideMark/>
          </w:tcPr>
          <w:p w14:paraId="1F31FBA8"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31/12/2023</w:t>
            </w:r>
          </w:p>
        </w:tc>
        <w:tc>
          <w:tcPr>
            <w:tcW w:w="435" w:type="pct"/>
            <w:tcBorders>
              <w:top w:val="nil"/>
              <w:left w:val="nil"/>
              <w:bottom w:val="single" w:sz="4" w:space="0" w:color="F39200"/>
              <w:right w:val="nil"/>
            </w:tcBorders>
            <w:shd w:val="clear" w:color="auto" w:fill="auto"/>
            <w:vAlign w:val="center"/>
            <w:hideMark/>
          </w:tcPr>
          <w:p w14:paraId="5B902A1B"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31/03/2024</w:t>
            </w:r>
          </w:p>
        </w:tc>
        <w:tc>
          <w:tcPr>
            <w:tcW w:w="434" w:type="pct"/>
            <w:tcBorders>
              <w:top w:val="nil"/>
              <w:left w:val="nil"/>
              <w:bottom w:val="single" w:sz="4" w:space="0" w:color="F39200"/>
              <w:right w:val="nil"/>
            </w:tcBorders>
            <w:shd w:val="clear" w:color="auto" w:fill="auto"/>
            <w:vAlign w:val="center"/>
            <w:hideMark/>
          </w:tcPr>
          <w:p w14:paraId="44AC31FD" w14:textId="77777777" w:rsidR="00CB214B" w:rsidRPr="00CB214B" w:rsidRDefault="00CB214B" w:rsidP="00CB214B">
            <w:pPr>
              <w:jc w:val="cente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31/12/2023</w:t>
            </w:r>
          </w:p>
        </w:tc>
      </w:tr>
      <w:tr w:rsidR="00085B86" w:rsidRPr="00BE1A58" w14:paraId="2DE36797" w14:textId="77777777" w:rsidTr="00CB5F7F">
        <w:trPr>
          <w:trHeight w:val="283"/>
        </w:trPr>
        <w:tc>
          <w:tcPr>
            <w:tcW w:w="1450" w:type="pct"/>
            <w:tcBorders>
              <w:top w:val="nil"/>
              <w:left w:val="nil"/>
              <w:bottom w:val="nil"/>
              <w:right w:val="nil"/>
            </w:tcBorders>
            <w:shd w:val="clear" w:color="auto" w:fill="auto"/>
            <w:vAlign w:val="center"/>
            <w:hideMark/>
          </w:tcPr>
          <w:p w14:paraId="1F145120" w14:textId="77777777"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Depósitos à vista</w:t>
            </w:r>
          </w:p>
        </w:tc>
        <w:tc>
          <w:tcPr>
            <w:tcW w:w="531" w:type="pct"/>
            <w:tcBorders>
              <w:top w:val="nil"/>
              <w:left w:val="nil"/>
              <w:bottom w:val="nil"/>
              <w:right w:val="nil"/>
            </w:tcBorders>
            <w:shd w:val="clear" w:color="auto" w:fill="auto"/>
            <w:noWrap/>
            <w:vAlign w:val="center"/>
            <w:hideMark/>
          </w:tcPr>
          <w:p w14:paraId="6978EDD2" w14:textId="5F93A32A"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46.975.306</w:t>
            </w:r>
          </w:p>
        </w:tc>
        <w:tc>
          <w:tcPr>
            <w:tcW w:w="380" w:type="pct"/>
            <w:tcBorders>
              <w:top w:val="nil"/>
              <w:left w:val="nil"/>
              <w:bottom w:val="nil"/>
              <w:right w:val="nil"/>
            </w:tcBorders>
            <w:shd w:val="clear" w:color="auto" w:fill="auto"/>
            <w:noWrap/>
            <w:vAlign w:val="center"/>
            <w:hideMark/>
          </w:tcPr>
          <w:p w14:paraId="5F489024" w14:textId="742EA9ED"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8" w:type="pct"/>
            <w:tcBorders>
              <w:top w:val="nil"/>
              <w:left w:val="nil"/>
              <w:bottom w:val="nil"/>
              <w:right w:val="nil"/>
            </w:tcBorders>
            <w:shd w:val="clear" w:color="auto" w:fill="auto"/>
            <w:noWrap/>
            <w:vAlign w:val="center"/>
            <w:hideMark/>
          </w:tcPr>
          <w:p w14:paraId="7DCEA2C5" w14:textId="7067AFEC"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62" w:type="pct"/>
            <w:tcBorders>
              <w:top w:val="nil"/>
              <w:left w:val="nil"/>
              <w:bottom w:val="nil"/>
              <w:right w:val="nil"/>
            </w:tcBorders>
            <w:shd w:val="clear" w:color="auto" w:fill="auto"/>
            <w:noWrap/>
            <w:vAlign w:val="center"/>
            <w:hideMark/>
          </w:tcPr>
          <w:p w14:paraId="7B475CC5" w14:textId="07B61E51"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5" w:type="pct"/>
            <w:tcBorders>
              <w:top w:val="nil"/>
              <w:left w:val="nil"/>
              <w:bottom w:val="nil"/>
              <w:right w:val="nil"/>
            </w:tcBorders>
            <w:shd w:val="clear" w:color="auto" w:fill="auto"/>
            <w:noWrap/>
            <w:vAlign w:val="center"/>
            <w:hideMark/>
          </w:tcPr>
          <w:p w14:paraId="7BBEDF7C" w14:textId="05B56BC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46.975.306</w:t>
            </w:r>
          </w:p>
        </w:tc>
        <w:tc>
          <w:tcPr>
            <w:tcW w:w="435" w:type="pct"/>
            <w:tcBorders>
              <w:top w:val="nil"/>
              <w:left w:val="nil"/>
              <w:bottom w:val="nil"/>
              <w:right w:val="nil"/>
            </w:tcBorders>
            <w:shd w:val="clear" w:color="auto" w:fill="auto"/>
            <w:noWrap/>
            <w:vAlign w:val="center"/>
            <w:hideMark/>
          </w:tcPr>
          <w:p w14:paraId="649083DE" w14:textId="6F731AA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49.376.365</w:t>
            </w:r>
          </w:p>
        </w:tc>
        <w:tc>
          <w:tcPr>
            <w:tcW w:w="435" w:type="pct"/>
            <w:tcBorders>
              <w:top w:val="nil"/>
              <w:left w:val="nil"/>
              <w:bottom w:val="nil"/>
              <w:right w:val="nil"/>
            </w:tcBorders>
            <w:shd w:val="clear" w:color="auto" w:fill="auto"/>
            <w:noWrap/>
            <w:vAlign w:val="center"/>
          </w:tcPr>
          <w:p w14:paraId="171FC42D" w14:textId="6A2E8BC4"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46.971.590</w:t>
            </w:r>
          </w:p>
        </w:tc>
        <w:tc>
          <w:tcPr>
            <w:tcW w:w="434" w:type="pct"/>
            <w:tcBorders>
              <w:top w:val="nil"/>
              <w:left w:val="nil"/>
              <w:bottom w:val="nil"/>
              <w:right w:val="nil"/>
            </w:tcBorders>
            <w:shd w:val="clear" w:color="auto" w:fill="auto"/>
            <w:noWrap/>
            <w:vAlign w:val="center"/>
            <w:hideMark/>
          </w:tcPr>
          <w:p w14:paraId="38B5B4BC" w14:textId="30A932C4"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49.375.983</w:t>
            </w:r>
          </w:p>
        </w:tc>
      </w:tr>
      <w:tr w:rsidR="00085B86" w:rsidRPr="00BE1A58" w14:paraId="57C8BA4A" w14:textId="77777777" w:rsidTr="00CB5F7F">
        <w:trPr>
          <w:trHeight w:val="283"/>
        </w:trPr>
        <w:tc>
          <w:tcPr>
            <w:tcW w:w="1450" w:type="pct"/>
            <w:tcBorders>
              <w:top w:val="nil"/>
              <w:left w:val="nil"/>
              <w:bottom w:val="nil"/>
              <w:right w:val="nil"/>
            </w:tcBorders>
            <w:shd w:val="clear" w:color="auto" w:fill="auto"/>
            <w:vAlign w:val="center"/>
            <w:hideMark/>
          </w:tcPr>
          <w:p w14:paraId="0809D6CA" w14:textId="77777777"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Depósitos de poupança</w:t>
            </w:r>
          </w:p>
        </w:tc>
        <w:tc>
          <w:tcPr>
            <w:tcW w:w="531" w:type="pct"/>
            <w:tcBorders>
              <w:top w:val="nil"/>
              <w:left w:val="nil"/>
              <w:bottom w:val="nil"/>
              <w:right w:val="nil"/>
            </w:tcBorders>
            <w:shd w:val="clear" w:color="auto" w:fill="auto"/>
            <w:noWrap/>
            <w:vAlign w:val="center"/>
            <w:hideMark/>
          </w:tcPr>
          <w:p w14:paraId="7C81A912" w14:textId="28924635"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358.684.429</w:t>
            </w:r>
          </w:p>
        </w:tc>
        <w:tc>
          <w:tcPr>
            <w:tcW w:w="380" w:type="pct"/>
            <w:tcBorders>
              <w:top w:val="nil"/>
              <w:left w:val="nil"/>
              <w:bottom w:val="nil"/>
              <w:right w:val="nil"/>
            </w:tcBorders>
            <w:shd w:val="clear" w:color="auto" w:fill="auto"/>
            <w:noWrap/>
            <w:vAlign w:val="center"/>
            <w:hideMark/>
          </w:tcPr>
          <w:p w14:paraId="153FFF65" w14:textId="17A0BDEA"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8" w:type="pct"/>
            <w:tcBorders>
              <w:top w:val="nil"/>
              <w:left w:val="nil"/>
              <w:bottom w:val="nil"/>
              <w:right w:val="nil"/>
            </w:tcBorders>
            <w:shd w:val="clear" w:color="auto" w:fill="auto"/>
            <w:noWrap/>
            <w:vAlign w:val="center"/>
            <w:hideMark/>
          </w:tcPr>
          <w:p w14:paraId="53356FE0" w14:textId="50432937"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62" w:type="pct"/>
            <w:tcBorders>
              <w:top w:val="nil"/>
              <w:left w:val="nil"/>
              <w:bottom w:val="nil"/>
              <w:right w:val="nil"/>
            </w:tcBorders>
            <w:shd w:val="clear" w:color="auto" w:fill="auto"/>
            <w:noWrap/>
            <w:vAlign w:val="center"/>
            <w:hideMark/>
          </w:tcPr>
          <w:p w14:paraId="4411C854" w14:textId="45F4C24E"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5" w:type="pct"/>
            <w:tcBorders>
              <w:top w:val="nil"/>
              <w:left w:val="nil"/>
              <w:bottom w:val="nil"/>
              <w:right w:val="nil"/>
            </w:tcBorders>
            <w:shd w:val="clear" w:color="auto" w:fill="auto"/>
            <w:noWrap/>
            <w:vAlign w:val="center"/>
            <w:hideMark/>
          </w:tcPr>
          <w:p w14:paraId="793F2431" w14:textId="73EBDA85"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358.684.429</w:t>
            </w:r>
          </w:p>
        </w:tc>
        <w:tc>
          <w:tcPr>
            <w:tcW w:w="435" w:type="pct"/>
            <w:tcBorders>
              <w:top w:val="nil"/>
              <w:left w:val="nil"/>
              <w:bottom w:val="nil"/>
              <w:right w:val="nil"/>
            </w:tcBorders>
            <w:shd w:val="clear" w:color="auto" w:fill="auto"/>
            <w:noWrap/>
            <w:vAlign w:val="center"/>
            <w:hideMark/>
          </w:tcPr>
          <w:p w14:paraId="065C584D" w14:textId="21B3F546"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358.327.553</w:t>
            </w:r>
          </w:p>
        </w:tc>
        <w:tc>
          <w:tcPr>
            <w:tcW w:w="435" w:type="pct"/>
            <w:tcBorders>
              <w:top w:val="nil"/>
              <w:left w:val="nil"/>
              <w:bottom w:val="nil"/>
              <w:right w:val="nil"/>
            </w:tcBorders>
            <w:shd w:val="clear" w:color="auto" w:fill="auto"/>
            <w:noWrap/>
            <w:vAlign w:val="center"/>
          </w:tcPr>
          <w:p w14:paraId="1FB4360D" w14:textId="2F2072E5"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358.684.429</w:t>
            </w:r>
          </w:p>
        </w:tc>
        <w:tc>
          <w:tcPr>
            <w:tcW w:w="434" w:type="pct"/>
            <w:tcBorders>
              <w:top w:val="nil"/>
              <w:left w:val="nil"/>
              <w:bottom w:val="nil"/>
              <w:right w:val="nil"/>
            </w:tcBorders>
            <w:shd w:val="clear" w:color="auto" w:fill="auto"/>
            <w:noWrap/>
            <w:vAlign w:val="center"/>
            <w:hideMark/>
          </w:tcPr>
          <w:p w14:paraId="5F8A4D6A" w14:textId="67AEB6D8"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358.327.553</w:t>
            </w:r>
          </w:p>
        </w:tc>
      </w:tr>
      <w:tr w:rsidR="00085B86" w:rsidRPr="00BE1A58" w14:paraId="492E19BF" w14:textId="77777777" w:rsidTr="00CB5F7F">
        <w:trPr>
          <w:trHeight w:val="283"/>
        </w:trPr>
        <w:tc>
          <w:tcPr>
            <w:tcW w:w="1450" w:type="pct"/>
            <w:tcBorders>
              <w:top w:val="nil"/>
              <w:left w:val="nil"/>
              <w:bottom w:val="nil"/>
              <w:right w:val="nil"/>
            </w:tcBorders>
            <w:shd w:val="clear" w:color="auto" w:fill="auto"/>
            <w:vAlign w:val="center"/>
            <w:hideMark/>
          </w:tcPr>
          <w:p w14:paraId="4A9FA078" w14:textId="77777777"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Depósitos a prazo</w:t>
            </w:r>
          </w:p>
        </w:tc>
        <w:tc>
          <w:tcPr>
            <w:tcW w:w="531" w:type="pct"/>
            <w:tcBorders>
              <w:top w:val="nil"/>
              <w:left w:val="nil"/>
              <w:bottom w:val="nil"/>
              <w:right w:val="nil"/>
            </w:tcBorders>
            <w:shd w:val="clear" w:color="auto" w:fill="auto"/>
            <w:noWrap/>
            <w:vAlign w:val="center"/>
            <w:hideMark/>
          </w:tcPr>
          <w:p w14:paraId="68DBF189" w14:textId="630CDC14"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129.791.167</w:t>
            </w:r>
          </w:p>
        </w:tc>
        <w:tc>
          <w:tcPr>
            <w:tcW w:w="380" w:type="pct"/>
            <w:tcBorders>
              <w:top w:val="nil"/>
              <w:left w:val="nil"/>
              <w:bottom w:val="nil"/>
              <w:right w:val="nil"/>
            </w:tcBorders>
            <w:shd w:val="clear" w:color="auto" w:fill="auto"/>
            <w:noWrap/>
            <w:vAlign w:val="center"/>
            <w:hideMark/>
          </w:tcPr>
          <w:p w14:paraId="58CDFBB8" w14:textId="36811573"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4.168.709</w:t>
            </w:r>
          </w:p>
        </w:tc>
        <w:tc>
          <w:tcPr>
            <w:tcW w:w="438" w:type="pct"/>
            <w:tcBorders>
              <w:top w:val="nil"/>
              <w:left w:val="nil"/>
              <w:bottom w:val="nil"/>
              <w:right w:val="nil"/>
            </w:tcBorders>
            <w:shd w:val="clear" w:color="auto" w:fill="auto"/>
            <w:noWrap/>
            <w:vAlign w:val="center"/>
            <w:hideMark/>
          </w:tcPr>
          <w:p w14:paraId="713EB1B6" w14:textId="2CD7366B"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27.148.898</w:t>
            </w:r>
          </w:p>
        </w:tc>
        <w:tc>
          <w:tcPr>
            <w:tcW w:w="462" w:type="pct"/>
            <w:tcBorders>
              <w:top w:val="nil"/>
              <w:left w:val="nil"/>
              <w:bottom w:val="nil"/>
              <w:right w:val="nil"/>
            </w:tcBorders>
            <w:shd w:val="clear" w:color="auto" w:fill="auto"/>
            <w:noWrap/>
            <w:vAlign w:val="center"/>
            <w:hideMark/>
          </w:tcPr>
          <w:p w14:paraId="0D34743A" w14:textId="2048D4F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108.342.901</w:t>
            </w:r>
          </w:p>
        </w:tc>
        <w:tc>
          <w:tcPr>
            <w:tcW w:w="435" w:type="pct"/>
            <w:tcBorders>
              <w:top w:val="nil"/>
              <w:left w:val="nil"/>
              <w:bottom w:val="nil"/>
              <w:right w:val="nil"/>
            </w:tcBorders>
            <w:shd w:val="clear" w:color="auto" w:fill="auto"/>
            <w:noWrap/>
            <w:vAlign w:val="center"/>
            <w:hideMark/>
          </w:tcPr>
          <w:p w14:paraId="305B9822" w14:textId="0DD9D39E"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269.451.675</w:t>
            </w:r>
          </w:p>
        </w:tc>
        <w:tc>
          <w:tcPr>
            <w:tcW w:w="435" w:type="pct"/>
            <w:tcBorders>
              <w:top w:val="nil"/>
              <w:left w:val="nil"/>
              <w:bottom w:val="nil"/>
              <w:right w:val="nil"/>
            </w:tcBorders>
            <w:shd w:val="clear" w:color="auto" w:fill="auto"/>
            <w:noWrap/>
            <w:vAlign w:val="center"/>
            <w:hideMark/>
          </w:tcPr>
          <w:p w14:paraId="44E819A2" w14:textId="7EF9856F"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274.997.042</w:t>
            </w:r>
          </w:p>
        </w:tc>
        <w:tc>
          <w:tcPr>
            <w:tcW w:w="435" w:type="pct"/>
            <w:tcBorders>
              <w:top w:val="nil"/>
              <w:left w:val="nil"/>
              <w:bottom w:val="nil"/>
              <w:right w:val="nil"/>
            </w:tcBorders>
            <w:shd w:val="clear" w:color="auto" w:fill="auto"/>
            <w:noWrap/>
            <w:vAlign w:val="center"/>
          </w:tcPr>
          <w:p w14:paraId="172C280E" w14:textId="7A4812D7"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269.451.675</w:t>
            </w:r>
          </w:p>
        </w:tc>
        <w:tc>
          <w:tcPr>
            <w:tcW w:w="434" w:type="pct"/>
            <w:tcBorders>
              <w:top w:val="nil"/>
              <w:left w:val="nil"/>
              <w:bottom w:val="nil"/>
              <w:right w:val="nil"/>
            </w:tcBorders>
            <w:shd w:val="clear" w:color="auto" w:fill="auto"/>
            <w:noWrap/>
            <w:vAlign w:val="center"/>
            <w:hideMark/>
          </w:tcPr>
          <w:p w14:paraId="14097083" w14:textId="1DD839E5"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274.997.042</w:t>
            </w:r>
          </w:p>
        </w:tc>
      </w:tr>
      <w:tr w:rsidR="00085B86" w:rsidRPr="00BE1A58" w14:paraId="7BC67780" w14:textId="77777777" w:rsidTr="00CB5F7F">
        <w:trPr>
          <w:trHeight w:val="283"/>
        </w:trPr>
        <w:tc>
          <w:tcPr>
            <w:tcW w:w="1450" w:type="pct"/>
            <w:tcBorders>
              <w:top w:val="nil"/>
              <w:left w:val="nil"/>
              <w:bottom w:val="nil"/>
              <w:right w:val="nil"/>
            </w:tcBorders>
            <w:shd w:val="clear" w:color="auto" w:fill="auto"/>
            <w:vAlign w:val="center"/>
            <w:hideMark/>
          </w:tcPr>
          <w:p w14:paraId="089E8B28" w14:textId="77777777" w:rsidR="00085B86" w:rsidRPr="00CB214B" w:rsidRDefault="00085B86" w:rsidP="00085B86">
            <w:pPr>
              <w:ind w:firstLineChars="100" w:firstLine="180"/>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Depósitos judiciais</w:t>
            </w:r>
          </w:p>
        </w:tc>
        <w:tc>
          <w:tcPr>
            <w:tcW w:w="531" w:type="pct"/>
            <w:tcBorders>
              <w:top w:val="nil"/>
              <w:left w:val="nil"/>
              <w:bottom w:val="nil"/>
              <w:right w:val="nil"/>
            </w:tcBorders>
            <w:shd w:val="clear" w:color="auto" w:fill="auto"/>
            <w:noWrap/>
            <w:vAlign w:val="center"/>
            <w:hideMark/>
          </w:tcPr>
          <w:p w14:paraId="454D3E0B" w14:textId="1269B038"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129.791.167</w:t>
            </w:r>
          </w:p>
        </w:tc>
        <w:tc>
          <w:tcPr>
            <w:tcW w:w="380" w:type="pct"/>
            <w:tcBorders>
              <w:top w:val="nil"/>
              <w:left w:val="nil"/>
              <w:bottom w:val="nil"/>
              <w:right w:val="nil"/>
            </w:tcBorders>
            <w:shd w:val="clear" w:color="auto" w:fill="auto"/>
            <w:noWrap/>
            <w:vAlign w:val="center"/>
            <w:hideMark/>
          </w:tcPr>
          <w:p w14:paraId="3F5214E5" w14:textId="62F0A981"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8" w:type="pct"/>
            <w:tcBorders>
              <w:top w:val="nil"/>
              <w:left w:val="nil"/>
              <w:bottom w:val="nil"/>
              <w:right w:val="nil"/>
            </w:tcBorders>
            <w:shd w:val="clear" w:color="auto" w:fill="auto"/>
            <w:noWrap/>
            <w:vAlign w:val="center"/>
            <w:hideMark/>
          </w:tcPr>
          <w:p w14:paraId="4AF87A6B" w14:textId="34907693"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62" w:type="pct"/>
            <w:tcBorders>
              <w:top w:val="nil"/>
              <w:left w:val="nil"/>
              <w:bottom w:val="nil"/>
              <w:right w:val="nil"/>
            </w:tcBorders>
            <w:shd w:val="clear" w:color="auto" w:fill="auto"/>
            <w:noWrap/>
            <w:vAlign w:val="center"/>
            <w:hideMark/>
          </w:tcPr>
          <w:p w14:paraId="397D43EC" w14:textId="183FDB64"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5" w:type="pct"/>
            <w:tcBorders>
              <w:top w:val="nil"/>
              <w:left w:val="nil"/>
              <w:bottom w:val="nil"/>
              <w:right w:val="nil"/>
            </w:tcBorders>
            <w:shd w:val="clear" w:color="auto" w:fill="auto"/>
            <w:noWrap/>
            <w:vAlign w:val="center"/>
            <w:hideMark/>
          </w:tcPr>
          <w:p w14:paraId="15A3818A" w14:textId="265C1B9C"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129.791.167</w:t>
            </w:r>
          </w:p>
        </w:tc>
        <w:tc>
          <w:tcPr>
            <w:tcW w:w="435" w:type="pct"/>
            <w:tcBorders>
              <w:top w:val="nil"/>
              <w:left w:val="nil"/>
              <w:bottom w:val="nil"/>
              <w:right w:val="nil"/>
            </w:tcBorders>
            <w:shd w:val="clear" w:color="auto" w:fill="auto"/>
            <w:noWrap/>
            <w:vAlign w:val="center"/>
            <w:hideMark/>
          </w:tcPr>
          <w:p w14:paraId="3CAD4594" w14:textId="191A8FCD"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153.221.059</w:t>
            </w:r>
          </w:p>
        </w:tc>
        <w:tc>
          <w:tcPr>
            <w:tcW w:w="435" w:type="pct"/>
            <w:tcBorders>
              <w:top w:val="nil"/>
              <w:left w:val="nil"/>
              <w:bottom w:val="nil"/>
              <w:right w:val="nil"/>
            </w:tcBorders>
            <w:shd w:val="clear" w:color="auto" w:fill="auto"/>
            <w:noWrap/>
            <w:vAlign w:val="center"/>
          </w:tcPr>
          <w:p w14:paraId="5E530C51" w14:textId="5454BDDD"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129.791.167</w:t>
            </w:r>
          </w:p>
        </w:tc>
        <w:tc>
          <w:tcPr>
            <w:tcW w:w="434" w:type="pct"/>
            <w:tcBorders>
              <w:top w:val="nil"/>
              <w:left w:val="nil"/>
              <w:bottom w:val="nil"/>
              <w:right w:val="nil"/>
            </w:tcBorders>
            <w:shd w:val="clear" w:color="auto" w:fill="auto"/>
            <w:noWrap/>
            <w:vAlign w:val="center"/>
            <w:hideMark/>
          </w:tcPr>
          <w:p w14:paraId="330C5931" w14:textId="4423666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153.221.059</w:t>
            </w:r>
          </w:p>
        </w:tc>
      </w:tr>
      <w:tr w:rsidR="00085B86" w:rsidRPr="00BE1A58" w14:paraId="51B9F4DC" w14:textId="77777777" w:rsidTr="00CB5F7F">
        <w:trPr>
          <w:trHeight w:val="283"/>
        </w:trPr>
        <w:tc>
          <w:tcPr>
            <w:tcW w:w="1450" w:type="pct"/>
            <w:tcBorders>
              <w:top w:val="nil"/>
              <w:left w:val="nil"/>
              <w:bottom w:val="nil"/>
              <w:right w:val="nil"/>
            </w:tcBorders>
            <w:shd w:val="clear" w:color="auto" w:fill="auto"/>
            <w:vAlign w:val="center"/>
            <w:hideMark/>
          </w:tcPr>
          <w:p w14:paraId="07E36D61" w14:textId="77777777" w:rsidR="00085B86" w:rsidRPr="00CB214B" w:rsidRDefault="00085B86" w:rsidP="00085B86">
            <w:pPr>
              <w:ind w:firstLineChars="100" w:firstLine="180"/>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CDB</w:t>
            </w:r>
          </w:p>
        </w:tc>
        <w:tc>
          <w:tcPr>
            <w:tcW w:w="531" w:type="pct"/>
            <w:tcBorders>
              <w:top w:val="nil"/>
              <w:left w:val="nil"/>
              <w:bottom w:val="nil"/>
              <w:right w:val="nil"/>
            </w:tcBorders>
            <w:shd w:val="clear" w:color="auto" w:fill="auto"/>
            <w:noWrap/>
            <w:vAlign w:val="center"/>
            <w:hideMark/>
          </w:tcPr>
          <w:p w14:paraId="3AE7C9BA" w14:textId="494DE780"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380" w:type="pct"/>
            <w:tcBorders>
              <w:top w:val="nil"/>
              <w:left w:val="nil"/>
              <w:bottom w:val="nil"/>
              <w:right w:val="nil"/>
            </w:tcBorders>
            <w:shd w:val="clear" w:color="auto" w:fill="auto"/>
            <w:noWrap/>
            <w:vAlign w:val="center"/>
            <w:hideMark/>
          </w:tcPr>
          <w:p w14:paraId="6932B3D8" w14:textId="244883C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4.168.709</w:t>
            </w:r>
          </w:p>
        </w:tc>
        <w:tc>
          <w:tcPr>
            <w:tcW w:w="438" w:type="pct"/>
            <w:tcBorders>
              <w:top w:val="nil"/>
              <w:left w:val="nil"/>
              <w:bottom w:val="nil"/>
              <w:right w:val="nil"/>
            </w:tcBorders>
            <w:shd w:val="clear" w:color="auto" w:fill="auto"/>
            <w:noWrap/>
            <w:vAlign w:val="center"/>
            <w:hideMark/>
          </w:tcPr>
          <w:p w14:paraId="592A460D" w14:textId="72EAE426"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27.148.898</w:t>
            </w:r>
          </w:p>
        </w:tc>
        <w:tc>
          <w:tcPr>
            <w:tcW w:w="462" w:type="pct"/>
            <w:tcBorders>
              <w:top w:val="nil"/>
              <w:left w:val="nil"/>
              <w:bottom w:val="nil"/>
              <w:right w:val="nil"/>
            </w:tcBorders>
            <w:shd w:val="clear" w:color="auto" w:fill="auto"/>
            <w:noWrap/>
            <w:vAlign w:val="center"/>
            <w:hideMark/>
          </w:tcPr>
          <w:p w14:paraId="45CE3FBB" w14:textId="77D6CE8A"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108.342.901</w:t>
            </w:r>
          </w:p>
        </w:tc>
        <w:tc>
          <w:tcPr>
            <w:tcW w:w="435" w:type="pct"/>
            <w:tcBorders>
              <w:top w:val="nil"/>
              <w:left w:val="nil"/>
              <w:bottom w:val="nil"/>
              <w:right w:val="nil"/>
            </w:tcBorders>
            <w:shd w:val="clear" w:color="auto" w:fill="auto"/>
            <w:noWrap/>
            <w:vAlign w:val="center"/>
            <w:hideMark/>
          </w:tcPr>
          <w:p w14:paraId="146FCF10" w14:textId="5543D06F"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139.660.508</w:t>
            </w:r>
          </w:p>
        </w:tc>
        <w:tc>
          <w:tcPr>
            <w:tcW w:w="435" w:type="pct"/>
            <w:tcBorders>
              <w:top w:val="nil"/>
              <w:left w:val="nil"/>
              <w:bottom w:val="nil"/>
              <w:right w:val="nil"/>
            </w:tcBorders>
            <w:shd w:val="clear" w:color="auto" w:fill="auto"/>
            <w:noWrap/>
            <w:vAlign w:val="center"/>
            <w:hideMark/>
          </w:tcPr>
          <w:p w14:paraId="20676265" w14:textId="0AB9F982"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121.775.983</w:t>
            </w:r>
          </w:p>
        </w:tc>
        <w:tc>
          <w:tcPr>
            <w:tcW w:w="435" w:type="pct"/>
            <w:tcBorders>
              <w:top w:val="nil"/>
              <w:left w:val="nil"/>
              <w:bottom w:val="nil"/>
              <w:right w:val="nil"/>
            </w:tcBorders>
            <w:shd w:val="clear" w:color="auto" w:fill="auto"/>
            <w:noWrap/>
            <w:vAlign w:val="center"/>
          </w:tcPr>
          <w:p w14:paraId="39367E67" w14:textId="1652BE0D"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139.660.508</w:t>
            </w:r>
          </w:p>
        </w:tc>
        <w:tc>
          <w:tcPr>
            <w:tcW w:w="434" w:type="pct"/>
            <w:tcBorders>
              <w:top w:val="nil"/>
              <w:left w:val="nil"/>
              <w:bottom w:val="nil"/>
              <w:right w:val="nil"/>
            </w:tcBorders>
            <w:shd w:val="clear" w:color="auto" w:fill="auto"/>
            <w:noWrap/>
            <w:vAlign w:val="center"/>
            <w:hideMark/>
          </w:tcPr>
          <w:p w14:paraId="7A9C1AB8" w14:textId="63139227"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121.775.983</w:t>
            </w:r>
          </w:p>
        </w:tc>
      </w:tr>
      <w:tr w:rsidR="00085B86" w:rsidRPr="00BE1A58" w14:paraId="186273E9" w14:textId="77777777" w:rsidTr="00CB5F7F">
        <w:trPr>
          <w:trHeight w:val="283"/>
        </w:trPr>
        <w:tc>
          <w:tcPr>
            <w:tcW w:w="1450" w:type="pct"/>
            <w:tcBorders>
              <w:top w:val="nil"/>
              <w:left w:val="nil"/>
              <w:bottom w:val="nil"/>
              <w:right w:val="nil"/>
            </w:tcBorders>
            <w:shd w:val="clear" w:color="auto" w:fill="auto"/>
            <w:vAlign w:val="center"/>
            <w:hideMark/>
          </w:tcPr>
          <w:p w14:paraId="65F38B0A" w14:textId="3E69A08A"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Depósitos especiais e de fundos e programas</w:t>
            </w:r>
            <w:r>
              <w:rPr>
                <w:rFonts w:ascii="CAIXA Std Book" w:eastAsia="Times New Roman" w:hAnsi="CAIXA Std Book" w:cs="Arial"/>
                <w:color w:val="005CA9"/>
                <w:sz w:val="18"/>
                <w:szCs w:val="18"/>
              </w:rPr>
              <w:t xml:space="preserve"> (1)</w:t>
            </w:r>
          </w:p>
        </w:tc>
        <w:tc>
          <w:tcPr>
            <w:tcW w:w="531" w:type="pct"/>
            <w:tcBorders>
              <w:top w:val="nil"/>
              <w:left w:val="nil"/>
              <w:bottom w:val="nil"/>
              <w:right w:val="nil"/>
            </w:tcBorders>
            <w:shd w:val="clear" w:color="auto" w:fill="auto"/>
            <w:noWrap/>
            <w:vAlign w:val="center"/>
            <w:hideMark/>
          </w:tcPr>
          <w:p w14:paraId="4B29E6C8" w14:textId="62B3472A"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30.501.431</w:t>
            </w:r>
          </w:p>
        </w:tc>
        <w:tc>
          <w:tcPr>
            <w:tcW w:w="380" w:type="pct"/>
            <w:tcBorders>
              <w:top w:val="nil"/>
              <w:left w:val="nil"/>
              <w:bottom w:val="nil"/>
              <w:right w:val="nil"/>
            </w:tcBorders>
            <w:shd w:val="clear" w:color="auto" w:fill="auto"/>
            <w:noWrap/>
            <w:vAlign w:val="center"/>
            <w:hideMark/>
          </w:tcPr>
          <w:p w14:paraId="218772EE" w14:textId="1D6E582D"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8" w:type="pct"/>
            <w:tcBorders>
              <w:top w:val="nil"/>
              <w:left w:val="nil"/>
              <w:bottom w:val="nil"/>
              <w:right w:val="nil"/>
            </w:tcBorders>
            <w:shd w:val="clear" w:color="auto" w:fill="auto"/>
            <w:noWrap/>
            <w:vAlign w:val="center"/>
            <w:hideMark/>
          </w:tcPr>
          <w:p w14:paraId="6450D9FE" w14:textId="0F5B4CCB"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62" w:type="pct"/>
            <w:tcBorders>
              <w:top w:val="nil"/>
              <w:left w:val="nil"/>
              <w:bottom w:val="nil"/>
              <w:right w:val="nil"/>
            </w:tcBorders>
            <w:shd w:val="clear" w:color="auto" w:fill="auto"/>
            <w:noWrap/>
            <w:vAlign w:val="center"/>
            <w:hideMark/>
          </w:tcPr>
          <w:p w14:paraId="0CC7D4B2" w14:textId="098ED21C" w:rsidR="00085B86" w:rsidRPr="00CB214B" w:rsidRDefault="00085B86" w:rsidP="00085B86">
            <w:pPr>
              <w:jc w:val="cente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w:t>
            </w:r>
          </w:p>
        </w:tc>
        <w:tc>
          <w:tcPr>
            <w:tcW w:w="435" w:type="pct"/>
            <w:tcBorders>
              <w:top w:val="nil"/>
              <w:left w:val="nil"/>
              <w:bottom w:val="nil"/>
              <w:right w:val="nil"/>
            </w:tcBorders>
            <w:shd w:val="clear" w:color="auto" w:fill="auto"/>
            <w:noWrap/>
            <w:vAlign w:val="center"/>
            <w:hideMark/>
          </w:tcPr>
          <w:p w14:paraId="693767F5" w14:textId="1001212C"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30.501.431</w:t>
            </w:r>
          </w:p>
        </w:tc>
        <w:tc>
          <w:tcPr>
            <w:tcW w:w="435" w:type="pct"/>
            <w:tcBorders>
              <w:top w:val="nil"/>
              <w:left w:val="nil"/>
              <w:bottom w:val="nil"/>
              <w:right w:val="nil"/>
            </w:tcBorders>
            <w:shd w:val="clear" w:color="auto" w:fill="auto"/>
            <w:noWrap/>
            <w:vAlign w:val="center"/>
            <w:hideMark/>
          </w:tcPr>
          <w:p w14:paraId="0D9C2428" w14:textId="55D88DA3"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31.373.499</w:t>
            </w:r>
          </w:p>
        </w:tc>
        <w:tc>
          <w:tcPr>
            <w:tcW w:w="435" w:type="pct"/>
            <w:tcBorders>
              <w:top w:val="nil"/>
              <w:left w:val="nil"/>
              <w:bottom w:val="nil"/>
              <w:right w:val="nil"/>
            </w:tcBorders>
            <w:shd w:val="clear" w:color="auto" w:fill="auto"/>
            <w:noWrap/>
            <w:vAlign w:val="center"/>
          </w:tcPr>
          <w:p w14:paraId="3A23D990" w14:textId="7BE04B57"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30.501.431</w:t>
            </w:r>
          </w:p>
        </w:tc>
        <w:tc>
          <w:tcPr>
            <w:tcW w:w="434" w:type="pct"/>
            <w:tcBorders>
              <w:top w:val="nil"/>
              <w:left w:val="nil"/>
              <w:bottom w:val="nil"/>
              <w:right w:val="nil"/>
            </w:tcBorders>
            <w:shd w:val="clear" w:color="auto" w:fill="auto"/>
            <w:noWrap/>
            <w:vAlign w:val="center"/>
            <w:hideMark/>
          </w:tcPr>
          <w:p w14:paraId="0C5E4AA6" w14:textId="4CDA0EDC"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31.373.499</w:t>
            </w:r>
          </w:p>
        </w:tc>
      </w:tr>
      <w:tr w:rsidR="00085B86" w:rsidRPr="00BE1A58" w14:paraId="23FFBD26" w14:textId="77777777" w:rsidTr="00CB5F7F">
        <w:trPr>
          <w:trHeight w:val="283"/>
        </w:trPr>
        <w:tc>
          <w:tcPr>
            <w:tcW w:w="1450" w:type="pct"/>
            <w:tcBorders>
              <w:top w:val="single" w:sz="4" w:space="0" w:color="F39200"/>
              <w:left w:val="nil"/>
              <w:bottom w:val="single" w:sz="4" w:space="0" w:color="F39200"/>
              <w:right w:val="nil"/>
            </w:tcBorders>
            <w:shd w:val="clear" w:color="auto" w:fill="auto"/>
            <w:noWrap/>
            <w:vAlign w:val="center"/>
            <w:hideMark/>
          </w:tcPr>
          <w:p w14:paraId="14056E90" w14:textId="77777777" w:rsidR="00085B86" w:rsidRPr="00CB214B" w:rsidRDefault="00085B86" w:rsidP="00085B86">
            <w:pPr>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Total</w:t>
            </w:r>
          </w:p>
        </w:tc>
        <w:tc>
          <w:tcPr>
            <w:tcW w:w="531" w:type="pct"/>
            <w:tcBorders>
              <w:top w:val="single" w:sz="4" w:space="0" w:color="F39200"/>
              <w:left w:val="nil"/>
              <w:bottom w:val="single" w:sz="4" w:space="0" w:color="F39200"/>
              <w:right w:val="nil"/>
            </w:tcBorders>
            <w:shd w:val="clear" w:color="auto" w:fill="auto"/>
            <w:noWrap/>
            <w:vAlign w:val="center"/>
            <w:hideMark/>
          </w:tcPr>
          <w:p w14:paraId="2F6F57A4" w14:textId="105F72FC"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565.952.333</w:t>
            </w:r>
          </w:p>
        </w:tc>
        <w:tc>
          <w:tcPr>
            <w:tcW w:w="380" w:type="pct"/>
            <w:tcBorders>
              <w:top w:val="single" w:sz="4" w:space="0" w:color="F39200"/>
              <w:left w:val="nil"/>
              <w:bottom w:val="single" w:sz="4" w:space="0" w:color="F39200"/>
              <w:right w:val="nil"/>
            </w:tcBorders>
            <w:shd w:val="clear" w:color="auto" w:fill="auto"/>
            <w:noWrap/>
            <w:vAlign w:val="center"/>
            <w:hideMark/>
          </w:tcPr>
          <w:p w14:paraId="5D81F370" w14:textId="5BEAC08C"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4.168.709</w:t>
            </w:r>
          </w:p>
        </w:tc>
        <w:tc>
          <w:tcPr>
            <w:tcW w:w="438" w:type="pct"/>
            <w:tcBorders>
              <w:top w:val="single" w:sz="4" w:space="0" w:color="F39200"/>
              <w:left w:val="nil"/>
              <w:bottom w:val="single" w:sz="4" w:space="0" w:color="F39200"/>
              <w:right w:val="nil"/>
            </w:tcBorders>
            <w:shd w:val="clear" w:color="auto" w:fill="auto"/>
            <w:noWrap/>
            <w:vAlign w:val="center"/>
            <w:hideMark/>
          </w:tcPr>
          <w:p w14:paraId="5D64E6C1" w14:textId="37AF808D"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27.148.898</w:t>
            </w:r>
          </w:p>
        </w:tc>
        <w:tc>
          <w:tcPr>
            <w:tcW w:w="462" w:type="pct"/>
            <w:tcBorders>
              <w:top w:val="single" w:sz="4" w:space="0" w:color="F39200"/>
              <w:left w:val="nil"/>
              <w:bottom w:val="single" w:sz="4" w:space="0" w:color="F39200"/>
              <w:right w:val="nil"/>
            </w:tcBorders>
            <w:shd w:val="clear" w:color="auto" w:fill="auto"/>
            <w:noWrap/>
            <w:vAlign w:val="center"/>
            <w:hideMark/>
          </w:tcPr>
          <w:p w14:paraId="02F55681" w14:textId="4D39B7DF"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108.342.901</w:t>
            </w:r>
          </w:p>
        </w:tc>
        <w:tc>
          <w:tcPr>
            <w:tcW w:w="435" w:type="pct"/>
            <w:tcBorders>
              <w:top w:val="single" w:sz="4" w:space="0" w:color="F39200"/>
              <w:left w:val="nil"/>
              <w:bottom w:val="single" w:sz="4" w:space="0" w:color="F39200"/>
              <w:right w:val="nil"/>
            </w:tcBorders>
            <w:shd w:val="clear" w:color="auto" w:fill="auto"/>
            <w:noWrap/>
            <w:vAlign w:val="center"/>
            <w:hideMark/>
          </w:tcPr>
          <w:p w14:paraId="190444EB" w14:textId="1FA289D4"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705.612.841</w:t>
            </w:r>
          </w:p>
        </w:tc>
        <w:tc>
          <w:tcPr>
            <w:tcW w:w="435" w:type="pct"/>
            <w:tcBorders>
              <w:top w:val="single" w:sz="4" w:space="0" w:color="F39200"/>
              <w:left w:val="nil"/>
              <w:bottom w:val="single" w:sz="4" w:space="0" w:color="F39200"/>
              <w:right w:val="nil"/>
            </w:tcBorders>
            <w:shd w:val="clear" w:color="auto" w:fill="auto"/>
            <w:noWrap/>
            <w:vAlign w:val="center"/>
            <w:hideMark/>
          </w:tcPr>
          <w:p w14:paraId="53D4ABBC" w14:textId="22582B3F"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714.074.459</w:t>
            </w:r>
          </w:p>
        </w:tc>
        <w:tc>
          <w:tcPr>
            <w:tcW w:w="435" w:type="pct"/>
            <w:tcBorders>
              <w:top w:val="single" w:sz="4" w:space="0" w:color="F39200"/>
              <w:left w:val="nil"/>
              <w:bottom w:val="single" w:sz="4" w:space="0" w:color="F39200"/>
              <w:right w:val="nil"/>
            </w:tcBorders>
            <w:shd w:val="clear" w:color="auto" w:fill="auto"/>
            <w:noWrap/>
            <w:vAlign w:val="center"/>
          </w:tcPr>
          <w:p w14:paraId="20CD3D44" w14:textId="2225EB4A" w:rsidR="00085B86" w:rsidRPr="00CB214B" w:rsidRDefault="00085B86" w:rsidP="00085B86">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705.609.125</w:t>
            </w:r>
          </w:p>
        </w:tc>
        <w:tc>
          <w:tcPr>
            <w:tcW w:w="434" w:type="pct"/>
            <w:tcBorders>
              <w:top w:val="single" w:sz="4" w:space="0" w:color="F39200"/>
              <w:left w:val="nil"/>
              <w:bottom w:val="single" w:sz="4" w:space="0" w:color="F39200"/>
              <w:right w:val="nil"/>
            </w:tcBorders>
            <w:shd w:val="clear" w:color="auto" w:fill="auto"/>
            <w:noWrap/>
            <w:vAlign w:val="center"/>
            <w:hideMark/>
          </w:tcPr>
          <w:p w14:paraId="7CB417BE" w14:textId="01F82D37" w:rsidR="00085B86" w:rsidRPr="00CB214B" w:rsidRDefault="00085B86" w:rsidP="00085B86">
            <w:pPr>
              <w:jc w:val="right"/>
              <w:rPr>
                <w:rFonts w:ascii="CAIXA Std Book" w:eastAsia="Times New Roman" w:hAnsi="CAIXA Std Book" w:cs="Arial"/>
                <w:b/>
                <w:bCs/>
                <w:color w:val="005CA9"/>
                <w:sz w:val="18"/>
                <w:szCs w:val="18"/>
              </w:rPr>
            </w:pPr>
            <w:r w:rsidRPr="00CB214B">
              <w:rPr>
                <w:rFonts w:ascii="CAIXA Std Book" w:eastAsia="Times New Roman" w:hAnsi="CAIXA Std Book" w:cs="Arial"/>
                <w:b/>
                <w:bCs/>
                <w:color w:val="005CA9"/>
                <w:sz w:val="18"/>
                <w:szCs w:val="18"/>
              </w:rPr>
              <w:t>714.074.077</w:t>
            </w:r>
          </w:p>
        </w:tc>
      </w:tr>
      <w:tr w:rsidR="00085B86" w:rsidRPr="00BE1A58" w14:paraId="5FB7B1C4" w14:textId="77777777" w:rsidTr="00CB5F7F">
        <w:trPr>
          <w:trHeight w:val="283"/>
        </w:trPr>
        <w:tc>
          <w:tcPr>
            <w:tcW w:w="1450" w:type="pct"/>
            <w:tcBorders>
              <w:top w:val="nil"/>
              <w:left w:val="nil"/>
              <w:bottom w:val="nil"/>
              <w:right w:val="nil"/>
            </w:tcBorders>
            <w:shd w:val="clear" w:color="auto" w:fill="auto"/>
            <w:vAlign w:val="center"/>
            <w:hideMark/>
          </w:tcPr>
          <w:p w14:paraId="25082EA7" w14:textId="77777777"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Passivo circulante</w:t>
            </w:r>
          </w:p>
        </w:tc>
        <w:tc>
          <w:tcPr>
            <w:tcW w:w="531" w:type="pct"/>
            <w:tcBorders>
              <w:top w:val="nil"/>
              <w:left w:val="nil"/>
              <w:bottom w:val="nil"/>
              <w:right w:val="nil"/>
            </w:tcBorders>
            <w:shd w:val="clear" w:color="auto" w:fill="auto"/>
            <w:noWrap/>
            <w:vAlign w:val="center"/>
            <w:hideMark/>
          </w:tcPr>
          <w:p w14:paraId="45F279F6" w14:textId="77777777" w:rsidR="00085B86" w:rsidRPr="00CB214B" w:rsidRDefault="00085B86" w:rsidP="00085B86">
            <w:pPr>
              <w:jc w:val="right"/>
              <w:rPr>
                <w:rFonts w:ascii="CAIXA Std Book" w:eastAsia="Times New Roman" w:hAnsi="CAIXA Std Book" w:cs="Arial"/>
                <w:color w:val="005CA9"/>
                <w:sz w:val="18"/>
                <w:szCs w:val="18"/>
              </w:rPr>
            </w:pPr>
          </w:p>
        </w:tc>
        <w:tc>
          <w:tcPr>
            <w:tcW w:w="380" w:type="pct"/>
            <w:tcBorders>
              <w:top w:val="nil"/>
              <w:left w:val="nil"/>
              <w:bottom w:val="nil"/>
              <w:right w:val="nil"/>
            </w:tcBorders>
            <w:shd w:val="clear" w:color="auto" w:fill="auto"/>
            <w:noWrap/>
            <w:vAlign w:val="center"/>
            <w:hideMark/>
          </w:tcPr>
          <w:p w14:paraId="023D9C2D" w14:textId="77777777" w:rsidR="00085B86" w:rsidRPr="00616EE1" w:rsidRDefault="00085B86" w:rsidP="00085B86">
            <w:pPr>
              <w:jc w:val="right"/>
              <w:rPr>
                <w:rFonts w:ascii="CAIXA Std Book" w:eastAsia="Times New Roman" w:hAnsi="CAIXA Std Book" w:cs="Times New Roman"/>
                <w:color w:val="005CA9"/>
                <w:sz w:val="20"/>
                <w:szCs w:val="20"/>
              </w:rPr>
            </w:pPr>
          </w:p>
        </w:tc>
        <w:tc>
          <w:tcPr>
            <w:tcW w:w="438" w:type="pct"/>
            <w:tcBorders>
              <w:top w:val="nil"/>
              <w:left w:val="nil"/>
              <w:bottom w:val="nil"/>
              <w:right w:val="nil"/>
            </w:tcBorders>
            <w:shd w:val="clear" w:color="auto" w:fill="auto"/>
            <w:vAlign w:val="center"/>
            <w:hideMark/>
          </w:tcPr>
          <w:p w14:paraId="109D1A9B" w14:textId="77777777" w:rsidR="00085B86" w:rsidRPr="00616EE1" w:rsidRDefault="00085B86" w:rsidP="00085B86">
            <w:pPr>
              <w:jc w:val="right"/>
              <w:rPr>
                <w:rFonts w:ascii="CAIXA Std Book" w:eastAsia="Times New Roman" w:hAnsi="CAIXA Std Book" w:cs="Times New Roman"/>
                <w:color w:val="005CA9"/>
                <w:sz w:val="20"/>
                <w:szCs w:val="20"/>
              </w:rPr>
            </w:pPr>
          </w:p>
        </w:tc>
        <w:tc>
          <w:tcPr>
            <w:tcW w:w="462" w:type="pct"/>
            <w:tcBorders>
              <w:top w:val="nil"/>
              <w:left w:val="nil"/>
              <w:bottom w:val="nil"/>
              <w:right w:val="nil"/>
            </w:tcBorders>
            <w:shd w:val="clear" w:color="auto" w:fill="auto"/>
            <w:vAlign w:val="center"/>
            <w:hideMark/>
          </w:tcPr>
          <w:p w14:paraId="76125EE2" w14:textId="77777777" w:rsidR="00085B86" w:rsidRPr="00616EE1" w:rsidRDefault="00085B86" w:rsidP="00085B86">
            <w:pPr>
              <w:jc w:val="right"/>
              <w:rPr>
                <w:rFonts w:ascii="CAIXA Std Book" w:eastAsia="Times New Roman" w:hAnsi="CAIXA Std Book" w:cs="Times New Roman"/>
                <w:color w:val="005CA9"/>
                <w:sz w:val="20"/>
                <w:szCs w:val="20"/>
              </w:rPr>
            </w:pPr>
          </w:p>
        </w:tc>
        <w:tc>
          <w:tcPr>
            <w:tcW w:w="435" w:type="pct"/>
            <w:tcBorders>
              <w:top w:val="nil"/>
              <w:left w:val="nil"/>
              <w:bottom w:val="nil"/>
              <w:right w:val="nil"/>
            </w:tcBorders>
            <w:shd w:val="clear" w:color="auto" w:fill="auto"/>
            <w:noWrap/>
            <w:vAlign w:val="center"/>
            <w:hideMark/>
          </w:tcPr>
          <w:p w14:paraId="39CF0C3F" w14:textId="77777777"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597.269.940</w:t>
            </w:r>
          </w:p>
        </w:tc>
        <w:tc>
          <w:tcPr>
            <w:tcW w:w="435" w:type="pct"/>
            <w:tcBorders>
              <w:top w:val="nil"/>
              <w:left w:val="nil"/>
              <w:bottom w:val="nil"/>
              <w:right w:val="nil"/>
            </w:tcBorders>
            <w:shd w:val="clear" w:color="auto" w:fill="auto"/>
            <w:noWrap/>
            <w:vAlign w:val="center"/>
            <w:hideMark/>
          </w:tcPr>
          <w:p w14:paraId="5715A860" w14:textId="6A41ECEE" w:rsidR="00085B86" w:rsidRPr="00CB214B" w:rsidRDefault="00085B86" w:rsidP="00085B86">
            <w:pPr>
              <w:jc w:val="right"/>
              <w:rPr>
                <w:rFonts w:ascii="CAIXA Std Book" w:eastAsia="Times New Roman" w:hAnsi="CAIXA Std Book" w:cs="Arial"/>
                <w:color w:val="005CA9"/>
                <w:sz w:val="18"/>
                <w:szCs w:val="18"/>
              </w:rPr>
            </w:pPr>
            <w:r w:rsidRPr="00D564F5">
              <w:rPr>
                <w:rFonts w:ascii="CAIXA Std Book" w:eastAsia="Times New Roman" w:hAnsi="CAIXA Std Book" w:cs="Arial"/>
                <w:color w:val="005CA9"/>
                <w:sz w:val="18"/>
                <w:szCs w:val="18"/>
              </w:rPr>
              <w:t>619.101.241</w:t>
            </w:r>
          </w:p>
        </w:tc>
        <w:tc>
          <w:tcPr>
            <w:tcW w:w="435" w:type="pct"/>
            <w:tcBorders>
              <w:top w:val="nil"/>
              <w:left w:val="nil"/>
              <w:bottom w:val="nil"/>
              <w:right w:val="nil"/>
            </w:tcBorders>
            <w:shd w:val="clear" w:color="auto" w:fill="auto"/>
            <w:noWrap/>
            <w:vAlign w:val="center"/>
          </w:tcPr>
          <w:p w14:paraId="74E93C65" w14:textId="32DA304B"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597.266.224</w:t>
            </w:r>
          </w:p>
        </w:tc>
        <w:tc>
          <w:tcPr>
            <w:tcW w:w="434" w:type="pct"/>
            <w:tcBorders>
              <w:top w:val="nil"/>
              <w:left w:val="nil"/>
              <w:bottom w:val="nil"/>
              <w:right w:val="nil"/>
            </w:tcBorders>
            <w:shd w:val="clear" w:color="auto" w:fill="auto"/>
            <w:vAlign w:val="center"/>
            <w:hideMark/>
          </w:tcPr>
          <w:p w14:paraId="32BEE082" w14:textId="2277D5A7" w:rsidR="00085B86" w:rsidRPr="00CB214B" w:rsidRDefault="00085B86" w:rsidP="00085B86">
            <w:pPr>
              <w:jc w:val="right"/>
              <w:rPr>
                <w:rFonts w:ascii="CAIXA Std Book" w:eastAsia="Times New Roman" w:hAnsi="CAIXA Std Book" w:cs="Arial"/>
                <w:color w:val="005CA9"/>
                <w:sz w:val="18"/>
                <w:szCs w:val="18"/>
              </w:rPr>
            </w:pPr>
            <w:r w:rsidRPr="00D564F5">
              <w:rPr>
                <w:rFonts w:ascii="CAIXA Std Book" w:eastAsia="Times New Roman" w:hAnsi="CAIXA Std Book" w:cs="Arial"/>
                <w:color w:val="005CA9"/>
                <w:sz w:val="18"/>
                <w:szCs w:val="18"/>
              </w:rPr>
              <w:t>619.100.859</w:t>
            </w:r>
          </w:p>
        </w:tc>
      </w:tr>
      <w:tr w:rsidR="00085B86" w:rsidRPr="00BE1A58" w14:paraId="6C2065B0" w14:textId="77777777" w:rsidTr="00CB5F7F">
        <w:trPr>
          <w:trHeight w:val="283"/>
        </w:trPr>
        <w:tc>
          <w:tcPr>
            <w:tcW w:w="1450" w:type="pct"/>
            <w:tcBorders>
              <w:top w:val="nil"/>
              <w:left w:val="nil"/>
              <w:bottom w:val="single" w:sz="4" w:space="0" w:color="F39200"/>
              <w:right w:val="nil"/>
            </w:tcBorders>
            <w:shd w:val="clear" w:color="auto" w:fill="auto"/>
            <w:vAlign w:val="center"/>
            <w:hideMark/>
          </w:tcPr>
          <w:p w14:paraId="252BA48A" w14:textId="77777777" w:rsidR="00085B86" w:rsidRPr="00CB214B" w:rsidRDefault="00085B86" w:rsidP="00085B86">
            <w:pPr>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Passivo não circulante</w:t>
            </w:r>
          </w:p>
        </w:tc>
        <w:tc>
          <w:tcPr>
            <w:tcW w:w="531" w:type="pct"/>
            <w:tcBorders>
              <w:top w:val="nil"/>
              <w:left w:val="nil"/>
              <w:bottom w:val="single" w:sz="4" w:space="0" w:color="F39200"/>
              <w:right w:val="nil"/>
            </w:tcBorders>
            <w:shd w:val="clear" w:color="auto" w:fill="auto"/>
            <w:noWrap/>
            <w:vAlign w:val="center"/>
            <w:hideMark/>
          </w:tcPr>
          <w:p w14:paraId="16541109" w14:textId="28EB3E18" w:rsidR="00085B86" w:rsidRPr="00CB214B" w:rsidRDefault="00085B86" w:rsidP="00085B86">
            <w:pPr>
              <w:jc w:val="right"/>
              <w:rPr>
                <w:rFonts w:ascii="CAIXA Std Book" w:eastAsia="Times New Roman" w:hAnsi="CAIXA Std Book" w:cs="Arial"/>
                <w:b/>
                <w:bCs/>
                <w:color w:val="005CA9"/>
                <w:sz w:val="18"/>
                <w:szCs w:val="18"/>
              </w:rPr>
            </w:pPr>
          </w:p>
        </w:tc>
        <w:tc>
          <w:tcPr>
            <w:tcW w:w="380" w:type="pct"/>
            <w:tcBorders>
              <w:top w:val="nil"/>
              <w:left w:val="nil"/>
              <w:bottom w:val="single" w:sz="4" w:space="0" w:color="F39200"/>
              <w:right w:val="nil"/>
            </w:tcBorders>
            <w:shd w:val="clear" w:color="auto" w:fill="auto"/>
            <w:noWrap/>
            <w:vAlign w:val="center"/>
            <w:hideMark/>
          </w:tcPr>
          <w:p w14:paraId="321E4403" w14:textId="63B9F184" w:rsidR="00085B86" w:rsidRPr="00CB214B" w:rsidRDefault="00085B86" w:rsidP="00085B86">
            <w:pPr>
              <w:jc w:val="right"/>
              <w:rPr>
                <w:rFonts w:ascii="CAIXA Std Book" w:eastAsia="Times New Roman" w:hAnsi="CAIXA Std Book" w:cs="Arial"/>
                <w:b/>
                <w:bCs/>
                <w:color w:val="005CA9"/>
                <w:sz w:val="18"/>
                <w:szCs w:val="18"/>
              </w:rPr>
            </w:pPr>
          </w:p>
        </w:tc>
        <w:tc>
          <w:tcPr>
            <w:tcW w:w="438" w:type="pct"/>
            <w:tcBorders>
              <w:top w:val="nil"/>
              <w:left w:val="nil"/>
              <w:bottom w:val="single" w:sz="4" w:space="0" w:color="F39200"/>
              <w:right w:val="nil"/>
            </w:tcBorders>
            <w:shd w:val="clear" w:color="auto" w:fill="auto"/>
            <w:vAlign w:val="center"/>
            <w:hideMark/>
          </w:tcPr>
          <w:p w14:paraId="4E23F457" w14:textId="6F733AC7" w:rsidR="00085B86" w:rsidRPr="00CB214B" w:rsidRDefault="00085B86" w:rsidP="00085B86">
            <w:pPr>
              <w:jc w:val="right"/>
              <w:rPr>
                <w:rFonts w:ascii="CAIXA Std Book" w:eastAsia="Times New Roman" w:hAnsi="CAIXA Std Book" w:cs="Arial"/>
                <w:b/>
                <w:bCs/>
                <w:color w:val="005CA9"/>
                <w:sz w:val="18"/>
                <w:szCs w:val="18"/>
              </w:rPr>
            </w:pPr>
          </w:p>
        </w:tc>
        <w:tc>
          <w:tcPr>
            <w:tcW w:w="462" w:type="pct"/>
            <w:tcBorders>
              <w:top w:val="nil"/>
              <w:left w:val="nil"/>
              <w:bottom w:val="single" w:sz="4" w:space="0" w:color="F39200"/>
              <w:right w:val="nil"/>
            </w:tcBorders>
            <w:shd w:val="clear" w:color="auto" w:fill="auto"/>
            <w:vAlign w:val="center"/>
            <w:hideMark/>
          </w:tcPr>
          <w:p w14:paraId="546191DC" w14:textId="32A2DEBA" w:rsidR="00085B86" w:rsidRPr="00CB214B" w:rsidRDefault="00085B86" w:rsidP="00085B86">
            <w:pPr>
              <w:jc w:val="right"/>
              <w:rPr>
                <w:rFonts w:ascii="CAIXA Std Book" w:eastAsia="Times New Roman" w:hAnsi="CAIXA Std Book" w:cs="Arial"/>
                <w:b/>
                <w:bCs/>
                <w:color w:val="005CA9"/>
                <w:sz w:val="18"/>
                <w:szCs w:val="18"/>
              </w:rPr>
            </w:pPr>
          </w:p>
        </w:tc>
        <w:tc>
          <w:tcPr>
            <w:tcW w:w="435" w:type="pct"/>
            <w:tcBorders>
              <w:top w:val="nil"/>
              <w:left w:val="nil"/>
              <w:bottom w:val="single" w:sz="4" w:space="0" w:color="F39200"/>
              <w:right w:val="nil"/>
            </w:tcBorders>
            <w:shd w:val="clear" w:color="auto" w:fill="auto"/>
            <w:noWrap/>
            <w:vAlign w:val="center"/>
            <w:hideMark/>
          </w:tcPr>
          <w:p w14:paraId="3E25801C" w14:textId="77777777" w:rsidR="00085B86" w:rsidRPr="00CB214B" w:rsidRDefault="00085B86" w:rsidP="00085B86">
            <w:pPr>
              <w:jc w:val="right"/>
              <w:rPr>
                <w:rFonts w:ascii="CAIXA Std Book" w:eastAsia="Times New Roman" w:hAnsi="CAIXA Std Book" w:cs="Arial"/>
                <w:color w:val="005CA9"/>
                <w:sz w:val="18"/>
                <w:szCs w:val="18"/>
              </w:rPr>
            </w:pPr>
            <w:r w:rsidRPr="00CB214B">
              <w:rPr>
                <w:rFonts w:ascii="CAIXA Std Book" w:eastAsia="Times New Roman" w:hAnsi="CAIXA Std Book" w:cs="Arial"/>
                <w:color w:val="005CA9"/>
                <w:sz w:val="18"/>
                <w:szCs w:val="18"/>
              </w:rPr>
              <w:t>108.342.901</w:t>
            </w:r>
          </w:p>
        </w:tc>
        <w:tc>
          <w:tcPr>
            <w:tcW w:w="435" w:type="pct"/>
            <w:tcBorders>
              <w:top w:val="nil"/>
              <w:left w:val="nil"/>
              <w:bottom w:val="single" w:sz="4" w:space="0" w:color="F39200"/>
              <w:right w:val="nil"/>
            </w:tcBorders>
            <w:shd w:val="clear" w:color="auto" w:fill="auto"/>
            <w:noWrap/>
            <w:vAlign w:val="center"/>
            <w:hideMark/>
          </w:tcPr>
          <w:p w14:paraId="3FB08E2F" w14:textId="5CC75636" w:rsidR="00085B86" w:rsidRPr="00CB214B" w:rsidRDefault="00085B86" w:rsidP="00085B86">
            <w:pPr>
              <w:jc w:val="right"/>
              <w:rPr>
                <w:rFonts w:ascii="CAIXA Std Book" w:eastAsia="Times New Roman" w:hAnsi="CAIXA Std Book" w:cs="Arial"/>
                <w:color w:val="005CA9"/>
                <w:sz w:val="18"/>
                <w:szCs w:val="18"/>
              </w:rPr>
            </w:pPr>
            <w:r w:rsidRPr="00D564F5">
              <w:rPr>
                <w:rFonts w:ascii="CAIXA Std Book" w:eastAsia="Times New Roman" w:hAnsi="CAIXA Std Book" w:cs="Arial"/>
                <w:color w:val="005CA9"/>
                <w:sz w:val="18"/>
                <w:szCs w:val="18"/>
              </w:rPr>
              <w:t>94.973.218</w:t>
            </w:r>
          </w:p>
        </w:tc>
        <w:tc>
          <w:tcPr>
            <w:tcW w:w="435" w:type="pct"/>
            <w:tcBorders>
              <w:top w:val="nil"/>
              <w:left w:val="nil"/>
              <w:bottom w:val="single" w:sz="4" w:space="0" w:color="F39200"/>
              <w:right w:val="nil"/>
            </w:tcBorders>
            <w:shd w:val="clear" w:color="auto" w:fill="auto"/>
            <w:noWrap/>
            <w:vAlign w:val="center"/>
          </w:tcPr>
          <w:p w14:paraId="734B7D02" w14:textId="777B6B0F" w:rsidR="00085B86" w:rsidRPr="00CB214B" w:rsidRDefault="00085B86" w:rsidP="00085B8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108.342.901</w:t>
            </w:r>
          </w:p>
        </w:tc>
        <w:tc>
          <w:tcPr>
            <w:tcW w:w="434" w:type="pct"/>
            <w:tcBorders>
              <w:top w:val="nil"/>
              <w:left w:val="nil"/>
              <w:bottom w:val="single" w:sz="4" w:space="0" w:color="F39200"/>
              <w:right w:val="nil"/>
            </w:tcBorders>
            <w:shd w:val="clear" w:color="auto" w:fill="auto"/>
            <w:noWrap/>
            <w:vAlign w:val="center"/>
            <w:hideMark/>
          </w:tcPr>
          <w:p w14:paraId="3207B10F" w14:textId="06FED1FE" w:rsidR="00085B86" w:rsidRPr="00CB214B" w:rsidRDefault="00085B86" w:rsidP="00085B86">
            <w:pPr>
              <w:jc w:val="right"/>
              <w:rPr>
                <w:rFonts w:ascii="CAIXA Std Book" w:eastAsia="Times New Roman" w:hAnsi="CAIXA Std Book" w:cs="Arial"/>
                <w:color w:val="005CA9"/>
                <w:sz w:val="18"/>
                <w:szCs w:val="18"/>
              </w:rPr>
            </w:pPr>
            <w:r w:rsidRPr="00D564F5">
              <w:rPr>
                <w:rFonts w:ascii="CAIXA Std Book" w:eastAsia="Times New Roman" w:hAnsi="CAIXA Std Book" w:cs="Arial"/>
                <w:color w:val="005CA9"/>
                <w:sz w:val="18"/>
                <w:szCs w:val="18"/>
              </w:rPr>
              <w:t>94.973.218</w:t>
            </w:r>
          </w:p>
        </w:tc>
      </w:tr>
    </w:tbl>
    <w:p w14:paraId="2DFB1CF0" w14:textId="2FFC343C" w:rsidR="00180C61" w:rsidRPr="00E62FB1" w:rsidRDefault="00180C61" w:rsidP="00F53970">
      <w:pPr>
        <w:jc w:val="both"/>
        <w:rPr>
          <w:rFonts w:ascii="CAIXA Std Book" w:hAnsi="CAIXA Std Book"/>
          <w:color w:val="005CA9"/>
          <w:sz w:val="16"/>
          <w:szCs w:val="16"/>
        </w:rPr>
      </w:pPr>
      <w:r w:rsidRPr="00E62FB1">
        <w:rPr>
          <w:rFonts w:ascii="CAIXA Std Book" w:hAnsi="CAIXA Std Book"/>
          <w:color w:val="005CA9"/>
          <w:sz w:val="16"/>
          <w:szCs w:val="16"/>
        </w:rPr>
        <w:t xml:space="preserve">(1) Inclui depósitos do FAR (Fundo de Arrendamento Residencial) no montante de R$ </w:t>
      </w:r>
      <w:r w:rsidR="00827679" w:rsidRPr="00E62FB1">
        <w:rPr>
          <w:rFonts w:ascii="CAIXA Std Book" w:hAnsi="CAIXA Std Book"/>
          <w:color w:val="005CA9"/>
          <w:sz w:val="16"/>
          <w:szCs w:val="16"/>
        </w:rPr>
        <w:t>8.936.759</w:t>
      </w:r>
      <w:r w:rsidRPr="00E62FB1">
        <w:rPr>
          <w:rFonts w:ascii="CAIXA Std Book" w:hAnsi="CAIXA Std Book"/>
          <w:color w:val="005CA9"/>
          <w:sz w:val="16"/>
          <w:szCs w:val="16"/>
        </w:rPr>
        <w:t xml:space="preserve"> (31/12/202</w:t>
      </w:r>
      <w:r w:rsidR="00827679" w:rsidRPr="00E62FB1">
        <w:rPr>
          <w:rFonts w:ascii="CAIXA Std Book" w:hAnsi="CAIXA Std Book"/>
          <w:color w:val="005CA9"/>
          <w:sz w:val="16"/>
          <w:szCs w:val="16"/>
        </w:rPr>
        <w:t>3</w:t>
      </w:r>
      <w:r w:rsidRPr="00E62FB1">
        <w:rPr>
          <w:rFonts w:ascii="CAIXA Std Book" w:hAnsi="CAIXA Std Book"/>
          <w:color w:val="005CA9"/>
          <w:sz w:val="16"/>
          <w:szCs w:val="16"/>
        </w:rPr>
        <w:t xml:space="preserve"> – R$ </w:t>
      </w:r>
      <w:r w:rsidR="008241B3" w:rsidRPr="00E62FB1">
        <w:rPr>
          <w:rFonts w:ascii="CAIXA Std Book" w:hAnsi="CAIXA Std Book"/>
          <w:color w:val="005CA9"/>
          <w:sz w:val="16"/>
          <w:szCs w:val="16"/>
        </w:rPr>
        <w:t>7.754.634</w:t>
      </w:r>
      <w:r w:rsidRPr="00E62FB1">
        <w:rPr>
          <w:rFonts w:ascii="CAIXA Std Book" w:hAnsi="CAIXA Std Book"/>
          <w:color w:val="005CA9"/>
          <w:sz w:val="16"/>
          <w:szCs w:val="16"/>
        </w:rPr>
        <w:t>)</w:t>
      </w:r>
      <w:r w:rsidR="00827679" w:rsidRPr="00E62FB1">
        <w:rPr>
          <w:rFonts w:ascii="CAIXA Std Book" w:hAnsi="CAIXA Std Book"/>
          <w:color w:val="005CA9"/>
          <w:sz w:val="16"/>
          <w:szCs w:val="16"/>
        </w:rPr>
        <w:t xml:space="preserve">; </w:t>
      </w:r>
      <w:r w:rsidR="00820A3F" w:rsidRPr="00E62FB1">
        <w:rPr>
          <w:rFonts w:ascii="CAIXA Std Book" w:hAnsi="CAIXA Std Book"/>
          <w:color w:val="005CA9"/>
          <w:sz w:val="16"/>
          <w:szCs w:val="16"/>
        </w:rPr>
        <w:t xml:space="preserve">FIPEM (Fundo de </w:t>
      </w:r>
      <w:r w:rsidR="00F621C7" w:rsidRPr="00E62FB1">
        <w:rPr>
          <w:rFonts w:ascii="CAIXA Std Book" w:hAnsi="CAIXA Std Book"/>
          <w:color w:val="005CA9"/>
          <w:sz w:val="16"/>
          <w:szCs w:val="16"/>
        </w:rPr>
        <w:t xml:space="preserve">Custeio do Ensino Médio) </w:t>
      </w:r>
      <w:r w:rsidR="00261872" w:rsidRPr="00E62FB1">
        <w:rPr>
          <w:rFonts w:ascii="CAIXA Std Book" w:hAnsi="CAIXA Std Book"/>
          <w:color w:val="005CA9"/>
          <w:sz w:val="16"/>
          <w:szCs w:val="16"/>
        </w:rPr>
        <w:t xml:space="preserve">no valor de R$ </w:t>
      </w:r>
      <w:r w:rsidR="00D325B2" w:rsidRPr="00E62FB1">
        <w:rPr>
          <w:rFonts w:ascii="CAIXA Std Book" w:hAnsi="CAIXA Std Book"/>
          <w:color w:val="005CA9"/>
          <w:sz w:val="16"/>
          <w:szCs w:val="16"/>
        </w:rPr>
        <w:t>5.774.236</w:t>
      </w:r>
      <w:r w:rsidR="00B02BFC" w:rsidRPr="00E62FB1">
        <w:rPr>
          <w:rFonts w:ascii="CAIXA Std Book" w:hAnsi="CAIXA Std Book"/>
          <w:color w:val="005CA9"/>
          <w:sz w:val="16"/>
          <w:szCs w:val="16"/>
        </w:rPr>
        <w:t xml:space="preserve"> (31/12/2023 – R$ </w:t>
      </w:r>
      <w:r w:rsidR="007B6F76" w:rsidRPr="00E62FB1">
        <w:rPr>
          <w:rFonts w:ascii="CAIXA Std Book" w:hAnsi="CAIXA Std Book"/>
          <w:color w:val="005CA9"/>
          <w:sz w:val="16"/>
          <w:szCs w:val="16"/>
        </w:rPr>
        <w:t xml:space="preserve">6.100.000); e </w:t>
      </w:r>
      <w:r w:rsidR="00827679" w:rsidRPr="00E62FB1">
        <w:rPr>
          <w:rFonts w:ascii="CAIXA Std Book" w:hAnsi="CAIXA Std Book"/>
          <w:color w:val="005CA9"/>
          <w:sz w:val="16"/>
          <w:szCs w:val="16"/>
        </w:rPr>
        <w:t>FGTS no montante de R$ 4.</w:t>
      </w:r>
      <w:r w:rsidR="00820A3F" w:rsidRPr="00E62FB1">
        <w:rPr>
          <w:rFonts w:ascii="CAIXA Std Book" w:hAnsi="CAIXA Std Book"/>
          <w:color w:val="005CA9"/>
          <w:sz w:val="16"/>
          <w:szCs w:val="16"/>
        </w:rPr>
        <w:t>507.316</w:t>
      </w:r>
      <w:r w:rsidR="00827679" w:rsidRPr="00E62FB1">
        <w:rPr>
          <w:rFonts w:ascii="CAIXA Std Book" w:hAnsi="CAIXA Std Book"/>
          <w:color w:val="005CA9"/>
          <w:sz w:val="16"/>
          <w:szCs w:val="16"/>
        </w:rPr>
        <w:t xml:space="preserve"> (31/12/202</w:t>
      </w:r>
      <w:r w:rsidR="00820A3F" w:rsidRPr="00E62FB1">
        <w:rPr>
          <w:rFonts w:ascii="CAIXA Std Book" w:hAnsi="CAIXA Std Book"/>
          <w:color w:val="005CA9"/>
          <w:sz w:val="16"/>
          <w:szCs w:val="16"/>
        </w:rPr>
        <w:t>3</w:t>
      </w:r>
      <w:r w:rsidR="00827679" w:rsidRPr="00E62FB1">
        <w:rPr>
          <w:rFonts w:ascii="CAIXA Std Book" w:hAnsi="CAIXA Std Book"/>
          <w:color w:val="005CA9"/>
          <w:sz w:val="16"/>
          <w:szCs w:val="16"/>
        </w:rPr>
        <w:t xml:space="preserve"> – R$ </w:t>
      </w:r>
      <w:r w:rsidR="00820A3F" w:rsidRPr="00E62FB1">
        <w:rPr>
          <w:rFonts w:ascii="CAIXA Std Book" w:hAnsi="CAIXA Std Book"/>
          <w:color w:val="005CA9"/>
          <w:sz w:val="16"/>
          <w:szCs w:val="16"/>
        </w:rPr>
        <w:t>5.794.215</w:t>
      </w:r>
      <w:r w:rsidR="00827679" w:rsidRPr="00E62FB1">
        <w:rPr>
          <w:rFonts w:ascii="CAIXA Std Book" w:hAnsi="CAIXA Std Book"/>
          <w:color w:val="005CA9"/>
          <w:sz w:val="16"/>
          <w:szCs w:val="16"/>
        </w:rPr>
        <w:t>)</w:t>
      </w:r>
      <w:r w:rsidR="00820A3F" w:rsidRPr="00E62FB1">
        <w:rPr>
          <w:rFonts w:ascii="CAIXA Std Book" w:hAnsi="CAIXA Std Book"/>
          <w:color w:val="005CA9"/>
          <w:sz w:val="16"/>
          <w:szCs w:val="16"/>
        </w:rPr>
        <w:t>.</w:t>
      </w:r>
    </w:p>
    <w:p w14:paraId="27AEFDF7" w14:textId="77777777" w:rsidR="00B8509C" w:rsidRPr="00FF4346" w:rsidRDefault="00B8509C" w:rsidP="00B37B40">
      <w:pPr>
        <w:pStyle w:val="PargrafodaLista"/>
        <w:keepNext/>
        <w:numPr>
          <w:ilvl w:val="1"/>
          <w:numId w:val="11"/>
        </w:numPr>
        <w:spacing w:before="360" w:after="240"/>
        <w:contextualSpacing w:val="0"/>
        <w:jc w:val="both"/>
        <w:rPr>
          <w:rFonts w:ascii="CAIXA Std Book" w:hAnsi="CAIXA Std Book"/>
          <w:b/>
          <w:color w:val="005CA9"/>
          <w:sz w:val="20"/>
          <w:szCs w:val="20"/>
        </w:rPr>
      </w:pPr>
      <w:r w:rsidRPr="00FF4346">
        <w:rPr>
          <w:rFonts w:ascii="CAIXA Std Book" w:hAnsi="CAIXA Std Book"/>
          <w:b/>
          <w:color w:val="005CA9"/>
          <w:sz w:val="20"/>
          <w:szCs w:val="20"/>
        </w:rPr>
        <w:t>Despesas com recursos de clientes</w:t>
      </w:r>
    </w:p>
    <w:tbl>
      <w:tblPr>
        <w:tblW w:w="4994" w:type="pct"/>
        <w:tblCellMar>
          <w:left w:w="0" w:type="dxa"/>
          <w:right w:w="0" w:type="dxa"/>
        </w:tblCellMar>
        <w:tblLook w:val="04A0" w:firstRow="1" w:lastRow="0" w:firstColumn="1" w:lastColumn="0" w:noHBand="0" w:noVBand="1"/>
      </w:tblPr>
      <w:tblGrid>
        <w:gridCol w:w="8505"/>
        <w:gridCol w:w="1511"/>
        <w:gridCol w:w="1499"/>
        <w:gridCol w:w="1479"/>
        <w:gridCol w:w="1560"/>
      </w:tblGrid>
      <w:tr w:rsidR="00B8509C" w:rsidRPr="00A33766" w14:paraId="2040DC7E" w14:textId="77777777" w:rsidTr="008E1FCA">
        <w:trPr>
          <w:trHeight w:val="283"/>
        </w:trPr>
        <w:tc>
          <w:tcPr>
            <w:tcW w:w="2922" w:type="pct"/>
            <w:vMerge w:val="restart"/>
            <w:tcBorders>
              <w:top w:val="single" w:sz="4" w:space="0" w:color="F39200"/>
              <w:left w:val="nil"/>
              <w:bottom w:val="single" w:sz="4" w:space="0" w:color="F39200"/>
              <w:right w:val="nil"/>
            </w:tcBorders>
            <w:shd w:val="clear" w:color="auto" w:fill="auto"/>
            <w:vAlign w:val="center"/>
            <w:hideMark/>
          </w:tcPr>
          <w:p w14:paraId="7F51A320"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Descrição</w:t>
            </w:r>
          </w:p>
        </w:tc>
        <w:tc>
          <w:tcPr>
            <w:tcW w:w="1034" w:type="pct"/>
            <w:gridSpan w:val="2"/>
            <w:tcBorders>
              <w:top w:val="single" w:sz="4" w:space="0" w:color="F39200"/>
              <w:left w:val="nil"/>
              <w:bottom w:val="single" w:sz="4" w:space="0" w:color="F39200"/>
              <w:right w:val="nil"/>
            </w:tcBorders>
            <w:shd w:val="clear" w:color="auto" w:fill="auto"/>
            <w:vAlign w:val="center"/>
            <w:hideMark/>
          </w:tcPr>
          <w:p w14:paraId="79EBFDE1"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INDIVIDUAL</w:t>
            </w:r>
          </w:p>
        </w:tc>
        <w:tc>
          <w:tcPr>
            <w:tcW w:w="1044" w:type="pct"/>
            <w:gridSpan w:val="2"/>
            <w:tcBorders>
              <w:top w:val="single" w:sz="4" w:space="0" w:color="F39200"/>
              <w:left w:val="nil"/>
              <w:bottom w:val="single" w:sz="4" w:space="0" w:color="F39200"/>
              <w:right w:val="nil"/>
            </w:tcBorders>
            <w:shd w:val="clear" w:color="auto" w:fill="auto"/>
            <w:vAlign w:val="center"/>
            <w:hideMark/>
          </w:tcPr>
          <w:p w14:paraId="6D77994C"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CONSOLIDADO</w:t>
            </w:r>
          </w:p>
        </w:tc>
      </w:tr>
      <w:tr w:rsidR="00B8509C" w:rsidRPr="00A33766" w14:paraId="1A6D46F9" w14:textId="77777777" w:rsidTr="008E1FCA">
        <w:trPr>
          <w:trHeight w:val="283"/>
        </w:trPr>
        <w:tc>
          <w:tcPr>
            <w:tcW w:w="2922" w:type="pct"/>
            <w:vMerge/>
            <w:tcBorders>
              <w:top w:val="single" w:sz="4" w:space="0" w:color="F39200"/>
              <w:left w:val="nil"/>
              <w:bottom w:val="single" w:sz="4" w:space="0" w:color="F39200"/>
              <w:right w:val="nil"/>
            </w:tcBorders>
            <w:vAlign w:val="center"/>
            <w:hideMark/>
          </w:tcPr>
          <w:p w14:paraId="73578631" w14:textId="77777777" w:rsidR="00B8509C" w:rsidRPr="00A33766" w:rsidRDefault="00B8509C">
            <w:pPr>
              <w:rPr>
                <w:rFonts w:ascii="CAIXA Std Book" w:hAnsi="CAIXA Std Book" w:cs="Arial"/>
                <w:b/>
                <w:color w:val="005CA9"/>
                <w:sz w:val="18"/>
                <w:szCs w:val="18"/>
              </w:rPr>
            </w:pPr>
          </w:p>
        </w:tc>
        <w:tc>
          <w:tcPr>
            <w:tcW w:w="519" w:type="pct"/>
            <w:tcBorders>
              <w:top w:val="nil"/>
              <w:left w:val="nil"/>
              <w:bottom w:val="single" w:sz="4" w:space="0" w:color="F39200"/>
              <w:right w:val="nil"/>
            </w:tcBorders>
            <w:shd w:val="clear" w:color="auto" w:fill="auto"/>
            <w:vAlign w:val="center"/>
            <w:hideMark/>
          </w:tcPr>
          <w:p w14:paraId="7FC3FD62"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2024</w:t>
            </w:r>
          </w:p>
        </w:tc>
        <w:tc>
          <w:tcPr>
            <w:tcW w:w="515" w:type="pct"/>
            <w:tcBorders>
              <w:top w:val="nil"/>
              <w:left w:val="nil"/>
              <w:bottom w:val="single" w:sz="4" w:space="0" w:color="F39200"/>
              <w:right w:val="nil"/>
            </w:tcBorders>
            <w:shd w:val="clear" w:color="auto" w:fill="auto"/>
            <w:vAlign w:val="center"/>
            <w:hideMark/>
          </w:tcPr>
          <w:p w14:paraId="1CDC94E9"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2023</w:t>
            </w:r>
          </w:p>
        </w:tc>
        <w:tc>
          <w:tcPr>
            <w:tcW w:w="508" w:type="pct"/>
            <w:tcBorders>
              <w:top w:val="nil"/>
              <w:left w:val="nil"/>
              <w:bottom w:val="single" w:sz="4" w:space="0" w:color="F39200"/>
              <w:right w:val="nil"/>
            </w:tcBorders>
            <w:shd w:val="clear" w:color="auto" w:fill="auto"/>
            <w:vAlign w:val="center"/>
            <w:hideMark/>
          </w:tcPr>
          <w:p w14:paraId="55496F4F"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2024</w:t>
            </w:r>
          </w:p>
        </w:tc>
        <w:tc>
          <w:tcPr>
            <w:tcW w:w="536" w:type="pct"/>
            <w:tcBorders>
              <w:top w:val="nil"/>
              <w:left w:val="nil"/>
              <w:bottom w:val="single" w:sz="4" w:space="0" w:color="F39200"/>
              <w:right w:val="nil"/>
            </w:tcBorders>
            <w:shd w:val="clear" w:color="auto" w:fill="auto"/>
            <w:vAlign w:val="center"/>
            <w:hideMark/>
          </w:tcPr>
          <w:p w14:paraId="7D3FFA2B"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2023</w:t>
            </w:r>
          </w:p>
        </w:tc>
      </w:tr>
      <w:tr w:rsidR="00B8509C" w:rsidRPr="00A33766" w14:paraId="620CA10F" w14:textId="77777777" w:rsidTr="008E1FCA">
        <w:trPr>
          <w:trHeight w:val="283"/>
        </w:trPr>
        <w:tc>
          <w:tcPr>
            <w:tcW w:w="2922" w:type="pct"/>
            <w:vMerge/>
            <w:tcBorders>
              <w:top w:val="single" w:sz="4" w:space="0" w:color="F39200"/>
              <w:left w:val="nil"/>
              <w:bottom w:val="single" w:sz="4" w:space="0" w:color="F39200"/>
              <w:right w:val="nil"/>
            </w:tcBorders>
            <w:vAlign w:val="center"/>
            <w:hideMark/>
          </w:tcPr>
          <w:p w14:paraId="6D4881F7" w14:textId="77777777" w:rsidR="00B8509C" w:rsidRPr="00A33766" w:rsidRDefault="00B8509C">
            <w:pPr>
              <w:rPr>
                <w:rFonts w:ascii="CAIXA Std Book" w:hAnsi="CAIXA Std Book" w:cs="Arial"/>
                <w:b/>
                <w:color w:val="005CA9"/>
                <w:sz w:val="18"/>
                <w:szCs w:val="18"/>
              </w:rPr>
            </w:pPr>
          </w:p>
        </w:tc>
        <w:tc>
          <w:tcPr>
            <w:tcW w:w="519" w:type="pct"/>
            <w:tcBorders>
              <w:top w:val="nil"/>
              <w:left w:val="nil"/>
              <w:bottom w:val="single" w:sz="4" w:space="0" w:color="F39200"/>
              <w:right w:val="nil"/>
            </w:tcBorders>
            <w:shd w:val="clear" w:color="auto" w:fill="auto"/>
            <w:vAlign w:val="center"/>
            <w:hideMark/>
          </w:tcPr>
          <w:p w14:paraId="11AED3D3"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515" w:type="pct"/>
            <w:tcBorders>
              <w:top w:val="nil"/>
              <w:left w:val="nil"/>
              <w:bottom w:val="single" w:sz="4" w:space="0" w:color="F39200"/>
              <w:right w:val="nil"/>
            </w:tcBorders>
            <w:shd w:val="clear" w:color="auto" w:fill="auto"/>
            <w:vAlign w:val="center"/>
            <w:hideMark/>
          </w:tcPr>
          <w:p w14:paraId="7B00F920"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508" w:type="pct"/>
            <w:tcBorders>
              <w:top w:val="nil"/>
              <w:left w:val="nil"/>
              <w:bottom w:val="single" w:sz="4" w:space="0" w:color="F39200"/>
              <w:right w:val="nil"/>
            </w:tcBorders>
            <w:shd w:val="clear" w:color="auto" w:fill="auto"/>
            <w:vAlign w:val="center"/>
            <w:hideMark/>
          </w:tcPr>
          <w:p w14:paraId="6F6238A8"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536" w:type="pct"/>
            <w:tcBorders>
              <w:top w:val="nil"/>
              <w:left w:val="nil"/>
              <w:bottom w:val="single" w:sz="4" w:space="0" w:color="F39200"/>
              <w:right w:val="nil"/>
            </w:tcBorders>
            <w:shd w:val="clear" w:color="auto" w:fill="auto"/>
            <w:vAlign w:val="center"/>
            <w:hideMark/>
          </w:tcPr>
          <w:p w14:paraId="262484F0" w14:textId="77777777" w:rsidR="00B8509C" w:rsidRPr="00A33766" w:rsidRDefault="00B8509C">
            <w:pPr>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r>
      <w:tr w:rsidR="008E1FCA" w:rsidRPr="00A33766" w14:paraId="48E2ABCA" w14:textId="77777777" w:rsidTr="008E1FCA">
        <w:trPr>
          <w:trHeight w:val="283"/>
        </w:trPr>
        <w:tc>
          <w:tcPr>
            <w:tcW w:w="2922" w:type="pct"/>
            <w:tcBorders>
              <w:top w:val="nil"/>
              <w:left w:val="nil"/>
              <w:bottom w:val="nil"/>
              <w:right w:val="nil"/>
            </w:tcBorders>
            <w:shd w:val="clear" w:color="auto" w:fill="auto"/>
            <w:vAlign w:val="center"/>
            <w:hideMark/>
          </w:tcPr>
          <w:p w14:paraId="198BAD4B" w14:textId="77777777" w:rsidR="008E1FCA" w:rsidRPr="00A33766" w:rsidRDefault="008E1FCA" w:rsidP="008E1FCA">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Depósitos de poupança</w:t>
            </w:r>
          </w:p>
        </w:tc>
        <w:tc>
          <w:tcPr>
            <w:tcW w:w="519" w:type="pct"/>
            <w:tcBorders>
              <w:top w:val="nil"/>
              <w:left w:val="nil"/>
              <w:bottom w:val="nil"/>
              <w:right w:val="nil"/>
            </w:tcBorders>
            <w:shd w:val="clear" w:color="auto" w:fill="auto"/>
            <w:noWrap/>
            <w:vAlign w:val="center"/>
          </w:tcPr>
          <w:p w14:paraId="1E83DEDB" w14:textId="3CF459C9" w:rsidR="008E1FCA" w:rsidRPr="00A33766" w:rsidRDefault="008E1FCA" w:rsidP="008E1FCA">
            <w:pPr>
              <w:jc w:val="right"/>
              <w:rPr>
                <w:rFonts w:ascii="CAIXA Std Book" w:hAnsi="CAIXA Std Book" w:cs="Arial"/>
                <w:color w:val="005CA9"/>
                <w:sz w:val="18"/>
                <w:szCs w:val="18"/>
              </w:rPr>
            </w:pPr>
            <w:r w:rsidRPr="00970EE0">
              <w:rPr>
                <w:rFonts w:ascii="CAIXA Std Book" w:hAnsi="CAIXA Std Book" w:cs="Arial"/>
                <w:color w:val="005CA9"/>
                <w:sz w:val="18"/>
                <w:szCs w:val="18"/>
              </w:rPr>
              <w:t>(5.631.010)</w:t>
            </w:r>
          </w:p>
        </w:tc>
        <w:tc>
          <w:tcPr>
            <w:tcW w:w="515" w:type="pct"/>
            <w:tcBorders>
              <w:top w:val="nil"/>
              <w:left w:val="nil"/>
              <w:bottom w:val="nil"/>
              <w:right w:val="nil"/>
            </w:tcBorders>
            <w:shd w:val="clear" w:color="auto" w:fill="auto"/>
            <w:noWrap/>
            <w:vAlign w:val="center"/>
            <w:hideMark/>
          </w:tcPr>
          <w:p w14:paraId="44092B69"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(6.646.255)</w:t>
            </w:r>
          </w:p>
        </w:tc>
        <w:tc>
          <w:tcPr>
            <w:tcW w:w="508" w:type="pct"/>
            <w:tcBorders>
              <w:top w:val="nil"/>
              <w:left w:val="nil"/>
              <w:bottom w:val="nil"/>
              <w:right w:val="nil"/>
            </w:tcBorders>
            <w:shd w:val="clear" w:color="auto" w:fill="auto"/>
            <w:noWrap/>
            <w:vAlign w:val="center"/>
          </w:tcPr>
          <w:p w14:paraId="2ED3294C" w14:textId="3C253D07" w:rsidR="008E1FCA" w:rsidRPr="00A33766" w:rsidRDefault="008E1FCA" w:rsidP="008E1FCA">
            <w:pPr>
              <w:jc w:val="right"/>
              <w:rPr>
                <w:rFonts w:ascii="CAIXA Std Book" w:hAnsi="CAIXA Std Book" w:cs="Arial"/>
                <w:color w:val="005CA9"/>
                <w:sz w:val="18"/>
                <w:szCs w:val="18"/>
              </w:rPr>
            </w:pPr>
            <w:r>
              <w:rPr>
                <w:rFonts w:ascii="CAIXA Std Book" w:hAnsi="CAIXA Std Book" w:cs="Arial"/>
                <w:color w:val="005CA9"/>
                <w:sz w:val="18"/>
                <w:szCs w:val="18"/>
              </w:rPr>
              <w:t>(5.631.010)</w:t>
            </w:r>
          </w:p>
        </w:tc>
        <w:tc>
          <w:tcPr>
            <w:tcW w:w="536" w:type="pct"/>
            <w:tcBorders>
              <w:top w:val="nil"/>
              <w:left w:val="nil"/>
              <w:bottom w:val="nil"/>
              <w:right w:val="nil"/>
            </w:tcBorders>
            <w:shd w:val="clear" w:color="auto" w:fill="auto"/>
            <w:noWrap/>
            <w:vAlign w:val="center"/>
            <w:hideMark/>
          </w:tcPr>
          <w:p w14:paraId="75E40D64"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(6.646.255)</w:t>
            </w:r>
          </w:p>
        </w:tc>
      </w:tr>
      <w:tr w:rsidR="008E1FCA" w:rsidRPr="00A33766" w14:paraId="74F9F15A" w14:textId="77777777" w:rsidTr="008E1FCA">
        <w:trPr>
          <w:trHeight w:val="283"/>
        </w:trPr>
        <w:tc>
          <w:tcPr>
            <w:tcW w:w="2922" w:type="pct"/>
            <w:tcBorders>
              <w:top w:val="nil"/>
              <w:left w:val="nil"/>
              <w:bottom w:val="nil"/>
              <w:right w:val="nil"/>
            </w:tcBorders>
            <w:shd w:val="clear" w:color="auto" w:fill="auto"/>
            <w:vAlign w:val="center"/>
            <w:hideMark/>
          </w:tcPr>
          <w:p w14:paraId="3AE544F7" w14:textId="77777777" w:rsidR="008E1FCA" w:rsidRPr="00A33766" w:rsidRDefault="008E1FCA" w:rsidP="008E1FCA">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Depósitos a prazo CDB</w:t>
            </w:r>
          </w:p>
        </w:tc>
        <w:tc>
          <w:tcPr>
            <w:tcW w:w="519" w:type="pct"/>
            <w:tcBorders>
              <w:top w:val="nil"/>
              <w:left w:val="nil"/>
              <w:bottom w:val="nil"/>
              <w:right w:val="nil"/>
            </w:tcBorders>
            <w:shd w:val="clear" w:color="auto" w:fill="auto"/>
            <w:noWrap/>
            <w:vAlign w:val="center"/>
          </w:tcPr>
          <w:p w14:paraId="089396BE" w14:textId="052544CC" w:rsidR="008E1FCA" w:rsidRPr="00A33766" w:rsidRDefault="008E1FCA" w:rsidP="008E1FCA">
            <w:pPr>
              <w:jc w:val="right"/>
              <w:rPr>
                <w:rFonts w:ascii="CAIXA Std Book" w:hAnsi="CAIXA Std Book" w:cs="Arial"/>
                <w:color w:val="005CA9"/>
                <w:sz w:val="18"/>
                <w:szCs w:val="18"/>
              </w:rPr>
            </w:pPr>
            <w:r w:rsidRPr="00970EE0">
              <w:rPr>
                <w:rFonts w:ascii="CAIXA Std Book" w:hAnsi="CAIXA Std Book" w:cs="Arial"/>
                <w:color w:val="005CA9"/>
                <w:sz w:val="18"/>
                <w:szCs w:val="18"/>
              </w:rPr>
              <w:t>(3.355.682)</w:t>
            </w:r>
          </w:p>
        </w:tc>
        <w:tc>
          <w:tcPr>
            <w:tcW w:w="515" w:type="pct"/>
            <w:tcBorders>
              <w:top w:val="nil"/>
              <w:left w:val="nil"/>
              <w:bottom w:val="nil"/>
              <w:right w:val="nil"/>
            </w:tcBorders>
            <w:shd w:val="clear" w:color="auto" w:fill="auto"/>
            <w:noWrap/>
            <w:vAlign w:val="center"/>
            <w:hideMark/>
          </w:tcPr>
          <w:p w14:paraId="210AB6CA"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(2.534.227)</w:t>
            </w:r>
          </w:p>
        </w:tc>
        <w:tc>
          <w:tcPr>
            <w:tcW w:w="508" w:type="pct"/>
            <w:tcBorders>
              <w:top w:val="nil"/>
              <w:left w:val="nil"/>
              <w:bottom w:val="nil"/>
              <w:right w:val="nil"/>
            </w:tcBorders>
            <w:shd w:val="clear" w:color="auto" w:fill="auto"/>
            <w:noWrap/>
            <w:vAlign w:val="center"/>
          </w:tcPr>
          <w:p w14:paraId="33132CF7" w14:textId="7BA300D8" w:rsidR="008E1FCA" w:rsidRPr="00A33766" w:rsidRDefault="008E1FCA" w:rsidP="008E1FCA">
            <w:pPr>
              <w:jc w:val="right"/>
              <w:rPr>
                <w:rFonts w:ascii="CAIXA Std Book" w:hAnsi="CAIXA Std Book" w:cs="Arial"/>
                <w:color w:val="005CA9"/>
                <w:sz w:val="18"/>
                <w:szCs w:val="18"/>
              </w:rPr>
            </w:pPr>
            <w:r>
              <w:rPr>
                <w:rFonts w:ascii="CAIXA Std Book" w:hAnsi="CAIXA Std Book" w:cs="Arial"/>
                <w:color w:val="005CA9"/>
                <w:sz w:val="18"/>
                <w:szCs w:val="18"/>
              </w:rPr>
              <w:t>(3.355.682)</w:t>
            </w:r>
          </w:p>
        </w:tc>
        <w:tc>
          <w:tcPr>
            <w:tcW w:w="536" w:type="pct"/>
            <w:tcBorders>
              <w:top w:val="nil"/>
              <w:left w:val="nil"/>
              <w:bottom w:val="nil"/>
              <w:right w:val="nil"/>
            </w:tcBorders>
            <w:shd w:val="clear" w:color="auto" w:fill="auto"/>
            <w:noWrap/>
            <w:vAlign w:val="center"/>
            <w:hideMark/>
          </w:tcPr>
          <w:p w14:paraId="01B0C172"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(2.528.015)</w:t>
            </w:r>
          </w:p>
        </w:tc>
      </w:tr>
      <w:tr w:rsidR="008E1FCA" w:rsidRPr="00A33766" w14:paraId="44C0E4F7" w14:textId="77777777" w:rsidTr="008E1FCA">
        <w:trPr>
          <w:trHeight w:val="283"/>
        </w:trPr>
        <w:tc>
          <w:tcPr>
            <w:tcW w:w="2922" w:type="pct"/>
            <w:tcBorders>
              <w:top w:val="nil"/>
              <w:left w:val="nil"/>
              <w:bottom w:val="nil"/>
              <w:right w:val="nil"/>
            </w:tcBorders>
            <w:shd w:val="clear" w:color="auto" w:fill="auto"/>
            <w:vAlign w:val="center"/>
            <w:hideMark/>
          </w:tcPr>
          <w:p w14:paraId="33ACF9B7" w14:textId="77777777" w:rsidR="008E1FCA" w:rsidRPr="00A33766" w:rsidRDefault="008E1FCA" w:rsidP="008E1FCA">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Depósitos judiciais</w:t>
            </w:r>
          </w:p>
        </w:tc>
        <w:tc>
          <w:tcPr>
            <w:tcW w:w="519" w:type="pct"/>
            <w:tcBorders>
              <w:top w:val="nil"/>
              <w:left w:val="nil"/>
              <w:bottom w:val="nil"/>
              <w:right w:val="nil"/>
            </w:tcBorders>
            <w:shd w:val="clear" w:color="auto" w:fill="auto"/>
            <w:noWrap/>
            <w:vAlign w:val="center"/>
          </w:tcPr>
          <w:p w14:paraId="0DF4C12B" w14:textId="01CCF23F" w:rsidR="008E1FCA" w:rsidRPr="00A33766" w:rsidRDefault="008E1FCA" w:rsidP="008E1FCA">
            <w:pPr>
              <w:jc w:val="right"/>
              <w:rPr>
                <w:rFonts w:ascii="CAIXA Std Book" w:hAnsi="CAIXA Std Book" w:cs="Arial"/>
                <w:color w:val="005CA9"/>
                <w:sz w:val="18"/>
                <w:szCs w:val="18"/>
              </w:rPr>
            </w:pPr>
            <w:r w:rsidRPr="00970EE0">
              <w:rPr>
                <w:rFonts w:ascii="CAIXA Std Book" w:hAnsi="CAIXA Std Book" w:cs="Arial"/>
                <w:color w:val="005CA9"/>
                <w:sz w:val="18"/>
                <w:szCs w:val="18"/>
              </w:rPr>
              <w:t>(2.305.579)</w:t>
            </w:r>
          </w:p>
        </w:tc>
        <w:tc>
          <w:tcPr>
            <w:tcW w:w="515" w:type="pct"/>
            <w:tcBorders>
              <w:top w:val="nil"/>
              <w:left w:val="nil"/>
              <w:bottom w:val="nil"/>
              <w:right w:val="nil"/>
            </w:tcBorders>
            <w:shd w:val="clear" w:color="auto" w:fill="auto"/>
            <w:noWrap/>
            <w:vAlign w:val="center"/>
            <w:hideMark/>
          </w:tcPr>
          <w:p w14:paraId="01A34061"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(2.147.288)</w:t>
            </w:r>
          </w:p>
        </w:tc>
        <w:tc>
          <w:tcPr>
            <w:tcW w:w="508" w:type="pct"/>
            <w:tcBorders>
              <w:top w:val="nil"/>
              <w:left w:val="nil"/>
              <w:bottom w:val="nil"/>
              <w:right w:val="nil"/>
            </w:tcBorders>
            <w:shd w:val="clear" w:color="auto" w:fill="auto"/>
            <w:noWrap/>
            <w:vAlign w:val="center"/>
          </w:tcPr>
          <w:p w14:paraId="6EE96DBA" w14:textId="37644D5D" w:rsidR="008E1FCA" w:rsidRPr="00A33766" w:rsidRDefault="008E1FCA" w:rsidP="008E1FCA">
            <w:pPr>
              <w:jc w:val="right"/>
              <w:rPr>
                <w:rFonts w:ascii="CAIXA Std Book" w:hAnsi="CAIXA Std Book" w:cs="Arial"/>
                <w:color w:val="005CA9"/>
                <w:sz w:val="18"/>
                <w:szCs w:val="18"/>
              </w:rPr>
            </w:pPr>
            <w:r>
              <w:rPr>
                <w:rFonts w:ascii="CAIXA Std Book" w:hAnsi="CAIXA Std Book" w:cs="Arial"/>
                <w:color w:val="005CA9"/>
                <w:sz w:val="18"/>
                <w:szCs w:val="18"/>
              </w:rPr>
              <w:t>(2.305.579)</w:t>
            </w:r>
          </w:p>
        </w:tc>
        <w:tc>
          <w:tcPr>
            <w:tcW w:w="536" w:type="pct"/>
            <w:tcBorders>
              <w:top w:val="nil"/>
              <w:left w:val="nil"/>
              <w:bottom w:val="nil"/>
              <w:right w:val="nil"/>
            </w:tcBorders>
            <w:shd w:val="clear" w:color="auto" w:fill="auto"/>
            <w:noWrap/>
            <w:vAlign w:val="center"/>
            <w:hideMark/>
          </w:tcPr>
          <w:p w14:paraId="0C236406"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(2.147.288)</w:t>
            </w:r>
          </w:p>
        </w:tc>
      </w:tr>
      <w:tr w:rsidR="008E1FCA" w:rsidRPr="00A33766" w14:paraId="36A3ABBC" w14:textId="77777777" w:rsidTr="008E1FCA">
        <w:trPr>
          <w:trHeight w:val="283"/>
        </w:trPr>
        <w:tc>
          <w:tcPr>
            <w:tcW w:w="2922" w:type="pct"/>
            <w:tcBorders>
              <w:top w:val="nil"/>
              <w:left w:val="nil"/>
              <w:bottom w:val="nil"/>
              <w:right w:val="nil"/>
            </w:tcBorders>
            <w:shd w:val="clear" w:color="auto" w:fill="auto"/>
            <w:vAlign w:val="center"/>
            <w:hideMark/>
          </w:tcPr>
          <w:p w14:paraId="371CA6B5" w14:textId="77777777" w:rsidR="008E1FCA" w:rsidRPr="00A33766" w:rsidRDefault="008E1FCA" w:rsidP="008E1FCA">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Depósitos especiais e de fundos e programas</w:t>
            </w:r>
          </w:p>
        </w:tc>
        <w:tc>
          <w:tcPr>
            <w:tcW w:w="519" w:type="pct"/>
            <w:tcBorders>
              <w:top w:val="nil"/>
              <w:left w:val="nil"/>
              <w:bottom w:val="nil"/>
              <w:right w:val="nil"/>
            </w:tcBorders>
            <w:shd w:val="clear" w:color="auto" w:fill="auto"/>
            <w:noWrap/>
            <w:vAlign w:val="center"/>
          </w:tcPr>
          <w:p w14:paraId="61343276" w14:textId="2E760DD7" w:rsidR="008E1FCA" w:rsidRPr="00A33766" w:rsidRDefault="008E1FCA" w:rsidP="008E1FCA">
            <w:pPr>
              <w:jc w:val="right"/>
              <w:rPr>
                <w:rFonts w:ascii="CAIXA Std Book" w:hAnsi="CAIXA Std Book" w:cs="Arial"/>
                <w:color w:val="005CA9"/>
                <w:sz w:val="18"/>
                <w:szCs w:val="18"/>
              </w:rPr>
            </w:pPr>
            <w:r w:rsidRPr="00970EE0">
              <w:rPr>
                <w:rFonts w:ascii="CAIXA Std Book" w:hAnsi="CAIXA Std Book" w:cs="Arial"/>
                <w:color w:val="005CA9"/>
                <w:sz w:val="18"/>
                <w:szCs w:val="18"/>
              </w:rPr>
              <w:t>(869.797)</w:t>
            </w:r>
          </w:p>
        </w:tc>
        <w:tc>
          <w:tcPr>
            <w:tcW w:w="515" w:type="pct"/>
            <w:tcBorders>
              <w:top w:val="nil"/>
              <w:left w:val="nil"/>
              <w:bottom w:val="nil"/>
              <w:right w:val="nil"/>
            </w:tcBorders>
            <w:shd w:val="clear" w:color="auto" w:fill="auto"/>
            <w:noWrap/>
            <w:vAlign w:val="center"/>
            <w:hideMark/>
          </w:tcPr>
          <w:p w14:paraId="2A80C85D"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(574.963)</w:t>
            </w:r>
          </w:p>
        </w:tc>
        <w:tc>
          <w:tcPr>
            <w:tcW w:w="508" w:type="pct"/>
            <w:tcBorders>
              <w:top w:val="nil"/>
              <w:left w:val="nil"/>
              <w:bottom w:val="nil"/>
              <w:right w:val="nil"/>
            </w:tcBorders>
            <w:shd w:val="clear" w:color="auto" w:fill="auto"/>
            <w:noWrap/>
            <w:vAlign w:val="center"/>
          </w:tcPr>
          <w:p w14:paraId="2993560D" w14:textId="1DF8BC08" w:rsidR="008E1FCA" w:rsidRPr="00A33766" w:rsidRDefault="008E1FCA" w:rsidP="008E1FCA">
            <w:pPr>
              <w:jc w:val="right"/>
              <w:rPr>
                <w:rFonts w:ascii="CAIXA Std Book" w:hAnsi="CAIXA Std Book" w:cs="Arial"/>
                <w:color w:val="005CA9"/>
                <w:sz w:val="18"/>
                <w:szCs w:val="18"/>
              </w:rPr>
            </w:pPr>
            <w:r>
              <w:rPr>
                <w:rFonts w:ascii="CAIXA Std Book" w:hAnsi="CAIXA Std Book" w:cs="Arial"/>
                <w:color w:val="005CA9"/>
                <w:sz w:val="18"/>
                <w:szCs w:val="18"/>
              </w:rPr>
              <w:t>(869.797)</w:t>
            </w:r>
          </w:p>
        </w:tc>
        <w:tc>
          <w:tcPr>
            <w:tcW w:w="536" w:type="pct"/>
            <w:tcBorders>
              <w:top w:val="nil"/>
              <w:left w:val="nil"/>
              <w:bottom w:val="nil"/>
              <w:right w:val="nil"/>
            </w:tcBorders>
            <w:shd w:val="clear" w:color="auto" w:fill="auto"/>
            <w:noWrap/>
            <w:vAlign w:val="center"/>
            <w:hideMark/>
          </w:tcPr>
          <w:p w14:paraId="14590864"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(574.963)</w:t>
            </w:r>
          </w:p>
        </w:tc>
      </w:tr>
      <w:tr w:rsidR="008E1FCA" w:rsidRPr="00A33766" w14:paraId="56B9E473" w14:textId="77777777" w:rsidTr="008E1FCA">
        <w:trPr>
          <w:trHeight w:val="283"/>
        </w:trPr>
        <w:tc>
          <w:tcPr>
            <w:tcW w:w="2922" w:type="pct"/>
            <w:tcBorders>
              <w:top w:val="nil"/>
              <w:left w:val="nil"/>
              <w:bottom w:val="single" w:sz="4" w:space="0" w:color="F39200"/>
              <w:right w:val="nil"/>
            </w:tcBorders>
            <w:shd w:val="clear" w:color="auto" w:fill="auto"/>
            <w:vAlign w:val="center"/>
            <w:hideMark/>
          </w:tcPr>
          <w:p w14:paraId="4000291B" w14:textId="77777777" w:rsidR="008E1FCA" w:rsidRPr="00A33766" w:rsidRDefault="008E1FCA" w:rsidP="008E1FCA">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Contribuições ao FGC</w:t>
            </w:r>
          </w:p>
        </w:tc>
        <w:tc>
          <w:tcPr>
            <w:tcW w:w="519" w:type="pct"/>
            <w:tcBorders>
              <w:top w:val="nil"/>
              <w:left w:val="nil"/>
              <w:bottom w:val="nil"/>
              <w:right w:val="nil"/>
            </w:tcBorders>
            <w:shd w:val="clear" w:color="auto" w:fill="auto"/>
            <w:noWrap/>
            <w:vAlign w:val="center"/>
          </w:tcPr>
          <w:p w14:paraId="6135DA88" w14:textId="01FDB85E" w:rsidR="008E1FCA" w:rsidRPr="00A33766" w:rsidRDefault="008E1FCA" w:rsidP="008E1FCA">
            <w:pPr>
              <w:jc w:val="right"/>
              <w:rPr>
                <w:rFonts w:ascii="CAIXA Std Book" w:hAnsi="CAIXA Std Book" w:cs="Arial"/>
                <w:color w:val="005CA9"/>
                <w:sz w:val="18"/>
                <w:szCs w:val="18"/>
              </w:rPr>
            </w:pPr>
            <w:r w:rsidRPr="00970EE0">
              <w:rPr>
                <w:rFonts w:ascii="CAIXA Std Book" w:hAnsi="CAIXA Std Book" w:cs="Arial"/>
                <w:color w:val="005CA9"/>
                <w:sz w:val="18"/>
                <w:szCs w:val="18"/>
              </w:rPr>
              <w:t>(209.400)</w:t>
            </w:r>
          </w:p>
        </w:tc>
        <w:tc>
          <w:tcPr>
            <w:tcW w:w="515" w:type="pct"/>
            <w:tcBorders>
              <w:top w:val="nil"/>
              <w:left w:val="nil"/>
              <w:bottom w:val="nil"/>
              <w:right w:val="nil"/>
            </w:tcBorders>
            <w:shd w:val="clear" w:color="auto" w:fill="auto"/>
            <w:noWrap/>
            <w:vAlign w:val="center"/>
            <w:hideMark/>
          </w:tcPr>
          <w:p w14:paraId="6A0D788F"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(166.329)</w:t>
            </w:r>
          </w:p>
        </w:tc>
        <w:tc>
          <w:tcPr>
            <w:tcW w:w="508" w:type="pct"/>
            <w:tcBorders>
              <w:top w:val="nil"/>
              <w:left w:val="nil"/>
              <w:bottom w:val="nil"/>
              <w:right w:val="nil"/>
            </w:tcBorders>
            <w:shd w:val="clear" w:color="auto" w:fill="auto"/>
            <w:noWrap/>
            <w:vAlign w:val="center"/>
          </w:tcPr>
          <w:p w14:paraId="21D6E808" w14:textId="6A52512D" w:rsidR="008E1FCA" w:rsidRPr="00A33766" w:rsidRDefault="008E1FCA" w:rsidP="008E1FCA">
            <w:pPr>
              <w:jc w:val="right"/>
              <w:rPr>
                <w:rFonts w:ascii="CAIXA Std Book" w:hAnsi="CAIXA Std Book" w:cs="Arial"/>
                <w:color w:val="005CA9"/>
                <w:sz w:val="18"/>
                <w:szCs w:val="18"/>
              </w:rPr>
            </w:pPr>
            <w:r>
              <w:rPr>
                <w:rFonts w:ascii="CAIXA Std Book" w:hAnsi="CAIXA Std Book" w:cs="Arial"/>
                <w:color w:val="005CA9"/>
                <w:sz w:val="18"/>
                <w:szCs w:val="18"/>
              </w:rPr>
              <w:t>(209.400)</w:t>
            </w:r>
          </w:p>
        </w:tc>
        <w:tc>
          <w:tcPr>
            <w:tcW w:w="536" w:type="pct"/>
            <w:tcBorders>
              <w:top w:val="nil"/>
              <w:left w:val="nil"/>
              <w:bottom w:val="nil"/>
              <w:right w:val="nil"/>
            </w:tcBorders>
            <w:shd w:val="clear" w:color="auto" w:fill="auto"/>
            <w:noWrap/>
            <w:vAlign w:val="center"/>
            <w:hideMark/>
          </w:tcPr>
          <w:p w14:paraId="4C904BD4" w14:textId="77777777" w:rsidR="008E1FCA" w:rsidRPr="00A33766" w:rsidRDefault="008E1FCA" w:rsidP="008E1FCA">
            <w:pPr>
              <w:jc w:val="right"/>
              <w:rPr>
                <w:rFonts w:ascii="CAIXA Std Book" w:hAnsi="CAIXA Std Book" w:cs="Arial"/>
                <w:color w:val="005CA9"/>
                <w:sz w:val="18"/>
                <w:szCs w:val="18"/>
              </w:rPr>
            </w:pPr>
            <w:r w:rsidRPr="00A33766">
              <w:rPr>
                <w:rFonts w:ascii="CAIXA Std Book" w:hAnsi="CAIXA Std Book" w:cs="Arial"/>
                <w:color w:val="005CA9"/>
                <w:sz w:val="18"/>
                <w:szCs w:val="18"/>
              </w:rPr>
              <w:t>(166.329)</w:t>
            </w:r>
          </w:p>
        </w:tc>
      </w:tr>
      <w:tr w:rsidR="008E1FCA" w:rsidRPr="00A33766" w14:paraId="3E279018" w14:textId="77777777" w:rsidTr="008E1FCA">
        <w:trPr>
          <w:trHeight w:val="283"/>
        </w:trPr>
        <w:tc>
          <w:tcPr>
            <w:tcW w:w="2922" w:type="pct"/>
            <w:tcBorders>
              <w:top w:val="nil"/>
              <w:left w:val="nil"/>
              <w:bottom w:val="single" w:sz="4" w:space="0" w:color="F39200"/>
              <w:right w:val="nil"/>
            </w:tcBorders>
            <w:shd w:val="clear" w:color="auto" w:fill="auto"/>
            <w:noWrap/>
            <w:vAlign w:val="center"/>
            <w:hideMark/>
          </w:tcPr>
          <w:p w14:paraId="347DE0DA" w14:textId="77777777" w:rsidR="008E1FCA" w:rsidRPr="00A33766" w:rsidRDefault="008E1FCA" w:rsidP="008E1FCA">
            <w:pPr>
              <w:rPr>
                <w:rFonts w:ascii="CAIXA Std Book" w:hAnsi="CAIXA Std Book" w:cs="Arial"/>
                <w:b/>
                <w:color w:val="005CA9"/>
                <w:sz w:val="18"/>
                <w:szCs w:val="18"/>
              </w:rPr>
            </w:pPr>
            <w:r w:rsidRPr="00A33766">
              <w:rPr>
                <w:rFonts w:ascii="CAIXA Std Book" w:hAnsi="CAIXA Std Book" w:cs="Arial"/>
                <w:b/>
                <w:color w:val="005CA9"/>
                <w:sz w:val="18"/>
                <w:szCs w:val="18"/>
              </w:rPr>
              <w:t>Total</w:t>
            </w:r>
          </w:p>
        </w:tc>
        <w:tc>
          <w:tcPr>
            <w:tcW w:w="519" w:type="pct"/>
            <w:tcBorders>
              <w:top w:val="single" w:sz="4" w:space="0" w:color="F39200"/>
              <w:left w:val="nil"/>
              <w:bottom w:val="single" w:sz="4" w:space="0" w:color="F39200"/>
              <w:right w:val="nil"/>
            </w:tcBorders>
            <w:shd w:val="clear" w:color="auto" w:fill="auto"/>
            <w:noWrap/>
            <w:vAlign w:val="center"/>
          </w:tcPr>
          <w:p w14:paraId="5C27D333" w14:textId="7D96AEA9" w:rsidR="008E1FCA" w:rsidRPr="00A33766" w:rsidRDefault="008E1FCA" w:rsidP="008E1FCA">
            <w:pPr>
              <w:jc w:val="right"/>
              <w:rPr>
                <w:rFonts w:ascii="CAIXA Std Book" w:hAnsi="CAIXA Std Book" w:cs="Arial"/>
                <w:b/>
                <w:color w:val="005CA9"/>
                <w:sz w:val="18"/>
                <w:szCs w:val="18"/>
              </w:rPr>
            </w:pPr>
            <w:r w:rsidRPr="00970EE0">
              <w:rPr>
                <w:rFonts w:ascii="CAIXA Std Book" w:hAnsi="CAIXA Std Book" w:cs="Arial"/>
                <w:b/>
                <w:bCs/>
                <w:color w:val="005CA9"/>
                <w:sz w:val="18"/>
                <w:szCs w:val="18"/>
              </w:rPr>
              <w:t>(12.371.468)</w:t>
            </w:r>
          </w:p>
        </w:tc>
        <w:tc>
          <w:tcPr>
            <w:tcW w:w="515" w:type="pct"/>
            <w:tcBorders>
              <w:top w:val="single" w:sz="4" w:space="0" w:color="F39200"/>
              <w:left w:val="nil"/>
              <w:bottom w:val="single" w:sz="4" w:space="0" w:color="F39200"/>
              <w:right w:val="nil"/>
            </w:tcBorders>
            <w:shd w:val="clear" w:color="auto" w:fill="auto"/>
            <w:noWrap/>
            <w:vAlign w:val="center"/>
            <w:hideMark/>
          </w:tcPr>
          <w:p w14:paraId="7EDE3AB8" w14:textId="77777777" w:rsidR="008E1FCA" w:rsidRPr="00A33766" w:rsidRDefault="008E1FCA" w:rsidP="008E1FCA">
            <w:pPr>
              <w:jc w:val="right"/>
              <w:rPr>
                <w:rFonts w:ascii="CAIXA Std Book" w:hAnsi="CAIXA Std Book" w:cs="Arial"/>
                <w:b/>
                <w:color w:val="005CA9"/>
                <w:sz w:val="18"/>
                <w:szCs w:val="18"/>
              </w:rPr>
            </w:pPr>
            <w:r w:rsidRPr="00A33766">
              <w:rPr>
                <w:rFonts w:ascii="CAIXA Std Book" w:hAnsi="CAIXA Std Book" w:cs="Arial"/>
                <w:b/>
                <w:color w:val="005CA9"/>
                <w:sz w:val="18"/>
                <w:szCs w:val="18"/>
              </w:rPr>
              <w:t>(12.069.062)</w:t>
            </w:r>
          </w:p>
        </w:tc>
        <w:tc>
          <w:tcPr>
            <w:tcW w:w="508" w:type="pct"/>
            <w:tcBorders>
              <w:top w:val="single" w:sz="4" w:space="0" w:color="F39200"/>
              <w:left w:val="nil"/>
              <w:bottom w:val="single" w:sz="4" w:space="0" w:color="F39200"/>
              <w:right w:val="nil"/>
            </w:tcBorders>
            <w:shd w:val="clear" w:color="auto" w:fill="auto"/>
            <w:noWrap/>
            <w:vAlign w:val="center"/>
          </w:tcPr>
          <w:p w14:paraId="2E7F93F7" w14:textId="7301161E" w:rsidR="008E1FCA" w:rsidRPr="00A33766" w:rsidRDefault="008E1FCA" w:rsidP="008E1FCA">
            <w:pPr>
              <w:jc w:val="right"/>
              <w:rPr>
                <w:rFonts w:ascii="CAIXA Std Book" w:hAnsi="CAIXA Std Book" w:cs="Arial"/>
                <w:b/>
                <w:color w:val="005CA9"/>
                <w:sz w:val="18"/>
                <w:szCs w:val="18"/>
              </w:rPr>
            </w:pPr>
            <w:r>
              <w:rPr>
                <w:rFonts w:ascii="CAIXA Std Book" w:hAnsi="CAIXA Std Book" w:cs="Arial"/>
                <w:b/>
                <w:bCs/>
                <w:color w:val="005CA9"/>
                <w:sz w:val="18"/>
                <w:szCs w:val="18"/>
              </w:rPr>
              <w:t>(12.371.468)</w:t>
            </w:r>
          </w:p>
        </w:tc>
        <w:tc>
          <w:tcPr>
            <w:tcW w:w="536" w:type="pct"/>
            <w:tcBorders>
              <w:top w:val="single" w:sz="4" w:space="0" w:color="F39200"/>
              <w:left w:val="nil"/>
              <w:bottom w:val="single" w:sz="4" w:space="0" w:color="F39200"/>
              <w:right w:val="nil"/>
            </w:tcBorders>
            <w:shd w:val="clear" w:color="auto" w:fill="auto"/>
            <w:noWrap/>
            <w:vAlign w:val="center"/>
            <w:hideMark/>
          </w:tcPr>
          <w:p w14:paraId="6F5C2C97" w14:textId="77777777" w:rsidR="008E1FCA" w:rsidRPr="00A33766" w:rsidRDefault="008E1FCA" w:rsidP="008E1FCA">
            <w:pPr>
              <w:jc w:val="right"/>
              <w:rPr>
                <w:rFonts w:ascii="CAIXA Std Book" w:hAnsi="CAIXA Std Book" w:cs="Arial"/>
                <w:b/>
                <w:color w:val="005CA9"/>
                <w:sz w:val="18"/>
                <w:szCs w:val="18"/>
              </w:rPr>
            </w:pPr>
            <w:r w:rsidRPr="00A33766">
              <w:rPr>
                <w:rFonts w:ascii="CAIXA Std Book" w:hAnsi="CAIXA Std Book" w:cs="Arial"/>
                <w:b/>
                <w:color w:val="005CA9"/>
                <w:sz w:val="18"/>
                <w:szCs w:val="18"/>
              </w:rPr>
              <w:t>(12.062.850)</w:t>
            </w:r>
          </w:p>
        </w:tc>
      </w:tr>
    </w:tbl>
    <w:p w14:paraId="6B06F228" w14:textId="068721B6" w:rsidR="00B8509C" w:rsidRPr="00FF4346" w:rsidRDefault="00B8509C" w:rsidP="00B7461B">
      <w:pPr>
        <w:jc w:val="both"/>
        <w:rPr>
          <w:rFonts w:ascii="CAIXA Std Book" w:hAnsi="CAIXA Std Book"/>
          <w:color w:val="005CA9"/>
          <w:sz w:val="16"/>
          <w:szCs w:val="16"/>
        </w:rPr>
        <w:sectPr w:rsidR="00B8509C" w:rsidRPr="00FF4346" w:rsidSect="0088151D">
          <w:headerReference w:type="first" r:id="rId55"/>
          <w:footerReference w:type="first" r:id="rId56"/>
          <w:pgSz w:w="16840" w:h="11907" w:orient="landscape" w:code="9"/>
          <w:pgMar w:top="1418" w:right="851" w:bottom="851" w:left="1418" w:header="1134" w:footer="709" w:gutter="0"/>
          <w:cols w:space="708"/>
          <w:titlePg/>
          <w:docGrid w:linePitch="360"/>
        </w:sectPr>
      </w:pPr>
    </w:p>
    <w:p w14:paraId="67A6DDC8" w14:textId="36605369" w:rsidR="00FF6498" w:rsidRPr="00FF4346" w:rsidRDefault="00FF6498" w:rsidP="005A596E">
      <w:pPr>
        <w:pStyle w:val="Ttulo1"/>
      </w:pPr>
      <w:bookmarkStart w:id="76" w:name="_Toc166594491"/>
      <w:r w:rsidRPr="00FF4346">
        <w:lastRenderedPageBreak/>
        <w:t>Nota 16 – Recursos de instituições financeiras e outras</w:t>
      </w:r>
      <w:bookmarkEnd w:id="76"/>
    </w:p>
    <w:p w14:paraId="44CF28CC" w14:textId="39A41ADA" w:rsidR="006D07D6" w:rsidRPr="00FF4346" w:rsidRDefault="006D07D6" w:rsidP="00B37B40">
      <w:pPr>
        <w:pStyle w:val="PargrafodaLista"/>
        <w:keepNext/>
        <w:numPr>
          <w:ilvl w:val="0"/>
          <w:numId w:val="16"/>
        </w:numPr>
        <w:spacing w:before="480" w:after="240"/>
        <w:ind w:left="709" w:hanging="709"/>
        <w:contextualSpacing w:val="0"/>
        <w:jc w:val="both"/>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3969"/>
        <w:gridCol w:w="1417"/>
        <w:gridCol w:w="1417"/>
        <w:gridCol w:w="1417"/>
        <w:gridCol w:w="1417"/>
      </w:tblGrid>
      <w:tr w:rsidR="004D02A8" w:rsidRPr="00A33766" w14:paraId="338EF683" w14:textId="77777777" w:rsidTr="00D53512">
        <w:trPr>
          <w:trHeight w:val="283"/>
        </w:trPr>
        <w:tc>
          <w:tcPr>
            <w:tcW w:w="2059" w:type="pct"/>
            <w:vMerge w:val="restart"/>
            <w:tcBorders>
              <w:top w:val="single" w:sz="4" w:space="0" w:color="F39200"/>
              <w:left w:val="nil"/>
              <w:bottom w:val="single" w:sz="4" w:space="0" w:color="F39200"/>
              <w:right w:val="nil"/>
            </w:tcBorders>
            <w:shd w:val="clear" w:color="auto" w:fill="auto"/>
            <w:vAlign w:val="center"/>
            <w:hideMark/>
          </w:tcPr>
          <w:p w14:paraId="608CD0E8" w14:textId="77777777" w:rsidR="004D02A8" w:rsidRPr="00FF4346" w:rsidRDefault="004D02A8"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470" w:type="pct"/>
            <w:gridSpan w:val="2"/>
            <w:tcBorders>
              <w:top w:val="single" w:sz="4" w:space="0" w:color="F39200"/>
              <w:left w:val="nil"/>
              <w:bottom w:val="single" w:sz="4" w:space="0" w:color="F79646"/>
              <w:right w:val="nil"/>
            </w:tcBorders>
            <w:shd w:val="clear" w:color="auto" w:fill="auto"/>
            <w:noWrap/>
            <w:vAlign w:val="center"/>
            <w:hideMark/>
          </w:tcPr>
          <w:p w14:paraId="15372C8D" w14:textId="77777777" w:rsidR="004D02A8" w:rsidRPr="00FF4346" w:rsidRDefault="004D02A8"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470" w:type="pct"/>
            <w:gridSpan w:val="2"/>
            <w:tcBorders>
              <w:top w:val="single" w:sz="4" w:space="0" w:color="F39200"/>
              <w:left w:val="nil"/>
              <w:bottom w:val="single" w:sz="4" w:space="0" w:color="F79646"/>
              <w:right w:val="nil"/>
            </w:tcBorders>
            <w:shd w:val="clear" w:color="auto" w:fill="auto"/>
            <w:noWrap/>
            <w:vAlign w:val="center"/>
            <w:hideMark/>
          </w:tcPr>
          <w:p w14:paraId="00B4CFA7" w14:textId="77777777" w:rsidR="004D02A8" w:rsidRPr="00FF4346" w:rsidRDefault="004D02A8"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4D02A8" w:rsidRPr="00A33766" w14:paraId="4F656C40" w14:textId="77777777" w:rsidTr="00D53512">
        <w:trPr>
          <w:trHeight w:val="283"/>
        </w:trPr>
        <w:tc>
          <w:tcPr>
            <w:tcW w:w="2059" w:type="pct"/>
            <w:vMerge/>
            <w:tcBorders>
              <w:top w:val="single" w:sz="4" w:space="0" w:color="F39200"/>
              <w:left w:val="nil"/>
              <w:bottom w:val="single" w:sz="4" w:space="0" w:color="F39200"/>
              <w:right w:val="nil"/>
            </w:tcBorders>
            <w:vAlign w:val="center"/>
            <w:hideMark/>
          </w:tcPr>
          <w:p w14:paraId="0E93C5F4" w14:textId="77777777" w:rsidR="004D02A8" w:rsidRPr="00FF4346" w:rsidRDefault="004D02A8" w:rsidP="004D02A8">
            <w:pPr>
              <w:rPr>
                <w:rFonts w:ascii="CAIXA Std Book" w:eastAsia="Times New Roman" w:hAnsi="CAIXA Std Book" w:cs="Arial"/>
                <w:b/>
                <w:bCs/>
                <w:color w:val="005CA9"/>
                <w:sz w:val="18"/>
                <w:szCs w:val="18"/>
              </w:rPr>
            </w:pPr>
          </w:p>
        </w:tc>
        <w:tc>
          <w:tcPr>
            <w:tcW w:w="735" w:type="pct"/>
            <w:tcBorders>
              <w:top w:val="nil"/>
              <w:left w:val="nil"/>
              <w:bottom w:val="single" w:sz="4" w:space="0" w:color="F79646"/>
              <w:right w:val="nil"/>
            </w:tcBorders>
            <w:shd w:val="clear" w:color="auto" w:fill="auto"/>
            <w:noWrap/>
            <w:vAlign w:val="center"/>
          </w:tcPr>
          <w:p w14:paraId="561DCFC2" w14:textId="323DD487" w:rsidR="004D02A8" w:rsidRPr="00FF4346" w:rsidRDefault="00D61639"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w:t>
            </w:r>
            <w:r w:rsidR="00320FCD" w:rsidRPr="00FF4346">
              <w:rPr>
                <w:rFonts w:ascii="CAIXA Std Book" w:eastAsia="Times New Roman" w:hAnsi="CAIXA Std Book" w:cs="Arial"/>
                <w:b/>
                <w:bCs/>
                <w:color w:val="005CA9"/>
                <w:sz w:val="18"/>
                <w:szCs w:val="18"/>
              </w:rPr>
              <w:t>1/</w:t>
            </w:r>
            <w:r w:rsidR="00B84671">
              <w:rPr>
                <w:rFonts w:ascii="CAIXA Std Book" w:eastAsia="Times New Roman" w:hAnsi="CAIXA Std Book" w:cs="Arial"/>
                <w:b/>
                <w:bCs/>
                <w:color w:val="005CA9"/>
                <w:sz w:val="18"/>
                <w:szCs w:val="18"/>
              </w:rPr>
              <w:t>03/2024</w:t>
            </w:r>
          </w:p>
        </w:tc>
        <w:tc>
          <w:tcPr>
            <w:tcW w:w="735" w:type="pct"/>
            <w:tcBorders>
              <w:top w:val="nil"/>
              <w:left w:val="nil"/>
              <w:bottom w:val="single" w:sz="4" w:space="0" w:color="F79646"/>
              <w:right w:val="nil"/>
            </w:tcBorders>
            <w:shd w:val="clear" w:color="auto" w:fill="auto"/>
            <w:noWrap/>
            <w:vAlign w:val="center"/>
            <w:hideMark/>
          </w:tcPr>
          <w:p w14:paraId="50B82AD1" w14:textId="7C28F596" w:rsidR="004D02A8" w:rsidRPr="00FF4346" w:rsidRDefault="004D02A8"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021D83">
              <w:rPr>
                <w:rFonts w:ascii="CAIXA Std Book" w:eastAsia="Times New Roman" w:hAnsi="CAIXA Std Book" w:cs="Arial"/>
                <w:b/>
                <w:bCs/>
                <w:color w:val="005CA9"/>
                <w:sz w:val="18"/>
                <w:szCs w:val="18"/>
              </w:rPr>
              <w:t>3</w:t>
            </w:r>
          </w:p>
        </w:tc>
        <w:tc>
          <w:tcPr>
            <w:tcW w:w="735" w:type="pct"/>
            <w:tcBorders>
              <w:top w:val="nil"/>
              <w:left w:val="nil"/>
              <w:bottom w:val="single" w:sz="4" w:space="0" w:color="F79646"/>
              <w:right w:val="nil"/>
            </w:tcBorders>
            <w:shd w:val="clear" w:color="auto" w:fill="auto"/>
            <w:noWrap/>
            <w:vAlign w:val="center"/>
          </w:tcPr>
          <w:p w14:paraId="444F7449" w14:textId="7821EC81" w:rsidR="004D02A8" w:rsidRPr="00FF4346" w:rsidRDefault="00320FCD"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B84671">
              <w:rPr>
                <w:rFonts w:ascii="CAIXA Std Book" w:eastAsia="Times New Roman" w:hAnsi="CAIXA Std Book" w:cs="Arial"/>
                <w:b/>
                <w:bCs/>
                <w:color w:val="005CA9"/>
                <w:sz w:val="18"/>
                <w:szCs w:val="18"/>
              </w:rPr>
              <w:t>03/2024</w:t>
            </w:r>
          </w:p>
        </w:tc>
        <w:tc>
          <w:tcPr>
            <w:tcW w:w="735" w:type="pct"/>
            <w:tcBorders>
              <w:top w:val="nil"/>
              <w:left w:val="nil"/>
              <w:bottom w:val="single" w:sz="4" w:space="0" w:color="F79646"/>
              <w:right w:val="nil"/>
            </w:tcBorders>
            <w:shd w:val="clear" w:color="auto" w:fill="auto"/>
            <w:noWrap/>
            <w:vAlign w:val="center"/>
            <w:hideMark/>
          </w:tcPr>
          <w:p w14:paraId="372CDEA0" w14:textId="414EA978" w:rsidR="004D02A8" w:rsidRPr="00FF4346" w:rsidRDefault="004D02A8" w:rsidP="004D02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021D83">
              <w:rPr>
                <w:rFonts w:ascii="CAIXA Std Book" w:eastAsia="Times New Roman" w:hAnsi="CAIXA Std Book" w:cs="Arial"/>
                <w:b/>
                <w:bCs/>
                <w:color w:val="005CA9"/>
                <w:sz w:val="18"/>
                <w:szCs w:val="18"/>
              </w:rPr>
              <w:t>3</w:t>
            </w:r>
          </w:p>
        </w:tc>
      </w:tr>
      <w:tr w:rsidR="00B23EC8" w:rsidRPr="00DF4DCE" w14:paraId="34895389" w14:textId="77777777" w:rsidTr="00D53512">
        <w:trPr>
          <w:trHeight w:val="283"/>
        </w:trPr>
        <w:tc>
          <w:tcPr>
            <w:tcW w:w="2059" w:type="pct"/>
            <w:tcBorders>
              <w:top w:val="nil"/>
              <w:left w:val="nil"/>
              <w:bottom w:val="nil"/>
              <w:right w:val="nil"/>
            </w:tcBorders>
            <w:shd w:val="clear" w:color="auto" w:fill="auto"/>
            <w:vAlign w:val="center"/>
            <w:hideMark/>
          </w:tcPr>
          <w:p w14:paraId="00F6C213" w14:textId="77777777" w:rsidR="00B23EC8" w:rsidRPr="00FF4346" w:rsidRDefault="00B23EC8" w:rsidP="00B23EC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Obrigações por empréstimos e repasses</w:t>
            </w:r>
          </w:p>
        </w:tc>
        <w:tc>
          <w:tcPr>
            <w:tcW w:w="735" w:type="pct"/>
            <w:tcBorders>
              <w:top w:val="nil"/>
              <w:left w:val="nil"/>
              <w:bottom w:val="nil"/>
              <w:right w:val="nil"/>
            </w:tcBorders>
            <w:shd w:val="clear" w:color="auto" w:fill="auto"/>
            <w:noWrap/>
            <w:vAlign w:val="center"/>
          </w:tcPr>
          <w:p w14:paraId="157FF8D2" w14:textId="7EB30C5D" w:rsidR="00B23EC8" w:rsidRPr="001F4BEE" w:rsidRDefault="00B23EC8"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449.062.386</w:t>
            </w:r>
          </w:p>
        </w:tc>
        <w:tc>
          <w:tcPr>
            <w:tcW w:w="735" w:type="pct"/>
            <w:tcBorders>
              <w:top w:val="nil"/>
              <w:left w:val="nil"/>
              <w:bottom w:val="nil"/>
              <w:right w:val="nil"/>
            </w:tcBorders>
            <w:shd w:val="clear" w:color="auto" w:fill="auto"/>
            <w:noWrap/>
            <w:vAlign w:val="center"/>
            <w:hideMark/>
          </w:tcPr>
          <w:p w14:paraId="69794051" w14:textId="44A52B72"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435.176.849</w:t>
            </w:r>
          </w:p>
        </w:tc>
        <w:tc>
          <w:tcPr>
            <w:tcW w:w="735" w:type="pct"/>
            <w:tcBorders>
              <w:top w:val="nil"/>
              <w:left w:val="nil"/>
              <w:bottom w:val="nil"/>
              <w:right w:val="nil"/>
            </w:tcBorders>
            <w:shd w:val="clear" w:color="auto" w:fill="auto"/>
            <w:noWrap/>
            <w:vAlign w:val="center"/>
          </w:tcPr>
          <w:p w14:paraId="6BA55953" w14:textId="03B4C08F" w:rsidR="00B23EC8" w:rsidRPr="00DF4DCE" w:rsidRDefault="00B72523"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449.062.386</w:t>
            </w:r>
          </w:p>
        </w:tc>
        <w:tc>
          <w:tcPr>
            <w:tcW w:w="735" w:type="pct"/>
            <w:tcBorders>
              <w:top w:val="nil"/>
              <w:left w:val="nil"/>
              <w:bottom w:val="nil"/>
              <w:right w:val="nil"/>
            </w:tcBorders>
            <w:shd w:val="clear" w:color="auto" w:fill="auto"/>
            <w:noWrap/>
            <w:vAlign w:val="center"/>
            <w:hideMark/>
          </w:tcPr>
          <w:p w14:paraId="4160AAE8" w14:textId="203C9BDB"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435.176.849</w:t>
            </w:r>
          </w:p>
        </w:tc>
      </w:tr>
      <w:tr w:rsidR="00B23EC8" w:rsidRPr="00A33766" w14:paraId="49D38179" w14:textId="77777777" w:rsidTr="00D53512">
        <w:trPr>
          <w:trHeight w:val="283"/>
        </w:trPr>
        <w:tc>
          <w:tcPr>
            <w:tcW w:w="2059" w:type="pct"/>
            <w:tcBorders>
              <w:top w:val="nil"/>
              <w:left w:val="nil"/>
              <w:bottom w:val="nil"/>
              <w:right w:val="nil"/>
            </w:tcBorders>
            <w:shd w:val="clear" w:color="auto" w:fill="auto"/>
            <w:vAlign w:val="center"/>
            <w:hideMark/>
          </w:tcPr>
          <w:p w14:paraId="13566CAA"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FGTS</w:t>
            </w:r>
          </w:p>
        </w:tc>
        <w:tc>
          <w:tcPr>
            <w:tcW w:w="735" w:type="pct"/>
            <w:tcBorders>
              <w:top w:val="nil"/>
              <w:left w:val="nil"/>
              <w:bottom w:val="nil"/>
              <w:right w:val="nil"/>
            </w:tcBorders>
            <w:shd w:val="clear" w:color="auto" w:fill="auto"/>
            <w:noWrap/>
            <w:vAlign w:val="center"/>
          </w:tcPr>
          <w:p w14:paraId="75936A94" w14:textId="35EE367C"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425.937.154</w:t>
            </w:r>
          </w:p>
        </w:tc>
        <w:tc>
          <w:tcPr>
            <w:tcW w:w="735" w:type="pct"/>
            <w:tcBorders>
              <w:top w:val="nil"/>
              <w:left w:val="nil"/>
              <w:bottom w:val="nil"/>
              <w:right w:val="nil"/>
            </w:tcBorders>
            <w:shd w:val="clear" w:color="auto" w:fill="auto"/>
            <w:noWrap/>
            <w:vAlign w:val="center"/>
            <w:hideMark/>
          </w:tcPr>
          <w:p w14:paraId="336CB224" w14:textId="0F808078"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411.615.210</w:t>
            </w:r>
          </w:p>
        </w:tc>
        <w:tc>
          <w:tcPr>
            <w:tcW w:w="735" w:type="pct"/>
            <w:tcBorders>
              <w:top w:val="nil"/>
              <w:left w:val="nil"/>
              <w:bottom w:val="nil"/>
              <w:right w:val="nil"/>
            </w:tcBorders>
            <w:shd w:val="clear" w:color="auto" w:fill="auto"/>
            <w:noWrap/>
            <w:vAlign w:val="center"/>
          </w:tcPr>
          <w:p w14:paraId="6BFAEB03" w14:textId="484BE672"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425.937.154</w:t>
            </w:r>
          </w:p>
        </w:tc>
        <w:tc>
          <w:tcPr>
            <w:tcW w:w="735" w:type="pct"/>
            <w:tcBorders>
              <w:top w:val="nil"/>
              <w:left w:val="nil"/>
              <w:bottom w:val="nil"/>
              <w:right w:val="nil"/>
            </w:tcBorders>
            <w:shd w:val="clear" w:color="auto" w:fill="auto"/>
            <w:noWrap/>
            <w:vAlign w:val="center"/>
            <w:hideMark/>
          </w:tcPr>
          <w:p w14:paraId="1416CD6D" w14:textId="5033F5E7"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411.615.210</w:t>
            </w:r>
          </w:p>
        </w:tc>
      </w:tr>
      <w:tr w:rsidR="00B23EC8" w:rsidRPr="00A33766" w14:paraId="1A632ADE" w14:textId="77777777" w:rsidTr="00D53512">
        <w:trPr>
          <w:trHeight w:val="283"/>
        </w:trPr>
        <w:tc>
          <w:tcPr>
            <w:tcW w:w="2059" w:type="pct"/>
            <w:tcBorders>
              <w:top w:val="nil"/>
              <w:left w:val="nil"/>
              <w:bottom w:val="nil"/>
              <w:right w:val="nil"/>
            </w:tcBorders>
            <w:shd w:val="clear" w:color="auto" w:fill="auto"/>
            <w:vAlign w:val="center"/>
            <w:hideMark/>
          </w:tcPr>
          <w:p w14:paraId="521AE59C"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BNDES</w:t>
            </w:r>
          </w:p>
        </w:tc>
        <w:tc>
          <w:tcPr>
            <w:tcW w:w="735" w:type="pct"/>
            <w:tcBorders>
              <w:top w:val="nil"/>
              <w:left w:val="nil"/>
              <w:bottom w:val="nil"/>
              <w:right w:val="nil"/>
            </w:tcBorders>
            <w:shd w:val="clear" w:color="auto" w:fill="auto"/>
            <w:noWrap/>
            <w:vAlign w:val="center"/>
          </w:tcPr>
          <w:p w14:paraId="6CE765AA" w14:textId="0EACFFB4"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18.241.180</w:t>
            </w:r>
          </w:p>
        </w:tc>
        <w:tc>
          <w:tcPr>
            <w:tcW w:w="735" w:type="pct"/>
            <w:tcBorders>
              <w:top w:val="nil"/>
              <w:left w:val="nil"/>
              <w:bottom w:val="nil"/>
              <w:right w:val="nil"/>
            </w:tcBorders>
            <w:shd w:val="clear" w:color="auto" w:fill="auto"/>
            <w:noWrap/>
            <w:vAlign w:val="center"/>
            <w:hideMark/>
          </w:tcPr>
          <w:p w14:paraId="04341C5A" w14:textId="4FCD3D15"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18.582.325</w:t>
            </w:r>
          </w:p>
        </w:tc>
        <w:tc>
          <w:tcPr>
            <w:tcW w:w="735" w:type="pct"/>
            <w:tcBorders>
              <w:top w:val="nil"/>
              <w:left w:val="nil"/>
              <w:bottom w:val="nil"/>
              <w:right w:val="nil"/>
            </w:tcBorders>
            <w:shd w:val="clear" w:color="auto" w:fill="auto"/>
            <w:noWrap/>
            <w:vAlign w:val="center"/>
          </w:tcPr>
          <w:p w14:paraId="5E306A42" w14:textId="22D47B9B"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18.241.180</w:t>
            </w:r>
          </w:p>
        </w:tc>
        <w:tc>
          <w:tcPr>
            <w:tcW w:w="735" w:type="pct"/>
            <w:tcBorders>
              <w:top w:val="nil"/>
              <w:left w:val="nil"/>
              <w:bottom w:val="nil"/>
              <w:right w:val="nil"/>
            </w:tcBorders>
            <w:shd w:val="clear" w:color="auto" w:fill="auto"/>
            <w:noWrap/>
            <w:vAlign w:val="center"/>
            <w:hideMark/>
          </w:tcPr>
          <w:p w14:paraId="02693D59" w14:textId="746D747C"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18.582.325</w:t>
            </w:r>
          </w:p>
        </w:tc>
      </w:tr>
      <w:tr w:rsidR="00B23EC8" w:rsidRPr="00A33766" w14:paraId="2EA0E45F" w14:textId="77777777" w:rsidTr="00D53512">
        <w:trPr>
          <w:trHeight w:val="283"/>
        </w:trPr>
        <w:tc>
          <w:tcPr>
            <w:tcW w:w="2059" w:type="pct"/>
            <w:tcBorders>
              <w:top w:val="nil"/>
              <w:left w:val="nil"/>
              <w:bottom w:val="nil"/>
              <w:right w:val="nil"/>
            </w:tcBorders>
            <w:shd w:val="clear" w:color="auto" w:fill="auto"/>
            <w:vAlign w:val="center"/>
            <w:hideMark/>
          </w:tcPr>
          <w:p w14:paraId="69704E94"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Fundo da Marinha Mercante</w:t>
            </w:r>
          </w:p>
        </w:tc>
        <w:tc>
          <w:tcPr>
            <w:tcW w:w="735" w:type="pct"/>
            <w:tcBorders>
              <w:top w:val="nil"/>
              <w:left w:val="nil"/>
              <w:bottom w:val="nil"/>
              <w:right w:val="nil"/>
            </w:tcBorders>
            <w:shd w:val="clear" w:color="auto" w:fill="auto"/>
            <w:noWrap/>
            <w:vAlign w:val="center"/>
          </w:tcPr>
          <w:p w14:paraId="148382FF" w14:textId="1DDA48E7"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2.226.833</w:t>
            </w:r>
          </w:p>
        </w:tc>
        <w:tc>
          <w:tcPr>
            <w:tcW w:w="735" w:type="pct"/>
            <w:tcBorders>
              <w:top w:val="nil"/>
              <w:left w:val="nil"/>
              <w:bottom w:val="nil"/>
              <w:right w:val="nil"/>
            </w:tcBorders>
            <w:shd w:val="clear" w:color="auto" w:fill="auto"/>
            <w:noWrap/>
            <w:vAlign w:val="center"/>
            <w:hideMark/>
          </w:tcPr>
          <w:p w14:paraId="14453473" w14:textId="0FAD1F08"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2.232.712</w:t>
            </w:r>
          </w:p>
        </w:tc>
        <w:tc>
          <w:tcPr>
            <w:tcW w:w="735" w:type="pct"/>
            <w:tcBorders>
              <w:top w:val="nil"/>
              <w:left w:val="nil"/>
              <w:bottom w:val="nil"/>
              <w:right w:val="nil"/>
            </w:tcBorders>
            <w:shd w:val="clear" w:color="auto" w:fill="auto"/>
            <w:noWrap/>
            <w:vAlign w:val="center"/>
          </w:tcPr>
          <w:p w14:paraId="3DF9E204" w14:textId="4C96BB21"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2.226.833</w:t>
            </w:r>
          </w:p>
        </w:tc>
        <w:tc>
          <w:tcPr>
            <w:tcW w:w="735" w:type="pct"/>
            <w:tcBorders>
              <w:top w:val="nil"/>
              <w:left w:val="nil"/>
              <w:bottom w:val="nil"/>
              <w:right w:val="nil"/>
            </w:tcBorders>
            <w:shd w:val="clear" w:color="auto" w:fill="auto"/>
            <w:noWrap/>
            <w:vAlign w:val="center"/>
            <w:hideMark/>
          </w:tcPr>
          <w:p w14:paraId="36607CCF" w14:textId="261AA386"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2.232.712</w:t>
            </w:r>
          </w:p>
        </w:tc>
      </w:tr>
      <w:tr w:rsidR="00B23EC8" w:rsidRPr="00A33766" w14:paraId="30C3CF72" w14:textId="77777777" w:rsidTr="00D53512">
        <w:trPr>
          <w:trHeight w:val="283"/>
        </w:trPr>
        <w:tc>
          <w:tcPr>
            <w:tcW w:w="2059" w:type="pct"/>
            <w:tcBorders>
              <w:top w:val="nil"/>
              <w:left w:val="nil"/>
              <w:bottom w:val="nil"/>
              <w:right w:val="nil"/>
            </w:tcBorders>
            <w:shd w:val="clear" w:color="auto" w:fill="auto"/>
            <w:vAlign w:val="center"/>
            <w:hideMark/>
          </w:tcPr>
          <w:p w14:paraId="6D65DBD0"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Tesouro Nacional</w:t>
            </w:r>
          </w:p>
        </w:tc>
        <w:tc>
          <w:tcPr>
            <w:tcW w:w="735" w:type="pct"/>
            <w:tcBorders>
              <w:top w:val="nil"/>
              <w:left w:val="nil"/>
              <w:bottom w:val="nil"/>
              <w:right w:val="nil"/>
            </w:tcBorders>
            <w:shd w:val="clear" w:color="auto" w:fill="auto"/>
            <w:noWrap/>
            <w:vAlign w:val="center"/>
          </w:tcPr>
          <w:p w14:paraId="77AEA974" w14:textId="5A2B7559"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13.462</w:t>
            </w:r>
          </w:p>
        </w:tc>
        <w:tc>
          <w:tcPr>
            <w:tcW w:w="735" w:type="pct"/>
            <w:tcBorders>
              <w:top w:val="nil"/>
              <w:left w:val="nil"/>
              <w:bottom w:val="nil"/>
              <w:right w:val="nil"/>
            </w:tcBorders>
            <w:shd w:val="clear" w:color="auto" w:fill="auto"/>
            <w:noWrap/>
            <w:vAlign w:val="center"/>
            <w:hideMark/>
          </w:tcPr>
          <w:p w14:paraId="02A7C0C1" w14:textId="7F8C258F"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13.666</w:t>
            </w:r>
          </w:p>
        </w:tc>
        <w:tc>
          <w:tcPr>
            <w:tcW w:w="735" w:type="pct"/>
            <w:tcBorders>
              <w:top w:val="nil"/>
              <w:left w:val="nil"/>
              <w:bottom w:val="nil"/>
              <w:right w:val="nil"/>
            </w:tcBorders>
            <w:shd w:val="clear" w:color="auto" w:fill="auto"/>
            <w:noWrap/>
            <w:vAlign w:val="center"/>
          </w:tcPr>
          <w:p w14:paraId="789A5818" w14:textId="4D95C850"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13.462</w:t>
            </w:r>
          </w:p>
        </w:tc>
        <w:tc>
          <w:tcPr>
            <w:tcW w:w="735" w:type="pct"/>
            <w:tcBorders>
              <w:top w:val="nil"/>
              <w:left w:val="nil"/>
              <w:bottom w:val="nil"/>
              <w:right w:val="nil"/>
            </w:tcBorders>
            <w:shd w:val="clear" w:color="auto" w:fill="auto"/>
            <w:noWrap/>
            <w:vAlign w:val="center"/>
            <w:hideMark/>
          </w:tcPr>
          <w:p w14:paraId="54328276" w14:textId="67000380"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13.666</w:t>
            </w:r>
          </w:p>
        </w:tc>
      </w:tr>
      <w:tr w:rsidR="00B23EC8" w:rsidRPr="00A33766" w14:paraId="1CF4B62E" w14:textId="77777777" w:rsidTr="00D53512">
        <w:trPr>
          <w:trHeight w:val="283"/>
        </w:trPr>
        <w:tc>
          <w:tcPr>
            <w:tcW w:w="2059" w:type="pct"/>
            <w:tcBorders>
              <w:top w:val="nil"/>
              <w:left w:val="nil"/>
              <w:bottom w:val="nil"/>
              <w:right w:val="nil"/>
            </w:tcBorders>
            <w:shd w:val="clear" w:color="auto" w:fill="auto"/>
            <w:vAlign w:val="center"/>
            <w:hideMark/>
          </w:tcPr>
          <w:p w14:paraId="62FA1570"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Repasses do exterior</w:t>
            </w:r>
          </w:p>
        </w:tc>
        <w:tc>
          <w:tcPr>
            <w:tcW w:w="735" w:type="pct"/>
            <w:tcBorders>
              <w:top w:val="nil"/>
              <w:left w:val="nil"/>
              <w:bottom w:val="nil"/>
              <w:right w:val="nil"/>
            </w:tcBorders>
            <w:shd w:val="clear" w:color="auto" w:fill="auto"/>
            <w:noWrap/>
            <w:vAlign w:val="center"/>
          </w:tcPr>
          <w:p w14:paraId="2F155F67" w14:textId="5041B059"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214.136</w:t>
            </w:r>
          </w:p>
        </w:tc>
        <w:tc>
          <w:tcPr>
            <w:tcW w:w="735" w:type="pct"/>
            <w:tcBorders>
              <w:top w:val="nil"/>
              <w:left w:val="nil"/>
              <w:bottom w:val="nil"/>
              <w:right w:val="nil"/>
            </w:tcBorders>
            <w:shd w:val="clear" w:color="auto" w:fill="auto"/>
            <w:noWrap/>
            <w:vAlign w:val="center"/>
            <w:hideMark/>
          </w:tcPr>
          <w:p w14:paraId="61F9B39B" w14:textId="3E89CCDF"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259.590</w:t>
            </w:r>
          </w:p>
        </w:tc>
        <w:tc>
          <w:tcPr>
            <w:tcW w:w="735" w:type="pct"/>
            <w:tcBorders>
              <w:top w:val="nil"/>
              <w:left w:val="nil"/>
              <w:bottom w:val="nil"/>
              <w:right w:val="nil"/>
            </w:tcBorders>
            <w:shd w:val="clear" w:color="auto" w:fill="auto"/>
            <w:noWrap/>
            <w:vAlign w:val="center"/>
          </w:tcPr>
          <w:p w14:paraId="436C1C32" w14:textId="0632916A"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214.136</w:t>
            </w:r>
          </w:p>
        </w:tc>
        <w:tc>
          <w:tcPr>
            <w:tcW w:w="735" w:type="pct"/>
            <w:tcBorders>
              <w:top w:val="nil"/>
              <w:left w:val="nil"/>
              <w:bottom w:val="nil"/>
              <w:right w:val="nil"/>
            </w:tcBorders>
            <w:shd w:val="clear" w:color="auto" w:fill="auto"/>
            <w:noWrap/>
            <w:vAlign w:val="center"/>
            <w:hideMark/>
          </w:tcPr>
          <w:p w14:paraId="258290AB" w14:textId="06932BB5"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259.590</w:t>
            </w:r>
          </w:p>
        </w:tc>
      </w:tr>
      <w:tr w:rsidR="00B23EC8" w:rsidRPr="00A33766" w14:paraId="6E86C8B1" w14:textId="77777777" w:rsidTr="00D53512">
        <w:trPr>
          <w:trHeight w:val="283"/>
        </w:trPr>
        <w:tc>
          <w:tcPr>
            <w:tcW w:w="2059" w:type="pct"/>
            <w:tcBorders>
              <w:top w:val="nil"/>
              <w:left w:val="nil"/>
              <w:bottom w:val="nil"/>
              <w:right w:val="nil"/>
            </w:tcBorders>
            <w:shd w:val="clear" w:color="auto" w:fill="auto"/>
            <w:vAlign w:val="center"/>
            <w:hideMark/>
          </w:tcPr>
          <w:p w14:paraId="72FDD62E"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Empréstimos no exterior</w:t>
            </w:r>
          </w:p>
        </w:tc>
        <w:tc>
          <w:tcPr>
            <w:tcW w:w="735" w:type="pct"/>
            <w:tcBorders>
              <w:top w:val="nil"/>
              <w:left w:val="nil"/>
              <w:bottom w:val="nil"/>
              <w:right w:val="nil"/>
            </w:tcBorders>
            <w:shd w:val="clear" w:color="auto" w:fill="auto"/>
            <w:noWrap/>
            <w:vAlign w:val="center"/>
          </w:tcPr>
          <w:p w14:paraId="0F0E89E4" w14:textId="03171815"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1.419.988</w:t>
            </w:r>
          </w:p>
        </w:tc>
        <w:tc>
          <w:tcPr>
            <w:tcW w:w="735" w:type="pct"/>
            <w:tcBorders>
              <w:top w:val="nil"/>
              <w:left w:val="nil"/>
              <w:bottom w:val="nil"/>
              <w:right w:val="nil"/>
            </w:tcBorders>
            <w:shd w:val="clear" w:color="auto" w:fill="auto"/>
            <w:noWrap/>
            <w:vAlign w:val="center"/>
            <w:hideMark/>
          </w:tcPr>
          <w:p w14:paraId="3BCCA7F3" w14:textId="47854C78"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1.428.282</w:t>
            </w:r>
          </w:p>
        </w:tc>
        <w:tc>
          <w:tcPr>
            <w:tcW w:w="735" w:type="pct"/>
            <w:tcBorders>
              <w:top w:val="nil"/>
              <w:left w:val="nil"/>
              <w:bottom w:val="nil"/>
              <w:right w:val="nil"/>
            </w:tcBorders>
            <w:shd w:val="clear" w:color="auto" w:fill="auto"/>
            <w:noWrap/>
            <w:vAlign w:val="center"/>
          </w:tcPr>
          <w:p w14:paraId="3553F0FE" w14:textId="5D0135A5"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1.419.988</w:t>
            </w:r>
          </w:p>
        </w:tc>
        <w:tc>
          <w:tcPr>
            <w:tcW w:w="735" w:type="pct"/>
            <w:tcBorders>
              <w:top w:val="nil"/>
              <w:left w:val="nil"/>
              <w:bottom w:val="nil"/>
              <w:right w:val="nil"/>
            </w:tcBorders>
            <w:shd w:val="clear" w:color="auto" w:fill="auto"/>
            <w:noWrap/>
            <w:vAlign w:val="center"/>
            <w:hideMark/>
          </w:tcPr>
          <w:p w14:paraId="70510056" w14:textId="570068F0"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1.428.282</w:t>
            </w:r>
          </w:p>
        </w:tc>
      </w:tr>
      <w:tr w:rsidR="00B23EC8" w:rsidRPr="00A33766" w14:paraId="0586244B" w14:textId="77777777" w:rsidTr="00D53512">
        <w:trPr>
          <w:trHeight w:val="283"/>
        </w:trPr>
        <w:tc>
          <w:tcPr>
            <w:tcW w:w="2059" w:type="pct"/>
            <w:tcBorders>
              <w:top w:val="nil"/>
              <w:left w:val="nil"/>
              <w:bottom w:val="nil"/>
              <w:right w:val="nil"/>
            </w:tcBorders>
            <w:shd w:val="clear" w:color="auto" w:fill="auto"/>
            <w:vAlign w:val="center"/>
            <w:hideMark/>
          </w:tcPr>
          <w:p w14:paraId="43CE2C68" w14:textId="77777777" w:rsidR="00B23EC8" w:rsidRPr="00FF4346" w:rsidRDefault="00B23EC8" w:rsidP="00B23EC8">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Outras</w:t>
            </w:r>
          </w:p>
        </w:tc>
        <w:tc>
          <w:tcPr>
            <w:tcW w:w="735" w:type="pct"/>
            <w:tcBorders>
              <w:top w:val="nil"/>
              <w:left w:val="nil"/>
              <w:bottom w:val="nil"/>
              <w:right w:val="nil"/>
            </w:tcBorders>
            <w:shd w:val="clear" w:color="auto" w:fill="auto"/>
            <w:noWrap/>
            <w:vAlign w:val="center"/>
          </w:tcPr>
          <w:p w14:paraId="578A603B" w14:textId="280397A0"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1.009.633</w:t>
            </w:r>
          </w:p>
        </w:tc>
        <w:tc>
          <w:tcPr>
            <w:tcW w:w="735" w:type="pct"/>
            <w:tcBorders>
              <w:top w:val="nil"/>
              <w:left w:val="nil"/>
              <w:bottom w:val="nil"/>
              <w:right w:val="nil"/>
            </w:tcBorders>
            <w:shd w:val="clear" w:color="auto" w:fill="auto"/>
            <w:noWrap/>
            <w:vAlign w:val="center"/>
            <w:hideMark/>
          </w:tcPr>
          <w:p w14:paraId="729A9817" w14:textId="5FD3800B"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1.045.064</w:t>
            </w:r>
          </w:p>
        </w:tc>
        <w:tc>
          <w:tcPr>
            <w:tcW w:w="735" w:type="pct"/>
            <w:tcBorders>
              <w:top w:val="nil"/>
              <w:left w:val="nil"/>
              <w:bottom w:val="nil"/>
              <w:right w:val="nil"/>
            </w:tcBorders>
            <w:shd w:val="clear" w:color="auto" w:fill="auto"/>
            <w:noWrap/>
            <w:vAlign w:val="center"/>
          </w:tcPr>
          <w:p w14:paraId="2FC99056" w14:textId="1273E63E" w:rsidR="00B23EC8" w:rsidRPr="00DF4DCE" w:rsidRDefault="00B72523"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1.009.633</w:t>
            </w:r>
          </w:p>
        </w:tc>
        <w:tc>
          <w:tcPr>
            <w:tcW w:w="735" w:type="pct"/>
            <w:tcBorders>
              <w:top w:val="nil"/>
              <w:left w:val="nil"/>
              <w:bottom w:val="nil"/>
              <w:right w:val="nil"/>
            </w:tcBorders>
            <w:shd w:val="clear" w:color="auto" w:fill="auto"/>
            <w:noWrap/>
            <w:vAlign w:val="center"/>
            <w:hideMark/>
          </w:tcPr>
          <w:p w14:paraId="62B2EEF5" w14:textId="45C6A324"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1.045.064</w:t>
            </w:r>
          </w:p>
        </w:tc>
      </w:tr>
      <w:tr w:rsidR="00B23EC8" w:rsidRPr="00DF4DCE" w14:paraId="3C8C300B" w14:textId="77777777" w:rsidTr="00D53512">
        <w:trPr>
          <w:trHeight w:val="283"/>
        </w:trPr>
        <w:tc>
          <w:tcPr>
            <w:tcW w:w="2059" w:type="pct"/>
            <w:tcBorders>
              <w:top w:val="nil"/>
              <w:left w:val="nil"/>
              <w:bottom w:val="nil"/>
              <w:right w:val="nil"/>
            </w:tcBorders>
            <w:shd w:val="clear" w:color="auto" w:fill="auto"/>
            <w:vAlign w:val="center"/>
            <w:hideMark/>
          </w:tcPr>
          <w:p w14:paraId="062B0B52" w14:textId="77777777" w:rsidR="00B23EC8" w:rsidRPr="00FF4346" w:rsidRDefault="00B23EC8" w:rsidP="00B23EC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Captações no mercado aberto</w:t>
            </w:r>
          </w:p>
        </w:tc>
        <w:tc>
          <w:tcPr>
            <w:tcW w:w="735" w:type="pct"/>
            <w:tcBorders>
              <w:top w:val="nil"/>
              <w:left w:val="nil"/>
              <w:bottom w:val="nil"/>
              <w:right w:val="nil"/>
            </w:tcBorders>
            <w:shd w:val="clear" w:color="auto" w:fill="auto"/>
            <w:noWrap/>
            <w:vAlign w:val="center"/>
          </w:tcPr>
          <w:p w14:paraId="3C5DF380" w14:textId="2CDC9F3C" w:rsidR="00B23EC8" w:rsidRPr="001F4BEE" w:rsidRDefault="00B23EC8"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258.929.987</w:t>
            </w:r>
          </w:p>
        </w:tc>
        <w:tc>
          <w:tcPr>
            <w:tcW w:w="735" w:type="pct"/>
            <w:tcBorders>
              <w:top w:val="nil"/>
              <w:left w:val="nil"/>
              <w:bottom w:val="nil"/>
              <w:right w:val="nil"/>
            </w:tcBorders>
            <w:shd w:val="clear" w:color="auto" w:fill="auto"/>
            <w:noWrap/>
            <w:vAlign w:val="center"/>
            <w:hideMark/>
          </w:tcPr>
          <w:p w14:paraId="7B533D81" w14:textId="4FE407C7"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227.605.105</w:t>
            </w:r>
          </w:p>
        </w:tc>
        <w:tc>
          <w:tcPr>
            <w:tcW w:w="735" w:type="pct"/>
            <w:tcBorders>
              <w:top w:val="nil"/>
              <w:left w:val="nil"/>
              <w:bottom w:val="nil"/>
              <w:right w:val="nil"/>
            </w:tcBorders>
            <w:shd w:val="clear" w:color="auto" w:fill="auto"/>
            <w:noWrap/>
            <w:vAlign w:val="center"/>
          </w:tcPr>
          <w:p w14:paraId="436B6D0F" w14:textId="20C50160" w:rsidR="00B23EC8" w:rsidRPr="00DF4DCE" w:rsidRDefault="00B72523" w:rsidP="00B23EC8">
            <w:pPr>
              <w:jc w:val="right"/>
              <w:rPr>
                <w:rFonts w:ascii="CAIXA Std Book" w:hAnsi="CAIXA Std Book" w:cs="Arial"/>
                <w:b/>
                <w:bCs/>
                <w:color w:val="005CA9"/>
                <w:sz w:val="18"/>
                <w:szCs w:val="18"/>
              </w:rPr>
            </w:pPr>
            <w:r w:rsidRPr="00B72523">
              <w:rPr>
                <w:rFonts w:ascii="CAIXA Std Book" w:hAnsi="CAIXA Std Book" w:cs="Arial"/>
                <w:b/>
                <w:bCs/>
                <w:color w:val="005CA9"/>
                <w:sz w:val="18"/>
                <w:szCs w:val="18"/>
              </w:rPr>
              <w:t>257.698.073</w:t>
            </w:r>
          </w:p>
        </w:tc>
        <w:tc>
          <w:tcPr>
            <w:tcW w:w="735" w:type="pct"/>
            <w:tcBorders>
              <w:top w:val="nil"/>
              <w:left w:val="nil"/>
              <w:bottom w:val="nil"/>
              <w:right w:val="nil"/>
            </w:tcBorders>
            <w:shd w:val="clear" w:color="auto" w:fill="auto"/>
            <w:noWrap/>
            <w:vAlign w:val="center"/>
            <w:hideMark/>
          </w:tcPr>
          <w:p w14:paraId="0B43A135" w14:textId="706D81C1" w:rsidR="00B23EC8" w:rsidRPr="00DF4DCE" w:rsidRDefault="00B23EC8" w:rsidP="00B23EC8">
            <w:pPr>
              <w:jc w:val="right"/>
              <w:rPr>
                <w:rFonts w:ascii="CAIXA Std Book" w:hAnsi="CAIXA Std Book" w:cs="Arial"/>
                <w:b/>
                <w:bCs/>
                <w:color w:val="005CA9"/>
                <w:sz w:val="18"/>
                <w:szCs w:val="18"/>
              </w:rPr>
            </w:pPr>
            <w:bookmarkStart w:id="77" w:name="OLE_LINK2"/>
            <w:r w:rsidRPr="00DF4DCE">
              <w:rPr>
                <w:rFonts w:ascii="CAIXA Std Book" w:hAnsi="CAIXA Std Book" w:cs="Arial"/>
                <w:b/>
                <w:bCs/>
                <w:color w:val="005CA9"/>
                <w:sz w:val="18"/>
                <w:szCs w:val="18"/>
              </w:rPr>
              <w:t>226.703.277</w:t>
            </w:r>
            <w:bookmarkEnd w:id="77"/>
          </w:p>
        </w:tc>
      </w:tr>
      <w:tr w:rsidR="00B23EC8" w:rsidRPr="00A33766" w14:paraId="3DD30B0D" w14:textId="77777777" w:rsidTr="00D53512">
        <w:trPr>
          <w:trHeight w:val="283"/>
        </w:trPr>
        <w:tc>
          <w:tcPr>
            <w:tcW w:w="2059" w:type="pct"/>
            <w:tcBorders>
              <w:top w:val="nil"/>
              <w:left w:val="nil"/>
              <w:bottom w:val="nil"/>
              <w:right w:val="nil"/>
            </w:tcBorders>
            <w:shd w:val="clear" w:color="auto" w:fill="auto"/>
            <w:vAlign w:val="center"/>
            <w:hideMark/>
          </w:tcPr>
          <w:p w14:paraId="691BDBE7" w14:textId="77777777" w:rsidR="00B23EC8" w:rsidRPr="00FF4346" w:rsidRDefault="00B23EC8" w:rsidP="00B23EC8">
            <w:pPr>
              <w:ind w:firstLineChars="100" w:firstLine="181"/>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Carteira própria</w:t>
            </w:r>
          </w:p>
        </w:tc>
        <w:tc>
          <w:tcPr>
            <w:tcW w:w="735" w:type="pct"/>
            <w:tcBorders>
              <w:top w:val="nil"/>
              <w:left w:val="nil"/>
              <w:bottom w:val="nil"/>
              <w:right w:val="nil"/>
            </w:tcBorders>
            <w:shd w:val="clear" w:color="auto" w:fill="auto"/>
            <w:noWrap/>
            <w:vAlign w:val="center"/>
          </w:tcPr>
          <w:p w14:paraId="6CD018D0" w14:textId="26D57D91" w:rsidR="00B23EC8" w:rsidRPr="001F4BEE" w:rsidRDefault="00B23EC8"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188.206.204</w:t>
            </w:r>
          </w:p>
        </w:tc>
        <w:tc>
          <w:tcPr>
            <w:tcW w:w="735" w:type="pct"/>
            <w:tcBorders>
              <w:top w:val="nil"/>
              <w:left w:val="nil"/>
              <w:bottom w:val="nil"/>
              <w:right w:val="nil"/>
            </w:tcBorders>
            <w:shd w:val="clear" w:color="auto" w:fill="auto"/>
            <w:noWrap/>
            <w:vAlign w:val="center"/>
            <w:hideMark/>
          </w:tcPr>
          <w:p w14:paraId="0654D2FC" w14:textId="7A0B38B4"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171.528.658</w:t>
            </w:r>
          </w:p>
        </w:tc>
        <w:tc>
          <w:tcPr>
            <w:tcW w:w="735" w:type="pct"/>
            <w:tcBorders>
              <w:top w:val="nil"/>
              <w:left w:val="nil"/>
              <w:bottom w:val="nil"/>
              <w:right w:val="nil"/>
            </w:tcBorders>
            <w:shd w:val="clear" w:color="auto" w:fill="auto"/>
            <w:noWrap/>
            <w:vAlign w:val="center"/>
          </w:tcPr>
          <w:p w14:paraId="7F2EC4EA" w14:textId="65C5482D" w:rsidR="00B23EC8" w:rsidRPr="00DF4DCE" w:rsidRDefault="00B72523" w:rsidP="00B23EC8">
            <w:pPr>
              <w:jc w:val="right"/>
              <w:rPr>
                <w:rFonts w:ascii="CAIXA Std Book" w:hAnsi="CAIXA Std Book" w:cs="Arial"/>
                <w:b/>
                <w:bCs/>
                <w:color w:val="005CA9"/>
                <w:sz w:val="18"/>
                <w:szCs w:val="18"/>
              </w:rPr>
            </w:pPr>
            <w:r w:rsidRPr="00B72523">
              <w:rPr>
                <w:rFonts w:ascii="CAIXA Std Book" w:hAnsi="CAIXA Std Book" w:cs="Arial"/>
                <w:b/>
                <w:bCs/>
                <w:color w:val="005CA9"/>
                <w:sz w:val="18"/>
                <w:szCs w:val="18"/>
              </w:rPr>
              <w:t>186.974.290</w:t>
            </w:r>
          </w:p>
        </w:tc>
        <w:tc>
          <w:tcPr>
            <w:tcW w:w="735" w:type="pct"/>
            <w:tcBorders>
              <w:top w:val="nil"/>
              <w:left w:val="nil"/>
              <w:bottom w:val="nil"/>
              <w:right w:val="nil"/>
            </w:tcBorders>
            <w:shd w:val="clear" w:color="auto" w:fill="auto"/>
            <w:noWrap/>
            <w:vAlign w:val="center"/>
            <w:hideMark/>
          </w:tcPr>
          <w:p w14:paraId="40454E20" w14:textId="3417B59C"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170.626.830</w:t>
            </w:r>
          </w:p>
        </w:tc>
      </w:tr>
      <w:tr w:rsidR="00B23EC8" w:rsidRPr="00A33766" w14:paraId="1B6D66FF" w14:textId="77777777" w:rsidTr="00D53512">
        <w:trPr>
          <w:trHeight w:val="283"/>
        </w:trPr>
        <w:tc>
          <w:tcPr>
            <w:tcW w:w="2059" w:type="pct"/>
            <w:tcBorders>
              <w:top w:val="nil"/>
              <w:left w:val="nil"/>
              <w:bottom w:val="nil"/>
              <w:right w:val="nil"/>
            </w:tcBorders>
            <w:shd w:val="clear" w:color="auto" w:fill="auto"/>
            <w:vAlign w:val="center"/>
            <w:hideMark/>
          </w:tcPr>
          <w:p w14:paraId="645BBB00"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Letras Financeiras do Tesouro </w:t>
            </w:r>
          </w:p>
        </w:tc>
        <w:tc>
          <w:tcPr>
            <w:tcW w:w="735" w:type="pct"/>
            <w:tcBorders>
              <w:top w:val="nil"/>
              <w:left w:val="nil"/>
              <w:bottom w:val="nil"/>
              <w:right w:val="nil"/>
            </w:tcBorders>
            <w:shd w:val="clear" w:color="auto" w:fill="auto"/>
            <w:noWrap/>
            <w:vAlign w:val="center"/>
          </w:tcPr>
          <w:p w14:paraId="2E21E191" w14:textId="673EE310"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111.233.019</w:t>
            </w:r>
          </w:p>
        </w:tc>
        <w:tc>
          <w:tcPr>
            <w:tcW w:w="735" w:type="pct"/>
            <w:tcBorders>
              <w:top w:val="nil"/>
              <w:left w:val="nil"/>
              <w:bottom w:val="nil"/>
              <w:right w:val="nil"/>
            </w:tcBorders>
            <w:shd w:val="clear" w:color="auto" w:fill="auto"/>
            <w:noWrap/>
            <w:vAlign w:val="center"/>
            <w:hideMark/>
          </w:tcPr>
          <w:p w14:paraId="64D74719" w14:textId="1B8B424F"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81.738.480</w:t>
            </w:r>
          </w:p>
        </w:tc>
        <w:tc>
          <w:tcPr>
            <w:tcW w:w="735" w:type="pct"/>
            <w:tcBorders>
              <w:top w:val="nil"/>
              <w:left w:val="nil"/>
              <w:bottom w:val="nil"/>
              <w:right w:val="nil"/>
            </w:tcBorders>
            <w:shd w:val="clear" w:color="auto" w:fill="auto"/>
            <w:noWrap/>
            <w:vAlign w:val="center"/>
          </w:tcPr>
          <w:p w14:paraId="31CF789A" w14:textId="1FFDC10B" w:rsidR="00B23EC8" w:rsidRPr="00DF4DCE" w:rsidRDefault="00B72523" w:rsidP="00B23EC8">
            <w:pPr>
              <w:jc w:val="right"/>
              <w:rPr>
                <w:rFonts w:ascii="CAIXA Std Book" w:hAnsi="CAIXA Std Book" w:cs="Arial"/>
                <w:color w:val="005CA9"/>
                <w:sz w:val="18"/>
                <w:szCs w:val="18"/>
              </w:rPr>
            </w:pPr>
            <w:r w:rsidRPr="00B72523">
              <w:rPr>
                <w:rFonts w:ascii="CAIXA Std Book" w:hAnsi="CAIXA Std Book" w:cs="Arial"/>
                <w:color w:val="005CA9"/>
                <w:sz w:val="18"/>
                <w:szCs w:val="18"/>
              </w:rPr>
              <w:t>110.117.473</w:t>
            </w:r>
          </w:p>
        </w:tc>
        <w:tc>
          <w:tcPr>
            <w:tcW w:w="735" w:type="pct"/>
            <w:tcBorders>
              <w:top w:val="nil"/>
              <w:left w:val="nil"/>
              <w:bottom w:val="nil"/>
              <w:right w:val="nil"/>
            </w:tcBorders>
            <w:shd w:val="clear" w:color="auto" w:fill="auto"/>
            <w:noWrap/>
            <w:vAlign w:val="center"/>
            <w:hideMark/>
          </w:tcPr>
          <w:p w14:paraId="7F5282B5" w14:textId="0C9EFC1D"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81.738.480</w:t>
            </w:r>
          </w:p>
        </w:tc>
      </w:tr>
      <w:tr w:rsidR="00B23EC8" w:rsidRPr="00A33766" w14:paraId="09A828D9" w14:textId="77777777" w:rsidTr="00D53512">
        <w:trPr>
          <w:trHeight w:val="283"/>
        </w:trPr>
        <w:tc>
          <w:tcPr>
            <w:tcW w:w="2059" w:type="pct"/>
            <w:tcBorders>
              <w:top w:val="nil"/>
              <w:left w:val="nil"/>
              <w:bottom w:val="nil"/>
              <w:right w:val="nil"/>
            </w:tcBorders>
            <w:shd w:val="clear" w:color="auto" w:fill="auto"/>
            <w:vAlign w:val="center"/>
            <w:hideMark/>
          </w:tcPr>
          <w:p w14:paraId="4F15073F"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Letras do Tesouro Nacional</w:t>
            </w:r>
          </w:p>
        </w:tc>
        <w:tc>
          <w:tcPr>
            <w:tcW w:w="735" w:type="pct"/>
            <w:tcBorders>
              <w:top w:val="nil"/>
              <w:left w:val="nil"/>
              <w:bottom w:val="nil"/>
              <w:right w:val="nil"/>
            </w:tcBorders>
            <w:shd w:val="clear" w:color="auto" w:fill="auto"/>
            <w:noWrap/>
            <w:vAlign w:val="center"/>
          </w:tcPr>
          <w:p w14:paraId="74C3E815" w14:textId="7299D046"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70.966.003</w:t>
            </w:r>
          </w:p>
        </w:tc>
        <w:tc>
          <w:tcPr>
            <w:tcW w:w="735" w:type="pct"/>
            <w:tcBorders>
              <w:top w:val="nil"/>
              <w:left w:val="nil"/>
              <w:bottom w:val="nil"/>
              <w:right w:val="nil"/>
            </w:tcBorders>
            <w:shd w:val="clear" w:color="auto" w:fill="auto"/>
            <w:noWrap/>
            <w:vAlign w:val="center"/>
            <w:hideMark/>
          </w:tcPr>
          <w:p w14:paraId="1AAB528F" w14:textId="487BA059"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83.834.036</w:t>
            </w:r>
          </w:p>
        </w:tc>
        <w:tc>
          <w:tcPr>
            <w:tcW w:w="735" w:type="pct"/>
            <w:tcBorders>
              <w:top w:val="nil"/>
              <w:left w:val="nil"/>
              <w:bottom w:val="nil"/>
              <w:right w:val="nil"/>
            </w:tcBorders>
            <w:shd w:val="clear" w:color="auto" w:fill="auto"/>
            <w:noWrap/>
            <w:vAlign w:val="center"/>
          </w:tcPr>
          <w:p w14:paraId="398B0533" w14:textId="06D17FC9" w:rsidR="00B23EC8" w:rsidRPr="00FF4346" w:rsidRDefault="00B72523" w:rsidP="00B23EC8">
            <w:pPr>
              <w:jc w:val="right"/>
              <w:rPr>
                <w:rFonts w:ascii="CAIXA Std Book" w:hAnsi="CAIXA Std Book" w:cs="Arial"/>
                <w:color w:val="005CA9"/>
                <w:sz w:val="18"/>
                <w:szCs w:val="18"/>
              </w:rPr>
            </w:pPr>
            <w:r w:rsidRPr="00B72523">
              <w:rPr>
                <w:rFonts w:ascii="CAIXA Std Book" w:hAnsi="CAIXA Std Book" w:cs="Arial"/>
                <w:color w:val="005CA9"/>
                <w:sz w:val="18"/>
                <w:szCs w:val="18"/>
              </w:rPr>
              <w:t>70.966.003</w:t>
            </w:r>
          </w:p>
        </w:tc>
        <w:tc>
          <w:tcPr>
            <w:tcW w:w="735" w:type="pct"/>
            <w:tcBorders>
              <w:top w:val="nil"/>
              <w:left w:val="nil"/>
              <w:bottom w:val="nil"/>
              <w:right w:val="nil"/>
            </w:tcBorders>
            <w:shd w:val="clear" w:color="auto" w:fill="auto"/>
            <w:noWrap/>
            <w:vAlign w:val="center"/>
            <w:hideMark/>
          </w:tcPr>
          <w:p w14:paraId="255359C9" w14:textId="4A3AA13A" w:rsidR="00B23EC8" w:rsidRPr="00FF4346"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82.932.208</w:t>
            </w:r>
          </w:p>
        </w:tc>
      </w:tr>
      <w:tr w:rsidR="00B23EC8" w:rsidRPr="00A33766" w14:paraId="5FA444F3" w14:textId="77777777" w:rsidTr="00D53512">
        <w:trPr>
          <w:trHeight w:val="283"/>
        </w:trPr>
        <w:tc>
          <w:tcPr>
            <w:tcW w:w="2059" w:type="pct"/>
            <w:tcBorders>
              <w:top w:val="nil"/>
              <w:left w:val="nil"/>
              <w:bottom w:val="nil"/>
              <w:right w:val="nil"/>
            </w:tcBorders>
            <w:shd w:val="clear" w:color="auto" w:fill="auto"/>
            <w:vAlign w:val="center"/>
            <w:hideMark/>
          </w:tcPr>
          <w:p w14:paraId="6685C483"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Certificados de Recebíveis Imobiliários</w:t>
            </w:r>
          </w:p>
        </w:tc>
        <w:tc>
          <w:tcPr>
            <w:tcW w:w="735" w:type="pct"/>
            <w:tcBorders>
              <w:top w:val="nil"/>
              <w:left w:val="nil"/>
              <w:bottom w:val="nil"/>
              <w:right w:val="nil"/>
            </w:tcBorders>
            <w:shd w:val="clear" w:color="auto" w:fill="auto"/>
            <w:noWrap/>
            <w:vAlign w:val="center"/>
          </w:tcPr>
          <w:p w14:paraId="34D0CB87" w14:textId="11D80A1D"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2.929.195</w:t>
            </w:r>
          </w:p>
        </w:tc>
        <w:tc>
          <w:tcPr>
            <w:tcW w:w="735" w:type="pct"/>
            <w:tcBorders>
              <w:top w:val="nil"/>
              <w:left w:val="nil"/>
              <w:bottom w:val="nil"/>
              <w:right w:val="nil"/>
            </w:tcBorders>
            <w:shd w:val="clear" w:color="auto" w:fill="auto"/>
            <w:noWrap/>
            <w:vAlign w:val="center"/>
            <w:hideMark/>
          </w:tcPr>
          <w:p w14:paraId="491CD023" w14:textId="49C35365"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2.705.989</w:t>
            </w:r>
          </w:p>
        </w:tc>
        <w:tc>
          <w:tcPr>
            <w:tcW w:w="735" w:type="pct"/>
            <w:tcBorders>
              <w:top w:val="nil"/>
              <w:left w:val="nil"/>
              <w:bottom w:val="nil"/>
              <w:right w:val="nil"/>
            </w:tcBorders>
            <w:shd w:val="clear" w:color="auto" w:fill="auto"/>
            <w:noWrap/>
            <w:vAlign w:val="center"/>
          </w:tcPr>
          <w:p w14:paraId="71699D3D" w14:textId="1C0B4FF3" w:rsidR="00B23EC8" w:rsidRPr="00DF4DCE" w:rsidRDefault="00B72523" w:rsidP="00B23EC8">
            <w:pPr>
              <w:jc w:val="right"/>
              <w:rPr>
                <w:rFonts w:ascii="CAIXA Std Book" w:hAnsi="CAIXA Std Book" w:cs="Arial"/>
                <w:color w:val="005CA9"/>
                <w:sz w:val="18"/>
                <w:szCs w:val="18"/>
              </w:rPr>
            </w:pPr>
            <w:r w:rsidRPr="00B72523">
              <w:rPr>
                <w:rFonts w:ascii="CAIXA Std Book" w:hAnsi="CAIXA Std Book" w:cs="Arial"/>
                <w:color w:val="005CA9"/>
                <w:sz w:val="18"/>
                <w:szCs w:val="18"/>
              </w:rPr>
              <w:t>2.812.827</w:t>
            </w:r>
          </w:p>
        </w:tc>
        <w:tc>
          <w:tcPr>
            <w:tcW w:w="735" w:type="pct"/>
            <w:tcBorders>
              <w:top w:val="nil"/>
              <w:left w:val="nil"/>
              <w:bottom w:val="nil"/>
              <w:right w:val="nil"/>
            </w:tcBorders>
            <w:shd w:val="clear" w:color="auto" w:fill="auto"/>
            <w:noWrap/>
            <w:vAlign w:val="center"/>
            <w:hideMark/>
          </w:tcPr>
          <w:p w14:paraId="7BC214C8" w14:textId="46480CDB"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2.705.989</w:t>
            </w:r>
          </w:p>
        </w:tc>
      </w:tr>
      <w:tr w:rsidR="00B23EC8" w:rsidRPr="00A33766" w14:paraId="17C30D52" w14:textId="77777777" w:rsidTr="00D53512">
        <w:trPr>
          <w:trHeight w:val="283"/>
        </w:trPr>
        <w:tc>
          <w:tcPr>
            <w:tcW w:w="2059" w:type="pct"/>
            <w:tcBorders>
              <w:top w:val="nil"/>
              <w:left w:val="nil"/>
              <w:bottom w:val="nil"/>
              <w:right w:val="nil"/>
            </w:tcBorders>
            <w:shd w:val="clear" w:color="auto" w:fill="auto"/>
            <w:vAlign w:val="center"/>
            <w:hideMark/>
          </w:tcPr>
          <w:p w14:paraId="3BF607B4"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Debêntures</w:t>
            </w:r>
          </w:p>
        </w:tc>
        <w:tc>
          <w:tcPr>
            <w:tcW w:w="735" w:type="pct"/>
            <w:tcBorders>
              <w:top w:val="nil"/>
              <w:left w:val="nil"/>
              <w:bottom w:val="nil"/>
              <w:right w:val="nil"/>
            </w:tcBorders>
            <w:shd w:val="clear" w:color="auto" w:fill="auto"/>
            <w:noWrap/>
            <w:vAlign w:val="center"/>
          </w:tcPr>
          <w:p w14:paraId="68924DAB" w14:textId="2808B79A" w:rsidR="00B23EC8" w:rsidRPr="001F4BEE" w:rsidRDefault="00B23EC8" w:rsidP="00B23EC8">
            <w:pPr>
              <w:jc w:val="right"/>
              <w:rPr>
                <w:rFonts w:ascii="CAIXA Std Book" w:hAnsi="CAIXA Std Book" w:cs="Arial"/>
                <w:color w:val="005CA9"/>
                <w:sz w:val="18"/>
                <w:szCs w:val="18"/>
              </w:rPr>
            </w:pPr>
            <w:r w:rsidRPr="001F4BEE">
              <w:rPr>
                <w:rFonts w:ascii="CAIXA Std Book" w:hAnsi="CAIXA Std Book" w:cs="Arial"/>
                <w:color w:val="005CA9"/>
                <w:sz w:val="18"/>
                <w:szCs w:val="18"/>
              </w:rPr>
              <w:t>3.077.987</w:t>
            </w:r>
          </w:p>
        </w:tc>
        <w:tc>
          <w:tcPr>
            <w:tcW w:w="735" w:type="pct"/>
            <w:tcBorders>
              <w:top w:val="nil"/>
              <w:left w:val="nil"/>
              <w:bottom w:val="nil"/>
              <w:right w:val="nil"/>
            </w:tcBorders>
            <w:shd w:val="clear" w:color="auto" w:fill="auto"/>
            <w:noWrap/>
            <w:vAlign w:val="center"/>
            <w:hideMark/>
          </w:tcPr>
          <w:p w14:paraId="4FBA8BB0" w14:textId="65631418"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3.250.153</w:t>
            </w:r>
          </w:p>
        </w:tc>
        <w:tc>
          <w:tcPr>
            <w:tcW w:w="735" w:type="pct"/>
            <w:tcBorders>
              <w:top w:val="nil"/>
              <w:left w:val="nil"/>
              <w:bottom w:val="nil"/>
              <w:right w:val="nil"/>
            </w:tcBorders>
            <w:shd w:val="clear" w:color="auto" w:fill="auto"/>
            <w:noWrap/>
            <w:vAlign w:val="center"/>
          </w:tcPr>
          <w:p w14:paraId="428DAE5D" w14:textId="154F901E" w:rsidR="00B23EC8" w:rsidRPr="00DF4DCE" w:rsidRDefault="00B72523" w:rsidP="00B23EC8">
            <w:pPr>
              <w:jc w:val="right"/>
              <w:rPr>
                <w:rFonts w:ascii="CAIXA Std Book" w:hAnsi="CAIXA Std Book" w:cs="Arial"/>
                <w:color w:val="005CA9"/>
                <w:sz w:val="18"/>
                <w:szCs w:val="18"/>
              </w:rPr>
            </w:pPr>
            <w:r w:rsidRPr="00B72523">
              <w:rPr>
                <w:rFonts w:ascii="CAIXA Std Book" w:hAnsi="CAIXA Std Book" w:cs="Arial"/>
                <w:color w:val="005CA9"/>
                <w:sz w:val="18"/>
                <w:szCs w:val="18"/>
              </w:rPr>
              <w:t>3.077.987</w:t>
            </w:r>
          </w:p>
        </w:tc>
        <w:tc>
          <w:tcPr>
            <w:tcW w:w="735" w:type="pct"/>
            <w:tcBorders>
              <w:top w:val="nil"/>
              <w:left w:val="nil"/>
              <w:bottom w:val="nil"/>
              <w:right w:val="nil"/>
            </w:tcBorders>
            <w:shd w:val="clear" w:color="auto" w:fill="auto"/>
            <w:noWrap/>
            <w:vAlign w:val="center"/>
            <w:hideMark/>
          </w:tcPr>
          <w:p w14:paraId="5066EDF1" w14:textId="5521FEC8"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3.250.153</w:t>
            </w:r>
          </w:p>
        </w:tc>
      </w:tr>
      <w:tr w:rsidR="00B23EC8" w:rsidRPr="00A33766" w14:paraId="30E393C1" w14:textId="77777777" w:rsidTr="00D53512">
        <w:trPr>
          <w:trHeight w:val="283"/>
        </w:trPr>
        <w:tc>
          <w:tcPr>
            <w:tcW w:w="2059" w:type="pct"/>
            <w:tcBorders>
              <w:top w:val="nil"/>
              <w:left w:val="nil"/>
              <w:bottom w:val="nil"/>
              <w:right w:val="nil"/>
            </w:tcBorders>
            <w:shd w:val="clear" w:color="auto" w:fill="auto"/>
            <w:vAlign w:val="center"/>
            <w:hideMark/>
          </w:tcPr>
          <w:p w14:paraId="2F7CAFC3" w14:textId="77777777" w:rsidR="00B23EC8" w:rsidRPr="00FF4346" w:rsidRDefault="00B23EC8" w:rsidP="00B23EC8">
            <w:pPr>
              <w:ind w:firstLineChars="100" w:firstLine="181"/>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Carteira de terceiros</w:t>
            </w:r>
          </w:p>
        </w:tc>
        <w:tc>
          <w:tcPr>
            <w:tcW w:w="735" w:type="pct"/>
            <w:tcBorders>
              <w:top w:val="nil"/>
              <w:left w:val="nil"/>
              <w:bottom w:val="nil"/>
              <w:right w:val="nil"/>
            </w:tcBorders>
            <w:shd w:val="clear" w:color="auto" w:fill="auto"/>
            <w:noWrap/>
            <w:vAlign w:val="center"/>
          </w:tcPr>
          <w:p w14:paraId="5D6FA5AD" w14:textId="71786A35" w:rsidR="00B23EC8" w:rsidRPr="001F4BEE" w:rsidRDefault="00B23EC8"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70.723.783</w:t>
            </w:r>
          </w:p>
        </w:tc>
        <w:tc>
          <w:tcPr>
            <w:tcW w:w="735" w:type="pct"/>
            <w:tcBorders>
              <w:top w:val="nil"/>
              <w:left w:val="nil"/>
              <w:bottom w:val="nil"/>
              <w:right w:val="nil"/>
            </w:tcBorders>
            <w:shd w:val="clear" w:color="auto" w:fill="auto"/>
            <w:noWrap/>
            <w:vAlign w:val="center"/>
            <w:hideMark/>
          </w:tcPr>
          <w:p w14:paraId="1F33D5E3" w14:textId="2506C4B9"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56.076.447</w:t>
            </w:r>
          </w:p>
        </w:tc>
        <w:tc>
          <w:tcPr>
            <w:tcW w:w="735" w:type="pct"/>
            <w:tcBorders>
              <w:top w:val="nil"/>
              <w:left w:val="nil"/>
              <w:bottom w:val="nil"/>
              <w:right w:val="nil"/>
            </w:tcBorders>
            <w:shd w:val="clear" w:color="auto" w:fill="auto"/>
            <w:noWrap/>
            <w:vAlign w:val="center"/>
          </w:tcPr>
          <w:p w14:paraId="22A1187E" w14:textId="3C295509" w:rsidR="00B23EC8" w:rsidRPr="00DF4DCE" w:rsidRDefault="00B72523"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70.723.783</w:t>
            </w:r>
          </w:p>
        </w:tc>
        <w:tc>
          <w:tcPr>
            <w:tcW w:w="735" w:type="pct"/>
            <w:tcBorders>
              <w:top w:val="nil"/>
              <w:left w:val="nil"/>
              <w:bottom w:val="nil"/>
              <w:right w:val="nil"/>
            </w:tcBorders>
            <w:shd w:val="clear" w:color="auto" w:fill="auto"/>
            <w:noWrap/>
            <w:vAlign w:val="center"/>
            <w:hideMark/>
          </w:tcPr>
          <w:p w14:paraId="19356800" w14:textId="1438149A"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56.076.447</w:t>
            </w:r>
          </w:p>
        </w:tc>
      </w:tr>
      <w:tr w:rsidR="00B23EC8" w:rsidRPr="00A33766" w14:paraId="6B026934" w14:textId="77777777" w:rsidTr="00D53512">
        <w:trPr>
          <w:trHeight w:val="283"/>
        </w:trPr>
        <w:tc>
          <w:tcPr>
            <w:tcW w:w="2059" w:type="pct"/>
            <w:tcBorders>
              <w:top w:val="nil"/>
              <w:left w:val="nil"/>
              <w:bottom w:val="nil"/>
              <w:right w:val="nil"/>
            </w:tcBorders>
            <w:shd w:val="clear" w:color="auto" w:fill="auto"/>
            <w:vAlign w:val="center"/>
            <w:hideMark/>
          </w:tcPr>
          <w:p w14:paraId="25A81F18"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Letras Financeiras do Tesouro </w:t>
            </w:r>
          </w:p>
        </w:tc>
        <w:tc>
          <w:tcPr>
            <w:tcW w:w="735" w:type="pct"/>
            <w:tcBorders>
              <w:top w:val="nil"/>
              <w:left w:val="nil"/>
              <w:bottom w:val="nil"/>
              <w:right w:val="nil"/>
            </w:tcBorders>
            <w:shd w:val="clear" w:color="auto" w:fill="auto"/>
            <w:noWrap/>
            <w:vAlign w:val="center"/>
          </w:tcPr>
          <w:p w14:paraId="3DBD963D" w14:textId="338F563C" w:rsidR="00B23EC8" w:rsidRPr="005B53D3" w:rsidRDefault="00B23EC8" w:rsidP="001F4BEE">
            <w:pPr>
              <w:jc w:val="right"/>
              <w:rPr>
                <w:rFonts w:ascii="CAIXA Std Book" w:hAnsi="CAIXA Std Book" w:cs="Arial"/>
                <w:color w:val="005CA9"/>
                <w:sz w:val="18"/>
                <w:szCs w:val="18"/>
              </w:rPr>
            </w:pPr>
            <w:r w:rsidRPr="005B53D3">
              <w:rPr>
                <w:rFonts w:ascii="CAIXA Std Book" w:hAnsi="CAIXA Std Book" w:cs="Arial"/>
                <w:color w:val="005CA9"/>
                <w:sz w:val="18"/>
                <w:szCs w:val="18"/>
              </w:rPr>
              <w:t>36.921.451</w:t>
            </w:r>
          </w:p>
        </w:tc>
        <w:tc>
          <w:tcPr>
            <w:tcW w:w="735" w:type="pct"/>
            <w:tcBorders>
              <w:top w:val="nil"/>
              <w:left w:val="nil"/>
              <w:bottom w:val="nil"/>
              <w:right w:val="nil"/>
            </w:tcBorders>
            <w:shd w:val="clear" w:color="auto" w:fill="auto"/>
            <w:noWrap/>
            <w:vAlign w:val="center"/>
            <w:hideMark/>
          </w:tcPr>
          <w:p w14:paraId="2D3976AE" w14:textId="0FB5A52F" w:rsidR="00B23EC8" w:rsidRPr="00DF4DCE" w:rsidRDefault="00B23EC8" w:rsidP="00B23EC8">
            <w:pPr>
              <w:jc w:val="center"/>
              <w:rPr>
                <w:rFonts w:ascii="CAIXA Std Book" w:hAnsi="CAIXA Std Book" w:cs="Arial"/>
                <w:color w:val="005CA9"/>
                <w:sz w:val="18"/>
                <w:szCs w:val="18"/>
              </w:rPr>
            </w:pPr>
            <w:r w:rsidRPr="00DF4DCE">
              <w:rPr>
                <w:rFonts w:ascii="CAIXA Std Book" w:hAnsi="CAIXA Std Book" w:cs="Arial"/>
                <w:color w:val="005CA9"/>
                <w:sz w:val="18"/>
                <w:szCs w:val="18"/>
              </w:rPr>
              <w:t>-</w:t>
            </w:r>
          </w:p>
        </w:tc>
        <w:tc>
          <w:tcPr>
            <w:tcW w:w="735" w:type="pct"/>
            <w:tcBorders>
              <w:top w:val="nil"/>
              <w:left w:val="nil"/>
              <w:bottom w:val="nil"/>
              <w:right w:val="nil"/>
            </w:tcBorders>
            <w:shd w:val="clear" w:color="auto" w:fill="auto"/>
            <w:noWrap/>
            <w:vAlign w:val="center"/>
          </w:tcPr>
          <w:p w14:paraId="108AC6DB" w14:textId="18B01396" w:rsidR="00B23EC8" w:rsidRPr="00DF4DCE" w:rsidRDefault="00B72523" w:rsidP="00301CCB">
            <w:pPr>
              <w:jc w:val="right"/>
              <w:rPr>
                <w:rFonts w:ascii="CAIXA Std Book" w:hAnsi="CAIXA Std Book" w:cs="Arial"/>
                <w:color w:val="005CA9"/>
                <w:sz w:val="18"/>
                <w:szCs w:val="18"/>
              </w:rPr>
            </w:pPr>
            <w:r w:rsidRPr="005B53D3">
              <w:rPr>
                <w:rFonts w:ascii="CAIXA Std Book" w:hAnsi="CAIXA Std Book" w:cs="Arial"/>
                <w:color w:val="005CA9"/>
                <w:sz w:val="18"/>
                <w:szCs w:val="18"/>
              </w:rPr>
              <w:t>36.921.451</w:t>
            </w:r>
          </w:p>
        </w:tc>
        <w:tc>
          <w:tcPr>
            <w:tcW w:w="735" w:type="pct"/>
            <w:tcBorders>
              <w:top w:val="nil"/>
              <w:left w:val="nil"/>
              <w:bottom w:val="nil"/>
              <w:right w:val="nil"/>
            </w:tcBorders>
            <w:shd w:val="clear" w:color="auto" w:fill="auto"/>
            <w:noWrap/>
            <w:vAlign w:val="center"/>
            <w:hideMark/>
          </w:tcPr>
          <w:p w14:paraId="36FB8AA3" w14:textId="467B1889" w:rsidR="00B23EC8" w:rsidRPr="00DF4DCE" w:rsidRDefault="00B23EC8" w:rsidP="00B23EC8">
            <w:pPr>
              <w:jc w:val="center"/>
              <w:rPr>
                <w:rFonts w:ascii="CAIXA Std Book" w:hAnsi="CAIXA Std Book" w:cs="Arial"/>
                <w:color w:val="005CA9"/>
                <w:sz w:val="18"/>
                <w:szCs w:val="18"/>
              </w:rPr>
            </w:pPr>
            <w:r w:rsidRPr="00DF4DCE">
              <w:rPr>
                <w:rFonts w:ascii="CAIXA Std Book" w:hAnsi="CAIXA Std Book" w:cs="Arial"/>
                <w:color w:val="005CA9"/>
                <w:sz w:val="18"/>
                <w:szCs w:val="18"/>
              </w:rPr>
              <w:t>-</w:t>
            </w:r>
          </w:p>
        </w:tc>
      </w:tr>
      <w:tr w:rsidR="00B23EC8" w:rsidRPr="00A33766" w14:paraId="1226AB06" w14:textId="77777777" w:rsidTr="00D53512">
        <w:trPr>
          <w:trHeight w:val="283"/>
        </w:trPr>
        <w:tc>
          <w:tcPr>
            <w:tcW w:w="2059" w:type="pct"/>
            <w:tcBorders>
              <w:top w:val="nil"/>
              <w:left w:val="nil"/>
              <w:bottom w:val="nil"/>
              <w:right w:val="nil"/>
            </w:tcBorders>
            <w:shd w:val="clear" w:color="auto" w:fill="auto"/>
            <w:vAlign w:val="center"/>
          </w:tcPr>
          <w:p w14:paraId="5D630BE9" w14:textId="4A499E55"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Letras do Tesouro Nacional</w:t>
            </w:r>
          </w:p>
        </w:tc>
        <w:tc>
          <w:tcPr>
            <w:tcW w:w="735" w:type="pct"/>
            <w:tcBorders>
              <w:top w:val="nil"/>
              <w:left w:val="nil"/>
              <w:bottom w:val="nil"/>
              <w:right w:val="nil"/>
            </w:tcBorders>
            <w:shd w:val="clear" w:color="auto" w:fill="auto"/>
            <w:noWrap/>
            <w:vAlign w:val="center"/>
          </w:tcPr>
          <w:p w14:paraId="3BCCCEE0" w14:textId="1CEC13B1" w:rsidR="00B23EC8" w:rsidRPr="005B53D3" w:rsidRDefault="00B23EC8" w:rsidP="00B23EC8">
            <w:pPr>
              <w:jc w:val="right"/>
              <w:rPr>
                <w:rFonts w:ascii="CAIXA Std Book" w:hAnsi="CAIXA Std Book" w:cs="Arial"/>
                <w:color w:val="005CA9"/>
                <w:sz w:val="18"/>
                <w:szCs w:val="18"/>
              </w:rPr>
            </w:pPr>
            <w:r w:rsidRPr="005B53D3">
              <w:rPr>
                <w:rFonts w:ascii="CAIXA Std Book" w:hAnsi="CAIXA Std Book" w:cs="Arial"/>
                <w:color w:val="005CA9"/>
                <w:sz w:val="18"/>
                <w:szCs w:val="18"/>
              </w:rPr>
              <w:t>33.802.332</w:t>
            </w:r>
          </w:p>
        </w:tc>
        <w:tc>
          <w:tcPr>
            <w:tcW w:w="735" w:type="pct"/>
            <w:tcBorders>
              <w:top w:val="nil"/>
              <w:left w:val="nil"/>
              <w:bottom w:val="nil"/>
              <w:right w:val="nil"/>
            </w:tcBorders>
            <w:shd w:val="clear" w:color="auto" w:fill="auto"/>
            <w:noWrap/>
            <w:vAlign w:val="center"/>
          </w:tcPr>
          <w:p w14:paraId="3B292A10" w14:textId="468EA37D"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28.902.560</w:t>
            </w:r>
          </w:p>
        </w:tc>
        <w:tc>
          <w:tcPr>
            <w:tcW w:w="735" w:type="pct"/>
            <w:tcBorders>
              <w:top w:val="nil"/>
              <w:left w:val="nil"/>
              <w:bottom w:val="nil"/>
              <w:right w:val="nil"/>
            </w:tcBorders>
            <w:shd w:val="clear" w:color="auto" w:fill="auto"/>
            <w:noWrap/>
            <w:vAlign w:val="center"/>
          </w:tcPr>
          <w:p w14:paraId="353F749D" w14:textId="35EC28C0" w:rsidR="00B23EC8" w:rsidRPr="00DF4DCE" w:rsidRDefault="00B72523" w:rsidP="00B23EC8">
            <w:pPr>
              <w:jc w:val="right"/>
              <w:rPr>
                <w:rFonts w:ascii="CAIXA Std Book" w:hAnsi="CAIXA Std Book" w:cs="Arial"/>
                <w:color w:val="005CA9"/>
                <w:sz w:val="18"/>
                <w:szCs w:val="18"/>
              </w:rPr>
            </w:pPr>
            <w:r w:rsidRPr="005B53D3">
              <w:rPr>
                <w:rFonts w:ascii="CAIXA Std Book" w:hAnsi="CAIXA Std Book" w:cs="Arial"/>
                <w:color w:val="005CA9"/>
                <w:sz w:val="18"/>
                <w:szCs w:val="18"/>
              </w:rPr>
              <w:t>33.802.332</w:t>
            </w:r>
          </w:p>
        </w:tc>
        <w:tc>
          <w:tcPr>
            <w:tcW w:w="735" w:type="pct"/>
            <w:tcBorders>
              <w:top w:val="nil"/>
              <w:left w:val="nil"/>
              <w:bottom w:val="nil"/>
              <w:right w:val="nil"/>
            </w:tcBorders>
            <w:shd w:val="clear" w:color="auto" w:fill="auto"/>
            <w:noWrap/>
            <w:vAlign w:val="center"/>
          </w:tcPr>
          <w:p w14:paraId="5E698BD7" w14:textId="7B690945"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28.902.560</w:t>
            </w:r>
          </w:p>
        </w:tc>
      </w:tr>
      <w:tr w:rsidR="00B23EC8" w:rsidRPr="00A33766" w14:paraId="46DA2AEC" w14:textId="77777777" w:rsidTr="00D53512">
        <w:trPr>
          <w:trHeight w:val="283"/>
        </w:trPr>
        <w:tc>
          <w:tcPr>
            <w:tcW w:w="2059" w:type="pct"/>
            <w:tcBorders>
              <w:top w:val="nil"/>
              <w:left w:val="nil"/>
              <w:bottom w:val="nil"/>
              <w:right w:val="nil"/>
            </w:tcBorders>
            <w:shd w:val="clear" w:color="auto" w:fill="auto"/>
            <w:vAlign w:val="center"/>
            <w:hideMark/>
          </w:tcPr>
          <w:p w14:paraId="568ACF80" w14:textId="77777777" w:rsidR="00B23EC8" w:rsidRPr="00FF4346" w:rsidRDefault="00B23EC8" w:rsidP="00B23EC8">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Notas do Tesouro Nacional </w:t>
            </w:r>
          </w:p>
        </w:tc>
        <w:tc>
          <w:tcPr>
            <w:tcW w:w="735" w:type="pct"/>
            <w:tcBorders>
              <w:top w:val="nil"/>
              <w:left w:val="nil"/>
              <w:bottom w:val="nil"/>
              <w:right w:val="nil"/>
            </w:tcBorders>
            <w:shd w:val="clear" w:color="auto" w:fill="auto"/>
            <w:noWrap/>
            <w:vAlign w:val="center"/>
          </w:tcPr>
          <w:p w14:paraId="264732A6" w14:textId="68BBE791" w:rsidR="00B23EC8" w:rsidRPr="005B53D3" w:rsidRDefault="00513DB7" w:rsidP="00513DB7">
            <w:pPr>
              <w:jc w:val="center"/>
              <w:rPr>
                <w:rFonts w:ascii="CAIXA Std Book" w:hAnsi="CAIXA Std Book" w:cs="Arial"/>
                <w:color w:val="005CA9"/>
                <w:sz w:val="18"/>
                <w:szCs w:val="18"/>
              </w:rPr>
            </w:pPr>
            <w:r>
              <w:rPr>
                <w:rFonts w:ascii="CAIXA Std Book" w:hAnsi="CAIXA Std Book" w:cs="Arial"/>
                <w:color w:val="005CA9"/>
                <w:sz w:val="18"/>
                <w:szCs w:val="18"/>
              </w:rPr>
              <w:t>-</w:t>
            </w:r>
          </w:p>
        </w:tc>
        <w:tc>
          <w:tcPr>
            <w:tcW w:w="735" w:type="pct"/>
            <w:tcBorders>
              <w:top w:val="nil"/>
              <w:left w:val="nil"/>
              <w:bottom w:val="nil"/>
              <w:right w:val="nil"/>
            </w:tcBorders>
            <w:shd w:val="clear" w:color="auto" w:fill="auto"/>
            <w:noWrap/>
            <w:vAlign w:val="center"/>
            <w:hideMark/>
          </w:tcPr>
          <w:p w14:paraId="146ED948" w14:textId="6922BAB7"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27.173.887</w:t>
            </w:r>
          </w:p>
        </w:tc>
        <w:tc>
          <w:tcPr>
            <w:tcW w:w="735" w:type="pct"/>
            <w:tcBorders>
              <w:top w:val="nil"/>
              <w:left w:val="nil"/>
              <w:bottom w:val="nil"/>
              <w:right w:val="nil"/>
            </w:tcBorders>
            <w:shd w:val="clear" w:color="auto" w:fill="auto"/>
            <w:noWrap/>
            <w:vAlign w:val="center"/>
          </w:tcPr>
          <w:p w14:paraId="7B9263DD" w14:textId="0BAF8836" w:rsidR="00B23EC8" w:rsidRPr="00DF4DCE" w:rsidRDefault="00513DB7" w:rsidP="00513DB7">
            <w:pPr>
              <w:jc w:val="center"/>
              <w:rPr>
                <w:rFonts w:ascii="CAIXA Std Book" w:hAnsi="CAIXA Std Book" w:cs="Arial"/>
                <w:color w:val="005CA9"/>
                <w:sz w:val="18"/>
                <w:szCs w:val="18"/>
              </w:rPr>
            </w:pPr>
            <w:r>
              <w:rPr>
                <w:rFonts w:ascii="CAIXA Std Book" w:hAnsi="CAIXA Std Book" w:cs="Arial"/>
                <w:color w:val="005CA9"/>
                <w:sz w:val="18"/>
                <w:szCs w:val="18"/>
              </w:rPr>
              <w:t>-</w:t>
            </w:r>
          </w:p>
        </w:tc>
        <w:tc>
          <w:tcPr>
            <w:tcW w:w="735" w:type="pct"/>
            <w:tcBorders>
              <w:top w:val="nil"/>
              <w:left w:val="nil"/>
              <w:bottom w:val="nil"/>
              <w:right w:val="nil"/>
            </w:tcBorders>
            <w:shd w:val="clear" w:color="auto" w:fill="auto"/>
            <w:noWrap/>
            <w:vAlign w:val="center"/>
            <w:hideMark/>
          </w:tcPr>
          <w:p w14:paraId="3A0E04C7" w14:textId="0795A38A" w:rsidR="00B23EC8" w:rsidRPr="00DF4DCE" w:rsidRDefault="00B23EC8" w:rsidP="00B23EC8">
            <w:pPr>
              <w:jc w:val="right"/>
              <w:rPr>
                <w:rFonts w:ascii="CAIXA Std Book" w:hAnsi="CAIXA Std Book" w:cs="Arial"/>
                <w:color w:val="005CA9"/>
                <w:sz w:val="18"/>
                <w:szCs w:val="18"/>
              </w:rPr>
            </w:pPr>
            <w:r w:rsidRPr="00DF4DCE">
              <w:rPr>
                <w:rFonts w:ascii="CAIXA Std Book" w:hAnsi="CAIXA Std Book" w:cs="Arial"/>
                <w:color w:val="005CA9"/>
                <w:sz w:val="18"/>
                <w:szCs w:val="18"/>
              </w:rPr>
              <w:t>27.173.887</w:t>
            </w:r>
          </w:p>
        </w:tc>
      </w:tr>
      <w:tr w:rsidR="00B23EC8" w:rsidRPr="00A33766" w14:paraId="1816BF67" w14:textId="77777777" w:rsidTr="00D53512">
        <w:trPr>
          <w:trHeight w:val="283"/>
        </w:trPr>
        <w:tc>
          <w:tcPr>
            <w:tcW w:w="2059" w:type="pct"/>
            <w:tcBorders>
              <w:top w:val="nil"/>
              <w:left w:val="nil"/>
              <w:bottom w:val="nil"/>
              <w:right w:val="nil"/>
            </w:tcBorders>
            <w:shd w:val="clear" w:color="auto" w:fill="auto"/>
            <w:vAlign w:val="center"/>
            <w:hideMark/>
          </w:tcPr>
          <w:p w14:paraId="3590931F" w14:textId="77777777" w:rsidR="00B23EC8" w:rsidRPr="00FF4346" w:rsidRDefault="00B23EC8" w:rsidP="00B23EC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Depósitos interfinanceiros</w:t>
            </w:r>
          </w:p>
        </w:tc>
        <w:tc>
          <w:tcPr>
            <w:tcW w:w="735" w:type="pct"/>
            <w:tcBorders>
              <w:top w:val="nil"/>
              <w:left w:val="nil"/>
              <w:bottom w:val="nil"/>
              <w:right w:val="nil"/>
            </w:tcBorders>
            <w:shd w:val="clear" w:color="auto" w:fill="auto"/>
            <w:noWrap/>
            <w:vAlign w:val="center"/>
          </w:tcPr>
          <w:p w14:paraId="0668ECB3" w14:textId="27BC2340" w:rsidR="00B23EC8" w:rsidRPr="00F97E4F" w:rsidRDefault="00B23EC8" w:rsidP="00B23EC8">
            <w:pPr>
              <w:jc w:val="right"/>
              <w:rPr>
                <w:rFonts w:ascii="CAIXA Std Book" w:hAnsi="CAIXA Std Book" w:cs="Arial"/>
                <w:b/>
                <w:bCs/>
                <w:color w:val="005CA9"/>
                <w:sz w:val="18"/>
                <w:szCs w:val="18"/>
              </w:rPr>
            </w:pPr>
            <w:r w:rsidRPr="00F97E4F">
              <w:rPr>
                <w:rFonts w:ascii="CAIXA Std Book" w:hAnsi="CAIXA Std Book" w:cs="Arial"/>
                <w:b/>
                <w:bCs/>
                <w:color w:val="005CA9"/>
                <w:sz w:val="18"/>
                <w:szCs w:val="18"/>
              </w:rPr>
              <w:t>1.923.683</w:t>
            </w:r>
          </w:p>
        </w:tc>
        <w:tc>
          <w:tcPr>
            <w:tcW w:w="735" w:type="pct"/>
            <w:tcBorders>
              <w:top w:val="nil"/>
              <w:left w:val="nil"/>
              <w:bottom w:val="nil"/>
              <w:right w:val="nil"/>
            </w:tcBorders>
            <w:shd w:val="clear" w:color="auto" w:fill="auto"/>
            <w:noWrap/>
            <w:vAlign w:val="center"/>
            <w:hideMark/>
          </w:tcPr>
          <w:p w14:paraId="024D39BE" w14:textId="7461E32E" w:rsidR="00B23EC8" w:rsidRPr="00F97E4F" w:rsidRDefault="00B23EC8" w:rsidP="00B23EC8">
            <w:pPr>
              <w:jc w:val="right"/>
              <w:rPr>
                <w:rFonts w:ascii="CAIXA Std Book" w:hAnsi="CAIXA Std Book" w:cs="Arial"/>
                <w:b/>
                <w:bCs/>
                <w:color w:val="005CA9"/>
                <w:sz w:val="18"/>
                <w:szCs w:val="18"/>
              </w:rPr>
            </w:pPr>
            <w:r w:rsidRPr="00F97E4F">
              <w:rPr>
                <w:rFonts w:ascii="CAIXA Std Book" w:hAnsi="CAIXA Std Book" w:cs="Arial"/>
                <w:b/>
                <w:bCs/>
                <w:color w:val="005CA9"/>
                <w:sz w:val="18"/>
                <w:szCs w:val="18"/>
              </w:rPr>
              <w:t>2.242.722</w:t>
            </w:r>
          </w:p>
        </w:tc>
        <w:tc>
          <w:tcPr>
            <w:tcW w:w="735" w:type="pct"/>
            <w:tcBorders>
              <w:top w:val="nil"/>
              <w:left w:val="nil"/>
              <w:bottom w:val="nil"/>
              <w:right w:val="nil"/>
            </w:tcBorders>
            <w:shd w:val="clear" w:color="auto" w:fill="auto"/>
            <w:noWrap/>
            <w:vAlign w:val="center"/>
          </w:tcPr>
          <w:p w14:paraId="67ACCFAA" w14:textId="3FE41DA0" w:rsidR="00B23EC8" w:rsidRPr="00F97E4F" w:rsidRDefault="00B72523" w:rsidP="00B23EC8">
            <w:pPr>
              <w:jc w:val="right"/>
              <w:rPr>
                <w:rFonts w:ascii="CAIXA Std Book" w:hAnsi="CAIXA Std Book" w:cs="Arial"/>
                <w:b/>
                <w:bCs/>
                <w:color w:val="005CA9"/>
                <w:sz w:val="18"/>
                <w:szCs w:val="18"/>
              </w:rPr>
            </w:pPr>
            <w:r w:rsidRPr="00F97E4F">
              <w:rPr>
                <w:rFonts w:ascii="CAIXA Std Book" w:hAnsi="CAIXA Std Book" w:cs="Arial"/>
                <w:b/>
                <w:bCs/>
                <w:color w:val="005CA9"/>
                <w:sz w:val="18"/>
                <w:szCs w:val="18"/>
              </w:rPr>
              <w:t>1.923.683</w:t>
            </w:r>
          </w:p>
        </w:tc>
        <w:tc>
          <w:tcPr>
            <w:tcW w:w="735" w:type="pct"/>
            <w:tcBorders>
              <w:top w:val="nil"/>
              <w:left w:val="nil"/>
              <w:bottom w:val="nil"/>
              <w:right w:val="nil"/>
            </w:tcBorders>
            <w:shd w:val="clear" w:color="auto" w:fill="auto"/>
            <w:noWrap/>
            <w:vAlign w:val="center"/>
            <w:hideMark/>
          </w:tcPr>
          <w:p w14:paraId="6BA79BF4" w14:textId="12AFA832" w:rsidR="00B23EC8" w:rsidRPr="00F97E4F" w:rsidRDefault="00B23EC8" w:rsidP="00B23EC8">
            <w:pPr>
              <w:jc w:val="right"/>
              <w:rPr>
                <w:rFonts w:ascii="CAIXA Std Book" w:hAnsi="CAIXA Std Book" w:cs="Arial"/>
                <w:b/>
                <w:bCs/>
                <w:color w:val="005CA9"/>
                <w:sz w:val="18"/>
                <w:szCs w:val="18"/>
              </w:rPr>
            </w:pPr>
            <w:r w:rsidRPr="00F97E4F">
              <w:rPr>
                <w:rFonts w:ascii="CAIXA Std Book" w:hAnsi="CAIXA Std Book" w:cs="Arial"/>
                <w:b/>
                <w:bCs/>
                <w:color w:val="005CA9"/>
                <w:sz w:val="18"/>
                <w:szCs w:val="18"/>
              </w:rPr>
              <w:t>2.242.722</w:t>
            </w:r>
          </w:p>
        </w:tc>
      </w:tr>
      <w:tr w:rsidR="00B23EC8" w:rsidRPr="00A33766" w14:paraId="69D9E758" w14:textId="77777777" w:rsidTr="00D53512">
        <w:trPr>
          <w:trHeight w:val="283"/>
        </w:trPr>
        <w:tc>
          <w:tcPr>
            <w:tcW w:w="2059" w:type="pct"/>
            <w:tcBorders>
              <w:top w:val="single" w:sz="4" w:space="0" w:color="F39200"/>
              <w:left w:val="nil"/>
              <w:bottom w:val="single" w:sz="4" w:space="0" w:color="F39200"/>
              <w:right w:val="nil"/>
            </w:tcBorders>
            <w:shd w:val="clear" w:color="auto" w:fill="auto"/>
            <w:noWrap/>
            <w:vAlign w:val="center"/>
            <w:hideMark/>
          </w:tcPr>
          <w:p w14:paraId="3BB98B4A" w14:textId="77777777" w:rsidR="00B23EC8" w:rsidRPr="00FF4346" w:rsidRDefault="00B23EC8" w:rsidP="00B23EC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735" w:type="pct"/>
            <w:tcBorders>
              <w:top w:val="single" w:sz="4" w:space="0" w:color="F39200"/>
              <w:left w:val="nil"/>
              <w:bottom w:val="single" w:sz="4" w:space="0" w:color="F39200"/>
              <w:right w:val="nil"/>
            </w:tcBorders>
            <w:shd w:val="clear" w:color="auto" w:fill="auto"/>
            <w:vAlign w:val="center"/>
          </w:tcPr>
          <w:p w14:paraId="58216A8D" w14:textId="77A11FB2" w:rsidR="00B23EC8" w:rsidRPr="001F4BEE" w:rsidRDefault="00B23EC8" w:rsidP="00B23EC8">
            <w:pPr>
              <w:jc w:val="right"/>
              <w:rPr>
                <w:rFonts w:ascii="CAIXA Std Book" w:hAnsi="CAIXA Std Book" w:cs="Arial"/>
                <w:b/>
                <w:bCs/>
                <w:color w:val="005CA9"/>
                <w:sz w:val="18"/>
                <w:szCs w:val="18"/>
              </w:rPr>
            </w:pPr>
            <w:r w:rsidRPr="001F4BEE">
              <w:rPr>
                <w:rFonts w:ascii="CAIXA Std Book" w:hAnsi="CAIXA Std Book" w:cs="Arial"/>
                <w:b/>
                <w:bCs/>
                <w:color w:val="005CA9"/>
                <w:sz w:val="18"/>
                <w:szCs w:val="18"/>
              </w:rPr>
              <w:t>709.916.056</w:t>
            </w:r>
          </w:p>
        </w:tc>
        <w:tc>
          <w:tcPr>
            <w:tcW w:w="735" w:type="pct"/>
            <w:tcBorders>
              <w:top w:val="single" w:sz="4" w:space="0" w:color="F39200"/>
              <w:left w:val="nil"/>
              <w:bottom w:val="single" w:sz="4" w:space="0" w:color="F39200"/>
              <w:right w:val="nil"/>
            </w:tcBorders>
            <w:shd w:val="clear" w:color="auto" w:fill="auto"/>
            <w:vAlign w:val="center"/>
            <w:hideMark/>
          </w:tcPr>
          <w:p w14:paraId="150186CE" w14:textId="6A5560B5"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665.024.676</w:t>
            </w:r>
          </w:p>
        </w:tc>
        <w:tc>
          <w:tcPr>
            <w:tcW w:w="735" w:type="pct"/>
            <w:tcBorders>
              <w:top w:val="single" w:sz="4" w:space="0" w:color="F39200"/>
              <w:left w:val="nil"/>
              <w:bottom w:val="single" w:sz="4" w:space="0" w:color="F39200"/>
              <w:right w:val="nil"/>
            </w:tcBorders>
            <w:shd w:val="clear" w:color="auto" w:fill="auto"/>
            <w:vAlign w:val="center"/>
          </w:tcPr>
          <w:p w14:paraId="769D4FAB" w14:textId="23A20F6F" w:rsidR="00B23EC8" w:rsidRPr="008F39D6" w:rsidRDefault="008F39D6" w:rsidP="00B23EC8">
            <w:pPr>
              <w:jc w:val="right"/>
              <w:rPr>
                <w:rFonts w:ascii="Futura Lt BT" w:hAnsi="Futura Lt BT" w:cs="Arial"/>
                <w:b/>
                <w:color w:val="005CA9"/>
                <w:sz w:val="18"/>
                <w:szCs w:val="18"/>
              </w:rPr>
            </w:pPr>
            <w:r w:rsidRPr="008F39D6">
              <w:rPr>
                <w:rFonts w:ascii="CAIXA Std Book" w:hAnsi="CAIXA Std Book" w:cs="Arial"/>
                <w:b/>
                <w:bCs/>
                <w:color w:val="005CA9"/>
                <w:sz w:val="18"/>
                <w:szCs w:val="18"/>
              </w:rPr>
              <w:t>708.684.142</w:t>
            </w:r>
          </w:p>
        </w:tc>
        <w:tc>
          <w:tcPr>
            <w:tcW w:w="735" w:type="pct"/>
            <w:tcBorders>
              <w:top w:val="single" w:sz="4" w:space="0" w:color="F39200"/>
              <w:left w:val="nil"/>
              <w:bottom w:val="single" w:sz="4" w:space="0" w:color="F39200"/>
              <w:right w:val="nil"/>
            </w:tcBorders>
            <w:shd w:val="clear" w:color="auto" w:fill="auto"/>
            <w:vAlign w:val="center"/>
            <w:hideMark/>
          </w:tcPr>
          <w:p w14:paraId="0C06543A" w14:textId="77D44F71" w:rsidR="00B23EC8" w:rsidRPr="00DF4DCE" w:rsidRDefault="00B23EC8" w:rsidP="00B23EC8">
            <w:pPr>
              <w:jc w:val="right"/>
              <w:rPr>
                <w:rFonts w:ascii="CAIXA Std Book" w:hAnsi="CAIXA Std Book" w:cs="Arial"/>
                <w:b/>
                <w:bCs/>
                <w:color w:val="005CA9"/>
                <w:sz w:val="18"/>
                <w:szCs w:val="18"/>
              </w:rPr>
            </w:pPr>
            <w:r w:rsidRPr="00DF4DCE">
              <w:rPr>
                <w:rFonts w:ascii="CAIXA Std Book" w:hAnsi="CAIXA Std Book" w:cs="Arial"/>
                <w:b/>
                <w:bCs/>
                <w:color w:val="005CA9"/>
                <w:sz w:val="18"/>
                <w:szCs w:val="18"/>
              </w:rPr>
              <w:t>664.122.848</w:t>
            </w:r>
          </w:p>
        </w:tc>
      </w:tr>
      <w:tr w:rsidR="00DF4DCE" w:rsidRPr="00A33766" w14:paraId="3E7C7B72" w14:textId="77777777" w:rsidTr="00B84671">
        <w:trPr>
          <w:trHeight w:val="53"/>
        </w:trPr>
        <w:tc>
          <w:tcPr>
            <w:tcW w:w="2059" w:type="pct"/>
            <w:tcBorders>
              <w:top w:val="nil"/>
              <w:left w:val="nil"/>
              <w:bottom w:val="nil"/>
              <w:right w:val="nil"/>
            </w:tcBorders>
            <w:shd w:val="clear" w:color="auto" w:fill="auto"/>
            <w:vAlign w:val="center"/>
            <w:hideMark/>
          </w:tcPr>
          <w:p w14:paraId="678D1699" w14:textId="77777777" w:rsidR="00DF4DCE" w:rsidRPr="00FF4346" w:rsidRDefault="00DF4DCE" w:rsidP="00DF4DCE">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circulante</w:t>
            </w:r>
          </w:p>
        </w:tc>
        <w:tc>
          <w:tcPr>
            <w:tcW w:w="735" w:type="pct"/>
            <w:tcBorders>
              <w:top w:val="nil"/>
              <w:left w:val="nil"/>
              <w:bottom w:val="nil"/>
              <w:right w:val="nil"/>
            </w:tcBorders>
            <w:shd w:val="clear" w:color="auto" w:fill="auto"/>
            <w:vAlign w:val="center"/>
          </w:tcPr>
          <w:p w14:paraId="2AA8E08C" w14:textId="43011B06" w:rsidR="00DF4DCE" w:rsidRPr="007D517A" w:rsidRDefault="00CF4652" w:rsidP="00DF4DCE">
            <w:pPr>
              <w:jc w:val="right"/>
              <w:rPr>
                <w:rFonts w:ascii="CAIXA Std Book" w:hAnsi="CAIXA Std Book" w:cs="Arial"/>
                <w:color w:val="005CA9"/>
                <w:sz w:val="18"/>
                <w:szCs w:val="18"/>
              </w:rPr>
            </w:pPr>
            <w:r w:rsidRPr="007D517A">
              <w:rPr>
                <w:rFonts w:ascii="CAIXA Std Book" w:hAnsi="CAIXA Std Book" w:cs="Arial"/>
                <w:color w:val="005CA9"/>
                <w:sz w:val="18"/>
                <w:szCs w:val="18"/>
              </w:rPr>
              <w:t>264.811.811</w:t>
            </w:r>
          </w:p>
        </w:tc>
        <w:tc>
          <w:tcPr>
            <w:tcW w:w="735" w:type="pct"/>
            <w:tcBorders>
              <w:top w:val="nil"/>
              <w:left w:val="nil"/>
              <w:bottom w:val="nil"/>
              <w:right w:val="nil"/>
            </w:tcBorders>
            <w:shd w:val="clear" w:color="auto" w:fill="auto"/>
            <w:vAlign w:val="center"/>
            <w:hideMark/>
          </w:tcPr>
          <w:p w14:paraId="2BBB2318" w14:textId="686BE97A" w:rsidR="00DF4DCE" w:rsidRPr="00DF4DCE" w:rsidRDefault="00DF4DCE" w:rsidP="00DF4DCE">
            <w:pPr>
              <w:jc w:val="right"/>
              <w:rPr>
                <w:rFonts w:ascii="CAIXA Std Book" w:hAnsi="CAIXA Std Book" w:cs="Arial"/>
                <w:color w:val="005CA9"/>
                <w:sz w:val="18"/>
                <w:szCs w:val="18"/>
              </w:rPr>
            </w:pPr>
            <w:r w:rsidRPr="00DF4DCE">
              <w:rPr>
                <w:rFonts w:ascii="CAIXA Std Book" w:hAnsi="CAIXA Std Book" w:cs="Arial"/>
                <w:color w:val="005CA9"/>
                <w:sz w:val="18"/>
                <w:szCs w:val="18"/>
              </w:rPr>
              <w:t>235.585.780</w:t>
            </w:r>
          </w:p>
        </w:tc>
        <w:tc>
          <w:tcPr>
            <w:tcW w:w="735" w:type="pct"/>
            <w:tcBorders>
              <w:top w:val="nil"/>
              <w:left w:val="nil"/>
              <w:bottom w:val="nil"/>
              <w:right w:val="nil"/>
            </w:tcBorders>
            <w:shd w:val="clear" w:color="auto" w:fill="auto"/>
            <w:vAlign w:val="center"/>
          </w:tcPr>
          <w:p w14:paraId="453E0717" w14:textId="7D6AEDC9" w:rsidR="00DF4DCE" w:rsidRPr="00DF4DCE" w:rsidRDefault="007D517A" w:rsidP="00DF4DCE">
            <w:pPr>
              <w:jc w:val="right"/>
              <w:rPr>
                <w:rFonts w:ascii="CAIXA Std Book" w:hAnsi="CAIXA Std Book" w:cs="Arial"/>
                <w:color w:val="005CA9"/>
                <w:sz w:val="18"/>
                <w:szCs w:val="18"/>
              </w:rPr>
            </w:pPr>
            <w:r w:rsidRPr="007D517A">
              <w:rPr>
                <w:rFonts w:ascii="CAIXA Std Book" w:hAnsi="CAIXA Std Book" w:cs="Arial"/>
                <w:color w:val="005CA9"/>
                <w:sz w:val="18"/>
                <w:szCs w:val="18"/>
              </w:rPr>
              <w:t>263.579.897</w:t>
            </w:r>
          </w:p>
        </w:tc>
        <w:tc>
          <w:tcPr>
            <w:tcW w:w="735" w:type="pct"/>
            <w:tcBorders>
              <w:top w:val="nil"/>
              <w:left w:val="nil"/>
              <w:bottom w:val="nil"/>
              <w:right w:val="nil"/>
            </w:tcBorders>
            <w:shd w:val="clear" w:color="auto" w:fill="auto"/>
            <w:vAlign w:val="center"/>
            <w:hideMark/>
          </w:tcPr>
          <w:p w14:paraId="77A2E01C" w14:textId="26F8949E" w:rsidR="00DF4DCE" w:rsidRPr="00DF4DCE" w:rsidRDefault="00DF4DCE" w:rsidP="00DF4DCE">
            <w:pPr>
              <w:jc w:val="right"/>
              <w:rPr>
                <w:rFonts w:ascii="CAIXA Std Book" w:hAnsi="CAIXA Std Book" w:cs="Arial"/>
                <w:color w:val="005CA9"/>
                <w:sz w:val="18"/>
                <w:szCs w:val="18"/>
              </w:rPr>
            </w:pPr>
            <w:r w:rsidRPr="00DF4DCE">
              <w:rPr>
                <w:rFonts w:ascii="CAIXA Std Book" w:hAnsi="CAIXA Std Book" w:cs="Arial"/>
                <w:color w:val="005CA9"/>
                <w:sz w:val="18"/>
                <w:szCs w:val="18"/>
              </w:rPr>
              <w:t>234.683.952</w:t>
            </w:r>
          </w:p>
        </w:tc>
      </w:tr>
      <w:tr w:rsidR="00DF4DCE" w:rsidRPr="00A33766" w14:paraId="3263FE44" w14:textId="77777777" w:rsidTr="00D53512">
        <w:trPr>
          <w:trHeight w:val="283"/>
        </w:trPr>
        <w:tc>
          <w:tcPr>
            <w:tcW w:w="2059" w:type="pct"/>
            <w:tcBorders>
              <w:top w:val="nil"/>
              <w:left w:val="nil"/>
              <w:bottom w:val="single" w:sz="4" w:space="0" w:color="F39200"/>
              <w:right w:val="nil"/>
            </w:tcBorders>
            <w:shd w:val="clear" w:color="auto" w:fill="auto"/>
            <w:vAlign w:val="center"/>
            <w:hideMark/>
          </w:tcPr>
          <w:p w14:paraId="4898A632" w14:textId="77777777" w:rsidR="00DF4DCE" w:rsidRPr="00FF4346" w:rsidRDefault="00DF4DCE" w:rsidP="00DF4DCE">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não circulante</w:t>
            </w:r>
          </w:p>
        </w:tc>
        <w:tc>
          <w:tcPr>
            <w:tcW w:w="735" w:type="pct"/>
            <w:tcBorders>
              <w:top w:val="nil"/>
              <w:left w:val="nil"/>
              <w:bottom w:val="single" w:sz="4" w:space="0" w:color="F39200"/>
              <w:right w:val="nil"/>
            </w:tcBorders>
            <w:shd w:val="clear" w:color="auto" w:fill="auto"/>
            <w:vAlign w:val="center"/>
          </w:tcPr>
          <w:p w14:paraId="232CA794" w14:textId="1C768AFA" w:rsidR="00DF4DCE" w:rsidRPr="007D517A" w:rsidRDefault="00CF4652" w:rsidP="00DF4DCE">
            <w:pPr>
              <w:jc w:val="right"/>
              <w:rPr>
                <w:rFonts w:ascii="CAIXA Std Book" w:hAnsi="CAIXA Std Book" w:cs="Arial"/>
                <w:color w:val="005CA9"/>
                <w:sz w:val="18"/>
                <w:szCs w:val="18"/>
              </w:rPr>
            </w:pPr>
            <w:r w:rsidRPr="007D517A">
              <w:rPr>
                <w:rFonts w:ascii="CAIXA Std Book" w:hAnsi="CAIXA Std Book" w:cs="Arial"/>
                <w:color w:val="005CA9"/>
                <w:sz w:val="18"/>
                <w:szCs w:val="18"/>
              </w:rPr>
              <w:t>445.104.245</w:t>
            </w:r>
          </w:p>
        </w:tc>
        <w:tc>
          <w:tcPr>
            <w:tcW w:w="735" w:type="pct"/>
            <w:tcBorders>
              <w:top w:val="nil"/>
              <w:left w:val="nil"/>
              <w:bottom w:val="single" w:sz="4" w:space="0" w:color="F39200"/>
              <w:right w:val="nil"/>
            </w:tcBorders>
            <w:shd w:val="clear" w:color="auto" w:fill="auto"/>
            <w:vAlign w:val="center"/>
            <w:hideMark/>
          </w:tcPr>
          <w:p w14:paraId="0325A353" w14:textId="0EE8D27A" w:rsidR="00DF4DCE" w:rsidRPr="00DF4DCE" w:rsidRDefault="00DF4DCE" w:rsidP="00DF4DCE">
            <w:pPr>
              <w:jc w:val="right"/>
              <w:rPr>
                <w:rFonts w:ascii="CAIXA Std Book" w:hAnsi="CAIXA Std Book" w:cs="Arial"/>
                <w:color w:val="005CA9"/>
                <w:sz w:val="18"/>
                <w:szCs w:val="18"/>
              </w:rPr>
            </w:pPr>
            <w:r w:rsidRPr="00DF4DCE">
              <w:rPr>
                <w:rFonts w:ascii="CAIXA Std Book" w:hAnsi="CAIXA Std Book" w:cs="Arial"/>
                <w:color w:val="005CA9"/>
                <w:sz w:val="18"/>
                <w:szCs w:val="18"/>
              </w:rPr>
              <w:t>429.438.896</w:t>
            </w:r>
          </w:p>
        </w:tc>
        <w:tc>
          <w:tcPr>
            <w:tcW w:w="735" w:type="pct"/>
            <w:tcBorders>
              <w:top w:val="nil"/>
              <w:left w:val="nil"/>
              <w:bottom w:val="single" w:sz="4" w:space="0" w:color="F39200"/>
              <w:right w:val="nil"/>
            </w:tcBorders>
            <w:shd w:val="clear" w:color="auto" w:fill="auto"/>
            <w:vAlign w:val="center"/>
          </w:tcPr>
          <w:p w14:paraId="55F7505D" w14:textId="0A3135D4" w:rsidR="00DF4DCE" w:rsidRPr="00DF4DCE" w:rsidRDefault="007D517A" w:rsidP="00DF4DCE">
            <w:pPr>
              <w:jc w:val="right"/>
              <w:rPr>
                <w:rFonts w:ascii="CAIXA Std Book" w:hAnsi="CAIXA Std Book" w:cs="Arial"/>
                <w:color w:val="005CA9"/>
                <w:sz w:val="18"/>
                <w:szCs w:val="18"/>
              </w:rPr>
            </w:pPr>
            <w:r w:rsidRPr="007D517A">
              <w:rPr>
                <w:rFonts w:ascii="CAIXA Std Book" w:hAnsi="CAIXA Std Book" w:cs="Arial"/>
                <w:color w:val="005CA9"/>
                <w:sz w:val="18"/>
                <w:szCs w:val="18"/>
              </w:rPr>
              <w:t>445.104.245</w:t>
            </w:r>
          </w:p>
        </w:tc>
        <w:tc>
          <w:tcPr>
            <w:tcW w:w="735" w:type="pct"/>
            <w:tcBorders>
              <w:top w:val="nil"/>
              <w:left w:val="nil"/>
              <w:bottom w:val="single" w:sz="4" w:space="0" w:color="F39200"/>
              <w:right w:val="nil"/>
            </w:tcBorders>
            <w:shd w:val="clear" w:color="auto" w:fill="auto"/>
            <w:vAlign w:val="center"/>
            <w:hideMark/>
          </w:tcPr>
          <w:p w14:paraId="0BD2D5E2" w14:textId="296A40E6" w:rsidR="00DF4DCE" w:rsidRPr="00DF4DCE" w:rsidRDefault="00DF4DCE" w:rsidP="00DF4DCE">
            <w:pPr>
              <w:jc w:val="right"/>
              <w:rPr>
                <w:rFonts w:ascii="CAIXA Std Book" w:hAnsi="CAIXA Std Book" w:cs="Arial"/>
                <w:color w:val="005CA9"/>
                <w:sz w:val="18"/>
                <w:szCs w:val="18"/>
              </w:rPr>
            </w:pPr>
            <w:r w:rsidRPr="00DF4DCE">
              <w:rPr>
                <w:rFonts w:ascii="CAIXA Std Book" w:hAnsi="CAIXA Std Book" w:cs="Arial"/>
                <w:color w:val="005CA9"/>
                <w:sz w:val="18"/>
                <w:szCs w:val="18"/>
              </w:rPr>
              <w:t>429.438.896</w:t>
            </w:r>
          </w:p>
        </w:tc>
      </w:tr>
    </w:tbl>
    <w:p w14:paraId="1A743561" w14:textId="77777777" w:rsidR="001C154B" w:rsidRPr="00FF4346" w:rsidRDefault="001C154B" w:rsidP="00B37B40">
      <w:pPr>
        <w:pStyle w:val="PargrafodaLista"/>
        <w:keepNext/>
        <w:numPr>
          <w:ilvl w:val="0"/>
          <w:numId w:val="16"/>
        </w:numPr>
        <w:spacing w:before="240" w:after="240"/>
        <w:ind w:left="709" w:hanging="709"/>
        <w:contextualSpacing w:val="0"/>
        <w:jc w:val="both"/>
        <w:rPr>
          <w:rFonts w:ascii="CAIXA Std Book" w:hAnsi="CAIXA Std Book"/>
          <w:b/>
          <w:color w:val="005CA9"/>
          <w:sz w:val="20"/>
          <w:szCs w:val="20"/>
        </w:rPr>
      </w:pPr>
      <w:r w:rsidRPr="00FF4346">
        <w:rPr>
          <w:rFonts w:ascii="CAIXA Std Book" w:hAnsi="CAIXA Std Book"/>
          <w:b/>
          <w:color w:val="005CA9"/>
          <w:sz w:val="20"/>
          <w:szCs w:val="20"/>
        </w:rPr>
        <w:t>Despesas com recursos de instituições financeiras e outras</w:t>
      </w:r>
    </w:p>
    <w:tbl>
      <w:tblPr>
        <w:tblW w:w="5000" w:type="pct"/>
        <w:jc w:val="center"/>
        <w:tblCellMar>
          <w:left w:w="70" w:type="dxa"/>
          <w:right w:w="70" w:type="dxa"/>
        </w:tblCellMar>
        <w:tblLook w:val="04A0" w:firstRow="1" w:lastRow="0" w:firstColumn="1" w:lastColumn="0" w:noHBand="0" w:noVBand="1"/>
      </w:tblPr>
      <w:tblGrid>
        <w:gridCol w:w="4011"/>
        <w:gridCol w:w="1515"/>
        <w:gridCol w:w="1320"/>
        <w:gridCol w:w="1503"/>
        <w:gridCol w:w="1288"/>
      </w:tblGrid>
      <w:tr w:rsidR="00E462D1" w:rsidRPr="009D1D38" w14:paraId="64044460" w14:textId="77777777" w:rsidTr="002459F7">
        <w:trPr>
          <w:trHeight w:val="283"/>
          <w:jc w:val="center"/>
        </w:trPr>
        <w:tc>
          <w:tcPr>
            <w:tcW w:w="2081" w:type="pct"/>
            <w:vMerge w:val="restart"/>
            <w:tcBorders>
              <w:top w:val="single" w:sz="4" w:space="0" w:color="F39200"/>
              <w:left w:val="nil"/>
              <w:bottom w:val="single" w:sz="4" w:space="0" w:color="F39200"/>
              <w:right w:val="nil"/>
            </w:tcBorders>
            <w:shd w:val="clear" w:color="auto" w:fill="auto"/>
            <w:vAlign w:val="center"/>
            <w:hideMark/>
          </w:tcPr>
          <w:p w14:paraId="68F0650D" w14:textId="77777777" w:rsidR="00E462D1" w:rsidRPr="00497761" w:rsidRDefault="00E462D1" w:rsidP="00CC2B8D">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Descrição</w:t>
            </w:r>
          </w:p>
        </w:tc>
        <w:tc>
          <w:tcPr>
            <w:tcW w:w="1471" w:type="pct"/>
            <w:gridSpan w:val="2"/>
            <w:tcBorders>
              <w:top w:val="single" w:sz="4" w:space="0" w:color="F39200"/>
              <w:left w:val="nil"/>
              <w:bottom w:val="single" w:sz="4" w:space="0" w:color="F39200"/>
              <w:right w:val="nil"/>
            </w:tcBorders>
            <w:shd w:val="clear" w:color="auto" w:fill="auto"/>
            <w:vAlign w:val="center"/>
            <w:hideMark/>
          </w:tcPr>
          <w:p w14:paraId="6961820E" w14:textId="77777777" w:rsidR="00E462D1" w:rsidRPr="00497761" w:rsidRDefault="00E462D1" w:rsidP="00CC2B8D">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INDIVIDUAL</w:t>
            </w:r>
          </w:p>
        </w:tc>
        <w:tc>
          <w:tcPr>
            <w:tcW w:w="1448" w:type="pct"/>
            <w:gridSpan w:val="2"/>
            <w:tcBorders>
              <w:top w:val="single" w:sz="4" w:space="0" w:color="F39200"/>
              <w:left w:val="nil"/>
              <w:bottom w:val="single" w:sz="4" w:space="0" w:color="F39200"/>
              <w:right w:val="nil"/>
            </w:tcBorders>
            <w:shd w:val="clear" w:color="auto" w:fill="auto"/>
            <w:vAlign w:val="center"/>
            <w:hideMark/>
          </w:tcPr>
          <w:p w14:paraId="5CC74739" w14:textId="77777777" w:rsidR="00E462D1" w:rsidRPr="00497761" w:rsidRDefault="00E462D1" w:rsidP="00CC2B8D">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CONSOLIDADO</w:t>
            </w:r>
          </w:p>
        </w:tc>
      </w:tr>
      <w:tr w:rsidR="00270B3F" w:rsidRPr="009D1D38" w14:paraId="432217DC" w14:textId="77777777" w:rsidTr="002459F7">
        <w:trPr>
          <w:trHeight w:val="283"/>
          <w:jc w:val="center"/>
        </w:trPr>
        <w:tc>
          <w:tcPr>
            <w:tcW w:w="2081" w:type="pct"/>
            <w:vMerge/>
            <w:tcBorders>
              <w:top w:val="single" w:sz="4" w:space="0" w:color="F39200"/>
              <w:left w:val="nil"/>
              <w:bottom w:val="single" w:sz="4" w:space="0" w:color="F39200"/>
              <w:right w:val="nil"/>
            </w:tcBorders>
            <w:vAlign w:val="center"/>
            <w:hideMark/>
          </w:tcPr>
          <w:p w14:paraId="12BFFB95" w14:textId="77777777" w:rsidR="00E462D1" w:rsidRPr="00497761" w:rsidRDefault="00E462D1" w:rsidP="00497761">
            <w:pPr>
              <w:jc w:val="center"/>
              <w:rPr>
                <w:rFonts w:ascii="CAIXA Std Book" w:eastAsia="Times New Roman" w:hAnsi="CAIXA Std Book" w:cs="Arial"/>
                <w:b/>
                <w:bCs/>
                <w:color w:val="005CA9"/>
                <w:sz w:val="18"/>
                <w:szCs w:val="18"/>
              </w:rPr>
            </w:pPr>
          </w:p>
        </w:tc>
        <w:tc>
          <w:tcPr>
            <w:tcW w:w="786" w:type="pct"/>
            <w:tcBorders>
              <w:top w:val="nil"/>
              <w:left w:val="nil"/>
              <w:bottom w:val="single" w:sz="4" w:space="0" w:color="F39200"/>
              <w:right w:val="nil"/>
            </w:tcBorders>
            <w:shd w:val="clear" w:color="auto" w:fill="auto"/>
            <w:vAlign w:val="center"/>
            <w:hideMark/>
          </w:tcPr>
          <w:p w14:paraId="6A233B66" w14:textId="753C5D74"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202</w:t>
            </w:r>
            <w:r w:rsidR="00CF2B71" w:rsidRPr="00497761">
              <w:rPr>
                <w:rFonts w:ascii="CAIXA Std Book" w:eastAsia="Times New Roman" w:hAnsi="CAIXA Std Book" w:cs="Arial"/>
                <w:b/>
                <w:bCs/>
                <w:color w:val="005CA9"/>
                <w:sz w:val="18"/>
                <w:szCs w:val="18"/>
              </w:rPr>
              <w:t>4</w:t>
            </w:r>
          </w:p>
        </w:tc>
        <w:tc>
          <w:tcPr>
            <w:tcW w:w="685" w:type="pct"/>
            <w:tcBorders>
              <w:top w:val="nil"/>
              <w:left w:val="nil"/>
              <w:bottom w:val="single" w:sz="4" w:space="0" w:color="F39200"/>
              <w:right w:val="nil"/>
            </w:tcBorders>
            <w:shd w:val="clear" w:color="auto" w:fill="auto"/>
            <w:vAlign w:val="center"/>
            <w:hideMark/>
          </w:tcPr>
          <w:p w14:paraId="64AAA1B4" w14:textId="7533FDF1"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202</w:t>
            </w:r>
            <w:r w:rsidR="00CF2B71" w:rsidRPr="00497761">
              <w:rPr>
                <w:rFonts w:ascii="CAIXA Std Book" w:eastAsia="Times New Roman" w:hAnsi="CAIXA Std Book" w:cs="Arial"/>
                <w:b/>
                <w:bCs/>
                <w:color w:val="005CA9"/>
                <w:sz w:val="18"/>
                <w:szCs w:val="18"/>
              </w:rPr>
              <w:t>3</w:t>
            </w:r>
          </w:p>
        </w:tc>
        <w:tc>
          <w:tcPr>
            <w:tcW w:w="780" w:type="pct"/>
            <w:tcBorders>
              <w:top w:val="nil"/>
              <w:left w:val="nil"/>
              <w:bottom w:val="single" w:sz="4" w:space="0" w:color="F39200"/>
              <w:right w:val="nil"/>
            </w:tcBorders>
            <w:shd w:val="clear" w:color="auto" w:fill="auto"/>
            <w:vAlign w:val="center"/>
            <w:hideMark/>
          </w:tcPr>
          <w:p w14:paraId="010A5494" w14:textId="6DBC7062"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202</w:t>
            </w:r>
            <w:r w:rsidR="00CF2B71" w:rsidRPr="00497761">
              <w:rPr>
                <w:rFonts w:ascii="CAIXA Std Book" w:eastAsia="Times New Roman" w:hAnsi="CAIXA Std Book" w:cs="Arial"/>
                <w:b/>
                <w:bCs/>
                <w:color w:val="005CA9"/>
                <w:sz w:val="18"/>
                <w:szCs w:val="18"/>
              </w:rPr>
              <w:t>4</w:t>
            </w:r>
          </w:p>
        </w:tc>
        <w:tc>
          <w:tcPr>
            <w:tcW w:w="668" w:type="pct"/>
            <w:tcBorders>
              <w:top w:val="nil"/>
              <w:left w:val="nil"/>
              <w:bottom w:val="single" w:sz="4" w:space="0" w:color="F39200"/>
              <w:right w:val="nil"/>
            </w:tcBorders>
            <w:shd w:val="clear" w:color="auto" w:fill="auto"/>
            <w:vAlign w:val="center"/>
            <w:hideMark/>
          </w:tcPr>
          <w:p w14:paraId="045B719C" w14:textId="64547C22"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202</w:t>
            </w:r>
            <w:r w:rsidR="00CF2B71" w:rsidRPr="00497761">
              <w:rPr>
                <w:rFonts w:ascii="CAIXA Std Book" w:eastAsia="Times New Roman" w:hAnsi="CAIXA Std Book" w:cs="Arial"/>
                <w:b/>
                <w:bCs/>
                <w:color w:val="005CA9"/>
                <w:sz w:val="18"/>
                <w:szCs w:val="18"/>
              </w:rPr>
              <w:t>3</w:t>
            </w:r>
          </w:p>
        </w:tc>
      </w:tr>
      <w:tr w:rsidR="00270B3F" w:rsidRPr="009D1D38" w14:paraId="5EA50F10" w14:textId="77777777" w:rsidTr="002459F7">
        <w:trPr>
          <w:trHeight w:val="283"/>
          <w:jc w:val="center"/>
        </w:trPr>
        <w:tc>
          <w:tcPr>
            <w:tcW w:w="2081" w:type="pct"/>
            <w:vMerge/>
            <w:tcBorders>
              <w:top w:val="single" w:sz="4" w:space="0" w:color="F39200"/>
              <w:left w:val="nil"/>
              <w:bottom w:val="single" w:sz="4" w:space="0" w:color="F39200"/>
              <w:right w:val="nil"/>
            </w:tcBorders>
            <w:vAlign w:val="center"/>
            <w:hideMark/>
          </w:tcPr>
          <w:p w14:paraId="0DFA1C03" w14:textId="77777777" w:rsidR="00E462D1" w:rsidRPr="00497761" w:rsidRDefault="00E462D1" w:rsidP="00497761">
            <w:pPr>
              <w:jc w:val="center"/>
              <w:rPr>
                <w:rFonts w:ascii="CAIXA Std Book" w:eastAsia="Times New Roman" w:hAnsi="CAIXA Std Book" w:cs="Arial"/>
                <w:b/>
                <w:bCs/>
                <w:color w:val="005CA9"/>
                <w:sz w:val="18"/>
                <w:szCs w:val="18"/>
              </w:rPr>
            </w:pPr>
          </w:p>
        </w:tc>
        <w:tc>
          <w:tcPr>
            <w:tcW w:w="786" w:type="pct"/>
            <w:tcBorders>
              <w:top w:val="nil"/>
              <w:left w:val="nil"/>
              <w:bottom w:val="single" w:sz="4" w:space="0" w:color="F39200"/>
              <w:right w:val="nil"/>
            </w:tcBorders>
            <w:shd w:val="clear" w:color="auto" w:fill="auto"/>
            <w:vAlign w:val="center"/>
            <w:hideMark/>
          </w:tcPr>
          <w:p w14:paraId="4F116572" w14:textId="77777777"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1º trimestre</w:t>
            </w:r>
          </w:p>
        </w:tc>
        <w:tc>
          <w:tcPr>
            <w:tcW w:w="685" w:type="pct"/>
            <w:tcBorders>
              <w:top w:val="nil"/>
              <w:left w:val="nil"/>
              <w:bottom w:val="single" w:sz="4" w:space="0" w:color="F39200"/>
              <w:right w:val="nil"/>
            </w:tcBorders>
            <w:shd w:val="clear" w:color="auto" w:fill="auto"/>
            <w:vAlign w:val="center"/>
            <w:hideMark/>
          </w:tcPr>
          <w:p w14:paraId="696DB5C1" w14:textId="77777777"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1º trimestre</w:t>
            </w:r>
          </w:p>
        </w:tc>
        <w:tc>
          <w:tcPr>
            <w:tcW w:w="780" w:type="pct"/>
            <w:tcBorders>
              <w:top w:val="nil"/>
              <w:left w:val="nil"/>
              <w:bottom w:val="single" w:sz="4" w:space="0" w:color="F39200"/>
              <w:right w:val="nil"/>
            </w:tcBorders>
            <w:shd w:val="clear" w:color="auto" w:fill="auto"/>
            <w:vAlign w:val="center"/>
            <w:hideMark/>
          </w:tcPr>
          <w:p w14:paraId="30E2AA2B" w14:textId="77777777"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1º trimestre</w:t>
            </w:r>
          </w:p>
        </w:tc>
        <w:tc>
          <w:tcPr>
            <w:tcW w:w="668" w:type="pct"/>
            <w:tcBorders>
              <w:top w:val="nil"/>
              <w:left w:val="nil"/>
              <w:bottom w:val="single" w:sz="4" w:space="0" w:color="F39200"/>
              <w:right w:val="nil"/>
            </w:tcBorders>
            <w:shd w:val="clear" w:color="auto" w:fill="auto"/>
            <w:vAlign w:val="center"/>
            <w:hideMark/>
          </w:tcPr>
          <w:p w14:paraId="02A71389" w14:textId="77777777" w:rsidR="00E462D1" w:rsidRPr="00497761" w:rsidRDefault="00E462D1" w:rsidP="00497761">
            <w:pPr>
              <w:jc w:val="center"/>
              <w:rPr>
                <w:rFonts w:ascii="CAIXA Std Book" w:eastAsia="Times New Roman" w:hAnsi="CAIXA Std Book" w:cs="Arial"/>
                <w:b/>
                <w:bCs/>
                <w:color w:val="005CA9"/>
                <w:sz w:val="18"/>
                <w:szCs w:val="18"/>
              </w:rPr>
            </w:pPr>
            <w:r w:rsidRPr="00497761">
              <w:rPr>
                <w:rFonts w:ascii="CAIXA Std Book" w:eastAsia="Times New Roman" w:hAnsi="CAIXA Std Book" w:cs="Arial"/>
                <w:b/>
                <w:bCs/>
                <w:color w:val="005CA9"/>
                <w:sz w:val="18"/>
                <w:szCs w:val="18"/>
              </w:rPr>
              <w:t>1º trimestre</w:t>
            </w:r>
          </w:p>
        </w:tc>
      </w:tr>
      <w:tr w:rsidR="003B2577" w:rsidRPr="009D1D38" w14:paraId="72A3AF23" w14:textId="77777777" w:rsidTr="002459F7">
        <w:trPr>
          <w:trHeight w:val="283"/>
          <w:jc w:val="center"/>
        </w:trPr>
        <w:tc>
          <w:tcPr>
            <w:tcW w:w="2081" w:type="pct"/>
            <w:tcBorders>
              <w:top w:val="nil"/>
              <w:left w:val="nil"/>
              <w:bottom w:val="nil"/>
              <w:right w:val="nil"/>
            </w:tcBorders>
            <w:shd w:val="clear" w:color="auto" w:fill="auto"/>
            <w:vAlign w:val="center"/>
          </w:tcPr>
          <w:p w14:paraId="7D3FBDAA" w14:textId="77777777" w:rsidR="003B2577" w:rsidRPr="00E462D1" w:rsidRDefault="003B2577" w:rsidP="003B2577">
            <w:pPr>
              <w:rPr>
                <w:rFonts w:ascii="CAIXA Std Book" w:eastAsia="Times New Roman" w:hAnsi="CAIXA Std Book" w:cs="Arial"/>
                <w:b/>
                <w:bCs/>
                <w:color w:val="005CA9"/>
                <w:sz w:val="18"/>
                <w:szCs w:val="18"/>
              </w:rPr>
            </w:pPr>
            <w:r w:rsidRPr="00E462D1">
              <w:rPr>
                <w:rFonts w:ascii="CAIXA Std Book" w:eastAsia="Times New Roman" w:hAnsi="CAIXA Std Book" w:cs="Arial"/>
                <w:b/>
                <w:bCs/>
                <w:color w:val="005CA9"/>
                <w:sz w:val="18"/>
                <w:szCs w:val="18"/>
              </w:rPr>
              <w:t>Empréstimos e repasses</w:t>
            </w:r>
          </w:p>
        </w:tc>
        <w:tc>
          <w:tcPr>
            <w:tcW w:w="786" w:type="pct"/>
            <w:tcBorders>
              <w:top w:val="nil"/>
              <w:left w:val="nil"/>
              <w:bottom w:val="nil"/>
              <w:right w:val="nil"/>
            </w:tcBorders>
            <w:shd w:val="clear" w:color="auto" w:fill="auto"/>
            <w:noWrap/>
            <w:vAlign w:val="center"/>
          </w:tcPr>
          <w:p w14:paraId="115C2656" w14:textId="25475546" w:rsidR="003B2577" w:rsidRPr="00136FCD" w:rsidRDefault="003B2577" w:rsidP="003B2577">
            <w:pPr>
              <w:jc w:val="right"/>
              <w:rPr>
                <w:rFonts w:ascii="CAIXA Std Book" w:hAnsi="CAIXA Std Book" w:cs="Arial"/>
                <w:b/>
                <w:bCs/>
                <w:color w:val="005CA9"/>
                <w:sz w:val="18"/>
                <w:szCs w:val="18"/>
              </w:rPr>
            </w:pPr>
            <w:r w:rsidRPr="003B2577">
              <w:rPr>
                <w:rFonts w:ascii="CAIXA Std Book" w:hAnsi="CAIXA Std Book" w:cs="Arial"/>
                <w:b/>
                <w:bCs/>
                <w:color w:val="005CA9"/>
                <w:sz w:val="18"/>
                <w:szCs w:val="18"/>
              </w:rPr>
              <w:t>(6.678.391)</w:t>
            </w:r>
          </w:p>
        </w:tc>
        <w:tc>
          <w:tcPr>
            <w:tcW w:w="685" w:type="pct"/>
            <w:tcBorders>
              <w:top w:val="nil"/>
              <w:left w:val="nil"/>
              <w:bottom w:val="nil"/>
              <w:right w:val="nil"/>
            </w:tcBorders>
            <w:shd w:val="clear" w:color="auto" w:fill="auto"/>
            <w:noWrap/>
            <w:vAlign w:val="center"/>
          </w:tcPr>
          <w:p w14:paraId="17376339" w14:textId="05285324" w:rsidR="003B2577" w:rsidRPr="00136FCD" w:rsidRDefault="003B2577" w:rsidP="003B2577">
            <w:pPr>
              <w:jc w:val="right"/>
              <w:rPr>
                <w:rFonts w:ascii="CAIXA Std Book" w:hAnsi="CAIXA Std Book" w:cs="Arial"/>
                <w:b/>
                <w:bCs/>
                <w:color w:val="005CA9"/>
                <w:sz w:val="18"/>
                <w:szCs w:val="18"/>
              </w:rPr>
            </w:pPr>
            <w:r w:rsidRPr="00136FCD">
              <w:rPr>
                <w:rFonts w:ascii="CAIXA Std Book" w:hAnsi="CAIXA Std Book" w:cs="Arial"/>
                <w:b/>
                <w:bCs/>
                <w:color w:val="005CA9"/>
                <w:sz w:val="18"/>
                <w:szCs w:val="18"/>
              </w:rPr>
              <w:t>(7.591.471)</w:t>
            </w:r>
          </w:p>
        </w:tc>
        <w:tc>
          <w:tcPr>
            <w:tcW w:w="780" w:type="pct"/>
            <w:tcBorders>
              <w:top w:val="nil"/>
              <w:left w:val="nil"/>
              <w:bottom w:val="nil"/>
              <w:right w:val="nil"/>
            </w:tcBorders>
            <w:shd w:val="clear" w:color="auto" w:fill="auto"/>
            <w:noWrap/>
            <w:vAlign w:val="center"/>
          </w:tcPr>
          <w:p w14:paraId="42E63B1A" w14:textId="0C601C2A" w:rsidR="003B2577" w:rsidRPr="00136FCD" w:rsidRDefault="00513DB7" w:rsidP="003B2577">
            <w:pPr>
              <w:jc w:val="right"/>
              <w:rPr>
                <w:rFonts w:ascii="CAIXA Std Book" w:hAnsi="CAIXA Std Book" w:cs="Arial"/>
                <w:b/>
                <w:bCs/>
                <w:color w:val="005CA9"/>
                <w:sz w:val="18"/>
                <w:szCs w:val="18"/>
              </w:rPr>
            </w:pPr>
            <w:r w:rsidRPr="003B2577">
              <w:rPr>
                <w:rFonts w:ascii="CAIXA Std Book" w:hAnsi="CAIXA Std Book" w:cs="Arial"/>
                <w:b/>
                <w:bCs/>
                <w:color w:val="005CA9"/>
                <w:sz w:val="18"/>
                <w:szCs w:val="18"/>
              </w:rPr>
              <w:t>(6.678.391)</w:t>
            </w:r>
          </w:p>
        </w:tc>
        <w:tc>
          <w:tcPr>
            <w:tcW w:w="668" w:type="pct"/>
            <w:tcBorders>
              <w:top w:val="nil"/>
              <w:left w:val="nil"/>
              <w:bottom w:val="nil"/>
              <w:right w:val="nil"/>
            </w:tcBorders>
            <w:shd w:val="clear" w:color="auto" w:fill="auto"/>
            <w:noWrap/>
            <w:vAlign w:val="center"/>
          </w:tcPr>
          <w:p w14:paraId="15763388" w14:textId="0D6BFC67" w:rsidR="003B2577" w:rsidRPr="00136FCD" w:rsidRDefault="002459F7" w:rsidP="003B2577">
            <w:pPr>
              <w:jc w:val="right"/>
              <w:rPr>
                <w:rFonts w:ascii="CAIXA Std Book" w:hAnsi="CAIXA Std Book" w:cs="Arial"/>
                <w:b/>
                <w:bCs/>
                <w:color w:val="005CA9"/>
                <w:sz w:val="18"/>
                <w:szCs w:val="18"/>
              </w:rPr>
            </w:pPr>
            <w:r w:rsidRPr="002459F7">
              <w:rPr>
                <w:rFonts w:ascii="CAIXA Std Book" w:hAnsi="CAIXA Std Book" w:cs="Arial"/>
                <w:b/>
                <w:bCs/>
                <w:color w:val="005CA9"/>
                <w:sz w:val="18"/>
                <w:szCs w:val="18"/>
              </w:rPr>
              <w:t>(7.</w:t>
            </w:r>
            <w:r w:rsidR="000F381B">
              <w:rPr>
                <w:rFonts w:ascii="CAIXA Std Book" w:hAnsi="CAIXA Std Book" w:cs="Arial"/>
                <w:b/>
                <w:bCs/>
                <w:color w:val="005CA9"/>
                <w:sz w:val="18"/>
                <w:szCs w:val="18"/>
              </w:rPr>
              <w:t>573.847</w:t>
            </w:r>
            <w:r w:rsidRPr="002459F7">
              <w:rPr>
                <w:rFonts w:ascii="CAIXA Std Book" w:hAnsi="CAIXA Std Book" w:cs="Arial"/>
                <w:b/>
                <w:bCs/>
                <w:color w:val="005CA9"/>
                <w:sz w:val="18"/>
                <w:szCs w:val="18"/>
              </w:rPr>
              <w:t>)</w:t>
            </w:r>
          </w:p>
        </w:tc>
      </w:tr>
      <w:tr w:rsidR="003B2577" w:rsidRPr="009D1D38" w14:paraId="7754A061" w14:textId="77777777" w:rsidTr="002459F7">
        <w:trPr>
          <w:trHeight w:val="283"/>
          <w:jc w:val="center"/>
        </w:trPr>
        <w:tc>
          <w:tcPr>
            <w:tcW w:w="2081" w:type="pct"/>
            <w:tcBorders>
              <w:top w:val="nil"/>
              <w:left w:val="nil"/>
              <w:bottom w:val="nil"/>
              <w:right w:val="nil"/>
            </w:tcBorders>
            <w:shd w:val="clear" w:color="auto" w:fill="auto"/>
            <w:vAlign w:val="center"/>
          </w:tcPr>
          <w:p w14:paraId="0C82BD8A" w14:textId="77777777" w:rsidR="003B2577" w:rsidRPr="00E462D1" w:rsidRDefault="003B2577" w:rsidP="003B2577">
            <w:pPr>
              <w:ind w:firstLineChars="100" w:firstLine="180"/>
              <w:rPr>
                <w:rFonts w:ascii="CAIXA Std Book" w:eastAsia="Times New Roman" w:hAnsi="CAIXA Std Book" w:cs="Arial"/>
                <w:color w:val="005CA9"/>
                <w:sz w:val="18"/>
                <w:szCs w:val="18"/>
              </w:rPr>
            </w:pPr>
            <w:r w:rsidRPr="00E462D1">
              <w:rPr>
                <w:rFonts w:ascii="CAIXA Std Book" w:eastAsia="Times New Roman" w:hAnsi="CAIXA Std Book" w:cs="Arial"/>
                <w:color w:val="005CA9"/>
                <w:sz w:val="18"/>
                <w:szCs w:val="18"/>
              </w:rPr>
              <w:t>FGTS</w:t>
            </w:r>
          </w:p>
        </w:tc>
        <w:tc>
          <w:tcPr>
            <w:tcW w:w="786" w:type="pct"/>
            <w:tcBorders>
              <w:top w:val="nil"/>
              <w:left w:val="nil"/>
              <w:bottom w:val="nil"/>
              <w:right w:val="nil"/>
            </w:tcBorders>
            <w:shd w:val="clear" w:color="auto" w:fill="auto"/>
            <w:noWrap/>
            <w:vAlign w:val="center"/>
          </w:tcPr>
          <w:p w14:paraId="0EAE194C" w14:textId="431362AE" w:rsidR="003B2577" w:rsidRPr="003B2577" w:rsidRDefault="003B257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(6.171.229)</w:t>
            </w:r>
          </w:p>
        </w:tc>
        <w:tc>
          <w:tcPr>
            <w:tcW w:w="685" w:type="pct"/>
            <w:tcBorders>
              <w:top w:val="nil"/>
              <w:left w:val="nil"/>
              <w:bottom w:val="nil"/>
              <w:right w:val="nil"/>
            </w:tcBorders>
            <w:shd w:val="clear" w:color="auto" w:fill="auto"/>
            <w:noWrap/>
            <w:vAlign w:val="center"/>
          </w:tcPr>
          <w:p w14:paraId="480D3AFF" w14:textId="5F71598A"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(7.116.237)</w:t>
            </w:r>
          </w:p>
        </w:tc>
        <w:tc>
          <w:tcPr>
            <w:tcW w:w="780" w:type="pct"/>
            <w:tcBorders>
              <w:top w:val="nil"/>
              <w:left w:val="nil"/>
              <w:bottom w:val="nil"/>
              <w:right w:val="nil"/>
            </w:tcBorders>
            <w:shd w:val="clear" w:color="auto" w:fill="auto"/>
            <w:noWrap/>
            <w:vAlign w:val="center"/>
          </w:tcPr>
          <w:p w14:paraId="3E9D1FEE" w14:textId="5E252F9A" w:rsidR="003B2577" w:rsidRPr="00423548" w:rsidRDefault="00513DB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(6.171.229)</w:t>
            </w:r>
          </w:p>
        </w:tc>
        <w:tc>
          <w:tcPr>
            <w:tcW w:w="668" w:type="pct"/>
            <w:tcBorders>
              <w:top w:val="nil"/>
              <w:left w:val="nil"/>
              <w:bottom w:val="nil"/>
              <w:right w:val="nil"/>
            </w:tcBorders>
            <w:shd w:val="clear" w:color="auto" w:fill="auto"/>
            <w:noWrap/>
            <w:vAlign w:val="center"/>
          </w:tcPr>
          <w:p w14:paraId="2CDEB864" w14:textId="59BD77B0"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(7.116.237)</w:t>
            </w:r>
          </w:p>
        </w:tc>
      </w:tr>
      <w:tr w:rsidR="003B2577" w:rsidRPr="009D1D38" w14:paraId="77498CC2" w14:textId="77777777" w:rsidTr="002459F7">
        <w:trPr>
          <w:trHeight w:val="283"/>
          <w:jc w:val="center"/>
        </w:trPr>
        <w:tc>
          <w:tcPr>
            <w:tcW w:w="2081" w:type="pct"/>
            <w:tcBorders>
              <w:top w:val="nil"/>
              <w:left w:val="nil"/>
              <w:bottom w:val="nil"/>
              <w:right w:val="nil"/>
            </w:tcBorders>
            <w:shd w:val="clear" w:color="auto" w:fill="auto"/>
            <w:vAlign w:val="center"/>
          </w:tcPr>
          <w:p w14:paraId="04999118" w14:textId="77777777" w:rsidR="003B2577" w:rsidRPr="00E462D1" w:rsidRDefault="003B2577" w:rsidP="003B2577">
            <w:pPr>
              <w:ind w:firstLineChars="100" w:firstLine="180"/>
              <w:rPr>
                <w:rFonts w:ascii="CAIXA Std Book" w:eastAsia="Times New Roman" w:hAnsi="CAIXA Std Book" w:cs="Arial"/>
                <w:color w:val="005CA9"/>
                <w:sz w:val="18"/>
                <w:szCs w:val="18"/>
              </w:rPr>
            </w:pPr>
            <w:r w:rsidRPr="00E462D1">
              <w:rPr>
                <w:rFonts w:ascii="CAIXA Std Book" w:eastAsia="Times New Roman" w:hAnsi="CAIXA Std Book" w:cs="Arial"/>
                <w:color w:val="005CA9"/>
                <w:sz w:val="18"/>
                <w:szCs w:val="18"/>
              </w:rPr>
              <w:t>BNDES</w:t>
            </w:r>
          </w:p>
        </w:tc>
        <w:tc>
          <w:tcPr>
            <w:tcW w:w="786" w:type="pct"/>
            <w:tcBorders>
              <w:top w:val="nil"/>
              <w:left w:val="nil"/>
              <w:bottom w:val="nil"/>
              <w:right w:val="nil"/>
            </w:tcBorders>
            <w:shd w:val="clear" w:color="auto" w:fill="auto"/>
            <w:noWrap/>
            <w:vAlign w:val="center"/>
          </w:tcPr>
          <w:p w14:paraId="125FEFE8" w14:textId="54A589E8" w:rsidR="003B2577" w:rsidRPr="003B2577" w:rsidRDefault="003B257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(356.868)</w:t>
            </w:r>
          </w:p>
        </w:tc>
        <w:tc>
          <w:tcPr>
            <w:tcW w:w="685" w:type="pct"/>
            <w:tcBorders>
              <w:top w:val="nil"/>
              <w:left w:val="nil"/>
              <w:bottom w:val="nil"/>
              <w:right w:val="nil"/>
            </w:tcBorders>
            <w:shd w:val="clear" w:color="auto" w:fill="auto"/>
            <w:noWrap/>
            <w:vAlign w:val="center"/>
          </w:tcPr>
          <w:p w14:paraId="058354E0" w14:textId="7A56DD80"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(415.850)</w:t>
            </w:r>
          </w:p>
        </w:tc>
        <w:tc>
          <w:tcPr>
            <w:tcW w:w="780" w:type="pct"/>
            <w:tcBorders>
              <w:top w:val="nil"/>
              <w:left w:val="nil"/>
              <w:bottom w:val="nil"/>
              <w:right w:val="nil"/>
            </w:tcBorders>
            <w:shd w:val="clear" w:color="auto" w:fill="auto"/>
            <w:noWrap/>
            <w:vAlign w:val="center"/>
          </w:tcPr>
          <w:p w14:paraId="1A5BD4B1" w14:textId="53A01790" w:rsidR="003B2577" w:rsidRPr="00423548" w:rsidRDefault="00513DB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(356.868)</w:t>
            </w:r>
          </w:p>
        </w:tc>
        <w:tc>
          <w:tcPr>
            <w:tcW w:w="668" w:type="pct"/>
            <w:tcBorders>
              <w:top w:val="nil"/>
              <w:left w:val="nil"/>
              <w:bottom w:val="nil"/>
              <w:right w:val="nil"/>
            </w:tcBorders>
            <w:shd w:val="clear" w:color="auto" w:fill="auto"/>
            <w:noWrap/>
            <w:vAlign w:val="center"/>
          </w:tcPr>
          <w:p w14:paraId="4FFB506F" w14:textId="6DA8637E"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(415.850)</w:t>
            </w:r>
          </w:p>
        </w:tc>
      </w:tr>
      <w:tr w:rsidR="00677DE8" w:rsidRPr="009D1D38" w14:paraId="2272DB63" w14:textId="77777777" w:rsidTr="002459F7">
        <w:trPr>
          <w:trHeight w:val="283"/>
          <w:jc w:val="center"/>
        </w:trPr>
        <w:tc>
          <w:tcPr>
            <w:tcW w:w="2081" w:type="pct"/>
            <w:tcBorders>
              <w:top w:val="nil"/>
              <w:left w:val="nil"/>
              <w:bottom w:val="nil"/>
              <w:right w:val="nil"/>
            </w:tcBorders>
            <w:shd w:val="clear" w:color="auto" w:fill="auto"/>
            <w:vAlign w:val="center"/>
          </w:tcPr>
          <w:p w14:paraId="443DF7E6" w14:textId="0890CB1F" w:rsidR="00677DE8" w:rsidRPr="00E462D1" w:rsidRDefault="00677DE8" w:rsidP="00677DE8">
            <w:pPr>
              <w:ind w:firstLineChars="100" w:firstLine="180"/>
              <w:rPr>
                <w:rFonts w:ascii="CAIXA Std Book" w:eastAsia="Times New Roman" w:hAnsi="CAIXA Std Book" w:cs="Arial"/>
                <w:color w:val="005CA9"/>
                <w:sz w:val="18"/>
                <w:szCs w:val="18"/>
              </w:rPr>
            </w:pPr>
            <w:r w:rsidRPr="002A6052">
              <w:rPr>
                <w:rFonts w:ascii="CAIXA Std Book" w:hAnsi="CAIXA Std Book" w:cs="Arial"/>
                <w:color w:val="005CA9"/>
                <w:sz w:val="18"/>
                <w:szCs w:val="18"/>
              </w:rPr>
              <w:t xml:space="preserve"> Empréstimos no exterior </w:t>
            </w:r>
          </w:p>
        </w:tc>
        <w:tc>
          <w:tcPr>
            <w:tcW w:w="786" w:type="pct"/>
            <w:tcBorders>
              <w:top w:val="nil"/>
              <w:left w:val="nil"/>
              <w:bottom w:val="nil"/>
              <w:right w:val="nil"/>
            </w:tcBorders>
            <w:shd w:val="clear" w:color="auto" w:fill="auto"/>
            <w:noWrap/>
            <w:vAlign w:val="center"/>
          </w:tcPr>
          <w:p w14:paraId="185C0C06" w14:textId="35CD15B7" w:rsidR="00677DE8" w:rsidRPr="003B2577" w:rsidRDefault="00677DE8" w:rsidP="00677DE8">
            <w:pPr>
              <w:jc w:val="right"/>
              <w:rPr>
                <w:rFonts w:ascii="CAIXA Std Book" w:hAnsi="CAIXA Std Book" w:cs="Arial"/>
                <w:color w:val="005CA9"/>
                <w:sz w:val="18"/>
                <w:szCs w:val="18"/>
              </w:rPr>
            </w:pPr>
            <w:r w:rsidRPr="003B2577">
              <w:rPr>
                <w:rFonts w:ascii="CAIXA Std Book" w:hAnsi="CAIXA Std Book" w:cs="Arial"/>
                <w:color w:val="005CA9"/>
                <w:sz w:val="18"/>
                <w:szCs w:val="18"/>
              </w:rPr>
              <w:t>(67.902)</w:t>
            </w:r>
          </w:p>
        </w:tc>
        <w:tc>
          <w:tcPr>
            <w:tcW w:w="685" w:type="pct"/>
            <w:tcBorders>
              <w:top w:val="nil"/>
              <w:left w:val="nil"/>
              <w:bottom w:val="nil"/>
              <w:right w:val="nil"/>
            </w:tcBorders>
            <w:shd w:val="clear" w:color="auto" w:fill="auto"/>
            <w:noWrap/>
            <w:vAlign w:val="center"/>
          </w:tcPr>
          <w:p w14:paraId="1E45F103" w14:textId="17C6E2D4" w:rsidR="00677DE8" w:rsidRPr="00423548" w:rsidRDefault="00677DE8" w:rsidP="00677DE8">
            <w:pPr>
              <w:jc w:val="center"/>
              <w:rPr>
                <w:rFonts w:ascii="CAIXA Std Book" w:hAnsi="CAIXA Std Book" w:cs="Arial"/>
                <w:color w:val="005CA9"/>
                <w:sz w:val="18"/>
                <w:szCs w:val="18"/>
              </w:rPr>
            </w:pPr>
            <w:r>
              <w:rPr>
                <w:rFonts w:ascii="CAIXA Std Book" w:hAnsi="CAIXA Std Book" w:cs="Arial"/>
                <w:color w:val="005CA9"/>
                <w:sz w:val="18"/>
                <w:szCs w:val="18"/>
              </w:rPr>
              <w:t>-</w:t>
            </w:r>
          </w:p>
        </w:tc>
        <w:tc>
          <w:tcPr>
            <w:tcW w:w="780" w:type="pct"/>
            <w:tcBorders>
              <w:top w:val="nil"/>
              <w:left w:val="nil"/>
              <w:bottom w:val="nil"/>
              <w:right w:val="nil"/>
            </w:tcBorders>
            <w:shd w:val="clear" w:color="auto" w:fill="auto"/>
            <w:noWrap/>
            <w:vAlign w:val="center"/>
          </w:tcPr>
          <w:p w14:paraId="7C3BC7B8" w14:textId="43F88E38" w:rsidR="00677DE8" w:rsidRPr="003B2577" w:rsidRDefault="00677DE8" w:rsidP="00677DE8">
            <w:pPr>
              <w:jc w:val="right"/>
              <w:rPr>
                <w:rFonts w:ascii="CAIXA Std Book" w:hAnsi="CAIXA Std Book" w:cs="Arial"/>
                <w:color w:val="005CA9"/>
                <w:sz w:val="18"/>
                <w:szCs w:val="18"/>
              </w:rPr>
            </w:pPr>
            <w:r w:rsidRPr="003B2577">
              <w:rPr>
                <w:rFonts w:ascii="CAIXA Std Book" w:hAnsi="CAIXA Std Book" w:cs="Arial"/>
                <w:color w:val="005CA9"/>
                <w:sz w:val="18"/>
                <w:szCs w:val="18"/>
              </w:rPr>
              <w:t>(67.902)</w:t>
            </w:r>
          </w:p>
        </w:tc>
        <w:tc>
          <w:tcPr>
            <w:tcW w:w="668" w:type="pct"/>
            <w:tcBorders>
              <w:top w:val="nil"/>
              <w:left w:val="nil"/>
              <w:bottom w:val="nil"/>
              <w:right w:val="nil"/>
            </w:tcBorders>
            <w:shd w:val="clear" w:color="auto" w:fill="auto"/>
            <w:noWrap/>
            <w:vAlign w:val="center"/>
          </w:tcPr>
          <w:p w14:paraId="1C69D090" w14:textId="16A55C3D" w:rsidR="00677DE8" w:rsidRPr="00423548" w:rsidRDefault="00677DE8" w:rsidP="00677DE8">
            <w:pPr>
              <w:jc w:val="right"/>
              <w:rPr>
                <w:rFonts w:ascii="CAIXA Std Book" w:hAnsi="CAIXA Std Book" w:cs="Arial"/>
                <w:color w:val="005CA9"/>
                <w:sz w:val="18"/>
                <w:szCs w:val="18"/>
              </w:rPr>
            </w:pPr>
            <w:r w:rsidRPr="002A6052">
              <w:rPr>
                <w:rFonts w:ascii="CAIXA Std Book" w:hAnsi="CAIXA Std Book" w:cs="Arial"/>
                <w:color w:val="005CA9"/>
                <w:sz w:val="18"/>
                <w:szCs w:val="18"/>
              </w:rPr>
              <w:t>10.</w:t>
            </w:r>
            <w:r w:rsidR="00880052">
              <w:rPr>
                <w:rFonts w:ascii="CAIXA Std Book" w:hAnsi="CAIXA Std Book" w:cs="Arial"/>
                <w:color w:val="005CA9"/>
                <w:sz w:val="18"/>
                <w:szCs w:val="18"/>
              </w:rPr>
              <w:t>967</w:t>
            </w:r>
          </w:p>
        </w:tc>
      </w:tr>
      <w:tr w:rsidR="00677DE8" w:rsidRPr="009D1D38" w14:paraId="2870395D" w14:textId="77777777" w:rsidTr="002459F7">
        <w:trPr>
          <w:trHeight w:val="283"/>
          <w:jc w:val="center"/>
        </w:trPr>
        <w:tc>
          <w:tcPr>
            <w:tcW w:w="2081" w:type="pct"/>
            <w:tcBorders>
              <w:top w:val="nil"/>
              <w:left w:val="nil"/>
              <w:bottom w:val="nil"/>
              <w:right w:val="nil"/>
            </w:tcBorders>
            <w:shd w:val="clear" w:color="auto" w:fill="auto"/>
            <w:vAlign w:val="center"/>
          </w:tcPr>
          <w:p w14:paraId="0D078616" w14:textId="4D266054" w:rsidR="00677DE8" w:rsidRPr="00E462D1" w:rsidRDefault="00677DE8" w:rsidP="00677DE8">
            <w:pPr>
              <w:ind w:firstLineChars="100" w:firstLine="180"/>
              <w:rPr>
                <w:rFonts w:ascii="CAIXA Std Book" w:eastAsia="Times New Roman" w:hAnsi="CAIXA Std Book" w:cs="Arial"/>
                <w:color w:val="005CA9"/>
                <w:sz w:val="18"/>
                <w:szCs w:val="18"/>
              </w:rPr>
            </w:pPr>
            <w:r w:rsidRPr="002A6052">
              <w:rPr>
                <w:rFonts w:ascii="CAIXA Std Book" w:hAnsi="CAIXA Std Book" w:cs="Arial"/>
                <w:color w:val="005CA9"/>
                <w:sz w:val="18"/>
                <w:szCs w:val="18"/>
              </w:rPr>
              <w:t xml:space="preserve"> Fundo Marinha Mercante </w:t>
            </w:r>
          </w:p>
        </w:tc>
        <w:tc>
          <w:tcPr>
            <w:tcW w:w="786" w:type="pct"/>
            <w:tcBorders>
              <w:top w:val="nil"/>
              <w:left w:val="nil"/>
              <w:bottom w:val="nil"/>
              <w:right w:val="nil"/>
            </w:tcBorders>
            <w:shd w:val="clear" w:color="auto" w:fill="auto"/>
            <w:noWrap/>
            <w:vAlign w:val="center"/>
          </w:tcPr>
          <w:p w14:paraId="74AFA1DA" w14:textId="544A6449" w:rsidR="00677DE8" w:rsidRPr="003B2577" w:rsidRDefault="00677DE8" w:rsidP="00677DE8">
            <w:pPr>
              <w:jc w:val="right"/>
              <w:rPr>
                <w:rFonts w:ascii="CAIXA Std Book" w:hAnsi="CAIXA Std Book" w:cs="Arial"/>
                <w:color w:val="005CA9"/>
                <w:sz w:val="18"/>
                <w:szCs w:val="18"/>
              </w:rPr>
            </w:pPr>
            <w:r w:rsidRPr="003B2577">
              <w:rPr>
                <w:rFonts w:ascii="CAIXA Std Book" w:hAnsi="CAIXA Std Book" w:cs="Arial"/>
                <w:color w:val="005CA9"/>
                <w:sz w:val="18"/>
                <w:szCs w:val="18"/>
              </w:rPr>
              <w:t>(43.031)</w:t>
            </w:r>
          </w:p>
        </w:tc>
        <w:tc>
          <w:tcPr>
            <w:tcW w:w="685" w:type="pct"/>
            <w:tcBorders>
              <w:top w:val="nil"/>
              <w:left w:val="nil"/>
              <w:bottom w:val="nil"/>
              <w:right w:val="nil"/>
            </w:tcBorders>
            <w:shd w:val="clear" w:color="auto" w:fill="auto"/>
            <w:noWrap/>
            <w:vAlign w:val="center"/>
          </w:tcPr>
          <w:p w14:paraId="10E11A50" w14:textId="44F62254" w:rsidR="00677DE8" w:rsidRPr="00423548" w:rsidRDefault="00677DE8" w:rsidP="00677DE8">
            <w:pPr>
              <w:jc w:val="right"/>
              <w:rPr>
                <w:rFonts w:ascii="CAIXA Std Book" w:hAnsi="CAIXA Std Book" w:cs="Arial"/>
                <w:color w:val="005CA9"/>
                <w:sz w:val="18"/>
                <w:szCs w:val="18"/>
              </w:rPr>
            </w:pPr>
            <w:r w:rsidRPr="00EE5A26">
              <w:rPr>
                <w:rFonts w:ascii="CAIXA Std Book" w:hAnsi="CAIXA Std Book" w:cs="Arial"/>
                <w:color w:val="005CA9"/>
                <w:sz w:val="18"/>
                <w:szCs w:val="18"/>
              </w:rPr>
              <w:t>(23.877)</w:t>
            </w:r>
          </w:p>
        </w:tc>
        <w:tc>
          <w:tcPr>
            <w:tcW w:w="780" w:type="pct"/>
            <w:tcBorders>
              <w:top w:val="nil"/>
              <w:left w:val="nil"/>
              <w:bottom w:val="nil"/>
              <w:right w:val="nil"/>
            </w:tcBorders>
            <w:shd w:val="clear" w:color="auto" w:fill="auto"/>
            <w:noWrap/>
            <w:vAlign w:val="center"/>
          </w:tcPr>
          <w:p w14:paraId="26BB3B1E" w14:textId="318FDA3E" w:rsidR="00677DE8" w:rsidRPr="003B2577" w:rsidRDefault="00677DE8" w:rsidP="00677DE8">
            <w:pPr>
              <w:jc w:val="right"/>
              <w:rPr>
                <w:rFonts w:ascii="CAIXA Std Book" w:hAnsi="CAIXA Std Book" w:cs="Arial"/>
                <w:color w:val="005CA9"/>
                <w:sz w:val="18"/>
                <w:szCs w:val="18"/>
              </w:rPr>
            </w:pPr>
            <w:r w:rsidRPr="003B2577">
              <w:rPr>
                <w:rFonts w:ascii="CAIXA Std Book" w:hAnsi="CAIXA Std Book" w:cs="Arial"/>
                <w:color w:val="005CA9"/>
                <w:sz w:val="18"/>
                <w:szCs w:val="18"/>
              </w:rPr>
              <w:t>(43.031)</w:t>
            </w:r>
          </w:p>
        </w:tc>
        <w:tc>
          <w:tcPr>
            <w:tcW w:w="668" w:type="pct"/>
            <w:tcBorders>
              <w:top w:val="nil"/>
              <w:left w:val="nil"/>
              <w:bottom w:val="nil"/>
              <w:right w:val="nil"/>
            </w:tcBorders>
            <w:shd w:val="clear" w:color="auto" w:fill="auto"/>
            <w:noWrap/>
            <w:vAlign w:val="center"/>
          </w:tcPr>
          <w:p w14:paraId="77D7AF62" w14:textId="19DCFE6C" w:rsidR="00677DE8" w:rsidRPr="00423548" w:rsidRDefault="00677DE8" w:rsidP="00677DE8">
            <w:pPr>
              <w:jc w:val="right"/>
              <w:rPr>
                <w:rFonts w:ascii="CAIXA Std Book" w:hAnsi="CAIXA Std Book" w:cs="Arial"/>
                <w:color w:val="005CA9"/>
                <w:sz w:val="18"/>
                <w:szCs w:val="18"/>
              </w:rPr>
            </w:pPr>
            <w:r w:rsidRPr="002459F7">
              <w:rPr>
                <w:rFonts w:ascii="CAIXA Std Book" w:hAnsi="CAIXA Std Book" w:cs="Arial"/>
                <w:color w:val="005CA9"/>
                <w:sz w:val="18"/>
                <w:szCs w:val="18"/>
              </w:rPr>
              <w:t>(23.877)</w:t>
            </w:r>
          </w:p>
        </w:tc>
      </w:tr>
      <w:tr w:rsidR="003B2577" w:rsidRPr="009D1D38" w14:paraId="081369E9" w14:textId="77777777" w:rsidTr="002459F7">
        <w:trPr>
          <w:trHeight w:val="283"/>
          <w:jc w:val="center"/>
        </w:trPr>
        <w:tc>
          <w:tcPr>
            <w:tcW w:w="2081" w:type="pct"/>
            <w:tcBorders>
              <w:top w:val="nil"/>
              <w:left w:val="nil"/>
              <w:bottom w:val="nil"/>
              <w:right w:val="nil"/>
            </w:tcBorders>
            <w:shd w:val="clear" w:color="auto" w:fill="auto"/>
            <w:vAlign w:val="center"/>
          </w:tcPr>
          <w:p w14:paraId="7DD6F48D" w14:textId="3432387E" w:rsidR="003B2577" w:rsidRPr="00E462D1" w:rsidRDefault="003B2577" w:rsidP="003B2577">
            <w:pPr>
              <w:ind w:firstLineChars="100" w:firstLine="180"/>
              <w:rPr>
                <w:rFonts w:ascii="CAIXA Std Book" w:eastAsia="Times New Roman" w:hAnsi="CAIXA Std Book" w:cs="Arial"/>
                <w:color w:val="005CA9"/>
                <w:sz w:val="18"/>
                <w:szCs w:val="18"/>
              </w:rPr>
            </w:pPr>
            <w:r w:rsidRPr="002A6052">
              <w:rPr>
                <w:rFonts w:ascii="CAIXA Std Book" w:hAnsi="CAIXA Std Book" w:cs="Arial"/>
                <w:color w:val="005CA9"/>
                <w:sz w:val="18"/>
                <w:szCs w:val="18"/>
              </w:rPr>
              <w:t xml:space="preserve"> Repasses do exterior </w:t>
            </w:r>
          </w:p>
        </w:tc>
        <w:tc>
          <w:tcPr>
            <w:tcW w:w="786" w:type="pct"/>
            <w:tcBorders>
              <w:top w:val="nil"/>
              <w:left w:val="nil"/>
              <w:bottom w:val="nil"/>
              <w:right w:val="nil"/>
            </w:tcBorders>
            <w:shd w:val="clear" w:color="auto" w:fill="auto"/>
            <w:noWrap/>
            <w:vAlign w:val="center"/>
          </w:tcPr>
          <w:p w14:paraId="3A70B04C" w14:textId="517C32B0" w:rsidR="003B2577" w:rsidRPr="003B2577" w:rsidRDefault="003B2577" w:rsidP="003B2577">
            <w:pPr>
              <w:jc w:val="right"/>
              <w:rPr>
                <w:rFonts w:ascii="CAIXA Std Book" w:hAnsi="CAIXA Std Book" w:cs="Arial"/>
                <w:color w:val="005CA9"/>
                <w:sz w:val="18"/>
                <w:szCs w:val="18"/>
              </w:rPr>
            </w:pPr>
            <w:r w:rsidRPr="002A6052">
              <w:rPr>
                <w:rFonts w:ascii="CAIXA Std Book" w:hAnsi="CAIXA Std Book" w:cs="Arial"/>
                <w:color w:val="005CA9"/>
                <w:sz w:val="18"/>
                <w:szCs w:val="18"/>
              </w:rPr>
              <w:t>(9.241)</w:t>
            </w:r>
          </w:p>
        </w:tc>
        <w:tc>
          <w:tcPr>
            <w:tcW w:w="685" w:type="pct"/>
            <w:tcBorders>
              <w:top w:val="nil"/>
              <w:left w:val="nil"/>
              <w:bottom w:val="nil"/>
              <w:right w:val="nil"/>
            </w:tcBorders>
            <w:shd w:val="clear" w:color="auto" w:fill="auto"/>
            <w:noWrap/>
            <w:vAlign w:val="center"/>
          </w:tcPr>
          <w:p w14:paraId="10281CD1" w14:textId="24B16534" w:rsidR="003B2577" w:rsidRPr="00423548" w:rsidRDefault="00EE5A26" w:rsidP="003B2577">
            <w:pPr>
              <w:jc w:val="right"/>
              <w:rPr>
                <w:rFonts w:ascii="CAIXA Std Book" w:hAnsi="CAIXA Std Book" w:cs="Arial"/>
                <w:color w:val="005CA9"/>
                <w:sz w:val="18"/>
                <w:szCs w:val="18"/>
              </w:rPr>
            </w:pPr>
            <w:r w:rsidRPr="002A6052">
              <w:rPr>
                <w:rFonts w:ascii="CAIXA Std Book" w:hAnsi="CAIXA Std Book" w:cs="Arial"/>
                <w:color w:val="005CA9"/>
                <w:sz w:val="18"/>
                <w:szCs w:val="18"/>
              </w:rPr>
              <w:t>(191)</w:t>
            </w:r>
          </w:p>
        </w:tc>
        <w:tc>
          <w:tcPr>
            <w:tcW w:w="780" w:type="pct"/>
            <w:tcBorders>
              <w:top w:val="nil"/>
              <w:left w:val="nil"/>
              <w:bottom w:val="nil"/>
              <w:right w:val="nil"/>
            </w:tcBorders>
            <w:shd w:val="clear" w:color="auto" w:fill="auto"/>
            <w:noWrap/>
            <w:vAlign w:val="center"/>
          </w:tcPr>
          <w:p w14:paraId="6DE64328" w14:textId="159E4E74" w:rsidR="003B2577" w:rsidRPr="00423548" w:rsidRDefault="00513DB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(9.241)</w:t>
            </w:r>
          </w:p>
        </w:tc>
        <w:tc>
          <w:tcPr>
            <w:tcW w:w="668" w:type="pct"/>
            <w:tcBorders>
              <w:top w:val="nil"/>
              <w:left w:val="nil"/>
              <w:bottom w:val="nil"/>
              <w:right w:val="nil"/>
            </w:tcBorders>
            <w:shd w:val="clear" w:color="auto" w:fill="auto"/>
            <w:noWrap/>
            <w:vAlign w:val="center"/>
          </w:tcPr>
          <w:p w14:paraId="35AB4F71" w14:textId="3CED77CE" w:rsidR="003B2577" w:rsidRPr="00423548" w:rsidRDefault="002459F7" w:rsidP="003B2577">
            <w:pPr>
              <w:jc w:val="right"/>
              <w:rPr>
                <w:rFonts w:ascii="CAIXA Std Book" w:hAnsi="CAIXA Std Book" w:cs="Arial"/>
                <w:color w:val="005CA9"/>
                <w:sz w:val="18"/>
                <w:szCs w:val="18"/>
              </w:rPr>
            </w:pPr>
            <w:r w:rsidRPr="002A6052">
              <w:rPr>
                <w:rFonts w:ascii="CAIXA Std Book" w:hAnsi="CAIXA Std Book" w:cs="Arial"/>
                <w:color w:val="005CA9"/>
                <w:sz w:val="18"/>
                <w:szCs w:val="18"/>
              </w:rPr>
              <w:t>6.466</w:t>
            </w:r>
          </w:p>
        </w:tc>
      </w:tr>
      <w:tr w:rsidR="003B2577" w:rsidRPr="009D1D38" w14:paraId="439D8852" w14:textId="77777777" w:rsidTr="002459F7">
        <w:trPr>
          <w:trHeight w:val="283"/>
          <w:jc w:val="center"/>
        </w:trPr>
        <w:tc>
          <w:tcPr>
            <w:tcW w:w="2081" w:type="pct"/>
            <w:tcBorders>
              <w:top w:val="nil"/>
              <w:left w:val="nil"/>
              <w:bottom w:val="nil"/>
              <w:right w:val="nil"/>
            </w:tcBorders>
            <w:shd w:val="clear" w:color="auto" w:fill="auto"/>
            <w:vAlign w:val="center"/>
          </w:tcPr>
          <w:p w14:paraId="5BA9F7E5" w14:textId="77777777" w:rsidR="003B2577" w:rsidRPr="00E462D1" w:rsidRDefault="003B2577" w:rsidP="003B2577">
            <w:pPr>
              <w:ind w:firstLineChars="100" w:firstLine="180"/>
              <w:rPr>
                <w:rFonts w:ascii="CAIXA Std Book" w:eastAsia="Times New Roman" w:hAnsi="CAIXA Std Book" w:cs="Arial"/>
                <w:color w:val="005CA9"/>
                <w:sz w:val="18"/>
                <w:szCs w:val="18"/>
              </w:rPr>
            </w:pPr>
            <w:r w:rsidRPr="00E462D1">
              <w:rPr>
                <w:rFonts w:ascii="CAIXA Std Book" w:eastAsia="Times New Roman" w:hAnsi="CAIXA Std Book" w:cs="Arial"/>
                <w:color w:val="005CA9"/>
                <w:sz w:val="18"/>
                <w:szCs w:val="18"/>
              </w:rPr>
              <w:t>Outros</w:t>
            </w:r>
          </w:p>
        </w:tc>
        <w:tc>
          <w:tcPr>
            <w:tcW w:w="786" w:type="pct"/>
            <w:tcBorders>
              <w:top w:val="nil"/>
              <w:left w:val="nil"/>
              <w:bottom w:val="nil"/>
              <w:right w:val="nil"/>
            </w:tcBorders>
            <w:shd w:val="clear" w:color="auto" w:fill="auto"/>
            <w:noWrap/>
            <w:vAlign w:val="center"/>
          </w:tcPr>
          <w:p w14:paraId="2297EB21" w14:textId="6F2A796D" w:rsidR="003B2577" w:rsidRPr="003B2577" w:rsidRDefault="003B257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(30.120)</w:t>
            </w:r>
          </w:p>
        </w:tc>
        <w:tc>
          <w:tcPr>
            <w:tcW w:w="685" w:type="pct"/>
            <w:tcBorders>
              <w:top w:val="nil"/>
              <w:left w:val="nil"/>
              <w:bottom w:val="nil"/>
              <w:right w:val="nil"/>
            </w:tcBorders>
            <w:shd w:val="clear" w:color="auto" w:fill="auto"/>
            <w:noWrap/>
            <w:vAlign w:val="center"/>
          </w:tcPr>
          <w:p w14:paraId="392409C9" w14:textId="2589A37C" w:rsidR="003B2577" w:rsidRPr="00423548" w:rsidRDefault="00513DB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w:t>
            </w:r>
            <w:r w:rsidR="00EE5A26">
              <w:rPr>
                <w:rFonts w:ascii="CAIXA Std Book" w:hAnsi="CAIXA Std Book" w:cs="Arial"/>
                <w:color w:val="005CA9"/>
                <w:sz w:val="18"/>
                <w:szCs w:val="18"/>
              </w:rPr>
              <w:t>35.316</w:t>
            </w:r>
            <w:r w:rsidRPr="00423548">
              <w:rPr>
                <w:rFonts w:ascii="CAIXA Std Book" w:hAnsi="CAIXA Std Book" w:cs="Arial"/>
                <w:color w:val="005CA9"/>
                <w:sz w:val="18"/>
                <w:szCs w:val="18"/>
              </w:rPr>
              <w:t>)</w:t>
            </w:r>
          </w:p>
        </w:tc>
        <w:tc>
          <w:tcPr>
            <w:tcW w:w="780" w:type="pct"/>
            <w:tcBorders>
              <w:top w:val="nil"/>
              <w:left w:val="nil"/>
              <w:bottom w:val="nil"/>
              <w:right w:val="nil"/>
            </w:tcBorders>
            <w:shd w:val="clear" w:color="auto" w:fill="auto"/>
            <w:noWrap/>
            <w:vAlign w:val="center"/>
          </w:tcPr>
          <w:p w14:paraId="369831B9" w14:textId="7AE591F8" w:rsidR="003B2577" w:rsidRPr="00423548" w:rsidRDefault="00513DB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(30.120)</w:t>
            </w:r>
          </w:p>
        </w:tc>
        <w:tc>
          <w:tcPr>
            <w:tcW w:w="668" w:type="pct"/>
            <w:tcBorders>
              <w:top w:val="nil"/>
              <w:left w:val="nil"/>
              <w:bottom w:val="nil"/>
              <w:right w:val="nil"/>
            </w:tcBorders>
            <w:shd w:val="clear" w:color="auto" w:fill="auto"/>
            <w:noWrap/>
            <w:vAlign w:val="center"/>
          </w:tcPr>
          <w:p w14:paraId="07B8478C" w14:textId="214DE4A3" w:rsidR="003B2577" w:rsidRPr="00423548" w:rsidRDefault="00FB604A" w:rsidP="003B2577">
            <w:pPr>
              <w:jc w:val="right"/>
              <w:rPr>
                <w:rFonts w:ascii="CAIXA Std Book" w:hAnsi="CAIXA Std Book" w:cs="Arial"/>
                <w:color w:val="005CA9"/>
                <w:sz w:val="18"/>
                <w:szCs w:val="18"/>
              </w:rPr>
            </w:pPr>
            <w:r>
              <w:rPr>
                <w:rFonts w:ascii="CAIXA Std Book" w:hAnsi="CAIXA Std Book" w:cs="Arial"/>
                <w:color w:val="005CA9"/>
                <w:sz w:val="18"/>
                <w:szCs w:val="18"/>
              </w:rPr>
              <w:t>(35.316)</w:t>
            </w:r>
          </w:p>
        </w:tc>
      </w:tr>
      <w:tr w:rsidR="003B2577" w:rsidRPr="009D1D38" w14:paraId="72ADE088" w14:textId="77777777" w:rsidTr="002459F7">
        <w:trPr>
          <w:trHeight w:val="283"/>
          <w:jc w:val="center"/>
        </w:trPr>
        <w:tc>
          <w:tcPr>
            <w:tcW w:w="2081" w:type="pct"/>
            <w:tcBorders>
              <w:top w:val="nil"/>
              <w:left w:val="nil"/>
              <w:bottom w:val="nil"/>
              <w:right w:val="nil"/>
            </w:tcBorders>
            <w:shd w:val="clear" w:color="auto" w:fill="auto"/>
            <w:vAlign w:val="center"/>
          </w:tcPr>
          <w:p w14:paraId="0D83900D" w14:textId="77777777" w:rsidR="003B2577" w:rsidRPr="00E462D1" w:rsidRDefault="003B2577" w:rsidP="003B2577">
            <w:pPr>
              <w:rPr>
                <w:rFonts w:ascii="CAIXA Std Book" w:eastAsia="Times New Roman" w:hAnsi="CAIXA Std Book" w:cs="Arial"/>
                <w:b/>
                <w:bCs/>
                <w:color w:val="005CA9"/>
                <w:sz w:val="18"/>
                <w:szCs w:val="18"/>
              </w:rPr>
            </w:pPr>
            <w:r w:rsidRPr="00E462D1">
              <w:rPr>
                <w:rFonts w:ascii="CAIXA Std Book" w:eastAsia="Times New Roman" w:hAnsi="CAIXA Std Book" w:cs="Arial"/>
                <w:b/>
                <w:bCs/>
                <w:color w:val="005CA9"/>
                <w:sz w:val="18"/>
                <w:szCs w:val="18"/>
              </w:rPr>
              <w:t>Captações no mercado aberto</w:t>
            </w:r>
          </w:p>
        </w:tc>
        <w:tc>
          <w:tcPr>
            <w:tcW w:w="786" w:type="pct"/>
            <w:tcBorders>
              <w:top w:val="nil"/>
              <w:left w:val="nil"/>
              <w:bottom w:val="nil"/>
              <w:right w:val="nil"/>
            </w:tcBorders>
            <w:shd w:val="clear" w:color="auto" w:fill="auto"/>
            <w:noWrap/>
            <w:vAlign w:val="center"/>
          </w:tcPr>
          <w:p w14:paraId="0B3A0989" w14:textId="3ABD852F" w:rsidR="003B2577" w:rsidRPr="00136FCD" w:rsidRDefault="003B2577" w:rsidP="003B2577">
            <w:pPr>
              <w:jc w:val="right"/>
              <w:rPr>
                <w:rFonts w:ascii="CAIXA Std Book" w:hAnsi="CAIXA Std Book" w:cs="Arial"/>
                <w:b/>
                <w:bCs/>
                <w:color w:val="005CA9"/>
                <w:sz w:val="18"/>
                <w:szCs w:val="18"/>
              </w:rPr>
            </w:pPr>
            <w:r w:rsidRPr="003B2577">
              <w:rPr>
                <w:rFonts w:ascii="CAIXA Std Book" w:hAnsi="CAIXA Std Book" w:cs="Arial"/>
                <w:b/>
                <w:bCs/>
                <w:color w:val="005CA9"/>
                <w:sz w:val="18"/>
                <w:szCs w:val="18"/>
              </w:rPr>
              <w:t>(6.648.247)</w:t>
            </w:r>
          </w:p>
        </w:tc>
        <w:tc>
          <w:tcPr>
            <w:tcW w:w="685" w:type="pct"/>
            <w:tcBorders>
              <w:top w:val="nil"/>
              <w:left w:val="nil"/>
              <w:bottom w:val="nil"/>
              <w:right w:val="nil"/>
            </w:tcBorders>
            <w:shd w:val="clear" w:color="auto" w:fill="auto"/>
            <w:noWrap/>
            <w:vAlign w:val="center"/>
          </w:tcPr>
          <w:p w14:paraId="4C8C72D5" w14:textId="2B5CF21C" w:rsidR="003B2577" w:rsidRPr="00136FCD" w:rsidRDefault="003B2577" w:rsidP="003B2577">
            <w:pPr>
              <w:jc w:val="right"/>
              <w:rPr>
                <w:rFonts w:ascii="CAIXA Std Book" w:hAnsi="CAIXA Std Book" w:cs="Arial"/>
                <w:b/>
                <w:bCs/>
                <w:color w:val="005CA9"/>
                <w:sz w:val="18"/>
                <w:szCs w:val="18"/>
              </w:rPr>
            </w:pPr>
            <w:r w:rsidRPr="00136FCD">
              <w:rPr>
                <w:rFonts w:ascii="CAIXA Std Book" w:hAnsi="CAIXA Std Book" w:cs="Arial"/>
                <w:b/>
                <w:bCs/>
                <w:color w:val="005CA9"/>
                <w:sz w:val="18"/>
                <w:szCs w:val="18"/>
              </w:rPr>
              <w:t>(8.732.880)</w:t>
            </w:r>
          </w:p>
        </w:tc>
        <w:tc>
          <w:tcPr>
            <w:tcW w:w="780" w:type="pct"/>
            <w:tcBorders>
              <w:top w:val="nil"/>
              <w:left w:val="nil"/>
              <w:bottom w:val="nil"/>
              <w:right w:val="nil"/>
            </w:tcBorders>
            <w:shd w:val="clear" w:color="auto" w:fill="auto"/>
            <w:noWrap/>
            <w:vAlign w:val="center"/>
          </w:tcPr>
          <w:p w14:paraId="431E39B5" w14:textId="541DBEB8" w:rsidR="003B2577" w:rsidRPr="00136FCD" w:rsidRDefault="002176F4" w:rsidP="003B2577">
            <w:pPr>
              <w:jc w:val="right"/>
              <w:rPr>
                <w:rFonts w:ascii="CAIXA Std Book" w:hAnsi="CAIXA Std Book" w:cs="Arial"/>
                <w:b/>
                <w:bCs/>
                <w:color w:val="005CA9"/>
                <w:sz w:val="18"/>
                <w:szCs w:val="18"/>
              </w:rPr>
            </w:pPr>
            <w:r w:rsidRPr="002176F4">
              <w:rPr>
                <w:rFonts w:ascii="CAIXA Std Book" w:hAnsi="CAIXA Std Book" w:cs="Arial"/>
                <w:b/>
                <w:bCs/>
                <w:color w:val="005CA9"/>
                <w:sz w:val="18"/>
                <w:szCs w:val="18"/>
              </w:rPr>
              <w:t>(6.619.769)</w:t>
            </w:r>
          </w:p>
        </w:tc>
        <w:tc>
          <w:tcPr>
            <w:tcW w:w="668" w:type="pct"/>
            <w:tcBorders>
              <w:top w:val="nil"/>
              <w:left w:val="nil"/>
              <w:bottom w:val="nil"/>
              <w:right w:val="nil"/>
            </w:tcBorders>
            <w:shd w:val="clear" w:color="auto" w:fill="auto"/>
            <w:noWrap/>
            <w:vAlign w:val="center"/>
          </w:tcPr>
          <w:p w14:paraId="7998B6E8" w14:textId="59F97E4B" w:rsidR="003B2577" w:rsidRPr="00136FCD" w:rsidRDefault="002459F7" w:rsidP="003B2577">
            <w:pPr>
              <w:jc w:val="right"/>
              <w:rPr>
                <w:rFonts w:ascii="CAIXA Std Book" w:hAnsi="CAIXA Std Book" w:cs="Arial"/>
                <w:b/>
                <w:bCs/>
                <w:color w:val="005CA9"/>
                <w:sz w:val="18"/>
                <w:szCs w:val="18"/>
              </w:rPr>
            </w:pPr>
            <w:r w:rsidRPr="002459F7">
              <w:rPr>
                <w:rFonts w:ascii="CAIXA Std Book" w:hAnsi="CAIXA Std Book" w:cs="Arial"/>
                <w:b/>
                <w:bCs/>
                <w:color w:val="005CA9"/>
                <w:sz w:val="18"/>
                <w:szCs w:val="18"/>
              </w:rPr>
              <w:t>(8.</w:t>
            </w:r>
            <w:r w:rsidR="00FA2AB1" w:rsidRPr="00FB604A">
              <w:rPr>
                <w:rFonts w:ascii="CAIXA Std Book" w:hAnsi="CAIXA Std Book" w:cs="Arial"/>
                <w:b/>
                <w:bCs/>
                <w:color w:val="005CA9"/>
                <w:sz w:val="18"/>
                <w:szCs w:val="18"/>
              </w:rPr>
              <w:t>698.009</w:t>
            </w:r>
            <w:r w:rsidRPr="002459F7">
              <w:rPr>
                <w:rFonts w:ascii="CAIXA Std Book" w:hAnsi="CAIXA Std Book" w:cs="Arial"/>
                <w:b/>
                <w:bCs/>
                <w:color w:val="005CA9"/>
                <w:sz w:val="18"/>
                <w:szCs w:val="18"/>
              </w:rPr>
              <w:t>)</w:t>
            </w:r>
          </w:p>
        </w:tc>
      </w:tr>
      <w:tr w:rsidR="003B2577" w:rsidRPr="009D1D38" w14:paraId="702A881D" w14:textId="77777777" w:rsidTr="002459F7">
        <w:trPr>
          <w:trHeight w:val="283"/>
          <w:jc w:val="center"/>
        </w:trPr>
        <w:tc>
          <w:tcPr>
            <w:tcW w:w="2081" w:type="pct"/>
            <w:tcBorders>
              <w:top w:val="nil"/>
              <w:left w:val="nil"/>
              <w:bottom w:val="nil"/>
              <w:right w:val="nil"/>
            </w:tcBorders>
            <w:shd w:val="clear" w:color="auto" w:fill="auto"/>
            <w:vAlign w:val="center"/>
          </w:tcPr>
          <w:p w14:paraId="138BC429" w14:textId="77777777" w:rsidR="003B2577" w:rsidRPr="00E462D1" w:rsidRDefault="003B2577" w:rsidP="003B2577">
            <w:pPr>
              <w:rPr>
                <w:rFonts w:ascii="CAIXA Std Book" w:eastAsia="Times New Roman" w:hAnsi="CAIXA Std Book" w:cs="Arial"/>
                <w:color w:val="005CA9"/>
                <w:sz w:val="18"/>
                <w:szCs w:val="18"/>
              </w:rPr>
            </w:pPr>
            <w:r w:rsidRPr="00E462D1">
              <w:rPr>
                <w:rFonts w:ascii="CAIXA Std Book" w:eastAsia="Times New Roman" w:hAnsi="CAIXA Std Book" w:cs="Arial"/>
                <w:color w:val="005CA9"/>
                <w:sz w:val="18"/>
                <w:szCs w:val="18"/>
              </w:rPr>
              <w:t xml:space="preserve">   Carteira própria</w:t>
            </w:r>
          </w:p>
        </w:tc>
        <w:tc>
          <w:tcPr>
            <w:tcW w:w="786" w:type="pct"/>
            <w:tcBorders>
              <w:top w:val="nil"/>
              <w:left w:val="nil"/>
              <w:bottom w:val="nil"/>
              <w:right w:val="nil"/>
            </w:tcBorders>
            <w:shd w:val="clear" w:color="auto" w:fill="auto"/>
            <w:noWrap/>
            <w:vAlign w:val="center"/>
          </w:tcPr>
          <w:p w14:paraId="73F10B05" w14:textId="270CE88A" w:rsidR="003B2577" w:rsidRPr="003B2577" w:rsidRDefault="003B257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(4.250.891)</w:t>
            </w:r>
          </w:p>
        </w:tc>
        <w:tc>
          <w:tcPr>
            <w:tcW w:w="685" w:type="pct"/>
            <w:tcBorders>
              <w:top w:val="nil"/>
              <w:left w:val="nil"/>
              <w:bottom w:val="nil"/>
              <w:right w:val="nil"/>
            </w:tcBorders>
            <w:shd w:val="clear" w:color="auto" w:fill="auto"/>
            <w:noWrap/>
            <w:vAlign w:val="center"/>
          </w:tcPr>
          <w:p w14:paraId="0140AC84" w14:textId="2D7A477E"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(4.956.173)</w:t>
            </w:r>
          </w:p>
        </w:tc>
        <w:tc>
          <w:tcPr>
            <w:tcW w:w="780" w:type="pct"/>
            <w:tcBorders>
              <w:top w:val="nil"/>
              <w:left w:val="nil"/>
              <w:bottom w:val="nil"/>
              <w:right w:val="nil"/>
            </w:tcBorders>
            <w:shd w:val="clear" w:color="auto" w:fill="auto"/>
            <w:noWrap/>
            <w:vAlign w:val="center"/>
          </w:tcPr>
          <w:p w14:paraId="2926F46F" w14:textId="142A7AC7" w:rsidR="003B2577" w:rsidRPr="00423548" w:rsidRDefault="00513DB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(4.250.891)</w:t>
            </w:r>
          </w:p>
        </w:tc>
        <w:tc>
          <w:tcPr>
            <w:tcW w:w="668" w:type="pct"/>
            <w:tcBorders>
              <w:top w:val="nil"/>
              <w:left w:val="nil"/>
              <w:bottom w:val="nil"/>
              <w:right w:val="nil"/>
            </w:tcBorders>
            <w:shd w:val="clear" w:color="auto" w:fill="auto"/>
            <w:noWrap/>
            <w:vAlign w:val="center"/>
          </w:tcPr>
          <w:p w14:paraId="567C0DCE" w14:textId="5E3E7102"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(4.956.173)</w:t>
            </w:r>
          </w:p>
        </w:tc>
      </w:tr>
      <w:tr w:rsidR="003B2577" w:rsidRPr="009D1D38" w14:paraId="06BC75A3" w14:textId="77777777" w:rsidTr="002459F7">
        <w:trPr>
          <w:trHeight w:val="283"/>
          <w:jc w:val="center"/>
        </w:trPr>
        <w:tc>
          <w:tcPr>
            <w:tcW w:w="2081" w:type="pct"/>
            <w:tcBorders>
              <w:top w:val="nil"/>
              <w:left w:val="nil"/>
              <w:bottom w:val="nil"/>
              <w:right w:val="nil"/>
            </w:tcBorders>
            <w:shd w:val="clear" w:color="auto" w:fill="auto"/>
            <w:vAlign w:val="center"/>
          </w:tcPr>
          <w:p w14:paraId="2AB4B4D3" w14:textId="77777777" w:rsidR="003B2577" w:rsidRPr="00E462D1" w:rsidRDefault="003B2577" w:rsidP="003B2577">
            <w:pPr>
              <w:rPr>
                <w:rFonts w:ascii="CAIXA Std Book" w:eastAsia="Times New Roman" w:hAnsi="CAIXA Std Book" w:cs="Arial"/>
                <w:color w:val="005CA9"/>
                <w:sz w:val="18"/>
                <w:szCs w:val="18"/>
              </w:rPr>
            </w:pPr>
            <w:r w:rsidRPr="00E462D1">
              <w:rPr>
                <w:rFonts w:ascii="CAIXA Std Book" w:eastAsia="Times New Roman" w:hAnsi="CAIXA Std Book" w:cs="Arial"/>
                <w:color w:val="005CA9"/>
                <w:sz w:val="18"/>
                <w:szCs w:val="18"/>
              </w:rPr>
              <w:t xml:space="preserve">   Carteira de terceiros</w:t>
            </w:r>
          </w:p>
        </w:tc>
        <w:tc>
          <w:tcPr>
            <w:tcW w:w="786" w:type="pct"/>
            <w:tcBorders>
              <w:top w:val="nil"/>
              <w:left w:val="nil"/>
              <w:bottom w:val="nil"/>
              <w:right w:val="nil"/>
            </w:tcBorders>
            <w:shd w:val="clear" w:color="auto" w:fill="auto"/>
            <w:noWrap/>
            <w:vAlign w:val="center"/>
          </w:tcPr>
          <w:p w14:paraId="7189D8E4" w14:textId="368CCF62" w:rsidR="003B2577" w:rsidRPr="003B2577" w:rsidRDefault="003B2577" w:rsidP="003B2577">
            <w:pPr>
              <w:jc w:val="right"/>
              <w:rPr>
                <w:rFonts w:ascii="CAIXA Std Book" w:hAnsi="CAIXA Std Book" w:cs="Arial"/>
                <w:color w:val="005CA9"/>
                <w:sz w:val="18"/>
                <w:szCs w:val="18"/>
              </w:rPr>
            </w:pPr>
            <w:r w:rsidRPr="003B2577">
              <w:rPr>
                <w:rFonts w:ascii="CAIXA Std Book" w:hAnsi="CAIXA Std Book" w:cs="Arial"/>
                <w:color w:val="005CA9"/>
                <w:sz w:val="18"/>
                <w:szCs w:val="18"/>
              </w:rPr>
              <w:t>(2.397.356)</w:t>
            </w:r>
          </w:p>
        </w:tc>
        <w:tc>
          <w:tcPr>
            <w:tcW w:w="685" w:type="pct"/>
            <w:tcBorders>
              <w:top w:val="nil"/>
              <w:left w:val="nil"/>
              <w:bottom w:val="nil"/>
              <w:right w:val="nil"/>
            </w:tcBorders>
            <w:shd w:val="clear" w:color="auto" w:fill="auto"/>
            <w:noWrap/>
            <w:vAlign w:val="center"/>
          </w:tcPr>
          <w:p w14:paraId="5052A5A7" w14:textId="1CF46813" w:rsidR="003B2577" w:rsidRPr="00423548" w:rsidRDefault="003B2577" w:rsidP="003B2577">
            <w:pPr>
              <w:jc w:val="right"/>
              <w:rPr>
                <w:rFonts w:ascii="CAIXA Std Book" w:hAnsi="CAIXA Std Book" w:cs="Arial"/>
                <w:color w:val="005CA9"/>
                <w:sz w:val="18"/>
                <w:szCs w:val="18"/>
              </w:rPr>
            </w:pPr>
            <w:r w:rsidRPr="00423548">
              <w:rPr>
                <w:rFonts w:ascii="CAIXA Std Book" w:hAnsi="CAIXA Std Book" w:cs="Arial"/>
                <w:color w:val="005CA9"/>
                <w:sz w:val="18"/>
                <w:szCs w:val="18"/>
              </w:rPr>
              <w:t>(3.776.707)</w:t>
            </w:r>
          </w:p>
        </w:tc>
        <w:tc>
          <w:tcPr>
            <w:tcW w:w="780" w:type="pct"/>
            <w:tcBorders>
              <w:top w:val="nil"/>
              <w:left w:val="nil"/>
              <w:bottom w:val="nil"/>
              <w:right w:val="nil"/>
            </w:tcBorders>
            <w:shd w:val="clear" w:color="auto" w:fill="auto"/>
            <w:noWrap/>
            <w:vAlign w:val="center"/>
          </w:tcPr>
          <w:p w14:paraId="0DA9D734" w14:textId="3CB4E748" w:rsidR="003B2577" w:rsidRPr="00423548" w:rsidRDefault="002176F4" w:rsidP="003B2577">
            <w:pPr>
              <w:jc w:val="right"/>
              <w:rPr>
                <w:rFonts w:ascii="CAIXA Std Book" w:hAnsi="CAIXA Std Book" w:cs="Arial"/>
                <w:color w:val="005CA9"/>
                <w:sz w:val="18"/>
                <w:szCs w:val="18"/>
              </w:rPr>
            </w:pPr>
            <w:r w:rsidRPr="002176F4">
              <w:rPr>
                <w:rFonts w:ascii="CAIXA Std Book" w:hAnsi="CAIXA Std Book" w:cs="Arial"/>
                <w:color w:val="005CA9"/>
                <w:sz w:val="18"/>
                <w:szCs w:val="18"/>
              </w:rPr>
              <w:t>(2.368.878)</w:t>
            </w:r>
          </w:p>
        </w:tc>
        <w:tc>
          <w:tcPr>
            <w:tcW w:w="668" w:type="pct"/>
            <w:tcBorders>
              <w:top w:val="nil"/>
              <w:left w:val="nil"/>
              <w:bottom w:val="nil"/>
              <w:right w:val="nil"/>
            </w:tcBorders>
            <w:shd w:val="clear" w:color="auto" w:fill="auto"/>
            <w:noWrap/>
            <w:vAlign w:val="center"/>
          </w:tcPr>
          <w:p w14:paraId="47B1B012" w14:textId="4D59ACCF" w:rsidR="003B2577" w:rsidRPr="00423548" w:rsidRDefault="002459F7" w:rsidP="003B2577">
            <w:pPr>
              <w:jc w:val="right"/>
              <w:rPr>
                <w:rFonts w:ascii="CAIXA Std Book" w:hAnsi="CAIXA Std Book" w:cs="Arial"/>
                <w:color w:val="005CA9"/>
                <w:sz w:val="18"/>
                <w:szCs w:val="18"/>
              </w:rPr>
            </w:pPr>
            <w:r w:rsidRPr="002459F7">
              <w:rPr>
                <w:rFonts w:ascii="CAIXA Std Book" w:hAnsi="CAIXA Std Book" w:cs="Arial"/>
                <w:color w:val="005CA9"/>
                <w:sz w:val="18"/>
                <w:szCs w:val="18"/>
              </w:rPr>
              <w:t>(3.</w:t>
            </w:r>
            <w:r w:rsidR="00FA2AB1" w:rsidRPr="00FB604A">
              <w:rPr>
                <w:rFonts w:ascii="CAIXA Std Book" w:hAnsi="CAIXA Std Book" w:cs="Arial"/>
                <w:color w:val="005CA9"/>
                <w:sz w:val="18"/>
                <w:szCs w:val="18"/>
              </w:rPr>
              <w:t>741.836</w:t>
            </w:r>
            <w:r w:rsidRPr="002459F7">
              <w:rPr>
                <w:rFonts w:ascii="CAIXA Std Book" w:hAnsi="CAIXA Std Book" w:cs="Arial"/>
                <w:color w:val="005CA9"/>
                <w:sz w:val="18"/>
                <w:szCs w:val="18"/>
              </w:rPr>
              <w:t>)</w:t>
            </w:r>
          </w:p>
        </w:tc>
      </w:tr>
      <w:tr w:rsidR="003B2577" w:rsidRPr="006B2067" w14:paraId="1E636FD2" w14:textId="77777777" w:rsidTr="002459F7">
        <w:trPr>
          <w:trHeight w:val="283"/>
          <w:jc w:val="center"/>
        </w:trPr>
        <w:tc>
          <w:tcPr>
            <w:tcW w:w="2081" w:type="pct"/>
            <w:tcBorders>
              <w:top w:val="nil"/>
              <w:left w:val="nil"/>
              <w:bottom w:val="nil"/>
              <w:right w:val="nil"/>
            </w:tcBorders>
            <w:shd w:val="clear" w:color="auto" w:fill="auto"/>
            <w:vAlign w:val="center"/>
          </w:tcPr>
          <w:p w14:paraId="06F9B28E" w14:textId="77777777" w:rsidR="003B2577" w:rsidRPr="002176F4" w:rsidRDefault="003B2577" w:rsidP="003B2577">
            <w:pPr>
              <w:rPr>
                <w:rFonts w:ascii="CAIXA Std Book" w:eastAsia="Times New Roman" w:hAnsi="CAIXA Std Book" w:cs="Arial"/>
                <w:b/>
                <w:color w:val="005CA9"/>
                <w:sz w:val="18"/>
                <w:szCs w:val="18"/>
              </w:rPr>
            </w:pPr>
            <w:r w:rsidRPr="002176F4">
              <w:rPr>
                <w:rFonts w:ascii="CAIXA Std Book" w:eastAsia="Times New Roman" w:hAnsi="CAIXA Std Book" w:cs="Arial"/>
                <w:b/>
                <w:color w:val="005CA9"/>
                <w:sz w:val="18"/>
                <w:szCs w:val="18"/>
              </w:rPr>
              <w:t>Depósitos interfinanceiros</w:t>
            </w:r>
          </w:p>
        </w:tc>
        <w:tc>
          <w:tcPr>
            <w:tcW w:w="786" w:type="pct"/>
            <w:tcBorders>
              <w:top w:val="nil"/>
              <w:left w:val="nil"/>
              <w:bottom w:val="nil"/>
              <w:right w:val="nil"/>
            </w:tcBorders>
            <w:shd w:val="clear" w:color="auto" w:fill="auto"/>
            <w:noWrap/>
            <w:vAlign w:val="center"/>
          </w:tcPr>
          <w:p w14:paraId="344397E0" w14:textId="43A83A4D" w:rsidR="003B2577" w:rsidRPr="002176F4" w:rsidRDefault="003B2577" w:rsidP="003B2577">
            <w:pPr>
              <w:jc w:val="right"/>
              <w:rPr>
                <w:rFonts w:ascii="CAIXA Std Book" w:hAnsi="CAIXA Std Book" w:cs="Arial"/>
                <w:b/>
                <w:color w:val="005CA9"/>
                <w:sz w:val="18"/>
                <w:szCs w:val="18"/>
              </w:rPr>
            </w:pPr>
            <w:r w:rsidRPr="002176F4">
              <w:rPr>
                <w:rFonts w:ascii="CAIXA Std Book" w:hAnsi="CAIXA Std Book" w:cs="Arial"/>
                <w:b/>
                <w:color w:val="005CA9"/>
                <w:sz w:val="18"/>
                <w:szCs w:val="18"/>
              </w:rPr>
              <w:t>(68.309)</w:t>
            </w:r>
          </w:p>
        </w:tc>
        <w:tc>
          <w:tcPr>
            <w:tcW w:w="685" w:type="pct"/>
            <w:tcBorders>
              <w:top w:val="nil"/>
              <w:left w:val="nil"/>
              <w:bottom w:val="nil"/>
              <w:right w:val="nil"/>
            </w:tcBorders>
            <w:shd w:val="clear" w:color="auto" w:fill="auto"/>
            <w:noWrap/>
            <w:vAlign w:val="center"/>
          </w:tcPr>
          <w:p w14:paraId="20263F3F" w14:textId="0741B05B" w:rsidR="003B2577" w:rsidRPr="002176F4" w:rsidRDefault="003B2577" w:rsidP="003B2577">
            <w:pPr>
              <w:jc w:val="right"/>
              <w:rPr>
                <w:rFonts w:ascii="CAIXA Std Book" w:hAnsi="CAIXA Std Book" w:cs="Arial"/>
                <w:b/>
                <w:color w:val="005CA9"/>
                <w:sz w:val="18"/>
                <w:szCs w:val="18"/>
              </w:rPr>
            </w:pPr>
            <w:r w:rsidRPr="002176F4">
              <w:rPr>
                <w:rFonts w:ascii="CAIXA Std Book" w:hAnsi="CAIXA Std Book" w:cs="Arial"/>
                <w:b/>
                <w:color w:val="005CA9"/>
                <w:sz w:val="18"/>
                <w:szCs w:val="18"/>
              </w:rPr>
              <w:t>(56.516)</w:t>
            </w:r>
          </w:p>
        </w:tc>
        <w:tc>
          <w:tcPr>
            <w:tcW w:w="780" w:type="pct"/>
            <w:tcBorders>
              <w:top w:val="nil"/>
              <w:left w:val="nil"/>
              <w:bottom w:val="nil"/>
              <w:right w:val="nil"/>
            </w:tcBorders>
            <w:shd w:val="clear" w:color="auto" w:fill="auto"/>
            <w:noWrap/>
            <w:vAlign w:val="center"/>
          </w:tcPr>
          <w:p w14:paraId="765529AD" w14:textId="03197779" w:rsidR="003B2577" w:rsidRPr="002176F4" w:rsidRDefault="00513DB7" w:rsidP="003B2577">
            <w:pPr>
              <w:jc w:val="right"/>
              <w:rPr>
                <w:rFonts w:ascii="CAIXA Std Book" w:hAnsi="CAIXA Std Book" w:cs="Arial"/>
                <w:b/>
                <w:color w:val="005CA9"/>
                <w:sz w:val="18"/>
                <w:szCs w:val="18"/>
              </w:rPr>
            </w:pPr>
            <w:r w:rsidRPr="002176F4">
              <w:rPr>
                <w:rFonts w:ascii="CAIXA Std Book" w:hAnsi="CAIXA Std Book" w:cs="Arial"/>
                <w:b/>
                <w:color w:val="005CA9"/>
                <w:sz w:val="18"/>
                <w:szCs w:val="18"/>
              </w:rPr>
              <w:t>(68.309)</w:t>
            </w:r>
          </w:p>
        </w:tc>
        <w:tc>
          <w:tcPr>
            <w:tcW w:w="668" w:type="pct"/>
            <w:tcBorders>
              <w:top w:val="nil"/>
              <w:left w:val="nil"/>
              <w:bottom w:val="nil"/>
              <w:right w:val="nil"/>
            </w:tcBorders>
            <w:shd w:val="clear" w:color="auto" w:fill="auto"/>
            <w:noWrap/>
            <w:vAlign w:val="center"/>
          </w:tcPr>
          <w:p w14:paraId="3C2CD13A" w14:textId="4059E1DB" w:rsidR="003B2577" w:rsidRPr="002F6564" w:rsidRDefault="003B2577" w:rsidP="003B2577">
            <w:pPr>
              <w:jc w:val="right"/>
              <w:rPr>
                <w:rFonts w:ascii="CAIXA Std Book" w:hAnsi="CAIXA Std Book" w:cs="Arial"/>
                <w:b/>
                <w:color w:val="005CA9"/>
                <w:sz w:val="18"/>
                <w:szCs w:val="18"/>
              </w:rPr>
            </w:pPr>
            <w:r w:rsidRPr="002F6564">
              <w:rPr>
                <w:rFonts w:ascii="CAIXA Std Book" w:hAnsi="CAIXA Std Book" w:cs="Arial"/>
                <w:b/>
                <w:color w:val="005CA9"/>
                <w:sz w:val="18"/>
                <w:szCs w:val="18"/>
              </w:rPr>
              <w:t>(56.516)</w:t>
            </w:r>
          </w:p>
        </w:tc>
      </w:tr>
      <w:tr w:rsidR="003B2577" w:rsidRPr="009D1D38" w14:paraId="004308DC" w14:textId="77777777" w:rsidTr="002459F7">
        <w:trPr>
          <w:trHeight w:val="283"/>
          <w:jc w:val="center"/>
        </w:trPr>
        <w:tc>
          <w:tcPr>
            <w:tcW w:w="2081" w:type="pct"/>
            <w:tcBorders>
              <w:top w:val="single" w:sz="4" w:space="0" w:color="F39200"/>
              <w:left w:val="nil"/>
              <w:bottom w:val="single" w:sz="4" w:space="0" w:color="F39200"/>
              <w:right w:val="nil"/>
            </w:tcBorders>
            <w:shd w:val="clear" w:color="auto" w:fill="auto"/>
            <w:noWrap/>
            <w:vAlign w:val="center"/>
            <w:hideMark/>
          </w:tcPr>
          <w:p w14:paraId="67C58548" w14:textId="77777777" w:rsidR="003B2577" w:rsidRPr="00E462D1" w:rsidRDefault="003B2577" w:rsidP="003B2577">
            <w:pPr>
              <w:rPr>
                <w:rFonts w:ascii="CAIXA Std Book" w:eastAsia="Times New Roman" w:hAnsi="CAIXA Std Book" w:cs="Arial"/>
                <w:b/>
                <w:bCs/>
                <w:color w:val="005CA9"/>
                <w:sz w:val="18"/>
                <w:szCs w:val="18"/>
              </w:rPr>
            </w:pPr>
            <w:r w:rsidRPr="00E462D1">
              <w:rPr>
                <w:rFonts w:ascii="CAIXA Std Book" w:eastAsia="Times New Roman" w:hAnsi="CAIXA Std Book" w:cs="Arial"/>
                <w:b/>
                <w:bCs/>
                <w:color w:val="005CA9"/>
                <w:sz w:val="18"/>
                <w:szCs w:val="18"/>
              </w:rPr>
              <w:t>Total</w:t>
            </w:r>
          </w:p>
        </w:tc>
        <w:tc>
          <w:tcPr>
            <w:tcW w:w="786" w:type="pct"/>
            <w:tcBorders>
              <w:top w:val="single" w:sz="4" w:space="0" w:color="F39200"/>
              <w:left w:val="nil"/>
              <w:bottom w:val="single" w:sz="4" w:space="0" w:color="F39200"/>
              <w:right w:val="nil"/>
            </w:tcBorders>
            <w:shd w:val="clear" w:color="auto" w:fill="auto"/>
            <w:noWrap/>
            <w:vAlign w:val="center"/>
          </w:tcPr>
          <w:p w14:paraId="1F970BA0" w14:textId="2B2B4C85" w:rsidR="003B2577" w:rsidRPr="00136FCD" w:rsidRDefault="003B2577" w:rsidP="003B2577">
            <w:pPr>
              <w:jc w:val="right"/>
              <w:rPr>
                <w:rFonts w:ascii="CAIXA Std Book" w:hAnsi="CAIXA Std Book" w:cs="Arial"/>
                <w:b/>
                <w:bCs/>
                <w:color w:val="005CA9"/>
                <w:sz w:val="18"/>
                <w:szCs w:val="18"/>
              </w:rPr>
            </w:pPr>
            <w:r w:rsidRPr="003B2577">
              <w:rPr>
                <w:rFonts w:ascii="CAIXA Std Book" w:hAnsi="CAIXA Std Book" w:cs="Arial"/>
                <w:b/>
                <w:bCs/>
                <w:color w:val="005CA9"/>
                <w:sz w:val="18"/>
                <w:szCs w:val="18"/>
              </w:rPr>
              <w:t>(13.394.947)</w:t>
            </w:r>
          </w:p>
        </w:tc>
        <w:tc>
          <w:tcPr>
            <w:tcW w:w="685" w:type="pct"/>
            <w:tcBorders>
              <w:top w:val="single" w:sz="4" w:space="0" w:color="F39200"/>
              <w:left w:val="nil"/>
              <w:bottom w:val="single" w:sz="4" w:space="0" w:color="F39200"/>
              <w:right w:val="nil"/>
            </w:tcBorders>
            <w:shd w:val="clear" w:color="auto" w:fill="auto"/>
            <w:noWrap/>
            <w:vAlign w:val="center"/>
            <w:hideMark/>
          </w:tcPr>
          <w:p w14:paraId="00A5C542" w14:textId="5FCB727D" w:rsidR="003B2577" w:rsidRPr="00136FCD" w:rsidRDefault="003B2577" w:rsidP="003B2577">
            <w:pPr>
              <w:jc w:val="right"/>
              <w:rPr>
                <w:rFonts w:ascii="CAIXA Std Book" w:hAnsi="CAIXA Std Book" w:cs="Arial"/>
                <w:b/>
                <w:bCs/>
                <w:color w:val="005CA9"/>
                <w:sz w:val="18"/>
                <w:szCs w:val="18"/>
              </w:rPr>
            </w:pPr>
            <w:r w:rsidRPr="00136FCD">
              <w:rPr>
                <w:rFonts w:ascii="CAIXA Std Book" w:hAnsi="CAIXA Std Book" w:cs="Arial"/>
                <w:b/>
                <w:bCs/>
                <w:color w:val="005CA9"/>
                <w:sz w:val="18"/>
                <w:szCs w:val="18"/>
              </w:rPr>
              <w:t>(16.380.867)</w:t>
            </w:r>
          </w:p>
        </w:tc>
        <w:tc>
          <w:tcPr>
            <w:tcW w:w="780" w:type="pct"/>
            <w:tcBorders>
              <w:top w:val="single" w:sz="4" w:space="0" w:color="F39200"/>
              <w:left w:val="nil"/>
              <w:bottom w:val="single" w:sz="4" w:space="0" w:color="F39200"/>
              <w:right w:val="nil"/>
            </w:tcBorders>
            <w:shd w:val="clear" w:color="auto" w:fill="auto"/>
            <w:noWrap/>
            <w:vAlign w:val="center"/>
          </w:tcPr>
          <w:p w14:paraId="728D1711" w14:textId="030906EC" w:rsidR="003B2577" w:rsidRPr="00136FCD" w:rsidRDefault="002176F4" w:rsidP="003B2577">
            <w:pPr>
              <w:jc w:val="right"/>
              <w:rPr>
                <w:rFonts w:ascii="CAIXA Std Book" w:hAnsi="CAIXA Std Book" w:cs="Arial"/>
                <w:b/>
                <w:bCs/>
                <w:color w:val="005CA9"/>
                <w:sz w:val="18"/>
                <w:szCs w:val="18"/>
              </w:rPr>
            </w:pPr>
            <w:r w:rsidRPr="002176F4">
              <w:rPr>
                <w:rFonts w:ascii="CAIXA Std Book" w:hAnsi="CAIXA Std Book" w:cs="Arial"/>
                <w:b/>
                <w:bCs/>
                <w:color w:val="005CA9"/>
                <w:sz w:val="18"/>
                <w:szCs w:val="18"/>
              </w:rPr>
              <w:t>(13.366.469)</w:t>
            </w:r>
          </w:p>
        </w:tc>
        <w:tc>
          <w:tcPr>
            <w:tcW w:w="668" w:type="pct"/>
            <w:tcBorders>
              <w:top w:val="single" w:sz="4" w:space="0" w:color="F39200"/>
              <w:left w:val="nil"/>
              <w:bottom w:val="single" w:sz="4" w:space="0" w:color="F39200"/>
              <w:right w:val="nil"/>
            </w:tcBorders>
            <w:shd w:val="clear" w:color="auto" w:fill="auto"/>
            <w:noWrap/>
            <w:vAlign w:val="center"/>
            <w:hideMark/>
          </w:tcPr>
          <w:p w14:paraId="29BAD9D2" w14:textId="22E6AB4A" w:rsidR="003B2577" w:rsidRPr="00136FCD" w:rsidRDefault="003B2577" w:rsidP="003B2577">
            <w:pPr>
              <w:jc w:val="right"/>
              <w:rPr>
                <w:rFonts w:ascii="CAIXA Std Book" w:hAnsi="CAIXA Std Book" w:cs="Arial"/>
                <w:b/>
                <w:bCs/>
                <w:color w:val="005CA9"/>
                <w:sz w:val="18"/>
                <w:szCs w:val="18"/>
              </w:rPr>
            </w:pPr>
            <w:r w:rsidRPr="00136FCD">
              <w:rPr>
                <w:rFonts w:ascii="CAIXA Std Book" w:hAnsi="CAIXA Std Book" w:cs="Arial"/>
                <w:b/>
                <w:bCs/>
                <w:color w:val="005CA9"/>
                <w:sz w:val="18"/>
                <w:szCs w:val="18"/>
              </w:rPr>
              <w:t>(16.328.372)</w:t>
            </w:r>
          </w:p>
        </w:tc>
      </w:tr>
    </w:tbl>
    <w:p w14:paraId="335CBFD4" w14:textId="77777777" w:rsidR="00F72350" w:rsidRDefault="00F72350">
      <w:pPr>
        <w:rPr>
          <w:rFonts w:ascii="CAIXA Std Book" w:hAnsi="CAIXA Std Book"/>
          <w:b/>
          <w:color w:val="005CA9"/>
        </w:rPr>
      </w:pPr>
      <w:r w:rsidRPr="00616EE1">
        <w:rPr>
          <w:rFonts w:ascii="CAIXA Std Book" w:hAnsi="CAIXA Std Book"/>
          <w:color w:val="005CA9"/>
        </w:rPr>
        <w:br w:type="page"/>
      </w:r>
    </w:p>
    <w:p w14:paraId="00F3A4C8" w14:textId="4124945E" w:rsidR="00681A81" w:rsidRPr="00FF4346" w:rsidRDefault="00681A81" w:rsidP="005A596E">
      <w:pPr>
        <w:pStyle w:val="Ttulo1"/>
      </w:pPr>
      <w:bookmarkStart w:id="78" w:name="_Toc166594492"/>
      <w:r w:rsidRPr="00FF4346">
        <w:lastRenderedPageBreak/>
        <w:t>Nota 1</w:t>
      </w:r>
      <w:r w:rsidR="004917F8" w:rsidRPr="00FF4346">
        <w:t>7</w:t>
      </w:r>
      <w:r w:rsidRPr="00FF4346">
        <w:t xml:space="preserve"> – Recursos d</w:t>
      </w:r>
      <w:bookmarkEnd w:id="75"/>
      <w:r w:rsidRPr="00FF4346">
        <w:t xml:space="preserve">e </w:t>
      </w:r>
      <w:r w:rsidR="00C83D65" w:rsidRPr="00FF4346">
        <w:t>e</w:t>
      </w:r>
      <w:r w:rsidRPr="00FF4346">
        <w:t xml:space="preserve">missões de </w:t>
      </w:r>
      <w:r w:rsidR="00C83D65" w:rsidRPr="00FF4346">
        <w:t>t</w:t>
      </w:r>
      <w:r w:rsidRPr="00FF4346">
        <w:t xml:space="preserve">ítulos e </w:t>
      </w:r>
      <w:r w:rsidR="00C83D65" w:rsidRPr="00FF4346">
        <w:t>v</w:t>
      </w:r>
      <w:r w:rsidRPr="00FF4346">
        <w:t xml:space="preserve">alores </w:t>
      </w:r>
      <w:r w:rsidR="00C83D65" w:rsidRPr="00FF4346">
        <w:t>m</w:t>
      </w:r>
      <w:r w:rsidRPr="00FF4346">
        <w:t>obiliários</w:t>
      </w:r>
      <w:bookmarkEnd w:id="78"/>
    </w:p>
    <w:p w14:paraId="1E05478E" w14:textId="77777777" w:rsidR="00681A81" w:rsidRPr="00FF4346" w:rsidRDefault="00681A81" w:rsidP="00B37B40">
      <w:pPr>
        <w:pStyle w:val="PargrafodaLista"/>
        <w:numPr>
          <w:ilvl w:val="0"/>
          <w:numId w:val="8"/>
        </w:numPr>
        <w:spacing w:before="480" w:after="240"/>
        <w:ind w:left="567" w:hanging="567"/>
        <w:contextualSpacing w:val="0"/>
        <w:jc w:val="both"/>
        <w:rPr>
          <w:rFonts w:ascii="CAIXA Std Book" w:hAnsi="CAIXA Std Book"/>
          <w:b/>
          <w:color w:val="005CA9"/>
          <w:sz w:val="20"/>
          <w:szCs w:val="20"/>
        </w:rPr>
      </w:pPr>
      <w:bookmarkStart w:id="79" w:name="_Toc48574164"/>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3759"/>
        <w:gridCol w:w="1469"/>
        <w:gridCol w:w="1471"/>
        <w:gridCol w:w="1469"/>
        <w:gridCol w:w="1469"/>
      </w:tblGrid>
      <w:tr w:rsidR="003B2B2A" w:rsidRPr="00A33766" w14:paraId="6D46E937" w14:textId="77777777" w:rsidTr="00226CE2">
        <w:trPr>
          <w:trHeight w:val="405"/>
        </w:trPr>
        <w:tc>
          <w:tcPr>
            <w:tcW w:w="1950" w:type="pct"/>
            <w:vMerge w:val="restart"/>
            <w:tcBorders>
              <w:top w:val="single" w:sz="4" w:space="0" w:color="F39200"/>
              <w:left w:val="nil"/>
              <w:right w:val="nil"/>
            </w:tcBorders>
            <w:shd w:val="clear" w:color="auto" w:fill="auto"/>
            <w:noWrap/>
            <w:vAlign w:val="center"/>
            <w:hideMark/>
          </w:tcPr>
          <w:p w14:paraId="4B96D438" w14:textId="77777777" w:rsidR="00681A81" w:rsidRPr="00FF4346" w:rsidRDefault="00681A81" w:rsidP="00117988">
            <w:pPr>
              <w:jc w:val="center"/>
              <w:rPr>
                <w:rFonts w:ascii="CAIXA Std Book" w:hAnsi="CAIXA Std Book"/>
                <w:b/>
                <w:color w:val="005CA9"/>
                <w:sz w:val="18"/>
                <w:szCs w:val="18"/>
              </w:rPr>
            </w:pPr>
            <w:r w:rsidRPr="00FF4346">
              <w:rPr>
                <w:rFonts w:ascii="CAIXA Std Book" w:hAnsi="CAIXA Std Book"/>
                <w:b/>
                <w:color w:val="005CA9"/>
                <w:sz w:val="18"/>
                <w:szCs w:val="18"/>
              </w:rPr>
              <w:t>Descrição</w:t>
            </w:r>
          </w:p>
        </w:tc>
        <w:tc>
          <w:tcPr>
            <w:tcW w:w="1525" w:type="pct"/>
            <w:gridSpan w:val="2"/>
            <w:tcBorders>
              <w:top w:val="single" w:sz="4" w:space="0" w:color="F39200"/>
              <w:left w:val="nil"/>
              <w:bottom w:val="single" w:sz="4" w:space="0" w:color="F39200"/>
              <w:right w:val="nil"/>
            </w:tcBorders>
            <w:shd w:val="clear" w:color="auto" w:fill="auto"/>
            <w:vAlign w:val="center"/>
          </w:tcPr>
          <w:p w14:paraId="74583388" w14:textId="77777777" w:rsidR="00681A81" w:rsidRPr="00FF4346" w:rsidRDefault="00681A81" w:rsidP="00117988">
            <w:pPr>
              <w:jc w:val="center"/>
              <w:rPr>
                <w:rFonts w:ascii="CAIXA Std Book" w:hAnsi="CAIXA Std Book"/>
                <w:b/>
                <w:color w:val="005CA9"/>
                <w:sz w:val="18"/>
                <w:szCs w:val="18"/>
              </w:rPr>
            </w:pPr>
            <w:r w:rsidRPr="00FF4346">
              <w:rPr>
                <w:rFonts w:ascii="CAIXA Std Book" w:hAnsi="CAIXA Std Book"/>
                <w:b/>
                <w:color w:val="005CA9"/>
                <w:sz w:val="18"/>
                <w:szCs w:val="18"/>
              </w:rPr>
              <w:t>INDIVIDUAL</w:t>
            </w:r>
          </w:p>
        </w:tc>
        <w:tc>
          <w:tcPr>
            <w:tcW w:w="1524" w:type="pct"/>
            <w:gridSpan w:val="2"/>
            <w:tcBorders>
              <w:top w:val="single" w:sz="4" w:space="0" w:color="F39200"/>
              <w:left w:val="nil"/>
              <w:bottom w:val="single" w:sz="4" w:space="0" w:color="F39200"/>
              <w:right w:val="nil"/>
            </w:tcBorders>
            <w:vAlign w:val="center"/>
          </w:tcPr>
          <w:p w14:paraId="76BDDFFD" w14:textId="77777777" w:rsidR="00681A81" w:rsidRPr="00FF4346" w:rsidRDefault="00681A81" w:rsidP="00117988">
            <w:pPr>
              <w:jc w:val="center"/>
              <w:rPr>
                <w:rFonts w:ascii="CAIXA Std Book" w:hAnsi="CAIXA Std Book"/>
                <w:b/>
                <w:color w:val="005CA9"/>
                <w:sz w:val="18"/>
                <w:szCs w:val="18"/>
              </w:rPr>
            </w:pPr>
            <w:r w:rsidRPr="00FF4346">
              <w:rPr>
                <w:rFonts w:ascii="CAIXA Std Book" w:hAnsi="CAIXA Std Book"/>
                <w:b/>
                <w:color w:val="005CA9"/>
                <w:sz w:val="18"/>
                <w:szCs w:val="18"/>
              </w:rPr>
              <w:t>CONSOLIDADO</w:t>
            </w:r>
          </w:p>
        </w:tc>
      </w:tr>
      <w:tr w:rsidR="00C47163" w:rsidRPr="00A33766" w14:paraId="134BB232" w14:textId="77777777" w:rsidTr="00DC3D01">
        <w:trPr>
          <w:trHeight w:val="283"/>
        </w:trPr>
        <w:tc>
          <w:tcPr>
            <w:tcW w:w="1950" w:type="pct"/>
            <w:vMerge/>
            <w:tcBorders>
              <w:left w:val="nil"/>
              <w:bottom w:val="single" w:sz="4" w:space="0" w:color="F39200"/>
              <w:right w:val="nil"/>
            </w:tcBorders>
            <w:shd w:val="clear" w:color="auto" w:fill="auto"/>
            <w:vAlign w:val="center"/>
            <w:hideMark/>
          </w:tcPr>
          <w:p w14:paraId="546DCA02" w14:textId="77777777" w:rsidR="00C47163" w:rsidRPr="00FF4346" w:rsidRDefault="00C47163" w:rsidP="00C47163">
            <w:pPr>
              <w:jc w:val="center"/>
              <w:rPr>
                <w:rFonts w:ascii="CAIXA Std Book" w:hAnsi="CAIXA Std Book"/>
                <w:b/>
                <w:color w:val="005CA9"/>
                <w:sz w:val="18"/>
                <w:szCs w:val="18"/>
              </w:rPr>
            </w:pPr>
          </w:p>
        </w:tc>
        <w:tc>
          <w:tcPr>
            <w:tcW w:w="762" w:type="pct"/>
            <w:tcBorders>
              <w:top w:val="single" w:sz="4" w:space="0" w:color="F79646"/>
              <w:left w:val="nil"/>
              <w:bottom w:val="single" w:sz="4" w:space="0" w:color="F79646"/>
              <w:right w:val="nil"/>
            </w:tcBorders>
            <w:shd w:val="clear" w:color="auto" w:fill="auto"/>
            <w:noWrap/>
            <w:vAlign w:val="center"/>
          </w:tcPr>
          <w:p w14:paraId="12EB7F47" w14:textId="139F02DF" w:rsidR="00C47163" w:rsidRPr="00FF4346" w:rsidRDefault="00226CE2" w:rsidP="00C47163">
            <w:pPr>
              <w:jc w:val="center"/>
              <w:rPr>
                <w:rFonts w:ascii="CAIXA Std Book" w:hAnsi="CAIXA Std Book"/>
                <w:b/>
                <w:color w:val="005CA9"/>
                <w:sz w:val="18"/>
                <w:szCs w:val="18"/>
              </w:rPr>
            </w:pPr>
            <w:r w:rsidRPr="00FF4346">
              <w:rPr>
                <w:rFonts w:ascii="CAIXA Std Book" w:hAnsi="CAIXA Std Book"/>
                <w:b/>
                <w:color w:val="005CA9"/>
                <w:sz w:val="18"/>
                <w:szCs w:val="18"/>
              </w:rPr>
              <w:t>31/</w:t>
            </w:r>
            <w:r>
              <w:rPr>
                <w:rFonts w:ascii="CAIXA Std Book" w:hAnsi="CAIXA Std Book"/>
                <w:b/>
                <w:color w:val="005CA9"/>
                <w:sz w:val="18"/>
                <w:szCs w:val="18"/>
              </w:rPr>
              <w:t>03/2024</w:t>
            </w:r>
          </w:p>
        </w:tc>
        <w:tc>
          <w:tcPr>
            <w:tcW w:w="763" w:type="pct"/>
            <w:tcBorders>
              <w:top w:val="single" w:sz="4" w:space="0" w:color="F79646"/>
              <w:left w:val="nil"/>
              <w:bottom w:val="single" w:sz="4" w:space="0" w:color="F79646"/>
              <w:right w:val="nil"/>
            </w:tcBorders>
            <w:shd w:val="clear" w:color="auto" w:fill="auto"/>
            <w:vAlign w:val="center"/>
            <w:hideMark/>
          </w:tcPr>
          <w:p w14:paraId="6F7E8462" w14:textId="29830EA0" w:rsidR="00C47163" w:rsidRPr="00FF4346" w:rsidRDefault="00C47163" w:rsidP="00C47163">
            <w:pPr>
              <w:jc w:val="center"/>
              <w:rPr>
                <w:rFonts w:ascii="CAIXA Std Book" w:hAnsi="CAIXA Std Book"/>
                <w:b/>
                <w:color w:val="005CA9"/>
                <w:sz w:val="18"/>
                <w:szCs w:val="18"/>
              </w:rPr>
            </w:pPr>
            <w:r w:rsidRPr="00FF4346">
              <w:rPr>
                <w:rFonts w:ascii="CAIXA Std Book" w:hAnsi="CAIXA Std Book"/>
                <w:b/>
                <w:color w:val="005CA9"/>
                <w:sz w:val="18"/>
                <w:szCs w:val="18"/>
              </w:rPr>
              <w:t>31/12/</w:t>
            </w:r>
            <w:r w:rsidR="00226CE2" w:rsidRPr="00FF4346">
              <w:rPr>
                <w:rFonts w:ascii="CAIXA Std Book" w:hAnsi="CAIXA Std Book"/>
                <w:b/>
                <w:color w:val="005CA9"/>
                <w:sz w:val="18"/>
                <w:szCs w:val="18"/>
              </w:rPr>
              <w:t>2023</w:t>
            </w:r>
          </w:p>
        </w:tc>
        <w:tc>
          <w:tcPr>
            <w:tcW w:w="762" w:type="pct"/>
            <w:tcBorders>
              <w:top w:val="single" w:sz="4" w:space="0" w:color="F79646"/>
              <w:left w:val="nil"/>
              <w:bottom w:val="single" w:sz="4" w:space="0" w:color="F79646"/>
              <w:right w:val="nil"/>
            </w:tcBorders>
            <w:vAlign w:val="center"/>
          </w:tcPr>
          <w:p w14:paraId="63A98947" w14:textId="1AAC13E0" w:rsidR="00C47163" w:rsidRPr="00FF4346" w:rsidRDefault="00226CE2" w:rsidP="00C47163">
            <w:pPr>
              <w:jc w:val="center"/>
              <w:rPr>
                <w:rFonts w:ascii="CAIXA Std Book" w:hAnsi="CAIXA Std Book"/>
                <w:b/>
                <w:color w:val="005CA9"/>
                <w:sz w:val="18"/>
                <w:szCs w:val="18"/>
              </w:rPr>
            </w:pPr>
            <w:r w:rsidRPr="00FF4346">
              <w:rPr>
                <w:rFonts w:ascii="CAIXA Std Book" w:hAnsi="CAIXA Std Book"/>
                <w:b/>
                <w:color w:val="005CA9"/>
                <w:sz w:val="18"/>
                <w:szCs w:val="18"/>
              </w:rPr>
              <w:t>31/</w:t>
            </w:r>
            <w:r>
              <w:rPr>
                <w:rFonts w:ascii="CAIXA Std Book" w:hAnsi="CAIXA Std Book"/>
                <w:b/>
                <w:color w:val="005CA9"/>
                <w:sz w:val="18"/>
                <w:szCs w:val="18"/>
              </w:rPr>
              <w:t>03/2024</w:t>
            </w:r>
          </w:p>
        </w:tc>
        <w:tc>
          <w:tcPr>
            <w:tcW w:w="762" w:type="pct"/>
            <w:tcBorders>
              <w:top w:val="single" w:sz="4" w:space="0" w:color="F79646"/>
              <w:left w:val="nil"/>
              <w:bottom w:val="single" w:sz="4" w:space="0" w:color="F79646"/>
              <w:right w:val="nil"/>
            </w:tcBorders>
            <w:vAlign w:val="center"/>
          </w:tcPr>
          <w:p w14:paraId="7A04555C" w14:textId="1AB9E1B5" w:rsidR="00C47163" w:rsidRPr="00FF4346" w:rsidRDefault="00C47163" w:rsidP="00C47163">
            <w:pPr>
              <w:jc w:val="center"/>
              <w:rPr>
                <w:rFonts w:ascii="CAIXA Std Book" w:hAnsi="CAIXA Std Book"/>
                <w:b/>
                <w:color w:val="005CA9"/>
                <w:sz w:val="18"/>
                <w:szCs w:val="18"/>
              </w:rPr>
            </w:pPr>
            <w:r w:rsidRPr="00FF4346">
              <w:rPr>
                <w:rFonts w:ascii="CAIXA Std Book" w:hAnsi="CAIXA Std Book"/>
                <w:b/>
                <w:color w:val="005CA9"/>
                <w:sz w:val="18"/>
                <w:szCs w:val="18"/>
              </w:rPr>
              <w:t>31/12/</w:t>
            </w:r>
            <w:r w:rsidR="00226CE2" w:rsidRPr="00FF4346">
              <w:rPr>
                <w:rFonts w:ascii="CAIXA Std Book" w:hAnsi="CAIXA Std Book"/>
                <w:b/>
                <w:color w:val="005CA9"/>
                <w:sz w:val="18"/>
                <w:szCs w:val="18"/>
              </w:rPr>
              <w:t>2023</w:t>
            </w:r>
          </w:p>
        </w:tc>
      </w:tr>
      <w:tr w:rsidR="00590DCE" w:rsidRPr="00A33766" w14:paraId="3D288179" w14:textId="77777777" w:rsidTr="00DC3D01">
        <w:trPr>
          <w:trHeight w:val="283"/>
        </w:trPr>
        <w:tc>
          <w:tcPr>
            <w:tcW w:w="1950" w:type="pct"/>
            <w:tcBorders>
              <w:top w:val="nil"/>
              <w:left w:val="nil"/>
              <w:bottom w:val="nil"/>
              <w:right w:val="nil"/>
            </w:tcBorders>
            <w:shd w:val="clear" w:color="auto" w:fill="auto"/>
            <w:vAlign w:val="center"/>
            <w:hideMark/>
          </w:tcPr>
          <w:p w14:paraId="59FFE0BC" w14:textId="77777777" w:rsidR="00590DCE" w:rsidRPr="00FF4346" w:rsidRDefault="00590DCE" w:rsidP="00590DCE">
            <w:pPr>
              <w:rPr>
                <w:rFonts w:ascii="CAIXA Std Book" w:hAnsi="CAIXA Std Book"/>
                <w:color w:val="005CA9"/>
                <w:sz w:val="18"/>
                <w:szCs w:val="18"/>
              </w:rPr>
            </w:pPr>
            <w:r w:rsidRPr="00FF4346">
              <w:rPr>
                <w:rFonts w:ascii="CAIXA Std Book" w:hAnsi="CAIXA Std Book" w:cs="Arial Unicode MS"/>
                <w:color w:val="005CA9"/>
                <w:sz w:val="18"/>
                <w:szCs w:val="18"/>
              </w:rPr>
              <w:t>Recursos aceites e emissão de títulos (b)</w:t>
            </w:r>
          </w:p>
        </w:tc>
        <w:tc>
          <w:tcPr>
            <w:tcW w:w="762" w:type="pct"/>
            <w:tcBorders>
              <w:top w:val="nil"/>
              <w:left w:val="nil"/>
              <w:bottom w:val="nil"/>
              <w:right w:val="nil"/>
            </w:tcBorders>
            <w:shd w:val="clear" w:color="auto" w:fill="auto"/>
            <w:noWrap/>
            <w:vAlign w:val="center"/>
          </w:tcPr>
          <w:p w14:paraId="485D6B75" w14:textId="63814F02" w:rsidR="00590DCE" w:rsidRPr="009B6DEB" w:rsidRDefault="00590DCE" w:rsidP="00590DCE">
            <w:pPr>
              <w:jc w:val="right"/>
              <w:rPr>
                <w:rFonts w:ascii="CAIXA Std Book" w:hAnsi="CAIXA Std Book" w:cs="Arial"/>
                <w:color w:val="005CA9"/>
                <w:sz w:val="18"/>
                <w:szCs w:val="18"/>
              </w:rPr>
            </w:pPr>
            <w:r w:rsidRPr="00590DCE">
              <w:rPr>
                <w:rFonts w:ascii="CAIXA Std Book" w:hAnsi="CAIXA Std Book" w:cs="Arial"/>
                <w:color w:val="005CA9"/>
                <w:sz w:val="18"/>
                <w:szCs w:val="18"/>
              </w:rPr>
              <w:t>179.140.445</w:t>
            </w:r>
          </w:p>
        </w:tc>
        <w:tc>
          <w:tcPr>
            <w:tcW w:w="763" w:type="pct"/>
            <w:tcBorders>
              <w:top w:val="nil"/>
              <w:left w:val="nil"/>
              <w:bottom w:val="nil"/>
              <w:right w:val="nil"/>
            </w:tcBorders>
            <w:shd w:val="clear" w:color="auto" w:fill="auto"/>
            <w:noWrap/>
            <w:vAlign w:val="center"/>
            <w:hideMark/>
          </w:tcPr>
          <w:p w14:paraId="42F03534" w14:textId="3A45D8B9"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165.377.995</w:t>
            </w:r>
          </w:p>
        </w:tc>
        <w:tc>
          <w:tcPr>
            <w:tcW w:w="762" w:type="pct"/>
            <w:tcBorders>
              <w:top w:val="nil"/>
              <w:left w:val="nil"/>
              <w:bottom w:val="nil"/>
              <w:right w:val="nil"/>
            </w:tcBorders>
            <w:vAlign w:val="center"/>
          </w:tcPr>
          <w:p w14:paraId="1435F398" w14:textId="163C8915" w:rsidR="00590DCE" w:rsidRPr="00FF4346" w:rsidRDefault="00E83332" w:rsidP="00590DCE">
            <w:pPr>
              <w:jc w:val="right"/>
              <w:rPr>
                <w:rFonts w:ascii="CAIXA Std Book" w:hAnsi="CAIXA Std Book" w:cs="Arial Unicode MS"/>
                <w:color w:val="005CA9"/>
                <w:sz w:val="18"/>
                <w:szCs w:val="18"/>
              </w:rPr>
            </w:pPr>
            <w:r w:rsidRPr="00590DCE">
              <w:rPr>
                <w:rFonts w:ascii="CAIXA Std Book" w:hAnsi="CAIXA Std Book" w:cs="Arial"/>
                <w:color w:val="005CA9"/>
                <w:sz w:val="18"/>
                <w:szCs w:val="18"/>
              </w:rPr>
              <w:t>179.140.445</w:t>
            </w:r>
          </w:p>
        </w:tc>
        <w:tc>
          <w:tcPr>
            <w:tcW w:w="762" w:type="pct"/>
            <w:tcBorders>
              <w:top w:val="nil"/>
              <w:left w:val="nil"/>
              <w:bottom w:val="nil"/>
              <w:right w:val="nil"/>
            </w:tcBorders>
            <w:vAlign w:val="center"/>
          </w:tcPr>
          <w:p w14:paraId="74CED0AD" w14:textId="79F361D3"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165.377.995</w:t>
            </w:r>
          </w:p>
        </w:tc>
      </w:tr>
      <w:tr w:rsidR="00590DCE" w:rsidRPr="00A33766" w14:paraId="3F9B2938" w14:textId="77777777" w:rsidTr="00DC3D01">
        <w:trPr>
          <w:trHeight w:val="283"/>
        </w:trPr>
        <w:tc>
          <w:tcPr>
            <w:tcW w:w="1950" w:type="pct"/>
            <w:tcBorders>
              <w:top w:val="nil"/>
              <w:left w:val="nil"/>
              <w:bottom w:val="nil"/>
              <w:right w:val="nil"/>
            </w:tcBorders>
            <w:shd w:val="clear" w:color="auto" w:fill="auto"/>
            <w:vAlign w:val="center"/>
          </w:tcPr>
          <w:p w14:paraId="676535BD" w14:textId="7520844D" w:rsidR="00590DCE" w:rsidRPr="00FF4346" w:rsidRDefault="00590DCE" w:rsidP="00590DCE">
            <w:pPr>
              <w:rPr>
                <w:rFonts w:ascii="CAIXA Std Book" w:hAnsi="CAIXA Std Book" w:cs="Arial Unicode MS"/>
                <w:color w:val="005CA9"/>
                <w:sz w:val="18"/>
                <w:szCs w:val="18"/>
              </w:rPr>
            </w:pPr>
            <w:r w:rsidRPr="00FF4346">
              <w:rPr>
                <w:rFonts w:ascii="CAIXA Std Book" w:hAnsi="CAIXA Std Book" w:cs="Arial Unicode MS"/>
                <w:color w:val="005CA9"/>
                <w:sz w:val="18"/>
                <w:szCs w:val="18"/>
              </w:rPr>
              <w:t>Instrumentos financeiros subordinados (c)</w:t>
            </w:r>
          </w:p>
        </w:tc>
        <w:tc>
          <w:tcPr>
            <w:tcW w:w="762" w:type="pct"/>
            <w:tcBorders>
              <w:top w:val="nil"/>
              <w:left w:val="nil"/>
              <w:bottom w:val="nil"/>
              <w:right w:val="nil"/>
            </w:tcBorders>
            <w:shd w:val="clear" w:color="auto" w:fill="auto"/>
            <w:noWrap/>
            <w:vAlign w:val="center"/>
          </w:tcPr>
          <w:p w14:paraId="30CB84A7" w14:textId="6CD750CB" w:rsidR="00590DCE" w:rsidRPr="009B6DEB" w:rsidRDefault="00590DCE" w:rsidP="00590DCE">
            <w:pPr>
              <w:jc w:val="right"/>
              <w:rPr>
                <w:rFonts w:ascii="CAIXA Std Book" w:hAnsi="CAIXA Std Book" w:cs="Arial"/>
                <w:color w:val="005CA9"/>
                <w:sz w:val="18"/>
                <w:szCs w:val="18"/>
              </w:rPr>
            </w:pPr>
            <w:r w:rsidRPr="00590DCE">
              <w:rPr>
                <w:rFonts w:ascii="CAIXA Std Book" w:hAnsi="CAIXA Std Book" w:cs="Arial"/>
                <w:color w:val="005CA9"/>
                <w:sz w:val="18"/>
                <w:szCs w:val="18"/>
              </w:rPr>
              <w:t>36.762.768</w:t>
            </w:r>
          </w:p>
        </w:tc>
        <w:tc>
          <w:tcPr>
            <w:tcW w:w="763" w:type="pct"/>
            <w:tcBorders>
              <w:top w:val="nil"/>
              <w:left w:val="nil"/>
              <w:bottom w:val="nil"/>
              <w:right w:val="nil"/>
            </w:tcBorders>
            <w:shd w:val="clear" w:color="auto" w:fill="auto"/>
            <w:noWrap/>
            <w:vAlign w:val="center"/>
          </w:tcPr>
          <w:p w14:paraId="0AACD137" w14:textId="7593D80F"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36.706.423</w:t>
            </w:r>
          </w:p>
        </w:tc>
        <w:tc>
          <w:tcPr>
            <w:tcW w:w="762" w:type="pct"/>
            <w:tcBorders>
              <w:top w:val="nil"/>
              <w:left w:val="nil"/>
              <w:bottom w:val="nil"/>
              <w:right w:val="nil"/>
            </w:tcBorders>
            <w:vAlign w:val="center"/>
          </w:tcPr>
          <w:p w14:paraId="22E2D697" w14:textId="2B63AB85" w:rsidR="00590DCE" w:rsidRPr="00FF4346" w:rsidRDefault="00E83332" w:rsidP="00590DCE">
            <w:pPr>
              <w:jc w:val="right"/>
              <w:rPr>
                <w:rFonts w:ascii="CAIXA Std Book" w:hAnsi="CAIXA Std Book" w:cs="Arial Unicode MS"/>
                <w:color w:val="005CA9"/>
                <w:sz w:val="18"/>
                <w:szCs w:val="18"/>
              </w:rPr>
            </w:pPr>
            <w:r w:rsidRPr="00590DCE">
              <w:rPr>
                <w:rFonts w:ascii="CAIXA Std Book" w:hAnsi="CAIXA Std Book" w:cs="Arial"/>
                <w:color w:val="005CA9"/>
                <w:sz w:val="18"/>
                <w:szCs w:val="18"/>
              </w:rPr>
              <w:t>36.762.768</w:t>
            </w:r>
          </w:p>
        </w:tc>
        <w:tc>
          <w:tcPr>
            <w:tcW w:w="762" w:type="pct"/>
            <w:tcBorders>
              <w:top w:val="nil"/>
              <w:left w:val="nil"/>
              <w:bottom w:val="nil"/>
              <w:right w:val="nil"/>
            </w:tcBorders>
            <w:vAlign w:val="center"/>
          </w:tcPr>
          <w:p w14:paraId="734F2DC1" w14:textId="658B8953"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36.706.424</w:t>
            </w:r>
          </w:p>
        </w:tc>
      </w:tr>
      <w:tr w:rsidR="00590DCE" w:rsidRPr="00A33766" w14:paraId="4CB79D71" w14:textId="77777777" w:rsidTr="00DC3D01">
        <w:trPr>
          <w:trHeight w:val="283"/>
        </w:trPr>
        <w:tc>
          <w:tcPr>
            <w:tcW w:w="1950" w:type="pct"/>
            <w:tcBorders>
              <w:top w:val="nil"/>
              <w:left w:val="nil"/>
              <w:bottom w:val="nil"/>
              <w:right w:val="nil"/>
            </w:tcBorders>
            <w:shd w:val="clear" w:color="auto" w:fill="auto"/>
            <w:vAlign w:val="center"/>
          </w:tcPr>
          <w:p w14:paraId="55FBC5EA" w14:textId="642FFC15" w:rsidR="00590DCE" w:rsidRPr="00FF4346" w:rsidRDefault="00590DCE" w:rsidP="00590DCE">
            <w:pPr>
              <w:rPr>
                <w:rFonts w:ascii="CAIXA Std Book" w:hAnsi="CAIXA Std Book" w:cs="Wingdings"/>
                <w:color w:val="005CA9"/>
                <w:sz w:val="21"/>
                <w:szCs w:val="21"/>
              </w:rPr>
            </w:pPr>
            <w:r w:rsidRPr="00FF4346">
              <w:rPr>
                <w:rFonts w:ascii="CAIXA Std Book" w:hAnsi="CAIXA Std Book" w:cs="Arial Unicode MS"/>
                <w:color w:val="005CA9"/>
                <w:sz w:val="18"/>
                <w:szCs w:val="18"/>
              </w:rPr>
              <w:t>IHCD – Principal autorizado (d)(1)</w:t>
            </w:r>
          </w:p>
        </w:tc>
        <w:tc>
          <w:tcPr>
            <w:tcW w:w="762" w:type="pct"/>
            <w:tcBorders>
              <w:top w:val="nil"/>
              <w:left w:val="nil"/>
              <w:bottom w:val="nil"/>
              <w:right w:val="nil"/>
            </w:tcBorders>
            <w:shd w:val="clear" w:color="auto" w:fill="auto"/>
            <w:noWrap/>
            <w:vAlign w:val="center"/>
          </w:tcPr>
          <w:p w14:paraId="36E47C5F" w14:textId="029B9D35" w:rsidR="00590DCE" w:rsidRPr="009B6DEB" w:rsidRDefault="00590DCE" w:rsidP="00590DCE">
            <w:pPr>
              <w:jc w:val="right"/>
              <w:rPr>
                <w:rFonts w:ascii="CAIXA Std Book" w:hAnsi="CAIXA Std Book" w:cs="Arial"/>
                <w:color w:val="005CA9"/>
                <w:sz w:val="18"/>
                <w:szCs w:val="18"/>
              </w:rPr>
            </w:pPr>
            <w:r w:rsidRPr="00590DCE">
              <w:rPr>
                <w:rFonts w:ascii="CAIXA Std Book" w:hAnsi="CAIXA Std Book" w:cs="Arial"/>
                <w:color w:val="005CA9"/>
                <w:sz w:val="18"/>
                <w:szCs w:val="18"/>
              </w:rPr>
              <w:t>34.327.964</w:t>
            </w:r>
          </w:p>
        </w:tc>
        <w:tc>
          <w:tcPr>
            <w:tcW w:w="763" w:type="pct"/>
            <w:tcBorders>
              <w:top w:val="nil"/>
              <w:left w:val="nil"/>
              <w:bottom w:val="nil"/>
              <w:right w:val="nil"/>
            </w:tcBorders>
            <w:shd w:val="clear" w:color="auto" w:fill="auto"/>
            <w:noWrap/>
            <w:vAlign w:val="center"/>
          </w:tcPr>
          <w:p w14:paraId="76842498" w14:textId="4F5D5875"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33.047.744</w:t>
            </w:r>
          </w:p>
        </w:tc>
        <w:tc>
          <w:tcPr>
            <w:tcW w:w="762" w:type="pct"/>
            <w:tcBorders>
              <w:top w:val="nil"/>
              <w:left w:val="nil"/>
              <w:bottom w:val="nil"/>
              <w:right w:val="nil"/>
            </w:tcBorders>
            <w:vAlign w:val="center"/>
          </w:tcPr>
          <w:p w14:paraId="467CE47D" w14:textId="324DF231" w:rsidR="00590DCE" w:rsidRPr="00FF4346" w:rsidRDefault="00E83332" w:rsidP="00590DCE">
            <w:pPr>
              <w:jc w:val="center"/>
              <w:rPr>
                <w:rFonts w:ascii="CAIXA Std Book" w:hAnsi="CAIXA Std Book" w:cs="Arial Unicode MS"/>
                <w:color w:val="005CA9"/>
                <w:sz w:val="18"/>
                <w:szCs w:val="18"/>
              </w:rPr>
            </w:pPr>
            <w:r>
              <w:rPr>
                <w:rFonts w:ascii="CAIXA Std Book" w:hAnsi="CAIXA Std Book" w:cs="Arial"/>
                <w:color w:val="005CA9"/>
                <w:sz w:val="18"/>
                <w:szCs w:val="18"/>
              </w:rPr>
              <w:t>-</w:t>
            </w:r>
          </w:p>
        </w:tc>
        <w:tc>
          <w:tcPr>
            <w:tcW w:w="762" w:type="pct"/>
            <w:tcBorders>
              <w:top w:val="nil"/>
              <w:left w:val="nil"/>
              <w:bottom w:val="nil"/>
              <w:right w:val="nil"/>
            </w:tcBorders>
            <w:vAlign w:val="center"/>
          </w:tcPr>
          <w:p w14:paraId="40566042" w14:textId="2B9844AD" w:rsidR="00590DCE" w:rsidRPr="00FF4346" w:rsidRDefault="00590DCE" w:rsidP="00590DCE">
            <w:pPr>
              <w:jc w:val="center"/>
              <w:rPr>
                <w:rFonts w:ascii="CAIXA Std Book" w:hAnsi="CAIXA Std Book" w:cs="Arial Unicode MS"/>
                <w:color w:val="005CA9"/>
                <w:sz w:val="18"/>
                <w:szCs w:val="18"/>
              </w:rPr>
            </w:pPr>
            <w:r w:rsidRPr="00FF4346">
              <w:rPr>
                <w:rFonts w:ascii="CAIXA Std Book" w:hAnsi="CAIXA Std Book" w:cs="Arial Unicode MS"/>
                <w:color w:val="005CA9"/>
                <w:sz w:val="18"/>
                <w:szCs w:val="18"/>
              </w:rPr>
              <w:t>-</w:t>
            </w:r>
          </w:p>
        </w:tc>
      </w:tr>
      <w:tr w:rsidR="00590DCE" w:rsidRPr="00A33766" w14:paraId="7C2880E1" w14:textId="77777777" w:rsidTr="00DC3D01">
        <w:trPr>
          <w:trHeight w:val="283"/>
        </w:trPr>
        <w:tc>
          <w:tcPr>
            <w:tcW w:w="1950" w:type="pct"/>
            <w:tcBorders>
              <w:top w:val="nil"/>
              <w:left w:val="nil"/>
              <w:bottom w:val="nil"/>
              <w:right w:val="nil"/>
            </w:tcBorders>
            <w:shd w:val="clear" w:color="auto" w:fill="auto"/>
            <w:vAlign w:val="center"/>
            <w:hideMark/>
          </w:tcPr>
          <w:p w14:paraId="3B1FCD3F" w14:textId="0724EF26" w:rsidR="00590DCE" w:rsidRPr="00FF4346" w:rsidRDefault="00590DCE" w:rsidP="00590DCE">
            <w:pPr>
              <w:rPr>
                <w:rFonts w:ascii="CAIXA Std Book" w:hAnsi="CAIXA Std Book"/>
                <w:color w:val="005CA9"/>
                <w:sz w:val="18"/>
                <w:szCs w:val="18"/>
              </w:rPr>
            </w:pPr>
            <w:r w:rsidRPr="00FF4346">
              <w:rPr>
                <w:rFonts w:ascii="CAIXA Std Book" w:hAnsi="CAIXA Std Book" w:cs="Arial Unicode MS"/>
                <w:color w:val="005CA9"/>
                <w:sz w:val="18"/>
                <w:szCs w:val="18"/>
              </w:rPr>
              <w:t>Instrumentos híbridos de capital e dívida</w:t>
            </w:r>
          </w:p>
        </w:tc>
        <w:tc>
          <w:tcPr>
            <w:tcW w:w="762" w:type="pct"/>
            <w:tcBorders>
              <w:top w:val="nil"/>
              <w:left w:val="nil"/>
              <w:bottom w:val="nil"/>
              <w:right w:val="nil"/>
            </w:tcBorders>
            <w:shd w:val="clear" w:color="auto" w:fill="auto"/>
            <w:noWrap/>
            <w:vAlign w:val="center"/>
          </w:tcPr>
          <w:p w14:paraId="4E11B185" w14:textId="133A5A92" w:rsidR="00590DCE" w:rsidRPr="00FF4346" w:rsidRDefault="00590DCE" w:rsidP="00590DCE">
            <w:pPr>
              <w:jc w:val="right"/>
              <w:rPr>
                <w:rFonts w:ascii="CAIXA Std Book" w:hAnsi="CAIXA Std Book" w:cs="Arial"/>
                <w:color w:val="005CA9"/>
                <w:sz w:val="18"/>
                <w:szCs w:val="18"/>
              </w:rPr>
            </w:pPr>
            <w:r w:rsidRPr="00590DCE">
              <w:rPr>
                <w:rFonts w:ascii="CAIXA Std Book" w:hAnsi="CAIXA Std Book" w:cs="Arial"/>
                <w:color w:val="005CA9"/>
                <w:sz w:val="18"/>
                <w:szCs w:val="18"/>
              </w:rPr>
              <w:t>550.843</w:t>
            </w:r>
          </w:p>
        </w:tc>
        <w:tc>
          <w:tcPr>
            <w:tcW w:w="763" w:type="pct"/>
            <w:tcBorders>
              <w:top w:val="nil"/>
              <w:left w:val="nil"/>
              <w:bottom w:val="nil"/>
              <w:right w:val="nil"/>
            </w:tcBorders>
            <w:shd w:val="clear" w:color="auto" w:fill="auto"/>
            <w:noWrap/>
            <w:vAlign w:val="center"/>
            <w:hideMark/>
          </w:tcPr>
          <w:p w14:paraId="17D407AC" w14:textId="58E65FAB"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2.037.317</w:t>
            </w:r>
          </w:p>
        </w:tc>
        <w:tc>
          <w:tcPr>
            <w:tcW w:w="762" w:type="pct"/>
            <w:tcBorders>
              <w:top w:val="nil"/>
              <w:left w:val="nil"/>
              <w:bottom w:val="nil"/>
              <w:right w:val="nil"/>
            </w:tcBorders>
            <w:vAlign w:val="center"/>
          </w:tcPr>
          <w:p w14:paraId="3C37087B" w14:textId="0B26A981" w:rsidR="00590DCE" w:rsidRPr="00FF4346" w:rsidRDefault="00E83332" w:rsidP="00590DCE">
            <w:pPr>
              <w:jc w:val="right"/>
              <w:rPr>
                <w:rFonts w:ascii="CAIXA Std Book" w:hAnsi="CAIXA Std Book" w:cs="Arial Unicode MS"/>
                <w:color w:val="005CA9"/>
                <w:sz w:val="18"/>
                <w:szCs w:val="18"/>
              </w:rPr>
            </w:pPr>
            <w:r w:rsidRPr="00590DCE">
              <w:rPr>
                <w:rFonts w:ascii="CAIXA Std Book" w:hAnsi="CAIXA Std Book" w:cs="Arial"/>
                <w:color w:val="005CA9"/>
                <w:sz w:val="18"/>
                <w:szCs w:val="18"/>
              </w:rPr>
              <w:t>550.843</w:t>
            </w:r>
          </w:p>
        </w:tc>
        <w:tc>
          <w:tcPr>
            <w:tcW w:w="762" w:type="pct"/>
            <w:tcBorders>
              <w:top w:val="nil"/>
              <w:left w:val="nil"/>
              <w:bottom w:val="nil"/>
              <w:right w:val="nil"/>
            </w:tcBorders>
            <w:vAlign w:val="center"/>
          </w:tcPr>
          <w:p w14:paraId="264D3CF6" w14:textId="1A48A4C7" w:rsidR="00590DCE" w:rsidRPr="00FF4346" w:rsidRDefault="00590DCE" w:rsidP="00590DCE">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2.037.317</w:t>
            </w:r>
          </w:p>
        </w:tc>
      </w:tr>
      <w:tr w:rsidR="009B6DEB" w:rsidRPr="00A33766" w14:paraId="3C097B01" w14:textId="77777777" w:rsidTr="00DC3D01">
        <w:trPr>
          <w:trHeight w:val="283"/>
        </w:trPr>
        <w:tc>
          <w:tcPr>
            <w:tcW w:w="1950" w:type="pct"/>
            <w:tcBorders>
              <w:top w:val="single" w:sz="4" w:space="0" w:color="F39200"/>
              <w:left w:val="nil"/>
              <w:bottom w:val="single" w:sz="4" w:space="0" w:color="F39200"/>
              <w:right w:val="nil"/>
            </w:tcBorders>
            <w:shd w:val="clear" w:color="auto" w:fill="auto"/>
            <w:noWrap/>
            <w:vAlign w:val="center"/>
            <w:hideMark/>
          </w:tcPr>
          <w:p w14:paraId="38E53DF0" w14:textId="77777777" w:rsidR="009B6DEB" w:rsidRPr="00FF4346" w:rsidRDefault="009B6DEB" w:rsidP="009B6DEB">
            <w:pPr>
              <w:rPr>
                <w:rFonts w:ascii="CAIXA Std Book" w:hAnsi="CAIXA Std Book"/>
                <w:b/>
                <w:color w:val="005CA9"/>
                <w:sz w:val="18"/>
                <w:szCs w:val="18"/>
              </w:rPr>
            </w:pPr>
            <w:r w:rsidRPr="00FF4346">
              <w:rPr>
                <w:rFonts w:ascii="CAIXA Std Book" w:hAnsi="CAIXA Std Book" w:cs="Arial Unicode MS"/>
                <w:b/>
                <w:color w:val="005CA9"/>
                <w:sz w:val="18"/>
                <w:szCs w:val="18"/>
              </w:rPr>
              <w:t xml:space="preserve">Total </w:t>
            </w:r>
          </w:p>
        </w:tc>
        <w:tc>
          <w:tcPr>
            <w:tcW w:w="762" w:type="pct"/>
            <w:tcBorders>
              <w:top w:val="single" w:sz="4" w:space="0" w:color="F39200"/>
              <w:left w:val="nil"/>
              <w:bottom w:val="single" w:sz="4" w:space="0" w:color="F39200"/>
              <w:right w:val="nil"/>
            </w:tcBorders>
            <w:shd w:val="clear" w:color="auto" w:fill="auto"/>
            <w:noWrap/>
            <w:vAlign w:val="center"/>
          </w:tcPr>
          <w:p w14:paraId="4D85DFF3" w14:textId="31D57C3B" w:rsidR="009B6DEB" w:rsidRPr="009B6DEB" w:rsidRDefault="009B6DEB" w:rsidP="009B6DEB">
            <w:pPr>
              <w:jc w:val="right"/>
              <w:rPr>
                <w:rFonts w:ascii="CAIXA Std Book" w:hAnsi="CAIXA Std Book" w:cs="Arial"/>
                <w:b/>
                <w:bCs/>
                <w:color w:val="005CA9"/>
                <w:sz w:val="18"/>
                <w:szCs w:val="18"/>
              </w:rPr>
            </w:pPr>
            <w:r w:rsidRPr="009B6DEB">
              <w:rPr>
                <w:rFonts w:ascii="CAIXA Std Book" w:hAnsi="CAIXA Std Book" w:cs="Arial"/>
                <w:b/>
                <w:bCs/>
                <w:color w:val="005CA9"/>
                <w:sz w:val="18"/>
                <w:szCs w:val="18"/>
              </w:rPr>
              <w:t>250.782.020</w:t>
            </w:r>
          </w:p>
        </w:tc>
        <w:tc>
          <w:tcPr>
            <w:tcW w:w="763" w:type="pct"/>
            <w:tcBorders>
              <w:top w:val="single" w:sz="4" w:space="0" w:color="F39200"/>
              <w:left w:val="nil"/>
              <w:bottom w:val="single" w:sz="4" w:space="0" w:color="F39200"/>
              <w:right w:val="nil"/>
            </w:tcBorders>
            <w:shd w:val="clear" w:color="auto" w:fill="auto"/>
            <w:noWrap/>
            <w:vAlign w:val="center"/>
          </w:tcPr>
          <w:p w14:paraId="23ED5D39" w14:textId="70059C76" w:rsidR="009B6DEB" w:rsidRPr="00FF4346" w:rsidRDefault="009B6DEB" w:rsidP="009B6DEB">
            <w:pPr>
              <w:jc w:val="right"/>
              <w:rPr>
                <w:rFonts w:ascii="CAIXA Std Book" w:hAnsi="CAIXA Std Book" w:cs="Arial Unicode MS"/>
                <w:b/>
                <w:color w:val="005CA9"/>
                <w:sz w:val="18"/>
                <w:szCs w:val="18"/>
              </w:rPr>
            </w:pPr>
            <w:r w:rsidRPr="00FF4346">
              <w:rPr>
                <w:rFonts w:ascii="CAIXA Std Book" w:hAnsi="CAIXA Std Book" w:cs="Arial"/>
                <w:b/>
                <w:bCs/>
                <w:color w:val="005CA9"/>
                <w:sz w:val="18"/>
                <w:szCs w:val="18"/>
              </w:rPr>
              <w:t>237.169.479</w:t>
            </w:r>
          </w:p>
        </w:tc>
        <w:tc>
          <w:tcPr>
            <w:tcW w:w="762" w:type="pct"/>
            <w:tcBorders>
              <w:top w:val="single" w:sz="4" w:space="0" w:color="F39200"/>
              <w:left w:val="nil"/>
              <w:bottom w:val="single" w:sz="4" w:space="0" w:color="F39200"/>
              <w:right w:val="nil"/>
            </w:tcBorders>
            <w:vAlign w:val="center"/>
          </w:tcPr>
          <w:p w14:paraId="641E156B" w14:textId="7636D65B" w:rsidR="009B6DEB" w:rsidRPr="00FF4346" w:rsidRDefault="00E83332" w:rsidP="009B6DEB">
            <w:pPr>
              <w:jc w:val="right"/>
              <w:rPr>
                <w:rFonts w:ascii="CAIXA Std Book" w:hAnsi="CAIXA Std Book" w:cs="Arial"/>
                <w:b/>
                <w:color w:val="005CA9"/>
                <w:sz w:val="18"/>
                <w:szCs w:val="18"/>
              </w:rPr>
            </w:pPr>
            <w:r w:rsidRPr="00E83332">
              <w:rPr>
                <w:rFonts w:ascii="CAIXA Std Book" w:hAnsi="CAIXA Std Book" w:cs="Arial"/>
                <w:b/>
                <w:bCs/>
                <w:color w:val="005CA9"/>
                <w:sz w:val="18"/>
                <w:szCs w:val="18"/>
              </w:rPr>
              <w:t>216.454.056</w:t>
            </w:r>
          </w:p>
        </w:tc>
        <w:tc>
          <w:tcPr>
            <w:tcW w:w="762" w:type="pct"/>
            <w:tcBorders>
              <w:top w:val="single" w:sz="4" w:space="0" w:color="F39200"/>
              <w:left w:val="nil"/>
              <w:bottom w:val="single" w:sz="4" w:space="0" w:color="F39200"/>
              <w:right w:val="nil"/>
            </w:tcBorders>
            <w:vAlign w:val="center"/>
          </w:tcPr>
          <w:p w14:paraId="71288F2C" w14:textId="69354F36" w:rsidR="009B6DEB" w:rsidRPr="00FF4346" w:rsidRDefault="009B6DEB" w:rsidP="009B6DEB">
            <w:pPr>
              <w:jc w:val="right"/>
              <w:rPr>
                <w:rFonts w:ascii="CAIXA Std Book" w:hAnsi="CAIXA Std Book" w:cs="Arial Unicode MS"/>
                <w:b/>
                <w:color w:val="005CA9"/>
                <w:sz w:val="18"/>
                <w:szCs w:val="18"/>
              </w:rPr>
            </w:pPr>
            <w:r w:rsidRPr="00FF4346">
              <w:rPr>
                <w:rFonts w:ascii="CAIXA Std Book" w:hAnsi="CAIXA Std Book" w:cs="Arial"/>
                <w:b/>
                <w:bCs/>
                <w:color w:val="005CA9"/>
                <w:sz w:val="18"/>
                <w:szCs w:val="18"/>
              </w:rPr>
              <w:t>204.121.736</w:t>
            </w:r>
          </w:p>
        </w:tc>
      </w:tr>
      <w:tr w:rsidR="003D0695" w:rsidRPr="00A33766" w14:paraId="48ACC17A" w14:textId="77777777" w:rsidTr="00DC3D01">
        <w:trPr>
          <w:trHeight w:val="283"/>
        </w:trPr>
        <w:tc>
          <w:tcPr>
            <w:tcW w:w="1950" w:type="pct"/>
            <w:tcBorders>
              <w:top w:val="nil"/>
              <w:left w:val="nil"/>
              <w:bottom w:val="nil"/>
              <w:right w:val="nil"/>
            </w:tcBorders>
            <w:shd w:val="clear" w:color="auto" w:fill="auto"/>
            <w:vAlign w:val="center"/>
            <w:hideMark/>
          </w:tcPr>
          <w:p w14:paraId="52C09E1E" w14:textId="77777777" w:rsidR="003D0695" w:rsidRPr="00FF4346" w:rsidRDefault="003D0695" w:rsidP="003D0695">
            <w:pPr>
              <w:rPr>
                <w:rFonts w:ascii="CAIXA Std Book" w:hAnsi="CAIXA Std Book"/>
                <w:color w:val="005CA9"/>
                <w:sz w:val="18"/>
                <w:szCs w:val="18"/>
              </w:rPr>
            </w:pPr>
            <w:r w:rsidRPr="00FF4346">
              <w:rPr>
                <w:rFonts w:ascii="CAIXA Std Book" w:hAnsi="CAIXA Std Book" w:cs="Arial Unicode MS"/>
                <w:color w:val="005CA9"/>
                <w:sz w:val="18"/>
                <w:szCs w:val="18"/>
              </w:rPr>
              <w:t>Passivo circulante</w:t>
            </w:r>
          </w:p>
        </w:tc>
        <w:tc>
          <w:tcPr>
            <w:tcW w:w="762" w:type="pct"/>
            <w:tcBorders>
              <w:top w:val="nil"/>
              <w:left w:val="nil"/>
              <w:bottom w:val="nil"/>
              <w:right w:val="nil"/>
            </w:tcBorders>
            <w:shd w:val="clear" w:color="auto" w:fill="auto"/>
            <w:noWrap/>
            <w:vAlign w:val="center"/>
          </w:tcPr>
          <w:p w14:paraId="427ECD0D" w14:textId="3802330E" w:rsidR="003D0695" w:rsidRPr="00FF4346" w:rsidRDefault="00385218" w:rsidP="003D0695">
            <w:pPr>
              <w:jc w:val="right"/>
              <w:rPr>
                <w:rFonts w:ascii="CAIXA Std Book" w:hAnsi="CAIXA Std Book" w:cs="Arial"/>
                <w:color w:val="005CA9"/>
                <w:sz w:val="18"/>
                <w:szCs w:val="18"/>
              </w:rPr>
            </w:pPr>
            <w:r w:rsidRPr="00D520CB">
              <w:rPr>
                <w:rFonts w:ascii="CAIXA Std Book" w:hAnsi="CAIXA Std Book" w:cs="Arial"/>
                <w:color w:val="005CA9"/>
                <w:sz w:val="18"/>
                <w:szCs w:val="18"/>
              </w:rPr>
              <w:t>36.960.776</w:t>
            </w:r>
          </w:p>
        </w:tc>
        <w:tc>
          <w:tcPr>
            <w:tcW w:w="763" w:type="pct"/>
            <w:tcBorders>
              <w:top w:val="nil"/>
              <w:left w:val="nil"/>
              <w:bottom w:val="nil"/>
              <w:right w:val="nil"/>
            </w:tcBorders>
            <w:shd w:val="clear" w:color="auto" w:fill="auto"/>
            <w:noWrap/>
            <w:vAlign w:val="center"/>
            <w:hideMark/>
          </w:tcPr>
          <w:p w14:paraId="158D31A2" w14:textId="7AFCEA52" w:rsidR="003D0695" w:rsidRPr="00FF4346" w:rsidRDefault="00226CE2" w:rsidP="003D0695">
            <w:pPr>
              <w:jc w:val="right"/>
              <w:rPr>
                <w:rFonts w:ascii="CAIXA Std Book" w:hAnsi="CAIXA Std Book" w:cs="Arial"/>
                <w:color w:val="005CA9"/>
                <w:sz w:val="18"/>
                <w:szCs w:val="18"/>
              </w:rPr>
            </w:pPr>
            <w:r w:rsidRPr="00FF4346">
              <w:rPr>
                <w:rFonts w:ascii="CAIXA Std Book" w:hAnsi="CAIXA Std Book" w:cs="Arial"/>
                <w:color w:val="005CA9"/>
                <w:sz w:val="18"/>
                <w:szCs w:val="18"/>
              </w:rPr>
              <w:t>38.122.429</w:t>
            </w:r>
          </w:p>
        </w:tc>
        <w:tc>
          <w:tcPr>
            <w:tcW w:w="762" w:type="pct"/>
            <w:tcBorders>
              <w:top w:val="nil"/>
              <w:left w:val="nil"/>
              <w:bottom w:val="nil"/>
              <w:right w:val="nil"/>
            </w:tcBorders>
            <w:vAlign w:val="center"/>
          </w:tcPr>
          <w:p w14:paraId="64B5D962" w14:textId="5B6B45FC" w:rsidR="003D0695" w:rsidRPr="000905EB" w:rsidRDefault="00385218" w:rsidP="003D0695">
            <w:pPr>
              <w:jc w:val="right"/>
              <w:rPr>
                <w:rFonts w:ascii="CAIXA Std Book" w:hAnsi="CAIXA Std Book" w:cs="Arial"/>
                <w:color w:val="005CA9"/>
                <w:sz w:val="18"/>
                <w:szCs w:val="18"/>
              </w:rPr>
            </w:pPr>
            <w:r w:rsidRPr="00385218">
              <w:rPr>
                <w:rFonts w:ascii="CAIXA Std Book" w:hAnsi="CAIXA Std Book" w:cs="Arial"/>
                <w:color w:val="005CA9"/>
                <w:sz w:val="18"/>
                <w:szCs w:val="18"/>
              </w:rPr>
              <w:t>36.960.776</w:t>
            </w:r>
          </w:p>
        </w:tc>
        <w:tc>
          <w:tcPr>
            <w:tcW w:w="762" w:type="pct"/>
            <w:tcBorders>
              <w:top w:val="nil"/>
              <w:left w:val="nil"/>
              <w:bottom w:val="nil"/>
              <w:right w:val="nil"/>
            </w:tcBorders>
            <w:vAlign w:val="center"/>
          </w:tcPr>
          <w:p w14:paraId="2F617405" w14:textId="77544FA7" w:rsidR="003D0695" w:rsidRPr="00FF4346" w:rsidRDefault="00226CE2" w:rsidP="003D0695">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38.122.429</w:t>
            </w:r>
          </w:p>
        </w:tc>
      </w:tr>
      <w:tr w:rsidR="00C47163" w:rsidRPr="00A33766" w14:paraId="0C345588" w14:textId="77777777" w:rsidTr="00DC3D01">
        <w:trPr>
          <w:trHeight w:val="283"/>
        </w:trPr>
        <w:tc>
          <w:tcPr>
            <w:tcW w:w="1950" w:type="pct"/>
            <w:tcBorders>
              <w:top w:val="nil"/>
              <w:left w:val="nil"/>
              <w:bottom w:val="single" w:sz="4" w:space="0" w:color="F39200"/>
              <w:right w:val="nil"/>
            </w:tcBorders>
            <w:shd w:val="clear" w:color="auto" w:fill="auto"/>
            <w:vAlign w:val="center"/>
            <w:hideMark/>
          </w:tcPr>
          <w:p w14:paraId="2687411C" w14:textId="77777777" w:rsidR="00C47163" w:rsidRPr="00FF4346" w:rsidRDefault="00C47163" w:rsidP="00C47163">
            <w:pPr>
              <w:rPr>
                <w:rFonts w:ascii="CAIXA Std Book" w:hAnsi="CAIXA Std Book"/>
                <w:color w:val="005CA9"/>
                <w:sz w:val="18"/>
                <w:szCs w:val="18"/>
              </w:rPr>
            </w:pPr>
            <w:r w:rsidRPr="00FF4346">
              <w:rPr>
                <w:rFonts w:ascii="CAIXA Std Book" w:hAnsi="CAIXA Std Book" w:cs="Arial Unicode MS"/>
                <w:color w:val="005CA9"/>
                <w:sz w:val="18"/>
                <w:szCs w:val="18"/>
              </w:rPr>
              <w:t>Passivo não circulante</w:t>
            </w:r>
          </w:p>
        </w:tc>
        <w:tc>
          <w:tcPr>
            <w:tcW w:w="762" w:type="pct"/>
            <w:tcBorders>
              <w:top w:val="nil"/>
              <w:left w:val="nil"/>
              <w:bottom w:val="single" w:sz="4" w:space="0" w:color="F39200"/>
              <w:right w:val="nil"/>
            </w:tcBorders>
            <w:shd w:val="clear" w:color="auto" w:fill="auto"/>
            <w:noWrap/>
            <w:vAlign w:val="center"/>
          </w:tcPr>
          <w:p w14:paraId="2DD99635" w14:textId="4C89BAAD" w:rsidR="00C47163" w:rsidRPr="00FF4346" w:rsidRDefault="00385218" w:rsidP="00C47163">
            <w:pPr>
              <w:jc w:val="right"/>
              <w:rPr>
                <w:rFonts w:ascii="CAIXA Std Book" w:hAnsi="CAIXA Std Book" w:cs="Arial"/>
                <w:color w:val="005CA9"/>
                <w:sz w:val="18"/>
                <w:szCs w:val="18"/>
              </w:rPr>
            </w:pPr>
            <w:r w:rsidRPr="00D520CB">
              <w:rPr>
                <w:rFonts w:ascii="CAIXA Std Book" w:hAnsi="CAIXA Std Book" w:cs="Arial"/>
                <w:color w:val="005CA9"/>
                <w:sz w:val="18"/>
                <w:szCs w:val="18"/>
              </w:rPr>
              <w:t>213.821.244</w:t>
            </w:r>
          </w:p>
        </w:tc>
        <w:tc>
          <w:tcPr>
            <w:tcW w:w="763" w:type="pct"/>
            <w:tcBorders>
              <w:top w:val="nil"/>
              <w:left w:val="nil"/>
              <w:bottom w:val="single" w:sz="4" w:space="0" w:color="F39200"/>
              <w:right w:val="nil"/>
            </w:tcBorders>
            <w:shd w:val="clear" w:color="auto" w:fill="auto"/>
            <w:noWrap/>
            <w:vAlign w:val="center"/>
            <w:hideMark/>
          </w:tcPr>
          <w:p w14:paraId="0F642A3A" w14:textId="1396C0B6" w:rsidR="00C47163" w:rsidRPr="00FF4346" w:rsidRDefault="00226CE2" w:rsidP="00C47163">
            <w:pPr>
              <w:jc w:val="right"/>
              <w:rPr>
                <w:rFonts w:ascii="CAIXA Std Book" w:hAnsi="CAIXA Std Book" w:cs="Arial"/>
                <w:color w:val="005CA9"/>
                <w:sz w:val="18"/>
                <w:szCs w:val="18"/>
              </w:rPr>
            </w:pPr>
            <w:r w:rsidRPr="00FF4346">
              <w:rPr>
                <w:rFonts w:ascii="CAIXA Std Book" w:hAnsi="CAIXA Std Book" w:cs="Arial"/>
                <w:color w:val="005CA9"/>
                <w:sz w:val="18"/>
                <w:szCs w:val="18"/>
              </w:rPr>
              <w:t>199.047.050</w:t>
            </w:r>
          </w:p>
        </w:tc>
        <w:tc>
          <w:tcPr>
            <w:tcW w:w="762" w:type="pct"/>
            <w:tcBorders>
              <w:top w:val="nil"/>
              <w:left w:val="nil"/>
              <w:bottom w:val="single" w:sz="4" w:space="0" w:color="F39200"/>
              <w:right w:val="nil"/>
            </w:tcBorders>
            <w:vAlign w:val="center"/>
          </w:tcPr>
          <w:p w14:paraId="10B4A4AD" w14:textId="77B132B3" w:rsidR="00C47163" w:rsidRPr="000905EB" w:rsidRDefault="00385218" w:rsidP="00C47163">
            <w:pPr>
              <w:jc w:val="right"/>
              <w:rPr>
                <w:rFonts w:ascii="CAIXA Std Book" w:hAnsi="CAIXA Std Book" w:cs="Arial"/>
                <w:color w:val="005CA9"/>
                <w:sz w:val="18"/>
                <w:szCs w:val="18"/>
              </w:rPr>
            </w:pPr>
            <w:r w:rsidRPr="00385218">
              <w:rPr>
                <w:rFonts w:ascii="CAIXA Std Book" w:hAnsi="CAIXA Std Book" w:cs="Arial"/>
                <w:color w:val="005CA9"/>
                <w:sz w:val="18"/>
                <w:szCs w:val="18"/>
              </w:rPr>
              <w:t>179.493.280</w:t>
            </w:r>
          </w:p>
        </w:tc>
        <w:tc>
          <w:tcPr>
            <w:tcW w:w="762" w:type="pct"/>
            <w:tcBorders>
              <w:top w:val="nil"/>
              <w:left w:val="nil"/>
              <w:bottom w:val="single" w:sz="4" w:space="0" w:color="F39200"/>
              <w:right w:val="nil"/>
            </w:tcBorders>
            <w:vAlign w:val="center"/>
          </w:tcPr>
          <w:p w14:paraId="7D1E3DC3" w14:textId="7B50C9CF" w:rsidR="00C47163" w:rsidRPr="00FF4346" w:rsidRDefault="00226CE2" w:rsidP="00C47163">
            <w:pPr>
              <w:jc w:val="right"/>
              <w:rPr>
                <w:rFonts w:ascii="CAIXA Std Book" w:hAnsi="CAIXA Std Book" w:cs="Arial Unicode MS"/>
                <w:color w:val="005CA9"/>
                <w:sz w:val="18"/>
                <w:szCs w:val="18"/>
              </w:rPr>
            </w:pPr>
            <w:r w:rsidRPr="00FF4346">
              <w:rPr>
                <w:rFonts w:ascii="CAIXA Std Book" w:hAnsi="CAIXA Std Book" w:cs="Arial"/>
                <w:color w:val="005CA9"/>
                <w:sz w:val="18"/>
                <w:szCs w:val="18"/>
              </w:rPr>
              <w:t>165.999.307</w:t>
            </w:r>
          </w:p>
        </w:tc>
      </w:tr>
    </w:tbl>
    <w:p w14:paraId="1D720560" w14:textId="3F3EDC93" w:rsidR="00A371AC" w:rsidRPr="00FF4346" w:rsidRDefault="00670CB9" w:rsidP="00A371AC">
      <w:pPr>
        <w:jc w:val="both"/>
        <w:rPr>
          <w:rFonts w:ascii="CAIXA Std Book" w:hAnsi="CAIXA Std Book"/>
          <w:color w:val="005CA9"/>
          <w:sz w:val="16"/>
          <w:szCs w:val="16"/>
        </w:rPr>
      </w:pPr>
      <w:r w:rsidRPr="00FF4346">
        <w:rPr>
          <w:rFonts w:ascii="CAIXA Std Book" w:hAnsi="CAIXA Std Book"/>
          <w:color w:val="005CA9"/>
          <w:sz w:val="16"/>
          <w:szCs w:val="16"/>
        </w:rPr>
        <w:t>(</w:t>
      </w:r>
      <w:r w:rsidR="00B23F08" w:rsidRPr="00FF4346">
        <w:rPr>
          <w:rFonts w:ascii="CAIXA Std Book" w:hAnsi="CAIXA Std Book"/>
          <w:color w:val="005CA9"/>
          <w:sz w:val="16"/>
          <w:szCs w:val="16"/>
        </w:rPr>
        <w:t>1</w:t>
      </w:r>
      <w:r w:rsidRPr="00FF4346">
        <w:rPr>
          <w:rFonts w:ascii="CAIXA Std Book" w:hAnsi="CAIXA Std Book"/>
          <w:color w:val="005CA9"/>
          <w:sz w:val="16"/>
          <w:szCs w:val="16"/>
        </w:rPr>
        <w:t xml:space="preserve">) Composto por instrumentos híbridos de capital e dívida autorizado a compor o capital. No consolidado </w:t>
      </w:r>
      <w:r w:rsidR="00CF5FC4" w:rsidRPr="00FF4346">
        <w:rPr>
          <w:rFonts w:ascii="CAIXA Std Book" w:hAnsi="CAIXA Std Book"/>
          <w:color w:val="005CA9"/>
          <w:sz w:val="16"/>
          <w:szCs w:val="16"/>
        </w:rPr>
        <w:t xml:space="preserve">o saldo </w:t>
      </w:r>
      <w:r w:rsidRPr="00FF4346">
        <w:rPr>
          <w:rFonts w:ascii="CAIXA Std Book" w:hAnsi="CAIXA Std Book"/>
          <w:color w:val="005CA9"/>
          <w:sz w:val="16"/>
          <w:szCs w:val="16"/>
        </w:rPr>
        <w:t xml:space="preserve">é reclassificado para o Patrimônio Líquido conforme Resolução </w:t>
      </w:r>
      <w:r w:rsidR="00334122" w:rsidRPr="00FF4346">
        <w:rPr>
          <w:rFonts w:ascii="CAIXA Std Book" w:hAnsi="CAIXA Std Book"/>
          <w:color w:val="005CA9"/>
          <w:sz w:val="16"/>
          <w:szCs w:val="16"/>
        </w:rPr>
        <w:t xml:space="preserve">CMN </w:t>
      </w:r>
      <w:r w:rsidRPr="00FF4346">
        <w:rPr>
          <w:rFonts w:ascii="CAIXA Std Book" w:hAnsi="CAIXA Std Book"/>
          <w:color w:val="005CA9"/>
          <w:sz w:val="16"/>
          <w:szCs w:val="16"/>
        </w:rPr>
        <w:t>nº 4.</w:t>
      </w:r>
      <w:r w:rsidR="007763EA" w:rsidRPr="00FF4346">
        <w:rPr>
          <w:rFonts w:ascii="CAIXA Std Book" w:hAnsi="CAIXA Std Book"/>
          <w:color w:val="005CA9"/>
          <w:sz w:val="16"/>
          <w:szCs w:val="16"/>
        </w:rPr>
        <w:t>9</w:t>
      </w:r>
      <w:r w:rsidR="003179B7" w:rsidRPr="00FF4346">
        <w:rPr>
          <w:rFonts w:ascii="CAIXA Std Book" w:hAnsi="CAIXA Std Book"/>
          <w:color w:val="005CA9"/>
          <w:sz w:val="16"/>
          <w:szCs w:val="16"/>
        </w:rPr>
        <w:t>5</w:t>
      </w:r>
      <w:r w:rsidR="007763EA" w:rsidRPr="00FF4346">
        <w:rPr>
          <w:rFonts w:ascii="CAIXA Std Book" w:hAnsi="CAIXA Std Book"/>
          <w:color w:val="005CA9"/>
          <w:sz w:val="16"/>
          <w:szCs w:val="16"/>
        </w:rPr>
        <w:t>5</w:t>
      </w:r>
      <w:r w:rsidRPr="00FF4346">
        <w:rPr>
          <w:rFonts w:ascii="CAIXA Std Book" w:hAnsi="CAIXA Std Book"/>
          <w:color w:val="005CA9"/>
          <w:sz w:val="16"/>
          <w:szCs w:val="16"/>
        </w:rPr>
        <w:t>/20</w:t>
      </w:r>
      <w:r w:rsidR="00273B13" w:rsidRPr="00FF4346">
        <w:rPr>
          <w:rFonts w:ascii="CAIXA Std Book" w:hAnsi="CAIXA Std Book"/>
          <w:color w:val="005CA9"/>
          <w:sz w:val="16"/>
          <w:szCs w:val="16"/>
        </w:rPr>
        <w:t>21</w:t>
      </w:r>
      <w:r w:rsidR="00A371AC" w:rsidRPr="00FF4346">
        <w:rPr>
          <w:rFonts w:ascii="CAIXA Std Book" w:hAnsi="CAIXA Std Book"/>
          <w:color w:val="005CA9"/>
          <w:sz w:val="16"/>
          <w:szCs w:val="16"/>
        </w:rPr>
        <w:t>.</w:t>
      </w:r>
    </w:p>
    <w:p w14:paraId="6E409C66" w14:textId="3A44FD88" w:rsidR="00670CB9" w:rsidRPr="00FF4346" w:rsidRDefault="00670CB9" w:rsidP="001E2F7F">
      <w:pPr>
        <w:jc w:val="both"/>
        <w:rPr>
          <w:rFonts w:ascii="CAIXA Std Book" w:hAnsi="CAIXA Std Book"/>
          <w:color w:val="005CA9"/>
          <w:sz w:val="16"/>
          <w:szCs w:val="16"/>
        </w:rPr>
      </w:pPr>
    </w:p>
    <w:p w14:paraId="049D92C6" w14:textId="125992E5" w:rsidR="00681A81" w:rsidRPr="00FF4346" w:rsidRDefault="00681A81" w:rsidP="00BB5675">
      <w:pPr>
        <w:tabs>
          <w:tab w:val="left" w:pos="1650"/>
        </w:tabs>
        <w:spacing w:before="120" w:after="120"/>
        <w:jc w:val="both"/>
        <w:rPr>
          <w:rFonts w:ascii="CAIXA Std Book" w:hAnsi="CAIXA Std Book"/>
          <w:color w:val="005CA9"/>
          <w:sz w:val="20"/>
          <w:szCs w:val="20"/>
        </w:rPr>
      </w:pPr>
      <w:bookmarkStart w:id="80" w:name="_Hlk65762149"/>
      <w:r w:rsidRPr="00FF4346">
        <w:rPr>
          <w:rFonts w:ascii="CAIXA Std Book" w:hAnsi="CAIXA Std Book"/>
          <w:color w:val="005CA9"/>
          <w:sz w:val="20"/>
          <w:szCs w:val="20"/>
        </w:rPr>
        <w:t>A CAIXA possui 1</w:t>
      </w:r>
      <w:r w:rsidR="00A908FF" w:rsidRPr="00FF4346">
        <w:rPr>
          <w:rFonts w:ascii="CAIXA Std Book" w:hAnsi="CAIXA Std Book"/>
          <w:color w:val="005CA9"/>
          <w:sz w:val="20"/>
          <w:szCs w:val="20"/>
        </w:rPr>
        <w:t>4</w:t>
      </w:r>
      <w:r w:rsidRPr="00FF4346">
        <w:rPr>
          <w:rFonts w:ascii="CAIXA Std Book" w:hAnsi="CAIXA Std Book"/>
          <w:color w:val="005CA9"/>
          <w:sz w:val="20"/>
          <w:szCs w:val="20"/>
        </w:rPr>
        <w:t xml:space="preserve"> Instrumentos Financeiros Subordinados – IFS autorizados a compor o Nível II do Patrimônio de Referência – PR, sendo 8 Instrumentos de Dívida Subordinada – IDS com o FGTS e </w:t>
      </w:r>
      <w:r w:rsidR="005179E1" w:rsidRPr="00FF4346">
        <w:rPr>
          <w:rFonts w:ascii="CAIXA Std Book" w:hAnsi="CAIXA Std Book"/>
          <w:color w:val="005CA9"/>
          <w:sz w:val="20"/>
          <w:szCs w:val="20"/>
        </w:rPr>
        <w:t>6</w:t>
      </w:r>
      <w:r w:rsidRPr="00FF4346">
        <w:rPr>
          <w:rFonts w:ascii="CAIXA Std Book" w:hAnsi="CAIXA Std Book"/>
          <w:color w:val="005CA9"/>
          <w:sz w:val="20"/>
          <w:szCs w:val="20"/>
        </w:rPr>
        <w:t xml:space="preserve"> Letras Financeiras Subordinadas – LFS, conforme detalhamento no item (c) subsequente.</w:t>
      </w:r>
    </w:p>
    <w:p w14:paraId="2C146BF4" w14:textId="77777777" w:rsidR="00681A81" w:rsidRPr="00FF4346" w:rsidRDefault="00681A81" w:rsidP="00BB5675">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O valor total captado por meio dos Instrumentos Financeiros Subordinados compõe o capital da instituição, refletindo positivamente no Patrimônio de Referência - PR, na Margem Operacional, no Índice de Basileia, além de outros indicadores como, por exemplo, o de imobilização e endividamento do setor público.</w:t>
      </w:r>
    </w:p>
    <w:p w14:paraId="267E480F" w14:textId="1B6B8D63" w:rsidR="00681A81" w:rsidRPr="00FF4346" w:rsidRDefault="00681A81" w:rsidP="00134363">
      <w:pPr>
        <w:tabs>
          <w:tab w:val="left" w:pos="1650"/>
        </w:tabs>
        <w:spacing w:before="240" w:after="120"/>
        <w:jc w:val="both"/>
        <w:rPr>
          <w:rFonts w:ascii="CAIXA Std Book" w:hAnsi="CAIXA Std Book"/>
          <w:b/>
          <w:color w:val="005CA9"/>
          <w:sz w:val="20"/>
          <w:szCs w:val="20"/>
        </w:rPr>
      </w:pPr>
      <w:r w:rsidRPr="00FF4346">
        <w:rPr>
          <w:rFonts w:ascii="CAIXA Std Book" w:hAnsi="CAIXA Std Book"/>
          <w:b/>
          <w:color w:val="005CA9"/>
          <w:sz w:val="20"/>
          <w:szCs w:val="20"/>
        </w:rPr>
        <w:t xml:space="preserve">Instrumento de Dívida Subordinada – </w:t>
      </w:r>
      <w:r w:rsidR="008E6BF7" w:rsidRPr="00FF4346">
        <w:rPr>
          <w:rFonts w:ascii="CAIXA Std Book" w:hAnsi="CAIXA Std Book"/>
          <w:b/>
          <w:color w:val="005CA9"/>
          <w:sz w:val="20"/>
          <w:szCs w:val="20"/>
        </w:rPr>
        <w:t>FGTS</w:t>
      </w:r>
    </w:p>
    <w:p w14:paraId="4FB25F9F" w14:textId="411C2E34" w:rsidR="00A57CB1" w:rsidRPr="00FF4346" w:rsidRDefault="00A57CB1" w:rsidP="00A57CB1">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CAIXA possui 8 instrumentos de dívida subordinada autorizados pelo Banco Central do Brasil na composição do Nível II do PR, em acordo com o disposto na Resolução </w:t>
      </w:r>
      <w:r w:rsidR="006579A2" w:rsidRPr="00FF4346">
        <w:rPr>
          <w:rFonts w:ascii="CAIXA Std Book" w:hAnsi="CAIXA Std Book"/>
          <w:color w:val="005CA9"/>
          <w:sz w:val="20"/>
          <w:szCs w:val="20"/>
        </w:rPr>
        <w:t xml:space="preserve">CMN nº </w:t>
      </w:r>
      <w:r w:rsidR="00AF29BF" w:rsidRPr="00FF4346">
        <w:rPr>
          <w:rFonts w:ascii="CAIXA Std Book" w:hAnsi="CAIXA Std Book"/>
          <w:color w:val="005CA9"/>
          <w:sz w:val="20"/>
          <w:szCs w:val="20"/>
        </w:rPr>
        <w:t>4.958/2021</w:t>
      </w:r>
      <w:r w:rsidRPr="00FF4346">
        <w:rPr>
          <w:rFonts w:ascii="CAIXA Std Book" w:hAnsi="CAIXA Std Book"/>
          <w:color w:val="005CA9"/>
          <w:sz w:val="20"/>
          <w:szCs w:val="20"/>
        </w:rPr>
        <w:t xml:space="preserve"> que trata da metodologia de apuração do PR, contratados com o Fundo de Garantia </w:t>
      </w:r>
      <w:r w:rsidR="008C7D1E" w:rsidRPr="00FF4346">
        <w:rPr>
          <w:rFonts w:ascii="CAIXA Std Book" w:hAnsi="CAIXA Std Book"/>
          <w:color w:val="005CA9"/>
          <w:sz w:val="20"/>
          <w:szCs w:val="20"/>
        </w:rPr>
        <w:t>do</w:t>
      </w:r>
      <w:r w:rsidRPr="00FF4346">
        <w:rPr>
          <w:rFonts w:ascii="CAIXA Std Book" w:hAnsi="CAIXA Std Book"/>
          <w:color w:val="005CA9"/>
          <w:sz w:val="20"/>
          <w:szCs w:val="20"/>
        </w:rPr>
        <w:t xml:space="preserve"> Tempo de Serviço – FGTS.</w:t>
      </w:r>
    </w:p>
    <w:p w14:paraId="090B27D6" w14:textId="3B81C06D" w:rsidR="00681A81" w:rsidRPr="00FF4346" w:rsidRDefault="00681A81" w:rsidP="00BB5675">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Sobre o valor total das dívidas incide atualização monetária, mediante a aplicação de coeficiente de atualização idêntico ao utilizado para a remuneração das contas vinculadas do FGTS e juros capitalizados mensalmente.</w:t>
      </w:r>
    </w:p>
    <w:p w14:paraId="55C3CF26" w14:textId="77777777" w:rsidR="00681A81" w:rsidRPr="00FF4346" w:rsidRDefault="00681A81" w:rsidP="00134363">
      <w:pPr>
        <w:tabs>
          <w:tab w:val="left" w:pos="1650"/>
        </w:tabs>
        <w:spacing w:before="240" w:after="120"/>
        <w:jc w:val="both"/>
        <w:rPr>
          <w:rFonts w:ascii="CAIXA Std Book" w:hAnsi="CAIXA Std Book"/>
          <w:b/>
          <w:color w:val="005CA9"/>
          <w:sz w:val="20"/>
          <w:szCs w:val="20"/>
        </w:rPr>
      </w:pPr>
      <w:r w:rsidRPr="00FF4346">
        <w:rPr>
          <w:rFonts w:ascii="CAIXA Std Book" w:hAnsi="CAIXA Std Book"/>
          <w:b/>
          <w:color w:val="005CA9"/>
          <w:sz w:val="20"/>
          <w:szCs w:val="20"/>
        </w:rPr>
        <w:t>Letras Financeiras Subordinadas – Nível I (Complementar)</w:t>
      </w:r>
    </w:p>
    <w:p w14:paraId="2AE367AF" w14:textId="1854E00D" w:rsidR="006958E2" w:rsidRPr="00FF4346" w:rsidRDefault="006958E2" w:rsidP="006958E2">
      <w:pPr>
        <w:tabs>
          <w:tab w:val="left" w:pos="1650"/>
        </w:tabs>
        <w:spacing w:before="120" w:after="120"/>
        <w:jc w:val="both"/>
        <w:rPr>
          <w:rFonts w:ascii="CAIXA Std Book" w:hAnsi="CAIXA Std Book"/>
          <w:color w:val="005CA9"/>
          <w:sz w:val="20"/>
          <w:szCs w:val="20"/>
        </w:rPr>
      </w:pPr>
      <w:bookmarkStart w:id="81" w:name="_Hlk32247321"/>
      <w:r w:rsidRPr="00FF4346">
        <w:rPr>
          <w:rFonts w:ascii="CAIXA Std Book" w:hAnsi="CAIXA Std Book"/>
          <w:color w:val="005CA9"/>
          <w:sz w:val="20"/>
          <w:szCs w:val="20"/>
        </w:rPr>
        <w:t xml:space="preserve">A CAIXA captou no mercado local Letras Financeiras Subordinadas, no valor de face total de R$ </w:t>
      </w:r>
      <w:r w:rsidR="00DE0DBF" w:rsidRPr="00FF4346">
        <w:rPr>
          <w:rFonts w:ascii="CAIXA Std Book" w:hAnsi="CAIXA Std Book"/>
          <w:color w:val="005CA9"/>
          <w:sz w:val="20"/>
          <w:szCs w:val="20"/>
        </w:rPr>
        <w:t>1.718.700</w:t>
      </w:r>
      <w:r w:rsidRPr="00FF4346">
        <w:rPr>
          <w:rFonts w:ascii="CAIXA Std Book" w:hAnsi="CAIXA Std Book"/>
          <w:color w:val="005CA9"/>
          <w:sz w:val="20"/>
          <w:szCs w:val="20"/>
        </w:rPr>
        <w:t>, desse total R$</w:t>
      </w:r>
      <w:r w:rsidR="005635BE" w:rsidRPr="00FF4346">
        <w:rPr>
          <w:rFonts w:ascii="CAIXA Std Book" w:hAnsi="CAIXA Std Book"/>
          <w:color w:val="005CA9"/>
          <w:sz w:val="20"/>
          <w:szCs w:val="20"/>
        </w:rPr>
        <w:t>1.713</w:t>
      </w:r>
      <w:r w:rsidR="007B2A48" w:rsidRPr="00FF4346">
        <w:rPr>
          <w:rFonts w:ascii="CAIXA Std Book" w:hAnsi="CAIXA Std Book"/>
          <w:color w:val="005CA9"/>
          <w:sz w:val="20"/>
          <w:szCs w:val="20"/>
        </w:rPr>
        <w:t>.241</w:t>
      </w:r>
      <w:r w:rsidRPr="00FF4346">
        <w:rPr>
          <w:rFonts w:ascii="CAIXA Std Book" w:hAnsi="CAIXA Std Book"/>
          <w:color w:val="005CA9"/>
          <w:sz w:val="20"/>
          <w:szCs w:val="20"/>
        </w:rPr>
        <w:t xml:space="preserve"> estão autorizadas para compor o Capital Complementar do Nível I (PR).</w:t>
      </w:r>
    </w:p>
    <w:p w14:paraId="594F53F5" w14:textId="77777777" w:rsidR="00681A81" w:rsidRPr="00FF4346" w:rsidRDefault="00681A81" w:rsidP="00134363">
      <w:pPr>
        <w:tabs>
          <w:tab w:val="left" w:pos="1650"/>
        </w:tabs>
        <w:spacing w:before="240" w:after="120"/>
        <w:jc w:val="both"/>
        <w:rPr>
          <w:rFonts w:ascii="CAIXA Std Book" w:hAnsi="CAIXA Std Book"/>
          <w:b/>
          <w:color w:val="005CA9"/>
          <w:sz w:val="20"/>
          <w:szCs w:val="20"/>
        </w:rPr>
      </w:pPr>
      <w:r w:rsidRPr="00FF4346">
        <w:rPr>
          <w:rFonts w:ascii="CAIXA Std Book" w:hAnsi="CAIXA Std Book"/>
          <w:b/>
          <w:color w:val="005CA9"/>
          <w:sz w:val="20"/>
          <w:szCs w:val="20"/>
        </w:rPr>
        <w:t xml:space="preserve">Letras Financeiras Subordinadas – Nível II </w:t>
      </w:r>
    </w:p>
    <w:p w14:paraId="5354B49F" w14:textId="7A0E3327" w:rsidR="00681A81" w:rsidRPr="00FF4346" w:rsidRDefault="00681A81" w:rsidP="00425EB6">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CAIXA possui </w:t>
      </w:r>
      <w:r w:rsidR="006958E2" w:rsidRPr="00FF4346">
        <w:rPr>
          <w:rFonts w:ascii="CAIXA Std Book" w:hAnsi="CAIXA Std Book"/>
          <w:color w:val="005CA9"/>
          <w:sz w:val="20"/>
          <w:szCs w:val="20"/>
        </w:rPr>
        <w:t>6</w:t>
      </w:r>
      <w:r w:rsidRPr="00FF4346">
        <w:rPr>
          <w:rFonts w:ascii="CAIXA Std Book" w:hAnsi="CAIXA Std Book"/>
          <w:color w:val="005CA9"/>
          <w:sz w:val="20"/>
          <w:szCs w:val="20"/>
        </w:rPr>
        <w:t xml:space="preserve"> Letras Financeiras Subordinadas captadas no mercado local, no valor de face total de R$ </w:t>
      </w:r>
      <w:r w:rsidR="007D13A1" w:rsidRPr="00FF4346">
        <w:rPr>
          <w:rFonts w:ascii="CAIXA Std Book" w:hAnsi="CAIXA Std Book"/>
          <w:color w:val="005CA9"/>
          <w:sz w:val="20"/>
          <w:szCs w:val="20"/>
        </w:rPr>
        <w:t>206</w:t>
      </w:r>
      <w:r w:rsidR="008B4869" w:rsidRPr="00FF4346">
        <w:rPr>
          <w:rFonts w:ascii="CAIXA Std Book" w:hAnsi="CAIXA Std Book"/>
          <w:color w:val="005CA9"/>
          <w:sz w:val="20"/>
          <w:szCs w:val="20"/>
        </w:rPr>
        <w:t>.000</w:t>
      </w:r>
      <w:r w:rsidRPr="00FF4346">
        <w:rPr>
          <w:rFonts w:ascii="CAIXA Std Book" w:hAnsi="CAIXA Std Book"/>
          <w:color w:val="005CA9"/>
          <w:sz w:val="20"/>
          <w:szCs w:val="20"/>
        </w:rPr>
        <w:t xml:space="preserve"> todas consideradas elegíveis ao Nível II do PR pelo B</w:t>
      </w:r>
      <w:r w:rsidR="00004B03" w:rsidRPr="00FF4346">
        <w:rPr>
          <w:rFonts w:ascii="CAIXA Std Book" w:hAnsi="CAIXA Std Book"/>
          <w:color w:val="005CA9"/>
          <w:sz w:val="20"/>
          <w:szCs w:val="20"/>
        </w:rPr>
        <w:t>acen</w:t>
      </w:r>
      <w:r w:rsidRPr="00FF4346">
        <w:rPr>
          <w:rFonts w:ascii="CAIXA Std Book" w:hAnsi="CAIXA Std Book"/>
          <w:color w:val="005CA9"/>
          <w:sz w:val="20"/>
          <w:szCs w:val="20"/>
        </w:rPr>
        <w:t>.</w:t>
      </w:r>
    </w:p>
    <w:bookmarkEnd w:id="80"/>
    <w:bookmarkEnd w:id="81"/>
    <w:p w14:paraId="0DCD52B6" w14:textId="77777777" w:rsidR="00F72350" w:rsidRDefault="00F72350">
      <w:pPr>
        <w:rPr>
          <w:rFonts w:ascii="CAIXA Std Book" w:hAnsi="CAIXA Std Book"/>
          <w:color w:val="005CA9"/>
          <w:sz w:val="20"/>
          <w:szCs w:val="20"/>
        </w:rPr>
      </w:pPr>
      <w:r>
        <w:rPr>
          <w:rFonts w:ascii="CAIXA Std Book" w:hAnsi="CAIXA Std Book"/>
          <w:color w:val="005CA9"/>
          <w:sz w:val="20"/>
          <w:szCs w:val="20"/>
        </w:rPr>
        <w:br w:type="page"/>
      </w:r>
    </w:p>
    <w:p w14:paraId="4A3E8D2B" w14:textId="5E777D1C" w:rsidR="00681A81" w:rsidRPr="00FF4346" w:rsidRDefault="00681A81" w:rsidP="00B37B40">
      <w:pPr>
        <w:pStyle w:val="PargrafodaLista"/>
        <w:numPr>
          <w:ilvl w:val="0"/>
          <w:numId w:val="8"/>
        </w:numPr>
        <w:spacing w:before="24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lastRenderedPageBreak/>
        <w:t xml:space="preserve">Recursos de aceites e </w:t>
      </w:r>
      <w:r w:rsidR="00BB483D" w:rsidRPr="00FF4346">
        <w:rPr>
          <w:rFonts w:ascii="CAIXA Std Book" w:hAnsi="CAIXA Std Book"/>
          <w:b/>
          <w:color w:val="005CA9"/>
          <w:sz w:val="20"/>
          <w:szCs w:val="20"/>
        </w:rPr>
        <w:t>e</w:t>
      </w:r>
      <w:r w:rsidRPr="00FF4346">
        <w:rPr>
          <w:rFonts w:ascii="CAIXA Std Book" w:hAnsi="CAIXA Std Book"/>
          <w:b/>
          <w:color w:val="005CA9"/>
          <w:sz w:val="20"/>
          <w:szCs w:val="20"/>
        </w:rPr>
        <w:t xml:space="preserve">missão de </w:t>
      </w:r>
      <w:r w:rsidR="00BB483D" w:rsidRPr="00FF4346">
        <w:rPr>
          <w:rFonts w:ascii="CAIXA Std Book" w:hAnsi="CAIXA Std Book"/>
          <w:b/>
          <w:color w:val="005CA9"/>
          <w:sz w:val="20"/>
          <w:szCs w:val="20"/>
        </w:rPr>
        <w:t>t</w:t>
      </w:r>
      <w:r w:rsidRPr="00FF4346">
        <w:rPr>
          <w:rFonts w:ascii="CAIXA Std Book" w:hAnsi="CAIXA Std Book"/>
          <w:b/>
          <w:color w:val="005CA9"/>
          <w:sz w:val="20"/>
          <w:szCs w:val="20"/>
        </w:rPr>
        <w:t>ítulos</w:t>
      </w:r>
    </w:p>
    <w:tbl>
      <w:tblPr>
        <w:tblW w:w="5000" w:type="pct"/>
        <w:tblLayout w:type="fixed"/>
        <w:tblCellMar>
          <w:left w:w="70" w:type="dxa"/>
          <w:right w:w="70" w:type="dxa"/>
        </w:tblCellMar>
        <w:tblLook w:val="04A0" w:firstRow="1" w:lastRow="0" w:firstColumn="1" w:lastColumn="0" w:noHBand="0" w:noVBand="1"/>
      </w:tblPr>
      <w:tblGrid>
        <w:gridCol w:w="1844"/>
        <w:gridCol w:w="954"/>
        <w:gridCol w:w="1172"/>
        <w:gridCol w:w="1139"/>
        <w:gridCol w:w="1128"/>
        <w:gridCol w:w="1137"/>
        <w:gridCol w:w="1135"/>
        <w:gridCol w:w="1128"/>
      </w:tblGrid>
      <w:tr w:rsidR="003B2B2A" w:rsidRPr="00A33766" w14:paraId="7C2A8102" w14:textId="77777777" w:rsidTr="004749D3">
        <w:trPr>
          <w:trHeight w:val="283"/>
        </w:trPr>
        <w:tc>
          <w:tcPr>
            <w:tcW w:w="5000" w:type="pct"/>
            <w:gridSpan w:val="8"/>
            <w:tcBorders>
              <w:top w:val="single" w:sz="4" w:space="0" w:color="F39200"/>
              <w:left w:val="nil"/>
              <w:bottom w:val="single" w:sz="4" w:space="0" w:color="F39200"/>
              <w:right w:val="nil"/>
            </w:tcBorders>
            <w:vAlign w:val="center"/>
          </w:tcPr>
          <w:p w14:paraId="5CBA8FC6" w14:textId="7777777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INDIVIDUAL / CONSOLIDADO</w:t>
            </w:r>
          </w:p>
        </w:tc>
      </w:tr>
      <w:tr w:rsidR="00D33E19" w:rsidRPr="00A33766" w14:paraId="54ED2E1B" w14:textId="77777777" w:rsidTr="004749D3">
        <w:trPr>
          <w:trHeight w:val="283"/>
        </w:trPr>
        <w:tc>
          <w:tcPr>
            <w:tcW w:w="957" w:type="pct"/>
            <w:vMerge w:val="restart"/>
            <w:tcBorders>
              <w:top w:val="single" w:sz="4" w:space="0" w:color="F39200"/>
              <w:left w:val="nil"/>
              <w:right w:val="nil"/>
            </w:tcBorders>
            <w:vAlign w:val="center"/>
          </w:tcPr>
          <w:p w14:paraId="05A42104"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Captações</w:t>
            </w:r>
          </w:p>
        </w:tc>
        <w:tc>
          <w:tcPr>
            <w:tcW w:w="495" w:type="pct"/>
            <w:vMerge w:val="restart"/>
            <w:tcBorders>
              <w:top w:val="single" w:sz="4" w:space="0" w:color="F39200"/>
              <w:left w:val="nil"/>
              <w:right w:val="nil"/>
            </w:tcBorders>
            <w:vAlign w:val="center"/>
          </w:tcPr>
          <w:p w14:paraId="2284F5C1" w14:textId="31B8A6BB"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Indexador</w:t>
            </w:r>
          </w:p>
        </w:tc>
        <w:tc>
          <w:tcPr>
            <w:tcW w:w="2374" w:type="pct"/>
            <w:gridSpan w:val="4"/>
            <w:tcBorders>
              <w:top w:val="single" w:sz="4" w:space="0" w:color="F39200"/>
              <w:left w:val="nil"/>
              <w:bottom w:val="single" w:sz="4" w:space="0" w:color="F39200"/>
              <w:right w:val="nil"/>
            </w:tcBorders>
            <w:vAlign w:val="center"/>
          </w:tcPr>
          <w:p w14:paraId="61D4B51E"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Vencimento</w:t>
            </w:r>
          </w:p>
        </w:tc>
        <w:tc>
          <w:tcPr>
            <w:tcW w:w="589" w:type="pct"/>
            <w:vMerge w:val="restart"/>
            <w:tcBorders>
              <w:top w:val="single" w:sz="4" w:space="0" w:color="F39200"/>
              <w:left w:val="nil"/>
              <w:right w:val="nil"/>
            </w:tcBorders>
            <w:vAlign w:val="center"/>
          </w:tcPr>
          <w:p w14:paraId="38352F18" w14:textId="31797117" w:rsidR="00D33E19" w:rsidRPr="00FF4346" w:rsidRDefault="00374129" w:rsidP="00117988">
            <w:pPr>
              <w:jc w:val="center"/>
              <w:rPr>
                <w:rFonts w:ascii="CAIXA Std Book" w:hAnsi="CAIXA Std Book"/>
                <w:b/>
                <w:color w:val="005CA9"/>
                <w:sz w:val="16"/>
                <w:szCs w:val="16"/>
              </w:rPr>
            </w:pPr>
            <w:r w:rsidRPr="00FF4346">
              <w:rPr>
                <w:rFonts w:ascii="CAIXA Std Book" w:hAnsi="CAIXA Std Book"/>
                <w:b/>
                <w:color w:val="005CA9"/>
                <w:sz w:val="16"/>
                <w:szCs w:val="16"/>
              </w:rPr>
              <w:t>31/</w:t>
            </w:r>
            <w:r w:rsidR="00DD07CD">
              <w:rPr>
                <w:rFonts w:ascii="CAIXA Std Book" w:hAnsi="CAIXA Std Book"/>
                <w:b/>
                <w:color w:val="005CA9"/>
                <w:sz w:val="16"/>
                <w:szCs w:val="16"/>
              </w:rPr>
              <w:t>03/2024</w:t>
            </w:r>
          </w:p>
        </w:tc>
        <w:tc>
          <w:tcPr>
            <w:tcW w:w="585" w:type="pct"/>
            <w:vMerge w:val="restart"/>
            <w:tcBorders>
              <w:top w:val="single" w:sz="4" w:space="0" w:color="F39200"/>
              <w:left w:val="nil"/>
              <w:right w:val="nil"/>
            </w:tcBorders>
            <w:vAlign w:val="center"/>
          </w:tcPr>
          <w:p w14:paraId="6B5C7479" w14:textId="70C47F4F" w:rsidR="00D33E19" w:rsidRPr="00FF4346" w:rsidRDefault="00DD07CD" w:rsidP="00117988">
            <w:pPr>
              <w:jc w:val="center"/>
              <w:rPr>
                <w:rFonts w:ascii="CAIXA Std Book" w:hAnsi="CAIXA Std Book"/>
                <w:b/>
                <w:color w:val="005CA9"/>
                <w:sz w:val="16"/>
                <w:szCs w:val="16"/>
              </w:rPr>
            </w:pPr>
            <w:r>
              <w:rPr>
                <w:rFonts w:ascii="CAIXA Std Book" w:hAnsi="CAIXA Std Book"/>
                <w:b/>
                <w:color w:val="005CA9"/>
                <w:sz w:val="16"/>
                <w:szCs w:val="16"/>
              </w:rPr>
              <w:t>31/12/2023</w:t>
            </w:r>
          </w:p>
        </w:tc>
      </w:tr>
      <w:tr w:rsidR="00D33E19" w:rsidRPr="00A33766" w14:paraId="033AFAB6" w14:textId="77777777" w:rsidTr="004749D3">
        <w:trPr>
          <w:trHeight w:val="283"/>
        </w:trPr>
        <w:tc>
          <w:tcPr>
            <w:tcW w:w="957" w:type="pct"/>
            <w:vMerge/>
            <w:tcBorders>
              <w:left w:val="nil"/>
              <w:bottom w:val="single" w:sz="4" w:space="0" w:color="F79646"/>
              <w:right w:val="nil"/>
            </w:tcBorders>
            <w:shd w:val="clear" w:color="auto" w:fill="auto"/>
            <w:noWrap/>
            <w:vAlign w:val="center"/>
            <w:hideMark/>
          </w:tcPr>
          <w:p w14:paraId="2A0EAE3B" w14:textId="77777777" w:rsidR="00D33E19" w:rsidRPr="00FF4346" w:rsidRDefault="00D33E19" w:rsidP="00117988">
            <w:pPr>
              <w:jc w:val="center"/>
              <w:rPr>
                <w:rFonts w:ascii="CAIXA Std Book" w:hAnsi="CAIXA Std Book"/>
                <w:b/>
                <w:color w:val="005CA9"/>
                <w:sz w:val="16"/>
                <w:szCs w:val="16"/>
              </w:rPr>
            </w:pPr>
          </w:p>
        </w:tc>
        <w:tc>
          <w:tcPr>
            <w:tcW w:w="495" w:type="pct"/>
            <w:vMerge/>
            <w:tcBorders>
              <w:left w:val="nil"/>
              <w:bottom w:val="single" w:sz="4" w:space="0" w:color="F79646"/>
              <w:right w:val="nil"/>
            </w:tcBorders>
            <w:vAlign w:val="center"/>
          </w:tcPr>
          <w:p w14:paraId="5746E518" w14:textId="77777777" w:rsidR="00D33E19" w:rsidRPr="00FF4346" w:rsidRDefault="00D33E19" w:rsidP="00117988">
            <w:pPr>
              <w:jc w:val="center"/>
              <w:rPr>
                <w:rFonts w:ascii="CAIXA Std Book" w:hAnsi="CAIXA Std Book"/>
                <w:b/>
                <w:color w:val="005CA9"/>
                <w:sz w:val="16"/>
                <w:szCs w:val="16"/>
              </w:rPr>
            </w:pPr>
          </w:p>
        </w:tc>
        <w:tc>
          <w:tcPr>
            <w:tcW w:w="608" w:type="pct"/>
            <w:tcBorders>
              <w:top w:val="nil"/>
              <w:left w:val="nil"/>
              <w:bottom w:val="single" w:sz="4" w:space="0" w:color="F79646"/>
              <w:right w:val="nil"/>
            </w:tcBorders>
            <w:vAlign w:val="center"/>
          </w:tcPr>
          <w:p w14:paraId="55CFA821"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01 a 90 dias</w:t>
            </w:r>
          </w:p>
        </w:tc>
        <w:tc>
          <w:tcPr>
            <w:tcW w:w="591" w:type="pct"/>
            <w:tcBorders>
              <w:top w:val="nil"/>
              <w:left w:val="nil"/>
              <w:bottom w:val="single" w:sz="4" w:space="0" w:color="F79646"/>
              <w:right w:val="nil"/>
            </w:tcBorders>
            <w:vAlign w:val="center"/>
          </w:tcPr>
          <w:p w14:paraId="1A71CEBC"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91 a 180 dias</w:t>
            </w:r>
          </w:p>
        </w:tc>
        <w:tc>
          <w:tcPr>
            <w:tcW w:w="585" w:type="pct"/>
            <w:tcBorders>
              <w:top w:val="nil"/>
              <w:left w:val="nil"/>
              <w:bottom w:val="single" w:sz="4" w:space="0" w:color="F79646"/>
              <w:right w:val="nil"/>
            </w:tcBorders>
            <w:shd w:val="clear" w:color="auto" w:fill="auto"/>
            <w:noWrap/>
            <w:vAlign w:val="center"/>
            <w:hideMark/>
          </w:tcPr>
          <w:p w14:paraId="1B14C67C"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181 a 360 dias</w:t>
            </w:r>
          </w:p>
        </w:tc>
        <w:tc>
          <w:tcPr>
            <w:tcW w:w="590" w:type="pct"/>
            <w:tcBorders>
              <w:top w:val="nil"/>
              <w:left w:val="nil"/>
              <w:bottom w:val="single" w:sz="4" w:space="0" w:color="F79646"/>
              <w:right w:val="nil"/>
            </w:tcBorders>
            <w:shd w:val="clear" w:color="auto" w:fill="auto"/>
            <w:noWrap/>
            <w:vAlign w:val="center"/>
            <w:hideMark/>
          </w:tcPr>
          <w:p w14:paraId="070F41C4" w14:textId="77777777" w:rsidR="00D33E19" w:rsidRPr="00FF4346" w:rsidRDefault="00D33E19" w:rsidP="00117988">
            <w:pPr>
              <w:jc w:val="center"/>
              <w:rPr>
                <w:rFonts w:ascii="CAIXA Std Book" w:hAnsi="CAIXA Std Book"/>
                <w:b/>
                <w:color w:val="005CA9"/>
                <w:sz w:val="16"/>
                <w:szCs w:val="16"/>
              </w:rPr>
            </w:pPr>
            <w:r w:rsidRPr="00FF4346">
              <w:rPr>
                <w:rFonts w:ascii="CAIXA Std Book" w:hAnsi="CAIXA Std Book"/>
                <w:b/>
                <w:color w:val="005CA9"/>
                <w:sz w:val="16"/>
                <w:szCs w:val="16"/>
              </w:rPr>
              <w:t>Acima de 360 dias</w:t>
            </w:r>
          </w:p>
        </w:tc>
        <w:tc>
          <w:tcPr>
            <w:tcW w:w="589" w:type="pct"/>
            <w:vMerge/>
            <w:tcBorders>
              <w:left w:val="nil"/>
              <w:bottom w:val="single" w:sz="4" w:space="0" w:color="F79646"/>
              <w:right w:val="nil"/>
            </w:tcBorders>
            <w:shd w:val="clear" w:color="auto" w:fill="auto"/>
            <w:vAlign w:val="center"/>
            <w:hideMark/>
          </w:tcPr>
          <w:p w14:paraId="6F5AB0F3" w14:textId="77777777" w:rsidR="00D33E19" w:rsidRPr="00FF4346" w:rsidRDefault="00D33E19" w:rsidP="00117988">
            <w:pPr>
              <w:jc w:val="center"/>
              <w:rPr>
                <w:rFonts w:ascii="CAIXA Std Book" w:hAnsi="CAIXA Std Book"/>
                <w:b/>
                <w:color w:val="005CA9"/>
                <w:sz w:val="16"/>
                <w:szCs w:val="16"/>
              </w:rPr>
            </w:pPr>
          </w:p>
        </w:tc>
        <w:tc>
          <w:tcPr>
            <w:tcW w:w="585" w:type="pct"/>
            <w:vMerge/>
            <w:tcBorders>
              <w:left w:val="nil"/>
              <w:bottom w:val="single" w:sz="4" w:space="0" w:color="F79646"/>
              <w:right w:val="nil"/>
            </w:tcBorders>
            <w:shd w:val="clear" w:color="auto" w:fill="auto"/>
            <w:vAlign w:val="center"/>
          </w:tcPr>
          <w:p w14:paraId="054355B0" w14:textId="77777777" w:rsidR="00D33E19" w:rsidRPr="00FF4346" w:rsidRDefault="00D33E19" w:rsidP="00117988">
            <w:pPr>
              <w:jc w:val="center"/>
              <w:rPr>
                <w:rFonts w:ascii="CAIXA Std Book" w:hAnsi="CAIXA Std Book"/>
                <w:b/>
                <w:color w:val="005CA9"/>
                <w:sz w:val="16"/>
                <w:szCs w:val="16"/>
              </w:rPr>
            </w:pPr>
          </w:p>
        </w:tc>
      </w:tr>
      <w:tr w:rsidR="00A04716" w:rsidRPr="00A33766" w14:paraId="4292920F" w14:textId="77777777" w:rsidTr="004749D3">
        <w:trPr>
          <w:trHeight w:val="283"/>
        </w:trPr>
        <w:tc>
          <w:tcPr>
            <w:tcW w:w="957" w:type="pct"/>
            <w:tcBorders>
              <w:top w:val="nil"/>
              <w:left w:val="nil"/>
              <w:bottom w:val="nil"/>
              <w:right w:val="nil"/>
            </w:tcBorders>
            <w:shd w:val="clear" w:color="auto" w:fill="auto"/>
            <w:vAlign w:val="center"/>
            <w:hideMark/>
          </w:tcPr>
          <w:p w14:paraId="75AF39B2" w14:textId="77777777" w:rsidR="00A04716" w:rsidRPr="00FF4346" w:rsidRDefault="00A04716" w:rsidP="00A04716">
            <w:pPr>
              <w:rPr>
                <w:rFonts w:ascii="CAIXA Std Book" w:hAnsi="CAIXA Std Book"/>
                <w:color w:val="005CA9"/>
                <w:sz w:val="16"/>
                <w:szCs w:val="16"/>
              </w:rPr>
            </w:pPr>
            <w:r w:rsidRPr="00FF4346">
              <w:rPr>
                <w:rFonts w:ascii="CAIXA Std Book" w:hAnsi="CAIXA Std Book"/>
                <w:color w:val="005CA9"/>
                <w:sz w:val="16"/>
                <w:szCs w:val="16"/>
              </w:rPr>
              <w:t>Letra de crédito imobiliário</w:t>
            </w:r>
          </w:p>
        </w:tc>
        <w:tc>
          <w:tcPr>
            <w:tcW w:w="495" w:type="pct"/>
            <w:tcBorders>
              <w:top w:val="nil"/>
              <w:left w:val="nil"/>
              <w:bottom w:val="nil"/>
              <w:right w:val="nil"/>
            </w:tcBorders>
            <w:vAlign w:val="center"/>
          </w:tcPr>
          <w:p w14:paraId="22B04D7D" w14:textId="76B461A0" w:rsidR="00A04716" w:rsidRPr="00FF4346" w:rsidRDefault="00A04716" w:rsidP="00A04716">
            <w:pPr>
              <w:jc w:val="center"/>
              <w:rPr>
                <w:rFonts w:ascii="CAIXA Std Book" w:hAnsi="CAIXA Std Book"/>
                <w:color w:val="005CA9"/>
                <w:sz w:val="16"/>
                <w:szCs w:val="16"/>
              </w:rPr>
            </w:pPr>
            <w:r w:rsidRPr="00FF4346">
              <w:rPr>
                <w:rFonts w:ascii="CAIXA Std Book" w:hAnsi="CAIXA Std Book"/>
                <w:color w:val="005CA9"/>
                <w:sz w:val="16"/>
                <w:szCs w:val="16"/>
              </w:rPr>
              <w:t>CDI</w:t>
            </w:r>
          </w:p>
        </w:tc>
        <w:tc>
          <w:tcPr>
            <w:tcW w:w="608" w:type="pct"/>
            <w:tcBorders>
              <w:top w:val="nil"/>
              <w:left w:val="nil"/>
              <w:bottom w:val="nil"/>
              <w:right w:val="nil"/>
            </w:tcBorders>
            <w:vAlign w:val="center"/>
          </w:tcPr>
          <w:p w14:paraId="60998C13" w14:textId="71C3EA49"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5.121.303</w:t>
            </w:r>
          </w:p>
        </w:tc>
        <w:tc>
          <w:tcPr>
            <w:tcW w:w="591" w:type="pct"/>
            <w:tcBorders>
              <w:top w:val="nil"/>
              <w:left w:val="nil"/>
              <w:bottom w:val="nil"/>
              <w:right w:val="nil"/>
            </w:tcBorders>
            <w:vAlign w:val="center"/>
          </w:tcPr>
          <w:p w14:paraId="7D9FA2AB" w14:textId="03FFE47D"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6.800.672</w:t>
            </w:r>
          </w:p>
        </w:tc>
        <w:tc>
          <w:tcPr>
            <w:tcW w:w="585" w:type="pct"/>
            <w:tcBorders>
              <w:top w:val="nil"/>
              <w:left w:val="nil"/>
              <w:bottom w:val="nil"/>
              <w:right w:val="nil"/>
            </w:tcBorders>
            <w:shd w:val="clear" w:color="auto" w:fill="auto"/>
            <w:vAlign w:val="center"/>
          </w:tcPr>
          <w:p w14:paraId="70307E4B" w14:textId="0AED4D87"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21.589.481</w:t>
            </w:r>
          </w:p>
        </w:tc>
        <w:tc>
          <w:tcPr>
            <w:tcW w:w="590" w:type="pct"/>
            <w:tcBorders>
              <w:top w:val="nil"/>
              <w:left w:val="nil"/>
              <w:bottom w:val="nil"/>
              <w:right w:val="nil"/>
            </w:tcBorders>
            <w:shd w:val="clear" w:color="auto" w:fill="auto"/>
            <w:noWrap/>
            <w:vAlign w:val="center"/>
          </w:tcPr>
          <w:p w14:paraId="0F69ECF9" w14:textId="4CC3FDC6"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124.695.092</w:t>
            </w:r>
          </w:p>
        </w:tc>
        <w:tc>
          <w:tcPr>
            <w:tcW w:w="589" w:type="pct"/>
            <w:tcBorders>
              <w:top w:val="nil"/>
              <w:left w:val="nil"/>
              <w:bottom w:val="nil"/>
              <w:right w:val="nil"/>
            </w:tcBorders>
            <w:shd w:val="clear" w:color="auto" w:fill="auto"/>
            <w:vAlign w:val="center"/>
          </w:tcPr>
          <w:p w14:paraId="6DB4CB52" w14:textId="15EB6495"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158.206.548</w:t>
            </w:r>
          </w:p>
        </w:tc>
        <w:tc>
          <w:tcPr>
            <w:tcW w:w="585" w:type="pct"/>
            <w:tcBorders>
              <w:top w:val="nil"/>
              <w:left w:val="nil"/>
              <w:bottom w:val="nil"/>
              <w:right w:val="nil"/>
            </w:tcBorders>
            <w:shd w:val="clear" w:color="auto" w:fill="auto"/>
            <w:vAlign w:val="center"/>
          </w:tcPr>
          <w:p w14:paraId="4BE8F1D7" w14:textId="2EB49592" w:rsidR="00A04716" w:rsidRPr="00FF4346" w:rsidRDefault="00A04716" w:rsidP="00A04716">
            <w:pPr>
              <w:jc w:val="right"/>
              <w:rPr>
                <w:rFonts w:ascii="CAIXA Std Book" w:hAnsi="CAIXA Std Book"/>
                <w:color w:val="005CA9"/>
                <w:sz w:val="16"/>
                <w:szCs w:val="16"/>
              </w:rPr>
            </w:pPr>
            <w:r w:rsidRPr="00616EE1">
              <w:rPr>
                <w:rFonts w:ascii="CAIXA Std Book" w:hAnsi="CAIXA Std Book" w:cs="Arial"/>
                <w:color w:val="005CA9"/>
                <w:sz w:val="16"/>
                <w:szCs w:val="16"/>
              </w:rPr>
              <w:t>146.535.425</w:t>
            </w:r>
          </w:p>
        </w:tc>
      </w:tr>
      <w:tr w:rsidR="00A04716" w:rsidRPr="00A33766" w14:paraId="7E105330" w14:textId="77777777" w:rsidTr="004749D3">
        <w:trPr>
          <w:trHeight w:val="283"/>
        </w:trPr>
        <w:tc>
          <w:tcPr>
            <w:tcW w:w="957" w:type="pct"/>
            <w:tcBorders>
              <w:top w:val="nil"/>
              <w:left w:val="nil"/>
              <w:bottom w:val="nil"/>
              <w:right w:val="nil"/>
            </w:tcBorders>
            <w:shd w:val="clear" w:color="auto" w:fill="auto"/>
            <w:vAlign w:val="center"/>
            <w:hideMark/>
          </w:tcPr>
          <w:p w14:paraId="0BFA11D5" w14:textId="77777777" w:rsidR="00A04716" w:rsidRPr="00FF4346" w:rsidRDefault="00A04716" w:rsidP="00A04716">
            <w:pPr>
              <w:rPr>
                <w:rFonts w:ascii="CAIXA Std Book" w:hAnsi="CAIXA Std Book"/>
                <w:color w:val="005CA9"/>
                <w:sz w:val="16"/>
                <w:szCs w:val="16"/>
              </w:rPr>
            </w:pPr>
            <w:r w:rsidRPr="00FF4346">
              <w:rPr>
                <w:rFonts w:ascii="CAIXA Std Book" w:hAnsi="CAIXA Std Book"/>
                <w:color w:val="005CA9"/>
                <w:sz w:val="16"/>
                <w:szCs w:val="16"/>
              </w:rPr>
              <w:t>Letra de crédito imobiliário</w:t>
            </w:r>
          </w:p>
        </w:tc>
        <w:tc>
          <w:tcPr>
            <w:tcW w:w="495" w:type="pct"/>
            <w:tcBorders>
              <w:top w:val="nil"/>
              <w:left w:val="nil"/>
              <w:bottom w:val="nil"/>
              <w:right w:val="nil"/>
            </w:tcBorders>
            <w:vAlign w:val="center"/>
          </w:tcPr>
          <w:p w14:paraId="51678373" w14:textId="4CDBF79C" w:rsidR="00A04716" w:rsidRPr="00FF4346" w:rsidRDefault="00A04716" w:rsidP="00A04716">
            <w:pPr>
              <w:jc w:val="center"/>
              <w:rPr>
                <w:rFonts w:ascii="CAIXA Std Book" w:hAnsi="CAIXA Std Book"/>
                <w:color w:val="005CA9"/>
                <w:sz w:val="16"/>
                <w:szCs w:val="16"/>
              </w:rPr>
            </w:pPr>
            <w:r w:rsidRPr="00FF4346">
              <w:rPr>
                <w:rFonts w:ascii="CAIXA Std Book" w:hAnsi="CAIXA Std Book"/>
                <w:color w:val="005CA9"/>
                <w:sz w:val="16"/>
                <w:szCs w:val="16"/>
              </w:rPr>
              <w:t>TR</w:t>
            </w:r>
          </w:p>
        </w:tc>
        <w:tc>
          <w:tcPr>
            <w:tcW w:w="608" w:type="pct"/>
            <w:tcBorders>
              <w:top w:val="nil"/>
              <w:left w:val="nil"/>
              <w:bottom w:val="nil"/>
              <w:right w:val="nil"/>
            </w:tcBorders>
            <w:vAlign w:val="center"/>
          </w:tcPr>
          <w:p w14:paraId="0B2ABCCE" w14:textId="337C0B5B" w:rsidR="00A04716" w:rsidRPr="00616EE1" w:rsidRDefault="00A04716"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91" w:type="pct"/>
            <w:tcBorders>
              <w:top w:val="nil"/>
              <w:left w:val="nil"/>
              <w:bottom w:val="nil"/>
              <w:right w:val="nil"/>
            </w:tcBorders>
            <w:vAlign w:val="center"/>
          </w:tcPr>
          <w:p w14:paraId="0199DF24" w14:textId="38CC70BC" w:rsidR="00A04716" w:rsidRPr="00616EE1" w:rsidRDefault="00A04716"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85" w:type="pct"/>
            <w:tcBorders>
              <w:top w:val="nil"/>
              <w:left w:val="nil"/>
              <w:bottom w:val="nil"/>
              <w:right w:val="nil"/>
            </w:tcBorders>
            <w:shd w:val="clear" w:color="auto" w:fill="auto"/>
            <w:vAlign w:val="center"/>
          </w:tcPr>
          <w:p w14:paraId="07121351" w14:textId="160DAB80" w:rsidR="00A04716" w:rsidRPr="00616EE1" w:rsidRDefault="00A04716"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90" w:type="pct"/>
            <w:tcBorders>
              <w:top w:val="nil"/>
              <w:left w:val="nil"/>
              <w:bottom w:val="nil"/>
              <w:right w:val="nil"/>
            </w:tcBorders>
            <w:shd w:val="clear" w:color="auto" w:fill="auto"/>
            <w:noWrap/>
            <w:vAlign w:val="center"/>
          </w:tcPr>
          <w:p w14:paraId="5B7BB67C" w14:textId="027E5ED5"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17.984</w:t>
            </w:r>
          </w:p>
        </w:tc>
        <w:tc>
          <w:tcPr>
            <w:tcW w:w="589" w:type="pct"/>
            <w:tcBorders>
              <w:top w:val="nil"/>
              <w:left w:val="nil"/>
              <w:bottom w:val="nil"/>
              <w:right w:val="nil"/>
            </w:tcBorders>
            <w:shd w:val="clear" w:color="auto" w:fill="auto"/>
            <w:vAlign w:val="center"/>
          </w:tcPr>
          <w:p w14:paraId="341490E5" w14:textId="4508B56B"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17.984</w:t>
            </w:r>
          </w:p>
        </w:tc>
        <w:tc>
          <w:tcPr>
            <w:tcW w:w="585" w:type="pct"/>
            <w:tcBorders>
              <w:top w:val="nil"/>
              <w:left w:val="nil"/>
              <w:bottom w:val="nil"/>
              <w:right w:val="nil"/>
            </w:tcBorders>
            <w:shd w:val="clear" w:color="auto" w:fill="auto"/>
            <w:vAlign w:val="center"/>
          </w:tcPr>
          <w:p w14:paraId="14077B42" w14:textId="60DACEFD" w:rsidR="00A04716" w:rsidRPr="00FF4346" w:rsidRDefault="00A04716" w:rsidP="00A04716">
            <w:pPr>
              <w:jc w:val="right"/>
              <w:rPr>
                <w:rFonts w:ascii="CAIXA Std Book" w:hAnsi="CAIXA Std Book"/>
                <w:color w:val="005CA9"/>
                <w:sz w:val="16"/>
                <w:szCs w:val="16"/>
              </w:rPr>
            </w:pPr>
            <w:r w:rsidRPr="00616EE1">
              <w:rPr>
                <w:rFonts w:ascii="CAIXA Std Book" w:hAnsi="CAIXA Std Book" w:cs="Arial"/>
                <w:color w:val="005CA9"/>
                <w:sz w:val="16"/>
                <w:szCs w:val="16"/>
              </w:rPr>
              <w:t>19.591</w:t>
            </w:r>
          </w:p>
        </w:tc>
      </w:tr>
      <w:tr w:rsidR="00A04716" w:rsidRPr="00A33766" w14:paraId="2C62C4F1" w14:textId="77777777" w:rsidTr="004749D3">
        <w:trPr>
          <w:trHeight w:val="283"/>
        </w:trPr>
        <w:tc>
          <w:tcPr>
            <w:tcW w:w="957" w:type="pct"/>
            <w:tcBorders>
              <w:top w:val="nil"/>
              <w:left w:val="nil"/>
              <w:bottom w:val="nil"/>
              <w:right w:val="nil"/>
            </w:tcBorders>
            <w:shd w:val="clear" w:color="auto" w:fill="auto"/>
            <w:vAlign w:val="center"/>
          </w:tcPr>
          <w:p w14:paraId="35DDC7EB" w14:textId="77777777" w:rsidR="00A04716" w:rsidRPr="00FF4346" w:rsidRDefault="00A04716" w:rsidP="00A04716">
            <w:pPr>
              <w:rPr>
                <w:rFonts w:ascii="CAIXA Std Book" w:hAnsi="CAIXA Std Book"/>
                <w:color w:val="005CA9"/>
                <w:sz w:val="16"/>
                <w:szCs w:val="16"/>
              </w:rPr>
            </w:pPr>
            <w:r w:rsidRPr="00FF4346">
              <w:rPr>
                <w:rFonts w:ascii="CAIXA Std Book" w:hAnsi="CAIXA Std Book"/>
                <w:color w:val="005CA9"/>
                <w:sz w:val="16"/>
                <w:szCs w:val="16"/>
              </w:rPr>
              <w:t xml:space="preserve">Letra financeira </w:t>
            </w:r>
          </w:p>
        </w:tc>
        <w:tc>
          <w:tcPr>
            <w:tcW w:w="495" w:type="pct"/>
            <w:tcBorders>
              <w:top w:val="nil"/>
              <w:left w:val="nil"/>
              <w:bottom w:val="nil"/>
              <w:right w:val="nil"/>
            </w:tcBorders>
            <w:vAlign w:val="center"/>
          </w:tcPr>
          <w:p w14:paraId="1B82734C" w14:textId="0A885C17" w:rsidR="00A04716" w:rsidRPr="00FF4346" w:rsidRDefault="00A04716" w:rsidP="00A04716">
            <w:pPr>
              <w:jc w:val="center"/>
              <w:rPr>
                <w:rFonts w:ascii="CAIXA Std Book" w:hAnsi="CAIXA Std Book"/>
                <w:color w:val="005CA9"/>
                <w:sz w:val="16"/>
                <w:szCs w:val="16"/>
              </w:rPr>
            </w:pPr>
            <w:r w:rsidRPr="00FF4346">
              <w:rPr>
                <w:rFonts w:ascii="CAIXA Std Book" w:hAnsi="CAIXA Std Book"/>
                <w:color w:val="005CA9"/>
                <w:sz w:val="16"/>
                <w:szCs w:val="16"/>
              </w:rPr>
              <w:t>IPCA</w:t>
            </w:r>
          </w:p>
        </w:tc>
        <w:tc>
          <w:tcPr>
            <w:tcW w:w="608" w:type="pct"/>
            <w:tcBorders>
              <w:top w:val="nil"/>
              <w:left w:val="nil"/>
              <w:bottom w:val="nil"/>
              <w:right w:val="nil"/>
            </w:tcBorders>
            <w:vAlign w:val="center"/>
          </w:tcPr>
          <w:p w14:paraId="768DDAA3" w14:textId="3CC00F8A" w:rsidR="00A04716" w:rsidRPr="00616EE1" w:rsidRDefault="00CF09C7"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91" w:type="pct"/>
            <w:tcBorders>
              <w:top w:val="nil"/>
              <w:left w:val="nil"/>
              <w:bottom w:val="nil"/>
              <w:right w:val="nil"/>
            </w:tcBorders>
            <w:vAlign w:val="center"/>
          </w:tcPr>
          <w:p w14:paraId="3B09899D" w14:textId="7A24B1DF" w:rsidR="00A04716" w:rsidRPr="00616EE1" w:rsidRDefault="00A04716"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10.515</w:t>
            </w:r>
          </w:p>
        </w:tc>
        <w:tc>
          <w:tcPr>
            <w:tcW w:w="585" w:type="pct"/>
            <w:tcBorders>
              <w:top w:val="nil"/>
              <w:left w:val="nil"/>
              <w:bottom w:val="nil"/>
              <w:right w:val="nil"/>
            </w:tcBorders>
            <w:shd w:val="clear" w:color="auto" w:fill="auto"/>
            <w:vAlign w:val="center"/>
          </w:tcPr>
          <w:p w14:paraId="77F1232C" w14:textId="6CC8AD59"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3.538</w:t>
            </w:r>
          </w:p>
        </w:tc>
        <w:tc>
          <w:tcPr>
            <w:tcW w:w="590" w:type="pct"/>
            <w:tcBorders>
              <w:top w:val="nil"/>
              <w:left w:val="nil"/>
              <w:bottom w:val="nil"/>
              <w:right w:val="nil"/>
            </w:tcBorders>
            <w:shd w:val="clear" w:color="auto" w:fill="auto"/>
            <w:noWrap/>
            <w:vAlign w:val="center"/>
          </w:tcPr>
          <w:p w14:paraId="78DF58B3" w14:textId="69AF1A8D"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1.825.901</w:t>
            </w:r>
          </w:p>
        </w:tc>
        <w:tc>
          <w:tcPr>
            <w:tcW w:w="589" w:type="pct"/>
            <w:tcBorders>
              <w:top w:val="nil"/>
              <w:left w:val="nil"/>
              <w:bottom w:val="nil"/>
              <w:right w:val="nil"/>
            </w:tcBorders>
            <w:shd w:val="clear" w:color="auto" w:fill="auto"/>
            <w:vAlign w:val="center"/>
          </w:tcPr>
          <w:p w14:paraId="2B5AC5D6" w14:textId="7D9A90B9"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1.839.954</w:t>
            </w:r>
          </w:p>
        </w:tc>
        <w:tc>
          <w:tcPr>
            <w:tcW w:w="585" w:type="pct"/>
            <w:tcBorders>
              <w:top w:val="nil"/>
              <w:left w:val="nil"/>
              <w:bottom w:val="nil"/>
              <w:right w:val="nil"/>
            </w:tcBorders>
            <w:shd w:val="clear" w:color="auto" w:fill="auto"/>
            <w:vAlign w:val="center"/>
          </w:tcPr>
          <w:p w14:paraId="5464717E" w14:textId="4543AEA7" w:rsidR="00A04716" w:rsidRPr="00FF4346" w:rsidRDefault="00A04716" w:rsidP="00A04716">
            <w:pPr>
              <w:jc w:val="right"/>
              <w:rPr>
                <w:rFonts w:ascii="CAIXA Std Book" w:hAnsi="CAIXA Std Book" w:cs="Arial Unicode MS"/>
                <w:color w:val="005CA9"/>
                <w:sz w:val="16"/>
                <w:szCs w:val="16"/>
              </w:rPr>
            </w:pPr>
            <w:r w:rsidRPr="00616EE1">
              <w:rPr>
                <w:rFonts w:ascii="CAIXA Std Book" w:hAnsi="CAIXA Std Book" w:cs="Arial"/>
                <w:color w:val="005CA9"/>
                <w:sz w:val="16"/>
                <w:szCs w:val="16"/>
              </w:rPr>
              <w:t>1.782.637</w:t>
            </w:r>
          </w:p>
        </w:tc>
      </w:tr>
      <w:tr w:rsidR="00A04716" w:rsidRPr="00A33766" w14:paraId="4468CDFC" w14:textId="77777777" w:rsidTr="004749D3">
        <w:trPr>
          <w:trHeight w:val="283"/>
        </w:trPr>
        <w:tc>
          <w:tcPr>
            <w:tcW w:w="957" w:type="pct"/>
            <w:tcBorders>
              <w:top w:val="nil"/>
              <w:left w:val="nil"/>
              <w:right w:val="nil"/>
            </w:tcBorders>
            <w:shd w:val="clear" w:color="auto" w:fill="auto"/>
            <w:vAlign w:val="center"/>
            <w:hideMark/>
          </w:tcPr>
          <w:p w14:paraId="642A270B" w14:textId="77777777" w:rsidR="00A04716" w:rsidRPr="00FF4346" w:rsidRDefault="00A04716" w:rsidP="00A04716">
            <w:pPr>
              <w:rPr>
                <w:rFonts w:ascii="CAIXA Std Book" w:hAnsi="CAIXA Std Book"/>
                <w:color w:val="005CA9"/>
                <w:sz w:val="16"/>
                <w:szCs w:val="16"/>
              </w:rPr>
            </w:pPr>
            <w:r w:rsidRPr="00FF4346">
              <w:rPr>
                <w:rFonts w:ascii="CAIXA Std Book" w:hAnsi="CAIXA Std Book"/>
                <w:color w:val="005CA9"/>
                <w:sz w:val="16"/>
                <w:szCs w:val="16"/>
              </w:rPr>
              <w:t>Letra financeira</w:t>
            </w:r>
          </w:p>
        </w:tc>
        <w:tc>
          <w:tcPr>
            <w:tcW w:w="495" w:type="pct"/>
            <w:tcBorders>
              <w:top w:val="nil"/>
              <w:left w:val="nil"/>
              <w:right w:val="nil"/>
            </w:tcBorders>
            <w:vAlign w:val="center"/>
          </w:tcPr>
          <w:p w14:paraId="74A174BA" w14:textId="416126F4" w:rsidR="00A04716" w:rsidRPr="00FF4346" w:rsidRDefault="00A04716" w:rsidP="00A04716">
            <w:pPr>
              <w:jc w:val="center"/>
              <w:rPr>
                <w:rFonts w:ascii="CAIXA Std Book" w:hAnsi="CAIXA Std Book"/>
                <w:color w:val="005CA9"/>
                <w:sz w:val="16"/>
                <w:szCs w:val="16"/>
              </w:rPr>
            </w:pPr>
            <w:r w:rsidRPr="00FF4346">
              <w:rPr>
                <w:rFonts w:ascii="CAIXA Std Book" w:hAnsi="CAIXA Std Book"/>
                <w:color w:val="005CA9"/>
                <w:sz w:val="16"/>
                <w:szCs w:val="16"/>
              </w:rPr>
              <w:t>CDI</w:t>
            </w:r>
          </w:p>
        </w:tc>
        <w:tc>
          <w:tcPr>
            <w:tcW w:w="608" w:type="pct"/>
            <w:tcBorders>
              <w:top w:val="nil"/>
              <w:left w:val="nil"/>
              <w:right w:val="nil"/>
            </w:tcBorders>
            <w:vAlign w:val="center"/>
          </w:tcPr>
          <w:p w14:paraId="710808CA" w14:textId="2F20F4E7" w:rsidR="00A04716" w:rsidRPr="00616EE1" w:rsidRDefault="00CF09C7"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91" w:type="pct"/>
            <w:tcBorders>
              <w:top w:val="nil"/>
              <w:left w:val="nil"/>
              <w:right w:val="nil"/>
            </w:tcBorders>
            <w:vAlign w:val="center"/>
          </w:tcPr>
          <w:p w14:paraId="5C462C16" w14:textId="1E601E9B" w:rsidR="00A04716" w:rsidRPr="00616EE1" w:rsidRDefault="00CF09C7"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85" w:type="pct"/>
            <w:tcBorders>
              <w:top w:val="nil"/>
              <w:left w:val="nil"/>
              <w:right w:val="nil"/>
            </w:tcBorders>
            <w:shd w:val="clear" w:color="auto" w:fill="auto"/>
            <w:vAlign w:val="center"/>
          </w:tcPr>
          <w:p w14:paraId="0B1627D4" w14:textId="2DAF12ED"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4.281.090</w:t>
            </w:r>
          </w:p>
        </w:tc>
        <w:tc>
          <w:tcPr>
            <w:tcW w:w="590" w:type="pct"/>
            <w:tcBorders>
              <w:top w:val="nil"/>
              <w:left w:val="nil"/>
              <w:right w:val="nil"/>
            </w:tcBorders>
            <w:shd w:val="clear" w:color="auto" w:fill="auto"/>
            <w:noWrap/>
            <w:vAlign w:val="center"/>
          </w:tcPr>
          <w:p w14:paraId="6C02AFB4" w14:textId="6882EE3B" w:rsidR="00A04716" w:rsidRPr="00616EE1" w:rsidRDefault="00CF09C7" w:rsidP="00A04716">
            <w:pPr>
              <w:jc w:val="center"/>
              <w:rPr>
                <w:rFonts w:ascii="CAIXA Std Book" w:hAnsi="CAIXA Std Book" w:cs="Arial"/>
                <w:color w:val="005CA9"/>
                <w:sz w:val="16"/>
                <w:szCs w:val="16"/>
              </w:rPr>
            </w:pPr>
            <w:r w:rsidRPr="00616EE1">
              <w:rPr>
                <w:rFonts w:ascii="CAIXA Std Book" w:hAnsi="CAIXA Std Book" w:cs="Arial"/>
                <w:color w:val="005CA9"/>
                <w:sz w:val="16"/>
                <w:szCs w:val="16"/>
              </w:rPr>
              <w:t>-</w:t>
            </w:r>
          </w:p>
        </w:tc>
        <w:tc>
          <w:tcPr>
            <w:tcW w:w="589" w:type="pct"/>
            <w:tcBorders>
              <w:top w:val="nil"/>
              <w:left w:val="nil"/>
              <w:right w:val="nil"/>
            </w:tcBorders>
            <w:shd w:val="clear" w:color="auto" w:fill="auto"/>
            <w:vAlign w:val="center"/>
          </w:tcPr>
          <w:p w14:paraId="3E1B755E" w14:textId="3075E28B"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4.281.090</w:t>
            </w:r>
          </w:p>
        </w:tc>
        <w:tc>
          <w:tcPr>
            <w:tcW w:w="585" w:type="pct"/>
            <w:tcBorders>
              <w:top w:val="nil"/>
              <w:left w:val="nil"/>
              <w:right w:val="nil"/>
            </w:tcBorders>
            <w:shd w:val="clear" w:color="auto" w:fill="auto"/>
            <w:vAlign w:val="center"/>
          </w:tcPr>
          <w:p w14:paraId="3E725D0F" w14:textId="50902857" w:rsidR="00A04716" w:rsidRPr="00FF4346" w:rsidRDefault="00A04716" w:rsidP="00A04716">
            <w:pPr>
              <w:jc w:val="right"/>
              <w:rPr>
                <w:rFonts w:ascii="CAIXA Std Book" w:hAnsi="CAIXA Std Book"/>
                <w:color w:val="005CA9"/>
                <w:sz w:val="16"/>
                <w:szCs w:val="16"/>
              </w:rPr>
            </w:pPr>
            <w:r w:rsidRPr="00616EE1">
              <w:rPr>
                <w:rFonts w:ascii="CAIXA Std Book" w:hAnsi="CAIXA Std Book" w:cs="Arial"/>
                <w:color w:val="005CA9"/>
                <w:sz w:val="16"/>
                <w:szCs w:val="16"/>
              </w:rPr>
              <w:t>4.165.683</w:t>
            </w:r>
          </w:p>
        </w:tc>
      </w:tr>
      <w:tr w:rsidR="00A04716" w:rsidRPr="00A33766" w14:paraId="3D092086" w14:textId="77777777" w:rsidTr="004749D3">
        <w:trPr>
          <w:trHeight w:val="283"/>
        </w:trPr>
        <w:tc>
          <w:tcPr>
            <w:tcW w:w="957" w:type="pct"/>
            <w:tcBorders>
              <w:top w:val="nil"/>
              <w:left w:val="nil"/>
              <w:bottom w:val="single" w:sz="4" w:space="0" w:color="F79646" w:themeColor="accent6"/>
              <w:right w:val="nil"/>
            </w:tcBorders>
            <w:shd w:val="clear" w:color="auto" w:fill="auto"/>
            <w:vAlign w:val="center"/>
          </w:tcPr>
          <w:p w14:paraId="03B3059B" w14:textId="77777777" w:rsidR="00A04716" w:rsidRPr="00FF4346" w:rsidRDefault="00A04716" w:rsidP="00A04716">
            <w:pPr>
              <w:rPr>
                <w:rFonts w:ascii="CAIXA Std Book" w:hAnsi="CAIXA Std Book"/>
                <w:color w:val="005CA9"/>
                <w:sz w:val="16"/>
                <w:szCs w:val="16"/>
              </w:rPr>
            </w:pPr>
            <w:r w:rsidRPr="00FF4346">
              <w:rPr>
                <w:rFonts w:ascii="CAIXA Std Book" w:hAnsi="CAIXA Std Book"/>
                <w:color w:val="005CA9"/>
                <w:sz w:val="16"/>
                <w:szCs w:val="16"/>
              </w:rPr>
              <w:t>Letra de crédito do agronegócio</w:t>
            </w:r>
          </w:p>
        </w:tc>
        <w:tc>
          <w:tcPr>
            <w:tcW w:w="495" w:type="pct"/>
            <w:tcBorders>
              <w:top w:val="nil"/>
              <w:left w:val="nil"/>
              <w:bottom w:val="single" w:sz="4" w:space="0" w:color="F79646" w:themeColor="accent6"/>
              <w:right w:val="nil"/>
            </w:tcBorders>
            <w:vAlign w:val="center"/>
          </w:tcPr>
          <w:p w14:paraId="1A389019" w14:textId="41B6FC7F" w:rsidR="00A04716" w:rsidRPr="00FF4346" w:rsidRDefault="00A04716" w:rsidP="00A04716">
            <w:pPr>
              <w:jc w:val="center"/>
              <w:rPr>
                <w:rFonts w:ascii="CAIXA Std Book" w:hAnsi="CAIXA Std Book"/>
                <w:color w:val="005CA9"/>
                <w:sz w:val="16"/>
                <w:szCs w:val="16"/>
              </w:rPr>
            </w:pPr>
            <w:r w:rsidRPr="00FF4346">
              <w:rPr>
                <w:rFonts w:ascii="CAIXA Std Book" w:hAnsi="CAIXA Std Book"/>
                <w:color w:val="005CA9"/>
                <w:sz w:val="16"/>
                <w:szCs w:val="16"/>
              </w:rPr>
              <w:t>CDI</w:t>
            </w:r>
          </w:p>
        </w:tc>
        <w:tc>
          <w:tcPr>
            <w:tcW w:w="608" w:type="pct"/>
            <w:tcBorders>
              <w:top w:val="nil"/>
              <w:left w:val="nil"/>
              <w:bottom w:val="single" w:sz="4" w:space="0" w:color="F79646" w:themeColor="accent6"/>
              <w:right w:val="nil"/>
            </w:tcBorders>
            <w:vAlign w:val="center"/>
          </w:tcPr>
          <w:p w14:paraId="06FCD61E" w14:textId="3580BD2C"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311.663</w:t>
            </w:r>
          </w:p>
        </w:tc>
        <w:tc>
          <w:tcPr>
            <w:tcW w:w="591" w:type="pct"/>
            <w:tcBorders>
              <w:top w:val="nil"/>
              <w:left w:val="nil"/>
              <w:bottom w:val="single" w:sz="4" w:space="0" w:color="F79646" w:themeColor="accent6"/>
              <w:right w:val="nil"/>
            </w:tcBorders>
            <w:vAlign w:val="center"/>
          </w:tcPr>
          <w:p w14:paraId="2CAEF7DE" w14:textId="26E6102F"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657.671</w:t>
            </w:r>
          </w:p>
        </w:tc>
        <w:tc>
          <w:tcPr>
            <w:tcW w:w="585" w:type="pct"/>
            <w:tcBorders>
              <w:top w:val="nil"/>
              <w:left w:val="nil"/>
              <w:bottom w:val="single" w:sz="4" w:space="0" w:color="F79646" w:themeColor="accent6"/>
              <w:right w:val="nil"/>
            </w:tcBorders>
            <w:shd w:val="clear" w:color="auto" w:fill="auto"/>
            <w:vAlign w:val="center"/>
          </w:tcPr>
          <w:p w14:paraId="4F67D79D" w14:textId="6307B4B0"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715.266</w:t>
            </w:r>
          </w:p>
        </w:tc>
        <w:tc>
          <w:tcPr>
            <w:tcW w:w="590" w:type="pct"/>
            <w:tcBorders>
              <w:top w:val="nil"/>
              <w:left w:val="nil"/>
              <w:bottom w:val="single" w:sz="4" w:space="0" w:color="F79646" w:themeColor="accent6"/>
              <w:right w:val="nil"/>
            </w:tcBorders>
            <w:shd w:val="clear" w:color="auto" w:fill="auto"/>
            <w:noWrap/>
            <w:vAlign w:val="center"/>
          </w:tcPr>
          <w:p w14:paraId="5DC78550" w14:textId="39ABA711"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13.110.269</w:t>
            </w:r>
          </w:p>
        </w:tc>
        <w:tc>
          <w:tcPr>
            <w:tcW w:w="589" w:type="pct"/>
            <w:tcBorders>
              <w:top w:val="nil"/>
              <w:left w:val="nil"/>
              <w:bottom w:val="single" w:sz="4" w:space="0" w:color="F79646" w:themeColor="accent6"/>
              <w:right w:val="nil"/>
            </w:tcBorders>
            <w:shd w:val="clear" w:color="auto" w:fill="auto"/>
            <w:vAlign w:val="center"/>
          </w:tcPr>
          <w:p w14:paraId="4A5241C0" w14:textId="09351CEF" w:rsidR="00A04716" w:rsidRPr="00616EE1" w:rsidRDefault="00A04716" w:rsidP="00A04716">
            <w:pPr>
              <w:jc w:val="right"/>
              <w:rPr>
                <w:rFonts w:ascii="CAIXA Std Book" w:hAnsi="CAIXA Std Book" w:cs="Arial"/>
                <w:color w:val="005CA9"/>
                <w:sz w:val="16"/>
                <w:szCs w:val="16"/>
              </w:rPr>
            </w:pPr>
            <w:r w:rsidRPr="00616EE1">
              <w:rPr>
                <w:rFonts w:ascii="CAIXA Std Book" w:hAnsi="CAIXA Std Book" w:cs="Arial"/>
                <w:color w:val="005CA9"/>
                <w:sz w:val="16"/>
                <w:szCs w:val="16"/>
              </w:rPr>
              <w:t>14.794.869</w:t>
            </w:r>
          </w:p>
        </w:tc>
        <w:tc>
          <w:tcPr>
            <w:tcW w:w="585" w:type="pct"/>
            <w:tcBorders>
              <w:top w:val="nil"/>
              <w:left w:val="nil"/>
              <w:bottom w:val="single" w:sz="4" w:space="0" w:color="F79646" w:themeColor="accent6"/>
              <w:right w:val="nil"/>
            </w:tcBorders>
            <w:shd w:val="clear" w:color="auto" w:fill="auto"/>
            <w:vAlign w:val="center"/>
          </w:tcPr>
          <w:p w14:paraId="50B14DF9" w14:textId="45686C1E" w:rsidR="00A04716" w:rsidRPr="00FF4346" w:rsidRDefault="00A04716" w:rsidP="00A04716">
            <w:pPr>
              <w:jc w:val="right"/>
              <w:rPr>
                <w:rFonts w:ascii="CAIXA Std Book" w:hAnsi="CAIXA Std Book"/>
                <w:color w:val="005CA9"/>
                <w:sz w:val="16"/>
                <w:szCs w:val="16"/>
              </w:rPr>
            </w:pPr>
            <w:r w:rsidRPr="00616EE1">
              <w:rPr>
                <w:rFonts w:ascii="CAIXA Std Book" w:hAnsi="CAIXA Std Book" w:cs="Arial"/>
                <w:color w:val="005CA9"/>
                <w:sz w:val="16"/>
                <w:szCs w:val="16"/>
              </w:rPr>
              <w:t>12.874.659</w:t>
            </w:r>
          </w:p>
        </w:tc>
      </w:tr>
      <w:tr w:rsidR="00A04716" w:rsidRPr="00A33766" w14:paraId="14404DB8" w14:textId="77777777" w:rsidTr="004749D3">
        <w:trPr>
          <w:trHeight w:val="283"/>
        </w:trPr>
        <w:tc>
          <w:tcPr>
            <w:tcW w:w="957" w:type="pct"/>
            <w:tcBorders>
              <w:top w:val="single" w:sz="4" w:space="0" w:color="F39200"/>
              <w:left w:val="nil"/>
              <w:bottom w:val="single" w:sz="4" w:space="0" w:color="F39200"/>
              <w:right w:val="nil"/>
            </w:tcBorders>
            <w:shd w:val="clear" w:color="auto" w:fill="auto"/>
            <w:noWrap/>
            <w:vAlign w:val="center"/>
            <w:hideMark/>
          </w:tcPr>
          <w:p w14:paraId="742C261A" w14:textId="77777777" w:rsidR="00A04716" w:rsidRPr="00FF4346" w:rsidRDefault="00A04716" w:rsidP="00A04716">
            <w:pPr>
              <w:rPr>
                <w:rFonts w:ascii="CAIXA Std Book" w:hAnsi="CAIXA Std Book"/>
                <w:b/>
                <w:color w:val="005CA9"/>
                <w:sz w:val="16"/>
                <w:szCs w:val="16"/>
              </w:rPr>
            </w:pPr>
            <w:r w:rsidRPr="00FF4346">
              <w:rPr>
                <w:rFonts w:ascii="CAIXA Std Book" w:hAnsi="CAIXA Std Book"/>
                <w:b/>
                <w:color w:val="005CA9"/>
                <w:sz w:val="16"/>
                <w:szCs w:val="16"/>
              </w:rPr>
              <w:t>Total</w:t>
            </w:r>
          </w:p>
        </w:tc>
        <w:tc>
          <w:tcPr>
            <w:tcW w:w="495" w:type="pct"/>
            <w:tcBorders>
              <w:top w:val="single" w:sz="4" w:space="0" w:color="F39200"/>
              <w:left w:val="nil"/>
              <w:bottom w:val="single" w:sz="4" w:space="0" w:color="F39200"/>
              <w:right w:val="nil"/>
            </w:tcBorders>
            <w:vAlign w:val="center"/>
          </w:tcPr>
          <w:p w14:paraId="180D9AF0" w14:textId="77777777" w:rsidR="00A04716" w:rsidRPr="00FF4346" w:rsidRDefault="00A04716" w:rsidP="00A04716">
            <w:pPr>
              <w:jc w:val="right"/>
              <w:rPr>
                <w:rFonts w:ascii="CAIXA Std Book" w:hAnsi="CAIXA Std Book"/>
                <w:b/>
                <w:color w:val="005CA9"/>
                <w:sz w:val="16"/>
                <w:szCs w:val="16"/>
              </w:rPr>
            </w:pPr>
          </w:p>
        </w:tc>
        <w:tc>
          <w:tcPr>
            <w:tcW w:w="608" w:type="pct"/>
            <w:tcBorders>
              <w:top w:val="single" w:sz="4" w:space="0" w:color="F39200"/>
              <w:left w:val="nil"/>
              <w:bottom w:val="single" w:sz="4" w:space="0" w:color="F39200"/>
              <w:right w:val="nil"/>
            </w:tcBorders>
            <w:vAlign w:val="center"/>
          </w:tcPr>
          <w:p w14:paraId="5CFDA8BA" w14:textId="55A3A390" w:rsidR="00A04716" w:rsidRPr="00616EE1" w:rsidRDefault="00A04716" w:rsidP="00A04716">
            <w:pPr>
              <w:jc w:val="right"/>
              <w:rPr>
                <w:rFonts w:ascii="CAIXA Std Book" w:hAnsi="CAIXA Std Book" w:cs="Arial"/>
                <w:b/>
                <w:color w:val="005CA9"/>
                <w:sz w:val="16"/>
                <w:szCs w:val="16"/>
              </w:rPr>
            </w:pPr>
            <w:r w:rsidRPr="00616EE1">
              <w:rPr>
                <w:rFonts w:ascii="CAIXA Std Book" w:hAnsi="CAIXA Std Book" w:cs="Arial"/>
                <w:b/>
                <w:color w:val="005CA9"/>
                <w:sz w:val="16"/>
                <w:szCs w:val="16"/>
              </w:rPr>
              <w:t>5.432.966</w:t>
            </w:r>
          </w:p>
        </w:tc>
        <w:tc>
          <w:tcPr>
            <w:tcW w:w="591" w:type="pct"/>
            <w:tcBorders>
              <w:top w:val="single" w:sz="4" w:space="0" w:color="F39200"/>
              <w:left w:val="nil"/>
              <w:bottom w:val="single" w:sz="4" w:space="0" w:color="F39200"/>
              <w:right w:val="nil"/>
            </w:tcBorders>
            <w:vAlign w:val="center"/>
          </w:tcPr>
          <w:p w14:paraId="0A3EC29D" w14:textId="01C6A1A2" w:rsidR="00A04716" w:rsidRPr="00616EE1" w:rsidRDefault="00A04716" w:rsidP="00A04716">
            <w:pPr>
              <w:jc w:val="right"/>
              <w:rPr>
                <w:rFonts w:ascii="CAIXA Std Book" w:hAnsi="CAIXA Std Book" w:cs="Arial"/>
                <w:b/>
                <w:color w:val="005CA9"/>
                <w:sz w:val="16"/>
                <w:szCs w:val="16"/>
              </w:rPr>
            </w:pPr>
            <w:r w:rsidRPr="00616EE1">
              <w:rPr>
                <w:rFonts w:ascii="CAIXA Std Book" w:hAnsi="CAIXA Std Book" w:cs="Arial"/>
                <w:b/>
                <w:color w:val="005CA9"/>
                <w:sz w:val="16"/>
                <w:szCs w:val="16"/>
              </w:rPr>
              <w:t>7.468.858</w:t>
            </w:r>
          </w:p>
        </w:tc>
        <w:tc>
          <w:tcPr>
            <w:tcW w:w="585" w:type="pct"/>
            <w:tcBorders>
              <w:top w:val="single" w:sz="4" w:space="0" w:color="F39200"/>
              <w:left w:val="nil"/>
              <w:bottom w:val="single" w:sz="4" w:space="0" w:color="F39200"/>
              <w:right w:val="nil"/>
            </w:tcBorders>
            <w:shd w:val="clear" w:color="auto" w:fill="auto"/>
            <w:noWrap/>
            <w:vAlign w:val="center"/>
          </w:tcPr>
          <w:p w14:paraId="24BCA8C0" w14:textId="3C3380EB" w:rsidR="00A04716" w:rsidRPr="00616EE1" w:rsidRDefault="00A04716" w:rsidP="00A04716">
            <w:pPr>
              <w:jc w:val="right"/>
              <w:rPr>
                <w:rFonts w:ascii="CAIXA Std Book" w:hAnsi="CAIXA Std Book" w:cs="Arial"/>
                <w:b/>
                <w:color w:val="005CA9"/>
                <w:sz w:val="16"/>
                <w:szCs w:val="16"/>
              </w:rPr>
            </w:pPr>
            <w:r w:rsidRPr="00616EE1">
              <w:rPr>
                <w:rFonts w:ascii="CAIXA Std Book" w:hAnsi="CAIXA Std Book" w:cs="Arial"/>
                <w:b/>
                <w:color w:val="005CA9"/>
                <w:sz w:val="16"/>
                <w:szCs w:val="16"/>
              </w:rPr>
              <w:t>26.589.375</w:t>
            </w:r>
          </w:p>
        </w:tc>
        <w:tc>
          <w:tcPr>
            <w:tcW w:w="590" w:type="pct"/>
            <w:tcBorders>
              <w:top w:val="single" w:sz="4" w:space="0" w:color="F39200"/>
              <w:left w:val="nil"/>
              <w:bottom w:val="single" w:sz="4" w:space="0" w:color="F39200"/>
              <w:right w:val="nil"/>
            </w:tcBorders>
            <w:shd w:val="clear" w:color="auto" w:fill="auto"/>
            <w:noWrap/>
            <w:vAlign w:val="center"/>
          </w:tcPr>
          <w:p w14:paraId="74A28B90" w14:textId="1EE592A3" w:rsidR="00A04716" w:rsidRPr="00616EE1" w:rsidRDefault="00A04716" w:rsidP="00A04716">
            <w:pPr>
              <w:jc w:val="right"/>
              <w:rPr>
                <w:rFonts w:ascii="CAIXA Std Book" w:hAnsi="CAIXA Std Book" w:cs="Arial"/>
                <w:b/>
                <w:color w:val="005CA9"/>
                <w:sz w:val="16"/>
                <w:szCs w:val="16"/>
              </w:rPr>
            </w:pPr>
            <w:r w:rsidRPr="00616EE1">
              <w:rPr>
                <w:rFonts w:ascii="CAIXA Std Book" w:hAnsi="CAIXA Std Book" w:cs="Arial"/>
                <w:b/>
                <w:color w:val="005CA9"/>
                <w:sz w:val="16"/>
                <w:szCs w:val="16"/>
              </w:rPr>
              <w:t>139.649.246</w:t>
            </w:r>
          </w:p>
        </w:tc>
        <w:tc>
          <w:tcPr>
            <w:tcW w:w="589" w:type="pct"/>
            <w:tcBorders>
              <w:top w:val="nil"/>
              <w:left w:val="nil"/>
              <w:bottom w:val="single" w:sz="4" w:space="0" w:color="F39200"/>
              <w:right w:val="nil"/>
            </w:tcBorders>
            <w:shd w:val="clear" w:color="auto" w:fill="auto"/>
            <w:vAlign w:val="center"/>
          </w:tcPr>
          <w:p w14:paraId="1AD10DE6" w14:textId="68374AD5" w:rsidR="00A04716" w:rsidRPr="00616EE1" w:rsidRDefault="00A04716" w:rsidP="00A04716">
            <w:pPr>
              <w:jc w:val="right"/>
              <w:rPr>
                <w:rFonts w:ascii="CAIXA Std Book" w:hAnsi="CAIXA Std Book" w:cs="Arial"/>
                <w:b/>
                <w:color w:val="005CA9"/>
                <w:sz w:val="16"/>
                <w:szCs w:val="16"/>
              </w:rPr>
            </w:pPr>
            <w:r w:rsidRPr="00616EE1">
              <w:rPr>
                <w:rFonts w:ascii="CAIXA Std Book" w:hAnsi="CAIXA Std Book" w:cs="Arial"/>
                <w:b/>
                <w:color w:val="005CA9"/>
                <w:sz w:val="16"/>
                <w:szCs w:val="16"/>
              </w:rPr>
              <w:t>179.140.445</w:t>
            </w:r>
          </w:p>
        </w:tc>
        <w:tc>
          <w:tcPr>
            <w:tcW w:w="585" w:type="pct"/>
            <w:tcBorders>
              <w:top w:val="nil"/>
              <w:left w:val="nil"/>
              <w:bottom w:val="single" w:sz="4" w:space="0" w:color="F39200"/>
              <w:right w:val="nil"/>
            </w:tcBorders>
            <w:shd w:val="clear" w:color="auto" w:fill="auto"/>
            <w:vAlign w:val="center"/>
          </w:tcPr>
          <w:p w14:paraId="610EEA53" w14:textId="5208A4EC" w:rsidR="00A04716" w:rsidRPr="00FF4346" w:rsidRDefault="00A04716" w:rsidP="00A04716">
            <w:pPr>
              <w:jc w:val="right"/>
              <w:rPr>
                <w:rFonts w:ascii="CAIXA Std Book" w:hAnsi="CAIXA Std Book" w:cs="Arial Unicode MS"/>
                <w:b/>
                <w:color w:val="005CA9"/>
                <w:sz w:val="16"/>
                <w:szCs w:val="16"/>
              </w:rPr>
            </w:pPr>
            <w:r w:rsidRPr="00FF4346">
              <w:rPr>
                <w:rFonts w:ascii="CAIXA Std Book" w:hAnsi="CAIXA Std Book" w:cs="Arial"/>
                <w:b/>
                <w:bCs/>
                <w:color w:val="005CA9"/>
                <w:sz w:val="16"/>
                <w:szCs w:val="16"/>
              </w:rPr>
              <w:t>165.377.995</w:t>
            </w:r>
          </w:p>
        </w:tc>
      </w:tr>
    </w:tbl>
    <w:p w14:paraId="454040CA" w14:textId="3954B4E0" w:rsidR="00681A81" w:rsidRPr="00FF4346" w:rsidRDefault="00681A81" w:rsidP="00B37B40">
      <w:pPr>
        <w:pStyle w:val="PargrafodaLista"/>
        <w:numPr>
          <w:ilvl w:val="0"/>
          <w:numId w:val="8"/>
        </w:numPr>
        <w:spacing w:before="48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 xml:space="preserve">Instrumentos Financeiros Subordinados </w:t>
      </w:r>
    </w:p>
    <w:tbl>
      <w:tblPr>
        <w:tblW w:w="5000" w:type="pct"/>
        <w:tblCellMar>
          <w:left w:w="70" w:type="dxa"/>
          <w:right w:w="70" w:type="dxa"/>
        </w:tblCellMar>
        <w:tblLook w:val="04A0" w:firstRow="1" w:lastRow="0" w:firstColumn="1" w:lastColumn="0" w:noHBand="0" w:noVBand="1"/>
      </w:tblPr>
      <w:tblGrid>
        <w:gridCol w:w="1023"/>
        <w:gridCol w:w="1714"/>
        <w:gridCol w:w="843"/>
        <w:gridCol w:w="1012"/>
        <w:gridCol w:w="1027"/>
        <w:gridCol w:w="1091"/>
        <w:gridCol w:w="802"/>
        <w:gridCol w:w="1061"/>
        <w:gridCol w:w="1064"/>
      </w:tblGrid>
      <w:tr w:rsidR="003B2B2A" w:rsidRPr="00A33766" w14:paraId="6E98FB8D" w14:textId="77777777" w:rsidTr="00DC3D01">
        <w:trPr>
          <w:trHeight w:val="283"/>
        </w:trPr>
        <w:tc>
          <w:tcPr>
            <w:tcW w:w="5000" w:type="pct"/>
            <w:gridSpan w:val="9"/>
            <w:tcBorders>
              <w:top w:val="single" w:sz="4" w:space="0" w:color="F39200"/>
              <w:left w:val="nil"/>
              <w:bottom w:val="single" w:sz="4" w:space="0" w:color="F39200"/>
              <w:right w:val="nil"/>
            </w:tcBorders>
            <w:vAlign w:val="center"/>
          </w:tcPr>
          <w:p w14:paraId="4D025C3A" w14:textId="7777777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INDIVIDUAL / CONSOLIDADO</w:t>
            </w:r>
          </w:p>
        </w:tc>
      </w:tr>
      <w:tr w:rsidR="003B2B2A" w:rsidRPr="00A33766" w14:paraId="6083557E" w14:textId="77777777" w:rsidTr="00BD0713">
        <w:trPr>
          <w:trHeight w:val="283"/>
        </w:trPr>
        <w:tc>
          <w:tcPr>
            <w:tcW w:w="531" w:type="pct"/>
            <w:tcBorders>
              <w:top w:val="nil"/>
              <w:left w:val="nil"/>
              <w:bottom w:val="single" w:sz="4" w:space="0" w:color="F39200"/>
              <w:right w:val="nil"/>
            </w:tcBorders>
            <w:shd w:val="clear" w:color="auto" w:fill="auto"/>
            <w:vAlign w:val="center"/>
            <w:hideMark/>
          </w:tcPr>
          <w:p w14:paraId="7DF7524B" w14:textId="636014D8"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Vencim</w:t>
            </w:r>
            <w:r w:rsidR="00AF3008" w:rsidRPr="00FF4346">
              <w:rPr>
                <w:rFonts w:ascii="CAIXA Std Book" w:hAnsi="CAIXA Std Book"/>
                <w:b/>
                <w:color w:val="005CA9"/>
                <w:sz w:val="16"/>
                <w:szCs w:val="16"/>
              </w:rPr>
              <w:t>ento</w:t>
            </w:r>
          </w:p>
        </w:tc>
        <w:tc>
          <w:tcPr>
            <w:tcW w:w="890" w:type="pct"/>
            <w:tcBorders>
              <w:top w:val="nil"/>
              <w:left w:val="nil"/>
              <w:bottom w:val="single" w:sz="4" w:space="0" w:color="F39200"/>
              <w:right w:val="nil"/>
            </w:tcBorders>
            <w:shd w:val="clear" w:color="auto" w:fill="auto"/>
            <w:vAlign w:val="center"/>
            <w:hideMark/>
          </w:tcPr>
          <w:p w14:paraId="6EC4428A" w14:textId="77777777" w:rsidR="00AF3008"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Rem</w:t>
            </w:r>
            <w:r w:rsidR="00AF3008" w:rsidRPr="00FF4346">
              <w:rPr>
                <w:rFonts w:ascii="CAIXA Std Book" w:hAnsi="CAIXA Std Book"/>
                <w:b/>
                <w:color w:val="005CA9"/>
                <w:sz w:val="16"/>
                <w:szCs w:val="16"/>
              </w:rPr>
              <w:t>uneração</w:t>
            </w:r>
          </w:p>
          <w:p w14:paraId="141D140A" w14:textId="7A399560"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 xml:space="preserve"> a.a. (%)</w:t>
            </w:r>
          </w:p>
        </w:tc>
        <w:tc>
          <w:tcPr>
            <w:tcW w:w="437" w:type="pct"/>
            <w:tcBorders>
              <w:top w:val="nil"/>
              <w:left w:val="nil"/>
              <w:bottom w:val="single" w:sz="4" w:space="0" w:color="F39200"/>
              <w:right w:val="nil"/>
            </w:tcBorders>
            <w:shd w:val="clear" w:color="auto" w:fill="auto"/>
            <w:vAlign w:val="center"/>
            <w:hideMark/>
          </w:tcPr>
          <w:p w14:paraId="3A9682CC" w14:textId="204DD43C"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 xml:space="preserve">Data </w:t>
            </w:r>
            <w:r w:rsidR="00AF3008" w:rsidRPr="00FF4346">
              <w:rPr>
                <w:rFonts w:ascii="CAIXA Std Book" w:hAnsi="CAIXA Std Book"/>
                <w:b/>
                <w:color w:val="005CA9"/>
                <w:sz w:val="16"/>
                <w:szCs w:val="16"/>
              </w:rPr>
              <w:t xml:space="preserve">da </w:t>
            </w:r>
            <w:r w:rsidRPr="00FF4346">
              <w:rPr>
                <w:rFonts w:ascii="CAIXA Std Book" w:hAnsi="CAIXA Std Book"/>
                <w:b/>
                <w:color w:val="005CA9"/>
                <w:sz w:val="16"/>
                <w:szCs w:val="16"/>
              </w:rPr>
              <w:t>captação</w:t>
            </w:r>
          </w:p>
        </w:tc>
        <w:tc>
          <w:tcPr>
            <w:tcW w:w="525" w:type="pct"/>
            <w:tcBorders>
              <w:top w:val="nil"/>
              <w:left w:val="nil"/>
              <w:bottom w:val="single" w:sz="4" w:space="0" w:color="F39200"/>
              <w:right w:val="nil"/>
            </w:tcBorders>
            <w:shd w:val="clear" w:color="auto" w:fill="auto"/>
            <w:vAlign w:val="center"/>
            <w:hideMark/>
          </w:tcPr>
          <w:p w14:paraId="3B24AAAB" w14:textId="7777777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Valor emitido</w:t>
            </w:r>
          </w:p>
        </w:tc>
        <w:tc>
          <w:tcPr>
            <w:tcW w:w="533" w:type="pct"/>
            <w:tcBorders>
              <w:top w:val="nil"/>
              <w:left w:val="nil"/>
              <w:bottom w:val="single" w:sz="4" w:space="0" w:color="F39200"/>
              <w:right w:val="nil"/>
            </w:tcBorders>
            <w:shd w:val="clear" w:color="auto" w:fill="auto"/>
            <w:vAlign w:val="center"/>
            <w:hideMark/>
          </w:tcPr>
          <w:p w14:paraId="08B444CE" w14:textId="7777777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Atualização monetária e juros</w:t>
            </w:r>
          </w:p>
        </w:tc>
        <w:tc>
          <w:tcPr>
            <w:tcW w:w="566" w:type="pct"/>
            <w:tcBorders>
              <w:top w:val="nil"/>
              <w:left w:val="nil"/>
              <w:bottom w:val="single" w:sz="4" w:space="0" w:color="F39200"/>
              <w:right w:val="nil"/>
            </w:tcBorders>
            <w:shd w:val="clear" w:color="auto" w:fill="auto"/>
            <w:vAlign w:val="center"/>
            <w:hideMark/>
          </w:tcPr>
          <w:p w14:paraId="06C04EC8" w14:textId="7777777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Amortização</w:t>
            </w:r>
          </w:p>
        </w:tc>
        <w:tc>
          <w:tcPr>
            <w:tcW w:w="416" w:type="pct"/>
            <w:tcBorders>
              <w:top w:val="nil"/>
              <w:left w:val="nil"/>
              <w:bottom w:val="single" w:sz="4" w:space="0" w:color="F39200"/>
              <w:right w:val="nil"/>
            </w:tcBorders>
          </w:tcPr>
          <w:p w14:paraId="49798F55" w14:textId="7B16430B" w:rsidR="00681A81" w:rsidRPr="00FF4346" w:rsidRDefault="00681A81" w:rsidP="00117988">
            <w:pPr>
              <w:jc w:val="center"/>
              <w:rPr>
                <w:rFonts w:ascii="CAIXA Std Book" w:hAnsi="CAIXA Std Book" w:cs="Arial Unicode MS"/>
                <w:b/>
                <w:color w:val="005CA9"/>
                <w:sz w:val="16"/>
                <w:szCs w:val="16"/>
              </w:rPr>
            </w:pPr>
            <w:r w:rsidRPr="00FF4346">
              <w:rPr>
                <w:rFonts w:ascii="CAIXA Std Book" w:hAnsi="CAIXA Std Book" w:cs="Arial Unicode MS"/>
                <w:b/>
                <w:color w:val="005CA9"/>
                <w:sz w:val="16"/>
                <w:szCs w:val="16"/>
              </w:rPr>
              <w:t>Impacto Hedge Contábil Risco de Mercado</w:t>
            </w:r>
          </w:p>
        </w:tc>
        <w:tc>
          <w:tcPr>
            <w:tcW w:w="550" w:type="pct"/>
            <w:tcBorders>
              <w:top w:val="nil"/>
              <w:left w:val="nil"/>
              <w:bottom w:val="single" w:sz="4" w:space="0" w:color="F39200"/>
              <w:right w:val="nil"/>
            </w:tcBorders>
            <w:shd w:val="clear" w:color="auto" w:fill="auto"/>
            <w:vAlign w:val="center"/>
            <w:hideMark/>
          </w:tcPr>
          <w:p w14:paraId="2A14B795" w14:textId="77777777" w:rsidR="00240DDC"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 xml:space="preserve">Saldo </w:t>
            </w:r>
          </w:p>
          <w:p w14:paraId="577C8213" w14:textId="7FD47731"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 xml:space="preserve">devedor </w:t>
            </w:r>
            <w:r w:rsidR="00286335" w:rsidRPr="00FF4346">
              <w:rPr>
                <w:rFonts w:ascii="CAIXA Std Book" w:hAnsi="CAIXA Std Book"/>
                <w:b/>
                <w:color w:val="005CA9"/>
                <w:sz w:val="16"/>
                <w:szCs w:val="16"/>
              </w:rPr>
              <w:t>31/</w:t>
            </w:r>
            <w:r w:rsidR="00D7142C">
              <w:rPr>
                <w:rFonts w:ascii="CAIXA Std Book" w:hAnsi="CAIXA Std Book"/>
                <w:b/>
                <w:color w:val="005CA9"/>
                <w:sz w:val="16"/>
                <w:szCs w:val="16"/>
              </w:rPr>
              <w:t>03/2024</w:t>
            </w:r>
          </w:p>
        </w:tc>
        <w:tc>
          <w:tcPr>
            <w:tcW w:w="551" w:type="pct"/>
            <w:tcBorders>
              <w:top w:val="nil"/>
              <w:left w:val="nil"/>
              <w:bottom w:val="single" w:sz="4" w:space="0" w:color="F39200"/>
              <w:right w:val="nil"/>
            </w:tcBorders>
            <w:shd w:val="clear" w:color="auto" w:fill="auto"/>
            <w:vAlign w:val="center"/>
            <w:hideMark/>
          </w:tcPr>
          <w:p w14:paraId="5E96F6B5" w14:textId="7827CACD"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Saldo devedor 31/12/20</w:t>
            </w:r>
            <w:r w:rsidR="00476DC0" w:rsidRPr="00FF4346">
              <w:rPr>
                <w:rFonts w:ascii="CAIXA Std Book" w:hAnsi="CAIXA Std Book"/>
                <w:b/>
                <w:color w:val="005CA9"/>
                <w:sz w:val="16"/>
                <w:szCs w:val="16"/>
              </w:rPr>
              <w:t>2</w:t>
            </w:r>
            <w:r w:rsidR="00D7142C">
              <w:rPr>
                <w:rFonts w:ascii="CAIXA Std Book" w:hAnsi="CAIXA Std Book"/>
                <w:b/>
                <w:color w:val="005CA9"/>
                <w:sz w:val="16"/>
                <w:szCs w:val="16"/>
              </w:rPr>
              <w:t>3</w:t>
            </w:r>
          </w:p>
        </w:tc>
      </w:tr>
      <w:tr w:rsidR="003B2B2A" w:rsidRPr="00A33766" w14:paraId="5753F647" w14:textId="77777777" w:rsidTr="00DC3D01">
        <w:trPr>
          <w:trHeight w:val="283"/>
        </w:trPr>
        <w:tc>
          <w:tcPr>
            <w:tcW w:w="5000" w:type="pct"/>
            <w:gridSpan w:val="9"/>
            <w:tcBorders>
              <w:top w:val="nil"/>
              <w:left w:val="nil"/>
              <w:bottom w:val="single" w:sz="4" w:space="0" w:color="F39200"/>
              <w:right w:val="nil"/>
            </w:tcBorders>
            <w:shd w:val="clear" w:color="auto" w:fill="auto"/>
            <w:vAlign w:val="center"/>
          </w:tcPr>
          <w:p w14:paraId="2973B783" w14:textId="0F674597" w:rsidR="00681A81" w:rsidRPr="00FF4346" w:rsidRDefault="00681A81" w:rsidP="00117988">
            <w:pPr>
              <w:jc w:val="center"/>
              <w:rPr>
                <w:rFonts w:ascii="CAIXA Std Book" w:hAnsi="CAIXA Std Book"/>
                <w:b/>
                <w:color w:val="005CA9"/>
                <w:sz w:val="16"/>
                <w:szCs w:val="16"/>
              </w:rPr>
            </w:pPr>
            <w:r w:rsidRPr="00FF4346">
              <w:rPr>
                <w:rFonts w:ascii="CAIXA Std Book" w:hAnsi="CAIXA Std Book"/>
                <w:b/>
                <w:color w:val="005CA9"/>
                <w:sz w:val="16"/>
                <w:szCs w:val="16"/>
              </w:rPr>
              <w:t xml:space="preserve">Nível I </w:t>
            </w:r>
            <w:r w:rsidR="007E1F99" w:rsidRPr="00FF4346">
              <w:rPr>
                <w:rFonts w:ascii="CAIXA Std Book" w:hAnsi="CAIXA Std Book"/>
                <w:b/>
                <w:color w:val="005CA9"/>
                <w:sz w:val="16"/>
                <w:szCs w:val="16"/>
              </w:rPr>
              <w:t>–</w:t>
            </w:r>
            <w:r w:rsidRPr="00FF4346">
              <w:rPr>
                <w:rFonts w:ascii="CAIXA Std Book" w:hAnsi="CAIXA Std Book"/>
                <w:b/>
                <w:color w:val="005CA9"/>
                <w:sz w:val="16"/>
                <w:szCs w:val="16"/>
              </w:rPr>
              <w:t xml:space="preserve"> Complementar</w:t>
            </w:r>
            <w:r w:rsidR="007E1F99" w:rsidRPr="00FF4346">
              <w:rPr>
                <w:rFonts w:ascii="CAIXA Std Book" w:hAnsi="CAIXA Std Book"/>
                <w:b/>
                <w:color w:val="005CA9"/>
                <w:sz w:val="16"/>
                <w:szCs w:val="16"/>
              </w:rPr>
              <w:t xml:space="preserve"> (1)</w:t>
            </w:r>
          </w:p>
        </w:tc>
      </w:tr>
      <w:tr w:rsidR="003B2B2A" w:rsidRPr="00A33766" w14:paraId="09356B77" w14:textId="77777777" w:rsidTr="00DC3D01">
        <w:trPr>
          <w:trHeight w:val="283"/>
        </w:trPr>
        <w:tc>
          <w:tcPr>
            <w:tcW w:w="5000" w:type="pct"/>
            <w:gridSpan w:val="9"/>
            <w:tcBorders>
              <w:top w:val="nil"/>
              <w:left w:val="nil"/>
              <w:bottom w:val="single" w:sz="4" w:space="0" w:color="F39200"/>
              <w:right w:val="nil"/>
            </w:tcBorders>
            <w:shd w:val="clear" w:color="auto" w:fill="auto"/>
            <w:vAlign w:val="center"/>
          </w:tcPr>
          <w:p w14:paraId="4B1BEBE4" w14:textId="77777777" w:rsidR="00681A81" w:rsidRPr="00FF4346" w:rsidRDefault="00681A81" w:rsidP="00117988">
            <w:pPr>
              <w:jc w:val="center"/>
              <w:rPr>
                <w:rFonts w:ascii="CAIXA Std Book" w:hAnsi="CAIXA Std Book"/>
                <w:color w:val="005CA9"/>
                <w:sz w:val="16"/>
                <w:szCs w:val="16"/>
              </w:rPr>
            </w:pPr>
            <w:r w:rsidRPr="00FF4346">
              <w:rPr>
                <w:rFonts w:ascii="CAIXA Std Book" w:hAnsi="CAIXA Std Book"/>
                <w:color w:val="005CA9"/>
                <w:sz w:val="16"/>
                <w:szCs w:val="16"/>
              </w:rPr>
              <w:t>Letras financeiras elegíveis</w:t>
            </w:r>
          </w:p>
        </w:tc>
      </w:tr>
      <w:tr w:rsidR="000E29B0" w:rsidRPr="00A33766" w14:paraId="7C6A1A52" w14:textId="77777777" w:rsidTr="00BD0713">
        <w:trPr>
          <w:trHeight w:val="283"/>
        </w:trPr>
        <w:tc>
          <w:tcPr>
            <w:tcW w:w="531" w:type="pct"/>
            <w:tcBorders>
              <w:top w:val="single" w:sz="4" w:space="0" w:color="F39200"/>
              <w:left w:val="nil"/>
              <w:right w:val="nil"/>
            </w:tcBorders>
            <w:shd w:val="clear" w:color="auto" w:fill="auto"/>
            <w:vAlign w:val="center"/>
          </w:tcPr>
          <w:p w14:paraId="38CEA9DA"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Perpétuo</w:t>
            </w:r>
          </w:p>
        </w:tc>
        <w:tc>
          <w:tcPr>
            <w:tcW w:w="890" w:type="pct"/>
            <w:tcBorders>
              <w:top w:val="single" w:sz="4" w:space="0" w:color="F39200"/>
              <w:left w:val="nil"/>
              <w:right w:val="nil"/>
            </w:tcBorders>
            <w:shd w:val="clear" w:color="auto" w:fill="auto"/>
            <w:vAlign w:val="center"/>
          </w:tcPr>
          <w:p w14:paraId="6B56D726" w14:textId="77777777" w:rsidR="000E29B0" w:rsidRPr="003D76AF" w:rsidRDefault="000E29B0" w:rsidP="000E29B0">
            <w:pPr>
              <w:ind w:hanging="34"/>
              <w:jc w:val="center"/>
              <w:rPr>
                <w:rFonts w:ascii="CAIXA Std Book" w:hAnsi="CAIXA Std Book"/>
                <w:b/>
                <w:color w:val="005CA9"/>
                <w:sz w:val="16"/>
                <w:szCs w:val="16"/>
              </w:rPr>
            </w:pPr>
            <w:r w:rsidRPr="00FF4346">
              <w:rPr>
                <w:rFonts w:ascii="CAIXA Std Book" w:hAnsi="CAIXA Std Book" w:cs="Arial Unicode MS"/>
                <w:color w:val="005CA9"/>
                <w:sz w:val="16"/>
                <w:szCs w:val="16"/>
              </w:rPr>
              <w:t>114 % Selic</w:t>
            </w:r>
          </w:p>
        </w:tc>
        <w:tc>
          <w:tcPr>
            <w:tcW w:w="437" w:type="pct"/>
            <w:tcBorders>
              <w:top w:val="single" w:sz="4" w:space="0" w:color="F39200"/>
              <w:left w:val="nil"/>
              <w:right w:val="nil"/>
            </w:tcBorders>
            <w:shd w:val="clear" w:color="auto" w:fill="auto"/>
            <w:vAlign w:val="center"/>
          </w:tcPr>
          <w:p w14:paraId="7D88CD87"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set/19</w:t>
            </w:r>
          </w:p>
        </w:tc>
        <w:tc>
          <w:tcPr>
            <w:tcW w:w="525" w:type="pct"/>
            <w:tcBorders>
              <w:top w:val="single" w:sz="4" w:space="0" w:color="F39200"/>
              <w:left w:val="nil"/>
              <w:right w:val="nil"/>
            </w:tcBorders>
            <w:shd w:val="clear" w:color="auto" w:fill="auto"/>
            <w:vAlign w:val="center"/>
          </w:tcPr>
          <w:p w14:paraId="0441B6A6" w14:textId="03948435"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1.113.000</w:t>
            </w:r>
          </w:p>
        </w:tc>
        <w:tc>
          <w:tcPr>
            <w:tcW w:w="533" w:type="pct"/>
            <w:tcBorders>
              <w:top w:val="single" w:sz="4" w:space="0" w:color="F39200"/>
              <w:left w:val="nil"/>
              <w:right w:val="nil"/>
            </w:tcBorders>
            <w:shd w:val="clear" w:color="auto" w:fill="auto"/>
            <w:vAlign w:val="center"/>
          </w:tcPr>
          <w:p w14:paraId="6808A27E" w14:textId="0C0CD53A" w:rsidR="000E29B0" w:rsidRPr="00FF4346" w:rsidRDefault="00CE2651" w:rsidP="000E29B0">
            <w:pPr>
              <w:jc w:val="right"/>
              <w:rPr>
                <w:rFonts w:ascii="CAIXA Std Book" w:hAnsi="CAIXA Std Book"/>
                <w:color w:val="005CA9"/>
                <w:sz w:val="16"/>
                <w:szCs w:val="16"/>
              </w:rPr>
            </w:pPr>
            <w:r>
              <w:rPr>
                <w:rFonts w:ascii="CAIXA Std Book" w:hAnsi="CAIXA Std Book"/>
                <w:color w:val="005CA9"/>
                <w:sz w:val="16"/>
                <w:szCs w:val="16"/>
              </w:rPr>
              <w:t>47.731</w:t>
            </w:r>
          </w:p>
        </w:tc>
        <w:tc>
          <w:tcPr>
            <w:tcW w:w="566" w:type="pct"/>
            <w:tcBorders>
              <w:top w:val="single" w:sz="4" w:space="0" w:color="F39200"/>
              <w:left w:val="nil"/>
              <w:right w:val="nil"/>
            </w:tcBorders>
            <w:shd w:val="clear" w:color="auto" w:fill="auto"/>
            <w:vAlign w:val="center"/>
          </w:tcPr>
          <w:p w14:paraId="2E4EB1B6" w14:textId="1B13AFD6"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416" w:type="pct"/>
            <w:tcBorders>
              <w:top w:val="single" w:sz="4" w:space="0" w:color="F39200"/>
              <w:left w:val="nil"/>
              <w:right w:val="nil"/>
            </w:tcBorders>
            <w:vAlign w:val="center"/>
          </w:tcPr>
          <w:p w14:paraId="1C046936" w14:textId="589DD2BF"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550" w:type="pct"/>
            <w:tcBorders>
              <w:top w:val="single" w:sz="4" w:space="0" w:color="F39200"/>
              <w:left w:val="nil"/>
              <w:right w:val="nil"/>
            </w:tcBorders>
            <w:shd w:val="clear" w:color="auto" w:fill="auto"/>
            <w:vAlign w:val="center"/>
          </w:tcPr>
          <w:p w14:paraId="70450B24" w14:textId="032C4D26" w:rsidR="000E29B0" w:rsidRPr="00FF4346" w:rsidRDefault="00E727D6" w:rsidP="000E29B0">
            <w:pPr>
              <w:jc w:val="right"/>
              <w:rPr>
                <w:rFonts w:ascii="CAIXA Std Book" w:hAnsi="CAIXA Std Book"/>
                <w:color w:val="005CA9"/>
                <w:sz w:val="16"/>
                <w:szCs w:val="16"/>
              </w:rPr>
            </w:pPr>
            <w:r>
              <w:rPr>
                <w:rFonts w:ascii="CAIXA Std Book" w:hAnsi="CAIXA Std Book"/>
                <w:color w:val="005CA9"/>
                <w:sz w:val="16"/>
                <w:szCs w:val="16"/>
              </w:rPr>
              <w:t>1.160.731</w:t>
            </w:r>
          </w:p>
        </w:tc>
        <w:tc>
          <w:tcPr>
            <w:tcW w:w="551" w:type="pct"/>
            <w:tcBorders>
              <w:top w:val="single" w:sz="4" w:space="0" w:color="F39200"/>
              <w:left w:val="nil"/>
              <w:right w:val="nil"/>
            </w:tcBorders>
            <w:shd w:val="clear" w:color="auto" w:fill="auto"/>
            <w:vAlign w:val="center"/>
          </w:tcPr>
          <w:p w14:paraId="23C94BB5" w14:textId="043DE9FB"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1.126.950</w:t>
            </w:r>
          </w:p>
        </w:tc>
      </w:tr>
      <w:tr w:rsidR="000E29B0" w:rsidRPr="00A33766" w14:paraId="2A6AF214" w14:textId="77777777" w:rsidTr="00BD0713">
        <w:trPr>
          <w:trHeight w:val="283"/>
        </w:trPr>
        <w:tc>
          <w:tcPr>
            <w:tcW w:w="531" w:type="pct"/>
            <w:tcBorders>
              <w:top w:val="nil"/>
              <w:left w:val="nil"/>
              <w:right w:val="nil"/>
            </w:tcBorders>
            <w:shd w:val="clear" w:color="auto" w:fill="auto"/>
            <w:vAlign w:val="center"/>
          </w:tcPr>
          <w:p w14:paraId="0D80A524"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Perpétuo</w:t>
            </w:r>
          </w:p>
        </w:tc>
        <w:tc>
          <w:tcPr>
            <w:tcW w:w="890" w:type="pct"/>
            <w:tcBorders>
              <w:top w:val="nil"/>
              <w:left w:val="nil"/>
              <w:right w:val="nil"/>
            </w:tcBorders>
            <w:shd w:val="clear" w:color="auto" w:fill="auto"/>
            <w:vAlign w:val="center"/>
          </w:tcPr>
          <w:p w14:paraId="1B4C188B"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114 % Selic</w:t>
            </w:r>
          </w:p>
        </w:tc>
        <w:tc>
          <w:tcPr>
            <w:tcW w:w="437" w:type="pct"/>
            <w:tcBorders>
              <w:top w:val="nil"/>
              <w:left w:val="nil"/>
              <w:right w:val="nil"/>
            </w:tcBorders>
            <w:shd w:val="clear" w:color="auto" w:fill="auto"/>
            <w:vAlign w:val="center"/>
          </w:tcPr>
          <w:p w14:paraId="51564464" w14:textId="6B606BF5"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out/19</w:t>
            </w:r>
          </w:p>
        </w:tc>
        <w:tc>
          <w:tcPr>
            <w:tcW w:w="525" w:type="pct"/>
            <w:tcBorders>
              <w:top w:val="nil"/>
              <w:left w:val="nil"/>
              <w:right w:val="nil"/>
            </w:tcBorders>
            <w:shd w:val="clear" w:color="auto" w:fill="auto"/>
            <w:vAlign w:val="center"/>
          </w:tcPr>
          <w:p w14:paraId="758A9D7F" w14:textId="6D12C37D"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4.200</w:t>
            </w:r>
          </w:p>
        </w:tc>
        <w:tc>
          <w:tcPr>
            <w:tcW w:w="533" w:type="pct"/>
            <w:tcBorders>
              <w:top w:val="nil"/>
              <w:left w:val="nil"/>
              <w:right w:val="nil"/>
            </w:tcBorders>
            <w:shd w:val="clear" w:color="auto" w:fill="auto"/>
            <w:vAlign w:val="center"/>
          </w:tcPr>
          <w:p w14:paraId="61C903ED" w14:textId="2F1DBC89" w:rsidR="000E29B0" w:rsidRPr="00FF4346" w:rsidRDefault="00227948" w:rsidP="000E29B0">
            <w:pPr>
              <w:jc w:val="right"/>
              <w:rPr>
                <w:rFonts w:ascii="CAIXA Std Book" w:hAnsi="CAIXA Std Book"/>
                <w:color w:val="005CA9"/>
                <w:sz w:val="16"/>
                <w:szCs w:val="16"/>
              </w:rPr>
            </w:pPr>
            <w:r>
              <w:rPr>
                <w:rFonts w:ascii="CAIXA Std Book" w:hAnsi="CAIXA Std Book"/>
                <w:color w:val="005CA9"/>
                <w:sz w:val="16"/>
                <w:szCs w:val="16"/>
              </w:rPr>
              <w:t>170</w:t>
            </w:r>
          </w:p>
        </w:tc>
        <w:tc>
          <w:tcPr>
            <w:tcW w:w="566" w:type="pct"/>
            <w:tcBorders>
              <w:top w:val="nil"/>
              <w:left w:val="nil"/>
              <w:right w:val="nil"/>
            </w:tcBorders>
            <w:shd w:val="clear" w:color="auto" w:fill="auto"/>
            <w:vAlign w:val="center"/>
          </w:tcPr>
          <w:p w14:paraId="77A87F6C" w14:textId="5D4D542C"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416" w:type="pct"/>
            <w:tcBorders>
              <w:top w:val="nil"/>
              <w:left w:val="nil"/>
              <w:right w:val="nil"/>
            </w:tcBorders>
            <w:vAlign w:val="center"/>
          </w:tcPr>
          <w:p w14:paraId="162D5AC2" w14:textId="7AA2F4FF"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550" w:type="pct"/>
            <w:tcBorders>
              <w:top w:val="nil"/>
              <w:left w:val="nil"/>
              <w:right w:val="nil"/>
            </w:tcBorders>
            <w:shd w:val="clear" w:color="auto" w:fill="auto"/>
            <w:vAlign w:val="center"/>
          </w:tcPr>
          <w:p w14:paraId="64FF7627" w14:textId="0625A2A7" w:rsidR="000E29B0" w:rsidRPr="00FF4346" w:rsidRDefault="00E56BDE" w:rsidP="000E29B0">
            <w:pPr>
              <w:jc w:val="right"/>
              <w:rPr>
                <w:rFonts w:ascii="CAIXA Std Book" w:hAnsi="CAIXA Std Book"/>
                <w:color w:val="005CA9"/>
                <w:sz w:val="16"/>
                <w:szCs w:val="16"/>
              </w:rPr>
            </w:pPr>
            <w:r>
              <w:rPr>
                <w:rFonts w:ascii="CAIXA Std Book" w:hAnsi="CAIXA Std Book"/>
                <w:color w:val="005CA9"/>
                <w:sz w:val="16"/>
                <w:szCs w:val="16"/>
              </w:rPr>
              <w:t>4.370</w:t>
            </w:r>
          </w:p>
        </w:tc>
        <w:tc>
          <w:tcPr>
            <w:tcW w:w="551" w:type="pct"/>
            <w:tcBorders>
              <w:top w:val="nil"/>
              <w:left w:val="nil"/>
              <w:right w:val="nil"/>
            </w:tcBorders>
            <w:shd w:val="clear" w:color="auto" w:fill="auto"/>
            <w:vAlign w:val="center"/>
          </w:tcPr>
          <w:p w14:paraId="3764A06B" w14:textId="569D52AB"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4.243</w:t>
            </w:r>
          </w:p>
        </w:tc>
      </w:tr>
      <w:tr w:rsidR="000E29B0" w:rsidRPr="00A33766" w14:paraId="7F35B436" w14:textId="77777777" w:rsidTr="00BD0713">
        <w:trPr>
          <w:trHeight w:val="283"/>
        </w:trPr>
        <w:tc>
          <w:tcPr>
            <w:tcW w:w="531" w:type="pct"/>
            <w:tcBorders>
              <w:top w:val="nil"/>
              <w:left w:val="nil"/>
              <w:bottom w:val="single" w:sz="4" w:space="0" w:color="F39200"/>
              <w:right w:val="nil"/>
            </w:tcBorders>
            <w:shd w:val="clear" w:color="auto" w:fill="auto"/>
            <w:vAlign w:val="center"/>
          </w:tcPr>
          <w:p w14:paraId="63D5AE7F"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Perpétuo</w:t>
            </w:r>
          </w:p>
        </w:tc>
        <w:tc>
          <w:tcPr>
            <w:tcW w:w="890" w:type="pct"/>
            <w:tcBorders>
              <w:top w:val="nil"/>
              <w:left w:val="nil"/>
              <w:bottom w:val="single" w:sz="4" w:space="0" w:color="F39200"/>
              <w:right w:val="nil"/>
            </w:tcBorders>
            <w:shd w:val="clear" w:color="auto" w:fill="auto"/>
            <w:vAlign w:val="center"/>
          </w:tcPr>
          <w:p w14:paraId="1794380C" w14:textId="77777777" w:rsidR="000E29B0" w:rsidRPr="003D76AF" w:rsidRDefault="000E29B0" w:rsidP="000E29B0">
            <w:pPr>
              <w:jc w:val="center"/>
              <w:rPr>
                <w:rFonts w:ascii="CAIXA Std Book" w:hAnsi="CAIXA Std Book"/>
                <w:b/>
                <w:color w:val="005CA9"/>
                <w:sz w:val="16"/>
                <w:szCs w:val="16"/>
              </w:rPr>
            </w:pPr>
            <w:r w:rsidRPr="00FF4346">
              <w:rPr>
                <w:rFonts w:ascii="CAIXA Std Book" w:hAnsi="CAIXA Std Book" w:cs="Arial Unicode MS"/>
                <w:color w:val="005CA9"/>
                <w:sz w:val="16"/>
                <w:szCs w:val="16"/>
              </w:rPr>
              <w:t>114 % Selic</w:t>
            </w:r>
          </w:p>
        </w:tc>
        <w:tc>
          <w:tcPr>
            <w:tcW w:w="437" w:type="pct"/>
            <w:tcBorders>
              <w:top w:val="nil"/>
              <w:left w:val="nil"/>
              <w:bottom w:val="single" w:sz="4" w:space="0" w:color="F39200"/>
              <w:right w:val="nil"/>
            </w:tcBorders>
            <w:shd w:val="clear" w:color="auto" w:fill="auto"/>
            <w:vAlign w:val="center"/>
          </w:tcPr>
          <w:p w14:paraId="2C36EC24" w14:textId="2464BB37" w:rsidR="000E29B0" w:rsidRPr="003D76AF" w:rsidRDefault="000E29B0" w:rsidP="000E29B0">
            <w:pPr>
              <w:jc w:val="center"/>
              <w:rPr>
                <w:rFonts w:ascii="CAIXA Std Book" w:hAnsi="CAIXA Std Book"/>
                <w:b/>
                <w:color w:val="005CA9"/>
                <w:sz w:val="16"/>
                <w:szCs w:val="16"/>
              </w:rPr>
            </w:pPr>
            <w:proofErr w:type="spellStart"/>
            <w:r w:rsidRPr="00FF4346">
              <w:rPr>
                <w:rFonts w:ascii="CAIXA Std Book" w:hAnsi="CAIXA Std Book" w:cs="Arial Unicode MS"/>
                <w:color w:val="005CA9"/>
                <w:sz w:val="16"/>
                <w:szCs w:val="16"/>
              </w:rPr>
              <w:t>nov</w:t>
            </w:r>
            <w:proofErr w:type="spellEnd"/>
            <w:r w:rsidRPr="00FF4346">
              <w:rPr>
                <w:rFonts w:ascii="CAIXA Std Book" w:hAnsi="CAIXA Std Book" w:cs="Arial Unicode MS"/>
                <w:color w:val="005CA9"/>
                <w:sz w:val="16"/>
                <w:szCs w:val="16"/>
              </w:rPr>
              <w:t>/19</w:t>
            </w:r>
          </w:p>
        </w:tc>
        <w:tc>
          <w:tcPr>
            <w:tcW w:w="525" w:type="pct"/>
            <w:tcBorders>
              <w:top w:val="nil"/>
              <w:left w:val="nil"/>
              <w:bottom w:val="single" w:sz="4" w:space="0" w:color="F39200"/>
              <w:right w:val="nil"/>
            </w:tcBorders>
            <w:shd w:val="clear" w:color="auto" w:fill="auto"/>
            <w:vAlign w:val="center"/>
          </w:tcPr>
          <w:p w14:paraId="520DFB5E" w14:textId="7C689742"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601.500</w:t>
            </w:r>
          </w:p>
        </w:tc>
        <w:tc>
          <w:tcPr>
            <w:tcW w:w="533" w:type="pct"/>
            <w:tcBorders>
              <w:top w:val="nil"/>
              <w:left w:val="nil"/>
              <w:bottom w:val="single" w:sz="4" w:space="0" w:color="F39200"/>
              <w:right w:val="nil"/>
            </w:tcBorders>
            <w:shd w:val="clear" w:color="auto" w:fill="auto"/>
            <w:vAlign w:val="center"/>
          </w:tcPr>
          <w:p w14:paraId="7D711A43" w14:textId="39373F6C" w:rsidR="000E29B0" w:rsidRPr="00FF4346" w:rsidRDefault="00821744" w:rsidP="000E29B0">
            <w:pPr>
              <w:jc w:val="right"/>
              <w:rPr>
                <w:rFonts w:ascii="CAIXA Std Book" w:hAnsi="CAIXA Std Book"/>
                <w:color w:val="005CA9"/>
                <w:sz w:val="16"/>
                <w:szCs w:val="16"/>
              </w:rPr>
            </w:pPr>
            <w:r>
              <w:rPr>
                <w:rFonts w:ascii="CAIXA Std Book" w:hAnsi="CAIXA Std Book"/>
                <w:color w:val="005CA9"/>
                <w:sz w:val="16"/>
                <w:szCs w:val="16"/>
              </w:rPr>
              <w:t>24.364</w:t>
            </w:r>
          </w:p>
        </w:tc>
        <w:tc>
          <w:tcPr>
            <w:tcW w:w="566" w:type="pct"/>
            <w:tcBorders>
              <w:top w:val="nil"/>
              <w:left w:val="nil"/>
              <w:bottom w:val="single" w:sz="4" w:space="0" w:color="F39200"/>
              <w:right w:val="nil"/>
            </w:tcBorders>
            <w:shd w:val="clear" w:color="auto" w:fill="auto"/>
            <w:vAlign w:val="center"/>
          </w:tcPr>
          <w:p w14:paraId="770989BA" w14:textId="22014B9D"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416" w:type="pct"/>
            <w:tcBorders>
              <w:top w:val="nil"/>
              <w:left w:val="nil"/>
              <w:bottom w:val="single" w:sz="4" w:space="0" w:color="F39200"/>
              <w:right w:val="nil"/>
            </w:tcBorders>
            <w:vAlign w:val="center"/>
          </w:tcPr>
          <w:p w14:paraId="43F59B7B" w14:textId="39AAC9D2" w:rsidR="000E29B0" w:rsidRPr="00FF4346" w:rsidRDefault="00D82582" w:rsidP="000E29B0">
            <w:pPr>
              <w:jc w:val="center"/>
              <w:rPr>
                <w:rFonts w:ascii="CAIXA Std Book" w:hAnsi="CAIXA Std Book"/>
                <w:color w:val="005CA9"/>
                <w:sz w:val="16"/>
                <w:szCs w:val="16"/>
              </w:rPr>
            </w:pPr>
            <w:r>
              <w:rPr>
                <w:rFonts w:ascii="CAIXA Std Book" w:hAnsi="CAIXA Std Book"/>
                <w:color w:val="005CA9"/>
                <w:sz w:val="16"/>
                <w:szCs w:val="16"/>
              </w:rPr>
              <w:t>-</w:t>
            </w:r>
          </w:p>
        </w:tc>
        <w:tc>
          <w:tcPr>
            <w:tcW w:w="550" w:type="pct"/>
            <w:tcBorders>
              <w:top w:val="nil"/>
              <w:left w:val="nil"/>
              <w:bottom w:val="single" w:sz="4" w:space="0" w:color="F39200"/>
              <w:right w:val="nil"/>
            </w:tcBorders>
            <w:shd w:val="clear" w:color="auto" w:fill="auto"/>
            <w:vAlign w:val="center"/>
          </w:tcPr>
          <w:p w14:paraId="405AA1B7" w14:textId="599CDA37" w:rsidR="000E29B0" w:rsidRPr="00FF4346" w:rsidRDefault="00F91701" w:rsidP="000E29B0">
            <w:pPr>
              <w:jc w:val="right"/>
              <w:rPr>
                <w:rFonts w:ascii="CAIXA Std Book" w:hAnsi="CAIXA Std Book"/>
                <w:color w:val="005CA9"/>
                <w:sz w:val="16"/>
                <w:szCs w:val="16"/>
              </w:rPr>
            </w:pPr>
            <w:r>
              <w:rPr>
                <w:rFonts w:ascii="CAIXA Std Book" w:hAnsi="CAIXA Std Book"/>
                <w:color w:val="005CA9"/>
                <w:sz w:val="16"/>
                <w:szCs w:val="16"/>
              </w:rPr>
              <w:t>625.864</w:t>
            </w:r>
          </w:p>
        </w:tc>
        <w:tc>
          <w:tcPr>
            <w:tcW w:w="551" w:type="pct"/>
            <w:tcBorders>
              <w:top w:val="nil"/>
              <w:left w:val="nil"/>
              <w:bottom w:val="single" w:sz="4" w:space="0" w:color="F39200"/>
              <w:right w:val="nil"/>
            </w:tcBorders>
            <w:shd w:val="clear" w:color="auto" w:fill="auto"/>
            <w:vAlign w:val="center"/>
          </w:tcPr>
          <w:p w14:paraId="6FFAAFC3" w14:textId="02790E52" w:rsidR="000E29B0" w:rsidRPr="00FF4346" w:rsidRDefault="000E29B0" w:rsidP="000E29B0">
            <w:pPr>
              <w:jc w:val="right"/>
              <w:rPr>
                <w:rFonts w:ascii="CAIXA Std Book" w:hAnsi="CAIXA Std Book"/>
                <w:color w:val="005CA9"/>
                <w:sz w:val="16"/>
                <w:szCs w:val="16"/>
              </w:rPr>
            </w:pPr>
            <w:r w:rsidRPr="00FF4346">
              <w:rPr>
                <w:rFonts w:ascii="CAIXA Std Book" w:hAnsi="CAIXA Std Book"/>
                <w:color w:val="005CA9"/>
                <w:sz w:val="16"/>
                <w:szCs w:val="16"/>
              </w:rPr>
              <w:t>607.650</w:t>
            </w:r>
          </w:p>
        </w:tc>
      </w:tr>
      <w:tr w:rsidR="003B2B2A" w:rsidRPr="00A33766" w14:paraId="3D64A3B8" w14:textId="77777777" w:rsidTr="00DC3D01">
        <w:trPr>
          <w:trHeight w:val="283"/>
        </w:trPr>
        <w:tc>
          <w:tcPr>
            <w:tcW w:w="5000" w:type="pct"/>
            <w:gridSpan w:val="9"/>
            <w:tcBorders>
              <w:top w:val="single" w:sz="4" w:space="0" w:color="F39200"/>
              <w:left w:val="nil"/>
              <w:bottom w:val="single" w:sz="4" w:space="0" w:color="F39200"/>
              <w:right w:val="nil"/>
            </w:tcBorders>
            <w:shd w:val="clear" w:color="auto" w:fill="auto"/>
            <w:vAlign w:val="center"/>
          </w:tcPr>
          <w:p w14:paraId="47A5C433" w14:textId="377D6C84" w:rsidR="00681A81" w:rsidRPr="00FF4346" w:rsidRDefault="00F342A9" w:rsidP="00117988">
            <w:pPr>
              <w:jc w:val="center"/>
              <w:rPr>
                <w:rFonts w:ascii="CAIXA Std Book" w:hAnsi="CAIXA Std Book"/>
                <w:b/>
                <w:color w:val="005CA9"/>
                <w:sz w:val="16"/>
                <w:szCs w:val="16"/>
              </w:rPr>
            </w:pPr>
            <w:r w:rsidRPr="00FF4346">
              <w:rPr>
                <w:rFonts w:ascii="CAIXA Std Book" w:hAnsi="CAIXA Std Book"/>
                <w:b/>
                <w:color w:val="005CA9"/>
                <w:sz w:val="16"/>
                <w:szCs w:val="16"/>
              </w:rPr>
              <w:t>Nível II</w:t>
            </w:r>
          </w:p>
        </w:tc>
      </w:tr>
      <w:tr w:rsidR="003B2B2A" w:rsidRPr="00A33766" w14:paraId="14EEB11F" w14:textId="77777777" w:rsidTr="00DC3D01">
        <w:trPr>
          <w:trHeight w:val="283"/>
        </w:trPr>
        <w:tc>
          <w:tcPr>
            <w:tcW w:w="5000" w:type="pct"/>
            <w:gridSpan w:val="9"/>
            <w:tcBorders>
              <w:top w:val="single" w:sz="4" w:space="0" w:color="F39200"/>
              <w:left w:val="nil"/>
              <w:bottom w:val="single" w:sz="4" w:space="0" w:color="F39200"/>
              <w:right w:val="nil"/>
            </w:tcBorders>
            <w:vAlign w:val="center"/>
          </w:tcPr>
          <w:p w14:paraId="58E99B11" w14:textId="04B14D20" w:rsidR="00681A81" w:rsidRPr="00FF4346" w:rsidRDefault="00681A81" w:rsidP="00117988">
            <w:pPr>
              <w:jc w:val="center"/>
              <w:rPr>
                <w:rFonts w:ascii="CAIXA Std Book" w:hAnsi="CAIXA Std Book"/>
                <w:color w:val="005CA9"/>
                <w:sz w:val="16"/>
                <w:szCs w:val="16"/>
              </w:rPr>
            </w:pPr>
            <w:r w:rsidRPr="00FF4346">
              <w:rPr>
                <w:rFonts w:ascii="CAIXA Std Book" w:hAnsi="CAIXA Std Book"/>
                <w:color w:val="005CA9"/>
                <w:sz w:val="16"/>
                <w:szCs w:val="16"/>
              </w:rPr>
              <w:t xml:space="preserve">Instrumento de dívida subordinada </w:t>
            </w:r>
            <w:r w:rsidR="00795AE6" w:rsidRPr="00FF4346">
              <w:rPr>
                <w:rFonts w:ascii="CAIXA Std Book" w:hAnsi="CAIXA Std Book"/>
                <w:color w:val="005CA9"/>
                <w:sz w:val="16"/>
                <w:szCs w:val="16"/>
              </w:rPr>
              <w:t>–</w:t>
            </w:r>
            <w:r w:rsidRPr="00FF4346">
              <w:rPr>
                <w:rFonts w:ascii="CAIXA Std Book" w:hAnsi="CAIXA Std Book"/>
                <w:color w:val="005CA9"/>
                <w:sz w:val="16"/>
                <w:szCs w:val="16"/>
              </w:rPr>
              <w:t xml:space="preserve"> FGTS</w:t>
            </w:r>
          </w:p>
        </w:tc>
      </w:tr>
      <w:tr w:rsidR="0058116E" w:rsidRPr="00A33766" w14:paraId="6D0882F8" w14:textId="77777777" w:rsidTr="00BD0713">
        <w:trPr>
          <w:trHeight w:val="283"/>
        </w:trPr>
        <w:tc>
          <w:tcPr>
            <w:tcW w:w="531" w:type="pct"/>
            <w:tcBorders>
              <w:top w:val="nil"/>
              <w:left w:val="nil"/>
              <w:bottom w:val="nil"/>
              <w:right w:val="nil"/>
            </w:tcBorders>
            <w:shd w:val="clear" w:color="auto" w:fill="auto"/>
            <w:vAlign w:val="center"/>
          </w:tcPr>
          <w:p w14:paraId="342B4C33" w14:textId="737B4BD6"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s="Arial"/>
                <w:color w:val="005CA9"/>
                <w:sz w:val="16"/>
                <w:szCs w:val="16"/>
              </w:rPr>
              <w:t>/</w:t>
            </w:r>
            <w:r w:rsidRPr="00FF4346">
              <w:rPr>
                <w:rFonts w:ascii="CAIXA Std Book" w:hAnsi="CAIXA Std Book"/>
                <w:color w:val="005CA9"/>
                <w:sz w:val="16"/>
                <w:szCs w:val="16"/>
              </w:rPr>
              <w:t>38</w:t>
            </w:r>
          </w:p>
        </w:tc>
        <w:tc>
          <w:tcPr>
            <w:tcW w:w="890" w:type="pct"/>
            <w:tcBorders>
              <w:top w:val="nil"/>
              <w:left w:val="nil"/>
              <w:bottom w:val="nil"/>
              <w:right w:val="nil"/>
            </w:tcBorders>
            <w:shd w:val="clear" w:color="auto" w:fill="auto"/>
            <w:vAlign w:val="center"/>
          </w:tcPr>
          <w:p w14:paraId="7C17126C"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4,80%</w:t>
            </w:r>
          </w:p>
        </w:tc>
        <w:tc>
          <w:tcPr>
            <w:tcW w:w="437" w:type="pct"/>
            <w:tcBorders>
              <w:top w:val="nil"/>
              <w:left w:val="nil"/>
              <w:bottom w:val="nil"/>
              <w:right w:val="nil"/>
            </w:tcBorders>
            <w:shd w:val="clear" w:color="auto" w:fill="auto"/>
            <w:noWrap/>
            <w:vAlign w:val="center"/>
          </w:tcPr>
          <w:p w14:paraId="1C2AA788"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dez/14</w:t>
            </w:r>
          </w:p>
        </w:tc>
        <w:tc>
          <w:tcPr>
            <w:tcW w:w="525" w:type="pct"/>
            <w:tcBorders>
              <w:top w:val="nil"/>
              <w:left w:val="nil"/>
              <w:bottom w:val="nil"/>
              <w:right w:val="nil"/>
            </w:tcBorders>
            <w:shd w:val="clear" w:color="auto" w:fill="auto"/>
            <w:noWrap/>
            <w:vAlign w:val="center"/>
          </w:tcPr>
          <w:p w14:paraId="2B69CE45" w14:textId="1CE24AC4"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4.000.000</w:t>
            </w:r>
          </w:p>
        </w:tc>
        <w:tc>
          <w:tcPr>
            <w:tcW w:w="533" w:type="pct"/>
            <w:tcBorders>
              <w:top w:val="nil"/>
              <w:left w:val="nil"/>
              <w:bottom w:val="nil"/>
              <w:right w:val="nil"/>
            </w:tcBorders>
            <w:shd w:val="clear" w:color="auto" w:fill="auto"/>
            <w:noWrap/>
            <w:vAlign w:val="center"/>
          </w:tcPr>
          <w:p w14:paraId="151AF9F2" w14:textId="58ED4AD9"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2.736.009</w:t>
            </w:r>
          </w:p>
        </w:tc>
        <w:tc>
          <w:tcPr>
            <w:tcW w:w="566" w:type="pct"/>
            <w:tcBorders>
              <w:top w:val="nil"/>
              <w:left w:val="nil"/>
              <w:bottom w:val="nil"/>
              <w:right w:val="nil"/>
            </w:tcBorders>
            <w:shd w:val="clear" w:color="auto" w:fill="auto"/>
            <w:noWrap/>
            <w:vAlign w:val="center"/>
          </w:tcPr>
          <w:p w14:paraId="46F37A54" w14:textId="528D5F52" w:rsidR="0058116E" w:rsidRPr="00F16BF1" w:rsidRDefault="009C6B28" w:rsidP="009C6B28">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05A8B1F3" w14:textId="7E5137FB"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33BF6B0E" w14:textId="57A0FCA0"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6.736.009</w:t>
            </w:r>
          </w:p>
        </w:tc>
        <w:tc>
          <w:tcPr>
            <w:tcW w:w="551" w:type="pct"/>
            <w:tcBorders>
              <w:top w:val="nil"/>
              <w:left w:val="nil"/>
              <w:bottom w:val="nil"/>
              <w:right w:val="nil"/>
            </w:tcBorders>
            <w:shd w:val="clear" w:color="auto" w:fill="auto"/>
            <w:vAlign w:val="center"/>
          </w:tcPr>
          <w:p w14:paraId="517ABF44" w14:textId="222F3BE6"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6.648.042</w:t>
            </w:r>
          </w:p>
        </w:tc>
      </w:tr>
      <w:tr w:rsidR="0058116E" w:rsidRPr="00A33766" w14:paraId="19A91E0D" w14:textId="77777777" w:rsidTr="00BD0713">
        <w:trPr>
          <w:trHeight w:val="283"/>
        </w:trPr>
        <w:tc>
          <w:tcPr>
            <w:tcW w:w="531" w:type="pct"/>
            <w:tcBorders>
              <w:top w:val="nil"/>
              <w:left w:val="nil"/>
              <w:bottom w:val="nil"/>
              <w:right w:val="nil"/>
            </w:tcBorders>
            <w:shd w:val="clear" w:color="auto" w:fill="auto"/>
            <w:vAlign w:val="center"/>
          </w:tcPr>
          <w:p w14:paraId="7A955A2D" w14:textId="2E613FDE"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mai</w:t>
            </w:r>
            <w:proofErr w:type="spellEnd"/>
            <w:r w:rsidRPr="00FF4346">
              <w:rPr>
                <w:rFonts w:ascii="CAIXA Std Book" w:hAnsi="CAIXA Std Book" w:cs="Arial"/>
                <w:color w:val="005CA9"/>
                <w:sz w:val="16"/>
                <w:szCs w:val="16"/>
              </w:rPr>
              <w:t>/</w:t>
            </w:r>
            <w:r w:rsidRPr="00FF4346">
              <w:rPr>
                <w:rFonts w:ascii="CAIXA Std Book" w:hAnsi="CAIXA Std Book"/>
                <w:color w:val="005CA9"/>
                <w:sz w:val="16"/>
                <w:szCs w:val="16"/>
              </w:rPr>
              <w:t>44</w:t>
            </w:r>
          </w:p>
        </w:tc>
        <w:tc>
          <w:tcPr>
            <w:tcW w:w="890" w:type="pct"/>
            <w:tcBorders>
              <w:top w:val="nil"/>
              <w:left w:val="nil"/>
              <w:bottom w:val="nil"/>
              <w:right w:val="nil"/>
            </w:tcBorders>
            <w:shd w:val="clear" w:color="auto" w:fill="auto"/>
            <w:vAlign w:val="center"/>
          </w:tcPr>
          <w:p w14:paraId="4EB17ABD"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4,75%</w:t>
            </w:r>
          </w:p>
        </w:tc>
        <w:tc>
          <w:tcPr>
            <w:tcW w:w="437" w:type="pct"/>
            <w:tcBorders>
              <w:top w:val="nil"/>
              <w:left w:val="nil"/>
              <w:bottom w:val="nil"/>
              <w:right w:val="nil"/>
            </w:tcBorders>
            <w:shd w:val="clear" w:color="auto" w:fill="auto"/>
            <w:noWrap/>
            <w:vAlign w:val="center"/>
          </w:tcPr>
          <w:p w14:paraId="09BE9162"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set/16</w:t>
            </w:r>
          </w:p>
        </w:tc>
        <w:tc>
          <w:tcPr>
            <w:tcW w:w="525" w:type="pct"/>
            <w:tcBorders>
              <w:top w:val="nil"/>
              <w:left w:val="nil"/>
              <w:bottom w:val="nil"/>
              <w:right w:val="nil"/>
            </w:tcBorders>
            <w:shd w:val="clear" w:color="auto" w:fill="auto"/>
            <w:noWrap/>
            <w:vAlign w:val="center"/>
          </w:tcPr>
          <w:p w14:paraId="6EDC2594" w14:textId="2C658B88"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4.000.000</w:t>
            </w:r>
          </w:p>
        </w:tc>
        <w:tc>
          <w:tcPr>
            <w:tcW w:w="533" w:type="pct"/>
            <w:tcBorders>
              <w:top w:val="nil"/>
              <w:left w:val="nil"/>
              <w:bottom w:val="nil"/>
              <w:right w:val="nil"/>
            </w:tcBorders>
            <w:shd w:val="clear" w:color="auto" w:fill="auto"/>
            <w:noWrap/>
            <w:vAlign w:val="center"/>
          </w:tcPr>
          <w:p w14:paraId="0E9A9BD3" w14:textId="6E6459B5"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1.983.999</w:t>
            </w:r>
          </w:p>
        </w:tc>
        <w:tc>
          <w:tcPr>
            <w:tcW w:w="566" w:type="pct"/>
            <w:tcBorders>
              <w:top w:val="nil"/>
              <w:left w:val="nil"/>
              <w:bottom w:val="nil"/>
              <w:right w:val="nil"/>
            </w:tcBorders>
            <w:shd w:val="clear" w:color="auto" w:fill="auto"/>
            <w:noWrap/>
            <w:vAlign w:val="center"/>
          </w:tcPr>
          <w:p w14:paraId="5C58A745" w14:textId="148EBADD" w:rsidR="0058116E" w:rsidRPr="00F16BF1" w:rsidRDefault="009C6B28" w:rsidP="009C6B28">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5015F60E" w14:textId="0CDDA521"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758D57D1" w14:textId="1B368E51"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5.983.999</w:t>
            </w:r>
          </w:p>
        </w:tc>
        <w:tc>
          <w:tcPr>
            <w:tcW w:w="551" w:type="pct"/>
            <w:tcBorders>
              <w:top w:val="nil"/>
              <w:left w:val="nil"/>
              <w:bottom w:val="nil"/>
              <w:right w:val="nil"/>
            </w:tcBorders>
            <w:shd w:val="clear" w:color="auto" w:fill="auto"/>
            <w:vAlign w:val="center"/>
          </w:tcPr>
          <w:p w14:paraId="4A6ED9DF" w14:textId="373C8ACF"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5.906.494</w:t>
            </w:r>
          </w:p>
        </w:tc>
      </w:tr>
      <w:tr w:rsidR="0058116E" w:rsidRPr="00A33766" w14:paraId="29344BBF" w14:textId="77777777" w:rsidTr="00BD0713">
        <w:trPr>
          <w:trHeight w:val="283"/>
        </w:trPr>
        <w:tc>
          <w:tcPr>
            <w:tcW w:w="531" w:type="pct"/>
            <w:tcBorders>
              <w:top w:val="nil"/>
              <w:left w:val="nil"/>
              <w:bottom w:val="nil"/>
              <w:right w:val="nil"/>
            </w:tcBorders>
            <w:shd w:val="clear" w:color="auto" w:fill="auto"/>
            <w:vAlign w:val="center"/>
          </w:tcPr>
          <w:p w14:paraId="07F28AA1" w14:textId="6CB2E06B"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ago</w:t>
            </w:r>
            <w:proofErr w:type="spellEnd"/>
            <w:r w:rsidRPr="00FF4346">
              <w:rPr>
                <w:rFonts w:ascii="CAIXA Std Book" w:hAnsi="CAIXA Std Book" w:cs="Arial"/>
                <w:color w:val="005CA9"/>
                <w:sz w:val="16"/>
                <w:szCs w:val="16"/>
              </w:rPr>
              <w:t>/</w:t>
            </w:r>
            <w:r w:rsidRPr="00FF4346">
              <w:rPr>
                <w:rFonts w:ascii="CAIXA Std Book" w:hAnsi="CAIXA Std Book"/>
                <w:color w:val="005CA9"/>
                <w:sz w:val="16"/>
                <w:szCs w:val="16"/>
              </w:rPr>
              <w:t>44</w:t>
            </w:r>
          </w:p>
        </w:tc>
        <w:tc>
          <w:tcPr>
            <w:tcW w:w="890" w:type="pct"/>
            <w:tcBorders>
              <w:top w:val="nil"/>
              <w:left w:val="nil"/>
              <w:bottom w:val="nil"/>
              <w:right w:val="nil"/>
            </w:tcBorders>
            <w:shd w:val="clear" w:color="auto" w:fill="auto"/>
            <w:vAlign w:val="center"/>
          </w:tcPr>
          <w:p w14:paraId="7EBCF4E9"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4,86%</w:t>
            </w:r>
          </w:p>
        </w:tc>
        <w:tc>
          <w:tcPr>
            <w:tcW w:w="437" w:type="pct"/>
            <w:tcBorders>
              <w:top w:val="nil"/>
              <w:left w:val="nil"/>
              <w:bottom w:val="nil"/>
              <w:right w:val="nil"/>
            </w:tcBorders>
            <w:shd w:val="clear" w:color="auto" w:fill="auto"/>
            <w:noWrap/>
            <w:vAlign w:val="center"/>
          </w:tcPr>
          <w:p w14:paraId="320C9837"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mai</w:t>
            </w:r>
            <w:proofErr w:type="spellEnd"/>
            <w:r w:rsidRPr="00FF4346">
              <w:rPr>
                <w:rFonts w:ascii="CAIXA Std Book" w:hAnsi="CAIXA Std Book"/>
                <w:color w:val="005CA9"/>
                <w:sz w:val="16"/>
                <w:szCs w:val="16"/>
              </w:rPr>
              <w:t>/17</w:t>
            </w:r>
          </w:p>
        </w:tc>
        <w:tc>
          <w:tcPr>
            <w:tcW w:w="525" w:type="pct"/>
            <w:tcBorders>
              <w:top w:val="nil"/>
              <w:left w:val="nil"/>
              <w:bottom w:val="nil"/>
              <w:right w:val="nil"/>
            </w:tcBorders>
            <w:shd w:val="clear" w:color="auto" w:fill="auto"/>
            <w:noWrap/>
            <w:vAlign w:val="center"/>
          </w:tcPr>
          <w:p w14:paraId="28383C57" w14:textId="3A19F859"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4.000.000</w:t>
            </w:r>
          </w:p>
        </w:tc>
        <w:tc>
          <w:tcPr>
            <w:tcW w:w="533" w:type="pct"/>
            <w:tcBorders>
              <w:top w:val="nil"/>
              <w:left w:val="nil"/>
              <w:bottom w:val="nil"/>
              <w:right w:val="nil"/>
            </w:tcBorders>
            <w:shd w:val="clear" w:color="auto" w:fill="auto"/>
            <w:noWrap/>
            <w:vAlign w:val="center"/>
          </w:tcPr>
          <w:p w14:paraId="106F9E97" w14:textId="12B61C9B"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1.789.746</w:t>
            </w:r>
          </w:p>
        </w:tc>
        <w:tc>
          <w:tcPr>
            <w:tcW w:w="566" w:type="pct"/>
            <w:tcBorders>
              <w:top w:val="nil"/>
              <w:left w:val="nil"/>
              <w:bottom w:val="nil"/>
              <w:right w:val="nil"/>
            </w:tcBorders>
            <w:shd w:val="clear" w:color="auto" w:fill="auto"/>
            <w:noWrap/>
            <w:vAlign w:val="center"/>
          </w:tcPr>
          <w:p w14:paraId="2523B730" w14:textId="42A35D3E" w:rsidR="0058116E" w:rsidRPr="00F16BF1" w:rsidRDefault="009C6B28" w:rsidP="009C6B28">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663765FB" w14:textId="2E1489BA"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76503B34" w14:textId="3D25833E"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5.789.746</w:t>
            </w:r>
          </w:p>
        </w:tc>
        <w:tc>
          <w:tcPr>
            <w:tcW w:w="551" w:type="pct"/>
            <w:tcBorders>
              <w:top w:val="nil"/>
              <w:left w:val="nil"/>
              <w:bottom w:val="nil"/>
              <w:right w:val="nil"/>
            </w:tcBorders>
            <w:shd w:val="clear" w:color="auto" w:fill="auto"/>
            <w:vAlign w:val="center"/>
          </w:tcPr>
          <w:p w14:paraId="7EFC1EBE" w14:textId="04BC0036"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5.713.245</w:t>
            </w:r>
          </w:p>
        </w:tc>
      </w:tr>
      <w:tr w:rsidR="0058116E" w:rsidRPr="00A33766" w14:paraId="54406EE9" w14:textId="77777777" w:rsidTr="00BD0713">
        <w:trPr>
          <w:trHeight w:val="283"/>
        </w:trPr>
        <w:tc>
          <w:tcPr>
            <w:tcW w:w="531" w:type="pct"/>
            <w:tcBorders>
              <w:top w:val="nil"/>
              <w:left w:val="nil"/>
              <w:bottom w:val="nil"/>
              <w:right w:val="nil"/>
            </w:tcBorders>
            <w:shd w:val="clear" w:color="auto" w:fill="auto"/>
            <w:vAlign w:val="center"/>
          </w:tcPr>
          <w:p w14:paraId="564AA771" w14:textId="3F180E0A" w:rsidR="0058116E" w:rsidRPr="00FF4346" w:rsidRDefault="0058116E" w:rsidP="0058116E">
            <w:pPr>
              <w:jc w:val="center"/>
              <w:rPr>
                <w:rFonts w:ascii="CAIXA Std Book" w:hAnsi="CAIXA Std Book"/>
                <w:color w:val="005CA9"/>
                <w:sz w:val="16"/>
                <w:szCs w:val="16"/>
              </w:rPr>
            </w:pPr>
            <w:r w:rsidRPr="00FF4346">
              <w:rPr>
                <w:rFonts w:ascii="CAIXA Std Book" w:hAnsi="CAIXA Std Book" w:cs="Arial"/>
                <w:color w:val="005CA9"/>
                <w:sz w:val="16"/>
                <w:szCs w:val="16"/>
              </w:rPr>
              <w:t>dez/40</w:t>
            </w:r>
          </w:p>
        </w:tc>
        <w:tc>
          <w:tcPr>
            <w:tcW w:w="890" w:type="pct"/>
            <w:tcBorders>
              <w:top w:val="nil"/>
              <w:left w:val="nil"/>
              <w:bottom w:val="nil"/>
              <w:right w:val="nil"/>
            </w:tcBorders>
            <w:shd w:val="clear" w:color="auto" w:fill="auto"/>
            <w:vAlign w:val="center"/>
          </w:tcPr>
          <w:p w14:paraId="090677B7" w14:textId="18DF6DC0" w:rsidR="0058116E" w:rsidRPr="00FF4346" w:rsidRDefault="0058116E" w:rsidP="0058116E">
            <w:pPr>
              <w:jc w:val="center"/>
              <w:rPr>
                <w:rFonts w:ascii="CAIXA Std Book" w:hAnsi="CAIXA Std Book"/>
                <w:color w:val="005CA9"/>
                <w:sz w:val="16"/>
                <w:szCs w:val="16"/>
              </w:rPr>
            </w:pPr>
            <w:r w:rsidRPr="00FF4346">
              <w:rPr>
                <w:rFonts w:ascii="CAIXA Std Book" w:hAnsi="CAIXA Std Book" w:cs="Arial"/>
                <w:color w:val="005CA9"/>
                <w:sz w:val="16"/>
                <w:szCs w:val="16"/>
              </w:rPr>
              <w:t>4,75%</w:t>
            </w:r>
          </w:p>
        </w:tc>
        <w:tc>
          <w:tcPr>
            <w:tcW w:w="437" w:type="pct"/>
            <w:tcBorders>
              <w:top w:val="nil"/>
              <w:left w:val="nil"/>
              <w:bottom w:val="nil"/>
              <w:right w:val="nil"/>
            </w:tcBorders>
            <w:shd w:val="clear" w:color="auto" w:fill="auto"/>
            <w:noWrap/>
            <w:vAlign w:val="center"/>
          </w:tcPr>
          <w:p w14:paraId="582B5CE7" w14:textId="4E82299A" w:rsidR="0058116E" w:rsidRPr="00FF4346" w:rsidRDefault="0058116E" w:rsidP="0058116E">
            <w:pPr>
              <w:jc w:val="center"/>
              <w:rPr>
                <w:rFonts w:ascii="CAIXA Std Book" w:hAnsi="CAIXA Std Book"/>
                <w:color w:val="005CA9"/>
                <w:sz w:val="16"/>
                <w:szCs w:val="16"/>
              </w:rPr>
            </w:pPr>
            <w:r w:rsidRPr="00FF4346">
              <w:rPr>
                <w:rFonts w:ascii="CAIXA Std Book" w:hAnsi="CAIXA Std Book" w:cs="Arial"/>
                <w:color w:val="005CA9"/>
                <w:sz w:val="16"/>
                <w:szCs w:val="16"/>
              </w:rPr>
              <w:t>set/15</w:t>
            </w:r>
          </w:p>
        </w:tc>
        <w:tc>
          <w:tcPr>
            <w:tcW w:w="525" w:type="pct"/>
            <w:tcBorders>
              <w:top w:val="nil"/>
              <w:left w:val="nil"/>
              <w:bottom w:val="nil"/>
              <w:right w:val="nil"/>
            </w:tcBorders>
            <w:shd w:val="clear" w:color="auto" w:fill="auto"/>
            <w:noWrap/>
            <w:vAlign w:val="center"/>
          </w:tcPr>
          <w:p w14:paraId="1297F751" w14:textId="7282E464"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3.000.000</w:t>
            </w:r>
          </w:p>
        </w:tc>
        <w:tc>
          <w:tcPr>
            <w:tcW w:w="533" w:type="pct"/>
            <w:tcBorders>
              <w:top w:val="nil"/>
              <w:left w:val="nil"/>
              <w:bottom w:val="nil"/>
              <w:right w:val="nil"/>
            </w:tcBorders>
            <w:shd w:val="clear" w:color="auto" w:fill="auto"/>
            <w:noWrap/>
            <w:vAlign w:val="center"/>
          </w:tcPr>
          <w:p w14:paraId="6AF79964" w14:textId="53926B40"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1.796.490</w:t>
            </w:r>
          </w:p>
        </w:tc>
        <w:tc>
          <w:tcPr>
            <w:tcW w:w="566" w:type="pct"/>
            <w:tcBorders>
              <w:top w:val="nil"/>
              <w:left w:val="nil"/>
              <w:bottom w:val="nil"/>
              <w:right w:val="nil"/>
            </w:tcBorders>
            <w:shd w:val="clear" w:color="auto" w:fill="auto"/>
            <w:noWrap/>
            <w:vAlign w:val="center"/>
          </w:tcPr>
          <w:p w14:paraId="37C48FA8" w14:textId="103CECC4" w:rsidR="0058116E" w:rsidRPr="00FF4346" w:rsidRDefault="009C6B28" w:rsidP="009C6B28">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0AC80377" w14:textId="64F47AE3"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3639A121" w14:textId="29A09360"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4.796.490</w:t>
            </w:r>
          </w:p>
        </w:tc>
        <w:tc>
          <w:tcPr>
            <w:tcW w:w="551" w:type="pct"/>
            <w:tcBorders>
              <w:top w:val="nil"/>
              <w:left w:val="nil"/>
              <w:bottom w:val="nil"/>
              <w:right w:val="nil"/>
            </w:tcBorders>
            <w:shd w:val="clear" w:color="auto" w:fill="auto"/>
            <w:vAlign w:val="center"/>
          </w:tcPr>
          <w:p w14:paraId="5BE751F8" w14:textId="0CF736E7"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4.734.400</w:t>
            </w:r>
          </w:p>
        </w:tc>
      </w:tr>
      <w:tr w:rsidR="0058116E" w:rsidRPr="00A33766" w14:paraId="616076EB" w14:textId="77777777" w:rsidTr="00BD0713">
        <w:trPr>
          <w:trHeight w:val="283"/>
        </w:trPr>
        <w:tc>
          <w:tcPr>
            <w:tcW w:w="531" w:type="pct"/>
            <w:tcBorders>
              <w:top w:val="nil"/>
              <w:left w:val="nil"/>
              <w:bottom w:val="nil"/>
              <w:right w:val="nil"/>
            </w:tcBorders>
            <w:shd w:val="clear" w:color="auto" w:fill="auto"/>
            <w:vAlign w:val="center"/>
          </w:tcPr>
          <w:p w14:paraId="46EBB5FD" w14:textId="3A0E7061"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jul</w:t>
            </w:r>
            <w:proofErr w:type="spellEnd"/>
            <w:r w:rsidRPr="00FF4346">
              <w:rPr>
                <w:rFonts w:ascii="CAIXA Std Book" w:hAnsi="CAIXA Std Book" w:cs="Arial"/>
                <w:color w:val="005CA9"/>
                <w:sz w:val="16"/>
                <w:szCs w:val="16"/>
              </w:rPr>
              <w:t>/</w:t>
            </w:r>
            <w:r w:rsidRPr="00FF4346">
              <w:rPr>
                <w:rFonts w:ascii="CAIXA Std Book" w:hAnsi="CAIXA Std Book"/>
                <w:color w:val="005CA9"/>
                <w:sz w:val="16"/>
                <w:szCs w:val="16"/>
              </w:rPr>
              <w:t>32</w:t>
            </w:r>
          </w:p>
        </w:tc>
        <w:tc>
          <w:tcPr>
            <w:tcW w:w="890" w:type="pct"/>
            <w:tcBorders>
              <w:top w:val="nil"/>
              <w:left w:val="nil"/>
              <w:bottom w:val="nil"/>
              <w:right w:val="nil"/>
            </w:tcBorders>
            <w:shd w:val="clear" w:color="auto" w:fill="auto"/>
            <w:vAlign w:val="center"/>
          </w:tcPr>
          <w:p w14:paraId="5BB1807A"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5,08%</w:t>
            </w:r>
          </w:p>
        </w:tc>
        <w:tc>
          <w:tcPr>
            <w:tcW w:w="437" w:type="pct"/>
            <w:tcBorders>
              <w:top w:val="nil"/>
              <w:left w:val="nil"/>
              <w:bottom w:val="nil"/>
              <w:right w:val="nil"/>
            </w:tcBorders>
            <w:shd w:val="clear" w:color="auto" w:fill="auto"/>
            <w:noWrap/>
            <w:vAlign w:val="center"/>
          </w:tcPr>
          <w:p w14:paraId="439AB2CB"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jun</w:t>
            </w:r>
            <w:proofErr w:type="spellEnd"/>
            <w:r w:rsidRPr="00FF4346">
              <w:rPr>
                <w:rFonts w:ascii="CAIXA Std Book" w:hAnsi="CAIXA Std Book"/>
                <w:color w:val="005CA9"/>
                <w:sz w:val="16"/>
                <w:szCs w:val="16"/>
              </w:rPr>
              <w:t>/12</w:t>
            </w:r>
          </w:p>
        </w:tc>
        <w:tc>
          <w:tcPr>
            <w:tcW w:w="525" w:type="pct"/>
            <w:tcBorders>
              <w:top w:val="nil"/>
              <w:left w:val="nil"/>
              <w:bottom w:val="nil"/>
              <w:right w:val="nil"/>
            </w:tcBorders>
            <w:shd w:val="clear" w:color="auto" w:fill="auto"/>
            <w:noWrap/>
            <w:vAlign w:val="center"/>
          </w:tcPr>
          <w:p w14:paraId="20C9F3DC" w14:textId="18524F0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3.000.000</w:t>
            </w:r>
          </w:p>
        </w:tc>
        <w:tc>
          <w:tcPr>
            <w:tcW w:w="533" w:type="pct"/>
            <w:tcBorders>
              <w:top w:val="nil"/>
              <w:left w:val="nil"/>
              <w:bottom w:val="nil"/>
              <w:right w:val="nil"/>
            </w:tcBorders>
            <w:shd w:val="clear" w:color="auto" w:fill="auto"/>
            <w:noWrap/>
            <w:vAlign w:val="center"/>
          </w:tcPr>
          <w:p w14:paraId="7E9CF7CA" w14:textId="56732BAD"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1.869.567</w:t>
            </w:r>
          </w:p>
        </w:tc>
        <w:tc>
          <w:tcPr>
            <w:tcW w:w="566" w:type="pct"/>
            <w:tcBorders>
              <w:top w:val="nil"/>
              <w:left w:val="nil"/>
              <w:bottom w:val="nil"/>
              <w:right w:val="nil"/>
            </w:tcBorders>
            <w:shd w:val="clear" w:color="auto" w:fill="auto"/>
            <w:noWrap/>
            <w:vAlign w:val="center"/>
          </w:tcPr>
          <w:p w14:paraId="66DAFB6A" w14:textId="1B5F77D2"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(1.484.497)</w:t>
            </w:r>
          </w:p>
        </w:tc>
        <w:tc>
          <w:tcPr>
            <w:tcW w:w="416" w:type="pct"/>
            <w:tcBorders>
              <w:top w:val="nil"/>
              <w:left w:val="nil"/>
              <w:bottom w:val="nil"/>
              <w:right w:val="nil"/>
            </w:tcBorders>
            <w:vAlign w:val="center"/>
          </w:tcPr>
          <w:p w14:paraId="79EBF53C" w14:textId="121B39E6"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6C2BF5EE" w14:textId="6783F5AB"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3.385.070</w:t>
            </w:r>
          </w:p>
        </w:tc>
        <w:tc>
          <w:tcPr>
            <w:tcW w:w="551" w:type="pct"/>
            <w:tcBorders>
              <w:top w:val="nil"/>
              <w:left w:val="nil"/>
              <w:bottom w:val="nil"/>
              <w:right w:val="nil"/>
            </w:tcBorders>
            <w:shd w:val="clear" w:color="auto" w:fill="auto"/>
            <w:vAlign w:val="center"/>
          </w:tcPr>
          <w:p w14:paraId="6D86A478" w14:textId="7A24C010"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3.482.107</w:t>
            </w:r>
          </w:p>
        </w:tc>
      </w:tr>
      <w:tr w:rsidR="0058116E" w:rsidRPr="00A33766" w14:paraId="782147F1" w14:textId="77777777" w:rsidTr="00BD0713">
        <w:trPr>
          <w:trHeight w:val="283"/>
        </w:trPr>
        <w:tc>
          <w:tcPr>
            <w:tcW w:w="531" w:type="pct"/>
            <w:tcBorders>
              <w:top w:val="nil"/>
              <w:left w:val="nil"/>
              <w:bottom w:val="nil"/>
              <w:right w:val="nil"/>
            </w:tcBorders>
            <w:shd w:val="clear" w:color="auto" w:fill="auto"/>
            <w:vAlign w:val="center"/>
          </w:tcPr>
          <w:p w14:paraId="4CBF01CB" w14:textId="1370C6F8"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dez</w:t>
            </w:r>
            <w:r w:rsidRPr="00FF4346">
              <w:rPr>
                <w:rFonts w:ascii="CAIXA Std Book" w:hAnsi="CAIXA Std Book" w:cs="Arial"/>
                <w:color w:val="005CA9"/>
                <w:sz w:val="16"/>
                <w:szCs w:val="16"/>
              </w:rPr>
              <w:t>/</w:t>
            </w:r>
            <w:r w:rsidRPr="00FF4346">
              <w:rPr>
                <w:rFonts w:ascii="CAIXA Std Book" w:hAnsi="CAIXA Std Book"/>
                <w:color w:val="005CA9"/>
                <w:sz w:val="16"/>
                <w:szCs w:val="16"/>
              </w:rPr>
              <w:t>33</w:t>
            </w:r>
          </w:p>
        </w:tc>
        <w:tc>
          <w:tcPr>
            <w:tcW w:w="890" w:type="pct"/>
            <w:tcBorders>
              <w:top w:val="nil"/>
              <w:left w:val="nil"/>
              <w:bottom w:val="nil"/>
              <w:right w:val="nil"/>
            </w:tcBorders>
            <w:shd w:val="clear" w:color="auto" w:fill="auto"/>
            <w:vAlign w:val="center"/>
          </w:tcPr>
          <w:p w14:paraId="56B49C37"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5,15%</w:t>
            </w:r>
          </w:p>
        </w:tc>
        <w:tc>
          <w:tcPr>
            <w:tcW w:w="437" w:type="pct"/>
            <w:tcBorders>
              <w:top w:val="nil"/>
              <w:left w:val="nil"/>
              <w:bottom w:val="nil"/>
              <w:right w:val="nil"/>
            </w:tcBorders>
            <w:shd w:val="clear" w:color="auto" w:fill="auto"/>
            <w:noWrap/>
            <w:vAlign w:val="center"/>
          </w:tcPr>
          <w:p w14:paraId="69D9D128"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out/14</w:t>
            </w:r>
          </w:p>
        </w:tc>
        <w:tc>
          <w:tcPr>
            <w:tcW w:w="525" w:type="pct"/>
            <w:tcBorders>
              <w:top w:val="nil"/>
              <w:left w:val="nil"/>
              <w:bottom w:val="nil"/>
              <w:right w:val="nil"/>
            </w:tcBorders>
            <w:shd w:val="clear" w:color="auto" w:fill="auto"/>
            <w:noWrap/>
            <w:vAlign w:val="center"/>
          </w:tcPr>
          <w:p w14:paraId="6439C9F0" w14:textId="4851403F"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3.000.000</w:t>
            </w:r>
          </w:p>
        </w:tc>
        <w:tc>
          <w:tcPr>
            <w:tcW w:w="533" w:type="pct"/>
            <w:tcBorders>
              <w:top w:val="nil"/>
              <w:left w:val="nil"/>
              <w:bottom w:val="nil"/>
              <w:right w:val="nil"/>
            </w:tcBorders>
            <w:shd w:val="clear" w:color="auto" w:fill="auto"/>
            <w:noWrap/>
            <w:vAlign w:val="center"/>
          </w:tcPr>
          <w:p w14:paraId="1804F74C" w14:textId="4EAE6D9A"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1.305.525</w:t>
            </w:r>
          </w:p>
        </w:tc>
        <w:tc>
          <w:tcPr>
            <w:tcW w:w="566" w:type="pct"/>
            <w:tcBorders>
              <w:top w:val="nil"/>
              <w:left w:val="nil"/>
              <w:bottom w:val="nil"/>
              <w:right w:val="nil"/>
            </w:tcBorders>
            <w:shd w:val="clear" w:color="auto" w:fill="auto"/>
            <w:noWrap/>
            <w:vAlign w:val="center"/>
          </w:tcPr>
          <w:p w14:paraId="118FE2CC" w14:textId="14AF891C"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(1.192.544)</w:t>
            </w:r>
          </w:p>
        </w:tc>
        <w:tc>
          <w:tcPr>
            <w:tcW w:w="416" w:type="pct"/>
            <w:tcBorders>
              <w:top w:val="nil"/>
              <w:left w:val="nil"/>
              <w:bottom w:val="nil"/>
              <w:right w:val="nil"/>
            </w:tcBorders>
            <w:vAlign w:val="center"/>
          </w:tcPr>
          <w:p w14:paraId="57FC6AD3" w14:textId="3988E174"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099AFBC5" w14:textId="2E05255D"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3.112.981</w:t>
            </w:r>
          </w:p>
        </w:tc>
        <w:tc>
          <w:tcPr>
            <w:tcW w:w="551" w:type="pct"/>
            <w:tcBorders>
              <w:top w:val="nil"/>
              <w:left w:val="nil"/>
              <w:bottom w:val="nil"/>
              <w:right w:val="nil"/>
            </w:tcBorders>
            <w:shd w:val="clear" w:color="auto" w:fill="auto"/>
            <w:vAlign w:val="center"/>
          </w:tcPr>
          <w:p w14:paraId="19B96340" w14:textId="7E8D10E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3.188.667</w:t>
            </w:r>
          </w:p>
        </w:tc>
      </w:tr>
      <w:tr w:rsidR="0058116E" w:rsidRPr="00A33766" w14:paraId="7E1D8F6E" w14:textId="77777777" w:rsidTr="00BD0713">
        <w:trPr>
          <w:trHeight w:val="283"/>
        </w:trPr>
        <w:tc>
          <w:tcPr>
            <w:tcW w:w="531" w:type="pct"/>
            <w:tcBorders>
              <w:top w:val="nil"/>
              <w:left w:val="nil"/>
              <w:bottom w:val="nil"/>
              <w:right w:val="nil"/>
            </w:tcBorders>
            <w:shd w:val="clear" w:color="auto" w:fill="auto"/>
            <w:vAlign w:val="center"/>
          </w:tcPr>
          <w:p w14:paraId="2FD1E382" w14:textId="2E2A9079"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s="Arial"/>
                <w:color w:val="005CA9"/>
                <w:sz w:val="16"/>
                <w:szCs w:val="16"/>
              </w:rPr>
              <w:t>abr</w:t>
            </w:r>
            <w:proofErr w:type="spellEnd"/>
            <w:r w:rsidRPr="00FF4346">
              <w:rPr>
                <w:rFonts w:ascii="CAIXA Std Book" w:hAnsi="CAIXA Std Book" w:cs="Arial"/>
                <w:color w:val="005CA9"/>
                <w:sz w:val="16"/>
                <w:szCs w:val="16"/>
              </w:rPr>
              <w:t>/26</w:t>
            </w:r>
          </w:p>
        </w:tc>
        <w:tc>
          <w:tcPr>
            <w:tcW w:w="890" w:type="pct"/>
            <w:tcBorders>
              <w:top w:val="nil"/>
              <w:left w:val="nil"/>
              <w:bottom w:val="nil"/>
              <w:right w:val="nil"/>
            </w:tcBorders>
            <w:shd w:val="clear" w:color="auto" w:fill="auto"/>
            <w:vAlign w:val="center"/>
          </w:tcPr>
          <w:p w14:paraId="2211CEEA" w14:textId="31F543B4" w:rsidR="0058116E" w:rsidRPr="00FF4346" w:rsidRDefault="0058116E" w:rsidP="0058116E">
            <w:pPr>
              <w:jc w:val="center"/>
              <w:rPr>
                <w:rFonts w:ascii="CAIXA Std Book" w:hAnsi="CAIXA Std Book"/>
                <w:color w:val="005CA9"/>
                <w:sz w:val="16"/>
                <w:szCs w:val="16"/>
              </w:rPr>
            </w:pPr>
            <w:r w:rsidRPr="00FF4346">
              <w:rPr>
                <w:rFonts w:ascii="CAIXA Std Book" w:hAnsi="CAIXA Std Book" w:cs="Arial"/>
                <w:color w:val="005CA9"/>
                <w:sz w:val="16"/>
                <w:szCs w:val="16"/>
              </w:rPr>
              <w:t>6,00%</w:t>
            </w:r>
          </w:p>
        </w:tc>
        <w:tc>
          <w:tcPr>
            <w:tcW w:w="437" w:type="pct"/>
            <w:tcBorders>
              <w:top w:val="nil"/>
              <w:left w:val="nil"/>
              <w:bottom w:val="nil"/>
              <w:right w:val="nil"/>
            </w:tcBorders>
            <w:shd w:val="clear" w:color="auto" w:fill="auto"/>
            <w:noWrap/>
            <w:vAlign w:val="center"/>
          </w:tcPr>
          <w:p w14:paraId="203BB4EF" w14:textId="293330C0"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s="Arial"/>
                <w:color w:val="005CA9"/>
                <w:sz w:val="16"/>
                <w:szCs w:val="16"/>
              </w:rPr>
              <w:t>ago</w:t>
            </w:r>
            <w:proofErr w:type="spellEnd"/>
            <w:r w:rsidRPr="00FF4346">
              <w:rPr>
                <w:rFonts w:ascii="CAIXA Std Book" w:hAnsi="CAIXA Std Book" w:cs="Arial"/>
                <w:color w:val="005CA9"/>
                <w:sz w:val="16"/>
                <w:szCs w:val="16"/>
              </w:rPr>
              <w:t>/11</w:t>
            </w:r>
          </w:p>
        </w:tc>
        <w:tc>
          <w:tcPr>
            <w:tcW w:w="525" w:type="pct"/>
            <w:tcBorders>
              <w:top w:val="nil"/>
              <w:left w:val="nil"/>
              <w:bottom w:val="nil"/>
              <w:right w:val="nil"/>
            </w:tcBorders>
            <w:shd w:val="clear" w:color="auto" w:fill="auto"/>
            <w:noWrap/>
            <w:vAlign w:val="center"/>
          </w:tcPr>
          <w:p w14:paraId="2D990B11" w14:textId="2BE1FFD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3.000.000</w:t>
            </w:r>
          </w:p>
        </w:tc>
        <w:tc>
          <w:tcPr>
            <w:tcW w:w="533" w:type="pct"/>
            <w:tcBorders>
              <w:top w:val="nil"/>
              <w:left w:val="nil"/>
              <w:bottom w:val="nil"/>
              <w:right w:val="nil"/>
            </w:tcBorders>
            <w:shd w:val="clear" w:color="auto" w:fill="auto"/>
            <w:noWrap/>
            <w:vAlign w:val="center"/>
          </w:tcPr>
          <w:p w14:paraId="634A67A3" w14:textId="01A5984E"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2.116.456</w:t>
            </w:r>
          </w:p>
        </w:tc>
        <w:tc>
          <w:tcPr>
            <w:tcW w:w="566" w:type="pct"/>
            <w:tcBorders>
              <w:top w:val="nil"/>
              <w:left w:val="nil"/>
              <w:bottom w:val="nil"/>
              <w:right w:val="nil"/>
            </w:tcBorders>
            <w:shd w:val="clear" w:color="auto" w:fill="auto"/>
            <w:noWrap/>
            <w:vAlign w:val="center"/>
          </w:tcPr>
          <w:p w14:paraId="3876B799" w14:textId="48D09BD0"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(3.544.619)</w:t>
            </w:r>
          </w:p>
        </w:tc>
        <w:tc>
          <w:tcPr>
            <w:tcW w:w="416" w:type="pct"/>
            <w:tcBorders>
              <w:top w:val="nil"/>
              <w:left w:val="nil"/>
              <w:bottom w:val="nil"/>
              <w:right w:val="nil"/>
            </w:tcBorders>
            <w:vAlign w:val="center"/>
          </w:tcPr>
          <w:p w14:paraId="3D6E4B30" w14:textId="533E021F"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w:t>
            </w:r>
          </w:p>
        </w:tc>
        <w:tc>
          <w:tcPr>
            <w:tcW w:w="550" w:type="pct"/>
            <w:tcBorders>
              <w:top w:val="nil"/>
              <w:left w:val="nil"/>
              <w:bottom w:val="nil"/>
              <w:right w:val="nil"/>
            </w:tcBorders>
            <w:shd w:val="clear" w:color="auto" w:fill="auto"/>
            <w:noWrap/>
            <w:vAlign w:val="center"/>
          </w:tcPr>
          <w:p w14:paraId="4B474BC6" w14:textId="7710DDCB"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1.571.837</w:t>
            </w:r>
          </w:p>
        </w:tc>
        <w:tc>
          <w:tcPr>
            <w:tcW w:w="551" w:type="pct"/>
            <w:tcBorders>
              <w:top w:val="nil"/>
              <w:left w:val="nil"/>
              <w:bottom w:val="nil"/>
              <w:right w:val="nil"/>
            </w:tcBorders>
            <w:shd w:val="clear" w:color="auto" w:fill="auto"/>
            <w:vAlign w:val="center"/>
          </w:tcPr>
          <w:p w14:paraId="0932D4E2" w14:textId="16091CA7"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1.758.184</w:t>
            </w:r>
          </w:p>
        </w:tc>
      </w:tr>
      <w:tr w:rsidR="0058116E" w:rsidRPr="00A33766" w14:paraId="392E9E09" w14:textId="77777777" w:rsidTr="00BD0713">
        <w:trPr>
          <w:trHeight w:val="283"/>
        </w:trPr>
        <w:tc>
          <w:tcPr>
            <w:tcW w:w="531" w:type="pct"/>
            <w:tcBorders>
              <w:top w:val="nil"/>
              <w:left w:val="nil"/>
              <w:bottom w:val="single" w:sz="4" w:space="0" w:color="F39200"/>
              <w:right w:val="nil"/>
            </w:tcBorders>
            <w:shd w:val="clear" w:color="auto" w:fill="auto"/>
            <w:vAlign w:val="center"/>
          </w:tcPr>
          <w:p w14:paraId="4F146B0B" w14:textId="0CD66573"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mai</w:t>
            </w:r>
            <w:proofErr w:type="spellEnd"/>
            <w:r w:rsidRPr="00FF4346">
              <w:rPr>
                <w:rFonts w:ascii="CAIXA Std Book" w:hAnsi="CAIXA Std Book" w:cs="Arial"/>
                <w:color w:val="005CA9"/>
                <w:sz w:val="16"/>
                <w:szCs w:val="16"/>
              </w:rPr>
              <w:t>/</w:t>
            </w:r>
            <w:r w:rsidRPr="00FF4346">
              <w:rPr>
                <w:rFonts w:ascii="CAIXA Std Book" w:hAnsi="CAIXA Std Book"/>
                <w:color w:val="005CA9"/>
                <w:sz w:val="16"/>
                <w:szCs w:val="16"/>
              </w:rPr>
              <w:t>44</w:t>
            </w:r>
          </w:p>
        </w:tc>
        <w:tc>
          <w:tcPr>
            <w:tcW w:w="890" w:type="pct"/>
            <w:tcBorders>
              <w:top w:val="nil"/>
              <w:left w:val="nil"/>
              <w:bottom w:val="single" w:sz="4" w:space="0" w:color="F39200"/>
              <w:right w:val="nil"/>
            </w:tcBorders>
            <w:shd w:val="clear" w:color="auto" w:fill="auto"/>
            <w:vAlign w:val="center"/>
          </w:tcPr>
          <w:p w14:paraId="5D5B570B"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5,23%</w:t>
            </w:r>
          </w:p>
        </w:tc>
        <w:tc>
          <w:tcPr>
            <w:tcW w:w="437" w:type="pct"/>
            <w:tcBorders>
              <w:top w:val="nil"/>
              <w:left w:val="nil"/>
              <w:bottom w:val="single" w:sz="4" w:space="0" w:color="F39200"/>
              <w:right w:val="nil"/>
            </w:tcBorders>
            <w:shd w:val="clear" w:color="auto" w:fill="auto"/>
            <w:noWrap/>
            <w:vAlign w:val="center"/>
          </w:tcPr>
          <w:p w14:paraId="142716DE"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set/17</w:t>
            </w:r>
          </w:p>
        </w:tc>
        <w:tc>
          <w:tcPr>
            <w:tcW w:w="525" w:type="pct"/>
            <w:tcBorders>
              <w:top w:val="nil"/>
              <w:left w:val="nil"/>
              <w:bottom w:val="single" w:sz="4" w:space="0" w:color="F39200"/>
              <w:right w:val="nil"/>
            </w:tcBorders>
            <w:shd w:val="clear" w:color="auto" w:fill="auto"/>
            <w:noWrap/>
            <w:vAlign w:val="center"/>
          </w:tcPr>
          <w:p w14:paraId="3AA4FC45" w14:textId="292FD4AA"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2.000.000</w:t>
            </w:r>
          </w:p>
        </w:tc>
        <w:tc>
          <w:tcPr>
            <w:tcW w:w="533" w:type="pct"/>
            <w:tcBorders>
              <w:top w:val="nil"/>
              <w:left w:val="nil"/>
              <w:bottom w:val="single" w:sz="4" w:space="0" w:color="F39200"/>
              <w:right w:val="nil"/>
            </w:tcBorders>
            <w:shd w:val="clear" w:color="auto" w:fill="auto"/>
            <w:noWrap/>
            <w:vAlign w:val="center"/>
          </w:tcPr>
          <w:p w14:paraId="666EB0B1" w14:textId="54D77EA6" w:rsidR="0058116E" w:rsidRPr="00F16BF1"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900.371</w:t>
            </w:r>
          </w:p>
        </w:tc>
        <w:tc>
          <w:tcPr>
            <w:tcW w:w="566" w:type="pct"/>
            <w:tcBorders>
              <w:top w:val="nil"/>
              <w:left w:val="nil"/>
              <w:bottom w:val="single" w:sz="4" w:space="0" w:color="F39200"/>
              <w:right w:val="nil"/>
            </w:tcBorders>
            <w:shd w:val="clear" w:color="auto" w:fill="auto"/>
            <w:noWrap/>
            <w:vAlign w:val="center"/>
          </w:tcPr>
          <w:p w14:paraId="3F7D5709" w14:textId="0C53DB7F" w:rsidR="0058116E" w:rsidRPr="00F16BF1" w:rsidRDefault="009C6B28" w:rsidP="009C6B28">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single" w:sz="4" w:space="0" w:color="F39200"/>
              <w:right w:val="nil"/>
            </w:tcBorders>
            <w:vAlign w:val="center"/>
          </w:tcPr>
          <w:p w14:paraId="4680BADA" w14:textId="0CE43715" w:rsidR="0058116E" w:rsidRPr="00FF4346" w:rsidRDefault="0058116E" w:rsidP="0058116E">
            <w:pPr>
              <w:jc w:val="center"/>
              <w:rPr>
                <w:rFonts w:ascii="CAIXA Std Book" w:hAnsi="CAIXA Std Book"/>
                <w:color w:val="005CA9"/>
                <w:sz w:val="16"/>
                <w:szCs w:val="16"/>
              </w:rPr>
            </w:pPr>
            <w:r w:rsidRPr="00FF4346">
              <w:rPr>
                <w:rFonts w:ascii="CAIXA Std Book" w:hAnsi="CAIXA Std Book" w:cs="Arial"/>
                <w:color w:val="005CA9"/>
                <w:sz w:val="16"/>
                <w:szCs w:val="16"/>
              </w:rPr>
              <w:t> -</w:t>
            </w:r>
          </w:p>
        </w:tc>
        <w:tc>
          <w:tcPr>
            <w:tcW w:w="550" w:type="pct"/>
            <w:tcBorders>
              <w:top w:val="nil"/>
              <w:left w:val="nil"/>
              <w:bottom w:val="single" w:sz="4" w:space="0" w:color="F39200"/>
              <w:right w:val="nil"/>
            </w:tcBorders>
            <w:shd w:val="clear" w:color="auto" w:fill="auto"/>
            <w:noWrap/>
            <w:vAlign w:val="center"/>
          </w:tcPr>
          <w:p w14:paraId="538D1B14" w14:textId="3E2E60CD" w:rsidR="0058116E" w:rsidRPr="00FF4346" w:rsidRDefault="0058116E" w:rsidP="0058116E">
            <w:pPr>
              <w:jc w:val="right"/>
              <w:rPr>
                <w:rFonts w:ascii="CAIXA Std Book" w:hAnsi="CAIXA Std Book" w:cs="Arial"/>
                <w:color w:val="005CA9"/>
                <w:sz w:val="16"/>
                <w:szCs w:val="16"/>
              </w:rPr>
            </w:pPr>
            <w:r>
              <w:rPr>
                <w:rFonts w:ascii="CAIXA Std Book" w:hAnsi="CAIXA Std Book" w:cs="Arial"/>
                <w:color w:val="005CA9"/>
                <w:sz w:val="16"/>
                <w:szCs w:val="16"/>
              </w:rPr>
              <w:t>2.900.371</w:t>
            </w:r>
          </w:p>
        </w:tc>
        <w:tc>
          <w:tcPr>
            <w:tcW w:w="551" w:type="pct"/>
            <w:tcBorders>
              <w:top w:val="nil"/>
              <w:left w:val="nil"/>
              <w:bottom w:val="single" w:sz="4" w:space="0" w:color="F39200"/>
              <w:right w:val="nil"/>
            </w:tcBorders>
            <w:shd w:val="clear" w:color="auto" w:fill="auto"/>
            <w:vAlign w:val="center"/>
          </w:tcPr>
          <w:p w14:paraId="6754BEF5" w14:textId="7BDCCF1E"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2.858.874</w:t>
            </w:r>
          </w:p>
        </w:tc>
      </w:tr>
      <w:tr w:rsidR="003B2B2A" w:rsidRPr="00A33766" w14:paraId="134B813B" w14:textId="77777777" w:rsidTr="00DC3D01">
        <w:trPr>
          <w:trHeight w:val="283"/>
        </w:trPr>
        <w:tc>
          <w:tcPr>
            <w:tcW w:w="5000" w:type="pct"/>
            <w:gridSpan w:val="9"/>
            <w:tcBorders>
              <w:top w:val="single" w:sz="4" w:space="0" w:color="F39200"/>
              <w:left w:val="nil"/>
              <w:bottom w:val="single" w:sz="4" w:space="0" w:color="F39200"/>
              <w:right w:val="nil"/>
            </w:tcBorders>
            <w:vAlign w:val="center"/>
          </w:tcPr>
          <w:p w14:paraId="4C23C50E" w14:textId="77777777" w:rsidR="00681A81" w:rsidRPr="00FF4346" w:rsidRDefault="00681A81" w:rsidP="00117988">
            <w:pPr>
              <w:jc w:val="center"/>
              <w:rPr>
                <w:rFonts w:ascii="CAIXA Std Book" w:hAnsi="CAIXA Std Book"/>
                <w:color w:val="005CA9"/>
                <w:sz w:val="16"/>
                <w:szCs w:val="16"/>
              </w:rPr>
            </w:pPr>
            <w:r w:rsidRPr="00FF4346">
              <w:rPr>
                <w:rFonts w:ascii="CAIXA Std Book" w:hAnsi="CAIXA Std Book"/>
                <w:color w:val="005CA9"/>
                <w:sz w:val="16"/>
                <w:szCs w:val="16"/>
              </w:rPr>
              <w:t>Letras financeiras elegíveis</w:t>
            </w:r>
          </w:p>
        </w:tc>
      </w:tr>
      <w:tr w:rsidR="0058116E" w:rsidRPr="00A33766" w14:paraId="215567BD" w14:textId="77777777" w:rsidTr="00BD0713">
        <w:trPr>
          <w:trHeight w:val="283"/>
        </w:trPr>
        <w:tc>
          <w:tcPr>
            <w:tcW w:w="531" w:type="pct"/>
            <w:tcBorders>
              <w:top w:val="nil"/>
              <w:left w:val="nil"/>
              <w:bottom w:val="nil"/>
              <w:right w:val="nil"/>
            </w:tcBorders>
            <w:shd w:val="clear" w:color="auto" w:fill="auto"/>
            <w:vAlign w:val="center"/>
            <w:hideMark/>
          </w:tcPr>
          <w:p w14:paraId="79A39400" w14:textId="2AA758C6"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jun</w:t>
            </w:r>
            <w:proofErr w:type="spellEnd"/>
            <w:r w:rsidRPr="00FF4346">
              <w:rPr>
                <w:rFonts w:ascii="CAIXA Std Book" w:hAnsi="CAIXA Std Book"/>
                <w:color w:val="005CA9"/>
                <w:sz w:val="16"/>
                <w:szCs w:val="16"/>
              </w:rPr>
              <w:t>/24</w:t>
            </w:r>
          </w:p>
        </w:tc>
        <w:tc>
          <w:tcPr>
            <w:tcW w:w="890" w:type="pct"/>
            <w:tcBorders>
              <w:top w:val="nil"/>
              <w:left w:val="nil"/>
              <w:bottom w:val="nil"/>
              <w:right w:val="nil"/>
            </w:tcBorders>
            <w:shd w:val="clear" w:color="auto" w:fill="auto"/>
            <w:vAlign w:val="center"/>
            <w:hideMark/>
          </w:tcPr>
          <w:p w14:paraId="1371C9AD"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100%IPCA + 6,95%</w:t>
            </w:r>
          </w:p>
        </w:tc>
        <w:tc>
          <w:tcPr>
            <w:tcW w:w="437" w:type="pct"/>
            <w:tcBorders>
              <w:top w:val="nil"/>
              <w:left w:val="nil"/>
              <w:bottom w:val="nil"/>
              <w:right w:val="nil"/>
            </w:tcBorders>
            <w:shd w:val="clear" w:color="auto" w:fill="auto"/>
            <w:noWrap/>
            <w:vAlign w:val="center"/>
            <w:hideMark/>
          </w:tcPr>
          <w:p w14:paraId="0F52A720"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jun</w:t>
            </w:r>
            <w:proofErr w:type="spellEnd"/>
            <w:r w:rsidRPr="00FF4346">
              <w:rPr>
                <w:rFonts w:ascii="CAIXA Std Book" w:hAnsi="CAIXA Std Book"/>
                <w:color w:val="005CA9"/>
                <w:sz w:val="16"/>
                <w:szCs w:val="16"/>
              </w:rPr>
              <w:t>/14</w:t>
            </w:r>
          </w:p>
        </w:tc>
        <w:tc>
          <w:tcPr>
            <w:tcW w:w="525" w:type="pct"/>
            <w:tcBorders>
              <w:top w:val="nil"/>
              <w:left w:val="nil"/>
              <w:bottom w:val="nil"/>
              <w:right w:val="nil"/>
            </w:tcBorders>
            <w:shd w:val="clear" w:color="auto" w:fill="auto"/>
            <w:noWrap/>
            <w:vAlign w:val="center"/>
          </w:tcPr>
          <w:p w14:paraId="70E22FB8" w14:textId="2A3AA297"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200.000</w:t>
            </w:r>
          </w:p>
        </w:tc>
        <w:tc>
          <w:tcPr>
            <w:tcW w:w="533" w:type="pct"/>
            <w:tcBorders>
              <w:top w:val="nil"/>
              <w:left w:val="nil"/>
              <w:bottom w:val="nil"/>
              <w:right w:val="nil"/>
            </w:tcBorders>
            <w:shd w:val="clear" w:color="auto" w:fill="auto"/>
            <w:noWrap/>
            <w:vAlign w:val="center"/>
          </w:tcPr>
          <w:p w14:paraId="304D8F6B" w14:textId="42D586AB"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474.223</w:t>
            </w:r>
          </w:p>
        </w:tc>
        <w:tc>
          <w:tcPr>
            <w:tcW w:w="566" w:type="pct"/>
            <w:tcBorders>
              <w:top w:val="nil"/>
              <w:left w:val="nil"/>
              <w:bottom w:val="nil"/>
              <w:right w:val="nil"/>
            </w:tcBorders>
            <w:shd w:val="clear" w:color="auto" w:fill="auto"/>
            <w:noWrap/>
            <w:vAlign w:val="center"/>
          </w:tcPr>
          <w:p w14:paraId="2A83D32A" w14:textId="081844C6" w:rsidR="0058116E" w:rsidRPr="0058116E" w:rsidRDefault="009C6B28" w:rsidP="0058116E">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1E48BD30" w14:textId="149C1B3A"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2.781</w:t>
            </w:r>
          </w:p>
        </w:tc>
        <w:tc>
          <w:tcPr>
            <w:tcW w:w="550" w:type="pct"/>
            <w:tcBorders>
              <w:top w:val="nil"/>
              <w:left w:val="nil"/>
              <w:bottom w:val="nil"/>
              <w:right w:val="nil"/>
            </w:tcBorders>
            <w:shd w:val="clear" w:color="auto" w:fill="auto"/>
            <w:noWrap/>
            <w:vAlign w:val="center"/>
          </w:tcPr>
          <w:p w14:paraId="678EA67D" w14:textId="43CD3006"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677.004</w:t>
            </w:r>
          </w:p>
        </w:tc>
        <w:tc>
          <w:tcPr>
            <w:tcW w:w="551" w:type="pct"/>
            <w:tcBorders>
              <w:top w:val="nil"/>
              <w:left w:val="nil"/>
              <w:bottom w:val="nil"/>
              <w:right w:val="nil"/>
            </w:tcBorders>
            <w:shd w:val="clear" w:color="auto" w:fill="auto"/>
            <w:noWrap/>
            <w:vAlign w:val="center"/>
            <w:hideMark/>
          </w:tcPr>
          <w:p w14:paraId="6695F142" w14:textId="64F2DF0F"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659.595</w:t>
            </w:r>
          </w:p>
        </w:tc>
      </w:tr>
      <w:tr w:rsidR="0058116E" w:rsidRPr="00A33766" w14:paraId="6C5C216E" w14:textId="77777777" w:rsidTr="00BD0713">
        <w:trPr>
          <w:trHeight w:val="283"/>
        </w:trPr>
        <w:tc>
          <w:tcPr>
            <w:tcW w:w="531" w:type="pct"/>
            <w:tcBorders>
              <w:top w:val="nil"/>
              <w:left w:val="nil"/>
              <w:bottom w:val="nil"/>
              <w:right w:val="nil"/>
            </w:tcBorders>
            <w:shd w:val="clear" w:color="auto" w:fill="auto"/>
            <w:vAlign w:val="center"/>
            <w:hideMark/>
          </w:tcPr>
          <w:p w14:paraId="647993AD" w14:textId="7B1E3B94"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/25</w:t>
            </w:r>
          </w:p>
        </w:tc>
        <w:tc>
          <w:tcPr>
            <w:tcW w:w="890" w:type="pct"/>
            <w:tcBorders>
              <w:top w:val="nil"/>
              <w:left w:val="nil"/>
              <w:bottom w:val="nil"/>
              <w:right w:val="nil"/>
            </w:tcBorders>
            <w:shd w:val="clear" w:color="auto" w:fill="auto"/>
            <w:vAlign w:val="center"/>
            <w:hideMark/>
          </w:tcPr>
          <w:p w14:paraId="272341C5"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100%IPCA + 6,58%</w:t>
            </w:r>
          </w:p>
        </w:tc>
        <w:tc>
          <w:tcPr>
            <w:tcW w:w="437" w:type="pct"/>
            <w:tcBorders>
              <w:top w:val="nil"/>
              <w:left w:val="nil"/>
              <w:bottom w:val="nil"/>
              <w:right w:val="nil"/>
            </w:tcBorders>
            <w:shd w:val="clear" w:color="auto" w:fill="auto"/>
            <w:noWrap/>
            <w:vAlign w:val="center"/>
            <w:hideMark/>
          </w:tcPr>
          <w:p w14:paraId="0E9EE7F4"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/15</w:t>
            </w:r>
          </w:p>
        </w:tc>
        <w:tc>
          <w:tcPr>
            <w:tcW w:w="525" w:type="pct"/>
            <w:tcBorders>
              <w:top w:val="nil"/>
              <w:left w:val="nil"/>
              <w:bottom w:val="nil"/>
              <w:right w:val="nil"/>
            </w:tcBorders>
            <w:shd w:val="clear" w:color="auto" w:fill="auto"/>
            <w:noWrap/>
            <w:vAlign w:val="center"/>
          </w:tcPr>
          <w:p w14:paraId="013536C3" w14:textId="76BD5D28"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1.200</w:t>
            </w:r>
          </w:p>
        </w:tc>
        <w:tc>
          <w:tcPr>
            <w:tcW w:w="533" w:type="pct"/>
            <w:tcBorders>
              <w:top w:val="nil"/>
              <w:left w:val="nil"/>
              <w:bottom w:val="nil"/>
              <w:right w:val="nil"/>
            </w:tcBorders>
            <w:shd w:val="clear" w:color="auto" w:fill="auto"/>
            <w:noWrap/>
            <w:vAlign w:val="center"/>
          </w:tcPr>
          <w:p w14:paraId="71829660" w14:textId="31B8399C"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2.421</w:t>
            </w:r>
          </w:p>
        </w:tc>
        <w:tc>
          <w:tcPr>
            <w:tcW w:w="566" w:type="pct"/>
            <w:tcBorders>
              <w:top w:val="nil"/>
              <w:left w:val="nil"/>
              <w:bottom w:val="nil"/>
              <w:right w:val="nil"/>
            </w:tcBorders>
            <w:shd w:val="clear" w:color="auto" w:fill="auto"/>
            <w:noWrap/>
            <w:vAlign w:val="center"/>
          </w:tcPr>
          <w:p w14:paraId="39CFE247" w14:textId="261304CC" w:rsidR="0058116E" w:rsidRPr="0058116E" w:rsidRDefault="009C6B28" w:rsidP="0058116E">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7728977B" w14:textId="0386F0F0"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82</w:t>
            </w:r>
          </w:p>
        </w:tc>
        <w:tc>
          <w:tcPr>
            <w:tcW w:w="550" w:type="pct"/>
            <w:tcBorders>
              <w:top w:val="nil"/>
              <w:left w:val="nil"/>
              <w:bottom w:val="nil"/>
              <w:right w:val="nil"/>
            </w:tcBorders>
            <w:shd w:val="clear" w:color="auto" w:fill="auto"/>
            <w:noWrap/>
            <w:vAlign w:val="center"/>
          </w:tcPr>
          <w:p w14:paraId="6B4833C8" w14:textId="6AD5E3CD"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3.703</w:t>
            </w:r>
          </w:p>
        </w:tc>
        <w:tc>
          <w:tcPr>
            <w:tcW w:w="551" w:type="pct"/>
            <w:tcBorders>
              <w:top w:val="nil"/>
              <w:left w:val="nil"/>
              <w:bottom w:val="nil"/>
              <w:right w:val="nil"/>
            </w:tcBorders>
            <w:shd w:val="clear" w:color="auto" w:fill="auto"/>
            <w:noWrap/>
            <w:vAlign w:val="center"/>
            <w:hideMark/>
          </w:tcPr>
          <w:p w14:paraId="4BF7614A" w14:textId="22BD309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3.639</w:t>
            </w:r>
          </w:p>
        </w:tc>
      </w:tr>
      <w:tr w:rsidR="0058116E" w:rsidRPr="00A33766" w14:paraId="46856D4E" w14:textId="77777777" w:rsidTr="00BD0713">
        <w:trPr>
          <w:trHeight w:val="283"/>
        </w:trPr>
        <w:tc>
          <w:tcPr>
            <w:tcW w:w="531" w:type="pct"/>
            <w:tcBorders>
              <w:top w:val="nil"/>
              <w:left w:val="nil"/>
              <w:bottom w:val="nil"/>
              <w:right w:val="nil"/>
            </w:tcBorders>
            <w:shd w:val="clear" w:color="auto" w:fill="auto"/>
            <w:vAlign w:val="center"/>
            <w:hideMark/>
          </w:tcPr>
          <w:p w14:paraId="257B7917" w14:textId="31AA9F91"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/25</w:t>
            </w:r>
          </w:p>
        </w:tc>
        <w:tc>
          <w:tcPr>
            <w:tcW w:w="890" w:type="pct"/>
            <w:tcBorders>
              <w:top w:val="nil"/>
              <w:left w:val="nil"/>
              <w:bottom w:val="nil"/>
              <w:right w:val="nil"/>
            </w:tcBorders>
            <w:shd w:val="clear" w:color="auto" w:fill="auto"/>
            <w:vAlign w:val="center"/>
            <w:hideMark/>
          </w:tcPr>
          <w:p w14:paraId="0CE13236"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100%IPCA + 6,74%</w:t>
            </w:r>
          </w:p>
        </w:tc>
        <w:tc>
          <w:tcPr>
            <w:tcW w:w="437" w:type="pct"/>
            <w:tcBorders>
              <w:top w:val="nil"/>
              <w:left w:val="nil"/>
              <w:bottom w:val="nil"/>
              <w:right w:val="nil"/>
            </w:tcBorders>
            <w:shd w:val="clear" w:color="auto" w:fill="auto"/>
            <w:noWrap/>
            <w:vAlign w:val="center"/>
            <w:hideMark/>
          </w:tcPr>
          <w:p w14:paraId="365006B4"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/15</w:t>
            </w:r>
          </w:p>
        </w:tc>
        <w:tc>
          <w:tcPr>
            <w:tcW w:w="525" w:type="pct"/>
            <w:tcBorders>
              <w:top w:val="nil"/>
              <w:left w:val="nil"/>
              <w:bottom w:val="nil"/>
              <w:right w:val="nil"/>
            </w:tcBorders>
            <w:shd w:val="clear" w:color="auto" w:fill="auto"/>
            <w:noWrap/>
            <w:vAlign w:val="center"/>
          </w:tcPr>
          <w:p w14:paraId="371DED00" w14:textId="5865777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1.200</w:t>
            </w:r>
          </w:p>
        </w:tc>
        <w:tc>
          <w:tcPr>
            <w:tcW w:w="533" w:type="pct"/>
            <w:tcBorders>
              <w:top w:val="nil"/>
              <w:left w:val="nil"/>
              <w:bottom w:val="nil"/>
              <w:right w:val="nil"/>
            </w:tcBorders>
            <w:shd w:val="clear" w:color="auto" w:fill="auto"/>
            <w:noWrap/>
            <w:vAlign w:val="center"/>
          </w:tcPr>
          <w:p w14:paraId="1219E907" w14:textId="2A912DA7"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2.388</w:t>
            </w:r>
          </w:p>
        </w:tc>
        <w:tc>
          <w:tcPr>
            <w:tcW w:w="566" w:type="pct"/>
            <w:tcBorders>
              <w:top w:val="nil"/>
              <w:left w:val="nil"/>
              <w:bottom w:val="nil"/>
              <w:right w:val="nil"/>
            </w:tcBorders>
            <w:shd w:val="clear" w:color="auto" w:fill="auto"/>
            <w:noWrap/>
            <w:vAlign w:val="center"/>
          </w:tcPr>
          <w:p w14:paraId="070D64B9" w14:textId="42ABC7AC" w:rsidR="0058116E" w:rsidRPr="0058116E" w:rsidRDefault="009C6B28" w:rsidP="0058116E">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bottom w:val="nil"/>
              <w:right w:val="nil"/>
            </w:tcBorders>
            <w:vAlign w:val="center"/>
          </w:tcPr>
          <w:p w14:paraId="27DDC302" w14:textId="1E913503"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81</w:t>
            </w:r>
          </w:p>
        </w:tc>
        <w:tc>
          <w:tcPr>
            <w:tcW w:w="550" w:type="pct"/>
            <w:tcBorders>
              <w:top w:val="nil"/>
              <w:left w:val="nil"/>
              <w:bottom w:val="nil"/>
              <w:right w:val="nil"/>
            </w:tcBorders>
            <w:shd w:val="clear" w:color="auto" w:fill="auto"/>
            <w:noWrap/>
            <w:vAlign w:val="center"/>
          </w:tcPr>
          <w:p w14:paraId="018EE73E" w14:textId="43AB89A8"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3.669</w:t>
            </w:r>
          </w:p>
        </w:tc>
        <w:tc>
          <w:tcPr>
            <w:tcW w:w="551" w:type="pct"/>
            <w:tcBorders>
              <w:top w:val="nil"/>
              <w:left w:val="nil"/>
              <w:bottom w:val="nil"/>
            </w:tcBorders>
            <w:shd w:val="clear" w:color="auto" w:fill="auto"/>
            <w:noWrap/>
            <w:vAlign w:val="center"/>
            <w:hideMark/>
          </w:tcPr>
          <w:p w14:paraId="6249DBE3" w14:textId="1018B16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3.604</w:t>
            </w:r>
          </w:p>
        </w:tc>
      </w:tr>
      <w:tr w:rsidR="0058116E" w:rsidRPr="00A33766" w14:paraId="0D6C35F0" w14:textId="77777777" w:rsidTr="00BD0713">
        <w:trPr>
          <w:trHeight w:val="283"/>
        </w:trPr>
        <w:tc>
          <w:tcPr>
            <w:tcW w:w="531" w:type="pct"/>
            <w:tcBorders>
              <w:top w:val="nil"/>
              <w:left w:val="nil"/>
              <w:right w:val="nil"/>
            </w:tcBorders>
            <w:shd w:val="clear" w:color="auto" w:fill="auto"/>
            <w:vAlign w:val="center"/>
            <w:hideMark/>
          </w:tcPr>
          <w:p w14:paraId="07BF267A" w14:textId="2BF48350"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/25</w:t>
            </w:r>
          </w:p>
        </w:tc>
        <w:tc>
          <w:tcPr>
            <w:tcW w:w="890" w:type="pct"/>
            <w:tcBorders>
              <w:top w:val="nil"/>
              <w:left w:val="nil"/>
              <w:right w:val="nil"/>
            </w:tcBorders>
            <w:shd w:val="clear" w:color="auto" w:fill="auto"/>
            <w:vAlign w:val="center"/>
            <w:hideMark/>
          </w:tcPr>
          <w:p w14:paraId="4B33C154"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100%IPCA + 6,65%</w:t>
            </w:r>
          </w:p>
        </w:tc>
        <w:tc>
          <w:tcPr>
            <w:tcW w:w="437" w:type="pct"/>
            <w:tcBorders>
              <w:top w:val="nil"/>
              <w:left w:val="nil"/>
              <w:right w:val="nil"/>
            </w:tcBorders>
            <w:shd w:val="clear" w:color="auto" w:fill="auto"/>
            <w:noWrap/>
            <w:vAlign w:val="center"/>
            <w:hideMark/>
          </w:tcPr>
          <w:p w14:paraId="1B8C9766" w14:textId="77777777" w:rsidR="0058116E" w:rsidRPr="00FF4346" w:rsidRDefault="0058116E" w:rsidP="0058116E">
            <w:pPr>
              <w:jc w:val="center"/>
              <w:rPr>
                <w:rFonts w:ascii="CAIXA Std Book" w:hAnsi="CAIXA Std Book"/>
                <w:color w:val="005CA9"/>
                <w:sz w:val="16"/>
                <w:szCs w:val="16"/>
              </w:rPr>
            </w:pPr>
            <w:proofErr w:type="spellStart"/>
            <w:r w:rsidRPr="00FF4346">
              <w:rPr>
                <w:rFonts w:ascii="CAIXA Std Book" w:hAnsi="CAIXA Std Book"/>
                <w:color w:val="005CA9"/>
                <w:sz w:val="16"/>
                <w:szCs w:val="16"/>
              </w:rPr>
              <w:t>fev</w:t>
            </w:r>
            <w:proofErr w:type="spellEnd"/>
            <w:r w:rsidRPr="00FF4346">
              <w:rPr>
                <w:rFonts w:ascii="CAIXA Std Book" w:hAnsi="CAIXA Std Book"/>
                <w:color w:val="005CA9"/>
                <w:sz w:val="16"/>
                <w:szCs w:val="16"/>
              </w:rPr>
              <w:t>/15</w:t>
            </w:r>
          </w:p>
        </w:tc>
        <w:tc>
          <w:tcPr>
            <w:tcW w:w="525" w:type="pct"/>
            <w:tcBorders>
              <w:top w:val="nil"/>
              <w:left w:val="nil"/>
              <w:right w:val="nil"/>
            </w:tcBorders>
            <w:shd w:val="clear" w:color="auto" w:fill="auto"/>
            <w:noWrap/>
            <w:vAlign w:val="center"/>
          </w:tcPr>
          <w:p w14:paraId="7B98DC66" w14:textId="44806DD3"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2.400</w:t>
            </w:r>
          </w:p>
        </w:tc>
        <w:tc>
          <w:tcPr>
            <w:tcW w:w="533" w:type="pct"/>
            <w:tcBorders>
              <w:top w:val="nil"/>
              <w:left w:val="nil"/>
              <w:right w:val="nil"/>
            </w:tcBorders>
            <w:shd w:val="clear" w:color="auto" w:fill="auto"/>
            <w:noWrap/>
            <w:vAlign w:val="center"/>
          </w:tcPr>
          <w:p w14:paraId="324C25AC" w14:textId="26CCDC82"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4.781</w:t>
            </w:r>
          </w:p>
        </w:tc>
        <w:tc>
          <w:tcPr>
            <w:tcW w:w="566" w:type="pct"/>
            <w:tcBorders>
              <w:top w:val="nil"/>
              <w:left w:val="nil"/>
              <w:right w:val="nil"/>
            </w:tcBorders>
            <w:shd w:val="clear" w:color="auto" w:fill="auto"/>
            <w:noWrap/>
            <w:vAlign w:val="center"/>
          </w:tcPr>
          <w:p w14:paraId="2E4E11A0" w14:textId="5317E8DA" w:rsidR="0058116E" w:rsidRPr="0058116E" w:rsidRDefault="009C6B28" w:rsidP="0058116E">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right w:val="nil"/>
            </w:tcBorders>
            <w:vAlign w:val="center"/>
          </w:tcPr>
          <w:p w14:paraId="0406EE50" w14:textId="1C341EFA"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140</w:t>
            </w:r>
          </w:p>
        </w:tc>
        <w:tc>
          <w:tcPr>
            <w:tcW w:w="550" w:type="pct"/>
            <w:tcBorders>
              <w:top w:val="nil"/>
              <w:left w:val="nil"/>
              <w:right w:val="nil"/>
            </w:tcBorders>
            <w:shd w:val="clear" w:color="auto" w:fill="auto"/>
            <w:noWrap/>
            <w:vAlign w:val="center"/>
          </w:tcPr>
          <w:p w14:paraId="18F1159B" w14:textId="169515B2"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7.321</w:t>
            </w:r>
          </w:p>
        </w:tc>
        <w:tc>
          <w:tcPr>
            <w:tcW w:w="551" w:type="pct"/>
            <w:tcBorders>
              <w:top w:val="nil"/>
              <w:left w:val="nil"/>
              <w:right w:val="nil"/>
            </w:tcBorders>
            <w:shd w:val="clear" w:color="auto" w:fill="auto"/>
            <w:noWrap/>
            <w:vAlign w:val="center"/>
            <w:hideMark/>
          </w:tcPr>
          <w:p w14:paraId="73D6AB08" w14:textId="26292581"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7.191</w:t>
            </w:r>
          </w:p>
        </w:tc>
      </w:tr>
      <w:tr w:rsidR="0058116E" w:rsidRPr="00A33766" w14:paraId="79F1A8C8" w14:textId="77777777" w:rsidTr="00BD0713">
        <w:trPr>
          <w:trHeight w:val="283"/>
        </w:trPr>
        <w:tc>
          <w:tcPr>
            <w:tcW w:w="531" w:type="pct"/>
            <w:tcBorders>
              <w:top w:val="nil"/>
              <w:left w:val="nil"/>
              <w:right w:val="nil"/>
            </w:tcBorders>
            <w:shd w:val="clear" w:color="auto" w:fill="auto"/>
            <w:vAlign w:val="center"/>
            <w:hideMark/>
          </w:tcPr>
          <w:p w14:paraId="0B5DFE8C" w14:textId="6657D7D9"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mar/25</w:t>
            </w:r>
          </w:p>
        </w:tc>
        <w:tc>
          <w:tcPr>
            <w:tcW w:w="890" w:type="pct"/>
            <w:tcBorders>
              <w:top w:val="nil"/>
              <w:left w:val="nil"/>
              <w:right w:val="nil"/>
            </w:tcBorders>
            <w:shd w:val="clear" w:color="auto" w:fill="auto"/>
            <w:vAlign w:val="center"/>
            <w:hideMark/>
          </w:tcPr>
          <w:p w14:paraId="2FFB09D7"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100%IPCA + 6,45%</w:t>
            </w:r>
          </w:p>
        </w:tc>
        <w:tc>
          <w:tcPr>
            <w:tcW w:w="437" w:type="pct"/>
            <w:tcBorders>
              <w:top w:val="nil"/>
              <w:left w:val="nil"/>
              <w:right w:val="nil"/>
            </w:tcBorders>
            <w:shd w:val="clear" w:color="auto" w:fill="auto"/>
            <w:noWrap/>
            <w:vAlign w:val="center"/>
            <w:hideMark/>
          </w:tcPr>
          <w:p w14:paraId="4CB553CC" w14:textId="77777777" w:rsidR="0058116E" w:rsidRPr="00FF4346" w:rsidRDefault="0058116E" w:rsidP="0058116E">
            <w:pPr>
              <w:jc w:val="center"/>
              <w:rPr>
                <w:rFonts w:ascii="CAIXA Std Book" w:hAnsi="CAIXA Std Book"/>
                <w:color w:val="005CA9"/>
                <w:sz w:val="16"/>
                <w:szCs w:val="16"/>
              </w:rPr>
            </w:pPr>
            <w:r w:rsidRPr="00FF4346">
              <w:rPr>
                <w:rFonts w:ascii="CAIXA Std Book" w:hAnsi="CAIXA Std Book"/>
                <w:color w:val="005CA9"/>
                <w:sz w:val="16"/>
                <w:szCs w:val="16"/>
              </w:rPr>
              <w:t>mar/15</w:t>
            </w:r>
          </w:p>
        </w:tc>
        <w:tc>
          <w:tcPr>
            <w:tcW w:w="525" w:type="pct"/>
            <w:tcBorders>
              <w:top w:val="nil"/>
              <w:left w:val="nil"/>
              <w:right w:val="nil"/>
            </w:tcBorders>
            <w:shd w:val="clear" w:color="auto" w:fill="auto"/>
            <w:noWrap/>
            <w:vAlign w:val="center"/>
          </w:tcPr>
          <w:p w14:paraId="635C9904" w14:textId="6849582B"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1.200</w:t>
            </w:r>
          </w:p>
        </w:tc>
        <w:tc>
          <w:tcPr>
            <w:tcW w:w="533" w:type="pct"/>
            <w:tcBorders>
              <w:top w:val="nil"/>
              <w:left w:val="nil"/>
              <w:right w:val="nil"/>
            </w:tcBorders>
            <w:shd w:val="clear" w:color="auto" w:fill="auto"/>
            <w:noWrap/>
            <w:vAlign w:val="center"/>
          </w:tcPr>
          <w:p w14:paraId="72671B79" w14:textId="706DFBF8"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2.326</w:t>
            </w:r>
          </w:p>
        </w:tc>
        <w:tc>
          <w:tcPr>
            <w:tcW w:w="566" w:type="pct"/>
            <w:tcBorders>
              <w:top w:val="nil"/>
              <w:left w:val="nil"/>
              <w:right w:val="nil"/>
            </w:tcBorders>
            <w:shd w:val="clear" w:color="auto" w:fill="auto"/>
            <w:noWrap/>
            <w:vAlign w:val="center"/>
          </w:tcPr>
          <w:p w14:paraId="7895D5CF" w14:textId="574CC517" w:rsidR="0058116E" w:rsidRPr="0058116E" w:rsidRDefault="009C6B28" w:rsidP="0058116E">
            <w:pPr>
              <w:jc w:val="center"/>
              <w:rPr>
                <w:rFonts w:ascii="CAIXA Std Book" w:hAnsi="CAIXA Std Book" w:cs="Arial"/>
                <w:color w:val="005CA9"/>
                <w:sz w:val="16"/>
                <w:szCs w:val="16"/>
              </w:rPr>
            </w:pPr>
            <w:r>
              <w:rPr>
                <w:rFonts w:ascii="CAIXA Std Book" w:hAnsi="CAIXA Std Book" w:cs="Arial"/>
                <w:color w:val="005CA9"/>
                <w:sz w:val="16"/>
                <w:szCs w:val="16"/>
              </w:rPr>
              <w:t>-</w:t>
            </w:r>
          </w:p>
        </w:tc>
        <w:tc>
          <w:tcPr>
            <w:tcW w:w="416" w:type="pct"/>
            <w:tcBorders>
              <w:top w:val="nil"/>
              <w:left w:val="nil"/>
              <w:right w:val="nil"/>
            </w:tcBorders>
            <w:vAlign w:val="center"/>
          </w:tcPr>
          <w:p w14:paraId="273852EC" w14:textId="46683CAC"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77</w:t>
            </w:r>
          </w:p>
        </w:tc>
        <w:tc>
          <w:tcPr>
            <w:tcW w:w="550" w:type="pct"/>
            <w:tcBorders>
              <w:top w:val="nil"/>
              <w:left w:val="nil"/>
              <w:right w:val="nil"/>
            </w:tcBorders>
            <w:shd w:val="clear" w:color="auto" w:fill="auto"/>
            <w:noWrap/>
            <w:vAlign w:val="center"/>
          </w:tcPr>
          <w:p w14:paraId="36D1F0CA" w14:textId="27EC7BC3" w:rsidR="0058116E" w:rsidRPr="0058116E" w:rsidRDefault="0058116E" w:rsidP="0058116E">
            <w:pPr>
              <w:jc w:val="right"/>
              <w:rPr>
                <w:rFonts w:ascii="CAIXA Std Book" w:hAnsi="CAIXA Std Book" w:cs="Arial"/>
                <w:color w:val="005CA9"/>
                <w:sz w:val="16"/>
                <w:szCs w:val="16"/>
              </w:rPr>
            </w:pPr>
            <w:r w:rsidRPr="0058116E">
              <w:rPr>
                <w:rFonts w:ascii="CAIXA Std Book" w:hAnsi="CAIXA Std Book" w:cs="Arial"/>
                <w:color w:val="005CA9"/>
                <w:sz w:val="16"/>
                <w:szCs w:val="16"/>
              </w:rPr>
              <w:t>3.603</w:t>
            </w:r>
          </w:p>
        </w:tc>
        <w:tc>
          <w:tcPr>
            <w:tcW w:w="551" w:type="pct"/>
            <w:tcBorders>
              <w:top w:val="nil"/>
              <w:left w:val="nil"/>
              <w:right w:val="nil"/>
            </w:tcBorders>
            <w:shd w:val="clear" w:color="auto" w:fill="auto"/>
            <w:noWrap/>
            <w:vAlign w:val="center"/>
            <w:hideMark/>
          </w:tcPr>
          <w:p w14:paraId="2F0F530B" w14:textId="2CE71E1A" w:rsidR="0058116E" w:rsidRPr="00FF4346" w:rsidRDefault="0058116E" w:rsidP="0058116E">
            <w:pPr>
              <w:jc w:val="right"/>
              <w:rPr>
                <w:rFonts w:ascii="CAIXA Std Book" w:hAnsi="CAIXA Std Book"/>
                <w:color w:val="005CA9"/>
                <w:sz w:val="16"/>
                <w:szCs w:val="16"/>
              </w:rPr>
            </w:pPr>
            <w:r w:rsidRPr="00FF4346">
              <w:rPr>
                <w:rFonts w:ascii="CAIXA Std Book" w:hAnsi="CAIXA Std Book" w:cs="Arial"/>
                <w:color w:val="005CA9"/>
                <w:sz w:val="16"/>
                <w:szCs w:val="16"/>
              </w:rPr>
              <w:t>3.538</w:t>
            </w:r>
          </w:p>
        </w:tc>
      </w:tr>
      <w:tr w:rsidR="000E45E0" w:rsidRPr="00A33766" w14:paraId="1F081E25" w14:textId="77777777" w:rsidTr="00BD0713">
        <w:trPr>
          <w:trHeight w:val="283"/>
        </w:trPr>
        <w:tc>
          <w:tcPr>
            <w:tcW w:w="531" w:type="pct"/>
            <w:tcBorders>
              <w:top w:val="single" w:sz="4" w:space="0" w:color="F39200"/>
              <w:left w:val="nil"/>
              <w:bottom w:val="single" w:sz="4" w:space="0" w:color="F79646" w:themeColor="accent6"/>
              <w:right w:val="nil"/>
            </w:tcBorders>
            <w:shd w:val="clear" w:color="auto" w:fill="auto"/>
            <w:vAlign w:val="center"/>
            <w:hideMark/>
          </w:tcPr>
          <w:p w14:paraId="11A2A13A" w14:textId="2B91025D" w:rsidR="000E45E0" w:rsidRPr="00FF4346" w:rsidRDefault="000E45E0" w:rsidP="000E45E0">
            <w:pPr>
              <w:rPr>
                <w:rFonts w:ascii="CAIXA Std Book" w:hAnsi="CAIXA Std Book"/>
                <w:b/>
                <w:color w:val="005CA9"/>
                <w:sz w:val="16"/>
                <w:szCs w:val="16"/>
              </w:rPr>
            </w:pPr>
            <w:r w:rsidRPr="00FF4346">
              <w:rPr>
                <w:rFonts w:ascii="CAIXA Std Book" w:hAnsi="CAIXA Std Book"/>
                <w:b/>
                <w:color w:val="005CA9"/>
                <w:sz w:val="16"/>
                <w:szCs w:val="16"/>
              </w:rPr>
              <w:t>Total</w:t>
            </w:r>
          </w:p>
        </w:tc>
        <w:tc>
          <w:tcPr>
            <w:tcW w:w="890" w:type="pct"/>
            <w:tcBorders>
              <w:top w:val="single" w:sz="4" w:space="0" w:color="F39200"/>
              <w:left w:val="nil"/>
              <w:bottom w:val="single" w:sz="4" w:space="0" w:color="F79646" w:themeColor="accent6"/>
              <w:right w:val="nil"/>
            </w:tcBorders>
            <w:shd w:val="clear" w:color="auto" w:fill="auto"/>
            <w:noWrap/>
            <w:vAlign w:val="center"/>
            <w:hideMark/>
          </w:tcPr>
          <w:p w14:paraId="270FDF13" w14:textId="77777777" w:rsidR="000E45E0" w:rsidRPr="00FF4346" w:rsidRDefault="000E45E0" w:rsidP="000E45E0">
            <w:pPr>
              <w:jc w:val="center"/>
              <w:rPr>
                <w:rFonts w:ascii="CAIXA Std Book" w:hAnsi="CAIXA Std Book"/>
                <w:b/>
                <w:color w:val="005CA9"/>
                <w:sz w:val="16"/>
                <w:szCs w:val="16"/>
              </w:rPr>
            </w:pPr>
            <w:r w:rsidRPr="00FF4346">
              <w:rPr>
                <w:rFonts w:ascii="CAIXA Std Book" w:hAnsi="CAIXA Std Book"/>
                <w:b/>
                <w:color w:val="005CA9"/>
                <w:sz w:val="16"/>
                <w:szCs w:val="16"/>
              </w:rPr>
              <w:t> </w:t>
            </w:r>
          </w:p>
        </w:tc>
        <w:tc>
          <w:tcPr>
            <w:tcW w:w="437" w:type="pct"/>
            <w:tcBorders>
              <w:top w:val="single" w:sz="4" w:space="0" w:color="F39200"/>
              <w:left w:val="nil"/>
              <w:bottom w:val="single" w:sz="4" w:space="0" w:color="F79646" w:themeColor="accent6"/>
              <w:right w:val="nil"/>
            </w:tcBorders>
            <w:shd w:val="clear" w:color="auto" w:fill="auto"/>
            <w:noWrap/>
            <w:vAlign w:val="center"/>
            <w:hideMark/>
          </w:tcPr>
          <w:p w14:paraId="26EDADCD" w14:textId="77777777" w:rsidR="000E45E0" w:rsidRPr="00FF4346" w:rsidRDefault="000E45E0" w:rsidP="000E45E0">
            <w:pPr>
              <w:jc w:val="center"/>
              <w:rPr>
                <w:rFonts w:ascii="CAIXA Std Book" w:hAnsi="CAIXA Std Book"/>
                <w:b/>
                <w:color w:val="005CA9"/>
                <w:sz w:val="16"/>
                <w:szCs w:val="16"/>
              </w:rPr>
            </w:pPr>
            <w:r w:rsidRPr="00FF4346">
              <w:rPr>
                <w:rFonts w:ascii="CAIXA Std Book" w:hAnsi="CAIXA Std Book"/>
                <w:b/>
                <w:color w:val="005CA9"/>
                <w:sz w:val="16"/>
                <w:szCs w:val="16"/>
              </w:rPr>
              <w:t> </w:t>
            </w:r>
          </w:p>
        </w:tc>
        <w:tc>
          <w:tcPr>
            <w:tcW w:w="525" w:type="pct"/>
            <w:tcBorders>
              <w:top w:val="single" w:sz="4" w:space="0" w:color="F39200"/>
              <w:left w:val="nil"/>
              <w:bottom w:val="single" w:sz="4" w:space="0" w:color="F79646" w:themeColor="accent6"/>
              <w:right w:val="nil"/>
            </w:tcBorders>
            <w:shd w:val="clear" w:color="auto" w:fill="auto"/>
            <w:noWrap/>
            <w:vAlign w:val="center"/>
          </w:tcPr>
          <w:p w14:paraId="07315968" w14:textId="11B7CEA2" w:rsidR="000E45E0" w:rsidRPr="00FF4346" w:rsidRDefault="000E45E0" w:rsidP="000E45E0">
            <w:pPr>
              <w:jc w:val="right"/>
              <w:rPr>
                <w:rFonts w:ascii="CAIXA Std Book" w:hAnsi="CAIXA Std Book"/>
                <w:b/>
                <w:bCs/>
                <w:color w:val="005CA9"/>
                <w:sz w:val="16"/>
                <w:szCs w:val="16"/>
              </w:rPr>
            </w:pPr>
            <w:r w:rsidRPr="00FF4346">
              <w:rPr>
                <w:rFonts w:ascii="CAIXA Std Book" w:hAnsi="CAIXA Std Book"/>
                <w:b/>
                <w:color w:val="005CA9"/>
                <w:sz w:val="16"/>
                <w:szCs w:val="16"/>
              </w:rPr>
              <w:t>27.924.700</w:t>
            </w:r>
          </w:p>
        </w:tc>
        <w:tc>
          <w:tcPr>
            <w:tcW w:w="533" w:type="pct"/>
            <w:tcBorders>
              <w:top w:val="single" w:sz="4" w:space="0" w:color="F39200"/>
              <w:left w:val="nil"/>
              <w:bottom w:val="single" w:sz="4" w:space="0" w:color="F79646" w:themeColor="accent6"/>
              <w:right w:val="nil"/>
            </w:tcBorders>
            <w:shd w:val="clear" w:color="auto" w:fill="auto"/>
            <w:noWrap/>
            <w:vAlign w:val="center"/>
          </w:tcPr>
          <w:p w14:paraId="0B3FACA6" w14:textId="2DBE5A3B" w:rsidR="000E45E0" w:rsidRPr="00FF4346" w:rsidRDefault="000E45E0" w:rsidP="000E45E0">
            <w:pPr>
              <w:jc w:val="right"/>
              <w:rPr>
                <w:rFonts w:ascii="CAIXA Std Book" w:hAnsi="CAIXA Std Book"/>
                <w:b/>
                <w:color w:val="005CA9"/>
                <w:sz w:val="16"/>
                <w:szCs w:val="16"/>
              </w:rPr>
            </w:pPr>
            <w:r w:rsidRPr="003D76AF">
              <w:rPr>
                <w:rFonts w:ascii="CAIXA Std Book" w:hAnsi="CAIXA Std Book" w:cs="Arial"/>
                <w:b/>
                <w:color w:val="005CA9"/>
                <w:sz w:val="16"/>
                <w:szCs w:val="16"/>
              </w:rPr>
              <w:t>15.056.567</w:t>
            </w:r>
          </w:p>
        </w:tc>
        <w:tc>
          <w:tcPr>
            <w:tcW w:w="566" w:type="pct"/>
            <w:tcBorders>
              <w:top w:val="single" w:sz="4" w:space="0" w:color="F39200"/>
              <w:left w:val="nil"/>
              <w:bottom w:val="single" w:sz="4" w:space="0" w:color="F79646" w:themeColor="accent6"/>
              <w:right w:val="nil"/>
            </w:tcBorders>
            <w:shd w:val="clear" w:color="auto" w:fill="auto"/>
            <w:noWrap/>
            <w:vAlign w:val="center"/>
          </w:tcPr>
          <w:p w14:paraId="24CF02D2" w14:textId="39D5F964" w:rsidR="000E45E0" w:rsidRPr="00FF4346" w:rsidRDefault="000E45E0" w:rsidP="000E45E0">
            <w:pPr>
              <w:ind w:right="-175"/>
              <w:jc w:val="center"/>
              <w:rPr>
                <w:rFonts w:ascii="CAIXA Std Book" w:hAnsi="CAIXA Std Book"/>
                <w:b/>
                <w:bCs/>
                <w:color w:val="005CA9"/>
                <w:sz w:val="16"/>
                <w:szCs w:val="16"/>
              </w:rPr>
            </w:pPr>
            <w:r w:rsidRPr="003D76AF">
              <w:rPr>
                <w:rFonts w:ascii="CAIXA Std Book" w:hAnsi="CAIXA Std Book" w:cs="Arial"/>
                <w:b/>
                <w:color w:val="005CA9"/>
                <w:sz w:val="16"/>
                <w:szCs w:val="16"/>
              </w:rPr>
              <w:t>(6.221.660)</w:t>
            </w:r>
          </w:p>
        </w:tc>
        <w:tc>
          <w:tcPr>
            <w:tcW w:w="416" w:type="pct"/>
            <w:tcBorders>
              <w:top w:val="single" w:sz="4" w:space="0" w:color="F39200"/>
              <w:left w:val="nil"/>
              <w:bottom w:val="single" w:sz="4" w:space="0" w:color="F79646" w:themeColor="accent6"/>
              <w:right w:val="nil"/>
            </w:tcBorders>
            <w:vAlign w:val="center"/>
          </w:tcPr>
          <w:p w14:paraId="34ABF3B4" w14:textId="4292ACB3" w:rsidR="000E45E0" w:rsidRPr="00FF4346" w:rsidRDefault="000E45E0" w:rsidP="000E45E0">
            <w:pPr>
              <w:jc w:val="right"/>
              <w:rPr>
                <w:rFonts w:ascii="CAIXA Std Book" w:hAnsi="CAIXA Std Book"/>
                <w:b/>
                <w:bCs/>
                <w:color w:val="005CA9"/>
                <w:sz w:val="16"/>
                <w:szCs w:val="16"/>
              </w:rPr>
            </w:pPr>
            <w:r w:rsidRPr="003D76AF">
              <w:rPr>
                <w:rFonts w:ascii="CAIXA Std Book" w:hAnsi="CAIXA Std Book" w:cs="Arial"/>
                <w:b/>
                <w:color w:val="005CA9"/>
                <w:sz w:val="16"/>
                <w:szCs w:val="16"/>
              </w:rPr>
              <w:t>3.161</w:t>
            </w:r>
          </w:p>
        </w:tc>
        <w:tc>
          <w:tcPr>
            <w:tcW w:w="550" w:type="pct"/>
            <w:tcBorders>
              <w:top w:val="single" w:sz="4" w:space="0" w:color="F39200"/>
              <w:left w:val="nil"/>
              <w:bottom w:val="single" w:sz="4" w:space="0" w:color="F79646" w:themeColor="accent6"/>
              <w:right w:val="nil"/>
            </w:tcBorders>
            <w:shd w:val="clear" w:color="auto" w:fill="auto"/>
            <w:noWrap/>
            <w:vAlign w:val="center"/>
          </w:tcPr>
          <w:p w14:paraId="43B109D2" w14:textId="0FF8147D" w:rsidR="000E45E0" w:rsidRPr="00FF4346" w:rsidRDefault="000E45E0" w:rsidP="000E45E0">
            <w:pPr>
              <w:jc w:val="right"/>
              <w:rPr>
                <w:rFonts w:ascii="CAIXA Std Book" w:hAnsi="CAIXA Std Book"/>
                <w:b/>
                <w:color w:val="005CA9"/>
                <w:sz w:val="16"/>
                <w:szCs w:val="16"/>
              </w:rPr>
            </w:pPr>
            <w:r w:rsidRPr="003D76AF">
              <w:rPr>
                <w:rFonts w:ascii="CAIXA Std Book" w:hAnsi="CAIXA Std Book" w:cs="Arial"/>
                <w:b/>
                <w:color w:val="005CA9"/>
                <w:sz w:val="16"/>
                <w:szCs w:val="16"/>
              </w:rPr>
              <w:t>36.762.768</w:t>
            </w:r>
          </w:p>
        </w:tc>
        <w:tc>
          <w:tcPr>
            <w:tcW w:w="551" w:type="pct"/>
            <w:tcBorders>
              <w:top w:val="single" w:sz="4" w:space="0" w:color="F39200"/>
              <w:left w:val="nil"/>
              <w:bottom w:val="single" w:sz="4" w:space="0" w:color="F79646" w:themeColor="accent6"/>
            </w:tcBorders>
            <w:shd w:val="clear" w:color="auto" w:fill="auto"/>
            <w:noWrap/>
            <w:vAlign w:val="center"/>
          </w:tcPr>
          <w:p w14:paraId="79D2976D" w14:textId="2D2A20F9" w:rsidR="000E45E0" w:rsidRPr="00FF4346" w:rsidRDefault="000E45E0" w:rsidP="000E45E0">
            <w:pPr>
              <w:jc w:val="right"/>
              <w:rPr>
                <w:rFonts w:ascii="CAIXA Std Book" w:hAnsi="CAIXA Std Book"/>
                <w:b/>
                <w:bCs/>
                <w:color w:val="005CA9"/>
                <w:sz w:val="16"/>
                <w:szCs w:val="16"/>
              </w:rPr>
            </w:pPr>
            <w:r w:rsidRPr="00FF4346">
              <w:rPr>
                <w:rFonts w:ascii="CAIXA Std Book" w:hAnsi="CAIXA Std Book" w:cs="Arial"/>
                <w:b/>
                <w:bCs/>
                <w:color w:val="005CA9"/>
                <w:sz w:val="16"/>
                <w:szCs w:val="16"/>
              </w:rPr>
              <w:t>36.706.423</w:t>
            </w:r>
          </w:p>
        </w:tc>
      </w:tr>
    </w:tbl>
    <w:p w14:paraId="73BA674D" w14:textId="77777777" w:rsidR="00BD0713" w:rsidRPr="0022769A" w:rsidRDefault="00BD0713" w:rsidP="00D55234">
      <w:pPr>
        <w:jc w:val="both"/>
        <w:rPr>
          <w:rFonts w:ascii="CAIXA Std Book" w:hAnsi="CAIXA Std Book"/>
          <w:color w:val="005CA9"/>
          <w:sz w:val="16"/>
          <w:szCs w:val="16"/>
        </w:rPr>
      </w:pPr>
      <w:bookmarkStart w:id="82" w:name="_Hlk65762205"/>
      <w:r w:rsidRPr="0022769A">
        <w:rPr>
          <w:rFonts w:ascii="CAIXA Std Book" w:hAnsi="CAIXA Std Book"/>
          <w:color w:val="005CA9"/>
          <w:sz w:val="16"/>
          <w:szCs w:val="16"/>
        </w:rPr>
        <w:t>(1) Os valores elegíveis ao Nível I – Capital Complementar atendem aos requisitos da Resolução que trata da metodologia de apuração do PR.</w:t>
      </w:r>
    </w:p>
    <w:p w14:paraId="5119EEF5" w14:textId="77777777" w:rsidR="00BD0713" w:rsidRPr="0022769A" w:rsidRDefault="00BD0713" w:rsidP="00D55234">
      <w:pPr>
        <w:jc w:val="both"/>
        <w:rPr>
          <w:rFonts w:ascii="CAIXA Std Book" w:hAnsi="CAIXA Std Book"/>
          <w:color w:val="005CA9"/>
          <w:sz w:val="16"/>
          <w:szCs w:val="16"/>
        </w:rPr>
      </w:pPr>
      <w:r w:rsidRPr="0022769A">
        <w:rPr>
          <w:rFonts w:ascii="CAIXA Std Book" w:hAnsi="CAIXA Std Book"/>
          <w:color w:val="005CA9"/>
          <w:sz w:val="16"/>
          <w:szCs w:val="16"/>
        </w:rPr>
        <w:t>(2) Os valores elegíveis ao Nível II atendem aos requisitos da Resolução que trata da metodologia de apuração do PR.</w:t>
      </w:r>
    </w:p>
    <w:p w14:paraId="6AF0FBC0" w14:textId="77777777" w:rsidR="00BD0713" w:rsidRPr="0022769A" w:rsidRDefault="00BD0713" w:rsidP="00BD0713">
      <w:pPr>
        <w:rPr>
          <w:rFonts w:ascii="CAIXA Std Book" w:hAnsi="CAIXA Std Book"/>
          <w:color w:val="005CA9"/>
          <w:sz w:val="16"/>
          <w:szCs w:val="16"/>
        </w:rPr>
      </w:pPr>
    </w:p>
    <w:p w14:paraId="18F8C0F5" w14:textId="2E119629" w:rsidR="00F72350" w:rsidRDefault="00F72350">
      <w:pPr>
        <w:rPr>
          <w:rFonts w:ascii="CAIXA Std Book" w:hAnsi="CAIXA Std Book"/>
          <w:color w:val="005CA9"/>
          <w:sz w:val="16"/>
          <w:szCs w:val="16"/>
        </w:rPr>
      </w:pPr>
    </w:p>
    <w:p w14:paraId="45BE5E5E" w14:textId="77777777" w:rsidR="0022769A" w:rsidRDefault="0022769A">
      <w:pPr>
        <w:rPr>
          <w:rFonts w:ascii="CAIXA Std Book" w:hAnsi="CAIXA Std Book"/>
          <w:color w:val="005CA9"/>
          <w:sz w:val="16"/>
          <w:szCs w:val="16"/>
        </w:rPr>
      </w:pPr>
    </w:p>
    <w:p w14:paraId="15793A80" w14:textId="73A402A9" w:rsidR="00681A81" w:rsidRPr="00FF4346" w:rsidRDefault="00681A81" w:rsidP="00C86A22">
      <w:pPr>
        <w:tabs>
          <w:tab w:val="left" w:pos="1650"/>
        </w:tabs>
        <w:spacing w:before="240" w:after="120"/>
        <w:jc w:val="both"/>
        <w:rPr>
          <w:rFonts w:ascii="CAIXA Std Book" w:hAnsi="CAIXA Std Book"/>
          <w:color w:val="005CA9"/>
          <w:sz w:val="20"/>
          <w:szCs w:val="20"/>
        </w:rPr>
      </w:pPr>
      <w:r w:rsidRPr="00FF4346">
        <w:rPr>
          <w:rFonts w:ascii="CAIXA Std Book" w:hAnsi="CAIXA Std Book"/>
          <w:color w:val="005CA9"/>
          <w:sz w:val="20"/>
          <w:szCs w:val="20"/>
        </w:rPr>
        <w:lastRenderedPageBreak/>
        <w:t>O Nível I do Patrimônio de Referência é dividido em Capital Principal e Capital Complementar. A CAIXA possui Instrumentos Híbridos de Capital e Dívida – IHCD autorizados a compor o seu Capital Principal.</w:t>
      </w:r>
    </w:p>
    <w:p w14:paraId="66C5F7CC" w14:textId="7E11FF3A" w:rsidR="00681A81" w:rsidRPr="00FF4346" w:rsidRDefault="00681A81" w:rsidP="00C86A2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 Resolução CMN nº 4</w:t>
      </w:r>
      <w:r w:rsidR="005A276B" w:rsidRPr="00FF4346">
        <w:rPr>
          <w:rFonts w:ascii="CAIXA Std Book" w:hAnsi="CAIXA Std Book"/>
          <w:color w:val="005CA9"/>
          <w:sz w:val="20"/>
          <w:szCs w:val="20"/>
        </w:rPr>
        <w:t>.9</w:t>
      </w:r>
      <w:r w:rsidR="008D0733" w:rsidRPr="00FF4346">
        <w:rPr>
          <w:rFonts w:ascii="CAIXA Std Book" w:hAnsi="CAIXA Std Book"/>
          <w:color w:val="005CA9"/>
          <w:sz w:val="20"/>
          <w:szCs w:val="20"/>
        </w:rPr>
        <w:t>5</w:t>
      </w:r>
      <w:r w:rsidR="005A276B" w:rsidRPr="00FF4346">
        <w:rPr>
          <w:rFonts w:ascii="CAIXA Std Book" w:hAnsi="CAIXA Std Book"/>
          <w:color w:val="005CA9"/>
          <w:sz w:val="20"/>
          <w:szCs w:val="20"/>
        </w:rPr>
        <w:t>5</w:t>
      </w:r>
      <w:r w:rsidRPr="00FF4346">
        <w:rPr>
          <w:rFonts w:ascii="CAIXA Std Book" w:hAnsi="CAIXA Std Book"/>
          <w:color w:val="005CA9"/>
          <w:sz w:val="20"/>
          <w:szCs w:val="20"/>
        </w:rPr>
        <w:t>/20</w:t>
      </w:r>
      <w:r w:rsidR="005A276B" w:rsidRPr="00FF4346">
        <w:rPr>
          <w:rFonts w:ascii="CAIXA Std Book" w:hAnsi="CAIXA Std Book"/>
          <w:color w:val="005CA9"/>
          <w:sz w:val="20"/>
          <w:szCs w:val="20"/>
        </w:rPr>
        <w:t>21</w:t>
      </w:r>
      <w:r w:rsidR="00545A8F"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determina, para fins de divulgação das demonstrações contábeis consolidadas, a reclassificação para o patrimônio líquido dos instrumentos que atendam às características de capital principal. </w:t>
      </w:r>
    </w:p>
    <w:p w14:paraId="53C028E5" w14:textId="08B1015D" w:rsidR="00681A81" w:rsidRPr="00FF4346" w:rsidRDefault="00681A81" w:rsidP="00C86A2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Os contratos possuem cláusulas de remuneração integralmente variáveis, a atualização monetária é incorporada anualmente, após o pagamento dos juros atinentes ao exercício anterior.</w:t>
      </w:r>
    </w:p>
    <w:p w14:paraId="29170BB8" w14:textId="0076F132" w:rsidR="00D8481F" w:rsidRPr="00FF4346" w:rsidRDefault="00D8481F" w:rsidP="00C86A22">
      <w:pPr>
        <w:spacing w:before="120" w:after="120"/>
        <w:jc w:val="both"/>
        <w:rPr>
          <w:rFonts w:ascii="CAIXA Std Book" w:hAnsi="CAIXA Std Book"/>
          <w:color w:val="005CA9"/>
          <w:sz w:val="20"/>
          <w:szCs w:val="20"/>
        </w:rPr>
      </w:pPr>
      <w:bookmarkStart w:id="83" w:name="_Hlk79056594"/>
      <w:r w:rsidRPr="00FF4346">
        <w:rPr>
          <w:rFonts w:ascii="CAIXA Std Book" w:hAnsi="CAIXA Std Book"/>
          <w:color w:val="005CA9"/>
          <w:sz w:val="20"/>
          <w:szCs w:val="20"/>
        </w:rPr>
        <w:t xml:space="preserve">Os juros remuneratórios a pagar e a atualização monetária não incorporada compõem os Instrumentos Híbridos de Capital e Dívida, perfazendo um montante de </w:t>
      </w:r>
      <w:r>
        <w:rPr>
          <w:rFonts w:ascii="CAIXA Std Book" w:hAnsi="CAIXA Std Book"/>
          <w:color w:val="005CA9"/>
          <w:sz w:val="20"/>
          <w:szCs w:val="20"/>
        </w:rPr>
        <w:t xml:space="preserve">R$ </w:t>
      </w:r>
      <w:r w:rsidR="00A537F5">
        <w:rPr>
          <w:rFonts w:ascii="CAIXA Std Book" w:hAnsi="CAIXA Std Book"/>
          <w:color w:val="005CA9"/>
          <w:sz w:val="20"/>
          <w:szCs w:val="20"/>
        </w:rPr>
        <w:t>550.843</w:t>
      </w:r>
      <w:r w:rsidR="00124778" w:rsidRPr="00FF4346">
        <w:rPr>
          <w:rFonts w:ascii="CAIXA Std Book" w:hAnsi="CAIXA Std Book" w:cs="Arial"/>
          <w:color w:val="005CA9"/>
          <w:sz w:val="18"/>
          <w:szCs w:val="18"/>
        </w:rPr>
        <w:t xml:space="preserve"> </w:t>
      </w:r>
      <w:r w:rsidRPr="00FF4346">
        <w:rPr>
          <w:rFonts w:ascii="CAIXA Std Book" w:hAnsi="CAIXA Std Book"/>
          <w:color w:val="005CA9"/>
          <w:sz w:val="20"/>
          <w:szCs w:val="20"/>
        </w:rPr>
        <w:t xml:space="preserve">em </w:t>
      </w:r>
      <w:r w:rsidR="00F22954" w:rsidRPr="00FF4346">
        <w:rPr>
          <w:rFonts w:ascii="CAIXA Std Book" w:hAnsi="CAIXA Std Book"/>
          <w:color w:val="005CA9"/>
          <w:sz w:val="20"/>
          <w:szCs w:val="20"/>
        </w:rPr>
        <w:t>3</w:t>
      </w:r>
      <w:r w:rsidR="00C15D33" w:rsidRPr="00FF4346">
        <w:rPr>
          <w:rFonts w:ascii="CAIXA Std Book" w:hAnsi="CAIXA Std Book"/>
          <w:color w:val="005CA9"/>
          <w:sz w:val="20"/>
          <w:szCs w:val="20"/>
        </w:rPr>
        <w:t>1/</w:t>
      </w:r>
      <w:r w:rsidR="002701DC">
        <w:rPr>
          <w:rFonts w:ascii="CAIXA Std Book" w:hAnsi="CAIXA Std Book"/>
          <w:color w:val="005CA9"/>
          <w:sz w:val="20"/>
          <w:szCs w:val="20"/>
        </w:rPr>
        <w:t xml:space="preserve">03/2024 </w:t>
      </w:r>
      <w:r w:rsidRPr="00FF4346">
        <w:rPr>
          <w:rFonts w:ascii="CAIXA Std Book" w:hAnsi="CAIXA Std Book"/>
          <w:color w:val="005CA9"/>
          <w:sz w:val="20"/>
          <w:szCs w:val="20"/>
        </w:rPr>
        <w:t>(31/12/20</w:t>
      </w:r>
      <w:r w:rsidR="007303C1" w:rsidRPr="00FF4346">
        <w:rPr>
          <w:rFonts w:ascii="CAIXA Std Book" w:hAnsi="CAIXA Std Book"/>
          <w:color w:val="005CA9"/>
          <w:sz w:val="20"/>
          <w:szCs w:val="20"/>
        </w:rPr>
        <w:t>2</w:t>
      </w:r>
      <w:r w:rsidR="002701DC">
        <w:rPr>
          <w:rFonts w:ascii="CAIXA Std Book" w:hAnsi="CAIXA Std Book"/>
          <w:color w:val="005CA9"/>
          <w:sz w:val="20"/>
          <w:szCs w:val="20"/>
        </w:rPr>
        <w:t>3</w:t>
      </w:r>
      <w:r w:rsidRPr="00FF4346">
        <w:rPr>
          <w:rFonts w:ascii="CAIXA Std Book" w:hAnsi="CAIXA Std Book"/>
          <w:color w:val="005CA9"/>
          <w:sz w:val="20"/>
          <w:szCs w:val="20"/>
        </w:rPr>
        <w:t xml:space="preserve"> – R$ </w:t>
      </w:r>
      <w:r w:rsidR="002701DC">
        <w:rPr>
          <w:rFonts w:ascii="CAIXA Std Book" w:hAnsi="CAIXA Std Book"/>
          <w:color w:val="005CA9"/>
          <w:sz w:val="20"/>
          <w:szCs w:val="20"/>
        </w:rPr>
        <w:t>2.037.317</w:t>
      </w:r>
      <w:r w:rsidRPr="00FF4346">
        <w:rPr>
          <w:rFonts w:ascii="CAIXA Std Book" w:hAnsi="CAIXA Std Book"/>
          <w:color w:val="005CA9"/>
          <w:sz w:val="20"/>
          <w:szCs w:val="20"/>
        </w:rPr>
        <w:t>).</w:t>
      </w:r>
    </w:p>
    <w:p w14:paraId="3347D1B6" w14:textId="69862828" w:rsidR="007F2892" w:rsidRPr="00FF4346" w:rsidRDefault="007F2892" w:rsidP="007F289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Os juros remuneratórios a pagar dos Instrumentos Subordinados elegíveis a Capital Complementar, totalizam um montante de </w:t>
      </w:r>
      <w:r>
        <w:rPr>
          <w:rFonts w:ascii="CAIXA Std Book" w:hAnsi="CAIXA Std Book"/>
          <w:color w:val="005CA9"/>
          <w:sz w:val="20"/>
          <w:szCs w:val="20"/>
        </w:rPr>
        <w:t xml:space="preserve">R$ </w:t>
      </w:r>
      <w:r w:rsidR="00C602B3">
        <w:rPr>
          <w:rFonts w:ascii="CAIXA Std Book" w:hAnsi="CAIXA Std Book"/>
          <w:color w:val="005CA9"/>
          <w:sz w:val="20"/>
          <w:szCs w:val="20"/>
        </w:rPr>
        <w:t>72.266</w:t>
      </w:r>
      <w:r w:rsidRPr="00FF4346">
        <w:rPr>
          <w:rFonts w:ascii="CAIXA Std Book" w:hAnsi="CAIXA Std Book"/>
          <w:color w:val="005CA9"/>
          <w:sz w:val="20"/>
          <w:szCs w:val="20"/>
        </w:rPr>
        <w:t xml:space="preserve"> em </w:t>
      </w:r>
      <w:r w:rsidR="00C15D33" w:rsidRPr="00FF4346">
        <w:rPr>
          <w:rFonts w:ascii="CAIXA Std Book" w:hAnsi="CAIXA Std Book"/>
          <w:color w:val="005CA9"/>
          <w:sz w:val="20"/>
          <w:szCs w:val="20"/>
        </w:rPr>
        <w:t>31/</w:t>
      </w:r>
      <w:r w:rsidR="002D6377">
        <w:rPr>
          <w:rFonts w:ascii="CAIXA Std Book" w:hAnsi="CAIXA Std Book"/>
          <w:color w:val="005CA9"/>
          <w:sz w:val="20"/>
          <w:szCs w:val="20"/>
        </w:rPr>
        <w:t>03/2024</w:t>
      </w:r>
      <w:r w:rsidRPr="00FF4346">
        <w:rPr>
          <w:rFonts w:ascii="CAIXA Std Book" w:hAnsi="CAIXA Std Book"/>
          <w:color w:val="005CA9"/>
          <w:sz w:val="20"/>
          <w:szCs w:val="20"/>
        </w:rPr>
        <w:t xml:space="preserve"> (31/12/202</w:t>
      </w:r>
      <w:r w:rsidR="00C03203">
        <w:rPr>
          <w:rFonts w:ascii="CAIXA Std Book" w:hAnsi="CAIXA Std Book"/>
          <w:color w:val="005CA9"/>
          <w:sz w:val="20"/>
          <w:szCs w:val="20"/>
        </w:rPr>
        <w:t>3</w:t>
      </w:r>
      <w:r w:rsidRPr="00FF4346">
        <w:rPr>
          <w:rFonts w:ascii="CAIXA Std Book" w:hAnsi="CAIXA Std Book"/>
          <w:color w:val="005CA9"/>
          <w:sz w:val="20"/>
          <w:szCs w:val="20"/>
        </w:rPr>
        <w:t xml:space="preserve"> – R$</w:t>
      </w:r>
      <w:r w:rsidR="00E45AB9" w:rsidRPr="00FF4346">
        <w:rPr>
          <w:rFonts w:ascii="CAIXA Std Book" w:hAnsi="CAIXA Std Book"/>
          <w:color w:val="005CA9"/>
          <w:sz w:val="20"/>
          <w:szCs w:val="20"/>
        </w:rPr>
        <w:t xml:space="preserve"> </w:t>
      </w:r>
      <w:r w:rsidR="00F22954" w:rsidRPr="00FF4346">
        <w:rPr>
          <w:rFonts w:ascii="CAIXA Std Book" w:hAnsi="CAIXA Std Book"/>
          <w:color w:val="005CA9"/>
          <w:sz w:val="20"/>
          <w:szCs w:val="20"/>
        </w:rPr>
        <w:t>2</w:t>
      </w:r>
      <w:r w:rsidR="002D6377">
        <w:rPr>
          <w:rFonts w:ascii="CAIXA Std Book" w:hAnsi="CAIXA Std Book"/>
          <w:color w:val="005CA9"/>
          <w:sz w:val="20"/>
          <w:szCs w:val="20"/>
        </w:rPr>
        <w:t>0.143)</w:t>
      </w:r>
    </w:p>
    <w:bookmarkEnd w:id="83"/>
    <w:p w14:paraId="0E5B76FD" w14:textId="33147032" w:rsidR="007F2892" w:rsidRPr="00FF4346" w:rsidRDefault="008F22BC" w:rsidP="007F289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Para fins de composição do Patrimônio de Referência, considera-se apenas o valor de face dos contratos</w:t>
      </w:r>
      <w:r w:rsidR="009C7588" w:rsidRPr="00FF4346">
        <w:rPr>
          <w:rFonts w:ascii="CAIXA Std Book" w:hAnsi="CAIXA Std Book"/>
          <w:color w:val="005CA9"/>
          <w:sz w:val="20"/>
          <w:szCs w:val="20"/>
        </w:rPr>
        <w:t xml:space="preserve"> IHCD</w:t>
      </w:r>
      <w:r w:rsidRPr="00FF4346">
        <w:rPr>
          <w:rFonts w:ascii="CAIXA Std Book" w:hAnsi="CAIXA Std Book"/>
          <w:color w:val="005CA9"/>
          <w:sz w:val="20"/>
          <w:szCs w:val="20"/>
        </w:rPr>
        <w:t xml:space="preserve"> somado à atualização monetária incorporada de exercícios anteriores. Tendo em vista que os contratos possuem cláusulas de remuneração integralmente variáveis, a atualização monetária é incorporada anualmente, após o pagamento dos juros atinentes ao exercício anterior.</w:t>
      </w:r>
      <w:bookmarkEnd w:id="82"/>
    </w:p>
    <w:p w14:paraId="1DD8646B" w14:textId="0CABDB55" w:rsidR="008F22BC" w:rsidRPr="00FF4346" w:rsidRDefault="008F22BC" w:rsidP="00B37B40">
      <w:pPr>
        <w:pStyle w:val="PargrafodaLista"/>
        <w:numPr>
          <w:ilvl w:val="0"/>
          <w:numId w:val="8"/>
        </w:numPr>
        <w:spacing w:before="48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Instrumentos de dívida elegíveis ao capi</w:t>
      </w:r>
      <w:r w:rsidR="005A0818" w:rsidRPr="00FF4346">
        <w:rPr>
          <w:rFonts w:ascii="CAIXA Std Book" w:hAnsi="CAIXA Std Book"/>
          <w:b/>
          <w:color w:val="005CA9"/>
          <w:sz w:val="20"/>
          <w:szCs w:val="20"/>
        </w:rPr>
        <w:t>t</w:t>
      </w:r>
      <w:r w:rsidRPr="00FF4346">
        <w:rPr>
          <w:rFonts w:ascii="CAIXA Std Book" w:hAnsi="CAIXA Std Book"/>
          <w:b/>
          <w:color w:val="005CA9"/>
          <w:sz w:val="20"/>
          <w:szCs w:val="20"/>
        </w:rPr>
        <w:t>al</w:t>
      </w:r>
    </w:p>
    <w:tbl>
      <w:tblPr>
        <w:tblW w:w="5000" w:type="pct"/>
        <w:tblCellMar>
          <w:left w:w="70" w:type="dxa"/>
          <w:right w:w="70" w:type="dxa"/>
        </w:tblCellMar>
        <w:tblLook w:val="04A0" w:firstRow="1" w:lastRow="0" w:firstColumn="1" w:lastColumn="0" w:noHBand="0" w:noVBand="1"/>
      </w:tblPr>
      <w:tblGrid>
        <w:gridCol w:w="5955"/>
        <w:gridCol w:w="1841"/>
        <w:gridCol w:w="1841"/>
      </w:tblGrid>
      <w:tr w:rsidR="003B2B2A" w:rsidRPr="00F72350" w14:paraId="53B4178D" w14:textId="77777777" w:rsidTr="0025244B">
        <w:trPr>
          <w:trHeight w:val="283"/>
        </w:trPr>
        <w:tc>
          <w:tcPr>
            <w:tcW w:w="5000" w:type="pct"/>
            <w:gridSpan w:val="3"/>
            <w:tcBorders>
              <w:top w:val="single" w:sz="4" w:space="0" w:color="F39200"/>
              <w:left w:val="nil"/>
              <w:bottom w:val="single" w:sz="4" w:space="0" w:color="F39200"/>
              <w:right w:val="nil"/>
            </w:tcBorders>
            <w:shd w:val="clear" w:color="auto" w:fill="auto"/>
            <w:noWrap/>
            <w:vAlign w:val="center"/>
          </w:tcPr>
          <w:p w14:paraId="2749C26A" w14:textId="3FD37A50" w:rsidR="002A1360" w:rsidRPr="00FF4346" w:rsidRDefault="002A1360" w:rsidP="007303C1">
            <w:pPr>
              <w:jc w:val="center"/>
              <w:rPr>
                <w:rFonts w:ascii="CAIXA Std Book" w:hAnsi="CAIXA Std Book" w:cs="Arial Unicode MS"/>
                <w:b/>
                <w:color w:val="005CA9"/>
                <w:sz w:val="18"/>
                <w:szCs w:val="18"/>
              </w:rPr>
            </w:pPr>
            <w:r w:rsidRPr="00FF4346">
              <w:rPr>
                <w:rFonts w:ascii="CAIXA Std Book" w:hAnsi="CAIXA Std Book"/>
                <w:b/>
                <w:color w:val="005CA9"/>
                <w:sz w:val="18"/>
                <w:szCs w:val="18"/>
              </w:rPr>
              <w:t>INDIVIDUAL / CONSOLIDADO</w:t>
            </w:r>
          </w:p>
        </w:tc>
      </w:tr>
      <w:tr w:rsidR="00573394" w:rsidRPr="00F72350" w14:paraId="04F19C86" w14:textId="77777777" w:rsidTr="0025244B">
        <w:trPr>
          <w:trHeight w:val="283"/>
        </w:trPr>
        <w:tc>
          <w:tcPr>
            <w:tcW w:w="3090" w:type="pct"/>
            <w:tcBorders>
              <w:top w:val="single" w:sz="4" w:space="0" w:color="F39200"/>
              <w:left w:val="nil"/>
              <w:bottom w:val="single" w:sz="4" w:space="0" w:color="F39200"/>
              <w:right w:val="nil"/>
            </w:tcBorders>
            <w:shd w:val="clear" w:color="auto" w:fill="auto"/>
            <w:noWrap/>
            <w:vAlign w:val="center"/>
            <w:hideMark/>
          </w:tcPr>
          <w:p w14:paraId="40E80F01" w14:textId="77777777" w:rsidR="00573394" w:rsidRPr="00FF4346" w:rsidRDefault="00573394" w:rsidP="00573394">
            <w:pPr>
              <w:jc w:val="center"/>
              <w:rPr>
                <w:rFonts w:ascii="CAIXA Std Book" w:hAnsi="CAIXA Std Book"/>
                <w:b/>
                <w:color w:val="005CA9"/>
                <w:sz w:val="18"/>
                <w:szCs w:val="18"/>
              </w:rPr>
            </w:pPr>
            <w:r w:rsidRPr="00FF4346">
              <w:rPr>
                <w:rFonts w:ascii="CAIXA Std Book" w:hAnsi="CAIXA Std Book"/>
                <w:b/>
                <w:color w:val="005CA9"/>
                <w:sz w:val="18"/>
                <w:szCs w:val="18"/>
              </w:rPr>
              <w:t>Discriminação</w:t>
            </w:r>
          </w:p>
        </w:tc>
        <w:tc>
          <w:tcPr>
            <w:tcW w:w="955" w:type="pct"/>
            <w:tcBorders>
              <w:top w:val="single" w:sz="4" w:space="0" w:color="F39200"/>
              <w:left w:val="nil"/>
              <w:bottom w:val="single" w:sz="4" w:space="0" w:color="F39200"/>
              <w:right w:val="nil"/>
            </w:tcBorders>
            <w:vAlign w:val="center"/>
          </w:tcPr>
          <w:p w14:paraId="21947E4B" w14:textId="1682BF68" w:rsidR="00573394" w:rsidRPr="00FF4346" w:rsidRDefault="000D2106" w:rsidP="00573394">
            <w:pPr>
              <w:jc w:val="center"/>
              <w:rPr>
                <w:rFonts w:ascii="CAIXA Std Book" w:hAnsi="CAIXA Std Book"/>
                <w:b/>
                <w:color w:val="005CA9"/>
                <w:sz w:val="18"/>
                <w:szCs w:val="18"/>
              </w:rPr>
            </w:pPr>
            <w:r w:rsidRPr="00FF4346">
              <w:rPr>
                <w:rFonts w:ascii="CAIXA Std Book" w:hAnsi="CAIXA Std Book"/>
                <w:b/>
                <w:color w:val="005CA9"/>
                <w:sz w:val="18"/>
                <w:szCs w:val="18"/>
              </w:rPr>
              <w:t>31/</w:t>
            </w:r>
            <w:r w:rsidR="00DD2589">
              <w:rPr>
                <w:rFonts w:ascii="CAIXA Std Book" w:hAnsi="CAIXA Std Book"/>
                <w:b/>
                <w:color w:val="005CA9"/>
                <w:sz w:val="18"/>
                <w:szCs w:val="18"/>
              </w:rPr>
              <w:t>03</w:t>
            </w:r>
            <w:r w:rsidRPr="00FF4346">
              <w:rPr>
                <w:rFonts w:ascii="CAIXA Std Book" w:hAnsi="CAIXA Std Book"/>
                <w:b/>
                <w:color w:val="005CA9"/>
                <w:sz w:val="18"/>
                <w:szCs w:val="18"/>
              </w:rPr>
              <w:t>/202</w:t>
            </w:r>
            <w:r w:rsidR="00DD2589">
              <w:rPr>
                <w:rFonts w:ascii="CAIXA Std Book" w:hAnsi="CAIXA Std Book"/>
                <w:b/>
                <w:color w:val="005CA9"/>
                <w:sz w:val="18"/>
                <w:szCs w:val="18"/>
              </w:rPr>
              <w:t>4</w:t>
            </w:r>
          </w:p>
        </w:tc>
        <w:tc>
          <w:tcPr>
            <w:tcW w:w="955" w:type="pct"/>
            <w:tcBorders>
              <w:top w:val="single" w:sz="4" w:space="0" w:color="F39200"/>
              <w:left w:val="nil"/>
              <w:bottom w:val="single" w:sz="4" w:space="0" w:color="F39200"/>
              <w:right w:val="nil"/>
            </w:tcBorders>
            <w:vAlign w:val="center"/>
          </w:tcPr>
          <w:p w14:paraId="61F08080" w14:textId="5B054B62" w:rsidR="00573394" w:rsidRPr="00FF4346" w:rsidRDefault="00573394" w:rsidP="00573394">
            <w:pPr>
              <w:jc w:val="center"/>
              <w:rPr>
                <w:rFonts w:ascii="CAIXA Std Book" w:hAnsi="CAIXA Std Book"/>
                <w:b/>
                <w:color w:val="005CA9"/>
                <w:sz w:val="18"/>
                <w:szCs w:val="18"/>
              </w:rPr>
            </w:pPr>
            <w:r w:rsidRPr="00FF4346">
              <w:rPr>
                <w:rFonts w:ascii="CAIXA Std Book" w:hAnsi="CAIXA Std Book"/>
                <w:b/>
                <w:color w:val="005CA9"/>
                <w:sz w:val="18"/>
                <w:szCs w:val="18"/>
              </w:rPr>
              <w:t>31/12/202</w:t>
            </w:r>
            <w:r w:rsidR="00DD2589">
              <w:rPr>
                <w:rFonts w:ascii="CAIXA Std Book" w:hAnsi="CAIXA Std Book"/>
                <w:b/>
                <w:color w:val="005CA9"/>
                <w:sz w:val="18"/>
                <w:szCs w:val="18"/>
              </w:rPr>
              <w:t>3</w:t>
            </w:r>
          </w:p>
        </w:tc>
      </w:tr>
      <w:tr w:rsidR="00A074F2" w:rsidRPr="00F72350" w14:paraId="02EF9F56" w14:textId="77777777" w:rsidTr="0025244B">
        <w:trPr>
          <w:trHeight w:val="283"/>
        </w:trPr>
        <w:tc>
          <w:tcPr>
            <w:tcW w:w="3090" w:type="pct"/>
            <w:tcBorders>
              <w:top w:val="nil"/>
              <w:left w:val="nil"/>
              <w:bottom w:val="nil"/>
              <w:right w:val="nil"/>
            </w:tcBorders>
            <w:shd w:val="clear" w:color="auto" w:fill="auto"/>
            <w:noWrap/>
            <w:vAlign w:val="center"/>
          </w:tcPr>
          <w:p w14:paraId="440E79A0" w14:textId="77777777" w:rsidR="00A074F2" w:rsidRPr="00FF4346" w:rsidRDefault="00A074F2" w:rsidP="00A074F2">
            <w:pPr>
              <w:rPr>
                <w:rFonts w:ascii="CAIXA Std Book" w:hAnsi="CAIXA Std Book"/>
                <w:color w:val="005CA9"/>
                <w:sz w:val="18"/>
                <w:szCs w:val="18"/>
              </w:rPr>
            </w:pPr>
            <w:r w:rsidRPr="00FF4346">
              <w:rPr>
                <w:rFonts w:ascii="CAIXA Std Book" w:hAnsi="CAIXA Std Book"/>
                <w:color w:val="005CA9"/>
                <w:sz w:val="18"/>
                <w:szCs w:val="18"/>
              </w:rPr>
              <w:t>Contrato 348/2007</w:t>
            </w:r>
          </w:p>
        </w:tc>
        <w:tc>
          <w:tcPr>
            <w:tcW w:w="955" w:type="pct"/>
            <w:tcBorders>
              <w:top w:val="nil"/>
              <w:left w:val="nil"/>
              <w:bottom w:val="nil"/>
              <w:right w:val="nil"/>
            </w:tcBorders>
            <w:vAlign w:val="center"/>
          </w:tcPr>
          <w:p w14:paraId="7A5CCAC2" w14:textId="30B759CD" w:rsidR="00A074F2" w:rsidRPr="00FF4346" w:rsidRDefault="000E1894" w:rsidP="00A074F2">
            <w:pPr>
              <w:jc w:val="right"/>
              <w:rPr>
                <w:rFonts w:ascii="CAIXA Std Book" w:hAnsi="CAIXA Std Book" w:cs="Arial Unicode MS"/>
                <w:color w:val="005CA9"/>
                <w:sz w:val="18"/>
                <w:szCs w:val="18"/>
              </w:rPr>
            </w:pPr>
            <w:r>
              <w:rPr>
                <w:rFonts w:ascii="CAIXA Std Book" w:hAnsi="CAIXA Std Book" w:cs="Arial"/>
                <w:color w:val="005CA9"/>
                <w:sz w:val="18"/>
                <w:szCs w:val="18"/>
              </w:rPr>
              <w:t>16.217.367</w:t>
            </w:r>
          </w:p>
        </w:tc>
        <w:tc>
          <w:tcPr>
            <w:tcW w:w="955" w:type="pct"/>
            <w:tcBorders>
              <w:top w:val="nil"/>
              <w:left w:val="nil"/>
              <w:bottom w:val="nil"/>
              <w:right w:val="nil"/>
            </w:tcBorders>
            <w:vAlign w:val="center"/>
          </w:tcPr>
          <w:p w14:paraId="300CAC0E" w14:textId="55E640DC" w:rsidR="00A074F2" w:rsidRPr="00FF4346" w:rsidRDefault="00DD2589" w:rsidP="00A074F2">
            <w:pPr>
              <w:jc w:val="right"/>
              <w:rPr>
                <w:rFonts w:ascii="CAIXA Std Book" w:hAnsi="CAIXA Std Book"/>
                <w:color w:val="005CA9"/>
                <w:sz w:val="18"/>
                <w:szCs w:val="18"/>
              </w:rPr>
            </w:pPr>
            <w:r w:rsidRPr="00FF4346">
              <w:rPr>
                <w:rFonts w:ascii="CAIXA Std Book" w:hAnsi="CAIXA Std Book" w:cs="Arial Unicode MS"/>
                <w:color w:val="005CA9"/>
                <w:sz w:val="18"/>
                <w:szCs w:val="18"/>
              </w:rPr>
              <w:t>14.937.146</w:t>
            </w:r>
          </w:p>
        </w:tc>
      </w:tr>
      <w:tr w:rsidR="00A074F2" w:rsidRPr="00F72350" w14:paraId="5924831B" w14:textId="77777777" w:rsidTr="0025244B">
        <w:trPr>
          <w:trHeight w:val="283"/>
        </w:trPr>
        <w:tc>
          <w:tcPr>
            <w:tcW w:w="3090" w:type="pct"/>
            <w:tcBorders>
              <w:top w:val="nil"/>
              <w:left w:val="nil"/>
              <w:bottom w:val="nil"/>
              <w:right w:val="nil"/>
            </w:tcBorders>
            <w:shd w:val="clear" w:color="auto" w:fill="auto"/>
            <w:noWrap/>
            <w:vAlign w:val="center"/>
          </w:tcPr>
          <w:p w14:paraId="3DC06508" w14:textId="77777777" w:rsidR="00A074F2" w:rsidRPr="00FF4346" w:rsidRDefault="00A074F2" w:rsidP="00A074F2">
            <w:pPr>
              <w:rPr>
                <w:rFonts w:ascii="CAIXA Std Book" w:hAnsi="CAIXA Std Book"/>
                <w:color w:val="005CA9"/>
                <w:sz w:val="18"/>
                <w:szCs w:val="18"/>
              </w:rPr>
            </w:pPr>
            <w:r w:rsidRPr="00FF4346">
              <w:rPr>
                <w:rFonts w:ascii="CAIXA Std Book" w:hAnsi="CAIXA Std Book"/>
                <w:color w:val="005CA9"/>
                <w:sz w:val="18"/>
                <w:szCs w:val="18"/>
              </w:rPr>
              <w:t>Contrato 752/2012</w:t>
            </w:r>
          </w:p>
        </w:tc>
        <w:tc>
          <w:tcPr>
            <w:tcW w:w="955" w:type="pct"/>
            <w:tcBorders>
              <w:top w:val="nil"/>
              <w:left w:val="nil"/>
              <w:bottom w:val="nil"/>
              <w:right w:val="nil"/>
            </w:tcBorders>
            <w:vAlign w:val="center"/>
          </w:tcPr>
          <w:p w14:paraId="18F0C5FE" w14:textId="712C68CE" w:rsidR="00A074F2" w:rsidRPr="00FF4346" w:rsidRDefault="00095DE3" w:rsidP="00A074F2">
            <w:pPr>
              <w:jc w:val="right"/>
              <w:rPr>
                <w:rFonts w:ascii="CAIXA Std Book" w:hAnsi="CAIXA Std Book" w:cs="Arial Unicode MS"/>
                <w:color w:val="005CA9"/>
                <w:sz w:val="18"/>
                <w:szCs w:val="18"/>
              </w:rPr>
            </w:pPr>
            <w:r>
              <w:rPr>
                <w:rFonts w:ascii="CAIXA Std Book" w:hAnsi="CAIXA Std Book" w:cs="Arial"/>
                <w:color w:val="005CA9"/>
                <w:sz w:val="18"/>
                <w:szCs w:val="18"/>
              </w:rPr>
              <w:t>6.800.000</w:t>
            </w:r>
          </w:p>
        </w:tc>
        <w:tc>
          <w:tcPr>
            <w:tcW w:w="955" w:type="pct"/>
            <w:tcBorders>
              <w:top w:val="nil"/>
              <w:left w:val="nil"/>
              <w:bottom w:val="nil"/>
              <w:right w:val="nil"/>
            </w:tcBorders>
            <w:vAlign w:val="center"/>
          </w:tcPr>
          <w:p w14:paraId="1128A3E2" w14:textId="482FF032" w:rsidR="00A074F2" w:rsidRPr="00FF4346" w:rsidRDefault="00A074F2" w:rsidP="00A074F2">
            <w:pPr>
              <w:jc w:val="right"/>
              <w:rPr>
                <w:rFonts w:ascii="CAIXA Std Book" w:hAnsi="CAIXA Std Book"/>
                <w:color w:val="005CA9"/>
                <w:sz w:val="18"/>
                <w:szCs w:val="18"/>
              </w:rPr>
            </w:pPr>
            <w:r w:rsidRPr="00FF4346">
              <w:rPr>
                <w:rFonts w:ascii="CAIXA Std Book" w:hAnsi="CAIXA Std Book" w:cs="Arial Unicode MS"/>
                <w:color w:val="005CA9"/>
                <w:sz w:val="18"/>
                <w:szCs w:val="18"/>
              </w:rPr>
              <w:t>6.800.000</w:t>
            </w:r>
          </w:p>
        </w:tc>
      </w:tr>
      <w:tr w:rsidR="00A074F2" w:rsidRPr="00F72350" w14:paraId="33488D2B" w14:textId="77777777" w:rsidTr="0025244B">
        <w:trPr>
          <w:trHeight w:val="283"/>
        </w:trPr>
        <w:tc>
          <w:tcPr>
            <w:tcW w:w="3090" w:type="pct"/>
            <w:tcBorders>
              <w:top w:val="nil"/>
              <w:left w:val="nil"/>
              <w:bottom w:val="nil"/>
              <w:right w:val="nil"/>
            </w:tcBorders>
            <w:shd w:val="clear" w:color="auto" w:fill="auto"/>
            <w:noWrap/>
            <w:vAlign w:val="center"/>
          </w:tcPr>
          <w:p w14:paraId="68C69B11" w14:textId="77777777" w:rsidR="00A074F2" w:rsidRPr="00FF4346" w:rsidRDefault="00A074F2" w:rsidP="00A074F2">
            <w:pPr>
              <w:rPr>
                <w:rFonts w:ascii="CAIXA Std Book" w:hAnsi="CAIXA Std Book"/>
                <w:color w:val="005CA9"/>
                <w:sz w:val="18"/>
                <w:szCs w:val="18"/>
              </w:rPr>
            </w:pPr>
            <w:r w:rsidRPr="00FF4346">
              <w:rPr>
                <w:rFonts w:ascii="CAIXA Std Book" w:hAnsi="CAIXA Std Book"/>
                <w:color w:val="005CA9"/>
                <w:sz w:val="18"/>
                <w:szCs w:val="18"/>
              </w:rPr>
              <w:t>Contrato 754/2012</w:t>
            </w:r>
          </w:p>
        </w:tc>
        <w:tc>
          <w:tcPr>
            <w:tcW w:w="955" w:type="pct"/>
            <w:tcBorders>
              <w:top w:val="nil"/>
              <w:left w:val="nil"/>
              <w:bottom w:val="nil"/>
              <w:right w:val="nil"/>
            </w:tcBorders>
            <w:vAlign w:val="center"/>
          </w:tcPr>
          <w:p w14:paraId="2637C979" w14:textId="3A42366E" w:rsidR="00A074F2" w:rsidRPr="00FF4346" w:rsidRDefault="00491874" w:rsidP="00A074F2">
            <w:pPr>
              <w:jc w:val="right"/>
              <w:rPr>
                <w:rFonts w:ascii="CAIXA Std Book" w:hAnsi="CAIXA Std Book" w:cs="Arial Unicode MS"/>
                <w:color w:val="005CA9"/>
                <w:sz w:val="18"/>
                <w:szCs w:val="18"/>
              </w:rPr>
            </w:pPr>
            <w:r>
              <w:rPr>
                <w:rFonts w:ascii="CAIXA Std Book" w:hAnsi="CAIXA Std Book" w:cs="Arial"/>
                <w:color w:val="005CA9"/>
                <w:sz w:val="18"/>
                <w:szCs w:val="18"/>
              </w:rPr>
              <w:t>6.310.598</w:t>
            </w:r>
          </w:p>
        </w:tc>
        <w:tc>
          <w:tcPr>
            <w:tcW w:w="955" w:type="pct"/>
            <w:tcBorders>
              <w:top w:val="nil"/>
              <w:left w:val="nil"/>
              <w:bottom w:val="nil"/>
              <w:right w:val="nil"/>
            </w:tcBorders>
            <w:vAlign w:val="center"/>
          </w:tcPr>
          <w:p w14:paraId="7D568A77" w14:textId="18939D31" w:rsidR="00A074F2" w:rsidRPr="00FF4346" w:rsidRDefault="00A074F2" w:rsidP="00A074F2">
            <w:pPr>
              <w:jc w:val="right"/>
              <w:rPr>
                <w:rFonts w:ascii="CAIXA Std Book" w:hAnsi="CAIXA Std Book"/>
                <w:color w:val="005CA9"/>
                <w:sz w:val="18"/>
                <w:szCs w:val="18"/>
              </w:rPr>
            </w:pPr>
            <w:r w:rsidRPr="00FF4346">
              <w:rPr>
                <w:rFonts w:ascii="CAIXA Std Book" w:hAnsi="CAIXA Std Book" w:cs="Arial Unicode MS"/>
                <w:color w:val="005CA9"/>
                <w:sz w:val="18"/>
                <w:szCs w:val="18"/>
              </w:rPr>
              <w:t>6.310.598</w:t>
            </w:r>
          </w:p>
        </w:tc>
      </w:tr>
      <w:tr w:rsidR="00A074F2" w:rsidRPr="00F72350" w14:paraId="268BEB45" w14:textId="77777777" w:rsidTr="0025244B">
        <w:trPr>
          <w:trHeight w:val="283"/>
        </w:trPr>
        <w:tc>
          <w:tcPr>
            <w:tcW w:w="3090" w:type="pct"/>
            <w:tcBorders>
              <w:top w:val="nil"/>
              <w:left w:val="nil"/>
              <w:bottom w:val="single" w:sz="4" w:space="0" w:color="F79646" w:themeColor="accent6"/>
              <w:right w:val="nil"/>
            </w:tcBorders>
            <w:shd w:val="clear" w:color="auto" w:fill="auto"/>
            <w:noWrap/>
            <w:vAlign w:val="center"/>
          </w:tcPr>
          <w:p w14:paraId="015C6C0A" w14:textId="1F8E88D0" w:rsidR="00A074F2" w:rsidRPr="00FF4346" w:rsidRDefault="00A074F2" w:rsidP="00A074F2">
            <w:pPr>
              <w:rPr>
                <w:rFonts w:ascii="CAIXA Std Book" w:hAnsi="CAIXA Std Book"/>
                <w:color w:val="005CA9"/>
                <w:sz w:val="18"/>
                <w:szCs w:val="18"/>
              </w:rPr>
            </w:pPr>
            <w:r w:rsidRPr="00FF4346">
              <w:rPr>
                <w:rFonts w:ascii="CAIXA Std Book" w:hAnsi="CAIXA Std Book"/>
                <w:color w:val="005CA9"/>
                <w:sz w:val="18"/>
                <w:szCs w:val="18"/>
              </w:rPr>
              <w:t>Contratos 869/2013</w:t>
            </w:r>
          </w:p>
        </w:tc>
        <w:tc>
          <w:tcPr>
            <w:tcW w:w="955" w:type="pct"/>
            <w:tcBorders>
              <w:top w:val="nil"/>
              <w:left w:val="nil"/>
              <w:bottom w:val="single" w:sz="4" w:space="0" w:color="F79646" w:themeColor="accent6"/>
              <w:right w:val="nil"/>
            </w:tcBorders>
            <w:vAlign w:val="center"/>
          </w:tcPr>
          <w:p w14:paraId="51A95EB3" w14:textId="3A9C2204" w:rsidR="00A074F2" w:rsidRPr="00FF4346" w:rsidRDefault="00914C06" w:rsidP="00A074F2">
            <w:pPr>
              <w:jc w:val="right"/>
              <w:rPr>
                <w:rFonts w:ascii="CAIXA Std Book" w:hAnsi="CAIXA Std Book" w:cs="Arial Unicode MS"/>
                <w:color w:val="005CA9"/>
                <w:sz w:val="18"/>
                <w:szCs w:val="18"/>
              </w:rPr>
            </w:pPr>
            <w:r>
              <w:rPr>
                <w:rFonts w:ascii="CAIXA Std Book" w:hAnsi="CAIXA Std Book" w:cs="Arial"/>
                <w:color w:val="005CA9"/>
                <w:sz w:val="18"/>
                <w:szCs w:val="18"/>
              </w:rPr>
              <w:t>5.000.000</w:t>
            </w:r>
          </w:p>
        </w:tc>
        <w:tc>
          <w:tcPr>
            <w:tcW w:w="955" w:type="pct"/>
            <w:tcBorders>
              <w:top w:val="nil"/>
              <w:left w:val="nil"/>
              <w:bottom w:val="single" w:sz="4" w:space="0" w:color="F79646" w:themeColor="accent6"/>
              <w:right w:val="nil"/>
            </w:tcBorders>
            <w:vAlign w:val="center"/>
          </w:tcPr>
          <w:p w14:paraId="4B55F3FC" w14:textId="0FD88637" w:rsidR="00A074F2" w:rsidRPr="00FF4346" w:rsidRDefault="00DD2589" w:rsidP="00A074F2">
            <w:pPr>
              <w:jc w:val="right"/>
              <w:rPr>
                <w:rFonts w:ascii="CAIXA Std Book" w:hAnsi="CAIXA Std Book"/>
                <w:color w:val="005CA9"/>
                <w:sz w:val="18"/>
                <w:szCs w:val="18"/>
              </w:rPr>
            </w:pPr>
            <w:r w:rsidRPr="00FF4346">
              <w:rPr>
                <w:rFonts w:ascii="CAIXA Std Book" w:hAnsi="CAIXA Std Book" w:cs="Arial Unicode MS"/>
                <w:color w:val="005CA9"/>
                <w:sz w:val="18"/>
                <w:szCs w:val="18"/>
              </w:rPr>
              <w:t>5</w:t>
            </w:r>
            <w:r w:rsidR="00A074F2" w:rsidRPr="00FF4346">
              <w:rPr>
                <w:rFonts w:ascii="CAIXA Std Book" w:hAnsi="CAIXA Std Book" w:cs="Arial Unicode MS"/>
                <w:color w:val="005CA9"/>
                <w:sz w:val="18"/>
                <w:szCs w:val="18"/>
              </w:rPr>
              <w:t>.000.000</w:t>
            </w:r>
          </w:p>
        </w:tc>
      </w:tr>
      <w:tr w:rsidR="00A074F2" w:rsidRPr="00F72350" w14:paraId="0491F79D" w14:textId="77777777" w:rsidTr="0025244B">
        <w:trPr>
          <w:trHeight w:val="283"/>
        </w:trPr>
        <w:tc>
          <w:tcPr>
            <w:tcW w:w="3090" w:type="pct"/>
            <w:tcBorders>
              <w:top w:val="single" w:sz="4" w:space="0" w:color="F79646" w:themeColor="accent6"/>
              <w:left w:val="nil"/>
              <w:bottom w:val="single" w:sz="4" w:space="0" w:color="F39200"/>
              <w:right w:val="nil"/>
            </w:tcBorders>
            <w:shd w:val="clear" w:color="auto" w:fill="auto"/>
            <w:noWrap/>
            <w:vAlign w:val="center"/>
          </w:tcPr>
          <w:p w14:paraId="60CD76F4" w14:textId="77777777" w:rsidR="00A074F2" w:rsidRPr="00FF4346" w:rsidRDefault="00A074F2" w:rsidP="00A074F2">
            <w:pPr>
              <w:rPr>
                <w:rFonts w:ascii="CAIXA Std Book" w:hAnsi="CAIXA Std Book"/>
                <w:b/>
                <w:color w:val="005CA9"/>
                <w:sz w:val="18"/>
                <w:szCs w:val="18"/>
              </w:rPr>
            </w:pPr>
            <w:r w:rsidRPr="00FF4346">
              <w:rPr>
                <w:rFonts w:ascii="CAIXA Std Book" w:hAnsi="CAIXA Std Book"/>
                <w:b/>
                <w:color w:val="005CA9"/>
                <w:sz w:val="18"/>
                <w:szCs w:val="18"/>
              </w:rPr>
              <w:t>Total</w:t>
            </w:r>
          </w:p>
        </w:tc>
        <w:tc>
          <w:tcPr>
            <w:tcW w:w="955" w:type="pct"/>
            <w:tcBorders>
              <w:top w:val="single" w:sz="4" w:space="0" w:color="F79646" w:themeColor="accent6"/>
              <w:left w:val="nil"/>
              <w:bottom w:val="single" w:sz="4" w:space="0" w:color="F39200"/>
              <w:right w:val="nil"/>
            </w:tcBorders>
            <w:vAlign w:val="center"/>
          </w:tcPr>
          <w:p w14:paraId="45595405" w14:textId="1267CE55" w:rsidR="00A074F2" w:rsidRPr="00FF4346" w:rsidRDefault="007E105B" w:rsidP="00A074F2">
            <w:pPr>
              <w:jc w:val="right"/>
              <w:rPr>
                <w:rFonts w:ascii="CAIXA Std Book" w:hAnsi="CAIXA Std Book" w:cs="Arial Unicode MS"/>
                <w:b/>
                <w:bCs/>
                <w:color w:val="005CA9"/>
                <w:sz w:val="18"/>
                <w:szCs w:val="18"/>
              </w:rPr>
            </w:pPr>
            <w:r>
              <w:rPr>
                <w:rFonts w:ascii="CAIXA Std Book" w:hAnsi="CAIXA Std Book" w:cs="Arial"/>
                <w:b/>
                <w:color w:val="005CA9"/>
                <w:sz w:val="18"/>
                <w:szCs w:val="18"/>
              </w:rPr>
              <w:t>34.</w:t>
            </w:r>
            <w:r w:rsidR="00C75D4E">
              <w:rPr>
                <w:rFonts w:ascii="CAIXA Std Book" w:hAnsi="CAIXA Std Book" w:cs="Arial"/>
                <w:b/>
                <w:color w:val="005CA9"/>
                <w:sz w:val="18"/>
                <w:szCs w:val="18"/>
              </w:rPr>
              <w:t>327.</w:t>
            </w:r>
            <w:r w:rsidR="006904C5">
              <w:rPr>
                <w:rFonts w:ascii="CAIXA Std Book" w:hAnsi="CAIXA Std Book" w:cs="Arial"/>
                <w:b/>
                <w:bCs/>
                <w:color w:val="005CA9"/>
                <w:sz w:val="18"/>
                <w:szCs w:val="18"/>
              </w:rPr>
              <w:t>965</w:t>
            </w:r>
          </w:p>
        </w:tc>
        <w:tc>
          <w:tcPr>
            <w:tcW w:w="955" w:type="pct"/>
            <w:tcBorders>
              <w:top w:val="single" w:sz="4" w:space="0" w:color="F79646" w:themeColor="accent6"/>
              <w:left w:val="nil"/>
              <w:bottom w:val="single" w:sz="4" w:space="0" w:color="F39200"/>
              <w:right w:val="nil"/>
            </w:tcBorders>
            <w:vAlign w:val="center"/>
          </w:tcPr>
          <w:p w14:paraId="69252AD2" w14:textId="51C2D072" w:rsidR="00A074F2" w:rsidRPr="00FF4346" w:rsidRDefault="00DD2589" w:rsidP="00A074F2">
            <w:pPr>
              <w:jc w:val="right"/>
              <w:rPr>
                <w:rFonts w:ascii="CAIXA Std Book" w:hAnsi="CAIXA Std Book"/>
                <w:b/>
                <w:color w:val="005CA9"/>
                <w:sz w:val="18"/>
                <w:szCs w:val="18"/>
              </w:rPr>
            </w:pPr>
            <w:r w:rsidRPr="00FF4346">
              <w:rPr>
                <w:rFonts w:ascii="CAIXA Std Book" w:hAnsi="CAIXA Std Book" w:cs="Arial Unicode MS"/>
                <w:b/>
                <w:bCs/>
                <w:color w:val="005CA9"/>
                <w:sz w:val="18"/>
                <w:szCs w:val="18"/>
              </w:rPr>
              <w:t>33.047.744</w:t>
            </w:r>
          </w:p>
        </w:tc>
      </w:tr>
    </w:tbl>
    <w:p w14:paraId="34EF50EC" w14:textId="762F68E9" w:rsidR="00681A81" w:rsidRPr="00FF4346" w:rsidRDefault="00681A81" w:rsidP="00B37B40">
      <w:pPr>
        <w:pStyle w:val="PargrafodaLista"/>
        <w:numPr>
          <w:ilvl w:val="0"/>
          <w:numId w:val="8"/>
        </w:numPr>
        <w:spacing w:before="48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 xml:space="preserve">Despesas com </w:t>
      </w:r>
      <w:r w:rsidR="00BB483D" w:rsidRPr="00FF4346">
        <w:rPr>
          <w:rFonts w:ascii="CAIXA Std Book" w:hAnsi="CAIXA Std Book"/>
          <w:b/>
          <w:color w:val="005CA9"/>
          <w:sz w:val="20"/>
          <w:szCs w:val="20"/>
        </w:rPr>
        <w:t>r</w:t>
      </w:r>
      <w:r w:rsidRPr="00FF4346">
        <w:rPr>
          <w:rFonts w:ascii="CAIXA Std Book" w:hAnsi="CAIXA Std Book"/>
          <w:b/>
          <w:color w:val="005CA9"/>
          <w:sz w:val="20"/>
          <w:szCs w:val="20"/>
        </w:rPr>
        <w:t xml:space="preserve">ecursos de </w:t>
      </w:r>
      <w:r w:rsidR="00BB483D" w:rsidRPr="00FF4346">
        <w:rPr>
          <w:rFonts w:ascii="CAIXA Std Book" w:hAnsi="CAIXA Std Book"/>
          <w:b/>
          <w:color w:val="005CA9"/>
          <w:sz w:val="20"/>
          <w:szCs w:val="20"/>
        </w:rPr>
        <w:t>e</w:t>
      </w:r>
      <w:r w:rsidRPr="00FF4346">
        <w:rPr>
          <w:rFonts w:ascii="CAIXA Std Book" w:hAnsi="CAIXA Std Book"/>
          <w:b/>
          <w:color w:val="005CA9"/>
          <w:sz w:val="20"/>
          <w:szCs w:val="20"/>
        </w:rPr>
        <w:t xml:space="preserve">missões de </w:t>
      </w:r>
      <w:r w:rsidR="00BB483D" w:rsidRPr="00FF4346">
        <w:rPr>
          <w:rFonts w:ascii="CAIXA Std Book" w:hAnsi="CAIXA Std Book"/>
          <w:b/>
          <w:color w:val="005CA9"/>
          <w:sz w:val="20"/>
          <w:szCs w:val="20"/>
        </w:rPr>
        <w:t>t</w:t>
      </w:r>
      <w:r w:rsidRPr="00FF4346">
        <w:rPr>
          <w:rFonts w:ascii="CAIXA Std Book" w:hAnsi="CAIXA Std Book"/>
          <w:b/>
          <w:color w:val="005CA9"/>
          <w:sz w:val="20"/>
          <w:szCs w:val="20"/>
        </w:rPr>
        <w:t xml:space="preserve">ítulos e </w:t>
      </w:r>
      <w:r w:rsidR="00BB483D" w:rsidRPr="00FF4346">
        <w:rPr>
          <w:rFonts w:ascii="CAIXA Std Book" w:hAnsi="CAIXA Std Book"/>
          <w:b/>
          <w:color w:val="005CA9"/>
          <w:sz w:val="20"/>
          <w:szCs w:val="20"/>
        </w:rPr>
        <w:t>v</w:t>
      </w:r>
      <w:r w:rsidRPr="00FF4346">
        <w:rPr>
          <w:rFonts w:ascii="CAIXA Std Book" w:hAnsi="CAIXA Std Book"/>
          <w:b/>
          <w:color w:val="005CA9"/>
          <w:sz w:val="20"/>
          <w:szCs w:val="20"/>
        </w:rPr>
        <w:t xml:space="preserve">alores </w:t>
      </w:r>
      <w:r w:rsidR="00BB483D" w:rsidRPr="00FF4346">
        <w:rPr>
          <w:rFonts w:ascii="CAIXA Std Book" w:hAnsi="CAIXA Std Book"/>
          <w:b/>
          <w:color w:val="005CA9"/>
          <w:sz w:val="20"/>
          <w:szCs w:val="20"/>
        </w:rPr>
        <w:t>m</w:t>
      </w:r>
      <w:r w:rsidRPr="00FF4346">
        <w:rPr>
          <w:rFonts w:ascii="CAIXA Std Book" w:hAnsi="CAIXA Std Book"/>
          <w:b/>
          <w:color w:val="005CA9"/>
          <w:sz w:val="20"/>
          <w:szCs w:val="20"/>
        </w:rPr>
        <w:t>obiliários</w:t>
      </w:r>
    </w:p>
    <w:tbl>
      <w:tblPr>
        <w:tblW w:w="5000" w:type="pct"/>
        <w:tblCellMar>
          <w:left w:w="70" w:type="dxa"/>
          <w:right w:w="70" w:type="dxa"/>
        </w:tblCellMar>
        <w:tblLook w:val="04A0" w:firstRow="1" w:lastRow="0" w:firstColumn="1" w:lastColumn="0" w:noHBand="0" w:noVBand="1"/>
      </w:tblPr>
      <w:tblGrid>
        <w:gridCol w:w="4072"/>
        <w:gridCol w:w="1391"/>
        <w:gridCol w:w="1392"/>
        <w:gridCol w:w="1392"/>
        <w:gridCol w:w="1390"/>
      </w:tblGrid>
      <w:tr w:rsidR="00954E71" w:rsidRPr="00F72350" w14:paraId="5F1E7772" w14:textId="77777777" w:rsidTr="0002041F">
        <w:trPr>
          <w:trHeight w:val="283"/>
        </w:trPr>
        <w:tc>
          <w:tcPr>
            <w:tcW w:w="2113" w:type="pct"/>
            <w:vMerge w:val="restart"/>
            <w:tcBorders>
              <w:top w:val="single" w:sz="4" w:space="0" w:color="F79646"/>
              <w:left w:val="nil"/>
            </w:tcBorders>
            <w:vAlign w:val="center"/>
          </w:tcPr>
          <w:p w14:paraId="7DA89B19" w14:textId="2FEB77DD" w:rsidR="00954E71" w:rsidRPr="00FF4346" w:rsidRDefault="00954E71" w:rsidP="00954E71">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444" w:type="pct"/>
            <w:gridSpan w:val="2"/>
            <w:tcBorders>
              <w:top w:val="single" w:sz="4" w:space="0" w:color="F79646"/>
              <w:bottom w:val="single" w:sz="4" w:space="0" w:color="F79646" w:themeColor="accent6"/>
            </w:tcBorders>
            <w:shd w:val="clear" w:color="auto" w:fill="auto"/>
            <w:vAlign w:val="center"/>
          </w:tcPr>
          <w:p w14:paraId="7791FBA3" w14:textId="291CC5A1" w:rsidR="00954E71" w:rsidRPr="00FF4346" w:rsidRDefault="00954E71" w:rsidP="00C21346">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INDIVIDUAL</w:t>
            </w:r>
          </w:p>
        </w:tc>
        <w:tc>
          <w:tcPr>
            <w:tcW w:w="1443" w:type="pct"/>
            <w:gridSpan w:val="2"/>
            <w:tcBorders>
              <w:top w:val="single" w:sz="4" w:space="0" w:color="F79646"/>
              <w:left w:val="nil"/>
              <w:bottom w:val="single" w:sz="4" w:space="0" w:color="F79646" w:themeColor="accent6"/>
            </w:tcBorders>
            <w:shd w:val="clear" w:color="auto" w:fill="auto"/>
            <w:vAlign w:val="center"/>
          </w:tcPr>
          <w:p w14:paraId="571D55CB" w14:textId="715FB8A0" w:rsidR="00954E71" w:rsidRPr="00FF4346" w:rsidRDefault="00954E71" w:rsidP="00C21346">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CONSOLIDADO</w:t>
            </w:r>
          </w:p>
        </w:tc>
      </w:tr>
      <w:tr w:rsidR="00954E71" w:rsidRPr="00F72350" w14:paraId="7E69D118" w14:textId="77777777" w:rsidTr="0002041F">
        <w:trPr>
          <w:trHeight w:val="283"/>
        </w:trPr>
        <w:tc>
          <w:tcPr>
            <w:tcW w:w="2113" w:type="pct"/>
            <w:vMerge/>
            <w:tcBorders>
              <w:left w:val="nil"/>
            </w:tcBorders>
            <w:shd w:val="clear" w:color="auto" w:fill="auto"/>
            <w:vAlign w:val="bottom"/>
            <w:hideMark/>
          </w:tcPr>
          <w:p w14:paraId="2ED9465A" w14:textId="3111F421" w:rsidR="00954E71" w:rsidRPr="00FF4346" w:rsidRDefault="00954E71" w:rsidP="00E33D6D">
            <w:pPr>
              <w:jc w:val="center"/>
              <w:rPr>
                <w:rFonts w:ascii="CAIXA Std Book" w:eastAsia="Times New Roman" w:hAnsi="CAIXA Std Book" w:cs="Arial"/>
                <w:b/>
                <w:bCs/>
                <w:color w:val="005CA9"/>
                <w:sz w:val="18"/>
                <w:szCs w:val="18"/>
              </w:rPr>
            </w:pPr>
          </w:p>
        </w:tc>
        <w:tc>
          <w:tcPr>
            <w:tcW w:w="722" w:type="pct"/>
            <w:tcBorders>
              <w:top w:val="single" w:sz="4" w:space="0" w:color="F79646" w:themeColor="accent6"/>
              <w:right w:val="nil"/>
            </w:tcBorders>
            <w:vAlign w:val="center"/>
          </w:tcPr>
          <w:p w14:paraId="13E19DC5" w14:textId="7B5854F5" w:rsidR="00954E71" w:rsidRPr="00FF4346" w:rsidRDefault="00954E71" w:rsidP="00E05224">
            <w:pPr>
              <w:jc w:val="center"/>
              <w:rPr>
                <w:rFonts w:ascii="CAIXA Std Book" w:eastAsia="Times New Roman" w:hAnsi="CAIXA Std Book" w:cs="Arial"/>
                <w:b/>
                <w:bCs/>
                <w:color w:val="005CA9"/>
                <w:sz w:val="18"/>
                <w:szCs w:val="18"/>
              </w:rPr>
            </w:pPr>
            <w:r w:rsidRPr="00492520">
              <w:rPr>
                <w:rFonts w:ascii="CAIXA Std Book" w:eastAsia="Times New Roman" w:hAnsi="CAIXA Std Book" w:cs="Arial"/>
                <w:b/>
                <w:bCs/>
                <w:color w:val="005CA9"/>
                <w:sz w:val="18"/>
                <w:szCs w:val="18"/>
              </w:rPr>
              <w:t>202</w:t>
            </w:r>
            <w:r>
              <w:rPr>
                <w:rFonts w:ascii="CAIXA Std Book" w:eastAsia="Times New Roman" w:hAnsi="CAIXA Std Book" w:cs="Arial"/>
                <w:b/>
                <w:bCs/>
                <w:color w:val="005CA9"/>
                <w:sz w:val="18"/>
                <w:szCs w:val="18"/>
              </w:rPr>
              <w:t>4</w:t>
            </w:r>
          </w:p>
        </w:tc>
        <w:tc>
          <w:tcPr>
            <w:tcW w:w="722" w:type="pct"/>
            <w:tcBorders>
              <w:top w:val="single" w:sz="4" w:space="0" w:color="F79646" w:themeColor="accent6"/>
              <w:left w:val="nil"/>
              <w:bottom w:val="single" w:sz="4" w:space="0" w:color="F79646"/>
              <w:right w:val="nil"/>
            </w:tcBorders>
            <w:shd w:val="clear" w:color="auto" w:fill="auto"/>
            <w:vAlign w:val="center"/>
            <w:hideMark/>
          </w:tcPr>
          <w:p w14:paraId="10BCBA04" w14:textId="713021B7" w:rsidR="00954E71" w:rsidRPr="00FF4346" w:rsidRDefault="00954E71" w:rsidP="00E05224">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20</w:t>
            </w:r>
            <w:r w:rsidRPr="00492520">
              <w:rPr>
                <w:rFonts w:ascii="CAIXA Std Book" w:eastAsia="Times New Roman" w:hAnsi="CAIXA Std Book" w:cs="Arial"/>
                <w:b/>
                <w:bCs/>
                <w:color w:val="005CA9"/>
                <w:sz w:val="18"/>
                <w:szCs w:val="18"/>
              </w:rPr>
              <w:t>23</w:t>
            </w:r>
          </w:p>
        </w:tc>
        <w:tc>
          <w:tcPr>
            <w:tcW w:w="722" w:type="pct"/>
            <w:tcBorders>
              <w:top w:val="single" w:sz="4" w:space="0" w:color="F79646" w:themeColor="accent6"/>
              <w:left w:val="nil"/>
              <w:bottom w:val="single" w:sz="4" w:space="0" w:color="F79646"/>
              <w:right w:val="nil"/>
            </w:tcBorders>
            <w:shd w:val="clear" w:color="auto" w:fill="auto"/>
            <w:vAlign w:val="center"/>
          </w:tcPr>
          <w:p w14:paraId="2198D896" w14:textId="120587BE" w:rsidR="00954E71" w:rsidRPr="00FF4346" w:rsidRDefault="00954E71" w:rsidP="00E05224">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2024</w:t>
            </w:r>
          </w:p>
        </w:tc>
        <w:tc>
          <w:tcPr>
            <w:tcW w:w="721" w:type="pct"/>
            <w:tcBorders>
              <w:top w:val="single" w:sz="4" w:space="0" w:color="F79646" w:themeColor="accent6"/>
              <w:left w:val="nil"/>
              <w:bottom w:val="single" w:sz="4" w:space="0" w:color="F79646"/>
              <w:right w:val="nil"/>
            </w:tcBorders>
            <w:shd w:val="clear" w:color="auto" w:fill="auto"/>
            <w:vAlign w:val="center"/>
          </w:tcPr>
          <w:p w14:paraId="472CD3E8" w14:textId="558DCFCB" w:rsidR="00954E71" w:rsidRPr="00FF4346" w:rsidRDefault="00954E71" w:rsidP="00E05224">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2023</w:t>
            </w:r>
          </w:p>
        </w:tc>
      </w:tr>
      <w:tr w:rsidR="00954E71" w:rsidRPr="00F72350" w14:paraId="6F25AA25" w14:textId="77777777" w:rsidTr="0002041F">
        <w:trPr>
          <w:trHeight w:val="283"/>
        </w:trPr>
        <w:tc>
          <w:tcPr>
            <w:tcW w:w="2113" w:type="pct"/>
            <w:vMerge/>
            <w:tcBorders>
              <w:left w:val="nil"/>
              <w:bottom w:val="single" w:sz="4" w:space="0" w:color="F79646"/>
            </w:tcBorders>
            <w:shd w:val="clear" w:color="auto" w:fill="auto"/>
            <w:vAlign w:val="bottom"/>
            <w:hideMark/>
          </w:tcPr>
          <w:p w14:paraId="3C877297" w14:textId="77777777" w:rsidR="00954E71" w:rsidRPr="00FF4346" w:rsidRDefault="00954E71" w:rsidP="00E33D6D">
            <w:pPr>
              <w:jc w:val="center"/>
              <w:rPr>
                <w:rFonts w:ascii="CAIXA Std Book" w:eastAsia="Times New Roman" w:hAnsi="CAIXA Std Book" w:cs="Arial"/>
                <w:b/>
                <w:bCs/>
                <w:color w:val="005CA9"/>
                <w:sz w:val="18"/>
                <w:szCs w:val="18"/>
              </w:rPr>
            </w:pPr>
          </w:p>
        </w:tc>
        <w:tc>
          <w:tcPr>
            <w:tcW w:w="722" w:type="pct"/>
            <w:tcBorders>
              <w:top w:val="single" w:sz="4" w:space="0" w:color="F79646"/>
              <w:bottom w:val="single" w:sz="4" w:space="0" w:color="F79646"/>
              <w:right w:val="nil"/>
            </w:tcBorders>
            <w:shd w:val="clear" w:color="auto" w:fill="auto"/>
            <w:vAlign w:val="center"/>
          </w:tcPr>
          <w:p w14:paraId="3343E1D9" w14:textId="5201F066" w:rsidR="00954E71" w:rsidRPr="00FF4346" w:rsidRDefault="00954E71" w:rsidP="007004D3">
            <w:pPr>
              <w:jc w:val="center"/>
              <w:rPr>
                <w:rFonts w:ascii="CAIXA Std Book" w:eastAsia="Times New Roman" w:hAnsi="CAIXA Std Book" w:cs="Arial"/>
                <w:b/>
                <w:bCs/>
                <w:color w:val="005CA9"/>
                <w:sz w:val="18"/>
                <w:szCs w:val="18"/>
              </w:rPr>
            </w:pPr>
            <w:r w:rsidRPr="00492520">
              <w:rPr>
                <w:rFonts w:ascii="CAIXA Std Book" w:eastAsia="Times New Roman" w:hAnsi="CAIXA Std Book" w:cs="Arial"/>
                <w:b/>
                <w:bCs/>
                <w:color w:val="005CA9"/>
                <w:sz w:val="18"/>
                <w:szCs w:val="18"/>
              </w:rPr>
              <w:t>1º trimestre</w:t>
            </w:r>
          </w:p>
        </w:tc>
        <w:tc>
          <w:tcPr>
            <w:tcW w:w="722" w:type="pct"/>
            <w:tcBorders>
              <w:top w:val="single" w:sz="4" w:space="0" w:color="F79646"/>
              <w:left w:val="nil"/>
              <w:bottom w:val="single" w:sz="4" w:space="0" w:color="F79646"/>
              <w:right w:val="nil"/>
            </w:tcBorders>
            <w:vAlign w:val="center"/>
          </w:tcPr>
          <w:p w14:paraId="75613486" w14:textId="2F706507" w:rsidR="00954E71" w:rsidRPr="00492520" w:rsidRDefault="00954E71" w:rsidP="007004D3">
            <w:pPr>
              <w:jc w:val="center"/>
              <w:rPr>
                <w:rFonts w:ascii="CAIXA Std Book" w:eastAsia="Times New Roman" w:hAnsi="CAIXA Std Book" w:cs="Arial"/>
                <w:b/>
                <w:color w:val="005CA9"/>
                <w:sz w:val="18"/>
                <w:szCs w:val="18"/>
              </w:rPr>
            </w:pPr>
            <w:r w:rsidRPr="00492520">
              <w:rPr>
                <w:rFonts w:ascii="CAIXA Std Book" w:eastAsia="Times New Roman" w:hAnsi="CAIXA Std Book" w:cs="Arial"/>
                <w:b/>
                <w:bCs/>
                <w:color w:val="005CA9"/>
                <w:sz w:val="18"/>
                <w:szCs w:val="18"/>
              </w:rPr>
              <w:t>1º trimestre</w:t>
            </w:r>
          </w:p>
        </w:tc>
        <w:tc>
          <w:tcPr>
            <w:tcW w:w="722" w:type="pct"/>
            <w:tcBorders>
              <w:top w:val="single" w:sz="4" w:space="0" w:color="F79646"/>
              <w:left w:val="nil"/>
              <w:bottom w:val="single" w:sz="4" w:space="0" w:color="F79646"/>
              <w:right w:val="nil"/>
            </w:tcBorders>
            <w:vAlign w:val="center"/>
          </w:tcPr>
          <w:p w14:paraId="0FE3CFB5" w14:textId="12A3CD38" w:rsidR="00954E71" w:rsidRPr="00FF4346" w:rsidRDefault="00954E71" w:rsidP="007004D3">
            <w:pPr>
              <w:jc w:val="center"/>
              <w:rPr>
                <w:rFonts w:ascii="CAIXA Std Book" w:eastAsia="Times New Roman" w:hAnsi="CAIXA Std Book" w:cs="Arial"/>
                <w:b/>
                <w:bCs/>
                <w:color w:val="005CA9"/>
                <w:sz w:val="18"/>
                <w:szCs w:val="18"/>
              </w:rPr>
            </w:pPr>
            <w:r w:rsidRPr="00492520">
              <w:rPr>
                <w:rFonts w:ascii="CAIXA Std Book" w:eastAsia="Times New Roman" w:hAnsi="CAIXA Std Book" w:cs="Arial"/>
                <w:b/>
                <w:bCs/>
                <w:color w:val="005CA9"/>
                <w:sz w:val="18"/>
                <w:szCs w:val="18"/>
              </w:rPr>
              <w:t>1º trimestre</w:t>
            </w:r>
          </w:p>
        </w:tc>
        <w:tc>
          <w:tcPr>
            <w:tcW w:w="721" w:type="pct"/>
            <w:tcBorders>
              <w:top w:val="single" w:sz="4" w:space="0" w:color="F79646"/>
              <w:left w:val="nil"/>
              <w:bottom w:val="single" w:sz="4" w:space="0" w:color="F79646"/>
              <w:right w:val="nil"/>
            </w:tcBorders>
            <w:shd w:val="clear" w:color="auto" w:fill="auto"/>
            <w:vAlign w:val="center"/>
          </w:tcPr>
          <w:p w14:paraId="4E3C1740" w14:textId="178DB5F4" w:rsidR="00954E71" w:rsidRPr="00FF4346" w:rsidRDefault="00954E71" w:rsidP="007004D3">
            <w:pPr>
              <w:jc w:val="center"/>
              <w:rPr>
                <w:rFonts w:ascii="CAIXA Std Book" w:eastAsia="Times New Roman" w:hAnsi="CAIXA Std Book" w:cs="Arial"/>
                <w:b/>
                <w:bCs/>
                <w:color w:val="005CA9"/>
                <w:sz w:val="18"/>
                <w:szCs w:val="18"/>
              </w:rPr>
            </w:pPr>
            <w:r w:rsidRPr="00492520">
              <w:rPr>
                <w:rFonts w:ascii="CAIXA Std Book" w:eastAsia="Times New Roman" w:hAnsi="CAIXA Std Book" w:cs="Arial"/>
                <w:b/>
                <w:bCs/>
                <w:color w:val="005CA9"/>
                <w:sz w:val="18"/>
                <w:szCs w:val="18"/>
              </w:rPr>
              <w:t>1º trimestre</w:t>
            </w:r>
          </w:p>
        </w:tc>
      </w:tr>
      <w:tr w:rsidR="00A45F4D" w:rsidRPr="00F72350" w14:paraId="0F0D06A9" w14:textId="77777777" w:rsidTr="0002041F">
        <w:trPr>
          <w:trHeight w:val="283"/>
        </w:trPr>
        <w:tc>
          <w:tcPr>
            <w:tcW w:w="2113" w:type="pct"/>
            <w:tcBorders>
              <w:top w:val="single" w:sz="4" w:space="0" w:color="F79646"/>
              <w:left w:val="nil"/>
              <w:bottom w:val="nil"/>
              <w:right w:val="nil"/>
            </w:tcBorders>
            <w:shd w:val="clear" w:color="auto" w:fill="auto"/>
            <w:vAlign w:val="center"/>
            <w:hideMark/>
          </w:tcPr>
          <w:p w14:paraId="12FD3718" w14:textId="77777777" w:rsidR="00A45F4D" w:rsidRPr="00FF4346" w:rsidRDefault="00A45F4D" w:rsidP="00A45F4D">
            <w:pPr>
              <w:rPr>
                <w:rFonts w:ascii="CAIXA Std Book" w:eastAsia="Times New Roman" w:hAnsi="CAIXA Std Book" w:cs="Arial"/>
                <w:b/>
                <w:bCs/>
                <w:color w:val="005CA9"/>
                <w:sz w:val="18"/>
                <w:szCs w:val="18"/>
              </w:rPr>
            </w:pPr>
            <w:bookmarkStart w:id="84" w:name="_Hlk102580820"/>
            <w:r w:rsidRPr="00FF4346">
              <w:rPr>
                <w:rFonts w:ascii="CAIXA Std Book" w:eastAsia="Times New Roman" w:hAnsi="CAIXA Std Book" w:cs="Arial"/>
                <w:b/>
                <w:bCs/>
                <w:color w:val="005CA9"/>
                <w:sz w:val="18"/>
                <w:szCs w:val="18"/>
              </w:rPr>
              <w:t>Recursos de emissões de Letras</w:t>
            </w:r>
          </w:p>
        </w:tc>
        <w:tc>
          <w:tcPr>
            <w:tcW w:w="722" w:type="pct"/>
            <w:tcBorders>
              <w:top w:val="single" w:sz="4" w:space="0" w:color="F79646"/>
              <w:left w:val="nil"/>
              <w:bottom w:val="nil"/>
              <w:right w:val="nil"/>
            </w:tcBorders>
            <w:shd w:val="clear" w:color="auto" w:fill="auto"/>
            <w:vAlign w:val="center"/>
          </w:tcPr>
          <w:p w14:paraId="17374BB1" w14:textId="4833CB06" w:rsidR="00A45F4D" w:rsidRPr="008C6D48" w:rsidRDefault="00A45F4D" w:rsidP="00A45F4D">
            <w:pPr>
              <w:jc w:val="right"/>
              <w:rPr>
                <w:rFonts w:ascii="CAIXA Std Book" w:hAnsi="CAIXA Std Book" w:cs="Arial"/>
                <w:b/>
                <w:bCs/>
                <w:color w:val="005CA9"/>
                <w:sz w:val="18"/>
                <w:szCs w:val="18"/>
              </w:rPr>
            </w:pPr>
            <w:r>
              <w:rPr>
                <w:rFonts w:ascii="CAIXA Std Book" w:hAnsi="CAIXA Std Book" w:cs="Arial"/>
                <w:b/>
                <w:bCs/>
                <w:color w:val="005CA9"/>
                <w:sz w:val="18"/>
                <w:szCs w:val="18"/>
              </w:rPr>
              <w:t>(4.403.338)</w:t>
            </w:r>
          </w:p>
        </w:tc>
        <w:tc>
          <w:tcPr>
            <w:tcW w:w="722" w:type="pct"/>
            <w:tcBorders>
              <w:top w:val="single" w:sz="4" w:space="0" w:color="F79646"/>
              <w:left w:val="nil"/>
              <w:bottom w:val="nil"/>
              <w:right w:val="nil"/>
            </w:tcBorders>
            <w:vAlign w:val="center"/>
          </w:tcPr>
          <w:p w14:paraId="1BFF0E97" w14:textId="00AD2255" w:rsidR="00A45F4D" w:rsidRPr="008C6D48" w:rsidRDefault="00A45F4D" w:rsidP="00A45F4D">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(2.955.238)</w:t>
            </w:r>
          </w:p>
        </w:tc>
        <w:tc>
          <w:tcPr>
            <w:tcW w:w="722" w:type="pct"/>
            <w:tcBorders>
              <w:top w:val="single" w:sz="4" w:space="0" w:color="F79646"/>
              <w:left w:val="nil"/>
              <w:bottom w:val="nil"/>
              <w:right w:val="nil"/>
            </w:tcBorders>
            <w:vAlign w:val="center"/>
          </w:tcPr>
          <w:p w14:paraId="26D0DE92" w14:textId="5C749038" w:rsidR="00A45F4D" w:rsidRPr="00FF4346" w:rsidRDefault="00A45F4D" w:rsidP="00A45F4D">
            <w:pPr>
              <w:jc w:val="right"/>
              <w:rPr>
                <w:rFonts w:ascii="CAIXA Std Book" w:hAnsi="CAIXA Std Book" w:cs="Arial"/>
                <w:b/>
                <w:bCs/>
                <w:color w:val="005CA9"/>
                <w:sz w:val="18"/>
                <w:szCs w:val="18"/>
              </w:rPr>
            </w:pPr>
            <w:r>
              <w:rPr>
                <w:rFonts w:ascii="CAIXA Std Book" w:hAnsi="CAIXA Std Book" w:cs="Arial"/>
                <w:b/>
                <w:bCs/>
                <w:color w:val="005CA9"/>
                <w:sz w:val="18"/>
                <w:szCs w:val="18"/>
              </w:rPr>
              <w:t>(4.403.338)</w:t>
            </w:r>
          </w:p>
        </w:tc>
        <w:tc>
          <w:tcPr>
            <w:tcW w:w="721" w:type="pct"/>
            <w:tcBorders>
              <w:top w:val="single" w:sz="4" w:space="0" w:color="F79646"/>
              <w:left w:val="nil"/>
              <w:bottom w:val="nil"/>
              <w:right w:val="nil"/>
            </w:tcBorders>
            <w:shd w:val="clear" w:color="auto" w:fill="auto"/>
            <w:vAlign w:val="center"/>
          </w:tcPr>
          <w:p w14:paraId="3F5F9314" w14:textId="1D5FB175" w:rsidR="00A45F4D" w:rsidRPr="008C6D48" w:rsidRDefault="00A45F4D" w:rsidP="00A45F4D">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(2.955.239)</w:t>
            </w:r>
          </w:p>
        </w:tc>
      </w:tr>
      <w:tr w:rsidR="00A45F4D" w:rsidRPr="00F72350" w14:paraId="3F4516EC" w14:textId="77777777" w:rsidTr="0002041F">
        <w:trPr>
          <w:trHeight w:val="283"/>
        </w:trPr>
        <w:tc>
          <w:tcPr>
            <w:tcW w:w="2113" w:type="pct"/>
            <w:tcBorders>
              <w:top w:val="nil"/>
              <w:left w:val="nil"/>
              <w:bottom w:val="nil"/>
              <w:right w:val="nil"/>
            </w:tcBorders>
            <w:shd w:val="clear" w:color="auto" w:fill="auto"/>
            <w:vAlign w:val="center"/>
            <w:hideMark/>
          </w:tcPr>
          <w:p w14:paraId="01C544AF" w14:textId="77777777" w:rsidR="00A45F4D" w:rsidRPr="00FF4346" w:rsidRDefault="00A45F4D" w:rsidP="00A45F4D">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Letras de crédito imobiliário</w:t>
            </w:r>
          </w:p>
        </w:tc>
        <w:tc>
          <w:tcPr>
            <w:tcW w:w="722" w:type="pct"/>
            <w:tcBorders>
              <w:top w:val="nil"/>
              <w:left w:val="nil"/>
              <w:bottom w:val="nil"/>
              <w:right w:val="nil"/>
            </w:tcBorders>
            <w:shd w:val="clear" w:color="auto" w:fill="auto"/>
            <w:vAlign w:val="center"/>
          </w:tcPr>
          <w:p w14:paraId="07E8A566" w14:textId="3160F564" w:rsidR="00A45F4D" w:rsidRPr="008C6D48"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(3.828.405)</w:t>
            </w:r>
          </w:p>
        </w:tc>
        <w:tc>
          <w:tcPr>
            <w:tcW w:w="722" w:type="pct"/>
            <w:tcBorders>
              <w:top w:val="nil"/>
              <w:left w:val="nil"/>
              <w:bottom w:val="nil"/>
              <w:right w:val="nil"/>
            </w:tcBorders>
            <w:vAlign w:val="center"/>
          </w:tcPr>
          <w:p w14:paraId="78DAD3C7" w14:textId="6ED73B33" w:rsidR="00A45F4D" w:rsidRPr="00F72350"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(2.530.531)</w:t>
            </w:r>
          </w:p>
        </w:tc>
        <w:tc>
          <w:tcPr>
            <w:tcW w:w="722" w:type="pct"/>
            <w:tcBorders>
              <w:top w:val="nil"/>
              <w:left w:val="nil"/>
              <w:bottom w:val="nil"/>
              <w:right w:val="nil"/>
            </w:tcBorders>
            <w:vAlign w:val="center"/>
          </w:tcPr>
          <w:p w14:paraId="19E12990" w14:textId="38B0B86B" w:rsidR="00A45F4D" w:rsidRPr="00FF4346"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(3.828.405)</w:t>
            </w:r>
          </w:p>
        </w:tc>
        <w:tc>
          <w:tcPr>
            <w:tcW w:w="721" w:type="pct"/>
            <w:tcBorders>
              <w:top w:val="nil"/>
              <w:left w:val="nil"/>
              <w:bottom w:val="nil"/>
              <w:right w:val="nil"/>
            </w:tcBorders>
            <w:shd w:val="clear" w:color="auto" w:fill="auto"/>
            <w:vAlign w:val="center"/>
          </w:tcPr>
          <w:p w14:paraId="031DF9E6" w14:textId="3A4B2DFD" w:rsidR="00A45F4D" w:rsidRPr="008C6D48"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(2.530.531)</w:t>
            </w:r>
          </w:p>
        </w:tc>
      </w:tr>
      <w:tr w:rsidR="00A45F4D" w:rsidRPr="00F72350" w14:paraId="35E7D92C" w14:textId="77777777" w:rsidTr="0002041F">
        <w:trPr>
          <w:trHeight w:val="283"/>
        </w:trPr>
        <w:tc>
          <w:tcPr>
            <w:tcW w:w="2113" w:type="pct"/>
            <w:tcBorders>
              <w:top w:val="nil"/>
              <w:left w:val="nil"/>
              <w:bottom w:val="nil"/>
              <w:right w:val="nil"/>
            </w:tcBorders>
            <w:shd w:val="clear" w:color="auto" w:fill="auto"/>
            <w:vAlign w:val="center"/>
            <w:hideMark/>
          </w:tcPr>
          <w:p w14:paraId="588D3B1E" w14:textId="77777777" w:rsidR="00A45F4D" w:rsidRPr="00FF4346" w:rsidRDefault="00A45F4D" w:rsidP="00A45F4D">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Letras financeiras</w:t>
            </w:r>
          </w:p>
        </w:tc>
        <w:tc>
          <w:tcPr>
            <w:tcW w:w="722" w:type="pct"/>
            <w:tcBorders>
              <w:top w:val="nil"/>
              <w:left w:val="nil"/>
              <w:bottom w:val="nil"/>
              <w:right w:val="nil"/>
            </w:tcBorders>
            <w:shd w:val="clear" w:color="auto" w:fill="auto"/>
            <w:vAlign w:val="center"/>
          </w:tcPr>
          <w:p w14:paraId="3D21D081" w14:textId="7EFEBE7A" w:rsidR="00A45F4D" w:rsidRPr="00C50BE9"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(242.583)</w:t>
            </w:r>
          </w:p>
        </w:tc>
        <w:tc>
          <w:tcPr>
            <w:tcW w:w="722" w:type="pct"/>
            <w:tcBorders>
              <w:top w:val="nil"/>
              <w:left w:val="nil"/>
              <w:bottom w:val="nil"/>
              <w:right w:val="nil"/>
            </w:tcBorders>
            <w:vAlign w:val="center"/>
          </w:tcPr>
          <w:p w14:paraId="51279E64" w14:textId="72242A75" w:rsidR="00A45F4D" w:rsidRPr="00F72350"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(289.805)</w:t>
            </w:r>
          </w:p>
        </w:tc>
        <w:tc>
          <w:tcPr>
            <w:tcW w:w="722" w:type="pct"/>
            <w:tcBorders>
              <w:top w:val="nil"/>
              <w:left w:val="nil"/>
              <w:bottom w:val="nil"/>
              <w:right w:val="nil"/>
            </w:tcBorders>
            <w:vAlign w:val="center"/>
          </w:tcPr>
          <w:p w14:paraId="729DBF57" w14:textId="257FB088" w:rsidR="00A45F4D" w:rsidRPr="00FF4346"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(242.583)</w:t>
            </w:r>
          </w:p>
        </w:tc>
        <w:tc>
          <w:tcPr>
            <w:tcW w:w="721" w:type="pct"/>
            <w:tcBorders>
              <w:top w:val="nil"/>
              <w:left w:val="nil"/>
              <w:bottom w:val="nil"/>
              <w:right w:val="nil"/>
            </w:tcBorders>
            <w:shd w:val="clear" w:color="auto" w:fill="auto"/>
            <w:vAlign w:val="center"/>
          </w:tcPr>
          <w:p w14:paraId="5548C033" w14:textId="5E10C051" w:rsidR="00A45F4D" w:rsidRPr="008C6D48"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(289.806)</w:t>
            </w:r>
          </w:p>
        </w:tc>
      </w:tr>
      <w:tr w:rsidR="00A45F4D" w:rsidRPr="00F72350" w14:paraId="1DC64C14" w14:textId="77777777" w:rsidTr="0002041F">
        <w:trPr>
          <w:trHeight w:val="283"/>
        </w:trPr>
        <w:tc>
          <w:tcPr>
            <w:tcW w:w="2113" w:type="pct"/>
            <w:tcBorders>
              <w:top w:val="nil"/>
              <w:left w:val="nil"/>
              <w:bottom w:val="nil"/>
              <w:right w:val="nil"/>
            </w:tcBorders>
            <w:shd w:val="clear" w:color="auto" w:fill="auto"/>
            <w:vAlign w:val="center"/>
            <w:hideMark/>
          </w:tcPr>
          <w:p w14:paraId="1A833F09" w14:textId="77777777" w:rsidR="00A45F4D" w:rsidRPr="00FF4346" w:rsidRDefault="00A45F4D" w:rsidP="00A45F4D">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Com subordinação</w:t>
            </w:r>
          </w:p>
        </w:tc>
        <w:tc>
          <w:tcPr>
            <w:tcW w:w="722" w:type="pct"/>
            <w:tcBorders>
              <w:top w:val="nil"/>
              <w:left w:val="nil"/>
              <w:bottom w:val="nil"/>
              <w:right w:val="nil"/>
            </w:tcBorders>
            <w:shd w:val="clear" w:color="auto" w:fill="auto"/>
            <w:vAlign w:val="center"/>
          </w:tcPr>
          <w:p w14:paraId="3815EBC6" w14:textId="6702B0C3" w:rsidR="00A45F4D" w:rsidRPr="00C50BE9"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(69.855)</w:t>
            </w:r>
          </w:p>
        </w:tc>
        <w:tc>
          <w:tcPr>
            <w:tcW w:w="722" w:type="pct"/>
            <w:tcBorders>
              <w:top w:val="nil"/>
              <w:left w:val="nil"/>
              <w:bottom w:val="nil"/>
              <w:right w:val="nil"/>
            </w:tcBorders>
            <w:vAlign w:val="center"/>
          </w:tcPr>
          <w:p w14:paraId="552E4CA5" w14:textId="20D421BF" w:rsidR="00A45F4D" w:rsidRPr="00F72350"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(92.617)</w:t>
            </w:r>
          </w:p>
        </w:tc>
        <w:tc>
          <w:tcPr>
            <w:tcW w:w="722" w:type="pct"/>
            <w:tcBorders>
              <w:top w:val="nil"/>
              <w:left w:val="nil"/>
              <w:bottom w:val="nil"/>
              <w:right w:val="nil"/>
            </w:tcBorders>
            <w:vAlign w:val="center"/>
          </w:tcPr>
          <w:p w14:paraId="594A2603" w14:textId="6649F1D2" w:rsidR="00A45F4D" w:rsidRPr="00FF4346"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(69.855)</w:t>
            </w:r>
          </w:p>
        </w:tc>
        <w:tc>
          <w:tcPr>
            <w:tcW w:w="721" w:type="pct"/>
            <w:tcBorders>
              <w:top w:val="nil"/>
              <w:left w:val="nil"/>
              <w:bottom w:val="nil"/>
              <w:right w:val="nil"/>
            </w:tcBorders>
            <w:shd w:val="clear" w:color="auto" w:fill="auto"/>
            <w:vAlign w:val="center"/>
          </w:tcPr>
          <w:p w14:paraId="3C02EAEA" w14:textId="24010FF6" w:rsidR="00A45F4D" w:rsidRPr="008C6D48"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(92.617)</w:t>
            </w:r>
          </w:p>
        </w:tc>
      </w:tr>
      <w:tr w:rsidR="00A45F4D" w:rsidRPr="00F72350" w14:paraId="05C8112B" w14:textId="77777777" w:rsidTr="0002041F">
        <w:trPr>
          <w:trHeight w:val="283"/>
        </w:trPr>
        <w:tc>
          <w:tcPr>
            <w:tcW w:w="2113" w:type="pct"/>
            <w:tcBorders>
              <w:top w:val="nil"/>
              <w:left w:val="nil"/>
              <w:bottom w:val="nil"/>
              <w:right w:val="nil"/>
            </w:tcBorders>
            <w:shd w:val="clear" w:color="auto" w:fill="auto"/>
            <w:vAlign w:val="center"/>
            <w:hideMark/>
          </w:tcPr>
          <w:p w14:paraId="5B6152F0" w14:textId="77777777" w:rsidR="00A45F4D" w:rsidRPr="00FF4346" w:rsidRDefault="00A45F4D" w:rsidP="00A45F4D">
            <w:pPr>
              <w:ind w:firstLineChars="200" w:firstLine="36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Sem subordinação</w:t>
            </w:r>
          </w:p>
        </w:tc>
        <w:tc>
          <w:tcPr>
            <w:tcW w:w="722" w:type="pct"/>
            <w:tcBorders>
              <w:top w:val="nil"/>
              <w:left w:val="nil"/>
              <w:bottom w:val="nil"/>
              <w:right w:val="nil"/>
            </w:tcBorders>
            <w:shd w:val="clear" w:color="auto" w:fill="auto"/>
            <w:vAlign w:val="center"/>
          </w:tcPr>
          <w:p w14:paraId="3FB79974" w14:textId="4521BD59" w:rsidR="00A45F4D" w:rsidRPr="00C50BE9"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(172.728)</w:t>
            </w:r>
          </w:p>
        </w:tc>
        <w:tc>
          <w:tcPr>
            <w:tcW w:w="722" w:type="pct"/>
            <w:tcBorders>
              <w:top w:val="nil"/>
              <w:left w:val="nil"/>
              <w:bottom w:val="nil"/>
              <w:right w:val="nil"/>
            </w:tcBorders>
            <w:vAlign w:val="center"/>
          </w:tcPr>
          <w:p w14:paraId="52ADE6B5" w14:textId="21527467" w:rsidR="00A45F4D" w:rsidRPr="00F72350"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(197.188)</w:t>
            </w:r>
          </w:p>
        </w:tc>
        <w:tc>
          <w:tcPr>
            <w:tcW w:w="722" w:type="pct"/>
            <w:tcBorders>
              <w:top w:val="nil"/>
              <w:left w:val="nil"/>
              <w:bottom w:val="nil"/>
              <w:right w:val="nil"/>
            </w:tcBorders>
            <w:vAlign w:val="center"/>
          </w:tcPr>
          <w:p w14:paraId="37F16076" w14:textId="0B32EDD9" w:rsidR="00A45F4D" w:rsidRPr="00FF4346"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(172.728)</w:t>
            </w:r>
          </w:p>
        </w:tc>
        <w:tc>
          <w:tcPr>
            <w:tcW w:w="721" w:type="pct"/>
            <w:tcBorders>
              <w:top w:val="nil"/>
              <w:left w:val="nil"/>
              <w:bottom w:val="nil"/>
              <w:right w:val="nil"/>
            </w:tcBorders>
            <w:shd w:val="clear" w:color="auto" w:fill="auto"/>
            <w:vAlign w:val="center"/>
          </w:tcPr>
          <w:p w14:paraId="0186CFEF" w14:textId="16B278EB" w:rsidR="00A45F4D" w:rsidRPr="008C6D48"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(197.188)</w:t>
            </w:r>
          </w:p>
        </w:tc>
      </w:tr>
      <w:tr w:rsidR="00A45F4D" w:rsidRPr="00F72350" w14:paraId="45C94ED6" w14:textId="77777777" w:rsidTr="0002041F">
        <w:trPr>
          <w:trHeight w:val="283"/>
        </w:trPr>
        <w:tc>
          <w:tcPr>
            <w:tcW w:w="2113" w:type="pct"/>
            <w:tcBorders>
              <w:top w:val="nil"/>
              <w:left w:val="nil"/>
              <w:bottom w:val="nil"/>
              <w:right w:val="nil"/>
            </w:tcBorders>
            <w:shd w:val="clear" w:color="auto" w:fill="auto"/>
            <w:vAlign w:val="center"/>
            <w:hideMark/>
          </w:tcPr>
          <w:p w14:paraId="67475D8F" w14:textId="77777777" w:rsidR="00A45F4D" w:rsidRPr="00FF4346" w:rsidRDefault="00A45F4D" w:rsidP="00A45F4D">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Letras de crédito do agronegócio</w:t>
            </w:r>
          </w:p>
        </w:tc>
        <w:tc>
          <w:tcPr>
            <w:tcW w:w="722" w:type="pct"/>
            <w:tcBorders>
              <w:top w:val="nil"/>
              <w:left w:val="nil"/>
              <w:bottom w:val="nil"/>
              <w:right w:val="nil"/>
            </w:tcBorders>
            <w:shd w:val="clear" w:color="auto" w:fill="auto"/>
            <w:vAlign w:val="center"/>
          </w:tcPr>
          <w:p w14:paraId="37DD26F8" w14:textId="67ED93D1" w:rsidR="00A45F4D" w:rsidRPr="00C50BE9"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(332.350)</w:t>
            </w:r>
          </w:p>
        </w:tc>
        <w:tc>
          <w:tcPr>
            <w:tcW w:w="722" w:type="pct"/>
            <w:tcBorders>
              <w:top w:val="nil"/>
              <w:left w:val="nil"/>
              <w:bottom w:val="nil"/>
              <w:right w:val="nil"/>
            </w:tcBorders>
            <w:vAlign w:val="center"/>
          </w:tcPr>
          <w:p w14:paraId="4F775949" w14:textId="38A63BEA" w:rsidR="00A45F4D" w:rsidRPr="00F72350"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(134.902)</w:t>
            </w:r>
          </w:p>
        </w:tc>
        <w:tc>
          <w:tcPr>
            <w:tcW w:w="722" w:type="pct"/>
            <w:tcBorders>
              <w:top w:val="nil"/>
              <w:left w:val="nil"/>
              <w:bottom w:val="nil"/>
              <w:right w:val="nil"/>
            </w:tcBorders>
            <w:vAlign w:val="center"/>
          </w:tcPr>
          <w:p w14:paraId="5F967A78" w14:textId="38AC4C94" w:rsidR="00A45F4D" w:rsidRPr="00FF4346" w:rsidRDefault="00A45F4D" w:rsidP="00A45F4D">
            <w:pPr>
              <w:jc w:val="right"/>
              <w:rPr>
                <w:rFonts w:ascii="CAIXA Std Book" w:hAnsi="CAIXA Std Book" w:cs="Arial"/>
                <w:color w:val="005CA9"/>
                <w:sz w:val="18"/>
                <w:szCs w:val="18"/>
              </w:rPr>
            </w:pPr>
            <w:r>
              <w:rPr>
                <w:rFonts w:ascii="CAIXA Std Book" w:hAnsi="CAIXA Std Book" w:cs="Arial"/>
                <w:color w:val="005CA9"/>
                <w:sz w:val="18"/>
                <w:szCs w:val="18"/>
              </w:rPr>
              <w:t>(332.350)</w:t>
            </w:r>
          </w:p>
        </w:tc>
        <w:tc>
          <w:tcPr>
            <w:tcW w:w="721" w:type="pct"/>
            <w:tcBorders>
              <w:top w:val="nil"/>
              <w:left w:val="nil"/>
              <w:bottom w:val="nil"/>
              <w:right w:val="nil"/>
            </w:tcBorders>
            <w:shd w:val="clear" w:color="auto" w:fill="auto"/>
            <w:vAlign w:val="center"/>
          </w:tcPr>
          <w:p w14:paraId="3A2CC0C6" w14:textId="36068520" w:rsidR="00A45F4D" w:rsidRPr="008C6D48" w:rsidRDefault="00A45F4D" w:rsidP="00A45F4D">
            <w:pPr>
              <w:jc w:val="right"/>
              <w:rPr>
                <w:rFonts w:ascii="CAIXA Std Book" w:hAnsi="CAIXA Std Book" w:cs="Arial"/>
                <w:color w:val="005CA9"/>
                <w:sz w:val="18"/>
                <w:szCs w:val="18"/>
              </w:rPr>
            </w:pPr>
            <w:r w:rsidRPr="008C6D48">
              <w:rPr>
                <w:rFonts w:ascii="CAIXA Std Book" w:hAnsi="CAIXA Std Book" w:cs="Arial"/>
                <w:color w:val="005CA9"/>
                <w:sz w:val="18"/>
                <w:szCs w:val="18"/>
              </w:rPr>
              <w:t>(134.902)</w:t>
            </w:r>
          </w:p>
        </w:tc>
      </w:tr>
      <w:tr w:rsidR="008C6D48" w:rsidRPr="00F72350" w14:paraId="3FC1D6A3" w14:textId="77777777" w:rsidTr="0002041F">
        <w:trPr>
          <w:trHeight w:val="283"/>
        </w:trPr>
        <w:tc>
          <w:tcPr>
            <w:tcW w:w="2113" w:type="pct"/>
            <w:tcBorders>
              <w:top w:val="nil"/>
              <w:left w:val="nil"/>
              <w:bottom w:val="single" w:sz="4" w:space="0" w:color="F79646"/>
              <w:right w:val="nil"/>
            </w:tcBorders>
            <w:shd w:val="clear" w:color="auto" w:fill="auto"/>
            <w:vAlign w:val="center"/>
            <w:hideMark/>
          </w:tcPr>
          <w:p w14:paraId="3244A489" w14:textId="77777777" w:rsidR="008C6D48" w:rsidRPr="00FF4346" w:rsidRDefault="008C6D48" w:rsidP="008C6D4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Instrumentos híbridos de capital e dívida</w:t>
            </w:r>
          </w:p>
        </w:tc>
        <w:tc>
          <w:tcPr>
            <w:tcW w:w="722" w:type="pct"/>
            <w:tcBorders>
              <w:top w:val="nil"/>
              <w:left w:val="nil"/>
              <w:bottom w:val="single" w:sz="4" w:space="0" w:color="F79646"/>
              <w:right w:val="nil"/>
            </w:tcBorders>
            <w:shd w:val="clear" w:color="auto" w:fill="auto"/>
            <w:vAlign w:val="center"/>
          </w:tcPr>
          <w:p w14:paraId="0E68DA1D" w14:textId="0E996206" w:rsidR="008C6D48" w:rsidRPr="008C6D48" w:rsidRDefault="008C6D48" w:rsidP="008C6D48">
            <w:pPr>
              <w:jc w:val="right"/>
              <w:rPr>
                <w:rFonts w:ascii="CAIXA Std Book" w:hAnsi="CAIXA Std Book" w:cs="Arial"/>
                <w:b/>
                <w:bCs/>
                <w:color w:val="005CA9"/>
                <w:sz w:val="18"/>
                <w:szCs w:val="18"/>
              </w:rPr>
            </w:pPr>
            <w:bookmarkStart w:id="85" w:name="OLE_LINK23"/>
            <w:r>
              <w:rPr>
                <w:rFonts w:ascii="CAIXA Std Book" w:hAnsi="CAIXA Std Book" w:cs="Arial"/>
                <w:b/>
                <w:bCs/>
                <w:color w:val="005CA9"/>
                <w:sz w:val="18"/>
                <w:szCs w:val="18"/>
              </w:rPr>
              <w:t>(397.978)</w:t>
            </w:r>
            <w:bookmarkEnd w:id="85"/>
          </w:p>
        </w:tc>
        <w:tc>
          <w:tcPr>
            <w:tcW w:w="722" w:type="pct"/>
            <w:tcBorders>
              <w:top w:val="nil"/>
              <w:left w:val="nil"/>
              <w:bottom w:val="single" w:sz="4" w:space="0" w:color="F79646"/>
              <w:right w:val="nil"/>
            </w:tcBorders>
            <w:vAlign w:val="center"/>
          </w:tcPr>
          <w:p w14:paraId="68BA1655" w14:textId="5CD72ECC" w:rsidR="008C6D48" w:rsidRPr="008C6D48" w:rsidRDefault="008C6D48" w:rsidP="008C6D48">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(140.371)</w:t>
            </w:r>
          </w:p>
        </w:tc>
        <w:tc>
          <w:tcPr>
            <w:tcW w:w="722" w:type="pct"/>
            <w:tcBorders>
              <w:top w:val="nil"/>
              <w:left w:val="nil"/>
              <w:bottom w:val="single" w:sz="4" w:space="0" w:color="F79646"/>
              <w:right w:val="nil"/>
            </w:tcBorders>
            <w:vAlign w:val="center"/>
          </w:tcPr>
          <w:p w14:paraId="4ABC0637" w14:textId="444154F7" w:rsidR="008C6D48" w:rsidRPr="00FF4346" w:rsidRDefault="008C6D48" w:rsidP="008C6D48">
            <w:pPr>
              <w:jc w:val="right"/>
              <w:rPr>
                <w:rFonts w:ascii="CAIXA Std Book" w:hAnsi="CAIXA Std Book" w:cs="Arial"/>
                <w:b/>
                <w:bCs/>
                <w:color w:val="005CA9"/>
                <w:sz w:val="18"/>
                <w:szCs w:val="18"/>
              </w:rPr>
            </w:pPr>
            <w:bookmarkStart w:id="86" w:name="OLE_LINK24"/>
            <w:r>
              <w:rPr>
                <w:rFonts w:ascii="CAIXA Std Book" w:hAnsi="CAIXA Std Book" w:cs="Arial"/>
                <w:b/>
                <w:bCs/>
                <w:color w:val="005CA9"/>
                <w:sz w:val="18"/>
                <w:szCs w:val="18"/>
              </w:rPr>
              <w:t>(208.919)</w:t>
            </w:r>
            <w:bookmarkEnd w:id="86"/>
          </w:p>
        </w:tc>
        <w:tc>
          <w:tcPr>
            <w:tcW w:w="721" w:type="pct"/>
            <w:tcBorders>
              <w:top w:val="nil"/>
              <w:left w:val="nil"/>
              <w:bottom w:val="single" w:sz="4" w:space="0" w:color="F79646"/>
              <w:right w:val="nil"/>
            </w:tcBorders>
            <w:shd w:val="clear" w:color="auto" w:fill="auto"/>
            <w:vAlign w:val="center"/>
          </w:tcPr>
          <w:p w14:paraId="678442CE" w14:textId="3F69C89A" w:rsidR="008C6D48" w:rsidRPr="008C6D48" w:rsidRDefault="008C6D48" w:rsidP="008C6D48">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(45.242)</w:t>
            </w:r>
          </w:p>
        </w:tc>
      </w:tr>
      <w:tr w:rsidR="008C6D48" w:rsidRPr="00F72350" w14:paraId="0CD68292" w14:textId="77777777" w:rsidTr="0002041F">
        <w:trPr>
          <w:trHeight w:val="283"/>
        </w:trPr>
        <w:tc>
          <w:tcPr>
            <w:tcW w:w="2113" w:type="pct"/>
            <w:tcBorders>
              <w:top w:val="single" w:sz="4" w:space="0" w:color="F79646"/>
              <w:left w:val="nil"/>
              <w:bottom w:val="single" w:sz="4" w:space="0" w:color="F79646"/>
              <w:right w:val="nil"/>
            </w:tcBorders>
            <w:shd w:val="clear" w:color="auto" w:fill="auto"/>
            <w:noWrap/>
            <w:vAlign w:val="center"/>
            <w:hideMark/>
          </w:tcPr>
          <w:p w14:paraId="0A53FBC4" w14:textId="77777777" w:rsidR="008C6D48" w:rsidRPr="00FF4346" w:rsidRDefault="008C6D48" w:rsidP="008C6D4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722" w:type="pct"/>
            <w:tcBorders>
              <w:top w:val="single" w:sz="4" w:space="0" w:color="F79646"/>
              <w:left w:val="nil"/>
              <w:bottom w:val="single" w:sz="4" w:space="0" w:color="F79646"/>
              <w:right w:val="nil"/>
            </w:tcBorders>
            <w:shd w:val="clear" w:color="auto" w:fill="auto"/>
            <w:vAlign w:val="center"/>
          </w:tcPr>
          <w:p w14:paraId="52EE4BCB" w14:textId="5F6E85F4" w:rsidR="008C6D48" w:rsidRPr="008C6D48" w:rsidRDefault="008C6D48" w:rsidP="008C6D48">
            <w:pPr>
              <w:jc w:val="right"/>
              <w:rPr>
                <w:rFonts w:ascii="CAIXA Std Book" w:hAnsi="CAIXA Std Book" w:cs="Arial"/>
                <w:b/>
                <w:bCs/>
                <w:color w:val="005CA9"/>
                <w:sz w:val="18"/>
                <w:szCs w:val="18"/>
              </w:rPr>
            </w:pPr>
            <w:r>
              <w:rPr>
                <w:rFonts w:ascii="CAIXA Std Book" w:hAnsi="CAIXA Std Book" w:cs="Arial"/>
                <w:b/>
                <w:bCs/>
                <w:color w:val="005CA9"/>
                <w:sz w:val="18"/>
                <w:szCs w:val="18"/>
              </w:rPr>
              <w:t>(4.801.316)</w:t>
            </w:r>
          </w:p>
        </w:tc>
        <w:tc>
          <w:tcPr>
            <w:tcW w:w="722" w:type="pct"/>
            <w:tcBorders>
              <w:top w:val="single" w:sz="4" w:space="0" w:color="F79646"/>
              <w:left w:val="nil"/>
              <w:bottom w:val="single" w:sz="4" w:space="0" w:color="F79646"/>
              <w:right w:val="nil"/>
            </w:tcBorders>
            <w:vAlign w:val="center"/>
          </w:tcPr>
          <w:p w14:paraId="3033A8DF" w14:textId="014367A0" w:rsidR="008C6D48" w:rsidRPr="008C6D48" w:rsidRDefault="008C6D48" w:rsidP="008C6D48">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(3.095.609)</w:t>
            </w:r>
          </w:p>
        </w:tc>
        <w:tc>
          <w:tcPr>
            <w:tcW w:w="722" w:type="pct"/>
            <w:tcBorders>
              <w:top w:val="single" w:sz="4" w:space="0" w:color="F79646"/>
              <w:left w:val="nil"/>
              <w:bottom w:val="single" w:sz="4" w:space="0" w:color="F79646"/>
              <w:right w:val="nil"/>
            </w:tcBorders>
            <w:vAlign w:val="center"/>
          </w:tcPr>
          <w:p w14:paraId="3CFF1946" w14:textId="15725094" w:rsidR="008C6D48" w:rsidRPr="00FF4346" w:rsidRDefault="008C6D48" w:rsidP="008C6D48">
            <w:pPr>
              <w:jc w:val="right"/>
              <w:rPr>
                <w:rFonts w:ascii="CAIXA Std Book" w:hAnsi="CAIXA Std Book" w:cs="Arial"/>
                <w:b/>
                <w:bCs/>
                <w:color w:val="005CA9"/>
                <w:sz w:val="18"/>
                <w:szCs w:val="18"/>
              </w:rPr>
            </w:pPr>
            <w:r>
              <w:rPr>
                <w:rFonts w:ascii="CAIXA Std Book" w:hAnsi="CAIXA Std Book" w:cs="Arial"/>
                <w:b/>
                <w:bCs/>
                <w:color w:val="005CA9"/>
                <w:sz w:val="18"/>
                <w:szCs w:val="18"/>
              </w:rPr>
              <w:t>(4.612.257)</w:t>
            </w:r>
          </w:p>
        </w:tc>
        <w:tc>
          <w:tcPr>
            <w:tcW w:w="721" w:type="pct"/>
            <w:tcBorders>
              <w:top w:val="single" w:sz="4" w:space="0" w:color="F79646"/>
              <w:left w:val="nil"/>
              <w:bottom w:val="single" w:sz="4" w:space="0" w:color="F79646"/>
              <w:right w:val="nil"/>
            </w:tcBorders>
            <w:shd w:val="clear" w:color="auto" w:fill="auto"/>
            <w:vAlign w:val="center"/>
          </w:tcPr>
          <w:p w14:paraId="1ADE906D" w14:textId="40F2A281" w:rsidR="008C6D48" w:rsidRPr="008C6D48" w:rsidRDefault="008C6D48" w:rsidP="008C6D48">
            <w:pPr>
              <w:jc w:val="right"/>
              <w:rPr>
                <w:rFonts w:ascii="CAIXA Std Book" w:hAnsi="CAIXA Std Book" w:cs="Arial"/>
                <w:b/>
                <w:bCs/>
                <w:color w:val="005CA9"/>
                <w:sz w:val="18"/>
                <w:szCs w:val="18"/>
              </w:rPr>
            </w:pPr>
            <w:r w:rsidRPr="008C6D48">
              <w:rPr>
                <w:rFonts w:ascii="CAIXA Std Book" w:hAnsi="CAIXA Std Book" w:cs="Arial"/>
                <w:b/>
                <w:bCs/>
                <w:color w:val="005CA9"/>
                <w:sz w:val="18"/>
                <w:szCs w:val="18"/>
              </w:rPr>
              <w:t>(3.000.481)</w:t>
            </w:r>
          </w:p>
        </w:tc>
      </w:tr>
      <w:bookmarkEnd w:id="79"/>
      <w:bookmarkEnd w:id="84"/>
    </w:tbl>
    <w:p w14:paraId="0290FA42" w14:textId="77777777" w:rsidR="00D75121" w:rsidRPr="00FF4346" w:rsidRDefault="00D75121">
      <w:pPr>
        <w:rPr>
          <w:rFonts w:ascii="CAIXA Std Book" w:hAnsi="CAIXA Std Book"/>
          <w:color w:val="005CA9"/>
        </w:rPr>
      </w:pPr>
    </w:p>
    <w:p w14:paraId="6DA217FE" w14:textId="3D76E2A8" w:rsidR="00F51073" w:rsidRPr="00FF4346" w:rsidRDefault="00F51073">
      <w:pPr>
        <w:rPr>
          <w:rFonts w:ascii="CAIXA Std Book" w:hAnsi="CAIXA Std Book"/>
          <w:b/>
          <w:color w:val="005CA9"/>
        </w:rPr>
      </w:pPr>
      <w:r w:rsidRPr="00FF4346">
        <w:rPr>
          <w:rFonts w:ascii="CAIXA Std Book" w:hAnsi="CAIXA Std Book"/>
          <w:color w:val="005CA9"/>
        </w:rPr>
        <w:br w:type="page"/>
      </w:r>
    </w:p>
    <w:p w14:paraId="32582801" w14:textId="1C8101DF" w:rsidR="005F303D" w:rsidRPr="00FF4346" w:rsidRDefault="005F303D" w:rsidP="005A596E">
      <w:pPr>
        <w:pStyle w:val="Ttulo1"/>
      </w:pPr>
      <w:bookmarkStart w:id="87" w:name="_Toc166594493"/>
      <w:r w:rsidRPr="00FF4346">
        <w:lastRenderedPageBreak/>
        <w:t>Nota 1</w:t>
      </w:r>
      <w:r w:rsidR="004917F8" w:rsidRPr="00FF4346">
        <w:t>8</w:t>
      </w:r>
      <w:r w:rsidRPr="00FF4346">
        <w:t xml:space="preserve"> – </w:t>
      </w:r>
      <w:r w:rsidR="00D86E88" w:rsidRPr="00FF4346">
        <w:t>Outros passivos financeiros</w:t>
      </w:r>
      <w:bookmarkEnd w:id="87"/>
    </w:p>
    <w:p w14:paraId="058D4DF2" w14:textId="246A1399" w:rsidR="009101D0" w:rsidRPr="00FF4346" w:rsidRDefault="009101D0" w:rsidP="00B37B40">
      <w:pPr>
        <w:pStyle w:val="PargrafodaLista"/>
        <w:numPr>
          <w:ilvl w:val="0"/>
          <w:numId w:val="26"/>
        </w:numPr>
        <w:spacing w:before="480" w:after="240"/>
        <w:ind w:left="567" w:hanging="567"/>
        <w:contextualSpacing w:val="0"/>
        <w:jc w:val="both"/>
        <w:rPr>
          <w:rFonts w:ascii="CAIXA Std Book" w:hAnsi="CAIXA Std Book"/>
          <w:b/>
          <w:color w:val="005CA9"/>
          <w:sz w:val="20"/>
          <w:szCs w:val="20"/>
        </w:rPr>
      </w:pPr>
      <w:bookmarkStart w:id="88" w:name="_Hlk70628098"/>
      <w:r w:rsidRPr="00FF4346">
        <w:rPr>
          <w:rFonts w:ascii="CAIXA Std Book" w:hAnsi="CAIXA Std Book"/>
          <w:b/>
          <w:color w:val="005CA9"/>
          <w:sz w:val="20"/>
          <w:szCs w:val="20"/>
        </w:rPr>
        <w:t>Composição</w:t>
      </w:r>
    </w:p>
    <w:tbl>
      <w:tblPr>
        <w:tblW w:w="5000" w:type="pct"/>
        <w:tblLayout w:type="fixed"/>
        <w:tblCellMar>
          <w:left w:w="70" w:type="dxa"/>
          <w:right w:w="70" w:type="dxa"/>
        </w:tblCellMar>
        <w:tblLook w:val="04A0" w:firstRow="1" w:lastRow="0" w:firstColumn="1" w:lastColumn="0" w:noHBand="0" w:noVBand="1"/>
      </w:tblPr>
      <w:tblGrid>
        <w:gridCol w:w="4393"/>
        <w:gridCol w:w="1311"/>
        <w:gridCol w:w="1311"/>
        <w:gridCol w:w="1311"/>
        <w:gridCol w:w="1311"/>
      </w:tblGrid>
      <w:tr w:rsidR="007B3C5F" w:rsidRPr="00A33766" w14:paraId="127F8CE5" w14:textId="77777777" w:rsidTr="00DC6E1A">
        <w:trPr>
          <w:trHeight w:val="283"/>
        </w:trPr>
        <w:tc>
          <w:tcPr>
            <w:tcW w:w="2279" w:type="pct"/>
            <w:vMerge w:val="restart"/>
            <w:tcBorders>
              <w:top w:val="single" w:sz="4" w:space="0" w:color="F39200"/>
              <w:left w:val="nil"/>
              <w:right w:val="nil"/>
            </w:tcBorders>
            <w:shd w:val="clear" w:color="auto" w:fill="auto"/>
            <w:noWrap/>
            <w:vAlign w:val="center"/>
          </w:tcPr>
          <w:p w14:paraId="7830917A" w14:textId="7B343CD9" w:rsidR="00C51EF8" w:rsidRPr="00FF4346" w:rsidRDefault="00C51EF8" w:rsidP="002F3C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60" w:type="pct"/>
            <w:gridSpan w:val="2"/>
            <w:tcBorders>
              <w:top w:val="single" w:sz="4" w:space="0" w:color="F39200"/>
              <w:left w:val="nil"/>
              <w:bottom w:val="single" w:sz="4" w:space="0" w:color="F79646" w:themeColor="accent6"/>
              <w:right w:val="nil"/>
            </w:tcBorders>
            <w:shd w:val="clear" w:color="auto" w:fill="auto"/>
            <w:vAlign w:val="center"/>
          </w:tcPr>
          <w:p w14:paraId="09294190" w14:textId="1C8FDFF3" w:rsidR="007B3C5F" w:rsidRPr="00FF4346" w:rsidRDefault="00C51EF8" w:rsidP="002F3C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360" w:type="pct"/>
            <w:gridSpan w:val="2"/>
            <w:tcBorders>
              <w:top w:val="single" w:sz="4" w:space="0" w:color="F39200"/>
              <w:left w:val="nil"/>
              <w:bottom w:val="single" w:sz="4" w:space="0" w:color="F39200"/>
              <w:right w:val="nil"/>
            </w:tcBorders>
            <w:shd w:val="clear" w:color="auto" w:fill="auto"/>
            <w:vAlign w:val="center"/>
          </w:tcPr>
          <w:p w14:paraId="7487A2DA" w14:textId="60B6554C" w:rsidR="007B3C5F" w:rsidRPr="00FF4346" w:rsidRDefault="007B3C5F" w:rsidP="002F3C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bookmarkEnd w:id="88"/>
      <w:tr w:rsidR="00C02B1B" w:rsidRPr="00A33766" w14:paraId="5CEE857B" w14:textId="0FBA5D6C" w:rsidTr="00DC6E1A">
        <w:trPr>
          <w:trHeight w:val="283"/>
        </w:trPr>
        <w:tc>
          <w:tcPr>
            <w:tcW w:w="2279" w:type="pct"/>
            <w:vMerge/>
            <w:tcBorders>
              <w:left w:val="nil"/>
              <w:bottom w:val="single" w:sz="4" w:space="0" w:color="F39200"/>
              <w:right w:val="nil"/>
            </w:tcBorders>
            <w:shd w:val="clear" w:color="auto" w:fill="auto"/>
            <w:vAlign w:val="center"/>
            <w:hideMark/>
          </w:tcPr>
          <w:p w14:paraId="31AE0882" w14:textId="611FFB6B" w:rsidR="00C02B1B" w:rsidRPr="00FF4346" w:rsidRDefault="00C02B1B" w:rsidP="00C02B1B">
            <w:pPr>
              <w:jc w:val="center"/>
              <w:rPr>
                <w:rFonts w:ascii="CAIXA Std Book" w:eastAsia="Times New Roman" w:hAnsi="CAIXA Std Book" w:cs="Arial"/>
                <w:b/>
                <w:bCs/>
                <w:color w:val="005CA9"/>
                <w:sz w:val="18"/>
                <w:szCs w:val="18"/>
              </w:rPr>
            </w:pPr>
          </w:p>
        </w:tc>
        <w:tc>
          <w:tcPr>
            <w:tcW w:w="680" w:type="pct"/>
            <w:tcBorders>
              <w:top w:val="single" w:sz="4" w:space="0" w:color="F79646" w:themeColor="accent6"/>
              <w:left w:val="nil"/>
              <w:bottom w:val="single" w:sz="4" w:space="0" w:color="F39200"/>
              <w:right w:val="nil"/>
            </w:tcBorders>
            <w:shd w:val="clear" w:color="auto" w:fill="auto"/>
            <w:vAlign w:val="center"/>
          </w:tcPr>
          <w:p w14:paraId="7C8920E4" w14:textId="7A32F3B9" w:rsidR="00C02B1B" w:rsidRPr="00FF4346" w:rsidRDefault="00A443DE" w:rsidP="00C02B1B">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DD2589">
              <w:rPr>
                <w:rFonts w:ascii="CAIXA Std Book" w:eastAsia="Times New Roman" w:hAnsi="CAIXA Std Book" w:cs="Arial"/>
                <w:b/>
                <w:bCs/>
                <w:color w:val="005CA9"/>
                <w:sz w:val="18"/>
                <w:szCs w:val="18"/>
              </w:rPr>
              <w:t>03</w:t>
            </w:r>
            <w:r w:rsidRPr="00FF4346">
              <w:rPr>
                <w:rFonts w:ascii="CAIXA Std Book" w:eastAsia="Times New Roman" w:hAnsi="CAIXA Std Book" w:cs="Arial"/>
                <w:b/>
                <w:bCs/>
                <w:color w:val="005CA9"/>
                <w:sz w:val="18"/>
                <w:szCs w:val="18"/>
              </w:rPr>
              <w:t>/202</w:t>
            </w:r>
            <w:r w:rsidR="00DD2589">
              <w:rPr>
                <w:rFonts w:ascii="CAIXA Std Book" w:eastAsia="Times New Roman" w:hAnsi="CAIXA Std Book" w:cs="Arial"/>
                <w:b/>
                <w:bCs/>
                <w:color w:val="005CA9"/>
                <w:sz w:val="18"/>
                <w:szCs w:val="18"/>
              </w:rPr>
              <w:t>4</w:t>
            </w:r>
          </w:p>
        </w:tc>
        <w:tc>
          <w:tcPr>
            <w:tcW w:w="680" w:type="pct"/>
            <w:tcBorders>
              <w:top w:val="single" w:sz="4" w:space="0" w:color="F79646" w:themeColor="accent6"/>
              <w:left w:val="nil"/>
              <w:bottom w:val="single" w:sz="4" w:space="0" w:color="F39200"/>
              <w:right w:val="nil"/>
            </w:tcBorders>
            <w:shd w:val="clear" w:color="auto" w:fill="auto"/>
            <w:vAlign w:val="center"/>
            <w:hideMark/>
          </w:tcPr>
          <w:p w14:paraId="33BFB77A" w14:textId="455AC42B" w:rsidR="00C02B1B" w:rsidRPr="00FF4346" w:rsidRDefault="00C02B1B" w:rsidP="00C02B1B">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DD2589">
              <w:rPr>
                <w:rFonts w:ascii="CAIXA Std Book" w:eastAsia="Times New Roman" w:hAnsi="CAIXA Std Book" w:cs="Arial"/>
                <w:b/>
                <w:bCs/>
                <w:color w:val="005CA9"/>
                <w:sz w:val="18"/>
                <w:szCs w:val="18"/>
              </w:rPr>
              <w:t>3</w:t>
            </w:r>
          </w:p>
        </w:tc>
        <w:tc>
          <w:tcPr>
            <w:tcW w:w="680" w:type="pct"/>
            <w:tcBorders>
              <w:top w:val="nil"/>
              <w:left w:val="nil"/>
              <w:bottom w:val="single" w:sz="4" w:space="0" w:color="F39200"/>
              <w:right w:val="nil"/>
            </w:tcBorders>
            <w:vAlign w:val="center"/>
          </w:tcPr>
          <w:p w14:paraId="53C4B3D4" w14:textId="36221F2E" w:rsidR="007B3C5F" w:rsidRPr="00FF4346" w:rsidRDefault="007B3C5F" w:rsidP="002F3C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DD2589">
              <w:rPr>
                <w:rFonts w:ascii="CAIXA Std Book" w:eastAsia="Times New Roman" w:hAnsi="CAIXA Std Book" w:cs="Arial"/>
                <w:b/>
                <w:bCs/>
                <w:color w:val="005CA9"/>
                <w:sz w:val="18"/>
                <w:szCs w:val="18"/>
              </w:rPr>
              <w:t>03</w:t>
            </w:r>
            <w:r w:rsidRPr="00FF4346">
              <w:rPr>
                <w:rFonts w:ascii="CAIXA Std Book" w:eastAsia="Times New Roman" w:hAnsi="CAIXA Std Book" w:cs="Arial"/>
                <w:b/>
                <w:bCs/>
                <w:color w:val="005CA9"/>
                <w:sz w:val="18"/>
                <w:szCs w:val="18"/>
              </w:rPr>
              <w:t>/202</w:t>
            </w:r>
            <w:r w:rsidR="00DD2589">
              <w:rPr>
                <w:rFonts w:ascii="CAIXA Std Book" w:eastAsia="Times New Roman" w:hAnsi="CAIXA Std Book" w:cs="Arial"/>
                <w:b/>
                <w:bCs/>
                <w:color w:val="005CA9"/>
                <w:sz w:val="18"/>
                <w:szCs w:val="18"/>
              </w:rPr>
              <w:t>4</w:t>
            </w:r>
          </w:p>
        </w:tc>
        <w:tc>
          <w:tcPr>
            <w:tcW w:w="680" w:type="pct"/>
            <w:tcBorders>
              <w:top w:val="nil"/>
              <w:left w:val="nil"/>
              <w:bottom w:val="single" w:sz="4" w:space="0" w:color="F39200"/>
              <w:right w:val="nil"/>
            </w:tcBorders>
            <w:vAlign w:val="center"/>
          </w:tcPr>
          <w:p w14:paraId="64AAE6A2" w14:textId="614E9EA4" w:rsidR="007B3C5F" w:rsidRPr="00FF4346" w:rsidRDefault="007B3C5F" w:rsidP="002F3CA8">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DD2589">
              <w:rPr>
                <w:rFonts w:ascii="CAIXA Std Book" w:eastAsia="Times New Roman" w:hAnsi="CAIXA Std Book" w:cs="Arial"/>
                <w:b/>
                <w:bCs/>
                <w:color w:val="005CA9"/>
                <w:sz w:val="18"/>
                <w:szCs w:val="18"/>
              </w:rPr>
              <w:t>3</w:t>
            </w:r>
          </w:p>
        </w:tc>
      </w:tr>
      <w:tr w:rsidR="00AA7D41" w:rsidRPr="00A33766" w14:paraId="770114C3" w14:textId="11E989B8" w:rsidTr="0054153A">
        <w:trPr>
          <w:trHeight w:val="283"/>
        </w:trPr>
        <w:tc>
          <w:tcPr>
            <w:tcW w:w="2279" w:type="pct"/>
            <w:tcBorders>
              <w:top w:val="nil"/>
              <w:left w:val="nil"/>
              <w:bottom w:val="nil"/>
              <w:right w:val="nil"/>
            </w:tcBorders>
            <w:shd w:val="clear" w:color="auto" w:fill="auto"/>
            <w:vAlign w:val="center"/>
            <w:hideMark/>
          </w:tcPr>
          <w:p w14:paraId="46B83AC7"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Recursos para destinação específica (b)</w:t>
            </w:r>
          </w:p>
        </w:tc>
        <w:tc>
          <w:tcPr>
            <w:tcW w:w="680" w:type="pct"/>
            <w:tcBorders>
              <w:top w:val="nil"/>
              <w:left w:val="nil"/>
              <w:bottom w:val="nil"/>
              <w:right w:val="nil"/>
            </w:tcBorders>
            <w:shd w:val="clear" w:color="auto" w:fill="auto"/>
            <w:noWrap/>
            <w:vAlign w:val="center"/>
          </w:tcPr>
          <w:p w14:paraId="24B3CB06" w14:textId="1F3A83D6"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18.835.727</w:t>
            </w:r>
          </w:p>
        </w:tc>
        <w:tc>
          <w:tcPr>
            <w:tcW w:w="680" w:type="pct"/>
            <w:tcBorders>
              <w:top w:val="nil"/>
              <w:left w:val="nil"/>
              <w:bottom w:val="nil"/>
              <w:right w:val="nil"/>
            </w:tcBorders>
            <w:shd w:val="clear" w:color="auto" w:fill="auto"/>
            <w:noWrap/>
            <w:vAlign w:val="center"/>
            <w:hideMark/>
          </w:tcPr>
          <w:p w14:paraId="208059C8" w14:textId="4E005BBC"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19.953.147</w:t>
            </w:r>
          </w:p>
        </w:tc>
        <w:tc>
          <w:tcPr>
            <w:tcW w:w="680" w:type="pct"/>
            <w:tcBorders>
              <w:top w:val="nil"/>
              <w:left w:val="nil"/>
              <w:bottom w:val="nil"/>
              <w:right w:val="nil"/>
            </w:tcBorders>
            <w:vAlign w:val="center"/>
          </w:tcPr>
          <w:p w14:paraId="59E5880C" w14:textId="32DDCADC"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18.835.727</w:t>
            </w:r>
          </w:p>
        </w:tc>
        <w:tc>
          <w:tcPr>
            <w:tcW w:w="680" w:type="pct"/>
            <w:tcBorders>
              <w:top w:val="nil"/>
              <w:left w:val="nil"/>
              <w:bottom w:val="nil"/>
              <w:right w:val="nil"/>
            </w:tcBorders>
            <w:vAlign w:val="center"/>
          </w:tcPr>
          <w:p w14:paraId="6D87BE20" w14:textId="39BAFC06"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19.953.147</w:t>
            </w:r>
          </w:p>
        </w:tc>
      </w:tr>
      <w:tr w:rsidR="00AA7D41" w:rsidRPr="00A33766" w14:paraId="5D7A3400" w14:textId="6FE192B9" w:rsidTr="0054153A">
        <w:trPr>
          <w:trHeight w:val="283"/>
        </w:trPr>
        <w:tc>
          <w:tcPr>
            <w:tcW w:w="2279" w:type="pct"/>
            <w:tcBorders>
              <w:top w:val="nil"/>
              <w:left w:val="nil"/>
              <w:bottom w:val="nil"/>
              <w:right w:val="nil"/>
            </w:tcBorders>
            <w:shd w:val="clear" w:color="auto" w:fill="auto"/>
            <w:vAlign w:val="center"/>
            <w:hideMark/>
          </w:tcPr>
          <w:p w14:paraId="7F866523"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Receitas antecipadas (c)</w:t>
            </w:r>
          </w:p>
        </w:tc>
        <w:tc>
          <w:tcPr>
            <w:tcW w:w="680" w:type="pct"/>
            <w:tcBorders>
              <w:top w:val="nil"/>
              <w:left w:val="nil"/>
              <w:bottom w:val="nil"/>
              <w:right w:val="nil"/>
            </w:tcBorders>
            <w:shd w:val="clear" w:color="auto" w:fill="auto"/>
            <w:noWrap/>
            <w:vAlign w:val="center"/>
          </w:tcPr>
          <w:p w14:paraId="61E2E9EC" w14:textId="15DF6F44"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8.842.958</w:t>
            </w:r>
          </w:p>
        </w:tc>
        <w:tc>
          <w:tcPr>
            <w:tcW w:w="680" w:type="pct"/>
            <w:tcBorders>
              <w:top w:val="nil"/>
              <w:left w:val="nil"/>
              <w:bottom w:val="nil"/>
              <w:right w:val="nil"/>
            </w:tcBorders>
            <w:shd w:val="clear" w:color="auto" w:fill="auto"/>
            <w:noWrap/>
            <w:vAlign w:val="center"/>
            <w:hideMark/>
          </w:tcPr>
          <w:p w14:paraId="5934E676" w14:textId="7692EE8A"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8.969.708</w:t>
            </w:r>
          </w:p>
        </w:tc>
        <w:tc>
          <w:tcPr>
            <w:tcW w:w="680" w:type="pct"/>
            <w:tcBorders>
              <w:top w:val="nil"/>
              <w:left w:val="nil"/>
              <w:bottom w:val="nil"/>
              <w:right w:val="nil"/>
            </w:tcBorders>
            <w:vAlign w:val="center"/>
          </w:tcPr>
          <w:p w14:paraId="28A5C596" w14:textId="01BC27C7"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8.842.958</w:t>
            </w:r>
          </w:p>
        </w:tc>
        <w:tc>
          <w:tcPr>
            <w:tcW w:w="680" w:type="pct"/>
            <w:tcBorders>
              <w:top w:val="nil"/>
              <w:left w:val="nil"/>
              <w:bottom w:val="nil"/>
              <w:right w:val="nil"/>
            </w:tcBorders>
            <w:vAlign w:val="center"/>
          </w:tcPr>
          <w:p w14:paraId="15350236" w14:textId="5DB00A41"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8.969.708</w:t>
            </w:r>
          </w:p>
        </w:tc>
      </w:tr>
      <w:tr w:rsidR="00AA7D41" w:rsidRPr="00A33766" w14:paraId="58EC9CBE" w14:textId="2CB5685A" w:rsidTr="0054153A">
        <w:trPr>
          <w:trHeight w:val="283"/>
        </w:trPr>
        <w:tc>
          <w:tcPr>
            <w:tcW w:w="2279" w:type="pct"/>
            <w:tcBorders>
              <w:top w:val="nil"/>
              <w:left w:val="nil"/>
              <w:bottom w:val="nil"/>
              <w:right w:val="nil"/>
            </w:tcBorders>
            <w:shd w:val="clear" w:color="auto" w:fill="auto"/>
            <w:vAlign w:val="center"/>
            <w:hideMark/>
          </w:tcPr>
          <w:p w14:paraId="3429DCDC"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Obrigações por operações vinculadas a cessão</w:t>
            </w:r>
          </w:p>
        </w:tc>
        <w:tc>
          <w:tcPr>
            <w:tcW w:w="680" w:type="pct"/>
            <w:tcBorders>
              <w:top w:val="nil"/>
              <w:left w:val="nil"/>
              <w:bottom w:val="nil"/>
              <w:right w:val="nil"/>
            </w:tcBorders>
            <w:shd w:val="clear" w:color="auto" w:fill="auto"/>
            <w:noWrap/>
            <w:vAlign w:val="center"/>
          </w:tcPr>
          <w:p w14:paraId="450ABD3D" w14:textId="4CFC3618"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3.864.791</w:t>
            </w:r>
          </w:p>
        </w:tc>
        <w:tc>
          <w:tcPr>
            <w:tcW w:w="680" w:type="pct"/>
            <w:tcBorders>
              <w:top w:val="nil"/>
              <w:left w:val="nil"/>
              <w:bottom w:val="nil"/>
              <w:right w:val="nil"/>
            </w:tcBorders>
            <w:shd w:val="clear" w:color="auto" w:fill="auto"/>
            <w:noWrap/>
            <w:vAlign w:val="center"/>
            <w:hideMark/>
          </w:tcPr>
          <w:p w14:paraId="480A946B" w14:textId="1914E1D2"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4.043.693</w:t>
            </w:r>
          </w:p>
        </w:tc>
        <w:tc>
          <w:tcPr>
            <w:tcW w:w="680" w:type="pct"/>
            <w:tcBorders>
              <w:top w:val="nil"/>
              <w:left w:val="nil"/>
              <w:bottom w:val="nil"/>
              <w:right w:val="nil"/>
            </w:tcBorders>
            <w:vAlign w:val="center"/>
          </w:tcPr>
          <w:p w14:paraId="0109081C" w14:textId="2A4EA635"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3.864.791</w:t>
            </w:r>
          </w:p>
        </w:tc>
        <w:tc>
          <w:tcPr>
            <w:tcW w:w="680" w:type="pct"/>
            <w:tcBorders>
              <w:top w:val="nil"/>
              <w:left w:val="nil"/>
              <w:bottom w:val="nil"/>
              <w:right w:val="nil"/>
            </w:tcBorders>
            <w:vAlign w:val="center"/>
          </w:tcPr>
          <w:p w14:paraId="01D044DF" w14:textId="4B1474C4"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4.043.693</w:t>
            </w:r>
          </w:p>
        </w:tc>
      </w:tr>
      <w:tr w:rsidR="00AA7D41" w:rsidRPr="00A33766" w14:paraId="40CBBF35" w14:textId="76D42E3D" w:rsidTr="0054153A">
        <w:trPr>
          <w:trHeight w:val="283"/>
        </w:trPr>
        <w:tc>
          <w:tcPr>
            <w:tcW w:w="2279" w:type="pct"/>
            <w:tcBorders>
              <w:top w:val="nil"/>
              <w:left w:val="nil"/>
              <w:bottom w:val="nil"/>
              <w:right w:val="nil"/>
            </w:tcBorders>
            <w:shd w:val="clear" w:color="auto" w:fill="auto"/>
            <w:vAlign w:val="center"/>
            <w:hideMark/>
          </w:tcPr>
          <w:p w14:paraId="084616FE"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Carteira de câmbio </w:t>
            </w:r>
          </w:p>
        </w:tc>
        <w:tc>
          <w:tcPr>
            <w:tcW w:w="680" w:type="pct"/>
            <w:tcBorders>
              <w:top w:val="nil"/>
              <w:left w:val="nil"/>
              <w:bottom w:val="nil"/>
              <w:right w:val="nil"/>
            </w:tcBorders>
            <w:shd w:val="clear" w:color="auto" w:fill="auto"/>
            <w:noWrap/>
            <w:vAlign w:val="center"/>
          </w:tcPr>
          <w:p w14:paraId="03ECCC51" w14:textId="52C65A48"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1.900.678</w:t>
            </w:r>
          </w:p>
        </w:tc>
        <w:tc>
          <w:tcPr>
            <w:tcW w:w="680" w:type="pct"/>
            <w:tcBorders>
              <w:top w:val="nil"/>
              <w:left w:val="nil"/>
              <w:bottom w:val="nil"/>
              <w:right w:val="nil"/>
            </w:tcBorders>
            <w:shd w:val="clear" w:color="auto" w:fill="auto"/>
            <w:noWrap/>
            <w:vAlign w:val="center"/>
            <w:hideMark/>
          </w:tcPr>
          <w:p w14:paraId="2E670230" w14:textId="07AE441D"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1.852.388</w:t>
            </w:r>
          </w:p>
        </w:tc>
        <w:tc>
          <w:tcPr>
            <w:tcW w:w="680" w:type="pct"/>
            <w:tcBorders>
              <w:top w:val="nil"/>
              <w:left w:val="nil"/>
              <w:bottom w:val="nil"/>
              <w:right w:val="nil"/>
            </w:tcBorders>
            <w:vAlign w:val="center"/>
          </w:tcPr>
          <w:p w14:paraId="7503FA60" w14:textId="264AF97A"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1.900.678</w:t>
            </w:r>
          </w:p>
        </w:tc>
        <w:tc>
          <w:tcPr>
            <w:tcW w:w="680" w:type="pct"/>
            <w:tcBorders>
              <w:top w:val="nil"/>
              <w:left w:val="nil"/>
              <w:bottom w:val="nil"/>
              <w:right w:val="nil"/>
            </w:tcBorders>
            <w:vAlign w:val="center"/>
          </w:tcPr>
          <w:p w14:paraId="5F069BF3" w14:textId="587F8A4B"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1.852.388</w:t>
            </w:r>
          </w:p>
        </w:tc>
      </w:tr>
      <w:tr w:rsidR="00AA7D41" w:rsidRPr="00A33766" w14:paraId="5E8BC9C6" w14:textId="2EB27600" w:rsidTr="0054153A">
        <w:trPr>
          <w:trHeight w:val="283"/>
        </w:trPr>
        <w:tc>
          <w:tcPr>
            <w:tcW w:w="2279" w:type="pct"/>
            <w:tcBorders>
              <w:top w:val="nil"/>
              <w:left w:val="nil"/>
              <w:bottom w:val="nil"/>
              <w:right w:val="nil"/>
            </w:tcBorders>
            <w:shd w:val="clear" w:color="auto" w:fill="auto"/>
            <w:vAlign w:val="center"/>
            <w:hideMark/>
          </w:tcPr>
          <w:p w14:paraId="637330F0"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Recursos do FGTS para amortização</w:t>
            </w:r>
          </w:p>
        </w:tc>
        <w:tc>
          <w:tcPr>
            <w:tcW w:w="680" w:type="pct"/>
            <w:tcBorders>
              <w:top w:val="nil"/>
              <w:left w:val="nil"/>
              <w:bottom w:val="nil"/>
              <w:right w:val="nil"/>
            </w:tcBorders>
            <w:shd w:val="clear" w:color="auto" w:fill="auto"/>
            <w:noWrap/>
            <w:vAlign w:val="center"/>
          </w:tcPr>
          <w:p w14:paraId="55295B7A" w14:textId="0AAE0EDB"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1.055.012</w:t>
            </w:r>
          </w:p>
        </w:tc>
        <w:tc>
          <w:tcPr>
            <w:tcW w:w="680" w:type="pct"/>
            <w:tcBorders>
              <w:top w:val="nil"/>
              <w:left w:val="nil"/>
              <w:bottom w:val="nil"/>
              <w:right w:val="nil"/>
            </w:tcBorders>
            <w:shd w:val="clear" w:color="auto" w:fill="auto"/>
            <w:noWrap/>
            <w:vAlign w:val="center"/>
            <w:hideMark/>
          </w:tcPr>
          <w:p w14:paraId="2EA72D90" w14:textId="64F9BA28"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1.063.116</w:t>
            </w:r>
          </w:p>
        </w:tc>
        <w:tc>
          <w:tcPr>
            <w:tcW w:w="680" w:type="pct"/>
            <w:tcBorders>
              <w:top w:val="nil"/>
              <w:left w:val="nil"/>
              <w:bottom w:val="nil"/>
              <w:right w:val="nil"/>
            </w:tcBorders>
            <w:vAlign w:val="center"/>
          </w:tcPr>
          <w:p w14:paraId="1D032E71" w14:textId="25518CF9"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1.055.012</w:t>
            </w:r>
          </w:p>
        </w:tc>
        <w:tc>
          <w:tcPr>
            <w:tcW w:w="680" w:type="pct"/>
            <w:tcBorders>
              <w:top w:val="nil"/>
              <w:left w:val="nil"/>
              <w:bottom w:val="nil"/>
              <w:right w:val="nil"/>
            </w:tcBorders>
            <w:vAlign w:val="center"/>
          </w:tcPr>
          <w:p w14:paraId="5B0BAFB4" w14:textId="2395B7C4"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1.063.116</w:t>
            </w:r>
          </w:p>
        </w:tc>
      </w:tr>
      <w:tr w:rsidR="00AA7D41" w:rsidRPr="00A33766" w14:paraId="15F00875" w14:textId="1B7E1484" w:rsidTr="0054153A">
        <w:trPr>
          <w:trHeight w:val="283"/>
        </w:trPr>
        <w:tc>
          <w:tcPr>
            <w:tcW w:w="2279" w:type="pct"/>
            <w:tcBorders>
              <w:top w:val="nil"/>
              <w:left w:val="nil"/>
              <w:bottom w:val="nil"/>
              <w:right w:val="nil"/>
            </w:tcBorders>
            <w:shd w:val="clear" w:color="auto" w:fill="auto"/>
            <w:vAlign w:val="center"/>
            <w:hideMark/>
          </w:tcPr>
          <w:p w14:paraId="33C89051"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Recursos vinculados a operações de crédito</w:t>
            </w:r>
          </w:p>
        </w:tc>
        <w:tc>
          <w:tcPr>
            <w:tcW w:w="680" w:type="pct"/>
            <w:tcBorders>
              <w:top w:val="nil"/>
              <w:left w:val="nil"/>
              <w:bottom w:val="nil"/>
              <w:right w:val="nil"/>
            </w:tcBorders>
            <w:shd w:val="clear" w:color="auto" w:fill="auto"/>
            <w:noWrap/>
            <w:vAlign w:val="center"/>
          </w:tcPr>
          <w:p w14:paraId="30552FAB" w14:textId="12C46964"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1.127.007</w:t>
            </w:r>
          </w:p>
        </w:tc>
        <w:tc>
          <w:tcPr>
            <w:tcW w:w="680" w:type="pct"/>
            <w:tcBorders>
              <w:top w:val="nil"/>
              <w:left w:val="nil"/>
              <w:bottom w:val="nil"/>
              <w:right w:val="nil"/>
            </w:tcBorders>
            <w:shd w:val="clear" w:color="auto" w:fill="auto"/>
            <w:noWrap/>
            <w:vAlign w:val="center"/>
            <w:hideMark/>
          </w:tcPr>
          <w:p w14:paraId="4F128E75" w14:textId="2A71044A"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1.051.931</w:t>
            </w:r>
          </w:p>
        </w:tc>
        <w:tc>
          <w:tcPr>
            <w:tcW w:w="680" w:type="pct"/>
            <w:tcBorders>
              <w:top w:val="nil"/>
              <w:left w:val="nil"/>
              <w:bottom w:val="nil"/>
              <w:right w:val="nil"/>
            </w:tcBorders>
            <w:vAlign w:val="center"/>
          </w:tcPr>
          <w:p w14:paraId="327B6081" w14:textId="4499E328"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1.127.007</w:t>
            </w:r>
          </w:p>
        </w:tc>
        <w:tc>
          <w:tcPr>
            <w:tcW w:w="680" w:type="pct"/>
            <w:tcBorders>
              <w:top w:val="nil"/>
              <w:left w:val="nil"/>
              <w:bottom w:val="nil"/>
              <w:right w:val="nil"/>
            </w:tcBorders>
            <w:vAlign w:val="center"/>
          </w:tcPr>
          <w:p w14:paraId="4FCB73F3" w14:textId="3D77B335"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1.051.931</w:t>
            </w:r>
          </w:p>
        </w:tc>
      </w:tr>
      <w:tr w:rsidR="00AA7D41" w:rsidRPr="00A33766" w14:paraId="1E3E56E1" w14:textId="3F36C6A0" w:rsidTr="0054153A">
        <w:trPr>
          <w:trHeight w:val="283"/>
        </w:trPr>
        <w:tc>
          <w:tcPr>
            <w:tcW w:w="2279" w:type="pct"/>
            <w:tcBorders>
              <w:top w:val="nil"/>
              <w:left w:val="nil"/>
              <w:bottom w:val="nil"/>
              <w:right w:val="nil"/>
            </w:tcBorders>
            <w:shd w:val="clear" w:color="auto" w:fill="auto"/>
            <w:vAlign w:val="center"/>
            <w:hideMark/>
          </w:tcPr>
          <w:p w14:paraId="34811DD6" w14:textId="00FA9CB2"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Negociação e intermediação de valores</w:t>
            </w:r>
          </w:p>
        </w:tc>
        <w:tc>
          <w:tcPr>
            <w:tcW w:w="680" w:type="pct"/>
            <w:tcBorders>
              <w:top w:val="nil"/>
              <w:left w:val="nil"/>
              <w:bottom w:val="nil"/>
              <w:right w:val="nil"/>
            </w:tcBorders>
            <w:shd w:val="clear" w:color="auto" w:fill="auto"/>
            <w:noWrap/>
            <w:vAlign w:val="center"/>
          </w:tcPr>
          <w:p w14:paraId="58627076" w14:textId="264E64BB"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8.742</w:t>
            </w:r>
          </w:p>
        </w:tc>
        <w:tc>
          <w:tcPr>
            <w:tcW w:w="680" w:type="pct"/>
            <w:tcBorders>
              <w:top w:val="nil"/>
              <w:left w:val="nil"/>
              <w:bottom w:val="nil"/>
              <w:right w:val="nil"/>
            </w:tcBorders>
            <w:shd w:val="clear" w:color="auto" w:fill="auto"/>
            <w:noWrap/>
            <w:vAlign w:val="center"/>
            <w:hideMark/>
          </w:tcPr>
          <w:p w14:paraId="538130EA" w14:textId="3A065A1C"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7.433</w:t>
            </w:r>
          </w:p>
        </w:tc>
        <w:tc>
          <w:tcPr>
            <w:tcW w:w="680" w:type="pct"/>
            <w:tcBorders>
              <w:top w:val="nil"/>
              <w:left w:val="nil"/>
              <w:bottom w:val="nil"/>
              <w:right w:val="nil"/>
            </w:tcBorders>
            <w:vAlign w:val="center"/>
          </w:tcPr>
          <w:p w14:paraId="142F417D" w14:textId="5EAC3FEF"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8.779</w:t>
            </w:r>
          </w:p>
        </w:tc>
        <w:tc>
          <w:tcPr>
            <w:tcW w:w="680" w:type="pct"/>
            <w:tcBorders>
              <w:top w:val="nil"/>
              <w:left w:val="nil"/>
              <w:bottom w:val="nil"/>
              <w:right w:val="nil"/>
            </w:tcBorders>
            <w:vAlign w:val="center"/>
          </w:tcPr>
          <w:p w14:paraId="3ADD725E" w14:textId="343C52EA"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7.479</w:t>
            </w:r>
          </w:p>
        </w:tc>
      </w:tr>
      <w:tr w:rsidR="00AA7D41" w:rsidRPr="00A33766" w14:paraId="281D324E" w14:textId="3C2CFE70" w:rsidTr="0054153A">
        <w:trPr>
          <w:trHeight w:val="283"/>
        </w:trPr>
        <w:tc>
          <w:tcPr>
            <w:tcW w:w="2279" w:type="pct"/>
            <w:tcBorders>
              <w:top w:val="nil"/>
              <w:left w:val="nil"/>
              <w:bottom w:val="nil"/>
              <w:right w:val="nil"/>
            </w:tcBorders>
            <w:shd w:val="clear" w:color="auto" w:fill="auto"/>
            <w:vAlign w:val="center"/>
            <w:hideMark/>
          </w:tcPr>
          <w:p w14:paraId="5897AF5B" w14:textId="77777777" w:rsidR="00AA7D41" w:rsidRPr="00FF4346" w:rsidRDefault="00AA7D41" w:rsidP="00AA7D41">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Obrigações por transações de pagamento</w:t>
            </w:r>
          </w:p>
        </w:tc>
        <w:tc>
          <w:tcPr>
            <w:tcW w:w="680" w:type="pct"/>
            <w:tcBorders>
              <w:top w:val="nil"/>
              <w:left w:val="nil"/>
              <w:bottom w:val="nil"/>
              <w:right w:val="nil"/>
            </w:tcBorders>
            <w:shd w:val="clear" w:color="auto" w:fill="auto"/>
            <w:noWrap/>
            <w:vAlign w:val="center"/>
          </w:tcPr>
          <w:p w14:paraId="4E2F2A0C" w14:textId="68B1332E" w:rsidR="00AA7D41" w:rsidRPr="001000C7" w:rsidRDefault="00AA7D41" w:rsidP="0054153A">
            <w:pPr>
              <w:jc w:val="right"/>
              <w:rPr>
                <w:rFonts w:ascii="CAIXA Std Book" w:hAnsi="CAIXA Std Book" w:cs="Arial"/>
                <w:color w:val="005CA9"/>
                <w:sz w:val="18"/>
                <w:szCs w:val="18"/>
              </w:rPr>
            </w:pPr>
            <w:r w:rsidRPr="00AA7D41">
              <w:rPr>
                <w:rFonts w:ascii="CAIXA Std Book" w:hAnsi="CAIXA Std Book" w:cs="Arial"/>
                <w:color w:val="005CA9"/>
                <w:sz w:val="18"/>
                <w:szCs w:val="18"/>
              </w:rPr>
              <w:t>536</w:t>
            </w:r>
          </w:p>
        </w:tc>
        <w:tc>
          <w:tcPr>
            <w:tcW w:w="680" w:type="pct"/>
            <w:tcBorders>
              <w:top w:val="nil"/>
              <w:left w:val="nil"/>
              <w:bottom w:val="nil"/>
              <w:right w:val="nil"/>
            </w:tcBorders>
            <w:shd w:val="clear" w:color="auto" w:fill="auto"/>
            <w:noWrap/>
            <w:vAlign w:val="center"/>
            <w:hideMark/>
          </w:tcPr>
          <w:p w14:paraId="026CEF19" w14:textId="5E893E58" w:rsidR="00AA7D41" w:rsidRPr="00FF4346" w:rsidRDefault="00AA7D41"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140</w:t>
            </w:r>
          </w:p>
        </w:tc>
        <w:tc>
          <w:tcPr>
            <w:tcW w:w="680" w:type="pct"/>
            <w:tcBorders>
              <w:top w:val="nil"/>
              <w:left w:val="nil"/>
              <w:bottom w:val="nil"/>
              <w:right w:val="nil"/>
            </w:tcBorders>
            <w:vAlign w:val="center"/>
          </w:tcPr>
          <w:p w14:paraId="4B54025A" w14:textId="29F3978C" w:rsidR="00AA7D41" w:rsidRPr="00FF4346" w:rsidRDefault="009942CC" w:rsidP="0054153A">
            <w:pPr>
              <w:jc w:val="right"/>
              <w:rPr>
                <w:rFonts w:ascii="CAIXA Std Book" w:hAnsi="CAIXA Std Book" w:cs="Arial"/>
                <w:color w:val="005CA9"/>
                <w:sz w:val="18"/>
                <w:szCs w:val="18"/>
              </w:rPr>
            </w:pPr>
            <w:r w:rsidRPr="009942CC">
              <w:rPr>
                <w:rFonts w:ascii="CAIXA Std Book" w:hAnsi="CAIXA Std Book" w:cs="Arial"/>
                <w:color w:val="005CA9"/>
                <w:sz w:val="18"/>
                <w:szCs w:val="18"/>
              </w:rPr>
              <w:t>536</w:t>
            </w:r>
          </w:p>
        </w:tc>
        <w:tc>
          <w:tcPr>
            <w:tcW w:w="680" w:type="pct"/>
            <w:tcBorders>
              <w:top w:val="nil"/>
              <w:left w:val="nil"/>
              <w:bottom w:val="nil"/>
              <w:right w:val="nil"/>
            </w:tcBorders>
            <w:vAlign w:val="center"/>
          </w:tcPr>
          <w:p w14:paraId="404371B5" w14:textId="4E6C2637" w:rsidR="00AA7D41" w:rsidRPr="00FF4346" w:rsidRDefault="00AA7D41"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140</w:t>
            </w:r>
          </w:p>
        </w:tc>
      </w:tr>
      <w:tr w:rsidR="00AA7D41" w:rsidRPr="00A33766" w14:paraId="38376DD7" w14:textId="246FB84A" w:rsidTr="0054153A">
        <w:trPr>
          <w:trHeight w:val="283"/>
        </w:trPr>
        <w:tc>
          <w:tcPr>
            <w:tcW w:w="2279" w:type="pct"/>
            <w:tcBorders>
              <w:top w:val="single" w:sz="4" w:space="0" w:color="F39200"/>
              <w:left w:val="nil"/>
              <w:bottom w:val="single" w:sz="4" w:space="0" w:color="F39200"/>
              <w:right w:val="nil"/>
            </w:tcBorders>
            <w:shd w:val="clear" w:color="auto" w:fill="auto"/>
            <w:noWrap/>
            <w:vAlign w:val="center"/>
            <w:hideMark/>
          </w:tcPr>
          <w:p w14:paraId="15368E4A" w14:textId="77777777" w:rsidR="00AA7D41" w:rsidRPr="00FF4346" w:rsidRDefault="00AA7D41" w:rsidP="00AA7D41">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680" w:type="pct"/>
            <w:tcBorders>
              <w:top w:val="single" w:sz="4" w:space="0" w:color="F39200"/>
              <w:left w:val="nil"/>
              <w:bottom w:val="single" w:sz="4" w:space="0" w:color="F39200"/>
              <w:right w:val="nil"/>
            </w:tcBorders>
            <w:shd w:val="clear" w:color="auto" w:fill="auto"/>
            <w:noWrap/>
            <w:vAlign w:val="center"/>
          </w:tcPr>
          <w:p w14:paraId="68FD75C9" w14:textId="0F57224E" w:rsidR="00AA7D41" w:rsidRPr="00AA7D41" w:rsidRDefault="00AA7D41" w:rsidP="0054153A">
            <w:pPr>
              <w:jc w:val="right"/>
              <w:rPr>
                <w:rFonts w:ascii="CAIXA Std Book" w:hAnsi="CAIXA Std Book" w:cs="Arial"/>
                <w:b/>
                <w:bCs/>
                <w:color w:val="005CA9"/>
                <w:sz w:val="18"/>
                <w:szCs w:val="18"/>
              </w:rPr>
            </w:pPr>
            <w:r w:rsidRPr="00AA7D41">
              <w:rPr>
                <w:rFonts w:ascii="CAIXA Std Book" w:hAnsi="CAIXA Std Book" w:cs="Arial"/>
                <w:b/>
                <w:bCs/>
                <w:color w:val="005CA9"/>
                <w:sz w:val="18"/>
                <w:szCs w:val="18"/>
              </w:rPr>
              <w:t>35.635.451</w:t>
            </w:r>
          </w:p>
        </w:tc>
        <w:tc>
          <w:tcPr>
            <w:tcW w:w="680" w:type="pct"/>
            <w:tcBorders>
              <w:top w:val="single" w:sz="4" w:space="0" w:color="F39200"/>
              <w:left w:val="nil"/>
              <w:bottom w:val="single" w:sz="4" w:space="0" w:color="F39200"/>
              <w:right w:val="nil"/>
            </w:tcBorders>
            <w:shd w:val="clear" w:color="auto" w:fill="auto"/>
            <w:noWrap/>
            <w:vAlign w:val="center"/>
            <w:hideMark/>
          </w:tcPr>
          <w:p w14:paraId="5E9C961B" w14:textId="23615D20" w:rsidR="00AA7D41" w:rsidRPr="00FF4346" w:rsidRDefault="00AA7D41" w:rsidP="0054153A">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36.941.556</w:t>
            </w:r>
          </w:p>
        </w:tc>
        <w:tc>
          <w:tcPr>
            <w:tcW w:w="680" w:type="pct"/>
            <w:tcBorders>
              <w:top w:val="single" w:sz="4" w:space="0" w:color="F39200"/>
              <w:left w:val="nil"/>
              <w:bottom w:val="single" w:sz="4" w:space="0" w:color="F39200"/>
              <w:right w:val="nil"/>
            </w:tcBorders>
            <w:vAlign w:val="center"/>
          </w:tcPr>
          <w:p w14:paraId="013CF2A1" w14:textId="37EFCBFD" w:rsidR="00AA7D41" w:rsidRPr="00FF4346" w:rsidRDefault="009942CC" w:rsidP="0054153A">
            <w:pPr>
              <w:jc w:val="right"/>
              <w:rPr>
                <w:rFonts w:ascii="CAIXA Std Book" w:hAnsi="CAIXA Std Book" w:cs="Arial"/>
                <w:b/>
                <w:color w:val="005CA9"/>
                <w:sz w:val="18"/>
                <w:szCs w:val="18"/>
              </w:rPr>
            </w:pPr>
            <w:r w:rsidRPr="009942CC">
              <w:rPr>
                <w:rFonts w:ascii="CAIXA Std Book" w:hAnsi="CAIXA Std Book" w:cs="Arial"/>
                <w:b/>
                <w:bCs/>
                <w:color w:val="005CA9"/>
                <w:sz w:val="18"/>
                <w:szCs w:val="18"/>
              </w:rPr>
              <w:t>35.635.488</w:t>
            </w:r>
          </w:p>
        </w:tc>
        <w:tc>
          <w:tcPr>
            <w:tcW w:w="680" w:type="pct"/>
            <w:tcBorders>
              <w:top w:val="single" w:sz="4" w:space="0" w:color="F39200"/>
              <w:left w:val="nil"/>
              <w:bottom w:val="single" w:sz="4" w:space="0" w:color="F39200"/>
              <w:right w:val="nil"/>
            </w:tcBorders>
            <w:vAlign w:val="center"/>
          </w:tcPr>
          <w:p w14:paraId="7DDBE95C" w14:textId="59EC674D" w:rsidR="00AA7D41" w:rsidRPr="00FF4346" w:rsidRDefault="00AA7D41" w:rsidP="0054153A">
            <w:pPr>
              <w:jc w:val="right"/>
              <w:rPr>
                <w:rFonts w:ascii="CAIXA Std Book" w:hAnsi="CAIXA Std Book" w:cs="Arial"/>
                <w:b/>
                <w:color w:val="005CA9"/>
                <w:sz w:val="18"/>
                <w:szCs w:val="18"/>
              </w:rPr>
            </w:pPr>
            <w:r w:rsidRPr="00FF4346">
              <w:rPr>
                <w:rFonts w:ascii="CAIXA Std Book" w:hAnsi="CAIXA Std Book" w:cs="Arial"/>
                <w:b/>
                <w:color w:val="005CA9"/>
                <w:sz w:val="18"/>
                <w:szCs w:val="18"/>
              </w:rPr>
              <w:t>36.941.602</w:t>
            </w:r>
          </w:p>
        </w:tc>
      </w:tr>
      <w:tr w:rsidR="00C02B1B" w:rsidRPr="00A33766" w14:paraId="2BD6DD68" w14:textId="540D5038" w:rsidTr="0054153A">
        <w:trPr>
          <w:trHeight w:val="283"/>
        </w:trPr>
        <w:tc>
          <w:tcPr>
            <w:tcW w:w="2279" w:type="pct"/>
            <w:tcBorders>
              <w:top w:val="nil"/>
              <w:left w:val="nil"/>
              <w:bottom w:val="nil"/>
              <w:right w:val="nil"/>
            </w:tcBorders>
            <w:shd w:val="clear" w:color="auto" w:fill="auto"/>
            <w:noWrap/>
            <w:vAlign w:val="center"/>
            <w:hideMark/>
          </w:tcPr>
          <w:p w14:paraId="417D9763" w14:textId="6917E709" w:rsidR="00C02B1B" w:rsidRPr="00FF4346" w:rsidRDefault="00C02B1B" w:rsidP="00C02B1B">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circulante</w:t>
            </w:r>
          </w:p>
        </w:tc>
        <w:tc>
          <w:tcPr>
            <w:tcW w:w="680" w:type="pct"/>
            <w:tcBorders>
              <w:top w:val="nil"/>
              <w:left w:val="nil"/>
              <w:bottom w:val="nil"/>
              <w:right w:val="nil"/>
            </w:tcBorders>
            <w:shd w:val="clear" w:color="auto" w:fill="auto"/>
            <w:noWrap/>
            <w:vAlign w:val="center"/>
          </w:tcPr>
          <w:p w14:paraId="0A259958" w14:textId="5D816890" w:rsidR="00C02B1B" w:rsidRPr="00FF4346" w:rsidRDefault="00632E6D" w:rsidP="0054153A">
            <w:pPr>
              <w:jc w:val="right"/>
              <w:rPr>
                <w:rFonts w:ascii="CAIXA Std Book" w:hAnsi="CAIXA Std Book" w:cs="Arial"/>
                <w:color w:val="005CA9"/>
                <w:sz w:val="18"/>
                <w:szCs w:val="18"/>
              </w:rPr>
            </w:pPr>
            <w:r w:rsidRPr="00673A9A">
              <w:rPr>
                <w:rFonts w:ascii="CAIXA Std Book" w:hAnsi="CAIXA Std Book" w:cs="Arial"/>
                <w:color w:val="005CA9"/>
                <w:sz w:val="18"/>
                <w:szCs w:val="18"/>
              </w:rPr>
              <w:t>25.820.974</w:t>
            </w:r>
          </w:p>
        </w:tc>
        <w:tc>
          <w:tcPr>
            <w:tcW w:w="680" w:type="pct"/>
            <w:tcBorders>
              <w:top w:val="nil"/>
              <w:left w:val="nil"/>
              <w:bottom w:val="nil"/>
              <w:right w:val="nil"/>
            </w:tcBorders>
            <w:shd w:val="clear" w:color="auto" w:fill="auto"/>
            <w:noWrap/>
            <w:vAlign w:val="center"/>
            <w:hideMark/>
          </w:tcPr>
          <w:p w14:paraId="5F78796B" w14:textId="1A1828CE" w:rsidR="00C02B1B" w:rsidRPr="00FF4346" w:rsidRDefault="00DD2589"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27.829.414</w:t>
            </w:r>
          </w:p>
        </w:tc>
        <w:tc>
          <w:tcPr>
            <w:tcW w:w="680" w:type="pct"/>
            <w:tcBorders>
              <w:top w:val="nil"/>
              <w:left w:val="nil"/>
              <w:bottom w:val="nil"/>
              <w:right w:val="nil"/>
            </w:tcBorders>
            <w:vAlign w:val="center"/>
          </w:tcPr>
          <w:p w14:paraId="1771E34B" w14:textId="5F389C31" w:rsidR="004B2046" w:rsidRPr="00FF4346" w:rsidRDefault="00632E6D" w:rsidP="0054153A">
            <w:pPr>
              <w:jc w:val="right"/>
              <w:rPr>
                <w:rFonts w:ascii="CAIXA Std Book" w:hAnsi="CAIXA Std Book" w:cs="Arial"/>
                <w:color w:val="005CA9"/>
                <w:sz w:val="18"/>
                <w:szCs w:val="18"/>
              </w:rPr>
            </w:pPr>
            <w:r w:rsidRPr="00632E6D">
              <w:rPr>
                <w:rFonts w:ascii="CAIXA Std Book" w:hAnsi="CAIXA Std Book" w:cs="Arial"/>
                <w:color w:val="005CA9"/>
                <w:sz w:val="18"/>
                <w:szCs w:val="18"/>
              </w:rPr>
              <w:t>25.821.011</w:t>
            </w:r>
          </w:p>
        </w:tc>
        <w:tc>
          <w:tcPr>
            <w:tcW w:w="680" w:type="pct"/>
            <w:tcBorders>
              <w:top w:val="nil"/>
              <w:left w:val="nil"/>
              <w:bottom w:val="nil"/>
              <w:right w:val="nil"/>
            </w:tcBorders>
            <w:vAlign w:val="center"/>
          </w:tcPr>
          <w:p w14:paraId="31127E68" w14:textId="112D6786" w:rsidR="004B2046" w:rsidRPr="00FF4346" w:rsidRDefault="00DD2589"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27.829.460</w:t>
            </w:r>
          </w:p>
        </w:tc>
      </w:tr>
      <w:tr w:rsidR="00C02B1B" w:rsidRPr="00A33766" w14:paraId="35077433" w14:textId="001B071B" w:rsidTr="0054153A">
        <w:trPr>
          <w:trHeight w:val="283"/>
        </w:trPr>
        <w:tc>
          <w:tcPr>
            <w:tcW w:w="2279" w:type="pct"/>
            <w:tcBorders>
              <w:top w:val="nil"/>
              <w:left w:val="nil"/>
              <w:bottom w:val="single" w:sz="4" w:space="0" w:color="F39200"/>
              <w:right w:val="nil"/>
            </w:tcBorders>
            <w:shd w:val="clear" w:color="auto" w:fill="auto"/>
            <w:noWrap/>
            <w:vAlign w:val="center"/>
            <w:hideMark/>
          </w:tcPr>
          <w:p w14:paraId="6CF8A8F5" w14:textId="77777777" w:rsidR="00C02B1B" w:rsidRPr="00FF4346" w:rsidRDefault="00C02B1B" w:rsidP="00C02B1B">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não circulante</w:t>
            </w:r>
          </w:p>
        </w:tc>
        <w:tc>
          <w:tcPr>
            <w:tcW w:w="680" w:type="pct"/>
            <w:tcBorders>
              <w:top w:val="nil"/>
              <w:left w:val="nil"/>
              <w:bottom w:val="single" w:sz="4" w:space="0" w:color="F39200"/>
              <w:right w:val="nil"/>
            </w:tcBorders>
            <w:shd w:val="clear" w:color="auto" w:fill="auto"/>
            <w:noWrap/>
            <w:vAlign w:val="center"/>
          </w:tcPr>
          <w:p w14:paraId="1A76B877" w14:textId="48955206" w:rsidR="00C02B1B" w:rsidRPr="00FF4346" w:rsidRDefault="00632E6D" w:rsidP="0054153A">
            <w:pPr>
              <w:jc w:val="right"/>
              <w:rPr>
                <w:rFonts w:ascii="CAIXA Std Book" w:hAnsi="CAIXA Std Book" w:cs="Arial"/>
                <w:color w:val="005CA9"/>
                <w:sz w:val="18"/>
                <w:szCs w:val="18"/>
              </w:rPr>
            </w:pPr>
            <w:r w:rsidRPr="00673A9A">
              <w:rPr>
                <w:rFonts w:ascii="CAIXA Std Book" w:hAnsi="CAIXA Std Book" w:cs="Arial"/>
                <w:color w:val="005CA9"/>
                <w:sz w:val="18"/>
                <w:szCs w:val="18"/>
              </w:rPr>
              <w:t>9.814.477</w:t>
            </w:r>
          </w:p>
        </w:tc>
        <w:tc>
          <w:tcPr>
            <w:tcW w:w="680" w:type="pct"/>
            <w:tcBorders>
              <w:top w:val="nil"/>
              <w:left w:val="nil"/>
              <w:bottom w:val="single" w:sz="4" w:space="0" w:color="F39200"/>
              <w:right w:val="nil"/>
            </w:tcBorders>
            <w:shd w:val="clear" w:color="auto" w:fill="auto"/>
            <w:noWrap/>
            <w:vAlign w:val="center"/>
            <w:hideMark/>
          </w:tcPr>
          <w:p w14:paraId="578F71A4" w14:textId="1B5A8946" w:rsidR="00C02B1B" w:rsidRPr="00FF4346" w:rsidRDefault="00DD2589" w:rsidP="0054153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9.112.142</w:t>
            </w:r>
          </w:p>
        </w:tc>
        <w:tc>
          <w:tcPr>
            <w:tcW w:w="680" w:type="pct"/>
            <w:tcBorders>
              <w:top w:val="nil"/>
              <w:left w:val="nil"/>
              <w:bottom w:val="single" w:sz="4" w:space="0" w:color="F39200"/>
              <w:right w:val="nil"/>
            </w:tcBorders>
            <w:vAlign w:val="center"/>
          </w:tcPr>
          <w:p w14:paraId="1395FBA3" w14:textId="19CCDD1E" w:rsidR="004B2046" w:rsidRPr="00FF4346" w:rsidRDefault="00632E6D" w:rsidP="0054153A">
            <w:pPr>
              <w:jc w:val="right"/>
              <w:rPr>
                <w:rFonts w:ascii="CAIXA Std Book" w:hAnsi="CAIXA Std Book" w:cs="Arial"/>
                <w:color w:val="005CA9"/>
                <w:sz w:val="18"/>
                <w:szCs w:val="18"/>
              </w:rPr>
            </w:pPr>
            <w:r w:rsidRPr="00632E6D">
              <w:rPr>
                <w:rFonts w:ascii="CAIXA Std Book" w:hAnsi="CAIXA Std Book" w:cs="Arial"/>
                <w:color w:val="005CA9"/>
                <w:sz w:val="18"/>
                <w:szCs w:val="18"/>
              </w:rPr>
              <w:t>9.814.477</w:t>
            </w:r>
          </w:p>
        </w:tc>
        <w:tc>
          <w:tcPr>
            <w:tcW w:w="680" w:type="pct"/>
            <w:tcBorders>
              <w:top w:val="nil"/>
              <w:left w:val="nil"/>
              <w:bottom w:val="single" w:sz="4" w:space="0" w:color="F39200"/>
              <w:right w:val="nil"/>
            </w:tcBorders>
            <w:vAlign w:val="center"/>
          </w:tcPr>
          <w:p w14:paraId="089CAC3A" w14:textId="3244AA33" w:rsidR="004B2046" w:rsidRPr="00FF4346" w:rsidRDefault="00DD2589" w:rsidP="0054153A">
            <w:pPr>
              <w:jc w:val="right"/>
              <w:rPr>
                <w:rFonts w:ascii="CAIXA Std Book" w:hAnsi="CAIXA Std Book" w:cs="Arial"/>
                <w:color w:val="005CA9"/>
                <w:sz w:val="18"/>
                <w:szCs w:val="18"/>
              </w:rPr>
            </w:pPr>
            <w:r w:rsidRPr="00FF4346">
              <w:rPr>
                <w:rFonts w:ascii="CAIXA Std Book" w:hAnsi="CAIXA Std Book" w:cs="Arial"/>
                <w:color w:val="005CA9"/>
                <w:sz w:val="18"/>
                <w:szCs w:val="18"/>
              </w:rPr>
              <w:t>9.112.142</w:t>
            </w:r>
          </w:p>
        </w:tc>
      </w:tr>
    </w:tbl>
    <w:p w14:paraId="57B5E432" w14:textId="181B20E3" w:rsidR="005112A1" w:rsidRPr="00FF4346" w:rsidRDefault="005112A1" w:rsidP="00B37B40">
      <w:pPr>
        <w:pStyle w:val="PargrafodaLista"/>
        <w:numPr>
          <w:ilvl w:val="0"/>
          <w:numId w:val="26"/>
        </w:numPr>
        <w:spacing w:before="48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t xml:space="preserve">Recursos para destinação específica </w:t>
      </w:r>
    </w:p>
    <w:p w14:paraId="78004759" w14:textId="0B25249B" w:rsidR="00A45B5B" w:rsidRPr="00FF4346" w:rsidRDefault="00E46B65" w:rsidP="00235653">
      <w:pPr>
        <w:tabs>
          <w:tab w:val="left" w:pos="1650"/>
        </w:tabs>
        <w:spacing w:before="120" w:after="240"/>
        <w:ind w:right="139"/>
        <w:jc w:val="both"/>
        <w:rPr>
          <w:rFonts w:ascii="CAIXA Std Book" w:hAnsi="CAIXA Std Book"/>
          <w:color w:val="005CA9"/>
          <w:sz w:val="20"/>
          <w:szCs w:val="20"/>
        </w:rPr>
      </w:pPr>
      <w:r w:rsidRPr="00FF4346">
        <w:rPr>
          <w:rFonts w:ascii="CAIXA Std Book" w:hAnsi="CAIXA Std Book"/>
          <w:color w:val="005CA9"/>
          <w:sz w:val="20"/>
          <w:szCs w:val="20"/>
        </w:rPr>
        <w:t>Referem-se às obrigações decorrentes de recursos de operações relacionadas com loterias, recursos de fundos e programas sociais geridos pela CAIXA e recursos de fundos ou programas especiais mantidos com recursos do Governo ou entidades públicas, administrados pela CAIXA</w:t>
      </w:r>
      <w:r w:rsidR="005112A1" w:rsidRPr="00FF4346">
        <w:rPr>
          <w:rFonts w:ascii="CAIXA Std Book" w:hAnsi="CAIXA Std Book"/>
          <w:color w:val="005CA9"/>
          <w:sz w:val="20"/>
          <w:szCs w:val="20"/>
        </w:rPr>
        <w:t>.</w:t>
      </w:r>
    </w:p>
    <w:tbl>
      <w:tblPr>
        <w:tblW w:w="5000" w:type="pct"/>
        <w:tblCellMar>
          <w:left w:w="70" w:type="dxa"/>
          <w:right w:w="70" w:type="dxa"/>
        </w:tblCellMar>
        <w:tblLook w:val="04A0" w:firstRow="1" w:lastRow="0" w:firstColumn="1" w:lastColumn="0" w:noHBand="0" w:noVBand="1"/>
      </w:tblPr>
      <w:tblGrid>
        <w:gridCol w:w="5897"/>
        <w:gridCol w:w="1870"/>
        <w:gridCol w:w="1870"/>
      </w:tblGrid>
      <w:tr w:rsidR="003B2B2A" w:rsidRPr="00A33766" w14:paraId="7CC5AB6B" w14:textId="77777777" w:rsidTr="00367ED3">
        <w:trPr>
          <w:trHeight w:val="283"/>
        </w:trPr>
        <w:tc>
          <w:tcPr>
            <w:tcW w:w="5000" w:type="pct"/>
            <w:gridSpan w:val="3"/>
            <w:tcBorders>
              <w:top w:val="single" w:sz="4" w:space="0" w:color="F39200"/>
              <w:left w:val="nil"/>
              <w:bottom w:val="single" w:sz="4" w:space="0" w:color="F39200"/>
              <w:right w:val="nil"/>
            </w:tcBorders>
            <w:shd w:val="clear" w:color="auto" w:fill="auto"/>
            <w:vAlign w:val="center"/>
            <w:hideMark/>
          </w:tcPr>
          <w:p w14:paraId="6B8C3477" w14:textId="77777777" w:rsidR="00FF09A6" w:rsidRPr="00FF4346" w:rsidRDefault="00FF09A6" w:rsidP="00FF09A6">
            <w:pPr>
              <w:jc w:val="center"/>
              <w:rPr>
                <w:rFonts w:ascii="CAIXA Std Book" w:hAnsi="CAIXA Std Book"/>
                <w:b/>
                <w:color w:val="005CA9"/>
                <w:sz w:val="18"/>
                <w:szCs w:val="18"/>
              </w:rPr>
            </w:pPr>
            <w:r w:rsidRPr="00FF4346">
              <w:rPr>
                <w:rFonts w:ascii="CAIXA Std Book" w:hAnsi="CAIXA Std Book"/>
                <w:b/>
                <w:color w:val="005CA9"/>
                <w:sz w:val="18"/>
                <w:szCs w:val="18"/>
              </w:rPr>
              <w:t>INDIVIDUAL / CONSOLIDADO</w:t>
            </w:r>
          </w:p>
        </w:tc>
      </w:tr>
      <w:tr w:rsidR="00A909C1" w:rsidRPr="00A33766" w14:paraId="6F857334" w14:textId="77777777" w:rsidTr="00367ED3">
        <w:trPr>
          <w:trHeight w:val="283"/>
        </w:trPr>
        <w:tc>
          <w:tcPr>
            <w:tcW w:w="3060" w:type="pct"/>
            <w:tcBorders>
              <w:top w:val="nil"/>
              <w:left w:val="nil"/>
              <w:bottom w:val="single" w:sz="4" w:space="0" w:color="F39200"/>
              <w:right w:val="nil"/>
            </w:tcBorders>
            <w:shd w:val="clear" w:color="auto" w:fill="auto"/>
            <w:vAlign w:val="center"/>
            <w:hideMark/>
          </w:tcPr>
          <w:p w14:paraId="464E212E" w14:textId="77777777" w:rsidR="00A909C1" w:rsidRPr="00FF4346" w:rsidRDefault="00A909C1" w:rsidP="00A909C1">
            <w:pPr>
              <w:jc w:val="center"/>
              <w:rPr>
                <w:rFonts w:ascii="CAIXA Std Book" w:hAnsi="CAIXA Std Book"/>
                <w:b/>
                <w:color w:val="005CA9"/>
                <w:sz w:val="18"/>
                <w:szCs w:val="18"/>
              </w:rPr>
            </w:pPr>
            <w:r w:rsidRPr="00FF4346">
              <w:rPr>
                <w:rFonts w:ascii="CAIXA Std Book" w:hAnsi="CAIXA Std Book"/>
                <w:b/>
                <w:color w:val="005CA9"/>
                <w:sz w:val="18"/>
                <w:szCs w:val="18"/>
              </w:rPr>
              <w:t>Descrição</w:t>
            </w:r>
          </w:p>
        </w:tc>
        <w:tc>
          <w:tcPr>
            <w:tcW w:w="970" w:type="pct"/>
            <w:tcBorders>
              <w:top w:val="single" w:sz="4" w:space="0" w:color="F79646"/>
              <w:left w:val="nil"/>
              <w:bottom w:val="single" w:sz="4" w:space="0" w:color="F39200"/>
              <w:right w:val="nil"/>
            </w:tcBorders>
            <w:shd w:val="clear" w:color="auto" w:fill="auto"/>
            <w:noWrap/>
            <w:vAlign w:val="center"/>
          </w:tcPr>
          <w:p w14:paraId="3E5BBE8C" w14:textId="4D4A9CAC" w:rsidR="00A909C1" w:rsidRPr="00FF4346" w:rsidRDefault="009403C6" w:rsidP="00A909C1">
            <w:pPr>
              <w:jc w:val="center"/>
              <w:rPr>
                <w:rFonts w:ascii="CAIXA Std Book" w:hAnsi="CAIXA Std Book"/>
                <w:b/>
                <w:color w:val="005CA9"/>
                <w:sz w:val="18"/>
                <w:szCs w:val="18"/>
              </w:rPr>
            </w:pPr>
            <w:r w:rsidRPr="00FF4346">
              <w:rPr>
                <w:rFonts w:ascii="CAIXA Std Book" w:hAnsi="CAIXA Std Book"/>
                <w:b/>
                <w:color w:val="005CA9"/>
                <w:sz w:val="18"/>
                <w:szCs w:val="18"/>
              </w:rPr>
              <w:t>31/</w:t>
            </w:r>
            <w:r w:rsidR="00C072D2">
              <w:rPr>
                <w:rFonts w:ascii="CAIXA Std Book" w:hAnsi="CAIXA Std Book"/>
                <w:b/>
                <w:color w:val="005CA9"/>
                <w:sz w:val="18"/>
                <w:szCs w:val="18"/>
              </w:rPr>
              <w:t>03</w:t>
            </w:r>
            <w:r w:rsidRPr="00FF4346">
              <w:rPr>
                <w:rFonts w:ascii="CAIXA Std Book" w:hAnsi="CAIXA Std Book"/>
                <w:b/>
                <w:color w:val="005CA9"/>
                <w:sz w:val="18"/>
                <w:szCs w:val="18"/>
              </w:rPr>
              <w:t>/202</w:t>
            </w:r>
            <w:r w:rsidR="00C072D2">
              <w:rPr>
                <w:rFonts w:ascii="CAIXA Std Book" w:hAnsi="CAIXA Std Book"/>
                <w:b/>
                <w:color w:val="005CA9"/>
                <w:sz w:val="18"/>
                <w:szCs w:val="18"/>
              </w:rPr>
              <w:t>4</w:t>
            </w:r>
          </w:p>
        </w:tc>
        <w:tc>
          <w:tcPr>
            <w:tcW w:w="970" w:type="pct"/>
            <w:tcBorders>
              <w:top w:val="single" w:sz="4" w:space="0" w:color="F79646"/>
              <w:left w:val="nil"/>
              <w:bottom w:val="single" w:sz="4" w:space="0" w:color="F39200"/>
              <w:right w:val="nil"/>
            </w:tcBorders>
            <w:shd w:val="clear" w:color="auto" w:fill="auto"/>
            <w:vAlign w:val="center"/>
            <w:hideMark/>
          </w:tcPr>
          <w:p w14:paraId="60A9DCB8" w14:textId="0F458D22" w:rsidR="00A909C1" w:rsidRPr="00FF4346" w:rsidRDefault="00A909C1" w:rsidP="00A909C1">
            <w:pPr>
              <w:jc w:val="center"/>
              <w:rPr>
                <w:rFonts w:ascii="CAIXA Std Book" w:hAnsi="CAIXA Std Book"/>
                <w:b/>
                <w:color w:val="005CA9"/>
                <w:sz w:val="18"/>
                <w:szCs w:val="18"/>
              </w:rPr>
            </w:pPr>
            <w:r w:rsidRPr="00FF4346">
              <w:rPr>
                <w:rFonts w:ascii="CAIXA Std Book" w:hAnsi="CAIXA Std Book"/>
                <w:b/>
                <w:color w:val="005CA9"/>
                <w:sz w:val="18"/>
                <w:szCs w:val="18"/>
              </w:rPr>
              <w:t>31/12/202</w:t>
            </w:r>
            <w:r w:rsidR="00C072D2">
              <w:rPr>
                <w:rFonts w:ascii="CAIXA Std Book" w:hAnsi="CAIXA Std Book"/>
                <w:b/>
                <w:color w:val="005CA9"/>
                <w:sz w:val="18"/>
                <w:szCs w:val="18"/>
              </w:rPr>
              <w:t>3</w:t>
            </w:r>
          </w:p>
        </w:tc>
      </w:tr>
      <w:tr w:rsidR="00B9711C" w:rsidRPr="00A33766" w14:paraId="52ACCF23" w14:textId="77777777" w:rsidTr="00DC6CF2">
        <w:trPr>
          <w:trHeight w:val="283"/>
        </w:trPr>
        <w:tc>
          <w:tcPr>
            <w:tcW w:w="3060" w:type="pct"/>
            <w:tcBorders>
              <w:top w:val="nil"/>
              <w:left w:val="nil"/>
              <w:bottom w:val="nil"/>
              <w:right w:val="nil"/>
            </w:tcBorders>
            <w:shd w:val="clear" w:color="auto" w:fill="auto"/>
            <w:noWrap/>
            <w:vAlign w:val="center"/>
            <w:hideMark/>
          </w:tcPr>
          <w:p w14:paraId="6DA19576" w14:textId="544FB78D" w:rsidR="00B9711C" w:rsidRPr="00FF4346" w:rsidRDefault="00B9711C" w:rsidP="00B9711C">
            <w:pPr>
              <w:rPr>
                <w:rFonts w:ascii="CAIXA Std Book" w:hAnsi="CAIXA Std Book"/>
                <w:b/>
                <w:color w:val="005CA9"/>
                <w:sz w:val="18"/>
                <w:szCs w:val="18"/>
              </w:rPr>
            </w:pPr>
            <w:r w:rsidRPr="00FF4346">
              <w:rPr>
                <w:rFonts w:ascii="CAIXA Std Book" w:hAnsi="CAIXA Std Book" w:cs="Arial"/>
                <w:b/>
                <w:color w:val="005CA9"/>
                <w:sz w:val="18"/>
                <w:szCs w:val="18"/>
              </w:rPr>
              <w:t>Fundos e programas sociais</w:t>
            </w:r>
          </w:p>
        </w:tc>
        <w:tc>
          <w:tcPr>
            <w:tcW w:w="970" w:type="pct"/>
            <w:tcBorders>
              <w:top w:val="nil"/>
              <w:left w:val="nil"/>
              <w:bottom w:val="nil"/>
              <w:right w:val="nil"/>
            </w:tcBorders>
            <w:shd w:val="clear" w:color="auto" w:fill="auto"/>
            <w:vAlign w:val="center"/>
          </w:tcPr>
          <w:p w14:paraId="6AEFCE92" w14:textId="04A99EB2" w:rsidR="00B9711C" w:rsidRPr="00FF4346" w:rsidRDefault="00B9711C" w:rsidP="00B9711C">
            <w:pPr>
              <w:ind w:firstLineChars="100" w:firstLine="177"/>
              <w:jc w:val="right"/>
              <w:rPr>
                <w:rFonts w:ascii="CAIXA Std Book" w:hAnsi="CAIXA Std Book" w:cs="Arial"/>
                <w:b/>
                <w:bCs/>
                <w:color w:val="005CA9"/>
                <w:sz w:val="18"/>
                <w:szCs w:val="18"/>
              </w:rPr>
            </w:pPr>
            <w:r w:rsidRPr="00B9711C">
              <w:rPr>
                <w:rFonts w:ascii="CAIXA Std Book" w:hAnsi="CAIXA Std Book" w:cs="Arial"/>
                <w:b/>
                <w:bCs/>
                <w:color w:val="005CA9"/>
                <w:sz w:val="18"/>
                <w:szCs w:val="18"/>
              </w:rPr>
              <w:t>15.953.046</w:t>
            </w:r>
          </w:p>
        </w:tc>
        <w:tc>
          <w:tcPr>
            <w:tcW w:w="970" w:type="pct"/>
            <w:tcBorders>
              <w:top w:val="nil"/>
              <w:left w:val="nil"/>
              <w:bottom w:val="nil"/>
              <w:right w:val="nil"/>
            </w:tcBorders>
            <w:shd w:val="clear" w:color="auto" w:fill="auto"/>
            <w:noWrap/>
            <w:vAlign w:val="center"/>
            <w:hideMark/>
          </w:tcPr>
          <w:p w14:paraId="0CD496E0" w14:textId="7978B927" w:rsidR="00B9711C" w:rsidRPr="00FF4346" w:rsidRDefault="00B9711C" w:rsidP="00B9711C">
            <w:pPr>
              <w:ind w:firstLineChars="100" w:firstLine="177"/>
              <w:jc w:val="right"/>
              <w:rPr>
                <w:rFonts w:ascii="CAIXA Std Book" w:hAnsi="CAIXA Std Book"/>
                <w:b/>
                <w:color w:val="005CA9"/>
                <w:sz w:val="18"/>
                <w:szCs w:val="18"/>
              </w:rPr>
            </w:pPr>
            <w:r w:rsidRPr="00FF4346">
              <w:rPr>
                <w:rFonts w:ascii="CAIXA Std Book" w:hAnsi="CAIXA Std Book" w:cs="Arial"/>
                <w:b/>
                <w:bCs/>
                <w:color w:val="005CA9"/>
                <w:sz w:val="18"/>
                <w:szCs w:val="18"/>
              </w:rPr>
              <w:t>15.582.421</w:t>
            </w:r>
          </w:p>
        </w:tc>
      </w:tr>
      <w:tr w:rsidR="00B9711C" w:rsidRPr="00A33766" w14:paraId="6B17EE0A" w14:textId="77777777" w:rsidTr="00DC6CF2">
        <w:trPr>
          <w:trHeight w:val="283"/>
        </w:trPr>
        <w:tc>
          <w:tcPr>
            <w:tcW w:w="3060" w:type="pct"/>
            <w:tcBorders>
              <w:top w:val="nil"/>
              <w:left w:val="nil"/>
              <w:bottom w:val="nil"/>
              <w:right w:val="nil"/>
            </w:tcBorders>
            <w:shd w:val="clear" w:color="auto" w:fill="auto"/>
            <w:noWrap/>
            <w:vAlign w:val="center"/>
            <w:hideMark/>
          </w:tcPr>
          <w:p w14:paraId="50255278" w14:textId="57FF276B" w:rsidR="00B9711C" w:rsidRPr="00FF4346" w:rsidRDefault="00B9711C" w:rsidP="00B9711C">
            <w:pPr>
              <w:ind w:firstLineChars="100" w:firstLine="180"/>
              <w:rPr>
                <w:rFonts w:ascii="CAIXA Std Book" w:hAnsi="CAIXA Std Book"/>
                <w:color w:val="005CA9"/>
                <w:sz w:val="18"/>
                <w:szCs w:val="18"/>
              </w:rPr>
            </w:pPr>
            <w:r w:rsidRPr="00FF4346">
              <w:rPr>
                <w:rFonts w:ascii="CAIXA Std Book" w:hAnsi="CAIXA Std Book" w:cs="Arial"/>
                <w:color w:val="005CA9"/>
                <w:sz w:val="18"/>
                <w:szCs w:val="18"/>
              </w:rPr>
              <w:t>Remuneração do agente financeiro - FGTS</w:t>
            </w:r>
          </w:p>
        </w:tc>
        <w:tc>
          <w:tcPr>
            <w:tcW w:w="970" w:type="pct"/>
            <w:tcBorders>
              <w:top w:val="nil"/>
              <w:left w:val="nil"/>
              <w:bottom w:val="nil"/>
              <w:right w:val="nil"/>
            </w:tcBorders>
            <w:shd w:val="clear" w:color="auto" w:fill="auto"/>
            <w:vAlign w:val="center"/>
          </w:tcPr>
          <w:p w14:paraId="42D99B50" w14:textId="7A39D293"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8.982.775</w:t>
            </w:r>
          </w:p>
        </w:tc>
        <w:tc>
          <w:tcPr>
            <w:tcW w:w="970" w:type="pct"/>
            <w:tcBorders>
              <w:top w:val="nil"/>
              <w:left w:val="nil"/>
              <w:bottom w:val="nil"/>
              <w:right w:val="nil"/>
            </w:tcBorders>
            <w:shd w:val="clear" w:color="auto" w:fill="auto"/>
            <w:noWrap/>
            <w:vAlign w:val="center"/>
            <w:hideMark/>
          </w:tcPr>
          <w:p w14:paraId="31281E1C" w14:textId="43F1AC3A" w:rsidR="00B9711C" w:rsidRPr="00FF4346" w:rsidRDefault="00B9711C" w:rsidP="00B9711C">
            <w:pPr>
              <w:ind w:firstLineChars="100" w:firstLine="180"/>
              <w:jc w:val="right"/>
              <w:rPr>
                <w:rFonts w:ascii="CAIXA Std Book" w:hAnsi="CAIXA Std Book" w:cs="Arial Unicode MS"/>
                <w:color w:val="005CA9"/>
                <w:sz w:val="18"/>
                <w:szCs w:val="18"/>
              </w:rPr>
            </w:pPr>
            <w:r w:rsidRPr="00FF4346">
              <w:rPr>
                <w:rFonts w:ascii="CAIXA Std Book" w:hAnsi="CAIXA Std Book" w:cs="Arial"/>
                <w:color w:val="005CA9"/>
                <w:sz w:val="18"/>
                <w:szCs w:val="18"/>
              </w:rPr>
              <w:t>8.912.147</w:t>
            </w:r>
          </w:p>
        </w:tc>
      </w:tr>
      <w:tr w:rsidR="00B9711C" w:rsidRPr="00A33766" w14:paraId="5187B7E3" w14:textId="77777777" w:rsidTr="00DC6CF2">
        <w:trPr>
          <w:trHeight w:val="283"/>
        </w:trPr>
        <w:tc>
          <w:tcPr>
            <w:tcW w:w="3060" w:type="pct"/>
            <w:tcBorders>
              <w:top w:val="nil"/>
              <w:left w:val="nil"/>
              <w:bottom w:val="nil"/>
              <w:right w:val="nil"/>
            </w:tcBorders>
            <w:shd w:val="clear" w:color="auto" w:fill="auto"/>
            <w:noWrap/>
            <w:vAlign w:val="center"/>
          </w:tcPr>
          <w:p w14:paraId="154658EA" w14:textId="5BF1EF80" w:rsidR="00B9711C" w:rsidRPr="00616EE1" w:rsidRDefault="00B9711C" w:rsidP="00B9711C">
            <w:pPr>
              <w:ind w:firstLineChars="100" w:firstLine="180"/>
              <w:rPr>
                <w:rFonts w:ascii="CAIXA Std Book" w:hAnsi="CAIXA Std Book" w:cs="Arial"/>
                <w:color w:val="005CA9"/>
                <w:sz w:val="18"/>
                <w:szCs w:val="18"/>
              </w:rPr>
            </w:pPr>
            <w:r w:rsidRPr="00FF4346">
              <w:rPr>
                <w:rFonts w:ascii="CAIXA Std Book" w:hAnsi="CAIXA Std Book" w:cs="Arial"/>
                <w:color w:val="005CA9"/>
                <w:sz w:val="18"/>
                <w:szCs w:val="18"/>
              </w:rPr>
              <w:t>Programas habitacionais de interesse social</w:t>
            </w:r>
          </w:p>
        </w:tc>
        <w:tc>
          <w:tcPr>
            <w:tcW w:w="970" w:type="pct"/>
            <w:tcBorders>
              <w:top w:val="nil"/>
              <w:left w:val="nil"/>
              <w:bottom w:val="nil"/>
              <w:right w:val="nil"/>
            </w:tcBorders>
            <w:shd w:val="clear" w:color="auto" w:fill="auto"/>
            <w:vAlign w:val="center"/>
          </w:tcPr>
          <w:p w14:paraId="46CDD822" w14:textId="17504F49"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1.777.692</w:t>
            </w:r>
          </w:p>
        </w:tc>
        <w:tc>
          <w:tcPr>
            <w:tcW w:w="970" w:type="pct"/>
            <w:tcBorders>
              <w:top w:val="nil"/>
              <w:left w:val="nil"/>
              <w:bottom w:val="nil"/>
              <w:right w:val="nil"/>
            </w:tcBorders>
            <w:shd w:val="clear" w:color="auto" w:fill="auto"/>
            <w:noWrap/>
            <w:vAlign w:val="center"/>
          </w:tcPr>
          <w:p w14:paraId="61E962FF" w14:textId="3E407E8C" w:rsidR="00B9711C" w:rsidRPr="00FF4346" w:rsidRDefault="00B9711C" w:rsidP="00B9711C">
            <w:pPr>
              <w:ind w:firstLineChars="100" w:firstLine="180"/>
              <w:jc w:val="right"/>
              <w:rPr>
                <w:rFonts w:ascii="CAIXA Std Book" w:hAnsi="CAIXA Std Book" w:cs="Arial"/>
                <w:color w:val="005CA9"/>
                <w:sz w:val="18"/>
                <w:szCs w:val="18"/>
              </w:rPr>
            </w:pPr>
            <w:r w:rsidRPr="00FF4346">
              <w:rPr>
                <w:rFonts w:ascii="CAIXA Std Book" w:hAnsi="CAIXA Std Book" w:cs="Arial"/>
                <w:color w:val="005CA9"/>
                <w:sz w:val="18"/>
                <w:szCs w:val="18"/>
              </w:rPr>
              <w:t>1.676.866</w:t>
            </w:r>
          </w:p>
        </w:tc>
      </w:tr>
      <w:tr w:rsidR="00B9711C" w:rsidRPr="00A33766" w14:paraId="6C30AD2E" w14:textId="77777777" w:rsidTr="00DC6CF2">
        <w:trPr>
          <w:trHeight w:val="283"/>
        </w:trPr>
        <w:tc>
          <w:tcPr>
            <w:tcW w:w="3060" w:type="pct"/>
            <w:tcBorders>
              <w:top w:val="nil"/>
              <w:left w:val="nil"/>
              <w:bottom w:val="nil"/>
              <w:right w:val="nil"/>
            </w:tcBorders>
            <w:shd w:val="clear" w:color="auto" w:fill="auto"/>
            <w:noWrap/>
            <w:vAlign w:val="center"/>
            <w:hideMark/>
          </w:tcPr>
          <w:p w14:paraId="5F6BABF1" w14:textId="77777777" w:rsidR="00B9711C" w:rsidRPr="00FF4346" w:rsidRDefault="00B9711C" w:rsidP="00B9711C">
            <w:pPr>
              <w:ind w:firstLineChars="100" w:firstLine="180"/>
              <w:rPr>
                <w:rFonts w:ascii="CAIXA Std Book" w:hAnsi="CAIXA Std Book"/>
                <w:color w:val="005CA9"/>
                <w:sz w:val="18"/>
                <w:szCs w:val="18"/>
              </w:rPr>
            </w:pPr>
            <w:r w:rsidRPr="00FF4346">
              <w:rPr>
                <w:rFonts w:ascii="CAIXA Std Book" w:hAnsi="CAIXA Std Book" w:cs="Arial"/>
                <w:color w:val="005CA9"/>
                <w:sz w:val="18"/>
                <w:szCs w:val="18"/>
              </w:rPr>
              <w:t>Programas de transferência de renda (1)</w:t>
            </w:r>
          </w:p>
        </w:tc>
        <w:tc>
          <w:tcPr>
            <w:tcW w:w="970" w:type="pct"/>
            <w:tcBorders>
              <w:top w:val="nil"/>
              <w:left w:val="nil"/>
              <w:bottom w:val="nil"/>
              <w:right w:val="nil"/>
            </w:tcBorders>
            <w:shd w:val="clear" w:color="auto" w:fill="auto"/>
            <w:vAlign w:val="center"/>
          </w:tcPr>
          <w:p w14:paraId="40B029B9" w14:textId="7EFE5CFC"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1.771.804</w:t>
            </w:r>
          </w:p>
        </w:tc>
        <w:tc>
          <w:tcPr>
            <w:tcW w:w="970" w:type="pct"/>
            <w:tcBorders>
              <w:top w:val="nil"/>
              <w:left w:val="nil"/>
              <w:bottom w:val="nil"/>
              <w:right w:val="nil"/>
            </w:tcBorders>
            <w:shd w:val="clear" w:color="auto" w:fill="auto"/>
            <w:noWrap/>
            <w:vAlign w:val="center"/>
            <w:hideMark/>
          </w:tcPr>
          <w:p w14:paraId="413D6AA2" w14:textId="7CCBE899" w:rsidR="00B9711C" w:rsidRPr="00FF4346" w:rsidRDefault="00B9711C" w:rsidP="00B9711C">
            <w:pPr>
              <w:ind w:firstLineChars="100" w:firstLine="180"/>
              <w:jc w:val="right"/>
              <w:rPr>
                <w:rFonts w:ascii="CAIXA Std Book" w:hAnsi="CAIXA Std Book" w:cs="Arial Unicode MS"/>
                <w:color w:val="005CA9"/>
                <w:sz w:val="18"/>
                <w:szCs w:val="18"/>
              </w:rPr>
            </w:pPr>
            <w:r w:rsidRPr="00FF4346">
              <w:rPr>
                <w:rFonts w:ascii="CAIXA Std Book" w:hAnsi="CAIXA Std Book" w:cs="Arial"/>
                <w:color w:val="005CA9"/>
                <w:sz w:val="18"/>
                <w:szCs w:val="18"/>
              </w:rPr>
              <w:t>1.314.677</w:t>
            </w:r>
          </w:p>
        </w:tc>
      </w:tr>
      <w:tr w:rsidR="00B9711C" w:rsidRPr="00A33766" w14:paraId="48A0F3A4" w14:textId="77777777" w:rsidTr="00DC6CF2">
        <w:trPr>
          <w:trHeight w:val="283"/>
        </w:trPr>
        <w:tc>
          <w:tcPr>
            <w:tcW w:w="3060" w:type="pct"/>
            <w:tcBorders>
              <w:top w:val="nil"/>
              <w:left w:val="nil"/>
              <w:bottom w:val="nil"/>
              <w:right w:val="nil"/>
            </w:tcBorders>
            <w:shd w:val="clear" w:color="auto" w:fill="auto"/>
            <w:noWrap/>
            <w:vAlign w:val="center"/>
            <w:hideMark/>
          </w:tcPr>
          <w:p w14:paraId="22709FDF" w14:textId="77777777" w:rsidR="00B9711C" w:rsidRPr="00FF4346" w:rsidRDefault="00B9711C" w:rsidP="00B9711C">
            <w:pPr>
              <w:ind w:firstLineChars="100" w:firstLine="180"/>
              <w:rPr>
                <w:rFonts w:ascii="CAIXA Std Book" w:hAnsi="CAIXA Std Book" w:cs="Arial"/>
                <w:color w:val="005CA9"/>
                <w:sz w:val="18"/>
                <w:szCs w:val="18"/>
              </w:rPr>
            </w:pPr>
            <w:r w:rsidRPr="00FF4346">
              <w:rPr>
                <w:rFonts w:ascii="CAIXA Std Book" w:hAnsi="CAIXA Std Book" w:cs="Arial"/>
                <w:color w:val="005CA9"/>
                <w:sz w:val="18"/>
                <w:szCs w:val="18"/>
              </w:rPr>
              <w:t>Minha Casa Minha Vida - MCMV</w:t>
            </w:r>
          </w:p>
        </w:tc>
        <w:tc>
          <w:tcPr>
            <w:tcW w:w="970" w:type="pct"/>
            <w:tcBorders>
              <w:top w:val="nil"/>
              <w:left w:val="nil"/>
              <w:bottom w:val="nil"/>
              <w:right w:val="nil"/>
            </w:tcBorders>
            <w:shd w:val="clear" w:color="auto" w:fill="auto"/>
            <w:vAlign w:val="center"/>
          </w:tcPr>
          <w:p w14:paraId="55B1DFB0" w14:textId="7F423BF5"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1.161.032</w:t>
            </w:r>
          </w:p>
        </w:tc>
        <w:tc>
          <w:tcPr>
            <w:tcW w:w="970" w:type="pct"/>
            <w:tcBorders>
              <w:top w:val="nil"/>
              <w:left w:val="nil"/>
              <w:bottom w:val="nil"/>
              <w:right w:val="nil"/>
            </w:tcBorders>
            <w:shd w:val="clear" w:color="auto" w:fill="auto"/>
            <w:noWrap/>
            <w:vAlign w:val="center"/>
            <w:hideMark/>
          </w:tcPr>
          <w:p w14:paraId="23DF4D30" w14:textId="6C623F58" w:rsidR="00B9711C" w:rsidRPr="00FF4346" w:rsidRDefault="00B9711C" w:rsidP="00B9711C">
            <w:pPr>
              <w:ind w:firstLineChars="100" w:firstLine="180"/>
              <w:jc w:val="right"/>
              <w:rPr>
                <w:rFonts w:ascii="CAIXA Std Book" w:hAnsi="CAIXA Std Book" w:cs="Arial Unicode MS"/>
                <w:color w:val="005CA9"/>
                <w:sz w:val="18"/>
                <w:szCs w:val="18"/>
              </w:rPr>
            </w:pPr>
            <w:r w:rsidRPr="00FF4346">
              <w:rPr>
                <w:rFonts w:ascii="CAIXA Std Book" w:hAnsi="CAIXA Std Book" w:cs="Arial"/>
                <w:color w:val="005CA9"/>
                <w:sz w:val="18"/>
                <w:szCs w:val="18"/>
              </w:rPr>
              <w:t>1.098.257</w:t>
            </w:r>
          </w:p>
        </w:tc>
      </w:tr>
      <w:tr w:rsidR="00B9711C" w:rsidRPr="00A33766" w14:paraId="496699BF" w14:textId="77777777" w:rsidTr="00DC6CF2">
        <w:trPr>
          <w:trHeight w:val="283"/>
        </w:trPr>
        <w:tc>
          <w:tcPr>
            <w:tcW w:w="3060" w:type="pct"/>
            <w:tcBorders>
              <w:top w:val="nil"/>
              <w:left w:val="nil"/>
              <w:bottom w:val="nil"/>
              <w:right w:val="nil"/>
            </w:tcBorders>
            <w:shd w:val="clear" w:color="auto" w:fill="auto"/>
            <w:noWrap/>
            <w:vAlign w:val="center"/>
            <w:hideMark/>
          </w:tcPr>
          <w:p w14:paraId="61AFC62C" w14:textId="32788F5F" w:rsidR="00B9711C" w:rsidRPr="00FF4346" w:rsidRDefault="00B9711C" w:rsidP="00B9711C">
            <w:pPr>
              <w:ind w:firstLineChars="100" w:firstLine="180"/>
              <w:rPr>
                <w:rFonts w:ascii="CAIXA Std Book" w:hAnsi="CAIXA Std Book"/>
                <w:color w:val="005CA9"/>
                <w:sz w:val="18"/>
                <w:szCs w:val="18"/>
              </w:rPr>
            </w:pPr>
            <w:r w:rsidRPr="00FF4346">
              <w:rPr>
                <w:rFonts w:ascii="CAIXA Std Book" w:hAnsi="CAIXA Std Book" w:cs="Arial"/>
                <w:color w:val="005CA9"/>
                <w:sz w:val="18"/>
                <w:szCs w:val="18"/>
              </w:rPr>
              <w:t>Remuneração do agente financeiro - OGU</w:t>
            </w:r>
          </w:p>
        </w:tc>
        <w:tc>
          <w:tcPr>
            <w:tcW w:w="970" w:type="pct"/>
            <w:tcBorders>
              <w:top w:val="nil"/>
              <w:left w:val="nil"/>
              <w:bottom w:val="nil"/>
              <w:right w:val="nil"/>
            </w:tcBorders>
            <w:shd w:val="clear" w:color="auto" w:fill="auto"/>
            <w:vAlign w:val="center"/>
          </w:tcPr>
          <w:p w14:paraId="2F527FE5" w14:textId="2B03357E"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752.997</w:t>
            </w:r>
          </w:p>
        </w:tc>
        <w:tc>
          <w:tcPr>
            <w:tcW w:w="970" w:type="pct"/>
            <w:tcBorders>
              <w:top w:val="nil"/>
              <w:left w:val="nil"/>
              <w:bottom w:val="nil"/>
              <w:right w:val="nil"/>
            </w:tcBorders>
            <w:shd w:val="clear" w:color="auto" w:fill="auto"/>
            <w:noWrap/>
            <w:vAlign w:val="center"/>
            <w:hideMark/>
          </w:tcPr>
          <w:p w14:paraId="0B013BFA" w14:textId="794EF173" w:rsidR="00B9711C" w:rsidRPr="00FF4346" w:rsidRDefault="00B9711C" w:rsidP="00B9711C">
            <w:pPr>
              <w:ind w:firstLineChars="100" w:firstLine="180"/>
              <w:jc w:val="right"/>
              <w:rPr>
                <w:rFonts w:ascii="CAIXA Std Book" w:hAnsi="CAIXA Std Book" w:cs="Arial Unicode MS"/>
                <w:color w:val="005CA9"/>
                <w:sz w:val="18"/>
                <w:szCs w:val="18"/>
              </w:rPr>
            </w:pPr>
            <w:r w:rsidRPr="00FF4346">
              <w:rPr>
                <w:rFonts w:ascii="CAIXA Std Book" w:hAnsi="CAIXA Std Book" w:cs="Arial"/>
                <w:color w:val="005CA9"/>
                <w:sz w:val="18"/>
                <w:szCs w:val="18"/>
              </w:rPr>
              <w:t>832.418</w:t>
            </w:r>
          </w:p>
        </w:tc>
      </w:tr>
      <w:tr w:rsidR="00B9711C" w:rsidRPr="00A33766" w14:paraId="6C0A2458" w14:textId="77777777" w:rsidTr="00DC6CF2">
        <w:trPr>
          <w:trHeight w:val="283"/>
        </w:trPr>
        <w:tc>
          <w:tcPr>
            <w:tcW w:w="3060" w:type="pct"/>
            <w:tcBorders>
              <w:top w:val="nil"/>
              <w:left w:val="nil"/>
              <w:bottom w:val="nil"/>
              <w:right w:val="nil"/>
            </w:tcBorders>
            <w:shd w:val="clear" w:color="auto" w:fill="auto"/>
            <w:noWrap/>
            <w:vAlign w:val="center"/>
            <w:hideMark/>
          </w:tcPr>
          <w:p w14:paraId="00250982" w14:textId="77777777" w:rsidR="00B9711C" w:rsidRPr="00FF4346" w:rsidRDefault="00B9711C" w:rsidP="00B9711C">
            <w:pPr>
              <w:ind w:firstLineChars="100" w:firstLine="180"/>
              <w:rPr>
                <w:rFonts w:ascii="CAIXA Std Book" w:hAnsi="CAIXA Std Book"/>
                <w:color w:val="005CA9"/>
                <w:sz w:val="18"/>
                <w:szCs w:val="18"/>
              </w:rPr>
            </w:pPr>
            <w:r w:rsidRPr="00FF4346">
              <w:rPr>
                <w:rFonts w:ascii="CAIXA Std Book" w:hAnsi="CAIXA Std Book" w:cs="Arial"/>
                <w:color w:val="005CA9"/>
                <w:sz w:val="18"/>
                <w:szCs w:val="18"/>
              </w:rPr>
              <w:t>Recursos do FGTS</w:t>
            </w:r>
          </w:p>
        </w:tc>
        <w:tc>
          <w:tcPr>
            <w:tcW w:w="970" w:type="pct"/>
            <w:tcBorders>
              <w:top w:val="nil"/>
              <w:left w:val="nil"/>
              <w:bottom w:val="nil"/>
              <w:right w:val="nil"/>
            </w:tcBorders>
            <w:shd w:val="clear" w:color="auto" w:fill="auto"/>
            <w:vAlign w:val="center"/>
          </w:tcPr>
          <w:p w14:paraId="27EA80E4" w14:textId="3527F69F"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699.469</w:t>
            </w:r>
          </w:p>
        </w:tc>
        <w:tc>
          <w:tcPr>
            <w:tcW w:w="970" w:type="pct"/>
            <w:tcBorders>
              <w:top w:val="nil"/>
              <w:left w:val="nil"/>
              <w:bottom w:val="nil"/>
              <w:right w:val="nil"/>
            </w:tcBorders>
            <w:shd w:val="clear" w:color="auto" w:fill="auto"/>
            <w:noWrap/>
            <w:vAlign w:val="center"/>
            <w:hideMark/>
          </w:tcPr>
          <w:p w14:paraId="6A5F7B4D" w14:textId="47343E60" w:rsidR="00B9711C" w:rsidRPr="00FF4346" w:rsidRDefault="00B9711C" w:rsidP="00B9711C">
            <w:pPr>
              <w:jc w:val="right"/>
              <w:rPr>
                <w:rFonts w:ascii="CAIXA Std Book" w:hAnsi="CAIXA Std Book"/>
                <w:color w:val="005CA9"/>
                <w:sz w:val="18"/>
                <w:szCs w:val="18"/>
              </w:rPr>
            </w:pPr>
            <w:r w:rsidRPr="00FF4346">
              <w:rPr>
                <w:rFonts w:ascii="CAIXA Std Book" w:hAnsi="CAIXA Std Book" w:cs="Arial"/>
                <w:color w:val="005CA9"/>
                <w:sz w:val="18"/>
                <w:szCs w:val="18"/>
              </w:rPr>
              <w:t>815.405</w:t>
            </w:r>
          </w:p>
        </w:tc>
      </w:tr>
      <w:tr w:rsidR="00B9711C" w:rsidRPr="00A33766" w14:paraId="30BFA030" w14:textId="77777777" w:rsidTr="00DC6CF2">
        <w:trPr>
          <w:trHeight w:val="283"/>
        </w:trPr>
        <w:tc>
          <w:tcPr>
            <w:tcW w:w="3060" w:type="pct"/>
            <w:tcBorders>
              <w:top w:val="nil"/>
              <w:left w:val="nil"/>
              <w:bottom w:val="nil"/>
              <w:right w:val="nil"/>
            </w:tcBorders>
            <w:shd w:val="clear" w:color="auto" w:fill="auto"/>
            <w:noWrap/>
            <w:vAlign w:val="center"/>
          </w:tcPr>
          <w:p w14:paraId="1900C8DE" w14:textId="42B3A848" w:rsidR="00B9711C" w:rsidRPr="00FF4346" w:rsidRDefault="00B9711C" w:rsidP="00B9711C">
            <w:pPr>
              <w:ind w:firstLineChars="100" w:firstLine="180"/>
              <w:rPr>
                <w:rFonts w:ascii="CAIXA Std Book" w:hAnsi="CAIXA Std Book" w:cs="Arial"/>
                <w:color w:val="005CA9"/>
                <w:sz w:val="18"/>
                <w:szCs w:val="18"/>
              </w:rPr>
            </w:pPr>
            <w:r w:rsidRPr="00FF4346">
              <w:rPr>
                <w:rFonts w:ascii="CAIXA Std Book" w:hAnsi="CAIXA Std Book" w:cs="Arial"/>
                <w:color w:val="005CA9"/>
                <w:sz w:val="18"/>
                <w:szCs w:val="18"/>
              </w:rPr>
              <w:t>FIES</w:t>
            </w:r>
          </w:p>
        </w:tc>
        <w:tc>
          <w:tcPr>
            <w:tcW w:w="970" w:type="pct"/>
            <w:tcBorders>
              <w:top w:val="nil"/>
              <w:left w:val="nil"/>
              <w:bottom w:val="nil"/>
              <w:right w:val="nil"/>
            </w:tcBorders>
            <w:shd w:val="clear" w:color="auto" w:fill="auto"/>
            <w:vAlign w:val="center"/>
          </w:tcPr>
          <w:p w14:paraId="4E269EA0" w14:textId="592CEF0D"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529.401</w:t>
            </w:r>
          </w:p>
        </w:tc>
        <w:tc>
          <w:tcPr>
            <w:tcW w:w="970" w:type="pct"/>
            <w:tcBorders>
              <w:top w:val="nil"/>
              <w:left w:val="nil"/>
              <w:bottom w:val="nil"/>
              <w:right w:val="nil"/>
            </w:tcBorders>
            <w:shd w:val="clear" w:color="auto" w:fill="auto"/>
            <w:noWrap/>
            <w:vAlign w:val="center"/>
          </w:tcPr>
          <w:p w14:paraId="3AA03FE2" w14:textId="3D7A38BA" w:rsidR="00B9711C" w:rsidRPr="00FF4346" w:rsidRDefault="00B9711C" w:rsidP="00B9711C">
            <w:pPr>
              <w:jc w:val="right"/>
              <w:rPr>
                <w:rFonts w:ascii="CAIXA Std Book" w:hAnsi="CAIXA Std Book" w:cs="Arial"/>
                <w:color w:val="005CA9"/>
                <w:sz w:val="18"/>
                <w:szCs w:val="18"/>
              </w:rPr>
            </w:pPr>
            <w:r w:rsidRPr="00FF4346">
              <w:rPr>
                <w:rFonts w:ascii="CAIXA Std Book" w:hAnsi="CAIXA Std Book" w:cs="Arial"/>
                <w:color w:val="005CA9"/>
                <w:sz w:val="18"/>
                <w:szCs w:val="18"/>
              </w:rPr>
              <w:t>654.482</w:t>
            </w:r>
          </w:p>
        </w:tc>
      </w:tr>
      <w:tr w:rsidR="00B9711C" w:rsidRPr="00A33766" w14:paraId="00718FFE" w14:textId="77777777" w:rsidTr="00DC6CF2">
        <w:trPr>
          <w:trHeight w:val="283"/>
        </w:trPr>
        <w:tc>
          <w:tcPr>
            <w:tcW w:w="3060" w:type="pct"/>
            <w:tcBorders>
              <w:top w:val="nil"/>
              <w:left w:val="nil"/>
              <w:bottom w:val="nil"/>
              <w:right w:val="nil"/>
            </w:tcBorders>
            <w:shd w:val="clear" w:color="auto" w:fill="auto"/>
            <w:noWrap/>
            <w:vAlign w:val="center"/>
          </w:tcPr>
          <w:p w14:paraId="69A4485A" w14:textId="222F2257" w:rsidR="00B9711C" w:rsidRPr="00FF4346" w:rsidRDefault="00B9711C" w:rsidP="00B9711C">
            <w:pPr>
              <w:ind w:firstLineChars="100" w:firstLine="180"/>
              <w:rPr>
                <w:rFonts w:ascii="CAIXA Std Book" w:hAnsi="CAIXA Std Book" w:cs="Arial"/>
                <w:color w:val="005CA9"/>
                <w:sz w:val="18"/>
                <w:szCs w:val="18"/>
              </w:rPr>
            </w:pPr>
            <w:r w:rsidRPr="00FF4346">
              <w:rPr>
                <w:rFonts w:ascii="CAIXA Std Book" w:hAnsi="CAIXA Std Book" w:cs="Arial"/>
                <w:color w:val="005CA9"/>
                <w:sz w:val="18"/>
                <w:szCs w:val="18"/>
              </w:rPr>
              <w:t>Outros fundos e programas</w:t>
            </w:r>
          </w:p>
        </w:tc>
        <w:tc>
          <w:tcPr>
            <w:tcW w:w="970" w:type="pct"/>
            <w:tcBorders>
              <w:top w:val="nil"/>
              <w:left w:val="nil"/>
              <w:bottom w:val="nil"/>
              <w:right w:val="nil"/>
            </w:tcBorders>
            <w:shd w:val="clear" w:color="auto" w:fill="auto"/>
            <w:vAlign w:val="center"/>
          </w:tcPr>
          <w:p w14:paraId="5E789F0D" w14:textId="2BDBB5E4"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277.876</w:t>
            </w:r>
          </w:p>
        </w:tc>
        <w:tc>
          <w:tcPr>
            <w:tcW w:w="970" w:type="pct"/>
            <w:tcBorders>
              <w:top w:val="nil"/>
              <w:left w:val="nil"/>
              <w:bottom w:val="nil"/>
              <w:right w:val="nil"/>
            </w:tcBorders>
            <w:shd w:val="clear" w:color="auto" w:fill="auto"/>
            <w:noWrap/>
            <w:vAlign w:val="center"/>
          </w:tcPr>
          <w:p w14:paraId="547AA750" w14:textId="4C022272" w:rsidR="00B9711C" w:rsidRPr="00FF4346" w:rsidRDefault="00B9711C" w:rsidP="00B9711C">
            <w:pPr>
              <w:jc w:val="right"/>
              <w:rPr>
                <w:rFonts w:ascii="CAIXA Std Book" w:hAnsi="CAIXA Std Book" w:cs="Arial"/>
                <w:color w:val="005CA9"/>
                <w:sz w:val="18"/>
                <w:szCs w:val="18"/>
              </w:rPr>
            </w:pPr>
            <w:r w:rsidRPr="00FF4346">
              <w:rPr>
                <w:rFonts w:ascii="CAIXA Std Book" w:hAnsi="CAIXA Std Book" w:cs="Arial"/>
                <w:color w:val="005CA9"/>
                <w:sz w:val="18"/>
                <w:szCs w:val="18"/>
              </w:rPr>
              <w:t>278.169</w:t>
            </w:r>
          </w:p>
        </w:tc>
      </w:tr>
      <w:tr w:rsidR="00B9711C" w:rsidRPr="00A33766" w14:paraId="5EB6606E" w14:textId="77777777" w:rsidTr="00DC6CF2">
        <w:trPr>
          <w:trHeight w:val="283"/>
        </w:trPr>
        <w:tc>
          <w:tcPr>
            <w:tcW w:w="3060" w:type="pct"/>
            <w:tcBorders>
              <w:top w:val="nil"/>
              <w:left w:val="nil"/>
              <w:bottom w:val="nil"/>
              <w:right w:val="nil"/>
            </w:tcBorders>
            <w:shd w:val="clear" w:color="auto" w:fill="auto"/>
            <w:noWrap/>
            <w:vAlign w:val="center"/>
            <w:hideMark/>
          </w:tcPr>
          <w:p w14:paraId="45CBDBCE" w14:textId="5241BA7A" w:rsidR="00B9711C" w:rsidRPr="00FF4346" w:rsidRDefault="00B9711C" w:rsidP="00B9711C">
            <w:pPr>
              <w:rPr>
                <w:rFonts w:ascii="CAIXA Std Book" w:hAnsi="CAIXA Std Book"/>
                <w:b/>
                <w:color w:val="005CA9"/>
                <w:sz w:val="18"/>
                <w:szCs w:val="18"/>
              </w:rPr>
            </w:pPr>
            <w:r w:rsidRPr="00FF4346">
              <w:rPr>
                <w:rFonts w:ascii="CAIXA Std Book" w:hAnsi="CAIXA Std Book" w:cs="Arial"/>
                <w:b/>
                <w:color w:val="005CA9"/>
                <w:sz w:val="18"/>
                <w:szCs w:val="18"/>
              </w:rPr>
              <w:t>Fundos financeiros e de desenvolvimento</w:t>
            </w:r>
          </w:p>
        </w:tc>
        <w:tc>
          <w:tcPr>
            <w:tcW w:w="970" w:type="pct"/>
            <w:tcBorders>
              <w:top w:val="nil"/>
              <w:left w:val="nil"/>
              <w:bottom w:val="nil"/>
              <w:right w:val="nil"/>
            </w:tcBorders>
            <w:shd w:val="clear" w:color="auto" w:fill="auto"/>
            <w:vAlign w:val="center"/>
          </w:tcPr>
          <w:p w14:paraId="38BC584F" w14:textId="26DDC272" w:rsidR="00B9711C" w:rsidRPr="00FF4346" w:rsidRDefault="00B9711C" w:rsidP="00B9711C">
            <w:pPr>
              <w:ind w:firstLineChars="100" w:firstLine="177"/>
              <w:jc w:val="right"/>
              <w:rPr>
                <w:rFonts w:ascii="CAIXA Std Book" w:hAnsi="CAIXA Std Book" w:cs="Arial"/>
                <w:b/>
                <w:bCs/>
                <w:color w:val="005CA9"/>
                <w:sz w:val="18"/>
                <w:szCs w:val="18"/>
              </w:rPr>
            </w:pPr>
            <w:r w:rsidRPr="00B9711C">
              <w:rPr>
                <w:rFonts w:ascii="CAIXA Std Book" w:hAnsi="CAIXA Std Book" w:cs="Arial"/>
                <w:b/>
                <w:bCs/>
                <w:color w:val="005CA9"/>
                <w:sz w:val="18"/>
                <w:szCs w:val="18"/>
              </w:rPr>
              <w:t>949.141</w:t>
            </w:r>
          </w:p>
        </w:tc>
        <w:tc>
          <w:tcPr>
            <w:tcW w:w="970" w:type="pct"/>
            <w:tcBorders>
              <w:top w:val="nil"/>
              <w:left w:val="nil"/>
              <w:bottom w:val="nil"/>
              <w:right w:val="nil"/>
            </w:tcBorders>
            <w:shd w:val="clear" w:color="auto" w:fill="auto"/>
            <w:vAlign w:val="center"/>
            <w:hideMark/>
          </w:tcPr>
          <w:p w14:paraId="2C94ACD0" w14:textId="07171EB1" w:rsidR="00B9711C" w:rsidRPr="00FF4346" w:rsidRDefault="00B9711C" w:rsidP="00B9711C">
            <w:pPr>
              <w:ind w:firstLineChars="100" w:firstLine="177"/>
              <w:jc w:val="right"/>
              <w:rPr>
                <w:rFonts w:ascii="CAIXA Std Book" w:hAnsi="CAIXA Std Book"/>
                <w:b/>
                <w:color w:val="005CA9"/>
                <w:sz w:val="18"/>
                <w:szCs w:val="18"/>
              </w:rPr>
            </w:pPr>
            <w:r w:rsidRPr="00FF4346">
              <w:rPr>
                <w:rFonts w:ascii="CAIXA Std Book" w:hAnsi="CAIXA Std Book" w:cs="Arial"/>
                <w:b/>
                <w:bCs/>
                <w:color w:val="005CA9"/>
                <w:sz w:val="18"/>
                <w:szCs w:val="18"/>
              </w:rPr>
              <w:t>982.484</w:t>
            </w:r>
          </w:p>
        </w:tc>
      </w:tr>
      <w:tr w:rsidR="00B9711C" w:rsidRPr="00A33766" w14:paraId="3637E731" w14:textId="77777777" w:rsidTr="00DC6CF2">
        <w:trPr>
          <w:trHeight w:val="283"/>
        </w:trPr>
        <w:tc>
          <w:tcPr>
            <w:tcW w:w="3060" w:type="pct"/>
            <w:tcBorders>
              <w:top w:val="nil"/>
              <w:left w:val="nil"/>
              <w:bottom w:val="nil"/>
              <w:right w:val="nil"/>
            </w:tcBorders>
            <w:shd w:val="clear" w:color="auto" w:fill="auto"/>
            <w:noWrap/>
            <w:vAlign w:val="center"/>
            <w:hideMark/>
          </w:tcPr>
          <w:p w14:paraId="5A1CD7C5" w14:textId="77777777" w:rsidR="00B9711C" w:rsidRPr="00FF4346" w:rsidRDefault="00B9711C" w:rsidP="00B9711C">
            <w:pPr>
              <w:ind w:firstLineChars="100" w:firstLine="180"/>
              <w:rPr>
                <w:rFonts w:ascii="CAIXA Std Book" w:hAnsi="CAIXA Std Book"/>
                <w:color w:val="005CA9"/>
                <w:sz w:val="18"/>
                <w:szCs w:val="18"/>
              </w:rPr>
            </w:pPr>
            <w:r w:rsidRPr="00FF4346">
              <w:rPr>
                <w:rFonts w:ascii="CAIXA Std Book" w:hAnsi="CAIXA Std Book" w:cs="Arial"/>
                <w:color w:val="005CA9"/>
                <w:sz w:val="18"/>
                <w:szCs w:val="18"/>
              </w:rPr>
              <w:t>FAT</w:t>
            </w:r>
          </w:p>
        </w:tc>
        <w:tc>
          <w:tcPr>
            <w:tcW w:w="970" w:type="pct"/>
            <w:tcBorders>
              <w:top w:val="nil"/>
              <w:left w:val="nil"/>
              <w:bottom w:val="nil"/>
              <w:right w:val="nil"/>
            </w:tcBorders>
            <w:shd w:val="clear" w:color="auto" w:fill="auto"/>
            <w:vAlign w:val="center"/>
          </w:tcPr>
          <w:p w14:paraId="1F8E838D" w14:textId="2479685B" w:rsidR="00B9711C" w:rsidRPr="00B9711C" w:rsidRDefault="00B9711C" w:rsidP="00B9711C">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947.660</w:t>
            </w:r>
          </w:p>
        </w:tc>
        <w:tc>
          <w:tcPr>
            <w:tcW w:w="970" w:type="pct"/>
            <w:tcBorders>
              <w:top w:val="nil"/>
              <w:left w:val="nil"/>
              <w:bottom w:val="nil"/>
              <w:right w:val="nil"/>
            </w:tcBorders>
            <w:shd w:val="clear" w:color="auto" w:fill="auto"/>
            <w:noWrap/>
            <w:vAlign w:val="center"/>
            <w:hideMark/>
          </w:tcPr>
          <w:p w14:paraId="395969AD" w14:textId="4F74C3BB" w:rsidR="00B9711C" w:rsidRPr="00FF4346" w:rsidRDefault="00B9711C" w:rsidP="00B9711C">
            <w:pPr>
              <w:jc w:val="right"/>
              <w:rPr>
                <w:rFonts w:ascii="CAIXA Std Book" w:hAnsi="CAIXA Std Book"/>
                <w:color w:val="005CA9"/>
                <w:sz w:val="18"/>
                <w:szCs w:val="18"/>
              </w:rPr>
            </w:pPr>
            <w:r w:rsidRPr="00FF4346">
              <w:rPr>
                <w:rFonts w:ascii="CAIXA Std Book" w:hAnsi="CAIXA Std Book" w:cs="Arial"/>
                <w:color w:val="005CA9"/>
                <w:sz w:val="18"/>
                <w:szCs w:val="18"/>
              </w:rPr>
              <w:t>981.003</w:t>
            </w:r>
          </w:p>
        </w:tc>
      </w:tr>
      <w:tr w:rsidR="00424BE7" w:rsidRPr="00A33766" w14:paraId="241D0F3F" w14:textId="77777777" w:rsidTr="00DC6CF2">
        <w:trPr>
          <w:trHeight w:val="283"/>
        </w:trPr>
        <w:tc>
          <w:tcPr>
            <w:tcW w:w="3060" w:type="pct"/>
            <w:tcBorders>
              <w:top w:val="nil"/>
              <w:left w:val="nil"/>
              <w:bottom w:val="nil"/>
              <w:right w:val="nil"/>
            </w:tcBorders>
            <w:shd w:val="clear" w:color="auto" w:fill="auto"/>
            <w:noWrap/>
            <w:vAlign w:val="center"/>
            <w:hideMark/>
          </w:tcPr>
          <w:p w14:paraId="19AD185F" w14:textId="668EF56C" w:rsidR="00424BE7" w:rsidRPr="00FF4346" w:rsidRDefault="006D2E86" w:rsidP="00B9711C">
            <w:pPr>
              <w:ind w:firstLineChars="100" w:firstLine="180"/>
              <w:rPr>
                <w:rFonts w:ascii="CAIXA Std Book" w:hAnsi="CAIXA Std Book"/>
                <w:color w:val="005CA9"/>
                <w:sz w:val="18"/>
                <w:szCs w:val="18"/>
              </w:rPr>
            </w:pPr>
            <w:r>
              <w:rPr>
                <w:rFonts w:ascii="CAIXA Std Book" w:hAnsi="CAIXA Std Book" w:cs="Arial"/>
                <w:color w:val="005CA9"/>
                <w:sz w:val="18"/>
                <w:szCs w:val="18"/>
              </w:rPr>
              <w:t>FINSOCIAL</w:t>
            </w:r>
          </w:p>
        </w:tc>
        <w:tc>
          <w:tcPr>
            <w:tcW w:w="970" w:type="pct"/>
            <w:tcBorders>
              <w:top w:val="nil"/>
              <w:left w:val="nil"/>
              <w:bottom w:val="nil"/>
              <w:right w:val="nil"/>
            </w:tcBorders>
            <w:shd w:val="clear" w:color="auto" w:fill="auto"/>
            <w:vAlign w:val="center"/>
          </w:tcPr>
          <w:p w14:paraId="208CB8A0" w14:textId="5F8C69A8" w:rsidR="00424BE7" w:rsidRPr="00B9711C" w:rsidRDefault="00B9711C" w:rsidP="00DC6CF2">
            <w:pPr>
              <w:ind w:firstLineChars="100" w:firstLine="180"/>
              <w:jc w:val="right"/>
              <w:rPr>
                <w:rFonts w:ascii="CAIXA Std Book" w:hAnsi="CAIXA Std Book" w:cs="Arial"/>
                <w:color w:val="005CA9"/>
                <w:sz w:val="18"/>
                <w:szCs w:val="18"/>
              </w:rPr>
            </w:pPr>
            <w:r w:rsidRPr="00B9711C">
              <w:rPr>
                <w:rFonts w:ascii="CAIXA Std Book" w:hAnsi="CAIXA Std Book" w:cs="Arial"/>
                <w:color w:val="005CA9"/>
                <w:sz w:val="18"/>
                <w:szCs w:val="18"/>
              </w:rPr>
              <w:t>1.481</w:t>
            </w:r>
          </w:p>
        </w:tc>
        <w:tc>
          <w:tcPr>
            <w:tcW w:w="970" w:type="pct"/>
            <w:tcBorders>
              <w:top w:val="nil"/>
              <w:left w:val="nil"/>
              <w:bottom w:val="nil"/>
              <w:right w:val="nil"/>
            </w:tcBorders>
            <w:shd w:val="clear" w:color="auto" w:fill="auto"/>
            <w:noWrap/>
            <w:hideMark/>
          </w:tcPr>
          <w:p w14:paraId="519389DF" w14:textId="1F7F278F" w:rsidR="00424BE7" w:rsidRPr="00FF4346" w:rsidRDefault="00424BE7" w:rsidP="003523DD">
            <w:pPr>
              <w:jc w:val="right"/>
              <w:rPr>
                <w:rFonts w:ascii="CAIXA Std Book" w:hAnsi="CAIXA Std Book"/>
                <w:color w:val="005CA9"/>
                <w:sz w:val="18"/>
                <w:szCs w:val="18"/>
              </w:rPr>
            </w:pPr>
            <w:r w:rsidRPr="00FF4346">
              <w:rPr>
                <w:rFonts w:ascii="CAIXA Std Book" w:hAnsi="CAIXA Std Book" w:cs="Arial"/>
                <w:color w:val="005CA9"/>
                <w:sz w:val="18"/>
                <w:szCs w:val="18"/>
              </w:rPr>
              <w:t>1.</w:t>
            </w:r>
            <w:r w:rsidR="00C072D2" w:rsidRPr="00FF4346">
              <w:rPr>
                <w:rFonts w:ascii="CAIXA Std Book" w:hAnsi="CAIXA Std Book" w:cs="Arial"/>
                <w:color w:val="005CA9"/>
                <w:sz w:val="18"/>
                <w:szCs w:val="18"/>
              </w:rPr>
              <w:t>481</w:t>
            </w:r>
          </w:p>
        </w:tc>
      </w:tr>
      <w:tr w:rsidR="00697655" w:rsidRPr="00A33766" w14:paraId="048C9497" w14:textId="77777777" w:rsidTr="00DC6CF2">
        <w:trPr>
          <w:trHeight w:val="283"/>
        </w:trPr>
        <w:tc>
          <w:tcPr>
            <w:tcW w:w="3060" w:type="pct"/>
            <w:tcBorders>
              <w:top w:val="nil"/>
              <w:left w:val="nil"/>
              <w:bottom w:val="single" w:sz="4" w:space="0" w:color="F39200"/>
              <w:right w:val="nil"/>
            </w:tcBorders>
            <w:shd w:val="clear" w:color="auto" w:fill="auto"/>
            <w:noWrap/>
            <w:vAlign w:val="center"/>
            <w:hideMark/>
          </w:tcPr>
          <w:p w14:paraId="2E92C1CA" w14:textId="791D07B3" w:rsidR="00697655" w:rsidRPr="00FF4346" w:rsidRDefault="00697655" w:rsidP="00697655">
            <w:pPr>
              <w:rPr>
                <w:rFonts w:ascii="CAIXA Std Book" w:hAnsi="CAIXA Std Book"/>
                <w:b/>
                <w:color w:val="005CA9"/>
                <w:sz w:val="18"/>
                <w:szCs w:val="18"/>
              </w:rPr>
            </w:pPr>
            <w:r w:rsidRPr="00FF4346">
              <w:rPr>
                <w:rFonts w:ascii="CAIXA Std Book" w:hAnsi="CAIXA Std Book" w:cs="Arial"/>
                <w:b/>
                <w:color w:val="005CA9"/>
                <w:sz w:val="18"/>
                <w:szCs w:val="18"/>
              </w:rPr>
              <w:t>Operações com loterias</w:t>
            </w:r>
          </w:p>
        </w:tc>
        <w:tc>
          <w:tcPr>
            <w:tcW w:w="970" w:type="pct"/>
            <w:tcBorders>
              <w:top w:val="nil"/>
              <w:left w:val="nil"/>
              <w:bottom w:val="single" w:sz="4" w:space="0" w:color="F39200"/>
              <w:right w:val="nil"/>
            </w:tcBorders>
            <w:shd w:val="clear" w:color="auto" w:fill="auto"/>
            <w:vAlign w:val="center"/>
          </w:tcPr>
          <w:p w14:paraId="4F2127B1" w14:textId="5121EAFC" w:rsidR="00697655" w:rsidRPr="00697655" w:rsidRDefault="00697655" w:rsidP="00697655">
            <w:pPr>
              <w:ind w:firstLineChars="100" w:firstLine="177"/>
              <w:jc w:val="right"/>
              <w:rPr>
                <w:rFonts w:ascii="CAIXA Std Book" w:hAnsi="CAIXA Std Book" w:cs="Arial"/>
                <w:b/>
                <w:bCs/>
                <w:color w:val="005CA9"/>
                <w:sz w:val="18"/>
                <w:szCs w:val="18"/>
              </w:rPr>
            </w:pPr>
            <w:r w:rsidRPr="00697655">
              <w:rPr>
                <w:rFonts w:ascii="CAIXA Std Book" w:hAnsi="CAIXA Std Book" w:cs="Arial"/>
                <w:b/>
                <w:bCs/>
                <w:color w:val="005CA9"/>
                <w:sz w:val="18"/>
                <w:szCs w:val="18"/>
              </w:rPr>
              <w:t>1.933.540</w:t>
            </w:r>
          </w:p>
        </w:tc>
        <w:tc>
          <w:tcPr>
            <w:tcW w:w="970" w:type="pct"/>
            <w:tcBorders>
              <w:top w:val="nil"/>
              <w:left w:val="nil"/>
              <w:bottom w:val="single" w:sz="4" w:space="0" w:color="F39200"/>
              <w:right w:val="nil"/>
            </w:tcBorders>
            <w:shd w:val="clear" w:color="auto" w:fill="auto"/>
            <w:noWrap/>
            <w:vAlign w:val="center"/>
            <w:hideMark/>
          </w:tcPr>
          <w:p w14:paraId="45FC8BD0" w14:textId="2AE0F4AE" w:rsidR="00697655" w:rsidRPr="00FF4346" w:rsidRDefault="00697655" w:rsidP="00697655">
            <w:pPr>
              <w:ind w:firstLineChars="100" w:firstLine="177"/>
              <w:jc w:val="right"/>
              <w:rPr>
                <w:rFonts w:ascii="CAIXA Std Book" w:hAnsi="CAIXA Std Book"/>
                <w:b/>
                <w:color w:val="005CA9"/>
                <w:sz w:val="18"/>
                <w:szCs w:val="18"/>
              </w:rPr>
            </w:pPr>
            <w:r w:rsidRPr="00FF4346">
              <w:rPr>
                <w:rFonts w:ascii="CAIXA Std Book" w:hAnsi="CAIXA Std Book" w:cs="Arial"/>
                <w:b/>
                <w:bCs/>
                <w:color w:val="005CA9"/>
                <w:sz w:val="18"/>
                <w:szCs w:val="18"/>
              </w:rPr>
              <w:t>3.388.242</w:t>
            </w:r>
          </w:p>
        </w:tc>
      </w:tr>
      <w:tr w:rsidR="00697655" w:rsidRPr="00A33766" w14:paraId="60678F7D" w14:textId="77777777" w:rsidTr="00DC6CF2">
        <w:trPr>
          <w:trHeight w:val="283"/>
        </w:trPr>
        <w:tc>
          <w:tcPr>
            <w:tcW w:w="3060" w:type="pct"/>
            <w:tcBorders>
              <w:top w:val="nil"/>
              <w:left w:val="nil"/>
              <w:bottom w:val="single" w:sz="4" w:space="0" w:color="F39200"/>
              <w:right w:val="nil"/>
            </w:tcBorders>
            <w:shd w:val="clear" w:color="auto" w:fill="auto"/>
            <w:noWrap/>
            <w:vAlign w:val="center"/>
            <w:hideMark/>
          </w:tcPr>
          <w:p w14:paraId="202D1928" w14:textId="77777777" w:rsidR="00697655" w:rsidRPr="00FF4346" w:rsidRDefault="00697655" w:rsidP="00697655">
            <w:pPr>
              <w:rPr>
                <w:rFonts w:ascii="CAIXA Std Book" w:hAnsi="CAIXA Std Book"/>
                <w:b/>
                <w:color w:val="005CA9"/>
                <w:sz w:val="18"/>
                <w:szCs w:val="18"/>
              </w:rPr>
            </w:pPr>
            <w:r w:rsidRPr="00FF4346">
              <w:rPr>
                <w:rFonts w:ascii="CAIXA Std Book" w:hAnsi="CAIXA Std Book"/>
                <w:b/>
                <w:color w:val="005CA9"/>
                <w:sz w:val="18"/>
                <w:szCs w:val="18"/>
              </w:rPr>
              <w:t xml:space="preserve">Total </w:t>
            </w:r>
          </w:p>
        </w:tc>
        <w:tc>
          <w:tcPr>
            <w:tcW w:w="970" w:type="pct"/>
            <w:tcBorders>
              <w:top w:val="nil"/>
              <w:left w:val="nil"/>
              <w:bottom w:val="single" w:sz="4" w:space="0" w:color="F39200"/>
              <w:right w:val="nil"/>
            </w:tcBorders>
            <w:shd w:val="clear" w:color="auto" w:fill="auto"/>
            <w:vAlign w:val="center"/>
          </w:tcPr>
          <w:p w14:paraId="7D2AE520" w14:textId="1D40AC80" w:rsidR="00697655" w:rsidRPr="00FF4346" w:rsidRDefault="00697655" w:rsidP="00697655">
            <w:pPr>
              <w:ind w:firstLineChars="100" w:firstLine="177"/>
              <w:jc w:val="right"/>
              <w:rPr>
                <w:rFonts w:ascii="CAIXA Std Book" w:hAnsi="CAIXA Std Book" w:cs="Arial"/>
                <w:b/>
                <w:bCs/>
                <w:color w:val="005CA9"/>
                <w:sz w:val="18"/>
                <w:szCs w:val="18"/>
              </w:rPr>
            </w:pPr>
            <w:r w:rsidRPr="00697655">
              <w:rPr>
                <w:rFonts w:ascii="CAIXA Std Book" w:hAnsi="CAIXA Std Book" w:cs="Arial"/>
                <w:b/>
                <w:bCs/>
                <w:color w:val="005CA9"/>
                <w:sz w:val="18"/>
                <w:szCs w:val="18"/>
              </w:rPr>
              <w:t>18.835.727</w:t>
            </w:r>
          </w:p>
        </w:tc>
        <w:tc>
          <w:tcPr>
            <w:tcW w:w="970" w:type="pct"/>
            <w:tcBorders>
              <w:top w:val="nil"/>
              <w:left w:val="nil"/>
              <w:bottom w:val="single" w:sz="4" w:space="0" w:color="F39200"/>
              <w:right w:val="nil"/>
            </w:tcBorders>
            <w:shd w:val="clear" w:color="auto" w:fill="auto"/>
            <w:noWrap/>
            <w:vAlign w:val="center"/>
            <w:hideMark/>
          </w:tcPr>
          <w:p w14:paraId="71A4F568" w14:textId="081948EF" w:rsidR="00697655" w:rsidRPr="00FF4346" w:rsidRDefault="00697655" w:rsidP="00697655">
            <w:pPr>
              <w:ind w:firstLineChars="100" w:firstLine="177"/>
              <w:jc w:val="right"/>
              <w:rPr>
                <w:rFonts w:ascii="CAIXA Std Book" w:hAnsi="CAIXA Std Book"/>
                <w:b/>
                <w:color w:val="005CA9"/>
                <w:sz w:val="18"/>
                <w:szCs w:val="18"/>
              </w:rPr>
            </w:pPr>
            <w:r w:rsidRPr="00FF4346">
              <w:rPr>
                <w:rFonts w:ascii="CAIXA Std Book" w:hAnsi="CAIXA Std Book" w:cs="Arial"/>
                <w:b/>
                <w:bCs/>
                <w:color w:val="005CA9"/>
                <w:sz w:val="18"/>
                <w:szCs w:val="18"/>
              </w:rPr>
              <w:t>19.953.147</w:t>
            </w:r>
          </w:p>
        </w:tc>
      </w:tr>
    </w:tbl>
    <w:p w14:paraId="2421F3FD" w14:textId="761B9E26" w:rsidR="00E46B65" w:rsidRPr="00FF4346" w:rsidRDefault="005112A1" w:rsidP="00A7297C">
      <w:pPr>
        <w:ind w:right="-2"/>
        <w:jc w:val="both"/>
        <w:rPr>
          <w:rFonts w:ascii="CAIXA Std Book" w:hAnsi="CAIXA Std Book"/>
          <w:color w:val="005CA9"/>
          <w:sz w:val="16"/>
          <w:szCs w:val="16"/>
        </w:rPr>
      </w:pPr>
      <w:bookmarkStart w:id="89" w:name="_Hlk71209247"/>
      <w:bookmarkStart w:id="90" w:name="_Hlk65762307"/>
      <w:r w:rsidRPr="00275DC7">
        <w:rPr>
          <w:rFonts w:ascii="CAIXA Std Book" w:hAnsi="CAIXA Std Book"/>
          <w:color w:val="005CA9"/>
          <w:sz w:val="16"/>
          <w:szCs w:val="16"/>
        </w:rPr>
        <w:t xml:space="preserve">(1) </w:t>
      </w:r>
      <w:r w:rsidR="006C0206" w:rsidRPr="00275DC7">
        <w:rPr>
          <w:rFonts w:ascii="CAIXA Std Book" w:hAnsi="CAIXA Std Book"/>
          <w:color w:val="005CA9"/>
          <w:sz w:val="16"/>
          <w:szCs w:val="16"/>
        </w:rPr>
        <w:t xml:space="preserve">Inclui o saldo em </w:t>
      </w:r>
      <w:r w:rsidR="009403C6" w:rsidRPr="00275DC7">
        <w:rPr>
          <w:rFonts w:ascii="CAIXA Std Book" w:hAnsi="CAIXA Std Book"/>
          <w:color w:val="005CA9"/>
          <w:sz w:val="16"/>
          <w:szCs w:val="16"/>
        </w:rPr>
        <w:t>31/</w:t>
      </w:r>
      <w:r w:rsidR="00971291" w:rsidRPr="00275DC7">
        <w:rPr>
          <w:rFonts w:ascii="CAIXA Std Book" w:hAnsi="CAIXA Std Book"/>
          <w:color w:val="005CA9"/>
          <w:sz w:val="16"/>
          <w:szCs w:val="16"/>
        </w:rPr>
        <w:t>03/2024</w:t>
      </w:r>
      <w:r w:rsidR="006C0206" w:rsidRPr="00275DC7">
        <w:rPr>
          <w:rFonts w:ascii="CAIXA Std Book" w:hAnsi="CAIXA Std Book"/>
          <w:color w:val="005CA9"/>
          <w:sz w:val="16"/>
          <w:szCs w:val="16"/>
        </w:rPr>
        <w:t xml:space="preserve"> referente aos recursos destinados ao pagamento do </w:t>
      </w:r>
      <w:r w:rsidR="000754B4" w:rsidRPr="00275DC7">
        <w:rPr>
          <w:rFonts w:ascii="CAIXA Std Book" w:hAnsi="CAIXA Std Book"/>
          <w:color w:val="005CA9"/>
          <w:sz w:val="16"/>
          <w:szCs w:val="16"/>
        </w:rPr>
        <w:t>Novo</w:t>
      </w:r>
      <w:r w:rsidR="006C0206" w:rsidRPr="00275DC7">
        <w:rPr>
          <w:rFonts w:ascii="CAIXA Std Book" w:hAnsi="CAIXA Std Book"/>
          <w:color w:val="005CA9"/>
          <w:sz w:val="16"/>
          <w:szCs w:val="16"/>
        </w:rPr>
        <w:t xml:space="preserve"> </w:t>
      </w:r>
      <w:r w:rsidR="005339B0" w:rsidRPr="00275DC7">
        <w:rPr>
          <w:rFonts w:ascii="CAIXA Std Book" w:hAnsi="CAIXA Std Book"/>
          <w:color w:val="005CA9"/>
          <w:sz w:val="16"/>
          <w:szCs w:val="16"/>
        </w:rPr>
        <w:t>Bolsa Família</w:t>
      </w:r>
      <w:r w:rsidR="006C0206" w:rsidRPr="00275DC7">
        <w:rPr>
          <w:rFonts w:ascii="CAIXA Std Book" w:hAnsi="CAIXA Std Book"/>
          <w:color w:val="005CA9"/>
          <w:sz w:val="16"/>
          <w:szCs w:val="16"/>
        </w:rPr>
        <w:t xml:space="preserve"> no montante de R$</w:t>
      </w:r>
      <w:r w:rsidR="009403C6" w:rsidRPr="00275DC7">
        <w:rPr>
          <w:rFonts w:ascii="CAIXA Std Book" w:hAnsi="CAIXA Std Book"/>
          <w:color w:val="005CA9"/>
          <w:sz w:val="16"/>
          <w:szCs w:val="16"/>
        </w:rPr>
        <w:t xml:space="preserve"> </w:t>
      </w:r>
      <w:proofErr w:type="gramStart"/>
      <w:r w:rsidR="008F535F" w:rsidRPr="00275DC7">
        <w:rPr>
          <w:rFonts w:ascii="CAIXA Std Book" w:hAnsi="CAIXA Std Book"/>
          <w:color w:val="005CA9"/>
          <w:sz w:val="16"/>
          <w:szCs w:val="16"/>
        </w:rPr>
        <w:t xml:space="preserve">1.150.075 </w:t>
      </w:r>
      <w:r w:rsidR="006C0206" w:rsidRPr="00275DC7">
        <w:rPr>
          <w:rFonts w:ascii="CAIXA Std Book" w:hAnsi="CAIXA Std Book"/>
          <w:color w:val="005CA9"/>
          <w:sz w:val="16"/>
          <w:szCs w:val="16"/>
        </w:rPr>
        <w:t xml:space="preserve"> (</w:t>
      </w:r>
      <w:proofErr w:type="gramEnd"/>
      <w:r w:rsidR="006C0206" w:rsidRPr="00275DC7">
        <w:rPr>
          <w:rFonts w:ascii="CAIXA Std Book" w:hAnsi="CAIXA Std Book"/>
          <w:color w:val="005CA9"/>
          <w:sz w:val="16"/>
          <w:szCs w:val="16"/>
        </w:rPr>
        <w:t>31/12/202</w:t>
      </w:r>
      <w:r w:rsidR="00080C1E" w:rsidRPr="00275DC7">
        <w:rPr>
          <w:rFonts w:ascii="CAIXA Std Book" w:hAnsi="CAIXA Std Book"/>
          <w:color w:val="005CA9"/>
          <w:sz w:val="16"/>
          <w:szCs w:val="16"/>
        </w:rPr>
        <w:t>3</w:t>
      </w:r>
      <w:r w:rsidR="006C0206" w:rsidRPr="00275DC7">
        <w:rPr>
          <w:rFonts w:ascii="CAIXA Std Book" w:hAnsi="CAIXA Std Book"/>
          <w:color w:val="005CA9"/>
          <w:sz w:val="16"/>
          <w:szCs w:val="16"/>
        </w:rPr>
        <w:t xml:space="preserve"> – R$ </w:t>
      </w:r>
      <w:bookmarkEnd w:id="89"/>
      <w:r w:rsidR="00080C1E" w:rsidRPr="00275DC7">
        <w:rPr>
          <w:rFonts w:ascii="CAIXA Std Book" w:hAnsi="CAIXA Std Book"/>
          <w:color w:val="005CA9"/>
          <w:sz w:val="16"/>
          <w:szCs w:val="16"/>
        </w:rPr>
        <w:t>852.</w:t>
      </w:r>
      <w:r w:rsidR="00971291" w:rsidRPr="00275DC7">
        <w:rPr>
          <w:rFonts w:ascii="CAIXA Std Book" w:hAnsi="CAIXA Std Book"/>
          <w:color w:val="005CA9"/>
          <w:sz w:val="16"/>
          <w:szCs w:val="16"/>
        </w:rPr>
        <w:t>963</w:t>
      </w:r>
      <w:r w:rsidR="006C0206" w:rsidRPr="00275DC7">
        <w:rPr>
          <w:rFonts w:ascii="CAIXA Std Book" w:hAnsi="CAIXA Std Book"/>
          <w:color w:val="005CA9"/>
          <w:sz w:val="16"/>
          <w:szCs w:val="16"/>
        </w:rPr>
        <w:t>)</w:t>
      </w:r>
      <w:r w:rsidR="00424BE7" w:rsidRPr="00275DC7">
        <w:rPr>
          <w:rFonts w:ascii="CAIXA Std Book" w:hAnsi="CAIXA Std Book"/>
          <w:color w:val="005CA9"/>
          <w:sz w:val="16"/>
          <w:szCs w:val="16"/>
        </w:rPr>
        <w:t>.</w:t>
      </w:r>
    </w:p>
    <w:p w14:paraId="558342E7" w14:textId="55072CDE" w:rsidR="00850D92" w:rsidRPr="00FF4346" w:rsidRDefault="00850D92">
      <w:pPr>
        <w:rPr>
          <w:rFonts w:ascii="CAIXA Std Book" w:hAnsi="CAIXA Std Book"/>
          <w:color w:val="005CA9"/>
          <w:sz w:val="16"/>
          <w:szCs w:val="16"/>
        </w:rPr>
      </w:pPr>
      <w:r w:rsidRPr="00FF4346">
        <w:rPr>
          <w:rFonts w:ascii="CAIXA Std Book" w:hAnsi="CAIXA Std Book"/>
          <w:color w:val="005CA9"/>
          <w:sz w:val="16"/>
          <w:szCs w:val="16"/>
        </w:rPr>
        <w:br w:type="page"/>
      </w:r>
    </w:p>
    <w:p w14:paraId="06B1E1F8" w14:textId="252354D6" w:rsidR="00E46B65" w:rsidRPr="00FF4346" w:rsidRDefault="00E46B65" w:rsidP="00B37B40">
      <w:pPr>
        <w:pStyle w:val="PargrafodaLista"/>
        <w:numPr>
          <w:ilvl w:val="0"/>
          <w:numId w:val="26"/>
        </w:numPr>
        <w:spacing w:before="480" w:after="240"/>
        <w:ind w:left="567" w:hanging="567"/>
        <w:contextualSpacing w:val="0"/>
        <w:jc w:val="both"/>
        <w:rPr>
          <w:rFonts w:ascii="CAIXA Std Book" w:hAnsi="CAIXA Std Book"/>
          <w:b/>
          <w:color w:val="005CA9"/>
          <w:sz w:val="20"/>
          <w:szCs w:val="20"/>
        </w:rPr>
      </w:pPr>
      <w:r w:rsidRPr="00FF4346">
        <w:rPr>
          <w:rFonts w:ascii="CAIXA Std Book" w:hAnsi="CAIXA Std Book"/>
          <w:b/>
          <w:color w:val="005CA9"/>
          <w:sz w:val="20"/>
          <w:szCs w:val="20"/>
        </w:rPr>
        <w:lastRenderedPageBreak/>
        <w:t>Receitas antecipadas</w:t>
      </w:r>
    </w:p>
    <w:p w14:paraId="2E941546" w14:textId="0869C7C0" w:rsidR="00E46B65" w:rsidRPr="00FF4346" w:rsidRDefault="00E46B65"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As receitas antecipadas correspondem </w:t>
      </w:r>
      <w:r w:rsidR="00E547BD" w:rsidRPr="00FF4346">
        <w:rPr>
          <w:rFonts w:ascii="CAIXA Std Book" w:hAnsi="CAIXA Std Book"/>
          <w:color w:val="005CA9"/>
          <w:sz w:val="20"/>
          <w:szCs w:val="20"/>
        </w:rPr>
        <w:t>ao saldo a diferir</w:t>
      </w:r>
      <w:r w:rsidRPr="00FF4346">
        <w:rPr>
          <w:rFonts w:ascii="CAIXA Std Book" w:hAnsi="CAIXA Std Book"/>
          <w:color w:val="005CA9"/>
          <w:sz w:val="20"/>
          <w:szCs w:val="20"/>
        </w:rPr>
        <w:t xml:space="preserve"> </w:t>
      </w:r>
      <w:r w:rsidR="00E547BD" w:rsidRPr="00FF4346">
        <w:rPr>
          <w:rFonts w:ascii="CAIXA Std Book" w:hAnsi="CAIXA Std Book"/>
          <w:color w:val="005CA9"/>
          <w:sz w:val="20"/>
          <w:szCs w:val="20"/>
        </w:rPr>
        <w:t>d</w:t>
      </w:r>
      <w:r w:rsidRPr="00FF4346">
        <w:rPr>
          <w:rFonts w:ascii="CAIXA Std Book" w:hAnsi="CAIXA Std Book"/>
          <w:color w:val="005CA9"/>
          <w:sz w:val="20"/>
          <w:szCs w:val="20"/>
        </w:rPr>
        <w:t>a</w:t>
      </w:r>
      <w:r w:rsidR="00E547BD" w:rsidRPr="00FF4346">
        <w:rPr>
          <w:rFonts w:ascii="CAIXA Std Book" w:hAnsi="CAIXA Std Book"/>
          <w:color w:val="005CA9"/>
          <w:sz w:val="20"/>
          <w:szCs w:val="20"/>
        </w:rPr>
        <w:t>s</w:t>
      </w:r>
      <w:r w:rsidRPr="00FF4346">
        <w:rPr>
          <w:rFonts w:ascii="CAIXA Std Book" w:hAnsi="CAIXA Std Book"/>
          <w:color w:val="005CA9"/>
          <w:sz w:val="20"/>
          <w:szCs w:val="20"/>
        </w:rPr>
        <w:t xml:space="preserve"> transações entre a CAIXA, empresas parceiras, e suas </w:t>
      </w:r>
      <w:r w:rsidR="004F2441" w:rsidRPr="00FF4346">
        <w:rPr>
          <w:rFonts w:ascii="CAIXA Std Book" w:hAnsi="CAIXA Std Book"/>
          <w:color w:val="005CA9"/>
          <w:sz w:val="20"/>
          <w:szCs w:val="20"/>
        </w:rPr>
        <w:t>controladas</w:t>
      </w:r>
      <w:r w:rsidRPr="00FF4346">
        <w:rPr>
          <w:rFonts w:ascii="CAIXA Std Book" w:hAnsi="CAIXA Std Book"/>
          <w:color w:val="005CA9"/>
          <w:sz w:val="20"/>
          <w:szCs w:val="20"/>
        </w:rPr>
        <w:t xml:space="preserve"> pelo direito de exploração do balcão, base de cliente e uso da marca.</w:t>
      </w:r>
      <w:r w:rsidR="00BD0881"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Em </w:t>
      </w:r>
      <w:r w:rsidR="00E926B2" w:rsidRPr="00FF4346">
        <w:rPr>
          <w:rFonts w:ascii="CAIXA Std Book" w:hAnsi="CAIXA Std Book"/>
          <w:color w:val="005CA9"/>
          <w:sz w:val="20"/>
          <w:szCs w:val="20"/>
        </w:rPr>
        <w:t>31/</w:t>
      </w:r>
      <w:r w:rsidR="00B93BBA">
        <w:rPr>
          <w:rFonts w:ascii="CAIXA Std Book" w:hAnsi="CAIXA Std Book"/>
          <w:color w:val="005CA9"/>
          <w:sz w:val="20"/>
          <w:szCs w:val="20"/>
        </w:rPr>
        <w:t>03</w:t>
      </w:r>
      <w:r w:rsidR="00E926B2" w:rsidRPr="00FF4346">
        <w:rPr>
          <w:rFonts w:ascii="CAIXA Std Book" w:hAnsi="CAIXA Std Book"/>
          <w:color w:val="005CA9"/>
          <w:sz w:val="20"/>
          <w:szCs w:val="20"/>
        </w:rPr>
        <w:t>/</w:t>
      </w:r>
      <w:r w:rsidRPr="00FF4346">
        <w:rPr>
          <w:rFonts w:ascii="CAIXA Std Book" w:hAnsi="CAIXA Std Book"/>
          <w:color w:val="005CA9"/>
          <w:sz w:val="20"/>
          <w:szCs w:val="20"/>
        </w:rPr>
        <w:t>202</w:t>
      </w:r>
      <w:r w:rsidR="003B6370">
        <w:rPr>
          <w:rFonts w:ascii="CAIXA Std Book" w:hAnsi="CAIXA Std Book"/>
          <w:color w:val="005CA9"/>
          <w:sz w:val="20"/>
          <w:szCs w:val="20"/>
        </w:rPr>
        <w:t>4</w:t>
      </w:r>
      <w:r w:rsidRPr="00FF4346">
        <w:rPr>
          <w:rFonts w:ascii="CAIXA Std Book" w:hAnsi="CAIXA Std Book"/>
          <w:color w:val="005CA9"/>
          <w:sz w:val="20"/>
          <w:szCs w:val="20"/>
        </w:rPr>
        <w:t xml:space="preserve"> as receitas antecipadas se referem às seguintes parcerias:</w:t>
      </w:r>
    </w:p>
    <w:p w14:paraId="0200F7F9" w14:textId="4F3994D8" w:rsidR="009C11F1" w:rsidRPr="00FF4346" w:rsidRDefault="009C11F1" w:rsidP="00B37B40">
      <w:pPr>
        <w:pStyle w:val="PargrafodaLista"/>
        <w:numPr>
          <w:ilvl w:val="0"/>
          <w:numId w:val="19"/>
        </w:numPr>
        <w:tabs>
          <w:tab w:val="left" w:pos="1650"/>
        </w:tabs>
        <w:spacing w:before="120" w:after="120"/>
        <w:ind w:left="425" w:right="139" w:hanging="425"/>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VISA, no montante de </w:t>
      </w:r>
      <w:r w:rsidRPr="00793059">
        <w:rPr>
          <w:rFonts w:ascii="CAIXA Std Book" w:hAnsi="CAIXA Std Book"/>
          <w:color w:val="005CA9"/>
          <w:sz w:val="20"/>
          <w:szCs w:val="20"/>
        </w:rPr>
        <w:t xml:space="preserve">R$ </w:t>
      </w:r>
      <w:r w:rsidR="001D4185">
        <w:rPr>
          <w:rFonts w:ascii="CAIXA Std Book" w:hAnsi="CAIXA Std Book"/>
          <w:color w:val="005CA9"/>
          <w:sz w:val="20"/>
          <w:szCs w:val="20"/>
        </w:rPr>
        <w:t>600.000</w:t>
      </w:r>
      <w:r w:rsidR="00D83304" w:rsidRPr="00FF4346">
        <w:rPr>
          <w:rFonts w:ascii="CAIXA Std Book" w:hAnsi="CAIXA Std Book"/>
          <w:color w:val="005CA9"/>
          <w:sz w:val="20"/>
          <w:szCs w:val="20"/>
        </w:rPr>
        <w:t xml:space="preserve"> (</w:t>
      </w:r>
      <w:r w:rsidR="00FC2860" w:rsidRPr="00FF4346">
        <w:rPr>
          <w:rFonts w:ascii="CAIXA Std Book" w:hAnsi="CAIXA Std Book"/>
          <w:color w:val="005CA9"/>
          <w:sz w:val="20"/>
          <w:szCs w:val="20"/>
        </w:rPr>
        <w:t>31/12/202</w:t>
      </w:r>
      <w:r w:rsidR="004F21A6">
        <w:rPr>
          <w:rFonts w:ascii="CAIXA Std Book" w:hAnsi="CAIXA Std Book"/>
          <w:color w:val="005CA9"/>
          <w:sz w:val="20"/>
          <w:szCs w:val="20"/>
        </w:rPr>
        <w:t>3</w:t>
      </w:r>
      <w:r w:rsidR="008C5C4D" w:rsidRPr="00FF4346">
        <w:rPr>
          <w:rFonts w:ascii="CAIXA Std Book" w:hAnsi="CAIXA Std Book"/>
          <w:color w:val="005CA9"/>
          <w:sz w:val="20"/>
          <w:szCs w:val="20"/>
        </w:rPr>
        <w:t xml:space="preserve"> </w:t>
      </w:r>
      <w:r w:rsidR="00DD4E63" w:rsidRPr="00FF4346">
        <w:rPr>
          <w:rFonts w:ascii="CAIXA Std Book" w:hAnsi="CAIXA Std Book"/>
          <w:color w:val="005CA9"/>
          <w:sz w:val="20"/>
          <w:szCs w:val="20"/>
        </w:rPr>
        <w:t>-</w:t>
      </w:r>
      <w:r w:rsidR="008C5C4D" w:rsidRPr="00FF4346">
        <w:rPr>
          <w:rFonts w:ascii="CAIXA Std Book" w:hAnsi="CAIXA Std Book"/>
          <w:color w:val="005CA9"/>
          <w:sz w:val="20"/>
          <w:szCs w:val="20"/>
        </w:rPr>
        <w:t xml:space="preserve"> R$ </w:t>
      </w:r>
      <w:r w:rsidR="004F21A6">
        <w:rPr>
          <w:rFonts w:ascii="CAIXA Std Book" w:hAnsi="CAIXA Std Book"/>
          <w:color w:val="005CA9"/>
          <w:sz w:val="20"/>
          <w:szCs w:val="20"/>
        </w:rPr>
        <w:t>625</w:t>
      </w:r>
      <w:r w:rsidR="008C5C4D" w:rsidRPr="00FF4346">
        <w:rPr>
          <w:rFonts w:ascii="CAIXA Std Book" w:hAnsi="CAIXA Std Book"/>
          <w:color w:val="005CA9"/>
          <w:sz w:val="20"/>
          <w:szCs w:val="20"/>
        </w:rPr>
        <w:t>.000</w:t>
      </w:r>
      <w:r w:rsidR="00FC2860" w:rsidRPr="00FF4346">
        <w:rPr>
          <w:rFonts w:ascii="CAIXA Std Book" w:hAnsi="CAIXA Std Book"/>
          <w:color w:val="005CA9"/>
          <w:sz w:val="20"/>
          <w:szCs w:val="20"/>
        </w:rPr>
        <w:t>)</w:t>
      </w:r>
      <w:r w:rsidRPr="00FF4346">
        <w:rPr>
          <w:rFonts w:ascii="CAIXA Std Book" w:hAnsi="CAIXA Std Book"/>
          <w:color w:val="005CA9"/>
          <w:sz w:val="20"/>
          <w:szCs w:val="20"/>
        </w:rPr>
        <w:t xml:space="preserve"> referente ao recebimento de bônus inicial em virtude do acordo assinado, pelo prazo de dez anos, entre a CAIXA e a VISA.</w:t>
      </w:r>
    </w:p>
    <w:p w14:paraId="7A35C141" w14:textId="64D98355" w:rsidR="009C11F1" w:rsidRPr="00FF4346" w:rsidRDefault="009C11F1" w:rsidP="00B37B40">
      <w:pPr>
        <w:pStyle w:val="PargrafodaLista"/>
        <w:numPr>
          <w:ilvl w:val="0"/>
          <w:numId w:val="19"/>
        </w:numPr>
        <w:tabs>
          <w:tab w:val="left" w:pos="1650"/>
        </w:tabs>
        <w:spacing w:before="120" w:after="120"/>
        <w:ind w:left="425" w:right="139" w:hanging="425"/>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CNP (Holding XS1) no montante de </w:t>
      </w:r>
      <w:r w:rsidRPr="00793059">
        <w:rPr>
          <w:rFonts w:ascii="CAIXA Std Book" w:hAnsi="CAIXA Std Book"/>
          <w:color w:val="005CA9"/>
          <w:sz w:val="20"/>
          <w:szCs w:val="20"/>
        </w:rPr>
        <w:t xml:space="preserve">R$ </w:t>
      </w:r>
      <w:r w:rsidR="00793059">
        <w:rPr>
          <w:rFonts w:ascii="CAIXA Std Book" w:hAnsi="CAIXA Std Book"/>
          <w:color w:val="005CA9"/>
          <w:sz w:val="20"/>
          <w:szCs w:val="20"/>
        </w:rPr>
        <w:t>6.090.000</w:t>
      </w:r>
      <w:r w:rsidRPr="00FF4346">
        <w:rPr>
          <w:rFonts w:ascii="CAIXA Std Book" w:hAnsi="CAIXA Std Book"/>
          <w:color w:val="005CA9"/>
          <w:sz w:val="20"/>
          <w:szCs w:val="20"/>
        </w:rPr>
        <w:t xml:space="preserve"> </w:t>
      </w:r>
      <w:r w:rsidR="00167B70" w:rsidRPr="00FF4346">
        <w:rPr>
          <w:rFonts w:ascii="CAIXA Std Book" w:hAnsi="CAIXA Std Book"/>
          <w:color w:val="005CA9"/>
          <w:sz w:val="20"/>
          <w:szCs w:val="20"/>
        </w:rPr>
        <w:t>(</w:t>
      </w:r>
      <w:r w:rsidR="008C5C4D" w:rsidRPr="00FF4346">
        <w:rPr>
          <w:rFonts w:ascii="CAIXA Std Book" w:hAnsi="CAIXA Std Book"/>
          <w:color w:val="005CA9"/>
          <w:sz w:val="20"/>
          <w:szCs w:val="20"/>
        </w:rPr>
        <w:t>31/12/202</w:t>
      </w:r>
      <w:r w:rsidR="00D84EF4">
        <w:rPr>
          <w:rFonts w:ascii="CAIXA Std Book" w:hAnsi="CAIXA Std Book"/>
          <w:color w:val="005CA9"/>
          <w:sz w:val="20"/>
          <w:szCs w:val="20"/>
        </w:rPr>
        <w:t>3</w:t>
      </w:r>
      <w:r w:rsidR="00DD4E63" w:rsidRPr="00FF4346">
        <w:rPr>
          <w:rFonts w:ascii="CAIXA Std Book" w:hAnsi="CAIXA Std Book"/>
          <w:color w:val="005CA9"/>
          <w:sz w:val="20"/>
          <w:szCs w:val="20"/>
        </w:rPr>
        <w:t xml:space="preserve"> - </w:t>
      </w:r>
      <w:r w:rsidR="006C02C6" w:rsidRPr="00FF4346">
        <w:rPr>
          <w:rFonts w:ascii="CAIXA Std Book" w:hAnsi="CAIXA Std Book"/>
          <w:color w:val="005CA9"/>
          <w:sz w:val="20"/>
          <w:szCs w:val="20"/>
        </w:rPr>
        <w:t>R$ 6.</w:t>
      </w:r>
      <w:r w:rsidR="00D84EF4">
        <w:rPr>
          <w:rFonts w:ascii="CAIXA Std Book" w:hAnsi="CAIXA Std Book"/>
          <w:color w:val="005CA9"/>
          <w:sz w:val="20"/>
          <w:szCs w:val="20"/>
        </w:rPr>
        <w:t>160</w:t>
      </w:r>
      <w:r w:rsidR="006C02C6" w:rsidRPr="00FF4346">
        <w:rPr>
          <w:rFonts w:ascii="CAIXA Std Book" w:hAnsi="CAIXA Std Book"/>
          <w:color w:val="005CA9"/>
          <w:sz w:val="20"/>
          <w:szCs w:val="20"/>
        </w:rPr>
        <w:t xml:space="preserve">.000) </w:t>
      </w:r>
      <w:r w:rsidRPr="00FF4346">
        <w:rPr>
          <w:rFonts w:ascii="CAIXA Std Book" w:hAnsi="CAIXA Std Book"/>
          <w:color w:val="005CA9"/>
          <w:sz w:val="20"/>
          <w:szCs w:val="20"/>
        </w:rPr>
        <w:t>em cumprimento ao contrato de distribuição. O saldo é apropriado mensalmente pela vigência do contrato, até 2045.</w:t>
      </w:r>
    </w:p>
    <w:p w14:paraId="7B43C47C" w14:textId="346C3393" w:rsidR="009C11F1" w:rsidRPr="00FF4346" w:rsidRDefault="009C11F1" w:rsidP="00B37B40">
      <w:pPr>
        <w:pStyle w:val="PargrafodaLista"/>
        <w:numPr>
          <w:ilvl w:val="0"/>
          <w:numId w:val="19"/>
        </w:numPr>
        <w:tabs>
          <w:tab w:val="left" w:pos="1650"/>
        </w:tabs>
        <w:spacing w:before="120" w:after="120"/>
        <w:ind w:left="425" w:right="139" w:hanging="425"/>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Tokio Marine (XS3) no montante de </w:t>
      </w:r>
      <w:r w:rsidRPr="0098242B">
        <w:rPr>
          <w:rFonts w:ascii="CAIXA Std Book" w:hAnsi="CAIXA Std Book"/>
          <w:color w:val="005CA9"/>
          <w:sz w:val="20"/>
          <w:szCs w:val="20"/>
        </w:rPr>
        <w:t xml:space="preserve">R$ </w:t>
      </w:r>
      <w:r w:rsidR="004B6915">
        <w:rPr>
          <w:rFonts w:ascii="CAIXA Std Book" w:hAnsi="CAIXA Std Book"/>
          <w:color w:val="005CA9"/>
          <w:sz w:val="20"/>
          <w:szCs w:val="20"/>
        </w:rPr>
        <w:t>1.273.000</w:t>
      </w:r>
      <w:r w:rsidR="0084323C" w:rsidRPr="00FF4346">
        <w:rPr>
          <w:rFonts w:ascii="CAIXA Std Book" w:hAnsi="CAIXA Std Book"/>
          <w:color w:val="005CA9"/>
          <w:sz w:val="20"/>
          <w:szCs w:val="20"/>
        </w:rPr>
        <w:t xml:space="preserve"> (31/12/202</w:t>
      </w:r>
      <w:r w:rsidR="00C25D7A">
        <w:rPr>
          <w:rFonts w:ascii="CAIXA Std Book" w:hAnsi="CAIXA Std Book"/>
          <w:color w:val="005CA9"/>
          <w:sz w:val="20"/>
          <w:szCs w:val="20"/>
        </w:rPr>
        <w:t>3</w:t>
      </w:r>
      <w:r w:rsidR="0084323C" w:rsidRPr="00FF4346">
        <w:rPr>
          <w:rFonts w:ascii="CAIXA Std Book" w:hAnsi="CAIXA Std Book"/>
          <w:color w:val="005CA9"/>
          <w:sz w:val="20"/>
          <w:szCs w:val="20"/>
        </w:rPr>
        <w:t xml:space="preserve"> - R$ 1.</w:t>
      </w:r>
      <w:r w:rsidR="00C25D7A">
        <w:rPr>
          <w:rFonts w:ascii="CAIXA Std Book" w:hAnsi="CAIXA Std Book"/>
          <w:color w:val="005CA9"/>
          <w:sz w:val="20"/>
          <w:szCs w:val="20"/>
        </w:rPr>
        <w:t>292</w:t>
      </w:r>
      <w:r w:rsidR="0084323C" w:rsidRPr="00FF4346">
        <w:rPr>
          <w:rFonts w:ascii="CAIXA Std Book" w:hAnsi="CAIXA Std Book"/>
          <w:color w:val="005CA9"/>
          <w:sz w:val="20"/>
          <w:szCs w:val="20"/>
        </w:rPr>
        <w:t>.000)</w:t>
      </w:r>
      <w:r w:rsidRPr="00FF4346">
        <w:rPr>
          <w:rFonts w:ascii="CAIXA Std Book" w:hAnsi="CAIXA Std Book"/>
          <w:color w:val="005CA9"/>
          <w:sz w:val="20"/>
          <w:szCs w:val="20"/>
        </w:rPr>
        <w:t xml:space="preserve">, CNP (XS5) no montante de </w:t>
      </w:r>
      <w:r w:rsidRPr="0098242B">
        <w:rPr>
          <w:rFonts w:ascii="CAIXA Std Book" w:hAnsi="CAIXA Std Book"/>
          <w:color w:val="005CA9"/>
          <w:sz w:val="20"/>
          <w:szCs w:val="20"/>
        </w:rPr>
        <w:t xml:space="preserve">R$ </w:t>
      </w:r>
      <w:r w:rsidR="004B6915">
        <w:rPr>
          <w:rFonts w:ascii="CAIXA Std Book" w:hAnsi="CAIXA Std Book"/>
          <w:color w:val="005CA9"/>
          <w:sz w:val="20"/>
          <w:szCs w:val="20"/>
        </w:rPr>
        <w:t>212.500</w:t>
      </w:r>
      <w:r w:rsidR="003B2CDF" w:rsidRPr="00FF4346">
        <w:rPr>
          <w:rFonts w:ascii="CAIXA Std Book" w:hAnsi="CAIXA Std Book"/>
          <w:color w:val="005CA9"/>
          <w:sz w:val="20"/>
          <w:szCs w:val="20"/>
        </w:rPr>
        <w:t xml:space="preserve"> (31/12/202</w:t>
      </w:r>
      <w:r w:rsidR="00BE3030">
        <w:rPr>
          <w:rFonts w:ascii="CAIXA Std Book" w:hAnsi="CAIXA Std Book"/>
          <w:color w:val="005CA9"/>
          <w:sz w:val="20"/>
          <w:szCs w:val="20"/>
        </w:rPr>
        <w:t>3</w:t>
      </w:r>
      <w:r w:rsidR="003B2CDF" w:rsidRPr="00FF4346">
        <w:rPr>
          <w:rFonts w:ascii="CAIXA Std Book" w:hAnsi="CAIXA Std Book"/>
          <w:color w:val="005CA9"/>
          <w:sz w:val="20"/>
          <w:szCs w:val="20"/>
        </w:rPr>
        <w:t xml:space="preserve"> - R$ 2</w:t>
      </w:r>
      <w:r w:rsidR="00BE3030">
        <w:rPr>
          <w:rFonts w:ascii="CAIXA Std Book" w:hAnsi="CAIXA Std Book"/>
          <w:color w:val="005CA9"/>
          <w:sz w:val="20"/>
          <w:szCs w:val="20"/>
        </w:rPr>
        <w:t>15.625</w:t>
      </w:r>
      <w:r w:rsidR="003B2CDF" w:rsidRPr="00FF4346">
        <w:rPr>
          <w:rFonts w:ascii="CAIXA Std Book" w:hAnsi="CAIXA Std Book"/>
          <w:color w:val="005CA9"/>
          <w:sz w:val="20"/>
          <w:szCs w:val="20"/>
        </w:rPr>
        <w:t>)</w:t>
      </w:r>
      <w:r w:rsidRPr="00FF4346">
        <w:rPr>
          <w:rFonts w:ascii="CAIXA Std Book" w:hAnsi="CAIXA Std Book"/>
          <w:color w:val="005CA9"/>
          <w:sz w:val="20"/>
          <w:szCs w:val="20"/>
        </w:rPr>
        <w:t xml:space="preserve">, Icatu (XS4) no montante de </w:t>
      </w:r>
      <w:r w:rsidRPr="0098242B">
        <w:rPr>
          <w:rFonts w:ascii="CAIXA Std Book" w:hAnsi="CAIXA Std Book"/>
          <w:color w:val="005CA9"/>
          <w:sz w:val="20"/>
          <w:szCs w:val="20"/>
        </w:rPr>
        <w:t xml:space="preserve">R$ </w:t>
      </w:r>
      <w:r w:rsidR="009B3371">
        <w:rPr>
          <w:rFonts w:ascii="CAIXA Std Book" w:hAnsi="CAIXA Std Book"/>
          <w:color w:val="005CA9"/>
          <w:sz w:val="20"/>
          <w:szCs w:val="20"/>
        </w:rPr>
        <w:t>153.000</w:t>
      </w:r>
      <w:r w:rsidR="004144BB" w:rsidRPr="00FF4346">
        <w:rPr>
          <w:rFonts w:ascii="CAIXA Std Book" w:hAnsi="CAIXA Std Book"/>
          <w:color w:val="005CA9"/>
          <w:sz w:val="20"/>
          <w:szCs w:val="20"/>
        </w:rPr>
        <w:t xml:space="preserve"> (31/12/202</w:t>
      </w:r>
      <w:r w:rsidR="00BD0BB4">
        <w:rPr>
          <w:rFonts w:ascii="CAIXA Std Book" w:hAnsi="CAIXA Std Book"/>
          <w:color w:val="005CA9"/>
          <w:sz w:val="20"/>
          <w:szCs w:val="20"/>
        </w:rPr>
        <w:t>3</w:t>
      </w:r>
      <w:r w:rsidR="004144BB" w:rsidRPr="00FF4346">
        <w:rPr>
          <w:rFonts w:ascii="CAIXA Std Book" w:hAnsi="CAIXA Std Book"/>
          <w:color w:val="005CA9"/>
          <w:sz w:val="20"/>
          <w:szCs w:val="20"/>
        </w:rPr>
        <w:t xml:space="preserve"> - R$ 1</w:t>
      </w:r>
      <w:r w:rsidR="00BD0BB4">
        <w:rPr>
          <w:rFonts w:ascii="CAIXA Std Book" w:hAnsi="CAIXA Std Book"/>
          <w:color w:val="005CA9"/>
          <w:sz w:val="20"/>
          <w:szCs w:val="20"/>
        </w:rPr>
        <w:t>55.250</w:t>
      </w:r>
      <w:r w:rsidR="004144BB" w:rsidRPr="00FF4346">
        <w:rPr>
          <w:rFonts w:ascii="CAIXA Std Book" w:hAnsi="CAIXA Std Book"/>
          <w:color w:val="005CA9"/>
          <w:sz w:val="20"/>
          <w:szCs w:val="20"/>
        </w:rPr>
        <w:t>)</w:t>
      </w:r>
      <w:r w:rsidRPr="00FF4346">
        <w:rPr>
          <w:rFonts w:ascii="CAIXA Std Book" w:hAnsi="CAIXA Std Book"/>
          <w:color w:val="005CA9"/>
          <w:sz w:val="20"/>
          <w:szCs w:val="20"/>
        </w:rPr>
        <w:t xml:space="preserve"> e Tempo (XS6) no montante de </w:t>
      </w:r>
      <w:r w:rsidRPr="0098242B">
        <w:rPr>
          <w:rFonts w:ascii="CAIXA Std Book" w:hAnsi="CAIXA Std Book"/>
          <w:color w:val="005CA9"/>
          <w:sz w:val="20"/>
          <w:szCs w:val="20"/>
        </w:rPr>
        <w:t xml:space="preserve">R$ </w:t>
      </w:r>
      <w:r w:rsidR="009B3371">
        <w:rPr>
          <w:rFonts w:ascii="CAIXA Std Book" w:hAnsi="CAIXA Std Book"/>
          <w:color w:val="005CA9"/>
          <w:sz w:val="20"/>
          <w:szCs w:val="20"/>
        </w:rPr>
        <w:t>25.125</w:t>
      </w:r>
      <w:r w:rsidR="004F22E7" w:rsidRPr="00FF4346">
        <w:rPr>
          <w:rFonts w:ascii="CAIXA Std Book" w:hAnsi="CAIXA Std Book"/>
          <w:color w:val="005CA9"/>
          <w:sz w:val="20"/>
          <w:szCs w:val="20"/>
        </w:rPr>
        <w:t xml:space="preserve"> (31/12/20</w:t>
      </w:r>
      <w:r w:rsidR="00FB631B" w:rsidRPr="00FF4346">
        <w:rPr>
          <w:rFonts w:ascii="CAIXA Std Book" w:hAnsi="CAIXA Std Book"/>
          <w:color w:val="005CA9"/>
          <w:sz w:val="20"/>
          <w:szCs w:val="20"/>
        </w:rPr>
        <w:t>2</w:t>
      </w:r>
      <w:r w:rsidR="00C84774">
        <w:rPr>
          <w:rFonts w:ascii="CAIXA Std Book" w:hAnsi="CAIXA Std Book"/>
          <w:color w:val="005CA9"/>
          <w:sz w:val="20"/>
          <w:szCs w:val="20"/>
        </w:rPr>
        <w:t>3</w:t>
      </w:r>
      <w:r w:rsidR="004F22E7" w:rsidRPr="00FF4346">
        <w:rPr>
          <w:rFonts w:ascii="CAIXA Std Book" w:hAnsi="CAIXA Std Book"/>
          <w:color w:val="005CA9"/>
          <w:sz w:val="20"/>
          <w:szCs w:val="20"/>
        </w:rPr>
        <w:t xml:space="preserve"> - R$ 2</w:t>
      </w:r>
      <w:r w:rsidR="00C84774">
        <w:rPr>
          <w:rFonts w:ascii="CAIXA Std Book" w:hAnsi="CAIXA Std Book"/>
          <w:color w:val="005CA9"/>
          <w:sz w:val="20"/>
          <w:szCs w:val="20"/>
        </w:rPr>
        <w:t>5.5</w:t>
      </w:r>
      <w:r w:rsidR="004F22E7" w:rsidRPr="00FF4346">
        <w:rPr>
          <w:rFonts w:ascii="CAIXA Std Book" w:hAnsi="CAIXA Std Book"/>
          <w:color w:val="005CA9"/>
          <w:sz w:val="20"/>
          <w:szCs w:val="20"/>
        </w:rPr>
        <w:t>00)</w:t>
      </w:r>
      <w:r w:rsidRPr="00FF4346">
        <w:rPr>
          <w:rFonts w:ascii="CAIXA Std Book" w:hAnsi="CAIXA Std Book"/>
          <w:color w:val="005CA9"/>
          <w:sz w:val="20"/>
          <w:szCs w:val="20"/>
        </w:rPr>
        <w:t>, em cumprimento ao contrato de distribuição pelo prazo de 20 anos com a Caixa Seguridade.</w:t>
      </w:r>
    </w:p>
    <w:p w14:paraId="36653D70" w14:textId="1F8895D2" w:rsidR="00E46B65" w:rsidRPr="00FF4346" w:rsidRDefault="00E46B65" w:rsidP="00B37B40">
      <w:pPr>
        <w:pStyle w:val="PargrafodaLista"/>
        <w:numPr>
          <w:ilvl w:val="0"/>
          <w:numId w:val="19"/>
        </w:numPr>
        <w:tabs>
          <w:tab w:val="left" w:pos="1650"/>
        </w:tabs>
        <w:spacing w:before="120" w:after="120"/>
        <w:ind w:left="425" w:right="139" w:hanging="425"/>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FISERV, no montante de </w:t>
      </w:r>
      <w:r w:rsidRPr="00B87F27">
        <w:rPr>
          <w:rFonts w:ascii="CAIXA Std Book" w:hAnsi="CAIXA Std Book"/>
          <w:color w:val="005CA9"/>
          <w:sz w:val="20"/>
          <w:szCs w:val="20"/>
        </w:rPr>
        <w:t xml:space="preserve">R$ </w:t>
      </w:r>
      <w:r w:rsidR="00731229">
        <w:rPr>
          <w:rFonts w:ascii="CAIXA Std Book" w:hAnsi="CAIXA Std Book"/>
          <w:color w:val="005CA9"/>
          <w:sz w:val="20"/>
          <w:szCs w:val="20"/>
        </w:rPr>
        <w:t>136.000</w:t>
      </w:r>
      <w:r w:rsidR="009B12CA" w:rsidRPr="00FF4346">
        <w:rPr>
          <w:rFonts w:ascii="CAIXA Std Book" w:hAnsi="CAIXA Std Book"/>
          <w:color w:val="005CA9"/>
          <w:sz w:val="20"/>
          <w:szCs w:val="20"/>
        </w:rPr>
        <w:t xml:space="preserve"> (31/12/202</w:t>
      </w:r>
      <w:r w:rsidR="00C84774">
        <w:rPr>
          <w:rFonts w:ascii="CAIXA Std Book" w:hAnsi="CAIXA Std Book"/>
          <w:color w:val="005CA9"/>
          <w:sz w:val="20"/>
          <w:szCs w:val="20"/>
        </w:rPr>
        <w:t>3</w:t>
      </w:r>
      <w:r w:rsidR="009B12CA" w:rsidRPr="00FF4346">
        <w:rPr>
          <w:rFonts w:ascii="CAIXA Std Book" w:hAnsi="CAIXA Std Book"/>
          <w:color w:val="005CA9"/>
          <w:sz w:val="20"/>
          <w:szCs w:val="20"/>
        </w:rPr>
        <w:t xml:space="preserve"> - R$ 1</w:t>
      </w:r>
      <w:r w:rsidR="00C84774">
        <w:rPr>
          <w:rFonts w:ascii="CAIXA Std Book" w:hAnsi="CAIXA Std Book"/>
          <w:color w:val="005CA9"/>
          <w:sz w:val="20"/>
          <w:szCs w:val="20"/>
        </w:rPr>
        <w:t>38</w:t>
      </w:r>
      <w:r w:rsidR="009B12CA" w:rsidRPr="00FF4346">
        <w:rPr>
          <w:rFonts w:ascii="CAIXA Std Book" w:hAnsi="CAIXA Std Book"/>
          <w:color w:val="005CA9"/>
          <w:sz w:val="20"/>
          <w:szCs w:val="20"/>
        </w:rPr>
        <w:t>.000)</w:t>
      </w:r>
      <w:r w:rsidRPr="00FF4346">
        <w:rPr>
          <w:rFonts w:ascii="CAIXA Std Book" w:hAnsi="CAIXA Std Book"/>
          <w:color w:val="005CA9"/>
          <w:sz w:val="20"/>
          <w:szCs w:val="20"/>
        </w:rPr>
        <w:t>, buscando fortalecer sua atuação no mercado de meios de pagamento eletrônicos, prevê um contrato com vigência de 20 anos com a Caixa Cartões.</w:t>
      </w:r>
    </w:p>
    <w:p w14:paraId="79AABBD3" w14:textId="7C845BBA" w:rsidR="00225DE3" w:rsidRPr="00FF4346" w:rsidRDefault="00225DE3" w:rsidP="00B37B40">
      <w:pPr>
        <w:pStyle w:val="PargrafodaLista"/>
        <w:numPr>
          <w:ilvl w:val="0"/>
          <w:numId w:val="19"/>
        </w:numPr>
        <w:tabs>
          <w:tab w:val="left" w:pos="1650"/>
        </w:tabs>
        <w:spacing w:before="120" w:after="120"/>
        <w:ind w:left="425" w:right="139" w:hanging="425"/>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VR BENEFÍCIOS e FLEETCOR (“VR-FLEETCOR”), no montante de </w:t>
      </w:r>
      <w:r w:rsidRPr="00B87F27">
        <w:rPr>
          <w:rFonts w:ascii="CAIXA Std Book" w:hAnsi="CAIXA Std Book"/>
          <w:color w:val="005CA9"/>
          <w:sz w:val="20"/>
          <w:szCs w:val="20"/>
        </w:rPr>
        <w:t xml:space="preserve">R$ </w:t>
      </w:r>
      <w:r w:rsidR="00B87F27">
        <w:rPr>
          <w:rFonts w:ascii="CAIXA Std Book" w:hAnsi="CAIXA Std Book"/>
          <w:color w:val="005CA9"/>
          <w:sz w:val="20"/>
          <w:szCs w:val="20"/>
        </w:rPr>
        <w:t>353.333</w:t>
      </w:r>
      <w:r w:rsidR="00162430" w:rsidRPr="00FF4346">
        <w:rPr>
          <w:rFonts w:ascii="CAIXA Std Book" w:hAnsi="CAIXA Std Book"/>
          <w:color w:val="005CA9"/>
          <w:sz w:val="20"/>
          <w:szCs w:val="20"/>
        </w:rPr>
        <w:t xml:space="preserve"> (31/12/202</w:t>
      </w:r>
      <w:r w:rsidR="0038184F">
        <w:rPr>
          <w:rFonts w:ascii="CAIXA Std Book" w:hAnsi="CAIXA Std Book"/>
          <w:color w:val="005CA9"/>
          <w:sz w:val="20"/>
          <w:szCs w:val="20"/>
        </w:rPr>
        <w:t>3</w:t>
      </w:r>
      <w:r w:rsidR="00162430" w:rsidRPr="00FF4346">
        <w:rPr>
          <w:rFonts w:ascii="CAIXA Std Book" w:hAnsi="CAIXA Std Book"/>
          <w:color w:val="005CA9"/>
          <w:sz w:val="20"/>
          <w:szCs w:val="20"/>
        </w:rPr>
        <w:t xml:space="preserve"> - R$ 3</w:t>
      </w:r>
      <w:r w:rsidR="0038184F">
        <w:rPr>
          <w:rFonts w:ascii="CAIXA Std Book" w:hAnsi="CAIXA Std Book"/>
          <w:color w:val="005CA9"/>
          <w:sz w:val="20"/>
          <w:szCs w:val="20"/>
        </w:rPr>
        <w:t>5</w:t>
      </w:r>
      <w:r w:rsidR="0081290A" w:rsidRPr="00FF4346">
        <w:rPr>
          <w:rFonts w:ascii="CAIXA Std Book" w:hAnsi="CAIXA Std Book"/>
          <w:color w:val="005CA9"/>
          <w:sz w:val="20"/>
          <w:szCs w:val="20"/>
        </w:rPr>
        <w:t>8</w:t>
      </w:r>
      <w:r w:rsidR="00162430" w:rsidRPr="00FF4346">
        <w:rPr>
          <w:rFonts w:ascii="CAIXA Std Book" w:hAnsi="CAIXA Std Book"/>
          <w:color w:val="005CA9"/>
          <w:sz w:val="20"/>
          <w:szCs w:val="20"/>
        </w:rPr>
        <w:t>.333)</w:t>
      </w:r>
      <w:r w:rsidRPr="00FF4346">
        <w:rPr>
          <w:rFonts w:ascii="CAIXA Std Book" w:hAnsi="CAIXA Std Book"/>
          <w:color w:val="005CA9"/>
          <w:sz w:val="20"/>
          <w:szCs w:val="20"/>
        </w:rPr>
        <w:t>, para atuação no segmento relacionado a meios de pagamento Pré-Pagos, pelo prazo de 20 anos, conforme contrato firmado com a Caixa Cartões.</w:t>
      </w:r>
    </w:p>
    <w:p w14:paraId="4A46CB79" w14:textId="2F2810BD" w:rsidR="00910878" w:rsidRPr="00FF4346" w:rsidRDefault="00910878" w:rsidP="005A596E">
      <w:pPr>
        <w:pStyle w:val="Ttulo1"/>
      </w:pPr>
      <w:bookmarkStart w:id="91" w:name="_Toc166594494"/>
      <w:bookmarkEnd w:id="90"/>
      <w:r w:rsidRPr="00FF4346">
        <w:t xml:space="preserve">Nota 19 </w:t>
      </w:r>
      <w:r w:rsidR="000C2093" w:rsidRPr="00FF4346">
        <w:t>–</w:t>
      </w:r>
      <w:r w:rsidRPr="00FF4346">
        <w:t xml:space="preserve"> Provisões</w:t>
      </w:r>
      <w:bookmarkEnd w:id="91"/>
    </w:p>
    <w:p w14:paraId="18F8B7F4" w14:textId="77777777" w:rsidR="00910878" w:rsidRPr="00FF4346" w:rsidRDefault="00910878" w:rsidP="00D52094">
      <w:pPr>
        <w:keepNext/>
        <w:numPr>
          <w:ilvl w:val="0"/>
          <w:numId w:val="5"/>
        </w:numPr>
        <w:spacing w:before="24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Composição</w:t>
      </w:r>
    </w:p>
    <w:tbl>
      <w:tblPr>
        <w:tblW w:w="5000" w:type="pct"/>
        <w:tblCellMar>
          <w:left w:w="70" w:type="dxa"/>
          <w:right w:w="70" w:type="dxa"/>
        </w:tblCellMar>
        <w:tblLook w:val="04A0" w:firstRow="1" w:lastRow="0" w:firstColumn="1" w:lastColumn="0" w:noHBand="0" w:noVBand="1"/>
      </w:tblPr>
      <w:tblGrid>
        <w:gridCol w:w="6094"/>
        <w:gridCol w:w="1841"/>
        <w:gridCol w:w="1702"/>
      </w:tblGrid>
      <w:tr w:rsidR="007E7325" w:rsidRPr="00A33766" w14:paraId="01AC3900" w14:textId="77777777">
        <w:trPr>
          <w:trHeight w:val="283"/>
        </w:trPr>
        <w:tc>
          <w:tcPr>
            <w:tcW w:w="5000" w:type="pct"/>
            <w:gridSpan w:val="3"/>
            <w:tcBorders>
              <w:top w:val="single" w:sz="4" w:space="0" w:color="F39200"/>
              <w:left w:val="nil"/>
              <w:bottom w:val="single" w:sz="4" w:space="0" w:color="F39200"/>
              <w:right w:val="nil"/>
            </w:tcBorders>
            <w:shd w:val="clear" w:color="auto" w:fill="auto"/>
            <w:vAlign w:val="center"/>
          </w:tcPr>
          <w:p w14:paraId="1AF9F156" w14:textId="77777777" w:rsidR="007E7325" w:rsidRPr="00FF4346" w:rsidRDefault="007E7325">
            <w:pPr>
              <w:jc w:val="center"/>
              <w:rPr>
                <w:rFonts w:ascii="CAIXA Std Book" w:eastAsia="Times New Roman" w:hAnsi="CAIXA Std Book" w:cs="Arial"/>
                <w:b/>
                <w:bCs/>
                <w:color w:val="005CA9"/>
                <w:sz w:val="18"/>
                <w:szCs w:val="18"/>
              </w:rPr>
            </w:pPr>
            <w:bookmarkStart w:id="92" w:name="_Hlk65762341"/>
            <w:bookmarkStart w:id="93" w:name="_Toc18312460"/>
            <w:bookmarkStart w:id="94" w:name="_Toc513569414"/>
            <w:r w:rsidRPr="00FF4346">
              <w:rPr>
                <w:rFonts w:ascii="CAIXA Std Book" w:eastAsia="Times New Roman" w:hAnsi="CAIXA Std Book" w:cs="Arial"/>
                <w:b/>
                <w:bCs/>
                <w:color w:val="005CA9"/>
                <w:sz w:val="18"/>
                <w:szCs w:val="18"/>
              </w:rPr>
              <w:t>INDIVIDUAL / CONSOLIDADO</w:t>
            </w:r>
          </w:p>
        </w:tc>
      </w:tr>
      <w:tr w:rsidR="007E7325" w:rsidRPr="00A33766" w14:paraId="311DE502" w14:textId="77777777">
        <w:trPr>
          <w:trHeight w:val="283"/>
        </w:trPr>
        <w:tc>
          <w:tcPr>
            <w:tcW w:w="3162" w:type="pct"/>
            <w:tcBorders>
              <w:top w:val="single" w:sz="4" w:space="0" w:color="F39200"/>
              <w:left w:val="nil"/>
              <w:bottom w:val="single" w:sz="4" w:space="0" w:color="F39200"/>
              <w:right w:val="nil"/>
            </w:tcBorders>
            <w:shd w:val="clear" w:color="auto" w:fill="auto"/>
            <w:vAlign w:val="center"/>
            <w:hideMark/>
          </w:tcPr>
          <w:p w14:paraId="471376C9" w14:textId="77777777" w:rsidR="007E7325" w:rsidRPr="00FF4346" w:rsidRDefault="007E7325">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955" w:type="pct"/>
            <w:tcBorders>
              <w:top w:val="nil"/>
              <w:left w:val="nil"/>
              <w:bottom w:val="single" w:sz="4" w:space="0" w:color="F39200"/>
              <w:right w:val="nil"/>
            </w:tcBorders>
            <w:shd w:val="clear" w:color="auto" w:fill="auto"/>
            <w:vAlign w:val="center"/>
          </w:tcPr>
          <w:p w14:paraId="50C0E94B" w14:textId="538CD32F" w:rsidR="007E7325" w:rsidRPr="00FF4346" w:rsidRDefault="00E465C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42695F">
              <w:rPr>
                <w:rFonts w:ascii="CAIXA Std Book" w:eastAsia="Times New Roman" w:hAnsi="CAIXA Std Book" w:cs="Arial"/>
                <w:b/>
                <w:bCs/>
                <w:color w:val="005CA9"/>
                <w:sz w:val="18"/>
                <w:szCs w:val="18"/>
              </w:rPr>
              <w:t>03</w:t>
            </w:r>
            <w:r w:rsidRPr="00FF4346">
              <w:rPr>
                <w:rFonts w:ascii="CAIXA Std Book" w:eastAsia="Times New Roman" w:hAnsi="CAIXA Std Book" w:cs="Arial"/>
                <w:b/>
                <w:bCs/>
                <w:color w:val="005CA9"/>
                <w:sz w:val="18"/>
                <w:szCs w:val="18"/>
              </w:rPr>
              <w:t>/202</w:t>
            </w:r>
            <w:r w:rsidR="0043598B">
              <w:rPr>
                <w:rFonts w:ascii="CAIXA Std Book" w:eastAsia="Times New Roman" w:hAnsi="CAIXA Std Book" w:cs="Arial"/>
                <w:b/>
                <w:bCs/>
                <w:color w:val="005CA9"/>
                <w:sz w:val="18"/>
                <w:szCs w:val="18"/>
              </w:rPr>
              <w:t>4</w:t>
            </w:r>
          </w:p>
        </w:tc>
        <w:tc>
          <w:tcPr>
            <w:tcW w:w="883" w:type="pct"/>
            <w:tcBorders>
              <w:top w:val="nil"/>
              <w:left w:val="nil"/>
              <w:bottom w:val="single" w:sz="4" w:space="0" w:color="F39200"/>
              <w:right w:val="nil"/>
            </w:tcBorders>
            <w:shd w:val="clear" w:color="auto" w:fill="auto"/>
            <w:vAlign w:val="center"/>
            <w:hideMark/>
          </w:tcPr>
          <w:p w14:paraId="13C2BEC9" w14:textId="75962C2E" w:rsidR="007E7325" w:rsidRPr="00FF4346" w:rsidRDefault="007E7325">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43598B">
              <w:rPr>
                <w:rFonts w:ascii="CAIXA Std Book" w:eastAsia="Times New Roman" w:hAnsi="CAIXA Std Book" w:cs="Arial"/>
                <w:b/>
                <w:bCs/>
                <w:color w:val="005CA9"/>
                <w:sz w:val="18"/>
                <w:szCs w:val="18"/>
              </w:rPr>
              <w:t>3</w:t>
            </w:r>
          </w:p>
        </w:tc>
      </w:tr>
      <w:tr w:rsidR="007E7325" w:rsidRPr="00A33766" w14:paraId="4619A601" w14:textId="77777777">
        <w:trPr>
          <w:trHeight w:val="283"/>
        </w:trPr>
        <w:tc>
          <w:tcPr>
            <w:tcW w:w="3162" w:type="pct"/>
            <w:tcBorders>
              <w:top w:val="nil"/>
              <w:left w:val="nil"/>
              <w:bottom w:val="nil"/>
              <w:right w:val="nil"/>
            </w:tcBorders>
            <w:shd w:val="clear" w:color="auto" w:fill="auto"/>
            <w:vAlign w:val="center"/>
            <w:hideMark/>
          </w:tcPr>
          <w:p w14:paraId="62E75C36" w14:textId="2A45C804"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Trabalhistas (b.</w:t>
            </w:r>
            <w:r w:rsidR="00265B07" w:rsidRPr="00FF4346">
              <w:rPr>
                <w:rFonts w:ascii="CAIXA Std Book" w:eastAsia="Times New Roman" w:hAnsi="CAIXA Std Book" w:cs="Arial"/>
                <w:color w:val="005CA9"/>
                <w:sz w:val="18"/>
                <w:szCs w:val="18"/>
              </w:rPr>
              <w:t>2</w:t>
            </w:r>
            <w:r w:rsidRPr="00FF4346">
              <w:rPr>
                <w:rFonts w:ascii="CAIXA Std Book" w:eastAsia="Times New Roman" w:hAnsi="CAIXA Std Book" w:cs="Arial"/>
                <w:color w:val="005CA9"/>
                <w:sz w:val="18"/>
                <w:szCs w:val="18"/>
              </w:rPr>
              <w:t>)</w:t>
            </w:r>
          </w:p>
        </w:tc>
        <w:tc>
          <w:tcPr>
            <w:tcW w:w="955" w:type="pct"/>
            <w:tcBorders>
              <w:top w:val="nil"/>
              <w:left w:val="nil"/>
              <w:bottom w:val="nil"/>
              <w:right w:val="nil"/>
            </w:tcBorders>
            <w:shd w:val="clear" w:color="auto" w:fill="auto"/>
            <w:vAlign w:val="center"/>
          </w:tcPr>
          <w:p w14:paraId="60C95F54" w14:textId="75A888DB"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6.922.102</w:t>
            </w:r>
          </w:p>
        </w:tc>
        <w:tc>
          <w:tcPr>
            <w:tcW w:w="883" w:type="pct"/>
            <w:tcBorders>
              <w:top w:val="nil"/>
              <w:left w:val="nil"/>
              <w:bottom w:val="nil"/>
              <w:right w:val="nil"/>
            </w:tcBorders>
            <w:shd w:val="clear" w:color="auto" w:fill="auto"/>
            <w:vAlign w:val="center"/>
            <w:hideMark/>
          </w:tcPr>
          <w:p w14:paraId="285AFFF2" w14:textId="5A7501A6"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7.014.653</w:t>
            </w:r>
          </w:p>
        </w:tc>
      </w:tr>
      <w:tr w:rsidR="007E7325" w:rsidRPr="00A33766" w14:paraId="0A3BFC89" w14:textId="77777777">
        <w:trPr>
          <w:trHeight w:val="283"/>
        </w:trPr>
        <w:tc>
          <w:tcPr>
            <w:tcW w:w="3162" w:type="pct"/>
            <w:tcBorders>
              <w:top w:val="nil"/>
              <w:left w:val="nil"/>
              <w:bottom w:val="nil"/>
              <w:right w:val="nil"/>
            </w:tcBorders>
            <w:shd w:val="clear" w:color="auto" w:fill="auto"/>
            <w:vAlign w:val="center"/>
            <w:hideMark/>
          </w:tcPr>
          <w:p w14:paraId="61024BF4" w14:textId="5868617B"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Cíveis (b.</w:t>
            </w:r>
            <w:r w:rsidR="00265B07" w:rsidRPr="00FF4346">
              <w:rPr>
                <w:rFonts w:ascii="CAIXA Std Book" w:eastAsia="Times New Roman" w:hAnsi="CAIXA Std Book" w:cs="Arial"/>
                <w:color w:val="005CA9"/>
                <w:sz w:val="18"/>
                <w:szCs w:val="18"/>
              </w:rPr>
              <w:t>3</w:t>
            </w:r>
            <w:r w:rsidRPr="00FF4346">
              <w:rPr>
                <w:rFonts w:ascii="CAIXA Std Book" w:eastAsia="Times New Roman" w:hAnsi="CAIXA Std Book" w:cs="Arial"/>
                <w:color w:val="005CA9"/>
                <w:sz w:val="18"/>
                <w:szCs w:val="18"/>
              </w:rPr>
              <w:t>)</w:t>
            </w:r>
          </w:p>
        </w:tc>
        <w:tc>
          <w:tcPr>
            <w:tcW w:w="955" w:type="pct"/>
            <w:tcBorders>
              <w:top w:val="nil"/>
              <w:left w:val="nil"/>
              <w:bottom w:val="nil"/>
              <w:right w:val="nil"/>
            </w:tcBorders>
            <w:shd w:val="clear" w:color="auto" w:fill="auto"/>
            <w:vAlign w:val="center"/>
          </w:tcPr>
          <w:p w14:paraId="3028B672" w14:textId="5D97242E"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4.061.922</w:t>
            </w:r>
          </w:p>
        </w:tc>
        <w:tc>
          <w:tcPr>
            <w:tcW w:w="883" w:type="pct"/>
            <w:tcBorders>
              <w:top w:val="nil"/>
              <w:left w:val="nil"/>
              <w:bottom w:val="nil"/>
              <w:right w:val="nil"/>
            </w:tcBorders>
            <w:shd w:val="clear" w:color="auto" w:fill="auto"/>
            <w:vAlign w:val="center"/>
            <w:hideMark/>
          </w:tcPr>
          <w:p w14:paraId="24EBEEFC" w14:textId="3BF18A97"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3.927.938</w:t>
            </w:r>
          </w:p>
        </w:tc>
      </w:tr>
      <w:tr w:rsidR="007E7325" w:rsidRPr="00A33766" w14:paraId="276C5FFB" w14:textId="77777777">
        <w:trPr>
          <w:trHeight w:val="283"/>
        </w:trPr>
        <w:tc>
          <w:tcPr>
            <w:tcW w:w="3162" w:type="pct"/>
            <w:tcBorders>
              <w:top w:val="nil"/>
              <w:left w:val="nil"/>
              <w:bottom w:val="nil"/>
              <w:right w:val="nil"/>
            </w:tcBorders>
            <w:shd w:val="clear" w:color="auto" w:fill="auto"/>
            <w:vAlign w:val="center"/>
            <w:hideMark/>
          </w:tcPr>
          <w:p w14:paraId="3A53D615" w14:textId="478B1401"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Fiscais (b.</w:t>
            </w:r>
            <w:r w:rsidR="00702215" w:rsidRPr="00FF4346">
              <w:rPr>
                <w:rFonts w:ascii="CAIXA Std Book" w:eastAsia="Times New Roman" w:hAnsi="CAIXA Std Book" w:cs="Arial"/>
                <w:color w:val="005CA9"/>
                <w:sz w:val="18"/>
                <w:szCs w:val="18"/>
              </w:rPr>
              <w:t>4</w:t>
            </w:r>
            <w:r w:rsidRPr="00FF4346">
              <w:rPr>
                <w:rFonts w:ascii="CAIXA Std Book" w:eastAsia="Times New Roman" w:hAnsi="CAIXA Std Book" w:cs="Arial"/>
                <w:color w:val="005CA9"/>
                <w:sz w:val="18"/>
                <w:szCs w:val="18"/>
              </w:rPr>
              <w:t>)</w:t>
            </w:r>
          </w:p>
        </w:tc>
        <w:tc>
          <w:tcPr>
            <w:tcW w:w="955" w:type="pct"/>
            <w:tcBorders>
              <w:top w:val="nil"/>
              <w:left w:val="nil"/>
              <w:bottom w:val="nil"/>
              <w:right w:val="nil"/>
            </w:tcBorders>
            <w:shd w:val="clear" w:color="auto" w:fill="auto"/>
            <w:vAlign w:val="center"/>
          </w:tcPr>
          <w:p w14:paraId="3D48B3F4" w14:textId="0A53E4D6"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581.710</w:t>
            </w:r>
          </w:p>
        </w:tc>
        <w:tc>
          <w:tcPr>
            <w:tcW w:w="883" w:type="pct"/>
            <w:tcBorders>
              <w:top w:val="nil"/>
              <w:left w:val="nil"/>
              <w:bottom w:val="nil"/>
              <w:right w:val="nil"/>
            </w:tcBorders>
            <w:shd w:val="clear" w:color="auto" w:fill="auto"/>
            <w:vAlign w:val="center"/>
            <w:hideMark/>
          </w:tcPr>
          <w:p w14:paraId="292C66B1" w14:textId="15B0DEB3"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651.757</w:t>
            </w:r>
          </w:p>
        </w:tc>
      </w:tr>
      <w:tr w:rsidR="007E7325" w:rsidRPr="00A33766" w14:paraId="41EBB559" w14:textId="77777777">
        <w:trPr>
          <w:trHeight w:val="283"/>
        </w:trPr>
        <w:tc>
          <w:tcPr>
            <w:tcW w:w="3162" w:type="pct"/>
            <w:tcBorders>
              <w:top w:val="nil"/>
              <w:left w:val="nil"/>
              <w:bottom w:val="nil"/>
              <w:right w:val="nil"/>
            </w:tcBorders>
            <w:shd w:val="clear" w:color="auto" w:fill="auto"/>
            <w:vAlign w:val="center"/>
            <w:hideMark/>
          </w:tcPr>
          <w:p w14:paraId="03AAE532" w14:textId="0402991E"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Pré-pagamento FGTS</w:t>
            </w:r>
            <w:r w:rsidR="00702215" w:rsidRPr="00FF4346">
              <w:rPr>
                <w:rFonts w:ascii="CAIXA Std Book" w:eastAsia="Times New Roman" w:hAnsi="CAIXA Std Book" w:cs="Arial"/>
                <w:color w:val="005CA9"/>
                <w:sz w:val="18"/>
                <w:szCs w:val="18"/>
              </w:rPr>
              <w:t xml:space="preserve"> (c)</w:t>
            </w:r>
          </w:p>
        </w:tc>
        <w:tc>
          <w:tcPr>
            <w:tcW w:w="955" w:type="pct"/>
            <w:tcBorders>
              <w:top w:val="nil"/>
              <w:left w:val="nil"/>
              <w:bottom w:val="nil"/>
              <w:right w:val="nil"/>
            </w:tcBorders>
            <w:shd w:val="clear" w:color="auto" w:fill="auto"/>
            <w:vAlign w:val="center"/>
          </w:tcPr>
          <w:p w14:paraId="4E276DCE" w14:textId="4F7E9D57"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1.638.745</w:t>
            </w:r>
          </w:p>
        </w:tc>
        <w:tc>
          <w:tcPr>
            <w:tcW w:w="883" w:type="pct"/>
            <w:tcBorders>
              <w:top w:val="nil"/>
              <w:left w:val="nil"/>
              <w:bottom w:val="nil"/>
              <w:right w:val="nil"/>
            </w:tcBorders>
            <w:shd w:val="clear" w:color="auto" w:fill="auto"/>
            <w:vAlign w:val="center"/>
            <w:hideMark/>
          </w:tcPr>
          <w:p w14:paraId="59AC4BFB" w14:textId="15FB8D54"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1.592.649</w:t>
            </w:r>
          </w:p>
        </w:tc>
      </w:tr>
      <w:tr w:rsidR="007E7325" w:rsidRPr="00A33766" w14:paraId="6018C146" w14:textId="77777777">
        <w:trPr>
          <w:trHeight w:val="283"/>
        </w:trPr>
        <w:tc>
          <w:tcPr>
            <w:tcW w:w="3162" w:type="pct"/>
            <w:tcBorders>
              <w:top w:val="nil"/>
              <w:left w:val="nil"/>
              <w:bottom w:val="nil"/>
              <w:right w:val="nil"/>
            </w:tcBorders>
            <w:shd w:val="clear" w:color="auto" w:fill="auto"/>
            <w:vAlign w:val="center"/>
            <w:hideMark/>
          </w:tcPr>
          <w:p w14:paraId="0A98F705" w14:textId="3D02CFE3"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Bolsa família</w:t>
            </w:r>
            <w:r w:rsidR="00702215" w:rsidRPr="00FF4346">
              <w:rPr>
                <w:rFonts w:ascii="CAIXA Std Book" w:eastAsia="Times New Roman" w:hAnsi="CAIXA Std Book" w:cs="Arial"/>
                <w:color w:val="005CA9"/>
                <w:sz w:val="18"/>
                <w:szCs w:val="18"/>
              </w:rPr>
              <w:t xml:space="preserve"> (d)</w:t>
            </w:r>
          </w:p>
        </w:tc>
        <w:tc>
          <w:tcPr>
            <w:tcW w:w="955" w:type="pct"/>
            <w:tcBorders>
              <w:top w:val="nil"/>
              <w:left w:val="nil"/>
              <w:bottom w:val="nil"/>
              <w:right w:val="nil"/>
            </w:tcBorders>
            <w:shd w:val="clear" w:color="auto" w:fill="auto"/>
            <w:vAlign w:val="center"/>
          </w:tcPr>
          <w:p w14:paraId="29492C92" w14:textId="5E4A157D" w:rsidR="007E7325" w:rsidRPr="00FF4346" w:rsidRDefault="00976E04" w:rsidP="00F72350">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883" w:type="pct"/>
            <w:tcBorders>
              <w:top w:val="nil"/>
              <w:left w:val="nil"/>
              <w:bottom w:val="nil"/>
              <w:right w:val="nil"/>
            </w:tcBorders>
            <w:shd w:val="clear" w:color="auto" w:fill="auto"/>
            <w:vAlign w:val="center"/>
            <w:hideMark/>
          </w:tcPr>
          <w:p w14:paraId="773FA7E4" w14:textId="62F5435F"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322.230</w:t>
            </w:r>
          </w:p>
        </w:tc>
      </w:tr>
      <w:tr w:rsidR="007E7325" w:rsidRPr="00A33766" w14:paraId="7247DA6C" w14:textId="77777777">
        <w:trPr>
          <w:trHeight w:val="283"/>
        </w:trPr>
        <w:tc>
          <w:tcPr>
            <w:tcW w:w="3162" w:type="pct"/>
            <w:tcBorders>
              <w:top w:val="nil"/>
              <w:left w:val="nil"/>
              <w:bottom w:val="nil"/>
              <w:right w:val="nil"/>
            </w:tcBorders>
            <w:shd w:val="clear" w:color="auto" w:fill="auto"/>
            <w:vAlign w:val="center"/>
            <w:hideMark/>
          </w:tcPr>
          <w:p w14:paraId="30BB868D" w14:textId="598294C2"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Garantias financeiras prestadas</w:t>
            </w:r>
            <w:r w:rsidR="00702215" w:rsidRPr="00FF4346">
              <w:rPr>
                <w:rFonts w:ascii="CAIXA Std Book" w:eastAsia="Times New Roman" w:hAnsi="CAIXA Std Book" w:cs="Arial"/>
                <w:color w:val="005CA9"/>
                <w:sz w:val="18"/>
                <w:szCs w:val="18"/>
              </w:rPr>
              <w:t xml:space="preserve"> (e)</w:t>
            </w:r>
          </w:p>
        </w:tc>
        <w:tc>
          <w:tcPr>
            <w:tcW w:w="955" w:type="pct"/>
            <w:tcBorders>
              <w:top w:val="nil"/>
              <w:left w:val="nil"/>
              <w:bottom w:val="nil"/>
              <w:right w:val="nil"/>
            </w:tcBorders>
            <w:shd w:val="clear" w:color="auto" w:fill="auto"/>
            <w:vAlign w:val="center"/>
          </w:tcPr>
          <w:p w14:paraId="2525AD2F" w14:textId="5141F1D4"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79.968</w:t>
            </w:r>
          </w:p>
        </w:tc>
        <w:tc>
          <w:tcPr>
            <w:tcW w:w="883" w:type="pct"/>
            <w:tcBorders>
              <w:top w:val="nil"/>
              <w:left w:val="nil"/>
              <w:bottom w:val="nil"/>
              <w:right w:val="nil"/>
            </w:tcBorders>
            <w:shd w:val="clear" w:color="auto" w:fill="auto"/>
            <w:vAlign w:val="center"/>
            <w:hideMark/>
          </w:tcPr>
          <w:p w14:paraId="3171B55F" w14:textId="3E90C116"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80.244</w:t>
            </w:r>
          </w:p>
        </w:tc>
      </w:tr>
      <w:tr w:rsidR="007E7325" w:rsidRPr="00A33766" w14:paraId="5AE93D31" w14:textId="77777777" w:rsidTr="00056979">
        <w:trPr>
          <w:trHeight w:val="283"/>
        </w:trPr>
        <w:tc>
          <w:tcPr>
            <w:tcW w:w="3162" w:type="pct"/>
            <w:tcBorders>
              <w:top w:val="nil"/>
              <w:left w:val="nil"/>
              <w:bottom w:val="nil"/>
              <w:right w:val="nil"/>
            </w:tcBorders>
            <w:shd w:val="clear" w:color="auto" w:fill="auto"/>
            <w:vAlign w:val="center"/>
            <w:hideMark/>
          </w:tcPr>
          <w:p w14:paraId="49934411" w14:textId="77777777"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Demais</w:t>
            </w:r>
          </w:p>
        </w:tc>
        <w:tc>
          <w:tcPr>
            <w:tcW w:w="955" w:type="pct"/>
            <w:tcBorders>
              <w:top w:val="nil"/>
              <w:left w:val="nil"/>
              <w:bottom w:val="single" w:sz="4" w:space="0" w:color="F39200"/>
              <w:right w:val="nil"/>
            </w:tcBorders>
            <w:shd w:val="clear" w:color="auto" w:fill="auto"/>
            <w:vAlign w:val="center"/>
          </w:tcPr>
          <w:p w14:paraId="31A70A22" w14:textId="69E734D8" w:rsidR="007E7325" w:rsidRPr="00FF4346" w:rsidRDefault="00976E04">
            <w:pPr>
              <w:jc w:val="right"/>
              <w:rPr>
                <w:rFonts w:ascii="CAIXA Std Book" w:eastAsia="Times New Roman" w:hAnsi="CAIXA Std Book" w:cs="Arial"/>
                <w:color w:val="005CA9"/>
                <w:sz w:val="18"/>
                <w:szCs w:val="18"/>
              </w:rPr>
            </w:pPr>
            <w:r w:rsidRPr="00056979">
              <w:rPr>
                <w:rFonts w:ascii="CAIXA Std Book" w:eastAsia="Times New Roman" w:hAnsi="CAIXA Std Book" w:cs="Arial"/>
                <w:color w:val="005CA9"/>
                <w:sz w:val="18"/>
                <w:szCs w:val="18"/>
              </w:rPr>
              <w:t>26.304</w:t>
            </w:r>
          </w:p>
        </w:tc>
        <w:tc>
          <w:tcPr>
            <w:tcW w:w="883" w:type="pct"/>
            <w:tcBorders>
              <w:top w:val="nil"/>
              <w:left w:val="nil"/>
              <w:bottom w:val="nil"/>
              <w:right w:val="nil"/>
            </w:tcBorders>
            <w:shd w:val="clear" w:color="auto" w:fill="auto"/>
            <w:vAlign w:val="center"/>
            <w:hideMark/>
          </w:tcPr>
          <w:p w14:paraId="703C788A" w14:textId="53CC2A1E" w:rsidR="007E7325" w:rsidRPr="00FF4346" w:rsidRDefault="0043598B">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27.703</w:t>
            </w:r>
          </w:p>
        </w:tc>
      </w:tr>
      <w:tr w:rsidR="007E7325" w:rsidRPr="00A33766" w14:paraId="14790219" w14:textId="77777777">
        <w:trPr>
          <w:trHeight w:val="283"/>
        </w:trPr>
        <w:tc>
          <w:tcPr>
            <w:tcW w:w="3162" w:type="pct"/>
            <w:tcBorders>
              <w:top w:val="single" w:sz="4" w:space="0" w:color="F39200"/>
              <w:left w:val="nil"/>
              <w:bottom w:val="single" w:sz="4" w:space="0" w:color="F39200"/>
              <w:right w:val="nil"/>
            </w:tcBorders>
            <w:shd w:val="clear" w:color="auto" w:fill="auto"/>
            <w:vAlign w:val="center"/>
            <w:hideMark/>
          </w:tcPr>
          <w:p w14:paraId="40DD72C4" w14:textId="77777777" w:rsidR="007E7325" w:rsidRPr="00FF4346" w:rsidRDefault="007E7325">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 xml:space="preserve">Total </w:t>
            </w:r>
          </w:p>
        </w:tc>
        <w:tc>
          <w:tcPr>
            <w:tcW w:w="955" w:type="pct"/>
            <w:tcBorders>
              <w:top w:val="single" w:sz="4" w:space="0" w:color="F39200"/>
              <w:left w:val="nil"/>
              <w:bottom w:val="single" w:sz="4" w:space="0" w:color="F39200"/>
              <w:right w:val="nil"/>
            </w:tcBorders>
            <w:shd w:val="clear" w:color="auto" w:fill="auto"/>
            <w:vAlign w:val="center"/>
          </w:tcPr>
          <w:p w14:paraId="0A88AD9C" w14:textId="65E332B6" w:rsidR="007E7325" w:rsidRPr="00FF4346" w:rsidRDefault="00976E04">
            <w:pPr>
              <w:jc w:val="right"/>
              <w:rPr>
                <w:rFonts w:ascii="CAIXA Std Book" w:eastAsia="Times New Roman" w:hAnsi="CAIXA Std Book" w:cs="Arial"/>
                <w:b/>
                <w:bCs/>
                <w:color w:val="005CA9"/>
                <w:sz w:val="18"/>
                <w:szCs w:val="18"/>
              </w:rPr>
            </w:pPr>
            <w:r w:rsidRPr="00B82C90">
              <w:rPr>
                <w:rFonts w:ascii="CAIXA Std Book" w:eastAsia="Times New Roman" w:hAnsi="CAIXA Std Book" w:cs="Arial"/>
                <w:b/>
                <w:bCs/>
                <w:color w:val="005CA9"/>
                <w:sz w:val="18"/>
                <w:szCs w:val="18"/>
              </w:rPr>
              <w:t>13.310.751</w:t>
            </w:r>
          </w:p>
        </w:tc>
        <w:tc>
          <w:tcPr>
            <w:tcW w:w="883" w:type="pct"/>
            <w:tcBorders>
              <w:top w:val="single" w:sz="4" w:space="0" w:color="F39200"/>
              <w:left w:val="nil"/>
              <w:bottom w:val="single" w:sz="4" w:space="0" w:color="F39200"/>
              <w:right w:val="nil"/>
            </w:tcBorders>
            <w:shd w:val="clear" w:color="auto" w:fill="auto"/>
            <w:vAlign w:val="center"/>
            <w:hideMark/>
          </w:tcPr>
          <w:p w14:paraId="3878FC6F" w14:textId="613F4609" w:rsidR="007E7325" w:rsidRPr="00FF4346" w:rsidRDefault="0043598B">
            <w:pPr>
              <w:jc w:val="right"/>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13.617.174</w:t>
            </w:r>
          </w:p>
        </w:tc>
      </w:tr>
      <w:tr w:rsidR="007E7325" w:rsidRPr="00A33766" w14:paraId="7AC8C58F" w14:textId="77777777" w:rsidTr="00056979">
        <w:trPr>
          <w:trHeight w:val="283"/>
        </w:trPr>
        <w:tc>
          <w:tcPr>
            <w:tcW w:w="3162" w:type="pct"/>
            <w:tcBorders>
              <w:top w:val="nil"/>
              <w:left w:val="nil"/>
              <w:bottom w:val="nil"/>
              <w:right w:val="nil"/>
            </w:tcBorders>
            <w:shd w:val="clear" w:color="auto" w:fill="auto"/>
            <w:vAlign w:val="center"/>
            <w:hideMark/>
          </w:tcPr>
          <w:p w14:paraId="01522F69" w14:textId="77777777"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circulante</w:t>
            </w:r>
          </w:p>
        </w:tc>
        <w:tc>
          <w:tcPr>
            <w:tcW w:w="955" w:type="pct"/>
            <w:tcBorders>
              <w:top w:val="single" w:sz="4" w:space="0" w:color="F39200"/>
              <w:left w:val="nil"/>
              <w:right w:val="nil"/>
            </w:tcBorders>
            <w:shd w:val="clear" w:color="auto" w:fill="auto"/>
            <w:vAlign w:val="center"/>
          </w:tcPr>
          <w:p w14:paraId="48F176B5" w14:textId="581D4DB4"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5.175.215</w:t>
            </w:r>
          </w:p>
        </w:tc>
        <w:tc>
          <w:tcPr>
            <w:tcW w:w="883" w:type="pct"/>
            <w:tcBorders>
              <w:top w:val="nil"/>
              <w:left w:val="nil"/>
              <w:right w:val="nil"/>
            </w:tcBorders>
            <w:shd w:val="clear" w:color="auto" w:fill="auto"/>
            <w:vAlign w:val="center"/>
            <w:hideMark/>
          </w:tcPr>
          <w:p w14:paraId="7263D3FF" w14:textId="58C262D7" w:rsidR="007E7325" w:rsidRPr="00FF4346" w:rsidRDefault="0043598B">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5.464.074</w:t>
            </w:r>
          </w:p>
        </w:tc>
      </w:tr>
      <w:tr w:rsidR="007E7325" w:rsidRPr="00A33766" w14:paraId="0BF529C5" w14:textId="77777777">
        <w:trPr>
          <w:trHeight w:val="283"/>
        </w:trPr>
        <w:tc>
          <w:tcPr>
            <w:tcW w:w="3162" w:type="pct"/>
            <w:tcBorders>
              <w:top w:val="nil"/>
              <w:left w:val="nil"/>
              <w:bottom w:val="single" w:sz="4" w:space="0" w:color="F39200"/>
              <w:right w:val="nil"/>
            </w:tcBorders>
            <w:shd w:val="clear" w:color="auto" w:fill="auto"/>
            <w:vAlign w:val="center"/>
            <w:hideMark/>
          </w:tcPr>
          <w:p w14:paraId="034FFCC2" w14:textId="77777777" w:rsidR="007E7325" w:rsidRPr="00FF4346" w:rsidRDefault="007E732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 não circulante</w:t>
            </w:r>
          </w:p>
        </w:tc>
        <w:tc>
          <w:tcPr>
            <w:tcW w:w="955" w:type="pct"/>
            <w:tcBorders>
              <w:top w:val="nil"/>
              <w:left w:val="nil"/>
              <w:bottom w:val="single" w:sz="4" w:space="0" w:color="F39200"/>
              <w:right w:val="nil"/>
            </w:tcBorders>
            <w:shd w:val="clear" w:color="auto" w:fill="auto"/>
            <w:vAlign w:val="center"/>
          </w:tcPr>
          <w:p w14:paraId="2EA0510E" w14:textId="773AC735" w:rsidR="007E7325" w:rsidRPr="00FF4346" w:rsidRDefault="00976E04">
            <w:pPr>
              <w:jc w:val="right"/>
              <w:rPr>
                <w:rFonts w:ascii="CAIXA Std Book" w:eastAsia="Times New Roman" w:hAnsi="CAIXA Std Book" w:cs="Arial"/>
                <w:color w:val="005CA9"/>
                <w:sz w:val="18"/>
                <w:szCs w:val="18"/>
              </w:rPr>
            </w:pPr>
            <w:r>
              <w:rPr>
                <w:rFonts w:ascii="CAIXA Std Book" w:hAnsi="CAIXA Std Book" w:cs="Arial"/>
                <w:color w:val="005CA9"/>
                <w:sz w:val="18"/>
                <w:szCs w:val="18"/>
              </w:rPr>
              <w:t>8.135.536</w:t>
            </w:r>
          </w:p>
        </w:tc>
        <w:tc>
          <w:tcPr>
            <w:tcW w:w="883" w:type="pct"/>
            <w:tcBorders>
              <w:top w:val="nil"/>
              <w:left w:val="nil"/>
              <w:bottom w:val="single" w:sz="4" w:space="0" w:color="F39200"/>
              <w:right w:val="nil"/>
            </w:tcBorders>
            <w:shd w:val="clear" w:color="auto" w:fill="auto"/>
            <w:vAlign w:val="center"/>
            <w:hideMark/>
          </w:tcPr>
          <w:p w14:paraId="575250DE" w14:textId="7C70F02F" w:rsidR="007E7325" w:rsidRPr="00FF4346" w:rsidRDefault="0043598B">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8.153.100</w:t>
            </w:r>
          </w:p>
        </w:tc>
      </w:tr>
    </w:tbl>
    <w:p w14:paraId="4EEED29B" w14:textId="77777777" w:rsidR="000B3640" w:rsidRPr="00FF4346" w:rsidRDefault="000B3640" w:rsidP="000B3640">
      <w:pPr>
        <w:tabs>
          <w:tab w:val="left" w:pos="1650"/>
        </w:tabs>
        <w:spacing w:before="240" w:after="240"/>
        <w:jc w:val="both"/>
        <w:rPr>
          <w:rFonts w:ascii="CAIXA Std Book" w:hAnsi="CAIXA Std Book"/>
          <w:color w:val="005CA9"/>
          <w:sz w:val="20"/>
          <w:szCs w:val="20"/>
        </w:rPr>
      </w:pPr>
      <w:r w:rsidRPr="00FF4346">
        <w:rPr>
          <w:rFonts w:ascii="CAIXA Std Book" w:hAnsi="CAIXA Std Book"/>
          <w:color w:val="005CA9"/>
          <w:sz w:val="20"/>
          <w:szCs w:val="20"/>
        </w:rPr>
        <w:t>A CAIXA não possui ativos contingentes cuja entrada de benefícios econômicos seja classificada como provável.</w:t>
      </w:r>
    </w:p>
    <w:p w14:paraId="3B126724" w14:textId="079544E5" w:rsidR="000B3640" w:rsidRPr="00FF4346" w:rsidRDefault="000B3640" w:rsidP="000B3640">
      <w:pPr>
        <w:keepNext/>
        <w:numPr>
          <w:ilvl w:val="0"/>
          <w:numId w:val="5"/>
        </w:numPr>
        <w:spacing w:before="240" w:after="240"/>
        <w:ind w:left="567" w:hanging="567"/>
        <w:jc w:val="both"/>
        <w:rPr>
          <w:rFonts w:ascii="CAIXA Std Book" w:hAnsi="CAIXA Std Book"/>
          <w:b/>
          <w:bCs/>
          <w:color w:val="005CA9"/>
          <w:sz w:val="20"/>
          <w:szCs w:val="20"/>
        </w:rPr>
      </w:pPr>
      <w:r w:rsidRPr="00FF4346">
        <w:rPr>
          <w:rFonts w:ascii="CAIXA Std Book" w:hAnsi="CAIXA Std Book"/>
          <w:b/>
          <w:bCs/>
          <w:color w:val="005CA9"/>
          <w:sz w:val="20"/>
          <w:szCs w:val="20"/>
        </w:rPr>
        <w:t>Provisões para causas judiciais e obrigações fiscais e previdenciárias</w:t>
      </w:r>
    </w:p>
    <w:p w14:paraId="4C0B99F5" w14:textId="77777777" w:rsidR="00910878" w:rsidRPr="00FF4346" w:rsidRDefault="00910878" w:rsidP="000B3640">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A CAIXA é parte em processos judiciais e administrativos de natureza tributária, cível e trabalhista, decorrentes do curso normal de seus negócios. Com base em pareceres dos seus advogados e levando em consideração que os procedimentos adotados pela CAIXA guardam conformidade com as previsões legais e regulamentares, a Administração entende que as provisões constituídas são suficientes para suportar os riscos de eventuais decisões desfavoráveis nesses processos.</w:t>
      </w:r>
    </w:p>
    <w:p w14:paraId="741E2996" w14:textId="7AD1E0DF" w:rsidR="00910878" w:rsidRPr="00FF4346" w:rsidRDefault="008F6D56" w:rsidP="000B3640">
      <w:pPr>
        <w:tabs>
          <w:tab w:val="left" w:pos="1650"/>
        </w:tabs>
        <w:spacing w:before="120" w:after="120"/>
        <w:jc w:val="both"/>
        <w:rPr>
          <w:rFonts w:ascii="CAIXA Std Book" w:hAnsi="CAIXA Std Book"/>
          <w:color w:val="005CA9"/>
          <w:sz w:val="20"/>
          <w:szCs w:val="20"/>
          <w:highlight w:val="yellow"/>
        </w:rPr>
      </w:pPr>
      <w:r w:rsidRPr="008F6D56">
        <w:rPr>
          <w:rFonts w:ascii="CAIXA Std Book" w:hAnsi="CAIXA Std Book"/>
          <w:color w:val="005CA9"/>
          <w:sz w:val="20"/>
          <w:szCs w:val="20"/>
        </w:rPr>
        <w:lastRenderedPageBreak/>
        <w:t xml:space="preserve">Considerando o elevado número de processos administrativos e judiciais, a CAIXA utiliza as seguintes metodologias para calcular o valor provável de </w:t>
      </w:r>
      <w:proofErr w:type="gramStart"/>
      <w:r w:rsidRPr="008F6D56">
        <w:rPr>
          <w:rFonts w:ascii="CAIXA Std Book" w:hAnsi="CAIXA Std Book"/>
          <w:color w:val="005CA9"/>
          <w:sz w:val="20"/>
          <w:szCs w:val="20"/>
        </w:rPr>
        <w:t>desembolso:</w:t>
      </w:r>
      <w:r w:rsidR="00910878" w:rsidRPr="00FF4346">
        <w:rPr>
          <w:rFonts w:ascii="CAIXA Std Book" w:hAnsi="CAIXA Std Book"/>
          <w:color w:val="005CA9"/>
          <w:sz w:val="20"/>
          <w:szCs w:val="20"/>
        </w:rPr>
        <w:t>:</w:t>
      </w:r>
      <w:proofErr w:type="gramEnd"/>
    </w:p>
    <w:bookmarkEnd w:id="92"/>
    <w:p w14:paraId="10755D5C" w14:textId="03C39A58" w:rsidR="004F6BEA" w:rsidRPr="00FF4346" w:rsidRDefault="008E59FC" w:rsidP="004F6BEA">
      <w:pPr>
        <w:tabs>
          <w:tab w:val="left" w:pos="1650"/>
        </w:tabs>
        <w:spacing w:before="120" w:after="120"/>
        <w:jc w:val="both"/>
        <w:rPr>
          <w:rFonts w:ascii="CAIXA Std Book" w:hAnsi="CAIXA Std Book"/>
          <w:color w:val="005CA9"/>
          <w:sz w:val="20"/>
          <w:szCs w:val="20"/>
        </w:rPr>
      </w:pPr>
      <w:r w:rsidRPr="008E59FC">
        <w:rPr>
          <w:rFonts w:ascii="CAIXA Std Book" w:hAnsi="CAIXA Std Book"/>
          <w:color w:val="005CA9"/>
          <w:sz w:val="20"/>
          <w:szCs w:val="20"/>
        </w:rPr>
        <w:t>a) individualizada, na qual se estima o valor provável da condenação (valor provisionado); este cálculo parte da repercussão econômica dos pedidos feitos pelo autor e é ponderado com a situação do processo e a jurisprudência predominante em causas similares; tais ações são classificadas como de perda provável, possível ou remota;</w:t>
      </w:r>
    </w:p>
    <w:p w14:paraId="77B7CBD2" w14:textId="4089431E" w:rsidR="005A0F72" w:rsidRDefault="007D5A17" w:rsidP="007D5A17">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b)</w:t>
      </w:r>
      <w:r w:rsidR="00120320">
        <w:rPr>
          <w:rFonts w:ascii="CAIXA Std Book" w:hAnsi="CAIXA Std Book"/>
          <w:color w:val="005CA9"/>
          <w:sz w:val="20"/>
          <w:szCs w:val="20"/>
        </w:rPr>
        <w:t xml:space="preserve"> </w:t>
      </w:r>
      <w:r w:rsidR="00261A1F">
        <w:rPr>
          <w:rFonts w:ascii="CAIXA Std Book" w:hAnsi="CAIXA Std Book"/>
          <w:color w:val="005CA9"/>
          <w:sz w:val="20"/>
          <w:szCs w:val="20"/>
        </w:rPr>
        <w:t xml:space="preserve">metodologia </w:t>
      </w:r>
      <w:r w:rsidRPr="00FF4346">
        <w:rPr>
          <w:rFonts w:ascii="CAIXA Std Book" w:hAnsi="CAIXA Std Book"/>
          <w:color w:val="005CA9"/>
          <w:sz w:val="20"/>
          <w:szCs w:val="20"/>
        </w:rPr>
        <w:t>massificada</w:t>
      </w:r>
      <w:r w:rsidR="000032E2">
        <w:rPr>
          <w:rFonts w:ascii="CAIXA Std Book" w:hAnsi="CAIXA Std Book"/>
          <w:color w:val="005CA9"/>
          <w:sz w:val="20"/>
          <w:szCs w:val="20"/>
        </w:rPr>
        <w:t xml:space="preserve"> </w:t>
      </w:r>
      <w:r w:rsidR="008E59FC" w:rsidRPr="008E59FC">
        <w:rPr>
          <w:rFonts w:ascii="CAIXA Std Book" w:hAnsi="CAIXA Std Book"/>
          <w:color w:val="005CA9"/>
          <w:sz w:val="20"/>
          <w:szCs w:val="20"/>
        </w:rPr>
        <w:t>em que o valor provisionado corresponde ao valor médio histórico de condenação pago em processos similares nos últimos 36 meses, multiplicado pelo total de processos provisionáveis ativos, e são classificadas como prováveis</w:t>
      </w:r>
      <w:r w:rsidR="00120320">
        <w:rPr>
          <w:rFonts w:ascii="CAIXA Std Book" w:hAnsi="CAIXA Std Book"/>
          <w:color w:val="005CA9"/>
          <w:sz w:val="20"/>
          <w:szCs w:val="20"/>
        </w:rPr>
        <w:t>;</w:t>
      </w:r>
    </w:p>
    <w:p w14:paraId="69A73391" w14:textId="1C29574A" w:rsidR="008E59FC" w:rsidRPr="00FF4346" w:rsidRDefault="008E59FC" w:rsidP="007D5A17">
      <w:pPr>
        <w:tabs>
          <w:tab w:val="left" w:pos="1650"/>
        </w:tabs>
        <w:spacing w:before="120" w:after="120"/>
        <w:jc w:val="both"/>
        <w:rPr>
          <w:rFonts w:ascii="CAIXA Std Book" w:hAnsi="CAIXA Std Book"/>
          <w:color w:val="005CA9"/>
          <w:sz w:val="20"/>
          <w:szCs w:val="20"/>
        </w:rPr>
      </w:pPr>
      <w:r>
        <w:rPr>
          <w:rFonts w:ascii="CAIXA Std Book" w:hAnsi="CAIXA Std Book"/>
          <w:color w:val="005CA9"/>
          <w:sz w:val="20"/>
          <w:szCs w:val="20"/>
        </w:rPr>
        <w:t xml:space="preserve">c) </w:t>
      </w:r>
      <w:r w:rsidR="00120320" w:rsidRPr="00120320">
        <w:rPr>
          <w:rFonts w:ascii="CAIXA Std Book" w:hAnsi="CAIXA Std Book"/>
          <w:color w:val="005CA9"/>
          <w:sz w:val="20"/>
          <w:szCs w:val="20"/>
        </w:rPr>
        <w:t>metodologia massificada para cálculo do valor provável de desembolso para ações judiciais trabalhistas e habitacionais para 100% dos expedientes rotineiros em fase de conhecimento, que consiste na mensuração da probabilidade e do impacto do resultado desfavorável à instituição.</w:t>
      </w:r>
    </w:p>
    <w:p w14:paraId="1D947C5F" w14:textId="77777777" w:rsidR="006D35C5" w:rsidRPr="00FF4346" w:rsidRDefault="006D35C5" w:rsidP="00DD1988">
      <w:pPr>
        <w:pStyle w:val="PargrafodaLista"/>
        <w:ind w:left="768"/>
        <w:jc w:val="both"/>
        <w:rPr>
          <w:rFonts w:ascii="CAIXA Std Book" w:hAnsi="CAIXA Std Book"/>
          <w:color w:val="005CA9"/>
          <w:sz w:val="20"/>
          <w:szCs w:val="20"/>
        </w:rPr>
      </w:pPr>
    </w:p>
    <w:p w14:paraId="5797D3C0" w14:textId="232A905D" w:rsidR="00910878" w:rsidRPr="00FF4346" w:rsidRDefault="00910878" w:rsidP="00617DBB">
      <w:pPr>
        <w:pStyle w:val="Corpodetexto"/>
        <w:rPr>
          <w:rFonts w:ascii="CAIXA Std Book" w:hAnsi="CAIXA Std Book"/>
          <w:b/>
          <w:color w:val="005CA9"/>
        </w:rPr>
      </w:pPr>
      <w:r w:rsidRPr="00FF4346">
        <w:rPr>
          <w:rFonts w:ascii="CAIXA Std Book" w:hAnsi="CAIXA Std Book"/>
          <w:b/>
          <w:color w:val="005CA9"/>
        </w:rPr>
        <w:t>(b.1)</w:t>
      </w:r>
      <w:r w:rsidRPr="00FF4346">
        <w:rPr>
          <w:rFonts w:ascii="CAIXA Std Book" w:hAnsi="CAIXA Std Book"/>
          <w:b/>
          <w:color w:val="005CA9"/>
        </w:rPr>
        <w:tab/>
        <w:t>Movimentação das provisões para causas judiciais e obrigações fiscais e previdenciárias</w:t>
      </w:r>
    </w:p>
    <w:p w14:paraId="193F073D" w14:textId="77777777" w:rsidR="000A0C22" w:rsidRPr="00FF4346" w:rsidRDefault="000A0C22" w:rsidP="00617DBB">
      <w:pPr>
        <w:pStyle w:val="Corpodetexto"/>
        <w:rPr>
          <w:rFonts w:ascii="CAIXA Std Book" w:hAnsi="CAIXA Std Book"/>
          <w:b/>
          <w:color w:val="005CA9"/>
        </w:rPr>
      </w:pPr>
    </w:p>
    <w:tbl>
      <w:tblPr>
        <w:tblW w:w="5000" w:type="pct"/>
        <w:tblCellMar>
          <w:left w:w="70" w:type="dxa"/>
          <w:right w:w="70" w:type="dxa"/>
        </w:tblCellMar>
        <w:tblLook w:val="04A0" w:firstRow="1" w:lastRow="0" w:firstColumn="1" w:lastColumn="0" w:noHBand="0" w:noVBand="1"/>
      </w:tblPr>
      <w:tblGrid>
        <w:gridCol w:w="2356"/>
        <w:gridCol w:w="1061"/>
        <w:gridCol w:w="942"/>
        <w:gridCol w:w="1106"/>
        <w:gridCol w:w="966"/>
        <w:gridCol w:w="1037"/>
        <w:gridCol w:w="1101"/>
        <w:gridCol w:w="1068"/>
      </w:tblGrid>
      <w:tr w:rsidR="003B2B2A" w:rsidRPr="00A33766" w14:paraId="5DE438E8" w14:textId="77777777" w:rsidTr="000A3882">
        <w:trPr>
          <w:trHeight w:val="283"/>
        </w:trPr>
        <w:tc>
          <w:tcPr>
            <w:tcW w:w="5000" w:type="pct"/>
            <w:gridSpan w:val="8"/>
            <w:tcBorders>
              <w:top w:val="single" w:sz="4" w:space="0" w:color="F39200"/>
              <w:left w:val="nil"/>
              <w:bottom w:val="single" w:sz="4" w:space="0" w:color="F39200"/>
              <w:right w:val="nil"/>
            </w:tcBorders>
            <w:shd w:val="clear" w:color="auto" w:fill="auto"/>
            <w:vAlign w:val="center"/>
            <w:hideMark/>
          </w:tcPr>
          <w:p w14:paraId="22DEF185" w14:textId="77777777" w:rsidR="00AD18ED" w:rsidRPr="00FF4346" w:rsidRDefault="00AD18ED" w:rsidP="00AD18ED">
            <w:pPr>
              <w:jc w:val="center"/>
              <w:rPr>
                <w:rFonts w:ascii="CAIXA Std Book" w:eastAsia="Times New Roman" w:hAnsi="CAIXA Std Book" w:cs="Arial"/>
                <w:b/>
                <w:bCs/>
                <w:color w:val="005CA9"/>
                <w:sz w:val="16"/>
                <w:szCs w:val="16"/>
              </w:rPr>
            </w:pPr>
            <w:bookmarkStart w:id="95" w:name="_Hlk65762392"/>
            <w:r w:rsidRPr="00FF4346">
              <w:rPr>
                <w:rFonts w:ascii="CAIXA Std Book" w:eastAsia="Times New Roman" w:hAnsi="CAIXA Std Book" w:cs="Arial"/>
                <w:b/>
                <w:bCs/>
                <w:color w:val="005CA9"/>
                <w:sz w:val="16"/>
                <w:szCs w:val="16"/>
              </w:rPr>
              <w:t>INDIVIDUAL / CONSOLIDADO</w:t>
            </w:r>
          </w:p>
        </w:tc>
      </w:tr>
      <w:tr w:rsidR="003B2B2A" w:rsidRPr="00A33766" w14:paraId="62DFA34E" w14:textId="77777777" w:rsidTr="00F72350">
        <w:trPr>
          <w:trHeight w:val="283"/>
        </w:trPr>
        <w:tc>
          <w:tcPr>
            <w:tcW w:w="1223" w:type="pct"/>
            <w:vMerge w:val="restart"/>
            <w:tcBorders>
              <w:top w:val="nil"/>
              <w:left w:val="nil"/>
              <w:bottom w:val="single" w:sz="4" w:space="0" w:color="F39200"/>
              <w:right w:val="nil"/>
            </w:tcBorders>
            <w:shd w:val="clear" w:color="auto" w:fill="auto"/>
            <w:vAlign w:val="center"/>
            <w:hideMark/>
          </w:tcPr>
          <w:p w14:paraId="176801F6" w14:textId="77777777"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Descrição</w:t>
            </w:r>
          </w:p>
        </w:tc>
        <w:tc>
          <w:tcPr>
            <w:tcW w:w="550" w:type="pct"/>
            <w:vMerge w:val="restart"/>
            <w:tcBorders>
              <w:top w:val="nil"/>
              <w:left w:val="nil"/>
              <w:bottom w:val="single" w:sz="4" w:space="0" w:color="F39200"/>
              <w:right w:val="nil"/>
            </w:tcBorders>
            <w:shd w:val="clear" w:color="auto" w:fill="auto"/>
            <w:vAlign w:val="center"/>
            <w:hideMark/>
          </w:tcPr>
          <w:p w14:paraId="0C200081" w14:textId="627C7BF9"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31/12/202</w:t>
            </w:r>
            <w:r w:rsidR="00763A52">
              <w:rPr>
                <w:rFonts w:ascii="CAIXA Std Book" w:eastAsia="Times New Roman" w:hAnsi="CAIXA Std Book" w:cs="Arial"/>
                <w:b/>
                <w:bCs/>
                <w:color w:val="005CA9"/>
                <w:sz w:val="16"/>
                <w:szCs w:val="16"/>
              </w:rPr>
              <w:t>3</w:t>
            </w:r>
          </w:p>
        </w:tc>
        <w:tc>
          <w:tcPr>
            <w:tcW w:w="2673" w:type="pct"/>
            <w:gridSpan w:val="5"/>
            <w:tcBorders>
              <w:top w:val="single" w:sz="4" w:space="0" w:color="F39200"/>
              <w:left w:val="nil"/>
              <w:bottom w:val="single" w:sz="4" w:space="0" w:color="F39200"/>
              <w:right w:val="nil"/>
            </w:tcBorders>
            <w:shd w:val="clear" w:color="auto" w:fill="auto"/>
            <w:vAlign w:val="center"/>
            <w:hideMark/>
          </w:tcPr>
          <w:p w14:paraId="42C008F0" w14:textId="6414675E"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Movimentação</w:t>
            </w:r>
          </w:p>
        </w:tc>
        <w:tc>
          <w:tcPr>
            <w:tcW w:w="553" w:type="pct"/>
            <w:vMerge w:val="restart"/>
            <w:tcBorders>
              <w:top w:val="nil"/>
              <w:left w:val="nil"/>
              <w:bottom w:val="single" w:sz="4" w:space="0" w:color="F39200"/>
              <w:right w:val="nil"/>
            </w:tcBorders>
            <w:shd w:val="clear" w:color="auto" w:fill="auto"/>
            <w:vAlign w:val="center"/>
            <w:hideMark/>
          </w:tcPr>
          <w:p w14:paraId="5C23C23E" w14:textId="3FF69304" w:rsidR="00AD18ED" w:rsidRPr="00FF4346" w:rsidRDefault="00E465CF"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31/</w:t>
            </w:r>
            <w:r w:rsidR="0009702B">
              <w:rPr>
                <w:rFonts w:ascii="CAIXA Std Book" w:eastAsia="Times New Roman" w:hAnsi="CAIXA Std Book" w:cs="Arial"/>
                <w:b/>
                <w:bCs/>
                <w:color w:val="005CA9"/>
                <w:sz w:val="16"/>
                <w:szCs w:val="16"/>
              </w:rPr>
              <w:t>03</w:t>
            </w:r>
            <w:r w:rsidRPr="00FF4346">
              <w:rPr>
                <w:rFonts w:ascii="CAIXA Std Book" w:eastAsia="Times New Roman" w:hAnsi="CAIXA Std Book" w:cs="Arial"/>
                <w:b/>
                <w:bCs/>
                <w:color w:val="005CA9"/>
                <w:sz w:val="16"/>
                <w:szCs w:val="16"/>
              </w:rPr>
              <w:t>/202</w:t>
            </w:r>
            <w:r w:rsidR="0009702B">
              <w:rPr>
                <w:rFonts w:ascii="CAIXA Std Book" w:eastAsia="Times New Roman" w:hAnsi="CAIXA Std Book" w:cs="Arial"/>
                <w:b/>
                <w:bCs/>
                <w:color w:val="005CA9"/>
                <w:sz w:val="16"/>
                <w:szCs w:val="16"/>
              </w:rPr>
              <w:t>4</w:t>
            </w:r>
          </w:p>
        </w:tc>
      </w:tr>
      <w:tr w:rsidR="003B2B2A" w:rsidRPr="00A33766" w14:paraId="538C1D5A" w14:textId="77777777" w:rsidTr="00F72350">
        <w:trPr>
          <w:trHeight w:val="283"/>
        </w:trPr>
        <w:tc>
          <w:tcPr>
            <w:tcW w:w="1223" w:type="pct"/>
            <w:vMerge/>
            <w:tcBorders>
              <w:top w:val="nil"/>
              <w:left w:val="nil"/>
              <w:bottom w:val="single" w:sz="4" w:space="0" w:color="F39200"/>
              <w:right w:val="nil"/>
            </w:tcBorders>
            <w:vAlign w:val="center"/>
            <w:hideMark/>
          </w:tcPr>
          <w:p w14:paraId="3888DEEC" w14:textId="77777777" w:rsidR="00AD18ED" w:rsidRPr="00FF4346" w:rsidRDefault="00AD18ED" w:rsidP="00AD18ED">
            <w:pPr>
              <w:rPr>
                <w:rFonts w:ascii="CAIXA Std Book" w:eastAsia="Times New Roman" w:hAnsi="CAIXA Std Book" w:cs="Arial"/>
                <w:b/>
                <w:bCs/>
                <w:color w:val="005CA9"/>
                <w:sz w:val="16"/>
                <w:szCs w:val="16"/>
              </w:rPr>
            </w:pPr>
          </w:p>
        </w:tc>
        <w:tc>
          <w:tcPr>
            <w:tcW w:w="550" w:type="pct"/>
            <w:vMerge/>
            <w:tcBorders>
              <w:top w:val="nil"/>
              <w:left w:val="nil"/>
              <w:bottom w:val="single" w:sz="4" w:space="0" w:color="F39200"/>
              <w:right w:val="nil"/>
            </w:tcBorders>
            <w:vAlign w:val="center"/>
            <w:hideMark/>
          </w:tcPr>
          <w:p w14:paraId="75DCD9AD" w14:textId="77777777" w:rsidR="00AD18ED" w:rsidRPr="00FF4346" w:rsidRDefault="00AD18ED" w:rsidP="00AD18ED">
            <w:pPr>
              <w:rPr>
                <w:rFonts w:ascii="CAIXA Std Book" w:eastAsia="Times New Roman" w:hAnsi="CAIXA Std Book" w:cs="Arial"/>
                <w:b/>
                <w:bCs/>
                <w:color w:val="005CA9"/>
                <w:sz w:val="16"/>
                <w:szCs w:val="16"/>
              </w:rPr>
            </w:pPr>
          </w:p>
        </w:tc>
        <w:tc>
          <w:tcPr>
            <w:tcW w:w="489" w:type="pct"/>
            <w:tcBorders>
              <w:top w:val="nil"/>
              <w:left w:val="nil"/>
              <w:bottom w:val="single" w:sz="4" w:space="0" w:color="F39200"/>
              <w:right w:val="nil"/>
            </w:tcBorders>
            <w:shd w:val="clear" w:color="auto" w:fill="auto"/>
            <w:vAlign w:val="center"/>
            <w:hideMark/>
          </w:tcPr>
          <w:p w14:paraId="3497A8CD" w14:textId="77777777"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Novas provisões</w:t>
            </w:r>
          </w:p>
        </w:tc>
        <w:tc>
          <w:tcPr>
            <w:tcW w:w="574" w:type="pct"/>
            <w:tcBorders>
              <w:top w:val="nil"/>
              <w:left w:val="nil"/>
              <w:bottom w:val="single" w:sz="4" w:space="0" w:color="F39200"/>
              <w:right w:val="nil"/>
            </w:tcBorders>
            <w:shd w:val="clear" w:color="auto" w:fill="auto"/>
            <w:vAlign w:val="center"/>
            <w:hideMark/>
          </w:tcPr>
          <w:p w14:paraId="39338A21" w14:textId="77777777"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Atualização monetária</w:t>
            </w:r>
          </w:p>
        </w:tc>
        <w:tc>
          <w:tcPr>
            <w:tcW w:w="501" w:type="pct"/>
            <w:tcBorders>
              <w:top w:val="nil"/>
              <w:left w:val="nil"/>
              <w:bottom w:val="single" w:sz="4" w:space="0" w:color="F39200"/>
              <w:right w:val="nil"/>
            </w:tcBorders>
            <w:shd w:val="clear" w:color="auto" w:fill="auto"/>
            <w:vAlign w:val="center"/>
            <w:hideMark/>
          </w:tcPr>
          <w:p w14:paraId="0946DCAC" w14:textId="77777777"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Adições de provisões</w:t>
            </w:r>
          </w:p>
        </w:tc>
        <w:tc>
          <w:tcPr>
            <w:tcW w:w="538" w:type="pct"/>
            <w:tcBorders>
              <w:top w:val="nil"/>
              <w:left w:val="nil"/>
              <w:bottom w:val="single" w:sz="4" w:space="0" w:color="F39200"/>
              <w:right w:val="nil"/>
            </w:tcBorders>
            <w:shd w:val="clear" w:color="auto" w:fill="auto"/>
            <w:vAlign w:val="center"/>
            <w:hideMark/>
          </w:tcPr>
          <w:p w14:paraId="7E8C6D4D" w14:textId="397C14A7"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Reversões de provisões</w:t>
            </w:r>
            <w:r w:rsidR="005364DA" w:rsidRPr="00FF4346">
              <w:rPr>
                <w:rFonts w:ascii="CAIXA Std Book" w:eastAsia="Times New Roman" w:hAnsi="CAIXA Std Book" w:cs="Arial"/>
                <w:b/>
                <w:bCs/>
                <w:color w:val="005CA9"/>
                <w:sz w:val="16"/>
                <w:szCs w:val="16"/>
              </w:rPr>
              <w:t xml:space="preserve"> </w:t>
            </w:r>
          </w:p>
        </w:tc>
        <w:tc>
          <w:tcPr>
            <w:tcW w:w="571" w:type="pct"/>
            <w:tcBorders>
              <w:top w:val="nil"/>
              <w:left w:val="nil"/>
              <w:bottom w:val="single" w:sz="4" w:space="0" w:color="F39200"/>
              <w:right w:val="nil"/>
            </w:tcBorders>
            <w:shd w:val="clear" w:color="auto" w:fill="auto"/>
            <w:vAlign w:val="center"/>
            <w:hideMark/>
          </w:tcPr>
          <w:p w14:paraId="6C4A135D" w14:textId="37A66D80" w:rsidR="00AD18ED" w:rsidRPr="00FF4346" w:rsidRDefault="00AD18ED" w:rsidP="00AD18ED">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Baixas por pagamento</w:t>
            </w:r>
            <w:r w:rsidR="005364DA" w:rsidRPr="00FF4346">
              <w:rPr>
                <w:rFonts w:ascii="CAIXA Std Book" w:eastAsia="Times New Roman" w:hAnsi="CAIXA Std Book" w:cs="Arial"/>
                <w:b/>
                <w:bCs/>
                <w:color w:val="005CA9"/>
                <w:sz w:val="16"/>
                <w:szCs w:val="16"/>
              </w:rPr>
              <w:t xml:space="preserve"> </w:t>
            </w:r>
          </w:p>
        </w:tc>
        <w:tc>
          <w:tcPr>
            <w:tcW w:w="553" w:type="pct"/>
            <w:vMerge/>
            <w:tcBorders>
              <w:top w:val="nil"/>
              <w:left w:val="nil"/>
              <w:bottom w:val="single" w:sz="4" w:space="0" w:color="F39200"/>
              <w:right w:val="nil"/>
            </w:tcBorders>
            <w:vAlign w:val="center"/>
            <w:hideMark/>
          </w:tcPr>
          <w:p w14:paraId="70D5C24E" w14:textId="77777777" w:rsidR="00AD18ED" w:rsidRPr="00FF4346" w:rsidRDefault="00AD18ED" w:rsidP="00AD18ED">
            <w:pPr>
              <w:rPr>
                <w:rFonts w:ascii="CAIXA Std Book" w:eastAsia="Times New Roman" w:hAnsi="CAIXA Std Book" w:cs="Arial"/>
                <w:b/>
                <w:bCs/>
                <w:color w:val="005CA9"/>
                <w:sz w:val="16"/>
                <w:szCs w:val="16"/>
              </w:rPr>
            </w:pPr>
          </w:p>
        </w:tc>
      </w:tr>
      <w:tr w:rsidR="00617F18" w:rsidRPr="00A33766" w14:paraId="19823C0F" w14:textId="77777777" w:rsidTr="00F72350">
        <w:trPr>
          <w:trHeight w:val="283"/>
        </w:trPr>
        <w:tc>
          <w:tcPr>
            <w:tcW w:w="1223" w:type="pct"/>
            <w:tcBorders>
              <w:top w:val="nil"/>
              <w:left w:val="nil"/>
              <w:bottom w:val="nil"/>
              <w:right w:val="nil"/>
            </w:tcBorders>
            <w:shd w:val="clear" w:color="auto" w:fill="auto"/>
            <w:vAlign w:val="center"/>
            <w:hideMark/>
          </w:tcPr>
          <w:p w14:paraId="414ED8A4" w14:textId="0CA0DFC3" w:rsidR="00617F18" w:rsidRPr="00FF4346" w:rsidRDefault="00617F18" w:rsidP="00617F18">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Trabalhistas (b.3)</w:t>
            </w:r>
          </w:p>
        </w:tc>
        <w:tc>
          <w:tcPr>
            <w:tcW w:w="550" w:type="pct"/>
            <w:tcBorders>
              <w:top w:val="nil"/>
              <w:left w:val="nil"/>
              <w:bottom w:val="nil"/>
              <w:right w:val="nil"/>
            </w:tcBorders>
            <w:shd w:val="clear" w:color="auto" w:fill="auto"/>
            <w:vAlign w:val="center"/>
            <w:hideMark/>
          </w:tcPr>
          <w:p w14:paraId="08D9E858" w14:textId="28688575" w:rsidR="00617F18" w:rsidRPr="00FF4346" w:rsidRDefault="00763A52" w:rsidP="00617F18">
            <w:pPr>
              <w:jc w:val="right"/>
              <w:rPr>
                <w:rFonts w:ascii="CAIXA Std Book" w:eastAsia="Times New Roman" w:hAnsi="CAIXA Std Book" w:cs="Arial"/>
                <w:b/>
                <w:bCs/>
                <w:color w:val="005CA9"/>
                <w:sz w:val="16"/>
                <w:szCs w:val="16"/>
              </w:rPr>
            </w:pPr>
            <w:r w:rsidRPr="00FF4346">
              <w:rPr>
                <w:rFonts w:ascii="CAIXA Std Book" w:eastAsia="Times New Roman" w:hAnsi="CAIXA Std Book" w:cs="Times New Roman"/>
                <w:b/>
                <w:color w:val="005CA9"/>
                <w:sz w:val="16"/>
                <w:szCs w:val="16"/>
              </w:rPr>
              <w:t>7.014.653</w:t>
            </w:r>
          </w:p>
        </w:tc>
        <w:tc>
          <w:tcPr>
            <w:tcW w:w="489" w:type="pct"/>
            <w:tcBorders>
              <w:top w:val="nil"/>
              <w:left w:val="nil"/>
              <w:bottom w:val="nil"/>
              <w:right w:val="nil"/>
            </w:tcBorders>
            <w:shd w:val="clear" w:color="auto" w:fill="auto"/>
            <w:vAlign w:val="center"/>
          </w:tcPr>
          <w:p w14:paraId="2AB32680" w14:textId="58C330DF" w:rsidR="00617F18" w:rsidRPr="00FF4346" w:rsidRDefault="00616201" w:rsidP="00617F18">
            <w:pPr>
              <w:jc w:val="right"/>
              <w:rPr>
                <w:rFonts w:ascii="CAIXA Std Book" w:eastAsia="Times New Roman" w:hAnsi="CAIXA Std Book" w:cs="Arial"/>
                <w:b/>
                <w:bCs/>
                <w:color w:val="005CA9"/>
                <w:sz w:val="16"/>
                <w:szCs w:val="16"/>
              </w:rPr>
            </w:pPr>
            <w:r w:rsidRPr="00616201">
              <w:rPr>
                <w:rFonts w:ascii="CAIXA Std Book" w:eastAsia="Times New Roman" w:hAnsi="CAIXA Std Book" w:cs="Arial"/>
                <w:b/>
                <w:bCs/>
                <w:color w:val="005CA9"/>
                <w:sz w:val="16"/>
                <w:szCs w:val="16"/>
              </w:rPr>
              <w:t>138.346</w:t>
            </w:r>
          </w:p>
        </w:tc>
        <w:tc>
          <w:tcPr>
            <w:tcW w:w="574" w:type="pct"/>
            <w:tcBorders>
              <w:top w:val="nil"/>
              <w:left w:val="nil"/>
              <w:bottom w:val="nil"/>
              <w:right w:val="nil"/>
            </w:tcBorders>
            <w:shd w:val="clear" w:color="auto" w:fill="auto"/>
            <w:vAlign w:val="center"/>
          </w:tcPr>
          <w:p w14:paraId="35D8CE9F" w14:textId="5B6D8ABA" w:rsidR="00617F18" w:rsidRPr="00FF4346" w:rsidRDefault="00F51727" w:rsidP="00617F18">
            <w:pPr>
              <w:jc w:val="right"/>
              <w:rPr>
                <w:rFonts w:ascii="CAIXA Std Book" w:eastAsia="Times New Roman" w:hAnsi="CAIXA Std Book" w:cs="Times New Roman"/>
                <w:b/>
                <w:color w:val="005CA9"/>
                <w:sz w:val="16"/>
                <w:szCs w:val="16"/>
              </w:rPr>
            </w:pPr>
            <w:r w:rsidRPr="00F51727">
              <w:rPr>
                <w:rFonts w:ascii="CAIXA Std Book" w:eastAsia="Times New Roman" w:hAnsi="CAIXA Std Book" w:cs="Times New Roman"/>
                <w:b/>
                <w:color w:val="005CA9"/>
                <w:sz w:val="16"/>
                <w:szCs w:val="16"/>
              </w:rPr>
              <w:t>105.240</w:t>
            </w:r>
          </w:p>
        </w:tc>
        <w:tc>
          <w:tcPr>
            <w:tcW w:w="501" w:type="pct"/>
            <w:tcBorders>
              <w:top w:val="nil"/>
              <w:left w:val="nil"/>
              <w:bottom w:val="nil"/>
              <w:right w:val="nil"/>
            </w:tcBorders>
            <w:shd w:val="clear" w:color="auto" w:fill="auto"/>
            <w:vAlign w:val="center"/>
          </w:tcPr>
          <w:p w14:paraId="597B8699" w14:textId="119CD547" w:rsidR="00617F18" w:rsidRPr="00FF4346" w:rsidRDefault="00D60869" w:rsidP="00617F18">
            <w:pPr>
              <w:jc w:val="right"/>
              <w:rPr>
                <w:rFonts w:ascii="CAIXA Std Book" w:eastAsia="Times New Roman" w:hAnsi="CAIXA Std Book" w:cs="Times New Roman"/>
                <w:b/>
                <w:color w:val="005CA9"/>
                <w:sz w:val="16"/>
                <w:szCs w:val="16"/>
              </w:rPr>
            </w:pPr>
            <w:r w:rsidRPr="00D60869">
              <w:rPr>
                <w:rFonts w:ascii="CAIXA Std Book" w:eastAsia="Times New Roman" w:hAnsi="CAIXA Std Book" w:cs="Times New Roman"/>
                <w:b/>
                <w:color w:val="005CA9"/>
                <w:sz w:val="16"/>
                <w:szCs w:val="16"/>
              </w:rPr>
              <w:t>1.006.229</w:t>
            </w:r>
          </w:p>
        </w:tc>
        <w:tc>
          <w:tcPr>
            <w:tcW w:w="538" w:type="pct"/>
            <w:tcBorders>
              <w:top w:val="nil"/>
              <w:left w:val="nil"/>
              <w:bottom w:val="nil"/>
              <w:right w:val="nil"/>
            </w:tcBorders>
            <w:shd w:val="clear" w:color="auto" w:fill="auto"/>
            <w:vAlign w:val="center"/>
          </w:tcPr>
          <w:p w14:paraId="72E77771" w14:textId="37A803CE" w:rsidR="00617F18" w:rsidRPr="00FF4346" w:rsidRDefault="009052CF" w:rsidP="00617F18">
            <w:pPr>
              <w:jc w:val="right"/>
              <w:rPr>
                <w:rFonts w:ascii="CAIXA Std Book" w:eastAsia="Times New Roman" w:hAnsi="CAIXA Std Book" w:cs="Times New Roman"/>
                <w:b/>
                <w:color w:val="005CA9"/>
                <w:sz w:val="16"/>
                <w:szCs w:val="16"/>
              </w:rPr>
            </w:pPr>
            <w:r w:rsidRPr="009052CF">
              <w:rPr>
                <w:rFonts w:ascii="CAIXA Std Book" w:eastAsia="Times New Roman" w:hAnsi="CAIXA Std Book" w:cs="Times New Roman"/>
                <w:b/>
                <w:color w:val="005CA9"/>
                <w:sz w:val="16"/>
                <w:szCs w:val="16"/>
              </w:rPr>
              <w:t>(286.144)</w:t>
            </w:r>
          </w:p>
        </w:tc>
        <w:tc>
          <w:tcPr>
            <w:tcW w:w="571" w:type="pct"/>
            <w:tcBorders>
              <w:top w:val="nil"/>
              <w:left w:val="nil"/>
              <w:bottom w:val="nil"/>
              <w:right w:val="nil"/>
            </w:tcBorders>
            <w:shd w:val="clear" w:color="auto" w:fill="auto"/>
            <w:vAlign w:val="center"/>
          </w:tcPr>
          <w:p w14:paraId="34DE1E6A" w14:textId="13D02D89" w:rsidR="00617F18" w:rsidRPr="00FF4346" w:rsidRDefault="00F872E3" w:rsidP="00617F18">
            <w:pPr>
              <w:jc w:val="right"/>
              <w:rPr>
                <w:rFonts w:ascii="CAIXA Std Book" w:eastAsia="Times New Roman" w:hAnsi="CAIXA Std Book" w:cs="Times New Roman"/>
                <w:b/>
                <w:color w:val="005CA9"/>
                <w:sz w:val="16"/>
                <w:szCs w:val="16"/>
              </w:rPr>
            </w:pPr>
            <w:r w:rsidRPr="00F872E3">
              <w:rPr>
                <w:rFonts w:ascii="CAIXA Std Book" w:eastAsia="Times New Roman" w:hAnsi="CAIXA Std Book" w:cs="Times New Roman"/>
                <w:b/>
                <w:color w:val="005CA9"/>
                <w:sz w:val="16"/>
                <w:szCs w:val="16"/>
              </w:rPr>
              <w:t>(1.056.222)</w:t>
            </w:r>
          </w:p>
        </w:tc>
        <w:tc>
          <w:tcPr>
            <w:tcW w:w="553" w:type="pct"/>
            <w:tcBorders>
              <w:top w:val="nil"/>
              <w:left w:val="nil"/>
              <w:bottom w:val="nil"/>
              <w:right w:val="nil"/>
            </w:tcBorders>
            <w:shd w:val="clear" w:color="auto" w:fill="auto"/>
            <w:vAlign w:val="center"/>
          </w:tcPr>
          <w:p w14:paraId="4841A5CB" w14:textId="767CAFA9" w:rsidR="00617F18" w:rsidRPr="00FF4346" w:rsidRDefault="00D951D1" w:rsidP="00617F18">
            <w:pPr>
              <w:jc w:val="right"/>
              <w:rPr>
                <w:rFonts w:ascii="CAIXA Std Book" w:eastAsia="Times New Roman" w:hAnsi="CAIXA Std Book" w:cs="Times New Roman"/>
                <w:b/>
                <w:color w:val="005CA9"/>
                <w:sz w:val="16"/>
                <w:szCs w:val="16"/>
              </w:rPr>
            </w:pPr>
            <w:r w:rsidRPr="00D951D1">
              <w:rPr>
                <w:rFonts w:ascii="CAIXA Std Book" w:eastAsia="Times New Roman" w:hAnsi="CAIXA Std Book" w:cs="Times New Roman"/>
                <w:b/>
                <w:color w:val="005CA9"/>
                <w:sz w:val="16"/>
                <w:szCs w:val="16"/>
              </w:rPr>
              <w:t>6.922.102</w:t>
            </w:r>
          </w:p>
        </w:tc>
      </w:tr>
      <w:tr w:rsidR="00617F18" w:rsidRPr="00A33766" w14:paraId="384B0E47" w14:textId="77777777" w:rsidTr="00F72350">
        <w:trPr>
          <w:trHeight w:val="283"/>
        </w:trPr>
        <w:tc>
          <w:tcPr>
            <w:tcW w:w="1223" w:type="pct"/>
            <w:tcBorders>
              <w:top w:val="nil"/>
              <w:left w:val="nil"/>
              <w:bottom w:val="nil"/>
              <w:right w:val="nil"/>
            </w:tcBorders>
            <w:shd w:val="clear" w:color="auto" w:fill="auto"/>
            <w:vAlign w:val="center"/>
            <w:hideMark/>
          </w:tcPr>
          <w:p w14:paraId="3446C0B9" w14:textId="3211A5F8" w:rsidR="00617F18" w:rsidRPr="00FF4346" w:rsidRDefault="00617F18" w:rsidP="00617F18">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Cíveis (b.4)</w:t>
            </w:r>
          </w:p>
        </w:tc>
        <w:tc>
          <w:tcPr>
            <w:tcW w:w="550" w:type="pct"/>
            <w:tcBorders>
              <w:top w:val="nil"/>
              <w:left w:val="nil"/>
              <w:bottom w:val="nil"/>
              <w:right w:val="nil"/>
            </w:tcBorders>
            <w:shd w:val="clear" w:color="auto" w:fill="auto"/>
            <w:vAlign w:val="center"/>
            <w:hideMark/>
          </w:tcPr>
          <w:p w14:paraId="195C58AB" w14:textId="134512EF" w:rsidR="00617F18" w:rsidRPr="00FF4346" w:rsidRDefault="00763A52" w:rsidP="00617F18">
            <w:pPr>
              <w:jc w:val="right"/>
              <w:rPr>
                <w:rFonts w:ascii="CAIXA Std Book" w:eastAsia="Times New Roman" w:hAnsi="CAIXA Std Book" w:cs="Arial"/>
                <w:b/>
                <w:bCs/>
                <w:color w:val="005CA9"/>
                <w:sz w:val="16"/>
                <w:szCs w:val="16"/>
              </w:rPr>
            </w:pPr>
            <w:r w:rsidRPr="00FF4346">
              <w:rPr>
                <w:rFonts w:ascii="CAIXA Std Book" w:eastAsia="Times New Roman" w:hAnsi="CAIXA Std Book" w:cs="Times New Roman"/>
                <w:b/>
                <w:color w:val="005CA9"/>
                <w:sz w:val="16"/>
                <w:szCs w:val="16"/>
              </w:rPr>
              <w:t>3.927.938</w:t>
            </w:r>
          </w:p>
        </w:tc>
        <w:tc>
          <w:tcPr>
            <w:tcW w:w="489" w:type="pct"/>
            <w:tcBorders>
              <w:top w:val="nil"/>
              <w:left w:val="nil"/>
              <w:bottom w:val="nil"/>
              <w:right w:val="nil"/>
            </w:tcBorders>
            <w:shd w:val="clear" w:color="auto" w:fill="auto"/>
            <w:vAlign w:val="center"/>
          </w:tcPr>
          <w:p w14:paraId="06C25B56" w14:textId="12F8C07B" w:rsidR="00617F18" w:rsidRPr="00FF4346" w:rsidRDefault="00616201" w:rsidP="00617F18">
            <w:pPr>
              <w:jc w:val="right"/>
              <w:rPr>
                <w:rFonts w:ascii="CAIXA Std Book" w:eastAsia="Times New Roman" w:hAnsi="CAIXA Std Book" w:cs="Arial"/>
                <w:b/>
                <w:bCs/>
                <w:color w:val="005CA9"/>
                <w:sz w:val="16"/>
                <w:szCs w:val="16"/>
              </w:rPr>
            </w:pPr>
            <w:r w:rsidRPr="00616201">
              <w:rPr>
                <w:rFonts w:ascii="CAIXA Std Book" w:eastAsia="Times New Roman" w:hAnsi="CAIXA Std Book" w:cs="Arial"/>
                <w:b/>
                <w:bCs/>
                <w:color w:val="005CA9"/>
                <w:sz w:val="16"/>
                <w:szCs w:val="16"/>
              </w:rPr>
              <w:t>122.150</w:t>
            </w:r>
          </w:p>
        </w:tc>
        <w:tc>
          <w:tcPr>
            <w:tcW w:w="574" w:type="pct"/>
            <w:tcBorders>
              <w:top w:val="nil"/>
              <w:left w:val="nil"/>
              <w:bottom w:val="nil"/>
              <w:right w:val="nil"/>
            </w:tcBorders>
            <w:shd w:val="clear" w:color="auto" w:fill="auto"/>
            <w:vAlign w:val="center"/>
          </w:tcPr>
          <w:p w14:paraId="6936A318" w14:textId="2A0837C5" w:rsidR="00617F18" w:rsidRPr="00FF4346" w:rsidRDefault="00F51727" w:rsidP="00617F18">
            <w:pPr>
              <w:jc w:val="right"/>
              <w:rPr>
                <w:rFonts w:ascii="CAIXA Std Book" w:eastAsia="Times New Roman" w:hAnsi="CAIXA Std Book" w:cs="Times New Roman"/>
                <w:b/>
                <w:color w:val="005CA9"/>
                <w:sz w:val="16"/>
                <w:szCs w:val="16"/>
              </w:rPr>
            </w:pPr>
            <w:r w:rsidRPr="00F51727">
              <w:rPr>
                <w:rFonts w:ascii="CAIXA Std Book" w:eastAsia="Times New Roman" w:hAnsi="CAIXA Std Book" w:cs="Times New Roman"/>
                <w:b/>
                <w:color w:val="005CA9"/>
                <w:sz w:val="16"/>
                <w:szCs w:val="16"/>
              </w:rPr>
              <w:t>37.435</w:t>
            </w:r>
          </w:p>
        </w:tc>
        <w:tc>
          <w:tcPr>
            <w:tcW w:w="501" w:type="pct"/>
            <w:tcBorders>
              <w:top w:val="nil"/>
              <w:left w:val="nil"/>
              <w:bottom w:val="nil"/>
              <w:right w:val="nil"/>
            </w:tcBorders>
            <w:shd w:val="clear" w:color="auto" w:fill="auto"/>
            <w:vAlign w:val="center"/>
          </w:tcPr>
          <w:p w14:paraId="701BBA0A" w14:textId="3388B9DF" w:rsidR="00617F18" w:rsidRPr="00FF4346" w:rsidRDefault="002D7863" w:rsidP="00617F18">
            <w:pPr>
              <w:jc w:val="right"/>
              <w:rPr>
                <w:rFonts w:ascii="CAIXA Std Book" w:eastAsia="Times New Roman" w:hAnsi="CAIXA Std Book" w:cs="Times New Roman"/>
                <w:b/>
                <w:color w:val="005CA9"/>
                <w:sz w:val="16"/>
                <w:szCs w:val="16"/>
              </w:rPr>
            </w:pPr>
            <w:r w:rsidRPr="002D7863">
              <w:rPr>
                <w:rFonts w:ascii="CAIXA Std Book" w:eastAsia="Times New Roman" w:hAnsi="CAIXA Std Book" w:cs="Times New Roman"/>
                <w:b/>
                <w:color w:val="005CA9"/>
                <w:sz w:val="16"/>
                <w:szCs w:val="16"/>
              </w:rPr>
              <w:t>285.786</w:t>
            </w:r>
          </w:p>
        </w:tc>
        <w:tc>
          <w:tcPr>
            <w:tcW w:w="538" w:type="pct"/>
            <w:tcBorders>
              <w:top w:val="nil"/>
              <w:left w:val="nil"/>
              <w:bottom w:val="nil"/>
              <w:right w:val="nil"/>
            </w:tcBorders>
            <w:shd w:val="clear" w:color="auto" w:fill="auto"/>
            <w:vAlign w:val="center"/>
          </w:tcPr>
          <w:p w14:paraId="72BD082B" w14:textId="3BD9E562" w:rsidR="00617F18" w:rsidRPr="00FF4346" w:rsidRDefault="0095675F" w:rsidP="00617F18">
            <w:pPr>
              <w:jc w:val="right"/>
              <w:rPr>
                <w:rFonts w:ascii="CAIXA Std Book" w:eastAsia="Times New Roman" w:hAnsi="CAIXA Std Book" w:cs="Times New Roman"/>
                <w:b/>
                <w:color w:val="005CA9"/>
                <w:sz w:val="16"/>
                <w:szCs w:val="16"/>
              </w:rPr>
            </w:pPr>
            <w:r w:rsidRPr="0095675F">
              <w:rPr>
                <w:rFonts w:ascii="CAIXA Std Book" w:eastAsia="Times New Roman" w:hAnsi="CAIXA Std Book" w:cs="Times New Roman"/>
                <w:b/>
                <w:color w:val="005CA9"/>
                <w:sz w:val="16"/>
                <w:szCs w:val="16"/>
              </w:rPr>
              <w:t>(105.936)</w:t>
            </w:r>
          </w:p>
        </w:tc>
        <w:tc>
          <w:tcPr>
            <w:tcW w:w="571" w:type="pct"/>
            <w:tcBorders>
              <w:top w:val="nil"/>
              <w:left w:val="nil"/>
              <w:bottom w:val="nil"/>
              <w:right w:val="nil"/>
            </w:tcBorders>
            <w:shd w:val="clear" w:color="auto" w:fill="auto"/>
            <w:vAlign w:val="center"/>
          </w:tcPr>
          <w:p w14:paraId="58EF413F" w14:textId="1E27398D" w:rsidR="00617F18" w:rsidRPr="00FF4346" w:rsidRDefault="000E217C" w:rsidP="00617F18">
            <w:pPr>
              <w:jc w:val="right"/>
              <w:rPr>
                <w:rFonts w:ascii="CAIXA Std Book" w:eastAsia="Times New Roman" w:hAnsi="CAIXA Std Book" w:cs="Times New Roman"/>
                <w:b/>
                <w:color w:val="005CA9"/>
                <w:sz w:val="16"/>
                <w:szCs w:val="16"/>
              </w:rPr>
            </w:pPr>
            <w:r w:rsidRPr="000E217C">
              <w:rPr>
                <w:rFonts w:ascii="CAIXA Std Book" w:eastAsia="Times New Roman" w:hAnsi="CAIXA Std Book" w:cs="Times New Roman"/>
                <w:b/>
                <w:color w:val="005CA9"/>
                <w:sz w:val="16"/>
                <w:szCs w:val="16"/>
              </w:rPr>
              <w:t>(205.451)</w:t>
            </w:r>
          </w:p>
        </w:tc>
        <w:tc>
          <w:tcPr>
            <w:tcW w:w="553" w:type="pct"/>
            <w:tcBorders>
              <w:top w:val="nil"/>
              <w:left w:val="nil"/>
              <w:bottom w:val="nil"/>
              <w:right w:val="nil"/>
            </w:tcBorders>
            <w:shd w:val="clear" w:color="auto" w:fill="auto"/>
            <w:vAlign w:val="center"/>
          </w:tcPr>
          <w:p w14:paraId="6DA6EFD1" w14:textId="7C9CFC33" w:rsidR="00617F18" w:rsidRPr="00FF4346" w:rsidRDefault="00092E6A" w:rsidP="00617F18">
            <w:pPr>
              <w:jc w:val="right"/>
              <w:rPr>
                <w:rFonts w:ascii="CAIXA Std Book" w:eastAsia="Times New Roman" w:hAnsi="CAIXA Std Book" w:cs="Times New Roman"/>
                <w:b/>
                <w:color w:val="005CA9"/>
                <w:sz w:val="16"/>
                <w:szCs w:val="16"/>
              </w:rPr>
            </w:pPr>
            <w:r w:rsidRPr="00092E6A">
              <w:rPr>
                <w:rFonts w:ascii="CAIXA Std Book" w:eastAsia="Times New Roman" w:hAnsi="CAIXA Std Book" w:cs="Times New Roman"/>
                <w:b/>
                <w:color w:val="005CA9"/>
                <w:sz w:val="16"/>
                <w:szCs w:val="16"/>
              </w:rPr>
              <w:t>4.061.922</w:t>
            </w:r>
          </w:p>
        </w:tc>
      </w:tr>
      <w:tr w:rsidR="00617F18" w:rsidRPr="00A33766" w14:paraId="53477F4A" w14:textId="77777777" w:rsidTr="00F72350">
        <w:trPr>
          <w:trHeight w:val="283"/>
        </w:trPr>
        <w:tc>
          <w:tcPr>
            <w:tcW w:w="1223" w:type="pct"/>
            <w:tcBorders>
              <w:top w:val="nil"/>
              <w:left w:val="nil"/>
              <w:bottom w:val="nil"/>
              <w:right w:val="nil"/>
            </w:tcBorders>
            <w:shd w:val="clear" w:color="auto" w:fill="auto"/>
            <w:vAlign w:val="center"/>
            <w:hideMark/>
          </w:tcPr>
          <w:p w14:paraId="326F7C41" w14:textId="77777777" w:rsidR="00617F18" w:rsidRPr="00FF4346" w:rsidRDefault="00617F18" w:rsidP="00617F18">
            <w:pPr>
              <w:ind w:left="17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Feitos Diversos</w:t>
            </w:r>
          </w:p>
        </w:tc>
        <w:tc>
          <w:tcPr>
            <w:tcW w:w="550" w:type="pct"/>
            <w:tcBorders>
              <w:top w:val="nil"/>
              <w:left w:val="nil"/>
              <w:bottom w:val="nil"/>
              <w:right w:val="nil"/>
            </w:tcBorders>
            <w:shd w:val="clear" w:color="auto" w:fill="auto"/>
            <w:vAlign w:val="center"/>
            <w:hideMark/>
          </w:tcPr>
          <w:p w14:paraId="79FEA7DF" w14:textId="3D7F0A04"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1.436.313</w:t>
            </w:r>
          </w:p>
        </w:tc>
        <w:tc>
          <w:tcPr>
            <w:tcW w:w="489" w:type="pct"/>
            <w:tcBorders>
              <w:top w:val="nil"/>
              <w:left w:val="nil"/>
              <w:bottom w:val="nil"/>
              <w:right w:val="nil"/>
            </w:tcBorders>
            <w:shd w:val="clear" w:color="auto" w:fill="auto"/>
            <w:vAlign w:val="center"/>
          </w:tcPr>
          <w:p w14:paraId="397B032F" w14:textId="6E92E330" w:rsidR="00617F18" w:rsidRPr="00FF4346" w:rsidRDefault="00616201" w:rsidP="00617F18">
            <w:pPr>
              <w:jc w:val="right"/>
              <w:rPr>
                <w:rFonts w:ascii="CAIXA Std Book" w:eastAsia="Times New Roman" w:hAnsi="CAIXA Std Book" w:cs="Arial"/>
                <w:color w:val="005CA9"/>
                <w:sz w:val="16"/>
                <w:szCs w:val="16"/>
              </w:rPr>
            </w:pPr>
            <w:r w:rsidRPr="00616201">
              <w:rPr>
                <w:rFonts w:ascii="CAIXA Std Book" w:eastAsia="Times New Roman" w:hAnsi="CAIXA Std Book" w:cs="Arial"/>
                <w:color w:val="005CA9"/>
                <w:sz w:val="16"/>
                <w:szCs w:val="16"/>
              </w:rPr>
              <w:t>106.287</w:t>
            </w:r>
          </w:p>
        </w:tc>
        <w:tc>
          <w:tcPr>
            <w:tcW w:w="574" w:type="pct"/>
            <w:tcBorders>
              <w:top w:val="nil"/>
              <w:left w:val="nil"/>
              <w:bottom w:val="nil"/>
              <w:right w:val="nil"/>
            </w:tcBorders>
            <w:shd w:val="clear" w:color="auto" w:fill="auto"/>
            <w:vAlign w:val="center"/>
          </w:tcPr>
          <w:p w14:paraId="3F35EE94" w14:textId="5C351334" w:rsidR="00617F18" w:rsidRPr="00FF4346" w:rsidRDefault="00F51727" w:rsidP="00617F18">
            <w:pPr>
              <w:jc w:val="right"/>
              <w:rPr>
                <w:rFonts w:ascii="CAIXA Std Book" w:eastAsia="Times New Roman" w:hAnsi="CAIXA Std Book" w:cs="Times New Roman"/>
                <w:color w:val="005CA9"/>
                <w:sz w:val="16"/>
                <w:szCs w:val="16"/>
              </w:rPr>
            </w:pPr>
            <w:r w:rsidRPr="00F51727">
              <w:rPr>
                <w:rFonts w:ascii="CAIXA Std Book" w:eastAsia="Times New Roman" w:hAnsi="CAIXA Std Book" w:cs="Times New Roman"/>
                <w:color w:val="005CA9"/>
                <w:sz w:val="16"/>
                <w:szCs w:val="16"/>
              </w:rPr>
              <w:t>14.962</w:t>
            </w:r>
          </w:p>
        </w:tc>
        <w:tc>
          <w:tcPr>
            <w:tcW w:w="501" w:type="pct"/>
            <w:tcBorders>
              <w:top w:val="nil"/>
              <w:left w:val="nil"/>
              <w:bottom w:val="nil"/>
              <w:right w:val="nil"/>
            </w:tcBorders>
            <w:shd w:val="clear" w:color="auto" w:fill="auto"/>
            <w:vAlign w:val="center"/>
          </w:tcPr>
          <w:p w14:paraId="130E68B4" w14:textId="2DB92825" w:rsidR="00617F18" w:rsidRPr="00FF4346" w:rsidRDefault="002D7863" w:rsidP="00617F18">
            <w:pPr>
              <w:jc w:val="right"/>
              <w:rPr>
                <w:rFonts w:ascii="CAIXA Std Book" w:eastAsia="Times New Roman" w:hAnsi="CAIXA Std Book" w:cs="Times New Roman"/>
                <w:color w:val="005CA9"/>
                <w:sz w:val="16"/>
                <w:szCs w:val="16"/>
              </w:rPr>
            </w:pPr>
            <w:r w:rsidRPr="002D7863">
              <w:rPr>
                <w:rFonts w:ascii="CAIXA Std Book" w:eastAsia="Times New Roman" w:hAnsi="CAIXA Std Book" w:cs="Times New Roman"/>
                <w:color w:val="005CA9"/>
                <w:sz w:val="16"/>
                <w:szCs w:val="16"/>
              </w:rPr>
              <w:t>109.633</w:t>
            </w:r>
          </w:p>
        </w:tc>
        <w:tc>
          <w:tcPr>
            <w:tcW w:w="538" w:type="pct"/>
            <w:tcBorders>
              <w:top w:val="nil"/>
              <w:left w:val="nil"/>
              <w:bottom w:val="nil"/>
              <w:right w:val="nil"/>
            </w:tcBorders>
            <w:shd w:val="clear" w:color="auto" w:fill="auto"/>
            <w:vAlign w:val="center"/>
          </w:tcPr>
          <w:p w14:paraId="2AD37910" w14:textId="61E32898" w:rsidR="00617F18" w:rsidRPr="00FF4346" w:rsidRDefault="009D7702" w:rsidP="00617F18">
            <w:pPr>
              <w:jc w:val="right"/>
              <w:rPr>
                <w:rFonts w:ascii="CAIXA Std Book" w:eastAsia="Times New Roman" w:hAnsi="CAIXA Std Book" w:cs="Times New Roman"/>
                <w:color w:val="005CA9"/>
                <w:sz w:val="16"/>
                <w:szCs w:val="16"/>
              </w:rPr>
            </w:pPr>
            <w:r w:rsidRPr="009D7702">
              <w:rPr>
                <w:rFonts w:ascii="CAIXA Std Book" w:eastAsia="Times New Roman" w:hAnsi="CAIXA Std Book" w:cs="Times New Roman"/>
                <w:color w:val="005CA9"/>
                <w:sz w:val="16"/>
                <w:szCs w:val="16"/>
              </w:rPr>
              <w:t>(29.676)</w:t>
            </w:r>
          </w:p>
        </w:tc>
        <w:tc>
          <w:tcPr>
            <w:tcW w:w="571" w:type="pct"/>
            <w:tcBorders>
              <w:top w:val="nil"/>
              <w:left w:val="nil"/>
              <w:bottom w:val="nil"/>
              <w:right w:val="nil"/>
            </w:tcBorders>
            <w:shd w:val="clear" w:color="auto" w:fill="auto"/>
            <w:vAlign w:val="center"/>
          </w:tcPr>
          <w:p w14:paraId="0DD83315" w14:textId="11540DB0" w:rsidR="00617F18" w:rsidRPr="00FF4346" w:rsidRDefault="00DF094C" w:rsidP="00617F18">
            <w:pPr>
              <w:jc w:val="right"/>
              <w:rPr>
                <w:rFonts w:ascii="CAIXA Std Book" w:eastAsia="Times New Roman" w:hAnsi="CAIXA Std Book" w:cs="Times New Roman"/>
                <w:color w:val="005CA9"/>
                <w:sz w:val="16"/>
                <w:szCs w:val="16"/>
              </w:rPr>
            </w:pPr>
            <w:r w:rsidRPr="00DF094C">
              <w:rPr>
                <w:rFonts w:ascii="CAIXA Std Book" w:eastAsia="Times New Roman" w:hAnsi="CAIXA Std Book" w:cs="Times New Roman"/>
                <w:color w:val="005CA9"/>
                <w:sz w:val="16"/>
                <w:szCs w:val="16"/>
              </w:rPr>
              <w:t>(130.558)</w:t>
            </w:r>
          </w:p>
        </w:tc>
        <w:tc>
          <w:tcPr>
            <w:tcW w:w="553" w:type="pct"/>
            <w:tcBorders>
              <w:top w:val="nil"/>
              <w:left w:val="nil"/>
              <w:bottom w:val="nil"/>
              <w:right w:val="nil"/>
            </w:tcBorders>
            <w:shd w:val="clear" w:color="auto" w:fill="auto"/>
            <w:vAlign w:val="center"/>
          </w:tcPr>
          <w:p w14:paraId="3A2C5F0E" w14:textId="2D35AD62" w:rsidR="00617F18" w:rsidRPr="00FF4346" w:rsidRDefault="00C45B47" w:rsidP="00617F18">
            <w:pPr>
              <w:jc w:val="right"/>
              <w:rPr>
                <w:rFonts w:ascii="CAIXA Std Book" w:eastAsia="Times New Roman" w:hAnsi="CAIXA Std Book" w:cs="Times New Roman"/>
                <w:color w:val="005CA9"/>
                <w:sz w:val="16"/>
                <w:szCs w:val="16"/>
              </w:rPr>
            </w:pPr>
            <w:r w:rsidRPr="00C45B47">
              <w:rPr>
                <w:rFonts w:ascii="CAIXA Std Book" w:eastAsia="Times New Roman" w:hAnsi="CAIXA Std Book" w:cs="Times New Roman"/>
                <w:color w:val="005CA9"/>
                <w:sz w:val="16"/>
                <w:szCs w:val="16"/>
              </w:rPr>
              <w:t>1.506.961</w:t>
            </w:r>
          </w:p>
        </w:tc>
      </w:tr>
      <w:tr w:rsidR="00617F18" w:rsidRPr="00A33766" w14:paraId="3D1FA5EE" w14:textId="77777777" w:rsidTr="00F72350">
        <w:trPr>
          <w:trHeight w:val="283"/>
        </w:trPr>
        <w:tc>
          <w:tcPr>
            <w:tcW w:w="1223" w:type="pct"/>
            <w:tcBorders>
              <w:top w:val="nil"/>
              <w:left w:val="nil"/>
              <w:bottom w:val="nil"/>
              <w:right w:val="nil"/>
            </w:tcBorders>
            <w:shd w:val="clear" w:color="auto" w:fill="auto"/>
            <w:vAlign w:val="center"/>
            <w:hideMark/>
          </w:tcPr>
          <w:p w14:paraId="78EB269A" w14:textId="77777777" w:rsidR="00617F18" w:rsidRPr="00FF4346" w:rsidRDefault="00617F18" w:rsidP="00617F18">
            <w:pPr>
              <w:ind w:left="17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Poupança - Planos Econômicos</w:t>
            </w:r>
          </w:p>
        </w:tc>
        <w:tc>
          <w:tcPr>
            <w:tcW w:w="550" w:type="pct"/>
            <w:tcBorders>
              <w:top w:val="nil"/>
              <w:left w:val="nil"/>
              <w:bottom w:val="nil"/>
              <w:right w:val="nil"/>
            </w:tcBorders>
            <w:shd w:val="clear" w:color="auto" w:fill="auto"/>
            <w:vAlign w:val="center"/>
            <w:hideMark/>
          </w:tcPr>
          <w:p w14:paraId="7034D149" w14:textId="752B2710"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765.770</w:t>
            </w:r>
          </w:p>
        </w:tc>
        <w:tc>
          <w:tcPr>
            <w:tcW w:w="489" w:type="pct"/>
            <w:tcBorders>
              <w:top w:val="nil"/>
              <w:left w:val="nil"/>
              <w:bottom w:val="nil"/>
              <w:right w:val="nil"/>
            </w:tcBorders>
            <w:shd w:val="clear" w:color="auto" w:fill="auto"/>
            <w:vAlign w:val="center"/>
          </w:tcPr>
          <w:p w14:paraId="354DDABA" w14:textId="19F2129B" w:rsidR="00617F18" w:rsidRPr="00FF4346" w:rsidRDefault="00973D71" w:rsidP="00617F18">
            <w:pPr>
              <w:jc w:val="right"/>
              <w:rPr>
                <w:rFonts w:ascii="CAIXA Std Book" w:eastAsia="Times New Roman" w:hAnsi="CAIXA Std Book" w:cs="Arial"/>
                <w:color w:val="005CA9"/>
                <w:sz w:val="16"/>
                <w:szCs w:val="16"/>
              </w:rPr>
            </w:pPr>
            <w:r w:rsidRPr="00973D71">
              <w:rPr>
                <w:rFonts w:ascii="CAIXA Std Book" w:eastAsia="Times New Roman" w:hAnsi="CAIXA Std Book" w:cs="Arial"/>
                <w:color w:val="005CA9"/>
                <w:sz w:val="16"/>
                <w:szCs w:val="16"/>
              </w:rPr>
              <w:t>3.637</w:t>
            </w:r>
          </w:p>
        </w:tc>
        <w:tc>
          <w:tcPr>
            <w:tcW w:w="574" w:type="pct"/>
            <w:tcBorders>
              <w:top w:val="nil"/>
              <w:left w:val="nil"/>
              <w:bottom w:val="nil"/>
              <w:right w:val="nil"/>
            </w:tcBorders>
            <w:shd w:val="clear" w:color="auto" w:fill="auto"/>
            <w:vAlign w:val="center"/>
          </w:tcPr>
          <w:p w14:paraId="06CCD921" w14:textId="3256B8E8" w:rsidR="00617F18" w:rsidRPr="00FF4346" w:rsidRDefault="00DE499C" w:rsidP="00617F18">
            <w:pPr>
              <w:jc w:val="right"/>
              <w:rPr>
                <w:rFonts w:ascii="CAIXA Std Book" w:eastAsia="Times New Roman" w:hAnsi="CAIXA Std Book" w:cs="Times New Roman"/>
                <w:color w:val="005CA9"/>
                <w:sz w:val="16"/>
                <w:szCs w:val="16"/>
              </w:rPr>
            </w:pPr>
            <w:r w:rsidRPr="00DE499C">
              <w:rPr>
                <w:rFonts w:ascii="CAIXA Std Book" w:eastAsia="Times New Roman" w:hAnsi="CAIXA Std Book" w:cs="Times New Roman"/>
                <w:color w:val="005CA9"/>
                <w:sz w:val="16"/>
                <w:szCs w:val="16"/>
              </w:rPr>
              <w:t>2.999</w:t>
            </w:r>
          </w:p>
        </w:tc>
        <w:tc>
          <w:tcPr>
            <w:tcW w:w="501" w:type="pct"/>
            <w:tcBorders>
              <w:top w:val="nil"/>
              <w:left w:val="nil"/>
              <w:bottom w:val="nil"/>
              <w:right w:val="nil"/>
            </w:tcBorders>
            <w:shd w:val="clear" w:color="auto" w:fill="auto"/>
            <w:vAlign w:val="center"/>
          </w:tcPr>
          <w:p w14:paraId="7BB28C5E" w14:textId="04D7597C" w:rsidR="00617F18" w:rsidRPr="00FF4346" w:rsidRDefault="002D7863" w:rsidP="00617F18">
            <w:pPr>
              <w:jc w:val="right"/>
              <w:rPr>
                <w:rFonts w:ascii="CAIXA Std Book" w:eastAsia="Times New Roman" w:hAnsi="CAIXA Std Book" w:cs="Times New Roman"/>
                <w:color w:val="005CA9"/>
                <w:sz w:val="16"/>
                <w:szCs w:val="16"/>
              </w:rPr>
            </w:pPr>
            <w:r w:rsidRPr="002D7863">
              <w:rPr>
                <w:rFonts w:ascii="CAIXA Std Book" w:eastAsia="Times New Roman" w:hAnsi="CAIXA Std Book" w:cs="Times New Roman"/>
                <w:color w:val="005CA9"/>
                <w:sz w:val="16"/>
                <w:szCs w:val="16"/>
              </w:rPr>
              <w:t>68.193</w:t>
            </w:r>
          </w:p>
        </w:tc>
        <w:tc>
          <w:tcPr>
            <w:tcW w:w="538" w:type="pct"/>
            <w:tcBorders>
              <w:top w:val="nil"/>
              <w:left w:val="nil"/>
              <w:bottom w:val="nil"/>
              <w:right w:val="nil"/>
            </w:tcBorders>
            <w:shd w:val="clear" w:color="auto" w:fill="auto"/>
            <w:vAlign w:val="center"/>
          </w:tcPr>
          <w:p w14:paraId="0BBFF9FF" w14:textId="2C0FEED2" w:rsidR="00617F18" w:rsidRPr="00FF4346" w:rsidRDefault="00A84B12" w:rsidP="00617F18">
            <w:pPr>
              <w:jc w:val="right"/>
              <w:rPr>
                <w:rFonts w:ascii="CAIXA Std Book" w:eastAsia="Times New Roman" w:hAnsi="CAIXA Std Book" w:cs="Times New Roman"/>
                <w:color w:val="005CA9"/>
                <w:sz w:val="16"/>
                <w:szCs w:val="16"/>
              </w:rPr>
            </w:pPr>
            <w:r w:rsidRPr="00A84B12">
              <w:rPr>
                <w:rFonts w:ascii="CAIXA Std Book" w:eastAsia="Times New Roman" w:hAnsi="CAIXA Std Book" w:cs="Times New Roman"/>
                <w:color w:val="005CA9"/>
                <w:sz w:val="16"/>
                <w:szCs w:val="16"/>
              </w:rPr>
              <w:t>(11.605)</w:t>
            </w:r>
          </w:p>
        </w:tc>
        <w:tc>
          <w:tcPr>
            <w:tcW w:w="571" w:type="pct"/>
            <w:tcBorders>
              <w:top w:val="nil"/>
              <w:left w:val="nil"/>
              <w:bottom w:val="nil"/>
              <w:right w:val="nil"/>
            </w:tcBorders>
            <w:shd w:val="clear" w:color="auto" w:fill="auto"/>
            <w:vAlign w:val="center"/>
          </w:tcPr>
          <w:p w14:paraId="5EE66B40" w14:textId="7C189942" w:rsidR="00617F18" w:rsidRPr="00FF4346" w:rsidRDefault="00DF094C" w:rsidP="00617F18">
            <w:pPr>
              <w:jc w:val="right"/>
              <w:rPr>
                <w:rFonts w:ascii="CAIXA Std Book" w:eastAsia="Times New Roman" w:hAnsi="CAIXA Std Book" w:cs="Times New Roman"/>
                <w:color w:val="005CA9"/>
                <w:sz w:val="16"/>
                <w:szCs w:val="16"/>
              </w:rPr>
            </w:pPr>
            <w:r w:rsidRPr="00DF094C">
              <w:rPr>
                <w:rFonts w:ascii="CAIXA Std Book" w:eastAsia="Times New Roman" w:hAnsi="CAIXA Std Book" w:cs="Times New Roman"/>
                <w:color w:val="005CA9"/>
                <w:sz w:val="16"/>
                <w:szCs w:val="16"/>
              </w:rPr>
              <w:t>(25.551)</w:t>
            </w:r>
          </w:p>
        </w:tc>
        <w:tc>
          <w:tcPr>
            <w:tcW w:w="553" w:type="pct"/>
            <w:tcBorders>
              <w:top w:val="nil"/>
              <w:left w:val="nil"/>
              <w:bottom w:val="nil"/>
              <w:right w:val="nil"/>
            </w:tcBorders>
            <w:shd w:val="clear" w:color="auto" w:fill="auto"/>
            <w:vAlign w:val="center"/>
          </w:tcPr>
          <w:p w14:paraId="48AD5842" w14:textId="4E852B6D" w:rsidR="00617F18" w:rsidRPr="00FF4346" w:rsidRDefault="00AD0879" w:rsidP="00617F18">
            <w:pPr>
              <w:jc w:val="right"/>
              <w:rPr>
                <w:rFonts w:ascii="CAIXA Std Book" w:eastAsia="Times New Roman" w:hAnsi="CAIXA Std Book" w:cs="Times New Roman"/>
                <w:color w:val="005CA9"/>
                <w:sz w:val="16"/>
                <w:szCs w:val="16"/>
              </w:rPr>
            </w:pPr>
            <w:r w:rsidRPr="00AD0879">
              <w:rPr>
                <w:rFonts w:ascii="CAIXA Std Book" w:eastAsia="Times New Roman" w:hAnsi="CAIXA Std Book" w:cs="Times New Roman"/>
                <w:color w:val="005CA9"/>
                <w:sz w:val="16"/>
                <w:szCs w:val="16"/>
              </w:rPr>
              <w:t>803.443</w:t>
            </w:r>
          </w:p>
        </w:tc>
      </w:tr>
      <w:tr w:rsidR="00617F18" w:rsidRPr="00A33766" w14:paraId="30E61B38" w14:textId="77777777" w:rsidTr="00F72350">
        <w:trPr>
          <w:trHeight w:val="283"/>
        </w:trPr>
        <w:tc>
          <w:tcPr>
            <w:tcW w:w="1223" w:type="pct"/>
            <w:tcBorders>
              <w:top w:val="nil"/>
              <w:left w:val="nil"/>
              <w:bottom w:val="nil"/>
              <w:right w:val="nil"/>
            </w:tcBorders>
            <w:shd w:val="clear" w:color="auto" w:fill="auto"/>
            <w:vAlign w:val="center"/>
            <w:hideMark/>
          </w:tcPr>
          <w:p w14:paraId="022D8005" w14:textId="77777777" w:rsidR="00617F18" w:rsidRPr="00FF4346" w:rsidRDefault="00617F18" w:rsidP="00617F18">
            <w:pPr>
              <w:ind w:left="17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Contingenciamento do FGTS</w:t>
            </w:r>
          </w:p>
        </w:tc>
        <w:tc>
          <w:tcPr>
            <w:tcW w:w="550" w:type="pct"/>
            <w:tcBorders>
              <w:top w:val="nil"/>
              <w:left w:val="nil"/>
              <w:bottom w:val="nil"/>
              <w:right w:val="nil"/>
            </w:tcBorders>
            <w:shd w:val="clear" w:color="auto" w:fill="auto"/>
            <w:vAlign w:val="center"/>
            <w:hideMark/>
          </w:tcPr>
          <w:p w14:paraId="2694EA27" w14:textId="2DB529EC"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1.072.540</w:t>
            </w:r>
          </w:p>
        </w:tc>
        <w:tc>
          <w:tcPr>
            <w:tcW w:w="489" w:type="pct"/>
            <w:tcBorders>
              <w:top w:val="nil"/>
              <w:left w:val="nil"/>
              <w:bottom w:val="nil"/>
              <w:right w:val="nil"/>
            </w:tcBorders>
            <w:shd w:val="clear" w:color="auto" w:fill="auto"/>
            <w:vAlign w:val="center"/>
          </w:tcPr>
          <w:p w14:paraId="39E7A5B3" w14:textId="63C95E15" w:rsidR="00617F18" w:rsidRPr="00FF4346" w:rsidRDefault="003211BF" w:rsidP="00F72350">
            <w:pPr>
              <w:jc w:val="center"/>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w:t>
            </w:r>
          </w:p>
        </w:tc>
        <w:tc>
          <w:tcPr>
            <w:tcW w:w="574" w:type="pct"/>
            <w:tcBorders>
              <w:top w:val="nil"/>
              <w:left w:val="nil"/>
              <w:bottom w:val="nil"/>
              <w:right w:val="nil"/>
            </w:tcBorders>
            <w:shd w:val="clear" w:color="auto" w:fill="auto"/>
            <w:vAlign w:val="center"/>
          </w:tcPr>
          <w:p w14:paraId="06CC921B" w14:textId="1E6EBA82" w:rsidR="00617F18" w:rsidRPr="00FF4346" w:rsidRDefault="00DE499C" w:rsidP="00617F18">
            <w:pPr>
              <w:jc w:val="right"/>
              <w:rPr>
                <w:rFonts w:ascii="CAIXA Std Book" w:eastAsia="Times New Roman" w:hAnsi="CAIXA Std Book" w:cs="Times New Roman"/>
                <w:color w:val="005CA9"/>
                <w:sz w:val="16"/>
                <w:szCs w:val="16"/>
              </w:rPr>
            </w:pPr>
            <w:r w:rsidRPr="00DE499C">
              <w:rPr>
                <w:rFonts w:ascii="CAIXA Std Book" w:eastAsia="Times New Roman" w:hAnsi="CAIXA Std Book" w:cs="Times New Roman"/>
                <w:color w:val="005CA9"/>
                <w:sz w:val="16"/>
                <w:szCs w:val="16"/>
              </w:rPr>
              <w:t>15.723</w:t>
            </w:r>
          </w:p>
        </w:tc>
        <w:tc>
          <w:tcPr>
            <w:tcW w:w="501" w:type="pct"/>
            <w:tcBorders>
              <w:top w:val="nil"/>
              <w:left w:val="nil"/>
              <w:bottom w:val="nil"/>
              <w:right w:val="nil"/>
            </w:tcBorders>
            <w:shd w:val="clear" w:color="auto" w:fill="auto"/>
            <w:vAlign w:val="center"/>
          </w:tcPr>
          <w:p w14:paraId="710DD39F" w14:textId="06626BD3" w:rsidR="00617F18" w:rsidRPr="00FF4346" w:rsidRDefault="00FF0A68" w:rsidP="00617F18">
            <w:pPr>
              <w:jc w:val="right"/>
              <w:rPr>
                <w:rFonts w:ascii="CAIXA Std Book" w:eastAsia="Times New Roman" w:hAnsi="CAIXA Std Book" w:cs="Times New Roman"/>
                <w:color w:val="005CA9"/>
                <w:sz w:val="16"/>
                <w:szCs w:val="16"/>
              </w:rPr>
            </w:pPr>
            <w:r w:rsidRPr="00FF0A68">
              <w:rPr>
                <w:rFonts w:ascii="CAIXA Std Book" w:eastAsia="Times New Roman" w:hAnsi="CAIXA Std Book" w:cs="Times New Roman"/>
                <w:color w:val="005CA9"/>
                <w:sz w:val="16"/>
                <w:szCs w:val="16"/>
              </w:rPr>
              <w:t>2.319</w:t>
            </w:r>
          </w:p>
        </w:tc>
        <w:tc>
          <w:tcPr>
            <w:tcW w:w="538" w:type="pct"/>
            <w:tcBorders>
              <w:top w:val="nil"/>
              <w:left w:val="nil"/>
              <w:bottom w:val="nil"/>
              <w:right w:val="nil"/>
            </w:tcBorders>
            <w:shd w:val="clear" w:color="auto" w:fill="auto"/>
            <w:vAlign w:val="center"/>
          </w:tcPr>
          <w:p w14:paraId="3A7C7558" w14:textId="460D7E4A" w:rsidR="00617F18" w:rsidRPr="00FF4346" w:rsidRDefault="001E3A17" w:rsidP="00617F18">
            <w:pPr>
              <w:jc w:val="right"/>
              <w:rPr>
                <w:rFonts w:ascii="CAIXA Std Book" w:eastAsia="Times New Roman" w:hAnsi="CAIXA Std Book" w:cs="Times New Roman"/>
                <w:color w:val="005CA9"/>
                <w:sz w:val="16"/>
                <w:szCs w:val="16"/>
              </w:rPr>
            </w:pPr>
            <w:r w:rsidRPr="001E3A17">
              <w:rPr>
                <w:rFonts w:ascii="CAIXA Std Book" w:eastAsia="Times New Roman" w:hAnsi="CAIXA Std Book" w:cs="Times New Roman"/>
                <w:color w:val="005CA9"/>
                <w:sz w:val="16"/>
                <w:szCs w:val="16"/>
              </w:rPr>
              <w:t>(28.561)</w:t>
            </w:r>
          </w:p>
        </w:tc>
        <w:tc>
          <w:tcPr>
            <w:tcW w:w="571" w:type="pct"/>
            <w:tcBorders>
              <w:top w:val="nil"/>
              <w:left w:val="nil"/>
              <w:bottom w:val="nil"/>
              <w:right w:val="nil"/>
            </w:tcBorders>
            <w:shd w:val="clear" w:color="auto" w:fill="auto"/>
            <w:vAlign w:val="center"/>
          </w:tcPr>
          <w:p w14:paraId="53AE911A" w14:textId="6B3E6545" w:rsidR="00617F18" w:rsidRPr="00FF4346" w:rsidRDefault="00DF094C" w:rsidP="00617F18">
            <w:pPr>
              <w:jc w:val="right"/>
              <w:rPr>
                <w:rFonts w:ascii="CAIXA Std Book" w:eastAsia="Times New Roman" w:hAnsi="CAIXA Std Book" w:cs="Times New Roman"/>
                <w:color w:val="005CA9"/>
                <w:sz w:val="16"/>
                <w:szCs w:val="16"/>
              </w:rPr>
            </w:pPr>
            <w:r w:rsidRPr="00DF094C">
              <w:rPr>
                <w:rFonts w:ascii="CAIXA Std Book" w:eastAsia="Times New Roman" w:hAnsi="CAIXA Std Book" w:cs="Times New Roman"/>
                <w:color w:val="005CA9"/>
                <w:sz w:val="16"/>
                <w:szCs w:val="16"/>
              </w:rPr>
              <w:t>(3.250)</w:t>
            </w:r>
          </w:p>
        </w:tc>
        <w:tc>
          <w:tcPr>
            <w:tcW w:w="553" w:type="pct"/>
            <w:tcBorders>
              <w:top w:val="nil"/>
              <w:left w:val="nil"/>
              <w:bottom w:val="nil"/>
              <w:right w:val="nil"/>
            </w:tcBorders>
            <w:shd w:val="clear" w:color="auto" w:fill="auto"/>
            <w:vAlign w:val="center"/>
          </w:tcPr>
          <w:p w14:paraId="6B016E01" w14:textId="12EE5950" w:rsidR="00617F18" w:rsidRPr="00FF4346" w:rsidRDefault="00AD0879" w:rsidP="00617F18">
            <w:pPr>
              <w:jc w:val="right"/>
              <w:rPr>
                <w:rFonts w:ascii="CAIXA Std Book" w:eastAsia="Times New Roman" w:hAnsi="CAIXA Std Book" w:cs="Times New Roman"/>
                <w:color w:val="005CA9"/>
                <w:sz w:val="16"/>
                <w:szCs w:val="16"/>
              </w:rPr>
            </w:pPr>
            <w:r w:rsidRPr="00AD0879">
              <w:rPr>
                <w:rFonts w:ascii="CAIXA Std Book" w:eastAsia="Times New Roman" w:hAnsi="CAIXA Std Book" w:cs="Times New Roman"/>
                <w:color w:val="005CA9"/>
                <w:sz w:val="16"/>
                <w:szCs w:val="16"/>
              </w:rPr>
              <w:t>1.058.771</w:t>
            </w:r>
          </w:p>
        </w:tc>
      </w:tr>
      <w:tr w:rsidR="00617F18" w:rsidRPr="00A33766" w14:paraId="253BEABE" w14:textId="77777777" w:rsidTr="00F72350">
        <w:trPr>
          <w:trHeight w:val="283"/>
        </w:trPr>
        <w:tc>
          <w:tcPr>
            <w:tcW w:w="1223" w:type="pct"/>
            <w:tcBorders>
              <w:top w:val="nil"/>
              <w:left w:val="nil"/>
              <w:bottom w:val="nil"/>
              <w:right w:val="nil"/>
            </w:tcBorders>
            <w:shd w:val="clear" w:color="auto" w:fill="auto"/>
            <w:vAlign w:val="center"/>
            <w:hideMark/>
          </w:tcPr>
          <w:p w14:paraId="06AEFAC1" w14:textId="77777777" w:rsidR="00617F18" w:rsidRPr="00FF4346" w:rsidRDefault="00617F18" w:rsidP="00617F18">
            <w:pPr>
              <w:ind w:left="17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Habitacional</w:t>
            </w:r>
          </w:p>
        </w:tc>
        <w:tc>
          <w:tcPr>
            <w:tcW w:w="550" w:type="pct"/>
            <w:tcBorders>
              <w:top w:val="nil"/>
              <w:left w:val="nil"/>
              <w:bottom w:val="nil"/>
              <w:right w:val="nil"/>
            </w:tcBorders>
            <w:shd w:val="clear" w:color="auto" w:fill="auto"/>
            <w:vAlign w:val="center"/>
            <w:hideMark/>
          </w:tcPr>
          <w:p w14:paraId="01D67590" w14:textId="5A08CAF7"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653.315</w:t>
            </w:r>
          </w:p>
        </w:tc>
        <w:tc>
          <w:tcPr>
            <w:tcW w:w="489" w:type="pct"/>
            <w:tcBorders>
              <w:top w:val="nil"/>
              <w:left w:val="nil"/>
              <w:bottom w:val="nil"/>
              <w:right w:val="nil"/>
            </w:tcBorders>
            <w:shd w:val="clear" w:color="auto" w:fill="auto"/>
            <w:vAlign w:val="center"/>
          </w:tcPr>
          <w:p w14:paraId="1B68D8AD" w14:textId="28AA5FEA" w:rsidR="00617F18" w:rsidRPr="00FF4346" w:rsidRDefault="003211BF" w:rsidP="00617F18">
            <w:pPr>
              <w:jc w:val="right"/>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12.226</w:t>
            </w:r>
          </w:p>
        </w:tc>
        <w:tc>
          <w:tcPr>
            <w:tcW w:w="574" w:type="pct"/>
            <w:tcBorders>
              <w:top w:val="nil"/>
              <w:left w:val="nil"/>
              <w:bottom w:val="nil"/>
              <w:right w:val="nil"/>
            </w:tcBorders>
            <w:shd w:val="clear" w:color="auto" w:fill="auto"/>
            <w:vAlign w:val="center"/>
          </w:tcPr>
          <w:p w14:paraId="204D23A4" w14:textId="02FAC655" w:rsidR="00617F18" w:rsidRPr="00FF4346" w:rsidRDefault="00DE499C" w:rsidP="00617F18">
            <w:pPr>
              <w:jc w:val="right"/>
              <w:rPr>
                <w:rFonts w:ascii="CAIXA Std Book" w:eastAsia="Times New Roman" w:hAnsi="CAIXA Std Book" w:cs="Times New Roman"/>
                <w:color w:val="005CA9"/>
                <w:sz w:val="16"/>
                <w:szCs w:val="16"/>
              </w:rPr>
            </w:pPr>
            <w:r w:rsidRPr="00DE499C">
              <w:rPr>
                <w:rFonts w:ascii="CAIXA Std Book" w:eastAsia="Times New Roman" w:hAnsi="CAIXA Std Book" w:cs="Times New Roman"/>
                <w:color w:val="005CA9"/>
                <w:sz w:val="16"/>
                <w:szCs w:val="16"/>
              </w:rPr>
              <w:t>3.751</w:t>
            </w:r>
          </w:p>
        </w:tc>
        <w:tc>
          <w:tcPr>
            <w:tcW w:w="501" w:type="pct"/>
            <w:tcBorders>
              <w:top w:val="nil"/>
              <w:left w:val="nil"/>
              <w:bottom w:val="nil"/>
              <w:right w:val="nil"/>
            </w:tcBorders>
            <w:shd w:val="clear" w:color="auto" w:fill="auto"/>
            <w:vAlign w:val="center"/>
          </w:tcPr>
          <w:p w14:paraId="4A5D1D4C" w14:textId="64580D84" w:rsidR="00617F18" w:rsidRPr="00FF4346" w:rsidRDefault="00CB2FA5" w:rsidP="00617F18">
            <w:pPr>
              <w:jc w:val="right"/>
              <w:rPr>
                <w:rFonts w:ascii="CAIXA Std Book" w:eastAsia="Times New Roman" w:hAnsi="CAIXA Std Book" w:cs="Times New Roman"/>
                <w:color w:val="005CA9"/>
                <w:sz w:val="16"/>
                <w:szCs w:val="16"/>
              </w:rPr>
            </w:pPr>
            <w:r w:rsidRPr="00CB2FA5">
              <w:rPr>
                <w:rFonts w:ascii="CAIXA Std Book" w:eastAsia="Times New Roman" w:hAnsi="CAIXA Std Book" w:cs="Times New Roman"/>
                <w:color w:val="005CA9"/>
                <w:sz w:val="16"/>
                <w:szCs w:val="16"/>
              </w:rPr>
              <w:t>105.641</w:t>
            </w:r>
          </w:p>
        </w:tc>
        <w:tc>
          <w:tcPr>
            <w:tcW w:w="538" w:type="pct"/>
            <w:tcBorders>
              <w:top w:val="nil"/>
              <w:left w:val="nil"/>
              <w:bottom w:val="nil"/>
              <w:right w:val="nil"/>
            </w:tcBorders>
            <w:shd w:val="clear" w:color="auto" w:fill="auto"/>
            <w:vAlign w:val="center"/>
          </w:tcPr>
          <w:p w14:paraId="7139DAD4" w14:textId="254977DD" w:rsidR="00617F18" w:rsidRPr="00FF4346" w:rsidRDefault="00AF585B" w:rsidP="00617F18">
            <w:pPr>
              <w:jc w:val="right"/>
              <w:rPr>
                <w:rFonts w:ascii="CAIXA Std Book" w:eastAsia="Times New Roman" w:hAnsi="CAIXA Std Book" w:cs="Times New Roman"/>
                <w:color w:val="005CA9"/>
                <w:sz w:val="16"/>
                <w:szCs w:val="16"/>
              </w:rPr>
            </w:pPr>
            <w:r w:rsidRPr="00AF585B">
              <w:rPr>
                <w:rFonts w:ascii="CAIXA Std Book" w:eastAsia="Times New Roman" w:hAnsi="CAIXA Std Book" w:cs="Times New Roman"/>
                <w:color w:val="005CA9"/>
                <w:sz w:val="16"/>
                <w:szCs w:val="16"/>
              </w:rPr>
              <w:t>(36.094)</w:t>
            </w:r>
          </w:p>
        </w:tc>
        <w:tc>
          <w:tcPr>
            <w:tcW w:w="571" w:type="pct"/>
            <w:tcBorders>
              <w:top w:val="nil"/>
              <w:left w:val="nil"/>
              <w:bottom w:val="nil"/>
              <w:right w:val="nil"/>
            </w:tcBorders>
            <w:shd w:val="clear" w:color="auto" w:fill="auto"/>
            <w:vAlign w:val="center"/>
          </w:tcPr>
          <w:p w14:paraId="538CD846" w14:textId="25A02DB5" w:rsidR="00617F18" w:rsidRPr="00FF4346" w:rsidRDefault="00DF094C" w:rsidP="00617F18">
            <w:pPr>
              <w:jc w:val="right"/>
              <w:rPr>
                <w:rFonts w:ascii="CAIXA Std Book" w:eastAsia="Times New Roman" w:hAnsi="CAIXA Std Book" w:cs="Times New Roman"/>
                <w:color w:val="005CA9"/>
                <w:sz w:val="16"/>
                <w:szCs w:val="16"/>
              </w:rPr>
            </w:pPr>
            <w:r w:rsidRPr="00DF094C">
              <w:rPr>
                <w:rFonts w:ascii="CAIXA Std Book" w:eastAsia="Times New Roman" w:hAnsi="CAIXA Std Book" w:cs="Times New Roman"/>
                <w:color w:val="005CA9"/>
                <w:sz w:val="16"/>
                <w:szCs w:val="16"/>
              </w:rPr>
              <w:t>(46.092)</w:t>
            </w:r>
          </w:p>
        </w:tc>
        <w:tc>
          <w:tcPr>
            <w:tcW w:w="553" w:type="pct"/>
            <w:tcBorders>
              <w:top w:val="nil"/>
              <w:left w:val="nil"/>
              <w:bottom w:val="nil"/>
              <w:right w:val="nil"/>
            </w:tcBorders>
            <w:shd w:val="clear" w:color="auto" w:fill="auto"/>
            <w:vAlign w:val="center"/>
          </w:tcPr>
          <w:p w14:paraId="5D51C693" w14:textId="600575E4" w:rsidR="00617F18" w:rsidRPr="00FF4346" w:rsidRDefault="00EA3DA8" w:rsidP="00617F18">
            <w:pPr>
              <w:jc w:val="right"/>
              <w:rPr>
                <w:rFonts w:ascii="CAIXA Std Book" w:eastAsia="Times New Roman" w:hAnsi="CAIXA Std Book" w:cs="Times New Roman"/>
                <w:color w:val="005CA9"/>
                <w:sz w:val="16"/>
                <w:szCs w:val="16"/>
              </w:rPr>
            </w:pPr>
            <w:r w:rsidRPr="00EA3DA8">
              <w:rPr>
                <w:rFonts w:ascii="CAIXA Std Book" w:eastAsia="Times New Roman" w:hAnsi="CAIXA Std Book" w:cs="Times New Roman"/>
                <w:color w:val="005CA9"/>
                <w:sz w:val="16"/>
                <w:szCs w:val="16"/>
              </w:rPr>
              <w:t>692.747</w:t>
            </w:r>
          </w:p>
        </w:tc>
      </w:tr>
      <w:tr w:rsidR="00617F18" w:rsidRPr="00A33766" w14:paraId="6EEFC8A0" w14:textId="77777777" w:rsidTr="00F72350">
        <w:trPr>
          <w:trHeight w:val="283"/>
        </w:trPr>
        <w:tc>
          <w:tcPr>
            <w:tcW w:w="1223" w:type="pct"/>
            <w:tcBorders>
              <w:top w:val="nil"/>
              <w:left w:val="nil"/>
              <w:bottom w:val="nil"/>
              <w:right w:val="nil"/>
            </w:tcBorders>
            <w:shd w:val="clear" w:color="auto" w:fill="auto"/>
            <w:vAlign w:val="center"/>
            <w:hideMark/>
          </w:tcPr>
          <w:p w14:paraId="06A93FBD" w14:textId="57E1445F" w:rsidR="00617F18" w:rsidRPr="00FF4346" w:rsidRDefault="00617F18" w:rsidP="00617F18">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Fiscais (b.5)</w:t>
            </w:r>
          </w:p>
        </w:tc>
        <w:tc>
          <w:tcPr>
            <w:tcW w:w="550" w:type="pct"/>
            <w:tcBorders>
              <w:top w:val="nil"/>
              <w:left w:val="nil"/>
              <w:bottom w:val="nil"/>
              <w:right w:val="nil"/>
            </w:tcBorders>
            <w:shd w:val="clear" w:color="auto" w:fill="auto"/>
            <w:vAlign w:val="center"/>
            <w:hideMark/>
          </w:tcPr>
          <w:p w14:paraId="25FED86E" w14:textId="49BFD70F" w:rsidR="00617F18" w:rsidRPr="00FF4346" w:rsidRDefault="00763A52" w:rsidP="00617F18">
            <w:pPr>
              <w:jc w:val="right"/>
              <w:rPr>
                <w:rFonts w:ascii="CAIXA Std Book" w:eastAsia="Times New Roman" w:hAnsi="CAIXA Std Book" w:cs="Arial"/>
                <w:b/>
                <w:bCs/>
                <w:color w:val="005CA9"/>
                <w:sz w:val="16"/>
                <w:szCs w:val="16"/>
              </w:rPr>
            </w:pPr>
            <w:r w:rsidRPr="00FF4346">
              <w:rPr>
                <w:rFonts w:ascii="CAIXA Std Book" w:eastAsia="Times New Roman" w:hAnsi="CAIXA Std Book" w:cs="Times New Roman"/>
                <w:b/>
                <w:color w:val="005CA9"/>
                <w:sz w:val="16"/>
                <w:szCs w:val="16"/>
              </w:rPr>
              <w:t>651.757</w:t>
            </w:r>
          </w:p>
        </w:tc>
        <w:tc>
          <w:tcPr>
            <w:tcW w:w="489" w:type="pct"/>
            <w:tcBorders>
              <w:top w:val="nil"/>
              <w:left w:val="nil"/>
              <w:bottom w:val="nil"/>
              <w:right w:val="nil"/>
            </w:tcBorders>
            <w:shd w:val="clear" w:color="auto" w:fill="auto"/>
            <w:vAlign w:val="center"/>
          </w:tcPr>
          <w:p w14:paraId="3CC1B23A" w14:textId="4C0D0F5B" w:rsidR="00617F18" w:rsidRPr="00FF4346" w:rsidRDefault="003211BF" w:rsidP="00617F18">
            <w:pPr>
              <w:jc w:val="right"/>
              <w:rPr>
                <w:rFonts w:ascii="CAIXA Std Book" w:eastAsia="Times New Roman" w:hAnsi="CAIXA Std Book" w:cs="Arial"/>
                <w:b/>
                <w:bCs/>
                <w:color w:val="005CA9"/>
                <w:sz w:val="16"/>
                <w:szCs w:val="16"/>
              </w:rPr>
            </w:pPr>
            <w:r w:rsidRPr="003211BF">
              <w:rPr>
                <w:rFonts w:ascii="CAIXA Std Book" w:eastAsia="Times New Roman" w:hAnsi="CAIXA Std Book" w:cs="Arial"/>
                <w:b/>
                <w:bCs/>
                <w:color w:val="005CA9"/>
                <w:sz w:val="16"/>
                <w:szCs w:val="16"/>
              </w:rPr>
              <w:t>25.146</w:t>
            </w:r>
          </w:p>
        </w:tc>
        <w:tc>
          <w:tcPr>
            <w:tcW w:w="574" w:type="pct"/>
            <w:tcBorders>
              <w:top w:val="nil"/>
              <w:left w:val="nil"/>
              <w:bottom w:val="nil"/>
              <w:right w:val="nil"/>
            </w:tcBorders>
            <w:shd w:val="clear" w:color="auto" w:fill="auto"/>
            <w:vAlign w:val="center"/>
          </w:tcPr>
          <w:p w14:paraId="6DDF32BC" w14:textId="477AC53C" w:rsidR="00617F18" w:rsidRPr="00FF4346" w:rsidRDefault="00DE499C" w:rsidP="00617F18">
            <w:pPr>
              <w:jc w:val="right"/>
              <w:rPr>
                <w:rFonts w:ascii="CAIXA Std Book" w:eastAsia="Times New Roman" w:hAnsi="CAIXA Std Book" w:cs="Times New Roman"/>
                <w:b/>
                <w:color w:val="005CA9"/>
                <w:sz w:val="16"/>
                <w:szCs w:val="16"/>
              </w:rPr>
            </w:pPr>
            <w:r w:rsidRPr="00DE499C">
              <w:rPr>
                <w:rFonts w:ascii="CAIXA Std Book" w:eastAsia="Times New Roman" w:hAnsi="CAIXA Std Book" w:cs="Times New Roman"/>
                <w:b/>
                <w:color w:val="005CA9"/>
                <w:sz w:val="16"/>
                <w:szCs w:val="16"/>
              </w:rPr>
              <w:t>6.576</w:t>
            </w:r>
          </w:p>
        </w:tc>
        <w:tc>
          <w:tcPr>
            <w:tcW w:w="501" w:type="pct"/>
            <w:tcBorders>
              <w:top w:val="nil"/>
              <w:left w:val="nil"/>
              <w:bottom w:val="nil"/>
              <w:right w:val="nil"/>
            </w:tcBorders>
            <w:shd w:val="clear" w:color="auto" w:fill="auto"/>
            <w:vAlign w:val="center"/>
          </w:tcPr>
          <w:p w14:paraId="26AA4412" w14:textId="5C8EFC76" w:rsidR="00617F18" w:rsidRPr="00FF4346" w:rsidRDefault="003E0822" w:rsidP="00617F18">
            <w:pPr>
              <w:jc w:val="right"/>
              <w:rPr>
                <w:rFonts w:ascii="CAIXA Std Book" w:eastAsia="Times New Roman" w:hAnsi="CAIXA Std Book" w:cs="Times New Roman"/>
                <w:b/>
                <w:color w:val="005CA9"/>
                <w:sz w:val="16"/>
                <w:szCs w:val="16"/>
              </w:rPr>
            </w:pPr>
            <w:r w:rsidRPr="003E0822">
              <w:rPr>
                <w:rFonts w:ascii="CAIXA Std Book" w:eastAsia="Times New Roman" w:hAnsi="CAIXA Std Book" w:cs="Times New Roman"/>
                <w:b/>
                <w:color w:val="005CA9"/>
                <w:sz w:val="16"/>
                <w:szCs w:val="16"/>
              </w:rPr>
              <w:t>21.483</w:t>
            </w:r>
          </w:p>
        </w:tc>
        <w:tc>
          <w:tcPr>
            <w:tcW w:w="538" w:type="pct"/>
            <w:tcBorders>
              <w:top w:val="nil"/>
              <w:left w:val="nil"/>
              <w:bottom w:val="nil"/>
              <w:right w:val="nil"/>
            </w:tcBorders>
            <w:shd w:val="clear" w:color="auto" w:fill="auto"/>
            <w:vAlign w:val="center"/>
          </w:tcPr>
          <w:p w14:paraId="6D021E0F" w14:textId="4562C80E" w:rsidR="00617F18" w:rsidRPr="00FF4346" w:rsidRDefault="00336EA0" w:rsidP="00617F18">
            <w:pPr>
              <w:jc w:val="right"/>
              <w:rPr>
                <w:rFonts w:ascii="CAIXA Std Book" w:eastAsia="Times New Roman" w:hAnsi="CAIXA Std Book" w:cs="Times New Roman"/>
                <w:b/>
                <w:color w:val="005CA9"/>
                <w:sz w:val="16"/>
                <w:szCs w:val="16"/>
              </w:rPr>
            </w:pPr>
            <w:r w:rsidRPr="00336EA0">
              <w:rPr>
                <w:rFonts w:ascii="CAIXA Std Book" w:eastAsia="Times New Roman" w:hAnsi="CAIXA Std Book" w:cs="Times New Roman"/>
                <w:b/>
                <w:color w:val="005CA9"/>
                <w:sz w:val="16"/>
                <w:szCs w:val="16"/>
              </w:rPr>
              <w:t>(94.954)</w:t>
            </w:r>
          </w:p>
        </w:tc>
        <w:tc>
          <w:tcPr>
            <w:tcW w:w="571" w:type="pct"/>
            <w:tcBorders>
              <w:top w:val="nil"/>
              <w:left w:val="nil"/>
              <w:bottom w:val="nil"/>
              <w:right w:val="nil"/>
            </w:tcBorders>
            <w:shd w:val="clear" w:color="auto" w:fill="auto"/>
            <w:vAlign w:val="center"/>
          </w:tcPr>
          <w:p w14:paraId="05481625" w14:textId="78D9148B" w:rsidR="00617F18" w:rsidRPr="00FF4346" w:rsidRDefault="00DF1057" w:rsidP="00617F18">
            <w:pPr>
              <w:jc w:val="right"/>
              <w:rPr>
                <w:rFonts w:ascii="CAIXA Std Book" w:eastAsia="Times New Roman" w:hAnsi="CAIXA Std Book" w:cs="Times New Roman"/>
                <w:b/>
                <w:color w:val="005CA9"/>
                <w:sz w:val="16"/>
                <w:szCs w:val="16"/>
              </w:rPr>
            </w:pPr>
            <w:r w:rsidRPr="00DF1057">
              <w:rPr>
                <w:rFonts w:ascii="CAIXA Std Book" w:eastAsia="Times New Roman" w:hAnsi="CAIXA Std Book" w:cs="Times New Roman"/>
                <w:b/>
                <w:color w:val="005CA9"/>
                <w:sz w:val="16"/>
                <w:szCs w:val="16"/>
              </w:rPr>
              <w:t>(28.298)</w:t>
            </w:r>
          </w:p>
        </w:tc>
        <w:tc>
          <w:tcPr>
            <w:tcW w:w="553" w:type="pct"/>
            <w:tcBorders>
              <w:top w:val="nil"/>
              <w:left w:val="nil"/>
              <w:bottom w:val="nil"/>
              <w:right w:val="nil"/>
            </w:tcBorders>
            <w:shd w:val="clear" w:color="auto" w:fill="auto"/>
            <w:vAlign w:val="center"/>
          </w:tcPr>
          <w:p w14:paraId="3986441C" w14:textId="5AF14665" w:rsidR="00617F18" w:rsidRPr="00FF4346" w:rsidRDefault="00EA3DA8" w:rsidP="00617F18">
            <w:pPr>
              <w:jc w:val="right"/>
              <w:rPr>
                <w:rFonts w:ascii="CAIXA Std Book" w:eastAsia="Times New Roman" w:hAnsi="CAIXA Std Book" w:cs="Times New Roman"/>
                <w:b/>
                <w:color w:val="005CA9"/>
                <w:sz w:val="16"/>
                <w:szCs w:val="16"/>
              </w:rPr>
            </w:pPr>
            <w:r w:rsidRPr="00EA3DA8">
              <w:rPr>
                <w:rFonts w:ascii="CAIXA Std Book" w:eastAsia="Times New Roman" w:hAnsi="CAIXA Std Book" w:cs="Times New Roman"/>
                <w:b/>
                <w:color w:val="005CA9"/>
                <w:sz w:val="16"/>
                <w:szCs w:val="16"/>
              </w:rPr>
              <w:t>581.710</w:t>
            </w:r>
          </w:p>
        </w:tc>
      </w:tr>
      <w:tr w:rsidR="00617F18" w:rsidRPr="00A33766" w14:paraId="027325E5" w14:textId="77777777" w:rsidTr="00F72350">
        <w:trPr>
          <w:trHeight w:val="283"/>
        </w:trPr>
        <w:tc>
          <w:tcPr>
            <w:tcW w:w="1223" w:type="pct"/>
            <w:tcBorders>
              <w:top w:val="nil"/>
              <w:left w:val="nil"/>
              <w:bottom w:val="nil"/>
              <w:right w:val="nil"/>
            </w:tcBorders>
            <w:shd w:val="clear" w:color="auto" w:fill="auto"/>
            <w:vAlign w:val="center"/>
            <w:hideMark/>
          </w:tcPr>
          <w:p w14:paraId="7FF095E3" w14:textId="77777777" w:rsidR="00617F18" w:rsidRPr="00FF4346" w:rsidRDefault="00617F18" w:rsidP="00617F18">
            <w:pPr>
              <w:ind w:firstLineChars="100" w:firstLine="16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ISSQN</w:t>
            </w:r>
          </w:p>
        </w:tc>
        <w:tc>
          <w:tcPr>
            <w:tcW w:w="550" w:type="pct"/>
            <w:tcBorders>
              <w:top w:val="nil"/>
              <w:left w:val="nil"/>
              <w:bottom w:val="nil"/>
              <w:right w:val="nil"/>
            </w:tcBorders>
            <w:shd w:val="clear" w:color="auto" w:fill="auto"/>
            <w:vAlign w:val="center"/>
            <w:hideMark/>
          </w:tcPr>
          <w:p w14:paraId="4BB317BB" w14:textId="22AFC982"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424.872</w:t>
            </w:r>
          </w:p>
        </w:tc>
        <w:tc>
          <w:tcPr>
            <w:tcW w:w="489" w:type="pct"/>
            <w:tcBorders>
              <w:top w:val="nil"/>
              <w:left w:val="nil"/>
              <w:bottom w:val="nil"/>
              <w:right w:val="nil"/>
            </w:tcBorders>
            <w:shd w:val="clear" w:color="auto" w:fill="auto"/>
            <w:vAlign w:val="center"/>
          </w:tcPr>
          <w:p w14:paraId="30A23AEC" w14:textId="214736CC" w:rsidR="00617F18" w:rsidRPr="00FF4346" w:rsidRDefault="003211BF" w:rsidP="00617F18">
            <w:pPr>
              <w:jc w:val="right"/>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20.724</w:t>
            </w:r>
          </w:p>
        </w:tc>
        <w:tc>
          <w:tcPr>
            <w:tcW w:w="574" w:type="pct"/>
            <w:tcBorders>
              <w:top w:val="nil"/>
              <w:left w:val="nil"/>
              <w:bottom w:val="nil"/>
              <w:right w:val="nil"/>
            </w:tcBorders>
            <w:shd w:val="clear" w:color="auto" w:fill="auto"/>
            <w:vAlign w:val="center"/>
          </w:tcPr>
          <w:p w14:paraId="5ABB4F57" w14:textId="4B87885B" w:rsidR="00617F18" w:rsidRPr="00FF4346" w:rsidRDefault="00823B49" w:rsidP="00617F18">
            <w:pPr>
              <w:jc w:val="right"/>
              <w:rPr>
                <w:rFonts w:ascii="CAIXA Std Book" w:eastAsia="Times New Roman" w:hAnsi="CAIXA Std Book" w:cs="Times New Roman"/>
                <w:color w:val="005CA9"/>
                <w:sz w:val="16"/>
                <w:szCs w:val="16"/>
              </w:rPr>
            </w:pPr>
            <w:r w:rsidRPr="00823B49">
              <w:rPr>
                <w:rFonts w:ascii="CAIXA Std Book" w:eastAsia="Times New Roman" w:hAnsi="CAIXA Std Book" w:cs="Times New Roman"/>
                <w:color w:val="005CA9"/>
                <w:sz w:val="16"/>
                <w:szCs w:val="16"/>
              </w:rPr>
              <w:t>5.171</w:t>
            </w:r>
          </w:p>
        </w:tc>
        <w:tc>
          <w:tcPr>
            <w:tcW w:w="501" w:type="pct"/>
            <w:tcBorders>
              <w:top w:val="nil"/>
              <w:left w:val="nil"/>
              <w:bottom w:val="nil"/>
              <w:right w:val="nil"/>
            </w:tcBorders>
            <w:shd w:val="clear" w:color="auto" w:fill="auto"/>
            <w:vAlign w:val="center"/>
          </w:tcPr>
          <w:p w14:paraId="5EDFB41D" w14:textId="0E363CB5" w:rsidR="00617F18" w:rsidRPr="00FF4346" w:rsidRDefault="00EF57DA" w:rsidP="00617F18">
            <w:pPr>
              <w:jc w:val="right"/>
              <w:rPr>
                <w:rFonts w:ascii="CAIXA Std Book" w:eastAsia="Times New Roman" w:hAnsi="CAIXA Std Book" w:cs="Times New Roman"/>
                <w:color w:val="005CA9"/>
                <w:sz w:val="16"/>
                <w:szCs w:val="16"/>
              </w:rPr>
            </w:pPr>
            <w:r w:rsidRPr="00EF57DA">
              <w:rPr>
                <w:rFonts w:ascii="CAIXA Std Book" w:eastAsia="Times New Roman" w:hAnsi="CAIXA Std Book" w:cs="Times New Roman"/>
                <w:color w:val="005CA9"/>
                <w:sz w:val="16"/>
                <w:szCs w:val="16"/>
              </w:rPr>
              <w:t>10.244</w:t>
            </w:r>
          </w:p>
        </w:tc>
        <w:tc>
          <w:tcPr>
            <w:tcW w:w="538" w:type="pct"/>
            <w:tcBorders>
              <w:top w:val="nil"/>
              <w:left w:val="nil"/>
              <w:bottom w:val="nil"/>
              <w:right w:val="nil"/>
            </w:tcBorders>
            <w:shd w:val="clear" w:color="auto" w:fill="auto"/>
            <w:vAlign w:val="center"/>
          </w:tcPr>
          <w:p w14:paraId="470DB1DF" w14:textId="2B339309" w:rsidR="00617F18" w:rsidRPr="00FF4346" w:rsidRDefault="00D25BD2" w:rsidP="00617F18">
            <w:pPr>
              <w:jc w:val="right"/>
              <w:rPr>
                <w:rFonts w:ascii="CAIXA Std Book" w:eastAsia="Times New Roman" w:hAnsi="CAIXA Std Book" w:cs="Times New Roman"/>
                <w:color w:val="005CA9"/>
                <w:sz w:val="16"/>
                <w:szCs w:val="16"/>
              </w:rPr>
            </w:pPr>
            <w:r w:rsidRPr="00D25BD2">
              <w:rPr>
                <w:rFonts w:ascii="CAIXA Std Book" w:eastAsia="Times New Roman" w:hAnsi="CAIXA Std Book" w:cs="Times New Roman"/>
                <w:color w:val="005CA9"/>
                <w:sz w:val="16"/>
                <w:szCs w:val="16"/>
              </w:rPr>
              <w:t>(92.249)</w:t>
            </w:r>
          </w:p>
        </w:tc>
        <w:tc>
          <w:tcPr>
            <w:tcW w:w="571" w:type="pct"/>
            <w:tcBorders>
              <w:top w:val="nil"/>
              <w:left w:val="nil"/>
              <w:bottom w:val="nil"/>
              <w:right w:val="nil"/>
            </w:tcBorders>
            <w:shd w:val="clear" w:color="auto" w:fill="auto"/>
            <w:vAlign w:val="center"/>
          </w:tcPr>
          <w:p w14:paraId="736DA315" w14:textId="429DC9C8" w:rsidR="00617F18" w:rsidRPr="00FF4346" w:rsidRDefault="00A6792B" w:rsidP="00617F18">
            <w:pPr>
              <w:jc w:val="right"/>
              <w:rPr>
                <w:rFonts w:ascii="CAIXA Std Book" w:eastAsia="Times New Roman" w:hAnsi="CAIXA Std Book" w:cs="Times New Roman"/>
                <w:color w:val="005CA9"/>
                <w:sz w:val="16"/>
                <w:szCs w:val="16"/>
              </w:rPr>
            </w:pPr>
            <w:r w:rsidRPr="00A6792B">
              <w:rPr>
                <w:rFonts w:ascii="CAIXA Std Book" w:eastAsia="Times New Roman" w:hAnsi="CAIXA Std Book" w:cs="Times New Roman"/>
                <w:color w:val="005CA9"/>
                <w:sz w:val="16"/>
                <w:szCs w:val="16"/>
              </w:rPr>
              <w:t>(1.905)</w:t>
            </w:r>
          </w:p>
        </w:tc>
        <w:tc>
          <w:tcPr>
            <w:tcW w:w="553" w:type="pct"/>
            <w:tcBorders>
              <w:top w:val="nil"/>
              <w:left w:val="nil"/>
              <w:bottom w:val="nil"/>
              <w:right w:val="nil"/>
            </w:tcBorders>
            <w:shd w:val="clear" w:color="auto" w:fill="auto"/>
            <w:vAlign w:val="center"/>
          </w:tcPr>
          <w:p w14:paraId="50164C1F" w14:textId="213FB016" w:rsidR="00617F18" w:rsidRPr="00FF4346" w:rsidRDefault="00AE1A44" w:rsidP="00617F18">
            <w:pPr>
              <w:jc w:val="right"/>
              <w:rPr>
                <w:rFonts w:ascii="CAIXA Std Book" w:eastAsia="Times New Roman" w:hAnsi="CAIXA Std Book" w:cs="Times New Roman"/>
                <w:color w:val="005CA9"/>
                <w:sz w:val="16"/>
                <w:szCs w:val="16"/>
              </w:rPr>
            </w:pPr>
            <w:r w:rsidRPr="00AE1A44">
              <w:rPr>
                <w:rFonts w:ascii="CAIXA Std Book" w:eastAsia="Times New Roman" w:hAnsi="CAIXA Std Book" w:cs="Times New Roman"/>
                <w:color w:val="005CA9"/>
                <w:sz w:val="16"/>
                <w:szCs w:val="16"/>
              </w:rPr>
              <w:t>366.857</w:t>
            </w:r>
          </w:p>
        </w:tc>
      </w:tr>
      <w:tr w:rsidR="00617F18" w:rsidRPr="00A33766" w14:paraId="0DF3B73C" w14:textId="77777777" w:rsidTr="00F72350">
        <w:trPr>
          <w:trHeight w:val="283"/>
        </w:trPr>
        <w:tc>
          <w:tcPr>
            <w:tcW w:w="1223" w:type="pct"/>
            <w:tcBorders>
              <w:top w:val="nil"/>
              <w:left w:val="nil"/>
              <w:bottom w:val="nil"/>
              <w:right w:val="nil"/>
            </w:tcBorders>
            <w:shd w:val="clear" w:color="auto" w:fill="auto"/>
            <w:vAlign w:val="center"/>
            <w:hideMark/>
          </w:tcPr>
          <w:p w14:paraId="1681737F" w14:textId="77777777" w:rsidR="00617F18" w:rsidRPr="00FF4346" w:rsidRDefault="00617F18" w:rsidP="00617F18">
            <w:pPr>
              <w:ind w:firstLineChars="100" w:firstLine="16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INSS</w:t>
            </w:r>
          </w:p>
        </w:tc>
        <w:tc>
          <w:tcPr>
            <w:tcW w:w="550" w:type="pct"/>
            <w:tcBorders>
              <w:top w:val="nil"/>
              <w:left w:val="nil"/>
              <w:bottom w:val="nil"/>
              <w:right w:val="nil"/>
            </w:tcBorders>
            <w:shd w:val="clear" w:color="auto" w:fill="auto"/>
            <w:vAlign w:val="center"/>
            <w:hideMark/>
          </w:tcPr>
          <w:p w14:paraId="7F38968B" w14:textId="3C20F7FF"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21.313</w:t>
            </w:r>
          </w:p>
        </w:tc>
        <w:tc>
          <w:tcPr>
            <w:tcW w:w="489" w:type="pct"/>
            <w:tcBorders>
              <w:top w:val="nil"/>
              <w:left w:val="nil"/>
              <w:bottom w:val="nil"/>
              <w:right w:val="nil"/>
            </w:tcBorders>
            <w:shd w:val="clear" w:color="auto" w:fill="auto"/>
            <w:vAlign w:val="center"/>
          </w:tcPr>
          <w:p w14:paraId="38F4474F" w14:textId="3F2B3F9E" w:rsidR="00617F18" w:rsidRPr="00FF4346" w:rsidRDefault="003211BF" w:rsidP="00F72350">
            <w:pPr>
              <w:jc w:val="center"/>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w:t>
            </w:r>
          </w:p>
        </w:tc>
        <w:tc>
          <w:tcPr>
            <w:tcW w:w="574" w:type="pct"/>
            <w:tcBorders>
              <w:top w:val="nil"/>
              <w:left w:val="nil"/>
              <w:bottom w:val="nil"/>
              <w:right w:val="nil"/>
            </w:tcBorders>
            <w:shd w:val="clear" w:color="auto" w:fill="auto"/>
            <w:vAlign w:val="center"/>
          </w:tcPr>
          <w:p w14:paraId="0E60826F" w14:textId="0EA243F3" w:rsidR="00617F18" w:rsidRPr="00FF4346" w:rsidRDefault="00823B49" w:rsidP="00617F18">
            <w:pPr>
              <w:jc w:val="right"/>
              <w:rPr>
                <w:rFonts w:ascii="CAIXA Std Book" w:eastAsia="Times New Roman" w:hAnsi="CAIXA Std Book" w:cs="Times New Roman"/>
                <w:color w:val="005CA9"/>
                <w:sz w:val="16"/>
                <w:szCs w:val="16"/>
              </w:rPr>
            </w:pPr>
            <w:r w:rsidRPr="00823B49">
              <w:rPr>
                <w:rFonts w:ascii="CAIXA Std Book" w:eastAsia="Times New Roman" w:hAnsi="CAIXA Std Book" w:cs="Times New Roman"/>
                <w:color w:val="005CA9"/>
                <w:sz w:val="16"/>
                <w:szCs w:val="16"/>
              </w:rPr>
              <w:t>314</w:t>
            </w:r>
          </w:p>
        </w:tc>
        <w:tc>
          <w:tcPr>
            <w:tcW w:w="501" w:type="pct"/>
            <w:tcBorders>
              <w:top w:val="nil"/>
              <w:left w:val="nil"/>
              <w:bottom w:val="nil"/>
              <w:right w:val="nil"/>
            </w:tcBorders>
            <w:shd w:val="clear" w:color="auto" w:fill="auto"/>
            <w:vAlign w:val="center"/>
          </w:tcPr>
          <w:p w14:paraId="2778A2E9" w14:textId="687E6D7F" w:rsidR="00617F18" w:rsidRPr="00FF4346" w:rsidRDefault="001B119C" w:rsidP="00617F18">
            <w:pPr>
              <w:jc w:val="right"/>
              <w:rPr>
                <w:rFonts w:ascii="CAIXA Std Book" w:eastAsia="Times New Roman" w:hAnsi="CAIXA Std Book" w:cs="Times New Roman"/>
                <w:color w:val="005CA9"/>
                <w:sz w:val="16"/>
                <w:szCs w:val="16"/>
              </w:rPr>
            </w:pPr>
            <w:r w:rsidRPr="001B119C">
              <w:rPr>
                <w:rFonts w:ascii="CAIXA Std Book" w:eastAsia="Times New Roman" w:hAnsi="CAIXA Std Book" w:cs="Times New Roman"/>
                <w:color w:val="005CA9"/>
                <w:sz w:val="16"/>
                <w:szCs w:val="16"/>
              </w:rPr>
              <w:t>790</w:t>
            </w:r>
          </w:p>
        </w:tc>
        <w:tc>
          <w:tcPr>
            <w:tcW w:w="538" w:type="pct"/>
            <w:tcBorders>
              <w:top w:val="nil"/>
              <w:left w:val="nil"/>
              <w:bottom w:val="nil"/>
              <w:right w:val="nil"/>
            </w:tcBorders>
            <w:shd w:val="clear" w:color="auto" w:fill="auto"/>
            <w:vAlign w:val="center"/>
          </w:tcPr>
          <w:p w14:paraId="5A0E7C2A" w14:textId="214A26D5" w:rsidR="00617F18" w:rsidRPr="00FF4346" w:rsidRDefault="00CB57F5" w:rsidP="00617F18">
            <w:pPr>
              <w:jc w:val="right"/>
              <w:rPr>
                <w:rFonts w:ascii="CAIXA Std Book" w:eastAsia="Times New Roman" w:hAnsi="CAIXA Std Book" w:cs="Times New Roman"/>
                <w:color w:val="005CA9"/>
                <w:sz w:val="16"/>
                <w:szCs w:val="16"/>
              </w:rPr>
            </w:pPr>
            <w:r w:rsidRPr="00CB57F5">
              <w:rPr>
                <w:rFonts w:ascii="CAIXA Std Book" w:eastAsia="Times New Roman" w:hAnsi="CAIXA Std Book" w:cs="Times New Roman"/>
                <w:color w:val="005CA9"/>
                <w:sz w:val="16"/>
                <w:szCs w:val="16"/>
              </w:rPr>
              <w:t>(4)</w:t>
            </w:r>
          </w:p>
        </w:tc>
        <w:tc>
          <w:tcPr>
            <w:tcW w:w="571" w:type="pct"/>
            <w:tcBorders>
              <w:top w:val="nil"/>
              <w:left w:val="nil"/>
              <w:bottom w:val="nil"/>
              <w:right w:val="nil"/>
            </w:tcBorders>
            <w:shd w:val="clear" w:color="auto" w:fill="auto"/>
            <w:vAlign w:val="center"/>
          </w:tcPr>
          <w:p w14:paraId="78BE47F2" w14:textId="39AA2B09" w:rsidR="00617F18" w:rsidRPr="00FF4346" w:rsidRDefault="00A6792B" w:rsidP="00617F18">
            <w:pPr>
              <w:jc w:val="right"/>
              <w:rPr>
                <w:rFonts w:ascii="CAIXA Std Book" w:eastAsia="Times New Roman" w:hAnsi="CAIXA Std Book" w:cs="Times New Roman"/>
                <w:color w:val="005CA9"/>
                <w:sz w:val="16"/>
                <w:szCs w:val="16"/>
              </w:rPr>
            </w:pPr>
            <w:r w:rsidRPr="00A6792B">
              <w:rPr>
                <w:rFonts w:ascii="CAIXA Std Book" w:eastAsia="Times New Roman" w:hAnsi="CAIXA Std Book" w:cs="Times New Roman"/>
                <w:color w:val="005CA9"/>
                <w:sz w:val="16"/>
                <w:szCs w:val="16"/>
              </w:rPr>
              <w:t>(16.526)</w:t>
            </w:r>
          </w:p>
        </w:tc>
        <w:tc>
          <w:tcPr>
            <w:tcW w:w="553" w:type="pct"/>
            <w:tcBorders>
              <w:top w:val="nil"/>
              <w:left w:val="nil"/>
              <w:bottom w:val="nil"/>
              <w:right w:val="nil"/>
            </w:tcBorders>
            <w:shd w:val="clear" w:color="auto" w:fill="auto"/>
            <w:vAlign w:val="center"/>
          </w:tcPr>
          <w:p w14:paraId="36DB164F" w14:textId="044D092F" w:rsidR="00617F18" w:rsidRPr="00FF4346" w:rsidRDefault="00AE1A44" w:rsidP="00617F18">
            <w:pPr>
              <w:jc w:val="right"/>
              <w:rPr>
                <w:rFonts w:ascii="CAIXA Std Book" w:eastAsia="Times New Roman" w:hAnsi="CAIXA Std Book" w:cs="Times New Roman"/>
                <w:color w:val="005CA9"/>
                <w:sz w:val="16"/>
                <w:szCs w:val="16"/>
              </w:rPr>
            </w:pPr>
            <w:r w:rsidRPr="00AE1A44">
              <w:rPr>
                <w:rFonts w:ascii="CAIXA Std Book" w:eastAsia="Times New Roman" w:hAnsi="CAIXA Std Book" w:cs="Times New Roman"/>
                <w:color w:val="005CA9"/>
                <w:sz w:val="16"/>
                <w:szCs w:val="16"/>
              </w:rPr>
              <w:t>5.887</w:t>
            </w:r>
          </w:p>
        </w:tc>
      </w:tr>
      <w:tr w:rsidR="00617F18" w:rsidRPr="00A33766" w14:paraId="0EC32536" w14:textId="77777777" w:rsidTr="00F72350">
        <w:trPr>
          <w:trHeight w:val="283"/>
        </w:trPr>
        <w:tc>
          <w:tcPr>
            <w:tcW w:w="1223" w:type="pct"/>
            <w:tcBorders>
              <w:top w:val="nil"/>
              <w:left w:val="nil"/>
              <w:bottom w:val="nil"/>
              <w:right w:val="nil"/>
            </w:tcBorders>
            <w:shd w:val="clear" w:color="auto" w:fill="auto"/>
            <w:vAlign w:val="center"/>
            <w:hideMark/>
          </w:tcPr>
          <w:p w14:paraId="59C926CD" w14:textId="77777777" w:rsidR="00617F18" w:rsidRPr="00FF4346" w:rsidRDefault="00617F18" w:rsidP="00617F18">
            <w:pPr>
              <w:ind w:firstLineChars="100" w:firstLine="16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IPTU</w:t>
            </w:r>
          </w:p>
        </w:tc>
        <w:tc>
          <w:tcPr>
            <w:tcW w:w="550" w:type="pct"/>
            <w:tcBorders>
              <w:top w:val="nil"/>
              <w:left w:val="nil"/>
              <w:bottom w:val="nil"/>
              <w:right w:val="nil"/>
            </w:tcBorders>
            <w:shd w:val="clear" w:color="auto" w:fill="auto"/>
            <w:vAlign w:val="center"/>
            <w:hideMark/>
          </w:tcPr>
          <w:p w14:paraId="14E2748C" w14:textId="64E18928"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82.061</w:t>
            </w:r>
          </w:p>
        </w:tc>
        <w:tc>
          <w:tcPr>
            <w:tcW w:w="489" w:type="pct"/>
            <w:tcBorders>
              <w:top w:val="nil"/>
              <w:left w:val="nil"/>
              <w:bottom w:val="nil"/>
              <w:right w:val="nil"/>
            </w:tcBorders>
            <w:shd w:val="clear" w:color="auto" w:fill="auto"/>
            <w:vAlign w:val="center"/>
          </w:tcPr>
          <w:p w14:paraId="4E9DCBD1" w14:textId="1A007E18" w:rsidR="00617F18" w:rsidRPr="00FF4346" w:rsidRDefault="003211BF" w:rsidP="00617F18">
            <w:pPr>
              <w:jc w:val="right"/>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2.588</w:t>
            </w:r>
          </w:p>
        </w:tc>
        <w:tc>
          <w:tcPr>
            <w:tcW w:w="574" w:type="pct"/>
            <w:tcBorders>
              <w:top w:val="nil"/>
              <w:left w:val="nil"/>
              <w:bottom w:val="nil"/>
              <w:right w:val="nil"/>
            </w:tcBorders>
            <w:shd w:val="clear" w:color="auto" w:fill="auto"/>
            <w:vAlign w:val="center"/>
          </w:tcPr>
          <w:p w14:paraId="16A0EA2B" w14:textId="3632D1D3" w:rsidR="00617F18" w:rsidRPr="00FF4346" w:rsidRDefault="00D91BF5" w:rsidP="00617F18">
            <w:pPr>
              <w:jc w:val="right"/>
              <w:rPr>
                <w:rFonts w:ascii="CAIXA Std Book" w:eastAsia="Times New Roman" w:hAnsi="CAIXA Std Book" w:cs="Times New Roman"/>
                <w:color w:val="005CA9"/>
                <w:sz w:val="16"/>
                <w:szCs w:val="16"/>
              </w:rPr>
            </w:pPr>
            <w:r w:rsidRPr="00D91BF5">
              <w:rPr>
                <w:rFonts w:ascii="CAIXA Std Book" w:eastAsia="Times New Roman" w:hAnsi="CAIXA Std Book" w:cs="Times New Roman"/>
                <w:color w:val="005CA9"/>
                <w:sz w:val="16"/>
                <w:szCs w:val="16"/>
              </w:rPr>
              <w:t>341</w:t>
            </w:r>
          </w:p>
        </w:tc>
        <w:tc>
          <w:tcPr>
            <w:tcW w:w="501" w:type="pct"/>
            <w:tcBorders>
              <w:top w:val="nil"/>
              <w:left w:val="nil"/>
              <w:bottom w:val="nil"/>
              <w:right w:val="nil"/>
            </w:tcBorders>
            <w:shd w:val="clear" w:color="auto" w:fill="auto"/>
            <w:vAlign w:val="center"/>
          </w:tcPr>
          <w:p w14:paraId="364433E9" w14:textId="074F3CC8" w:rsidR="00617F18" w:rsidRPr="00FF4346" w:rsidRDefault="00421077" w:rsidP="00617F18">
            <w:pPr>
              <w:jc w:val="right"/>
              <w:rPr>
                <w:rFonts w:ascii="CAIXA Std Book" w:eastAsia="Times New Roman" w:hAnsi="CAIXA Std Book" w:cs="Times New Roman"/>
                <w:color w:val="005CA9"/>
                <w:sz w:val="16"/>
                <w:szCs w:val="16"/>
              </w:rPr>
            </w:pPr>
            <w:r w:rsidRPr="00421077">
              <w:rPr>
                <w:rFonts w:ascii="CAIXA Std Book" w:eastAsia="Times New Roman" w:hAnsi="CAIXA Std Book" w:cs="Times New Roman"/>
                <w:color w:val="005CA9"/>
                <w:sz w:val="16"/>
                <w:szCs w:val="16"/>
              </w:rPr>
              <w:t>4.680</w:t>
            </w:r>
          </w:p>
        </w:tc>
        <w:tc>
          <w:tcPr>
            <w:tcW w:w="538" w:type="pct"/>
            <w:tcBorders>
              <w:top w:val="nil"/>
              <w:left w:val="nil"/>
              <w:bottom w:val="nil"/>
              <w:right w:val="nil"/>
            </w:tcBorders>
            <w:shd w:val="clear" w:color="auto" w:fill="auto"/>
            <w:vAlign w:val="center"/>
          </w:tcPr>
          <w:p w14:paraId="718845A3" w14:textId="05A2050F" w:rsidR="00617F18" w:rsidRPr="00FF4346" w:rsidRDefault="00263359" w:rsidP="00617F18">
            <w:pPr>
              <w:jc w:val="right"/>
              <w:rPr>
                <w:rFonts w:ascii="CAIXA Std Book" w:eastAsia="Times New Roman" w:hAnsi="CAIXA Std Book" w:cs="Times New Roman"/>
                <w:color w:val="005CA9"/>
                <w:sz w:val="16"/>
                <w:szCs w:val="16"/>
              </w:rPr>
            </w:pPr>
            <w:r w:rsidRPr="00263359">
              <w:rPr>
                <w:rFonts w:ascii="CAIXA Std Book" w:eastAsia="Times New Roman" w:hAnsi="CAIXA Std Book" w:cs="Times New Roman"/>
                <w:color w:val="005CA9"/>
                <w:sz w:val="16"/>
                <w:szCs w:val="16"/>
              </w:rPr>
              <w:t>(1.622)</w:t>
            </w:r>
          </w:p>
        </w:tc>
        <w:tc>
          <w:tcPr>
            <w:tcW w:w="571" w:type="pct"/>
            <w:tcBorders>
              <w:top w:val="nil"/>
              <w:left w:val="nil"/>
              <w:bottom w:val="nil"/>
              <w:right w:val="nil"/>
            </w:tcBorders>
            <w:shd w:val="clear" w:color="auto" w:fill="auto"/>
            <w:vAlign w:val="center"/>
          </w:tcPr>
          <w:p w14:paraId="13E46FCF" w14:textId="3AC2DFFB" w:rsidR="00617F18" w:rsidRPr="00FF4346" w:rsidRDefault="00D778B2" w:rsidP="00617F18">
            <w:pPr>
              <w:jc w:val="right"/>
              <w:rPr>
                <w:rFonts w:ascii="CAIXA Std Book" w:eastAsia="Times New Roman" w:hAnsi="CAIXA Std Book" w:cs="Times New Roman"/>
                <w:color w:val="005CA9"/>
                <w:sz w:val="16"/>
                <w:szCs w:val="16"/>
              </w:rPr>
            </w:pPr>
            <w:r w:rsidRPr="00D778B2">
              <w:rPr>
                <w:rFonts w:ascii="CAIXA Std Book" w:eastAsia="Times New Roman" w:hAnsi="CAIXA Std Book" w:cs="Times New Roman"/>
                <w:color w:val="005CA9"/>
                <w:sz w:val="16"/>
                <w:szCs w:val="16"/>
              </w:rPr>
              <w:t>(864)</w:t>
            </w:r>
          </w:p>
        </w:tc>
        <w:tc>
          <w:tcPr>
            <w:tcW w:w="553" w:type="pct"/>
            <w:tcBorders>
              <w:top w:val="nil"/>
              <w:left w:val="nil"/>
              <w:bottom w:val="nil"/>
              <w:right w:val="nil"/>
            </w:tcBorders>
            <w:shd w:val="clear" w:color="auto" w:fill="auto"/>
            <w:vAlign w:val="center"/>
          </w:tcPr>
          <w:p w14:paraId="3DA219C3" w14:textId="04F3FA3A" w:rsidR="00617F18" w:rsidRPr="00FF4346" w:rsidRDefault="00180EB7" w:rsidP="00617F18">
            <w:pPr>
              <w:jc w:val="right"/>
              <w:rPr>
                <w:rFonts w:ascii="CAIXA Std Book" w:eastAsia="Times New Roman" w:hAnsi="CAIXA Std Book" w:cs="Times New Roman"/>
                <w:color w:val="005CA9"/>
                <w:sz w:val="16"/>
                <w:szCs w:val="16"/>
              </w:rPr>
            </w:pPr>
            <w:r w:rsidRPr="00180EB7">
              <w:rPr>
                <w:rFonts w:ascii="CAIXA Std Book" w:eastAsia="Times New Roman" w:hAnsi="CAIXA Std Book" w:cs="Times New Roman"/>
                <w:color w:val="005CA9"/>
                <w:sz w:val="16"/>
                <w:szCs w:val="16"/>
              </w:rPr>
              <w:t>87.184</w:t>
            </w:r>
          </w:p>
        </w:tc>
      </w:tr>
      <w:tr w:rsidR="00617F18" w:rsidRPr="00A33766" w14:paraId="5BE8F926" w14:textId="77777777" w:rsidTr="00F72350">
        <w:trPr>
          <w:trHeight w:val="283"/>
        </w:trPr>
        <w:tc>
          <w:tcPr>
            <w:tcW w:w="1223" w:type="pct"/>
            <w:tcBorders>
              <w:top w:val="nil"/>
              <w:left w:val="nil"/>
              <w:bottom w:val="nil"/>
              <w:right w:val="nil"/>
            </w:tcBorders>
            <w:shd w:val="clear" w:color="auto" w:fill="auto"/>
            <w:vAlign w:val="center"/>
            <w:hideMark/>
          </w:tcPr>
          <w:p w14:paraId="6F773426" w14:textId="77777777" w:rsidR="00617F18" w:rsidRPr="00FF4346" w:rsidRDefault="00617F18" w:rsidP="00617F18">
            <w:pPr>
              <w:ind w:firstLineChars="100" w:firstLine="160"/>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Outros</w:t>
            </w:r>
          </w:p>
        </w:tc>
        <w:tc>
          <w:tcPr>
            <w:tcW w:w="550" w:type="pct"/>
            <w:tcBorders>
              <w:top w:val="nil"/>
              <w:left w:val="nil"/>
              <w:bottom w:val="nil"/>
              <w:right w:val="nil"/>
            </w:tcBorders>
            <w:shd w:val="clear" w:color="auto" w:fill="auto"/>
            <w:vAlign w:val="center"/>
            <w:hideMark/>
          </w:tcPr>
          <w:p w14:paraId="4B188419" w14:textId="2DA15BA3" w:rsidR="00617F18" w:rsidRPr="00FF4346" w:rsidRDefault="00763A52" w:rsidP="00617F18">
            <w:pPr>
              <w:jc w:val="right"/>
              <w:rPr>
                <w:rFonts w:ascii="CAIXA Std Book" w:eastAsia="Times New Roman" w:hAnsi="CAIXA Std Book" w:cs="Arial"/>
                <w:color w:val="005CA9"/>
                <w:sz w:val="16"/>
                <w:szCs w:val="16"/>
              </w:rPr>
            </w:pPr>
            <w:r w:rsidRPr="00FF4346">
              <w:rPr>
                <w:rFonts w:ascii="CAIXA Std Book" w:eastAsia="Times New Roman" w:hAnsi="CAIXA Std Book" w:cs="Times New Roman"/>
                <w:color w:val="005CA9"/>
                <w:sz w:val="16"/>
                <w:szCs w:val="16"/>
              </w:rPr>
              <w:t>123.511</w:t>
            </w:r>
          </w:p>
        </w:tc>
        <w:tc>
          <w:tcPr>
            <w:tcW w:w="489" w:type="pct"/>
            <w:tcBorders>
              <w:top w:val="nil"/>
              <w:left w:val="nil"/>
              <w:bottom w:val="nil"/>
              <w:right w:val="nil"/>
            </w:tcBorders>
            <w:shd w:val="clear" w:color="auto" w:fill="auto"/>
            <w:vAlign w:val="center"/>
          </w:tcPr>
          <w:p w14:paraId="06909B50" w14:textId="03261F21" w:rsidR="00617F18" w:rsidRPr="00FF4346" w:rsidRDefault="003211BF" w:rsidP="00617F18">
            <w:pPr>
              <w:jc w:val="right"/>
              <w:rPr>
                <w:rFonts w:ascii="CAIXA Std Book" w:eastAsia="Times New Roman" w:hAnsi="CAIXA Std Book" w:cs="Arial"/>
                <w:color w:val="005CA9"/>
                <w:sz w:val="16"/>
                <w:szCs w:val="16"/>
              </w:rPr>
            </w:pPr>
            <w:r w:rsidRPr="003211BF">
              <w:rPr>
                <w:rFonts w:ascii="CAIXA Std Book" w:eastAsia="Times New Roman" w:hAnsi="CAIXA Std Book" w:cs="Arial"/>
                <w:color w:val="005CA9"/>
                <w:sz w:val="16"/>
                <w:szCs w:val="16"/>
              </w:rPr>
              <w:t>1.834</w:t>
            </w:r>
          </w:p>
        </w:tc>
        <w:tc>
          <w:tcPr>
            <w:tcW w:w="574" w:type="pct"/>
            <w:tcBorders>
              <w:top w:val="nil"/>
              <w:left w:val="nil"/>
              <w:bottom w:val="nil"/>
              <w:right w:val="nil"/>
            </w:tcBorders>
            <w:shd w:val="clear" w:color="auto" w:fill="auto"/>
            <w:vAlign w:val="center"/>
          </w:tcPr>
          <w:p w14:paraId="74A2F293" w14:textId="3059A9B0" w:rsidR="00617F18" w:rsidRPr="00FF4346" w:rsidRDefault="00D91BF5" w:rsidP="00617F18">
            <w:pPr>
              <w:jc w:val="right"/>
              <w:rPr>
                <w:rFonts w:ascii="CAIXA Std Book" w:eastAsia="Times New Roman" w:hAnsi="CAIXA Std Book" w:cs="Times New Roman"/>
                <w:color w:val="005CA9"/>
                <w:sz w:val="16"/>
                <w:szCs w:val="16"/>
              </w:rPr>
            </w:pPr>
            <w:r w:rsidRPr="00D91BF5">
              <w:rPr>
                <w:rFonts w:ascii="CAIXA Std Book" w:eastAsia="Times New Roman" w:hAnsi="CAIXA Std Book" w:cs="Times New Roman"/>
                <w:color w:val="005CA9"/>
                <w:sz w:val="16"/>
                <w:szCs w:val="16"/>
              </w:rPr>
              <w:t>750</w:t>
            </w:r>
          </w:p>
        </w:tc>
        <w:tc>
          <w:tcPr>
            <w:tcW w:w="501" w:type="pct"/>
            <w:tcBorders>
              <w:top w:val="nil"/>
              <w:left w:val="nil"/>
              <w:bottom w:val="nil"/>
              <w:right w:val="nil"/>
            </w:tcBorders>
            <w:shd w:val="clear" w:color="auto" w:fill="auto"/>
            <w:vAlign w:val="center"/>
          </w:tcPr>
          <w:p w14:paraId="2A40D92E" w14:textId="289BD73E" w:rsidR="00617F18" w:rsidRPr="00FF4346" w:rsidRDefault="00582AE5" w:rsidP="00617F18">
            <w:pPr>
              <w:jc w:val="right"/>
              <w:rPr>
                <w:rFonts w:ascii="CAIXA Std Book" w:eastAsia="Times New Roman" w:hAnsi="CAIXA Std Book" w:cs="Times New Roman"/>
                <w:color w:val="005CA9"/>
                <w:sz w:val="16"/>
                <w:szCs w:val="16"/>
              </w:rPr>
            </w:pPr>
            <w:r w:rsidRPr="00582AE5">
              <w:rPr>
                <w:rFonts w:ascii="CAIXA Std Book" w:eastAsia="Times New Roman" w:hAnsi="CAIXA Std Book" w:cs="Times New Roman"/>
                <w:color w:val="005CA9"/>
                <w:sz w:val="16"/>
                <w:szCs w:val="16"/>
              </w:rPr>
              <w:t>5.769</w:t>
            </w:r>
          </w:p>
        </w:tc>
        <w:tc>
          <w:tcPr>
            <w:tcW w:w="538" w:type="pct"/>
            <w:tcBorders>
              <w:top w:val="nil"/>
              <w:left w:val="nil"/>
              <w:bottom w:val="nil"/>
              <w:right w:val="nil"/>
            </w:tcBorders>
            <w:shd w:val="clear" w:color="auto" w:fill="auto"/>
            <w:vAlign w:val="center"/>
          </w:tcPr>
          <w:p w14:paraId="14D88338" w14:textId="59A3B1CC" w:rsidR="00617F18" w:rsidRPr="00FF4346" w:rsidRDefault="00303086" w:rsidP="00617F18">
            <w:pPr>
              <w:jc w:val="right"/>
              <w:rPr>
                <w:rFonts w:ascii="CAIXA Std Book" w:eastAsia="Times New Roman" w:hAnsi="CAIXA Std Book" w:cs="Times New Roman"/>
                <w:color w:val="005CA9"/>
                <w:sz w:val="16"/>
                <w:szCs w:val="16"/>
              </w:rPr>
            </w:pPr>
            <w:r w:rsidRPr="00303086">
              <w:rPr>
                <w:rFonts w:ascii="CAIXA Std Book" w:eastAsia="Times New Roman" w:hAnsi="CAIXA Std Book" w:cs="Times New Roman"/>
                <w:color w:val="005CA9"/>
                <w:sz w:val="16"/>
                <w:szCs w:val="16"/>
              </w:rPr>
              <w:t>(1.079)</w:t>
            </w:r>
          </w:p>
        </w:tc>
        <w:tc>
          <w:tcPr>
            <w:tcW w:w="571" w:type="pct"/>
            <w:tcBorders>
              <w:top w:val="nil"/>
              <w:left w:val="nil"/>
              <w:bottom w:val="nil"/>
              <w:right w:val="nil"/>
            </w:tcBorders>
            <w:shd w:val="clear" w:color="auto" w:fill="auto"/>
            <w:vAlign w:val="center"/>
          </w:tcPr>
          <w:p w14:paraId="512EB616" w14:textId="2AB9659F" w:rsidR="00617F18" w:rsidRPr="00FF4346" w:rsidRDefault="003B6F91" w:rsidP="00617F18">
            <w:pPr>
              <w:jc w:val="right"/>
              <w:rPr>
                <w:rFonts w:ascii="CAIXA Std Book" w:eastAsia="Times New Roman" w:hAnsi="CAIXA Std Book" w:cs="Times New Roman"/>
                <w:color w:val="005CA9"/>
                <w:sz w:val="16"/>
                <w:szCs w:val="16"/>
              </w:rPr>
            </w:pPr>
            <w:r w:rsidRPr="003B6F91">
              <w:rPr>
                <w:rFonts w:ascii="CAIXA Std Book" w:eastAsia="Times New Roman" w:hAnsi="CAIXA Std Book" w:cs="Times New Roman"/>
                <w:color w:val="005CA9"/>
                <w:sz w:val="16"/>
                <w:szCs w:val="16"/>
              </w:rPr>
              <w:t>(9.003)</w:t>
            </w:r>
          </w:p>
        </w:tc>
        <w:tc>
          <w:tcPr>
            <w:tcW w:w="553" w:type="pct"/>
            <w:tcBorders>
              <w:top w:val="nil"/>
              <w:left w:val="nil"/>
              <w:bottom w:val="nil"/>
              <w:right w:val="nil"/>
            </w:tcBorders>
            <w:shd w:val="clear" w:color="auto" w:fill="auto"/>
            <w:vAlign w:val="center"/>
          </w:tcPr>
          <w:p w14:paraId="080C536C" w14:textId="4707E9E3" w:rsidR="00617F18" w:rsidRPr="00FF4346" w:rsidRDefault="00180EB7" w:rsidP="00617F18">
            <w:pPr>
              <w:jc w:val="right"/>
              <w:rPr>
                <w:rFonts w:ascii="CAIXA Std Book" w:eastAsia="Times New Roman" w:hAnsi="CAIXA Std Book" w:cs="Times New Roman"/>
                <w:color w:val="005CA9"/>
                <w:sz w:val="16"/>
                <w:szCs w:val="16"/>
              </w:rPr>
            </w:pPr>
            <w:r w:rsidRPr="00180EB7">
              <w:rPr>
                <w:rFonts w:ascii="CAIXA Std Book" w:eastAsia="Times New Roman" w:hAnsi="CAIXA Std Book" w:cs="Times New Roman"/>
                <w:color w:val="005CA9"/>
                <w:sz w:val="16"/>
                <w:szCs w:val="16"/>
              </w:rPr>
              <w:t>121.782</w:t>
            </w:r>
          </w:p>
        </w:tc>
      </w:tr>
      <w:tr w:rsidR="00617F18" w:rsidRPr="00A33766" w14:paraId="313E9D7B" w14:textId="77777777" w:rsidTr="00F72350">
        <w:trPr>
          <w:trHeight w:val="283"/>
        </w:trPr>
        <w:tc>
          <w:tcPr>
            <w:tcW w:w="1223" w:type="pct"/>
            <w:tcBorders>
              <w:top w:val="single" w:sz="4" w:space="0" w:color="F39200"/>
              <w:left w:val="nil"/>
              <w:bottom w:val="single" w:sz="4" w:space="0" w:color="F39200"/>
              <w:right w:val="nil"/>
            </w:tcBorders>
            <w:shd w:val="clear" w:color="auto" w:fill="auto"/>
            <w:vAlign w:val="center"/>
            <w:hideMark/>
          </w:tcPr>
          <w:p w14:paraId="13AB1960" w14:textId="77777777" w:rsidR="00617F18" w:rsidRPr="00FF4346" w:rsidRDefault="00617F18" w:rsidP="00617F18">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Total</w:t>
            </w:r>
          </w:p>
        </w:tc>
        <w:tc>
          <w:tcPr>
            <w:tcW w:w="550" w:type="pct"/>
            <w:tcBorders>
              <w:top w:val="single" w:sz="4" w:space="0" w:color="F39200"/>
              <w:left w:val="nil"/>
              <w:bottom w:val="single" w:sz="4" w:space="0" w:color="F39200"/>
              <w:right w:val="nil"/>
            </w:tcBorders>
            <w:shd w:val="clear" w:color="auto" w:fill="auto"/>
            <w:vAlign w:val="center"/>
            <w:hideMark/>
          </w:tcPr>
          <w:p w14:paraId="25F920F0" w14:textId="59A141A5" w:rsidR="00617F18" w:rsidRPr="00FF4346" w:rsidRDefault="00763A52" w:rsidP="00617F18">
            <w:pPr>
              <w:jc w:val="right"/>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11.594.348</w:t>
            </w:r>
          </w:p>
        </w:tc>
        <w:tc>
          <w:tcPr>
            <w:tcW w:w="489" w:type="pct"/>
            <w:tcBorders>
              <w:top w:val="single" w:sz="4" w:space="0" w:color="F39200"/>
              <w:left w:val="nil"/>
              <w:bottom w:val="single" w:sz="4" w:space="0" w:color="F39200"/>
              <w:right w:val="nil"/>
            </w:tcBorders>
            <w:shd w:val="clear" w:color="auto" w:fill="auto"/>
            <w:vAlign w:val="center"/>
          </w:tcPr>
          <w:p w14:paraId="61715F57" w14:textId="3191191A" w:rsidR="00617F18" w:rsidRPr="00FF4346" w:rsidRDefault="00F51727" w:rsidP="00617F18">
            <w:pPr>
              <w:jc w:val="right"/>
              <w:rPr>
                <w:rFonts w:ascii="CAIXA Std Book" w:eastAsia="Times New Roman" w:hAnsi="CAIXA Std Book" w:cs="Arial"/>
                <w:b/>
                <w:bCs/>
                <w:color w:val="005CA9"/>
                <w:sz w:val="16"/>
                <w:szCs w:val="16"/>
              </w:rPr>
            </w:pPr>
            <w:r w:rsidRPr="00F51727">
              <w:rPr>
                <w:rFonts w:ascii="CAIXA Std Book" w:eastAsia="Times New Roman" w:hAnsi="CAIXA Std Book" w:cs="Arial"/>
                <w:b/>
                <w:bCs/>
                <w:color w:val="005CA9"/>
                <w:sz w:val="16"/>
                <w:szCs w:val="16"/>
              </w:rPr>
              <w:t>285.642</w:t>
            </w:r>
          </w:p>
        </w:tc>
        <w:tc>
          <w:tcPr>
            <w:tcW w:w="574" w:type="pct"/>
            <w:tcBorders>
              <w:top w:val="single" w:sz="4" w:space="0" w:color="F39200"/>
              <w:left w:val="nil"/>
              <w:bottom w:val="single" w:sz="4" w:space="0" w:color="F39200"/>
              <w:right w:val="nil"/>
            </w:tcBorders>
            <w:shd w:val="clear" w:color="auto" w:fill="auto"/>
            <w:vAlign w:val="center"/>
          </w:tcPr>
          <w:p w14:paraId="556389BC" w14:textId="1724EFBD" w:rsidR="00617F18" w:rsidRPr="00FF4346" w:rsidRDefault="00D91BF5" w:rsidP="00617F18">
            <w:pPr>
              <w:jc w:val="right"/>
              <w:rPr>
                <w:rFonts w:ascii="CAIXA Std Book" w:eastAsia="Times New Roman" w:hAnsi="CAIXA Std Book" w:cs="Arial"/>
                <w:b/>
                <w:bCs/>
                <w:color w:val="005CA9"/>
                <w:sz w:val="16"/>
                <w:szCs w:val="16"/>
              </w:rPr>
            </w:pPr>
            <w:r w:rsidRPr="00D91BF5">
              <w:rPr>
                <w:rFonts w:ascii="CAIXA Std Book" w:eastAsia="Times New Roman" w:hAnsi="CAIXA Std Book" w:cs="Arial"/>
                <w:b/>
                <w:bCs/>
                <w:color w:val="005CA9"/>
                <w:sz w:val="16"/>
                <w:szCs w:val="16"/>
              </w:rPr>
              <w:t>149.251</w:t>
            </w:r>
          </w:p>
        </w:tc>
        <w:tc>
          <w:tcPr>
            <w:tcW w:w="501" w:type="pct"/>
            <w:tcBorders>
              <w:top w:val="single" w:sz="4" w:space="0" w:color="F39200"/>
              <w:left w:val="nil"/>
              <w:bottom w:val="single" w:sz="4" w:space="0" w:color="F39200"/>
              <w:right w:val="nil"/>
            </w:tcBorders>
            <w:shd w:val="clear" w:color="auto" w:fill="auto"/>
            <w:vAlign w:val="center"/>
          </w:tcPr>
          <w:p w14:paraId="66A7D82C" w14:textId="50BC116C" w:rsidR="00617F18" w:rsidRPr="00FF4346" w:rsidRDefault="00313475" w:rsidP="00617F18">
            <w:pPr>
              <w:jc w:val="right"/>
              <w:rPr>
                <w:rFonts w:ascii="CAIXA Std Book" w:eastAsia="Times New Roman" w:hAnsi="CAIXA Std Book" w:cs="Arial"/>
                <w:b/>
                <w:bCs/>
                <w:color w:val="005CA9"/>
                <w:sz w:val="16"/>
                <w:szCs w:val="16"/>
              </w:rPr>
            </w:pPr>
            <w:r w:rsidRPr="00313475">
              <w:rPr>
                <w:rFonts w:ascii="CAIXA Std Book" w:eastAsia="Times New Roman" w:hAnsi="CAIXA Std Book" w:cs="Arial"/>
                <w:b/>
                <w:bCs/>
                <w:color w:val="005CA9"/>
                <w:sz w:val="16"/>
                <w:szCs w:val="16"/>
              </w:rPr>
              <w:t>1.313.498</w:t>
            </w:r>
          </w:p>
        </w:tc>
        <w:tc>
          <w:tcPr>
            <w:tcW w:w="538" w:type="pct"/>
            <w:tcBorders>
              <w:top w:val="single" w:sz="4" w:space="0" w:color="F39200"/>
              <w:left w:val="nil"/>
              <w:bottom w:val="single" w:sz="4" w:space="0" w:color="F39200"/>
              <w:right w:val="nil"/>
            </w:tcBorders>
            <w:shd w:val="clear" w:color="auto" w:fill="auto"/>
            <w:vAlign w:val="center"/>
          </w:tcPr>
          <w:p w14:paraId="501CF8E2" w14:textId="458054CB" w:rsidR="00617F18" w:rsidRPr="00FF4346" w:rsidRDefault="002334C2" w:rsidP="00617F18">
            <w:pPr>
              <w:jc w:val="right"/>
              <w:rPr>
                <w:rFonts w:ascii="CAIXA Std Book" w:eastAsia="Times New Roman" w:hAnsi="CAIXA Std Book" w:cs="Arial"/>
                <w:b/>
                <w:bCs/>
                <w:color w:val="005CA9"/>
                <w:sz w:val="16"/>
                <w:szCs w:val="16"/>
              </w:rPr>
            </w:pPr>
            <w:r w:rsidRPr="002334C2">
              <w:rPr>
                <w:rFonts w:ascii="CAIXA Std Book" w:eastAsia="Times New Roman" w:hAnsi="CAIXA Std Book" w:cs="Arial"/>
                <w:b/>
                <w:bCs/>
                <w:color w:val="005CA9"/>
                <w:sz w:val="16"/>
                <w:szCs w:val="16"/>
              </w:rPr>
              <w:t>(487.034)</w:t>
            </w:r>
          </w:p>
        </w:tc>
        <w:tc>
          <w:tcPr>
            <w:tcW w:w="571" w:type="pct"/>
            <w:tcBorders>
              <w:top w:val="single" w:sz="4" w:space="0" w:color="F39200"/>
              <w:left w:val="nil"/>
              <w:bottom w:val="single" w:sz="4" w:space="0" w:color="F39200"/>
              <w:right w:val="nil"/>
            </w:tcBorders>
            <w:shd w:val="clear" w:color="auto" w:fill="auto"/>
            <w:vAlign w:val="center"/>
          </w:tcPr>
          <w:p w14:paraId="0284DB55" w14:textId="0F9C04CA" w:rsidR="00617F18" w:rsidRPr="00FF4346" w:rsidRDefault="0029019A" w:rsidP="00617F18">
            <w:pPr>
              <w:jc w:val="right"/>
              <w:rPr>
                <w:rFonts w:ascii="CAIXA Std Book" w:eastAsia="Times New Roman" w:hAnsi="CAIXA Std Book" w:cs="Arial"/>
                <w:b/>
                <w:bCs/>
                <w:color w:val="005CA9"/>
                <w:sz w:val="16"/>
                <w:szCs w:val="16"/>
              </w:rPr>
            </w:pPr>
            <w:r w:rsidRPr="0029019A">
              <w:rPr>
                <w:rFonts w:ascii="CAIXA Std Book" w:eastAsia="Times New Roman" w:hAnsi="CAIXA Std Book" w:cs="Arial"/>
                <w:b/>
                <w:bCs/>
                <w:color w:val="005CA9"/>
                <w:sz w:val="16"/>
                <w:szCs w:val="16"/>
              </w:rPr>
              <w:t>(1.289.971)</w:t>
            </w:r>
          </w:p>
        </w:tc>
        <w:tc>
          <w:tcPr>
            <w:tcW w:w="553" w:type="pct"/>
            <w:tcBorders>
              <w:top w:val="single" w:sz="4" w:space="0" w:color="F39200"/>
              <w:left w:val="nil"/>
              <w:bottom w:val="single" w:sz="4" w:space="0" w:color="F39200"/>
              <w:right w:val="nil"/>
            </w:tcBorders>
            <w:shd w:val="clear" w:color="auto" w:fill="auto"/>
            <w:vAlign w:val="center"/>
          </w:tcPr>
          <w:p w14:paraId="3DDF0E91" w14:textId="775F4C06" w:rsidR="00617F18" w:rsidRPr="00FF4346" w:rsidRDefault="008E3C27" w:rsidP="00617F18">
            <w:pPr>
              <w:jc w:val="right"/>
              <w:rPr>
                <w:rFonts w:ascii="CAIXA Std Book" w:eastAsia="Times New Roman" w:hAnsi="CAIXA Std Book" w:cs="Arial"/>
                <w:b/>
                <w:bCs/>
                <w:color w:val="005CA9"/>
                <w:sz w:val="16"/>
                <w:szCs w:val="16"/>
              </w:rPr>
            </w:pPr>
            <w:r w:rsidRPr="008E3C27">
              <w:rPr>
                <w:rFonts w:ascii="CAIXA Std Book" w:eastAsia="Times New Roman" w:hAnsi="CAIXA Std Book" w:cs="Arial"/>
                <w:b/>
                <w:bCs/>
                <w:color w:val="005CA9"/>
                <w:sz w:val="16"/>
                <w:szCs w:val="16"/>
              </w:rPr>
              <w:t>11.565.734</w:t>
            </w:r>
          </w:p>
        </w:tc>
      </w:tr>
    </w:tbl>
    <w:p w14:paraId="4D471D04" w14:textId="6277D845" w:rsidR="00910878" w:rsidRPr="00FF4346" w:rsidRDefault="00DC1937" w:rsidP="00B75364">
      <w:pPr>
        <w:autoSpaceDE w:val="0"/>
        <w:autoSpaceDN w:val="0"/>
        <w:adjustRightInd w:val="0"/>
        <w:spacing w:before="240" w:after="240"/>
        <w:ind w:left="567" w:right="139" w:hanging="567"/>
        <w:jc w:val="both"/>
        <w:rPr>
          <w:rFonts w:ascii="CAIXA Std Book" w:hAnsi="CAIXA Std Book"/>
          <w:b/>
          <w:color w:val="005CA9"/>
          <w:sz w:val="20"/>
          <w:szCs w:val="20"/>
        </w:rPr>
      </w:pPr>
      <w:r w:rsidRPr="00FF4346">
        <w:rPr>
          <w:rFonts w:ascii="CAIXA Std Book" w:hAnsi="CAIXA Std Book"/>
          <w:b/>
          <w:color w:val="005CA9"/>
          <w:sz w:val="20"/>
          <w:szCs w:val="20"/>
        </w:rPr>
        <w:t>(b.</w:t>
      </w:r>
      <w:r w:rsidR="00195BE6" w:rsidRPr="00FF4346">
        <w:rPr>
          <w:rFonts w:ascii="CAIXA Std Book" w:hAnsi="CAIXA Std Book"/>
          <w:b/>
          <w:color w:val="005CA9"/>
          <w:sz w:val="20"/>
          <w:szCs w:val="20"/>
        </w:rPr>
        <w:t>2</w:t>
      </w:r>
      <w:r w:rsidRPr="00FF4346">
        <w:rPr>
          <w:rFonts w:ascii="CAIXA Std Book" w:hAnsi="CAIXA Std Book"/>
          <w:b/>
          <w:color w:val="005CA9"/>
          <w:sz w:val="20"/>
          <w:szCs w:val="20"/>
        </w:rPr>
        <w:t>)</w:t>
      </w:r>
      <w:r w:rsidRPr="00FF4346">
        <w:rPr>
          <w:rFonts w:ascii="CAIXA Std Book" w:hAnsi="CAIXA Std Book"/>
          <w:b/>
          <w:color w:val="005CA9"/>
          <w:sz w:val="20"/>
          <w:szCs w:val="20"/>
        </w:rPr>
        <w:tab/>
      </w:r>
      <w:r w:rsidR="00910878" w:rsidRPr="00FF4346">
        <w:rPr>
          <w:rFonts w:ascii="CAIXA Std Book" w:hAnsi="CAIXA Std Book"/>
          <w:b/>
          <w:color w:val="005CA9"/>
          <w:sz w:val="20"/>
          <w:szCs w:val="20"/>
        </w:rPr>
        <w:t>Ações trabalhistas</w:t>
      </w:r>
    </w:p>
    <w:p w14:paraId="1DE86409" w14:textId="77777777" w:rsidR="0001164F" w:rsidRPr="00FF4346" w:rsidRDefault="0001164F"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 CAIXA é parte passiva em ações ajui</w:t>
      </w:r>
      <w:r w:rsidR="007E07B5" w:rsidRPr="00FF4346">
        <w:rPr>
          <w:rFonts w:ascii="CAIXA Std Book" w:hAnsi="CAIXA Std Book"/>
          <w:color w:val="005CA9"/>
          <w:sz w:val="20"/>
          <w:szCs w:val="20"/>
        </w:rPr>
        <w:t>z</w:t>
      </w:r>
      <w:r w:rsidRPr="00FF4346">
        <w:rPr>
          <w:rFonts w:ascii="CAIXA Std Book" w:hAnsi="CAIXA Std Book"/>
          <w:color w:val="005CA9"/>
          <w:sz w:val="20"/>
          <w:szCs w:val="20"/>
        </w:rPr>
        <w:t>adas por empregados, ex-empregados próprios ou de prestadoras de serviços e sindicatos, relacionadas com a atividade laboral, planos de cargos, acordos coletivos, indenizações, benefícios, aposentadorias, subsidiariedade, entre outros.</w:t>
      </w:r>
    </w:p>
    <w:p w14:paraId="6FE4C030" w14:textId="68AF4CF2" w:rsidR="00B379AD" w:rsidRPr="00FF4346" w:rsidRDefault="00B379AD" w:rsidP="004268F2">
      <w:pPr>
        <w:tabs>
          <w:tab w:val="left" w:pos="1650"/>
        </w:tabs>
        <w:spacing w:before="120" w:after="120"/>
        <w:ind w:right="139"/>
        <w:jc w:val="both"/>
        <w:rPr>
          <w:rFonts w:ascii="CAIXA Std Book" w:hAnsi="CAIXA Std Book"/>
          <w:color w:val="005CA9"/>
          <w:sz w:val="20"/>
          <w:szCs w:val="20"/>
        </w:rPr>
      </w:pPr>
      <w:r w:rsidRPr="00733909">
        <w:rPr>
          <w:rFonts w:ascii="CAIXA Std Book" w:hAnsi="CAIXA Std Book"/>
          <w:color w:val="005CA9"/>
          <w:sz w:val="20"/>
          <w:szCs w:val="20"/>
        </w:rPr>
        <w:t xml:space="preserve">Em </w:t>
      </w:r>
      <w:r w:rsidR="00390493" w:rsidRPr="00733909">
        <w:rPr>
          <w:rFonts w:ascii="CAIXA Std Book" w:hAnsi="CAIXA Std Book"/>
          <w:color w:val="005CA9"/>
          <w:sz w:val="20"/>
          <w:szCs w:val="20"/>
        </w:rPr>
        <w:t>31/</w:t>
      </w:r>
      <w:r w:rsidR="009C0E62" w:rsidRPr="00733909">
        <w:rPr>
          <w:rFonts w:ascii="CAIXA Std Book" w:hAnsi="CAIXA Std Book"/>
          <w:color w:val="005CA9"/>
          <w:sz w:val="20"/>
          <w:szCs w:val="20"/>
        </w:rPr>
        <w:t>03/2024</w:t>
      </w:r>
      <w:r w:rsidRPr="00733909">
        <w:rPr>
          <w:rFonts w:ascii="CAIXA Std Book" w:hAnsi="CAIXA Std Book"/>
          <w:color w:val="005CA9"/>
          <w:sz w:val="20"/>
          <w:szCs w:val="20"/>
        </w:rPr>
        <w:t xml:space="preserve">, constavam </w:t>
      </w:r>
      <w:r w:rsidR="004B57F8" w:rsidRPr="004B57F8">
        <w:rPr>
          <w:rFonts w:ascii="CAIXA Std Book" w:hAnsi="CAIXA Std Book"/>
          <w:color w:val="005CA9"/>
          <w:sz w:val="20"/>
          <w:szCs w:val="20"/>
        </w:rPr>
        <w:t>56.878</w:t>
      </w:r>
      <w:r w:rsidRPr="00733909">
        <w:rPr>
          <w:rFonts w:ascii="CAIXA Std Book" w:hAnsi="CAIXA Std Book"/>
          <w:color w:val="005CA9"/>
          <w:sz w:val="20"/>
          <w:szCs w:val="20"/>
        </w:rPr>
        <w:t xml:space="preserve"> processos trabalhistas provisionados (57.</w:t>
      </w:r>
      <w:r w:rsidR="00B70232" w:rsidRPr="00733909">
        <w:rPr>
          <w:rFonts w:ascii="CAIXA Std Book" w:hAnsi="CAIXA Std Book"/>
          <w:color w:val="005CA9"/>
          <w:sz w:val="20"/>
          <w:szCs w:val="20"/>
        </w:rPr>
        <w:t>791</w:t>
      </w:r>
      <w:r w:rsidRPr="00733909">
        <w:rPr>
          <w:rFonts w:ascii="CAIXA Std Book" w:hAnsi="CAIXA Std Book"/>
          <w:color w:val="005CA9"/>
          <w:sz w:val="20"/>
          <w:szCs w:val="20"/>
        </w:rPr>
        <w:t xml:space="preserve"> em 31/12/202</w:t>
      </w:r>
      <w:r w:rsidR="00B70232" w:rsidRPr="00733909">
        <w:rPr>
          <w:rFonts w:ascii="CAIXA Std Book" w:hAnsi="CAIXA Std Book"/>
          <w:color w:val="005CA9"/>
          <w:sz w:val="20"/>
          <w:szCs w:val="20"/>
        </w:rPr>
        <w:t>3</w:t>
      </w:r>
      <w:r w:rsidRPr="00733909">
        <w:rPr>
          <w:rFonts w:ascii="CAIXA Std Book" w:hAnsi="CAIXA Std Book"/>
          <w:color w:val="005CA9"/>
          <w:sz w:val="20"/>
          <w:szCs w:val="20"/>
        </w:rPr>
        <w:t xml:space="preserve">), sendo </w:t>
      </w:r>
      <w:r w:rsidR="005356A2" w:rsidRPr="005356A2">
        <w:rPr>
          <w:rFonts w:ascii="CAIXA Std Book" w:hAnsi="CAIXA Std Book"/>
          <w:color w:val="005CA9"/>
          <w:sz w:val="20"/>
          <w:szCs w:val="20"/>
        </w:rPr>
        <w:t>29.422</w:t>
      </w:r>
      <w:r w:rsidRPr="00733909">
        <w:rPr>
          <w:rFonts w:ascii="CAIXA Std Book" w:hAnsi="CAIXA Std Book"/>
          <w:color w:val="005CA9"/>
          <w:sz w:val="20"/>
          <w:szCs w:val="20"/>
        </w:rPr>
        <w:t xml:space="preserve"> </w:t>
      </w:r>
      <w:r w:rsidR="00E61B89" w:rsidRPr="00733909">
        <w:rPr>
          <w:rFonts w:ascii="CAIXA Std Book" w:hAnsi="CAIXA Std Book"/>
          <w:color w:val="005CA9"/>
          <w:sz w:val="20"/>
          <w:szCs w:val="20"/>
        </w:rPr>
        <w:t>sujeitos à metodologia massificada</w:t>
      </w:r>
      <w:r w:rsidRPr="00733909">
        <w:rPr>
          <w:rFonts w:ascii="CAIXA Std Book" w:hAnsi="CAIXA Std Book"/>
          <w:color w:val="005CA9"/>
          <w:sz w:val="20"/>
          <w:szCs w:val="20"/>
        </w:rPr>
        <w:t xml:space="preserve"> (3</w:t>
      </w:r>
      <w:r w:rsidR="00425BF2" w:rsidRPr="00733909">
        <w:rPr>
          <w:rFonts w:ascii="CAIXA Std Book" w:hAnsi="CAIXA Std Book"/>
          <w:color w:val="005CA9"/>
          <w:sz w:val="20"/>
          <w:szCs w:val="20"/>
        </w:rPr>
        <w:t>0.015</w:t>
      </w:r>
      <w:r w:rsidRPr="00733909">
        <w:rPr>
          <w:rFonts w:ascii="CAIXA Std Book" w:hAnsi="CAIXA Std Book"/>
          <w:color w:val="005CA9"/>
          <w:sz w:val="20"/>
          <w:szCs w:val="20"/>
        </w:rPr>
        <w:t xml:space="preserve"> em 31/12/202</w:t>
      </w:r>
      <w:r w:rsidR="00425BF2" w:rsidRPr="00733909">
        <w:rPr>
          <w:rFonts w:ascii="CAIXA Std Book" w:hAnsi="CAIXA Std Book"/>
          <w:color w:val="005CA9"/>
          <w:sz w:val="20"/>
          <w:szCs w:val="20"/>
        </w:rPr>
        <w:t>3</w:t>
      </w:r>
      <w:r w:rsidRPr="00733909">
        <w:rPr>
          <w:rFonts w:ascii="CAIXA Std Book" w:hAnsi="CAIXA Std Book"/>
          <w:color w:val="005CA9"/>
          <w:sz w:val="20"/>
          <w:szCs w:val="20"/>
        </w:rPr>
        <w:t xml:space="preserve">) e </w:t>
      </w:r>
      <w:r w:rsidR="002D40DE" w:rsidRPr="002D40DE">
        <w:rPr>
          <w:rFonts w:ascii="CAIXA Std Book" w:hAnsi="CAIXA Std Book"/>
          <w:color w:val="005CA9"/>
          <w:sz w:val="20"/>
          <w:szCs w:val="20"/>
        </w:rPr>
        <w:t>27.456</w:t>
      </w:r>
      <w:r w:rsidRPr="00733909">
        <w:rPr>
          <w:rFonts w:ascii="CAIXA Std Book" w:hAnsi="CAIXA Std Book"/>
          <w:color w:val="005CA9"/>
          <w:sz w:val="20"/>
          <w:szCs w:val="20"/>
        </w:rPr>
        <w:t xml:space="preserve"> </w:t>
      </w:r>
      <w:r w:rsidR="006C7C31" w:rsidRPr="00733909">
        <w:rPr>
          <w:rFonts w:ascii="CAIXA Std Book" w:hAnsi="CAIXA Std Book"/>
          <w:color w:val="005CA9"/>
          <w:sz w:val="20"/>
          <w:szCs w:val="20"/>
        </w:rPr>
        <w:t xml:space="preserve">sujeitos à metodologia </w:t>
      </w:r>
      <w:r w:rsidRPr="00733909">
        <w:rPr>
          <w:rFonts w:ascii="CAIXA Std Book" w:hAnsi="CAIXA Std Book"/>
          <w:color w:val="005CA9"/>
          <w:sz w:val="20"/>
          <w:szCs w:val="20"/>
        </w:rPr>
        <w:t>individualizad</w:t>
      </w:r>
      <w:r w:rsidR="006C7C31" w:rsidRPr="00733909">
        <w:rPr>
          <w:rFonts w:ascii="CAIXA Std Book" w:hAnsi="CAIXA Std Book"/>
          <w:color w:val="005CA9"/>
          <w:sz w:val="20"/>
          <w:szCs w:val="20"/>
        </w:rPr>
        <w:t>a</w:t>
      </w:r>
      <w:r w:rsidRPr="00733909">
        <w:rPr>
          <w:rFonts w:ascii="CAIXA Std Book" w:hAnsi="CAIXA Std Book"/>
          <w:color w:val="005CA9"/>
          <w:sz w:val="20"/>
          <w:szCs w:val="20"/>
        </w:rPr>
        <w:t xml:space="preserve"> (</w:t>
      </w:r>
      <w:r w:rsidR="00150988" w:rsidRPr="00733909">
        <w:rPr>
          <w:rFonts w:ascii="CAIXA Std Book" w:hAnsi="CAIXA Std Book"/>
          <w:color w:val="005CA9"/>
          <w:sz w:val="20"/>
          <w:szCs w:val="20"/>
        </w:rPr>
        <w:t>27.776</w:t>
      </w:r>
      <w:r w:rsidRPr="00733909">
        <w:rPr>
          <w:rFonts w:ascii="CAIXA Std Book" w:hAnsi="CAIXA Std Book"/>
          <w:color w:val="005CA9"/>
          <w:sz w:val="20"/>
          <w:szCs w:val="20"/>
        </w:rPr>
        <w:t xml:space="preserve"> em 31/12/</w:t>
      </w:r>
      <w:r w:rsidR="00DD4B82" w:rsidRPr="00733909">
        <w:rPr>
          <w:rFonts w:ascii="CAIXA Std Book" w:hAnsi="CAIXA Std Book"/>
          <w:color w:val="005CA9"/>
          <w:sz w:val="20"/>
          <w:szCs w:val="20"/>
        </w:rPr>
        <w:t>2</w:t>
      </w:r>
      <w:r w:rsidR="007A5EF1" w:rsidRPr="00733909">
        <w:rPr>
          <w:rFonts w:ascii="CAIXA Std Book" w:hAnsi="CAIXA Std Book"/>
          <w:color w:val="005CA9"/>
          <w:sz w:val="20"/>
          <w:szCs w:val="20"/>
        </w:rPr>
        <w:t>02</w:t>
      </w:r>
      <w:r w:rsidR="00425BF2" w:rsidRPr="00733909">
        <w:rPr>
          <w:rFonts w:ascii="CAIXA Std Book" w:hAnsi="CAIXA Std Book"/>
          <w:color w:val="005CA9"/>
          <w:sz w:val="20"/>
          <w:szCs w:val="20"/>
        </w:rPr>
        <w:t>3</w:t>
      </w:r>
      <w:r w:rsidRPr="00733909">
        <w:rPr>
          <w:rFonts w:ascii="CAIXA Std Book" w:hAnsi="CAIXA Std Book"/>
          <w:color w:val="005CA9"/>
          <w:sz w:val="20"/>
          <w:szCs w:val="20"/>
        </w:rPr>
        <w:t>).</w:t>
      </w:r>
    </w:p>
    <w:p w14:paraId="6CC4F1EA" w14:textId="77777777" w:rsidR="004A032C" w:rsidRDefault="004A032C">
      <w:pPr>
        <w:rPr>
          <w:rFonts w:ascii="CAIXA Std Book" w:hAnsi="CAIXA Std Book"/>
          <w:color w:val="005CA9"/>
          <w:sz w:val="20"/>
          <w:szCs w:val="20"/>
        </w:rPr>
      </w:pPr>
      <w:r>
        <w:rPr>
          <w:rFonts w:ascii="CAIXA Std Book" w:hAnsi="CAIXA Std Book"/>
          <w:color w:val="005CA9"/>
          <w:sz w:val="20"/>
          <w:szCs w:val="20"/>
        </w:rPr>
        <w:br w:type="page"/>
      </w:r>
    </w:p>
    <w:p w14:paraId="2AEDFF4E" w14:textId="688C6328" w:rsidR="00910878" w:rsidRPr="00FF4346" w:rsidRDefault="0001164F"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lastRenderedPageBreak/>
        <w:t>Visando a reduzir o litígio judicial e diminuir os valores despendidos nos processos, a CAIXA continua executando sua política de conciliação judicial e extrajudicial, realiza o cumprimento espontâneo de certas decisões judiciais e faz a análise das perdas incorridas a fim de mitigar novos litígios de causas semelhantes. Em virtude disto, as ações relevantes não são individualmente divulgadas para não inviabilizar a realização de acordos</w:t>
      </w:r>
      <w:r w:rsidR="00910878" w:rsidRPr="00FF4346">
        <w:rPr>
          <w:rFonts w:ascii="CAIXA Std Book" w:hAnsi="CAIXA Std Book"/>
          <w:color w:val="005CA9"/>
          <w:sz w:val="20"/>
          <w:szCs w:val="20"/>
        </w:rPr>
        <w:t>.</w:t>
      </w:r>
    </w:p>
    <w:p w14:paraId="0768161A" w14:textId="46604854" w:rsidR="00910878" w:rsidRPr="00FF4346" w:rsidRDefault="00910878" w:rsidP="006D0E67">
      <w:pPr>
        <w:autoSpaceDE w:val="0"/>
        <w:autoSpaceDN w:val="0"/>
        <w:adjustRightInd w:val="0"/>
        <w:spacing w:before="240" w:after="120"/>
        <w:ind w:left="567" w:right="142" w:hanging="567"/>
        <w:jc w:val="both"/>
        <w:rPr>
          <w:rFonts w:ascii="CAIXA Std Book" w:hAnsi="CAIXA Std Book"/>
          <w:b/>
          <w:color w:val="005CA9"/>
          <w:sz w:val="20"/>
          <w:szCs w:val="20"/>
        </w:rPr>
      </w:pPr>
      <w:r w:rsidRPr="00FF4346">
        <w:rPr>
          <w:rFonts w:ascii="CAIXA Std Book" w:hAnsi="CAIXA Std Book"/>
          <w:b/>
          <w:color w:val="005CA9"/>
          <w:sz w:val="20"/>
          <w:szCs w:val="20"/>
        </w:rPr>
        <w:t>(b.</w:t>
      </w:r>
      <w:r w:rsidR="00195BE6" w:rsidRPr="00FF4346">
        <w:rPr>
          <w:rFonts w:ascii="CAIXA Std Book" w:hAnsi="CAIXA Std Book"/>
          <w:b/>
          <w:color w:val="005CA9"/>
          <w:sz w:val="20"/>
          <w:szCs w:val="20"/>
        </w:rPr>
        <w:t>3</w:t>
      </w:r>
      <w:r w:rsidRPr="00FF4346">
        <w:rPr>
          <w:rFonts w:ascii="CAIXA Std Book" w:hAnsi="CAIXA Std Book"/>
          <w:b/>
          <w:color w:val="005CA9"/>
          <w:sz w:val="20"/>
          <w:szCs w:val="20"/>
        </w:rPr>
        <w:t>)</w:t>
      </w:r>
      <w:r w:rsidRPr="00FF4346">
        <w:rPr>
          <w:rFonts w:ascii="CAIXA Std Book" w:hAnsi="CAIXA Std Book"/>
          <w:b/>
          <w:color w:val="005CA9"/>
          <w:sz w:val="20"/>
          <w:szCs w:val="20"/>
        </w:rPr>
        <w:tab/>
        <w:t>Ações cíveis</w:t>
      </w:r>
    </w:p>
    <w:p w14:paraId="54FAF899" w14:textId="6476763C" w:rsidR="00926108" w:rsidRPr="00FF4346" w:rsidRDefault="00926108" w:rsidP="00C2676D">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A CAIXA é parte passiva em ações cíveis de natureza indenizatória/contratual relativas a seus produtos, serviços e atendimento. Em </w:t>
      </w:r>
      <w:r w:rsidR="00C21140" w:rsidRPr="00FF4346">
        <w:rPr>
          <w:rFonts w:ascii="CAIXA Std Book" w:hAnsi="CAIXA Std Book"/>
          <w:color w:val="005CA9"/>
          <w:sz w:val="20"/>
          <w:szCs w:val="20"/>
        </w:rPr>
        <w:t>31/</w:t>
      </w:r>
      <w:r w:rsidR="00E231E3">
        <w:rPr>
          <w:rFonts w:ascii="CAIXA Std Book" w:hAnsi="CAIXA Std Book"/>
          <w:color w:val="005CA9"/>
          <w:sz w:val="20"/>
          <w:szCs w:val="20"/>
        </w:rPr>
        <w:t>03/2024</w:t>
      </w:r>
      <w:r w:rsidRPr="00FF4346">
        <w:rPr>
          <w:rFonts w:ascii="CAIXA Std Book" w:hAnsi="CAIXA Std Book"/>
          <w:color w:val="005CA9"/>
          <w:sz w:val="20"/>
          <w:szCs w:val="20"/>
        </w:rPr>
        <w:t xml:space="preserve">, constavam </w:t>
      </w:r>
      <w:r w:rsidR="009B5BE4" w:rsidRPr="009B5BE4">
        <w:rPr>
          <w:rFonts w:ascii="CAIXA Std Book" w:hAnsi="CAIXA Std Book"/>
          <w:color w:val="005CA9"/>
          <w:sz w:val="20"/>
          <w:szCs w:val="20"/>
        </w:rPr>
        <w:t>357.228</w:t>
      </w:r>
      <w:r w:rsidRPr="00FF4346">
        <w:rPr>
          <w:rFonts w:ascii="CAIXA Std Book" w:hAnsi="CAIXA Std Book"/>
          <w:color w:val="005CA9"/>
          <w:sz w:val="20"/>
          <w:szCs w:val="20"/>
        </w:rPr>
        <w:t xml:space="preserve"> processos cíveis provisionados (</w:t>
      </w:r>
      <w:r w:rsidR="003634D7" w:rsidRPr="00FF4346">
        <w:rPr>
          <w:rFonts w:ascii="CAIXA Std Book" w:hAnsi="CAIXA Std Book"/>
          <w:color w:val="005CA9"/>
          <w:sz w:val="20"/>
          <w:szCs w:val="20"/>
        </w:rPr>
        <w:t>3</w:t>
      </w:r>
      <w:r w:rsidR="00C56F36">
        <w:rPr>
          <w:rFonts w:ascii="CAIXA Std Book" w:hAnsi="CAIXA Std Book"/>
          <w:color w:val="005CA9"/>
          <w:sz w:val="20"/>
          <w:szCs w:val="20"/>
        </w:rPr>
        <w:t>44.473</w:t>
      </w:r>
      <w:r w:rsidR="003634D7" w:rsidRPr="00FF4346">
        <w:rPr>
          <w:rFonts w:ascii="CAIXA Std Book" w:hAnsi="CAIXA Std Book"/>
          <w:color w:val="005CA9"/>
          <w:sz w:val="20"/>
          <w:szCs w:val="20"/>
        </w:rPr>
        <w:t xml:space="preserve"> </w:t>
      </w:r>
      <w:r w:rsidRPr="00FF4346">
        <w:rPr>
          <w:rFonts w:ascii="CAIXA Std Book" w:hAnsi="CAIXA Std Book"/>
          <w:color w:val="005CA9"/>
          <w:sz w:val="20"/>
          <w:szCs w:val="20"/>
        </w:rPr>
        <w:t>em 31/12/202</w:t>
      </w:r>
      <w:r w:rsidR="00C56F36">
        <w:rPr>
          <w:rFonts w:ascii="CAIXA Std Book" w:hAnsi="CAIXA Std Book"/>
          <w:color w:val="005CA9"/>
          <w:sz w:val="20"/>
          <w:szCs w:val="20"/>
        </w:rPr>
        <w:t>3</w:t>
      </w:r>
      <w:r w:rsidRPr="00FF4346">
        <w:rPr>
          <w:rFonts w:ascii="CAIXA Std Book" w:hAnsi="CAIXA Std Book"/>
          <w:color w:val="005CA9"/>
          <w:sz w:val="20"/>
          <w:szCs w:val="20"/>
        </w:rPr>
        <w:t xml:space="preserve">), sendo </w:t>
      </w:r>
      <w:r w:rsidR="006B6DE3" w:rsidRPr="006B6DE3">
        <w:rPr>
          <w:rFonts w:ascii="CAIXA Std Book" w:hAnsi="CAIXA Std Book"/>
          <w:color w:val="005CA9"/>
          <w:sz w:val="20"/>
          <w:szCs w:val="20"/>
        </w:rPr>
        <w:t>327.867</w:t>
      </w:r>
      <w:r w:rsidR="00C5099A" w:rsidRPr="00FF4346">
        <w:rPr>
          <w:rFonts w:ascii="CAIXA Std Book" w:hAnsi="CAIXA Std Book"/>
          <w:color w:val="005CA9"/>
          <w:sz w:val="20"/>
          <w:szCs w:val="20"/>
        </w:rPr>
        <w:t xml:space="preserve"> </w:t>
      </w:r>
      <w:r w:rsidR="006C7C31" w:rsidRPr="00FF4346">
        <w:rPr>
          <w:rFonts w:ascii="CAIXA Std Book" w:hAnsi="CAIXA Std Book"/>
          <w:color w:val="005CA9"/>
          <w:sz w:val="20"/>
          <w:szCs w:val="20"/>
        </w:rPr>
        <w:t>sujeitos à metodologia massificada</w:t>
      </w:r>
      <w:r w:rsidRPr="00FF4346">
        <w:rPr>
          <w:rFonts w:ascii="CAIXA Std Book" w:hAnsi="CAIXA Std Book"/>
          <w:color w:val="005CA9"/>
          <w:sz w:val="20"/>
          <w:szCs w:val="20"/>
        </w:rPr>
        <w:t xml:space="preserve"> (</w:t>
      </w:r>
      <w:r w:rsidR="003634D7" w:rsidRPr="00FF4346">
        <w:rPr>
          <w:rFonts w:ascii="CAIXA Std Book" w:hAnsi="CAIXA Std Book"/>
          <w:color w:val="005CA9"/>
          <w:sz w:val="20"/>
          <w:szCs w:val="20"/>
        </w:rPr>
        <w:t>3</w:t>
      </w:r>
      <w:r w:rsidR="00E338EB">
        <w:rPr>
          <w:rFonts w:ascii="CAIXA Std Book" w:hAnsi="CAIXA Std Book"/>
          <w:color w:val="005CA9"/>
          <w:sz w:val="20"/>
          <w:szCs w:val="20"/>
        </w:rPr>
        <w:t>15.161</w:t>
      </w:r>
      <w:r w:rsidRPr="00FF4346">
        <w:rPr>
          <w:rFonts w:ascii="CAIXA Std Book" w:hAnsi="CAIXA Std Book"/>
          <w:color w:val="005CA9"/>
          <w:sz w:val="20"/>
          <w:szCs w:val="20"/>
        </w:rPr>
        <w:t xml:space="preserve"> em 31/12/202</w:t>
      </w:r>
      <w:r w:rsidR="00E338EB">
        <w:rPr>
          <w:rFonts w:ascii="CAIXA Std Book" w:hAnsi="CAIXA Std Book"/>
          <w:color w:val="005CA9"/>
          <w:sz w:val="20"/>
          <w:szCs w:val="20"/>
        </w:rPr>
        <w:t>3</w:t>
      </w:r>
      <w:r w:rsidRPr="00FF4346">
        <w:rPr>
          <w:rFonts w:ascii="CAIXA Std Book" w:hAnsi="CAIXA Std Book"/>
          <w:color w:val="005CA9"/>
          <w:sz w:val="20"/>
          <w:szCs w:val="20"/>
        </w:rPr>
        <w:t xml:space="preserve">) e </w:t>
      </w:r>
      <w:r w:rsidR="009A0D15" w:rsidRPr="009A0D15">
        <w:rPr>
          <w:rFonts w:ascii="CAIXA Std Book" w:hAnsi="CAIXA Std Book"/>
          <w:color w:val="005CA9"/>
          <w:sz w:val="20"/>
          <w:szCs w:val="20"/>
        </w:rPr>
        <w:t>29.361</w:t>
      </w:r>
      <w:r w:rsidRPr="00FF4346">
        <w:rPr>
          <w:rFonts w:ascii="CAIXA Std Book" w:hAnsi="CAIXA Std Book"/>
          <w:color w:val="005CA9"/>
          <w:sz w:val="20"/>
          <w:szCs w:val="20"/>
        </w:rPr>
        <w:t xml:space="preserve"> </w:t>
      </w:r>
      <w:r w:rsidR="00BD0260" w:rsidRPr="00FF4346">
        <w:rPr>
          <w:rFonts w:ascii="CAIXA Std Book" w:hAnsi="CAIXA Std Book"/>
          <w:color w:val="005CA9"/>
          <w:sz w:val="20"/>
          <w:szCs w:val="20"/>
        </w:rPr>
        <w:t xml:space="preserve">sujeitos à metodologia </w:t>
      </w:r>
      <w:r w:rsidRPr="00FF4346">
        <w:rPr>
          <w:rFonts w:ascii="CAIXA Std Book" w:hAnsi="CAIXA Std Book"/>
          <w:color w:val="005CA9"/>
          <w:sz w:val="20"/>
          <w:szCs w:val="20"/>
        </w:rPr>
        <w:t>individualizad</w:t>
      </w:r>
      <w:r w:rsidR="00BD0260" w:rsidRPr="00FF4346">
        <w:rPr>
          <w:rFonts w:ascii="CAIXA Std Book" w:hAnsi="CAIXA Std Book"/>
          <w:color w:val="005CA9"/>
          <w:sz w:val="20"/>
          <w:szCs w:val="20"/>
        </w:rPr>
        <w:t>a</w:t>
      </w:r>
      <w:r w:rsidRPr="00FF4346">
        <w:rPr>
          <w:rFonts w:ascii="CAIXA Std Book" w:hAnsi="CAIXA Std Book"/>
          <w:color w:val="005CA9"/>
          <w:sz w:val="20"/>
          <w:szCs w:val="20"/>
        </w:rPr>
        <w:t xml:space="preserve"> </w:t>
      </w:r>
      <w:r w:rsidR="00496597" w:rsidRPr="00FF4346">
        <w:rPr>
          <w:rFonts w:ascii="CAIXA Std Book" w:hAnsi="CAIXA Std Book"/>
          <w:color w:val="005CA9"/>
          <w:sz w:val="20"/>
          <w:szCs w:val="20"/>
        </w:rPr>
        <w:t>(</w:t>
      </w:r>
      <w:r w:rsidR="003634D7" w:rsidRPr="00FF4346">
        <w:rPr>
          <w:rFonts w:ascii="CAIXA Std Book" w:hAnsi="CAIXA Std Book"/>
          <w:color w:val="005CA9"/>
          <w:sz w:val="20"/>
          <w:szCs w:val="20"/>
        </w:rPr>
        <w:t>2</w:t>
      </w:r>
      <w:r w:rsidR="00102FE7">
        <w:rPr>
          <w:rFonts w:ascii="CAIXA Std Book" w:hAnsi="CAIXA Std Book"/>
          <w:color w:val="005CA9"/>
          <w:sz w:val="20"/>
          <w:szCs w:val="20"/>
        </w:rPr>
        <w:t>9.312</w:t>
      </w:r>
      <w:r w:rsidRPr="00FF4346">
        <w:rPr>
          <w:rFonts w:ascii="CAIXA Std Book" w:hAnsi="CAIXA Std Book"/>
          <w:color w:val="005CA9"/>
          <w:sz w:val="20"/>
          <w:szCs w:val="20"/>
        </w:rPr>
        <w:t xml:space="preserve"> em 31/12/202</w:t>
      </w:r>
      <w:r w:rsidR="00102FE7">
        <w:rPr>
          <w:rFonts w:ascii="CAIXA Std Book" w:hAnsi="CAIXA Std Book"/>
          <w:color w:val="005CA9"/>
          <w:sz w:val="20"/>
          <w:szCs w:val="20"/>
        </w:rPr>
        <w:t>3</w:t>
      </w:r>
      <w:r w:rsidRPr="00FF4346">
        <w:rPr>
          <w:rFonts w:ascii="CAIXA Std Book" w:hAnsi="CAIXA Std Book"/>
          <w:color w:val="005CA9"/>
          <w:sz w:val="20"/>
          <w:szCs w:val="20"/>
        </w:rPr>
        <w:t xml:space="preserve">). </w:t>
      </w:r>
    </w:p>
    <w:p w14:paraId="69B7CB7B" w14:textId="77777777" w:rsidR="00A41015" w:rsidRPr="00FF4346" w:rsidRDefault="00A41015"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Destacam-se demandas que contestam o expurgo de indexadores de planos econômicos, como parte da política econômica do governo federal no combate aos índices inflacionários no passado, quando da correção de saldos em depósitos em cadernetas de poupança.</w:t>
      </w:r>
    </w:p>
    <w:p w14:paraId="3E1EC1AB" w14:textId="7BDCC54B" w:rsidR="00910878" w:rsidRPr="00FF4346" w:rsidRDefault="00A41015" w:rsidP="007C4BC1">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A CAIXA cumpriu a ordem legal vigente à época, entretanto, considerando as ações efetivamente notificadas e a análise da jurisprudência atual do Superior Tribunal de Justiça – STJ, em </w:t>
      </w:r>
      <w:r w:rsidR="00C21140" w:rsidRPr="00FF4346">
        <w:rPr>
          <w:rFonts w:ascii="CAIXA Std Book" w:hAnsi="CAIXA Std Book"/>
          <w:color w:val="005CA9"/>
          <w:sz w:val="20"/>
          <w:szCs w:val="20"/>
        </w:rPr>
        <w:t>31/</w:t>
      </w:r>
      <w:r w:rsidR="00E4719E">
        <w:rPr>
          <w:rFonts w:ascii="CAIXA Std Book" w:hAnsi="CAIXA Std Book"/>
          <w:color w:val="005CA9"/>
          <w:sz w:val="20"/>
          <w:szCs w:val="20"/>
        </w:rPr>
        <w:t>03/2024</w:t>
      </w:r>
      <w:r w:rsidRPr="00FF4346">
        <w:rPr>
          <w:rFonts w:ascii="CAIXA Std Book" w:hAnsi="CAIXA Std Book"/>
          <w:color w:val="005CA9"/>
          <w:sz w:val="20"/>
          <w:szCs w:val="20"/>
        </w:rPr>
        <w:t>, foi provisionado</w:t>
      </w:r>
      <w:r w:rsidR="008B7390"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R$ </w:t>
      </w:r>
      <w:r w:rsidR="007D0D06">
        <w:rPr>
          <w:rFonts w:ascii="CAIXA Std Book" w:hAnsi="CAIXA Std Book"/>
          <w:color w:val="005CA9"/>
          <w:sz w:val="20"/>
          <w:szCs w:val="20"/>
        </w:rPr>
        <w:t>803.443</w:t>
      </w:r>
      <w:r w:rsidR="00723F98">
        <w:rPr>
          <w:rFonts w:ascii="CAIXA Std Book" w:hAnsi="CAIXA Std Book"/>
          <w:color w:val="005CA9"/>
          <w:sz w:val="20"/>
          <w:szCs w:val="20"/>
        </w:rPr>
        <w:t xml:space="preserve"> </w:t>
      </w:r>
      <w:r w:rsidRPr="00FF4346">
        <w:rPr>
          <w:rFonts w:ascii="CAIXA Std Book" w:hAnsi="CAIXA Std Book"/>
          <w:color w:val="005CA9"/>
          <w:sz w:val="20"/>
          <w:szCs w:val="20"/>
        </w:rPr>
        <w:t>para estes processos (31/12/202</w:t>
      </w:r>
      <w:r w:rsidR="00723F98">
        <w:rPr>
          <w:rFonts w:ascii="CAIXA Std Book" w:hAnsi="CAIXA Std Book"/>
          <w:color w:val="005CA9"/>
          <w:sz w:val="20"/>
          <w:szCs w:val="20"/>
        </w:rPr>
        <w:t>3</w:t>
      </w:r>
      <w:r w:rsidRPr="00FF4346">
        <w:rPr>
          <w:rFonts w:ascii="CAIXA Std Book" w:hAnsi="CAIXA Std Book"/>
          <w:color w:val="005CA9"/>
          <w:sz w:val="20"/>
          <w:szCs w:val="20"/>
        </w:rPr>
        <w:t xml:space="preserve"> – R$ </w:t>
      </w:r>
      <w:r w:rsidR="00674190" w:rsidRPr="00FF4346">
        <w:rPr>
          <w:rFonts w:ascii="CAIXA Std Book" w:hAnsi="CAIXA Std Book"/>
          <w:color w:val="005CA9"/>
          <w:sz w:val="20"/>
          <w:szCs w:val="20"/>
        </w:rPr>
        <w:t>7</w:t>
      </w:r>
      <w:r w:rsidR="00723F98">
        <w:rPr>
          <w:rFonts w:ascii="CAIXA Std Book" w:hAnsi="CAIXA Std Book"/>
          <w:color w:val="005CA9"/>
          <w:sz w:val="20"/>
          <w:szCs w:val="20"/>
        </w:rPr>
        <w:t>65.771</w:t>
      </w:r>
      <w:r w:rsidRPr="00FF4346">
        <w:rPr>
          <w:rFonts w:ascii="CAIXA Std Book" w:hAnsi="CAIXA Std Book"/>
          <w:color w:val="005CA9"/>
          <w:sz w:val="20"/>
          <w:szCs w:val="20"/>
        </w:rPr>
        <w:t>)</w:t>
      </w:r>
      <w:r w:rsidR="00910878" w:rsidRPr="00FF4346">
        <w:rPr>
          <w:rFonts w:ascii="CAIXA Std Book" w:hAnsi="CAIXA Std Book"/>
          <w:color w:val="005CA9"/>
          <w:sz w:val="20"/>
          <w:szCs w:val="20"/>
        </w:rPr>
        <w:t>.</w:t>
      </w:r>
    </w:p>
    <w:p w14:paraId="4294C341" w14:textId="69495A6C" w:rsidR="00476419" w:rsidRPr="00FF4346" w:rsidRDefault="00476419"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O Supremo Tribunal Federal – STF suspendeu a análise de todos os recursos interpostos até que sejam proferidas as decisões das matérias de repercussão geral relativas ao Planos Bresser e Verão (tema 264), de valores não bloqueados do Plano Collor I (tema 265), Plano Collor I (tema 284) e do Plano Collor II (tema 285) que terão efeitos vinculantes a todos os casos relacionados.</w:t>
      </w:r>
    </w:p>
    <w:p w14:paraId="6013792A" w14:textId="3BEDA21B" w:rsidR="00476419" w:rsidRPr="00FF4346" w:rsidRDefault="00476419"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No final do exercício de 2017</w:t>
      </w:r>
      <w:r w:rsidR="0051272B" w:rsidRPr="00FF4346">
        <w:rPr>
          <w:rFonts w:ascii="CAIXA Std Book" w:hAnsi="CAIXA Std Book"/>
          <w:color w:val="005CA9"/>
          <w:sz w:val="20"/>
          <w:szCs w:val="20"/>
        </w:rPr>
        <w:t>,</w:t>
      </w:r>
      <w:r w:rsidRPr="00FF4346">
        <w:rPr>
          <w:rFonts w:ascii="CAIXA Std Book" w:hAnsi="CAIXA Std Book"/>
          <w:color w:val="005CA9"/>
          <w:sz w:val="20"/>
          <w:szCs w:val="20"/>
        </w:rPr>
        <w:t xml:space="preserve"> FEBRABAN e CONSIF celebraram acordo com as principais entidades de defesa do consumidor para equacionamento do problema. Este acordo foi homologado pelo STF e a CAIXA aderiu a seus termos. Os pagamentos começaram em julho de 2018 e continuam sendo realizados em atendimento às adesões processadas no site </w:t>
      </w:r>
      <w:hyperlink r:id="rId57" w:history="1">
        <w:r w:rsidR="00124C71" w:rsidRPr="00FF4346">
          <w:rPr>
            <w:rStyle w:val="Hyperlink"/>
            <w:rFonts w:ascii="CAIXA Std Book" w:hAnsi="CAIXA Std Book" w:cs="Yu Mincho Light"/>
            <w:color w:val="005CA9"/>
            <w:sz w:val="20"/>
            <w:szCs w:val="20"/>
          </w:rPr>
          <w:t>https://portalacordo.pagamentodapoupanca.com.br/</w:t>
        </w:r>
      </w:hyperlink>
      <w:r w:rsidR="00124C71" w:rsidRPr="00FF4346">
        <w:rPr>
          <w:rFonts w:ascii="CAIXA Std Book" w:hAnsi="CAIXA Std Book"/>
          <w:color w:val="005CA9"/>
          <w:sz w:val="20"/>
          <w:szCs w:val="20"/>
        </w:rPr>
        <w:t xml:space="preserve"> </w:t>
      </w:r>
      <w:r w:rsidRPr="00FF4346">
        <w:rPr>
          <w:rFonts w:ascii="CAIXA Std Book" w:hAnsi="CAIXA Std Book"/>
          <w:color w:val="005CA9"/>
          <w:sz w:val="20"/>
          <w:szCs w:val="20"/>
        </w:rPr>
        <w:t>e mutirões de conciliação administrativos e judiciais.</w:t>
      </w:r>
    </w:p>
    <w:p w14:paraId="661C3751" w14:textId="397BD2CB" w:rsidR="00476419" w:rsidRPr="00FF4346" w:rsidRDefault="00476419"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O acordo teve prazo final em 12/03/2020, razão pela qual a FEBRABAN e as entidades de defesa do consumidor chegaram a bom termo para prorrogar o acordo anterior por mais 5 anos,</w:t>
      </w:r>
      <w:r w:rsidR="00794D4F"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tendo sido homologado pelo STF </w:t>
      </w:r>
      <w:r w:rsidR="00794D4F" w:rsidRPr="00FF4346">
        <w:rPr>
          <w:rFonts w:ascii="CAIXA Std Book" w:hAnsi="CAIXA Std Book"/>
          <w:color w:val="005CA9"/>
          <w:sz w:val="20"/>
          <w:szCs w:val="20"/>
        </w:rPr>
        <w:t>uma</w:t>
      </w:r>
      <w:r w:rsidRPr="00FF4346">
        <w:rPr>
          <w:rFonts w:ascii="CAIXA Std Book" w:hAnsi="CAIXA Std Book"/>
          <w:color w:val="005CA9"/>
          <w:sz w:val="20"/>
          <w:szCs w:val="20"/>
        </w:rPr>
        <w:t xml:space="preserve"> prorrogação </w:t>
      </w:r>
      <w:r w:rsidR="00794D4F" w:rsidRPr="00FF4346">
        <w:rPr>
          <w:rFonts w:ascii="CAIXA Std Book" w:hAnsi="CAIXA Std Book"/>
          <w:color w:val="005CA9"/>
          <w:sz w:val="20"/>
          <w:szCs w:val="20"/>
        </w:rPr>
        <w:t>inicial de</w:t>
      </w:r>
      <w:r w:rsidRPr="00FF4346">
        <w:rPr>
          <w:rFonts w:ascii="CAIXA Std Book" w:hAnsi="CAIXA Std Book"/>
          <w:color w:val="005CA9"/>
          <w:sz w:val="20"/>
          <w:szCs w:val="20"/>
        </w:rPr>
        <w:t xml:space="preserve"> 30 meses</w:t>
      </w:r>
      <w:r w:rsidR="00794D4F" w:rsidRPr="00FF4346">
        <w:rPr>
          <w:rFonts w:ascii="CAIXA Std Book" w:hAnsi="CAIXA Std Book"/>
          <w:color w:val="005CA9"/>
          <w:sz w:val="20"/>
          <w:szCs w:val="20"/>
        </w:rPr>
        <w:t xml:space="preserve"> e após analisados os</w:t>
      </w:r>
      <w:r w:rsidRPr="00FF4346">
        <w:rPr>
          <w:rFonts w:ascii="CAIXA Std Book" w:hAnsi="CAIXA Std Book"/>
          <w:color w:val="005CA9"/>
          <w:sz w:val="20"/>
          <w:szCs w:val="20"/>
        </w:rPr>
        <w:t xml:space="preserve"> resultados obtidos</w:t>
      </w:r>
      <w:r w:rsidR="00794D4F" w:rsidRPr="00FF4346">
        <w:rPr>
          <w:rFonts w:ascii="CAIXA Std Book" w:hAnsi="CAIXA Std Book"/>
          <w:color w:val="005CA9"/>
          <w:sz w:val="20"/>
          <w:szCs w:val="20"/>
        </w:rPr>
        <w:t>, em dezembro de 2022, o STF homologou uma segunda prorrogação de mais 30 meses</w:t>
      </w:r>
    </w:p>
    <w:p w14:paraId="454F8BE1" w14:textId="72D58474" w:rsidR="006F36E6" w:rsidRPr="00FF4346" w:rsidRDefault="006F36E6" w:rsidP="006F36E6">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Também são significativos os processos que visam à reparação de danos envolvendo o contingenciamento de repasses de recursos do FGTS. O valor provisionado, em </w:t>
      </w:r>
      <w:r w:rsidR="00612045" w:rsidRPr="00FF4346">
        <w:rPr>
          <w:rFonts w:ascii="CAIXA Std Book" w:hAnsi="CAIXA Std Book"/>
          <w:color w:val="005CA9"/>
          <w:sz w:val="20"/>
          <w:szCs w:val="20"/>
        </w:rPr>
        <w:t>31/</w:t>
      </w:r>
      <w:r w:rsidR="00682556">
        <w:rPr>
          <w:rFonts w:ascii="CAIXA Std Book" w:hAnsi="CAIXA Std Book"/>
          <w:color w:val="005CA9"/>
          <w:sz w:val="20"/>
          <w:szCs w:val="20"/>
        </w:rPr>
        <w:t>03/2024</w:t>
      </w:r>
      <w:r w:rsidRPr="00FF4346">
        <w:rPr>
          <w:rFonts w:ascii="CAIXA Std Book" w:hAnsi="CAIXA Std Book"/>
          <w:color w:val="005CA9"/>
          <w:sz w:val="20"/>
          <w:szCs w:val="20"/>
        </w:rPr>
        <w:t xml:space="preserve">, para estes processos é de R$ </w:t>
      </w:r>
      <w:r w:rsidR="008E0AD6" w:rsidRPr="008E0AD6">
        <w:rPr>
          <w:rFonts w:ascii="CAIXA Std Book" w:hAnsi="CAIXA Std Book"/>
          <w:color w:val="005CA9"/>
          <w:sz w:val="20"/>
          <w:szCs w:val="20"/>
        </w:rPr>
        <w:t>R$ 1.058.769</w:t>
      </w:r>
      <w:r w:rsidR="00682556">
        <w:rPr>
          <w:rFonts w:ascii="CAIXA Std Book" w:hAnsi="CAIXA Std Book"/>
          <w:color w:val="005CA9"/>
          <w:sz w:val="20"/>
          <w:szCs w:val="20"/>
        </w:rPr>
        <w:t xml:space="preserve"> </w:t>
      </w:r>
      <w:r w:rsidRPr="00FF4346">
        <w:rPr>
          <w:rFonts w:ascii="CAIXA Std Book" w:hAnsi="CAIXA Std Book"/>
          <w:color w:val="005CA9"/>
          <w:sz w:val="20"/>
          <w:szCs w:val="20"/>
        </w:rPr>
        <w:t>(31/12/202</w:t>
      </w:r>
      <w:r w:rsidR="004437F6">
        <w:rPr>
          <w:rFonts w:ascii="CAIXA Std Book" w:hAnsi="CAIXA Std Book"/>
          <w:color w:val="005CA9"/>
          <w:sz w:val="20"/>
          <w:szCs w:val="20"/>
        </w:rPr>
        <w:t>3</w:t>
      </w:r>
      <w:r w:rsidRPr="00FF4346">
        <w:rPr>
          <w:rFonts w:ascii="CAIXA Std Book" w:hAnsi="CAIXA Std Book"/>
          <w:color w:val="005CA9"/>
          <w:sz w:val="20"/>
          <w:szCs w:val="20"/>
        </w:rPr>
        <w:t xml:space="preserve"> – R$ </w:t>
      </w:r>
      <w:r w:rsidR="00682556">
        <w:rPr>
          <w:rFonts w:ascii="CAIXA Std Book" w:hAnsi="CAIXA Std Book"/>
          <w:color w:val="005CA9"/>
          <w:sz w:val="20"/>
          <w:szCs w:val="20"/>
        </w:rPr>
        <w:t>1.072.538</w:t>
      </w:r>
      <w:r w:rsidRPr="00FF4346">
        <w:rPr>
          <w:rFonts w:ascii="CAIXA Std Book" w:hAnsi="CAIXA Std Book"/>
          <w:color w:val="005CA9"/>
          <w:sz w:val="20"/>
          <w:szCs w:val="20"/>
        </w:rPr>
        <w:t>).</w:t>
      </w:r>
    </w:p>
    <w:p w14:paraId="3615D0DD" w14:textId="77777777" w:rsidR="00476419" w:rsidRPr="00FF4346" w:rsidRDefault="00476419"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As ações indenizatórias de perdas e danos se referem a eventuais problemas ocorridos no atendimento bancário, na prestação de serviços ou na aquisição/manutenção de algum produto.</w:t>
      </w:r>
    </w:p>
    <w:p w14:paraId="3D50BED4" w14:textId="48A68FAA" w:rsidR="006F36E6" w:rsidRPr="00FF4346" w:rsidRDefault="006F36E6" w:rsidP="006F36E6">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Em 202</w:t>
      </w:r>
      <w:r w:rsidR="008F78B3">
        <w:rPr>
          <w:rFonts w:ascii="CAIXA Std Book" w:hAnsi="CAIXA Std Book"/>
          <w:color w:val="005CA9"/>
          <w:sz w:val="20"/>
          <w:szCs w:val="20"/>
        </w:rPr>
        <w:t>4</w:t>
      </w:r>
      <w:r w:rsidRPr="00FF4346">
        <w:rPr>
          <w:rFonts w:ascii="CAIXA Std Book" w:hAnsi="CAIXA Std Book"/>
          <w:color w:val="005CA9"/>
          <w:sz w:val="20"/>
          <w:szCs w:val="20"/>
        </w:rPr>
        <w:t xml:space="preserve">, a CAIXA continua executando sua política de conciliação judicial e extrajudicial, realizando o cumprimento espontâneo de decisões judiciais e analisando perdas incorridas a fim de mitigar novos litígios de causas semelhantes. Até </w:t>
      </w:r>
      <w:r w:rsidR="00612045" w:rsidRPr="00FF4346">
        <w:rPr>
          <w:rFonts w:ascii="CAIXA Std Book" w:hAnsi="CAIXA Std Book"/>
          <w:color w:val="005CA9"/>
          <w:sz w:val="20"/>
          <w:szCs w:val="20"/>
        </w:rPr>
        <w:t>31/</w:t>
      </w:r>
      <w:r w:rsidR="001A5E09">
        <w:rPr>
          <w:rFonts w:ascii="CAIXA Std Book" w:hAnsi="CAIXA Std Book"/>
          <w:color w:val="005CA9"/>
          <w:sz w:val="20"/>
          <w:szCs w:val="20"/>
        </w:rPr>
        <w:t>03/202</w:t>
      </w:r>
      <w:r w:rsidR="004437F6">
        <w:rPr>
          <w:rFonts w:ascii="CAIXA Std Book" w:hAnsi="CAIXA Std Book"/>
          <w:color w:val="005CA9"/>
          <w:sz w:val="20"/>
          <w:szCs w:val="20"/>
        </w:rPr>
        <w:t>4</w:t>
      </w:r>
      <w:r w:rsidRPr="00FF4346">
        <w:rPr>
          <w:rFonts w:ascii="CAIXA Std Book" w:hAnsi="CAIXA Std Book"/>
          <w:color w:val="005CA9"/>
          <w:sz w:val="20"/>
          <w:szCs w:val="20"/>
        </w:rPr>
        <w:t xml:space="preserve"> realizou </w:t>
      </w:r>
      <w:r w:rsidR="003C43CD" w:rsidRPr="003C43CD">
        <w:rPr>
          <w:rFonts w:ascii="CAIXA Std Book" w:hAnsi="CAIXA Std Book"/>
          <w:color w:val="005CA9"/>
          <w:sz w:val="20"/>
          <w:szCs w:val="20"/>
        </w:rPr>
        <w:t>14.663</w:t>
      </w:r>
      <w:r w:rsidRPr="00FF4346">
        <w:rPr>
          <w:rFonts w:ascii="CAIXA Std Book" w:hAnsi="CAIXA Std Book"/>
          <w:color w:val="005CA9"/>
          <w:sz w:val="20"/>
          <w:szCs w:val="20"/>
        </w:rPr>
        <w:t xml:space="preserve"> acordos processuais (</w:t>
      </w:r>
      <w:r w:rsidR="00830E90" w:rsidRPr="00830E90">
        <w:rPr>
          <w:rFonts w:ascii="CAIXA Std Book" w:hAnsi="CAIXA Std Book"/>
          <w:color w:val="005CA9"/>
          <w:sz w:val="20"/>
          <w:szCs w:val="20"/>
        </w:rPr>
        <w:t>49</w:t>
      </w:r>
      <w:r w:rsidRPr="00FF4346">
        <w:rPr>
          <w:rFonts w:ascii="CAIXA Std Book" w:hAnsi="CAIXA Std Book"/>
          <w:color w:val="005CA9"/>
          <w:sz w:val="20"/>
          <w:szCs w:val="20"/>
        </w:rPr>
        <w:t xml:space="preserve">% referente a ações indenizatórias e </w:t>
      </w:r>
      <w:r w:rsidR="00CB5407" w:rsidRPr="00CB5407">
        <w:rPr>
          <w:rFonts w:ascii="CAIXA Std Book" w:hAnsi="CAIXA Std Book"/>
          <w:color w:val="005CA9"/>
          <w:sz w:val="20"/>
          <w:szCs w:val="20"/>
        </w:rPr>
        <w:t>51</w:t>
      </w:r>
      <w:r w:rsidRPr="00FF4346">
        <w:rPr>
          <w:rFonts w:ascii="CAIXA Std Book" w:hAnsi="CAIXA Std Book"/>
          <w:color w:val="005CA9"/>
          <w:sz w:val="20"/>
          <w:szCs w:val="20"/>
        </w:rPr>
        <w:t>% referentes a recuperações de créditos) reduzindo o montante que seria despendido caso persistisse a condenação judicial e oportunizando ao cliente uma solução rápida para o problema.</w:t>
      </w:r>
    </w:p>
    <w:p w14:paraId="66C80C22" w14:textId="25622600" w:rsidR="00910878" w:rsidRPr="00FF4346" w:rsidRDefault="00910878" w:rsidP="006D0E67">
      <w:pPr>
        <w:spacing w:before="240" w:after="120"/>
        <w:ind w:left="567" w:right="142" w:hanging="567"/>
        <w:rPr>
          <w:rFonts w:ascii="CAIXA Std Book" w:hAnsi="CAIXA Std Book"/>
          <w:b/>
          <w:color w:val="005CA9"/>
          <w:sz w:val="20"/>
          <w:szCs w:val="20"/>
        </w:rPr>
      </w:pPr>
      <w:r w:rsidRPr="00FF4346">
        <w:rPr>
          <w:rFonts w:ascii="CAIXA Std Book" w:hAnsi="CAIXA Std Book"/>
          <w:b/>
          <w:color w:val="005CA9"/>
          <w:sz w:val="20"/>
          <w:szCs w:val="20"/>
        </w:rPr>
        <w:t>(b.</w:t>
      </w:r>
      <w:r w:rsidR="00195BE6" w:rsidRPr="00FF4346">
        <w:rPr>
          <w:rFonts w:ascii="CAIXA Std Book" w:hAnsi="CAIXA Std Book"/>
          <w:b/>
          <w:color w:val="005CA9"/>
          <w:sz w:val="20"/>
          <w:szCs w:val="20"/>
        </w:rPr>
        <w:t>4</w:t>
      </w:r>
      <w:r w:rsidRPr="00FF4346">
        <w:rPr>
          <w:rFonts w:ascii="CAIXA Std Book" w:hAnsi="CAIXA Std Book"/>
          <w:b/>
          <w:color w:val="005CA9"/>
          <w:sz w:val="20"/>
          <w:szCs w:val="20"/>
        </w:rPr>
        <w:t>)</w:t>
      </w:r>
      <w:r w:rsidRPr="00FF4346">
        <w:rPr>
          <w:rFonts w:ascii="CAIXA Std Book" w:hAnsi="CAIXA Std Book"/>
          <w:b/>
          <w:color w:val="005CA9"/>
          <w:sz w:val="20"/>
          <w:szCs w:val="20"/>
        </w:rPr>
        <w:tab/>
        <w:t>Obrigações fiscais e previdenciárias</w:t>
      </w:r>
    </w:p>
    <w:p w14:paraId="2F91D762" w14:textId="77777777" w:rsidR="00F574B9"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 CAIXA, como instituição cumpridora regular das obrigações fiscais e tributárias que repercutem sobre suas atividades, operações e serviços, discute em sede judicial a legitimidade dos parâmetros de cobrança levados a efeito por órgãos fazendários dos diversos entes da Federação, de acordo com a especificidade própria de cada caso.</w:t>
      </w:r>
    </w:p>
    <w:p w14:paraId="0900A797" w14:textId="77777777" w:rsidR="00F574B9"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lastRenderedPageBreak/>
        <w:t>As provisões constituídas sob avaliação de risco provável com base em pareceres dos assessores jurídicos se referem a ações sobre tributos e contribuições. A CAIXA acompanha regularmente o ciclo das ações judiciais em andamento, as quais, a médio e longo prazo, poderão apresentar desdobramentos favoráveis à instituição com a reversão das respectivas provisões.</w:t>
      </w:r>
    </w:p>
    <w:p w14:paraId="792A0F4A" w14:textId="3EACA03C" w:rsidR="00F574B9"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Destacam-se as autuações do Instituto Nacional do Seguro Social (INSS) para o recolhimento de contribuições previdenciárias sobre pagamentos a empregados da CAIXA, em que se discute o caráter indenizatório e não remuneratório de algumas verbas, tais como auxílio-alimentação, APIP e licença-prêmio, cujos valores, reposicionados para </w:t>
      </w:r>
      <w:r w:rsidR="00612045" w:rsidRPr="00FF4346">
        <w:rPr>
          <w:rFonts w:ascii="CAIXA Std Book" w:hAnsi="CAIXA Std Book"/>
          <w:color w:val="005CA9"/>
          <w:sz w:val="20"/>
          <w:szCs w:val="20"/>
        </w:rPr>
        <w:t>31/</w:t>
      </w:r>
      <w:r w:rsidR="00C20AFB">
        <w:rPr>
          <w:rFonts w:ascii="CAIXA Std Book" w:hAnsi="CAIXA Std Book"/>
          <w:color w:val="005CA9"/>
          <w:sz w:val="20"/>
          <w:szCs w:val="20"/>
        </w:rPr>
        <w:t>03/2024</w:t>
      </w:r>
      <w:r w:rsidRPr="00FF4346">
        <w:rPr>
          <w:rFonts w:ascii="CAIXA Std Book" w:hAnsi="CAIXA Std Book"/>
          <w:color w:val="005CA9"/>
          <w:sz w:val="20"/>
          <w:szCs w:val="20"/>
        </w:rPr>
        <w:t xml:space="preserve">, correspondem ao total de </w:t>
      </w:r>
      <w:r w:rsidR="00C7141C" w:rsidRPr="00FF4346">
        <w:rPr>
          <w:rFonts w:ascii="CAIXA Std Book" w:hAnsi="CAIXA Std Book"/>
          <w:color w:val="005CA9"/>
          <w:sz w:val="20"/>
          <w:szCs w:val="20"/>
        </w:rPr>
        <w:t xml:space="preserve">R$ </w:t>
      </w:r>
      <w:r w:rsidR="00AC641D" w:rsidRPr="00AC641D">
        <w:rPr>
          <w:rFonts w:ascii="CAIXA Std Book" w:hAnsi="CAIXA Std Book"/>
          <w:color w:val="005CA9"/>
          <w:sz w:val="20"/>
          <w:szCs w:val="20"/>
        </w:rPr>
        <w:t xml:space="preserve">1.795.520 </w:t>
      </w:r>
      <w:r w:rsidR="001E581F" w:rsidRPr="00FF4346">
        <w:rPr>
          <w:rFonts w:ascii="CAIXA Std Book" w:hAnsi="CAIXA Std Book"/>
          <w:color w:val="005CA9"/>
          <w:sz w:val="20"/>
          <w:szCs w:val="20"/>
        </w:rPr>
        <w:t xml:space="preserve"> </w:t>
      </w:r>
      <w:r w:rsidR="00194346" w:rsidRPr="00FF4346">
        <w:rPr>
          <w:rFonts w:ascii="CAIXA Std Book" w:hAnsi="CAIXA Std Book"/>
          <w:color w:val="005CA9"/>
          <w:sz w:val="20"/>
          <w:szCs w:val="20"/>
        </w:rPr>
        <w:t>(31/12/202</w:t>
      </w:r>
      <w:r w:rsidR="00C20AFB">
        <w:rPr>
          <w:rFonts w:ascii="CAIXA Std Book" w:hAnsi="CAIXA Std Book"/>
          <w:color w:val="005CA9"/>
          <w:sz w:val="20"/>
          <w:szCs w:val="20"/>
        </w:rPr>
        <w:t>3</w:t>
      </w:r>
      <w:r w:rsidR="00194346" w:rsidRPr="00FF4346">
        <w:rPr>
          <w:rFonts w:ascii="CAIXA Std Book" w:hAnsi="CAIXA Std Book"/>
          <w:color w:val="005CA9"/>
          <w:sz w:val="20"/>
          <w:szCs w:val="20"/>
        </w:rPr>
        <w:t xml:space="preserve"> – R$ </w:t>
      </w:r>
      <w:r w:rsidR="00EE0D7E">
        <w:rPr>
          <w:rFonts w:ascii="CAIXA Std Book" w:hAnsi="CAIXA Std Book"/>
          <w:color w:val="005CA9"/>
          <w:sz w:val="20"/>
          <w:szCs w:val="20"/>
        </w:rPr>
        <w:t>1.798</w:t>
      </w:r>
      <w:r w:rsidR="00C20AFB">
        <w:rPr>
          <w:rFonts w:ascii="CAIXA Std Book" w:hAnsi="CAIXA Std Book"/>
          <w:color w:val="005CA9"/>
          <w:sz w:val="20"/>
          <w:szCs w:val="20"/>
        </w:rPr>
        <w:t>.813</w:t>
      </w:r>
      <w:r w:rsidR="00194346" w:rsidRPr="00FF4346">
        <w:rPr>
          <w:rFonts w:ascii="CAIXA Std Book" w:hAnsi="CAIXA Std Book"/>
          <w:color w:val="005CA9"/>
          <w:sz w:val="20"/>
          <w:szCs w:val="20"/>
        </w:rPr>
        <w:t xml:space="preserve">), para as quais a provisão constituída com base no histórico de êxito e do cenário jurisprudencial, considerados em recente análise técnica e jurídica acerca da matéria, é de R$ </w:t>
      </w:r>
      <w:r w:rsidR="00F12B53" w:rsidRPr="00F12B53">
        <w:rPr>
          <w:rFonts w:ascii="CAIXA Std Book" w:hAnsi="CAIXA Std Book"/>
          <w:color w:val="005CA9"/>
          <w:sz w:val="20"/>
          <w:szCs w:val="20"/>
        </w:rPr>
        <w:t>5.886</w:t>
      </w:r>
      <w:r w:rsidR="00F3557B" w:rsidRPr="00FF4346">
        <w:rPr>
          <w:rFonts w:ascii="CAIXA Std Book" w:hAnsi="CAIXA Std Book"/>
          <w:color w:val="005CA9"/>
          <w:sz w:val="20"/>
          <w:szCs w:val="20"/>
        </w:rPr>
        <w:t xml:space="preserve"> </w:t>
      </w:r>
      <w:r w:rsidRPr="00FF4346">
        <w:rPr>
          <w:rFonts w:ascii="CAIXA Std Book" w:hAnsi="CAIXA Std Book"/>
          <w:color w:val="005CA9"/>
          <w:sz w:val="20"/>
          <w:szCs w:val="20"/>
        </w:rPr>
        <w:t>(31/12/202</w:t>
      </w:r>
      <w:r w:rsidR="00C20AFB">
        <w:rPr>
          <w:rFonts w:ascii="CAIXA Std Book" w:hAnsi="CAIXA Std Book"/>
          <w:color w:val="005CA9"/>
          <w:sz w:val="20"/>
          <w:szCs w:val="20"/>
        </w:rPr>
        <w:t>3</w:t>
      </w:r>
      <w:r w:rsidRPr="00FF4346">
        <w:rPr>
          <w:rFonts w:ascii="CAIXA Std Book" w:hAnsi="CAIXA Std Book"/>
          <w:color w:val="005CA9"/>
          <w:sz w:val="20"/>
          <w:szCs w:val="20"/>
        </w:rPr>
        <w:t xml:space="preserve"> – R$ </w:t>
      </w:r>
      <w:r w:rsidR="00C20AFB">
        <w:rPr>
          <w:rFonts w:ascii="CAIXA Std Book" w:hAnsi="CAIXA Std Book"/>
          <w:color w:val="005CA9"/>
          <w:sz w:val="20"/>
          <w:szCs w:val="20"/>
        </w:rPr>
        <w:t>21.312</w:t>
      </w:r>
      <w:r w:rsidRPr="00FF4346">
        <w:rPr>
          <w:rFonts w:ascii="CAIXA Std Book" w:hAnsi="CAIXA Std Book"/>
          <w:color w:val="005CA9"/>
          <w:sz w:val="20"/>
          <w:szCs w:val="20"/>
        </w:rPr>
        <w:t>).</w:t>
      </w:r>
    </w:p>
    <w:p w14:paraId="5D997601" w14:textId="77777777" w:rsidR="00F574B9"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Em relação ao ISSQN, a CAIXA aplica as diretrizes da Lei Complementar Federal nº 116/2003, em adequação de seus sistemas e procedimentos para apuração da base de cálculo e recolhimento do tributo sobre serviços prestados.</w:t>
      </w:r>
    </w:p>
    <w:p w14:paraId="6350E265" w14:textId="0C459183" w:rsidR="00F574B9"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Não obstante, as fiscalizações tributárias de municípios diversos da federação autuaram a instituição sob a alegação de falta de recolhimento ou recolhimento a menor, instaurando discussão a partir de interpretação distinta de aspectos como materialidade, alíquotas aplicáveis e local de incidência do tributo, cujo valor total, em </w:t>
      </w:r>
      <w:r w:rsidR="00612045" w:rsidRPr="00FF4346">
        <w:rPr>
          <w:rFonts w:ascii="CAIXA Std Book" w:hAnsi="CAIXA Std Book"/>
          <w:color w:val="005CA9"/>
          <w:sz w:val="20"/>
          <w:szCs w:val="20"/>
        </w:rPr>
        <w:t>31/</w:t>
      </w:r>
      <w:r w:rsidR="00AE65EC">
        <w:rPr>
          <w:rFonts w:ascii="CAIXA Std Book" w:hAnsi="CAIXA Std Book"/>
          <w:color w:val="005CA9"/>
          <w:sz w:val="20"/>
          <w:szCs w:val="20"/>
        </w:rPr>
        <w:t>03/2024</w:t>
      </w:r>
      <w:r w:rsidRPr="00FF4346">
        <w:rPr>
          <w:rFonts w:ascii="CAIXA Std Book" w:hAnsi="CAIXA Std Book"/>
          <w:color w:val="005CA9"/>
          <w:sz w:val="20"/>
          <w:szCs w:val="20"/>
        </w:rPr>
        <w:t xml:space="preserve">, corresponde ao montante de R$ </w:t>
      </w:r>
      <w:r w:rsidR="00A31124" w:rsidRPr="00A31124">
        <w:rPr>
          <w:rFonts w:ascii="CAIXA Std Book" w:hAnsi="CAIXA Std Book"/>
          <w:color w:val="005CA9"/>
          <w:sz w:val="20"/>
          <w:szCs w:val="20"/>
        </w:rPr>
        <w:t>1.416</w:t>
      </w:r>
      <w:r w:rsidR="000E17F4">
        <w:rPr>
          <w:rFonts w:ascii="CAIXA Std Book" w:hAnsi="CAIXA Std Book"/>
          <w:color w:val="005CA9"/>
          <w:sz w:val="20"/>
          <w:szCs w:val="20"/>
        </w:rPr>
        <w:t>.691</w:t>
      </w:r>
      <w:r w:rsidR="00D12AA0" w:rsidRPr="00FF4346">
        <w:rPr>
          <w:rFonts w:ascii="CAIXA Std Book" w:hAnsi="CAIXA Std Book"/>
          <w:color w:val="005CA9"/>
          <w:sz w:val="20"/>
          <w:szCs w:val="20"/>
        </w:rPr>
        <w:t xml:space="preserve"> </w:t>
      </w:r>
      <w:r w:rsidRPr="00FF4346">
        <w:rPr>
          <w:rFonts w:ascii="CAIXA Std Book" w:hAnsi="CAIXA Std Book"/>
          <w:color w:val="005CA9"/>
          <w:sz w:val="20"/>
          <w:szCs w:val="20"/>
        </w:rPr>
        <w:t>(31/12/202</w:t>
      </w:r>
      <w:r w:rsidR="0062153D">
        <w:rPr>
          <w:rFonts w:ascii="CAIXA Std Book" w:hAnsi="CAIXA Std Book"/>
          <w:color w:val="005CA9"/>
          <w:sz w:val="20"/>
          <w:szCs w:val="20"/>
        </w:rPr>
        <w:t>3</w:t>
      </w:r>
      <w:r w:rsidRPr="00FF4346">
        <w:rPr>
          <w:rFonts w:ascii="CAIXA Std Book" w:hAnsi="CAIXA Std Book"/>
          <w:color w:val="005CA9"/>
          <w:sz w:val="20"/>
          <w:szCs w:val="20"/>
        </w:rPr>
        <w:t xml:space="preserve"> – R$ 1.</w:t>
      </w:r>
      <w:r w:rsidR="00AE65EC">
        <w:rPr>
          <w:rFonts w:ascii="CAIXA Std Book" w:hAnsi="CAIXA Std Book"/>
          <w:color w:val="005CA9"/>
          <w:sz w:val="20"/>
          <w:szCs w:val="20"/>
        </w:rPr>
        <w:t>389.251</w:t>
      </w:r>
      <w:r w:rsidRPr="00FF4346">
        <w:rPr>
          <w:rFonts w:ascii="CAIXA Std Book" w:hAnsi="CAIXA Std Book"/>
          <w:color w:val="005CA9"/>
          <w:sz w:val="20"/>
          <w:szCs w:val="20"/>
        </w:rPr>
        <w:t>).</w:t>
      </w:r>
    </w:p>
    <w:p w14:paraId="310A3B52" w14:textId="31687D18" w:rsidR="00194346" w:rsidRPr="00FF4346" w:rsidRDefault="00194346"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Em face do histórico de êxito e do cenário jurisprudencial, avaliados em análise técnica e jurídica acerca da matéria, na posição de </w:t>
      </w:r>
      <w:r w:rsidR="00612045" w:rsidRPr="00FF4346">
        <w:rPr>
          <w:rFonts w:ascii="CAIXA Std Book" w:hAnsi="CAIXA Std Book"/>
          <w:color w:val="005CA9"/>
          <w:sz w:val="20"/>
          <w:szCs w:val="20"/>
        </w:rPr>
        <w:t>31/</w:t>
      </w:r>
      <w:r w:rsidR="00C95427">
        <w:rPr>
          <w:rFonts w:ascii="CAIXA Std Book" w:hAnsi="CAIXA Std Book"/>
          <w:color w:val="005CA9"/>
          <w:sz w:val="20"/>
          <w:szCs w:val="20"/>
        </w:rPr>
        <w:t>03/2024</w:t>
      </w:r>
      <w:r w:rsidR="00141BD2">
        <w:rPr>
          <w:rFonts w:ascii="CAIXA Std Book" w:hAnsi="CAIXA Std Book"/>
          <w:color w:val="005CA9"/>
          <w:sz w:val="20"/>
          <w:szCs w:val="20"/>
        </w:rPr>
        <w:t xml:space="preserve"> </w:t>
      </w:r>
      <w:r w:rsidRPr="00FF4346">
        <w:rPr>
          <w:rFonts w:ascii="CAIXA Std Book" w:hAnsi="CAIXA Std Book"/>
          <w:color w:val="005CA9"/>
          <w:sz w:val="20"/>
          <w:szCs w:val="20"/>
        </w:rPr>
        <w:t xml:space="preserve">o valor da provisão constituída é de R$ </w:t>
      </w:r>
      <w:r w:rsidR="00353BC1" w:rsidRPr="00353BC1">
        <w:rPr>
          <w:rFonts w:ascii="CAIXA Std Book" w:hAnsi="CAIXA Std Book"/>
          <w:color w:val="005CA9"/>
          <w:sz w:val="20"/>
          <w:szCs w:val="20"/>
        </w:rPr>
        <w:t xml:space="preserve">366.858 </w:t>
      </w:r>
      <w:r w:rsidRPr="00FF4346">
        <w:rPr>
          <w:rFonts w:ascii="CAIXA Std Book" w:hAnsi="CAIXA Std Book"/>
          <w:color w:val="005CA9"/>
          <w:sz w:val="20"/>
          <w:szCs w:val="20"/>
        </w:rPr>
        <w:t>(31/12/202</w:t>
      </w:r>
      <w:r w:rsidR="00C95427">
        <w:rPr>
          <w:rFonts w:ascii="CAIXA Std Book" w:hAnsi="CAIXA Std Book"/>
          <w:color w:val="005CA9"/>
          <w:sz w:val="20"/>
          <w:szCs w:val="20"/>
        </w:rPr>
        <w:t>3</w:t>
      </w:r>
      <w:r w:rsidRPr="00FF4346">
        <w:rPr>
          <w:rFonts w:ascii="CAIXA Std Book" w:hAnsi="CAIXA Std Book"/>
          <w:color w:val="005CA9"/>
          <w:sz w:val="20"/>
          <w:szCs w:val="20"/>
        </w:rPr>
        <w:t xml:space="preserve"> – R$ </w:t>
      </w:r>
      <w:r w:rsidR="00C95427">
        <w:rPr>
          <w:rFonts w:ascii="CAIXA Std Book" w:hAnsi="CAIXA Std Book"/>
          <w:color w:val="005CA9"/>
          <w:sz w:val="20"/>
          <w:szCs w:val="20"/>
        </w:rPr>
        <w:t>424.873</w:t>
      </w:r>
      <w:r w:rsidRPr="00FF4346">
        <w:rPr>
          <w:rFonts w:ascii="CAIXA Std Book" w:hAnsi="CAIXA Std Book"/>
          <w:color w:val="005CA9"/>
          <w:sz w:val="20"/>
          <w:szCs w:val="20"/>
        </w:rPr>
        <w:t>).</w:t>
      </w:r>
    </w:p>
    <w:p w14:paraId="40C4E084" w14:textId="6C1BE3D5" w:rsidR="00910878" w:rsidRPr="00FF4346" w:rsidRDefault="00F574B9"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Ainda, como destaque, a CAIXA vem discutindo a materialidade de débitos de CSLL, IRPJ e multa decorrentes de não homologações de Pedido Eletrônico de Restituição, Ressarcimento ou Reembolso e Declaração de Compensação – PER/DCOMP, os quais, em </w:t>
      </w:r>
      <w:r w:rsidR="00612045" w:rsidRPr="00FF4346">
        <w:rPr>
          <w:rFonts w:ascii="CAIXA Std Book" w:hAnsi="CAIXA Std Book"/>
          <w:color w:val="005CA9"/>
          <w:sz w:val="20"/>
          <w:szCs w:val="20"/>
        </w:rPr>
        <w:t>31/</w:t>
      </w:r>
      <w:r w:rsidR="00A776FE">
        <w:rPr>
          <w:rFonts w:ascii="CAIXA Std Book" w:hAnsi="CAIXA Std Book"/>
          <w:color w:val="005CA9"/>
          <w:sz w:val="20"/>
          <w:szCs w:val="20"/>
        </w:rPr>
        <w:t>03/2024</w:t>
      </w:r>
      <w:r w:rsidRPr="00FF4346">
        <w:rPr>
          <w:rFonts w:ascii="CAIXA Std Book" w:hAnsi="CAIXA Std Book"/>
          <w:color w:val="005CA9"/>
          <w:sz w:val="20"/>
          <w:szCs w:val="20"/>
        </w:rPr>
        <w:t>, totalizam R$</w:t>
      </w:r>
      <w:r w:rsidR="00E323E6">
        <w:rPr>
          <w:rFonts w:ascii="CAIXA Std Book" w:hAnsi="CAIXA Std Book"/>
          <w:color w:val="005CA9"/>
          <w:sz w:val="20"/>
          <w:szCs w:val="20"/>
        </w:rPr>
        <w:t xml:space="preserve"> </w:t>
      </w:r>
      <w:r w:rsidR="00E323E6" w:rsidRPr="00E323E6">
        <w:rPr>
          <w:rFonts w:ascii="CAIXA Std Book" w:hAnsi="CAIXA Std Book"/>
          <w:color w:val="005CA9"/>
          <w:sz w:val="20"/>
          <w:szCs w:val="20"/>
        </w:rPr>
        <w:t xml:space="preserve">23.694 </w:t>
      </w:r>
      <w:r w:rsidRPr="00FF4346">
        <w:rPr>
          <w:rFonts w:ascii="CAIXA Std Book" w:hAnsi="CAIXA Std Book"/>
          <w:color w:val="005CA9"/>
          <w:sz w:val="20"/>
          <w:szCs w:val="20"/>
        </w:rPr>
        <w:t>(31/12/20</w:t>
      </w:r>
      <w:r w:rsidR="00D76B25" w:rsidRPr="00FF4346">
        <w:rPr>
          <w:rFonts w:ascii="CAIXA Std Book" w:hAnsi="CAIXA Std Book"/>
          <w:color w:val="005CA9"/>
          <w:sz w:val="20"/>
          <w:szCs w:val="20"/>
        </w:rPr>
        <w:t>2</w:t>
      </w:r>
      <w:r w:rsidR="00A776FE">
        <w:rPr>
          <w:rFonts w:ascii="CAIXA Std Book" w:hAnsi="CAIXA Std Book"/>
          <w:color w:val="005CA9"/>
          <w:sz w:val="20"/>
          <w:szCs w:val="20"/>
        </w:rPr>
        <w:t>3</w:t>
      </w:r>
      <w:r w:rsidRPr="00FF4346">
        <w:rPr>
          <w:rFonts w:ascii="CAIXA Std Book" w:hAnsi="CAIXA Std Book"/>
          <w:color w:val="005CA9"/>
          <w:sz w:val="20"/>
          <w:szCs w:val="20"/>
        </w:rPr>
        <w:t xml:space="preserve"> – R$ </w:t>
      </w:r>
      <w:r w:rsidR="00A776FE">
        <w:rPr>
          <w:rFonts w:ascii="CAIXA Std Book" w:hAnsi="CAIXA Std Book"/>
          <w:color w:val="005CA9"/>
          <w:sz w:val="20"/>
          <w:szCs w:val="20"/>
        </w:rPr>
        <w:t>23.364</w:t>
      </w:r>
      <w:r w:rsidRPr="00FF4346">
        <w:rPr>
          <w:rFonts w:ascii="CAIXA Std Book" w:hAnsi="CAIXA Std Book"/>
          <w:color w:val="005CA9"/>
          <w:sz w:val="20"/>
          <w:szCs w:val="20"/>
        </w:rPr>
        <w:t>), em referência a questões procedimentais, no que, com base nos pronunciamentos jurisdicionais sobre cada matéria, a análise dos advogados foi pela constituição da provisão integral do valor</w:t>
      </w:r>
      <w:r w:rsidR="00910878" w:rsidRPr="00FF4346">
        <w:rPr>
          <w:rFonts w:ascii="CAIXA Std Book" w:hAnsi="CAIXA Std Book"/>
          <w:color w:val="005CA9"/>
          <w:sz w:val="20"/>
          <w:szCs w:val="20"/>
        </w:rPr>
        <w:t>.</w:t>
      </w:r>
    </w:p>
    <w:p w14:paraId="5BE5F13B" w14:textId="77777777" w:rsidR="00910878" w:rsidRPr="00FF4346" w:rsidRDefault="00910878" w:rsidP="004B2336">
      <w:pPr>
        <w:keepNext/>
        <w:numPr>
          <w:ilvl w:val="0"/>
          <w:numId w:val="5"/>
        </w:numPr>
        <w:spacing w:before="240" w:after="240"/>
        <w:ind w:left="567" w:hanging="567"/>
        <w:jc w:val="both"/>
        <w:rPr>
          <w:rFonts w:ascii="CAIXA Std Book" w:hAnsi="CAIXA Std Book" w:cs="MS Gothic"/>
          <w:b/>
          <w:color w:val="005CA9"/>
          <w:sz w:val="20"/>
          <w:szCs w:val="20"/>
        </w:rPr>
      </w:pPr>
      <w:r w:rsidRPr="00FF4346">
        <w:rPr>
          <w:rFonts w:ascii="CAIXA Std Book" w:hAnsi="CAIXA Std Book"/>
          <w:b/>
          <w:color w:val="005CA9"/>
          <w:sz w:val="20"/>
          <w:szCs w:val="20"/>
        </w:rPr>
        <w:t>Provisão para pré-pagamentos do crédito imobiliário com recursos do FGTS</w:t>
      </w:r>
    </w:p>
    <w:p w14:paraId="7213FFE6" w14:textId="5BE6E27F" w:rsidR="00910878" w:rsidRPr="00FF4346" w:rsidRDefault="00910878" w:rsidP="00B75364">
      <w:pPr>
        <w:pStyle w:val="PargrafodaLista"/>
        <w:spacing w:before="120" w:after="120"/>
        <w:ind w:left="0" w:right="139"/>
        <w:contextualSpacing w:val="0"/>
        <w:jc w:val="both"/>
        <w:rPr>
          <w:rFonts w:ascii="CAIXA Std Book" w:hAnsi="CAIXA Std Book"/>
          <w:color w:val="005CA9"/>
          <w:sz w:val="20"/>
          <w:szCs w:val="20"/>
        </w:rPr>
      </w:pPr>
      <w:r w:rsidRPr="00FF4346">
        <w:rPr>
          <w:rFonts w:ascii="CAIXA Std Book" w:hAnsi="CAIXA Std Book"/>
          <w:color w:val="005CA9"/>
          <w:sz w:val="20"/>
          <w:szCs w:val="20"/>
        </w:rPr>
        <w:t>Os financiamentos habitacionais</w:t>
      </w:r>
      <w:r w:rsidR="00852F54" w:rsidRPr="00FF4346">
        <w:rPr>
          <w:rFonts w:ascii="CAIXA Std Book" w:hAnsi="CAIXA Std Book"/>
          <w:color w:val="005CA9"/>
          <w:sz w:val="20"/>
          <w:szCs w:val="20"/>
        </w:rPr>
        <w:t>,</w:t>
      </w:r>
      <w:r w:rsidRPr="00FF4346">
        <w:rPr>
          <w:rFonts w:ascii="CAIXA Std Book" w:hAnsi="CAIXA Std Book"/>
          <w:color w:val="005CA9"/>
          <w:sz w:val="20"/>
          <w:szCs w:val="20"/>
        </w:rPr>
        <w:t xml:space="preserve"> concedidos com recursos do FGTS e contemplados com subsídio para redução da prestação</w:t>
      </w:r>
      <w:r w:rsidR="009832A1" w:rsidRPr="00FF4346">
        <w:rPr>
          <w:rFonts w:ascii="CAIXA Std Book" w:hAnsi="CAIXA Std Book"/>
          <w:color w:val="005CA9"/>
          <w:sz w:val="20"/>
          <w:szCs w:val="20"/>
        </w:rPr>
        <w:t>,</w:t>
      </w:r>
      <w:r w:rsidRPr="00FF4346">
        <w:rPr>
          <w:rFonts w:ascii="CAIXA Std Book" w:hAnsi="CAIXA Std Book"/>
          <w:color w:val="005CA9"/>
          <w:sz w:val="20"/>
          <w:szCs w:val="20"/>
        </w:rPr>
        <w:t xml:space="preserve"> remuneram o Agente Financeiro com pagamento total ou parcial do subsídio pelo FGTS, conforme definição descrita na Resolução do Conselho Curador do FGTS nº 702/2012 e suas atualizações.</w:t>
      </w:r>
    </w:p>
    <w:p w14:paraId="044D1D29" w14:textId="77777777" w:rsidR="00910878" w:rsidRPr="00FF4346" w:rsidRDefault="00910878" w:rsidP="00B75364">
      <w:pPr>
        <w:pStyle w:val="PargrafodaLista"/>
        <w:spacing w:before="120" w:after="120"/>
        <w:ind w:left="0" w:right="139"/>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Estes valores são repassados ao Agente Financeiro CAIXA no ato da contratação, a fim de fazer frente a todo período da operação. Alterações no fluxo inicialmente contratado, tais como liquidação antecipada, amortização extraordinária, amortização extraordinária com redução de prazo, transferência ou redução do prazo contratado do financiamento, exigem que a CAIXA devolva ao FGTS parte da remuneração recebida, proporcionalmente. </w:t>
      </w:r>
    </w:p>
    <w:p w14:paraId="1D645216" w14:textId="7E37B6C9" w:rsidR="00910878" w:rsidRPr="00FF4346" w:rsidRDefault="00910878" w:rsidP="00B75364">
      <w:pPr>
        <w:pStyle w:val="PargrafodaLista"/>
        <w:spacing w:before="120" w:after="120"/>
        <w:ind w:left="0" w:right="139"/>
        <w:contextualSpacing w:val="0"/>
        <w:jc w:val="both"/>
        <w:rPr>
          <w:rFonts w:ascii="CAIXA Std Book" w:hAnsi="CAIXA Std Book"/>
          <w:color w:val="005CA9"/>
          <w:sz w:val="20"/>
          <w:szCs w:val="20"/>
        </w:rPr>
      </w:pPr>
      <w:r w:rsidRPr="00FF4346">
        <w:rPr>
          <w:rFonts w:ascii="CAIXA Std Book" w:hAnsi="CAIXA Std Book"/>
          <w:color w:val="005CA9"/>
          <w:sz w:val="20"/>
          <w:szCs w:val="20"/>
        </w:rPr>
        <w:t xml:space="preserve">Para fazer frente </w:t>
      </w:r>
      <w:r w:rsidR="00F234EC" w:rsidRPr="00FF4346">
        <w:rPr>
          <w:rFonts w:ascii="CAIXA Std Book" w:hAnsi="CAIXA Std Book"/>
          <w:color w:val="005CA9"/>
          <w:sz w:val="20"/>
          <w:szCs w:val="20"/>
        </w:rPr>
        <w:t>a</w:t>
      </w:r>
      <w:r w:rsidRPr="00FF4346">
        <w:rPr>
          <w:rFonts w:ascii="CAIXA Std Book" w:hAnsi="CAIXA Std Book"/>
          <w:color w:val="005CA9"/>
          <w:sz w:val="20"/>
          <w:szCs w:val="20"/>
        </w:rPr>
        <w:t xml:space="preserve"> essa devolução de recursos ao FGTS</w:t>
      </w:r>
      <w:r w:rsidR="00F234EC" w:rsidRPr="00FF4346">
        <w:rPr>
          <w:rFonts w:ascii="CAIXA Std Book" w:hAnsi="CAIXA Std Book"/>
          <w:color w:val="005CA9"/>
          <w:sz w:val="20"/>
          <w:szCs w:val="20"/>
        </w:rPr>
        <w:t>,</w:t>
      </w:r>
      <w:r w:rsidRPr="00FF4346">
        <w:rPr>
          <w:rFonts w:ascii="CAIXA Std Book" w:hAnsi="CAIXA Std Book"/>
          <w:color w:val="005CA9"/>
          <w:sz w:val="20"/>
          <w:szCs w:val="20"/>
        </w:rPr>
        <w:t xml:space="preserve"> é feita a provisão para devolução de receitas em caso de pré-pagamentos. Os valores provisionados são apurados com base n</w:t>
      </w:r>
      <w:r w:rsidR="0009315A" w:rsidRPr="00FF4346">
        <w:rPr>
          <w:rFonts w:ascii="CAIXA Std Book" w:hAnsi="CAIXA Std Book"/>
          <w:color w:val="005CA9"/>
          <w:sz w:val="20"/>
          <w:szCs w:val="20"/>
        </w:rPr>
        <w:t>os</w:t>
      </w:r>
      <w:r w:rsidRPr="00FF4346">
        <w:rPr>
          <w:rFonts w:ascii="CAIXA Std Book" w:hAnsi="CAIXA Std Book"/>
          <w:color w:val="005CA9"/>
          <w:sz w:val="20"/>
          <w:szCs w:val="20"/>
        </w:rPr>
        <w:t xml:space="preserve"> fluxos médi</w:t>
      </w:r>
      <w:r w:rsidR="0009315A" w:rsidRPr="00FF4346">
        <w:rPr>
          <w:rFonts w:ascii="CAIXA Std Book" w:hAnsi="CAIXA Std Book"/>
          <w:color w:val="005CA9"/>
          <w:sz w:val="20"/>
          <w:szCs w:val="20"/>
        </w:rPr>
        <w:t>os</w:t>
      </w:r>
      <w:r w:rsidRPr="00FF4346">
        <w:rPr>
          <w:rFonts w:ascii="CAIXA Std Book" w:hAnsi="CAIXA Std Book"/>
          <w:color w:val="005CA9"/>
          <w:sz w:val="20"/>
          <w:szCs w:val="20"/>
        </w:rPr>
        <w:t xml:space="preserve"> de </w:t>
      </w:r>
      <w:r w:rsidR="00524731" w:rsidRPr="00FF4346">
        <w:rPr>
          <w:rFonts w:ascii="CAIXA Std Book" w:hAnsi="CAIXA Std Book"/>
          <w:color w:val="005CA9"/>
          <w:sz w:val="20"/>
          <w:szCs w:val="20"/>
        </w:rPr>
        <w:t>devolução de remuneração</w:t>
      </w:r>
      <w:r w:rsidRPr="00FF4346">
        <w:rPr>
          <w:rFonts w:ascii="CAIXA Std Book" w:hAnsi="CAIXA Std Book"/>
          <w:color w:val="005CA9"/>
          <w:sz w:val="20"/>
          <w:szCs w:val="20"/>
        </w:rPr>
        <w:t xml:space="preserve"> ocorridos</w:t>
      </w:r>
      <w:r w:rsidR="00751722" w:rsidRPr="00FF4346">
        <w:rPr>
          <w:rFonts w:ascii="CAIXA Std Book" w:hAnsi="CAIXA Std Book"/>
          <w:color w:val="005CA9"/>
          <w:sz w:val="20"/>
          <w:szCs w:val="20"/>
        </w:rPr>
        <w:t>,</w:t>
      </w:r>
      <w:r w:rsidRPr="00FF4346">
        <w:rPr>
          <w:rFonts w:ascii="CAIXA Std Book" w:hAnsi="CAIXA Std Book"/>
          <w:color w:val="005CA9"/>
          <w:sz w:val="20"/>
          <w:szCs w:val="20"/>
        </w:rPr>
        <w:t xml:space="preserve"> e seus respectivos impactos sobre o saldo de valores de remuneração do Agente Financeiro CAIXA. </w:t>
      </w:r>
    </w:p>
    <w:p w14:paraId="3BE75EBC" w14:textId="77777777" w:rsidR="006D0E67" w:rsidRDefault="006D0E67">
      <w:pPr>
        <w:rPr>
          <w:rFonts w:ascii="CAIXA Std Book" w:hAnsi="CAIXA Std Book"/>
          <w:b/>
          <w:color w:val="005CA9"/>
          <w:sz w:val="20"/>
          <w:szCs w:val="20"/>
        </w:rPr>
      </w:pPr>
      <w:r>
        <w:rPr>
          <w:rFonts w:ascii="CAIXA Std Book" w:hAnsi="CAIXA Std Book"/>
          <w:b/>
          <w:color w:val="005CA9"/>
          <w:sz w:val="20"/>
          <w:szCs w:val="20"/>
        </w:rPr>
        <w:br w:type="page"/>
      </w:r>
    </w:p>
    <w:p w14:paraId="1D4EEFC4" w14:textId="5067DF1E" w:rsidR="00910878" w:rsidRPr="00FF4346" w:rsidRDefault="00910878" w:rsidP="00B75364">
      <w:pPr>
        <w:keepNext/>
        <w:numPr>
          <w:ilvl w:val="0"/>
          <w:numId w:val="5"/>
        </w:numPr>
        <w:spacing w:before="240" w:after="240"/>
        <w:ind w:left="567" w:right="139" w:hanging="567"/>
        <w:jc w:val="both"/>
        <w:rPr>
          <w:rFonts w:ascii="CAIXA Std Book" w:hAnsi="CAIXA Std Book"/>
          <w:b/>
          <w:color w:val="005CA9"/>
          <w:sz w:val="20"/>
          <w:szCs w:val="20"/>
        </w:rPr>
      </w:pPr>
      <w:r w:rsidRPr="00FF4346">
        <w:rPr>
          <w:rFonts w:ascii="CAIXA Std Book" w:hAnsi="CAIXA Std Book"/>
          <w:b/>
          <w:color w:val="005CA9"/>
          <w:sz w:val="20"/>
          <w:szCs w:val="20"/>
        </w:rPr>
        <w:lastRenderedPageBreak/>
        <w:t>Provisão para devolução de recursos do Programa Bolsa Família</w:t>
      </w:r>
    </w:p>
    <w:p w14:paraId="785102AC" w14:textId="48C90082" w:rsidR="00910878" w:rsidRPr="00FF4346" w:rsidRDefault="00910878" w:rsidP="00B75364">
      <w:pPr>
        <w:tabs>
          <w:tab w:val="left" w:pos="1650"/>
        </w:tabs>
        <w:spacing w:before="120" w:after="120"/>
        <w:ind w:right="139"/>
        <w:jc w:val="both"/>
        <w:rPr>
          <w:rFonts w:ascii="CAIXA Std Book" w:hAnsi="CAIXA Std Book"/>
          <w:color w:val="005CA9"/>
          <w:sz w:val="20"/>
          <w:szCs w:val="20"/>
        </w:rPr>
      </w:pPr>
      <w:r w:rsidRPr="00D35478">
        <w:rPr>
          <w:rFonts w:ascii="CAIXA Std Book" w:hAnsi="CAIXA Std Book"/>
          <w:color w:val="005CA9"/>
          <w:sz w:val="20"/>
          <w:szCs w:val="20"/>
        </w:rPr>
        <w:t xml:space="preserve">No âmbito da prestação de serviços regida por instrumento contratual, o então Ministério do Desenvolvimento Social e Combate à Fome (MDS), atual Ministério </w:t>
      </w:r>
      <w:r w:rsidR="006B04B9" w:rsidRPr="00D35478">
        <w:rPr>
          <w:rFonts w:ascii="CAIXA Std Book" w:hAnsi="CAIXA Std Book"/>
          <w:color w:val="005CA9"/>
          <w:sz w:val="20"/>
          <w:szCs w:val="20"/>
        </w:rPr>
        <w:t>do Desenvolvimento</w:t>
      </w:r>
      <w:r w:rsidRPr="00D35478">
        <w:rPr>
          <w:rFonts w:ascii="CAIXA Std Book" w:hAnsi="CAIXA Std Book"/>
          <w:color w:val="005CA9"/>
          <w:sz w:val="20"/>
          <w:szCs w:val="20"/>
        </w:rPr>
        <w:t xml:space="preserve"> </w:t>
      </w:r>
      <w:r w:rsidR="002F3219" w:rsidRPr="00D35478">
        <w:rPr>
          <w:rFonts w:ascii="CAIXA Std Book" w:hAnsi="CAIXA Std Book"/>
          <w:color w:val="005CA9"/>
          <w:sz w:val="20"/>
          <w:szCs w:val="20"/>
        </w:rPr>
        <w:t>e Assistência Social, Família e Combate à Fome</w:t>
      </w:r>
      <w:r w:rsidRPr="00D35478">
        <w:rPr>
          <w:rFonts w:ascii="CAIXA Std Book" w:hAnsi="CAIXA Std Book"/>
          <w:color w:val="005CA9"/>
          <w:sz w:val="20"/>
          <w:szCs w:val="20"/>
        </w:rPr>
        <w:t xml:space="preserve"> (M</w:t>
      </w:r>
      <w:r w:rsidR="00FC0CA1" w:rsidRPr="00D35478">
        <w:rPr>
          <w:rFonts w:ascii="CAIXA Std Book" w:hAnsi="CAIXA Std Book"/>
          <w:color w:val="005CA9"/>
          <w:sz w:val="20"/>
          <w:szCs w:val="20"/>
        </w:rPr>
        <w:t>DS</w:t>
      </w:r>
      <w:r w:rsidRPr="00D35478">
        <w:rPr>
          <w:rFonts w:ascii="CAIXA Std Book" w:hAnsi="CAIXA Std Book"/>
          <w:color w:val="005CA9"/>
          <w:sz w:val="20"/>
          <w:szCs w:val="20"/>
        </w:rPr>
        <w:t>) apresentou à CAIXA solicitação de restituição de valores referentes ao Programa Bolsa Família.</w:t>
      </w:r>
      <w:r w:rsidR="00FC0CA1" w:rsidRPr="00D35478">
        <w:rPr>
          <w:rFonts w:ascii="CAIXA Std Book" w:hAnsi="CAIXA Std Book"/>
          <w:color w:val="005CA9"/>
          <w:sz w:val="20"/>
          <w:szCs w:val="20"/>
        </w:rPr>
        <w:t xml:space="preserve"> Os valores </w:t>
      </w:r>
      <w:r w:rsidR="006B010C" w:rsidRPr="00D35478">
        <w:rPr>
          <w:rFonts w:ascii="CAIXA Std Book" w:hAnsi="CAIXA Std Book"/>
          <w:color w:val="005CA9"/>
          <w:sz w:val="20"/>
          <w:szCs w:val="20"/>
        </w:rPr>
        <w:t xml:space="preserve">provisionados foram restituídos ao MDS em </w:t>
      </w:r>
      <w:r w:rsidR="00706F2B" w:rsidRPr="00D35478">
        <w:rPr>
          <w:rFonts w:ascii="CAIXA Std Book" w:hAnsi="CAIXA Std Book"/>
          <w:color w:val="005CA9"/>
          <w:sz w:val="20"/>
          <w:szCs w:val="20"/>
        </w:rPr>
        <w:t>08/01/2024</w:t>
      </w:r>
      <w:r w:rsidR="00C06F9D" w:rsidRPr="00D35478">
        <w:rPr>
          <w:rFonts w:ascii="CAIXA Std Book" w:hAnsi="CAIXA Std Book"/>
          <w:color w:val="005CA9"/>
          <w:sz w:val="20"/>
          <w:szCs w:val="20"/>
        </w:rPr>
        <w:t>,</w:t>
      </w:r>
      <w:r w:rsidR="00B92DDB" w:rsidRPr="00D35478">
        <w:rPr>
          <w:rFonts w:ascii="CAIXA Std Book" w:hAnsi="CAIXA Std Book"/>
          <w:color w:val="005CA9"/>
          <w:sz w:val="20"/>
          <w:szCs w:val="20"/>
        </w:rPr>
        <w:t xml:space="preserve"> conforme Negócio Jurídico Processual</w:t>
      </w:r>
      <w:r w:rsidR="00B92DDB">
        <w:rPr>
          <w:rFonts w:ascii="CAIXA Std Book" w:hAnsi="CAIXA Std Book"/>
          <w:color w:val="005CA9"/>
          <w:sz w:val="20"/>
          <w:szCs w:val="20"/>
        </w:rPr>
        <w:t xml:space="preserve"> firmado </w:t>
      </w:r>
      <w:r w:rsidR="00C06F9D">
        <w:rPr>
          <w:rFonts w:ascii="CAIXA Std Book" w:hAnsi="CAIXA Std Book"/>
          <w:color w:val="005CA9"/>
          <w:sz w:val="20"/>
          <w:szCs w:val="20"/>
        </w:rPr>
        <w:t xml:space="preserve">entre a CAIXA e o ministério no </w:t>
      </w:r>
      <w:proofErr w:type="spellStart"/>
      <w:r w:rsidR="00C06F9D">
        <w:rPr>
          <w:rFonts w:ascii="CAIXA Std Book" w:hAnsi="CAIXA Std Book"/>
          <w:color w:val="005CA9"/>
          <w:sz w:val="20"/>
          <w:szCs w:val="20"/>
        </w:rPr>
        <w:t>àmbito</w:t>
      </w:r>
      <w:proofErr w:type="spellEnd"/>
      <w:r w:rsidR="00C06F9D">
        <w:rPr>
          <w:rFonts w:ascii="CAIXA Std Book" w:hAnsi="CAIXA Std Book"/>
          <w:color w:val="005CA9"/>
          <w:sz w:val="20"/>
          <w:szCs w:val="20"/>
        </w:rPr>
        <w:t xml:space="preserve"> da Procuradoria Geral da Fazenda Nacional (PGFN).</w:t>
      </w:r>
    </w:p>
    <w:bookmarkEnd w:id="95"/>
    <w:p w14:paraId="56E083D5" w14:textId="25B9AE64" w:rsidR="00910878" w:rsidRPr="00FF4346" w:rsidRDefault="00910878" w:rsidP="000A0C0B">
      <w:pPr>
        <w:keepNext/>
        <w:numPr>
          <w:ilvl w:val="0"/>
          <w:numId w:val="5"/>
        </w:numPr>
        <w:spacing w:before="240" w:after="240"/>
        <w:ind w:left="567" w:right="139" w:hanging="567"/>
        <w:jc w:val="both"/>
        <w:rPr>
          <w:rFonts w:ascii="CAIXA Std Book" w:hAnsi="CAIXA Std Book"/>
          <w:b/>
          <w:color w:val="005CA9"/>
          <w:sz w:val="20"/>
          <w:szCs w:val="20"/>
        </w:rPr>
      </w:pPr>
      <w:r w:rsidRPr="00FF4346">
        <w:rPr>
          <w:rFonts w:ascii="CAIXA Std Book" w:hAnsi="CAIXA Std Book"/>
          <w:b/>
          <w:color w:val="005CA9"/>
          <w:sz w:val="20"/>
          <w:szCs w:val="20"/>
        </w:rPr>
        <w:t>Garantias financeiras prestadas</w:t>
      </w:r>
    </w:p>
    <w:tbl>
      <w:tblPr>
        <w:tblW w:w="5000" w:type="pct"/>
        <w:tblCellMar>
          <w:left w:w="70" w:type="dxa"/>
          <w:right w:w="70" w:type="dxa"/>
        </w:tblCellMar>
        <w:tblLook w:val="04A0" w:firstRow="1" w:lastRow="0" w:firstColumn="1" w:lastColumn="0" w:noHBand="0" w:noVBand="1"/>
      </w:tblPr>
      <w:tblGrid>
        <w:gridCol w:w="3542"/>
        <w:gridCol w:w="1522"/>
        <w:gridCol w:w="1523"/>
        <w:gridCol w:w="1523"/>
        <w:gridCol w:w="1527"/>
      </w:tblGrid>
      <w:tr w:rsidR="003B2B2A" w:rsidRPr="00A33766" w14:paraId="7C11A5FC" w14:textId="77777777" w:rsidTr="000A3882">
        <w:trPr>
          <w:trHeight w:val="283"/>
        </w:trPr>
        <w:tc>
          <w:tcPr>
            <w:tcW w:w="5000" w:type="pct"/>
            <w:gridSpan w:val="5"/>
            <w:tcBorders>
              <w:top w:val="single" w:sz="4" w:space="0" w:color="F39200"/>
              <w:left w:val="nil"/>
              <w:bottom w:val="single" w:sz="4" w:space="0" w:color="F39200"/>
              <w:right w:val="nil"/>
            </w:tcBorders>
            <w:shd w:val="clear" w:color="auto" w:fill="auto"/>
            <w:vAlign w:val="center"/>
            <w:hideMark/>
          </w:tcPr>
          <w:p w14:paraId="2EF159E0" w14:textId="77777777" w:rsidR="00CD65E9" w:rsidRPr="00FF4346" w:rsidRDefault="00CD65E9" w:rsidP="00CD65E9">
            <w:pPr>
              <w:jc w:val="center"/>
              <w:rPr>
                <w:rFonts w:ascii="CAIXA Std Book" w:eastAsia="Times New Roman" w:hAnsi="CAIXA Std Book" w:cs="Arial"/>
                <w:b/>
                <w:bCs/>
                <w:color w:val="005CA9"/>
                <w:sz w:val="18"/>
                <w:szCs w:val="18"/>
              </w:rPr>
            </w:pPr>
            <w:bookmarkStart w:id="96" w:name="_Hlk65762435"/>
            <w:r w:rsidRPr="00FF4346">
              <w:rPr>
                <w:rFonts w:ascii="CAIXA Std Book" w:eastAsia="Times New Roman" w:hAnsi="CAIXA Std Book" w:cs="Arial"/>
                <w:b/>
                <w:bCs/>
                <w:color w:val="005CA9"/>
                <w:sz w:val="18"/>
                <w:szCs w:val="18"/>
              </w:rPr>
              <w:t>INDIVIDUAL / CONSOLIDADO</w:t>
            </w:r>
          </w:p>
        </w:tc>
      </w:tr>
      <w:tr w:rsidR="003B2B2A" w:rsidRPr="00A33766" w14:paraId="12714D54" w14:textId="77777777" w:rsidTr="000A3882">
        <w:trPr>
          <w:trHeight w:val="283"/>
        </w:trPr>
        <w:tc>
          <w:tcPr>
            <w:tcW w:w="5000" w:type="pct"/>
            <w:gridSpan w:val="5"/>
            <w:tcBorders>
              <w:top w:val="single" w:sz="4" w:space="0" w:color="F39200"/>
              <w:left w:val="nil"/>
              <w:bottom w:val="single" w:sz="4" w:space="0" w:color="F39200"/>
              <w:right w:val="nil"/>
            </w:tcBorders>
            <w:shd w:val="clear" w:color="auto" w:fill="auto"/>
            <w:vAlign w:val="center"/>
            <w:hideMark/>
          </w:tcPr>
          <w:p w14:paraId="4C19BCEA"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Exposição de Garantias Prestadas</w:t>
            </w:r>
          </w:p>
        </w:tc>
      </w:tr>
      <w:tr w:rsidR="003B2B2A" w:rsidRPr="00A33766" w14:paraId="1FEFC78F" w14:textId="77777777" w:rsidTr="003A43C2">
        <w:trPr>
          <w:trHeight w:val="283"/>
        </w:trPr>
        <w:tc>
          <w:tcPr>
            <w:tcW w:w="1838" w:type="pct"/>
            <w:vMerge w:val="restart"/>
            <w:tcBorders>
              <w:top w:val="nil"/>
              <w:left w:val="nil"/>
              <w:bottom w:val="single" w:sz="4" w:space="0" w:color="F39200"/>
              <w:right w:val="nil"/>
            </w:tcBorders>
            <w:shd w:val="clear" w:color="auto" w:fill="auto"/>
            <w:vAlign w:val="center"/>
            <w:hideMark/>
          </w:tcPr>
          <w:p w14:paraId="1FB04DB5"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Carteira</w:t>
            </w:r>
          </w:p>
        </w:tc>
        <w:tc>
          <w:tcPr>
            <w:tcW w:w="1580" w:type="pct"/>
            <w:gridSpan w:val="2"/>
            <w:tcBorders>
              <w:top w:val="nil"/>
              <w:left w:val="nil"/>
              <w:bottom w:val="nil"/>
              <w:right w:val="nil"/>
            </w:tcBorders>
            <w:shd w:val="clear" w:color="auto" w:fill="auto"/>
            <w:vAlign w:val="center"/>
            <w:hideMark/>
          </w:tcPr>
          <w:p w14:paraId="49A1E974" w14:textId="7E65580C" w:rsidR="00CD65E9" w:rsidRPr="00FF4346" w:rsidRDefault="00612045"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sidR="00C072D2">
              <w:rPr>
                <w:rFonts w:ascii="CAIXA Std Book" w:eastAsia="Times New Roman" w:hAnsi="CAIXA Std Book" w:cs="Arial"/>
                <w:b/>
                <w:bCs/>
                <w:color w:val="005CA9"/>
                <w:sz w:val="18"/>
                <w:szCs w:val="18"/>
              </w:rPr>
              <w:t>03</w:t>
            </w:r>
            <w:r w:rsidRPr="00FF4346">
              <w:rPr>
                <w:rFonts w:ascii="CAIXA Std Book" w:eastAsia="Times New Roman" w:hAnsi="CAIXA Std Book" w:cs="Arial"/>
                <w:b/>
                <w:bCs/>
                <w:color w:val="005CA9"/>
                <w:sz w:val="18"/>
                <w:szCs w:val="18"/>
              </w:rPr>
              <w:t>/202</w:t>
            </w:r>
            <w:r w:rsidR="00C072D2">
              <w:rPr>
                <w:rFonts w:ascii="CAIXA Std Book" w:eastAsia="Times New Roman" w:hAnsi="CAIXA Std Book" w:cs="Arial"/>
                <w:b/>
                <w:bCs/>
                <w:color w:val="005CA9"/>
                <w:sz w:val="18"/>
                <w:szCs w:val="18"/>
              </w:rPr>
              <w:t>4</w:t>
            </w:r>
          </w:p>
        </w:tc>
        <w:tc>
          <w:tcPr>
            <w:tcW w:w="1581" w:type="pct"/>
            <w:gridSpan w:val="2"/>
            <w:tcBorders>
              <w:top w:val="nil"/>
              <w:left w:val="nil"/>
              <w:bottom w:val="nil"/>
              <w:right w:val="nil"/>
            </w:tcBorders>
            <w:shd w:val="clear" w:color="auto" w:fill="auto"/>
            <w:vAlign w:val="center"/>
            <w:hideMark/>
          </w:tcPr>
          <w:p w14:paraId="6385D2AB" w14:textId="57E1CAD1"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w:t>
            </w:r>
            <w:r w:rsidR="00C072D2">
              <w:rPr>
                <w:rFonts w:ascii="CAIXA Std Book" w:eastAsia="Times New Roman" w:hAnsi="CAIXA Std Book" w:cs="Arial"/>
                <w:b/>
                <w:bCs/>
                <w:color w:val="005CA9"/>
                <w:sz w:val="18"/>
                <w:szCs w:val="18"/>
              </w:rPr>
              <w:t>3</w:t>
            </w:r>
          </w:p>
        </w:tc>
      </w:tr>
      <w:tr w:rsidR="003B2B2A" w:rsidRPr="00A33766" w14:paraId="0429F2A2" w14:textId="77777777" w:rsidTr="003A43C2">
        <w:trPr>
          <w:trHeight w:val="66"/>
        </w:trPr>
        <w:tc>
          <w:tcPr>
            <w:tcW w:w="1838" w:type="pct"/>
            <w:vMerge/>
            <w:tcBorders>
              <w:top w:val="nil"/>
              <w:left w:val="nil"/>
              <w:bottom w:val="single" w:sz="4" w:space="0" w:color="F39200"/>
              <w:right w:val="nil"/>
            </w:tcBorders>
            <w:vAlign w:val="center"/>
            <w:hideMark/>
          </w:tcPr>
          <w:p w14:paraId="4CC77FD5" w14:textId="77777777" w:rsidR="00CD65E9" w:rsidRPr="00FF4346" w:rsidRDefault="00CD65E9" w:rsidP="00CD65E9">
            <w:pPr>
              <w:rPr>
                <w:rFonts w:ascii="CAIXA Std Book" w:eastAsia="Times New Roman" w:hAnsi="CAIXA Std Book" w:cs="Arial"/>
                <w:b/>
                <w:bCs/>
                <w:color w:val="005CA9"/>
                <w:sz w:val="18"/>
                <w:szCs w:val="18"/>
              </w:rPr>
            </w:pPr>
          </w:p>
        </w:tc>
        <w:tc>
          <w:tcPr>
            <w:tcW w:w="790" w:type="pct"/>
            <w:tcBorders>
              <w:top w:val="single" w:sz="4" w:space="0" w:color="F39200"/>
              <w:left w:val="nil"/>
              <w:bottom w:val="single" w:sz="4" w:space="0" w:color="F39200"/>
              <w:right w:val="nil"/>
            </w:tcBorders>
            <w:shd w:val="clear" w:color="auto" w:fill="auto"/>
            <w:vAlign w:val="center"/>
            <w:hideMark/>
          </w:tcPr>
          <w:p w14:paraId="1C7FE1C7"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Exposição</w:t>
            </w:r>
          </w:p>
        </w:tc>
        <w:tc>
          <w:tcPr>
            <w:tcW w:w="790" w:type="pct"/>
            <w:tcBorders>
              <w:top w:val="single" w:sz="4" w:space="0" w:color="F39200"/>
              <w:left w:val="nil"/>
              <w:bottom w:val="single" w:sz="4" w:space="0" w:color="F39200"/>
              <w:right w:val="nil"/>
            </w:tcBorders>
            <w:shd w:val="clear" w:color="auto" w:fill="auto"/>
            <w:vAlign w:val="center"/>
            <w:hideMark/>
          </w:tcPr>
          <w:p w14:paraId="71054923"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Provisão</w:t>
            </w:r>
          </w:p>
        </w:tc>
        <w:tc>
          <w:tcPr>
            <w:tcW w:w="790" w:type="pct"/>
            <w:tcBorders>
              <w:top w:val="single" w:sz="4" w:space="0" w:color="F39200"/>
              <w:left w:val="nil"/>
              <w:bottom w:val="single" w:sz="4" w:space="0" w:color="F39200"/>
              <w:right w:val="nil"/>
            </w:tcBorders>
            <w:shd w:val="clear" w:color="auto" w:fill="auto"/>
            <w:vAlign w:val="center"/>
            <w:hideMark/>
          </w:tcPr>
          <w:p w14:paraId="72D3A63E"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Exposição</w:t>
            </w:r>
          </w:p>
        </w:tc>
        <w:tc>
          <w:tcPr>
            <w:tcW w:w="791" w:type="pct"/>
            <w:tcBorders>
              <w:top w:val="single" w:sz="4" w:space="0" w:color="F39200"/>
              <w:left w:val="nil"/>
              <w:bottom w:val="single" w:sz="4" w:space="0" w:color="F39200"/>
              <w:right w:val="nil"/>
            </w:tcBorders>
            <w:shd w:val="clear" w:color="auto" w:fill="auto"/>
            <w:vAlign w:val="center"/>
            <w:hideMark/>
          </w:tcPr>
          <w:p w14:paraId="3C9D9355" w14:textId="77777777" w:rsidR="00CD65E9" w:rsidRPr="00FF4346" w:rsidRDefault="00CD65E9" w:rsidP="00CD65E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Provisão</w:t>
            </w:r>
          </w:p>
        </w:tc>
      </w:tr>
      <w:tr w:rsidR="00997D65" w:rsidRPr="00A33766" w14:paraId="7AAB385A" w14:textId="77777777" w:rsidTr="003A43C2">
        <w:trPr>
          <w:trHeight w:val="283"/>
        </w:trPr>
        <w:tc>
          <w:tcPr>
            <w:tcW w:w="1838" w:type="pct"/>
            <w:tcBorders>
              <w:top w:val="nil"/>
              <w:left w:val="nil"/>
              <w:bottom w:val="nil"/>
              <w:right w:val="nil"/>
            </w:tcBorders>
            <w:shd w:val="clear" w:color="auto" w:fill="auto"/>
            <w:noWrap/>
            <w:vAlign w:val="center"/>
            <w:hideMark/>
          </w:tcPr>
          <w:p w14:paraId="584DE0A8" w14:textId="77777777" w:rsidR="00997D65" w:rsidRPr="00FF4346" w:rsidRDefault="00997D65" w:rsidP="00997D6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Repasses - Entidades</w:t>
            </w:r>
          </w:p>
        </w:tc>
        <w:tc>
          <w:tcPr>
            <w:tcW w:w="790" w:type="pct"/>
            <w:tcBorders>
              <w:top w:val="nil"/>
              <w:left w:val="nil"/>
              <w:bottom w:val="nil"/>
              <w:right w:val="nil"/>
            </w:tcBorders>
            <w:shd w:val="clear" w:color="auto" w:fill="auto"/>
            <w:vAlign w:val="center"/>
          </w:tcPr>
          <w:p w14:paraId="3EB06286" w14:textId="276EA105" w:rsidR="00997D65" w:rsidRPr="00FF4346" w:rsidRDefault="00CE49F4" w:rsidP="00997D65">
            <w:pPr>
              <w:jc w:val="right"/>
              <w:rPr>
                <w:rFonts w:ascii="CAIXA Std Book" w:eastAsia="Times New Roman" w:hAnsi="CAIXA Std Book" w:cs="Arial"/>
                <w:color w:val="005CA9"/>
                <w:sz w:val="18"/>
                <w:szCs w:val="18"/>
              </w:rPr>
            </w:pPr>
            <w:r w:rsidRPr="00CE49F4">
              <w:rPr>
                <w:rFonts w:ascii="CAIXA Std Book" w:eastAsia="Times New Roman" w:hAnsi="CAIXA Std Book" w:cs="Arial"/>
                <w:color w:val="005CA9"/>
                <w:sz w:val="18"/>
                <w:szCs w:val="18"/>
              </w:rPr>
              <w:t>30.446.785</w:t>
            </w:r>
          </w:p>
        </w:tc>
        <w:tc>
          <w:tcPr>
            <w:tcW w:w="790" w:type="pct"/>
            <w:tcBorders>
              <w:top w:val="nil"/>
              <w:left w:val="nil"/>
              <w:bottom w:val="nil"/>
              <w:right w:val="nil"/>
            </w:tcBorders>
            <w:shd w:val="clear" w:color="auto" w:fill="auto"/>
            <w:vAlign w:val="center"/>
          </w:tcPr>
          <w:p w14:paraId="0FC09230" w14:textId="6D161EC8" w:rsidR="00997D65" w:rsidRPr="00FF4346" w:rsidRDefault="003A43C2" w:rsidP="00997D65">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FF088B">
              <w:rPr>
                <w:rFonts w:ascii="CAIXA Std Book" w:eastAsia="Times New Roman" w:hAnsi="CAIXA Std Book" w:cs="Arial"/>
                <w:color w:val="005CA9"/>
                <w:sz w:val="18"/>
                <w:szCs w:val="18"/>
              </w:rPr>
              <w:t>38.388</w:t>
            </w:r>
            <w:r>
              <w:rPr>
                <w:rFonts w:ascii="CAIXA Std Book" w:eastAsia="Times New Roman" w:hAnsi="CAIXA Std Book" w:cs="Arial"/>
                <w:color w:val="005CA9"/>
                <w:sz w:val="18"/>
                <w:szCs w:val="18"/>
              </w:rPr>
              <w:t>)</w:t>
            </w:r>
          </w:p>
        </w:tc>
        <w:tc>
          <w:tcPr>
            <w:tcW w:w="790" w:type="pct"/>
            <w:tcBorders>
              <w:top w:val="nil"/>
              <w:left w:val="nil"/>
              <w:bottom w:val="nil"/>
              <w:right w:val="nil"/>
            </w:tcBorders>
            <w:shd w:val="clear" w:color="auto" w:fill="auto"/>
            <w:vAlign w:val="center"/>
            <w:hideMark/>
          </w:tcPr>
          <w:p w14:paraId="69B4F74E" w14:textId="169CDB37" w:rsidR="00997D65" w:rsidRPr="00FF4346" w:rsidRDefault="0009702B" w:rsidP="00997D65">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30.770.079</w:t>
            </w:r>
          </w:p>
        </w:tc>
        <w:tc>
          <w:tcPr>
            <w:tcW w:w="791" w:type="pct"/>
            <w:tcBorders>
              <w:top w:val="nil"/>
              <w:left w:val="nil"/>
              <w:bottom w:val="nil"/>
              <w:right w:val="nil"/>
            </w:tcBorders>
            <w:shd w:val="clear" w:color="auto" w:fill="auto"/>
            <w:vAlign w:val="center"/>
            <w:hideMark/>
          </w:tcPr>
          <w:p w14:paraId="5E804A32" w14:textId="13A6B393" w:rsidR="00997D65" w:rsidRPr="00FF4346" w:rsidRDefault="0009702B" w:rsidP="00997D65">
            <w:pPr>
              <w:jc w:val="right"/>
              <w:rPr>
                <w:rFonts w:ascii="CAIXA Std Book" w:eastAsia="Times New Roman" w:hAnsi="CAIXA Std Book" w:cs="Arial"/>
                <w:color w:val="005CA9"/>
                <w:sz w:val="18"/>
                <w:szCs w:val="18"/>
              </w:rPr>
            </w:pPr>
            <w:r>
              <w:rPr>
                <w:rFonts w:ascii="CAIXA Std Book" w:hAnsi="CAIXA Std Book" w:cs="Arial"/>
                <w:color w:val="005CA9"/>
                <w:sz w:val="18"/>
                <w:szCs w:val="18"/>
              </w:rPr>
              <w:t>(</w:t>
            </w:r>
            <w:r w:rsidRPr="00885F47">
              <w:rPr>
                <w:rFonts w:ascii="CAIXA Std Book" w:hAnsi="CAIXA Std Book" w:cs="Arial"/>
                <w:color w:val="005CA9"/>
                <w:sz w:val="18"/>
                <w:szCs w:val="18"/>
              </w:rPr>
              <w:t>43.121</w:t>
            </w:r>
            <w:r>
              <w:rPr>
                <w:rFonts w:ascii="CAIXA Std Book" w:hAnsi="CAIXA Std Book" w:cs="Arial"/>
                <w:color w:val="005CA9"/>
                <w:sz w:val="18"/>
                <w:szCs w:val="18"/>
              </w:rPr>
              <w:t>)</w:t>
            </w:r>
          </w:p>
        </w:tc>
      </w:tr>
      <w:tr w:rsidR="00997D65" w:rsidRPr="00A33766" w14:paraId="5765DDEC" w14:textId="77777777" w:rsidTr="003A43C2">
        <w:trPr>
          <w:trHeight w:val="283"/>
        </w:trPr>
        <w:tc>
          <w:tcPr>
            <w:tcW w:w="1838" w:type="pct"/>
            <w:tcBorders>
              <w:top w:val="nil"/>
              <w:left w:val="nil"/>
              <w:bottom w:val="nil"/>
              <w:right w:val="nil"/>
            </w:tcBorders>
            <w:shd w:val="clear" w:color="auto" w:fill="auto"/>
            <w:noWrap/>
            <w:vAlign w:val="center"/>
            <w:hideMark/>
          </w:tcPr>
          <w:p w14:paraId="7709622D" w14:textId="77777777" w:rsidR="00997D65" w:rsidRPr="00FF4346" w:rsidRDefault="00997D65" w:rsidP="00997D6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FIES</w:t>
            </w:r>
          </w:p>
        </w:tc>
        <w:tc>
          <w:tcPr>
            <w:tcW w:w="790" w:type="pct"/>
            <w:tcBorders>
              <w:top w:val="nil"/>
              <w:left w:val="nil"/>
              <w:bottom w:val="nil"/>
              <w:right w:val="nil"/>
            </w:tcBorders>
            <w:shd w:val="clear" w:color="auto" w:fill="auto"/>
            <w:vAlign w:val="center"/>
          </w:tcPr>
          <w:p w14:paraId="3E085780" w14:textId="6223D1C1" w:rsidR="00997D65" w:rsidRPr="00FF4346" w:rsidRDefault="003A43C2" w:rsidP="00997D65">
            <w:pPr>
              <w:jc w:val="right"/>
              <w:rPr>
                <w:rFonts w:ascii="CAIXA Std Book" w:eastAsia="Times New Roman" w:hAnsi="CAIXA Std Book" w:cs="Arial"/>
                <w:color w:val="005CA9"/>
                <w:sz w:val="18"/>
                <w:szCs w:val="18"/>
              </w:rPr>
            </w:pPr>
            <w:r w:rsidRPr="006B7658">
              <w:rPr>
                <w:rFonts w:ascii="CAIXA Std Book" w:eastAsia="Times New Roman" w:hAnsi="CAIXA Std Book" w:cs="Arial"/>
                <w:color w:val="005CA9"/>
                <w:sz w:val="18"/>
                <w:szCs w:val="18"/>
              </w:rPr>
              <w:t>161.783</w:t>
            </w:r>
          </w:p>
        </w:tc>
        <w:tc>
          <w:tcPr>
            <w:tcW w:w="790" w:type="pct"/>
            <w:tcBorders>
              <w:top w:val="nil"/>
              <w:left w:val="nil"/>
              <w:bottom w:val="nil"/>
              <w:right w:val="nil"/>
            </w:tcBorders>
            <w:shd w:val="clear" w:color="auto" w:fill="auto"/>
            <w:vAlign w:val="center"/>
          </w:tcPr>
          <w:p w14:paraId="6111ACC7" w14:textId="329D8E48" w:rsidR="00997D65" w:rsidRPr="00FF4346" w:rsidRDefault="003A43C2" w:rsidP="00997D65">
            <w:pPr>
              <w:jc w:val="right"/>
              <w:rPr>
                <w:rFonts w:ascii="CAIXA Std Book" w:eastAsia="Times New Roman" w:hAnsi="CAIXA Std Book" w:cs="Arial"/>
                <w:color w:val="005CA9"/>
                <w:sz w:val="18"/>
                <w:szCs w:val="18"/>
              </w:rPr>
            </w:pPr>
            <w:r>
              <w:rPr>
                <w:rFonts w:ascii="CAIXA Std Book" w:eastAsia="Times New Roman" w:hAnsi="CAIXA Std Book" w:cs="Arial"/>
                <w:color w:val="005CA9"/>
                <w:sz w:val="18"/>
                <w:szCs w:val="18"/>
              </w:rPr>
              <w:t>(</w:t>
            </w:r>
            <w:r w:rsidRPr="00B313D8">
              <w:rPr>
                <w:rFonts w:ascii="CAIXA Std Book" w:eastAsia="Times New Roman" w:hAnsi="CAIXA Std Book" w:cs="Arial"/>
                <w:color w:val="005CA9"/>
                <w:sz w:val="18"/>
                <w:szCs w:val="18"/>
              </w:rPr>
              <w:t>41.580</w:t>
            </w:r>
            <w:r>
              <w:rPr>
                <w:rFonts w:ascii="CAIXA Std Book" w:eastAsia="Times New Roman" w:hAnsi="CAIXA Std Book" w:cs="Arial"/>
                <w:color w:val="005CA9"/>
                <w:sz w:val="18"/>
                <w:szCs w:val="18"/>
              </w:rPr>
              <w:t>)</w:t>
            </w:r>
          </w:p>
        </w:tc>
        <w:tc>
          <w:tcPr>
            <w:tcW w:w="790" w:type="pct"/>
            <w:tcBorders>
              <w:top w:val="nil"/>
              <w:left w:val="nil"/>
              <w:bottom w:val="nil"/>
              <w:right w:val="nil"/>
            </w:tcBorders>
            <w:shd w:val="clear" w:color="auto" w:fill="auto"/>
            <w:vAlign w:val="center"/>
            <w:hideMark/>
          </w:tcPr>
          <w:p w14:paraId="7E1E41FB" w14:textId="596050D1" w:rsidR="00997D65" w:rsidRPr="00FF4346" w:rsidRDefault="0009702B" w:rsidP="00997D65">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164.344</w:t>
            </w:r>
          </w:p>
        </w:tc>
        <w:tc>
          <w:tcPr>
            <w:tcW w:w="791" w:type="pct"/>
            <w:tcBorders>
              <w:top w:val="nil"/>
              <w:left w:val="nil"/>
              <w:bottom w:val="nil"/>
              <w:right w:val="nil"/>
            </w:tcBorders>
            <w:shd w:val="clear" w:color="auto" w:fill="auto"/>
            <w:vAlign w:val="center"/>
            <w:hideMark/>
          </w:tcPr>
          <w:p w14:paraId="69D62567" w14:textId="2C54DD7F" w:rsidR="00997D65" w:rsidRPr="00FF4346" w:rsidRDefault="0009702B" w:rsidP="00997D65">
            <w:pPr>
              <w:jc w:val="right"/>
              <w:rPr>
                <w:rFonts w:ascii="CAIXA Std Book" w:eastAsia="Times New Roman" w:hAnsi="CAIXA Std Book" w:cs="Arial"/>
                <w:color w:val="005CA9"/>
                <w:sz w:val="18"/>
                <w:szCs w:val="18"/>
              </w:rPr>
            </w:pPr>
            <w:r>
              <w:rPr>
                <w:rFonts w:ascii="CAIXA Std Book" w:hAnsi="CAIXA Std Book" w:cs="Arial"/>
                <w:color w:val="005CA9"/>
                <w:sz w:val="18"/>
                <w:szCs w:val="18"/>
              </w:rPr>
              <w:t>(</w:t>
            </w:r>
            <w:r w:rsidRPr="00885F47">
              <w:rPr>
                <w:rFonts w:ascii="CAIXA Std Book" w:hAnsi="CAIXA Std Book" w:cs="Arial"/>
                <w:color w:val="005CA9"/>
                <w:sz w:val="18"/>
                <w:szCs w:val="18"/>
              </w:rPr>
              <w:t>37.123</w:t>
            </w:r>
            <w:r>
              <w:rPr>
                <w:rFonts w:ascii="CAIXA Std Book" w:hAnsi="CAIXA Std Book" w:cs="Arial"/>
                <w:color w:val="005CA9"/>
                <w:sz w:val="18"/>
                <w:szCs w:val="18"/>
              </w:rPr>
              <w:t>)</w:t>
            </w:r>
          </w:p>
        </w:tc>
      </w:tr>
      <w:tr w:rsidR="00997D65" w:rsidRPr="00A33766" w14:paraId="1643726B" w14:textId="77777777" w:rsidTr="00885F47">
        <w:trPr>
          <w:trHeight w:val="283"/>
        </w:trPr>
        <w:tc>
          <w:tcPr>
            <w:tcW w:w="1838" w:type="pct"/>
            <w:tcBorders>
              <w:top w:val="nil"/>
              <w:left w:val="nil"/>
              <w:bottom w:val="single" w:sz="4" w:space="0" w:color="F39200"/>
              <w:right w:val="nil"/>
            </w:tcBorders>
            <w:shd w:val="clear" w:color="auto" w:fill="auto"/>
            <w:noWrap/>
            <w:vAlign w:val="center"/>
            <w:hideMark/>
          </w:tcPr>
          <w:p w14:paraId="79FF8A16" w14:textId="77777777" w:rsidR="00997D65" w:rsidRPr="00FF4346" w:rsidRDefault="00997D65" w:rsidP="00997D65">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PAR (Recursos FAR) (1)</w:t>
            </w:r>
          </w:p>
        </w:tc>
        <w:tc>
          <w:tcPr>
            <w:tcW w:w="790" w:type="pct"/>
            <w:tcBorders>
              <w:top w:val="nil"/>
              <w:left w:val="nil"/>
              <w:bottom w:val="single" w:sz="4" w:space="0" w:color="F39200"/>
              <w:right w:val="nil"/>
            </w:tcBorders>
            <w:shd w:val="clear" w:color="auto" w:fill="auto"/>
            <w:vAlign w:val="center"/>
          </w:tcPr>
          <w:p w14:paraId="5B6168A6" w14:textId="480EB4E0" w:rsidR="00997D65" w:rsidRPr="00FF4346" w:rsidRDefault="003A43C2" w:rsidP="00997D65">
            <w:pPr>
              <w:jc w:val="right"/>
              <w:rPr>
                <w:rFonts w:ascii="CAIXA Std Book" w:eastAsia="Times New Roman" w:hAnsi="CAIXA Std Book" w:cs="Arial"/>
                <w:color w:val="005CA9"/>
                <w:sz w:val="18"/>
                <w:szCs w:val="18"/>
              </w:rPr>
            </w:pPr>
            <w:r w:rsidRPr="00A13410">
              <w:rPr>
                <w:rFonts w:ascii="CAIXA Std Book" w:eastAsia="Times New Roman" w:hAnsi="CAIXA Std Book" w:cs="Arial"/>
                <w:color w:val="005CA9"/>
                <w:sz w:val="18"/>
                <w:szCs w:val="18"/>
              </w:rPr>
              <w:t>6.129</w:t>
            </w:r>
          </w:p>
        </w:tc>
        <w:tc>
          <w:tcPr>
            <w:tcW w:w="790" w:type="pct"/>
            <w:tcBorders>
              <w:top w:val="nil"/>
              <w:left w:val="nil"/>
              <w:bottom w:val="single" w:sz="4" w:space="0" w:color="F39200"/>
              <w:right w:val="nil"/>
            </w:tcBorders>
            <w:shd w:val="clear" w:color="auto" w:fill="auto"/>
            <w:vAlign w:val="center"/>
          </w:tcPr>
          <w:p w14:paraId="42F88F7B" w14:textId="6A618402" w:rsidR="00997D65" w:rsidRPr="00FF4346" w:rsidRDefault="003A43C2" w:rsidP="00997D65">
            <w:pPr>
              <w:jc w:val="right"/>
              <w:rPr>
                <w:rFonts w:ascii="CAIXA Std Book" w:eastAsia="Times New Roman" w:hAnsi="CAIXA Std Book" w:cs="Arial"/>
                <w:color w:val="005CA9"/>
                <w:sz w:val="18"/>
                <w:szCs w:val="18"/>
              </w:rPr>
            </w:pPr>
            <w:r w:rsidRPr="00F26DE0">
              <w:rPr>
                <w:rFonts w:ascii="CAIXA Std Book" w:eastAsia="Times New Roman" w:hAnsi="CAIXA Std Book" w:cs="Arial"/>
                <w:color w:val="005CA9"/>
                <w:sz w:val="18"/>
                <w:szCs w:val="18"/>
              </w:rPr>
              <w:t>(3.003)</w:t>
            </w:r>
          </w:p>
        </w:tc>
        <w:tc>
          <w:tcPr>
            <w:tcW w:w="790" w:type="pct"/>
            <w:tcBorders>
              <w:top w:val="nil"/>
              <w:left w:val="nil"/>
              <w:bottom w:val="single" w:sz="4" w:space="0" w:color="F39200"/>
              <w:right w:val="nil"/>
            </w:tcBorders>
            <w:shd w:val="clear" w:color="auto" w:fill="auto"/>
            <w:vAlign w:val="center"/>
            <w:hideMark/>
          </w:tcPr>
          <w:p w14:paraId="54A54018" w14:textId="592CDDF3" w:rsidR="00997D65" w:rsidRPr="00FF4346" w:rsidRDefault="0009702B" w:rsidP="00997D65">
            <w:pPr>
              <w:jc w:val="right"/>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7.081</w:t>
            </w:r>
          </w:p>
        </w:tc>
        <w:tc>
          <w:tcPr>
            <w:tcW w:w="791" w:type="pct"/>
            <w:tcBorders>
              <w:top w:val="nil"/>
              <w:left w:val="nil"/>
              <w:bottom w:val="single" w:sz="4" w:space="0" w:color="F39200"/>
              <w:right w:val="nil"/>
            </w:tcBorders>
            <w:shd w:val="clear" w:color="auto" w:fill="auto"/>
            <w:vAlign w:val="center"/>
            <w:hideMark/>
          </w:tcPr>
          <w:p w14:paraId="6298AD76" w14:textId="7B0B52C2" w:rsidR="00997D65" w:rsidRPr="00FF4346" w:rsidRDefault="00BE0794" w:rsidP="00997D65">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w:t>
            </w:r>
            <w:r w:rsidR="0009702B" w:rsidRPr="00885F47">
              <w:rPr>
                <w:rFonts w:ascii="CAIXA Std Book" w:hAnsi="CAIXA Std Book" w:cs="Arial"/>
                <w:color w:val="005CA9"/>
                <w:sz w:val="18"/>
                <w:szCs w:val="18"/>
              </w:rPr>
              <w:t>3.539</w:t>
            </w:r>
            <w:r w:rsidRPr="00FF4346">
              <w:rPr>
                <w:rFonts w:ascii="CAIXA Std Book" w:hAnsi="CAIXA Std Book" w:cs="Arial"/>
                <w:color w:val="005CA9"/>
                <w:sz w:val="18"/>
                <w:szCs w:val="18"/>
              </w:rPr>
              <w:t>)</w:t>
            </w:r>
          </w:p>
        </w:tc>
      </w:tr>
      <w:tr w:rsidR="00997D65" w:rsidRPr="00A33766" w14:paraId="4DE7055D" w14:textId="77777777" w:rsidTr="00885F47">
        <w:trPr>
          <w:trHeight w:val="283"/>
        </w:trPr>
        <w:tc>
          <w:tcPr>
            <w:tcW w:w="1838" w:type="pct"/>
            <w:tcBorders>
              <w:top w:val="single" w:sz="4" w:space="0" w:color="F39200"/>
              <w:left w:val="nil"/>
              <w:bottom w:val="single" w:sz="4" w:space="0" w:color="F39200"/>
              <w:right w:val="nil"/>
            </w:tcBorders>
            <w:shd w:val="clear" w:color="auto" w:fill="auto"/>
            <w:noWrap/>
            <w:vAlign w:val="center"/>
            <w:hideMark/>
          </w:tcPr>
          <w:p w14:paraId="34893196" w14:textId="77777777" w:rsidR="00997D65" w:rsidRPr="00FF4346" w:rsidRDefault="00997D65" w:rsidP="00997D65">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790" w:type="pct"/>
            <w:tcBorders>
              <w:top w:val="single" w:sz="4" w:space="0" w:color="F39200"/>
              <w:left w:val="nil"/>
              <w:bottom w:val="single" w:sz="4" w:space="0" w:color="F39200"/>
              <w:right w:val="nil"/>
            </w:tcBorders>
            <w:shd w:val="clear" w:color="auto" w:fill="auto"/>
            <w:vAlign w:val="center"/>
          </w:tcPr>
          <w:p w14:paraId="0E40229C" w14:textId="547B6E73" w:rsidR="00997D65" w:rsidRPr="00FF4346" w:rsidRDefault="003A43C2" w:rsidP="00997D65">
            <w:pPr>
              <w:jc w:val="right"/>
              <w:rPr>
                <w:rFonts w:ascii="CAIXA Std Book" w:eastAsia="Times New Roman" w:hAnsi="CAIXA Std Book" w:cs="Arial"/>
                <w:b/>
                <w:bCs/>
                <w:color w:val="005CA9"/>
                <w:sz w:val="18"/>
                <w:szCs w:val="18"/>
              </w:rPr>
            </w:pPr>
            <w:r w:rsidRPr="00F45862">
              <w:rPr>
                <w:rFonts w:ascii="CAIXA Std Book" w:eastAsia="Times New Roman" w:hAnsi="CAIXA Std Book" w:cs="Arial"/>
                <w:b/>
                <w:bCs/>
                <w:color w:val="005CA9"/>
                <w:sz w:val="18"/>
                <w:szCs w:val="18"/>
              </w:rPr>
              <w:t>30.614.697</w:t>
            </w:r>
          </w:p>
        </w:tc>
        <w:tc>
          <w:tcPr>
            <w:tcW w:w="790" w:type="pct"/>
            <w:tcBorders>
              <w:top w:val="single" w:sz="4" w:space="0" w:color="F39200"/>
              <w:left w:val="nil"/>
              <w:bottom w:val="single" w:sz="4" w:space="0" w:color="F39200"/>
              <w:right w:val="nil"/>
            </w:tcBorders>
            <w:shd w:val="clear" w:color="auto" w:fill="auto"/>
            <w:vAlign w:val="center"/>
          </w:tcPr>
          <w:p w14:paraId="4D7C695A" w14:textId="7B96F2FF" w:rsidR="00997D65" w:rsidRPr="00FF4346" w:rsidRDefault="008831DE" w:rsidP="00997D65">
            <w:pPr>
              <w:jc w:val="right"/>
              <w:rPr>
                <w:rFonts w:ascii="CAIXA Std Book" w:eastAsia="Times New Roman" w:hAnsi="CAIXA Std Book" w:cs="Arial"/>
                <w:b/>
                <w:bCs/>
                <w:color w:val="005CA9"/>
                <w:sz w:val="18"/>
                <w:szCs w:val="18"/>
              </w:rPr>
            </w:pPr>
            <w:r w:rsidRPr="008831DE">
              <w:rPr>
                <w:rFonts w:ascii="CAIXA Std Book" w:eastAsia="Times New Roman" w:hAnsi="CAIXA Std Book" w:cs="Arial"/>
                <w:b/>
                <w:bCs/>
                <w:color w:val="005CA9"/>
                <w:sz w:val="18"/>
                <w:szCs w:val="18"/>
              </w:rPr>
              <w:t>(82.971)</w:t>
            </w:r>
          </w:p>
        </w:tc>
        <w:tc>
          <w:tcPr>
            <w:tcW w:w="790" w:type="pct"/>
            <w:tcBorders>
              <w:top w:val="single" w:sz="4" w:space="0" w:color="F39200"/>
              <w:left w:val="nil"/>
              <w:bottom w:val="single" w:sz="4" w:space="0" w:color="F39200"/>
              <w:right w:val="nil"/>
            </w:tcBorders>
            <w:shd w:val="clear" w:color="auto" w:fill="auto"/>
            <w:vAlign w:val="center"/>
            <w:hideMark/>
          </w:tcPr>
          <w:p w14:paraId="38E281C1" w14:textId="39A337A2" w:rsidR="00997D65" w:rsidRPr="00FF4346" w:rsidRDefault="0009702B" w:rsidP="00997D65">
            <w:pPr>
              <w:jc w:val="right"/>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30.941.504</w:t>
            </w:r>
          </w:p>
        </w:tc>
        <w:tc>
          <w:tcPr>
            <w:tcW w:w="791" w:type="pct"/>
            <w:tcBorders>
              <w:top w:val="single" w:sz="4" w:space="0" w:color="F39200"/>
              <w:left w:val="nil"/>
              <w:bottom w:val="single" w:sz="4" w:space="0" w:color="F39200"/>
              <w:right w:val="nil"/>
            </w:tcBorders>
            <w:shd w:val="clear" w:color="auto" w:fill="auto"/>
            <w:vAlign w:val="center"/>
            <w:hideMark/>
          </w:tcPr>
          <w:p w14:paraId="64989DB5" w14:textId="286F593B" w:rsidR="00997D65" w:rsidRPr="00FF4346" w:rsidRDefault="00885F47" w:rsidP="00997D65">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w:t>
            </w:r>
            <w:r w:rsidR="003A43C2" w:rsidRPr="00885F47">
              <w:rPr>
                <w:rFonts w:ascii="CAIXA Std Book" w:hAnsi="CAIXA Std Book" w:cs="Arial"/>
                <w:b/>
                <w:bCs/>
                <w:color w:val="005CA9"/>
                <w:sz w:val="18"/>
                <w:szCs w:val="18"/>
              </w:rPr>
              <w:t>83.783</w:t>
            </w:r>
            <w:r>
              <w:rPr>
                <w:rFonts w:ascii="CAIXA Std Book" w:hAnsi="CAIXA Std Book" w:cs="Arial"/>
                <w:b/>
                <w:bCs/>
                <w:color w:val="005CA9"/>
                <w:sz w:val="18"/>
                <w:szCs w:val="18"/>
              </w:rPr>
              <w:t>)</w:t>
            </w:r>
          </w:p>
        </w:tc>
      </w:tr>
    </w:tbl>
    <w:p w14:paraId="5359F7D2" w14:textId="27FA08CD" w:rsidR="00910878" w:rsidRPr="00FF4346" w:rsidRDefault="00910878" w:rsidP="00AF61E3">
      <w:pPr>
        <w:spacing w:after="240"/>
        <w:ind w:right="-2"/>
        <w:jc w:val="both"/>
        <w:rPr>
          <w:rFonts w:ascii="CAIXA Std Book" w:hAnsi="CAIXA Std Book"/>
          <w:color w:val="005CA9"/>
          <w:sz w:val="16"/>
          <w:szCs w:val="16"/>
        </w:rPr>
      </w:pPr>
      <w:r w:rsidRPr="00FF4346">
        <w:rPr>
          <w:rFonts w:ascii="CAIXA Std Book" w:hAnsi="CAIXA Std Book"/>
          <w:color w:val="005CA9"/>
          <w:sz w:val="16"/>
          <w:szCs w:val="16"/>
        </w:rPr>
        <w:t>(1) Valor referente ao Programa de Arrendamento Residencial com recursos do FAR, classificado no ativo como perdas associadas ao risco de crédito.</w:t>
      </w:r>
    </w:p>
    <w:p w14:paraId="5A95902C" w14:textId="619EB588" w:rsidR="00951418" w:rsidRPr="00FF4346" w:rsidRDefault="005D3B3B" w:rsidP="009D5116">
      <w:pPr>
        <w:tabs>
          <w:tab w:val="left" w:pos="1650"/>
        </w:tabs>
        <w:spacing w:before="120" w:after="120"/>
        <w:jc w:val="both"/>
        <w:rPr>
          <w:rFonts w:ascii="CAIXA Std Book" w:hAnsi="CAIXA Std Book"/>
          <w:color w:val="005CA9"/>
          <w:sz w:val="20"/>
          <w:szCs w:val="20"/>
        </w:rPr>
      </w:pPr>
      <w:bookmarkStart w:id="97" w:name="_Hlk65762448"/>
      <w:bookmarkStart w:id="98" w:name="_Hlk47553909"/>
      <w:bookmarkEnd w:id="96"/>
      <w:r w:rsidRPr="00FF4346">
        <w:rPr>
          <w:rFonts w:ascii="CAIXA Std Book" w:hAnsi="CAIXA Std Book"/>
          <w:color w:val="005CA9"/>
          <w:sz w:val="20"/>
          <w:szCs w:val="20"/>
        </w:rPr>
        <w:t xml:space="preserve">Os repasses às outras entidades estão concentrados junto </w:t>
      </w:r>
      <w:r w:rsidR="00951418" w:rsidRPr="00FF4346">
        <w:rPr>
          <w:rFonts w:ascii="CAIXA Std Book" w:hAnsi="CAIXA Std Book"/>
          <w:color w:val="005CA9"/>
          <w:sz w:val="20"/>
          <w:szCs w:val="20"/>
        </w:rPr>
        <w:t>às</w:t>
      </w:r>
      <w:r w:rsidRPr="00FF4346">
        <w:rPr>
          <w:rFonts w:ascii="CAIXA Std Book" w:hAnsi="CAIXA Std Book"/>
          <w:color w:val="005CA9"/>
          <w:sz w:val="20"/>
          <w:szCs w:val="20"/>
        </w:rPr>
        <w:t xml:space="preserve"> Instituições Financeiras e Entidades Públicas, onde a CAIXA fornece ao FGTS garantia sobre os valores repassados. Dessa forma, o cálculo da provisão leva em consideração o rating das entidades tomadoras e a LGD (valor recuperável) das operações de crédito relacionadas às garantias sub-rogadas à instituição.</w:t>
      </w:r>
    </w:p>
    <w:p w14:paraId="71DFBC36" w14:textId="43D31CAA" w:rsidR="009D5116" w:rsidRPr="00FF4346" w:rsidRDefault="009D5116" w:rsidP="009D5116">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Para os contratos do FIES, a provisão é realizada com base na avaliação de risco de crédito da concessão e evolui conforme estabelecido na Resolução CMN nº 2.682/1999</w:t>
      </w:r>
      <w:r w:rsidR="00DB3839" w:rsidRPr="00FF4346">
        <w:rPr>
          <w:rFonts w:ascii="CAIXA Std Book" w:hAnsi="CAIXA Std Book"/>
          <w:color w:val="005CA9"/>
          <w:sz w:val="20"/>
          <w:szCs w:val="20"/>
        </w:rPr>
        <w:t>.</w:t>
      </w:r>
    </w:p>
    <w:p w14:paraId="2F445FED" w14:textId="77777777" w:rsidR="009D5116" w:rsidRPr="00FF4346" w:rsidRDefault="009D5116" w:rsidP="009D5116">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O estoque remanescente da carteira do PAR com recursos do FAR é provisionado pelo rating, tendo em vista a evolução do atraso, conforme Resolução CMN nº 2.682/1999.</w:t>
      </w:r>
    </w:p>
    <w:bookmarkEnd w:id="97"/>
    <w:p w14:paraId="14110954" w14:textId="6883E4B7" w:rsidR="00910878" w:rsidRPr="00FF4346" w:rsidRDefault="00910878" w:rsidP="006D0E67">
      <w:pPr>
        <w:keepNext/>
        <w:numPr>
          <w:ilvl w:val="0"/>
          <w:numId w:val="5"/>
        </w:numPr>
        <w:spacing w:before="240" w:after="120"/>
        <w:ind w:left="567" w:hanging="567"/>
        <w:jc w:val="both"/>
        <w:rPr>
          <w:rFonts w:ascii="CAIXA Std Book" w:hAnsi="CAIXA Std Book"/>
          <w:b/>
          <w:color w:val="005CA9"/>
          <w:sz w:val="20"/>
          <w:szCs w:val="20"/>
        </w:rPr>
      </w:pPr>
      <w:r w:rsidRPr="00FF4346">
        <w:rPr>
          <w:rFonts w:ascii="CAIXA Std Book" w:hAnsi="CAIXA Std Book"/>
          <w:b/>
          <w:color w:val="005CA9"/>
          <w:sz w:val="20"/>
          <w:szCs w:val="20"/>
        </w:rPr>
        <w:t>Passivos contingentes classificados como perdas possíveis</w:t>
      </w:r>
    </w:p>
    <w:p w14:paraId="6151C7D4" w14:textId="5DEF6237" w:rsidR="00910878" w:rsidRPr="00FF4346" w:rsidRDefault="00910878" w:rsidP="006D0E67">
      <w:pPr>
        <w:autoSpaceDE w:val="0"/>
        <w:autoSpaceDN w:val="0"/>
        <w:adjustRightInd w:val="0"/>
        <w:spacing w:before="240" w:after="120"/>
        <w:ind w:left="567" w:hanging="567"/>
        <w:jc w:val="both"/>
        <w:rPr>
          <w:rFonts w:ascii="CAIXA Std Book" w:hAnsi="CAIXA Std Book"/>
          <w:b/>
          <w:color w:val="005CA9"/>
          <w:sz w:val="20"/>
          <w:szCs w:val="20"/>
        </w:rPr>
      </w:pPr>
      <w:bookmarkStart w:id="99" w:name="_Hlk65762477"/>
      <w:r w:rsidRPr="00FF4346">
        <w:rPr>
          <w:rFonts w:ascii="CAIXA Std Book" w:hAnsi="CAIXA Std Book"/>
          <w:b/>
          <w:color w:val="005CA9"/>
          <w:sz w:val="20"/>
          <w:szCs w:val="20"/>
        </w:rPr>
        <w:t>(f.1)</w:t>
      </w:r>
      <w:r w:rsidRPr="00FF4346">
        <w:rPr>
          <w:rFonts w:ascii="CAIXA Std Book" w:hAnsi="CAIXA Std Book"/>
          <w:b/>
          <w:color w:val="005CA9"/>
          <w:sz w:val="20"/>
          <w:szCs w:val="20"/>
        </w:rPr>
        <w:tab/>
        <w:t>Demandas fiscais</w:t>
      </w:r>
    </w:p>
    <w:p w14:paraId="20185046" w14:textId="04BD41DA" w:rsidR="009900C1" w:rsidRPr="00FF4346" w:rsidRDefault="009900C1"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 CAIXA mantém</w:t>
      </w:r>
      <w:r w:rsidR="003C38AD" w:rsidRPr="00FF4346">
        <w:rPr>
          <w:rFonts w:ascii="CAIXA Std Book" w:hAnsi="CAIXA Std Book"/>
          <w:color w:val="005CA9"/>
          <w:sz w:val="20"/>
          <w:szCs w:val="20"/>
        </w:rPr>
        <w:t xml:space="preserve"> o</w:t>
      </w:r>
      <w:r w:rsidRPr="00FF4346">
        <w:rPr>
          <w:rFonts w:ascii="CAIXA Std Book" w:hAnsi="CAIXA Std Book"/>
          <w:color w:val="005CA9"/>
          <w:sz w:val="20"/>
          <w:szCs w:val="20"/>
        </w:rPr>
        <w:t xml:space="preserve"> acompanhamento de processos fiscais administrativos e judiciais em que figura como polo passivo ou ativo e, sob o amparo dos pareceres de suas unidades jurídicas, classificou como risco de perda possível processos que totalizam o valor de R$ </w:t>
      </w:r>
      <w:r w:rsidR="007F65F9" w:rsidRPr="007F65F9">
        <w:rPr>
          <w:rFonts w:ascii="CAIXA Std Book" w:hAnsi="CAIXA Std Book"/>
          <w:color w:val="005CA9"/>
          <w:sz w:val="20"/>
          <w:szCs w:val="20"/>
        </w:rPr>
        <w:t>10.164.208</w:t>
      </w:r>
      <w:r w:rsidR="00394F7A"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em </w:t>
      </w:r>
      <w:r w:rsidR="00612045" w:rsidRPr="00FF4346">
        <w:rPr>
          <w:rFonts w:ascii="CAIXA Std Book" w:hAnsi="CAIXA Std Book"/>
          <w:color w:val="005CA9"/>
          <w:sz w:val="20"/>
          <w:szCs w:val="20"/>
        </w:rPr>
        <w:t>31/</w:t>
      </w:r>
      <w:r w:rsidR="00C71973">
        <w:rPr>
          <w:rFonts w:ascii="CAIXA Std Book" w:hAnsi="CAIXA Std Book"/>
          <w:color w:val="005CA9"/>
          <w:sz w:val="20"/>
          <w:szCs w:val="20"/>
        </w:rPr>
        <w:t>03/2024</w:t>
      </w:r>
      <w:r w:rsidRPr="00FF4346">
        <w:rPr>
          <w:rFonts w:ascii="CAIXA Std Book" w:hAnsi="CAIXA Std Book"/>
          <w:color w:val="005CA9"/>
          <w:sz w:val="20"/>
          <w:szCs w:val="20"/>
        </w:rPr>
        <w:t xml:space="preserve"> (31/12/202</w:t>
      </w:r>
      <w:r w:rsidR="001735B4">
        <w:rPr>
          <w:rFonts w:ascii="CAIXA Std Book" w:hAnsi="CAIXA Std Book"/>
          <w:color w:val="005CA9"/>
          <w:sz w:val="20"/>
          <w:szCs w:val="20"/>
        </w:rPr>
        <w:t>3</w:t>
      </w:r>
      <w:r w:rsidRPr="00FF4346">
        <w:rPr>
          <w:rFonts w:ascii="CAIXA Std Book" w:hAnsi="CAIXA Std Book"/>
          <w:color w:val="005CA9"/>
          <w:sz w:val="20"/>
          <w:szCs w:val="20"/>
        </w:rPr>
        <w:t xml:space="preserve"> – R$ </w:t>
      </w:r>
      <w:r w:rsidR="00C71973">
        <w:rPr>
          <w:rFonts w:ascii="CAIXA Std Book" w:hAnsi="CAIXA Std Book"/>
          <w:color w:val="005CA9"/>
          <w:sz w:val="20"/>
          <w:szCs w:val="20"/>
        </w:rPr>
        <w:t>10.019.712</w:t>
      </w:r>
      <w:r w:rsidRPr="00FF4346">
        <w:rPr>
          <w:rFonts w:ascii="CAIXA Std Book" w:hAnsi="CAIXA Std Book"/>
          <w:color w:val="005CA9"/>
          <w:sz w:val="20"/>
          <w:szCs w:val="20"/>
        </w:rPr>
        <w:t>), dentre os quais se destacam as seguintes demandas em razão dos valores em discussão:</w:t>
      </w:r>
    </w:p>
    <w:p w14:paraId="3B409EA7" w14:textId="58A194A8" w:rsidR="001A7A93" w:rsidRPr="00FF4346" w:rsidRDefault="009900C1"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 Autuação de PIS/PASEP, no valor histórico de R$</w:t>
      </w:r>
      <w:r w:rsidR="007A6E1B" w:rsidRPr="00FF4346">
        <w:rPr>
          <w:rFonts w:ascii="CAIXA Std Book" w:hAnsi="CAIXA Std Book"/>
          <w:color w:val="005CA9"/>
          <w:sz w:val="20"/>
          <w:szCs w:val="20"/>
        </w:rPr>
        <w:t xml:space="preserve"> </w:t>
      </w:r>
      <w:r w:rsidR="007A1101" w:rsidRPr="00FF4346">
        <w:rPr>
          <w:rFonts w:ascii="CAIXA Std Book" w:hAnsi="CAIXA Std Book"/>
          <w:color w:val="005CA9"/>
          <w:sz w:val="20"/>
          <w:szCs w:val="20"/>
        </w:rPr>
        <w:t>4.053.509</w:t>
      </w:r>
      <w:r w:rsidRPr="00FF4346">
        <w:rPr>
          <w:rFonts w:ascii="CAIXA Std Book" w:hAnsi="CAIXA Std Book"/>
          <w:color w:val="005CA9"/>
          <w:sz w:val="20"/>
          <w:szCs w:val="20"/>
        </w:rPr>
        <w:t>, pautada em insuficiência no recolhimento relativo ao período de janeiro de 1991 a dezembro de 1995, ao tempo da vigência dos Decretos-Leis nº 2.445/1988 e nº 2.449/1988, que alteraram a sistemática de cálculo da contribuição, e suposta compensação indevida de recolhimentos efetuados a maior no período de janeiro de 1992 a maio de 1993. Para a propositura da ação, foi efetuado depósito em garantia daquele valor em 30/12/2010, o qual, atualizado pela SELIC, na forma da Lei</w:t>
      </w:r>
      <w:r w:rsidR="00AE46BE"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nº 9.703/98, totaliza R$ </w:t>
      </w:r>
      <w:r w:rsidR="009D338F" w:rsidRPr="009D338F">
        <w:rPr>
          <w:rFonts w:ascii="CAIXA Std Book" w:hAnsi="CAIXA Std Book"/>
          <w:color w:val="005CA9"/>
          <w:sz w:val="20"/>
          <w:szCs w:val="20"/>
        </w:rPr>
        <w:t>8.865.431</w:t>
      </w:r>
      <w:r w:rsidR="00576F78"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em </w:t>
      </w:r>
      <w:r w:rsidR="00877E4F" w:rsidRPr="00FF4346">
        <w:rPr>
          <w:rFonts w:ascii="CAIXA Std Book" w:hAnsi="CAIXA Std Book"/>
          <w:color w:val="005CA9"/>
          <w:sz w:val="20"/>
          <w:szCs w:val="20"/>
        </w:rPr>
        <w:t>31/</w:t>
      </w:r>
      <w:r w:rsidR="003A4C04">
        <w:rPr>
          <w:rFonts w:ascii="CAIXA Std Book" w:hAnsi="CAIXA Std Book"/>
          <w:color w:val="005CA9"/>
          <w:sz w:val="20"/>
          <w:szCs w:val="20"/>
        </w:rPr>
        <w:t>03/2024</w:t>
      </w:r>
      <w:r w:rsidRPr="00FF4346">
        <w:rPr>
          <w:rFonts w:ascii="CAIXA Std Book" w:hAnsi="CAIXA Std Book"/>
          <w:color w:val="005CA9"/>
          <w:sz w:val="20"/>
          <w:szCs w:val="20"/>
        </w:rPr>
        <w:t xml:space="preserve"> (31/12/202</w:t>
      </w:r>
      <w:r w:rsidR="003A4C04">
        <w:rPr>
          <w:rFonts w:ascii="CAIXA Std Book" w:hAnsi="CAIXA Std Book"/>
          <w:color w:val="005CA9"/>
          <w:sz w:val="20"/>
          <w:szCs w:val="20"/>
        </w:rPr>
        <w:t>3</w:t>
      </w:r>
      <w:r w:rsidRPr="00FF4346">
        <w:rPr>
          <w:rFonts w:ascii="CAIXA Std Book" w:hAnsi="CAIXA Std Book"/>
          <w:color w:val="005CA9"/>
          <w:sz w:val="20"/>
          <w:szCs w:val="20"/>
        </w:rPr>
        <w:t xml:space="preserve"> – R$ </w:t>
      </w:r>
      <w:r w:rsidR="003A4C04">
        <w:rPr>
          <w:rFonts w:ascii="CAIXA Std Book" w:hAnsi="CAIXA Std Book"/>
          <w:color w:val="005CA9"/>
          <w:sz w:val="20"/>
          <w:szCs w:val="20"/>
        </w:rPr>
        <w:t>8.757.608</w:t>
      </w:r>
      <w:r w:rsidRPr="00FF4346">
        <w:rPr>
          <w:rFonts w:ascii="CAIXA Std Book" w:hAnsi="CAIXA Std Book"/>
          <w:color w:val="005CA9"/>
          <w:sz w:val="20"/>
          <w:szCs w:val="20"/>
        </w:rPr>
        <w:t xml:space="preserve">). Em 08/04/2019, o Excelentíssimo Sr. Juiz da 9ª Vara Federal da Seção Judiciária de Brasília/DF julgou procedente o pedido formulado pela CAIXA para declarar a extinção do crédito tributário em destaque, tendo em vista a comprovação da suficiência dos recolhimentos à época realizados. Em 10/06/2019, a União interpôs recurso de apelação pleiteando a reforma da sentença em tela pelo Egrégio Tribunal Regional Federal da 1ª Região, </w:t>
      </w:r>
      <w:r w:rsidR="001A7A93" w:rsidRPr="00FF4346">
        <w:rPr>
          <w:rFonts w:ascii="CAIXA Std Book" w:hAnsi="CAIXA Std Book"/>
          <w:color w:val="005CA9"/>
          <w:sz w:val="20"/>
          <w:szCs w:val="20"/>
        </w:rPr>
        <w:t>tendo o recurso sido distribuído por sorteio em 04/05/2023 à 8ª Turma daquele Tribunal, aguardando julgamento desde então</w:t>
      </w:r>
      <w:r w:rsidR="004B6A4C" w:rsidRPr="00FF4346">
        <w:rPr>
          <w:rFonts w:ascii="CAIXA Std Book" w:hAnsi="CAIXA Std Book"/>
          <w:color w:val="005CA9"/>
          <w:sz w:val="20"/>
          <w:szCs w:val="20"/>
        </w:rPr>
        <w:t>;</w:t>
      </w:r>
    </w:p>
    <w:p w14:paraId="3C6998DB" w14:textId="40A4A37B" w:rsidR="009900C1" w:rsidRPr="00FF4346" w:rsidRDefault="009900C1"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lastRenderedPageBreak/>
        <w:t xml:space="preserve">b) Autuação de PIS/PASEP, no valor total de R$ </w:t>
      </w:r>
      <w:r w:rsidR="002C705A" w:rsidRPr="00FF4346">
        <w:rPr>
          <w:rFonts w:ascii="CAIXA Std Book" w:hAnsi="CAIXA Std Book"/>
          <w:color w:val="005CA9"/>
          <w:sz w:val="20"/>
          <w:szCs w:val="20"/>
        </w:rPr>
        <w:t xml:space="preserve">R$ </w:t>
      </w:r>
      <w:r w:rsidR="00E46842" w:rsidRPr="00E46842">
        <w:rPr>
          <w:rFonts w:ascii="CAIXA Std Book" w:hAnsi="CAIXA Std Book"/>
          <w:color w:val="005CA9"/>
          <w:sz w:val="20"/>
          <w:szCs w:val="20"/>
        </w:rPr>
        <w:t>249.959</w:t>
      </w:r>
      <w:r w:rsidR="0074650C"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em </w:t>
      </w:r>
      <w:r w:rsidR="00877E4F" w:rsidRPr="00FF4346">
        <w:rPr>
          <w:rFonts w:ascii="CAIXA Std Book" w:hAnsi="CAIXA Std Book"/>
          <w:color w:val="005CA9"/>
          <w:sz w:val="20"/>
          <w:szCs w:val="20"/>
        </w:rPr>
        <w:t>31/</w:t>
      </w:r>
      <w:r w:rsidR="0099027B">
        <w:rPr>
          <w:rFonts w:ascii="CAIXA Std Book" w:hAnsi="CAIXA Std Book"/>
          <w:color w:val="005CA9"/>
          <w:sz w:val="20"/>
          <w:szCs w:val="20"/>
        </w:rPr>
        <w:t>03/2024</w:t>
      </w:r>
      <w:r w:rsidRPr="00FF4346">
        <w:rPr>
          <w:rFonts w:ascii="CAIXA Std Book" w:hAnsi="CAIXA Std Book"/>
          <w:color w:val="005CA9"/>
          <w:sz w:val="20"/>
          <w:szCs w:val="20"/>
        </w:rPr>
        <w:t xml:space="preserve"> (31/12/202</w:t>
      </w:r>
      <w:r w:rsidR="0099027B">
        <w:rPr>
          <w:rFonts w:ascii="CAIXA Std Book" w:hAnsi="CAIXA Std Book"/>
          <w:color w:val="005CA9"/>
          <w:sz w:val="20"/>
          <w:szCs w:val="20"/>
        </w:rPr>
        <w:t>3</w:t>
      </w:r>
      <w:r w:rsidRPr="00FF4346">
        <w:rPr>
          <w:rFonts w:ascii="CAIXA Std Book" w:hAnsi="CAIXA Std Book"/>
          <w:color w:val="005CA9"/>
          <w:sz w:val="20"/>
          <w:szCs w:val="20"/>
        </w:rPr>
        <w:t xml:space="preserve"> – R$ </w:t>
      </w:r>
      <w:r w:rsidR="0099027B">
        <w:rPr>
          <w:rFonts w:ascii="CAIXA Std Book" w:hAnsi="CAIXA Std Book"/>
          <w:color w:val="005CA9"/>
          <w:sz w:val="20"/>
          <w:szCs w:val="20"/>
        </w:rPr>
        <w:t>248.295</w:t>
      </w:r>
      <w:r w:rsidRPr="00FF4346">
        <w:rPr>
          <w:rFonts w:ascii="CAIXA Std Book" w:hAnsi="CAIXA Std Book"/>
          <w:color w:val="005CA9"/>
          <w:sz w:val="20"/>
          <w:szCs w:val="20"/>
        </w:rPr>
        <w:t>), com base em apuração de diferenças de base de cálculo para recolhimento relativo ao período de janeiro de 1996 a dezembro de 1998, e janeiro a outubro de 1999, decorrente de exclusão ou não inclusão de receitas e cômputo de despesas consideradas indevidas e não dedutíveis sobre a base tributável, respectivamente;</w:t>
      </w:r>
    </w:p>
    <w:p w14:paraId="3A19DC6E" w14:textId="0A1716A8" w:rsidR="009900C1" w:rsidRPr="00FF4346" w:rsidRDefault="009900C1"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c) CSLL, no valor de R$ </w:t>
      </w:r>
      <w:r w:rsidR="00F31551" w:rsidRPr="00F31551">
        <w:rPr>
          <w:rFonts w:ascii="CAIXA Std Book" w:hAnsi="CAIXA Std Book"/>
          <w:color w:val="005CA9"/>
          <w:sz w:val="20"/>
          <w:szCs w:val="20"/>
        </w:rPr>
        <w:t xml:space="preserve">207.058 </w:t>
      </w:r>
      <w:r w:rsidRPr="00FF4346">
        <w:rPr>
          <w:rFonts w:ascii="CAIXA Std Book" w:hAnsi="CAIXA Std Book"/>
          <w:color w:val="005CA9"/>
          <w:sz w:val="20"/>
          <w:szCs w:val="20"/>
        </w:rPr>
        <w:t xml:space="preserve">em </w:t>
      </w:r>
      <w:r w:rsidR="00877E4F" w:rsidRPr="00FF4346">
        <w:rPr>
          <w:rFonts w:ascii="CAIXA Std Book" w:hAnsi="CAIXA Std Book"/>
          <w:color w:val="005CA9"/>
          <w:sz w:val="20"/>
          <w:szCs w:val="20"/>
        </w:rPr>
        <w:t>31/</w:t>
      </w:r>
      <w:r w:rsidR="003C393F">
        <w:rPr>
          <w:rFonts w:ascii="CAIXA Std Book" w:hAnsi="CAIXA Std Book"/>
          <w:color w:val="005CA9"/>
          <w:sz w:val="20"/>
          <w:szCs w:val="20"/>
        </w:rPr>
        <w:t>03/2024</w:t>
      </w:r>
      <w:r w:rsidRPr="00FF4346">
        <w:rPr>
          <w:rFonts w:ascii="CAIXA Std Book" w:hAnsi="CAIXA Std Book"/>
          <w:color w:val="005CA9"/>
          <w:sz w:val="20"/>
          <w:szCs w:val="20"/>
        </w:rPr>
        <w:t xml:space="preserve"> (31/12/202</w:t>
      </w:r>
      <w:r w:rsidR="003C393F">
        <w:rPr>
          <w:rFonts w:ascii="CAIXA Std Book" w:hAnsi="CAIXA Std Book"/>
          <w:color w:val="005CA9"/>
          <w:sz w:val="20"/>
          <w:szCs w:val="20"/>
        </w:rPr>
        <w:t>3</w:t>
      </w:r>
      <w:r w:rsidRPr="00FF4346">
        <w:rPr>
          <w:rFonts w:ascii="CAIXA Std Book" w:hAnsi="CAIXA Std Book"/>
          <w:color w:val="005CA9"/>
          <w:sz w:val="20"/>
          <w:szCs w:val="20"/>
        </w:rPr>
        <w:t xml:space="preserve"> – R$ </w:t>
      </w:r>
      <w:r w:rsidR="003C393F">
        <w:rPr>
          <w:rFonts w:ascii="CAIXA Std Book" w:hAnsi="CAIXA Std Book"/>
          <w:color w:val="005CA9"/>
          <w:sz w:val="20"/>
          <w:szCs w:val="20"/>
        </w:rPr>
        <w:t>205.081</w:t>
      </w:r>
      <w:r w:rsidRPr="00FF4346">
        <w:rPr>
          <w:rFonts w:ascii="CAIXA Std Book" w:hAnsi="CAIXA Std Book"/>
          <w:color w:val="005CA9"/>
          <w:sz w:val="20"/>
          <w:szCs w:val="20"/>
        </w:rPr>
        <w:t>), relativa a crédito oriundo de pagamento a maior declarado em DIPJ e compensado no exercício de 2003, havendo discussão quanto a questões procedimentais; e</w:t>
      </w:r>
    </w:p>
    <w:p w14:paraId="0D2A3DC2" w14:textId="4C4E3F82" w:rsidR="009900C1" w:rsidRPr="00FF4346" w:rsidRDefault="009900C1"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d) Autuação de ICMS (Fazenda do Estado de São Paulo), no valor total de R$ </w:t>
      </w:r>
      <w:r w:rsidR="001D2267" w:rsidRPr="001D2267">
        <w:rPr>
          <w:rFonts w:ascii="CAIXA Std Book" w:hAnsi="CAIXA Std Book"/>
          <w:color w:val="005CA9"/>
          <w:sz w:val="20"/>
          <w:szCs w:val="20"/>
        </w:rPr>
        <w:t>336.506</w:t>
      </w:r>
      <w:r w:rsidR="00591B9B" w:rsidRPr="00FF4346">
        <w:rPr>
          <w:rFonts w:ascii="CAIXA Std Book" w:hAnsi="CAIXA Std Book"/>
          <w:color w:val="005CA9"/>
          <w:sz w:val="20"/>
          <w:szCs w:val="20"/>
        </w:rPr>
        <w:t xml:space="preserve"> </w:t>
      </w:r>
      <w:r w:rsidRPr="00FF4346">
        <w:rPr>
          <w:rFonts w:ascii="CAIXA Std Book" w:hAnsi="CAIXA Std Book"/>
          <w:color w:val="005CA9"/>
          <w:sz w:val="20"/>
          <w:szCs w:val="20"/>
        </w:rPr>
        <w:t xml:space="preserve">em </w:t>
      </w:r>
      <w:r w:rsidR="00877E4F" w:rsidRPr="00FF4346">
        <w:rPr>
          <w:rFonts w:ascii="CAIXA Std Book" w:hAnsi="CAIXA Std Book"/>
          <w:color w:val="005CA9"/>
          <w:sz w:val="20"/>
          <w:szCs w:val="20"/>
        </w:rPr>
        <w:t>31/</w:t>
      </w:r>
      <w:r w:rsidR="00FB4CB8">
        <w:rPr>
          <w:rFonts w:ascii="CAIXA Std Book" w:hAnsi="CAIXA Std Book"/>
          <w:color w:val="005CA9"/>
          <w:sz w:val="20"/>
          <w:szCs w:val="20"/>
        </w:rPr>
        <w:t>0</w:t>
      </w:r>
      <w:r w:rsidR="00314E75">
        <w:rPr>
          <w:rFonts w:ascii="CAIXA Std Book" w:hAnsi="CAIXA Std Book"/>
          <w:color w:val="005CA9"/>
          <w:sz w:val="20"/>
          <w:szCs w:val="20"/>
        </w:rPr>
        <w:t>3</w:t>
      </w:r>
      <w:r w:rsidR="00FB4CB8">
        <w:rPr>
          <w:rFonts w:ascii="CAIXA Std Book" w:hAnsi="CAIXA Std Book"/>
          <w:color w:val="005CA9"/>
          <w:sz w:val="20"/>
          <w:szCs w:val="20"/>
        </w:rPr>
        <w:t>/2024</w:t>
      </w:r>
      <w:r w:rsidR="00E056ED">
        <w:rPr>
          <w:rFonts w:ascii="CAIXA Std Book" w:hAnsi="CAIXA Std Book"/>
          <w:color w:val="005CA9"/>
          <w:sz w:val="20"/>
          <w:szCs w:val="20"/>
        </w:rPr>
        <w:t xml:space="preserve"> </w:t>
      </w:r>
      <w:r w:rsidRPr="00FF4346">
        <w:rPr>
          <w:rFonts w:ascii="CAIXA Std Book" w:hAnsi="CAIXA Std Book"/>
          <w:color w:val="005CA9"/>
          <w:sz w:val="20"/>
          <w:szCs w:val="20"/>
        </w:rPr>
        <w:t>(31/12/202</w:t>
      </w:r>
      <w:r w:rsidR="00FB4CB8">
        <w:rPr>
          <w:rFonts w:ascii="CAIXA Std Book" w:hAnsi="CAIXA Std Book"/>
          <w:color w:val="005CA9"/>
          <w:sz w:val="20"/>
          <w:szCs w:val="20"/>
        </w:rPr>
        <w:t>3</w:t>
      </w:r>
      <w:r w:rsidRPr="00FF4346">
        <w:rPr>
          <w:rFonts w:ascii="CAIXA Std Book" w:hAnsi="CAIXA Std Book"/>
          <w:color w:val="005CA9"/>
          <w:sz w:val="20"/>
          <w:szCs w:val="20"/>
        </w:rPr>
        <w:t xml:space="preserve"> – R$ </w:t>
      </w:r>
      <w:r w:rsidR="00FB4CB8">
        <w:rPr>
          <w:rFonts w:ascii="CAIXA Std Book" w:hAnsi="CAIXA Std Book"/>
          <w:color w:val="005CA9"/>
          <w:sz w:val="20"/>
          <w:szCs w:val="20"/>
        </w:rPr>
        <w:t>303.484</w:t>
      </w:r>
      <w:r w:rsidRPr="00FF4346">
        <w:rPr>
          <w:rFonts w:ascii="CAIXA Std Book" w:hAnsi="CAIXA Std Book"/>
          <w:color w:val="005CA9"/>
          <w:sz w:val="20"/>
          <w:szCs w:val="20"/>
        </w:rPr>
        <w:t>), sobre a qual se discute a exigência do imposto diante da não retenção e recolhimento na fonte sobre serviços enquadrados pela fiscalização no conceito de “comunicação” para efeitos fiscais e tributários, e ainda, a determinação de sujeição passiva por responsabilidade tributária mediante convênio do Conselho Nacional de Política Fazendária (CONFAZ).</w:t>
      </w:r>
    </w:p>
    <w:p w14:paraId="4BB438B8" w14:textId="02C0345D" w:rsidR="00592B1B" w:rsidRPr="00FF4346" w:rsidRDefault="00592B1B" w:rsidP="2493FA17">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As demais contingências com indicativo de perda possível apresentam o seguinte saldo, em</w:t>
      </w:r>
      <w:r w:rsidR="007E4107" w:rsidRPr="00FF4346">
        <w:rPr>
          <w:rFonts w:ascii="CAIXA Std Book" w:hAnsi="CAIXA Std Book"/>
          <w:color w:val="005CA9"/>
          <w:sz w:val="20"/>
          <w:szCs w:val="20"/>
        </w:rPr>
        <w:t xml:space="preserve"> </w:t>
      </w:r>
      <w:r w:rsidR="009F028D" w:rsidRPr="00FF4346">
        <w:rPr>
          <w:rFonts w:ascii="CAIXA Std Book" w:hAnsi="CAIXA Std Book"/>
          <w:color w:val="005CA9"/>
          <w:sz w:val="20"/>
          <w:szCs w:val="20"/>
        </w:rPr>
        <w:t>31/</w:t>
      </w:r>
      <w:r w:rsidR="00E57272">
        <w:rPr>
          <w:rFonts w:ascii="CAIXA Std Book" w:hAnsi="CAIXA Std Book"/>
          <w:color w:val="005CA9"/>
          <w:sz w:val="20"/>
          <w:szCs w:val="20"/>
        </w:rPr>
        <w:t>03/2024</w:t>
      </w:r>
      <w:r w:rsidRPr="00FF4346">
        <w:rPr>
          <w:rFonts w:ascii="CAIXA Std Book" w:hAnsi="CAIXA Std Book"/>
          <w:color w:val="005CA9"/>
          <w:sz w:val="20"/>
          <w:szCs w:val="20"/>
        </w:rPr>
        <w:t xml:space="preserve">: </w:t>
      </w:r>
    </w:p>
    <w:p w14:paraId="1C4BFBDF" w14:textId="316B33EF" w:rsidR="00592B1B" w:rsidRPr="00FF4346" w:rsidRDefault="00592B1B" w:rsidP="00592B1B">
      <w:pPr>
        <w:tabs>
          <w:tab w:val="left" w:pos="1650"/>
        </w:tabs>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Federais totalizam </w:t>
      </w:r>
      <w:r w:rsidR="00F55AA9" w:rsidRPr="00FF4346">
        <w:rPr>
          <w:rFonts w:ascii="CAIXA Std Book" w:hAnsi="CAIXA Std Book"/>
          <w:color w:val="005CA9"/>
          <w:sz w:val="20"/>
          <w:szCs w:val="20"/>
        </w:rPr>
        <w:t xml:space="preserve">R$ </w:t>
      </w:r>
      <w:r w:rsidR="003F457F" w:rsidRPr="003F457F">
        <w:rPr>
          <w:rFonts w:ascii="CAIXA Std Book" w:hAnsi="CAIXA Std Book"/>
          <w:color w:val="005CA9"/>
          <w:sz w:val="20"/>
          <w:szCs w:val="20"/>
        </w:rPr>
        <w:t>1.477</w:t>
      </w:r>
      <w:r w:rsidR="00F55AA9" w:rsidRPr="00FF4346">
        <w:rPr>
          <w:rFonts w:ascii="CAIXA Std Book" w:hAnsi="CAIXA Std Book"/>
          <w:color w:val="005CA9"/>
          <w:sz w:val="20"/>
          <w:szCs w:val="20"/>
        </w:rPr>
        <w:t xml:space="preserve"> </w:t>
      </w:r>
      <w:r w:rsidRPr="00FF4346">
        <w:rPr>
          <w:rFonts w:ascii="CAIXA Std Book" w:hAnsi="CAIXA Std Book"/>
          <w:color w:val="005CA9"/>
          <w:sz w:val="20"/>
          <w:szCs w:val="20"/>
        </w:rPr>
        <w:t>(31/12/202</w:t>
      </w:r>
      <w:r w:rsidR="00E57272">
        <w:rPr>
          <w:rFonts w:ascii="CAIXA Std Book" w:hAnsi="CAIXA Std Book"/>
          <w:color w:val="005CA9"/>
          <w:sz w:val="20"/>
          <w:szCs w:val="20"/>
        </w:rPr>
        <w:t>3</w:t>
      </w:r>
      <w:r w:rsidRPr="00FF4346">
        <w:rPr>
          <w:rFonts w:ascii="CAIXA Std Book" w:hAnsi="CAIXA Std Book"/>
          <w:color w:val="005CA9"/>
          <w:sz w:val="20"/>
          <w:szCs w:val="20"/>
        </w:rPr>
        <w:t xml:space="preserve"> – R$ 1.4</w:t>
      </w:r>
      <w:r w:rsidR="00E57272">
        <w:rPr>
          <w:rFonts w:ascii="CAIXA Std Book" w:hAnsi="CAIXA Std Book"/>
          <w:color w:val="005CA9"/>
          <w:sz w:val="20"/>
          <w:szCs w:val="20"/>
        </w:rPr>
        <w:t>67</w:t>
      </w:r>
      <w:r w:rsidRPr="00FF4346">
        <w:rPr>
          <w:rFonts w:ascii="CAIXA Std Book" w:hAnsi="CAIXA Std Book"/>
          <w:color w:val="005CA9"/>
          <w:sz w:val="20"/>
          <w:szCs w:val="20"/>
        </w:rPr>
        <w:t xml:space="preserve">); b) Previdenciários somam R$ </w:t>
      </w:r>
      <w:r w:rsidR="003F7965" w:rsidRPr="003F7965">
        <w:rPr>
          <w:rFonts w:ascii="CAIXA Std Book" w:hAnsi="CAIXA Std Book"/>
          <w:color w:val="005CA9"/>
          <w:sz w:val="20"/>
          <w:szCs w:val="20"/>
        </w:rPr>
        <w:t xml:space="preserve">67.318 </w:t>
      </w:r>
      <w:r w:rsidRPr="00FF4346">
        <w:rPr>
          <w:rFonts w:ascii="CAIXA Std Book" w:hAnsi="CAIXA Std Book"/>
          <w:color w:val="005CA9"/>
          <w:sz w:val="20"/>
          <w:szCs w:val="20"/>
        </w:rPr>
        <w:t>(31/12/202</w:t>
      </w:r>
      <w:r w:rsidR="00E76CCE">
        <w:rPr>
          <w:rFonts w:ascii="CAIXA Std Book" w:hAnsi="CAIXA Std Book"/>
          <w:color w:val="005CA9"/>
          <w:sz w:val="20"/>
          <w:szCs w:val="20"/>
        </w:rPr>
        <w:t>3</w:t>
      </w:r>
      <w:r w:rsidRPr="00FF4346">
        <w:rPr>
          <w:rFonts w:ascii="CAIXA Std Book" w:hAnsi="CAIXA Std Book"/>
          <w:color w:val="005CA9"/>
          <w:sz w:val="20"/>
          <w:szCs w:val="20"/>
        </w:rPr>
        <w:t xml:space="preserve"> – R$ 67.318); e c) Regionais correspondem a R$ </w:t>
      </w:r>
      <w:r w:rsidR="002E24DB" w:rsidRPr="002E24DB">
        <w:rPr>
          <w:rFonts w:ascii="CAIXA Std Book" w:hAnsi="CAIXA Std Book"/>
          <w:color w:val="005CA9"/>
          <w:sz w:val="20"/>
          <w:szCs w:val="20"/>
        </w:rPr>
        <w:t>436.457</w:t>
      </w:r>
      <w:r w:rsidR="005211AB" w:rsidRPr="00FF4346">
        <w:rPr>
          <w:rFonts w:ascii="CAIXA Std Book" w:hAnsi="CAIXA Std Book"/>
          <w:color w:val="005CA9"/>
          <w:sz w:val="20"/>
          <w:szCs w:val="20"/>
        </w:rPr>
        <w:t xml:space="preserve"> </w:t>
      </w:r>
      <w:r w:rsidRPr="00FF4346">
        <w:rPr>
          <w:rFonts w:ascii="CAIXA Std Book" w:hAnsi="CAIXA Std Book"/>
          <w:color w:val="005CA9"/>
          <w:sz w:val="20"/>
          <w:szCs w:val="20"/>
        </w:rPr>
        <w:t>(31/12/202</w:t>
      </w:r>
      <w:r w:rsidR="00E76CCE">
        <w:rPr>
          <w:rFonts w:ascii="CAIXA Std Book" w:hAnsi="CAIXA Std Book"/>
          <w:color w:val="005CA9"/>
          <w:sz w:val="20"/>
          <w:szCs w:val="20"/>
        </w:rPr>
        <w:t>3</w:t>
      </w:r>
      <w:r w:rsidRPr="00FF4346">
        <w:rPr>
          <w:rFonts w:ascii="CAIXA Std Book" w:hAnsi="CAIXA Std Book"/>
          <w:color w:val="005CA9"/>
          <w:sz w:val="20"/>
          <w:szCs w:val="20"/>
        </w:rPr>
        <w:t xml:space="preserve"> – R$ </w:t>
      </w:r>
      <w:r w:rsidR="00E76CCE">
        <w:rPr>
          <w:rFonts w:ascii="CAIXA Std Book" w:hAnsi="CAIXA Std Book"/>
          <w:color w:val="005CA9"/>
          <w:sz w:val="20"/>
          <w:szCs w:val="20"/>
        </w:rPr>
        <w:t>436.457</w:t>
      </w:r>
      <w:r w:rsidRPr="00FF4346">
        <w:rPr>
          <w:rFonts w:ascii="CAIXA Std Book" w:hAnsi="CAIXA Std Book"/>
          <w:color w:val="005CA9"/>
          <w:sz w:val="20"/>
          <w:szCs w:val="20"/>
        </w:rPr>
        <w:t>).</w:t>
      </w:r>
    </w:p>
    <w:p w14:paraId="29459394" w14:textId="0B559650" w:rsidR="00D12437" w:rsidRPr="00FF4346" w:rsidRDefault="00603ADC" w:rsidP="00B75364">
      <w:pPr>
        <w:tabs>
          <w:tab w:val="left" w:pos="1650"/>
        </w:tabs>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As matérias relacionadas aos processos contingentes em discussão são monitoradas sob a perspectiva de eventual sedimentação ou modificação do cenário jurisprudencial, possibilitando a manutenção como decorrência de avaliação contínua por parte da CAIXA das respectivas classificações de risco</w:t>
      </w:r>
      <w:r w:rsidR="00910878" w:rsidRPr="00FF4346">
        <w:rPr>
          <w:rFonts w:ascii="CAIXA Std Book" w:hAnsi="CAIXA Std Book"/>
          <w:color w:val="005CA9"/>
          <w:sz w:val="20"/>
          <w:szCs w:val="20"/>
        </w:rPr>
        <w:t>.</w:t>
      </w:r>
    </w:p>
    <w:p w14:paraId="6D3B6217" w14:textId="77777777" w:rsidR="00910878" w:rsidRPr="00FF4346" w:rsidRDefault="00910878" w:rsidP="00910878">
      <w:p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(f.2)</w:t>
      </w:r>
      <w:r w:rsidRPr="00FF4346">
        <w:rPr>
          <w:rFonts w:ascii="CAIXA Std Book" w:hAnsi="CAIXA Std Book"/>
          <w:b/>
          <w:color w:val="005CA9"/>
          <w:sz w:val="20"/>
          <w:szCs w:val="20"/>
        </w:rPr>
        <w:tab/>
        <w:t>Demandas cíveis</w:t>
      </w:r>
    </w:p>
    <w:p w14:paraId="23AEE23C" w14:textId="77777777" w:rsidR="00991AAF" w:rsidRPr="00FF4346" w:rsidRDefault="00991AAF"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A CAIXA, com base na opinião de seus advogados, acompanha sistematicamente todos os processos com classificação de risco possível ou remoto.</w:t>
      </w:r>
    </w:p>
    <w:p w14:paraId="16DCBFE9" w14:textId="5DF37649" w:rsidR="00E56452" w:rsidRPr="00FF4346" w:rsidRDefault="00991AAF" w:rsidP="00B75364">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 xml:space="preserve">O montante de R$ </w:t>
      </w:r>
      <w:r w:rsidR="004A1F55" w:rsidRPr="004A1F55">
        <w:rPr>
          <w:rFonts w:ascii="CAIXA Std Book" w:hAnsi="CAIXA Std Book"/>
          <w:color w:val="005CA9"/>
          <w:sz w:val="20"/>
          <w:szCs w:val="20"/>
        </w:rPr>
        <w:t>2.269.476</w:t>
      </w:r>
      <w:r w:rsidRPr="00FF4346">
        <w:rPr>
          <w:rFonts w:ascii="CAIXA Std Book" w:hAnsi="CAIXA Std Book"/>
          <w:color w:val="005CA9"/>
          <w:sz w:val="20"/>
          <w:szCs w:val="20"/>
        </w:rPr>
        <w:t xml:space="preserve"> em </w:t>
      </w:r>
      <w:r w:rsidR="009F028D" w:rsidRPr="00FF4346">
        <w:rPr>
          <w:rFonts w:ascii="CAIXA Std Book" w:hAnsi="CAIXA Std Book"/>
          <w:color w:val="005CA9"/>
          <w:sz w:val="20"/>
          <w:szCs w:val="20"/>
        </w:rPr>
        <w:t>31/</w:t>
      </w:r>
      <w:r w:rsidR="003C4C44">
        <w:rPr>
          <w:rFonts w:ascii="CAIXA Std Book" w:hAnsi="CAIXA Std Book"/>
          <w:color w:val="005CA9"/>
          <w:sz w:val="20"/>
          <w:szCs w:val="20"/>
        </w:rPr>
        <w:t>0</w:t>
      </w:r>
      <w:r w:rsidR="00BE087F">
        <w:rPr>
          <w:rFonts w:ascii="CAIXA Std Book" w:hAnsi="CAIXA Std Book"/>
          <w:color w:val="005CA9"/>
          <w:sz w:val="20"/>
          <w:szCs w:val="20"/>
        </w:rPr>
        <w:t>3/2024</w:t>
      </w:r>
      <w:r w:rsidRPr="00FF4346">
        <w:rPr>
          <w:rFonts w:ascii="CAIXA Std Book" w:hAnsi="CAIXA Std Book"/>
          <w:color w:val="005CA9"/>
          <w:sz w:val="20"/>
          <w:szCs w:val="20"/>
        </w:rPr>
        <w:t xml:space="preserve"> (31/12/202</w:t>
      </w:r>
      <w:r w:rsidR="00A52251">
        <w:rPr>
          <w:rFonts w:ascii="CAIXA Std Book" w:hAnsi="CAIXA Std Book"/>
          <w:color w:val="005CA9"/>
          <w:sz w:val="20"/>
          <w:szCs w:val="20"/>
        </w:rPr>
        <w:t>3</w:t>
      </w:r>
      <w:r w:rsidRPr="00FF4346">
        <w:rPr>
          <w:rFonts w:ascii="CAIXA Std Book" w:hAnsi="CAIXA Std Book"/>
          <w:color w:val="005CA9"/>
          <w:sz w:val="20"/>
          <w:szCs w:val="20"/>
        </w:rPr>
        <w:t xml:space="preserve"> – R$ </w:t>
      </w:r>
      <w:r w:rsidR="00171F29" w:rsidRPr="00FF4346">
        <w:rPr>
          <w:rFonts w:ascii="CAIXA Std Book" w:hAnsi="CAIXA Std Book"/>
          <w:color w:val="005CA9"/>
          <w:sz w:val="20"/>
          <w:szCs w:val="20"/>
        </w:rPr>
        <w:t>2.</w:t>
      </w:r>
      <w:r w:rsidR="00A52251">
        <w:rPr>
          <w:rFonts w:ascii="CAIXA Std Book" w:hAnsi="CAIXA Std Book"/>
          <w:color w:val="005CA9"/>
          <w:sz w:val="20"/>
          <w:szCs w:val="20"/>
        </w:rPr>
        <w:t>236.008</w:t>
      </w:r>
      <w:r w:rsidRPr="00FF4346">
        <w:rPr>
          <w:rFonts w:ascii="CAIXA Std Book" w:hAnsi="CAIXA Std Book"/>
          <w:color w:val="005CA9"/>
          <w:sz w:val="20"/>
          <w:szCs w:val="20"/>
        </w:rPr>
        <w:t>) refere-se a uma ação popular com probabilidade de perda possível, na qual se alega a prática de ilegalidade por parte da CAIXA na gestão de recursos provenientes do PREVHAB, quando da sucessão do BNH</w:t>
      </w:r>
      <w:bookmarkEnd w:id="99"/>
      <w:r w:rsidR="00CD0509" w:rsidRPr="00FF4346">
        <w:rPr>
          <w:rFonts w:ascii="CAIXA Std Book" w:hAnsi="CAIXA Std Book"/>
          <w:color w:val="005CA9"/>
          <w:sz w:val="20"/>
          <w:szCs w:val="20"/>
        </w:rPr>
        <w:t>.</w:t>
      </w:r>
      <w:r w:rsidR="00910878" w:rsidRPr="00FF4346">
        <w:rPr>
          <w:rFonts w:ascii="CAIXA Std Book" w:hAnsi="CAIXA Std Book"/>
          <w:color w:val="005CA9"/>
          <w:sz w:val="20"/>
          <w:szCs w:val="20"/>
        </w:rPr>
        <w:t xml:space="preserve"> </w:t>
      </w:r>
    </w:p>
    <w:bookmarkEnd w:id="98"/>
    <w:p w14:paraId="2DBB0AA3" w14:textId="7A8EF036" w:rsidR="00910878" w:rsidRPr="00FF4346" w:rsidRDefault="00910878" w:rsidP="00B75364">
      <w:pPr>
        <w:keepNext/>
        <w:numPr>
          <w:ilvl w:val="0"/>
          <w:numId w:val="5"/>
        </w:numPr>
        <w:spacing w:before="480" w:after="240"/>
        <w:ind w:left="567" w:right="139" w:hanging="567"/>
        <w:jc w:val="both"/>
        <w:rPr>
          <w:rFonts w:ascii="CAIXA Std Book" w:hAnsi="CAIXA Std Book"/>
          <w:b/>
          <w:color w:val="005CA9"/>
          <w:sz w:val="20"/>
          <w:szCs w:val="20"/>
        </w:rPr>
      </w:pPr>
      <w:r w:rsidRPr="00FF4346">
        <w:rPr>
          <w:rFonts w:ascii="CAIXA Std Book" w:hAnsi="CAIXA Std Book"/>
          <w:b/>
          <w:color w:val="005CA9"/>
          <w:sz w:val="20"/>
          <w:szCs w:val="20"/>
        </w:rPr>
        <w:t>Composição dos depósitos em garantia de recursos</w:t>
      </w:r>
    </w:p>
    <w:p w14:paraId="7B93E382" w14:textId="6F39F06A" w:rsidR="00910878" w:rsidRPr="00FF4346" w:rsidRDefault="00910878" w:rsidP="00B75364">
      <w:pPr>
        <w:tabs>
          <w:tab w:val="left" w:pos="1650"/>
        </w:tabs>
        <w:spacing w:before="120" w:after="240"/>
        <w:ind w:right="139"/>
        <w:jc w:val="both"/>
        <w:rPr>
          <w:rFonts w:ascii="CAIXA Std Book" w:hAnsi="CAIXA Std Book"/>
          <w:color w:val="005CA9"/>
          <w:sz w:val="20"/>
          <w:szCs w:val="20"/>
        </w:rPr>
      </w:pPr>
      <w:r w:rsidRPr="00FF4346">
        <w:rPr>
          <w:rFonts w:ascii="CAIXA Std Book" w:hAnsi="CAIXA Std Book"/>
          <w:color w:val="005CA9"/>
          <w:sz w:val="20"/>
          <w:szCs w:val="20"/>
        </w:rPr>
        <w:t>Os saldos dos depósitos em garantia constituídos para as causas judiciais passivas prováveis, possíveis e/ou remotas:</w:t>
      </w:r>
    </w:p>
    <w:tbl>
      <w:tblPr>
        <w:tblW w:w="4928" w:type="pct"/>
        <w:tblCellMar>
          <w:left w:w="70" w:type="dxa"/>
          <w:right w:w="70" w:type="dxa"/>
        </w:tblCellMar>
        <w:tblLook w:val="04A0" w:firstRow="1" w:lastRow="0" w:firstColumn="1" w:lastColumn="0" w:noHBand="0" w:noVBand="1"/>
      </w:tblPr>
      <w:tblGrid>
        <w:gridCol w:w="6337"/>
        <w:gridCol w:w="1651"/>
        <w:gridCol w:w="1510"/>
      </w:tblGrid>
      <w:tr w:rsidR="003B2B2A" w:rsidRPr="00A33766" w14:paraId="571D42F5" w14:textId="77777777" w:rsidTr="00B108F4">
        <w:trPr>
          <w:trHeight w:val="283"/>
        </w:trPr>
        <w:tc>
          <w:tcPr>
            <w:tcW w:w="5000" w:type="pct"/>
            <w:gridSpan w:val="3"/>
            <w:tcBorders>
              <w:top w:val="single" w:sz="4" w:space="0" w:color="F79646" w:themeColor="accent6"/>
              <w:left w:val="nil"/>
              <w:bottom w:val="single" w:sz="4" w:space="0" w:color="F79646" w:themeColor="accent6"/>
              <w:right w:val="nil"/>
            </w:tcBorders>
            <w:vAlign w:val="center"/>
          </w:tcPr>
          <w:p w14:paraId="738BD953" w14:textId="77777777" w:rsidR="00910878" w:rsidRPr="00FF4346" w:rsidRDefault="00910878" w:rsidP="00BB4736">
            <w:pPr>
              <w:ind w:left="-1305" w:firstLine="1094"/>
              <w:jc w:val="center"/>
              <w:rPr>
                <w:rFonts w:ascii="CAIXA Std Book" w:hAnsi="CAIXA Std Book" w:cs="MS Gothic"/>
                <w:b/>
                <w:color w:val="005CA9"/>
                <w:sz w:val="18"/>
                <w:szCs w:val="18"/>
              </w:rPr>
            </w:pPr>
            <w:r w:rsidRPr="00FF4346">
              <w:rPr>
                <w:rFonts w:ascii="CAIXA Std Book" w:hAnsi="CAIXA Std Book" w:cs="MS Gothic"/>
                <w:b/>
                <w:color w:val="005CA9"/>
                <w:sz w:val="18"/>
                <w:szCs w:val="18"/>
              </w:rPr>
              <w:t>INDIVIDUAL / CONSOLIDADO</w:t>
            </w:r>
          </w:p>
        </w:tc>
      </w:tr>
      <w:tr w:rsidR="006C4F79" w:rsidRPr="00A33766" w14:paraId="1632EF63" w14:textId="77777777" w:rsidTr="00B108F4">
        <w:trPr>
          <w:trHeight w:val="283"/>
        </w:trPr>
        <w:tc>
          <w:tcPr>
            <w:tcW w:w="3336" w:type="pct"/>
            <w:tcBorders>
              <w:top w:val="single" w:sz="4" w:space="0" w:color="F79646" w:themeColor="accent6"/>
              <w:left w:val="nil"/>
              <w:bottom w:val="single" w:sz="4" w:space="0" w:color="F79646" w:themeColor="accent6"/>
              <w:right w:val="nil"/>
            </w:tcBorders>
            <w:shd w:val="clear" w:color="auto" w:fill="auto"/>
            <w:vAlign w:val="center"/>
            <w:hideMark/>
          </w:tcPr>
          <w:p w14:paraId="189E89F2" w14:textId="77777777" w:rsidR="006C4F79" w:rsidRPr="00FF4346" w:rsidRDefault="006C4F79" w:rsidP="006C4F79">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Descrição</w:t>
            </w:r>
          </w:p>
        </w:tc>
        <w:tc>
          <w:tcPr>
            <w:tcW w:w="869" w:type="pct"/>
            <w:tcBorders>
              <w:top w:val="single" w:sz="4" w:space="0" w:color="F79646" w:themeColor="accent6"/>
              <w:left w:val="nil"/>
              <w:bottom w:val="single" w:sz="4" w:space="0" w:color="F79646" w:themeColor="accent6"/>
              <w:right w:val="nil"/>
            </w:tcBorders>
            <w:vAlign w:val="center"/>
          </w:tcPr>
          <w:p w14:paraId="151ED3B2" w14:textId="18051537" w:rsidR="006C4F79" w:rsidRPr="00FF4346" w:rsidRDefault="00CE3894" w:rsidP="006C4F79">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w:t>
            </w:r>
            <w:r w:rsidR="0009702B">
              <w:rPr>
                <w:rFonts w:ascii="CAIXA Std Book" w:hAnsi="CAIXA Std Book" w:cs="MS Gothic"/>
                <w:b/>
                <w:color w:val="005CA9"/>
                <w:sz w:val="18"/>
                <w:szCs w:val="18"/>
              </w:rPr>
              <w:t>03</w:t>
            </w:r>
            <w:r w:rsidRPr="00FF4346">
              <w:rPr>
                <w:rFonts w:ascii="CAIXA Std Book" w:hAnsi="CAIXA Std Book" w:cs="MS Gothic"/>
                <w:b/>
                <w:color w:val="005CA9"/>
                <w:sz w:val="18"/>
                <w:szCs w:val="18"/>
              </w:rPr>
              <w:t>/202</w:t>
            </w:r>
            <w:r w:rsidR="0009702B">
              <w:rPr>
                <w:rFonts w:ascii="CAIXA Std Book" w:hAnsi="CAIXA Std Book" w:cs="MS Gothic"/>
                <w:b/>
                <w:color w:val="005CA9"/>
                <w:sz w:val="18"/>
                <w:szCs w:val="18"/>
              </w:rPr>
              <w:t>4</w:t>
            </w:r>
          </w:p>
        </w:tc>
        <w:tc>
          <w:tcPr>
            <w:tcW w:w="795" w:type="pct"/>
            <w:tcBorders>
              <w:top w:val="single" w:sz="4" w:space="0" w:color="F79646" w:themeColor="accent6"/>
              <w:left w:val="nil"/>
              <w:bottom w:val="single" w:sz="4" w:space="0" w:color="F79646" w:themeColor="accent6"/>
              <w:right w:val="nil"/>
            </w:tcBorders>
            <w:shd w:val="clear" w:color="auto" w:fill="auto"/>
            <w:vAlign w:val="center"/>
            <w:hideMark/>
          </w:tcPr>
          <w:p w14:paraId="5AAC11C7" w14:textId="7B91C212" w:rsidR="006C4F79" w:rsidRPr="00FF4346" w:rsidRDefault="006C4F79" w:rsidP="006C4F79">
            <w:pPr>
              <w:jc w:val="center"/>
              <w:rPr>
                <w:rFonts w:ascii="CAIXA Std Book" w:hAnsi="CAIXA Std Book" w:cs="MS Gothic"/>
                <w:b/>
                <w:color w:val="005CA9"/>
                <w:sz w:val="18"/>
                <w:szCs w:val="18"/>
              </w:rPr>
            </w:pPr>
            <w:r w:rsidRPr="00FF4346">
              <w:rPr>
                <w:rFonts w:ascii="CAIXA Std Book" w:hAnsi="CAIXA Std Book" w:cs="MS Gothic"/>
                <w:b/>
                <w:color w:val="005CA9"/>
                <w:sz w:val="18"/>
                <w:szCs w:val="18"/>
              </w:rPr>
              <w:t>31/12/202</w:t>
            </w:r>
            <w:r w:rsidR="0009702B">
              <w:rPr>
                <w:rFonts w:ascii="CAIXA Std Book" w:hAnsi="CAIXA Std Book" w:cs="MS Gothic"/>
                <w:b/>
                <w:color w:val="005CA9"/>
                <w:sz w:val="18"/>
                <w:szCs w:val="18"/>
              </w:rPr>
              <w:t>3</w:t>
            </w:r>
          </w:p>
        </w:tc>
      </w:tr>
      <w:tr w:rsidR="006C4F79" w:rsidRPr="00A33766" w14:paraId="4B0E1E0C" w14:textId="77777777" w:rsidTr="00B108F4">
        <w:trPr>
          <w:trHeight w:val="283"/>
        </w:trPr>
        <w:tc>
          <w:tcPr>
            <w:tcW w:w="3336" w:type="pct"/>
            <w:tcBorders>
              <w:top w:val="single" w:sz="4" w:space="0" w:color="F79646" w:themeColor="accent6"/>
              <w:left w:val="nil"/>
              <w:bottom w:val="nil"/>
              <w:right w:val="nil"/>
            </w:tcBorders>
            <w:shd w:val="clear" w:color="auto" w:fill="auto"/>
            <w:noWrap/>
            <w:vAlign w:val="center"/>
            <w:hideMark/>
          </w:tcPr>
          <w:p w14:paraId="3B16789D" w14:textId="77777777" w:rsidR="006C4F79" w:rsidRPr="00FF4346" w:rsidRDefault="006C4F79" w:rsidP="006C4F79">
            <w:pPr>
              <w:rPr>
                <w:rFonts w:ascii="CAIXA Std Book" w:hAnsi="CAIXA Std Book" w:cs="MS Gothic"/>
                <w:color w:val="005CA9"/>
                <w:sz w:val="18"/>
                <w:szCs w:val="18"/>
              </w:rPr>
            </w:pPr>
            <w:r w:rsidRPr="00FF4346">
              <w:rPr>
                <w:rFonts w:ascii="CAIXA Std Book" w:hAnsi="CAIXA Std Book" w:cs="MS Gothic"/>
                <w:color w:val="005CA9"/>
                <w:sz w:val="18"/>
                <w:szCs w:val="18"/>
              </w:rPr>
              <w:t>Demandas fiscais</w:t>
            </w:r>
          </w:p>
        </w:tc>
        <w:tc>
          <w:tcPr>
            <w:tcW w:w="869" w:type="pct"/>
            <w:tcBorders>
              <w:top w:val="nil"/>
              <w:left w:val="nil"/>
              <w:bottom w:val="nil"/>
              <w:right w:val="nil"/>
            </w:tcBorders>
            <w:shd w:val="clear" w:color="auto" w:fill="auto"/>
            <w:vAlign w:val="center"/>
          </w:tcPr>
          <w:p w14:paraId="681DFC18" w14:textId="499DEAA4" w:rsidR="006C4F79" w:rsidRPr="00FF4346" w:rsidRDefault="006A28FD" w:rsidP="006C4F79">
            <w:pPr>
              <w:jc w:val="right"/>
              <w:rPr>
                <w:rFonts w:ascii="CAIXA Std Book" w:hAnsi="CAIXA Std Book" w:cs="Arial"/>
                <w:color w:val="005CA9"/>
                <w:sz w:val="18"/>
                <w:szCs w:val="18"/>
              </w:rPr>
            </w:pPr>
            <w:r>
              <w:rPr>
                <w:rFonts w:ascii="CAIXA Std Book" w:hAnsi="CAIXA Std Book" w:cs="Arial"/>
                <w:color w:val="005CA9"/>
                <w:sz w:val="18"/>
                <w:szCs w:val="18"/>
              </w:rPr>
              <w:t>13.642.605</w:t>
            </w:r>
          </w:p>
        </w:tc>
        <w:tc>
          <w:tcPr>
            <w:tcW w:w="795" w:type="pct"/>
            <w:tcBorders>
              <w:top w:val="nil"/>
              <w:left w:val="nil"/>
              <w:bottom w:val="nil"/>
              <w:right w:val="nil"/>
            </w:tcBorders>
            <w:shd w:val="clear" w:color="auto" w:fill="auto"/>
            <w:vAlign w:val="center"/>
          </w:tcPr>
          <w:p w14:paraId="615D157C" w14:textId="7601D4EA" w:rsidR="006C4F79" w:rsidRPr="00FF4346" w:rsidRDefault="0009702B" w:rsidP="006C4F79">
            <w:pPr>
              <w:jc w:val="right"/>
              <w:rPr>
                <w:rFonts w:ascii="CAIXA Std Book" w:hAnsi="CAIXA Std Book" w:cs="MS Gothic"/>
                <w:color w:val="005CA9"/>
                <w:sz w:val="18"/>
                <w:szCs w:val="18"/>
              </w:rPr>
            </w:pPr>
            <w:r w:rsidRPr="00FF4346">
              <w:rPr>
                <w:rFonts w:ascii="CAIXA Std Book" w:hAnsi="CAIXA Std Book" w:cs="Arial"/>
                <w:color w:val="005CA9"/>
                <w:sz w:val="18"/>
                <w:szCs w:val="18"/>
              </w:rPr>
              <w:t>13.414.537</w:t>
            </w:r>
          </w:p>
        </w:tc>
      </w:tr>
      <w:tr w:rsidR="006C4F79" w:rsidRPr="00A33766" w14:paraId="29D85C81" w14:textId="77777777" w:rsidTr="00B108F4">
        <w:trPr>
          <w:trHeight w:val="283"/>
        </w:trPr>
        <w:tc>
          <w:tcPr>
            <w:tcW w:w="3336" w:type="pct"/>
            <w:tcBorders>
              <w:top w:val="nil"/>
              <w:left w:val="nil"/>
              <w:bottom w:val="nil"/>
              <w:right w:val="nil"/>
            </w:tcBorders>
            <w:shd w:val="clear" w:color="auto" w:fill="auto"/>
            <w:noWrap/>
            <w:vAlign w:val="center"/>
            <w:hideMark/>
          </w:tcPr>
          <w:p w14:paraId="77A390B1" w14:textId="77777777" w:rsidR="006C4F79" w:rsidRPr="00FF4346" w:rsidRDefault="006C4F79" w:rsidP="006C4F79">
            <w:pPr>
              <w:rPr>
                <w:rFonts w:ascii="CAIXA Std Book" w:hAnsi="CAIXA Std Book" w:cs="MS Gothic"/>
                <w:color w:val="005CA9"/>
                <w:sz w:val="18"/>
                <w:szCs w:val="18"/>
              </w:rPr>
            </w:pPr>
            <w:r w:rsidRPr="00FF4346">
              <w:rPr>
                <w:rFonts w:ascii="CAIXA Std Book" w:hAnsi="CAIXA Std Book" w:cs="MS Gothic"/>
                <w:color w:val="005CA9"/>
                <w:sz w:val="18"/>
                <w:szCs w:val="18"/>
              </w:rPr>
              <w:t>Demandas trabalhistas</w:t>
            </w:r>
          </w:p>
        </w:tc>
        <w:tc>
          <w:tcPr>
            <w:tcW w:w="869" w:type="pct"/>
            <w:tcBorders>
              <w:top w:val="nil"/>
              <w:left w:val="nil"/>
              <w:bottom w:val="nil"/>
              <w:right w:val="nil"/>
            </w:tcBorders>
            <w:shd w:val="clear" w:color="auto" w:fill="auto"/>
            <w:vAlign w:val="center"/>
          </w:tcPr>
          <w:p w14:paraId="58F2CA70" w14:textId="4A3F77A9" w:rsidR="006C4F79" w:rsidRPr="00FF4346" w:rsidRDefault="006A28FD" w:rsidP="006C4F79">
            <w:pPr>
              <w:jc w:val="right"/>
              <w:rPr>
                <w:rFonts w:ascii="CAIXA Std Book" w:hAnsi="CAIXA Std Book" w:cs="Arial Unicode MS"/>
                <w:color w:val="005CA9"/>
                <w:sz w:val="18"/>
                <w:szCs w:val="18"/>
              </w:rPr>
            </w:pPr>
            <w:r>
              <w:rPr>
                <w:rFonts w:ascii="CAIXA Std Book" w:hAnsi="CAIXA Std Book" w:cs="Arial"/>
                <w:color w:val="005CA9"/>
                <w:sz w:val="18"/>
                <w:szCs w:val="18"/>
              </w:rPr>
              <w:t>6.363.801</w:t>
            </w:r>
          </w:p>
        </w:tc>
        <w:tc>
          <w:tcPr>
            <w:tcW w:w="795" w:type="pct"/>
            <w:tcBorders>
              <w:top w:val="nil"/>
              <w:left w:val="nil"/>
              <w:bottom w:val="nil"/>
              <w:right w:val="nil"/>
            </w:tcBorders>
            <w:shd w:val="clear" w:color="auto" w:fill="auto"/>
            <w:vAlign w:val="center"/>
          </w:tcPr>
          <w:p w14:paraId="754D1981" w14:textId="4702589C" w:rsidR="006C4F79" w:rsidRPr="00FF4346" w:rsidRDefault="0009702B" w:rsidP="006C4F79">
            <w:pPr>
              <w:jc w:val="right"/>
              <w:rPr>
                <w:rFonts w:ascii="CAIXA Std Book" w:hAnsi="CAIXA Std Book" w:cs="MS Gothic"/>
                <w:color w:val="005CA9"/>
                <w:sz w:val="18"/>
                <w:szCs w:val="18"/>
              </w:rPr>
            </w:pPr>
            <w:r w:rsidRPr="00FF4346">
              <w:rPr>
                <w:rFonts w:ascii="CAIXA Std Book" w:hAnsi="CAIXA Std Book" w:cs="Arial"/>
                <w:color w:val="005CA9"/>
                <w:sz w:val="18"/>
                <w:szCs w:val="18"/>
              </w:rPr>
              <w:t>6.426.404</w:t>
            </w:r>
          </w:p>
        </w:tc>
      </w:tr>
      <w:tr w:rsidR="006C4F79" w:rsidRPr="00A33766" w14:paraId="1635D803" w14:textId="77777777" w:rsidTr="00B108F4">
        <w:trPr>
          <w:trHeight w:val="283"/>
        </w:trPr>
        <w:tc>
          <w:tcPr>
            <w:tcW w:w="3336" w:type="pct"/>
            <w:tcBorders>
              <w:top w:val="nil"/>
              <w:left w:val="nil"/>
              <w:bottom w:val="single" w:sz="4" w:space="0" w:color="F79646" w:themeColor="accent6"/>
              <w:right w:val="nil"/>
            </w:tcBorders>
            <w:shd w:val="clear" w:color="auto" w:fill="auto"/>
            <w:noWrap/>
            <w:vAlign w:val="center"/>
            <w:hideMark/>
          </w:tcPr>
          <w:p w14:paraId="6C619767" w14:textId="77777777" w:rsidR="006C4F79" w:rsidRPr="00FF4346" w:rsidRDefault="006C4F79" w:rsidP="006C4F79">
            <w:pPr>
              <w:rPr>
                <w:rFonts w:ascii="CAIXA Std Book" w:hAnsi="CAIXA Std Book" w:cs="MS Gothic"/>
                <w:color w:val="005CA9"/>
                <w:sz w:val="18"/>
                <w:szCs w:val="18"/>
              </w:rPr>
            </w:pPr>
            <w:r w:rsidRPr="00FF4346">
              <w:rPr>
                <w:rFonts w:ascii="CAIXA Std Book" w:hAnsi="CAIXA Std Book" w:cs="MS Gothic"/>
                <w:color w:val="005CA9"/>
                <w:sz w:val="18"/>
                <w:szCs w:val="18"/>
              </w:rPr>
              <w:t>Demandas cíveis</w:t>
            </w:r>
          </w:p>
        </w:tc>
        <w:tc>
          <w:tcPr>
            <w:tcW w:w="869" w:type="pct"/>
            <w:tcBorders>
              <w:top w:val="nil"/>
              <w:left w:val="nil"/>
              <w:bottom w:val="single" w:sz="4" w:space="0" w:color="F39200"/>
              <w:right w:val="nil"/>
            </w:tcBorders>
            <w:shd w:val="clear" w:color="auto" w:fill="auto"/>
            <w:vAlign w:val="center"/>
          </w:tcPr>
          <w:p w14:paraId="76FA42C0" w14:textId="7FDE5F50" w:rsidR="006C4F79" w:rsidRPr="00FF4346" w:rsidRDefault="006A28FD" w:rsidP="006C4F79">
            <w:pPr>
              <w:jc w:val="right"/>
              <w:rPr>
                <w:rFonts w:ascii="CAIXA Std Book" w:hAnsi="CAIXA Std Book" w:cs="Arial Unicode MS"/>
                <w:color w:val="005CA9"/>
                <w:sz w:val="18"/>
                <w:szCs w:val="18"/>
              </w:rPr>
            </w:pPr>
            <w:r>
              <w:rPr>
                <w:rFonts w:ascii="CAIXA Std Book" w:hAnsi="CAIXA Std Book" w:cs="Arial"/>
                <w:color w:val="005CA9"/>
                <w:sz w:val="18"/>
                <w:szCs w:val="18"/>
              </w:rPr>
              <w:t>923.216</w:t>
            </w:r>
          </w:p>
        </w:tc>
        <w:tc>
          <w:tcPr>
            <w:tcW w:w="795" w:type="pct"/>
            <w:tcBorders>
              <w:top w:val="nil"/>
              <w:left w:val="nil"/>
              <w:bottom w:val="single" w:sz="4" w:space="0" w:color="F79646"/>
              <w:right w:val="nil"/>
            </w:tcBorders>
            <w:shd w:val="clear" w:color="auto" w:fill="auto"/>
            <w:vAlign w:val="center"/>
          </w:tcPr>
          <w:p w14:paraId="79DFB529" w14:textId="79FCD10C" w:rsidR="006C4F79" w:rsidRPr="00FF4346" w:rsidRDefault="0009702B" w:rsidP="006C4F79">
            <w:pPr>
              <w:jc w:val="right"/>
              <w:rPr>
                <w:rFonts w:ascii="CAIXA Std Book" w:hAnsi="CAIXA Std Book" w:cs="MS Gothic"/>
                <w:color w:val="005CA9"/>
                <w:sz w:val="18"/>
                <w:szCs w:val="18"/>
              </w:rPr>
            </w:pPr>
            <w:r w:rsidRPr="00FF4346">
              <w:rPr>
                <w:rFonts w:ascii="CAIXA Std Book" w:hAnsi="CAIXA Std Book" w:cs="Arial"/>
                <w:color w:val="005CA9"/>
                <w:sz w:val="18"/>
                <w:szCs w:val="18"/>
              </w:rPr>
              <w:t>910.901</w:t>
            </w:r>
          </w:p>
        </w:tc>
      </w:tr>
      <w:tr w:rsidR="006C4F79" w:rsidRPr="00A33766" w14:paraId="3EB75EF1" w14:textId="77777777" w:rsidTr="00B108F4">
        <w:trPr>
          <w:trHeight w:val="283"/>
        </w:trPr>
        <w:tc>
          <w:tcPr>
            <w:tcW w:w="3336" w:type="pct"/>
            <w:tcBorders>
              <w:top w:val="single" w:sz="4" w:space="0" w:color="F79646" w:themeColor="accent6"/>
              <w:left w:val="nil"/>
              <w:bottom w:val="single" w:sz="4" w:space="0" w:color="F79646"/>
              <w:right w:val="nil"/>
            </w:tcBorders>
            <w:shd w:val="clear" w:color="auto" w:fill="auto"/>
            <w:noWrap/>
            <w:vAlign w:val="center"/>
            <w:hideMark/>
          </w:tcPr>
          <w:p w14:paraId="2AACB725" w14:textId="77777777" w:rsidR="006C4F79" w:rsidRPr="00FF4346" w:rsidRDefault="006C4F79" w:rsidP="006C4F79">
            <w:pPr>
              <w:rPr>
                <w:rFonts w:ascii="CAIXA Std Book" w:hAnsi="CAIXA Std Book" w:cs="MS Gothic"/>
                <w:b/>
                <w:color w:val="005CA9"/>
                <w:sz w:val="18"/>
                <w:szCs w:val="18"/>
              </w:rPr>
            </w:pPr>
            <w:r w:rsidRPr="00FF4346">
              <w:rPr>
                <w:rFonts w:ascii="CAIXA Std Book" w:hAnsi="CAIXA Std Book" w:cs="MS Gothic"/>
                <w:b/>
                <w:color w:val="005CA9"/>
                <w:sz w:val="18"/>
                <w:szCs w:val="18"/>
              </w:rPr>
              <w:t>Total</w:t>
            </w:r>
          </w:p>
        </w:tc>
        <w:tc>
          <w:tcPr>
            <w:tcW w:w="869" w:type="pct"/>
            <w:tcBorders>
              <w:top w:val="single" w:sz="4" w:space="0" w:color="F39200"/>
              <w:left w:val="nil"/>
              <w:bottom w:val="single" w:sz="4" w:space="0" w:color="F39200"/>
              <w:right w:val="nil"/>
            </w:tcBorders>
            <w:shd w:val="clear" w:color="auto" w:fill="auto"/>
            <w:vAlign w:val="center"/>
          </w:tcPr>
          <w:p w14:paraId="3EFAC7EE" w14:textId="10FB86DD" w:rsidR="006C4F79" w:rsidRPr="00FF4346" w:rsidRDefault="006A28FD" w:rsidP="006C4F79">
            <w:pPr>
              <w:jc w:val="right"/>
              <w:rPr>
                <w:rFonts w:ascii="CAIXA Std Book" w:hAnsi="CAIXA Std Book" w:cs="Arial Unicode MS"/>
                <w:b/>
                <w:color w:val="005CA9"/>
                <w:sz w:val="18"/>
                <w:szCs w:val="18"/>
              </w:rPr>
            </w:pPr>
            <w:r>
              <w:rPr>
                <w:rFonts w:ascii="CAIXA Std Book" w:hAnsi="CAIXA Std Book" w:cs="Arial"/>
                <w:b/>
                <w:bCs/>
                <w:color w:val="005CA9"/>
                <w:sz w:val="18"/>
                <w:szCs w:val="18"/>
              </w:rPr>
              <w:t>20.929.622</w:t>
            </w:r>
          </w:p>
        </w:tc>
        <w:tc>
          <w:tcPr>
            <w:tcW w:w="795" w:type="pct"/>
            <w:tcBorders>
              <w:top w:val="single" w:sz="4" w:space="0" w:color="F79646"/>
              <w:left w:val="nil"/>
              <w:bottom w:val="single" w:sz="4" w:space="0" w:color="F79646"/>
              <w:right w:val="nil"/>
            </w:tcBorders>
            <w:shd w:val="clear" w:color="auto" w:fill="auto"/>
            <w:vAlign w:val="center"/>
          </w:tcPr>
          <w:p w14:paraId="35D4C5DC" w14:textId="7B47A122" w:rsidR="006C4F79" w:rsidRPr="00FF4346" w:rsidRDefault="0009702B" w:rsidP="006C4F79">
            <w:pPr>
              <w:jc w:val="right"/>
              <w:rPr>
                <w:rFonts w:ascii="CAIXA Std Book" w:hAnsi="CAIXA Std Book" w:cs="MS Gothic"/>
                <w:b/>
                <w:color w:val="005CA9"/>
                <w:sz w:val="18"/>
                <w:szCs w:val="18"/>
              </w:rPr>
            </w:pPr>
            <w:r w:rsidRPr="00FF4346">
              <w:rPr>
                <w:rFonts w:ascii="CAIXA Std Book" w:hAnsi="CAIXA Std Book" w:cs="Arial"/>
                <w:b/>
                <w:color w:val="005CA9"/>
                <w:sz w:val="18"/>
                <w:szCs w:val="18"/>
              </w:rPr>
              <w:t>20.751.842</w:t>
            </w:r>
          </w:p>
        </w:tc>
      </w:tr>
    </w:tbl>
    <w:p w14:paraId="23BFD4EA" w14:textId="77777777" w:rsidR="006D0E67" w:rsidRDefault="006D0E67" w:rsidP="001464F4">
      <w:bookmarkStart w:id="100" w:name="_Toc130828154"/>
      <w:bookmarkStart w:id="101" w:name="_Toc110535136"/>
      <w:bookmarkStart w:id="102" w:name="_Hlk65762595"/>
      <w:bookmarkEnd w:id="93"/>
      <w:bookmarkEnd w:id="94"/>
    </w:p>
    <w:p w14:paraId="6FDE2CC7" w14:textId="77777777" w:rsidR="00FF4346" w:rsidRDefault="00FF4346">
      <w:pPr>
        <w:rPr>
          <w:rFonts w:ascii="Futura Lt BT" w:hAnsi="Futura Lt BT"/>
          <w:b/>
          <w:color w:val="005CA9"/>
        </w:rPr>
      </w:pPr>
      <w:r>
        <w:br w:type="page"/>
      </w:r>
    </w:p>
    <w:p w14:paraId="727EF2CD" w14:textId="1157C99C" w:rsidR="003B762C" w:rsidRPr="00FF4346" w:rsidRDefault="003B762C" w:rsidP="005A596E">
      <w:pPr>
        <w:pStyle w:val="Ttulo1"/>
      </w:pPr>
      <w:bookmarkStart w:id="103" w:name="_Toc166594495"/>
      <w:r w:rsidRPr="00FF4346">
        <w:lastRenderedPageBreak/>
        <w:t>Nota 20 – Tributos</w:t>
      </w:r>
      <w:bookmarkEnd w:id="100"/>
      <w:bookmarkEnd w:id="103"/>
    </w:p>
    <w:p w14:paraId="5DB1B7C1" w14:textId="77777777" w:rsidR="003B762C" w:rsidRPr="00FF4346" w:rsidRDefault="003B762C" w:rsidP="00B37B40">
      <w:pPr>
        <w:keepNext/>
        <w:numPr>
          <w:ilvl w:val="0"/>
          <w:numId w:val="9"/>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Demonstração da despesa de IRPJ e CSLL</w:t>
      </w:r>
    </w:p>
    <w:tbl>
      <w:tblPr>
        <w:tblW w:w="5000" w:type="pct"/>
        <w:tblCellMar>
          <w:left w:w="70" w:type="dxa"/>
          <w:right w:w="70" w:type="dxa"/>
        </w:tblCellMar>
        <w:tblLook w:val="04A0" w:firstRow="1" w:lastRow="0" w:firstColumn="1" w:lastColumn="0" w:noHBand="0" w:noVBand="1"/>
      </w:tblPr>
      <w:tblGrid>
        <w:gridCol w:w="4574"/>
        <w:gridCol w:w="1368"/>
        <w:gridCol w:w="1226"/>
        <w:gridCol w:w="1237"/>
        <w:gridCol w:w="1232"/>
      </w:tblGrid>
      <w:tr w:rsidR="005F085B" w:rsidRPr="00A33766" w14:paraId="13A9958E" w14:textId="77777777" w:rsidTr="00F13A5D">
        <w:trPr>
          <w:trHeight w:val="270"/>
        </w:trPr>
        <w:tc>
          <w:tcPr>
            <w:tcW w:w="2373" w:type="pct"/>
            <w:vMerge w:val="restart"/>
            <w:tcBorders>
              <w:top w:val="single" w:sz="4" w:space="0" w:color="F39200"/>
              <w:left w:val="nil"/>
              <w:bottom w:val="single" w:sz="4" w:space="0" w:color="F39200"/>
              <w:right w:val="nil"/>
            </w:tcBorders>
            <w:shd w:val="clear" w:color="auto" w:fill="auto"/>
            <w:vAlign w:val="center"/>
            <w:hideMark/>
          </w:tcPr>
          <w:p w14:paraId="099DE3A8" w14:textId="77777777" w:rsidR="005F085B" w:rsidRPr="00A33766" w:rsidRDefault="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Descrição</w:t>
            </w:r>
          </w:p>
        </w:tc>
        <w:tc>
          <w:tcPr>
            <w:tcW w:w="1346" w:type="pct"/>
            <w:gridSpan w:val="2"/>
            <w:tcBorders>
              <w:top w:val="single" w:sz="4" w:space="0" w:color="F39200"/>
              <w:left w:val="nil"/>
              <w:bottom w:val="single" w:sz="4" w:space="0" w:color="F39200"/>
              <w:right w:val="nil"/>
            </w:tcBorders>
            <w:shd w:val="clear" w:color="auto" w:fill="auto"/>
            <w:vAlign w:val="center"/>
            <w:hideMark/>
          </w:tcPr>
          <w:p w14:paraId="0933550A" w14:textId="77777777" w:rsidR="005F085B" w:rsidRPr="00A33766" w:rsidRDefault="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INDIVIDUAL</w:t>
            </w:r>
          </w:p>
        </w:tc>
        <w:tc>
          <w:tcPr>
            <w:tcW w:w="1282" w:type="pct"/>
            <w:gridSpan w:val="2"/>
            <w:tcBorders>
              <w:top w:val="single" w:sz="4" w:space="0" w:color="F39200"/>
              <w:left w:val="nil"/>
              <w:bottom w:val="single" w:sz="4" w:space="0" w:color="F39200"/>
              <w:right w:val="nil"/>
            </w:tcBorders>
            <w:shd w:val="clear" w:color="auto" w:fill="auto"/>
            <w:vAlign w:val="center"/>
            <w:hideMark/>
          </w:tcPr>
          <w:p w14:paraId="11520C2B" w14:textId="77777777" w:rsidR="005F085B" w:rsidRPr="00A33766" w:rsidRDefault="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CONSOLIDADO</w:t>
            </w:r>
          </w:p>
        </w:tc>
      </w:tr>
      <w:tr w:rsidR="005F085B" w:rsidRPr="00A33766" w14:paraId="15FB7E56" w14:textId="77777777" w:rsidTr="00F13A5D">
        <w:trPr>
          <w:trHeight w:val="270"/>
        </w:trPr>
        <w:tc>
          <w:tcPr>
            <w:tcW w:w="2373" w:type="pct"/>
            <w:vMerge/>
            <w:tcBorders>
              <w:top w:val="single" w:sz="4" w:space="0" w:color="F39200"/>
              <w:left w:val="nil"/>
              <w:bottom w:val="single" w:sz="4" w:space="0" w:color="F39200"/>
              <w:right w:val="nil"/>
            </w:tcBorders>
            <w:vAlign w:val="center"/>
            <w:hideMark/>
          </w:tcPr>
          <w:p w14:paraId="6BDB2A72" w14:textId="77777777" w:rsidR="005F085B" w:rsidRPr="00A33766" w:rsidRDefault="005F085B" w:rsidP="005F085B">
            <w:pPr>
              <w:rPr>
                <w:rFonts w:ascii="CAIXA Std Book" w:eastAsia="Times New Roman" w:hAnsi="CAIXA Std Book" w:cs="Arial"/>
                <w:b/>
                <w:color w:val="005CA9"/>
                <w:sz w:val="18"/>
                <w:szCs w:val="18"/>
              </w:rPr>
            </w:pPr>
          </w:p>
        </w:tc>
        <w:tc>
          <w:tcPr>
            <w:tcW w:w="710" w:type="pct"/>
            <w:tcBorders>
              <w:top w:val="nil"/>
              <w:left w:val="nil"/>
              <w:bottom w:val="single" w:sz="4" w:space="0" w:color="F39200"/>
              <w:right w:val="nil"/>
            </w:tcBorders>
            <w:shd w:val="clear" w:color="auto" w:fill="auto"/>
            <w:vAlign w:val="center"/>
            <w:hideMark/>
          </w:tcPr>
          <w:p w14:paraId="51F84AA7" w14:textId="29BF0021"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2024</w:t>
            </w:r>
          </w:p>
        </w:tc>
        <w:tc>
          <w:tcPr>
            <w:tcW w:w="636" w:type="pct"/>
            <w:tcBorders>
              <w:top w:val="nil"/>
              <w:left w:val="nil"/>
              <w:bottom w:val="single" w:sz="4" w:space="0" w:color="F39200"/>
              <w:right w:val="nil"/>
            </w:tcBorders>
            <w:shd w:val="clear" w:color="auto" w:fill="auto"/>
            <w:vAlign w:val="center"/>
            <w:hideMark/>
          </w:tcPr>
          <w:p w14:paraId="3D54D098" w14:textId="4B3AC81D"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2023</w:t>
            </w:r>
          </w:p>
        </w:tc>
        <w:tc>
          <w:tcPr>
            <w:tcW w:w="642" w:type="pct"/>
            <w:tcBorders>
              <w:top w:val="nil"/>
              <w:left w:val="nil"/>
              <w:bottom w:val="single" w:sz="4" w:space="0" w:color="F39200"/>
              <w:right w:val="nil"/>
            </w:tcBorders>
            <w:shd w:val="clear" w:color="auto" w:fill="auto"/>
            <w:vAlign w:val="center"/>
            <w:hideMark/>
          </w:tcPr>
          <w:p w14:paraId="79D32E95" w14:textId="5D6EE4B0"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2024</w:t>
            </w:r>
          </w:p>
        </w:tc>
        <w:tc>
          <w:tcPr>
            <w:tcW w:w="639" w:type="pct"/>
            <w:tcBorders>
              <w:top w:val="nil"/>
              <w:left w:val="nil"/>
              <w:bottom w:val="single" w:sz="4" w:space="0" w:color="F39200"/>
              <w:right w:val="nil"/>
            </w:tcBorders>
            <w:shd w:val="clear" w:color="auto" w:fill="auto"/>
            <w:vAlign w:val="center"/>
            <w:hideMark/>
          </w:tcPr>
          <w:p w14:paraId="35AF0264" w14:textId="739659DE"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2023</w:t>
            </w:r>
          </w:p>
        </w:tc>
      </w:tr>
      <w:tr w:rsidR="005F085B" w:rsidRPr="00A33766" w14:paraId="76DFB7E2" w14:textId="77777777" w:rsidTr="00F13A5D">
        <w:trPr>
          <w:trHeight w:val="255"/>
        </w:trPr>
        <w:tc>
          <w:tcPr>
            <w:tcW w:w="2373" w:type="pct"/>
            <w:vMerge/>
            <w:tcBorders>
              <w:top w:val="single" w:sz="4" w:space="0" w:color="F39200"/>
              <w:left w:val="nil"/>
              <w:bottom w:val="single" w:sz="4" w:space="0" w:color="F39200"/>
              <w:right w:val="nil"/>
            </w:tcBorders>
            <w:vAlign w:val="center"/>
            <w:hideMark/>
          </w:tcPr>
          <w:p w14:paraId="6C2A7212" w14:textId="77777777" w:rsidR="005F085B" w:rsidRPr="00A33766" w:rsidRDefault="005F085B" w:rsidP="005F085B">
            <w:pPr>
              <w:rPr>
                <w:rFonts w:ascii="CAIXA Std Book" w:eastAsia="Times New Roman" w:hAnsi="CAIXA Std Book" w:cs="Arial"/>
                <w:b/>
                <w:color w:val="005CA9"/>
                <w:sz w:val="18"/>
                <w:szCs w:val="18"/>
              </w:rPr>
            </w:pPr>
          </w:p>
        </w:tc>
        <w:tc>
          <w:tcPr>
            <w:tcW w:w="710" w:type="pct"/>
            <w:tcBorders>
              <w:top w:val="nil"/>
              <w:left w:val="nil"/>
              <w:bottom w:val="single" w:sz="4" w:space="0" w:color="F39200"/>
              <w:right w:val="nil"/>
            </w:tcBorders>
            <w:shd w:val="clear" w:color="auto" w:fill="auto"/>
            <w:vAlign w:val="center"/>
            <w:hideMark/>
          </w:tcPr>
          <w:p w14:paraId="33670BA9" w14:textId="77777777"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36" w:type="pct"/>
            <w:tcBorders>
              <w:top w:val="nil"/>
              <w:left w:val="nil"/>
              <w:bottom w:val="single" w:sz="4" w:space="0" w:color="F39200"/>
              <w:right w:val="nil"/>
            </w:tcBorders>
            <w:shd w:val="clear" w:color="auto" w:fill="auto"/>
            <w:vAlign w:val="center"/>
            <w:hideMark/>
          </w:tcPr>
          <w:p w14:paraId="13371442" w14:textId="2E950F87"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42" w:type="pct"/>
            <w:tcBorders>
              <w:top w:val="nil"/>
              <w:left w:val="nil"/>
              <w:bottom w:val="single" w:sz="4" w:space="0" w:color="F39200"/>
              <w:right w:val="nil"/>
            </w:tcBorders>
            <w:shd w:val="clear" w:color="auto" w:fill="auto"/>
            <w:vAlign w:val="center"/>
            <w:hideMark/>
          </w:tcPr>
          <w:p w14:paraId="4310F4DA" w14:textId="77777777"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39" w:type="pct"/>
            <w:tcBorders>
              <w:top w:val="nil"/>
              <w:left w:val="nil"/>
              <w:bottom w:val="single" w:sz="4" w:space="0" w:color="F39200"/>
              <w:right w:val="nil"/>
            </w:tcBorders>
            <w:shd w:val="clear" w:color="auto" w:fill="auto"/>
            <w:vAlign w:val="center"/>
            <w:hideMark/>
          </w:tcPr>
          <w:p w14:paraId="7C8E36F8" w14:textId="7E9BEB8C" w:rsidR="005F085B" w:rsidRPr="00A33766" w:rsidRDefault="005F085B" w:rsidP="005F085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r>
      <w:tr w:rsidR="00F13A5D" w:rsidRPr="00A33766" w14:paraId="675A874D" w14:textId="77777777" w:rsidTr="00F13A5D">
        <w:trPr>
          <w:trHeight w:val="255"/>
        </w:trPr>
        <w:tc>
          <w:tcPr>
            <w:tcW w:w="2373" w:type="pct"/>
            <w:tcBorders>
              <w:top w:val="nil"/>
              <w:left w:val="nil"/>
              <w:bottom w:val="nil"/>
              <w:right w:val="nil"/>
            </w:tcBorders>
            <w:shd w:val="clear" w:color="auto" w:fill="auto"/>
            <w:vAlign w:val="center"/>
            <w:hideMark/>
          </w:tcPr>
          <w:p w14:paraId="7F9E599A" w14:textId="77777777" w:rsidR="00F13A5D" w:rsidRPr="00A33766" w:rsidRDefault="00F13A5D" w:rsidP="00F13A5D">
            <w:pP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Tributos correntes</w:t>
            </w:r>
          </w:p>
        </w:tc>
        <w:tc>
          <w:tcPr>
            <w:tcW w:w="710" w:type="pct"/>
            <w:tcBorders>
              <w:top w:val="nil"/>
              <w:left w:val="nil"/>
              <w:bottom w:val="nil"/>
              <w:right w:val="nil"/>
            </w:tcBorders>
            <w:shd w:val="clear" w:color="auto" w:fill="auto"/>
            <w:vAlign w:val="center"/>
          </w:tcPr>
          <w:p w14:paraId="78E05690" w14:textId="7D3398A5"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(950.524)</w:t>
            </w:r>
          </w:p>
        </w:tc>
        <w:tc>
          <w:tcPr>
            <w:tcW w:w="636" w:type="pct"/>
            <w:tcBorders>
              <w:top w:val="nil"/>
              <w:left w:val="nil"/>
              <w:bottom w:val="nil"/>
              <w:right w:val="nil"/>
            </w:tcBorders>
            <w:shd w:val="clear" w:color="auto" w:fill="auto"/>
            <w:vAlign w:val="center"/>
            <w:hideMark/>
          </w:tcPr>
          <w:p w14:paraId="5165C8A0" w14:textId="2E834392"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(394.692)</w:t>
            </w:r>
          </w:p>
        </w:tc>
        <w:tc>
          <w:tcPr>
            <w:tcW w:w="642" w:type="pct"/>
            <w:tcBorders>
              <w:top w:val="nil"/>
              <w:left w:val="nil"/>
              <w:bottom w:val="nil"/>
              <w:right w:val="nil"/>
            </w:tcBorders>
            <w:shd w:val="clear" w:color="auto" w:fill="auto"/>
            <w:vAlign w:val="center"/>
          </w:tcPr>
          <w:p w14:paraId="48CE74C5" w14:textId="311C8902"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(1.246.014)</w:t>
            </w:r>
          </w:p>
        </w:tc>
        <w:tc>
          <w:tcPr>
            <w:tcW w:w="639" w:type="pct"/>
            <w:tcBorders>
              <w:top w:val="nil"/>
              <w:left w:val="nil"/>
              <w:bottom w:val="nil"/>
              <w:right w:val="nil"/>
            </w:tcBorders>
            <w:shd w:val="clear" w:color="auto" w:fill="auto"/>
            <w:vAlign w:val="center"/>
            <w:hideMark/>
          </w:tcPr>
          <w:p w14:paraId="336290D2" w14:textId="585AEE9A"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(692.112)</w:t>
            </w:r>
          </w:p>
        </w:tc>
      </w:tr>
      <w:tr w:rsidR="00F13A5D" w:rsidRPr="00A33766" w14:paraId="4F87F62C" w14:textId="77777777" w:rsidTr="00F13A5D">
        <w:trPr>
          <w:trHeight w:val="255"/>
        </w:trPr>
        <w:tc>
          <w:tcPr>
            <w:tcW w:w="2373" w:type="pct"/>
            <w:tcBorders>
              <w:top w:val="nil"/>
              <w:left w:val="nil"/>
              <w:bottom w:val="nil"/>
              <w:right w:val="nil"/>
            </w:tcBorders>
            <w:shd w:val="clear" w:color="auto" w:fill="auto"/>
            <w:vAlign w:val="center"/>
            <w:hideMark/>
          </w:tcPr>
          <w:p w14:paraId="17058BF6" w14:textId="77777777" w:rsidR="00F13A5D" w:rsidRPr="00A33766" w:rsidRDefault="00F13A5D" w:rsidP="00F13A5D">
            <w:pP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Tributos diferidos</w:t>
            </w:r>
          </w:p>
        </w:tc>
        <w:tc>
          <w:tcPr>
            <w:tcW w:w="710" w:type="pct"/>
            <w:tcBorders>
              <w:top w:val="nil"/>
              <w:left w:val="nil"/>
              <w:bottom w:val="nil"/>
              <w:right w:val="nil"/>
            </w:tcBorders>
            <w:shd w:val="clear" w:color="auto" w:fill="auto"/>
            <w:vAlign w:val="center"/>
          </w:tcPr>
          <w:p w14:paraId="4AD720ED" w14:textId="3F73EC00"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2.395.367</w:t>
            </w:r>
          </w:p>
        </w:tc>
        <w:tc>
          <w:tcPr>
            <w:tcW w:w="636" w:type="pct"/>
            <w:tcBorders>
              <w:top w:val="nil"/>
              <w:left w:val="nil"/>
              <w:bottom w:val="nil"/>
              <w:right w:val="nil"/>
            </w:tcBorders>
            <w:shd w:val="clear" w:color="auto" w:fill="auto"/>
            <w:vAlign w:val="center"/>
            <w:hideMark/>
          </w:tcPr>
          <w:p w14:paraId="3A1705A8" w14:textId="04DE253B"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 xml:space="preserve">1.766.189 </w:t>
            </w:r>
          </w:p>
        </w:tc>
        <w:tc>
          <w:tcPr>
            <w:tcW w:w="642" w:type="pct"/>
            <w:tcBorders>
              <w:top w:val="nil"/>
              <w:left w:val="nil"/>
              <w:bottom w:val="nil"/>
              <w:right w:val="nil"/>
            </w:tcBorders>
            <w:shd w:val="clear" w:color="auto" w:fill="auto"/>
            <w:vAlign w:val="center"/>
          </w:tcPr>
          <w:p w14:paraId="2040C48B" w14:textId="2EC0E0C7"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2.395.485</w:t>
            </w:r>
          </w:p>
        </w:tc>
        <w:tc>
          <w:tcPr>
            <w:tcW w:w="639" w:type="pct"/>
            <w:tcBorders>
              <w:top w:val="nil"/>
              <w:left w:val="nil"/>
              <w:bottom w:val="nil"/>
              <w:right w:val="nil"/>
            </w:tcBorders>
            <w:shd w:val="clear" w:color="auto" w:fill="auto"/>
            <w:vAlign w:val="center"/>
            <w:hideMark/>
          </w:tcPr>
          <w:p w14:paraId="6FC0B90C" w14:textId="5E7593B8"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1.764.297</w:t>
            </w:r>
          </w:p>
        </w:tc>
      </w:tr>
      <w:tr w:rsidR="00F13A5D" w:rsidRPr="00A33766" w14:paraId="35445ABD" w14:textId="77777777" w:rsidTr="00F13A5D">
        <w:trPr>
          <w:trHeight w:val="255"/>
        </w:trPr>
        <w:tc>
          <w:tcPr>
            <w:tcW w:w="2373" w:type="pct"/>
            <w:tcBorders>
              <w:top w:val="nil"/>
              <w:left w:val="nil"/>
              <w:bottom w:val="nil"/>
              <w:right w:val="nil"/>
            </w:tcBorders>
            <w:shd w:val="clear" w:color="auto" w:fill="auto"/>
            <w:vAlign w:val="center"/>
            <w:hideMark/>
          </w:tcPr>
          <w:p w14:paraId="2DFBD6B8" w14:textId="77777777" w:rsidR="00F13A5D" w:rsidRPr="00A33766" w:rsidRDefault="00F13A5D" w:rsidP="00F13A5D">
            <w:pPr>
              <w:ind w:firstLineChars="100" w:firstLine="181"/>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 xml:space="preserve">Passivo fiscal diferido </w:t>
            </w:r>
          </w:p>
        </w:tc>
        <w:tc>
          <w:tcPr>
            <w:tcW w:w="710" w:type="pct"/>
            <w:tcBorders>
              <w:top w:val="nil"/>
              <w:left w:val="nil"/>
              <w:bottom w:val="nil"/>
              <w:right w:val="nil"/>
            </w:tcBorders>
            <w:shd w:val="clear" w:color="auto" w:fill="auto"/>
            <w:vAlign w:val="center"/>
          </w:tcPr>
          <w:p w14:paraId="3169176D" w14:textId="5D3191CB"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709.968</w:t>
            </w:r>
          </w:p>
        </w:tc>
        <w:tc>
          <w:tcPr>
            <w:tcW w:w="636" w:type="pct"/>
            <w:tcBorders>
              <w:top w:val="nil"/>
              <w:left w:val="nil"/>
              <w:bottom w:val="nil"/>
              <w:right w:val="nil"/>
            </w:tcBorders>
            <w:shd w:val="clear" w:color="auto" w:fill="auto"/>
            <w:vAlign w:val="center"/>
            <w:hideMark/>
          </w:tcPr>
          <w:p w14:paraId="27B48E7C" w14:textId="1282F399"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 xml:space="preserve">911.199 </w:t>
            </w:r>
          </w:p>
        </w:tc>
        <w:tc>
          <w:tcPr>
            <w:tcW w:w="642" w:type="pct"/>
            <w:tcBorders>
              <w:top w:val="nil"/>
              <w:left w:val="nil"/>
              <w:bottom w:val="nil"/>
              <w:right w:val="nil"/>
            </w:tcBorders>
            <w:shd w:val="clear" w:color="auto" w:fill="auto"/>
            <w:vAlign w:val="center"/>
          </w:tcPr>
          <w:p w14:paraId="54CAF560" w14:textId="387BFDF9"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708.067</w:t>
            </w:r>
          </w:p>
        </w:tc>
        <w:tc>
          <w:tcPr>
            <w:tcW w:w="639" w:type="pct"/>
            <w:tcBorders>
              <w:top w:val="nil"/>
              <w:left w:val="nil"/>
              <w:bottom w:val="nil"/>
              <w:right w:val="nil"/>
            </w:tcBorders>
            <w:shd w:val="clear" w:color="auto" w:fill="auto"/>
            <w:vAlign w:val="center"/>
            <w:hideMark/>
          </w:tcPr>
          <w:p w14:paraId="093444E9" w14:textId="1D9613AC"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909.321</w:t>
            </w:r>
          </w:p>
        </w:tc>
      </w:tr>
      <w:tr w:rsidR="00F13A5D" w:rsidRPr="00A33766" w14:paraId="0E180756" w14:textId="77777777" w:rsidTr="00F13A5D">
        <w:trPr>
          <w:trHeight w:val="255"/>
        </w:trPr>
        <w:tc>
          <w:tcPr>
            <w:tcW w:w="2373" w:type="pct"/>
            <w:tcBorders>
              <w:top w:val="nil"/>
              <w:left w:val="nil"/>
              <w:bottom w:val="nil"/>
              <w:right w:val="nil"/>
            </w:tcBorders>
            <w:shd w:val="clear" w:color="auto" w:fill="auto"/>
            <w:vAlign w:val="center"/>
            <w:hideMark/>
          </w:tcPr>
          <w:p w14:paraId="1A59D210" w14:textId="77777777" w:rsidR="00F13A5D" w:rsidRPr="00A33766" w:rsidRDefault="00F13A5D" w:rsidP="00F13A5D">
            <w:pPr>
              <w:ind w:firstLineChars="200" w:firstLine="360"/>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 xml:space="preserve">Títulos para negociação/Objeto de </w:t>
            </w:r>
            <w:r w:rsidRPr="00A33766">
              <w:rPr>
                <w:rFonts w:ascii="CAIXA Std Book" w:eastAsia="Times New Roman" w:hAnsi="CAIXA Std Book" w:cs="Arial"/>
                <w:i/>
                <w:color w:val="005CA9"/>
                <w:sz w:val="18"/>
                <w:szCs w:val="18"/>
              </w:rPr>
              <w:t>hedge</w:t>
            </w:r>
          </w:p>
        </w:tc>
        <w:tc>
          <w:tcPr>
            <w:tcW w:w="710" w:type="pct"/>
            <w:tcBorders>
              <w:top w:val="nil"/>
              <w:left w:val="nil"/>
              <w:bottom w:val="nil"/>
              <w:right w:val="nil"/>
            </w:tcBorders>
            <w:shd w:val="clear" w:color="auto" w:fill="auto"/>
            <w:vAlign w:val="center"/>
          </w:tcPr>
          <w:p w14:paraId="02DC7BA5" w14:textId="51B2F1C3" w:rsidR="00F13A5D" w:rsidRPr="00A33766" w:rsidRDefault="00F13A5D" w:rsidP="00F13A5D">
            <w:pPr>
              <w:ind w:firstLineChars="200" w:firstLine="360"/>
              <w:jc w:val="right"/>
              <w:rPr>
                <w:rFonts w:ascii="CAIXA Std Book" w:eastAsia="Times New Roman" w:hAnsi="CAIXA Std Book" w:cs="Arial"/>
                <w:color w:val="005CA9"/>
                <w:sz w:val="18"/>
                <w:szCs w:val="18"/>
              </w:rPr>
            </w:pPr>
            <w:r>
              <w:rPr>
                <w:rFonts w:ascii="CAIXA Std Book" w:hAnsi="CAIXA Std Book" w:cs="Arial"/>
                <w:color w:val="005CA9"/>
                <w:sz w:val="18"/>
                <w:szCs w:val="18"/>
              </w:rPr>
              <w:t>776.469</w:t>
            </w:r>
          </w:p>
        </w:tc>
        <w:tc>
          <w:tcPr>
            <w:tcW w:w="636" w:type="pct"/>
            <w:tcBorders>
              <w:top w:val="nil"/>
              <w:left w:val="nil"/>
              <w:bottom w:val="nil"/>
              <w:right w:val="nil"/>
            </w:tcBorders>
            <w:shd w:val="clear" w:color="auto" w:fill="auto"/>
            <w:vAlign w:val="center"/>
            <w:hideMark/>
          </w:tcPr>
          <w:p w14:paraId="5F801586" w14:textId="4355222D"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 xml:space="preserve">860.286 </w:t>
            </w:r>
          </w:p>
        </w:tc>
        <w:tc>
          <w:tcPr>
            <w:tcW w:w="642" w:type="pct"/>
            <w:tcBorders>
              <w:top w:val="nil"/>
              <w:left w:val="nil"/>
              <w:bottom w:val="nil"/>
              <w:right w:val="nil"/>
            </w:tcBorders>
            <w:shd w:val="clear" w:color="auto" w:fill="auto"/>
            <w:vAlign w:val="center"/>
          </w:tcPr>
          <w:p w14:paraId="4FC69271" w14:textId="60A22FFD"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776.46</w:t>
            </w:r>
            <w:r w:rsidR="00673710">
              <w:rPr>
                <w:rFonts w:ascii="CAIXA Std Book" w:hAnsi="CAIXA Std Book" w:cs="Arial"/>
                <w:color w:val="005CA9"/>
                <w:sz w:val="18"/>
                <w:szCs w:val="18"/>
              </w:rPr>
              <w:t>9</w:t>
            </w:r>
          </w:p>
        </w:tc>
        <w:tc>
          <w:tcPr>
            <w:tcW w:w="639" w:type="pct"/>
            <w:tcBorders>
              <w:top w:val="nil"/>
              <w:left w:val="nil"/>
              <w:bottom w:val="nil"/>
              <w:right w:val="nil"/>
            </w:tcBorders>
            <w:shd w:val="clear" w:color="auto" w:fill="auto"/>
            <w:vAlign w:val="center"/>
            <w:hideMark/>
          </w:tcPr>
          <w:p w14:paraId="0FECE4F3" w14:textId="62F7A3C9"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860.286</w:t>
            </w:r>
          </w:p>
        </w:tc>
      </w:tr>
      <w:tr w:rsidR="00F13A5D" w:rsidRPr="00A33766" w14:paraId="5D33A093" w14:textId="77777777" w:rsidTr="00F13A5D">
        <w:trPr>
          <w:trHeight w:val="255"/>
        </w:trPr>
        <w:tc>
          <w:tcPr>
            <w:tcW w:w="2373" w:type="pct"/>
            <w:tcBorders>
              <w:top w:val="nil"/>
              <w:left w:val="nil"/>
              <w:bottom w:val="nil"/>
              <w:right w:val="nil"/>
            </w:tcBorders>
            <w:shd w:val="clear" w:color="auto" w:fill="auto"/>
            <w:vAlign w:val="center"/>
            <w:hideMark/>
          </w:tcPr>
          <w:p w14:paraId="4ADE258A" w14:textId="77777777" w:rsidR="00F13A5D" w:rsidRPr="00A33766" w:rsidRDefault="00F13A5D" w:rsidP="00F13A5D">
            <w:pPr>
              <w:ind w:firstLineChars="200" w:firstLine="360"/>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Depósito em garantia</w:t>
            </w:r>
          </w:p>
        </w:tc>
        <w:tc>
          <w:tcPr>
            <w:tcW w:w="710" w:type="pct"/>
            <w:tcBorders>
              <w:top w:val="nil"/>
              <w:left w:val="nil"/>
              <w:bottom w:val="nil"/>
              <w:right w:val="nil"/>
            </w:tcBorders>
            <w:shd w:val="clear" w:color="auto" w:fill="auto"/>
            <w:vAlign w:val="center"/>
          </w:tcPr>
          <w:p w14:paraId="4752FAEB" w14:textId="58F19796" w:rsidR="00F13A5D" w:rsidRPr="00A33766" w:rsidRDefault="00F13A5D" w:rsidP="00F13A5D">
            <w:pPr>
              <w:ind w:firstLineChars="200" w:firstLine="360"/>
              <w:jc w:val="right"/>
              <w:rPr>
                <w:rFonts w:ascii="CAIXA Std Book" w:eastAsia="Times New Roman" w:hAnsi="CAIXA Std Book" w:cs="Arial"/>
                <w:color w:val="005CA9"/>
                <w:sz w:val="18"/>
                <w:szCs w:val="18"/>
              </w:rPr>
            </w:pPr>
            <w:r>
              <w:rPr>
                <w:rFonts w:ascii="CAIXA Std Book" w:hAnsi="CAIXA Std Book" w:cs="Arial"/>
                <w:color w:val="005CA9"/>
                <w:sz w:val="18"/>
                <w:szCs w:val="18"/>
              </w:rPr>
              <w:t>(66.501)</w:t>
            </w:r>
          </w:p>
        </w:tc>
        <w:tc>
          <w:tcPr>
            <w:tcW w:w="636" w:type="pct"/>
            <w:tcBorders>
              <w:top w:val="nil"/>
              <w:left w:val="nil"/>
              <w:bottom w:val="nil"/>
              <w:right w:val="nil"/>
            </w:tcBorders>
            <w:shd w:val="clear" w:color="auto" w:fill="auto"/>
            <w:vAlign w:val="center"/>
            <w:hideMark/>
          </w:tcPr>
          <w:p w14:paraId="5570F6C4" w14:textId="6CDF8DB2"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 xml:space="preserve">50.913 </w:t>
            </w:r>
          </w:p>
        </w:tc>
        <w:tc>
          <w:tcPr>
            <w:tcW w:w="642" w:type="pct"/>
            <w:tcBorders>
              <w:top w:val="nil"/>
              <w:left w:val="nil"/>
              <w:bottom w:val="nil"/>
              <w:right w:val="nil"/>
            </w:tcBorders>
            <w:shd w:val="clear" w:color="auto" w:fill="auto"/>
            <w:vAlign w:val="center"/>
          </w:tcPr>
          <w:p w14:paraId="69B79E88" w14:textId="1191003D"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(66.501)</w:t>
            </w:r>
          </w:p>
        </w:tc>
        <w:tc>
          <w:tcPr>
            <w:tcW w:w="639" w:type="pct"/>
            <w:tcBorders>
              <w:top w:val="nil"/>
              <w:left w:val="nil"/>
              <w:bottom w:val="nil"/>
              <w:right w:val="nil"/>
            </w:tcBorders>
            <w:shd w:val="clear" w:color="auto" w:fill="auto"/>
            <w:vAlign w:val="center"/>
            <w:hideMark/>
          </w:tcPr>
          <w:p w14:paraId="4449C5BC" w14:textId="0311920D"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50.913</w:t>
            </w:r>
          </w:p>
        </w:tc>
      </w:tr>
      <w:tr w:rsidR="00F13A5D" w:rsidRPr="00A33766" w14:paraId="2E0ECE20" w14:textId="77777777" w:rsidTr="00F13A5D">
        <w:trPr>
          <w:trHeight w:val="255"/>
        </w:trPr>
        <w:tc>
          <w:tcPr>
            <w:tcW w:w="2373" w:type="pct"/>
            <w:tcBorders>
              <w:top w:val="nil"/>
              <w:left w:val="nil"/>
              <w:bottom w:val="nil"/>
              <w:right w:val="nil"/>
            </w:tcBorders>
            <w:shd w:val="clear" w:color="auto" w:fill="auto"/>
            <w:vAlign w:val="center"/>
            <w:hideMark/>
          </w:tcPr>
          <w:p w14:paraId="20A41B18" w14:textId="77777777" w:rsidR="00F13A5D" w:rsidRPr="00A33766" w:rsidRDefault="00F13A5D" w:rsidP="00F13A5D">
            <w:pPr>
              <w:ind w:firstLineChars="200" w:firstLine="360"/>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Outros</w:t>
            </w:r>
          </w:p>
        </w:tc>
        <w:tc>
          <w:tcPr>
            <w:tcW w:w="710" w:type="pct"/>
            <w:tcBorders>
              <w:top w:val="nil"/>
              <w:left w:val="nil"/>
              <w:bottom w:val="nil"/>
              <w:right w:val="nil"/>
            </w:tcBorders>
            <w:shd w:val="clear" w:color="auto" w:fill="auto"/>
            <w:vAlign w:val="center"/>
          </w:tcPr>
          <w:p w14:paraId="52B02C94" w14:textId="475135DA" w:rsidR="00F13A5D" w:rsidRPr="00A33766" w:rsidRDefault="00F13A5D" w:rsidP="00F13A5D">
            <w:pPr>
              <w:ind w:firstLineChars="200" w:firstLine="360"/>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636" w:type="pct"/>
            <w:tcBorders>
              <w:top w:val="nil"/>
              <w:left w:val="nil"/>
              <w:bottom w:val="nil"/>
              <w:right w:val="nil"/>
            </w:tcBorders>
            <w:shd w:val="clear" w:color="auto" w:fill="auto"/>
            <w:vAlign w:val="center"/>
            <w:hideMark/>
          </w:tcPr>
          <w:p w14:paraId="4BAB00D5" w14:textId="16148385" w:rsidR="00F13A5D" w:rsidRPr="00A33766" w:rsidRDefault="00F13A5D" w:rsidP="00F13A5D">
            <w:pPr>
              <w:jc w:val="cente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w:t>
            </w:r>
          </w:p>
        </w:tc>
        <w:tc>
          <w:tcPr>
            <w:tcW w:w="642" w:type="pct"/>
            <w:tcBorders>
              <w:top w:val="nil"/>
              <w:left w:val="nil"/>
              <w:bottom w:val="nil"/>
              <w:right w:val="nil"/>
            </w:tcBorders>
            <w:shd w:val="clear" w:color="auto" w:fill="auto"/>
            <w:vAlign w:val="center"/>
          </w:tcPr>
          <w:p w14:paraId="7A4BC7C3" w14:textId="5C1B23B5"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(1.</w:t>
            </w:r>
            <w:r w:rsidR="00673710">
              <w:rPr>
                <w:rFonts w:ascii="CAIXA Std Book" w:hAnsi="CAIXA Std Book" w:cs="Arial"/>
                <w:color w:val="005CA9"/>
                <w:sz w:val="18"/>
                <w:szCs w:val="18"/>
              </w:rPr>
              <w:t>901</w:t>
            </w:r>
            <w:r>
              <w:rPr>
                <w:rFonts w:ascii="CAIXA Std Book" w:hAnsi="CAIXA Std Book" w:cs="Arial"/>
                <w:color w:val="005CA9"/>
                <w:sz w:val="18"/>
                <w:szCs w:val="18"/>
              </w:rPr>
              <w:t>)</w:t>
            </w:r>
          </w:p>
        </w:tc>
        <w:tc>
          <w:tcPr>
            <w:tcW w:w="639" w:type="pct"/>
            <w:tcBorders>
              <w:top w:val="nil"/>
              <w:left w:val="nil"/>
              <w:bottom w:val="nil"/>
              <w:right w:val="nil"/>
            </w:tcBorders>
            <w:shd w:val="clear" w:color="auto" w:fill="auto"/>
            <w:vAlign w:val="center"/>
            <w:hideMark/>
          </w:tcPr>
          <w:p w14:paraId="483B829E" w14:textId="69981D9B"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(1.878)</w:t>
            </w:r>
          </w:p>
        </w:tc>
      </w:tr>
      <w:tr w:rsidR="00F13A5D" w:rsidRPr="00A33766" w14:paraId="5AE791C5" w14:textId="77777777" w:rsidTr="00F13A5D">
        <w:trPr>
          <w:trHeight w:val="255"/>
        </w:trPr>
        <w:tc>
          <w:tcPr>
            <w:tcW w:w="2373" w:type="pct"/>
            <w:tcBorders>
              <w:top w:val="nil"/>
              <w:left w:val="nil"/>
              <w:bottom w:val="nil"/>
              <w:right w:val="nil"/>
            </w:tcBorders>
            <w:shd w:val="clear" w:color="auto" w:fill="auto"/>
            <w:vAlign w:val="center"/>
            <w:hideMark/>
          </w:tcPr>
          <w:p w14:paraId="09067C97" w14:textId="77777777" w:rsidR="00F13A5D" w:rsidRPr="00A33766" w:rsidRDefault="00F13A5D" w:rsidP="00F13A5D">
            <w:pPr>
              <w:ind w:firstLineChars="100" w:firstLine="181"/>
              <w:rPr>
                <w:rFonts w:ascii="CAIXA Std Book" w:eastAsia="Times New Roman" w:hAnsi="CAIXA Std Book" w:cs="Arial"/>
                <w:b/>
                <w:color w:val="005CA9"/>
                <w:sz w:val="18"/>
                <w:szCs w:val="18"/>
              </w:rPr>
            </w:pPr>
            <w:bookmarkStart w:id="104" w:name="OLE_LINK1" w:colFirst="1" w:colLast="1"/>
            <w:r w:rsidRPr="00A33766">
              <w:rPr>
                <w:rFonts w:ascii="CAIXA Std Book" w:eastAsia="Times New Roman" w:hAnsi="CAIXA Std Book" w:cs="Arial"/>
                <w:b/>
                <w:color w:val="005CA9"/>
                <w:sz w:val="18"/>
                <w:szCs w:val="18"/>
              </w:rPr>
              <w:t xml:space="preserve">Ativo Fiscal Diferido </w:t>
            </w:r>
          </w:p>
        </w:tc>
        <w:tc>
          <w:tcPr>
            <w:tcW w:w="710" w:type="pct"/>
            <w:tcBorders>
              <w:top w:val="nil"/>
              <w:left w:val="nil"/>
              <w:bottom w:val="nil"/>
              <w:right w:val="nil"/>
            </w:tcBorders>
            <w:shd w:val="clear" w:color="auto" w:fill="auto"/>
            <w:vAlign w:val="center"/>
          </w:tcPr>
          <w:p w14:paraId="58E673F6" w14:textId="118BB64D" w:rsidR="00F13A5D" w:rsidRPr="00A33766" w:rsidRDefault="00F13A5D" w:rsidP="00F13A5D">
            <w:pPr>
              <w:jc w:val="right"/>
              <w:rPr>
                <w:rFonts w:ascii="CAIXA Std Book" w:eastAsia="Times New Roman" w:hAnsi="CAIXA Std Book" w:cs="Arial"/>
                <w:b/>
                <w:color w:val="005CA9"/>
                <w:sz w:val="18"/>
                <w:szCs w:val="18"/>
              </w:rPr>
            </w:pPr>
            <w:bookmarkStart w:id="105" w:name="OLE_LINK7"/>
            <w:r>
              <w:rPr>
                <w:rFonts w:ascii="CAIXA Std Book" w:hAnsi="CAIXA Std Book" w:cs="Arial"/>
                <w:b/>
                <w:bCs/>
                <w:color w:val="005CA9"/>
                <w:sz w:val="18"/>
                <w:szCs w:val="18"/>
              </w:rPr>
              <w:t>1.685.399</w:t>
            </w:r>
            <w:bookmarkEnd w:id="105"/>
          </w:p>
        </w:tc>
        <w:tc>
          <w:tcPr>
            <w:tcW w:w="636" w:type="pct"/>
            <w:tcBorders>
              <w:top w:val="nil"/>
              <w:left w:val="nil"/>
              <w:bottom w:val="nil"/>
              <w:right w:val="nil"/>
            </w:tcBorders>
            <w:shd w:val="clear" w:color="auto" w:fill="auto"/>
            <w:vAlign w:val="center"/>
            <w:hideMark/>
          </w:tcPr>
          <w:p w14:paraId="1BFB8CAB" w14:textId="056FF8EA"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 xml:space="preserve">854.990 </w:t>
            </w:r>
          </w:p>
        </w:tc>
        <w:tc>
          <w:tcPr>
            <w:tcW w:w="642" w:type="pct"/>
            <w:tcBorders>
              <w:top w:val="nil"/>
              <w:left w:val="nil"/>
              <w:bottom w:val="nil"/>
              <w:right w:val="nil"/>
            </w:tcBorders>
            <w:shd w:val="clear" w:color="auto" w:fill="auto"/>
            <w:vAlign w:val="center"/>
          </w:tcPr>
          <w:p w14:paraId="1C504FF8" w14:textId="06FCE3B8" w:rsidR="00F13A5D" w:rsidRPr="00A33766" w:rsidRDefault="00F13A5D" w:rsidP="00F13A5D">
            <w:pPr>
              <w:jc w:val="right"/>
              <w:rPr>
                <w:rFonts w:ascii="CAIXA Std Book" w:eastAsia="Times New Roman" w:hAnsi="CAIXA Std Book" w:cs="Arial"/>
                <w:b/>
                <w:color w:val="005CA9"/>
                <w:sz w:val="18"/>
                <w:szCs w:val="18"/>
              </w:rPr>
            </w:pPr>
            <w:bookmarkStart w:id="106" w:name="OLE_LINK3"/>
            <w:r>
              <w:rPr>
                <w:rFonts w:ascii="CAIXA Std Book" w:hAnsi="CAIXA Std Book" w:cs="Arial"/>
                <w:b/>
                <w:bCs/>
                <w:color w:val="005CA9"/>
                <w:sz w:val="18"/>
                <w:szCs w:val="18"/>
              </w:rPr>
              <w:t>1.687.418</w:t>
            </w:r>
            <w:bookmarkEnd w:id="106"/>
          </w:p>
        </w:tc>
        <w:tc>
          <w:tcPr>
            <w:tcW w:w="639" w:type="pct"/>
            <w:tcBorders>
              <w:top w:val="nil"/>
              <w:left w:val="nil"/>
              <w:bottom w:val="nil"/>
              <w:right w:val="nil"/>
            </w:tcBorders>
            <w:shd w:val="clear" w:color="auto" w:fill="auto"/>
            <w:vAlign w:val="center"/>
            <w:hideMark/>
          </w:tcPr>
          <w:p w14:paraId="50189A62" w14:textId="30EB4832"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854.976</w:t>
            </w:r>
          </w:p>
        </w:tc>
      </w:tr>
      <w:bookmarkEnd w:id="104"/>
      <w:tr w:rsidR="00F13A5D" w:rsidRPr="00A33766" w14:paraId="7CABDDA7" w14:textId="77777777" w:rsidTr="00F13A5D">
        <w:trPr>
          <w:trHeight w:val="255"/>
        </w:trPr>
        <w:tc>
          <w:tcPr>
            <w:tcW w:w="2373" w:type="pct"/>
            <w:tcBorders>
              <w:top w:val="nil"/>
              <w:left w:val="nil"/>
              <w:bottom w:val="nil"/>
              <w:right w:val="nil"/>
            </w:tcBorders>
            <w:shd w:val="clear" w:color="auto" w:fill="auto"/>
            <w:vAlign w:val="center"/>
            <w:hideMark/>
          </w:tcPr>
          <w:p w14:paraId="00D00930" w14:textId="77777777" w:rsidR="00F13A5D" w:rsidRPr="00A33766" w:rsidRDefault="00F13A5D" w:rsidP="00F13A5D">
            <w:pPr>
              <w:ind w:firstLineChars="200" w:firstLine="360"/>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Diferenças temporárias - constituição/realização</w:t>
            </w:r>
          </w:p>
        </w:tc>
        <w:tc>
          <w:tcPr>
            <w:tcW w:w="710" w:type="pct"/>
            <w:tcBorders>
              <w:top w:val="nil"/>
              <w:left w:val="nil"/>
              <w:bottom w:val="nil"/>
              <w:right w:val="nil"/>
            </w:tcBorders>
            <w:shd w:val="clear" w:color="auto" w:fill="auto"/>
            <w:vAlign w:val="center"/>
          </w:tcPr>
          <w:p w14:paraId="47FD2904" w14:textId="37DD741A" w:rsidR="00F13A5D" w:rsidRPr="00A33766" w:rsidRDefault="00F13A5D" w:rsidP="00F13A5D">
            <w:pPr>
              <w:ind w:firstLineChars="200" w:firstLine="360"/>
              <w:jc w:val="right"/>
              <w:rPr>
                <w:rFonts w:ascii="CAIXA Std Book" w:eastAsia="Times New Roman" w:hAnsi="CAIXA Std Book" w:cs="Arial"/>
                <w:color w:val="005CA9"/>
                <w:sz w:val="18"/>
                <w:szCs w:val="18"/>
              </w:rPr>
            </w:pPr>
            <w:r>
              <w:rPr>
                <w:rFonts w:ascii="CAIXA Std Book" w:hAnsi="CAIXA Std Book" w:cs="Arial"/>
                <w:color w:val="005CA9"/>
                <w:sz w:val="18"/>
                <w:szCs w:val="18"/>
              </w:rPr>
              <w:t>2.827.046</w:t>
            </w:r>
          </w:p>
        </w:tc>
        <w:tc>
          <w:tcPr>
            <w:tcW w:w="636" w:type="pct"/>
            <w:tcBorders>
              <w:top w:val="nil"/>
              <w:left w:val="nil"/>
              <w:bottom w:val="nil"/>
              <w:right w:val="nil"/>
            </w:tcBorders>
            <w:shd w:val="clear" w:color="auto" w:fill="auto"/>
            <w:vAlign w:val="center"/>
            <w:hideMark/>
          </w:tcPr>
          <w:p w14:paraId="561B493B" w14:textId="08EF7A18"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 xml:space="preserve">1.030.904 </w:t>
            </w:r>
          </w:p>
        </w:tc>
        <w:tc>
          <w:tcPr>
            <w:tcW w:w="642" w:type="pct"/>
            <w:tcBorders>
              <w:top w:val="nil"/>
              <w:left w:val="nil"/>
              <w:bottom w:val="nil"/>
              <w:right w:val="nil"/>
            </w:tcBorders>
            <w:shd w:val="clear" w:color="auto" w:fill="auto"/>
            <w:vAlign w:val="center"/>
          </w:tcPr>
          <w:p w14:paraId="6FD54C60" w14:textId="2EB8C32B"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2.829.065</w:t>
            </w:r>
          </w:p>
        </w:tc>
        <w:tc>
          <w:tcPr>
            <w:tcW w:w="639" w:type="pct"/>
            <w:tcBorders>
              <w:top w:val="nil"/>
              <w:left w:val="nil"/>
              <w:bottom w:val="nil"/>
              <w:right w:val="nil"/>
            </w:tcBorders>
            <w:shd w:val="clear" w:color="auto" w:fill="auto"/>
            <w:vAlign w:val="center"/>
            <w:hideMark/>
          </w:tcPr>
          <w:p w14:paraId="64DFE6F3" w14:textId="47316867"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1.030.890</w:t>
            </w:r>
          </w:p>
        </w:tc>
      </w:tr>
      <w:tr w:rsidR="00F13A5D" w:rsidRPr="00A33766" w14:paraId="0F6484F7" w14:textId="77777777" w:rsidTr="00F13A5D">
        <w:trPr>
          <w:trHeight w:val="255"/>
        </w:trPr>
        <w:tc>
          <w:tcPr>
            <w:tcW w:w="2373" w:type="pct"/>
            <w:tcBorders>
              <w:top w:val="nil"/>
              <w:left w:val="nil"/>
              <w:bottom w:val="nil"/>
              <w:right w:val="nil"/>
            </w:tcBorders>
            <w:shd w:val="clear" w:color="auto" w:fill="auto"/>
            <w:vAlign w:val="center"/>
            <w:hideMark/>
          </w:tcPr>
          <w:p w14:paraId="686346A7" w14:textId="77777777" w:rsidR="00F13A5D" w:rsidRPr="00A33766" w:rsidRDefault="00F13A5D" w:rsidP="00F13A5D">
            <w:pPr>
              <w:ind w:firstLineChars="200" w:firstLine="360"/>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 xml:space="preserve">Prejuízo fiscal/Base negativa </w:t>
            </w:r>
          </w:p>
        </w:tc>
        <w:tc>
          <w:tcPr>
            <w:tcW w:w="710" w:type="pct"/>
            <w:tcBorders>
              <w:top w:val="nil"/>
              <w:left w:val="nil"/>
              <w:bottom w:val="single" w:sz="4" w:space="0" w:color="F39200"/>
              <w:right w:val="nil"/>
            </w:tcBorders>
            <w:shd w:val="clear" w:color="auto" w:fill="auto"/>
            <w:vAlign w:val="center"/>
          </w:tcPr>
          <w:p w14:paraId="439A5F97" w14:textId="45BBD1E7"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(1.141.647)</w:t>
            </w:r>
          </w:p>
        </w:tc>
        <w:tc>
          <w:tcPr>
            <w:tcW w:w="636" w:type="pct"/>
            <w:tcBorders>
              <w:top w:val="nil"/>
              <w:left w:val="nil"/>
              <w:bottom w:val="single" w:sz="4" w:space="0" w:color="F39200"/>
              <w:right w:val="nil"/>
            </w:tcBorders>
            <w:shd w:val="clear" w:color="auto" w:fill="auto"/>
            <w:vAlign w:val="center"/>
            <w:hideMark/>
          </w:tcPr>
          <w:p w14:paraId="1452056A" w14:textId="33048E77"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(175.914)</w:t>
            </w:r>
          </w:p>
        </w:tc>
        <w:tc>
          <w:tcPr>
            <w:tcW w:w="642" w:type="pct"/>
            <w:tcBorders>
              <w:top w:val="nil"/>
              <w:left w:val="nil"/>
              <w:bottom w:val="single" w:sz="4" w:space="0" w:color="F39200"/>
              <w:right w:val="nil"/>
            </w:tcBorders>
            <w:shd w:val="clear" w:color="auto" w:fill="auto"/>
            <w:vAlign w:val="center"/>
          </w:tcPr>
          <w:p w14:paraId="29A67A04" w14:textId="0124115F" w:rsidR="00F13A5D" w:rsidRPr="00A33766" w:rsidRDefault="00F13A5D" w:rsidP="00F13A5D">
            <w:pPr>
              <w:jc w:val="right"/>
              <w:rPr>
                <w:rFonts w:ascii="CAIXA Std Book" w:eastAsia="Times New Roman" w:hAnsi="CAIXA Std Book" w:cs="Arial"/>
                <w:color w:val="005CA9"/>
                <w:sz w:val="18"/>
                <w:szCs w:val="18"/>
              </w:rPr>
            </w:pPr>
            <w:r>
              <w:rPr>
                <w:rFonts w:ascii="CAIXA Std Book" w:hAnsi="CAIXA Std Book" w:cs="Arial"/>
                <w:color w:val="005CA9"/>
                <w:sz w:val="18"/>
                <w:szCs w:val="18"/>
              </w:rPr>
              <w:t>(1.141.647)</w:t>
            </w:r>
          </w:p>
        </w:tc>
        <w:tc>
          <w:tcPr>
            <w:tcW w:w="639" w:type="pct"/>
            <w:tcBorders>
              <w:top w:val="nil"/>
              <w:left w:val="nil"/>
              <w:bottom w:val="single" w:sz="4" w:space="0" w:color="F39200"/>
              <w:right w:val="nil"/>
            </w:tcBorders>
            <w:shd w:val="clear" w:color="auto" w:fill="auto"/>
            <w:vAlign w:val="center"/>
            <w:hideMark/>
          </w:tcPr>
          <w:p w14:paraId="72A3C25E" w14:textId="1FB757CA" w:rsidR="00F13A5D" w:rsidRPr="00A33766" w:rsidRDefault="00F13A5D" w:rsidP="00F13A5D">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(175.914)</w:t>
            </w:r>
          </w:p>
        </w:tc>
      </w:tr>
      <w:tr w:rsidR="00F13A5D" w:rsidRPr="00A33766" w14:paraId="4CC46C77" w14:textId="77777777" w:rsidTr="00F13A5D">
        <w:trPr>
          <w:trHeight w:val="255"/>
        </w:trPr>
        <w:tc>
          <w:tcPr>
            <w:tcW w:w="2373" w:type="pct"/>
            <w:tcBorders>
              <w:top w:val="single" w:sz="4" w:space="0" w:color="F39200"/>
              <w:left w:val="nil"/>
              <w:bottom w:val="single" w:sz="4" w:space="0" w:color="F39200"/>
              <w:right w:val="nil"/>
            </w:tcBorders>
            <w:shd w:val="clear" w:color="auto" w:fill="auto"/>
            <w:noWrap/>
            <w:vAlign w:val="center"/>
            <w:hideMark/>
          </w:tcPr>
          <w:p w14:paraId="1E4DB21A" w14:textId="77777777" w:rsidR="00F13A5D" w:rsidRPr="00A33766" w:rsidRDefault="00F13A5D" w:rsidP="00F13A5D">
            <w:pP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Imposto de Renda e Contribuição Social do Período</w:t>
            </w:r>
          </w:p>
        </w:tc>
        <w:tc>
          <w:tcPr>
            <w:tcW w:w="710" w:type="pct"/>
            <w:tcBorders>
              <w:top w:val="nil"/>
              <w:left w:val="nil"/>
              <w:bottom w:val="single" w:sz="4" w:space="0" w:color="F39200"/>
              <w:right w:val="nil"/>
            </w:tcBorders>
            <w:shd w:val="clear" w:color="auto" w:fill="auto"/>
            <w:noWrap/>
            <w:vAlign w:val="center"/>
          </w:tcPr>
          <w:p w14:paraId="25B65608" w14:textId="51705732"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1.444.843</w:t>
            </w:r>
          </w:p>
        </w:tc>
        <w:tc>
          <w:tcPr>
            <w:tcW w:w="636" w:type="pct"/>
            <w:tcBorders>
              <w:top w:val="nil"/>
              <w:left w:val="nil"/>
              <w:bottom w:val="single" w:sz="4" w:space="0" w:color="F39200"/>
              <w:right w:val="nil"/>
            </w:tcBorders>
            <w:shd w:val="clear" w:color="auto" w:fill="auto"/>
            <w:noWrap/>
            <w:vAlign w:val="center"/>
            <w:hideMark/>
          </w:tcPr>
          <w:p w14:paraId="5F0F286D" w14:textId="5FD23E22"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 xml:space="preserve">1.371.497 </w:t>
            </w:r>
          </w:p>
        </w:tc>
        <w:tc>
          <w:tcPr>
            <w:tcW w:w="642" w:type="pct"/>
            <w:tcBorders>
              <w:top w:val="nil"/>
              <w:left w:val="nil"/>
              <w:bottom w:val="single" w:sz="4" w:space="0" w:color="F39200"/>
              <w:right w:val="nil"/>
            </w:tcBorders>
            <w:shd w:val="clear" w:color="auto" w:fill="auto"/>
            <w:noWrap/>
            <w:vAlign w:val="center"/>
          </w:tcPr>
          <w:p w14:paraId="638ECE4A" w14:textId="5FBB1C0D" w:rsidR="00F13A5D" w:rsidRPr="00A33766" w:rsidRDefault="00F13A5D" w:rsidP="00F13A5D">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1.149.471</w:t>
            </w:r>
          </w:p>
        </w:tc>
        <w:tc>
          <w:tcPr>
            <w:tcW w:w="639" w:type="pct"/>
            <w:tcBorders>
              <w:top w:val="nil"/>
              <w:left w:val="nil"/>
              <w:bottom w:val="single" w:sz="4" w:space="0" w:color="F39200"/>
              <w:right w:val="nil"/>
            </w:tcBorders>
            <w:shd w:val="clear" w:color="auto" w:fill="auto"/>
            <w:noWrap/>
            <w:vAlign w:val="center"/>
            <w:hideMark/>
          </w:tcPr>
          <w:p w14:paraId="788CCDE9" w14:textId="059472ED" w:rsidR="00F13A5D" w:rsidRPr="00A33766" w:rsidRDefault="00F13A5D" w:rsidP="00F13A5D">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1.072.185</w:t>
            </w:r>
          </w:p>
        </w:tc>
      </w:tr>
    </w:tbl>
    <w:p w14:paraId="26619541" w14:textId="18541A69" w:rsidR="00D07531" w:rsidRPr="00FF4346" w:rsidRDefault="00D07531" w:rsidP="00B37B40">
      <w:pPr>
        <w:keepNext/>
        <w:numPr>
          <w:ilvl w:val="0"/>
          <w:numId w:val="9"/>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Demonstração do cálculo dos encargos com IRPJ e CSLL</w:t>
      </w:r>
    </w:p>
    <w:tbl>
      <w:tblPr>
        <w:tblW w:w="5000" w:type="pct"/>
        <w:tblCellMar>
          <w:left w:w="70" w:type="dxa"/>
          <w:right w:w="70" w:type="dxa"/>
        </w:tblCellMar>
        <w:tblLook w:val="04A0" w:firstRow="1" w:lastRow="0" w:firstColumn="1" w:lastColumn="0" w:noHBand="0" w:noVBand="1"/>
      </w:tblPr>
      <w:tblGrid>
        <w:gridCol w:w="4961"/>
        <w:gridCol w:w="1168"/>
        <w:gridCol w:w="1170"/>
        <w:gridCol w:w="1170"/>
        <w:gridCol w:w="1168"/>
      </w:tblGrid>
      <w:tr w:rsidR="009201CB" w:rsidRPr="00A33766" w14:paraId="07BFA037" w14:textId="77777777">
        <w:trPr>
          <w:trHeight w:val="270"/>
        </w:trPr>
        <w:tc>
          <w:tcPr>
            <w:tcW w:w="2574" w:type="pct"/>
            <w:vMerge w:val="restart"/>
            <w:tcBorders>
              <w:top w:val="single" w:sz="4" w:space="0" w:color="F39200"/>
              <w:left w:val="nil"/>
              <w:bottom w:val="single" w:sz="4" w:space="0" w:color="F39200"/>
              <w:right w:val="nil"/>
            </w:tcBorders>
            <w:shd w:val="clear" w:color="auto" w:fill="auto"/>
            <w:vAlign w:val="center"/>
            <w:hideMark/>
          </w:tcPr>
          <w:p w14:paraId="2D616116" w14:textId="77777777" w:rsidR="009201CB" w:rsidRPr="00A33766" w:rsidRDefault="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Descrição</w:t>
            </w:r>
          </w:p>
        </w:tc>
        <w:tc>
          <w:tcPr>
            <w:tcW w:w="1213" w:type="pct"/>
            <w:gridSpan w:val="2"/>
            <w:tcBorders>
              <w:top w:val="single" w:sz="4" w:space="0" w:color="F39200"/>
              <w:left w:val="nil"/>
              <w:bottom w:val="single" w:sz="4" w:space="0" w:color="F39200"/>
              <w:right w:val="nil"/>
            </w:tcBorders>
            <w:shd w:val="clear" w:color="auto" w:fill="auto"/>
            <w:vAlign w:val="center"/>
            <w:hideMark/>
          </w:tcPr>
          <w:p w14:paraId="0BD64AC8" w14:textId="77777777" w:rsidR="009201CB" w:rsidRPr="00A33766" w:rsidRDefault="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INDIVIDUAL</w:t>
            </w:r>
          </w:p>
        </w:tc>
        <w:tc>
          <w:tcPr>
            <w:tcW w:w="1213" w:type="pct"/>
            <w:gridSpan w:val="2"/>
            <w:tcBorders>
              <w:top w:val="single" w:sz="4" w:space="0" w:color="F39200"/>
              <w:left w:val="nil"/>
              <w:bottom w:val="single" w:sz="4" w:space="0" w:color="F39200"/>
              <w:right w:val="nil"/>
            </w:tcBorders>
            <w:shd w:val="clear" w:color="auto" w:fill="auto"/>
            <w:vAlign w:val="center"/>
            <w:hideMark/>
          </w:tcPr>
          <w:p w14:paraId="36FFA091" w14:textId="77777777" w:rsidR="009201CB" w:rsidRPr="00A33766" w:rsidRDefault="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CONSOLIDADO</w:t>
            </w:r>
          </w:p>
        </w:tc>
      </w:tr>
      <w:tr w:rsidR="009201CB" w:rsidRPr="00A33766" w14:paraId="4C19E92B" w14:textId="77777777">
        <w:trPr>
          <w:trHeight w:val="270"/>
        </w:trPr>
        <w:tc>
          <w:tcPr>
            <w:tcW w:w="2574" w:type="pct"/>
            <w:vMerge/>
            <w:tcBorders>
              <w:top w:val="single" w:sz="4" w:space="0" w:color="F39200"/>
              <w:left w:val="nil"/>
              <w:bottom w:val="single" w:sz="4" w:space="0" w:color="F39200"/>
              <w:right w:val="nil"/>
            </w:tcBorders>
            <w:vAlign w:val="center"/>
            <w:hideMark/>
          </w:tcPr>
          <w:p w14:paraId="5D7200AC" w14:textId="77777777" w:rsidR="009201CB" w:rsidRPr="00A33766" w:rsidRDefault="009201CB" w:rsidP="009201CB">
            <w:pPr>
              <w:rPr>
                <w:rFonts w:ascii="CAIXA Std Book" w:eastAsia="Times New Roman" w:hAnsi="CAIXA Std Book" w:cs="Arial"/>
                <w:b/>
                <w:color w:val="005CA9"/>
                <w:sz w:val="18"/>
                <w:szCs w:val="18"/>
              </w:rPr>
            </w:pPr>
          </w:p>
        </w:tc>
        <w:tc>
          <w:tcPr>
            <w:tcW w:w="606" w:type="pct"/>
            <w:tcBorders>
              <w:top w:val="nil"/>
              <w:left w:val="nil"/>
              <w:bottom w:val="single" w:sz="4" w:space="0" w:color="F39200"/>
              <w:right w:val="nil"/>
            </w:tcBorders>
            <w:shd w:val="clear" w:color="auto" w:fill="auto"/>
            <w:vAlign w:val="center"/>
            <w:hideMark/>
          </w:tcPr>
          <w:p w14:paraId="7990A424" w14:textId="66E97748"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2024</w:t>
            </w:r>
          </w:p>
        </w:tc>
        <w:tc>
          <w:tcPr>
            <w:tcW w:w="607" w:type="pct"/>
            <w:tcBorders>
              <w:top w:val="nil"/>
              <w:left w:val="nil"/>
              <w:bottom w:val="single" w:sz="4" w:space="0" w:color="F39200"/>
              <w:right w:val="nil"/>
            </w:tcBorders>
            <w:shd w:val="clear" w:color="auto" w:fill="auto"/>
            <w:vAlign w:val="center"/>
            <w:hideMark/>
          </w:tcPr>
          <w:p w14:paraId="3CF5FB3B" w14:textId="1BA7480E"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2023</w:t>
            </w:r>
          </w:p>
        </w:tc>
        <w:tc>
          <w:tcPr>
            <w:tcW w:w="607" w:type="pct"/>
            <w:tcBorders>
              <w:top w:val="nil"/>
              <w:left w:val="nil"/>
              <w:bottom w:val="single" w:sz="4" w:space="0" w:color="F39200"/>
              <w:right w:val="nil"/>
            </w:tcBorders>
            <w:shd w:val="clear" w:color="auto" w:fill="auto"/>
            <w:vAlign w:val="center"/>
            <w:hideMark/>
          </w:tcPr>
          <w:p w14:paraId="43B3CD8A" w14:textId="6BCDC425"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2024</w:t>
            </w:r>
          </w:p>
        </w:tc>
        <w:tc>
          <w:tcPr>
            <w:tcW w:w="606" w:type="pct"/>
            <w:tcBorders>
              <w:top w:val="nil"/>
              <w:left w:val="nil"/>
              <w:bottom w:val="single" w:sz="4" w:space="0" w:color="F39200"/>
              <w:right w:val="nil"/>
            </w:tcBorders>
            <w:shd w:val="clear" w:color="auto" w:fill="auto"/>
            <w:vAlign w:val="center"/>
            <w:hideMark/>
          </w:tcPr>
          <w:p w14:paraId="63E10F6E" w14:textId="0A0B85FB"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2023</w:t>
            </w:r>
          </w:p>
        </w:tc>
      </w:tr>
      <w:tr w:rsidR="009201CB" w:rsidRPr="00A33766" w14:paraId="6F0376FD" w14:textId="77777777">
        <w:trPr>
          <w:trHeight w:val="255"/>
        </w:trPr>
        <w:tc>
          <w:tcPr>
            <w:tcW w:w="2574" w:type="pct"/>
            <w:vMerge/>
            <w:tcBorders>
              <w:top w:val="single" w:sz="4" w:space="0" w:color="F39200"/>
              <w:left w:val="nil"/>
              <w:bottom w:val="single" w:sz="4" w:space="0" w:color="F39200"/>
              <w:right w:val="nil"/>
            </w:tcBorders>
            <w:vAlign w:val="center"/>
            <w:hideMark/>
          </w:tcPr>
          <w:p w14:paraId="1912FA47" w14:textId="77777777" w:rsidR="009201CB" w:rsidRPr="00A33766" w:rsidRDefault="009201CB" w:rsidP="009201CB">
            <w:pPr>
              <w:rPr>
                <w:rFonts w:ascii="CAIXA Std Book" w:eastAsia="Times New Roman" w:hAnsi="CAIXA Std Book" w:cs="Arial"/>
                <w:b/>
                <w:color w:val="005CA9"/>
                <w:sz w:val="18"/>
                <w:szCs w:val="18"/>
              </w:rPr>
            </w:pPr>
          </w:p>
        </w:tc>
        <w:tc>
          <w:tcPr>
            <w:tcW w:w="606" w:type="pct"/>
            <w:tcBorders>
              <w:top w:val="nil"/>
              <w:left w:val="nil"/>
              <w:bottom w:val="single" w:sz="4" w:space="0" w:color="F39200"/>
              <w:right w:val="nil"/>
            </w:tcBorders>
            <w:shd w:val="clear" w:color="auto" w:fill="auto"/>
            <w:vAlign w:val="center"/>
            <w:hideMark/>
          </w:tcPr>
          <w:p w14:paraId="08183F9A" w14:textId="77777777"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07" w:type="pct"/>
            <w:tcBorders>
              <w:top w:val="nil"/>
              <w:left w:val="nil"/>
              <w:bottom w:val="single" w:sz="4" w:space="0" w:color="F39200"/>
              <w:right w:val="nil"/>
            </w:tcBorders>
            <w:shd w:val="clear" w:color="auto" w:fill="auto"/>
            <w:vAlign w:val="center"/>
            <w:hideMark/>
          </w:tcPr>
          <w:p w14:paraId="254CA733" w14:textId="134C6754"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07" w:type="pct"/>
            <w:tcBorders>
              <w:top w:val="nil"/>
              <w:left w:val="nil"/>
              <w:bottom w:val="single" w:sz="4" w:space="0" w:color="F39200"/>
              <w:right w:val="nil"/>
            </w:tcBorders>
            <w:shd w:val="clear" w:color="auto" w:fill="auto"/>
            <w:vAlign w:val="center"/>
            <w:hideMark/>
          </w:tcPr>
          <w:p w14:paraId="08B72879" w14:textId="77777777"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c>
          <w:tcPr>
            <w:tcW w:w="606" w:type="pct"/>
            <w:tcBorders>
              <w:top w:val="nil"/>
              <w:left w:val="nil"/>
              <w:bottom w:val="single" w:sz="4" w:space="0" w:color="F39200"/>
              <w:right w:val="nil"/>
            </w:tcBorders>
            <w:shd w:val="clear" w:color="auto" w:fill="auto"/>
            <w:vAlign w:val="center"/>
            <w:hideMark/>
          </w:tcPr>
          <w:p w14:paraId="75984E5F" w14:textId="14AED4E1" w:rsidR="009201CB" w:rsidRPr="00A33766" w:rsidRDefault="009201CB" w:rsidP="009201CB">
            <w:pPr>
              <w:jc w:val="cente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1º trimestre</w:t>
            </w:r>
          </w:p>
        </w:tc>
      </w:tr>
      <w:tr w:rsidR="00E36AA3" w:rsidRPr="00A33766" w14:paraId="65C9BD72" w14:textId="77777777" w:rsidTr="009201CB">
        <w:trPr>
          <w:trHeight w:val="255"/>
        </w:trPr>
        <w:tc>
          <w:tcPr>
            <w:tcW w:w="2574" w:type="pct"/>
            <w:tcBorders>
              <w:top w:val="nil"/>
              <w:left w:val="nil"/>
              <w:bottom w:val="nil"/>
              <w:right w:val="nil"/>
            </w:tcBorders>
            <w:shd w:val="clear" w:color="auto" w:fill="auto"/>
            <w:vAlign w:val="center"/>
            <w:hideMark/>
          </w:tcPr>
          <w:p w14:paraId="72F8B813" w14:textId="77777777" w:rsidR="00E36AA3" w:rsidRPr="00A33766" w:rsidRDefault="00E36AA3" w:rsidP="00E36AA3">
            <w:pP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Resultado antes dos tributos e participações</w:t>
            </w:r>
          </w:p>
        </w:tc>
        <w:tc>
          <w:tcPr>
            <w:tcW w:w="606" w:type="pct"/>
            <w:tcBorders>
              <w:top w:val="nil"/>
              <w:left w:val="nil"/>
              <w:bottom w:val="nil"/>
              <w:right w:val="nil"/>
            </w:tcBorders>
            <w:shd w:val="clear" w:color="auto" w:fill="auto"/>
            <w:noWrap/>
            <w:vAlign w:val="center"/>
          </w:tcPr>
          <w:p w14:paraId="4ABAADF5" w14:textId="4776DF3E" w:rsidR="00E36AA3" w:rsidRPr="00A33766" w:rsidRDefault="00E36AA3" w:rsidP="00E36AA3">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1.187.100</w:t>
            </w:r>
          </w:p>
        </w:tc>
        <w:tc>
          <w:tcPr>
            <w:tcW w:w="607" w:type="pct"/>
            <w:tcBorders>
              <w:top w:val="nil"/>
              <w:left w:val="nil"/>
              <w:bottom w:val="nil"/>
              <w:right w:val="nil"/>
            </w:tcBorders>
            <w:shd w:val="clear" w:color="auto" w:fill="auto"/>
            <w:noWrap/>
            <w:vAlign w:val="center"/>
            <w:hideMark/>
          </w:tcPr>
          <w:p w14:paraId="76B06FFC" w14:textId="1D6B387F" w:rsidR="00E36AA3" w:rsidRPr="00A33766" w:rsidRDefault="00E36AA3" w:rsidP="00E36AA3">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766.889</w:t>
            </w:r>
          </w:p>
        </w:tc>
        <w:tc>
          <w:tcPr>
            <w:tcW w:w="607" w:type="pct"/>
            <w:tcBorders>
              <w:top w:val="nil"/>
              <w:left w:val="nil"/>
              <w:bottom w:val="nil"/>
              <w:right w:val="nil"/>
            </w:tcBorders>
            <w:shd w:val="clear" w:color="auto" w:fill="auto"/>
            <w:noWrap/>
            <w:vAlign w:val="center"/>
          </w:tcPr>
          <w:p w14:paraId="69C50A89" w14:textId="0DDD2DA8" w:rsidR="00E36AA3" w:rsidRPr="00A33766" w:rsidRDefault="00E36AA3" w:rsidP="00E36AA3">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1.825.052</w:t>
            </w:r>
          </w:p>
        </w:tc>
        <w:tc>
          <w:tcPr>
            <w:tcW w:w="606" w:type="pct"/>
            <w:tcBorders>
              <w:top w:val="nil"/>
              <w:left w:val="nil"/>
              <w:bottom w:val="nil"/>
              <w:right w:val="nil"/>
            </w:tcBorders>
            <w:shd w:val="clear" w:color="auto" w:fill="auto"/>
            <w:noWrap/>
            <w:vAlign w:val="center"/>
            <w:hideMark/>
          </w:tcPr>
          <w:p w14:paraId="47320A80" w14:textId="5ACA6095" w:rsidR="00E36AA3" w:rsidRPr="00A33766" w:rsidRDefault="00E36AA3" w:rsidP="00E36AA3">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1.319.522</w:t>
            </w:r>
          </w:p>
        </w:tc>
      </w:tr>
      <w:tr w:rsidR="00E36AA3" w:rsidRPr="00A33766" w14:paraId="63C9C220" w14:textId="77777777" w:rsidTr="009201CB">
        <w:trPr>
          <w:trHeight w:val="255"/>
        </w:trPr>
        <w:tc>
          <w:tcPr>
            <w:tcW w:w="2574" w:type="pct"/>
            <w:tcBorders>
              <w:top w:val="nil"/>
              <w:left w:val="nil"/>
              <w:bottom w:val="nil"/>
              <w:right w:val="nil"/>
            </w:tcBorders>
            <w:shd w:val="clear" w:color="auto" w:fill="auto"/>
            <w:vAlign w:val="center"/>
            <w:hideMark/>
          </w:tcPr>
          <w:p w14:paraId="07759C4E"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Encargo IRPJ e CSLL</w:t>
            </w:r>
          </w:p>
        </w:tc>
        <w:tc>
          <w:tcPr>
            <w:tcW w:w="606" w:type="pct"/>
            <w:tcBorders>
              <w:top w:val="nil"/>
              <w:left w:val="nil"/>
              <w:bottom w:val="nil"/>
              <w:right w:val="nil"/>
            </w:tcBorders>
            <w:shd w:val="clear" w:color="auto" w:fill="auto"/>
            <w:noWrap/>
            <w:vAlign w:val="center"/>
          </w:tcPr>
          <w:p w14:paraId="45FA004D" w14:textId="365F22CB"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(534.195)</w:t>
            </w:r>
          </w:p>
        </w:tc>
        <w:tc>
          <w:tcPr>
            <w:tcW w:w="607" w:type="pct"/>
            <w:tcBorders>
              <w:top w:val="nil"/>
              <w:left w:val="nil"/>
              <w:bottom w:val="nil"/>
              <w:right w:val="nil"/>
            </w:tcBorders>
            <w:shd w:val="clear" w:color="auto" w:fill="auto"/>
            <w:noWrap/>
            <w:vAlign w:val="center"/>
            <w:hideMark/>
          </w:tcPr>
          <w:p w14:paraId="22EA6B02" w14:textId="39AB8964"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(345.100)</w:t>
            </w:r>
          </w:p>
        </w:tc>
        <w:tc>
          <w:tcPr>
            <w:tcW w:w="607" w:type="pct"/>
            <w:tcBorders>
              <w:top w:val="nil"/>
              <w:left w:val="nil"/>
              <w:bottom w:val="nil"/>
              <w:right w:val="nil"/>
            </w:tcBorders>
            <w:shd w:val="clear" w:color="auto" w:fill="auto"/>
            <w:noWrap/>
            <w:vAlign w:val="center"/>
          </w:tcPr>
          <w:p w14:paraId="1617E7D2" w14:textId="792D3D1A"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(821.273)</w:t>
            </w:r>
          </w:p>
        </w:tc>
        <w:tc>
          <w:tcPr>
            <w:tcW w:w="606" w:type="pct"/>
            <w:tcBorders>
              <w:top w:val="nil"/>
              <w:left w:val="nil"/>
              <w:bottom w:val="nil"/>
              <w:right w:val="nil"/>
            </w:tcBorders>
            <w:shd w:val="clear" w:color="auto" w:fill="auto"/>
            <w:noWrap/>
            <w:vAlign w:val="center"/>
            <w:hideMark/>
          </w:tcPr>
          <w:p w14:paraId="2E2530B1" w14:textId="02F962EC"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(593.785)</w:t>
            </w:r>
          </w:p>
        </w:tc>
      </w:tr>
      <w:tr w:rsidR="00E36AA3" w:rsidRPr="00A33766" w14:paraId="4E313EE1" w14:textId="77777777" w:rsidTr="009201CB">
        <w:trPr>
          <w:trHeight w:val="255"/>
        </w:trPr>
        <w:tc>
          <w:tcPr>
            <w:tcW w:w="2574" w:type="pct"/>
            <w:tcBorders>
              <w:top w:val="nil"/>
              <w:left w:val="nil"/>
              <w:bottom w:val="nil"/>
              <w:right w:val="nil"/>
            </w:tcBorders>
            <w:shd w:val="clear" w:color="auto" w:fill="auto"/>
            <w:vAlign w:val="center"/>
            <w:hideMark/>
          </w:tcPr>
          <w:p w14:paraId="4E293EEF"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Efeitos tributários adições e exclusões</w:t>
            </w:r>
          </w:p>
        </w:tc>
        <w:tc>
          <w:tcPr>
            <w:tcW w:w="606" w:type="pct"/>
            <w:tcBorders>
              <w:top w:val="nil"/>
              <w:left w:val="nil"/>
              <w:bottom w:val="nil"/>
              <w:right w:val="nil"/>
            </w:tcBorders>
            <w:shd w:val="clear" w:color="auto" w:fill="auto"/>
            <w:noWrap/>
            <w:vAlign w:val="center"/>
          </w:tcPr>
          <w:p w14:paraId="1F603396" w14:textId="7AC69458"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(879.829)</w:t>
            </w:r>
          </w:p>
        </w:tc>
        <w:tc>
          <w:tcPr>
            <w:tcW w:w="607" w:type="pct"/>
            <w:tcBorders>
              <w:top w:val="nil"/>
              <w:left w:val="nil"/>
              <w:bottom w:val="nil"/>
              <w:right w:val="nil"/>
            </w:tcBorders>
            <w:shd w:val="clear" w:color="auto" w:fill="auto"/>
            <w:noWrap/>
            <w:vAlign w:val="center"/>
            <w:hideMark/>
          </w:tcPr>
          <w:p w14:paraId="48A7D663" w14:textId="3809DAD4"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(549.191)</w:t>
            </w:r>
          </w:p>
        </w:tc>
        <w:tc>
          <w:tcPr>
            <w:tcW w:w="607" w:type="pct"/>
            <w:tcBorders>
              <w:top w:val="nil"/>
              <w:left w:val="nil"/>
              <w:bottom w:val="nil"/>
              <w:right w:val="nil"/>
            </w:tcBorders>
            <w:shd w:val="clear" w:color="auto" w:fill="auto"/>
            <w:noWrap/>
            <w:vAlign w:val="center"/>
          </w:tcPr>
          <w:p w14:paraId="69D86616" w14:textId="578DFBB1"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(509.147)</w:t>
            </w:r>
          </w:p>
        </w:tc>
        <w:tc>
          <w:tcPr>
            <w:tcW w:w="606" w:type="pct"/>
            <w:tcBorders>
              <w:top w:val="nil"/>
              <w:left w:val="nil"/>
              <w:bottom w:val="nil"/>
              <w:right w:val="nil"/>
            </w:tcBorders>
            <w:shd w:val="clear" w:color="auto" w:fill="auto"/>
            <w:noWrap/>
            <w:vAlign w:val="center"/>
            <w:hideMark/>
          </w:tcPr>
          <w:p w14:paraId="2DD136D4" w14:textId="302A7D6E"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407.223</w:t>
            </w:r>
          </w:p>
        </w:tc>
      </w:tr>
      <w:tr w:rsidR="00E36AA3" w:rsidRPr="00A33766" w14:paraId="6D0B2DCD" w14:textId="77777777" w:rsidTr="009201CB">
        <w:trPr>
          <w:trHeight w:val="255"/>
        </w:trPr>
        <w:tc>
          <w:tcPr>
            <w:tcW w:w="2574" w:type="pct"/>
            <w:tcBorders>
              <w:top w:val="nil"/>
              <w:left w:val="nil"/>
              <w:bottom w:val="nil"/>
              <w:right w:val="nil"/>
            </w:tcBorders>
            <w:shd w:val="clear" w:color="auto" w:fill="auto"/>
            <w:vAlign w:val="center"/>
            <w:hideMark/>
          </w:tcPr>
          <w:p w14:paraId="52460BBD"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Juros sobre o capital próprio</w:t>
            </w:r>
          </w:p>
        </w:tc>
        <w:tc>
          <w:tcPr>
            <w:tcW w:w="606" w:type="pct"/>
            <w:tcBorders>
              <w:top w:val="nil"/>
              <w:left w:val="nil"/>
              <w:bottom w:val="nil"/>
              <w:right w:val="nil"/>
            </w:tcBorders>
            <w:shd w:val="clear" w:color="auto" w:fill="auto"/>
            <w:noWrap/>
            <w:vAlign w:val="center"/>
          </w:tcPr>
          <w:p w14:paraId="643D2EDE" w14:textId="2F35E290"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215.656</w:t>
            </w:r>
          </w:p>
        </w:tc>
        <w:tc>
          <w:tcPr>
            <w:tcW w:w="607" w:type="pct"/>
            <w:tcBorders>
              <w:top w:val="nil"/>
              <w:left w:val="nil"/>
              <w:bottom w:val="nil"/>
              <w:right w:val="nil"/>
            </w:tcBorders>
            <w:shd w:val="clear" w:color="auto" w:fill="auto"/>
            <w:noWrap/>
            <w:vAlign w:val="center"/>
            <w:hideMark/>
          </w:tcPr>
          <w:p w14:paraId="1A3BF95B" w14:textId="05F82E10"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166.232</w:t>
            </w:r>
          </w:p>
        </w:tc>
        <w:tc>
          <w:tcPr>
            <w:tcW w:w="607" w:type="pct"/>
            <w:tcBorders>
              <w:top w:val="nil"/>
              <w:left w:val="nil"/>
              <w:bottom w:val="nil"/>
              <w:right w:val="nil"/>
            </w:tcBorders>
            <w:shd w:val="clear" w:color="auto" w:fill="auto"/>
            <w:noWrap/>
            <w:vAlign w:val="center"/>
          </w:tcPr>
          <w:p w14:paraId="09D9D175" w14:textId="7CFD88D8"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215.656</w:t>
            </w:r>
          </w:p>
        </w:tc>
        <w:tc>
          <w:tcPr>
            <w:tcW w:w="606" w:type="pct"/>
            <w:tcBorders>
              <w:top w:val="nil"/>
              <w:left w:val="nil"/>
              <w:bottom w:val="nil"/>
              <w:right w:val="nil"/>
            </w:tcBorders>
            <w:shd w:val="clear" w:color="auto" w:fill="auto"/>
            <w:noWrap/>
            <w:vAlign w:val="center"/>
            <w:hideMark/>
          </w:tcPr>
          <w:p w14:paraId="04452E3B" w14:textId="3F958CFC"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166.232</w:t>
            </w:r>
          </w:p>
        </w:tc>
      </w:tr>
      <w:tr w:rsidR="00E36AA3" w:rsidRPr="00A33766" w14:paraId="48AC1EFB" w14:textId="77777777" w:rsidTr="009201CB">
        <w:trPr>
          <w:trHeight w:val="255"/>
        </w:trPr>
        <w:tc>
          <w:tcPr>
            <w:tcW w:w="2574" w:type="pct"/>
            <w:tcBorders>
              <w:top w:val="nil"/>
              <w:left w:val="nil"/>
              <w:bottom w:val="nil"/>
              <w:right w:val="nil"/>
            </w:tcBorders>
            <w:shd w:val="clear" w:color="auto" w:fill="auto"/>
            <w:vAlign w:val="center"/>
            <w:hideMark/>
          </w:tcPr>
          <w:p w14:paraId="60E8FD4B"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Participação em coligadas e controladas</w:t>
            </w:r>
          </w:p>
        </w:tc>
        <w:tc>
          <w:tcPr>
            <w:tcW w:w="606" w:type="pct"/>
            <w:tcBorders>
              <w:top w:val="nil"/>
              <w:left w:val="nil"/>
              <w:bottom w:val="nil"/>
              <w:right w:val="nil"/>
            </w:tcBorders>
            <w:shd w:val="clear" w:color="auto" w:fill="auto"/>
            <w:noWrap/>
            <w:vAlign w:val="center"/>
          </w:tcPr>
          <w:p w14:paraId="654A0EC5" w14:textId="41418C0C"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457.327</w:t>
            </w:r>
          </w:p>
        </w:tc>
        <w:tc>
          <w:tcPr>
            <w:tcW w:w="607" w:type="pct"/>
            <w:tcBorders>
              <w:top w:val="nil"/>
              <w:left w:val="nil"/>
              <w:bottom w:val="nil"/>
              <w:right w:val="nil"/>
            </w:tcBorders>
            <w:shd w:val="clear" w:color="auto" w:fill="auto"/>
            <w:noWrap/>
            <w:vAlign w:val="center"/>
            <w:hideMark/>
          </w:tcPr>
          <w:p w14:paraId="65258450" w14:textId="675BAFBA"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454.206</w:t>
            </w:r>
          </w:p>
        </w:tc>
        <w:tc>
          <w:tcPr>
            <w:tcW w:w="607" w:type="pct"/>
            <w:tcBorders>
              <w:top w:val="nil"/>
              <w:left w:val="nil"/>
              <w:bottom w:val="nil"/>
              <w:right w:val="nil"/>
            </w:tcBorders>
            <w:shd w:val="clear" w:color="auto" w:fill="auto"/>
            <w:noWrap/>
            <w:vAlign w:val="center"/>
          </w:tcPr>
          <w:p w14:paraId="6B51EEB7" w14:textId="2577B49E"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(113.601)</w:t>
            </w:r>
          </w:p>
        </w:tc>
        <w:tc>
          <w:tcPr>
            <w:tcW w:w="606" w:type="pct"/>
            <w:tcBorders>
              <w:top w:val="nil"/>
              <w:left w:val="nil"/>
              <w:bottom w:val="nil"/>
              <w:right w:val="nil"/>
            </w:tcBorders>
            <w:shd w:val="clear" w:color="auto" w:fill="auto"/>
            <w:noWrap/>
            <w:vAlign w:val="center"/>
            <w:hideMark/>
          </w:tcPr>
          <w:p w14:paraId="413FD3C6" w14:textId="48404063"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485.721</w:t>
            </w:r>
          </w:p>
        </w:tc>
      </w:tr>
      <w:tr w:rsidR="00E36AA3" w:rsidRPr="00A33766" w14:paraId="70725B10" w14:textId="77777777" w:rsidTr="009201CB">
        <w:trPr>
          <w:trHeight w:val="255"/>
        </w:trPr>
        <w:tc>
          <w:tcPr>
            <w:tcW w:w="2574" w:type="pct"/>
            <w:tcBorders>
              <w:top w:val="nil"/>
              <w:left w:val="nil"/>
              <w:bottom w:val="nil"/>
              <w:right w:val="nil"/>
            </w:tcBorders>
            <w:shd w:val="clear" w:color="auto" w:fill="auto"/>
            <w:vAlign w:val="center"/>
            <w:hideMark/>
          </w:tcPr>
          <w:p w14:paraId="0E2D6B0A"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Realização/apuração prejuízo fiscal e base negativa CSLL</w:t>
            </w:r>
          </w:p>
        </w:tc>
        <w:tc>
          <w:tcPr>
            <w:tcW w:w="606" w:type="pct"/>
            <w:tcBorders>
              <w:top w:val="nil"/>
              <w:left w:val="nil"/>
              <w:bottom w:val="nil"/>
              <w:right w:val="nil"/>
            </w:tcBorders>
            <w:shd w:val="clear" w:color="auto" w:fill="auto"/>
            <w:noWrap/>
            <w:vAlign w:val="center"/>
          </w:tcPr>
          <w:p w14:paraId="7F7008AA" w14:textId="0AA68B1E"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405.189</w:t>
            </w:r>
          </w:p>
        </w:tc>
        <w:tc>
          <w:tcPr>
            <w:tcW w:w="607" w:type="pct"/>
            <w:tcBorders>
              <w:top w:val="nil"/>
              <w:left w:val="nil"/>
              <w:bottom w:val="nil"/>
              <w:right w:val="nil"/>
            </w:tcBorders>
            <w:shd w:val="clear" w:color="auto" w:fill="auto"/>
            <w:noWrap/>
            <w:vAlign w:val="center"/>
            <w:hideMark/>
          </w:tcPr>
          <w:p w14:paraId="08095E24" w14:textId="70D73869"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175.913</w:t>
            </w:r>
          </w:p>
        </w:tc>
        <w:tc>
          <w:tcPr>
            <w:tcW w:w="607" w:type="pct"/>
            <w:tcBorders>
              <w:top w:val="nil"/>
              <w:left w:val="nil"/>
              <w:bottom w:val="nil"/>
              <w:right w:val="nil"/>
            </w:tcBorders>
            <w:shd w:val="clear" w:color="auto" w:fill="auto"/>
            <w:noWrap/>
            <w:vAlign w:val="center"/>
          </w:tcPr>
          <w:p w14:paraId="6A6D52A2" w14:textId="7C58C578"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405.189</w:t>
            </w:r>
          </w:p>
        </w:tc>
        <w:tc>
          <w:tcPr>
            <w:tcW w:w="606" w:type="pct"/>
            <w:tcBorders>
              <w:top w:val="nil"/>
              <w:left w:val="nil"/>
              <w:bottom w:val="nil"/>
              <w:right w:val="nil"/>
            </w:tcBorders>
            <w:shd w:val="clear" w:color="auto" w:fill="auto"/>
            <w:noWrap/>
            <w:vAlign w:val="center"/>
            <w:hideMark/>
          </w:tcPr>
          <w:p w14:paraId="7F07FC98" w14:textId="7A7EDCA6"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175.913</w:t>
            </w:r>
          </w:p>
        </w:tc>
      </w:tr>
      <w:tr w:rsidR="00E36AA3" w:rsidRPr="00A33766" w14:paraId="4E78E806" w14:textId="77777777" w:rsidTr="009201CB">
        <w:trPr>
          <w:trHeight w:val="255"/>
        </w:trPr>
        <w:tc>
          <w:tcPr>
            <w:tcW w:w="2574" w:type="pct"/>
            <w:tcBorders>
              <w:top w:val="nil"/>
              <w:left w:val="nil"/>
              <w:bottom w:val="nil"/>
              <w:right w:val="nil"/>
            </w:tcBorders>
            <w:shd w:val="clear" w:color="auto" w:fill="auto"/>
            <w:vAlign w:val="center"/>
            <w:hideMark/>
          </w:tcPr>
          <w:p w14:paraId="6E1C5ACA"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Participação dos empregados nos lucros</w:t>
            </w:r>
          </w:p>
        </w:tc>
        <w:tc>
          <w:tcPr>
            <w:tcW w:w="606" w:type="pct"/>
            <w:tcBorders>
              <w:top w:val="nil"/>
              <w:left w:val="nil"/>
              <w:bottom w:val="nil"/>
              <w:right w:val="nil"/>
            </w:tcBorders>
            <w:shd w:val="clear" w:color="auto" w:fill="auto"/>
            <w:noWrap/>
            <w:vAlign w:val="center"/>
          </w:tcPr>
          <w:p w14:paraId="50D3D977" w14:textId="3233C0D0"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(161.742)</w:t>
            </w:r>
          </w:p>
        </w:tc>
        <w:tc>
          <w:tcPr>
            <w:tcW w:w="607" w:type="pct"/>
            <w:tcBorders>
              <w:top w:val="nil"/>
              <w:left w:val="nil"/>
              <w:bottom w:val="nil"/>
              <w:right w:val="nil"/>
            </w:tcBorders>
            <w:shd w:val="clear" w:color="auto" w:fill="auto"/>
            <w:noWrap/>
            <w:vAlign w:val="center"/>
            <w:hideMark/>
          </w:tcPr>
          <w:p w14:paraId="6A4A7B3A" w14:textId="7D806F2E"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(134.278)</w:t>
            </w:r>
          </w:p>
        </w:tc>
        <w:tc>
          <w:tcPr>
            <w:tcW w:w="607" w:type="pct"/>
            <w:tcBorders>
              <w:top w:val="nil"/>
              <w:left w:val="nil"/>
              <w:bottom w:val="nil"/>
              <w:right w:val="nil"/>
            </w:tcBorders>
            <w:shd w:val="clear" w:color="auto" w:fill="auto"/>
            <w:noWrap/>
            <w:vAlign w:val="center"/>
          </w:tcPr>
          <w:p w14:paraId="46664779" w14:textId="749C9602"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(161.742)</w:t>
            </w:r>
          </w:p>
        </w:tc>
        <w:tc>
          <w:tcPr>
            <w:tcW w:w="606" w:type="pct"/>
            <w:tcBorders>
              <w:top w:val="nil"/>
              <w:left w:val="nil"/>
              <w:bottom w:val="nil"/>
              <w:right w:val="nil"/>
            </w:tcBorders>
            <w:shd w:val="clear" w:color="auto" w:fill="auto"/>
            <w:noWrap/>
            <w:vAlign w:val="center"/>
            <w:hideMark/>
          </w:tcPr>
          <w:p w14:paraId="5CD0B9E8" w14:textId="12DB7586"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(134.278)</w:t>
            </w:r>
          </w:p>
        </w:tc>
      </w:tr>
      <w:tr w:rsidR="00E36AA3" w:rsidRPr="00A33766" w14:paraId="7627AB41" w14:textId="77777777" w:rsidTr="009201CB">
        <w:trPr>
          <w:trHeight w:val="255"/>
        </w:trPr>
        <w:tc>
          <w:tcPr>
            <w:tcW w:w="2574" w:type="pct"/>
            <w:tcBorders>
              <w:top w:val="nil"/>
              <w:left w:val="nil"/>
              <w:bottom w:val="single" w:sz="4" w:space="0" w:color="F39200"/>
              <w:right w:val="nil"/>
            </w:tcBorders>
            <w:shd w:val="clear" w:color="auto" w:fill="auto"/>
            <w:vAlign w:val="center"/>
            <w:hideMark/>
          </w:tcPr>
          <w:p w14:paraId="0F6A19DB" w14:textId="77777777" w:rsidR="00E36AA3" w:rsidRPr="00A33766" w:rsidRDefault="00E36AA3" w:rsidP="00E36AA3">
            <w:pPr>
              <w:rPr>
                <w:rFonts w:ascii="CAIXA Std Book" w:eastAsia="Times New Roman" w:hAnsi="CAIXA Std Book" w:cs="Arial"/>
                <w:color w:val="005CA9"/>
                <w:sz w:val="18"/>
                <w:szCs w:val="18"/>
              </w:rPr>
            </w:pPr>
            <w:r w:rsidRPr="00A33766">
              <w:rPr>
                <w:rFonts w:ascii="CAIXA Std Book" w:eastAsia="Times New Roman" w:hAnsi="CAIXA Std Book" w:cs="Arial"/>
                <w:color w:val="005CA9"/>
                <w:sz w:val="18"/>
                <w:szCs w:val="18"/>
              </w:rPr>
              <w:t>Outros</w:t>
            </w:r>
          </w:p>
        </w:tc>
        <w:tc>
          <w:tcPr>
            <w:tcW w:w="606" w:type="pct"/>
            <w:tcBorders>
              <w:top w:val="nil"/>
              <w:left w:val="nil"/>
              <w:bottom w:val="single" w:sz="4" w:space="0" w:color="F39200"/>
              <w:right w:val="nil"/>
            </w:tcBorders>
            <w:shd w:val="clear" w:color="auto" w:fill="auto"/>
            <w:noWrap/>
            <w:vAlign w:val="center"/>
          </w:tcPr>
          <w:p w14:paraId="746E9AB5" w14:textId="0678A6E9"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(452.930)</w:t>
            </w:r>
          </w:p>
        </w:tc>
        <w:tc>
          <w:tcPr>
            <w:tcW w:w="607" w:type="pct"/>
            <w:tcBorders>
              <w:top w:val="nil"/>
              <w:left w:val="nil"/>
              <w:bottom w:val="single" w:sz="4" w:space="0" w:color="F39200"/>
              <w:right w:val="nil"/>
            </w:tcBorders>
            <w:shd w:val="clear" w:color="auto" w:fill="auto"/>
            <w:noWrap/>
            <w:vAlign w:val="center"/>
            <w:hideMark/>
          </w:tcPr>
          <w:p w14:paraId="5231FBC7" w14:textId="10990E84"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(162.474)</w:t>
            </w:r>
          </w:p>
        </w:tc>
        <w:tc>
          <w:tcPr>
            <w:tcW w:w="607" w:type="pct"/>
            <w:tcBorders>
              <w:top w:val="nil"/>
              <w:left w:val="nil"/>
              <w:bottom w:val="single" w:sz="4" w:space="0" w:color="F39200"/>
              <w:right w:val="nil"/>
            </w:tcBorders>
            <w:shd w:val="clear" w:color="auto" w:fill="auto"/>
            <w:noWrap/>
            <w:vAlign w:val="center"/>
          </w:tcPr>
          <w:p w14:paraId="6294DC08" w14:textId="3633D006" w:rsidR="00E36AA3" w:rsidRPr="00A33766" w:rsidRDefault="00E36AA3" w:rsidP="00E36AA3">
            <w:pPr>
              <w:jc w:val="right"/>
              <w:rPr>
                <w:rFonts w:ascii="CAIXA Std Book" w:eastAsia="Times New Roman" w:hAnsi="CAIXA Std Book" w:cs="Arial"/>
                <w:color w:val="005CA9"/>
                <w:sz w:val="18"/>
                <w:szCs w:val="18"/>
              </w:rPr>
            </w:pPr>
            <w:r>
              <w:rPr>
                <w:rFonts w:ascii="CAIXA Std Book" w:hAnsi="CAIXA Std Book" w:cs="Arial"/>
                <w:color w:val="005CA9"/>
                <w:sz w:val="18"/>
                <w:szCs w:val="18"/>
              </w:rPr>
              <w:t>(261.096)</w:t>
            </w:r>
          </w:p>
        </w:tc>
        <w:tc>
          <w:tcPr>
            <w:tcW w:w="606" w:type="pct"/>
            <w:tcBorders>
              <w:top w:val="nil"/>
              <w:left w:val="nil"/>
              <w:bottom w:val="single" w:sz="4" w:space="0" w:color="F39200"/>
              <w:right w:val="nil"/>
            </w:tcBorders>
            <w:shd w:val="clear" w:color="auto" w:fill="auto"/>
            <w:noWrap/>
            <w:vAlign w:val="center"/>
            <w:hideMark/>
          </w:tcPr>
          <w:p w14:paraId="03C9F77A" w14:textId="731ECC68" w:rsidR="00E36AA3" w:rsidRPr="00A33766" w:rsidRDefault="00E36AA3" w:rsidP="00E36AA3">
            <w:pPr>
              <w:jc w:val="right"/>
              <w:rPr>
                <w:rFonts w:ascii="CAIXA Std Book" w:eastAsia="Times New Roman" w:hAnsi="CAIXA Std Book" w:cs="Arial"/>
                <w:color w:val="005CA9"/>
                <w:sz w:val="18"/>
                <w:szCs w:val="18"/>
              </w:rPr>
            </w:pPr>
            <w:r w:rsidRPr="00A33766">
              <w:rPr>
                <w:rFonts w:ascii="CAIXA Std Book" w:hAnsi="CAIXA Std Book" w:cs="Arial"/>
                <w:color w:val="005CA9"/>
                <w:sz w:val="18"/>
                <w:szCs w:val="18"/>
              </w:rPr>
              <w:t>(1.199.138)</w:t>
            </w:r>
          </w:p>
        </w:tc>
      </w:tr>
      <w:tr w:rsidR="00E36AA3" w:rsidRPr="00A33766" w14:paraId="694CC49F" w14:textId="77777777" w:rsidTr="009201CB">
        <w:trPr>
          <w:trHeight w:val="255"/>
        </w:trPr>
        <w:tc>
          <w:tcPr>
            <w:tcW w:w="2574" w:type="pct"/>
            <w:tcBorders>
              <w:top w:val="single" w:sz="4" w:space="0" w:color="F39200"/>
              <w:left w:val="nil"/>
              <w:bottom w:val="single" w:sz="4" w:space="0" w:color="F39200"/>
              <w:right w:val="nil"/>
            </w:tcBorders>
            <w:shd w:val="clear" w:color="auto" w:fill="auto"/>
            <w:noWrap/>
            <w:vAlign w:val="center"/>
            <w:hideMark/>
          </w:tcPr>
          <w:p w14:paraId="6AE1D5B2" w14:textId="77777777" w:rsidR="00E36AA3" w:rsidRPr="00A33766" w:rsidRDefault="00E36AA3" w:rsidP="00E36AA3">
            <w:pPr>
              <w:rPr>
                <w:rFonts w:ascii="CAIXA Std Book" w:eastAsia="Times New Roman" w:hAnsi="CAIXA Std Book" w:cs="Arial"/>
                <w:b/>
                <w:color w:val="005CA9"/>
                <w:sz w:val="18"/>
                <w:szCs w:val="18"/>
              </w:rPr>
            </w:pPr>
            <w:r w:rsidRPr="00A33766">
              <w:rPr>
                <w:rFonts w:ascii="CAIXA Std Book" w:eastAsia="Times New Roman" w:hAnsi="CAIXA Std Book" w:cs="Arial"/>
                <w:b/>
                <w:color w:val="005CA9"/>
                <w:sz w:val="18"/>
                <w:szCs w:val="18"/>
              </w:rPr>
              <w:t>Imposto de Renda e Contribuição Social Correntes</w:t>
            </w:r>
          </w:p>
        </w:tc>
        <w:tc>
          <w:tcPr>
            <w:tcW w:w="606" w:type="pct"/>
            <w:tcBorders>
              <w:top w:val="single" w:sz="4" w:space="0" w:color="F39200"/>
              <w:left w:val="nil"/>
              <w:bottom w:val="single" w:sz="4" w:space="0" w:color="F39200"/>
              <w:right w:val="nil"/>
            </w:tcBorders>
            <w:shd w:val="clear" w:color="auto" w:fill="auto"/>
            <w:noWrap/>
            <w:vAlign w:val="center"/>
          </w:tcPr>
          <w:p w14:paraId="74CFFBE1" w14:textId="5DA7E6B9" w:rsidR="00E36AA3" w:rsidRPr="00A33766" w:rsidRDefault="00E36AA3" w:rsidP="00E36AA3">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(950.524)</w:t>
            </w:r>
          </w:p>
        </w:tc>
        <w:tc>
          <w:tcPr>
            <w:tcW w:w="607" w:type="pct"/>
            <w:tcBorders>
              <w:top w:val="single" w:sz="4" w:space="0" w:color="F39200"/>
              <w:left w:val="nil"/>
              <w:bottom w:val="single" w:sz="4" w:space="0" w:color="F39200"/>
              <w:right w:val="nil"/>
            </w:tcBorders>
            <w:shd w:val="clear" w:color="auto" w:fill="auto"/>
            <w:noWrap/>
            <w:vAlign w:val="center"/>
            <w:hideMark/>
          </w:tcPr>
          <w:p w14:paraId="69FEEE6E" w14:textId="42E18CCC" w:rsidR="00E36AA3" w:rsidRPr="00A33766" w:rsidRDefault="00E36AA3" w:rsidP="00E36AA3">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(394.692)</w:t>
            </w:r>
          </w:p>
        </w:tc>
        <w:tc>
          <w:tcPr>
            <w:tcW w:w="607" w:type="pct"/>
            <w:tcBorders>
              <w:top w:val="single" w:sz="4" w:space="0" w:color="F39200"/>
              <w:left w:val="nil"/>
              <w:bottom w:val="single" w:sz="4" w:space="0" w:color="F39200"/>
              <w:right w:val="nil"/>
            </w:tcBorders>
            <w:shd w:val="clear" w:color="auto" w:fill="auto"/>
            <w:noWrap/>
            <w:vAlign w:val="center"/>
          </w:tcPr>
          <w:p w14:paraId="740DF05D" w14:textId="7CC05569" w:rsidR="00E36AA3" w:rsidRPr="00A33766" w:rsidRDefault="00E36AA3" w:rsidP="00E36AA3">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(1.246.014)</w:t>
            </w:r>
          </w:p>
        </w:tc>
        <w:tc>
          <w:tcPr>
            <w:tcW w:w="606" w:type="pct"/>
            <w:tcBorders>
              <w:top w:val="single" w:sz="4" w:space="0" w:color="F39200"/>
              <w:left w:val="nil"/>
              <w:bottom w:val="single" w:sz="4" w:space="0" w:color="F39200"/>
              <w:right w:val="nil"/>
            </w:tcBorders>
            <w:shd w:val="clear" w:color="auto" w:fill="auto"/>
            <w:noWrap/>
            <w:vAlign w:val="center"/>
            <w:hideMark/>
          </w:tcPr>
          <w:p w14:paraId="55CB0A08" w14:textId="04AB3740" w:rsidR="00E36AA3" w:rsidRPr="00A33766" w:rsidRDefault="00E36AA3" w:rsidP="00E36AA3">
            <w:pPr>
              <w:jc w:val="right"/>
              <w:rPr>
                <w:rFonts w:ascii="CAIXA Std Book" w:eastAsia="Times New Roman" w:hAnsi="CAIXA Std Book" w:cs="Arial"/>
                <w:b/>
                <w:color w:val="005CA9"/>
                <w:sz w:val="18"/>
                <w:szCs w:val="18"/>
              </w:rPr>
            </w:pPr>
            <w:r w:rsidRPr="00A33766">
              <w:rPr>
                <w:rFonts w:ascii="CAIXA Std Book" w:hAnsi="CAIXA Std Book" w:cs="Arial"/>
                <w:b/>
                <w:color w:val="005CA9"/>
                <w:sz w:val="18"/>
                <w:szCs w:val="18"/>
              </w:rPr>
              <w:t>(692.112)</w:t>
            </w:r>
          </w:p>
        </w:tc>
      </w:tr>
    </w:tbl>
    <w:p w14:paraId="0F790C29" w14:textId="631463A8" w:rsidR="003B762C" w:rsidRPr="00FF4346" w:rsidRDefault="003B762C" w:rsidP="00B37B40">
      <w:pPr>
        <w:keepNext/>
        <w:numPr>
          <w:ilvl w:val="0"/>
          <w:numId w:val="9"/>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Passivo fiscal diferido</w:t>
      </w:r>
    </w:p>
    <w:tbl>
      <w:tblPr>
        <w:tblW w:w="5000" w:type="pct"/>
        <w:tblCellMar>
          <w:left w:w="70" w:type="dxa"/>
          <w:right w:w="70" w:type="dxa"/>
        </w:tblCellMar>
        <w:tblLook w:val="04A0" w:firstRow="1" w:lastRow="0" w:firstColumn="1" w:lastColumn="0" w:noHBand="0" w:noVBand="1"/>
      </w:tblPr>
      <w:tblGrid>
        <w:gridCol w:w="4765"/>
        <w:gridCol w:w="1326"/>
        <w:gridCol w:w="1183"/>
        <w:gridCol w:w="1183"/>
        <w:gridCol w:w="1180"/>
      </w:tblGrid>
      <w:tr w:rsidR="00D07531" w:rsidRPr="00A33766" w14:paraId="0ADDF641" w14:textId="77777777" w:rsidTr="00FF4346">
        <w:trPr>
          <w:trHeight w:val="255"/>
        </w:trPr>
        <w:tc>
          <w:tcPr>
            <w:tcW w:w="2472" w:type="pct"/>
            <w:vMerge w:val="restart"/>
            <w:tcBorders>
              <w:top w:val="single" w:sz="4" w:space="0" w:color="F39200"/>
              <w:left w:val="nil"/>
              <w:bottom w:val="single" w:sz="4" w:space="0" w:color="F39200"/>
              <w:right w:val="nil"/>
            </w:tcBorders>
            <w:shd w:val="clear" w:color="auto" w:fill="auto"/>
            <w:vAlign w:val="center"/>
            <w:hideMark/>
          </w:tcPr>
          <w:p w14:paraId="31D43F03"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02" w:type="pct"/>
            <w:gridSpan w:val="2"/>
            <w:tcBorders>
              <w:top w:val="single" w:sz="4" w:space="0" w:color="F39200"/>
              <w:left w:val="nil"/>
              <w:bottom w:val="single" w:sz="4" w:space="0" w:color="F39200"/>
              <w:right w:val="nil"/>
            </w:tcBorders>
            <w:shd w:val="clear" w:color="auto" w:fill="auto"/>
            <w:noWrap/>
            <w:vAlign w:val="center"/>
            <w:hideMark/>
          </w:tcPr>
          <w:p w14:paraId="36821FD2"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226" w:type="pct"/>
            <w:gridSpan w:val="2"/>
            <w:tcBorders>
              <w:top w:val="single" w:sz="4" w:space="0" w:color="F39200"/>
              <w:left w:val="nil"/>
              <w:bottom w:val="single" w:sz="4" w:space="0" w:color="F39200"/>
              <w:right w:val="nil"/>
            </w:tcBorders>
            <w:shd w:val="clear" w:color="auto" w:fill="auto"/>
            <w:noWrap/>
            <w:vAlign w:val="center"/>
            <w:hideMark/>
          </w:tcPr>
          <w:p w14:paraId="390B8AF0"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FF4346" w:rsidRPr="00A33766" w14:paraId="48E425A7" w14:textId="77777777" w:rsidTr="00FF4346">
        <w:trPr>
          <w:trHeight w:val="255"/>
        </w:trPr>
        <w:tc>
          <w:tcPr>
            <w:tcW w:w="2472" w:type="pct"/>
            <w:vMerge/>
            <w:tcBorders>
              <w:top w:val="single" w:sz="4" w:space="0" w:color="F39200"/>
              <w:left w:val="nil"/>
              <w:bottom w:val="single" w:sz="4" w:space="0" w:color="F39200"/>
              <w:right w:val="nil"/>
            </w:tcBorders>
            <w:vAlign w:val="center"/>
            <w:hideMark/>
          </w:tcPr>
          <w:p w14:paraId="003CBFA8" w14:textId="77777777" w:rsidR="00FF4346" w:rsidRPr="00FF4346" w:rsidRDefault="00FF4346" w:rsidP="00FF4346">
            <w:pPr>
              <w:rPr>
                <w:rFonts w:ascii="CAIXA Std Book" w:eastAsia="Times New Roman" w:hAnsi="CAIXA Std Book" w:cs="Arial"/>
                <w:b/>
                <w:bCs/>
                <w:color w:val="005CA9"/>
                <w:sz w:val="18"/>
                <w:szCs w:val="18"/>
              </w:rPr>
            </w:pPr>
          </w:p>
        </w:tc>
        <w:tc>
          <w:tcPr>
            <w:tcW w:w="688" w:type="pct"/>
            <w:tcBorders>
              <w:top w:val="nil"/>
              <w:left w:val="nil"/>
              <w:bottom w:val="single" w:sz="4" w:space="0" w:color="F39200"/>
              <w:right w:val="nil"/>
            </w:tcBorders>
            <w:shd w:val="clear" w:color="auto" w:fill="auto"/>
            <w:vAlign w:val="center"/>
            <w:hideMark/>
          </w:tcPr>
          <w:p w14:paraId="359151AB" w14:textId="091F5B20" w:rsidR="00FF4346" w:rsidRPr="00FF4346" w:rsidRDefault="00FF4346" w:rsidP="00FF4346">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31/03/2024</w:t>
            </w:r>
          </w:p>
        </w:tc>
        <w:tc>
          <w:tcPr>
            <w:tcW w:w="614" w:type="pct"/>
            <w:tcBorders>
              <w:top w:val="nil"/>
              <w:left w:val="nil"/>
              <w:bottom w:val="single" w:sz="4" w:space="0" w:color="F39200"/>
              <w:right w:val="nil"/>
            </w:tcBorders>
            <w:shd w:val="clear" w:color="auto" w:fill="auto"/>
            <w:vAlign w:val="center"/>
            <w:hideMark/>
          </w:tcPr>
          <w:p w14:paraId="22F6EB76" w14:textId="53AE76FA"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31/12/2023</w:t>
            </w:r>
          </w:p>
        </w:tc>
        <w:tc>
          <w:tcPr>
            <w:tcW w:w="614" w:type="pct"/>
            <w:tcBorders>
              <w:top w:val="nil"/>
              <w:left w:val="nil"/>
              <w:bottom w:val="single" w:sz="4" w:space="0" w:color="F39200"/>
              <w:right w:val="nil"/>
            </w:tcBorders>
            <w:shd w:val="clear" w:color="auto" w:fill="auto"/>
            <w:vAlign w:val="center"/>
            <w:hideMark/>
          </w:tcPr>
          <w:p w14:paraId="75B3C3AA" w14:textId="12A3BD52"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Pr>
                <w:rFonts w:ascii="CAIXA Std Book" w:eastAsia="Times New Roman" w:hAnsi="CAIXA Std Book" w:cs="Arial"/>
                <w:b/>
                <w:bCs/>
                <w:color w:val="005CA9"/>
                <w:sz w:val="18"/>
                <w:szCs w:val="18"/>
              </w:rPr>
              <w:t>03/2024</w:t>
            </w:r>
          </w:p>
        </w:tc>
        <w:tc>
          <w:tcPr>
            <w:tcW w:w="612" w:type="pct"/>
            <w:tcBorders>
              <w:top w:val="nil"/>
              <w:left w:val="nil"/>
              <w:bottom w:val="single" w:sz="4" w:space="0" w:color="F39200"/>
              <w:right w:val="nil"/>
            </w:tcBorders>
            <w:shd w:val="clear" w:color="auto" w:fill="auto"/>
            <w:vAlign w:val="center"/>
            <w:hideMark/>
          </w:tcPr>
          <w:p w14:paraId="0C663AA3" w14:textId="602D4E83"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31/12/2023</w:t>
            </w:r>
          </w:p>
        </w:tc>
      </w:tr>
      <w:tr w:rsidR="003B4F48" w:rsidRPr="00A33766" w14:paraId="707280DB" w14:textId="77777777" w:rsidTr="00FF4346">
        <w:trPr>
          <w:trHeight w:val="255"/>
        </w:trPr>
        <w:tc>
          <w:tcPr>
            <w:tcW w:w="2472" w:type="pct"/>
            <w:tcBorders>
              <w:top w:val="nil"/>
              <w:left w:val="nil"/>
              <w:bottom w:val="nil"/>
              <w:right w:val="nil"/>
            </w:tcBorders>
            <w:shd w:val="clear" w:color="auto" w:fill="auto"/>
            <w:vAlign w:val="center"/>
            <w:hideMark/>
          </w:tcPr>
          <w:p w14:paraId="73855879" w14:textId="77777777" w:rsidR="003B4F48" w:rsidRPr="00FF4346" w:rsidRDefault="003B4F48" w:rsidP="003B4F4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Ajustes a valor de mercado de títulos para negociação</w:t>
            </w:r>
          </w:p>
        </w:tc>
        <w:tc>
          <w:tcPr>
            <w:tcW w:w="688" w:type="pct"/>
            <w:tcBorders>
              <w:top w:val="nil"/>
              <w:left w:val="nil"/>
              <w:bottom w:val="nil"/>
              <w:right w:val="nil"/>
            </w:tcBorders>
            <w:shd w:val="clear" w:color="auto" w:fill="auto"/>
            <w:noWrap/>
            <w:vAlign w:val="center"/>
          </w:tcPr>
          <w:p w14:paraId="5DA00DDF" w14:textId="1AC25968"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570.513</w:t>
            </w:r>
          </w:p>
        </w:tc>
        <w:tc>
          <w:tcPr>
            <w:tcW w:w="614" w:type="pct"/>
            <w:tcBorders>
              <w:top w:val="nil"/>
              <w:left w:val="nil"/>
              <w:bottom w:val="nil"/>
              <w:right w:val="nil"/>
            </w:tcBorders>
            <w:shd w:val="clear" w:color="auto" w:fill="auto"/>
            <w:noWrap/>
            <w:vAlign w:val="center"/>
            <w:hideMark/>
          </w:tcPr>
          <w:p w14:paraId="6040FDD9" w14:textId="001AF2EC"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1.431.941</w:t>
            </w:r>
          </w:p>
        </w:tc>
        <w:tc>
          <w:tcPr>
            <w:tcW w:w="614" w:type="pct"/>
            <w:tcBorders>
              <w:top w:val="nil"/>
              <w:left w:val="nil"/>
              <w:bottom w:val="nil"/>
              <w:right w:val="nil"/>
            </w:tcBorders>
            <w:shd w:val="clear" w:color="auto" w:fill="auto"/>
            <w:noWrap/>
            <w:vAlign w:val="center"/>
          </w:tcPr>
          <w:p w14:paraId="385765DE" w14:textId="201C07A9"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570.513</w:t>
            </w:r>
          </w:p>
        </w:tc>
        <w:tc>
          <w:tcPr>
            <w:tcW w:w="612" w:type="pct"/>
            <w:tcBorders>
              <w:top w:val="nil"/>
              <w:left w:val="nil"/>
              <w:bottom w:val="nil"/>
              <w:right w:val="nil"/>
            </w:tcBorders>
            <w:shd w:val="clear" w:color="auto" w:fill="auto"/>
            <w:noWrap/>
            <w:vAlign w:val="center"/>
            <w:hideMark/>
          </w:tcPr>
          <w:p w14:paraId="0BEBCF0B" w14:textId="7242A463"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1.431.941</w:t>
            </w:r>
          </w:p>
        </w:tc>
      </w:tr>
      <w:tr w:rsidR="003B4F48" w:rsidRPr="00A33766" w14:paraId="24649F70" w14:textId="77777777" w:rsidTr="00FF4346">
        <w:trPr>
          <w:trHeight w:val="255"/>
        </w:trPr>
        <w:tc>
          <w:tcPr>
            <w:tcW w:w="2472" w:type="pct"/>
            <w:tcBorders>
              <w:top w:val="nil"/>
              <w:left w:val="nil"/>
              <w:bottom w:val="nil"/>
              <w:right w:val="nil"/>
            </w:tcBorders>
            <w:shd w:val="clear" w:color="auto" w:fill="auto"/>
            <w:vAlign w:val="center"/>
            <w:hideMark/>
          </w:tcPr>
          <w:p w14:paraId="73C643AC" w14:textId="77777777" w:rsidR="003B4F48" w:rsidRPr="00FF4346" w:rsidRDefault="003B4F48" w:rsidP="003B4F4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Atualização monetária de depósito em garantia</w:t>
            </w:r>
          </w:p>
        </w:tc>
        <w:tc>
          <w:tcPr>
            <w:tcW w:w="688" w:type="pct"/>
            <w:tcBorders>
              <w:top w:val="nil"/>
              <w:left w:val="nil"/>
              <w:bottom w:val="nil"/>
              <w:right w:val="nil"/>
            </w:tcBorders>
            <w:shd w:val="clear" w:color="auto" w:fill="auto"/>
            <w:noWrap/>
            <w:vAlign w:val="center"/>
          </w:tcPr>
          <w:p w14:paraId="181F0FE7" w14:textId="2CEC99E7"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2.971.487</w:t>
            </w:r>
          </w:p>
        </w:tc>
        <w:tc>
          <w:tcPr>
            <w:tcW w:w="614" w:type="pct"/>
            <w:tcBorders>
              <w:top w:val="nil"/>
              <w:left w:val="nil"/>
              <w:bottom w:val="nil"/>
              <w:right w:val="nil"/>
            </w:tcBorders>
            <w:shd w:val="clear" w:color="auto" w:fill="auto"/>
            <w:noWrap/>
            <w:vAlign w:val="center"/>
            <w:hideMark/>
          </w:tcPr>
          <w:p w14:paraId="7AB1D27A" w14:textId="2727E9AE"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2.904.986</w:t>
            </w:r>
          </w:p>
        </w:tc>
        <w:tc>
          <w:tcPr>
            <w:tcW w:w="614" w:type="pct"/>
            <w:tcBorders>
              <w:top w:val="nil"/>
              <w:left w:val="nil"/>
              <w:bottom w:val="nil"/>
              <w:right w:val="nil"/>
            </w:tcBorders>
            <w:shd w:val="clear" w:color="auto" w:fill="auto"/>
            <w:noWrap/>
            <w:vAlign w:val="center"/>
          </w:tcPr>
          <w:p w14:paraId="12E4900E" w14:textId="6E5E9D8E"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2.971.487</w:t>
            </w:r>
          </w:p>
        </w:tc>
        <w:tc>
          <w:tcPr>
            <w:tcW w:w="612" w:type="pct"/>
            <w:tcBorders>
              <w:top w:val="nil"/>
              <w:left w:val="nil"/>
              <w:bottom w:val="nil"/>
              <w:right w:val="nil"/>
            </w:tcBorders>
            <w:shd w:val="clear" w:color="auto" w:fill="auto"/>
            <w:noWrap/>
            <w:vAlign w:val="center"/>
            <w:hideMark/>
          </w:tcPr>
          <w:p w14:paraId="657714C4" w14:textId="588C25B3"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2.904.986</w:t>
            </w:r>
          </w:p>
        </w:tc>
      </w:tr>
      <w:tr w:rsidR="003B4F48" w:rsidRPr="00A33766" w14:paraId="4827B537" w14:textId="77777777" w:rsidTr="00FF4346">
        <w:trPr>
          <w:trHeight w:val="255"/>
        </w:trPr>
        <w:tc>
          <w:tcPr>
            <w:tcW w:w="2472" w:type="pct"/>
            <w:tcBorders>
              <w:top w:val="nil"/>
              <w:left w:val="nil"/>
              <w:bottom w:val="nil"/>
              <w:right w:val="nil"/>
            </w:tcBorders>
            <w:shd w:val="clear" w:color="auto" w:fill="auto"/>
            <w:vAlign w:val="center"/>
            <w:hideMark/>
          </w:tcPr>
          <w:p w14:paraId="4345454F" w14:textId="77777777" w:rsidR="003B4F48" w:rsidRPr="00FF4346" w:rsidRDefault="003B4F48" w:rsidP="003B4F4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Outras</w:t>
            </w:r>
          </w:p>
        </w:tc>
        <w:tc>
          <w:tcPr>
            <w:tcW w:w="688" w:type="pct"/>
            <w:tcBorders>
              <w:top w:val="nil"/>
              <w:left w:val="nil"/>
              <w:bottom w:val="single" w:sz="4" w:space="0" w:color="F39200"/>
              <w:right w:val="nil"/>
            </w:tcBorders>
            <w:shd w:val="clear" w:color="auto" w:fill="auto"/>
            <w:noWrap/>
            <w:vAlign w:val="center"/>
          </w:tcPr>
          <w:p w14:paraId="5380B553" w14:textId="0BD9072E"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16.198</w:t>
            </w:r>
          </w:p>
        </w:tc>
        <w:tc>
          <w:tcPr>
            <w:tcW w:w="614" w:type="pct"/>
            <w:tcBorders>
              <w:top w:val="nil"/>
              <w:left w:val="nil"/>
              <w:bottom w:val="single" w:sz="4" w:space="0" w:color="F39200"/>
              <w:right w:val="nil"/>
            </w:tcBorders>
            <w:shd w:val="clear" w:color="auto" w:fill="auto"/>
            <w:noWrap/>
            <w:vAlign w:val="center"/>
            <w:hideMark/>
          </w:tcPr>
          <w:p w14:paraId="0BB911E3" w14:textId="4746A1BD"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13.885</w:t>
            </w:r>
          </w:p>
        </w:tc>
        <w:tc>
          <w:tcPr>
            <w:tcW w:w="614" w:type="pct"/>
            <w:tcBorders>
              <w:top w:val="nil"/>
              <w:left w:val="nil"/>
              <w:bottom w:val="single" w:sz="4" w:space="0" w:color="F39200"/>
              <w:right w:val="nil"/>
            </w:tcBorders>
            <w:shd w:val="clear" w:color="auto" w:fill="auto"/>
            <w:noWrap/>
            <w:vAlign w:val="center"/>
          </w:tcPr>
          <w:p w14:paraId="55EFF80C" w14:textId="3ECF5582"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18.661</w:t>
            </w:r>
          </w:p>
        </w:tc>
        <w:tc>
          <w:tcPr>
            <w:tcW w:w="612" w:type="pct"/>
            <w:tcBorders>
              <w:top w:val="nil"/>
              <w:left w:val="nil"/>
              <w:bottom w:val="single" w:sz="4" w:space="0" w:color="F39200"/>
              <w:right w:val="nil"/>
            </w:tcBorders>
            <w:shd w:val="clear" w:color="auto" w:fill="auto"/>
            <w:noWrap/>
            <w:vAlign w:val="center"/>
            <w:hideMark/>
          </w:tcPr>
          <w:p w14:paraId="720BC23E" w14:textId="749F091A"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13.892</w:t>
            </w:r>
          </w:p>
        </w:tc>
      </w:tr>
      <w:tr w:rsidR="003B4F48" w:rsidRPr="00A33766" w14:paraId="6E671570" w14:textId="77777777" w:rsidTr="00FF4346">
        <w:trPr>
          <w:trHeight w:val="255"/>
        </w:trPr>
        <w:tc>
          <w:tcPr>
            <w:tcW w:w="2472" w:type="pct"/>
            <w:tcBorders>
              <w:top w:val="single" w:sz="4" w:space="0" w:color="F39200"/>
              <w:left w:val="nil"/>
              <w:bottom w:val="single" w:sz="4" w:space="0" w:color="F39200"/>
              <w:right w:val="nil"/>
            </w:tcBorders>
            <w:shd w:val="clear" w:color="auto" w:fill="auto"/>
            <w:noWrap/>
            <w:vAlign w:val="center"/>
            <w:hideMark/>
          </w:tcPr>
          <w:p w14:paraId="365FE003" w14:textId="77777777" w:rsidR="003B4F48" w:rsidRPr="00FF4346" w:rsidRDefault="003B4F48" w:rsidP="003B4F4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 passivo fiscal diferido no resultado</w:t>
            </w:r>
          </w:p>
        </w:tc>
        <w:tc>
          <w:tcPr>
            <w:tcW w:w="688" w:type="pct"/>
            <w:tcBorders>
              <w:top w:val="nil"/>
              <w:left w:val="nil"/>
              <w:bottom w:val="single" w:sz="4" w:space="0" w:color="F39200"/>
              <w:right w:val="nil"/>
            </w:tcBorders>
            <w:shd w:val="clear" w:color="auto" w:fill="auto"/>
            <w:noWrap/>
            <w:vAlign w:val="center"/>
          </w:tcPr>
          <w:p w14:paraId="1721B58C" w14:textId="1FF519C9"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3.558.198</w:t>
            </w:r>
          </w:p>
        </w:tc>
        <w:tc>
          <w:tcPr>
            <w:tcW w:w="614" w:type="pct"/>
            <w:tcBorders>
              <w:top w:val="nil"/>
              <w:left w:val="nil"/>
              <w:bottom w:val="single" w:sz="4" w:space="0" w:color="F39200"/>
              <w:right w:val="nil"/>
            </w:tcBorders>
            <w:shd w:val="clear" w:color="auto" w:fill="auto"/>
            <w:noWrap/>
            <w:vAlign w:val="center"/>
            <w:hideMark/>
          </w:tcPr>
          <w:p w14:paraId="033E8944" w14:textId="4DD4DD5B"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4.350.812</w:t>
            </w:r>
          </w:p>
        </w:tc>
        <w:tc>
          <w:tcPr>
            <w:tcW w:w="614" w:type="pct"/>
            <w:tcBorders>
              <w:top w:val="nil"/>
              <w:left w:val="nil"/>
              <w:bottom w:val="single" w:sz="4" w:space="0" w:color="F39200"/>
              <w:right w:val="nil"/>
            </w:tcBorders>
            <w:shd w:val="clear" w:color="auto" w:fill="auto"/>
            <w:noWrap/>
            <w:vAlign w:val="center"/>
          </w:tcPr>
          <w:p w14:paraId="11249B2C" w14:textId="33103F0F"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3.560.661</w:t>
            </w:r>
          </w:p>
        </w:tc>
        <w:tc>
          <w:tcPr>
            <w:tcW w:w="612" w:type="pct"/>
            <w:tcBorders>
              <w:top w:val="nil"/>
              <w:left w:val="nil"/>
              <w:bottom w:val="single" w:sz="4" w:space="0" w:color="F39200"/>
              <w:right w:val="nil"/>
            </w:tcBorders>
            <w:shd w:val="clear" w:color="auto" w:fill="auto"/>
            <w:noWrap/>
            <w:vAlign w:val="center"/>
            <w:hideMark/>
          </w:tcPr>
          <w:p w14:paraId="44619392" w14:textId="203D9CEC"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4.350.819</w:t>
            </w:r>
          </w:p>
        </w:tc>
      </w:tr>
      <w:tr w:rsidR="003B4F48" w:rsidRPr="00A33766" w14:paraId="55DC8D94" w14:textId="77777777" w:rsidTr="00FF4346">
        <w:trPr>
          <w:trHeight w:val="255"/>
        </w:trPr>
        <w:tc>
          <w:tcPr>
            <w:tcW w:w="2472" w:type="pct"/>
            <w:tcBorders>
              <w:top w:val="single" w:sz="4" w:space="0" w:color="F39200"/>
              <w:left w:val="nil"/>
              <w:right w:val="nil"/>
            </w:tcBorders>
            <w:shd w:val="clear" w:color="auto" w:fill="auto"/>
            <w:noWrap/>
            <w:vAlign w:val="center"/>
          </w:tcPr>
          <w:p w14:paraId="03AE5BE2" w14:textId="77777777" w:rsidR="003B4F48" w:rsidRPr="00FF4346" w:rsidRDefault="003B4F48" w:rsidP="003B4F4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Marcação a mercado</w:t>
            </w:r>
          </w:p>
        </w:tc>
        <w:tc>
          <w:tcPr>
            <w:tcW w:w="688" w:type="pct"/>
            <w:tcBorders>
              <w:top w:val="single" w:sz="4" w:space="0" w:color="F39200"/>
              <w:left w:val="nil"/>
              <w:right w:val="nil"/>
            </w:tcBorders>
            <w:shd w:val="clear" w:color="auto" w:fill="auto"/>
            <w:noWrap/>
            <w:vAlign w:val="center"/>
          </w:tcPr>
          <w:p w14:paraId="530799AF" w14:textId="18EAFA58"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615.332</w:t>
            </w:r>
          </w:p>
        </w:tc>
        <w:tc>
          <w:tcPr>
            <w:tcW w:w="614" w:type="pct"/>
            <w:tcBorders>
              <w:top w:val="single" w:sz="4" w:space="0" w:color="F39200"/>
              <w:left w:val="nil"/>
              <w:right w:val="nil"/>
            </w:tcBorders>
            <w:shd w:val="clear" w:color="auto" w:fill="auto"/>
            <w:noWrap/>
            <w:vAlign w:val="center"/>
          </w:tcPr>
          <w:p w14:paraId="659FAB55" w14:textId="08F3D50F"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550.328</w:t>
            </w:r>
          </w:p>
        </w:tc>
        <w:tc>
          <w:tcPr>
            <w:tcW w:w="614" w:type="pct"/>
            <w:tcBorders>
              <w:top w:val="single" w:sz="4" w:space="0" w:color="F39200"/>
              <w:left w:val="nil"/>
              <w:right w:val="nil"/>
            </w:tcBorders>
            <w:shd w:val="clear" w:color="auto" w:fill="auto"/>
            <w:noWrap/>
            <w:vAlign w:val="center"/>
          </w:tcPr>
          <w:p w14:paraId="397CD723" w14:textId="114FEC55"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615.332</w:t>
            </w:r>
          </w:p>
        </w:tc>
        <w:tc>
          <w:tcPr>
            <w:tcW w:w="612" w:type="pct"/>
            <w:tcBorders>
              <w:top w:val="single" w:sz="4" w:space="0" w:color="F39200"/>
              <w:left w:val="nil"/>
              <w:right w:val="nil"/>
            </w:tcBorders>
            <w:shd w:val="clear" w:color="auto" w:fill="auto"/>
            <w:noWrap/>
            <w:vAlign w:val="center"/>
          </w:tcPr>
          <w:p w14:paraId="05562BD7" w14:textId="4F462AA8"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550.328</w:t>
            </w:r>
          </w:p>
        </w:tc>
      </w:tr>
      <w:tr w:rsidR="003B4F48" w:rsidRPr="00A33766" w14:paraId="359CA6FA" w14:textId="77777777" w:rsidTr="00FF4346">
        <w:trPr>
          <w:trHeight w:val="255"/>
        </w:trPr>
        <w:tc>
          <w:tcPr>
            <w:tcW w:w="2472" w:type="pct"/>
            <w:tcBorders>
              <w:left w:val="nil"/>
              <w:bottom w:val="single" w:sz="4" w:space="0" w:color="F39200"/>
              <w:right w:val="nil"/>
            </w:tcBorders>
            <w:shd w:val="clear" w:color="auto" w:fill="auto"/>
            <w:vAlign w:val="center"/>
            <w:hideMark/>
          </w:tcPr>
          <w:p w14:paraId="093042A2" w14:textId="77777777" w:rsidR="003B4F48" w:rsidRPr="00FF4346" w:rsidRDefault="003B4F48" w:rsidP="003B4F4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Outros</w:t>
            </w:r>
          </w:p>
        </w:tc>
        <w:tc>
          <w:tcPr>
            <w:tcW w:w="688" w:type="pct"/>
            <w:tcBorders>
              <w:left w:val="nil"/>
              <w:bottom w:val="single" w:sz="4" w:space="0" w:color="F39200"/>
              <w:right w:val="nil"/>
            </w:tcBorders>
            <w:shd w:val="clear" w:color="auto" w:fill="auto"/>
            <w:noWrap/>
            <w:vAlign w:val="center"/>
          </w:tcPr>
          <w:p w14:paraId="1B78E87E" w14:textId="0992B449"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52.866</w:t>
            </w:r>
          </w:p>
        </w:tc>
        <w:tc>
          <w:tcPr>
            <w:tcW w:w="614" w:type="pct"/>
            <w:tcBorders>
              <w:left w:val="nil"/>
              <w:bottom w:val="single" w:sz="4" w:space="0" w:color="F39200"/>
              <w:right w:val="nil"/>
            </w:tcBorders>
            <w:shd w:val="clear" w:color="auto" w:fill="auto"/>
            <w:noWrap/>
            <w:vAlign w:val="center"/>
            <w:hideMark/>
          </w:tcPr>
          <w:p w14:paraId="087BE0A0" w14:textId="1C7D10F2"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54.461</w:t>
            </w:r>
          </w:p>
        </w:tc>
        <w:tc>
          <w:tcPr>
            <w:tcW w:w="614" w:type="pct"/>
            <w:tcBorders>
              <w:left w:val="nil"/>
              <w:bottom w:val="single" w:sz="4" w:space="0" w:color="F39200"/>
              <w:right w:val="nil"/>
            </w:tcBorders>
            <w:shd w:val="clear" w:color="auto" w:fill="auto"/>
            <w:noWrap/>
            <w:vAlign w:val="center"/>
          </w:tcPr>
          <w:p w14:paraId="13650C1B" w14:textId="422A301A" w:rsidR="003B4F48" w:rsidRPr="00FF4346" w:rsidRDefault="003B4F48" w:rsidP="003B4F48">
            <w:pPr>
              <w:jc w:val="right"/>
              <w:rPr>
                <w:rFonts w:ascii="CAIXA Std Book" w:eastAsia="Times New Roman" w:hAnsi="CAIXA Std Book" w:cs="Arial"/>
                <w:color w:val="005CA9"/>
                <w:sz w:val="18"/>
                <w:szCs w:val="18"/>
              </w:rPr>
            </w:pPr>
            <w:r>
              <w:rPr>
                <w:rFonts w:ascii="CAIXA Std Book" w:hAnsi="CAIXA Std Book" w:cs="Arial"/>
                <w:color w:val="005CA9"/>
                <w:sz w:val="18"/>
                <w:szCs w:val="18"/>
              </w:rPr>
              <w:t>52.866</w:t>
            </w:r>
          </w:p>
        </w:tc>
        <w:tc>
          <w:tcPr>
            <w:tcW w:w="612" w:type="pct"/>
            <w:tcBorders>
              <w:left w:val="nil"/>
              <w:bottom w:val="single" w:sz="4" w:space="0" w:color="F39200"/>
              <w:right w:val="nil"/>
            </w:tcBorders>
            <w:shd w:val="clear" w:color="auto" w:fill="auto"/>
            <w:noWrap/>
            <w:vAlign w:val="center"/>
            <w:hideMark/>
          </w:tcPr>
          <w:p w14:paraId="268E2135" w14:textId="01BB797E" w:rsidR="003B4F48" w:rsidRPr="00FF4346" w:rsidRDefault="003B4F48" w:rsidP="003B4F48">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54.461</w:t>
            </w:r>
          </w:p>
        </w:tc>
      </w:tr>
      <w:tr w:rsidR="003B4F48" w:rsidRPr="00A33766" w14:paraId="5D5A4E51" w14:textId="77777777" w:rsidTr="00FF4346">
        <w:trPr>
          <w:trHeight w:val="255"/>
        </w:trPr>
        <w:tc>
          <w:tcPr>
            <w:tcW w:w="2472" w:type="pct"/>
            <w:tcBorders>
              <w:top w:val="nil"/>
              <w:left w:val="nil"/>
              <w:bottom w:val="single" w:sz="4" w:space="0" w:color="F39200"/>
              <w:right w:val="nil"/>
            </w:tcBorders>
            <w:shd w:val="clear" w:color="auto" w:fill="auto"/>
            <w:noWrap/>
            <w:vAlign w:val="center"/>
            <w:hideMark/>
          </w:tcPr>
          <w:p w14:paraId="55BE8B8D" w14:textId="77777777" w:rsidR="003B4F48" w:rsidRPr="00FF4346" w:rsidRDefault="003B4F48" w:rsidP="003B4F4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 passivo fiscal diferido no PL</w:t>
            </w:r>
          </w:p>
        </w:tc>
        <w:tc>
          <w:tcPr>
            <w:tcW w:w="688" w:type="pct"/>
            <w:tcBorders>
              <w:top w:val="nil"/>
              <w:left w:val="nil"/>
              <w:bottom w:val="single" w:sz="4" w:space="0" w:color="F39200"/>
              <w:right w:val="nil"/>
            </w:tcBorders>
            <w:shd w:val="clear" w:color="auto" w:fill="auto"/>
            <w:noWrap/>
            <w:vAlign w:val="center"/>
          </w:tcPr>
          <w:p w14:paraId="09FC8C0C" w14:textId="5C1B1A17"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668.198</w:t>
            </w:r>
          </w:p>
        </w:tc>
        <w:tc>
          <w:tcPr>
            <w:tcW w:w="614" w:type="pct"/>
            <w:tcBorders>
              <w:top w:val="nil"/>
              <w:left w:val="nil"/>
              <w:bottom w:val="single" w:sz="4" w:space="0" w:color="F39200"/>
              <w:right w:val="nil"/>
            </w:tcBorders>
            <w:shd w:val="clear" w:color="auto" w:fill="auto"/>
            <w:noWrap/>
            <w:vAlign w:val="center"/>
            <w:hideMark/>
          </w:tcPr>
          <w:p w14:paraId="38956A72" w14:textId="67DB2798"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604.789</w:t>
            </w:r>
          </w:p>
        </w:tc>
        <w:tc>
          <w:tcPr>
            <w:tcW w:w="614" w:type="pct"/>
            <w:tcBorders>
              <w:top w:val="nil"/>
              <w:left w:val="nil"/>
              <w:bottom w:val="single" w:sz="4" w:space="0" w:color="F39200"/>
              <w:right w:val="nil"/>
            </w:tcBorders>
            <w:shd w:val="clear" w:color="auto" w:fill="auto"/>
            <w:noWrap/>
            <w:vAlign w:val="center"/>
          </w:tcPr>
          <w:p w14:paraId="57217932" w14:textId="67842A43"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668.198</w:t>
            </w:r>
          </w:p>
        </w:tc>
        <w:tc>
          <w:tcPr>
            <w:tcW w:w="612" w:type="pct"/>
            <w:tcBorders>
              <w:top w:val="nil"/>
              <w:left w:val="nil"/>
              <w:bottom w:val="single" w:sz="4" w:space="0" w:color="F39200"/>
              <w:right w:val="nil"/>
            </w:tcBorders>
            <w:shd w:val="clear" w:color="auto" w:fill="auto"/>
            <w:noWrap/>
            <w:vAlign w:val="center"/>
            <w:hideMark/>
          </w:tcPr>
          <w:p w14:paraId="3A334E94" w14:textId="31D583AF"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604.789</w:t>
            </w:r>
          </w:p>
        </w:tc>
      </w:tr>
      <w:tr w:rsidR="003B4F48" w:rsidRPr="00A33766" w14:paraId="49FE4D27" w14:textId="77777777" w:rsidTr="00FF4346">
        <w:trPr>
          <w:trHeight w:val="255"/>
        </w:trPr>
        <w:tc>
          <w:tcPr>
            <w:tcW w:w="2472" w:type="pct"/>
            <w:tcBorders>
              <w:top w:val="nil"/>
              <w:left w:val="nil"/>
              <w:bottom w:val="single" w:sz="4" w:space="0" w:color="F39200"/>
              <w:right w:val="nil"/>
            </w:tcBorders>
            <w:shd w:val="clear" w:color="auto" w:fill="auto"/>
            <w:noWrap/>
            <w:vAlign w:val="center"/>
            <w:hideMark/>
          </w:tcPr>
          <w:p w14:paraId="6C7B6F5C" w14:textId="77777777" w:rsidR="003B4F48" w:rsidRPr="00FF4346" w:rsidRDefault="003B4F48" w:rsidP="003B4F4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 passivo fiscal diferido</w:t>
            </w:r>
          </w:p>
        </w:tc>
        <w:tc>
          <w:tcPr>
            <w:tcW w:w="688" w:type="pct"/>
            <w:tcBorders>
              <w:top w:val="nil"/>
              <w:left w:val="nil"/>
              <w:bottom w:val="single" w:sz="4" w:space="0" w:color="F39200"/>
              <w:right w:val="nil"/>
            </w:tcBorders>
            <w:shd w:val="clear" w:color="auto" w:fill="auto"/>
            <w:noWrap/>
            <w:vAlign w:val="center"/>
          </w:tcPr>
          <w:p w14:paraId="566C18E0" w14:textId="16C4C414"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4.226.396</w:t>
            </w:r>
          </w:p>
        </w:tc>
        <w:tc>
          <w:tcPr>
            <w:tcW w:w="614" w:type="pct"/>
            <w:tcBorders>
              <w:top w:val="nil"/>
              <w:left w:val="nil"/>
              <w:bottom w:val="single" w:sz="4" w:space="0" w:color="F39200"/>
              <w:right w:val="nil"/>
            </w:tcBorders>
            <w:shd w:val="clear" w:color="auto" w:fill="auto"/>
            <w:noWrap/>
            <w:vAlign w:val="center"/>
            <w:hideMark/>
          </w:tcPr>
          <w:p w14:paraId="0C033E57" w14:textId="363DEE03"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4.955.601</w:t>
            </w:r>
          </w:p>
        </w:tc>
        <w:tc>
          <w:tcPr>
            <w:tcW w:w="614" w:type="pct"/>
            <w:tcBorders>
              <w:top w:val="nil"/>
              <w:left w:val="nil"/>
              <w:bottom w:val="single" w:sz="4" w:space="0" w:color="F39200"/>
              <w:right w:val="nil"/>
            </w:tcBorders>
            <w:shd w:val="clear" w:color="auto" w:fill="auto"/>
            <w:noWrap/>
            <w:vAlign w:val="center"/>
          </w:tcPr>
          <w:p w14:paraId="737B57D5" w14:textId="54563DDB" w:rsidR="003B4F48" w:rsidRPr="00FF4346" w:rsidRDefault="003B4F48" w:rsidP="003B4F4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4.228.859</w:t>
            </w:r>
          </w:p>
        </w:tc>
        <w:tc>
          <w:tcPr>
            <w:tcW w:w="612" w:type="pct"/>
            <w:tcBorders>
              <w:top w:val="nil"/>
              <w:left w:val="nil"/>
              <w:bottom w:val="single" w:sz="4" w:space="0" w:color="F39200"/>
              <w:right w:val="nil"/>
            </w:tcBorders>
            <w:shd w:val="clear" w:color="auto" w:fill="auto"/>
            <w:noWrap/>
            <w:vAlign w:val="center"/>
            <w:hideMark/>
          </w:tcPr>
          <w:p w14:paraId="5DE58A7A" w14:textId="4205F281" w:rsidR="003B4F48" w:rsidRPr="00FF4346" w:rsidRDefault="003B4F48" w:rsidP="003B4F4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4.955.608</w:t>
            </w:r>
          </w:p>
        </w:tc>
      </w:tr>
    </w:tbl>
    <w:p w14:paraId="3BE29B0C" w14:textId="77777777" w:rsidR="00D07531" w:rsidRPr="00FF4346" w:rsidRDefault="00D07531" w:rsidP="00D07531">
      <w:pPr>
        <w:rPr>
          <w:rFonts w:ascii="CAIXA Std Book" w:eastAsia="Times New Roman" w:hAnsi="CAIXA Std Book" w:cs="Arial"/>
          <w:b/>
          <w:bCs/>
          <w:color w:val="005CA9"/>
          <w:sz w:val="18"/>
          <w:szCs w:val="18"/>
        </w:rPr>
        <w:sectPr w:rsidR="00D07531" w:rsidRPr="00FF4346" w:rsidSect="0088151D">
          <w:headerReference w:type="default" r:id="rId58"/>
          <w:footerReference w:type="default" r:id="rId59"/>
          <w:headerReference w:type="first" r:id="rId60"/>
          <w:footerReference w:type="first" r:id="rId61"/>
          <w:pgSz w:w="11906" w:h="16838"/>
          <w:pgMar w:top="1276" w:right="851" w:bottom="851" w:left="1418" w:header="1134" w:footer="709" w:gutter="0"/>
          <w:cols w:space="708"/>
          <w:docGrid w:linePitch="360"/>
        </w:sectPr>
      </w:pPr>
    </w:p>
    <w:p w14:paraId="7F62F8F1" w14:textId="5F3552F0" w:rsidR="003B762C" w:rsidRPr="00FF4346" w:rsidRDefault="003B762C" w:rsidP="00B37B40">
      <w:pPr>
        <w:keepNext/>
        <w:numPr>
          <w:ilvl w:val="0"/>
          <w:numId w:val="9"/>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lastRenderedPageBreak/>
        <w:t>Ativo fiscal diferido</w:t>
      </w:r>
    </w:p>
    <w:tbl>
      <w:tblPr>
        <w:tblW w:w="5000" w:type="pct"/>
        <w:tblCellMar>
          <w:left w:w="70" w:type="dxa"/>
          <w:right w:w="70" w:type="dxa"/>
        </w:tblCellMar>
        <w:tblLook w:val="04A0" w:firstRow="1" w:lastRow="0" w:firstColumn="1" w:lastColumn="0" w:noHBand="0" w:noVBand="1"/>
      </w:tblPr>
      <w:tblGrid>
        <w:gridCol w:w="5003"/>
        <w:gridCol w:w="1177"/>
        <w:gridCol w:w="1196"/>
        <w:gridCol w:w="1233"/>
        <w:gridCol w:w="1177"/>
        <w:gridCol w:w="1177"/>
        <w:gridCol w:w="1196"/>
        <w:gridCol w:w="1233"/>
        <w:gridCol w:w="1177"/>
      </w:tblGrid>
      <w:tr w:rsidR="00D07531" w:rsidRPr="00A33766" w14:paraId="441012C9" w14:textId="77777777" w:rsidTr="00FF4346">
        <w:trPr>
          <w:trHeight w:val="283"/>
        </w:trPr>
        <w:tc>
          <w:tcPr>
            <w:tcW w:w="1717" w:type="pct"/>
            <w:vMerge w:val="restart"/>
            <w:tcBorders>
              <w:top w:val="single" w:sz="4" w:space="0" w:color="F39200"/>
              <w:left w:val="nil"/>
              <w:bottom w:val="single" w:sz="4" w:space="0" w:color="F39200"/>
              <w:right w:val="nil"/>
            </w:tcBorders>
            <w:shd w:val="clear" w:color="auto" w:fill="auto"/>
            <w:vAlign w:val="center"/>
            <w:hideMark/>
          </w:tcPr>
          <w:p w14:paraId="12F530BC"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641" w:type="pct"/>
            <w:gridSpan w:val="4"/>
            <w:tcBorders>
              <w:top w:val="single" w:sz="4" w:space="0" w:color="F39200"/>
              <w:left w:val="nil"/>
              <w:bottom w:val="single" w:sz="4" w:space="0" w:color="F39200"/>
              <w:right w:val="nil"/>
            </w:tcBorders>
            <w:shd w:val="clear" w:color="auto" w:fill="auto"/>
            <w:noWrap/>
            <w:vAlign w:val="center"/>
            <w:hideMark/>
          </w:tcPr>
          <w:p w14:paraId="635B6773"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641" w:type="pct"/>
            <w:gridSpan w:val="4"/>
            <w:tcBorders>
              <w:top w:val="single" w:sz="4" w:space="0" w:color="F39200"/>
              <w:left w:val="nil"/>
              <w:bottom w:val="single" w:sz="4" w:space="0" w:color="F39200"/>
              <w:right w:val="nil"/>
            </w:tcBorders>
            <w:shd w:val="clear" w:color="auto" w:fill="auto"/>
            <w:noWrap/>
            <w:vAlign w:val="center"/>
            <w:hideMark/>
          </w:tcPr>
          <w:p w14:paraId="449C87BC"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FF4346" w:rsidRPr="00A33766" w14:paraId="1AFC8188" w14:textId="77777777" w:rsidTr="00FF4346">
        <w:trPr>
          <w:trHeight w:val="283"/>
        </w:trPr>
        <w:tc>
          <w:tcPr>
            <w:tcW w:w="1717" w:type="pct"/>
            <w:vMerge/>
            <w:tcBorders>
              <w:top w:val="single" w:sz="4" w:space="0" w:color="F39200"/>
              <w:left w:val="nil"/>
              <w:bottom w:val="single" w:sz="4" w:space="0" w:color="F39200"/>
              <w:right w:val="nil"/>
            </w:tcBorders>
            <w:vAlign w:val="center"/>
            <w:hideMark/>
          </w:tcPr>
          <w:p w14:paraId="37AD7A8B" w14:textId="77777777" w:rsidR="00FF4346" w:rsidRPr="00FF4346" w:rsidRDefault="00FF4346" w:rsidP="00FF4346">
            <w:pPr>
              <w:rPr>
                <w:rFonts w:ascii="CAIXA Std Book" w:eastAsia="Times New Roman" w:hAnsi="CAIXA Std Book" w:cs="Arial"/>
                <w:b/>
                <w:bCs/>
                <w:color w:val="005CA9"/>
                <w:sz w:val="18"/>
                <w:szCs w:val="18"/>
              </w:rPr>
            </w:pPr>
          </w:p>
        </w:tc>
        <w:tc>
          <w:tcPr>
            <w:tcW w:w="404" w:type="pct"/>
            <w:tcBorders>
              <w:top w:val="nil"/>
              <w:left w:val="nil"/>
              <w:bottom w:val="single" w:sz="4" w:space="0" w:color="F39200"/>
              <w:right w:val="nil"/>
            </w:tcBorders>
            <w:shd w:val="clear" w:color="auto" w:fill="auto"/>
            <w:vAlign w:val="center"/>
            <w:hideMark/>
          </w:tcPr>
          <w:p w14:paraId="1542F1F4" w14:textId="1FE46A45"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31/12/2023</w:t>
            </w:r>
          </w:p>
        </w:tc>
        <w:tc>
          <w:tcPr>
            <w:tcW w:w="410" w:type="pct"/>
            <w:tcBorders>
              <w:top w:val="nil"/>
              <w:left w:val="nil"/>
              <w:bottom w:val="single" w:sz="4" w:space="0" w:color="F39200"/>
              <w:right w:val="nil"/>
            </w:tcBorders>
            <w:shd w:val="clear" w:color="auto" w:fill="auto"/>
            <w:vAlign w:val="center"/>
            <w:hideMark/>
          </w:tcPr>
          <w:p w14:paraId="4448CDBF" w14:textId="77777777"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Constituição</w:t>
            </w:r>
          </w:p>
        </w:tc>
        <w:tc>
          <w:tcPr>
            <w:tcW w:w="423" w:type="pct"/>
            <w:tcBorders>
              <w:top w:val="nil"/>
              <w:left w:val="nil"/>
              <w:bottom w:val="single" w:sz="4" w:space="0" w:color="F39200"/>
              <w:right w:val="nil"/>
            </w:tcBorders>
            <w:shd w:val="clear" w:color="auto" w:fill="auto"/>
            <w:vAlign w:val="center"/>
            <w:hideMark/>
          </w:tcPr>
          <w:p w14:paraId="3809E364" w14:textId="77777777"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Reversão</w:t>
            </w:r>
          </w:p>
        </w:tc>
        <w:tc>
          <w:tcPr>
            <w:tcW w:w="404" w:type="pct"/>
            <w:tcBorders>
              <w:top w:val="nil"/>
              <w:left w:val="nil"/>
              <w:bottom w:val="single" w:sz="4" w:space="0" w:color="F39200"/>
              <w:right w:val="nil"/>
            </w:tcBorders>
            <w:shd w:val="clear" w:color="auto" w:fill="auto"/>
            <w:vAlign w:val="center"/>
            <w:hideMark/>
          </w:tcPr>
          <w:p w14:paraId="6E654659" w14:textId="46CAF763" w:rsidR="00FF4346" w:rsidRPr="00FF4346" w:rsidRDefault="00FF4346" w:rsidP="00FF4346">
            <w:pPr>
              <w:jc w:val="center"/>
              <w:rPr>
                <w:rFonts w:ascii="CAIXA Std Book" w:eastAsia="Times New Roman" w:hAnsi="CAIXA Std Book" w:cs="Arial"/>
                <w:b/>
                <w:bCs/>
                <w:color w:val="005CA9"/>
                <w:sz w:val="18"/>
                <w:szCs w:val="18"/>
              </w:rPr>
            </w:pPr>
            <w:r>
              <w:rPr>
                <w:rFonts w:ascii="CAIXA Std Book" w:eastAsia="Times New Roman" w:hAnsi="CAIXA Std Book" w:cs="Arial"/>
                <w:b/>
                <w:bCs/>
                <w:color w:val="005CA9"/>
                <w:sz w:val="18"/>
                <w:szCs w:val="18"/>
              </w:rPr>
              <w:t>31/03/2024</w:t>
            </w:r>
          </w:p>
        </w:tc>
        <w:tc>
          <w:tcPr>
            <w:tcW w:w="404" w:type="pct"/>
            <w:tcBorders>
              <w:top w:val="nil"/>
              <w:left w:val="nil"/>
              <w:bottom w:val="single" w:sz="4" w:space="0" w:color="F39200"/>
              <w:right w:val="nil"/>
            </w:tcBorders>
            <w:shd w:val="clear" w:color="auto" w:fill="auto"/>
            <w:vAlign w:val="center"/>
            <w:hideMark/>
          </w:tcPr>
          <w:p w14:paraId="3E48A810" w14:textId="12EBD3D9"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31/12/2023</w:t>
            </w:r>
          </w:p>
        </w:tc>
        <w:tc>
          <w:tcPr>
            <w:tcW w:w="410" w:type="pct"/>
            <w:tcBorders>
              <w:top w:val="nil"/>
              <w:left w:val="nil"/>
              <w:bottom w:val="single" w:sz="4" w:space="0" w:color="F39200"/>
              <w:right w:val="nil"/>
            </w:tcBorders>
            <w:shd w:val="clear" w:color="auto" w:fill="auto"/>
            <w:vAlign w:val="center"/>
            <w:hideMark/>
          </w:tcPr>
          <w:p w14:paraId="04643EAA" w14:textId="77777777"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Constituição</w:t>
            </w:r>
          </w:p>
        </w:tc>
        <w:tc>
          <w:tcPr>
            <w:tcW w:w="423" w:type="pct"/>
            <w:tcBorders>
              <w:top w:val="nil"/>
              <w:left w:val="nil"/>
              <w:bottom w:val="single" w:sz="4" w:space="0" w:color="F39200"/>
              <w:right w:val="nil"/>
            </w:tcBorders>
            <w:shd w:val="clear" w:color="auto" w:fill="auto"/>
            <w:vAlign w:val="center"/>
            <w:hideMark/>
          </w:tcPr>
          <w:p w14:paraId="14C4B2DD" w14:textId="77777777"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Reversão</w:t>
            </w:r>
          </w:p>
        </w:tc>
        <w:tc>
          <w:tcPr>
            <w:tcW w:w="404" w:type="pct"/>
            <w:tcBorders>
              <w:top w:val="nil"/>
              <w:left w:val="nil"/>
              <w:bottom w:val="single" w:sz="4" w:space="0" w:color="F39200"/>
              <w:right w:val="nil"/>
            </w:tcBorders>
            <w:shd w:val="clear" w:color="auto" w:fill="auto"/>
            <w:vAlign w:val="center"/>
            <w:hideMark/>
          </w:tcPr>
          <w:p w14:paraId="590E771D" w14:textId="22489E1C" w:rsidR="00FF4346" w:rsidRPr="00FF4346" w:rsidRDefault="00FF4346" w:rsidP="00FF4346">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31/</w:t>
            </w:r>
            <w:r>
              <w:rPr>
                <w:rFonts w:ascii="CAIXA Std Book" w:eastAsia="Times New Roman" w:hAnsi="CAIXA Std Book" w:cs="Arial"/>
                <w:b/>
                <w:bCs/>
                <w:color w:val="005CA9"/>
                <w:sz w:val="18"/>
                <w:szCs w:val="18"/>
              </w:rPr>
              <w:t>03/2024</w:t>
            </w:r>
          </w:p>
        </w:tc>
      </w:tr>
      <w:tr w:rsidR="00617109" w:rsidRPr="00A33766" w14:paraId="4BF2CDDD" w14:textId="77777777" w:rsidTr="00FF4346">
        <w:trPr>
          <w:trHeight w:val="283"/>
        </w:trPr>
        <w:tc>
          <w:tcPr>
            <w:tcW w:w="1717" w:type="pct"/>
            <w:tcBorders>
              <w:top w:val="nil"/>
              <w:left w:val="nil"/>
              <w:bottom w:val="nil"/>
              <w:right w:val="nil"/>
            </w:tcBorders>
            <w:shd w:val="clear" w:color="auto" w:fill="auto"/>
            <w:vAlign w:val="center"/>
            <w:hideMark/>
          </w:tcPr>
          <w:p w14:paraId="64020AC2"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Diferenças temporárias</w:t>
            </w:r>
          </w:p>
        </w:tc>
        <w:tc>
          <w:tcPr>
            <w:tcW w:w="404" w:type="pct"/>
            <w:tcBorders>
              <w:top w:val="nil"/>
              <w:left w:val="nil"/>
              <w:bottom w:val="nil"/>
              <w:right w:val="nil"/>
            </w:tcBorders>
            <w:shd w:val="clear" w:color="auto" w:fill="auto"/>
            <w:noWrap/>
            <w:vAlign w:val="center"/>
            <w:hideMark/>
          </w:tcPr>
          <w:p w14:paraId="3D6391D6" w14:textId="22E88766"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50.121.993</w:t>
            </w:r>
          </w:p>
        </w:tc>
        <w:tc>
          <w:tcPr>
            <w:tcW w:w="410" w:type="pct"/>
            <w:tcBorders>
              <w:top w:val="nil"/>
              <w:left w:val="nil"/>
              <w:bottom w:val="nil"/>
              <w:right w:val="nil"/>
            </w:tcBorders>
            <w:shd w:val="clear" w:color="auto" w:fill="auto"/>
            <w:noWrap/>
            <w:vAlign w:val="center"/>
          </w:tcPr>
          <w:p w14:paraId="2FDEA505" w14:textId="44CE4B06"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9.221.373</w:t>
            </w:r>
          </w:p>
        </w:tc>
        <w:tc>
          <w:tcPr>
            <w:tcW w:w="423" w:type="pct"/>
            <w:tcBorders>
              <w:top w:val="nil"/>
              <w:left w:val="nil"/>
              <w:bottom w:val="nil"/>
              <w:right w:val="nil"/>
            </w:tcBorders>
            <w:shd w:val="clear" w:color="auto" w:fill="auto"/>
            <w:noWrap/>
            <w:vAlign w:val="center"/>
          </w:tcPr>
          <w:p w14:paraId="0B6D8856" w14:textId="3920F760"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(6.455.781)</w:t>
            </w:r>
          </w:p>
        </w:tc>
        <w:tc>
          <w:tcPr>
            <w:tcW w:w="404" w:type="pct"/>
            <w:tcBorders>
              <w:top w:val="nil"/>
              <w:left w:val="nil"/>
              <w:bottom w:val="nil"/>
              <w:right w:val="nil"/>
            </w:tcBorders>
            <w:shd w:val="clear" w:color="auto" w:fill="auto"/>
            <w:noWrap/>
            <w:vAlign w:val="center"/>
          </w:tcPr>
          <w:p w14:paraId="041404B7" w14:textId="40BF01AE"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52.887.585</w:t>
            </w:r>
          </w:p>
        </w:tc>
        <w:tc>
          <w:tcPr>
            <w:tcW w:w="404" w:type="pct"/>
            <w:tcBorders>
              <w:top w:val="nil"/>
              <w:left w:val="nil"/>
              <w:bottom w:val="nil"/>
              <w:right w:val="nil"/>
            </w:tcBorders>
            <w:shd w:val="clear" w:color="auto" w:fill="auto"/>
            <w:noWrap/>
            <w:vAlign w:val="center"/>
            <w:hideMark/>
          </w:tcPr>
          <w:p w14:paraId="0F05A02C" w14:textId="148EE252"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50.122.000</w:t>
            </w:r>
          </w:p>
        </w:tc>
        <w:tc>
          <w:tcPr>
            <w:tcW w:w="410" w:type="pct"/>
            <w:tcBorders>
              <w:top w:val="nil"/>
              <w:left w:val="nil"/>
              <w:bottom w:val="nil"/>
              <w:right w:val="nil"/>
            </w:tcBorders>
            <w:shd w:val="clear" w:color="auto" w:fill="auto"/>
            <w:noWrap/>
            <w:vAlign w:val="center"/>
          </w:tcPr>
          <w:p w14:paraId="65DE7A98" w14:textId="58566917"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9.223.379</w:t>
            </w:r>
          </w:p>
        </w:tc>
        <w:tc>
          <w:tcPr>
            <w:tcW w:w="423" w:type="pct"/>
            <w:tcBorders>
              <w:top w:val="nil"/>
              <w:left w:val="nil"/>
              <w:bottom w:val="nil"/>
              <w:right w:val="nil"/>
            </w:tcBorders>
            <w:shd w:val="clear" w:color="auto" w:fill="auto"/>
            <w:noWrap/>
            <w:vAlign w:val="center"/>
          </w:tcPr>
          <w:p w14:paraId="2312056B" w14:textId="060A6B81"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(6.455.781)</w:t>
            </w:r>
          </w:p>
        </w:tc>
        <w:tc>
          <w:tcPr>
            <w:tcW w:w="404" w:type="pct"/>
            <w:tcBorders>
              <w:top w:val="nil"/>
              <w:left w:val="nil"/>
              <w:bottom w:val="nil"/>
              <w:right w:val="nil"/>
            </w:tcBorders>
            <w:shd w:val="clear" w:color="auto" w:fill="auto"/>
            <w:noWrap/>
            <w:vAlign w:val="center"/>
          </w:tcPr>
          <w:p w14:paraId="05669871" w14:textId="58CAE6AA"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52.889.598</w:t>
            </w:r>
          </w:p>
        </w:tc>
      </w:tr>
      <w:tr w:rsidR="00617109" w:rsidRPr="00A33766" w14:paraId="68EF4F2B" w14:textId="77777777" w:rsidTr="00FF4346">
        <w:trPr>
          <w:trHeight w:val="283"/>
        </w:trPr>
        <w:tc>
          <w:tcPr>
            <w:tcW w:w="1717" w:type="pct"/>
            <w:tcBorders>
              <w:top w:val="nil"/>
              <w:left w:val="nil"/>
              <w:bottom w:val="nil"/>
              <w:right w:val="nil"/>
            </w:tcBorders>
            <w:shd w:val="clear" w:color="auto" w:fill="auto"/>
            <w:vAlign w:val="center"/>
            <w:hideMark/>
          </w:tcPr>
          <w:p w14:paraId="3CD07492"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Provisão para créditos de liquidação duvidosa</w:t>
            </w:r>
          </w:p>
        </w:tc>
        <w:tc>
          <w:tcPr>
            <w:tcW w:w="404" w:type="pct"/>
            <w:tcBorders>
              <w:top w:val="nil"/>
              <w:left w:val="nil"/>
              <w:bottom w:val="nil"/>
              <w:right w:val="nil"/>
            </w:tcBorders>
            <w:shd w:val="clear" w:color="auto" w:fill="auto"/>
            <w:noWrap/>
            <w:vAlign w:val="center"/>
            <w:hideMark/>
          </w:tcPr>
          <w:p w14:paraId="2414E45A" w14:textId="6D436C49"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30.660.536</w:t>
            </w:r>
          </w:p>
        </w:tc>
        <w:tc>
          <w:tcPr>
            <w:tcW w:w="410" w:type="pct"/>
            <w:tcBorders>
              <w:top w:val="nil"/>
              <w:left w:val="nil"/>
              <w:bottom w:val="nil"/>
              <w:right w:val="nil"/>
            </w:tcBorders>
            <w:shd w:val="clear" w:color="auto" w:fill="auto"/>
            <w:noWrap/>
            <w:vAlign w:val="center"/>
          </w:tcPr>
          <w:p w14:paraId="508905F8" w14:textId="7AB047F3"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7.393.934</w:t>
            </w:r>
          </w:p>
        </w:tc>
        <w:tc>
          <w:tcPr>
            <w:tcW w:w="423" w:type="pct"/>
            <w:tcBorders>
              <w:top w:val="nil"/>
              <w:left w:val="nil"/>
              <w:bottom w:val="nil"/>
              <w:right w:val="nil"/>
            </w:tcBorders>
            <w:shd w:val="clear" w:color="auto" w:fill="auto"/>
            <w:vAlign w:val="center"/>
          </w:tcPr>
          <w:p w14:paraId="33B6DA8E" w14:textId="57C52A04"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(4.668.821)</w:t>
            </w:r>
          </w:p>
        </w:tc>
        <w:tc>
          <w:tcPr>
            <w:tcW w:w="404" w:type="pct"/>
            <w:tcBorders>
              <w:top w:val="nil"/>
              <w:left w:val="nil"/>
              <w:bottom w:val="nil"/>
              <w:right w:val="nil"/>
            </w:tcBorders>
            <w:shd w:val="clear" w:color="auto" w:fill="auto"/>
            <w:noWrap/>
            <w:vAlign w:val="center"/>
          </w:tcPr>
          <w:p w14:paraId="08EB3CCD" w14:textId="41E9B54B"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33.385.649</w:t>
            </w:r>
          </w:p>
        </w:tc>
        <w:tc>
          <w:tcPr>
            <w:tcW w:w="404" w:type="pct"/>
            <w:tcBorders>
              <w:top w:val="nil"/>
              <w:left w:val="nil"/>
              <w:bottom w:val="nil"/>
              <w:right w:val="nil"/>
            </w:tcBorders>
            <w:shd w:val="clear" w:color="auto" w:fill="auto"/>
            <w:noWrap/>
            <w:vAlign w:val="center"/>
            <w:hideMark/>
          </w:tcPr>
          <w:p w14:paraId="43883553" w14:textId="6A743E56"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30.660.536</w:t>
            </w:r>
          </w:p>
        </w:tc>
        <w:tc>
          <w:tcPr>
            <w:tcW w:w="410" w:type="pct"/>
            <w:tcBorders>
              <w:top w:val="nil"/>
              <w:left w:val="nil"/>
              <w:bottom w:val="nil"/>
              <w:right w:val="nil"/>
            </w:tcBorders>
            <w:shd w:val="clear" w:color="auto" w:fill="auto"/>
            <w:noWrap/>
            <w:vAlign w:val="center"/>
          </w:tcPr>
          <w:p w14:paraId="5B729B79" w14:textId="7AFFE770"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7.393.934</w:t>
            </w:r>
          </w:p>
        </w:tc>
        <w:tc>
          <w:tcPr>
            <w:tcW w:w="423" w:type="pct"/>
            <w:tcBorders>
              <w:top w:val="nil"/>
              <w:left w:val="nil"/>
              <w:bottom w:val="nil"/>
              <w:right w:val="nil"/>
            </w:tcBorders>
            <w:shd w:val="clear" w:color="auto" w:fill="auto"/>
            <w:vAlign w:val="center"/>
          </w:tcPr>
          <w:p w14:paraId="56C3677E" w14:textId="465EB22B"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(4.668.821)</w:t>
            </w:r>
          </w:p>
        </w:tc>
        <w:tc>
          <w:tcPr>
            <w:tcW w:w="404" w:type="pct"/>
            <w:tcBorders>
              <w:top w:val="nil"/>
              <w:left w:val="nil"/>
              <w:bottom w:val="nil"/>
              <w:right w:val="nil"/>
            </w:tcBorders>
            <w:shd w:val="clear" w:color="auto" w:fill="auto"/>
            <w:noWrap/>
            <w:vAlign w:val="center"/>
          </w:tcPr>
          <w:p w14:paraId="21663440" w14:textId="39E5E67A"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33.385.649</w:t>
            </w:r>
          </w:p>
        </w:tc>
      </w:tr>
      <w:tr w:rsidR="00617109" w:rsidRPr="00A33766" w14:paraId="60A7F8AD" w14:textId="77777777" w:rsidTr="00FF4346">
        <w:trPr>
          <w:trHeight w:val="283"/>
        </w:trPr>
        <w:tc>
          <w:tcPr>
            <w:tcW w:w="1717" w:type="pct"/>
            <w:tcBorders>
              <w:top w:val="nil"/>
              <w:left w:val="nil"/>
              <w:bottom w:val="nil"/>
              <w:right w:val="nil"/>
            </w:tcBorders>
            <w:shd w:val="clear" w:color="auto" w:fill="auto"/>
            <w:vAlign w:val="center"/>
            <w:hideMark/>
          </w:tcPr>
          <w:p w14:paraId="3FBD0F3F"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Passivos atuariais</w:t>
            </w:r>
          </w:p>
        </w:tc>
        <w:tc>
          <w:tcPr>
            <w:tcW w:w="404" w:type="pct"/>
            <w:tcBorders>
              <w:top w:val="nil"/>
              <w:left w:val="nil"/>
              <w:bottom w:val="nil"/>
              <w:right w:val="nil"/>
            </w:tcBorders>
            <w:shd w:val="clear" w:color="auto" w:fill="auto"/>
            <w:noWrap/>
            <w:vAlign w:val="center"/>
            <w:hideMark/>
          </w:tcPr>
          <w:p w14:paraId="52FEA992" w14:textId="23073F79"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4.231.814</w:t>
            </w:r>
          </w:p>
        </w:tc>
        <w:tc>
          <w:tcPr>
            <w:tcW w:w="410" w:type="pct"/>
            <w:tcBorders>
              <w:top w:val="nil"/>
              <w:left w:val="nil"/>
              <w:bottom w:val="nil"/>
              <w:right w:val="nil"/>
            </w:tcBorders>
            <w:shd w:val="clear" w:color="auto" w:fill="auto"/>
            <w:noWrap/>
            <w:vAlign w:val="center"/>
          </w:tcPr>
          <w:p w14:paraId="0EBC1D09" w14:textId="3DDCCFEB"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136.267</w:t>
            </w:r>
          </w:p>
        </w:tc>
        <w:tc>
          <w:tcPr>
            <w:tcW w:w="423" w:type="pct"/>
            <w:tcBorders>
              <w:top w:val="nil"/>
              <w:left w:val="nil"/>
              <w:bottom w:val="nil"/>
              <w:right w:val="nil"/>
            </w:tcBorders>
            <w:shd w:val="clear" w:color="auto" w:fill="auto"/>
            <w:vAlign w:val="center"/>
          </w:tcPr>
          <w:p w14:paraId="61B29153" w14:textId="5B2143C2"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(222.806)</w:t>
            </w:r>
          </w:p>
        </w:tc>
        <w:tc>
          <w:tcPr>
            <w:tcW w:w="404" w:type="pct"/>
            <w:tcBorders>
              <w:top w:val="nil"/>
              <w:left w:val="nil"/>
              <w:bottom w:val="nil"/>
              <w:right w:val="nil"/>
            </w:tcBorders>
            <w:shd w:val="clear" w:color="auto" w:fill="auto"/>
            <w:noWrap/>
            <w:vAlign w:val="center"/>
          </w:tcPr>
          <w:p w14:paraId="1A7DF9B1" w14:textId="26315E11"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4.145.275</w:t>
            </w:r>
          </w:p>
        </w:tc>
        <w:tc>
          <w:tcPr>
            <w:tcW w:w="404" w:type="pct"/>
            <w:tcBorders>
              <w:top w:val="nil"/>
              <w:left w:val="nil"/>
              <w:bottom w:val="nil"/>
              <w:right w:val="nil"/>
            </w:tcBorders>
            <w:shd w:val="clear" w:color="auto" w:fill="auto"/>
            <w:noWrap/>
            <w:vAlign w:val="center"/>
            <w:hideMark/>
          </w:tcPr>
          <w:p w14:paraId="6DE0BB49" w14:textId="6FB30097"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4.231.814</w:t>
            </w:r>
          </w:p>
        </w:tc>
        <w:tc>
          <w:tcPr>
            <w:tcW w:w="410" w:type="pct"/>
            <w:tcBorders>
              <w:top w:val="nil"/>
              <w:left w:val="nil"/>
              <w:bottom w:val="nil"/>
              <w:right w:val="nil"/>
            </w:tcBorders>
            <w:shd w:val="clear" w:color="auto" w:fill="auto"/>
            <w:noWrap/>
            <w:vAlign w:val="center"/>
          </w:tcPr>
          <w:p w14:paraId="617DE45E" w14:textId="43C79B67"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136.267</w:t>
            </w:r>
          </w:p>
        </w:tc>
        <w:tc>
          <w:tcPr>
            <w:tcW w:w="423" w:type="pct"/>
            <w:tcBorders>
              <w:top w:val="nil"/>
              <w:left w:val="nil"/>
              <w:bottom w:val="nil"/>
              <w:right w:val="nil"/>
            </w:tcBorders>
            <w:shd w:val="clear" w:color="auto" w:fill="auto"/>
            <w:vAlign w:val="center"/>
          </w:tcPr>
          <w:p w14:paraId="35AEC5F0" w14:textId="5BA1AA63"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(222.806)</w:t>
            </w:r>
          </w:p>
        </w:tc>
        <w:tc>
          <w:tcPr>
            <w:tcW w:w="404" w:type="pct"/>
            <w:tcBorders>
              <w:top w:val="nil"/>
              <w:left w:val="nil"/>
              <w:bottom w:val="nil"/>
              <w:right w:val="nil"/>
            </w:tcBorders>
            <w:shd w:val="clear" w:color="auto" w:fill="auto"/>
            <w:noWrap/>
            <w:vAlign w:val="center"/>
          </w:tcPr>
          <w:p w14:paraId="0CEC4F39" w14:textId="64128E5A"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4.145.275</w:t>
            </w:r>
          </w:p>
        </w:tc>
      </w:tr>
      <w:tr w:rsidR="00617109" w:rsidRPr="00A33766" w14:paraId="086B98E2" w14:textId="77777777" w:rsidTr="00FF4346">
        <w:trPr>
          <w:trHeight w:val="283"/>
        </w:trPr>
        <w:tc>
          <w:tcPr>
            <w:tcW w:w="1717" w:type="pct"/>
            <w:tcBorders>
              <w:top w:val="nil"/>
              <w:left w:val="nil"/>
              <w:bottom w:val="nil"/>
              <w:right w:val="nil"/>
            </w:tcBorders>
            <w:shd w:val="clear" w:color="auto" w:fill="auto"/>
            <w:vAlign w:val="center"/>
            <w:hideMark/>
          </w:tcPr>
          <w:p w14:paraId="26FBDCD1"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Provisões trabalhistas</w:t>
            </w:r>
          </w:p>
        </w:tc>
        <w:tc>
          <w:tcPr>
            <w:tcW w:w="404" w:type="pct"/>
            <w:tcBorders>
              <w:top w:val="nil"/>
              <w:left w:val="nil"/>
              <w:bottom w:val="nil"/>
              <w:right w:val="nil"/>
            </w:tcBorders>
            <w:shd w:val="clear" w:color="auto" w:fill="auto"/>
            <w:noWrap/>
            <w:vAlign w:val="center"/>
            <w:hideMark/>
          </w:tcPr>
          <w:p w14:paraId="2752FAD8" w14:textId="67E540AB"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3.156.593</w:t>
            </w:r>
          </w:p>
        </w:tc>
        <w:tc>
          <w:tcPr>
            <w:tcW w:w="410" w:type="pct"/>
            <w:tcBorders>
              <w:top w:val="nil"/>
              <w:left w:val="nil"/>
              <w:bottom w:val="nil"/>
              <w:right w:val="nil"/>
            </w:tcBorders>
            <w:shd w:val="clear" w:color="auto" w:fill="auto"/>
            <w:noWrap/>
            <w:vAlign w:val="center"/>
          </w:tcPr>
          <w:p w14:paraId="356DFDCC" w14:textId="4EF27DED"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353.636</w:t>
            </w:r>
          </w:p>
        </w:tc>
        <w:tc>
          <w:tcPr>
            <w:tcW w:w="423" w:type="pct"/>
            <w:tcBorders>
              <w:top w:val="nil"/>
              <w:left w:val="nil"/>
              <w:bottom w:val="nil"/>
              <w:right w:val="nil"/>
            </w:tcBorders>
            <w:shd w:val="clear" w:color="auto" w:fill="auto"/>
            <w:vAlign w:val="center"/>
          </w:tcPr>
          <w:p w14:paraId="57AE3FF8" w14:textId="47D5DF70"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(395.284)</w:t>
            </w:r>
          </w:p>
        </w:tc>
        <w:tc>
          <w:tcPr>
            <w:tcW w:w="404" w:type="pct"/>
            <w:tcBorders>
              <w:top w:val="nil"/>
              <w:left w:val="nil"/>
              <w:bottom w:val="nil"/>
              <w:right w:val="nil"/>
            </w:tcBorders>
            <w:shd w:val="clear" w:color="auto" w:fill="auto"/>
            <w:noWrap/>
            <w:vAlign w:val="center"/>
          </w:tcPr>
          <w:p w14:paraId="52D8E429" w14:textId="72E9AC91"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3.114.945</w:t>
            </w:r>
          </w:p>
        </w:tc>
        <w:tc>
          <w:tcPr>
            <w:tcW w:w="404" w:type="pct"/>
            <w:tcBorders>
              <w:top w:val="nil"/>
              <w:left w:val="nil"/>
              <w:bottom w:val="nil"/>
              <w:right w:val="nil"/>
            </w:tcBorders>
            <w:shd w:val="clear" w:color="auto" w:fill="auto"/>
            <w:noWrap/>
            <w:vAlign w:val="center"/>
            <w:hideMark/>
          </w:tcPr>
          <w:p w14:paraId="65B5D547" w14:textId="19272895"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3.156.593</w:t>
            </w:r>
          </w:p>
        </w:tc>
        <w:tc>
          <w:tcPr>
            <w:tcW w:w="410" w:type="pct"/>
            <w:tcBorders>
              <w:top w:val="nil"/>
              <w:left w:val="nil"/>
              <w:bottom w:val="nil"/>
              <w:right w:val="nil"/>
            </w:tcBorders>
            <w:shd w:val="clear" w:color="auto" w:fill="auto"/>
            <w:noWrap/>
            <w:vAlign w:val="center"/>
          </w:tcPr>
          <w:p w14:paraId="0BC40393" w14:textId="36EBEC3C"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353.636</w:t>
            </w:r>
          </w:p>
        </w:tc>
        <w:tc>
          <w:tcPr>
            <w:tcW w:w="423" w:type="pct"/>
            <w:tcBorders>
              <w:top w:val="nil"/>
              <w:left w:val="nil"/>
              <w:bottom w:val="nil"/>
              <w:right w:val="nil"/>
            </w:tcBorders>
            <w:shd w:val="clear" w:color="auto" w:fill="auto"/>
            <w:vAlign w:val="center"/>
          </w:tcPr>
          <w:p w14:paraId="79C9DEC3" w14:textId="13D295F6"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(395.284)</w:t>
            </w:r>
          </w:p>
        </w:tc>
        <w:tc>
          <w:tcPr>
            <w:tcW w:w="404" w:type="pct"/>
            <w:tcBorders>
              <w:top w:val="nil"/>
              <w:left w:val="nil"/>
              <w:bottom w:val="nil"/>
              <w:right w:val="nil"/>
            </w:tcBorders>
            <w:shd w:val="clear" w:color="auto" w:fill="auto"/>
            <w:noWrap/>
            <w:vAlign w:val="center"/>
          </w:tcPr>
          <w:p w14:paraId="5073E02A" w14:textId="10CFC1E1"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3.114.945</w:t>
            </w:r>
          </w:p>
        </w:tc>
      </w:tr>
      <w:tr w:rsidR="00617109" w:rsidRPr="00A33766" w14:paraId="32DF66B7" w14:textId="77777777" w:rsidTr="00FF4346">
        <w:trPr>
          <w:trHeight w:val="283"/>
        </w:trPr>
        <w:tc>
          <w:tcPr>
            <w:tcW w:w="1717" w:type="pct"/>
            <w:tcBorders>
              <w:top w:val="nil"/>
              <w:left w:val="nil"/>
              <w:bottom w:val="nil"/>
              <w:right w:val="nil"/>
            </w:tcBorders>
            <w:shd w:val="clear" w:color="auto" w:fill="auto"/>
            <w:vAlign w:val="center"/>
            <w:hideMark/>
          </w:tcPr>
          <w:p w14:paraId="22D4BF9D"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Ajuste a valor de mercado de instrumentos derivativos</w:t>
            </w:r>
          </w:p>
        </w:tc>
        <w:tc>
          <w:tcPr>
            <w:tcW w:w="404" w:type="pct"/>
            <w:tcBorders>
              <w:top w:val="nil"/>
              <w:left w:val="nil"/>
              <w:bottom w:val="nil"/>
              <w:right w:val="nil"/>
            </w:tcBorders>
            <w:shd w:val="clear" w:color="auto" w:fill="auto"/>
            <w:noWrap/>
            <w:vAlign w:val="center"/>
            <w:hideMark/>
          </w:tcPr>
          <w:p w14:paraId="56C7B5A3" w14:textId="472381B2"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1.312.041</w:t>
            </w:r>
          </w:p>
        </w:tc>
        <w:tc>
          <w:tcPr>
            <w:tcW w:w="410" w:type="pct"/>
            <w:tcBorders>
              <w:top w:val="nil"/>
              <w:left w:val="nil"/>
              <w:bottom w:val="nil"/>
              <w:right w:val="nil"/>
            </w:tcBorders>
            <w:shd w:val="clear" w:color="auto" w:fill="auto"/>
            <w:noWrap/>
            <w:vAlign w:val="center"/>
          </w:tcPr>
          <w:p w14:paraId="4690129E" w14:textId="098E3190"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5.022</w:t>
            </w:r>
          </w:p>
        </w:tc>
        <w:tc>
          <w:tcPr>
            <w:tcW w:w="423" w:type="pct"/>
            <w:tcBorders>
              <w:top w:val="nil"/>
              <w:left w:val="nil"/>
              <w:bottom w:val="nil"/>
              <w:right w:val="nil"/>
            </w:tcBorders>
            <w:shd w:val="clear" w:color="auto" w:fill="auto"/>
            <w:vAlign w:val="center"/>
          </w:tcPr>
          <w:p w14:paraId="20272086" w14:textId="2F101098"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(815.566)</w:t>
            </w:r>
          </w:p>
        </w:tc>
        <w:tc>
          <w:tcPr>
            <w:tcW w:w="404" w:type="pct"/>
            <w:tcBorders>
              <w:top w:val="nil"/>
              <w:left w:val="nil"/>
              <w:bottom w:val="nil"/>
              <w:right w:val="nil"/>
            </w:tcBorders>
            <w:shd w:val="clear" w:color="auto" w:fill="auto"/>
            <w:noWrap/>
            <w:vAlign w:val="center"/>
          </w:tcPr>
          <w:p w14:paraId="18178874" w14:textId="1659624D"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501.497</w:t>
            </w:r>
          </w:p>
        </w:tc>
        <w:tc>
          <w:tcPr>
            <w:tcW w:w="404" w:type="pct"/>
            <w:tcBorders>
              <w:top w:val="nil"/>
              <w:left w:val="nil"/>
              <w:bottom w:val="nil"/>
              <w:right w:val="nil"/>
            </w:tcBorders>
            <w:shd w:val="clear" w:color="auto" w:fill="auto"/>
            <w:noWrap/>
            <w:vAlign w:val="center"/>
            <w:hideMark/>
          </w:tcPr>
          <w:p w14:paraId="59DA8076" w14:textId="2AA9996C"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1.312.041</w:t>
            </w:r>
          </w:p>
        </w:tc>
        <w:tc>
          <w:tcPr>
            <w:tcW w:w="410" w:type="pct"/>
            <w:tcBorders>
              <w:top w:val="nil"/>
              <w:left w:val="nil"/>
              <w:bottom w:val="nil"/>
              <w:right w:val="nil"/>
            </w:tcBorders>
            <w:shd w:val="clear" w:color="auto" w:fill="auto"/>
            <w:noWrap/>
            <w:vAlign w:val="center"/>
          </w:tcPr>
          <w:p w14:paraId="2E7F2328" w14:textId="0D4DA178"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5.022</w:t>
            </w:r>
          </w:p>
        </w:tc>
        <w:tc>
          <w:tcPr>
            <w:tcW w:w="423" w:type="pct"/>
            <w:tcBorders>
              <w:top w:val="nil"/>
              <w:left w:val="nil"/>
              <w:bottom w:val="nil"/>
              <w:right w:val="nil"/>
            </w:tcBorders>
            <w:shd w:val="clear" w:color="auto" w:fill="auto"/>
            <w:vAlign w:val="center"/>
          </w:tcPr>
          <w:p w14:paraId="5E748BC6" w14:textId="76382C11"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(815.566)</w:t>
            </w:r>
          </w:p>
        </w:tc>
        <w:tc>
          <w:tcPr>
            <w:tcW w:w="404" w:type="pct"/>
            <w:tcBorders>
              <w:top w:val="nil"/>
              <w:left w:val="nil"/>
              <w:bottom w:val="nil"/>
              <w:right w:val="nil"/>
            </w:tcBorders>
            <w:shd w:val="clear" w:color="auto" w:fill="auto"/>
            <w:noWrap/>
            <w:vAlign w:val="center"/>
          </w:tcPr>
          <w:p w14:paraId="38230764" w14:textId="63FF8036"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501.497</w:t>
            </w:r>
          </w:p>
        </w:tc>
      </w:tr>
      <w:tr w:rsidR="00617109" w:rsidRPr="00A33766" w14:paraId="636A84DB" w14:textId="77777777" w:rsidTr="00FF4346">
        <w:trPr>
          <w:trHeight w:val="283"/>
        </w:trPr>
        <w:tc>
          <w:tcPr>
            <w:tcW w:w="1717" w:type="pct"/>
            <w:tcBorders>
              <w:top w:val="nil"/>
              <w:left w:val="nil"/>
              <w:bottom w:val="nil"/>
              <w:right w:val="nil"/>
            </w:tcBorders>
            <w:shd w:val="clear" w:color="auto" w:fill="auto"/>
            <w:vAlign w:val="center"/>
            <w:hideMark/>
          </w:tcPr>
          <w:p w14:paraId="3F7436B9"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Provisão para Perdas - FCVS a receber</w:t>
            </w:r>
          </w:p>
        </w:tc>
        <w:tc>
          <w:tcPr>
            <w:tcW w:w="404" w:type="pct"/>
            <w:tcBorders>
              <w:top w:val="nil"/>
              <w:left w:val="nil"/>
              <w:bottom w:val="nil"/>
              <w:right w:val="nil"/>
            </w:tcBorders>
            <w:shd w:val="clear" w:color="auto" w:fill="auto"/>
            <w:noWrap/>
            <w:vAlign w:val="center"/>
            <w:hideMark/>
          </w:tcPr>
          <w:p w14:paraId="6864328B" w14:textId="25CDC56D"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3.298.177</w:t>
            </w:r>
          </w:p>
        </w:tc>
        <w:tc>
          <w:tcPr>
            <w:tcW w:w="410" w:type="pct"/>
            <w:tcBorders>
              <w:top w:val="nil"/>
              <w:left w:val="nil"/>
              <w:bottom w:val="nil"/>
              <w:right w:val="nil"/>
            </w:tcBorders>
            <w:shd w:val="clear" w:color="auto" w:fill="auto"/>
            <w:noWrap/>
            <w:vAlign w:val="center"/>
          </w:tcPr>
          <w:p w14:paraId="66F3E871" w14:textId="7E1CD798"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232.238</w:t>
            </w:r>
          </w:p>
        </w:tc>
        <w:tc>
          <w:tcPr>
            <w:tcW w:w="423" w:type="pct"/>
            <w:tcBorders>
              <w:top w:val="nil"/>
              <w:left w:val="nil"/>
              <w:bottom w:val="nil"/>
              <w:right w:val="nil"/>
            </w:tcBorders>
            <w:shd w:val="clear" w:color="auto" w:fill="auto"/>
            <w:vAlign w:val="center"/>
          </w:tcPr>
          <w:p w14:paraId="3629311C" w14:textId="3387E831"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654DD4E3" w14:textId="7FE370F2"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3.530.415</w:t>
            </w:r>
          </w:p>
        </w:tc>
        <w:tc>
          <w:tcPr>
            <w:tcW w:w="404" w:type="pct"/>
            <w:tcBorders>
              <w:top w:val="nil"/>
              <w:left w:val="nil"/>
              <w:bottom w:val="nil"/>
              <w:right w:val="nil"/>
            </w:tcBorders>
            <w:shd w:val="clear" w:color="auto" w:fill="auto"/>
            <w:noWrap/>
            <w:vAlign w:val="center"/>
            <w:hideMark/>
          </w:tcPr>
          <w:p w14:paraId="75ED00DF" w14:textId="1C6F9A59"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3.298.177</w:t>
            </w:r>
          </w:p>
        </w:tc>
        <w:tc>
          <w:tcPr>
            <w:tcW w:w="410" w:type="pct"/>
            <w:tcBorders>
              <w:top w:val="nil"/>
              <w:left w:val="nil"/>
              <w:bottom w:val="nil"/>
              <w:right w:val="nil"/>
            </w:tcBorders>
            <w:shd w:val="clear" w:color="auto" w:fill="auto"/>
            <w:noWrap/>
            <w:vAlign w:val="center"/>
          </w:tcPr>
          <w:p w14:paraId="2047673F" w14:textId="5BE67128"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232.238</w:t>
            </w:r>
          </w:p>
        </w:tc>
        <w:tc>
          <w:tcPr>
            <w:tcW w:w="423" w:type="pct"/>
            <w:tcBorders>
              <w:top w:val="nil"/>
              <w:left w:val="nil"/>
              <w:bottom w:val="nil"/>
              <w:right w:val="nil"/>
            </w:tcBorders>
            <w:shd w:val="clear" w:color="auto" w:fill="auto"/>
            <w:vAlign w:val="center"/>
          </w:tcPr>
          <w:p w14:paraId="6E5095A7" w14:textId="328FE7B2"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248A2998" w14:textId="55B85B2C"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3.530.415</w:t>
            </w:r>
          </w:p>
        </w:tc>
      </w:tr>
      <w:tr w:rsidR="00617109" w:rsidRPr="00A33766" w14:paraId="6E4E0E2A" w14:textId="77777777" w:rsidTr="00FF4346">
        <w:trPr>
          <w:trHeight w:val="283"/>
        </w:trPr>
        <w:tc>
          <w:tcPr>
            <w:tcW w:w="1717" w:type="pct"/>
            <w:tcBorders>
              <w:top w:val="nil"/>
              <w:left w:val="nil"/>
              <w:bottom w:val="nil"/>
              <w:right w:val="nil"/>
            </w:tcBorders>
            <w:shd w:val="clear" w:color="auto" w:fill="auto"/>
            <w:vAlign w:val="center"/>
            <w:hideMark/>
          </w:tcPr>
          <w:p w14:paraId="0877C132"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Provisões cíveis</w:t>
            </w:r>
          </w:p>
        </w:tc>
        <w:tc>
          <w:tcPr>
            <w:tcW w:w="404" w:type="pct"/>
            <w:tcBorders>
              <w:top w:val="nil"/>
              <w:left w:val="nil"/>
              <w:bottom w:val="nil"/>
              <w:right w:val="nil"/>
            </w:tcBorders>
            <w:shd w:val="clear" w:color="auto" w:fill="auto"/>
            <w:noWrap/>
            <w:vAlign w:val="center"/>
            <w:hideMark/>
          </w:tcPr>
          <w:p w14:paraId="753B4366" w14:textId="5B0ED8C0"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1.767.571</w:t>
            </w:r>
          </w:p>
        </w:tc>
        <w:tc>
          <w:tcPr>
            <w:tcW w:w="410" w:type="pct"/>
            <w:tcBorders>
              <w:top w:val="nil"/>
              <w:left w:val="nil"/>
              <w:bottom w:val="nil"/>
              <w:right w:val="nil"/>
            </w:tcBorders>
            <w:shd w:val="clear" w:color="auto" w:fill="auto"/>
            <w:noWrap/>
            <w:vAlign w:val="center"/>
          </w:tcPr>
          <w:p w14:paraId="7D958EA5" w14:textId="5370E940"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60.293</w:t>
            </w:r>
          </w:p>
        </w:tc>
        <w:tc>
          <w:tcPr>
            <w:tcW w:w="423" w:type="pct"/>
            <w:tcBorders>
              <w:top w:val="nil"/>
              <w:left w:val="nil"/>
              <w:bottom w:val="nil"/>
              <w:right w:val="nil"/>
            </w:tcBorders>
            <w:shd w:val="clear" w:color="auto" w:fill="auto"/>
            <w:vAlign w:val="center"/>
          </w:tcPr>
          <w:p w14:paraId="6D8E540A" w14:textId="2DB12779"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083AE678" w14:textId="00442407"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1.827.864</w:t>
            </w:r>
          </w:p>
        </w:tc>
        <w:tc>
          <w:tcPr>
            <w:tcW w:w="404" w:type="pct"/>
            <w:tcBorders>
              <w:top w:val="nil"/>
              <w:left w:val="nil"/>
              <w:bottom w:val="nil"/>
              <w:right w:val="nil"/>
            </w:tcBorders>
            <w:shd w:val="clear" w:color="auto" w:fill="auto"/>
            <w:noWrap/>
            <w:vAlign w:val="center"/>
            <w:hideMark/>
          </w:tcPr>
          <w:p w14:paraId="56A82D2F" w14:textId="7339F87A"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1.767.571</w:t>
            </w:r>
          </w:p>
        </w:tc>
        <w:tc>
          <w:tcPr>
            <w:tcW w:w="410" w:type="pct"/>
            <w:tcBorders>
              <w:top w:val="nil"/>
              <w:left w:val="nil"/>
              <w:bottom w:val="nil"/>
              <w:right w:val="nil"/>
            </w:tcBorders>
            <w:shd w:val="clear" w:color="auto" w:fill="auto"/>
            <w:noWrap/>
            <w:vAlign w:val="center"/>
          </w:tcPr>
          <w:p w14:paraId="0CDA48A2" w14:textId="1C8E9A14"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60.293</w:t>
            </w:r>
          </w:p>
        </w:tc>
        <w:tc>
          <w:tcPr>
            <w:tcW w:w="423" w:type="pct"/>
            <w:tcBorders>
              <w:top w:val="nil"/>
              <w:left w:val="nil"/>
              <w:bottom w:val="nil"/>
              <w:right w:val="nil"/>
            </w:tcBorders>
            <w:shd w:val="clear" w:color="auto" w:fill="auto"/>
            <w:vAlign w:val="center"/>
          </w:tcPr>
          <w:p w14:paraId="2D211930" w14:textId="25B9A4BE"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69D011F7" w14:textId="5DF1DEB2"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1.827.864</w:t>
            </w:r>
          </w:p>
        </w:tc>
      </w:tr>
      <w:tr w:rsidR="00617109" w:rsidRPr="00A33766" w14:paraId="6123E1A8" w14:textId="77777777" w:rsidTr="00FF4346">
        <w:trPr>
          <w:trHeight w:val="283"/>
        </w:trPr>
        <w:tc>
          <w:tcPr>
            <w:tcW w:w="1717" w:type="pct"/>
            <w:tcBorders>
              <w:top w:val="nil"/>
              <w:left w:val="nil"/>
              <w:bottom w:val="nil"/>
              <w:right w:val="nil"/>
            </w:tcBorders>
            <w:shd w:val="clear" w:color="auto" w:fill="auto"/>
            <w:vAlign w:val="center"/>
            <w:hideMark/>
          </w:tcPr>
          <w:p w14:paraId="43824E81"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Provisão para desvalorização - bens não de uso</w:t>
            </w:r>
          </w:p>
        </w:tc>
        <w:tc>
          <w:tcPr>
            <w:tcW w:w="404" w:type="pct"/>
            <w:tcBorders>
              <w:top w:val="nil"/>
              <w:left w:val="nil"/>
              <w:bottom w:val="nil"/>
              <w:right w:val="nil"/>
            </w:tcBorders>
            <w:shd w:val="clear" w:color="auto" w:fill="auto"/>
            <w:noWrap/>
            <w:vAlign w:val="center"/>
            <w:hideMark/>
          </w:tcPr>
          <w:p w14:paraId="790A7E68" w14:textId="4451DE23"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449.511</w:t>
            </w:r>
          </w:p>
        </w:tc>
        <w:tc>
          <w:tcPr>
            <w:tcW w:w="410" w:type="pct"/>
            <w:tcBorders>
              <w:top w:val="nil"/>
              <w:left w:val="nil"/>
              <w:bottom w:val="nil"/>
              <w:right w:val="nil"/>
            </w:tcBorders>
            <w:shd w:val="clear" w:color="auto" w:fill="auto"/>
            <w:noWrap/>
            <w:vAlign w:val="center"/>
          </w:tcPr>
          <w:p w14:paraId="22A049EE" w14:textId="5126D691"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73.558</w:t>
            </w:r>
          </w:p>
        </w:tc>
        <w:tc>
          <w:tcPr>
            <w:tcW w:w="423" w:type="pct"/>
            <w:tcBorders>
              <w:top w:val="nil"/>
              <w:left w:val="nil"/>
              <w:bottom w:val="nil"/>
              <w:right w:val="nil"/>
            </w:tcBorders>
            <w:shd w:val="clear" w:color="auto" w:fill="auto"/>
            <w:vAlign w:val="center"/>
          </w:tcPr>
          <w:p w14:paraId="7A40E388" w14:textId="5A025117"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(19.423)</w:t>
            </w:r>
          </w:p>
        </w:tc>
        <w:tc>
          <w:tcPr>
            <w:tcW w:w="404" w:type="pct"/>
            <w:tcBorders>
              <w:top w:val="nil"/>
              <w:left w:val="nil"/>
              <w:bottom w:val="nil"/>
              <w:right w:val="nil"/>
            </w:tcBorders>
            <w:shd w:val="clear" w:color="auto" w:fill="auto"/>
            <w:noWrap/>
            <w:vAlign w:val="center"/>
          </w:tcPr>
          <w:p w14:paraId="2665E1D4" w14:textId="25EDD478"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503.646</w:t>
            </w:r>
          </w:p>
        </w:tc>
        <w:tc>
          <w:tcPr>
            <w:tcW w:w="404" w:type="pct"/>
            <w:tcBorders>
              <w:top w:val="nil"/>
              <w:left w:val="nil"/>
              <w:bottom w:val="nil"/>
              <w:right w:val="nil"/>
            </w:tcBorders>
            <w:shd w:val="clear" w:color="auto" w:fill="auto"/>
            <w:noWrap/>
            <w:vAlign w:val="center"/>
            <w:hideMark/>
          </w:tcPr>
          <w:p w14:paraId="2D953A97" w14:textId="62AAE15A"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449.511</w:t>
            </w:r>
          </w:p>
        </w:tc>
        <w:tc>
          <w:tcPr>
            <w:tcW w:w="410" w:type="pct"/>
            <w:tcBorders>
              <w:top w:val="nil"/>
              <w:left w:val="nil"/>
              <w:bottom w:val="nil"/>
              <w:right w:val="nil"/>
            </w:tcBorders>
            <w:shd w:val="clear" w:color="auto" w:fill="auto"/>
            <w:noWrap/>
            <w:vAlign w:val="center"/>
          </w:tcPr>
          <w:p w14:paraId="50F56BA7" w14:textId="22F92C0E"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73.558</w:t>
            </w:r>
          </w:p>
        </w:tc>
        <w:tc>
          <w:tcPr>
            <w:tcW w:w="423" w:type="pct"/>
            <w:tcBorders>
              <w:top w:val="nil"/>
              <w:left w:val="nil"/>
              <w:bottom w:val="nil"/>
              <w:right w:val="nil"/>
            </w:tcBorders>
            <w:shd w:val="clear" w:color="auto" w:fill="auto"/>
            <w:vAlign w:val="center"/>
          </w:tcPr>
          <w:p w14:paraId="722FB35E" w14:textId="4C1BE350"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(19.423)</w:t>
            </w:r>
          </w:p>
        </w:tc>
        <w:tc>
          <w:tcPr>
            <w:tcW w:w="404" w:type="pct"/>
            <w:tcBorders>
              <w:top w:val="nil"/>
              <w:left w:val="nil"/>
              <w:bottom w:val="nil"/>
              <w:right w:val="nil"/>
            </w:tcBorders>
            <w:shd w:val="clear" w:color="auto" w:fill="auto"/>
            <w:noWrap/>
            <w:vAlign w:val="center"/>
          </w:tcPr>
          <w:p w14:paraId="2B0104DA" w14:textId="64EC3FD0"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503.646</w:t>
            </w:r>
          </w:p>
        </w:tc>
      </w:tr>
      <w:tr w:rsidR="00617109" w:rsidRPr="00A33766" w14:paraId="16382D69" w14:textId="77777777" w:rsidTr="00FF4346">
        <w:trPr>
          <w:trHeight w:val="283"/>
        </w:trPr>
        <w:tc>
          <w:tcPr>
            <w:tcW w:w="1717" w:type="pct"/>
            <w:tcBorders>
              <w:top w:val="nil"/>
              <w:left w:val="nil"/>
              <w:bottom w:val="nil"/>
              <w:right w:val="nil"/>
            </w:tcBorders>
            <w:shd w:val="clear" w:color="auto" w:fill="auto"/>
            <w:vAlign w:val="center"/>
            <w:hideMark/>
          </w:tcPr>
          <w:p w14:paraId="3894C84B"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Provisões fiscais</w:t>
            </w:r>
          </w:p>
        </w:tc>
        <w:tc>
          <w:tcPr>
            <w:tcW w:w="404" w:type="pct"/>
            <w:tcBorders>
              <w:top w:val="nil"/>
              <w:left w:val="nil"/>
              <w:bottom w:val="nil"/>
              <w:right w:val="nil"/>
            </w:tcBorders>
            <w:shd w:val="clear" w:color="auto" w:fill="auto"/>
            <w:noWrap/>
            <w:vAlign w:val="center"/>
            <w:hideMark/>
          </w:tcPr>
          <w:p w14:paraId="3ED4AC0E" w14:textId="589FF1AD"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282.778</w:t>
            </w:r>
          </w:p>
        </w:tc>
        <w:tc>
          <w:tcPr>
            <w:tcW w:w="410" w:type="pct"/>
            <w:tcBorders>
              <w:top w:val="nil"/>
              <w:left w:val="nil"/>
              <w:bottom w:val="nil"/>
              <w:right w:val="nil"/>
            </w:tcBorders>
            <w:shd w:val="clear" w:color="auto" w:fill="auto"/>
            <w:noWrap/>
            <w:vAlign w:val="center"/>
          </w:tcPr>
          <w:p w14:paraId="7FD96182" w14:textId="2FFCD5C3"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7.483</w:t>
            </w:r>
          </w:p>
        </w:tc>
        <w:tc>
          <w:tcPr>
            <w:tcW w:w="423" w:type="pct"/>
            <w:tcBorders>
              <w:top w:val="nil"/>
              <w:left w:val="nil"/>
              <w:bottom w:val="nil"/>
              <w:right w:val="nil"/>
            </w:tcBorders>
            <w:shd w:val="clear" w:color="auto" w:fill="auto"/>
            <w:vAlign w:val="center"/>
          </w:tcPr>
          <w:p w14:paraId="517EC2EB" w14:textId="11A16F56"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(39.153)</w:t>
            </w:r>
          </w:p>
        </w:tc>
        <w:tc>
          <w:tcPr>
            <w:tcW w:w="404" w:type="pct"/>
            <w:tcBorders>
              <w:top w:val="nil"/>
              <w:left w:val="nil"/>
              <w:bottom w:val="nil"/>
              <w:right w:val="nil"/>
            </w:tcBorders>
            <w:shd w:val="clear" w:color="auto" w:fill="auto"/>
            <w:noWrap/>
            <w:vAlign w:val="center"/>
          </w:tcPr>
          <w:p w14:paraId="0708939B" w14:textId="7938F361"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251.108</w:t>
            </w:r>
          </w:p>
        </w:tc>
        <w:tc>
          <w:tcPr>
            <w:tcW w:w="404" w:type="pct"/>
            <w:tcBorders>
              <w:top w:val="nil"/>
              <w:left w:val="nil"/>
              <w:bottom w:val="nil"/>
              <w:right w:val="nil"/>
            </w:tcBorders>
            <w:shd w:val="clear" w:color="auto" w:fill="auto"/>
            <w:noWrap/>
            <w:vAlign w:val="center"/>
            <w:hideMark/>
          </w:tcPr>
          <w:p w14:paraId="6F1359CD" w14:textId="5DF486F6"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282.778</w:t>
            </w:r>
          </w:p>
        </w:tc>
        <w:tc>
          <w:tcPr>
            <w:tcW w:w="410" w:type="pct"/>
            <w:tcBorders>
              <w:top w:val="nil"/>
              <w:left w:val="nil"/>
              <w:bottom w:val="nil"/>
              <w:right w:val="nil"/>
            </w:tcBorders>
            <w:shd w:val="clear" w:color="auto" w:fill="auto"/>
            <w:noWrap/>
            <w:vAlign w:val="center"/>
          </w:tcPr>
          <w:p w14:paraId="54690C07" w14:textId="565900E7"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7.483</w:t>
            </w:r>
          </w:p>
        </w:tc>
        <w:tc>
          <w:tcPr>
            <w:tcW w:w="423" w:type="pct"/>
            <w:tcBorders>
              <w:top w:val="nil"/>
              <w:left w:val="nil"/>
              <w:bottom w:val="nil"/>
              <w:right w:val="nil"/>
            </w:tcBorders>
            <w:shd w:val="clear" w:color="auto" w:fill="auto"/>
            <w:vAlign w:val="center"/>
          </w:tcPr>
          <w:p w14:paraId="5CFF3A70" w14:textId="2F847ECD"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(39.153)</w:t>
            </w:r>
          </w:p>
        </w:tc>
        <w:tc>
          <w:tcPr>
            <w:tcW w:w="404" w:type="pct"/>
            <w:tcBorders>
              <w:top w:val="nil"/>
              <w:left w:val="nil"/>
              <w:bottom w:val="nil"/>
              <w:right w:val="nil"/>
            </w:tcBorders>
            <w:shd w:val="clear" w:color="auto" w:fill="auto"/>
            <w:noWrap/>
            <w:vAlign w:val="center"/>
          </w:tcPr>
          <w:p w14:paraId="4671C8FB" w14:textId="090152FF"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251.108</w:t>
            </w:r>
          </w:p>
        </w:tc>
      </w:tr>
      <w:tr w:rsidR="00617109" w:rsidRPr="00A33766" w14:paraId="7BA33EDB" w14:textId="77777777" w:rsidTr="00FF4346">
        <w:trPr>
          <w:trHeight w:val="283"/>
        </w:trPr>
        <w:tc>
          <w:tcPr>
            <w:tcW w:w="1717" w:type="pct"/>
            <w:tcBorders>
              <w:top w:val="nil"/>
              <w:left w:val="nil"/>
              <w:bottom w:val="nil"/>
              <w:right w:val="nil"/>
            </w:tcBorders>
            <w:shd w:val="clear" w:color="auto" w:fill="auto"/>
            <w:vAlign w:val="center"/>
          </w:tcPr>
          <w:p w14:paraId="3BDA9A38" w14:textId="15F9210A" w:rsidR="00617109" w:rsidRPr="00FF4346" w:rsidRDefault="00617109" w:rsidP="00617109">
            <w:pPr>
              <w:ind w:firstLineChars="100" w:firstLine="180"/>
              <w:rPr>
                <w:rFonts w:ascii="CAIXA Std Book" w:eastAsia="Times New Roman" w:hAnsi="CAIXA Std Book" w:cs="Arial"/>
                <w:color w:val="005CA9"/>
                <w:sz w:val="18"/>
                <w:szCs w:val="18"/>
              </w:rPr>
            </w:pPr>
            <w:r w:rsidRPr="00097FD6">
              <w:rPr>
                <w:rFonts w:ascii="CAIXA Std Book" w:eastAsia="Times New Roman" w:hAnsi="CAIXA Std Book" w:cs="Arial"/>
                <w:color w:val="005CA9"/>
                <w:sz w:val="18"/>
                <w:szCs w:val="18"/>
              </w:rPr>
              <w:t>Despesas de captação não incorridas - IHCD</w:t>
            </w:r>
          </w:p>
        </w:tc>
        <w:tc>
          <w:tcPr>
            <w:tcW w:w="404" w:type="pct"/>
            <w:tcBorders>
              <w:top w:val="nil"/>
              <w:left w:val="nil"/>
              <w:bottom w:val="nil"/>
              <w:right w:val="nil"/>
            </w:tcBorders>
            <w:shd w:val="clear" w:color="auto" w:fill="auto"/>
            <w:noWrap/>
            <w:vAlign w:val="center"/>
          </w:tcPr>
          <w:p w14:paraId="4C5B2937" w14:textId="1175289E" w:rsidR="00617109" w:rsidRPr="00FF4346" w:rsidRDefault="00617109" w:rsidP="00617109">
            <w:pPr>
              <w:jc w:val="center"/>
              <w:rPr>
                <w:rFonts w:ascii="CAIXA Std Book" w:hAnsi="CAIXA Std Book" w:cs="Arial"/>
                <w:color w:val="005CA9"/>
                <w:sz w:val="18"/>
                <w:szCs w:val="18"/>
              </w:rPr>
            </w:pPr>
            <w:r>
              <w:rPr>
                <w:rFonts w:ascii="CAIXA Std Book" w:hAnsi="CAIXA Std Book" w:cs="Arial"/>
                <w:color w:val="005CA9"/>
                <w:sz w:val="18"/>
                <w:szCs w:val="18"/>
              </w:rPr>
              <w:t>-</w:t>
            </w:r>
          </w:p>
        </w:tc>
        <w:tc>
          <w:tcPr>
            <w:tcW w:w="410" w:type="pct"/>
            <w:tcBorders>
              <w:top w:val="nil"/>
              <w:left w:val="nil"/>
              <w:bottom w:val="nil"/>
              <w:right w:val="nil"/>
            </w:tcBorders>
            <w:shd w:val="clear" w:color="auto" w:fill="auto"/>
            <w:noWrap/>
            <w:vAlign w:val="center"/>
          </w:tcPr>
          <w:p w14:paraId="6048F8C6" w14:textId="18DDD8D6"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190.058</w:t>
            </w:r>
          </w:p>
        </w:tc>
        <w:tc>
          <w:tcPr>
            <w:tcW w:w="423" w:type="pct"/>
            <w:tcBorders>
              <w:top w:val="nil"/>
              <w:left w:val="nil"/>
              <w:bottom w:val="nil"/>
              <w:right w:val="nil"/>
            </w:tcBorders>
            <w:shd w:val="clear" w:color="auto" w:fill="auto"/>
            <w:vAlign w:val="center"/>
          </w:tcPr>
          <w:p w14:paraId="6A7C9CF1" w14:textId="11D44251"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(14)</w:t>
            </w:r>
          </w:p>
        </w:tc>
        <w:tc>
          <w:tcPr>
            <w:tcW w:w="404" w:type="pct"/>
            <w:tcBorders>
              <w:top w:val="nil"/>
              <w:left w:val="nil"/>
              <w:bottom w:val="nil"/>
              <w:right w:val="nil"/>
            </w:tcBorders>
            <w:shd w:val="clear" w:color="auto" w:fill="auto"/>
            <w:noWrap/>
            <w:vAlign w:val="center"/>
          </w:tcPr>
          <w:p w14:paraId="499DC1A9" w14:textId="1700D639"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190.044</w:t>
            </w:r>
          </w:p>
        </w:tc>
        <w:tc>
          <w:tcPr>
            <w:tcW w:w="404" w:type="pct"/>
            <w:tcBorders>
              <w:top w:val="nil"/>
              <w:left w:val="nil"/>
              <w:bottom w:val="nil"/>
              <w:right w:val="nil"/>
            </w:tcBorders>
            <w:shd w:val="clear" w:color="auto" w:fill="auto"/>
            <w:noWrap/>
            <w:vAlign w:val="center"/>
          </w:tcPr>
          <w:p w14:paraId="441B50C1" w14:textId="27E49579" w:rsidR="00617109" w:rsidRPr="00FF4346" w:rsidRDefault="006D31EB" w:rsidP="006D31EB">
            <w:pPr>
              <w:jc w:val="center"/>
              <w:rPr>
                <w:rFonts w:ascii="CAIXA Std Book" w:hAnsi="CAIXA Std Book" w:cs="Arial"/>
                <w:color w:val="005CA9"/>
                <w:sz w:val="18"/>
                <w:szCs w:val="18"/>
              </w:rPr>
            </w:pPr>
            <w:r>
              <w:rPr>
                <w:rFonts w:ascii="CAIXA Std Book" w:hAnsi="CAIXA Std Book" w:cs="Arial"/>
                <w:color w:val="005CA9"/>
                <w:sz w:val="18"/>
                <w:szCs w:val="18"/>
              </w:rPr>
              <w:t>-</w:t>
            </w:r>
          </w:p>
        </w:tc>
        <w:tc>
          <w:tcPr>
            <w:tcW w:w="410" w:type="pct"/>
            <w:tcBorders>
              <w:top w:val="nil"/>
              <w:left w:val="nil"/>
              <w:bottom w:val="nil"/>
              <w:right w:val="nil"/>
            </w:tcBorders>
            <w:shd w:val="clear" w:color="auto" w:fill="auto"/>
            <w:noWrap/>
            <w:vAlign w:val="center"/>
          </w:tcPr>
          <w:p w14:paraId="66F5C637" w14:textId="12D9AFEB"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190.058</w:t>
            </w:r>
          </w:p>
        </w:tc>
        <w:tc>
          <w:tcPr>
            <w:tcW w:w="423" w:type="pct"/>
            <w:tcBorders>
              <w:top w:val="nil"/>
              <w:left w:val="nil"/>
              <w:bottom w:val="nil"/>
              <w:right w:val="nil"/>
            </w:tcBorders>
            <w:shd w:val="clear" w:color="auto" w:fill="auto"/>
            <w:vAlign w:val="center"/>
          </w:tcPr>
          <w:p w14:paraId="7DC21E78" w14:textId="443E9573"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(14)</w:t>
            </w:r>
          </w:p>
        </w:tc>
        <w:tc>
          <w:tcPr>
            <w:tcW w:w="404" w:type="pct"/>
            <w:tcBorders>
              <w:top w:val="nil"/>
              <w:left w:val="nil"/>
              <w:bottom w:val="nil"/>
              <w:right w:val="nil"/>
            </w:tcBorders>
            <w:shd w:val="clear" w:color="auto" w:fill="auto"/>
            <w:noWrap/>
            <w:vAlign w:val="center"/>
          </w:tcPr>
          <w:p w14:paraId="1B17D06A" w14:textId="2FF836C4"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190.044</w:t>
            </w:r>
          </w:p>
        </w:tc>
      </w:tr>
      <w:tr w:rsidR="00617109" w:rsidRPr="00A33766" w14:paraId="0E58B2BC" w14:textId="77777777" w:rsidTr="00FF4346">
        <w:trPr>
          <w:trHeight w:val="283"/>
        </w:trPr>
        <w:tc>
          <w:tcPr>
            <w:tcW w:w="1717" w:type="pct"/>
            <w:tcBorders>
              <w:top w:val="nil"/>
              <w:left w:val="nil"/>
              <w:bottom w:val="nil"/>
              <w:right w:val="nil"/>
            </w:tcBorders>
            <w:shd w:val="clear" w:color="auto" w:fill="auto"/>
            <w:vAlign w:val="center"/>
            <w:hideMark/>
          </w:tcPr>
          <w:p w14:paraId="75621E49"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Outros</w:t>
            </w:r>
          </w:p>
        </w:tc>
        <w:tc>
          <w:tcPr>
            <w:tcW w:w="404" w:type="pct"/>
            <w:tcBorders>
              <w:top w:val="nil"/>
              <w:left w:val="nil"/>
              <w:bottom w:val="nil"/>
              <w:right w:val="nil"/>
            </w:tcBorders>
            <w:shd w:val="clear" w:color="auto" w:fill="auto"/>
            <w:noWrap/>
            <w:vAlign w:val="center"/>
            <w:hideMark/>
          </w:tcPr>
          <w:p w14:paraId="5030CACF" w14:textId="3735C9AA"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4.962.972</w:t>
            </w:r>
          </w:p>
        </w:tc>
        <w:tc>
          <w:tcPr>
            <w:tcW w:w="410" w:type="pct"/>
            <w:tcBorders>
              <w:top w:val="nil"/>
              <w:left w:val="nil"/>
              <w:bottom w:val="nil"/>
              <w:right w:val="nil"/>
            </w:tcBorders>
            <w:shd w:val="clear" w:color="auto" w:fill="auto"/>
            <w:noWrap/>
            <w:vAlign w:val="center"/>
          </w:tcPr>
          <w:p w14:paraId="7AE13D70" w14:textId="16271669"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768.884</w:t>
            </w:r>
          </w:p>
        </w:tc>
        <w:tc>
          <w:tcPr>
            <w:tcW w:w="423" w:type="pct"/>
            <w:tcBorders>
              <w:top w:val="nil"/>
              <w:left w:val="nil"/>
              <w:bottom w:val="nil"/>
              <w:right w:val="nil"/>
            </w:tcBorders>
            <w:shd w:val="clear" w:color="auto" w:fill="auto"/>
            <w:vAlign w:val="center"/>
          </w:tcPr>
          <w:p w14:paraId="2DFEF484" w14:textId="74937B7B"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(294.714)</w:t>
            </w:r>
          </w:p>
        </w:tc>
        <w:tc>
          <w:tcPr>
            <w:tcW w:w="404" w:type="pct"/>
            <w:tcBorders>
              <w:top w:val="nil"/>
              <w:left w:val="nil"/>
              <w:bottom w:val="nil"/>
              <w:right w:val="nil"/>
            </w:tcBorders>
            <w:shd w:val="clear" w:color="auto" w:fill="auto"/>
            <w:noWrap/>
            <w:vAlign w:val="center"/>
          </w:tcPr>
          <w:p w14:paraId="28F72520" w14:textId="58F50682"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5.437.142</w:t>
            </w:r>
          </w:p>
        </w:tc>
        <w:tc>
          <w:tcPr>
            <w:tcW w:w="404" w:type="pct"/>
            <w:tcBorders>
              <w:top w:val="nil"/>
              <w:left w:val="nil"/>
              <w:bottom w:val="nil"/>
              <w:right w:val="nil"/>
            </w:tcBorders>
            <w:shd w:val="clear" w:color="auto" w:fill="auto"/>
            <w:noWrap/>
            <w:vAlign w:val="center"/>
            <w:hideMark/>
          </w:tcPr>
          <w:p w14:paraId="2C5806CE" w14:textId="27F95D39"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4.962.979</w:t>
            </w:r>
          </w:p>
        </w:tc>
        <w:tc>
          <w:tcPr>
            <w:tcW w:w="410" w:type="pct"/>
            <w:tcBorders>
              <w:top w:val="nil"/>
              <w:left w:val="nil"/>
              <w:bottom w:val="nil"/>
              <w:right w:val="nil"/>
            </w:tcBorders>
            <w:shd w:val="clear" w:color="auto" w:fill="auto"/>
            <w:noWrap/>
            <w:vAlign w:val="center"/>
          </w:tcPr>
          <w:p w14:paraId="4809DFEE" w14:textId="6059DCCF"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770.890</w:t>
            </w:r>
          </w:p>
        </w:tc>
        <w:tc>
          <w:tcPr>
            <w:tcW w:w="423" w:type="pct"/>
            <w:tcBorders>
              <w:top w:val="nil"/>
              <w:left w:val="nil"/>
              <w:bottom w:val="nil"/>
              <w:right w:val="nil"/>
            </w:tcBorders>
            <w:shd w:val="clear" w:color="auto" w:fill="auto"/>
            <w:vAlign w:val="center"/>
          </w:tcPr>
          <w:p w14:paraId="3DE09829" w14:textId="7278E8B5"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(294.714)</w:t>
            </w:r>
          </w:p>
        </w:tc>
        <w:tc>
          <w:tcPr>
            <w:tcW w:w="404" w:type="pct"/>
            <w:tcBorders>
              <w:top w:val="nil"/>
              <w:left w:val="nil"/>
              <w:bottom w:val="nil"/>
              <w:right w:val="nil"/>
            </w:tcBorders>
            <w:shd w:val="clear" w:color="auto" w:fill="auto"/>
            <w:noWrap/>
            <w:vAlign w:val="center"/>
          </w:tcPr>
          <w:p w14:paraId="6C3A298B" w14:textId="23845D18"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5.439.155</w:t>
            </w:r>
          </w:p>
        </w:tc>
      </w:tr>
      <w:tr w:rsidR="00617109" w:rsidRPr="00A33766" w14:paraId="5564D2D9" w14:textId="77777777" w:rsidTr="00FF4346">
        <w:trPr>
          <w:trHeight w:val="283"/>
        </w:trPr>
        <w:tc>
          <w:tcPr>
            <w:tcW w:w="1717" w:type="pct"/>
            <w:tcBorders>
              <w:top w:val="nil"/>
              <w:left w:val="nil"/>
              <w:bottom w:val="nil"/>
              <w:right w:val="nil"/>
            </w:tcBorders>
            <w:shd w:val="clear" w:color="auto" w:fill="auto"/>
            <w:vAlign w:val="center"/>
            <w:hideMark/>
          </w:tcPr>
          <w:p w14:paraId="7BCD85DF"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Prejuízo fiscal e base negativa de CSLL</w:t>
            </w:r>
          </w:p>
        </w:tc>
        <w:tc>
          <w:tcPr>
            <w:tcW w:w="404" w:type="pct"/>
            <w:tcBorders>
              <w:top w:val="nil"/>
              <w:left w:val="nil"/>
              <w:bottom w:val="nil"/>
              <w:right w:val="nil"/>
            </w:tcBorders>
            <w:shd w:val="clear" w:color="auto" w:fill="auto"/>
            <w:noWrap/>
            <w:vAlign w:val="center"/>
            <w:hideMark/>
          </w:tcPr>
          <w:p w14:paraId="1695C954" w14:textId="2DF917A5"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4.334.768</w:t>
            </w:r>
          </w:p>
        </w:tc>
        <w:tc>
          <w:tcPr>
            <w:tcW w:w="410" w:type="pct"/>
            <w:tcBorders>
              <w:top w:val="nil"/>
              <w:left w:val="nil"/>
              <w:bottom w:val="nil"/>
              <w:right w:val="nil"/>
            </w:tcBorders>
            <w:shd w:val="clear" w:color="auto" w:fill="auto"/>
            <w:noWrap/>
            <w:vAlign w:val="center"/>
          </w:tcPr>
          <w:p w14:paraId="0B59652C" w14:textId="4B078790"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w:t>
            </w:r>
          </w:p>
        </w:tc>
        <w:tc>
          <w:tcPr>
            <w:tcW w:w="423" w:type="pct"/>
            <w:tcBorders>
              <w:top w:val="nil"/>
              <w:left w:val="nil"/>
              <w:bottom w:val="nil"/>
              <w:right w:val="nil"/>
            </w:tcBorders>
            <w:shd w:val="clear" w:color="auto" w:fill="auto"/>
            <w:noWrap/>
            <w:vAlign w:val="center"/>
          </w:tcPr>
          <w:p w14:paraId="7F8B11A9" w14:textId="7AE86D16"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(1.141.646)</w:t>
            </w:r>
          </w:p>
        </w:tc>
        <w:tc>
          <w:tcPr>
            <w:tcW w:w="404" w:type="pct"/>
            <w:tcBorders>
              <w:top w:val="nil"/>
              <w:left w:val="nil"/>
              <w:bottom w:val="nil"/>
              <w:right w:val="nil"/>
            </w:tcBorders>
            <w:shd w:val="clear" w:color="auto" w:fill="auto"/>
            <w:noWrap/>
            <w:vAlign w:val="center"/>
          </w:tcPr>
          <w:p w14:paraId="153187F1" w14:textId="41ADD3A9"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3.193.122</w:t>
            </w:r>
          </w:p>
        </w:tc>
        <w:tc>
          <w:tcPr>
            <w:tcW w:w="404" w:type="pct"/>
            <w:tcBorders>
              <w:top w:val="nil"/>
              <w:left w:val="nil"/>
              <w:bottom w:val="nil"/>
              <w:right w:val="nil"/>
            </w:tcBorders>
            <w:shd w:val="clear" w:color="auto" w:fill="auto"/>
            <w:noWrap/>
            <w:vAlign w:val="center"/>
            <w:hideMark/>
          </w:tcPr>
          <w:p w14:paraId="2838F2A8" w14:textId="7B9A2367"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4.334.768</w:t>
            </w:r>
          </w:p>
        </w:tc>
        <w:tc>
          <w:tcPr>
            <w:tcW w:w="410" w:type="pct"/>
            <w:tcBorders>
              <w:top w:val="nil"/>
              <w:left w:val="nil"/>
              <w:bottom w:val="nil"/>
              <w:right w:val="nil"/>
            </w:tcBorders>
            <w:shd w:val="clear" w:color="auto" w:fill="auto"/>
            <w:noWrap/>
            <w:vAlign w:val="center"/>
          </w:tcPr>
          <w:p w14:paraId="2BC1E329" w14:textId="27F42694"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w:t>
            </w:r>
          </w:p>
        </w:tc>
        <w:tc>
          <w:tcPr>
            <w:tcW w:w="423" w:type="pct"/>
            <w:tcBorders>
              <w:top w:val="nil"/>
              <w:left w:val="nil"/>
              <w:bottom w:val="nil"/>
              <w:right w:val="nil"/>
            </w:tcBorders>
            <w:shd w:val="clear" w:color="auto" w:fill="auto"/>
            <w:noWrap/>
            <w:vAlign w:val="center"/>
          </w:tcPr>
          <w:p w14:paraId="4834645A" w14:textId="5C78D2D5"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(1.141.646)</w:t>
            </w:r>
          </w:p>
        </w:tc>
        <w:tc>
          <w:tcPr>
            <w:tcW w:w="404" w:type="pct"/>
            <w:tcBorders>
              <w:top w:val="nil"/>
              <w:left w:val="nil"/>
              <w:bottom w:val="nil"/>
              <w:right w:val="nil"/>
            </w:tcBorders>
            <w:shd w:val="clear" w:color="auto" w:fill="auto"/>
            <w:noWrap/>
            <w:vAlign w:val="center"/>
          </w:tcPr>
          <w:p w14:paraId="1CFA9CFA" w14:textId="223D11C5"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3.193.122</w:t>
            </w:r>
          </w:p>
        </w:tc>
      </w:tr>
      <w:tr w:rsidR="00617109" w:rsidRPr="00A33766" w14:paraId="204F55BA" w14:textId="77777777" w:rsidTr="00FF4346">
        <w:trPr>
          <w:trHeight w:val="283"/>
        </w:trPr>
        <w:tc>
          <w:tcPr>
            <w:tcW w:w="1717" w:type="pct"/>
            <w:tcBorders>
              <w:top w:val="nil"/>
              <w:left w:val="nil"/>
              <w:bottom w:val="nil"/>
              <w:right w:val="nil"/>
            </w:tcBorders>
            <w:shd w:val="clear" w:color="auto" w:fill="auto"/>
            <w:vAlign w:val="center"/>
            <w:hideMark/>
          </w:tcPr>
          <w:p w14:paraId="17F9B93C"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Prejuízo fiscal/Base negativa CSLL a realizar</w:t>
            </w:r>
          </w:p>
        </w:tc>
        <w:tc>
          <w:tcPr>
            <w:tcW w:w="404" w:type="pct"/>
            <w:tcBorders>
              <w:top w:val="nil"/>
              <w:left w:val="nil"/>
              <w:bottom w:val="nil"/>
              <w:right w:val="nil"/>
            </w:tcBorders>
            <w:shd w:val="clear" w:color="auto" w:fill="auto"/>
            <w:noWrap/>
            <w:vAlign w:val="center"/>
            <w:hideMark/>
          </w:tcPr>
          <w:p w14:paraId="6243E393" w14:textId="2F3A8DFB"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4.334.768</w:t>
            </w:r>
          </w:p>
        </w:tc>
        <w:tc>
          <w:tcPr>
            <w:tcW w:w="410" w:type="pct"/>
            <w:tcBorders>
              <w:top w:val="nil"/>
              <w:left w:val="nil"/>
              <w:bottom w:val="nil"/>
              <w:right w:val="nil"/>
            </w:tcBorders>
            <w:shd w:val="clear" w:color="auto" w:fill="auto"/>
            <w:noWrap/>
            <w:vAlign w:val="center"/>
          </w:tcPr>
          <w:p w14:paraId="617E61C1" w14:textId="449DDF2C"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487923C5" w14:textId="77878096"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(1.141.646)</w:t>
            </w:r>
          </w:p>
        </w:tc>
        <w:tc>
          <w:tcPr>
            <w:tcW w:w="404" w:type="pct"/>
            <w:tcBorders>
              <w:top w:val="nil"/>
              <w:left w:val="nil"/>
              <w:bottom w:val="nil"/>
              <w:right w:val="nil"/>
            </w:tcBorders>
            <w:shd w:val="clear" w:color="auto" w:fill="auto"/>
            <w:noWrap/>
            <w:vAlign w:val="center"/>
          </w:tcPr>
          <w:p w14:paraId="6A5E23AA" w14:textId="245CE006"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3.193.122</w:t>
            </w:r>
          </w:p>
        </w:tc>
        <w:tc>
          <w:tcPr>
            <w:tcW w:w="404" w:type="pct"/>
            <w:tcBorders>
              <w:top w:val="nil"/>
              <w:left w:val="nil"/>
              <w:bottom w:val="nil"/>
              <w:right w:val="nil"/>
            </w:tcBorders>
            <w:shd w:val="clear" w:color="auto" w:fill="auto"/>
            <w:noWrap/>
            <w:vAlign w:val="center"/>
            <w:hideMark/>
          </w:tcPr>
          <w:p w14:paraId="388B2E90" w14:textId="20AD20A6"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4.334.768</w:t>
            </w:r>
          </w:p>
        </w:tc>
        <w:tc>
          <w:tcPr>
            <w:tcW w:w="410" w:type="pct"/>
            <w:tcBorders>
              <w:top w:val="nil"/>
              <w:left w:val="nil"/>
              <w:bottom w:val="nil"/>
              <w:right w:val="nil"/>
            </w:tcBorders>
            <w:shd w:val="clear" w:color="auto" w:fill="auto"/>
            <w:noWrap/>
            <w:vAlign w:val="center"/>
          </w:tcPr>
          <w:p w14:paraId="4E86232D" w14:textId="1BDF649F"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0B005F86" w14:textId="6423E820"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(1.141.646)</w:t>
            </w:r>
          </w:p>
        </w:tc>
        <w:tc>
          <w:tcPr>
            <w:tcW w:w="404" w:type="pct"/>
            <w:tcBorders>
              <w:top w:val="nil"/>
              <w:left w:val="nil"/>
              <w:bottom w:val="nil"/>
              <w:right w:val="nil"/>
            </w:tcBorders>
            <w:shd w:val="clear" w:color="auto" w:fill="auto"/>
            <w:noWrap/>
            <w:vAlign w:val="center"/>
          </w:tcPr>
          <w:p w14:paraId="285D59EB" w14:textId="508CEE96"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3.193.122</w:t>
            </w:r>
          </w:p>
        </w:tc>
      </w:tr>
      <w:tr w:rsidR="00617109" w:rsidRPr="00A33766" w14:paraId="5D8F3E8A" w14:textId="77777777" w:rsidTr="00FF4346">
        <w:trPr>
          <w:trHeight w:val="283"/>
        </w:trPr>
        <w:tc>
          <w:tcPr>
            <w:tcW w:w="1717" w:type="pct"/>
            <w:tcBorders>
              <w:top w:val="nil"/>
              <w:left w:val="nil"/>
              <w:bottom w:val="nil"/>
              <w:right w:val="nil"/>
            </w:tcBorders>
            <w:shd w:val="clear" w:color="auto" w:fill="auto"/>
            <w:vAlign w:val="center"/>
            <w:hideMark/>
          </w:tcPr>
          <w:p w14:paraId="1E9893BE"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dos créditos com impacto no resultado</w:t>
            </w:r>
          </w:p>
        </w:tc>
        <w:tc>
          <w:tcPr>
            <w:tcW w:w="404" w:type="pct"/>
            <w:tcBorders>
              <w:top w:val="nil"/>
              <w:left w:val="nil"/>
              <w:bottom w:val="nil"/>
              <w:right w:val="nil"/>
            </w:tcBorders>
            <w:shd w:val="clear" w:color="auto" w:fill="auto"/>
            <w:noWrap/>
            <w:vAlign w:val="center"/>
            <w:hideMark/>
          </w:tcPr>
          <w:p w14:paraId="5E68AB53" w14:textId="7B978DED"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54.456.761</w:t>
            </w:r>
          </w:p>
        </w:tc>
        <w:tc>
          <w:tcPr>
            <w:tcW w:w="410" w:type="pct"/>
            <w:tcBorders>
              <w:top w:val="nil"/>
              <w:left w:val="nil"/>
              <w:bottom w:val="nil"/>
              <w:right w:val="nil"/>
            </w:tcBorders>
            <w:shd w:val="clear" w:color="auto" w:fill="auto"/>
            <w:noWrap/>
            <w:vAlign w:val="center"/>
          </w:tcPr>
          <w:p w14:paraId="70817E0B" w14:textId="1A0AFE74"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9.221.373</w:t>
            </w:r>
          </w:p>
        </w:tc>
        <w:tc>
          <w:tcPr>
            <w:tcW w:w="423" w:type="pct"/>
            <w:tcBorders>
              <w:top w:val="nil"/>
              <w:left w:val="nil"/>
              <w:bottom w:val="nil"/>
              <w:right w:val="nil"/>
            </w:tcBorders>
            <w:shd w:val="clear" w:color="auto" w:fill="auto"/>
            <w:noWrap/>
            <w:vAlign w:val="center"/>
          </w:tcPr>
          <w:p w14:paraId="32CD659B" w14:textId="32D06B6D"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(7.597.427)</w:t>
            </w:r>
          </w:p>
        </w:tc>
        <w:tc>
          <w:tcPr>
            <w:tcW w:w="404" w:type="pct"/>
            <w:tcBorders>
              <w:top w:val="nil"/>
              <w:left w:val="nil"/>
              <w:bottom w:val="nil"/>
              <w:right w:val="nil"/>
            </w:tcBorders>
            <w:shd w:val="clear" w:color="auto" w:fill="auto"/>
            <w:noWrap/>
            <w:vAlign w:val="center"/>
          </w:tcPr>
          <w:p w14:paraId="0CBFBDA9" w14:textId="00B612C9"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56.080.707</w:t>
            </w:r>
          </w:p>
        </w:tc>
        <w:tc>
          <w:tcPr>
            <w:tcW w:w="404" w:type="pct"/>
            <w:tcBorders>
              <w:top w:val="nil"/>
              <w:left w:val="nil"/>
              <w:bottom w:val="nil"/>
              <w:right w:val="nil"/>
            </w:tcBorders>
            <w:shd w:val="clear" w:color="auto" w:fill="auto"/>
            <w:noWrap/>
            <w:vAlign w:val="center"/>
            <w:hideMark/>
          </w:tcPr>
          <w:p w14:paraId="32DBA169" w14:textId="65596401"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54.456.768</w:t>
            </w:r>
          </w:p>
        </w:tc>
        <w:tc>
          <w:tcPr>
            <w:tcW w:w="410" w:type="pct"/>
            <w:tcBorders>
              <w:top w:val="nil"/>
              <w:left w:val="nil"/>
              <w:bottom w:val="nil"/>
              <w:right w:val="nil"/>
            </w:tcBorders>
            <w:shd w:val="clear" w:color="auto" w:fill="auto"/>
            <w:noWrap/>
            <w:vAlign w:val="center"/>
          </w:tcPr>
          <w:p w14:paraId="2ECC08A5" w14:textId="49A9DDF6"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9.223.379</w:t>
            </w:r>
          </w:p>
        </w:tc>
        <w:tc>
          <w:tcPr>
            <w:tcW w:w="423" w:type="pct"/>
            <w:tcBorders>
              <w:top w:val="nil"/>
              <w:left w:val="nil"/>
              <w:bottom w:val="nil"/>
              <w:right w:val="nil"/>
            </w:tcBorders>
            <w:shd w:val="clear" w:color="auto" w:fill="auto"/>
            <w:noWrap/>
            <w:vAlign w:val="center"/>
          </w:tcPr>
          <w:p w14:paraId="64747110" w14:textId="14B50EAC"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(7.597.427)</w:t>
            </w:r>
          </w:p>
        </w:tc>
        <w:tc>
          <w:tcPr>
            <w:tcW w:w="404" w:type="pct"/>
            <w:tcBorders>
              <w:top w:val="nil"/>
              <w:left w:val="nil"/>
              <w:bottom w:val="nil"/>
              <w:right w:val="nil"/>
            </w:tcBorders>
            <w:shd w:val="clear" w:color="auto" w:fill="auto"/>
            <w:noWrap/>
            <w:vAlign w:val="center"/>
          </w:tcPr>
          <w:p w14:paraId="62226BD2" w14:textId="010089F8"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56.082.720</w:t>
            </w:r>
          </w:p>
        </w:tc>
      </w:tr>
      <w:tr w:rsidR="00617109" w:rsidRPr="00A33766" w14:paraId="53800078" w14:textId="77777777" w:rsidTr="00FF4346">
        <w:trPr>
          <w:trHeight w:val="283"/>
        </w:trPr>
        <w:tc>
          <w:tcPr>
            <w:tcW w:w="1717" w:type="pct"/>
            <w:tcBorders>
              <w:top w:val="nil"/>
              <w:left w:val="nil"/>
              <w:bottom w:val="nil"/>
              <w:right w:val="nil"/>
            </w:tcBorders>
            <w:shd w:val="clear" w:color="auto" w:fill="auto"/>
            <w:vAlign w:val="center"/>
            <w:hideMark/>
          </w:tcPr>
          <w:p w14:paraId="5B5F1982"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Passivos atuariais</w:t>
            </w:r>
          </w:p>
        </w:tc>
        <w:tc>
          <w:tcPr>
            <w:tcW w:w="404" w:type="pct"/>
            <w:tcBorders>
              <w:top w:val="nil"/>
              <w:left w:val="nil"/>
              <w:bottom w:val="nil"/>
              <w:right w:val="nil"/>
            </w:tcBorders>
            <w:shd w:val="clear" w:color="auto" w:fill="auto"/>
            <w:noWrap/>
            <w:vAlign w:val="center"/>
            <w:hideMark/>
          </w:tcPr>
          <w:p w14:paraId="6A628736" w14:textId="4FA08222"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6.314.306</w:t>
            </w:r>
          </w:p>
        </w:tc>
        <w:tc>
          <w:tcPr>
            <w:tcW w:w="410" w:type="pct"/>
            <w:tcBorders>
              <w:top w:val="nil"/>
              <w:left w:val="nil"/>
              <w:bottom w:val="nil"/>
              <w:right w:val="nil"/>
            </w:tcBorders>
            <w:shd w:val="clear" w:color="auto" w:fill="auto"/>
            <w:noWrap/>
            <w:vAlign w:val="center"/>
          </w:tcPr>
          <w:p w14:paraId="60EA0D8A" w14:textId="63FB68DB"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0E1648B1" w14:textId="3EF29079"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(15.162)</w:t>
            </w:r>
          </w:p>
        </w:tc>
        <w:tc>
          <w:tcPr>
            <w:tcW w:w="404" w:type="pct"/>
            <w:tcBorders>
              <w:top w:val="nil"/>
              <w:left w:val="nil"/>
              <w:bottom w:val="nil"/>
              <w:right w:val="nil"/>
            </w:tcBorders>
            <w:shd w:val="clear" w:color="auto" w:fill="auto"/>
            <w:noWrap/>
            <w:vAlign w:val="center"/>
          </w:tcPr>
          <w:p w14:paraId="07EF74D0" w14:textId="7A9D3B02"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6.299.144</w:t>
            </w:r>
          </w:p>
        </w:tc>
        <w:tc>
          <w:tcPr>
            <w:tcW w:w="404" w:type="pct"/>
            <w:tcBorders>
              <w:top w:val="nil"/>
              <w:left w:val="nil"/>
              <w:bottom w:val="nil"/>
              <w:right w:val="nil"/>
            </w:tcBorders>
            <w:shd w:val="clear" w:color="auto" w:fill="auto"/>
            <w:noWrap/>
            <w:vAlign w:val="center"/>
            <w:hideMark/>
          </w:tcPr>
          <w:p w14:paraId="0861001F" w14:textId="1020C365"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6.314.306</w:t>
            </w:r>
          </w:p>
        </w:tc>
        <w:tc>
          <w:tcPr>
            <w:tcW w:w="410" w:type="pct"/>
            <w:tcBorders>
              <w:top w:val="nil"/>
              <w:left w:val="nil"/>
              <w:bottom w:val="nil"/>
              <w:right w:val="nil"/>
            </w:tcBorders>
            <w:shd w:val="clear" w:color="auto" w:fill="auto"/>
            <w:noWrap/>
            <w:vAlign w:val="center"/>
          </w:tcPr>
          <w:p w14:paraId="0C4E4D5A" w14:textId="0CB9AC63"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32FA2FFE" w14:textId="4A171BC5" w:rsidR="00617109" w:rsidRPr="00FF4346" w:rsidRDefault="00617109" w:rsidP="00617109">
            <w:pPr>
              <w:jc w:val="right"/>
              <w:rPr>
                <w:rFonts w:ascii="CAIXA Std Book" w:eastAsia="Times New Roman" w:hAnsi="CAIXA Std Book" w:cs="Times New Roman"/>
                <w:color w:val="005CA9"/>
                <w:sz w:val="20"/>
                <w:szCs w:val="20"/>
              </w:rPr>
            </w:pPr>
            <w:r>
              <w:rPr>
                <w:rFonts w:ascii="CAIXA Std Book" w:hAnsi="CAIXA Std Book" w:cs="Arial"/>
                <w:color w:val="005CA9"/>
                <w:sz w:val="18"/>
                <w:szCs w:val="18"/>
              </w:rPr>
              <w:t>(15.162)</w:t>
            </w:r>
          </w:p>
        </w:tc>
        <w:tc>
          <w:tcPr>
            <w:tcW w:w="404" w:type="pct"/>
            <w:tcBorders>
              <w:top w:val="nil"/>
              <w:left w:val="nil"/>
              <w:bottom w:val="nil"/>
              <w:right w:val="nil"/>
            </w:tcBorders>
            <w:shd w:val="clear" w:color="auto" w:fill="auto"/>
            <w:noWrap/>
            <w:vAlign w:val="center"/>
          </w:tcPr>
          <w:p w14:paraId="430FE2E3" w14:textId="739136AF"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6.299.144</w:t>
            </w:r>
          </w:p>
        </w:tc>
      </w:tr>
      <w:tr w:rsidR="00617109" w:rsidRPr="00A33766" w14:paraId="0C1E6C59" w14:textId="77777777" w:rsidTr="00FF4346">
        <w:trPr>
          <w:trHeight w:val="283"/>
        </w:trPr>
        <w:tc>
          <w:tcPr>
            <w:tcW w:w="1717" w:type="pct"/>
            <w:tcBorders>
              <w:top w:val="nil"/>
              <w:left w:val="nil"/>
              <w:bottom w:val="nil"/>
              <w:right w:val="nil"/>
            </w:tcBorders>
            <w:shd w:val="clear" w:color="auto" w:fill="auto"/>
            <w:vAlign w:val="center"/>
            <w:hideMark/>
          </w:tcPr>
          <w:p w14:paraId="709EEBE9" w14:textId="77777777" w:rsidR="00617109" w:rsidRPr="00FF4346" w:rsidRDefault="00617109" w:rsidP="00617109">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Outros</w:t>
            </w:r>
          </w:p>
        </w:tc>
        <w:tc>
          <w:tcPr>
            <w:tcW w:w="404" w:type="pct"/>
            <w:tcBorders>
              <w:top w:val="nil"/>
              <w:left w:val="nil"/>
              <w:bottom w:val="nil"/>
              <w:right w:val="nil"/>
            </w:tcBorders>
            <w:shd w:val="clear" w:color="auto" w:fill="auto"/>
            <w:noWrap/>
            <w:vAlign w:val="center"/>
            <w:hideMark/>
          </w:tcPr>
          <w:p w14:paraId="1BCD2E33" w14:textId="1DA4D270"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915.522</w:t>
            </w:r>
          </w:p>
        </w:tc>
        <w:tc>
          <w:tcPr>
            <w:tcW w:w="410" w:type="pct"/>
            <w:tcBorders>
              <w:top w:val="nil"/>
              <w:left w:val="nil"/>
              <w:bottom w:val="nil"/>
              <w:right w:val="nil"/>
            </w:tcBorders>
            <w:shd w:val="clear" w:color="auto" w:fill="auto"/>
            <w:noWrap/>
            <w:vAlign w:val="center"/>
          </w:tcPr>
          <w:p w14:paraId="29722B60" w14:textId="7CEDBFBF"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1BF6DB58" w14:textId="47E204B0"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68496DCC" w14:textId="44DAA8FB" w:rsidR="00617109" w:rsidRPr="00FF4346" w:rsidRDefault="00617109" w:rsidP="00617109">
            <w:pPr>
              <w:jc w:val="right"/>
              <w:rPr>
                <w:rFonts w:ascii="CAIXA Std Book" w:eastAsia="Times New Roman" w:hAnsi="CAIXA Std Book" w:cs="Arial"/>
                <w:color w:val="005CA9"/>
                <w:sz w:val="18"/>
                <w:szCs w:val="18"/>
              </w:rPr>
            </w:pPr>
            <w:r>
              <w:rPr>
                <w:rFonts w:ascii="CAIXA Std Book" w:hAnsi="CAIXA Std Book" w:cs="Arial"/>
                <w:color w:val="005CA9"/>
                <w:sz w:val="18"/>
                <w:szCs w:val="18"/>
              </w:rPr>
              <w:t>915.522</w:t>
            </w:r>
          </w:p>
        </w:tc>
        <w:tc>
          <w:tcPr>
            <w:tcW w:w="404" w:type="pct"/>
            <w:tcBorders>
              <w:top w:val="nil"/>
              <w:left w:val="nil"/>
              <w:bottom w:val="nil"/>
              <w:right w:val="nil"/>
            </w:tcBorders>
            <w:shd w:val="clear" w:color="auto" w:fill="auto"/>
            <w:noWrap/>
            <w:vAlign w:val="center"/>
            <w:hideMark/>
          </w:tcPr>
          <w:p w14:paraId="6406191A" w14:textId="6DA9B086" w:rsidR="00617109" w:rsidRPr="00FF4346" w:rsidRDefault="00617109" w:rsidP="00617109">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915.522</w:t>
            </w:r>
          </w:p>
        </w:tc>
        <w:tc>
          <w:tcPr>
            <w:tcW w:w="410" w:type="pct"/>
            <w:tcBorders>
              <w:top w:val="nil"/>
              <w:left w:val="nil"/>
              <w:bottom w:val="nil"/>
              <w:right w:val="nil"/>
            </w:tcBorders>
            <w:shd w:val="clear" w:color="auto" w:fill="auto"/>
            <w:noWrap/>
            <w:vAlign w:val="center"/>
          </w:tcPr>
          <w:p w14:paraId="58FDED29" w14:textId="24EBBF21"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423" w:type="pct"/>
            <w:tcBorders>
              <w:top w:val="nil"/>
              <w:left w:val="nil"/>
              <w:bottom w:val="nil"/>
              <w:right w:val="nil"/>
            </w:tcBorders>
            <w:shd w:val="clear" w:color="auto" w:fill="auto"/>
            <w:vAlign w:val="center"/>
          </w:tcPr>
          <w:p w14:paraId="20801B42" w14:textId="031009AB" w:rsidR="00617109" w:rsidRPr="00FF4346" w:rsidRDefault="00617109" w:rsidP="00617109">
            <w:pPr>
              <w:jc w:val="center"/>
              <w:rPr>
                <w:rFonts w:ascii="CAIXA Std Book" w:eastAsia="Times New Roman" w:hAnsi="CAIXA Std Book" w:cs="Times New Roman"/>
                <w:color w:val="005CA9"/>
                <w:sz w:val="20"/>
                <w:szCs w:val="20"/>
              </w:rPr>
            </w:pPr>
            <w:r>
              <w:rPr>
                <w:rFonts w:ascii="CAIXA Std Book" w:hAnsi="CAIXA Std Book" w:cs="Arial"/>
                <w:color w:val="005CA9"/>
                <w:sz w:val="18"/>
                <w:szCs w:val="18"/>
              </w:rPr>
              <w:t>-</w:t>
            </w:r>
          </w:p>
        </w:tc>
        <w:tc>
          <w:tcPr>
            <w:tcW w:w="404" w:type="pct"/>
            <w:tcBorders>
              <w:top w:val="nil"/>
              <w:left w:val="nil"/>
              <w:bottom w:val="nil"/>
              <w:right w:val="nil"/>
            </w:tcBorders>
            <w:shd w:val="clear" w:color="auto" w:fill="auto"/>
            <w:noWrap/>
            <w:vAlign w:val="center"/>
          </w:tcPr>
          <w:p w14:paraId="6DA272E3" w14:textId="194F8CD6" w:rsidR="00617109" w:rsidRPr="00FF4346" w:rsidRDefault="00617109" w:rsidP="00617109">
            <w:pPr>
              <w:jc w:val="center"/>
              <w:rPr>
                <w:rFonts w:ascii="CAIXA Std Book" w:eastAsia="Times New Roman" w:hAnsi="CAIXA Std Book" w:cs="Arial"/>
                <w:color w:val="005CA9"/>
                <w:sz w:val="18"/>
                <w:szCs w:val="18"/>
              </w:rPr>
            </w:pPr>
            <w:r>
              <w:rPr>
                <w:rFonts w:ascii="CAIXA Std Book" w:hAnsi="CAIXA Std Book" w:cs="Arial"/>
                <w:color w:val="005CA9"/>
                <w:sz w:val="18"/>
                <w:szCs w:val="18"/>
              </w:rPr>
              <w:t>915.522</w:t>
            </w:r>
          </w:p>
        </w:tc>
      </w:tr>
      <w:tr w:rsidR="00617109" w:rsidRPr="00A33766" w14:paraId="59C1A2AC" w14:textId="77777777" w:rsidTr="00FF4346">
        <w:trPr>
          <w:trHeight w:val="283"/>
        </w:trPr>
        <w:tc>
          <w:tcPr>
            <w:tcW w:w="1717" w:type="pct"/>
            <w:tcBorders>
              <w:top w:val="single" w:sz="4" w:space="0" w:color="F39200"/>
              <w:left w:val="nil"/>
              <w:bottom w:val="single" w:sz="4" w:space="0" w:color="F39200"/>
              <w:right w:val="nil"/>
            </w:tcBorders>
            <w:shd w:val="clear" w:color="auto" w:fill="auto"/>
            <w:vAlign w:val="center"/>
            <w:hideMark/>
          </w:tcPr>
          <w:p w14:paraId="062F4BCE"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dos créditos com impacto no PL</w:t>
            </w:r>
          </w:p>
        </w:tc>
        <w:tc>
          <w:tcPr>
            <w:tcW w:w="404" w:type="pct"/>
            <w:tcBorders>
              <w:top w:val="single" w:sz="4" w:space="0" w:color="F39200"/>
              <w:left w:val="nil"/>
              <w:bottom w:val="single" w:sz="4" w:space="0" w:color="F39200"/>
              <w:right w:val="nil"/>
            </w:tcBorders>
            <w:shd w:val="clear" w:color="auto" w:fill="auto"/>
            <w:noWrap/>
            <w:vAlign w:val="center"/>
            <w:hideMark/>
          </w:tcPr>
          <w:p w14:paraId="5F7BDD86" w14:textId="7C8F3DCB"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7.229.828</w:t>
            </w:r>
          </w:p>
        </w:tc>
        <w:tc>
          <w:tcPr>
            <w:tcW w:w="410" w:type="pct"/>
            <w:tcBorders>
              <w:top w:val="single" w:sz="4" w:space="0" w:color="F39200"/>
              <w:left w:val="nil"/>
              <w:bottom w:val="single" w:sz="4" w:space="0" w:color="F39200"/>
              <w:right w:val="nil"/>
            </w:tcBorders>
            <w:shd w:val="clear" w:color="auto" w:fill="auto"/>
            <w:noWrap/>
            <w:vAlign w:val="center"/>
          </w:tcPr>
          <w:p w14:paraId="2DEE46A8" w14:textId="1391853F"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w:t>
            </w:r>
          </w:p>
        </w:tc>
        <w:tc>
          <w:tcPr>
            <w:tcW w:w="423" w:type="pct"/>
            <w:tcBorders>
              <w:top w:val="single" w:sz="4" w:space="0" w:color="F39200"/>
              <w:left w:val="nil"/>
              <w:bottom w:val="single" w:sz="4" w:space="0" w:color="F39200"/>
              <w:right w:val="nil"/>
            </w:tcBorders>
            <w:shd w:val="clear" w:color="auto" w:fill="auto"/>
            <w:noWrap/>
            <w:vAlign w:val="center"/>
          </w:tcPr>
          <w:p w14:paraId="291960DE" w14:textId="50B1701E" w:rsidR="00617109" w:rsidRPr="00FF4346" w:rsidRDefault="00617109" w:rsidP="004F758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(15.162)</w:t>
            </w:r>
          </w:p>
        </w:tc>
        <w:tc>
          <w:tcPr>
            <w:tcW w:w="404" w:type="pct"/>
            <w:tcBorders>
              <w:top w:val="single" w:sz="4" w:space="0" w:color="F39200"/>
              <w:left w:val="nil"/>
              <w:bottom w:val="single" w:sz="4" w:space="0" w:color="F39200"/>
              <w:right w:val="nil"/>
            </w:tcBorders>
            <w:shd w:val="clear" w:color="auto" w:fill="auto"/>
            <w:noWrap/>
            <w:vAlign w:val="center"/>
          </w:tcPr>
          <w:p w14:paraId="4DA5E337" w14:textId="42270B83"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7.214.666</w:t>
            </w:r>
          </w:p>
        </w:tc>
        <w:tc>
          <w:tcPr>
            <w:tcW w:w="404" w:type="pct"/>
            <w:tcBorders>
              <w:top w:val="single" w:sz="4" w:space="0" w:color="F39200"/>
              <w:left w:val="nil"/>
              <w:bottom w:val="single" w:sz="4" w:space="0" w:color="F39200"/>
              <w:right w:val="nil"/>
            </w:tcBorders>
            <w:shd w:val="clear" w:color="auto" w:fill="auto"/>
            <w:noWrap/>
            <w:vAlign w:val="center"/>
            <w:hideMark/>
          </w:tcPr>
          <w:p w14:paraId="700A8227" w14:textId="0BCFB7E5"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7.229.828</w:t>
            </w:r>
          </w:p>
        </w:tc>
        <w:tc>
          <w:tcPr>
            <w:tcW w:w="410" w:type="pct"/>
            <w:tcBorders>
              <w:top w:val="single" w:sz="4" w:space="0" w:color="F39200"/>
              <w:left w:val="nil"/>
              <w:bottom w:val="single" w:sz="4" w:space="0" w:color="F39200"/>
              <w:right w:val="nil"/>
            </w:tcBorders>
            <w:shd w:val="clear" w:color="auto" w:fill="auto"/>
            <w:noWrap/>
            <w:vAlign w:val="center"/>
          </w:tcPr>
          <w:p w14:paraId="5E3015D1" w14:textId="1BDAAB90"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w:t>
            </w:r>
          </w:p>
        </w:tc>
        <w:tc>
          <w:tcPr>
            <w:tcW w:w="423" w:type="pct"/>
            <w:tcBorders>
              <w:top w:val="single" w:sz="4" w:space="0" w:color="F39200"/>
              <w:left w:val="nil"/>
              <w:bottom w:val="single" w:sz="4" w:space="0" w:color="F39200"/>
              <w:right w:val="nil"/>
            </w:tcBorders>
            <w:shd w:val="clear" w:color="auto" w:fill="auto"/>
            <w:noWrap/>
            <w:vAlign w:val="center"/>
          </w:tcPr>
          <w:p w14:paraId="75C1D24E" w14:textId="2EF4782C" w:rsidR="00617109" w:rsidRPr="00FF4346" w:rsidRDefault="00617109" w:rsidP="004F758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(15.162)</w:t>
            </w:r>
          </w:p>
        </w:tc>
        <w:tc>
          <w:tcPr>
            <w:tcW w:w="404" w:type="pct"/>
            <w:tcBorders>
              <w:top w:val="single" w:sz="4" w:space="0" w:color="F39200"/>
              <w:left w:val="nil"/>
              <w:bottom w:val="single" w:sz="4" w:space="0" w:color="F39200"/>
              <w:right w:val="nil"/>
            </w:tcBorders>
            <w:shd w:val="clear" w:color="auto" w:fill="auto"/>
            <w:noWrap/>
            <w:vAlign w:val="center"/>
          </w:tcPr>
          <w:p w14:paraId="27AE034F" w14:textId="73B3070C"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7.214.666</w:t>
            </w:r>
          </w:p>
        </w:tc>
      </w:tr>
      <w:tr w:rsidR="00617109" w:rsidRPr="00A33766" w14:paraId="0478FA9F" w14:textId="77777777" w:rsidTr="00FF4346">
        <w:trPr>
          <w:trHeight w:val="283"/>
        </w:trPr>
        <w:tc>
          <w:tcPr>
            <w:tcW w:w="1717" w:type="pct"/>
            <w:tcBorders>
              <w:top w:val="nil"/>
              <w:left w:val="nil"/>
              <w:bottom w:val="single" w:sz="4" w:space="0" w:color="F39200"/>
              <w:right w:val="nil"/>
            </w:tcBorders>
            <w:shd w:val="clear" w:color="auto" w:fill="auto"/>
            <w:noWrap/>
            <w:vAlign w:val="center"/>
            <w:hideMark/>
          </w:tcPr>
          <w:p w14:paraId="748A8A6E"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dos créditos tributários</w:t>
            </w:r>
          </w:p>
        </w:tc>
        <w:tc>
          <w:tcPr>
            <w:tcW w:w="404" w:type="pct"/>
            <w:tcBorders>
              <w:top w:val="nil"/>
              <w:left w:val="nil"/>
              <w:bottom w:val="single" w:sz="4" w:space="0" w:color="F39200"/>
              <w:right w:val="nil"/>
            </w:tcBorders>
            <w:shd w:val="clear" w:color="auto" w:fill="auto"/>
            <w:noWrap/>
            <w:vAlign w:val="center"/>
            <w:hideMark/>
          </w:tcPr>
          <w:p w14:paraId="01ED9806" w14:textId="78764155"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61.686.589</w:t>
            </w:r>
          </w:p>
        </w:tc>
        <w:tc>
          <w:tcPr>
            <w:tcW w:w="410" w:type="pct"/>
            <w:tcBorders>
              <w:top w:val="nil"/>
              <w:left w:val="nil"/>
              <w:bottom w:val="single" w:sz="4" w:space="0" w:color="F39200"/>
              <w:right w:val="nil"/>
            </w:tcBorders>
            <w:shd w:val="clear" w:color="auto" w:fill="auto"/>
            <w:noWrap/>
            <w:vAlign w:val="center"/>
          </w:tcPr>
          <w:p w14:paraId="12EDCD9D" w14:textId="6EF1678B"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9.221.373</w:t>
            </w:r>
          </w:p>
        </w:tc>
        <w:tc>
          <w:tcPr>
            <w:tcW w:w="423" w:type="pct"/>
            <w:tcBorders>
              <w:top w:val="nil"/>
              <w:left w:val="nil"/>
              <w:bottom w:val="single" w:sz="4" w:space="0" w:color="F39200"/>
              <w:right w:val="nil"/>
            </w:tcBorders>
            <w:shd w:val="clear" w:color="auto" w:fill="auto"/>
            <w:noWrap/>
            <w:vAlign w:val="center"/>
          </w:tcPr>
          <w:p w14:paraId="47F5B2B0" w14:textId="3E1E4039"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(7.612.589)</w:t>
            </w:r>
          </w:p>
        </w:tc>
        <w:tc>
          <w:tcPr>
            <w:tcW w:w="404" w:type="pct"/>
            <w:tcBorders>
              <w:top w:val="nil"/>
              <w:left w:val="nil"/>
              <w:bottom w:val="single" w:sz="4" w:space="0" w:color="F39200"/>
              <w:right w:val="nil"/>
            </w:tcBorders>
            <w:shd w:val="clear" w:color="auto" w:fill="auto"/>
            <w:noWrap/>
            <w:vAlign w:val="center"/>
          </w:tcPr>
          <w:p w14:paraId="37D4F2B0" w14:textId="2992A6F2"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63.295.373</w:t>
            </w:r>
          </w:p>
        </w:tc>
        <w:tc>
          <w:tcPr>
            <w:tcW w:w="404" w:type="pct"/>
            <w:tcBorders>
              <w:top w:val="nil"/>
              <w:left w:val="nil"/>
              <w:bottom w:val="single" w:sz="4" w:space="0" w:color="F39200"/>
              <w:right w:val="nil"/>
            </w:tcBorders>
            <w:shd w:val="clear" w:color="auto" w:fill="auto"/>
            <w:noWrap/>
            <w:vAlign w:val="center"/>
            <w:hideMark/>
          </w:tcPr>
          <w:p w14:paraId="7F6F213A" w14:textId="209FA24D" w:rsidR="00617109" w:rsidRPr="00FF4346" w:rsidRDefault="00617109" w:rsidP="00617109">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61.686.596</w:t>
            </w:r>
          </w:p>
        </w:tc>
        <w:tc>
          <w:tcPr>
            <w:tcW w:w="410" w:type="pct"/>
            <w:tcBorders>
              <w:top w:val="nil"/>
              <w:left w:val="nil"/>
              <w:bottom w:val="single" w:sz="4" w:space="0" w:color="F39200"/>
              <w:right w:val="nil"/>
            </w:tcBorders>
            <w:shd w:val="clear" w:color="auto" w:fill="auto"/>
            <w:noWrap/>
            <w:vAlign w:val="center"/>
          </w:tcPr>
          <w:p w14:paraId="655A9F5C" w14:textId="36225A1C"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9.223.379</w:t>
            </w:r>
          </w:p>
        </w:tc>
        <w:tc>
          <w:tcPr>
            <w:tcW w:w="423" w:type="pct"/>
            <w:tcBorders>
              <w:top w:val="nil"/>
              <w:left w:val="nil"/>
              <w:bottom w:val="single" w:sz="4" w:space="0" w:color="F39200"/>
              <w:right w:val="nil"/>
            </w:tcBorders>
            <w:shd w:val="clear" w:color="auto" w:fill="auto"/>
            <w:noWrap/>
            <w:vAlign w:val="center"/>
          </w:tcPr>
          <w:p w14:paraId="60A07ED6" w14:textId="5EE7BCA9"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(7.612.589)</w:t>
            </w:r>
          </w:p>
        </w:tc>
        <w:tc>
          <w:tcPr>
            <w:tcW w:w="404" w:type="pct"/>
            <w:tcBorders>
              <w:top w:val="nil"/>
              <w:left w:val="nil"/>
              <w:bottom w:val="single" w:sz="4" w:space="0" w:color="F39200"/>
              <w:right w:val="nil"/>
            </w:tcBorders>
            <w:shd w:val="clear" w:color="auto" w:fill="auto"/>
            <w:noWrap/>
            <w:vAlign w:val="center"/>
          </w:tcPr>
          <w:p w14:paraId="082EBF99" w14:textId="7B3D8D16"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63.297.386</w:t>
            </w:r>
          </w:p>
        </w:tc>
      </w:tr>
      <w:tr w:rsidR="00617109" w:rsidRPr="00A33766" w14:paraId="67C26337" w14:textId="77777777" w:rsidTr="00FF4346">
        <w:trPr>
          <w:trHeight w:val="283"/>
        </w:trPr>
        <w:tc>
          <w:tcPr>
            <w:tcW w:w="1717" w:type="pct"/>
            <w:tcBorders>
              <w:top w:val="single" w:sz="4" w:space="0" w:color="F39200"/>
              <w:left w:val="nil"/>
              <w:bottom w:val="single" w:sz="4" w:space="0" w:color="F39200"/>
              <w:right w:val="nil"/>
            </w:tcBorders>
            <w:shd w:val="clear" w:color="auto" w:fill="auto"/>
            <w:noWrap/>
            <w:vAlign w:val="center"/>
          </w:tcPr>
          <w:p w14:paraId="3033556B" w14:textId="77777777" w:rsidR="00617109" w:rsidRPr="00FF4346" w:rsidRDefault="00617109" w:rsidP="0061710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 dos créditos não constituídos</w:t>
            </w:r>
          </w:p>
        </w:tc>
        <w:tc>
          <w:tcPr>
            <w:tcW w:w="404" w:type="pct"/>
            <w:tcBorders>
              <w:top w:val="single" w:sz="4" w:space="0" w:color="F39200"/>
              <w:left w:val="nil"/>
              <w:bottom w:val="single" w:sz="4" w:space="0" w:color="F39200"/>
              <w:right w:val="nil"/>
            </w:tcBorders>
            <w:shd w:val="clear" w:color="auto" w:fill="auto"/>
            <w:noWrap/>
            <w:vAlign w:val="center"/>
          </w:tcPr>
          <w:p w14:paraId="3C60B16E" w14:textId="27114C2B" w:rsidR="00617109" w:rsidRPr="00FF4346" w:rsidRDefault="00617109" w:rsidP="004F758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120.791</w:t>
            </w:r>
          </w:p>
        </w:tc>
        <w:tc>
          <w:tcPr>
            <w:tcW w:w="410" w:type="pct"/>
            <w:tcBorders>
              <w:top w:val="single" w:sz="4" w:space="0" w:color="F39200"/>
              <w:left w:val="nil"/>
              <w:bottom w:val="single" w:sz="4" w:space="0" w:color="F39200"/>
              <w:right w:val="nil"/>
            </w:tcBorders>
            <w:shd w:val="clear" w:color="auto" w:fill="auto"/>
            <w:noWrap/>
            <w:vAlign w:val="center"/>
          </w:tcPr>
          <w:p w14:paraId="64838E58" w14:textId="7A1B5C64"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81.960</w:t>
            </w:r>
          </w:p>
        </w:tc>
        <w:tc>
          <w:tcPr>
            <w:tcW w:w="423" w:type="pct"/>
            <w:tcBorders>
              <w:top w:val="single" w:sz="4" w:space="0" w:color="F39200"/>
              <w:left w:val="nil"/>
              <w:bottom w:val="single" w:sz="4" w:space="0" w:color="F39200"/>
              <w:right w:val="nil"/>
            </w:tcBorders>
            <w:shd w:val="clear" w:color="auto" w:fill="auto"/>
            <w:noWrap/>
            <w:vAlign w:val="center"/>
          </w:tcPr>
          <w:p w14:paraId="25F8A774" w14:textId="13E8A266"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 </w:t>
            </w:r>
            <w:r w:rsidR="00394065">
              <w:rPr>
                <w:rFonts w:ascii="CAIXA Std Book" w:hAnsi="CAIXA Std Book" w:cs="Arial"/>
                <w:b/>
                <w:bCs/>
                <w:color w:val="005CA9"/>
                <w:sz w:val="18"/>
                <w:szCs w:val="18"/>
              </w:rPr>
              <w:t>-</w:t>
            </w:r>
          </w:p>
        </w:tc>
        <w:tc>
          <w:tcPr>
            <w:tcW w:w="404" w:type="pct"/>
            <w:tcBorders>
              <w:top w:val="single" w:sz="4" w:space="0" w:color="F39200"/>
              <w:left w:val="nil"/>
              <w:bottom w:val="single" w:sz="4" w:space="0" w:color="F39200"/>
              <w:right w:val="nil"/>
            </w:tcBorders>
            <w:shd w:val="clear" w:color="auto" w:fill="auto"/>
            <w:noWrap/>
            <w:vAlign w:val="center"/>
          </w:tcPr>
          <w:p w14:paraId="4F3CCCAE" w14:textId="4F85D8E6"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202.751</w:t>
            </w:r>
          </w:p>
        </w:tc>
        <w:tc>
          <w:tcPr>
            <w:tcW w:w="404" w:type="pct"/>
            <w:tcBorders>
              <w:top w:val="single" w:sz="4" w:space="0" w:color="F39200"/>
              <w:left w:val="nil"/>
              <w:bottom w:val="single" w:sz="4" w:space="0" w:color="F39200"/>
              <w:right w:val="nil"/>
            </w:tcBorders>
            <w:shd w:val="clear" w:color="auto" w:fill="auto"/>
            <w:noWrap/>
            <w:vAlign w:val="center"/>
          </w:tcPr>
          <w:p w14:paraId="6A850A3F" w14:textId="69D66855" w:rsidR="00617109" w:rsidRPr="00FF4346" w:rsidRDefault="00617109" w:rsidP="004F7588">
            <w:pPr>
              <w:jc w:val="right"/>
              <w:rPr>
                <w:rFonts w:ascii="CAIXA Std Book" w:hAnsi="CAIXA Std Book" w:cs="Arial"/>
                <w:b/>
                <w:bCs/>
                <w:color w:val="005CA9"/>
                <w:sz w:val="18"/>
                <w:szCs w:val="18"/>
              </w:rPr>
            </w:pPr>
            <w:r>
              <w:rPr>
                <w:rFonts w:ascii="CAIXA Std Book" w:hAnsi="CAIXA Std Book" w:cs="Arial"/>
                <w:b/>
                <w:bCs/>
                <w:color w:val="005CA9"/>
                <w:sz w:val="18"/>
                <w:szCs w:val="18"/>
              </w:rPr>
              <w:t>120.791</w:t>
            </w:r>
          </w:p>
        </w:tc>
        <w:tc>
          <w:tcPr>
            <w:tcW w:w="410" w:type="pct"/>
            <w:tcBorders>
              <w:top w:val="single" w:sz="4" w:space="0" w:color="F39200"/>
              <w:left w:val="nil"/>
              <w:bottom w:val="single" w:sz="4" w:space="0" w:color="F39200"/>
              <w:right w:val="nil"/>
            </w:tcBorders>
            <w:shd w:val="clear" w:color="auto" w:fill="auto"/>
            <w:noWrap/>
            <w:vAlign w:val="center"/>
          </w:tcPr>
          <w:p w14:paraId="0CE70754" w14:textId="035A8234" w:rsidR="00617109" w:rsidRPr="00FF4346" w:rsidRDefault="00617109" w:rsidP="00617109">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81.960</w:t>
            </w:r>
          </w:p>
        </w:tc>
        <w:tc>
          <w:tcPr>
            <w:tcW w:w="423" w:type="pct"/>
            <w:tcBorders>
              <w:top w:val="single" w:sz="4" w:space="0" w:color="F39200"/>
              <w:left w:val="nil"/>
              <w:bottom w:val="single" w:sz="4" w:space="0" w:color="F39200"/>
              <w:right w:val="nil"/>
            </w:tcBorders>
            <w:shd w:val="clear" w:color="auto" w:fill="auto"/>
            <w:noWrap/>
            <w:vAlign w:val="center"/>
          </w:tcPr>
          <w:p w14:paraId="1610DF56" w14:textId="5EAAD87A" w:rsidR="00617109" w:rsidRPr="00FF4346" w:rsidRDefault="00617109" w:rsidP="00617109">
            <w:pPr>
              <w:jc w:val="center"/>
              <w:rPr>
                <w:rFonts w:ascii="CAIXA Std Book" w:eastAsia="Times New Roman" w:hAnsi="CAIXA Std Book" w:cs="Arial"/>
                <w:b/>
                <w:bCs/>
                <w:color w:val="005CA9"/>
                <w:sz w:val="18"/>
                <w:szCs w:val="18"/>
              </w:rPr>
            </w:pPr>
            <w:r>
              <w:rPr>
                <w:rFonts w:ascii="CAIXA Std Book" w:hAnsi="CAIXA Std Book" w:cs="Arial"/>
                <w:b/>
                <w:bCs/>
                <w:color w:val="005CA9"/>
                <w:sz w:val="18"/>
                <w:szCs w:val="18"/>
              </w:rPr>
              <w:t> </w:t>
            </w:r>
            <w:r w:rsidR="00394065">
              <w:rPr>
                <w:rFonts w:ascii="CAIXA Std Book" w:hAnsi="CAIXA Std Book" w:cs="Arial"/>
                <w:b/>
                <w:bCs/>
                <w:color w:val="005CA9"/>
                <w:sz w:val="18"/>
                <w:szCs w:val="18"/>
              </w:rPr>
              <w:t>-</w:t>
            </w:r>
          </w:p>
        </w:tc>
        <w:tc>
          <w:tcPr>
            <w:tcW w:w="404" w:type="pct"/>
            <w:tcBorders>
              <w:top w:val="single" w:sz="4" w:space="0" w:color="F39200"/>
              <w:left w:val="nil"/>
              <w:bottom w:val="single" w:sz="4" w:space="0" w:color="F39200"/>
              <w:right w:val="nil"/>
            </w:tcBorders>
            <w:shd w:val="clear" w:color="auto" w:fill="auto"/>
            <w:noWrap/>
            <w:vAlign w:val="center"/>
          </w:tcPr>
          <w:p w14:paraId="2054941A" w14:textId="6B8D5F60" w:rsidR="00617109" w:rsidRPr="00FF4346" w:rsidRDefault="00617109" w:rsidP="00E90D04">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202.751</w:t>
            </w:r>
          </w:p>
        </w:tc>
      </w:tr>
    </w:tbl>
    <w:p w14:paraId="2765108B" w14:textId="77777777" w:rsidR="003B762C" w:rsidRPr="00FF4346" w:rsidRDefault="003B762C" w:rsidP="003957B5">
      <w:pPr>
        <w:keepNext/>
        <w:spacing w:before="360" w:after="240"/>
        <w:jc w:val="both"/>
        <w:rPr>
          <w:rFonts w:ascii="CAIXA Std Book" w:hAnsi="CAIXA Std Book"/>
          <w:b/>
          <w:color w:val="005CA9"/>
          <w:sz w:val="20"/>
          <w:szCs w:val="20"/>
        </w:rPr>
        <w:sectPr w:rsidR="003B762C" w:rsidRPr="00FF4346" w:rsidSect="0088151D">
          <w:headerReference w:type="default" r:id="rId62"/>
          <w:footerReference w:type="default" r:id="rId63"/>
          <w:pgSz w:w="16838" w:h="11906" w:orient="landscape"/>
          <w:pgMar w:top="1418" w:right="851" w:bottom="851" w:left="1418" w:header="1134" w:footer="709" w:gutter="0"/>
          <w:cols w:space="708"/>
          <w:docGrid w:linePitch="360"/>
        </w:sectPr>
      </w:pPr>
    </w:p>
    <w:p w14:paraId="6B387CFC" w14:textId="332303D3" w:rsidR="003B762C" w:rsidRPr="00FF4346" w:rsidRDefault="003B762C" w:rsidP="00B37B40">
      <w:pPr>
        <w:keepNext/>
        <w:numPr>
          <w:ilvl w:val="0"/>
          <w:numId w:val="9"/>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lastRenderedPageBreak/>
        <w:t>Expectativa de realização – ativo fiscal diferido</w:t>
      </w:r>
    </w:p>
    <w:p w14:paraId="711FBD3D" w14:textId="77777777" w:rsidR="003B762C" w:rsidRPr="00FF4346" w:rsidRDefault="003B762C" w:rsidP="003B762C">
      <w:pPr>
        <w:tabs>
          <w:tab w:val="left" w:pos="1650"/>
        </w:tabs>
        <w:spacing w:before="120" w:after="240"/>
        <w:jc w:val="both"/>
        <w:rPr>
          <w:rFonts w:ascii="CAIXA Std Book" w:hAnsi="CAIXA Std Book"/>
          <w:color w:val="005CA9"/>
          <w:sz w:val="20"/>
          <w:szCs w:val="20"/>
        </w:rPr>
      </w:pPr>
      <w:r w:rsidRPr="00FF4346">
        <w:rPr>
          <w:rFonts w:ascii="CAIXA Std Book" w:hAnsi="CAIXA Std Book"/>
          <w:color w:val="005CA9"/>
          <w:sz w:val="20"/>
          <w:szCs w:val="20"/>
        </w:rPr>
        <w:t>A CAIXA realiza semestralmente estudo técnico quanto à expectativa de realização de créditos tributários em 10 anos. Os valores apurados no estudo estão representados a seguir:</w:t>
      </w:r>
    </w:p>
    <w:tbl>
      <w:tblPr>
        <w:tblW w:w="5000" w:type="pct"/>
        <w:tblCellMar>
          <w:left w:w="70" w:type="dxa"/>
          <w:right w:w="70" w:type="dxa"/>
        </w:tblCellMar>
        <w:tblLook w:val="04A0" w:firstRow="1" w:lastRow="0" w:firstColumn="1" w:lastColumn="0" w:noHBand="0" w:noVBand="1"/>
      </w:tblPr>
      <w:tblGrid>
        <w:gridCol w:w="3969"/>
        <w:gridCol w:w="1357"/>
        <w:gridCol w:w="1476"/>
        <w:gridCol w:w="1357"/>
        <w:gridCol w:w="1478"/>
      </w:tblGrid>
      <w:tr w:rsidR="00D07531" w:rsidRPr="00A33766" w14:paraId="28F9C859" w14:textId="77777777" w:rsidTr="003274C7">
        <w:trPr>
          <w:trHeight w:val="283"/>
        </w:trPr>
        <w:tc>
          <w:tcPr>
            <w:tcW w:w="2059" w:type="pct"/>
            <w:vMerge w:val="restart"/>
            <w:tcBorders>
              <w:top w:val="single" w:sz="4" w:space="0" w:color="F39200"/>
              <w:left w:val="nil"/>
              <w:bottom w:val="single" w:sz="4" w:space="0" w:color="F39200"/>
              <w:right w:val="nil"/>
            </w:tcBorders>
            <w:shd w:val="clear" w:color="auto" w:fill="auto"/>
            <w:vAlign w:val="center"/>
            <w:hideMark/>
          </w:tcPr>
          <w:p w14:paraId="69ABCA5D"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Ano de Realização</w:t>
            </w:r>
          </w:p>
        </w:tc>
        <w:tc>
          <w:tcPr>
            <w:tcW w:w="1470" w:type="pct"/>
            <w:gridSpan w:val="2"/>
            <w:tcBorders>
              <w:top w:val="single" w:sz="4" w:space="0" w:color="F39200"/>
              <w:left w:val="nil"/>
              <w:bottom w:val="single" w:sz="4" w:space="0" w:color="F39200"/>
              <w:right w:val="nil"/>
            </w:tcBorders>
            <w:shd w:val="clear" w:color="auto" w:fill="auto"/>
            <w:vAlign w:val="center"/>
            <w:hideMark/>
          </w:tcPr>
          <w:p w14:paraId="7E7F3FB4"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471" w:type="pct"/>
            <w:gridSpan w:val="2"/>
            <w:tcBorders>
              <w:top w:val="single" w:sz="4" w:space="0" w:color="F39200"/>
              <w:left w:val="nil"/>
              <w:bottom w:val="single" w:sz="4" w:space="0" w:color="F39200"/>
              <w:right w:val="nil"/>
            </w:tcBorders>
            <w:shd w:val="clear" w:color="auto" w:fill="auto"/>
            <w:vAlign w:val="center"/>
            <w:hideMark/>
          </w:tcPr>
          <w:p w14:paraId="72BBC822"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D07531" w:rsidRPr="00A33766" w14:paraId="13448929" w14:textId="77777777" w:rsidTr="003274C7">
        <w:trPr>
          <w:trHeight w:val="283"/>
        </w:trPr>
        <w:tc>
          <w:tcPr>
            <w:tcW w:w="2059" w:type="pct"/>
            <w:vMerge/>
            <w:tcBorders>
              <w:top w:val="single" w:sz="4" w:space="0" w:color="F39200"/>
              <w:left w:val="nil"/>
              <w:bottom w:val="single" w:sz="4" w:space="0" w:color="F39200"/>
              <w:right w:val="nil"/>
            </w:tcBorders>
            <w:vAlign w:val="center"/>
            <w:hideMark/>
          </w:tcPr>
          <w:p w14:paraId="1187CBE3" w14:textId="77777777" w:rsidR="00D07531" w:rsidRPr="00FF4346" w:rsidRDefault="00D07531" w:rsidP="00D73144">
            <w:pPr>
              <w:rPr>
                <w:rFonts w:ascii="CAIXA Std Book" w:eastAsia="Times New Roman" w:hAnsi="CAIXA Std Book" w:cs="Arial"/>
                <w:b/>
                <w:bCs/>
                <w:color w:val="005CA9"/>
                <w:sz w:val="18"/>
                <w:szCs w:val="18"/>
              </w:rPr>
            </w:pPr>
          </w:p>
        </w:tc>
        <w:tc>
          <w:tcPr>
            <w:tcW w:w="704" w:type="pct"/>
            <w:tcBorders>
              <w:top w:val="nil"/>
              <w:left w:val="nil"/>
              <w:bottom w:val="single" w:sz="4" w:space="0" w:color="F39200"/>
              <w:right w:val="nil"/>
            </w:tcBorders>
            <w:shd w:val="clear" w:color="auto" w:fill="auto"/>
            <w:vAlign w:val="center"/>
            <w:hideMark/>
          </w:tcPr>
          <w:p w14:paraId="21A576DE"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Valor Nominal</w:t>
            </w:r>
          </w:p>
        </w:tc>
        <w:tc>
          <w:tcPr>
            <w:tcW w:w="766" w:type="pct"/>
            <w:tcBorders>
              <w:top w:val="nil"/>
              <w:left w:val="nil"/>
              <w:bottom w:val="single" w:sz="4" w:space="0" w:color="F39200"/>
              <w:right w:val="nil"/>
            </w:tcBorders>
            <w:shd w:val="clear" w:color="auto" w:fill="auto"/>
            <w:vAlign w:val="center"/>
            <w:hideMark/>
          </w:tcPr>
          <w:p w14:paraId="63CDED5A"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Valor Presente</w:t>
            </w:r>
          </w:p>
        </w:tc>
        <w:tc>
          <w:tcPr>
            <w:tcW w:w="704" w:type="pct"/>
            <w:tcBorders>
              <w:top w:val="nil"/>
              <w:left w:val="nil"/>
              <w:bottom w:val="single" w:sz="4" w:space="0" w:color="F39200"/>
              <w:right w:val="nil"/>
            </w:tcBorders>
            <w:shd w:val="clear" w:color="auto" w:fill="auto"/>
            <w:vAlign w:val="center"/>
            <w:hideMark/>
          </w:tcPr>
          <w:p w14:paraId="6E177334"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Valor Nominal</w:t>
            </w:r>
          </w:p>
        </w:tc>
        <w:tc>
          <w:tcPr>
            <w:tcW w:w="767" w:type="pct"/>
            <w:tcBorders>
              <w:top w:val="nil"/>
              <w:left w:val="nil"/>
              <w:bottom w:val="single" w:sz="4" w:space="0" w:color="F39200"/>
              <w:right w:val="nil"/>
            </w:tcBorders>
            <w:shd w:val="clear" w:color="auto" w:fill="auto"/>
            <w:vAlign w:val="center"/>
            <w:hideMark/>
          </w:tcPr>
          <w:p w14:paraId="14AB861B" w14:textId="77777777" w:rsidR="00D07531" w:rsidRPr="00FF4346" w:rsidRDefault="00D07531" w:rsidP="00D73144">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Valor Presente</w:t>
            </w:r>
          </w:p>
        </w:tc>
      </w:tr>
      <w:tr w:rsidR="003274C7" w:rsidRPr="00A33766" w14:paraId="73641DB3" w14:textId="77777777" w:rsidTr="003274C7">
        <w:trPr>
          <w:trHeight w:val="283"/>
        </w:trPr>
        <w:tc>
          <w:tcPr>
            <w:tcW w:w="2059" w:type="pct"/>
            <w:tcBorders>
              <w:top w:val="nil"/>
              <w:left w:val="nil"/>
              <w:bottom w:val="nil"/>
              <w:right w:val="nil"/>
            </w:tcBorders>
            <w:shd w:val="clear" w:color="auto" w:fill="auto"/>
            <w:vAlign w:val="center"/>
            <w:hideMark/>
          </w:tcPr>
          <w:p w14:paraId="474EAB15"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2024</w:t>
            </w:r>
          </w:p>
        </w:tc>
        <w:tc>
          <w:tcPr>
            <w:tcW w:w="704" w:type="pct"/>
            <w:tcBorders>
              <w:top w:val="nil"/>
              <w:left w:val="nil"/>
              <w:bottom w:val="nil"/>
              <w:right w:val="nil"/>
            </w:tcBorders>
            <w:shd w:val="clear" w:color="auto" w:fill="auto"/>
            <w:noWrap/>
            <w:vAlign w:val="center"/>
          </w:tcPr>
          <w:p w14:paraId="30061F85" w14:textId="320C5923"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8.158.294</w:t>
            </w:r>
          </w:p>
        </w:tc>
        <w:tc>
          <w:tcPr>
            <w:tcW w:w="766" w:type="pct"/>
            <w:tcBorders>
              <w:top w:val="nil"/>
              <w:left w:val="nil"/>
              <w:bottom w:val="nil"/>
              <w:right w:val="nil"/>
            </w:tcBorders>
            <w:shd w:val="clear" w:color="auto" w:fill="auto"/>
            <w:noWrap/>
            <w:vAlign w:val="center"/>
          </w:tcPr>
          <w:p w14:paraId="75F3F174" w14:textId="1EC454D4"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8.071.685</w:t>
            </w:r>
          </w:p>
        </w:tc>
        <w:tc>
          <w:tcPr>
            <w:tcW w:w="704" w:type="pct"/>
            <w:tcBorders>
              <w:top w:val="nil"/>
              <w:left w:val="nil"/>
              <w:bottom w:val="nil"/>
              <w:right w:val="nil"/>
            </w:tcBorders>
            <w:shd w:val="clear" w:color="auto" w:fill="auto"/>
            <w:noWrap/>
            <w:vAlign w:val="center"/>
          </w:tcPr>
          <w:p w14:paraId="2A82DB90" w14:textId="6CF71CEF"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8.158.294</w:t>
            </w:r>
          </w:p>
        </w:tc>
        <w:tc>
          <w:tcPr>
            <w:tcW w:w="767" w:type="pct"/>
            <w:tcBorders>
              <w:top w:val="nil"/>
              <w:left w:val="nil"/>
              <w:bottom w:val="nil"/>
              <w:right w:val="nil"/>
            </w:tcBorders>
            <w:shd w:val="clear" w:color="auto" w:fill="auto"/>
            <w:noWrap/>
            <w:vAlign w:val="center"/>
          </w:tcPr>
          <w:p w14:paraId="792DF6DB" w14:textId="5F1DE772"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8.071.685</w:t>
            </w:r>
          </w:p>
        </w:tc>
      </w:tr>
      <w:tr w:rsidR="003274C7" w:rsidRPr="00A33766" w14:paraId="449D9A3F" w14:textId="77777777" w:rsidTr="003274C7">
        <w:trPr>
          <w:trHeight w:val="283"/>
        </w:trPr>
        <w:tc>
          <w:tcPr>
            <w:tcW w:w="2059" w:type="pct"/>
            <w:tcBorders>
              <w:top w:val="nil"/>
              <w:left w:val="nil"/>
              <w:bottom w:val="nil"/>
              <w:right w:val="nil"/>
            </w:tcBorders>
            <w:shd w:val="clear" w:color="auto" w:fill="auto"/>
            <w:vAlign w:val="center"/>
            <w:hideMark/>
          </w:tcPr>
          <w:p w14:paraId="62D45CD4"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2025</w:t>
            </w:r>
          </w:p>
        </w:tc>
        <w:tc>
          <w:tcPr>
            <w:tcW w:w="704" w:type="pct"/>
            <w:tcBorders>
              <w:top w:val="nil"/>
              <w:left w:val="nil"/>
              <w:bottom w:val="nil"/>
              <w:right w:val="nil"/>
            </w:tcBorders>
            <w:shd w:val="clear" w:color="auto" w:fill="auto"/>
            <w:noWrap/>
            <w:vAlign w:val="center"/>
          </w:tcPr>
          <w:p w14:paraId="07FA1426" w14:textId="1944EC8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7.954.498</w:t>
            </w:r>
          </w:p>
        </w:tc>
        <w:tc>
          <w:tcPr>
            <w:tcW w:w="766" w:type="pct"/>
            <w:tcBorders>
              <w:top w:val="nil"/>
              <w:left w:val="nil"/>
              <w:bottom w:val="nil"/>
              <w:right w:val="nil"/>
            </w:tcBorders>
            <w:shd w:val="clear" w:color="auto" w:fill="auto"/>
            <w:noWrap/>
            <w:vAlign w:val="center"/>
          </w:tcPr>
          <w:p w14:paraId="1FE3B532" w14:textId="043321BC"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7.362.070</w:t>
            </w:r>
          </w:p>
        </w:tc>
        <w:tc>
          <w:tcPr>
            <w:tcW w:w="704" w:type="pct"/>
            <w:tcBorders>
              <w:top w:val="nil"/>
              <w:left w:val="nil"/>
              <w:bottom w:val="nil"/>
              <w:right w:val="nil"/>
            </w:tcBorders>
            <w:shd w:val="clear" w:color="auto" w:fill="auto"/>
            <w:noWrap/>
            <w:vAlign w:val="center"/>
          </w:tcPr>
          <w:p w14:paraId="7DAB0C43" w14:textId="38A1D43B"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7.954.498</w:t>
            </w:r>
          </w:p>
        </w:tc>
        <w:tc>
          <w:tcPr>
            <w:tcW w:w="767" w:type="pct"/>
            <w:tcBorders>
              <w:top w:val="nil"/>
              <w:left w:val="nil"/>
              <w:bottom w:val="nil"/>
              <w:right w:val="nil"/>
            </w:tcBorders>
            <w:shd w:val="clear" w:color="auto" w:fill="auto"/>
            <w:noWrap/>
            <w:vAlign w:val="center"/>
          </w:tcPr>
          <w:p w14:paraId="26026306" w14:textId="3357B85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7.362.070</w:t>
            </w:r>
          </w:p>
        </w:tc>
      </w:tr>
      <w:tr w:rsidR="003274C7" w:rsidRPr="00A33766" w14:paraId="79B30C9F" w14:textId="77777777" w:rsidTr="003274C7">
        <w:trPr>
          <w:trHeight w:val="283"/>
        </w:trPr>
        <w:tc>
          <w:tcPr>
            <w:tcW w:w="2059" w:type="pct"/>
            <w:tcBorders>
              <w:top w:val="nil"/>
              <w:left w:val="nil"/>
              <w:bottom w:val="nil"/>
              <w:right w:val="nil"/>
            </w:tcBorders>
            <w:shd w:val="clear" w:color="auto" w:fill="auto"/>
            <w:vAlign w:val="center"/>
            <w:hideMark/>
          </w:tcPr>
          <w:p w14:paraId="6D333E26"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2026</w:t>
            </w:r>
          </w:p>
        </w:tc>
        <w:tc>
          <w:tcPr>
            <w:tcW w:w="704" w:type="pct"/>
            <w:tcBorders>
              <w:top w:val="nil"/>
              <w:left w:val="nil"/>
              <w:bottom w:val="nil"/>
              <w:right w:val="nil"/>
            </w:tcBorders>
            <w:shd w:val="clear" w:color="auto" w:fill="auto"/>
            <w:noWrap/>
            <w:vAlign w:val="center"/>
          </w:tcPr>
          <w:p w14:paraId="61E41AC9" w14:textId="4747EACD"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9.872.692</w:t>
            </w:r>
          </w:p>
        </w:tc>
        <w:tc>
          <w:tcPr>
            <w:tcW w:w="766" w:type="pct"/>
            <w:tcBorders>
              <w:top w:val="nil"/>
              <w:left w:val="nil"/>
              <w:bottom w:val="nil"/>
              <w:right w:val="nil"/>
            </w:tcBorders>
            <w:shd w:val="clear" w:color="auto" w:fill="auto"/>
            <w:noWrap/>
            <w:vAlign w:val="center"/>
          </w:tcPr>
          <w:p w14:paraId="06E468EA" w14:textId="2D07845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8.539.628</w:t>
            </w:r>
          </w:p>
        </w:tc>
        <w:tc>
          <w:tcPr>
            <w:tcW w:w="704" w:type="pct"/>
            <w:tcBorders>
              <w:top w:val="nil"/>
              <w:left w:val="nil"/>
              <w:bottom w:val="nil"/>
              <w:right w:val="nil"/>
            </w:tcBorders>
            <w:shd w:val="clear" w:color="auto" w:fill="auto"/>
            <w:noWrap/>
            <w:vAlign w:val="center"/>
          </w:tcPr>
          <w:p w14:paraId="03998EF6" w14:textId="146D4E4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9.872.692</w:t>
            </w:r>
          </w:p>
        </w:tc>
        <w:tc>
          <w:tcPr>
            <w:tcW w:w="767" w:type="pct"/>
            <w:tcBorders>
              <w:top w:val="nil"/>
              <w:left w:val="nil"/>
              <w:bottom w:val="nil"/>
              <w:right w:val="nil"/>
            </w:tcBorders>
            <w:shd w:val="clear" w:color="auto" w:fill="auto"/>
            <w:noWrap/>
            <w:vAlign w:val="center"/>
          </w:tcPr>
          <w:p w14:paraId="350E1E74" w14:textId="4060F4F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8.539.628</w:t>
            </w:r>
          </w:p>
        </w:tc>
      </w:tr>
      <w:tr w:rsidR="003274C7" w:rsidRPr="00A33766" w14:paraId="45DB351B" w14:textId="77777777" w:rsidTr="003274C7">
        <w:trPr>
          <w:trHeight w:val="283"/>
        </w:trPr>
        <w:tc>
          <w:tcPr>
            <w:tcW w:w="2059" w:type="pct"/>
            <w:tcBorders>
              <w:top w:val="nil"/>
              <w:left w:val="nil"/>
              <w:bottom w:val="nil"/>
              <w:right w:val="nil"/>
            </w:tcBorders>
            <w:shd w:val="clear" w:color="auto" w:fill="auto"/>
            <w:vAlign w:val="center"/>
            <w:hideMark/>
          </w:tcPr>
          <w:p w14:paraId="64F830B6"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2027</w:t>
            </w:r>
          </w:p>
        </w:tc>
        <w:tc>
          <w:tcPr>
            <w:tcW w:w="704" w:type="pct"/>
            <w:tcBorders>
              <w:top w:val="nil"/>
              <w:left w:val="nil"/>
              <w:bottom w:val="nil"/>
              <w:right w:val="nil"/>
            </w:tcBorders>
            <w:shd w:val="clear" w:color="auto" w:fill="auto"/>
            <w:noWrap/>
            <w:vAlign w:val="center"/>
          </w:tcPr>
          <w:p w14:paraId="2071A730" w14:textId="62A2E5F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7.885.907</w:t>
            </w:r>
          </w:p>
        </w:tc>
        <w:tc>
          <w:tcPr>
            <w:tcW w:w="766" w:type="pct"/>
            <w:tcBorders>
              <w:top w:val="nil"/>
              <w:left w:val="nil"/>
              <w:bottom w:val="nil"/>
              <w:right w:val="nil"/>
            </w:tcBorders>
            <w:shd w:val="clear" w:color="auto" w:fill="auto"/>
            <w:noWrap/>
            <w:vAlign w:val="center"/>
          </w:tcPr>
          <w:p w14:paraId="43279396" w14:textId="1E5D626B"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6.386.806</w:t>
            </w:r>
          </w:p>
        </w:tc>
        <w:tc>
          <w:tcPr>
            <w:tcW w:w="704" w:type="pct"/>
            <w:tcBorders>
              <w:top w:val="nil"/>
              <w:left w:val="nil"/>
              <w:bottom w:val="nil"/>
              <w:right w:val="nil"/>
            </w:tcBorders>
            <w:shd w:val="clear" w:color="auto" w:fill="auto"/>
            <w:noWrap/>
            <w:vAlign w:val="center"/>
          </w:tcPr>
          <w:p w14:paraId="6055AF57" w14:textId="7F9557FE"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7.885.907</w:t>
            </w:r>
          </w:p>
        </w:tc>
        <w:tc>
          <w:tcPr>
            <w:tcW w:w="767" w:type="pct"/>
            <w:tcBorders>
              <w:top w:val="nil"/>
              <w:left w:val="nil"/>
              <w:bottom w:val="nil"/>
              <w:right w:val="nil"/>
            </w:tcBorders>
            <w:shd w:val="clear" w:color="auto" w:fill="auto"/>
            <w:noWrap/>
            <w:vAlign w:val="center"/>
          </w:tcPr>
          <w:p w14:paraId="5234923E" w14:textId="1F5DA32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6.386.806</w:t>
            </w:r>
          </w:p>
        </w:tc>
      </w:tr>
      <w:tr w:rsidR="003274C7" w:rsidRPr="00A33766" w14:paraId="0B82AD3B" w14:textId="77777777" w:rsidTr="003274C7">
        <w:trPr>
          <w:trHeight w:val="283"/>
        </w:trPr>
        <w:tc>
          <w:tcPr>
            <w:tcW w:w="2059" w:type="pct"/>
            <w:tcBorders>
              <w:top w:val="nil"/>
              <w:left w:val="nil"/>
              <w:bottom w:val="nil"/>
              <w:right w:val="nil"/>
            </w:tcBorders>
            <w:shd w:val="clear" w:color="auto" w:fill="auto"/>
            <w:vAlign w:val="center"/>
            <w:hideMark/>
          </w:tcPr>
          <w:p w14:paraId="05912BD2"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2028</w:t>
            </w:r>
          </w:p>
        </w:tc>
        <w:tc>
          <w:tcPr>
            <w:tcW w:w="704" w:type="pct"/>
            <w:tcBorders>
              <w:top w:val="nil"/>
              <w:left w:val="nil"/>
              <w:bottom w:val="nil"/>
              <w:right w:val="nil"/>
            </w:tcBorders>
            <w:shd w:val="clear" w:color="auto" w:fill="auto"/>
            <w:noWrap/>
            <w:vAlign w:val="center"/>
          </w:tcPr>
          <w:p w14:paraId="2D4AD70E" w14:textId="66492758"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2.997.614</w:t>
            </w:r>
          </w:p>
        </w:tc>
        <w:tc>
          <w:tcPr>
            <w:tcW w:w="766" w:type="pct"/>
            <w:tcBorders>
              <w:top w:val="nil"/>
              <w:left w:val="nil"/>
              <w:bottom w:val="nil"/>
              <w:right w:val="nil"/>
            </w:tcBorders>
            <w:shd w:val="clear" w:color="auto" w:fill="auto"/>
            <w:noWrap/>
            <w:vAlign w:val="center"/>
          </w:tcPr>
          <w:p w14:paraId="2B28FDAB" w14:textId="1F7757CD"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2.279.598</w:t>
            </w:r>
          </w:p>
        </w:tc>
        <w:tc>
          <w:tcPr>
            <w:tcW w:w="704" w:type="pct"/>
            <w:tcBorders>
              <w:top w:val="nil"/>
              <w:left w:val="nil"/>
              <w:bottom w:val="nil"/>
              <w:right w:val="nil"/>
            </w:tcBorders>
            <w:shd w:val="clear" w:color="auto" w:fill="auto"/>
            <w:noWrap/>
            <w:vAlign w:val="center"/>
          </w:tcPr>
          <w:p w14:paraId="5E984AD5" w14:textId="40701E7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2.997.614</w:t>
            </w:r>
          </w:p>
        </w:tc>
        <w:tc>
          <w:tcPr>
            <w:tcW w:w="767" w:type="pct"/>
            <w:tcBorders>
              <w:top w:val="nil"/>
              <w:left w:val="nil"/>
              <w:bottom w:val="nil"/>
              <w:right w:val="nil"/>
            </w:tcBorders>
            <w:shd w:val="clear" w:color="auto" w:fill="auto"/>
            <w:noWrap/>
            <w:vAlign w:val="center"/>
          </w:tcPr>
          <w:p w14:paraId="137BB2AF" w14:textId="284E0158"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2.279.598</w:t>
            </w:r>
          </w:p>
        </w:tc>
      </w:tr>
      <w:tr w:rsidR="003274C7" w:rsidRPr="00A33766" w14:paraId="0C0D9D3E" w14:textId="77777777" w:rsidTr="003274C7">
        <w:trPr>
          <w:trHeight w:val="283"/>
        </w:trPr>
        <w:tc>
          <w:tcPr>
            <w:tcW w:w="2059" w:type="pct"/>
            <w:tcBorders>
              <w:top w:val="nil"/>
              <w:left w:val="nil"/>
              <w:bottom w:val="nil"/>
              <w:right w:val="nil"/>
            </w:tcBorders>
            <w:shd w:val="clear" w:color="auto" w:fill="auto"/>
            <w:vAlign w:val="center"/>
            <w:hideMark/>
          </w:tcPr>
          <w:p w14:paraId="2F3C791E"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2029</w:t>
            </w:r>
          </w:p>
        </w:tc>
        <w:tc>
          <w:tcPr>
            <w:tcW w:w="704" w:type="pct"/>
            <w:tcBorders>
              <w:top w:val="nil"/>
              <w:left w:val="nil"/>
              <w:bottom w:val="nil"/>
              <w:right w:val="nil"/>
            </w:tcBorders>
            <w:shd w:val="clear" w:color="auto" w:fill="auto"/>
            <w:noWrap/>
            <w:vAlign w:val="center"/>
          </w:tcPr>
          <w:p w14:paraId="3DFF2EB8" w14:textId="53964A56"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3.699.704</w:t>
            </w:r>
          </w:p>
        </w:tc>
        <w:tc>
          <w:tcPr>
            <w:tcW w:w="766" w:type="pct"/>
            <w:tcBorders>
              <w:top w:val="nil"/>
              <w:left w:val="nil"/>
              <w:bottom w:val="nil"/>
              <w:right w:val="nil"/>
            </w:tcBorders>
            <w:shd w:val="clear" w:color="auto" w:fill="auto"/>
            <w:noWrap/>
            <w:vAlign w:val="center"/>
          </w:tcPr>
          <w:p w14:paraId="01B012E1" w14:textId="47AE9604"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2.656.767</w:t>
            </w:r>
          </w:p>
        </w:tc>
        <w:tc>
          <w:tcPr>
            <w:tcW w:w="704" w:type="pct"/>
            <w:tcBorders>
              <w:top w:val="nil"/>
              <w:left w:val="nil"/>
              <w:bottom w:val="nil"/>
              <w:right w:val="nil"/>
            </w:tcBorders>
            <w:shd w:val="clear" w:color="auto" w:fill="auto"/>
            <w:noWrap/>
            <w:vAlign w:val="center"/>
          </w:tcPr>
          <w:p w14:paraId="5AD0E088" w14:textId="0FBDE9F4"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3.699.704</w:t>
            </w:r>
          </w:p>
        </w:tc>
        <w:tc>
          <w:tcPr>
            <w:tcW w:w="767" w:type="pct"/>
            <w:tcBorders>
              <w:top w:val="nil"/>
              <w:left w:val="nil"/>
              <w:bottom w:val="nil"/>
              <w:right w:val="nil"/>
            </w:tcBorders>
            <w:shd w:val="clear" w:color="auto" w:fill="auto"/>
            <w:noWrap/>
            <w:vAlign w:val="center"/>
          </w:tcPr>
          <w:p w14:paraId="1A42B45A" w14:textId="03C4E89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2.656.767</w:t>
            </w:r>
          </w:p>
        </w:tc>
      </w:tr>
      <w:tr w:rsidR="003274C7" w:rsidRPr="00A33766" w14:paraId="014D3C61" w14:textId="77777777" w:rsidTr="003274C7">
        <w:trPr>
          <w:trHeight w:val="283"/>
        </w:trPr>
        <w:tc>
          <w:tcPr>
            <w:tcW w:w="2059" w:type="pct"/>
            <w:tcBorders>
              <w:top w:val="nil"/>
              <w:left w:val="nil"/>
              <w:bottom w:val="nil"/>
              <w:right w:val="nil"/>
            </w:tcBorders>
            <w:shd w:val="clear" w:color="auto" w:fill="auto"/>
            <w:vAlign w:val="center"/>
            <w:hideMark/>
          </w:tcPr>
          <w:p w14:paraId="0155FE03"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2030</w:t>
            </w:r>
          </w:p>
        </w:tc>
        <w:tc>
          <w:tcPr>
            <w:tcW w:w="704" w:type="pct"/>
            <w:tcBorders>
              <w:top w:val="nil"/>
              <w:left w:val="nil"/>
              <w:bottom w:val="nil"/>
              <w:right w:val="nil"/>
            </w:tcBorders>
            <w:shd w:val="clear" w:color="auto" w:fill="auto"/>
            <w:noWrap/>
            <w:vAlign w:val="center"/>
          </w:tcPr>
          <w:p w14:paraId="5AFE6C31" w14:textId="341BD67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2.130.579</w:t>
            </w:r>
          </w:p>
        </w:tc>
        <w:tc>
          <w:tcPr>
            <w:tcW w:w="766" w:type="pct"/>
            <w:tcBorders>
              <w:top w:val="nil"/>
              <w:left w:val="nil"/>
              <w:bottom w:val="nil"/>
              <w:right w:val="nil"/>
            </w:tcBorders>
            <w:shd w:val="clear" w:color="auto" w:fill="auto"/>
            <w:noWrap/>
            <w:vAlign w:val="center"/>
          </w:tcPr>
          <w:p w14:paraId="6D8968FE" w14:textId="2AFFD632"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1.443.372</w:t>
            </w:r>
          </w:p>
        </w:tc>
        <w:tc>
          <w:tcPr>
            <w:tcW w:w="704" w:type="pct"/>
            <w:tcBorders>
              <w:top w:val="nil"/>
              <w:left w:val="nil"/>
              <w:bottom w:val="nil"/>
              <w:right w:val="nil"/>
            </w:tcBorders>
            <w:shd w:val="clear" w:color="auto" w:fill="auto"/>
            <w:noWrap/>
            <w:vAlign w:val="center"/>
          </w:tcPr>
          <w:p w14:paraId="4B8DD1BB" w14:textId="33C907C5"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2.130.579</w:t>
            </w:r>
          </w:p>
        </w:tc>
        <w:tc>
          <w:tcPr>
            <w:tcW w:w="767" w:type="pct"/>
            <w:tcBorders>
              <w:top w:val="nil"/>
              <w:left w:val="nil"/>
              <w:bottom w:val="nil"/>
              <w:right w:val="nil"/>
            </w:tcBorders>
            <w:shd w:val="clear" w:color="auto" w:fill="auto"/>
            <w:noWrap/>
            <w:vAlign w:val="center"/>
          </w:tcPr>
          <w:p w14:paraId="1AB3DDB6" w14:textId="423BCE9B"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1.443.372</w:t>
            </w:r>
          </w:p>
        </w:tc>
      </w:tr>
      <w:tr w:rsidR="003274C7" w:rsidRPr="00A33766" w14:paraId="551D0857" w14:textId="77777777" w:rsidTr="003274C7">
        <w:trPr>
          <w:trHeight w:val="283"/>
        </w:trPr>
        <w:tc>
          <w:tcPr>
            <w:tcW w:w="2059" w:type="pct"/>
            <w:tcBorders>
              <w:top w:val="nil"/>
              <w:left w:val="nil"/>
              <w:bottom w:val="nil"/>
              <w:right w:val="nil"/>
            </w:tcBorders>
            <w:shd w:val="clear" w:color="auto" w:fill="auto"/>
            <w:vAlign w:val="center"/>
            <w:hideMark/>
          </w:tcPr>
          <w:p w14:paraId="0B11FDA1"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2031</w:t>
            </w:r>
          </w:p>
        </w:tc>
        <w:tc>
          <w:tcPr>
            <w:tcW w:w="704" w:type="pct"/>
            <w:tcBorders>
              <w:top w:val="nil"/>
              <w:left w:val="nil"/>
              <w:bottom w:val="nil"/>
              <w:right w:val="nil"/>
            </w:tcBorders>
            <w:shd w:val="clear" w:color="auto" w:fill="auto"/>
            <w:noWrap/>
            <w:vAlign w:val="center"/>
          </w:tcPr>
          <w:p w14:paraId="4C3BB94B" w14:textId="0B71F970"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3.472.805</w:t>
            </w:r>
          </w:p>
        </w:tc>
        <w:tc>
          <w:tcPr>
            <w:tcW w:w="766" w:type="pct"/>
            <w:tcBorders>
              <w:top w:val="nil"/>
              <w:left w:val="nil"/>
              <w:bottom w:val="nil"/>
              <w:right w:val="nil"/>
            </w:tcBorders>
            <w:shd w:val="clear" w:color="auto" w:fill="auto"/>
            <w:noWrap/>
            <w:vAlign w:val="center"/>
          </w:tcPr>
          <w:p w14:paraId="2A40533E" w14:textId="2E7AEB18"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2.219.500</w:t>
            </w:r>
          </w:p>
        </w:tc>
        <w:tc>
          <w:tcPr>
            <w:tcW w:w="704" w:type="pct"/>
            <w:tcBorders>
              <w:top w:val="nil"/>
              <w:left w:val="nil"/>
              <w:bottom w:val="nil"/>
              <w:right w:val="nil"/>
            </w:tcBorders>
            <w:shd w:val="clear" w:color="auto" w:fill="auto"/>
            <w:noWrap/>
            <w:vAlign w:val="center"/>
          </w:tcPr>
          <w:p w14:paraId="00C63D5B" w14:textId="3C99D468"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3.472.805</w:t>
            </w:r>
          </w:p>
        </w:tc>
        <w:tc>
          <w:tcPr>
            <w:tcW w:w="767" w:type="pct"/>
            <w:tcBorders>
              <w:top w:val="nil"/>
              <w:left w:val="nil"/>
              <w:bottom w:val="nil"/>
              <w:right w:val="nil"/>
            </w:tcBorders>
            <w:shd w:val="clear" w:color="auto" w:fill="auto"/>
            <w:noWrap/>
            <w:vAlign w:val="center"/>
          </w:tcPr>
          <w:p w14:paraId="502C78A4" w14:textId="747667B4"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2.219.500</w:t>
            </w:r>
          </w:p>
        </w:tc>
      </w:tr>
      <w:tr w:rsidR="003274C7" w:rsidRPr="00A33766" w14:paraId="29EDC268" w14:textId="77777777" w:rsidTr="003274C7">
        <w:trPr>
          <w:trHeight w:val="283"/>
        </w:trPr>
        <w:tc>
          <w:tcPr>
            <w:tcW w:w="2059" w:type="pct"/>
            <w:tcBorders>
              <w:top w:val="nil"/>
              <w:left w:val="nil"/>
              <w:bottom w:val="nil"/>
              <w:right w:val="nil"/>
            </w:tcBorders>
            <w:shd w:val="clear" w:color="auto" w:fill="auto"/>
            <w:vAlign w:val="center"/>
            <w:hideMark/>
          </w:tcPr>
          <w:p w14:paraId="55D5D1F6"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2032</w:t>
            </w:r>
          </w:p>
        </w:tc>
        <w:tc>
          <w:tcPr>
            <w:tcW w:w="704" w:type="pct"/>
            <w:tcBorders>
              <w:top w:val="nil"/>
              <w:left w:val="nil"/>
              <w:bottom w:val="nil"/>
              <w:right w:val="nil"/>
            </w:tcBorders>
            <w:shd w:val="clear" w:color="auto" w:fill="auto"/>
            <w:noWrap/>
            <w:vAlign w:val="center"/>
          </w:tcPr>
          <w:p w14:paraId="06E4BAD7" w14:textId="7D7560FE"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2.060.221</w:t>
            </w:r>
          </w:p>
        </w:tc>
        <w:tc>
          <w:tcPr>
            <w:tcW w:w="766" w:type="pct"/>
            <w:tcBorders>
              <w:top w:val="nil"/>
              <w:left w:val="nil"/>
              <w:bottom w:val="nil"/>
              <w:right w:val="nil"/>
            </w:tcBorders>
            <w:shd w:val="clear" w:color="auto" w:fill="auto"/>
            <w:noWrap/>
            <w:vAlign w:val="center"/>
          </w:tcPr>
          <w:p w14:paraId="0FE06FDF" w14:textId="1B16F32D"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1.246.880</w:t>
            </w:r>
          </w:p>
        </w:tc>
        <w:tc>
          <w:tcPr>
            <w:tcW w:w="704" w:type="pct"/>
            <w:tcBorders>
              <w:top w:val="nil"/>
              <w:left w:val="nil"/>
              <w:bottom w:val="nil"/>
              <w:right w:val="nil"/>
            </w:tcBorders>
            <w:shd w:val="clear" w:color="auto" w:fill="auto"/>
            <w:noWrap/>
            <w:vAlign w:val="center"/>
          </w:tcPr>
          <w:p w14:paraId="30308678" w14:textId="5A7BC56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2.060.221</w:t>
            </w:r>
          </w:p>
        </w:tc>
        <w:tc>
          <w:tcPr>
            <w:tcW w:w="767" w:type="pct"/>
            <w:tcBorders>
              <w:top w:val="nil"/>
              <w:left w:val="nil"/>
              <w:bottom w:val="nil"/>
              <w:right w:val="nil"/>
            </w:tcBorders>
            <w:shd w:val="clear" w:color="auto" w:fill="auto"/>
            <w:noWrap/>
            <w:vAlign w:val="center"/>
          </w:tcPr>
          <w:p w14:paraId="50A375DF" w14:textId="59513299"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1.246.880</w:t>
            </w:r>
          </w:p>
        </w:tc>
      </w:tr>
      <w:tr w:rsidR="003274C7" w:rsidRPr="00A33766" w14:paraId="5953F36E" w14:textId="77777777" w:rsidTr="003274C7">
        <w:trPr>
          <w:trHeight w:val="283"/>
        </w:trPr>
        <w:tc>
          <w:tcPr>
            <w:tcW w:w="2059" w:type="pct"/>
            <w:tcBorders>
              <w:top w:val="nil"/>
              <w:left w:val="nil"/>
              <w:bottom w:val="nil"/>
              <w:right w:val="nil"/>
            </w:tcBorders>
            <w:shd w:val="clear" w:color="auto" w:fill="auto"/>
            <w:vAlign w:val="center"/>
          </w:tcPr>
          <w:p w14:paraId="2147D3D1" w14:textId="77777777" w:rsidR="003274C7" w:rsidRPr="00FF4346" w:rsidRDefault="003274C7" w:rsidP="003274C7">
            <w:pPr>
              <w:jc w:val="cente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2033</w:t>
            </w:r>
          </w:p>
        </w:tc>
        <w:tc>
          <w:tcPr>
            <w:tcW w:w="704" w:type="pct"/>
            <w:tcBorders>
              <w:top w:val="nil"/>
              <w:left w:val="nil"/>
              <w:bottom w:val="nil"/>
              <w:right w:val="nil"/>
            </w:tcBorders>
            <w:shd w:val="clear" w:color="auto" w:fill="auto"/>
            <w:noWrap/>
            <w:vAlign w:val="center"/>
          </w:tcPr>
          <w:p w14:paraId="5B95D011" w14:textId="1B0EEF2D"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15.063.059</w:t>
            </w:r>
          </w:p>
        </w:tc>
        <w:tc>
          <w:tcPr>
            <w:tcW w:w="766" w:type="pct"/>
            <w:tcBorders>
              <w:top w:val="nil"/>
              <w:left w:val="nil"/>
              <w:bottom w:val="nil"/>
              <w:right w:val="nil"/>
            </w:tcBorders>
            <w:shd w:val="clear" w:color="auto" w:fill="auto"/>
            <w:noWrap/>
            <w:vAlign w:val="center"/>
          </w:tcPr>
          <w:p w14:paraId="1D5BFF88" w14:textId="26FA51CA"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8.632.968</w:t>
            </w:r>
          </w:p>
        </w:tc>
        <w:tc>
          <w:tcPr>
            <w:tcW w:w="704" w:type="pct"/>
            <w:tcBorders>
              <w:top w:val="nil"/>
              <w:left w:val="nil"/>
              <w:bottom w:val="nil"/>
              <w:right w:val="nil"/>
            </w:tcBorders>
            <w:shd w:val="clear" w:color="auto" w:fill="auto"/>
            <w:noWrap/>
            <w:vAlign w:val="center"/>
          </w:tcPr>
          <w:p w14:paraId="6D66D8B3" w14:textId="6C206DF3"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15.065.072</w:t>
            </w:r>
          </w:p>
        </w:tc>
        <w:tc>
          <w:tcPr>
            <w:tcW w:w="767" w:type="pct"/>
            <w:tcBorders>
              <w:top w:val="nil"/>
              <w:left w:val="nil"/>
              <w:bottom w:val="nil"/>
              <w:right w:val="nil"/>
            </w:tcBorders>
            <w:shd w:val="clear" w:color="auto" w:fill="auto"/>
            <w:noWrap/>
            <w:vAlign w:val="center"/>
          </w:tcPr>
          <w:p w14:paraId="1D943222" w14:textId="3326ECA1" w:rsidR="003274C7" w:rsidRPr="00FF4346" w:rsidRDefault="00B52049" w:rsidP="003274C7">
            <w:pPr>
              <w:jc w:val="right"/>
              <w:rPr>
                <w:rFonts w:ascii="CAIXA Std Book" w:eastAsia="Times New Roman" w:hAnsi="CAIXA Std Book" w:cs="Arial"/>
                <w:color w:val="005CA9"/>
                <w:sz w:val="18"/>
                <w:szCs w:val="18"/>
              </w:rPr>
            </w:pPr>
            <w:r>
              <w:rPr>
                <w:rFonts w:ascii="CAIXA Std Book" w:hAnsi="CAIXA Std Book" w:cs="Arial"/>
                <w:color w:val="005CA9"/>
                <w:sz w:val="18"/>
                <w:szCs w:val="18"/>
              </w:rPr>
              <w:t>8.635.271</w:t>
            </w:r>
          </w:p>
        </w:tc>
      </w:tr>
      <w:tr w:rsidR="003274C7" w:rsidRPr="00A33766" w14:paraId="614E4501" w14:textId="77777777" w:rsidTr="003274C7">
        <w:trPr>
          <w:trHeight w:val="283"/>
        </w:trPr>
        <w:tc>
          <w:tcPr>
            <w:tcW w:w="2059" w:type="pct"/>
            <w:tcBorders>
              <w:top w:val="single" w:sz="4" w:space="0" w:color="F39200"/>
              <w:left w:val="nil"/>
              <w:bottom w:val="single" w:sz="4" w:space="0" w:color="F39200"/>
              <w:right w:val="nil"/>
            </w:tcBorders>
            <w:shd w:val="clear" w:color="auto" w:fill="auto"/>
            <w:noWrap/>
            <w:vAlign w:val="center"/>
            <w:hideMark/>
          </w:tcPr>
          <w:p w14:paraId="04AE9BD4" w14:textId="77777777" w:rsidR="003274C7" w:rsidRPr="00FF4346" w:rsidRDefault="003274C7" w:rsidP="003274C7">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704" w:type="pct"/>
            <w:tcBorders>
              <w:top w:val="single" w:sz="4" w:space="0" w:color="F39200"/>
              <w:left w:val="nil"/>
              <w:bottom w:val="single" w:sz="4" w:space="0" w:color="F39200"/>
              <w:right w:val="nil"/>
            </w:tcBorders>
            <w:shd w:val="clear" w:color="auto" w:fill="auto"/>
            <w:noWrap/>
            <w:vAlign w:val="center"/>
          </w:tcPr>
          <w:p w14:paraId="399CD7D4" w14:textId="77509EF2" w:rsidR="003274C7" w:rsidRPr="00FF4346" w:rsidRDefault="00B52049" w:rsidP="003274C7">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63.295.373</w:t>
            </w:r>
          </w:p>
        </w:tc>
        <w:tc>
          <w:tcPr>
            <w:tcW w:w="766" w:type="pct"/>
            <w:tcBorders>
              <w:top w:val="single" w:sz="4" w:space="0" w:color="F39200"/>
              <w:left w:val="nil"/>
              <w:bottom w:val="single" w:sz="4" w:space="0" w:color="F39200"/>
              <w:right w:val="nil"/>
            </w:tcBorders>
            <w:shd w:val="clear" w:color="auto" w:fill="auto"/>
            <w:noWrap/>
            <w:vAlign w:val="center"/>
          </w:tcPr>
          <w:p w14:paraId="5110A240" w14:textId="6AEEAE89" w:rsidR="003274C7" w:rsidRPr="00FF4346" w:rsidRDefault="00B52049" w:rsidP="003274C7">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48.839.274</w:t>
            </w:r>
          </w:p>
        </w:tc>
        <w:tc>
          <w:tcPr>
            <w:tcW w:w="704" w:type="pct"/>
            <w:tcBorders>
              <w:top w:val="single" w:sz="4" w:space="0" w:color="F39200"/>
              <w:left w:val="nil"/>
              <w:bottom w:val="single" w:sz="4" w:space="0" w:color="F39200"/>
              <w:right w:val="nil"/>
            </w:tcBorders>
            <w:shd w:val="clear" w:color="auto" w:fill="auto"/>
            <w:noWrap/>
            <w:vAlign w:val="center"/>
          </w:tcPr>
          <w:p w14:paraId="062D60F9" w14:textId="61AAAB17" w:rsidR="003274C7" w:rsidRPr="00FF4346" w:rsidRDefault="00B52049" w:rsidP="003274C7">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63.297.386</w:t>
            </w:r>
          </w:p>
        </w:tc>
        <w:tc>
          <w:tcPr>
            <w:tcW w:w="767" w:type="pct"/>
            <w:tcBorders>
              <w:top w:val="single" w:sz="4" w:space="0" w:color="F39200"/>
              <w:left w:val="nil"/>
              <w:bottom w:val="single" w:sz="4" w:space="0" w:color="F39200"/>
              <w:right w:val="nil"/>
            </w:tcBorders>
            <w:shd w:val="clear" w:color="auto" w:fill="auto"/>
            <w:noWrap/>
            <w:vAlign w:val="center"/>
          </w:tcPr>
          <w:p w14:paraId="15EDDD44" w14:textId="6B726BCB" w:rsidR="003274C7" w:rsidRPr="00FF4346" w:rsidRDefault="00B52049" w:rsidP="003274C7">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48.841.577</w:t>
            </w:r>
          </w:p>
        </w:tc>
      </w:tr>
    </w:tbl>
    <w:p w14:paraId="0F6BD967" w14:textId="77777777" w:rsidR="009609B9" w:rsidRPr="00FF4346" w:rsidRDefault="009609B9" w:rsidP="005A596E">
      <w:pPr>
        <w:pStyle w:val="Ttulo1"/>
      </w:pPr>
      <w:bookmarkStart w:id="107" w:name="_Toc166594496"/>
      <w:r w:rsidRPr="00FF4346">
        <w:t>Nota 21 – Benefícios a empregados</w:t>
      </w:r>
      <w:bookmarkEnd w:id="101"/>
      <w:bookmarkEnd w:id="107"/>
    </w:p>
    <w:p w14:paraId="1FE39681" w14:textId="46FFA3C4" w:rsidR="00286A79" w:rsidRPr="00A33766" w:rsidRDefault="00286A79" w:rsidP="00286A79">
      <w:pPr>
        <w:spacing w:before="120" w:after="120"/>
        <w:jc w:val="both"/>
        <w:rPr>
          <w:rFonts w:ascii="CAIXA Std Book" w:hAnsi="CAIXA Std Book"/>
          <w:color w:val="005CA9"/>
          <w:sz w:val="20"/>
          <w:szCs w:val="20"/>
        </w:rPr>
      </w:pPr>
      <w:r w:rsidRPr="00A33766">
        <w:rPr>
          <w:rFonts w:ascii="CAIXA Std Book" w:hAnsi="CAIXA Std Book"/>
          <w:color w:val="005CA9"/>
          <w:sz w:val="20"/>
          <w:szCs w:val="20"/>
        </w:rPr>
        <w:t xml:space="preserve">As avaliações atuariais são semestrais, portanto, a nota de Benefícios a Empregados é elaborada nos semestres findos em 30 de junho e 31 de dezembro e estão disponíveis no sítio: </w:t>
      </w:r>
      <w:hyperlink r:id="rId64" w:history="1">
        <w:r w:rsidRPr="00A33766">
          <w:rPr>
            <w:rStyle w:val="Hyperlink"/>
            <w:rFonts w:ascii="CAIXA Std Book" w:hAnsi="CAIXA Std Book" w:cs="Yu Mincho Light"/>
            <w:color w:val="005CA9"/>
            <w:sz w:val="20"/>
            <w:szCs w:val="20"/>
          </w:rPr>
          <w:t>https://ri.caixa.gov.br/informacoes-financeiras/central-de-resultados/</w:t>
        </w:r>
      </w:hyperlink>
      <w:r w:rsidR="00501D5B">
        <w:rPr>
          <w:rFonts w:ascii="CAIXA Std Book" w:hAnsi="CAIXA Std Book"/>
          <w:color w:val="005CA9"/>
          <w:sz w:val="20"/>
          <w:szCs w:val="20"/>
        </w:rPr>
        <w:t xml:space="preserve">. </w:t>
      </w:r>
    </w:p>
    <w:p w14:paraId="604C361A" w14:textId="5BFAB9FA" w:rsidR="00C95AD1" w:rsidRPr="00FF4346" w:rsidRDefault="00C95AD1" w:rsidP="005A596E">
      <w:pPr>
        <w:pStyle w:val="Ttulo1"/>
      </w:pPr>
      <w:bookmarkStart w:id="108" w:name="_Toc166594497"/>
      <w:bookmarkEnd w:id="102"/>
      <w:r w:rsidRPr="00FF4346">
        <w:t>Nota 2</w:t>
      </w:r>
      <w:r w:rsidR="004917F8" w:rsidRPr="00FF4346">
        <w:t>2</w:t>
      </w:r>
      <w:r w:rsidRPr="00FF4346">
        <w:t xml:space="preserve"> – Outros passivos</w:t>
      </w:r>
      <w:bookmarkEnd w:id="108"/>
    </w:p>
    <w:tbl>
      <w:tblPr>
        <w:tblW w:w="5000" w:type="pct"/>
        <w:tblCellMar>
          <w:left w:w="70" w:type="dxa"/>
          <w:right w:w="70" w:type="dxa"/>
        </w:tblCellMar>
        <w:tblLook w:val="04A0" w:firstRow="1" w:lastRow="0" w:firstColumn="1" w:lastColumn="0" w:noHBand="0" w:noVBand="1"/>
      </w:tblPr>
      <w:tblGrid>
        <w:gridCol w:w="4686"/>
        <w:gridCol w:w="1239"/>
        <w:gridCol w:w="1239"/>
        <w:gridCol w:w="1239"/>
        <w:gridCol w:w="1234"/>
      </w:tblGrid>
      <w:tr w:rsidR="003B2B2A" w:rsidRPr="00A33766" w14:paraId="7E2D365A" w14:textId="77777777" w:rsidTr="004E2D2E">
        <w:trPr>
          <w:trHeight w:val="283"/>
        </w:trPr>
        <w:tc>
          <w:tcPr>
            <w:tcW w:w="2431" w:type="pct"/>
            <w:vMerge w:val="restart"/>
            <w:tcBorders>
              <w:top w:val="single" w:sz="4" w:space="0" w:color="F39200"/>
              <w:left w:val="nil"/>
              <w:bottom w:val="single" w:sz="4" w:space="0" w:color="F39200"/>
              <w:right w:val="nil"/>
            </w:tcBorders>
            <w:shd w:val="clear" w:color="auto" w:fill="auto"/>
            <w:vAlign w:val="center"/>
            <w:hideMark/>
          </w:tcPr>
          <w:p w14:paraId="05074CD3" w14:textId="77777777" w:rsidR="00027A61" w:rsidRPr="00FF4346" w:rsidRDefault="00027A61">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Descrição</w:t>
            </w:r>
          </w:p>
        </w:tc>
        <w:tc>
          <w:tcPr>
            <w:tcW w:w="1286" w:type="pct"/>
            <w:gridSpan w:val="2"/>
            <w:tcBorders>
              <w:top w:val="single" w:sz="4" w:space="0" w:color="F39200"/>
              <w:left w:val="nil"/>
              <w:bottom w:val="single" w:sz="4" w:space="0" w:color="F39200"/>
              <w:right w:val="nil"/>
            </w:tcBorders>
            <w:shd w:val="clear" w:color="auto" w:fill="auto"/>
            <w:vAlign w:val="center"/>
            <w:hideMark/>
          </w:tcPr>
          <w:p w14:paraId="1631708E" w14:textId="77777777" w:rsidR="00027A61" w:rsidRPr="00FF4346" w:rsidRDefault="00027A61" w:rsidP="00027A61">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INDIVIDUAL</w:t>
            </w:r>
          </w:p>
        </w:tc>
        <w:tc>
          <w:tcPr>
            <w:tcW w:w="1283" w:type="pct"/>
            <w:gridSpan w:val="2"/>
            <w:tcBorders>
              <w:top w:val="single" w:sz="4" w:space="0" w:color="F39200"/>
              <w:left w:val="nil"/>
              <w:bottom w:val="single" w:sz="4" w:space="0" w:color="F39200"/>
              <w:right w:val="nil"/>
            </w:tcBorders>
            <w:shd w:val="clear" w:color="auto" w:fill="auto"/>
            <w:vAlign w:val="center"/>
            <w:hideMark/>
          </w:tcPr>
          <w:p w14:paraId="01B7AB24" w14:textId="77777777" w:rsidR="00027A61" w:rsidRPr="00FF4346" w:rsidRDefault="00027A61">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CONSOLIDADO</w:t>
            </w:r>
          </w:p>
        </w:tc>
      </w:tr>
      <w:tr w:rsidR="00D86553" w:rsidRPr="00A33766" w14:paraId="085DF04C" w14:textId="77777777" w:rsidTr="004E2D2E">
        <w:trPr>
          <w:trHeight w:val="283"/>
        </w:trPr>
        <w:tc>
          <w:tcPr>
            <w:tcW w:w="2431" w:type="pct"/>
            <w:vMerge/>
            <w:tcBorders>
              <w:top w:val="single" w:sz="4" w:space="0" w:color="F39200"/>
              <w:bottom w:val="single" w:sz="4" w:space="0" w:color="F39200"/>
            </w:tcBorders>
            <w:vAlign w:val="center"/>
            <w:hideMark/>
          </w:tcPr>
          <w:p w14:paraId="278B1655" w14:textId="77777777" w:rsidR="00D86553" w:rsidRPr="00FF4346" w:rsidRDefault="00D86553" w:rsidP="00D86553">
            <w:pPr>
              <w:rPr>
                <w:rFonts w:ascii="CAIXA Std Book" w:hAnsi="CAIXA Std Book" w:cs="Cambria Math"/>
                <w:b/>
                <w:color w:val="005CA9"/>
                <w:sz w:val="18"/>
                <w:szCs w:val="18"/>
              </w:rPr>
            </w:pPr>
          </w:p>
        </w:tc>
        <w:tc>
          <w:tcPr>
            <w:tcW w:w="643" w:type="pct"/>
            <w:tcBorders>
              <w:top w:val="single" w:sz="4" w:space="0" w:color="F39200"/>
              <w:left w:val="nil"/>
              <w:bottom w:val="single" w:sz="4" w:space="0" w:color="F39200"/>
              <w:right w:val="nil"/>
            </w:tcBorders>
            <w:shd w:val="clear" w:color="auto" w:fill="auto"/>
            <w:noWrap/>
            <w:vAlign w:val="center"/>
          </w:tcPr>
          <w:p w14:paraId="1DE47A32" w14:textId="1F058B66" w:rsidR="00D86553" w:rsidRPr="00FF4346" w:rsidRDefault="00D86553" w:rsidP="00D86553">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w:t>
            </w:r>
            <w:r>
              <w:rPr>
                <w:rFonts w:ascii="CAIXA Std Book" w:hAnsi="CAIXA Std Book" w:cs="Cambria Math"/>
                <w:b/>
                <w:color w:val="005CA9"/>
                <w:sz w:val="18"/>
                <w:szCs w:val="18"/>
              </w:rPr>
              <w:t>03/2024</w:t>
            </w:r>
          </w:p>
        </w:tc>
        <w:tc>
          <w:tcPr>
            <w:tcW w:w="643" w:type="pct"/>
            <w:tcBorders>
              <w:top w:val="single" w:sz="4" w:space="0" w:color="F39200"/>
              <w:left w:val="nil"/>
              <w:bottom w:val="single" w:sz="4" w:space="0" w:color="F39200"/>
              <w:right w:val="nil"/>
            </w:tcBorders>
            <w:shd w:val="clear" w:color="auto" w:fill="auto"/>
            <w:vAlign w:val="center"/>
            <w:hideMark/>
          </w:tcPr>
          <w:p w14:paraId="6130964C" w14:textId="117EA552" w:rsidR="00D86553" w:rsidRPr="00FF4346" w:rsidRDefault="00D86553" w:rsidP="00D86553">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31/12/2023</w:t>
            </w:r>
          </w:p>
        </w:tc>
        <w:tc>
          <w:tcPr>
            <w:tcW w:w="643" w:type="pct"/>
            <w:tcBorders>
              <w:top w:val="single" w:sz="4" w:space="0" w:color="F39200"/>
              <w:left w:val="nil"/>
              <w:bottom w:val="single" w:sz="4" w:space="0" w:color="F39200"/>
              <w:right w:val="nil"/>
            </w:tcBorders>
            <w:shd w:val="clear" w:color="auto" w:fill="auto"/>
            <w:noWrap/>
            <w:vAlign w:val="center"/>
          </w:tcPr>
          <w:p w14:paraId="2002BC0D" w14:textId="7105E192" w:rsidR="00D86553" w:rsidRPr="00FF4346" w:rsidRDefault="00D86553" w:rsidP="00D86553">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w:t>
            </w:r>
            <w:r>
              <w:rPr>
                <w:rFonts w:ascii="CAIXA Std Book" w:hAnsi="CAIXA Std Book" w:cs="Cambria Math"/>
                <w:b/>
                <w:color w:val="005CA9"/>
                <w:sz w:val="18"/>
                <w:szCs w:val="18"/>
              </w:rPr>
              <w:t>03/2024</w:t>
            </w:r>
          </w:p>
        </w:tc>
        <w:tc>
          <w:tcPr>
            <w:tcW w:w="640" w:type="pct"/>
            <w:tcBorders>
              <w:top w:val="single" w:sz="4" w:space="0" w:color="F39200"/>
              <w:left w:val="nil"/>
              <w:bottom w:val="single" w:sz="4" w:space="0" w:color="F39200"/>
              <w:right w:val="nil"/>
            </w:tcBorders>
            <w:shd w:val="clear" w:color="auto" w:fill="auto"/>
            <w:vAlign w:val="center"/>
            <w:hideMark/>
          </w:tcPr>
          <w:p w14:paraId="23F4FB6B" w14:textId="14346EE1" w:rsidR="00D86553" w:rsidRPr="00FF4346" w:rsidRDefault="00D86553" w:rsidP="00D86553">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31/12/2023</w:t>
            </w:r>
          </w:p>
        </w:tc>
      </w:tr>
      <w:tr w:rsidR="003D4237" w:rsidRPr="00A33766" w14:paraId="5CCA1E53" w14:textId="77777777" w:rsidTr="004E2D2E">
        <w:trPr>
          <w:trHeight w:val="283"/>
        </w:trPr>
        <w:tc>
          <w:tcPr>
            <w:tcW w:w="2431" w:type="pct"/>
            <w:tcBorders>
              <w:top w:val="single" w:sz="4" w:space="0" w:color="F39200"/>
              <w:left w:val="nil"/>
              <w:bottom w:val="nil"/>
              <w:right w:val="nil"/>
            </w:tcBorders>
            <w:shd w:val="clear" w:color="auto" w:fill="auto"/>
            <w:vAlign w:val="center"/>
            <w:hideMark/>
          </w:tcPr>
          <w:p w14:paraId="0E077EB8"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Relações Interfinanceiras e Interdependências</w:t>
            </w:r>
          </w:p>
        </w:tc>
        <w:tc>
          <w:tcPr>
            <w:tcW w:w="643" w:type="pct"/>
            <w:tcBorders>
              <w:top w:val="nil"/>
              <w:left w:val="nil"/>
              <w:bottom w:val="nil"/>
              <w:right w:val="nil"/>
            </w:tcBorders>
            <w:shd w:val="clear" w:color="auto" w:fill="auto"/>
            <w:vAlign w:val="center"/>
          </w:tcPr>
          <w:p w14:paraId="5095055A" w14:textId="25526068"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14.735.708</w:t>
            </w:r>
          </w:p>
        </w:tc>
        <w:tc>
          <w:tcPr>
            <w:tcW w:w="643" w:type="pct"/>
            <w:tcBorders>
              <w:top w:val="nil"/>
              <w:left w:val="nil"/>
              <w:bottom w:val="nil"/>
              <w:right w:val="nil"/>
            </w:tcBorders>
            <w:shd w:val="clear" w:color="auto" w:fill="auto"/>
            <w:noWrap/>
            <w:vAlign w:val="center"/>
            <w:hideMark/>
          </w:tcPr>
          <w:p w14:paraId="7FFB237C" w14:textId="03A56E17"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13.669.646</w:t>
            </w:r>
          </w:p>
        </w:tc>
        <w:tc>
          <w:tcPr>
            <w:tcW w:w="643" w:type="pct"/>
            <w:tcBorders>
              <w:top w:val="nil"/>
              <w:left w:val="nil"/>
              <w:bottom w:val="nil"/>
              <w:right w:val="nil"/>
            </w:tcBorders>
            <w:shd w:val="clear" w:color="auto" w:fill="auto"/>
            <w:vAlign w:val="center"/>
          </w:tcPr>
          <w:p w14:paraId="608D4B6C" w14:textId="6C4EBC5F"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14.735.708</w:t>
            </w:r>
          </w:p>
        </w:tc>
        <w:tc>
          <w:tcPr>
            <w:tcW w:w="640" w:type="pct"/>
            <w:tcBorders>
              <w:top w:val="nil"/>
              <w:left w:val="nil"/>
              <w:bottom w:val="nil"/>
              <w:right w:val="nil"/>
            </w:tcBorders>
            <w:shd w:val="clear" w:color="auto" w:fill="auto"/>
            <w:noWrap/>
            <w:vAlign w:val="center"/>
            <w:hideMark/>
          </w:tcPr>
          <w:p w14:paraId="27936659" w14:textId="06592872"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13.669.646</w:t>
            </w:r>
          </w:p>
        </w:tc>
      </w:tr>
      <w:tr w:rsidR="003D4237" w:rsidRPr="00A33766" w14:paraId="158598A4" w14:textId="77777777" w:rsidTr="004E2D2E">
        <w:trPr>
          <w:trHeight w:val="283"/>
        </w:trPr>
        <w:tc>
          <w:tcPr>
            <w:tcW w:w="2431" w:type="pct"/>
            <w:tcBorders>
              <w:top w:val="nil"/>
              <w:left w:val="nil"/>
              <w:bottom w:val="nil"/>
              <w:right w:val="nil"/>
            </w:tcBorders>
            <w:shd w:val="clear" w:color="auto" w:fill="auto"/>
            <w:vAlign w:val="center"/>
            <w:hideMark/>
          </w:tcPr>
          <w:p w14:paraId="50FA469E"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Credores por recursos a liberar</w:t>
            </w:r>
          </w:p>
        </w:tc>
        <w:tc>
          <w:tcPr>
            <w:tcW w:w="643" w:type="pct"/>
            <w:tcBorders>
              <w:top w:val="nil"/>
              <w:left w:val="nil"/>
              <w:bottom w:val="nil"/>
              <w:right w:val="nil"/>
            </w:tcBorders>
            <w:shd w:val="clear" w:color="auto" w:fill="auto"/>
            <w:vAlign w:val="center"/>
          </w:tcPr>
          <w:p w14:paraId="2C740DE4" w14:textId="65C09AA5"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8.096.508</w:t>
            </w:r>
          </w:p>
        </w:tc>
        <w:tc>
          <w:tcPr>
            <w:tcW w:w="643" w:type="pct"/>
            <w:tcBorders>
              <w:top w:val="nil"/>
              <w:left w:val="nil"/>
              <w:bottom w:val="nil"/>
              <w:right w:val="nil"/>
            </w:tcBorders>
            <w:shd w:val="clear" w:color="auto" w:fill="auto"/>
            <w:noWrap/>
            <w:vAlign w:val="center"/>
            <w:hideMark/>
          </w:tcPr>
          <w:p w14:paraId="7B45AC48" w14:textId="65D5753B"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7.196.583</w:t>
            </w:r>
          </w:p>
        </w:tc>
        <w:tc>
          <w:tcPr>
            <w:tcW w:w="643" w:type="pct"/>
            <w:tcBorders>
              <w:top w:val="nil"/>
              <w:left w:val="nil"/>
              <w:bottom w:val="nil"/>
              <w:right w:val="nil"/>
            </w:tcBorders>
            <w:shd w:val="clear" w:color="auto" w:fill="auto"/>
            <w:vAlign w:val="center"/>
          </w:tcPr>
          <w:p w14:paraId="3AEF38CC" w14:textId="69D5715E"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8.096.508</w:t>
            </w:r>
          </w:p>
        </w:tc>
        <w:tc>
          <w:tcPr>
            <w:tcW w:w="640" w:type="pct"/>
            <w:tcBorders>
              <w:top w:val="nil"/>
              <w:left w:val="nil"/>
              <w:bottom w:val="nil"/>
              <w:right w:val="nil"/>
            </w:tcBorders>
            <w:shd w:val="clear" w:color="auto" w:fill="auto"/>
            <w:noWrap/>
            <w:vAlign w:val="center"/>
            <w:hideMark/>
          </w:tcPr>
          <w:p w14:paraId="0662C0A8" w14:textId="06B4D274"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7.196.583</w:t>
            </w:r>
          </w:p>
        </w:tc>
      </w:tr>
      <w:tr w:rsidR="003D4237" w:rsidRPr="00A33766" w14:paraId="4696EE9D" w14:textId="77777777" w:rsidTr="004E2D2E">
        <w:trPr>
          <w:trHeight w:val="283"/>
        </w:trPr>
        <w:tc>
          <w:tcPr>
            <w:tcW w:w="2431" w:type="pct"/>
            <w:tcBorders>
              <w:top w:val="nil"/>
              <w:left w:val="nil"/>
              <w:bottom w:val="nil"/>
              <w:right w:val="nil"/>
            </w:tcBorders>
            <w:shd w:val="clear" w:color="auto" w:fill="auto"/>
            <w:vAlign w:val="center"/>
            <w:hideMark/>
          </w:tcPr>
          <w:p w14:paraId="413D9A7A"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Credores diversos - país</w:t>
            </w:r>
          </w:p>
        </w:tc>
        <w:tc>
          <w:tcPr>
            <w:tcW w:w="643" w:type="pct"/>
            <w:tcBorders>
              <w:top w:val="nil"/>
              <w:left w:val="nil"/>
              <w:bottom w:val="nil"/>
              <w:right w:val="nil"/>
            </w:tcBorders>
            <w:shd w:val="clear" w:color="auto" w:fill="auto"/>
            <w:vAlign w:val="center"/>
          </w:tcPr>
          <w:p w14:paraId="735C1E6C" w14:textId="0D3C99E5"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6.397.066</w:t>
            </w:r>
          </w:p>
        </w:tc>
        <w:tc>
          <w:tcPr>
            <w:tcW w:w="643" w:type="pct"/>
            <w:tcBorders>
              <w:top w:val="nil"/>
              <w:left w:val="nil"/>
              <w:bottom w:val="nil"/>
              <w:right w:val="nil"/>
            </w:tcBorders>
            <w:shd w:val="clear" w:color="auto" w:fill="auto"/>
            <w:noWrap/>
            <w:vAlign w:val="center"/>
            <w:hideMark/>
          </w:tcPr>
          <w:p w14:paraId="300808DA" w14:textId="04C4D03D"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6.322.522</w:t>
            </w:r>
          </w:p>
        </w:tc>
        <w:tc>
          <w:tcPr>
            <w:tcW w:w="643" w:type="pct"/>
            <w:tcBorders>
              <w:top w:val="nil"/>
              <w:left w:val="nil"/>
              <w:bottom w:val="nil"/>
              <w:right w:val="nil"/>
            </w:tcBorders>
            <w:shd w:val="clear" w:color="auto" w:fill="auto"/>
            <w:vAlign w:val="center"/>
          </w:tcPr>
          <w:p w14:paraId="3F485129" w14:textId="702D5F6F"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6.401.080</w:t>
            </w:r>
          </w:p>
        </w:tc>
        <w:tc>
          <w:tcPr>
            <w:tcW w:w="640" w:type="pct"/>
            <w:tcBorders>
              <w:top w:val="nil"/>
              <w:left w:val="nil"/>
              <w:bottom w:val="nil"/>
              <w:right w:val="nil"/>
            </w:tcBorders>
            <w:shd w:val="clear" w:color="auto" w:fill="auto"/>
            <w:noWrap/>
            <w:vAlign w:val="center"/>
            <w:hideMark/>
          </w:tcPr>
          <w:p w14:paraId="545E740D" w14:textId="5CCB86B9"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6.327.152</w:t>
            </w:r>
          </w:p>
        </w:tc>
      </w:tr>
      <w:tr w:rsidR="003D4237" w:rsidRPr="00A33766" w14:paraId="6EBA024A" w14:textId="77777777" w:rsidTr="004E2D2E">
        <w:trPr>
          <w:trHeight w:val="283"/>
        </w:trPr>
        <w:tc>
          <w:tcPr>
            <w:tcW w:w="2431" w:type="pct"/>
            <w:tcBorders>
              <w:top w:val="nil"/>
              <w:left w:val="nil"/>
              <w:bottom w:val="nil"/>
              <w:right w:val="nil"/>
            </w:tcBorders>
            <w:shd w:val="clear" w:color="auto" w:fill="auto"/>
            <w:vAlign w:val="center"/>
          </w:tcPr>
          <w:p w14:paraId="274CD959"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Sociais e estatutárias</w:t>
            </w:r>
          </w:p>
        </w:tc>
        <w:tc>
          <w:tcPr>
            <w:tcW w:w="643" w:type="pct"/>
            <w:tcBorders>
              <w:top w:val="nil"/>
              <w:left w:val="nil"/>
              <w:bottom w:val="nil"/>
              <w:right w:val="nil"/>
            </w:tcBorders>
            <w:shd w:val="clear" w:color="auto" w:fill="auto"/>
            <w:vAlign w:val="center"/>
          </w:tcPr>
          <w:p w14:paraId="4A3AFCC7" w14:textId="3C3F9F1B"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367.289</w:t>
            </w:r>
          </w:p>
        </w:tc>
        <w:tc>
          <w:tcPr>
            <w:tcW w:w="643" w:type="pct"/>
            <w:tcBorders>
              <w:top w:val="nil"/>
              <w:left w:val="nil"/>
              <w:bottom w:val="nil"/>
              <w:right w:val="nil"/>
            </w:tcBorders>
            <w:shd w:val="clear" w:color="auto" w:fill="auto"/>
            <w:noWrap/>
            <w:vAlign w:val="center"/>
          </w:tcPr>
          <w:p w14:paraId="54004924" w14:textId="6C54E70A" w:rsidR="003D4237" w:rsidRPr="00FF4346" w:rsidRDefault="003D4237" w:rsidP="003D4237">
            <w:pPr>
              <w:jc w:val="right"/>
              <w:rPr>
                <w:rFonts w:ascii="CAIXA Std Book" w:hAnsi="CAIXA Std Book" w:cs="Arial"/>
                <w:color w:val="005CA9"/>
                <w:sz w:val="18"/>
                <w:szCs w:val="18"/>
              </w:rPr>
            </w:pPr>
            <w:r w:rsidRPr="00FF4346">
              <w:rPr>
                <w:rFonts w:ascii="CAIXA Std Book" w:hAnsi="CAIXA Std Book" w:cs="Arial"/>
                <w:color w:val="005CA9"/>
                <w:sz w:val="18"/>
                <w:szCs w:val="18"/>
              </w:rPr>
              <w:t>4.064.976</w:t>
            </w:r>
          </w:p>
        </w:tc>
        <w:tc>
          <w:tcPr>
            <w:tcW w:w="643" w:type="pct"/>
            <w:tcBorders>
              <w:top w:val="nil"/>
              <w:left w:val="nil"/>
              <w:bottom w:val="nil"/>
              <w:right w:val="nil"/>
            </w:tcBorders>
            <w:shd w:val="clear" w:color="auto" w:fill="auto"/>
            <w:vAlign w:val="center"/>
          </w:tcPr>
          <w:p w14:paraId="2A02C4AB" w14:textId="4A389151"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600.801</w:t>
            </w:r>
          </w:p>
        </w:tc>
        <w:tc>
          <w:tcPr>
            <w:tcW w:w="640" w:type="pct"/>
            <w:tcBorders>
              <w:top w:val="nil"/>
              <w:left w:val="nil"/>
              <w:bottom w:val="nil"/>
              <w:right w:val="nil"/>
            </w:tcBorders>
            <w:shd w:val="clear" w:color="auto" w:fill="auto"/>
            <w:noWrap/>
            <w:vAlign w:val="center"/>
          </w:tcPr>
          <w:p w14:paraId="473F9EC0" w14:textId="1B434264"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4.295.833</w:t>
            </w:r>
          </w:p>
        </w:tc>
      </w:tr>
      <w:tr w:rsidR="003D4237" w:rsidRPr="00A33766" w14:paraId="44FDFBE1" w14:textId="77777777" w:rsidTr="004E2D2E">
        <w:trPr>
          <w:trHeight w:val="283"/>
        </w:trPr>
        <w:tc>
          <w:tcPr>
            <w:tcW w:w="2431" w:type="pct"/>
            <w:tcBorders>
              <w:top w:val="nil"/>
              <w:left w:val="nil"/>
              <w:bottom w:val="nil"/>
              <w:right w:val="nil"/>
            </w:tcBorders>
            <w:shd w:val="clear" w:color="auto" w:fill="auto"/>
            <w:vAlign w:val="center"/>
          </w:tcPr>
          <w:p w14:paraId="70F6C937"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Provisão para pagamentos a efetuar</w:t>
            </w:r>
          </w:p>
        </w:tc>
        <w:tc>
          <w:tcPr>
            <w:tcW w:w="643" w:type="pct"/>
            <w:tcBorders>
              <w:top w:val="nil"/>
              <w:left w:val="nil"/>
              <w:bottom w:val="nil"/>
              <w:right w:val="nil"/>
            </w:tcBorders>
            <w:shd w:val="clear" w:color="auto" w:fill="auto"/>
            <w:vAlign w:val="center"/>
          </w:tcPr>
          <w:p w14:paraId="46923865" w14:textId="5AABEDD2"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5.237.093</w:t>
            </w:r>
          </w:p>
        </w:tc>
        <w:tc>
          <w:tcPr>
            <w:tcW w:w="643" w:type="pct"/>
            <w:tcBorders>
              <w:top w:val="nil"/>
              <w:left w:val="nil"/>
              <w:bottom w:val="nil"/>
              <w:right w:val="nil"/>
            </w:tcBorders>
            <w:shd w:val="clear" w:color="auto" w:fill="auto"/>
            <w:noWrap/>
            <w:vAlign w:val="center"/>
          </w:tcPr>
          <w:p w14:paraId="728A4671" w14:textId="2A577E52"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4.005.806</w:t>
            </w:r>
          </w:p>
        </w:tc>
        <w:tc>
          <w:tcPr>
            <w:tcW w:w="643" w:type="pct"/>
            <w:tcBorders>
              <w:top w:val="nil"/>
              <w:left w:val="nil"/>
              <w:bottom w:val="nil"/>
              <w:right w:val="nil"/>
            </w:tcBorders>
            <w:shd w:val="clear" w:color="auto" w:fill="auto"/>
            <w:vAlign w:val="center"/>
          </w:tcPr>
          <w:p w14:paraId="3DBD4F64" w14:textId="60526E55"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5.241.348</w:t>
            </w:r>
          </w:p>
        </w:tc>
        <w:tc>
          <w:tcPr>
            <w:tcW w:w="640" w:type="pct"/>
            <w:tcBorders>
              <w:top w:val="nil"/>
              <w:left w:val="nil"/>
              <w:bottom w:val="nil"/>
              <w:right w:val="nil"/>
            </w:tcBorders>
            <w:shd w:val="clear" w:color="auto" w:fill="auto"/>
            <w:noWrap/>
            <w:vAlign w:val="center"/>
          </w:tcPr>
          <w:p w14:paraId="229B905D" w14:textId="5D6119A5"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4.027.470</w:t>
            </w:r>
          </w:p>
        </w:tc>
      </w:tr>
      <w:tr w:rsidR="003D4237" w:rsidRPr="00A33766" w14:paraId="4E678BA0" w14:textId="77777777" w:rsidTr="004E2D2E">
        <w:trPr>
          <w:trHeight w:val="283"/>
        </w:trPr>
        <w:tc>
          <w:tcPr>
            <w:tcW w:w="2431" w:type="pct"/>
            <w:tcBorders>
              <w:top w:val="nil"/>
              <w:left w:val="nil"/>
              <w:bottom w:val="nil"/>
              <w:right w:val="nil"/>
            </w:tcBorders>
            <w:shd w:val="clear" w:color="auto" w:fill="auto"/>
            <w:vAlign w:val="center"/>
          </w:tcPr>
          <w:p w14:paraId="5EB4B423"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Valores a pagar a sociedades ligadas</w:t>
            </w:r>
          </w:p>
        </w:tc>
        <w:tc>
          <w:tcPr>
            <w:tcW w:w="643" w:type="pct"/>
            <w:tcBorders>
              <w:top w:val="nil"/>
              <w:left w:val="nil"/>
              <w:bottom w:val="nil"/>
              <w:right w:val="nil"/>
            </w:tcBorders>
            <w:shd w:val="clear" w:color="auto" w:fill="auto"/>
            <w:vAlign w:val="center"/>
          </w:tcPr>
          <w:p w14:paraId="556F94E8" w14:textId="7FACA9E6"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557.488</w:t>
            </w:r>
          </w:p>
        </w:tc>
        <w:tc>
          <w:tcPr>
            <w:tcW w:w="643" w:type="pct"/>
            <w:tcBorders>
              <w:top w:val="nil"/>
              <w:left w:val="nil"/>
              <w:bottom w:val="nil"/>
              <w:right w:val="nil"/>
            </w:tcBorders>
            <w:shd w:val="clear" w:color="auto" w:fill="auto"/>
            <w:noWrap/>
            <w:vAlign w:val="center"/>
          </w:tcPr>
          <w:p w14:paraId="34B05B3A" w14:textId="0602C4BE"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598.430</w:t>
            </w:r>
          </w:p>
        </w:tc>
        <w:tc>
          <w:tcPr>
            <w:tcW w:w="643" w:type="pct"/>
            <w:tcBorders>
              <w:top w:val="nil"/>
              <w:left w:val="nil"/>
              <w:bottom w:val="nil"/>
              <w:right w:val="nil"/>
            </w:tcBorders>
            <w:shd w:val="clear" w:color="auto" w:fill="auto"/>
            <w:vAlign w:val="center"/>
          </w:tcPr>
          <w:p w14:paraId="6CA89CD4" w14:textId="4F276F2F"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557.323</w:t>
            </w:r>
          </w:p>
        </w:tc>
        <w:tc>
          <w:tcPr>
            <w:tcW w:w="640" w:type="pct"/>
            <w:tcBorders>
              <w:top w:val="nil"/>
              <w:left w:val="nil"/>
              <w:bottom w:val="nil"/>
              <w:right w:val="nil"/>
            </w:tcBorders>
            <w:shd w:val="clear" w:color="auto" w:fill="auto"/>
            <w:noWrap/>
            <w:vAlign w:val="center"/>
          </w:tcPr>
          <w:p w14:paraId="1B956C46" w14:textId="35CD35E1"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598.430</w:t>
            </w:r>
          </w:p>
        </w:tc>
      </w:tr>
      <w:tr w:rsidR="003D4237" w:rsidRPr="00A33766" w14:paraId="274AD918" w14:textId="77777777" w:rsidTr="004E2D2E">
        <w:trPr>
          <w:trHeight w:val="283"/>
        </w:trPr>
        <w:tc>
          <w:tcPr>
            <w:tcW w:w="2431" w:type="pct"/>
            <w:tcBorders>
              <w:top w:val="nil"/>
              <w:left w:val="nil"/>
              <w:bottom w:val="nil"/>
              <w:right w:val="nil"/>
            </w:tcBorders>
            <w:shd w:val="clear" w:color="auto" w:fill="auto"/>
            <w:vAlign w:val="center"/>
          </w:tcPr>
          <w:p w14:paraId="0CC37E48"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Prestação de serviços de pagamentos</w:t>
            </w:r>
          </w:p>
        </w:tc>
        <w:tc>
          <w:tcPr>
            <w:tcW w:w="643" w:type="pct"/>
            <w:tcBorders>
              <w:top w:val="nil"/>
              <w:left w:val="nil"/>
              <w:bottom w:val="nil"/>
              <w:right w:val="nil"/>
            </w:tcBorders>
            <w:shd w:val="clear" w:color="auto" w:fill="auto"/>
            <w:vAlign w:val="center"/>
          </w:tcPr>
          <w:p w14:paraId="42D04E6C" w14:textId="556D8FF7"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433.679</w:t>
            </w:r>
          </w:p>
        </w:tc>
        <w:tc>
          <w:tcPr>
            <w:tcW w:w="643" w:type="pct"/>
            <w:tcBorders>
              <w:top w:val="nil"/>
              <w:left w:val="nil"/>
              <w:bottom w:val="nil"/>
              <w:right w:val="nil"/>
            </w:tcBorders>
            <w:shd w:val="clear" w:color="auto" w:fill="auto"/>
            <w:noWrap/>
            <w:vAlign w:val="center"/>
          </w:tcPr>
          <w:p w14:paraId="4C5D5CE6" w14:textId="16098E54"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455.544</w:t>
            </w:r>
          </w:p>
        </w:tc>
        <w:tc>
          <w:tcPr>
            <w:tcW w:w="643" w:type="pct"/>
            <w:tcBorders>
              <w:top w:val="nil"/>
              <w:left w:val="nil"/>
              <w:bottom w:val="nil"/>
              <w:right w:val="nil"/>
            </w:tcBorders>
            <w:shd w:val="clear" w:color="auto" w:fill="auto"/>
            <w:vAlign w:val="center"/>
          </w:tcPr>
          <w:p w14:paraId="34C1D153" w14:textId="7C94B65C"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433.679</w:t>
            </w:r>
          </w:p>
        </w:tc>
        <w:tc>
          <w:tcPr>
            <w:tcW w:w="640" w:type="pct"/>
            <w:tcBorders>
              <w:top w:val="nil"/>
              <w:left w:val="nil"/>
              <w:bottom w:val="nil"/>
              <w:right w:val="nil"/>
            </w:tcBorders>
            <w:shd w:val="clear" w:color="auto" w:fill="auto"/>
            <w:noWrap/>
            <w:vAlign w:val="center"/>
          </w:tcPr>
          <w:p w14:paraId="0A883AF7" w14:textId="2A2473DC"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455.544</w:t>
            </w:r>
          </w:p>
        </w:tc>
      </w:tr>
      <w:tr w:rsidR="003D4237" w:rsidRPr="00A33766" w14:paraId="7AA02F5E" w14:textId="77777777" w:rsidTr="004E2D2E">
        <w:trPr>
          <w:trHeight w:val="283"/>
        </w:trPr>
        <w:tc>
          <w:tcPr>
            <w:tcW w:w="2431" w:type="pct"/>
            <w:tcBorders>
              <w:top w:val="nil"/>
              <w:left w:val="nil"/>
              <w:bottom w:val="nil"/>
              <w:right w:val="nil"/>
            </w:tcBorders>
            <w:shd w:val="clear" w:color="auto" w:fill="auto"/>
            <w:vAlign w:val="center"/>
          </w:tcPr>
          <w:p w14:paraId="7D772C81" w14:textId="77777777"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Cobrança e arrecadações de tributos e assemelhados</w:t>
            </w:r>
          </w:p>
        </w:tc>
        <w:tc>
          <w:tcPr>
            <w:tcW w:w="643" w:type="pct"/>
            <w:tcBorders>
              <w:top w:val="nil"/>
              <w:left w:val="nil"/>
              <w:bottom w:val="nil"/>
              <w:right w:val="nil"/>
            </w:tcBorders>
            <w:shd w:val="clear" w:color="auto" w:fill="auto"/>
            <w:vAlign w:val="center"/>
          </w:tcPr>
          <w:p w14:paraId="5FF3594E" w14:textId="096425B0"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1.284.574</w:t>
            </w:r>
          </w:p>
        </w:tc>
        <w:tc>
          <w:tcPr>
            <w:tcW w:w="643" w:type="pct"/>
            <w:tcBorders>
              <w:top w:val="nil"/>
              <w:left w:val="nil"/>
              <w:bottom w:val="nil"/>
              <w:right w:val="nil"/>
            </w:tcBorders>
            <w:shd w:val="clear" w:color="auto" w:fill="auto"/>
            <w:noWrap/>
            <w:vAlign w:val="center"/>
          </w:tcPr>
          <w:p w14:paraId="15B5FCB3" w14:textId="02805A16"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286.580</w:t>
            </w:r>
          </w:p>
        </w:tc>
        <w:tc>
          <w:tcPr>
            <w:tcW w:w="643" w:type="pct"/>
            <w:tcBorders>
              <w:top w:val="nil"/>
              <w:left w:val="nil"/>
              <w:bottom w:val="nil"/>
              <w:right w:val="nil"/>
            </w:tcBorders>
            <w:shd w:val="clear" w:color="auto" w:fill="auto"/>
            <w:vAlign w:val="center"/>
          </w:tcPr>
          <w:p w14:paraId="01AC2012" w14:textId="54BF60E3"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1.284.574</w:t>
            </w:r>
          </w:p>
        </w:tc>
        <w:tc>
          <w:tcPr>
            <w:tcW w:w="640" w:type="pct"/>
            <w:tcBorders>
              <w:top w:val="nil"/>
              <w:left w:val="nil"/>
              <w:bottom w:val="nil"/>
              <w:right w:val="nil"/>
            </w:tcBorders>
            <w:shd w:val="clear" w:color="auto" w:fill="auto"/>
            <w:noWrap/>
            <w:vAlign w:val="center"/>
          </w:tcPr>
          <w:p w14:paraId="4356F921" w14:textId="0FE235FD"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286.580</w:t>
            </w:r>
          </w:p>
        </w:tc>
      </w:tr>
      <w:tr w:rsidR="003D4237" w:rsidRPr="00A33766" w14:paraId="0CF5E0ED" w14:textId="77777777" w:rsidTr="004E2D2E">
        <w:trPr>
          <w:trHeight w:val="283"/>
        </w:trPr>
        <w:tc>
          <w:tcPr>
            <w:tcW w:w="2431" w:type="pct"/>
            <w:tcBorders>
              <w:top w:val="nil"/>
              <w:left w:val="nil"/>
              <w:bottom w:val="nil"/>
              <w:right w:val="nil"/>
            </w:tcBorders>
            <w:shd w:val="clear" w:color="auto" w:fill="auto"/>
            <w:vAlign w:val="center"/>
          </w:tcPr>
          <w:p w14:paraId="0BD60159" w14:textId="1C4E1C2A" w:rsidR="003D4237" w:rsidRPr="00FF4346" w:rsidRDefault="003D4237" w:rsidP="003D4237">
            <w:pPr>
              <w:rPr>
                <w:rFonts w:ascii="CAIXA Std Book" w:hAnsi="CAIXA Std Book" w:cs="Arial"/>
                <w:color w:val="005CA9"/>
                <w:sz w:val="18"/>
                <w:szCs w:val="18"/>
              </w:rPr>
            </w:pPr>
            <w:r w:rsidRPr="00FF4346">
              <w:rPr>
                <w:rFonts w:ascii="CAIXA Std Book" w:hAnsi="CAIXA Std Book" w:cs="Arial"/>
                <w:color w:val="005CA9"/>
                <w:sz w:val="18"/>
                <w:szCs w:val="18"/>
              </w:rPr>
              <w:t>Obrigações diversas</w:t>
            </w:r>
          </w:p>
        </w:tc>
        <w:tc>
          <w:tcPr>
            <w:tcW w:w="643" w:type="pct"/>
            <w:tcBorders>
              <w:top w:val="nil"/>
              <w:left w:val="nil"/>
              <w:bottom w:val="nil"/>
              <w:right w:val="nil"/>
            </w:tcBorders>
            <w:shd w:val="clear" w:color="auto" w:fill="auto"/>
            <w:vAlign w:val="center"/>
          </w:tcPr>
          <w:p w14:paraId="2BFE76B2" w14:textId="31B629CA"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537.905</w:t>
            </w:r>
          </w:p>
        </w:tc>
        <w:tc>
          <w:tcPr>
            <w:tcW w:w="643" w:type="pct"/>
            <w:tcBorders>
              <w:top w:val="nil"/>
              <w:left w:val="nil"/>
              <w:bottom w:val="nil"/>
              <w:right w:val="nil"/>
            </w:tcBorders>
            <w:shd w:val="clear" w:color="auto" w:fill="auto"/>
            <w:noWrap/>
            <w:vAlign w:val="center"/>
          </w:tcPr>
          <w:p w14:paraId="5C1C4974" w14:textId="2ECD5C99" w:rsidR="003D4237" w:rsidRPr="00FF4346" w:rsidRDefault="003D4237" w:rsidP="003D4237">
            <w:pPr>
              <w:jc w:val="right"/>
              <w:rPr>
                <w:rFonts w:ascii="CAIXA Std Book" w:hAnsi="CAIXA Std Book" w:cs="Arial"/>
                <w:color w:val="005CA9"/>
                <w:sz w:val="18"/>
                <w:szCs w:val="18"/>
              </w:rPr>
            </w:pPr>
            <w:r w:rsidRPr="00FF4346">
              <w:rPr>
                <w:rFonts w:ascii="CAIXA Std Book" w:hAnsi="CAIXA Std Book" w:cs="Arial"/>
                <w:color w:val="005CA9"/>
                <w:sz w:val="18"/>
                <w:szCs w:val="18"/>
              </w:rPr>
              <w:t>493.469</w:t>
            </w:r>
          </w:p>
        </w:tc>
        <w:tc>
          <w:tcPr>
            <w:tcW w:w="643" w:type="pct"/>
            <w:tcBorders>
              <w:top w:val="nil"/>
              <w:left w:val="nil"/>
              <w:bottom w:val="nil"/>
              <w:right w:val="nil"/>
            </w:tcBorders>
            <w:shd w:val="clear" w:color="auto" w:fill="auto"/>
            <w:vAlign w:val="center"/>
          </w:tcPr>
          <w:p w14:paraId="443AC939" w14:textId="63B14DF4"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537.905</w:t>
            </w:r>
          </w:p>
        </w:tc>
        <w:tc>
          <w:tcPr>
            <w:tcW w:w="640" w:type="pct"/>
            <w:tcBorders>
              <w:top w:val="nil"/>
              <w:left w:val="nil"/>
              <w:bottom w:val="nil"/>
              <w:right w:val="nil"/>
            </w:tcBorders>
            <w:shd w:val="clear" w:color="auto" w:fill="auto"/>
            <w:noWrap/>
            <w:vAlign w:val="center"/>
          </w:tcPr>
          <w:p w14:paraId="1E4660A2" w14:textId="030DDEB6" w:rsidR="003D4237" w:rsidRPr="00FF4346" w:rsidRDefault="003D4237" w:rsidP="003D4237">
            <w:pPr>
              <w:jc w:val="right"/>
              <w:rPr>
                <w:rFonts w:ascii="CAIXA Std Book" w:hAnsi="CAIXA Std Book" w:cs="Arial"/>
                <w:color w:val="005CA9"/>
                <w:sz w:val="18"/>
                <w:szCs w:val="18"/>
              </w:rPr>
            </w:pPr>
            <w:r w:rsidRPr="00FF4346">
              <w:rPr>
                <w:rFonts w:ascii="CAIXA Std Book" w:hAnsi="CAIXA Std Book" w:cs="Arial"/>
                <w:color w:val="005CA9"/>
                <w:sz w:val="18"/>
                <w:szCs w:val="18"/>
              </w:rPr>
              <w:t>493.469</w:t>
            </w:r>
          </w:p>
        </w:tc>
      </w:tr>
      <w:tr w:rsidR="003D4237" w:rsidRPr="00A33766" w14:paraId="54C13138" w14:textId="77777777" w:rsidTr="004E2D2E">
        <w:trPr>
          <w:trHeight w:val="283"/>
        </w:trPr>
        <w:tc>
          <w:tcPr>
            <w:tcW w:w="2431" w:type="pct"/>
            <w:tcBorders>
              <w:top w:val="single" w:sz="4" w:space="0" w:color="F39200"/>
              <w:left w:val="nil"/>
              <w:bottom w:val="single" w:sz="4" w:space="0" w:color="F39200"/>
              <w:right w:val="nil"/>
            </w:tcBorders>
            <w:shd w:val="clear" w:color="auto" w:fill="auto"/>
            <w:noWrap/>
            <w:vAlign w:val="center"/>
            <w:hideMark/>
          </w:tcPr>
          <w:p w14:paraId="64AD88BB" w14:textId="2036A8E3" w:rsidR="003D4237" w:rsidRPr="00FF4346" w:rsidRDefault="003D4237" w:rsidP="003D4237">
            <w:pPr>
              <w:rPr>
                <w:rFonts w:ascii="CAIXA Std Book" w:hAnsi="CAIXA Std Book" w:cs="Cambria Math"/>
                <w:b/>
                <w:color w:val="005CA9"/>
                <w:sz w:val="18"/>
                <w:szCs w:val="18"/>
              </w:rPr>
            </w:pPr>
            <w:r w:rsidRPr="00FF4346">
              <w:rPr>
                <w:rFonts w:ascii="CAIXA Std Book" w:hAnsi="CAIXA Std Book" w:cs="Arial"/>
                <w:b/>
                <w:color w:val="005CA9"/>
                <w:sz w:val="18"/>
                <w:szCs w:val="18"/>
              </w:rPr>
              <w:t>Total</w:t>
            </w:r>
          </w:p>
        </w:tc>
        <w:tc>
          <w:tcPr>
            <w:tcW w:w="643" w:type="pct"/>
            <w:tcBorders>
              <w:top w:val="single" w:sz="4" w:space="0" w:color="F39200"/>
              <w:left w:val="nil"/>
              <w:bottom w:val="single" w:sz="4" w:space="0" w:color="F39200"/>
              <w:right w:val="nil"/>
            </w:tcBorders>
            <w:shd w:val="clear" w:color="auto" w:fill="auto"/>
            <w:noWrap/>
            <w:vAlign w:val="center"/>
          </w:tcPr>
          <w:p w14:paraId="70635B07" w14:textId="5511FE89" w:rsidR="003D4237" w:rsidRPr="00FF4346" w:rsidRDefault="003D4237" w:rsidP="003D4237">
            <w:pPr>
              <w:jc w:val="right"/>
              <w:rPr>
                <w:rFonts w:ascii="CAIXA Std Book" w:hAnsi="CAIXA Std Book" w:cs="Arial"/>
                <w:b/>
                <w:bCs/>
                <w:color w:val="005CA9"/>
                <w:sz w:val="18"/>
                <w:szCs w:val="18"/>
              </w:rPr>
            </w:pPr>
            <w:r>
              <w:rPr>
                <w:rFonts w:ascii="CAIXA Std Book" w:hAnsi="CAIXA Std Book" w:cs="Arial"/>
                <w:b/>
                <w:bCs/>
                <w:color w:val="005CA9"/>
                <w:sz w:val="18"/>
                <w:szCs w:val="18"/>
              </w:rPr>
              <w:t>37.647.310</w:t>
            </w:r>
          </w:p>
        </w:tc>
        <w:tc>
          <w:tcPr>
            <w:tcW w:w="643" w:type="pct"/>
            <w:tcBorders>
              <w:top w:val="single" w:sz="4" w:space="0" w:color="F39200"/>
              <w:left w:val="nil"/>
              <w:bottom w:val="single" w:sz="4" w:space="0" w:color="F39200"/>
              <w:right w:val="nil"/>
            </w:tcBorders>
            <w:shd w:val="clear" w:color="auto" w:fill="auto"/>
            <w:noWrap/>
            <w:vAlign w:val="center"/>
          </w:tcPr>
          <w:p w14:paraId="2EA8075E" w14:textId="440F4797" w:rsidR="003D4237" w:rsidRPr="00FF4346" w:rsidRDefault="003D4237" w:rsidP="003D4237">
            <w:pPr>
              <w:jc w:val="right"/>
              <w:rPr>
                <w:rFonts w:ascii="CAIXA Std Book" w:hAnsi="CAIXA Std Book" w:cs="Cambria Math"/>
                <w:b/>
                <w:color w:val="005CA9"/>
                <w:sz w:val="18"/>
                <w:szCs w:val="18"/>
              </w:rPr>
            </w:pPr>
            <w:r w:rsidRPr="00FF4346">
              <w:rPr>
                <w:rFonts w:ascii="CAIXA Std Book" w:hAnsi="CAIXA Std Book" w:cs="Arial"/>
                <w:b/>
                <w:bCs/>
                <w:color w:val="005CA9"/>
                <w:sz w:val="18"/>
                <w:szCs w:val="18"/>
              </w:rPr>
              <w:t>37.093.556</w:t>
            </w:r>
          </w:p>
        </w:tc>
        <w:tc>
          <w:tcPr>
            <w:tcW w:w="643" w:type="pct"/>
            <w:tcBorders>
              <w:top w:val="single" w:sz="4" w:space="0" w:color="F39200"/>
              <w:left w:val="nil"/>
              <w:bottom w:val="single" w:sz="4" w:space="0" w:color="F39200"/>
              <w:right w:val="nil"/>
            </w:tcBorders>
            <w:shd w:val="clear" w:color="auto" w:fill="auto"/>
            <w:noWrap/>
            <w:vAlign w:val="center"/>
          </w:tcPr>
          <w:p w14:paraId="7F2F634E" w14:textId="4FF3A067" w:rsidR="003D4237" w:rsidRPr="00FF4346" w:rsidRDefault="003D4237" w:rsidP="003D4237">
            <w:pPr>
              <w:jc w:val="right"/>
              <w:rPr>
                <w:rFonts w:ascii="CAIXA Std Book" w:hAnsi="CAIXA Std Book" w:cs="Arial"/>
                <w:b/>
                <w:bCs/>
                <w:color w:val="005CA9"/>
                <w:sz w:val="18"/>
                <w:szCs w:val="18"/>
              </w:rPr>
            </w:pPr>
            <w:r>
              <w:rPr>
                <w:rFonts w:ascii="CAIXA Std Book" w:hAnsi="CAIXA Std Book" w:cs="Arial"/>
                <w:b/>
                <w:bCs/>
                <w:color w:val="005CA9"/>
                <w:sz w:val="18"/>
                <w:szCs w:val="18"/>
              </w:rPr>
              <w:t>37.888.926</w:t>
            </w:r>
          </w:p>
        </w:tc>
        <w:tc>
          <w:tcPr>
            <w:tcW w:w="640" w:type="pct"/>
            <w:tcBorders>
              <w:top w:val="single" w:sz="4" w:space="0" w:color="F39200"/>
              <w:left w:val="nil"/>
              <w:bottom w:val="single" w:sz="4" w:space="0" w:color="F39200"/>
              <w:right w:val="nil"/>
            </w:tcBorders>
            <w:shd w:val="clear" w:color="auto" w:fill="auto"/>
            <w:noWrap/>
            <w:vAlign w:val="center"/>
          </w:tcPr>
          <w:p w14:paraId="5801B673" w14:textId="2D655084" w:rsidR="003D4237" w:rsidRPr="00FF4346" w:rsidRDefault="003D4237" w:rsidP="003D4237">
            <w:pPr>
              <w:jc w:val="right"/>
              <w:rPr>
                <w:rFonts w:ascii="CAIXA Std Book" w:hAnsi="CAIXA Std Book" w:cs="Cambria Math"/>
                <w:b/>
                <w:color w:val="005CA9"/>
                <w:sz w:val="18"/>
                <w:szCs w:val="18"/>
              </w:rPr>
            </w:pPr>
            <w:r w:rsidRPr="00FF4346">
              <w:rPr>
                <w:rFonts w:ascii="CAIXA Std Book" w:hAnsi="CAIXA Std Book" w:cs="Arial"/>
                <w:b/>
                <w:bCs/>
                <w:color w:val="005CA9"/>
                <w:sz w:val="18"/>
                <w:szCs w:val="18"/>
              </w:rPr>
              <w:t>37.350.707</w:t>
            </w:r>
          </w:p>
        </w:tc>
      </w:tr>
      <w:tr w:rsidR="003D4237" w:rsidRPr="00A33766" w14:paraId="43224D9A" w14:textId="77777777" w:rsidTr="004E2D2E">
        <w:trPr>
          <w:trHeight w:val="283"/>
        </w:trPr>
        <w:tc>
          <w:tcPr>
            <w:tcW w:w="2431" w:type="pct"/>
            <w:tcBorders>
              <w:top w:val="nil"/>
              <w:left w:val="nil"/>
              <w:bottom w:val="nil"/>
              <w:right w:val="nil"/>
            </w:tcBorders>
            <w:shd w:val="clear" w:color="auto" w:fill="auto"/>
            <w:noWrap/>
            <w:vAlign w:val="center"/>
            <w:hideMark/>
          </w:tcPr>
          <w:p w14:paraId="128A0A36" w14:textId="6761CDC5" w:rsidR="003D4237" w:rsidRPr="00FF4346" w:rsidRDefault="003D4237" w:rsidP="003D4237">
            <w:pPr>
              <w:rPr>
                <w:rFonts w:ascii="CAIXA Std Book" w:hAnsi="CAIXA Std Book" w:cs="Cambria Math"/>
                <w:color w:val="005CA9"/>
                <w:sz w:val="18"/>
                <w:szCs w:val="18"/>
              </w:rPr>
            </w:pPr>
            <w:r w:rsidRPr="00FF4346">
              <w:rPr>
                <w:rFonts w:ascii="CAIXA Std Book" w:hAnsi="CAIXA Std Book" w:cs="Arial"/>
                <w:color w:val="005CA9"/>
                <w:sz w:val="18"/>
                <w:szCs w:val="18"/>
              </w:rPr>
              <w:t>Passivo circulante</w:t>
            </w:r>
          </w:p>
        </w:tc>
        <w:tc>
          <w:tcPr>
            <w:tcW w:w="643" w:type="pct"/>
            <w:tcBorders>
              <w:top w:val="nil"/>
              <w:left w:val="nil"/>
              <w:bottom w:val="nil"/>
              <w:right w:val="nil"/>
            </w:tcBorders>
            <w:shd w:val="clear" w:color="auto" w:fill="auto"/>
            <w:noWrap/>
            <w:vAlign w:val="center"/>
          </w:tcPr>
          <w:p w14:paraId="54B67D6D" w14:textId="0386F85C"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37.647.310</w:t>
            </w:r>
          </w:p>
        </w:tc>
        <w:tc>
          <w:tcPr>
            <w:tcW w:w="643" w:type="pct"/>
            <w:tcBorders>
              <w:top w:val="nil"/>
              <w:left w:val="nil"/>
              <w:bottom w:val="nil"/>
              <w:right w:val="nil"/>
            </w:tcBorders>
            <w:shd w:val="clear" w:color="auto" w:fill="auto"/>
            <w:noWrap/>
            <w:vAlign w:val="center"/>
            <w:hideMark/>
          </w:tcPr>
          <w:p w14:paraId="77F6A732" w14:textId="6D53DB08"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37.093.556</w:t>
            </w:r>
          </w:p>
        </w:tc>
        <w:tc>
          <w:tcPr>
            <w:tcW w:w="643" w:type="pct"/>
            <w:tcBorders>
              <w:top w:val="nil"/>
              <w:left w:val="nil"/>
              <w:bottom w:val="nil"/>
              <w:right w:val="nil"/>
            </w:tcBorders>
            <w:shd w:val="clear" w:color="auto" w:fill="auto"/>
            <w:noWrap/>
            <w:vAlign w:val="center"/>
          </w:tcPr>
          <w:p w14:paraId="4C7918E2" w14:textId="505D6104" w:rsidR="003D4237" w:rsidRPr="00FF4346" w:rsidRDefault="003D4237" w:rsidP="003D4237">
            <w:pPr>
              <w:jc w:val="right"/>
              <w:rPr>
                <w:rFonts w:ascii="CAIXA Std Book" w:hAnsi="CAIXA Std Book" w:cs="Arial"/>
                <w:color w:val="005CA9"/>
                <w:sz w:val="18"/>
                <w:szCs w:val="18"/>
              </w:rPr>
            </w:pPr>
            <w:r>
              <w:rPr>
                <w:rFonts w:ascii="CAIXA Std Book" w:hAnsi="CAIXA Std Book" w:cs="Arial"/>
                <w:color w:val="005CA9"/>
                <w:sz w:val="18"/>
                <w:szCs w:val="18"/>
              </w:rPr>
              <w:t>37.888.926</w:t>
            </w:r>
          </w:p>
        </w:tc>
        <w:tc>
          <w:tcPr>
            <w:tcW w:w="640" w:type="pct"/>
            <w:tcBorders>
              <w:top w:val="nil"/>
              <w:left w:val="nil"/>
              <w:bottom w:val="nil"/>
              <w:right w:val="nil"/>
            </w:tcBorders>
            <w:shd w:val="clear" w:color="auto" w:fill="auto"/>
            <w:noWrap/>
            <w:vAlign w:val="center"/>
            <w:hideMark/>
          </w:tcPr>
          <w:p w14:paraId="5CBC6958" w14:textId="698E23B5" w:rsidR="003D4237" w:rsidRPr="00FF4346" w:rsidRDefault="003D4237" w:rsidP="003D4237">
            <w:pPr>
              <w:jc w:val="right"/>
              <w:rPr>
                <w:rFonts w:ascii="CAIXA Std Book" w:hAnsi="CAIXA Std Book" w:cs="Cambria Math"/>
                <w:color w:val="005CA9"/>
                <w:sz w:val="18"/>
                <w:szCs w:val="18"/>
              </w:rPr>
            </w:pPr>
            <w:r w:rsidRPr="00FF4346">
              <w:rPr>
                <w:rFonts w:ascii="CAIXA Std Book" w:hAnsi="CAIXA Std Book" w:cs="Arial"/>
                <w:color w:val="005CA9"/>
                <w:sz w:val="18"/>
                <w:szCs w:val="18"/>
              </w:rPr>
              <w:t>37.350.707</w:t>
            </w:r>
          </w:p>
        </w:tc>
      </w:tr>
      <w:tr w:rsidR="003B2B2A" w:rsidRPr="00A33766" w14:paraId="601309C2" w14:textId="77777777" w:rsidTr="004E2D2E">
        <w:trPr>
          <w:trHeight w:val="283"/>
        </w:trPr>
        <w:tc>
          <w:tcPr>
            <w:tcW w:w="2431" w:type="pct"/>
            <w:tcBorders>
              <w:top w:val="nil"/>
              <w:left w:val="nil"/>
              <w:bottom w:val="single" w:sz="4" w:space="0" w:color="F39200"/>
              <w:right w:val="nil"/>
            </w:tcBorders>
            <w:shd w:val="clear" w:color="auto" w:fill="auto"/>
            <w:noWrap/>
            <w:vAlign w:val="center"/>
            <w:hideMark/>
          </w:tcPr>
          <w:p w14:paraId="1607F7B9" w14:textId="390EC4F5" w:rsidR="003909EC" w:rsidRPr="00FF4346" w:rsidRDefault="003909EC" w:rsidP="003909EC">
            <w:pPr>
              <w:rPr>
                <w:rFonts w:ascii="CAIXA Std Book" w:hAnsi="CAIXA Std Book" w:cs="Cambria Math"/>
                <w:color w:val="005CA9"/>
                <w:sz w:val="18"/>
                <w:szCs w:val="18"/>
              </w:rPr>
            </w:pPr>
            <w:r w:rsidRPr="00FF4346">
              <w:rPr>
                <w:rFonts w:ascii="CAIXA Std Book" w:hAnsi="CAIXA Std Book" w:cs="Arial"/>
                <w:color w:val="005CA9"/>
                <w:sz w:val="18"/>
                <w:szCs w:val="18"/>
              </w:rPr>
              <w:t>Passivo não circulante</w:t>
            </w:r>
          </w:p>
        </w:tc>
        <w:tc>
          <w:tcPr>
            <w:tcW w:w="643" w:type="pct"/>
            <w:tcBorders>
              <w:top w:val="nil"/>
              <w:left w:val="nil"/>
              <w:bottom w:val="single" w:sz="4" w:space="0" w:color="F39200"/>
              <w:right w:val="nil"/>
            </w:tcBorders>
            <w:shd w:val="clear" w:color="auto" w:fill="auto"/>
            <w:noWrap/>
            <w:vAlign w:val="center"/>
          </w:tcPr>
          <w:p w14:paraId="4AB72177" w14:textId="3B7FCB5C" w:rsidR="003909EC" w:rsidRPr="00FF4346" w:rsidRDefault="00156DDD" w:rsidP="003909EC">
            <w:pPr>
              <w:jc w:val="center"/>
              <w:rPr>
                <w:rFonts w:ascii="CAIXA Std Book" w:hAnsi="CAIXA Std Book" w:cs="Cambria Math"/>
                <w:color w:val="005CA9"/>
                <w:sz w:val="18"/>
                <w:szCs w:val="18"/>
              </w:rPr>
            </w:pPr>
            <w:r w:rsidRPr="00FF4346">
              <w:rPr>
                <w:rFonts w:ascii="CAIXA Std Book" w:hAnsi="CAIXA Std Book" w:cs="Cambria Math"/>
                <w:color w:val="005CA9"/>
                <w:sz w:val="18"/>
                <w:szCs w:val="18"/>
              </w:rPr>
              <w:t>-</w:t>
            </w:r>
          </w:p>
        </w:tc>
        <w:tc>
          <w:tcPr>
            <w:tcW w:w="643" w:type="pct"/>
            <w:tcBorders>
              <w:top w:val="nil"/>
              <w:left w:val="nil"/>
              <w:bottom w:val="single" w:sz="4" w:space="0" w:color="F39200"/>
              <w:right w:val="nil"/>
            </w:tcBorders>
            <w:shd w:val="clear" w:color="auto" w:fill="auto"/>
            <w:noWrap/>
            <w:vAlign w:val="center"/>
            <w:hideMark/>
          </w:tcPr>
          <w:p w14:paraId="6E8BA0FA" w14:textId="6808D008" w:rsidR="003909EC" w:rsidRPr="00FF4346" w:rsidRDefault="003909EC" w:rsidP="003909EC">
            <w:pPr>
              <w:jc w:val="center"/>
              <w:rPr>
                <w:rFonts w:ascii="CAIXA Std Book" w:hAnsi="CAIXA Std Book" w:cs="Cambria Math"/>
                <w:color w:val="005CA9"/>
                <w:sz w:val="18"/>
                <w:szCs w:val="18"/>
              </w:rPr>
            </w:pPr>
            <w:r w:rsidRPr="00FF4346">
              <w:rPr>
                <w:rFonts w:ascii="CAIXA Std Book" w:hAnsi="CAIXA Std Book" w:cs="Cambria Math"/>
                <w:color w:val="005CA9"/>
                <w:sz w:val="18"/>
                <w:szCs w:val="18"/>
              </w:rPr>
              <w:t>-</w:t>
            </w:r>
          </w:p>
        </w:tc>
        <w:tc>
          <w:tcPr>
            <w:tcW w:w="643" w:type="pct"/>
            <w:tcBorders>
              <w:top w:val="nil"/>
              <w:left w:val="nil"/>
              <w:bottom w:val="single" w:sz="4" w:space="0" w:color="F39200"/>
              <w:right w:val="nil"/>
            </w:tcBorders>
            <w:shd w:val="clear" w:color="auto" w:fill="auto"/>
            <w:noWrap/>
            <w:vAlign w:val="center"/>
          </w:tcPr>
          <w:p w14:paraId="7DAB9359" w14:textId="07230772" w:rsidR="003909EC" w:rsidRPr="00FF4346" w:rsidRDefault="00BC72D3" w:rsidP="003909EC">
            <w:pPr>
              <w:jc w:val="center"/>
              <w:rPr>
                <w:rFonts w:ascii="CAIXA Std Book" w:hAnsi="CAIXA Std Book" w:cs="Cambria Math"/>
                <w:color w:val="005CA9"/>
                <w:sz w:val="18"/>
                <w:szCs w:val="18"/>
              </w:rPr>
            </w:pPr>
            <w:r w:rsidRPr="00FF4346">
              <w:rPr>
                <w:rFonts w:ascii="CAIXA Std Book" w:hAnsi="CAIXA Std Book" w:cs="Cambria Math"/>
                <w:color w:val="005CA9"/>
                <w:sz w:val="18"/>
                <w:szCs w:val="18"/>
              </w:rPr>
              <w:t>-</w:t>
            </w:r>
          </w:p>
        </w:tc>
        <w:tc>
          <w:tcPr>
            <w:tcW w:w="640" w:type="pct"/>
            <w:tcBorders>
              <w:top w:val="nil"/>
              <w:left w:val="nil"/>
              <w:bottom w:val="single" w:sz="4" w:space="0" w:color="F39200"/>
              <w:right w:val="nil"/>
            </w:tcBorders>
            <w:shd w:val="clear" w:color="auto" w:fill="auto"/>
            <w:noWrap/>
            <w:vAlign w:val="center"/>
            <w:hideMark/>
          </w:tcPr>
          <w:p w14:paraId="3A40B957" w14:textId="06BBE465" w:rsidR="003909EC" w:rsidRPr="00FF4346" w:rsidRDefault="000929B6" w:rsidP="000929B6">
            <w:pPr>
              <w:jc w:val="center"/>
              <w:rPr>
                <w:rFonts w:ascii="CAIXA Std Book" w:hAnsi="CAIXA Std Book" w:cs="Cambria Math"/>
                <w:color w:val="005CA9"/>
                <w:sz w:val="18"/>
                <w:szCs w:val="18"/>
              </w:rPr>
            </w:pPr>
            <w:r w:rsidRPr="00FF4346">
              <w:rPr>
                <w:rFonts w:ascii="CAIXA Std Book" w:hAnsi="CAIXA Std Book" w:cs="Cambria Math"/>
                <w:color w:val="005CA9"/>
                <w:sz w:val="18"/>
                <w:szCs w:val="18"/>
              </w:rPr>
              <w:t>-</w:t>
            </w:r>
          </w:p>
        </w:tc>
      </w:tr>
    </w:tbl>
    <w:p w14:paraId="73729018" w14:textId="77777777" w:rsidR="007F06CE" w:rsidRPr="00FF4346" w:rsidRDefault="007F06CE">
      <w:pPr>
        <w:rPr>
          <w:rFonts w:ascii="CAIXA Std Book" w:hAnsi="CAIXA Std Book"/>
          <w:b/>
          <w:color w:val="005CA9"/>
        </w:rPr>
      </w:pPr>
      <w:r w:rsidRPr="00616EE1">
        <w:rPr>
          <w:rFonts w:ascii="CAIXA Std Book" w:hAnsi="CAIXA Std Book"/>
          <w:color w:val="005CA9"/>
        </w:rPr>
        <w:br w:type="page"/>
      </w:r>
    </w:p>
    <w:p w14:paraId="7A0EC65F" w14:textId="4717B474" w:rsidR="00F02172" w:rsidRPr="00FF4346" w:rsidRDefault="00F02172" w:rsidP="005A596E">
      <w:pPr>
        <w:pStyle w:val="Ttulo1"/>
      </w:pPr>
      <w:bookmarkStart w:id="109" w:name="_Toc166594498"/>
      <w:r w:rsidRPr="00FF4346">
        <w:lastRenderedPageBreak/>
        <w:t xml:space="preserve">Nota </w:t>
      </w:r>
      <w:r w:rsidR="00C95AD1" w:rsidRPr="00FF4346">
        <w:t>2</w:t>
      </w:r>
      <w:r w:rsidR="004917F8" w:rsidRPr="00FF4346">
        <w:t>3</w:t>
      </w:r>
      <w:r w:rsidRPr="00FF4346">
        <w:t xml:space="preserve"> – Patrimônio </w:t>
      </w:r>
      <w:r w:rsidR="000978E3" w:rsidRPr="00FF4346">
        <w:t>l</w:t>
      </w:r>
      <w:r w:rsidRPr="00FF4346">
        <w:t>íquid</w:t>
      </w:r>
      <w:r w:rsidR="00FC74BA" w:rsidRPr="00FF4346">
        <w:t>o</w:t>
      </w:r>
      <w:bookmarkEnd w:id="109"/>
    </w:p>
    <w:p w14:paraId="58B95C14" w14:textId="213069C9" w:rsidR="009047D2" w:rsidRPr="00FF4346" w:rsidRDefault="009047D2" w:rsidP="00B37B40">
      <w:pPr>
        <w:keepNext/>
        <w:numPr>
          <w:ilvl w:val="0"/>
          <w:numId w:val="27"/>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Reconciliação do Patrimônio Líquido – INDIVIDUAL x CONSOLIDADO</w:t>
      </w:r>
    </w:p>
    <w:tbl>
      <w:tblPr>
        <w:tblW w:w="5000" w:type="pct"/>
        <w:tblCellMar>
          <w:left w:w="70" w:type="dxa"/>
          <w:right w:w="70" w:type="dxa"/>
        </w:tblCellMar>
        <w:tblLook w:val="04A0" w:firstRow="1" w:lastRow="0" w:firstColumn="1" w:lastColumn="0" w:noHBand="0" w:noVBand="1"/>
      </w:tblPr>
      <w:tblGrid>
        <w:gridCol w:w="5844"/>
        <w:gridCol w:w="1825"/>
        <w:gridCol w:w="1968"/>
      </w:tblGrid>
      <w:tr w:rsidR="003B2B2A" w:rsidRPr="00A33766" w14:paraId="4156C8D1" w14:textId="77777777" w:rsidTr="00B108F4">
        <w:trPr>
          <w:trHeight w:val="283"/>
        </w:trPr>
        <w:tc>
          <w:tcPr>
            <w:tcW w:w="3032" w:type="pct"/>
            <w:tcBorders>
              <w:top w:val="single" w:sz="4" w:space="0" w:color="F39200"/>
              <w:left w:val="nil"/>
              <w:bottom w:val="single" w:sz="4" w:space="0" w:color="F39200"/>
              <w:right w:val="nil"/>
            </w:tcBorders>
            <w:shd w:val="clear" w:color="auto" w:fill="auto"/>
            <w:noWrap/>
            <w:vAlign w:val="center"/>
            <w:hideMark/>
          </w:tcPr>
          <w:p w14:paraId="5A0E5B22" w14:textId="77777777" w:rsidR="00FC74BA" w:rsidRPr="00FF4346" w:rsidRDefault="00FC74BA" w:rsidP="00FC74BA">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Discriminação</w:t>
            </w:r>
          </w:p>
        </w:tc>
        <w:tc>
          <w:tcPr>
            <w:tcW w:w="947" w:type="pct"/>
            <w:tcBorders>
              <w:top w:val="single" w:sz="4" w:space="0" w:color="F39200"/>
              <w:left w:val="nil"/>
              <w:bottom w:val="single" w:sz="4" w:space="0" w:color="F39200"/>
              <w:right w:val="nil"/>
            </w:tcBorders>
            <w:shd w:val="clear" w:color="auto" w:fill="auto"/>
            <w:noWrap/>
            <w:vAlign w:val="center"/>
          </w:tcPr>
          <w:p w14:paraId="73CB0875" w14:textId="3ADEFBF8" w:rsidR="00FC74BA" w:rsidRPr="00FF4346" w:rsidRDefault="00170637" w:rsidP="00FC74BA">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w:t>
            </w:r>
            <w:r w:rsidR="00AA4A29">
              <w:rPr>
                <w:rFonts w:ascii="CAIXA Std Book" w:hAnsi="CAIXA Std Book" w:cs="Cambria Math"/>
                <w:b/>
                <w:color w:val="005CA9"/>
                <w:sz w:val="18"/>
                <w:szCs w:val="18"/>
              </w:rPr>
              <w:t>03/2024</w:t>
            </w:r>
          </w:p>
        </w:tc>
        <w:tc>
          <w:tcPr>
            <w:tcW w:w="1021" w:type="pct"/>
            <w:tcBorders>
              <w:top w:val="single" w:sz="4" w:space="0" w:color="F39200"/>
              <w:left w:val="nil"/>
              <w:bottom w:val="single" w:sz="4" w:space="0" w:color="F39200"/>
              <w:right w:val="nil"/>
            </w:tcBorders>
            <w:vAlign w:val="center"/>
          </w:tcPr>
          <w:p w14:paraId="368EECCC" w14:textId="152D0986" w:rsidR="00FC74BA" w:rsidRPr="00FF4346" w:rsidRDefault="00FC74BA" w:rsidP="00FC74BA">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31/12/202</w:t>
            </w:r>
            <w:r w:rsidR="00AA4A29">
              <w:rPr>
                <w:rFonts w:ascii="CAIXA Std Book" w:hAnsi="CAIXA Std Book" w:cs="Cambria Math"/>
                <w:b/>
                <w:color w:val="005CA9"/>
                <w:sz w:val="18"/>
                <w:szCs w:val="18"/>
              </w:rPr>
              <w:t>3</w:t>
            </w:r>
          </w:p>
        </w:tc>
      </w:tr>
      <w:tr w:rsidR="00AA4A29" w:rsidRPr="00A33766" w14:paraId="3F909C62" w14:textId="77777777" w:rsidTr="00B108F4">
        <w:trPr>
          <w:trHeight w:val="283"/>
        </w:trPr>
        <w:tc>
          <w:tcPr>
            <w:tcW w:w="3032" w:type="pct"/>
            <w:tcBorders>
              <w:top w:val="nil"/>
              <w:left w:val="nil"/>
              <w:bottom w:val="nil"/>
              <w:right w:val="nil"/>
            </w:tcBorders>
            <w:shd w:val="clear" w:color="auto" w:fill="auto"/>
            <w:noWrap/>
            <w:vAlign w:val="center"/>
          </w:tcPr>
          <w:p w14:paraId="3962CD19" w14:textId="0B3CCF3A" w:rsidR="00AA4A29" w:rsidRPr="00FF4346" w:rsidRDefault="00AA4A29" w:rsidP="00AA4A29">
            <w:pPr>
              <w:rPr>
                <w:rFonts w:ascii="CAIXA Std Book" w:hAnsi="CAIXA Std Book" w:cs="Cambria Math"/>
                <w:b/>
                <w:color w:val="005CA9"/>
                <w:sz w:val="18"/>
                <w:szCs w:val="18"/>
              </w:rPr>
            </w:pPr>
            <w:r w:rsidRPr="00FF4346">
              <w:rPr>
                <w:rFonts w:ascii="CAIXA Std Book" w:hAnsi="CAIXA Std Book" w:cs="Cambria Math"/>
                <w:b/>
                <w:color w:val="005CA9"/>
                <w:sz w:val="18"/>
                <w:szCs w:val="18"/>
              </w:rPr>
              <w:t>Patrimônio Líquido – INDIVIDUAL</w:t>
            </w:r>
          </w:p>
        </w:tc>
        <w:tc>
          <w:tcPr>
            <w:tcW w:w="947" w:type="pct"/>
            <w:tcBorders>
              <w:top w:val="nil"/>
              <w:left w:val="nil"/>
              <w:bottom w:val="nil"/>
              <w:right w:val="nil"/>
            </w:tcBorders>
            <w:shd w:val="clear" w:color="auto" w:fill="auto"/>
            <w:noWrap/>
            <w:vAlign w:val="center"/>
          </w:tcPr>
          <w:p w14:paraId="1E630363" w14:textId="0DB76812" w:rsidR="00AA4A29" w:rsidRPr="00FF4346" w:rsidRDefault="00DE4EE3" w:rsidP="00B108F4">
            <w:pPr>
              <w:jc w:val="right"/>
              <w:rPr>
                <w:rFonts w:ascii="CAIXA Std Book" w:hAnsi="CAIXA Std Book" w:cs="Arial"/>
                <w:b/>
                <w:color w:val="005CA9"/>
                <w:sz w:val="18"/>
                <w:szCs w:val="18"/>
              </w:rPr>
            </w:pPr>
            <w:r w:rsidRPr="00DE4EE3">
              <w:rPr>
                <w:rFonts w:ascii="CAIXA Std Book" w:hAnsi="CAIXA Std Book" w:cs="Arial"/>
                <w:b/>
                <w:color w:val="005CA9"/>
                <w:sz w:val="18"/>
                <w:szCs w:val="18"/>
              </w:rPr>
              <w:t>95.614.543</w:t>
            </w:r>
          </w:p>
        </w:tc>
        <w:tc>
          <w:tcPr>
            <w:tcW w:w="1021" w:type="pct"/>
            <w:tcBorders>
              <w:top w:val="nil"/>
              <w:left w:val="nil"/>
              <w:bottom w:val="nil"/>
              <w:right w:val="nil"/>
            </w:tcBorders>
            <w:vAlign w:val="center"/>
          </w:tcPr>
          <w:p w14:paraId="573E8A20" w14:textId="6935F4C8" w:rsidR="00AA4A29" w:rsidRPr="00FF4346" w:rsidRDefault="00AA4A29" w:rsidP="00B108F4">
            <w:pPr>
              <w:jc w:val="right"/>
              <w:rPr>
                <w:rFonts w:ascii="CAIXA Std Book" w:hAnsi="CAIXA Std Book" w:cs="Cambria Math"/>
                <w:b/>
                <w:color w:val="005CA9"/>
                <w:sz w:val="18"/>
                <w:szCs w:val="18"/>
              </w:rPr>
            </w:pPr>
            <w:r w:rsidRPr="00FF4346">
              <w:rPr>
                <w:rFonts w:ascii="CAIXA Std Book" w:hAnsi="CAIXA Std Book" w:cs="Arial"/>
                <w:b/>
                <w:color w:val="005CA9"/>
                <w:sz w:val="18"/>
                <w:szCs w:val="18"/>
              </w:rPr>
              <w:t>93.220.539</w:t>
            </w:r>
          </w:p>
        </w:tc>
      </w:tr>
      <w:tr w:rsidR="00AA4A29" w:rsidRPr="00A33766" w14:paraId="3BF1EA54" w14:textId="77777777" w:rsidTr="00B108F4">
        <w:trPr>
          <w:trHeight w:val="283"/>
        </w:trPr>
        <w:tc>
          <w:tcPr>
            <w:tcW w:w="3032" w:type="pct"/>
            <w:tcBorders>
              <w:top w:val="nil"/>
              <w:left w:val="nil"/>
              <w:right w:val="nil"/>
            </w:tcBorders>
            <w:shd w:val="clear" w:color="auto" w:fill="auto"/>
            <w:noWrap/>
            <w:vAlign w:val="center"/>
          </w:tcPr>
          <w:p w14:paraId="29CC2DE0" w14:textId="47A7B1E5" w:rsidR="00AA4A29" w:rsidRPr="00FF4346" w:rsidRDefault="00AA4A29" w:rsidP="00AA4A29">
            <w:pPr>
              <w:ind w:firstLineChars="100" w:firstLine="180"/>
              <w:rPr>
                <w:rFonts w:ascii="CAIXA Std Book" w:hAnsi="CAIXA Std Book" w:cs="Cambria Math"/>
                <w:color w:val="005CA9"/>
                <w:sz w:val="18"/>
                <w:szCs w:val="18"/>
              </w:rPr>
            </w:pPr>
            <w:r w:rsidRPr="00FF4346">
              <w:rPr>
                <w:rFonts w:ascii="CAIXA Std Book" w:hAnsi="CAIXA Std Book" w:cs="Cambria Math"/>
                <w:color w:val="005CA9"/>
                <w:sz w:val="18"/>
                <w:szCs w:val="18"/>
              </w:rPr>
              <w:t>IHCD – Elegíveis a Capital</w:t>
            </w:r>
          </w:p>
        </w:tc>
        <w:tc>
          <w:tcPr>
            <w:tcW w:w="947" w:type="pct"/>
            <w:tcBorders>
              <w:top w:val="nil"/>
              <w:left w:val="nil"/>
              <w:right w:val="nil"/>
            </w:tcBorders>
            <w:shd w:val="clear" w:color="auto" w:fill="auto"/>
            <w:noWrap/>
            <w:vAlign w:val="center"/>
          </w:tcPr>
          <w:p w14:paraId="1908AECA" w14:textId="00582130" w:rsidR="00AA4A29" w:rsidRPr="00DE4EE3" w:rsidRDefault="00F37F82" w:rsidP="00B108F4">
            <w:pPr>
              <w:jc w:val="right"/>
              <w:rPr>
                <w:rFonts w:ascii="CAIXA Std Book" w:hAnsi="CAIXA Std Book" w:cs="Arial"/>
                <w:color w:val="005CA9"/>
                <w:sz w:val="18"/>
                <w:szCs w:val="18"/>
              </w:rPr>
            </w:pPr>
            <w:r w:rsidRPr="00DE4EE3">
              <w:rPr>
                <w:rFonts w:ascii="CAIXA Std Book" w:hAnsi="CAIXA Std Book" w:cs="Arial"/>
                <w:color w:val="005CA9"/>
                <w:sz w:val="18"/>
                <w:szCs w:val="18"/>
              </w:rPr>
              <w:t>34.327.</w:t>
            </w:r>
            <w:r w:rsidR="00B14771" w:rsidRPr="00DE4EE3">
              <w:rPr>
                <w:rFonts w:ascii="CAIXA Std Book" w:hAnsi="CAIXA Std Book" w:cs="Arial"/>
                <w:color w:val="005CA9"/>
                <w:sz w:val="18"/>
                <w:szCs w:val="18"/>
              </w:rPr>
              <w:t>964</w:t>
            </w:r>
          </w:p>
        </w:tc>
        <w:tc>
          <w:tcPr>
            <w:tcW w:w="1021" w:type="pct"/>
            <w:tcBorders>
              <w:top w:val="nil"/>
              <w:left w:val="nil"/>
              <w:right w:val="nil"/>
            </w:tcBorders>
            <w:vAlign w:val="center"/>
          </w:tcPr>
          <w:p w14:paraId="3232A432" w14:textId="55B045E3" w:rsidR="00AA4A29" w:rsidRPr="00FF4346" w:rsidRDefault="00AA4A29" w:rsidP="00B108F4">
            <w:pPr>
              <w:jc w:val="right"/>
              <w:rPr>
                <w:rFonts w:ascii="CAIXA Std Book" w:hAnsi="CAIXA Std Book" w:cs="Cambria Math"/>
                <w:color w:val="005CA9"/>
                <w:sz w:val="18"/>
                <w:szCs w:val="18"/>
              </w:rPr>
            </w:pPr>
            <w:r w:rsidRPr="00FF4346">
              <w:rPr>
                <w:rFonts w:ascii="CAIXA Std Book" w:hAnsi="CAIXA Std Book" w:cs="Arial"/>
                <w:color w:val="005CA9"/>
                <w:sz w:val="18"/>
                <w:szCs w:val="18"/>
              </w:rPr>
              <w:t>33.047.743</w:t>
            </w:r>
          </w:p>
        </w:tc>
      </w:tr>
      <w:tr w:rsidR="00AA4A29" w:rsidRPr="00A33766" w14:paraId="7414E9CE" w14:textId="77777777" w:rsidTr="00B108F4">
        <w:trPr>
          <w:trHeight w:val="283"/>
        </w:trPr>
        <w:tc>
          <w:tcPr>
            <w:tcW w:w="3032" w:type="pct"/>
            <w:tcBorders>
              <w:top w:val="nil"/>
              <w:left w:val="nil"/>
              <w:bottom w:val="single" w:sz="4" w:space="0" w:color="F39200"/>
              <w:right w:val="nil"/>
            </w:tcBorders>
            <w:shd w:val="clear" w:color="auto" w:fill="auto"/>
            <w:noWrap/>
            <w:vAlign w:val="center"/>
          </w:tcPr>
          <w:p w14:paraId="78322381" w14:textId="07606AD9" w:rsidR="00AA4A29" w:rsidRPr="00FF4346" w:rsidRDefault="00AA4A29" w:rsidP="00AA4A29">
            <w:pPr>
              <w:ind w:firstLineChars="100" w:firstLine="180"/>
              <w:rPr>
                <w:rFonts w:ascii="CAIXA Std Book" w:hAnsi="CAIXA Std Book" w:cs="Cambria Math"/>
                <w:color w:val="005CA9"/>
                <w:sz w:val="18"/>
                <w:szCs w:val="18"/>
              </w:rPr>
            </w:pPr>
            <w:r w:rsidRPr="00FF4346">
              <w:rPr>
                <w:rFonts w:ascii="CAIXA Std Book" w:hAnsi="CAIXA Std Book" w:cs="Cambria Math"/>
                <w:color w:val="005CA9"/>
                <w:sz w:val="18"/>
                <w:szCs w:val="18"/>
              </w:rPr>
              <w:t>Participação dos não controladores</w:t>
            </w:r>
          </w:p>
        </w:tc>
        <w:tc>
          <w:tcPr>
            <w:tcW w:w="947" w:type="pct"/>
            <w:tcBorders>
              <w:top w:val="nil"/>
              <w:left w:val="nil"/>
              <w:bottom w:val="single" w:sz="4" w:space="0" w:color="F39200"/>
              <w:right w:val="nil"/>
            </w:tcBorders>
            <w:shd w:val="clear" w:color="auto" w:fill="auto"/>
            <w:noWrap/>
            <w:vAlign w:val="center"/>
          </w:tcPr>
          <w:p w14:paraId="368904B9" w14:textId="4FFDCD02" w:rsidR="00AA4A29" w:rsidRPr="00DE4EE3" w:rsidRDefault="00DE4EE3" w:rsidP="00B108F4">
            <w:pPr>
              <w:jc w:val="right"/>
              <w:rPr>
                <w:rFonts w:ascii="CAIXA Std Book" w:hAnsi="CAIXA Std Book" w:cs="Arial"/>
                <w:color w:val="005CA9"/>
                <w:sz w:val="18"/>
                <w:szCs w:val="18"/>
              </w:rPr>
            </w:pPr>
            <w:r w:rsidRPr="00DE4EE3">
              <w:rPr>
                <w:rFonts w:ascii="CAIXA Std Book" w:hAnsi="CAIXA Std Book" w:cs="Arial"/>
                <w:bCs/>
                <w:color w:val="005CA9"/>
                <w:sz w:val="18"/>
                <w:szCs w:val="18"/>
              </w:rPr>
              <w:t>2.349.539</w:t>
            </w:r>
          </w:p>
        </w:tc>
        <w:tc>
          <w:tcPr>
            <w:tcW w:w="1021" w:type="pct"/>
            <w:tcBorders>
              <w:top w:val="nil"/>
              <w:left w:val="nil"/>
              <w:bottom w:val="single" w:sz="4" w:space="0" w:color="F39200"/>
              <w:right w:val="nil"/>
            </w:tcBorders>
            <w:vAlign w:val="center"/>
          </w:tcPr>
          <w:p w14:paraId="41870699" w14:textId="586CB259" w:rsidR="00AA4A29" w:rsidRPr="00FF4346" w:rsidRDefault="00AA4A29" w:rsidP="00B108F4">
            <w:pPr>
              <w:jc w:val="right"/>
              <w:rPr>
                <w:rFonts w:ascii="CAIXA Std Book" w:hAnsi="CAIXA Std Book" w:cs="Cambria Math"/>
                <w:color w:val="005CA9"/>
                <w:sz w:val="18"/>
                <w:szCs w:val="18"/>
              </w:rPr>
            </w:pPr>
            <w:r w:rsidRPr="00FF4346">
              <w:rPr>
                <w:rFonts w:ascii="CAIXA Std Book" w:hAnsi="CAIXA Std Book" w:cs="Arial"/>
                <w:color w:val="005CA9"/>
                <w:sz w:val="18"/>
                <w:szCs w:val="18"/>
              </w:rPr>
              <w:t>2.206.978</w:t>
            </w:r>
          </w:p>
        </w:tc>
      </w:tr>
      <w:tr w:rsidR="00AA4A29" w:rsidRPr="00A33766" w14:paraId="03CB85B9" w14:textId="77777777" w:rsidTr="00B108F4">
        <w:trPr>
          <w:trHeight w:val="283"/>
        </w:trPr>
        <w:tc>
          <w:tcPr>
            <w:tcW w:w="3032" w:type="pct"/>
            <w:tcBorders>
              <w:top w:val="single" w:sz="4" w:space="0" w:color="F39200"/>
              <w:left w:val="nil"/>
              <w:bottom w:val="single" w:sz="4" w:space="0" w:color="F39200"/>
              <w:right w:val="nil"/>
            </w:tcBorders>
            <w:shd w:val="clear" w:color="auto" w:fill="auto"/>
            <w:noWrap/>
            <w:vAlign w:val="center"/>
          </w:tcPr>
          <w:p w14:paraId="4AB76EC2" w14:textId="4911135B" w:rsidR="00AA4A29" w:rsidRPr="00FF4346" w:rsidRDefault="00AA4A29" w:rsidP="00AA4A29">
            <w:pPr>
              <w:rPr>
                <w:rFonts w:ascii="CAIXA Std Book" w:hAnsi="CAIXA Std Book" w:cs="Cambria Math"/>
                <w:b/>
                <w:color w:val="005CA9"/>
                <w:sz w:val="18"/>
                <w:szCs w:val="18"/>
              </w:rPr>
            </w:pPr>
            <w:r w:rsidRPr="00FF4346">
              <w:rPr>
                <w:rFonts w:ascii="CAIXA Std Book" w:hAnsi="CAIXA Std Book" w:cs="Cambria Math"/>
                <w:b/>
                <w:color w:val="005CA9"/>
                <w:sz w:val="18"/>
                <w:szCs w:val="18"/>
              </w:rPr>
              <w:t>Patrimônio Líquido – CONSOLIDADO</w:t>
            </w:r>
          </w:p>
        </w:tc>
        <w:tc>
          <w:tcPr>
            <w:tcW w:w="947" w:type="pct"/>
            <w:tcBorders>
              <w:top w:val="single" w:sz="4" w:space="0" w:color="F39200"/>
              <w:left w:val="nil"/>
              <w:bottom w:val="single" w:sz="4" w:space="0" w:color="F39200"/>
              <w:right w:val="nil"/>
            </w:tcBorders>
            <w:shd w:val="clear" w:color="auto" w:fill="auto"/>
            <w:noWrap/>
            <w:vAlign w:val="center"/>
          </w:tcPr>
          <w:p w14:paraId="7A20E4EF" w14:textId="56AEA3C3" w:rsidR="00AA4A29" w:rsidRPr="00FF4346" w:rsidRDefault="00DE4EE3" w:rsidP="00B108F4">
            <w:pPr>
              <w:jc w:val="right"/>
              <w:rPr>
                <w:rFonts w:ascii="CAIXA Std Book" w:hAnsi="CAIXA Std Book" w:cs="Arial"/>
                <w:b/>
                <w:color w:val="005CA9"/>
                <w:sz w:val="18"/>
                <w:szCs w:val="18"/>
              </w:rPr>
            </w:pPr>
            <w:r w:rsidRPr="00DE4EE3">
              <w:rPr>
                <w:rFonts w:ascii="CAIXA Std Book" w:hAnsi="CAIXA Std Book" w:cs="Arial"/>
                <w:b/>
                <w:color w:val="005CA9"/>
                <w:sz w:val="18"/>
                <w:szCs w:val="18"/>
              </w:rPr>
              <w:t>132.292.046</w:t>
            </w:r>
          </w:p>
        </w:tc>
        <w:tc>
          <w:tcPr>
            <w:tcW w:w="1021" w:type="pct"/>
            <w:tcBorders>
              <w:top w:val="single" w:sz="4" w:space="0" w:color="F39200"/>
              <w:left w:val="nil"/>
              <w:bottom w:val="single" w:sz="4" w:space="0" w:color="F39200"/>
              <w:right w:val="nil"/>
            </w:tcBorders>
            <w:vAlign w:val="center"/>
          </w:tcPr>
          <w:p w14:paraId="1D0D4E6C" w14:textId="529DCE77" w:rsidR="00AA4A29" w:rsidRPr="00FF4346" w:rsidRDefault="00AA4A29" w:rsidP="00B108F4">
            <w:pPr>
              <w:jc w:val="right"/>
              <w:rPr>
                <w:rFonts w:ascii="CAIXA Std Book" w:hAnsi="CAIXA Std Book" w:cs="Cambria Math"/>
                <w:b/>
                <w:color w:val="005CA9"/>
                <w:sz w:val="18"/>
                <w:szCs w:val="18"/>
              </w:rPr>
            </w:pPr>
            <w:r w:rsidRPr="00FF4346">
              <w:rPr>
                <w:rFonts w:ascii="CAIXA Std Book" w:hAnsi="CAIXA Std Book" w:cs="Arial"/>
                <w:b/>
                <w:color w:val="005CA9"/>
                <w:sz w:val="18"/>
                <w:szCs w:val="18"/>
              </w:rPr>
              <w:t>128.475.260</w:t>
            </w:r>
          </w:p>
        </w:tc>
      </w:tr>
    </w:tbl>
    <w:p w14:paraId="61566BEB" w14:textId="2859B43E" w:rsidR="009047D2" w:rsidRPr="00FF4346" w:rsidRDefault="00B61584" w:rsidP="00B108F4">
      <w:pPr>
        <w:tabs>
          <w:tab w:val="left" w:pos="1650"/>
        </w:tabs>
        <w:spacing w:before="120" w:after="120"/>
        <w:ind w:right="-2"/>
        <w:jc w:val="both"/>
        <w:rPr>
          <w:rFonts w:ascii="CAIXA Std Book" w:hAnsi="CAIXA Std Book"/>
          <w:color w:val="005CA9"/>
          <w:sz w:val="20"/>
          <w:szCs w:val="20"/>
        </w:rPr>
      </w:pPr>
      <w:r w:rsidRPr="00FF4346">
        <w:rPr>
          <w:rFonts w:ascii="CAIXA Std Book" w:hAnsi="CAIXA Std Book"/>
          <w:color w:val="005CA9"/>
          <w:sz w:val="20"/>
          <w:szCs w:val="20"/>
        </w:rPr>
        <w:t>N</w:t>
      </w:r>
      <w:r w:rsidR="009047D2" w:rsidRPr="00FF4346">
        <w:rPr>
          <w:rFonts w:ascii="CAIXA Std Book" w:hAnsi="CAIXA Std Book"/>
          <w:color w:val="005CA9"/>
          <w:sz w:val="20"/>
          <w:szCs w:val="20"/>
        </w:rPr>
        <w:t>as demonstrações contábeis individuais, os instrumentos híbridos de capital e dívida elegíveis a compor o Capital Principal são registrados no passivo e seus encargos financeiros reconhecidos como despesas operacionais, enquanto nas demonstrações contábeis consolidadas são reclassificados para o patrimônio líquido, com base no entendimento e nas orientações do Banco Central do Brasil, com o objetivo de melhorar a qualidade dessas demonstrações contábeis consolidadas.</w:t>
      </w:r>
    </w:p>
    <w:p w14:paraId="4699B7D5" w14:textId="27877187" w:rsidR="00F02172" w:rsidRPr="00FF4346" w:rsidRDefault="00F02172" w:rsidP="00B37B40">
      <w:pPr>
        <w:keepNext/>
        <w:numPr>
          <w:ilvl w:val="0"/>
          <w:numId w:val="27"/>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Enquadramento nos níveis exigidos pel</w:t>
      </w:r>
      <w:r w:rsidR="00EB05C4" w:rsidRPr="00FF4346">
        <w:rPr>
          <w:rFonts w:ascii="CAIXA Std Book" w:hAnsi="CAIXA Std Book"/>
          <w:b/>
          <w:color w:val="005CA9"/>
          <w:sz w:val="20"/>
          <w:szCs w:val="20"/>
        </w:rPr>
        <w:t xml:space="preserve">o </w:t>
      </w:r>
      <w:r w:rsidRPr="00FF4346">
        <w:rPr>
          <w:rFonts w:ascii="CAIXA Std Book" w:hAnsi="CAIXA Std Book"/>
          <w:b/>
          <w:color w:val="005CA9"/>
          <w:sz w:val="20"/>
          <w:szCs w:val="20"/>
        </w:rPr>
        <w:t>Acordo de Basil</w:t>
      </w:r>
      <w:r w:rsidR="00D45A92" w:rsidRPr="00FF4346">
        <w:rPr>
          <w:rFonts w:ascii="CAIXA Std Book" w:hAnsi="CAIXA Std Book"/>
          <w:b/>
          <w:color w:val="005CA9"/>
          <w:sz w:val="20"/>
          <w:szCs w:val="20"/>
        </w:rPr>
        <w:t>e</w:t>
      </w:r>
      <w:r w:rsidRPr="00FF4346">
        <w:rPr>
          <w:rFonts w:ascii="CAIXA Std Book" w:hAnsi="CAIXA Std Book"/>
          <w:b/>
          <w:color w:val="005CA9"/>
          <w:sz w:val="20"/>
          <w:szCs w:val="20"/>
        </w:rPr>
        <w:t>ia</w:t>
      </w:r>
    </w:p>
    <w:p w14:paraId="2ED39DFD" w14:textId="2F75A16A" w:rsidR="000C5A14" w:rsidRPr="00616EE1" w:rsidRDefault="00C012DA" w:rsidP="00996B00">
      <w:pPr>
        <w:pStyle w:val="xmsonormal"/>
        <w:spacing w:before="0" w:beforeAutospacing="0" w:after="0" w:afterAutospacing="0"/>
        <w:jc w:val="both"/>
        <w:rPr>
          <w:rFonts w:ascii="CAIXA Std Book" w:hAnsi="CAIXA Std Book"/>
          <w:color w:val="005CA9"/>
        </w:rPr>
      </w:pPr>
      <w:bookmarkStart w:id="110" w:name="_Hlk65762701"/>
      <w:r w:rsidRPr="00FF4346">
        <w:rPr>
          <w:rFonts w:ascii="CAIXA Std Book" w:hAnsi="CAIXA Std Book"/>
          <w:color w:val="005CA9"/>
          <w:sz w:val="20"/>
          <w:szCs w:val="20"/>
        </w:rPr>
        <w:t>Em conformidade com</w:t>
      </w:r>
      <w:r w:rsidR="000C5A14" w:rsidRPr="00FF4346">
        <w:rPr>
          <w:rFonts w:ascii="CAIXA Std Book" w:hAnsi="CAIXA Std Book"/>
          <w:color w:val="005CA9"/>
          <w:sz w:val="20"/>
          <w:szCs w:val="20"/>
        </w:rPr>
        <w:t xml:space="preserve"> a</w:t>
      </w:r>
      <w:r w:rsidR="00586974" w:rsidRPr="00FF4346">
        <w:rPr>
          <w:rFonts w:ascii="CAIXA Std Book" w:hAnsi="CAIXA Std Book"/>
          <w:color w:val="005CA9"/>
          <w:sz w:val="20"/>
          <w:szCs w:val="20"/>
        </w:rPr>
        <w:t>s</w:t>
      </w:r>
      <w:r w:rsidR="00824BFD" w:rsidRPr="00FF4346">
        <w:rPr>
          <w:rFonts w:ascii="CAIXA Std Book" w:hAnsi="CAIXA Std Book"/>
          <w:color w:val="005CA9"/>
          <w:sz w:val="20"/>
          <w:szCs w:val="20"/>
        </w:rPr>
        <w:t xml:space="preserve"> </w:t>
      </w:r>
      <w:r w:rsidR="000C5A14" w:rsidRPr="00FF4346">
        <w:rPr>
          <w:rFonts w:ascii="CAIXA Std Book" w:hAnsi="CAIXA Std Book"/>
          <w:color w:val="005CA9"/>
          <w:sz w:val="20"/>
          <w:szCs w:val="20"/>
        </w:rPr>
        <w:t>Resoluç</w:t>
      </w:r>
      <w:r w:rsidR="00586974" w:rsidRPr="00FF4346">
        <w:rPr>
          <w:rFonts w:ascii="CAIXA Std Book" w:hAnsi="CAIXA Std Book"/>
          <w:color w:val="005CA9"/>
          <w:sz w:val="20"/>
          <w:szCs w:val="20"/>
        </w:rPr>
        <w:t>ões</w:t>
      </w:r>
      <w:r w:rsidR="004864C4" w:rsidRPr="00FF4346">
        <w:rPr>
          <w:rFonts w:ascii="CAIXA Std Book" w:hAnsi="CAIXA Std Book"/>
          <w:color w:val="005CA9"/>
          <w:sz w:val="20"/>
          <w:szCs w:val="20"/>
        </w:rPr>
        <w:t xml:space="preserve"> CMN</w:t>
      </w:r>
      <w:r w:rsidR="000C5A14" w:rsidRPr="00FF4346">
        <w:rPr>
          <w:rFonts w:ascii="CAIXA Std Book" w:hAnsi="CAIXA Std Book"/>
          <w:color w:val="005CA9"/>
          <w:sz w:val="20"/>
          <w:szCs w:val="20"/>
        </w:rPr>
        <w:t xml:space="preserve"> </w:t>
      </w:r>
      <w:r w:rsidR="004864C4" w:rsidRPr="00FF4346">
        <w:rPr>
          <w:rFonts w:ascii="CAIXA Std Book" w:hAnsi="CAIXA Std Book"/>
          <w:color w:val="005CA9"/>
          <w:sz w:val="20"/>
          <w:szCs w:val="20"/>
        </w:rPr>
        <w:t>nº 4.955/2021</w:t>
      </w:r>
      <w:r w:rsidR="00BE6ED2" w:rsidRPr="00FF4346">
        <w:rPr>
          <w:rFonts w:ascii="CAIXA Std Book" w:hAnsi="CAIXA Std Book"/>
          <w:color w:val="005CA9"/>
          <w:sz w:val="20"/>
          <w:szCs w:val="20"/>
        </w:rPr>
        <w:t xml:space="preserve"> e</w:t>
      </w:r>
      <w:r w:rsidR="004864C4" w:rsidRPr="00FF4346">
        <w:rPr>
          <w:rFonts w:ascii="CAIXA Std Book" w:hAnsi="CAIXA Std Book"/>
          <w:color w:val="005CA9"/>
          <w:sz w:val="20"/>
          <w:szCs w:val="20"/>
        </w:rPr>
        <w:t xml:space="preserve"> </w:t>
      </w:r>
      <w:r w:rsidR="000C5A14" w:rsidRPr="00FF4346">
        <w:rPr>
          <w:rFonts w:ascii="CAIXA Std Book" w:hAnsi="CAIXA Std Book"/>
          <w:color w:val="005CA9"/>
          <w:sz w:val="20"/>
          <w:szCs w:val="20"/>
        </w:rPr>
        <w:t xml:space="preserve">nº </w:t>
      </w:r>
      <w:r w:rsidR="00586974" w:rsidRPr="00FF4346">
        <w:rPr>
          <w:rFonts w:ascii="CAIXA Std Book" w:hAnsi="CAIXA Std Book"/>
          <w:color w:val="005CA9"/>
          <w:sz w:val="20"/>
          <w:szCs w:val="20"/>
        </w:rPr>
        <w:t>4.958</w:t>
      </w:r>
      <w:r w:rsidR="004864C4" w:rsidRPr="00FF4346">
        <w:rPr>
          <w:rFonts w:ascii="CAIXA Std Book" w:hAnsi="CAIXA Std Book"/>
          <w:color w:val="005CA9"/>
          <w:sz w:val="20"/>
          <w:szCs w:val="20"/>
        </w:rPr>
        <w:t>/2021</w:t>
      </w:r>
      <w:r w:rsidR="00E23EA6" w:rsidRPr="00FF4346">
        <w:rPr>
          <w:rFonts w:ascii="CAIXA Std Book" w:hAnsi="CAIXA Std Book"/>
          <w:color w:val="005CA9"/>
          <w:sz w:val="20"/>
          <w:szCs w:val="20"/>
        </w:rPr>
        <w:t>,</w:t>
      </w:r>
      <w:r w:rsidR="000C5A14" w:rsidRPr="00FF4346">
        <w:rPr>
          <w:rFonts w:ascii="CAIXA Std Book" w:hAnsi="CAIXA Std Book"/>
          <w:color w:val="005CA9"/>
          <w:sz w:val="20"/>
          <w:szCs w:val="20"/>
        </w:rPr>
        <w:t xml:space="preserve"> que estabelecem os níveis mínimos de patrimônio de referência </w:t>
      </w:r>
      <w:r w:rsidR="00996B00" w:rsidRPr="00FF4346">
        <w:rPr>
          <w:rFonts w:ascii="CAIXA Std Book" w:hAnsi="CAIXA Std Book"/>
          <w:color w:val="005CA9"/>
          <w:sz w:val="20"/>
          <w:szCs w:val="20"/>
        </w:rPr>
        <w:t xml:space="preserve">e da apuração dos níveis de capital </w:t>
      </w:r>
      <w:r w:rsidR="000C5A14" w:rsidRPr="00FF4346">
        <w:rPr>
          <w:rFonts w:ascii="CAIXA Std Book" w:hAnsi="CAIXA Std Book"/>
          <w:color w:val="005CA9"/>
          <w:sz w:val="20"/>
          <w:szCs w:val="20"/>
        </w:rPr>
        <w:t>para as instituições financeiras, com base nos volumes de suas operações, a CAIXA apresenta</w:t>
      </w:r>
      <w:r w:rsidR="00987532" w:rsidRPr="00FF4346">
        <w:rPr>
          <w:rFonts w:ascii="CAIXA Std Book" w:hAnsi="CAIXA Std Book"/>
          <w:color w:val="005CA9"/>
          <w:sz w:val="20"/>
          <w:szCs w:val="20"/>
        </w:rPr>
        <w:t>,</w:t>
      </w:r>
      <w:r w:rsidR="000C5A14" w:rsidRPr="00FF4346">
        <w:rPr>
          <w:rFonts w:ascii="CAIXA Std Book" w:hAnsi="CAIXA Std Book"/>
          <w:color w:val="005CA9"/>
          <w:sz w:val="20"/>
          <w:szCs w:val="20"/>
        </w:rPr>
        <w:t xml:space="preserve"> em 3</w:t>
      </w:r>
      <w:r w:rsidR="003A2998" w:rsidRPr="00FF4346">
        <w:rPr>
          <w:rFonts w:ascii="CAIXA Std Book" w:hAnsi="CAIXA Std Book"/>
          <w:color w:val="005CA9"/>
          <w:sz w:val="20"/>
          <w:szCs w:val="20"/>
        </w:rPr>
        <w:t>1/</w:t>
      </w:r>
      <w:r w:rsidR="00A87986">
        <w:rPr>
          <w:rFonts w:ascii="CAIXA Std Book" w:hAnsi="CAIXA Std Book"/>
          <w:color w:val="005CA9"/>
          <w:sz w:val="20"/>
          <w:szCs w:val="20"/>
        </w:rPr>
        <w:t>03/2024</w:t>
      </w:r>
      <w:r w:rsidR="00373B6B" w:rsidRPr="00FF4346">
        <w:rPr>
          <w:rFonts w:ascii="CAIXA Std Book" w:hAnsi="CAIXA Std Book"/>
          <w:color w:val="005CA9"/>
          <w:sz w:val="20"/>
          <w:szCs w:val="20"/>
        </w:rPr>
        <w:t>,</w:t>
      </w:r>
      <w:r w:rsidR="000C5A14" w:rsidRPr="00FF4346">
        <w:rPr>
          <w:rFonts w:ascii="CAIXA Std Book" w:hAnsi="CAIXA Std Book"/>
          <w:color w:val="005CA9"/>
          <w:sz w:val="20"/>
          <w:szCs w:val="20"/>
        </w:rPr>
        <w:t xml:space="preserve"> </w:t>
      </w:r>
      <w:r w:rsidR="009861FE" w:rsidRPr="00FF4346">
        <w:rPr>
          <w:rFonts w:ascii="CAIXA Std Book" w:hAnsi="CAIXA Std Book"/>
          <w:color w:val="005CA9"/>
          <w:sz w:val="20"/>
          <w:szCs w:val="20"/>
        </w:rPr>
        <w:t>Í</w:t>
      </w:r>
      <w:r w:rsidR="000C5A14" w:rsidRPr="00FF4346">
        <w:rPr>
          <w:rFonts w:ascii="CAIXA Std Book" w:hAnsi="CAIXA Std Book"/>
          <w:color w:val="005CA9"/>
          <w:sz w:val="20"/>
          <w:szCs w:val="20"/>
        </w:rPr>
        <w:t>ndice de</w:t>
      </w:r>
      <w:r w:rsidR="009861FE" w:rsidRPr="00FF4346">
        <w:rPr>
          <w:rFonts w:ascii="CAIXA Std Book" w:hAnsi="CAIXA Std Book"/>
          <w:color w:val="005CA9"/>
          <w:sz w:val="20"/>
          <w:szCs w:val="20"/>
        </w:rPr>
        <w:t xml:space="preserve"> Basileia</w:t>
      </w:r>
      <w:r w:rsidR="00A95F01" w:rsidRPr="00FF4346">
        <w:rPr>
          <w:rFonts w:ascii="CAIXA Std Book" w:hAnsi="CAIXA Std Book"/>
          <w:color w:val="005CA9"/>
          <w:sz w:val="20"/>
          <w:szCs w:val="20"/>
        </w:rPr>
        <w:t xml:space="preserve"> (PR/RWA)</w:t>
      </w:r>
      <w:r w:rsidR="00F4036C" w:rsidRPr="00FF4346">
        <w:rPr>
          <w:rFonts w:ascii="CAIXA Std Book" w:hAnsi="CAIXA Std Book"/>
          <w:color w:val="005CA9"/>
          <w:sz w:val="20"/>
          <w:szCs w:val="20"/>
        </w:rPr>
        <w:t xml:space="preserve"> igual a</w:t>
      </w:r>
      <w:r w:rsidR="000C5A14" w:rsidRPr="00FF4346">
        <w:rPr>
          <w:rFonts w:ascii="CAIXA Std Book" w:hAnsi="CAIXA Std Book"/>
          <w:color w:val="005CA9"/>
          <w:sz w:val="20"/>
          <w:szCs w:val="20"/>
        </w:rPr>
        <w:t xml:space="preserve"> </w:t>
      </w:r>
      <w:r w:rsidR="00086087" w:rsidRPr="00086087">
        <w:rPr>
          <w:rFonts w:ascii="CAIXA Std Book" w:hAnsi="CAIXA Std Book"/>
          <w:color w:val="005CA9"/>
          <w:sz w:val="20"/>
          <w:szCs w:val="20"/>
        </w:rPr>
        <w:t>16,85</w:t>
      </w:r>
      <w:r w:rsidR="000C5A14" w:rsidRPr="00086087">
        <w:rPr>
          <w:rFonts w:ascii="CAIXA Std Book" w:hAnsi="CAIXA Std Book"/>
          <w:color w:val="005CA9"/>
          <w:sz w:val="20"/>
          <w:szCs w:val="20"/>
        </w:rPr>
        <w:t xml:space="preserve"> %</w:t>
      </w:r>
      <w:r w:rsidR="000C5A14" w:rsidRPr="00FF4346">
        <w:rPr>
          <w:rFonts w:ascii="CAIXA Std Book" w:hAnsi="CAIXA Std Book"/>
          <w:color w:val="005CA9"/>
          <w:sz w:val="20"/>
          <w:szCs w:val="20"/>
        </w:rPr>
        <w:t xml:space="preserve"> (31/12/202</w:t>
      </w:r>
      <w:r w:rsidR="003D021E">
        <w:rPr>
          <w:rFonts w:ascii="CAIXA Std Book" w:hAnsi="CAIXA Std Book"/>
          <w:color w:val="005CA9"/>
          <w:sz w:val="20"/>
          <w:szCs w:val="20"/>
        </w:rPr>
        <w:t>3</w:t>
      </w:r>
      <w:r w:rsidR="000C5A14" w:rsidRPr="00FF4346">
        <w:rPr>
          <w:rFonts w:ascii="CAIXA Std Book" w:hAnsi="CAIXA Std Book"/>
          <w:color w:val="005CA9"/>
          <w:sz w:val="20"/>
          <w:szCs w:val="20"/>
        </w:rPr>
        <w:t xml:space="preserve"> – 1</w:t>
      </w:r>
      <w:r w:rsidR="003D021E">
        <w:rPr>
          <w:rFonts w:ascii="CAIXA Std Book" w:hAnsi="CAIXA Std Book"/>
          <w:color w:val="005CA9"/>
          <w:sz w:val="20"/>
          <w:szCs w:val="20"/>
        </w:rPr>
        <w:t>6,68</w:t>
      </w:r>
      <w:r w:rsidR="000C5A14" w:rsidRPr="00FF4346">
        <w:rPr>
          <w:rFonts w:ascii="CAIXA Std Book" w:hAnsi="CAIXA Std Book"/>
          <w:color w:val="005CA9"/>
          <w:sz w:val="20"/>
          <w:szCs w:val="20"/>
        </w:rPr>
        <w:t>%) (Nota 33), acima do mínimo regulamentar exigido no Brasil</w:t>
      </w:r>
      <w:r w:rsidR="00487F4A" w:rsidRPr="00FF4346">
        <w:rPr>
          <w:rFonts w:ascii="CAIXA Std Book" w:hAnsi="CAIXA Std Book"/>
          <w:color w:val="005CA9"/>
          <w:sz w:val="20"/>
          <w:szCs w:val="20"/>
        </w:rPr>
        <w:t>,</w:t>
      </w:r>
      <w:r w:rsidR="000C5A14" w:rsidRPr="00FF4346">
        <w:rPr>
          <w:rFonts w:ascii="CAIXA Std Book" w:hAnsi="CAIXA Std Book"/>
          <w:color w:val="005CA9"/>
          <w:sz w:val="20"/>
          <w:szCs w:val="20"/>
        </w:rPr>
        <w:t xml:space="preserve"> que é de 11,5%.</w:t>
      </w:r>
    </w:p>
    <w:bookmarkEnd w:id="110"/>
    <w:p w14:paraId="1209858A" w14:textId="2B4E3BA8" w:rsidR="00F02172" w:rsidRPr="00FF4346" w:rsidRDefault="00F02172" w:rsidP="00B37B40">
      <w:pPr>
        <w:keepNext/>
        <w:numPr>
          <w:ilvl w:val="0"/>
          <w:numId w:val="27"/>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 xml:space="preserve">Reservas de lucros </w:t>
      </w:r>
    </w:p>
    <w:tbl>
      <w:tblPr>
        <w:tblW w:w="5000" w:type="pct"/>
        <w:tblCellMar>
          <w:left w:w="70" w:type="dxa"/>
          <w:right w:w="70" w:type="dxa"/>
        </w:tblCellMar>
        <w:tblLook w:val="04A0" w:firstRow="1" w:lastRow="0" w:firstColumn="1" w:lastColumn="0" w:noHBand="0" w:noVBand="1"/>
      </w:tblPr>
      <w:tblGrid>
        <w:gridCol w:w="5667"/>
        <w:gridCol w:w="1985"/>
        <w:gridCol w:w="1985"/>
      </w:tblGrid>
      <w:tr w:rsidR="003B2B2A" w:rsidRPr="00A33766" w14:paraId="312D42A6" w14:textId="77777777" w:rsidTr="006E599C">
        <w:trPr>
          <w:trHeight w:val="283"/>
        </w:trPr>
        <w:tc>
          <w:tcPr>
            <w:tcW w:w="5000" w:type="pct"/>
            <w:gridSpan w:val="3"/>
            <w:tcBorders>
              <w:top w:val="single" w:sz="4" w:space="0" w:color="F39200"/>
              <w:left w:val="nil"/>
              <w:bottom w:val="single" w:sz="4" w:space="0" w:color="F39200"/>
              <w:right w:val="nil"/>
            </w:tcBorders>
            <w:shd w:val="clear" w:color="auto" w:fill="auto"/>
            <w:noWrap/>
            <w:vAlign w:val="center"/>
          </w:tcPr>
          <w:p w14:paraId="17DA6A50" w14:textId="408FAE5A" w:rsidR="007B064E" w:rsidRPr="00FF4346" w:rsidRDefault="007B064E" w:rsidP="00FC74BA">
            <w:pPr>
              <w:jc w:val="center"/>
              <w:rPr>
                <w:rFonts w:ascii="CAIXA Std Book" w:hAnsi="CAIXA Std Book"/>
                <w:b/>
                <w:color w:val="005CA9"/>
                <w:sz w:val="18"/>
                <w:szCs w:val="18"/>
              </w:rPr>
            </w:pPr>
            <w:bookmarkStart w:id="111" w:name="_Hlk65762717"/>
            <w:r w:rsidRPr="00FF4346">
              <w:rPr>
                <w:rFonts w:ascii="CAIXA Std Book" w:hAnsi="CAIXA Std Book" w:cs="Symbol"/>
                <w:b/>
                <w:color w:val="005CA9"/>
                <w:sz w:val="18"/>
                <w:szCs w:val="18"/>
              </w:rPr>
              <w:t>INDIVIDUAL / CONSOLIDADO</w:t>
            </w:r>
          </w:p>
        </w:tc>
      </w:tr>
      <w:bookmarkEnd w:id="111"/>
      <w:tr w:rsidR="003B2B2A" w:rsidRPr="00A33766" w14:paraId="01BF2813" w14:textId="77777777" w:rsidTr="00914948">
        <w:trPr>
          <w:trHeight w:val="283"/>
        </w:trPr>
        <w:tc>
          <w:tcPr>
            <w:tcW w:w="2940" w:type="pct"/>
            <w:tcBorders>
              <w:top w:val="single" w:sz="4" w:space="0" w:color="F39200"/>
              <w:left w:val="nil"/>
              <w:bottom w:val="single" w:sz="4" w:space="0" w:color="F39200"/>
              <w:right w:val="nil"/>
            </w:tcBorders>
            <w:shd w:val="clear" w:color="auto" w:fill="auto"/>
            <w:noWrap/>
            <w:vAlign w:val="center"/>
            <w:hideMark/>
          </w:tcPr>
          <w:p w14:paraId="0233AB3B" w14:textId="77777777" w:rsidR="00FC74BA" w:rsidRPr="00FF4346" w:rsidRDefault="00FC74BA" w:rsidP="00FC74BA">
            <w:pPr>
              <w:jc w:val="center"/>
              <w:rPr>
                <w:rFonts w:ascii="CAIXA Std Book" w:hAnsi="CAIXA Std Book"/>
                <w:b/>
                <w:color w:val="005CA9"/>
                <w:sz w:val="18"/>
                <w:szCs w:val="18"/>
              </w:rPr>
            </w:pPr>
            <w:r w:rsidRPr="00FF4346">
              <w:rPr>
                <w:rFonts w:ascii="CAIXA Std Book" w:hAnsi="CAIXA Std Book"/>
                <w:b/>
                <w:color w:val="005CA9"/>
                <w:sz w:val="18"/>
                <w:szCs w:val="18"/>
              </w:rPr>
              <w:t>Descrição</w:t>
            </w:r>
          </w:p>
        </w:tc>
        <w:tc>
          <w:tcPr>
            <w:tcW w:w="1030" w:type="pct"/>
            <w:tcBorders>
              <w:top w:val="single" w:sz="4" w:space="0" w:color="F39200"/>
              <w:left w:val="nil"/>
              <w:bottom w:val="single" w:sz="4" w:space="0" w:color="F39200"/>
              <w:right w:val="nil"/>
            </w:tcBorders>
            <w:shd w:val="clear" w:color="auto" w:fill="auto"/>
            <w:noWrap/>
            <w:vAlign w:val="center"/>
          </w:tcPr>
          <w:p w14:paraId="133CAFE8" w14:textId="7BAE8C27" w:rsidR="00FC74BA" w:rsidRPr="00FF4346" w:rsidRDefault="00170637" w:rsidP="00FC74BA">
            <w:pPr>
              <w:jc w:val="center"/>
              <w:rPr>
                <w:rFonts w:ascii="CAIXA Std Book" w:hAnsi="CAIXA Std Book"/>
                <w:b/>
                <w:color w:val="005CA9"/>
                <w:sz w:val="18"/>
                <w:szCs w:val="18"/>
              </w:rPr>
            </w:pPr>
            <w:r w:rsidRPr="00FF4346">
              <w:rPr>
                <w:rFonts w:ascii="CAIXA Std Book" w:hAnsi="CAIXA Std Book"/>
                <w:b/>
                <w:color w:val="005CA9"/>
                <w:sz w:val="18"/>
                <w:szCs w:val="18"/>
              </w:rPr>
              <w:t>31/</w:t>
            </w:r>
            <w:r w:rsidR="00572E51">
              <w:rPr>
                <w:rFonts w:ascii="CAIXA Std Book" w:hAnsi="CAIXA Std Book"/>
                <w:b/>
                <w:color w:val="005CA9"/>
                <w:sz w:val="18"/>
                <w:szCs w:val="18"/>
              </w:rPr>
              <w:t>03/2024</w:t>
            </w:r>
          </w:p>
        </w:tc>
        <w:tc>
          <w:tcPr>
            <w:tcW w:w="1030" w:type="pct"/>
            <w:tcBorders>
              <w:top w:val="single" w:sz="4" w:space="0" w:color="F39200"/>
              <w:left w:val="nil"/>
              <w:bottom w:val="single" w:sz="4" w:space="0" w:color="F39200"/>
              <w:right w:val="nil"/>
            </w:tcBorders>
            <w:vAlign w:val="center"/>
          </w:tcPr>
          <w:p w14:paraId="24598520" w14:textId="71030146" w:rsidR="00FC74BA" w:rsidRPr="00FF4346" w:rsidRDefault="00FC74BA" w:rsidP="00FC74BA">
            <w:pPr>
              <w:jc w:val="center"/>
              <w:rPr>
                <w:rFonts w:ascii="CAIXA Std Book" w:hAnsi="CAIXA Std Book"/>
                <w:b/>
                <w:color w:val="005CA9"/>
                <w:sz w:val="18"/>
                <w:szCs w:val="18"/>
              </w:rPr>
            </w:pPr>
            <w:r w:rsidRPr="00FF4346">
              <w:rPr>
                <w:rFonts w:ascii="CAIXA Std Book" w:hAnsi="CAIXA Std Book"/>
                <w:b/>
                <w:color w:val="005CA9"/>
                <w:sz w:val="18"/>
                <w:szCs w:val="18"/>
              </w:rPr>
              <w:t>31/12/</w:t>
            </w:r>
            <w:r w:rsidR="00995AB2" w:rsidRPr="00FF4346">
              <w:rPr>
                <w:rFonts w:ascii="CAIXA Std Book" w:hAnsi="CAIXA Std Book"/>
                <w:b/>
                <w:color w:val="005CA9"/>
                <w:sz w:val="18"/>
                <w:szCs w:val="18"/>
              </w:rPr>
              <w:t>202</w:t>
            </w:r>
            <w:r w:rsidR="001713C8">
              <w:rPr>
                <w:rFonts w:ascii="CAIXA Std Book" w:hAnsi="CAIXA Std Book"/>
                <w:b/>
                <w:color w:val="005CA9"/>
                <w:sz w:val="18"/>
                <w:szCs w:val="18"/>
              </w:rPr>
              <w:t>3</w:t>
            </w:r>
          </w:p>
        </w:tc>
      </w:tr>
      <w:tr w:rsidR="002800DE" w:rsidRPr="00A33766" w14:paraId="35AABAF0" w14:textId="77777777" w:rsidTr="00914948">
        <w:trPr>
          <w:trHeight w:val="283"/>
        </w:trPr>
        <w:tc>
          <w:tcPr>
            <w:tcW w:w="2940" w:type="pct"/>
            <w:tcBorders>
              <w:top w:val="nil"/>
              <w:left w:val="nil"/>
              <w:bottom w:val="nil"/>
              <w:right w:val="nil"/>
            </w:tcBorders>
            <w:shd w:val="clear" w:color="auto" w:fill="auto"/>
            <w:noWrap/>
            <w:vAlign w:val="center"/>
            <w:hideMark/>
          </w:tcPr>
          <w:p w14:paraId="1D711DAC" w14:textId="77777777" w:rsidR="002800DE" w:rsidRPr="00FF4346" w:rsidRDefault="002800DE" w:rsidP="002800DE">
            <w:pPr>
              <w:rPr>
                <w:rFonts w:ascii="CAIXA Std Book" w:hAnsi="CAIXA Std Book"/>
                <w:b/>
                <w:color w:val="005CA9"/>
                <w:sz w:val="18"/>
                <w:szCs w:val="18"/>
              </w:rPr>
            </w:pPr>
            <w:r w:rsidRPr="00FF4346">
              <w:rPr>
                <w:rFonts w:ascii="CAIXA Std Book" w:hAnsi="CAIXA Std Book"/>
                <w:b/>
                <w:color w:val="005CA9"/>
                <w:sz w:val="18"/>
                <w:szCs w:val="18"/>
              </w:rPr>
              <w:t>Reservas de reavaliação</w:t>
            </w:r>
          </w:p>
        </w:tc>
        <w:tc>
          <w:tcPr>
            <w:tcW w:w="1030" w:type="pct"/>
            <w:tcBorders>
              <w:top w:val="nil"/>
              <w:left w:val="nil"/>
              <w:bottom w:val="nil"/>
              <w:right w:val="nil"/>
            </w:tcBorders>
            <w:shd w:val="clear" w:color="auto" w:fill="auto"/>
            <w:noWrap/>
            <w:vAlign w:val="center"/>
          </w:tcPr>
          <w:p w14:paraId="178C0EE1" w14:textId="22C4122E" w:rsidR="002800DE" w:rsidRPr="002800DE" w:rsidRDefault="002800DE" w:rsidP="002800DE">
            <w:pPr>
              <w:jc w:val="right"/>
              <w:rPr>
                <w:rFonts w:ascii="CAIXA Std Book" w:hAnsi="CAIXA Std Book" w:cs="Arial"/>
                <w:b/>
                <w:bCs/>
                <w:color w:val="005CA9"/>
                <w:sz w:val="18"/>
                <w:szCs w:val="18"/>
              </w:rPr>
            </w:pPr>
            <w:r w:rsidRPr="002800DE">
              <w:rPr>
                <w:rFonts w:ascii="CAIXA Std Book" w:hAnsi="CAIXA Std Book" w:cs="Arial"/>
                <w:b/>
                <w:bCs/>
                <w:color w:val="005CA9"/>
                <w:sz w:val="18"/>
                <w:szCs w:val="18"/>
              </w:rPr>
              <w:t>213.965</w:t>
            </w:r>
          </w:p>
        </w:tc>
        <w:tc>
          <w:tcPr>
            <w:tcW w:w="1030" w:type="pct"/>
            <w:tcBorders>
              <w:top w:val="nil"/>
              <w:left w:val="nil"/>
              <w:bottom w:val="nil"/>
              <w:right w:val="nil"/>
            </w:tcBorders>
            <w:vAlign w:val="center"/>
          </w:tcPr>
          <w:p w14:paraId="66BD3BBC" w14:textId="5E0C6D3E" w:rsidR="002800DE" w:rsidRPr="00FF4346" w:rsidRDefault="002800DE" w:rsidP="002800DE">
            <w:pPr>
              <w:jc w:val="right"/>
              <w:rPr>
                <w:rFonts w:ascii="CAIXA Std Book" w:hAnsi="CAIXA Std Book"/>
                <w:b/>
                <w:color w:val="005CA9"/>
                <w:sz w:val="18"/>
                <w:szCs w:val="18"/>
              </w:rPr>
            </w:pPr>
            <w:r w:rsidRPr="00FF4346">
              <w:rPr>
                <w:rFonts w:ascii="CAIXA Std Book" w:hAnsi="CAIXA Std Book" w:cs="Arial"/>
                <w:b/>
                <w:bCs/>
                <w:color w:val="005CA9"/>
                <w:sz w:val="18"/>
                <w:szCs w:val="18"/>
              </w:rPr>
              <w:t>215.884</w:t>
            </w:r>
          </w:p>
        </w:tc>
      </w:tr>
      <w:tr w:rsidR="002800DE" w:rsidRPr="00A33766" w14:paraId="148CD70D" w14:textId="77777777" w:rsidTr="00914948">
        <w:trPr>
          <w:trHeight w:val="283"/>
        </w:trPr>
        <w:tc>
          <w:tcPr>
            <w:tcW w:w="2940" w:type="pct"/>
            <w:tcBorders>
              <w:top w:val="nil"/>
              <w:left w:val="nil"/>
              <w:bottom w:val="nil"/>
              <w:right w:val="nil"/>
            </w:tcBorders>
            <w:shd w:val="clear" w:color="auto" w:fill="auto"/>
            <w:noWrap/>
            <w:vAlign w:val="center"/>
            <w:hideMark/>
          </w:tcPr>
          <w:p w14:paraId="71D24727" w14:textId="77777777" w:rsidR="002800DE" w:rsidRPr="00FF4346" w:rsidRDefault="002800DE" w:rsidP="002800DE">
            <w:pPr>
              <w:rPr>
                <w:rFonts w:ascii="CAIXA Std Book" w:hAnsi="CAIXA Std Book"/>
                <w:b/>
                <w:color w:val="005CA9"/>
                <w:sz w:val="18"/>
                <w:szCs w:val="18"/>
              </w:rPr>
            </w:pPr>
            <w:r w:rsidRPr="00FF4346">
              <w:rPr>
                <w:rFonts w:ascii="CAIXA Std Book" w:hAnsi="CAIXA Std Book"/>
                <w:b/>
                <w:color w:val="005CA9"/>
                <w:sz w:val="18"/>
                <w:szCs w:val="18"/>
              </w:rPr>
              <w:t>Reservas de lucros</w:t>
            </w:r>
          </w:p>
        </w:tc>
        <w:tc>
          <w:tcPr>
            <w:tcW w:w="1030" w:type="pct"/>
            <w:tcBorders>
              <w:top w:val="nil"/>
              <w:left w:val="nil"/>
              <w:bottom w:val="nil"/>
              <w:right w:val="nil"/>
            </w:tcBorders>
            <w:shd w:val="clear" w:color="auto" w:fill="auto"/>
            <w:noWrap/>
            <w:vAlign w:val="center"/>
          </w:tcPr>
          <w:p w14:paraId="2B008553" w14:textId="56FA3F42" w:rsidR="002800DE" w:rsidRPr="002800DE" w:rsidRDefault="002800DE" w:rsidP="002800DE">
            <w:pPr>
              <w:jc w:val="right"/>
              <w:rPr>
                <w:rFonts w:ascii="CAIXA Std Book" w:hAnsi="CAIXA Std Book" w:cs="Arial"/>
                <w:b/>
                <w:bCs/>
                <w:color w:val="005CA9"/>
                <w:sz w:val="18"/>
                <w:szCs w:val="18"/>
              </w:rPr>
            </w:pPr>
            <w:r w:rsidRPr="002800DE">
              <w:rPr>
                <w:rFonts w:ascii="CAIXA Std Book" w:hAnsi="CAIXA Std Book" w:cs="Arial"/>
                <w:b/>
                <w:bCs/>
                <w:color w:val="005CA9"/>
                <w:sz w:val="18"/>
                <w:szCs w:val="18"/>
              </w:rPr>
              <w:t>19.388.792</w:t>
            </w:r>
          </w:p>
        </w:tc>
        <w:tc>
          <w:tcPr>
            <w:tcW w:w="1030" w:type="pct"/>
            <w:tcBorders>
              <w:top w:val="nil"/>
              <w:left w:val="nil"/>
              <w:bottom w:val="nil"/>
              <w:right w:val="nil"/>
            </w:tcBorders>
            <w:vAlign w:val="center"/>
          </w:tcPr>
          <w:p w14:paraId="77132DF3" w14:textId="15FCE4D3" w:rsidR="002800DE" w:rsidRPr="00FF4346" w:rsidRDefault="002800DE" w:rsidP="002800DE">
            <w:pPr>
              <w:jc w:val="right"/>
              <w:rPr>
                <w:rFonts w:ascii="CAIXA Std Book" w:hAnsi="CAIXA Std Book"/>
                <w:b/>
                <w:color w:val="005CA9"/>
                <w:sz w:val="18"/>
                <w:szCs w:val="18"/>
              </w:rPr>
            </w:pPr>
            <w:r w:rsidRPr="00FF4346">
              <w:rPr>
                <w:rFonts w:ascii="CAIXA Std Book" w:hAnsi="CAIXA Std Book" w:cs="Arial"/>
                <w:b/>
                <w:bCs/>
                <w:color w:val="005CA9"/>
                <w:sz w:val="18"/>
                <w:szCs w:val="18"/>
              </w:rPr>
              <w:t>20.325.908</w:t>
            </w:r>
          </w:p>
        </w:tc>
      </w:tr>
      <w:tr w:rsidR="002800DE" w:rsidRPr="00A33766" w14:paraId="3D46B466" w14:textId="77777777" w:rsidTr="00914948">
        <w:trPr>
          <w:trHeight w:val="283"/>
        </w:trPr>
        <w:tc>
          <w:tcPr>
            <w:tcW w:w="2940" w:type="pct"/>
            <w:tcBorders>
              <w:top w:val="nil"/>
              <w:left w:val="nil"/>
              <w:bottom w:val="nil"/>
              <w:right w:val="nil"/>
            </w:tcBorders>
            <w:shd w:val="clear" w:color="auto" w:fill="auto"/>
            <w:noWrap/>
            <w:vAlign w:val="center"/>
            <w:hideMark/>
          </w:tcPr>
          <w:p w14:paraId="7A22D6ED" w14:textId="77777777" w:rsidR="002800DE" w:rsidRPr="00FF4346" w:rsidRDefault="002800DE" w:rsidP="002800DE">
            <w:pPr>
              <w:rPr>
                <w:rFonts w:ascii="CAIXA Std Book" w:hAnsi="CAIXA Std Book"/>
                <w:color w:val="005CA9"/>
                <w:sz w:val="18"/>
                <w:szCs w:val="18"/>
              </w:rPr>
            </w:pPr>
            <w:r w:rsidRPr="00FF4346">
              <w:rPr>
                <w:rFonts w:ascii="CAIXA Std Book" w:hAnsi="CAIXA Std Book"/>
                <w:color w:val="005CA9"/>
                <w:sz w:val="18"/>
                <w:szCs w:val="18"/>
              </w:rPr>
              <w:t>Reserva legal</w:t>
            </w:r>
          </w:p>
        </w:tc>
        <w:tc>
          <w:tcPr>
            <w:tcW w:w="1030" w:type="pct"/>
            <w:tcBorders>
              <w:top w:val="nil"/>
              <w:left w:val="nil"/>
              <w:bottom w:val="nil"/>
              <w:right w:val="nil"/>
            </w:tcBorders>
            <w:shd w:val="clear" w:color="auto" w:fill="auto"/>
            <w:noWrap/>
            <w:vAlign w:val="center"/>
          </w:tcPr>
          <w:p w14:paraId="259C2DB2" w14:textId="5959AAEE" w:rsidR="002800DE" w:rsidRPr="002800DE" w:rsidRDefault="002800DE" w:rsidP="002800DE">
            <w:pPr>
              <w:jc w:val="right"/>
              <w:rPr>
                <w:rFonts w:ascii="CAIXA Std Book" w:hAnsi="CAIXA Std Book" w:cs="Arial"/>
                <w:color w:val="005CA9"/>
                <w:sz w:val="18"/>
                <w:szCs w:val="18"/>
              </w:rPr>
            </w:pPr>
            <w:r w:rsidRPr="002800DE">
              <w:rPr>
                <w:rFonts w:ascii="CAIXA Std Book" w:hAnsi="CAIXA Std Book" w:cs="Arial"/>
                <w:color w:val="005CA9"/>
                <w:sz w:val="18"/>
                <w:szCs w:val="18"/>
              </w:rPr>
              <w:t>6.112.183</w:t>
            </w:r>
          </w:p>
        </w:tc>
        <w:tc>
          <w:tcPr>
            <w:tcW w:w="1030" w:type="pct"/>
            <w:tcBorders>
              <w:top w:val="nil"/>
              <w:left w:val="nil"/>
              <w:bottom w:val="nil"/>
              <w:right w:val="nil"/>
            </w:tcBorders>
            <w:vAlign w:val="center"/>
          </w:tcPr>
          <w:p w14:paraId="0886B4EC" w14:textId="266AC16C" w:rsidR="002800DE" w:rsidRPr="00FF4346" w:rsidRDefault="002800DE" w:rsidP="002800DE">
            <w:pPr>
              <w:jc w:val="right"/>
              <w:rPr>
                <w:rFonts w:ascii="CAIXA Std Book" w:hAnsi="CAIXA Std Book"/>
                <w:color w:val="005CA9"/>
                <w:sz w:val="18"/>
                <w:szCs w:val="18"/>
              </w:rPr>
            </w:pPr>
            <w:r w:rsidRPr="00FF4346">
              <w:rPr>
                <w:rFonts w:ascii="CAIXA Std Book" w:hAnsi="CAIXA Std Book" w:cs="Arial"/>
                <w:color w:val="005CA9"/>
                <w:sz w:val="18"/>
                <w:szCs w:val="18"/>
              </w:rPr>
              <w:t>6.112.183</w:t>
            </w:r>
          </w:p>
        </w:tc>
      </w:tr>
      <w:tr w:rsidR="002800DE" w:rsidRPr="00A33766" w14:paraId="6B4347B1" w14:textId="77777777" w:rsidTr="00914948">
        <w:trPr>
          <w:trHeight w:val="283"/>
        </w:trPr>
        <w:tc>
          <w:tcPr>
            <w:tcW w:w="2940" w:type="pct"/>
            <w:tcBorders>
              <w:top w:val="nil"/>
              <w:left w:val="nil"/>
              <w:right w:val="nil"/>
            </w:tcBorders>
            <w:shd w:val="clear" w:color="auto" w:fill="auto"/>
            <w:noWrap/>
            <w:vAlign w:val="center"/>
            <w:hideMark/>
          </w:tcPr>
          <w:p w14:paraId="5C83877E" w14:textId="6DE486D5" w:rsidR="002800DE" w:rsidRPr="00FF4346" w:rsidRDefault="002800DE" w:rsidP="002800DE">
            <w:pPr>
              <w:rPr>
                <w:rFonts w:ascii="CAIXA Std Book" w:hAnsi="CAIXA Std Book"/>
                <w:color w:val="005CA9"/>
                <w:sz w:val="18"/>
                <w:szCs w:val="18"/>
              </w:rPr>
            </w:pPr>
            <w:r w:rsidRPr="00FF4346">
              <w:rPr>
                <w:rFonts w:ascii="CAIXA Std Book" w:hAnsi="CAIXA Std Book"/>
                <w:color w:val="005CA9"/>
                <w:sz w:val="18"/>
                <w:szCs w:val="18"/>
              </w:rPr>
              <w:t xml:space="preserve">Reserva estatutária – loterias </w:t>
            </w:r>
          </w:p>
        </w:tc>
        <w:tc>
          <w:tcPr>
            <w:tcW w:w="1030" w:type="pct"/>
            <w:tcBorders>
              <w:top w:val="nil"/>
              <w:left w:val="nil"/>
              <w:right w:val="nil"/>
            </w:tcBorders>
            <w:shd w:val="clear" w:color="auto" w:fill="auto"/>
            <w:noWrap/>
            <w:vAlign w:val="center"/>
          </w:tcPr>
          <w:p w14:paraId="3CF1CFD4" w14:textId="5FFF5223" w:rsidR="002800DE" w:rsidRPr="002800DE" w:rsidRDefault="002800DE" w:rsidP="002800DE">
            <w:pPr>
              <w:jc w:val="right"/>
              <w:rPr>
                <w:rFonts w:ascii="CAIXA Std Book" w:hAnsi="CAIXA Std Book" w:cs="Arial"/>
                <w:color w:val="005CA9"/>
                <w:sz w:val="18"/>
                <w:szCs w:val="18"/>
              </w:rPr>
            </w:pPr>
            <w:r w:rsidRPr="002800DE">
              <w:rPr>
                <w:rFonts w:ascii="CAIXA Std Book" w:hAnsi="CAIXA Std Book" w:cs="Arial"/>
                <w:color w:val="005CA9"/>
                <w:sz w:val="18"/>
                <w:szCs w:val="18"/>
              </w:rPr>
              <w:t>1</w:t>
            </w:r>
          </w:p>
        </w:tc>
        <w:tc>
          <w:tcPr>
            <w:tcW w:w="1030" w:type="pct"/>
            <w:tcBorders>
              <w:top w:val="nil"/>
              <w:left w:val="nil"/>
              <w:right w:val="nil"/>
            </w:tcBorders>
            <w:vAlign w:val="center"/>
          </w:tcPr>
          <w:p w14:paraId="0CC720AA" w14:textId="3CCA9DE1" w:rsidR="002800DE" w:rsidRPr="00FF4346" w:rsidRDefault="002800DE" w:rsidP="002800DE">
            <w:pPr>
              <w:jc w:val="right"/>
              <w:rPr>
                <w:rFonts w:ascii="CAIXA Std Book" w:hAnsi="CAIXA Std Book"/>
                <w:color w:val="005CA9"/>
                <w:sz w:val="18"/>
                <w:szCs w:val="18"/>
              </w:rPr>
            </w:pPr>
            <w:r w:rsidRPr="00FF4346">
              <w:rPr>
                <w:rFonts w:ascii="CAIXA Std Book" w:hAnsi="CAIXA Std Book" w:cs="Arial"/>
                <w:color w:val="005CA9"/>
                <w:sz w:val="18"/>
                <w:szCs w:val="18"/>
              </w:rPr>
              <w:t>937.117</w:t>
            </w:r>
          </w:p>
        </w:tc>
      </w:tr>
      <w:tr w:rsidR="002800DE" w:rsidRPr="00A33766" w14:paraId="6D9EBA77" w14:textId="77777777" w:rsidTr="00914948">
        <w:trPr>
          <w:trHeight w:val="283"/>
        </w:trPr>
        <w:tc>
          <w:tcPr>
            <w:tcW w:w="2940" w:type="pct"/>
            <w:tcBorders>
              <w:top w:val="nil"/>
              <w:left w:val="nil"/>
              <w:bottom w:val="single" w:sz="4" w:space="0" w:color="F79646"/>
              <w:right w:val="nil"/>
            </w:tcBorders>
            <w:shd w:val="clear" w:color="auto" w:fill="auto"/>
            <w:noWrap/>
            <w:vAlign w:val="center"/>
            <w:hideMark/>
          </w:tcPr>
          <w:p w14:paraId="0F224D9C" w14:textId="23F4FF21" w:rsidR="002800DE" w:rsidRPr="00FF4346" w:rsidRDefault="002800DE" w:rsidP="002800DE">
            <w:pPr>
              <w:rPr>
                <w:rFonts w:ascii="CAIXA Std Book" w:hAnsi="CAIXA Std Book"/>
                <w:color w:val="005CA9"/>
                <w:sz w:val="18"/>
                <w:szCs w:val="18"/>
              </w:rPr>
            </w:pPr>
            <w:r w:rsidRPr="00FF4346">
              <w:rPr>
                <w:rFonts w:ascii="CAIXA Std Book" w:hAnsi="CAIXA Std Book"/>
                <w:color w:val="005CA9"/>
                <w:sz w:val="18"/>
                <w:szCs w:val="18"/>
              </w:rPr>
              <w:t>Reservas estatutária - margem operacional</w:t>
            </w:r>
          </w:p>
        </w:tc>
        <w:tc>
          <w:tcPr>
            <w:tcW w:w="1030" w:type="pct"/>
            <w:tcBorders>
              <w:top w:val="nil"/>
              <w:left w:val="nil"/>
              <w:bottom w:val="single" w:sz="4" w:space="0" w:color="F79646"/>
              <w:right w:val="nil"/>
            </w:tcBorders>
            <w:shd w:val="clear" w:color="auto" w:fill="auto"/>
            <w:noWrap/>
            <w:vAlign w:val="center"/>
          </w:tcPr>
          <w:p w14:paraId="32081A56" w14:textId="60FEF536" w:rsidR="002800DE" w:rsidRPr="002800DE" w:rsidRDefault="002800DE" w:rsidP="002800DE">
            <w:pPr>
              <w:jc w:val="right"/>
              <w:rPr>
                <w:rFonts w:ascii="CAIXA Std Book" w:hAnsi="CAIXA Std Book" w:cs="Arial"/>
                <w:color w:val="005CA9"/>
                <w:sz w:val="18"/>
                <w:szCs w:val="18"/>
              </w:rPr>
            </w:pPr>
            <w:r w:rsidRPr="002800DE">
              <w:rPr>
                <w:rFonts w:ascii="CAIXA Std Book" w:hAnsi="CAIXA Std Book" w:cs="Arial"/>
                <w:color w:val="005CA9"/>
                <w:sz w:val="18"/>
                <w:szCs w:val="18"/>
              </w:rPr>
              <w:t>13.276.608</w:t>
            </w:r>
          </w:p>
        </w:tc>
        <w:tc>
          <w:tcPr>
            <w:tcW w:w="1030" w:type="pct"/>
            <w:tcBorders>
              <w:top w:val="nil"/>
              <w:left w:val="nil"/>
              <w:bottom w:val="single" w:sz="4" w:space="0" w:color="F79646"/>
              <w:right w:val="nil"/>
            </w:tcBorders>
            <w:vAlign w:val="center"/>
          </w:tcPr>
          <w:p w14:paraId="10E48294" w14:textId="5513F9A8" w:rsidR="002800DE" w:rsidRPr="00FF4346" w:rsidRDefault="002800DE" w:rsidP="002800DE">
            <w:pPr>
              <w:jc w:val="right"/>
              <w:rPr>
                <w:rFonts w:ascii="CAIXA Std Book" w:hAnsi="CAIXA Std Book" w:cs="Cambria Math"/>
                <w:color w:val="005CA9"/>
                <w:sz w:val="18"/>
                <w:szCs w:val="18"/>
              </w:rPr>
            </w:pPr>
            <w:r w:rsidRPr="00FF4346">
              <w:rPr>
                <w:rFonts w:ascii="CAIXA Std Book" w:hAnsi="CAIXA Std Book" w:cs="Arial"/>
                <w:color w:val="005CA9"/>
                <w:sz w:val="18"/>
                <w:szCs w:val="18"/>
              </w:rPr>
              <w:t>13.276.608</w:t>
            </w:r>
          </w:p>
        </w:tc>
      </w:tr>
    </w:tbl>
    <w:p w14:paraId="7D64511A" w14:textId="27E8D971" w:rsidR="00F02172" w:rsidRPr="00FF4346" w:rsidRDefault="00F02172" w:rsidP="00B37B40">
      <w:pPr>
        <w:keepNext/>
        <w:numPr>
          <w:ilvl w:val="0"/>
          <w:numId w:val="27"/>
        </w:numPr>
        <w:spacing w:before="480" w:after="240"/>
        <w:ind w:left="567" w:hanging="567"/>
        <w:jc w:val="both"/>
        <w:rPr>
          <w:rFonts w:ascii="CAIXA Std Book" w:hAnsi="CAIXA Std Book"/>
          <w:b/>
          <w:color w:val="005CA9"/>
          <w:sz w:val="20"/>
          <w:szCs w:val="20"/>
        </w:rPr>
      </w:pPr>
      <w:r w:rsidRPr="00FF4346">
        <w:rPr>
          <w:rFonts w:ascii="CAIXA Std Book" w:hAnsi="CAIXA Std Book"/>
          <w:b/>
          <w:color w:val="005CA9"/>
          <w:sz w:val="20"/>
          <w:szCs w:val="20"/>
        </w:rPr>
        <w:t>Dividendos e juros sobre o capital próprio</w:t>
      </w:r>
    </w:p>
    <w:p w14:paraId="64C4F0F6" w14:textId="77777777" w:rsidR="002D038F" w:rsidRPr="00FF4346" w:rsidRDefault="002D038F" w:rsidP="00B108F4">
      <w:pPr>
        <w:spacing w:before="120" w:after="120"/>
        <w:ind w:right="-2"/>
        <w:jc w:val="both"/>
        <w:rPr>
          <w:rFonts w:ascii="CAIXA Std Book" w:hAnsi="CAIXA Std Book"/>
          <w:color w:val="005CA9"/>
          <w:sz w:val="20"/>
          <w:szCs w:val="20"/>
        </w:rPr>
      </w:pPr>
      <w:bookmarkStart w:id="112" w:name="_Hlk65762744"/>
      <w:r w:rsidRPr="00FF4346">
        <w:rPr>
          <w:rFonts w:ascii="CAIXA Std Book" w:hAnsi="CAIXA Std Book"/>
          <w:color w:val="005CA9"/>
          <w:sz w:val="20"/>
          <w:szCs w:val="20"/>
        </w:rPr>
        <w:t xml:space="preserve">De acordo com o Estatuto Social e os parâmetros aprovados, a distribuição de resultado do exercício é de no mínimo 25% (vinte e cinco por cento) do Lucro Líquido Ajustado, conforme definido no Estatuto. </w:t>
      </w:r>
    </w:p>
    <w:p w14:paraId="725CE900" w14:textId="77777777" w:rsidR="002D038F" w:rsidRPr="00FF4346" w:rsidRDefault="002D038F" w:rsidP="00B108F4">
      <w:pPr>
        <w:spacing w:before="120" w:after="120"/>
        <w:ind w:right="-2"/>
        <w:jc w:val="both"/>
        <w:rPr>
          <w:rFonts w:ascii="CAIXA Std Book" w:hAnsi="CAIXA Std Book"/>
          <w:color w:val="005CA9"/>
          <w:sz w:val="20"/>
          <w:szCs w:val="20"/>
        </w:rPr>
      </w:pPr>
      <w:r w:rsidRPr="00FF4346">
        <w:rPr>
          <w:rFonts w:ascii="CAIXA Std Book" w:hAnsi="CAIXA Std Book"/>
          <w:color w:val="005CA9"/>
          <w:sz w:val="20"/>
          <w:szCs w:val="20"/>
        </w:rPr>
        <w:t xml:space="preserve">A distribuição de resultado do exercício é aprovada pela Assembleia Geral, após deliberação do Conselho de Administração, por proposta do Conselho Diretor e observado o </w:t>
      </w:r>
      <w:proofErr w:type="spellStart"/>
      <w:r w:rsidRPr="00FF4346">
        <w:rPr>
          <w:rFonts w:ascii="CAIXA Std Book" w:hAnsi="CAIXA Std Book"/>
          <w:color w:val="005CA9"/>
          <w:sz w:val="20"/>
          <w:szCs w:val="20"/>
        </w:rPr>
        <w:t>opinamento</w:t>
      </w:r>
      <w:proofErr w:type="spellEnd"/>
      <w:r w:rsidRPr="00FF4346">
        <w:rPr>
          <w:rFonts w:ascii="CAIXA Std Book" w:hAnsi="CAIXA Std Book"/>
          <w:color w:val="005CA9"/>
          <w:sz w:val="20"/>
          <w:szCs w:val="20"/>
        </w:rPr>
        <w:t xml:space="preserve"> do Conselho Fiscal, levando em consideração as previsões legais e as condições do Estatuto Social da CAIXA.</w:t>
      </w:r>
    </w:p>
    <w:bookmarkEnd w:id="112"/>
    <w:p w14:paraId="63F9CE34" w14:textId="77777777" w:rsidR="00CA217B" w:rsidRDefault="004724BD" w:rsidP="00CA217B">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Para efeito do cálculo da obrigação com dividendos</w:t>
      </w:r>
      <w:r w:rsidR="00F855EB" w:rsidRPr="00FF4346">
        <w:rPr>
          <w:rFonts w:ascii="CAIXA Std Book" w:hAnsi="CAIXA Std Book"/>
          <w:color w:val="005CA9"/>
          <w:sz w:val="20"/>
          <w:szCs w:val="20"/>
        </w:rPr>
        <w:t>,</w:t>
      </w:r>
      <w:r w:rsidRPr="00FF4346">
        <w:rPr>
          <w:rFonts w:ascii="CAIXA Std Book" w:hAnsi="CAIXA Std Book"/>
          <w:color w:val="005CA9"/>
          <w:sz w:val="20"/>
          <w:szCs w:val="20"/>
        </w:rPr>
        <w:t xml:space="preserve"> são computados os juros sobre o capital próprio, calculado pela remuneração da TJLP do período sobre o patrimônio líquido ajustado, limitado a 50% do lucro líquido do período</w:t>
      </w:r>
      <w:r w:rsidR="00244FB9" w:rsidRPr="00FF4346">
        <w:rPr>
          <w:rFonts w:ascii="CAIXA Std Book" w:hAnsi="CAIXA Std Book"/>
          <w:color w:val="005CA9"/>
          <w:sz w:val="20"/>
          <w:szCs w:val="20"/>
        </w:rPr>
        <w:t>.</w:t>
      </w:r>
    </w:p>
    <w:p w14:paraId="09B60F11" w14:textId="508E5320" w:rsidR="006D64C8" w:rsidRPr="000D7F42" w:rsidRDefault="006D64C8" w:rsidP="00CA217B">
      <w:pPr>
        <w:spacing w:before="120" w:after="120"/>
        <w:jc w:val="both"/>
        <w:rPr>
          <w:rFonts w:ascii="CAIXA Std Book" w:hAnsi="CAIXA Std Book"/>
          <w:color w:val="005CA9"/>
          <w:sz w:val="20"/>
          <w:szCs w:val="20"/>
        </w:rPr>
      </w:pPr>
      <w:r w:rsidRPr="000D7F42">
        <w:rPr>
          <w:rFonts w:ascii="CAIXA Std Book" w:hAnsi="CAIXA Std Book"/>
          <w:color w:val="005CA9"/>
          <w:sz w:val="20"/>
          <w:szCs w:val="20"/>
        </w:rPr>
        <w:t xml:space="preserve">Em </w:t>
      </w:r>
      <w:r w:rsidR="00030A4A">
        <w:rPr>
          <w:rFonts w:ascii="CAIXA Std Book" w:hAnsi="CAIXA Std Book"/>
          <w:color w:val="005CA9"/>
          <w:sz w:val="20"/>
          <w:szCs w:val="20"/>
        </w:rPr>
        <w:t>26/03/2024</w:t>
      </w:r>
      <w:r w:rsidRPr="000D7F42">
        <w:rPr>
          <w:rFonts w:ascii="CAIXA Std Book" w:hAnsi="CAIXA Std Book"/>
          <w:color w:val="005CA9"/>
          <w:sz w:val="20"/>
          <w:szCs w:val="20"/>
        </w:rPr>
        <w:t>, a CAIXA efetuou o pagamento</w:t>
      </w:r>
      <w:r w:rsidR="00CA217B">
        <w:rPr>
          <w:rFonts w:ascii="CAIXA Std Book" w:hAnsi="CAIXA Std Book"/>
          <w:color w:val="005CA9"/>
          <w:sz w:val="20"/>
          <w:szCs w:val="20"/>
        </w:rPr>
        <w:t>,</w:t>
      </w:r>
      <w:r w:rsidRPr="000D7F42">
        <w:rPr>
          <w:rFonts w:ascii="CAIXA Std Book" w:hAnsi="CAIXA Std Book"/>
          <w:color w:val="005CA9"/>
          <w:sz w:val="20"/>
          <w:szCs w:val="20"/>
        </w:rPr>
        <w:t xml:space="preserve"> à Secretaria do Tesouro Nacional, dos juros sobre o capital próprio e dividendos referentes ao exercício de 202</w:t>
      </w:r>
      <w:r w:rsidR="005B1B65">
        <w:rPr>
          <w:rFonts w:ascii="CAIXA Std Book" w:hAnsi="CAIXA Std Book"/>
          <w:color w:val="005CA9"/>
          <w:sz w:val="20"/>
          <w:szCs w:val="20"/>
        </w:rPr>
        <w:t>3</w:t>
      </w:r>
      <w:r w:rsidR="0066321D">
        <w:rPr>
          <w:rFonts w:ascii="CAIXA Std Book" w:hAnsi="CAIXA Std Book"/>
          <w:color w:val="005CA9"/>
          <w:sz w:val="20"/>
          <w:szCs w:val="20"/>
        </w:rPr>
        <w:t>,</w:t>
      </w:r>
      <w:r w:rsidRPr="000D7F42">
        <w:rPr>
          <w:rFonts w:ascii="CAIXA Std Book" w:hAnsi="CAIXA Std Book"/>
          <w:color w:val="005CA9"/>
          <w:sz w:val="20"/>
          <w:szCs w:val="20"/>
        </w:rPr>
        <w:t xml:space="preserve"> totalizando o montante de R$ </w:t>
      </w:r>
      <w:r w:rsidR="00EF5A65">
        <w:rPr>
          <w:rFonts w:ascii="CAIXA Std Book" w:hAnsi="CAIXA Std Book"/>
          <w:color w:val="005CA9"/>
          <w:sz w:val="20"/>
          <w:szCs w:val="20"/>
        </w:rPr>
        <w:t>2.792.630</w:t>
      </w:r>
      <w:r w:rsidRPr="000D7F42">
        <w:rPr>
          <w:rFonts w:ascii="CAIXA Std Book" w:hAnsi="CAIXA Std Book"/>
          <w:color w:val="005CA9"/>
          <w:sz w:val="20"/>
          <w:szCs w:val="20"/>
        </w:rPr>
        <w:t>.</w:t>
      </w:r>
    </w:p>
    <w:p w14:paraId="5218F735" w14:textId="66B04F9F" w:rsidR="00814F49" w:rsidRPr="00FF4346" w:rsidRDefault="00814F49" w:rsidP="005A596E">
      <w:pPr>
        <w:pStyle w:val="Ttulo1"/>
      </w:pPr>
      <w:bookmarkStart w:id="113" w:name="_Toc166594499"/>
      <w:bookmarkStart w:id="114" w:name="_Toc380688052"/>
      <w:bookmarkStart w:id="115" w:name="_Toc18330283"/>
      <w:bookmarkStart w:id="116" w:name="_Toc18683203"/>
      <w:r w:rsidRPr="00FF4346">
        <w:lastRenderedPageBreak/>
        <w:t>Nota 24 – Receitas de prestação de serviços e tarifas bancárias</w:t>
      </w:r>
      <w:bookmarkEnd w:id="113"/>
    </w:p>
    <w:p w14:paraId="22D091B5" w14:textId="725711A9" w:rsidR="00814F49" w:rsidRPr="00FF4346" w:rsidRDefault="00814F49" w:rsidP="00687FDF">
      <w:pPr>
        <w:spacing w:before="120" w:after="120"/>
        <w:ind w:right="139"/>
        <w:jc w:val="both"/>
        <w:rPr>
          <w:rFonts w:ascii="CAIXA Std Book" w:eastAsiaTheme="minorHAnsi" w:hAnsi="CAIXA Std Book" w:cstheme="minorBidi"/>
          <w:color w:val="005CA9"/>
          <w:sz w:val="20"/>
          <w:szCs w:val="20"/>
          <w:lang w:eastAsia="en-US"/>
        </w:rPr>
      </w:pPr>
      <w:bookmarkStart w:id="117" w:name="_Hlk65762760"/>
      <w:r w:rsidRPr="00FF4346">
        <w:rPr>
          <w:rFonts w:ascii="CAIXA Std Book" w:eastAsiaTheme="minorHAnsi" w:hAnsi="CAIXA Std Book" w:cstheme="minorBidi"/>
          <w:color w:val="005CA9"/>
          <w:sz w:val="20"/>
          <w:szCs w:val="20"/>
          <w:lang w:eastAsia="en-US"/>
        </w:rPr>
        <w:t>Além dos serviços típicos de instituição financeira, por delegação do Governo Federal, a CAIXA exerce o papel de agente operador de fundos e programas, destacando-se o Fundo de Garantia do Tempo de Serviço (FGTS), e</w:t>
      </w:r>
      <w:r w:rsidR="00AC0636" w:rsidRPr="00FF4346">
        <w:rPr>
          <w:rFonts w:ascii="CAIXA Std Book" w:eastAsiaTheme="minorHAnsi" w:hAnsi="CAIXA Std Book" w:cstheme="minorBidi"/>
          <w:color w:val="005CA9"/>
          <w:sz w:val="20"/>
          <w:szCs w:val="20"/>
          <w:lang w:eastAsia="en-US"/>
        </w:rPr>
        <w:t>,</w:t>
      </w:r>
      <w:r w:rsidRPr="00FF4346">
        <w:rPr>
          <w:rFonts w:ascii="CAIXA Std Book" w:eastAsiaTheme="minorHAnsi" w:hAnsi="CAIXA Std Book" w:cstheme="minorBidi"/>
          <w:color w:val="005CA9"/>
          <w:sz w:val="20"/>
          <w:szCs w:val="20"/>
          <w:lang w:eastAsia="en-US"/>
        </w:rPr>
        <w:t xml:space="preserve"> em regime de exclusividade, as Loterias Federais.</w:t>
      </w:r>
    </w:p>
    <w:p w14:paraId="3672A459" w14:textId="6F28ACF2" w:rsidR="00814F49" w:rsidRPr="00FF4346" w:rsidRDefault="00814F49" w:rsidP="009E3E9D">
      <w:pPr>
        <w:spacing w:before="120" w:after="240"/>
        <w:ind w:right="142"/>
        <w:jc w:val="both"/>
        <w:rPr>
          <w:rFonts w:ascii="CAIXA Std Book" w:hAnsi="CAIXA Std Book"/>
          <w:color w:val="005CA9"/>
          <w:sz w:val="20"/>
          <w:szCs w:val="20"/>
        </w:rPr>
      </w:pPr>
      <w:r w:rsidRPr="00FF4346">
        <w:rPr>
          <w:rFonts w:ascii="CAIXA Std Book" w:hAnsi="CAIXA Std Book"/>
          <w:color w:val="005CA9"/>
          <w:sz w:val="20"/>
          <w:szCs w:val="20"/>
        </w:rPr>
        <w:t xml:space="preserve">Como principal parceira do Governo Federal na execução dos programas sociais, a CAIXA recebe tarifas decorrentes da prestação do serviço de pagamento dos programas de transferência de renda, destacando-se o Programa </w:t>
      </w:r>
      <w:r w:rsidR="00C64C24" w:rsidRPr="00FF4346">
        <w:rPr>
          <w:rFonts w:ascii="CAIXA Std Book" w:hAnsi="CAIXA Std Book"/>
          <w:color w:val="005CA9"/>
          <w:sz w:val="20"/>
          <w:szCs w:val="20"/>
        </w:rPr>
        <w:t>Novo</w:t>
      </w:r>
      <w:r w:rsidRPr="00FF4346">
        <w:rPr>
          <w:rFonts w:ascii="CAIXA Std Book" w:hAnsi="CAIXA Std Book"/>
          <w:color w:val="005CA9"/>
          <w:sz w:val="20"/>
          <w:szCs w:val="20"/>
        </w:rPr>
        <w:t xml:space="preserve"> </w:t>
      </w:r>
      <w:r w:rsidR="00C5124A" w:rsidRPr="00FF4346">
        <w:rPr>
          <w:rFonts w:ascii="CAIXA Std Book" w:hAnsi="CAIXA Std Book"/>
          <w:color w:val="005CA9"/>
          <w:sz w:val="20"/>
          <w:szCs w:val="20"/>
        </w:rPr>
        <w:t>Bolsa Família</w:t>
      </w:r>
      <w:r w:rsidRPr="00FF4346">
        <w:rPr>
          <w:rFonts w:ascii="CAIXA Std Book" w:hAnsi="CAIXA Std Book"/>
          <w:color w:val="005CA9"/>
          <w:sz w:val="20"/>
          <w:szCs w:val="20"/>
        </w:rPr>
        <w:t>, Seguro Desemprego</w:t>
      </w:r>
      <w:r w:rsidR="00D46D09" w:rsidRPr="00FF4346">
        <w:rPr>
          <w:rFonts w:ascii="CAIXA Std Book" w:hAnsi="CAIXA Std Book"/>
          <w:color w:val="005CA9"/>
          <w:sz w:val="20"/>
          <w:szCs w:val="20"/>
        </w:rPr>
        <w:t xml:space="preserve"> e</w:t>
      </w:r>
      <w:r w:rsidRPr="00FF4346">
        <w:rPr>
          <w:rFonts w:ascii="CAIXA Std Book" w:hAnsi="CAIXA Std Book"/>
          <w:color w:val="005CA9"/>
          <w:sz w:val="20"/>
          <w:szCs w:val="20"/>
        </w:rPr>
        <w:t xml:space="preserve"> Abono Salarial.</w:t>
      </w:r>
    </w:p>
    <w:tbl>
      <w:tblPr>
        <w:tblW w:w="9498" w:type="dxa"/>
        <w:tblLayout w:type="fixed"/>
        <w:tblCellMar>
          <w:left w:w="70" w:type="dxa"/>
          <w:right w:w="70" w:type="dxa"/>
        </w:tblCellMar>
        <w:tblLook w:val="04A0" w:firstRow="1" w:lastRow="0" w:firstColumn="1" w:lastColumn="0" w:noHBand="0" w:noVBand="1"/>
      </w:tblPr>
      <w:tblGrid>
        <w:gridCol w:w="4678"/>
        <w:gridCol w:w="1205"/>
        <w:gridCol w:w="1205"/>
        <w:gridCol w:w="1205"/>
        <w:gridCol w:w="1205"/>
      </w:tblGrid>
      <w:tr w:rsidR="004E6F86" w:rsidRPr="00A33766" w14:paraId="0490122B" w14:textId="77777777" w:rsidTr="007B30B1">
        <w:trPr>
          <w:trHeight w:val="283"/>
        </w:trPr>
        <w:tc>
          <w:tcPr>
            <w:tcW w:w="4678" w:type="dxa"/>
            <w:vMerge w:val="restart"/>
            <w:tcBorders>
              <w:top w:val="single" w:sz="4" w:space="0" w:color="F79646"/>
              <w:left w:val="nil"/>
              <w:right w:val="nil"/>
            </w:tcBorders>
            <w:shd w:val="clear" w:color="auto" w:fill="auto"/>
            <w:noWrap/>
            <w:vAlign w:val="center"/>
            <w:hideMark/>
          </w:tcPr>
          <w:p w14:paraId="40D09ED0" w14:textId="77777777" w:rsidR="00990E52" w:rsidRPr="00FF4346" w:rsidRDefault="00990E52">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2410" w:type="dxa"/>
            <w:gridSpan w:val="2"/>
            <w:tcBorders>
              <w:top w:val="single" w:sz="4" w:space="0" w:color="F79646"/>
              <w:left w:val="nil"/>
              <w:bottom w:val="single" w:sz="4" w:space="0" w:color="F79646"/>
              <w:right w:val="nil"/>
            </w:tcBorders>
            <w:shd w:val="clear" w:color="auto" w:fill="auto"/>
            <w:noWrap/>
            <w:vAlign w:val="center"/>
            <w:hideMark/>
          </w:tcPr>
          <w:p w14:paraId="1E6965A2" w14:textId="77777777" w:rsidR="00990E52" w:rsidRPr="00FF4346" w:rsidRDefault="00990E52">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2410" w:type="dxa"/>
            <w:gridSpan w:val="2"/>
            <w:tcBorders>
              <w:top w:val="single" w:sz="4" w:space="0" w:color="F79646"/>
              <w:left w:val="nil"/>
              <w:bottom w:val="single" w:sz="4" w:space="0" w:color="F79646"/>
              <w:right w:val="nil"/>
            </w:tcBorders>
            <w:shd w:val="clear" w:color="auto" w:fill="auto"/>
            <w:noWrap/>
            <w:vAlign w:val="center"/>
            <w:hideMark/>
          </w:tcPr>
          <w:p w14:paraId="4C6CCA0C" w14:textId="77777777" w:rsidR="00990E52" w:rsidRPr="00FF4346" w:rsidRDefault="00990E52">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4E6F86" w:rsidRPr="00A33766" w14:paraId="7CD419C4" w14:textId="77777777" w:rsidTr="007B30B1">
        <w:trPr>
          <w:trHeight w:val="283"/>
        </w:trPr>
        <w:tc>
          <w:tcPr>
            <w:tcW w:w="4678" w:type="dxa"/>
            <w:vMerge/>
            <w:tcBorders>
              <w:left w:val="nil"/>
              <w:right w:val="nil"/>
            </w:tcBorders>
            <w:shd w:val="clear" w:color="auto" w:fill="auto"/>
            <w:vAlign w:val="center"/>
            <w:hideMark/>
          </w:tcPr>
          <w:p w14:paraId="2615AD00" w14:textId="77777777" w:rsidR="00FD2D0D" w:rsidRPr="00FF4346" w:rsidRDefault="00FD2D0D" w:rsidP="00FD2D0D">
            <w:pPr>
              <w:jc w:val="center"/>
              <w:rPr>
                <w:rFonts w:ascii="CAIXA Std Book" w:eastAsia="Times New Roman" w:hAnsi="CAIXA Std Book" w:cs="Arial"/>
                <w:b/>
                <w:bCs/>
                <w:color w:val="005CA9"/>
                <w:sz w:val="18"/>
                <w:szCs w:val="18"/>
              </w:rPr>
            </w:pPr>
          </w:p>
        </w:tc>
        <w:tc>
          <w:tcPr>
            <w:tcW w:w="1205" w:type="dxa"/>
            <w:tcBorders>
              <w:top w:val="nil"/>
              <w:left w:val="nil"/>
              <w:bottom w:val="single" w:sz="4" w:space="0" w:color="F79646"/>
              <w:right w:val="nil"/>
            </w:tcBorders>
            <w:shd w:val="clear" w:color="auto" w:fill="auto"/>
            <w:vAlign w:val="center"/>
            <w:hideMark/>
          </w:tcPr>
          <w:p w14:paraId="289AA760" w14:textId="6090B761" w:rsidR="00FD2D0D" w:rsidRPr="00FF4346" w:rsidRDefault="00FD2D0D" w:rsidP="00FD2D0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2024</w:t>
            </w:r>
          </w:p>
        </w:tc>
        <w:tc>
          <w:tcPr>
            <w:tcW w:w="1205" w:type="dxa"/>
            <w:tcBorders>
              <w:top w:val="nil"/>
              <w:left w:val="nil"/>
              <w:bottom w:val="single" w:sz="4" w:space="0" w:color="F79646"/>
              <w:right w:val="nil"/>
            </w:tcBorders>
            <w:shd w:val="clear" w:color="auto" w:fill="auto"/>
            <w:vAlign w:val="center"/>
            <w:hideMark/>
          </w:tcPr>
          <w:p w14:paraId="5013E790" w14:textId="55C5CDD4" w:rsidR="00FD2D0D" w:rsidRPr="00FF4346" w:rsidRDefault="00FD2D0D" w:rsidP="00FD2D0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2023</w:t>
            </w:r>
          </w:p>
        </w:tc>
        <w:tc>
          <w:tcPr>
            <w:tcW w:w="1205" w:type="dxa"/>
            <w:tcBorders>
              <w:top w:val="nil"/>
              <w:left w:val="nil"/>
              <w:bottom w:val="single" w:sz="4" w:space="0" w:color="F79646"/>
              <w:right w:val="nil"/>
            </w:tcBorders>
            <w:shd w:val="clear" w:color="auto" w:fill="auto"/>
            <w:vAlign w:val="center"/>
            <w:hideMark/>
          </w:tcPr>
          <w:p w14:paraId="26A7696A" w14:textId="3A43AAD7" w:rsidR="00FD2D0D" w:rsidRPr="00FF4346" w:rsidRDefault="00FD2D0D" w:rsidP="00FD2D0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2024</w:t>
            </w:r>
          </w:p>
        </w:tc>
        <w:tc>
          <w:tcPr>
            <w:tcW w:w="1205" w:type="dxa"/>
            <w:tcBorders>
              <w:top w:val="nil"/>
              <w:left w:val="nil"/>
              <w:bottom w:val="single" w:sz="4" w:space="0" w:color="F79646"/>
              <w:right w:val="nil"/>
            </w:tcBorders>
            <w:shd w:val="clear" w:color="auto" w:fill="auto"/>
            <w:vAlign w:val="center"/>
            <w:hideMark/>
          </w:tcPr>
          <w:p w14:paraId="7F83C2C6" w14:textId="4FBA4F7E" w:rsidR="00FD2D0D" w:rsidRPr="00FF4346" w:rsidRDefault="00FD2D0D" w:rsidP="00FD2D0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2023</w:t>
            </w:r>
          </w:p>
        </w:tc>
      </w:tr>
      <w:tr w:rsidR="004E6F86" w:rsidRPr="00A33766" w14:paraId="6CFCADC2" w14:textId="77777777" w:rsidTr="007B30B1">
        <w:trPr>
          <w:trHeight w:val="283"/>
        </w:trPr>
        <w:tc>
          <w:tcPr>
            <w:tcW w:w="4678" w:type="dxa"/>
            <w:vMerge/>
            <w:tcBorders>
              <w:left w:val="nil"/>
              <w:bottom w:val="single" w:sz="4" w:space="0" w:color="F39200"/>
              <w:right w:val="nil"/>
            </w:tcBorders>
            <w:vAlign w:val="center"/>
            <w:hideMark/>
          </w:tcPr>
          <w:p w14:paraId="6FED6D82" w14:textId="77777777" w:rsidR="00FD2D0D" w:rsidRPr="00FF4346" w:rsidRDefault="00FD2D0D" w:rsidP="00FD2D0D">
            <w:pPr>
              <w:rPr>
                <w:rFonts w:ascii="CAIXA Std Book" w:eastAsia="Times New Roman" w:hAnsi="CAIXA Std Book" w:cs="Arial"/>
                <w:b/>
                <w:bCs/>
                <w:color w:val="005CA9"/>
                <w:sz w:val="18"/>
                <w:szCs w:val="18"/>
              </w:rPr>
            </w:pPr>
          </w:p>
        </w:tc>
        <w:tc>
          <w:tcPr>
            <w:tcW w:w="1205" w:type="dxa"/>
            <w:tcBorders>
              <w:top w:val="single" w:sz="4" w:space="0" w:color="F79646"/>
              <w:left w:val="nil"/>
              <w:bottom w:val="single" w:sz="4" w:space="0" w:color="F79646"/>
              <w:right w:val="nil"/>
            </w:tcBorders>
            <w:shd w:val="clear" w:color="auto" w:fill="auto"/>
            <w:vAlign w:val="center"/>
            <w:hideMark/>
          </w:tcPr>
          <w:p w14:paraId="028F176E" w14:textId="77777777" w:rsidR="00FD2D0D" w:rsidRPr="00FF4346" w:rsidRDefault="00FD2D0D" w:rsidP="00FD2D0D">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1º trimestre</w:t>
            </w:r>
          </w:p>
        </w:tc>
        <w:tc>
          <w:tcPr>
            <w:tcW w:w="1205" w:type="dxa"/>
            <w:tcBorders>
              <w:top w:val="single" w:sz="4" w:space="0" w:color="F79646"/>
              <w:left w:val="nil"/>
              <w:bottom w:val="single" w:sz="4" w:space="0" w:color="F79646"/>
              <w:right w:val="nil"/>
            </w:tcBorders>
            <w:shd w:val="clear" w:color="auto" w:fill="auto"/>
            <w:vAlign w:val="center"/>
            <w:hideMark/>
          </w:tcPr>
          <w:p w14:paraId="46828C89" w14:textId="6F21AB59" w:rsidR="00FD2D0D" w:rsidRPr="00FF4346" w:rsidRDefault="00FD2D0D" w:rsidP="00FD2D0D">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1º trimestre</w:t>
            </w:r>
          </w:p>
        </w:tc>
        <w:tc>
          <w:tcPr>
            <w:tcW w:w="1205" w:type="dxa"/>
            <w:tcBorders>
              <w:top w:val="single" w:sz="4" w:space="0" w:color="F79646"/>
              <w:left w:val="nil"/>
              <w:bottom w:val="single" w:sz="4" w:space="0" w:color="F79646"/>
              <w:right w:val="nil"/>
            </w:tcBorders>
            <w:shd w:val="clear" w:color="auto" w:fill="auto"/>
            <w:vAlign w:val="center"/>
            <w:hideMark/>
          </w:tcPr>
          <w:p w14:paraId="195638BE" w14:textId="77777777" w:rsidR="00FD2D0D" w:rsidRPr="00FF4346" w:rsidRDefault="00FD2D0D" w:rsidP="00FD2D0D">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1º trimestre</w:t>
            </w:r>
          </w:p>
        </w:tc>
        <w:tc>
          <w:tcPr>
            <w:tcW w:w="1205" w:type="dxa"/>
            <w:tcBorders>
              <w:top w:val="single" w:sz="4" w:space="0" w:color="F79646"/>
              <w:left w:val="nil"/>
              <w:bottom w:val="single" w:sz="4" w:space="0" w:color="F79646"/>
              <w:right w:val="nil"/>
            </w:tcBorders>
            <w:shd w:val="clear" w:color="auto" w:fill="auto"/>
            <w:vAlign w:val="center"/>
            <w:hideMark/>
          </w:tcPr>
          <w:p w14:paraId="1BCB9AC1" w14:textId="438C5D40" w:rsidR="00FD2D0D" w:rsidRPr="00FF4346" w:rsidRDefault="00FD2D0D" w:rsidP="00FD2D0D">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1º trimestre</w:t>
            </w:r>
          </w:p>
        </w:tc>
      </w:tr>
      <w:tr w:rsidR="00480A8A" w:rsidRPr="00A33766" w14:paraId="51F6D8CE" w14:textId="77777777" w:rsidTr="007B30B1">
        <w:trPr>
          <w:trHeight w:val="283"/>
        </w:trPr>
        <w:tc>
          <w:tcPr>
            <w:tcW w:w="4678" w:type="dxa"/>
            <w:tcBorders>
              <w:top w:val="nil"/>
              <w:left w:val="nil"/>
              <w:bottom w:val="nil"/>
              <w:right w:val="nil"/>
            </w:tcBorders>
            <w:shd w:val="clear" w:color="auto" w:fill="auto"/>
            <w:noWrap/>
            <w:vAlign w:val="center"/>
            <w:hideMark/>
          </w:tcPr>
          <w:p w14:paraId="34A2EEE7" w14:textId="5808CED7"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Serviços de Governo</w:t>
            </w:r>
          </w:p>
        </w:tc>
        <w:tc>
          <w:tcPr>
            <w:tcW w:w="1205" w:type="dxa"/>
            <w:tcBorders>
              <w:top w:val="single" w:sz="4" w:space="0" w:color="F79646"/>
              <w:left w:val="nil"/>
              <w:bottom w:val="nil"/>
              <w:right w:val="nil"/>
            </w:tcBorders>
            <w:shd w:val="clear" w:color="auto" w:fill="auto"/>
            <w:noWrap/>
            <w:vAlign w:val="center"/>
          </w:tcPr>
          <w:p w14:paraId="69B3DE78" w14:textId="63C144F7"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2.340.097</w:t>
            </w:r>
          </w:p>
        </w:tc>
        <w:tc>
          <w:tcPr>
            <w:tcW w:w="1205" w:type="dxa"/>
            <w:tcBorders>
              <w:top w:val="single" w:sz="4" w:space="0" w:color="F79646"/>
              <w:left w:val="nil"/>
              <w:bottom w:val="nil"/>
              <w:right w:val="nil"/>
            </w:tcBorders>
            <w:shd w:val="clear" w:color="auto" w:fill="auto"/>
            <w:noWrap/>
            <w:vAlign w:val="center"/>
            <w:hideMark/>
          </w:tcPr>
          <w:p w14:paraId="346A9788" w14:textId="241F7BC3"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2.181.154</w:t>
            </w:r>
          </w:p>
        </w:tc>
        <w:tc>
          <w:tcPr>
            <w:tcW w:w="1205" w:type="dxa"/>
            <w:tcBorders>
              <w:top w:val="single" w:sz="4" w:space="0" w:color="F79646"/>
              <w:left w:val="nil"/>
              <w:bottom w:val="nil"/>
              <w:right w:val="nil"/>
            </w:tcBorders>
            <w:shd w:val="clear" w:color="auto" w:fill="auto"/>
            <w:noWrap/>
            <w:vAlign w:val="center"/>
          </w:tcPr>
          <w:p w14:paraId="7844127F" w14:textId="129A3BD3"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2.340.097</w:t>
            </w:r>
          </w:p>
        </w:tc>
        <w:tc>
          <w:tcPr>
            <w:tcW w:w="1205" w:type="dxa"/>
            <w:tcBorders>
              <w:top w:val="single" w:sz="4" w:space="0" w:color="F79646"/>
              <w:left w:val="nil"/>
              <w:bottom w:val="nil"/>
              <w:right w:val="nil"/>
            </w:tcBorders>
            <w:shd w:val="clear" w:color="auto" w:fill="auto"/>
            <w:noWrap/>
            <w:vAlign w:val="center"/>
            <w:hideMark/>
          </w:tcPr>
          <w:p w14:paraId="66868706" w14:textId="0CA5992A"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2.181.154</w:t>
            </w:r>
          </w:p>
        </w:tc>
      </w:tr>
      <w:tr w:rsidR="00480A8A" w:rsidRPr="00A33766" w14:paraId="1E64084E" w14:textId="77777777" w:rsidTr="007B30B1">
        <w:trPr>
          <w:trHeight w:val="283"/>
        </w:trPr>
        <w:tc>
          <w:tcPr>
            <w:tcW w:w="4678" w:type="dxa"/>
            <w:tcBorders>
              <w:top w:val="nil"/>
              <w:left w:val="nil"/>
              <w:bottom w:val="nil"/>
              <w:right w:val="nil"/>
            </w:tcBorders>
            <w:shd w:val="clear" w:color="auto" w:fill="auto"/>
            <w:noWrap/>
            <w:vAlign w:val="center"/>
            <w:hideMark/>
          </w:tcPr>
          <w:p w14:paraId="05E838B2" w14:textId="0F96C360" w:rsidR="00480A8A" w:rsidRPr="00FF4346" w:rsidRDefault="00480A8A" w:rsidP="00480A8A">
            <w:pPr>
              <w:ind w:firstLineChars="100" w:firstLine="180"/>
              <w:rPr>
                <w:rFonts w:ascii="CAIXA Std Book" w:hAnsi="CAIXA Std Book" w:cs="Arial"/>
                <w:color w:val="005CA9"/>
                <w:sz w:val="18"/>
                <w:szCs w:val="18"/>
              </w:rPr>
            </w:pPr>
            <w:r>
              <w:rPr>
                <w:rFonts w:ascii="CAIXA Std Book" w:hAnsi="CAIXA Std Book" w:cs="Arial"/>
                <w:color w:val="005CA9"/>
                <w:sz w:val="18"/>
                <w:szCs w:val="18"/>
              </w:rPr>
              <w:t>Administração e fomento de entidades e programas</w:t>
            </w:r>
          </w:p>
        </w:tc>
        <w:tc>
          <w:tcPr>
            <w:tcW w:w="1205" w:type="dxa"/>
            <w:tcBorders>
              <w:top w:val="nil"/>
              <w:left w:val="nil"/>
              <w:bottom w:val="nil"/>
              <w:right w:val="nil"/>
            </w:tcBorders>
            <w:shd w:val="clear" w:color="auto" w:fill="auto"/>
            <w:noWrap/>
            <w:vAlign w:val="center"/>
          </w:tcPr>
          <w:p w14:paraId="38D3C0AF" w14:textId="1858F502"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1.914.578</w:t>
            </w:r>
          </w:p>
        </w:tc>
        <w:tc>
          <w:tcPr>
            <w:tcW w:w="1205" w:type="dxa"/>
            <w:tcBorders>
              <w:top w:val="nil"/>
              <w:left w:val="nil"/>
              <w:bottom w:val="nil"/>
              <w:right w:val="nil"/>
            </w:tcBorders>
            <w:shd w:val="clear" w:color="auto" w:fill="auto"/>
            <w:noWrap/>
            <w:vAlign w:val="center"/>
            <w:hideMark/>
          </w:tcPr>
          <w:p w14:paraId="2E93C002" w14:textId="744D2520"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1.786.467</w:t>
            </w:r>
          </w:p>
        </w:tc>
        <w:tc>
          <w:tcPr>
            <w:tcW w:w="1205" w:type="dxa"/>
            <w:tcBorders>
              <w:top w:val="nil"/>
              <w:left w:val="nil"/>
              <w:bottom w:val="nil"/>
              <w:right w:val="nil"/>
            </w:tcBorders>
            <w:shd w:val="clear" w:color="auto" w:fill="auto"/>
            <w:noWrap/>
            <w:vAlign w:val="center"/>
          </w:tcPr>
          <w:p w14:paraId="7539DCAC" w14:textId="74BF61BA"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1.914.578</w:t>
            </w:r>
          </w:p>
        </w:tc>
        <w:tc>
          <w:tcPr>
            <w:tcW w:w="1205" w:type="dxa"/>
            <w:tcBorders>
              <w:top w:val="nil"/>
              <w:left w:val="nil"/>
              <w:bottom w:val="nil"/>
              <w:right w:val="nil"/>
            </w:tcBorders>
            <w:shd w:val="clear" w:color="auto" w:fill="auto"/>
            <w:noWrap/>
            <w:vAlign w:val="center"/>
            <w:hideMark/>
          </w:tcPr>
          <w:p w14:paraId="47D3AB6B" w14:textId="5A06F767"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1.786.467</w:t>
            </w:r>
          </w:p>
        </w:tc>
      </w:tr>
      <w:tr w:rsidR="00480A8A" w:rsidRPr="00A33766" w14:paraId="22F770D1" w14:textId="77777777" w:rsidTr="007B30B1">
        <w:trPr>
          <w:trHeight w:val="283"/>
        </w:trPr>
        <w:tc>
          <w:tcPr>
            <w:tcW w:w="4678" w:type="dxa"/>
            <w:tcBorders>
              <w:top w:val="nil"/>
              <w:left w:val="nil"/>
              <w:bottom w:val="nil"/>
              <w:right w:val="nil"/>
            </w:tcBorders>
            <w:shd w:val="clear" w:color="auto" w:fill="auto"/>
            <w:noWrap/>
            <w:vAlign w:val="center"/>
            <w:hideMark/>
          </w:tcPr>
          <w:p w14:paraId="7E9F6968" w14:textId="6F55803B"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FGTS</w:t>
            </w:r>
          </w:p>
        </w:tc>
        <w:tc>
          <w:tcPr>
            <w:tcW w:w="1205" w:type="dxa"/>
            <w:tcBorders>
              <w:top w:val="nil"/>
              <w:left w:val="nil"/>
              <w:bottom w:val="nil"/>
              <w:right w:val="nil"/>
            </w:tcBorders>
            <w:shd w:val="clear" w:color="auto" w:fill="auto"/>
            <w:noWrap/>
            <w:vAlign w:val="center"/>
          </w:tcPr>
          <w:p w14:paraId="449BA927" w14:textId="4598978B"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793.746</w:t>
            </w:r>
          </w:p>
        </w:tc>
        <w:tc>
          <w:tcPr>
            <w:tcW w:w="1205" w:type="dxa"/>
            <w:tcBorders>
              <w:top w:val="nil"/>
              <w:left w:val="nil"/>
              <w:bottom w:val="nil"/>
              <w:right w:val="nil"/>
            </w:tcBorders>
            <w:shd w:val="clear" w:color="auto" w:fill="auto"/>
            <w:vAlign w:val="center"/>
            <w:hideMark/>
          </w:tcPr>
          <w:p w14:paraId="22B50613" w14:textId="6B28BD46"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721.213</w:t>
            </w:r>
          </w:p>
        </w:tc>
        <w:tc>
          <w:tcPr>
            <w:tcW w:w="1205" w:type="dxa"/>
            <w:tcBorders>
              <w:top w:val="nil"/>
              <w:left w:val="nil"/>
              <w:bottom w:val="nil"/>
              <w:right w:val="nil"/>
            </w:tcBorders>
            <w:shd w:val="clear" w:color="auto" w:fill="auto"/>
            <w:noWrap/>
            <w:vAlign w:val="center"/>
          </w:tcPr>
          <w:p w14:paraId="15B6D6A1" w14:textId="277EF516"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793.746</w:t>
            </w:r>
          </w:p>
        </w:tc>
        <w:tc>
          <w:tcPr>
            <w:tcW w:w="1205" w:type="dxa"/>
            <w:tcBorders>
              <w:top w:val="nil"/>
              <w:left w:val="nil"/>
              <w:bottom w:val="nil"/>
              <w:right w:val="nil"/>
            </w:tcBorders>
            <w:shd w:val="clear" w:color="auto" w:fill="auto"/>
            <w:vAlign w:val="center"/>
            <w:hideMark/>
          </w:tcPr>
          <w:p w14:paraId="22549C28" w14:textId="597FDFF2"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721.213</w:t>
            </w:r>
          </w:p>
        </w:tc>
      </w:tr>
      <w:tr w:rsidR="00480A8A" w:rsidRPr="00A33766" w14:paraId="2EBF3D36" w14:textId="77777777" w:rsidTr="007B30B1">
        <w:trPr>
          <w:trHeight w:val="283"/>
        </w:trPr>
        <w:tc>
          <w:tcPr>
            <w:tcW w:w="4678" w:type="dxa"/>
            <w:tcBorders>
              <w:top w:val="nil"/>
              <w:left w:val="nil"/>
              <w:bottom w:val="nil"/>
              <w:right w:val="nil"/>
            </w:tcBorders>
            <w:shd w:val="clear" w:color="auto" w:fill="auto"/>
            <w:noWrap/>
            <w:vAlign w:val="center"/>
            <w:hideMark/>
          </w:tcPr>
          <w:p w14:paraId="09AFC3F1" w14:textId="685DC89A"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Loterias</w:t>
            </w:r>
          </w:p>
        </w:tc>
        <w:tc>
          <w:tcPr>
            <w:tcW w:w="1205" w:type="dxa"/>
            <w:tcBorders>
              <w:top w:val="nil"/>
              <w:left w:val="nil"/>
              <w:bottom w:val="nil"/>
              <w:right w:val="nil"/>
            </w:tcBorders>
            <w:shd w:val="clear" w:color="auto" w:fill="auto"/>
            <w:noWrap/>
            <w:vAlign w:val="center"/>
          </w:tcPr>
          <w:p w14:paraId="36FCA900" w14:textId="53E842D4"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673.702</w:t>
            </w:r>
          </w:p>
        </w:tc>
        <w:tc>
          <w:tcPr>
            <w:tcW w:w="1205" w:type="dxa"/>
            <w:tcBorders>
              <w:top w:val="nil"/>
              <w:left w:val="nil"/>
              <w:bottom w:val="nil"/>
              <w:right w:val="nil"/>
            </w:tcBorders>
            <w:shd w:val="clear" w:color="auto" w:fill="auto"/>
            <w:vAlign w:val="center"/>
            <w:hideMark/>
          </w:tcPr>
          <w:p w14:paraId="15EC4489" w14:textId="32F26F77"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554.821</w:t>
            </w:r>
          </w:p>
        </w:tc>
        <w:tc>
          <w:tcPr>
            <w:tcW w:w="1205" w:type="dxa"/>
            <w:tcBorders>
              <w:top w:val="nil"/>
              <w:left w:val="nil"/>
              <w:bottom w:val="nil"/>
              <w:right w:val="nil"/>
            </w:tcBorders>
            <w:shd w:val="clear" w:color="auto" w:fill="auto"/>
            <w:noWrap/>
            <w:vAlign w:val="center"/>
          </w:tcPr>
          <w:p w14:paraId="240E05F3" w14:textId="4BF4D254"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673.702</w:t>
            </w:r>
          </w:p>
        </w:tc>
        <w:tc>
          <w:tcPr>
            <w:tcW w:w="1205" w:type="dxa"/>
            <w:tcBorders>
              <w:top w:val="nil"/>
              <w:left w:val="nil"/>
              <w:bottom w:val="nil"/>
              <w:right w:val="nil"/>
            </w:tcBorders>
            <w:shd w:val="clear" w:color="auto" w:fill="auto"/>
            <w:vAlign w:val="center"/>
            <w:hideMark/>
          </w:tcPr>
          <w:p w14:paraId="49070E5F" w14:textId="4BD6143D"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554.821</w:t>
            </w:r>
          </w:p>
        </w:tc>
      </w:tr>
      <w:tr w:rsidR="00480A8A" w:rsidRPr="00A33766" w14:paraId="75656A15" w14:textId="77777777" w:rsidTr="007B30B1">
        <w:trPr>
          <w:trHeight w:val="283"/>
        </w:trPr>
        <w:tc>
          <w:tcPr>
            <w:tcW w:w="4678" w:type="dxa"/>
            <w:tcBorders>
              <w:top w:val="nil"/>
              <w:left w:val="nil"/>
              <w:bottom w:val="nil"/>
              <w:right w:val="nil"/>
            </w:tcBorders>
            <w:shd w:val="clear" w:color="auto" w:fill="auto"/>
            <w:noWrap/>
            <w:vAlign w:val="center"/>
            <w:hideMark/>
          </w:tcPr>
          <w:p w14:paraId="799C0D44" w14:textId="4E38CD9E"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FIES</w:t>
            </w:r>
          </w:p>
        </w:tc>
        <w:tc>
          <w:tcPr>
            <w:tcW w:w="1205" w:type="dxa"/>
            <w:tcBorders>
              <w:top w:val="nil"/>
              <w:left w:val="nil"/>
              <w:bottom w:val="nil"/>
              <w:right w:val="nil"/>
            </w:tcBorders>
            <w:shd w:val="clear" w:color="auto" w:fill="auto"/>
            <w:noWrap/>
            <w:vAlign w:val="center"/>
          </w:tcPr>
          <w:p w14:paraId="72B5E2EF" w14:textId="3772C460"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103.670</w:t>
            </w:r>
          </w:p>
        </w:tc>
        <w:tc>
          <w:tcPr>
            <w:tcW w:w="1205" w:type="dxa"/>
            <w:tcBorders>
              <w:top w:val="nil"/>
              <w:left w:val="nil"/>
              <w:bottom w:val="nil"/>
              <w:right w:val="nil"/>
            </w:tcBorders>
            <w:shd w:val="clear" w:color="auto" w:fill="auto"/>
            <w:vAlign w:val="center"/>
            <w:hideMark/>
          </w:tcPr>
          <w:p w14:paraId="46CFE721" w14:textId="7BF08EBD"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112.049</w:t>
            </w:r>
          </w:p>
        </w:tc>
        <w:tc>
          <w:tcPr>
            <w:tcW w:w="1205" w:type="dxa"/>
            <w:tcBorders>
              <w:top w:val="nil"/>
              <w:left w:val="nil"/>
              <w:bottom w:val="nil"/>
              <w:right w:val="nil"/>
            </w:tcBorders>
            <w:shd w:val="clear" w:color="auto" w:fill="auto"/>
            <w:noWrap/>
            <w:vAlign w:val="center"/>
          </w:tcPr>
          <w:p w14:paraId="30E2C404" w14:textId="76687426"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103.670</w:t>
            </w:r>
          </w:p>
        </w:tc>
        <w:tc>
          <w:tcPr>
            <w:tcW w:w="1205" w:type="dxa"/>
            <w:tcBorders>
              <w:top w:val="nil"/>
              <w:left w:val="nil"/>
              <w:bottom w:val="nil"/>
              <w:right w:val="nil"/>
            </w:tcBorders>
            <w:shd w:val="clear" w:color="auto" w:fill="auto"/>
            <w:vAlign w:val="center"/>
            <w:hideMark/>
          </w:tcPr>
          <w:p w14:paraId="06869DEE" w14:textId="589D3FE4"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112.049</w:t>
            </w:r>
          </w:p>
        </w:tc>
      </w:tr>
      <w:tr w:rsidR="00480A8A" w:rsidRPr="00A33766" w14:paraId="4F044FD2" w14:textId="77777777" w:rsidTr="007B30B1">
        <w:trPr>
          <w:trHeight w:val="283"/>
        </w:trPr>
        <w:tc>
          <w:tcPr>
            <w:tcW w:w="4678" w:type="dxa"/>
            <w:tcBorders>
              <w:top w:val="nil"/>
              <w:left w:val="nil"/>
              <w:bottom w:val="nil"/>
              <w:right w:val="nil"/>
            </w:tcBorders>
            <w:shd w:val="clear" w:color="auto" w:fill="auto"/>
            <w:noWrap/>
            <w:vAlign w:val="center"/>
            <w:hideMark/>
          </w:tcPr>
          <w:p w14:paraId="4EA3916D" w14:textId="5D7B2BA3"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Minha Casa Minha Vida</w:t>
            </w:r>
          </w:p>
        </w:tc>
        <w:tc>
          <w:tcPr>
            <w:tcW w:w="1205" w:type="dxa"/>
            <w:tcBorders>
              <w:top w:val="nil"/>
              <w:left w:val="nil"/>
              <w:bottom w:val="nil"/>
              <w:right w:val="nil"/>
            </w:tcBorders>
            <w:shd w:val="clear" w:color="auto" w:fill="auto"/>
            <w:noWrap/>
            <w:vAlign w:val="center"/>
          </w:tcPr>
          <w:p w14:paraId="740EEEB7" w14:textId="2128842B"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56.982</w:t>
            </w:r>
          </w:p>
        </w:tc>
        <w:tc>
          <w:tcPr>
            <w:tcW w:w="1205" w:type="dxa"/>
            <w:tcBorders>
              <w:top w:val="nil"/>
              <w:left w:val="nil"/>
              <w:bottom w:val="nil"/>
              <w:right w:val="nil"/>
            </w:tcBorders>
            <w:shd w:val="clear" w:color="auto" w:fill="auto"/>
            <w:vAlign w:val="center"/>
            <w:hideMark/>
          </w:tcPr>
          <w:p w14:paraId="7BE8E6CD" w14:textId="376A7E62"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80.932</w:t>
            </w:r>
          </w:p>
        </w:tc>
        <w:tc>
          <w:tcPr>
            <w:tcW w:w="1205" w:type="dxa"/>
            <w:tcBorders>
              <w:top w:val="nil"/>
              <w:left w:val="nil"/>
              <w:bottom w:val="nil"/>
              <w:right w:val="nil"/>
            </w:tcBorders>
            <w:shd w:val="clear" w:color="auto" w:fill="auto"/>
            <w:noWrap/>
            <w:vAlign w:val="center"/>
          </w:tcPr>
          <w:p w14:paraId="30EB3E49" w14:textId="2D511CA6"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56.982</w:t>
            </w:r>
          </w:p>
        </w:tc>
        <w:tc>
          <w:tcPr>
            <w:tcW w:w="1205" w:type="dxa"/>
            <w:tcBorders>
              <w:top w:val="nil"/>
              <w:left w:val="nil"/>
              <w:bottom w:val="nil"/>
              <w:right w:val="nil"/>
            </w:tcBorders>
            <w:shd w:val="clear" w:color="auto" w:fill="auto"/>
            <w:vAlign w:val="center"/>
            <w:hideMark/>
          </w:tcPr>
          <w:p w14:paraId="4BC13B14" w14:textId="684B72D0"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80.932</w:t>
            </w:r>
          </w:p>
        </w:tc>
      </w:tr>
      <w:tr w:rsidR="00480A8A" w:rsidRPr="00A33766" w14:paraId="5D3452CA" w14:textId="77777777" w:rsidTr="007B30B1">
        <w:trPr>
          <w:trHeight w:val="283"/>
        </w:trPr>
        <w:tc>
          <w:tcPr>
            <w:tcW w:w="4678" w:type="dxa"/>
            <w:tcBorders>
              <w:top w:val="nil"/>
              <w:left w:val="nil"/>
              <w:bottom w:val="nil"/>
              <w:right w:val="nil"/>
            </w:tcBorders>
            <w:shd w:val="clear" w:color="auto" w:fill="auto"/>
            <w:noWrap/>
            <w:vAlign w:val="center"/>
            <w:hideMark/>
          </w:tcPr>
          <w:p w14:paraId="73771828" w14:textId="0891031F"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Programa Saneamento</w:t>
            </w:r>
          </w:p>
        </w:tc>
        <w:tc>
          <w:tcPr>
            <w:tcW w:w="1205" w:type="dxa"/>
            <w:tcBorders>
              <w:top w:val="nil"/>
              <w:left w:val="nil"/>
              <w:bottom w:val="nil"/>
              <w:right w:val="nil"/>
            </w:tcBorders>
            <w:shd w:val="clear" w:color="auto" w:fill="auto"/>
            <w:noWrap/>
            <w:vAlign w:val="center"/>
          </w:tcPr>
          <w:p w14:paraId="3AE6B3D0" w14:textId="2CCD7413"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132.545</w:t>
            </w:r>
          </w:p>
        </w:tc>
        <w:tc>
          <w:tcPr>
            <w:tcW w:w="1205" w:type="dxa"/>
            <w:tcBorders>
              <w:top w:val="nil"/>
              <w:left w:val="nil"/>
              <w:bottom w:val="nil"/>
              <w:right w:val="nil"/>
            </w:tcBorders>
            <w:shd w:val="clear" w:color="auto" w:fill="auto"/>
            <w:vAlign w:val="center"/>
            <w:hideMark/>
          </w:tcPr>
          <w:p w14:paraId="3F8D0103" w14:textId="2B2BF4FC" w:rsidR="00480A8A" w:rsidRPr="00FF4346" w:rsidRDefault="00807A98" w:rsidP="00480A8A">
            <w:pPr>
              <w:jc w:val="right"/>
              <w:rPr>
                <w:rFonts w:ascii="CAIXA Std Book" w:hAnsi="CAIXA Std Book" w:cs="Arial"/>
                <w:color w:val="005CA9"/>
                <w:sz w:val="18"/>
                <w:szCs w:val="18"/>
              </w:rPr>
            </w:pPr>
            <w:r>
              <w:rPr>
                <w:rFonts w:ascii="CAIXA Std Book" w:hAnsi="CAIXA Std Book" w:cs="Arial"/>
                <w:color w:val="005CA9"/>
                <w:sz w:val="18"/>
                <w:szCs w:val="18"/>
              </w:rPr>
              <w:t>77.955</w:t>
            </w:r>
          </w:p>
        </w:tc>
        <w:tc>
          <w:tcPr>
            <w:tcW w:w="1205" w:type="dxa"/>
            <w:tcBorders>
              <w:top w:val="nil"/>
              <w:left w:val="nil"/>
              <w:bottom w:val="nil"/>
              <w:right w:val="nil"/>
            </w:tcBorders>
            <w:shd w:val="clear" w:color="auto" w:fill="auto"/>
            <w:noWrap/>
            <w:vAlign w:val="center"/>
          </w:tcPr>
          <w:p w14:paraId="1F6CB0C0" w14:textId="5FD01A0C"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132.545</w:t>
            </w:r>
          </w:p>
        </w:tc>
        <w:tc>
          <w:tcPr>
            <w:tcW w:w="1205" w:type="dxa"/>
            <w:tcBorders>
              <w:top w:val="nil"/>
              <w:left w:val="nil"/>
              <w:bottom w:val="nil"/>
              <w:right w:val="nil"/>
            </w:tcBorders>
            <w:shd w:val="clear" w:color="auto" w:fill="auto"/>
            <w:vAlign w:val="center"/>
            <w:hideMark/>
          </w:tcPr>
          <w:p w14:paraId="27C5755E" w14:textId="61A976CA" w:rsidR="00480A8A" w:rsidRPr="00FF4346" w:rsidRDefault="00807A98" w:rsidP="00480A8A">
            <w:pPr>
              <w:jc w:val="right"/>
              <w:rPr>
                <w:rFonts w:ascii="CAIXA Std Book" w:eastAsia="Times New Roman" w:hAnsi="CAIXA Std Book" w:cs="Arial"/>
                <w:color w:val="005CA9"/>
                <w:sz w:val="18"/>
                <w:szCs w:val="18"/>
              </w:rPr>
            </w:pPr>
            <w:r>
              <w:rPr>
                <w:rFonts w:ascii="CAIXA Std Book" w:hAnsi="CAIXA Std Book" w:cs="Arial"/>
                <w:color w:val="005CA9"/>
                <w:sz w:val="18"/>
                <w:szCs w:val="18"/>
              </w:rPr>
              <w:t>77.955</w:t>
            </w:r>
          </w:p>
        </w:tc>
      </w:tr>
      <w:tr w:rsidR="00480A8A" w:rsidRPr="00A33766" w14:paraId="6F8622B4" w14:textId="77777777" w:rsidTr="007B30B1">
        <w:trPr>
          <w:trHeight w:val="283"/>
        </w:trPr>
        <w:tc>
          <w:tcPr>
            <w:tcW w:w="4678" w:type="dxa"/>
            <w:tcBorders>
              <w:top w:val="nil"/>
              <w:left w:val="nil"/>
              <w:bottom w:val="nil"/>
              <w:right w:val="nil"/>
            </w:tcBorders>
            <w:shd w:val="clear" w:color="auto" w:fill="auto"/>
            <w:noWrap/>
            <w:vAlign w:val="center"/>
            <w:hideMark/>
          </w:tcPr>
          <w:p w14:paraId="3B58FFB3" w14:textId="24A2A446" w:rsidR="00480A8A" w:rsidRPr="00FF4346" w:rsidRDefault="00480A8A" w:rsidP="00480A8A">
            <w:pPr>
              <w:ind w:firstLineChars="200" w:firstLine="360"/>
              <w:rPr>
                <w:rFonts w:ascii="CAIXA Std Book" w:eastAsia="Times New Roman" w:hAnsi="CAIXA Std Book" w:cs="Arial"/>
                <w:color w:val="005CA9"/>
                <w:sz w:val="18"/>
                <w:szCs w:val="18"/>
              </w:rPr>
            </w:pPr>
            <w:r>
              <w:rPr>
                <w:rFonts w:ascii="CAIXA Std Book" w:hAnsi="CAIXA Std Book" w:cs="Arial"/>
                <w:color w:val="005CA9"/>
                <w:sz w:val="18"/>
                <w:szCs w:val="18"/>
              </w:rPr>
              <w:t>Outras entidades e programas</w:t>
            </w:r>
          </w:p>
        </w:tc>
        <w:tc>
          <w:tcPr>
            <w:tcW w:w="1205" w:type="dxa"/>
            <w:tcBorders>
              <w:top w:val="nil"/>
              <w:left w:val="nil"/>
              <w:bottom w:val="nil"/>
              <w:right w:val="nil"/>
            </w:tcBorders>
            <w:shd w:val="clear" w:color="auto" w:fill="auto"/>
            <w:noWrap/>
            <w:vAlign w:val="center"/>
          </w:tcPr>
          <w:p w14:paraId="60565A94" w14:textId="37A7414C"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153.933</w:t>
            </w:r>
          </w:p>
        </w:tc>
        <w:tc>
          <w:tcPr>
            <w:tcW w:w="1205" w:type="dxa"/>
            <w:tcBorders>
              <w:top w:val="nil"/>
              <w:left w:val="nil"/>
              <w:bottom w:val="nil"/>
              <w:right w:val="nil"/>
            </w:tcBorders>
            <w:shd w:val="clear" w:color="auto" w:fill="auto"/>
            <w:vAlign w:val="center"/>
            <w:hideMark/>
          </w:tcPr>
          <w:p w14:paraId="6BDDD6D3" w14:textId="38631E49" w:rsidR="00480A8A" w:rsidRPr="00FF4346" w:rsidRDefault="00807A98" w:rsidP="00480A8A">
            <w:pPr>
              <w:jc w:val="right"/>
              <w:rPr>
                <w:rFonts w:ascii="CAIXA Std Book" w:hAnsi="CAIXA Std Book" w:cs="Arial"/>
                <w:color w:val="005CA9"/>
                <w:sz w:val="18"/>
                <w:szCs w:val="18"/>
              </w:rPr>
            </w:pPr>
            <w:r>
              <w:rPr>
                <w:rFonts w:ascii="CAIXA Std Book" w:hAnsi="CAIXA Std Book" w:cs="Arial"/>
                <w:color w:val="005CA9"/>
                <w:sz w:val="18"/>
                <w:szCs w:val="18"/>
              </w:rPr>
              <w:t>239.497</w:t>
            </w:r>
          </w:p>
        </w:tc>
        <w:tc>
          <w:tcPr>
            <w:tcW w:w="1205" w:type="dxa"/>
            <w:tcBorders>
              <w:top w:val="nil"/>
              <w:left w:val="nil"/>
              <w:bottom w:val="nil"/>
              <w:right w:val="nil"/>
            </w:tcBorders>
            <w:shd w:val="clear" w:color="auto" w:fill="auto"/>
            <w:noWrap/>
            <w:vAlign w:val="center"/>
          </w:tcPr>
          <w:p w14:paraId="38874E8B" w14:textId="4FD329AC"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153.933</w:t>
            </w:r>
          </w:p>
        </w:tc>
        <w:tc>
          <w:tcPr>
            <w:tcW w:w="1205" w:type="dxa"/>
            <w:tcBorders>
              <w:top w:val="nil"/>
              <w:left w:val="nil"/>
              <w:bottom w:val="nil"/>
              <w:right w:val="nil"/>
            </w:tcBorders>
            <w:shd w:val="clear" w:color="auto" w:fill="auto"/>
            <w:vAlign w:val="center"/>
            <w:hideMark/>
          </w:tcPr>
          <w:p w14:paraId="39DD07EF" w14:textId="5BD4FFA0" w:rsidR="00480A8A" w:rsidRPr="00FF4346" w:rsidRDefault="00807A98" w:rsidP="00480A8A">
            <w:pPr>
              <w:jc w:val="right"/>
              <w:rPr>
                <w:rFonts w:ascii="CAIXA Std Book" w:eastAsia="Times New Roman" w:hAnsi="CAIXA Std Book" w:cs="Arial"/>
                <w:color w:val="005CA9"/>
                <w:sz w:val="18"/>
                <w:szCs w:val="18"/>
              </w:rPr>
            </w:pPr>
            <w:r>
              <w:rPr>
                <w:rFonts w:ascii="CAIXA Std Book" w:hAnsi="CAIXA Std Book" w:cs="Arial"/>
                <w:color w:val="005CA9"/>
                <w:sz w:val="18"/>
                <w:szCs w:val="18"/>
              </w:rPr>
              <w:t>239.497</w:t>
            </w:r>
          </w:p>
        </w:tc>
      </w:tr>
      <w:tr w:rsidR="00480A8A" w:rsidRPr="00A33766" w14:paraId="57F95623" w14:textId="77777777" w:rsidTr="007B30B1">
        <w:trPr>
          <w:trHeight w:val="283"/>
        </w:trPr>
        <w:tc>
          <w:tcPr>
            <w:tcW w:w="4678" w:type="dxa"/>
            <w:tcBorders>
              <w:top w:val="nil"/>
              <w:left w:val="nil"/>
              <w:bottom w:val="nil"/>
              <w:right w:val="nil"/>
            </w:tcBorders>
            <w:shd w:val="clear" w:color="auto" w:fill="auto"/>
            <w:noWrap/>
            <w:vAlign w:val="center"/>
            <w:hideMark/>
          </w:tcPr>
          <w:p w14:paraId="07EE4D27" w14:textId="04FCB9E5" w:rsidR="00480A8A" w:rsidRPr="00FF4346" w:rsidRDefault="00480A8A" w:rsidP="00480A8A">
            <w:pPr>
              <w:ind w:firstLineChars="100" w:firstLine="180"/>
              <w:rPr>
                <w:rFonts w:ascii="CAIXA Std Book" w:hAnsi="CAIXA Std Book" w:cs="Arial"/>
                <w:color w:val="005CA9"/>
                <w:sz w:val="18"/>
                <w:szCs w:val="18"/>
              </w:rPr>
            </w:pPr>
            <w:r>
              <w:rPr>
                <w:rFonts w:ascii="CAIXA Std Book" w:hAnsi="CAIXA Std Book" w:cs="Arial"/>
                <w:color w:val="005CA9"/>
                <w:sz w:val="18"/>
                <w:szCs w:val="18"/>
              </w:rPr>
              <w:t>Transferência de Benefícios</w:t>
            </w:r>
          </w:p>
        </w:tc>
        <w:tc>
          <w:tcPr>
            <w:tcW w:w="1205" w:type="dxa"/>
            <w:tcBorders>
              <w:top w:val="nil"/>
              <w:left w:val="nil"/>
              <w:bottom w:val="nil"/>
              <w:right w:val="nil"/>
            </w:tcBorders>
            <w:shd w:val="clear" w:color="auto" w:fill="auto"/>
            <w:noWrap/>
            <w:vAlign w:val="center"/>
          </w:tcPr>
          <w:p w14:paraId="5C128B16" w14:textId="0DFB8A05"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315.944</w:t>
            </w:r>
          </w:p>
        </w:tc>
        <w:tc>
          <w:tcPr>
            <w:tcW w:w="1205" w:type="dxa"/>
            <w:tcBorders>
              <w:top w:val="nil"/>
              <w:left w:val="nil"/>
              <w:bottom w:val="nil"/>
              <w:right w:val="nil"/>
            </w:tcBorders>
            <w:shd w:val="clear" w:color="auto" w:fill="auto"/>
            <w:vAlign w:val="center"/>
            <w:hideMark/>
          </w:tcPr>
          <w:p w14:paraId="4E6EB47E" w14:textId="16F4C750"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302.045</w:t>
            </w:r>
          </w:p>
        </w:tc>
        <w:tc>
          <w:tcPr>
            <w:tcW w:w="1205" w:type="dxa"/>
            <w:tcBorders>
              <w:top w:val="nil"/>
              <w:left w:val="nil"/>
              <w:bottom w:val="nil"/>
              <w:right w:val="nil"/>
            </w:tcBorders>
            <w:shd w:val="clear" w:color="auto" w:fill="auto"/>
            <w:noWrap/>
            <w:vAlign w:val="center"/>
          </w:tcPr>
          <w:p w14:paraId="080F1606" w14:textId="54D01DBC"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315.944</w:t>
            </w:r>
          </w:p>
        </w:tc>
        <w:tc>
          <w:tcPr>
            <w:tcW w:w="1205" w:type="dxa"/>
            <w:tcBorders>
              <w:top w:val="nil"/>
              <w:left w:val="nil"/>
              <w:bottom w:val="nil"/>
              <w:right w:val="nil"/>
            </w:tcBorders>
            <w:shd w:val="clear" w:color="auto" w:fill="auto"/>
            <w:vAlign w:val="center"/>
            <w:hideMark/>
          </w:tcPr>
          <w:p w14:paraId="45CCAC43" w14:textId="6E93500F"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302.045</w:t>
            </w:r>
          </w:p>
        </w:tc>
      </w:tr>
      <w:tr w:rsidR="00480A8A" w:rsidRPr="00A33766" w14:paraId="70E90BD2" w14:textId="77777777" w:rsidTr="007B30B1">
        <w:trPr>
          <w:trHeight w:val="283"/>
        </w:trPr>
        <w:tc>
          <w:tcPr>
            <w:tcW w:w="4678" w:type="dxa"/>
            <w:tcBorders>
              <w:top w:val="nil"/>
              <w:left w:val="nil"/>
              <w:bottom w:val="nil"/>
              <w:right w:val="nil"/>
            </w:tcBorders>
            <w:shd w:val="clear" w:color="auto" w:fill="auto"/>
            <w:noWrap/>
            <w:vAlign w:val="center"/>
            <w:hideMark/>
          </w:tcPr>
          <w:p w14:paraId="136A67B7" w14:textId="10D98551" w:rsidR="00480A8A" w:rsidRPr="00FF4346" w:rsidRDefault="00480A8A" w:rsidP="00480A8A">
            <w:pPr>
              <w:ind w:firstLineChars="100" w:firstLine="180"/>
              <w:rPr>
                <w:rFonts w:ascii="CAIXA Std Book" w:hAnsi="CAIXA Std Book" w:cs="Arial"/>
                <w:color w:val="005CA9"/>
                <w:sz w:val="18"/>
                <w:szCs w:val="18"/>
              </w:rPr>
            </w:pPr>
            <w:r>
              <w:rPr>
                <w:rFonts w:ascii="CAIXA Std Book" w:hAnsi="CAIXA Std Book" w:cs="Arial"/>
                <w:color w:val="005CA9"/>
                <w:sz w:val="18"/>
                <w:szCs w:val="18"/>
              </w:rPr>
              <w:t>Garantias prestadas - Agente operador</w:t>
            </w:r>
          </w:p>
        </w:tc>
        <w:tc>
          <w:tcPr>
            <w:tcW w:w="1205" w:type="dxa"/>
            <w:tcBorders>
              <w:top w:val="nil"/>
              <w:left w:val="nil"/>
              <w:bottom w:val="nil"/>
              <w:right w:val="nil"/>
            </w:tcBorders>
            <w:shd w:val="clear" w:color="auto" w:fill="auto"/>
            <w:noWrap/>
            <w:vAlign w:val="center"/>
          </w:tcPr>
          <w:p w14:paraId="741999A4" w14:textId="73FAAB7C"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109.575</w:t>
            </w:r>
          </w:p>
        </w:tc>
        <w:tc>
          <w:tcPr>
            <w:tcW w:w="1205" w:type="dxa"/>
            <w:tcBorders>
              <w:top w:val="nil"/>
              <w:left w:val="nil"/>
              <w:bottom w:val="nil"/>
              <w:right w:val="nil"/>
            </w:tcBorders>
            <w:shd w:val="clear" w:color="auto" w:fill="auto"/>
            <w:vAlign w:val="center"/>
            <w:hideMark/>
          </w:tcPr>
          <w:p w14:paraId="15281155" w14:textId="59A5F99D"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92.642</w:t>
            </w:r>
          </w:p>
        </w:tc>
        <w:tc>
          <w:tcPr>
            <w:tcW w:w="1205" w:type="dxa"/>
            <w:tcBorders>
              <w:top w:val="nil"/>
              <w:left w:val="nil"/>
              <w:bottom w:val="nil"/>
              <w:right w:val="nil"/>
            </w:tcBorders>
            <w:shd w:val="clear" w:color="auto" w:fill="auto"/>
            <w:noWrap/>
            <w:vAlign w:val="center"/>
          </w:tcPr>
          <w:p w14:paraId="3D2D9AF5" w14:textId="153D10D6"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109.575</w:t>
            </w:r>
          </w:p>
        </w:tc>
        <w:tc>
          <w:tcPr>
            <w:tcW w:w="1205" w:type="dxa"/>
            <w:tcBorders>
              <w:top w:val="nil"/>
              <w:left w:val="nil"/>
              <w:bottom w:val="nil"/>
              <w:right w:val="nil"/>
            </w:tcBorders>
            <w:shd w:val="clear" w:color="auto" w:fill="auto"/>
            <w:vAlign w:val="center"/>
            <w:hideMark/>
          </w:tcPr>
          <w:p w14:paraId="199E81DF" w14:textId="53ED7945"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92.642</w:t>
            </w:r>
          </w:p>
        </w:tc>
      </w:tr>
      <w:tr w:rsidR="00480A8A" w:rsidRPr="00A33766" w14:paraId="6F12B3E8" w14:textId="77777777" w:rsidTr="007B30B1">
        <w:trPr>
          <w:trHeight w:val="283"/>
        </w:trPr>
        <w:tc>
          <w:tcPr>
            <w:tcW w:w="4678" w:type="dxa"/>
            <w:tcBorders>
              <w:top w:val="nil"/>
              <w:left w:val="nil"/>
              <w:bottom w:val="nil"/>
              <w:right w:val="nil"/>
            </w:tcBorders>
            <w:shd w:val="clear" w:color="auto" w:fill="auto"/>
            <w:noWrap/>
            <w:vAlign w:val="center"/>
            <w:hideMark/>
          </w:tcPr>
          <w:p w14:paraId="37775FE4" w14:textId="64CD6C5E"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Conta corrente e tarifas bancárias</w:t>
            </w:r>
          </w:p>
        </w:tc>
        <w:tc>
          <w:tcPr>
            <w:tcW w:w="1205" w:type="dxa"/>
            <w:tcBorders>
              <w:top w:val="nil"/>
              <w:left w:val="nil"/>
              <w:bottom w:val="nil"/>
              <w:right w:val="nil"/>
            </w:tcBorders>
            <w:shd w:val="clear" w:color="auto" w:fill="auto"/>
            <w:noWrap/>
            <w:vAlign w:val="center"/>
          </w:tcPr>
          <w:p w14:paraId="79A6772E" w14:textId="6422F454"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1.025.926</w:t>
            </w:r>
          </w:p>
        </w:tc>
        <w:tc>
          <w:tcPr>
            <w:tcW w:w="1205" w:type="dxa"/>
            <w:tcBorders>
              <w:top w:val="nil"/>
              <w:left w:val="nil"/>
              <w:bottom w:val="nil"/>
              <w:right w:val="nil"/>
            </w:tcBorders>
            <w:shd w:val="clear" w:color="auto" w:fill="auto"/>
            <w:vAlign w:val="center"/>
            <w:hideMark/>
          </w:tcPr>
          <w:p w14:paraId="02371940" w14:textId="368A5655"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948.424</w:t>
            </w:r>
          </w:p>
        </w:tc>
        <w:tc>
          <w:tcPr>
            <w:tcW w:w="1205" w:type="dxa"/>
            <w:tcBorders>
              <w:top w:val="nil"/>
              <w:left w:val="nil"/>
              <w:bottom w:val="nil"/>
              <w:right w:val="nil"/>
            </w:tcBorders>
            <w:shd w:val="clear" w:color="auto" w:fill="auto"/>
            <w:noWrap/>
            <w:vAlign w:val="center"/>
          </w:tcPr>
          <w:p w14:paraId="16D05158" w14:textId="5A750F50"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1.025.892</w:t>
            </w:r>
          </w:p>
        </w:tc>
        <w:tc>
          <w:tcPr>
            <w:tcW w:w="1205" w:type="dxa"/>
            <w:tcBorders>
              <w:top w:val="nil"/>
              <w:left w:val="nil"/>
              <w:bottom w:val="nil"/>
              <w:right w:val="nil"/>
            </w:tcBorders>
            <w:shd w:val="clear" w:color="auto" w:fill="auto"/>
            <w:vAlign w:val="center"/>
            <w:hideMark/>
          </w:tcPr>
          <w:p w14:paraId="50CD4D13" w14:textId="4736E61B"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948.403</w:t>
            </w:r>
          </w:p>
        </w:tc>
      </w:tr>
      <w:tr w:rsidR="00480A8A" w:rsidRPr="00A33766" w14:paraId="405FB5E0" w14:textId="77777777" w:rsidTr="007B30B1">
        <w:trPr>
          <w:trHeight w:val="283"/>
        </w:trPr>
        <w:tc>
          <w:tcPr>
            <w:tcW w:w="4678" w:type="dxa"/>
            <w:tcBorders>
              <w:top w:val="nil"/>
              <w:left w:val="nil"/>
              <w:bottom w:val="nil"/>
              <w:right w:val="nil"/>
            </w:tcBorders>
            <w:shd w:val="clear" w:color="auto" w:fill="auto"/>
            <w:noWrap/>
            <w:vAlign w:val="center"/>
            <w:hideMark/>
          </w:tcPr>
          <w:p w14:paraId="3B8CBB99" w14:textId="3B965304"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Convênio e cobrança</w:t>
            </w:r>
          </w:p>
        </w:tc>
        <w:tc>
          <w:tcPr>
            <w:tcW w:w="1205" w:type="dxa"/>
            <w:tcBorders>
              <w:top w:val="nil"/>
              <w:left w:val="nil"/>
              <w:bottom w:val="nil"/>
              <w:right w:val="nil"/>
            </w:tcBorders>
            <w:shd w:val="clear" w:color="auto" w:fill="auto"/>
            <w:noWrap/>
            <w:vAlign w:val="center"/>
          </w:tcPr>
          <w:p w14:paraId="2105C137" w14:textId="7DF03BD1"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547.153</w:t>
            </w:r>
          </w:p>
        </w:tc>
        <w:tc>
          <w:tcPr>
            <w:tcW w:w="1205" w:type="dxa"/>
            <w:tcBorders>
              <w:top w:val="nil"/>
              <w:left w:val="nil"/>
              <w:bottom w:val="nil"/>
              <w:right w:val="nil"/>
            </w:tcBorders>
            <w:shd w:val="clear" w:color="auto" w:fill="auto"/>
            <w:vAlign w:val="center"/>
            <w:hideMark/>
          </w:tcPr>
          <w:p w14:paraId="74D20C48" w14:textId="528A4975"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593.437</w:t>
            </w:r>
          </w:p>
        </w:tc>
        <w:tc>
          <w:tcPr>
            <w:tcW w:w="1205" w:type="dxa"/>
            <w:tcBorders>
              <w:top w:val="nil"/>
              <w:left w:val="nil"/>
              <w:bottom w:val="nil"/>
              <w:right w:val="nil"/>
            </w:tcBorders>
            <w:shd w:val="clear" w:color="auto" w:fill="auto"/>
            <w:noWrap/>
            <w:vAlign w:val="center"/>
          </w:tcPr>
          <w:p w14:paraId="392E13ED" w14:textId="543397A2"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547.153</w:t>
            </w:r>
          </w:p>
        </w:tc>
        <w:tc>
          <w:tcPr>
            <w:tcW w:w="1205" w:type="dxa"/>
            <w:tcBorders>
              <w:top w:val="nil"/>
              <w:left w:val="nil"/>
              <w:bottom w:val="nil"/>
              <w:right w:val="nil"/>
            </w:tcBorders>
            <w:shd w:val="clear" w:color="auto" w:fill="auto"/>
            <w:vAlign w:val="center"/>
            <w:hideMark/>
          </w:tcPr>
          <w:p w14:paraId="37BF48FC" w14:textId="570FDF15"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593.437</w:t>
            </w:r>
          </w:p>
        </w:tc>
      </w:tr>
      <w:tr w:rsidR="00480A8A" w:rsidRPr="00A33766" w14:paraId="30355EF2" w14:textId="77777777" w:rsidTr="007B30B1">
        <w:trPr>
          <w:trHeight w:val="283"/>
        </w:trPr>
        <w:tc>
          <w:tcPr>
            <w:tcW w:w="4678" w:type="dxa"/>
            <w:tcBorders>
              <w:top w:val="nil"/>
              <w:left w:val="nil"/>
              <w:bottom w:val="nil"/>
              <w:right w:val="nil"/>
            </w:tcBorders>
            <w:shd w:val="clear" w:color="auto" w:fill="auto"/>
            <w:noWrap/>
            <w:vAlign w:val="center"/>
            <w:hideMark/>
          </w:tcPr>
          <w:p w14:paraId="32D13369" w14:textId="2BAC0575"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Cartões de débito e crédito</w:t>
            </w:r>
          </w:p>
        </w:tc>
        <w:tc>
          <w:tcPr>
            <w:tcW w:w="1205" w:type="dxa"/>
            <w:tcBorders>
              <w:top w:val="nil"/>
              <w:left w:val="nil"/>
              <w:bottom w:val="nil"/>
              <w:right w:val="nil"/>
            </w:tcBorders>
            <w:shd w:val="clear" w:color="auto" w:fill="auto"/>
            <w:noWrap/>
            <w:vAlign w:val="center"/>
          </w:tcPr>
          <w:p w14:paraId="1EADFF3D" w14:textId="46628A6D"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682.527</w:t>
            </w:r>
          </w:p>
        </w:tc>
        <w:tc>
          <w:tcPr>
            <w:tcW w:w="1205" w:type="dxa"/>
            <w:tcBorders>
              <w:top w:val="nil"/>
              <w:left w:val="nil"/>
              <w:bottom w:val="nil"/>
              <w:right w:val="nil"/>
            </w:tcBorders>
            <w:shd w:val="clear" w:color="auto" w:fill="auto"/>
            <w:vAlign w:val="center"/>
            <w:hideMark/>
          </w:tcPr>
          <w:p w14:paraId="14259490" w14:textId="4322E529"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653.198</w:t>
            </w:r>
          </w:p>
        </w:tc>
        <w:tc>
          <w:tcPr>
            <w:tcW w:w="1205" w:type="dxa"/>
            <w:tcBorders>
              <w:top w:val="nil"/>
              <w:left w:val="nil"/>
              <w:bottom w:val="nil"/>
              <w:right w:val="nil"/>
            </w:tcBorders>
            <w:shd w:val="clear" w:color="auto" w:fill="auto"/>
            <w:noWrap/>
            <w:vAlign w:val="center"/>
          </w:tcPr>
          <w:p w14:paraId="00C12425" w14:textId="1828A63D"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702.340</w:t>
            </w:r>
          </w:p>
        </w:tc>
        <w:tc>
          <w:tcPr>
            <w:tcW w:w="1205" w:type="dxa"/>
            <w:tcBorders>
              <w:top w:val="nil"/>
              <w:left w:val="nil"/>
              <w:bottom w:val="nil"/>
              <w:right w:val="nil"/>
            </w:tcBorders>
            <w:shd w:val="clear" w:color="auto" w:fill="auto"/>
            <w:vAlign w:val="center"/>
            <w:hideMark/>
          </w:tcPr>
          <w:p w14:paraId="0C944C07" w14:textId="04E10B1B"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665.755</w:t>
            </w:r>
          </w:p>
        </w:tc>
      </w:tr>
      <w:tr w:rsidR="00480A8A" w:rsidRPr="00A33766" w14:paraId="5199E8C9" w14:textId="77777777" w:rsidTr="00652250">
        <w:trPr>
          <w:trHeight w:val="283"/>
        </w:trPr>
        <w:tc>
          <w:tcPr>
            <w:tcW w:w="4678" w:type="dxa"/>
            <w:tcBorders>
              <w:top w:val="nil"/>
              <w:left w:val="nil"/>
              <w:bottom w:val="nil"/>
              <w:right w:val="nil"/>
            </w:tcBorders>
            <w:shd w:val="clear" w:color="auto" w:fill="auto"/>
            <w:noWrap/>
            <w:vAlign w:val="center"/>
          </w:tcPr>
          <w:p w14:paraId="2C08357B" w14:textId="40DD91FA"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Operações de crédito</w:t>
            </w:r>
          </w:p>
        </w:tc>
        <w:tc>
          <w:tcPr>
            <w:tcW w:w="1205" w:type="dxa"/>
            <w:tcBorders>
              <w:top w:val="nil"/>
              <w:left w:val="nil"/>
              <w:bottom w:val="nil"/>
              <w:right w:val="nil"/>
            </w:tcBorders>
            <w:shd w:val="clear" w:color="auto" w:fill="auto"/>
            <w:noWrap/>
            <w:vAlign w:val="center"/>
          </w:tcPr>
          <w:p w14:paraId="51F88A45" w14:textId="1B6BE74A" w:rsidR="00480A8A" w:rsidRPr="00FF4346" w:rsidRDefault="00C07996" w:rsidP="00C07996">
            <w:pPr>
              <w:jc w:val="right"/>
              <w:rPr>
                <w:rFonts w:ascii="CAIXA Std Book" w:hAnsi="CAIXA Std Book" w:cs="Arial"/>
                <w:color w:val="005CA9"/>
                <w:sz w:val="18"/>
                <w:szCs w:val="18"/>
              </w:rPr>
            </w:pPr>
            <w:r>
              <w:rPr>
                <w:rFonts w:ascii="CAIXA Std Book" w:hAnsi="CAIXA Std Book" w:cs="Arial"/>
                <w:color w:val="005CA9"/>
                <w:sz w:val="18"/>
                <w:szCs w:val="18"/>
              </w:rPr>
              <w:t>662.018</w:t>
            </w:r>
          </w:p>
        </w:tc>
        <w:tc>
          <w:tcPr>
            <w:tcW w:w="1205" w:type="dxa"/>
            <w:tcBorders>
              <w:top w:val="nil"/>
              <w:left w:val="nil"/>
              <w:bottom w:val="nil"/>
              <w:right w:val="nil"/>
            </w:tcBorders>
            <w:shd w:val="clear" w:color="auto" w:fill="auto"/>
            <w:vAlign w:val="center"/>
          </w:tcPr>
          <w:p w14:paraId="46DD6A0F" w14:textId="065A2C73"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575.513</w:t>
            </w:r>
          </w:p>
        </w:tc>
        <w:tc>
          <w:tcPr>
            <w:tcW w:w="1205" w:type="dxa"/>
            <w:tcBorders>
              <w:top w:val="nil"/>
              <w:left w:val="nil"/>
              <w:bottom w:val="nil"/>
              <w:right w:val="nil"/>
            </w:tcBorders>
            <w:shd w:val="clear" w:color="auto" w:fill="auto"/>
            <w:noWrap/>
            <w:vAlign w:val="center"/>
          </w:tcPr>
          <w:p w14:paraId="373A97FE" w14:textId="49AA8EEE" w:rsidR="00480A8A" w:rsidRPr="00FF4346" w:rsidRDefault="004D642A" w:rsidP="004D642A">
            <w:pPr>
              <w:jc w:val="right"/>
              <w:rPr>
                <w:rFonts w:ascii="CAIXA Std Book" w:hAnsi="CAIXA Std Book" w:cs="Arial"/>
                <w:color w:val="005CA9"/>
                <w:sz w:val="18"/>
                <w:szCs w:val="18"/>
              </w:rPr>
            </w:pPr>
            <w:r>
              <w:rPr>
                <w:rFonts w:ascii="CAIXA Std Book" w:hAnsi="CAIXA Std Book" w:cs="Arial"/>
                <w:color w:val="005CA9"/>
                <w:sz w:val="18"/>
                <w:szCs w:val="18"/>
              </w:rPr>
              <w:t>662.018</w:t>
            </w:r>
          </w:p>
        </w:tc>
        <w:tc>
          <w:tcPr>
            <w:tcW w:w="1205" w:type="dxa"/>
            <w:tcBorders>
              <w:top w:val="nil"/>
              <w:left w:val="nil"/>
              <w:bottom w:val="nil"/>
              <w:right w:val="nil"/>
            </w:tcBorders>
            <w:shd w:val="clear" w:color="auto" w:fill="auto"/>
            <w:vAlign w:val="bottom"/>
          </w:tcPr>
          <w:p w14:paraId="5DE5BD3E" w14:textId="66150ADB"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575.513</w:t>
            </w:r>
          </w:p>
        </w:tc>
      </w:tr>
      <w:tr w:rsidR="00480A8A" w:rsidRPr="00A33766" w14:paraId="06F58B99" w14:textId="77777777" w:rsidTr="00652250">
        <w:trPr>
          <w:trHeight w:val="283"/>
        </w:trPr>
        <w:tc>
          <w:tcPr>
            <w:tcW w:w="4678" w:type="dxa"/>
            <w:tcBorders>
              <w:top w:val="nil"/>
              <w:left w:val="nil"/>
              <w:bottom w:val="nil"/>
              <w:right w:val="nil"/>
            </w:tcBorders>
            <w:shd w:val="clear" w:color="auto" w:fill="auto"/>
            <w:noWrap/>
            <w:vAlign w:val="center"/>
            <w:hideMark/>
          </w:tcPr>
          <w:p w14:paraId="518AD490" w14:textId="7F89BA18"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Fundos de investimento</w:t>
            </w:r>
          </w:p>
        </w:tc>
        <w:tc>
          <w:tcPr>
            <w:tcW w:w="1205" w:type="dxa"/>
            <w:tcBorders>
              <w:top w:val="nil"/>
              <w:left w:val="nil"/>
              <w:bottom w:val="nil"/>
              <w:right w:val="nil"/>
            </w:tcBorders>
            <w:shd w:val="clear" w:color="auto" w:fill="auto"/>
            <w:noWrap/>
            <w:vAlign w:val="center"/>
          </w:tcPr>
          <w:p w14:paraId="56097D51" w14:textId="67832DA5"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137.418</w:t>
            </w:r>
          </w:p>
        </w:tc>
        <w:tc>
          <w:tcPr>
            <w:tcW w:w="1205" w:type="dxa"/>
            <w:tcBorders>
              <w:top w:val="nil"/>
              <w:left w:val="nil"/>
              <w:bottom w:val="nil"/>
              <w:right w:val="nil"/>
            </w:tcBorders>
            <w:shd w:val="clear" w:color="auto" w:fill="auto"/>
            <w:vAlign w:val="center"/>
            <w:hideMark/>
          </w:tcPr>
          <w:p w14:paraId="45196092" w14:textId="4241281F"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123.223</w:t>
            </w:r>
          </w:p>
        </w:tc>
        <w:tc>
          <w:tcPr>
            <w:tcW w:w="1205" w:type="dxa"/>
            <w:tcBorders>
              <w:top w:val="nil"/>
              <w:left w:val="nil"/>
              <w:bottom w:val="nil"/>
              <w:right w:val="nil"/>
            </w:tcBorders>
            <w:shd w:val="clear" w:color="auto" w:fill="auto"/>
            <w:noWrap/>
            <w:vAlign w:val="center"/>
          </w:tcPr>
          <w:p w14:paraId="799A9A33" w14:textId="02CACD0B"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611.906</w:t>
            </w:r>
          </w:p>
        </w:tc>
        <w:tc>
          <w:tcPr>
            <w:tcW w:w="1205" w:type="dxa"/>
            <w:tcBorders>
              <w:top w:val="nil"/>
              <w:left w:val="nil"/>
              <w:bottom w:val="nil"/>
              <w:right w:val="nil"/>
            </w:tcBorders>
            <w:shd w:val="clear" w:color="auto" w:fill="auto"/>
            <w:vAlign w:val="bottom"/>
            <w:hideMark/>
          </w:tcPr>
          <w:p w14:paraId="3B1A9C93" w14:textId="6B1FC029"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593.756</w:t>
            </w:r>
          </w:p>
        </w:tc>
      </w:tr>
      <w:tr w:rsidR="00480A8A" w:rsidRPr="00A33766" w14:paraId="11FDAFE8" w14:textId="77777777" w:rsidTr="007B30B1">
        <w:trPr>
          <w:trHeight w:val="283"/>
        </w:trPr>
        <w:tc>
          <w:tcPr>
            <w:tcW w:w="4678" w:type="dxa"/>
            <w:tcBorders>
              <w:top w:val="nil"/>
              <w:left w:val="nil"/>
              <w:bottom w:val="nil"/>
              <w:right w:val="nil"/>
            </w:tcBorders>
            <w:shd w:val="clear" w:color="auto" w:fill="auto"/>
            <w:noWrap/>
            <w:vAlign w:val="center"/>
            <w:hideMark/>
          </w:tcPr>
          <w:p w14:paraId="14F9180B" w14:textId="17D96BF1"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Seguros, capitalização, previdência e consórcios</w:t>
            </w:r>
          </w:p>
        </w:tc>
        <w:tc>
          <w:tcPr>
            <w:tcW w:w="1205" w:type="dxa"/>
            <w:tcBorders>
              <w:top w:val="nil"/>
              <w:left w:val="nil"/>
              <w:bottom w:val="nil"/>
              <w:right w:val="nil"/>
            </w:tcBorders>
            <w:shd w:val="clear" w:color="auto" w:fill="auto"/>
            <w:noWrap/>
            <w:vAlign w:val="center"/>
          </w:tcPr>
          <w:p w14:paraId="331C1EF6" w14:textId="10FDB233"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169.750</w:t>
            </w:r>
          </w:p>
        </w:tc>
        <w:tc>
          <w:tcPr>
            <w:tcW w:w="1205" w:type="dxa"/>
            <w:tcBorders>
              <w:top w:val="nil"/>
              <w:left w:val="nil"/>
              <w:bottom w:val="nil"/>
              <w:right w:val="nil"/>
            </w:tcBorders>
            <w:shd w:val="clear" w:color="auto" w:fill="auto"/>
            <w:vAlign w:val="center"/>
            <w:hideMark/>
          </w:tcPr>
          <w:p w14:paraId="58DC8959" w14:textId="6A187B24"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173.775</w:t>
            </w:r>
          </w:p>
        </w:tc>
        <w:tc>
          <w:tcPr>
            <w:tcW w:w="1205" w:type="dxa"/>
            <w:tcBorders>
              <w:top w:val="nil"/>
              <w:left w:val="nil"/>
              <w:bottom w:val="nil"/>
              <w:right w:val="nil"/>
            </w:tcBorders>
            <w:shd w:val="clear" w:color="auto" w:fill="auto"/>
            <w:noWrap/>
            <w:vAlign w:val="center"/>
          </w:tcPr>
          <w:p w14:paraId="1F8E0E33" w14:textId="50A96161"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661.134</w:t>
            </w:r>
          </w:p>
        </w:tc>
        <w:tc>
          <w:tcPr>
            <w:tcW w:w="1205" w:type="dxa"/>
            <w:tcBorders>
              <w:top w:val="nil"/>
              <w:left w:val="nil"/>
              <w:bottom w:val="nil"/>
              <w:right w:val="nil"/>
            </w:tcBorders>
            <w:shd w:val="clear" w:color="auto" w:fill="auto"/>
            <w:vAlign w:val="center"/>
            <w:hideMark/>
          </w:tcPr>
          <w:p w14:paraId="27C37F77" w14:textId="46E71E93"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606.948</w:t>
            </w:r>
          </w:p>
        </w:tc>
      </w:tr>
      <w:tr w:rsidR="00480A8A" w:rsidRPr="00A33766" w14:paraId="6A215DDE" w14:textId="77777777" w:rsidTr="007B30B1">
        <w:trPr>
          <w:trHeight w:val="283"/>
        </w:trPr>
        <w:tc>
          <w:tcPr>
            <w:tcW w:w="4678" w:type="dxa"/>
            <w:tcBorders>
              <w:top w:val="nil"/>
              <w:left w:val="nil"/>
              <w:bottom w:val="single" w:sz="4" w:space="0" w:color="F79646"/>
              <w:right w:val="nil"/>
            </w:tcBorders>
            <w:shd w:val="clear" w:color="auto" w:fill="auto"/>
            <w:noWrap/>
            <w:vAlign w:val="center"/>
            <w:hideMark/>
          </w:tcPr>
          <w:p w14:paraId="4C52092F" w14:textId="37372981" w:rsidR="00480A8A" w:rsidRPr="00FF4346" w:rsidRDefault="00480A8A" w:rsidP="00480A8A">
            <w:pPr>
              <w:rPr>
                <w:rFonts w:ascii="CAIXA Std Book" w:eastAsia="Times New Roman" w:hAnsi="CAIXA Std Book" w:cs="Arial"/>
                <w:color w:val="005CA9"/>
                <w:sz w:val="18"/>
                <w:szCs w:val="18"/>
              </w:rPr>
            </w:pPr>
            <w:r>
              <w:rPr>
                <w:rFonts w:ascii="CAIXA Std Book" w:hAnsi="CAIXA Std Book" w:cs="Arial"/>
                <w:color w:val="005CA9"/>
                <w:sz w:val="18"/>
                <w:szCs w:val="18"/>
              </w:rPr>
              <w:t>Outros</w:t>
            </w:r>
          </w:p>
        </w:tc>
        <w:tc>
          <w:tcPr>
            <w:tcW w:w="1205" w:type="dxa"/>
            <w:tcBorders>
              <w:top w:val="nil"/>
              <w:left w:val="nil"/>
              <w:bottom w:val="nil"/>
              <w:right w:val="nil"/>
            </w:tcBorders>
            <w:shd w:val="clear" w:color="auto" w:fill="auto"/>
            <w:noWrap/>
            <w:vAlign w:val="center"/>
          </w:tcPr>
          <w:p w14:paraId="023728DE" w14:textId="513D78C8" w:rsidR="00480A8A" w:rsidRPr="00FF4346" w:rsidRDefault="00C07996" w:rsidP="00C07996">
            <w:pPr>
              <w:jc w:val="right"/>
              <w:rPr>
                <w:rFonts w:ascii="CAIXA Std Book" w:eastAsia="Times New Roman" w:hAnsi="CAIXA Std Book" w:cs="Arial"/>
                <w:color w:val="005CA9"/>
                <w:sz w:val="18"/>
                <w:szCs w:val="18"/>
              </w:rPr>
            </w:pPr>
            <w:r>
              <w:rPr>
                <w:rFonts w:ascii="CAIXA Std Book" w:hAnsi="CAIXA Std Book" w:cs="Arial"/>
                <w:color w:val="005CA9"/>
                <w:sz w:val="18"/>
                <w:szCs w:val="18"/>
              </w:rPr>
              <w:t>68.519</w:t>
            </w:r>
          </w:p>
        </w:tc>
        <w:tc>
          <w:tcPr>
            <w:tcW w:w="1205" w:type="dxa"/>
            <w:tcBorders>
              <w:top w:val="nil"/>
              <w:left w:val="nil"/>
              <w:bottom w:val="nil"/>
              <w:right w:val="nil"/>
            </w:tcBorders>
            <w:shd w:val="clear" w:color="auto" w:fill="auto"/>
            <w:vAlign w:val="center"/>
            <w:hideMark/>
          </w:tcPr>
          <w:p w14:paraId="1927897E" w14:textId="0B24F43D" w:rsidR="00480A8A" w:rsidRPr="00FF4346" w:rsidRDefault="00480A8A" w:rsidP="00480A8A">
            <w:pPr>
              <w:jc w:val="right"/>
              <w:rPr>
                <w:rFonts w:ascii="CAIXA Std Book" w:hAnsi="CAIXA Std Book" w:cs="Arial"/>
                <w:color w:val="005CA9"/>
                <w:sz w:val="18"/>
                <w:szCs w:val="18"/>
              </w:rPr>
            </w:pPr>
            <w:r w:rsidRPr="00FF4346">
              <w:rPr>
                <w:rFonts w:ascii="CAIXA Std Book" w:hAnsi="CAIXA Std Book" w:cs="Arial"/>
                <w:color w:val="005CA9"/>
                <w:sz w:val="18"/>
                <w:szCs w:val="18"/>
              </w:rPr>
              <w:t>30.990</w:t>
            </w:r>
          </w:p>
        </w:tc>
        <w:tc>
          <w:tcPr>
            <w:tcW w:w="1205" w:type="dxa"/>
            <w:tcBorders>
              <w:top w:val="nil"/>
              <w:left w:val="nil"/>
              <w:bottom w:val="nil"/>
              <w:right w:val="nil"/>
            </w:tcBorders>
            <w:shd w:val="clear" w:color="auto" w:fill="auto"/>
            <w:noWrap/>
            <w:vAlign w:val="center"/>
          </w:tcPr>
          <w:p w14:paraId="1CD26D23" w14:textId="44D26621" w:rsidR="00480A8A" w:rsidRPr="00FF4346" w:rsidRDefault="004D642A" w:rsidP="004D642A">
            <w:pPr>
              <w:jc w:val="right"/>
              <w:rPr>
                <w:rFonts w:ascii="CAIXA Std Book" w:eastAsia="Times New Roman" w:hAnsi="CAIXA Std Book" w:cs="Arial"/>
                <w:color w:val="005CA9"/>
                <w:sz w:val="18"/>
                <w:szCs w:val="18"/>
              </w:rPr>
            </w:pPr>
            <w:r>
              <w:rPr>
                <w:rFonts w:ascii="CAIXA Std Book" w:hAnsi="CAIXA Std Book" w:cs="Arial"/>
                <w:color w:val="005CA9"/>
                <w:sz w:val="18"/>
                <w:szCs w:val="18"/>
              </w:rPr>
              <w:t>78.696</w:t>
            </w:r>
          </w:p>
        </w:tc>
        <w:tc>
          <w:tcPr>
            <w:tcW w:w="1205" w:type="dxa"/>
            <w:tcBorders>
              <w:top w:val="nil"/>
              <w:left w:val="nil"/>
              <w:bottom w:val="nil"/>
              <w:right w:val="nil"/>
            </w:tcBorders>
            <w:shd w:val="clear" w:color="auto" w:fill="auto"/>
            <w:vAlign w:val="center"/>
            <w:hideMark/>
          </w:tcPr>
          <w:p w14:paraId="4FB19156" w14:textId="0AA4C9F4" w:rsidR="00480A8A" w:rsidRPr="00FF4346" w:rsidRDefault="00480A8A" w:rsidP="00480A8A">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37.446</w:t>
            </w:r>
          </w:p>
        </w:tc>
      </w:tr>
      <w:tr w:rsidR="00480A8A" w:rsidRPr="00A33766" w14:paraId="29FA1B1F" w14:textId="77777777" w:rsidTr="007B30B1">
        <w:trPr>
          <w:trHeight w:val="283"/>
        </w:trPr>
        <w:tc>
          <w:tcPr>
            <w:tcW w:w="4678" w:type="dxa"/>
            <w:tcBorders>
              <w:top w:val="nil"/>
              <w:left w:val="nil"/>
              <w:bottom w:val="single" w:sz="4" w:space="0" w:color="F39200"/>
              <w:right w:val="nil"/>
            </w:tcBorders>
            <w:shd w:val="clear" w:color="auto" w:fill="auto"/>
            <w:noWrap/>
            <w:vAlign w:val="center"/>
            <w:hideMark/>
          </w:tcPr>
          <w:p w14:paraId="1D1AEE62" w14:textId="33E6E6A3" w:rsidR="00480A8A" w:rsidRPr="00FF4346" w:rsidRDefault="00480A8A" w:rsidP="00480A8A">
            <w:pPr>
              <w:rPr>
                <w:rFonts w:ascii="CAIXA Std Book" w:eastAsia="Times New Roman" w:hAnsi="CAIXA Std Book" w:cs="Arial"/>
                <w:b/>
                <w:bCs/>
                <w:color w:val="005CA9"/>
                <w:sz w:val="18"/>
                <w:szCs w:val="18"/>
              </w:rPr>
            </w:pPr>
            <w:r>
              <w:rPr>
                <w:rFonts w:ascii="CAIXA Std Book" w:hAnsi="CAIXA Std Book" w:cs="Arial"/>
                <w:b/>
                <w:color w:val="005CA9"/>
                <w:sz w:val="18"/>
                <w:szCs w:val="18"/>
              </w:rPr>
              <w:t>Total</w:t>
            </w:r>
          </w:p>
        </w:tc>
        <w:tc>
          <w:tcPr>
            <w:tcW w:w="1205" w:type="dxa"/>
            <w:tcBorders>
              <w:top w:val="single" w:sz="4" w:space="0" w:color="F39200"/>
              <w:left w:val="nil"/>
              <w:bottom w:val="single" w:sz="4" w:space="0" w:color="F39200"/>
              <w:right w:val="nil"/>
            </w:tcBorders>
            <w:shd w:val="clear" w:color="auto" w:fill="auto"/>
            <w:noWrap/>
            <w:vAlign w:val="center"/>
          </w:tcPr>
          <w:p w14:paraId="2D37EC2F" w14:textId="478DCD4B" w:rsidR="00480A8A" w:rsidRPr="00FF4346" w:rsidRDefault="00C07996" w:rsidP="00C07996">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5.633.408</w:t>
            </w:r>
          </w:p>
        </w:tc>
        <w:tc>
          <w:tcPr>
            <w:tcW w:w="1205" w:type="dxa"/>
            <w:tcBorders>
              <w:top w:val="single" w:sz="4" w:space="0" w:color="F39200"/>
              <w:left w:val="nil"/>
              <w:bottom w:val="single" w:sz="4" w:space="0" w:color="F39200"/>
              <w:right w:val="nil"/>
            </w:tcBorders>
            <w:shd w:val="clear" w:color="auto" w:fill="auto"/>
            <w:noWrap/>
            <w:vAlign w:val="center"/>
            <w:hideMark/>
          </w:tcPr>
          <w:p w14:paraId="556CA4F5" w14:textId="5895E5E7" w:rsidR="00480A8A" w:rsidRPr="00FF4346" w:rsidRDefault="00480A8A" w:rsidP="00480A8A">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5.279.714</w:t>
            </w:r>
          </w:p>
        </w:tc>
        <w:tc>
          <w:tcPr>
            <w:tcW w:w="1205" w:type="dxa"/>
            <w:tcBorders>
              <w:top w:val="single" w:sz="4" w:space="0" w:color="F39200"/>
              <w:left w:val="nil"/>
              <w:bottom w:val="single" w:sz="4" w:space="0" w:color="F39200"/>
              <w:right w:val="nil"/>
            </w:tcBorders>
            <w:shd w:val="clear" w:color="auto" w:fill="auto"/>
            <w:noWrap/>
            <w:vAlign w:val="center"/>
          </w:tcPr>
          <w:p w14:paraId="44013BB2" w14:textId="1CF30833" w:rsidR="00480A8A" w:rsidRPr="00FF4346" w:rsidRDefault="004D642A" w:rsidP="004D642A">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6.629.236</w:t>
            </w:r>
          </w:p>
        </w:tc>
        <w:tc>
          <w:tcPr>
            <w:tcW w:w="1205" w:type="dxa"/>
            <w:tcBorders>
              <w:top w:val="single" w:sz="4" w:space="0" w:color="F39200"/>
              <w:left w:val="nil"/>
              <w:bottom w:val="single" w:sz="4" w:space="0" w:color="F39200"/>
              <w:right w:val="nil"/>
            </w:tcBorders>
            <w:shd w:val="clear" w:color="auto" w:fill="auto"/>
            <w:noWrap/>
            <w:vAlign w:val="center"/>
            <w:hideMark/>
          </w:tcPr>
          <w:p w14:paraId="7E5BFCB1" w14:textId="16F22FC3" w:rsidR="00480A8A" w:rsidRPr="00FF4346" w:rsidRDefault="00480A8A" w:rsidP="00480A8A">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6.202.412</w:t>
            </w:r>
          </w:p>
        </w:tc>
      </w:tr>
    </w:tbl>
    <w:p w14:paraId="17DA0718" w14:textId="006A1708" w:rsidR="00814F49" w:rsidRPr="00FF4346" w:rsidRDefault="00814F49" w:rsidP="005A596E">
      <w:pPr>
        <w:pStyle w:val="Ttulo1"/>
      </w:pPr>
      <w:bookmarkStart w:id="118" w:name="_Toc166594500"/>
      <w:bookmarkEnd w:id="117"/>
      <w:r w:rsidRPr="00FF4346">
        <w:t xml:space="preserve">Nota 25 – Despesas </w:t>
      </w:r>
      <w:r w:rsidR="00273EF6" w:rsidRPr="00FF4346">
        <w:t>de</w:t>
      </w:r>
      <w:r w:rsidRPr="00FF4346">
        <w:t xml:space="preserve"> pessoal</w:t>
      </w:r>
      <w:bookmarkEnd w:id="118"/>
    </w:p>
    <w:tbl>
      <w:tblPr>
        <w:tblW w:w="5000" w:type="pct"/>
        <w:tblCellMar>
          <w:left w:w="70" w:type="dxa"/>
          <w:right w:w="70" w:type="dxa"/>
        </w:tblCellMar>
        <w:tblLook w:val="04A0" w:firstRow="1" w:lastRow="0" w:firstColumn="1" w:lastColumn="0" w:noHBand="0" w:noVBand="1"/>
      </w:tblPr>
      <w:tblGrid>
        <w:gridCol w:w="4325"/>
        <w:gridCol w:w="1326"/>
        <w:gridCol w:w="1330"/>
        <w:gridCol w:w="1328"/>
        <w:gridCol w:w="1328"/>
      </w:tblGrid>
      <w:tr w:rsidR="00B26C09" w:rsidRPr="00326B86" w14:paraId="5E24FF06" w14:textId="77777777" w:rsidTr="00A90CDB">
        <w:trPr>
          <w:trHeight w:val="283"/>
        </w:trPr>
        <w:tc>
          <w:tcPr>
            <w:tcW w:w="2244" w:type="pct"/>
            <w:vMerge w:val="restart"/>
            <w:tcBorders>
              <w:top w:val="single" w:sz="4" w:space="0" w:color="F79646"/>
              <w:left w:val="nil"/>
              <w:right w:val="nil"/>
            </w:tcBorders>
            <w:shd w:val="clear" w:color="auto" w:fill="auto"/>
            <w:noWrap/>
            <w:vAlign w:val="center"/>
            <w:hideMark/>
          </w:tcPr>
          <w:p w14:paraId="24679D63"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Descrição</w:t>
            </w:r>
          </w:p>
        </w:tc>
        <w:tc>
          <w:tcPr>
            <w:tcW w:w="1378" w:type="pct"/>
            <w:gridSpan w:val="2"/>
            <w:tcBorders>
              <w:top w:val="single" w:sz="4" w:space="0" w:color="F79646"/>
              <w:left w:val="nil"/>
              <w:bottom w:val="single" w:sz="4" w:space="0" w:color="F79646"/>
              <w:right w:val="nil"/>
            </w:tcBorders>
            <w:shd w:val="clear" w:color="auto" w:fill="auto"/>
            <w:noWrap/>
            <w:vAlign w:val="center"/>
            <w:hideMark/>
          </w:tcPr>
          <w:p w14:paraId="360D9FDB"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INDIVIDUAL</w:t>
            </w:r>
          </w:p>
        </w:tc>
        <w:tc>
          <w:tcPr>
            <w:tcW w:w="1378" w:type="pct"/>
            <w:gridSpan w:val="2"/>
            <w:tcBorders>
              <w:top w:val="single" w:sz="4" w:space="0" w:color="F79646"/>
              <w:left w:val="nil"/>
              <w:bottom w:val="single" w:sz="4" w:space="0" w:color="F79646"/>
              <w:right w:val="nil"/>
            </w:tcBorders>
            <w:shd w:val="clear" w:color="auto" w:fill="auto"/>
            <w:noWrap/>
            <w:vAlign w:val="center"/>
            <w:hideMark/>
          </w:tcPr>
          <w:p w14:paraId="43BA5393"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CONSOLIDADO</w:t>
            </w:r>
          </w:p>
        </w:tc>
      </w:tr>
      <w:tr w:rsidR="00B26C09" w:rsidRPr="00326B86" w14:paraId="6FA74D31" w14:textId="77777777" w:rsidTr="004B0877">
        <w:trPr>
          <w:trHeight w:val="283"/>
        </w:trPr>
        <w:tc>
          <w:tcPr>
            <w:tcW w:w="2244" w:type="pct"/>
            <w:vMerge/>
            <w:tcBorders>
              <w:left w:val="nil"/>
              <w:right w:val="nil"/>
            </w:tcBorders>
            <w:shd w:val="clear" w:color="auto" w:fill="auto"/>
            <w:vAlign w:val="center"/>
            <w:hideMark/>
          </w:tcPr>
          <w:p w14:paraId="4C58741A" w14:textId="77777777" w:rsidR="00355681" w:rsidRPr="00326B86" w:rsidRDefault="00355681" w:rsidP="006F3D79">
            <w:pPr>
              <w:jc w:val="center"/>
              <w:rPr>
                <w:rFonts w:ascii="CAIXA Std Book" w:eastAsia="Times New Roman" w:hAnsi="CAIXA Std Book" w:cs="Arial"/>
                <w:b/>
                <w:bCs/>
                <w:color w:val="005CA9"/>
                <w:sz w:val="18"/>
                <w:szCs w:val="18"/>
              </w:rPr>
            </w:pPr>
          </w:p>
        </w:tc>
        <w:tc>
          <w:tcPr>
            <w:tcW w:w="688" w:type="pct"/>
            <w:tcBorders>
              <w:top w:val="nil"/>
              <w:left w:val="nil"/>
              <w:bottom w:val="single" w:sz="4" w:space="0" w:color="F79646"/>
              <w:right w:val="nil"/>
            </w:tcBorders>
            <w:shd w:val="clear" w:color="auto" w:fill="auto"/>
            <w:vAlign w:val="center"/>
            <w:hideMark/>
          </w:tcPr>
          <w:p w14:paraId="786AEB00" w14:textId="640D17BB"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202</w:t>
            </w:r>
            <w:r w:rsidR="006F3D79" w:rsidRPr="00326B86">
              <w:rPr>
                <w:rFonts w:ascii="CAIXA Std Book" w:eastAsia="Times New Roman" w:hAnsi="CAIXA Std Book" w:cs="Arial"/>
                <w:b/>
                <w:bCs/>
                <w:color w:val="005CA9"/>
                <w:sz w:val="18"/>
                <w:szCs w:val="18"/>
              </w:rPr>
              <w:t>4</w:t>
            </w:r>
          </w:p>
        </w:tc>
        <w:tc>
          <w:tcPr>
            <w:tcW w:w="690" w:type="pct"/>
            <w:tcBorders>
              <w:top w:val="nil"/>
              <w:left w:val="nil"/>
              <w:bottom w:val="single" w:sz="4" w:space="0" w:color="F79646"/>
              <w:right w:val="nil"/>
            </w:tcBorders>
            <w:shd w:val="clear" w:color="auto" w:fill="auto"/>
            <w:vAlign w:val="center"/>
            <w:hideMark/>
          </w:tcPr>
          <w:p w14:paraId="38C64BDF" w14:textId="6BE98964"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202</w:t>
            </w:r>
            <w:r w:rsidR="006F3D79" w:rsidRPr="00326B86">
              <w:rPr>
                <w:rFonts w:ascii="CAIXA Std Book" w:eastAsia="Times New Roman" w:hAnsi="CAIXA Std Book" w:cs="Arial"/>
                <w:b/>
                <w:bCs/>
                <w:color w:val="005CA9"/>
                <w:sz w:val="18"/>
                <w:szCs w:val="18"/>
              </w:rPr>
              <w:t>3</w:t>
            </w:r>
          </w:p>
        </w:tc>
        <w:tc>
          <w:tcPr>
            <w:tcW w:w="689" w:type="pct"/>
            <w:tcBorders>
              <w:top w:val="nil"/>
              <w:left w:val="nil"/>
              <w:bottom w:val="single" w:sz="4" w:space="0" w:color="F79646"/>
              <w:right w:val="nil"/>
            </w:tcBorders>
            <w:shd w:val="clear" w:color="auto" w:fill="auto"/>
            <w:vAlign w:val="center"/>
            <w:hideMark/>
          </w:tcPr>
          <w:p w14:paraId="2A598101" w14:textId="52D09E00"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202</w:t>
            </w:r>
            <w:r w:rsidR="006F3D79" w:rsidRPr="00326B86">
              <w:rPr>
                <w:rFonts w:ascii="CAIXA Std Book" w:eastAsia="Times New Roman" w:hAnsi="CAIXA Std Book" w:cs="Arial"/>
                <w:b/>
                <w:bCs/>
                <w:color w:val="005CA9"/>
                <w:sz w:val="18"/>
                <w:szCs w:val="18"/>
              </w:rPr>
              <w:t>4</w:t>
            </w:r>
          </w:p>
        </w:tc>
        <w:tc>
          <w:tcPr>
            <w:tcW w:w="689" w:type="pct"/>
            <w:tcBorders>
              <w:top w:val="nil"/>
              <w:left w:val="nil"/>
              <w:bottom w:val="single" w:sz="4" w:space="0" w:color="F79646"/>
              <w:right w:val="nil"/>
            </w:tcBorders>
            <w:shd w:val="clear" w:color="auto" w:fill="auto"/>
            <w:vAlign w:val="center"/>
            <w:hideMark/>
          </w:tcPr>
          <w:p w14:paraId="46B6D8C8" w14:textId="4ABF5162"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202</w:t>
            </w:r>
            <w:r w:rsidR="00056E03" w:rsidRPr="00326B86">
              <w:rPr>
                <w:rFonts w:ascii="CAIXA Std Book" w:eastAsia="Times New Roman" w:hAnsi="CAIXA Std Book" w:cs="Arial"/>
                <w:b/>
                <w:bCs/>
                <w:color w:val="005CA9"/>
                <w:sz w:val="18"/>
                <w:szCs w:val="18"/>
              </w:rPr>
              <w:t>3</w:t>
            </w:r>
          </w:p>
        </w:tc>
      </w:tr>
      <w:tr w:rsidR="00B26C09" w:rsidRPr="00326B86" w14:paraId="5D160380" w14:textId="77777777" w:rsidTr="004B0877">
        <w:trPr>
          <w:trHeight w:val="283"/>
        </w:trPr>
        <w:tc>
          <w:tcPr>
            <w:tcW w:w="2244" w:type="pct"/>
            <w:vMerge/>
            <w:tcBorders>
              <w:left w:val="nil"/>
              <w:bottom w:val="single" w:sz="4" w:space="0" w:color="F39200"/>
              <w:right w:val="nil"/>
            </w:tcBorders>
            <w:vAlign w:val="center"/>
            <w:hideMark/>
          </w:tcPr>
          <w:p w14:paraId="00493728" w14:textId="77777777" w:rsidR="00355681" w:rsidRPr="00326B86" w:rsidRDefault="00355681" w:rsidP="006F3D79">
            <w:pPr>
              <w:jc w:val="center"/>
              <w:rPr>
                <w:rFonts w:ascii="CAIXA Std Book" w:eastAsia="Times New Roman" w:hAnsi="CAIXA Std Book" w:cs="Arial"/>
                <w:b/>
                <w:bCs/>
                <w:color w:val="005CA9"/>
                <w:sz w:val="18"/>
                <w:szCs w:val="18"/>
              </w:rPr>
            </w:pPr>
          </w:p>
        </w:tc>
        <w:tc>
          <w:tcPr>
            <w:tcW w:w="688" w:type="pct"/>
            <w:tcBorders>
              <w:top w:val="nil"/>
              <w:left w:val="nil"/>
              <w:bottom w:val="single" w:sz="4" w:space="0" w:color="F39200"/>
              <w:right w:val="nil"/>
            </w:tcBorders>
            <w:shd w:val="clear" w:color="auto" w:fill="auto"/>
            <w:vAlign w:val="center"/>
            <w:hideMark/>
          </w:tcPr>
          <w:p w14:paraId="13D5B1CE"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1º trimestre</w:t>
            </w:r>
          </w:p>
        </w:tc>
        <w:tc>
          <w:tcPr>
            <w:tcW w:w="690" w:type="pct"/>
            <w:tcBorders>
              <w:top w:val="nil"/>
              <w:left w:val="nil"/>
              <w:bottom w:val="single" w:sz="4" w:space="0" w:color="F39200"/>
              <w:right w:val="nil"/>
            </w:tcBorders>
            <w:shd w:val="clear" w:color="auto" w:fill="auto"/>
            <w:vAlign w:val="center"/>
            <w:hideMark/>
          </w:tcPr>
          <w:p w14:paraId="0812EF20"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1º trimestre</w:t>
            </w:r>
          </w:p>
        </w:tc>
        <w:tc>
          <w:tcPr>
            <w:tcW w:w="689" w:type="pct"/>
            <w:tcBorders>
              <w:top w:val="nil"/>
              <w:left w:val="nil"/>
              <w:bottom w:val="single" w:sz="4" w:space="0" w:color="F39200"/>
              <w:right w:val="nil"/>
            </w:tcBorders>
            <w:shd w:val="clear" w:color="auto" w:fill="auto"/>
            <w:vAlign w:val="center"/>
            <w:hideMark/>
          </w:tcPr>
          <w:p w14:paraId="596C64D0"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1º trimestre</w:t>
            </w:r>
          </w:p>
        </w:tc>
        <w:tc>
          <w:tcPr>
            <w:tcW w:w="689" w:type="pct"/>
            <w:tcBorders>
              <w:top w:val="nil"/>
              <w:left w:val="nil"/>
              <w:bottom w:val="single" w:sz="4" w:space="0" w:color="F39200"/>
              <w:right w:val="nil"/>
            </w:tcBorders>
            <w:shd w:val="clear" w:color="auto" w:fill="auto"/>
            <w:vAlign w:val="center"/>
            <w:hideMark/>
          </w:tcPr>
          <w:p w14:paraId="2E6468D2" w14:textId="77777777" w:rsidR="00355681" w:rsidRPr="00326B86" w:rsidRDefault="00355681" w:rsidP="006F3D79">
            <w:pPr>
              <w:jc w:val="cente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1º trimestre</w:t>
            </w:r>
          </w:p>
        </w:tc>
      </w:tr>
      <w:tr w:rsidR="00B26C09" w:rsidRPr="00326B86" w14:paraId="64E0B6D2" w14:textId="77777777" w:rsidTr="004B0877">
        <w:trPr>
          <w:trHeight w:val="283"/>
        </w:trPr>
        <w:tc>
          <w:tcPr>
            <w:tcW w:w="2244" w:type="pct"/>
            <w:tcBorders>
              <w:top w:val="nil"/>
              <w:left w:val="nil"/>
              <w:bottom w:val="nil"/>
              <w:right w:val="nil"/>
            </w:tcBorders>
            <w:shd w:val="clear" w:color="auto" w:fill="auto"/>
            <w:vAlign w:val="center"/>
            <w:hideMark/>
          </w:tcPr>
          <w:p w14:paraId="30911CB8" w14:textId="0FBB5E42" w:rsidR="00C07E7D" w:rsidRPr="00326B86" w:rsidRDefault="00C07E7D" w:rsidP="00C07E7D">
            <w:pPr>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Salários</w:t>
            </w:r>
          </w:p>
        </w:tc>
        <w:tc>
          <w:tcPr>
            <w:tcW w:w="688" w:type="pct"/>
            <w:tcBorders>
              <w:top w:val="nil"/>
              <w:left w:val="nil"/>
              <w:bottom w:val="nil"/>
              <w:right w:val="nil"/>
            </w:tcBorders>
            <w:shd w:val="clear" w:color="auto" w:fill="auto"/>
            <w:vAlign w:val="center"/>
          </w:tcPr>
          <w:p w14:paraId="4A0782CE" w14:textId="5AD46510"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(4.287.049)</w:t>
            </w:r>
          </w:p>
        </w:tc>
        <w:tc>
          <w:tcPr>
            <w:tcW w:w="690" w:type="pct"/>
            <w:tcBorders>
              <w:top w:val="nil"/>
              <w:left w:val="nil"/>
              <w:bottom w:val="nil"/>
              <w:right w:val="nil"/>
            </w:tcBorders>
            <w:shd w:val="clear" w:color="auto" w:fill="auto"/>
            <w:vAlign w:val="center"/>
            <w:hideMark/>
          </w:tcPr>
          <w:p w14:paraId="1D31E903" w14:textId="2641F524"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(4.021.271)</w:t>
            </w:r>
          </w:p>
        </w:tc>
        <w:tc>
          <w:tcPr>
            <w:tcW w:w="689" w:type="pct"/>
            <w:tcBorders>
              <w:top w:val="nil"/>
              <w:left w:val="nil"/>
              <w:bottom w:val="nil"/>
              <w:right w:val="nil"/>
            </w:tcBorders>
            <w:shd w:val="clear" w:color="auto" w:fill="auto"/>
            <w:vAlign w:val="center"/>
          </w:tcPr>
          <w:p w14:paraId="1EC4D934" w14:textId="60625416"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(4.322.</w:t>
            </w:r>
            <w:r w:rsidR="00D45993">
              <w:rPr>
                <w:rFonts w:ascii="CAIXA Std Book" w:hAnsi="CAIXA Std Book" w:cs="Arial"/>
                <w:color w:val="005CA9"/>
                <w:sz w:val="18"/>
                <w:szCs w:val="18"/>
              </w:rPr>
              <w:t>818</w:t>
            </w:r>
            <w:r>
              <w:rPr>
                <w:rFonts w:ascii="CAIXA Std Book" w:hAnsi="CAIXA Std Book" w:cs="Arial"/>
                <w:color w:val="005CA9"/>
                <w:sz w:val="18"/>
                <w:szCs w:val="18"/>
              </w:rPr>
              <w:t>)</w:t>
            </w:r>
          </w:p>
        </w:tc>
        <w:tc>
          <w:tcPr>
            <w:tcW w:w="689" w:type="pct"/>
            <w:tcBorders>
              <w:top w:val="nil"/>
              <w:left w:val="nil"/>
              <w:bottom w:val="nil"/>
              <w:right w:val="nil"/>
            </w:tcBorders>
            <w:shd w:val="clear" w:color="auto" w:fill="auto"/>
            <w:noWrap/>
            <w:vAlign w:val="center"/>
            <w:hideMark/>
          </w:tcPr>
          <w:p w14:paraId="00CD73D1" w14:textId="7C2E140A"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(4.054.474)</w:t>
            </w:r>
          </w:p>
        </w:tc>
      </w:tr>
      <w:tr w:rsidR="00B26C09" w:rsidRPr="00326B86" w14:paraId="439843D1" w14:textId="77777777" w:rsidTr="004B0877">
        <w:trPr>
          <w:trHeight w:val="283"/>
        </w:trPr>
        <w:tc>
          <w:tcPr>
            <w:tcW w:w="2244" w:type="pct"/>
            <w:tcBorders>
              <w:top w:val="nil"/>
              <w:left w:val="nil"/>
              <w:bottom w:val="nil"/>
              <w:right w:val="nil"/>
            </w:tcBorders>
            <w:shd w:val="clear" w:color="auto" w:fill="auto"/>
            <w:vAlign w:val="center"/>
          </w:tcPr>
          <w:p w14:paraId="7CAA5BC4" w14:textId="20DA934D" w:rsidR="00C07E7D" w:rsidRPr="00326B86" w:rsidRDefault="00C07E7D" w:rsidP="00C07E7D">
            <w:pPr>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Benefícios</w:t>
            </w:r>
          </w:p>
        </w:tc>
        <w:tc>
          <w:tcPr>
            <w:tcW w:w="688" w:type="pct"/>
            <w:tcBorders>
              <w:top w:val="nil"/>
              <w:left w:val="nil"/>
              <w:bottom w:val="nil"/>
              <w:right w:val="nil"/>
            </w:tcBorders>
            <w:shd w:val="clear" w:color="auto" w:fill="auto"/>
            <w:vAlign w:val="center"/>
          </w:tcPr>
          <w:p w14:paraId="2E8F61D2" w14:textId="2DE52243" w:rsidR="00C07E7D" w:rsidRPr="00326B86" w:rsidRDefault="005A7BE5" w:rsidP="005A7BE5">
            <w:pPr>
              <w:jc w:val="right"/>
              <w:rPr>
                <w:rFonts w:ascii="CAIXA Std Book" w:hAnsi="CAIXA Std Book" w:cs="Arial"/>
                <w:color w:val="005CA9"/>
                <w:sz w:val="18"/>
                <w:szCs w:val="18"/>
              </w:rPr>
            </w:pPr>
            <w:r w:rsidRPr="00326B86">
              <w:rPr>
                <w:rFonts w:ascii="CAIXA Std Book" w:hAnsi="CAIXA Std Book" w:cs="Arial"/>
                <w:color w:val="005CA9"/>
                <w:sz w:val="18"/>
                <w:szCs w:val="18"/>
              </w:rPr>
              <w:t>(1.008.803)</w:t>
            </w:r>
          </w:p>
        </w:tc>
        <w:tc>
          <w:tcPr>
            <w:tcW w:w="690" w:type="pct"/>
            <w:tcBorders>
              <w:top w:val="nil"/>
              <w:left w:val="nil"/>
              <w:bottom w:val="nil"/>
              <w:right w:val="nil"/>
            </w:tcBorders>
            <w:shd w:val="clear" w:color="auto" w:fill="auto"/>
            <w:vAlign w:val="center"/>
          </w:tcPr>
          <w:p w14:paraId="4DA87341" w14:textId="4B662BC3" w:rsidR="00C07E7D" w:rsidRPr="00326B86" w:rsidRDefault="00C07E7D" w:rsidP="00C07E7D">
            <w:pPr>
              <w:jc w:val="right"/>
              <w:rPr>
                <w:rFonts w:ascii="CAIXA Std Book" w:hAnsi="CAIXA Std Book" w:cs="Arial"/>
                <w:color w:val="005CA9"/>
                <w:sz w:val="18"/>
                <w:szCs w:val="18"/>
              </w:rPr>
            </w:pPr>
            <w:r w:rsidRPr="00326B86">
              <w:rPr>
                <w:rFonts w:ascii="CAIXA Std Book" w:hAnsi="CAIXA Std Book" w:cs="Arial"/>
                <w:color w:val="005CA9"/>
                <w:sz w:val="18"/>
                <w:szCs w:val="18"/>
              </w:rPr>
              <w:t>(1.018.487)</w:t>
            </w:r>
          </w:p>
        </w:tc>
        <w:tc>
          <w:tcPr>
            <w:tcW w:w="689" w:type="pct"/>
            <w:tcBorders>
              <w:top w:val="nil"/>
              <w:left w:val="nil"/>
              <w:bottom w:val="nil"/>
              <w:right w:val="nil"/>
            </w:tcBorders>
            <w:shd w:val="clear" w:color="auto" w:fill="auto"/>
            <w:vAlign w:val="center"/>
          </w:tcPr>
          <w:p w14:paraId="525A66C5" w14:textId="3740BC1E" w:rsidR="00C07E7D" w:rsidRPr="00326B86" w:rsidRDefault="007C40D3" w:rsidP="007C40D3">
            <w:pPr>
              <w:jc w:val="right"/>
              <w:rPr>
                <w:rFonts w:ascii="CAIXA Std Book" w:hAnsi="CAIXA Std Book" w:cs="Arial"/>
                <w:color w:val="005CA9"/>
                <w:sz w:val="18"/>
                <w:szCs w:val="18"/>
              </w:rPr>
            </w:pPr>
            <w:r>
              <w:rPr>
                <w:rFonts w:ascii="CAIXA Std Book" w:hAnsi="CAIXA Std Book" w:cs="Arial"/>
                <w:color w:val="005CA9"/>
                <w:sz w:val="18"/>
                <w:szCs w:val="18"/>
              </w:rPr>
              <w:t>(1.097.</w:t>
            </w:r>
            <w:r w:rsidR="00D45993">
              <w:rPr>
                <w:rFonts w:ascii="CAIXA Std Book" w:hAnsi="CAIXA Std Book" w:cs="Arial"/>
                <w:color w:val="005CA9"/>
                <w:sz w:val="18"/>
                <w:szCs w:val="18"/>
              </w:rPr>
              <w:t>139</w:t>
            </w:r>
            <w:r>
              <w:rPr>
                <w:rFonts w:ascii="CAIXA Std Book" w:hAnsi="CAIXA Std Book" w:cs="Arial"/>
                <w:color w:val="005CA9"/>
                <w:sz w:val="18"/>
                <w:szCs w:val="18"/>
              </w:rPr>
              <w:t>)</w:t>
            </w:r>
          </w:p>
        </w:tc>
        <w:tc>
          <w:tcPr>
            <w:tcW w:w="689" w:type="pct"/>
            <w:tcBorders>
              <w:top w:val="nil"/>
              <w:left w:val="nil"/>
              <w:bottom w:val="nil"/>
              <w:right w:val="nil"/>
            </w:tcBorders>
            <w:shd w:val="clear" w:color="auto" w:fill="auto"/>
            <w:noWrap/>
            <w:vAlign w:val="center"/>
          </w:tcPr>
          <w:p w14:paraId="71256B74" w14:textId="61B54E40" w:rsidR="00C07E7D" w:rsidRPr="00326B86" w:rsidRDefault="00C07E7D" w:rsidP="00C07E7D">
            <w:pPr>
              <w:jc w:val="right"/>
              <w:rPr>
                <w:rFonts w:ascii="CAIXA Std Book" w:hAnsi="CAIXA Std Book" w:cs="Arial"/>
                <w:color w:val="005CA9"/>
                <w:sz w:val="18"/>
                <w:szCs w:val="18"/>
              </w:rPr>
            </w:pPr>
            <w:r w:rsidRPr="00326B86">
              <w:rPr>
                <w:rFonts w:ascii="CAIXA Std Book" w:hAnsi="CAIXA Std Book" w:cs="Arial"/>
                <w:color w:val="005CA9"/>
                <w:sz w:val="18"/>
                <w:szCs w:val="18"/>
              </w:rPr>
              <w:t>(1.088.999)</w:t>
            </w:r>
          </w:p>
        </w:tc>
      </w:tr>
      <w:tr w:rsidR="00B26C09" w:rsidRPr="00326B86" w14:paraId="5E6CA32A" w14:textId="77777777" w:rsidTr="004B0877">
        <w:trPr>
          <w:trHeight w:val="283"/>
        </w:trPr>
        <w:tc>
          <w:tcPr>
            <w:tcW w:w="2244" w:type="pct"/>
            <w:tcBorders>
              <w:top w:val="nil"/>
              <w:left w:val="nil"/>
              <w:bottom w:val="nil"/>
              <w:right w:val="nil"/>
            </w:tcBorders>
            <w:shd w:val="clear" w:color="auto" w:fill="auto"/>
            <w:vAlign w:val="center"/>
            <w:hideMark/>
          </w:tcPr>
          <w:p w14:paraId="1BD28257" w14:textId="008B3DF1" w:rsidR="00C07E7D" w:rsidRPr="00326B86" w:rsidRDefault="00C07E7D" w:rsidP="00C07E7D">
            <w:pPr>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Indenizações trabalhistas</w:t>
            </w:r>
            <w:r w:rsidR="005A7BE5" w:rsidRPr="00326B86">
              <w:rPr>
                <w:rFonts w:ascii="CAIXA Std Book" w:eastAsia="Times New Roman" w:hAnsi="CAIXA Std Book" w:cs="Arial"/>
                <w:color w:val="005CA9"/>
                <w:sz w:val="18"/>
                <w:szCs w:val="18"/>
              </w:rPr>
              <w:t xml:space="preserve"> (1)</w:t>
            </w:r>
          </w:p>
        </w:tc>
        <w:tc>
          <w:tcPr>
            <w:tcW w:w="688" w:type="pct"/>
            <w:tcBorders>
              <w:top w:val="nil"/>
              <w:left w:val="nil"/>
              <w:bottom w:val="nil"/>
              <w:right w:val="nil"/>
            </w:tcBorders>
            <w:shd w:val="clear" w:color="auto" w:fill="auto"/>
            <w:vAlign w:val="center"/>
          </w:tcPr>
          <w:p w14:paraId="75DEFFB2" w14:textId="68E52064"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(926.048)</w:t>
            </w:r>
          </w:p>
        </w:tc>
        <w:tc>
          <w:tcPr>
            <w:tcW w:w="690" w:type="pct"/>
            <w:tcBorders>
              <w:top w:val="nil"/>
              <w:left w:val="nil"/>
              <w:bottom w:val="nil"/>
              <w:right w:val="nil"/>
            </w:tcBorders>
            <w:shd w:val="clear" w:color="auto" w:fill="auto"/>
            <w:vAlign w:val="center"/>
            <w:hideMark/>
          </w:tcPr>
          <w:p w14:paraId="0704436F" w14:textId="29A9AED5"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(49.169)</w:t>
            </w:r>
          </w:p>
        </w:tc>
        <w:tc>
          <w:tcPr>
            <w:tcW w:w="689" w:type="pct"/>
            <w:tcBorders>
              <w:top w:val="nil"/>
              <w:left w:val="nil"/>
              <w:bottom w:val="nil"/>
              <w:right w:val="nil"/>
            </w:tcBorders>
            <w:shd w:val="clear" w:color="auto" w:fill="auto"/>
            <w:vAlign w:val="center"/>
          </w:tcPr>
          <w:p w14:paraId="499B9EDD" w14:textId="73583208"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(926.048)</w:t>
            </w:r>
          </w:p>
        </w:tc>
        <w:tc>
          <w:tcPr>
            <w:tcW w:w="689" w:type="pct"/>
            <w:tcBorders>
              <w:top w:val="nil"/>
              <w:left w:val="nil"/>
              <w:bottom w:val="nil"/>
              <w:right w:val="nil"/>
            </w:tcBorders>
            <w:shd w:val="clear" w:color="auto" w:fill="auto"/>
            <w:noWrap/>
            <w:vAlign w:val="center"/>
            <w:hideMark/>
          </w:tcPr>
          <w:p w14:paraId="722A5E32" w14:textId="6DAEC956"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(49.169)</w:t>
            </w:r>
          </w:p>
        </w:tc>
      </w:tr>
      <w:tr w:rsidR="00B26C09" w:rsidRPr="00326B86" w14:paraId="6E5F015E" w14:textId="77777777" w:rsidTr="004B0877">
        <w:trPr>
          <w:trHeight w:val="283"/>
        </w:trPr>
        <w:tc>
          <w:tcPr>
            <w:tcW w:w="2244" w:type="pct"/>
            <w:tcBorders>
              <w:top w:val="nil"/>
              <w:left w:val="nil"/>
              <w:bottom w:val="nil"/>
              <w:right w:val="nil"/>
            </w:tcBorders>
            <w:shd w:val="clear" w:color="auto" w:fill="auto"/>
            <w:vAlign w:val="center"/>
            <w:hideMark/>
          </w:tcPr>
          <w:p w14:paraId="26AC9C81" w14:textId="51404E3C" w:rsidR="00C07E7D" w:rsidRPr="00326B86" w:rsidRDefault="00C07E7D" w:rsidP="00C07E7D">
            <w:pPr>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Outros</w:t>
            </w:r>
          </w:p>
        </w:tc>
        <w:tc>
          <w:tcPr>
            <w:tcW w:w="688" w:type="pct"/>
            <w:tcBorders>
              <w:top w:val="nil"/>
              <w:left w:val="nil"/>
              <w:bottom w:val="nil"/>
              <w:right w:val="nil"/>
            </w:tcBorders>
            <w:shd w:val="clear" w:color="auto" w:fill="auto"/>
            <w:vAlign w:val="center"/>
          </w:tcPr>
          <w:p w14:paraId="46FCC3B3" w14:textId="7C4EAC36"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(18.229)</w:t>
            </w:r>
          </w:p>
        </w:tc>
        <w:tc>
          <w:tcPr>
            <w:tcW w:w="690" w:type="pct"/>
            <w:tcBorders>
              <w:top w:val="nil"/>
              <w:left w:val="nil"/>
              <w:bottom w:val="nil"/>
              <w:right w:val="nil"/>
            </w:tcBorders>
            <w:shd w:val="clear" w:color="auto" w:fill="auto"/>
            <w:vAlign w:val="center"/>
            <w:hideMark/>
          </w:tcPr>
          <w:p w14:paraId="69EC84C3" w14:textId="6DA4F6CB"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(16.448)</w:t>
            </w:r>
          </w:p>
        </w:tc>
        <w:tc>
          <w:tcPr>
            <w:tcW w:w="689" w:type="pct"/>
            <w:tcBorders>
              <w:top w:val="nil"/>
              <w:left w:val="nil"/>
              <w:bottom w:val="nil"/>
              <w:right w:val="nil"/>
            </w:tcBorders>
            <w:shd w:val="clear" w:color="auto" w:fill="auto"/>
            <w:vAlign w:val="center"/>
          </w:tcPr>
          <w:p w14:paraId="31AE2BC5" w14:textId="70BBDFA5"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(18.</w:t>
            </w:r>
            <w:r w:rsidR="00D45993">
              <w:rPr>
                <w:rFonts w:ascii="CAIXA Std Book" w:hAnsi="CAIXA Std Book" w:cs="Arial"/>
                <w:color w:val="005CA9"/>
                <w:sz w:val="18"/>
                <w:szCs w:val="18"/>
              </w:rPr>
              <w:t>454</w:t>
            </w:r>
            <w:r>
              <w:rPr>
                <w:rFonts w:ascii="CAIXA Std Book" w:hAnsi="CAIXA Std Book" w:cs="Arial"/>
                <w:color w:val="005CA9"/>
                <w:sz w:val="18"/>
                <w:szCs w:val="18"/>
              </w:rPr>
              <w:t>)</w:t>
            </w:r>
          </w:p>
        </w:tc>
        <w:tc>
          <w:tcPr>
            <w:tcW w:w="689" w:type="pct"/>
            <w:tcBorders>
              <w:top w:val="nil"/>
              <w:left w:val="nil"/>
              <w:bottom w:val="nil"/>
              <w:right w:val="nil"/>
            </w:tcBorders>
            <w:shd w:val="clear" w:color="auto" w:fill="auto"/>
            <w:noWrap/>
            <w:vAlign w:val="center"/>
            <w:hideMark/>
          </w:tcPr>
          <w:p w14:paraId="01D1F2DF" w14:textId="46D684E3"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(16.852)</w:t>
            </w:r>
          </w:p>
        </w:tc>
      </w:tr>
      <w:tr w:rsidR="00B26C09" w:rsidRPr="00326B86" w14:paraId="7892DC5B" w14:textId="77777777" w:rsidTr="004B0877">
        <w:trPr>
          <w:trHeight w:val="283"/>
        </w:trPr>
        <w:tc>
          <w:tcPr>
            <w:tcW w:w="2244" w:type="pct"/>
            <w:tcBorders>
              <w:top w:val="nil"/>
              <w:left w:val="nil"/>
              <w:bottom w:val="nil"/>
              <w:right w:val="nil"/>
            </w:tcBorders>
            <w:shd w:val="clear" w:color="auto" w:fill="auto"/>
            <w:vAlign w:val="center"/>
            <w:hideMark/>
          </w:tcPr>
          <w:p w14:paraId="4DC4615F" w14:textId="25A1A871" w:rsidR="00C07E7D" w:rsidRPr="00326B86" w:rsidRDefault="00C07E7D" w:rsidP="00C07E7D">
            <w:pPr>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Encargos sociais</w:t>
            </w:r>
          </w:p>
        </w:tc>
        <w:tc>
          <w:tcPr>
            <w:tcW w:w="688" w:type="pct"/>
            <w:tcBorders>
              <w:top w:val="nil"/>
              <w:left w:val="nil"/>
              <w:bottom w:val="nil"/>
              <w:right w:val="nil"/>
            </w:tcBorders>
            <w:shd w:val="clear" w:color="auto" w:fill="auto"/>
            <w:vAlign w:val="center"/>
          </w:tcPr>
          <w:p w14:paraId="01D84B6A" w14:textId="1301337E"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(1.758.899)</w:t>
            </w:r>
          </w:p>
        </w:tc>
        <w:tc>
          <w:tcPr>
            <w:tcW w:w="690" w:type="pct"/>
            <w:tcBorders>
              <w:top w:val="nil"/>
              <w:left w:val="nil"/>
              <w:bottom w:val="nil"/>
              <w:right w:val="nil"/>
            </w:tcBorders>
            <w:shd w:val="clear" w:color="auto" w:fill="auto"/>
            <w:vAlign w:val="center"/>
            <w:hideMark/>
          </w:tcPr>
          <w:p w14:paraId="61D1C313" w14:textId="6C9CCCA5"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(1.657.302)</w:t>
            </w:r>
          </w:p>
        </w:tc>
        <w:tc>
          <w:tcPr>
            <w:tcW w:w="689" w:type="pct"/>
            <w:tcBorders>
              <w:top w:val="nil"/>
              <w:left w:val="nil"/>
              <w:bottom w:val="nil"/>
              <w:right w:val="nil"/>
            </w:tcBorders>
            <w:shd w:val="clear" w:color="auto" w:fill="auto"/>
            <w:vAlign w:val="center"/>
          </w:tcPr>
          <w:p w14:paraId="47359821" w14:textId="689DF0FE"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(1.774.</w:t>
            </w:r>
            <w:r w:rsidR="00D45993">
              <w:rPr>
                <w:rFonts w:ascii="CAIXA Std Book" w:hAnsi="CAIXA Std Book" w:cs="Arial"/>
                <w:color w:val="005CA9"/>
                <w:sz w:val="18"/>
                <w:szCs w:val="18"/>
              </w:rPr>
              <w:t>252</w:t>
            </w:r>
            <w:r>
              <w:rPr>
                <w:rFonts w:ascii="CAIXA Std Book" w:hAnsi="CAIXA Std Book" w:cs="Arial"/>
                <w:color w:val="005CA9"/>
                <w:sz w:val="18"/>
                <w:szCs w:val="18"/>
              </w:rPr>
              <w:t>)</w:t>
            </w:r>
          </w:p>
        </w:tc>
        <w:tc>
          <w:tcPr>
            <w:tcW w:w="689" w:type="pct"/>
            <w:tcBorders>
              <w:top w:val="nil"/>
              <w:left w:val="nil"/>
              <w:bottom w:val="nil"/>
              <w:right w:val="nil"/>
            </w:tcBorders>
            <w:shd w:val="clear" w:color="auto" w:fill="auto"/>
            <w:vAlign w:val="center"/>
            <w:hideMark/>
          </w:tcPr>
          <w:p w14:paraId="6E1A0DDD" w14:textId="7F90C6BA"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(1.670.612)</w:t>
            </w:r>
          </w:p>
        </w:tc>
      </w:tr>
      <w:tr w:rsidR="00B26C09" w:rsidRPr="00326B86" w14:paraId="473A053C" w14:textId="77777777" w:rsidTr="004B0877">
        <w:trPr>
          <w:trHeight w:val="283"/>
        </w:trPr>
        <w:tc>
          <w:tcPr>
            <w:tcW w:w="2244" w:type="pct"/>
            <w:tcBorders>
              <w:top w:val="nil"/>
              <w:left w:val="nil"/>
              <w:bottom w:val="nil"/>
              <w:right w:val="nil"/>
            </w:tcBorders>
            <w:shd w:val="clear" w:color="auto" w:fill="auto"/>
            <w:vAlign w:val="center"/>
          </w:tcPr>
          <w:p w14:paraId="489A3D94" w14:textId="1C245DD5" w:rsidR="00C07E7D" w:rsidRPr="00326B86" w:rsidRDefault="00C07E7D" w:rsidP="00C07E7D">
            <w:pPr>
              <w:ind w:firstLineChars="100" w:firstLine="180"/>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Previdência social</w:t>
            </w:r>
          </w:p>
        </w:tc>
        <w:tc>
          <w:tcPr>
            <w:tcW w:w="688" w:type="pct"/>
            <w:tcBorders>
              <w:top w:val="nil"/>
              <w:left w:val="nil"/>
              <w:bottom w:val="nil"/>
              <w:right w:val="nil"/>
            </w:tcBorders>
            <w:shd w:val="clear" w:color="auto" w:fill="auto"/>
            <w:vAlign w:val="center"/>
          </w:tcPr>
          <w:p w14:paraId="603936E6" w14:textId="05226870" w:rsidR="00C07E7D" w:rsidRPr="00326B86" w:rsidRDefault="005A7BE5" w:rsidP="005A7BE5">
            <w:pPr>
              <w:jc w:val="right"/>
              <w:rPr>
                <w:rFonts w:ascii="CAIXA Std Book" w:hAnsi="CAIXA Std Book" w:cs="Arial"/>
                <w:color w:val="005CA9"/>
                <w:sz w:val="18"/>
                <w:szCs w:val="18"/>
              </w:rPr>
            </w:pPr>
            <w:r w:rsidRPr="00326B86">
              <w:rPr>
                <w:rFonts w:ascii="CAIXA Std Book" w:hAnsi="CAIXA Std Book" w:cs="Arial"/>
                <w:color w:val="005CA9"/>
                <w:sz w:val="18"/>
                <w:szCs w:val="18"/>
              </w:rPr>
              <w:t>(984.663)</w:t>
            </w:r>
          </w:p>
        </w:tc>
        <w:tc>
          <w:tcPr>
            <w:tcW w:w="690" w:type="pct"/>
            <w:tcBorders>
              <w:top w:val="nil"/>
              <w:left w:val="nil"/>
              <w:bottom w:val="nil"/>
              <w:right w:val="nil"/>
            </w:tcBorders>
            <w:shd w:val="clear" w:color="auto" w:fill="auto"/>
            <w:vAlign w:val="center"/>
          </w:tcPr>
          <w:p w14:paraId="0DFBF11F" w14:textId="5663BC5E" w:rsidR="00C07E7D" w:rsidRPr="00326B86" w:rsidRDefault="00C07E7D" w:rsidP="00C07E7D">
            <w:pPr>
              <w:jc w:val="right"/>
              <w:rPr>
                <w:rFonts w:ascii="CAIXA Std Book" w:hAnsi="CAIXA Std Book" w:cs="Arial"/>
                <w:color w:val="005CA9"/>
                <w:sz w:val="18"/>
                <w:szCs w:val="18"/>
              </w:rPr>
            </w:pPr>
            <w:r w:rsidRPr="00326B86">
              <w:rPr>
                <w:rFonts w:ascii="CAIXA Std Book" w:hAnsi="CAIXA Std Book" w:cs="Arial"/>
                <w:color w:val="005CA9"/>
                <w:sz w:val="18"/>
                <w:szCs w:val="18"/>
              </w:rPr>
              <w:t>(925.572)</w:t>
            </w:r>
          </w:p>
        </w:tc>
        <w:tc>
          <w:tcPr>
            <w:tcW w:w="689" w:type="pct"/>
            <w:tcBorders>
              <w:top w:val="nil"/>
              <w:left w:val="nil"/>
              <w:bottom w:val="nil"/>
              <w:right w:val="nil"/>
            </w:tcBorders>
            <w:shd w:val="clear" w:color="auto" w:fill="auto"/>
            <w:vAlign w:val="center"/>
          </w:tcPr>
          <w:p w14:paraId="155DE464" w14:textId="624C8C2A" w:rsidR="00C07E7D" w:rsidRPr="00326B86" w:rsidRDefault="007C40D3" w:rsidP="007C40D3">
            <w:pPr>
              <w:jc w:val="right"/>
              <w:rPr>
                <w:rFonts w:ascii="CAIXA Std Book" w:hAnsi="CAIXA Std Book" w:cs="Arial"/>
                <w:color w:val="005CA9"/>
                <w:sz w:val="18"/>
                <w:szCs w:val="18"/>
              </w:rPr>
            </w:pPr>
            <w:r>
              <w:rPr>
                <w:rFonts w:ascii="CAIXA Std Book" w:hAnsi="CAIXA Std Book" w:cs="Arial"/>
                <w:color w:val="005CA9"/>
                <w:sz w:val="18"/>
                <w:szCs w:val="18"/>
              </w:rPr>
              <w:t>(993.524)</w:t>
            </w:r>
          </w:p>
        </w:tc>
        <w:tc>
          <w:tcPr>
            <w:tcW w:w="689" w:type="pct"/>
            <w:tcBorders>
              <w:top w:val="nil"/>
              <w:left w:val="nil"/>
              <w:bottom w:val="nil"/>
              <w:right w:val="nil"/>
            </w:tcBorders>
            <w:shd w:val="clear" w:color="auto" w:fill="auto"/>
            <w:vAlign w:val="center"/>
          </w:tcPr>
          <w:p w14:paraId="4E0F97A9" w14:textId="7BEEEAEE" w:rsidR="00C07E7D" w:rsidRPr="00326B86" w:rsidRDefault="00C07E7D" w:rsidP="00C07E7D">
            <w:pPr>
              <w:jc w:val="right"/>
              <w:rPr>
                <w:rFonts w:ascii="CAIXA Std Book" w:hAnsi="CAIXA Std Book" w:cs="Arial"/>
                <w:color w:val="005CA9"/>
                <w:sz w:val="18"/>
                <w:szCs w:val="18"/>
              </w:rPr>
            </w:pPr>
            <w:r w:rsidRPr="00326B86">
              <w:rPr>
                <w:rFonts w:ascii="CAIXA Std Book" w:hAnsi="CAIXA Std Book" w:cs="Arial"/>
                <w:color w:val="005CA9"/>
                <w:sz w:val="18"/>
                <w:szCs w:val="18"/>
              </w:rPr>
              <w:t>(932.778)</w:t>
            </w:r>
          </w:p>
        </w:tc>
      </w:tr>
      <w:tr w:rsidR="00B26C09" w:rsidRPr="00326B86" w14:paraId="181644DD" w14:textId="77777777" w:rsidTr="004B0877">
        <w:trPr>
          <w:trHeight w:val="283"/>
        </w:trPr>
        <w:tc>
          <w:tcPr>
            <w:tcW w:w="2244" w:type="pct"/>
            <w:tcBorders>
              <w:top w:val="nil"/>
              <w:left w:val="nil"/>
              <w:bottom w:val="nil"/>
              <w:right w:val="nil"/>
            </w:tcBorders>
            <w:shd w:val="clear" w:color="auto" w:fill="auto"/>
            <w:vAlign w:val="center"/>
            <w:hideMark/>
          </w:tcPr>
          <w:p w14:paraId="351C7FAD" w14:textId="704074E1" w:rsidR="00C07E7D" w:rsidRPr="00326B86" w:rsidRDefault="00C07E7D" w:rsidP="00C07E7D">
            <w:pPr>
              <w:ind w:firstLineChars="100" w:firstLine="180"/>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FGTS</w:t>
            </w:r>
          </w:p>
        </w:tc>
        <w:tc>
          <w:tcPr>
            <w:tcW w:w="688" w:type="pct"/>
            <w:tcBorders>
              <w:top w:val="nil"/>
              <w:left w:val="nil"/>
              <w:bottom w:val="nil"/>
              <w:right w:val="nil"/>
            </w:tcBorders>
            <w:shd w:val="clear" w:color="auto" w:fill="auto"/>
            <w:vAlign w:val="center"/>
          </w:tcPr>
          <w:p w14:paraId="215AE9FD" w14:textId="5C308E9A"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(326.867)</w:t>
            </w:r>
          </w:p>
        </w:tc>
        <w:tc>
          <w:tcPr>
            <w:tcW w:w="690" w:type="pct"/>
            <w:tcBorders>
              <w:top w:val="nil"/>
              <w:left w:val="nil"/>
              <w:bottom w:val="nil"/>
              <w:right w:val="nil"/>
            </w:tcBorders>
            <w:shd w:val="clear" w:color="auto" w:fill="auto"/>
            <w:vAlign w:val="center"/>
            <w:hideMark/>
          </w:tcPr>
          <w:p w14:paraId="37CF5618" w14:textId="4B3E47AD"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(308.628)</w:t>
            </w:r>
          </w:p>
        </w:tc>
        <w:tc>
          <w:tcPr>
            <w:tcW w:w="689" w:type="pct"/>
            <w:tcBorders>
              <w:top w:val="nil"/>
              <w:left w:val="nil"/>
              <w:bottom w:val="nil"/>
              <w:right w:val="nil"/>
            </w:tcBorders>
            <w:shd w:val="clear" w:color="auto" w:fill="auto"/>
            <w:vAlign w:val="center"/>
          </w:tcPr>
          <w:p w14:paraId="28269FA0" w14:textId="2DAA163A"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(329.613)</w:t>
            </w:r>
          </w:p>
        </w:tc>
        <w:tc>
          <w:tcPr>
            <w:tcW w:w="689" w:type="pct"/>
            <w:tcBorders>
              <w:top w:val="nil"/>
              <w:left w:val="nil"/>
              <w:bottom w:val="nil"/>
              <w:right w:val="nil"/>
            </w:tcBorders>
            <w:shd w:val="clear" w:color="auto" w:fill="auto"/>
            <w:noWrap/>
            <w:vAlign w:val="center"/>
            <w:hideMark/>
          </w:tcPr>
          <w:p w14:paraId="6CC68CD9" w14:textId="7309A757"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(311.330)</w:t>
            </w:r>
          </w:p>
        </w:tc>
      </w:tr>
      <w:tr w:rsidR="00B26C09" w:rsidRPr="00326B86" w14:paraId="2D1C7D7D" w14:textId="77777777" w:rsidTr="004B0877">
        <w:trPr>
          <w:trHeight w:val="283"/>
        </w:trPr>
        <w:tc>
          <w:tcPr>
            <w:tcW w:w="2244" w:type="pct"/>
            <w:tcBorders>
              <w:top w:val="nil"/>
              <w:left w:val="nil"/>
              <w:bottom w:val="nil"/>
              <w:right w:val="nil"/>
            </w:tcBorders>
            <w:shd w:val="clear" w:color="auto" w:fill="auto"/>
            <w:vAlign w:val="center"/>
            <w:hideMark/>
          </w:tcPr>
          <w:p w14:paraId="6D46AF36" w14:textId="2E30C2B2" w:rsidR="00C07E7D" w:rsidRPr="00326B86" w:rsidRDefault="00C07E7D" w:rsidP="00C07E7D">
            <w:pPr>
              <w:ind w:firstLineChars="100" w:firstLine="180"/>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Previdência complementar</w:t>
            </w:r>
          </w:p>
        </w:tc>
        <w:tc>
          <w:tcPr>
            <w:tcW w:w="688" w:type="pct"/>
            <w:tcBorders>
              <w:top w:val="nil"/>
              <w:left w:val="nil"/>
              <w:bottom w:val="nil"/>
              <w:right w:val="nil"/>
            </w:tcBorders>
            <w:shd w:val="clear" w:color="auto" w:fill="auto"/>
            <w:vAlign w:val="center"/>
          </w:tcPr>
          <w:p w14:paraId="4BBC8C06" w14:textId="79AC0411"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(345.240)</w:t>
            </w:r>
          </w:p>
        </w:tc>
        <w:tc>
          <w:tcPr>
            <w:tcW w:w="690" w:type="pct"/>
            <w:tcBorders>
              <w:top w:val="nil"/>
              <w:left w:val="nil"/>
              <w:bottom w:val="nil"/>
              <w:right w:val="nil"/>
            </w:tcBorders>
            <w:shd w:val="clear" w:color="auto" w:fill="auto"/>
            <w:vAlign w:val="center"/>
            <w:hideMark/>
          </w:tcPr>
          <w:p w14:paraId="1B54A11E" w14:textId="2F509669"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(327.728)</w:t>
            </w:r>
          </w:p>
        </w:tc>
        <w:tc>
          <w:tcPr>
            <w:tcW w:w="689" w:type="pct"/>
            <w:tcBorders>
              <w:top w:val="nil"/>
              <w:left w:val="nil"/>
              <w:bottom w:val="nil"/>
              <w:right w:val="nil"/>
            </w:tcBorders>
            <w:shd w:val="clear" w:color="auto" w:fill="auto"/>
            <w:vAlign w:val="center"/>
          </w:tcPr>
          <w:p w14:paraId="18B5B4B2" w14:textId="71238948"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(348.173)</w:t>
            </w:r>
          </w:p>
        </w:tc>
        <w:tc>
          <w:tcPr>
            <w:tcW w:w="689" w:type="pct"/>
            <w:tcBorders>
              <w:top w:val="nil"/>
              <w:left w:val="nil"/>
              <w:bottom w:val="nil"/>
              <w:right w:val="nil"/>
            </w:tcBorders>
            <w:shd w:val="clear" w:color="auto" w:fill="auto"/>
            <w:noWrap/>
            <w:vAlign w:val="center"/>
            <w:hideMark/>
          </w:tcPr>
          <w:p w14:paraId="0DE1DE5E" w14:textId="10FF48EC"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(330.377)</w:t>
            </w:r>
          </w:p>
        </w:tc>
      </w:tr>
      <w:tr w:rsidR="00B26C09" w:rsidRPr="00326B86" w14:paraId="1E6ACB86" w14:textId="77777777" w:rsidTr="004B0877">
        <w:trPr>
          <w:trHeight w:val="283"/>
        </w:trPr>
        <w:tc>
          <w:tcPr>
            <w:tcW w:w="2244" w:type="pct"/>
            <w:tcBorders>
              <w:top w:val="nil"/>
              <w:left w:val="nil"/>
              <w:bottom w:val="nil"/>
              <w:right w:val="nil"/>
            </w:tcBorders>
            <w:shd w:val="clear" w:color="auto" w:fill="auto"/>
            <w:vAlign w:val="center"/>
            <w:hideMark/>
          </w:tcPr>
          <w:p w14:paraId="3906E6DF" w14:textId="56DF722C" w:rsidR="00C07E7D" w:rsidRPr="00326B86" w:rsidRDefault="00C07E7D" w:rsidP="00C07E7D">
            <w:pPr>
              <w:ind w:firstLineChars="100" w:firstLine="180"/>
              <w:rPr>
                <w:rFonts w:ascii="CAIXA Std Book" w:eastAsia="Times New Roman" w:hAnsi="CAIXA Std Book" w:cs="Arial"/>
                <w:color w:val="005CA9"/>
                <w:sz w:val="18"/>
                <w:szCs w:val="18"/>
              </w:rPr>
            </w:pPr>
            <w:r w:rsidRPr="00326B86">
              <w:rPr>
                <w:rFonts w:ascii="CAIXA Std Book" w:eastAsia="Times New Roman" w:hAnsi="CAIXA Std Book" w:cs="Arial"/>
                <w:color w:val="005CA9"/>
                <w:sz w:val="18"/>
                <w:szCs w:val="18"/>
              </w:rPr>
              <w:t>Outros encargos</w:t>
            </w:r>
          </w:p>
        </w:tc>
        <w:tc>
          <w:tcPr>
            <w:tcW w:w="688" w:type="pct"/>
            <w:tcBorders>
              <w:top w:val="nil"/>
              <w:left w:val="nil"/>
              <w:bottom w:val="nil"/>
              <w:right w:val="nil"/>
            </w:tcBorders>
            <w:shd w:val="clear" w:color="auto" w:fill="auto"/>
            <w:vAlign w:val="center"/>
          </w:tcPr>
          <w:p w14:paraId="58D3D745" w14:textId="416F9C47" w:rsidR="00C07E7D" w:rsidRPr="00326B86" w:rsidRDefault="005A7BE5" w:rsidP="005A7BE5">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(102.129)</w:t>
            </w:r>
          </w:p>
        </w:tc>
        <w:tc>
          <w:tcPr>
            <w:tcW w:w="690" w:type="pct"/>
            <w:tcBorders>
              <w:top w:val="nil"/>
              <w:left w:val="nil"/>
              <w:bottom w:val="nil"/>
              <w:right w:val="nil"/>
            </w:tcBorders>
            <w:shd w:val="clear" w:color="auto" w:fill="auto"/>
            <w:vAlign w:val="center"/>
            <w:hideMark/>
          </w:tcPr>
          <w:p w14:paraId="51F65F3C" w14:textId="41A6F676"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(95.374)</w:t>
            </w:r>
          </w:p>
        </w:tc>
        <w:tc>
          <w:tcPr>
            <w:tcW w:w="689" w:type="pct"/>
            <w:tcBorders>
              <w:top w:val="nil"/>
              <w:left w:val="nil"/>
              <w:bottom w:val="nil"/>
              <w:right w:val="nil"/>
            </w:tcBorders>
            <w:shd w:val="clear" w:color="auto" w:fill="auto"/>
            <w:vAlign w:val="center"/>
          </w:tcPr>
          <w:p w14:paraId="73B07396" w14:textId="15F81A2F" w:rsidR="00C07E7D" w:rsidRPr="00326B86" w:rsidRDefault="007C40D3" w:rsidP="007C40D3">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w:t>
            </w:r>
            <w:r w:rsidR="00D45993">
              <w:rPr>
                <w:rFonts w:ascii="CAIXA Std Book" w:hAnsi="CAIXA Std Book" w:cs="Arial"/>
                <w:color w:val="005CA9"/>
                <w:sz w:val="18"/>
                <w:szCs w:val="18"/>
              </w:rPr>
              <w:t>942</w:t>
            </w:r>
            <w:r>
              <w:rPr>
                <w:rFonts w:ascii="CAIXA Std Book" w:hAnsi="CAIXA Std Book" w:cs="Arial"/>
                <w:color w:val="005CA9"/>
                <w:sz w:val="18"/>
                <w:szCs w:val="18"/>
              </w:rPr>
              <w:t>)</w:t>
            </w:r>
          </w:p>
        </w:tc>
        <w:tc>
          <w:tcPr>
            <w:tcW w:w="689" w:type="pct"/>
            <w:tcBorders>
              <w:top w:val="nil"/>
              <w:left w:val="nil"/>
              <w:bottom w:val="nil"/>
              <w:right w:val="nil"/>
            </w:tcBorders>
            <w:shd w:val="clear" w:color="auto" w:fill="auto"/>
            <w:vAlign w:val="center"/>
            <w:hideMark/>
          </w:tcPr>
          <w:p w14:paraId="534F25D2" w14:textId="5475ADB3" w:rsidR="00C07E7D" w:rsidRPr="00326B86" w:rsidRDefault="00C07E7D" w:rsidP="00C07E7D">
            <w:pPr>
              <w:jc w:val="right"/>
              <w:rPr>
                <w:rFonts w:ascii="CAIXA Std Book" w:eastAsia="Times New Roman" w:hAnsi="CAIXA Std Book" w:cs="Arial"/>
                <w:color w:val="005CA9"/>
                <w:sz w:val="18"/>
                <w:szCs w:val="18"/>
              </w:rPr>
            </w:pPr>
            <w:r w:rsidRPr="00326B86">
              <w:rPr>
                <w:rFonts w:ascii="CAIXA Std Book" w:hAnsi="CAIXA Std Book" w:cs="Arial"/>
                <w:color w:val="005CA9"/>
                <w:sz w:val="18"/>
                <w:szCs w:val="18"/>
              </w:rPr>
              <w:t>(96.127)</w:t>
            </w:r>
          </w:p>
        </w:tc>
      </w:tr>
      <w:tr w:rsidR="00B26C09" w:rsidRPr="00326B86" w14:paraId="1F90039C" w14:textId="77777777" w:rsidTr="004B0877">
        <w:trPr>
          <w:trHeight w:val="283"/>
        </w:trPr>
        <w:tc>
          <w:tcPr>
            <w:tcW w:w="2244" w:type="pct"/>
            <w:tcBorders>
              <w:top w:val="single" w:sz="4" w:space="0" w:color="F39200"/>
              <w:left w:val="nil"/>
              <w:bottom w:val="single" w:sz="4" w:space="0" w:color="F39200"/>
              <w:right w:val="nil"/>
            </w:tcBorders>
            <w:shd w:val="clear" w:color="auto" w:fill="auto"/>
            <w:noWrap/>
            <w:vAlign w:val="center"/>
            <w:hideMark/>
          </w:tcPr>
          <w:p w14:paraId="020E8C2E" w14:textId="77777777" w:rsidR="00C07E7D" w:rsidRPr="00326B86" w:rsidRDefault="00C07E7D" w:rsidP="00C07E7D">
            <w:pPr>
              <w:rPr>
                <w:rFonts w:ascii="CAIXA Std Book" w:eastAsia="Times New Roman" w:hAnsi="CAIXA Std Book" w:cs="Arial"/>
                <w:b/>
                <w:bCs/>
                <w:color w:val="005CA9"/>
                <w:sz w:val="18"/>
                <w:szCs w:val="18"/>
              </w:rPr>
            </w:pPr>
            <w:r w:rsidRPr="00326B86">
              <w:rPr>
                <w:rFonts w:ascii="CAIXA Std Book" w:eastAsia="Times New Roman" w:hAnsi="CAIXA Std Book" w:cs="Arial"/>
                <w:b/>
                <w:bCs/>
                <w:color w:val="005CA9"/>
                <w:sz w:val="18"/>
                <w:szCs w:val="18"/>
              </w:rPr>
              <w:t>Total</w:t>
            </w:r>
          </w:p>
        </w:tc>
        <w:tc>
          <w:tcPr>
            <w:tcW w:w="688" w:type="pct"/>
            <w:tcBorders>
              <w:top w:val="single" w:sz="4" w:space="0" w:color="F39200"/>
              <w:left w:val="nil"/>
              <w:bottom w:val="single" w:sz="4" w:space="0" w:color="F39200"/>
              <w:right w:val="nil"/>
            </w:tcBorders>
            <w:shd w:val="clear" w:color="auto" w:fill="auto"/>
            <w:noWrap/>
            <w:vAlign w:val="center"/>
          </w:tcPr>
          <w:p w14:paraId="0324728B" w14:textId="1B704D5C" w:rsidR="00C07E7D" w:rsidRPr="00326B86" w:rsidRDefault="005A7BE5" w:rsidP="005A7BE5">
            <w:pPr>
              <w:jc w:val="right"/>
              <w:rPr>
                <w:rFonts w:ascii="CAIXA Std Book" w:eastAsia="Times New Roman" w:hAnsi="CAIXA Std Book" w:cs="Arial"/>
                <w:b/>
                <w:bCs/>
                <w:color w:val="005CA9"/>
                <w:sz w:val="18"/>
                <w:szCs w:val="18"/>
              </w:rPr>
            </w:pPr>
            <w:r w:rsidRPr="00326B86">
              <w:rPr>
                <w:rFonts w:ascii="CAIXA Std Book" w:hAnsi="CAIXA Std Book" w:cs="Arial"/>
                <w:b/>
                <w:bCs/>
                <w:color w:val="005CA9"/>
                <w:sz w:val="18"/>
                <w:szCs w:val="18"/>
              </w:rPr>
              <w:t>(7.999.028)</w:t>
            </w:r>
          </w:p>
        </w:tc>
        <w:tc>
          <w:tcPr>
            <w:tcW w:w="690" w:type="pct"/>
            <w:tcBorders>
              <w:top w:val="single" w:sz="4" w:space="0" w:color="F39200"/>
              <w:left w:val="nil"/>
              <w:bottom w:val="single" w:sz="4" w:space="0" w:color="F39200"/>
              <w:right w:val="nil"/>
            </w:tcBorders>
            <w:shd w:val="clear" w:color="auto" w:fill="auto"/>
            <w:noWrap/>
            <w:vAlign w:val="center"/>
            <w:hideMark/>
          </w:tcPr>
          <w:p w14:paraId="284AE9F5" w14:textId="4D5C56CD" w:rsidR="00C07E7D" w:rsidRPr="00326B86" w:rsidRDefault="00C07E7D" w:rsidP="00C07E7D">
            <w:pPr>
              <w:jc w:val="right"/>
              <w:rPr>
                <w:rFonts w:ascii="CAIXA Std Book" w:eastAsia="Times New Roman" w:hAnsi="CAIXA Std Book" w:cs="Arial"/>
                <w:b/>
                <w:bCs/>
                <w:color w:val="005CA9"/>
                <w:sz w:val="18"/>
                <w:szCs w:val="18"/>
              </w:rPr>
            </w:pPr>
            <w:r w:rsidRPr="00326B86">
              <w:rPr>
                <w:rFonts w:ascii="CAIXA Std Book" w:hAnsi="CAIXA Std Book" w:cs="Arial"/>
                <w:b/>
                <w:bCs/>
                <w:color w:val="005CA9"/>
                <w:sz w:val="18"/>
                <w:szCs w:val="18"/>
              </w:rPr>
              <w:t>(6.762.677)</w:t>
            </w:r>
          </w:p>
        </w:tc>
        <w:tc>
          <w:tcPr>
            <w:tcW w:w="689" w:type="pct"/>
            <w:tcBorders>
              <w:top w:val="single" w:sz="4" w:space="0" w:color="F39200"/>
              <w:left w:val="nil"/>
              <w:bottom w:val="single" w:sz="4" w:space="0" w:color="F39200"/>
              <w:right w:val="nil"/>
            </w:tcBorders>
            <w:shd w:val="clear" w:color="auto" w:fill="auto"/>
            <w:noWrap/>
            <w:vAlign w:val="center"/>
          </w:tcPr>
          <w:p w14:paraId="5CFE33F7" w14:textId="1584A82B" w:rsidR="00C07E7D" w:rsidRPr="00326B86" w:rsidRDefault="007C40D3" w:rsidP="007C40D3">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(8.138.711)</w:t>
            </w:r>
          </w:p>
        </w:tc>
        <w:tc>
          <w:tcPr>
            <w:tcW w:w="689" w:type="pct"/>
            <w:tcBorders>
              <w:top w:val="single" w:sz="4" w:space="0" w:color="F39200"/>
              <w:left w:val="nil"/>
              <w:bottom w:val="single" w:sz="4" w:space="0" w:color="F39200"/>
              <w:right w:val="nil"/>
            </w:tcBorders>
            <w:shd w:val="clear" w:color="auto" w:fill="auto"/>
            <w:noWrap/>
            <w:vAlign w:val="center"/>
            <w:hideMark/>
          </w:tcPr>
          <w:p w14:paraId="1F1C665F" w14:textId="5E41BC93" w:rsidR="00C07E7D" w:rsidRPr="00326B86" w:rsidRDefault="00C07E7D" w:rsidP="00C07E7D">
            <w:pPr>
              <w:jc w:val="right"/>
              <w:rPr>
                <w:rFonts w:ascii="CAIXA Std Book" w:hAnsi="CAIXA Std Book" w:cs="Arial"/>
                <w:b/>
                <w:bCs/>
                <w:color w:val="005CA9"/>
                <w:sz w:val="18"/>
                <w:szCs w:val="18"/>
              </w:rPr>
            </w:pPr>
            <w:r w:rsidRPr="00326B86">
              <w:rPr>
                <w:rFonts w:ascii="CAIXA Std Book" w:hAnsi="CAIXA Std Book" w:cs="Arial"/>
                <w:b/>
                <w:bCs/>
                <w:color w:val="005CA9"/>
                <w:sz w:val="18"/>
                <w:szCs w:val="18"/>
              </w:rPr>
              <w:t>(6.880.106)</w:t>
            </w:r>
          </w:p>
        </w:tc>
      </w:tr>
    </w:tbl>
    <w:p w14:paraId="6D2201A8" w14:textId="77AFF626" w:rsidR="00BA7717" w:rsidRPr="000C3D53" w:rsidRDefault="00BA7717" w:rsidP="00895DA6">
      <w:pPr>
        <w:pStyle w:val="Default0"/>
        <w:ind w:right="-2"/>
        <w:jc w:val="both"/>
        <w:rPr>
          <w:rFonts w:ascii="CAIXA Std Book" w:hAnsi="CAIXA Std Book"/>
          <w:color w:val="005CA9"/>
          <w:sz w:val="16"/>
          <w:szCs w:val="16"/>
        </w:rPr>
      </w:pPr>
      <w:r w:rsidRPr="000C3D53">
        <w:rPr>
          <w:rFonts w:ascii="CAIXA Std Book" w:hAnsi="CAIXA Std Book"/>
          <w:color w:val="005CA9"/>
          <w:sz w:val="16"/>
          <w:szCs w:val="16"/>
        </w:rPr>
        <w:t>(1) Variação decorrente</w:t>
      </w:r>
      <w:r w:rsidR="006C3FDA" w:rsidRPr="000C3D53">
        <w:rPr>
          <w:rFonts w:ascii="CAIXA Std Book" w:hAnsi="CAIXA Std Book"/>
          <w:color w:val="005CA9"/>
          <w:sz w:val="16"/>
          <w:szCs w:val="16"/>
        </w:rPr>
        <w:t xml:space="preserve"> </w:t>
      </w:r>
      <w:r w:rsidR="00084E86" w:rsidRPr="000C3D53">
        <w:rPr>
          <w:rFonts w:ascii="CAIXA Std Book" w:hAnsi="CAIXA Std Book"/>
          <w:color w:val="005CA9"/>
          <w:sz w:val="16"/>
          <w:szCs w:val="16"/>
        </w:rPr>
        <w:t xml:space="preserve">do </w:t>
      </w:r>
      <w:r w:rsidR="00895DA6" w:rsidRPr="000C3D53">
        <w:rPr>
          <w:rFonts w:ascii="CAIXA Std Book" w:hAnsi="CAIXA Std Book"/>
          <w:color w:val="005CA9"/>
          <w:sz w:val="16"/>
          <w:szCs w:val="16"/>
        </w:rPr>
        <w:t xml:space="preserve">incremento de despesas com verbas indenizatórias e auxílios </w:t>
      </w:r>
      <w:r w:rsidR="006C3FDA" w:rsidRPr="000C3D53">
        <w:rPr>
          <w:rFonts w:ascii="CAIXA Std Book" w:hAnsi="CAIXA Std Book"/>
          <w:color w:val="005CA9"/>
          <w:sz w:val="16"/>
          <w:szCs w:val="16"/>
        </w:rPr>
        <w:t>do Programa de Desligamento Voluntário 2024</w:t>
      </w:r>
      <w:r w:rsidR="00F36A37" w:rsidRPr="000C3D53">
        <w:rPr>
          <w:rFonts w:ascii="CAIXA Std Book" w:hAnsi="CAIXA Std Book"/>
          <w:color w:val="005CA9"/>
          <w:sz w:val="16"/>
          <w:szCs w:val="16"/>
        </w:rPr>
        <w:t xml:space="preserve"> (Nota 35 (c)).</w:t>
      </w:r>
    </w:p>
    <w:p w14:paraId="78B2A587" w14:textId="12C365B8" w:rsidR="00814F49" w:rsidRPr="00FF4346" w:rsidRDefault="00814F49" w:rsidP="005A596E">
      <w:pPr>
        <w:pStyle w:val="Ttulo1"/>
      </w:pPr>
      <w:bookmarkStart w:id="119" w:name="_Toc166594501"/>
      <w:r w:rsidRPr="00FF4346">
        <w:lastRenderedPageBreak/>
        <w:t>Nota 26 – Outras despesas administrativas</w:t>
      </w:r>
      <w:bookmarkEnd w:id="119"/>
    </w:p>
    <w:tbl>
      <w:tblPr>
        <w:tblW w:w="5000" w:type="pct"/>
        <w:tblCellMar>
          <w:left w:w="70" w:type="dxa"/>
          <w:right w:w="70" w:type="dxa"/>
        </w:tblCellMar>
        <w:tblLook w:val="04A0" w:firstRow="1" w:lastRow="0" w:firstColumn="1" w:lastColumn="0" w:noHBand="0" w:noVBand="1"/>
      </w:tblPr>
      <w:tblGrid>
        <w:gridCol w:w="4378"/>
        <w:gridCol w:w="1315"/>
        <w:gridCol w:w="1316"/>
        <w:gridCol w:w="1314"/>
        <w:gridCol w:w="1314"/>
      </w:tblGrid>
      <w:tr w:rsidR="00291AB7" w:rsidRPr="00A33766" w14:paraId="0BF783D3" w14:textId="77777777" w:rsidTr="006D693C">
        <w:trPr>
          <w:trHeight w:val="283"/>
        </w:trPr>
        <w:tc>
          <w:tcPr>
            <w:tcW w:w="2271" w:type="pct"/>
            <w:vMerge w:val="restart"/>
            <w:tcBorders>
              <w:top w:val="single" w:sz="4" w:space="0" w:color="F79646"/>
              <w:left w:val="nil"/>
              <w:right w:val="nil"/>
            </w:tcBorders>
            <w:shd w:val="clear" w:color="auto" w:fill="auto"/>
            <w:noWrap/>
            <w:vAlign w:val="center"/>
            <w:hideMark/>
          </w:tcPr>
          <w:p w14:paraId="1F652176" w14:textId="77777777" w:rsidR="00291AB7" w:rsidRPr="00FF4346" w:rsidRDefault="00291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65" w:type="pct"/>
            <w:gridSpan w:val="2"/>
            <w:tcBorders>
              <w:top w:val="single" w:sz="4" w:space="0" w:color="F79646"/>
              <w:left w:val="nil"/>
              <w:bottom w:val="single" w:sz="4" w:space="0" w:color="F79646"/>
              <w:right w:val="nil"/>
            </w:tcBorders>
            <w:shd w:val="clear" w:color="auto" w:fill="auto"/>
            <w:noWrap/>
            <w:vAlign w:val="center"/>
            <w:hideMark/>
          </w:tcPr>
          <w:p w14:paraId="05C17095" w14:textId="77777777" w:rsidR="00291AB7" w:rsidRPr="00FF4346" w:rsidRDefault="00291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363" w:type="pct"/>
            <w:gridSpan w:val="2"/>
            <w:tcBorders>
              <w:top w:val="single" w:sz="4" w:space="0" w:color="F79646"/>
              <w:left w:val="nil"/>
              <w:bottom w:val="single" w:sz="4" w:space="0" w:color="F79646"/>
              <w:right w:val="nil"/>
            </w:tcBorders>
            <w:shd w:val="clear" w:color="auto" w:fill="auto"/>
            <w:noWrap/>
            <w:vAlign w:val="center"/>
            <w:hideMark/>
          </w:tcPr>
          <w:p w14:paraId="6908A6E5" w14:textId="77777777" w:rsidR="00291AB7" w:rsidRPr="00FF4346" w:rsidRDefault="00291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512AB7" w:rsidRPr="00A33766" w14:paraId="66287044" w14:textId="77777777" w:rsidTr="006D693C">
        <w:trPr>
          <w:trHeight w:val="283"/>
        </w:trPr>
        <w:tc>
          <w:tcPr>
            <w:tcW w:w="2271" w:type="pct"/>
            <w:vMerge/>
            <w:tcBorders>
              <w:left w:val="nil"/>
              <w:right w:val="nil"/>
            </w:tcBorders>
            <w:shd w:val="clear" w:color="auto" w:fill="auto"/>
            <w:vAlign w:val="center"/>
            <w:hideMark/>
          </w:tcPr>
          <w:p w14:paraId="3188E6F5" w14:textId="77777777" w:rsidR="00512AB7" w:rsidRPr="00FF4346" w:rsidRDefault="00512AB7" w:rsidP="00512AB7">
            <w:pPr>
              <w:jc w:val="center"/>
              <w:rPr>
                <w:rFonts w:ascii="CAIXA Std Book" w:eastAsia="Times New Roman" w:hAnsi="CAIXA Std Book" w:cs="Arial"/>
                <w:b/>
                <w:bCs/>
                <w:color w:val="005CA9"/>
                <w:sz w:val="18"/>
                <w:szCs w:val="18"/>
              </w:rPr>
            </w:pPr>
          </w:p>
        </w:tc>
        <w:tc>
          <w:tcPr>
            <w:tcW w:w="682" w:type="pct"/>
            <w:tcBorders>
              <w:top w:val="nil"/>
              <w:left w:val="nil"/>
              <w:bottom w:val="single" w:sz="4" w:space="0" w:color="F79646"/>
              <w:right w:val="nil"/>
            </w:tcBorders>
            <w:shd w:val="clear" w:color="auto" w:fill="auto"/>
            <w:vAlign w:val="center"/>
            <w:hideMark/>
          </w:tcPr>
          <w:p w14:paraId="6C110C69" w14:textId="68045EB9"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2024</w:t>
            </w:r>
          </w:p>
        </w:tc>
        <w:tc>
          <w:tcPr>
            <w:tcW w:w="683" w:type="pct"/>
            <w:tcBorders>
              <w:top w:val="nil"/>
              <w:left w:val="nil"/>
              <w:bottom w:val="single" w:sz="4" w:space="0" w:color="F79646"/>
              <w:right w:val="nil"/>
            </w:tcBorders>
            <w:shd w:val="clear" w:color="auto" w:fill="auto"/>
            <w:vAlign w:val="center"/>
            <w:hideMark/>
          </w:tcPr>
          <w:p w14:paraId="6515F5F4" w14:textId="23865FFA"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2023</w:t>
            </w:r>
          </w:p>
        </w:tc>
        <w:tc>
          <w:tcPr>
            <w:tcW w:w="682" w:type="pct"/>
            <w:tcBorders>
              <w:top w:val="nil"/>
              <w:left w:val="nil"/>
              <w:bottom w:val="single" w:sz="4" w:space="0" w:color="F79646"/>
              <w:right w:val="nil"/>
            </w:tcBorders>
            <w:shd w:val="clear" w:color="auto" w:fill="auto"/>
            <w:vAlign w:val="center"/>
            <w:hideMark/>
          </w:tcPr>
          <w:p w14:paraId="16897B5E" w14:textId="073DBE58"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2024</w:t>
            </w:r>
          </w:p>
        </w:tc>
        <w:tc>
          <w:tcPr>
            <w:tcW w:w="682" w:type="pct"/>
            <w:tcBorders>
              <w:top w:val="nil"/>
              <w:left w:val="nil"/>
              <w:bottom w:val="single" w:sz="4" w:space="0" w:color="F79646"/>
              <w:right w:val="nil"/>
            </w:tcBorders>
            <w:shd w:val="clear" w:color="auto" w:fill="auto"/>
            <w:vAlign w:val="center"/>
            <w:hideMark/>
          </w:tcPr>
          <w:p w14:paraId="334E83F0" w14:textId="19A00B78"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2023</w:t>
            </w:r>
          </w:p>
        </w:tc>
      </w:tr>
      <w:tr w:rsidR="00512AB7" w:rsidRPr="00A33766" w14:paraId="004AEA38" w14:textId="77777777" w:rsidTr="006D693C">
        <w:trPr>
          <w:trHeight w:val="283"/>
        </w:trPr>
        <w:tc>
          <w:tcPr>
            <w:tcW w:w="2271" w:type="pct"/>
            <w:vMerge/>
            <w:tcBorders>
              <w:left w:val="nil"/>
              <w:bottom w:val="single" w:sz="4" w:space="0" w:color="F39200"/>
              <w:right w:val="nil"/>
            </w:tcBorders>
            <w:vAlign w:val="center"/>
            <w:hideMark/>
          </w:tcPr>
          <w:p w14:paraId="3867D7FD" w14:textId="77777777" w:rsidR="00512AB7" w:rsidRPr="00FF4346" w:rsidRDefault="00512AB7" w:rsidP="00512AB7">
            <w:pPr>
              <w:jc w:val="center"/>
              <w:rPr>
                <w:rFonts w:ascii="CAIXA Std Book" w:eastAsia="Times New Roman" w:hAnsi="CAIXA Std Book" w:cs="Arial"/>
                <w:b/>
                <w:bCs/>
                <w:color w:val="005CA9"/>
                <w:sz w:val="18"/>
                <w:szCs w:val="18"/>
              </w:rPr>
            </w:pPr>
          </w:p>
        </w:tc>
        <w:tc>
          <w:tcPr>
            <w:tcW w:w="682" w:type="pct"/>
            <w:tcBorders>
              <w:top w:val="nil"/>
              <w:left w:val="nil"/>
              <w:bottom w:val="single" w:sz="4" w:space="0" w:color="F39200"/>
              <w:right w:val="nil"/>
            </w:tcBorders>
            <w:shd w:val="clear" w:color="auto" w:fill="auto"/>
            <w:vAlign w:val="center"/>
            <w:hideMark/>
          </w:tcPr>
          <w:p w14:paraId="02D5E559" w14:textId="77777777"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3" w:type="pct"/>
            <w:tcBorders>
              <w:top w:val="nil"/>
              <w:left w:val="nil"/>
              <w:bottom w:val="single" w:sz="4" w:space="0" w:color="F39200"/>
              <w:right w:val="nil"/>
            </w:tcBorders>
            <w:shd w:val="clear" w:color="auto" w:fill="auto"/>
            <w:vAlign w:val="center"/>
            <w:hideMark/>
          </w:tcPr>
          <w:p w14:paraId="62CC320A" w14:textId="6CA91ACF"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2" w:type="pct"/>
            <w:tcBorders>
              <w:top w:val="nil"/>
              <w:left w:val="nil"/>
              <w:bottom w:val="single" w:sz="4" w:space="0" w:color="F39200"/>
              <w:right w:val="nil"/>
            </w:tcBorders>
            <w:shd w:val="clear" w:color="auto" w:fill="auto"/>
            <w:vAlign w:val="center"/>
            <w:hideMark/>
          </w:tcPr>
          <w:p w14:paraId="4EA89801" w14:textId="77777777"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2" w:type="pct"/>
            <w:tcBorders>
              <w:top w:val="nil"/>
              <w:left w:val="nil"/>
              <w:bottom w:val="single" w:sz="4" w:space="0" w:color="F39200"/>
              <w:right w:val="nil"/>
            </w:tcBorders>
            <w:shd w:val="clear" w:color="auto" w:fill="auto"/>
            <w:vAlign w:val="center"/>
            <w:hideMark/>
          </w:tcPr>
          <w:p w14:paraId="34DC3E33" w14:textId="7F94D318" w:rsidR="00512AB7" w:rsidRPr="00FF4346" w:rsidRDefault="00512AB7" w:rsidP="00512AB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r>
      <w:tr w:rsidR="00481B77" w:rsidRPr="00A33766" w14:paraId="0180C632" w14:textId="77777777" w:rsidTr="006D693C">
        <w:trPr>
          <w:trHeight w:val="283"/>
        </w:trPr>
        <w:tc>
          <w:tcPr>
            <w:tcW w:w="2271" w:type="pct"/>
            <w:tcBorders>
              <w:top w:val="nil"/>
              <w:left w:val="nil"/>
              <w:bottom w:val="nil"/>
              <w:right w:val="nil"/>
            </w:tcBorders>
            <w:shd w:val="clear" w:color="auto" w:fill="auto"/>
            <w:vAlign w:val="center"/>
          </w:tcPr>
          <w:p w14:paraId="550828F4" w14:textId="13F1764A" w:rsidR="00481B77" w:rsidRPr="00FF4346" w:rsidRDefault="00481B77" w:rsidP="00481B77">
            <w:pPr>
              <w:rPr>
                <w:rFonts w:ascii="CAIXA Std Book" w:eastAsia="Times New Roman" w:hAnsi="CAIXA Std Book" w:cs="Arial"/>
                <w:color w:val="005CA9"/>
                <w:sz w:val="18"/>
                <w:szCs w:val="18"/>
              </w:rPr>
            </w:pPr>
            <w:proofErr w:type="gramStart"/>
            <w:r w:rsidRPr="00FF4346">
              <w:rPr>
                <w:rFonts w:ascii="CAIXA Std Book" w:eastAsia="Times New Roman" w:hAnsi="CAIXA Std Book" w:cs="Arial"/>
                <w:color w:val="005CA9"/>
                <w:sz w:val="18"/>
                <w:szCs w:val="18"/>
              </w:rPr>
              <w:t>Alugueis</w:t>
            </w:r>
            <w:proofErr w:type="gramEnd"/>
            <w:r w:rsidRPr="00FF4346">
              <w:rPr>
                <w:rFonts w:ascii="CAIXA Std Book" w:eastAsia="Times New Roman" w:hAnsi="CAIXA Std Book" w:cs="Arial"/>
                <w:color w:val="005CA9"/>
                <w:sz w:val="18"/>
                <w:szCs w:val="18"/>
              </w:rPr>
              <w:t xml:space="preserve"> e arrendamento de bens</w:t>
            </w:r>
          </w:p>
        </w:tc>
        <w:tc>
          <w:tcPr>
            <w:tcW w:w="682" w:type="pct"/>
            <w:tcBorders>
              <w:top w:val="nil"/>
              <w:left w:val="nil"/>
              <w:bottom w:val="nil"/>
              <w:right w:val="nil"/>
            </w:tcBorders>
            <w:shd w:val="clear" w:color="auto" w:fill="auto"/>
            <w:vAlign w:val="center"/>
          </w:tcPr>
          <w:p w14:paraId="351804D7" w14:textId="1AA0D062"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(513.923)</w:t>
            </w:r>
          </w:p>
        </w:tc>
        <w:tc>
          <w:tcPr>
            <w:tcW w:w="683" w:type="pct"/>
            <w:tcBorders>
              <w:top w:val="nil"/>
              <w:left w:val="nil"/>
              <w:bottom w:val="nil"/>
              <w:right w:val="nil"/>
            </w:tcBorders>
            <w:shd w:val="clear" w:color="auto" w:fill="auto"/>
            <w:vAlign w:val="center"/>
          </w:tcPr>
          <w:p w14:paraId="757E790E" w14:textId="3163DDD3"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(579.437)</w:t>
            </w:r>
          </w:p>
        </w:tc>
        <w:tc>
          <w:tcPr>
            <w:tcW w:w="682" w:type="pct"/>
            <w:tcBorders>
              <w:top w:val="nil"/>
              <w:left w:val="nil"/>
              <w:bottom w:val="nil"/>
              <w:right w:val="nil"/>
            </w:tcBorders>
            <w:shd w:val="clear" w:color="auto" w:fill="auto"/>
            <w:vAlign w:val="center"/>
          </w:tcPr>
          <w:p w14:paraId="0FF6FCD5" w14:textId="585CA2DB"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(513.923)</w:t>
            </w:r>
          </w:p>
        </w:tc>
        <w:tc>
          <w:tcPr>
            <w:tcW w:w="682" w:type="pct"/>
            <w:tcBorders>
              <w:top w:val="nil"/>
              <w:left w:val="nil"/>
              <w:bottom w:val="nil"/>
              <w:right w:val="nil"/>
            </w:tcBorders>
            <w:shd w:val="clear" w:color="auto" w:fill="auto"/>
            <w:vAlign w:val="center"/>
          </w:tcPr>
          <w:p w14:paraId="114E3CD7" w14:textId="6FDC3532"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(580.019)</w:t>
            </w:r>
          </w:p>
        </w:tc>
      </w:tr>
      <w:tr w:rsidR="00481B77" w:rsidRPr="00A33766" w14:paraId="2A531613" w14:textId="77777777" w:rsidTr="006D693C">
        <w:trPr>
          <w:trHeight w:val="283"/>
        </w:trPr>
        <w:tc>
          <w:tcPr>
            <w:tcW w:w="2271" w:type="pct"/>
            <w:tcBorders>
              <w:top w:val="nil"/>
              <w:left w:val="nil"/>
              <w:bottom w:val="nil"/>
              <w:right w:val="nil"/>
            </w:tcBorders>
            <w:shd w:val="clear" w:color="auto" w:fill="auto"/>
            <w:vAlign w:val="center"/>
          </w:tcPr>
          <w:p w14:paraId="12343EF4" w14:textId="1CECE6D1"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Processamento de dados</w:t>
            </w:r>
          </w:p>
        </w:tc>
        <w:tc>
          <w:tcPr>
            <w:tcW w:w="682" w:type="pct"/>
            <w:tcBorders>
              <w:top w:val="nil"/>
              <w:left w:val="nil"/>
              <w:bottom w:val="nil"/>
              <w:right w:val="nil"/>
            </w:tcBorders>
            <w:shd w:val="clear" w:color="auto" w:fill="auto"/>
            <w:vAlign w:val="center"/>
          </w:tcPr>
          <w:p w14:paraId="795FC29F" w14:textId="672AAC0A"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(472.656)</w:t>
            </w:r>
          </w:p>
        </w:tc>
        <w:tc>
          <w:tcPr>
            <w:tcW w:w="683" w:type="pct"/>
            <w:tcBorders>
              <w:top w:val="nil"/>
              <w:left w:val="nil"/>
              <w:bottom w:val="nil"/>
              <w:right w:val="nil"/>
            </w:tcBorders>
            <w:shd w:val="clear" w:color="auto" w:fill="auto"/>
            <w:vAlign w:val="center"/>
          </w:tcPr>
          <w:p w14:paraId="69BA3F80" w14:textId="5F41A83D"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(595.979)</w:t>
            </w:r>
          </w:p>
        </w:tc>
        <w:tc>
          <w:tcPr>
            <w:tcW w:w="682" w:type="pct"/>
            <w:tcBorders>
              <w:top w:val="nil"/>
              <w:left w:val="nil"/>
              <w:bottom w:val="nil"/>
              <w:right w:val="nil"/>
            </w:tcBorders>
            <w:shd w:val="clear" w:color="auto" w:fill="auto"/>
            <w:vAlign w:val="center"/>
          </w:tcPr>
          <w:p w14:paraId="29230784" w14:textId="69E52823"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(476.351)</w:t>
            </w:r>
          </w:p>
        </w:tc>
        <w:tc>
          <w:tcPr>
            <w:tcW w:w="682" w:type="pct"/>
            <w:tcBorders>
              <w:top w:val="nil"/>
              <w:left w:val="nil"/>
              <w:bottom w:val="nil"/>
              <w:right w:val="nil"/>
            </w:tcBorders>
            <w:shd w:val="clear" w:color="auto" w:fill="auto"/>
            <w:vAlign w:val="center"/>
          </w:tcPr>
          <w:p w14:paraId="3FE409A7" w14:textId="387B8A08"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(601.333)</w:t>
            </w:r>
          </w:p>
        </w:tc>
      </w:tr>
      <w:tr w:rsidR="00481B77" w:rsidRPr="00A33766" w14:paraId="3C6152F0" w14:textId="77777777" w:rsidTr="006D693C">
        <w:trPr>
          <w:trHeight w:val="283"/>
        </w:trPr>
        <w:tc>
          <w:tcPr>
            <w:tcW w:w="2271" w:type="pct"/>
            <w:tcBorders>
              <w:top w:val="nil"/>
              <w:left w:val="nil"/>
              <w:bottom w:val="nil"/>
              <w:right w:val="nil"/>
            </w:tcBorders>
            <w:shd w:val="clear" w:color="auto" w:fill="auto"/>
            <w:vAlign w:val="center"/>
          </w:tcPr>
          <w:p w14:paraId="44402795" w14:textId="426CC363"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Amortização / </w:t>
            </w:r>
            <w:r w:rsidRPr="00FF4346">
              <w:rPr>
                <w:rFonts w:ascii="CAIXA Std Book" w:eastAsia="Times New Roman" w:hAnsi="CAIXA Std Book" w:cs="Arial"/>
                <w:i/>
                <w:iCs/>
                <w:color w:val="005CA9"/>
                <w:sz w:val="18"/>
                <w:szCs w:val="18"/>
              </w:rPr>
              <w:t>Impairment</w:t>
            </w:r>
          </w:p>
        </w:tc>
        <w:tc>
          <w:tcPr>
            <w:tcW w:w="682" w:type="pct"/>
            <w:tcBorders>
              <w:top w:val="nil"/>
              <w:left w:val="nil"/>
              <w:bottom w:val="nil"/>
              <w:right w:val="nil"/>
            </w:tcBorders>
            <w:shd w:val="clear" w:color="auto" w:fill="auto"/>
            <w:vAlign w:val="center"/>
          </w:tcPr>
          <w:p w14:paraId="6C3B5A8A" w14:textId="51B27475"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(372.949)</w:t>
            </w:r>
          </w:p>
        </w:tc>
        <w:tc>
          <w:tcPr>
            <w:tcW w:w="683" w:type="pct"/>
            <w:tcBorders>
              <w:top w:val="nil"/>
              <w:left w:val="nil"/>
              <w:bottom w:val="nil"/>
              <w:right w:val="nil"/>
            </w:tcBorders>
            <w:shd w:val="clear" w:color="auto" w:fill="auto"/>
            <w:vAlign w:val="center"/>
          </w:tcPr>
          <w:p w14:paraId="3C0D5C84" w14:textId="74E01C06"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(251.922)</w:t>
            </w:r>
          </w:p>
        </w:tc>
        <w:tc>
          <w:tcPr>
            <w:tcW w:w="682" w:type="pct"/>
            <w:tcBorders>
              <w:top w:val="nil"/>
              <w:left w:val="nil"/>
              <w:bottom w:val="nil"/>
              <w:right w:val="nil"/>
            </w:tcBorders>
            <w:shd w:val="clear" w:color="auto" w:fill="auto"/>
            <w:vAlign w:val="center"/>
          </w:tcPr>
          <w:p w14:paraId="67A2FB82" w14:textId="6784FA3E"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(372.949)</w:t>
            </w:r>
          </w:p>
        </w:tc>
        <w:tc>
          <w:tcPr>
            <w:tcW w:w="682" w:type="pct"/>
            <w:tcBorders>
              <w:top w:val="nil"/>
              <w:left w:val="nil"/>
              <w:bottom w:val="nil"/>
              <w:right w:val="nil"/>
            </w:tcBorders>
            <w:shd w:val="clear" w:color="auto" w:fill="auto"/>
            <w:vAlign w:val="center"/>
          </w:tcPr>
          <w:p w14:paraId="729795F8" w14:textId="004881BF"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(251.922)</w:t>
            </w:r>
          </w:p>
        </w:tc>
      </w:tr>
      <w:tr w:rsidR="00481B77" w:rsidRPr="00A33766" w14:paraId="1FA7F555" w14:textId="77777777" w:rsidTr="006D693C">
        <w:trPr>
          <w:trHeight w:val="283"/>
        </w:trPr>
        <w:tc>
          <w:tcPr>
            <w:tcW w:w="2271" w:type="pct"/>
            <w:tcBorders>
              <w:top w:val="nil"/>
              <w:left w:val="nil"/>
              <w:bottom w:val="nil"/>
              <w:right w:val="nil"/>
            </w:tcBorders>
            <w:shd w:val="clear" w:color="auto" w:fill="auto"/>
            <w:vAlign w:val="center"/>
            <w:hideMark/>
          </w:tcPr>
          <w:p w14:paraId="7CB7A729"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Serviços de terceiros</w:t>
            </w:r>
          </w:p>
        </w:tc>
        <w:tc>
          <w:tcPr>
            <w:tcW w:w="682" w:type="pct"/>
            <w:tcBorders>
              <w:top w:val="nil"/>
              <w:left w:val="nil"/>
              <w:bottom w:val="nil"/>
              <w:right w:val="nil"/>
            </w:tcBorders>
            <w:shd w:val="clear" w:color="auto" w:fill="auto"/>
            <w:vAlign w:val="center"/>
          </w:tcPr>
          <w:p w14:paraId="2C94D844" w14:textId="3A0CEAB1"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(253.020)</w:t>
            </w:r>
          </w:p>
        </w:tc>
        <w:tc>
          <w:tcPr>
            <w:tcW w:w="683" w:type="pct"/>
            <w:tcBorders>
              <w:top w:val="nil"/>
              <w:left w:val="nil"/>
              <w:bottom w:val="nil"/>
              <w:right w:val="nil"/>
            </w:tcBorders>
            <w:shd w:val="clear" w:color="auto" w:fill="auto"/>
            <w:vAlign w:val="center"/>
            <w:hideMark/>
          </w:tcPr>
          <w:p w14:paraId="653972A8" w14:textId="54A019A6"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(221.943)</w:t>
            </w:r>
          </w:p>
        </w:tc>
        <w:tc>
          <w:tcPr>
            <w:tcW w:w="682" w:type="pct"/>
            <w:tcBorders>
              <w:top w:val="nil"/>
              <w:left w:val="nil"/>
              <w:bottom w:val="nil"/>
              <w:right w:val="nil"/>
            </w:tcBorders>
            <w:shd w:val="clear" w:color="auto" w:fill="auto"/>
            <w:vAlign w:val="center"/>
          </w:tcPr>
          <w:p w14:paraId="67F07B95" w14:textId="047745E4"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(253.020)</w:t>
            </w:r>
          </w:p>
        </w:tc>
        <w:tc>
          <w:tcPr>
            <w:tcW w:w="682" w:type="pct"/>
            <w:tcBorders>
              <w:top w:val="nil"/>
              <w:left w:val="nil"/>
              <w:bottom w:val="nil"/>
              <w:right w:val="nil"/>
            </w:tcBorders>
            <w:shd w:val="clear" w:color="auto" w:fill="auto"/>
            <w:vAlign w:val="center"/>
            <w:hideMark/>
          </w:tcPr>
          <w:p w14:paraId="0FC1FA31" w14:textId="10C829A8"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(222.035)</w:t>
            </w:r>
          </w:p>
        </w:tc>
      </w:tr>
      <w:tr w:rsidR="00481B77" w:rsidRPr="00A33766" w14:paraId="6369874F" w14:textId="77777777" w:rsidTr="006D693C">
        <w:trPr>
          <w:trHeight w:val="283"/>
        </w:trPr>
        <w:tc>
          <w:tcPr>
            <w:tcW w:w="2271" w:type="pct"/>
            <w:tcBorders>
              <w:top w:val="nil"/>
              <w:left w:val="nil"/>
              <w:bottom w:val="nil"/>
              <w:right w:val="nil"/>
            </w:tcBorders>
            <w:shd w:val="clear" w:color="auto" w:fill="auto"/>
            <w:vAlign w:val="center"/>
          </w:tcPr>
          <w:p w14:paraId="37FA9E83" w14:textId="6F4B2C4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Manutenção e conservação de bens</w:t>
            </w:r>
          </w:p>
        </w:tc>
        <w:tc>
          <w:tcPr>
            <w:tcW w:w="682" w:type="pct"/>
            <w:tcBorders>
              <w:top w:val="nil"/>
              <w:left w:val="nil"/>
              <w:bottom w:val="nil"/>
              <w:right w:val="nil"/>
            </w:tcBorders>
            <w:shd w:val="clear" w:color="auto" w:fill="auto"/>
            <w:vAlign w:val="center"/>
          </w:tcPr>
          <w:p w14:paraId="249FE3D4" w14:textId="7A759755"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(252.986)</w:t>
            </w:r>
          </w:p>
        </w:tc>
        <w:tc>
          <w:tcPr>
            <w:tcW w:w="683" w:type="pct"/>
            <w:tcBorders>
              <w:top w:val="nil"/>
              <w:left w:val="nil"/>
              <w:bottom w:val="nil"/>
              <w:right w:val="nil"/>
            </w:tcBorders>
            <w:shd w:val="clear" w:color="auto" w:fill="auto"/>
            <w:vAlign w:val="center"/>
          </w:tcPr>
          <w:p w14:paraId="24F4067F" w14:textId="1D04DEBB"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(273.655)</w:t>
            </w:r>
          </w:p>
        </w:tc>
        <w:tc>
          <w:tcPr>
            <w:tcW w:w="682" w:type="pct"/>
            <w:tcBorders>
              <w:top w:val="nil"/>
              <w:left w:val="nil"/>
              <w:bottom w:val="nil"/>
              <w:right w:val="nil"/>
            </w:tcBorders>
            <w:shd w:val="clear" w:color="auto" w:fill="auto"/>
            <w:vAlign w:val="center"/>
          </w:tcPr>
          <w:p w14:paraId="40A9FEBE" w14:textId="64D3348C"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(252.986)</w:t>
            </w:r>
          </w:p>
        </w:tc>
        <w:tc>
          <w:tcPr>
            <w:tcW w:w="682" w:type="pct"/>
            <w:tcBorders>
              <w:top w:val="nil"/>
              <w:left w:val="nil"/>
              <w:bottom w:val="nil"/>
              <w:right w:val="nil"/>
            </w:tcBorders>
            <w:shd w:val="clear" w:color="auto" w:fill="auto"/>
            <w:vAlign w:val="center"/>
          </w:tcPr>
          <w:p w14:paraId="549E993C" w14:textId="277A6E0B"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(273.881)</w:t>
            </w:r>
          </w:p>
        </w:tc>
      </w:tr>
      <w:tr w:rsidR="00481B77" w:rsidRPr="00A33766" w14:paraId="05E945C4" w14:textId="77777777" w:rsidTr="006D693C">
        <w:trPr>
          <w:trHeight w:val="283"/>
        </w:trPr>
        <w:tc>
          <w:tcPr>
            <w:tcW w:w="2271" w:type="pct"/>
            <w:tcBorders>
              <w:top w:val="nil"/>
              <w:left w:val="nil"/>
              <w:bottom w:val="nil"/>
              <w:right w:val="nil"/>
            </w:tcBorders>
            <w:shd w:val="clear" w:color="auto" w:fill="auto"/>
            <w:noWrap/>
            <w:vAlign w:val="center"/>
            <w:hideMark/>
          </w:tcPr>
          <w:p w14:paraId="097B74F4"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Serviços de vigilância e segurança</w:t>
            </w:r>
          </w:p>
        </w:tc>
        <w:tc>
          <w:tcPr>
            <w:tcW w:w="682" w:type="pct"/>
            <w:tcBorders>
              <w:top w:val="nil"/>
              <w:left w:val="nil"/>
              <w:bottom w:val="nil"/>
              <w:right w:val="nil"/>
            </w:tcBorders>
            <w:shd w:val="clear" w:color="auto" w:fill="auto"/>
            <w:vAlign w:val="center"/>
          </w:tcPr>
          <w:p w14:paraId="60427B85" w14:textId="61D07DCA"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(234.024)</w:t>
            </w:r>
          </w:p>
        </w:tc>
        <w:tc>
          <w:tcPr>
            <w:tcW w:w="683" w:type="pct"/>
            <w:tcBorders>
              <w:top w:val="nil"/>
              <w:left w:val="nil"/>
              <w:bottom w:val="nil"/>
              <w:right w:val="nil"/>
            </w:tcBorders>
            <w:shd w:val="clear" w:color="auto" w:fill="auto"/>
            <w:vAlign w:val="center"/>
            <w:hideMark/>
          </w:tcPr>
          <w:p w14:paraId="71899712" w14:textId="5EE17536"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(161.096)</w:t>
            </w:r>
          </w:p>
        </w:tc>
        <w:tc>
          <w:tcPr>
            <w:tcW w:w="682" w:type="pct"/>
            <w:tcBorders>
              <w:top w:val="nil"/>
              <w:left w:val="nil"/>
              <w:bottom w:val="nil"/>
              <w:right w:val="nil"/>
            </w:tcBorders>
            <w:shd w:val="clear" w:color="auto" w:fill="auto"/>
            <w:vAlign w:val="center"/>
          </w:tcPr>
          <w:p w14:paraId="4675941C" w14:textId="5E238F8E"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(234.024)</w:t>
            </w:r>
          </w:p>
        </w:tc>
        <w:tc>
          <w:tcPr>
            <w:tcW w:w="682" w:type="pct"/>
            <w:tcBorders>
              <w:top w:val="nil"/>
              <w:left w:val="nil"/>
              <w:bottom w:val="nil"/>
              <w:right w:val="nil"/>
            </w:tcBorders>
            <w:shd w:val="clear" w:color="auto" w:fill="auto"/>
            <w:vAlign w:val="center"/>
            <w:hideMark/>
          </w:tcPr>
          <w:p w14:paraId="27BFD8B4" w14:textId="22A3D17C"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(161.158)</w:t>
            </w:r>
          </w:p>
        </w:tc>
      </w:tr>
      <w:tr w:rsidR="00481B77" w:rsidRPr="00A33766" w14:paraId="4D7785CE" w14:textId="77777777" w:rsidTr="006D693C">
        <w:trPr>
          <w:trHeight w:val="283"/>
        </w:trPr>
        <w:tc>
          <w:tcPr>
            <w:tcW w:w="2271" w:type="pct"/>
            <w:tcBorders>
              <w:top w:val="nil"/>
              <w:left w:val="nil"/>
              <w:bottom w:val="nil"/>
              <w:right w:val="nil"/>
            </w:tcBorders>
            <w:shd w:val="clear" w:color="auto" w:fill="auto"/>
            <w:vAlign w:val="center"/>
            <w:hideMark/>
          </w:tcPr>
          <w:p w14:paraId="6126118B"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 xml:space="preserve">Depreciação / </w:t>
            </w:r>
            <w:r w:rsidRPr="00FF4346">
              <w:rPr>
                <w:rFonts w:ascii="CAIXA Std Book" w:eastAsia="Times New Roman" w:hAnsi="CAIXA Std Book" w:cs="Arial"/>
                <w:i/>
                <w:iCs/>
                <w:color w:val="005CA9"/>
                <w:sz w:val="18"/>
                <w:szCs w:val="18"/>
              </w:rPr>
              <w:t>Impairment</w:t>
            </w:r>
          </w:p>
        </w:tc>
        <w:tc>
          <w:tcPr>
            <w:tcW w:w="682" w:type="pct"/>
            <w:tcBorders>
              <w:top w:val="nil"/>
              <w:left w:val="nil"/>
              <w:bottom w:val="nil"/>
              <w:right w:val="nil"/>
            </w:tcBorders>
            <w:shd w:val="clear" w:color="auto" w:fill="auto"/>
            <w:vAlign w:val="center"/>
          </w:tcPr>
          <w:p w14:paraId="0C7BFB2F" w14:textId="66E3DD5B"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(237.362)</w:t>
            </w:r>
          </w:p>
        </w:tc>
        <w:tc>
          <w:tcPr>
            <w:tcW w:w="683" w:type="pct"/>
            <w:tcBorders>
              <w:top w:val="nil"/>
              <w:left w:val="nil"/>
              <w:bottom w:val="nil"/>
              <w:right w:val="nil"/>
            </w:tcBorders>
            <w:shd w:val="clear" w:color="auto" w:fill="auto"/>
            <w:vAlign w:val="center"/>
            <w:hideMark/>
          </w:tcPr>
          <w:p w14:paraId="0B5FECF4" w14:textId="0A5A8B30"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(226.302)</w:t>
            </w:r>
          </w:p>
        </w:tc>
        <w:tc>
          <w:tcPr>
            <w:tcW w:w="682" w:type="pct"/>
            <w:tcBorders>
              <w:top w:val="nil"/>
              <w:left w:val="nil"/>
              <w:bottom w:val="nil"/>
              <w:right w:val="nil"/>
            </w:tcBorders>
            <w:shd w:val="clear" w:color="auto" w:fill="auto"/>
            <w:vAlign w:val="center"/>
          </w:tcPr>
          <w:p w14:paraId="7A120CED" w14:textId="4D3001B6"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(237.376)</w:t>
            </w:r>
          </w:p>
        </w:tc>
        <w:tc>
          <w:tcPr>
            <w:tcW w:w="682" w:type="pct"/>
            <w:tcBorders>
              <w:top w:val="nil"/>
              <w:left w:val="nil"/>
              <w:bottom w:val="nil"/>
              <w:right w:val="nil"/>
            </w:tcBorders>
            <w:shd w:val="clear" w:color="auto" w:fill="auto"/>
            <w:vAlign w:val="center"/>
            <w:hideMark/>
          </w:tcPr>
          <w:p w14:paraId="2186DA75" w14:textId="30FCBA9B"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(226.305)</w:t>
            </w:r>
          </w:p>
        </w:tc>
      </w:tr>
      <w:tr w:rsidR="00481B77" w:rsidRPr="00A33766" w14:paraId="5452B727" w14:textId="77777777" w:rsidTr="006D693C">
        <w:trPr>
          <w:trHeight w:val="283"/>
        </w:trPr>
        <w:tc>
          <w:tcPr>
            <w:tcW w:w="2271" w:type="pct"/>
            <w:tcBorders>
              <w:top w:val="nil"/>
              <w:left w:val="nil"/>
              <w:bottom w:val="nil"/>
              <w:right w:val="nil"/>
            </w:tcBorders>
            <w:shd w:val="clear" w:color="auto" w:fill="auto"/>
            <w:vAlign w:val="center"/>
          </w:tcPr>
          <w:p w14:paraId="7D551EBA" w14:textId="5CEC527A"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Serviços especializados</w:t>
            </w:r>
          </w:p>
        </w:tc>
        <w:tc>
          <w:tcPr>
            <w:tcW w:w="682" w:type="pct"/>
            <w:tcBorders>
              <w:top w:val="nil"/>
              <w:left w:val="nil"/>
              <w:bottom w:val="nil"/>
              <w:right w:val="nil"/>
            </w:tcBorders>
            <w:shd w:val="clear" w:color="auto" w:fill="auto"/>
            <w:vAlign w:val="center"/>
          </w:tcPr>
          <w:p w14:paraId="4588BF2E" w14:textId="380EB1B4"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(178.332)</w:t>
            </w:r>
          </w:p>
        </w:tc>
        <w:tc>
          <w:tcPr>
            <w:tcW w:w="683" w:type="pct"/>
            <w:tcBorders>
              <w:top w:val="nil"/>
              <w:left w:val="nil"/>
              <w:bottom w:val="nil"/>
              <w:right w:val="nil"/>
            </w:tcBorders>
            <w:shd w:val="clear" w:color="auto" w:fill="auto"/>
            <w:vAlign w:val="center"/>
          </w:tcPr>
          <w:p w14:paraId="2A1B1A0F" w14:textId="4E9A597F"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(153.351)</w:t>
            </w:r>
          </w:p>
        </w:tc>
        <w:tc>
          <w:tcPr>
            <w:tcW w:w="682" w:type="pct"/>
            <w:tcBorders>
              <w:top w:val="nil"/>
              <w:left w:val="nil"/>
              <w:bottom w:val="nil"/>
              <w:right w:val="nil"/>
            </w:tcBorders>
            <w:shd w:val="clear" w:color="auto" w:fill="auto"/>
            <w:vAlign w:val="center"/>
          </w:tcPr>
          <w:p w14:paraId="6CC37CD3" w14:textId="4A4F490C"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(179.181)</w:t>
            </w:r>
          </w:p>
        </w:tc>
        <w:tc>
          <w:tcPr>
            <w:tcW w:w="682" w:type="pct"/>
            <w:tcBorders>
              <w:top w:val="nil"/>
              <w:left w:val="nil"/>
              <w:bottom w:val="nil"/>
              <w:right w:val="nil"/>
            </w:tcBorders>
            <w:shd w:val="clear" w:color="auto" w:fill="auto"/>
            <w:vAlign w:val="center"/>
          </w:tcPr>
          <w:p w14:paraId="2298A084" w14:textId="31F1C225"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(153.856)</w:t>
            </w:r>
          </w:p>
        </w:tc>
      </w:tr>
      <w:tr w:rsidR="00481B77" w:rsidRPr="00A33766" w14:paraId="7A6386A1" w14:textId="77777777" w:rsidTr="006D693C">
        <w:trPr>
          <w:trHeight w:val="283"/>
        </w:trPr>
        <w:tc>
          <w:tcPr>
            <w:tcW w:w="2271" w:type="pct"/>
            <w:tcBorders>
              <w:top w:val="nil"/>
              <w:left w:val="nil"/>
              <w:bottom w:val="nil"/>
              <w:right w:val="nil"/>
            </w:tcBorders>
            <w:shd w:val="clear" w:color="auto" w:fill="auto"/>
            <w:vAlign w:val="center"/>
            <w:hideMark/>
          </w:tcPr>
          <w:p w14:paraId="1455CCFB"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Serviços de transporte</w:t>
            </w:r>
          </w:p>
        </w:tc>
        <w:tc>
          <w:tcPr>
            <w:tcW w:w="682" w:type="pct"/>
            <w:tcBorders>
              <w:top w:val="nil"/>
              <w:left w:val="nil"/>
              <w:bottom w:val="nil"/>
              <w:right w:val="nil"/>
            </w:tcBorders>
            <w:shd w:val="clear" w:color="auto" w:fill="auto"/>
            <w:vAlign w:val="center"/>
          </w:tcPr>
          <w:p w14:paraId="3AA575CD" w14:textId="772F92AB"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(155.493)</w:t>
            </w:r>
          </w:p>
        </w:tc>
        <w:tc>
          <w:tcPr>
            <w:tcW w:w="683" w:type="pct"/>
            <w:tcBorders>
              <w:top w:val="nil"/>
              <w:left w:val="nil"/>
              <w:bottom w:val="nil"/>
              <w:right w:val="nil"/>
            </w:tcBorders>
            <w:shd w:val="clear" w:color="auto" w:fill="auto"/>
            <w:vAlign w:val="center"/>
            <w:hideMark/>
          </w:tcPr>
          <w:p w14:paraId="78A51149" w14:textId="12684BA9"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(138.376)</w:t>
            </w:r>
          </w:p>
        </w:tc>
        <w:tc>
          <w:tcPr>
            <w:tcW w:w="682" w:type="pct"/>
            <w:tcBorders>
              <w:top w:val="nil"/>
              <w:left w:val="nil"/>
              <w:bottom w:val="nil"/>
              <w:right w:val="nil"/>
            </w:tcBorders>
            <w:shd w:val="clear" w:color="auto" w:fill="auto"/>
            <w:vAlign w:val="center"/>
          </w:tcPr>
          <w:p w14:paraId="6F951939" w14:textId="510891BC"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(155.493)</w:t>
            </w:r>
          </w:p>
        </w:tc>
        <w:tc>
          <w:tcPr>
            <w:tcW w:w="682" w:type="pct"/>
            <w:tcBorders>
              <w:top w:val="nil"/>
              <w:left w:val="nil"/>
              <w:bottom w:val="nil"/>
              <w:right w:val="nil"/>
            </w:tcBorders>
            <w:shd w:val="clear" w:color="auto" w:fill="auto"/>
            <w:vAlign w:val="center"/>
            <w:hideMark/>
          </w:tcPr>
          <w:p w14:paraId="45F59BB7" w14:textId="493B9DD5"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(138.376)</w:t>
            </w:r>
          </w:p>
        </w:tc>
      </w:tr>
      <w:tr w:rsidR="00481B77" w:rsidRPr="00A33766" w14:paraId="45DAAD97" w14:textId="77777777" w:rsidTr="006D693C">
        <w:trPr>
          <w:trHeight w:val="283"/>
        </w:trPr>
        <w:tc>
          <w:tcPr>
            <w:tcW w:w="2271" w:type="pct"/>
            <w:tcBorders>
              <w:top w:val="nil"/>
              <w:left w:val="nil"/>
              <w:bottom w:val="nil"/>
              <w:right w:val="nil"/>
            </w:tcBorders>
            <w:shd w:val="clear" w:color="auto" w:fill="auto"/>
            <w:vAlign w:val="center"/>
          </w:tcPr>
          <w:p w14:paraId="5730D5CF" w14:textId="1FA7FFB2"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Serviços do sistema financeiro</w:t>
            </w:r>
          </w:p>
        </w:tc>
        <w:tc>
          <w:tcPr>
            <w:tcW w:w="682" w:type="pct"/>
            <w:tcBorders>
              <w:top w:val="nil"/>
              <w:left w:val="nil"/>
              <w:bottom w:val="nil"/>
              <w:right w:val="nil"/>
            </w:tcBorders>
            <w:shd w:val="clear" w:color="auto" w:fill="auto"/>
            <w:vAlign w:val="center"/>
          </w:tcPr>
          <w:p w14:paraId="078741D7" w14:textId="325C0F1C"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(102.454)</w:t>
            </w:r>
          </w:p>
        </w:tc>
        <w:tc>
          <w:tcPr>
            <w:tcW w:w="683" w:type="pct"/>
            <w:tcBorders>
              <w:top w:val="nil"/>
              <w:left w:val="nil"/>
              <w:bottom w:val="nil"/>
              <w:right w:val="nil"/>
            </w:tcBorders>
            <w:shd w:val="clear" w:color="auto" w:fill="auto"/>
            <w:vAlign w:val="center"/>
          </w:tcPr>
          <w:p w14:paraId="6AF58E33" w14:textId="462B42CC"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(109.965)</w:t>
            </w:r>
          </w:p>
        </w:tc>
        <w:tc>
          <w:tcPr>
            <w:tcW w:w="682" w:type="pct"/>
            <w:tcBorders>
              <w:top w:val="nil"/>
              <w:left w:val="nil"/>
              <w:bottom w:val="nil"/>
              <w:right w:val="nil"/>
            </w:tcBorders>
            <w:shd w:val="clear" w:color="auto" w:fill="auto"/>
            <w:vAlign w:val="center"/>
          </w:tcPr>
          <w:p w14:paraId="695D2419" w14:textId="2B082043"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(102.673)</w:t>
            </w:r>
          </w:p>
        </w:tc>
        <w:tc>
          <w:tcPr>
            <w:tcW w:w="682" w:type="pct"/>
            <w:tcBorders>
              <w:top w:val="nil"/>
              <w:left w:val="nil"/>
              <w:bottom w:val="nil"/>
              <w:right w:val="nil"/>
            </w:tcBorders>
            <w:shd w:val="clear" w:color="auto" w:fill="auto"/>
            <w:vAlign w:val="center"/>
          </w:tcPr>
          <w:p w14:paraId="353ED0BD" w14:textId="753A3D31"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(110.454)</w:t>
            </w:r>
          </w:p>
        </w:tc>
      </w:tr>
      <w:tr w:rsidR="00481B77" w:rsidRPr="00A33766" w14:paraId="1D4E3118" w14:textId="77777777" w:rsidTr="006D693C">
        <w:trPr>
          <w:trHeight w:val="283"/>
        </w:trPr>
        <w:tc>
          <w:tcPr>
            <w:tcW w:w="2271" w:type="pct"/>
            <w:tcBorders>
              <w:top w:val="nil"/>
              <w:left w:val="nil"/>
              <w:bottom w:val="nil"/>
              <w:right w:val="nil"/>
            </w:tcBorders>
            <w:shd w:val="clear" w:color="auto" w:fill="auto"/>
            <w:vAlign w:val="center"/>
          </w:tcPr>
          <w:p w14:paraId="783D89B1" w14:textId="057F478D"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Água e energia</w:t>
            </w:r>
          </w:p>
        </w:tc>
        <w:tc>
          <w:tcPr>
            <w:tcW w:w="682" w:type="pct"/>
            <w:tcBorders>
              <w:top w:val="nil"/>
              <w:left w:val="nil"/>
              <w:bottom w:val="nil"/>
              <w:right w:val="nil"/>
            </w:tcBorders>
            <w:shd w:val="clear" w:color="auto" w:fill="auto"/>
            <w:vAlign w:val="center"/>
          </w:tcPr>
          <w:p w14:paraId="6BD84355" w14:textId="017B8F30" w:rsidR="00481B77" w:rsidRPr="00FF4346" w:rsidRDefault="00741778"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(134.636)</w:t>
            </w:r>
          </w:p>
        </w:tc>
        <w:tc>
          <w:tcPr>
            <w:tcW w:w="683" w:type="pct"/>
            <w:tcBorders>
              <w:top w:val="nil"/>
              <w:left w:val="nil"/>
              <w:bottom w:val="nil"/>
              <w:right w:val="nil"/>
            </w:tcBorders>
            <w:shd w:val="clear" w:color="auto" w:fill="auto"/>
            <w:vAlign w:val="center"/>
          </w:tcPr>
          <w:p w14:paraId="629C13C8" w14:textId="04AE72FD"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(132.229)</w:t>
            </w:r>
          </w:p>
        </w:tc>
        <w:tc>
          <w:tcPr>
            <w:tcW w:w="682" w:type="pct"/>
            <w:tcBorders>
              <w:top w:val="nil"/>
              <w:left w:val="nil"/>
              <w:bottom w:val="nil"/>
              <w:right w:val="nil"/>
            </w:tcBorders>
            <w:shd w:val="clear" w:color="auto" w:fill="auto"/>
            <w:vAlign w:val="center"/>
          </w:tcPr>
          <w:p w14:paraId="18AFBBE5" w14:textId="17978C50" w:rsidR="00481B77" w:rsidRPr="00FF4346" w:rsidRDefault="006D693C"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(134.636)</w:t>
            </w:r>
          </w:p>
        </w:tc>
        <w:tc>
          <w:tcPr>
            <w:tcW w:w="682" w:type="pct"/>
            <w:tcBorders>
              <w:top w:val="nil"/>
              <w:left w:val="nil"/>
              <w:bottom w:val="nil"/>
              <w:right w:val="nil"/>
            </w:tcBorders>
            <w:shd w:val="clear" w:color="auto" w:fill="auto"/>
            <w:vAlign w:val="center"/>
          </w:tcPr>
          <w:p w14:paraId="28C80AAC" w14:textId="3B18A0A9" w:rsidR="00481B77" w:rsidRPr="00FF4346" w:rsidRDefault="00481B77" w:rsidP="00481B77">
            <w:pPr>
              <w:jc w:val="right"/>
              <w:rPr>
                <w:rFonts w:ascii="CAIXA Std Book" w:hAnsi="CAIXA Std Book" w:cs="Arial"/>
                <w:color w:val="005CA9"/>
                <w:sz w:val="18"/>
                <w:szCs w:val="18"/>
              </w:rPr>
            </w:pPr>
            <w:r w:rsidRPr="00FF4346">
              <w:rPr>
                <w:rFonts w:ascii="CAIXA Std Book" w:hAnsi="CAIXA Std Book" w:cs="Arial"/>
                <w:color w:val="005CA9"/>
                <w:sz w:val="18"/>
                <w:szCs w:val="18"/>
              </w:rPr>
              <w:t>(132.229)</w:t>
            </w:r>
          </w:p>
        </w:tc>
      </w:tr>
      <w:tr w:rsidR="00481B77" w:rsidRPr="00A33766" w14:paraId="7F4EB269" w14:textId="77777777" w:rsidTr="006D693C">
        <w:trPr>
          <w:trHeight w:val="283"/>
        </w:trPr>
        <w:tc>
          <w:tcPr>
            <w:tcW w:w="2271" w:type="pct"/>
            <w:tcBorders>
              <w:top w:val="nil"/>
              <w:left w:val="nil"/>
              <w:bottom w:val="nil"/>
              <w:right w:val="nil"/>
            </w:tcBorders>
            <w:shd w:val="clear" w:color="auto" w:fill="auto"/>
            <w:vAlign w:val="center"/>
            <w:hideMark/>
          </w:tcPr>
          <w:p w14:paraId="714245E8"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Comunicações</w:t>
            </w:r>
          </w:p>
        </w:tc>
        <w:tc>
          <w:tcPr>
            <w:tcW w:w="682" w:type="pct"/>
            <w:tcBorders>
              <w:top w:val="nil"/>
              <w:left w:val="nil"/>
              <w:bottom w:val="nil"/>
              <w:right w:val="nil"/>
            </w:tcBorders>
            <w:shd w:val="clear" w:color="auto" w:fill="auto"/>
            <w:vAlign w:val="center"/>
          </w:tcPr>
          <w:p w14:paraId="1680BD22" w14:textId="5784BD7D" w:rsidR="00481B77" w:rsidRPr="00FF4346" w:rsidRDefault="00632D57"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(124.442)</w:t>
            </w:r>
          </w:p>
        </w:tc>
        <w:tc>
          <w:tcPr>
            <w:tcW w:w="683" w:type="pct"/>
            <w:tcBorders>
              <w:top w:val="nil"/>
              <w:left w:val="nil"/>
              <w:bottom w:val="nil"/>
              <w:right w:val="nil"/>
            </w:tcBorders>
            <w:shd w:val="clear" w:color="auto" w:fill="auto"/>
            <w:vAlign w:val="center"/>
            <w:hideMark/>
          </w:tcPr>
          <w:p w14:paraId="63E491E6" w14:textId="337E1673"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(78.491)</w:t>
            </w:r>
          </w:p>
        </w:tc>
        <w:tc>
          <w:tcPr>
            <w:tcW w:w="682" w:type="pct"/>
            <w:tcBorders>
              <w:top w:val="nil"/>
              <w:left w:val="nil"/>
              <w:bottom w:val="nil"/>
              <w:right w:val="nil"/>
            </w:tcBorders>
            <w:shd w:val="clear" w:color="auto" w:fill="auto"/>
            <w:vAlign w:val="center"/>
          </w:tcPr>
          <w:p w14:paraId="52BE0882" w14:textId="5F2CD1E5" w:rsidR="00481B77" w:rsidRPr="00FF4346" w:rsidRDefault="00632D57"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(124.455)</w:t>
            </w:r>
          </w:p>
        </w:tc>
        <w:tc>
          <w:tcPr>
            <w:tcW w:w="682" w:type="pct"/>
            <w:tcBorders>
              <w:top w:val="nil"/>
              <w:left w:val="nil"/>
              <w:bottom w:val="nil"/>
              <w:right w:val="nil"/>
            </w:tcBorders>
            <w:shd w:val="clear" w:color="auto" w:fill="auto"/>
            <w:vAlign w:val="center"/>
            <w:hideMark/>
          </w:tcPr>
          <w:p w14:paraId="5F5948E7" w14:textId="0D85CD34"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(78.499)</w:t>
            </w:r>
          </w:p>
        </w:tc>
      </w:tr>
      <w:tr w:rsidR="00481B77" w:rsidRPr="00A33766" w14:paraId="2A1249F8" w14:textId="77777777" w:rsidTr="006D693C">
        <w:trPr>
          <w:trHeight w:val="283"/>
        </w:trPr>
        <w:tc>
          <w:tcPr>
            <w:tcW w:w="2271" w:type="pct"/>
            <w:tcBorders>
              <w:top w:val="nil"/>
              <w:left w:val="nil"/>
              <w:bottom w:val="nil"/>
              <w:right w:val="nil"/>
            </w:tcBorders>
            <w:shd w:val="clear" w:color="auto" w:fill="auto"/>
            <w:vAlign w:val="center"/>
            <w:hideMark/>
          </w:tcPr>
          <w:p w14:paraId="03DF8C55"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Propaganda e publicidade</w:t>
            </w:r>
          </w:p>
        </w:tc>
        <w:tc>
          <w:tcPr>
            <w:tcW w:w="682" w:type="pct"/>
            <w:tcBorders>
              <w:top w:val="nil"/>
              <w:left w:val="nil"/>
              <w:bottom w:val="nil"/>
              <w:right w:val="nil"/>
            </w:tcBorders>
            <w:shd w:val="clear" w:color="auto" w:fill="auto"/>
            <w:vAlign w:val="center"/>
          </w:tcPr>
          <w:p w14:paraId="32174982" w14:textId="3DB33E30" w:rsidR="00481B77" w:rsidRPr="00FF4346" w:rsidRDefault="00741778"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(98.</w:t>
            </w:r>
            <w:r w:rsidR="00632D57">
              <w:rPr>
                <w:rFonts w:ascii="CAIXA Std Book" w:hAnsi="CAIXA Std Book" w:cs="Arial"/>
                <w:color w:val="005CA9"/>
                <w:sz w:val="18"/>
                <w:szCs w:val="18"/>
              </w:rPr>
              <w:t>558</w:t>
            </w:r>
            <w:r>
              <w:rPr>
                <w:rFonts w:ascii="CAIXA Std Book" w:hAnsi="CAIXA Std Book" w:cs="Arial"/>
                <w:color w:val="005CA9"/>
                <w:sz w:val="18"/>
                <w:szCs w:val="18"/>
              </w:rPr>
              <w:t>)</w:t>
            </w:r>
          </w:p>
        </w:tc>
        <w:tc>
          <w:tcPr>
            <w:tcW w:w="683" w:type="pct"/>
            <w:tcBorders>
              <w:top w:val="nil"/>
              <w:left w:val="nil"/>
              <w:bottom w:val="nil"/>
              <w:right w:val="nil"/>
            </w:tcBorders>
            <w:shd w:val="clear" w:color="auto" w:fill="auto"/>
            <w:vAlign w:val="center"/>
            <w:hideMark/>
          </w:tcPr>
          <w:p w14:paraId="426BD5A5" w14:textId="072FF8A5"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(17.459)</w:t>
            </w:r>
          </w:p>
        </w:tc>
        <w:tc>
          <w:tcPr>
            <w:tcW w:w="682" w:type="pct"/>
            <w:tcBorders>
              <w:top w:val="nil"/>
              <w:left w:val="nil"/>
              <w:bottom w:val="nil"/>
              <w:right w:val="nil"/>
            </w:tcBorders>
            <w:shd w:val="clear" w:color="auto" w:fill="auto"/>
            <w:vAlign w:val="center"/>
          </w:tcPr>
          <w:p w14:paraId="3DEFF77A" w14:textId="7C07DF7B" w:rsidR="00481B77" w:rsidRPr="00FF4346" w:rsidRDefault="006D693C"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(98.558)</w:t>
            </w:r>
          </w:p>
        </w:tc>
        <w:tc>
          <w:tcPr>
            <w:tcW w:w="682" w:type="pct"/>
            <w:tcBorders>
              <w:top w:val="nil"/>
              <w:left w:val="nil"/>
              <w:bottom w:val="nil"/>
              <w:right w:val="nil"/>
            </w:tcBorders>
            <w:shd w:val="clear" w:color="auto" w:fill="auto"/>
            <w:vAlign w:val="center"/>
            <w:hideMark/>
          </w:tcPr>
          <w:p w14:paraId="39F5E9AC" w14:textId="61F39BA0"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(17.459)</w:t>
            </w:r>
          </w:p>
        </w:tc>
      </w:tr>
      <w:tr w:rsidR="00481B77" w:rsidRPr="00A33766" w14:paraId="1714C6EE" w14:textId="77777777" w:rsidTr="006D693C">
        <w:trPr>
          <w:trHeight w:val="283"/>
        </w:trPr>
        <w:tc>
          <w:tcPr>
            <w:tcW w:w="2271" w:type="pct"/>
            <w:tcBorders>
              <w:top w:val="nil"/>
              <w:left w:val="nil"/>
              <w:bottom w:val="nil"/>
              <w:right w:val="nil"/>
            </w:tcBorders>
            <w:shd w:val="clear" w:color="auto" w:fill="auto"/>
            <w:noWrap/>
            <w:vAlign w:val="center"/>
            <w:hideMark/>
          </w:tcPr>
          <w:p w14:paraId="1AAC8ACF"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Material</w:t>
            </w:r>
          </w:p>
        </w:tc>
        <w:tc>
          <w:tcPr>
            <w:tcW w:w="682" w:type="pct"/>
            <w:tcBorders>
              <w:top w:val="nil"/>
              <w:left w:val="nil"/>
              <w:bottom w:val="nil"/>
              <w:right w:val="nil"/>
            </w:tcBorders>
            <w:shd w:val="clear" w:color="auto" w:fill="auto"/>
            <w:vAlign w:val="center"/>
          </w:tcPr>
          <w:p w14:paraId="6855E743" w14:textId="5E435A32" w:rsidR="00481B77" w:rsidRPr="00FF4346" w:rsidRDefault="00741778"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(25.830)</w:t>
            </w:r>
          </w:p>
        </w:tc>
        <w:tc>
          <w:tcPr>
            <w:tcW w:w="683" w:type="pct"/>
            <w:tcBorders>
              <w:top w:val="nil"/>
              <w:left w:val="nil"/>
              <w:bottom w:val="nil"/>
              <w:right w:val="nil"/>
            </w:tcBorders>
            <w:shd w:val="clear" w:color="auto" w:fill="auto"/>
            <w:vAlign w:val="center"/>
            <w:hideMark/>
          </w:tcPr>
          <w:p w14:paraId="4295DACB" w14:textId="566294A0"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(19.428)</w:t>
            </w:r>
          </w:p>
        </w:tc>
        <w:tc>
          <w:tcPr>
            <w:tcW w:w="682" w:type="pct"/>
            <w:tcBorders>
              <w:top w:val="nil"/>
              <w:left w:val="nil"/>
              <w:bottom w:val="nil"/>
              <w:right w:val="nil"/>
            </w:tcBorders>
            <w:shd w:val="clear" w:color="auto" w:fill="auto"/>
            <w:vAlign w:val="center"/>
          </w:tcPr>
          <w:p w14:paraId="09F77557" w14:textId="55155D48" w:rsidR="00481B77" w:rsidRPr="00FF4346" w:rsidRDefault="006D693C"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(25.839)</w:t>
            </w:r>
          </w:p>
        </w:tc>
        <w:tc>
          <w:tcPr>
            <w:tcW w:w="682" w:type="pct"/>
            <w:tcBorders>
              <w:top w:val="nil"/>
              <w:left w:val="nil"/>
              <w:bottom w:val="nil"/>
              <w:right w:val="nil"/>
            </w:tcBorders>
            <w:shd w:val="clear" w:color="auto" w:fill="auto"/>
            <w:vAlign w:val="center"/>
            <w:hideMark/>
          </w:tcPr>
          <w:p w14:paraId="755D4B0A" w14:textId="571F1DD0"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(19.433)</w:t>
            </w:r>
          </w:p>
        </w:tc>
      </w:tr>
      <w:tr w:rsidR="00481B77" w:rsidRPr="00A33766" w14:paraId="2A3CDECF" w14:textId="77777777" w:rsidTr="006D693C">
        <w:trPr>
          <w:trHeight w:val="283"/>
        </w:trPr>
        <w:tc>
          <w:tcPr>
            <w:tcW w:w="2271" w:type="pct"/>
            <w:tcBorders>
              <w:top w:val="nil"/>
              <w:left w:val="nil"/>
              <w:bottom w:val="nil"/>
              <w:right w:val="nil"/>
            </w:tcBorders>
            <w:shd w:val="clear" w:color="auto" w:fill="auto"/>
            <w:noWrap/>
            <w:vAlign w:val="center"/>
            <w:hideMark/>
          </w:tcPr>
          <w:p w14:paraId="13205B86"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Promoções e relações públicas</w:t>
            </w:r>
          </w:p>
        </w:tc>
        <w:tc>
          <w:tcPr>
            <w:tcW w:w="682" w:type="pct"/>
            <w:tcBorders>
              <w:top w:val="nil"/>
              <w:left w:val="nil"/>
              <w:bottom w:val="nil"/>
              <w:right w:val="nil"/>
            </w:tcBorders>
            <w:shd w:val="clear" w:color="auto" w:fill="auto"/>
            <w:vAlign w:val="center"/>
          </w:tcPr>
          <w:p w14:paraId="5B63ECF5" w14:textId="00D63E8C" w:rsidR="00481B77" w:rsidRPr="00FF4346" w:rsidRDefault="00741778"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(15.</w:t>
            </w:r>
            <w:r w:rsidR="00632D57">
              <w:rPr>
                <w:rFonts w:ascii="CAIXA Std Book" w:hAnsi="CAIXA Std Book" w:cs="Arial"/>
                <w:color w:val="005CA9"/>
                <w:sz w:val="18"/>
                <w:szCs w:val="18"/>
              </w:rPr>
              <w:t>678</w:t>
            </w:r>
            <w:r>
              <w:rPr>
                <w:rFonts w:ascii="CAIXA Std Book" w:hAnsi="CAIXA Std Book" w:cs="Arial"/>
                <w:color w:val="005CA9"/>
                <w:sz w:val="18"/>
                <w:szCs w:val="18"/>
              </w:rPr>
              <w:t>)</w:t>
            </w:r>
          </w:p>
        </w:tc>
        <w:tc>
          <w:tcPr>
            <w:tcW w:w="683" w:type="pct"/>
            <w:tcBorders>
              <w:top w:val="nil"/>
              <w:left w:val="nil"/>
              <w:bottom w:val="nil"/>
              <w:right w:val="nil"/>
            </w:tcBorders>
            <w:shd w:val="clear" w:color="auto" w:fill="auto"/>
            <w:vAlign w:val="center"/>
            <w:hideMark/>
          </w:tcPr>
          <w:p w14:paraId="23866592" w14:textId="1EECB14B"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(8.252)</w:t>
            </w:r>
          </w:p>
        </w:tc>
        <w:tc>
          <w:tcPr>
            <w:tcW w:w="682" w:type="pct"/>
            <w:tcBorders>
              <w:top w:val="nil"/>
              <w:left w:val="nil"/>
              <w:bottom w:val="nil"/>
              <w:right w:val="nil"/>
            </w:tcBorders>
            <w:shd w:val="clear" w:color="auto" w:fill="auto"/>
            <w:vAlign w:val="center"/>
          </w:tcPr>
          <w:p w14:paraId="75F36176" w14:textId="2FA866B4" w:rsidR="00481B77" w:rsidRPr="00FF4346" w:rsidRDefault="006D693C"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(15.697)</w:t>
            </w:r>
          </w:p>
        </w:tc>
        <w:tc>
          <w:tcPr>
            <w:tcW w:w="682" w:type="pct"/>
            <w:tcBorders>
              <w:top w:val="nil"/>
              <w:left w:val="nil"/>
              <w:bottom w:val="nil"/>
              <w:right w:val="nil"/>
            </w:tcBorders>
            <w:shd w:val="clear" w:color="auto" w:fill="auto"/>
            <w:vAlign w:val="center"/>
            <w:hideMark/>
          </w:tcPr>
          <w:p w14:paraId="14EEDA64" w14:textId="07DC7E01"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(8.252)</w:t>
            </w:r>
          </w:p>
        </w:tc>
      </w:tr>
      <w:tr w:rsidR="00481B77" w:rsidRPr="00A33766" w14:paraId="0350BF65" w14:textId="77777777" w:rsidTr="006D693C">
        <w:trPr>
          <w:trHeight w:val="283"/>
        </w:trPr>
        <w:tc>
          <w:tcPr>
            <w:tcW w:w="2271" w:type="pct"/>
            <w:tcBorders>
              <w:top w:val="nil"/>
              <w:left w:val="nil"/>
              <w:bottom w:val="nil"/>
              <w:right w:val="nil"/>
            </w:tcBorders>
            <w:shd w:val="clear" w:color="auto" w:fill="auto"/>
            <w:noWrap/>
            <w:vAlign w:val="center"/>
            <w:hideMark/>
          </w:tcPr>
          <w:p w14:paraId="7C3C72AD" w14:textId="77777777" w:rsidR="00481B77" w:rsidRPr="00FF4346" w:rsidRDefault="00481B77" w:rsidP="00481B77">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Outras</w:t>
            </w:r>
          </w:p>
        </w:tc>
        <w:tc>
          <w:tcPr>
            <w:tcW w:w="682" w:type="pct"/>
            <w:tcBorders>
              <w:top w:val="nil"/>
              <w:left w:val="nil"/>
              <w:bottom w:val="single" w:sz="4" w:space="0" w:color="F39200"/>
              <w:right w:val="nil"/>
            </w:tcBorders>
            <w:shd w:val="clear" w:color="auto" w:fill="auto"/>
            <w:vAlign w:val="center"/>
          </w:tcPr>
          <w:p w14:paraId="360861FE" w14:textId="59AF1035" w:rsidR="00481B77" w:rsidRPr="00FF4346" w:rsidRDefault="00741778" w:rsidP="00741778">
            <w:pPr>
              <w:jc w:val="right"/>
              <w:rPr>
                <w:rFonts w:ascii="CAIXA Std Book" w:eastAsia="Times New Roman" w:hAnsi="CAIXA Std Book" w:cs="Arial"/>
                <w:color w:val="005CA9"/>
                <w:sz w:val="18"/>
                <w:szCs w:val="18"/>
              </w:rPr>
            </w:pPr>
            <w:r>
              <w:rPr>
                <w:rFonts w:ascii="CAIXA Std Book" w:hAnsi="CAIXA Std Book" w:cs="Arial"/>
                <w:color w:val="005CA9"/>
                <w:sz w:val="18"/>
                <w:szCs w:val="18"/>
              </w:rPr>
              <w:t>(79.802)</w:t>
            </w:r>
          </w:p>
        </w:tc>
        <w:tc>
          <w:tcPr>
            <w:tcW w:w="683" w:type="pct"/>
            <w:tcBorders>
              <w:top w:val="nil"/>
              <w:left w:val="nil"/>
              <w:bottom w:val="single" w:sz="4" w:space="0" w:color="F39200"/>
              <w:right w:val="nil"/>
            </w:tcBorders>
            <w:shd w:val="clear" w:color="auto" w:fill="auto"/>
            <w:vAlign w:val="center"/>
            <w:hideMark/>
          </w:tcPr>
          <w:p w14:paraId="7AA40C96" w14:textId="795A44B0"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(69.828)</w:t>
            </w:r>
          </w:p>
        </w:tc>
        <w:tc>
          <w:tcPr>
            <w:tcW w:w="682" w:type="pct"/>
            <w:tcBorders>
              <w:top w:val="nil"/>
              <w:left w:val="nil"/>
              <w:bottom w:val="single" w:sz="4" w:space="0" w:color="F39200"/>
              <w:right w:val="nil"/>
            </w:tcBorders>
            <w:shd w:val="clear" w:color="auto" w:fill="auto"/>
            <w:vAlign w:val="center"/>
          </w:tcPr>
          <w:p w14:paraId="0283C2FE" w14:textId="6A78CF2B" w:rsidR="00481B77" w:rsidRPr="00FF4346" w:rsidRDefault="006D693C" w:rsidP="006D693C">
            <w:pPr>
              <w:jc w:val="right"/>
              <w:rPr>
                <w:rFonts w:ascii="CAIXA Std Book" w:eastAsia="Times New Roman" w:hAnsi="CAIXA Std Book" w:cs="Arial"/>
                <w:color w:val="005CA9"/>
                <w:sz w:val="18"/>
                <w:szCs w:val="18"/>
              </w:rPr>
            </w:pPr>
            <w:r>
              <w:rPr>
                <w:rFonts w:ascii="CAIXA Std Book" w:hAnsi="CAIXA Std Book" w:cs="Arial"/>
                <w:color w:val="005CA9"/>
                <w:sz w:val="18"/>
                <w:szCs w:val="18"/>
              </w:rPr>
              <w:t>(103.152)</w:t>
            </w:r>
          </w:p>
        </w:tc>
        <w:tc>
          <w:tcPr>
            <w:tcW w:w="682" w:type="pct"/>
            <w:tcBorders>
              <w:top w:val="nil"/>
              <w:left w:val="nil"/>
              <w:bottom w:val="single" w:sz="4" w:space="0" w:color="F39200"/>
              <w:right w:val="nil"/>
            </w:tcBorders>
            <w:shd w:val="clear" w:color="auto" w:fill="auto"/>
            <w:vAlign w:val="center"/>
            <w:hideMark/>
          </w:tcPr>
          <w:p w14:paraId="13DC3E5A" w14:textId="4F0D42F3" w:rsidR="00481B77" w:rsidRPr="00FF4346" w:rsidRDefault="00481B77" w:rsidP="00481B77">
            <w:pPr>
              <w:jc w:val="right"/>
              <w:rPr>
                <w:rFonts w:ascii="CAIXA Std Book" w:eastAsia="Times New Roman" w:hAnsi="CAIXA Std Book" w:cs="Arial"/>
                <w:color w:val="005CA9"/>
                <w:sz w:val="18"/>
                <w:szCs w:val="18"/>
              </w:rPr>
            </w:pPr>
            <w:r w:rsidRPr="00FF4346">
              <w:rPr>
                <w:rFonts w:ascii="CAIXA Std Book" w:hAnsi="CAIXA Std Book" w:cs="Arial"/>
                <w:color w:val="005CA9"/>
                <w:sz w:val="18"/>
                <w:szCs w:val="18"/>
              </w:rPr>
              <w:t>(92.685)</w:t>
            </w:r>
          </w:p>
        </w:tc>
      </w:tr>
      <w:tr w:rsidR="00481B77" w:rsidRPr="00A33766" w14:paraId="31B35025" w14:textId="77777777" w:rsidTr="006D693C">
        <w:trPr>
          <w:trHeight w:val="283"/>
        </w:trPr>
        <w:tc>
          <w:tcPr>
            <w:tcW w:w="2271" w:type="pct"/>
            <w:tcBorders>
              <w:top w:val="single" w:sz="4" w:space="0" w:color="F39200"/>
              <w:left w:val="nil"/>
              <w:bottom w:val="single" w:sz="4" w:space="0" w:color="F39200"/>
              <w:right w:val="nil"/>
            </w:tcBorders>
            <w:shd w:val="clear" w:color="auto" w:fill="auto"/>
            <w:noWrap/>
            <w:vAlign w:val="center"/>
            <w:hideMark/>
          </w:tcPr>
          <w:p w14:paraId="4BCB2EC0" w14:textId="77777777" w:rsidR="00481B77" w:rsidRPr="00FF4346" w:rsidRDefault="00481B77" w:rsidP="00481B77">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682" w:type="pct"/>
            <w:tcBorders>
              <w:top w:val="nil"/>
              <w:left w:val="nil"/>
              <w:bottom w:val="single" w:sz="4" w:space="0" w:color="F39200"/>
              <w:right w:val="nil"/>
            </w:tcBorders>
            <w:shd w:val="clear" w:color="auto" w:fill="auto"/>
            <w:noWrap/>
            <w:vAlign w:val="center"/>
          </w:tcPr>
          <w:p w14:paraId="4CCD6A45" w14:textId="2C0D945A" w:rsidR="00481B77" w:rsidRPr="00FF4346" w:rsidRDefault="00741778" w:rsidP="00741778">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(3.252.145)</w:t>
            </w:r>
          </w:p>
        </w:tc>
        <w:tc>
          <w:tcPr>
            <w:tcW w:w="683" w:type="pct"/>
            <w:tcBorders>
              <w:top w:val="nil"/>
              <w:left w:val="nil"/>
              <w:bottom w:val="single" w:sz="4" w:space="0" w:color="F39200"/>
              <w:right w:val="nil"/>
            </w:tcBorders>
            <w:shd w:val="clear" w:color="auto" w:fill="auto"/>
            <w:noWrap/>
            <w:vAlign w:val="center"/>
            <w:hideMark/>
          </w:tcPr>
          <w:p w14:paraId="7F72C6D5" w14:textId="170A07DB" w:rsidR="00481B77" w:rsidRPr="00FF4346" w:rsidRDefault="00481B77" w:rsidP="00481B77">
            <w:pPr>
              <w:jc w:val="right"/>
              <w:rPr>
                <w:rFonts w:ascii="CAIXA Std Book" w:eastAsia="Times New Roman" w:hAnsi="CAIXA Std Book" w:cs="Arial"/>
                <w:b/>
                <w:bCs/>
                <w:color w:val="005CA9"/>
                <w:sz w:val="18"/>
                <w:szCs w:val="18"/>
              </w:rPr>
            </w:pPr>
            <w:r w:rsidRPr="00FF4346">
              <w:rPr>
                <w:rFonts w:ascii="CAIXA Std Book" w:hAnsi="CAIXA Std Book" w:cs="Arial"/>
                <w:b/>
                <w:color w:val="005CA9"/>
                <w:sz w:val="18"/>
                <w:szCs w:val="18"/>
              </w:rPr>
              <w:t>(3.037.713)</w:t>
            </w:r>
          </w:p>
        </w:tc>
        <w:tc>
          <w:tcPr>
            <w:tcW w:w="682" w:type="pct"/>
            <w:tcBorders>
              <w:top w:val="nil"/>
              <w:left w:val="nil"/>
              <w:bottom w:val="single" w:sz="4" w:space="0" w:color="F39200"/>
              <w:right w:val="nil"/>
            </w:tcBorders>
            <w:shd w:val="clear" w:color="auto" w:fill="auto"/>
            <w:noWrap/>
            <w:vAlign w:val="center"/>
          </w:tcPr>
          <w:p w14:paraId="7142DD8D" w14:textId="37B0A546" w:rsidR="00481B77" w:rsidRPr="00FF4346" w:rsidRDefault="006D693C" w:rsidP="006D693C">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(3.280.313)</w:t>
            </w:r>
          </w:p>
        </w:tc>
        <w:tc>
          <w:tcPr>
            <w:tcW w:w="682" w:type="pct"/>
            <w:tcBorders>
              <w:top w:val="nil"/>
              <w:left w:val="nil"/>
              <w:bottom w:val="single" w:sz="4" w:space="0" w:color="F39200"/>
              <w:right w:val="nil"/>
            </w:tcBorders>
            <w:shd w:val="clear" w:color="auto" w:fill="auto"/>
            <w:noWrap/>
            <w:vAlign w:val="center"/>
            <w:hideMark/>
          </w:tcPr>
          <w:p w14:paraId="2D3A53F3" w14:textId="642F2235" w:rsidR="00481B77" w:rsidRPr="00FF4346" w:rsidRDefault="00481B77" w:rsidP="00481B77">
            <w:pPr>
              <w:jc w:val="right"/>
              <w:rPr>
                <w:rFonts w:ascii="CAIXA Std Book" w:eastAsia="Times New Roman" w:hAnsi="CAIXA Std Book" w:cs="Arial"/>
                <w:b/>
                <w:bCs/>
                <w:color w:val="005CA9"/>
                <w:sz w:val="18"/>
                <w:szCs w:val="18"/>
              </w:rPr>
            </w:pPr>
            <w:r w:rsidRPr="00FF4346">
              <w:rPr>
                <w:rFonts w:ascii="CAIXA Std Book" w:hAnsi="CAIXA Std Book" w:cs="Arial"/>
                <w:b/>
                <w:color w:val="005CA9"/>
                <w:sz w:val="18"/>
                <w:szCs w:val="18"/>
              </w:rPr>
              <w:t>(3.067.896)</w:t>
            </w:r>
          </w:p>
        </w:tc>
      </w:tr>
    </w:tbl>
    <w:p w14:paraId="3CFDF0C3" w14:textId="6F395715" w:rsidR="00814F49" w:rsidRPr="00FF4346" w:rsidRDefault="00814F49" w:rsidP="005A596E">
      <w:pPr>
        <w:pStyle w:val="Ttulo1"/>
      </w:pPr>
      <w:bookmarkStart w:id="120" w:name="_Toc166594502"/>
      <w:r w:rsidRPr="00FF4346">
        <w:t>Nota 27 – Despesas tributárias</w:t>
      </w:r>
      <w:bookmarkEnd w:id="120"/>
    </w:p>
    <w:tbl>
      <w:tblPr>
        <w:tblW w:w="5000" w:type="pct"/>
        <w:tblCellMar>
          <w:left w:w="70" w:type="dxa"/>
          <w:right w:w="70" w:type="dxa"/>
        </w:tblCellMar>
        <w:tblLook w:val="04A0" w:firstRow="1" w:lastRow="0" w:firstColumn="1" w:lastColumn="0" w:noHBand="0" w:noVBand="1"/>
      </w:tblPr>
      <w:tblGrid>
        <w:gridCol w:w="4393"/>
        <w:gridCol w:w="1311"/>
        <w:gridCol w:w="1311"/>
        <w:gridCol w:w="1311"/>
        <w:gridCol w:w="1311"/>
      </w:tblGrid>
      <w:tr w:rsidR="003C3E0F" w:rsidRPr="00A33766" w14:paraId="0FEA9B59" w14:textId="77777777" w:rsidTr="004B0877">
        <w:trPr>
          <w:trHeight w:val="283"/>
        </w:trPr>
        <w:tc>
          <w:tcPr>
            <w:tcW w:w="2279" w:type="pct"/>
            <w:vMerge w:val="restart"/>
            <w:tcBorders>
              <w:top w:val="single" w:sz="4" w:space="0" w:color="F79646"/>
              <w:left w:val="nil"/>
              <w:bottom w:val="single" w:sz="4" w:space="0" w:color="F79646"/>
              <w:right w:val="nil"/>
            </w:tcBorders>
            <w:shd w:val="clear" w:color="auto" w:fill="auto"/>
            <w:vAlign w:val="center"/>
            <w:hideMark/>
          </w:tcPr>
          <w:p w14:paraId="375E9241"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60" w:type="pct"/>
            <w:gridSpan w:val="2"/>
            <w:tcBorders>
              <w:top w:val="single" w:sz="4" w:space="0" w:color="F79646"/>
              <w:left w:val="nil"/>
              <w:bottom w:val="single" w:sz="4" w:space="0" w:color="F79646"/>
              <w:right w:val="nil"/>
            </w:tcBorders>
            <w:shd w:val="clear" w:color="auto" w:fill="auto"/>
            <w:vAlign w:val="center"/>
            <w:hideMark/>
          </w:tcPr>
          <w:p w14:paraId="421DA3ED"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INDIVIDUAL</w:t>
            </w:r>
          </w:p>
        </w:tc>
        <w:tc>
          <w:tcPr>
            <w:tcW w:w="1360" w:type="pct"/>
            <w:gridSpan w:val="2"/>
            <w:tcBorders>
              <w:top w:val="single" w:sz="4" w:space="0" w:color="F79646"/>
              <w:left w:val="nil"/>
              <w:bottom w:val="single" w:sz="4" w:space="0" w:color="F79646"/>
              <w:right w:val="nil"/>
            </w:tcBorders>
            <w:shd w:val="clear" w:color="auto" w:fill="auto"/>
            <w:vAlign w:val="center"/>
            <w:hideMark/>
          </w:tcPr>
          <w:p w14:paraId="06268C8C"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CONSOLIDADO</w:t>
            </w:r>
          </w:p>
        </w:tc>
      </w:tr>
      <w:tr w:rsidR="003C3E0F" w:rsidRPr="00A33766" w14:paraId="5434CDB4" w14:textId="77777777" w:rsidTr="004B0877">
        <w:trPr>
          <w:trHeight w:val="283"/>
        </w:trPr>
        <w:tc>
          <w:tcPr>
            <w:tcW w:w="2279" w:type="pct"/>
            <w:vMerge/>
            <w:tcBorders>
              <w:top w:val="single" w:sz="8" w:space="0" w:color="F79646"/>
              <w:left w:val="nil"/>
              <w:bottom w:val="single" w:sz="4" w:space="0" w:color="F79646"/>
              <w:right w:val="nil"/>
            </w:tcBorders>
            <w:vAlign w:val="center"/>
            <w:hideMark/>
          </w:tcPr>
          <w:p w14:paraId="3656598F" w14:textId="77777777" w:rsidR="003C3E0F" w:rsidRPr="00FF4346" w:rsidRDefault="003C3E0F" w:rsidP="002E5FE9">
            <w:pPr>
              <w:jc w:val="center"/>
              <w:rPr>
                <w:rFonts w:ascii="CAIXA Std Book" w:eastAsia="Times New Roman" w:hAnsi="CAIXA Std Book" w:cs="Arial"/>
                <w:b/>
                <w:bCs/>
                <w:color w:val="005CA9"/>
                <w:sz w:val="18"/>
                <w:szCs w:val="18"/>
              </w:rPr>
            </w:pPr>
          </w:p>
        </w:tc>
        <w:tc>
          <w:tcPr>
            <w:tcW w:w="680" w:type="pct"/>
            <w:tcBorders>
              <w:top w:val="single" w:sz="4" w:space="0" w:color="F79646"/>
              <w:left w:val="nil"/>
              <w:bottom w:val="single" w:sz="4" w:space="0" w:color="F79646"/>
              <w:right w:val="nil"/>
            </w:tcBorders>
            <w:shd w:val="clear" w:color="auto" w:fill="auto"/>
            <w:vAlign w:val="center"/>
            <w:hideMark/>
          </w:tcPr>
          <w:p w14:paraId="29B68D94" w14:textId="6642ACBB"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w:t>
            </w:r>
            <w:r w:rsidR="009F74BB" w:rsidRPr="00FF4346">
              <w:rPr>
                <w:rFonts w:ascii="CAIXA Std Book" w:eastAsia="Times New Roman" w:hAnsi="CAIXA Std Book" w:cs="Arial"/>
                <w:b/>
                <w:bCs/>
                <w:color w:val="005CA9"/>
                <w:sz w:val="18"/>
                <w:szCs w:val="18"/>
              </w:rPr>
              <w:t>4</w:t>
            </w:r>
          </w:p>
        </w:tc>
        <w:tc>
          <w:tcPr>
            <w:tcW w:w="680" w:type="pct"/>
            <w:tcBorders>
              <w:top w:val="single" w:sz="4" w:space="0" w:color="F79646"/>
              <w:left w:val="nil"/>
              <w:bottom w:val="single" w:sz="4" w:space="0" w:color="F79646"/>
              <w:right w:val="nil"/>
            </w:tcBorders>
            <w:shd w:val="clear" w:color="auto" w:fill="auto"/>
            <w:vAlign w:val="center"/>
            <w:hideMark/>
          </w:tcPr>
          <w:p w14:paraId="5B623D4E" w14:textId="66875DB3"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w:t>
            </w:r>
            <w:r w:rsidR="009F74BB" w:rsidRPr="00FF4346">
              <w:rPr>
                <w:rFonts w:ascii="CAIXA Std Book" w:eastAsia="Times New Roman" w:hAnsi="CAIXA Std Book" w:cs="Arial"/>
                <w:b/>
                <w:bCs/>
                <w:color w:val="005CA9"/>
                <w:sz w:val="18"/>
                <w:szCs w:val="18"/>
              </w:rPr>
              <w:t>3</w:t>
            </w:r>
          </w:p>
        </w:tc>
        <w:tc>
          <w:tcPr>
            <w:tcW w:w="680" w:type="pct"/>
            <w:tcBorders>
              <w:top w:val="single" w:sz="4" w:space="0" w:color="F79646"/>
              <w:left w:val="nil"/>
              <w:bottom w:val="single" w:sz="4" w:space="0" w:color="F79646"/>
              <w:right w:val="nil"/>
            </w:tcBorders>
            <w:shd w:val="clear" w:color="auto" w:fill="auto"/>
            <w:vAlign w:val="center"/>
            <w:hideMark/>
          </w:tcPr>
          <w:p w14:paraId="62D6D1AB" w14:textId="40EE6BFF"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w:t>
            </w:r>
            <w:r w:rsidR="009F74BB" w:rsidRPr="00FF4346">
              <w:rPr>
                <w:rFonts w:ascii="CAIXA Std Book" w:eastAsia="Times New Roman" w:hAnsi="CAIXA Std Book" w:cs="Arial"/>
                <w:b/>
                <w:bCs/>
                <w:color w:val="005CA9"/>
                <w:sz w:val="18"/>
                <w:szCs w:val="18"/>
              </w:rPr>
              <w:t>4</w:t>
            </w:r>
          </w:p>
        </w:tc>
        <w:tc>
          <w:tcPr>
            <w:tcW w:w="680" w:type="pct"/>
            <w:tcBorders>
              <w:top w:val="single" w:sz="4" w:space="0" w:color="F79646"/>
              <w:left w:val="nil"/>
              <w:bottom w:val="single" w:sz="4" w:space="0" w:color="F79646"/>
              <w:right w:val="nil"/>
            </w:tcBorders>
            <w:shd w:val="clear" w:color="auto" w:fill="auto"/>
            <w:vAlign w:val="center"/>
            <w:hideMark/>
          </w:tcPr>
          <w:p w14:paraId="66368262" w14:textId="301ECB2A"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202</w:t>
            </w:r>
            <w:r w:rsidR="009F74BB" w:rsidRPr="00FF4346">
              <w:rPr>
                <w:rFonts w:ascii="CAIXA Std Book" w:eastAsia="Times New Roman" w:hAnsi="CAIXA Std Book" w:cs="Arial"/>
                <w:b/>
                <w:bCs/>
                <w:color w:val="005CA9"/>
                <w:sz w:val="18"/>
                <w:szCs w:val="18"/>
              </w:rPr>
              <w:t>3</w:t>
            </w:r>
          </w:p>
        </w:tc>
      </w:tr>
      <w:tr w:rsidR="003C3E0F" w:rsidRPr="00A33766" w14:paraId="25DC2D55" w14:textId="77777777" w:rsidTr="004B0877">
        <w:trPr>
          <w:trHeight w:val="283"/>
        </w:trPr>
        <w:tc>
          <w:tcPr>
            <w:tcW w:w="2279" w:type="pct"/>
            <w:vMerge/>
            <w:tcBorders>
              <w:top w:val="single" w:sz="8" w:space="0" w:color="F79646"/>
              <w:left w:val="nil"/>
              <w:bottom w:val="single" w:sz="4" w:space="0" w:color="F79646"/>
              <w:right w:val="nil"/>
            </w:tcBorders>
            <w:vAlign w:val="center"/>
            <w:hideMark/>
          </w:tcPr>
          <w:p w14:paraId="08C46602" w14:textId="77777777" w:rsidR="003C3E0F" w:rsidRPr="00FF4346" w:rsidRDefault="003C3E0F" w:rsidP="002E5FE9">
            <w:pPr>
              <w:jc w:val="center"/>
              <w:rPr>
                <w:rFonts w:ascii="CAIXA Std Book" w:eastAsia="Times New Roman" w:hAnsi="CAIXA Std Book" w:cs="Arial"/>
                <w:b/>
                <w:bCs/>
                <w:color w:val="005CA9"/>
                <w:sz w:val="18"/>
                <w:szCs w:val="18"/>
              </w:rPr>
            </w:pPr>
          </w:p>
        </w:tc>
        <w:tc>
          <w:tcPr>
            <w:tcW w:w="680" w:type="pct"/>
            <w:tcBorders>
              <w:top w:val="single" w:sz="4" w:space="0" w:color="F79646"/>
              <w:left w:val="nil"/>
              <w:bottom w:val="single" w:sz="4" w:space="0" w:color="F79646"/>
              <w:right w:val="nil"/>
            </w:tcBorders>
            <w:shd w:val="clear" w:color="auto" w:fill="auto"/>
            <w:vAlign w:val="center"/>
            <w:hideMark/>
          </w:tcPr>
          <w:p w14:paraId="718A189D"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0" w:type="pct"/>
            <w:tcBorders>
              <w:top w:val="single" w:sz="4" w:space="0" w:color="F79646"/>
              <w:left w:val="nil"/>
              <w:bottom w:val="single" w:sz="4" w:space="0" w:color="F79646"/>
              <w:right w:val="nil"/>
            </w:tcBorders>
            <w:shd w:val="clear" w:color="auto" w:fill="auto"/>
            <w:vAlign w:val="center"/>
            <w:hideMark/>
          </w:tcPr>
          <w:p w14:paraId="59DF4096"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0" w:type="pct"/>
            <w:tcBorders>
              <w:top w:val="single" w:sz="4" w:space="0" w:color="F79646"/>
              <w:left w:val="nil"/>
              <w:bottom w:val="single" w:sz="4" w:space="0" w:color="F79646"/>
              <w:right w:val="nil"/>
            </w:tcBorders>
            <w:shd w:val="clear" w:color="auto" w:fill="auto"/>
            <w:vAlign w:val="center"/>
            <w:hideMark/>
          </w:tcPr>
          <w:p w14:paraId="64BD9694"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c>
          <w:tcPr>
            <w:tcW w:w="680" w:type="pct"/>
            <w:tcBorders>
              <w:top w:val="single" w:sz="4" w:space="0" w:color="F79646"/>
              <w:left w:val="nil"/>
              <w:bottom w:val="single" w:sz="4" w:space="0" w:color="F79646"/>
              <w:right w:val="nil"/>
            </w:tcBorders>
            <w:shd w:val="clear" w:color="auto" w:fill="auto"/>
            <w:vAlign w:val="center"/>
            <w:hideMark/>
          </w:tcPr>
          <w:p w14:paraId="58468EAB" w14:textId="77777777" w:rsidR="003C3E0F" w:rsidRPr="00FF4346" w:rsidRDefault="003C3E0F">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1º trimestre</w:t>
            </w:r>
          </w:p>
        </w:tc>
      </w:tr>
      <w:tr w:rsidR="00C56C28" w:rsidRPr="00A33766" w14:paraId="75DCB3D0" w14:textId="77777777" w:rsidTr="004B0877">
        <w:trPr>
          <w:trHeight w:val="283"/>
        </w:trPr>
        <w:tc>
          <w:tcPr>
            <w:tcW w:w="2279" w:type="pct"/>
            <w:tcBorders>
              <w:top w:val="single" w:sz="4" w:space="0" w:color="F79646"/>
              <w:left w:val="nil"/>
              <w:bottom w:val="nil"/>
              <w:right w:val="nil"/>
            </w:tcBorders>
            <w:shd w:val="clear" w:color="auto" w:fill="auto"/>
            <w:vAlign w:val="center"/>
            <w:hideMark/>
          </w:tcPr>
          <w:p w14:paraId="0AC3EF59" w14:textId="77777777" w:rsidR="00C56C28" w:rsidRPr="00FF4346" w:rsidRDefault="00C56C28" w:rsidP="00C56C2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COFINS</w:t>
            </w:r>
          </w:p>
        </w:tc>
        <w:tc>
          <w:tcPr>
            <w:tcW w:w="680" w:type="pct"/>
            <w:tcBorders>
              <w:top w:val="single" w:sz="4" w:space="0" w:color="F79646"/>
              <w:left w:val="nil"/>
              <w:bottom w:val="nil"/>
              <w:right w:val="nil"/>
            </w:tcBorders>
            <w:shd w:val="clear" w:color="auto" w:fill="auto"/>
            <w:noWrap/>
            <w:vAlign w:val="center"/>
          </w:tcPr>
          <w:p w14:paraId="19C1D82A" w14:textId="49975C23" w:rsidR="00C56C28" w:rsidRPr="00FF4346" w:rsidRDefault="00821936" w:rsidP="00821936">
            <w:pPr>
              <w:jc w:val="right"/>
              <w:rPr>
                <w:rFonts w:ascii="CAIXA Std Book" w:eastAsia="Times New Roman" w:hAnsi="CAIXA Std Book" w:cs="Arial"/>
                <w:color w:val="005CA9"/>
                <w:sz w:val="18"/>
                <w:szCs w:val="18"/>
              </w:rPr>
            </w:pPr>
            <w:r>
              <w:rPr>
                <w:rFonts w:ascii="CAIXA Std Book" w:hAnsi="CAIXA Std Book" w:cs="Arial"/>
                <w:color w:val="005CA9"/>
                <w:sz w:val="18"/>
                <w:szCs w:val="18"/>
              </w:rPr>
              <w:t>(709.697)</w:t>
            </w:r>
          </w:p>
        </w:tc>
        <w:tc>
          <w:tcPr>
            <w:tcW w:w="680" w:type="pct"/>
            <w:tcBorders>
              <w:top w:val="single" w:sz="4" w:space="0" w:color="F79646"/>
              <w:left w:val="nil"/>
              <w:bottom w:val="nil"/>
              <w:right w:val="nil"/>
            </w:tcBorders>
            <w:shd w:val="clear" w:color="auto" w:fill="auto"/>
            <w:vAlign w:val="center"/>
            <w:hideMark/>
          </w:tcPr>
          <w:p w14:paraId="3C8E8AE4" w14:textId="13C2F98C" w:rsidR="00C56C28" w:rsidRPr="00FF4346" w:rsidRDefault="002E5FE9" w:rsidP="00C56C28">
            <w:pPr>
              <w:jc w:val="right"/>
              <w:rPr>
                <w:rFonts w:ascii="CAIXA Std Book" w:eastAsia="Times New Roman" w:hAnsi="CAIXA Std Book" w:cs="Times New Roman"/>
                <w:color w:val="005CA9"/>
                <w:sz w:val="18"/>
                <w:szCs w:val="18"/>
              </w:rPr>
            </w:pPr>
            <w:r w:rsidRPr="002E5FE9">
              <w:rPr>
                <w:rFonts w:ascii="CAIXA Std Book" w:hAnsi="CAIXA Std Book" w:cs="Arial"/>
                <w:color w:val="005CA9"/>
                <w:sz w:val="18"/>
                <w:szCs w:val="18"/>
              </w:rPr>
              <w:t>(666.842)</w:t>
            </w:r>
          </w:p>
        </w:tc>
        <w:tc>
          <w:tcPr>
            <w:tcW w:w="680" w:type="pct"/>
            <w:tcBorders>
              <w:top w:val="single" w:sz="4" w:space="0" w:color="F79646"/>
              <w:left w:val="nil"/>
              <w:bottom w:val="nil"/>
              <w:right w:val="nil"/>
            </w:tcBorders>
            <w:shd w:val="clear" w:color="auto" w:fill="auto"/>
            <w:noWrap/>
            <w:vAlign w:val="center"/>
          </w:tcPr>
          <w:p w14:paraId="4373192E" w14:textId="703A8173" w:rsidR="00C56C28" w:rsidRPr="00FF4346" w:rsidRDefault="006D693C" w:rsidP="002E133F">
            <w:pPr>
              <w:jc w:val="right"/>
              <w:rPr>
                <w:rFonts w:ascii="CAIXA Std Book" w:eastAsia="Times New Roman" w:hAnsi="CAIXA Std Book" w:cs="Times New Roman"/>
                <w:color w:val="005CA9"/>
                <w:sz w:val="18"/>
                <w:szCs w:val="18"/>
              </w:rPr>
            </w:pPr>
            <w:r>
              <w:rPr>
                <w:rFonts w:ascii="CAIXA Std Book" w:hAnsi="CAIXA Std Book" w:cs="Arial"/>
                <w:color w:val="005CA9"/>
                <w:sz w:val="18"/>
                <w:szCs w:val="18"/>
              </w:rPr>
              <w:t>(775.277)</w:t>
            </w:r>
          </w:p>
        </w:tc>
        <w:tc>
          <w:tcPr>
            <w:tcW w:w="680" w:type="pct"/>
            <w:tcBorders>
              <w:top w:val="single" w:sz="4" w:space="0" w:color="F79646"/>
              <w:left w:val="nil"/>
              <w:bottom w:val="nil"/>
              <w:right w:val="nil"/>
            </w:tcBorders>
            <w:shd w:val="clear" w:color="auto" w:fill="auto"/>
            <w:vAlign w:val="center"/>
            <w:hideMark/>
          </w:tcPr>
          <w:p w14:paraId="3199D713" w14:textId="37CBDEE3"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w:t>
            </w:r>
            <w:r w:rsidR="002E5FE9" w:rsidRPr="002E5FE9">
              <w:rPr>
                <w:rFonts w:ascii="CAIXA Std Book" w:hAnsi="CAIXA Std Book" w:cs="Arial"/>
                <w:color w:val="005CA9"/>
                <w:sz w:val="18"/>
                <w:szCs w:val="18"/>
              </w:rPr>
              <w:t>726.</w:t>
            </w:r>
            <w:r w:rsidRPr="00FF4346">
              <w:rPr>
                <w:rFonts w:ascii="CAIXA Std Book" w:hAnsi="CAIXA Std Book" w:cs="Arial"/>
                <w:color w:val="005CA9"/>
                <w:sz w:val="18"/>
                <w:szCs w:val="18"/>
              </w:rPr>
              <w:t>723)</w:t>
            </w:r>
          </w:p>
        </w:tc>
      </w:tr>
      <w:tr w:rsidR="00C56C28" w:rsidRPr="00A33766" w14:paraId="0737CA5D" w14:textId="77777777" w:rsidTr="004B0877">
        <w:trPr>
          <w:trHeight w:val="283"/>
        </w:trPr>
        <w:tc>
          <w:tcPr>
            <w:tcW w:w="2279" w:type="pct"/>
            <w:tcBorders>
              <w:top w:val="nil"/>
              <w:left w:val="nil"/>
              <w:bottom w:val="nil"/>
              <w:right w:val="nil"/>
            </w:tcBorders>
            <w:shd w:val="clear" w:color="auto" w:fill="auto"/>
            <w:vAlign w:val="center"/>
            <w:hideMark/>
          </w:tcPr>
          <w:p w14:paraId="2EEB3072" w14:textId="77777777" w:rsidR="00C56C28" w:rsidRPr="00FF4346" w:rsidRDefault="00C56C28" w:rsidP="00C56C2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ISS</w:t>
            </w:r>
          </w:p>
        </w:tc>
        <w:tc>
          <w:tcPr>
            <w:tcW w:w="680" w:type="pct"/>
            <w:tcBorders>
              <w:top w:val="nil"/>
              <w:left w:val="nil"/>
              <w:bottom w:val="nil"/>
              <w:right w:val="nil"/>
            </w:tcBorders>
            <w:shd w:val="clear" w:color="auto" w:fill="auto"/>
            <w:noWrap/>
            <w:vAlign w:val="center"/>
          </w:tcPr>
          <w:p w14:paraId="0FAE3EE3" w14:textId="4EB678CA" w:rsidR="00C56C28" w:rsidRPr="00FF4346" w:rsidRDefault="00821936" w:rsidP="00821936">
            <w:pPr>
              <w:jc w:val="right"/>
              <w:rPr>
                <w:rFonts w:ascii="CAIXA Std Book" w:eastAsia="Times New Roman" w:hAnsi="CAIXA Std Book" w:cs="Arial"/>
                <w:color w:val="005CA9"/>
                <w:sz w:val="18"/>
                <w:szCs w:val="18"/>
              </w:rPr>
            </w:pPr>
            <w:r>
              <w:rPr>
                <w:rFonts w:ascii="CAIXA Std Book" w:hAnsi="CAIXA Std Book" w:cs="Arial"/>
                <w:color w:val="005CA9"/>
                <w:sz w:val="18"/>
                <w:szCs w:val="18"/>
              </w:rPr>
              <w:t>(206.405)</w:t>
            </w:r>
          </w:p>
        </w:tc>
        <w:tc>
          <w:tcPr>
            <w:tcW w:w="680" w:type="pct"/>
            <w:tcBorders>
              <w:top w:val="nil"/>
              <w:left w:val="nil"/>
              <w:bottom w:val="nil"/>
              <w:right w:val="nil"/>
            </w:tcBorders>
            <w:shd w:val="clear" w:color="auto" w:fill="auto"/>
            <w:vAlign w:val="center"/>
            <w:hideMark/>
          </w:tcPr>
          <w:p w14:paraId="2AAF4A28" w14:textId="31C41B0C"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(192.761)</w:t>
            </w:r>
          </w:p>
        </w:tc>
        <w:tc>
          <w:tcPr>
            <w:tcW w:w="680" w:type="pct"/>
            <w:tcBorders>
              <w:top w:val="nil"/>
              <w:left w:val="nil"/>
              <w:bottom w:val="nil"/>
              <w:right w:val="nil"/>
            </w:tcBorders>
            <w:shd w:val="clear" w:color="auto" w:fill="auto"/>
            <w:noWrap/>
            <w:vAlign w:val="center"/>
          </w:tcPr>
          <w:p w14:paraId="21BCA325" w14:textId="0F8512FD" w:rsidR="00C56C28" w:rsidRPr="00FF4346" w:rsidRDefault="006D693C" w:rsidP="002E133F">
            <w:pPr>
              <w:jc w:val="right"/>
              <w:rPr>
                <w:rFonts w:ascii="CAIXA Std Book" w:eastAsia="Times New Roman" w:hAnsi="CAIXA Std Book" w:cs="Times New Roman"/>
                <w:color w:val="005CA9"/>
                <w:sz w:val="18"/>
                <w:szCs w:val="18"/>
              </w:rPr>
            </w:pPr>
            <w:r>
              <w:rPr>
                <w:rFonts w:ascii="CAIXA Std Book" w:hAnsi="CAIXA Std Book" w:cs="Arial"/>
                <w:color w:val="005CA9"/>
                <w:sz w:val="18"/>
                <w:szCs w:val="18"/>
              </w:rPr>
              <w:t>(232.043)</w:t>
            </w:r>
          </w:p>
        </w:tc>
        <w:tc>
          <w:tcPr>
            <w:tcW w:w="680" w:type="pct"/>
            <w:tcBorders>
              <w:top w:val="nil"/>
              <w:left w:val="nil"/>
              <w:bottom w:val="nil"/>
              <w:right w:val="nil"/>
            </w:tcBorders>
            <w:shd w:val="clear" w:color="auto" w:fill="auto"/>
            <w:vAlign w:val="center"/>
            <w:hideMark/>
          </w:tcPr>
          <w:p w14:paraId="5CCB8846" w14:textId="23328462"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(215.696)</w:t>
            </w:r>
          </w:p>
        </w:tc>
      </w:tr>
      <w:tr w:rsidR="00C56C28" w:rsidRPr="00A33766" w14:paraId="5B3C432B" w14:textId="77777777" w:rsidTr="004B0877">
        <w:trPr>
          <w:trHeight w:val="283"/>
        </w:trPr>
        <w:tc>
          <w:tcPr>
            <w:tcW w:w="2279" w:type="pct"/>
            <w:tcBorders>
              <w:top w:val="nil"/>
              <w:left w:val="nil"/>
              <w:bottom w:val="nil"/>
              <w:right w:val="nil"/>
            </w:tcBorders>
            <w:shd w:val="clear" w:color="auto" w:fill="auto"/>
            <w:vAlign w:val="center"/>
            <w:hideMark/>
          </w:tcPr>
          <w:p w14:paraId="025AF89A" w14:textId="77777777" w:rsidR="00C56C28" w:rsidRPr="00FF4346" w:rsidRDefault="00C56C28" w:rsidP="00C56C2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PIS/PASEP</w:t>
            </w:r>
          </w:p>
        </w:tc>
        <w:tc>
          <w:tcPr>
            <w:tcW w:w="680" w:type="pct"/>
            <w:tcBorders>
              <w:top w:val="nil"/>
              <w:left w:val="nil"/>
              <w:bottom w:val="nil"/>
              <w:right w:val="nil"/>
            </w:tcBorders>
            <w:shd w:val="clear" w:color="auto" w:fill="auto"/>
            <w:noWrap/>
            <w:vAlign w:val="center"/>
          </w:tcPr>
          <w:p w14:paraId="76FFE2DD" w14:textId="4944C190" w:rsidR="00C56C28" w:rsidRPr="00FF4346" w:rsidRDefault="00821936" w:rsidP="00821936">
            <w:pPr>
              <w:jc w:val="right"/>
              <w:rPr>
                <w:rFonts w:ascii="CAIXA Std Book" w:eastAsia="Times New Roman" w:hAnsi="CAIXA Std Book" w:cs="Arial"/>
                <w:color w:val="005CA9"/>
                <w:sz w:val="18"/>
                <w:szCs w:val="18"/>
              </w:rPr>
            </w:pPr>
            <w:r>
              <w:rPr>
                <w:rFonts w:ascii="CAIXA Std Book" w:hAnsi="CAIXA Std Book" w:cs="Arial"/>
                <w:color w:val="005CA9"/>
                <w:sz w:val="18"/>
                <w:szCs w:val="18"/>
              </w:rPr>
              <w:t>(115.334)</w:t>
            </w:r>
          </w:p>
        </w:tc>
        <w:tc>
          <w:tcPr>
            <w:tcW w:w="680" w:type="pct"/>
            <w:tcBorders>
              <w:top w:val="nil"/>
              <w:left w:val="nil"/>
              <w:bottom w:val="nil"/>
              <w:right w:val="nil"/>
            </w:tcBorders>
            <w:shd w:val="clear" w:color="auto" w:fill="auto"/>
            <w:vAlign w:val="center"/>
            <w:hideMark/>
          </w:tcPr>
          <w:p w14:paraId="51AF3DF5" w14:textId="1966748F" w:rsidR="00C56C28" w:rsidRPr="00FF4346" w:rsidRDefault="002E5FE9" w:rsidP="00C56C28">
            <w:pPr>
              <w:jc w:val="right"/>
              <w:rPr>
                <w:rFonts w:ascii="CAIXA Std Book" w:eastAsia="Times New Roman" w:hAnsi="CAIXA Std Book" w:cs="Times New Roman"/>
                <w:color w:val="005CA9"/>
                <w:sz w:val="18"/>
                <w:szCs w:val="18"/>
              </w:rPr>
            </w:pPr>
            <w:r w:rsidRPr="002E5FE9">
              <w:rPr>
                <w:rFonts w:ascii="CAIXA Std Book" w:hAnsi="CAIXA Std Book" w:cs="Arial"/>
                <w:color w:val="005CA9"/>
                <w:sz w:val="18"/>
                <w:szCs w:val="18"/>
              </w:rPr>
              <w:t>(108.367)</w:t>
            </w:r>
          </w:p>
        </w:tc>
        <w:tc>
          <w:tcPr>
            <w:tcW w:w="680" w:type="pct"/>
            <w:tcBorders>
              <w:top w:val="nil"/>
              <w:left w:val="nil"/>
              <w:bottom w:val="nil"/>
              <w:right w:val="nil"/>
            </w:tcBorders>
            <w:shd w:val="clear" w:color="auto" w:fill="auto"/>
            <w:noWrap/>
            <w:vAlign w:val="center"/>
          </w:tcPr>
          <w:p w14:paraId="4AE8D2B8" w14:textId="7F363146" w:rsidR="00C56C28" w:rsidRPr="00FF4346" w:rsidRDefault="006D693C" w:rsidP="002E133F">
            <w:pPr>
              <w:jc w:val="right"/>
              <w:rPr>
                <w:rFonts w:ascii="CAIXA Std Book" w:eastAsia="Times New Roman" w:hAnsi="CAIXA Std Book" w:cs="Times New Roman"/>
                <w:color w:val="005CA9"/>
                <w:sz w:val="18"/>
                <w:szCs w:val="18"/>
              </w:rPr>
            </w:pPr>
            <w:r>
              <w:rPr>
                <w:rFonts w:ascii="CAIXA Std Book" w:hAnsi="CAIXA Std Book" w:cs="Arial"/>
                <w:color w:val="005CA9"/>
                <w:sz w:val="18"/>
                <w:szCs w:val="18"/>
              </w:rPr>
              <w:t>(128.395)</w:t>
            </w:r>
          </w:p>
        </w:tc>
        <w:tc>
          <w:tcPr>
            <w:tcW w:w="680" w:type="pct"/>
            <w:tcBorders>
              <w:top w:val="nil"/>
              <w:left w:val="nil"/>
              <w:bottom w:val="nil"/>
              <w:right w:val="nil"/>
            </w:tcBorders>
            <w:shd w:val="clear" w:color="auto" w:fill="auto"/>
            <w:vAlign w:val="center"/>
            <w:hideMark/>
          </w:tcPr>
          <w:p w14:paraId="60E8BA34" w14:textId="640D55E0" w:rsidR="00C56C28" w:rsidRPr="00FF4346" w:rsidRDefault="002E5FE9" w:rsidP="00C56C28">
            <w:pPr>
              <w:jc w:val="right"/>
              <w:rPr>
                <w:rFonts w:ascii="CAIXA Std Book" w:eastAsia="Times New Roman" w:hAnsi="CAIXA Std Book" w:cs="Times New Roman"/>
                <w:color w:val="005CA9"/>
                <w:sz w:val="18"/>
                <w:szCs w:val="18"/>
              </w:rPr>
            </w:pPr>
            <w:r w:rsidRPr="002E5FE9">
              <w:rPr>
                <w:rFonts w:ascii="CAIXA Std Book" w:hAnsi="CAIXA Std Book" w:cs="Arial"/>
                <w:color w:val="005CA9"/>
                <w:sz w:val="18"/>
                <w:szCs w:val="18"/>
              </w:rPr>
              <w:t>(120.150)</w:t>
            </w:r>
          </w:p>
        </w:tc>
      </w:tr>
      <w:tr w:rsidR="00C56C28" w:rsidRPr="00A33766" w14:paraId="43C7EA26" w14:textId="77777777" w:rsidTr="004B0877">
        <w:trPr>
          <w:trHeight w:val="283"/>
        </w:trPr>
        <w:tc>
          <w:tcPr>
            <w:tcW w:w="2279" w:type="pct"/>
            <w:tcBorders>
              <w:top w:val="nil"/>
              <w:left w:val="nil"/>
              <w:right w:val="nil"/>
            </w:tcBorders>
            <w:shd w:val="clear" w:color="auto" w:fill="auto"/>
            <w:vAlign w:val="center"/>
            <w:hideMark/>
          </w:tcPr>
          <w:p w14:paraId="31E9A023" w14:textId="77777777" w:rsidR="00C56C28" w:rsidRPr="00FF4346" w:rsidRDefault="00C56C28" w:rsidP="00C56C2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IPTU</w:t>
            </w:r>
          </w:p>
        </w:tc>
        <w:tc>
          <w:tcPr>
            <w:tcW w:w="680" w:type="pct"/>
            <w:tcBorders>
              <w:top w:val="nil"/>
              <w:left w:val="nil"/>
              <w:right w:val="nil"/>
            </w:tcBorders>
            <w:shd w:val="clear" w:color="auto" w:fill="auto"/>
            <w:noWrap/>
            <w:vAlign w:val="center"/>
          </w:tcPr>
          <w:p w14:paraId="6AB13E8C" w14:textId="6DC28588" w:rsidR="00C56C28" w:rsidRPr="00FF4346" w:rsidRDefault="00821936" w:rsidP="00821936">
            <w:pPr>
              <w:jc w:val="right"/>
              <w:rPr>
                <w:rFonts w:ascii="CAIXA Std Book" w:eastAsia="Times New Roman" w:hAnsi="CAIXA Std Book" w:cs="Arial"/>
                <w:color w:val="005CA9"/>
                <w:sz w:val="18"/>
                <w:szCs w:val="18"/>
              </w:rPr>
            </w:pPr>
            <w:r>
              <w:rPr>
                <w:rFonts w:ascii="CAIXA Std Book" w:hAnsi="CAIXA Std Book" w:cs="Arial"/>
                <w:color w:val="005CA9"/>
                <w:sz w:val="18"/>
                <w:szCs w:val="18"/>
              </w:rPr>
              <w:t>(76.514)</w:t>
            </w:r>
          </w:p>
        </w:tc>
        <w:tc>
          <w:tcPr>
            <w:tcW w:w="680" w:type="pct"/>
            <w:tcBorders>
              <w:top w:val="nil"/>
              <w:left w:val="nil"/>
              <w:right w:val="nil"/>
            </w:tcBorders>
            <w:shd w:val="clear" w:color="auto" w:fill="auto"/>
            <w:vAlign w:val="center"/>
            <w:hideMark/>
          </w:tcPr>
          <w:p w14:paraId="2CB966EA" w14:textId="2AA33F92"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(71.526)</w:t>
            </w:r>
          </w:p>
        </w:tc>
        <w:tc>
          <w:tcPr>
            <w:tcW w:w="680" w:type="pct"/>
            <w:tcBorders>
              <w:top w:val="nil"/>
              <w:left w:val="nil"/>
              <w:right w:val="nil"/>
            </w:tcBorders>
            <w:shd w:val="clear" w:color="auto" w:fill="auto"/>
            <w:noWrap/>
            <w:vAlign w:val="center"/>
          </w:tcPr>
          <w:p w14:paraId="5FADE19E" w14:textId="5D0D4190" w:rsidR="00C56C28" w:rsidRPr="00FF4346" w:rsidRDefault="006D693C" w:rsidP="002E133F">
            <w:pPr>
              <w:jc w:val="right"/>
              <w:rPr>
                <w:rFonts w:ascii="CAIXA Std Book" w:eastAsia="Times New Roman" w:hAnsi="CAIXA Std Book" w:cs="Times New Roman"/>
                <w:color w:val="005CA9"/>
                <w:sz w:val="18"/>
                <w:szCs w:val="18"/>
              </w:rPr>
            </w:pPr>
            <w:r>
              <w:rPr>
                <w:rFonts w:ascii="CAIXA Std Book" w:hAnsi="CAIXA Std Book" w:cs="Arial"/>
                <w:color w:val="005CA9"/>
                <w:sz w:val="18"/>
                <w:szCs w:val="18"/>
              </w:rPr>
              <w:t>(76.514)</w:t>
            </w:r>
          </w:p>
        </w:tc>
        <w:tc>
          <w:tcPr>
            <w:tcW w:w="680" w:type="pct"/>
            <w:tcBorders>
              <w:top w:val="nil"/>
              <w:left w:val="nil"/>
              <w:right w:val="nil"/>
            </w:tcBorders>
            <w:shd w:val="clear" w:color="auto" w:fill="auto"/>
            <w:vAlign w:val="center"/>
            <w:hideMark/>
          </w:tcPr>
          <w:p w14:paraId="2CB55699" w14:textId="6EA46E01"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(71.526)</w:t>
            </w:r>
          </w:p>
        </w:tc>
      </w:tr>
      <w:tr w:rsidR="00C56C28" w:rsidRPr="00A33766" w14:paraId="2E5E1792" w14:textId="77777777" w:rsidTr="004B0877">
        <w:trPr>
          <w:trHeight w:val="283"/>
        </w:trPr>
        <w:tc>
          <w:tcPr>
            <w:tcW w:w="2279" w:type="pct"/>
            <w:tcBorders>
              <w:top w:val="nil"/>
              <w:left w:val="nil"/>
              <w:bottom w:val="single" w:sz="4" w:space="0" w:color="F79646"/>
              <w:right w:val="nil"/>
            </w:tcBorders>
            <w:shd w:val="clear" w:color="auto" w:fill="auto"/>
            <w:vAlign w:val="center"/>
            <w:hideMark/>
          </w:tcPr>
          <w:p w14:paraId="676E80FB" w14:textId="77777777" w:rsidR="00C56C28" w:rsidRPr="00FF4346" w:rsidRDefault="00C56C28" w:rsidP="00C56C28">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Outras</w:t>
            </w:r>
          </w:p>
        </w:tc>
        <w:tc>
          <w:tcPr>
            <w:tcW w:w="680" w:type="pct"/>
            <w:tcBorders>
              <w:top w:val="nil"/>
              <w:left w:val="nil"/>
              <w:bottom w:val="single" w:sz="4" w:space="0" w:color="F79646"/>
              <w:right w:val="nil"/>
            </w:tcBorders>
            <w:shd w:val="clear" w:color="auto" w:fill="auto"/>
            <w:noWrap/>
            <w:vAlign w:val="center"/>
          </w:tcPr>
          <w:p w14:paraId="1556FA79" w14:textId="5A89928A" w:rsidR="00C56C28" w:rsidRPr="00FF4346" w:rsidRDefault="00821936" w:rsidP="00821936">
            <w:pPr>
              <w:jc w:val="right"/>
              <w:rPr>
                <w:rFonts w:ascii="CAIXA Std Book" w:eastAsia="Times New Roman" w:hAnsi="CAIXA Std Book" w:cs="Arial"/>
                <w:color w:val="005CA9"/>
                <w:sz w:val="18"/>
                <w:szCs w:val="18"/>
              </w:rPr>
            </w:pPr>
            <w:r>
              <w:rPr>
                <w:rFonts w:ascii="CAIXA Std Book" w:hAnsi="CAIXA Std Book" w:cs="Arial"/>
                <w:color w:val="005CA9"/>
                <w:sz w:val="18"/>
                <w:szCs w:val="18"/>
              </w:rPr>
              <w:t>(29.911)</w:t>
            </w:r>
          </w:p>
        </w:tc>
        <w:tc>
          <w:tcPr>
            <w:tcW w:w="680" w:type="pct"/>
            <w:tcBorders>
              <w:top w:val="nil"/>
              <w:left w:val="nil"/>
              <w:bottom w:val="single" w:sz="4" w:space="0" w:color="F79646"/>
              <w:right w:val="nil"/>
            </w:tcBorders>
            <w:shd w:val="clear" w:color="auto" w:fill="auto"/>
            <w:vAlign w:val="center"/>
            <w:hideMark/>
          </w:tcPr>
          <w:p w14:paraId="44D3ACE7" w14:textId="1C0C9576"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(22.003)</w:t>
            </w:r>
          </w:p>
        </w:tc>
        <w:tc>
          <w:tcPr>
            <w:tcW w:w="680" w:type="pct"/>
            <w:tcBorders>
              <w:top w:val="nil"/>
              <w:left w:val="nil"/>
              <w:bottom w:val="single" w:sz="4" w:space="0" w:color="F79646"/>
              <w:right w:val="nil"/>
            </w:tcBorders>
            <w:shd w:val="clear" w:color="auto" w:fill="auto"/>
            <w:noWrap/>
            <w:vAlign w:val="center"/>
          </w:tcPr>
          <w:p w14:paraId="079CF58F" w14:textId="60992A52" w:rsidR="00C56C28" w:rsidRPr="00FF4346" w:rsidRDefault="006D693C" w:rsidP="002E133F">
            <w:pPr>
              <w:jc w:val="right"/>
              <w:rPr>
                <w:rFonts w:ascii="CAIXA Std Book" w:eastAsia="Times New Roman" w:hAnsi="CAIXA Std Book" w:cs="Times New Roman"/>
                <w:color w:val="005CA9"/>
                <w:sz w:val="18"/>
                <w:szCs w:val="18"/>
              </w:rPr>
            </w:pPr>
            <w:r>
              <w:rPr>
                <w:rFonts w:ascii="CAIXA Std Book" w:hAnsi="CAIXA Std Book" w:cs="Arial"/>
                <w:color w:val="005CA9"/>
                <w:sz w:val="18"/>
                <w:szCs w:val="18"/>
              </w:rPr>
              <w:t>(30.450)</w:t>
            </w:r>
          </w:p>
        </w:tc>
        <w:tc>
          <w:tcPr>
            <w:tcW w:w="680" w:type="pct"/>
            <w:tcBorders>
              <w:top w:val="nil"/>
              <w:left w:val="nil"/>
              <w:bottom w:val="single" w:sz="4" w:space="0" w:color="F79646"/>
              <w:right w:val="nil"/>
            </w:tcBorders>
            <w:shd w:val="clear" w:color="auto" w:fill="auto"/>
            <w:vAlign w:val="center"/>
            <w:hideMark/>
          </w:tcPr>
          <w:p w14:paraId="2B85280C" w14:textId="351D1154" w:rsidR="00C56C28" w:rsidRPr="00FF4346" w:rsidRDefault="00C56C28" w:rsidP="00C56C28">
            <w:pPr>
              <w:jc w:val="right"/>
              <w:rPr>
                <w:rFonts w:ascii="CAIXA Std Book" w:eastAsia="Times New Roman" w:hAnsi="CAIXA Std Book" w:cs="Times New Roman"/>
                <w:color w:val="005CA9"/>
                <w:sz w:val="18"/>
                <w:szCs w:val="18"/>
              </w:rPr>
            </w:pPr>
            <w:r w:rsidRPr="00FF4346">
              <w:rPr>
                <w:rFonts w:ascii="CAIXA Std Book" w:hAnsi="CAIXA Std Book" w:cs="Arial"/>
                <w:color w:val="005CA9"/>
                <w:sz w:val="18"/>
                <w:szCs w:val="18"/>
              </w:rPr>
              <w:t>(22.</w:t>
            </w:r>
            <w:r w:rsidR="002E5FE9" w:rsidRPr="002E5FE9">
              <w:rPr>
                <w:rFonts w:ascii="CAIXA Std Book" w:hAnsi="CAIXA Std Book" w:cs="Arial"/>
                <w:color w:val="005CA9"/>
                <w:sz w:val="18"/>
                <w:szCs w:val="18"/>
              </w:rPr>
              <w:t>508</w:t>
            </w:r>
            <w:r w:rsidRPr="00FF4346">
              <w:rPr>
                <w:rFonts w:ascii="CAIXA Std Book" w:hAnsi="CAIXA Std Book" w:cs="Arial"/>
                <w:color w:val="005CA9"/>
                <w:sz w:val="18"/>
                <w:szCs w:val="18"/>
              </w:rPr>
              <w:t>)</w:t>
            </w:r>
          </w:p>
        </w:tc>
      </w:tr>
      <w:tr w:rsidR="00C56C28" w:rsidRPr="00A33766" w14:paraId="2A934C95" w14:textId="77777777" w:rsidTr="004B0877">
        <w:trPr>
          <w:trHeight w:val="283"/>
        </w:trPr>
        <w:tc>
          <w:tcPr>
            <w:tcW w:w="2279" w:type="pct"/>
            <w:tcBorders>
              <w:top w:val="single" w:sz="4" w:space="0" w:color="F79646"/>
              <w:left w:val="nil"/>
              <w:bottom w:val="single" w:sz="4" w:space="0" w:color="F79646"/>
              <w:right w:val="nil"/>
            </w:tcBorders>
            <w:shd w:val="clear" w:color="auto" w:fill="auto"/>
            <w:noWrap/>
            <w:vAlign w:val="center"/>
            <w:hideMark/>
          </w:tcPr>
          <w:p w14:paraId="6ABB1341" w14:textId="77777777" w:rsidR="00C56C28" w:rsidRPr="00FF4346" w:rsidRDefault="00C56C28" w:rsidP="00C56C28">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680" w:type="pct"/>
            <w:tcBorders>
              <w:top w:val="single" w:sz="4" w:space="0" w:color="F79646"/>
              <w:left w:val="nil"/>
              <w:bottom w:val="single" w:sz="4" w:space="0" w:color="F79646"/>
              <w:right w:val="nil"/>
            </w:tcBorders>
            <w:shd w:val="clear" w:color="auto" w:fill="auto"/>
            <w:noWrap/>
            <w:vAlign w:val="center"/>
          </w:tcPr>
          <w:p w14:paraId="25DE8EF0" w14:textId="7B0A08BD" w:rsidR="00C56C28" w:rsidRPr="00FF4346" w:rsidRDefault="00821936" w:rsidP="00821936">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(1.137.861)</w:t>
            </w:r>
          </w:p>
        </w:tc>
        <w:tc>
          <w:tcPr>
            <w:tcW w:w="680" w:type="pct"/>
            <w:tcBorders>
              <w:top w:val="single" w:sz="4" w:space="0" w:color="F79646"/>
              <w:left w:val="nil"/>
              <w:bottom w:val="single" w:sz="4" w:space="0" w:color="F79646"/>
              <w:right w:val="nil"/>
            </w:tcBorders>
            <w:shd w:val="clear" w:color="auto" w:fill="auto"/>
            <w:noWrap/>
            <w:vAlign w:val="center"/>
            <w:hideMark/>
          </w:tcPr>
          <w:p w14:paraId="661E5D5C" w14:textId="7324320B" w:rsidR="00C56C28" w:rsidRPr="00FF4346" w:rsidRDefault="00C56C28" w:rsidP="00C56C2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(1.</w:t>
            </w:r>
            <w:r w:rsidR="002E5FE9" w:rsidRPr="002E5FE9">
              <w:rPr>
                <w:rFonts w:ascii="CAIXA Std Book" w:hAnsi="CAIXA Std Book" w:cs="Arial"/>
                <w:b/>
                <w:bCs/>
                <w:color w:val="005CA9"/>
                <w:sz w:val="18"/>
                <w:szCs w:val="18"/>
              </w:rPr>
              <w:t>061.499</w:t>
            </w:r>
            <w:r w:rsidRPr="00FF4346">
              <w:rPr>
                <w:rFonts w:ascii="CAIXA Std Book" w:hAnsi="CAIXA Std Book" w:cs="Arial"/>
                <w:b/>
                <w:bCs/>
                <w:color w:val="005CA9"/>
                <w:sz w:val="18"/>
                <w:szCs w:val="18"/>
              </w:rPr>
              <w:t>)</w:t>
            </w:r>
          </w:p>
        </w:tc>
        <w:tc>
          <w:tcPr>
            <w:tcW w:w="680" w:type="pct"/>
            <w:tcBorders>
              <w:top w:val="single" w:sz="4" w:space="0" w:color="F79646"/>
              <w:left w:val="nil"/>
              <w:bottom w:val="single" w:sz="4" w:space="0" w:color="F79646"/>
              <w:right w:val="nil"/>
            </w:tcBorders>
            <w:shd w:val="clear" w:color="auto" w:fill="auto"/>
            <w:noWrap/>
            <w:vAlign w:val="center"/>
          </w:tcPr>
          <w:p w14:paraId="35F079E6" w14:textId="14DA8C22" w:rsidR="00C56C28" w:rsidRPr="00FF4346" w:rsidRDefault="006D693C" w:rsidP="002E133F">
            <w:pPr>
              <w:jc w:val="right"/>
              <w:rPr>
                <w:rFonts w:ascii="CAIXA Std Book" w:eastAsia="Times New Roman" w:hAnsi="CAIXA Std Book" w:cs="Arial"/>
                <w:b/>
                <w:bCs/>
                <w:color w:val="005CA9"/>
                <w:sz w:val="18"/>
                <w:szCs w:val="18"/>
              </w:rPr>
            </w:pPr>
            <w:r>
              <w:rPr>
                <w:rFonts w:ascii="CAIXA Std Book" w:hAnsi="CAIXA Std Book" w:cs="Arial"/>
                <w:b/>
                <w:bCs/>
                <w:color w:val="005CA9"/>
                <w:sz w:val="18"/>
                <w:szCs w:val="18"/>
              </w:rPr>
              <w:t>(1.242.679)</w:t>
            </w:r>
          </w:p>
        </w:tc>
        <w:tc>
          <w:tcPr>
            <w:tcW w:w="680" w:type="pct"/>
            <w:tcBorders>
              <w:top w:val="single" w:sz="4" w:space="0" w:color="F79646"/>
              <w:left w:val="nil"/>
              <w:bottom w:val="single" w:sz="4" w:space="0" w:color="F79646"/>
              <w:right w:val="nil"/>
            </w:tcBorders>
            <w:shd w:val="clear" w:color="auto" w:fill="auto"/>
            <w:noWrap/>
            <w:vAlign w:val="center"/>
            <w:hideMark/>
          </w:tcPr>
          <w:p w14:paraId="65814079" w14:textId="55D309D8" w:rsidR="00C56C28" w:rsidRPr="00FF4346" w:rsidRDefault="00C56C28" w:rsidP="00C56C28">
            <w:pPr>
              <w:jc w:val="right"/>
              <w:rPr>
                <w:rFonts w:ascii="CAIXA Std Book" w:eastAsia="Times New Roman" w:hAnsi="CAIXA Std Book" w:cs="Arial"/>
                <w:b/>
                <w:bCs/>
                <w:color w:val="005CA9"/>
                <w:sz w:val="18"/>
                <w:szCs w:val="18"/>
              </w:rPr>
            </w:pPr>
            <w:r w:rsidRPr="00FF4346">
              <w:rPr>
                <w:rFonts w:ascii="CAIXA Std Book" w:hAnsi="CAIXA Std Book" w:cs="Arial"/>
                <w:b/>
                <w:bCs/>
                <w:color w:val="005CA9"/>
                <w:sz w:val="18"/>
                <w:szCs w:val="18"/>
              </w:rPr>
              <w:t>(1.</w:t>
            </w:r>
            <w:r w:rsidR="002E5FE9" w:rsidRPr="002E5FE9">
              <w:rPr>
                <w:rFonts w:ascii="CAIXA Std Book" w:hAnsi="CAIXA Std Book" w:cs="Arial"/>
                <w:b/>
                <w:bCs/>
                <w:color w:val="005CA9"/>
                <w:sz w:val="18"/>
                <w:szCs w:val="18"/>
              </w:rPr>
              <w:t>156.603</w:t>
            </w:r>
            <w:r w:rsidRPr="00FF4346">
              <w:rPr>
                <w:rFonts w:ascii="CAIXA Std Book" w:hAnsi="CAIXA Std Book" w:cs="Arial"/>
                <w:b/>
                <w:bCs/>
                <w:color w:val="005CA9"/>
                <w:sz w:val="18"/>
                <w:szCs w:val="18"/>
              </w:rPr>
              <w:t>)</w:t>
            </w:r>
          </w:p>
        </w:tc>
      </w:tr>
    </w:tbl>
    <w:p w14:paraId="472C990E" w14:textId="77777777" w:rsidR="0066321D" w:rsidRDefault="0066321D" w:rsidP="00A7723D"/>
    <w:p w14:paraId="1C21D0AE" w14:textId="77777777" w:rsidR="0066321D" w:rsidRDefault="0066321D">
      <w:pPr>
        <w:rPr>
          <w:rFonts w:ascii="CAIXA Std Book" w:hAnsi="CAIXA Std Book"/>
          <w:b/>
          <w:color w:val="005CA9"/>
          <w:sz w:val="20"/>
          <w:szCs w:val="20"/>
        </w:rPr>
      </w:pPr>
      <w:r>
        <w:br w:type="page"/>
      </w:r>
    </w:p>
    <w:p w14:paraId="3863B0FD" w14:textId="14F87EB6" w:rsidR="00814F49" w:rsidRPr="00FF4346" w:rsidRDefault="00814F49" w:rsidP="005A596E">
      <w:pPr>
        <w:pStyle w:val="Ttulo1"/>
      </w:pPr>
      <w:bookmarkStart w:id="121" w:name="_Toc166594503"/>
      <w:r w:rsidRPr="00FF4346">
        <w:lastRenderedPageBreak/>
        <w:t>Nota 28 – Outras receitas operacionais</w:t>
      </w:r>
      <w:bookmarkEnd w:id="121"/>
    </w:p>
    <w:tbl>
      <w:tblPr>
        <w:tblW w:w="5000" w:type="pct"/>
        <w:tblLayout w:type="fixed"/>
        <w:tblCellMar>
          <w:left w:w="70" w:type="dxa"/>
          <w:right w:w="70" w:type="dxa"/>
        </w:tblCellMar>
        <w:tblLook w:val="04A0" w:firstRow="1" w:lastRow="0" w:firstColumn="1" w:lastColumn="0" w:noHBand="0" w:noVBand="1"/>
      </w:tblPr>
      <w:tblGrid>
        <w:gridCol w:w="4393"/>
        <w:gridCol w:w="1311"/>
        <w:gridCol w:w="1311"/>
        <w:gridCol w:w="1311"/>
        <w:gridCol w:w="1311"/>
      </w:tblGrid>
      <w:tr w:rsidR="0015469D" w:rsidRPr="00A33766" w14:paraId="68519195" w14:textId="77777777" w:rsidTr="00BB59D4">
        <w:trPr>
          <w:trHeight w:val="283"/>
        </w:trPr>
        <w:tc>
          <w:tcPr>
            <w:tcW w:w="2279" w:type="pct"/>
            <w:vMerge w:val="restart"/>
            <w:tcBorders>
              <w:top w:val="single" w:sz="4" w:space="0" w:color="F79646"/>
              <w:left w:val="nil"/>
              <w:right w:val="nil"/>
            </w:tcBorders>
            <w:shd w:val="clear" w:color="auto" w:fill="auto"/>
            <w:vAlign w:val="center"/>
            <w:hideMark/>
          </w:tcPr>
          <w:p w14:paraId="4CF8AB4A" w14:textId="77777777" w:rsidR="0015469D" w:rsidRPr="00FF4346" w:rsidRDefault="0015469D">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60" w:type="pct"/>
            <w:gridSpan w:val="2"/>
            <w:tcBorders>
              <w:top w:val="single" w:sz="4" w:space="0" w:color="F79646"/>
              <w:left w:val="nil"/>
              <w:bottom w:val="single" w:sz="4" w:space="0" w:color="F39200"/>
              <w:right w:val="nil"/>
            </w:tcBorders>
            <w:shd w:val="clear" w:color="auto" w:fill="auto"/>
            <w:vAlign w:val="center"/>
            <w:hideMark/>
          </w:tcPr>
          <w:p w14:paraId="7AD0053B" w14:textId="77777777" w:rsidR="0015469D" w:rsidRPr="00FF4346" w:rsidRDefault="0015469D">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INDIVIDUAL</w:t>
            </w:r>
          </w:p>
        </w:tc>
        <w:tc>
          <w:tcPr>
            <w:tcW w:w="1360" w:type="pct"/>
            <w:gridSpan w:val="2"/>
            <w:tcBorders>
              <w:top w:val="single" w:sz="4" w:space="0" w:color="F79646"/>
              <w:left w:val="nil"/>
              <w:bottom w:val="single" w:sz="4" w:space="0" w:color="F39200"/>
              <w:right w:val="nil"/>
            </w:tcBorders>
            <w:vAlign w:val="center"/>
          </w:tcPr>
          <w:p w14:paraId="19658FFD" w14:textId="77777777" w:rsidR="0015469D" w:rsidRPr="00FF4346" w:rsidRDefault="0015469D">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CONSOLIDADO</w:t>
            </w:r>
          </w:p>
        </w:tc>
      </w:tr>
      <w:tr w:rsidR="00083E2A" w:rsidRPr="00A33766" w14:paraId="3D480CAF" w14:textId="77777777" w:rsidTr="00BB59D4">
        <w:trPr>
          <w:trHeight w:val="283"/>
        </w:trPr>
        <w:tc>
          <w:tcPr>
            <w:tcW w:w="2279" w:type="pct"/>
            <w:vMerge/>
            <w:tcBorders>
              <w:top w:val="single" w:sz="4" w:space="0" w:color="F79646"/>
              <w:left w:val="nil"/>
              <w:right w:val="nil"/>
            </w:tcBorders>
            <w:shd w:val="clear" w:color="auto" w:fill="auto"/>
            <w:vAlign w:val="center"/>
          </w:tcPr>
          <w:p w14:paraId="1C4AF592" w14:textId="77777777" w:rsidR="00083E2A" w:rsidRPr="00FF4346" w:rsidRDefault="00083E2A" w:rsidP="00083E2A">
            <w:pPr>
              <w:jc w:val="center"/>
              <w:rPr>
                <w:rFonts w:ascii="CAIXA Std Book" w:eastAsia="Times New Roman" w:hAnsi="CAIXA Std Book" w:cs="Arial"/>
                <w:b/>
                <w:bCs/>
                <w:color w:val="005CA9"/>
                <w:sz w:val="18"/>
                <w:szCs w:val="18"/>
              </w:rPr>
            </w:pPr>
          </w:p>
        </w:tc>
        <w:tc>
          <w:tcPr>
            <w:tcW w:w="680" w:type="pct"/>
            <w:tcBorders>
              <w:top w:val="single" w:sz="4" w:space="0" w:color="F79646"/>
              <w:left w:val="nil"/>
              <w:bottom w:val="single" w:sz="4" w:space="0" w:color="F39200"/>
              <w:right w:val="nil"/>
            </w:tcBorders>
            <w:shd w:val="clear" w:color="auto" w:fill="auto"/>
            <w:vAlign w:val="center"/>
          </w:tcPr>
          <w:p w14:paraId="02BB9FDC" w14:textId="778626F8"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w:t>
            </w:r>
            <w:r w:rsidR="00C470FC" w:rsidRPr="00FF4346">
              <w:rPr>
                <w:rFonts w:ascii="CAIXA Std Book" w:hAnsi="CAIXA Std Book" w:cs="Cambria Math"/>
                <w:b/>
                <w:color w:val="005CA9"/>
                <w:sz w:val="18"/>
                <w:szCs w:val="18"/>
              </w:rPr>
              <w:t>4</w:t>
            </w:r>
          </w:p>
        </w:tc>
        <w:tc>
          <w:tcPr>
            <w:tcW w:w="680" w:type="pct"/>
            <w:tcBorders>
              <w:top w:val="single" w:sz="4" w:space="0" w:color="F79646"/>
              <w:left w:val="nil"/>
              <w:bottom w:val="single" w:sz="4" w:space="0" w:color="F39200"/>
              <w:right w:val="nil"/>
            </w:tcBorders>
            <w:shd w:val="clear" w:color="auto" w:fill="auto"/>
            <w:vAlign w:val="center"/>
          </w:tcPr>
          <w:p w14:paraId="72F068C6" w14:textId="0ACCE3A8"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2023</w:t>
            </w:r>
          </w:p>
        </w:tc>
        <w:tc>
          <w:tcPr>
            <w:tcW w:w="680" w:type="pct"/>
            <w:tcBorders>
              <w:top w:val="single" w:sz="4" w:space="0" w:color="F79646"/>
              <w:left w:val="nil"/>
              <w:bottom w:val="single" w:sz="4" w:space="0" w:color="F39200"/>
              <w:right w:val="nil"/>
            </w:tcBorders>
            <w:vAlign w:val="center"/>
          </w:tcPr>
          <w:p w14:paraId="0BF07A6F" w14:textId="2A6DF341"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w:t>
            </w:r>
            <w:r w:rsidR="00C470FC" w:rsidRPr="00FF4346">
              <w:rPr>
                <w:rFonts w:ascii="CAIXA Std Book" w:hAnsi="CAIXA Std Book" w:cs="Cambria Math"/>
                <w:b/>
                <w:color w:val="005CA9"/>
                <w:sz w:val="18"/>
                <w:szCs w:val="18"/>
              </w:rPr>
              <w:t>4</w:t>
            </w:r>
          </w:p>
        </w:tc>
        <w:tc>
          <w:tcPr>
            <w:tcW w:w="680" w:type="pct"/>
            <w:tcBorders>
              <w:top w:val="single" w:sz="4" w:space="0" w:color="F79646"/>
              <w:left w:val="nil"/>
              <w:bottom w:val="single" w:sz="4" w:space="0" w:color="F39200"/>
              <w:right w:val="nil"/>
            </w:tcBorders>
            <w:vAlign w:val="center"/>
          </w:tcPr>
          <w:p w14:paraId="23959A2A" w14:textId="425188D9"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2023</w:t>
            </w:r>
          </w:p>
        </w:tc>
      </w:tr>
      <w:tr w:rsidR="00083E2A" w:rsidRPr="00A33766" w14:paraId="525A4437" w14:textId="77777777" w:rsidTr="00BB59D4">
        <w:trPr>
          <w:trHeight w:val="283"/>
        </w:trPr>
        <w:tc>
          <w:tcPr>
            <w:tcW w:w="2279" w:type="pct"/>
            <w:vMerge/>
            <w:tcBorders>
              <w:left w:val="nil"/>
              <w:bottom w:val="single" w:sz="4" w:space="0" w:color="F39200"/>
              <w:right w:val="nil"/>
            </w:tcBorders>
            <w:shd w:val="clear" w:color="auto" w:fill="auto"/>
            <w:vAlign w:val="center"/>
          </w:tcPr>
          <w:p w14:paraId="101B5DBC" w14:textId="77777777" w:rsidR="00083E2A" w:rsidRPr="00FF4346" w:rsidRDefault="00083E2A" w:rsidP="00083E2A">
            <w:pPr>
              <w:rPr>
                <w:rFonts w:ascii="CAIXA Std Book" w:eastAsia="Times New Roman" w:hAnsi="CAIXA Std Book" w:cs="Arial"/>
                <w:b/>
                <w:bCs/>
                <w:color w:val="005CA9"/>
                <w:sz w:val="18"/>
                <w:szCs w:val="18"/>
              </w:rPr>
            </w:pPr>
          </w:p>
        </w:tc>
        <w:tc>
          <w:tcPr>
            <w:tcW w:w="680" w:type="pct"/>
            <w:tcBorders>
              <w:top w:val="single" w:sz="4" w:space="0" w:color="F39200"/>
              <w:left w:val="nil"/>
              <w:bottom w:val="single" w:sz="4" w:space="0" w:color="F39200"/>
              <w:right w:val="nil"/>
            </w:tcBorders>
            <w:shd w:val="clear" w:color="auto" w:fill="auto"/>
            <w:vAlign w:val="center"/>
          </w:tcPr>
          <w:p w14:paraId="04E7A5B4" w14:textId="77777777"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680" w:type="pct"/>
            <w:tcBorders>
              <w:top w:val="single" w:sz="4" w:space="0" w:color="F39200"/>
              <w:left w:val="nil"/>
              <w:bottom w:val="single" w:sz="4" w:space="0" w:color="F39200"/>
              <w:right w:val="nil"/>
            </w:tcBorders>
            <w:shd w:val="clear" w:color="auto" w:fill="auto"/>
            <w:vAlign w:val="center"/>
          </w:tcPr>
          <w:p w14:paraId="45CCAAE7" w14:textId="35CB230B"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680" w:type="pct"/>
            <w:tcBorders>
              <w:top w:val="single" w:sz="4" w:space="0" w:color="F39200"/>
              <w:left w:val="nil"/>
              <w:bottom w:val="single" w:sz="4" w:space="0" w:color="F39200"/>
              <w:right w:val="nil"/>
            </w:tcBorders>
            <w:vAlign w:val="center"/>
          </w:tcPr>
          <w:p w14:paraId="57C548D1" w14:textId="77777777"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680" w:type="pct"/>
            <w:tcBorders>
              <w:top w:val="single" w:sz="4" w:space="0" w:color="F39200"/>
              <w:left w:val="nil"/>
              <w:bottom w:val="single" w:sz="4" w:space="0" w:color="F39200"/>
              <w:right w:val="nil"/>
            </w:tcBorders>
            <w:shd w:val="clear" w:color="auto" w:fill="auto"/>
            <w:vAlign w:val="center"/>
          </w:tcPr>
          <w:p w14:paraId="46875F27" w14:textId="72ADFE65" w:rsidR="00083E2A" w:rsidRPr="00FF4346" w:rsidRDefault="00083E2A" w:rsidP="00083E2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r>
      <w:tr w:rsidR="00EF22AF" w:rsidRPr="00A33766" w14:paraId="3D3234CC" w14:textId="77777777" w:rsidTr="00BB59D4">
        <w:trPr>
          <w:trHeight w:val="283"/>
        </w:trPr>
        <w:tc>
          <w:tcPr>
            <w:tcW w:w="2279" w:type="pct"/>
            <w:tcBorders>
              <w:top w:val="nil"/>
              <w:left w:val="nil"/>
              <w:bottom w:val="nil"/>
              <w:right w:val="nil"/>
            </w:tcBorders>
            <w:shd w:val="clear" w:color="auto" w:fill="auto"/>
            <w:noWrap/>
            <w:vAlign w:val="center"/>
            <w:hideMark/>
          </w:tcPr>
          <w:p w14:paraId="6BF7E525" w14:textId="41F7FCE4"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Recuperação de despesas</w:t>
            </w:r>
          </w:p>
        </w:tc>
        <w:tc>
          <w:tcPr>
            <w:tcW w:w="680" w:type="pct"/>
            <w:tcBorders>
              <w:top w:val="nil"/>
              <w:left w:val="nil"/>
              <w:bottom w:val="nil"/>
              <w:right w:val="nil"/>
            </w:tcBorders>
            <w:shd w:val="clear" w:color="auto" w:fill="auto"/>
            <w:vAlign w:val="center"/>
          </w:tcPr>
          <w:p w14:paraId="201E9D40" w14:textId="37441D8C"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552.701</w:t>
            </w:r>
          </w:p>
        </w:tc>
        <w:tc>
          <w:tcPr>
            <w:tcW w:w="680" w:type="pct"/>
            <w:tcBorders>
              <w:top w:val="nil"/>
              <w:left w:val="nil"/>
              <w:bottom w:val="nil"/>
              <w:right w:val="nil"/>
            </w:tcBorders>
            <w:shd w:val="clear" w:color="auto" w:fill="auto"/>
            <w:vAlign w:val="center"/>
          </w:tcPr>
          <w:p w14:paraId="51836DCD" w14:textId="29BAA821"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427.236</w:t>
            </w:r>
          </w:p>
        </w:tc>
        <w:tc>
          <w:tcPr>
            <w:tcW w:w="680" w:type="pct"/>
            <w:tcBorders>
              <w:top w:val="nil"/>
              <w:left w:val="nil"/>
              <w:bottom w:val="nil"/>
              <w:right w:val="nil"/>
            </w:tcBorders>
            <w:vAlign w:val="center"/>
          </w:tcPr>
          <w:p w14:paraId="3A182B3D" w14:textId="4DE16149"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539.984</w:t>
            </w:r>
          </w:p>
        </w:tc>
        <w:tc>
          <w:tcPr>
            <w:tcW w:w="680" w:type="pct"/>
            <w:tcBorders>
              <w:top w:val="nil"/>
              <w:left w:val="nil"/>
              <w:bottom w:val="nil"/>
              <w:right w:val="nil"/>
            </w:tcBorders>
            <w:shd w:val="clear" w:color="auto" w:fill="auto"/>
            <w:vAlign w:val="center"/>
          </w:tcPr>
          <w:p w14:paraId="4C3F8DDD" w14:textId="1FBEB3AF"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417.849</w:t>
            </w:r>
          </w:p>
        </w:tc>
      </w:tr>
      <w:tr w:rsidR="00EF22AF" w:rsidRPr="00A33766" w14:paraId="7C6173F9" w14:textId="77777777" w:rsidTr="00BB59D4">
        <w:trPr>
          <w:trHeight w:val="283"/>
        </w:trPr>
        <w:tc>
          <w:tcPr>
            <w:tcW w:w="2279" w:type="pct"/>
            <w:tcBorders>
              <w:top w:val="nil"/>
              <w:left w:val="nil"/>
              <w:bottom w:val="nil"/>
              <w:right w:val="nil"/>
            </w:tcBorders>
            <w:shd w:val="clear" w:color="auto" w:fill="auto"/>
            <w:noWrap/>
            <w:vAlign w:val="center"/>
          </w:tcPr>
          <w:p w14:paraId="4DE3D502" w14:textId="1855CADA"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Comissões e taxas à vista – ag. financeiro FGTS (</w:t>
            </w:r>
            <w:r w:rsidR="005C0446">
              <w:rPr>
                <w:rFonts w:ascii="CAIXA Std Book" w:hAnsi="CAIXA Std Book" w:cs="Arial"/>
                <w:color w:val="005CA9"/>
                <w:sz w:val="18"/>
                <w:szCs w:val="18"/>
              </w:rPr>
              <w:t>1</w:t>
            </w:r>
            <w:r w:rsidRPr="00FF4346">
              <w:rPr>
                <w:rFonts w:ascii="CAIXA Std Book" w:hAnsi="CAIXA Std Book" w:cs="Arial"/>
                <w:color w:val="005CA9"/>
                <w:sz w:val="18"/>
                <w:szCs w:val="18"/>
              </w:rPr>
              <w:t>)</w:t>
            </w:r>
          </w:p>
        </w:tc>
        <w:tc>
          <w:tcPr>
            <w:tcW w:w="680" w:type="pct"/>
            <w:tcBorders>
              <w:top w:val="nil"/>
              <w:left w:val="nil"/>
              <w:bottom w:val="nil"/>
              <w:right w:val="nil"/>
            </w:tcBorders>
            <w:shd w:val="clear" w:color="auto" w:fill="auto"/>
            <w:vAlign w:val="center"/>
          </w:tcPr>
          <w:p w14:paraId="386F8F0F" w14:textId="626FFB8F"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702.315</w:t>
            </w:r>
          </w:p>
        </w:tc>
        <w:tc>
          <w:tcPr>
            <w:tcW w:w="680" w:type="pct"/>
            <w:tcBorders>
              <w:top w:val="nil"/>
              <w:left w:val="nil"/>
              <w:bottom w:val="nil"/>
              <w:right w:val="nil"/>
            </w:tcBorders>
            <w:shd w:val="clear" w:color="auto" w:fill="auto"/>
            <w:vAlign w:val="center"/>
          </w:tcPr>
          <w:p w14:paraId="2AD00A6B" w14:textId="0EA86353"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554.989</w:t>
            </w:r>
          </w:p>
        </w:tc>
        <w:tc>
          <w:tcPr>
            <w:tcW w:w="680" w:type="pct"/>
            <w:tcBorders>
              <w:top w:val="nil"/>
              <w:left w:val="nil"/>
              <w:bottom w:val="nil"/>
              <w:right w:val="nil"/>
            </w:tcBorders>
            <w:vAlign w:val="center"/>
          </w:tcPr>
          <w:p w14:paraId="0A2C67CB" w14:textId="4D1B3EBD"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702.315</w:t>
            </w:r>
          </w:p>
        </w:tc>
        <w:tc>
          <w:tcPr>
            <w:tcW w:w="680" w:type="pct"/>
            <w:tcBorders>
              <w:top w:val="nil"/>
              <w:left w:val="nil"/>
              <w:bottom w:val="nil"/>
              <w:right w:val="nil"/>
            </w:tcBorders>
            <w:shd w:val="clear" w:color="auto" w:fill="auto"/>
            <w:vAlign w:val="center"/>
          </w:tcPr>
          <w:p w14:paraId="64967DB5" w14:textId="1E557297"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554.989</w:t>
            </w:r>
          </w:p>
        </w:tc>
      </w:tr>
      <w:tr w:rsidR="00EF22AF" w:rsidRPr="00A33766" w14:paraId="3C42CC4A" w14:textId="77777777" w:rsidTr="00BB59D4">
        <w:trPr>
          <w:trHeight w:val="283"/>
        </w:trPr>
        <w:tc>
          <w:tcPr>
            <w:tcW w:w="2279" w:type="pct"/>
            <w:tcBorders>
              <w:top w:val="nil"/>
              <w:left w:val="nil"/>
              <w:bottom w:val="nil"/>
              <w:right w:val="nil"/>
            </w:tcBorders>
            <w:shd w:val="clear" w:color="auto" w:fill="auto"/>
            <w:noWrap/>
            <w:vAlign w:val="center"/>
          </w:tcPr>
          <w:p w14:paraId="51851E7B" w14:textId="2C648309"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 xml:space="preserve">Atualização monetária sobre operações diversas </w:t>
            </w:r>
          </w:p>
        </w:tc>
        <w:tc>
          <w:tcPr>
            <w:tcW w:w="680" w:type="pct"/>
            <w:tcBorders>
              <w:top w:val="nil"/>
              <w:left w:val="nil"/>
              <w:bottom w:val="nil"/>
              <w:right w:val="nil"/>
            </w:tcBorders>
            <w:shd w:val="clear" w:color="auto" w:fill="auto"/>
            <w:vAlign w:val="center"/>
          </w:tcPr>
          <w:p w14:paraId="7AEF4898" w14:textId="7E0EB272"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368.840</w:t>
            </w:r>
          </w:p>
        </w:tc>
        <w:tc>
          <w:tcPr>
            <w:tcW w:w="680" w:type="pct"/>
            <w:tcBorders>
              <w:top w:val="nil"/>
              <w:left w:val="nil"/>
              <w:bottom w:val="nil"/>
              <w:right w:val="nil"/>
            </w:tcBorders>
            <w:shd w:val="clear" w:color="auto" w:fill="auto"/>
            <w:vAlign w:val="center"/>
          </w:tcPr>
          <w:p w14:paraId="48C0EF59" w14:textId="0B1C9DBC"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392.734</w:t>
            </w:r>
          </w:p>
        </w:tc>
        <w:tc>
          <w:tcPr>
            <w:tcW w:w="680" w:type="pct"/>
            <w:tcBorders>
              <w:top w:val="nil"/>
              <w:left w:val="nil"/>
              <w:bottom w:val="nil"/>
              <w:right w:val="nil"/>
            </w:tcBorders>
            <w:vAlign w:val="center"/>
          </w:tcPr>
          <w:p w14:paraId="2CAAF430" w14:textId="0C5AAB34"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335.417</w:t>
            </w:r>
          </w:p>
        </w:tc>
        <w:tc>
          <w:tcPr>
            <w:tcW w:w="680" w:type="pct"/>
            <w:tcBorders>
              <w:top w:val="nil"/>
              <w:left w:val="nil"/>
              <w:bottom w:val="nil"/>
              <w:right w:val="nil"/>
            </w:tcBorders>
            <w:shd w:val="clear" w:color="auto" w:fill="auto"/>
            <w:vAlign w:val="center"/>
          </w:tcPr>
          <w:p w14:paraId="35669A86" w14:textId="68B1DA4E"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393.324</w:t>
            </w:r>
          </w:p>
        </w:tc>
      </w:tr>
      <w:tr w:rsidR="00EF22AF" w:rsidRPr="00A33766" w14:paraId="4AC84E87" w14:textId="77777777" w:rsidTr="00BB59D4">
        <w:trPr>
          <w:trHeight w:val="283"/>
        </w:trPr>
        <w:tc>
          <w:tcPr>
            <w:tcW w:w="2279" w:type="pct"/>
            <w:tcBorders>
              <w:top w:val="nil"/>
              <w:left w:val="nil"/>
              <w:bottom w:val="nil"/>
              <w:right w:val="nil"/>
            </w:tcBorders>
            <w:shd w:val="clear" w:color="auto" w:fill="auto"/>
            <w:noWrap/>
            <w:vAlign w:val="center"/>
          </w:tcPr>
          <w:p w14:paraId="75B75A42" w14:textId="1543BB77" w:rsidR="00EF22AF" w:rsidRPr="00FF4346" w:rsidRDefault="00EF22AF" w:rsidP="00EF22AF">
            <w:pPr>
              <w:rPr>
                <w:rFonts w:ascii="CAIXA Std Book" w:eastAsia="Times New Roman" w:hAnsi="CAIXA Std Book" w:cs="Arial"/>
                <w:color w:val="005CA9"/>
                <w:sz w:val="18"/>
                <w:szCs w:val="18"/>
              </w:rPr>
            </w:pPr>
            <w:proofErr w:type="gramStart"/>
            <w:r w:rsidRPr="00FF4346">
              <w:rPr>
                <w:rFonts w:ascii="CAIXA Std Book" w:hAnsi="CAIXA Std Book" w:cs="Arial"/>
                <w:color w:val="005CA9"/>
                <w:sz w:val="18"/>
                <w:szCs w:val="18"/>
              </w:rPr>
              <w:t>Comissões e taxas cota</w:t>
            </w:r>
            <w:proofErr w:type="gramEnd"/>
            <w:r w:rsidRPr="00FF4346">
              <w:rPr>
                <w:rFonts w:ascii="CAIXA Std Book" w:hAnsi="CAIXA Std Book" w:cs="Arial"/>
                <w:color w:val="005CA9"/>
                <w:sz w:val="18"/>
                <w:szCs w:val="18"/>
              </w:rPr>
              <w:t xml:space="preserve"> mensal diferida – ag. </w:t>
            </w:r>
            <w:proofErr w:type="spellStart"/>
            <w:r w:rsidRPr="00FF4346">
              <w:rPr>
                <w:rFonts w:ascii="CAIXA Std Book" w:hAnsi="CAIXA Std Book" w:cs="Arial"/>
                <w:color w:val="005CA9"/>
                <w:sz w:val="18"/>
                <w:szCs w:val="18"/>
              </w:rPr>
              <w:t>financ</w:t>
            </w:r>
            <w:proofErr w:type="spellEnd"/>
            <w:r w:rsidRPr="00FF4346">
              <w:rPr>
                <w:rFonts w:ascii="CAIXA Std Book" w:hAnsi="CAIXA Std Book" w:cs="Arial"/>
                <w:color w:val="005CA9"/>
                <w:sz w:val="18"/>
                <w:szCs w:val="18"/>
              </w:rPr>
              <w:t>. FGTS</w:t>
            </w:r>
          </w:p>
        </w:tc>
        <w:tc>
          <w:tcPr>
            <w:tcW w:w="680" w:type="pct"/>
            <w:tcBorders>
              <w:top w:val="nil"/>
              <w:left w:val="nil"/>
              <w:bottom w:val="nil"/>
              <w:right w:val="nil"/>
            </w:tcBorders>
            <w:shd w:val="clear" w:color="auto" w:fill="auto"/>
            <w:vAlign w:val="center"/>
          </w:tcPr>
          <w:p w14:paraId="160E9223" w14:textId="32E6E562"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521.944</w:t>
            </w:r>
          </w:p>
        </w:tc>
        <w:tc>
          <w:tcPr>
            <w:tcW w:w="680" w:type="pct"/>
            <w:tcBorders>
              <w:top w:val="nil"/>
              <w:left w:val="nil"/>
              <w:bottom w:val="nil"/>
              <w:right w:val="nil"/>
            </w:tcBorders>
            <w:shd w:val="clear" w:color="auto" w:fill="auto"/>
            <w:vAlign w:val="center"/>
          </w:tcPr>
          <w:p w14:paraId="4808FB71" w14:textId="1BAAD493"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475.261</w:t>
            </w:r>
          </w:p>
        </w:tc>
        <w:tc>
          <w:tcPr>
            <w:tcW w:w="680" w:type="pct"/>
            <w:tcBorders>
              <w:top w:val="nil"/>
              <w:left w:val="nil"/>
              <w:bottom w:val="nil"/>
              <w:right w:val="nil"/>
            </w:tcBorders>
            <w:vAlign w:val="center"/>
          </w:tcPr>
          <w:p w14:paraId="1BA2F6C5" w14:textId="5433EE32"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521.944</w:t>
            </w:r>
          </w:p>
        </w:tc>
        <w:tc>
          <w:tcPr>
            <w:tcW w:w="680" w:type="pct"/>
            <w:tcBorders>
              <w:top w:val="nil"/>
              <w:left w:val="nil"/>
              <w:bottom w:val="nil"/>
              <w:right w:val="nil"/>
            </w:tcBorders>
            <w:shd w:val="clear" w:color="auto" w:fill="auto"/>
            <w:vAlign w:val="center"/>
          </w:tcPr>
          <w:p w14:paraId="55E19970" w14:textId="53C7BC69"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475.261</w:t>
            </w:r>
          </w:p>
        </w:tc>
      </w:tr>
      <w:tr w:rsidR="00EF22AF" w:rsidRPr="00A33766" w14:paraId="6A1595F5" w14:textId="77777777" w:rsidTr="00BB59D4">
        <w:trPr>
          <w:trHeight w:val="283"/>
        </w:trPr>
        <w:tc>
          <w:tcPr>
            <w:tcW w:w="2279" w:type="pct"/>
            <w:tcBorders>
              <w:top w:val="nil"/>
              <w:left w:val="nil"/>
              <w:bottom w:val="nil"/>
              <w:right w:val="nil"/>
            </w:tcBorders>
            <w:shd w:val="clear" w:color="auto" w:fill="auto"/>
            <w:noWrap/>
            <w:vAlign w:val="center"/>
          </w:tcPr>
          <w:p w14:paraId="6A372E43" w14:textId="1E803E36"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Recuperação de perdas operacionais</w:t>
            </w:r>
          </w:p>
        </w:tc>
        <w:tc>
          <w:tcPr>
            <w:tcW w:w="680" w:type="pct"/>
            <w:tcBorders>
              <w:top w:val="nil"/>
              <w:left w:val="nil"/>
              <w:bottom w:val="nil"/>
              <w:right w:val="nil"/>
            </w:tcBorders>
            <w:shd w:val="clear" w:color="auto" w:fill="auto"/>
            <w:vAlign w:val="center"/>
          </w:tcPr>
          <w:p w14:paraId="61F6A5A5" w14:textId="7D4D1EE7"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88.908</w:t>
            </w:r>
          </w:p>
        </w:tc>
        <w:tc>
          <w:tcPr>
            <w:tcW w:w="680" w:type="pct"/>
            <w:tcBorders>
              <w:top w:val="nil"/>
              <w:left w:val="nil"/>
              <w:bottom w:val="nil"/>
              <w:right w:val="nil"/>
            </w:tcBorders>
            <w:shd w:val="clear" w:color="auto" w:fill="auto"/>
            <w:vAlign w:val="center"/>
          </w:tcPr>
          <w:p w14:paraId="4E3D8B99" w14:textId="040C37BD"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66.551</w:t>
            </w:r>
          </w:p>
        </w:tc>
        <w:tc>
          <w:tcPr>
            <w:tcW w:w="680" w:type="pct"/>
            <w:tcBorders>
              <w:top w:val="nil"/>
              <w:left w:val="nil"/>
              <w:bottom w:val="nil"/>
              <w:right w:val="nil"/>
            </w:tcBorders>
            <w:vAlign w:val="center"/>
          </w:tcPr>
          <w:p w14:paraId="2A215290" w14:textId="3C2EB17E"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88.908</w:t>
            </w:r>
          </w:p>
        </w:tc>
        <w:tc>
          <w:tcPr>
            <w:tcW w:w="680" w:type="pct"/>
            <w:tcBorders>
              <w:top w:val="nil"/>
              <w:left w:val="nil"/>
              <w:bottom w:val="nil"/>
              <w:right w:val="nil"/>
            </w:tcBorders>
            <w:shd w:val="clear" w:color="auto" w:fill="auto"/>
            <w:vAlign w:val="center"/>
          </w:tcPr>
          <w:p w14:paraId="5B6919F4" w14:textId="62A48C4E"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66.551</w:t>
            </w:r>
          </w:p>
        </w:tc>
      </w:tr>
      <w:tr w:rsidR="00EF22AF" w:rsidRPr="00A33766" w14:paraId="7AB89997" w14:textId="77777777" w:rsidTr="00BB59D4">
        <w:trPr>
          <w:trHeight w:val="283"/>
        </w:trPr>
        <w:tc>
          <w:tcPr>
            <w:tcW w:w="2279" w:type="pct"/>
            <w:tcBorders>
              <w:top w:val="nil"/>
              <w:left w:val="nil"/>
              <w:bottom w:val="nil"/>
              <w:right w:val="nil"/>
            </w:tcBorders>
            <w:shd w:val="clear" w:color="auto" w:fill="auto"/>
            <w:noWrap/>
            <w:vAlign w:val="center"/>
          </w:tcPr>
          <w:p w14:paraId="5926BC8E" w14:textId="6F052009"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Direito de uso - Rede CAIXA</w:t>
            </w:r>
          </w:p>
        </w:tc>
        <w:tc>
          <w:tcPr>
            <w:tcW w:w="680" w:type="pct"/>
            <w:tcBorders>
              <w:top w:val="nil"/>
              <w:left w:val="nil"/>
              <w:bottom w:val="nil"/>
              <w:right w:val="nil"/>
            </w:tcBorders>
            <w:shd w:val="clear" w:color="auto" w:fill="auto"/>
            <w:vAlign w:val="center"/>
          </w:tcPr>
          <w:p w14:paraId="3E1C8AA6" w14:textId="753BCFC3"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97.416</w:t>
            </w:r>
          </w:p>
        </w:tc>
        <w:tc>
          <w:tcPr>
            <w:tcW w:w="680" w:type="pct"/>
            <w:tcBorders>
              <w:top w:val="nil"/>
              <w:left w:val="nil"/>
              <w:bottom w:val="nil"/>
              <w:right w:val="nil"/>
            </w:tcBorders>
            <w:shd w:val="clear" w:color="auto" w:fill="auto"/>
            <w:vAlign w:val="center"/>
          </w:tcPr>
          <w:p w14:paraId="67FFCDD5" w14:textId="1EDDD747"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97.416</w:t>
            </w:r>
          </w:p>
        </w:tc>
        <w:tc>
          <w:tcPr>
            <w:tcW w:w="680" w:type="pct"/>
            <w:tcBorders>
              <w:top w:val="nil"/>
              <w:left w:val="nil"/>
              <w:bottom w:val="nil"/>
              <w:right w:val="nil"/>
            </w:tcBorders>
            <w:vAlign w:val="center"/>
          </w:tcPr>
          <w:p w14:paraId="5B8841D0" w14:textId="6228193A"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97.416</w:t>
            </w:r>
          </w:p>
        </w:tc>
        <w:tc>
          <w:tcPr>
            <w:tcW w:w="680" w:type="pct"/>
            <w:tcBorders>
              <w:top w:val="nil"/>
              <w:left w:val="nil"/>
              <w:bottom w:val="nil"/>
              <w:right w:val="nil"/>
            </w:tcBorders>
            <w:shd w:val="clear" w:color="auto" w:fill="auto"/>
            <w:vAlign w:val="center"/>
          </w:tcPr>
          <w:p w14:paraId="1551B5D0" w14:textId="3F3FE979"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97.416</w:t>
            </w:r>
          </w:p>
        </w:tc>
      </w:tr>
      <w:tr w:rsidR="00EF22AF" w:rsidRPr="00A33766" w14:paraId="6E1C3BF0" w14:textId="77777777" w:rsidTr="00BB59D4">
        <w:trPr>
          <w:trHeight w:val="283"/>
        </w:trPr>
        <w:tc>
          <w:tcPr>
            <w:tcW w:w="2279" w:type="pct"/>
            <w:tcBorders>
              <w:top w:val="nil"/>
              <w:left w:val="nil"/>
              <w:bottom w:val="nil"/>
              <w:right w:val="nil"/>
            </w:tcBorders>
            <w:shd w:val="clear" w:color="auto" w:fill="auto"/>
            <w:noWrap/>
            <w:vAlign w:val="center"/>
          </w:tcPr>
          <w:p w14:paraId="16E93C6E" w14:textId="6442A7ED"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Créditos específicos</w:t>
            </w:r>
          </w:p>
        </w:tc>
        <w:tc>
          <w:tcPr>
            <w:tcW w:w="680" w:type="pct"/>
            <w:tcBorders>
              <w:top w:val="nil"/>
              <w:left w:val="nil"/>
              <w:bottom w:val="nil"/>
              <w:right w:val="nil"/>
            </w:tcBorders>
            <w:shd w:val="clear" w:color="auto" w:fill="auto"/>
            <w:vAlign w:val="center"/>
          </w:tcPr>
          <w:p w14:paraId="0CC00422" w14:textId="7AED7718" w:rsidR="00EF22AF" w:rsidRPr="00FF4346" w:rsidRDefault="00EF22AF" w:rsidP="00196336">
            <w:pPr>
              <w:ind w:left="15"/>
              <w:jc w:val="center"/>
              <w:rPr>
                <w:rFonts w:ascii="CAIXA Std Book" w:hAnsi="CAIXA Std Book" w:cs="Arial"/>
                <w:color w:val="005CA9"/>
                <w:sz w:val="18"/>
                <w:szCs w:val="18"/>
              </w:rPr>
            </w:pPr>
            <w:r w:rsidRPr="00FF4346">
              <w:rPr>
                <w:rFonts w:ascii="CAIXA Std Book" w:hAnsi="CAIXA Std Book" w:cs="Arial"/>
                <w:color w:val="005CA9"/>
                <w:sz w:val="18"/>
                <w:szCs w:val="18"/>
              </w:rPr>
              <w:t>-</w:t>
            </w:r>
          </w:p>
        </w:tc>
        <w:tc>
          <w:tcPr>
            <w:tcW w:w="680" w:type="pct"/>
            <w:tcBorders>
              <w:top w:val="nil"/>
              <w:left w:val="nil"/>
              <w:bottom w:val="nil"/>
              <w:right w:val="nil"/>
            </w:tcBorders>
            <w:shd w:val="clear" w:color="auto" w:fill="auto"/>
            <w:vAlign w:val="center"/>
          </w:tcPr>
          <w:p w14:paraId="3D6B3A5C" w14:textId="618D9B24"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39.926</w:t>
            </w:r>
          </w:p>
        </w:tc>
        <w:tc>
          <w:tcPr>
            <w:tcW w:w="680" w:type="pct"/>
            <w:tcBorders>
              <w:top w:val="nil"/>
              <w:left w:val="nil"/>
              <w:bottom w:val="nil"/>
              <w:right w:val="nil"/>
            </w:tcBorders>
            <w:vAlign w:val="center"/>
          </w:tcPr>
          <w:p w14:paraId="55AAA321" w14:textId="02AAD237" w:rsidR="00EF22AF" w:rsidRPr="00FF4346" w:rsidRDefault="00EF22AF" w:rsidP="00196336">
            <w:pPr>
              <w:ind w:left="15"/>
              <w:jc w:val="center"/>
              <w:rPr>
                <w:rFonts w:ascii="CAIXA Std Book" w:hAnsi="CAIXA Std Book" w:cs="Arial"/>
                <w:color w:val="005CA9"/>
                <w:sz w:val="18"/>
                <w:szCs w:val="18"/>
              </w:rPr>
            </w:pPr>
            <w:r w:rsidRPr="00FF4346">
              <w:rPr>
                <w:rFonts w:ascii="CAIXA Std Book" w:hAnsi="CAIXA Std Book" w:cs="Arial"/>
                <w:color w:val="005CA9"/>
                <w:sz w:val="18"/>
                <w:szCs w:val="18"/>
              </w:rPr>
              <w:t>-</w:t>
            </w:r>
          </w:p>
        </w:tc>
        <w:tc>
          <w:tcPr>
            <w:tcW w:w="680" w:type="pct"/>
            <w:tcBorders>
              <w:top w:val="nil"/>
              <w:left w:val="nil"/>
              <w:bottom w:val="nil"/>
              <w:right w:val="nil"/>
            </w:tcBorders>
            <w:shd w:val="clear" w:color="auto" w:fill="auto"/>
            <w:vAlign w:val="center"/>
          </w:tcPr>
          <w:p w14:paraId="0E40FC50" w14:textId="2075D2E9"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39.926</w:t>
            </w:r>
          </w:p>
        </w:tc>
      </w:tr>
      <w:tr w:rsidR="00EF22AF" w:rsidRPr="00A33766" w14:paraId="7E12BF39" w14:textId="77777777" w:rsidTr="00BB59D4">
        <w:trPr>
          <w:trHeight w:val="283"/>
        </w:trPr>
        <w:tc>
          <w:tcPr>
            <w:tcW w:w="2279" w:type="pct"/>
            <w:tcBorders>
              <w:top w:val="nil"/>
              <w:left w:val="nil"/>
              <w:bottom w:val="nil"/>
              <w:right w:val="nil"/>
            </w:tcBorders>
            <w:shd w:val="clear" w:color="auto" w:fill="auto"/>
            <w:noWrap/>
            <w:vAlign w:val="center"/>
          </w:tcPr>
          <w:p w14:paraId="4C344CD7" w14:textId="3335EE12"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Cartão de crédito</w:t>
            </w:r>
          </w:p>
        </w:tc>
        <w:tc>
          <w:tcPr>
            <w:tcW w:w="680" w:type="pct"/>
            <w:tcBorders>
              <w:top w:val="nil"/>
              <w:left w:val="nil"/>
              <w:bottom w:val="nil"/>
              <w:right w:val="nil"/>
            </w:tcBorders>
            <w:shd w:val="clear" w:color="auto" w:fill="auto"/>
            <w:vAlign w:val="center"/>
          </w:tcPr>
          <w:p w14:paraId="0D74A841" w14:textId="71247A9C"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39.</w:t>
            </w:r>
            <w:r w:rsidR="00AD4ABB">
              <w:rPr>
                <w:rFonts w:ascii="CAIXA Std Book" w:hAnsi="CAIXA Std Book" w:cs="Arial"/>
                <w:color w:val="005CA9"/>
                <w:sz w:val="18"/>
                <w:szCs w:val="18"/>
              </w:rPr>
              <w:t>508</w:t>
            </w:r>
          </w:p>
        </w:tc>
        <w:tc>
          <w:tcPr>
            <w:tcW w:w="680" w:type="pct"/>
            <w:tcBorders>
              <w:top w:val="nil"/>
              <w:left w:val="nil"/>
              <w:bottom w:val="nil"/>
              <w:right w:val="nil"/>
            </w:tcBorders>
            <w:shd w:val="clear" w:color="auto" w:fill="auto"/>
            <w:vAlign w:val="center"/>
          </w:tcPr>
          <w:p w14:paraId="4F67786A" w14:textId="2CFF7EA9"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37.049</w:t>
            </w:r>
          </w:p>
        </w:tc>
        <w:tc>
          <w:tcPr>
            <w:tcW w:w="680" w:type="pct"/>
            <w:tcBorders>
              <w:top w:val="nil"/>
              <w:left w:val="nil"/>
              <w:bottom w:val="nil"/>
              <w:right w:val="nil"/>
            </w:tcBorders>
            <w:vAlign w:val="center"/>
          </w:tcPr>
          <w:p w14:paraId="4F835A31" w14:textId="26FF1143"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39.508</w:t>
            </w:r>
          </w:p>
        </w:tc>
        <w:tc>
          <w:tcPr>
            <w:tcW w:w="680" w:type="pct"/>
            <w:tcBorders>
              <w:top w:val="nil"/>
              <w:left w:val="nil"/>
              <w:bottom w:val="nil"/>
              <w:right w:val="nil"/>
            </w:tcBorders>
            <w:shd w:val="clear" w:color="auto" w:fill="auto"/>
            <w:vAlign w:val="center"/>
          </w:tcPr>
          <w:p w14:paraId="7D27E1EA" w14:textId="50FF40F3"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37.049</w:t>
            </w:r>
          </w:p>
        </w:tc>
      </w:tr>
      <w:tr w:rsidR="00EF22AF" w:rsidRPr="00A33766" w14:paraId="70A0DAAF" w14:textId="77777777" w:rsidTr="00BB59D4">
        <w:trPr>
          <w:trHeight w:val="283"/>
        </w:trPr>
        <w:tc>
          <w:tcPr>
            <w:tcW w:w="2279" w:type="pct"/>
            <w:tcBorders>
              <w:top w:val="nil"/>
              <w:left w:val="nil"/>
              <w:bottom w:val="nil"/>
              <w:right w:val="nil"/>
            </w:tcBorders>
            <w:shd w:val="clear" w:color="auto" w:fill="auto"/>
            <w:noWrap/>
            <w:vAlign w:val="center"/>
          </w:tcPr>
          <w:p w14:paraId="303ED93B" w14:textId="57210EB4"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Comissões e taxas sobre operações</w:t>
            </w:r>
          </w:p>
        </w:tc>
        <w:tc>
          <w:tcPr>
            <w:tcW w:w="680" w:type="pct"/>
            <w:tcBorders>
              <w:top w:val="nil"/>
              <w:left w:val="nil"/>
              <w:bottom w:val="nil"/>
              <w:right w:val="nil"/>
            </w:tcBorders>
            <w:shd w:val="clear" w:color="auto" w:fill="auto"/>
            <w:vAlign w:val="center"/>
          </w:tcPr>
          <w:p w14:paraId="76207915" w14:textId="72CC1D60"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27.</w:t>
            </w:r>
            <w:r w:rsidR="00AD4ABB">
              <w:rPr>
                <w:rFonts w:ascii="CAIXA Std Book" w:hAnsi="CAIXA Std Book" w:cs="Arial"/>
                <w:color w:val="005CA9"/>
                <w:sz w:val="18"/>
                <w:szCs w:val="18"/>
              </w:rPr>
              <w:t>177</w:t>
            </w:r>
          </w:p>
        </w:tc>
        <w:tc>
          <w:tcPr>
            <w:tcW w:w="680" w:type="pct"/>
            <w:tcBorders>
              <w:top w:val="nil"/>
              <w:left w:val="nil"/>
              <w:bottom w:val="nil"/>
              <w:right w:val="nil"/>
            </w:tcBorders>
            <w:shd w:val="clear" w:color="auto" w:fill="auto"/>
            <w:vAlign w:val="center"/>
          </w:tcPr>
          <w:p w14:paraId="56D213DD" w14:textId="11704494"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9.996</w:t>
            </w:r>
          </w:p>
        </w:tc>
        <w:tc>
          <w:tcPr>
            <w:tcW w:w="680" w:type="pct"/>
            <w:tcBorders>
              <w:top w:val="nil"/>
              <w:left w:val="nil"/>
              <w:bottom w:val="nil"/>
              <w:right w:val="nil"/>
            </w:tcBorders>
            <w:vAlign w:val="center"/>
          </w:tcPr>
          <w:p w14:paraId="5450DB3A" w14:textId="78F688BD"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78.968</w:t>
            </w:r>
          </w:p>
        </w:tc>
        <w:tc>
          <w:tcPr>
            <w:tcW w:w="680" w:type="pct"/>
            <w:tcBorders>
              <w:top w:val="nil"/>
              <w:left w:val="nil"/>
              <w:bottom w:val="nil"/>
              <w:right w:val="nil"/>
            </w:tcBorders>
            <w:shd w:val="clear" w:color="auto" w:fill="auto"/>
            <w:vAlign w:val="center"/>
          </w:tcPr>
          <w:p w14:paraId="3CF72706" w14:textId="6DC97BEE"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50.325</w:t>
            </w:r>
          </w:p>
        </w:tc>
      </w:tr>
      <w:tr w:rsidR="00EF22AF" w:rsidRPr="00A33766" w14:paraId="41F72972" w14:textId="77777777" w:rsidTr="00BB59D4">
        <w:trPr>
          <w:trHeight w:val="283"/>
        </w:trPr>
        <w:tc>
          <w:tcPr>
            <w:tcW w:w="2279" w:type="pct"/>
            <w:tcBorders>
              <w:top w:val="nil"/>
              <w:left w:val="nil"/>
              <w:bottom w:val="nil"/>
              <w:right w:val="nil"/>
            </w:tcBorders>
            <w:shd w:val="clear" w:color="auto" w:fill="auto"/>
            <w:noWrap/>
            <w:vAlign w:val="center"/>
            <w:hideMark/>
          </w:tcPr>
          <w:p w14:paraId="23D0BE95" w14:textId="2332193B"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 xml:space="preserve">Deságio na aquisição de </w:t>
            </w:r>
            <w:r w:rsidRPr="00FF4346">
              <w:rPr>
                <w:rFonts w:ascii="CAIXA Std Book" w:hAnsi="CAIXA Std Book" w:cs="Arial"/>
                <w:i/>
                <w:color w:val="005CA9"/>
                <w:sz w:val="18"/>
                <w:szCs w:val="18"/>
              </w:rPr>
              <w:t>royalties</w:t>
            </w:r>
          </w:p>
        </w:tc>
        <w:tc>
          <w:tcPr>
            <w:tcW w:w="680" w:type="pct"/>
            <w:tcBorders>
              <w:top w:val="nil"/>
              <w:left w:val="nil"/>
              <w:bottom w:val="nil"/>
              <w:right w:val="nil"/>
            </w:tcBorders>
            <w:shd w:val="clear" w:color="auto" w:fill="auto"/>
            <w:vAlign w:val="center"/>
          </w:tcPr>
          <w:p w14:paraId="1A2C1AA5" w14:textId="0FD11C8D"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4.133</w:t>
            </w:r>
          </w:p>
        </w:tc>
        <w:tc>
          <w:tcPr>
            <w:tcW w:w="680" w:type="pct"/>
            <w:tcBorders>
              <w:top w:val="nil"/>
              <w:left w:val="nil"/>
              <w:bottom w:val="nil"/>
              <w:right w:val="nil"/>
            </w:tcBorders>
            <w:shd w:val="clear" w:color="auto" w:fill="auto"/>
            <w:vAlign w:val="center"/>
          </w:tcPr>
          <w:p w14:paraId="2906EE7B" w14:textId="3813EEB4"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4.133</w:t>
            </w:r>
          </w:p>
        </w:tc>
        <w:tc>
          <w:tcPr>
            <w:tcW w:w="680" w:type="pct"/>
            <w:tcBorders>
              <w:top w:val="nil"/>
              <w:left w:val="nil"/>
              <w:bottom w:val="nil"/>
              <w:right w:val="nil"/>
            </w:tcBorders>
            <w:vAlign w:val="center"/>
          </w:tcPr>
          <w:p w14:paraId="09F7A38D" w14:textId="2B3AD66B"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4.133</w:t>
            </w:r>
          </w:p>
        </w:tc>
        <w:tc>
          <w:tcPr>
            <w:tcW w:w="680" w:type="pct"/>
            <w:tcBorders>
              <w:top w:val="nil"/>
              <w:left w:val="nil"/>
              <w:bottom w:val="nil"/>
              <w:right w:val="nil"/>
            </w:tcBorders>
            <w:shd w:val="clear" w:color="auto" w:fill="auto"/>
            <w:vAlign w:val="center"/>
          </w:tcPr>
          <w:p w14:paraId="7C4A1AE8" w14:textId="14723C5F"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4.133</w:t>
            </w:r>
          </w:p>
        </w:tc>
      </w:tr>
      <w:tr w:rsidR="00EF22AF" w:rsidRPr="00A33766" w14:paraId="37F3C263" w14:textId="77777777" w:rsidTr="00BB59D4">
        <w:trPr>
          <w:trHeight w:val="283"/>
        </w:trPr>
        <w:tc>
          <w:tcPr>
            <w:tcW w:w="2279" w:type="pct"/>
            <w:tcBorders>
              <w:top w:val="nil"/>
              <w:left w:val="nil"/>
              <w:bottom w:val="nil"/>
              <w:right w:val="nil"/>
            </w:tcBorders>
            <w:shd w:val="clear" w:color="auto" w:fill="auto"/>
            <w:noWrap/>
            <w:vAlign w:val="center"/>
          </w:tcPr>
          <w:p w14:paraId="41FDDB4C" w14:textId="6B96F050"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Crédito comercial</w:t>
            </w:r>
          </w:p>
        </w:tc>
        <w:tc>
          <w:tcPr>
            <w:tcW w:w="680" w:type="pct"/>
            <w:tcBorders>
              <w:top w:val="nil"/>
              <w:left w:val="nil"/>
              <w:bottom w:val="nil"/>
              <w:right w:val="nil"/>
            </w:tcBorders>
            <w:shd w:val="clear" w:color="auto" w:fill="auto"/>
            <w:vAlign w:val="center"/>
          </w:tcPr>
          <w:p w14:paraId="42D2C721" w14:textId="47B02B51" w:rsidR="00EF22AF" w:rsidRPr="00FF4346" w:rsidRDefault="003C6E1D" w:rsidP="003C6E1D">
            <w:pPr>
              <w:ind w:left="15"/>
              <w:jc w:val="right"/>
              <w:rPr>
                <w:rFonts w:ascii="CAIXA Std Book" w:hAnsi="CAIXA Std Book" w:cs="Arial"/>
                <w:color w:val="005CA9"/>
                <w:sz w:val="18"/>
                <w:szCs w:val="18"/>
              </w:rPr>
            </w:pPr>
            <w:r>
              <w:rPr>
                <w:rFonts w:ascii="CAIXA Std Book" w:hAnsi="CAIXA Std Book" w:cs="Arial"/>
                <w:color w:val="005CA9"/>
                <w:sz w:val="18"/>
                <w:szCs w:val="18"/>
              </w:rPr>
              <w:t>3.044</w:t>
            </w:r>
          </w:p>
        </w:tc>
        <w:tc>
          <w:tcPr>
            <w:tcW w:w="680" w:type="pct"/>
            <w:tcBorders>
              <w:top w:val="nil"/>
              <w:left w:val="nil"/>
              <w:bottom w:val="nil"/>
              <w:right w:val="nil"/>
            </w:tcBorders>
            <w:shd w:val="clear" w:color="auto" w:fill="auto"/>
            <w:vAlign w:val="center"/>
          </w:tcPr>
          <w:p w14:paraId="2B2E12A2" w14:textId="1B7FD43A"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2.963</w:t>
            </w:r>
          </w:p>
        </w:tc>
        <w:tc>
          <w:tcPr>
            <w:tcW w:w="680" w:type="pct"/>
            <w:tcBorders>
              <w:top w:val="nil"/>
              <w:left w:val="nil"/>
              <w:bottom w:val="nil"/>
              <w:right w:val="nil"/>
            </w:tcBorders>
            <w:vAlign w:val="center"/>
          </w:tcPr>
          <w:p w14:paraId="218D9BEF" w14:textId="17FD408A" w:rsidR="00EF22AF" w:rsidRPr="00FF4346" w:rsidRDefault="00BB59D4" w:rsidP="00BB59D4">
            <w:pPr>
              <w:ind w:left="15"/>
              <w:jc w:val="right"/>
              <w:rPr>
                <w:rFonts w:ascii="CAIXA Std Book" w:hAnsi="CAIXA Std Book" w:cs="Arial"/>
                <w:color w:val="005CA9"/>
                <w:sz w:val="18"/>
                <w:szCs w:val="18"/>
              </w:rPr>
            </w:pPr>
            <w:r>
              <w:rPr>
                <w:rFonts w:ascii="CAIXA Std Book" w:hAnsi="CAIXA Std Book" w:cs="Arial"/>
                <w:color w:val="005CA9"/>
                <w:sz w:val="18"/>
                <w:szCs w:val="18"/>
              </w:rPr>
              <w:t>3.044</w:t>
            </w:r>
          </w:p>
        </w:tc>
        <w:tc>
          <w:tcPr>
            <w:tcW w:w="680" w:type="pct"/>
            <w:tcBorders>
              <w:top w:val="nil"/>
              <w:left w:val="nil"/>
              <w:bottom w:val="nil"/>
              <w:right w:val="nil"/>
            </w:tcBorders>
            <w:shd w:val="clear" w:color="auto" w:fill="auto"/>
            <w:vAlign w:val="center"/>
          </w:tcPr>
          <w:p w14:paraId="50A3D373" w14:textId="42CADBD4" w:rsidR="00EF22AF" w:rsidRPr="00FF4346" w:rsidRDefault="00EF22AF" w:rsidP="00EF22AF">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2.963</w:t>
            </w:r>
          </w:p>
        </w:tc>
      </w:tr>
      <w:tr w:rsidR="00EF22AF" w:rsidRPr="00A33766" w14:paraId="31BD6F52" w14:textId="77777777" w:rsidTr="00BB59D4">
        <w:trPr>
          <w:trHeight w:val="283"/>
        </w:trPr>
        <w:tc>
          <w:tcPr>
            <w:tcW w:w="2279" w:type="pct"/>
            <w:tcBorders>
              <w:top w:val="nil"/>
              <w:left w:val="nil"/>
              <w:bottom w:val="single" w:sz="4" w:space="0" w:color="F39200"/>
              <w:right w:val="nil"/>
            </w:tcBorders>
            <w:shd w:val="clear" w:color="auto" w:fill="auto"/>
            <w:noWrap/>
            <w:vAlign w:val="center"/>
            <w:hideMark/>
          </w:tcPr>
          <w:p w14:paraId="58DA6B72" w14:textId="337FD6C0" w:rsidR="00EF22AF" w:rsidRPr="00FF4346" w:rsidRDefault="00EF22AF" w:rsidP="00EF22AF">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Outras</w:t>
            </w:r>
          </w:p>
        </w:tc>
        <w:tc>
          <w:tcPr>
            <w:tcW w:w="680" w:type="pct"/>
            <w:tcBorders>
              <w:top w:val="nil"/>
              <w:left w:val="nil"/>
              <w:bottom w:val="nil"/>
              <w:right w:val="nil"/>
            </w:tcBorders>
            <w:shd w:val="clear" w:color="auto" w:fill="auto"/>
            <w:noWrap/>
            <w:vAlign w:val="center"/>
          </w:tcPr>
          <w:p w14:paraId="4E58D239" w14:textId="6CDCDD96" w:rsidR="00EF22AF" w:rsidRPr="00FF4346" w:rsidRDefault="00196336" w:rsidP="00196336">
            <w:pPr>
              <w:ind w:left="15"/>
              <w:jc w:val="right"/>
              <w:rPr>
                <w:rFonts w:ascii="CAIXA Std Book" w:hAnsi="CAIXA Std Book" w:cs="Arial"/>
                <w:color w:val="005CA9"/>
                <w:sz w:val="18"/>
                <w:szCs w:val="18"/>
              </w:rPr>
            </w:pPr>
            <w:r>
              <w:rPr>
                <w:rFonts w:ascii="CAIXA Std Book" w:hAnsi="CAIXA Std Book" w:cs="Arial"/>
                <w:color w:val="005CA9"/>
                <w:sz w:val="18"/>
                <w:szCs w:val="18"/>
              </w:rPr>
              <w:t>145.516</w:t>
            </w:r>
          </w:p>
        </w:tc>
        <w:tc>
          <w:tcPr>
            <w:tcW w:w="680" w:type="pct"/>
            <w:tcBorders>
              <w:top w:val="nil"/>
              <w:left w:val="nil"/>
              <w:bottom w:val="nil"/>
              <w:right w:val="nil"/>
            </w:tcBorders>
            <w:shd w:val="clear" w:color="auto" w:fill="auto"/>
            <w:noWrap/>
            <w:vAlign w:val="center"/>
          </w:tcPr>
          <w:p w14:paraId="4085BE6E" w14:textId="10F65406" w:rsidR="00EF22AF" w:rsidRPr="00FF4346" w:rsidRDefault="00196336" w:rsidP="00196336">
            <w:pPr>
              <w:ind w:left="15"/>
              <w:jc w:val="right"/>
              <w:rPr>
                <w:rFonts w:ascii="CAIXA Std Book" w:hAnsi="CAIXA Std Book" w:cs="Arial"/>
                <w:color w:val="005CA9"/>
                <w:sz w:val="18"/>
                <w:szCs w:val="18"/>
              </w:rPr>
            </w:pPr>
            <w:r>
              <w:rPr>
                <w:rFonts w:ascii="CAIXA Std Book" w:hAnsi="CAIXA Std Book" w:cs="Arial"/>
                <w:color w:val="005CA9"/>
                <w:sz w:val="18"/>
                <w:szCs w:val="18"/>
              </w:rPr>
              <w:t>26.420</w:t>
            </w:r>
          </w:p>
        </w:tc>
        <w:tc>
          <w:tcPr>
            <w:tcW w:w="680" w:type="pct"/>
            <w:tcBorders>
              <w:top w:val="nil"/>
              <w:left w:val="nil"/>
              <w:bottom w:val="nil"/>
              <w:right w:val="nil"/>
            </w:tcBorders>
            <w:vAlign w:val="center"/>
          </w:tcPr>
          <w:p w14:paraId="65E7671D" w14:textId="26773850" w:rsidR="00EF22AF" w:rsidRPr="00FF4346" w:rsidRDefault="00196336" w:rsidP="00196336">
            <w:pPr>
              <w:ind w:left="15"/>
              <w:jc w:val="right"/>
              <w:rPr>
                <w:rFonts w:ascii="CAIXA Std Book" w:hAnsi="CAIXA Std Book" w:cs="Arial"/>
                <w:color w:val="005CA9"/>
                <w:sz w:val="18"/>
                <w:szCs w:val="18"/>
              </w:rPr>
            </w:pPr>
            <w:r>
              <w:rPr>
                <w:rFonts w:ascii="CAIXA Std Book" w:hAnsi="CAIXA Std Book" w:cs="Arial"/>
                <w:color w:val="005CA9"/>
                <w:sz w:val="18"/>
                <w:szCs w:val="18"/>
              </w:rPr>
              <w:t>145.778</w:t>
            </w:r>
          </w:p>
        </w:tc>
        <w:tc>
          <w:tcPr>
            <w:tcW w:w="680" w:type="pct"/>
            <w:tcBorders>
              <w:top w:val="nil"/>
              <w:left w:val="nil"/>
              <w:bottom w:val="nil"/>
              <w:right w:val="nil"/>
            </w:tcBorders>
            <w:shd w:val="clear" w:color="auto" w:fill="auto"/>
            <w:vAlign w:val="center"/>
          </w:tcPr>
          <w:p w14:paraId="796BA59D" w14:textId="4275D4BB" w:rsidR="00EF22AF" w:rsidRPr="00FF4346" w:rsidRDefault="00196336" w:rsidP="00196336">
            <w:pPr>
              <w:ind w:left="15"/>
              <w:jc w:val="right"/>
              <w:rPr>
                <w:rFonts w:ascii="CAIXA Std Book" w:hAnsi="CAIXA Std Book" w:cs="Arial"/>
                <w:color w:val="005CA9"/>
                <w:sz w:val="18"/>
                <w:szCs w:val="18"/>
              </w:rPr>
            </w:pPr>
            <w:r>
              <w:rPr>
                <w:rFonts w:ascii="CAIXA Std Book" w:hAnsi="CAIXA Std Book" w:cs="Arial"/>
                <w:color w:val="005CA9"/>
                <w:sz w:val="18"/>
                <w:szCs w:val="18"/>
              </w:rPr>
              <w:t>8.955</w:t>
            </w:r>
          </w:p>
        </w:tc>
      </w:tr>
      <w:tr w:rsidR="00083E2A" w:rsidRPr="00A33766" w14:paraId="561103D2" w14:textId="77777777" w:rsidTr="00BB59D4">
        <w:trPr>
          <w:trHeight w:val="283"/>
        </w:trPr>
        <w:tc>
          <w:tcPr>
            <w:tcW w:w="2279" w:type="pct"/>
            <w:tcBorders>
              <w:top w:val="single" w:sz="4" w:space="0" w:color="F39200"/>
              <w:left w:val="nil"/>
              <w:bottom w:val="single" w:sz="4" w:space="0" w:color="F39200"/>
              <w:right w:val="nil"/>
            </w:tcBorders>
            <w:shd w:val="clear" w:color="auto" w:fill="auto"/>
            <w:noWrap/>
            <w:vAlign w:val="center"/>
            <w:hideMark/>
          </w:tcPr>
          <w:p w14:paraId="4B647D39" w14:textId="77777777" w:rsidR="00083E2A" w:rsidRPr="00FF4346" w:rsidRDefault="00083E2A" w:rsidP="00083E2A">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680" w:type="pct"/>
            <w:tcBorders>
              <w:top w:val="single" w:sz="4" w:space="0" w:color="F39200"/>
              <w:left w:val="nil"/>
              <w:bottom w:val="single" w:sz="4" w:space="0" w:color="F39200"/>
              <w:right w:val="nil"/>
            </w:tcBorders>
            <w:shd w:val="clear" w:color="auto" w:fill="auto"/>
            <w:noWrap/>
            <w:vAlign w:val="center"/>
          </w:tcPr>
          <w:p w14:paraId="6924C4C7" w14:textId="1FD2C949" w:rsidR="00083E2A" w:rsidRPr="00FF4346" w:rsidRDefault="00196336" w:rsidP="003C6E1D">
            <w:pPr>
              <w:ind w:left="15"/>
              <w:jc w:val="right"/>
              <w:rPr>
                <w:rFonts w:ascii="CAIXA Std Book" w:hAnsi="CAIXA Std Book" w:cs="Arial"/>
                <w:b/>
                <w:bCs/>
                <w:color w:val="005CA9"/>
                <w:sz w:val="18"/>
                <w:szCs w:val="18"/>
              </w:rPr>
            </w:pPr>
            <w:r>
              <w:rPr>
                <w:rFonts w:ascii="CAIXA Std Book" w:hAnsi="CAIXA Std Book" w:cs="Arial"/>
                <w:b/>
                <w:bCs/>
                <w:color w:val="005CA9"/>
                <w:sz w:val="18"/>
                <w:szCs w:val="18"/>
              </w:rPr>
              <w:t>2.551.502</w:t>
            </w:r>
          </w:p>
        </w:tc>
        <w:tc>
          <w:tcPr>
            <w:tcW w:w="680" w:type="pct"/>
            <w:tcBorders>
              <w:top w:val="single" w:sz="4" w:space="0" w:color="F39200"/>
              <w:left w:val="nil"/>
              <w:bottom w:val="single" w:sz="4" w:space="0" w:color="F39200"/>
              <w:right w:val="nil"/>
            </w:tcBorders>
            <w:shd w:val="clear" w:color="auto" w:fill="auto"/>
            <w:noWrap/>
            <w:vAlign w:val="center"/>
          </w:tcPr>
          <w:p w14:paraId="429DF4AA" w14:textId="0A892627" w:rsidR="00083E2A" w:rsidRPr="00FF4346" w:rsidRDefault="00196336" w:rsidP="00083E2A">
            <w:pPr>
              <w:ind w:left="15"/>
              <w:jc w:val="right"/>
              <w:rPr>
                <w:rFonts w:ascii="CAIXA Std Book" w:hAnsi="CAIXA Std Book" w:cs="Arial"/>
                <w:b/>
                <w:bCs/>
                <w:color w:val="005CA9"/>
                <w:sz w:val="18"/>
                <w:szCs w:val="18"/>
              </w:rPr>
            </w:pPr>
            <w:r>
              <w:rPr>
                <w:rFonts w:ascii="CAIXA Std Book" w:hAnsi="CAIXA Std Book" w:cs="Arial"/>
                <w:b/>
                <w:bCs/>
                <w:color w:val="005CA9"/>
                <w:sz w:val="18"/>
                <w:szCs w:val="18"/>
              </w:rPr>
              <w:t>2.134.674</w:t>
            </w:r>
          </w:p>
        </w:tc>
        <w:tc>
          <w:tcPr>
            <w:tcW w:w="680" w:type="pct"/>
            <w:tcBorders>
              <w:top w:val="single" w:sz="4" w:space="0" w:color="F39200"/>
              <w:left w:val="nil"/>
              <w:bottom w:val="single" w:sz="4" w:space="0" w:color="F39200"/>
              <w:right w:val="nil"/>
            </w:tcBorders>
            <w:vAlign w:val="center"/>
          </w:tcPr>
          <w:p w14:paraId="40BFE697" w14:textId="1212E2B0" w:rsidR="00083E2A" w:rsidRPr="00FF4346" w:rsidRDefault="00196336" w:rsidP="00BB59D4">
            <w:pPr>
              <w:ind w:left="15"/>
              <w:jc w:val="right"/>
              <w:rPr>
                <w:rFonts w:ascii="CAIXA Std Book" w:hAnsi="CAIXA Std Book" w:cs="Arial"/>
                <w:b/>
                <w:bCs/>
                <w:color w:val="005CA9"/>
                <w:sz w:val="18"/>
                <w:szCs w:val="18"/>
              </w:rPr>
            </w:pPr>
            <w:r>
              <w:rPr>
                <w:rFonts w:ascii="CAIXA Std Book" w:hAnsi="CAIXA Std Book" w:cs="Arial"/>
                <w:b/>
                <w:bCs/>
                <w:color w:val="005CA9"/>
                <w:sz w:val="18"/>
                <w:szCs w:val="18"/>
              </w:rPr>
              <w:t>2.557.415</w:t>
            </w:r>
          </w:p>
        </w:tc>
        <w:tc>
          <w:tcPr>
            <w:tcW w:w="680" w:type="pct"/>
            <w:tcBorders>
              <w:top w:val="single" w:sz="4" w:space="0" w:color="F39200"/>
              <w:left w:val="nil"/>
              <w:bottom w:val="single" w:sz="4" w:space="0" w:color="F39200"/>
              <w:right w:val="nil"/>
            </w:tcBorders>
            <w:shd w:val="clear" w:color="auto" w:fill="auto"/>
            <w:noWrap/>
            <w:vAlign w:val="center"/>
          </w:tcPr>
          <w:p w14:paraId="1CFDF79D" w14:textId="031EE095" w:rsidR="00083E2A" w:rsidRPr="00FF4346" w:rsidRDefault="00196336" w:rsidP="00083E2A">
            <w:pPr>
              <w:ind w:left="15"/>
              <w:jc w:val="right"/>
              <w:rPr>
                <w:rFonts w:ascii="CAIXA Std Book" w:hAnsi="CAIXA Std Book" w:cs="Arial"/>
                <w:b/>
                <w:bCs/>
                <w:color w:val="005CA9"/>
                <w:sz w:val="18"/>
                <w:szCs w:val="18"/>
              </w:rPr>
            </w:pPr>
            <w:r>
              <w:rPr>
                <w:rFonts w:ascii="CAIXA Std Book" w:hAnsi="CAIXA Std Book" w:cs="Arial"/>
                <w:b/>
                <w:bCs/>
                <w:color w:val="005CA9"/>
                <w:sz w:val="18"/>
                <w:szCs w:val="18"/>
              </w:rPr>
              <w:t>2.148.741</w:t>
            </w:r>
          </w:p>
        </w:tc>
      </w:tr>
    </w:tbl>
    <w:p w14:paraId="7D829D4F" w14:textId="2CE18E24" w:rsidR="00C65250" w:rsidRPr="00AA5800" w:rsidRDefault="00C65250" w:rsidP="00DF370C">
      <w:pPr>
        <w:pStyle w:val="Default0"/>
        <w:ind w:right="-2"/>
        <w:jc w:val="both"/>
        <w:rPr>
          <w:rFonts w:ascii="CAIXA Std Book" w:hAnsi="CAIXA Std Book"/>
          <w:color w:val="005CA9"/>
          <w:sz w:val="16"/>
          <w:szCs w:val="16"/>
        </w:rPr>
      </w:pPr>
      <w:bookmarkStart w:id="122" w:name="_Hlk99466317"/>
      <w:r w:rsidRPr="00AA5800">
        <w:rPr>
          <w:rFonts w:ascii="CAIXA Std Book" w:hAnsi="CAIXA Std Book"/>
          <w:color w:val="005CA9"/>
          <w:sz w:val="16"/>
          <w:szCs w:val="16"/>
        </w:rPr>
        <w:t>(</w:t>
      </w:r>
      <w:r w:rsidR="005C0446" w:rsidRPr="00AA5800">
        <w:rPr>
          <w:rFonts w:ascii="CAIXA Std Book" w:hAnsi="CAIXA Std Book"/>
          <w:color w:val="005CA9"/>
          <w:sz w:val="16"/>
          <w:szCs w:val="16"/>
        </w:rPr>
        <w:t>1</w:t>
      </w:r>
      <w:r w:rsidRPr="00AA5800">
        <w:rPr>
          <w:rFonts w:ascii="CAIXA Std Book" w:hAnsi="CAIXA Std Book"/>
          <w:color w:val="005CA9"/>
          <w:sz w:val="16"/>
          <w:szCs w:val="16"/>
        </w:rPr>
        <w:t>) Para as operações de crédito habitacional pessoa física com subsídios do FGTS, a CAIXA reconhece as receitas até o limite dos custos relacionados a cada contrato. Em 202</w:t>
      </w:r>
      <w:r w:rsidR="00BC34FF" w:rsidRPr="00AA5800">
        <w:rPr>
          <w:rFonts w:ascii="CAIXA Std Book" w:hAnsi="CAIXA Std Book"/>
          <w:color w:val="005CA9"/>
          <w:sz w:val="16"/>
          <w:szCs w:val="16"/>
        </w:rPr>
        <w:t>4</w:t>
      </w:r>
      <w:r w:rsidR="00B30BB5">
        <w:rPr>
          <w:rFonts w:ascii="CAIXA Std Book" w:hAnsi="CAIXA Std Book"/>
          <w:color w:val="005CA9"/>
          <w:sz w:val="16"/>
          <w:szCs w:val="16"/>
        </w:rPr>
        <w:t>,</w:t>
      </w:r>
      <w:r w:rsidRPr="00AA5800">
        <w:rPr>
          <w:rFonts w:ascii="CAIXA Std Book" w:hAnsi="CAIXA Std Book"/>
          <w:color w:val="005CA9"/>
          <w:sz w:val="16"/>
          <w:szCs w:val="16"/>
        </w:rPr>
        <w:t xml:space="preserve"> os custos foram de R$ </w:t>
      </w:r>
      <w:r w:rsidR="00BC34FF" w:rsidRPr="00B30BB5">
        <w:rPr>
          <w:rFonts w:ascii="CAIXA Std Book" w:hAnsi="CAIXA Std Book"/>
          <w:color w:val="005CA9"/>
          <w:sz w:val="16"/>
          <w:szCs w:val="16"/>
        </w:rPr>
        <w:t xml:space="preserve">9.241,72 </w:t>
      </w:r>
      <w:r w:rsidR="000B2902" w:rsidRPr="00AA5800">
        <w:rPr>
          <w:rFonts w:ascii="CAIXA Std Book" w:hAnsi="CAIXA Std Book"/>
          <w:color w:val="005CA9"/>
          <w:sz w:val="16"/>
          <w:szCs w:val="16"/>
        </w:rPr>
        <w:t>reais</w:t>
      </w:r>
      <w:r w:rsidRPr="00AA5800">
        <w:rPr>
          <w:rFonts w:ascii="CAIXA Std Book" w:hAnsi="CAIXA Std Book"/>
          <w:color w:val="005CA9"/>
          <w:sz w:val="16"/>
          <w:szCs w:val="16"/>
        </w:rPr>
        <w:t xml:space="preserve"> </w:t>
      </w:r>
      <w:r w:rsidR="004259A6" w:rsidRPr="00AA5800">
        <w:rPr>
          <w:rFonts w:ascii="CAIXA Std Book" w:hAnsi="CAIXA Std Book"/>
          <w:color w:val="005CA9"/>
          <w:sz w:val="16"/>
          <w:szCs w:val="16"/>
        </w:rPr>
        <w:t xml:space="preserve">(R$ </w:t>
      </w:r>
      <w:r w:rsidR="00743D48" w:rsidRPr="00B30BB5">
        <w:rPr>
          <w:rFonts w:ascii="CAIXA Std Book" w:hAnsi="CAIXA Std Book"/>
          <w:color w:val="005CA9"/>
          <w:sz w:val="16"/>
          <w:szCs w:val="16"/>
        </w:rPr>
        <w:t>7.271,91</w:t>
      </w:r>
      <w:r w:rsidR="004259A6" w:rsidRPr="00AA5800">
        <w:rPr>
          <w:rFonts w:ascii="CAIXA Std Book" w:hAnsi="CAIXA Std Book"/>
          <w:color w:val="005CA9"/>
          <w:sz w:val="16"/>
          <w:szCs w:val="16"/>
        </w:rPr>
        <w:t xml:space="preserve"> diretos e R$ </w:t>
      </w:r>
      <w:r w:rsidR="00AC76ED" w:rsidRPr="00B30BB5">
        <w:rPr>
          <w:rFonts w:ascii="CAIXA Std Book" w:hAnsi="CAIXA Std Book"/>
          <w:color w:val="005CA9"/>
          <w:sz w:val="16"/>
          <w:szCs w:val="16"/>
        </w:rPr>
        <w:t>1.969,81</w:t>
      </w:r>
      <w:r w:rsidR="004259A6" w:rsidRPr="00B30BB5">
        <w:rPr>
          <w:rFonts w:ascii="CAIXA Std Book" w:hAnsi="CAIXA Std Book"/>
          <w:color w:val="005CA9"/>
          <w:sz w:val="16"/>
          <w:szCs w:val="16"/>
        </w:rPr>
        <w:t xml:space="preserve"> </w:t>
      </w:r>
      <w:r w:rsidR="004259A6" w:rsidRPr="00AA5800">
        <w:rPr>
          <w:rFonts w:ascii="CAIXA Std Book" w:hAnsi="CAIXA Std Book"/>
          <w:color w:val="005CA9"/>
          <w:sz w:val="16"/>
          <w:szCs w:val="16"/>
        </w:rPr>
        <w:t>indiretos)</w:t>
      </w:r>
      <w:r w:rsidR="00F32E41" w:rsidRPr="00AA5800">
        <w:rPr>
          <w:rFonts w:ascii="CAIXA Std Book" w:hAnsi="CAIXA Std Book"/>
          <w:color w:val="005CA9"/>
          <w:sz w:val="16"/>
          <w:szCs w:val="16"/>
        </w:rPr>
        <w:t>, t</w:t>
      </w:r>
      <w:r w:rsidR="002100CD" w:rsidRPr="00AA5800">
        <w:rPr>
          <w:rFonts w:ascii="CAIXA Std Book" w:hAnsi="CAIXA Std Book"/>
          <w:color w:val="005CA9"/>
          <w:sz w:val="16"/>
          <w:szCs w:val="16"/>
        </w:rPr>
        <w:t>otali</w:t>
      </w:r>
      <w:r w:rsidR="00F32E41" w:rsidRPr="00AA5800">
        <w:rPr>
          <w:rFonts w:ascii="CAIXA Std Book" w:hAnsi="CAIXA Std Book"/>
          <w:color w:val="005CA9"/>
          <w:sz w:val="16"/>
          <w:szCs w:val="16"/>
        </w:rPr>
        <w:t>zando</w:t>
      </w:r>
      <w:r w:rsidRPr="00AA5800">
        <w:rPr>
          <w:rFonts w:ascii="CAIXA Std Book" w:hAnsi="CAIXA Std Book"/>
          <w:color w:val="005CA9"/>
          <w:sz w:val="16"/>
          <w:szCs w:val="16"/>
        </w:rPr>
        <w:t xml:space="preserve"> </w:t>
      </w:r>
      <w:r w:rsidR="00420A2D" w:rsidRPr="00AA5800">
        <w:rPr>
          <w:rFonts w:ascii="CAIXA Std Book" w:hAnsi="CAIXA Std Book"/>
          <w:color w:val="005CA9"/>
          <w:sz w:val="16"/>
          <w:szCs w:val="16"/>
        </w:rPr>
        <w:t>75.994</w:t>
      </w:r>
      <w:r w:rsidRPr="00AA5800">
        <w:rPr>
          <w:rFonts w:ascii="CAIXA Std Book" w:hAnsi="CAIXA Std Book"/>
          <w:color w:val="005CA9"/>
          <w:sz w:val="16"/>
          <w:szCs w:val="16"/>
        </w:rPr>
        <w:t xml:space="preserve"> contratações no </w:t>
      </w:r>
      <w:r w:rsidR="00C2184E" w:rsidRPr="00AA5800">
        <w:rPr>
          <w:rFonts w:ascii="CAIXA Std Book" w:hAnsi="CAIXA Std Book"/>
          <w:color w:val="005CA9"/>
          <w:sz w:val="16"/>
          <w:szCs w:val="16"/>
        </w:rPr>
        <w:t>1º trimestre de 2024.</w:t>
      </w:r>
    </w:p>
    <w:p w14:paraId="291A1664" w14:textId="376A4246" w:rsidR="00814F49" w:rsidRPr="00FF4346" w:rsidRDefault="00814F49" w:rsidP="005A596E">
      <w:pPr>
        <w:pStyle w:val="Ttulo1"/>
      </w:pPr>
      <w:bookmarkStart w:id="123" w:name="_Toc166594504"/>
      <w:bookmarkEnd w:id="122"/>
      <w:r w:rsidRPr="00FF4346">
        <w:t>Nota 29 – Outras despesas operacionais</w:t>
      </w:r>
      <w:bookmarkEnd w:id="123"/>
    </w:p>
    <w:tbl>
      <w:tblPr>
        <w:tblW w:w="5000" w:type="pct"/>
        <w:tblCellMar>
          <w:left w:w="70" w:type="dxa"/>
          <w:right w:w="70" w:type="dxa"/>
        </w:tblCellMar>
        <w:tblLook w:val="04A0" w:firstRow="1" w:lastRow="0" w:firstColumn="1" w:lastColumn="0" w:noHBand="0" w:noVBand="1"/>
      </w:tblPr>
      <w:tblGrid>
        <w:gridCol w:w="4217"/>
        <w:gridCol w:w="1355"/>
        <w:gridCol w:w="1355"/>
        <w:gridCol w:w="1355"/>
        <w:gridCol w:w="1355"/>
      </w:tblGrid>
      <w:tr w:rsidR="00264779" w:rsidRPr="00A33766" w14:paraId="3E0BDE7D" w14:textId="77777777" w:rsidTr="00FB51FA">
        <w:trPr>
          <w:trHeight w:val="283"/>
        </w:trPr>
        <w:tc>
          <w:tcPr>
            <w:tcW w:w="2188" w:type="pct"/>
            <w:vMerge w:val="restart"/>
            <w:tcBorders>
              <w:top w:val="single" w:sz="4" w:space="0" w:color="F39200"/>
              <w:left w:val="nil"/>
              <w:bottom w:val="single" w:sz="4" w:space="0" w:color="F39200"/>
              <w:right w:val="nil"/>
            </w:tcBorders>
            <w:shd w:val="clear" w:color="auto" w:fill="auto"/>
            <w:vAlign w:val="center"/>
            <w:hideMark/>
          </w:tcPr>
          <w:p w14:paraId="07EFF28A" w14:textId="77777777"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406" w:type="pct"/>
            <w:gridSpan w:val="2"/>
            <w:tcBorders>
              <w:top w:val="single" w:sz="4" w:space="0" w:color="F39200"/>
              <w:left w:val="nil"/>
              <w:bottom w:val="single" w:sz="4" w:space="0" w:color="F39200"/>
              <w:right w:val="nil"/>
            </w:tcBorders>
            <w:shd w:val="clear" w:color="auto" w:fill="auto"/>
            <w:vAlign w:val="center"/>
          </w:tcPr>
          <w:p w14:paraId="1B385102" w14:textId="77777777"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INDIVIDUAL</w:t>
            </w:r>
          </w:p>
        </w:tc>
        <w:tc>
          <w:tcPr>
            <w:tcW w:w="1406" w:type="pct"/>
            <w:gridSpan w:val="2"/>
            <w:tcBorders>
              <w:top w:val="single" w:sz="4" w:space="0" w:color="F39200"/>
              <w:left w:val="nil"/>
              <w:bottom w:val="single" w:sz="4" w:space="0" w:color="F39200"/>
              <w:right w:val="nil"/>
            </w:tcBorders>
            <w:shd w:val="clear" w:color="auto" w:fill="auto"/>
            <w:vAlign w:val="center"/>
          </w:tcPr>
          <w:p w14:paraId="5A886808" w14:textId="77777777" w:rsidR="001A08C1" w:rsidRPr="00FF4346" w:rsidRDefault="001A08C1" w:rsidP="00264779">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CONSOLIDADO</w:t>
            </w:r>
          </w:p>
        </w:tc>
      </w:tr>
      <w:tr w:rsidR="003F33A1" w:rsidRPr="00A33766" w14:paraId="139A92FB" w14:textId="77777777" w:rsidTr="00FB51FA">
        <w:trPr>
          <w:trHeight w:val="283"/>
        </w:trPr>
        <w:tc>
          <w:tcPr>
            <w:tcW w:w="2188" w:type="pct"/>
            <w:vMerge/>
            <w:tcBorders>
              <w:top w:val="single" w:sz="4" w:space="0" w:color="F39200"/>
              <w:left w:val="nil"/>
              <w:bottom w:val="single" w:sz="4" w:space="0" w:color="F39200"/>
              <w:right w:val="nil"/>
            </w:tcBorders>
            <w:shd w:val="clear" w:color="auto" w:fill="auto"/>
            <w:vAlign w:val="center"/>
          </w:tcPr>
          <w:p w14:paraId="6863243E" w14:textId="77777777" w:rsidR="001A08C1" w:rsidRPr="00FF4346" w:rsidRDefault="001A08C1" w:rsidP="00264779">
            <w:pPr>
              <w:jc w:val="center"/>
              <w:rPr>
                <w:rFonts w:ascii="CAIXA Std Book" w:eastAsia="Times New Roman" w:hAnsi="CAIXA Std Book" w:cs="Arial"/>
                <w:b/>
                <w:bCs/>
                <w:color w:val="005CA9"/>
                <w:sz w:val="18"/>
                <w:szCs w:val="18"/>
              </w:rPr>
            </w:pPr>
          </w:p>
        </w:tc>
        <w:tc>
          <w:tcPr>
            <w:tcW w:w="703" w:type="pct"/>
            <w:tcBorders>
              <w:top w:val="single" w:sz="4" w:space="0" w:color="F39200"/>
              <w:left w:val="nil"/>
              <w:bottom w:val="single" w:sz="4" w:space="0" w:color="F39200"/>
              <w:right w:val="nil"/>
            </w:tcBorders>
            <w:shd w:val="clear" w:color="auto" w:fill="auto"/>
            <w:vAlign w:val="center"/>
          </w:tcPr>
          <w:p w14:paraId="3E725FA0" w14:textId="7EC660D3"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w:t>
            </w:r>
            <w:r w:rsidR="003F33A1" w:rsidRPr="00FF4346">
              <w:rPr>
                <w:rFonts w:ascii="CAIXA Std Book" w:hAnsi="CAIXA Std Book" w:cs="Cambria Math"/>
                <w:b/>
                <w:color w:val="005CA9"/>
                <w:sz w:val="18"/>
                <w:szCs w:val="18"/>
              </w:rPr>
              <w:t>4</w:t>
            </w:r>
          </w:p>
        </w:tc>
        <w:tc>
          <w:tcPr>
            <w:tcW w:w="703" w:type="pct"/>
            <w:tcBorders>
              <w:top w:val="single" w:sz="4" w:space="0" w:color="F39200"/>
              <w:left w:val="nil"/>
              <w:bottom w:val="single" w:sz="4" w:space="0" w:color="F39200"/>
              <w:right w:val="nil"/>
            </w:tcBorders>
            <w:shd w:val="clear" w:color="auto" w:fill="auto"/>
            <w:vAlign w:val="center"/>
          </w:tcPr>
          <w:p w14:paraId="44CB55B1" w14:textId="051473C5"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w:t>
            </w:r>
            <w:r w:rsidR="003F33A1" w:rsidRPr="00FF4346">
              <w:rPr>
                <w:rFonts w:ascii="CAIXA Std Book" w:hAnsi="CAIXA Std Book" w:cs="Cambria Math"/>
                <w:b/>
                <w:color w:val="005CA9"/>
                <w:sz w:val="18"/>
                <w:szCs w:val="18"/>
              </w:rPr>
              <w:t>3</w:t>
            </w:r>
          </w:p>
        </w:tc>
        <w:tc>
          <w:tcPr>
            <w:tcW w:w="703" w:type="pct"/>
            <w:tcBorders>
              <w:top w:val="single" w:sz="4" w:space="0" w:color="F39200"/>
              <w:left w:val="nil"/>
              <w:bottom w:val="single" w:sz="4" w:space="0" w:color="F39200"/>
              <w:right w:val="nil"/>
            </w:tcBorders>
            <w:shd w:val="clear" w:color="auto" w:fill="auto"/>
            <w:vAlign w:val="center"/>
          </w:tcPr>
          <w:p w14:paraId="47A3359A" w14:textId="1D5E688F"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w:t>
            </w:r>
            <w:r w:rsidR="00F77035">
              <w:rPr>
                <w:rFonts w:ascii="CAIXA Std Book" w:hAnsi="CAIXA Std Book" w:cs="Cambria Math"/>
                <w:b/>
                <w:color w:val="005CA9"/>
                <w:sz w:val="18"/>
                <w:szCs w:val="18"/>
              </w:rPr>
              <w:t>4</w:t>
            </w:r>
          </w:p>
        </w:tc>
        <w:tc>
          <w:tcPr>
            <w:tcW w:w="703" w:type="pct"/>
            <w:tcBorders>
              <w:top w:val="single" w:sz="4" w:space="0" w:color="F39200"/>
              <w:left w:val="nil"/>
              <w:bottom w:val="single" w:sz="4" w:space="0" w:color="F39200"/>
              <w:right w:val="nil"/>
            </w:tcBorders>
            <w:vAlign w:val="center"/>
          </w:tcPr>
          <w:p w14:paraId="5B4C27AA" w14:textId="715FAEC2" w:rsidR="001A08C1" w:rsidRPr="00FF4346" w:rsidRDefault="001A08C1" w:rsidP="00264779">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202</w:t>
            </w:r>
            <w:r w:rsidR="007601C0">
              <w:rPr>
                <w:rFonts w:ascii="CAIXA Std Book" w:hAnsi="CAIXA Std Book" w:cs="Cambria Math"/>
                <w:b/>
                <w:color w:val="005CA9"/>
                <w:sz w:val="18"/>
                <w:szCs w:val="18"/>
              </w:rPr>
              <w:t>3</w:t>
            </w:r>
          </w:p>
        </w:tc>
      </w:tr>
      <w:tr w:rsidR="003F33A1" w:rsidRPr="00A33766" w14:paraId="1451BF13" w14:textId="77777777" w:rsidTr="00FB51FA">
        <w:trPr>
          <w:trHeight w:val="283"/>
        </w:trPr>
        <w:tc>
          <w:tcPr>
            <w:tcW w:w="2188" w:type="pct"/>
            <w:vMerge/>
            <w:tcBorders>
              <w:top w:val="single" w:sz="4" w:space="0" w:color="F39200"/>
              <w:left w:val="nil"/>
              <w:bottom w:val="single" w:sz="4" w:space="0" w:color="F39200"/>
              <w:right w:val="nil"/>
            </w:tcBorders>
            <w:shd w:val="clear" w:color="auto" w:fill="auto"/>
            <w:vAlign w:val="center"/>
          </w:tcPr>
          <w:p w14:paraId="2C056214" w14:textId="77777777" w:rsidR="001A08C1" w:rsidRPr="00FF4346" w:rsidRDefault="001A08C1" w:rsidP="00264779">
            <w:pPr>
              <w:jc w:val="center"/>
              <w:rPr>
                <w:rFonts w:ascii="CAIXA Std Book" w:eastAsia="Times New Roman" w:hAnsi="CAIXA Std Book" w:cs="Arial"/>
                <w:b/>
                <w:bCs/>
                <w:color w:val="005CA9"/>
                <w:sz w:val="18"/>
                <w:szCs w:val="18"/>
              </w:rPr>
            </w:pPr>
          </w:p>
        </w:tc>
        <w:tc>
          <w:tcPr>
            <w:tcW w:w="703" w:type="pct"/>
            <w:tcBorders>
              <w:top w:val="single" w:sz="4" w:space="0" w:color="F39200"/>
              <w:left w:val="nil"/>
              <w:bottom w:val="single" w:sz="4" w:space="0" w:color="F39200"/>
              <w:right w:val="nil"/>
            </w:tcBorders>
            <w:shd w:val="clear" w:color="auto" w:fill="auto"/>
            <w:vAlign w:val="center"/>
          </w:tcPr>
          <w:p w14:paraId="65906A43" w14:textId="77777777"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703" w:type="pct"/>
            <w:tcBorders>
              <w:top w:val="single" w:sz="4" w:space="0" w:color="F39200"/>
              <w:left w:val="nil"/>
              <w:bottom w:val="single" w:sz="4" w:space="0" w:color="F39200"/>
              <w:right w:val="nil"/>
            </w:tcBorders>
            <w:shd w:val="clear" w:color="auto" w:fill="auto"/>
            <w:vAlign w:val="center"/>
          </w:tcPr>
          <w:p w14:paraId="704973BD" w14:textId="77777777"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703" w:type="pct"/>
            <w:tcBorders>
              <w:top w:val="single" w:sz="4" w:space="0" w:color="F39200"/>
              <w:left w:val="nil"/>
              <w:bottom w:val="single" w:sz="4" w:space="0" w:color="F39200"/>
              <w:right w:val="nil"/>
            </w:tcBorders>
            <w:shd w:val="clear" w:color="auto" w:fill="auto"/>
            <w:vAlign w:val="center"/>
          </w:tcPr>
          <w:p w14:paraId="4CEA0CF9" w14:textId="77777777" w:rsidR="001A08C1" w:rsidRPr="00FF4346" w:rsidRDefault="001A08C1" w:rsidP="00264779">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703" w:type="pct"/>
            <w:tcBorders>
              <w:top w:val="single" w:sz="4" w:space="0" w:color="F39200"/>
              <w:left w:val="nil"/>
              <w:bottom w:val="single" w:sz="4" w:space="0" w:color="F39200"/>
              <w:right w:val="nil"/>
            </w:tcBorders>
            <w:vAlign w:val="center"/>
          </w:tcPr>
          <w:p w14:paraId="4A009B47" w14:textId="77777777" w:rsidR="001A08C1" w:rsidRPr="00FF4346" w:rsidRDefault="001A08C1" w:rsidP="00264779">
            <w:pPr>
              <w:jc w:val="center"/>
              <w:rPr>
                <w:rFonts w:ascii="CAIXA Std Book" w:hAnsi="CAIXA Std Book" w:cs="Symbol"/>
                <w:b/>
                <w:color w:val="005CA9"/>
                <w:sz w:val="18"/>
                <w:szCs w:val="18"/>
              </w:rPr>
            </w:pPr>
            <w:r w:rsidRPr="00FF4346">
              <w:rPr>
                <w:rFonts w:ascii="CAIXA Std Book" w:hAnsi="CAIXA Std Book" w:cs="Symbol"/>
                <w:b/>
                <w:color w:val="005CA9"/>
                <w:sz w:val="18"/>
                <w:szCs w:val="18"/>
              </w:rPr>
              <w:t>1º trimestre</w:t>
            </w:r>
          </w:p>
        </w:tc>
      </w:tr>
      <w:tr w:rsidR="00970D79" w:rsidRPr="00A33766" w14:paraId="0091C81D" w14:textId="77777777" w:rsidTr="00FB51FA">
        <w:trPr>
          <w:trHeight w:val="283"/>
        </w:trPr>
        <w:tc>
          <w:tcPr>
            <w:tcW w:w="2188" w:type="pct"/>
            <w:tcBorders>
              <w:top w:val="nil"/>
              <w:left w:val="nil"/>
              <w:bottom w:val="nil"/>
              <w:right w:val="nil"/>
            </w:tcBorders>
            <w:shd w:val="clear" w:color="auto" w:fill="auto"/>
            <w:vAlign w:val="center"/>
            <w:hideMark/>
          </w:tcPr>
          <w:p w14:paraId="1F1BEBEF" w14:textId="6BA30A71"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Lotéricos e parceiros comerciais</w:t>
            </w:r>
          </w:p>
        </w:tc>
        <w:tc>
          <w:tcPr>
            <w:tcW w:w="703" w:type="pct"/>
            <w:tcBorders>
              <w:top w:val="single" w:sz="4" w:space="0" w:color="F39200"/>
              <w:left w:val="nil"/>
              <w:bottom w:val="nil"/>
              <w:right w:val="nil"/>
            </w:tcBorders>
            <w:shd w:val="clear" w:color="auto" w:fill="auto"/>
            <w:vAlign w:val="center"/>
          </w:tcPr>
          <w:p w14:paraId="0D36F3DD" w14:textId="42ED6DFE"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(1.032.383)</w:t>
            </w:r>
          </w:p>
        </w:tc>
        <w:tc>
          <w:tcPr>
            <w:tcW w:w="703" w:type="pct"/>
            <w:tcBorders>
              <w:top w:val="single" w:sz="4" w:space="0" w:color="F39200"/>
              <w:left w:val="nil"/>
              <w:bottom w:val="nil"/>
              <w:right w:val="nil"/>
            </w:tcBorders>
            <w:shd w:val="clear" w:color="auto" w:fill="auto"/>
            <w:noWrap/>
            <w:vAlign w:val="center"/>
          </w:tcPr>
          <w:p w14:paraId="10361611" w14:textId="73D0611B"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(1.028.249)</w:t>
            </w:r>
          </w:p>
        </w:tc>
        <w:tc>
          <w:tcPr>
            <w:tcW w:w="703" w:type="pct"/>
            <w:tcBorders>
              <w:top w:val="single" w:sz="4" w:space="0" w:color="F39200"/>
              <w:left w:val="nil"/>
              <w:bottom w:val="nil"/>
              <w:right w:val="nil"/>
            </w:tcBorders>
            <w:shd w:val="clear" w:color="auto" w:fill="auto"/>
            <w:vAlign w:val="center"/>
          </w:tcPr>
          <w:p w14:paraId="05F9472C" w14:textId="54E6940F"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(1.032.383)</w:t>
            </w:r>
          </w:p>
        </w:tc>
        <w:tc>
          <w:tcPr>
            <w:tcW w:w="703" w:type="pct"/>
            <w:tcBorders>
              <w:top w:val="single" w:sz="4" w:space="0" w:color="F39200"/>
              <w:left w:val="nil"/>
              <w:bottom w:val="nil"/>
              <w:right w:val="nil"/>
            </w:tcBorders>
            <w:vAlign w:val="center"/>
          </w:tcPr>
          <w:p w14:paraId="472C10EA" w14:textId="1C2A323C"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(1.028.249)</w:t>
            </w:r>
          </w:p>
        </w:tc>
      </w:tr>
      <w:tr w:rsidR="00970D79" w:rsidRPr="00A33766" w14:paraId="35DCB214" w14:textId="77777777" w:rsidTr="00FB51FA">
        <w:trPr>
          <w:trHeight w:val="283"/>
        </w:trPr>
        <w:tc>
          <w:tcPr>
            <w:tcW w:w="2188" w:type="pct"/>
            <w:tcBorders>
              <w:top w:val="nil"/>
              <w:left w:val="nil"/>
              <w:bottom w:val="nil"/>
              <w:right w:val="nil"/>
            </w:tcBorders>
            <w:shd w:val="clear" w:color="auto" w:fill="auto"/>
            <w:vAlign w:val="center"/>
            <w:hideMark/>
          </w:tcPr>
          <w:p w14:paraId="73B6B19C" w14:textId="3951C747"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Benefício pós-emprego</w:t>
            </w:r>
          </w:p>
        </w:tc>
        <w:tc>
          <w:tcPr>
            <w:tcW w:w="703" w:type="pct"/>
            <w:tcBorders>
              <w:top w:val="nil"/>
              <w:left w:val="nil"/>
              <w:bottom w:val="nil"/>
              <w:right w:val="nil"/>
            </w:tcBorders>
            <w:shd w:val="clear" w:color="auto" w:fill="auto"/>
            <w:vAlign w:val="center"/>
          </w:tcPr>
          <w:p w14:paraId="42C8ACE7" w14:textId="29A17B79"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(514.087)</w:t>
            </w:r>
          </w:p>
        </w:tc>
        <w:tc>
          <w:tcPr>
            <w:tcW w:w="703" w:type="pct"/>
            <w:tcBorders>
              <w:top w:val="nil"/>
              <w:left w:val="nil"/>
              <w:bottom w:val="nil"/>
              <w:right w:val="nil"/>
            </w:tcBorders>
            <w:shd w:val="clear" w:color="auto" w:fill="auto"/>
            <w:noWrap/>
            <w:vAlign w:val="center"/>
          </w:tcPr>
          <w:p w14:paraId="279DE945" w14:textId="19D5F128"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(473.218)</w:t>
            </w:r>
          </w:p>
        </w:tc>
        <w:tc>
          <w:tcPr>
            <w:tcW w:w="703" w:type="pct"/>
            <w:tcBorders>
              <w:top w:val="nil"/>
              <w:left w:val="nil"/>
              <w:bottom w:val="nil"/>
              <w:right w:val="nil"/>
            </w:tcBorders>
            <w:shd w:val="clear" w:color="auto" w:fill="auto"/>
            <w:vAlign w:val="center"/>
          </w:tcPr>
          <w:p w14:paraId="700ABD40" w14:textId="2CCAE7EE"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(514.087)</w:t>
            </w:r>
          </w:p>
        </w:tc>
        <w:tc>
          <w:tcPr>
            <w:tcW w:w="703" w:type="pct"/>
            <w:tcBorders>
              <w:top w:val="nil"/>
              <w:left w:val="nil"/>
              <w:bottom w:val="nil"/>
              <w:right w:val="nil"/>
            </w:tcBorders>
            <w:vAlign w:val="center"/>
          </w:tcPr>
          <w:p w14:paraId="670B4180" w14:textId="3F913857"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(473.218)</w:t>
            </w:r>
          </w:p>
        </w:tc>
      </w:tr>
      <w:tr w:rsidR="00970D79" w:rsidRPr="00A33766" w14:paraId="034C9645" w14:textId="77777777" w:rsidTr="00FB51FA">
        <w:trPr>
          <w:trHeight w:val="283"/>
        </w:trPr>
        <w:tc>
          <w:tcPr>
            <w:tcW w:w="2188" w:type="pct"/>
            <w:tcBorders>
              <w:top w:val="nil"/>
              <w:left w:val="nil"/>
              <w:bottom w:val="nil"/>
              <w:right w:val="nil"/>
            </w:tcBorders>
            <w:shd w:val="clear" w:color="auto" w:fill="auto"/>
            <w:vAlign w:val="center"/>
          </w:tcPr>
          <w:p w14:paraId="56F6E3D6" w14:textId="48FCE4CA"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Perdas de risco operacional</w:t>
            </w:r>
          </w:p>
        </w:tc>
        <w:tc>
          <w:tcPr>
            <w:tcW w:w="703" w:type="pct"/>
            <w:tcBorders>
              <w:top w:val="nil"/>
              <w:left w:val="nil"/>
              <w:bottom w:val="nil"/>
              <w:right w:val="nil"/>
            </w:tcBorders>
            <w:shd w:val="clear" w:color="auto" w:fill="auto"/>
            <w:vAlign w:val="center"/>
          </w:tcPr>
          <w:p w14:paraId="588F7EFA" w14:textId="330A8E66"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(311.815)</w:t>
            </w:r>
          </w:p>
        </w:tc>
        <w:tc>
          <w:tcPr>
            <w:tcW w:w="703" w:type="pct"/>
            <w:tcBorders>
              <w:top w:val="nil"/>
              <w:left w:val="nil"/>
              <w:bottom w:val="nil"/>
              <w:right w:val="nil"/>
            </w:tcBorders>
            <w:shd w:val="clear" w:color="auto" w:fill="auto"/>
            <w:noWrap/>
            <w:vAlign w:val="center"/>
          </w:tcPr>
          <w:p w14:paraId="14072ECA" w14:textId="412B2CE9"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(261.582)</w:t>
            </w:r>
          </w:p>
        </w:tc>
        <w:tc>
          <w:tcPr>
            <w:tcW w:w="703" w:type="pct"/>
            <w:tcBorders>
              <w:top w:val="nil"/>
              <w:left w:val="nil"/>
              <w:bottom w:val="nil"/>
              <w:right w:val="nil"/>
            </w:tcBorders>
            <w:shd w:val="clear" w:color="auto" w:fill="auto"/>
            <w:vAlign w:val="center"/>
          </w:tcPr>
          <w:p w14:paraId="729AB96C" w14:textId="7F305F30"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(311.815)</w:t>
            </w:r>
          </w:p>
        </w:tc>
        <w:tc>
          <w:tcPr>
            <w:tcW w:w="703" w:type="pct"/>
            <w:tcBorders>
              <w:top w:val="nil"/>
              <w:left w:val="nil"/>
              <w:bottom w:val="nil"/>
              <w:right w:val="nil"/>
            </w:tcBorders>
            <w:vAlign w:val="center"/>
          </w:tcPr>
          <w:p w14:paraId="34C84D5C" w14:textId="3066AF2D"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(261.582)</w:t>
            </w:r>
          </w:p>
        </w:tc>
      </w:tr>
      <w:tr w:rsidR="00970D79" w:rsidRPr="00A33766" w14:paraId="2DFCC834" w14:textId="77777777" w:rsidTr="00FB51FA">
        <w:trPr>
          <w:trHeight w:val="283"/>
        </w:trPr>
        <w:tc>
          <w:tcPr>
            <w:tcW w:w="2188" w:type="pct"/>
            <w:tcBorders>
              <w:top w:val="nil"/>
              <w:left w:val="nil"/>
              <w:bottom w:val="nil"/>
              <w:right w:val="nil"/>
            </w:tcBorders>
            <w:shd w:val="clear" w:color="auto" w:fill="auto"/>
            <w:vAlign w:val="center"/>
            <w:hideMark/>
          </w:tcPr>
          <w:p w14:paraId="6EA8764A" w14:textId="4D735E17"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Obrigações com fundos e programas</w:t>
            </w:r>
          </w:p>
        </w:tc>
        <w:tc>
          <w:tcPr>
            <w:tcW w:w="703" w:type="pct"/>
            <w:tcBorders>
              <w:top w:val="nil"/>
              <w:left w:val="nil"/>
              <w:bottom w:val="nil"/>
              <w:right w:val="nil"/>
            </w:tcBorders>
            <w:shd w:val="clear" w:color="auto" w:fill="auto"/>
            <w:vAlign w:val="center"/>
          </w:tcPr>
          <w:p w14:paraId="4FCEEA98" w14:textId="3705B6CC"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(228.515)</w:t>
            </w:r>
          </w:p>
        </w:tc>
        <w:tc>
          <w:tcPr>
            <w:tcW w:w="703" w:type="pct"/>
            <w:tcBorders>
              <w:top w:val="nil"/>
              <w:left w:val="nil"/>
              <w:bottom w:val="nil"/>
              <w:right w:val="nil"/>
            </w:tcBorders>
            <w:shd w:val="clear" w:color="auto" w:fill="auto"/>
            <w:noWrap/>
            <w:vAlign w:val="center"/>
          </w:tcPr>
          <w:p w14:paraId="500AB0D8" w14:textId="6E5B2497"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(140.597)</w:t>
            </w:r>
          </w:p>
        </w:tc>
        <w:tc>
          <w:tcPr>
            <w:tcW w:w="703" w:type="pct"/>
            <w:tcBorders>
              <w:top w:val="nil"/>
              <w:left w:val="nil"/>
              <w:bottom w:val="nil"/>
              <w:right w:val="nil"/>
            </w:tcBorders>
            <w:shd w:val="clear" w:color="auto" w:fill="auto"/>
            <w:vAlign w:val="center"/>
          </w:tcPr>
          <w:p w14:paraId="452F3053" w14:textId="7DC0AA72"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(228.515)</w:t>
            </w:r>
          </w:p>
        </w:tc>
        <w:tc>
          <w:tcPr>
            <w:tcW w:w="703" w:type="pct"/>
            <w:tcBorders>
              <w:top w:val="nil"/>
              <w:left w:val="nil"/>
              <w:bottom w:val="nil"/>
              <w:right w:val="nil"/>
            </w:tcBorders>
            <w:vAlign w:val="center"/>
          </w:tcPr>
          <w:p w14:paraId="3E5DC289" w14:textId="3997AD7E"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(140.597)</w:t>
            </w:r>
          </w:p>
        </w:tc>
      </w:tr>
      <w:tr w:rsidR="00970D79" w:rsidRPr="00A33766" w14:paraId="49EEC209" w14:textId="77777777" w:rsidTr="00FB51FA">
        <w:trPr>
          <w:trHeight w:val="283"/>
        </w:trPr>
        <w:tc>
          <w:tcPr>
            <w:tcW w:w="2188" w:type="pct"/>
            <w:tcBorders>
              <w:top w:val="nil"/>
              <w:left w:val="nil"/>
              <w:bottom w:val="nil"/>
              <w:right w:val="nil"/>
            </w:tcBorders>
            <w:shd w:val="clear" w:color="auto" w:fill="auto"/>
            <w:vAlign w:val="center"/>
            <w:hideMark/>
          </w:tcPr>
          <w:p w14:paraId="03E3B253" w14:textId="50F80B12"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Cartão de crédito</w:t>
            </w:r>
          </w:p>
        </w:tc>
        <w:tc>
          <w:tcPr>
            <w:tcW w:w="703" w:type="pct"/>
            <w:tcBorders>
              <w:top w:val="nil"/>
              <w:left w:val="nil"/>
              <w:bottom w:val="nil"/>
              <w:right w:val="nil"/>
            </w:tcBorders>
            <w:shd w:val="clear" w:color="auto" w:fill="auto"/>
            <w:vAlign w:val="center"/>
          </w:tcPr>
          <w:p w14:paraId="513CDB6A" w14:textId="71427E7B"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(310.790)</w:t>
            </w:r>
          </w:p>
        </w:tc>
        <w:tc>
          <w:tcPr>
            <w:tcW w:w="703" w:type="pct"/>
            <w:tcBorders>
              <w:top w:val="nil"/>
              <w:left w:val="nil"/>
              <w:bottom w:val="nil"/>
              <w:right w:val="nil"/>
            </w:tcBorders>
            <w:shd w:val="clear" w:color="auto" w:fill="auto"/>
            <w:noWrap/>
            <w:vAlign w:val="center"/>
          </w:tcPr>
          <w:p w14:paraId="26BA535E" w14:textId="0AE77F56"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(234.383)</w:t>
            </w:r>
          </w:p>
        </w:tc>
        <w:tc>
          <w:tcPr>
            <w:tcW w:w="703" w:type="pct"/>
            <w:tcBorders>
              <w:top w:val="nil"/>
              <w:left w:val="nil"/>
              <w:bottom w:val="nil"/>
              <w:right w:val="nil"/>
            </w:tcBorders>
            <w:shd w:val="clear" w:color="auto" w:fill="auto"/>
            <w:vAlign w:val="center"/>
          </w:tcPr>
          <w:p w14:paraId="551CF92A" w14:textId="6357DAE9"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(310.790)</w:t>
            </w:r>
          </w:p>
        </w:tc>
        <w:tc>
          <w:tcPr>
            <w:tcW w:w="703" w:type="pct"/>
            <w:tcBorders>
              <w:top w:val="nil"/>
              <w:left w:val="nil"/>
              <w:bottom w:val="nil"/>
              <w:right w:val="nil"/>
            </w:tcBorders>
            <w:vAlign w:val="center"/>
          </w:tcPr>
          <w:p w14:paraId="538FAD0E" w14:textId="6E0CC16F"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(235.002)</w:t>
            </w:r>
          </w:p>
        </w:tc>
      </w:tr>
      <w:tr w:rsidR="00970D79" w:rsidRPr="00A33766" w14:paraId="41436E01" w14:textId="77777777" w:rsidTr="00FB51FA">
        <w:trPr>
          <w:trHeight w:val="283"/>
        </w:trPr>
        <w:tc>
          <w:tcPr>
            <w:tcW w:w="2188" w:type="pct"/>
            <w:tcBorders>
              <w:top w:val="nil"/>
              <w:left w:val="nil"/>
              <w:bottom w:val="nil"/>
              <w:right w:val="nil"/>
            </w:tcBorders>
            <w:shd w:val="clear" w:color="auto" w:fill="auto"/>
            <w:vAlign w:val="center"/>
            <w:hideMark/>
          </w:tcPr>
          <w:p w14:paraId="6796A5D7" w14:textId="2765CE88"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Financiamento imobiliário</w:t>
            </w:r>
          </w:p>
        </w:tc>
        <w:tc>
          <w:tcPr>
            <w:tcW w:w="703" w:type="pct"/>
            <w:tcBorders>
              <w:top w:val="nil"/>
              <w:left w:val="nil"/>
              <w:bottom w:val="nil"/>
              <w:right w:val="nil"/>
            </w:tcBorders>
            <w:shd w:val="clear" w:color="auto" w:fill="auto"/>
            <w:vAlign w:val="center"/>
          </w:tcPr>
          <w:p w14:paraId="19650964" w14:textId="1EFB34BD"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(213.936)</w:t>
            </w:r>
          </w:p>
        </w:tc>
        <w:tc>
          <w:tcPr>
            <w:tcW w:w="703" w:type="pct"/>
            <w:tcBorders>
              <w:top w:val="nil"/>
              <w:left w:val="nil"/>
              <w:bottom w:val="nil"/>
              <w:right w:val="nil"/>
            </w:tcBorders>
            <w:shd w:val="clear" w:color="auto" w:fill="auto"/>
            <w:noWrap/>
            <w:vAlign w:val="center"/>
          </w:tcPr>
          <w:p w14:paraId="54260477" w14:textId="7A65AC31"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(295.733)</w:t>
            </w:r>
          </w:p>
        </w:tc>
        <w:tc>
          <w:tcPr>
            <w:tcW w:w="703" w:type="pct"/>
            <w:tcBorders>
              <w:top w:val="nil"/>
              <w:left w:val="nil"/>
              <w:bottom w:val="nil"/>
              <w:right w:val="nil"/>
            </w:tcBorders>
            <w:shd w:val="clear" w:color="auto" w:fill="auto"/>
            <w:vAlign w:val="center"/>
          </w:tcPr>
          <w:p w14:paraId="5186197A" w14:textId="3C761475"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(213.936)</w:t>
            </w:r>
          </w:p>
        </w:tc>
        <w:tc>
          <w:tcPr>
            <w:tcW w:w="703" w:type="pct"/>
            <w:tcBorders>
              <w:top w:val="nil"/>
              <w:left w:val="nil"/>
              <w:bottom w:val="nil"/>
              <w:right w:val="nil"/>
            </w:tcBorders>
            <w:vAlign w:val="center"/>
          </w:tcPr>
          <w:p w14:paraId="208C4BC4" w14:textId="298BD128"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(295.733)</w:t>
            </w:r>
          </w:p>
        </w:tc>
      </w:tr>
      <w:tr w:rsidR="00970D79" w:rsidRPr="00A33766" w14:paraId="6E59F067" w14:textId="77777777" w:rsidTr="00FB51FA">
        <w:trPr>
          <w:trHeight w:val="283"/>
        </w:trPr>
        <w:tc>
          <w:tcPr>
            <w:tcW w:w="2188" w:type="pct"/>
            <w:tcBorders>
              <w:top w:val="nil"/>
              <w:left w:val="nil"/>
              <w:bottom w:val="nil"/>
              <w:right w:val="nil"/>
            </w:tcBorders>
            <w:shd w:val="clear" w:color="auto" w:fill="auto"/>
            <w:vAlign w:val="center"/>
            <w:hideMark/>
          </w:tcPr>
          <w:p w14:paraId="52DFE0FF" w14:textId="2C434E57"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Benefícios sociais</w:t>
            </w:r>
          </w:p>
        </w:tc>
        <w:tc>
          <w:tcPr>
            <w:tcW w:w="703" w:type="pct"/>
            <w:tcBorders>
              <w:top w:val="nil"/>
              <w:left w:val="nil"/>
              <w:bottom w:val="nil"/>
              <w:right w:val="nil"/>
            </w:tcBorders>
            <w:shd w:val="clear" w:color="auto" w:fill="auto"/>
            <w:vAlign w:val="center"/>
          </w:tcPr>
          <w:p w14:paraId="71C77F29" w14:textId="2622FA79"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(168.309)</w:t>
            </w:r>
          </w:p>
        </w:tc>
        <w:tc>
          <w:tcPr>
            <w:tcW w:w="703" w:type="pct"/>
            <w:tcBorders>
              <w:top w:val="nil"/>
              <w:left w:val="nil"/>
              <w:bottom w:val="nil"/>
              <w:right w:val="nil"/>
            </w:tcBorders>
            <w:shd w:val="clear" w:color="auto" w:fill="auto"/>
            <w:noWrap/>
            <w:vAlign w:val="center"/>
          </w:tcPr>
          <w:p w14:paraId="0D6630A6" w14:textId="73E3C106"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(259.319)</w:t>
            </w:r>
          </w:p>
        </w:tc>
        <w:tc>
          <w:tcPr>
            <w:tcW w:w="703" w:type="pct"/>
            <w:tcBorders>
              <w:top w:val="nil"/>
              <w:left w:val="nil"/>
              <w:bottom w:val="nil"/>
              <w:right w:val="nil"/>
            </w:tcBorders>
            <w:shd w:val="clear" w:color="auto" w:fill="auto"/>
            <w:vAlign w:val="center"/>
          </w:tcPr>
          <w:p w14:paraId="24650162" w14:textId="18FB90FE"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(168.309)</w:t>
            </w:r>
          </w:p>
        </w:tc>
        <w:tc>
          <w:tcPr>
            <w:tcW w:w="703" w:type="pct"/>
            <w:tcBorders>
              <w:top w:val="nil"/>
              <w:left w:val="nil"/>
              <w:bottom w:val="nil"/>
              <w:right w:val="nil"/>
            </w:tcBorders>
            <w:vAlign w:val="center"/>
          </w:tcPr>
          <w:p w14:paraId="51F2E577" w14:textId="0370E6B0"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(259.319)</w:t>
            </w:r>
          </w:p>
        </w:tc>
      </w:tr>
      <w:tr w:rsidR="00970D79" w:rsidRPr="00A33766" w14:paraId="09AE2BAE" w14:textId="77777777" w:rsidTr="00FB51FA">
        <w:trPr>
          <w:trHeight w:val="283"/>
        </w:trPr>
        <w:tc>
          <w:tcPr>
            <w:tcW w:w="2188" w:type="pct"/>
            <w:tcBorders>
              <w:top w:val="nil"/>
              <w:left w:val="nil"/>
              <w:bottom w:val="nil"/>
              <w:right w:val="nil"/>
            </w:tcBorders>
            <w:shd w:val="clear" w:color="auto" w:fill="auto"/>
            <w:vAlign w:val="center"/>
            <w:hideMark/>
          </w:tcPr>
          <w:p w14:paraId="0B688805" w14:textId="1D79AD96"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Imóveis adjudicados e arrematados</w:t>
            </w:r>
          </w:p>
        </w:tc>
        <w:tc>
          <w:tcPr>
            <w:tcW w:w="703" w:type="pct"/>
            <w:tcBorders>
              <w:top w:val="nil"/>
              <w:left w:val="nil"/>
              <w:bottom w:val="nil"/>
              <w:right w:val="nil"/>
            </w:tcBorders>
            <w:shd w:val="clear" w:color="auto" w:fill="auto"/>
            <w:vAlign w:val="center"/>
          </w:tcPr>
          <w:p w14:paraId="4436F12C" w14:textId="26EFB632"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(314.709)</w:t>
            </w:r>
          </w:p>
        </w:tc>
        <w:tc>
          <w:tcPr>
            <w:tcW w:w="703" w:type="pct"/>
            <w:tcBorders>
              <w:top w:val="nil"/>
              <w:left w:val="nil"/>
              <w:bottom w:val="nil"/>
              <w:right w:val="nil"/>
            </w:tcBorders>
            <w:shd w:val="clear" w:color="auto" w:fill="auto"/>
            <w:noWrap/>
            <w:vAlign w:val="center"/>
          </w:tcPr>
          <w:p w14:paraId="0ACEF829" w14:textId="1D4EA9CF"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(170.265)</w:t>
            </w:r>
          </w:p>
        </w:tc>
        <w:tc>
          <w:tcPr>
            <w:tcW w:w="703" w:type="pct"/>
            <w:tcBorders>
              <w:top w:val="nil"/>
              <w:left w:val="nil"/>
              <w:bottom w:val="nil"/>
              <w:right w:val="nil"/>
            </w:tcBorders>
            <w:shd w:val="clear" w:color="auto" w:fill="auto"/>
            <w:vAlign w:val="center"/>
          </w:tcPr>
          <w:p w14:paraId="4112E1D6" w14:textId="05F61481"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(314.709)</w:t>
            </w:r>
          </w:p>
        </w:tc>
        <w:tc>
          <w:tcPr>
            <w:tcW w:w="703" w:type="pct"/>
            <w:tcBorders>
              <w:top w:val="nil"/>
              <w:left w:val="nil"/>
              <w:bottom w:val="nil"/>
              <w:right w:val="nil"/>
            </w:tcBorders>
            <w:vAlign w:val="center"/>
          </w:tcPr>
          <w:p w14:paraId="0C6E9747" w14:textId="6DD522B1"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(170.265)</w:t>
            </w:r>
          </w:p>
        </w:tc>
      </w:tr>
      <w:tr w:rsidR="00970D79" w:rsidRPr="00A33766" w14:paraId="62F7AD7C" w14:textId="77777777" w:rsidTr="00FB51FA">
        <w:trPr>
          <w:trHeight w:val="283"/>
        </w:trPr>
        <w:tc>
          <w:tcPr>
            <w:tcW w:w="2188" w:type="pct"/>
            <w:tcBorders>
              <w:top w:val="nil"/>
              <w:left w:val="nil"/>
              <w:bottom w:val="nil"/>
              <w:right w:val="nil"/>
            </w:tcBorders>
            <w:shd w:val="clear" w:color="auto" w:fill="auto"/>
            <w:vAlign w:val="center"/>
            <w:hideMark/>
          </w:tcPr>
          <w:p w14:paraId="79CE5E1E" w14:textId="6DB2FCAB"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Alavancagem de negócios</w:t>
            </w:r>
          </w:p>
        </w:tc>
        <w:tc>
          <w:tcPr>
            <w:tcW w:w="703" w:type="pct"/>
            <w:tcBorders>
              <w:top w:val="nil"/>
              <w:left w:val="nil"/>
              <w:bottom w:val="nil"/>
              <w:right w:val="nil"/>
            </w:tcBorders>
            <w:shd w:val="clear" w:color="auto" w:fill="auto"/>
            <w:vAlign w:val="center"/>
          </w:tcPr>
          <w:p w14:paraId="7CFD8FAB" w14:textId="552D6585"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(203.850)</w:t>
            </w:r>
          </w:p>
        </w:tc>
        <w:tc>
          <w:tcPr>
            <w:tcW w:w="703" w:type="pct"/>
            <w:tcBorders>
              <w:top w:val="nil"/>
              <w:left w:val="nil"/>
              <w:bottom w:val="nil"/>
              <w:right w:val="nil"/>
            </w:tcBorders>
            <w:shd w:val="clear" w:color="auto" w:fill="auto"/>
            <w:noWrap/>
            <w:vAlign w:val="center"/>
          </w:tcPr>
          <w:p w14:paraId="267D8D2E" w14:textId="24A0DEDB"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(178.031)</w:t>
            </w:r>
          </w:p>
        </w:tc>
        <w:tc>
          <w:tcPr>
            <w:tcW w:w="703" w:type="pct"/>
            <w:tcBorders>
              <w:top w:val="nil"/>
              <w:left w:val="nil"/>
              <w:bottom w:val="nil"/>
              <w:right w:val="nil"/>
            </w:tcBorders>
            <w:shd w:val="clear" w:color="auto" w:fill="auto"/>
            <w:vAlign w:val="center"/>
          </w:tcPr>
          <w:p w14:paraId="399DF381" w14:textId="4C7D3D21"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(203.850)</w:t>
            </w:r>
          </w:p>
        </w:tc>
        <w:tc>
          <w:tcPr>
            <w:tcW w:w="703" w:type="pct"/>
            <w:tcBorders>
              <w:top w:val="nil"/>
              <w:left w:val="nil"/>
              <w:bottom w:val="nil"/>
              <w:right w:val="nil"/>
            </w:tcBorders>
            <w:vAlign w:val="center"/>
          </w:tcPr>
          <w:p w14:paraId="7B9374E0" w14:textId="4A924974"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(178.031)</w:t>
            </w:r>
          </w:p>
        </w:tc>
      </w:tr>
      <w:tr w:rsidR="00970D79" w:rsidRPr="00A33766" w14:paraId="3B1535ED" w14:textId="77777777" w:rsidTr="00FB51FA">
        <w:trPr>
          <w:trHeight w:val="283"/>
        </w:trPr>
        <w:tc>
          <w:tcPr>
            <w:tcW w:w="2188" w:type="pct"/>
            <w:tcBorders>
              <w:top w:val="nil"/>
              <w:left w:val="nil"/>
              <w:bottom w:val="nil"/>
              <w:right w:val="nil"/>
            </w:tcBorders>
            <w:shd w:val="clear" w:color="auto" w:fill="auto"/>
            <w:vAlign w:val="center"/>
            <w:hideMark/>
          </w:tcPr>
          <w:p w14:paraId="52C74E7B" w14:textId="7BFCAEC3"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Serviços automatizados</w:t>
            </w:r>
          </w:p>
        </w:tc>
        <w:tc>
          <w:tcPr>
            <w:tcW w:w="703" w:type="pct"/>
            <w:tcBorders>
              <w:top w:val="nil"/>
              <w:left w:val="nil"/>
              <w:bottom w:val="nil"/>
              <w:right w:val="nil"/>
            </w:tcBorders>
            <w:shd w:val="clear" w:color="auto" w:fill="auto"/>
            <w:vAlign w:val="center"/>
          </w:tcPr>
          <w:p w14:paraId="431A95C2" w14:textId="499C727D"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(146.403)</w:t>
            </w:r>
          </w:p>
        </w:tc>
        <w:tc>
          <w:tcPr>
            <w:tcW w:w="703" w:type="pct"/>
            <w:tcBorders>
              <w:top w:val="nil"/>
              <w:left w:val="nil"/>
              <w:bottom w:val="nil"/>
              <w:right w:val="nil"/>
            </w:tcBorders>
            <w:shd w:val="clear" w:color="auto" w:fill="auto"/>
            <w:noWrap/>
            <w:vAlign w:val="center"/>
          </w:tcPr>
          <w:p w14:paraId="6DEFFB7B" w14:textId="6918D56F"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(146.943)</w:t>
            </w:r>
          </w:p>
        </w:tc>
        <w:tc>
          <w:tcPr>
            <w:tcW w:w="703" w:type="pct"/>
            <w:tcBorders>
              <w:top w:val="nil"/>
              <w:left w:val="nil"/>
              <w:bottom w:val="nil"/>
              <w:right w:val="nil"/>
            </w:tcBorders>
            <w:shd w:val="clear" w:color="auto" w:fill="auto"/>
            <w:vAlign w:val="center"/>
          </w:tcPr>
          <w:p w14:paraId="2A8F8CE1" w14:textId="7B9EF187"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(146.403)</w:t>
            </w:r>
          </w:p>
        </w:tc>
        <w:tc>
          <w:tcPr>
            <w:tcW w:w="703" w:type="pct"/>
            <w:tcBorders>
              <w:top w:val="nil"/>
              <w:left w:val="nil"/>
              <w:bottom w:val="nil"/>
              <w:right w:val="nil"/>
            </w:tcBorders>
            <w:vAlign w:val="center"/>
          </w:tcPr>
          <w:p w14:paraId="601C5C7E" w14:textId="78C0EB8C"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(146.943)</w:t>
            </w:r>
          </w:p>
        </w:tc>
      </w:tr>
      <w:tr w:rsidR="00970D79" w:rsidRPr="00A33766" w14:paraId="262593D2" w14:textId="77777777" w:rsidTr="00FB51FA">
        <w:trPr>
          <w:trHeight w:val="283"/>
        </w:trPr>
        <w:tc>
          <w:tcPr>
            <w:tcW w:w="2188" w:type="pct"/>
            <w:tcBorders>
              <w:top w:val="nil"/>
              <w:left w:val="nil"/>
              <w:bottom w:val="nil"/>
              <w:right w:val="nil"/>
            </w:tcBorders>
            <w:shd w:val="clear" w:color="auto" w:fill="auto"/>
            <w:vAlign w:val="center"/>
            <w:hideMark/>
          </w:tcPr>
          <w:p w14:paraId="37C28B02" w14:textId="760EE6CE"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Ágio na aquisição de carteiras comerciais</w:t>
            </w:r>
          </w:p>
        </w:tc>
        <w:tc>
          <w:tcPr>
            <w:tcW w:w="703" w:type="pct"/>
            <w:tcBorders>
              <w:top w:val="nil"/>
              <w:left w:val="nil"/>
              <w:bottom w:val="nil"/>
              <w:right w:val="nil"/>
            </w:tcBorders>
            <w:shd w:val="clear" w:color="auto" w:fill="auto"/>
            <w:vAlign w:val="center"/>
          </w:tcPr>
          <w:p w14:paraId="3D5B9143" w14:textId="11E0F0B7"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(118.325)</w:t>
            </w:r>
          </w:p>
        </w:tc>
        <w:tc>
          <w:tcPr>
            <w:tcW w:w="703" w:type="pct"/>
            <w:tcBorders>
              <w:top w:val="nil"/>
              <w:left w:val="nil"/>
              <w:bottom w:val="nil"/>
              <w:right w:val="nil"/>
            </w:tcBorders>
            <w:shd w:val="clear" w:color="auto" w:fill="auto"/>
            <w:noWrap/>
            <w:vAlign w:val="center"/>
          </w:tcPr>
          <w:p w14:paraId="7CE08064" w14:textId="1C194D1A"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(146.169)</w:t>
            </w:r>
          </w:p>
        </w:tc>
        <w:tc>
          <w:tcPr>
            <w:tcW w:w="703" w:type="pct"/>
            <w:tcBorders>
              <w:top w:val="nil"/>
              <w:left w:val="nil"/>
              <w:bottom w:val="nil"/>
              <w:right w:val="nil"/>
            </w:tcBorders>
            <w:shd w:val="clear" w:color="auto" w:fill="auto"/>
            <w:vAlign w:val="center"/>
          </w:tcPr>
          <w:p w14:paraId="4BAA805A" w14:textId="1BA4C061"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(118.325)</w:t>
            </w:r>
          </w:p>
        </w:tc>
        <w:tc>
          <w:tcPr>
            <w:tcW w:w="703" w:type="pct"/>
            <w:tcBorders>
              <w:top w:val="nil"/>
              <w:left w:val="nil"/>
              <w:bottom w:val="nil"/>
              <w:right w:val="nil"/>
            </w:tcBorders>
            <w:vAlign w:val="center"/>
          </w:tcPr>
          <w:p w14:paraId="670AD8A1" w14:textId="11AFA003"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(146.169)</w:t>
            </w:r>
          </w:p>
        </w:tc>
      </w:tr>
      <w:tr w:rsidR="00970D79" w:rsidRPr="00A33766" w14:paraId="7F856161" w14:textId="77777777" w:rsidTr="00FB51FA">
        <w:trPr>
          <w:trHeight w:val="283"/>
        </w:trPr>
        <w:tc>
          <w:tcPr>
            <w:tcW w:w="2188" w:type="pct"/>
            <w:tcBorders>
              <w:top w:val="nil"/>
              <w:left w:val="nil"/>
              <w:bottom w:val="nil"/>
              <w:right w:val="nil"/>
            </w:tcBorders>
            <w:shd w:val="clear" w:color="auto" w:fill="auto"/>
            <w:vAlign w:val="center"/>
            <w:hideMark/>
          </w:tcPr>
          <w:p w14:paraId="0AA4B862" w14:textId="48B88908"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Loterias</w:t>
            </w:r>
          </w:p>
        </w:tc>
        <w:tc>
          <w:tcPr>
            <w:tcW w:w="703" w:type="pct"/>
            <w:tcBorders>
              <w:top w:val="nil"/>
              <w:left w:val="nil"/>
              <w:bottom w:val="nil"/>
              <w:right w:val="nil"/>
            </w:tcBorders>
            <w:shd w:val="clear" w:color="auto" w:fill="auto"/>
            <w:vAlign w:val="center"/>
          </w:tcPr>
          <w:p w14:paraId="6C4239F3" w14:textId="7D7F6502"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(126.188)</w:t>
            </w:r>
          </w:p>
        </w:tc>
        <w:tc>
          <w:tcPr>
            <w:tcW w:w="703" w:type="pct"/>
            <w:tcBorders>
              <w:top w:val="nil"/>
              <w:left w:val="nil"/>
              <w:bottom w:val="nil"/>
              <w:right w:val="nil"/>
            </w:tcBorders>
            <w:shd w:val="clear" w:color="auto" w:fill="auto"/>
            <w:noWrap/>
            <w:vAlign w:val="center"/>
          </w:tcPr>
          <w:p w14:paraId="43B621E1" w14:textId="199A4418"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(107.821)</w:t>
            </w:r>
          </w:p>
        </w:tc>
        <w:tc>
          <w:tcPr>
            <w:tcW w:w="703" w:type="pct"/>
            <w:tcBorders>
              <w:top w:val="nil"/>
              <w:left w:val="nil"/>
              <w:bottom w:val="nil"/>
              <w:right w:val="nil"/>
            </w:tcBorders>
            <w:shd w:val="clear" w:color="auto" w:fill="auto"/>
            <w:vAlign w:val="center"/>
          </w:tcPr>
          <w:p w14:paraId="3D3E7F4B" w14:textId="1A75184A"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(126.188)</w:t>
            </w:r>
          </w:p>
        </w:tc>
        <w:tc>
          <w:tcPr>
            <w:tcW w:w="703" w:type="pct"/>
            <w:tcBorders>
              <w:top w:val="nil"/>
              <w:left w:val="nil"/>
              <w:bottom w:val="nil"/>
              <w:right w:val="nil"/>
            </w:tcBorders>
            <w:vAlign w:val="center"/>
          </w:tcPr>
          <w:p w14:paraId="21A62FD2" w14:textId="4E331E9D"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(107.821)</w:t>
            </w:r>
          </w:p>
        </w:tc>
      </w:tr>
      <w:tr w:rsidR="00970D79" w:rsidRPr="00A33766" w14:paraId="50275935" w14:textId="77777777" w:rsidTr="00FB51FA">
        <w:trPr>
          <w:trHeight w:val="283"/>
        </w:trPr>
        <w:tc>
          <w:tcPr>
            <w:tcW w:w="2188" w:type="pct"/>
            <w:tcBorders>
              <w:top w:val="nil"/>
              <w:left w:val="nil"/>
              <w:bottom w:val="nil"/>
              <w:right w:val="nil"/>
            </w:tcBorders>
            <w:shd w:val="clear" w:color="auto" w:fill="auto"/>
            <w:vAlign w:val="center"/>
            <w:hideMark/>
          </w:tcPr>
          <w:p w14:paraId="3AF5BB21" w14:textId="130E72CF"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Descontos em operações de crédito</w:t>
            </w:r>
          </w:p>
        </w:tc>
        <w:tc>
          <w:tcPr>
            <w:tcW w:w="703" w:type="pct"/>
            <w:tcBorders>
              <w:top w:val="nil"/>
              <w:left w:val="nil"/>
              <w:bottom w:val="nil"/>
              <w:right w:val="nil"/>
            </w:tcBorders>
            <w:shd w:val="clear" w:color="auto" w:fill="auto"/>
            <w:vAlign w:val="center"/>
          </w:tcPr>
          <w:p w14:paraId="0018A241" w14:textId="1B52F756"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(29.557)</w:t>
            </w:r>
          </w:p>
        </w:tc>
        <w:tc>
          <w:tcPr>
            <w:tcW w:w="703" w:type="pct"/>
            <w:tcBorders>
              <w:top w:val="nil"/>
              <w:left w:val="nil"/>
              <w:bottom w:val="nil"/>
              <w:right w:val="nil"/>
            </w:tcBorders>
            <w:shd w:val="clear" w:color="auto" w:fill="auto"/>
            <w:noWrap/>
            <w:vAlign w:val="center"/>
          </w:tcPr>
          <w:p w14:paraId="4C15531B" w14:textId="1A2A5B55"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(39.039)</w:t>
            </w:r>
          </w:p>
        </w:tc>
        <w:tc>
          <w:tcPr>
            <w:tcW w:w="703" w:type="pct"/>
            <w:tcBorders>
              <w:top w:val="nil"/>
              <w:left w:val="nil"/>
              <w:bottom w:val="nil"/>
              <w:right w:val="nil"/>
            </w:tcBorders>
            <w:shd w:val="clear" w:color="auto" w:fill="auto"/>
            <w:vAlign w:val="center"/>
          </w:tcPr>
          <w:p w14:paraId="69221530" w14:textId="19319A90"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(29.557)</w:t>
            </w:r>
          </w:p>
        </w:tc>
        <w:tc>
          <w:tcPr>
            <w:tcW w:w="703" w:type="pct"/>
            <w:tcBorders>
              <w:top w:val="nil"/>
              <w:left w:val="nil"/>
              <w:bottom w:val="nil"/>
              <w:right w:val="nil"/>
            </w:tcBorders>
            <w:vAlign w:val="center"/>
          </w:tcPr>
          <w:p w14:paraId="5B93CCDE" w14:textId="65FE8DBD"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(39.039)</w:t>
            </w:r>
          </w:p>
        </w:tc>
      </w:tr>
      <w:tr w:rsidR="00970D79" w:rsidRPr="00A33766" w14:paraId="59E6E18F" w14:textId="77777777" w:rsidTr="00FB51FA">
        <w:trPr>
          <w:trHeight w:val="283"/>
        </w:trPr>
        <w:tc>
          <w:tcPr>
            <w:tcW w:w="2188" w:type="pct"/>
            <w:tcBorders>
              <w:top w:val="nil"/>
              <w:left w:val="nil"/>
              <w:bottom w:val="nil"/>
              <w:right w:val="nil"/>
            </w:tcBorders>
            <w:shd w:val="clear" w:color="auto" w:fill="auto"/>
            <w:vAlign w:val="center"/>
            <w:hideMark/>
          </w:tcPr>
          <w:p w14:paraId="10962A10" w14:textId="298BCDF9"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FGTS – arrecadação/pagamento</w:t>
            </w:r>
          </w:p>
        </w:tc>
        <w:tc>
          <w:tcPr>
            <w:tcW w:w="703" w:type="pct"/>
            <w:tcBorders>
              <w:top w:val="nil"/>
              <w:left w:val="nil"/>
              <w:bottom w:val="nil"/>
              <w:right w:val="nil"/>
            </w:tcBorders>
            <w:shd w:val="clear" w:color="auto" w:fill="auto"/>
            <w:vAlign w:val="center"/>
          </w:tcPr>
          <w:p w14:paraId="6BD85930" w14:textId="58E77096"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(65.513)</w:t>
            </w:r>
          </w:p>
        </w:tc>
        <w:tc>
          <w:tcPr>
            <w:tcW w:w="703" w:type="pct"/>
            <w:tcBorders>
              <w:top w:val="nil"/>
              <w:left w:val="nil"/>
              <w:bottom w:val="nil"/>
              <w:right w:val="nil"/>
            </w:tcBorders>
            <w:shd w:val="clear" w:color="auto" w:fill="auto"/>
            <w:noWrap/>
            <w:vAlign w:val="center"/>
          </w:tcPr>
          <w:p w14:paraId="65E27B2C" w14:textId="71907EE6"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(63.890)</w:t>
            </w:r>
          </w:p>
        </w:tc>
        <w:tc>
          <w:tcPr>
            <w:tcW w:w="703" w:type="pct"/>
            <w:tcBorders>
              <w:top w:val="nil"/>
              <w:left w:val="nil"/>
              <w:bottom w:val="nil"/>
              <w:right w:val="nil"/>
            </w:tcBorders>
            <w:shd w:val="clear" w:color="auto" w:fill="auto"/>
            <w:vAlign w:val="center"/>
          </w:tcPr>
          <w:p w14:paraId="3C9C4730" w14:textId="1F034B53"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(65.513)</w:t>
            </w:r>
          </w:p>
        </w:tc>
        <w:tc>
          <w:tcPr>
            <w:tcW w:w="703" w:type="pct"/>
            <w:tcBorders>
              <w:top w:val="nil"/>
              <w:left w:val="nil"/>
              <w:bottom w:val="nil"/>
              <w:right w:val="nil"/>
            </w:tcBorders>
            <w:vAlign w:val="center"/>
          </w:tcPr>
          <w:p w14:paraId="5263CE1C" w14:textId="4F612554"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(63.890)</w:t>
            </w:r>
          </w:p>
        </w:tc>
      </w:tr>
      <w:tr w:rsidR="00970D79" w:rsidRPr="00A33766" w14:paraId="54A0DD64" w14:textId="77777777" w:rsidTr="00FB51FA">
        <w:trPr>
          <w:trHeight w:val="283"/>
        </w:trPr>
        <w:tc>
          <w:tcPr>
            <w:tcW w:w="2188" w:type="pct"/>
            <w:tcBorders>
              <w:top w:val="nil"/>
              <w:left w:val="nil"/>
              <w:bottom w:val="nil"/>
              <w:right w:val="nil"/>
            </w:tcBorders>
            <w:shd w:val="clear" w:color="auto" w:fill="auto"/>
            <w:vAlign w:val="center"/>
            <w:hideMark/>
          </w:tcPr>
          <w:p w14:paraId="09681F8B" w14:textId="63B12C73"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FCVS a receber - provisão/perdas</w:t>
            </w:r>
            <w:r w:rsidR="006A4107">
              <w:rPr>
                <w:rFonts w:ascii="CAIXA Std Book" w:hAnsi="CAIXA Std Book" w:cs="Arial"/>
                <w:color w:val="005CA9"/>
                <w:sz w:val="18"/>
                <w:szCs w:val="18"/>
              </w:rPr>
              <w:t xml:space="preserve"> (1)</w:t>
            </w:r>
          </w:p>
        </w:tc>
        <w:tc>
          <w:tcPr>
            <w:tcW w:w="703" w:type="pct"/>
            <w:tcBorders>
              <w:top w:val="nil"/>
              <w:left w:val="nil"/>
              <w:bottom w:val="nil"/>
              <w:right w:val="nil"/>
            </w:tcBorders>
            <w:shd w:val="clear" w:color="auto" w:fill="auto"/>
            <w:vAlign w:val="center"/>
          </w:tcPr>
          <w:p w14:paraId="7A8EBCE2" w14:textId="41D71C3C"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(1.035)</w:t>
            </w:r>
          </w:p>
        </w:tc>
        <w:tc>
          <w:tcPr>
            <w:tcW w:w="703" w:type="pct"/>
            <w:tcBorders>
              <w:top w:val="nil"/>
              <w:left w:val="nil"/>
              <w:bottom w:val="nil"/>
              <w:right w:val="nil"/>
            </w:tcBorders>
            <w:shd w:val="clear" w:color="auto" w:fill="auto"/>
            <w:noWrap/>
            <w:vAlign w:val="center"/>
          </w:tcPr>
          <w:p w14:paraId="50F11C71" w14:textId="5CE1F762"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(122.472)</w:t>
            </w:r>
          </w:p>
        </w:tc>
        <w:tc>
          <w:tcPr>
            <w:tcW w:w="703" w:type="pct"/>
            <w:tcBorders>
              <w:top w:val="nil"/>
              <w:left w:val="nil"/>
              <w:bottom w:val="nil"/>
              <w:right w:val="nil"/>
            </w:tcBorders>
            <w:shd w:val="clear" w:color="auto" w:fill="auto"/>
            <w:vAlign w:val="center"/>
          </w:tcPr>
          <w:p w14:paraId="4CDCFC15" w14:textId="5C6D6DCA"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(1.035)</w:t>
            </w:r>
          </w:p>
        </w:tc>
        <w:tc>
          <w:tcPr>
            <w:tcW w:w="703" w:type="pct"/>
            <w:tcBorders>
              <w:top w:val="nil"/>
              <w:left w:val="nil"/>
              <w:bottom w:val="nil"/>
              <w:right w:val="nil"/>
            </w:tcBorders>
            <w:vAlign w:val="center"/>
          </w:tcPr>
          <w:p w14:paraId="54BF9415" w14:textId="63DC4BB5"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(122.472)</w:t>
            </w:r>
          </w:p>
        </w:tc>
      </w:tr>
      <w:tr w:rsidR="00970D79" w:rsidRPr="00A33766" w14:paraId="15BB5469" w14:textId="77777777" w:rsidTr="00FB51FA">
        <w:trPr>
          <w:trHeight w:val="283"/>
        </w:trPr>
        <w:tc>
          <w:tcPr>
            <w:tcW w:w="2188" w:type="pct"/>
            <w:tcBorders>
              <w:top w:val="nil"/>
              <w:left w:val="nil"/>
              <w:bottom w:val="single" w:sz="4" w:space="0" w:color="F39200"/>
              <w:right w:val="nil"/>
            </w:tcBorders>
            <w:shd w:val="clear" w:color="auto" w:fill="auto"/>
            <w:noWrap/>
            <w:vAlign w:val="center"/>
            <w:hideMark/>
          </w:tcPr>
          <w:p w14:paraId="3A5A3785" w14:textId="7182F740" w:rsidR="00970D79" w:rsidRPr="00FF4346" w:rsidRDefault="00970D79" w:rsidP="00970D79">
            <w:pPr>
              <w:rPr>
                <w:rFonts w:ascii="CAIXA Std Book" w:eastAsia="Times New Roman" w:hAnsi="CAIXA Std Book" w:cs="Arial"/>
                <w:color w:val="005CA9"/>
                <w:sz w:val="18"/>
                <w:szCs w:val="18"/>
              </w:rPr>
            </w:pPr>
            <w:r w:rsidRPr="00FF4346">
              <w:rPr>
                <w:rFonts w:ascii="CAIXA Std Book" w:hAnsi="CAIXA Std Book" w:cs="Arial"/>
                <w:color w:val="005CA9"/>
                <w:sz w:val="18"/>
                <w:szCs w:val="18"/>
              </w:rPr>
              <w:t>Outras</w:t>
            </w:r>
          </w:p>
        </w:tc>
        <w:tc>
          <w:tcPr>
            <w:tcW w:w="703" w:type="pct"/>
            <w:tcBorders>
              <w:top w:val="nil"/>
              <w:left w:val="nil"/>
              <w:bottom w:val="single" w:sz="4" w:space="0" w:color="F39200"/>
              <w:right w:val="nil"/>
            </w:tcBorders>
            <w:shd w:val="clear" w:color="auto" w:fill="auto"/>
            <w:vAlign w:val="center"/>
          </w:tcPr>
          <w:p w14:paraId="3210BC43" w14:textId="7462F94B" w:rsidR="00970D79" w:rsidRPr="00FF4346" w:rsidRDefault="00EB6184" w:rsidP="00EB6184">
            <w:pPr>
              <w:ind w:left="15"/>
              <w:jc w:val="right"/>
              <w:rPr>
                <w:rFonts w:ascii="CAIXA Std Book" w:hAnsi="CAIXA Std Book" w:cs="Arial"/>
                <w:color w:val="005CA9"/>
                <w:sz w:val="18"/>
                <w:szCs w:val="18"/>
              </w:rPr>
            </w:pPr>
            <w:r>
              <w:rPr>
                <w:rFonts w:ascii="CAIXA Std Book" w:hAnsi="CAIXA Std Book" w:cs="Arial"/>
                <w:color w:val="005CA9"/>
                <w:sz w:val="18"/>
                <w:szCs w:val="18"/>
              </w:rPr>
              <w:t>(328.983)</w:t>
            </w:r>
          </w:p>
        </w:tc>
        <w:tc>
          <w:tcPr>
            <w:tcW w:w="703" w:type="pct"/>
            <w:tcBorders>
              <w:top w:val="nil"/>
              <w:left w:val="nil"/>
              <w:bottom w:val="single" w:sz="4" w:space="0" w:color="F39200"/>
              <w:right w:val="nil"/>
            </w:tcBorders>
            <w:shd w:val="clear" w:color="auto" w:fill="auto"/>
            <w:noWrap/>
            <w:vAlign w:val="center"/>
          </w:tcPr>
          <w:p w14:paraId="4713331A" w14:textId="17F87BAC"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(225.84</w:t>
            </w:r>
            <w:r w:rsidR="00093410">
              <w:rPr>
                <w:rFonts w:ascii="CAIXA Std Book" w:hAnsi="CAIXA Std Book" w:cs="Arial"/>
                <w:color w:val="005CA9"/>
                <w:sz w:val="18"/>
                <w:szCs w:val="18"/>
              </w:rPr>
              <w:t>9</w:t>
            </w:r>
            <w:r w:rsidRPr="00FF4346">
              <w:rPr>
                <w:rFonts w:ascii="CAIXA Std Book" w:hAnsi="CAIXA Std Book" w:cs="Arial"/>
                <w:color w:val="005CA9"/>
                <w:sz w:val="18"/>
                <w:szCs w:val="18"/>
              </w:rPr>
              <w:t>)</w:t>
            </w:r>
          </w:p>
        </w:tc>
        <w:tc>
          <w:tcPr>
            <w:tcW w:w="703" w:type="pct"/>
            <w:tcBorders>
              <w:top w:val="nil"/>
              <w:left w:val="nil"/>
              <w:bottom w:val="single" w:sz="4" w:space="0" w:color="F39200"/>
              <w:right w:val="nil"/>
            </w:tcBorders>
            <w:shd w:val="clear" w:color="auto" w:fill="auto"/>
            <w:vAlign w:val="center"/>
          </w:tcPr>
          <w:p w14:paraId="469C4157" w14:textId="6D19D8E3" w:rsidR="00970D79" w:rsidRPr="00FF4346" w:rsidRDefault="001114CB" w:rsidP="001114CB">
            <w:pPr>
              <w:ind w:left="15"/>
              <w:jc w:val="right"/>
              <w:rPr>
                <w:rFonts w:ascii="CAIXA Std Book" w:hAnsi="CAIXA Std Book" w:cs="Arial"/>
                <w:color w:val="005CA9"/>
                <w:sz w:val="18"/>
                <w:szCs w:val="18"/>
              </w:rPr>
            </w:pPr>
            <w:r>
              <w:rPr>
                <w:rFonts w:ascii="CAIXA Std Book" w:hAnsi="CAIXA Std Book" w:cs="Arial"/>
                <w:color w:val="005CA9"/>
                <w:sz w:val="18"/>
                <w:szCs w:val="18"/>
              </w:rPr>
              <w:t>(334.727)</w:t>
            </w:r>
          </w:p>
        </w:tc>
        <w:tc>
          <w:tcPr>
            <w:tcW w:w="703" w:type="pct"/>
            <w:tcBorders>
              <w:top w:val="nil"/>
              <w:left w:val="nil"/>
              <w:bottom w:val="single" w:sz="4" w:space="0" w:color="F39200"/>
              <w:right w:val="nil"/>
            </w:tcBorders>
            <w:vAlign w:val="center"/>
          </w:tcPr>
          <w:p w14:paraId="738378B9" w14:textId="4F89DE1F" w:rsidR="00970D79" w:rsidRPr="00FF4346" w:rsidRDefault="00970D79" w:rsidP="00970D79">
            <w:pPr>
              <w:ind w:left="15"/>
              <w:jc w:val="right"/>
              <w:rPr>
                <w:rFonts w:ascii="CAIXA Std Book" w:hAnsi="CAIXA Std Book" w:cs="Arial"/>
                <w:color w:val="005CA9"/>
                <w:sz w:val="18"/>
                <w:szCs w:val="18"/>
              </w:rPr>
            </w:pPr>
            <w:r w:rsidRPr="00FF4346">
              <w:rPr>
                <w:rFonts w:ascii="CAIXA Std Book" w:hAnsi="CAIXA Std Book" w:cs="Arial"/>
                <w:color w:val="005CA9"/>
                <w:sz w:val="18"/>
                <w:szCs w:val="18"/>
              </w:rPr>
              <w:t>(258.48</w:t>
            </w:r>
            <w:r w:rsidR="00093410">
              <w:rPr>
                <w:rFonts w:ascii="CAIXA Std Book" w:hAnsi="CAIXA Std Book" w:cs="Arial"/>
                <w:color w:val="005CA9"/>
                <w:sz w:val="18"/>
                <w:szCs w:val="18"/>
              </w:rPr>
              <w:t>9</w:t>
            </w:r>
            <w:r w:rsidRPr="00FF4346">
              <w:rPr>
                <w:rFonts w:ascii="CAIXA Std Book" w:hAnsi="CAIXA Std Book" w:cs="Arial"/>
                <w:color w:val="005CA9"/>
                <w:sz w:val="18"/>
                <w:szCs w:val="18"/>
              </w:rPr>
              <w:t>)</w:t>
            </w:r>
          </w:p>
        </w:tc>
      </w:tr>
      <w:tr w:rsidR="00970D79" w:rsidRPr="00A33766" w14:paraId="78749495" w14:textId="77777777" w:rsidTr="00FB51FA">
        <w:trPr>
          <w:trHeight w:val="283"/>
        </w:trPr>
        <w:tc>
          <w:tcPr>
            <w:tcW w:w="2188" w:type="pct"/>
            <w:tcBorders>
              <w:top w:val="single" w:sz="4" w:space="0" w:color="F39200"/>
              <w:left w:val="nil"/>
              <w:bottom w:val="single" w:sz="4" w:space="0" w:color="F39200"/>
              <w:right w:val="nil"/>
            </w:tcBorders>
            <w:shd w:val="clear" w:color="auto" w:fill="auto"/>
            <w:noWrap/>
            <w:vAlign w:val="center"/>
            <w:hideMark/>
          </w:tcPr>
          <w:p w14:paraId="4EA1F5B8" w14:textId="77777777" w:rsidR="00970D79" w:rsidRPr="00FF4346" w:rsidRDefault="00970D79" w:rsidP="00970D79">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703" w:type="pct"/>
            <w:tcBorders>
              <w:top w:val="single" w:sz="4" w:space="0" w:color="F39200"/>
              <w:left w:val="nil"/>
              <w:bottom w:val="single" w:sz="4" w:space="0" w:color="F39200"/>
              <w:right w:val="nil"/>
            </w:tcBorders>
            <w:shd w:val="clear" w:color="auto" w:fill="auto"/>
            <w:noWrap/>
            <w:vAlign w:val="center"/>
          </w:tcPr>
          <w:p w14:paraId="365C68D0" w14:textId="1402A7BD" w:rsidR="00970D79" w:rsidRPr="00FF4346" w:rsidRDefault="00EB6184" w:rsidP="00EB6184">
            <w:pPr>
              <w:jc w:val="right"/>
              <w:rPr>
                <w:rFonts w:ascii="CAIXA Std Book" w:hAnsi="CAIXA Std Book" w:cs="Arial"/>
                <w:b/>
                <w:bCs/>
                <w:color w:val="005CA9"/>
                <w:sz w:val="18"/>
                <w:szCs w:val="18"/>
              </w:rPr>
            </w:pPr>
            <w:r>
              <w:rPr>
                <w:rFonts w:ascii="CAIXA Std Book" w:hAnsi="CAIXA Std Book" w:cs="Arial"/>
                <w:b/>
                <w:bCs/>
                <w:color w:val="005CA9"/>
                <w:sz w:val="18"/>
                <w:szCs w:val="18"/>
              </w:rPr>
              <w:t>(4.114.398)</w:t>
            </w:r>
          </w:p>
        </w:tc>
        <w:tc>
          <w:tcPr>
            <w:tcW w:w="703" w:type="pct"/>
            <w:tcBorders>
              <w:top w:val="single" w:sz="4" w:space="0" w:color="F39200"/>
              <w:left w:val="nil"/>
              <w:bottom w:val="single" w:sz="4" w:space="0" w:color="F39200"/>
              <w:right w:val="nil"/>
            </w:tcBorders>
            <w:shd w:val="clear" w:color="auto" w:fill="auto"/>
            <w:noWrap/>
            <w:vAlign w:val="center"/>
          </w:tcPr>
          <w:p w14:paraId="122DCCA8" w14:textId="2C08CBE9" w:rsidR="00970D79" w:rsidRPr="00FF4346" w:rsidRDefault="00970D79" w:rsidP="00970D79">
            <w:pPr>
              <w:jc w:val="right"/>
              <w:rPr>
                <w:rFonts w:ascii="CAIXA Std Book" w:hAnsi="CAIXA Std Book" w:cs="Arial"/>
                <w:b/>
                <w:bCs/>
                <w:color w:val="005CA9"/>
                <w:sz w:val="18"/>
                <w:szCs w:val="18"/>
              </w:rPr>
            </w:pPr>
            <w:r w:rsidRPr="00FF4346">
              <w:rPr>
                <w:rFonts w:ascii="CAIXA Std Book" w:hAnsi="CAIXA Std Book" w:cs="Arial"/>
                <w:b/>
                <w:bCs/>
                <w:color w:val="005CA9"/>
                <w:sz w:val="18"/>
                <w:szCs w:val="18"/>
              </w:rPr>
              <w:t>(3.893.5</w:t>
            </w:r>
            <w:r w:rsidR="00093410">
              <w:rPr>
                <w:rFonts w:ascii="CAIXA Std Book" w:hAnsi="CAIXA Std Book" w:cs="Arial"/>
                <w:b/>
                <w:bCs/>
                <w:color w:val="005CA9"/>
                <w:sz w:val="18"/>
                <w:szCs w:val="18"/>
              </w:rPr>
              <w:t>60</w:t>
            </w:r>
            <w:r w:rsidRPr="00FF4346">
              <w:rPr>
                <w:rFonts w:ascii="CAIXA Std Book" w:hAnsi="CAIXA Std Book" w:cs="Arial"/>
                <w:b/>
                <w:bCs/>
                <w:color w:val="005CA9"/>
                <w:sz w:val="18"/>
                <w:szCs w:val="18"/>
              </w:rPr>
              <w:t>)</w:t>
            </w:r>
          </w:p>
        </w:tc>
        <w:tc>
          <w:tcPr>
            <w:tcW w:w="703" w:type="pct"/>
            <w:tcBorders>
              <w:top w:val="single" w:sz="4" w:space="0" w:color="F39200"/>
              <w:left w:val="nil"/>
              <w:bottom w:val="single" w:sz="4" w:space="0" w:color="F39200"/>
              <w:right w:val="nil"/>
            </w:tcBorders>
            <w:shd w:val="clear" w:color="auto" w:fill="auto"/>
            <w:noWrap/>
            <w:vAlign w:val="center"/>
          </w:tcPr>
          <w:p w14:paraId="0210FB63" w14:textId="13A27BFF" w:rsidR="00970D79" w:rsidRPr="00FF4346" w:rsidRDefault="001114CB" w:rsidP="001114CB">
            <w:pPr>
              <w:jc w:val="right"/>
              <w:rPr>
                <w:rFonts w:ascii="CAIXA Std Book" w:hAnsi="CAIXA Std Book" w:cs="Cambria Math"/>
                <w:b/>
                <w:color w:val="005CA9"/>
                <w:sz w:val="18"/>
                <w:szCs w:val="18"/>
              </w:rPr>
            </w:pPr>
            <w:r>
              <w:rPr>
                <w:rFonts w:ascii="CAIXA Std Book" w:hAnsi="CAIXA Std Book" w:cs="Arial"/>
                <w:b/>
                <w:bCs/>
                <w:color w:val="005CA9"/>
                <w:sz w:val="18"/>
                <w:szCs w:val="18"/>
              </w:rPr>
              <w:t>(4.120.142)</w:t>
            </w:r>
          </w:p>
        </w:tc>
        <w:tc>
          <w:tcPr>
            <w:tcW w:w="703" w:type="pct"/>
            <w:tcBorders>
              <w:top w:val="single" w:sz="4" w:space="0" w:color="F39200"/>
              <w:left w:val="nil"/>
              <w:bottom w:val="single" w:sz="4" w:space="0" w:color="F39200"/>
              <w:right w:val="nil"/>
            </w:tcBorders>
            <w:vAlign w:val="center"/>
          </w:tcPr>
          <w:p w14:paraId="6088BAD6" w14:textId="67CA03D9" w:rsidR="00970D79" w:rsidRPr="00FF4346" w:rsidRDefault="00970D79" w:rsidP="00970D79">
            <w:pPr>
              <w:jc w:val="right"/>
              <w:rPr>
                <w:rFonts w:ascii="CAIXA Std Book" w:hAnsi="CAIXA Std Book" w:cs="Arial"/>
                <w:b/>
                <w:bCs/>
                <w:color w:val="005CA9"/>
                <w:sz w:val="18"/>
                <w:szCs w:val="18"/>
              </w:rPr>
            </w:pPr>
            <w:r w:rsidRPr="00FF4346">
              <w:rPr>
                <w:rFonts w:ascii="CAIXA Std Book" w:hAnsi="CAIXA Std Book" w:cs="Arial"/>
                <w:b/>
                <w:bCs/>
                <w:color w:val="005CA9"/>
                <w:sz w:val="18"/>
                <w:szCs w:val="18"/>
              </w:rPr>
              <w:t>(3.926.81</w:t>
            </w:r>
            <w:r w:rsidR="00093410">
              <w:rPr>
                <w:rFonts w:ascii="CAIXA Std Book" w:hAnsi="CAIXA Std Book" w:cs="Arial"/>
                <w:b/>
                <w:bCs/>
                <w:color w:val="005CA9"/>
                <w:sz w:val="18"/>
                <w:szCs w:val="18"/>
              </w:rPr>
              <w:t>9</w:t>
            </w:r>
            <w:r w:rsidRPr="00FF4346">
              <w:rPr>
                <w:rFonts w:ascii="CAIXA Std Book" w:hAnsi="CAIXA Std Book" w:cs="Arial"/>
                <w:b/>
                <w:bCs/>
                <w:color w:val="005CA9"/>
                <w:sz w:val="18"/>
                <w:szCs w:val="18"/>
              </w:rPr>
              <w:t>)</w:t>
            </w:r>
          </w:p>
        </w:tc>
      </w:tr>
    </w:tbl>
    <w:p w14:paraId="43E1AC7C" w14:textId="484F8B23" w:rsidR="00E92DC2" w:rsidRPr="002134C1" w:rsidRDefault="008D5CFD" w:rsidP="008D5CFD">
      <w:pPr>
        <w:pStyle w:val="Default0"/>
        <w:ind w:right="-2"/>
        <w:jc w:val="both"/>
        <w:rPr>
          <w:rFonts w:ascii="CAIXA Std Book" w:hAnsi="CAIXA Std Book"/>
          <w:color w:val="005CA9"/>
          <w:sz w:val="16"/>
          <w:szCs w:val="16"/>
          <w:highlight w:val="yellow"/>
        </w:rPr>
      </w:pPr>
      <w:r>
        <w:rPr>
          <w:rFonts w:ascii="CAIXA Std Book" w:hAnsi="CAIXA Std Book"/>
          <w:color w:val="005CA9"/>
          <w:sz w:val="16"/>
          <w:szCs w:val="16"/>
        </w:rPr>
        <w:t>(1)</w:t>
      </w:r>
      <w:r w:rsidR="005D5F58">
        <w:rPr>
          <w:rFonts w:ascii="CAIXA Std Book" w:hAnsi="CAIXA Std Book"/>
          <w:color w:val="005CA9"/>
          <w:sz w:val="16"/>
          <w:szCs w:val="16"/>
        </w:rPr>
        <w:t xml:space="preserve"> </w:t>
      </w:r>
      <w:r w:rsidR="003D3805">
        <w:rPr>
          <w:rFonts w:ascii="CAIXA Std Book" w:hAnsi="CAIXA Std Book"/>
          <w:color w:val="005CA9"/>
          <w:sz w:val="16"/>
          <w:szCs w:val="16"/>
        </w:rPr>
        <w:t>Decréscimo na despesa de</w:t>
      </w:r>
      <w:r w:rsidR="00D333C7" w:rsidRPr="00D333C7">
        <w:rPr>
          <w:rFonts w:ascii="CAIXA Std Book" w:hAnsi="CAIXA Std Book"/>
          <w:color w:val="005CA9"/>
          <w:sz w:val="16"/>
          <w:szCs w:val="16"/>
        </w:rPr>
        <w:t xml:space="preserve"> provisão </w:t>
      </w:r>
      <w:r w:rsidR="004B1D7F">
        <w:rPr>
          <w:rFonts w:ascii="CAIXA Std Book" w:hAnsi="CAIXA Std Book"/>
          <w:color w:val="005CA9"/>
          <w:sz w:val="16"/>
          <w:szCs w:val="16"/>
        </w:rPr>
        <w:t>em virtude de</w:t>
      </w:r>
      <w:r w:rsidR="00D333C7" w:rsidRPr="00D333C7">
        <w:rPr>
          <w:rFonts w:ascii="CAIXA Std Book" w:hAnsi="CAIXA Std Book"/>
          <w:color w:val="005CA9"/>
          <w:sz w:val="16"/>
          <w:szCs w:val="16"/>
        </w:rPr>
        <w:t xml:space="preserve"> alteração no modelo de cálculo da provisão FCVS</w:t>
      </w:r>
      <w:r w:rsidR="00B20917">
        <w:rPr>
          <w:rFonts w:ascii="CAIXA Std Book" w:hAnsi="CAIXA Std Book"/>
          <w:color w:val="005CA9"/>
          <w:sz w:val="16"/>
          <w:szCs w:val="16"/>
        </w:rPr>
        <w:t xml:space="preserve"> implementado em janeiro de 2024</w:t>
      </w:r>
      <w:r w:rsidR="00CB6C67">
        <w:rPr>
          <w:rFonts w:ascii="CAIXA Std Book" w:hAnsi="CAIXA Std Book"/>
          <w:color w:val="005CA9"/>
          <w:sz w:val="16"/>
          <w:szCs w:val="16"/>
        </w:rPr>
        <w:t>.</w:t>
      </w:r>
    </w:p>
    <w:p w14:paraId="2BF1D47B" w14:textId="43A2EF75" w:rsidR="00DF370C" w:rsidRPr="00FF4346" w:rsidRDefault="00DF370C" w:rsidP="00AD0FE7">
      <w:pPr>
        <w:jc w:val="both"/>
        <w:rPr>
          <w:rFonts w:ascii="CAIXA Std Book" w:eastAsia="Times New Roman" w:hAnsi="CAIXA Std Book" w:cs="Arial"/>
          <w:color w:val="005CA9"/>
          <w:sz w:val="16"/>
          <w:szCs w:val="16"/>
        </w:rPr>
      </w:pPr>
    </w:p>
    <w:p w14:paraId="0D5AEC68" w14:textId="29BDCA43" w:rsidR="00814F49" w:rsidRPr="00FF4346" w:rsidRDefault="00814F49" w:rsidP="005A596E">
      <w:pPr>
        <w:pStyle w:val="Ttulo1"/>
      </w:pPr>
      <w:bookmarkStart w:id="124" w:name="_Toc166594505"/>
      <w:r w:rsidRPr="00FF4346">
        <w:lastRenderedPageBreak/>
        <w:t>Nota 30 – Constituição e reversão de provisões</w:t>
      </w:r>
      <w:bookmarkEnd w:id="124"/>
    </w:p>
    <w:tbl>
      <w:tblPr>
        <w:tblW w:w="5075" w:type="pct"/>
        <w:tblLayout w:type="fixed"/>
        <w:tblCellMar>
          <w:left w:w="70" w:type="dxa"/>
          <w:right w:w="70" w:type="dxa"/>
        </w:tblCellMar>
        <w:tblLook w:val="04A0" w:firstRow="1" w:lastRow="0" w:firstColumn="1" w:lastColumn="0" w:noHBand="0" w:noVBand="1"/>
      </w:tblPr>
      <w:tblGrid>
        <w:gridCol w:w="4679"/>
        <w:gridCol w:w="1276"/>
        <w:gridCol w:w="1352"/>
        <w:gridCol w:w="1199"/>
        <w:gridCol w:w="1276"/>
      </w:tblGrid>
      <w:tr w:rsidR="005C6DF4" w:rsidRPr="00A33766" w14:paraId="6D21D2D5" w14:textId="7EB9348B" w:rsidTr="006C76EE">
        <w:trPr>
          <w:trHeight w:val="283"/>
        </w:trPr>
        <w:tc>
          <w:tcPr>
            <w:tcW w:w="2392" w:type="pct"/>
            <w:vMerge w:val="restart"/>
            <w:tcBorders>
              <w:top w:val="single" w:sz="4" w:space="0" w:color="F39200"/>
              <w:left w:val="nil"/>
              <w:right w:val="nil"/>
            </w:tcBorders>
            <w:vAlign w:val="center"/>
          </w:tcPr>
          <w:p w14:paraId="48185853" w14:textId="3A2C5349" w:rsidR="005C6DF4" w:rsidRPr="00FF4346" w:rsidRDefault="005C6DF4" w:rsidP="008F4FD7">
            <w:pPr>
              <w:jc w:val="cente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Descrição</w:t>
            </w:r>
          </w:p>
        </w:tc>
        <w:tc>
          <w:tcPr>
            <w:tcW w:w="1343" w:type="pct"/>
            <w:gridSpan w:val="2"/>
            <w:tcBorders>
              <w:top w:val="single" w:sz="4" w:space="0" w:color="F39200"/>
              <w:left w:val="nil"/>
              <w:bottom w:val="single" w:sz="4" w:space="0" w:color="F39200"/>
              <w:right w:val="nil"/>
            </w:tcBorders>
            <w:vAlign w:val="center"/>
          </w:tcPr>
          <w:p w14:paraId="0A0E9ACA" w14:textId="3C06C43C" w:rsidR="005C6DF4" w:rsidRPr="00FF4346" w:rsidRDefault="005C6DF4" w:rsidP="00667139">
            <w:pPr>
              <w:jc w:val="center"/>
              <w:rPr>
                <w:rFonts w:ascii="CAIXA Std Book" w:eastAsia="Times New Roman" w:hAnsi="CAIXA Std Book" w:cs="Arial"/>
                <w:b/>
                <w:color w:val="005CA9"/>
                <w:sz w:val="18"/>
                <w:szCs w:val="18"/>
              </w:rPr>
            </w:pPr>
            <w:r>
              <w:rPr>
                <w:rFonts w:ascii="CAIXA Std Book" w:eastAsia="Times New Roman" w:hAnsi="CAIXA Std Book" w:cs="Arial"/>
                <w:b/>
                <w:color w:val="005CA9"/>
                <w:sz w:val="18"/>
                <w:szCs w:val="18"/>
              </w:rPr>
              <w:t>INDIVIDUAL</w:t>
            </w:r>
          </w:p>
        </w:tc>
        <w:tc>
          <w:tcPr>
            <w:tcW w:w="1265" w:type="pct"/>
            <w:gridSpan w:val="2"/>
            <w:tcBorders>
              <w:top w:val="single" w:sz="4" w:space="0" w:color="F39200"/>
              <w:left w:val="nil"/>
              <w:bottom w:val="single" w:sz="4" w:space="0" w:color="F39200"/>
              <w:right w:val="nil"/>
            </w:tcBorders>
            <w:vAlign w:val="center"/>
          </w:tcPr>
          <w:p w14:paraId="2466E9AD" w14:textId="7CEFDDCA" w:rsidR="005C6DF4" w:rsidRDefault="005C6DF4" w:rsidP="00667139">
            <w:pPr>
              <w:jc w:val="center"/>
              <w:rPr>
                <w:rFonts w:ascii="CAIXA Std Book" w:hAnsi="CAIXA Std Book" w:cs="Cambria Math"/>
                <w:b/>
                <w:color w:val="005CA9"/>
                <w:sz w:val="18"/>
                <w:szCs w:val="18"/>
              </w:rPr>
            </w:pPr>
            <w:r>
              <w:rPr>
                <w:rFonts w:ascii="CAIXA Std Book" w:hAnsi="CAIXA Std Book" w:cs="Cambria Math"/>
                <w:b/>
                <w:color w:val="005CA9"/>
                <w:sz w:val="18"/>
                <w:szCs w:val="18"/>
              </w:rPr>
              <w:t>CONSOLIDADO</w:t>
            </w:r>
          </w:p>
        </w:tc>
      </w:tr>
      <w:tr w:rsidR="005C6DF4" w:rsidRPr="00A33766" w14:paraId="4685B4F1" w14:textId="389368DC" w:rsidTr="006C76EE">
        <w:trPr>
          <w:trHeight w:val="283"/>
        </w:trPr>
        <w:tc>
          <w:tcPr>
            <w:tcW w:w="2392" w:type="pct"/>
            <w:vMerge/>
            <w:tcBorders>
              <w:left w:val="nil"/>
              <w:right w:val="nil"/>
            </w:tcBorders>
            <w:shd w:val="clear" w:color="auto" w:fill="auto"/>
            <w:vAlign w:val="center"/>
          </w:tcPr>
          <w:p w14:paraId="45FBC282" w14:textId="2B88B65A" w:rsidR="005C6DF4" w:rsidRPr="00FF4346" w:rsidRDefault="005C6DF4" w:rsidP="006436C4">
            <w:pPr>
              <w:jc w:val="center"/>
              <w:rPr>
                <w:rFonts w:ascii="CAIXA Std Book" w:eastAsia="Times New Roman" w:hAnsi="CAIXA Std Book" w:cs="Arial"/>
                <w:b/>
                <w:bCs/>
                <w:color w:val="005CA9"/>
                <w:sz w:val="18"/>
                <w:szCs w:val="18"/>
              </w:rPr>
            </w:pPr>
          </w:p>
        </w:tc>
        <w:tc>
          <w:tcPr>
            <w:tcW w:w="652" w:type="pct"/>
            <w:tcBorders>
              <w:top w:val="single" w:sz="4" w:space="0" w:color="F39200"/>
              <w:left w:val="nil"/>
              <w:bottom w:val="single" w:sz="4" w:space="0" w:color="F39200"/>
              <w:right w:val="nil"/>
            </w:tcBorders>
            <w:shd w:val="clear" w:color="auto" w:fill="auto"/>
            <w:vAlign w:val="center"/>
          </w:tcPr>
          <w:p w14:paraId="45A2EA4C" w14:textId="2880C7FA" w:rsidR="005C6DF4" w:rsidRPr="00FF4346" w:rsidRDefault="005C6DF4" w:rsidP="00F77035">
            <w:pPr>
              <w:jc w:val="center"/>
              <w:rPr>
                <w:rFonts w:ascii="CAIXA Std Book" w:eastAsia="Times New Roman" w:hAnsi="CAIXA Std Book" w:cs="Arial"/>
                <w:b/>
                <w:color w:val="005CA9"/>
                <w:sz w:val="18"/>
                <w:szCs w:val="18"/>
              </w:rPr>
            </w:pPr>
            <w:r w:rsidRPr="00FF4346">
              <w:rPr>
                <w:rFonts w:ascii="CAIXA Std Book" w:hAnsi="CAIXA Std Book" w:cs="Cambria Math"/>
                <w:b/>
                <w:color w:val="005CA9"/>
                <w:sz w:val="18"/>
                <w:szCs w:val="18"/>
              </w:rPr>
              <w:t>2024</w:t>
            </w:r>
          </w:p>
        </w:tc>
        <w:tc>
          <w:tcPr>
            <w:tcW w:w="691" w:type="pct"/>
            <w:tcBorders>
              <w:top w:val="single" w:sz="4" w:space="0" w:color="F39200"/>
              <w:left w:val="nil"/>
              <w:bottom w:val="single" w:sz="4" w:space="0" w:color="F39200"/>
              <w:right w:val="nil"/>
            </w:tcBorders>
            <w:shd w:val="clear" w:color="auto" w:fill="auto"/>
            <w:vAlign w:val="center"/>
          </w:tcPr>
          <w:p w14:paraId="18BBEB9D" w14:textId="6F847A8A" w:rsidR="005C6DF4" w:rsidRPr="00FF4346" w:rsidRDefault="005C6DF4" w:rsidP="00BC467B">
            <w:pPr>
              <w:jc w:val="center"/>
              <w:rPr>
                <w:rFonts w:ascii="CAIXA Std Book" w:eastAsia="Times New Roman" w:hAnsi="CAIXA Std Book" w:cs="Arial"/>
                <w:b/>
                <w:bCs/>
                <w:color w:val="005CA9"/>
                <w:sz w:val="18"/>
                <w:szCs w:val="18"/>
              </w:rPr>
            </w:pPr>
            <w:r w:rsidRPr="00FF4346">
              <w:rPr>
                <w:rFonts w:ascii="CAIXA Std Book" w:hAnsi="CAIXA Std Book" w:cs="Cambria Math"/>
                <w:b/>
                <w:color w:val="005CA9"/>
                <w:sz w:val="18"/>
                <w:szCs w:val="18"/>
              </w:rPr>
              <w:t>2023</w:t>
            </w:r>
          </w:p>
        </w:tc>
        <w:tc>
          <w:tcPr>
            <w:tcW w:w="613" w:type="pct"/>
            <w:tcBorders>
              <w:top w:val="single" w:sz="4" w:space="0" w:color="F39200"/>
              <w:left w:val="nil"/>
              <w:bottom w:val="single" w:sz="4" w:space="0" w:color="F39200"/>
              <w:right w:val="nil"/>
            </w:tcBorders>
            <w:vAlign w:val="center"/>
          </w:tcPr>
          <w:p w14:paraId="6C7CBEEA" w14:textId="66AF6E21" w:rsidR="005C6DF4" w:rsidRPr="00FF4346" w:rsidRDefault="005C6DF4" w:rsidP="008F4FD7">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2024</w:t>
            </w:r>
          </w:p>
        </w:tc>
        <w:tc>
          <w:tcPr>
            <w:tcW w:w="652" w:type="pct"/>
            <w:tcBorders>
              <w:top w:val="single" w:sz="4" w:space="0" w:color="F39200"/>
              <w:left w:val="nil"/>
              <w:bottom w:val="single" w:sz="4" w:space="0" w:color="F39200"/>
              <w:right w:val="nil"/>
            </w:tcBorders>
            <w:vAlign w:val="center"/>
          </w:tcPr>
          <w:p w14:paraId="437E151E" w14:textId="7320E138" w:rsidR="005C6DF4" w:rsidRPr="00FF4346" w:rsidRDefault="005C6DF4" w:rsidP="008F4FD7">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2023</w:t>
            </w:r>
          </w:p>
        </w:tc>
      </w:tr>
      <w:tr w:rsidR="005C6DF4" w:rsidRPr="00A33766" w14:paraId="0218EFF8" w14:textId="6BDF458D" w:rsidTr="006C76EE">
        <w:trPr>
          <w:trHeight w:val="283"/>
        </w:trPr>
        <w:tc>
          <w:tcPr>
            <w:tcW w:w="2392" w:type="pct"/>
            <w:vMerge/>
            <w:tcBorders>
              <w:left w:val="nil"/>
              <w:bottom w:val="single" w:sz="4" w:space="0" w:color="F39200"/>
              <w:right w:val="nil"/>
            </w:tcBorders>
            <w:shd w:val="clear" w:color="auto" w:fill="auto"/>
            <w:vAlign w:val="center"/>
            <w:hideMark/>
          </w:tcPr>
          <w:p w14:paraId="3E271749" w14:textId="77777777" w:rsidR="005C6DF4" w:rsidRPr="00FF4346" w:rsidRDefault="005C6DF4" w:rsidP="00D35AFA">
            <w:pPr>
              <w:rPr>
                <w:rFonts w:ascii="CAIXA Std Book" w:eastAsia="Times New Roman" w:hAnsi="CAIXA Std Book" w:cs="Arial"/>
                <w:b/>
                <w:bCs/>
                <w:color w:val="005CA9"/>
                <w:sz w:val="18"/>
                <w:szCs w:val="18"/>
              </w:rPr>
            </w:pPr>
          </w:p>
        </w:tc>
        <w:tc>
          <w:tcPr>
            <w:tcW w:w="652" w:type="pct"/>
            <w:tcBorders>
              <w:top w:val="single" w:sz="4" w:space="0" w:color="F39200"/>
              <w:left w:val="nil"/>
              <w:bottom w:val="single" w:sz="4" w:space="0" w:color="F39200"/>
              <w:right w:val="nil"/>
            </w:tcBorders>
            <w:shd w:val="clear" w:color="auto" w:fill="auto"/>
            <w:vAlign w:val="center"/>
          </w:tcPr>
          <w:p w14:paraId="7CB532FE" w14:textId="3F134C52" w:rsidR="005C6DF4" w:rsidRPr="00FF4346" w:rsidRDefault="005C6DF4" w:rsidP="00D35AF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691" w:type="pct"/>
            <w:tcBorders>
              <w:top w:val="single" w:sz="4" w:space="0" w:color="F39200"/>
              <w:left w:val="nil"/>
              <w:bottom w:val="single" w:sz="4" w:space="0" w:color="F39200"/>
              <w:right w:val="nil"/>
            </w:tcBorders>
            <w:vAlign w:val="center"/>
          </w:tcPr>
          <w:p w14:paraId="732D665D" w14:textId="2666B486" w:rsidR="005C6DF4" w:rsidRPr="00FF4346" w:rsidRDefault="005C6DF4" w:rsidP="00D35AFA">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613" w:type="pct"/>
            <w:tcBorders>
              <w:top w:val="single" w:sz="4" w:space="0" w:color="F39200"/>
              <w:left w:val="nil"/>
              <w:bottom w:val="single" w:sz="4" w:space="0" w:color="F39200"/>
              <w:right w:val="nil"/>
            </w:tcBorders>
            <w:vAlign w:val="center"/>
          </w:tcPr>
          <w:p w14:paraId="56331B7D" w14:textId="4F6D1D80" w:rsidR="005C6DF4" w:rsidRPr="00FF4346" w:rsidRDefault="005C6DF4" w:rsidP="008F4FD7">
            <w:pPr>
              <w:jc w:val="center"/>
              <w:rPr>
                <w:rFonts w:ascii="CAIXA Std Book" w:hAnsi="CAIXA Std Book" w:cs="Symbol"/>
                <w:b/>
                <w:color w:val="005CA9"/>
                <w:sz w:val="18"/>
                <w:szCs w:val="18"/>
              </w:rPr>
            </w:pPr>
            <w:r w:rsidRPr="00FF4346">
              <w:rPr>
                <w:rFonts w:ascii="CAIXA Std Book" w:hAnsi="CAIXA Std Book" w:cs="Symbol"/>
                <w:b/>
                <w:color w:val="005CA9"/>
                <w:sz w:val="18"/>
                <w:szCs w:val="18"/>
              </w:rPr>
              <w:t>1º trimestre</w:t>
            </w:r>
          </w:p>
        </w:tc>
        <w:tc>
          <w:tcPr>
            <w:tcW w:w="652" w:type="pct"/>
            <w:tcBorders>
              <w:top w:val="single" w:sz="4" w:space="0" w:color="F39200"/>
              <w:left w:val="nil"/>
              <w:bottom w:val="single" w:sz="4" w:space="0" w:color="F39200"/>
              <w:right w:val="nil"/>
            </w:tcBorders>
            <w:vAlign w:val="center"/>
          </w:tcPr>
          <w:p w14:paraId="267A719A" w14:textId="28119097" w:rsidR="005C6DF4" w:rsidRPr="00FF4346" w:rsidRDefault="005C6DF4" w:rsidP="008F4FD7">
            <w:pPr>
              <w:jc w:val="center"/>
              <w:rPr>
                <w:rFonts w:ascii="CAIXA Std Book" w:hAnsi="CAIXA Std Book" w:cs="Symbol"/>
                <w:b/>
                <w:color w:val="005CA9"/>
                <w:sz w:val="18"/>
                <w:szCs w:val="18"/>
              </w:rPr>
            </w:pPr>
            <w:r w:rsidRPr="00FF4346">
              <w:rPr>
                <w:rFonts w:ascii="CAIXA Std Book" w:hAnsi="CAIXA Std Book" w:cs="Symbol"/>
                <w:b/>
                <w:color w:val="005CA9"/>
                <w:sz w:val="18"/>
                <w:szCs w:val="18"/>
              </w:rPr>
              <w:t>1º trimestre</w:t>
            </w:r>
          </w:p>
        </w:tc>
      </w:tr>
      <w:tr w:rsidR="005C6DF4" w:rsidRPr="00A33766" w14:paraId="3B0B66F0" w14:textId="71B009A3" w:rsidTr="006C76EE">
        <w:trPr>
          <w:trHeight w:val="283"/>
        </w:trPr>
        <w:tc>
          <w:tcPr>
            <w:tcW w:w="2392" w:type="pct"/>
            <w:tcBorders>
              <w:top w:val="nil"/>
              <w:left w:val="nil"/>
              <w:bottom w:val="nil"/>
              <w:right w:val="nil"/>
            </w:tcBorders>
            <w:shd w:val="clear" w:color="auto" w:fill="auto"/>
            <w:noWrap/>
            <w:vAlign w:val="center"/>
            <w:hideMark/>
          </w:tcPr>
          <w:p w14:paraId="11BAAC27" w14:textId="77777777" w:rsidR="005C6DF4" w:rsidRPr="00FF4346" w:rsidRDefault="005C6DF4" w:rsidP="005C6DF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Contingências Judiciais</w:t>
            </w:r>
          </w:p>
        </w:tc>
        <w:tc>
          <w:tcPr>
            <w:tcW w:w="652" w:type="pct"/>
            <w:tcBorders>
              <w:top w:val="single" w:sz="4" w:space="0" w:color="F39200"/>
              <w:left w:val="nil"/>
              <w:bottom w:val="nil"/>
              <w:right w:val="nil"/>
            </w:tcBorders>
            <w:shd w:val="clear" w:color="auto" w:fill="auto"/>
            <w:noWrap/>
            <w:vAlign w:val="center"/>
          </w:tcPr>
          <w:p w14:paraId="416B0A58" w14:textId="3DE9F352" w:rsidR="005C6DF4" w:rsidRPr="00FF4346" w:rsidRDefault="005C6DF4" w:rsidP="005C6DF4">
            <w:pPr>
              <w:jc w:val="right"/>
              <w:rPr>
                <w:rFonts w:ascii="CAIXA Std Book" w:hAnsi="CAIXA Std Book" w:cs="Arial"/>
                <w:color w:val="005CA9"/>
                <w:sz w:val="18"/>
                <w:szCs w:val="18"/>
              </w:rPr>
            </w:pPr>
            <w:bookmarkStart w:id="125" w:name="OLE_LINK25"/>
            <w:r>
              <w:rPr>
                <w:rFonts w:ascii="CAIXA Std Book" w:hAnsi="CAIXA Std Book" w:cs="Arial"/>
                <w:color w:val="005CA9"/>
                <w:sz w:val="18"/>
                <w:szCs w:val="18"/>
              </w:rPr>
              <w:t>(1.247.864)</w:t>
            </w:r>
            <w:bookmarkEnd w:id="125"/>
          </w:p>
        </w:tc>
        <w:tc>
          <w:tcPr>
            <w:tcW w:w="691" w:type="pct"/>
            <w:tcBorders>
              <w:top w:val="single" w:sz="4" w:space="0" w:color="F39200"/>
              <w:left w:val="nil"/>
              <w:bottom w:val="nil"/>
              <w:right w:val="nil"/>
            </w:tcBorders>
            <w:vAlign w:val="center"/>
          </w:tcPr>
          <w:p w14:paraId="797A9B07" w14:textId="53286EC0"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(1.369.839)</w:t>
            </w:r>
          </w:p>
        </w:tc>
        <w:tc>
          <w:tcPr>
            <w:tcW w:w="613" w:type="pct"/>
            <w:tcBorders>
              <w:top w:val="single" w:sz="4" w:space="0" w:color="F39200"/>
              <w:left w:val="nil"/>
              <w:bottom w:val="nil"/>
              <w:right w:val="nil"/>
            </w:tcBorders>
            <w:vAlign w:val="center"/>
          </w:tcPr>
          <w:p w14:paraId="7727203D" w14:textId="512D8D0C"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(1.247.864)</w:t>
            </w:r>
          </w:p>
        </w:tc>
        <w:tc>
          <w:tcPr>
            <w:tcW w:w="652" w:type="pct"/>
            <w:tcBorders>
              <w:top w:val="single" w:sz="4" w:space="0" w:color="F39200"/>
              <w:left w:val="nil"/>
              <w:bottom w:val="nil"/>
              <w:right w:val="nil"/>
            </w:tcBorders>
            <w:vAlign w:val="center"/>
          </w:tcPr>
          <w:p w14:paraId="63F31E22" w14:textId="5B88E245"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(1.369.839)</w:t>
            </w:r>
          </w:p>
        </w:tc>
      </w:tr>
      <w:tr w:rsidR="005C6DF4" w:rsidRPr="00A33766" w14:paraId="5B5E6380" w14:textId="217942E0" w:rsidTr="006C76EE">
        <w:trPr>
          <w:trHeight w:val="283"/>
        </w:trPr>
        <w:tc>
          <w:tcPr>
            <w:tcW w:w="2392" w:type="pct"/>
            <w:tcBorders>
              <w:top w:val="nil"/>
              <w:left w:val="nil"/>
              <w:bottom w:val="nil"/>
              <w:right w:val="nil"/>
            </w:tcBorders>
            <w:shd w:val="clear" w:color="auto" w:fill="auto"/>
            <w:noWrap/>
            <w:vAlign w:val="center"/>
            <w:hideMark/>
          </w:tcPr>
          <w:p w14:paraId="3F78E3D3" w14:textId="6F094B26" w:rsidR="005C6DF4" w:rsidRPr="00FF4346" w:rsidRDefault="005C6DF4" w:rsidP="005C6DF4">
            <w:pPr>
              <w:ind w:firstLineChars="100" w:firstLine="180"/>
              <w:rPr>
                <w:rFonts w:ascii="CAIXA Std Book" w:eastAsia="Times New Roman" w:hAnsi="CAIXA Std Book" w:cs="Arial"/>
                <w:color w:val="005CA9"/>
                <w:sz w:val="18"/>
                <w:szCs w:val="18"/>
              </w:rPr>
            </w:pPr>
            <w:bookmarkStart w:id="126" w:name="OLE_LINK16" w:colFirst="1" w:colLast="1"/>
            <w:r w:rsidRPr="00FF4346">
              <w:rPr>
                <w:rFonts w:ascii="CAIXA Std Book" w:eastAsia="Times New Roman" w:hAnsi="CAIXA Std Book" w:cs="Arial"/>
                <w:color w:val="005CA9"/>
                <w:sz w:val="18"/>
                <w:szCs w:val="18"/>
              </w:rPr>
              <w:t>Trabalhistas</w:t>
            </w:r>
          </w:p>
        </w:tc>
        <w:tc>
          <w:tcPr>
            <w:tcW w:w="652" w:type="pct"/>
            <w:tcBorders>
              <w:top w:val="nil"/>
              <w:left w:val="nil"/>
              <w:bottom w:val="nil"/>
              <w:right w:val="nil"/>
            </w:tcBorders>
            <w:shd w:val="clear" w:color="auto" w:fill="auto"/>
            <w:noWrap/>
            <w:vAlign w:val="center"/>
          </w:tcPr>
          <w:p w14:paraId="1BC8D8F1" w14:textId="2D5D53E6"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(963.763)</w:t>
            </w:r>
          </w:p>
        </w:tc>
        <w:tc>
          <w:tcPr>
            <w:tcW w:w="691" w:type="pct"/>
            <w:tcBorders>
              <w:top w:val="nil"/>
              <w:left w:val="nil"/>
              <w:bottom w:val="nil"/>
              <w:right w:val="nil"/>
            </w:tcBorders>
            <w:vAlign w:val="center"/>
          </w:tcPr>
          <w:p w14:paraId="5AF92015" w14:textId="7068686E"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(976.463)</w:t>
            </w:r>
          </w:p>
        </w:tc>
        <w:tc>
          <w:tcPr>
            <w:tcW w:w="613" w:type="pct"/>
            <w:tcBorders>
              <w:top w:val="nil"/>
              <w:left w:val="nil"/>
              <w:bottom w:val="nil"/>
              <w:right w:val="nil"/>
            </w:tcBorders>
            <w:vAlign w:val="center"/>
          </w:tcPr>
          <w:p w14:paraId="7886FC5F" w14:textId="707B47E8"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(963.763)</w:t>
            </w:r>
          </w:p>
        </w:tc>
        <w:tc>
          <w:tcPr>
            <w:tcW w:w="652" w:type="pct"/>
            <w:tcBorders>
              <w:top w:val="nil"/>
              <w:left w:val="nil"/>
              <w:bottom w:val="nil"/>
              <w:right w:val="nil"/>
            </w:tcBorders>
            <w:vAlign w:val="center"/>
          </w:tcPr>
          <w:p w14:paraId="4C0244F7" w14:textId="44828A8A"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(976.463)</w:t>
            </w:r>
          </w:p>
        </w:tc>
      </w:tr>
      <w:tr w:rsidR="005C6DF4" w:rsidRPr="00A33766" w14:paraId="466CB44D" w14:textId="1731CBE9" w:rsidTr="006C76EE">
        <w:trPr>
          <w:trHeight w:val="283"/>
        </w:trPr>
        <w:tc>
          <w:tcPr>
            <w:tcW w:w="2392" w:type="pct"/>
            <w:tcBorders>
              <w:top w:val="nil"/>
              <w:left w:val="nil"/>
              <w:bottom w:val="nil"/>
              <w:right w:val="nil"/>
            </w:tcBorders>
            <w:shd w:val="clear" w:color="auto" w:fill="auto"/>
            <w:noWrap/>
            <w:vAlign w:val="center"/>
            <w:hideMark/>
          </w:tcPr>
          <w:p w14:paraId="4F1C021C" w14:textId="77777777" w:rsidR="005C6DF4" w:rsidRPr="00FF4346" w:rsidRDefault="005C6DF4" w:rsidP="005C6DF4">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Cíveis</w:t>
            </w:r>
          </w:p>
        </w:tc>
        <w:tc>
          <w:tcPr>
            <w:tcW w:w="652" w:type="pct"/>
            <w:tcBorders>
              <w:top w:val="nil"/>
              <w:left w:val="nil"/>
              <w:bottom w:val="nil"/>
              <w:right w:val="nil"/>
            </w:tcBorders>
            <w:shd w:val="clear" w:color="auto" w:fill="auto"/>
            <w:noWrap/>
            <w:vAlign w:val="center"/>
          </w:tcPr>
          <w:p w14:paraId="0089D97F" w14:textId="5F09A254"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(342.489)</w:t>
            </w:r>
          </w:p>
        </w:tc>
        <w:tc>
          <w:tcPr>
            <w:tcW w:w="691" w:type="pct"/>
            <w:tcBorders>
              <w:top w:val="nil"/>
              <w:left w:val="nil"/>
              <w:bottom w:val="nil"/>
              <w:right w:val="nil"/>
            </w:tcBorders>
            <w:vAlign w:val="center"/>
          </w:tcPr>
          <w:p w14:paraId="7FC7F79B" w14:textId="0FA55453"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(363.386)</w:t>
            </w:r>
          </w:p>
        </w:tc>
        <w:tc>
          <w:tcPr>
            <w:tcW w:w="613" w:type="pct"/>
            <w:tcBorders>
              <w:top w:val="nil"/>
              <w:left w:val="nil"/>
              <w:bottom w:val="nil"/>
              <w:right w:val="nil"/>
            </w:tcBorders>
            <w:vAlign w:val="center"/>
          </w:tcPr>
          <w:p w14:paraId="2EFDA4EB" w14:textId="54A0A587"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(342.489)</w:t>
            </w:r>
          </w:p>
        </w:tc>
        <w:tc>
          <w:tcPr>
            <w:tcW w:w="652" w:type="pct"/>
            <w:tcBorders>
              <w:top w:val="nil"/>
              <w:left w:val="nil"/>
              <w:bottom w:val="nil"/>
              <w:right w:val="nil"/>
            </w:tcBorders>
            <w:vAlign w:val="center"/>
          </w:tcPr>
          <w:p w14:paraId="1EF059DA" w14:textId="31FB20C8"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(363.386)</w:t>
            </w:r>
          </w:p>
        </w:tc>
      </w:tr>
      <w:tr w:rsidR="005C6DF4" w:rsidRPr="00A33766" w14:paraId="3F6719E6" w14:textId="087D7562" w:rsidTr="006C76EE">
        <w:trPr>
          <w:trHeight w:val="283"/>
        </w:trPr>
        <w:tc>
          <w:tcPr>
            <w:tcW w:w="2392" w:type="pct"/>
            <w:tcBorders>
              <w:top w:val="nil"/>
              <w:left w:val="nil"/>
              <w:bottom w:val="nil"/>
              <w:right w:val="nil"/>
            </w:tcBorders>
            <w:shd w:val="clear" w:color="auto" w:fill="auto"/>
            <w:noWrap/>
            <w:vAlign w:val="center"/>
            <w:hideMark/>
          </w:tcPr>
          <w:p w14:paraId="534DB6BA" w14:textId="77777777" w:rsidR="005C6DF4" w:rsidRPr="00FF4346" w:rsidRDefault="005C6DF4" w:rsidP="005C6DF4">
            <w:pPr>
              <w:ind w:firstLineChars="100" w:firstLine="180"/>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Fiscais</w:t>
            </w:r>
          </w:p>
        </w:tc>
        <w:tc>
          <w:tcPr>
            <w:tcW w:w="652" w:type="pct"/>
            <w:tcBorders>
              <w:top w:val="nil"/>
              <w:left w:val="nil"/>
              <w:bottom w:val="nil"/>
              <w:right w:val="nil"/>
            </w:tcBorders>
            <w:shd w:val="clear" w:color="auto" w:fill="auto"/>
            <w:noWrap/>
            <w:vAlign w:val="center"/>
          </w:tcPr>
          <w:p w14:paraId="6767E5B8" w14:textId="59A08411"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58.388</w:t>
            </w:r>
          </w:p>
        </w:tc>
        <w:tc>
          <w:tcPr>
            <w:tcW w:w="691" w:type="pct"/>
            <w:tcBorders>
              <w:top w:val="nil"/>
              <w:left w:val="nil"/>
              <w:bottom w:val="nil"/>
              <w:right w:val="nil"/>
            </w:tcBorders>
            <w:vAlign w:val="center"/>
          </w:tcPr>
          <w:p w14:paraId="707D0997" w14:textId="7DF761CE"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(29.990)</w:t>
            </w:r>
          </w:p>
        </w:tc>
        <w:tc>
          <w:tcPr>
            <w:tcW w:w="613" w:type="pct"/>
            <w:tcBorders>
              <w:top w:val="nil"/>
              <w:left w:val="nil"/>
              <w:bottom w:val="nil"/>
              <w:right w:val="nil"/>
            </w:tcBorders>
            <w:vAlign w:val="center"/>
          </w:tcPr>
          <w:p w14:paraId="2CDB57DE" w14:textId="641632CB"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58.388</w:t>
            </w:r>
          </w:p>
        </w:tc>
        <w:tc>
          <w:tcPr>
            <w:tcW w:w="652" w:type="pct"/>
            <w:tcBorders>
              <w:top w:val="nil"/>
              <w:left w:val="nil"/>
              <w:bottom w:val="nil"/>
              <w:right w:val="nil"/>
            </w:tcBorders>
            <w:vAlign w:val="center"/>
          </w:tcPr>
          <w:p w14:paraId="4EAF11E3" w14:textId="42A77282"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(29.990)</w:t>
            </w:r>
          </w:p>
        </w:tc>
      </w:tr>
      <w:tr w:rsidR="005C6DF4" w:rsidRPr="00A33766" w14:paraId="1E23E473" w14:textId="488FE35A" w:rsidTr="006C76EE">
        <w:trPr>
          <w:trHeight w:val="283"/>
        </w:trPr>
        <w:tc>
          <w:tcPr>
            <w:tcW w:w="2392" w:type="pct"/>
            <w:tcBorders>
              <w:top w:val="nil"/>
              <w:left w:val="nil"/>
              <w:bottom w:val="nil"/>
              <w:right w:val="nil"/>
            </w:tcBorders>
            <w:shd w:val="clear" w:color="auto" w:fill="auto"/>
            <w:noWrap/>
            <w:vAlign w:val="center"/>
            <w:hideMark/>
          </w:tcPr>
          <w:p w14:paraId="708130FE" w14:textId="77777777" w:rsidR="005C6DF4" w:rsidRPr="00FF4346" w:rsidRDefault="005C6DF4" w:rsidP="005C6DF4">
            <w:pPr>
              <w:rPr>
                <w:rFonts w:ascii="CAIXA Std Book" w:eastAsia="Times New Roman" w:hAnsi="CAIXA Std Book" w:cs="Arial"/>
                <w:color w:val="005CA9"/>
                <w:sz w:val="18"/>
                <w:szCs w:val="18"/>
              </w:rPr>
            </w:pPr>
            <w:bookmarkStart w:id="127" w:name="OLE_LINK17" w:colFirst="1" w:colLast="1"/>
            <w:bookmarkStart w:id="128" w:name="OLE_LINK18" w:colFirst="3" w:colLast="3"/>
            <w:bookmarkEnd w:id="126"/>
            <w:r w:rsidRPr="00FF4346">
              <w:rPr>
                <w:rFonts w:ascii="CAIXA Std Book" w:eastAsia="Times New Roman" w:hAnsi="CAIXA Std Book" w:cs="Arial"/>
                <w:color w:val="005CA9"/>
                <w:sz w:val="18"/>
                <w:szCs w:val="18"/>
              </w:rPr>
              <w:t xml:space="preserve">Fundo de compensação de variações salariais – FCVS </w:t>
            </w:r>
          </w:p>
        </w:tc>
        <w:tc>
          <w:tcPr>
            <w:tcW w:w="652" w:type="pct"/>
            <w:tcBorders>
              <w:top w:val="nil"/>
              <w:left w:val="nil"/>
              <w:bottom w:val="nil"/>
              <w:right w:val="nil"/>
            </w:tcBorders>
            <w:shd w:val="clear" w:color="auto" w:fill="auto"/>
            <w:noWrap/>
            <w:vAlign w:val="center"/>
          </w:tcPr>
          <w:p w14:paraId="27418520" w14:textId="2CE0BA1F"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(516.084)</w:t>
            </w:r>
          </w:p>
        </w:tc>
        <w:tc>
          <w:tcPr>
            <w:tcW w:w="691" w:type="pct"/>
            <w:tcBorders>
              <w:top w:val="nil"/>
              <w:left w:val="nil"/>
              <w:bottom w:val="nil"/>
              <w:right w:val="nil"/>
            </w:tcBorders>
            <w:vAlign w:val="center"/>
          </w:tcPr>
          <w:p w14:paraId="179CD20D" w14:textId="44510962"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(543.908)</w:t>
            </w:r>
          </w:p>
        </w:tc>
        <w:tc>
          <w:tcPr>
            <w:tcW w:w="613" w:type="pct"/>
            <w:tcBorders>
              <w:top w:val="nil"/>
              <w:left w:val="nil"/>
              <w:bottom w:val="nil"/>
              <w:right w:val="nil"/>
            </w:tcBorders>
            <w:vAlign w:val="center"/>
          </w:tcPr>
          <w:p w14:paraId="4EF135CE" w14:textId="73E1D16F"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(516.084)</w:t>
            </w:r>
          </w:p>
        </w:tc>
        <w:tc>
          <w:tcPr>
            <w:tcW w:w="652" w:type="pct"/>
            <w:tcBorders>
              <w:top w:val="nil"/>
              <w:left w:val="nil"/>
              <w:bottom w:val="nil"/>
              <w:right w:val="nil"/>
            </w:tcBorders>
            <w:vAlign w:val="center"/>
          </w:tcPr>
          <w:p w14:paraId="61A347C1" w14:textId="392C918D"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(543.908)</w:t>
            </w:r>
          </w:p>
        </w:tc>
      </w:tr>
      <w:tr w:rsidR="005C6DF4" w:rsidRPr="00A33766" w14:paraId="0B3DACE9" w14:textId="0F2213B1" w:rsidTr="006C76EE">
        <w:trPr>
          <w:trHeight w:val="283"/>
        </w:trPr>
        <w:tc>
          <w:tcPr>
            <w:tcW w:w="2392" w:type="pct"/>
            <w:tcBorders>
              <w:top w:val="nil"/>
              <w:left w:val="nil"/>
              <w:bottom w:val="nil"/>
              <w:right w:val="nil"/>
            </w:tcBorders>
            <w:shd w:val="clear" w:color="auto" w:fill="auto"/>
            <w:noWrap/>
            <w:vAlign w:val="center"/>
            <w:hideMark/>
          </w:tcPr>
          <w:p w14:paraId="61FFC174" w14:textId="77777777" w:rsidR="005C6DF4" w:rsidRPr="00FF4346" w:rsidRDefault="005C6DF4" w:rsidP="005C6DF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Pré-pagamento – FGTS</w:t>
            </w:r>
          </w:p>
        </w:tc>
        <w:tc>
          <w:tcPr>
            <w:tcW w:w="652" w:type="pct"/>
            <w:tcBorders>
              <w:top w:val="nil"/>
              <w:left w:val="nil"/>
              <w:bottom w:val="nil"/>
              <w:right w:val="nil"/>
            </w:tcBorders>
            <w:shd w:val="clear" w:color="auto" w:fill="auto"/>
            <w:noWrap/>
            <w:vAlign w:val="center"/>
          </w:tcPr>
          <w:p w14:paraId="2BAD6964" w14:textId="7DD89C5F"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(46.096)</w:t>
            </w:r>
          </w:p>
        </w:tc>
        <w:tc>
          <w:tcPr>
            <w:tcW w:w="691" w:type="pct"/>
            <w:tcBorders>
              <w:top w:val="nil"/>
              <w:left w:val="nil"/>
              <w:bottom w:val="nil"/>
              <w:right w:val="nil"/>
            </w:tcBorders>
            <w:vAlign w:val="center"/>
          </w:tcPr>
          <w:p w14:paraId="36B0EA89" w14:textId="79F3D3A8"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(24.986)</w:t>
            </w:r>
          </w:p>
        </w:tc>
        <w:tc>
          <w:tcPr>
            <w:tcW w:w="613" w:type="pct"/>
            <w:tcBorders>
              <w:top w:val="nil"/>
              <w:left w:val="nil"/>
              <w:bottom w:val="nil"/>
              <w:right w:val="nil"/>
            </w:tcBorders>
            <w:vAlign w:val="center"/>
          </w:tcPr>
          <w:p w14:paraId="66DC4264" w14:textId="1A0BCAA5"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(46.096)</w:t>
            </w:r>
          </w:p>
        </w:tc>
        <w:tc>
          <w:tcPr>
            <w:tcW w:w="652" w:type="pct"/>
            <w:tcBorders>
              <w:top w:val="nil"/>
              <w:left w:val="nil"/>
              <w:bottom w:val="nil"/>
              <w:right w:val="nil"/>
            </w:tcBorders>
            <w:vAlign w:val="center"/>
          </w:tcPr>
          <w:p w14:paraId="6917F87E" w14:textId="5169E419"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(24.986)</w:t>
            </w:r>
          </w:p>
        </w:tc>
      </w:tr>
      <w:tr w:rsidR="005C6DF4" w:rsidRPr="00A33766" w14:paraId="54DF1801" w14:textId="5E36DC47" w:rsidTr="006C76EE">
        <w:trPr>
          <w:trHeight w:val="283"/>
        </w:trPr>
        <w:tc>
          <w:tcPr>
            <w:tcW w:w="2392" w:type="pct"/>
            <w:tcBorders>
              <w:top w:val="nil"/>
              <w:left w:val="nil"/>
              <w:bottom w:val="nil"/>
              <w:right w:val="nil"/>
            </w:tcBorders>
            <w:shd w:val="clear" w:color="auto" w:fill="auto"/>
            <w:noWrap/>
            <w:vAlign w:val="center"/>
            <w:hideMark/>
          </w:tcPr>
          <w:p w14:paraId="581F2E6D" w14:textId="77777777" w:rsidR="005C6DF4" w:rsidRPr="00FF4346" w:rsidRDefault="005C6DF4" w:rsidP="005C6DF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Taxa Performance das carteiras adquiridas</w:t>
            </w:r>
          </w:p>
        </w:tc>
        <w:tc>
          <w:tcPr>
            <w:tcW w:w="652" w:type="pct"/>
            <w:tcBorders>
              <w:top w:val="nil"/>
              <w:left w:val="nil"/>
              <w:bottom w:val="nil"/>
              <w:right w:val="nil"/>
            </w:tcBorders>
            <w:shd w:val="clear" w:color="auto" w:fill="auto"/>
            <w:noWrap/>
            <w:vAlign w:val="center"/>
          </w:tcPr>
          <w:p w14:paraId="3F44E5E3" w14:textId="666069D9"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(24.980)</w:t>
            </w:r>
          </w:p>
        </w:tc>
        <w:tc>
          <w:tcPr>
            <w:tcW w:w="691" w:type="pct"/>
            <w:tcBorders>
              <w:top w:val="nil"/>
              <w:left w:val="nil"/>
              <w:bottom w:val="nil"/>
              <w:right w:val="nil"/>
            </w:tcBorders>
            <w:vAlign w:val="center"/>
          </w:tcPr>
          <w:p w14:paraId="51340A95" w14:textId="1BC990B6"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(25.278)</w:t>
            </w:r>
          </w:p>
        </w:tc>
        <w:tc>
          <w:tcPr>
            <w:tcW w:w="613" w:type="pct"/>
            <w:tcBorders>
              <w:top w:val="nil"/>
              <w:left w:val="nil"/>
              <w:bottom w:val="nil"/>
              <w:right w:val="nil"/>
            </w:tcBorders>
            <w:vAlign w:val="center"/>
          </w:tcPr>
          <w:p w14:paraId="309D5E10" w14:textId="1EC158A8"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(24.980)</w:t>
            </w:r>
          </w:p>
        </w:tc>
        <w:tc>
          <w:tcPr>
            <w:tcW w:w="652" w:type="pct"/>
            <w:tcBorders>
              <w:top w:val="nil"/>
              <w:left w:val="nil"/>
              <w:bottom w:val="nil"/>
              <w:right w:val="nil"/>
            </w:tcBorders>
            <w:vAlign w:val="center"/>
          </w:tcPr>
          <w:p w14:paraId="4554BF45" w14:textId="7A72E3E5"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(25.278)</w:t>
            </w:r>
          </w:p>
        </w:tc>
      </w:tr>
      <w:tr w:rsidR="005C6DF4" w:rsidRPr="00A33766" w14:paraId="4012F2A6" w14:textId="145D509B" w:rsidTr="006C76EE">
        <w:trPr>
          <w:trHeight w:val="283"/>
        </w:trPr>
        <w:tc>
          <w:tcPr>
            <w:tcW w:w="2392" w:type="pct"/>
            <w:tcBorders>
              <w:top w:val="nil"/>
              <w:left w:val="nil"/>
              <w:bottom w:val="nil"/>
              <w:right w:val="nil"/>
            </w:tcBorders>
            <w:shd w:val="clear" w:color="auto" w:fill="auto"/>
            <w:noWrap/>
            <w:vAlign w:val="center"/>
            <w:hideMark/>
          </w:tcPr>
          <w:p w14:paraId="0DA8BB5A" w14:textId="491F2EED" w:rsidR="005C6DF4" w:rsidRPr="00FF4346" w:rsidRDefault="005C6DF4" w:rsidP="005C6DF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Garantias financeiras prestadas</w:t>
            </w:r>
          </w:p>
        </w:tc>
        <w:tc>
          <w:tcPr>
            <w:tcW w:w="652" w:type="pct"/>
            <w:tcBorders>
              <w:top w:val="nil"/>
              <w:left w:val="nil"/>
              <w:bottom w:val="nil"/>
              <w:right w:val="nil"/>
            </w:tcBorders>
            <w:shd w:val="clear" w:color="auto" w:fill="auto"/>
            <w:noWrap/>
            <w:vAlign w:val="center"/>
          </w:tcPr>
          <w:p w14:paraId="1D282F22" w14:textId="50A56479"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276</w:t>
            </w:r>
          </w:p>
        </w:tc>
        <w:tc>
          <w:tcPr>
            <w:tcW w:w="691" w:type="pct"/>
            <w:tcBorders>
              <w:top w:val="nil"/>
              <w:left w:val="nil"/>
              <w:bottom w:val="nil"/>
              <w:right w:val="nil"/>
            </w:tcBorders>
            <w:vAlign w:val="center"/>
          </w:tcPr>
          <w:p w14:paraId="29A4F11D" w14:textId="740C64B3"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(9.911)</w:t>
            </w:r>
          </w:p>
        </w:tc>
        <w:tc>
          <w:tcPr>
            <w:tcW w:w="613" w:type="pct"/>
            <w:tcBorders>
              <w:top w:val="nil"/>
              <w:left w:val="nil"/>
              <w:bottom w:val="nil"/>
              <w:right w:val="nil"/>
            </w:tcBorders>
            <w:vAlign w:val="center"/>
          </w:tcPr>
          <w:p w14:paraId="361615F2" w14:textId="3E5A379E"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276</w:t>
            </w:r>
          </w:p>
        </w:tc>
        <w:tc>
          <w:tcPr>
            <w:tcW w:w="652" w:type="pct"/>
            <w:tcBorders>
              <w:top w:val="nil"/>
              <w:left w:val="nil"/>
              <w:bottom w:val="nil"/>
              <w:right w:val="nil"/>
            </w:tcBorders>
            <w:vAlign w:val="center"/>
          </w:tcPr>
          <w:p w14:paraId="4A7D2F5F" w14:textId="26147307"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(9.911)</w:t>
            </w:r>
          </w:p>
        </w:tc>
      </w:tr>
      <w:bookmarkEnd w:id="127"/>
      <w:bookmarkEnd w:id="128"/>
      <w:tr w:rsidR="005C6DF4" w:rsidRPr="00A33766" w14:paraId="7B2F35E0" w14:textId="70859DE3" w:rsidTr="006C76EE">
        <w:trPr>
          <w:trHeight w:val="283"/>
        </w:trPr>
        <w:tc>
          <w:tcPr>
            <w:tcW w:w="2392" w:type="pct"/>
            <w:tcBorders>
              <w:top w:val="nil"/>
              <w:left w:val="nil"/>
              <w:bottom w:val="single" w:sz="4" w:space="0" w:color="F39200"/>
              <w:right w:val="nil"/>
            </w:tcBorders>
            <w:shd w:val="clear" w:color="auto" w:fill="auto"/>
            <w:noWrap/>
            <w:vAlign w:val="center"/>
            <w:hideMark/>
          </w:tcPr>
          <w:p w14:paraId="42C95485" w14:textId="31B0DC2E" w:rsidR="005C6DF4" w:rsidRPr="00FF4346" w:rsidRDefault="005C6DF4" w:rsidP="005C6DF4">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Outras (</w:t>
            </w:r>
            <w:r>
              <w:rPr>
                <w:rFonts w:ascii="CAIXA Std Book" w:eastAsia="Times New Roman" w:hAnsi="CAIXA Std Book" w:cs="Arial"/>
                <w:color w:val="005CA9"/>
                <w:sz w:val="18"/>
                <w:szCs w:val="18"/>
              </w:rPr>
              <w:t>1</w:t>
            </w:r>
            <w:r w:rsidRPr="00FF4346">
              <w:rPr>
                <w:rFonts w:ascii="CAIXA Std Book" w:eastAsia="Times New Roman" w:hAnsi="CAIXA Std Book" w:cs="Arial"/>
                <w:color w:val="005CA9"/>
                <w:sz w:val="18"/>
                <w:szCs w:val="18"/>
              </w:rPr>
              <w:t>)</w:t>
            </w:r>
          </w:p>
        </w:tc>
        <w:tc>
          <w:tcPr>
            <w:tcW w:w="652" w:type="pct"/>
            <w:tcBorders>
              <w:top w:val="nil"/>
              <w:left w:val="nil"/>
              <w:bottom w:val="single" w:sz="4" w:space="0" w:color="F39200"/>
              <w:right w:val="nil"/>
            </w:tcBorders>
            <w:shd w:val="clear" w:color="auto" w:fill="auto"/>
            <w:noWrap/>
            <w:vAlign w:val="center"/>
          </w:tcPr>
          <w:p w14:paraId="40BC4BDB" w14:textId="4AC2DFF7"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121.493</w:t>
            </w:r>
          </w:p>
        </w:tc>
        <w:tc>
          <w:tcPr>
            <w:tcW w:w="691" w:type="pct"/>
            <w:tcBorders>
              <w:top w:val="nil"/>
              <w:left w:val="nil"/>
              <w:bottom w:val="single" w:sz="4" w:space="0" w:color="F39200"/>
              <w:right w:val="nil"/>
            </w:tcBorders>
            <w:vAlign w:val="center"/>
          </w:tcPr>
          <w:p w14:paraId="726660E0" w14:textId="54142555" w:rsidR="005C6DF4" w:rsidRPr="00FF4346" w:rsidRDefault="005C6DF4" w:rsidP="005C6DF4">
            <w:pPr>
              <w:jc w:val="right"/>
              <w:rPr>
                <w:rFonts w:ascii="CAIXA Std Book" w:hAnsi="CAIXA Std Book" w:cs="Arial"/>
                <w:color w:val="005CA9"/>
                <w:sz w:val="18"/>
                <w:szCs w:val="18"/>
              </w:rPr>
            </w:pPr>
            <w:r>
              <w:rPr>
                <w:rFonts w:ascii="CAIXA Std Book" w:hAnsi="CAIXA Std Book" w:cs="Arial"/>
                <w:color w:val="005CA9"/>
                <w:sz w:val="18"/>
                <w:szCs w:val="18"/>
              </w:rPr>
              <w:t>465.303</w:t>
            </w:r>
          </w:p>
        </w:tc>
        <w:tc>
          <w:tcPr>
            <w:tcW w:w="613" w:type="pct"/>
            <w:tcBorders>
              <w:top w:val="nil"/>
              <w:left w:val="nil"/>
              <w:bottom w:val="single" w:sz="4" w:space="0" w:color="F39200"/>
              <w:right w:val="nil"/>
            </w:tcBorders>
            <w:vAlign w:val="center"/>
          </w:tcPr>
          <w:p w14:paraId="2D7350CD" w14:textId="407A9141"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121.275</w:t>
            </w:r>
          </w:p>
        </w:tc>
        <w:tc>
          <w:tcPr>
            <w:tcW w:w="652" w:type="pct"/>
            <w:tcBorders>
              <w:top w:val="nil"/>
              <w:left w:val="nil"/>
              <w:bottom w:val="single" w:sz="4" w:space="0" w:color="F39200"/>
              <w:right w:val="nil"/>
            </w:tcBorders>
            <w:vAlign w:val="center"/>
          </w:tcPr>
          <w:p w14:paraId="781F4E35" w14:textId="182B71A5" w:rsidR="005C6DF4" w:rsidRPr="00962EB4" w:rsidRDefault="005C6DF4" w:rsidP="005C6DF4">
            <w:pPr>
              <w:jc w:val="right"/>
              <w:rPr>
                <w:rFonts w:ascii="CAIXA Std Book" w:eastAsia="Times New Roman" w:hAnsi="CAIXA Std Book" w:cs="Arial"/>
                <w:color w:val="005CA9"/>
                <w:sz w:val="18"/>
                <w:szCs w:val="18"/>
              </w:rPr>
            </w:pPr>
            <w:r>
              <w:rPr>
                <w:rFonts w:ascii="CAIXA Std Book" w:hAnsi="CAIXA Std Book" w:cs="Arial"/>
                <w:color w:val="005CA9"/>
                <w:sz w:val="18"/>
                <w:szCs w:val="18"/>
              </w:rPr>
              <w:t>465.303</w:t>
            </w:r>
          </w:p>
        </w:tc>
      </w:tr>
      <w:tr w:rsidR="005C6DF4" w:rsidRPr="00A33766" w14:paraId="68160611" w14:textId="7E5B340B" w:rsidTr="006C76EE">
        <w:trPr>
          <w:trHeight w:val="283"/>
        </w:trPr>
        <w:tc>
          <w:tcPr>
            <w:tcW w:w="2392" w:type="pct"/>
            <w:tcBorders>
              <w:top w:val="single" w:sz="4" w:space="0" w:color="F39200"/>
              <w:left w:val="nil"/>
              <w:bottom w:val="single" w:sz="4" w:space="0" w:color="F39200"/>
              <w:right w:val="nil"/>
            </w:tcBorders>
            <w:shd w:val="clear" w:color="auto" w:fill="auto"/>
            <w:noWrap/>
            <w:vAlign w:val="center"/>
            <w:hideMark/>
          </w:tcPr>
          <w:p w14:paraId="5D32CA69" w14:textId="77777777" w:rsidR="005C6DF4" w:rsidRPr="00FF4346" w:rsidRDefault="005C6DF4" w:rsidP="005C6DF4">
            <w:pPr>
              <w:rPr>
                <w:rFonts w:ascii="CAIXA Std Book" w:eastAsia="Times New Roman" w:hAnsi="CAIXA Std Book" w:cs="Arial"/>
                <w:b/>
                <w:bCs/>
                <w:color w:val="005CA9"/>
                <w:sz w:val="18"/>
                <w:szCs w:val="18"/>
              </w:rPr>
            </w:pPr>
            <w:r w:rsidRPr="00FF4346">
              <w:rPr>
                <w:rFonts w:ascii="CAIXA Std Book" w:eastAsia="Times New Roman" w:hAnsi="CAIXA Std Book" w:cs="Arial"/>
                <w:b/>
                <w:bCs/>
                <w:color w:val="005CA9"/>
                <w:sz w:val="18"/>
                <w:szCs w:val="18"/>
              </w:rPr>
              <w:t>Total</w:t>
            </w:r>
          </w:p>
        </w:tc>
        <w:tc>
          <w:tcPr>
            <w:tcW w:w="652" w:type="pct"/>
            <w:tcBorders>
              <w:top w:val="single" w:sz="4" w:space="0" w:color="F39200"/>
              <w:left w:val="nil"/>
              <w:bottom w:val="single" w:sz="4" w:space="0" w:color="F39200"/>
              <w:right w:val="nil"/>
            </w:tcBorders>
            <w:shd w:val="clear" w:color="auto" w:fill="auto"/>
            <w:noWrap/>
            <w:vAlign w:val="center"/>
          </w:tcPr>
          <w:p w14:paraId="008BF7B0" w14:textId="55B38043" w:rsidR="005C6DF4" w:rsidRPr="00FF4346" w:rsidRDefault="005C6DF4" w:rsidP="005C6DF4">
            <w:pPr>
              <w:jc w:val="right"/>
              <w:rPr>
                <w:rFonts w:ascii="CAIXA Std Book" w:hAnsi="CAIXA Std Book" w:cs="Calibri"/>
                <w:b/>
                <w:color w:val="005CA9"/>
                <w:sz w:val="18"/>
                <w:szCs w:val="18"/>
              </w:rPr>
            </w:pPr>
            <w:r>
              <w:rPr>
                <w:rFonts w:ascii="CAIXA Std Book" w:hAnsi="CAIXA Std Book" w:cs="Arial"/>
                <w:b/>
                <w:bCs/>
                <w:color w:val="005CA9"/>
                <w:sz w:val="18"/>
                <w:szCs w:val="18"/>
              </w:rPr>
              <w:t>(1.713.255)</w:t>
            </w:r>
          </w:p>
        </w:tc>
        <w:tc>
          <w:tcPr>
            <w:tcW w:w="691" w:type="pct"/>
            <w:tcBorders>
              <w:top w:val="single" w:sz="4" w:space="0" w:color="F39200"/>
              <w:left w:val="nil"/>
              <w:bottom w:val="single" w:sz="4" w:space="0" w:color="F39200"/>
              <w:right w:val="nil"/>
            </w:tcBorders>
            <w:vAlign w:val="center"/>
          </w:tcPr>
          <w:p w14:paraId="2055ED20" w14:textId="624C6274" w:rsidR="005C6DF4" w:rsidRPr="00FF4346" w:rsidRDefault="005C6DF4" w:rsidP="005C6DF4">
            <w:pPr>
              <w:jc w:val="right"/>
              <w:rPr>
                <w:rFonts w:ascii="CAIXA Std Book" w:hAnsi="CAIXA Std Book" w:cs="Calibri"/>
                <w:b/>
                <w:color w:val="005CA9"/>
                <w:sz w:val="18"/>
                <w:szCs w:val="18"/>
              </w:rPr>
            </w:pPr>
            <w:r>
              <w:rPr>
                <w:rFonts w:ascii="CAIXA Std Book" w:hAnsi="CAIXA Std Book" w:cs="Arial"/>
                <w:b/>
                <w:bCs/>
                <w:color w:val="005CA9"/>
                <w:sz w:val="18"/>
                <w:szCs w:val="18"/>
              </w:rPr>
              <w:t>(1.508.619)</w:t>
            </w:r>
          </w:p>
        </w:tc>
        <w:tc>
          <w:tcPr>
            <w:tcW w:w="613" w:type="pct"/>
            <w:tcBorders>
              <w:top w:val="single" w:sz="4" w:space="0" w:color="F39200"/>
              <w:left w:val="nil"/>
              <w:bottom w:val="single" w:sz="4" w:space="0" w:color="F39200"/>
              <w:right w:val="nil"/>
            </w:tcBorders>
            <w:vAlign w:val="center"/>
          </w:tcPr>
          <w:p w14:paraId="4B758114" w14:textId="2769ED5C" w:rsidR="005C6DF4" w:rsidRPr="00962EB4" w:rsidRDefault="005C6DF4" w:rsidP="005C6DF4">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(1.713.473)</w:t>
            </w:r>
          </w:p>
        </w:tc>
        <w:tc>
          <w:tcPr>
            <w:tcW w:w="652" w:type="pct"/>
            <w:tcBorders>
              <w:top w:val="single" w:sz="4" w:space="0" w:color="F39200"/>
              <w:left w:val="nil"/>
              <w:bottom w:val="single" w:sz="4" w:space="0" w:color="F39200"/>
              <w:right w:val="nil"/>
            </w:tcBorders>
            <w:vAlign w:val="center"/>
          </w:tcPr>
          <w:p w14:paraId="4428011C" w14:textId="25C3A782" w:rsidR="005C6DF4" w:rsidRPr="00962EB4" w:rsidRDefault="005C6DF4" w:rsidP="005C6DF4">
            <w:pPr>
              <w:jc w:val="right"/>
              <w:rPr>
                <w:rFonts w:ascii="CAIXA Std Book" w:eastAsia="Times New Roman" w:hAnsi="CAIXA Std Book" w:cs="Arial"/>
                <w:b/>
                <w:color w:val="005CA9"/>
                <w:sz w:val="18"/>
                <w:szCs w:val="18"/>
              </w:rPr>
            </w:pPr>
            <w:r>
              <w:rPr>
                <w:rFonts w:ascii="CAIXA Std Book" w:hAnsi="CAIXA Std Book" w:cs="Arial"/>
                <w:b/>
                <w:bCs/>
                <w:color w:val="005CA9"/>
                <w:sz w:val="18"/>
                <w:szCs w:val="18"/>
              </w:rPr>
              <w:t>(1.508.619)</w:t>
            </w:r>
          </w:p>
        </w:tc>
      </w:tr>
    </w:tbl>
    <w:p w14:paraId="6C6AFD86" w14:textId="488A33E9" w:rsidR="000D6335" w:rsidRPr="00FF4346" w:rsidRDefault="00912C50" w:rsidP="00221C0B">
      <w:pPr>
        <w:pStyle w:val="Default0"/>
        <w:ind w:right="139"/>
        <w:jc w:val="both"/>
        <w:rPr>
          <w:rFonts w:ascii="CAIXA Std Book" w:hAnsi="CAIXA Std Book"/>
          <w:color w:val="005CA9"/>
          <w:sz w:val="16"/>
          <w:szCs w:val="16"/>
        </w:rPr>
      </w:pPr>
      <w:r w:rsidRPr="00FF4346">
        <w:rPr>
          <w:rFonts w:ascii="CAIXA Std Book" w:hAnsi="CAIXA Std Book"/>
          <w:color w:val="005CA9"/>
          <w:sz w:val="16"/>
          <w:szCs w:val="16"/>
        </w:rPr>
        <w:t>(</w:t>
      </w:r>
      <w:r w:rsidR="00357E9A">
        <w:rPr>
          <w:rFonts w:ascii="CAIXA Std Book" w:hAnsi="CAIXA Std Book"/>
          <w:color w:val="005CA9"/>
          <w:sz w:val="16"/>
          <w:szCs w:val="16"/>
        </w:rPr>
        <w:t>1</w:t>
      </w:r>
      <w:r w:rsidR="00B03004" w:rsidRPr="00FF4346">
        <w:rPr>
          <w:rFonts w:ascii="CAIXA Std Book" w:hAnsi="CAIXA Std Book"/>
          <w:color w:val="005CA9"/>
          <w:sz w:val="16"/>
          <w:szCs w:val="16"/>
        </w:rPr>
        <w:t xml:space="preserve">) Inclui a reversão de provisão administrativa, restos </w:t>
      </w:r>
      <w:proofErr w:type="gramStart"/>
      <w:r w:rsidR="00B03004" w:rsidRPr="00FF4346">
        <w:rPr>
          <w:rFonts w:ascii="CAIXA Std Book" w:hAnsi="CAIXA Std Book"/>
          <w:color w:val="005CA9"/>
          <w:sz w:val="16"/>
          <w:szCs w:val="16"/>
        </w:rPr>
        <w:t>à</w:t>
      </w:r>
      <w:proofErr w:type="gramEnd"/>
      <w:r w:rsidR="00B03004" w:rsidRPr="00FF4346">
        <w:rPr>
          <w:rFonts w:ascii="CAIXA Std Book" w:hAnsi="CAIXA Std Book"/>
          <w:color w:val="005CA9"/>
          <w:sz w:val="16"/>
          <w:szCs w:val="16"/>
        </w:rPr>
        <w:t xml:space="preserve"> pagar e custos relativos a manutenção de imóveis</w:t>
      </w:r>
      <w:r w:rsidR="001B4CB2" w:rsidRPr="00FF4346">
        <w:rPr>
          <w:rFonts w:ascii="CAIXA Std Book" w:hAnsi="CAIXA Std Book"/>
          <w:color w:val="005CA9"/>
          <w:sz w:val="16"/>
          <w:szCs w:val="16"/>
        </w:rPr>
        <w:t>.</w:t>
      </w:r>
    </w:p>
    <w:p w14:paraId="3A64CD40" w14:textId="0CF6CF37" w:rsidR="00814F49" w:rsidRPr="00FF4346" w:rsidRDefault="00814F49" w:rsidP="005A596E">
      <w:pPr>
        <w:pStyle w:val="Ttulo1"/>
      </w:pPr>
      <w:bookmarkStart w:id="129" w:name="_Toc166594506"/>
      <w:r w:rsidRPr="00FF4346">
        <w:t>Nota 31 – Resultado não operacional</w:t>
      </w:r>
      <w:bookmarkEnd w:id="129"/>
    </w:p>
    <w:tbl>
      <w:tblPr>
        <w:tblW w:w="9651" w:type="dxa"/>
        <w:tblLayout w:type="fixed"/>
        <w:tblCellMar>
          <w:left w:w="70" w:type="dxa"/>
          <w:right w:w="70" w:type="dxa"/>
        </w:tblCellMar>
        <w:tblLook w:val="04A0" w:firstRow="1" w:lastRow="0" w:firstColumn="1" w:lastColumn="0" w:noHBand="0" w:noVBand="1"/>
      </w:tblPr>
      <w:tblGrid>
        <w:gridCol w:w="4253"/>
        <w:gridCol w:w="1349"/>
        <w:gridCol w:w="1350"/>
        <w:gridCol w:w="1349"/>
        <w:gridCol w:w="1350"/>
      </w:tblGrid>
      <w:tr w:rsidR="00AF1746" w:rsidRPr="00A33766" w14:paraId="1600BB04" w14:textId="77777777" w:rsidTr="00996AD8">
        <w:trPr>
          <w:trHeight w:val="283"/>
        </w:trPr>
        <w:tc>
          <w:tcPr>
            <w:tcW w:w="4253" w:type="dxa"/>
            <w:vMerge w:val="restart"/>
            <w:tcBorders>
              <w:top w:val="single" w:sz="4" w:space="0" w:color="F39200"/>
              <w:left w:val="nil"/>
              <w:right w:val="nil"/>
            </w:tcBorders>
            <w:vAlign w:val="center"/>
          </w:tcPr>
          <w:p w14:paraId="1A02DDE9" w14:textId="1707B5B9" w:rsidR="00AF1746" w:rsidRDefault="00AF1746" w:rsidP="000F4C5E">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Descrição</w:t>
            </w:r>
          </w:p>
        </w:tc>
        <w:tc>
          <w:tcPr>
            <w:tcW w:w="2699" w:type="dxa"/>
            <w:gridSpan w:val="2"/>
            <w:tcBorders>
              <w:top w:val="single" w:sz="4" w:space="0" w:color="F39200"/>
              <w:left w:val="nil"/>
              <w:bottom w:val="single" w:sz="4" w:space="0" w:color="F39200"/>
              <w:right w:val="nil"/>
            </w:tcBorders>
            <w:vAlign w:val="center"/>
          </w:tcPr>
          <w:p w14:paraId="1FAF814E" w14:textId="3F3A9256" w:rsidR="00AF1746" w:rsidRPr="00FF4346" w:rsidRDefault="00AF1746" w:rsidP="00AF1746">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INDIVIDUAL</w:t>
            </w:r>
          </w:p>
        </w:tc>
        <w:tc>
          <w:tcPr>
            <w:tcW w:w="2699" w:type="dxa"/>
            <w:gridSpan w:val="2"/>
            <w:tcBorders>
              <w:top w:val="single" w:sz="4" w:space="0" w:color="F39200"/>
              <w:left w:val="nil"/>
              <w:bottom w:val="single" w:sz="4" w:space="0" w:color="F39200"/>
              <w:right w:val="nil"/>
            </w:tcBorders>
            <w:vAlign w:val="center"/>
          </w:tcPr>
          <w:p w14:paraId="76F0596F" w14:textId="366EB6F9" w:rsidR="00AF1746" w:rsidRPr="00FF4346" w:rsidRDefault="00AF1746" w:rsidP="00AF1746">
            <w:pPr>
              <w:jc w:val="cente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CONSOLIDADO</w:t>
            </w:r>
          </w:p>
        </w:tc>
      </w:tr>
      <w:tr w:rsidR="00AF1746" w:rsidRPr="00A33766" w14:paraId="313CA1DE" w14:textId="77777777" w:rsidTr="00996AD8">
        <w:trPr>
          <w:trHeight w:val="283"/>
        </w:trPr>
        <w:tc>
          <w:tcPr>
            <w:tcW w:w="4253" w:type="dxa"/>
            <w:vMerge/>
            <w:tcBorders>
              <w:left w:val="nil"/>
              <w:right w:val="nil"/>
            </w:tcBorders>
            <w:shd w:val="clear" w:color="auto" w:fill="auto"/>
            <w:vAlign w:val="center"/>
          </w:tcPr>
          <w:p w14:paraId="35135781" w14:textId="0FACC22C" w:rsidR="00AF1746" w:rsidRPr="00FF4346" w:rsidRDefault="00AF1746" w:rsidP="000F4C5E">
            <w:pPr>
              <w:jc w:val="center"/>
              <w:rPr>
                <w:rFonts w:ascii="CAIXA Std Book" w:eastAsia="Times New Roman" w:hAnsi="CAIXA Std Book" w:cs="Arial"/>
                <w:b/>
                <w:color w:val="005CA9"/>
                <w:sz w:val="18"/>
                <w:szCs w:val="18"/>
              </w:rPr>
            </w:pPr>
          </w:p>
        </w:tc>
        <w:tc>
          <w:tcPr>
            <w:tcW w:w="1349" w:type="dxa"/>
            <w:tcBorders>
              <w:top w:val="single" w:sz="4" w:space="0" w:color="F39200"/>
              <w:left w:val="nil"/>
              <w:bottom w:val="single" w:sz="4" w:space="0" w:color="F39200"/>
              <w:right w:val="nil"/>
            </w:tcBorders>
            <w:shd w:val="clear" w:color="auto" w:fill="auto"/>
            <w:vAlign w:val="center"/>
          </w:tcPr>
          <w:p w14:paraId="26CD22F1" w14:textId="18CED8A5" w:rsidR="00741B9B" w:rsidRPr="00FF4346" w:rsidRDefault="00741B9B" w:rsidP="00741B9B">
            <w:pPr>
              <w:jc w:val="center"/>
              <w:rPr>
                <w:rFonts w:ascii="CAIXA Std Book" w:hAnsi="CAIXA Std Book" w:cs="Cambria Math"/>
                <w:b/>
                <w:color w:val="005CA9"/>
                <w:sz w:val="18"/>
                <w:szCs w:val="18"/>
              </w:rPr>
            </w:pPr>
            <w:r w:rsidRPr="00FF4346">
              <w:rPr>
                <w:rFonts w:ascii="CAIXA Std Book" w:hAnsi="CAIXA Std Book" w:cs="Cambria Math"/>
                <w:b/>
                <w:color w:val="005CA9"/>
                <w:sz w:val="18"/>
                <w:szCs w:val="18"/>
              </w:rPr>
              <w:t>202</w:t>
            </w:r>
            <w:r>
              <w:rPr>
                <w:rFonts w:ascii="CAIXA Std Book" w:hAnsi="CAIXA Std Book" w:cs="Cambria Math"/>
                <w:b/>
                <w:color w:val="005CA9"/>
                <w:sz w:val="18"/>
                <w:szCs w:val="18"/>
              </w:rPr>
              <w:t>4</w:t>
            </w:r>
          </w:p>
        </w:tc>
        <w:tc>
          <w:tcPr>
            <w:tcW w:w="1350" w:type="dxa"/>
            <w:tcBorders>
              <w:top w:val="single" w:sz="4" w:space="0" w:color="F39200"/>
              <w:left w:val="nil"/>
              <w:bottom w:val="single" w:sz="4" w:space="0" w:color="F39200"/>
              <w:right w:val="nil"/>
            </w:tcBorders>
            <w:shd w:val="clear" w:color="auto" w:fill="auto"/>
            <w:vAlign w:val="center"/>
          </w:tcPr>
          <w:p w14:paraId="3B4061AB" w14:textId="10B0C8FE" w:rsidR="00AF1746" w:rsidRPr="00FF4346" w:rsidRDefault="00AF1746" w:rsidP="00AF1746">
            <w:pPr>
              <w:jc w:val="center"/>
              <w:rPr>
                <w:rFonts w:ascii="CAIXA Std Book" w:hAnsi="CAIXA Std Book" w:cs="Cambria Math"/>
                <w:b/>
                <w:color w:val="005CA9"/>
                <w:sz w:val="18"/>
                <w:szCs w:val="18"/>
              </w:rPr>
            </w:pPr>
            <w:r>
              <w:rPr>
                <w:rFonts w:ascii="CAIXA Std Book" w:hAnsi="CAIXA Std Book" w:cs="Cambria Math"/>
                <w:b/>
                <w:color w:val="005CA9"/>
                <w:sz w:val="18"/>
                <w:szCs w:val="18"/>
              </w:rPr>
              <w:t>2023</w:t>
            </w:r>
          </w:p>
        </w:tc>
        <w:tc>
          <w:tcPr>
            <w:tcW w:w="1349" w:type="dxa"/>
            <w:tcBorders>
              <w:top w:val="single" w:sz="4" w:space="0" w:color="F39200"/>
              <w:left w:val="nil"/>
              <w:bottom w:val="single" w:sz="4" w:space="0" w:color="F39200"/>
              <w:right w:val="nil"/>
            </w:tcBorders>
            <w:shd w:val="clear" w:color="auto" w:fill="auto"/>
            <w:vAlign w:val="center"/>
          </w:tcPr>
          <w:p w14:paraId="66451327" w14:textId="576B8392" w:rsidR="00AF1746" w:rsidRPr="00FF4346" w:rsidRDefault="00AF1746" w:rsidP="00AF1746">
            <w:pPr>
              <w:jc w:val="center"/>
              <w:rPr>
                <w:rFonts w:ascii="CAIXA Std Book" w:eastAsia="Times New Roman" w:hAnsi="CAIXA Std Book" w:cs="Arial"/>
                <w:b/>
                <w:color w:val="005CA9"/>
                <w:sz w:val="18"/>
                <w:szCs w:val="18"/>
              </w:rPr>
            </w:pPr>
            <w:r w:rsidRPr="00FF4346">
              <w:rPr>
                <w:rFonts w:ascii="CAIXA Std Book" w:hAnsi="CAIXA Std Book" w:cs="Cambria Math"/>
                <w:b/>
                <w:color w:val="005CA9"/>
                <w:sz w:val="18"/>
                <w:szCs w:val="18"/>
              </w:rPr>
              <w:t>202</w:t>
            </w:r>
            <w:r>
              <w:rPr>
                <w:rFonts w:ascii="CAIXA Std Book" w:hAnsi="CAIXA Std Book" w:cs="Cambria Math"/>
                <w:b/>
                <w:color w:val="005CA9"/>
                <w:sz w:val="18"/>
                <w:szCs w:val="18"/>
              </w:rPr>
              <w:t>4</w:t>
            </w:r>
          </w:p>
        </w:tc>
        <w:tc>
          <w:tcPr>
            <w:tcW w:w="1350" w:type="dxa"/>
            <w:tcBorders>
              <w:top w:val="single" w:sz="4" w:space="0" w:color="F39200"/>
              <w:left w:val="nil"/>
              <w:bottom w:val="single" w:sz="4" w:space="0" w:color="F39200"/>
              <w:right w:val="nil"/>
            </w:tcBorders>
            <w:shd w:val="clear" w:color="auto" w:fill="auto"/>
            <w:vAlign w:val="center"/>
          </w:tcPr>
          <w:p w14:paraId="56FBB3F8" w14:textId="01EABA07" w:rsidR="00AF1746" w:rsidRPr="00FF4346" w:rsidRDefault="00AF1746" w:rsidP="00AF1746">
            <w:pPr>
              <w:jc w:val="center"/>
              <w:rPr>
                <w:rFonts w:ascii="CAIXA Std Book" w:eastAsia="Times New Roman" w:hAnsi="CAIXA Std Book" w:cs="Arial"/>
                <w:b/>
                <w:color w:val="005CA9"/>
                <w:sz w:val="18"/>
                <w:szCs w:val="18"/>
              </w:rPr>
            </w:pPr>
            <w:r w:rsidRPr="00FF4346">
              <w:rPr>
                <w:rFonts w:ascii="CAIXA Std Book" w:hAnsi="CAIXA Std Book" w:cs="Cambria Math"/>
                <w:b/>
                <w:color w:val="005CA9"/>
                <w:sz w:val="18"/>
                <w:szCs w:val="18"/>
              </w:rPr>
              <w:t>2023</w:t>
            </w:r>
          </w:p>
        </w:tc>
      </w:tr>
      <w:tr w:rsidR="00AF1746" w:rsidRPr="00A33766" w14:paraId="1A60773F" w14:textId="77777777" w:rsidTr="00996AD8">
        <w:trPr>
          <w:trHeight w:val="283"/>
        </w:trPr>
        <w:tc>
          <w:tcPr>
            <w:tcW w:w="4253" w:type="dxa"/>
            <w:vMerge/>
            <w:tcBorders>
              <w:left w:val="nil"/>
              <w:bottom w:val="single" w:sz="4" w:space="0" w:color="F39200"/>
              <w:right w:val="nil"/>
            </w:tcBorders>
            <w:shd w:val="clear" w:color="auto" w:fill="auto"/>
            <w:vAlign w:val="center"/>
            <w:hideMark/>
          </w:tcPr>
          <w:p w14:paraId="7E1A95CA" w14:textId="77777777" w:rsidR="00AF1746" w:rsidRPr="00FF4346" w:rsidRDefault="00AF1746" w:rsidP="00980FE9">
            <w:pPr>
              <w:jc w:val="right"/>
              <w:rPr>
                <w:rFonts w:ascii="CAIXA Std Book" w:eastAsia="Times New Roman" w:hAnsi="CAIXA Std Book" w:cs="Arial"/>
                <w:b/>
                <w:color w:val="005CA9"/>
                <w:sz w:val="18"/>
                <w:szCs w:val="18"/>
              </w:rPr>
            </w:pPr>
          </w:p>
        </w:tc>
        <w:tc>
          <w:tcPr>
            <w:tcW w:w="1349" w:type="dxa"/>
            <w:tcBorders>
              <w:top w:val="single" w:sz="4" w:space="0" w:color="F39200"/>
              <w:left w:val="nil"/>
              <w:bottom w:val="single" w:sz="4" w:space="0" w:color="F39200"/>
              <w:right w:val="nil"/>
            </w:tcBorders>
            <w:shd w:val="clear" w:color="auto" w:fill="auto"/>
            <w:vAlign w:val="center"/>
          </w:tcPr>
          <w:p w14:paraId="5CF165E9" w14:textId="0D35C676" w:rsidR="00AF1746" w:rsidRPr="00FF4346" w:rsidRDefault="00AF1746" w:rsidP="00AF1746">
            <w:pPr>
              <w:jc w:val="center"/>
              <w:rPr>
                <w:rFonts w:ascii="CAIXA Std Book" w:eastAsia="Times New Roman" w:hAnsi="CAIXA Std Book" w:cs="Arial"/>
                <w:b/>
                <w:color w:val="005CA9"/>
                <w:sz w:val="18"/>
                <w:szCs w:val="18"/>
              </w:rPr>
            </w:pPr>
            <w:r w:rsidRPr="00FF4346">
              <w:rPr>
                <w:rFonts w:ascii="CAIXA Std Book" w:hAnsi="CAIXA Std Book" w:cs="Symbol"/>
                <w:b/>
                <w:color w:val="005CA9"/>
                <w:sz w:val="18"/>
                <w:szCs w:val="18"/>
              </w:rPr>
              <w:t>1º trimestre</w:t>
            </w:r>
          </w:p>
        </w:tc>
        <w:tc>
          <w:tcPr>
            <w:tcW w:w="1350" w:type="dxa"/>
            <w:tcBorders>
              <w:top w:val="single" w:sz="4" w:space="0" w:color="F39200"/>
              <w:left w:val="nil"/>
              <w:bottom w:val="single" w:sz="4" w:space="0" w:color="F39200"/>
              <w:right w:val="nil"/>
            </w:tcBorders>
            <w:vAlign w:val="center"/>
          </w:tcPr>
          <w:p w14:paraId="2A442008" w14:textId="4751EC65" w:rsidR="00AF1746" w:rsidRPr="00FF4346" w:rsidRDefault="00AF1746" w:rsidP="00AF1746">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c>
          <w:tcPr>
            <w:tcW w:w="1349" w:type="dxa"/>
            <w:tcBorders>
              <w:top w:val="single" w:sz="4" w:space="0" w:color="F39200"/>
              <w:left w:val="nil"/>
              <w:bottom w:val="single" w:sz="4" w:space="0" w:color="F39200"/>
              <w:right w:val="nil"/>
            </w:tcBorders>
            <w:vAlign w:val="center"/>
          </w:tcPr>
          <w:p w14:paraId="404B93BD" w14:textId="2A8CC7B8" w:rsidR="00AF1746" w:rsidRPr="00FF4346" w:rsidRDefault="00AF1746" w:rsidP="00AF1746">
            <w:pPr>
              <w:jc w:val="center"/>
              <w:rPr>
                <w:rFonts w:ascii="CAIXA Std Book" w:eastAsia="Times New Roman" w:hAnsi="CAIXA Std Book" w:cs="Arial"/>
                <w:b/>
                <w:color w:val="005CA9"/>
                <w:sz w:val="18"/>
                <w:szCs w:val="18"/>
              </w:rPr>
            </w:pPr>
            <w:r w:rsidRPr="00FF4346">
              <w:rPr>
                <w:rFonts w:ascii="CAIXA Std Book" w:hAnsi="CAIXA Std Book" w:cs="Symbol"/>
                <w:b/>
                <w:color w:val="005CA9"/>
                <w:sz w:val="18"/>
                <w:szCs w:val="18"/>
              </w:rPr>
              <w:t>1º trimestre</w:t>
            </w:r>
          </w:p>
        </w:tc>
        <w:tc>
          <w:tcPr>
            <w:tcW w:w="1350" w:type="dxa"/>
            <w:tcBorders>
              <w:top w:val="single" w:sz="4" w:space="0" w:color="F39200"/>
              <w:left w:val="nil"/>
              <w:bottom w:val="single" w:sz="4" w:space="0" w:color="F39200"/>
              <w:right w:val="nil"/>
            </w:tcBorders>
            <w:vAlign w:val="center"/>
          </w:tcPr>
          <w:p w14:paraId="0B8DF19C" w14:textId="44B13B87" w:rsidR="00AF1746" w:rsidRPr="00FF4346" w:rsidRDefault="00AF1746" w:rsidP="00AF1746">
            <w:pPr>
              <w:jc w:val="center"/>
              <w:rPr>
                <w:rFonts w:ascii="CAIXA Std Book" w:eastAsia="Times New Roman" w:hAnsi="CAIXA Std Book" w:cs="Arial"/>
                <w:b/>
                <w:bCs/>
                <w:color w:val="005CA9"/>
                <w:sz w:val="18"/>
                <w:szCs w:val="18"/>
              </w:rPr>
            </w:pPr>
            <w:r w:rsidRPr="00FF4346">
              <w:rPr>
                <w:rFonts w:ascii="CAIXA Std Book" w:hAnsi="CAIXA Std Book" w:cs="Symbol"/>
                <w:b/>
                <w:color w:val="005CA9"/>
                <w:sz w:val="18"/>
                <w:szCs w:val="18"/>
              </w:rPr>
              <w:t>1º trimestre</w:t>
            </w:r>
          </w:p>
        </w:tc>
      </w:tr>
      <w:tr w:rsidR="003067DA" w:rsidRPr="00A33766" w14:paraId="687134B0" w14:textId="77777777" w:rsidTr="007E1A29">
        <w:trPr>
          <w:trHeight w:val="283"/>
        </w:trPr>
        <w:tc>
          <w:tcPr>
            <w:tcW w:w="4253" w:type="dxa"/>
            <w:tcBorders>
              <w:top w:val="single" w:sz="4" w:space="0" w:color="F39200"/>
              <w:left w:val="nil"/>
              <w:bottom w:val="nil"/>
              <w:right w:val="nil"/>
            </w:tcBorders>
            <w:shd w:val="clear" w:color="auto" w:fill="auto"/>
            <w:vAlign w:val="center"/>
            <w:hideMark/>
          </w:tcPr>
          <w:p w14:paraId="01CB6A75" w14:textId="16DA81AF" w:rsidR="003067DA" w:rsidRPr="00FF4346" w:rsidRDefault="003067DA" w:rsidP="003067DA">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Resultado na alienação e baixa de invest. e ativos não financeiros mantidos para venda</w:t>
            </w:r>
          </w:p>
        </w:tc>
        <w:tc>
          <w:tcPr>
            <w:tcW w:w="1349" w:type="dxa"/>
            <w:tcBorders>
              <w:top w:val="single" w:sz="4" w:space="0" w:color="F39200"/>
              <w:left w:val="nil"/>
              <w:bottom w:val="nil"/>
              <w:right w:val="nil"/>
            </w:tcBorders>
            <w:shd w:val="clear" w:color="auto" w:fill="auto"/>
            <w:vAlign w:val="center"/>
          </w:tcPr>
          <w:p w14:paraId="73BFB150" w14:textId="2B34FBC1" w:rsidR="003067DA" w:rsidRPr="00FF4346" w:rsidRDefault="00883110" w:rsidP="00883110">
            <w:pPr>
              <w:jc w:val="right"/>
              <w:rPr>
                <w:rFonts w:ascii="CAIXA Std Book" w:eastAsia="Times New Roman" w:hAnsi="CAIXA Std Book" w:cs="Arial"/>
                <w:color w:val="005CA9"/>
                <w:sz w:val="18"/>
                <w:szCs w:val="18"/>
              </w:rPr>
            </w:pPr>
            <w:r>
              <w:rPr>
                <w:rFonts w:ascii="CAIXA Std Book" w:hAnsi="CAIXA Std Book" w:cs="Arial"/>
                <w:color w:val="005CA9"/>
                <w:sz w:val="18"/>
                <w:szCs w:val="18"/>
              </w:rPr>
              <w:t>85.242</w:t>
            </w:r>
          </w:p>
        </w:tc>
        <w:tc>
          <w:tcPr>
            <w:tcW w:w="1350" w:type="dxa"/>
            <w:tcBorders>
              <w:top w:val="single" w:sz="4" w:space="0" w:color="F39200"/>
              <w:left w:val="nil"/>
              <w:bottom w:val="nil"/>
              <w:right w:val="nil"/>
            </w:tcBorders>
            <w:vAlign w:val="center"/>
          </w:tcPr>
          <w:p w14:paraId="443B4D8F" w14:textId="2AAAF029" w:rsidR="003067DA" w:rsidRPr="00FF4346" w:rsidRDefault="00CF4E9E"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(54.882)</w:t>
            </w:r>
          </w:p>
        </w:tc>
        <w:tc>
          <w:tcPr>
            <w:tcW w:w="1349" w:type="dxa"/>
            <w:tcBorders>
              <w:top w:val="single" w:sz="4" w:space="0" w:color="F39200"/>
              <w:left w:val="nil"/>
              <w:bottom w:val="nil"/>
              <w:right w:val="nil"/>
            </w:tcBorders>
            <w:vAlign w:val="center"/>
          </w:tcPr>
          <w:p w14:paraId="5096D28E" w14:textId="01588B74" w:rsidR="003E1395" w:rsidRPr="00FF4346" w:rsidRDefault="00187898"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85.242</w:t>
            </w:r>
          </w:p>
        </w:tc>
        <w:tc>
          <w:tcPr>
            <w:tcW w:w="1350" w:type="dxa"/>
            <w:tcBorders>
              <w:top w:val="single" w:sz="4" w:space="0" w:color="F39200"/>
              <w:left w:val="nil"/>
              <w:bottom w:val="nil"/>
              <w:right w:val="nil"/>
            </w:tcBorders>
            <w:vAlign w:val="center"/>
          </w:tcPr>
          <w:p w14:paraId="72F5DF2A" w14:textId="3CEA9777" w:rsidR="003067DA" w:rsidRPr="00FF4346" w:rsidRDefault="00962EB4"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(54.882)</w:t>
            </w:r>
          </w:p>
        </w:tc>
      </w:tr>
      <w:tr w:rsidR="003067DA" w:rsidRPr="00A33766" w14:paraId="682A29A0" w14:textId="77777777" w:rsidTr="007E1A29">
        <w:trPr>
          <w:trHeight w:val="283"/>
        </w:trPr>
        <w:tc>
          <w:tcPr>
            <w:tcW w:w="4253" w:type="dxa"/>
            <w:tcBorders>
              <w:top w:val="nil"/>
              <w:left w:val="nil"/>
              <w:bottom w:val="nil"/>
              <w:right w:val="nil"/>
            </w:tcBorders>
            <w:shd w:val="clear" w:color="auto" w:fill="auto"/>
            <w:vAlign w:val="center"/>
            <w:hideMark/>
          </w:tcPr>
          <w:p w14:paraId="59FF2D6F" w14:textId="71CACC71" w:rsidR="003067DA" w:rsidRPr="00FF4346" w:rsidRDefault="003067DA" w:rsidP="003067DA">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Constituição/Reversão de provisões</w:t>
            </w:r>
            <w:r w:rsidR="000E7CAE">
              <w:rPr>
                <w:rFonts w:ascii="CAIXA Std Book" w:eastAsia="Times New Roman" w:hAnsi="CAIXA Std Book" w:cs="Arial"/>
                <w:color w:val="005CA9"/>
                <w:sz w:val="18"/>
                <w:szCs w:val="18"/>
              </w:rPr>
              <w:t xml:space="preserve"> (1)</w:t>
            </w:r>
          </w:p>
        </w:tc>
        <w:tc>
          <w:tcPr>
            <w:tcW w:w="1349" w:type="dxa"/>
            <w:tcBorders>
              <w:top w:val="nil"/>
              <w:left w:val="nil"/>
              <w:bottom w:val="nil"/>
              <w:right w:val="nil"/>
            </w:tcBorders>
            <w:shd w:val="clear" w:color="auto" w:fill="auto"/>
            <w:noWrap/>
            <w:vAlign w:val="center"/>
          </w:tcPr>
          <w:p w14:paraId="2D7EF1F0" w14:textId="0EC17E29" w:rsidR="003067DA" w:rsidRPr="00FF4346" w:rsidRDefault="00883110" w:rsidP="00883110">
            <w:pPr>
              <w:jc w:val="right"/>
              <w:rPr>
                <w:rFonts w:ascii="CAIXA Std Book" w:eastAsia="Times New Roman" w:hAnsi="CAIXA Std Book" w:cs="Arial"/>
                <w:color w:val="005CA9"/>
                <w:sz w:val="18"/>
                <w:szCs w:val="18"/>
              </w:rPr>
            </w:pPr>
            <w:r>
              <w:rPr>
                <w:rFonts w:ascii="CAIXA Std Book" w:hAnsi="CAIXA Std Book" w:cs="Arial"/>
                <w:color w:val="005CA9"/>
                <w:sz w:val="18"/>
                <w:szCs w:val="18"/>
              </w:rPr>
              <w:t>(120.300)</w:t>
            </w:r>
          </w:p>
        </w:tc>
        <w:tc>
          <w:tcPr>
            <w:tcW w:w="1350" w:type="dxa"/>
            <w:tcBorders>
              <w:top w:val="nil"/>
              <w:left w:val="nil"/>
              <w:bottom w:val="nil"/>
              <w:right w:val="nil"/>
            </w:tcBorders>
            <w:vAlign w:val="center"/>
          </w:tcPr>
          <w:p w14:paraId="07778F9B" w14:textId="62392748" w:rsidR="003067DA" w:rsidRPr="00FF4346" w:rsidRDefault="00CF4E9E"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11.</w:t>
            </w:r>
            <w:r w:rsidR="007E1A29" w:rsidRPr="007E1A29">
              <w:rPr>
                <w:rFonts w:ascii="CAIXA Std Book" w:hAnsi="CAIXA Std Book" w:cs="Arial"/>
                <w:color w:val="005CA9"/>
                <w:sz w:val="18"/>
                <w:szCs w:val="18"/>
              </w:rPr>
              <w:t>408</w:t>
            </w:r>
          </w:p>
        </w:tc>
        <w:tc>
          <w:tcPr>
            <w:tcW w:w="1349" w:type="dxa"/>
            <w:tcBorders>
              <w:top w:val="nil"/>
              <w:left w:val="nil"/>
              <w:bottom w:val="nil"/>
              <w:right w:val="nil"/>
            </w:tcBorders>
            <w:vAlign w:val="center"/>
          </w:tcPr>
          <w:p w14:paraId="186CA6E8" w14:textId="545876FB" w:rsidR="003E1395" w:rsidRPr="00FF4346" w:rsidRDefault="00187898"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(120.300)</w:t>
            </w:r>
          </w:p>
        </w:tc>
        <w:tc>
          <w:tcPr>
            <w:tcW w:w="1350" w:type="dxa"/>
            <w:tcBorders>
              <w:top w:val="nil"/>
              <w:left w:val="nil"/>
              <w:bottom w:val="nil"/>
              <w:right w:val="nil"/>
            </w:tcBorders>
            <w:vAlign w:val="center"/>
          </w:tcPr>
          <w:p w14:paraId="2F64FFBF" w14:textId="6676524B" w:rsidR="003067DA" w:rsidRPr="00FF4346" w:rsidRDefault="00962EB4"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11.</w:t>
            </w:r>
            <w:r w:rsidR="007E1A29" w:rsidRPr="007E1A29">
              <w:rPr>
                <w:rFonts w:ascii="CAIXA Std Book" w:hAnsi="CAIXA Std Book" w:cs="Arial"/>
                <w:color w:val="005CA9"/>
                <w:sz w:val="18"/>
                <w:szCs w:val="18"/>
              </w:rPr>
              <w:t>408</w:t>
            </w:r>
          </w:p>
        </w:tc>
      </w:tr>
      <w:tr w:rsidR="004F1CC2" w:rsidRPr="00A33766" w14:paraId="1AF6B615" w14:textId="77777777" w:rsidTr="007E1A29">
        <w:trPr>
          <w:trHeight w:val="283"/>
        </w:trPr>
        <w:tc>
          <w:tcPr>
            <w:tcW w:w="4253" w:type="dxa"/>
            <w:tcBorders>
              <w:top w:val="nil"/>
              <w:left w:val="nil"/>
              <w:bottom w:val="nil"/>
              <w:right w:val="nil"/>
            </w:tcBorders>
            <w:shd w:val="clear" w:color="auto" w:fill="auto"/>
            <w:vAlign w:val="center"/>
          </w:tcPr>
          <w:p w14:paraId="7A4EB5B1" w14:textId="2BE4B58F" w:rsidR="004F1CC2" w:rsidRPr="00FF4346" w:rsidRDefault="000067F1" w:rsidP="004F1CC2">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G</w:t>
            </w:r>
            <w:r w:rsidR="004F1CC2" w:rsidRPr="00FF4346">
              <w:rPr>
                <w:rFonts w:ascii="CAIXA Std Book" w:eastAsia="Times New Roman" w:hAnsi="CAIXA Std Book" w:cs="Arial"/>
                <w:color w:val="005CA9"/>
                <w:sz w:val="18"/>
                <w:szCs w:val="18"/>
              </w:rPr>
              <w:t>anhos</w:t>
            </w:r>
            <w:r w:rsidR="00E53C80" w:rsidRPr="00FF4346">
              <w:rPr>
                <w:rFonts w:ascii="CAIXA Std Book" w:eastAsia="Times New Roman" w:hAnsi="CAIXA Std Book" w:cs="Arial"/>
                <w:color w:val="005CA9"/>
                <w:sz w:val="18"/>
                <w:szCs w:val="18"/>
              </w:rPr>
              <w:t xml:space="preserve"> e</w:t>
            </w:r>
            <w:r w:rsidR="004F1CC2" w:rsidRPr="00FF4346">
              <w:rPr>
                <w:rFonts w:ascii="CAIXA Std Book" w:eastAsia="Times New Roman" w:hAnsi="CAIXA Std Book" w:cs="Arial"/>
                <w:color w:val="005CA9"/>
                <w:sz w:val="18"/>
                <w:szCs w:val="18"/>
              </w:rPr>
              <w:t xml:space="preserve"> </w:t>
            </w:r>
            <w:r w:rsidR="004064CC" w:rsidRPr="00FF4346">
              <w:rPr>
                <w:rFonts w:ascii="CAIXA Std Book" w:eastAsia="Times New Roman" w:hAnsi="CAIXA Std Book" w:cs="Arial"/>
                <w:color w:val="005CA9"/>
                <w:sz w:val="18"/>
                <w:szCs w:val="18"/>
              </w:rPr>
              <w:t>p</w:t>
            </w:r>
            <w:r w:rsidR="004F1CC2" w:rsidRPr="00FF4346">
              <w:rPr>
                <w:rFonts w:ascii="CAIXA Std Book" w:eastAsia="Times New Roman" w:hAnsi="CAIXA Std Book" w:cs="Arial"/>
                <w:color w:val="005CA9"/>
                <w:sz w:val="18"/>
                <w:szCs w:val="18"/>
              </w:rPr>
              <w:t>erdas</w:t>
            </w:r>
            <w:r w:rsidR="00B836E3" w:rsidRPr="00FF4346">
              <w:rPr>
                <w:rFonts w:ascii="CAIXA Std Book" w:eastAsia="Times New Roman" w:hAnsi="CAIXA Std Book" w:cs="Arial"/>
                <w:color w:val="005CA9"/>
                <w:sz w:val="18"/>
                <w:szCs w:val="18"/>
              </w:rPr>
              <w:t xml:space="preserve"> de capital (</w:t>
            </w:r>
            <w:r w:rsidR="000E7CAE">
              <w:rPr>
                <w:rFonts w:ascii="CAIXA Std Book" w:eastAsia="Times New Roman" w:hAnsi="CAIXA Std Book" w:cs="Arial"/>
                <w:color w:val="005CA9"/>
                <w:sz w:val="18"/>
                <w:szCs w:val="18"/>
              </w:rPr>
              <w:t>2</w:t>
            </w:r>
            <w:r w:rsidR="00B836E3" w:rsidRPr="00FF4346">
              <w:rPr>
                <w:rFonts w:ascii="CAIXA Std Book" w:eastAsia="Times New Roman" w:hAnsi="CAIXA Std Book" w:cs="Arial"/>
                <w:color w:val="005CA9"/>
                <w:sz w:val="18"/>
                <w:szCs w:val="18"/>
              </w:rPr>
              <w:t>)</w:t>
            </w:r>
          </w:p>
        </w:tc>
        <w:tc>
          <w:tcPr>
            <w:tcW w:w="1349" w:type="dxa"/>
            <w:tcBorders>
              <w:top w:val="nil"/>
              <w:left w:val="nil"/>
              <w:bottom w:val="nil"/>
              <w:right w:val="nil"/>
            </w:tcBorders>
            <w:shd w:val="clear" w:color="auto" w:fill="auto"/>
            <w:noWrap/>
            <w:vAlign w:val="center"/>
          </w:tcPr>
          <w:p w14:paraId="389D4661" w14:textId="25167FBE" w:rsidR="004F1CC2" w:rsidRPr="00FF4346" w:rsidRDefault="00883110" w:rsidP="00883110">
            <w:pPr>
              <w:jc w:val="right"/>
              <w:rPr>
                <w:rFonts w:ascii="CAIXA Std Book" w:eastAsia="Times New Roman" w:hAnsi="CAIXA Std Book" w:cs="Arial"/>
                <w:color w:val="005CA9"/>
                <w:sz w:val="18"/>
                <w:szCs w:val="18"/>
              </w:rPr>
            </w:pPr>
            <w:r>
              <w:rPr>
                <w:rFonts w:ascii="CAIXA Std Book" w:hAnsi="CAIXA Std Book" w:cs="Arial"/>
                <w:color w:val="005CA9"/>
                <w:sz w:val="18"/>
                <w:szCs w:val="18"/>
              </w:rPr>
              <w:t>238.913</w:t>
            </w:r>
          </w:p>
        </w:tc>
        <w:tc>
          <w:tcPr>
            <w:tcW w:w="1350" w:type="dxa"/>
            <w:tcBorders>
              <w:top w:val="nil"/>
              <w:left w:val="nil"/>
              <w:bottom w:val="nil"/>
              <w:right w:val="nil"/>
            </w:tcBorders>
            <w:vAlign w:val="center"/>
          </w:tcPr>
          <w:p w14:paraId="04A1D37B" w14:textId="6B2F691F" w:rsidR="004F1CC2" w:rsidRPr="00FF4346" w:rsidRDefault="00CF4E9E"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(10.265)</w:t>
            </w:r>
          </w:p>
        </w:tc>
        <w:tc>
          <w:tcPr>
            <w:tcW w:w="1349" w:type="dxa"/>
            <w:tcBorders>
              <w:top w:val="nil"/>
              <w:left w:val="nil"/>
              <w:bottom w:val="nil"/>
              <w:right w:val="nil"/>
            </w:tcBorders>
            <w:vAlign w:val="center"/>
          </w:tcPr>
          <w:p w14:paraId="3654205B" w14:textId="0E3CEEFC" w:rsidR="003E1395" w:rsidRPr="00FF4346" w:rsidRDefault="00187898"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238.913</w:t>
            </w:r>
          </w:p>
        </w:tc>
        <w:tc>
          <w:tcPr>
            <w:tcW w:w="1350" w:type="dxa"/>
            <w:tcBorders>
              <w:top w:val="nil"/>
              <w:left w:val="nil"/>
              <w:bottom w:val="nil"/>
              <w:right w:val="nil"/>
            </w:tcBorders>
            <w:vAlign w:val="center"/>
          </w:tcPr>
          <w:p w14:paraId="4F3AB9CC" w14:textId="52A8EE72" w:rsidR="004F1CC2" w:rsidRPr="00FF4346" w:rsidRDefault="00962EB4"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(10.265)</w:t>
            </w:r>
          </w:p>
        </w:tc>
      </w:tr>
      <w:tr w:rsidR="00FD5442" w:rsidRPr="00A33766" w14:paraId="00DAFC1B" w14:textId="77777777" w:rsidTr="007E1A29">
        <w:trPr>
          <w:trHeight w:val="283"/>
        </w:trPr>
        <w:tc>
          <w:tcPr>
            <w:tcW w:w="4253" w:type="dxa"/>
            <w:tcBorders>
              <w:top w:val="nil"/>
              <w:left w:val="nil"/>
              <w:bottom w:val="nil"/>
              <w:right w:val="nil"/>
            </w:tcBorders>
            <w:shd w:val="clear" w:color="auto" w:fill="auto"/>
            <w:vAlign w:val="center"/>
          </w:tcPr>
          <w:p w14:paraId="622F80E5" w14:textId="35372E09" w:rsidR="00FD5442" w:rsidRPr="00FF4346" w:rsidRDefault="00FD5442" w:rsidP="00FD5442">
            <w:pPr>
              <w:rPr>
                <w:rFonts w:ascii="CAIXA Std Book" w:eastAsia="Times New Roman" w:hAnsi="CAIXA Std Book" w:cs="Arial"/>
                <w:color w:val="005CA9"/>
                <w:sz w:val="18"/>
                <w:szCs w:val="18"/>
              </w:rPr>
            </w:pPr>
            <w:proofErr w:type="spellStart"/>
            <w:r w:rsidRPr="00FD5442">
              <w:rPr>
                <w:rFonts w:ascii="CAIXA Std Book" w:eastAsia="Times New Roman" w:hAnsi="CAIXA Std Book" w:cs="Arial"/>
                <w:color w:val="005CA9"/>
                <w:sz w:val="18"/>
                <w:szCs w:val="18"/>
              </w:rPr>
              <w:t>Remensurações</w:t>
            </w:r>
            <w:proofErr w:type="spellEnd"/>
            <w:r w:rsidRPr="00FD5442">
              <w:rPr>
                <w:rFonts w:ascii="CAIXA Std Book" w:eastAsia="Times New Roman" w:hAnsi="CAIXA Std Book" w:cs="Arial"/>
                <w:color w:val="005CA9"/>
                <w:sz w:val="18"/>
                <w:szCs w:val="18"/>
              </w:rPr>
              <w:t xml:space="preserve"> ao valor justo - participações</w:t>
            </w:r>
          </w:p>
        </w:tc>
        <w:tc>
          <w:tcPr>
            <w:tcW w:w="1349" w:type="dxa"/>
            <w:tcBorders>
              <w:top w:val="nil"/>
              <w:left w:val="nil"/>
              <w:bottom w:val="nil"/>
              <w:right w:val="nil"/>
            </w:tcBorders>
            <w:shd w:val="clear" w:color="auto" w:fill="auto"/>
            <w:noWrap/>
            <w:vAlign w:val="center"/>
          </w:tcPr>
          <w:p w14:paraId="5370B5F8" w14:textId="519A1628" w:rsidR="00FD5442" w:rsidRPr="00FF4346" w:rsidRDefault="00883110" w:rsidP="0068404E">
            <w:pPr>
              <w:jc w:val="center"/>
              <w:rPr>
                <w:rFonts w:ascii="CAIXA Std Book" w:eastAsia="Times New Roman" w:hAnsi="CAIXA Std Book" w:cs="Arial"/>
                <w:color w:val="005CA9"/>
                <w:sz w:val="18"/>
                <w:szCs w:val="18"/>
              </w:rPr>
            </w:pPr>
            <w:r w:rsidRPr="00883110">
              <w:rPr>
                <w:rFonts w:ascii="CAIXA Std Book" w:eastAsia="Times New Roman" w:hAnsi="CAIXA Std Book" w:cs="Arial"/>
                <w:color w:val="005CA9"/>
                <w:sz w:val="18"/>
                <w:szCs w:val="18"/>
              </w:rPr>
              <w:t>-</w:t>
            </w:r>
          </w:p>
        </w:tc>
        <w:tc>
          <w:tcPr>
            <w:tcW w:w="1350" w:type="dxa"/>
            <w:tcBorders>
              <w:top w:val="nil"/>
              <w:left w:val="nil"/>
              <w:bottom w:val="nil"/>
              <w:right w:val="nil"/>
            </w:tcBorders>
            <w:vAlign w:val="center"/>
          </w:tcPr>
          <w:p w14:paraId="2601D0B3" w14:textId="1F50E595" w:rsidR="00FD5442" w:rsidRPr="00FF4346" w:rsidRDefault="00CF4E9E" w:rsidP="0068404E">
            <w:pPr>
              <w:jc w:val="center"/>
              <w:rPr>
                <w:rFonts w:ascii="CAIXA Std Book" w:eastAsia="Times New Roman" w:hAnsi="CAIXA Std Book" w:cs="Arial"/>
                <w:color w:val="005CA9"/>
                <w:sz w:val="18"/>
                <w:szCs w:val="18"/>
              </w:rPr>
            </w:pPr>
            <w:r w:rsidRPr="00962EB4">
              <w:rPr>
                <w:rFonts w:ascii="CAIXA Std Book" w:eastAsia="Times New Roman" w:hAnsi="CAIXA Std Book" w:cs="Arial"/>
                <w:color w:val="005CA9"/>
                <w:sz w:val="18"/>
                <w:szCs w:val="18"/>
              </w:rPr>
              <w:t>-</w:t>
            </w:r>
          </w:p>
        </w:tc>
        <w:tc>
          <w:tcPr>
            <w:tcW w:w="1349" w:type="dxa"/>
            <w:tcBorders>
              <w:top w:val="nil"/>
              <w:left w:val="nil"/>
              <w:bottom w:val="nil"/>
              <w:right w:val="nil"/>
            </w:tcBorders>
            <w:vAlign w:val="center"/>
          </w:tcPr>
          <w:p w14:paraId="2EB02231" w14:textId="1827F083" w:rsidR="00FD5442" w:rsidRPr="00FF4346" w:rsidRDefault="00187898" w:rsidP="00187898">
            <w:pPr>
              <w:jc w:val="center"/>
              <w:rPr>
                <w:rFonts w:ascii="CAIXA Std Book" w:eastAsia="Times New Roman" w:hAnsi="CAIXA Std Book" w:cs="Arial"/>
                <w:color w:val="005CA9"/>
                <w:sz w:val="18"/>
                <w:szCs w:val="18"/>
              </w:rPr>
            </w:pPr>
            <w:r>
              <w:rPr>
                <w:rFonts w:ascii="CAIXA Std Book" w:hAnsi="CAIXA Std Book" w:cs="Arial"/>
                <w:color w:val="005CA9"/>
                <w:sz w:val="18"/>
                <w:szCs w:val="18"/>
              </w:rPr>
              <w:t>-</w:t>
            </w:r>
          </w:p>
        </w:tc>
        <w:tc>
          <w:tcPr>
            <w:tcW w:w="1350" w:type="dxa"/>
            <w:tcBorders>
              <w:top w:val="nil"/>
              <w:left w:val="nil"/>
              <w:bottom w:val="nil"/>
              <w:right w:val="nil"/>
            </w:tcBorders>
            <w:vAlign w:val="center"/>
          </w:tcPr>
          <w:p w14:paraId="361C905C" w14:textId="454B369B" w:rsidR="00FD5442" w:rsidRPr="00FF4346" w:rsidRDefault="00962EB4"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30.680</w:t>
            </w:r>
          </w:p>
        </w:tc>
      </w:tr>
      <w:tr w:rsidR="003067DA" w:rsidRPr="00A33766" w14:paraId="2EEF735C" w14:textId="77777777" w:rsidTr="007E1A29">
        <w:trPr>
          <w:trHeight w:val="283"/>
        </w:trPr>
        <w:tc>
          <w:tcPr>
            <w:tcW w:w="4253" w:type="dxa"/>
            <w:tcBorders>
              <w:top w:val="nil"/>
              <w:left w:val="nil"/>
              <w:bottom w:val="single" w:sz="4" w:space="0" w:color="F39200"/>
              <w:right w:val="nil"/>
            </w:tcBorders>
            <w:shd w:val="clear" w:color="auto" w:fill="auto"/>
            <w:vAlign w:val="center"/>
            <w:hideMark/>
          </w:tcPr>
          <w:p w14:paraId="30AABD55" w14:textId="7D169985" w:rsidR="003067DA" w:rsidRPr="00FF4346" w:rsidRDefault="003067DA" w:rsidP="003067DA">
            <w:pPr>
              <w:rPr>
                <w:rFonts w:ascii="CAIXA Std Book" w:eastAsia="Times New Roman" w:hAnsi="CAIXA Std Book" w:cs="Arial"/>
                <w:color w:val="005CA9"/>
                <w:sz w:val="18"/>
                <w:szCs w:val="18"/>
              </w:rPr>
            </w:pPr>
            <w:r w:rsidRPr="00FF4346">
              <w:rPr>
                <w:rFonts w:ascii="CAIXA Std Book" w:eastAsia="Times New Roman" w:hAnsi="CAIXA Std Book" w:cs="Arial"/>
                <w:color w:val="005CA9"/>
                <w:sz w:val="18"/>
                <w:szCs w:val="18"/>
              </w:rPr>
              <w:t>Outros</w:t>
            </w:r>
          </w:p>
        </w:tc>
        <w:tc>
          <w:tcPr>
            <w:tcW w:w="1349" w:type="dxa"/>
            <w:tcBorders>
              <w:top w:val="nil"/>
              <w:left w:val="nil"/>
              <w:bottom w:val="single" w:sz="4" w:space="0" w:color="F39200"/>
              <w:right w:val="nil"/>
            </w:tcBorders>
            <w:shd w:val="clear" w:color="auto" w:fill="auto"/>
            <w:noWrap/>
            <w:vAlign w:val="center"/>
          </w:tcPr>
          <w:p w14:paraId="212E2DBD" w14:textId="717AC2C7" w:rsidR="003067DA" w:rsidRPr="00FF4346" w:rsidRDefault="00883110" w:rsidP="00883110">
            <w:pPr>
              <w:jc w:val="right"/>
              <w:rPr>
                <w:rFonts w:ascii="CAIXA Std Book" w:eastAsia="Times New Roman" w:hAnsi="CAIXA Std Book" w:cs="Arial"/>
                <w:color w:val="005CA9"/>
                <w:sz w:val="18"/>
                <w:szCs w:val="18"/>
              </w:rPr>
            </w:pPr>
            <w:r>
              <w:rPr>
                <w:rFonts w:ascii="CAIXA Std Book" w:hAnsi="CAIXA Std Book" w:cs="Arial"/>
                <w:color w:val="005CA9"/>
                <w:sz w:val="18"/>
                <w:szCs w:val="18"/>
              </w:rPr>
              <w:t>(80.082)</w:t>
            </w:r>
          </w:p>
        </w:tc>
        <w:tc>
          <w:tcPr>
            <w:tcW w:w="1350" w:type="dxa"/>
            <w:tcBorders>
              <w:top w:val="nil"/>
              <w:left w:val="nil"/>
              <w:bottom w:val="single" w:sz="4" w:space="0" w:color="F39200"/>
              <w:right w:val="nil"/>
            </w:tcBorders>
            <w:vAlign w:val="center"/>
          </w:tcPr>
          <w:p w14:paraId="1BADEAC1" w14:textId="5473C1FE" w:rsidR="003067DA" w:rsidRPr="00FF4346" w:rsidRDefault="00CF4E9E"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(33.</w:t>
            </w:r>
            <w:r w:rsidR="007E1A29" w:rsidRPr="007E1A29">
              <w:rPr>
                <w:rFonts w:ascii="CAIXA Std Book" w:hAnsi="CAIXA Std Book" w:cs="Arial"/>
                <w:color w:val="005CA9"/>
                <w:sz w:val="18"/>
                <w:szCs w:val="18"/>
              </w:rPr>
              <w:t>197</w:t>
            </w:r>
            <w:r>
              <w:rPr>
                <w:rFonts w:ascii="CAIXA Std Book" w:hAnsi="CAIXA Std Book" w:cs="Arial"/>
                <w:color w:val="005CA9"/>
                <w:sz w:val="18"/>
                <w:szCs w:val="18"/>
              </w:rPr>
              <w:t>)</w:t>
            </w:r>
          </w:p>
        </w:tc>
        <w:tc>
          <w:tcPr>
            <w:tcW w:w="1349" w:type="dxa"/>
            <w:tcBorders>
              <w:top w:val="nil"/>
              <w:left w:val="nil"/>
              <w:bottom w:val="single" w:sz="4" w:space="0" w:color="F39200"/>
              <w:right w:val="nil"/>
            </w:tcBorders>
            <w:vAlign w:val="center"/>
          </w:tcPr>
          <w:p w14:paraId="5914B319" w14:textId="4E1A4E70" w:rsidR="003E1395" w:rsidRPr="00FF4346" w:rsidRDefault="00187898"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(80.082)</w:t>
            </w:r>
          </w:p>
        </w:tc>
        <w:tc>
          <w:tcPr>
            <w:tcW w:w="1350" w:type="dxa"/>
            <w:tcBorders>
              <w:top w:val="nil"/>
              <w:left w:val="nil"/>
              <w:bottom w:val="single" w:sz="4" w:space="0" w:color="F39200"/>
              <w:right w:val="nil"/>
            </w:tcBorders>
            <w:vAlign w:val="center"/>
          </w:tcPr>
          <w:p w14:paraId="37BA2D63" w14:textId="4FE2273D" w:rsidR="003067DA" w:rsidRPr="00FF4346" w:rsidRDefault="00962EB4" w:rsidP="00AF1746">
            <w:pPr>
              <w:jc w:val="right"/>
              <w:rPr>
                <w:rFonts w:ascii="CAIXA Std Book" w:eastAsia="Times New Roman" w:hAnsi="CAIXA Std Book" w:cs="Arial"/>
                <w:color w:val="005CA9"/>
                <w:sz w:val="18"/>
                <w:szCs w:val="18"/>
              </w:rPr>
            </w:pPr>
            <w:r>
              <w:rPr>
                <w:rFonts w:ascii="CAIXA Std Book" w:hAnsi="CAIXA Std Book" w:cs="Arial"/>
                <w:color w:val="005CA9"/>
                <w:sz w:val="18"/>
                <w:szCs w:val="18"/>
              </w:rPr>
              <w:t>(33.</w:t>
            </w:r>
            <w:r w:rsidR="007E1A29" w:rsidRPr="007E1A29">
              <w:rPr>
                <w:rFonts w:ascii="CAIXA Std Book" w:hAnsi="CAIXA Std Book" w:cs="Arial"/>
                <w:color w:val="005CA9"/>
                <w:sz w:val="18"/>
                <w:szCs w:val="18"/>
              </w:rPr>
              <w:t>197</w:t>
            </w:r>
            <w:r>
              <w:rPr>
                <w:rFonts w:ascii="CAIXA Std Book" w:hAnsi="CAIXA Std Book" w:cs="Arial"/>
                <w:color w:val="005CA9"/>
                <w:sz w:val="18"/>
                <w:szCs w:val="18"/>
              </w:rPr>
              <w:t>)</w:t>
            </w:r>
          </w:p>
        </w:tc>
      </w:tr>
      <w:tr w:rsidR="003067DA" w:rsidRPr="00A33766" w14:paraId="7C33A3D4" w14:textId="77777777" w:rsidTr="007E1A29">
        <w:trPr>
          <w:trHeight w:val="283"/>
        </w:trPr>
        <w:tc>
          <w:tcPr>
            <w:tcW w:w="4253" w:type="dxa"/>
            <w:tcBorders>
              <w:top w:val="single" w:sz="4" w:space="0" w:color="F39200"/>
              <w:left w:val="nil"/>
              <w:bottom w:val="single" w:sz="4" w:space="0" w:color="F39200"/>
              <w:right w:val="nil"/>
            </w:tcBorders>
            <w:shd w:val="clear" w:color="auto" w:fill="auto"/>
            <w:noWrap/>
            <w:vAlign w:val="center"/>
            <w:hideMark/>
          </w:tcPr>
          <w:p w14:paraId="332958CE" w14:textId="77777777" w:rsidR="003067DA" w:rsidRPr="00FF4346" w:rsidRDefault="003067DA" w:rsidP="003067DA">
            <w:pPr>
              <w:rPr>
                <w:rFonts w:ascii="CAIXA Std Book" w:eastAsia="Times New Roman" w:hAnsi="CAIXA Std Book" w:cs="Arial"/>
                <w:b/>
                <w:color w:val="005CA9"/>
                <w:sz w:val="18"/>
                <w:szCs w:val="18"/>
              </w:rPr>
            </w:pPr>
            <w:r w:rsidRPr="00FF4346">
              <w:rPr>
                <w:rFonts w:ascii="CAIXA Std Book" w:eastAsia="Times New Roman" w:hAnsi="CAIXA Std Book" w:cs="Arial"/>
                <w:b/>
                <w:color w:val="005CA9"/>
                <w:sz w:val="18"/>
                <w:szCs w:val="18"/>
              </w:rPr>
              <w:t>Total</w:t>
            </w:r>
          </w:p>
        </w:tc>
        <w:tc>
          <w:tcPr>
            <w:tcW w:w="1349" w:type="dxa"/>
            <w:tcBorders>
              <w:top w:val="single" w:sz="4" w:space="0" w:color="F39200"/>
              <w:left w:val="nil"/>
              <w:bottom w:val="single" w:sz="4" w:space="0" w:color="F39200"/>
              <w:right w:val="nil"/>
            </w:tcBorders>
            <w:shd w:val="clear" w:color="auto" w:fill="auto"/>
            <w:noWrap/>
            <w:vAlign w:val="center"/>
          </w:tcPr>
          <w:p w14:paraId="54409C25" w14:textId="0B48CF6B" w:rsidR="003067DA" w:rsidRPr="00FF4346" w:rsidRDefault="00883110" w:rsidP="00883110">
            <w:pPr>
              <w:jc w:val="right"/>
              <w:rPr>
                <w:rFonts w:ascii="CAIXA Std Book" w:hAnsi="CAIXA Std Book" w:cs="Calibri"/>
                <w:b/>
                <w:color w:val="005CA9"/>
                <w:sz w:val="18"/>
                <w:szCs w:val="18"/>
              </w:rPr>
            </w:pPr>
            <w:r>
              <w:rPr>
                <w:rFonts w:ascii="CAIXA Std Book" w:hAnsi="CAIXA Std Book" w:cs="Arial"/>
                <w:b/>
                <w:color w:val="005CA9"/>
                <w:sz w:val="18"/>
                <w:szCs w:val="18"/>
              </w:rPr>
              <w:t>123.773</w:t>
            </w:r>
          </w:p>
        </w:tc>
        <w:tc>
          <w:tcPr>
            <w:tcW w:w="1350" w:type="dxa"/>
            <w:tcBorders>
              <w:top w:val="single" w:sz="4" w:space="0" w:color="F39200"/>
              <w:left w:val="nil"/>
              <w:bottom w:val="single" w:sz="4" w:space="0" w:color="F39200"/>
              <w:right w:val="nil"/>
            </w:tcBorders>
            <w:vAlign w:val="center"/>
          </w:tcPr>
          <w:p w14:paraId="10C3F69D" w14:textId="0349F040" w:rsidR="003067DA" w:rsidRPr="00FF4346" w:rsidRDefault="00CF4E9E" w:rsidP="00AF1746">
            <w:pPr>
              <w:jc w:val="right"/>
              <w:rPr>
                <w:rFonts w:ascii="CAIXA Std Book" w:hAnsi="CAIXA Std Book" w:cs="Calibri"/>
                <w:b/>
                <w:color w:val="005CA9"/>
                <w:sz w:val="18"/>
                <w:szCs w:val="18"/>
              </w:rPr>
            </w:pPr>
            <w:r>
              <w:rPr>
                <w:rFonts w:ascii="CAIXA Std Book" w:hAnsi="CAIXA Std Book" w:cs="Arial"/>
                <w:b/>
                <w:color w:val="005CA9"/>
                <w:sz w:val="18"/>
                <w:szCs w:val="18"/>
              </w:rPr>
              <w:t>(86.936)</w:t>
            </w:r>
          </w:p>
        </w:tc>
        <w:tc>
          <w:tcPr>
            <w:tcW w:w="1349" w:type="dxa"/>
            <w:tcBorders>
              <w:top w:val="single" w:sz="4" w:space="0" w:color="F39200"/>
              <w:left w:val="nil"/>
              <w:bottom w:val="single" w:sz="4" w:space="0" w:color="F39200"/>
              <w:right w:val="nil"/>
            </w:tcBorders>
            <w:vAlign w:val="center"/>
          </w:tcPr>
          <w:p w14:paraId="3854D869" w14:textId="7C4A2571" w:rsidR="003E1395" w:rsidRPr="00FF4346" w:rsidRDefault="00187898" w:rsidP="00AF1746">
            <w:pPr>
              <w:jc w:val="right"/>
              <w:rPr>
                <w:rFonts w:ascii="CAIXA Std Book" w:hAnsi="CAIXA Std Book" w:cs="Calibri"/>
                <w:b/>
                <w:color w:val="005CA9"/>
                <w:sz w:val="18"/>
                <w:szCs w:val="18"/>
              </w:rPr>
            </w:pPr>
            <w:r>
              <w:rPr>
                <w:rFonts w:ascii="CAIXA Std Book" w:hAnsi="CAIXA Std Book" w:cs="Arial"/>
                <w:b/>
                <w:bCs/>
                <w:color w:val="005CA9"/>
                <w:sz w:val="18"/>
                <w:szCs w:val="18"/>
              </w:rPr>
              <w:t>123.773</w:t>
            </w:r>
          </w:p>
        </w:tc>
        <w:tc>
          <w:tcPr>
            <w:tcW w:w="1350" w:type="dxa"/>
            <w:tcBorders>
              <w:top w:val="single" w:sz="4" w:space="0" w:color="F39200"/>
              <w:left w:val="nil"/>
              <w:bottom w:val="single" w:sz="4" w:space="0" w:color="F39200"/>
              <w:right w:val="nil"/>
            </w:tcBorders>
            <w:vAlign w:val="center"/>
          </w:tcPr>
          <w:p w14:paraId="2C0D68EA" w14:textId="438B49C6" w:rsidR="003067DA" w:rsidRPr="00FF4346" w:rsidRDefault="00962EB4" w:rsidP="00AF1746">
            <w:pPr>
              <w:jc w:val="right"/>
              <w:rPr>
                <w:rFonts w:ascii="CAIXA Std Book" w:hAnsi="CAIXA Std Book" w:cs="Calibri"/>
                <w:b/>
                <w:color w:val="005CA9"/>
                <w:sz w:val="18"/>
                <w:szCs w:val="18"/>
              </w:rPr>
            </w:pPr>
            <w:r>
              <w:rPr>
                <w:rFonts w:ascii="CAIXA Std Book" w:hAnsi="CAIXA Std Book" w:cs="Arial"/>
                <w:b/>
                <w:color w:val="005CA9"/>
                <w:sz w:val="18"/>
                <w:szCs w:val="18"/>
              </w:rPr>
              <w:t>(56.256)</w:t>
            </w:r>
          </w:p>
        </w:tc>
      </w:tr>
    </w:tbl>
    <w:p w14:paraId="1DD1C743" w14:textId="3C97191F" w:rsidR="000E7CAE" w:rsidRDefault="000E7CAE" w:rsidP="006B3297">
      <w:pPr>
        <w:jc w:val="both"/>
        <w:rPr>
          <w:rFonts w:ascii="CAIXA Std Book" w:eastAsia="Times New Roman" w:hAnsi="CAIXA Std Book" w:cs="Arial"/>
          <w:color w:val="005CA9"/>
          <w:sz w:val="16"/>
          <w:szCs w:val="16"/>
        </w:rPr>
      </w:pPr>
      <w:r>
        <w:rPr>
          <w:rFonts w:ascii="CAIXA Std Book" w:eastAsia="Times New Roman" w:hAnsi="CAIXA Std Book" w:cs="Arial"/>
          <w:color w:val="005CA9"/>
          <w:sz w:val="16"/>
          <w:szCs w:val="16"/>
        </w:rPr>
        <w:t xml:space="preserve">(1) </w:t>
      </w:r>
      <w:r w:rsidR="00A01D51">
        <w:rPr>
          <w:rFonts w:ascii="CAIXA Std Book" w:eastAsia="Times New Roman" w:hAnsi="CAIXA Std Book" w:cs="Arial"/>
          <w:color w:val="005CA9"/>
          <w:sz w:val="16"/>
          <w:szCs w:val="16"/>
        </w:rPr>
        <w:t>Variação decorre</w:t>
      </w:r>
      <w:r w:rsidR="00186150">
        <w:rPr>
          <w:rFonts w:ascii="CAIXA Std Book" w:eastAsia="Times New Roman" w:hAnsi="CAIXA Std Book" w:cs="Arial"/>
          <w:color w:val="005CA9"/>
          <w:sz w:val="16"/>
          <w:szCs w:val="16"/>
        </w:rPr>
        <w:t>, principalmente, d</w:t>
      </w:r>
      <w:r w:rsidR="005F4595">
        <w:rPr>
          <w:rFonts w:ascii="CAIXA Std Book" w:eastAsia="Times New Roman" w:hAnsi="CAIXA Std Book" w:cs="Arial"/>
          <w:color w:val="005CA9"/>
          <w:sz w:val="16"/>
          <w:szCs w:val="16"/>
        </w:rPr>
        <w:t>a</w:t>
      </w:r>
      <w:r w:rsidR="00186150">
        <w:rPr>
          <w:rFonts w:ascii="CAIXA Std Book" w:eastAsia="Times New Roman" w:hAnsi="CAIXA Std Book" w:cs="Arial"/>
          <w:color w:val="005CA9"/>
          <w:sz w:val="16"/>
          <w:szCs w:val="16"/>
        </w:rPr>
        <w:t xml:space="preserve"> d</w:t>
      </w:r>
      <w:r w:rsidR="00A01D51" w:rsidRPr="00A01D51">
        <w:rPr>
          <w:rFonts w:ascii="CAIXA Std Book" w:eastAsia="Times New Roman" w:hAnsi="CAIXA Std Book" w:cs="Arial"/>
          <w:color w:val="005CA9"/>
          <w:sz w:val="16"/>
          <w:szCs w:val="16"/>
        </w:rPr>
        <w:t xml:space="preserve">esvalorização de </w:t>
      </w:r>
      <w:r w:rsidR="00186150">
        <w:rPr>
          <w:rFonts w:ascii="CAIXA Std Book" w:eastAsia="Times New Roman" w:hAnsi="CAIXA Std Book" w:cs="Arial"/>
          <w:color w:val="005CA9"/>
          <w:sz w:val="16"/>
          <w:szCs w:val="16"/>
        </w:rPr>
        <w:t>a</w:t>
      </w:r>
      <w:r w:rsidR="00A01D51" w:rsidRPr="00A01D51">
        <w:rPr>
          <w:rFonts w:ascii="CAIXA Std Book" w:eastAsia="Times New Roman" w:hAnsi="CAIXA Std Book" w:cs="Arial"/>
          <w:color w:val="005CA9"/>
          <w:sz w:val="16"/>
          <w:szCs w:val="16"/>
        </w:rPr>
        <w:t xml:space="preserve">tivos </w:t>
      </w:r>
      <w:r w:rsidR="00186150">
        <w:rPr>
          <w:rFonts w:ascii="CAIXA Std Book" w:eastAsia="Times New Roman" w:hAnsi="CAIXA Std Book" w:cs="Arial"/>
          <w:color w:val="005CA9"/>
          <w:sz w:val="16"/>
          <w:szCs w:val="16"/>
        </w:rPr>
        <w:t>n</w:t>
      </w:r>
      <w:r w:rsidR="00A01D51" w:rsidRPr="00A01D51">
        <w:rPr>
          <w:rFonts w:ascii="CAIXA Std Book" w:eastAsia="Times New Roman" w:hAnsi="CAIXA Std Book" w:cs="Arial"/>
          <w:color w:val="005CA9"/>
          <w:sz w:val="16"/>
          <w:szCs w:val="16"/>
        </w:rPr>
        <w:t xml:space="preserve">ão </w:t>
      </w:r>
      <w:r w:rsidR="00186150">
        <w:rPr>
          <w:rFonts w:ascii="CAIXA Std Book" w:eastAsia="Times New Roman" w:hAnsi="CAIXA Std Book" w:cs="Arial"/>
          <w:color w:val="005CA9"/>
          <w:sz w:val="16"/>
          <w:szCs w:val="16"/>
        </w:rPr>
        <w:t>f</w:t>
      </w:r>
      <w:r w:rsidR="00A01D51" w:rsidRPr="00A01D51">
        <w:rPr>
          <w:rFonts w:ascii="CAIXA Std Book" w:eastAsia="Times New Roman" w:hAnsi="CAIXA Std Book" w:cs="Arial"/>
          <w:color w:val="005CA9"/>
          <w:sz w:val="16"/>
          <w:szCs w:val="16"/>
        </w:rPr>
        <w:t xml:space="preserve">inanceiros </w:t>
      </w:r>
      <w:r w:rsidR="00186150">
        <w:rPr>
          <w:rFonts w:ascii="CAIXA Std Book" w:eastAsia="Times New Roman" w:hAnsi="CAIXA Std Book" w:cs="Arial"/>
          <w:color w:val="005CA9"/>
          <w:sz w:val="16"/>
          <w:szCs w:val="16"/>
        </w:rPr>
        <w:t>m</w:t>
      </w:r>
      <w:r w:rsidR="00A01D51" w:rsidRPr="00A01D51">
        <w:rPr>
          <w:rFonts w:ascii="CAIXA Std Book" w:eastAsia="Times New Roman" w:hAnsi="CAIXA Std Book" w:cs="Arial"/>
          <w:color w:val="005CA9"/>
          <w:sz w:val="16"/>
          <w:szCs w:val="16"/>
        </w:rPr>
        <w:t xml:space="preserve">antidos para </w:t>
      </w:r>
      <w:r w:rsidR="005A79A8">
        <w:rPr>
          <w:rFonts w:ascii="CAIXA Std Book" w:eastAsia="Times New Roman" w:hAnsi="CAIXA Std Book" w:cs="Arial"/>
          <w:color w:val="005CA9"/>
          <w:sz w:val="16"/>
          <w:szCs w:val="16"/>
        </w:rPr>
        <w:t>v</w:t>
      </w:r>
      <w:r w:rsidR="00A01D51" w:rsidRPr="00A01D51">
        <w:rPr>
          <w:rFonts w:ascii="CAIXA Std Book" w:eastAsia="Times New Roman" w:hAnsi="CAIXA Std Book" w:cs="Arial"/>
          <w:color w:val="005CA9"/>
          <w:sz w:val="16"/>
          <w:szCs w:val="16"/>
        </w:rPr>
        <w:t>enda</w:t>
      </w:r>
      <w:r w:rsidR="00B41BAF">
        <w:rPr>
          <w:rFonts w:ascii="CAIXA Std Book" w:eastAsia="Times New Roman" w:hAnsi="CAIXA Std Book" w:cs="Arial"/>
          <w:color w:val="005CA9"/>
          <w:sz w:val="16"/>
          <w:szCs w:val="16"/>
        </w:rPr>
        <w:t>.</w:t>
      </w:r>
    </w:p>
    <w:p w14:paraId="2B2E2EBD" w14:textId="50F83247" w:rsidR="00B20DF2" w:rsidRPr="00FF4346" w:rsidRDefault="006D081F" w:rsidP="006B3297">
      <w:pPr>
        <w:jc w:val="both"/>
        <w:rPr>
          <w:rFonts w:ascii="CAIXA Std Book" w:eastAsia="Times New Roman" w:hAnsi="CAIXA Std Book" w:cs="Arial"/>
          <w:color w:val="005CA9"/>
          <w:sz w:val="16"/>
          <w:szCs w:val="16"/>
        </w:rPr>
      </w:pPr>
      <w:r w:rsidRPr="009B7508">
        <w:rPr>
          <w:rFonts w:ascii="CAIXA Std Book" w:eastAsia="Times New Roman" w:hAnsi="CAIXA Std Book" w:cs="Arial"/>
          <w:color w:val="005CA9"/>
          <w:sz w:val="16"/>
          <w:szCs w:val="16"/>
        </w:rPr>
        <w:t>(</w:t>
      </w:r>
      <w:r w:rsidR="00B41BAF">
        <w:rPr>
          <w:rFonts w:ascii="CAIXA Std Book" w:eastAsia="Times New Roman" w:hAnsi="CAIXA Std Book" w:cs="Arial"/>
          <w:color w:val="005CA9"/>
          <w:sz w:val="16"/>
          <w:szCs w:val="16"/>
        </w:rPr>
        <w:t>2</w:t>
      </w:r>
      <w:r w:rsidRPr="009B7508">
        <w:rPr>
          <w:rFonts w:ascii="CAIXA Std Book" w:eastAsia="Times New Roman" w:hAnsi="CAIXA Std Book" w:cs="Arial"/>
          <w:color w:val="005CA9"/>
          <w:sz w:val="16"/>
          <w:szCs w:val="16"/>
        </w:rPr>
        <w:t>)</w:t>
      </w:r>
      <w:r w:rsidR="00A3623F" w:rsidRPr="009B7508">
        <w:rPr>
          <w:rFonts w:ascii="CAIXA Std Book" w:eastAsia="Times New Roman" w:hAnsi="CAIXA Std Book" w:cs="Arial"/>
          <w:color w:val="005CA9"/>
          <w:sz w:val="16"/>
          <w:szCs w:val="16"/>
        </w:rPr>
        <w:t xml:space="preserve"> </w:t>
      </w:r>
      <w:r w:rsidR="002208E2" w:rsidRPr="009B7508">
        <w:rPr>
          <w:rFonts w:ascii="CAIXA Std Book" w:eastAsia="Times New Roman" w:hAnsi="CAIXA Std Book" w:cs="Arial"/>
          <w:color w:val="005CA9"/>
          <w:sz w:val="16"/>
          <w:szCs w:val="16"/>
        </w:rPr>
        <w:t xml:space="preserve">Inclui </w:t>
      </w:r>
      <w:r w:rsidR="00971046" w:rsidRPr="009B7508">
        <w:rPr>
          <w:rFonts w:ascii="CAIXA Std Book" w:eastAsia="Times New Roman" w:hAnsi="CAIXA Std Book" w:cs="Arial"/>
          <w:color w:val="005CA9"/>
          <w:sz w:val="16"/>
          <w:szCs w:val="16"/>
        </w:rPr>
        <w:t xml:space="preserve">ganho de capital </w:t>
      </w:r>
      <w:r w:rsidR="00625CEE" w:rsidRPr="009B7508">
        <w:rPr>
          <w:rFonts w:ascii="CAIXA Std Book" w:eastAsia="Times New Roman" w:hAnsi="CAIXA Std Book" w:cs="Arial"/>
          <w:color w:val="005CA9"/>
          <w:sz w:val="16"/>
          <w:szCs w:val="16"/>
        </w:rPr>
        <w:t xml:space="preserve">na baixa por desapropriação </w:t>
      </w:r>
      <w:r w:rsidR="00C6194F" w:rsidRPr="009B7508">
        <w:rPr>
          <w:rFonts w:ascii="CAIXA Std Book" w:eastAsia="Times New Roman" w:hAnsi="CAIXA Std Book" w:cs="Arial"/>
          <w:color w:val="005CA9"/>
          <w:sz w:val="16"/>
          <w:szCs w:val="16"/>
        </w:rPr>
        <w:t>de imóvel próprio disponível para venda</w:t>
      </w:r>
      <w:r w:rsidR="009B7508" w:rsidRPr="009B7508">
        <w:rPr>
          <w:rFonts w:ascii="CAIXA Std Book" w:eastAsia="Times New Roman" w:hAnsi="CAIXA Std Book" w:cs="Arial"/>
          <w:color w:val="005CA9"/>
          <w:sz w:val="16"/>
          <w:szCs w:val="16"/>
        </w:rPr>
        <w:t>.</w:t>
      </w:r>
    </w:p>
    <w:p w14:paraId="25D80E60" w14:textId="1E4F849E" w:rsidR="005E3238" w:rsidRPr="00FF4346" w:rsidRDefault="005E3238" w:rsidP="005A596E">
      <w:pPr>
        <w:pStyle w:val="Ttulo1"/>
      </w:pPr>
      <w:bookmarkStart w:id="130" w:name="_Toc166594507"/>
      <w:r w:rsidRPr="00FF4346">
        <w:t xml:space="preserve">Nota </w:t>
      </w:r>
      <w:r w:rsidR="002150B1" w:rsidRPr="00FF4346">
        <w:t>3</w:t>
      </w:r>
      <w:r w:rsidR="004917F8" w:rsidRPr="00FF4346">
        <w:t>2</w:t>
      </w:r>
      <w:r w:rsidRPr="00FF4346">
        <w:t xml:space="preserve"> – </w:t>
      </w:r>
      <w:bookmarkEnd w:id="114"/>
      <w:bookmarkEnd w:id="115"/>
      <w:r w:rsidRPr="00FF4346">
        <w:t xml:space="preserve">Partes </w:t>
      </w:r>
      <w:r w:rsidR="007268A4" w:rsidRPr="00FF4346">
        <w:t>r</w:t>
      </w:r>
      <w:r w:rsidRPr="00FF4346">
        <w:t>elacionadas</w:t>
      </w:r>
      <w:bookmarkEnd w:id="116"/>
      <w:bookmarkEnd w:id="130"/>
    </w:p>
    <w:p w14:paraId="1EE496DD" w14:textId="77777777" w:rsidR="00E76028" w:rsidRPr="00FF4346" w:rsidRDefault="00E76028" w:rsidP="00E76028">
      <w:pPr>
        <w:pStyle w:val="wordsection1"/>
        <w:spacing w:before="120" w:beforeAutospacing="0" w:after="120" w:afterAutospacing="0"/>
        <w:ind w:right="139"/>
        <w:jc w:val="both"/>
        <w:rPr>
          <w:rFonts w:ascii="CAIXA Std Book" w:hAnsi="CAIXA Std Book" w:cs="Cambria Math"/>
          <w:color w:val="005CA9"/>
          <w:sz w:val="20"/>
          <w:szCs w:val="20"/>
        </w:rPr>
      </w:pPr>
      <w:bookmarkStart w:id="131" w:name="_Hlk65762986"/>
      <w:r w:rsidRPr="00FF4346">
        <w:rPr>
          <w:rFonts w:ascii="CAIXA Std Book" w:hAnsi="CAIXA Std Book" w:cs="Cambria Math"/>
          <w:color w:val="005CA9"/>
          <w:sz w:val="20"/>
          <w:szCs w:val="20"/>
        </w:rPr>
        <w:t>As transações com partes relacionadas são realizadas no curso das atividades operacionais da CAIXA e de suas atribuições estabelecidas em regulamentação específica.</w:t>
      </w:r>
    </w:p>
    <w:p w14:paraId="427C711B" w14:textId="77777777" w:rsidR="00E76028" w:rsidRPr="00FF4346" w:rsidRDefault="00E76028" w:rsidP="00E76028">
      <w:pPr>
        <w:pStyle w:val="wordsection1"/>
        <w:spacing w:before="120" w:beforeAutospacing="0" w:after="120" w:afterAutospacing="0"/>
        <w:ind w:right="139"/>
        <w:jc w:val="both"/>
        <w:rPr>
          <w:rFonts w:ascii="CAIXA Std Book" w:hAnsi="CAIXA Std Book" w:cs="Cambria Math"/>
          <w:color w:val="005CA9"/>
          <w:sz w:val="20"/>
          <w:szCs w:val="20"/>
        </w:rPr>
      </w:pPr>
      <w:r w:rsidRPr="00FF4346">
        <w:rPr>
          <w:rFonts w:ascii="CAIXA Std Book" w:hAnsi="CAIXA Std Book" w:cs="Cambria Math"/>
          <w:color w:val="005CA9"/>
          <w:sz w:val="20"/>
          <w:szCs w:val="20"/>
        </w:rPr>
        <w:t>O Código de Conduta dos Empregados e Dirigentes da CAIXA veda aos seus empregados e dirigentes estabelecer relações comerciais ou profissionais, diretamente ou por terceiros, com seus controladores e empresas do mesmo grupo econômico.</w:t>
      </w:r>
    </w:p>
    <w:p w14:paraId="3B0BE3F6" w14:textId="77777777" w:rsidR="00E76028" w:rsidRPr="00FF4346" w:rsidRDefault="00E76028" w:rsidP="00E76028">
      <w:pPr>
        <w:spacing w:before="120" w:after="120"/>
        <w:ind w:right="139"/>
        <w:jc w:val="both"/>
        <w:rPr>
          <w:rFonts w:ascii="CAIXA Std Book" w:hAnsi="CAIXA Std Book"/>
          <w:color w:val="005CA9"/>
          <w:sz w:val="20"/>
          <w:szCs w:val="20"/>
        </w:rPr>
      </w:pPr>
      <w:r w:rsidRPr="00FF4346">
        <w:rPr>
          <w:rFonts w:ascii="CAIXA Std Book" w:hAnsi="CAIXA Std Book"/>
          <w:color w:val="005CA9"/>
          <w:sz w:val="20"/>
          <w:szCs w:val="20"/>
        </w:rPr>
        <w:t>De acordo com legislação vigente, no que se aplica à CAIXA como empresa pública e suas partes relacionadas, é permitida a realização de operações nas mesmas condições às apresentadas ao mercado, especialmente quanto a limites, taxas de juros, carência, prazos, garantias, bem como critérios para classificação de risco para fins de constituição de provisão para perdas e baixas para prejuízo, não existindo benefícios adicionais ou diferenciados comparativamente às operações realizadas com os demais clientes de mesmo perfil na empresa.</w:t>
      </w:r>
    </w:p>
    <w:p w14:paraId="485CF2B4" w14:textId="77777777" w:rsidR="0066321D" w:rsidRDefault="0066321D">
      <w:pPr>
        <w:rPr>
          <w:rFonts w:ascii="CAIXA Std Book" w:eastAsiaTheme="minorHAnsi" w:hAnsi="CAIXA Std Book" w:cs="Cambria Math"/>
          <w:b/>
          <w:color w:val="005CA9"/>
          <w:sz w:val="20"/>
          <w:szCs w:val="20"/>
        </w:rPr>
      </w:pPr>
      <w:r>
        <w:rPr>
          <w:rFonts w:ascii="CAIXA Std Book" w:hAnsi="CAIXA Std Book" w:cs="Cambria Math"/>
          <w:b/>
          <w:color w:val="005CA9"/>
          <w:sz w:val="20"/>
          <w:szCs w:val="20"/>
        </w:rPr>
        <w:br w:type="page"/>
      </w:r>
    </w:p>
    <w:p w14:paraId="52353553" w14:textId="67E14690" w:rsidR="00E76028" w:rsidRPr="00FF4346" w:rsidRDefault="00E76028" w:rsidP="00B37B40">
      <w:pPr>
        <w:pStyle w:val="wordsection1"/>
        <w:numPr>
          <w:ilvl w:val="0"/>
          <w:numId w:val="12"/>
        </w:numPr>
        <w:autoSpaceDE w:val="0"/>
        <w:autoSpaceDN w:val="0"/>
        <w:adjustRightInd w:val="0"/>
        <w:spacing w:before="240" w:beforeAutospacing="0" w:after="240" w:afterAutospacing="0"/>
        <w:ind w:left="709" w:right="139" w:hanging="709"/>
        <w:jc w:val="both"/>
        <w:rPr>
          <w:rFonts w:ascii="CAIXA Std Book" w:eastAsia="Yu Mincho Light" w:hAnsi="CAIXA Std Book" w:cs="Cambria Math"/>
          <w:b/>
          <w:color w:val="005CA9"/>
          <w:sz w:val="20"/>
          <w:szCs w:val="20"/>
        </w:rPr>
      </w:pPr>
      <w:r w:rsidRPr="00FF4346">
        <w:rPr>
          <w:rFonts w:ascii="CAIXA Std Book" w:hAnsi="CAIXA Std Book" w:cs="Cambria Math"/>
          <w:b/>
          <w:color w:val="005CA9"/>
          <w:sz w:val="20"/>
          <w:szCs w:val="20"/>
        </w:rPr>
        <w:lastRenderedPageBreak/>
        <w:t>Controladora</w:t>
      </w:r>
    </w:p>
    <w:p w14:paraId="5E4B8CA3" w14:textId="77777777" w:rsidR="00E76028" w:rsidRDefault="00E76028" w:rsidP="00E76028">
      <w:pPr>
        <w:pStyle w:val="wordsection1"/>
        <w:spacing w:before="120" w:beforeAutospacing="0" w:after="120" w:afterAutospacing="0"/>
        <w:ind w:right="139"/>
        <w:jc w:val="both"/>
        <w:rPr>
          <w:rFonts w:ascii="CAIXA Std Book" w:hAnsi="CAIXA Std Book" w:cs="Cambria Math"/>
          <w:color w:val="005CA9"/>
          <w:sz w:val="20"/>
          <w:szCs w:val="20"/>
        </w:rPr>
      </w:pPr>
      <w:r w:rsidRPr="00FD2097">
        <w:rPr>
          <w:rFonts w:ascii="CAIXA Std Book" w:hAnsi="CAIXA Std Book" w:cs="Cambria Math"/>
          <w:color w:val="005CA9"/>
          <w:sz w:val="20"/>
          <w:szCs w:val="20"/>
        </w:rPr>
        <w:t>Os saldos com a controladora estão representados pelas transações com a União, seus respectivos ministérios, autarquias, secretarias de governo, fundos de governo e demais órgãos.</w:t>
      </w:r>
    </w:p>
    <w:p w14:paraId="135F411A" w14:textId="77777777" w:rsidR="00E76028" w:rsidRPr="00FD2097" w:rsidRDefault="00E76028" w:rsidP="00E76028">
      <w:pPr>
        <w:pStyle w:val="wordsection1"/>
        <w:spacing w:before="120" w:beforeAutospacing="0" w:after="120" w:afterAutospacing="0"/>
        <w:ind w:right="139"/>
        <w:jc w:val="both"/>
        <w:rPr>
          <w:rFonts w:ascii="CAIXA Std Book" w:hAnsi="CAIXA Std Book" w:cs="Cambria Math"/>
          <w:color w:val="005CA9"/>
          <w:sz w:val="20"/>
          <w:szCs w:val="20"/>
        </w:rPr>
      </w:pPr>
      <w:r w:rsidRPr="00935B31">
        <w:rPr>
          <w:rFonts w:ascii="CAIXA Std Book" w:hAnsi="CAIXA Std Book" w:cs="Cambria Math"/>
          <w:color w:val="005CA9"/>
          <w:sz w:val="20"/>
          <w:szCs w:val="20"/>
        </w:rPr>
        <w:t>No curso de suas operações, a CAIXA reconhece valores a receber de seu relacionamento com a União (Controlador e Fundos de Governo). Do montante apresentado em 3</w:t>
      </w:r>
      <w:r>
        <w:rPr>
          <w:rFonts w:ascii="CAIXA Std Book" w:hAnsi="CAIXA Std Book" w:cs="Cambria Math"/>
          <w:color w:val="005CA9"/>
          <w:sz w:val="20"/>
          <w:szCs w:val="20"/>
        </w:rPr>
        <w:t>1</w:t>
      </w:r>
      <w:r w:rsidRPr="00935B31">
        <w:rPr>
          <w:rFonts w:ascii="CAIXA Std Book" w:hAnsi="CAIXA Std Book" w:cs="Cambria Math"/>
          <w:color w:val="005CA9"/>
          <w:sz w:val="20"/>
          <w:szCs w:val="20"/>
        </w:rPr>
        <w:t>/0</w:t>
      </w:r>
      <w:r>
        <w:rPr>
          <w:rFonts w:ascii="CAIXA Std Book" w:hAnsi="CAIXA Std Book" w:cs="Cambria Math"/>
          <w:color w:val="005CA9"/>
          <w:sz w:val="20"/>
          <w:szCs w:val="20"/>
        </w:rPr>
        <w:t>3</w:t>
      </w:r>
      <w:r w:rsidRPr="00935B31">
        <w:rPr>
          <w:rFonts w:ascii="CAIXA Std Book" w:hAnsi="CAIXA Std Book" w:cs="Cambria Math"/>
          <w:color w:val="005CA9"/>
          <w:sz w:val="20"/>
          <w:szCs w:val="20"/>
        </w:rPr>
        <w:t>/202</w:t>
      </w:r>
      <w:r>
        <w:rPr>
          <w:rFonts w:ascii="CAIXA Std Book" w:hAnsi="CAIXA Std Book" w:cs="Cambria Math"/>
          <w:color w:val="005CA9"/>
          <w:sz w:val="20"/>
          <w:szCs w:val="20"/>
        </w:rPr>
        <w:t>4</w:t>
      </w:r>
      <w:r w:rsidRPr="00935B31">
        <w:rPr>
          <w:rFonts w:ascii="CAIXA Std Book" w:hAnsi="CAIXA Std Book" w:cs="Cambria Math"/>
          <w:color w:val="005CA9"/>
          <w:sz w:val="20"/>
          <w:szCs w:val="20"/>
        </w:rPr>
        <w:t>, R$</w:t>
      </w:r>
      <w:r>
        <w:rPr>
          <w:rFonts w:ascii="CAIXA Std Book" w:hAnsi="CAIXA Std Book" w:cs="Cambria Math"/>
          <w:color w:val="005CA9"/>
          <w:sz w:val="20"/>
          <w:szCs w:val="20"/>
        </w:rPr>
        <w:t xml:space="preserve"> 733.969</w:t>
      </w:r>
      <w:r w:rsidRPr="00935B31">
        <w:rPr>
          <w:rFonts w:ascii="CAIXA Std Book" w:hAnsi="CAIXA Std Book" w:cs="Cambria Math"/>
          <w:color w:val="005CA9"/>
          <w:sz w:val="20"/>
          <w:szCs w:val="20"/>
        </w:rPr>
        <w:t xml:space="preserve"> (31/12/202</w:t>
      </w:r>
      <w:r>
        <w:rPr>
          <w:rFonts w:ascii="CAIXA Std Book" w:hAnsi="CAIXA Std Book" w:cs="Cambria Math"/>
          <w:color w:val="005CA9"/>
          <w:sz w:val="20"/>
          <w:szCs w:val="20"/>
        </w:rPr>
        <w:t>3</w:t>
      </w:r>
      <w:r w:rsidRPr="00935B31">
        <w:rPr>
          <w:rFonts w:ascii="CAIXA Std Book" w:hAnsi="CAIXA Std Book" w:cs="Cambria Math"/>
          <w:color w:val="005CA9"/>
          <w:sz w:val="20"/>
          <w:szCs w:val="20"/>
        </w:rPr>
        <w:t xml:space="preserve"> – R$ </w:t>
      </w:r>
      <w:r>
        <w:rPr>
          <w:rFonts w:ascii="CAIXA Std Book" w:hAnsi="CAIXA Std Book" w:cs="Cambria Math"/>
          <w:color w:val="005CA9"/>
          <w:sz w:val="20"/>
          <w:szCs w:val="20"/>
        </w:rPr>
        <w:t>723.030</w:t>
      </w:r>
      <w:r w:rsidRPr="00935B31">
        <w:rPr>
          <w:rFonts w:ascii="CAIXA Std Book" w:hAnsi="CAIXA Std Book" w:cs="Cambria Math"/>
          <w:color w:val="005CA9"/>
          <w:sz w:val="20"/>
          <w:szCs w:val="20"/>
        </w:rPr>
        <w:t>) está constituído por saldos relativos a operações</w:t>
      </w:r>
      <w:r>
        <w:rPr>
          <w:rFonts w:ascii="CAIXA Std Book" w:hAnsi="CAIXA Std Book" w:cs="Cambria Math"/>
          <w:color w:val="005CA9"/>
          <w:sz w:val="20"/>
          <w:szCs w:val="20"/>
        </w:rPr>
        <w:t xml:space="preserve"> de longa data</w:t>
      </w:r>
      <w:r w:rsidRPr="00935B31">
        <w:rPr>
          <w:rFonts w:ascii="CAIXA Std Book" w:hAnsi="CAIXA Std Book" w:cs="Cambria Math"/>
          <w:color w:val="005CA9"/>
          <w:sz w:val="20"/>
          <w:szCs w:val="20"/>
        </w:rPr>
        <w:t xml:space="preserve">, </w:t>
      </w:r>
      <w:r>
        <w:rPr>
          <w:rFonts w:ascii="CAIXA Std Book" w:hAnsi="CAIXA Std Book" w:cs="Cambria Math"/>
          <w:color w:val="005CA9"/>
          <w:sz w:val="20"/>
          <w:szCs w:val="20"/>
        </w:rPr>
        <w:t xml:space="preserve">relativos ao Fundo Nacional de Desenvolvimento – FND, </w:t>
      </w:r>
      <w:r w:rsidRPr="00935B31">
        <w:rPr>
          <w:rFonts w:ascii="CAIXA Std Book" w:hAnsi="CAIXA Std Book" w:cs="Cambria Math"/>
          <w:color w:val="005CA9"/>
          <w:sz w:val="20"/>
          <w:szCs w:val="20"/>
        </w:rPr>
        <w:t>para as quais a Administração da CAIXA está em tratativas com a União com a finalidade de quitação dos valores envolvidos.</w:t>
      </w:r>
    </w:p>
    <w:p w14:paraId="48514DE6" w14:textId="77777777" w:rsidR="00E76028" w:rsidRPr="00FF4346" w:rsidRDefault="00E76028" w:rsidP="00B37B40">
      <w:pPr>
        <w:pStyle w:val="wordsection1"/>
        <w:numPr>
          <w:ilvl w:val="0"/>
          <w:numId w:val="12"/>
        </w:numPr>
        <w:autoSpaceDE w:val="0"/>
        <w:autoSpaceDN w:val="0"/>
        <w:adjustRightInd w:val="0"/>
        <w:spacing w:before="240" w:beforeAutospacing="0" w:after="240" w:afterAutospacing="0"/>
        <w:ind w:left="709" w:right="139" w:hanging="709"/>
        <w:jc w:val="both"/>
        <w:rPr>
          <w:rFonts w:ascii="CAIXA Std Book" w:hAnsi="CAIXA Std Book" w:cs="Cambria Math"/>
          <w:b/>
          <w:color w:val="005CA9"/>
          <w:sz w:val="20"/>
          <w:szCs w:val="20"/>
        </w:rPr>
      </w:pPr>
      <w:r w:rsidRPr="00FF4346">
        <w:rPr>
          <w:rFonts w:ascii="CAIXA Std Book" w:hAnsi="CAIXA Std Book" w:cs="Cambria Math"/>
          <w:b/>
          <w:color w:val="005CA9"/>
          <w:sz w:val="20"/>
          <w:szCs w:val="20"/>
        </w:rPr>
        <w:t xml:space="preserve">Controladas </w:t>
      </w:r>
    </w:p>
    <w:p w14:paraId="72264705" w14:textId="77777777" w:rsidR="00E76028" w:rsidRPr="00FF4346" w:rsidRDefault="00E76028" w:rsidP="00E76028">
      <w:pPr>
        <w:pStyle w:val="wordsection1"/>
        <w:spacing w:before="120" w:after="120"/>
        <w:ind w:right="139"/>
        <w:jc w:val="both"/>
        <w:rPr>
          <w:rFonts w:ascii="CAIXA Std Book" w:hAnsi="CAIXA Std Book" w:cs="Cambria Math"/>
          <w:color w:val="005CA9"/>
          <w:sz w:val="20"/>
          <w:szCs w:val="20"/>
        </w:rPr>
      </w:pPr>
      <w:r w:rsidRPr="00FF4346">
        <w:rPr>
          <w:rFonts w:ascii="CAIXA Std Book" w:hAnsi="CAIXA Std Book" w:cs="Cambria Math"/>
          <w:color w:val="005CA9"/>
          <w:sz w:val="20"/>
          <w:szCs w:val="20"/>
        </w:rPr>
        <w:t xml:space="preserve">Em consonância com sua estratégia, a CAIXA realiza negócios através de suas subsidiárias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Seguridade,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Cartões e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w:t>
      </w:r>
      <w:proofErr w:type="spellStart"/>
      <w:r w:rsidRPr="00FF4346">
        <w:rPr>
          <w:rFonts w:ascii="CAIXA Std Book" w:hAnsi="CAIXA Std Book" w:cs="Cambria Math"/>
          <w:color w:val="005CA9"/>
          <w:sz w:val="20"/>
          <w:szCs w:val="20"/>
        </w:rPr>
        <w:t>Asset</w:t>
      </w:r>
      <w:proofErr w:type="spellEnd"/>
      <w:r w:rsidRPr="00FF4346">
        <w:rPr>
          <w:rFonts w:ascii="CAIXA Std Book" w:hAnsi="CAIXA Std Book" w:cs="Cambria Math"/>
          <w:color w:val="005CA9"/>
          <w:sz w:val="20"/>
          <w:szCs w:val="20"/>
        </w:rPr>
        <w:t xml:space="preserve">, estando a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Loterias em fase pré-operacional.</w:t>
      </w:r>
    </w:p>
    <w:p w14:paraId="417F7C2F" w14:textId="77777777" w:rsidR="00E76028" w:rsidRPr="00FF4346" w:rsidRDefault="00E76028" w:rsidP="00B37B40">
      <w:pPr>
        <w:pStyle w:val="wordsection1"/>
        <w:numPr>
          <w:ilvl w:val="0"/>
          <w:numId w:val="12"/>
        </w:numPr>
        <w:autoSpaceDE w:val="0"/>
        <w:autoSpaceDN w:val="0"/>
        <w:adjustRightInd w:val="0"/>
        <w:spacing w:before="240" w:beforeAutospacing="0" w:after="240" w:afterAutospacing="0"/>
        <w:ind w:left="709" w:right="139" w:hanging="709"/>
        <w:jc w:val="both"/>
        <w:rPr>
          <w:rFonts w:ascii="CAIXA Std Book" w:eastAsia="Yu Mincho Light" w:hAnsi="CAIXA Std Book" w:cs="Cambria Math"/>
          <w:b/>
          <w:color w:val="005CA9"/>
          <w:sz w:val="20"/>
          <w:szCs w:val="20"/>
        </w:rPr>
      </w:pPr>
      <w:r w:rsidRPr="00FF4346">
        <w:rPr>
          <w:rFonts w:ascii="CAIXA Std Book" w:hAnsi="CAIXA Std Book" w:cs="Cambria Math"/>
          <w:b/>
          <w:color w:val="005CA9"/>
          <w:sz w:val="20"/>
          <w:szCs w:val="20"/>
        </w:rPr>
        <w:t xml:space="preserve">Controladas em Conjunto </w:t>
      </w:r>
    </w:p>
    <w:p w14:paraId="52CBEA2B" w14:textId="77777777" w:rsidR="00E76028" w:rsidRPr="00FF4346" w:rsidRDefault="00E76028" w:rsidP="00E76028">
      <w:pPr>
        <w:spacing w:before="120" w:after="120"/>
        <w:ind w:right="139"/>
        <w:jc w:val="both"/>
        <w:rPr>
          <w:rFonts w:ascii="CAIXA Std Book" w:eastAsia="Futura Lt BT" w:hAnsi="CAIXA Std Book" w:cs="Futura Lt BT"/>
          <w:color w:val="005CA9"/>
          <w:sz w:val="20"/>
          <w:szCs w:val="20"/>
        </w:rPr>
      </w:pPr>
      <w:r w:rsidRPr="00FF4346">
        <w:rPr>
          <w:rFonts w:ascii="CAIXA Std Book" w:hAnsi="CAIXA Std Book" w:cs="Cambria Math"/>
          <w:color w:val="005CA9"/>
          <w:sz w:val="20"/>
          <w:szCs w:val="20"/>
        </w:rPr>
        <w:t xml:space="preserve">São </w:t>
      </w:r>
      <w:r w:rsidRPr="00FF4346">
        <w:rPr>
          <w:rFonts w:ascii="CAIXA Std Book" w:eastAsia="Futura Lt BT" w:hAnsi="CAIXA Std Book" w:cs="Futura Lt BT"/>
          <w:color w:val="005CA9"/>
          <w:sz w:val="20"/>
          <w:szCs w:val="20"/>
        </w:rPr>
        <w:t xml:space="preserve">controladas em conjunto, via participação direta da CAIXA, as empresas Caixa Imóveis e Negócios Digitais. </w:t>
      </w:r>
    </w:p>
    <w:p w14:paraId="73E35E51" w14:textId="77777777" w:rsidR="00E76028" w:rsidRPr="00FF4346" w:rsidRDefault="00E76028" w:rsidP="00E76028">
      <w:pPr>
        <w:spacing w:before="120" w:after="120"/>
        <w:ind w:right="139"/>
        <w:jc w:val="both"/>
        <w:rPr>
          <w:rFonts w:ascii="CAIXA Std Book" w:hAnsi="CAIXA Std Book" w:cs="Cambria Math"/>
          <w:color w:val="005CA9"/>
          <w:sz w:val="20"/>
          <w:szCs w:val="20"/>
        </w:rPr>
      </w:pPr>
      <w:r w:rsidRPr="00FF4346">
        <w:rPr>
          <w:rFonts w:ascii="CAIXA Std Book" w:eastAsia="Futura Lt BT" w:hAnsi="CAIXA Std Book" w:cs="Futura Lt BT"/>
          <w:color w:val="005CA9"/>
          <w:sz w:val="20"/>
          <w:szCs w:val="20"/>
        </w:rPr>
        <w:t>Enquadram-se também como</w:t>
      </w:r>
      <w:r w:rsidRPr="00FF4346">
        <w:rPr>
          <w:rFonts w:ascii="CAIXA Std Book" w:hAnsi="CAIXA Std Book" w:cs="Cambria Math"/>
          <w:color w:val="005CA9"/>
          <w:sz w:val="20"/>
          <w:szCs w:val="20"/>
        </w:rPr>
        <w:t xml:space="preserve"> partes relacionadas, as entidades nas quais a CAIXA participa em regime de controle conjunto indireto, por meio de suas controladas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Seguridade e </w:t>
      </w:r>
      <w:r w:rsidRPr="00FF4346">
        <w:rPr>
          <w:rFonts w:ascii="CAIXA Std Book" w:eastAsia="Futura Lt BT" w:hAnsi="CAIXA Std Book" w:cs="Futura Lt BT"/>
          <w:color w:val="005CA9"/>
          <w:sz w:val="20"/>
          <w:szCs w:val="20"/>
        </w:rPr>
        <w:t>Caixa</w:t>
      </w:r>
      <w:r w:rsidRPr="00FF4346">
        <w:rPr>
          <w:rFonts w:ascii="CAIXA Std Book" w:hAnsi="CAIXA Std Book" w:cs="Cambria Math"/>
          <w:color w:val="005CA9"/>
          <w:sz w:val="20"/>
          <w:szCs w:val="20"/>
        </w:rPr>
        <w:t xml:space="preserve"> Cartões.</w:t>
      </w:r>
    </w:p>
    <w:p w14:paraId="74A63C70" w14:textId="77777777" w:rsidR="00E76028" w:rsidRPr="00FF4346" w:rsidRDefault="00E76028" w:rsidP="00B37B40">
      <w:pPr>
        <w:pStyle w:val="wordsection1"/>
        <w:numPr>
          <w:ilvl w:val="0"/>
          <w:numId w:val="12"/>
        </w:numPr>
        <w:autoSpaceDE w:val="0"/>
        <w:autoSpaceDN w:val="0"/>
        <w:adjustRightInd w:val="0"/>
        <w:spacing w:before="240" w:beforeAutospacing="0" w:after="240" w:afterAutospacing="0"/>
        <w:ind w:left="709" w:hanging="709"/>
        <w:jc w:val="both"/>
        <w:rPr>
          <w:rFonts w:ascii="CAIXA Std Book" w:eastAsia="Yu Mincho Light" w:hAnsi="CAIXA Std Book" w:cs="Cambria Math"/>
          <w:b/>
          <w:color w:val="005CA9"/>
          <w:sz w:val="20"/>
          <w:szCs w:val="20"/>
        </w:rPr>
      </w:pPr>
      <w:r w:rsidRPr="00FF4346">
        <w:rPr>
          <w:rFonts w:ascii="CAIXA Std Book" w:hAnsi="CAIXA Std Book" w:cs="Cambria Math"/>
          <w:b/>
          <w:color w:val="005CA9"/>
          <w:sz w:val="20"/>
          <w:szCs w:val="20"/>
        </w:rPr>
        <w:t xml:space="preserve">Coligadas </w:t>
      </w:r>
    </w:p>
    <w:p w14:paraId="28698E00" w14:textId="77777777" w:rsidR="00E76028" w:rsidRPr="00FF4346" w:rsidRDefault="00E76028" w:rsidP="00E76028">
      <w:pPr>
        <w:spacing w:before="120" w:after="120"/>
        <w:ind w:right="139"/>
        <w:jc w:val="both"/>
        <w:rPr>
          <w:rFonts w:ascii="CAIXA Std Book" w:eastAsia="Futura Lt BT" w:hAnsi="CAIXA Std Book" w:cs="Futura Lt BT"/>
          <w:color w:val="005CA9"/>
          <w:sz w:val="20"/>
          <w:szCs w:val="20"/>
        </w:rPr>
      </w:pPr>
      <w:r w:rsidRPr="00FF4346">
        <w:rPr>
          <w:rFonts w:ascii="CAIXA Std Book" w:eastAsia="Futura Lt BT" w:hAnsi="CAIXA Std Book" w:cs="Futura Lt BT"/>
          <w:color w:val="005CA9"/>
          <w:sz w:val="20"/>
          <w:szCs w:val="20"/>
        </w:rPr>
        <w:t xml:space="preserve">São coligadas diretas da CAIXA a Galgo Sistemas de Informações, </w:t>
      </w:r>
      <w:proofErr w:type="spellStart"/>
      <w:r w:rsidRPr="00FF4346">
        <w:rPr>
          <w:rFonts w:ascii="CAIXA Std Book" w:eastAsia="Futura Lt BT" w:hAnsi="CAIXA Std Book" w:cs="Futura Lt BT"/>
          <w:color w:val="005CA9"/>
          <w:sz w:val="20"/>
          <w:szCs w:val="20"/>
        </w:rPr>
        <w:t>Núclea</w:t>
      </w:r>
      <w:proofErr w:type="spellEnd"/>
      <w:r w:rsidRPr="00FF4346">
        <w:rPr>
          <w:rFonts w:ascii="CAIXA Std Book" w:eastAsia="Futura Lt BT" w:hAnsi="CAIXA Std Book" w:cs="Futura Lt BT"/>
          <w:color w:val="005CA9"/>
          <w:sz w:val="20"/>
          <w:szCs w:val="20"/>
        </w:rPr>
        <w:t>, Tec</w:t>
      </w:r>
      <w:r>
        <w:rPr>
          <w:rFonts w:ascii="CAIXA Std Book" w:eastAsia="Futura Lt BT" w:hAnsi="CAIXA Std Book" w:cs="Futura Lt BT"/>
          <w:color w:val="005CA9"/>
          <w:sz w:val="20"/>
          <w:szCs w:val="20"/>
        </w:rPr>
        <w:t>B</w:t>
      </w:r>
      <w:r w:rsidRPr="00FF4346">
        <w:rPr>
          <w:rFonts w:ascii="CAIXA Std Book" w:eastAsia="Futura Lt BT" w:hAnsi="CAIXA Std Book" w:cs="Futura Lt BT"/>
          <w:color w:val="005CA9"/>
          <w:sz w:val="20"/>
          <w:szCs w:val="20"/>
        </w:rPr>
        <w:t xml:space="preserve">an e Quod. </w:t>
      </w:r>
    </w:p>
    <w:p w14:paraId="74794C78" w14:textId="77777777" w:rsidR="00E76028" w:rsidRPr="00FF4346" w:rsidRDefault="00E76028" w:rsidP="00E76028">
      <w:pPr>
        <w:spacing w:before="120" w:after="120"/>
        <w:ind w:right="139"/>
        <w:jc w:val="both"/>
        <w:rPr>
          <w:rFonts w:ascii="CAIXA Std Book" w:eastAsia="Futura Lt BT" w:hAnsi="CAIXA Std Book" w:cs="Futura Lt BT"/>
          <w:color w:val="005CA9"/>
          <w:sz w:val="20"/>
          <w:szCs w:val="20"/>
        </w:rPr>
      </w:pPr>
      <w:r w:rsidRPr="00FF4346">
        <w:rPr>
          <w:rFonts w:ascii="CAIXA Std Book" w:eastAsia="Futura Lt BT" w:hAnsi="CAIXA Std Book" w:cs="Futura Lt BT"/>
          <w:color w:val="005CA9"/>
          <w:sz w:val="20"/>
          <w:szCs w:val="20"/>
        </w:rPr>
        <w:t xml:space="preserve">Por meio da Caixa Seguridade, é coligada a CNP Seguros Holding Brasil S.A. (antiga Caixa Seguros Holding S.A.), constituída para viabilizar a participação nas empresas do Grupo CNP Seguros, assim como a companhia Holding XS1, que possui a XS2 Vida e Previdência S.A. e a Caixa Vida e Previdência S.A. como subsidiárias integrais. </w:t>
      </w:r>
    </w:p>
    <w:p w14:paraId="6C7799D1" w14:textId="77777777" w:rsidR="00E76028" w:rsidRPr="00FF4346" w:rsidRDefault="00E76028" w:rsidP="00E76028">
      <w:pPr>
        <w:spacing w:before="120" w:after="120"/>
        <w:ind w:right="139"/>
        <w:jc w:val="both"/>
        <w:rPr>
          <w:rFonts w:ascii="CAIXA Std Book" w:hAnsi="CAIXA Std Book"/>
          <w:color w:val="005CA9"/>
          <w:sz w:val="20"/>
          <w:szCs w:val="20"/>
        </w:rPr>
      </w:pPr>
      <w:r w:rsidRPr="00FF4346">
        <w:rPr>
          <w:rFonts w:ascii="CAIXA Std Book" w:eastAsia="Futura Lt BT" w:hAnsi="CAIXA Std Book" w:cs="Futura Lt BT"/>
          <w:color w:val="005CA9"/>
          <w:sz w:val="20"/>
          <w:szCs w:val="20"/>
        </w:rPr>
        <w:t>A CAIXA mantém transações diversas com a Caixa Seguridade</w:t>
      </w:r>
      <w:r>
        <w:rPr>
          <w:rFonts w:ascii="CAIXA Std Book" w:eastAsia="Futura Lt BT" w:hAnsi="CAIXA Std Book" w:cs="Futura Lt BT"/>
          <w:color w:val="005CA9"/>
          <w:sz w:val="20"/>
          <w:szCs w:val="20"/>
        </w:rPr>
        <w:t>,</w:t>
      </w:r>
      <w:r w:rsidRPr="00FF4346">
        <w:rPr>
          <w:rFonts w:ascii="CAIXA Std Book" w:eastAsia="Futura Lt BT" w:hAnsi="CAIXA Std Book" w:cs="Futura Lt BT"/>
          <w:color w:val="005CA9"/>
          <w:sz w:val="20"/>
          <w:szCs w:val="20"/>
        </w:rPr>
        <w:t xml:space="preserve"> incluindo suas investidas</w:t>
      </w:r>
      <w:r w:rsidRPr="00FF4346">
        <w:rPr>
          <w:rFonts w:ascii="CAIXA Std Book" w:hAnsi="CAIXA Std Book"/>
          <w:color w:val="005CA9"/>
          <w:sz w:val="20"/>
          <w:szCs w:val="20"/>
        </w:rPr>
        <w:t>.</w:t>
      </w:r>
    </w:p>
    <w:p w14:paraId="4354DB70" w14:textId="77777777" w:rsidR="00E76028" w:rsidRPr="00FF4346" w:rsidRDefault="00E76028" w:rsidP="00B37B40">
      <w:pPr>
        <w:pStyle w:val="wordsection1"/>
        <w:numPr>
          <w:ilvl w:val="0"/>
          <w:numId w:val="12"/>
        </w:numPr>
        <w:spacing w:before="240" w:beforeAutospacing="0" w:after="240" w:afterAutospacing="0"/>
        <w:ind w:left="709" w:right="139" w:hanging="709"/>
        <w:jc w:val="both"/>
        <w:rPr>
          <w:rFonts w:ascii="CAIXA Std Book" w:eastAsia="Yu Mincho Light" w:hAnsi="CAIXA Std Book" w:cs="Cambria Math"/>
          <w:b/>
          <w:color w:val="005CA9"/>
          <w:sz w:val="20"/>
          <w:szCs w:val="20"/>
        </w:rPr>
      </w:pPr>
      <w:proofErr w:type="gramStart"/>
      <w:r w:rsidRPr="00FF4346">
        <w:rPr>
          <w:rFonts w:ascii="CAIXA Std Book" w:hAnsi="CAIXA Std Book" w:cs="Cambria Math"/>
          <w:b/>
          <w:color w:val="005CA9"/>
          <w:sz w:val="20"/>
          <w:szCs w:val="20"/>
        </w:rPr>
        <w:t>Pessoal</w:t>
      </w:r>
      <w:proofErr w:type="gramEnd"/>
      <w:r w:rsidRPr="00FF4346">
        <w:rPr>
          <w:rFonts w:ascii="CAIXA Std Book" w:hAnsi="CAIXA Std Book" w:cs="Cambria Math"/>
          <w:b/>
          <w:color w:val="005CA9"/>
          <w:sz w:val="20"/>
          <w:szCs w:val="20"/>
        </w:rPr>
        <w:t xml:space="preserve"> Chave da Administração</w:t>
      </w:r>
    </w:p>
    <w:p w14:paraId="297342E9" w14:textId="77777777" w:rsidR="00E76028" w:rsidRPr="00FF4346" w:rsidRDefault="00E76028" w:rsidP="00E76028">
      <w:pPr>
        <w:ind w:right="139"/>
        <w:jc w:val="both"/>
        <w:rPr>
          <w:rFonts w:ascii="CAIXA Std Book" w:hAnsi="CAIXA Std Book" w:cs="Cambria Math"/>
          <w:color w:val="005CA9"/>
          <w:sz w:val="20"/>
          <w:szCs w:val="20"/>
        </w:rPr>
      </w:pPr>
      <w:r w:rsidRPr="00FF4346">
        <w:rPr>
          <w:rFonts w:ascii="CAIXA Std Book" w:eastAsiaTheme="minorHAnsi" w:hAnsi="CAIXA Std Book" w:cs="Cambria Math"/>
          <w:color w:val="005CA9"/>
          <w:sz w:val="20"/>
          <w:szCs w:val="20"/>
        </w:rPr>
        <w:t>Na CAIXA, integram o rol do pessoal chave os membros do Conselho de Administração, do Conselho Fiscal, do Conselho Diretor e da Diretoria Executiva, bem como os membros dos demais órgãos estatutários da CAIXA e dos órgãos estatutários das subsidiárias da CAI</w:t>
      </w:r>
      <w:r w:rsidRPr="00FF4346">
        <w:rPr>
          <w:rFonts w:ascii="CAIXA Std Book" w:hAnsi="CAIXA Std Book" w:cs="Cambria Math"/>
          <w:color w:val="005CA9"/>
          <w:sz w:val="20"/>
          <w:szCs w:val="20"/>
        </w:rPr>
        <w:t>XA.</w:t>
      </w:r>
    </w:p>
    <w:p w14:paraId="45DABBB6" w14:textId="77777777" w:rsidR="00E76028" w:rsidRPr="00FF4346" w:rsidRDefault="00E76028" w:rsidP="00B37B40">
      <w:pPr>
        <w:pStyle w:val="wordsection1"/>
        <w:numPr>
          <w:ilvl w:val="0"/>
          <w:numId w:val="12"/>
        </w:numPr>
        <w:spacing w:before="240" w:beforeAutospacing="0" w:after="240" w:afterAutospacing="0"/>
        <w:ind w:left="709" w:right="139" w:hanging="709"/>
        <w:jc w:val="both"/>
        <w:rPr>
          <w:rFonts w:ascii="CAIXA Std Book" w:eastAsia="Yu Mincho Light" w:hAnsi="CAIXA Std Book" w:cs="Cambria Math"/>
          <w:b/>
          <w:color w:val="005CA9"/>
          <w:sz w:val="20"/>
          <w:szCs w:val="20"/>
        </w:rPr>
      </w:pPr>
      <w:r w:rsidRPr="00FF4346">
        <w:rPr>
          <w:rFonts w:ascii="CAIXA Std Book" w:hAnsi="CAIXA Std Book" w:cs="Cambria Math"/>
          <w:b/>
          <w:color w:val="005CA9"/>
          <w:sz w:val="20"/>
          <w:szCs w:val="20"/>
        </w:rPr>
        <w:t>Outras entidades</w:t>
      </w:r>
    </w:p>
    <w:p w14:paraId="73601180" w14:textId="77777777" w:rsidR="00E76028" w:rsidRPr="00FF4346" w:rsidRDefault="00E76028" w:rsidP="00E76028">
      <w:pPr>
        <w:spacing w:before="120" w:after="120"/>
        <w:ind w:right="139"/>
        <w:jc w:val="both"/>
        <w:rPr>
          <w:rFonts w:ascii="CAIXA Std Book" w:eastAsia="Futura Lt BT" w:hAnsi="CAIXA Std Book" w:cs="Futura Lt BT"/>
          <w:color w:val="005CA9"/>
          <w:sz w:val="20"/>
          <w:szCs w:val="20"/>
        </w:rPr>
      </w:pPr>
      <w:r w:rsidRPr="00FF4346">
        <w:rPr>
          <w:rFonts w:ascii="CAIXA Std Book" w:hAnsi="CAIXA Std Book" w:cs="Cambria Math"/>
          <w:color w:val="005CA9"/>
          <w:sz w:val="20"/>
          <w:szCs w:val="20"/>
        </w:rPr>
        <w:t xml:space="preserve">Esse item é composto por transações com empresas públicas e sociedades de economia mista controladas pelo governo, tais como Petrobrás, Banco do Brasil, BNDES, Banco do Nordeste e </w:t>
      </w:r>
      <w:proofErr w:type="spellStart"/>
      <w:r w:rsidRPr="00FF4346">
        <w:rPr>
          <w:rFonts w:ascii="CAIXA Std Book" w:hAnsi="CAIXA Std Book" w:cs="Cambria Math"/>
          <w:color w:val="005CA9"/>
          <w:sz w:val="20"/>
          <w:szCs w:val="20"/>
        </w:rPr>
        <w:t>Emgea</w:t>
      </w:r>
      <w:proofErr w:type="spellEnd"/>
      <w:r w:rsidRPr="00FF4346">
        <w:rPr>
          <w:rFonts w:ascii="CAIXA Std Book" w:hAnsi="CAIXA Std Book" w:cs="Cambria Math"/>
          <w:color w:val="005CA9"/>
          <w:sz w:val="20"/>
          <w:szCs w:val="20"/>
        </w:rPr>
        <w:t xml:space="preserve">; além dos fundos de investimento e fundos de </w:t>
      </w:r>
      <w:r w:rsidRPr="00FF4346">
        <w:rPr>
          <w:rFonts w:ascii="CAIXA Std Book" w:eastAsia="Futura Lt BT" w:hAnsi="CAIXA Std Book" w:cs="Futura Lt BT"/>
          <w:color w:val="005CA9"/>
          <w:sz w:val="20"/>
          <w:szCs w:val="20"/>
        </w:rPr>
        <w:t>governo operados e/ou administrados pela CAIXA, como o FGTS, FAR, FCVS, FIES.</w:t>
      </w:r>
    </w:p>
    <w:p w14:paraId="478C5A47" w14:textId="77777777" w:rsidR="00E76028" w:rsidRPr="00FF4346" w:rsidRDefault="00E76028" w:rsidP="00E76028">
      <w:pPr>
        <w:spacing w:before="120" w:after="120"/>
        <w:ind w:right="139"/>
        <w:jc w:val="both"/>
        <w:rPr>
          <w:rFonts w:ascii="CAIXA Std Book" w:hAnsi="CAIXA Std Book" w:cs="Cambria Math"/>
          <w:color w:val="005CA9"/>
          <w:sz w:val="20"/>
          <w:szCs w:val="20"/>
        </w:rPr>
      </w:pPr>
      <w:r w:rsidRPr="00FF4346">
        <w:rPr>
          <w:rFonts w:ascii="CAIXA Std Book" w:eastAsia="Futura Lt BT" w:hAnsi="CAIXA Std Book" w:cs="Futura Lt BT"/>
          <w:color w:val="005CA9"/>
          <w:sz w:val="20"/>
          <w:szCs w:val="20"/>
        </w:rPr>
        <w:t>A Funcef, entidade q</w:t>
      </w:r>
      <w:r w:rsidRPr="00FF4346">
        <w:rPr>
          <w:rFonts w:ascii="CAIXA Std Book" w:hAnsi="CAIXA Std Book" w:cs="Cambria Math"/>
          <w:color w:val="005CA9"/>
          <w:sz w:val="20"/>
          <w:szCs w:val="20"/>
        </w:rPr>
        <w:t>ue administra plano de benefícios pós-emprego dos empregados da CAIXA, mantém com a CAIXA contratos de prestação de serviços bancários e de locação de imóveis de propriedade daquela entidade.</w:t>
      </w:r>
    </w:p>
    <w:bookmarkEnd w:id="131"/>
    <w:p w14:paraId="458F8C2E" w14:textId="77777777" w:rsidR="00BC537A" w:rsidRPr="00FF4346" w:rsidRDefault="00BC537A" w:rsidP="0054776D">
      <w:pPr>
        <w:spacing w:before="120" w:after="120"/>
        <w:jc w:val="both"/>
        <w:rPr>
          <w:rFonts w:ascii="CAIXA Std Book" w:hAnsi="CAIXA Std Book"/>
          <w:color w:val="005CA9"/>
          <w:szCs w:val="20"/>
        </w:rPr>
      </w:pPr>
    </w:p>
    <w:p w14:paraId="3AE947F4" w14:textId="66B47F12" w:rsidR="00BC537A" w:rsidRPr="00FF4346" w:rsidRDefault="00BC537A" w:rsidP="008D4D4D">
      <w:pPr>
        <w:spacing w:before="120" w:after="120"/>
        <w:jc w:val="both"/>
        <w:rPr>
          <w:rFonts w:ascii="CAIXA Std Book" w:hAnsi="CAIXA Std Book"/>
          <w:color w:val="005CA9"/>
          <w:szCs w:val="20"/>
        </w:rPr>
        <w:sectPr w:rsidR="00BC537A" w:rsidRPr="00FF4346" w:rsidSect="0088151D">
          <w:headerReference w:type="default" r:id="rId65"/>
          <w:footerReference w:type="default" r:id="rId66"/>
          <w:headerReference w:type="first" r:id="rId67"/>
          <w:footerReference w:type="first" r:id="rId68"/>
          <w:pgSz w:w="11906" w:h="16838"/>
          <w:pgMar w:top="1276" w:right="851" w:bottom="851" w:left="1418" w:header="1134" w:footer="709" w:gutter="0"/>
          <w:cols w:space="708"/>
          <w:docGrid w:linePitch="360"/>
        </w:sectPr>
      </w:pPr>
    </w:p>
    <w:tbl>
      <w:tblPr>
        <w:tblW w:w="5000" w:type="pct"/>
        <w:tblCellMar>
          <w:left w:w="70" w:type="dxa"/>
          <w:right w:w="70" w:type="dxa"/>
        </w:tblCellMar>
        <w:tblLook w:val="04A0" w:firstRow="1" w:lastRow="0" w:firstColumn="1" w:lastColumn="0" w:noHBand="0" w:noVBand="1"/>
      </w:tblPr>
      <w:tblGrid>
        <w:gridCol w:w="2524"/>
        <w:gridCol w:w="965"/>
        <w:gridCol w:w="1046"/>
        <w:gridCol w:w="1014"/>
        <w:gridCol w:w="1113"/>
        <w:gridCol w:w="999"/>
        <w:gridCol w:w="950"/>
        <w:gridCol w:w="964"/>
        <w:gridCol w:w="915"/>
        <w:gridCol w:w="1017"/>
        <w:gridCol w:w="967"/>
        <w:gridCol w:w="1078"/>
        <w:gridCol w:w="1017"/>
      </w:tblGrid>
      <w:tr w:rsidR="00254E5B" w:rsidRPr="00667139" w14:paraId="74B55AAB" w14:textId="77777777" w:rsidTr="0087648B">
        <w:trPr>
          <w:trHeight w:val="181"/>
        </w:trPr>
        <w:tc>
          <w:tcPr>
            <w:tcW w:w="5000" w:type="pct"/>
            <w:gridSpan w:val="13"/>
            <w:tcBorders>
              <w:top w:val="single" w:sz="4" w:space="0" w:color="F39200"/>
              <w:left w:val="nil"/>
              <w:bottom w:val="single" w:sz="4" w:space="0" w:color="F39200"/>
              <w:right w:val="nil"/>
            </w:tcBorders>
            <w:shd w:val="clear" w:color="auto" w:fill="auto"/>
            <w:noWrap/>
            <w:vAlign w:val="center"/>
            <w:hideMark/>
          </w:tcPr>
          <w:p w14:paraId="6F3C3B21"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lastRenderedPageBreak/>
              <w:t>INDIVIDUAL</w:t>
            </w:r>
          </w:p>
        </w:tc>
      </w:tr>
      <w:tr w:rsidR="00254E5B" w:rsidRPr="00667139" w14:paraId="66C3775C" w14:textId="77777777" w:rsidTr="0087648B">
        <w:trPr>
          <w:trHeight w:val="181"/>
        </w:trPr>
        <w:tc>
          <w:tcPr>
            <w:tcW w:w="866" w:type="pct"/>
            <w:vMerge w:val="restart"/>
            <w:tcBorders>
              <w:top w:val="nil"/>
              <w:left w:val="nil"/>
              <w:right w:val="nil"/>
            </w:tcBorders>
            <w:shd w:val="clear" w:color="auto" w:fill="auto"/>
            <w:vAlign w:val="center"/>
            <w:hideMark/>
          </w:tcPr>
          <w:p w14:paraId="6C6451B9"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Descrição</w:t>
            </w:r>
          </w:p>
        </w:tc>
        <w:tc>
          <w:tcPr>
            <w:tcW w:w="2089" w:type="pct"/>
            <w:gridSpan w:val="6"/>
            <w:tcBorders>
              <w:top w:val="nil"/>
              <w:left w:val="nil"/>
              <w:bottom w:val="single" w:sz="4" w:space="0" w:color="F39200"/>
            </w:tcBorders>
            <w:shd w:val="clear" w:color="auto" w:fill="auto"/>
            <w:vAlign w:val="center"/>
            <w:hideMark/>
          </w:tcPr>
          <w:p w14:paraId="5FA00CEF" w14:textId="7D936B35" w:rsidR="00254E5B" w:rsidRPr="00667139" w:rsidRDefault="00296043">
            <w:pPr>
              <w:jc w:val="center"/>
              <w:rPr>
                <w:rFonts w:ascii="CAIXA Std Book" w:hAnsi="CAIXA Std Book"/>
                <w:b/>
                <w:color w:val="005CA9"/>
                <w:sz w:val="13"/>
                <w:szCs w:val="13"/>
              </w:rPr>
            </w:pPr>
            <w:r w:rsidRPr="00667139">
              <w:rPr>
                <w:rFonts w:ascii="CAIXA Std Book" w:hAnsi="CAIXA Std Book"/>
                <w:b/>
                <w:color w:val="005CA9"/>
                <w:sz w:val="13"/>
                <w:szCs w:val="13"/>
              </w:rPr>
              <w:t>31/03/2024</w:t>
            </w:r>
          </w:p>
        </w:tc>
        <w:tc>
          <w:tcPr>
            <w:tcW w:w="2045" w:type="pct"/>
            <w:gridSpan w:val="6"/>
            <w:tcBorders>
              <w:top w:val="nil"/>
              <w:left w:val="nil"/>
            </w:tcBorders>
            <w:shd w:val="clear" w:color="auto" w:fill="auto"/>
            <w:vAlign w:val="center"/>
            <w:hideMark/>
          </w:tcPr>
          <w:p w14:paraId="1A1D07DD" w14:textId="4E0AAF2F"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31/12/202</w:t>
            </w:r>
            <w:r w:rsidR="00296043" w:rsidRPr="00667139">
              <w:rPr>
                <w:rFonts w:ascii="CAIXA Std Book" w:hAnsi="CAIXA Std Book"/>
                <w:b/>
                <w:color w:val="005CA9"/>
                <w:sz w:val="13"/>
                <w:szCs w:val="13"/>
              </w:rPr>
              <w:t>3</w:t>
            </w:r>
          </w:p>
        </w:tc>
      </w:tr>
      <w:tr w:rsidR="00E50D56" w:rsidRPr="00667139" w14:paraId="55AF599D" w14:textId="77777777" w:rsidTr="00E50D56">
        <w:trPr>
          <w:trHeight w:val="181"/>
        </w:trPr>
        <w:tc>
          <w:tcPr>
            <w:tcW w:w="866" w:type="pct"/>
            <w:vMerge/>
            <w:tcBorders>
              <w:bottom w:val="single" w:sz="4" w:space="0" w:color="F39200"/>
            </w:tcBorders>
            <w:vAlign w:val="center"/>
            <w:hideMark/>
          </w:tcPr>
          <w:p w14:paraId="73C6E899" w14:textId="77777777" w:rsidR="00254E5B" w:rsidRPr="00667139" w:rsidRDefault="00254E5B">
            <w:pPr>
              <w:rPr>
                <w:rFonts w:ascii="CAIXA Std Book" w:hAnsi="CAIXA Std Book"/>
                <w:b/>
                <w:color w:val="005CA9"/>
                <w:sz w:val="13"/>
                <w:szCs w:val="13"/>
              </w:rPr>
            </w:pPr>
          </w:p>
        </w:tc>
        <w:tc>
          <w:tcPr>
            <w:tcW w:w="331" w:type="pct"/>
            <w:tcBorders>
              <w:top w:val="nil"/>
              <w:left w:val="nil"/>
              <w:bottom w:val="single" w:sz="4" w:space="0" w:color="F39200"/>
              <w:right w:val="nil"/>
            </w:tcBorders>
            <w:shd w:val="clear" w:color="auto" w:fill="auto"/>
            <w:noWrap/>
            <w:vAlign w:val="center"/>
            <w:hideMark/>
          </w:tcPr>
          <w:p w14:paraId="30D6302A"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 xml:space="preserve">Controladora </w:t>
            </w:r>
          </w:p>
        </w:tc>
        <w:tc>
          <w:tcPr>
            <w:tcW w:w="359" w:type="pct"/>
            <w:tcBorders>
              <w:top w:val="nil"/>
              <w:left w:val="nil"/>
              <w:bottom w:val="single" w:sz="4" w:space="0" w:color="F39200"/>
              <w:right w:val="nil"/>
            </w:tcBorders>
            <w:shd w:val="clear" w:color="auto" w:fill="auto"/>
            <w:vAlign w:val="center"/>
            <w:hideMark/>
          </w:tcPr>
          <w:p w14:paraId="24029B65" w14:textId="71BCC878"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Controlada</w:t>
            </w:r>
          </w:p>
        </w:tc>
        <w:tc>
          <w:tcPr>
            <w:tcW w:w="348" w:type="pct"/>
            <w:tcBorders>
              <w:top w:val="single" w:sz="4" w:space="0" w:color="F39200"/>
              <w:left w:val="nil"/>
              <w:bottom w:val="single" w:sz="4" w:space="0" w:color="F39200"/>
              <w:right w:val="nil"/>
            </w:tcBorders>
            <w:shd w:val="clear" w:color="auto" w:fill="auto"/>
            <w:vAlign w:val="center"/>
            <w:hideMark/>
          </w:tcPr>
          <w:p w14:paraId="131026E5" w14:textId="39BF3608"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Controlada em conjunto</w:t>
            </w:r>
          </w:p>
        </w:tc>
        <w:tc>
          <w:tcPr>
            <w:tcW w:w="382" w:type="pct"/>
            <w:tcBorders>
              <w:top w:val="single" w:sz="4" w:space="0" w:color="F39200"/>
              <w:left w:val="nil"/>
              <w:bottom w:val="single" w:sz="4" w:space="0" w:color="F39200"/>
              <w:right w:val="nil"/>
            </w:tcBorders>
            <w:shd w:val="clear" w:color="auto" w:fill="auto"/>
            <w:vAlign w:val="center"/>
            <w:hideMark/>
          </w:tcPr>
          <w:p w14:paraId="6DB0D151" w14:textId="70597FD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Coligada</w:t>
            </w:r>
          </w:p>
        </w:tc>
        <w:tc>
          <w:tcPr>
            <w:tcW w:w="343" w:type="pct"/>
            <w:tcBorders>
              <w:top w:val="single" w:sz="4" w:space="0" w:color="F39200"/>
              <w:left w:val="nil"/>
              <w:bottom w:val="single" w:sz="4" w:space="0" w:color="F39200"/>
              <w:right w:val="nil"/>
            </w:tcBorders>
            <w:shd w:val="clear" w:color="auto" w:fill="auto"/>
            <w:vAlign w:val="center"/>
            <w:hideMark/>
          </w:tcPr>
          <w:p w14:paraId="335AFE1F" w14:textId="14BAA7F3" w:rsidR="00254E5B" w:rsidRPr="00667139" w:rsidRDefault="00254E5B">
            <w:pPr>
              <w:jc w:val="center"/>
              <w:rPr>
                <w:rFonts w:ascii="CAIXA Std Book" w:hAnsi="CAIXA Std Book"/>
                <w:b/>
                <w:color w:val="005CA9"/>
                <w:sz w:val="13"/>
                <w:szCs w:val="13"/>
              </w:rPr>
            </w:pPr>
            <w:proofErr w:type="gramStart"/>
            <w:r w:rsidRPr="00667139">
              <w:rPr>
                <w:rFonts w:ascii="CAIXA Std Book" w:hAnsi="CAIXA Std Book"/>
                <w:b/>
                <w:color w:val="005CA9"/>
                <w:sz w:val="13"/>
                <w:szCs w:val="13"/>
              </w:rPr>
              <w:t>Pessoal</w:t>
            </w:r>
            <w:proofErr w:type="gramEnd"/>
            <w:r w:rsidRPr="00667139">
              <w:rPr>
                <w:rFonts w:ascii="CAIXA Std Book" w:hAnsi="CAIXA Std Book"/>
                <w:b/>
                <w:color w:val="005CA9"/>
                <w:sz w:val="13"/>
                <w:szCs w:val="13"/>
              </w:rPr>
              <w:t xml:space="preserve"> chave</w:t>
            </w:r>
          </w:p>
        </w:tc>
        <w:tc>
          <w:tcPr>
            <w:tcW w:w="326" w:type="pct"/>
            <w:tcBorders>
              <w:top w:val="single" w:sz="4" w:space="0" w:color="F39200"/>
              <w:left w:val="nil"/>
              <w:bottom w:val="single" w:sz="4" w:space="0" w:color="F39200"/>
            </w:tcBorders>
            <w:shd w:val="clear" w:color="auto" w:fill="auto"/>
            <w:vAlign w:val="center"/>
            <w:hideMark/>
          </w:tcPr>
          <w:p w14:paraId="44D3C21B" w14:textId="2E02FDF0"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Outras entidades</w:t>
            </w:r>
          </w:p>
        </w:tc>
        <w:tc>
          <w:tcPr>
            <w:tcW w:w="331" w:type="pct"/>
            <w:tcBorders>
              <w:top w:val="single" w:sz="4" w:space="0" w:color="F39200"/>
              <w:left w:val="nil"/>
              <w:bottom w:val="single" w:sz="4" w:space="0" w:color="F39200"/>
              <w:right w:val="nil"/>
            </w:tcBorders>
            <w:shd w:val="clear" w:color="auto" w:fill="auto"/>
            <w:noWrap/>
            <w:vAlign w:val="center"/>
            <w:hideMark/>
          </w:tcPr>
          <w:p w14:paraId="0ACA4D4B"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 xml:space="preserve">Controladora </w:t>
            </w:r>
          </w:p>
        </w:tc>
        <w:tc>
          <w:tcPr>
            <w:tcW w:w="314" w:type="pct"/>
            <w:tcBorders>
              <w:top w:val="single" w:sz="4" w:space="0" w:color="F39200"/>
              <w:left w:val="nil"/>
              <w:bottom w:val="single" w:sz="4" w:space="0" w:color="F39200"/>
              <w:right w:val="nil"/>
            </w:tcBorders>
            <w:shd w:val="clear" w:color="auto" w:fill="auto"/>
            <w:vAlign w:val="center"/>
            <w:hideMark/>
          </w:tcPr>
          <w:p w14:paraId="0E03F4AA"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Controlada</w:t>
            </w:r>
          </w:p>
        </w:tc>
        <w:tc>
          <w:tcPr>
            <w:tcW w:w="349" w:type="pct"/>
            <w:tcBorders>
              <w:top w:val="single" w:sz="4" w:space="0" w:color="F39200"/>
              <w:left w:val="nil"/>
              <w:bottom w:val="single" w:sz="4" w:space="0" w:color="F39200"/>
              <w:right w:val="nil"/>
            </w:tcBorders>
            <w:shd w:val="clear" w:color="auto" w:fill="auto"/>
            <w:vAlign w:val="center"/>
            <w:hideMark/>
          </w:tcPr>
          <w:p w14:paraId="48CDDCFF"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Controlada em conjunto</w:t>
            </w:r>
          </w:p>
        </w:tc>
        <w:tc>
          <w:tcPr>
            <w:tcW w:w="332" w:type="pct"/>
            <w:tcBorders>
              <w:top w:val="single" w:sz="4" w:space="0" w:color="F39200"/>
              <w:left w:val="nil"/>
              <w:bottom w:val="single" w:sz="4" w:space="0" w:color="F39200"/>
              <w:right w:val="nil"/>
            </w:tcBorders>
            <w:shd w:val="clear" w:color="auto" w:fill="auto"/>
            <w:vAlign w:val="center"/>
            <w:hideMark/>
          </w:tcPr>
          <w:p w14:paraId="1CA4082B"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Coligada</w:t>
            </w:r>
          </w:p>
        </w:tc>
        <w:tc>
          <w:tcPr>
            <w:tcW w:w="370" w:type="pct"/>
            <w:tcBorders>
              <w:top w:val="single" w:sz="4" w:space="0" w:color="F39200"/>
              <w:left w:val="nil"/>
              <w:bottom w:val="single" w:sz="4" w:space="0" w:color="F39200"/>
              <w:right w:val="nil"/>
            </w:tcBorders>
            <w:shd w:val="clear" w:color="auto" w:fill="auto"/>
            <w:vAlign w:val="center"/>
            <w:hideMark/>
          </w:tcPr>
          <w:p w14:paraId="5BDA11D1" w14:textId="3AFC0E3E" w:rsidR="00254E5B" w:rsidRPr="00667139" w:rsidRDefault="00254E5B">
            <w:pPr>
              <w:jc w:val="center"/>
              <w:rPr>
                <w:rFonts w:ascii="CAIXA Std Book" w:hAnsi="CAIXA Std Book"/>
                <w:b/>
                <w:color w:val="005CA9"/>
                <w:sz w:val="13"/>
                <w:szCs w:val="13"/>
              </w:rPr>
            </w:pPr>
            <w:proofErr w:type="gramStart"/>
            <w:r w:rsidRPr="00667139">
              <w:rPr>
                <w:rFonts w:ascii="CAIXA Std Book" w:hAnsi="CAIXA Std Book"/>
                <w:b/>
                <w:color w:val="005CA9"/>
                <w:sz w:val="13"/>
                <w:szCs w:val="13"/>
              </w:rPr>
              <w:t>Pessoal</w:t>
            </w:r>
            <w:proofErr w:type="gramEnd"/>
            <w:r w:rsidRPr="00667139">
              <w:rPr>
                <w:rFonts w:ascii="CAIXA Std Book" w:hAnsi="CAIXA Std Book"/>
                <w:b/>
                <w:color w:val="005CA9"/>
                <w:sz w:val="13"/>
                <w:szCs w:val="13"/>
              </w:rPr>
              <w:t xml:space="preserve"> chave</w:t>
            </w:r>
          </w:p>
        </w:tc>
        <w:tc>
          <w:tcPr>
            <w:tcW w:w="349" w:type="pct"/>
            <w:tcBorders>
              <w:top w:val="single" w:sz="4" w:space="0" w:color="F39200"/>
              <w:left w:val="nil"/>
              <w:bottom w:val="single" w:sz="4" w:space="0" w:color="F39200"/>
            </w:tcBorders>
            <w:shd w:val="clear" w:color="auto" w:fill="auto"/>
            <w:vAlign w:val="center"/>
            <w:hideMark/>
          </w:tcPr>
          <w:p w14:paraId="57EA619B" w14:textId="77777777" w:rsidR="00254E5B" w:rsidRPr="00667139" w:rsidRDefault="00254E5B">
            <w:pPr>
              <w:jc w:val="center"/>
              <w:rPr>
                <w:rFonts w:ascii="CAIXA Std Book" w:hAnsi="CAIXA Std Book"/>
                <w:b/>
                <w:color w:val="005CA9"/>
                <w:sz w:val="13"/>
                <w:szCs w:val="13"/>
              </w:rPr>
            </w:pPr>
            <w:r w:rsidRPr="00667139">
              <w:rPr>
                <w:rFonts w:ascii="CAIXA Std Book" w:hAnsi="CAIXA Std Book"/>
                <w:b/>
                <w:color w:val="005CA9"/>
                <w:sz w:val="13"/>
                <w:szCs w:val="13"/>
              </w:rPr>
              <w:t>Outras entidades</w:t>
            </w:r>
          </w:p>
        </w:tc>
      </w:tr>
      <w:tr w:rsidR="00E16A4A" w:rsidRPr="00667139" w14:paraId="11A78130" w14:textId="77777777" w:rsidTr="00E50D56">
        <w:trPr>
          <w:trHeight w:val="181"/>
        </w:trPr>
        <w:tc>
          <w:tcPr>
            <w:tcW w:w="866" w:type="pct"/>
            <w:tcBorders>
              <w:top w:val="single" w:sz="4" w:space="0" w:color="F39200"/>
              <w:left w:val="nil"/>
              <w:bottom w:val="single" w:sz="4" w:space="0" w:color="F39200"/>
              <w:right w:val="nil"/>
            </w:tcBorders>
            <w:shd w:val="clear" w:color="auto" w:fill="auto"/>
            <w:vAlign w:val="center"/>
            <w:hideMark/>
          </w:tcPr>
          <w:p w14:paraId="430DC1DD" w14:textId="3492AA65" w:rsidR="00E16A4A" w:rsidRPr="00667139" w:rsidRDefault="00E16A4A" w:rsidP="00E16A4A">
            <w:pPr>
              <w:jc w:val="both"/>
              <w:rPr>
                <w:rFonts w:ascii="CAIXA Std Book" w:hAnsi="CAIXA Std Book"/>
                <w:b/>
                <w:color w:val="005CA9"/>
                <w:sz w:val="13"/>
                <w:szCs w:val="13"/>
              </w:rPr>
            </w:pPr>
            <w:r w:rsidRPr="00667139">
              <w:rPr>
                <w:rFonts w:ascii="CAIXA Std Book" w:hAnsi="CAIXA Std Book" w:cs="Calibri"/>
                <w:b/>
                <w:bCs/>
                <w:color w:val="005CA9"/>
                <w:sz w:val="13"/>
                <w:szCs w:val="13"/>
              </w:rPr>
              <w:t>ATIVO</w:t>
            </w:r>
          </w:p>
        </w:tc>
        <w:tc>
          <w:tcPr>
            <w:tcW w:w="331" w:type="pct"/>
            <w:tcBorders>
              <w:top w:val="single" w:sz="4" w:space="0" w:color="F39200"/>
              <w:left w:val="nil"/>
              <w:bottom w:val="single" w:sz="4" w:space="0" w:color="F39200"/>
              <w:right w:val="nil"/>
            </w:tcBorders>
            <w:shd w:val="clear" w:color="auto" w:fill="auto"/>
            <w:vAlign w:val="center"/>
          </w:tcPr>
          <w:p w14:paraId="01D30F5C" w14:textId="123B262D" w:rsidR="00E16A4A" w:rsidRPr="00081798" w:rsidRDefault="00E16A4A" w:rsidP="00E16A4A">
            <w:pPr>
              <w:jc w:val="right"/>
              <w:rPr>
                <w:rFonts w:ascii="CAIXA Std Book" w:hAnsi="CAIXA Std Book" w:cs="Calibri"/>
                <w:b/>
                <w:bCs/>
                <w:color w:val="005CA9"/>
                <w:sz w:val="13"/>
                <w:szCs w:val="13"/>
              </w:rPr>
            </w:pPr>
            <w:r>
              <w:rPr>
                <w:rFonts w:ascii="CAIXA Std Book" w:hAnsi="CAIXA Std Book" w:cs="Calibri"/>
                <w:b/>
                <w:bCs/>
                <w:color w:val="005CA9"/>
                <w:sz w:val="13"/>
                <w:szCs w:val="13"/>
              </w:rPr>
              <w:t>267.714.086</w:t>
            </w:r>
          </w:p>
        </w:tc>
        <w:tc>
          <w:tcPr>
            <w:tcW w:w="359" w:type="pct"/>
            <w:tcBorders>
              <w:top w:val="single" w:sz="4" w:space="0" w:color="F39200"/>
              <w:left w:val="nil"/>
              <w:bottom w:val="single" w:sz="4" w:space="0" w:color="F39200"/>
              <w:right w:val="nil"/>
            </w:tcBorders>
            <w:shd w:val="clear" w:color="auto" w:fill="auto"/>
            <w:vAlign w:val="center"/>
          </w:tcPr>
          <w:p w14:paraId="1900E842" w14:textId="063B8C99" w:rsidR="00E16A4A" w:rsidRPr="00667139" w:rsidRDefault="00C06338" w:rsidP="00E16A4A">
            <w:pPr>
              <w:jc w:val="right"/>
              <w:rPr>
                <w:rFonts w:ascii="CAIXA Std Book" w:eastAsia="Futura Lt BT" w:hAnsi="CAIXA Std Book" w:cs="Futura Lt BT"/>
                <w:b/>
                <w:color w:val="005CA9"/>
                <w:sz w:val="13"/>
                <w:szCs w:val="13"/>
              </w:rPr>
            </w:pPr>
            <w:r w:rsidRPr="00C06338">
              <w:rPr>
                <w:rFonts w:ascii="CAIXA Std Book" w:hAnsi="CAIXA Std Book" w:cs="Calibri"/>
                <w:b/>
                <w:bCs/>
                <w:color w:val="005CA9"/>
                <w:sz w:val="13"/>
                <w:szCs w:val="13"/>
              </w:rPr>
              <w:t>2.439.202</w:t>
            </w:r>
          </w:p>
        </w:tc>
        <w:tc>
          <w:tcPr>
            <w:tcW w:w="348" w:type="pct"/>
            <w:tcBorders>
              <w:top w:val="single" w:sz="4" w:space="0" w:color="F39200"/>
              <w:left w:val="nil"/>
              <w:bottom w:val="single" w:sz="4" w:space="0" w:color="F39200"/>
              <w:right w:val="nil"/>
            </w:tcBorders>
            <w:shd w:val="clear" w:color="auto" w:fill="auto"/>
            <w:vAlign w:val="center"/>
          </w:tcPr>
          <w:p w14:paraId="52DAE96B" w14:textId="6CA2A8DA" w:rsidR="00E16A4A" w:rsidRPr="00667139" w:rsidRDefault="00E16A4A" w:rsidP="00E16A4A">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14.960</w:t>
            </w:r>
          </w:p>
        </w:tc>
        <w:tc>
          <w:tcPr>
            <w:tcW w:w="382" w:type="pct"/>
            <w:tcBorders>
              <w:top w:val="single" w:sz="4" w:space="0" w:color="F39200"/>
              <w:left w:val="nil"/>
              <w:bottom w:val="single" w:sz="4" w:space="0" w:color="F39200"/>
              <w:right w:val="nil"/>
            </w:tcBorders>
            <w:shd w:val="clear" w:color="auto" w:fill="auto"/>
            <w:vAlign w:val="center"/>
          </w:tcPr>
          <w:p w14:paraId="33399C9E" w14:textId="0267A3D8" w:rsidR="00E16A4A" w:rsidRPr="00667139" w:rsidRDefault="00A7006D" w:rsidP="00E16A4A">
            <w:pPr>
              <w:jc w:val="right"/>
              <w:rPr>
                <w:rFonts w:ascii="CAIXA Std Book" w:eastAsia="Futura Lt BT" w:hAnsi="CAIXA Std Book" w:cs="Futura Lt BT"/>
                <w:b/>
                <w:color w:val="005CA9"/>
                <w:sz w:val="13"/>
                <w:szCs w:val="13"/>
              </w:rPr>
            </w:pPr>
            <w:r w:rsidRPr="00A7006D">
              <w:rPr>
                <w:rFonts w:ascii="CAIXA Std Book" w:eastAsia="Futura Lt BT" w:hAnsi="CAIXA Std Book" w:cs="Futura Lt BT"/>
                <w:b/>
                <w:bCs/>
                <w:color w:val="005CA9"/>
                <w:sz w:val="13"/>
                <w:szCs w:val="13"/>
              </w:rPr>
              <w:t>1.763.937</w:t>
            </w:r>
          </w:p>
        </w:tc>
        <w:tc>
          <w:tcPr>
            <w:tcW w:w="343" w:type="pct"/>
            <w:tcBorders>
              <w:top w:val="single" w:sz="4" w:space="0" w:color="F39200"/>
              <w:left w:val="nil"/>
              <w:bottom w:val="single" w:sz="4" w:space="0" w:color="F39200"/>
              <w:right w:val="nil"/>
            </w:tcBorders>
            <w:shd w:val="clear" w:color="auto" w:fill="auto"/>
            <w:vAlign w:val="center"/>
          </w:tcPr>
          <w:p w14:paraId="443A1EB5" w14:textId="289B34C3" w:rsidR="00E16A4A" w:rsidRPr="00667139" w:rsidRDefault="00E16A4A" w:rsidP="00E16A4A">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35.553</w:t>
            </w:r>
          </w:p>
        </w:tc>
        <w:tc>
          <w:tcPr>
            <w:tcW w:w="326" w:type="pct"/>
            <w:tcBorders>
              <w:top w:val="single" w:sz="4" w:space="0" w:color="F39200"/>
              <w:left w:val="nil"/>
              <w:bottom w:val="single" w:sz="4" w:space="0" w:color="F39200"/>
            </w:tcBorders>
            <w:shd w:val="clear" w:color="auto" w:fill="auto"/>
            <w:vAlign w:val="center"/>
          </w:tcPr>
          <w:p w14:paraId="04B8E045" w14:textId="78F7156E" w:rsidR="00E16A4A" w:rsidRPr="00667139" w:rsidRDefault="00E16A4A" w:rsidP="00E16A4A">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36.457.722</w:t>
            </w:r>
          </w:p>
        </w:tc>
        <w:tc>
          <w:tcPr>
            <w:tcW w:w="331" w:type="pct"/>
            <w:tcBorders>
              <w:top w:val="single" w:sz="4" w:space="0" w:color="F39200"/>
              <w:left w:val="nil"/>
              <w:bottom w:val="single" w:sz="4" w:space="0" w:color="F39200"/>
              <w:right w:val="nil"/>
            </w:tcBorders>
            <w:shd w:val="clear" w:color="auto" w:fill="auto"/>
            <w:vAlign w:val="center"/>
          </w:tcPr>
          <w:p w14:paraId="43807ABA" w14:textId="62953E51" w:rsidR="00E16A4A" w:rsidRPr="00667139" w:rsidRDefault="00E16A4A" w:rsidP="00E16A4A">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264.905.417</w:t>
            </w:r>
          </w:p>
        </w:tc>
        <w:tc>
          <w:tcPr>
            <w:tcW w:w="314" w:type="pct"/>
            <w:tcBorders>
              <w:top w:val="single" w:sz="4" w:space="0" w:color="F39200"/>
              <w:left w:val="nil"/>
              <w:bottom w:val="single" w:sz="4" w:space="0" w:color="F39200"/>
              <w:right w:val="nil"/>
            </w:tcBorders>
            <w:shd w:val="clear" w:color="auto" w:fill="auto"/>
            <w:vAlign w:val="center"/>
          </w:tcPr>
          <w:p w14:paraId="32F10C3C" w14:textId="02C62132" w:rsidR="00E16A4A" w:rsidRPr="00667139" w:rsidRDefault="00E16A4A" w:rsidP="00E16A4A">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2.400.292</w:t>
            </w:r>
          </w:p>
        </w:tc>
        <w:tc>
          <w:tcPr>
            <w:tcW w:w="349" w:type="pct"/>
            <w:tcBorders>
              <w:top w:val="single" w:sz="4" w:space="0" w:color="F39200"/>
              <w:left w:val="nil"/>
              <w:bottom w:val="single" w:sz="4" w:space="0" w:color="F39200"/>
              <w:right w:val="nil"/>
            </w:tcBorders>
            <w:shd w:val="clear" w:color="auto" w:fill="auto"/>
            <w:vAlign w:val="center"/>
          </w:tcPr>
          <w:p w14:paraId="646F2B64" w14:textId="031B81DA" w:rsidR="00E16A4A" w:rsidRPr="00667139" w:rsidRDefault="00E16A4A" w:rsidP="00E16A4A">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1.794.798</w:t>
            </w:r>
          </w:p>
        </w:tc>
        <w:tc>
          <w:tcPr>
            <w:tcW w:w="332" w:type="pct"/>
            <w:tcBorders>
              <w:top w:val="single" w:sz="4" w:space="0" w:color="F39200"/>
              <w:left w:val="nil"/>
              <w:bottom w:val="single" w:sz="4" w:space="0" w:color="F39200"/>
              <w:right w:val="nil"/>
            </w:tcBorders>
            <w:shd w:val="clear" w:color="auto" w:fill="auto"/>
            <w:vAlign w:val="center"/>
          </w:tcPr>
          <w:p w14:paraId="17E0941E" w14:textId="34CC66C7" w:rsidR="00E16A4A" w:rsidRPr="00667139" w:rsidRDefault="00E16A4A" w:rsidP="00E16A4A">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142.497</w:t>
            </w:r>
          </w:p>
        </w:tc>
        <w:tc>
          <w:tcPr>
            <w:tcW w:w="370" w:type="pct"/>
            <w:tcBorders>
              <w:top w:val="single" w:sz="4" w:space="0" w:color="F39200"/>
              <w:left w:val="nil"/>
              <w:bottom w:val="single" w:sz="4" w:space="0" w:color="F39200"/>
              <w:right w:val="nil"/>
            </w:tcBorders>
            <w:shd w:val="clear" w:color="auto" w:fill="auto"/>
            <w:vAlign w:val="center"/>
          </w:tcPr>
          <w:p w14:paraId="1D9EEEE2" w14:textId="4551B71C" w:rsidR="00E16A4A" w:rsidRPr="00667139" w:rsidRDefault="00E16A4A" w:rsidP="00E16A4A">
            <w:pPr>
              <w:jc w:val="right"/>
              <w:rPr>
                <w:rFonts w:ascii="CAIXA Std Book" w:hAnsi="CAIXA Std Book" w:cs="Calibri"/>
                <w:b/>
                <w:color w:val="005CA9"/>
                <w:sz w:val="13"/>
                <w:szCs w:val="13"/>
              </w:rPr>
            </w:pPr>
            <w:r>
              <w:rPr>
                <w:rFonts w:ascii="CAIXA Std Book" w:hAnsi="CAIXA Std Book" w:cs="Arial"/>
                <w:b/>
                <w:bCs/>
                <w:color w:val="005CA9"/>
                <w:sz w:val="13"/>
                <w:szCs w:val="13"/>
              </w:rPr>
              <w:t>33.943</w:t>
            </w:r>
          </w:p>
        </w:tc>
        <w:tc>
          <w:tcPr>
            <w:tcW w:w="349" w:type="pct"/>
            <w:tcBorders>
              <w:top w:val="single" w:sz="4" w:space="0" w:color="F39200"/>
              <w:left w:val="nil"/>
              <w:bottom w:val="single" w:sz="4" w:space="0" w:color="F39200"/>
            </w:tcBorders>
            <w:shd w:val="clear" w:color="auto" w:fill="auto"/>
            <w:vAlign w:val="center"/>
          </w:tcPr>
          <w:p w14:paraId="753F1F7A" w14:textId="41C055F8" w:rsidR="00E16A4A" w:rsidRPr="00667139" w:rsidRDefault="00E16A4A" w:rsidP="00E16A4A">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36.521.142</w:t>
            </w:r>
          </w:p>
        </w:tc>
      </w:tr>
      <w:tr w:rsidR="00E16A4A" w:rsidRPr="00667139" w14:paraId="35EFC8C2" w14:textId="77777777" w:rsidTr="00E50D56">
        <w:trPr>
          <w:trHeight w:val="181"/>
        </w:trPr>
        <w:tc>
          <w:tcPr>
            <w:tcW w:w="866" w:type="pct"/>
            <w:tcBorders>
              <w:top w:val="nil"/>
              <w:left w:val="nil"/>
              <w:bottom w:val="nil"/>
              <w:right w:val="nil"/>
            </w:tcBorders>
            <w:shd w:val="clear" w:color="auto" w:fill="auto"/>
            <w:vAlign w:val="center"/>
            <w:hideMark/>
          </w:tcPr>
          <w:p w14:paraId="6213B746" w14:textId="528CD4BE"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Caixa e equivalentes de caixa</w:t>
            </w:r>
            <w:r>
              <w:rPr>
                <w:rFonts w:ascii="CAIXA Std Book" w:hAnsi="CAIXA Std Book" w:cs="Calibri"/>
                <w:color w:val="005CA9"/>
                <w:sz w:val="13"/>
                <w:szCs w:val="13"/>
              </w:rPr>
              <w:t xml:space="preserve"> (1)</w:t>
            </w:r>
          </w:p>
        </w:tc>
        <w:tc>
          <w:tcPr>
            <w:tcW w:w="331" w:type="pct"/>
            <w:tcBorders>
              <w:top w:val="nil"/>
              <w:left w:val="nil"/>
              <w:bottom w:val="nil"/>
              <w:right w:val="nil"/>
            </w:tcBorders>
            <w:shd w:val="clear" w:color="auto" w:fill="auto"/>
            <w:noWrap/>
            <w:vAlign w:val="center"/>
          </w:tcPr>
          <w:p w14:paraId="296AD20C" w14:textId="137F3695" w:rsidR="00E16A4A" w:rsidRPr="00667139" w:rsidRDefault="00E16A4A" w:rsidP="00E16A4A">
            <w:pPr>
              <w:jc w:val="center"/>
              <w:rPr>
                <w:rFonts w:ascii="CAIXA Std Book" w:eastAsia="Futura Lt BT" w:hAnsi="CAIXA Std Book" w:cs="Futura Lt BT"/>
                <w:color w:val="005CA9"/>
                <w:sz w:val="13"/>
                <w:szCs w:val="13"/>
              </w:rPr>
            </w:pPr>
            <w:r>
              <w:rPr>
                <w:rFonts w:ascii="CAIXA Std Book" w:hAnsi="CAIXA Std Book" w:cs="Calibri"/>
                <w:color w:val="005CA9"/>
                <w:sz w:val="13"/>
                <w:szCs w:val="13"/>
              </w:rPr>
              <w:t>-</w:t>
            </w:r>
          </w:p>
        </w:tc>
        <w:tc>
          <w:tcPr>
            <w:tcW w:w="359" w:type="pct"/>
            <w:tcBorders>
              <w:top w:val="nil"/>
              <w:left w:val="nil"/>
              <w:bottom w:val="nil"/>
              <w:right w:val="nil"/>
            </w:tcBorders>
            <w:shd w:val="clear" w:color="auto" w:fill="auto"/>
            <w:noWrap/>
            <w:vAlign w:val="center"/>
          </w:tcPr>
          <w:p w14:paraId="0208D321" w14:textId="0E173BC2"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27985861" w14:textId="6779B10B"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1A834E58" w14:textId="40B6E389" w:rsidR="00E16A4A" w:rsidRPr="00667139" w:rsidRDefault="00E16A4A" w:rsidP="00E16A4A">
            <w:pPr>
              <w:jc w:val="right"/>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1.702.626</w:t>
            </w:r>
          </w:p>
        </w:tc>
        <w:tc>
          <w:tcPr>
            <w:tcW w:w="343" w:type="pct"/>
            <w:tcBorders>
              <w:top w:val="nil"/>
              <w:left w:val="nil"/>
              <w:bottom w:val="nil"/>
              <w:right w:val="nil"/>
            </w:tcBorders>
            <w:shd w:val="clear" w:color="auto" w:fill="auto"/>
            <w:noWrap/>
            <w:vAlign w:val="center"/>
          </w:tcPr>
          <w:p w14:paraId="3A614CED" w14:textId="1E4C79AA"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41D0FA76" w14:textId="29C2C0CE"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31" w:type="pct"/>
            <w:tcBorders>
              <w:top w:val="nil"/>
              <w:left w:val="nil"/>
              <w:bottom w:val="nil"/>
              <w:right w:val="nil"/>
            </w:tcBorders>
            <w:shd w:val="clear" w:color="auto" w:fill="auto"/>
            <w:noWrap/>
            <w:vAlign w:val="center"/>
          </w:tcPr>
          <w:p w14:paraId="09255CF5" w14:textId="47D0A43A"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14" w:type="pct"/>
            <w:tcBorders>
              <w:top w:val="nil"/>
              <w:left w:val="nil"/>
              <w:bottom w:val="nil"/>
              <w:right w:val="nil"/>
            </w:tcBorders>
            <w:shd w:val="clear" w:color="auto" w:fill="auto"/>
            <w:noWrap/>
            <w:vAlign w:val="center"/>
          </w:tcPr>
          <w:p w14:paraId="796BDF8B" w14:textId="6E8B897C"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3A6BCEB5" w14:textId="28B80529"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1.794.780</w:t>
            </w:r>
          </w:p>
        </w:tc>
        <w:tc>
          <w:tcPr>
            <w:tcW w:w="332" w:type="pct"/>
            <w:tcBorders>
              <w:top w:val="nil"/>
              <w:left w:val="nil"/>
              <w:bottom w:val="nil"/>
              <w:right w:val="nil"/>
            </w:tcBorders>
            <w:shd w:val="clear" w:color="auto" w:fill="auto"/>
            <w:noWrap/>
            <w:vAlign w:val="center"/>
          </w:tcPr>
          <w:p w14:paraId="54E5CF4B" w14:textId="4D4A2682"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0F4E4C69" w14:textId="0C587655"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49D61BA8" w14:textId="427422C9"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E16A4A" w:rsidRPr="00667139" w14:paraId="03E50CBF" w14:textId="77777777" w:rsidTr="00E50D56">
        <w:trPr>
          <w:trHeight w:val="181"/>
        </w:trPr>
        <w:tc>
          <w:tcPr>
            <w:tcW w:w="866" w:type="pct"/>
            <w:tcBorders>
              <w:top w:val="nil"/>
              <w:left w:val="nil"/>
              <w:bottom w:val="nil"/>
              <w:right w:val="nil"/>
            </w:tcBorders>
            <w:shd w:val="clear" w:color="auto" w:fill="auto"/>
            <w:vAlign w:val="center"/>
          </w:tcPr>
          <w:p w14:paraId="18BD673B" w14:textId="395B43D4"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Aplicações interfinanceiras de liquidez</w:t>
            </w:r>
          </w:p>
        </w:tc>
        <w:tc>
          <w:tcPr>
            <w:tcW w:w="331" w:type="pct"/>
            <w:tcBorders>
              <w:top w:val="nil"/>
              <w:left w:val="nil"/>
              <w:bottom w:val="nil"/>
              <w:right w:val="nil"/>
            </w:tcBorders>
            <w:shd w:val="clear" w:color="auto" w:fill="auto"/>
            <w:noWrap/>
            <w:vAlign w:val="center"/>
          </w:tcPr>
          <w:p w14:paraId="352E0CEA" w14:textId="000B8D49" w:rsidR="00E16A4A" w:rsidRPr="00667139" w:rsidRDefault="00E16A4A" w:rsidP="00E16A4A">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59" w:type="pct"/>
            <w:tcBorders>
              <w:top w:val="nil"/>
              <w:left w:val="nil"/>
              <w:bottom w:val="nil"/>
              <w:right w:val="nil"/>
            </w:tcBorders>
            <w:shd w:val="clear" w:color="auto" w:fill="auto"/>
            <w:noWrap/>
            <w:vAlign w:val="center"/>
          </w:tcPr>
          <w:p w14:paraId="42B2359D" w14:textId="63827664" w:rsidR="00E16A4A" w:rsidRPr="00667139" w:rsidRDefault="00E16A4A" w:rsidP="00E16A4A">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48" w:type="pct"/>
            <w:tcBorders>
              <w:top w:val="nil"/>
              <w:left w:val="nil"/>
              <w:bottom w:val="nil"/>
              <w:right w:val="nil"/>
            </w:tcBorders>
            <w:shd w:val="clear" w:color="auto" w:fill="auto"/>
            <w:noWrap/>
            <w:vAlign w:val="center"/>
          </w:tcPr>
          <w:p w14:paraId="49BFA240" w14:textId="1799AC95" w:rsidR="00E16A4A" w:rsidRPr="00667139" w:rsidRDefault="00E16A4A" w:rsidP="00E16A4A">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82" w:type="pct"/>
            <w:tcBorders>
              <w:top w:val="nil"/>
              <w:left w:val="nil"/>
              <w:bottom w:val="nil"/>
              <w:right w:val="nil"/>
            </w:tcBorders>
            <w:shd w:val="clear" w:color="auto" w:fill="auto"/>
            <w:noWrap/>
            <w:vAlign w:val="center"/>
          </w:tcPr>
          <w:p w14:paraId="57C03F66" w14:textId="7ACD947E" w:rsidR="00E16A4A" w:rsidRPr="00667139" w:rsidRDefault="00E16A4A" w:rsidP="00E16A4A">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43" w:type="pct"/>
            <w:tcBorders>
              <w:top w:val="nil"/>
              <w:left w:val="nil"/>
              <w:bottom w:val="nil"/>
              <w:right w:val="nil"/>
            </w:tcBorders>
            <w:shd w:val="clear" w:color="auto" w:fill="auto"/>
            <w:noWrap/>
            <w:vAlign w:val="center"/>
          </w:tcPr>
          <w:p w14:paraId="054D1735" w14:textId="4EA0BC27" w:rsidR="00E16A4A" w:rsidRPr="00667139" w:rsidRDefault="00E16A4A" w:rsidP="00E16A4A">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6" w:type="pct"/>
            <w:tcBorders>
              <w:top w:val="nil"/>
              <w:left w:val="nil"/>
              <w:bottom w:val="nil"/>
            </w:tcBorders>
            <w:shd w:val="clear" w:color="auto" w:fill="auto"/>
            <w:noWrap/>
            <w:vAlign w:val="center"/>
          </w:tcPr>
          <w:p w14:paraId="797FF5FC" w14:textId="6417EF51" w:rsidR="00E16A4A" w:rsidRPr="00667139" w:rsidRDefault="00E16A4A" w:rsidP="00E16A4A">
            <w:pPr>
              <w:jc w:val="right"/>
              <w:rPr>
                <w:rFonts w:ascii="CAIXA Std Book" w:hAnsi="CAIXA Std Book" w:cs="Calibri"/>
                <w:color w:val="005CA9"/>
                <w:sz w:val="13"/>
                <w:szCs w:val="13"/>
              </w:rPr>
            </w:pPr>
            <w:r>
              <w:rPr>
                <w:rFonts w:ascii="CAIXA Std Book" w:hAnsi="CAIXA Std Book" w:cs="Calibri"/>
                <w:color w:val="005CA9"/>
                <w:sz w:val="13"/>
                <w:szCs w:val="13"/>
              </w:rPr>
              <w:t>102.995</w:t>
            </w:r>
          </w:p>
        </w:tc>
        <w:tc>
          <w:tcPr>
            <w:tcW w:w="331" w:type="pct"/>
            <w:tcBorders>
              <w:top w:val="nil"/>
              <w:left w:val="nil"/>
              <w:bottom w:val="nil"/>
              <w:right w:val="nil"/>
            </w:tcBorders>
            <w:shd w:val="clear" w:color="auto" w:fill="auto"/>
            <w:noWrap/>
            <w:vAlign w:val="center"/>
          </w:tcPr>
          <w:p w14:paraId="3D0CCB6B" w14:textId="3EB6D2B1"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14" w:type="pct"/>
            <w:tcBorders>
              <w:top w:val="nil"/>
              <w:left w:val="nil"/>
              <w:bottom w:val="nil"/>
              <w:right w:val="nil"/>
            </w:tcBorders>
            <w:shd w:val="clear" w:color="auto" w:fill="auto"/>
            <w:noWrap/>
            <w:vAlign w:val="center"/>
          </w:tcPr>
          <w:p w14:paraId="2EE49FEA" w14:textId="334F2E9B"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13D797E5" w14:textId="6318BC09"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50EAF565" w14:textId="60DD9D03"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60D50F49" w14:textId="3AF3668F"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68B85D6D" w14:textId="20980ED1"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15</w:t>
            </w:r>
            <w:r>
              <w:rPr>
                <w:rFonts w:ascii="CAIXA Std Book" w:hAnsi="CAIXA Std Book" w:cs="Arial"/>
                <w:color w:val="005CA9"/>
                <w:sz w:val="13"/>
                <w:szCs w:val="13"/>
              </w:rPr>
              <w:t>.</w:t>
            </w:r>
            <w:r w:rsidRPr="00667139">
              <w:rPr>
                <w:rFonts w:ascii="CAIXA Std Book" w:hAnsi="CAIXA Std Book" w:cs="Arial"/>
                <w:color w:val="005CA9"/>
                <w:sz w:val="13"/>
                <w:szCs w:val="13"/>
              </w:rPr>
              <w:t>036</w:t>
            </w:r>
          </w:p>
        </w:tc>
      </w:tr>
      <w:tr w:rsidR="00E16A4A" w:rsidRPr="00667139" w14:paraId="19810C8F" w14:textId="77777777" w:rsidTr="00E50D56">
        <w:trPr>
          <w:trHeight w:val="181"/>
        </w:trPr>
        <w:tc>
          <w:tcPr>
            <w:tcW w:w="866" w:type="pct"/>
            <w:tcBorders>
              <w:top w:val="nil"/>
              <w:left w:val="nil"/>
              <w:bottom w:val="nil"/>
              <w:right w:val="nil"/>
            </w:tcBorders>
            <w:shd w:val="clear" w:color="auto" w:fill="auto"/>
            <w:vAlign w:val="center"/>
            <w:hideMark/>
          </w:tcPr>
          <w:p w14:paraId="4AF59451" w14:textId="0F005EA5"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 xml:space="preserve">Títulos e valores mobiliários </w:t>
            </w:r>
            <w:r>
              <w:rPr>
                <w:rFonts w:ascii="CAIXA Std Book" w:hAnsi="CAIXA Std Book" w:cs="Calibri"/>
                <w:color w:val="005CA9"/>
                <w:sz w:val="13"/>
                <w:szCs w:val="13"/>
              </w:rPr>
              <w:t>(2)</w:t>
            </w:r>
          </w:p>
        </w:tc>
        <w:tc>
          <w:tcPr>
            <w:tcW w:w="331" w:type="pct"/>
            <w:tcBorders>
              <w:top w:val="nil"/>
              <w:left w:val="nil"/>
              <w:bottom w:val="nil"/>
              <w:right w:val="nil"/>
            </w:tcBorders>
            <w:shd w:val="clear" w:color="auto" w:fill="auto"/>
            <w:noWrap/>
            <w:vAlign w:val="center"/>
          </w:tcPr>
          <w:p w14:paraId="4A47B919" w14:textId="49F6D56B"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266.395.214</w:t>
            </w:r>
          </w:p>
        </w:tc>
        <w:tc>
          <w:tcPr>
            <w:tcW w:w="359" w:type="pct"/>
            <w:tcBorders>
              <w:top w:val="nil"/>
              <w:left w:val="nil"/>
              <w:bottom w:val="nil"/>
              <w:right w:val="nil"/>
            </w:tcBorders>
            <w:shd w:val="clear" w:color="auto" w:fill="auto"/>
            <w:noWrap/>
            <w:vAlign w:val="center"/>
          </w:tcPr>
          <w:p w14:paraId="3C94CD79" w14:textId="7A73B97A"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1.048.123</w:t>
            </w:r>
          </w:p>
        </w:tc>
        <w:tc>
          <w:tcPr>
            <w:tcW w:w="348" w:type="pct"/>
            <w:tcBorders>
              <w:top w:val="nil"/>
              <w:left w:val="nil"/>
              <w:bottom w:val="nil"/>
              <w:right w:val="nil"/>
            </w:tcBorders>
            <w:shd w:val="clear" w:color="auto" w:fill="auto"/>
            <w:noWrap/>
            <w:vAlign w:val="center"/>
          </w:tcPr>
          <w:p w14:paraId="339B692F" w14:textId="33496A54"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6C1EFBD3" w14:textId="45129EEF"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7BAFBFFD" w14:textId="0FD00CE4"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2065544F" w14:textId="6A1CF36A"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1.311.474</w:t>
            </w:r>
          </w:p>
        </w:tc>
        <w:tc>
          <w:tcPr>
            <w:tcW w:w="331" w:type="pct"/>
            <w:tcBorders>
              <w:top w:val="nil"/>
              <w:left w:val="nil"/>
              <w:bottom w:val="nil"/>
              <w:right w:val="nil"/>
            </w:tcBorders>
            <w:shd w:val="clear" w:color="auto" w:fill="auto"/>
            <w:noWrap/>
            <w:vAlign w:val="center"/>
          </w:tcPr>
          <w:p w14:paraId="6A6016DD" w14:textId="3ADB4239"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262.101.501</w:t>
            </w:r>
          </w:p>
        </w:tc>
        <w:tc>
          <w:tcPr>
            <w:tcW w:w="314" w:type="pct"/>
            <w:tcBorders>
              <w:top w:val="nil"/>
              <w:left w:val="nil"/>
              <w:bottom w:val="nil"/>
              <w:right w:val="nil"/>
            </w:tcBorders>
            <w:shd w:val="clear" w:color="auto" w:fill="auto"/>
            <w:noWrap/>
            <w:vAlign w:val="center"/>
          </w:tcPr>
          <w:p w14:paraId="035A1706" w14:textId="6FC013A3"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1.017.521</w:t>
            </w:r>
          </w:p>
        </w:tc>
        <w:tc>
          <w:tcPr>
            <w:tcW w:w="349" w:type="pct"/>
            <w:tcBorders>
              <w:top w:val="nil"/>
              <w:left w:val="nil"/>
              <w:bottom w:val="nil"/>
              <w:right w:val="nil"/>
            </w:tcBorders>
            <w:shd w:val="clear" w:color="auto" w:fill="auto"/>
            <w:noWrap/>
            <w:vAlign w:val="center"/>
          </w:tcPr>
          <w:p w14:paraId="3231E286" w14:textId="3BC84080"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3ECC0200" w14:textId="4035CE75"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3375933E" w14:textId="4B410DF2"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409E71D0" w14:textId="1526C55C"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1.271.216</w:t>
            </w:r>
          </w:p>
        </w:tc>
      </w:tr>
      <w:tr w:rsidR="00E16A4A" w:rsidRPr="00667139" w14:paraId="63E32EC8" w14:textId="77777777" w:rsidTr="00E50D56">
        <w:trPr>
          <w:trHeight w:val="181"/>
        </w:trPr>
        <w:tc>
          <w:tcPr>
            <w:tcW w:w="866" w:type="pct"/>
            <w:tcBorders>
              <w:top w:val="nil"/>
              <w:left w:val="nil"/>
              <w:bottom w:val="nil"/>
              <w:right w:val="nil"/>
            </w:tcBorders>
            <w:shd w:val="clear" w:color="auto" w:fill="auto"/>
            <w:vAlign w:val="center"/>
            <w:hideMark/>
          </w:tcPr>
          <w:p w14:paraId="06CB952E" w14:textId="33B30BA2"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Rendas a receber</w:t>
            </w:r>
            <w:r>
              <w:rPr>
                <w:rFonts w:ascii="CAIXA Std Book" w:hAnsi="CAIXA Std Book" w:cs="Calibri"/>
                <w:color w:val="005CA9"/>
                <w:sz w:val="13"/>
                <w:szCs w:val="13"/>
              </w:rPr>
              <w:t xml:space="preserve"> (3)</w:t>
            </w:r>
          </w:p>
        </w:tc>
        <w:tc>
          <w:tcPr>
            <w:tcW w:w="331" w:type="pct"/>
            <w:tcBorders>
              <w:top w:val="nil"/>
              <w:left w:val="nil"/>
              <w:bottom w:val="nil"/>
              <w:right w:val="nil"/>
            </w:tcBorders>
            <w:shd w:val="clear" w:color="auto" w:fill="auto"/>
            <w:noWrap/>
            <w:vAlign w:val="center"/>
          </w:tcPr>
          <w:p w14:paraId="4B26C746" w14:textId="50F8537C"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655.270</w:t>
            </w:r>
          </w:p>
        </w:tc>
        <w:tc>
          <w:tcPr>
            <w:tcW w:w="359" w:type="pct"/>
            <w:tcBorders>
              <w:top w:val="nil"/>
              <w:left w:val="nil"/>
              <w:bottom w:val="nil"/>
              <w:right w:val="nil"/>
            </w:tcBorders>
            <w:shd w:val="clear" w:color="auto" w:fill="auto"/>
            <w:noWrap/>
            <w:vAlign w:val="center"/>
          </w:tcPr>
          <w:p w14:paraId="29B79FCC" w14:textId="312333C2" w:rsidR="00E16A4A" w:rsidRPr="00667139" w:rsidRDefault="00867F67" w:rsidP="00E16A4A">
            <w:pPr>
              <w:jc w:val="right"/>
              <w:rPr>
                <w:rFonts w:ascii="CAIXA Std Book" w:eastAsia="Futura Lt BT" w:hAnsi="CAIXA Std Book" w:cs="Futura Lt BT"/>
                <w:color w:val="005CA9"/>
                <w:sz w:val="13"/>
                <w:szCs w:val="13"/>
              </w:rPr>
            </w:pPr>
            <w:r w:rsidRPr="00867F67">
              <w:rPr>
                <w:rFonts w:ascii="CAIXA Std Book" w:hAnsi="CAIXA Std Book" w:cs="Calibri"/>
                <w:color w:val="005CA9"/>
                <w:sz w:val="13"/>
                <w:szCs w:val="13"/>
              </w:rPr>
              <w:t>1.360.614</w:t>
            </w:r>
          </w:p>
        </w:tc>
        <w:tc>
          <w:tcPr>
            <w:tcW w:w="348" w:type="pct"/>
            <w:tcBorders>
              <w:top w:val="nil"/>
              <w:left w:val="nil"/>
              <w:bottom w:val="nil"/>
              <w:right w:val="nil"/>
            </w:tcBorders>
            <w:shd w:val="clear" w:color="auto" w:fill="auto"/>
            <w:noWrap/>
            <w:vAlign w:val="center"/>
          </w:tcPr>
          <w:p w14:paraId="047A2703" w14:textId="0FFF5DEE"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14.944</w:t>
            </w:r>
          </w:p>
        </w:tc>
        <w:tc>
          <w:tcPr>
            <w:tcW w:w="382" w:type="pct"/>
            <w:tcBorders>
              <w:top w:val="nil"/>
              <w:left w:val="nil"/>
              <w:bottom w:val="nil"/>
              <w:right w:val="nil"/>
            </w:tcBorders>
            <w:shd w:val="clear" w:color="auto" w:fill="auto"/>
            <w:noWrap/>
            <w:vAlign w:val="center"/>
          </w:tcPr>
          <w:p w14:paraId="5D373FA8" w14:textId="17B441EB" w:rsidR="00E16A4A" w:rsidRPr="00667139" w:rsidRDefault="003F7B28" w:rsidP="00E16A4A">
            <w:pPr>
              <w:jc w:val="right"/>
              <w:rPr>
                <w:rFonts w:ascii="CAIXA Std Book" w:eastAsia="Futura Lt BT" w:hAnsi="CAIXA Std Book" w:cs="Futura Lt BT"/>
                <w:color w:val="005CA9"/>
                <w:sz w:val="13"/>
                <w:szCs w:val="13"/>
              </w:rPr>
            </w:pPr>
            <w:r w:rsidRPr="003F7B28">
              <w:rPr>
                <w:rFonts w:ascii="CAIXA Std Book" w:hAnsi="CAIXA Std Book" w:cs="Calibri"/>
                <w:color w:val="005CA9"/>
                <w:sz w:val="13"/>
                <w:szCs w:val="13"/>
              </w:rPr>
              <w:t>61.310</w:t>
            </w:r>
          </w:p>
        </w:tc>
        <w:tc>
          <w:tcPr>
            <w:tcW w:w="343" w:type="pct"/>
            <w:tcBorders>
              <w:top w:val="nil"/>
              <w:left w:val="nil"/>
              <w:bottom w:val="nil"/>
              <w:right w:val="nil"/>
            </w:tcBorders>
            <w:shd w:val="clear" w:color="auto" w:fill="auto"/>
            <w:noWrap/>
            <w:vAlign w:val="center"/>
          </w:tcPr>
          <w:p w14:paraId="2B91F842" w14:textId="5B041EC4" w:rsidR="00E16A4A" w:rsidRPr="00667139" w:rsidRDefault="00E16A4A" w:rsidP="00E16A4A">
            <w:pPr>
              <w:jc w:val="center"/>
              <w:rPr>
                <w:rFonts w:ascii="CAIXA Std Book" w:eastAsia="Futura Lt BT" w:hAnsi="CAIXA Std Book" w:cs="Futura Lt BT"/>
                <w:color w:val="005CA9"/>
                <w:sz w:val="13"/>
                <w:szCs w:val="13"/>
              </w:rPr>
            </w:pPr>
            <w:r>
              <w:rPr>
                <w:rFonts w:ascii="CAIXA Std Book" w:hAnsi="CAIXA Std Book" w:cs="Calibri"/>
                <w:color w:val="005CA9"/>
                <w:sz w:val="13"/>
                <w:szCs w:val="13"/>
              </w:rPr>
              <w:t>-</w:t>
            </w:r>
          </w:p>
        </w:tc>
        <w:tc>
          <w:tcPr>
            <w:tcW w:w="326" w:type="pct"/>
            <w:tcBorders>
              <w:top w:val="nil"/>
              <w:left w:val="nil"/>
              <w:bottom w:val="nil"/>
            </w:tcBorders>
            <w:shd w:val="clear" w:color="auto" w:fill="auto"/>
            <w:noWrap/>
            <w:vAlign w:val="center"/>
          </w:tcPr>
          <w:p w14:paraId="19EDC8DB" w14:textId="22C65D71"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178.999</w:t>
            </w:r>
          </w:p>
        </w:tc>
        <w:tc>
          <w:tcPr>
            <w:tcW w:w="331" w:type="pct"/>
            <w:tcBorders>
              <w:top w:val="nil"/>
              <w:left w:val="nil"/>
              <w:bottom w:val="nil"/>
              <w:right w:val="nil"/>
            </w:tcBorders>
            <w:shd w:val="clear" w:color="auto" w:fill="auto"/>
            <w:noWrap/>
            <w:vAlign w:val="center"/>
          </w:tcPr>
          <w:p w14:paraId="523F3AF8" w14:textId="026F3CA5"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600.645</w:t>
            </w:r>
          </w:p>
        </w:tc>
        <w:tc>
          <w:tcPr>
            <w:tcW w:w="314" w:type="pct"/>
            <w:tcBorders>
              <w:top w:val="nil"/>
              <w:left w:val="nil"/>
              <w:bottom w:val="nil"/>
              <w:right w:val="nil"/>
            </w:tcBorders>
            <w:shd w:val="clear" w:color="auto" w:fill="auto"/>
            <w:noWrap/>
            <w:vAlign w:val="center"/>
          </w:tcPr>
          <w:p w14:paraId="5EC62BE3" w14:textId="51DED70C"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1.358.422</w:t>
            </w:r>
          </w:p>
        </w:tc>
        <w:tc>
          <w:tcPr>
            <w:tcW w:w="349" w:type="pct"/>
            <w:tcBorders>
              <w:top w:val="nil"/>
              <w:left w:val="nil"/>
              <w:bottom w:val="nil"/>
              <w:right w:val="nil"/>
            </w:tcBorders>
            <w:shd w:val="clear" w:color="auto" w:fill="auto"/>
            <w:noWrap/>
            <w:vAlign w:val="center"/>
          </w:tcPr>
          <w:p w14:paraId="738E7D9A" w14:textId="50B105C1"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3C756A7E" w14:textId="771B3457"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84.039</w:t>
            </w:r>
          </w:p>
        </w:tc>
        <w:tc>
          <w:tcPr>
            <w:tcW w:w="370" w:type="pct"/>
            <w:tcBorders>
              <w:top w:val="nil"/>
              <w:left w:val="nil"/>
              <w:bottom w:val="nil"/>
              <w:right w:val="nil"/>
            </w:tcBorders>
            <w:shd w:val="clear" w:color="auto" w:fill="auto"/>
            <w:noWrap/>
            <w:vAlign w:val="center"/>
          </w:tcPr>
          <w:p w14:paraId="7F832CD3" w14:textId="33A35362"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665B9EAD" w14:textId="14B02AFB"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186.307</w:t>
            </w:r>
          </w:p>
        </w:tc>
      </w:tr>
      <w:tr w:rsidR="00E16A4A" w:rsidRPr="00667139" w14:paraId="67008746" w14:textId="77777777" w:rsidTr="00E50D56">
        <w:trPr>
          <w:trHeight w:val="181"/>
        </w:trPr>
        <w:tc>
          <w:tcPr>
            <w:tcW w:w="866" w:type="pct"/>
            <w:tcBorders>
              <w:top w:val="nil"/>
              <w:left w:val="nil"/>
              <w:bottom w:val="nil"/>
              <w:right w:val="nil"/>
            </w:tcBorders>
            <w:shd w:val="clear" w:color="auto" w:fill="auto"/>
            <w:vAlign w:val="center"/>
            <w:hideMark/>
          </w:tcPr>
          <w:p w14:paraId="1D86A9FE" w14:textId="727344DF"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Carteira de crédito (</w:t>
            </w:r>
            <w:r>
              <w:rPr>
                <w:rFonts w:ascii="CAIXA Std Book" w:hAnsi="CAIXA Std Book" w:cs="Calibri"/>
                <w:color w:val="005CA9"/>
                <w:sz w:val="13"/>
                <w:szCs w:val="13"/>
              </w:rPr>
              <w:t>4</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52342800" w14:textId="67947755"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64</w:t>
            </w:r>
          </w:p>
        </w:tc>
        <w:tc>
          <w:tcPr>
            <w:tcW w:w="359" w:type="pct"/>
            <w:tcBorders>
              <w:top w:val="nil"/>
              <w:left w:val="nil"/>
              <w:bottom w:val="nil"/>
              <w:right w:val="nil"/>
            </w:tcBorders>
            <w:shd w:val="clear" w:color="auto" w:fill="auto"/>
            <w:noWrap/>
            <w:vAlign w:val="center"/>
          </w:tcPr>
          <w:p w14:paraId="35EF60B7" w14:textId="3EE33B9C"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3B5E28B8" w14:textId="016D664A"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264CE553" w14:textId="78416F57"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6F0669C1" w14:textId="5D473790"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517.637</w:t>
            </w:r>
          </w:p>
        </w:tc>
        <w:tc>
          <w:tcPr>
            <w:tcW w:w="326" w:type="pct"/>
            <w:tcBorders>
              <w:top w:val="nil"/>
              <w:left w:val="nil"/>
              <w:bottom w:val="nil"/>
            </w:tcBorders>
            <w:shd w:val="clear" w:color="auto" w:fill="auto"/>
            <w:noWrap/>
            <w:vAlign w:val="center"/>
          </w:tcPr>
          <w:p w14:paraId="641411B0" w14:textId="708CCAD7"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2.764.598</w:t>
            </w:r>
          </w:p>
        </w:tc>
        <w:tc>
          <w:tcPr>
            <w:tcW w:w="331" w:type="pct"/>
            <w:tcBorders>
              <w:top w:val="nil"/>
              <w:left w:val="nil"/>
              <w:bottom w:val="nil"/>
              <w:right w:val="nil"/>
            </w:tcBorders>
            <w:shd w:val="clear" w:color="auto" w:fill="auto"/>
            <w:noWrap/>
            <w:vAlign w:val="center"/>
          </w:tcPr>
          <w:p w14:paraId="70F78173" w14:textId="32CE0520"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63</w:t>
            </w:r>
          </w:p>
        </w:tc>
        <w:tc>
          <w:tcPr>
            <w:tcW w:w="314" w:type="pct"/>
            <w:tcBorders>
              <w:top w:val="nil"/>
              <w:left w:val="nil"/>
              <w:bottom w:val="nil"/>
              <w:right w:val="nil"/>
            </w:tcBorders>
            <w:shd w:val="clear" w:color="auto" w:fill="auto"/>
            <w:noWrap/>
            <w:vAlign w:val="center"/>
          </w:tcPr>
          <w:p w14:paraId="622E03EC" w14:textId="4547FE1F"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1A596B59" w14:textId="16F36C63"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7377FD69" w14:textId="5D63EE49"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5D419B4E" w14:textId="2A17365E"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528.966</w:t>
            </w:r>
          </w:p>
        </w:tc>
        <w:tc>
          <w:tcPr>
            <w:tcW w:w="349" w:type="pct"/>
            <w:tcBorders>
              <w:top w:val="nil"/>
              <w:left w:val="nil"/>
              <w:bottom w:val="nil"/>
            </w:tcBorders>
            <w:shd w:val="clear" w:color="auto" w:fill="auto"/>
            <w:noWrap/>
            <w:vAlign w:val="center"/>
          </w:tcPr>
          <w:p w14:paraId="38EFEA69" w14:textId="699056FB"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2.795.369</w:t>
            </w:r>
          </w:p>
        </w:tc>
      </w:tr>
      <w:tr w:rsidR="00E16A4A" w:rsidRPr="00667139" w14:paraId="5882E99E" w14:textId="77777777" w:rsidTr="00E50D56">
        <w:trPr>
          <w:trHeight w:val="181"/>
        </w:trPr>
        <w:tc>
          <w:tcPr>
            <w:tcW w:w="866" w:type="pct"/>
            <w:tcBorders>
              <w:top w:val="nil"/>
              <w:left w:val="nil"/>
              <w:bottom w:val="nil"/>
              <w:right w:val="nil"/>
            </w:tcBorders>
            <w:shd w:val="clear" w:color="auto" w:fill="auto"/>
            <w:vAlign w:val="center"/>
            <w:hideMark/>
          </w:tcPr>
          <w:p w14:paraId="1A526D10" w14:textId="77777777"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Provisões para operações de crédito</w:t>
            </w:r>
          </w:p>
        </w:tc>
        <w:tc>
          <w:tcPr>
            <w:tcW w:w="331" w:type="pct"/>
            <w:tcBorders>
              <w:top w:val="nil"/>
              <w:left w:val="nil"/>
              <w:bottom w:val="nil"/>
              <w:right w:val="nil"/>
            </w:tcBorders>
            <w:shd w:val="clear" w:color="auto" w:fill="auto"/>
            <w:noWrap/>
            <w:vAlign w:val="center"/>
          </w:tcPr>
          <w:p w14:paraId="672EB01D" w14:textId="5B961951" w:rsidR="00E16A4A" w:rsidRPr="00667139" w:rsidRDefault="00E16A4A" w:rsidP="00E16A4A">
            <w:pPr>
              <w:jc w:val="center"/>
              <w:rPr>
                <w:rFonts w:ascii="CAIXA Std Book" w:eastAsia="Futura Lt BT" w:hAnsi="CAIXA Std Book" w:cs="Futura Lt BT"/>
                <w:color w:val="005CA9"/>
                <w:sz w:val="13"/>
                <w:szCs w:val="13"/>
              </w:rPr>
            </w:pPr>
            <w:r>
              <w:rPr>
                <w:rFonts w:ascii="CAIXA Std Book" w:hAnsi="CAIXA Std Book" w:cs="Calibri"/>
                <w:color w:val="005CA9"/>
                <w:sz w:val="13"/>
                <w:szCs w:val="13"/>
              </w:rPr>
              <w:t>-</w:t>
            </w:r>
          </w:p>
        </w:tc>
        <w:tc>
          <w:tcPr>
            <w:tcW w:w="359" w:type="pct"/>
            <w:tcBorders>
              <w:top w:val="nil"/>
              <w:left w:val="nil"/>
              <w:bottom w:val="nil"/>
              <w:right w:val="nil"/>
            </w:tcBorders>
            <w:shd w:val="clear" w:color="auto" w:fill="auto"/>
            <w:noWrap/>
            <w:vAlign w:val="center"/>
          </w:tcPr>
          <w:p w14:paraId="0527364F" w14:textId="6462AF1D"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4C5B2C25" w14:textId="3C94389D"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60B9712A" w14:textId="24C76AC1"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45373D69" w14:textId="594B5186"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(483.886)</w:t>
            </w:r>
          </w:p>
        </w:tc>
        <w:tc>
          <w:tcPr>
            <w:tcW w:w="326" w:type="pct"/>
            <w:tcBorders>
              <w:top w:val="nil"/>
              <w:left w:val="nil"/>
              <w:bottom w:val="nil"/>
            </w:tcBorders>
            <w:shd w:val="clear" w:color="auto" w:fill="auto"/>
            <w:noWrap/>
            <w:vAlign w:val="center"/>
          </w:tcPr>
          <w:p w14:paraId="733BC739" w14:textId="7FBC8A96"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(829)</w:t>
            </w:r>
          </w:p>
        </w:tc>
        <w:tc>
          <w:tcPr>
            <w:tcW w:w="331" w:type="pct"/>
            <w:tcBorders>
              <w:top w:val="nil"/>
              <w:left w:val="nil"/>
              <w:bottom w:val="nil"/>
              <w:right w:val="nil"/>
            </w:tcBorders>
            <w:shd w:val="clear" w:color="auto" w:fill="auto"/>
            <w:noWrap/>
            <w:vAlign w:val="center"/>
          </w:tcPr>
          <w:p w14:paraId="5756CCFE" w14:textId="2FFF942B"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14" w:type="pct"/>
            <w:tcBorders>
              <w:top w:val="nil"/>
              <w:left w:val="nil"/>
              <w:bottom w:val="nil"/>
              <w:right w:val="nil"/>
            </w:tcBorders>
            <w:shd w:val="clear" w:color="auto" w:fill="auto"/>
            <w:noWrap/>
            <w:vAlign w:val="center"/>
          </w:tcPr>
          <w:p w14:paraId="38030CB5" w14:textId="187187B7"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680B4CD3" w14:textId="2C7C9904"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148F2906" w14:textId="7E54C83E"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53259402" w14:textId="43AA01F8" w:rsidR="00E16A4A" w:rsidRPr="00667139" w:rsidRDefault="00E16A4A" w:rsidP="00E16A4A">
            <w:pPr>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496.780</w:t>
            </w:r>
            <w:r>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63ABFFD8" w14:textId="4BAF1ADE" w:rsidR="00E16A4A" w:rsidRPr="00667139" w:rsidRDefault="00E16A4A" w:rsidP="00E16A4A">
            <w:pPr>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839</w:t>
            </w:r>
            <w:r>
              <w:rPr>
                <w:rFonts w:ascii="CAIXA Std Book" w:hAnsi="CAIXA Std Book" w:cs="Arial"/>
                <w:color w:val="005CA9"/>
                <w:sz w:val="13"/>
                <w:szCs w:val="13"/>
              </w:rPr>
              <w:t>)</w:t>
            </w:r>
          </w:p>
        </w:tc>
      </w:tr>
      <w:tr w:rsidR="00E16A4A" w:rsidRPr="00667139" w14:paraId="14D0601A" w14:textId="77777777" w:rsidTr="00E50D56">
        <w:trPr>
          <w:trHeight w:val="181"/>
        </w:trPr>
        <w:tc>
          <w:tcPr>
            <w:tcW w:w="866" w:type="pct"/>
            <w:tcBorders>
              <w:top w:val="nil"/>
              <w:left w:val="nil"/>
              <w:bottom w:val="nil"/>
              <w:right w:val="nil"/>
            </w:tcBorders>
            <w:shd w:val="clear" w:color="auto" w:fill="auto"/>
            <w:vAlign w:val="center"/>
            <w:hideMark/>
          </w:tcPr>
          <w:p w14:paraId="31493EAC" w14:textId="0F5D602E"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Outros créditos (</w:t>
            </w:r>
            <w:r>
              <w:rPr>
                <w:rFonts w:ascii="CAIXA Std Book" w:hAnsi="CAIXA Std Book" w:cs="Calibri"/>
                <w:color w:val="005CA9"/>
                <w:sz w:val="13"/>
                <w:szCs w:val="13"/>
              </w:rPr>
              <w:t>5</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61F61204" w14:textId="73318084" w:rsidR="00E16A4A" w:rsidRPr="00EB34AB" w:rsidRDefault="00E16A4A" w:rsidP="007C4F15">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2.212.487</w:t>
            </w:r>
          </w:p>
        </w:tc>
        <w:tc>
          <w:tcPr>
            <w:tcW w:w="359" w:type="pct"/>
            <w:tcBorders>
              <w:top w:val="nil"/>
              <w:left w:val="nil"/>
              <w:bottom w:val="nil"/>
              <w:right w:val="nil"/>
            </w:tcBorders>
            <w:shd w:val="clear" w:color="auto" w:fill="auto"/>
            <w:noWrap/>
            <w:vAlign w:val="center"/>
          </w:tcPr>
          <w:p w14:paraId="381E12DF" w14:textId="1546F1F4" w:rsidR="00E16A4A" w:rsidRPr="00EB34AB" w:rsidRDefault="00E16A4A" w:rsidP="00E16A4A">
            <w:pPr>
              <w:jc w:val="right"/>
              <w:rPr>
                <w:rFonts w:ascii="CAIXA Std Book" w:eastAsia="Futura Lt BT" w:hAnsi="CAIXA Std Book" w:cs="Futura Lt BT"/>
                <w:color w:val="005CA9"/>
                <w:sz w:val="13"/>
                <w:szCs w:val="13"/>
              </w:rPr>
            </w:pPr>
            <w:r w:rsidRPr="00EB34AB">
              <w:rPr>
                <w:rFonts w:ascii="CAIXA Std Book" w:hAnsi="CAIXA Std Book" w:cs="Calibri"/>
                <w:color w:val="005CA9"/>
                <w:sz w:val="13"/>
                <w:szCs w:val="13"/>
              </w:rPr>
              <w:t>30.465</w:t>
            </w:r>
          </w:p>
        </w:tc>
        <w:tc>
          <w:tcPr>
            <w:tcW w:w="348" w:type="pct"/>
            <w:tcBorders>
              <w:top w:val="nil"/>
              <w:left w:val="nil"/>
              <w:bottom w:val="nil"/>
              <w:right w:val="nil"/>
            </w:tcBorders>
            <w:shd w:val="clear" w:color="auto" w:fill="auto"/>
            <w:noWrap/>
            <w:vAlign w:val="center"/>
          </w:tcPr>
          <w:p w14:paraId="74C6D2AB" w14:textId="2F8CBF20" w:rsidR="00E16A4A" w:rsidRPr="00EB34AB" w:rsidRDefault="00E16A4A" w:rsidP="00E16A4A">
            <w:pPr>
              <w:jc w:val="right"/>
              <w:rPr>
                <w:rFonts w:ascii="CAIXA Std Book" w:eastAsia="Futura Lt BT" w:hAnsi="CAIXA Std Book" w:cs="Futura Lt BT"/>
                <w:color w:val="005CA9"/>
                <w:sz w:val="13"/>
                <w:szCs w:val="13"/>
              </w:rPr>
            </w:pPr>
            <w:r w:rsidRPr="00EB34AB">
              <w:rPr>
                <w:rFonts w:ascii="CAIXA Std Book" w:hAnsi="CAIXA Std Book" w:cs="Calibri"/>
                <w:color w:val="005CA9"/>
                <w:sz w:val="13"/>
                <w:szCs w:val="13"/>
              </w:rPr>
              <w:t>16</w:t>
            </w:r>
          </w:p>
        </w:tc>
        <w:tc>
          <w:tcPr>
            <w:tcW w:w="382" w:type="pct"/>
            <w:tcBorders>
              <w:top w:val="nil"/>
              <w:left w:val="nil"/>
              <w:bottom w:val="nil"/>
              <w:right w:val="nil"/>
            </w:tcBorders>
            <w:shd w:val="clear" w:color="auto" w:fill="auto"/>
            <w:noWrap/>
            <w:vAlign w:val="center"/>
          </w:tcPr>
          <w:p w14:paraId="0A8CEC46" w14:textId="4A62FEC1" w:rsidR="00E16A4A" w:rsidRPr="00EB34AB" w:rsidRDefault="00E16A4A" w:rsidP="00E16A4A">
            <w:pPr>
              <w:jc w:val="right"/>
              <w:rPr>
                <w:rFonts w:ascii="CAIXA Std Book" w:eastAsia="Futura Lt BT" w:hAnsi="CAIXA Std Book" w:cs="Futura Lt BT"/>
                <w:color w:val="005CA9"/>
                <w:sz w:val="13"/>
                <w:szCs w:val="13"/>
              </w:rPr>
            </w:pPr>
            <w:r w:rsidRPr="00EB34AB">
              <w:rPr>
                <w:rFonts w:ascii="CAIXA Std Book" w:hAnsi="CAIXA Std Book" w:cs="Calibri"/>
                <w:color w:val="005CA9"/>
                <w:sz w:val="13"/>
                <w:szCs w:val="13"/>
              </w:rPr>
              <w:t>1</w:t>
            </w:r>
          </w:p>
        </w:tc>
        <w:tc>
          <w:tcPr>
            <w:tcW w:w="343" w:type="pct"/>
            <w:tcBorders>
              <w:top w:val="nil"/>
              <w:left w:val="nil"/>
              <w:bottom w:val="nil"/>
              <w:right w:val="nil"/>
            </w:tcBorders>
            <w:shd w:val="clear" w:color="auto" w:fill="auto"/>
            <w:noWrap/>
            <w:vAlign w:val="center"/>
          </w:tcPr>
          <w:p w14:paraId="5B510089" w14:textId="2A5472E7" w:rsidR="00E16A4A" w:rsidRPr="00EB34AB" w:rsidRDefault="00E16A4A" w:rsidP="00E16A4A">
            <w:pPr>
              <w:jc w:val="right"/>
              <w:rPr>
                <w:rFonts w:ascii="CAIXA Std Book" w:eastAsia="Futura Lt BT" w:hAnsi="CAIXA Std Book" w:cs="Futura Lt BT"/>
                <w:color w:val="005CA9"/>
                <w:sz w:val="13"/>
                <w:szCs w:val="13"/>
              </w:rPr>
            </w:pPr>
            <w:r w:rsidRPr="00EB34AB">
              <w:rPr>
                <w:rFonts w:ascii="CAIXA Std Book" w:hAnsi="CAIXA Std Book" w:cs="Calibri"/>
                <w:color w:val="005CA9"/>
                <w:sz w:val="13"/>
                <w:szCs w:val="13"/>
              </w:rPr>
              <w:t>1.818</w:t>
            </w:r>
          </w:p>
        </w:tc>
        <w:tc>
          <w:tcPr>
            <w:tcW w:w="326" w:type="pct"/>
            <w:tcBorders>
              <w:top w:val="nil"/>
              <w:left w:val="nil"/>
              <w:bottom w:val="nil"/>
            </w:tcBorders>
            <w:shd w:val="clear" w:color="auto" w:fill="auto"/>
            <w:noWrap/>
            <w:vAlign w:val="center"/>
          </w:tcPr>
          <w:p w14:paraId="4D8E7012" w14:textId="27397BCB" w:rsidR="00E16A4A" w:rsidRPr="00EB34AB" w:rsidRDefault="00E16A4A" w:rsidP="00E16A4A">
            <w:pPr>
              <w:jc w:val="right"/>
              <w:rPr>
                <w:rFonts w:ascii="CAIXA Std Book" w:eastAsia="Futura Lt BT" w:hAnsi="CAIXA Std Book" w:cs="Futura Lt BT"/>
                <w:color w:val="005CA9"/>
                <w:sz w:val="13"/>
                <w:szCs w:val="13"/>
              </w:rPr>
            </w:pPr>
            <w:r w:rsidRPr="00EB34AB">
              <w:rPr>
                <w:rFonts w:ascii="CAIXA Std Book" w:hAnsi="CAIXA Std Book" w:cs="Calibri"/>
                <w:color w:val="005CA9"/>
                <w:sz w:val="13"/>
                <w:szCs w:val="13"/>
              </w:rPr>
              <w:t>42.098.964</w:t>
            </w:r>
          </w:p>
        </w:tc>
        <w:tc>
          <w:tcPr>
            <w:tcW w:w="331" w:type="pct"/>
            <w:tcBorders>
              <w:top w:val="nil"/>
              <w:left w:val="nil"/>
              <w:bottom w:val="nil"/>
              <w:right w:val="nil"/>
            </w:tcBorders>
            <w:shd w:val="clear" w:color="auto" w:fill="auto"/>
            <w:noWrap/>
            <w:vAlign w:val="center"/>
          </w:tcPr>
          <w:p w14:paraId="6C6E3662" w14:textId="61F6AA9E"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2.203.208</w:t>
            </w:r>
          </w:p>
        </w:tc>
        <w:tc>
          <w:tcPr>
            <w:tcW w:w="314" w:type="pct"/>
            <w:tcBorders>
              <w:top w:val="nil"/>
              <w:left w:val="nil"/>
              <w:bottom w:val="nil"/>
              <w:right w:val="nil"/>
            </w:tcBorders>
            <w:shd w:val="clear" w:color="auto" w:fill="auto"/>
            <w:noWrap/>
            <w:vAlign w:val="center"/>
          </w:tcPr>
          <w:p w14:paraId="5B293141" w14:textId="42B196E1"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24.349</w:t>
            </w:r>
          </w:p>
        </w:tc>
        <w:tc>
          <w:tcPr>
            <w:tcW w:w="349" w:type="pct"/>
            <w:tcBorders>
              <w:top w:val="nil"/>
              <w:left w:val="nil"/>
              <w:bottom w:val="nil"/>
              <w:right w:val="nil"/>
            </w:tcBorders>
            <w:shd w:val="clear" w:color="auto" w:fill="auto"/>
            <w:noWrap/>
            <w:vAlign w:val="center"/>
          </w:tcPr>
          <w:p w14:paraId="56537AEE" w14:textId="48786A29"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18</w:t>
            </w:r>
          </w:p>
        </w:tc>
        <w:tc>
          <w:tcPr>
            <w:tcW w:w="332" w:type="pct"/>
            <w:tcBorders>
              <w:top w:val="nil"/>
              <w:left w:val="nil"/>
              <w:bottom w:val="nil"/>
              <w:right w:val="nil"/>
            </w:tcBorders>
            <w:shd w:val="clear" w:color="auto" w:fill="auto"/>
            <w:noWrap/>
            <w:vAlign w:val="center"/>
          </w:tcPr>
          <w:p w14:paraId="5B9FE103" w14:textId="26373678"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58</w:t>
            </w:r>
            <w:r>
              <w:rPr>
                <w:rFonts w:ascii="CAIXA Std Book" w:hAnsi="CAIXA Std Book" w:cs="Arial"/>
                <w:color w:val="005CA9"/>
                <w:sz w:val="13"/>
                <w:szCs w:val="13"/>
              </w:rPr>
              <w:t>.</w:t>
            </w:r>
            <w:r w:rsidRPr="00667139">
              <w:rPr>
                <w:rFonts w:ascii="CAIXA Std Book" w:hAnsi="CAIXA Std Book" w:cs="Arial"/>
                <w:color w:val="005CA9"/>
                <w:sz w:val="13"/>
                <w:szCs w:val="13"/>
              </w:rPr>
              <w:t>458</w:t>
            </w:r>
          </w:p>
        </w:tc>
        <w:tc>
          <w:tcPr>
            <w:tcW w:w="370" w:type="pct"/>
            <w:tcBorders>
              <w:top w:val="nil"/>
              <w:left w:val="nil"/>
              <w:bottom w:val="nil"/>
              <w:right w:val="nil"/>
            </w:tcBorders>
            <w:shd w:val="clear" w:color="auto" w:fill="auto"/>
            <w:noWrap/>
            <w:vAlign w:val="center"/>
          </w:tcPr>
          <w:p w14:paraId="1F882727" w14:textId="15C1CB09"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1.774</w:t>
            </w:r>
          </w:p>
        </w:tc>
        <w:tc>
          <w:tcPr>
            <w:tcW w:w="349" w:type="pct"/>
            <w:tcBorders>
              <w:top w:val="nil"/>
              <w:left w:val="nil"/>
              <w:bottom w:val="nil"/>
            </w:tcBorders>
            <w:shd w:val="clear" w:color="auto" w:fill="auto"/>
            <w:noWrap/>
            <w:vAlign w:val="center"/>
          </w:tcPr>
          <w:p w14:paraId="4552CEB2" w14:textId="23D95BA1" w:rsidR="00E16A4A" w:rsidRPr="00667139" w:rsidRDefault="00E16A4A" w:rsidP="00E16A4A">
            <w:pPr>
              <w:jc w:val="right"/>
              <w:rPr>
                <w:rFonts w:ascii="CAIXA Std Book" w:hAnsi="CAIXA Std Book" w:cs="Calibri"/>
                <w:color w:val="005CA9"/>
                <w:sz w:val="13"/>
                <w:szCs w:val="13"/>
              </w:rPr>
            </w:pPr>
            <w:r w:rsidRPr="00667139">
              <w:rPr>
                <w:rFonts w:ascii="CAIXA Std Book" w:hAnsi="CAIXA Std Book" w:cs="Arial"/>
                <w:color w:val="005CA9"/>
                <w:sz w:val="13"/>
                <w:szCs w:val="13"/>
              </w:rPr>
              <w:t>41.671.600</w:t>
            </w:r>
          </w:p>
        </w:tc>
      </w:tr>
      <w:tr w:rsidR="00E16A4A" w:rsidRPr="00667139" w14:paraId="4E2CEEDF" w14:textId="77777777" w:rsidTr="00E50D56">
        <w:trPr>
          <w:trHeight w:val="181"/>
        </w:trPr>
        <w:tc>
          <w:tcPr>
            <w:tcW w:w="866" w:type="pct"/>
            <w:tcBorders>
              <w:top w:val="nil"/>
              <w:left w:val="nil"/>
              <w:bottom w:val="nil"/>
              <w:right w:val="nil"/>
            </w:tcBorders>
            <w:shd w:val="clear" w:color="auto" w:fill="auto"/>
            <w:vAlign w:val="center"/>
            <w:hideMark/>
          </w:tcPr>
          <w:p w14:paraId="19038C55" w14:textId="7BE9A479"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 xml:space="preserve">Provisões para outros créditos </w:t>
            </w:r>
            <w:r>
              <w:rPr>
                <w:rFonts w:ascii="CAIXA Std Book" w:hAnsi="CAIXA Std Book" w:cs="Calibri"/>
                <w:color w:val="005CA9"/>
                <w:sz w:val="13"/>
                <w:szCs w:val="13"/>
              </w:rPr>
              <w:t>(6</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382B45E9" w14:textId="7F0D86C4" w:rsidR="00E16A4A" w:rsidRPr="00AE63EA" w:rsidRDefault="00E16A4A" w:rsidP="007C4F15">
            <w:pPr>
              <w:jc w:val="right"/>
              <w:rPr>
                <w:rFonts w:ascii="CAIXA Std Book" w:hAnsi="CAIXA Std Book" w:cs="Calibri"/>
                <w:color w:val="005CA9"/>
                <w:sz w:val="13"/>
                <w:szCs w:val="13"/>
              </w:rPr>
            </w:pPr>
            <w:r>
              <w:rPr>
                <w:rFonts w:ascii="CAIXA Std Book" w:hAnsi="CAIXA Std Book" w:cs="Calibri"/>
                <w:color w:val="005CA9"/>
                <w:sz w:val="13"/>
                <w:szCs w:val="13"/>
              </w:rPr>
              <w:t>(1.548.949)</w:t>
            </w:r>
          </w:p>
        </w:tc>
        <w:tc>
          <w:tcPr>
            <w:tcW w:w="359" w:type="pct"/>
            <w:tcBorders>
              <w:top w:val="nil"/>
              <w:left w:val="nil"/>
              <w:bottom w:val="nil"/>
              <w:right w:val="nil"/>
            </w:tcBorders>
            <w:shd w:val="clear" w:color="auto" w:fill="auto"/>
            <w:noWrap/>
            <w:vAlign w:val="center"/>
          </w:tcPr>
          <w:p w14:paraId="6F25DBDA" w14:textId="1E862420"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1A701CBB" w14:textId="65A1F8D0"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5A0AE003" w14:textId="6E77436B"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6E40C820" w14:textId="084BF33E"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(16)</w:t>
            </w:r>
          </w:p>
        </w:tc>
        <w:tc>
          <w:tcPr>
            <w:tcW w:w="326" w:type="pct"/>
            <w:tcBorders>
              <w:top w:val="nil"/>
              <w:left w:val="nil"/>
              <w:bottom w:val="nil"/>
            </w:tcBorders>
            <w:shd w:val="clear" w:color="auto" w:fill="auto"/>
            <w:noWrap/>
            <w:vAlign w:val="center"/>
          </w:tcPr>
          <w:p w14:paraId="464A6930" w14:textId="19DAD642"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(10.003.912)</w:t>
            </w:r>
          </w:p>
        </w:tc>
        <w:tc>
          <w:tcPr>
            <w:tcW w:w="331" w:type="pct"/>
            <w:tcBorders>
              <w:top w:val="nil"/>
              <w:left w:val="nil"/>
              <w:bottom w:val="nil"/>
              <w:right w:val="nil"/>
            </w:tcBorders>
            <w:shd w:val="clear" w:color="auto" w:fill="auto"/>
            <w:noWrap/>
            <w:vAlign w:val="center"/>
          </w:tcPr>
          <w:p w14:paraId="2FB23021" w14:textId="576FA811"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14" w:type="pct"/>
            <w:tcBorders>
              <w:top w:val="nil"/>
              <w:left w:val="nil"/>
              <w:bottom w:val="nil"/>
              <w:right w:val="nil"/>
            </w:tcBorders>
            <w:shd w:val="clear" w:color="auto" w:fill="auto"/>
            <w:noWrap/>
            <w:vAlign w:val="center"/>
          </w:tcPr>
          <w:p w14:paraId="61ED25B9" w14:textId="2573ED06"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61CD0BD6" w14:textId="49D26EC4"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124C0496" w14:textId="20861377"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09589AEE" w14:textId="316A7107" w:rsidR="00E16A4A" w:rsidRPr="00667139" w:rsidRDefault="00E16A4A" w:rsidP="00E16A4A">
            <w:pPr>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17</w:t>
            </w:r>
            <w:r>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273C44ED" w14:textId="2F93D08D" w:rsidR="00E16A4A" w:rsidRPr="00667139" w:rsidRDefault="00E16A4A" w:rsidP="00E16A4A">
            <w:pPr>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9.417.547</w:t>
            </w:r>
            <w:r>
              <w:rPr>
                <w:rFonts w:ascii="CAIXA Std Book" w:hAnsi="CAIXA Std Book" w:cs="Arial"/>
                <w:color w:val="005CA9"/>
                <w:sz w:val="13"/>
                <w:szCs w:val="13"/>
              </w:rPr>
              <w:t>)</w:t>
            </w:r>
          </w:p>
        </w:tc>
      </w:tr>
      <w:tr w:rsidR="00E16A4A" w:rsidRPr="00667139" w14:paraId="7708B356" w14:textId="77777777" w:rsidTr="00E50D56">
        <w:trPr>
          <w:trHeight w:val="181"/>
        </w:trPr>
        <w:tc>
          <w:tcPr>
            <w:tcW w:w="866" w:type="pct"/>
            <w:tcBorders>
              <w:top w:val="nil"/>
              <w:left w:val="nil"/>
              <w:bottom w:val="single" w:sz="4" w:space="0" w:color="F79646" w:themeColor="accent6"/>
              <w:right w:val="nil"/>
            </w:tcBorders>
            <w:shd w:val="clear" w:color="auto" w:fill="auto"/>
            <w:vAlign w:val="center"/>
            <w:hideMark/>
          </w:tcPr>
          <w:p w14:paraId="2CD4B263" w14:textId="77777777" w:rsidR="00E16A4A" w:rsidRPr="00667139" w:rsidRDefault="00E16A4A" w:rsidP="00E16A4A">
            <w:pPr>
              <w:rPr>
                <w:rFonts w:ascii="CAIXA Std Book" w:hAnsi="CAIXA Std Book" w:cs="Calibri"/>
                <w:color w:val="005CA9"/>
                <w:sz w:val="13"/>
                <w:szCs w:val="13"/>
              </w:rPr>
            </w:pPr>
            <w:r w:rsidRPr="00667139">
              <w:rPr>
                <w:rFonts w:ascii="CAIXA Std Book" w:hAnsi="CAIXA Std Book" w:cs="Calibri"/>
                <w:color w:val="005CA9"/>
                <w:sz w:val="13"/>
                <w:szCs w:val="13"/>
              </w:rPr>
              <w:t>Outros investimentos, valores e bens</w:t>
            </w:r>
          </w:p>
        </w:tc>
        <w:tc>
          <w:tcPr>
            <w:tcW w:w="331" w:type="pct"/>
            <w:tcBorders>
              <w:top w:val="nil"/>
              <w:left w:val="nil"/>
              <w:bottom w:val="nil"/>
              <w:right w:val="nil"/>
            </w:tcBorders>
            <w:shd w:val="clear" w:color="auto" w:fill="auto"/>
            <w:noWrap/>
            <w:vAlign w:val="center"/>
          </w:tcPr>
          <w:p w14:paraId="76CC3D7A" w14:textId="0159474F" w:rsidR="00E16A4A" w:rsidRPr="00667139" w:rsidRDefault="00E16A4A" w:rsidP="00E16A4A">
            <w:pPr>
              <w:jc w:val="center"/>
              <w:rPr>
                <w:rFonts w:ascii="CAIXA Std Book" w:eastAsia="Futura Lt BT" w:hAnsi="CAIXA Std Book" w:cs="Futura Lt BT"/>
                <w:color w:val="005CA9"/>
                <w:sz w:val="13"/>
                <w:szCs w:val="13"/>
              </w:rPr>
            </w:pPr>
            <w:r>
              <w:rPr>
                <w:rFonts w:ascii="CAIXA Std Book" w:hAnsi="CAIXA Std Book" w:cs="Calibri"/>
                <w:color w:val="005CA9"/>
                <w:sz w:val="13"/>
                <w:szCs w:val="13"/>
              </w:rPr>
              <w:t>-</w:t>
            </w:r>
          </w:p>
        </w:tc>
        <w:tc>
          <w:tcPr>
            <w:tcW w:w="359" w:type="pct"/>
            <w:tcBorders>
              <w:top w:val="nil"/>
              <w:left w:val="nil"/>
              <w:bottom w:val="nil"/>
              <w:right w:val="nil"/>
            </w:tcBorders>
            <w:shd w:val="clear" w:color="auto" w:fill="auto"/>
            <w:noWrap/>
            <w:vAlign w:val="center"/>
          </w:tcPr>
          <w:p w14:paraId="145F7665" w14:textId="01AA84B9"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2D4DCAF2" w14:textId="278A275F"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1C6F7FFB" w14:textId="18D2596D"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7C8D8065" w14:textId="7652B39A" w:rsidR="00E16A4A" w:rsidRPr="00667139" w:rsidRDefault="00E16A4A" w:rsidP="00E16A4A">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5B839614" w14:textId="53CE1777" w:rsidR="00E16A4A" w:rsidRPr="00667139" w:rsidRDefault="00E16A4A" w:rsidP="00E16A4A">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5.433</w:t>
            </w:r>
          </w:p>
        </w:tc>
        <w:tc>
          <w:tcPr>
            <w:tcW w:w="331" w:type="pct"/>
            <w:tcBorders>
              <w:top w:val="nil"/>
              <w:left w:val="nil"/>
              <w:bottom w:val="single" w:sz="4" w:space="0" w:color="F79646" w:themeColor="accent6"/>
              <w:right w:val="nil"/>
            </w:tcBorders>
            <w:shd w:val="clear" w:color="auto" w:fill="auto"/>
            <w:noWrap/>
            <w:vAlign w:val="center"/>
          </w:tcPr>
          <w:p w14:paraId="622172FA" w14:textId="216CF588"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14" w:type="pct"/>
            <w:tcBorders>
              <w:top w:val="nil"/>
              <w:left w:val="nil"/>
              <w:bottom w:val="single" w:sz="4" w:space="0" w:color="F79646" w:themeColor="accent6"/>
              <w:right w:val="nil"/>
            </w:tcBorders>
            <w:shd w:val="clear" w:color="auto" w:fill="auto"/>
            <w:noWrap/>
            <w:vAlign w:val="center"/>
          </w:tcPr>
          <w:p w14:paraId="3844C85F" w14:textId="5A58E81B"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single" w:sz="4" w:space="0" w:color="F79646" w:themeColor="accent6"/>
              <w:right w:val="nil"/>
            </w:tcBorders>
            <w:shd w:val="clear" w:color="auto" w:fill="auto"/>
            <w:noWrap/>
            <w:vAlign w:val="center"/>
          </w:tcPr>
          <w:p w14:paraId="41C7BF66" w14:textId="21EC1679"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single" w:sz="4" w:space="0" w:color="F79646" w:themeColor="accent6"/>
              <w:right w:val="nil"/>
            </w:tcBorders>
            <w:shd w:val="clear" w:color="auto" w:fill="auto"/>
            <w:noWrap/>
            <w:vAlign w:val="center"/>
          </w:tcPr>
          <w:p w14:paraId="2706928F" w14:textId="63B2022A"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single" w:sz="4" w:space="0" w:color="F79646" w:themeColor="accent6"/>
              <w:right w:val="nil"/>
            </w:tcBorders>
            <w:shd w:val="clear" w:color="auto" w:fill="auto"/>
            <w:noWrap/>
            <w:vAlign w:val="center"/>
          </w:tcPr>
          <w:p w14:paraId="42313E02" w14:textId="7ADCFB70"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single" w:sz="4" w:space="0" w:color="F79646" w:themeColor="accent6"/>
            </w:tcBorders>
            <w:shd w:val="clear" w:color="auto" w:fill="auto"/>
            <w:noWrap/>
            <w:vAlign w:val="center"/>
          </w:tcPr>
          <w:p w14:paraId="7624A632" w14:textId="41500549" w:rsidR="00E16A4A" w:rsidRPr="00667139" w:rsidRDefault="00E16A4A" w:rsidP="00E16A4A">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E50D56" w:rsidRPr="00667139" w14:paraId="4692F90E" w14:textId="77777777" w:rsidTr="00E50D56">
        <w:trPr>
          <w:trHeight w:val="181"/>
        </w:trPr>
        <w:tc>
          <w:tcPr>
            <w:tcW w:w="866" w:type="pct"/>
            <w:tcBorders>
              <w:top w:val="single" w:sz="4" w:space="0" w:color="F79646" w:themeColor="accent6"/>
              <w:left w:val="nil"/>
              <w:bottom w:val="single" w:sz="4" w:space="0" w:color="F79646" w:themeColor="accent6"/>
              <w:right w:val="nil"/>
            </w:tcBorders>
            <w:shd w:val="clear" w:color="auto" w:fill="auto"/>
            <w:vAlign w:val="center"/>
            <w:hideMark/>
          </w:tcPr>
          <w:p w14:paraId="23D4EF18" w14:textId="799FB4B6" w:rsidR="006A2862" w:rsidRPr="00667139" w:rsidRDefault="006A2862" w:rsidP="006A2862">
            <w:pPr>
              <w:rPr>
                <w:rFonts w:ascii="CAIXA Std Book" w:hAnsi="CAIXA Std Book" w:cs="Calibri"/>
                <w:b/>
                <w:bCs/>
                <w:color w:val="005CA9"/>
                <w:sz w:val="13"/>
                <w:szCs w:val="13"/>
              </w:rPr>
            </w:pPr>
            <w:r w:rsidRPr="00667139">
              <w:rPr>
                <w:rFonts w:ascii="CAIXA Std Book" w:hAnsi="CAIXA Std Book" w:cs="Calibri"/>
                <w:b/>
                <w:bCs/>
                <w:color w:val="005CA9"/>
                <w:sz w:val="13"/>
                <w:szCs w:val="13"/>
              </w:rPr>
              <w:t>PASSIVO</w:t>
            </w:r>
          </w:p>
        </w:tc>
        <w:tc>
          <w:tcPr>
            <w:tcW w:w="331" w:type="pct"/>
            <w:tcBorders>
              <w:top w:val="single" w:sz="4" w:space="0" w:color="F39200"/>
              <w:left w:val="nil"/>
              <w:bottom w:val="single" w:sz="4" w:space="0" w:color="F39200"/>
              <w:right w:val="nil"/>
            </w:tcBorders>
            <w:shd w:val="clear" w:color="auto" w:fill="auto"/>
            <w:vAlign w:val="center"/>
          </w:tcPr>
          <w:p w14:paraId="3AE52125" w14:textId="0EB36774" w:rsidR="006A2862" w:rsidRPr="00667139" w:rsidRDefault="006A2862" w:rsidP="006A2862">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45.072.181</w:t>
            </w:r>
          </w:p>
        </w:tc>
        <w:tc>
          <w:tcPr>
            <w:tcW w:w="359" w:type="pct"/>
            <w:tcBorders>
              <w:top w:val="single" w:sz="4" w:space="0" w:color="F39200"/>
              <w:left w:val="nil"/>
              <w:bottom w:val="single" w:sz="4" w:space="0" w:color="F39200"/>
              <w:right w:val="nil"/>
            </w:tcBorders>
            <w:shd w:val="clear" w:color="auto" w:fill="auto"/>
            <w:vAlign w:val="center"/>
          </w:tcPr>
          <w:p w14:paraId="03354F7A" w14:textId="453C065E" w:rsidR="006A2862" w:rsidRPr="00667139" w:rsidRDefault="006A2862" w:rsidP="006A2862">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3.965</w:t>
            </w:r>
          </w:p>
        </w:tc>
        <w:tc>
          <w:tcPr>
            <w:tcW w:w="348" w:type="pct"/>
            <w:tcBorders>
              <w:top w:val="single" w:sz="4" w:space="0" w:color="F39200"/>
              <w:left w:val="nil"/>
              <w:bottom w:val="single" w:sz="4" w:space="0" w:color="F39200"/>
              <w:right w:val="nil"/>
            </w:tcBorders>
            <w:shd w:val="clear" w:color="auto" w:fill="auto"/>
            <w:vAlign w:val="center"/>
          </w:tcPr>
          <w:p w14:paraId="2F36B64A" w14:textId="1CB9056B" w:rsidR="006A2862" w:rsidRPr="00667139" w:rsidRDefault="006A2862" w:rsidP="006A2862">
            <w:pPr>
              <w:jc w:val="right"/>
              <w:rPr>
                <w:rFonts w:ascii="CAIXA Std Book" w:eastAsia="Futura Lt BT" w:hAnsi="CAIXA Std Book" w:cs="Futura Lt BT"/>
                <w:b/>
                <w:color w:val="005CA9"/>
                <w:sz w:val="13"/>
                <w:szCs w:val="13"/>
              </w:rPr>
            </w:pPr>
            <w:r>
              <w:rPr>
                <w:rFonts w:ascii="CAIXA Std Book" w:eastAsia="Futura Lt BT" w:hAnsi="CAIXA Std Book" w:cs="Futura Lt BT"/>
                <w:b/>
                <w:color w:val="005CA9"/>
                <w:sz w:val="13"/>
                <w:szCs w:val="13"/>
              </w:rPr>
              <w:t>51.652</w:t>
            </w:r>
          </w:p>
        </w:tc>
        <w:tc>
          <w:tcPr>
            <w:tcW w:w="382" w:type="pct"/>
            <w:tcBorders>
              <w:top w:val="single" w:sz="4" w:space="0" w:color="F39200"/>
              <w:left w:val="nil"/>
              <w:bottom w:val="single" w:sz="4" w:space="0" w:color="F39200"/>
              <w:right w:val="nil"/>
            </w:tcBorders>
            <w:shd w:val="clear" w:color="auto" w:fill="auto"/>
            <w:vAlign w:val="center"/>
          </w:tcPr>
          <w:p w14:paraId="60FC0CD9" w14:textId="19FAFA69" w:rsidR="006A2862" w:rsidRPr="00667139" w:rsidRDefault="006A2862" w:rsidP="006A2862">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179.451</w:t>
            </w:r>
          </w:p>
        </w:tc>
        <w:tc>
          <w:tcPr>
            <w:tcW w:w="343" w:type="pct"/>
            <w:tcBorders>
              <w:top w:val="single" w:sz="4" w:space="0" w:color="F39200"/>
              <w:left w:val="nil"/>
              <w:bottom w:val="single" w:sz="4" w:space="0" w:color="F39200"/>
              <w:right w:val="nil"/>
            </w:tcBorders>
            <w:shd w:val="clear" w:color="auto" w:fill="auto"/>
            <w:vAlign w:val="center"/>
          </w:tcPr>
          <w:p w14:paraId="4085DB1E" w14:textId="66818C2E" w:rsidR="006A2862" w:rsidRPr="00667139" w:rsidRDefault="006A2862" w:rsidP="006A2862">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31.170</w:t>
            </w:r>
          </w:p>
        </w:tc>
        <w:tc>
          <w:tcPr>
            <w:tcW w:w="326" w:type="pct"/>
            <w:tcBorders>
              <w:top w:val="single" w:sz="4" w:space="0" w:color="F39200"/>
              <w:left w:val="nil"/>
              <w:bottom w:val="single" w:sz="4" w:space="0" w:color="F39200"/>
              <w:right w:val="nil"/>
            </w:tcBorders>
            <w:shd w:val="clear" w:color="auto" w:fill="auto"/>
            <w:vAlign w:val="center"/>
          </w:tcPr>
          <w:p w14:paraId="6A33D228" w14:textId="75806EC7" w:rsidR="006A2862" w:rsidRPr="00667139" w:rsidRDefault="006A2862" w:rsidP="006A2862">
            <w:pPr>
              <w:jc w:val="right"/>
              <w:rPr>
                <w:rFonts w:ascii="CAIXA Std Book" w:eastAsia="Futura Lt BT" w:hAnsi="CAIXA Std Book" w:cs="Futura Lt BT"/>
                <w:b/>
                <w:color w:val="005CA9"/>
                <w:sz w:val="13"/>
                <w:szCs w:val="13"/>
              </w:rPr>
            </w:pPr>
            <w:r>
              <w:rPr>
                <w:rFonts w:ascii="CAIXA Std Book" w:hAnsi="CAIXA Std Book" w:cs="Calibri"/>
                <w:b/>
                <w:bCs/>
                <w:color w:val="005CA9"/>
                <w:sz w:val="13"/>
                <w:szCs w:val="13"/>
              </w:rPr>
              <w:t>675.632.371</w:t>
            </w:r>
          </w:p>
        </w:tc>
        <w:tc>
          <w:tcPr>
            <w:tcW w:w="331" w:type="pct"/>
            <w:tcBorders>
              <w:top w:val="single" w:sz="4" w:space="0" w:color="F79646" w:themeColor="accent6"/>
              <w:left w:val="nil"/>
              <w:bottom w:val="single" w:sz="4" w:space="0" w:color="F39200"/>
              <w:right w:val="nil"/>
            </w:tcBorders>
            <w:shd w:val="clear" w:color="auto" w:fill="auto"/>
            <w:vAlign w:val="center"/>
          </w:tcPr>
          <w:p w14:paraId="61123493" w14:textId="77B5FB06"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45.636.508</w:t>
            </w:r>
          </w:p>
        </w:tc>
        <w:tc>
          <w:tcPr>
            <w:tcW w:w="314" w:type="pct"/>
            <w:tcBorders>
              <w:top w:val="single" w:sz="4" w:space="0" w:color="F79646" w:themeColor="accent6"/>
              <w:left w:val="nil"/>
              <w:bottom w:val="single" w:sz="4" w:space="0" w:color="F39200"/>
              <w:right w:val="nil"/>
            </w:tcBorders>
            <w:shd w:val="clear" w:color="auto" w:fill="auto"/>
            <w:vAlign w:val="center"/>
          </w:tcPr>
          <w:p w14:paraId="1277E8C3" w14:textId="1C1E46B2"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350</w:t>
            </w:r>
          </w:p>
        </w:tc>
        <w:tc>
          <w:tcPr>
            <w:tcW w:w="349" w:type="pct"/>
            <w:tcBorders>
              <w:top w:val="single" w:sz="4" w:space="0" w:color="F79646" w:themeColor="accent6"/>
              <w:left w:val="nil"/>
              <w:bottom w:val="single" w:sz="4" w:space="0" w:color="F39200"/>
              <w:right w:val="nil"/>
            </w:tcBorders>
            <w:shd w:val="clear" w:color="auto" w:fill="auto"/>
            <w:vAlign w:val="center"/>
          </w:tcPr>
          <w:p w14:paraId="1D292FE6" w14:textId="777AB39A"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218.532</w:t>
            </w:r>
          </w:p>
        </w:tc>
        <w:tc>
          <w:tcPr>
            <w:tcW w:w="332" w:type="pct"/>
            <w:tcBorders>
              <w:top w:val="single" w:sz="4" w:space="0" w:color="F79646" w:themeColor="accent6"/>
              <w:left w:val="nil"/>
              <w:bottom w:val="single" w:sz="4" w:space="0" w:color="F39200"/>
              <w:right w:val="nil"/>
            </w:tcBorders>
            <w:shd w:val="clear" w:color="auto" w:fill="auto"/>
            <w:vAlign w:val="center"/>
          </w:tcPr>
          <w:p w14:paraId="501F40BA" w14:textId="42CEC78F"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86.345</w:t>
            </w:r>
          </w:p>
        </w:tc>
        <w:tc>
          <w:tcPr>
            <w:tcW w:w="370" w:type="pct"/>
            <w:tcBorders>
              <w:top w:val="single" w:sz="4" w:space="0" w:color="F79646" w:themeColor="accent6"/>
              <w:left w:val="nil"/>
              <w:bottom w:val="single" w:sz="4" w:space="0" w:color="F39200"/>
              <w:right w:val="nil"/>
            </w:tcBorders>
            <w:shd w:val="clear" w:color="auto" w:fill="auto"/>
            <w:vAlign w:val="center"/>
          </w:tcPr>
          <w:p w14:paraId="5A0305EC" w14:textId="208B624B"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25.615</w:t>
            </w:r>
          </w:p>
        </w:tc>
        <w:tc>
          <w:tcPr>
            <w:tcW w:w="349" w:type="pct"/>
            <w:tcBorders>
              <w:top w:val="single" w:sz="4" w:space="0" w:color="F79646" w:themeColor="accent6"/>
              <w:left w:val="nil"/>
              <w:bottom w:val="single" w:sz="4" w:space="0" w:color="F39200"/>
              <w:right w:val="nil"/>
            </w:tcBorders>
            <w:shd w:val="clear" w:color="auto" w:fill="auto"/>
            <w:vAlign w:val="center"/>
          </w:tcPr>
          <w:p w14:paraId="41070D38" w14:textId="16B16570"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642.276.331</w:t>
            </w:r>
          </w:p>
        </w:tc>
      </w:tr>
      <w:tr w:rsidR="00E50D56" w:rsidRPr="00667139" w14:paraId="7EE36B77" w14:textId="77777777" w:rsidTr="00E50D56">
        <w:trPr>
          <w:trHeight w:val="181"/>
        </w:trPr>
        <w:tc>
          <w:tcPr>
            <w:tcW w:w="866" w:type="pct"/>
            <w:tcBorders>
              <w:top w:val="single" w:sz="4" w:space="0" w:color="F79646" w:themeColor="accent6"/>
              <w:left w:val="nil"/>
              <w:bottom w:val="nil"/>
              <w:right w:val="nil"/>
            </w:tcBorders>
            <w:shd w:val="clear" w:color="auto" w:fill="auto"/>
            <w:vAlign w:val="center"/>
            <w:hideMark/>
          </w:tcPr>
          <w:p w14:paraId="0F697484" w14:textId="3A0AE806"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Depósitos à vista e poupança</w:t>
            </w:r>
            <w:r>
              <w:rPr>
                <w:rFonts w:ascii="CAIXA Std Book" w:hAnsi="CAIXA Std Book" w:cs="Calibri"/>
                <w:color w:val="005CA9"/>
                <w:sz w:val="13"/>
                <w:szCs w:val="13"/>
              </w:rPr>
              <w:t xml:space="preserve"> (</w:t>
            </w:r>
            <w:r w:rsidR="008C72EC">
              <w:rPr>
                <w:rFonts w:ascii="CAIXA Std Book" w:hAnsi="CAIXA Std Book" w:cs="Calibri"/>
                <w:color w:val="005CA9"/>
                <w:sz w:val="13"/>
                <w:szCs w:val="13"/>
              </w:rPr>
              <w:t>7</w:t>
            </w:r>
            <w:r>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5BA7AB0B" w14:textId="7A55070E"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404.902</w:t>
            </w:r>
          </w:p>
        </w:tc>
        <w:tc>
          <w:tcPr>
            <w:tcW w:w="359" w:type="pct"/>
            <w:tcBorders>
              <w:top w:val="nil"/>
              <w:left w:val="nil"/>
              <w:bottom w:val="nil"/>
              <w:right w:val="nil"/>
            </w:tcBorders>
            <w:shd w:val="clear" w:color="auto" w:fill="auto"/>
            <w:noWrap/>
            <w:vAlign w:val="center"/>
          </w:tcPr>
          <w:p w14:paraId="4A599C96" w14:textId="371DF4BD"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3.965</w:t>
            </w:r>
          </w:p>
        </w:tc>
        <w:tc>
          <w:tcPr>
            <w:tcW w:w="348" w:type="pct"/>
            <w:tcBorders>
              <w:top w:val="nil"/>
              <w:left w:val="nil"/>
              <w:bottom w:val="nil"/>
              <w:right w:val="nil"/>
            </w:tcBorders>
            <w:shd w:val="clear" w:color="auto" w:fill="auto"/>
            <w:noWrap/>
            <w:vAlign w:val="center"/>
          </w:tcPr>
          <w:p w14:paraId="6AD90D4B" w14:textId="05B5AB22"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19.317</w:t>
            </w:r>
          </w:p>
        </w:tc>
        <w:tc>
          <w:tcPr>
            <w:tcW w:w="382" w:type="pct"/>
            <w:tcBorders>
              <w:top w:val="nil"/>
              <w:left w:val="nil"/>
              <w:bottom w:val="nil"/>
              <w:right w:val="nil"/>
            </w:tcBorders>
            <w:shd w:val="clear" w:color="auto" w:fill="auto"/>
            <w:noWrap/>
            <w:vAlign w:val="center"/>
          </w:tcPr>
          <w:p w14:paraId="23DFD82E" w14:textId="437F8602"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82.072</w:t>
            </w:r>
          </w:p>
        </w:tc>
        <w:tc>
          <w:tcPr>
            <w:tcW w:w="343" w:type="pct"/>
            <w:tcBorders>
              <w:top w:val="nil"/>
              <w:left w:val="nil"/>
              <w:bottom w:val="nil"/>
              <w:right w:val="nil"/>
            </w:tcBorders>
            <w:shd w:val="clear" w:color="auto" w:fill="auto"/>
            <w:noWrap/>
            <w:vAlign w:val="center"/>
          </w:tcPr>
          <w:p w14:paraId="5D751FC5" w14:textId="01E92CDC"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11.890</w:t>
            </w:r>
          </w:p>
        </w:tc>
        <w:tc>
          <w:tcPr>
            <w:tcW w:w="326" w:type="pct"/>
            <w:tcBorders>
              <w:top w:val="nil"/>
              <w:left w:val="nil"/>
              <w:bottom w:val="nil"/>
            </w:tcBorders>
            <w:shd w:val="clear" w:color="auto" w:fill="auto"/>
            <w:noWrap/>
            <w:vAlign w:val="center"/>
          </w:tcPr>
          <w:p w14:paraId="7150B835" w14:textId="3C261FE9" w:rsidR="006A2862" w:rsidRPr="00667139" w:rsidRDefault="006A2862" w:rsidP="006A2862">
            <w:pPr>
              <w:jc w:val="right"/>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2.829.937</w:t>
            </w:r>
          </w:p>
        </w:tc>
        <w:tc>
          <w:tcPr>
            <w:tcW w:w="331" w:type="pct"/>
            <w:tcBorders>
              <w:top w:val="nil"/>
              <w:left w:val="nil"/>
              <w:bottom w:val="nil"/>
              <w:right w:val="nil"/>
            </w:tcBorders>
            <w:shd w:val="clear" w:color="auto" w:fill="auto"/>
            <w:noWrap/>
            <w:vAlign w:val="center"/>
          </w:tcPr>
          <w:p w14:paraId="40B7BBD2" w14:textId="10F8C204"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364.053</w:t>
            </w:r>
          </w:p>
        </w:tc>
        <w:tc>
          <w:tcPr>
            <w:tcW w:w="314" w:type="pct"/>
            <w:tcBorders>
              <w:top w:val="nil"/>
              <w:left w:val="nil"/>
              <w:bottom w:val="nil"/>
              <w:right w:val="nil"/>
            </w:tcBorders>
            <w:shd w:val="clear" w:color="auto" w:fill="auto"/>
            <w:noWrap/>
            <w:vAlign w:val="center"/>
          </w:tcPr>
          <w:p w14:paraId="63AD36C9" w14:textId="23D9C77A"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350</w:t>
            </w:r>
          </w:p>
        </w:tc>
        <w:tc>
          <w:tcPr>
            <w:tcW w:w="349" w:type="pct"/>
            <w:tcBorders>
              <w:top w:val="nil"/>
              <w:left w:val="nil"/>
              <w:bottom w:val="nil"/>
              <w:right w:val="nil"/>
            </w:tcBorders>
            <w:shd w:val="clear" w:color="auto" w:fill="auto"/>
            <w:noWrap/>
            <w:vAlign w:val="center"/>
          </w:tcPr>
          <w:p w14:paraId="071BB283" w14:textId="76BC0496"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34.837</w:t>
            </w:r>
          </w:p>
        </w:tc>
        <w:tc>
          <w:tcPr>
            <w:tcW w:w="332" w:type="pct"/>
            <w:tcBorders>
              <w:top w:val="nil"/>
              <w:left w:val="nil"/>
              <w:bottom w:val="nil"/>
              <w:right w:val="nil"/>
            </w:tcBorders>
            <w:shd w:val="clear" w:color="auto" w:fill="auto"/>
            <w:noWrap/>
            <w:vAlign w:val="center"/>
          </w:tcPr>
          <w:p w14:paraId="4C9BF7DF" w14:textId="3FE7F258"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86.345</w:t>
            </w:r>
          </w:p>
        </w:tc>
        <w:tc>
          <w:tcPr>
            <w:tcW w:w="370" w:type="pct"/>
            <w:tcBorders>
              <w:top w:val="nil"/>
              <w:left w:val="nil"/>
              <w:bottom w:val="nil"/>
              <w:right w:val="nil"/>
            </w:tcBorders>
            <w:shd w:val="clear" w:color="auto" w:fill="auto"/>
            <w:noWrap/>
            <w:vAlign w:val="center"/>
          </w:tcPr>
          <w:p w14:paraId="16810D44" w14:textId="46966236"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10.337</w:t>
            </w:r>
          </w:p>
        </w:tc>
        <w:tc>
          <w:tcPr>
            <w:tcW w:w="349" w:type="pct"/>
            <w:tcBorders>
              <w:top w:val="nil"/>
              <w:left w:val="nil"/>
              <w:bottom w:val="nil"/>
            </w:tcBorders>
            <w:shd w:val="clear" w:color="auto" w:fill="auto"/>
            <w:noWrap/>
            <w:vAlign w:val="center"/>
          </w:tcPr>
          <w:p w14:paraId="6FE6A8B7" w14:textId="1EECADAB"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3.575.190</w:t>
            </w:r>
          </w:p>
        </w:tc>
      </w:tr>
      <w:tr w:rsidR="00E50D56" w:rsidRPr="00667139" w14:paraId="650B441E" w14:textId="77777777" w:rsidTr="00E50D56">
        <w:trPr>
          <w:trHeight w:val="181"/>
        </w:trPr>
        <w:tc>
          <w:tcPr>
            <w:tcW w:w="866" w:type="pct"/>
            <w:tcBorders>
              <w:top w:val="nil"/>
              <w:left w:val="nil"/>
              <w:bottom w:val="nil"/>
              <w:right w:val="nil"/>
            </w:tcBorders>
            <w:shd w:val="clear" w:color="auto" w:fill="auto"/>
            <w:vAlign w:val="center"/>
            <w:hideMark/>
          </w:tcPr>
          <w:p w14:paraId="759E9F26" w14:textId="77777777"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Depósitos a prazo e letras</w:t>
            </w:r>
          </w:p>
        </w:tc>
        <w:tc>
          <w:tcPr>
            <w:tcW w:w="331" w:type="pct"/>
            <w:tcBorders>
              <w:top w:val="nil"/>
              <w:left w:val="nil"/>
              <w:bottom w:val="nil"/>
              <w:right w:val="nil"/>
            </w:tcBorders>
            <w:shd w:val="clear" w:color="auto" w:fill="auto"/>
            <w:noWrap/>
            <w:vAlign w:val="center"/>
          </w:tcPr>
          <w:p w14:paraId="614C7CCC" w14:textId="41643EEF"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863.128</w:t>
            </w:r>
          </w:p>
        </w:tc>
        <w:tc>
          <w:tcPr>
            <w:tcW w:w="359" w:type="pct"/>
            <w:tcBorders>
              <w:top w:val="nil"/>
              <w:left w:val="nil"/>
              <w:bottom w:val="nil"/>
              <w:right w:val="nil"/>
            </w:tcBorders>
            <w:shd w:val="clear" w:color="auto" w:fill="auto"/>
            <w:noWrap/>
            <w:vAlign w:val="center"/>
          </w:tcPr>
          <w:p w14:paraId="4E5C9206" w14:textId="4D771EDD"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505AC9F1" w14:textId="75AE275C"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4602139E" w14:textId="7E06FDD6"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58B771E8" w14:textId="090B96DF"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19.280</w:t>
            </w:r>
          </w:p>
        </w:tc>
        <w:tc>
          <w:tcPr>
            <w:tcW w:w="326" w:type="pct"/>
            <w:tcBorders>
              <w:top w:val="nil"/>
              <w:left w:val="nil"/>
              <w:bottom w:val="nil"/>
            </w:tcBorders>
            <w:shd w:val="clear" w:color="auto" w:fill="auto"/>
            <w:noWrap/>
            <w:vAlign w:val="center"/>
          </w:tcPr>
          <w:p w14:paraId="1099C580" w14:textId="64B83E41" w:rsidR="006A2862" w:rsidRPr="00667139" w:rsidRDefault="006A2862" w:rsidP="006A2862">
            <w:pPr>
              <w:jc w:val="right"/>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11.978.737</w:t>
            </w:r>
          </w:p>
        </w:tc>
        <w:tc>
          <w:tcPr>
            <w:tcW w:w="331" w:type="pct"/>
            <w:tcBorders>
              <w:top w:val="nil"/>
              <w:left w:val="nil"/>
              <w:bottom w:val="nil"/>
              <w:right w:val="nil"/>
            </w:tcBorders>
            <w:shd w:val="clear" w:color="auto" w:fill="auto"/>
            <w:noWrap/>
            <w:vAlign w:val="center"/>
          </w:tcPr>
          <w:p w14:paraId="763A6868" w14:textId="2ACF69EF"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1.266.900</w:t>
            </w:r>
          </w:p>
        </w:tc>
        <w:tc>
          <w:tcPr>
            <w:tcW w:w="314" w:type="pct"/>
            <w:tcBorders>
              <w:top w:val="nil"/>
              <w:left w:val="nil"/>
              <w:bottom w:val="nil"/>
              <w:right w:val="nil"/>
            </w:tcBorders>
            <w:shd w:val="clear" w:color="auto" w:fill="auto"/>
            <w:noWrap/>
            <w:vAlign w:val="center"/>
          </w:tcPr>
          <w:p w14:paraId="39C464BA" w14:textId="456F2C78"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3E5912A8" w14:textId="760D5179"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97349</w:t>
            </w:r>
          </w:p>
        </w:tc>
        <w:tc>
          <w:tcPr>
            <w:tcW w:w="332" w:type="pct"/>
            <w:tcBorders>
              <w:top w:val="nil"/>
              <w:left w:val="nil"/>
              <w:bottom w:val="nil"/>
              <w:right w:val="nil"/>
            </w:tcBorders>
            <w:shd w:val="clear" w:color="auto" w:fill="auto"/>
            <w:noWrap/>
            <w:vAlign w:val="center"/>
          </w:tcPr>
          <w:p w14:paraId="7A2D7DC3" w14:textId="093FA32E"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3E3E8DA9" w14:textId="33EB034D"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15.278</w:t>
            </w:r>
          </w:p>
        </w:tc>
        <w:tc>
          <w:tcPr>
            <w:tcW w:w="349" w:type="pct"/>
            <w:tcBorders>
              <w:top w:val="nil"/>
              <w:left w:val="nil"/>
              <w:bottom w:val="nil"/>
            </w:tcBorders>
            <w:shd w:val="clear" w:color="auto" w:fill="auto"/>
            <w:noWrap/>
            <w:vAlign w:val="center"/>
          </w:tcPr>
          <w:p w14:paraId="00CD74EC" w14:textId="1325D2DC"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13.492.997</w:t>
            </w:r>
          </w:p>
        </w:tc>
      </w:tr>
      <w:tr w:rsidR="00E50D56" w:rsidRPr="00667139" w14:paraId="2EA2B6E5" w14:textId="77777777" w:rsidTr="00E50D56">
        <w:trPr>
          <w:trHeight w:val="181"/>
        </w:trPr>
        <w:tc>
          <w:tcPr>
            <w:tcW w:w="866" w:type="pct"/>
            <w:tcBorders>
              <w:top w:val="nil"/>
              <w:left w:val="nil"/>
              <w:bottom w:val="nil"/>
              <w:right w:val="nil"/>
            </w:tcBorders>
            <w:shd w:val="clear" w:color="auto" w:fill="auto"/>
            <w:vAlign w:val="center"/>
            <w:hideMark/>
          </w:tcPr>
          <w:p w14:paraId="7C41308D" w14:textId="2EE93612"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Depósitos especiais de fundos e programas (</w:t>
            </w:r>
            <w:r w:rsidR="008C72EC">
              <w:rPr>
                <w:rFonts w:ascii="CAIXA Std Book" w:hAnsi="CAIXA Std Book" w:cs="Calibri"/>
                <w:color w:val="005CA9"/>
                <w:sz w:val="13"/>
                <w:szCs w:val="13"/>
              </w:rPr>
              <w:t>8</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6BF08DFA" w14:textId="64CB5BFC"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447.916</w:t>
            </w:r>
          </w:p>
        </w:tc>
        <w:tc>
          <w:tcPr>
            <w:tcW w:w="359" w:type="pct"/>
            <w:tcBorders>
              <w:top w:val="nil"/>
              <w:left w:val="nil"/>
              <w:bottom w:val="nil"/>
              <w:right w:val="nil"/>
            </w:tcBorders>
            <w:shd w:val="clear" w:color="auto" w:fill="auto"/>
            <w:noWrap/>
            <w:vAlign w:val="center"/>
          </w:tcPr>
          <w:p w14:paraId="06839A4C" w14:textId="2BD11630"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01C30D6F" w14:textId="185B86A0"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32E71B2A" w14:textId="156D6EEE"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6709EACE" w14:textId="5A331E87"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0281DBCC" w14:textId="53DD5A75"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28.438.458</w:t>
            </w:r>
          </w:p>
        </w:tc>
        <w:tc>
          <w:tcPr>
            <w:tcW w:w="331" w:type="pct"/>
            <w:tcBorders>
              <w:top w:val="nil"/>
              <w:left w:val="nil"/>
              <w:bottom w:val="nil"/>
              <w:right w:val="nil"/>
            </w:tcBorders>
            <w:shd w:val="clear" w:color="auto" w:fill="auto"/>
            <w:noWrap/>
            <w:vAlign w:val="center"/>
          </w:tcPr>
          <w:p w14:paraId="4AD9D75B" w14:textId="63DBAF65"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395.568</w:t>
            </w:r>
          </w:p>
        </w:tc>
        <w:tc>
          <w:tcPr>
            <w:tcW w:w="314" w:type="pct"/>
            <w:tcBorders>
              <w:top w:val="nil"/>
              <w:left w:val="nil"/>
              <w:bottom w:val="nil"/>
              <w:right w:val="nil"/>
            </w:tcBorders>
            <w:shd w:val="clear" w:color="auto" w:fill="auto"/>
            <w:noWrap/>
            <w:vAlign w:val="center"/>
          </w:tcPr>
          <w:p w14:paraId="2227AB62" w14:textId="475A03F0"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66E6999A" w14:textId="6F96BE87"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379FA254" w14:textId="09DA55B2"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02235440" w14:textId="29382EF7"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2063C5A9" w14:textId="0C3438CF"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29.290.195</w:t>
            </w:r>
          </w:p>
        </w:tc>
      </w:tr>
      <w:tr w:rsidR="00E50D56" w:rsidRPr="00667139" w14:paraId="7BAB477D" w14:textId="77777777" w:rsidTr="00E50D56">
        <w:trPr>
          <w:trHeight w:val="181"/>
        </w:trPr>
        <w:tc>
          <w:tcPr>
            <w:tcW w:w="866" w:type="pct"/>
            <w:tcBorders>
              <w:top w:val="nil"/>
              <w:left w:val="nil"/>
              <w:bottom w:val="nil"/>
              <w:right w:val="nil"/>
            </w:tcBorders>
            <w:shd w:val="clear" w:color="auto" w:fill="auto"/>
            <w:vAlign w:val="center"/>
            <w:hideMark/>
          </w:tcPr>
          <w:p w14:paraId="334F3926" w14:textId="6F8EF13B"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Recursos de emissões de títulos e valores mobiliários (</w:t>
            </w:r>
            <w:r w:rsidR="008C72EC">
              <w:rPr>
                <w:rFonts w:ascii="CAIXA Std Book" w:hAnsi="CAIXA Std Book" w:cs="Calibri"/>
                <w:color w:val="005CA9"/>
                <w:sz w:val="13"/>
                <w:szCs w:val="13"/>
              </w:rPr>
              <w:t>9</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01502500" w14:textId="630F3EBD"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34.878.807</w:t>
            </w:r>
          </w:p>
        </w:tc>
        <w:tc>
          <w:tcPr>
            <w:tcW w:w="359" w:type="pct"/>
            <w:tcBorders>
              <w:top w:val="nil"/>
              <w:left w:val="nil"/>
              <w:bottom w:val="nil"/>
              <w:right w:val="nil"/>
            </w:tcBorders>
            <w:shd w:val="clear" w:color="auto" w:fill="auto"/>
            <w:noWrap/>
            <w:vAlign w:val="center"/>
          </w:tcPr>
          <w:p w14:paraId="7AA81B55" w14:textId="646DEFB7"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1E2D7DC6" w14:textId="4A6053C0"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523ED78A" w14:textId="17935738"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4FDFB554" w14:textId="47A562E4" w:rsidR="006A2862" w:rsidRPr="00667139" w:rsidRDefault="006A2862" w:rsidP="006A2862">
            <w:pPr>
              <w:jc w:val="center"/>
              <w:rPr>
                <w:rFonts w:ascii="CAIXA Std Book" w:eastAsia="Futura Lt BT" w:hAnsi="CAIXA Std Book" w:cs="Futura Lt BT"/>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543C3C71" w14:textId="6CED2477" w:rsidR="006A2862" w:rsidRPr="00667139" w:rsidRDefault="006A2862" w:rsidP="006A2862">
            <w:pPr>
              <w:jc w:val="right"/>
              <w:rPr>
                <w:rFonts w:ascii="CAIXA Std Book" w:eastAsia="Futura Lt BT" w:hAnsi="CAIXA Std Book" w:cs="Futura Lt BT"/>
                <w:color w:val="005CA9"/>
                <w:sz w:val="13"/>
                <w:szCs w:val="13"/>
              </w:rPr>
            </w:pPr>
            <w:r>
              <w:rPr>
                <w:rFonts w:ascii="CAIXA Std Book" w:hAnsi="CAIXA Std Book" w:cs="Calibri"/>
                <w:color w:val="005CA9"/>
                <w:sz w:val="13"/>
                <w:szCs w:val="13"/>
              </w:rPr>
              <w:t>169.539.956</w:t>
            </w:r>
          </w:p>
        </w:tc>
        <w:tc>
          <w:tcPr>
            <w:tcW w:w="331" w:type="pct"/>
            <w:tcBorders>
              <w:top w:val="nil"/>
              <w:left w:val="nil"/>
              <w:bottom w:val="nil"/>
              <w:right w:val="nil"/>
            </w:tcBorders>
            <w:shd w:val="clear" w:color="auto" w:fill="auto"/>
            <w:noWrap/>
            <w:vAlign w:val="center"/>
          </w:tcPr>
          <w:p w14:paraId="25E7AE98" w14:textId="7BEB3924"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35.085.061</w:t>
            </w:r>
          </w:p>
        </w:tc>
        <w:tc>
          <w:tcPr>
            <w:tcW w:w="314" w:type="pct"/>
            <w:tcBorders>
              <w:top w:val="nil"/>
              <w:left w:val="nil"/>
              <w:bottom w:val="nil"/>
              <w:right w:val="nil"/>
            </w:tcBorders>
            <w:shd w:val="clear" w:color="auto" w:fill="auto"/>
            <w:noWrap/>
            <w:vAlign w:val="center"/>
          </w:tcPr>
          <w:p w14:paraId="4421B424" w14:textId="26723A86"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5C08A863" w14:textId="229C6F1F"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5330B99A" w14:textId="027F7E7A"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0F4D2868" w14:textId="28F38816"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1E13E0FF" w14:textId="3ACDB39C"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146.748.912</w:t>
            </w:r>
          </w:p>
        </w:tc>
      </w:tr>
      <w:tr w:rsidR="00E50D56" w:rsidRPr="00667139" w14:paraId="7FB08240" w14:textId="77777777" w:rsidTr="00E50D56">
        <w:trPr>
          <w:trHeight w:val="181"/>
        </w:trPr>
        <w:tc>
          <w:tcPr>
            <w:tcW w:w="866" w:type="pct"/>
            <w:tcBorders>
              <w:top w:val="nil"/>
              <w:left w:val="nil"/>
              <w:bottom w:val="nil"/>
              <w:right w:val="nil"/>
            </w:tcBorders>
            <w:shd w:val="clear" w:color="auto" w:fill="auto"/>
            <w:vAlign w:val="center"/>
            <w:hideMark/>
          </w:tcPr>
          <w:p w14:paraId="74E270BB" w14:textId="1A5AFEAD" w:rsidR="006A2862" w:rsidRPr="00A56E97" w:rsidRDefault="006A2862" w:rsidP="006A2862">
            <w:pPr>
              <w:rPr>
                <w:rFonts w:ascii="CAIXA Std Book" w:hAnsi="CAIXA Std Book" w:cs="Calibri"/>
                <w:color w:val="005CA9"/>
                <w:sz w:val="12"/>
                <w:szCs w:val="12"/>
              </w:rPr>
            </w:pPr>
            <w:r w:rsidRPr="00A56E97">
              <w:rPr>
                <w:rFonts w:ascii="CAIXA Std Book" w:hAnsi="CAIXA Std Book" w:cs="Calibri"/>
                <w:color w:val="005CA9"/>
                <w:sz w:val="12"/>
                <w:szCs w:val="12"/>
              </w:rPr>
              <w:t>Repasses do país - instituições oficiais (1</w:t>
            </w:r>
            <w:r w:rsidR="008C72EC">
              <w:rPr>
                <w:rFonts w:ascii="CAIXA Std Book" w:hAnsi="CAIXA Std Book" w:cs="Calibri"/>
                <w:color w:val="005CA9"/>
                <w:sz w:val="12"/>
                <w:szCs w:val="12"/>
              </w:rPr>
              <w:t>0</w:t>
            </w:r>
            <w:r w:rsidRPr="00A56E97">
              <w:rPr>
                <w:rFonts w:ascii="CAIXA Std Book" w:hAnsi="CAIXA Std Book" w:cs="Calibri"/>
                <w:color w:val="005CA9"/>
                <w:sz w:val="12"/>
                <w:szCs w:val="12"/>
              </w:rPr>
              <w:t>)</w:t>
            </w:r>
          </w:p>
        </w:tc>
        <w:tc>
          <w:tcPr>
            <w:tcW w:w="331" w:type="pct"/>
            <w:tcBorders>
              <w:top w:val="nil"/>
              <w:left w:val="nil"/>
              <w:bottom w:val="nil"/>
              <w:right w:val="nil"/>
            </w:tcBorders>
            <w:shd w:val="clear" w:color="auto" w:fill="auto"/>
            <w:noWrap/>
            <w:vAlign w:val="center"/>
          </w:tcPr>
          <w:p w14:paraId="2E0BAC8C" w14:textId="6E40483E"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13.470</w:t>
            </w:r>
          </w:p>
        </w:tc>
        <w:tc>
          <w:tcPr>
            <w:tcW w:w="359" w:type="pct"/>
            <w:tcBorders>
              <w:top w:val="nil"/>
              <w:left w:val="nil"/>
              <w:bottom w:val="nil"/>
              <w:right w:val="nil"/>
            </w:tcBorders>
            <w:shd w:val="clear" w:color="auto" w:fill="auto"/>
            <w:noWrap/>
            <w:vAlign w:val="center"/>
          </w:tcPr>
          <w:p w14:paraId="10E73F05" w14:textId="7B015357"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12695339" w14:textId="4CD52089"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6DAA7238" w14:textId="750E2172"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3EECB73E" w14:textId="61CD4755"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1A3EAAC1" w14:textId="1423D56B"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447.415.602</w:t>
            </w:r>
          </w:p>
        </w:tc>
        <w:tc>
          <w:tcPr>
            <w:tcW w:w="331" w:type="pct"/>
            <w:tcBorders>
              <w:top w:val="nil"/>
              <w:left w:val="nil"/>
              <w:bottom w:val="nil"/>
              <w:right w:val="nil"/>
            </w:tcBorders>
            <w:shd w:val="clear" w:color="auto" w:fill="auto"/>
            <w:noWrap/>
            <w:vAlign w:val="center"/>
          </w:tcPr>
          <w:p w14:paraId="712970CC" w14:textId="69E3B956"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13.674</w:t>
            </w:r>
          </w:p>
        </w:tc>
        <w:tc>
          <w:tcPr>
            <w:tcW w:w="314" w:type="pct"/>
            <w:tcBorders>
              <w:top w:val="nil"/>
              <w:left w:val="nil"/>
              <w:bottom w:val="nil"/>
              <w:right w:val="nil"/>
            </w:tcBorders>
            <w:shd w:val="clear" w:color="auto" w:fill="auto"/>
            <w:noWrap/>
            <w:vAlign w:val="center"/>
          </w:tcPr>
          <w:p w14:paraId="5DD93546" w14:textId="11BEAB73"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70DD9F4F" w14:textId="2D6F5047"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01359496" w14:textId="7A60A9A2"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7F91EDC5" w14:textId="068EAC49"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1C5B9003" w14:textId="4643D10E"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433.480.389</w:t>
            </w:r>
          </w:p>
        </w:tc>
      </w:tr>
      <w:tr w:rsidR="00E50D56" w:rsidRPr="00667139" w14:paraId="18B9421A" w14:textId="77777777" w:rsidTr="00E50D56">
        <w:trPr>
          <w:trHeight w:val="181"/>
        </w:trPr>
        <w:tc>
          <w:tcPr>
            <w:tcW w:w="866" w:type="pct"/>
            <w:tcBorders>
              <w:top w:val="nil"/>
              <w:left w:val="nil"/>
              <w:bottom w:val="nil"/>
              <w:right w:val="nil"/>
            </w:tcBorders>
            <w:shd w:val="clear" w:color="auto" w:fill="auto"/>
            <w:vAlign w:val="center"/>
          </w:tcPr>
          <w:p w14:paraId="3181D62D" w14:textId="17991024" w:rsidR="006A2862" w:rsidRPr="00A56E97" w:rsidRDefault="006A2862" w:rsidP="006A2862">
            <w:pPr>
              <w:rPr>
                <w:rFonts w:ascii="CAIXA Std Book" w:hAnsi="CAIXA Std Book" w:cs="Calibri"/>
                <w:color w:val="005CA9"/>
                <w:sz w:val="12"/>
                <w:szCs w:val="12"/>
              </w:rPr>
            </w:pPr>
            <w:r w:rsidRPr="00A56E97">
              <w:rPr>
                <w:rFonts w:ascii="CAIXA Std Book" w:hAnsi="CAIXA Std Book" w:cs="Calibri"/>
                <w:color w:val="005CA9"/>
                <w:sz w:val="12"/>
                <w:szCs w:val="12"/>
              </w:rPr>
              <w:t>Recursos para destinação específica (1</w:t>
            </w:r>
            <w:r w:rsidR="008C72EC">
              <w:rPr>
                <w:rFonts w:ascii="CAIXA Std Book" w:hAnsi="CAIXA Std Book" w:cs="Calibri"/>
                <w:color w:val="005CA9"/>
                <w:sz w:val="12"/>
                <w:szCs w:val="12"/>
              </w:rPr>
              <w:t>1</w:t>
            </w:r>
            <w:r w:rsidRPr="00A56E97">
              <w:rPr>
                <w:rFonts w:ascii="CAIXA Std Book" w:hAnsi="CAIXA Std Book" w:cs="Calibri"/>
                <w:color w:val="005CA9"/>
                <w:sz w:val="12"/>
                <w:szCs w:val="12"/>
              </w:rPr>
              <w:t>)</w:t>
            </w:r>
          </w:p>
        </w:tc>
        <w:tc>
          <w:tcPr>
            <w:tcW w:w="331" w:type="pct"/>
            <w:tcBorders>
              <w:top w:val="nil"/>
              <w:left w:val="nil"/>
              <w:bottom w:val="nil"/>
              <w:right w:val="nil"/>
            </w:tcBorders>
            <w:shd w:val="clear" w:color="auto" w:fill="auto"/>
            <w:noWrap/>
            <w:vAlign w:val="center"/>
          </w:tcPr>
          <w:p w14:paraId="5D0238D0" w14:textId="5421ACBE"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2.481.293</w:t>
            </w:r>
          </w:p>
        </w:tc>
        <w:tc>
          <w:tcPr>
            <w:tcW w:w="359" w:type="pct"/>
            <w:tcBorders>
              <w:top w:val="nil"/>
              <w:left w:val="nil"/>
              <w:bottom w:val="nil"/>
              <w:right w:val="nil"/>
            </w:tcBorders>
            <w:shd w:val="clear" w:color="auto" w:fill="auto"/>
            <w:noWrap/>
            <w:vAlign w:val="center"/>
          </w:tcPr>
          <w:p w14:paraId="394A73CE" w14:textId="59C5E616"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7849836B" w14:textId="07449DB8"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37439B0E" w14:textId="715180B1"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37A0333D" w14:textId="7BA68B8E"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17DA8C1F" w14:textId="4A887C34"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11.780.764</w:t>
            </w:r>
          </w:p>
        </w:tc>
        <w:tc>
          <w:tcPr>
            <w:tcW w:w="331" w:type="pct"/>
            <w:tcBorders>
              <w:top w:val="nil"/>
              <w:left w:val="nil"/>
              <w:bottom w:val="nil"/>
              <w:right w:val="nil"/>
            </w:tcBorders>
            <w:shd w:val="clear" w:color="auto" w:fill="auto"/>
            <w:noWrap/>
            <w:vAlign w:val="center"/>
          </w:tcPr>
          <w:p w14:paraId="363E3663" w14:textId="4FF4D940"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1.751.718</w:t>
            </w:r>
          </w:p>
        </w:tc>
        <w:tc>
          <w:tcPr>
            <w:tcW w:w="314" w:type="pct"/>
            <w:tcBorders>
              <w:top w:val="nil"/>
              <w:left w:val="nil"/>
              <w:bottom w:val="nil"/>
              <w:right w:val="nil"/>
            </w:tcBorders>
            <w:shd w:val="clear" w:color="auto" w:fill="auto"/>
            <w:noWrap/>
            <w:vAlign w:val="center"/>
          </w:tcPr>
          <w:p w14:paraId="0BB9457E" w14:textId="39D26DA2"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5DAB97DD" w14:textId="0A4338F2"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1AEDCFC1" w14:textId="3A9F9F1E"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3047EA1E" w14:textId="0356FDAF"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51ED53EB" w14:textId="580F5E12"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12.023.480</w:t>
            </w:r>
          </w:p>
        </w:tc>
      </w:tr>
      <w:tr w:rsidR="00E50D56" w:rsidRPr="00667139" w14:paraId="61601C9B" w14:textId="77777777" w:rsidTr="00E50D56">
        <w:trPr>
          <w:trHeight w:val="181"/>
        </w:trPr>
        <w:tc>
          <w:tcPr>
            <w:tcW w:w="866" w:type="pct"/>
            <w:tcBorders>
              <w:top w:val="nil"/>
              <w:left w:val="nil"/>
              <w:bottom w:val="nil"/>
              <w:right w:val="nil"/>
            </w:tcBorders>
            <w:shd w:val="clear" w:color="auto" w:fill="auto"/>
            <w:vAlign w:val="center"/>
          </w:tcPr>
          <w:p w14:paraId="1629B039" w14:textId="1C1C54E7" w:rsidR="006A2862" w:rsidRPr="00A56E97" w:rsidRDefault="006A2862" w:rsidP="006A2862">
            <w:pPr>
              <w:rPr>
                <w:rFonts w:ascii="CAIXA Std Book" w:hAnsi="CAIXA Std Book" w:cs="Calibri"/>
                <w:color w:val="005CA9"/>
                <w:sz w:val="12"/>
                <w:szCs w:val="12"/>
              </w:rPr>
            </w:pPr>
            <w:r w:rsidRPr="00A56E97">
              <w:rPr>
                <w:rFonts w:ascii="CAIXA Std Book" w:hAnsi="CAIXA Std Book" w:cs="Calibri"/>
                <w:color w:val="005CA9"/>
                <w:sz w:val="12"/>
                <w:szCs w:val="12"/>
              </w:rPr>
              <w:t>Obrigações fiscais e previdenciárias (1</w:t>
            </w:r>
            <w:r w:rsidR="008C72EC">
              <w:rPr>
                <w:rFonts w:ascii="CAIXA Std Book" w:hAnsi="CAIXA Std Book" w:cs="Calibri"/>
                <w:color w:val="005CA9"/>
                <w:sz w:val="12"/>
                <w:szCs w:val="12"/>
              </w:rPr>
              <w:t>2</w:t>
            </w:r>
            <w:r w:rsidRPr="00A56E97">
              <w:rPr>
                <w:rFonts w:ascii="CAIXA Std Book" w:hAnsi="CAIXA Std Book" w:cs="Calibri"/>
                <w:color w:val="005CA9"/>
                <w:sz w:val="12"/>
                <w:szCs w:val="12"/>
              </w:rPr>
              <w:t>)</w:t>
            </w:r>
          </w:p>
        </w:tc>
        <w:tc>
          <w:tcPr>
            <w:tcW w:w="331" w:type="pct"/>
            <w:tcBorders>
              <w:top w:val="nil"/>
              <w:left w:val="nil"/>
              <w:bottom w:val="nil"/>
              <w:right w:val="nil"/>
            </w:tcBorders>
            <w:shd w:val="clear" w:color="auto" w:fill="auto"/>
            <w:noWrap/>
            <w:vAlign w:val="center"/>
          </w:tcPr>
          <w:p w14:paraId="585A26D7" w14:textId="5CDD8676"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5.759.974</w:t>
            </w:r>
          </w:p>
        </w:tc>
        <w:tc>
          <w:tcPr>
            <w:tcW w:w="359" w:type="pct"/>
            <w:tcBorders>
              <w:top w:val="nil"/>
              <w:left w:val="nil"/>
              <w:bottom w:val="nil"/>
              <w:right w:val="nil"/>
            </w:tcBorders>
            <w:shd w:val="clear" w:color="auto" w:fill="auto"/>
            <w:noWrap/>
            <w:vAlign w:val="center"/>
          </w:tcPr>
          <w:p w14:paraId="1590DF6C" w14:textId="6EE3BD0F"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71D7F97D" w14:textId="67DB3200"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nil"/>
              <w:right w:val="nil"/>
            </w:tcBorders>
            <w:shd w:val="clear" w:color="auto" w:fill="auto"/>
            <w:noWrap/>
            <w:vAlign w:val="center"/>
          </w:tcPr>
          <w:p w14:paraId="058B26A7" w14:textId="088D0D2E"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nil"/>
              <w:right w:val="nil"/>
            </w:tcBorders>
            <w:shd w:val="clear" w:color="auto" w:fill="auto"/>
            <w:noWrap/>
            <w:vAlign w:val="center"/>
          </w:tcPr>
          <w:p w14:paraId="46567A0F" w14:textId="66D547B3"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26" w:type="pct"/>
            <w:tcBorders>
              <w:top w:val="nil"/>
              <w:left w:val="nil"/>
              <w:bottom w:val="nil"/>
            </w:tcBorders>
            <w:shd w:val="clear" w:color="auto" w:fill="auto"/>
            <w:noWrap/>
            <w:vAlign w:val="center"/>
          </w:tcPr>
          <w:p w14:paraId="7E955D6C" w14:textId="0DC7AEB9" w:rsidR="006A2862" w:rsidRPr="00667139" w:rsidRDefault="006A2862" w:rsidP="006A2862">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432DFF7B" w14:textId="06305B5D"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6.215.075</w:t>
            </w:r>
          </w:p>
        </w:tc>
        <w:tc>
          <w:tcPr>
            <w:tcW w:w="314" w:type="pct"/>
            <w:tcBorders>
              <w:top w:val="nil"/>
              <w:left w:val="nil"/>
              <w:bottom w:val="nil"/>
              <w:right w:val="nil"/>
            </w:tcBorders>
            <w:shd w:val="clear" w:color="auto" w:fill="auto"/>
            <w:noWrap/>
            <w:vAlign w:val="center"/>
          </w:tcPr>
          <w:p w14:paraId="56AEE647" w14:textId="5E2A8E58"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0EC50E68" w14:textId="1F1C6404"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nil"/>
              <w:right w:val="nil"/>
            </w:tcBorders>
            <w:shd w:val="clear" w:color="auto" w:fill="auto"/>
            <w:noWrap/>
            <w:vAlign w:val="center"/>
          </w:tcPr>
          <w:p w14:paraId="38C672BD" w14:textId="6C3704E9"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302C9706" w14:textId="246716D5"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39AA9D44" w14:textId="36865264"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E50D56" w:rsidRPr="00667139" w14:paraId="2B3B84EE" w14:textId="77777777" w:rsidTr="00E50D56">
        <w:trPr>
          <w:trHeight w:val="181"/>
        </w:trPr>
        <w:tc>
          <w:tcPr>
            <w:tcW w:w="866" w:type="pct"/>
            <w:tcBorders>
              <w:top w:val="nil"/>
              <w:left w:val="nil"/>
              <w:bottom w:val="nil"/>
              <w:right w:val="nil"/>
            </w:tcBorders>
            <w:shd w:val="clear" w:color="auto" w:fill="auto"/>
            <w:vAlign w:val="center"/>
          </w:tcPr>
          <w:p w14:paraId="3F365D85" w14:textId="2A662BED"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Obrigações diversas (1</w:t>
            </w:r>
            <w:r w:rsidR="008C72EC">
              <w:rPr>
                <w:rFonts w:ascii="CAIXA Std Book" w:hAnsi="CAIXA Std Book" w:cs="Calibri"/>
                <w:color w:val="005CA9"/>
                <w:sz w:val="13"/>
                <w:szCs w:val="13"/>
              </w:rPr>
              <w:t>3</w:t>
            </w:r>
            <w:r w:rsidRPr="00667139">
              <w:rPr>
                <w:rFonts w:ascii="CAIXA Std Book" w:hAnsi="CAIXA Std Book" w:cs="Calibri"/>
                <w:color w:val="005CA9"/>
                <w:sz w:val="13"/>
                <w:szCs w:val="13"/>
              </w:rPr>
              <w:t>)</w:t>
            </w:r>
          </w:p>
        </w:tc>
        <w:tc>
          <w:tcPr>
            <w:tcW w:w="331" w:type="pct"/>
            <w:tcBorders>
              <w:top w:val="nil"/>
              <w:left w:val="nil"/>
              <w:bottom w:val="nil"/>
              <w:right w:val="nil"/>
            </w:tcBorders>
            <w:shd w:val="clear" w:color="auto" w:fill="auto"/>
            <w:noWrap/>
            <w:vAlign w:val="center"/>
          </w:tcPr>
          <w:p w14:paraId="23AE90C8" w14:textId="3E254118"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94.804</w:t>
            </w:r>
          </w:p>
        </w:tc>
        <w:tc>
          <w:tcPr>
            <w:tcW w:w="359" w:type="pct"/>
            <w:tcBorders>
              <w:top w:val="nil"/>
              <w:left w:val="nil"/>
              <w:bottom w:val="nil"/>
              <w:right w:val="nil"/>
            </w:tcBorders>
            <w:shd w:val="clear" w:color="auto" w:fill="auto"/>
            <w:noWrap/>
            <w:vAlign w:val="center"/>
          </w:tcPr>
          <w:p w14:paraId="7AF51DD9" w14:textId="2D3347E3"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nil"/>
              <w:right w:val="nil"/>
            </w:tcBorders>
            <w:shd w:val="clear" w:color="auto" w:fill="auto"/>
            <w:noWrap/>
            <w:vAlign w:val="center"/>
          </w:tcPr>
          <w:p w14:paraId="2886FBD4" w14:textId="422B4239"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32.335</w:t>
            </w:r>
          </w:p>
        </w:tc>
        <w:tc>
          <w:tcPr>
            <w:tcW w:w="382" w:type="pct"/>
            <w:tcBorders>
              <w:top w:val="nil"/>
              <w:left w:val="nil"/>
              <w:bottom w:val="nil"/>
              <w:right w:val="nil"/>
            </w:tcBorders>
            <w:shd w:val="clear" w:color="auto" w:fill="auto"/>
            <w:noWrap/>
            <w:vAlign w:val="center"/>
          </w:tcPr>
          <w:p w14:paraId="5D77C05E" w14:textId="408411A0" w:rsidR="006A2862" w:rsidRPr="00667139" w:rsidRDefault="006A2862" w:rsidP="00893746">
            <w:pPr>
              <w:jc w:val="right"/>
              <w:rPr>
                <w:rFonts w:ascii="CAIXA Std Book" w:hAnsi="CAIXA Std Book" w:cs="Calibri"/>
                <w:color w:val="005CA9"/>
                <w:sz w:val="13"/>
                <w:szCs w:val="13"/>
              </w:rPr>
            </w:pPr>
            <w:r>
              <w:rPr>
                <w:rFonts w:ascii="CAIXA Std Book" w:hAnsi="CAIXA Std Book" w:cs="Calibri"/>
                <w:color w:val="005CA9"/>
                <w:sz w:val="13"/>
                <w:szCs w:val="13"/>
              </w:rPr>
              <w:t>97.379</w:t>
            </w:r>
          </w:p>
        </w:tc>
        <w:tc>
          <w:tcPr>
            <w:tcW w:w="343" w:type="pct"/>
            <w:tcBorders>
              <w:top w:val="nil"/>
              <w:left w:val="nil"/>
              <w:bottom w:val="nil"/>
              <w:right w:val="nil"/>
            </w:tcBorders>
            <w:shd w:val="clear" w:color="auto" w:fill="auto"/>
            <w:noWrap/>
            <w:vAlign w:val="center"/>
          </w:tcPr>
          <w:p w14:paraId="561BB382" w14:textId="477EA5C1" w:rsidR="006A2862" w:rsidRPr="00667139" w:rsidRDefault="006A2862" w:rsidP="006A2862">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6" w:type="pct"/>
            <w:tcBorders>
              <w:top w:val="nil"/>
              <w:left w:val="nil"/>
              <w:bottom w:val="nil"/>
            </w:tcBorders>
            <w:shd w:val="clear" w:color="auto" w:fill="auto"/>
            <w:noWrap/>
            <w:vAlign w:val="center"/>
          </w:tcPr>
          <w:p w14:paraId="7FC26880" w14:textId="69CE20F5"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1.734.989</w:t>
            </w:r>
          </w:p>
        </w:tc>
        <w:tc>
          <w:tcPr>
            <w:tcW w:w="331" w:type="pct"/>
            <w:tcBorders>
              <w:top w:val="nil"/>
              <w:left w:val="nil"/>
              <w:bottom w:val="nil"/>
              <w:right w:val="nil"/>
            </w:tcBorders>
            <w:shd w:val="clear" w:color="auto" w:fill="auto"/>
            <w:noWrap/>
            <w:vAlign w:val="center"/>
          </w:tcPr>
          <w:p w14:paraId="602FF461" w14:textId="7B0ADD59"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415.154</w:t>
            </w:r>
          </w:p>
        </w:tc>
        <w:tc>
          <w:tcPr>
            <w:tcW w:w="314" w:type="pct"/>
            <w:tcBorders>
              <w:top w:val="nil"/>
              <w:left w:val="nil"/>
              <w:bottom w:val="nil"/>
              <w:right w:val="nil"/>
            </w:tcBorders>
            <w:shd w:val="clear" w:color="auto" w:fill="auto"/>
            <w:noWrap/>
            <w:vAlign w:val="center"/>
          </w:tcPr>
          <w:p w14:paraId="2ABF0D13" w14:textId="60AE3683"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right w:val="nil"/>
            </w:tcBorders>
            <w:shd w:val="clear" w:color="auto" w:fill="auto"/>
            <w:noWrap/>
            <w:vAlign w:val="center"/>
          </w:tcPr>
          <w:p w14:paraId="7E655197" w14:textId="1A92CE76"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86.346</w:t>
            </w:r>
          </w:p>
        </w:tc>
        <w:tc>
          <w:tcPr>
            <w:tcW w:w="332" w:type="pct"/>
            <w:tcBorders>
              <w:top w:val="nil"/>
              <w:left w:val="nil"/>
              <w:bottom w:val="nil"/>
              <w:right w:val="nil"/>
            </w:tcBorders>
            <w:shd w:val="clear" w:color="auto" w:fill="auto"/>
            <w:noWrap/>
            <w:vAlign w:val="center"/>
          </w:tcPr>
          <w:p w14:paraId="0FF7F6D5" w14:textId="6A5C8A61"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nil"/>
              <w:right w:val="nil"/>
            </w:tcBorders>
            <w:shd w:val="clear" w:color="auto" w:fill="auto"/>
            <w:noWrap/>
            <w:vAlign w:val="center"/>
          </w:tcPr>
          <w:p w14:paraId="36C50F4A" w14:textId="510B0D3F"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nil"/>
            </w:tcBorders>
            <w:shd w:val="clear" w:color="auto" w:fill="auto"/>
            <w:noWrap/>
            <w:vAlign w:val="center"/>
          </w:tcPr>
          <w:p w14:paraId="40E84F6B" w14:textId="3D64552D"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1.678.905</w:t>
            </w:r>
          </w:p>
        </w:tc>
      </w:tr>
      <w:tr w:rsidR="00E50D56" w:rsidRPr="00667139" w14:paraId="4771DECE" w14:textId="77777777" w:rsidTr="00E50D56">
        <w:trPr>
          <w:trHeight w:val="181"/>
        </w:trPr>
        <w:tc>
          <w:tcPr>
            <w:tcW w:w="866" w:type="pct"/>
            <w:tcBorders>
              <w:top w:val="nil"/>
              <w:left w:val="nil"/>
              <w:bottom w:val="single" w:sz="4" w:space="0" w:color="F39200"/>
              <w:right w:val="nil"/>
            </w:tcBorders>
            <w:shd w:val="clear" w:color="auto" w:fill="auto"/>
            <w:noWrap/>
            <w:vAlign w:val="center"/>
            <w:hideMark/>
          </w:tcPr>
          <w:p w14:paraId="256755C3" w14:textId="719F2D5F" w:rsidR="006A2862" w:rsidRPr="00667139" w:rsidRDefault="006A2862" w:rsidP="006A2862">
            <w:pPr>
              <w:rPr>
                <w:rFonts w:ascii="CAIXA Std Book" w:hAnsi="CAIXA Std Book" w:cs="Calibri"/>
                <w:color w:val="005CA9"/>
                <w:sz w:val="13"/>
                <w:szCs w:val="13"/>
              </w:rPr>
            </w:pPr>
            <w:r w:rsidRPr="00667139">
              <w:rPr>
                <w:rFonts w:ascii="CAIXA Std Book" w:hAnsi="CAIXA Std Book" w:cs="Calibri"/>
                <w:color w:val="005CA9"/>
                <w:sz w:val="13"/>
                <w:szCs w:val="13"/>
              </w:rPr>
              <w:t>Outros passivos financeiros (1</w:t>
            </w:r>
            <w:r w:rsidR="008C72EC">
              <w:rPr>
                <w:rFonts w:ascii="CAIXA Std Book" w:hAnsi="CAIXA Std Book" w:cs="Calibri"/>
                <w:color w:val="005CA9"/>
                <w:sz w:val="13"/>
                <w:szCs w:val="13"/>
              </w:rPr>
              <w:t>4</w:t>
            </w:r>
            <w:r w:rsidRPr="00667139">
              <w:rPr>
                <w:rFonts w:ascii="CAIXA Std Book" w:hAnsi="CAIXA Std Book" w:cs="Calibri"/>
                <w:color w:val="005CA9"/>
                <w:sz w:val="13"/>
                <w:szCs w:val="13"/>
              </w:rPr>
              <w:t>)</w:t>
            </w:r>
          </w:p>
        </w:tc>
        <w:tc>
          <w:tcPr>
            <w:tcW w:w="331" w:type="pct"/>
            <w:tcBorders>
              <w:top w:val="nil"/>
              <w:left w:val="nil"/>
              <w:bottom w:val="single" w:sz="4" w:space="0" w:color="F39200"/>
              <w:right w:val="nil"/>
            </w:tcBorders>
            <w:shd w:val="clear" w:color="auto" w:fill="auto"/>
            <w:noWrap/>
            <w:vAlign w:val="center"/>
          </w:tcPr>
          <w:p w14:paraId="0851CF44" w14:textId="09BD49F6"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127.887</w:t>
            </w:r>
          </w:p>
        </w:tc>
        <w:tc>
          <w:tcPr>
            <w:tcW w:w="359" w:type="pct"/>
            <w:tcBorders>
              <w:top w:val="nil"/>
              <w:left w:val="nil"/>
              <w:bottom w:val="single" w:sz="4" w:space="0" w:color="F39200"/>
              <w:right w:val="nil"/>
            </w:tcBorders>
            <w:shd w:val="clear" w:color="auto" w:fill="auto"/>
            <w:noWrap/>
            <w:vAlign w:val="center"/>
          </w:tcPr>
          <w:p w14:paraId="45892ABC" w14:textId="31FDDD8F" w:rsidR="006A2862" w:rsidRPr="00667139" w:rsidRDefault="006A2862" w:rsidP="006A2862">
            <w:pPr>
              <w:jc w:val="center"/>
              <w:rPr>
                <w:rFonts w:ascii="CAIXA Std Book" w:hAnsi="CAIXA Std Book" w:cs="Calibri"/>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single" w:sz="4" w:space="0" w:color="F39200"/>
              <w:right w:val="nil"/>
            </w:tcBorders>
            <w:shd w:val="clear" w:color="auto" w:fill="auto"/>
            <w:noWrap/>
            <w:vAlign w:val="center"/>
          </w:tcPr>
          <w:p w14:paraId="3A394FA1" w14:textId="189F555B" w:rsidR="006A2862" w:rsidRPr="00667139" w:rsidRDefault="006A2862" w:rsidP="006A2862">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82" w:type="pct"/>
            <w:tcBorders>
              <w:top w:val="nil"/>
              <w:left w:val="nil"/>
              <w:bottom w:val="single" w:sz="4" w:space="0" w:color="F39200"/>
              <w:right w:val="nil"/>
            </w:tcBorders>
            <w:shd w:val="clear" w:color="auto" w:fill="auto"/>
            <w:noWrap/>
            <w:vAlign w:val="center"/>
          </w:tcPr>
          <w:p w14:paraId="43B0AB74" w14:textId="40E0B6F5" w:rsidR="006A2862" w:rsidRPr="00667139" w:rsidRDefault="006A2862" w:rsidP="006A2862">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43" w:type="pct"/>
            <w:tcBorders>
              <w:top w:val="nil"/>
              <w:left w:val="nil"/>
              <w:bottom w:val="single" w:sz="4" w:space="0" w:color="F39200"/>
              <w:right w:val="nil"/>
            </w:tcBorders>
            <w:shd w:val="clear" w:color="auto" w:fill="auto"/>
            <w:noWrap/>
            <w:vAlign w:val="center"/>
          </w:tcPr>
          <w:p w14:paraId="6BAE646B" w14:textId="7575C781" w:rsidR="006A2862" w:rsidRPr="00667139" w:rsidRDefault="006A2862" w:rsidP="006A2862">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6" w:type="pct"/>
            <w:tcBorders>
              <w:top w:val="nil"/>
              <w:left w:val="nil"/>
              <w:bottom w:val="single" w:sz="4" w:space="0" w:color="F39200"/>
            </w:tcBorders>
            <w:shd w:val="clear" w:color="auto" w:fill="auto"/>
            <w:noWrap/>
            <w:vAlign w:val="center"/>
          </w:tcPr>
          <w:p w14:paraId="1C4F5090" w14:textId="671B9194" w:rsidR="006A2862" w:rsidRPr="00667139" w:rsidRDefault="006A2862" w:rsidP="006A2862">
            <w:pPr>
              <w:jc w:val="right"/>
              <w:rPr>
                <w:rFonts w:ascii="CAIXA Std Book" w:hAnsi="CAIXA Std Book" w:cs="Calibri"/>
                <w:color w:val="005CA9"/>
                <w:sz w:val="13"/>
                <w:szCs w:val="13"/>
              </w:rPr>
            </w:pPr>
            <w:r>
              <w:rPr>
                <w:rFonts w:ascii="CAIXA Std Book" w:hAnsi="CAIXA Std Book" w:cs="Calibri"/>
                <w:color w:val="005CA9"/>
                <w:sz w:val="13"/>
                <w:szCs w:val="13"/>
              </w:rPr>
              <w:t>1.913.928</w:t>
            </w:r>
          </w:p>
        </w:tc>
        <w:tc>
          <w:tcPr>
            <w:tcW w:w="331" w:type="pct"/>
            <w:tcBorders>
              <w:top w:val="nil"/>
              <w:left w:val="nil"/>
              <w:bottom w:val="single" w:sz="4" w:space="0" w:color="F39200"/>
              <w:right w:val="nil"/>
            </w:tcBorders>
            <w:shd w:val="clear" w:color="auto" w:fill="auto"/>
            <w:noWrap/>
            <w:vAlign w:val="center"/>
          </w:tcPr>
          <w:p w14:paraId="29D2692C" w14:textId="2A766F01"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129.305</w:t>
            </w:r>
          </w:p>
        </w:tc>
        <w:tc>
          <w:tcPr>
            <w:tcW w:w="314" w:type="pct"/>
            <w:tcBorders>
              <w:top w:val="nil"/>
              <w:left w:val="nil"/>
              <w:bottom w:val="single" w:sz="4" w:space="0" w:color="F39200"/>
              <w:right w:val="nil"/>
            </w:tcBorders>
            <w:shd w:val="clear" w:color="auto" w:fill="auto"/>
            <w:noWrap/>
            <w:vAlign w:val="center"/>
          </w:tcPr>
          <w:p w14:paraId="0819940E" w14:textId="726ABE55"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single" w:sz="4" w:space="0" w:color="F39200"/>
              <w:right w:val="nil"/>
            </w:tcBorders>
            <w:shd w:val="clear" w:color="auto" w:fill="auto"/>
            <w:noWrap/>
            <w:vAlign w:val="center"/>
          </w:tcPr>
          <w:p w14:paraId="5851931C" w14:textId="2717A1CB"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32" w:type="pct"/>
            <w:tcBorders>
              <w:top w:val="nil"/>
              <w:left w:val="nil"/>
              <w:bottom w:val="single" w:sz="4" w:space="0" w:color="F39200"/>
              <w:right w:val="nil"/>
            </w:tcBorders>
            <w:shd w:val="clear" w:color="auto" w:fill="auto"/>
            <w:noWrap/>
            <w:vAlign w:val="center"/>
          </w:tcPr>
          <w:p w14:paraId="4C857196" w14:textId="2880E64C"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70" w:type="pct"/>
            <w:tcBorders>
              <w:top w:val="nil"/>
              <w:left w:val="nil"/>
              <w:bottom w:val="single" w:sz="4" w:space="0" w:color="F39200"/>
              <w:right w:val="nil"/>
            </w:tcBorders>
            <w:shd w:val="clear" w:color="auto" w:fill="auto"/>
            <w:noWrap/>
            <w:vAlign w:val="center"/>
          </w:tcPr>
          <w:p w14:paraId="36636E38" w14:textId="17C9E854" w:rsidR="006A2862" w:rsidRPr="00667139" w:rsidRDefault="006A2862" w:rsidP="006A2862">
            <w:pPr>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349" w:type="pct"/>
            <w:tcBorders>
              <w:top w:val="nil"/>
              <w:left w:val="nil"/>
              <w:bottom w:val="single" w:sz="4" w:space="0" w:color="F39200"/>
            </w:tcBorders>
            <w:shd w:val="clear" w:color="auto" w:fill="auto"/>
            <w:noWrap/>
            <w:vAlign w:val="center"/>
          </w:tcPr>
          <w:p w14:paraId="1F88354F" w14:textId="0E34DED7" w:rsidR="006A2862" w:rsidRPr="00667139" w:rsidRDefault="006A2862" w:rsidP="006A2862">
            <w:pPr>
              <w:jc w:val="right"/>
              <w:rPr>
                <w:rFonts w:ascii="CAIXA Std Book" w:hAnsi="CAIXA Std Book" w:cs="Calibri"/>
                <w:color w:val="005CA9"/>
                <w:sz w:val="13"/>
                <w:szCs w:val="13"/>
              </w:rPr>
            </w:pPr>
            <w:r w:rsidRPr="00667139">
              <w:rPr>
                <w:rFonts w:ascii="CAIXA Std Book" w:hAnsi="CAIXA Std Book" w:cs="Arial"/>
                <w:color w:val="005CA9"/>
                <w:sz w:val="13"/>
                <w:szCs w:val="13"/>
              </w:rPr>
              <w:t>1.986.263</w:t>
            </w:r>
          </w:p>
        </w:tc>
      </w:tr>
      <w:tr w:rsidR="00E50D56" w:rsidRPr="00667139" w14:paraId="07645DA3" w14:textId="77777777" w:rsidTr="00E50D56">
        <w:trPr>
          <w:trHeight w:val="181"/>
        </w:trPr>
        <w:tc>
          <w:tcPr>
            <w:tcW w:w="866" w:type="pct"/>
            <w:tcBorders>
              <w:top w:val="nil"/>
              <w:left w:val="nil"/>
              <w:bottom w:val="single" w:sz="4" w:space="0" w:color="F39200"/>
              <w:right w:val="nil"/>
            </w:tcBorders>
            <w:shd w:val="clear" w:color="auto" w:fill="auto"/>
            <w:noWrap/>
            <w:vAlign w:val="center"/>
          </w:tcPr>
          <w:p w14:paraId="767D6D22" w14:textId="4BC3C3AE" w:rsidR="006A2862" w:rsidRPr="00667139" w:rsidRDefault="006A2862" w:rsidP="006A2862">
            <w:pPr>
              <w:rPr>
                <w:rFonts w:ascii="CAIXA Std Book" w:hAnsi="CAIXA Std Book" w:cs="Calibri"/>
                <w:b/>
                <w:bCs/>
                <w:color w:val="005CA9"/>
                <w:sz w:val="13"/>
                <w:szCs w:val="13"/>
              </w:rPr>
            </w:pPr>
            <w:r w:rsidRPr="00667139">
              <w:rPr>
                <w:rFonts w:ascii="CAIXA Std Book" w:hAnsi="CAIXA Std Book" w:cs="Calibri"/>
                <w:b/>
                <w:bCs/>
                <w:color w:val="005CA9"/>
                <w:sz w:val="13"/>
                <w:szCs w:val="13"/>
              </w:rPr>
              <w:t>Garantias recebidas (1</w:t>
            </w:r>
            <w:r w:rsidR="008C72EC">
              <w:rPr>
                <w:rFonts w:ascii="CAIXA Std Book" w:hAnsi="CAIXA Std Book" w:cs="Calibri"/>
                <w:b/>
                <w:bCs/>
                <w:color w:val="005CA9"/>
                <w:sz w:val="13"/>
                <w:szCs w:val="13"/>
              </w:rPr>
              <w:t>5</w:t>
            </w:r>
            <w:r w:rsidRPr="00667139">
              <w:rPr>
                <w:rFonts w:ascii="CAIXA Std Book" w:hAnsi="CAIXA Std Book" w:cs="Calibri"/>
                <w:b/>
                <w:bCs/>
                <w:color w:val="005CA9"/>
                <w:sz w:val="13"/>
                <w:szCs w:val="13"/>
              </w:rPr>
              <w:t>)</w:t>
            </w:r>
          </w:p>
        </w:tc>
        <w:tc>
          <w:tcPr>
            <w:tcW w:w="331" w:type="pct"/>
            <w:tcBorders>
              <w:top w:val="nil"/>
              <w:left w:val="nil"/>
              <w:bottom w:val="single" w:sz="4" w:space="0" w:color="F39200"/>
              <w:right w:val="nil"/>
            </w:tcBorders>
            <w:shd w:val="clear" w:color="auto" w:fill="auto"/>
            <w:noWrap/>
            <w:vAlign w:val="center"/>
          </w:tcPr>
          <w:p w14:paraId="44D0AB8F" w14:textId="76E710FD" w:rsidR="006A2862" w:rsidRPr="00667139" w:rsidRDefault="006A2862" w:rsidP="006A2862">
            <w:pPr>
              <w:jc w:val="right"/>
              <w:rPr>
                <w:rFonts w:ascii="CAIXA Std Book" w:hAnsi="CAIXA Std Book" w:cs="Calibri"/>
                <w:b/>
                <w:color w:val="005CA9"/>
                <w:sz w:val="13"/>
                <w:szCs w:val="13"/>
              </w:rPr>
            </w:pPr>
            <w:r>
              <w:rPr>
                <w:rFonts w:ascii="CAIXA Std Book" w:hAnsi="CAIXA Std Book" w:cs="Calibri"/>
                <w:b/>
                <w:bCs/>
                <w:color w:val="005CA9"/>
                <w:sz w:val="13"/>
                <w:szCs w:val="13"/>
              </w:rPr>
              <w:t>20.619</w:t>
            </w:r>
          </w:p>
        </w:tc>
        <w:tc>
          <w:tcPr>
            <w:tcW w:w="359" w:type="pct"/>
            <w:tcBorders>
              <w:top w:val="nil"/>
              <w:left w:val="nil"/>
              <w:bottom w:val="single" w:sz="4" w:space="0" w:color="F39200"/>
              <w:right w:val="nil"/>
            </w:tcBorders>
            <w:shd w:val="clear" w:color="auto" w:fill="auto"/>
            <w:noWrap/>
            <w:vAlign w:val="center"/>
          </w:tcPr>
          <w:p w14:paraId="145270AF" w14:textId="6A90DE6C"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48" w:type="pct"/>
            <w:tcBorders>
              <w:top w:val="nil"/>
              <w:left w:val="nil"/>
              <w:bottom w:val="single" w:sz="4" w:space="0" w:color="F39200"/>
              <w:right w:val="nil"/>
            </w:tcBorders>
            <w:shd w:val="clear" w:color="auto" w:fill="auto"/>
            <w:noWrap/>
            <w:vAlign w:val="center"/>
          </w:tcPr>
          <w:p w14:paraId="39B993FC" w14:textId="08A13A88"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82" w:type="pct"/>
            <w:tcBorders>
              <w:top w:val="nil"/>
              <w:left w:val="nil"/>
              <w:bottom w:val="single" w:sz="4" w:space="0" w:color="F39200"/>
              <w:right w:val="nil"/>
            </w:tcBorders>
            <w:shd w:val="clear" w:color="auto" w:fill="auto"/>
            <w:noWrap/>
            <w:vAlign w:val="center"/>
          </w:tcPr>
          <w:p w14:paraId="1F6EFD0C" w14:textId="72DE65EB"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43" w:type="pct"/>
            <w:tcBorders>
              <w:top w:val="nil"/>
              <w:left w:val="nil"/>
              <w:bottom w:val="single" w:sz="4" w:space="0" w:color="F39200"/>
              <w:right w:val="nil"/>
            </w:tcBorders>
            <w:shd w:val="clear" w:color="auto" w:fill="auto"/>
            <w:noWrap/>
            <w:vAlign w:val="center"/>
          </w:tcPr>
          <w:p w14:paraId="7FEE684F" w14:textId="5E97D163" w:rsidR="006A2862" w:rsidRPr="00667139" w:rsidRDefault="006A2862" w:rsidP="006A2862">
            <w:pPr>
              <w:jc w:val="right"/>
              <w:rPr>
                <w:rFonts w:ascii="CAIXA Std Book" w:hAnsi="CAIXA Std Book" w:cs="Calibri"/>
                <w:b/>
                <w:color w:val="005CA9"/>
                <w:sz w:val="13"/>
                <w:szCs w:val="13"/>
              </w:rPr>
            </w:pPr>
            <w:r>
              <w:rPr>
                <w:rFonts w:ascii="CAIXA Std Book" w:hAnsi="CAIXA Std Book" w:cs="Calibri"/>
                <w:b/>
                <w:bCs/>
                <w:color w:val="005CA9"/>
                <w:sz w:val="13"/>
                <w:szCs w:val="13"/>
              </w:rPr>
              <w:t>297.659</w:t>
            </w:r>
          </w:p>
        </w:tc>
        <w:tc>
          <w:tcPr>
            <w:tcW w:w="326" w:type="pct"/>
            <w:tcBorders>
              <w:top w:val="nil"/>
              <w:left w:val="nil"/>
              <w:bottom w:val="single" w:sz="4" w:space="0" w:color="F39200"/>
            </w:tcBorders>
            <w:shd w:val="clear" w:color="auto" w:fill="auto"/>
            <w:noWrap/>
            <w:vAlign w:val="center"/>
          </w:tcPr>
          <w:p w14:paraId="78248C51" w14:textId="5E2F48E8" w:rsidR="006A2862" w:rsidRPr="00667139" w:rsidRDefault="006A2862" w:rsidP="006A2862">
            <w:pPr>
              <w:jc w:val="right"/>
              <w:rPr>
                <w:rFonts w:ascii="CAIXA Std Book" w:hAnsi="CAIXA Std Book" w:cs="Calibri"/>
                <w:b/>
                <w:color w:val="005CA9"/>
                <w:sz w:val="13"/>
                <w:szCs w:val="13"/>
              </w:rPr>
            </w:pPr>
            <w:r>
              <w:rPr>
                <w:rFonts w:ascii="CAIXA Std Book" w:hAnsi="CAIXA Std Book" w:cs="Calibri"/>
                <w:b/>
                <w:bCs/>
                <w:color w:val="005CA9"/>
                <w:sz w:val="13"/>
                <w:szCs w:val="13"/>
              </w:rPr>
              <w:t>7.271.472</w:t>
            </w:r>
          </w:p>
        </w:tc>
        <w:tc>
          <w:tcPr>
            <w:tcW w:w="331" w:type="pct"/>
            <w:tcBorders>
              <w:top w:val="nil"/>
              <w:left w:val="nil"/>
              <w:bottom w:val="single" w:sz="4" w:space="0" w:color="F39200"/>
              <w:right w:val="nil"/>
            </w:tcBorders>
            <w:shd w:val="clear" w:color="auto" w:fill="auto"/>
            <w:noWrap/>
            <w:vAlign w:val="center"/>
          </w:tcPr>
          <w:p w14:paraId="2D27F5BD" w14:textId="20D447FE"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110.202</w:t>
            </w:r>
          </w:p>
        </w:tc>
        <w:tc>
          <w:tcPr>
            <w:tcW w:w="314" w:type="pct"/>
            <w:tcBorders>
              <w:top w:val="nil"/>
              <w:left w:val="nil"/>
              <w:bottom w:val="single" w:sz="4" w:space="0" w:color="F39200"/>
              <w:right w:val="nil"/>
            </w:tcBorders>
            <w:shd w:val="clear" w:color="auto" w:fill="auto"/>
            <w:noWrap/>
            <w:vAlign w:val="center"/>
          </w:tcPr>
          <w:p w14:paraId="710B264E" w14:textId="0237F8A9"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49" w:type="pct"/>
            <w:tcBorders>
              <w:top w:val="nil"/>
              <w:left w:val="nil"/>
              <w:bottom w:val="single" w:sz="4" w:space="0" w:color="F39200"/>
              <w:right w:val="nil"/>
            </w:tcBorders>
            <w:shd w:val="clear" w:color="auto" w:fill="auto"/>
            <w:noWrap/>
            <w:vAlign w:val="center"/>
          </w:tcPr>
          <w:p w14:paraId="53C96596" w14:textId="35D7D815"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32" w:type="pct"/>
            <w:tcBorders>
              <w:top w:val="nil"/>
              <w:left w:val="nil"/>
              <w:bottom w:val="single" w:sz="4" w:space="0" w:color="F39200"/>
              <w:right w:val="nil"/>
            </w:tcBorders>
            <w:shd w:val="clear" w:color="auto" w:fill="auto"/>
            <w:noWrap/>
            <w:vAlign w:val="center"/>
          </w:tcPr>
          <w:p w14:paraId="704B1104" w14:textId="177436E2"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70" w:type="pct"/>
            <w:tcBorders>
              <w:top w:val="nil"/>
              <w:left w:val="nil"/>
              <w:bottom w:val="single" w:sz="4" w:space="0" w:color="F39200"/>
              <w:right w:val="nil"/>
            </w:tcBorders>
            <w:shd w:val="clear" w:color="auto" w:fill="auto"/>
            <w:noWrap/>
            <w:vAlign w:val="center"/>
          </w:tcPr>
          <w:p w14:paraId="0AD8CB61" w14:textId="656AEA08"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293.010</w:t>
            </w:r>
          </w:p>
        </w:tc>
        <w:tc>
          <w:tcPr>
            <w:tcW w:w="349" w:type="pct"/>
            <w:tcBorders>
              <w:top w:val="nil"/>
              <w:left w:val="nil"/>
              <w:bottom w:val="single" w:sz="4" w:space="0" w:color="F39200"/>
            </w:tcBorders>
            <w:shd w:val="clear" w:color="auto" w:fill="auto"/>
            <w:noWrap/>
            <w:vAlign w:val="center"/>
          </w:tcPr>
          <w:p w14:paraId="39FF04B5" w14:textId="2AC826AC"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3.468.572</w:t>
            </w:r>
          </w:p>
        </w:tc>
      </w:tr>
      <w:tr w:rsidR="00E50D56" w:rsidRPr="00667139" w14:paraId="622A659F" w14:textId="77777777" w:rsidTr="00E50D56">
        <w:trPr>
          <w:trHeight w:val="181"/>
        </w:trPr>
        <w:tc>
          <w:tcPr>
            <w:tcW w:w="866" w:type="pct"/>
            <w:tcBorders>
              <w:top w:val="single" w:sz="4" w:space="0" w:color="F39200"/>
              <w:left w:val="nil"/>
              <w:bottom w:val="single" w:sz="4" w:space="0" w:color="F79646" w:themeColor="accent6"/>
              <w:right w:val="nil"/>
            </w:tcBorders>
            <w:shd w:val="clear" w:color="auto" w:fill="auto"/>
            <w:noWrap/>
            <w:vAlign w:val="center"/>
            <w:hideMark/>
          </w:tcPr>
          <w:p w14:paraId="3068ED70" w14:textId="3E994015" w:rsidR="006A2862" w:rsidRPr="00667139" w:rsidRDefault="006A2862" w:rsidP="006A2862">
            <w:pPr>
              <w:rPr>
                <w:rFonts w:ascii="CAIXA Std Book" w:hAnsi="CAIXA Std Book" w:cs="Calibri"/>
                <w:b/>
                <w:bCs/>
                <w:color w:val="005CA9"/>
                <w:sz w:val="13"/>
                <w:szCs w:val="13"/>
              </w:rPr>
            </w:pPr>
            <w:r w:rsidRPr="00667139">
              <w:rPr>
                <w:rFonts w:ascii="CAIXA Std Book" w:hAnsi="CAIXA Std Book" w:cs="Calibri"/>
                <w:b/>
                <w:bCs/>
                <w:color w:val="005CA9"/>
                <w:sz w:val="13"/>
                <w:szCs w:val="13"/>
              </w:rPr>
              <w:t>Garantias prestadas (1</w:t>
            </w:r>
            <w:r w:rsidR="008C72EC">
              <w:rPr>
                <w:rFonts w:ascii="CAIXA Std Book" w:hAnsi="CAIXA Std Book" w:cs="Calibri"/>
                <w:b/>
                <w:bCs/>
                <w:color w:val="005CA9"/>
                <w:sz w:val="13"/>
                <w:szCs w:val="13"/>
              </w:rPr>
              <w:t>6</w:t>
            </w:r>
            <w:r w:rsidRPr="00667139">
              <w:rPr>
                <w:rFonts w:ascii="CAIXA Std Book" w:hAnsi="CAIXA Std Book" w:cs="Calibri"/>
                <w:b/>
                <w:bCs/>
                <w:color w:val="005CA9"/>
                <w:sz w:val="13"/>
                <w:szCs w:val="13"/>
              </w:rPr>
              <w:t>)</w:t>
            </w:r>
          </w:p>
        </w:tc>
        <w:tc>
          <w:tcPr>
            <w:tcW w:w="331" w:type="pct"/>
            <w:tcBorders>
              <w:top w:val="single" w:sz="4" w:space="0" w:color="F39200"/>
              <w:left w:val="nil"/>
              <w:bottom w:val="single" w:sz="4" w:space="0" w:color="F79646" w:themeColor="accent6"/>
              <w:right w:val="nil"/>
            </w:tcBorders>
            <w:shd w:val="clear" w:color="auto" w:fill="auto"/>
            <w:noWrap/>
            <w:vAlign w:val="center"/>
          </w:tcPr>
          <w:p w14:paraId="4469B682" w14:textId="6729ADF0"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59" w:type="pct"/>
            <w:tcBorders>
              <w:top w:val="single" w:sz="4" w:space="0" w:color="F39200"/>
              <w:left w:val="nil"/>
              <w:bottom w:val="single" w:sz="4" w:space="0" w:color="F79646" w:themeColor="accent6"/>
              <w:right w:val="nil"/>
            </w:tcBorders>
            <w:shd w:val="clear" w:color="auto" w:fill="auto"/>
            <w:noWrap/>
            <w:vAlign w:val="center"/>
          </w:tcPr>
          <w:p w14:paraId="268B6462" w14:textId="144FA88D"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48" w:type="pct"/>
            <w:tcBorders>
              <w:top w:val="single" w:sz="4" w:space="0" w:color="F39200"/>
              <w:left w:val="nil"/>
              <w:bottom w:val="single" w:sz="4" w:space="0" w:color="F79646" w:themeColor="accent6"/>
              <w:right w:val="nil"/>
            </w:tcBorders>
            <w:shd w:val="clear" w:color="auto" w:fill="auto"/>
            <w:noWrap/>
            <w:vAlign w:val="center"/>
          </w:tcPr>
          <w:p w14:paraId="4C96BE32" w14:textId="17625AD9"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82" w:type="pct"/>
            <w:tcBorders>
              <w:top w:val="single" w:sz="4" w:space="0" w:color="F39200"/>
              <w:left w:val="nil"/>
              <w:bottom w:val="single" w:sz="4" w:space="0" w:color="F79646" w:themeColor="accent6"/>
              <w:right w:val="nil"/>
            </w:tcBorders>
            <w:shd w:val="clear" w:color="auto" w:fill="auto"/>
            <w:noWrap/>
            <w:vAlign w:val="center"/>
          </w:tcPr>
          <w:p w14:paraId="4E0B5FA7" w14:textId="4E8C555D"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43" w:type="pct"/>
            <w:tcBorders>
              <w:top w:val="single" w:sz="4" w:space="0" w:color="F39200"/>
              <w:left w:val="nil"/>
              <w:bottom w:val="single" w:sz="4" w:space="0" w:color="F79646" w:themeColor="accent6"/>
              <w:right w:val="nil"/>
            </w:tcBorders>
            <w:shd w:val="clear" w:color="auto" w:fill="auto"/>
            <w:noWrap/>
            <w:vAlign w:val="center"/>
          </w:tcPr>
          <w:p w14:paraId="25615B31" w14:textId="2054E5E9" w:rsidR="006A2862" w:rsidRPr="00667139" w:rsidRDefault="006A2862" w:rsidP="006A2862">
            <w:pPr>
              <w:jc w:val="center"/>
              <w:rPr>
                <w:rFonts w:ascii="CAIXA Std Book" w:hAnsi="CAIXA Std Book" w:cs="Calibri"/>
                <w:b/>
                <w:color w:val="005CA9"/>
                <w:sz w:val="13"/>
                <w:szCs w:val="13"/>
              </w:rPr>
            </w:pPr>
            <w:r>
              <w:rPr>
                <w:rFonts w:ascii="CAIXA Std Book" w:eastAsia="Futura Lt BT" w:hAnsi="CAIXA Std Book" w:cs="Futura Lt BT"/>
                <w:color w:val="005CA9"/>
                <w:sz w:val="13"/>
                <w:szCs w:val="13"/>
              </w:rPr>
              <w:t>-</w:t>
            </w:r>
          </w:p>
        </w:tc>
        <w:tc>
          <w:tcPr>
            <w:tcW w:w="326" w:type="pct"/>
            <w:tcBorders>
              <w:top w:val="single" w:sz="4" w:space="0" w:color="F39200"/>
              <w:left w:val="nil"/>
              <w:bottom w:val="single" w:sz="4" w:space="0" w:color="F79646" w:themeColor="accent6"/>
            </w:tcBorders>
            <w:shd w:val="clear" w:color="auto" w:fill="auto"/>
            <w:noWrap/>
            <w:vAlign w:val="center"/>
          </w:tcPr>
          <w:p w14:paraId="22F43241" w14:textId="7A0E8CF6" w:rsidR="006A2862" w:rsidRPr="00667139" w:rsidRDefault="006A2862" w:rsidP="006A2862">
            <w:pPr>
              <w:jc w:val="right"/>
              <w:rPr>
                <w:rFonts w:ascii="CAIXA Std Book" w:hAnsi="CAIXA Std Book" w:cs="Calibri"/>
                <w:b/>
                <w:color w:val="005CA9"/>
                <w:sz w:val="13"/>
                <w:szCs w:val="13"/>
              </w:rPr>
            </w:pPr>
            <w:r>
              <w:rPr>
                <w:rFonts w:ascii="CAIXA Std Book" w:hAnsi="CAIXA Std Book" w:cs="Calibri"/>
                <w:b/>
                <w:bCs/>
                <w:color w:val="005CA9"/>
                <w:sz w:val="13"/>
                <w:szCs w:val="13"/>
              </w:rPr>
              <w:t>30.614.697</w:t>
            </w:r>
          </w:p>
        </w:tc>
        <w:tc>
          <w:tcPr>
            <w:tcW w:w="331" w:type="pct"/>
            <w:tcBorders>
              <w:top w:val="single" w:sz="4" w:space="0" w:color="F39200"/>
              <w:left w:val="nil"/>
              <w:bottom w:val="single" w:sz="4" w:space="0" w:color="F79646" w:themeColor="accent6"/>
              <w:right w:val="nil"/>
            </w:tcBorders>
            <w:shd w:val="clear" w:color="auto" w:fill="auto"/>
            <w:noWrap/>
            <w:vAlign w:val="center"/>
          </w:tcPr>
          <w:p w14:paraId="0D38BE15" w14:textId="696E6C70"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14" w:type="pct"/>
            <w:tcBorders>
              <w:top w:val="single" w:sz="4" w:space="0" w:color="F39200"/>
              <w:left w:val="nil"/>
              <w:bottom w:val="single" w:sz="4" w:space="0" w:color="F79646" w:themeColor="accent6"/>
              <w:right w:val="nil"/>
            </w:tcBorders>
            <w:shd w:val="clear" w:color="auto" w:fill="auto"/>
            <w:noWrap/>
            <w:vAlign w:val="center"/>
          </w:tcPr>
          <w:p w14:paraId="54E0F6A2" w14:textId="42560E0B"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49" w:type="pct"/>
            <w:tcBorders>
              <w:top w:val="single" w:sz="4" w:space="0" w:color="F39200"/>
              <w:left w:val="nil"/>
              <w:bottom w:val="single" w:sz="4" w:space="0" w:color="F79646" w:themeColor="accent6"/>
              <w:right w:val="nil"/>
            </w:tcBorders>
            <w:shd w:val="clear" w:color="auto" w:fill="auto"/>
            <w:noWrap/>
            <w:vAlign w:val="center"/>
          </w:tcPr>
          <w:p w14:paraId="556277DF" w14:textId="25E467E8"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32" w:type="pct"/>
            <w:tcBorders>
              <w:top w:val="single" w:sz="4" w:space="0" w:color="F39200"/>
              <w:left w:val="nil"/>
              <w:bottom w:val="single" w:sz="4" w:space="0" w:color="F79646" w:themeColor="accent6"/>
              <w:right w:val="nil"/>
            </w:tcBorders>
            <w:shd w:val="clear" w:color="auto" w:fill="auto"/>
            <w:noWrap/>
            <w:vAlign w:val="center"/>
          </w:tcPr>
          <w:p w14:paraId="3D9D89BE" w14:textId="4590C32D"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70" w:type="pct"/>
            <w:tcBorders>
              <w:top w:val="single" w:sz="4" w:space="0" w:color="F39200"/>
              <w:left w:val="nil"/>
              <w:bottom w:val="single" w:sz="4" w:space="0" w:color="F79646" w:themeColor="accent6"/>
              <w:right w:val="nil"/>
            </w:tcBorders>
            <w:shd w:val="clear" w:color="auto" w:fill="auto"/>
            <w:noWrap/>
            <w:vAlign w:val="center"/>
          </w:tcPr>
          <w:p w14:paraId="5FBA0ECB" w14:textId="556815DA" w:rsidR="006A2862" w:rsidRPr="00667139" w:rsidRDefault="006A2862" w:rsidP="006A2862">
            <w:pPr>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349" w:type="pct"/>
            <w:tcBorders>
              <w:top w:val="single" w:sz="4" w:space="0" w:color="F39200"/>
              <w:left w:val="nil"/>
              <w:bottom w:val="single" w:sz="4" w:space="0" w:color="F79646" w:themeColor="accent6"/>
            </w:tcBorders>
            <w:shd w:val="clear" w:color="auto" w:fill="auto"/>
            <w:noWrap/>
            <w:vAlign w:val="center"/>
          </w:tcPr>
          <w:p w14:paraId="7FD67A9A" w14:textId="4C4187F1" w:rsidR="006A2862" w:rsidRPr="00667139" w:rsidRDefault="006A2862" w:rsidP="006A2862">
            <w:pPr>
              <w:jc w:val="right"/>
              <w:rPr>
                <w:rFonts w:ascii="CAIXA Std Book" w:hAnsi="CAIXA Std Book" w:cs="Calibri"/>
                <w:b/>
                <w:color w:val="005CA9"/>
                <w:sz w:val="13"/>
                <w:szCs w:val="13"/>
              </w:rPr>
            </w:pPr>
            <w:r w:rsidRPr="00667139">
              <w:rPr>
                <w:rFonts w:ascii="CAIXA Std Book" w:hAnsi="CAIXA Std Book" w:cs="Arial"/>
                <w:b/>
                <w:bCs/>
                <w:color w:val="005CA9"/>
                <w:sz w:val="13"/>
                <w:szCs w:val="13"/>
              </w:rPr>
              <w:t>30.941.504</w:t>
            </w:r>
          </w:p>
        </w:tc>
      </w:tr>
    </w:tbl>
    <w:p w14:paraId="161D180E" w14:textId="0601AA76" w:rsidR="00B040EA" w:rsidRDefault="00C54E39" w:rsidP="00D02248">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4647A2">
        <w:rPr>
          <w:rFonts w:ascii="CAIXA Std Book" w:hAnsi="CAIXA Std Book" w:cs="Calibri"/>
          <w:color w:val="005CA9"/>
          <w:sz w:val="12"/>
          <w:szCs w:val="12"/>
        </w:rPr>
        <w:t>1</w:t>
      </w:r>
      <w:r w:rsidRPr="00AF3F6E">
        <w:rPr>
          <w:rFonts w:ascii="CAIXA Std Book" w:hAnsi="CAIXA Std Book" w:cs="Calibri"/>
          <w:color w:val="005CA9"/>
          <w:sz w:val="12"/>
          <w:szCs w:val="12"/>
        </w:rPr>
        <w:t>)</w:t>
      </w:r>
      <w:r w:rsidR="00B040EA" w:rsidRPr="00B040EA">
        <w:rPr>
          <w:rFonts w:ascii="CAIXA Std Book" w:hAnsi="CAIXA Std Book" w:cs="Calibri"/>
          <w:color w:val="005CA9"/>
          <w:sz w:val="12"/>
          <w:szCs w:val="12"/>
        </w:rPr>
        <w:t xml:space="preserve"> </w:t>
      </w:r>
      <w:r w:rsidR="00B040EA">
        <w:rPr>
          <w:rFonts w:ascii="CAIXA Std Book" w:hAnsi="CAIXA Std Book" w:cs="Calibri"/>
          <w:color w:val="005CA9"/>
          <w:sz w:val="12"/>
          <w:szCs w:val="12"/>
        </w:rPr>
        <w:t>Valores por</w:t>
      </w:r>
      <w:r w:rsidR="00B040EA" w:rsidRPr="00AF3F6E">
        <w:rPr>
          <w:rFonts w:ascii="CAIXA Std Book" w:hAnsi="CAIXA Std Book" w:cs="Calibri"/>
          <w:color w:val="005CA9"/>
          <w:sz w:val="12"/>
          <w:szCs w:val="12"/>
        </w:rPr>
        <w:t xml:space="preserve"> contratos</w:t>
      </w:r>
      <w:r w:rsidR="00B040EA">
        <w:rPr>
          <w:rFonts w:ascii="CAIXA Std Book" w:hAnsi="CAIXA Std Book" w:cs="Calibri"/>
          <w:color w:val="005CA9"/>
          <w:sz w:val="12"/>
          <w:szCs w:val="12"/>
        </w:rPr>
        <w:t xml:space="preserve"> com a TecBan, relativos a disponibilidades em canais de atendimento da rede Banco24Horas</w:t>
      </w:r>
      <w:r w:rsidR="00B040EA" w:rsidRPr="00AF3F6E">
        <w:rPr>
          <w:rFonts w:ascii="CAIXA Std Book" w:hAnsi="CAIXA Std Book" w:cs="Calibri"/>
          <w:color w:val="005CA9"/>
          <w:sz w:val="12"/>
          <w:szCs w:val="12"/>
        </w:rPr>
        <w:t>.</w:t>
      </w:r>
    </w:p>
    <w:p w14:paraId="6867E098" w14:textId="7CCB1622" w:rsidR="00D02248" w:rsidRPr="00AF3F6E" w:rsidRDefault="00D02248" w:rsidP="00D02248">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2</w:t>
      </w:r>
      <w:r w:rsidRPr="00AF3F6E">
        <w:rPr>
          <w:rFonts w:ascii="CAIXA Std Book" w:hAnsi="CAIXA Std Book" w:cs="Calibri"/>
          <w:color w:val="005CA9"/>
          <w:sz w:val="12"/>
          <w:szCs w:val="12"/>
        </w:rPr>
        <w:t xml:space="preserve">) </w:t>
      </w:r>
      <w:r w:rsidR="00161FC0">
        <w:rPr>
          <w:rFonts w:ascii="CAIXA Std Book" w:hAnsi="CAIXA Std Book" w:cs="Calibri"/>
          <w:color w:val="005CA9"/>
          <w:sz w:val="12"/>
          <w:szCs w:val="12"/>
        </w:rPr>
        <w:t>T</w:t>
      </w:r>
      <w:r w:rsidRPr="00AF3F6E">
        <w:rPr>
          <w:rFonts w:ascii="CAIXA Std Book" w:hAnsi="CAIXA Std Book" w:cs="Calibri"/>
          <w:color w:val="005CA9"/>
          <w:sz w:val="12"/>
          <w:szCs w:val="12"/>
        </w:rPr>
        <w:t xml:space="preserve">ítulos </w:t>
      </w:r>
      <w:r w:rsidR="00161FC0">
        <w:rPr>
          <w:rFonts w:ascii="CAIXA Std Book" w:hAnsi="CAIXA Std Book" w:cs="Calibri"/>
          <w:color w:val="005CA9"/>
          <w:sz w:val="12"/>
          <w:szCs w:val="12"/>
        </w:rPr>
        <w:t>P</w:t>
      </w:r>
      <w:r w:rsidRPr="00AF3F6E">
        <w:rPr>
          <w:rFonts w:ascii="CAIXA Std Book" w:hAnsi="CAIXA Std Book" w:cs="Calibri"/>
          <w:color w:val="005CA9"/>
          <w:sz w:val="12"/>
          <w:szCs w:val="12"/>
        </w:rPr>
        <w:t xml:space="preserve">úblicos </w:t>
      </w:r>
      <w:r w:rsidR="00161FC0">
        <w:rPr>
          <w:rFonts w:ascii="CAIXA Std Book" w:hAnsi="CAIXA Std Book" w:cs="Calibri"/>
          <w:color w:val="005CA9"/>
          <w:sz w:val="12"/>
          <w:szCs w:val="12"/>
        </w:rPr>
        <w:t>F</w:t>
      </w:r>
      <w:r w:rsidRPr="00AF3F6E">
        <w:rPr>
          <w:rFonts w:ascii="CAIXA Std Book" w:hAnsi="CAIXA Std Book" w:cs="Calibri"/>
          <w:color w:val="005CA9"/>
          <w:sz w:val="12"/>
          <w:szCs w:val="12"/>
        </w:rPr>
        <w:t>ederais</w:t>
      </w:r>
      <w:r w:rsidR="00E83A6F">
        <w:rPr>
          <w:rFonts w:ascii="CAIXA Std Book" w:hAnsi="CAIXA Std Book" w:cs="Calibri"/>
          <w:color w:val="005CA9"/>
          <w:sz w:val="12"/>
          <w:szCs w:val="12"/>
        </w:rPr>
        <w:t xml:space="preserve"> (Controladora)</w:t>
      </w:r>
      <w:r w:rsidR="00077CBB">
        <w:rPr>
          <w:rFonts w:ascii="CAIXA Std Book" w:hAnsi="CAIXA Std Book" w:cs="Calibri"/>
          <w:color w:val="005CA9"/>
          <w:sz w:val="12"/>
          <w:szCs w:val="12"/>
        </w:rPr>
        <w:t xml:space="preserve">, </w:t>
      </w:r>
      <w:r w:rsidR="00077CBB" w:rsidRPr="00AF3F6E">
        <w:rPr>
          <w:rFonts w:ascii="CAIXA Std Book" w:hAnsi="CAIXA Std Book" w:cs="Calibri"/>
          <w:color w:val="005CA9"/>
          <w:sz w:val="12"/>
          <w:szCs w:val="12"/>
        </w:rPr>
        <w:t>conforme Nota 7(a)</w:t>
      </w:r>
      <w:r w:rsidR="00077CBB">
        <w:rPr>
          <w:rFonts w:ascii="CAIXA Std Book" w:hAnsi="CAIXA Std Book" w:cs="Calibri"/>
          <w:color w:val="005CA9"/>
          <w:sz w:val="12"/>
          <w:szCs w:val="12"/>
        </w:rPr>
        <w:t>,</w:t>
      </w:r>
      <w:r w:rsidR="00081D69">
        <w:rPr>
          <w:rFonts w:ascii="CAIXA Std Book" w:hAnsi="CAIXA Std Book" w:cs="Calibri"/>
          <w:color w:val="005CA9"/>
          <w:sz w:val="12"/>
          <w:szCs w:val="12"/>
        </w:rPr>
        <w:t xml:space="preserve"> e aplicações em</w:t>
      </w:r>
      <w:r w:rsidR="00CC0CF0">
        <w:rPr>
          <w:rFonts w:ascii="CAIXA Std Book" w:hAnsi="CAIXA Std Book" w:cs="Calibri"/>
          <w:color w:val="005CA9"/>
          <w:sz w:val="12"/>
          <w:szCs w:val="12"/>
        </w:rPr>
        <w:t xml:space="preserve"> </w:t>
      </w:r>
      <w:r w:rsidR="00E83A6F">
        <w:rPr>
          <w:rFonts w:ascii="CAIXA Std Book" w:hAnsi="CAIXA Std Book" w:cs="Calibri"/>
          <w:color w:val="005CA9"/>
          <w:sz w:val="12"/>
          <w:szCs w:val="12"/>
        </w:rPr>
        <w:t>cotas do FIDC ACR IV (Controlada)</w:t>
      </w:r>
      <w:r w:rsidR="0099099D">
        <w:rPr>
          <w:rFonts w:ascii="CAIXA Std Book" w:hAnsi="CAIXA Std Book" w:cs="Calibri"/>
          <w:color w:val="005CA9"/>
          <w:sz w:val="12"/>
          <w:szCs w:val="12"/>
        </w:rPr>
        <w:t xml:space="preserve">, </w:t>
      </w:r>
      <w:proofErr w:type="spellStart"/>
      <w:r w:rsidR="00B84020">
        <w:rPr>
          <w:rFonts w:ascii="CAIXA Std Book" w:hAnsi="CAIXA Std Book" w:cs="Calibri"/>
          <w:color w:val="005CA9"/>
          <w:sz w:val="12"/>
          <w:szCs w:val="12"/>
        </w:rPr>
        <w:t>FGH</w:t>
      </w:r>
      <w:r w:rsidR="00F9468B">
        <w:rPr>
          <w:rFonts w:ascii="CAIXA Std Book" w:hAnsi="CAIXA Std Book" w:cs="Calibri"/>
          <w:color w:val="005CA9"/>
          <w:sz w:val="12"/>
          <w:szCs w:val="12"/>
        </w:rPr>
        <w:t>ab</w:t>
      </w:r>
      <w:proofErr w:type="spellEnd"/>
      <w:r w:rsidR="00C36D0B">
        <w:rPr>
          <w:rFonts w:ascii="CAIXA Std Book" w:hAnsi="CAIXA Std Book" w:cs="Calibri"/>
          <w:color w:val="005CA9"/>
          <w:sz w:val="12"/>
          <w:szCs w:val="12"/>
        </w:rPr>
        <w:t xml:space="preserve"> </w:t>
      </w:r>
      <w:r w:rsidR="00193CD9">
        <w:rPr>
          <w:rFonts w:ascii="CAIXA Std Book" w:hAnsi="CAIXA Std Book" w:cs="Calibri"/>
          <w:color w:val="005CA9"/>
          <w:sz w:val="12"/>
          <w:szCs w:val="12"/>
        </w:rPr>
        <w:t xml:space="preserve">e </w:t>
      </w:r>
      <w:r w:rsidR="00DE343D">
        <w:rPr>
          <w:rFonts w:ascii="CAIXA Std Book" w:hAnsi="CAIXA Std Book" w:cs="Calibri"/>
          <w:color w:val="005CA9"/>
          <w:sz w:val="12"/>
          <w:szCs w:val="12"/>
        </w:rPr>
        <w:t xml:space="preserve">FGI </w:t>
      </w:r>
      <w:r w:rsidR="00C36D0B">
        <w:rPr>
          <w:rFonts w:ascii="CAIXA Std Book" w:hAnsi="CAIXA Std Book" w:cs="Calibri"/>
          <w:color w:val="005CA9"/>
          <w:sz w:val="12"/>
          <w:szCs w:val="12"/>
        </w:rPr>
        <w:t>(Outras entidades)</w:t>
      </w:r>
      <w:r w:rsidRPr="00AF3F6E">
        <w:rPr>
          <w:rFonts w:ascii="CAIXA Std Book" w:hAnsi="CAIXA Std Book" w:cs="Calibri"/>
          <w:color w:val="005CA9"/>
          <w:sz w:val="12"/>
          <w:szCs w:val="12"/>
        </w:rPr>
        <w:t>.</w:t>
      </w:r>
    </w:p>
    <w:p w14:paraId="07B90D7F" w14:textId="148543B2" w:rsidR="004A42AA" w:rsidRPr="00AF3F6E" w:rsidRDefault="004A42AA" w:rsidP="004A42AA">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9C18EC">
        <w:rPr>
          <w:rFonts w:ascii="CAIXA Std Book" w:hAnsi="CAIXA Std Book" w:cs="Calibri"/>
          <w:color w:val="005CA9"/>
          <w:sz w:val="12"/>
          <w:szCs w:val="12"/>
        </w:rPr>
        <w:t>3</w:t>
      </w:r>
      <w:r w:rsidRPr="00AF3F6E">
        <w:rPr>
          <w:rFonts w:ascii="CAIXA Std Book" w:hAnsi="CAIXA Std Book" w:cs="Calibri"/>
          <w:color w:val="005CA9"/>
          <w:sz w:val="12"/>
          <w:szCs w:val="12"/>
        </w:rPr>
        <w:t xml:space="preserve">) Em </w:t>
      </w:r>
      <w:r w:rsidR="00AB41A4">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ontrolada, </w:t>
      </w:r>
      <w:r w:rsidR="00AB41A4">
        <w:rPr>
          <w:rFonts w:ascii="CAIXA Std Book" w:hAnsi="CAIXA Std Book" w:cs="Calibri"/>
          <w:color w:val="005CA9"/>
          <w:sz w:val="12"/>
          <w:szCs w:val="12"/>
        </w:rPr>
        <w:t xml:space="preserve">corresponde </w:t>
      </w:r>
      <w:r w:rsidRPr="00AF3F6E">
        <w:rPr>
          <w:rFonts w:ascii="CAIXA Std Book" w:hAnsi="CAIXA Std Book" w:cs="Calibri"/>
          <w:color w:val="005CA9"/>
          <w:sz w:val="12"/>
          <w:szCs w:val="12"/>
        </w:rPr>
        <w:t xml:space="preserve">a dividendos </w:t>
      </w:r>
      <w:r w:rsidR="008C4AFF">
        <w:rPr>
          <w:rFonts w:ascii="CAIXA Std Book" w:hAnsi="CAIXA Std Book" w:cs="Calibri"/>
          <w:color w:val="005CA9"/>
          <w:sz w:val="12"/>
          <w:szCs w:val="12"/>
        </w:rPr>
        <w:t>propostos pelas subsidiárias</w:t>
      </w:r>
      <w:r w:rsidR="005A14BE">
        <w:rPr>
          <w:rFonts w:ascii="CAIXA Std Book" w:hAnsi="CAIXA Std Book" w:cs="Calibri"/>
          <w:color w:val="005CA9"/>
          <w:sz w:val="12"/>
          <w:szCs w:val="12"/>
        </w:rPr>
        <w:t xml:space="preserve"> e</w:t>
      </w:r>
      <w:r w:rsidR="002874F0">
        <w:rPr>
          <w:rFonts w:ascii="CAIXA Std Book" w:hAnsi="CAIXA Std Book" w:cs="Calibri"/>
          <w:color w:val="005CA9"/>
          <w:sz w:val="12"/>
          <w:szCs w:val="12"/>
        </w:rPr>
        <w:t>,</w:t>
      </w:r>
      <w:r w:rsidR="005A14BE">
        <w:rPr>
          <w:rFonts w:ascii="CAIXA Std Book" w:hAnsi="CAIXA Std Book" w:cs="Calibri"/>
          <w:color w:val="005CA9"/>
          <w:sz w:val="12"/>
          <w:szCs w:val="12"/>
        </w:rPr>
        <w:t xml:space="preserve"> e</w:t>
      </w:r>
      <w:r w:rsidR="00561410">
        <w:rPr>
          <w:rFonts w:ascii="CAIXA Std Book" w:hAnsi="CAIXA Std Book" w:cs="Calibri"/>
          <w:color w:val="005CA9"/>
          <w:sz w:val="12"/>
          <w:szCs w:val="12"/>
        </w:rPr>
        <w:t xml:space="preserve">m Coligadas, </w:t>
      </w:r>
      <w:r w:rsidR="004E64EC">
        <w:rPr>
          <w:rFonts w:ascii="CAIXA Std Book" w:hAnsi="CAIXA Std Book" w:cs="Calibri"/>
          <w:color w:val="005CA9"/>
          <w:sz w:val="12"/>
          <w:szCs w:val="12"/>
        </w:rPr>
        <w:t>à</w:t>
      </w:r>
      <w:r w:rsidR="00683A95">
        <w:rPr>
          <w:rFonts w:ascii="CAIXA Std Book" w:hAnsi="CAIXA Std Book" w:cs="Calibri"/>
          <w:color w:val="005CA9"/>
          <w:sz w:val="12"/>
          <w:szCs w:val="12"/>
        </w:rPr>
        <w:t xml:space="preserve"> remuneração devida pelo grupo Caixa Seguridade</w:t>
      </w:r>
      <w:r w:rsidR="005A14BE">
        <w:rPr>
          <w:rFonts w:ascii="CAIXA Std Book" w:hAnsi="CAIXA Std Book" w:cs="Calibri"/>
          <w:color w:val="005CA9"/>
          <w:sz w:val="12"/>
          <w:szCs w:val="12"/>
        </w:rPr>
        <w:t>, pelo uso da rede de distribuição CAIXA</w:t>
      </w:r>
      <w:r w:rsidR="001253EA">
        <w:rPr>
          <w:rFonts w:ascii="CAIXA Std Book" w:hAnsi="CAIXA Std Book" w:cs="Calibri"/>
          <w:color w:val="005CA9"/>
          <w:sz w:val="12"/>
          <w:szCs w:val="12"/>
        </w:rPr>
        <w:t>.</w:t>
      </w:r>
    </w:p>
    <w:p w14:paraId="2B559D26" w14:textId="554475DF"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4</w:t>
      </w:r>
      <w:r w:rsidRPr="00AF3F6E">
        <w:rPr>
          <w:rFonts w:ascii="CAIXA Std Book" w:hAnsi="CAIXA Std Book" w:cs="Calibri"/>
          <w:color w:val="005CA9"/>
          <w:sz w:val="12"/>
          <w:szCs w:val="12"/>
        </w:rPr>
        <w:t xml:space="preserve">) </w:t>
      </w:r>
      <w:r w:rsidR="00D537C9">
        <w:rPr>
          <w:rFonts w:ascii="CAIXA Std Book" w:hAnsi="CAIXA Std Book" w:cs="Calibri"/>
          <w:color w:val="005CA9"/>
          <w:sz w:val="12"/>
          <w:szCs w:val="12"/>
        </w:rPr>
        <w:t>E</w:t>
      </w:r>
      <w:r w:rsidRPr="00AF3F6E">
        <w:rPr>
          <w:rFonts w:ascii="CAIXA Std Book" w:hAnsi="CAIXA Std Book" w:cs="Calibri"/>
          <w:color w:val="005CA9"/>
          <w:sz w:val="12"/>
          <w:szCs w:val="12"/>
        </w:rPr>
        <w:t xml:space="preserve">m </w:t>
      </w:r>
      <w:r w:rsidR="004916E1">
        <w:rPr>
          <w:rFonts w:ascii="CAIXA Std Book" w:hAnsi="CAIXA Std Book" w:cs="Calibri"/>
          <w:color w:val="005CA9"/>
          <w:sz w:val="12"/>
          <w:szCs w:val="12"/>
        </w:rPr>
        <w:t>O</w:t>
      </w:r>
      <w:r w:rsidRPr="00AF3F6E">
        <w:rPr>
          <w:rFonts w:ascii="CAIXA Std Book" w:hAnsi="CAIXA Std Book" w:cs="Calibri"/>
          <w:color w:val="005CA9"/>
          <w:sz w:val="12"/>
          <w:szCs w:val="12"/>
        </w:rPr>
        <w:t>utras entidades</w:t>
      </w:r>
      <w:r w:rsidR="00D537C9">
        <w:rPr>
          <w:rFonts w:ascii="CAIXA Std Book" w:hAnsi="CAIXA Std Book" w:cs="Calibri"/>
          <w:color w:val="005CA9"/>
          <w:sz w:val="12"/>
          <w:szCs w:val="12"/>
        </w:rPr>
        <w:t>, o valor apresentado</w:t>
      </w:r>
      <w:r w:rsidRPr="00AF3F6E">
        <w:rPr>
          <w:rFonts w:ascii="CAIXA Std Book" w:hAnsi="CAIXA Std Book" w:cs="Calibri"/>
          <w:color w:val="005CA9"/>
          <w:sz w:val="12"/>
          <w:szCs w:val="12"/>
        </w:rPr>
        <w:t xml:space="preserve"> refere-se </w:t>
      </w:r>
      <w:r w:rsidR="004916E1">
        <w:rPr>
          <w:rFonts w:ascii="CAIXA Std Book" w:hAnsi="CAIXA Std Book" w:cs="Calibri"/>
          <w:color w:val="005CA9"/>
          <w:sz w:val="12"/>
          <w:szCs w:val="12"/>
        </w:rPr>
        <w:t>a</w:t>
      </w:r>
      <w:r w:rsidR="00D537C9">
        <w:rPr>
          <w:rFonts w:ascii="CAIXA Std Book" w:hAnsi="CAIXA Std Book" w:cs="Calibri"/>
          <w:color w:val="005CA9"/>
          <w:sz w:val="12"/>
          <w:szCs w:val="12"/>
        </w:rPr>
        <w:t>o saldo de</w:t>
      </w:r>
      <w:r w:rsidRPr="00AF3F6E">
        <w:rPr>
          <w:rFonts w:ascii="CAIXA Std Book" w:hAnsi="CAIXA Std Book" w:cs="Calibri"/>
          <w:color w:val="005CA9"/>
          <w:sz w:val="12"/>
          <w:szCs w:val="12"/>
        </w:rPr>
        <w:t xml:space="preserve"> operações de crédito com a Eletrobras.</w:t>
      </w:r>
    </w:p>
    <w:p w14:paraId="0E7A8729" w14:textId="62A5264F"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5</w:t>
      </w:r>
      <w:r w:rsidRPr="00AF3F6E">
        <w:rPr>
          <w:rFonts w:ascii="CAIXA Std Book" w:hAnsi="CAIXA Std Book" w:cs="Calibri"/>
          <w:color w:val="005CA9"/>
          <w:sz w:val="12"/>
          <w:szCs w:val="12"/>
        </w:rPr>
        <w:t>) Os valores apresentados referem-se a haveres da União (</w:t>
      </w:r>
      <w:r w:rsidR="004C15C5">
        <w:rPr>
          <w:rFonts w:ascii="CAIXA Std Book" w:hAnsi="CAIXA Std Book" w:cs="Calibri"/>
          <w:color w:val="005CA9"/>
          <w:sz w:val="12"/>
          <w:szCs w:val="12"/>
        </w:rPr>
        <w:t>C</w:t>
      </w:r>
      <w:r w:rsidRPr="00AF3F6E">
        <w:rPr>
          <w:rFonts w:ascii="CAIXA Std Book" w:hAnsi="CAIXA Std Book" w:cs="Calibri"/>
          <w:color w:val="005CA9"/>
          <w:sz w:val="12"/>
          <w:szCs w:val="12"/>
        </w:rPr>
        <w:t>ontroladora) e a valores a serem ressarcidos pelo FGTS e FCVS (</w:t>
      </w:r>
      <w:r w:rsidR="004C15C5">
        <w:rPr>
          <w:rFonts w:ascii="CAIXA Std Book" w:hAnsi="CAIXA Std Book" w:cs="Calibri"/>
          <w:color w:val="005CA9"/>
          <w:sz w:val="12"/>
          <w:szCs w:val="12"/>
        </w:rPr>
        <w:t>O</w:t>
      </w:r>
      <w:r w:rsidRPr="00AF3F6E">
        <w:rPr>
          <w:rFonts w:ascii="CAIXA Std Book" w:hAnsi="CAIXA Std Book" w:cs="Calibri"/>
          <w:color w:val="005CA9"/>
          <w:sz w:val="12"/>
          <w:szCs w:val="12"/>
        </w:rPr>
        <w:t>utras entidades), conforme Notas 10(b) e 14(a).</w:t>
      </w:r>
    </w:p>
    <w:p w14:paraId="0D9FE6E5" w14:textId="51054D9E"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6</w:t>
      </w:r>
      <w:r w:rsidRPr="00AF3F6E">
        <w:rPr>
          <w:rFonts w:ascii="CAIXA Std Book" w:hAnsi="CAIXA Std Book" w:cs="Calibri"/>
          <w:color w:val="005CA9"/>
          <w:sz w:val="12"/>
          <w:szCs w:val="12"/>
        </w:rPr>
        <w:t xml:space="preserve">) </w:t>
      </w:r>
      <w:r w:rsidR="00C30AC8">
        <w:rPr>
          <w:rFonts w:ascii="CAIXA Std Book" w:hAnsi="CAIXA Std Book" w:cs="Calibri"/>
          <w:color w:val="005CA9"/>
          <w:sz w:val="12"/>
          <w:szCs w:val="12"/>
        </w:rPr>
        <w:t>P</w:t>
      </w:r>
      <w:r w:rsidR="00B037E0">
        <w:rPr>
          <w:rFonts w:ascii="CAIXA Std Book" w:hAnsi="CAIXA Std Book" w:cs="Calibri"/>
          <w:color w:val="005CA9"/>
          <w:sz w:val="12"/>
          <w:szCs w:val="12"/>
        </w:rPr>
        <w:t>rovis</w:t>
      </w:r>
      <w:r w:rsidR="00C30AC8">
        <w:rPr>
          <w:rFonts w:ascii="CAIXA Std Book" w:hAnsi="CAIXA Std Book" w:cs="Calibri"/>
          <w:color w:val="005CA9"/>
          <w:sz w:val="12"/>
          <w:szCs w:val="12"/>
        </w:rPr>
        <w:t>ões</w:t>
      </w:r>
      <w:r w:rsidR="00B037E0">
        <w:rPr>
          <w:rFonts w:ascii="CAIXA Std Book" w:hAnsi="CAIXA Std Book" w:cs="Calibri"/>
          <w:color w:val="005CA9"/>
          <w:sz w:val="12"/>
          <w:szCs w:val="12"/>
        </w:rPr>
        <w:t xml:space="preserve"> para </w:t>
      </w:r>
      <w:r w:rsidR="00B037E0" w:rsidRPr="00B037E0">
        <w:rPr>
          <w:rFonts w:ascii="CAIXA Std Book" w:hAnsi="CAIXA Std Book" w:cs="Calibri"/>
          <w:i/>
          <w:iCs/>
          <w:color w:val="005CA9"/>
          <w:sz w:val="12"/>
          <w:szCs w:val="12"/>
        </w:rPr>
        <w:t>impairment</w:t>
      </w:r>
      <w:r w:rsidR="00B037E0">
        <w:rPr>
          <w:rFonts w:ascii="CAIXA Std Book" w:hAnsi="CAIXA Std Book" w:cs="Calibri"/>
          <w:color w:val="005CA9"/>
          <w:sz w:val="12"/>
          <w:szCs w:val="12"/>
        </w:rPr>
        <w:t xml:space="preserve"> </w:t>
      </w:r>
      <w:r w:rsidR="00970ADF">
        <w:rPr>
          <w:rFonts w:ascii="CAIXA Std Book" w:hAnsi="CAIXA Std Book" w:cs="Calibri"/>
          <w:color w:val="005CA9"/>
          <w:sz w:val="12"/>
          <w:szCs w:val="12"/>
        </w:rPr>
        <w:t>em</w:t>
      </w:r>
      <w:r w:rsidR="00B037E0">
        <w:rPr>
          <w:rFonts w:ascii="CAIXA Std Book" w:hAnsi="CAIXA Std Book" w:cs="Calibri"/>
          <w:color w:val="005CA9"/>
          <w:sz w:val="12"/>
          <w:szCs w:val="12"/>
        </w:rPr>
        <w:t xml:space="preserve"> haveres da União</w:t>
      </w:r>
      <w:r w:rsidR="00815779">
        <w:rPr>
          <w:rFonts w:ascii="CAIXA Std Book" w:hAnsi="CAIXA Std Book" w:cs="Calibri"/>
          <w:color w:val="005CA9"/>
          <w:sz w:val="12"/>
          <w:szCs w:val="12"/>
        </w:rPr>
        <w:t xml:space="preserve"> (</w:t>
      </w:r>
      <w:r w:rsidR="00C43C44" w:rsidRPr="00C43C44">
        <w:rPr>
          <w:rFonts w:ascii="CAIXA Std Book" w:hAnsi="CAIXA Std Book" w:cs="Calibri"/>
          <w:color w:val="005CA9"/>
          <w:sz w:val="12"/>
          <w:szCs w:val="12"/>
        </w:rPr>
        <w:t>Voto CMN 162/95</w:t>
      </w:r>
      <w:r w:rsidR="00C43C44">
        <w:rPr>
          <w:rFonts w:ascii="CAIXA Std Book" w:hAnsi="CAIXA Std Book" w:cs="Calibri"/>
          <w:color w:val="005CA9"/>
          <w:sz w:val="12"/>
          <w:szCs w:val="12"/>
        </w:rPr>
        <w:t xml:space="preserve"> e Bônus BNH)</w:t>
      </w:r>
      <w:r w:rsidR="00773BB5">
        <w:rPr>
          <w:rFonts w:ascii="CAIXA Std Book" w:hAnsi="CAIXA Std Book" w:cs="Calibri"/>
          <w:color w:val="005CA9"/>
          <w:sz w:val="12"/>
          <w:szCs w:val="12"/>
        </w:rPr>
        <w:t xml:space="preserve"> e, e</w:t>
      </w:r>
      <w:r w:rsidR="00C7114A">
        <w:rPr>
          <w:rFonts w:ascii="CAIXA Std Book" w:hAnsi="CAIXA Std Book" w:cs="Calibri"/>
          <w:color w:val="005CA9"/>
          <w:sz w:val="12"/>
          <w:szCs w:val="12"/>
        </w:rPr>
        <w:t>m Outras entidades</w:t>
      </w:r>
      <w:r w:rsidR="00C7114A" w:rsidRPr="00594DC1">
        <w:rPr>
          <w:rFonts w:ascii="CAIXA Std Book" w:hAnsi="CAIXA Std Book" w:cs="Calibri"/>
          <w:color w:val="005CA9"/>
          <w:sz w:val="12"/>
          <w:szCs w:val="12"/>
        </w:rPr>
        <w:t>,</w:t>
      </w:r>
      <w:r w:rsidRPr="00594DC1">
        <w:rPr>
          <w:rFonts w:ascii="CAIXA Std Book" w:hAnsi="CAIXA Std Book" w:cs="Calibri"/>
          <w:color w:val="005CA9"/>
          <w:sz w:val="12"/>
          <w:szCs w:val="12"/>
        </w:rPr>
        <w:t xml:space="preserve"> </w:t>
      </w:r>
      <w:r w:rsidRPr="00AF3F6E">
        <w:rPr>
          <w:rFonts w:ascii="CAIXA Std Book" w:hAnsi="CAIXA Std Book" w:cs="Calibri"/>
          <w:color w:val="005CA9"/>
          <w:sz w:val="12"/>
          <w:szCs w:val="12"/>
        </w:rPr>
        <w:t xml:space="preserve">para perdas com o FCVS, conforme Nota 10. </w:t>
      </w:r>
    </w:p>
    <w:p w14:paraId="4A699F1B" w14:textId="67D62971"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7</w:t>
      </w:r>
      <w:r w:rsidRPr="00AF3F6E">
        <w:rPr>
          <w:rFonts w:ascii="CAIXA Std Book" w:hAnsi="CAIXA Std Book" w:cs="Calibri"/>
          <w:color w:val="005CA9"/>
          <w:sz w:val="12"/>
          <w:szCs w:val="12"/>
        </w:rPr>
        <w:t xml:space="preserve">) Em </w:t>
      </w:r>
      <w:r w:rsidR="00663934">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o saldo refere-se principalmente a depósitos de fundos de investimento. </w:t>
      </w:r>
    </w:p>
    <w:p w14:paraId="5109A653" w14:textId="2E3DC646"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8</w:t>
      </w:r>
      <w:r w:rsidRPr="00AF3F6E">
        <w:rPr>
          <w:rFonts w:ascii="CAIXA Std Book" w:hAnsi="CAIXA Std Book" w:cs="Calibri"/>
          <w:color w:val="005CA9"/>
          <w:sz w:val="12"/>
          <w:szCs w:val="12"/>
        </w:rPr>
        <w:t xml:space="preserve">) A apresentação em </w:t>
      </w:r>
      <w:r w:rsidR="00663934">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w:t>
      </w:r>
      <w:r w:rsidR="00E0016C">
        <w:rPr>
          <w:rFonts w:ascii="CAIXA Std Book" w:hAnsi="CAIXA Std Book" w:cs="Calibri"/>
          <w:color w:val="005CA9"/>
          <w:sz w:val="12"/>
          <w:szCs w:val="12"/>
        </w:rPr>
        <w:t xml:space="preserve">corresponde </w:t>
      </w:r>
      <w:r w:rsidRPr="00AF3F6E">
        <w:rPr>
          <w:rFonts w:ascii="CAIXA Std Book" w:hAnsi="CAIXA Std Book" w:cs="Calibri"/>
          <w:color w:val="005CA9"/>
          <w:sz w:val="12"/>
          <w:szCs w:val="12"/>
        </w:rPr>
        <w:t>aos depósitos especiais e de fundos e programas (FGTS, FAR, FDS, FGS, FIPEM e outros), conforme Nota 15(b).</w:t>
      </w:r>
    </w:p>
    <w:p w14:paraId="7A3E9DFB" w14:textId="2B10C0D9"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sidR="00031149">
        <w:rPr>
          <w:rFonts w:ascii="CAIXA Std Book" w:hAnsi="CAIXA Std Book" w:cs="Calibri"/>
          <w:color w:val="005CA9"/>
          <w:sz w:val="12"/>
          <w:szCs w:val="12"/>
        </w:rPr>
        <w:t>9</w:t>
      </w:r>
      <w:r w:rsidRPr="00AF3F6E">
        <w:rPr>
          <w:rFonts w:ascii="CAIXA Std Book" w:hAnsi="CAIXA Std Book" w:cs="Calibri"/>
          <w:color w:val="005CA9"/>
          <w:sz w:val="12"/>
          <w:szCs w:val="12"/>
        </w:rPr>
        <w:t xml:space="preserve">) O saldo em </w:t>
      </w:r>
      <w:r w:rsidR="00013634">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ontroladora </w:t>
      </w:r>
      <w:r w:rsidR="0096059A">
        <w:rPr>
          <w:rFonts w:ascii="CAIXA Std Book" w:hAnsi="CAIXA Std Book" w:cs="Calibri"/>
          <w:color w:val="005CA9"/>
          <w:sz w:val="12"/>
          <w:szCs w:val="12"/>
        </w:rPr>
        <w:t xml:space="preserve">é representado por </w:t>
      </w:r>
      <w:r w:rsidRPr="00AF3F6E">
        <w:rPr>
          <w:rFonts w:ascii="CAIXA Std Book" w:hAnsi="CAIXA Std Book" w:cs="Calibri"/>
          <w:color w:val="005CA9"/>
          <w:sz w:val="12"/>
          <w:szCs w:val="12"/>
        </w:rPr>
        <w:t>IHCD, conforme Nota 17(a)</w:t>
      </w:r>
      <w:r w:rsidR="00013634">
        <w:rPr>
          <w:rFonts w:ascii="CAIXA Std Book" w:hAnsi="CAIXA Std Book" w:cs="Calibri"/>
          <w:color w:val="005CA9"/>
          <w:sz w:val="12"/>
          <w:szCs w:val="12"/>
        </w:rPr>
        <w:t xml:space="preserve"> e, </w:t>
      </w:r>
      <w:r w:rsidRPr="00AF3F6E">
        <w:rPr>
          <w:rFonts w:ascii="CAIXA Std Book" w:hAnsi="CAIXA Std Book" w:cs="Calibri"/>
          <w:color w:val="005CA9"/>
          <w:sz w:val="12"/>
          <w:szCs w:val="12"/>
        </w:rPr>
        <w:t xml:space="preserve">em </w:t>
      </w:r>
      <w:r w:rsidR="00013634">
        <w:rPr>
          <w:rFonts w:ascii="CAIXA Std Book" w:hAnsi="CAIXA Std Book" w:cs="Calibri"/>
          <w:color w:val="005CA9"/>
          <w:sz w:val="12"/>
          <w:szCs w:val="12"/>
        </w:rPr>
        <w:t>O</w:t>
      </w:r>
      <w:r w:rsidRPr="00AF3F6E">
        <w:rPr>
          <w:rFonts w:ascii="CAIXA Std Book" w:hAnsi="CAIXA Std Book" w:cs="Calibri"/>
          <w:color w:val="005CA9"/>
          <w:sz w:val="12"/>
          <w:szCs w:val="12"/>
        </w:rPr>
        <w:t>utras entidades</w:t>
      </w:r>
      <w:r w:rsidR="00013634">
        <w:rPr>
          <w:rFonts w:ascii="CAIXA Std Book" w:hAnsi="CAIXA Std Book" w:cs="Calibri"/>
          <w:color w:val="005CA9"/>
          <w:sz w:val="12"/>
          <w:szCs w:val="12"/>
        </w:rPr>
        <w:t xml:space="preserve">, </w:t>
      </w:r>
      <w:r w:rsidRPr="00AF3F6E">
        <w:rPr>
          <w:rFonts w:ascii="CAIXA Std Book" w:hAnsi="CAIXA Std Book" w:cs="Calibri"/>
          <w:color w:val="005CA9"/>
          <w:sz w:val="12"/>
          <w:szCs w:val="12"/>
        </w:rPr>
        <w:t>por captações no mercado aberto.</w:t>
      </w:r>
    </w:p>
    <w:p w14:paraId="4F3FB299" w14:textId="24DD4FC5"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0</w:t>
      </w:r>
      <w:r w:rsidRPr="00AF3F6E">
        <w:rPr>
          <w:rFonts w:ascii="CAIXA Std Book" w:hAnsi="CAIXA Std Book" w:cs="Calibri"/>
          <w:color w:val="005CA9"/>
          <w:sz w:val="12"/>
          <w:szCs w:val="12"/>
        </w:rPr>
        <w:t xml:space="preserve">) Em </w:t>
      </w:r>
      <w:r w:rsidR="0096059A">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o saldo apresentado decorre de obrigações por empréstimos e repasses do FGTS, BNDES, Fundo da Marinha Mercante, Tesouro Nacional e outras </w:t>
      </w:r>
      <w:proofErr w:type="spellStart"/>
      <w:r w:rsidRPr="00AF3F6E">
        <w:rPr>
          <w:rFonts w:ascii="CAIXA Std Book" w:hAnsi="CAIXA Std Book" w:cs="Calibri"/>
          <w:color w:val="005CA9"/>
          <w:sz w:val="12"/>
          <w:szCs w:val="12"/>
        </w:rPr>
        <w:t>instiuições</w:t>
      </w:r>
      <w:proofErr w:type="spellEnd"/>
      <w:r w:rsidRPr="00AF3F6E">
        <w:rPr>
          <w:rFonts w:ascii="CAIXA Std Book" w:hAnsi="CAIXA Std Book" w:cs="Calibri"/>
          <w:color w:val="005CA9"/>
          <w:sz w:val="12"/>
          <w:szCs w:val="12"/>
        </w:rPr>
        <w:t>, conforme Nota 16(b).</w:t>
      </w:r>
    </w:p>
    <w:p w14:paraId="59B380B5" w14:textId="6D68F200"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1</w:t>
      </w:r>
      <w:r w:rsidRPr="00AF3F6E">
        <w:rPr>
          <w:rFonts w:ascii="CAIXA Std Book" w:hAnsi="CAIXA Std Book" w:cs="Calibri"/>
          <w:color w:val="005CA9"/>
          <w:sz w:val="12"/>
          <w:szCs w:val="12"/>
        </w:rPr>
        <w:t xml:space="preserve">) O saldo em </w:t>
      </w:r>
      <w:r w:rsidR="0096059A">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refere-se principalmente </w:t>
      </w:r>
      <w:r w:rsidR="001A5948">
        <w:rPr>
          <w:rFonts w:ascii="CAIXA Std Book" w:hAnsi="CAIXA Std Book" w:cs="Calibri"/>
          <w:color w:val="005CA9"/>
          <w:sz w:val="12"/>
          <w:szCs w:val="12"/>
        </w:rPr>
        <w:t>à</w:t>
      </w:r>
      <w:r w:rsidRPr="00AF3F6E">
        <w:rPr>
          <w:rFonts w:ascii="CAIXA Std Book" w:hAnsi="CAIXA Std Book" w:cs="Calibri"/>
          <w:color w:val="005CA9"/>
          <w:sz w:val="12"/>
          <w:szCs w:val="12"/>
        </w:rPr>
        <w:t xml:space="preserve"> remuneração do agente financeiro CAIXA, recebida em operações habitacionais com recursos do FGTS, conforme Nota 18(b).</w:t>
      </w:r>
    </w:p>
    <w:p w14:paraId="565D7386" w14:textId="0DD1A9AA"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2</w:t>
      </w:r>
      <w:r w:rsidRPr="00AF3F6E">
        <w:rPr>
          <w:rFonts w:ascii="CAIXA Std Book" w:hAnsi="CAIXA Std Book" w:cs="Calibri"/>
          <w:color w:val="005CA9"/>
          <w:sz w:val="12"/>
          <w:szCs w:val="12"/>
        </w:rPr>
        <w:t xml:space="preserve">) O saldo apresentado </w:t>
      </w:r>
      <w:r w:rsidR="00E971A0">
        <w:rPr>
          <w:rFonts w:ascii="CAIXA Std Book" w:hAnsi="CAIXA Std Book" w:cs="Calibri"/>
          <w:color w:val="005CA9"/>
          <w:sz w:val="12"/>
          <w:szCs w:val="12"/>
        </w:rPr>
        <w:t>corresponde a</w:t>
      </w:r>
      <w:r w:rsidRPr="00AF3F6E">
        <w:rPr>
          <w:rFonts w:ascii="CAIXA Std Book" w:hAnsi="CAIXA Std Book" w:cs="Calibri"/>
          <w:color w:val="005CA9"/>
          <w:sz w:val="12"/>
          <w:szCs w:val="12"/>
        </w:rPr>
        <w:t xml:space="preserve"> obrigações fiscais e previdenciárias com a União, conforme Nota 20.</w:t>
      </w:r>
    </w:p>
    <w:p w14:paraId="5A25B85D" w14:textId="3EA7BBB6"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3</w:t>
      </w:r>
      <w:r w:rsidRPr="00AF3F6E">
        <w:rPr>
          <w:rFonts w:ascii="CAIXA Std Book" w:hAnsi="CAIXA Std Book" w:cs="Calibri"/>
          <w:color w:val="005CA9"/>
          <w:sz w:val="12"/>
          <w:szCs w:val="12"/>
        </w:rPr>
        <w:t xml:space="preserve">) Em </w:t>
      </w:r>
      <w:r w:rsidR="00E971A0">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ontroladora, o saldo é composto principalmente por obrigações </w:t>
      </w:r>
      <w:r w:rsidR="00E971A0">
        <w:rPr>
          <w:rFonts w:ascii="CAIXA Std Book" w:hAnsi="CAIXA Std Book" w:cs="Calibri"/>
          <w:color w:val="005CA9"/>
          <w:sz w:val="12"/>
          <w:szCs w:val="12"/>
        </w:rPr>
        <w:t>junto à</w:t>
      </w:r>
      <w:r w:rsidRPr="00AF3F6E">
        <w:rPr>
          <w:rFonts w:ascii="CAIXA Std Book" w:hAnsi="CAIXA Std Book" w:cs="Calibri"/>
          <w:color w:val="005CA9"/>
          <w:sz w:val="12"/>
          <w:szCs w:val="12"/>
        </w:rPr>
        <w:t xml:space="preserve"> União.</w:t>
      </w:r>
    </w:p>
    <w:p w14:paraId="741EBC12" w14:textId="359AE018"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4</w:t>
      </w:r>
      <w:r w:rsidRPr="00AF3F6E">
        <w:rPr>
          <w:rFonts w:ascii="CAIXA Std Book" w:hAnsi="CAIXA Std Book" w:cs="Calibri"/>
          <w:color w:val="005CA9"/>
          <w:sz w:val="12"/>
          <w:szCs w:val="12"/>
        </w:rPr>
        <w:t xml:space="preserve">) Em </w:t>
      </w:r>
      <w:r w:rsidR="00E971A0">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o saldo é constituído por recursos do FGTS, FAR e FDS para amortização de contratos em programas habitacionais e </w:t>
      </w:r>
      <w:r w:rsidR="008010F9">
        <w:rPr>
          <w:rFonts w:ascii="CAIXA Std Book" w:hAnsi="CAIXA Std Book" w:cs="Calibri"/>
          <w:color w:val="005CA9"/>
          <w:sz w:val="12"/>
          <w:szCs w:val="12"/>
        </w:rPr>
        <w:t xml:space="preserve">respectivos </w:t>
      </w:r>
      <w:r w:rsidR="00C821AD">
        <w:rPr>
          <w:rFonts w:ascii="CAIXA Std Book" w:hAnsi="CAIXA Std Book" w:cs="Calibri"/>
          <w:color w:val="005CA9"/>
          <w:sz w:val="12"/>
          <w:szCs w:val="12"/>
        </w:rPr>
        <w:t>juros</w:t>
      </w:r>
      <w:r w:rsidR="00F11B9A">
        <w:rPr>
          <w:rFonts w:ascii="CAIXA Std Book" w:hAnsi="CAIXA Std Book" w:cs="Calibri"/>
          <w:color w:val="005CA9"/>
          <w:sz w:val="12"/>
          <w:szCs w:val="12"/>
        </w:rPr>
        <w:t xml:space="preserve"> </w:t>
      </w:r>
      <w:r w:rsidR="00AF6F0F">
        <w:rPr>
          <w:rFonts w:ascii="CAIXA Std Book" w:hAnsi="CAIXA Std Book" w:cs="Calibri"/>
          <w:color w:val="005CA9"/>
          <w:sz w:val="12"/>
          <w:szCs w:val="12"/>
        </w:rPr>
        <w:t>remuneratórios</w:t>
      </w:r>
      <w:r w:rsidR="000C1808">
        <w:rPr>
          <w:rFonts w:ascii="CAIXA Std Book" w:hAnsi="CAIXA Std Book" w:cs="Calibri"/>
          <w:color w:val="005CA9"/>
          <w:sz w:val="12"/>
          <w:szCs w:val="12"/>
        </w:rPr>
        <w:t xml:space="preserve"> devidos</w:t>
      </w:r>
      <w:r w:rsidR="00741BB7">
        <w:rPr>
          <w:rFonts w:ascii="CAIXA Std Book" w:hAnsi="CAIXA Std Book" w:cs="Calibri"/>
          <w:color w:val="005CA9"/>
          <w:sz w:val="12"/>
          <w:szCs w:val="12"/>
        </w:rPr>
        <w:t xml:space="preserve"> aos fundos</w:t>
      </w:r>
      <w:r w:rsidRPr="00AF3F6E">
        <w:rPr>
          <w:rFonts w:ascii="CAIXA Std Book" w:hAnsi="CAIXA Std Book" w:cs="Calibri"/>
          <w:color w:val="005CA9"/>
          <w:sz w:val="12"/>
          <w:szCs w:val="12"/>
        </w:rPr>
        <w:t>, conforme Nota 18(b).</w:t>
      </w:r>
    </w:p>
    <w:p w14:paraId="5A21FB25" w14:textId="1232CC03" w:rsidR="00AF3F6E" w:rsidRPr="00AF3F6E"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5</w:t>
      </w:r>
      <w:r w:rsidRPr="00AF3F6E">
        <w:rPr>
          <w:rFonts w:ascii="CAIXA Std Book" w:hAnsi="CAIXA Std Book" w:cs="Calibri"/>
          <w:color w:val="005CA9"/>
          <w:sz w:val="12"/>
          <w:szCs w:val="12"/>
        </w:rPr>
        <w:t xml:space="preserve">) </w:t>
      </w:r>
      <w:r w:rsidR="003C7264">
        <w:rPr>
          <w:rFonts w:ascii="CAIXA Std Book" w:hAnsi="CAIXA Std Book" w:cs="Calibri"/>
          <w:color w:val="005CA9"/>
          <w:sz w:val="12"/>
          <w:szCs w:val="12"/>
        </w:rPr>
        <w:t>O</w:t>
      </w:r>
      <w:r w:rsidRPr="00AF3F6E">
        <w:rPr>
          <w:rFonts w:ascii="CAIXA Std Book" w:hAnsi="CAIXA Std Book" w:cs="Calibri"/>
          <w:color w:val="005CA9"/>
          <w:sz w:val="12"/>
          <w:szCs w:val="12"/>
        </w:rPr>
        <w:t>perações garantidas pelo governo, notas promissórias, penhor e garantias fidejussórias.</w:t>
      </w:r>
    </w:p>
    <w:p w14:paraId="471286BB" w14:textId="77777777" w:rsidR="004948B2" w:rsidRDefault="00AF3F6E" w:rsidP="00AF3F6E">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sidR="00031149">
        <w:rPr>
          <w:rFonts w:ascii="CAIXA Std Book" w:hAnsi="CAIXA Std Book" w:cs="Calibri"/>
          <w:color w:val="005CA9"/>
          <w:sz w:val="12"/>
          <w:szCs w:val="12"/>
        </w:rPr>
        <w:t>6</w:t>
      </w:r>
      <w:r w:rsidRPr="00AF3F6E">
        <w:rPr>
          <w:rFonts w:ascii="CAIXA Std Book" w:hAnsi="CAIXA Std Book" w:cs="Calibri"/>
          <w:color w:val="005CA9"/>
          <w:sz w:val="12"/>
          <w:szCs w:val="12"/>
        </w:rPr>
        <w:t xml:space="preserve">) </w:t>
      </w:r>
      <w:r w:rsidR="00063BB8">
        <w:rPr>
          <w:rFonts w:ascii="CAIXA Std Book" w:hAnsi="CAIXA Std Book" w:cs="Calibri"/>
          <w:color w:val="005CA9"/>
          <w:sz w:val="12"/>
          <w:szCs w:val="12"/>
        </w:rPr>
        <w:t>G</w:t>
      </w:r>
      <w:r w:rsidRPr="00AF3F6E">
        <w:rPr>
          <w:rFonts w:ascii="CAIXA Std Book" w:hAnsi="CAIXA Std Book" w:cs="Calibri"/>
          <w:color w:val="005CA9"/>
          <w:sz w:val="12"/>
          <w:szCs w:val="12"/>
        </w:rPr>
        <w:t>arantia financeira prestada pela CAIXA às operações de crédito com recursos do FGTS (coobrigação), FIES e FAR, conforme Nota 19(e).</w:t>
      </w:r>
    </w:p>
    <w:p w14:paraId="7BDFE3D0" w14:textId="2006FC87" w:rsidR="002E3049" w:rsidRPr="00FF4346" w:rsidRDefault="002E3049" w:rsidP="00AF3F6E">
      <w:pPr>
        <w:jc w:val="both"/>
        <w:rPr>
          <w:rFonts w:ascii="CAIXA Std Book" w:hAnsi="CAIXA Std Book" w:cs="Calibri"/>
          <w:color w:val="005CA9"/>
          <w:sz w:val="13"/>
          <w:szCs w:val="13"/>
        </w:rPr>
      </w:pPr>
      <w:r w:rsidRPr="00FF4346">
        <w:rPr>
          <w:rFonts w:ascii="CAIXA Std Book" w:hAnsi="CAIXA Std Book" w:cs="Calibri"/>
          <w:color w:val="005CA9"/>
          <w:sz w:val="13"/>
          <w:szCs w:val="13"/>
        </w:rPr>
        <w:br w:type="page"/>
      </w:r>
    </w:p>
    <w:tbl>
      <w:tblPr>
        <w:tblW w:w="14460" w:type="dxa"/>
        <w:tblLayout w:type="fixed"/>
        <w:tblCellMar>
          <w:left w:w="70" w:type="dxa"/>
          <w:right w:w="70" w:type="dxa"/>
        </w:tblCellMar>
        <w:tblLook w:val="04A0" w:firstRow="1" w:lastRow="0" w:firstColumn="1" w:lastColumn="0" w:noHBand="0" w:noVBand="1"/>
      </w:tblPr>
      <w:tblGrid>
        <w:gridCol w:w="2941"/>
        <w:gridCol w:w="1028"/>
        <w:gridCol w:w="1074"/>
        <w:gridCol w:w="1121"/>
        <w:gridCol w:w="1106"/>
        <w:gridCol w:w="1291"/>
        <w:gridCol w:w="1078"/>
        <w:gridCol w:w="1276"/>
        <w:gridCol w:w="1134"/>
        <w:gridCol w:w="1134"/>
        <w:gridCol w:w="1277"/>
      </w:tblGrid>
      <w:tr w:rsidR="00EE522D" w:rsidRPr="00667139" w14:paraId="45431642" w14:textId="77777777" w:rsidTr="007137E1">
        <w:trPr>
          <w:trHeight w:val="198"/>
        </w:trPr>
        <w:tc>
          <w:tcPr>
            <w:tcW w:w="14460" w:type="dxa"/>
            <w:gridSpan w:val="11"/>
            <w:tcBorders>
              <w:top w:val="single" w:sz="4" w:space="0" w:color="F79646" w:themeColor="accent6"/>
              <w:left w:val="nil"/>
              <w:bottom w:val="nil"/>
              <w:right w:val="nil"/>
            </w:tcBorders>
            <w:shd w:val="clear" w:color="auto" w:fill="auto"/>
            <w:noWrap/>
            <w:vAlign w:val="center"/>
            <w:hideMark/>
          </w:tcPr>
          <w:p w14:paraId="2BDFD6E0" w14:textId="77777777" w:rsidR="00EE522D" w:rsidRPr="00667139" w:rsidRDefault="00EE522D" w:rsidP="00DD47B2">
            <w:pPr>
              <w:spacing w:before="100" w:beforeAutospacing="1" w:after="100" w:afterAutospacing="1"/>
              <w:jc w:val="center"/>
              <w:rPr>
                <w:rFonts w:ascii="CAIXA Std Book" w:hAnsi="CAIXA Std Book" w:cs="Symbol"/>
                <w:b/>
                <w:color w:val="005CA9"/>
                <w:sz w:val="13"/>
                <w:szCs w:val="13"/>
              </w:rPr>
            </w:pPr>
            <w:r w:rsidRPr="00667139">
              <w:rPr>
                <w:rFonts w:ascii="CAIXA Std Book" w:hAnsi="CAIXA Std Book" w:cs="Symbol"/>
                <w:b/>
                <w:color w:val="005CA9"/>
                <w:sz w:val="13"/>
                <w:szCs w:val="13"/>
              </w:rPr>
              <w:lastRenderedPageBreak/>
              <w:br w:type="page"/>
              <w:t>CONSOLIDADO</w:t>
            </w:r>
          </w:p>
        </w:tc>
      </w:tr>
      <w:tr w:rsidR="00EE522D" w:rsidRPr="00667139" w14:paraId="0F293D3F" w14:textId="77777777" w:rsidTr="007137E1">
        <w:trPr>
          <w:trHeight w:val="198"/>
        </w:trPr>
        <w:tc>
          <w:tcPr>
            <w:tcW w:w="2941" w:type="dxa"/>
            <w:vMerge w:val="restart"/>
            <w:tcBorders>
              <w:top w:val="single" w:sz="4" w:space="0" w:color="F79646" w:themeColor="accent6"/>
              <w:left w:val="nil"/>
              <w:right w:val="nil"/>
            </w:tcBorders>
            <w:shd w:val="clear" w:color="auto" w:fill="auto"/>
            <w:vAlign w:val="center"/>
            <w:hideMark/>
          </w:tcPr>
          <w:p w14:paraId="39B9B55F"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Descrição</w:t>
            </w:r>
          </w:p>
        </w:tc>
        <w:tc>
          <w:tcPr>
            <w:tcW w:w="5620" w:type="dxa"/>
            <w:gridSpan w:val="5"/>
            <w:tcBorders>
              <w:top w:val="single" w:sz="4" w:space="0" w:color="F79646" w:themeColor="accent6"/>
              <w:left w:val="nil"/>
              <w:bottom w:val="single" w:sz="4" w:space="0" w:color="F39200"/>
            </w:tcBorders>
            <w:shd w:val="clear" w:color="auto" w:fill="auto"/>
            <w:vAlign w:val="center"/>
            <w:hideMark/>
          </w:tcPr>
          <w:p w14:paraId="246FDDB9" w14:textId="1E6AB8AA" w:rsidR="00EE522D" w:rsidRPr="00667139" w:rsidRDefault="00296043"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31/03/2024</w:t>
            </w:r>
          </w:p>
        </w:tc>
        <w:tc>
          <w:tcPr>
            <w:tcW w:w="5899" w:type="dxa"/>
            <w:gridSpan w:val="5"/>
            <w:tcBorders>
              <w:top w:val="single" w:sz="4" w:space="0" w:color="F79646" w:themeColor="accent6"/>
              <w:left w:val="nil"/>
              <w:bottom w:val="single" w:sz="4" w:space="0" w:color="F39200"/>
            </w:tcBorders>
            <w:shd w:val="clear" w:color="auto" w:fill="auto"/>
            <w:vAlign w:val="center"/>
            <w:hideMark/>
          </w:tcPr>
          <w:p w14:paraId="7299BE5F" w14:textId="6E4A6D75" w:rsidR="00EE522D" w:rsidRPr="00667139" w:rsidRDefault="00296043"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31/12/2023</w:t>
            </w:r>
          </w:p>
        </w:tc>
      </w:tr>
      <w:tr w:rsidR="00DD7172" w:rsidRPr="00667139" w14:paraId="22CA04E7" w14:textId="77777777" w:rsidTr="00DC2D46">
        <w:trPr>
          <w:trHeight w:val="198"/>
        </w:trPr>
        <w:tc>
          <w:tcPr>
            <w:tcW w:w="2941" w:type="dxa"/>
            <w:vMerge/>
            <w:tcBorders>
              <w:bottom w:val="single" w:sz="4" w:space="0" w:color="F39200"/>
            </w:tcBorders>
            <w:vAlign w:val="center"/>
            <w:hideMark/>
          </w:tcPr>
          <w:p w14:paraId="3C1F61BE" w14:textId="77777777" w:rsidR="00EE522D" w:rsidRPr="00667139" w:rsidRDefault="00EE522D" w:rsidP="00DD47B2">
            <w:pPr>
              <w:spacing w:before="100" w:beforeAutospacing="1" w:after="100" w:afterAutospacing="1"/>
              <w:jc w:val="right"/>
              <w:rPr>
                <w:rFonts w:ascii="CAIXA Std Book" w:hAnsi="CAIXA Std Book"/>
                <w:b/>
                <w:color w:val="005CA9"/>
                <w:sz w:val="13"/>
                <w:szCs w:val="13"/>
              </w:rPr>
            </w:pPr>
          </w:p>
        </w:tc>
        <w:tc>
          <w:tcPr>
            <w:tcW w:w="1028" w:type="dxa"/>
            <w:tcBorders>
              <w:top w:val="nil"/>
              <w:left w:val="nil"/>
              <w:bottom w:val="single" w:sz="4" w:space="0" w:color="F39200"/>
              <w:right w:val="nil"/>
            </w:tcBorders>
            <w:shd w:val="clear" w:color="auto" w:fill="auto"/>
            <w:vAlign w:val="center"/>
            <w:hideMark/>
          </w:tcPr>
          <w:p w14:paraId="1AF59748"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Controladora</w:t>
            </w:r>
          </w:p>
        </w:tc>
        <w:tc>
          <w:tcPr>
            <w:tcW w:w="1074" w:type="dxa"/>
            <w:tcBorders>
              <w:top w:val="nil"/>
              <w:left w:val="nil"/>
              <w:bottom w:val="single" w:sz="4" w:space="0" w:color="F39200"/>
              <w:right w:val="nil"/>
            </w:tcBorders>
            <w:shd w:val="clear" w:color="auto" w:fill="auto"/>
            <w:vAlign w:val="center"/>
            <w:hideMark/>
          </w:tcPr>
          <w:p w14:paraId="5AB97627" w14:textId="139979E8"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Controlada em conjunto</w:t>
            </w:r>
          </w:p>
        </w:tc>
        <w:tc>
          <w:tcPr>
            <w:tcW w:w="1121" w:type="dxa"/>
            <w:tcBorders>
              <w:top w:val="nil"/>
              <w:left w:val="nil"/>
              <w:bottom w:val="single" w:sz="4" w:space="0" w:color="F39200"/>
              <w:right w:val="nil"/>
            </w:tcBorders>
            <w:shd w:val="clear" w:color="auto" w:fill="auto"/>
            <w:vAlign w:val="center"/>
            <w:hideMark/>
          </w:tcPr>
          <w:p w14:paraId="17F69D92" w14:textId="71B4CBD6"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Coligada</w:t>
            </w:r>
          </w:p>
        </w:tc>
        <w:tc>
          <w:tcPr>
            <w:tcW w:w="1106" w:type="dxa"/>
            <w:tcBorders>
              <w:top w:val="nil"/>
              <w:left w:val="nil"/>
              <w:bottom w:val="single" w:sz="4" w:space="0" w:color="F39200"/>
              <w:right w:val="nil"/>
            </w:tcBorders>
            <w:shd w:val="clear" w:color="auto" w:fill="auto"/>
            <w:vAlign w:val="center"/>
            <w:hideMark/>
          </w:tcPr>
          <w:p w14:paraId="6B07B6FD" w14:textId="76419B3E" w:rsidR="00EE522D" w:rsidRPr="00667139" w:rsidRDefault="00EE522D" w:rsidP="00DD47B2">
            <w:pPr>
              <w:spacing w:before="100" w:beforeAutospacing="1" w:after="100" w:afterAutospacing="1"/>
              <w:jc w:val="center"/>
              <w:rPr>
                <w:rFonts w:ascii="CAIXA Std Book" w:hAnsi="CAIXA Std Book"/>
                <w:b/>
                <w:color w:val="005CA9"/>
                <w:sz w:val="13"/>
                <w:szCs w:val="13"/>
              </w:rPr>
            </w:pPr>
            <w:proofErr w:type="gramStart"/>
            <w:r w:rsidRPr="00667139">
              <w:rPr>
                <w:rFonts w:ascii="CAIXA Std Book" w:hAnsi="CAIXA Std Book"/>
                <w:b/>
                <w:color w:val="005CA9"/>
                <w:sz w:val="13"/>
                <w:szCs w:val="13"/>
              </w:rPr>
              <w:t>Pessoal</w:t>
            </w:r>
            <w:proofErr w:type="gramEnd"/>
            <w:r w:rsidRPr="00667139">
              <w:rPr>
                <w:rFonts w:ascii="CAIXA Std Book" w:hAnsi="CAIXA Std Book"/>
                <w:b/>
                <w:color w:val="005CA9"/>
                <w:sz w:val="13"/>
                <w:szCs w:val="13"/>
              </w:rPr>
              <w:t xml:space="preserve"> chave</w:t>
            </w:r>
          </w:p>
        </w:tc>
        <w:tc>
          <w:tcPr>
            <w:tcW w:w="1291" w:type="dxa"/>
            <w:tcBorders>
              <w:top w:val="nil"/>
              <w:left w:val="nil"/>
              <w:bottom w:val="single" w:sz="4" w:space="0" w:color="F39200"/>
            </w:tcBorders>
            <w:shd w:val="clear" w:color="auto" w:fill="auto"/>
            <w:vAlign w:val="center"/>
            <w:hideMark/>
          </w:tcPr>
          <w:p w14:paraId="2203F6A8" w14:textId="5600CD51"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Outras entidades</w:t>
            </w:r>
          </w:p>
        </w:tc>
        <w:tc>
          <w:tcPr>
            <w:tcW w:w="1078" w:type="dxa"/>
            <w:tcBorders>
              <w:top w:val="single" w:sz="4" w:space="0" w:color="F39200"/>
              <w:left w:val="nil"/>
              <w:bottom w:val="single" w:sz="4" w:space="0" w:color="F39200"/>
              <w:right w:val="nil"/>
            </w:tcBorders>
            <w:shd w:val="clear" w:color="auto" w:fill="auto"/>
            <w:noWrap/>
            <w:vAlign w:val="center"/>
            <w:hideMark/>
          </w:tcPr>
          <w:p w14:paraId="0D1A507E"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Controladora</w:t>
            </w:r>
          </w:p>
        </w:tc>
        <w:tc>
          <w:tcPr>
            <w:tcW w:w="1276" w:type="dxa"/>
            <w:tcBorders>
              <w:top w:val="single" w:sz="4" w:space="0" w:color="F39200"/>
              <w:left w:val="nil"/>
              <w:bottom w:val="single" w:sz="4" w:space="0" w:color="F39200"/>
              <w:right w:val="nil"/>
            </w:tcBorders>
            <w:shd w:val="clear" w:color="auto" w:fill="auto"/>
            <w:vAlign w:val="center"/>
            <w:hideMark/>
          </w:tcPr>
          <w:p w14:paraId="458EB3DC"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Controlada em conjunto</w:t>
            </w:r>
          </w:p>
        </w:tc>
        <w:tc>
          <w:tcPr>
            <w:tcW w:w="1134" w:type="dxa"/>
            <w:tcBorders>
              <w:top w:val="single" w:sz="4" w:space="0" w:color="F39200"/>
              <w:left w:val="nil"/>
              <w:bottom w:val="single" w:sz="4" w:space="0" w:color="F39200"/>
              <w:right w:val="nil"/>
            </w:tcBorders>
            <w:shd w:val="clear" w:color="auto" w:fill="auto"/>
            <w:vAlign w:val="center"/>
            <w:hideMark/>
          </w:tcPr>
          <w:p w14:paraId="0E96E0B5"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Coligada</w:t>
            </w:r>
          </w:p>
        </w:tc>
        <w:tc>
          <w:tcPr>
            <w:tcW w:w="1134" w:type="dxa"/>
            <w:tcBorders>
              <w:top w:val="single" w:sz="4" w:space="0" w:color="F39200"/>
              <w:left w:val="nil"/>
              <w:bottom w:val="single" w:sz="4" w:space="0" w:color="F39200"/>
              <w:right w:val="nil"/>
            </w:tcBorders>
            <w:shd w:val="clear" w:color="auto" w:fill="auto"/>
            <w:vAlign w:val="center"/>
            <w:hideMark/>
          </w:tcPr>
          <w:p w14:paraId="4D3734CD" w14:textId="6FD3FD72" w:rsidR="00EE522D" w:rsidRPr="00667139" w:rsidRDefault="00EE522D" w:rsidP="00DD47B2">
            <w:pPr>
              <w:spacing w:before="100" w:beforeAutospacing="1" w:after="100" w:afterAutospacing="1"/>
              <w:jc w:val="center"/>
              <w:rPr>
                <w:rFonts w:ascii="CAIXA Std Book" w:hAnsi="CAIXA Std Book"/>
                <w:b/>
                <w:color w:val="005CA9"/>
                <w:sz w:val="13"/>
                <w:szCs w:val="13"/>
              </w:rPr>
            </w:pPr>
            <w:proofErr w:type="gramStart"/>
            <w:r w:rsidRPr="00667139">
              <w:rPr>
                <w:rFonts w:ascii="CAIXA Std Book" w:hAnsi="CAIXA Std Book"/>
                <w:b/>
                <w:color w:val="005CA9"/>
                <w:sz w:val="13"/>
                <w:szCs w:val="13"/>
              </w:rPr>
              <w:t>Pessoal</w:t>
            </w:r>
            <w:proofErr w:type="gramEnd"/>
            <w:r w:rsidRPr="00667139">
              <w:rPr>
                <w:rFonts w:ascii="CAIXA Std Book" w:hAnsi="CAIXA Std Book"/>
                <w:b/>
                <w:color w:val="005CA9"/>
                <w:sz w:val="13"/>
                <w:szCs w:val="13"/>
              </w:rPr>
              <w:t xml:space="preserve"> chave</w:t>
            </w:r>
          </w:p>
        </w:tc>
        <w:tc>
          <w:tcPr>
            <w:tcW w:w="1277" w:type="dxa"/>
            <w:tcBorders>
              <w:top w:val="single" w:sz="4" w:space="0" w:color="F39200"/>
              <w:left w:val="nil"/>
              <w:bottom w:val="single" w:sz="4" w:space="0" w:color="F39200"/>
            </w:tcBorders>
            <w:shd w:val="clear" w:color="auto" w:fill="auto"/>
            <w:vAlign w:val="center"/>
            <w:hideMark/>
          </w:tcPr>
          <w:p w14:paraId="59F18D63" w14:textId="77777777" w:rsidR="00EE522D" w:rsidRPr="00667139" w:rsidRDefault="00EE522D" w:rsidP="00DD47B2">
            <w:pPr>
              <w:spacing w:before="100" w:beforeAutospacing="1" w:after="100" w:afterAutospacing="1"/>
              <w:jc w:val="center"/>
              <w:rPr>
                <w:rFonts w:ascii="CAIXA Std Book" w:hAnsi="CAIXA Std Book"/>
                <w:b/>
                <w:color w:val="005CA9"/>
                <w:sz w:val="13"/>
                <w:szCs w:val="13"/>
              </w:rPr>
            </w:pPr>
            <w:r w:rsidRPr="00667139">
              <w:rPr>
                <w:rFonts w:ascii="CAIXA Std Book" w:hAnsi="CAIXA Std Book"/>
                <w:b/>
                <w:color w:val="005CA9"/>
                <w:sz w:val="13"/>
                <w:szCs w:val="13"/>
              </w:rPr>
              <w:t>Outras entidades</w:t>
            </w:r>
          </w:p>
        </w:tc>
      </w:tr>
      <w:tr w:rsidR="00970385" w:rsidRPr="00667139" w14:paraId="0A73CA9A" w14:textId="77777777" w:rsidTr="00DC2D46">
        <w:trPr>
          <w:trHeight w:val="198"/>
        </w:trPr>
        <w:tc>
          <w:tcPr>
            <w:tcW w:w="2941" w:type="dxa"/>
            <w:tcBorders>
              <w:top w:val="single" w:sz="4" w:space="0" w:color="F39200"/>
              <w:left w:val="nil"/>
              <w:bottom w:val="single" w:sz="4" w:space="0" w:color="F39200"/>
              <w:right w:val="nil"/>
            </w:tcBorders>
            <w:shd w:val="clear" w:color="auto" w:fill="auto"/>
            <w:vAlign w:val="center"/>
            <w:hideMark/>
          </w:tcPr>
          <w:p w14:paraId="3B2AE803" w14:textId="36E9D2F3" w:rsidR="00970385" w:rsidRPr="00667139" w:rsidRDefault="00970385" w:rsidP="00970385">
            <w:pPr>
              <w:spacing w:before="100" w:beforeAutospacing="1" w:after="100" w:afterAutospacing="1"/>
              <w:rPr>
                <w:rFonts w:ascii="CAIXA Std Book" w:hAnsi="CAIXA Std Book"/>
                <w:b/>
                <w:color w:val="005CA9"/>
                <w:sz w:val="13"/>
                <w:szCs w:val="13"/>
              </w:rPr>
            </w:pPr>
            <w:r w:rsidRPr="00667139">
              <w:rPr>
                <w:rFonts w:ascii="CAIXA Std Book" w:hAnsi="CAIXA Std Book" w:cs="Calibri"/>
                <w:b/>
                <w:bCs/>
                <w:color w:val="005CA9"/>
                <w:sz w:val="13"/>
                <w:szCs w:val="13"/>
              </w:rPr>
              <w:t>ATIVO</w:t>
            </w:r>
          </w:p>
        </w:tc>
        <w:tc>
          <w:tcPr>
            <w:tcW w:w="1028" w:type="dxa"/>
            <w:tcBorders>
              <w:top w:val="single" w:sz="4" w:space="0" w:color="F39200"/>
              <w:left w:val="nil"/>
              <w:bottom w:val="single" w:sz="4" w:space="0" w:color="F39200"/>
              <w:right w:val="nil"/>
            </w:tcBorders>
            <w:shd w:val="clear" w:color="auto" w:fill="auto"/>
            <w:vAlign w:val="center"/>
          </w:tcPr>
          <w:p w14:paraId="7813899D" w14:textId="6F6D8F61" w:rsidR="00970385" w:rsidRPr="00667139" w:rsidRDefault="00970385" w:rsidP="00970385">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267.714.086</w:t>
            </w:r>
          </w:p>
        </w:tc>
        <w:tc>
          <w:tcPr>
            <w:tcW w:w="1074" w:type="dxa"/>
            <w:tcBorders>
              <w:top w:val="single" w:sz="4" w:space="0" w:color="F39200"/>
              <w:left w:val="nil"/>
              <w:bottom w:val="single" w:sz="4" w:space="0" w:color="F39200"/>
              <w:right w:val="nil"/>
            </w:tcBorders>
            <w:shd w:val="clear" w:color="auto" w:fill="auto"/>
            <w:vAlign w:val="center"/>
          </w:tcPr>
          <w:p w14:paraId="209333AA" w14:textId="2AD50492" w:rsidR="00970385" w:rsidRPr="00667139" w:rsidRDefault="00970385" w:rsidP="00970385">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14.960</w:t>
            </w:r>
          </w:p>
        </w:tc>
        <w:tc>
          <w:tcPr>
            <w:tcW w:w="1121" w:type="dxa"/>
            <w:tcBorders>
              <w:top w:val="single" w:sz="4" w:space="0" w:color="F39200"/>
              <w:left w:val="nil"/>
              <w:bottom w:val="single" w:sz="4" w:space="0" w:color="F39200"/>
              <w:right w:val="nil"/>
            </w:tcBorders>
            <w:shd w:val="clear" w:color="auto" w:fill="auto"/>
            <w:vAlign w:val="center"/>
          </w:tcPr>
          <w:p w14:paraId="4A31BC53" w14:textId="759A9C17" w:rsidR="00970385" w:rsidRPr="00667139" w:rsidRDefault="00141676" w:rsidP="00970385">
            <w:pPr>
              <w:spacing w:before="100" w:beforeAutospacing="1" w:after="100" w:afterAutospacing="1"/>
              <w:jc w:val="right"/>
              <w:rPr>
                <w:rFonts w:ascii="CAIXA Std Book" w:hAnsi="CAIXA Std Book" w:cs="Calibri"/>
                <w:b/>
                <w:bCs/>
                <w:color w:val="005CA9"/>
                <w:sz w:val="13"/>
                <w:szCs w:val="13"/>
              </w:rPr>
            </w:pPr>
            <w:r w:rsidRPr="00141676">
              <w:rPr>
                <w:rFonts w:ascii="CAIXA Std Book" w:hAnsi="CAIXA Std Book" w:cs="Calibri"/>
                <w:b/>
                <w:bCs/>
                <w:color w:val="005CA9"/>
                <w:sz w:val="13"/>
                <w:szCs w:val="13"/>
              </w:rPr>
              <w:t>1.878.275</w:t>
            </w:r>
          </w:p>
        </w:tc>
        <w:tc>
          <w:tcPr>
            <w:tcW w:w="1106" w:type="dxa"/>
            <w:tcBorders>
              <w:top w:val="single" w:sz="4" w:space="0" w:color="F39200"/>
              <w:left w:val="nil"/>
              <w:bottom w:val="single" w:sz="4" w:space="0" w:color="F39200"/>
              <w:right w:val="nil"/>
            </w:tcBorders>
            <w:shd w:val="clear" w:color="auto" w:fill="auto"/>
            <w:vAlign w:val="center"/>
          </w:tcPr>
          <w:p w14:paraId="7112A580" w14:textId="13B16BB2" w:rsidR="00970385" w:rsidRPr="00667139" w:rsidRDefault="00970385" w:rsidP="00970385">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35.553</w:t>
            </w:r>
          </w:p>
        </w:tc>
        <w:tc>
          <w:tcPr>
            <w:tcW w:w="1291" w:type="dxa"/>
            <w:tcBorders>
              <w:top w:val="single" w:sz="4" w:space="0" w:color="F39200"/>
              <w:left w:val="nil"/>
              <w:bottom w:val="single" w:sz="4" w:space="0" w:color="F39200"/>
            </w:tcBorders>
            <w:shd w:val="clear" w:color="auto" w:fill="auto"/>
            <w:vAlign w:val="center"/>
          </w:tcPr>
          <w:p w14:paraId="7364082C" w14:textId="19F18279" w:rsidR="00970385" w:rsidRPr="00667139" w:rsidRDefault="00970385" w:rsidP="00970385">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37.724.589</w:t>
            </w:r>
          </w:p>
        </w:tc>
        <w:tc>
          <w:tcPr>
            <w:tcW w:w="1078" w:type="dxa"/>
            <w:tcBorders>
              <w:top w:val="single" w:sz="4" w:space="0" w:color="F39200"/>
              <w:left w:val="nil"/>
              <w:bottom w:val="single" w:sz="4" w:space="0" w:color="F39200"/>
              <w:right w:val="nil"/>
            </w:tcBorders>
            <w:shd w:val="clear" w:color="auto" w:fill="auto"/>
            <w:vAlign w:val="center"/>
          </w:tcPr>
          <w:p w14:paraId="5F9A76BE" w14:textId="3647FBCD" w:rsidR="00970385" w:rsidRPr="00667139" w:rsidRDefault="00970385" w:rsidP="00970385">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264.905.417</w:t>
            </w:r>
          </w:p>
        </w:tc>
        <w:tc>
          <w:tcPr>
            <w:tcW w:w="1276" w:type="dxa"/>
            <w:tcBorders>
              <w:top w:val="single" w:sz="4" w:space="0" w:color="F39200"/>
              <w:left w:val="nil"/>
              <w:bottom w:val="single" w:sz="4" w:space="0" w:color="F39200"/>
              <w:right w:val="nil"/>
            </w:tcBorders>
            <w:shd w:val="clear" w:color="auto" w:fill="auto"/>
            <w:vAlign w:val="center"/>
          </w:tcPr>
          <w:p w14:paraId="43CA537B" w14:textId="7A0CE47D" w:rsidR="00970385" w:rsidRPr="00667139" w:rsidRDefault="00970385" w:rsidP="00970385">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1.794.798</w:t>
            </w:r>
          </w:p>
        </w:tc>
        <w:tc>
          <w:tcPr>
            <w:tcW w:w="1134" w:type="dxa"/>
            <w:tcBorders>
              <w:top w:val="single" w:sz="4" w:space="0" w:color="F39200"/>
              <w:left w:val="nil"/>
              <w:bottom w:val="single" w:sz="4" w:space="0" w:color="F39200"/>
              <w:right w:val="nil"/>
            </w:tcBorders>
            <w:shd w:val="clear" w:color="auto" w:fill="auto"/>
            <w:vAlign w:val="center"/>
          </w:tcPr>
          <w:p w14:paraId="43F16435" w14:textId="1FB82486" w:rsidR="00970385" w:rsidRPr="00667139" w:rsidRDefault="00970385" w:rsidP="00970385">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277.430</w:t>
            </w:r>
          </w:p>
        </w:tc>
        <w:tc>
          <w:tcPr>
            <w:tcW w:w="1134" w:type="dxa"/>
            <w:tcBorders>
              <w:top w:val="single" w:sz="4" w:space="0" w:color="F39200"/>
              <w:left w:val="nil"/>
              <w:bottom w:val="single" w:sz="4" w:space="0" w:color="F39200"/>
              <w:right w:val="nil"/>
            </w:tcBorders>
            <w:shd w:val="clear" w:color="auto" w:fill="auto"/>
            <w:vAlign w:val="center"/>
          </w:tcPr>
          <w:p w14:paraId="1E9E2CE2" w14:textId="0B4C4B44" w:rsidR="00970385" w:rsidRPr="00667139" w:rsidRDefault="00970385" w:rsidP="00970385">
            <w:pPr>
              <w:spacing w:before="100" w:beforeAutospacing="1" w:after="100" w:afterAutospacing="1"/>
              <w:jc w:val="right"/>
              <w:rPr>
                <w:rFonts w:ascii="CAIXA Std Book" w:hAnsi="CAIXA Std Book" w:cs="Calibri"/>
                <w:b/>
                <w:color w:val="005CA9"/>
                <w:sz w:val="13"/>
                <w:szCs w:val="13"/>
              </w:rPr>
            </w:pPr>
            <w:r>
              <w:rPr>
                <w:rFonts w:ascii="CAIXA Std Book" w:hAnsi="CAIXA Std Book" w:cs="Arial"/>
                <w:b/>
                <w:bCs/>
                <w:color w:val="005CA9"/>
                <w:sz w:val="13"/>
                <w:szCs w:val="13"/>
              </w:rPr>
              <w:t>33.943</w:t>
            </w:r>
          </w:p>
        </w:tc>
        <w:tc>
          <w:tcPr>
            <w:tcW w:w="1277" w:type="dxa"/>
            <w:tcBorders>
              <w:top w:val="single" w:sz="4" w:space="0" w:color="F39200"/>
              <w:left w:val="nil"/>
              <w:bottom w:val="single" w:sz="4" w:space="0" w:color="F39200"/>
            </w:tcBorders>
            <w:shd w:val="clear" w:color="auto" w:fill="auto"/>
            <w:vAlign w:val="center"/>
          </w:tcPr>
          <w:p w14:paraId="352C9598" w14:textId="7F09B2D0" w:rsidR="00970385" w:rsidRPr="00667139" w:rsidRDefault="00970385" w:rsidP="00970385">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37.371.973</w:t>
            </w:r>
          </w:p>
        </w:tc>
      </w:tr>
      <w:tr w:rsidR="00970385" w:rsidRPr="00667139" w14:paraId="4E63F436" w14:textId="77777777" w:rsidTr="00DC2D46">
        <w:trPr>
          <w:trHeight w:val="198"/>
        </w:trPr>
        <w:tc>
          <w:tcPr>
            <w:tcW w:w="2941" w:type="dxa"/>
            <w:tcBorders>
              <w:top w:val="nil"/>
              <w:left w:val="nil"/>
              <w:bottom w:val="nil"/>
              <w:right w:val="nil"/>
            </w:tcBorders>
            <w:shd w:val="clear" w:color="auto" w:fill="auto"/>
            <w:vAlign w:val="center"/>
            <w:hideMark/>
          </w:tcPr>
          <w:p w14:paraId="17303C61" w14:textId="38BE8B5E"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Caixa e equivalentes de caixa</w:t>
            </w:r>
            <w:r>
              <w:rPr>
                <w:rFonts w:ascii="CAIXA Std Book" w:hAnsi="CAIXA Std Book" w:cs="Calibri"/>
                <w:color w:val="005CA9"/>
                <w:sz w:val="13"/>
                <w:szCs w:val="13"/>
              </w:rPr>
              <w:t xml:space="preserve"> (1)</w:t>
            </w:r>
          </w:p>
        </w:tc>
        <w:tc>
          <w:tcPr>
            <w:tcW w:w="1028" w:type="dxa"/>
            <w:tcBorders>
              <w:top w:val="nil"/>
              <w:left w:val="nil"/>
              <w:bottom w:val="nil"/>
              <w:right w:val="nil"/>
            </w:tcBorders>
            <w:shd w:val="clear" w:color="auto" w:fill="auto"/>
            <w:noWrap/>
            <w:vAlign w:val="center"/>
          </w:tcPr>
          <w:p w14:paraId="30892530" w14:textId="0231E233"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4" w:type="dxa"/>
            <w:tcBorders>
              <w:top w:val="nil"/>
              <w:left w:val="nil"/>
              <w:bottom w:val="nil"/>
              <w:right w:val="nil"/>
            </w:tcBorders>
            <w:shd w:val="clear" w:color="auto" w:fill="auto"/>
            <w:noWrap/>
            <w:vAlign w:val="center"/>
          </w:tcPr>
          <w:p w14:paraId="18647503" w14:textId="2245BE6A"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60E9AE02" w14:textId="5B8CBAC7"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1.702.626</w:t>
            </w:r>
          </w:p>
        </w:tc>
        <w:tc>
          <w:tcPr>
            <w:tcW w:w="1106" w:type="dxa"/>
            <w:tcBorders>
              <w:top w:val="nil"/>
              <w:left w:val="nil"/>
              <w:bottom w:val="nil"/>
              <w:right w:val="nil"/>
            </w:tcBorders>
            <w:shd w:val="clear" w:color="auto" w:fill="auto"/>
            <w:noWrap/>
            <w:vAlign w:val="center"/>
          </w:tcPr>
          <w:p w14:paraId="7FC56C39" w14:textId="5CC20653"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53D5BD51" w14:textId="40988179"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8" w:type="dxa"/>
            <w:tcBorders>
              <w:top w:val="nil"/>
              <w:left w:val="nil"/>
              <w:bottom w:val="nil"/>
              <w:right w:val="nil"/>
            </w:tcBorders>
            <w:shd w:val="clear" w:color="auto" w:fill="auto"/>
            <w:noWrap/>
            <w:vAlign w:val="center"/>
          </w:tcPr>
          <w:p w14:paraId="49CCBAF2" w14:textId="1B360C78"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6" w:type="dxa"/>
            <w:tcBorders>
              <w:top w:val="nil"/>
              <w:left w:val="nil"/>
              <w:bottom w:val="nil"/>
              <w:right w:val="nil"/>
            </w:tcBorders>
            <w:shd w:val="clear" w:color="auto" w:fill="auto"/>
            <w:noWrap/>
            <w:vAlign w:val="center"/>
          </w:tcPr>
          <w:p w14:paraId="4E2CACAE" w14:textId="3A976D6E"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1.794.780</w:t>
            </w:r>
          </w:p>
        </w:tc>
        <w:tc>
          <w:tcPr>
            <w:tcW w:w="1134" w:type="dxa"/>
            <w:tcBorders>
              <w:top w:val="nil"/>
              <w:left w:val="nil"/>
              <w:bottom w:val="nil"/>
              <w:right w:val="nil"/>
            </w:tcBorders>
            <w:shd w:val="clear" w:color="auto" w:fill="auto"/>
            <w:noWrap/>
            <w:vAlign w:val="center"/>
          </w:tcPr>
          <w:p w14:paraId="22E97617" w14:textId="6BC9C2E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716412E4" w14:textId="0809C710"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27359A0F" w14:textId="2FC246F5"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970385" w:rsidRPr="00667139" w14:paraId="34B4AEA2" w14:textId="77777777" w:rsidTr="00DC2D46">
        <w:trPr>
          <w:trHeight w:val="198"/>
        </w:trPr>
        <w:tc>
          <w:tcPr>
            <w:tcW w:w="2941" w:type="dxa"/>
            <w:tcBorders>
              <w:top w:val="nil"/>
              <w:left w:val="nil"/>
              <w:bottom w:val="nil"/>
              <w:right w:val="nil"/>
            </w:tcBorders>
            <w:shd w:val="clear" w:color="auto" w:fill="auto"/>
            <w:vAlign w:val="center"/>
          </w:tcPr>
          <w:p w14:paraId="20D2627C" w14:textId="57E6F867" w:rsidR="00970385" w:rsidRPr="00667139" w:rsidRDefault="00970385" w:rsidP="00970385">
            <w:pPr>
              <w:spacing w:before="100" w:beforeAutospacing="1" w:after="100" w:afterAutospacing="1"/>
              <w:rPr>
                <w:rFonts w:ascii="CAIXA Std Book" w:hAnsi="CAIXA Std Book" w:cs="Calibri"/>
                <w:color w:val="005CA9"/>
                <w:sz w:val="13"/>
                <w:szCs w:val="13"/>
              </w:rPr>
            </w:pPr>
            <w:r w:rsidRPr="00667139">
              <w:rPr>
                <w:rFonts w:ascii="CAIXA Std Book" w:hAnsi="CAIXA Std Book" w:cs="Calibri"/>
                <w:color w:val="005CA9"/>
                <w:sz w:val="13"/>
                <w:szCs w:val="13"/>
              </w:rPr>
              <w:t>Aplicações Interfinanceiras de liquidez</w:t>
            </w:r>
          </w:p>
        </w:tc>
        <w:tc>
          <w:tcPr>
            <w:tcW w:w="1028" w:type="dxa"/>
            <w:tcBorders>
              <w:top w:val="nil"/>
              <w:left w:val="nil"/>
              <w:bottom w:val="nil"/>
              <w:right w:val="nil"/>
            </w:tcBorders>
            <w:shd w:val="clear" w:color="auto" w:fill="auto"/>
            <w:noWrap/>
            <w:vAlign w:val="center"/>
          </w:tcPr>
          <w:p w14:paraId="4218ECB7" w14:textId="07290040"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4" w:type="dxa"/>
            <w:tcBorders>
              <w:top w:val="nil"/>
              <w:left w:val="nil"/>
              <w:bottom w:val="nil"/>
              <w:right w:val="nil"/>
            </w:tcBorders>
            <w:shd w:val="clear" w:color="auto" w:fill="auto"/>
            <w:noWrap/>
            <w:vAlign w:val="center"/>
          </w:tcPr>
          <w:p w14:paraId="513DEEC3" w14:textId="56DB1B2A"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4FFD9737" w14:textId="64EFB86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4E9EF3CB" w14:textId="552A247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42FB9248" w14:textId="052288AA"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102.995</w:t>
            </w:r>
          </w:p>
        </w:tc>
        <w:tc>
          <w:tcPr>
            <w:tcW w:w="1078" w:type="dxa"/>
            <w:tcBorders>
              <w:top w:val="nil"/>
              <w:left w:val="nil"/>
              <w:bottom w:val="nil"/>
              <w:right w:val="nil"/>
            </w:tcBorders>
            <w:shd w:val="clear" w:color="auto" w:fill="auto"/>
            <w:noWrap/>
            <w:vAlign w:val="center"/>
          </w:tcPr>
          <w:p w14:paraId="48279E56" w14:textId="2071D89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6" w:type="dxa"/>
            <w:tcBorders>
              <w:top w:val="nil"/>
              <w:left w:val="nil"/>
              <w:bottom w:val="nil"/>
              <w:right w:val="nil"/>
            </w:tcBorders>
            <w:shd w:val="clear" w:color="auto" w:fill="auto"/>
            <w:noWrap/>
            <w:vAlign w:val="center"/>
          </w:tcPr>
          <w:p w14:paraId="32F21C57" w14:textId="0FD84900"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D35F9F2" w14:textId="6968B672"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6AC25F33" w14:textId="42A6410B"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3DCB20C3" w14:textId="27AE90F8"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15.036</w:t>
            </w:r>
          </w:p>
        </w:tc>
      </w:tr>
      <w:tr w:rsidR="00970385" w:rsidRPr="00667139" w14:paraId="465483D6" w14:textId="77777777" w:rsidTr="00DC2D46">
        <w:trPr>
          <w:trHeight w:val="198"/>
        </w:trPr>
        <w:tc>
          <w:tcPr>
            <w:tcW w:w="2941" w:type="dxa"/>
            <w:tcBorders>
              <w:top w:val="nil"/>
              <w:left w:val="nil"/>
              <w:bottom w:val="nil"/>
              <w:right w:val="nil"/>
            </w:tcBorders>
            <w:shd w:val="clear" w:color="auto" w:fill="auto"/>
            <w:vAlign w:val="center"/>
            <w:hideMark/>
          </w:tcPr>
          <w:p w14:paraId="6B9C8F62" w14:textId="6361E990"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Títulos e valores mobiliários (</w:t>
            </w:r>
            <w:r>
              <w:rPr>
                <w:rFonts w:ascii="CAIXA Std Book" w:hAnsi="CAIXA Std Book" w:cs="Calibri"/>
                <w:color w:val="005CA9"/>
                <w:sz w:val="13"/>
                <w:szCs w:val="13"/>
              </w:rPr>
              <w:t>2</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7035A5A6" w14:textId="6725C95C"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266.395.214</w:t>
            </w:r>
          </w:p>
        </w:tc>
        <w:tc>
          <w:tcPr>
            <w:tcW w:w="1074" w:type="dxa"/>
            <w:tcBorders>
              <w:top w:val="nil"/>
              <w:left w:val="nil"/>
              <w:bottom w:val="nil"/>
              <w:right w:val="nil"/>
            </w:tcBorders>
            <w:shd w:val="clear" w:color="auto" w:fill="auto"/>
            <w:noWrap/>
            <w:vAlign w:val="center"/>
          </w:tcPr>
          <w:p w14:paraId="5520C5AB" w14:textId="46FD0C64"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654C0E68" w14:textId="19A3A01B"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31D18B17" w14:textId="3B4DC31F"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4ED1CCFE" w14:textId="00D7A346"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2.459.139</w:t>
            </w:r>
          </w:p>
        </w:tc>
        <w:tc>
          <w:tcPr>
            <w:tcW w:w="1078" w:type="dxa"/>
            <w:tcBorders>
              <w:top w:val="nil"/>
              <w:left w:val="nil"/>
              <w:bottom w:val="nil"/>
              <w:right w:val="nil"/>
            </w:tcBorders>
            <w:shd w:val="clear" w:color="auto" w:fill="auto"/>
            <w:noWrap/>
            <w:vAlign w:val="center"/>
          </w:tcPr>
          <w:p w14:paraId="61B20BBB" w14:textId="5E537617"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262.101.501</w:t>
            </w:r>
          </w:p>
        </w:tc>
        <w:tc>
          <w:tcPr>
            <w:tcW w:w="1276" w:type="dxa"/>
            <w:tcBorders>
              <w:top w:val="nil"/>
              <w:left w:val="nil"/>
              <w:bottom w:val="nil"/>
              <w:right w:val="nil"/>
            </w:tcBorders>
            <w:shd w:val="clear" w:color="auto" w:fill="auto"/>
            <w:noWrap/>
            <w:vAlign w:val="center"/>
          </w:tcPr>
          <w:p w14:paraId="0678EE83" w14:textId="14748040"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6862C871" w14:textId="5563BA27"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30B08160" w14:textId="29BD4892"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7E60100B" w14:textId="5930AECA"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2.076.590</w:t>
            </w:r>
          </w:p>
        </w:tc>
      </w:tr>
      <w:tr w:rsidR="00970385" w:rsidRPr="00667139" w14:paraId="586410F0" w14:textId="77777777" w:rsidTr="00DC2D46">
        <w:trPr>
          <w:trHeight w:val="198"/>
        </w:trPr>
        <w:tc>
          <w:tcPr>
            <w:tcW w:w="2941" w:type="dxa"/>
            <w:tcBorders>
              <w:top w:val="nil"/>
              <w:left w:val="nil"/>
              <w:bottom w:val="nil"/>
              <w:right w:val="nil"/>
            </w:tcBorders>
            <w:shd w:val="clear" w:color="auto" w:fill="auto"/>
            <w:vAlign w:val="center"/>
            <w:hideMark/>
          </w:tcPr>
          <w:p w14:paraId="33527CBD" w14:textId="3CB08694"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Rendas a receber</w:t>
            </w:r>
            <w:r>
              <w:rPr>
                <w:rFonts w:ascii="CAIXA Std Book" w:hAnsi="CAIXA Std Book" w:cs="Calibri"/>
                <w:color w:val="005CA9"/>
                <w:sz w:val="13"/>
                <w:szCs w:val="13"/>
              </w:rPr>
              <w:t xml:space="preserve"> (3)</w:t>
            </w:r>
          </w:p>
        </w:tc>
        <w:tc>
          <w:tcPr>
            <w:tcW w:w="1028" w:type="dxa"/>
            <w:tcBorders>
              <w:top w:val="nil"/>
              <w:left w:val="nil"/>
              <w:bottom w:val="nil"/>
              <w:right w:val="nil"/>
            </w:tcBorders>
            <w:shd w:val="clear" w:color="auto" w:fill="auto"/>
            <w:noWrap/>
            <w:vAlign w:val="center"/>
          </w:tcPr>
          <w:p w14:paraId="7E8829E2" w14:textId="28A21A5D"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655.270</w:t>
            </w:r>
          </w:p>
        </w:tc>
        <w:tc>
          <w:tcPr>
            <w:tcW w:w="1074" w:type="dxa"/>
            <w:tcBorders>
              <w:top w:val="nil"/>
              <w:left w:val="nil"/>
              <w:bottom w:val="nil"/>
              <w:right w:val="nil"/>
            </w:tcBorders>
            <w:shd w:val="clear" w:color="auto" w:fill="auto"/>
            <w:noWrap/>
            <w:vAlign w:val="center"/>
          </w:tcPr>
          <w:p w14:paraId="48BBD164" w14:textId="06833B8B"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14.944</w:t>
            </w:r>
          </w:p>
        </w:tc>
        <w:tc>
          <w:tcPr>
            <w:tcW w:w="1121" w:type="dxa"/>
            <w:tcBorders>
              <w:top w:val="nil"/>
              <w:left w:val="nil"/>
              <w:bottom w:val="nil"/>
              <w:right w:val="nil"/>
            </w:tcBorders>
            <w:shd w:val="clear" w:color="auto" w:fill="auto"/>
            <w:noWrap/>
            <w:vAlign w:val="center"/>
          </w:tcPr>
          <w:p w14:paraId="685CC0C4" w14:textId="47F5201C" w:rsidR="00970385" w:rsidRPr="00667139" w:rsidRDefault="00945EFA" w:rsidP="00970385">
            <w:pPr>
              <w:spacing w:before="100" w:beforeAutospacing="1" w:after="100" w:afterAutospacing="1"/>
              <w:jc w:val="right"/>
              <w:rPr>
                <w:rFonts w:ascii="CAIXA Std Book" w:hAnsi="CAIXA Std Book" w:cs="Calibri"/>
                <w:color w:val="005CA9"/>
                <w:sz w:val="13"/>
                <w:szCs w:val="13"/>
              </w:rPr>
            </w:pPr>
            <w:r w:rsidRPr="00945EFA">
              <w:rPr>
                <w:rFonts w:ascii="CAIXA Std Book" w:hAnsi="CAIXA Std Book" w:cs="Calibri"/>
                <w:color w:val="005CA9"/>
                <w:sz w:val="13"/>
                <w:szCs w:val="13"/>
              </w:rPr>
              <w:t>175.648</w:t>
            </w:r>
          </w:p>
        </w:tc>
        <w:tc>
          <w:tcPr>
            <w:tcW w:w="1106" w:type="dxa"/>
            <w:tcBorders>
              <w:top w:val="nil"/>
              <w:left w:val="nil"/>
              <w:bottom w:val="nil"/>
              <w:right w:val="nil"/>
            </w:tcBorders>
            <w:shd w:val="clear" w:color="auto" w:fill="auto"/>
            <w:noWrap/>
            <w:vAlign w:val="center"/>
          </w:tcPr>
          <w:p w14:paraId="495C1E6E" w14:textId="137ECAE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6E084C22" w14:textId="47C0DD0F"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181.833</w:t>
            </w:r>
          </w:p>
        </w:tc>
        <w:tc>
          <w:tcPr>
            <w:tcW w:w="1078" w:type="dxa"/>
            <w:tcBorders>
              <w:top w:val="nil"/>
              <w:left w:val="nil"/>
              <w:bottom w:val="nil"/>
              <w:right w:val="nil"/>
            </w:tcBorders>
            <w:shd w:val="clear" w:color="auto" w:fill="auto"/>
            <w:noWrap/>
            <w:vAlign w:val="center"/>
          </w:tcPr>
          <w:p w14:paraId="4F5D9CF3" w14:textId="4B75E753"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600.645</w:t>
            </w:r>
          </w:p>
        </w:tc>
        <w:tc>
          <w:tcPr>
            <w:tcW w:w="1276" w:type="dxa"/>
            <w:tcBorders>
              <w:top w:val="nil"/>
              <w:left w:val="nil"/>
              <w:bottom w:val="nil"/>
              <w:right w:val="nil"/>
            </w:tcBorders>
            <w:shd w:val="clear" w:color="auto" w:fill="auto"/>
            <w:noWrap/>
            <w:vAlign w:val="center"/>
          </w:tcPr>
          <w:p w14:paraId="555B05FF" w14:textId="56112011"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2001DACF" w14:textId="54CF6B9A"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218.972</w:t>
            </w:r>
          </w:p>
        </w:tc>
        <w:tc>
          <w:tcPr>
            <w:tcW w:w="1134" w:type="dxa"/>
            <w:tcBorders>
              <w:top w:val="nil"/>
              <w:left w:val="nil"/>
              <w:bottom w:val="nil"/>
              <w:right w:val="nil"/>
            </w:tcBorders>
            <w:shd w:val="clear" w:color="auto" w:fill="auto"/>
            <w:noWrap/>
            <w:vAlign w:val="center"/>
          </w:tcPr>
          <w:p w14:paraId="02340282" w14:textId="5B42C10D"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2050D765" w14:textId="128875C7"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186.319</w:t>
            </w:r>
          </w:p>
        </w:tc>
      </w:tr>
      <w:tr w:rsidR="00970385" w:rsidRPr="00667139" w14:paraId="69CD0384" w14:textId="77777777" w:rsidTr="00DC2D46">
        <w:trPr>
          <w:trHeight w:val="198"/>
        </w:trPr>
        <w:tc>
          <w:tcPr>
            <w:tcW w:w="2941" w:type="dxa"/>
            <w:tcBorders>
              <w:top w:val="nil"/>
              <w:left w:val="nil"/>
              <w:bottom w:val="nil"/>
              <w:right w:val="nil"/>
            </w:tcBorders>
            <w:shd w:val="clear" w:color="auto" w:fill="auto"/>
            <w:vAlign w:val="center"/>
            <w:hideMark/>
          </w:tcPr>
          <w:p w14:paraId="11EAB077" w14:textId="1BE4FEB3"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Carteira de crédito (</w:t>
            </w:r>
            <w:r>
              <w:rPr>
                <w:rFonts w:ascii="CAIXA Std Book" w:hAnsi="CAIXA Std Book" w:cs="Calibri"/>
                <w:color w:val="005CA9"/>
                <w:sz w:val="13"/>
                <w:szCs w:val="13"/>
              </w:rPr>
              <w:t>4</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73808092" w14:textId="1241A288"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64</w:t>
            </w:r>
          </w:p>
        </w:tc>
        <w:tc>
          <w:tcPr>
            <w:tcW w:w="1074" w:type="dxa"/>
            <w:tcBorders>
              <w:top w:val="nil"/>
              <w:left w:val="nil"/>
              <w:bottom w:val="nil"/>
              <w:right w:val="nil"/>
            </w:tcBorders>
            <w:shd w:val="clear" w:color="auto" w:fill="auto"/>
            <w:noWrap/>
            <w:vAlign w:val="center"/>
          </w:tcPr>
          <w:p w14:paraId="23D15BD9" w14:textId="2F00CBFA"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31BD6295" w14:textId="622B4D59"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497BC44C" w14:textId="56F97E5C"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517.637</w:t>
            </w:r>
          </w:p>
        </w:tc>
        <w:tc>
          <w:tcPr>
            <w:tcW w:w="1291" w:type="dxa"/>
            <w:tcBorders>
              <w:top w:val="nil"/>
              <w:left w:val="nil"/>
              <w:bottom w:val="nil"/>
            </w:tcBorders>
            <w:shd w:val="clear" w:color="auto" w:fill="auto"/>
            <w:noWrap/>
            <w:vAlign w:val="center"/>
          </w:tcPr>
          <w:p w14:paraId="2C266D1B" w14:textId="687AE302"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2.764.598</w:t>
            </w:r>
          </w:p>
        </w:tc>
        <w:tc>
          <w:tcPr>
            <w:tcW w:w="1078" w:type="dxa"/>
            <w:tcBorders>
              <w:top w:val="nil"/>
              <w:left w:val="nil"/>
              <w:bottom w:val="nil"/>
              <w:right w:val="nil"/>
            </w:tcBorders>
            <w:shd w:val="clear" w:color="auto" w:fill="auto"/>
            <w:noWrap/>
            <w:vAlign w:val="center"/>
          </w:tcPr>
          <w:p w14:paraId="593461F3" w14:textId="020250F4"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63</w:t>
            </w:r>
          </w:p>
        </w:tc>
        <w:tc>
          <w:tcPr>
            <w:tcW w:w="1276" w:type="dxa"/>
            <w:tcBorders>
              <w:top w:val="nil"/>
              <w:left w:val="nil"/>
              <w:bottom w:val="nil"/>
              <w:right w:val="nil"/>
            </w:tcBorders>
            <w:shd w:val="clear" w:color="auto" w:fill="auto"/>
            <w:noWrap/>
            <w:vAlign w:val="center"/>
          </w:tcPr>
          <w:p w14:paraId="499E8982" w14:textId="46DE3E54"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620E1F16" w14:textId="34E0AB5C"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52CB672F" w14:textId="5ED4FEEF"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528.966</w:t>
            </w:r>
          </w:p>
        </w:tc>
        <w:tc>
          <w:tcPr>
            <w:tcW w:w="1277" w:type="dxa"/>
            <w:tcBorders>
              <w:top w:val="nil"/>
              <w:left w:val="nil"/>
              <w:bottom w:val="nil"/>
            </w:tcBorders>
            <w:shd w:val="clear" w:color="auto" w:fill="auto"/>
            <w:noWrap/>
            <w:vAlign w:val="center"/>
          </w:tcPr>
          <w:p w14:paraId="604247E5" w14:textId="6E1EC0EA"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2.795.369</w:t>
            </w:r>
          </w:p>
        </w:tc>
      </w:tr>
      <w:tr w:rsidR="00970385" w:rsidRPr="00667139" w14:paraId="0172D74B" w14:textId="77777777" w:rsidTr="00DC2D46">
        <w:trPr>
          <w:trHeight w:val="198"/>
        </w:trPr>
        <w:tc>
          <w:tcPr>
            <w:tcW w:w="2941" w:type="dxa"/>
            <w:tcBorders>
              <w:top w:val="nil"/>
              <w:left w:val="nil"/>
              <w:bottom w:val="nil"/>
              <w:right w:val="nil"/>
            </w:tcBorders>
            <w:shd w:val="clear" w:color="auto" w:fill="auto"/>
            <w:vAlign w:val="center"/>
            <w:hideMark/>
          </w:tcPr>
          <w:p w14:paraId="790CCB4C" w14:textId="77777777"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 xml:space="preserve">Provisões para operações de crédito </w:t>
            </w:r>
          </w:p>
        </w:tc>
        <w:tc>
          <w:tcPr>
            <w:tcW w:w="1028" w:type="dxa"/>
            <w:tcBorders>
              <w:top w:val="nil"/>
              <w:left w:val="nil"/>
              <w:bottom w:val="nil"/>
              <w:right w:val="nil"/>
            </w:tcBorders>
            <w:shd w:val="clear" w:color="auto" w:fill="auto"/>
            <w:noWrap/>
            <w:vAlign w:val="center"/>
          </w:tcPr>
          <w:p w14:paraId="7AE01579" w14:textId="03A2C38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4" w:type="dxa"/>
            <w:tcBorders>
              <w:top w:val="nil"/>
              <w:left w:val="nil"/>
              <w:bottom w:val="nil"/>
              <w:right w:val="nil"/>
            </w:tcBorders>
            <w:shd w:val="clear" w:color="auto" w:fill="auto"/>
            <w:noWrap/>
            <w:vAlign w:val="center"/>
          </w:tcPr>
          <w:p w14:paraId="01A4AE55" w14:textId="0DE801F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25C0B199" w14:textId="79AB8952"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6C69EF55" w14:textId="18A7059B"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(483.886)</w:t>
            </w:r>
          </w:p>
        </w:tc>
        <w:tc>
          <w:tcPr>
            <w:tcW w:w="1291" w:type="dxa"/>
            <w:tcBorders>
              <w:top w:val="nil"/>
              <w:left w:val="nil"/>
              <w:bottom w:val="nil"/>
            </w:tcBorders>
            <w:shd w:val="clear" w:color="auto" w:fill="auto"/>
            <w:noWrap/>
            <w:vAlign w:val="center"/>
          </w:tcPr>
          <w:p w14:paraId="370F706D" w14:textId="312B9757"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(829)</w:t>
            </w:r>
          </w:p>
        </w:tc>
        <w:tc>
          <w:tcPr>
            <w:tcW w:w="1078" w:type="dxa"/>
            <w:tcBorders>
              <w:top w:val="nil"/>
              <w:left w:val="nil"/>
              <w:bottom w:val="nil"/>
              <w:right w:val="nil"/>
            </w:tcBorders>
            <w:shd w:val="clear" w:color="auto" w:fill="auto"/>
            <w:noWrap/>
            <w:vAlign w:val="center"/>
          </w:tcPr>
          <w:p w14:paraId="6658CE0D" w14:textId="3B316C83"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6" w:type="dxa"/>
            <w:tcBorders>
              <w:top w:val="nil"/>
              <w:left w:val="nil"/>
              <w:bottom w:val="nil"/>
              <w:right w:val="nil"/>
            </w:tcBorders>
            <w:shd w:val="clear" w:color="auto" w:fill="auto"/>
            <w:noWrap/>
            <w:vAlign w:val="center"/>
          </w:tcPr>
          <w:p w14:paraId="77E5BB5C" w14:textId="533FC26D"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4351B52D" w14:textId="76098A38"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30A069D2" w14:textId="4D2FB9D4"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496.780</w:t>
            </w:r>
            <w:r>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15087B67" w14:textId="79E98770"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(839)</w:t>
            </w:r>
          </w:p>
        </w:tc>
      </w:tr>
      <w:tr w:rsidR="00970385" w:rsidRPr="00667139" w14:paraId="52882D46" w14:textId="77777777" w:rsidTr="00DC2D46">
        <w:trPr>
          <w:trHeight w:val="198"/>
        </w:trPr>
        <w:tc>
          <w:tcPr>
            <w:tcW w:w="2941" w:type="dxa"/>
            <w:tcBorders>
              <w:top w:val="nil"/>
              <w:left w:val="nil"/>
              <w:bottom w:val="nil"/>
              <w:right w:val="nil"/>
            </w:tcBorders>
            <w:shd w:val="clear" w:color="auto" w:fill="auto"/>
            <w:vAlign w:val="center"/>
            <w:hideMark/>
          </w:tcPr>
          <w:p w14:paraId="2DBA068E" w14:textId="52BEF3D9"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Outros créditos (</w:t>
            </w:r>
            <w:r>
              <w:rPr>
                <w:rFonts w:ascii="CAIXA Std Book" w:hAnsi="CAIXA Std Book" w:cs="Calibri"/>
                <w:color w:val="005CA9"/>
                <w:sz w:val="13"/>
                <w:szCs w:val="13"/>
              </w:rPr>
              <w:t>5</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549A32CD" w14:textId="4DE6B4B2"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2.212.487</w:t>
            </w:r>
          </w:p>
        </w:tc>
        <w:tc>
          <w:tcPr>
            <w:tcW w:w="1074" w:type="dxa"/>
            <w:tcBorders>
              <w:top w:val="nil"/>
              <w:left w:val="nil"/>
              <w:bottom w:val="nil"/>
              <w:right w:val="nil"/>
            </w:tcBorders>
            <w:shd w:val="clear" w:color="auto" w:fill="auto"/>
            <w:noWrap/>
            <w:vAlign w:val="center"/>
          </w:tcPr>
          <w:p w14:paraId="3A9BD72D" w14:textId="3B280C5D"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16</w:t>
            </w:r>
          </w:p>
        </w:tc>
        <w:tc>
          <w:tcPr>
            <w:tcW w:w="1121" w:type="dxa"/>
            <w:tcBorders>
              <w:top w:val="nil"/>
              <w:left w:val="nil"/>
              <w:bottom w:val="nil"/>
              <w:right w:val="nil"/>
            </w:tcBorders>
            <w:shd w:val="clear" w:color="auto" w:fill="auto"/>
            <w:noWrap/>
            <w:vAlign w:val="center"/>
          </w:tcPr>
          <w:p w14:paraId="079A9C56" w14:textId="66F4866C"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w:t>
            </w:r>
          </w:p>
        </w:tc>
        <w:tc>
          <w:tcPr>
            <w:tcW w:w="1106" w:type="dxa"/>
            <w:tcBorders>
              <w:top w:val="nil"/>
              <w:left w:val="nil"/>
              <w:bottom w:val="nil"/>
              <w:right w:val="nil"/>
            </w:tcBorders>
            <w:shd w:val="clear" w:color="auto" w:fill="auto"/>
            <w:noWrap/>
            <w:vAlign w:val="center"/>
          </w:tcPr>
          <w:p w14:paraId="516C518E" w14:textId="1D302ACE"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1.818</w:t>
            </w:r>
          </w:p>
        </w:tc>
        <w:tc>
          <w:tcPr>
            <w:tcW w:w="1291" w:type="dxa"/>
            <w:tcBorders>
              <w:top w:val="nil"/>
              <w:left w:val="nil"/>
              <w:bottom w:val="nil"/>
            </w:tcBorders>
            <w:shd w:val="clear" w:color="auto" w:fill="auto"/>
            <w:noWrap/>
            <w:vAlign w:val="center"/>
          </w:tcPr>
          <w:p w14:paraId="438184E9" w14:textId="45BE80F2"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42.215.332</w:t>
            </w:r>
          </w:p>
        </w:tc>
        <w:tc>
          <w:tcPr>
            <w:tcW w:w="1078" w:type="dxa"/>
            <w:tcBorders>
              <w:top w:val="nil"/>
              <w:left w:val="nil"/>
              <w:bottom w:val="nil"/>
              <w:right w:val="nil"/>
            </w:tcBorders>
            <w:shd w:val="clear" w:color="auto" w:fill="auto"/>
            <w:noWrap/>
            <w:vAlign w:val="center"/>
          </w:tcPr>
          <w:p w14:paraId="5AD4ADB1" w14:textId="2B427F3B"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2.203.208</w:t>
            </w:r>
          </w:p>
        </w:tc>
        <w:tc>
          <w:tcPr>
            <w:tcW w:w="1276" w:type="dxa"/>
            <w:tcBorders>
              <w:top w:val="nil"/>
              <w:left w:val="nil"/>
              <w:bottom w:val="nil"/>
              <w:right w:val="nil"/>
            </w:tcBorders>
            <w:shd w:val="clear" w:color="auto" w:fill="auto"/>
            <w:noWrap/>
            <w:vAlign w:val="center"/>
          </w:tcPr>
          <w:p w14:paraId="2C185158" w14:textId="7623E20B"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18</w:t>
            </w:r>
          </w:p>
        </w:tc>
        <w:tc>
          <w:tcPr>
            <w:tcW w:w="1134" w:type="dxa"/>
            <w:tcBorders>
              <w:top w:val="nil"/>
              <w:left w:val="nil"/>
              <w:bottom w:val="nil"/>
              <w:right w:val="nil"/>
            </w:tcBorders>
            <w:shd w:val="clear" w:color="auto" w:fill="auto"/>
            <w:noWrap/>
            <w:vAlign w:val="center"/>
          </w:tcPr>
          <w:p w14:paraId="3BF561FA" w14:textId="79F75782"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58.458</w:t>
            </w:r>
          </w:p>
        </w:tc>
        <w:tc>
          <w:tcPr>
            <w:tcW w:w="1134" w:type="dxa"/>
            <w:tcBorders>
              <w:top w:val="nil"/>
              <w:left w:val="nil"/>
              <w:bottom w:val="nil"/>
              <w:right w:val="nil"/>
            </w:tcBorders>
            <w:shd w:val="clear" w:color="auto" w:fill="auto"/>
            <w:noWrap/>
            <w:vAlign w:val="center"/>
          </w:tcPr>
          <w:p w14:paraId="4FBC98D3" w14:textId="116ED6B5"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1.774</w:t>
            </w:r>
          </w:p>
        </w:tc>
        <w:tc>
          <w:tcPr>
            <w:tcW w:w="1277" w:type="dxa"/>
            <w:tcBorders>
              <w:top w:val="nil"/>
              <w:left w:val="nil"/>
              <w:bottom w:val="nil"/>
            </w:tcBorders>
            <w:shd w:val="clear" w:color="auto" w:fill="auto"/>
            <w:noWrap/>
            <w:vAlign w:val="center"/>
          </w:tcPr>
          <w:p w14:paraId="113FAACD" w14:textId="0EFA8096"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41.717.045</w:t>
            </w:r>
          </w:p>
        </w:tc>
      </w:tr>
      <w:tr w:rsidR="00970385" w:rsidRPr="00667139" w14:paraId="5211BCEA" w14:textId="77777777" w:rsidTr="00DC2D46">
        <w:trPr>
          <w:trHeight w:val="198"/>
        </w:trPr>
        <w:tc>
          <w:tcPr>
            <w:tcW w:w="2941" w:type="dxa"/>
            <w:tcBorders>
              <w:top w:val="nil"/>
              <w:left w:val="nil"/>
              <w:bottom w:val="nil"/>
              <w:right w:val="nil"/>
            </w:tcBorders>
            <w:shd w:val="clear" w:color="auto" w:fill="auto"/>
            <w:vAlign w:val="center"/>
            <w:hideMark/>
          </w:tcPr>
          <w:p w14:paraId="4D3DB61D" w14:textId="761D1B51"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Provisões para outros créditos (</w:t>
            </w:r>
            <w:r>
              <w:rPr>
                <w:rFonts w:ascii="CAIXA Std Book" w:hAnsi="CAIXA Std Book" w:cs="Calibri"/>
                <w:color w:val="005CA9"/>
                <w:sz w:val="13"/>
                <w:szCs w:val="13"/>
              </w:rPr>
              <w:t>6</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53804EA6" w14:textId="102B5A52"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(1.548.949)</w:t>
            </w:r>
          </w:p>
        </w:tc>
        <w:tc>
          <w:tcPr>
            <w:tcW w:w="1074" w:type="dxa"/>
            <w:tcBorders>
              <w:top w:val="nil"/>
              <w:left w:val="nil"/>
              <w:bottom w:val="nil"/>
              <w:right w:val="nil"/>
            </w:tcBorders>
            <w:shd w:val="clear" w:color="auto" w:fill="auto"/>
            <w:noWrap/>
            <w:vAlign w:val="center"/>
          </w:tcPr>
          <w:p w14:paraId="7C562785" w14:textId="54CB9134"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103704C4" w14:textId="1032957A"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29BE98F7" w14:textId="4BD093FA"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(16)</w:t>
            </w:r>
          </w:p>
        </w:tc>
        <w:tc>
          <w:tcPr>
            <w:tcW w:w="1291" w:type="dxa"/>
            <w:tcBorders>
              <w:top w:val="nil"/>
              <w:left w:val="nil"/>
              <w:bottom w:val="nil"/>
            </w:tcBorders>
            <w:shd w:val="clear" w:color="auto" w:fill="auto"/>
            <w:noWrap/>
            <w:vAlign w:val="center"/>
          </w:tcPr>
          <w:p w14:paraId="0FFEF355" w14:textId="23FC670D"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(10.003.912)</w:t>
            </w:r>
          </w:p>
        </w:tc>
        <w:tc>
          <w:tcPr>
            <w:tcW w:w="1078" w:type="dxa"/>
            <w:tcBorders>
              <w:top w:val="nil"/>
              <w:left w:val="nil"/>
              <w:bottom w:val="nil"/>
              <w:right w:val="nil"/>
            </w:tcBorders>
            <w:shd w:val="clear" w:color="auto" w:fill="auto"/>
            <w:noWrap/>
            <w:vAlign w:val="center"/>
          </w:tcPr>
          <w:p w14:paraId="42C9AED0" w14:textId="12CBEEF4"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6" w:type="dxa"/>
            <w:tcBorders>
              <w:top w:val="nil"/>
              <w:left w:val="nil"/>
              <w:bottom w:val="nil"/>
              <w:right w:val="nil"/>
            </w:tcBorders>
            <w:shd w:val="clear" w:color="auto" w:fill="auto"/>
            <w:noWrap/>
            <w:vAlign w:val="center"/>
          </w:tcPr>
          <w:p w14:paraId="4E443E79" w14:textId="3246FB84"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2B1D8ACA" w14:textId="715AEB6B"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27623144" w14:textId="384F3899"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Arial"/>
                <w:color w:val="005CA9"/>
                <w:sz w:val="13"/>
                <w:szCs w:val="13"/>
              </w:rPr>
              <w:t>(</w:t>
            </w:r>
            <w:r w:rsidRPr="00667139">
              <w:rPr>
                <w:rFonts w:ascii="CAIXA Std Book" w:hAnsi="CAIXA Std Book" w:cs="Arial"/>
                <w:color w:val="005CA9"/>
                <w:sz w:val="13"/>
                <w:szCs w:val="13"/>
              </w:rPr>
              <w:t>17</w:t>
            </w:r>
            <w:r>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7D08B4EC" w14:textId="41D51C89"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(9.417.547)</w:t>
            </w:r>
          </w:p>
        </w:tc>
      </w:tr>
      <w:tr w:rsidR="00970385" w:rsidRPr="00667139" w14:paraId="4A55ABF8" w14:textId="77777777" w:rsidTr="00DC2D46">
        <w:trPr>
          <w:trHeight w:val="198"/>
        </w:trPr>
        <w:tc>
          <w:tcPr>
            <w:tcW w:w="2941" w:type="dxa"/>
            <w:tcBorders>
              <w:top w:val="nil"/>
              <w:left w:val="nil"/>
              <w:bottom w:val="single" w:sz="4" w:space="0" w:color="F79646" w:themeColor="accent6"/>
              <w:right w:val="nil"/>
            </w:tcBorders>
            <w:shd w:val="clear" w:color="auto" w:fill="auto"/>
            <w:vAlign w:val="center"/>
            <w:hideMark/>
          </w:tcPr>
          <w:p w14:paraId="0D894E87" w14:textId="77777777" w:rsidR="00970385" w:rsidRPr="00667139" w:rsidRDefault="00970385" w:rsidP="00970385">
            <w:pPr>
              <w:spacing w:before="100" w:beforeAutospacing="1" w:after="100" w:afterAutospacing="1"/>
              <w:rPr>
                <w:rFonts w:ascii="CAIXA Std Book" w:hAnsi="CAIXA Std Book"/>
                <w:color w:val="005CA9"/>
                <w:sz w:val="13"/>
                <w:szCs w:val="13"/>
              </w:rPr>
            </w:pPr>
            <w:r w:rsidRPr="00667139">
              <w:rPr>
                <w:rFonts w:ascii="CAIXA Std Book" w:hAnsi="CAIXA Std Book" w:cs="Calibri"/>
                <w:color w:val="005CA9"/>
                <w:sz w:val="13"/>
                <w:szCs w:val="13"/>
              </w:rPr>
              <w:t>Outros investimentos, valores e bens</w:t>
            </w:r>
          </w:p>
        </w:tc>
        <w:tc>
          <w:tcPr>
            <w:tcW w:w="1028" w:type="dxa"/>
            <w:tcBorders>
              <w:top w:val="nil"/>
              <w:left w:val="nil"/>
              <w:bottom w:val="nil"/>
              <w:right w:val="nil"/>
            </w:tcBorders>
            <w:shd w:val="clear" w:color="auto" w:fill="auto"/>
            <w:noWrap/>
            <w:vAlign w:val="center"/>
          </w:tcPr>
          <w:p w14:paraId="67964BA3" w14:textId="070A5926"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4" w:type="dxa"/>
            <w:tcBorders>
              <w:top w:val="nil"/>
              <w:left w:val="nil"/>
              <w:bottom w:val="nil"/>
              <w:right w:val="nil"/>
            </w:tcBorders>
            <w:shd w:val="clear" w:color="auto" w:fill="auto"/>
            <w:noWrap/>
            <w:vAlign w:val="center"/>
          </w:tcPr>
          <w:p w14:paraId="0BE087B5" w14:textId="4F5841A8"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3FC2D5EA" w14:textId="0FF995E3"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30953D76" w14:textId="62395382"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6863AE55" w14:textId="21D4DCEB" w:rsidR="00970385" w:rsidRPr="00667139" w:rsidRDefault="00970385" w:rsidP="00970385">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5.433</w:t>
            </w:r>
          </w:p>
        </w:tc>
        <w:tc>
          <w:tcPr>
            <w:tcW w:w="1078" w:type="dxa"/>
            <w:tcBorders>
              <w:top w:val="nil"/>
              <w:left w:val="nil"/>
              <w:bottom w:val="single" w:sz="4" w:space="0" w:color="F79646" w:themeColor="accent6"/>
              <w:right w:val="nil"/>
            </w:tcBorders>
            <w:shd w:val="clear" w:color="auto" w:fill="auto"/>
            <w:noWrap/>
            <w:vAlign w:val="center"/>
          </w:tcPr>
          <w:p w14:paraId="5323E43F" w14:textId="74484435"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6" w:type="dxa"/>
            <w:tcBorders>
              <w:top w:val="nil"/>
              <w:left w:val="nil"/>
              <w:bottom w:val="single" w:sz="4" w:space="0" w:color="F79646" w:themeColor="accent6"/>
              <w:right w:val="nil"/>
            </w:tcBorders>
            <w:shd w:val="clear" w:color="auto" w:fill="auto"/>
            <w:noWrap/>
            <w:vAlign w:val="center"/>
          </w:tcPr>
          <w:p w14:paraId="22F817E9" w14:textId="6D4C6F76"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single" w:sz="4" w:space="0" w:color="F79646" w:themeColor="accent6"/>
              <w:right w:val="nil"/>
            </w:tcBorders>
            <w:shd w:val="clear" w:color="auto" w:fill="auto"/>
            <w:noWrap/>
            <w:vAlign w:val="center"/>
          </w:tcPr>
          <w:p w14:paraId="22BA0303" w14:textId="0ED29028"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single" w:sz="4" w:space="0" w:color="F79646" w:themeColor="accent6"/>
              <w:right w:val="nil"/>
            </w:tcBorders>
            <w:shd w:val="clear" w:color="auto" w:fill="auto"/>
            <w:noWrap/>
            <w:vAlign w:val="center"/>
          </w:tcPr>
          <w:p w14:paraId="55125ADD" w14:textId="3D3A8BAB"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single" w:sz="4" w:space="0" w:color="F79646" w:themeColor="accent6"/>
            </w:tcBorders>
            <w:shd w:val="clear" w:color="auto" w:fill="auto"/>
            <w:noWrap/>
            <w:vAlign w:val="center"/>
          </w:tcPr>
          <w:p w14:paraId="3C34A2C8" w14:textId="2EAF276E" w:rsidR="00970385" w:rsidRPr="00667139" w:rsidRDefault="00970385" w:rsidP="00970385">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DC2D46" w:rsidRPr="00667139" w14:paraId="0460B03A" w14:textId="77777777" w:rsidTr="00DC2D46">
        <w:trPr>
          <w:trHeight w:val="198"/>
        </w:trPr>
        <w:tc>
          <w:tcPr>
            <w:tcW w:w="2941" w:type="dxa"/>
            <w:tcBorders>
              <w:top w:val="single" w:sz="4" w:space="0" w:color="F79646" w:themeColor="accent6"/>
              <w:left w:val="nil"/>
              <w:bottom w:val="single" w:sz="4" w:space="0" w:color="F39200"/>
              <w:right w:val="nil"/>
            </w:tcBorders>
            <w:shd w:val="clear" w:color="auto" w:fill="auto"/>
            <w:vAlign w:val="center"/>
            <w:hideMark/>
          </w:tcPr>
          <w:p w14:paraId="53B336B7" w14:textId="434E795D" w:rsidR="00790B91" w:rsidRPr="00667139" w:rsidRDefault="00790B91" w:rsidP="00790B91">
            <w:pPr>
              <w:spacing w:before="100" w:beforeAutospacing="1" w:after="100" w:afterAutospacing="1"/>
              <w:rPr>
                <w:rFonts w:ascii="CAIXA Std Book" w:hAnsi="CAIXA Std Book"/>
                <w:b/>
                <w:color w:val="005CA9"/>
                <w:sz w:val="13"/>
                <w:szCs w:val="13"/>
              </w:rPr>
            </w:pPr>
            <w:r w:rsidRPr="00667139">
              <w:rPr>
                <w:rFonts w:ascii="CAIXA Std Book" w:hAnsi="CAIXA Std Book" w:cs="Calibri"/>
                <w:b/>
                <w:bCs/>
                <w:color w:val="005CA9"/>
                <w:sz w:val="13"/>
                <w:szCs w:val="13"/>
              </w:rPr>
              <w:t>PASSIVO</w:t>
            </w:r>
          </w:p>
        </w:tc>
        <w:tc>
          <w:tcPr>
            <w:tcW w:w="1028" w:type="dxa"/>
            <w:tcBorders>
              <w:top w:val="single" w:sz="4" w:space="0" w:color="F39200"/>
              <w:left w:val="nil"/>
              <w:bottom w:val="single" w:sz="4" w:space="0" w:color="F39200"/>
              <w:right w:val="nil"/>
            </w:tcBorders>
            <w:shd w:val="clear" w:color="auto" w:fill="auto"/>
            <w:vAlign w:val="center"/>
          </w:tcPr>
          <w:p w14:paraId="1D46DA5B" w14:textId="5BCB57CC"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45.072.181</w:t>
            </w:r>
          </w:p>
        </w:tc>
        <w:tc>
          <w:tcPr>
            <w:tcW w:w="1074" w:type="dxa"/>
            <w:tcBorders>
              <w:top w:val="single" w:sz="4" w:space="0" w:color="F39200"/>
              <w:left w:val="nil"/>
              <w:bottom w:val="single" w:sz="4" w:space="0" w:color="F39200"/>
              <w:right w:val="nil"/>
            </w:tcBorders>
            <w:shd w:val="clear" w:color="auto" w:fill="auto"/>
            <w:vAlign w:val="center"/>
          </w:tcPr>
          <w:p w14:paraId="4233A0A9" w14:textId="06345008"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51.652</w:t>
            </w:r>
          </w:p>
        </w:tc>
        <w:tc>
          <w:tcPr>
            <w:tcW w:w="1121" w:type="dxa"/>
            <w:tcBorders>
              <w:top w:val="single" w:sz="4" w:space="0" w:color="F39200"/>
              <w:left w:val="nil"/>
              <w:bottom w:val="single" w:sz="4" w:space="0" w:color="F39200"/>
              <w:right w:val="nil"/>
            </w:tcBorders>
            <w:shd w:val="clear" w:color="auto" w:fill="auto"/>
            <w:vAlign w:val="center"/>
          </w:tcPr>
          <w:p w14:paraId="51A757CC" w14:textId="2DA57CD1"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179.451</w:t>
            </w:r>
          </w:p>
        </w:tc>
        <w:tc>
          <w:tcPr>
            <w:tcW w:w="1106" w:type="dxa"/>
            <w:tcBorders>
              <w:top w:val="single" w:sz="4" w:space="0" w:color="F39200"/>
              <w:left w:val="nil"/>
              <w:bottom w:val="single" w:sz="4" w:space="0" w:color="F39200"/>
              <w:right w:val="nil"/>
            </w:tcBorders>
            <w:shd w:val="clear" w:color="auto" w:fill="auto"/>
            <w:vAlign w:val="center"/>
          </w:tcPr>
          <w:p w14:paraId="1BE0163C" w14:textId="0FC48F5F"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31.170</w:t>
            </w:r>
          </w:p>
        </w:tc>
        <w:tc>
          <w:tcPr>
            <w:tcW w:w="1291" w:type="dxa"/>
            <w:tcBorders>
              <w:top w:val="single" w:sz="4" w:space="0" w:color="F39200"/>
              <w:left w:val="nil"/>
              <w:bottom w:val="single" w:sz="4" w:space="0" w:color="F39200"/>
            </w:tcBorders>
            <w:shd w:val="clear" w:color="auto" w:fill="auto"/>
            <w:vAlign w:val="center"/>
          </w:tcPr>
          <w:p w14:paraId="7EC1CF90" w14:textId="22B8FCF5"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675.733.181</w:t>
            </w:r>
          </w:p>
        </w:tc>
        <w:tc>
          <w:tcPr>
            <w:tcW w:w="1078" w:type="dxa"/>
            <w:tcBorders>
              <w:top w:val="single" w:sz="4" w:space="0" w:color="F79646" w:themeColor="accent6"/>
              <w:left w:val="nil"/>
              <w:bottom w:val="single" w:sz="4" w:space="0" w:color="F39200"/>
              <w:right w:val="nil"/>
            </w:tcBorders>
            <w:shd w:val="clear" w:color="auto" w:fill="auto"/>
            <w:vAlign w:val="center"/>
          </w:tcPr>
          <w:p w14:paraId="6C44CA5C" w14:textId="2BBC8DFD"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45.636.508</w:t>
            </w:r>
          </w:p>
        </w:tc>
        <w:tc>
          <w:tcPr>
            <w:tcW w:w="1276" w:type="dxa"/>
            <w:tcBorders>
              <w:top w:val="single" w:sz="4" w:space="0" w:color="F79646" w:themeColor="accent6"/>
              <w:left w:val="nil"/>
              <w:bottom w:val="single" w:sz="4" w:space="0" w:color="F39200"/>
              <w:right w:val="nil"/>
            </w:tcBorders>
            <w:shd w:val="clear" w:color="auto" w:fill="auto"/>
            <w:vAlign w:val="center"/>
          </w:tcPr>
          <w:p w14:paraId="26141FCA" w14:textId="418DFBFE"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218.532</w:t>
            </w:r>
          </w:p>
        </w:tc>
        <w:tc>
          <w:tcPr>
            <w:tcW w:w="1134" w:type="dxa"/>
            <w:tcBorders>
              <w:top w:val="single" w:sz="4" w:space="0" w:color="F79646" w:themeColor="accent6"/>
              <w:left w:val="nil"/>
              <w:bottom w:val="single" w:sz="4" w:space="0" w:color="F39200"/>
              <w:right w:val="nil"/>
            </w:tcBorders>
            <w:shd w:val="clear" w:color="auto" w:fill="auto"/>
            <w:vAlign w:val="center"/>
          </w:tcPr>
          <w:p w14:paraId="6D143F4E" w14:textId="1D5FA4D4"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86.345</w:t>
            </w:r>
          </w:p>
        </w:tc>
        <w:tc>
          <w:tcPr>
            <w:tcW w:w="1134" w:type="dxa"/>
            <w:tcBorders>
              <w:top w:val="single" w:sz="4" w:space="0" w:color="F79646" w:themeColor="accent6"/>
              <w:left w:val="nil"/>
              <w:bottom w:val="single" w:sz="4" w:space="0" w:color="F39200"/>
              <w:right w:val="nil"/>
            </w:tcBorders>
            <w:shd w:val="clear" w:color="auto" w:fill="auto"/>
            <w:vAlign w:val="center"/>
          </w:tcPr>
          <w:p w14:paraId="3CCD72A5" w14:textId="1CB60A46"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25.615</w:t>
            </w:r>
          </w:p>
        </w:tc>
        <w:tc>
          <w:tcPr>
            <w:tcW w:w="1277" w:type="dxa"/>
            <w:tcBorders>
              <w:top w:val="single" w:sz="4" w:space="0" w:color="F79646" w:themeColor="accent6"/>
              <w:left w:val="nil"/>
              <w:bottom w:val="single" w:sz="4" w:space="0" w:color="F39200"/>
            </w:tcBorders>
            <w:shd w:val="clear" w:color="auto" w:fill="auto"/>
            <w:vAlign w:val="center"/>
          </w:tcPr>
          <w:p w14:paraId="30B3FF94" w14:textId="4E0B31EA"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642.333.792</w:t>
            </w:r>
          </w:p>
        </w:tc>
      </w:tr>
      <w:tr w:rsidR="00DD7172" w:rsidRPr="00667139" w14:paraId="752D4E19" w14:textId="77777777" w:rsidTr="00DC2D46">
        <w:trPr>
          <w:trHeight w:val="198"/>
        </w:trPr>
        <w:tc>
          <w:tcPr>
            <w:tcW w:w="2941" w:type="dxa"/>
            <w:tcBorders>
              <w:top w:val="nil"/>
              <w:left w:val="nil"/>
              <w:bottom w:val="nil"/>
              <w:right w:val="nil"/>
            </w:tcBorders>
            <w:shd w:val="clear" w:color="auto" w:fill="auto"/>
            <w:vAlign w:val="center"/>
            <w:hideMark/>
          </w:tcPr>
          <w:p w14:paraId="0C556449" w14:textId="0A5974BD"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Depósitos à vista e poupança</w:t>
            </w:r>
            <w:r>
              <w:rPr>
                <w:rFonts w:ascii="CAIXA Std Book" w:hAnsi="CAIXA Std Book" w:cs="Calibri"/>
                <w:color w:val="005CA9"/>
                <w:sz w:val="13"/>
                <w:szCs w:val="13"/>
              </w:rPr>
              <w:t xml:space="preserve"> (</w:t>
            </w:r>
            <w:r w:rsidR="00416E04">
              <w:rPr>
                <w:rFonts w:ascii="CAIXA Std Book" w:hAnsi="CAIXA Std Book" w:cs="Calibri"/>
                <w:color w:val="005CA9"/>
                <w:sz w:val="13"/>
                <w:szCs w:val="13"/>
              </w:rPr>
              <w:t>7</w:t>
            </w:r>
            <w:r>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42F4F55F" w14:textId="2FD22251"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404.902</w:t>
            </w:r>
          </w:p>
        </w:tc>
        <w:tc>
          <w:tcPr>
            <w:tcW w:w="1074" w:type="dxa"/>
            <w:tcBorders>
              <w:top w:val="nil"/>
              <w:left w:val="nil"/>
              <w:bottom w:val="nil"/>
              <w:right w:val="nil"/>
            </w:tcBorders>
            <w:shd w:val="clear" w:color="auto" w:fill="auto"/>
            <w:noWrap/>
            <w:vAlign w:val="center"/>
          </w:tcPr>
          <w:p w14:paraId="4A7627D6" w14:textId="358AA07B"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19.317</w:t>
            </w:r>
          </w:p>
        </w:tc>
        <w:tc>
          <w:tcPr>
            <w:tcW w:w="1121" w:type="dxa"/>
            <w:tcBorders>
              <w:top w:val="nil"/>
              <w:left w:val="nil"/>
              <w:bottom w:val="nil"/>
              <w:right w:val="nil"/>
            </w:tcBorders>
            <w:shd w:val="clear" w:color="auto" w:fill="auto"/>
            <w:noWrap/>
            <w:vAlign w:val="center"/>
          </w:tcPr>
          <w:p w14:paraId="31E30CEB" w14:textId="59A78B1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82.072</w:t>
            </w:r>
          </w:p>
        </w:tc>
        <w:tc>
          <w:tcPr>
            <w:tcW w:w="1106" w:type="dxa"/>
            <w:tcBorders>
              <w:top w:val="nil"/>
              <w:left w:val="nil"/>
              <w:bottom w:val="nil"/>
              <w:right w:val="nil"/>
            </w:tcBorders>
            <w:shd w:val="clear" w:color="auto" w:fill="auto"/>
            <w:noWrap/>
            <w:vAlign w:val="center"/>
          </w:tcPr>
          <w:p w14:paraId="6E73547B" w14:textId="7D436933"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11.890</w:t>
            </w:r>
          </w:p>
        </w:tc>
        <w:tc>
          <w:tcPr>
            <w:tcW w:w="1291" w:type="dxa"/>
            <w:tcBorders>
              <w:top w:val="nil"/>
              <w:left w:val="nil"/>
              <w:bottom w:val="nil"/>
            </w:tcBorders>
            <w:shd w:val="clear" w:color="auto" w:fill="auto"/>
            <w:noWrap/>
            <w:vAlign w:val="center"/>
          </w:tcPr>
          <w:p w14:paraId="597CECF7" w14:textId="77841BE7"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2.829.937</w:t>
            </w:r>
          </w:p>
        </w:tc>
        <w:tc>
          <w:tcPr>
            <w:tcW w:w="1078" w:type="dxa"/>
            <w:tcBorders>
              <w:top w:val="nil"/>
              <w:left w:val="nil"/>
              <w:bottom w:val="nil"/>
              <w:right w:val="nil"/>
            </w:tcBorders>
            <w:shd w:val="clear" w:color="auto" w:fill="auto"/>
            <w:noWrap/>
            <w:vAlign w:val="center"/>
          </w:tcPr>
          <w:p w14:paraId="289BAA5B" w14:textId="0DBF8F5D"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364.053</w:t>
            </w:r>
          </w:p>
        </w:tc>
        <w:tc>
          <w:tcPr>
            <w:tcW w:w="1276" w:type="dxa"/>
            <w:tcBorders>
              <w:top w:val="nil"/>
              <w:left w:val="nil"/>
              <w:bottom w:val="nil"/>
              <w:right w:val="nil"/>
            </w:tcBorders>
            <w:shd w:val="clear" w:color="auto" w:fill="auto"/>
            <w:noWrap/>
            <w:vAlign w:val="center"/>
          </w:tcPr>
          <w:p w14:paraId="76E32ABD" w14:textId="517773EF"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34.837</w:t>
            </w:r>
          </w:p>
        </w:tc>
        <w:tc>
          <w:tcPr>
            <w:tcW w:w="1134" w:type="dxa"/>
            <w:tcBorders>
              <w:top w:val="nil"/>
              <w:left w:val="nil"/>
              <w:bottom w:val="nil"/>
              <w:right w:val="nil"/>
            </w:tcBorders>
            <w:shd w:val="clear" w:color="auto" w:fill="auto"/>
            <w:noWrap/>
            <w:vAlign w:val="center"/>
          </w:tcPr>
          <w:p w14:paraId="03EB9205" w14:textId="28673C71"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86.345</w:t>
            </w:r>
          </w:p>
        </w:tc>
        <w:tc>
          <w:tcPr>
            <w:tcW w:w="1134" w:type="dxa"/>
            <w:tcBorders>
              <w:top w:val="nil"/>
              <w:left w:val="nil"/>
              <w:bottom w:val="nil"/>
              <w:right w:val="nil"/>
            </w:tcBorders>
            <w:shd w:val="clear" w:color="auto" w:fill="auto"/>
            <w:noWrap/>
            <w:vAlign w:val="center"/>
          </w:tcPr>
          <w:p w14:paraId="7F4D78F1" w14:textId="11226D82"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10.337</w:t>
            </w:r>
          </w:p>
        </w:tc>
        <w:tc>
          <w:tcPr>
            <w:tcW w:w="1277" w:type="dxa"/>
            <w:tcBorders>
              <w:top w:val="nil"/>
              <w:left w:val="nil"/>
              <w:bottom w:val="nil"/>
            </w:tcBorders>
            <w:shd w:val="clear" w:color="auto" w:fill="auto"/>
            <w:noWrap/>
            <w:vAlign w:val="center"/>
          </w:tcPr>
          <w:p w14:paraId="5A25BF6B" w14:textId="704F3D7D"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3.575.190</w:t>
            </w:r>
          </w:p>
        </w:tc>
      </w:tr>
      <w:tr w:rsidR="00DD7172" w:rsidRPr="00667139" w14:paraId="59B52918" w14:textId="77777777" w:rsidTr="00DC2D46">
        <w:trPr>
          <w:trHeight w:val="198"/>
        </w:trPr>
        <w:tc>
          <w:tcPr>
            <w:tcW w:w="2941" w:type="dxa"/>
            <w:tcBorders>
              <w:top w:val="nil"/>
              <w:left w:val="nil"/>
              <w:bottom w:val="nil"/>
              <w:right w:val="nil"/>
            </w:tcBorders>
            <w:shd w:val="clear" w:color="auto" w:fill="auto"/>
            <w:vAlign w:val="center"/>
            <w:hideMark/>
          </w:tcPr>
          <w:p w14:paraId="661A1A4D" w14:textId="77777777"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Depósitos a prazo e letras</w:t>
            </w:r>
          </w:p>
        </w:tc>
        <w:tc>
          <w:tcPr>
            <w:tcW w:w="1028" w:type="dxa"/>
            <w:tcBorders>
              <w:top w:val="nil"/>
              <w:left w:val="nil"/>
              <w:bottom w:val="nil"/>
              <w:right w:val="nil"/>
            </w:tcBorders>
            <w:shd w:val="clear" w:color="auto" w:fill="auto"/>
            <w:noWrap/>
            <w:vAlign w:val="center"/>
          </w:tcPr>
          <w:p w14:paraId="126FFAAE" w14:textId="5A4048B7"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863.128</w:t>
            </w:r>
          </w:p>
        </w:tc>
        <w:tc>
          <w:tcPr>
            <w:tcW w:w="1074" w:type="dxa"/>
            <w:tcBorders>
              <w:top w:val="nil"/>
              <w:left w:val="nil"/>
              <w:bottom w:val="nil"/>
              <w:right w:val="nil"/>
            </w:tcBorders>
            <w:shd w:val="clear" w:color="auto" w:fill="auto"/>
            <w:noWrap/>
            <w:vAlign w:val="center"/>
          </w:tcPr>
          <w:p w14:paraId="6CF09E9B" w14:textId="7EE418C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66017F64" w14:textId="23E229E1"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62810C7F" w14:textId="1BAAF425"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19.280</w:t>
            </w:r>
          </w:p>
        </w:tc>
        <w:tc>
          <w:tcPr>
            <w:tcW w:w="1291" w:type="dxa"/>
            <w:tcBorders>
              <w:top w:val="nil"/>
              <w:left w:val="nil"/>
              <w:bottom w:val="nil"/>
            </w:tcBorders>
            <w:shd w:val="clear" w:color="auto" w:fill="auto"/>
            <w:noWrap/>
            <w:vAlign w:val="center"/>
          </w:tcPr>
          <w:p w14:paraId="0BC956EE" w14:textId="23D7A6B9"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11.978.737</w:t>
            </w:r>
          </w:p>
        </w:tc>
        <w:tc>
          <w:tcPr>
            <w:tcW w:w="1078" w:type="dxa"/>
            <w:tcBorders>
              <w:top w:val="nil"/>
              <w:left w:val="nil"/>
              <w:bottom w:val="nil"/>
              <w:right w:val="nil"/>
            </w:tcBorders>
            <w:shd w:val="clear" w:color="auto" w:fill="auto"/>
            <w:noWrap/>
            <w:vAlign w:val="center"/>
          </w:tcPr>
          <w:p w14:paraId="4618A66D" w14:textId="2F66DE99"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1.266.900</w:t>
            </w:r>
          </w:p>
        </w:tc>
        <w:tc>
          <w:tcPr>
            <w:tcW w:w="1276" w:type="dxa"/>
            <w:tcBorders>
              <w:top w:val="nil"/>
              <w:left w:val="nil"/>
              <w:bottom w:val="nil"/>
              <w:right w:val="nil"/>
            </w:tcBorders>
            <w:shd w:val="clear" w:color="auto" w:fill="auto"/>
            <w:noWrap/>
            <w:vAlign w:val="center"/>
          </w:tcPr>
          <w:p w14:paraId="3AB585C1" w14:textId="0F9BD91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97.349</w:t>
            </w:r>
          </w:p>
        </w:tc>
        <w:tc>
          <w:tcPr>
            <w:tcW w:w="1134" w:type="dxa"/>
            <w:tcBorders>
              <w:top w:val="nil"/>
              <w:left w:val="nil"/>
              <w:bottom w:val="nil"/>
              <w:right w:val="nil"/>
            </w:tcBorders>
            <w:shd w:val="clear" w:color="auto" w:fill="auto"/>
            <w:noWrap/>
            <w:vAlign w:val="center"/>
          </w:tcPr>
          <w:p w14:paraId="60D91501" w14:textId="7B263DD7"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307A3AE" w14:textId="1E7D95B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15.278</w:t>
            </w:r>
          </w:p>
        </w:tc>
        <w:tc>
          <w:tcPr>
            <w:tcW w:w="1277" w:type="dxa"/>
            <w:tcBorders>
              <w:top w:val="nil"/>
              <w:left w:val="nil"/>
              <w:bottom w:val="nil"/>
            </w:tcBorders>
            <w:shd w:val="clear" w:color="auto" w:fill="auto"/>
            <w:noWrap/>
            <w:vAlign w:val="center"/>
          </w:tcPr>
          <w:p w14:paraId="571EF54B" w14:textId="1C368495"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13.492.997</w:t>
            </w:r>
          </w:p>
        </w:tc>
      </w:tr>
      <w:tr w:rsidR="00DD7172" w:rsidRPr="00667139" w14:paraId="5BC95FDF" w14:textId="77777777" w:rsidTr="00DC2D46">
        <w:trPr>
          <w:trHeight w:val="198"/>
        </w:trPr>
        <w:tc>
          <w:tcPr>
            <w:tcW w:w="2941" w:type="dxa"/>
            <w:tcBorders>
              <w:top w:val="nil"/>
              <w:left w:val="nil"/>
              <w:bottom w:val="nil"/>
              <w:right w:val="nil"/>
            </w:tcBorders>
            <w:shd w:val="clear" w:color="auto" w:fill="auto"/>
            <w:vAlign w:val="center"/>
            <w:hideMark/>
          </w:tcPr>
          <w:p w14:paraId="15F66F50" w14:textId="4556028D"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Depósitos especiais de fundos e programas (</w:t>
            </w:r>
            <w:r w:rsidR="00416E04">
              <w:rPr>
                <w:rFonts w:ascii="CAIXA Std Book" w:hAnsi="CAIXA Std Book" w:cs="Calibri"/>
                <w:color w:val="005CA9"/>
                <w:sz w:val="13"/>
                <w:szCs w:val="13"/>
              </w:rPr>
              <w:t>8</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2A1911A0" w14:textId="0CE4129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447.916</w:t>
            </w:r>
          </w:p>
        </w:tc>
        <w:tc>
          <w:tcPr>
            <w:tcW w:w="1074" w:type="dxa"/>
            <w:tcBorders>
              <w:top w:val="nil"/>
              <w:left w:val="nil"/>
              <w:bottom w:val="nil"/>
              <w:right w:val="nil"/>
            </w:tcBorders>
            <w:shd w:val="clear" w:color="auto" w:fill="auto"/>
            <w:noWrap/>
            <w:vAlign w:val="center"/>
          </w:tcPr>
          <w:p w14:paraId="1EC5FE7E" w14:textId="128F7AAE"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2CC0F9AC" w14:textId="4290049F"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0237036B" w14:textId="7CB2D107"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138AE1BC" w14:textId="5D2CCF42"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28.475.140</w:t>
            </w:r>
          </w:p>
        </w:tc>
        <w:tc>
          <w:tcPr>
            <w:tcW w:w="1078" w:type="dxa"/>
            <w:tcBorders>
              <w:top w:val="nil"/>
              <w:left w:val="nil"/>
              <w:bottom w:val="nil"/>
              <w:right w:val="nil"/>
            </w:tcBorders>
            <w:shd w:val="clear" w:color="auto" w:fill="auto"/>
            <w:noWrap/>
            <w:vAlign w:val="center"/>
          </w:tcPr>
          <w:p w14:paraId="5202B62D" w14:textId="0266FD9E"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395.568</w:t>
            </w:r>
          </w:p>
        </w:tc>
        <w:tc>
          <w:tcPr>
            <w:tcW w:w="1276" w:type="dxa"/>
            <w:tcBorders>
              <w:top w:val="nil"/>
              <w:left w:val="nil"/>
              <w:bottom w:val="nil"/>
              <w:right w:val="nil"/>
            </w:tcBorders>
            <w:shd w:val="clear" w:color="auto" w:fill="auto"/>
            <w:noWrap/>
            <w:vAlign w:val="center"/>
          </w:tcPr>
          <w:p w14:paraId="4D13B4C3" w14:textId="0AB87A29"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80A8392" w14:textId="5DC848E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16662CA4" w14:textId="24A470BB"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68CB56AF" w14:textId="411E07D3"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29.347.649</w:t>
            </w:r>
          </w:p>
        </w:tc>
      </w:tr>
      <w:tr w:rsidR="00DD7172" w:rsidRPr="00667139" w14:paraId="5CE00FA3" w14:textId="77777777" w:rsidTr="00DC2D46">
        <w:trPr>
          <w:trHeight w:val="198"/>
        </w:trPr>
        <w:tc>
          <w:tcPr>
            <w:tcW w:w="2941" w:type="dxa"/>
            <w:tcBorders>
              <w:top w:val="nil"/>
              <w:left w:val="nil"/>
              <w:bottom w:val="nil"/>
              <w:right w:val="nil"/>
            </w:tcBorders>
            <w:shd w:val="clear" w:color="auto" w:fill="auto"/>
            <w:vAlign w:val="center"/>
            <w:hideMark/>
          </w:tcPr>
          <w:p w14:paraId="576FE838" w14:textId="4DA1A126"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Recursos de emissões de títulos e valores mobiliários (</w:t>
            </w:r>
            <w:r w:rsidR="00416E04">
              <w:rPr>
                <w:rFonts w:ascii="CAIXA Std Book" w:hAnsi="CAIXA Std Book" w:cs="Calibri"/>
                <w:color w:val="005CA9"/>
                <w:sz w:val="13"/>
                <w:szCs w:val="13"/>
              </w:rPr>
              <w:t>9</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7B2C8FFF" w14:textId="1803F3E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34.878.807</w:t>
            </w:r>
          </w:p>
        </w:tc>
        <w:tc>
          <w:tcPr>
            <w:tcW w:w="1074" w:type="dxa"/>
            <w:tcBorders>
              <w:top w:val="nil"/>
              <w:left w:val="nil"/>
              <w:bottom w:val="nil"/>
              <w:right w:val="nil"/>
            </w:tcBorders>
            <w:shd w:val="clear" w:color="auto" w:fill="auto"/>
            <w:noWrap/>
            <w:vAlign w:val="center"/>
          </w:tcPr>
          <w:p w14:paraId="779D19CD" w14:textId="0199DE43"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60F3CA87" w14:textId="511DA47C"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03AD7D08" w14:textId="0DD04578"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31A2432B" w14:textId="1BB72C6B"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169.539.956</w:t>
            </w:r>
          </w:p>
        </w:tc>
        <w:tc>
          <w:tcPr>
            <w:tcW w:w="1078" w:type="dxa"/>
            <w:tcBorders>
              <w:top w:val="nil"/>
              <w:left w:val="nil"/>
              <w:bottom w:val="nil"/>
              <w:right w:val="nil"/>
            </w:tcBorders>
            <w:shd w:val="clear" w:color="auto" w:fill="auto"/>
            <w:noWrap/>
            <w:vAlign w:val="center"/>
          </w:tcPr>
          <w:p w14:paraId="38F7A95B" w14:textId="0C07B14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35.085.061</w:t>
            </w:r>
          </w:p>
        </w:tc>
        <w:tc>
          <w:tcPr>
            <w:tcW w:w="1276" w:type="dxa"/>
            <w:tcBorders>
              <w:top w:val="nil"/>
              <w:left w:val="nil"/>
              <w:bottom w:val="nil"/>
              <w:right w:val="nil"/>
            </w:tcBorders>
            <w:shd w:val="clear" w:color="auto" w:fill="auto"/>
            <w:noWrap/>
            <w:vAlign w:val="center"/>
          </w:tcPr>
          <w:p w14:paraId="1028CEA5" w14:textId="05781475"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88C4778" w14:textId="50F2C6BC"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89E6A90" w14:textId="1338C4F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406AD0FB" w14:textId="7B543E5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146.748.912</w:t>
            </w:r>
          </w:p>
        </w:tc>
      </w:tr>
      <w:tr w:rsidR="00DD7172" w:rsidRPr="00667139" w14:paraId="0477F44E" w14:textId="77777777" w:rsidTr="00DC2D46">
        <w:trPr>
          <w:trHeight w:val="198"/>
        </w:trPr>
        <w:tc>
          <w:tcPr>
            <w:tcW w:w="2941" w:type="dxa"/>
            <w:tcBorders>
              <w:top w:val="nil"/>
              <w:left w:val="nil"/>
              <w:bottom w:val="nil"/>
              <w:right w:val="nil"/>
            </w:tcBorders>
            <w:shd w:val="clear" w:color="auto" w:fill="auto"/>
            <w:vAlign w:val="center"/>
            <w:hideMark/>
          </w:tcPr>
          <w:p w14:paraId="1AC4D3FB" w14:textId="1706821A"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Repasses do país - instituições oficiais (1</w:t>
            </w:r>
            <w:r w:rsidR="00416E04">
              <w:rPr>
                <w:rFonts w:ascii="CAIXA Std Book" w:hAnsi="CAIXA Std Book" w:cs="Calibri"/>
                <w:color w:val="005CA9"/>
                <w:sz w:val="13"/>
                <w:szCs w:val="13"/>
              </w:rPr>
              <w:t>0</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0C051004" w14:textId="05163976"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13.470</w:t>
            </w:r>
          </w:p>
        </w:tc>
        <w:tc>
          <w:tcPr>
            <w:tcW w:w="1074" w:type="dxa"/>
            <w:tcBorders>
              <w:top w:val="nil"/>
              <w:left w:val="nil"/>
              <w:bottom w:val="nil"/>
              <w:right w:val="nil"/>
            </w:tcBorders>
            <w:shd w:val="clear" w:color="auto" w:fill="auto"/>
            <w:noWrap/>
            <w:vAlign w:val="center"/>
          </w:tcPr>
          <w:p w14:paraId="39441609" w14:textId="65E0F50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040E3409" w14:textId="43CBEC48"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2FEEEBCD" w14:textId="5292B3F5"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7BD8E997" w14:textId="06E721FD"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447.415.602</w:t>
            </w:r>
          </w:p>
        </w:tc>
        <w:tc>
          <w:tcPr>
            <w:tcW w:w="1078" w:type="dxa"/>
            <w:tcBorders>
              <w:top w:val="nil"/>
              <w:left w:val="nil"/>
              <w:bottom w:val="nil"/>
              <w:right w:val="nil"/>
            </w:tcBorders>
            <w:shd w:val="clear" w:color="auto" w:fill="auto"/>
            <w:noWrap/>
            <w:vAlign w:val="center"/>
          </w:tcPr>
          <w:p w14:paraId="4B86490E" w14:textId="2EF8AA4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13.674</w:t>
            </w:r>
          </w:p>
        </w:tc>
        <w:tc>
          <w:tcPr>
            <w:tcW w:w="1276" w:type="dxa"/>
            <w:tcBorders>
              <w:top w:val="nil"/>
              <w:left w:val="nil"/>
              <w:bottom w:val="nil"/>
              <w:right w:val="nil"/>
            </w:tcBorders>
            <w:shd w:val="clear" w:color="auto" w:fill="auto"/>
            <w:noWrap/>
            <w:vAlign w:val="center"/>
          </w:tcPr>
          <w:p w14:paraId="79AD7A05" w14:textId="0F2DBF89"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0F2F0D27" w14:textId="1A4E00BB"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1B18440C" w14:textId="410C0948"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0CF740A7" w14:textId="23243884"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433.480.389</w:t>
            </w:r>
          </w:p>
        </w:tc>
      </w:tr>
      <w:tr w:rsidR="00DD7172" w:rsidRPr="00667139" w14:paraId="3D0E6058" w14:textId="77777777" w:rsidTr="00DC2D46">
        <w:trPr>
          <w:trHeight w:val="198"/>
        </w:trPr>
        <w:tc>
          <w:tcPr>
            <w:tcW w:w="2941" w:type="dxa"/>
            <w:tcBorders>
              <w:top w:val="nil"/>
              <w:left w:val="nil"/>
              <w:bottom w:val="nil"/>
              <w:right w:val="nil"/>
            </w:tcBorders>
            <w:shd w:val="clear" w:color="auto" w:fill="auto"/>
            <w:vAlign w:val="center"/>
            <w:hideMark/>
          </w:tcPr>
          <w:p w14:paraId="08E3F934" w14:textId="46FA381D"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Recursos para destinação específica (1</w:t>
            </w:r>
            <w:r w:rsidR="00416E04">
              <w:rPr>
                <w:rFonts w:ascii="CAIXA Std Book" w:hAnsi="CAIXA Std Book" w:cs="Calibri"/>
                <w:color w:val="005CA9"/>
                <w:sz w:val="13"/>
                <w:szCs w:val="13"/>
              </w:rPr>
              <w:t>1</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2CDC0174" w14:textId="663BA5E3"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2.481.293</w:t>
            </w:r>
          </w:p>
        </w:tc>
        <w:tc>
          <w:tcPr>
            <w:tcW w:w="1074" w:type="dxa"/>
            <w:tcBorders>
              <w:top w:val="nil"/>
              <w:left w:val="nil"/>
              <w:bottom w:val="nil"/>
              <w:right w:val="nil"/>
            </w:tcBorders>
            <w:shd w:val="clear" w:color="auto" w:fill="auto"/>
            <w:noWrap/>
            <w:vAlign w:val="center"/>
          </w:tcPr>
          <w:p w14:paraId="0F309683" w14:textId="5CFD03DD"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560ACB1F" w14:textId="596A452C"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771F528E" w14:textId="7CB378A9"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07AEF9D1" w14:textId="1761EFA9"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11.844.892</w:t>
            </w:r>
          </w:p>
        </w:tc>
        <w:tc>
          <w:tcPr>
            <w:tcW w:w="1078" w:type="dxa"/>
            <w:tcBorders>
              <w:top w:val="nil"/>
              <w:left w:val="nil"/>
              <w:bottom w:val="nil"/>
              <w:right w:val="nil"/>
            </w:tcBorders>
            <w:shd w:val="clear" w:color="auto" w:fill="auto"/>
            <w:noWrap/>
            <w:vAlign w:val="center"/>
          </w:tcPr>
          <w:p w14:paraId="5EB26D83" w14:textId="1A78CC5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1.751.718</w:t>
            </w:r>
          </w:p>
        </w:tc>
        <w:tc>
          <w:tcPr>
            <w:tcW w:w="1276" w:type="dxa"/>
            <w:tcBorders>
              <w:top w:val="nil"/>
              <w:left w:val="nil"/>
              <w:bottom w:val="nil"/>
              <w:right w:val="nil"/>
            </w:tcBorders>
            <w:shd w:val="clear" w:color="auto" w:fill="auto"/>
            <w:noWrap/>
            <w:vAlign w:val="center"/>
          </w:tcPr>
          <w:p w14:paraId="7E202955" w14:textId="485A3F8E"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32DE8D8D" w14:textId="785FF46A"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1EE934D0" w14:textId="209F14A1"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739BDA30" w14:textId="6A4FC7BC"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12.023.487</w:t>
            </w:r>
          </w:p>
        </w:tc>
      </w:tr>
      <w:tr w:rsidR="00DD7172" w:rsidRPr="00667139" w14:paraId="41832DF2" w14:textId="77777777" w:rsidTr="00DC2D46">
        <w:trPr>
          <w:trHeight w:val="198"/>
        </w:trPr>
        <w:tc>
          <w:tcPr>
            <w:tcW w:w="2941" w:type="dxa"/>
            <w:tcBorders>
              <w:top w:val="nil"/>
              <w:left w:val="nil"/>
              <w:bottom w:val="nil"/>
              <w:right w:val="nil"/>
            </w:tcBorders>
            <w:shd w:val="clear" w:color="auto" w:fill="auto"/>
            <w:vAlign w:val="center"/>
          </w:tcPr>
          <w:p w14:paraId="6B92E203" w14:textId="3B15DC3D"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Obrigações fiscais e previdenciárias (1</w:t>
            </w:r>
            <w:r w:rsidR="00416E04">
              <w:rPr>
                <w:rFonts w:ascii="CAIXA Std Book" w:hAnsi="CAIXA Std Book" w:cs="Calibri"/>
                <w:color w:val="005CA9"/>
                <w:sz w:val="13"/>
                <w:szCs w:val="13"/>
              </w:rPr>
              <w:t>2</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7CF58951" w14:textId="6BF7A902"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5.759.974</w:t>
            </w:r>
          </w:p>
        </w:tc>
        <w:tc>
          <w:tcPr>
            <w:tcW w:w="1074" w:type="dxa"/>
            <w:tcBorders>
              <w:top w:val="nil"/>
              <w:left w:val="nil"/>
              <w:bottom w:val="nil"/>
              <w:right w:val="nil"/>
            </w:tcBorders>
            <w:shd w:val="clear" w:color="auto" w:fill="auto"/>
            <w:noWrap/>
            <w:vAlign w:val="center"/>
          </w:tcPr>
          <w:p w14:paraId="72A1EEEB" w14:textId="198C0B8F"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nil"/>
              <w:right w:val="nil"/>
            </w:tcBorders>
            <w:shd w:val="clear" w:color="auto" w:fill="auto"/>
            <w:noWrap/>
            <w:vAlign w:val="center"/>
          </w:tcPr>
          <w:p w14:paraId="4957AF5F" w14:textId="2E71734C"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nil"/>
              <w:right w:val="nil"/>
            </w:tcBorders>
            <w:shd w:val="clear" w:color="auto" w:fill="auto"/>
            <w:noWrap/>
            <w:vAlign w:val="center"/>
          </w:tcPr>
          <w:p w14:paraId="43EFAF0C" w14:textId="11D4E2E0"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5D1B2989" w14:textId="230DB79E"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078" w:type="dxa"/>
            <w:tcBorders>
              <w:top w:val="nil"/>
              <w:left w:val="nil"/>
              <w:bottom w:val="nil"/>
              <w:right w:val="nil"/>
            </w:tcBorders>
            <w:shd w:val="clear" w:color="auto" w:fill="auto"/>
            <w:noWrap/>
            <w:vAlign w:val="center"/>
          </w:tcPr>
          <w:p w14:paraId="7615663A" w14:textId="1036A78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6.215.075</w:t>
            </w:r>
          </w:p>
        </w:tc>
        <w:tc>
          <w:tcPr>
            <w:tcW w:w="1276" w:type="dxa"/>
            <w:tcBorders>
              <w:top w:val="nil"/>
              <w:left w:val="nil"/>
              <w:bottom w:val="nil"/>
              <w:right w:val="nil"/>
            </w:tcBorders>
            <w:shd w:val="clear" w:color="auto" w:fill="auto"/>
            <w:noWrap/>
            <w:vAlign w:val="center"/>
          </w:tcPr>
          <w:p w14:paraId="2DFFA9C5" w14:textId="621899AF"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4420B738" w14:textId="1CE0FF9A"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3621B237" w14:textId="51FE927B"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45BEBDC6" w14:textId="5CD85955"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r>
      <w:tr w:rsidR="00DD7172" w:rsidRPr="00667139" w14:paraId="510CB1B9" w14:textId="77777777" w:rsidTr="00DC2D46">
        <w:trPr>
          <w:trHeight w:val="198"/>
        </w:trPr>
        <w:tc>
          <w:tcPr>
            <w:tcW w:w="2941" w:type="dxa"/>
            <w:tcBorders>
              <w:top w:val="nil"/>
              <w:left w:val="nil"/>
              <w:bottom w:val="nil"/>
              <w:right w:val="nil"/>
            </w:tcBorders>
            <w:shd w:val="clear" w:color="auto" w:fill="auto"/>
            <w:vAlign w:val="center"/>
          </w:tcPr>
          <w:p w14:paraId="60866EA9" w14:textId="5FB0268D"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Obrigações diversas (1</w:t>
            </w:r>
            <w:r w:rsidR="00416E04">
              <w:rPr>
                <w:rFonts w:ascii="CAIXA Std Book" w:hAnsi="CAIXA Std Book" w:cs="Calibri"/>
                <w:color w:val="005CA9"/>
                <w:sz w:val="13"/>
                <w:szCs w:val="13"/>
              </w:rPr>
              <w:t>3</w:t>
            </w:r>
            <w:r w:rsidRPr="00667139">
              <w:rPr>
                <w:rFonts w:ascii="CAIXA Std Book" w:hAnsi="CAIXA Std Book" w:cs="Calibri"/>
                <w:color w:val="005CA9"/>
                <w:sz w:val="13"/>
                <w:szCs w:val="13"/>
              </w:rPr>
              <w:t>)</w:t>
            </w:r>
          </w:p>
        </w:tc>
        <w:tc>
          <w:tcPr>
            <w:tcW w:w="1028" w:type="dxa"/>
            <w:tcBorders>
              <w:top w:val="nil"/>
              <w:left w:val="nil"/>
              <w:bottom w:val="nil"/>
              <w:right w:val="nil"/>
            </w:tcBorders>
            <w:shd w:val="clear" w:color="auto" w:fill="auto"/>
            <w:noWrap/>
            <w:vAlign w:val="center"/>
          </w:tcPr>
          <w:p w14:paraId="205029C1" w14:textId="45874C4F"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94.804</w:t>
            </w:r>
          </w:p>
        </w:tc>
        <w:tc>
          <w:tcPr>
            <w:tcW w:w="1074" w:type="dxa"/>
            <w:tcBorders>
              <w:top w:val="nil"/>
              <w:left w:val="nil"/>
              <w:bottom w:val="nil"/>
              <w:right w:val="nil"/>
            </w:tcBorders>
            <w:shd w:val="clear" w:color="auto" w:fill="auto"/>
            <w:noWrap/>
            <w:vAlign w:val="center"/>
          </w:tcPr>
          <w:p w14:paraId="3E5E9B38" w14:textId="4D450826"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32.335</w:t>
            </w:r>
          </w:p>
        </w:tc>
        <w:tc>
          <w:tcPr>
            <w:tcW w:w="1121" w:type="dxa"/>
            <w:tcBorders>
              <w:top w:val="nil"/>
              <w:left w:val="nil"/>
              <w:bottom w:val="nil"/>
              <w:right w:val="nil"/>
            </w:tcBorders>
            <w:shd w:val="clear" w:color="auto" w:fill="auto"/>
            <w:noWrap/>
            <w:vAlign w:val="center"/>
          </w:tcPr>
          <w:p w14:paraId="4E757F78" w14:textId="49B0E8DB" w:rsidR="00790B91" w:rsidRPr="00667139" w:rsidRDefault="00790B91" w:rsidP="00893746">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97.379</w:t>
            </w:r>
          </w:p>
        </w:tc>
        <w:tc>
          <w:tcPr>
            <w:tcW w:w="1106" w:type="dxa"/>
            <w:tcBorders>
              <w:top w:val="nil"/>
              <w:left w:val="nil"/>
              <w:bottom w:val="nil"/>
              <w:right w:val="nil"/>
            </w:tcBorders>
            <w:shd w:val="clear" w:color="auto" w:fill="auto"/>
            <w:noWrap/>
            <w:vAlign w:val="center"/>
          </w:tcPr>
          <w:p w14:paraId="0CA80D6B" w14:textId="7AC429C6"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nil"/>
            </w:tcBorders>
            <w:shd w:val="clear" w:color="auto" w:fill="auto"/>
            <w:noWrap/>
            <w:vAlign w:val="center"/>
          </w:tcPr>
          <w:p w14:paraId="261767C9" w14:textId="53F542B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1.734.989</w:t>
            </w:r>
          </w:p>
        </w:tc>
        <w:tc>
          <w:tcPr>
            <w:tcW w:w="1078" w:type="dxa"/>
            <w:tcBorders>
              <w:top w:val="nil"/>
              <w:left w:val="nil"/>
              <w:bottom w:val="nil"/>
              <w:right w:val="nil"/>
            </w:tcBorders>
            <w:shd w:val="clear" w:color="auto" w:fill="auto"/>
            <w:noWrap/>
            <w:vAlign w:val="center"/>
          </w:tcPr>
          <w:p w14:paraId="6AF56069" w14:textId="075BDD43"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415.154</w:t>
            </w:r>
          </w:p>
        </w:tc>
        <w:tc>
          <w:tcPr>
            <w:tcW w:w="1276" w:type="dxa"/>
            <w:tcBorders>
              <w:top w:val="nil"/>
              <w:left w:val="nil"/>
              <w:bottom w:val="nil"/>
              <w:right w:val="nil"/>
            </w:tcBorders>
            <w:shd w:val="clear" w:color="auto" w:fill="auto"/>
            <w:noWrap/>
            <w:vAlign w:val="center"/>
          </w:tcPr>
          <w:p w14:paraId="6280868A" w14:textId="4C7C02F9"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86.346</w:t>
            </w:r>
          </w:p>
        </w:tc>
        <w:tc>
          <w:tcPr>
            <w:tcW w:w="1134" w:type="dxa"/>
            <w:tcBorders>
              <w:top w:val="nil"/>
              <w:left w:val="nil"/>
              <w:bottom w:val="nil"/>
              <w:right w:val="nil"/>
            </w:tcBorders>
            <w:shd w:val="clear" w:color="auto" w:fill="auto"/>
            <w:noWrap/>
            <w:vAlign w:val="center"/>
          </w:tcPr>
          <w:p w14:paraId="77B659A2" w14:textId="08EED791"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nil"/>
              <w:right w:val="nil"/>
            </w:tcBorders>
            <w:shd w:val="clear" w:color="auto" w:fill="auto"/>
            <w:noWrap/>
            <w:vAlign w:val="center"/>
          </w:tcPr>
          <w:p w14:paraId="2999A592" w14:textId="55B9FCDD"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nil"/>
            </w:tcBorders>
            <w:shd w:val="clear" w:color="auto" w:fill="auto"/>
            <w:noWrap/>
            <w:vAlign w:val="center"/>
          </w:tcPr>
          <w:p w14:paraId="0671A67D" w14:textId="6FFAED8B"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1.678.905</w:t>
            </w:r>
          </w:p>
        </w:tc>
      </w:tr>
      <w:tr w:rsidR="00DD7172" w:rsidRPr="00667139" w14:paraId="3A1EBE09" w14:textId="77777777" w:rsidTr="00DC2D46">
        <w:trPr>
          <w:trHeight w:val="198"/>
        </w:trPr>
        <w:tc>
          <w:tcPr>
            <w:tcW w:w="2941" w:type="dxa"/>
            <w:tcBorders>
              <w:top w:val="nil"/>
              <w:left w:val="nil"/>
              <w:bottom w:val="single" w:sz="4" w:space="0" w:color="F39200"/>
              <w:right w:val="nil"/>
            </w:tcBorders>
            <w:shd w:val="clear" w:color="auto" w:fill="auto"/>
            <w:noWrap/>
            <w:vAlign w:val="center"/>
            <w:hideMark/>
          </w:tcPr>
          <w:p w14:paraId="6F0AD567" w14:textId="0CE21000" w:rsidR="00790B91" w:rsidRPr="00667139" w:rsidRDefault="00790B91" w:rsidP="00790B91">
            <w:pPr>
              <w:contextualSpacing/>
              <w:rPr>
                <w:rFonts w:ascii="CAIXA Std Book" w:hAnsi="CAIXA Std Book" w:cs="Calibri"/>
                <w:color w:val="005CA9"/>
                <w:sz w:val="13"/>
                <w:szCs w:val="13"/>
              </w:rPr>
            </w:pPr>
            <w:r w:rsidRPr="00667139">
              <w:rPr>
                <w:rFonts w:ascii="CAIXA Std Book" w:hAnsi="CAIXA Std Book" w:cs="Calibri"/>
                <w:color w:val="005CA9"/>
                <w:sz w:val="13"/>
                <w:szCs w:val="13"/>
              </w:rPr>
              <w:t>Outros passivos financeiros (1</w:t>
            </w:r>
            <w:r w:rsidR="00416E04">
              <w:rPr>
                <w:rFonts w:ascii="CAIXA Std Book" w:hAnsi="CAIXA Std Book" w:cs="Calibri"/>
                <w:color w:val="005CA9"/>
                <w:sz w:val="13"/>
                <w:szCs w:val="13"/>
              </w:rPr>
              <w:t>4</w:t>
            </w:r>
            <w:r w:rsidRPr="00667139">
              <w:rPr>
                <w:rFonts w:ascii="CAIXA Std Book" w:hAnsi="CAIXA Std Book" w:cs="Calibri"/>
                <w:color w:val="005CA9"/>
                <w:sz w:val="13"/>
                <w:szCs w:val="13"/>
              </w:rPr>
              <w:t>)</w:t>
            </w:r>
          </w:p>
        </w:tc>
        <w:tc>
          <w:tcPr>
            <w:tcW w:w="1028" w:type="dxa"/>
            <w:tcBorders>
              <w:top w:val="nil"/>
              <w:left w:val="nil"/>
              <w:bottom w:val="single" w:sz="4" w:space="0" w:color="F39200"/>
              <w:right w:val="nil"/>
            </w:tcBorders>
            <w:shd w:val="clear" w:color="auto" w:fill="auto"/>
            <w:noWrap/>
            <w:vAlign w:val="center"/>
          </w:tcPr>
          <w:p w14:paraId="0DA9D066" w14:textId="7B2BE64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127.887</w:t>
            </w:r>
          </w:p>
        </w:tc>
        <w:tc>
          <w:tcPr>
            <w:tcW w:w="1074" w:type="dxa"/>
            <w:tcBorders>
              <w:top w:val="nil"/>
              <w:left w:val="nil"/>
              <w:bottom w:val="single" w:sz="4" w:space="0" w:color="F39200"/>
              <w:right w:val="nil"/>
            </w:tcBorders>
            <w:shd w:val="clear" w:color="auto" w:fill="auto"/>
            <w:noWrap/>
            <w:vAlign w:val="center"/>
          </w:tcPr>
          <w:p w14:paraId="46AC95D2" w14:textId="06EE2EDA"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21" w:type="dxa"/>
            <w:tcBorders>
              <w:top w:val="nil"/>
              <w:left w:val="nil"/>
              <w:bottom w:val="single" w:sz="4" w:space="0" w:color="F39200"/>
              <w:right w:val="nil"/>
            </w:tcBorders>
            <w:shd w:val="clear" w:color="auto" w:fill="auto"/>
            <w:noWrap/>
            <w:vAlign w:val="center"/>
          </w:tcPr>
          <w:p w14:paraId="65FC7F0A" w14:textId="5173FD5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106" w:type="dxa"/>
            <w:tcBorders>
              <w:top w:val="nil"/>
              <w:left w:val="nil"/>
              <w:bottom w:val="single" w:sz="4" w:space="0" w:color="F39200"/>
              <w:right w:val="nil"/>
            </w:tcBorders>
            <w:shd w:val="clear" w:color="auto" w:fill="auto"/>
            <w:noWrap/>
            <w:vAlign w:val="center"/>
          </w:tcPr>
          <w:p w14:paraId="22A29619" w14:textId="07141102"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1291" w:type="dxa"/>
            <w:tcBorders>
              <w:top w:val="nil"/>
              <w:left w:val="nil"/>
              <w:bottom w:val="single" w:sz="4" w:space="0" w:color="F39200"/>
            </w:tcBorders>
            <w:shd w:val="clear" w:color="auto" w:fill="auto"/>
            <w:noWrap/>
            <w:vAlign w:val="center"/>
          </w:tcPr>
          <w:p w14:paraId="52651366" w14:textId="6D215E48"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Pr>
                <w:rFonts w:ascii="CAIXA Std Book" w:hAnsi="CAIXA Std Book" w:cs="Calibri"/>
                <w:color w:val="005CA9"/>
                <w:sz w:val="13"/>
                <w:szCs w:val="13"/>
              </w:rPr>
              <w:t>1.913.928</w:t>
            </w:r>
          </w:p>
        </w:tc>
        <w:tc>
          <w:tcPr>
            <w:tcW w:w="1078" w:type="dxa"/>
            <w:tcBorders>
              <w:top w:val="nil"/>
              <w:left w:val="nil"/>
              <w:bottom w:val="single" w:sz="4" w:space="0" w:color="F39200"/>
              <w:right w:val="nil"/>
            </w:tcBorders>
            <w:shd w:val="clear" w:color="auto" w:fill="auto"/>
            <w:noWrap/>
            <w:vAlign w:val="center"/>
          </w:tcPr>
          <w:p w14:paraId="0AA6137D" w14:textId="6C542230"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129.305</w:t>
            </w:r>
          </w:p>
        </w:tc>
        <w:tc>
          <w:tcPr>
            <w:tcW w:w="1276" w:type="dxa"/>
            <w:tcBorders>
              <w:top w:val="nil"/>
              <w:left w:val="nil"/>
              <w:bottom w:val="single" w:sz="4" w:space="0" w:color="F39200"/>
              <w:right w:val="nil"/>
            </w:tcBorders>
            <w:shd w:val="clear" w:color="auto" w:fill="auto"/>
            <w:noWrap/>
            <w:vAlign w:val="center"/>
          </w:tcPr>
          <w:p w14:paraId="20465750" w14:textId="75D67331"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459054AE" w14:textId="1BB13C26"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4D0D6F07" w14:textId="076386E4" w:rsidR="00790B91" w:rsidRPr="00667139" w:rsidRDefault="00790B91" w:rsidP="00790B91">
            <w:pPr>
              <w:spacing w:before="100" w:beforeAutospacing="1" w:after="100" w:afterAutospacing="1"/>
              <w:jc w:val="center"/>
              <w:rPr>
                <w:rFonts w:ascii="CAIXA Std Book" w:hAnsi="CAIXA Std Book" w:cs="Calibri"/>
                <w:color w:val="005CA9"/>
                <w:sz w:val="13"/>
                <w:szCs w:val="13"/>
              </w:rPr>
            </w:pPr>
            <w:r w:rsidRPr="00667139">
              <w:rPr>
                <w:rFonts w:ascii="CAIXA Std Book" w:hAnsi="CAIXA Std Book" w:cs="Arial"/>
                <w:color w:val="005CA9"/>
                <w:sz w:val="13"/>
                <w:szCs w:val="13"/>
              </w:rPr>
              <w:t>-</w:t>
            </w:r>
          </w:p>
        </w:tc>
        <w:tc>
          <w:tcPr>
            <w:tcW w:w="1277" w:type="dxa"/>
            <w:tcBorders>
              <w:top w:val="nil"/>
              <w:left w:val="nil"/>
              <w:bottom w:val="single" w:sz="4" w:space="0" w:color="F39200"/>
            </w:tcBorders>
            <w:shd w:val="clear" w:color="auto" w:fill="auto"/>
            <w:noWrap/>
            <w:vAlign w:val="center"/>
          </w:tcPr>
          <w:p w14:paraId="176934E4" w14:textId="335304EB" w:rsidR="00790B91" w:rsidRPr="00667139" w:rsidRDefault="00790B91" w:rsidP="00790B91">
            <w:pPr>
              <w:spacing w:before="100" w:beforeAutospacing="1" w:after="100" w:afterAutospacing="1"/>
              <w:jc w:val="right"/>
              <w:rPr>
                <w:rFonts w:ascii="CAIXA Std Book" w:hAnsi="CAIXA Std Book" w:cs="Calibri"/>
                <w:color w:val="005CA9"/>
                <w:sz w:val="13"/>
                <w:szCs w:val="13"/>
              </w:rPr>
            </w:pPr>
            <w:r w:rsidRPr="00667139">
              <w:rPr>
                <w:rFonts w:ascii="CAIXA Std Book" w:hAnsi="CAIXA Std Book" w:cs="Arial"/>
                <w:color w:val="005CA9"/>
                <w:sz w:val="13"/>
                <w:szCs w:val="13"/>
              </w:rPr>
              <w:t>1.986.263</w:t>
            </w:r>
          </w:p>
        </w:tc>
      </w:tr>
      <w:tr w:rsidR="00DD7172" w:rsidRPr="00667139" w14:paraId="7EE85A18" w14:textId="77777777" w:rsidTr="00DC2D46">
        <w:trPr>
          <w:trHeight w:val="198"/>
        </w:trPr>
        <w:tc>
          <w:tcPr>
            <w:tcW w:w="2941" w:type="dxa"/>
            <w:tcBorders>
              <w:top w:val="nil"/>
              <w:left w:val="nil"/>
              <w:bottom w:val="single" w:sz="4" w:space="0" w:color="F39200"/>
              <w:right w:val="nil"/>
            </w:tcBorders>
            <w:shd w:val="clear" w:color="auto" w:fill="auto"/>
            <w:noWrap/>
            <w:vAlign w:val="center"/>
          </w:tcPr>
          <w:p w14:paraId="486D2361" w14:textId="44D06EAA" w:rsidR="00790B91" w:rsidRPr="00667139" w:rsidRDefault="00790B91" w:rsidP="00790B91">
            <w:pPr>
              <w:spacing w:before="100" w:beforeAutospacing="1" w:after="100" w:afterAutospacing="1"/>
              <w:rPr>
                <w:rFonts w:ascii="CAIXA Std Book" w:hAnsi="CAIXA Std Book" w:cs="Symbol"/>
                <w:b/>
                <w:color w:val="005CA9"/>
                <w:sz w:val="13"/>
                <w:szCs w:val="13"/>
              </w:rPr>
            </w:pPr>
            <w:r w:rsidRPr="00667139">
              <w:rPr>
                <w:rFonts w:ascii="CAIXA Std Book" w:hAnsi="CAIXA Std Book" w:cs="Calibri"/>
                <w:b/>
                <w:bCs/>
                <w:color w:val="005CA9"/>
                <w:sz w:val="13"/>
                <w:szCs w:val="13"/>
              </w:rPr>
              <w:t>Garantias recebidas (1</w:t>
            </w:r>
            <w:r w:rsidR="00416E04">
              <w:rPr>
                <w:rFonts w:ascii="CAIXA Std Book" w:hAnsi="CAIXA Std Book" w:cs="Calibri"/>
                <w:b/>
                <w:bCs/>
                <w:color w:val="005CA9"/>
                <w:sz w:val="13"/>
                <w:szCs w:val="13"/>
              </w:rPr>
              <w:t>5</w:t>
            </w:r>
            <w:r w:rsidRPr="00667139">
              <w:rPr>
                <w:rFonts w:ascii="CAIXA Std Book" w:hAnsi="CAIXA Std Book" w:cs="Calibri"/>
                <w:b/>
                <w:bCs/>
                <w:color w:val="005CA9"/>
                <w:sz w:val="13"/>
                <w:szCs w:val="13"/>
              </w:rPr>
              <w:t>)</w:t>
            </w:r>
          </w:p>
        </w:tc>
        <w:tc>
          <w:tcPr>
            <w:tcW w:w="1028" w:type="dxa"/>
            <w:tcBorders>
              <w:top w:val="nil"/>
              <w:left w:val="nil"/>
              <w:bottom w:val="single" w:sz="4" w:space="0" w:color="F39200"/>
              <w:right w:val="nil"/>
            </w:tcBorders>
            <w:shd w:val="clear" w:color="auto" w:fill="auto"/>
            <w:noWrap/>
            <w:vAlign w:val="center"/>
          </w:tcPr>
          <w:p w14:paraId="1DF31E5A" w14:textId="310DB076"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20.619</w:t>
            </w:r>
          </w:p>
        </w:tc>
        <w:tc>
          <w:tcPr>
            <w:tcW w:w="1074" w:type="dxa"/>
            <w:tcBorders>
              <w:top w:val="nil"/>
              <w:left w:val="nil"/>
              <w:bottom w:val="single" w:sz="4" w:space="0" w:color="F39200"/>
              <w:right w:val="nil"/>
            </w:tcBorders>
            <w:shd w:val="clear" w:color="auto" w:fill="auto"/>
            <w:noWrap/>
            <w:vAlign w:val="center"/>
          </w:tcPr>
          <w:p w14:paraId="12E01B92" w14:textId="6B1BD510"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121" w:type="dxa"/>
            <w:tcBorders>
              <w:top w:val="nil"/>
              <w:left w:val="nil"/>
              <w:bottom w:val="single" w:sz="4" w:space="0" w:color="F39200"/>
              <w:right w:val="nil"/>
            </w:tcBorders>
            <w:shd w:val="clear" w:color="auto" w:fill="auto"/>
            <w:noWrap/>
            <w:vAlign w:val="center"/>
          </w:tcPr>
          <w:p w14:paraId="3A8E5E58" w14:textId="46EACCF6"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106" w:type="dxa"/>
            <w:tcBorders>
              <w:top w:val="nil"/>
              <w:left w:val="nil"/>
              <w:bottom w:val="single" w:sz="4" w:space="0" w:color="F39200"/>
              <w:right w:val="nil"/>
            </w:tcBorders>
            <w:shd w:val="clear" w:color="auto" w:fill="auto"/>
            <w:noWrap/>
            <w:vAlign w:val="center"/>
          </w:tcPr>
          <w:p w14:paraId="02C6398D" w14:textId="18B484E2"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297.659</w:t>
            </w:r>
          </w:p>
        </w:tc>
        <w:tc>
          <w:tcPr>
            <w:tcW w:w="1291" w:type="dxa"/>
            <w:tcBorders>
              <w:top w:val="nil"/>
              <w:left w:val="nil"/>
              <w:bottom w:val="single" w:sz="4" w:space="0" w:color="F39200"/>
            </w:tcBorders>
            <w:shd w:val="clear" w:color="auto" w:fill="auto"/>
            <w:noWrap/>
            <w:vAlign w:val="center"/>
          </w:tcPr>
          <w:p w14:paraId="099A9910" w14:textId="105AFB8C"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7.271.472</w:t>
            </w:r>
          </w:p>
        </w:tc>
        <w:tc>
          <w:tcPr>
            <w:tcW w:w="1078" w:type="dxa"/>
            <w:tcBorders>
              <w:top w:val="nil"/>
              <w:left w:val="nil"/>
              <w:bottom w:val="single" w:sz="4" w:space="0" w:color="F39200"/>
              <w:right w:val="nil"/>
            </w:tcBorders>
            <w:shd w:val="clear" w:color="auto" w:fill="auto"/>
            <w:noWrap/>
            <w:vAlign w:val="center"/>
          </w:tcPr>
          <w:p w14:paraId="0AEEAF31" w14:textId="3E359A6C"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110.202</w:t>
            </w:r>
          </w:p>
        </w:tc>
        <w:tc>
          <w:tcPr>
            <w:tcW w:w="1276" w:type="dxa"/>
            <w:tcBorders>
              <w:top w:val="nil"/>
              <w:left w:val="nil"/>
              <w:bottom w:val="single" w:sz="4" w:space="0" w:color="F39200"/>
              <w:right w:val="nil"/>
            </w:tcBorders>
            <w:shd w:val="clear" w:color="auto" w:fill="auto"/>
            <w:noWrap/>
            <w:vAlign w:val="center"/>
          </w:tcPr>
          <w:p w14:paraId="01C3B400" w14:textId="153B33C2"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4BDD19FA" w14:textId="1AA11419"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7C3A64AD" w14:textId="24271C63"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293.010</w:t>
            </w:r>
          </w:p>
        </w:tc>
        <w:tc>
          <w:tcPr>
            <w:tcW w:w="1277" w:type="dxa"/>
            <w:tcBorders>
              <w:top w:val="nil"/>
              <w:left w:val="nil"/>
              <w:bottom w:val="single" w:sz="4" w:space="0" w:color="F39200"/>
            </w:tcBorders>
            <w:shd w:val="clear" w:color="auto" w:fill="auto"/>
            <w:noWrap/>
            <w:vAlign w:val="center"/>
          </w:tcPr>
          <w:p w14:paraId="673532BD" w14:textId="33060881"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3.468.572</w:t>
            </w:r>
          </w:p>
        </w:tc>
      </w:tr>
      <w:tr w:rsidR="00DD7172" w:rsidRPr="00667139" w14:paraId="7FB86012" w14:textId="77777777" w:rsidTr="00DC2D46">
        <w:trPr>
          <w:trHeight w:val="198"/>
        </w:trPr>
        <w:tc>
          <w:tcPr>
            <w:tcW w:w="2941" w:type="dxa"/>
            <w:tcBorders>
              <w:top w:val="nil"/>
              <w:left w:val="nil"/>
              <w:bottom w:val="single" w:sz="4" w:space="0" w:color="F39200"/>
              <w:right w:val="nil"/>
            </w:tcBorders>
            <w:shd w:val="clear" w:color="auto" w:fill="auto"/>
            <w:noWrap/>
            <w:vAlign w:val="center"/>
            <w:hideMark/>
          </w:tcPr>
          <w:p w14:paraId="32D537F7" w14:textId="238EC0A3" w:rsidR="00790B91" w:rsidRPr="00667139" w:rsidRDefault="00790B91" w:rsidP="00790B91">
            <w:pPr>
              <w:spacing w:before="100" w:beforeAutospacing="1" w:after="100" w:afterAutospacing="1"/>
              <w:rPr>
                <w:rFonts w:ascii="CAIXA Std Book" w:hAnsi="CAIXA Std Book"/>
                <w:b/>
                <w:color w:val="005CA9"/>
                <w:sz w:val="13"/>
                <w:szCs w:val="13"/>
              </w:rPr>
            </w:pPr>
            <w:r w:rsidRPr="00667139">
              <w:rPr>
                <w:rFonts w:ascii="CAIXA Std Book" w:hAnsi="CAIXA Std Book" w:cs="Calibri"/>
                <w:b/>
                <w:bCs/>
                <w:color w:val="005CA9"/>
                <w:sz w:val="13"/>
                <w:szCs w:val="13"/>
              </w:rPr>
              <w:t>Garantias prestadas (1</w:t>
            </w:r>
            <w:r w:rsidR="00416E04">
              <w:rPr>
                <w:rFonts w:ascii="CAIXA Std Book" w:hAnsi="CAIXA Std Book" w:cs="Calibri"/>
                <w:b/>
                <w:bCs/>
                <w:color w:val="005CA9"/>
                <w:sz w:val="13"/>
                <w:szCs w:val="13"/>
              </w:rPr>
              <w:t>6</w:t>
            </w:r>
            <w:r w:rsidRPr="00667139">
              <w:rPr>
                <w:rFonts w:ascii="CAIXA Std Book" w:hAnsi="CAIXA Std Book" w:cs="Calibri"/>
                <w:b/>
                <w:bCs/>
                <w:color w:val="005CA9"/>
                <w:sz w:val="13"/>
                <w:szCs w:val="13"/>
              </w:rPr>
              <w:t>)</w:t>
            </w:r>
          </w:p>
        </w:tc>
        <w:tc>
          <w:tcPr>
            <w:tcW w:w="1028" w:type="dxa"/>
            <w:tcBorders>
              <w:top w:val="nil"/>
              <w:left w:val="nil"/>
              <w:bottom w:val="single" w:sz="4" w:space="0" w:color="F39200"/>
              <w:right w:val="nil"/>
            </w:tcBorders>
            <w:shd w:val="clear" w:color="auto" w:fill="auto"/>
            <w:noWrap/>
            <w:vAlign w:val="center"/>
          </w:tcPr>
          <w:p w14:paraId="38D0D247" w14:textId="388D2659"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074" w:type="dxa"/>
            <w:tcBorders>
              <w:top w:val="nil"/>
              <w:left w:val="nil"/>
              <w:bottom w:val="single" w:sz="4" w:space="0" w:color="F39200"/>
              <w:right w:val="nil"/>
            </w:tcBorders>
            <w:shd w:val="clear" w:color="auto" w:fill="auto"/>
            <w:noWrap/>
            <w:vAlign w:val="center"/>
          </w:tcPr>
          <w:p w14:paraId="3E1FB593" w14:textId="4B0DE160"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121" w:type="dxa"/>
            <w:tcBorders>
              <w:top w:val="nil"/>
              <w:left w:val="nil"/>
              <w:bottom w:val="single" w:sz="4" w:space="0" w:color="F39200"/>
              <w:right w:val="nil"/>
            </w:tcBorders>
            <w:shd w:val="clear" w:color="auto" w:fill="auto"/>
            <w:noWrap/>
            <w:vAlign w:val="center"/>
          </w:tcPr>
          <w:p w14:paraId="6185A2B0" w14:textId="0945A6AF"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106" w:type="dxa"/>
            <w:tcBorders>
              <w:top w:val="nil"/>
              <w:left w:val="nil"/>
              <w:bottom w:val="single" w:sz="4" w:space="0" w:color="F39200"/>
              <w:right w:val="nil"/>
            </w:tcBorders>
            <w:shd w:val="clear" w:color="auto" w:fill="auto"/>
            <w:noWrap/>
            <w:vAlign w:val="center"/>
          </w:tcPr>
          <w:p w14:paraId="5EBF356B" w14:textId="4DD4A56D" w:rsidR="00790B91" w:rsidRPr="00667139" w:rsidRDefault="00790B91" w:rsidP="00790B91">
            <w:pPr>
              <w:spacing w:before="100" w:beforeAutospacing="1" w:after="100" w:afterAutospacing="1"/>
              <w:jc w:val="center"/>
              <w:rPr>
                <w:rFonts w:ascii="CAIXA Std Book" w:hAnsi="CAIXA Std Book" w:cs="Calibri"/>
                <w:b/>
                <w:bCs/>
                <w:color w:val="005CA9"/>
                <w:sz w:val="13"/>
                <w:szCs w:val="13"/>
              </w:rPr>
            </w:pPr>
            <w:r>
              <w:rPr>
                <w:rFonts w:ascii="CAIXA Std Book" w:hAnsi="CAIXA Std Book" w:cs="Calibri"/>
                <w:color w:val="005CA9"/>
                <w:sz w:val="13"/>
                <w:szCs w:val="13"/>
              </w:rPr>
              <w:t>-</w:t>
            </w:r>
          </w:p>
        </w:tc>
        <w:tc>
          <w:tcPr>
            <w:tcW w:w="1291" w:type="dxa"/>
            <w:tcBorders>
              <w:top w:val="nil"/>
              <w:left w:val="nil"/>
              <w:bottom w:val="single" w:sz="4" w:space="0" w:color="F39200"/>
            </w:tcBorders>
            <w:shd w:val="clear" w:color="auto" w:fill="auto"/>
            <w:noWrap/>
            <w:vAlign w:val="center"/>
          </w:tcPr>
          <w:p w14:paraId="687130E5" w14:textId="00B160C2" w:rsidR="00790B91" w:rsidRPr="00667139" w:rsidRDefault="00790B91" w:rsidP="00790B91">
            <w:pPr>
              <w:spacing w:before="100" w:beforeAutospacing="1" w:after="100" w:afterAutospacing="1"/>
              <w:jc w:val="right"/>
              <w:rPr>
                <w:rFonts w:ascii="CAIXA Std Book" w:hAnsi="CAIXA Std Book" w:cs="Calibri"/>
                <w:b/>
                <w:bCs/>
                <w:color w:val="005CA9"/>
                <w:sz w:val="13"/>
                <w:szCs w:val="13"/>
              </w:rPr>
            </w:pPr>
            <w:r>
              <w:rPr>
                <w:rFonts w:ascii="CAIXA Std Book" w:hAnsi="CAIXA Std Book" w:cs="Calibri"/>
                <w:b/>
                <w:bCs/>
                <w:color w:val="005CA9"/>
                <w:sz w:val="13"/>
                <w:szCs w:val="13"/>
              </w:rPr>
              <w:t>30.614.697</w:t>
            </w:r>
          </w:p>
        </w:tc>
        <w:tc>
          <w:tcPr>
            <w:tcW w:w="1078" w:type="dxa"/>
            <w:tcBorders>
              <w:top w:val="nil"/>
              <w:left w:val="nil"/>
              <w:bottom w:val="single" w:sz="4" w:space="0" w:color="F39200"/>
              <w:right w:val="nil"/>
            </w:tcBorders>
            <w:shd w:val="clear" w:color="auto" w:fill="auto"/>
            <w:noWrap/>
            <w:vAlign w:val="center"/>
          </w:tcPr>
          <w:p w14:paraId="596DB807" w14:textId="4A2265F0"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276" w:type="dxa"/>
            <w:tcBorders>
              <w:top w:val="nil"/>
              <w:left w:val="nil"/>
              <w:bottom w:val="single" w:sz="4" w:space="0" w:color="F39200"/>
              <w:right w:val="nil"/>
            </w:tcBorders>
            <w:shd w:val="clear" w:color="auto" w:fill="auto"/>
            <w:noWrap/>
            <w:vAlign w:val="center"/>
          </w:tcPr>
          <w:p w14:paraId="6139C187" w14:textId="2DFC385B"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7FC241D7" w14:textId="7771716F"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134" w:type="dxa"/>
            <w:tcBorders>
              <w:top w:val="nil"/>
              <w:left w:val="nil"/>
              <w:bottom w:val="single" w:sz="4" w:space="0" w:color="F39200"/>
              <w:right w:val="nil"/>
            </w:tcBorders>
            <w:shd w:val="clear" w:color="auto" w:fill="auto"/>
            <w:noWrap/>
            <w:vAlign w:val="center"/>
          </w:tcPr>
          <w:p w14:paraId="5A64C13A" w14:textId="32D15B65" w:rsidR="00790B91" w:rsidRPr="00667139" w:rsidRDefault="00790B91" w:rsidP="00790B91">
            <w:pPr>
              <w:spacing w:before="100" w:beforeAutospacing="1" w:after="100" w:afterAutospacing="1"/>
              <w:jc w:val="center"/>
              <w:rPr>
                <w:rFonts w:ascii="CAIXA Std Book" w:hAnsi="CAIXA Std Book" w:cs="Calibri"/>
                <w:b/>
                <w:color w:val="005CA9"/>
                <w:sz w:val="13"/>
                <w:szCs w:val="13"/>
              </w:rPr>
            </w:pPr>
            <w:r w:rsidRPr="00667139">
              <w:rPr>
                <w:rFonts w:ascii="CAIXA Std Book" w:hAnsi="CAIXA Std Book" w:cs="Arial"/>
                <w:b/>
                <w:bCs/>
                <w:color w:val="005CA9"/>
                <w:sz w:val="13"/>
                <w:szCs w:val="13"/>
              </w:rPr>
              <w:t>-</w:t>
            </w:r>
          </w:p>
        </w:tc>
        <w:tc>
          <w:tcPr>
            <w:tcW w:w="1277" w:type="dxa"/>
            <w:tcBorders>
              <w:top w:val="nil"/>
              <w:left w:val="nil"/>
              <w:bottom w:val="single" w:sz="4" w:space="0" w:color="F39200"/>
            </w:tcBorders>
            <w:shd w:val="clear" w:color="auto" w:fill="auto"/>
            <w:noWrap/>
            <w:vAlign w:val="center"/>
          </w:tcPr>
          <w:p w14:paraId="6655AC1A" w14:textId="747D3205" w:rsidR="00790B91" w:rsidRPr="00667139" w:rsidRDefault="00790B91" w:rsidP="00790B91">
            <w:pPr>
              <w:spacing w:before="100" w:beforeAutospacing="1" w:after="100" w:afterAutospacing="1"/>
              <w:jc w:val="right"/>
              <w:rPr>
                <w:rFonts w:ascii="CAIXA Std Book" w:hAnsi="CAIXA Std Book" w:cs="Calibri"/>
                <w:b/>
                <w:color w:val="005CA9"/>
                <w:sz w:val="13"/>
                <w:szCs w:val="13"/>
              </w:rPr>
            </w:pPr>
            <w:r w:rsidRPr="00667139">
              <w:rPr>
                <w:rFonts w:ascii="CAIXA Std Book" w:hAnsi="CAIXA Std Book" w:cs="Arial"/>
                <w:b/>
                <w:bCs/>
                <w:color w:val="005CA9"/>
                <w:sz w:val="13"/>
                <w:szCs w:val="13"/>
              </w:rPr>
              <w:t>30.941.504</w:t>
            </w:r>
          </w:p>
        </w:tc>
      </w:tr>
    </w:tbl>
    <w:p w14:paraId="57897B8A" w14:textId="381C7EC6" w:rsidR="002540F6"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1</w:t>
      </w:r>
      <w:r w:rsidRPr="00AF3F6E">
        <w:rPr>
          <w:rFonts w:ascii="CAIXA Std Book" w:hAnsi="CAIXA Std Book" w:cs="Calibri"/>
          <w:color w:val="005CA9"/>
          <w:sz w:val="12"/>
          <w:szCs w:val="12"/>
        </w:rPr>
        <w:t xml:space="preserve">) </w:t>
      </w:r>
      <w:r w:rsidR="00B040EA">
        <w:rPr>
          <w:rFonts w:ascii="CAIXA Std Book" w:hAnsi="CAIXA Std Book" w:cs="Calibri"/>
          <w:color w:val="005CA9"/>
          <w:sz w:val="12"/>
          <w:szCs w:val="12"/>
        </w:rPr>
        <w:t xml:space="preserve">Valores </w:t>
      </w:r>
      <w:r w:rsidR="006D483F">
        <w:rPr>
          <w:rFonts w:ascii="CAIXA Std Book" w:hAnsi="CAIXA Std Book" w:cs="Calibri"/>
          <w:color w:val="005CA9"/>
          <w:sz w:val="12"/>
          <w:szCs w:val="12"/>
        </w:rPr>
        <w:t>por</w:t>
      </w:r>
      <w:r w:rsidRPr="00AF3F6E">
        <w:rPr>
          <w:rFonts w:ascii="CAIXA Std Book" w:hAnsi="CAIXA Std Book" w:cs="Calibri"/>
          <w:color w:val="005CA9"/>
          <w:sz w:val="12"/>
          <w:szCs w:val="12"/>
        </w:rPr>
        <w:t xml:space="preserve"> contratos</w:t>
      </w:r>
      <w:r>
        <w:rPr>
          <w:rFonts w:ascii="CAIXA Std Book" w:hAnsi="CAIXA Std Book" w:cs="Calibri"/>
          <w:color w:val="005CA9"/>
          <w:sz w:val="12"/>
          <w:szCs w:val="12"/>
        </w:rPr>
        <w:t xml:space="preserve"> com a TecBan, </w:t>
      </w:r>
      <w:r w:rsidR="006D483F">
        <w:rPr>
          <w:rFonts w:ascii="CAIXA Std Book" w:hAnsi="CAIXA Std Book" w:cs="Calibri"/>
          <w:color w:val="005CA9"/>
          <w:sz w:val="12"/>
          <w:szCs w:val="12"/>
        </w:rPr>
        <w:t>relativos a disponibilidades</w:t>
      </w:r>
      <w:r>
        <w:rPr>
          <w:rFonts w:ascii="CAIXA Std Book" w:hAnsi="CAIXA Std Book" w:cs="Calibri"/>
          <w:color w:val="005CA9"/>
          <w:sz w:val="12"/>
          <w:szCs w:val="12"/>
        </w:rPr>
        <w:t xml:space="preserve"> em canais de atendimento da rede Banco24Horas</w:t>
      </w:r>
      <w:r w:rsidRPr="00AF3F6E">
        <w:rPr>
          <w:rFonts w:ascii="CAIXA Std Book" w:hAnsi="CAIXA Std Book" w:cs="Calibri"/>
          <w:color w:val="005CA9"/>
          <w:sz w:val="12"/>
          <w:szCs w:val="12"/>
        </w:rPr>
        <w:t>.</w:t>
      </w:r>
    </w:p>
    <w:p w14:paraId="5055310D" w14:textId="3A898319"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2</w:t>
      </w:r>
      <w:r w:rsidRPr="00AF3F6E">
        <w:rPr>
          <w:rFonts w:ascii="CAIXA Std Book" w:hAnsi="CAIXA Std Book" w:cs="Calibri"/>
          <w:color w:val="005CA9"/>
          <w:sz w:val="12"/>
          <w:szCs w:val="12"/>
        </w:rPr>
        <w:t xml:space="preserve">) </w:t>
      </w:r>
      <w:r>
        <w:rPr>
          <w:rFonts w:ascii="CAIXA Std Book" w:hAnsi="CAIXA Std Book" w:cs="Calibri"/>
          <w:color w:val="005CA9"/>
          <w:sz w:val="12"/>
          <w:szCs w:val="12"/>
        </w:rPr>
        <w:t>T</w:t>
      </w:r>
      <w:r w:rsidRPr="00AF3F6E">
        <w:rPr>
          <w:rFonts w:ascii="CAIXA Std Book" w:hAnsi="CAIXA Std Book" w:cs="Calibri"/>
          <w:color w:val="005CA9"/>
          <w:sz w:val="12"/>
          <w:szCs w:val="12"/>
        </w:rPr>
        <w:t xml:space="preserve">ítulos </w:t>
      </w:r>
      <w:r>
        <w:rPr>
          <w:rFonts w:ascii="CAIXA Std Book" w:hAnsi="CAIXA Std Book" w:cs="Calibri"/>
          <w:color w:val="005CA9"/>
          <w:sz w:val="12"/>
          <w:szCs w:val="12"/>
        </w:rPr>
        <w:t>P</w:t>
      </w:r>
      <w:r w:rsidRPr="00AF3F6E">
        <w:rPr>
          <w:rFonts w:ascii="CAIXA Std Book" w:hAnsi="CAIXA Std Book" w:cs="Calibri"/>
          <w:color w:val="005CA9"/>
          <w:sz w:val="12"/>
          <w:szCs w:val="12"/>
        </w:rPr>
        <w:t xml:space="preserve">úblicos </w:t>
      </w:r>
      <w:r>
        <w:rPr>
          <w:rFonts w:ascii="CAIXA Std Book" w:hAnsi="CAIXA Std Book" w:cs="Calibri"/>
          <w:color w:val="005CA9"/>
          <w:sz w:val="12"/>
          <w:szCs w:val="12"/>
        </w:rPr>
        <w:t>F</w:t>
      </w:r>
      <w:r w:rsidRPr="00AF3F6E">
        <w:rPr>
          <w:rFonts w:ascii="CAIXA Std Book" w:hAnsi="CAIXA Std Book" w:cs="Calibri"/>
          <w:color w:val="005CA9"/>
          <w:sz w:val="12"/>
          <w:szCs w:val="12"/>
        </w:rPr>
        <w:t>ederais</w:t>
      </w:r>
      <w:r>
        <w:rPr>
          <w:rFonts w:ascii="CAIXA Std Book" w:hAnsi="CAIXA Std Book" w:cs="Calibri"/>
          <w:color w:val="005CA9"/>
          <w:sz w:val="12"/>
          <w:szCs w:val="12"/>
        </w:rPr>
        <w:t xml:space="preserve"> (Controladora), </w:t>
      </w:r>
      <w:r w:rsidRPr="00AF3F6E">
        <w:rPr>
          <w:rFonts w:ascii="CAIXA Std Book" w:hAnsi="CAIXA Std Book" w:cs="Calibri"/>
          <w:color w:val="005CA9"/>
          <w:sz w:val="12"/>
          <w:szCs w:val="12"/>
        </w:rPr>
        <w:t>conforme Nota 7(a)</w:t>
      </w:r>
      <w:r>
        <w:rPr>
          <w:rFonts w:ascii="CAIXA Std Book" w:hAnsi="CAIXA Std Book" w:cs="Calibri"/>
          <w:color w:val="005CA9"/>
          <w:sz w:val="12"/>
          <w:szCs w:val="12"/>
        </w:rPr>
        <w:t xml:space="preserve">, e aplicações em cotas do FIDC ACR IV (Controlada), </w:t>
      </w:r>
      <w:proofErr w:type="spellStart"/>
      <w:r>
        <w:rPr>
          <w:rFonts w:ascii="CAIXA Std Book" w:hAnsi="CAIXA Std Book" w:cs="Calibri"/>
          <w:color w:val="005CA9"/>
          <w:sz w:val="12"/>
          <w:szCs w:val="12"/>
        </w:rPr>
        <w:t>FGHab</w:t>
      </w:r>
      <w:proofErr w:type="spellEnd"/>
      <w:r>
        <w:rPr>
          <w:rFonts w:ascii="CAIXA Std Book" w:hAnsi="CAIXA Std Book" w:cs="Calibri"/>
          <w:color w:val="005CA9"/>
          <w:sz w:val="12"/>
          <w:szCs w:val="12"/>
        </w:rPr>
        <w:t xml:space="preserve"> e FGI (Outras entidades)</w:t>
      </w:r>
      <w:r w:rsidRPr="00AF3F6E">
        <w:rPr>
          <w:rFonts w:ascii="CAIXA Std Book" w:hAnsi="CAIXA Std Book" w:cs="Calibri"/>
          <w:color w:val="005CA9"/>
          <w:sz w:val="12"/>
          <w:szCs w:val="12"/>
        </w:rPr>
        <w:t>.</w:t>
      </w:r>
    </w:p>
    <w:p w14:paraId="6F47AA58"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3</w:t>
      </w:r>
      <w:r w:rsidRPr="00AF3F6E">
        <w:rPr>
          <w:rFonts w:ascii="CAIXA Std Book" w:hAnsi="CAIXA Std Book" w:cs="Calibri"/>
          <w:color w:val="005CA9"/>
          <w:sz w:val="12"/>
          <w:szCs w:val="12"/>
        </w:rPr>
        <w:t xml:space="preserve">) Em </w:t>
      </w:r>
      <w:r>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ontrolada, </w:t>
      </w:r>
      <w:r>
        <w:rPr>
          <w:rFonts w:ascii="CAIXA Std Book" w:hAnsi="CAIXA Std Book" w:cs="Calibri"/>
          <w:color w:val="005CA9"/>
          <w:sz w:val="12"/>
          <w:szCs w:val="12"/>
        </w:rPr>
        <w:t xml:space="preserve">corresponde </w:t>
      </w:r>
      <w:r w:rsidRPr="00AF3F6E">
        <w:rPr>
          <w:rFonts w:ascii="CAIXA Std Book" w:hAnsi="CAIXA Std Book" w:cs="Calibri"/>
          <w:color w:val="005CA9"/>
          <w:sz w:val="12"/>
          <w:szCs w:val="12"/>
        </w:rPr>
        <w:t xml:space="preserve">a dividendos </w:t>
      </w:r>
      <w:r>
        <w:rPr>
          <w:rFonts w:ascii="CAIXA Std Book" w:hAnsi="CAIXA Std Book" w:cs="Calibri"/>
          <w:color w:val="005CA9"/>
          <w:sz w:val="12"/>
          <w:szCs w:val="12"/>
        </w:rPr>
        <w:t>propostos pelas subsidiárias e, em Coligadas, à remuneração devida pelo grupo Caixa Seguridade, pelo uso da rede de distribuição CAIXA.</w:t>
      </w:r>
    </w:p>
    <w:p w14:paraId="2B5EDE04"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4</w:t>
      </w:r>
      <w:r w:rsidRPr="00AF3F6E">
        <w:rPr>
          <w:rFonts w:ascii="CAIXA Std Book" w:hAnsi="CAIXA Std Book" w:cs="Calibri"/>
          <w:color w:val="005CA9"/>
          <w:sz w:val="12"/>
          <w:szCs w:val="12"/>
        </w:rPr>
        <w:t xml:space="preserve">) </w:t>
      </w:r>
      <w:r>
        <w:rPr>
          <w:rFonts w:ascii="CAIXA Std Book" w:hAnsi="CAIXA Std Book" w:cs="Calibri"/>
          <w:color w:val="005CA9"/>
          <w:sz w:val="12"/>
          <w:szCs w:val="12"/>
        </w:rPr>
        <w:t>E</w:t>
      </w:r>
      <w:r w:rsidRPr="00AF3F6E">
        <w:rPr>
          <w:rFonts w:ascii="CAIXA Std Book" w:hAnsi="CAIXA Std Book" w:cs="Calibri"/>
          <w:color w:val="005CA9"/>
          <w:sz w:val="12"/>
          <w:szCs w:val="12"/>
        </w:rPr>
        <w:t xml:space="preserve">m </w:t>
      </w:r>
      <w:r>
        <w:rPr>
          <w:rFonts w:ascii="CAIXA Std Book" w:hAnsi="CAIXA Std Book" w:cs="Calibri"/>
          <w:color w:val="005CA9"/>
          <w:sz w:val="12"/>
          <w:szCs w:val="12"/>
        </w:rPr>
        <w:t>O</w:t>
      </w:r>
      <w:r w:rsidRPr="00AF3F6E">
        <w:rPr>
          <w:rFonts w:ascii="CAIXA Std Book" w:hAnsi="CAIXA Std Book" w:cs="Calibri"/>
          <w:color w:val="005CA9"/>
          <w:sz w:val="12"/>
          <w:szCs w:val="12"/>
        </w:rPr>
        <w:t>utras entidades</w:t>
      </w:r>
      <w:r>
        <w:rPr>
          <w:rFonts w:ascii="CAIXA Std Book" w:hAnsi="CAIXA Std Book" w:cs="Calibri"/>
          <w:color w:val="005CA9"/>
          <w:sz w:val="12"/>
          <w:szCs w:val="12"/>
        </w:rPr>
        <w:t>, o valor apresentado</w:t>
      </w:r>
      <w:r w:rsidRPr="00AF3F6E">
        <w:rPr>
          <w:rFonts w:ascii="CAIXA Std Book" w:hAnsi="CAIXA Std Book" w:cs="Calibri"/>
          <w:color w:val="005CA9"/>
          <w:sz w:val="12"/>
          <w:szCs w:val="12"/>
        </w:rPr>
        <w:t xml:space="preserve"> refere-se </w:t>
      </w:r>
      <w:r>
        <w:rPr>
          <w:rFonts w:ascii="CAIXA Std Book" w:hAnsi="CAIXA Std Book" w:cs="Calibri"/>
          <w:color w:val="005CA9"/>
          <w:sz w:val="12"/>
          <w:szCs w:val="12"/>
        </w:rPr>
        <w:t>ao saldo de</w:t>
      </w:r>
      <w:r w:rsidRPr="00AF3F6E">
        <w:rPr>
          <w:rFonts w:ascii="CAIXA Std Book" w:hAnsi="CAIXA Std Book" w:cs="Calibri"/>
          <w:color w:val="005CA9"/>
          <w:sz w:val="12"/>
          <w:szCs w:val="12"/>
        </w:rPr>
        <w:t xml:space="preserve"> operações de crédito com a Eletrobras.</w:t>
      </w:r>
    </w:p>
    <w:p w14:paraId="71781698"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5</w:t>
      </w:r>
      <w:r w:rsidRPr="00AF3F6E">
        <w:rPr>
          <w:rFonts w:ascii="CAIXA Std Book" w:hAnsi="CAIXA Std Book" w:cs="Calibri"/>
          <w:color w:val="005CA9"/>
          <w:sz w:val="12"/>
          <w:szCs w:val="12"/>
        </w:rPr>
        <w:t>) Os valores apresentados referem-se a haveres da União (</w:t>
      </w:r>
      <w:r>
        <w:rPr>
          <w:rFonts w:ascii="CAIXA Std Book" w:hAnsi="CAIXA Std Book" w:cs="Calibri"/>
          <w:color w:val="005CA9"/>
          <w:sz w:val="12"/>
          <w:szCs w:val="12"/>
        </w:rPr>
        <w:t>C</w:t>
      </w:r>
      <w:r w:rsidRPr="00AF3F6E">
        <w:rPr>
          <w:rFonts w:ascii="CAIXA Std Book" w:hAnsi="CAIXA Std Book" w:cs="Calibri"/>
          <w:color w:val="005CA9"/>
          <w:sz w:val="12"/>
          <w:szCs w:val="12"/>
        </w:rPr>
        <w:t>ontroladora) e a valores a serem ressarcidos pelo FGTS e FCVS (</w:t>
      </w:r>
      <w:r>
        <w:rPr>
          <w:rFonts w:ascii="CAIXA Std Book" w:hAnsi="CAIXA Std Book" w:cs="Calibri"/>
          <w:color w:val="005CA9"/>
          <w:sz w:val="12"/>
          <w:szCs w:val="12"/>
        </w:rPr>
        <w:t>O</w:t>
      </w:r>
      <w:r w:rsidRPr="00AF3F6E">
        <w:rPr>
          <w:rFonts w:ascii="CAIXA Std Book" w:hAnsi="CAIXA Std Book" w:cs="Calibri"/>
          <w:color w:val="005CA9"/>
          <w:sz w:val="12"/>
          <w:szCs w:val="12"/>
        </w:rPr>
        <w:t>utras entidades), conforme Notas 10(b) e 14(a).</w:t>
      </w:r>
    </w:p>
    <w:p w14:paraId="7A242E1D" w14:textId="5742B4DD" w:rsidR="002801CE" w:rsidRPr="00AF3F6E" w:rsidRDefault="002801CE" w:rsidP="002801CE">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6</w:t>
      </w:r>
      <w:r w:rsidRPr="00AF3F6E">
        <w:rPr>
          <w:rFonts w:ascii="CAIXA Std Book" w:hAnsi="CAIXA Std Book" w:cs="Calibri"/>
          <w:color w:val="005CA9"/>
          <w:sz w:val="12"/>
          <w:szCs w:val="12"/>
        </w:rPr>
        <w:t xml:space="preserve">) </w:t>
      </w:r>
      <w:r>
        <w:rPr>
          <w:rFonts w:ascii="CAIXA Std Book" w:hAnsi="CAIXA Std Book" w:cs="Calibri"/>
          <w:color w:val="005CA9"/>
          <w:sz w:val="12"/>
          <w:szCs w:val="12"/>
        </w:rPr>
        <w:t xml:space="preserve">Provisões para </w:t>
      </w:r>
      <w:r w:rsidRPr="00B037E0">
        <w:rPr>
          <w:rFonts w:ascii="CAIXA Std Book" w:hAnsi="CAIXA Std Book" w:cs="Calibri"/>
          <w:i/>
          <w:iCs/>
          <w:color w:val="005CA9"/>
          <w:sz w:val="12"/>
          <w:szCs w:val="12"/>
        </w:rPr>
        <w:t>impairment</w:t>
      </w:r>
      <w:r>
        <w:rPr>
          <w:rFonts w:ascii="CAIXA Std Book" w:hAnsi="CAIXA Std Book" w:cs="Calibri"/>
          <w:color w:val="005CA9"/>
          <w:sz w:val="12"/>
          <w:szCs w:val="12"/>
        </w:rPr>
        <w:t xml:space="preserve"> </w:t>
      </w:r>
      <w:r w:rsidR="00970ADF">
        <w:rPr>
          <w:rFonts w:ascii="CAIXA Std Book" w:hAnsi="CAIXA Std Book" w:cs="Calibri"/>
          <w:color w:val="005CA9"/>
          <w:sz w:val="12"/>
          <w:szCs w:val="12"/>
        </w:rPr>
        <w:t>em</w:t>
      </w:r>
      <w:r>
        <w:rPr>
          <w:rFonts w:ascii="CAIXA Std Book" w:hAnsi="CAIXA Std Book" w:cs="Calibri"/>
          <w:color w:val="005CA9"/>
          <w:sz w:val="12"/>
          <w:szCs w:val="12"/>
        </w:rPr>
        <w:t xml:space="preserve"> haveres da União (</w:t>
      </w:r>
      <w:r w:rsidRPr="00C43C44">
        <w:rPr>
          <w:rFonts w:ascii="CAIXA Std Book" w:hAnsi="CAIXA Std Book" w:cs="Calibri"/>
          <w:color w:val="005CA9"/>
          <w:sz w:val="12"/>
          <w:szCs w:val="12"/>
        </w:rPr>
        <w:t>Voto CMN 162/95</w:t>
      </w:r>
      <w:r>
        <w:rPr>
          <w:rFonts w:ascii="CAIXA Std Book" w:hAnsi="CAIXA Std Book" w:cs="Calibri"/>
          <w:color w:val="005CA9"/>
          <w:sz w:val="12"/>
          <w:szCs w:val="12"/>
        </w:rPr>
        <w:t xml:space="preserve"> e Bônus BNH) e, em Outras entidades</w:t>
      </w:r>
      <w:r w:rsidRPr="00594DC1">
        <w:rPr>
          <w:rFonts w:ascii="CAIXA Std Book" w:hAnsi="CAIXA Std Book" w:cs="Calibri"/>
          <w:color w:val="005CA9"/>
          <w:sz w:val="12"/>
          <w:szCs w:val="12"/>
        </w:rPr>
        <w:t xml:space="preserve">, </w:t>
      </w:r>
      <w:r w:rsidRPr="00AF3F6E">
        <w:rPr>
          <w:rFonts w:ascii="CAIXA Std Book" w:hAnsi="CAIXA Std Book" w:cs="Calibri"/>
          <w:color w:val="005CA9"/>
          <w:sz w:val="12"/>
          <w:szCs w:val="12"/>
        </w:rPr>
        <w:t>para perdas com o FCVS, conforme Nota 10.</w:t>
      </w:r>
    </w:p>
    <w:p w14:paraId="6BDAE3D8" w14:textId="352157C8"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7</w:t>
      </w:r>
      <w:r w:rsidRPr="00AF3F6E">
        <w:rPr>
          <w:rFonts w:ascii="CAIXA Std Book" w:hAnsi="CAIXA Std Book" w:cs="Calibri"/>
          <w:color w:val="005CA9"/>
          <w:sz w:val="12"/>
          <w:szCs w:val="12"/>
        </w:rPr>
        <w:t xml:space="preserve">) Em </w:t>
      </w:r>
      <w:r>
        <w:rPr>
          <w:rFonts w:ascii="CAIXA Std Book" w:hAnsi="CAIXA Std Book" w:cs="Calibri"/>
          <w:color w:val="005CA9"/>
          <w:sz w:val="12"/>
          <w:szCs w:val="12"/>
        </w:rPr>
        <w:t>O</w:t>
      </w:r>
      <w:r w:rsidRPr="00AF3F6E">
        <w:rPr>
          <w:rFonts w:ascii="CAIXA Std Book" w:hAnsi="CAIXA Std Book" w:cs="Calibri"/>
          <w:color w:val="005CA9"/>
          <w:sz w:val="12"/>
          <w:szCs w:val="12"/>
        </w:rPr>
        <w:t>utras entidades, o saldo refere-se principalmente a depósitos de fundos de investimento.</w:t>
      </w:r>
    </w:p>
    <w:p w14:paraId="4763CA82"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8</w:t>
      </w:r>
      <w:r w:rsidRPr="00AF3F6E">
        <w:rPr>
          <w:rFonts w:ascii="CAIXA Std Book" w:hAnsi="CAIXA Std Book" w:cs="Calibri"/>
          <w:color w:val="005CA9"/>
          <w:sz w:val="12"/>
          <w:szCs w:val="12"/>
        </w:rPr>
        <w:t xml:space="preserve">) A apresentação em </w:t>
      </w:r>
      <w:r>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w:t>
      </w:r>
      <w:r>
        <w:rPr>
          <w:rFonts w:ascii="CAIXA Std Book" w:hAnsi="CAIXA Std Book" w:cs="Calibri"/>
          <w:color w:val="005CA9"/>
          <w:sz w:val="12"/>
          <w:szCs w:val="12"/>
        </w:rPr>
        <w:t xml:space="preserve">corresponde </w:t>
      </w:r>
      <w:r w:rsidRPr="00AF3F6E">
        <w:rPr>
          <w:rFonts w:ascii="CAIXA Std Book" w:hAnsi="CAIXA Std Book" w:cs="Calibri"/>
          <w:color w:val="005CA9"/>
          <w:sz w:val="12"/>
          <w:szCs w:val="12"/>
        </w:rPr>
        <w:t>aos depósitos especiais e de fundos e programas (FGTS, FAR, FDS, FGS, FIPEM e outros), conforme Nota 15(b).</w:t>
      </w:r>
    </w:p>
    <w:p w14:paraId="5A5CAC93"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w:t>
      </w:r>
      <w:r>
        <w:rPr>
          <w:rFonts w:ascii="CAIXA Std Book" w:hAnsi="CAIXA Std Book" w:cs="Calibri"/>
          <w:color w:val="005CA9"/>
          <w:sz w:val="12"/>
          <w:szCs w:val="12"/>
        </w:rPr>
        <w:t>9</w:t>
      </w:r>
      <w:r w:rsidRPr="00AF3F6E">
        <w:rPr>
          <w:rFonts w:ascii="CAIXA Std Book" w:hAnsi="CAIXA Std Book" w:cs="Calibri"/>
          <w:color w:val="005CA9"/>
          <w:sz w:val="12"/>
          <w:szCs w:val="12"/>
        </w:rPr>
        <w:t xml:space="preserve">) O saldo em </w:t>
      </w:r>
      <w:r>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ontroladora </w:t>
      </w:r>
      <w:r>
        <w:rPr>
          <w:rFonts w:ascii="CAIXA Std Book" w:hAnsi="CAIXA Std Book" w:cs="Calibri"/>
          <w:color w:val="005CA9"/>
          <w:sz w:val="12"/>
          <w:szCs w:val="12"/>
        </w:rPr>
        <w:t xml:space="preserve">é representado por </w:t>
      </w:r>
      <w:r w:rsidRPr="00AF3F6E">
        <w:rPr>
          <w:rFonts w:ascii="CAIXA Std Book" w:hAnsi="CAIXA Std Book" w:cs="Calibri"/>
          <w:color w:val="005CA9"/>
          <w:sz w:val="12"/>
          <w:szCs w:val="12"/>
        </w:rPr>
        <w:t>IHCD, conforme Nota 17(a)</w:t>
      </w:r>
      <w:r>
        <w:rPr>
          <w:rFonts w:ascii="CAIXA Std Book" w:hAnsi="CAIXA Std Book" w:cs="Calibri"/>
          <w:color w:val="005CA9"/>
          <w:sz w:val="12"/>
          <w:szCs w:val="12"/>
        </w:rPr>
        <w:t xml:space="preserve"> e, </w:t>
      </w:r>
      <w:r w:rsidRPr="00AF3F6E">
        <w:rPr>
          <w:rFonts w:ascii="CAIXA Std Book" w:hAnsi="CAIXA Std Book" w:cs="Calibri"/>
          <w:color w:val="005CA9"/>
          <w:sz w:val="12"/>
          <w:szCs w:val="12"/>
        </w:rPr>
        <w:t xml:space="preserve">em </w:t>
      </w:r>
      <w:r>
        <w:rPr>
          <w:rFonts w:ascii="CAIXA Std Book" w:hAnsi="CAIXA Std Book" w:cs="Calibri"/>
          <w:color w:val="005CA9"/>
          <w:sz w:val="12"/>
          <w:szCs w:val="12"/>
        </w:rPr>
        <w:t>O</w:t>
      </w:r>
      <w:r w:rsidRPr="00AF3F6E">
        <w:rPr>
          <w:rFonts w:ascii="CAIXA Std Book" w:hAnsi="CAIXA Std Book" w:cs="Calibri"/>
          <w:color w:val="005CA9"/>
          <w:sz w:val="12"/>
          <w:szCs w:val="12"/>
        </w:rPr>
        <w:t>utras entidades</w:t>
      </w:r>
      <w:r>
        <w:rPr>
          <w:rFonts w:ascii="CAIXA Std Book" w:hAnsi="CAIXA Std Book" w:cs="Calibri"/>
          <w:color w:val="005CA9"/>
          <w:sz w:val="12"/>
          <w:szCs w:val="12"/>
        </w:rPr>
        <w:t xml:space="preserve">, </w:t>
      </w:r>
      <w:r w:rsidRPr="00AF3F6E">
        <w:rPr>
          <w:rFonts w:ascii="CAIXA Std Book" w:hAnsi="CAIXA Std Book" w:cs="Calibri"/>
          <w:color w:val="005CA9"/>
          <w:sz w:val="12"/>
          <w:szCs w:val="12"/>
        </w:rPr>
        <w:t>por captações no mercado aberto.</w:t>
      </w:r>
    </w:p>
    <w:p w14:paraId="30556AF4"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0</w:t>
      </w:r>
      <w:r w:rsidRPr="00AF3F6E">
        <w:rPr>
          <w:rFonts w:ascii="CAIXA Std Book" w:hAnsi="CAIXA Std Book" w:cs="Calibri"/>
          <w:color w:val="005CA9"/>
          <w:sz w:val="12"/>
          <w:szCs w:val="12"/>
        </w:rPr>
        <w:t xml:space="preserve">) Em </w:t>
      </w:r>
      <w:r>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o saldo apresentado decorre de obrigações por empréstimos e repasses do FGTS, BNDES, Fundo da Marinha Mercante, Tesouro Nacional e outras </w:t>
      </w:r>
      <w:proofErr w:type="spellStart"/>
      <w:r w:rsidRPr="00AF3F6E">
        <w:rPr>
          <w:rFonts w:ascii="CAIXA Std Book" w:hAnsi="CAIXA Std Book" w:cs="Calibri"/>
          <w:color w:val="005CA9"/>
          <w:sz w:val="12"/>
          <w:szCs w:val="12"/>
        </w:rPr>
        <w:t>instiuições</w:t>
      </w:r>
      <w:proofErr w:type="spellEnd"/>
      <w:r w:rsidRPr="00AF3F6E">
        <w:rPr>
          <w:rFonts w:ascii="CAIXA Std Book" w:hAnsi="CAIXA Std Book" w:cs="Calibri"/>
          <w:color w:val="005CA9"/>
          <w:sz w:val="12"/>
          <w:szCs w:val="12"/>
        </w:rPr>
        <w:t>, conforme Nota 16(b).</w:t>
      </w:r>
    </w:p>
    <w:p w14:paraId="57F4ED87"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1</w:t>
      </w:r>
      <w:r w:rsidRPr="00AF3F6E">
        <w:rPr>
          <w:rFonts w:ascii="CAIXA Std Book" w:hAnsi="CAIXA Std Book" w:cs="Calibri"/>
          <w:color w:val="005CA9"/>
          <w:sz w:val="12"/>
          <w:szCs w:val="12"/>
        </w:rPr>
        <w:t xml:space="preserve">) O saldo em </w:t>
      </w:r>
      <w:r>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refere-se principalmente </w:t>
      </w:r>
      <w:r>
        <w:rPr>
          <w:rFonts w:ascii="CAIXA Std Book" w:hAnsi="CAIXA Std Book" w:cs="Calibri"/>
          <w:color w:val="005CA9"/>
          <w:sz w:val="12"/>
          <w:szCs w:val="12"/>
        </w:rPr>
        <w:t>à</w:t>
      </w:r>
      <w:r w:rsidRPr="00AF3F6E">
        <w:rPr>
          <w:rFonts w:ascii="CAIXA Std Book" w:hAnsi="CAIXA Std Book" w:cs="Calibri"/>
          <w:color w:val="005CA9"/>
          <w:sz w:val="12"/>
          <w:szCs w:val="12"/>
        </w:rPr>
        <w:t xml:space="preserve"> remuneração do agente financeiro CAIXA, recebida em operações habitacionais com recursos do FGTS, conforme Nota 18(b).</w:t>
      </w:r>
    </w:p>
    <w:p w14:paraId="6A493A8B" w14:textId="5B3150CC"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2</w:t>
      </w:r>
      <w:r w:rsidRPr="00AF3F6E">
        <w:rPr>
          <w:rFonts w:ascii="CAIXA Std Book" w:hAnsi="CAIXA Std Book" w:cs="Calibri"/>
          <w:color w:val="005CA9"/>
          <w:sz w:val="12"/>
          <w:szCs w:val="12"/>
        </w:rPr>
        <w:t xml:space="preserve">) O saldo apresentado </w:t>
      </w:r>
      <w:r>
        <w:rPr>
          <w:rFonts w:ascii="CAIXA Std Book" w:hAnsi="CAIXA Std Book" w:cs="Calibri"/>
          <w:color w:val="005CA9"/>
          <w:sz w:val="12"/>
          <w:szCs w:val="12"/>
        </w:rPr>
        <w:t>corresponde a</w:t>
      </w:r>
      <w:r w:rsidRPr="00AF3F6E">
        <w:rPr>
          <w:rFonts w:ascii="CAIXA Std Book" w:hAnsi="CAIXA Std Book" w:cs="Calibri"/>
          <w:color w:val="005CA9"/>
          <w:sz w:val="12"/>
          <w:szCs w:val="12"/>
        </w:rPr>
        <w:t xml:space="preserve"> obrigações fiscais e previdenciárias com a União, conforme Nota 20.</w:t>
      </w:r>
    </w:p>
    <w:p w14:paraId="1657D2EC"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3</w:t>
      </w:r>
      <w:r w:rsidRPr="00AF3F6E">
        <w:rPr>
          <w:rFonts w:ascii="CAIXA Std Book" w:hAnsi="CAIXA Std Book" w:cs="Calibri"/>
          <w:color w:val="005CA9"/>
          <w:sz w:val="12"/>
          <w:szCs w:val="12"/>
        </w:rPr>
        <w:t xml:space="preserve">) Em </w:t>
      </w:r>
      <w:r>
        <w:rPr>
          <w:rFonts w:ascii="CAIXA Std Book" w:hAnsi="CAIXA Std Book" w:cs="Calibri"/>
          <w:color w:val="005CA9"/>
          <w:sz w:val="12"/>
          <w:szCs w:val="12"/>
        </w:rPr>
        <w:t>C</w:t>
      </w:r>
      <w:r w:rsidRPr="00AF3F6E">
        <w:rPr>
          <w:rFonts w:ascii="CAIXA Std Book" w:hAnsi="CAIXA Std Book" w:cs="Calibri"/>
          <w:color w:val="005CA9"/>
          <w:sz w:val="12"/>
          <w:szCs w:val="12"/>
        </w:rPr>
        <w:t xml:space="preserve">ontroladora, o saldo é composto principalmente por obrigações </w:t>
      </w:r>
      <w:r>
        <w:rPr>
          <w:rFonts w:ascii="CAIXA Std Book" w:hAnsi="CAIXA Std Book" w:cs="Calibri"/>
          <w:color w:val="005CA9"/>
          <w:sz w:val="12"/>
          <w:szCs w:val="12"/>
        </w:rPr>
        <w:t>junto à</w:t>
      </w:r>
      <w:r w:rsidRPr="00AF3F6E">
        <w:rPr>
          <w:rFonts w:ascii="CAIXA Std Book" w:hAnsi="CAIXA Std Book" w:cs="Calibri"/>
          <w:color w:val="005CA9"/>
          <w:sz w:val="12"/>
          <w:szCs w:val="12"/>
        </w:rPr>
        <w:t xml:space="preserve"> União.</w:t>
      </w:r>
    </w:p>
    <w:p w14:paraId="424354D7" w14:textId="0AEEFAA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4</w:t>
      </w:r>
      <w:r w:rsidRPr="00AF3F6E">
        <w:rPr>
          <w:rFonts w:ascii="CAIXA Std Book" w:hAnsi="CAIXA Std Book" w:cs="Calibri"/>
          <w:color w:val="005CA9"/>
          <w:sz w:val="12"/>
          <w:szCs w:val="12"/>
        </w:rPr>
        <w:t xml:space="preserve">) Em </w:t>
      </w:r>
      <w:r>
        <w:rPr>
          <w:rFonts w:ascii="CAIXA Std Book" w:hAnsi="CAIXA Std Book" w:cs="Calibri"/>
          <w:color w:val="005CA9"/>
          <w:sz w:val="12"/>
          <w:szCs w:val="12"/>
        </w:rPr>
        <w:t>O</w:t>
      </w:r>
      <w:r w:rsidRPr="00AF3F6E">
        <w:rPr>
          <w:rFonts w:ascii="CAIXA Std Book" w:hAnsi="CAIXA Std Book" w:cs="Calibri"/>
          <w:color w:val="005CA9"/>
          <w:sz w:val="12"/>
          <w:szCs w:val="12"/>
        </w:rPr>
        <w:t xml:space="preserve">utras entidades, o saldo é constituído por recursos do FGTS, FAR e FDS para amortização de contratos em programas habitacionais e </w:t>
      </w:r>
      <w:r>
        <w:rPr>
          <w:rFonts w:ascii="CAIXA Std Book" w:hAnsi="CAIXA Std Book" w:cs="Calibri"/>
          <w:color w:val="005CA9"/>
          <w:sz w:val="12"/>
          <w:szCs w:val="12"/>
        </w:rPr>
        <w:t>respectivos juros remuneratórios</w:t>
      </w:r>
      <w:r w:rsidR="000C1808">
        <w:rPr>
          <w:rFonts w:ascii="CAIXA Std Book" w:hAnsi="CAIXA Std Book" w:cs="Calibri"/>
          <w:color w:val="005CA9"/>
          <w:sz w:val="12"/>
          <w:szCs w:val="12"/>
        </w:rPr>
        <w:t xml:space="preserve"> devidos</w:t>
      </w:r>
      <w:r>
        <w:rPr>
          <w:rFonts w:ascii="CAIXA Std Book" w:hAnsi="CAIXA Std Book" w:cs="Calibri"/>
          <w:color w:val="005CA9"/>
          <w:sz w:val="12"/>
          <w:szCs w:val="12"/>
        </w:rPr>
        <w:t xml:space="preserve"> aos fundos</w:t>
      </w:r>
      <w:r w:rsidRPr="00AF3F6E">
        <w:rPr>
          <w:rFonts w:ascii="CAIXA Std Book" w:hAnsi="CAIXA Std Book" w:cs="Calibri"/>
          <w:color w:val="005CA9"/>
          <w:sz w:val="12"/>
          <w:szCs w:val="12"/>
        </w:rPr>
        <w:t>, conforme Nota 18(b).</w:t>
      </w:r>
    </w:p>
    <w:p w14:paraId="2C1AA349" w14:textId="77777777" w:rsidR="002540F6" w:rsidRPr="00AF3F6E" w:rsidRDefault="002540F6" w:rsidP="002540F6">
      <w:pPr>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5</w:t>
      </w:r>
      <w:r w:rsidRPr="00AF3F6E">
        <w:rPr>
          <w:rFonts w:ascii="CAIXA Std Book" w:hAnsi="CAIXA Std Book" w:cs="Calibri"/>
          <w:color w:val="005CA9"/>
          <w:sz w:val="12"/>
          <w:szCs w:val="12"/>
        </w:rPr>
        <w:t xml:space="preserve">) </w:t>
      </w:r>
      <w:r>
        <w:rPr>
          <w:rFonts w:ascii="CAIXA Std Book" w:hAnsi="CAIXA Std Book" w:cs="Calibri"/>
          <w:color w:val="005CA9"/>
          <w:sz w:val="12"/>
          <w:szCs w:val="12"/>
        </w:rPr>
        <w:t>O</w:t>
      </w:r>
      <w:r w:rsidRPr="00AF3F6E">
        <w:rPr>
          <w:rFonts w:ascii="CAIXA Std Book" w:hAnsi="CAIXA Std Book" w:cs="Calibri"/>
          <w:color w:val="005CA9"/>
          <w:sz w:val="12"/>
          <w:szCs w:val="12"/>
        </w:rPr>
        <w:t>perações garantidas pelo governo, notas promissórias, penhor e garantias fidejussórias.</w:t>
      </w:r>
    </w:p>
    <w:p w14:paraId="5D68A93F" w14:textId="14F6DF92" w:rsidR="00E03AFF" w:rsidRPr="00FF4346" w:rsidRDefault="002540F6" w:rsidP="002540F6">
      <w:pPr>
        <w:spacing w:line="259" w:lineRule="auto"/>
        <w:jc w:val="both"/>
        <w:rPr>
          <w:rFonts w:ascii="CAIXA Std Book" w:hAnsi="CAIXA Std Book" w:cs="Calibri"/>
          <w:color w:val="005CA9"/>
          <w:sz w:val="12"/>
          <w:szCs w:val="12"/>
        </w:rPr>
      </w:pPr>
      <w:r w:rsidRPr="00AF3F6E">
        <w:rPr>
          <w:rFonts w:ascii="CAIXA Std Book" w:hAnsi="CAIXA Std Book" w:cs="Calibri"/>
          <w:color w:val="005CA9"/>
          <w:sz w:val="12"/>
          <w:szCs w:val="12"/>
        </w:rPr>
        <w:t>(1</w:t>
      </w:r>
      <w:r>
        <w:rPr>
          <w:rFonts w:ascii="CAIXA Std Book" w:hAnsi="CAIXA Std Book" w:cs="Calibri"/>
          <w:color w:val="005CA9"/>
          <w:sz w:val="12"/>
          <w:szCs w:val="12"/>
        </w:rPr>
        <w:t>6</w:t>
      </w:r>
      <w:r w:rsidRPr="00AF3F6E">
        <w:rPr>
          <w:rFonts w:ascii="CAIXA Std Book" w:hAnsi="CAIXA Std Book" w:cs="Calibri"/>
          <w:color w:val="005CA9"/>
          <w:sz w:val="12"/>
          <w:szCs w:val="12"/>
        </w:rPr>
        <w:t xml:space="preserve">) </w:t>
      </w:r>
      <w:r>
        <w:rPr>
          <w:rFonts w:ascii="CAIXA Std Book" w:hAnsi="CAIXA Std Book" w:cs="Calibri"/>
          <w:color w:val="005CA9"/>
          <w:sz w:val="12"/>
          <w:szCs w:val="12"/>
        </w:rPr>
        <w:t>G</w:t>
      </w:r>
      <w:r w:rsidRPr="00AF3F6E">
        <w:rPr>
          <w:rFonts w:ascii="CAIXA Std Book" w:hAnsi="CAIXA Std Book" w:cs="Calibri"/>
          <w:color w:val="005CA9"/>
          <w:sz w:val="12"/>
          <w:szCs w:val="12"/>
        </w:rPr>
        <w:t>arantia financeira prestada pela CAIXA às operações de crédito com recursos do FGTS (coobrigação), FIES e FAR, conforme Nota 19(e)</w:t>
      </w:r>
      <w:r w:rsidR="009633A7" w:rsidRPr="00362964">
        <w:rPr>
          <w:rFonts w:ascii="CAIXA Std Book" w:hAnsi="CAIXA Std Book" w:cs="Calibri"/>
          <w:color w:val="005CA9"/>
          <w:sz w:val="12"/>
          <w:szCs w:val="12"/>
        </w:rPr>
        <w:t>.</w:t>
      </w:r>
    </w:p>
    <w:p w14:paraId="7ACFED20" w14:textId="77777777" w:rsidR="00E619D9" w:rsidRPr="00FF4346" w:rsidRDefault="00E619D9">
      <w:pPr>
        <w:rPr>
          <w:rFonts w:ascii="CAIXA Std Book" w:hAnsi="CAIXA Std Book" w:cs="Calibri"/>
          <w:color w:val="005CA9"/>
          <w:sz w:val="13"/>
          <w:szCs w:val="13"/>
        </w:rPr>
      </w:pPr>
      <w:r w:rsidRPr="00FF4346">
        <w:rPr>
          <w:rFonts w:ascii="CAIXA Std Book" w:hAnsi="CAIXA Std Book" w:cs="Calibri"/>
          <w:color w:val="005CA9"/>
          <w:sz w:val="13"/>
          <w:szCs w:val="13"/>
        </w:rPr>
        <w:br w:type="page"/>
      </w:r>
    </w:p>
    <w:p w14:paraId="62FBB3A0" w14:textId="77777777" w:rsidR="007748AF" w:rsidRPr="00FF4346" w:rsidRDefault="007748AF" w:rsidP="0054776D">
      <w:pPr>
        <w:rPr>
          <w:rFonts w:ascii="CAIXA Std Book" w:hAnsi="CAIXA Std Book"/>
          <w:color w:val="005CA9"/>
          <w:sz w:val="15"/>
          <w:szCs w:val="15"/>
        </w:rPr>
      </w:pPr>
    </w:p>
    <w:tbl>
      <w:tblPr>
        <w:tblW w:w="5000" w:type="pct"/>
        <w:tblCellMar>
          <w:left w:w="70" w:type="dxa"/>
          <w:right w:w="70" w:type="dxa"/>
        </w:tblCellMar>
        <w:tblLook w:val="04A0" w:firstRow="1" w:lastRow="0" w:firstColumn="1" w:lastColumn="0" w:noHBand="0" w:noVBand="1"/>
      </w:tblPr>
      <w:tblGrid>
        <w:gridCol w:w="3687"/>
        <w:gridCol w:w="1134"/>
        <w:gridCol w:w="933"/>
        <w:gridCol w:w="1101"/>
        <w:gridCol w:w="1104"/>
        <w:gridCol w:w="1101"/>
        <w:gridCol w:w="1104"/>
        <w:gridCol w:w="1101"/>
        <w:gridCol w:w="1104"/>
        <w:gridCol w:w="1101"/>
        <w:gridCol w:w="1099"/>
      </w:tblGrid>
      <w:tr w:rsidR="0070547B" w:rsidRPr="00667139" w14:paraId="68F7C45E" w14:textId="77777777" w:rsidTr="0087648B">
        <w:trPr>
          <w:trHeight w:val="283"/>
        </w:trPr>
        <w:tc>
          <w:tcPr>
            <w:tcW w:w="5000" w:type="pct"/>
            <w:gridSpan w:val="11"/>
            <w:tcBorders>
              <w:top w:val="single" w:sz="4" w:space="0" w:color="F39200"/>
              <w:left w:val="nil"/>
              <w:right w:val="nil"/>
            </w:tcBorders>
            <w:shd w:val="clear" w:color="auto" w:fill="auto"/>
            <w:vAlign w:val="center"/>
          </w:tcPr>
          <w:p w14:paraId="1676DC8D" w14:textId="0B52095F" w:rsidR="0070547B" w:rsidRPr="00667139" w:rsidRDefault="0070547B" w:rsidP="005C4600">
            <w:pPr>
              <w:jc w:val="center"/>
              <w:rPr>
                <w:rFonts w:ascii="CAIXA Std Book" w:hAnsi="CAIXA Std Book" w:cs="Calibri"/>
                <w:b/>
                <w:color w:val="005CA9"/>
                <w:sz w:val="13"/>
                <w:szCs w:val="13"/>
              </w:rPr>
            </w:pPr>
            <w:r w:rsidRPr="00667139">
              <w:rPr>
                <w:rFonts w:ascii="CAIXA Std Book" w:hAnsi="CAIXA Std Book" w:cs="Calibri"/>
                <w:b/>
                <w:color w:val="005CA9"/>
                <w:sz w:val="13"/>
                <w:szCs w:val="13"/>
              </w:rPr>
              <w:t>INDIVIDUAL</w:t>
            </w:r>
          </w:p>
        </w:tc>
      </w:tr>
      <w:tr w:rsidR="00D8204F" w:rsidRPr="00667139" w14:paraId="2C9F3B4B" w14:textId="77777777" w:rsidTr="00E05CBD">
        <w:trPr>
          <w:trHeight w:val="283"/>
        </w:trPr>
        <w:tc>
          <w:tcPr>
            <w:tcW w:w="1265" w:type="pct"/>
            <w:vMerge w:val="restart"/>
            <w:tcBorders>
              <w:top w:val="single" w:sz="4" w:space="0" w:color="F39200"/>
              <w:left w:val="nil"/>
              <w:right w:val="nil"/>
            </w:tcBorders>
            <w:shd w:val="clear" w:color="auto" w:fill="auto"/>
            <w:vAlign w:val="center"/>
          </w:tcPr>
          <w:p w14:paraId="7866E648" w14:textId="5CFA1E9D"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Descrição</w:t>
            </w:r>
          </w:p>
        </w:tc>
        <w:tc>
          <w:tcPr>
            <w:tcW w:w="1844" w:type="pct"/>
            <w:gridSpan w:val="5"/>
            <w:tcBorders>
              <w:top w:val="single" w:sz="4" w:space="0" w:color="F39200"/>
              <w:left w:val="nil"/>
              <w:bottom w:val="single" w:sz="4" w:space="0" w:color="F39200"/>
            </w:tcBorders>
            <w:shd w:val="clear" w:color="auto" w:fill="auto"/>
            <w:noWrap/>
            <w:vAlign w:val="center"/>
          </w:tcPr>
          <w:p w14:paraId="1E9D6373" w14:textId="0E64B9A2" w:rsidR="00D8204F" w:rsidRPr="00667139" w:rsidRDefault="00243D0B" w:rsidP="005C4600">
            <w:pPr>
              <w:jc w:val="center"/>
              <w:rPr>
                <w:rFonts w:ascii="CAIXA Std Book" w:hAnsi="CAIXA Std Book" w:cs="Calibri"/>
                <w:color w:val="005CA9"/>
                <w:sz w:val="13"/>
                <w:szCs w:val="13"/>
              </w:rPr>
            </w:pPr>
            <w:r w:rsidRPr="00667139">
              <w:rPr>
                <w:rFonts w:ascii="CAIXA Std Book" w:eastAsia="Times New Roman" w:hAnsi="CAIXA Std Book" w:cs="Arial"/>
                <w:b/>
                <w:color w:val="005CA9"/>
                <w:sz w:val="13"/>
                <w:szCs w:val="13"/>
              </w:rPr>
              <w:t>1º trimestre - 2024</w:t>
            </w:r>
          </w:p>
        </w:tc>
        <w:tc>
          <w:tcPr>
            <w:tcW w:w="1891" w:type="pct"/>
            <w:gridSpan w:val="5"/>
            <w:tcBorders>
              <w:top w:val="single" w:sz="4" w:space="0" w:color="F39200"/>
              <w:left w:val="nil"/>
              <w:bottom w:val="single" w:sz="4" w:space="0" w:color="F39200"/>
              <w:right w:val="nil"/>
            </w:tcBorders>
            <w:shd w:val="clear" w:color="auto" w:fill="auto"/>
            <w:noWrap/>
            <w:vAlign w:val="center"/>
          </w:tcPr>
          <w:p w14:paraId="16FD0008" w14:textId="0CF0A1F8" w:rsidR="00D8204F" w:rsidRPr="00667139" w:rsidRDefault="00243D0B" w:rsidP="005C4600">
            <w:pPr>
              <w:jc w:val="center"/>
              <w:rPr>
                <w:rFonts w:ascii="CAIXA Std Book" w:hAnsi="CAIXA Std Book" w:cs="Calibri"/>
                <w:color w:val="005CA9"/>
                <w:sz w:val="13"/>
                <w:szCs w:val="13"/>
              </w:rPr>
            </w:pPr>
            <w:r w:rsidRPr="00667139">
              <w:rPr>
                <w:rFonts w:ascii="CAIXA Std Book" w:eastAsia="Times New Roman" w:hAnsi="CAIXA Std Book" w:cs="Arial"/>
                <w:b/>
                <w:color w:val="005CA9"/>
                <w:sz w:val="13"/>
                <w:szCs w:val="13"/>
              </w:rPr>
              <w:t>1º trimestre - 2023</w:t>
            </w:r>
          </w:p>
        </w:tc>
      </w:tr>
      <w:tr w:rsidR="00D8204F" w:rsidRPr="00667139" w14:paraId="2541BC5C" w14:textId="77777777" w:rsidTr="00E05CBD">
        <w:trPr>
          <w:trHeight w:val="283"/>
        </w:trPr>
        <w:tc>
          <w:tcPr>
            <w:tcW w:w="1265" w:type="pct"/>
            <w:vMerge/>
            <w:tcBorders>
              <w:left w:val="nil"/>
              <w:bottom w:val="single" w:sz="4" w:space="0" w:color="F39200"/>
              <w:right w:val="nil"/>
            </w:tcBorders>
            <w:shd w:val="clear" w:color="auto" w:fill="auto"/>
            <w:vAlign w:val="center"/>
          </w:tcPr>
          <w:p w14:paraId="121D6B27" w14:textId="355594D6" w:rsidR="00D8204F" w:rsidRPr="00667139" w:rsidRDefault="00D8204F" w:rsidP="006F164D">
            <w:pPr>
              <w:jc w:val="center"/>
              <w:rPr>
                <w:rFonts w:ascii="CAIXA Std Book" w:hAnsi="CAIXA Std Book" w:cs="Calibri"/>
                <w:b/>
                <w:color w:val="005CA9"/>
                <w:sz w:val="13"/>
                <w:szCs w:val="13"/>
              </w:rPr>
            </w:pPr>
          </w:p>
        </w:tc>
        <w:tc>
          <w:tcPr>
            <w:tcW w:w="389" w:type="pct"/>
            <w:tcBorders>
              <w:top w:val="single" w:sz="4" w:space="0" w:color="F39200"/>
              <w:left w:val="nil"/>
              <w:bottom w:val="single" w:sz="4" w:space="0" w:color="F39200"/>
            </w:tcBorders>
            <w:shd w:val="clear" w:color="auto" w:fill="auto"/>
            <w:noWrap/>
            <w:vAlign w:val="center"/>
          </w:tcPr>
          <w:p w14:paraId="79C98A98" w14:textId="15CC9CD8"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Controladora</w:t>
            </w:r>
          </w:p>
        </w:tc>
        <w:tc>
          <w:tcPr>
            <w:tcW w:w="320" w:type="pct"/>
            <w:tcBorders>
              <w:top w:val="single" w:sz="4" w:space="0" w:color="F39200"/>
              <w:left w:val="nil"/>
              <w:bottom w:val="single" w:sz="4" w:space="0" w:color="F39200"/>
            </w:tcBorders>
            <w:shd w:val="clear" w:color="auto" w:fill="auto"/>
            <w:vAlign w:val="center"/>
          </w:tcPr>
          <w:p w14:paraId="43D6DD95" w14:textId="65A9C403"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w:t>
            </w:r>
          </w:p>
        </w:tc>
        <w:tc>
          <w:tcPr>
            <w:tcW w:w="378" w:type="pct"/>
            <w:tcBorders>
              <w:top w:val="single" w:sz="4" w:space="0" w:color="F39200"/>
              <w:left w:val="nil"/>
              <w:bottom w:val="single" w:sz="4" w:space="0" w:color="F39200"/>
            </w:tcBorders>
            <w:shd w:val="clear" w:color="auto" w:fill="auto"/>
            <w:vAlign w:val="center"/>
          </w:tcPr>
          <w:p w14:paraId="24FF7A6B" w14:textId="52613198"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 em conjunto</w:t>
            </w:r>
          </w:p>
        </w:tc>
        <w:tc>
          <w:tcPr>
            <w:tcW w:w="379" w:type="pct"/>
            <w:tcBorders>
              <w:top w:val="single" w:sz="4" w:space="0" w:color="F39200"/>
              <w:left w:val="nil"/>
              <w:bottom w:val="single" w:sz="4" w:space="0" w:color="F39200"/>
            </w:tcBorders>
            <w:shd w:val="clear" w:color="auto" w:fill="auto"/>
            <w:vAlign w:val="center"/>
          </w:tcPr>
          <w:p w14:paraId="780813D0" w14:textId="2F5DA220"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Coligada</w:t>
            </w:r>
          </w:p>
        </w:tc>
        <w:tc>
          <w:tcPr>
            <w:tcW w:w="378" w:type="pct"/>
            <w:tcBorders>
              <w:top w:val="single" w:sz="4" w:space="0" w:color="F39200"/>
              <w:left w:val="nil"/>
              <w:bottom w:val="single" w:sz="4" w:space="0" w:color="F39200"/>
            </w:tcBorders>
            <w:shd w:val="clear" w:color="auto" w:fill="auto"/>
            <w:vAlign w:val="center"/>
          </w:tcPr>
          <w:p w14:paraId="0DA46327" w14:textId="2795651D"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Outras entidades</w:t>
            </w:r>
          </w:p>
        </w:tc>
        <w:tc>
          <w:tcPr>
            <w:tcW w:w="379" w:type="pct"/>
            <w:tcBorders>
              <w:top w:val="single" w:sz="4" w:space="0" w:color="F39200"/>
              <w:left w:val="nil"/>
              <w:bottom w:val="single" w:sz="4" w:space="0" w:color="F39200"/>
              <w:right w:val="nil"/>
            </w:tcBorders>
            <w:shd w:val="clear" w:color="auto" w:fill="auto"/>
            <w:noWrap/>
            <w:vAlign w:val="center"/>
          </w:tcPr>
          <w:p w14:paraId="68BA29F1" w14:textId="7C3BBCAF"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Controladora</w:t>
            </w:r>
          </w:p>
        </w:tc>
        <w:tc>
          <w:tcPr>
            <w:tcW w:w="378" w:type="pct"/>
            <w:tcBorders>
              <w:top w:val="single" w:sz="4" w:space="0" w:color="F39200"/>
              <w:left w:val="nil"/>
              <w:bottom w:val="single" w:sz="4" w:space="0" w:color="F39200"/>
              <w:right w:val="nil"/>
            </w:tcBorders>
            <w:shd w:val="clear" w:color="auto" w:fill="auto"/>
            <w:vAlign w:val="center"/>
          </w:tcPr>
          <w:p w14:paraId="48E7E981" w14:textId="1AC286FA"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w:t>
            </w:r>
          </w:p>
        </w:tc>
        <w:tc>
          <w:tcPr>
            <w:tcW w:w="379" w:type="pct"/>
            <w:tcBorders>
              <w:top w:val="single" w:sz="4" w:space="0" w:color="F39200"/>
              <w:left w:val="nil"/>
              <w:bottom w:val="single" w:sz="4" w:space="0" w:color="F39200"/>
              <w:right w:val="nil"/>
            </w:tcBorders>
            <w:shd w:val="clear" w:color="auto" w:fill="auto"/>
            <w:vAlign w:val="center"/>
          </w:tcPr>
          <w:p w14:paraId="03F5C35F" w14:textId="75B87A1E"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 em conjunto</w:t>
            </w:r>
          </w:p>
        </w:tc>
        <w:tc>
          <w:tcPr>
            <w:tcW w:w="378" w:type="pct"/>
            <w:tcBorders>
              <w:top w:val="single" w:sz="4" w:space="0" w:color="F39200"/>
              <w:left w:val="nil"/>
              <w:bottom w:val="single" w:sz="4" w:space="0" w:color="F39200"/>
              <w:right w:val="nil"/>
            </w:tcBorders>
            <w:shd w:val="clear" w:color="auto" w:fill="auto"/>
            <w:vAlign w:val="center"/>
          </w:tcPr>
          <w:p w14:paraId="0654CE42" w14:textId="4131D24D"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Coligada</w:t>
            </w:r>
          </w:p>
        </w:tc>
        <w:tc>
          <w:tcPr>
            <w:tcW w:w="377" w:type="pct"/>
            <w:tcBorders>
              <w:top w:val="single" w:sz="4" w:space="0" w:color="F39200"/>
              <w:left w:val="nil"/>
              <w:bottom w:val="single" w:sz="4" w:space="0" w:color="F39200"/>
              <w:right w:val="nil"/>
            </w:tcBorders>
            <w:shd w:val="clear" w:color="auto" w:fill="auto"/>
            <w:vAlign w:val="center"/>
          </w:tcPr>
          <w:p w14:paraId="767C9A8B" w14:textId="33A93E29" w:rsidR="00D8204F" w:rsidRPr="00667139" w:rsidRDefault="00D8204F"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Outras entidades</w:t>
            </w:r>
          </w:p>
        </w:tc>
      </w:tr>
      <w:tr w:rsidR="00E05CBD" w:rsidRPr="00667139" w14:paraId="4FDFD453" w14:textId="77777777" w:rsidTr="00E05CBD">
        <w:trPr>
          <w:trHeight w:val="283"/>
        </w:trPr>
        <w:tc>
          <w:tcPr>
            <w:tcW w:w="1265" w:type="pct"/>
            <w:tcBorders>
              <w:top w:val="single" w:sz="4" w:space="0" w:color="F39200"/>
              <w:left w:val="nil"/>
              <w:bottom w:val="single" w:sz="4" w:space="0" w:color="F79646" w:themeColor="accent6"/>
              <w:right w:val="nil"/>
            </w:tcBorders>
            <w:shd w:val="clear" w:color="auto" w:fill="auto"/>
            <w:vAlign w:val="center"/>
          </w:tcPr>
          <w:p w14:paraId="73B28628" w14:textId="77777777"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b/>
                <w:color w:val="005CA9"/>
                <w:sz w:val="13"/>
                <w:szCs w:val="13"/>
              </w:rPr>
              <w:t>RECEITAS</w:t>
            </w:r>
          </w:p>
        </w:tc>
        <w:tc>
          <w:tcPr>
            <w:tcW w:w="389" w:type="pct"/>
            <w:tcBorders>
              <w:top w:val="single" w:sz="4" w:space="0" w:color="F39200"/>
              <w:left w:val="nil"/>
              <w:bottom w:val="single" w:sz="4" w:space="0" w:color="F79646" w:themeColor="accent6"/>
              <w:right w:val="nil"/>
            </w:tcBorders>
            <w:shd w:val="clear" w:color="auto" w:fill="auto"/>
            <w:noWrap/>
            <w:vAlign w:val="center"/>
          </w:tcPr>
          <w:p w14:paraId="22D1AB89" w14:textId="3193A6B3"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556.491</w:t>
            </w:r>
          </w:p>
        </w:tc>
        <w:tc>
          <w:tcPr>
            <w:tcW w:w="320" w:type="pct"/>
            <w:tcBorders>
              <w:top w:val="single" w:sz="4" w:space="0" w:color="F39200"/>
              <w:left w:val="nil"/>
              <w:bottom w:val="single" w:sz="4" w:space="0" w:color="F39200"/>
              <w:right w:val="nil"/>
            </w:tcBorders>
            <w:shd w:val="clear" w:color="auto" w:fill="auto"/>
            <w:vAlign w:val="center"/>
          </w:tcPr>
          <w:p w14:paraId="60AE7C1C" w14:textId="2347B795"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12.753</w:t>
            </w:r>
          </w:p>
        </w:tc>
        <w:tc>
          <w:tcPr>
            <w:tcW w:w="378" w:type="pct"/>
            <w:tcBorders>
              <w:top w:val="single" w:sz="4" w:space="0" w:color="F39200"/>
              <w:left w:val="nil"/>
              <w:bottom w:val="single" w:sz="4" w:space="0" w:color="F39200"/>
              <w:right w:val="nil"/>
            </w:tcBorders>
            <w:shd w:val="clear" w:color="auto" w:fill="auto"/>
            <w:noWrap/>
            <w:vAlign w:val="center"/>
          </w:tcPr>
          <w:p w14:paraId="20DC3A1B" w14:textId="5C229A02"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231.798</w:t>
            </w:r>
          </w:p>
        </w:tc>
        <w:tc>
          <w:tcPr>
            <w:tcW w:w="379" w:type="pct"/>
            <w:tcBorders>
              <w:top w:val="single" w:sz="4" w:space="0" w:color="F39200"/>
              <w:left w:val="nil"/>
              <w:bottom w:val="single" w:sz="4" w:space="0" w:color="F39200"/>
              <w:right w:val="nil"/>
            </w:tcBorders>
            <w:shd w:val="clear" w:color="auto" w:fill="auto"/>
            <w:noWrap/>
            <w:vAlign w:val="center"/>
          </w:tcPr>
          <w:p w14:paraId="3BADE1EB" w14:textId="2E166592"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169.581</w:t>
            </w:r>
          </w:p>
        </w:tc>
        <w:tc>
          <w:tcPr>
            <w:tcW w:w="378" w:type="pct"/>
            <w:tcBorders>
              <w:top w:val="single" w:sz="4" w:space="0" w:color="F39200"/>
              <w:left w:val="nil"/>
              <w:bottom w:val="single" w:sz="4" w:space="0" w:color="F39200"/>
            </w:tcBorders>
            <w:shd w:val="clear" w:color="auto" w:fill="auto"/>
            <w:noWrap/>
            <w:vAlign w:val="center"/>
          </w:tcPr>
          <w:p w14:paraId="18C0D27C" w14:textId="2E3B8EB1"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3.292.852</w:t>
            </w:r>
          </w:p>
        </w:tc>
        <w:tc>
          <w:tcPr>
            <w:tcW w:w="379" w:type="pct"/>
            <w:tcBorders>
              <w:top w:val="nil"/>
              <w:left w:val="nil"/>
              <w:bottom w:val="single" w:sz="4" w:space="0" w:color="F79646" w:themeColor="accent6"/>
              <w:right w:val="nil"/>
            </w:tcBorders>
            <w:shd w:val="clear" w:color="auto" w:fill="auto"/>
            <w:noWrap/>
            <w:vAlign w:val="center"/>
          </w:tcPr>
          <w:p w14:paraId="385797EB" w14:textId="05FC62FB"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581.617</w:t>
            </w:r>
          </w:p>
        </w:tc>
        <w:tc>
          <w:tcPr>
            <w:tcW w:w="378" w:type="pct"/>
            <w:tcBorders>
              <w:top w:val="nil"/>
              <w:left w:val="nil"/>
              <w:bottom w:val="single" w:sz="4" w:space="0" w:color="F79646" w:themeColor="accent6"/>
              <w:right w:val="nil"/>
            </w:tcBorders>
            <w:shd w:val="clear" w:color="auto" w:fill="auto"/>
            <w:noWrap/>
            <w:vAlign w:val="center"/>
          </w:tcPr>
          <w:p w14:paraId="136BE70B" w14:textId="18B0B400"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9.408</w:t>
            </w:r>
          </w:p>
        </w:tc>
        <w:tc>
          <w:tcPr>
            <w:tcW w:w="379" w:type="pct"/>
            <w:tcBorders>
              <w:top w:val="nil"/>
              <w:left w:val="nil"/>
              <w:bottom w:val="single" w:sz="4" w:space="0" w:color="F79646" w:themeColor="accent6"/>
              <w:right w:val="nil"/>
            </w:tcBorders>
            <w:shd w:val="clear" w:color="auto" w:fill="auto"/>
            <w:noWrap/>
            <w:vAlign w:val="center"/>
          </w:tcPr>
          <w:p w14:paraId="2D8B4E37" w14:textId="7922849F"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209.133</w:t>
            </w:r>
          </w:p>
        </w:tc>
        <w:tc>
          <w:tcPr>
            <w:tcW w:w="378" w:type="pct"/>
            <w:tcBorders>
              <w:top w:val="nil"/>
              <w:left w:val="nil"/>
              <w:bottom w:val="single" w:sz="4" w:space="0" w:color="F79646" w:themeColor="accent6"/>
              <w:right w:val="nil"/>
            </w:tcBorders>
            <w:shd w:val="clear" w:color="auto" w:fill="auto"/>
            <w:noWrap/>
            <w:vAlign w:val="center"/>
          </w:tcPr>
          <w:p w14:paraId="544456D1" w14:textId="015E2CE6"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174.691</w:t>
            </w:r>
          </w:p>
        </w:tc>
        <w:tc>
          <w:tcPr>
            <w:tcW w:w="377" w:type="pct"/>
            <w:tcBorders>
              <w:top w:val="nil"/>
              <w:left w:val="nil"/>
              <w:bottom w:val="single" w:sz="4" w:space="0" w:color="F79646" w:themeColor="accent6"/>
              <w:right w:val="single" w:sz="8" w:space="0" w:color="FCE4D6"/>
            </w:tcBorders>
            <w:shd w:val="clear" w:color="auto" w:fill="auto"/>
            <w:noWrap/>
            <w:vAlign w:val="center"/>
          </w:tcPr>
          <w:p w14:paraId="5CC36AAA" w14:textId="660571D9"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3.109.148</w:t>
            </w:r>
          </w:p>
        </w:tc>
      </w:tr>
      <w:tr w:rsidR="00E05CBD" w:rsidRPr="00667139" w14:paraId="0AE2AD1E" w14:textId="77777777" w:rsidTr="00E05CBD">
        <w:trPr>
          <w:trHeight w:val="283"/>
        </w:trPr>
        <w:tc>
          <w:tcPr>
            <w:tcW w:w="1265" w:type="pct"/>
            <w:tcBorders>
              <w:left w:val="nil"/>
            </w:tcBorders>
            <w:shd w:val="clear" w:color="auto" w:fill="auto"/>
            <w:vAlign w:val="center"/>
          </w:tcPr>
          <w:p w14:paraId="110CA4A4" w14:textId="0D41F11D"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 xml:space="preserve">Rendas com prestação de serviços </w:t>
            </w:r>
            <w:r w:rsidR="00AF14C3">
              <w:rPr>
                <w:rFonts w:ascii="CAIXA Std Book" w:hAnsi="CAIXA Std Book" w:cs="Calibri"/>
                <w:color w:val="005CA9"/>
                <w:sz w:val="13"/>
                <w:szCs w:val="13"/>
              </w:rPr>
              <w:t>(1</w:t>
            </w:r>
            <w:r w:rsidR="00673B30">
              <w:rPr>
                <w:rFonts w:ascii="CAIXA Std Book" w:hAnsi="CAIXA Std Book" w:cs="Calibri"/>
                <w:color w:val="005CA9"/>
                <w:sz w:val="13"/>
                <w:szCs w:val="13"/>
              </w:rPr>
              <w:t xml:space="preserve"> a </w:t>
            </w:r>
            <w:r>
              <w:rPr>
                <w:rFonts w:ascii="CAIXA Std Book" w:hAnsi="CAIXA Std Book" w:cs="Calibri"/>
                <w:color w:val="005CA9"/>
                <w:sz w:val="13"/>
                <w:szCs w:val="13"/>
              </w:rPr>
              <w:t>4</w:t>
            </w:r>
            <w:r w:rsidRPr="00667139">
              <w:rPr>
                <w:rFonts w:ascii="CAIXA Std Book" w:hAnsi="CAIXA Std Book" w:cs="Calibri"/>
                <w:color w:val="005CA9"/>
                <w:sz w:val="13"/>
                <w:szCs w:val="13"/>
              </w:rPr>
              <w:t>)</w:t>
            </w:r>
          </w:p>
        </w:tc>
        <w:tc>
          <w:tcPr>
            <w:tcW w:w="389" w:type="pct"/>
            <w:tcBorders>
              <w:top w:val="nil"/>
              <w:left w:val="nil"/>
              <w:bottom w:val="nil"/>
              <w:right w:val="nil"/>
            </w:tcBorders>
            <w:shd w:val="clear" w:color="auto" w:fill="auto"/>
            <w:noWrap/>
            <w:vAlign w:val="center"/>
          </w:tcPr>
          <w:p w14:paraId="2D14E193" w14:textId="257E87E7"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323.204</w:t>
            </w:r>
          </w:p>
        </w:tc>
        <w:tc>
          <w:tcPr>
            <w:tcW w:w="320" w:type="pct"/>
            <w:tcBorders>
              <w:top w:val="nil"/>
              <w:left w:val="nil"/>
              <w:bottom w:val="nil"/>
              <w:right w:val="nil"/>
            </w:tcBorders>
            <w:shd w:val="clear" w:color="auto" w:fill="auto"/>
            <w:vAlign w:val="center"/>
          </w:tcPr>
          <w:p w14:paraId="151E8E82" w14:textId="1718808D"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31</w:t>
            </w:r>
          </w:p>
        </w:tc>
        <w:tc>
          <w:tcPr>
            <w:tcW w:w="378" w:type="pct"/>
            <w:tcBorders>
              <w:top w:val="nil"/>
              <w:left w:val="nil"/>
              <w:bottom w:val="nil"/>
              <w:right w:val="nil"/>
            </w:tcBorders>
            <w:shd w:val="clear" w:color="auto" w:fill="auto"/>
            <w:noWrap/>
            <w:vAlign w:val="center"/>
          </w:tcPr>
          <w:p w14:paraId="504DDD5A" w14:textId="37E21A75"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226.901</w:t>
            </w:r>
          </w:p>
        </w:tc>
        <w:tc>
          <w:tcPr>
            <w:tcW w:w="379" w:type="pct"/>
            <w:tcBorders>
              <w:top w:val="nil"/>
              <w:left w:val="nil"/>
              <w:bottom w:val="nil"/>
              <w:right w:val="nil"/>
            </w:tcBorders>
            <w:shd w:val="clear" w:color="auto" w:fill="auto"/>
            <w:noWrap/>
            <w:vAlign w:val="center"/>
          </w:tcPr>
          <w:p w14:paraId="5631B483" w14:textId="2A56F1EE"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169.517</w:t>
            </w:r>
          </w:p>
        </w:tc>
        <w:tc>
          <w:tcPr>
            <w:tcW w:w="378" w:type="pct"/>
            <w:tcBorders>
              <w:top w:val="nil"/>
              <w:left w:val="nil"/>
              <w:bottom w:val="nil"/>
            </w:tcBorders>
            <w:shd w:val="clear" w:color="auto" w:fill="auto"/>
            <w:noWrap/>
            <w:vAlign w:val="center"/>
          </w:tcPr>
          <w:p w14:paraId="4BE6F83B" w14:textId="67E03DED"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1.226.166</w:t>
            </w:r>
          </w:p>
        </w:tc>
        <w:tc>
          <w:tcPr>
            <w:tcW w:w="379" w:type="pct"/>
            <w:tcBorders>
              <w:top w:val="nil"/>
              <w:left w:val="nil"/>
              <w:bottom w:val="nil"/>
              <w:right w:val="nil"/>
            </w:tcBorders>
            <w:shd w:val="clear" w:color="auto" w:fill="auto"/>
            <w:noWrap/>
            <w:vAlign w:val="center"/>
          </w:tcPr>
          <w:p w14:paraId="76CDC5D3" w14:textId="4A13A690"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296.605</w:t>
            </w:r>
          </w:p>
        </w:tc>
        <w:tc>
          <w:tcPr>
            <w:tcW w:w="378" w:type="pct"/>
            <w:tcBorders>
              <w:top w:val="nil"/>
              <w:left w:val="nil"/>
              <w:bottom w:val="nil"/>
              <w:right w:val="nil"/>
            </w:tcBorders>
            <w:shd w:val="clear" w:color="auto" w:fill="auto"/>
            <w:noWrap/>
            <w:vAlign w:val="center"/>
          </w:tcPr>
          <w:p w14:paraId="4F2B1A0D" w14:textId="1A7ED7D7"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20</w:t>
            </w:r>
          </w:p>
        </w:tc>
        <w:tc>
          <w:tcPr>
            <w:tcW w:w="379" w:type="pct"/>
            <w:tcBorders>
              <w:top w:val="nil"/>
              <w:left w:val="nil"/>
              <w:bottom w:val="nil"/>
              <w:right w:val="nil"/>
            </w:tcBorders>
            <w:shd w:val="clear" w:color="auto" w:fill="auto"/>
            <w:noWrap/>
            <w:vAlign w:val="center"/>
          </w:tcPr>
          <w:p w14:paraId="43933BDD" w14:textId="010FCF26"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208.821</w:t>
            </w:r>
          </w:p>
        </w:tc>
        <w:tc>
          <w:tcPr>
            <w:tcW w:w="378" w:type="pct"/>
            <w:tcBorders>
              <w:top w:val="nil"/>
              <w:left w:val="nil"/>
              <w:bottom w:val="nil"/>
              <w:right w:val="nil"/>
            </w:tcBorders>
            <w:shd w:val="clear" w:color="auto" w:fill="auto"/>
            <w:noWrap/>
            <w:vAlign w:val="center"/>
          </w:tcPr>
          <w:p w14:paraId="026C70A5" w14:textId="1EB30BD0"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174.691</w:t>
            </w:r>
          </w:p>
        </w:tc>
        <w:tc>
          <w:tcPr>
            <w:tcW w:w="377" w:type="pct"/>
            <w:tcBorders>
              <w:top w:val="nil"/>
              <w:left w:val="nil"/>
              <w:bottom w:val="nil"/>
              <w:right w:val="single" w:sz="8" w:space="0" w:color="FCE4D6"/>
            </w:tcBorders>
            <w:shd w:val="clear" w:color="auto" w:fill="auto"/>
            <w:noWrap/>
            <w:vAlign w:val="center"/>
          </w:tcPr>
          <w:p w14:paraId="152A17E0" w14:textId="7F65ADCA"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1.227.962</w:t>
            </w:r>
          </w:p>
        </w:tc>
      </w:tr>
      <w:tr w:rsidR="00E05CBD" w:rsidRPr="00667139" w14:paraId="5ED9B279" w14:textId="77777777" w:rsidTr="00E05CBD">
        <w:trPr>
          <w:trHeight w:val="283"/>
        </w:trPr>
        <w:tc>
          <w:tcPr>
            <w:tcW w:w="1265" w:type="pct"/>
            <w:tcBorders>
              <w:top w:val="nil"/>
              <w:left w:val="nil"/>
            </w:tcBorders>
            <w:shd w:val="clear" w:color="auto" w:fill="auto"/>
            <w:vAlign w:val="center"/>
          </w:tcPr>
          <w:p w14:paraId="35181FFB" w14:textId="413CF7FF"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Rendas com administração de fundos de investimento</w:t>
            </w:r>
          </w:p>
        </w:tc>
        <w:tc>
          <w:tcPr>
            <w:tcW w:w="389" w:type="pct"/>
            <w:tcBorders>
              <w:top w:val="nil"/>
              <w:left w:val="nil"/>
              <w:bottom w:val="nil"/>
              <w:right w:val="nil"/>
            </w:tcBorders>
            <w:shd w:val="clear" w:color="auto" w:fill="auto"/>
            <w:noWrap/>
            <w:vAlign w:val="center"/>
          </w:tcPr>
          <w:p w14:paraId="798FAFFB" w14:textId="0DCFF309"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0" w:type="pct"/>
            <w:tcBorders>
              <w:top w:val="nil"/>
              <w:left w:val="nil"/>
              <w:bottom w:val="nil"/>
              <w:right w:val="nil"/>
            </w:tcBorders>
            <w:shd w:val="clear" w:color="auto" w:fill="auto"/>
            <w:vAlign w:val="center"/>
          </w:tcPr>
          <w:p w14:paraId="185F1B2F" w14:textId="33C674E2"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right w:val="nil"/>
            </w:tcBorders>
            <w:shd w:val="clear" w:color="auto" w:fill="auto"/>
            <w:noWrap/>
            <w:vAlign w:val="center"/>
          </w:tcPr>
          <w:p w14:paraId="13A29C3D" w14:textId="1F7B0D3A"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9" w:type="pct"/>
            <w:tcBorders>
              <w:top w:val="nil"/>
              <w:left w:val="nil"/>
              <w:bottom w:val="nil"/>
              <w:right w:val="nil"/>
            </w:tcBorders>
            <w:shd w:val="clear" w:color="auto" w:fill="auto"/>
            <w:noWrap/>
            <w:vAlign w:val="center"/>
          </w:tcPr>
          <w:p w14:paraId="6050928C" w14:textId="648A77C9"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tcBorders>
            <w:shd w:val="clear" w:color="auto" w:fill="auto"/>
            <w:noWrap/>
            <w:vAlign w:val="center"/>
          </w:tcPr>
          <w:p w14:paraId="0E12DC27" w14:textId="4FCA3DF8"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105.264</w:t>
            </w:r>
          </w:p>
        </w:tc>
        <w:tc>
          <w:tcPr>
            <w:tcW w:w="379" w:type="pct"/>
            <w:tcBorders>
              <w:top w:val="nil"/>
              <w:left w:val="nil"/>
              <w:bottom w:val="nil"/>
              <w:right w:val="nil"/>
            </w:tcBorders>
            <w:shd w:val="clear" w:color="auto" w:fill="auto"/>
            <w:noWrap/>
            <w:vAlign w:val="center"/>
          </w:tcPr>
          <w:p w14:paraId="04948F1A" w14:textId="639D3C18"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52427E22" w14:textId="73292A34"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9" w:type="pct"/>
            <w:tcBorders>
              <w:top w:val="nil"/>
              <w:left w:val="nil"/>
              <w:bottom w:val="nil"/>
              <w:right w:val="nil"/>
            </w:tcBorders>
            <w:shd w:val="clear" w:color="auto" w:fill="auto"/>
            <w:noWrap/>
            <w:vAlign w:val="center"/>
          </w:tcPr>
          <w:p w14:paraId="5BEDC633" w14:textId="28909775"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4BD9894A" w14:textId="35F9B573"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7" w:type="pct"/>
            <w:tcBorders>
              <w:top w:val="nil"/>
              <w:left w:val="nil"/>
              <w:bottom w:val="nil"/>
              <w:right w:val="single" w:sz="8" w:space="0" w:color="FCE4D6"/>
            </w:tcBorders>
            <w:shd w:val="clear" w:color="auto" w:fill="auto"/>
            <w:noWrap/>
            <w:vAlign w:val="center"/>
          </w:tcPr>
          <w:p w14:paraId="7374B1E6" w14:textId="30427B34"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87.024</w:t>
            </w:r>
          </w:p>
        </w:tc>
      </w:tr>
      <w:tr w:rsidR="00E05CBD" w:rsidRPr="00667139" w14:paraId="783A29B8" w14:textId="77777777" w:rsidTr="00E05CBD">
        <w:trPr>
          <w:trHeight w:val="283"/>
        </w:trPr>
        <w:tc>
          <w:tcPr>
            <w:tcW w:w="1265" w:type="pct"/>
            <w:tcBorders>
              <w:top w:val="nil"/>
              <w:left w:val="nil"/>
              <w:bottom w:val="single" w:sz="4" w:space="0" w:color="F79646" w:themeColor="accent6"/>
            </w:tcBorders>
            <w:shd w:val="clear" w:color="auto" w:fill="auto"/>
            <w:vAlign w:val="center"/>
          </w:tcPr>
          <w:p w14:paraId="60A0B7C7" w14:textId="13453004"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Outras receitas operacionais (</w:t>
            </w:r>
            <w:r w:rsidR="00A52980">
              <w:rPr>
                <w:rFonts w:ascii="CAIXA Std Book" w:hAnsi="CAIXA Std Book" w:cs="Calibri"/>
                <w:color w:val="005CA9"/>
                <w:sz w:val="13"/>
                <w:szCs w:val="13"/>
              </w:rPr>
              <w:t>5</w:t>
            </w:r>
            <w:r w:rsidRPr="00667139">
              <w:rPr>
                <w:rFonts w:ascii="CAIXA Std Book" w:hAnsi="CAIXA Std Book" w:cs="Calibri"/>
                <w:color w:val="005CA9"/>
                <w:sz w:val="13"/>
                <w:szCs w:val="13"/>
              </w:rPr>
              <w:t>)</w:t>
            </w:r>
          </w:p>
        </w:tc>
        <w:tc>
          <w:tcPr>
            <w:tcW w:w="389" w:type="pct"/>
            <w:tcBorders>
              <w:top w:val="nil"/>
              <w:left w:val="nil"/>
              <w:bottom w:val="single" w:sz="4" w:space="0" w:color="F39200"/>
              <w:right w:val="nil"/>
            </w:tcBorders>
            <w:shd w:val="clear" w:color="auto" w:fill="auto"/>
            <w:noWrap/>
            <w:vAlign w:val="center"/>
          </w:tcPr>
          <w:p w14:paraId="10B735BF" w14:textId="401BDD71"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233.287</w:t>
            </w:r>
          </w:p>
        </w:tc>
        <w:tc>
          <w:tcPr>
            <w:tcW w:w="320" w:type="pct"/>
            <w:tcBorders>
              <w:top w:val="nil"/>
              <w:left w:val="nil"/>
              <w:bottom w:val="single" w:sz="4" w:space="0" w:color="F39200"/>
              <w:right w:val="nil"/>
            </w:tcBorders>
            <w:shd w:val="clear" w:color="auto" w:fill="auto"/>
            <w:vAlign w:val="center"/>
          </w:tcPr>
          <w:p w14:paraId="5F959BCE" w14:textId="2BD9D38B"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12.722</w:t>
            </w:r>
          </w:p>
        </w:tc>
        <w:tc>
          <w:tcPr>
            <w:tcW w:w="378" w:type="pct"/>
            <w:tcBorders>
              <w:top w:val="nil"/>
              <w:left w:val="nil"/>
              <w:bottom w:val="single" w:sz="4" w:space="0" w:color="F39200"/>
              <w:right w:val="nil"/>
            </w:tcBorders>
            <w:shd w:val="clear" w:color="auto" w:fill="auto"/>
            <w:noWrap/>
            <w:vAlign w:val="center"/>
          </w:tcPr>
          <w:p w14:paraId="09870941" w14:textId="1FA7708F"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4.897</w:t>
            </w:r>
          </w:p>
        </w:tc>
        <w:tc>
          <w:tcPr>
            <w:tcW w:w="379" w:type="pct"/>
            <w:tcBorders>
              <w:top w:val="nil"/>
              <w:left w:val="nil"/>
              <w:bottom w:val="single" w:sz="4" w:space="0" w:color="F39200"/>
              <w:right w:val="nil"/>
            </w:tcBorders>
            <w:shd w:val="clear" w:color="auto" w:fill="auto"/>
            <w:noWrap/>
            <w:vAlign w:val="center"/>
          </w:tcPr>
          <w:p w14:paraId="1C7AA6CE" w14:textId="103C8C83" w:rsidR="00E05CBD" w:rsidRPr="00667139" w:rsidRDefault="00E05CBD" w:rsidP="0044531D">
            <w:pPr>
              <w:jc w:val="right"/>
              <w:rPr>
                <w:rFonts w:ascii="CAIXA Std Book" w:hAnsi="CAIXA Std Book" w:cs="Calibri"/>
                <w:color w:val="005CA9"/>
                <w:sz w:val="13"/>
                <w:szCs w:val="13"/>
              </w:rPr>
            </w:pPr>
            <w:r>
              <w:rPr>
                <w:rFonts w:ascii="CAIXA Std Book" w:hAnsi="CAIXA Std Book" w:cs="Calibri"/>
                <w:color w:val="005CA9"/>
                <w:sz w:val="13"/>
                <w:szCs w:val="13"/>
              </w:rPr>
              <w:t>64</w:t>
            </w:r>
          </w:p>
        </w:tc>
        <w:tc>
          <w:tcPr>
            <w:tcW w:w="378" w:type="pct"/>
            <w:tcBorders>
              <w:top w:val="nil"/>
              <w:left w:val="nil"/>
              <w:bottom w:val="single" w:sz="4" w:space="0" w:color="F39200"/>
            </w:tcBorders>
            <w:shd w:val="clear" w:color="auto" w:fill="auto"/>
            <w:noWrap/>
            <w:vAlign w:val="center"/>
          </w:tcPr>
          <w:p w14:paraId="285DFC69" w14:textId="2C7706A3"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1.961.422</w:t>
            </w:r>
          </w:p>
        </w:tc>
        <w:tc>
          <w:tcPr>
            <w:tcW w:w="379" w:type="pct"/>
            <w:tcBorders>
              <w:top w:val="nil"/>
              <w:left w:val="nil"/>
              <w:bottom w:val="single" w:sz="4" w:space="0" w:color="F79646" w:themeColor="accent6"/>
              <w:right w:val="nil"/>
            </w:tcBorders>
            <w:shd w:val="clear" w:color="auto" w:fill="auto"/>
            <w:noWrap/>
            <w:vAlign w:val="center"/>
          </w:tcPr>
          <w:p w14:paraId="38A91E3D" w14:textId="4286F173"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285.012</w:t>
            </w:r>
          </w:p>
        </w:tc>
        <w:tc>
          <w:tcPr>
            <w:tcW w:w="378" w:type="pct"/>
            <w:tcBorders>
              <w:top w:val="nil"/>
              <w:left w:val="nil"/>
              <w:bottom w:val="single" w:sz="4" w:space="0" w:color="F79646" w:themeColor="accent6"/>
              <w:right w:val="nil"/>
            </w:tcBorders>
            <w:shd w:val="clear" w:color="auto" w:fill="auto"/>
            <w:noWrap/>
            <w:vAlign w:val="center"/>
          </w:tcPr>
          <w:p w14:paraId="4AF9D8AF" w14:textId="15726BB2"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9.388</w:t>
            </w:r>
          </w:p>
        </w:tc>
        <w:tc>
          <w:tcPr>
            <w:tcW w:w="379" w:type="pct"/>
            <w:tcBorders>
              <w:top w:val="nil"/>
              <w:left w:val="nil"/>
              <w:bottom w:val="single" w:sz="4" w:space="0" w:color="F79646" w:themeColor="accent6"/>
              <w:right w:val="nil"/>
            </w:tcBorders>
            <w:shd w:val="clear" w:color="auto" w:fill="auto"/>
            <w:noWrap/>
            <w:vAlign w:val="center"/>
          </w:tcPr>
          <w:p w14:paraId="6DFA9933" w14:textId="7815BB7C"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312</w:t>
            </w:r>
          </w:p>
        </w:tc>
        <w:tc>
          <w:tcPr>
            <w:tcW w:w="378" w:type="pct"/>
            <w:tcBorders>
              <w:top w:val="nil"/>
              <w:left w:val="nil"/>
              <w:bottom w:val="single" w:sz="4" w:space="0" w:color="F79646" w:themeColor="accent6"/>
              <w:right w:val="nil"/>
            </w:tcBorders>
            <w:shd w:val="clear" w:color="auto" w:fill="auto"/>
            <w:noWrap/>
            <w:vAlign w:val="center"/>
          </w:tcPr>
          <w:p w14:paraId="41D41B62" w14:textId="7DF1E6D2"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7" w:type="pct"/>
            <w:tcBorders>
              <w:top w:val="nil"/>
              <w:left w:val="nil"/>
              <w:bottom w:val="single" w:sz="4" w:space="0" w:color="F79646" w:themeColor="accent6"/>
              <w:right w:val="single" w:sz="8" w:space="0" w:color="FCE4D6"/>
            </w:tcBorders>
            <w:shd w:val="clear" w:color="auto" w:fill="auto"/>
            <w:noWrap/>
            <w:vAlign w:val="center"/>
          </w:tcPr>
          <w:p w14:paraId="012B6123" w14:textId="29C14B47"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1.794.162</w:t>
            </w:r>
          </w:p>
        </w:tc>
      </w:tr>
      <w:tr w:rsidR="00E05CBD" w:rsidRPr="00667139" w14:paraId="30ADB621" w14:textId="77777777" w:rsidTr="00E05CBD">
        <w:trPr>
          <w:trHeight w:val="283"/>
        </w:trPr>
        <w:tc>
          <w:tcPr>
            <w:tcW w:w="1265" w:type="pct"/>
            <w:tcBorders>
              <w:top w:val="single" w:sz="4" w:space="0" w:color="F79646" w:themeColor="accent6"/>
              <w:left w:val="nil"/>
              <w:bottom w:val="single" w:sz="4" w:space="0" w:color="F79646" w:themeColor="accent6"/>
            </w:tcBorders>
            <w:shd w:val="clear" w:color="auto" w:fill="auto"/>
            <w:vAlign w:val="center"/>
          </w:tcPr>
          <w:p w14:paraId="6A5F65EA" w14:textId="77777777"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b/>
                <w:color w:val="005CA9"/>
                <w:sz w:val="13"/>
                <w:szCs w:val="13"/>
              </w:rPr>
              <w:t>DESPESAS</w:t>
            </w:r>
          </w:p>
        </w:tc>
        <w:tc>
          <w:tcPr>
            <w:tcW w:w="389" w:type="pct"/>
            <w:tcBorders>
              <w:top w:val="nil"/>
              <w:left w:val="nil"/>
              <w:bottom w:val="single" w:sz="4" w:space="0" w:color="F39200"/>
              <w:right w:val="nil"/>
            </w:tcBorders>
            <w:shd w:val="clear" w:color="auto" w:fill="auto"/>
            <w:noWrap/>
            <w:vAlign w:val="center"/>
          </w:tcPr>
          <w:p w14:paraId="68D5A0F1" w14:textId="5F9B18D3"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(639.557)</w:t>
            </w:r>
          </w:p>
        </w:tc>
        <w:tc>
          <w:tcPr>
            <w:tcW w:w="320" w:type="pct"/>
            <w:tcBorders>
              <w:top w:val="nil"/>
              <w:left w:val="nil"/>
              <w:bottom w:val="single" w:sz="4" w:space="0" w:color="F39200"/>
              <w:right w:val="nil"/>
            </w:tcBorders>
            <w:shd w:val="clear" w:color="auto" w:fill="auto"/>
            <w:vAlign w:val="center"/>
          </w:tcPr>
          <w:p w14:paraId="668C1CB5" w14:textId="12802ACE"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(28.478)</w:t>
            </w:r>
          </w:p>
        </w:tc>
        <w:tc>
          <w:tcPr>
            <w:tcW w:w="378" w:type="pct"/>
            <w:tcBorders>
              <w:top w:val="nil"/>
              <w:left w:val="nil"/>
              <w:bottom w:val="single" w:sz="4" w:space="0" w:color="F39200"/>
              <w:right w:val="nil"/>
            </w:tcBorders>
            <w:shd w:val="clear" w:color="auto" w:fill="auto"/>
            <w:noWrap/>
            <w:vAlign w:val="center"/>
          </w:tcPr>
          <w:p w14:paraId="28363FD2" w14:textId="6CDFD6DF"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(33.432)</w:t>
            </w:r>
          </w:p>
        </w:tc>
        <w:tc>
          <w:tcPr>
            <w:tcW w:w="379" w:type="pct"/>
            <w:tcBorders>
              <w:top w:val="nil"/>
              <w:left w:val="nil"/>
              <w:bottom w:val="single" w:sz="4" w:space="0" w:color="F39200"/>
              <w:right w:val="nil"/>
            </w:tcBorders>
            <w:shd w:val="clear" w:color="auto" w:fill="auto"/>
            <w:noWrap/>
            <w:vAlign w:val="center"/>
          </w:tcPr>
          <w:p w14:paraId="443B1CA0" w14:textId="4243DAC0"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(161.908)</w:t>
            </w:r>
          </w:p>
        </w:tc>
        <w:tc>
          <w:tcPr>
            <w:tcW w:w="378" w:type="pct"/>
            <w:tcBorders>
              <w:top w:val="nil"/>
              <w:left w:val="nil"/>
              <w:bottom w:val="single" w:sz="4" w:space="0" w:color="F39200"/>
            </w:tcBorders>
            <w:shd w:val="clear" w:color="auto" w:fill="auto"/>
            <w:noWrap/>
            <w:vAlign w:val="center"/>
          </w:tcPr>
          <w:p w14:paraId="2AC60EF4" w14:textId="6AA74FF3" w:rsidR="00E05CBD" w:rsidRPr="00667139" w:rsidRDefault="00E05CBD" w:rsidP="00E05CBD">
            <w:pPr>
              <w:jc w:val="right"/>
              <w:rPr>
                <w:rFonts w:ascii="CAIXA Std Book" w:hAnsi="CAIXA Std Book" w:cs="Calibri"/>
                <w:b/>
                <w:color w:val="005CA9"/>
                <w:sz w:val="13"/>
                <w:szCs w:val="13"/>
              </w:rPr>
            </w:pPr>
            <w:r>
              <w:rPr>
                <w:rFonts w:ascii="CAIXA Std Book" w:hAnsi="CAIXA Std Book" w:cs="Calibri"/>
                <w:b/>
                <w:bCs/>
                <w:color w:val="005CA9"/>
                <w:sz w:val="13"/>
                <w:szCs w:val="13"/>
              </w:rPr>
              <w:t>(8.615.445)</w:t>
            </w:r>
          </w:p>
        </w:tc>
        <w:tc>
          <w:tcPr>
            <w:tcW w:w="379" w:type="pct"/>
            <w:tcBorders>
              <w:top w:val="single" w:sz="4" w:space="0" w:color="F79646" w:themeColor="accent6"/>
              <w:left w:val="nil"/>
              <w:bottom w:val="single" w:sz="4" w:space="0" w:color="F79646" w:themeColor="accent6"/>
              <w:right w:val="nil"/>
            </w:tcBorders>
            <w:shd w:val="clear" w:color="auto" w:fill="auto"/>
            <w:noWrap/>
            <w:vAlign w:val="center"/>
          </w:tcPr>
          <w:p w14:paraId="0B385E8A" w14:textId="035F81CD"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(423.468)</w:t>
            </w:r>
          </w:p>
        </w:tc>
        <w:tc>
          <w:tcPr>
            <w:tcW w:w="378" w:type="pct"/>
            <w:tcBorders>
              <w:top w:val="single" w:sz="4" w:space="0" w:color="F79646" w:themeColor="accent6"/>
              <w:left w:val="nil"/>
              <w:bottom w:val="single" w:sz="4" w:space="0" w:color="F79646" w:themeColor="accent6"/>
              <w:right w:val="nil"/>
            </w:tcBorders>
            <w:shd w:val="clear" w:color="auto" w:fill="auto"/>
            <w:noWrap/>
            <w:vAlign w:val="center"/>
          </w:tcPr>
          <w:p w14:paraId="0C8F9AF2" w14:textId="54BEB0AE"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(41.084)</w:t>
            </w:r>
          </w:p>
        </w:tc>
        <w:tc>
          <w:tcPr>
            <w:tcW w:w="379" w:type="pct"/>
            <w:tcBorders>
              <w:top w:val="single" w:sz="4" w:space="0" w:color="F79646" w:themeColor="accent6"/>
              <w:left w:val="nil"/>
              <w:bottom w:val="single" w:sz="4" w:space="0" w:color="F79646" w:themeColor="accent6"/>
              <w:right w:val="nil"/>
            </w:tcBorders>
            <w:shd w:val="clear" w:color="auto" w:fill="auto"/>
            <w:noWrap/>
            <w:vAlign w:val="center"/>
          </w:tcPr>
          <w:p w14:paraId="7C37DBF9" w14:textId="60EF458F"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(191.676)</w:t>
            </w:r>
          </w:p>
        </w:tc>
        <w:tc>
          <w:tcPr>
            <w:tcW w:w="378" w:type="pct"/>
            <w:tcBorders>
              <w:top w:val="single" w:sz="4" w:space="0" w:color="F79646" w:themeColor="accent6"/>
              <w:left w:val="nil"/>
              <w:bottom w:val="single" w:sz="4" w:space="0" w:color="F79646" w:themeColor="accent6"/>
              <w:right w:val="nil"/>
            </w:tcBorders>
            <w:shd w:val="clear" w:color="auto" w:fill="auto"/>
            <w:noWrap/>
            <w:vAlign w:val="center"/>
          </w:tcPr>
          <w:p w14:paraId="05FEEA27" w14:textId="4E18DF76"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(5.554)</w:t>
            </w:r>
          </w:p>
        </w:tc>
        <w:tc>
          <w:tcPr>
            <w:tcW w:w="377" w:type="pct"/>
            <w:tcBorders>
              <w:top w:val="single" w:sz="4" w:space="0" w:color="F79646" w:themeColor="accent6"/>
              <w:left w:val="nil"/>
              <w:bottom w:val="single" w:sz="4" w:space="0" w:color="F79646" w:themeColor="accent6"/>
              <w:right w:val="single" w:sz="8" w:space="0" w:color="FCE4D6"/>
            </w:tcBorders>
            <w:shd w:val="clear" w:color="auto" w:fill="auto"/>
            <w:noWrap/>
            <w:vAlign w:val="center"/>
          </w:tcPr>
          <w:p w14:paraId="1F69960A" w14:textId="0F3A122B"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(9.983.046)</w:t>
            </w:r>
          </w:p>
        </w:tc>
      </w:tr>
      <w:tr w:rsidR="00E05CBD" w:rsidRPr="00667139" w14:paraId="58EE07E7" w14:textId="77777777" w:rsidTr="00E05CBD">
        <w:trPr>
          <w:trHeight w:val="283"/>
        </w:trPr>
        <w:tc>
          <w:tcPr>
            <w:tcW w:w="1265" w:type="pct"/>
            <w:tcBorders>
              <w:top w:val="single" w:sz="4" w:space="0" w:color="F79646" w:themeColor="accent6"/>
              <w:left w:val="nil"/>
            </w:tcBorders>
            <w:shd w:val="clear" w:color="auto" w:fill="auto"/>
            <w:vAlign w:val="center"/>
          </w:tcPr>
          <w:p w14:paraId="1330E82F" w14:textId="6EB0C0E3"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Despesas de emissões de títulos e valores mobiliários (</w:t>
            </w:r>
            <w:r w:rsidR="00A52980">
              <w:rPr>
                <w:rFonts w:ascii="CAIXA Std Book" w:hAnsi="CAIXA Std Book" w:cs="Calibri"/>
                <w:color w:val="005CA9"/>
                <w:sz w:val="13"/>
                <w:szCs w:val="13"/>
              </w:rPr>
              <w:t>6</w:t>
            </w:r>
            <w:r w:rsidRPr="00667139">
              <w:rPr>
                <w:rFonts w:ascii="CAIXA Std Book" w:hAnsi="CAIXA Std Book" w:cs="Calibri"/>
                <w:color w:val="005CA9"/>
                <w:sz w:val="13"/>
                <w:szCs w:val="13"/>
              </w:rPr>
              <w:t>)</w:t>
            </w:r>
          </w:p>
        </w:tc>
        <w:tc>
          <w:tcPr>
            <w:tcW w:w="389" w:type="pct"/>
            <w:tcBorders>
              <w:top w:val="nil"/>
              <w:left w:val="nil"/>
              <w:bottom w:val="nil"/>
              <w:right w:val="nil"/>
            </w:tcBorders>
            <w:shd w:val="clear" w:color="auto" w:fill="auto"/>
            <w:noWrap/>
            <w:vAlign w:val="center"/>
          </w:tcPr>
          <w:p w14:paraId="5647FE88" w14:textId="098AAD96"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(420.041)</w:t>
            </w:r>
          </w:p>
        </w:tc>
        <w:tc>
          <w:tcPr>
            <w:tcW w:w="320" w:type="pct"/>
            <w:tcBorders>
              <w:top w:val="nil"/>
              <w:left w:val="nil"/>
              <w:bottom w:val="nil"/>
              <w:right w:val="nil"/>
            </w:tcBorders>
            <w:shd w:val="clear" w:color="auto" w:fill="auto"/>
            <w:vAlign w:val="center"/>
          </w:tcPr>
          <w:p w14:paraId="22FC8EBC" w14:textId="23225FAE"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(28.478)</w:t>
            </w:r>
          </w:p>
        </w:tc>
        <w:tc>
          <w:tcPr>
            <w:tcW w:w="378" w:type="pct"/>
            <w:tcBorders>
              <w:top w:val="nil"/>
              <w:left w:val="nil"/>
              <w:bottom w:val="nil"/>
              <w:right w:val="nil"/>
            </w:tcBorders>
            <w:shd w:val="clear" w:color="auto" w:fill="auto"/>
            <w:noWrap/>
            <w:vAlign w:val="center"/>
          </w:tcPr>
          <w:p w14:paraId="4DFC8848" w14:textId="14418E43"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(3.165)</w:t>
            </w:r>
          </w:p>
        </w:tc>
        <w:tc>
          <w:tcPr>
            <w:tcW w:w="379" w:type="pct"/>
            <w:tcBorders>
              <w:top w:val="nil"/>
              <w:left w:val="nil"/>
              <w:bottom w:val="nil"/>
              <w:right w:val="nil"/>
            </w:tcBorders>
            <w:shd w:val="clear" w:color="auto" w:fill="auto"/>
            <w:noWrap/>
            <w:vAlign w:val="center"/>
          </w:tcPr>
          <w:p w14:paraId="6C04FEA8" w14:textId="1488AB0C"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tcBorders>
            <w:shd w:val="clear" w:color="auto" w:fill="auto"/>
            <w:noWrap/>
            <w:vAlign w:val="center"/>
          </w:tcPr>
          <w:p w14:paraId="16AA5E55" w14:textId="2F909829"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(293.924)</w:t>
            </w:r>
          </w:p>
        </w:tc>
        <w:tc>
          <w:tcPr>
            <w:tcW w:w="379" w:type="pct"/>
            <w:tcBorders>
              <w:top w:val="single" w:sz="4" w:space="0" w:color="F79646" w:themeColor="accent6"/>
              <w:left w:val="nil"/>
              <w:bottom w:val="nil"/>
              <w:right w:val="nil"/>
            </w:tcBorders>
            <w:shd w:val="clear" w:color="auto" w:fill="auto"/>
            <w:noWrap/>
            <w:vAlign w:val="center"/>
          </w:tcPr>
          <w:p w14:paraId="20F19A8E" w14:textId="3F1BCEAA"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(164.393)</w:t>
            </w:r>
          </w:p>
        </w:tc>
        <w:tc>
          <w:tcPr>
            <w:tcW w:w="378" w:type="pct"/>
            <w:tcBorders>
              <w:top w:val="single" w:sz="4" w:space="0" w:color="F79646" w:themeColor="accent6"/>
              <w:left w:val="nil"/>
              <w:bottom w:val="nil"/>
              <w:right w:val="nil"/>
            </w:tcBorders>
            <w:shd w:val="clear" w:color="auto" w:fill="auto"/>
            <w:noWrap/>
            <w:vAlign w:val="center"/>
          </w:tcPr>
          <w:p w14:paraId="6FC2EB7C" w14:textId="6EDC5DC9"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(41.084)</w:t>
            </w:r>
          </w:p>
        </w:tc>
        <w:tc>
          <w:tcPr>
            <w:tcW w:w="379" w:type="pct"/>
            <w:tcBorders>
              <w:top w:val="single" w:sz="4" w:space="0" w:color="F79646" w:themeColor="accent6"/>
              <w:left w:val="nil"/>
              <w:bottom w:val="nil"/>
              <w:right w:val="nil"/>
            </w:tcBorders>
            <w:shd w:val="clear" w:color="auto" w:fill="auto"/>
            <w:noWrap/>
            <w:vAlign w:val="center"/>
          </w:tcPr>
          <w:p w14:paraId="23D0F334" w14:textId="7CD43DCC"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(2.893)</w:t>
            </w:r>
          </w:p>
        </w:tc>
        <w:tc>
          <w:tcPr>
            <w:tcW w:w="378" w:type="pct"/>
            <w:tcBorders>
              <w:top w:val="single" w:sz="4" w:space="0" w:color="F79646" w:themeColor="accent6"/>
              <w:left w:val="nil"/>
              <w:bottom w:val="nil"/>
              <w:right w:val="nil"/>
            </w:tcBorders>
            <w:shd w:val="clear" w:color="auto" w:fill="auto"/>
            <w:noWrap/>
            <w:vAlign w:val="center"/>
          </w:tcPr>
          <w:p w14:paraId="220ECECF" w14:textId="29904F03"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7" w:type="pct"/>
            <w:tcBorders>
              <w:top w:val="single" w:sz="4" w:space="0" w:color="F79646" w:themeColor="accent6"/>
              <w:left w:val="nil"/>
              <w:bottom w:val="nil"/>
              <w:right w:val="single" w:sz="8" w:space="0" w:color="FCE4D6"/>
            </w:tcBorders>
            <w:shd w:val="clear" w:color="auto" w:fill="auto"/>
            <w:noWrap/>
            <w:vAlign w:val="center"/>
          </w:tcPr>
          <w:p w14:paraId="2D20A887" w14:textId="05EE1F23"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(108.964)</w:t>
            </w:r>
          </w:p>
        </w:tc>
      </w:tr>
      <w:tr w:rsidR="00E05CBD" w:rsidRPr="00667139" w14:paraId="701E5E85" w14:textId="77777777" w:rsidTr="00E05CBD">
        <w:trPr>
          <w:trHeight w:val="283"/>
        </w:trPr>
        <w:tc>
          <w:tcPr>
            <w:tcW w:w="1265" w:type="pct"/>
            <w:tcBorders>
              <w:top w:val="nil"/>
              <w:left w:val="nil"/>
            </w:tcBorders>
            <w:shd w:val="clear" w:color="auto" w:fill="auto"/>
            <w:vAlign w:val="center"/>
          </w:tcPr>
          <w:p w14:paraId="3EB1FFFC" w14:textId="1C3167AE"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Pessoal (</w:t>
            </w:r>
            <w:r w:rsidR="00A52980">
              <w:rPr>
                <w:rFonts w:ascii="CAIXA Std Book" w:hAnsi="CAIXA Std Book" w:cs="Calibri"/>
                <w:color w:val="005CA9"/>
                <w:sz w:val="13"/>
                <w:szCs w:val="13"/>
              </w:rPr>
              <w:t>7</w:t>
            </w:r>
            <w:r w:rsidRPr="00667139">
              <w:rPr>
                <w:rFonts w:ascii="CAIXA Std Book" w:hAnsi="CAIXA Std Book" w:cs="Calibri"/>
                <w:color w:val="005CA9"/>
                <w:sz w:val="13"/>
                <w:szCs w:val="13"/>
              </w:rPr>
              <w:t>)</w:t>
            </w:r>
          </w:p>
        </w:tc>
        <w:tc>
          <w:tcPr>
            <w:tcW w:w="389" w:type="pct"/>
            <w:tcBorders>
              <w:top w:val="nil"/>
              <w:left w:val="nil"/>
              <w:bottom w:val="nil"/>
              <w:right w:val="nil"/>
            </w:tcBorders>
            <w:shd w:val="clear" w:color="auto" w:fill="auto"/>
            <w:noWrap/>
            <w:vAlign w:val="center"/>
          </w:tcPr>
          <w:p w14:paraId="4DB642EF" w14:textId="304D2B40"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0" w:type="pct"/>
            <w:tcBorders>
              <w:top w:val="nil"/>
              <w:left w:val="nil"/>
              <w:bottom w:val="nil"/>
              <w:right w:val="nil"/>
            </w:tcBorders>
            <w:shd w:val="clear" w:color="auto" w:fill="auto"/>
            <w:vAlign w:val="center"/>
          </w:tcPr>
          <w:p w14:paraId="6432A33D" w14:textId="3F36AC57"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right w:val="nil"/>
            </w:tcBorders>
            <w:shd w:val="clear" w:color="auto" w:fill="auto"/>
            <w:noWrap/>
            <w:vAlign w:val="center"/>
          </w:tcPr>
          <w:p w14:paraId="05AD41E4" w14:textId="1F2E9DEE"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9" w:type="pct"/>
            <w:tcBorders>
              <w:top w:val="nil"/>
              <w:left w:val="nil"/>
              <w:bottom w:val="nil"/>
              <w:right w:val="nil"/>
            </w:tcBorders>
            <w:shd w:val="clear" w:color="auto" w:fill="auto"/>
            <w:noWrap/>
            <w:vAlign w:val="center"/>
          </w:tcPr>
          <w:p w14:paraId="62C57C6D" w14:textId="37319BE3"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tcBorders>
            <w:shd w:val="clear" w:color="auto" w:fill="auto"/>
            <w:noWrap/>
            <w:vAlign w:val="center"/>
          </w:tcPr>
          <w:p w14:paraId="4D434F11" w14:textId="0A7A9AC1"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(345.240)</w:t>
            </w:r>
          </w:p>
        </w:tc>
        <w:tc>
          <w:tcPr>
            <w:tcW w:w="379" w:type="pct"/>
            <w:tcBorders>
              <w:top w:val="nil"/>
              <w:left w:val="nil"/>
              <w:bottom w:val="nil"/>
              <w:right w:val="nil"/>
            </w:tcBorders>
            <w:shd w:val="clear" w:color="auto" w:fill="auto"/>
            <w:noWrap/>
            <w:vAlign w:val="center"/>
          </w:tcPr>
          <w:p w14:paraId="2A3D277A" w14:textId="4983AE87"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0720472B" w14:textId="2399B408"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9" w:type="pct"/>
            <w:tcBorders>
              <w:top w:val="nil"/>
              <w:left w:val="nil"/>
              <w:bottom w:val="nil"/>
              <w:right w:val="nil"/>
            </w:tcBorders>
            <w:shd w:val="clear" w:color="auto" w:fill="auto"/>
            <w:noWrap/>
            <w:vAlign w:val="center"/>
          </w:tcPr>
          <w:p w14:paraId="7C56F9E9" w14:textId="3A7C50A7"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2FBE4FD0" w14:textId="770A5CB6"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7" w:type="pct"/>
            <w:tcBorders>
              <w:top w:val="nil"/>
              <w:left w:val="nil"/>
              <w:bottom w:val="nil"/>
              <w:right w:val="single" w:sz="8" w:space="0" w:color="FCE4D6"/>
            </w:tcBorders>
            <w:shd w:val="clear" w:color="auto" w:fill="auto"/>
            <w:noWrap/>
            <w:vAlign w:val="center"/>
          </w:tcPr>
          <w:p w14:paraId="3308B541" w14:textId="30CE6C56"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(327.728)</w:t>
            </w:r>
          </w:p>
        </w:tc>
      </w:tr>
      <w:tr w:rsidR="00E05CBD" w:rsidRPr="00667139" w14:paraId="1EC94762" w14:textId="77777777" w:rsidTr="00E05CBD">
        <w:trPr>
          <w:trHeight w:val="283"/>
        </w:trPr>
        <w:tc>
          <w:tcPr>
            <w:tcW w:w="1265" w:type="pct"/>
            <w:tcBorders>
              <w:top w:val="nil"/>
              <w:left w:val="nil"/>
            </w:tcBorders>
            <w:shd w:val="clear" w:color="auto" w:fill="auto"/>
            <w:vAlign w:val="center"/>
          </w:tcPr>
          <w:p w14:paraId="581D0156" w14:textId="3255B1FE"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Administrativas (</w:t>
            </w:r>
            <w:r w:rsidR="00A52980">
              <w:rPr>
                <w:rFonts w:ascii="CAIXA Std Book" w:hAnsi="CAIXA Std Book" w:cs="Calibri"/>
                <w:color w:val="005CA9"/>
                <w:sz w:val="13"/>
                <w:szCs w:val="13"/>
              </w:rPr>
              <w:t>8</w:t>
            </w:r>
            <w:r w:rsidRPr="00667139">
              <w:rPr>
                <w:rFonts w:ascii="CAIXA Std Book" w:hAnsi="CAIXA Std Book" w:cs="Calibri"/>
                <w:color w:val="005CA9"/>
                <w:sz w:val="13"/>
                <w:szCs w:val="13"/>
              </w:rPr>
              <w:t>)</w:t>
            </w:r>
          </w:p>
        </w:tc>
        <w:tc>
          <w:tcPr>
            <w:tcW w:w="389" w:type="pct"/>
            <w:tcBorders>
              <w:top w:val="nil"/>
              <w:left w:val="nil"/>
              <w:bottom w:val="nil"/>
              <w:right w:val="nil"/>
            </w:tcBorders>
            <w:shd w:val="clear" w:color="auto" w:fill="auto"/>
            <w:noWrap/>
            <w:vAlign w:val="center"/>
          </w:tcPr>
          <w:p w14:paraId="6BC9252B" w14:textId="0DCE3444"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20" w:type="pct"/>
            <w:tcBorders>
              <w:top w:val="nil"/>
              <w:left w:val="nil"/>
              <w:bottom w:val="nil"/>
              <w:right w:val="nil"/>
            </w:tcBorders>
            <w:shd w:val="clear" w:color="auto" w:fill="auto"/>
            <w:vAlign w:val="center"/>
          </w:tcPr>
          <w:p w14:paraId="1EA3D62A" w14:textId="3895923A"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right w:val="nil"/>
            </w:tcBorders>
            <w:shd w:val="clear" w:color="auto" w:fill="auto"/>
            <w:noWrap/>
            <w:vAlign w:val="center"/>
          </w:tcPr>
          <w:p w14:paraId="0E5BC055" w14:textId="6C17878E"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9" w:type="pct"/>
            <w:tcBorders>
              <w:top w:val="nil"/>
              <w:left w:val="nil"/>
              <w:bottom w:val="nil"/>
              <w:right w:val="nil"/>
            </w:tcBorders>
            <w:shd w:val="clear" w:color="auto" w:fill="auto"/>
            <w:noWrap/>
            <w:vAlign w:val="center"/>
          </w:tcPr>
          <w:p w14:paraId="70EE43C2" w14:textId="0352A0E0"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nil"/>
            </w:tcBorders>
            <w:shd w:val="clear" w:color="auto" w:fill="auto"/>
            <w:noWrap/>
            <w:vAlign w:val="center"/>
          </w:tcPr>
          <w:p w14:paraId="7FAA633B" w14:textId="54D1B3D8"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(9.347)</w:t>
            </w:r>
          </w:p>
        </w:tc>
        <w:tc>
          <w:tcPr>
            <w:tcW w:w="379" w:type="pct"/>
            <w:tcBorders>
              <w:top w:val="nil"/>
              <w:left w:val="nil"/>
              <w:bottom w:val="nil"/>
              <w:right w:val="nil"/>
            </w:tcBorders>
            <w:shd w:val="clear" w:color="auto" w:fill="auto"/>
            <w:noWrap/>
            <w:vAlign w:val="center"/>
          </w:tcPr>
          <w:p w14:paraId="46ADD514" w14:textId="27F8C77E"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15D449D8" w14:textId="3053963A"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9" w:type="pct"/>
            <w:tcBorders>
              <w:top w:val="nil"/>
              <w:left w:val="nil"/>
              <w:bottom w:val="nil"/>
              <w:right w:val="nil"/>
            </w:tcBorders>
            <w:shd w:val="clear" w:color="auto" w:fill="auto"/>
            <w:noWrap/>
            <w:vAlign w:val="center"/>
          </w:tcPr>
          <w:p w14:paraId="0C219453" w14:textId="352B6C56"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8" w:type="pct"/>
            <w:tcBorders>
              <w:top w:val="nil"/>
              <w:left w:val="nil"/>
              <w:bottom w:val="nil"/>
              <w:right w:val="nil"/>
            </w:tcBorders>
            <w:shd w:val="clear" w:color="auto" w:fill="auto"/>
            <w:noWrap/>
            <w:vAlign w:val="center"/>
          </w:tcPr>
          <w:p w14:paraId="7F43F81C" w14:textId="25460395"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7" w:type="pct"/>
            <w:tcBorders>
              <w:top w:val="nil"/>
              <w:left w:val="nil"/>
              <w:bottom w:val="nil"/>
              <w:right w:val="single" w:sz="8" w:space="0" w:color="FCE4D6"/>
            </w:tcBorders>
            <w:shd w:val="clear" w:color="auto" w:fill="auto"/>
            <w:noWrap/>
            <w:vAlign w:val="center"/>
          </w:tcPr>
          <w:p w14:paraId="6D9240B5" w14:textId="5CF41C83"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(9.607)</w:t>
            </w:r>
          </w:p>
        </w:tc>
      </w:tr>
      <w:tr w:rsidR="00E05CBD" w:rsidRPr="00667139" w14:paraId="4131438F" w14:textId="77777777" w:rsidTr="00E05CBD">
        <w:trPr>
          <w:trHeight w:val="283"/>
        </w:trPr>
        <w:tc>
          <w:tcPr>
            <w:tcW w:w="1265" w:type="pct"/>
            <w:tcBorders>
              <w:top w:val="nil"/>
              <w:left w:val="nil"/>
              <w:bottom w:val="single" w:sz="4" w:space="0" w:color="F79646" w:themeColor="accent6"/>
            </w:tcBorders>
            <w:shd w:val="clear" w:color="auto" w:fill="auto"/>
            <w:vAlign w:val="center"/>
          </w:tcPr>
          <w:p w14:paraId="2AC4362C" w14:textId="650FEDB0" w:rsidR="00E05CBD" w:rsidRPr="00667139" w:rsidRDefault="00E05CBD" w:rsidP="00E05CBD">
            <w:pPr>
              <w:rPr>
                <w:rFonts w:ascii="CAIXA Std Book" w:hAnsi="CAIXA Std Book" w:cs="Calibri"/>
                <w:color w:val="005CA9"/>
                <w:sz w:val="13"/>
                <w:szCs w:val="13"/>
              </w:rPr>
            </w:pPr>
            <w:r w:rsidRPr="00667139">
              <w:rPr>
                <w:rFonts w:ascii="CAIXA Std Book" w:hAnsi="CAIXA Std Book" w:cs="Calibri"/>
                <w:color w:val="005CA9"/>
                <w:sz w:val="13"/>
                <w:szCs w:val="13"/>
              </w:rPr>
              <w:t>Outras despesas operacionais (</w:t>
            </w:r>
            <w:r w:rsidR="00A52980">
              <w:rPr>
                <w:rFonts w:ascii="CAIXA Std Book" w:hAnsi="CAIXA Std Book" w:cs="Calibri"/>
                <w:color w:val="005CA9"/>
                <w:sz w:val="13"/>
                <w:szCs w:val="13"/>
              </w:rPr>
              <w:t>9</w:t>
            </w:r>
            <w:r w:rsidRPr="00667139">
              <w:rPr>
                <w:rFonts w:ascii="CAIXA Std Book" w:hAnsi="CAIXA Std Book" w:cs="Calibri"/>
                <w:color w:val="005CA9"/>
                <w:sz w:val="13"/>
                <w:szCs w:val="13"/>
              </w:rPr>
              <w:t>)</w:t>
            </w:r>
          </w:p>
        </w:tc>
        <w:tc>
          <w:tcPr>
            <w:tcW w:w="389" w:type="pct"/>
            <w:tcBorders>
              <w:top w:val="nil"/>
              <w:left w:val="nil"/>
              <w:bottom w:val="single" w:sz="4" w:space="0" w:color="F39200"/>
              <w:right w:val="nil"/>
            </w:tcBorders>
            <w:shd w:val="clear" w:color="auto" w:fill="auto"/>
            <w:noWrap/>
            <w:vAlign w:val="center"/>
          </w:tcPr>
          <w:p w14:paraId="445EF8F8" w14:textId="6167EE49"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(219.516)</w:t>
            </w:r>
          </w:p>
        </w:tc>
        <w:tc>
          <w:tcPr>
            <w:tcW w:w="320" w:type="pct"/>
            <w:tcBorders>
              <w:top w:val="nil"/>
              <w:left w:val="nil"/>
              <w:bottom w:val="single" w:sz="4" w:space="0" w:color="F39200"/>
              <w:right w:val="nil"/>
            </w:tcBorders>
            <w:shd w:val="clear" w:color="auto" w:fill="auto"/>
            <w:vAlign w:val="center"/>
          </w:tcPr>
          <w:p w14:paraId="0A822AC6" w14:textId="444F80F8" w:rsidR="00E05CBD" w:rsidRPr="00667139" w:rsidRDefault="00E05CBD" w:rsidP="00E05CBD">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378" w:type="pct"/>
            <w:tcBorders>
              <w:top w:val="nil"/>
              <w:left w:val="nil"/>
              <w:bottom w:val="single" w:sz="4" w:space="0" w:color="F39200"/>
              <w:right w:val="nil"/>
            </w:tcBorders>
            <w:shd w:val="clear" w:color="auto" w:fill="auto"/>
            <w:noWrap/>
            <w:vAlign w:val="center"/>
          </w:tcPr>
          <w:p w14:paraId="3EAF97E4" w14:textId="3E62A65B"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(30.267)</w:t>
            </w:r>
          </w:p>
        </w:tc>
        <w:tc>
          <w:tcPr>
            <w:tcW w:w="379" w:type="pct"/>
            <w:tcBorders>
              <w:top w:val="nil"/>
              <w:left w:val="nil"/>
              <w:bottom w:val="single" w:sz="4" w:space="0" w:color="F39200"/>
              <w:right w:val="nil"/>
            </w:tcBorders>
            <w:shd w:val="clear" w:color="auto" w:fill="auto"/>
            <w:noWrap/>
            <w:vAlign w:val="center"/>
          </w:tcPr>
          <w:p w14:paraId="7162D4E0" w14:textId="0CBCE548"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(161.908)</w:t>
            </w:r>
          </w:p>
        </w:tc>
        <w:tc>
          <w:tcPr>
            <w:tcW w:w="378" w:type="pct"/>
            <w:tcBorders>
              <w:top w:val="nil"/>
              <w:left w:val="nil"/>
              <w:bottom w:val="single" w:sz="4" w:space="0" w:color="F39200"/>
            </w:tcBorders>
            <w:shd w:val="clear" w:color="auto" w:fill="auto"/>
            <w:noWrap/>
            <w:vAlign w:val="center"/>
          </w:tcPr>
          <w:p w14:paraId="778D876A" w14:textId="3FE14B6B" w:rsidR="00E05CBD" w:rsidRPr="00667139" w:rsidRDefault="00E05CBD" w:rsidP="00E05CBD">
            <w:pPr>
              <w:jc w:val="right"/>
              <w:rPr>
                <w:rFonts w:ascii="CAIXA Std Book" w:hAnsi="CAIXA Std Book" w:cs="Calibri"/>
                <w:color w:val="005CA9"/>
                <w:sz w:val="13"/>
                <w:szCs w:val="13"/>
              </w:rPr>
            </w:pPr>
            <w:r>
              <w:rPr>
                <w:rFonts w:ascii="CAIXA Std Book" w:hAnsi="CAIXA Std Book" w:cs="Calibri"/>
                <w:color w:val="005CA9"/>
                <w:sz w:val="13"/>
                <w:szCs w:val="13"/>
              </w:rPr>
              <w:t>(7.966.934)</w:t>
            </w:r>
          </w:p>
        </w:tc>
        <w:tc>
          <w:tcPr>
            <w:tcW w:w="379" w:type="pct"/>
            <w:tcBorders>
              <w:top w:val="nil"/>
              <w:left w:val="nil"/>
              <w:bottom w:val="single" w:sz="4" w:space="0" w:color="F79646" w:themeColor="accent6"/>
              <w:right w:val="nil"/>
            </w:tcBorders>
            <w:shd w:val="clear" w:color="auto" w:fill="auto"/>
            <w:noWrap/>
            <w:vAlign w:val="center"/>
          </w:tcPr>
          <w:p w14:paraId="0B90D909" w14:textId="31D0B9A2"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(259.075)</w:t>
            </w:r>
          </w:p>
        </w:tc>
        <w:tc>
          <w:tcPr>
            <w:tcW w:w="378" w:type="pct"/>
            <w:tcBorders>
              <w:top w:val="nil"/>
              <w:left w:val="nil"/>
              <w:bottom w:val="single" w:sz="4" w:space="0" w:color="F79646" w:themeColor="accent6"/>
              <w:right w:val="nil"/>
            </w:tcBorders>
            <w:shd w:val="clear" w:color="auto" w:fill="auto"/>
            <w:noWrap/>
            <w:vAlign w:val="center"/>
          </w:tcPr>
          <w:p w14:paraId="4EE2D48F" w14:textId="3392DEBD" w:rsidR="00E05CBD" w:rsidRPr="00667139" w:rsidRDefault="00E05CBD" w:rsidP="00E05CBD">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379" w:type="pct"/>
            <w:tcBorders>
              <w:top w:val="nil"/>
              <w:left w:val="nil"/>
              <w:bottom w:val="single" w:sz="4" w:space="0" w:color="F79646" w:themeColor="accent6"/>
              <w:right w:val="nil"/>
            </w:tcBorders>
            <w:shd w:val="clear" w:color="auto" w:fill="auto"/>
            <w:noWrap/>
            <w:vAlign w:val="center"/>
          </w:tcPr>
          <w:p w14:paraId="6F0144D1" w14:textId="201EB4DA"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(188.783)</w:t>
            </w:r>
          </w:p>
        </w:tc>
        <w:tc>
          <w:tcPr>
            <w:tcW w:w="378" w:type="pct"/>
            <w:tcBorders>
              <w:top w:val="nil"/>
              <w:left w:val="nil"/>
              <w:bottom w:val="single" w:sz="4" w:space="0" w:color="F79646" w:themeColor="accent6"/>
              <w:right w:val="nil"/>
            </w:tcBorders>
            <w:shd w:val="clear" w:color="auto" w:fill="auto"/>
            <w:noWrap/>
            <w:vAlign w:val="center"/>
          </w:tcPr>
          <w:p w14:paraId="1EBA0216" w14:textId="6818F52F"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(5.554)</w:t>
            </w:r>
          </w:p>
        </w:tc>
        <w:tc>
          <w:tcPr>
            <w:tcW w:w="377" w:type="pct"/>
            <w:tcBorders>
              <w:top w:val="nil"/>
              <w:left w:val="nil"/>
              <w:bottom w:val="single" w:sz="4" w:space="0" w:color="F79646" w:themeColor="accent6"/>
              <w:right w:val="single" w:sz="8" w:space="0" w:color="FCE4D6"/>
            </w:tcBorders>
            <w:shd w:val="clear" w:color="auto" w:fill="auto"/>
            <w:noWrap/>
            <w:vAlign w:val="center"/>
          </w:tcPr>
          <w:p w14:paraId="60EEB8B8" w14:textId="5E0D9661" w:rsidR="00E05CBD" w:rsidRPr="00667139" w:rsidRDefault="00E05CBD" w:rsidP="00E05CBD">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(9.536.747)</w:t>
            </w:r>
          </w:p>
        </w:tc>
      </w:tr>
    </w:tbl>
    <w:p w14:paraId="6C982581" w14:textId="0DF58458"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(1) Em Controladora, corresponde à renda de prestação de serviços em programas sociais e operações de repasses do OGU.</w:t>
      </w:r>
    </w:p>
    <w:p w14:paraId="23E3C970"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(2) Em Controlada em conjunto, representa operações de cartões de débito e crédito contratadas com a Elo Serviços.</w:t>
      </w:r>
    </w:p>
    <w:p w14:paraId="74B3A606"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 xml:space="preserve">(3) Em Coligadas, trata-se de rendas </w:t>
      </w:r>
      <w:proofErr w:type="spellStart"/>
      <w:r>
        <w:rPr>
          <w:rFonts w:ascii="CAIXA Std Book" w:hAnsi="CAIXA Std Book"/>
          <w:color w:val="005CA9"/>
          <w:sz w:val="12"/>
          <w:szCs w:val="12"/>
        </w:rPr>
        <w:t>proveninentes</w:t>
      </w:r>
      <w:proofErr w:type="spellEnd"/>
      <w:r>
        <w:rPr>
          <w:rFonts w:ascii="CAIXA Std Book" w:hAnsi="CAIXA Std Book"/>
          <w:color w:val="005CA9"/>
          <w:sz w:val="12"/>
          <w:szCs w:val="12"/>
        </w:rPr>
        <w:t xml:space="preserve"> da comercialização de produtos de coligadas do grupo Caixa Seguridade.</w:t>
      </w:r>
    </w:p>
    <w:p w14:paraId="2AF53A4E"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(4) Em Outras entidades, refere-se a rendas com prestação de serviços e tarifas sobre FGTS, FIES, fundos de investimento e outras entidades e programas governamentais, representados na Nota 24.</w:t>
      </w:r>
    </w:p>
    <w:p w14:paraId="1844E49D" w14:textId="518C297E" w:rsidR="00FF139E" w:rsidRPr="0087648B" w:rsidRDefault="00FF139E" w:rsidP="00FF139E">
      <w:pPr>
        <w:jc w:val="both"/>
        <w:rPr>
          <w:rFonts w:ascii="CAIXA Std Book" w:hAnsi="CAIXA Std Book"/>
          <w:color w:val="005CA9"/>
          <w:sz w:val="12"/>
          <w:szCs w:val="12"/>
        </w:rPr>
      </w:pPr>
      <w:r w:rsidRPr="0087648B">
        <w:rPr>
          <w:rFonts w:ascii="CAIXA Std Book" w:hAnsi="CAIXA Std Book"/>
          <w:color w:val="005CA9"/>
          <w:sz w:val="12"/>
          <w:szCs w:val="12"/>
        </w:rPr>
        <w:t>(</w:t>
      </w:r>
      <w:r w:rsidR="004D0A1C">
        <w:rPr>
          <w:rFonts w:ascii="CAIXA Std Book" w:hAnsi="CAIXA Std Book"/>
          <w:color w:val="005CA9"/>
          <w:sz w:val="12"/>
          <w:szCs w:val="12"/>
        </w:rPr>
        <w:t>5</w:t>
      </w:r>
      <w:r w:rsidRPr="0087648B">
        <w:rPr>
          <w:rFonts w:ascii="CAIXA Std Book" w:hAnsi="CAIXA Std Book"/>
          <w:color w:val="005CA9"/>
          <w:sz w:val="12"/>
          <w:szCs w:val="12"/>
        </w:rPr>
        <w:t xml:space="preserve">) </w:t>
      </w:r>
      <w:r w:rsidRPr="000961A6">
        <w:rPr>
          <w:rFonts w:ascii="CAIXA Std Book" w:hAnsi="CAIXA Std Book"/>
          <w:color w:val="005CA9"/>
          <w:sz w:val="12"/>
          <w:szCs w:val="12"/>
        </w:rPr>
        <w:t xml:space="preserve">Em </w:t>
      </w:r>
      <w:r w:rsidR="000D5348">
        <w:rPr>
          <w:rFonts w:ascii="CAIXA Std Book" w:hAnsi="CAIXA Std Book"/>
          <w:color w:val="005CA9"/>
          <w:sz w:val="12"/>
          <w:szCs w:val="12"/>
        </w:rPr>
        <w:t>C</w:t>
      </w:r>
      <w:r w:rsidRPr="000961A6">
        <w:rPr>
          <w:rFonts w:ascii="CAIXA Std Book" w:hAnsi="CAIXA Std Book"/>
          <w:color w:val="005CA9"/>
          <w:sz w:val="12"/>
          <w:szCs w:val="12"/>
        </w:rPr>
        <w:t>ontrolada em conjunto, o saldo é composto por transações com</w:t>
      </w:r>
      <w:r w:rsidR="000D5348">
        <w:rPr>
          <w:rFonts w:ascii="CAIXA Std Book" w:hAnsi="CAIXA Std Book"/>
          <w:color w:val="005CA9"/>
          <w:sz w:val="12"/>
          <w:szCs w:val="12"/>
        </w:rPr>
        <w:t xml:space="preserve"> a</w:t>
      </w:r>
      <w:r w:rsidRPr="000961A6">
        <w:rPr>
          <w:rFonts w:ascii="CAIXA Std Book" w:hAnsi="CAIXA Std Book"/>
          <w:color w:val="005CA9"/>
          <w:sz w:val="12"/>
          <w:szCs w:val="12"/>
        </w:rPr>
        <w:t xml:space="preserve"> Elo Serviços e em </w:t>
      </w:r>
      <w:r w:rsidR="000D5348">
        <w:rPr>
          <w:rFonts w:ascii="CAIXA Std Book" w:hAnsi="CAIXA Std Book"/>
          <w:color w:val="005CA9"/>
          <w:sz w:val="12"/>
          <w:szCs w:val="12"/>
        </w:rPr>
        <w:t>C</w:t>
      </w:r>
      <w:r w:rsidRPr="000961A6">
        <w:rPr>
          <w:rFonts w:ascii="CAIXA Std Book" w:hAnsi="CAIXA Std Book"/>
          <w:color w:val="005CA9"/>
          <w:sz w:val="12"/>
          <w:szCs w:val="12"/>
        </w:rPr>
        <w:t>oligada, com a TecBan.</w:t>
      </w:r>
    </w:p>
    <w:p w14:paraId="260318C7" w14:textId="1EE2DC78" w:rsidR="00FF139E" w:rsidRDefault="00FF139E" w:rsidP="00FF139E">
      <w:pPr>
        <w:jc w:val="both"/>
        <w:rPr>
          <w:rFonts w:ascii="CAIXA Std Book" w:hAnsi="CAIXA Std Book"/>
          <w:color w:val="005CA9"/>
          <w:sz w:val="12"/>
          <w:szCs w:val="12"/>
        </w:rPr>
      </w:pPr>
      <w:r w:rsidRPr="00654472">
        <w:rPr>
          <w:rFonts w:ascii="CAIXA Std Book" w:hAnsi="CAIXA Std Book"/>
          <w:color w:val="005CA9"/>
          <w:sz w:val="12"/>
          <w:szCs w:val="12"/>
        </w:rPr>
        <w:t>(</w:t>
      </w:r>
      <w:r w:rsidR="004D0A1C">
        <w:rPr>
          <w:rFonts w:ascii="CAIXA Std Book" w:hAnsi="CAIXA Std Book"/>
          <w:color w:val="005CA9"/>
          <w:sz w:val="12"/>
          <w:szCs w:val="12"/>
        </w:rPr>
        <w:t>6</w:t>
      </w:r>
      <w:r w:rsidRPr="00654472">
        <w:rPr>
          <w:rFonts w:ascii="CAIXA Std Book" w:hAnsi="CAIXA Std Book"/>
          <w:color w:val="005CA9"/>
          <w:sz w:val="12"/>
          <w:szCs w:val="12"/>
        </w:rPr>
        <w:t xml:space="preserve">) </w:t>
      </w:r>
      <w:r w:rsidR="00676EB8">
        <w:rPr>
          <w:rFonts w:ascii="CAIXA Std Book" w:hAnsi="CAIXA Std Book"/>
          <w:color w:val="005CA9"/>
          <w:sz w:val="12"/>
          <w:szCs w:val="12"/>
        </w:rPr>
        <w:t>D</w:t>
      </w:r>
      <w:r w:rsidRPr="00654472">
        <w:rPr>
          <w:rFonts w:ascii="CAIXA Std Book" w:hAnsi="CAIXA Std Book"/>
          <w:color w:val="005CA9"/>
          <w:sz w:val="12"/>
          <w:szCs w:val="12"/>
        </w:rPr>
        <w:t>espesas com juros remuneratórios e atualização monetária dos IHCD</w:t>
      </w:r>
      <w:r w:rsidR="00676EB8">
        <w:rPr>
          <w:rFonts w:ascii="CAIXA Std Book" w:hAnsi="CAIXA Std Book"/>
          <w:color w:val="005CA9"/>
          <w:sz w:val="12"/>
          <w:szCs w:val="12"/>
        </w:rPr>
        <w:t xml:space="preserve"> (Controladora)</w:t>
      </w:r>
      <w:r w:rsidRPr="00654472">
        <w:rPr>
          <w:rFonts w:ascii="CAIXA Std Book" w:hAnsi="CAIXA Std Book"/>
          <w:color w:val="005CA9"/>
          <w:sz w:val="12"/>
          <w:szCs w:val="12"/>
        </w:rPr>
        <w:t xml:space="preserve">. </w:t>
      </w:r>
      <w:r w:rsidR="00676EB8">
        <w:rPr>
          <w:rFonts w:ascii="CAIXA Std Book" w:hAnsi="CAIXA Std Book"/>
          <w:color w:val="005CA9"/>
          <w:sz w:val="12"/>
          <w:szCs w:val="12"/>
        </w:rPr>
        <w:t>O</w:t>
      </w:r>
      <w:r w:rsidRPr="00654472">
        <w:rPr>
          <w:rFonts w:ascii="CAIXA Std Book" w:hAnsi="CAIXA Std Book"/>
          <w:color w:val="005CA9"/>
          <w:sz w:val="12"/>
          <w:szCs w:val="12"/>
        </w:rPr>
        <w:t>perações com o FGTS, FAR, FDS, FGS</w:t>
      </w:r>
      <w:r w:rsidR="00676EB8">
        <w:rPr>
          <w:rFonts w:ascii="CAIXA Std Book" w:hAnsi="CAIXA Std Book"/>
          <w:color w:val="005CA9"/>
          <w:sz w:val="12"/>
          <w:szCs w:val="12"/>
        </w:rPr>
        <w:t xml:space="preserve"> (</w:t>
      </w:r>
      <w:r w:rsidR="00FB5A52">
        <w:rPr>
          <w:rFonts w:ascii="CAIXA Std Book" w:hAnsi="CAIXA Std Book"/>
          <w:color w:val="005CA9"/>
          <w:sz w:val="12"/>
          <w:szCs w:val="12"/>
        </w:rPr>
        <w:t>Outras entidades)</w:t>
      </w:r>
      <w:r w:rsidRPr="00654472">
        <w:rPr>
          <w:rFonts w:ascii="CAIXA Std Book" w:hAnsi="CAIXA Std Book"/>
          <w:color w:val="005CA9"/>
          <w:sz w:val="12"/>
          <w:szCs w:val="12"/>
        </w:rPr>
        <w:t>.</w:t>
      </w:r>
    </w:p>
    <w:p w14:paraId="5FDA578B" w14:textId="0030996D" w:rsidR="00FF139E" w:rsidRDefault="00FF139E" w:rsidP="00FF139E">
      <w:pPr>
        <w:jc w:val="both"/>
        <w:rPr>
          <w:rFonts w:ascii="CAIXA Std Book" w:hAnsi="CAIXA Std Book"/>
          <w:color w:val="005CA9"/>
          <w:sz w:val="12"/>
          <w:szCs w:val="12"/>
        </w:rPr>
      </w:pPr>
      <w:r w:rsidRPr="001D743F">
        <w:rPr>
          <w:rFonts w:ascii="CAIXA Std Book" w:hAnsi="CAIXA Std Book"/>
          <w:color w:val="005CA9"/>
          <w:sz w:val="12"/>
          <w:szCs w:val="12"/>
        </w:rPr>
        <w:t>(</w:t>
      </w:r>
      <w:r w:rsidR="004D0A1C">
        <w:rPr>
          <w:rFonts w:ascii="CAIXA Std Book" w:hAnsi="CAIXA Std Book"/>
          <w:color w:val="005CA9"/>
          <w:sz w:val="12"/>
          <w:szCs w:val="12"/>
        </w:rPr>
        <w:t>7</w:t>
      </w:r>
      <w:r w:rsidRPr="001D743F">
        <w:rPr>
          <w:rFonts w:ascii="CAIXA Std Book" w:hAnsi="CAIXA Std Book"/>
          <w:color w:val="005CA9"/>
          <w:sz w:val="12"/>
          <w:szCs w:val="12"/>
        </w:rPr>
        <w:t>) Despesas de previdência complementar com a Funcef, conforme Nota 25.</w:t>
      </w:r>
    </w:p>
    <w:p w14:paraId="565D53C0" w14:textId="04F26E2B" w:rsidR="00FF139E" w:rsidRPr="0087648B" w:rsidRDefault="00FF139E" w:rsidP="00FF139E">
      <w:pPr>
        <w:jc w:val="both"/>
        <w:rPr>
          <w:rFonts w:ascii="CAIXA Std Book" w:hAnsi="CAIXA Std Book"/>
          <w:color w:val="005CA9"/>
          <w:sz w:val="12"/>
          <w:szCs w:val="12"/>
        </w:rPr>
      </w:pPr>
      <w:r w:rsidRPr="0087648B">
        <w:rPr>
          <w:rFonts w:ascii="CAIXA Std Book" w:hAnsi="CAIXA Std Book"/>
          <w:color w:val="005CA9"/>
          <w:sz w:val="12"/>
          <w:szCs w:val="12"/>
        </w:rPr>
        <w:t>(</w:t>
      </w:r>
      <w:r w:rsidR="004D0A1C">
        <w:rPr>
          <w:rFonts w:ascii="CAIXA Std Book" w:hAnsi="CAIXA Std Book"/>
          <w:color w:val="005CA9"/>
          <w:sz w:val="12"/>
          <w:szCs w:val="12"/>
        </w:rPr>
        <w:t>8</w:t>
      </w:r>
      <w:r w:rsidRPr="0087648B">
        <w:rPr>
          <w:rFonts w:ascii="CAIXA Std Book" w:hAnsi="CAIXA Std Book"/>
          <w:color w:val="005CA9"/>
          <w:sz w:val="12"/>
          <w:szCs w:val="12"/>
        </w:rPr>
        <w:t xml:space="preserve">) Refere-se a despesas de aluguel </w:t>
      </w:r>
      <w:r w:rsidR="00FB5A52">
        <w:rPr>
          <w:rFonts w:ascii="CAIXA Std Book" w:hAnsi="CAIXA Std Book"/>
          <w:color w:val="005CA9"/>
          <w:sz w:val="12"/>
          <w:szCs w:val="12"/>
        </w:rPr>
        <w:t>de imóveis devidas à</w:t>
      </w:r>
      <w:r w:rsidRPr="0087648B">
        <w:rPr>
          <w:rFonts w:ascii="CAIXA Std Book" w:hAnsi="CAIXA Std Book"/>
          <w:color w:val="005CA9"/>
          <w:sz w:val="12"/>
          <w:szCs w:val="12"/>
        </w:rPr>
        <w:t xml:space="preserve"> Funcef.</w:t>
      </w:r>
    </w:p>
    <w:p w14:paraId="4E5373EB" w14:textId="77777777" w:rsidR="0058113F" w:rsidRDefault="00FF139E" w:rsidP="00FF139E">
      <w:pPr>
        <w:rPr>
          <w:rFonts w:ascii="CAIXA Std Book" w:hAnsi="CAIXA Std Book"/>
          <w:color w:val="005CA9"/>
          <w:sz w:val="12"/>
          <w:szCs w:val="12"/>
        </w:rPr>
      </w:pPr>
      <w:r w:rsidRPr="0087648B">
        <w:rPr>
          <w:rFonts w:ascii="CAIXA Std Book" w:hAnsi="CAIXA Std Book"/>
          <w:color w:val="005CA9"/>
          <w:sz w:val="12"/>
          <w:szCs w:val="12"/>
        </w:rPr>
        <w:t>(</w:t>
      </w:r>
      <w:r w:rsidR="004D0A1C">
        <w:rPr>
          <w:rFonts w:ascii="CAIXA Std Book" w:hAnsi="CAIXA Std Book"/>
          <w:color w:val="005CA9"/>
          <w:sz w:val="12"/>
          <w:szCs w:val="12"/>
        </w:rPr>
        <w:t>9</w:t>
      </w:r>
      <w:r w:rsidRPr="0087648B">
        <w:rPr>
          <w:rFonts w:ascii="CAIXA Std Book" w:hAnsi="CAIXA Std Book"/>
          <w:color w:val="005CA9"/>
          <w:sz w:val="12"/>
          <w:szCs w:val="12"/>
        </w:rPr>
        <w:t xml:space="preserve">) Em </w:t>
      </w:r>
      <w:r w:rsidR="00191906">
        <w:rPr>
          <w:rFonts w:ascii="CAIXA Std Book" w:hAnsi="CAIXA Std Book"/>
          <w:color w:val="005CA9"/>
          <w:sz w:val="12"/>
          <w:szCs w:val="12"/>
        </w:rPr>
        <w:t>O</w:t>
      </w:r>
      <w:r w:rsidRPr="0087648B">
        <w:rPr>
          <w:rFonts w:ascii="CAIXA Std Book" w:hAnsi="CAIXA Std Book"/>
          <w:color w:val="005CA9"/>
          <w:sz w:val="12"/>
          <w:szCs w:val="12"/>
        </w:rPr>
        <w:t xml:space="preserve">utras entidades, </w:t>
      </w:r>
      <w:r w:rsidR="00B24A30">
        <w:rPr>
          <w:rFonts w:ascii="CAIXA Std Book" w:hAnsi="CAIXA Std Book"/>
          <w:color w:val="005CA9"/>
          <w:sz w:val="12"/>
          <w:szCs w:val="12"/>
        </w:rPr>
        <w:t xml:space="preserve">destacam-se as </w:t>
      </w:r>
      <w:r w:rsidRPr="0087648B">
        <w:rPr>
          <w:rFonts w:ascii="CAIXA Std Book" w:hAnsi="CAIXA Std Book"/>
          <w:color w:val="005CA9"/>
          <w:sz w:val="12"/>
          <w:szCs w:val="12"/>
        </w:rPr>
        <w:t xml:space="preserve">despesas com operações de repasses </w:t>
      </w:r>
      <w:r>
        <w:rPr>
          <w:rFonts w:ascii="CAIXA Std Book" w:hAnsi="CAIXA Std Book"/>
          <w:color w:val="005CA9"/>
          <w:sz w:val="12"/>
          <w:szCs w:val="12"/>
        </w:rPr>
        <w:t>d</w:t>
      </w:r>
      <w:r w:rsidRPr="0087648B">
        <w:rPr>
          <w:rFonts w:ascii="CAIXA Std Book" w:hAnsi="CAIXA Std Book"/>
          <w:color w:val="005CA9"/>
          <w:sz w:val="12"/>
          <w:szCs w:val="12"/>
        </w:rPr>
        <w:t>o FGTS, BNDES e outros, conforme Nota 16(b).</w:t>
      </w:r>
    </w:p>
    <w:p w14:paraId="33F3DB49" w14:textId="103B4F07" w:rsidR="0070547B" w:rsidRPr="00616EE1" w:rsidRDefault="0070547B" w:rsidP="00FF139E">
      <w:pPr>
        <w:rPr>
          <w:rFonts w:ascii="CAIXA Std Book" w:hAnsi="CAIXA Std Book"/>
          <w:color w:val="005CA9"/>
        </w:rPr>
      </w:pPr>
      <w:r w:rsidRPr="00616EE1">
        <w:rPr>
          <w:rFonts w:ascii="CAIXA Std Book" w:hAnsi="CAIXA Std Book"/>
          <w:color w:val="005CA9"/>
        </w:rPr>
        <w:br w:type="page"/>
      </w:r>
    </w:p>
    <w:tbl>
      <w:tblPr>
        <w:tblW w:w="5000" w:type="pct"/>
        <w:tblLayout w:type="fixed"/>
        <w:tblCellMar>
          <w:left w:w="70" w:type="dxa"/>
          <w:right w:w="70" w:type="dxa"/>
        </w:tblCellMar>
        <w:tblLook w:val="04A0" w:firstRow="1" w:lastRow="0" w:firstColumn="1" w:lastColumn="0" w:noHBand="0" w:noVBand="1"/>
      </w:tblPr>
      <w:tblGrid>
        <w:gridCol w:w="3687"/>
        <w:gridCol w:w="1239"/>
        <w:gridCol w:w="1378"/>
        <w:gridCol w:w="1378"/>
        <w:gridCol w:w="1378"/>
        <w:gridCol w:w="1378"/>
        <w:gridCol w:w="1378"/>
        <w:gridCol w:w="1378"/>
        <w:gridCol w:w="1375"/>
      </w:tblGrid>
      <w:tr w:rsidR="003B2B2A" w:rsidRPr="00667139" w14:paraId="38BBF2AE" w14:textId="77777777" w:rsidTr="0087648B">
        <w:trPr>
          <w:trHeight w:val="283"/>
        </w:trPr>
        <w:tc>
          <w:tcPr>
            <w:tcW w:w="5000" w:type="pct"/>
            <w:gridSpan w:val="9"/>
            <w:tcBorders>
              <w:top w:val="single" w:sz="4" w:space="0" w:color="F79646" w:themeColor="accent6"/>
              <w:left w:val="nil"/>
              <w:bottom w:val="single" w:sz="4" w:space="0" w:color="F79646" w:themeColor="accent6"/>
              <w:right w:val="nil"/>
            </w:tcBorders>
            <w:shd w:val="clear" w:color="auto" w:fill="auto"/>
            <w:vAlign w:val="center"/>
          </w:tcPr>
          <w:p w14:paraId="6F5205F8" w14:textId="77777777" w:rsidR="00782118" w:rsidRPr="00667139" w:rsidRDefault="00782118" w:rsidP="0077356C">
            <w:pPr>
              <w:jc w:val="center"/>
              <w:rPr>
                <w:rFonts w:ascii="CAIXA Std Book" w:hAnsi="CAIXA Std Book" w:cs="Symbol"/>
                <w:b/>
                <w:color w:val="005CA9"/>
                <w:sz w:val="13"/>
                <w:szCs w:val="13"/>
              </w:rPr>
            </w:pPr>
            <w:r w:rsidRPr="00667139">
              <w:rPr>
                <w:rFonts w:ascii="CAIXA Std Book" w:hAnsi="CAIXA Std Book" w:cs="Symbol"/>
                <w:b/>
                <w:color w:val="005CA9"/>
                <w:sz w:val="13"/>
                <w:szCs w:val="13"/>
              </w:rPr>
              <w:lastRenderedPageBreak/>
              <w:t>CONSOLIDADO</w:t>
            </w:r>
          </w:p>
        </w:tc>
      </w:tr>
      <w:tr w:rsidR="005725D8" w:rsidRPr="00667139" w14:paraId="1AD340A6" w14:textId="77777777" w:rsidTr="00B91EB0">
        <w:trPr>
          <w:trHeight w:val="283"/>
        </w:trPr>
        <w:tc>
          <w:tcPr>
            <w:tcW w:w="1265" w:type="pct"/>
            <w:vMerge w:val="restart"/>
            <w:tcBorders>
              <w:top w:val="nil"/>
              <w:left w:val="nil"/>
              <w:right w:val="nil"/>
            </w:tcBorders>
            <w:shd w:val="clear" w:color="auto" w:fill="auto"/>
            <w:vAlign w:val="center"/>
          </w:tcPr>
          <w:p w14:paraId="7C8A3492" w14:textId="4F0A289C" w:rsidR="005725D8" w:rsidRPr="00667139" w:rsidRDefault="005725D8" w:rsidP="005725D8">
            <w:pPr>
              <w:jc w:val="center"/>
              <w:rPr>
                <w:rFonts w:ascii="CAIXA Std Book" w:hAnsi="CAIXA Std Book" w:cs="Calibri"/>
                <w:color w:val="005CA9"/>
                <w:sz w:val="13"/>
                <w:szCs w:val="13"/>
              </w:rPr>
            </w:pPr>
            <w:r w:rsidRPr="00667139">
              <w:rPr>
                <w:rFonts w:ascii="CAIXA Std Book" w:hAnsi="CAIXA Std Book" w:cs="Calibri"/>
                <w:b/>
                <w:color w:val="005CA9"/>
                <w:sz w:val="13"/>
                <w:szCs w:val="13"/>
              </w:rPr>
              <w:t>Descrição</w:t>
            </w:r>
          </w:p>
        </w:tc>
        <w:tc>
          <w:tcPr>
            <w:tcW w:w="1844" w:type="pct"/>
            <w:gridSpan w:val="4"/>
            <w:tcBorders>
              <w:top w:val="nil"/>
              <w:left w:val="nil"/>
              <w:bottom w:val="single" w:sz="4" w:space="0" w:color="F79646" w:themeColor="accent6"/>
            </w:tcBorders>
            <w:shd w:val="clear" w:color="auto" w:fill="auto"/>
            <w:noWrap/>
            <w:vAlign w:val="center"/>
          </w:tcPr>
          <w:p w14:paraId="5D0FB32F" w14:textId="06D49659" w:rsidR="005725D8" w:rsidRPr="00667139" w:rsidRDefault="005725D8" w:rsidP="005725D8">
            <w:pPr>
              <w:jc w:val="center"/>
              <w:rPr>
                <w:rFonts w:ascii="CAIXA Std Book" w:hAnsi="CAIXA Std Book" w:cs="Calibri"/>
                <w:b/>
                <w:color w:val="005CA9"/>
                <w:sz w:val="13"/>
                <w:szCs w:val="13"/>
              </w:rPr>
            </w:pPr>
            <w:r w:rsidRPr="00667139">
              <w:rPr>
                <w:rFonts w:ascii="CAIXA Std Book" w:eastAsia="Times New Roman" w:hAnsi="CAIXA Std Book" w:cs="Arial"/>
                <w:b/>
                <w:color w:val="005CA9"/>
                <w:sz w:val="13"/>
                <w:szCs w:val="13"/>
              </w:rPr>
              <w:t>1º trimestre - 2024</w:t>
            </w:r>
          </w:p>
        </w:tc>
        <w:tc>
          <w:tcPr>
            <w:tcW w:w="1891" w:type="pct"/>
            <w:gridSpan w:val="4"/>
            <w:tcBorders>
              <w:top w:val="nil"/>
              <w:left w:val="nil"/>
              <w:bottom w:val="single" w:sz="4" w:space="0" w:color="F79646" w:themeColor="accent6"/>
              <w:right w:val="nil"/>
            </w:tcBorders>
            <w:shd w:val="clear" w:color="auto" w:fill="auto"/>
            <w:noWrap/>
            <w:vAlign w:val="center"/>
          </w:tcPr>
          <w:p w14:paraId="3E59EC83" w14:textId="0ACCDFCE" w:rsidR="005725D8" w:rsidRPr="00667139" w:rsidRDefault="005725D8" w:rsidP="005725D8">
            <w:pPr>
              <w:jc w:val="center"/>
              <w:rPr>
                <w:rFonts w:ascii="CAIXA Std Book" w:hAnsi="CAIXA Std Book" w:cs="Calibri"/>
                <w:color w:val="005CA9"/>
                <w:sz w:val="13"/>
                <w:szCs w:val="13"/>
              </w:rPr>
            </w:pPr>
            <w:r w:rsidRPr="00667139">
              <w:rPr>
                <w:rFonts w:ascii="CAIXA Std Book" w:eastAsia="Times New Roman" w:hAnsi="CAIXA Std Book" w:cs="Arial"/>
                <w:b/>
                <w:color w:val="005CA9"/>
                <w:sz w:val="13"/>
                <w:szCs w:val="13"/>
              </w:rPr>
              <w:t>1º trimestre - 2023</w:t>
            </w:r>
          </w:p>
        </w:tc>
      </w:tr>
      <w:tr w:rsidR="00DF1C18" w:rsidRPr="00667139" w14:paraId="74E9989A" w14:textId="77777777" w:rsidTr="00B91EB0">
        <w:trPr>
          <w:trHeight w:val="283"/>
        </w:trPr>
        <w:tc>
          <w:tcPr>
            <w:tcW w:w="1265" w:type="pct"/>
            <w:vMerge/>
            <w:tcBorders>
              <w:left w:val="nil"/>
              <w:bottom w:val="single" w:sz="4" w:space="0" w:color="F79646" w:themeColor="accent6"/>
              <w:right w:val="nil"/>
            </w:tcBorders>
            <w:shd w:val="clear" w:color="auto" w:fill="auto"/>
            <w:vAlign w:val="center"/>
          </w:tcPr>
          <w:p w14:paraId="793CFC90" w14:textId="77777777" w:rsidR="003F7C34" w:rsidRPr="00667139" w:rsidRDefault="003F7C34" w:rsidP="006F164D">
            <w:pPr>
              <w:jc w:val="center"/>
              <w:rPr>
                <w:rFonts w:ascii="CAIXA Std Book" w:hAnsi="CAIXA Std Book" w:cs="Calibri"/>
                <w:b/>
                <w:color w:val="005CA9"/>
                <w:sz w:val="13"/>
                <w:szCs w:val="13"/>
              </w:rPr>
            </w:pPr>
          </w:p>
        </w:tc>
        <w:tc>
          <w:tcPr>
            <w:tcW w:w="425" w:type="pct"/>
            <w:tcBorders>
              <w:top w:val="nil"/>
              <w:left w:val="nil"/>
              <w:bottom w:val="single" w:sz="4" w:space="0" w:color="F79646" w:themeColor="accent6"/>
            </w:tcBorders>
            <w:shd w:val="clear" w:color="auto" w:fill="auto"/>
            <w:noWrap/>
            <w:vAlign w:val="center"/>
          </w:tcPr>
          <w:p w14:paraId="6FC35760" w14:textId="14C175FD"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Controladora</w:t>
            </w:r>
          </w:p>
        </w:tc>
        <w:tc>
          <w:tcPr>
            <w:tcW w:w="473" w:type="pct"/>
            <w:tcBorders>
              <w:top w:val="nil"/>
              <w:left w:val="nil"/>
              <w:bottom w:val="single" w:sz="4" w:space="0" w:color="F79646" w:themeColor="accent6"/>
            </w:tcBorders>
            <w:shd w:val="clear" w:color="auto" w:fill="auto"/>
            <w:vAlign w:val="center"/>
          </w:tcPr>
          <w:p w14:paraId="33FBF6A9" w14:textId="73B33AD5"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 em conjunto</w:t>
            </w:r>
          </w:p>
        </w:tc>
        <w:tc>
          <w:tcPr>
            <w:tcW w:w="473" w:type="pct"/>
            <w:tcBorders>
              <w:top w:val="nil"/>
              <w:left w:val="nil"/>
              <w:bottom w:val="single" w:sz="4" w:space="0" w:color="F79646" w:themeColor="accent6"/>
            </w:tcBorders>
            <w:shd w:val="clear" w:color="auto" w:fill="auto"/>
            <w:vAlign w:val="center"/>
          </w:tcPr>
          <w:p w14:paraId="643283BD" w14:textId="3DE4FF28"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Coligada</w:t>
            </w:r>
          </w:p>
        </w:tc>
        <w:tc>
          <w:tcPr>
            <w:tcW w:w="473" w:type="pct"/>
            <w:tcBorders>
              <w:top w:val="nil"/>
              <w:left w:val="nil"/>
              <w:bottom w:val="single" w:sz="4" w:space="0" w:color="F79646" w:themeColor="accent6"/>
            </w:tcBorders>
            <w:shd w:val="clear" w:color="auto" w:fill="auto"/>
            <w:vAlign w:val="center"/>
          </w:tcPr>
          <w:p w14:paraId="33B20E75" w14:textId="24024EE6"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Outras entidades</w:t>
            </w:r>
          </w:p>
        </w:tc>
        <w:tc>
          <w:tcPr>
            <w:tcW w:w="473" w:type="pct"/>
            <w:tcBorders>
              <w:top w:val="nil"/>
              <w:left w:val="nil"/>
              <w:bottom w:val="single" w:sz="4" w:space="0" w:color="F79646" w:themeColor="accent6"/>
              <w:right w:val="nil"/>
            </w:tcBorders>
            <w:shd w:val="clear" w:color="auto" w:fill="auto"/>
            <w:noWrap/>
            <w:vAlign w:val="center"/>
          </w:tcPr>
          <w:p w14:paraId="37E3ACAD" w14:textId="54326F89"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Controladora</w:t>
            </w:r>
          </w:p>
        </w:tc>
        <w:tc>
          <w:tcPr>
            <w:tcW w:w="473" w:type="pct"/>
            <w:tcBorders>
              <w:top w:val="nil"/>
              <w:left w:val="nil"/>
              <w:bottom w:val="single" w:sz="4" w:space="0" w:color="F79646" w:themeColor="accent6"/>
              <w:right w:val="nil"/>
            </w:tcBorders>
            <w:shd w:val="clear" w:color="auto" w:fill="auto"/>
            <w:vAlign w:val="center"/>
          </w:tcPr>
          <w:p w14:paraId="346441CA" w14:textId="151D6C16"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Controlada em conjunto</w:t>
            </w:r>
          </w:p>
        </w:tc>
        <w:tc>
          <w:tcPr>
            <w:tcW w:w="473" w:type="pct"/>
            <w:tcBorders>
              <w:top w:val="nil"/>
              <w:left w:val="nil"/>
              <w:bottom w:val="single" w:sz="4" w:space="0" w:color="F79646" w:themeColor="accent6"/>
              <w:right w:val="nil"/>
            </w:tcBorders>
            <w:shd w:val="clear" w:color="auto" w:fill="auto"/>
            <w:vAlign w:val="center"/>
          </w:tcPr>
          <w:p w14:paraId="053CAD2A" w14:textId="24C85791"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Coligada</w:t>
            </w:r>
          </w:p>
        </w:tc>
        <w:tc>
          <w:tcPr>
            <w:tcW w:w="472" w:type="pct"/>
            <w:tcBorders>
              <w:top w:val="nil"/>
              <w:left w:val="nil"/>
              <w:bottom w:val="single" w:sz="4" w:space="0" w:color="F79646" w:themeColor="accent6"/>
              <w:right w:val="nil"/>
            </w:tcBorders>
            <w:shd w:val="clear" w:color="auto" w:fill="auto"/>
            <w:vAlign w:val="center"/>
          </w:tcPr>
          <w:p w14:paraId="50E178F1" w14:textId="01815FB2" w:rsidR="003F7C34" w:rsidRPr="00667139" w:rsidRDefault="003F7C34" w:rsidP="006F164D">
            <w:pPr>
              <w:jc w:val="center"/>
              <w:rPr>
                <w:rFonts w:ascii="CAIXA Std Book" w:hAnsi="CAIXA Std Book" w:cs="Calibri"/>
                <w:b/>
                <w:color w:val="005CA9"/>
                <w:sz w:val="13"/>
                <w:szCs w:val="13"/>
              </w:rPr>
            </w:pPr>
            <w:r w:rsidRPr="00667139">
              <w:rPr>
                <w:rFonts w:ascii="CAIXA Std Book" w:hAnsi="CAIXA Std Book" w:cs="Symbol"/>
                <w:b/>
                <w:color w:val="005CA9"/>
                <w:sz w:val="13"/>
                <w:szCs w:val="13"/>
              </w:rPr>
              <w:t>Outras entidades</w:t>
            </w:r>
          </w:p>
        </w:tc>
      </w:tr>
      <w:tr w:rsidR="00C91950" w:rsidRPr="00667139" w14:paraId="2A249E9A" w14:textId="77777777" w:rsidTr="00B91EB0">
        <w:trPr>
          <w:trHeight w:val="283"/>
        </w:trPr>
        <w:tc>
          <w:tcPr>
            <w:tcW w:w="1265" w:type="pct"/>
            <w:tcBorders>
              <w:top w:val="single" w:sz="4" w:space="0" w:color="F79646" w:themeColor="accent6"/>
              <w:left w:val="nil"/>
              <w:bottom w:val="single" w:sz="4" w:space="0" w:color="F79646" w:themeColor="accent6"/>
            </w:tcBorders>
            <w:shd w:val="clear" w:color="auto" w:fill="auto"/>
            <w:vAlign w:val="center"/>
          </w:tcPr>
          <w:p w14:paraId="3563D8BA" w14:textId="784D7F0B" w:rsidR="00C91950" w:rsidRPr="00667139" w:rsidRDefault="00C91950" w:rsidP="00C91950">
            <w:pPr>
              <w:rPr>
                <w:rFonts w:ascii="CAIXA Std Book" w:hAnsi="CAIXA Std Book" w:cs="Calibri"/>
                <w:color w:val="005CA9"/>
                <w:sz w:val="13"/>
                <w:szCs w:val="13"/>
              </w:rPr>
            </w:pPr>
            <w:r w:rsidRPr="00667139">
              <w:rPr>
                <w:rFonts w:ascii="CAIXA Std Book" w:hAnsi="CAIXA Std Book" w:cs="Calibri"/>
                <w:b/>
                <w:color w:val="005CA9"/>
                <w:sz w:val="13"/>
                <w:szCs w:val="13"/>
              </w:rPr>
              <w:t>RECEITAS</w:t>
            </w:r>
          </w:p>
        </w:tc>
        <w:tc>
          <w:tcPr>
            <w:tcW w:w="425" w:type="pct"/>
            <w:tcBorders>
              <w:top w:val="single" w:sz="4" w:space="0" w:color="F39200"/>
              <w:left w:val="nil"/>
              <w:bottom w:val="single" w:sz="4" w:space="0" w:color="F39200"/>
              <w:right w:val="nil"/>
            </w:tcBorders>
            <w:shd w:val="clear" w:color="auto" w:fill="auto"/>
            <w:noWrap/>
            <w:vAlign w:val="center"/>
          </w:tcPr>
          <w:p w14:paraId="527E28CB" w14:textId="34A5CCCF" w:rsidR="00C91950" w:rsidRPr="00667139" w:rsidRDefault="00C91950" w:rsidP="00C91950">
            <w:pPr>
              <w:jc w:val="right"/>
              <w:rPr>
                <w:rFonts w:ascii="CAIXA Std Book" w:hAnsi="CAIXA Std Book" w:cs="Calibri"/>
                <w:b/>
                <w:color w:val="005CA9"/>
                <w:sz w:val="13"/>
                <w:szCs w:val="13"/>
              </w:rPr>
            </w:pPr>
            <w:r>
              <w:rPr>
                <w:rFonts w:ascii="CAIXA Std Book" w:hAnsi="CAIXA Std Book" w:cs="Calibri"/>
                <w:b/>
                <w:bCs/>
                <w:color w:val="005CA9"/>
                <w:sz w:val="13"/>
                <w:szCs w:val="13"/>
              </w:rPr>
              <w:t>556.491</w:t>
            </w:r>
          </w:p>
        </w:tc>
        <w:tc>
          <w:tcPr>
            <w:tcW w:w="473" w:type="pct"/>
            <w:tcBorders>
              <w:top w:val="single" w:sz="4" w:space="0" w:color="F39200"/>
              <w:left w:val="nil"/>
              <w:bottom w:val="single" w:sz="4" w:space="0" w:color="F39200"/>
              <w:right w:val="nil"/>
            </w:tcBorders>
            <w:shd w:val="clear" w:color="auto" w:fill="auto"/>
            <w:noWrap/>
            <w:vAlign w:val="center"/>
          </w:tcPr>
          <w:p w14:paraId="4CEFC9B0" w14:textId="6CD377F8" w:rsidR="00C91950" w:rsidRPr="00667139" w:rsidRDefault="00C91950" w:rsidP="00C91950">
            <w:pPr>
              <w:jc w:val="right"/>
              <w:rPr>
                <w:rFonts w:ascii="CAIXA Std Book" w:hAnsi="CAIXA Std Book" w:cs="Calibri"/>
                <w:b/>
                <w:color w:val="005CA9"/>
                <w:sz w:val="13"/>
                <w:szCs w:val="13"/>
              </w:rPr>
            </w:pPr>
            <w:r>
              <w:rPr>
                <w:rFonts w:ascii="CAIXA Std Book" w:hAnsi="CAIXA Std Book" w:cs="Calibri"/>
                <w:b/>
                <w:bCs/>
                <w:color w:val="005CA9"/>
                <w:sz w:val="13"/>
                <w:szCs w:val="13"/>
              </w:rPr>
              <w:t>231.798</w:t>
            </w:r>
          </w:p>
        </w:tc>
        <w:tc>
          <w:tcPr>
            <w:tcW w:w="473" w:type="pct"/>
            <w:tcBorders>
              <w:top w:val="single" w:sz="4" w:space="0" w:color="F39200"/>
              <w:left w:val="nil"/>
              <w:bottom w:val="single" w:sz="4" w:space="0" w:color="F39200"/>
              <w:right w:val="nil"/>
            </w:tcBorders>
            <w:shd w:val="clear" w:color="auto" w:fill="auto"/>
            <w:noWrap/>
            <w:vAlign w:val="center"/>
          </w:tcPr>
          <w:p w14:paraId="26194BE4" w14:textId="46689DD7" w:rsidR="00C91950" w:rsidRPr="00667139" w:rsidRDefault="00C91950" w:rsidP="00C91950">
            <w:pPr>
              <w:jc w:val="right"/>
              <w:rPr>
                <w:rFonts w:ascii="CAIXA Std Book" w:hAnsi="CAIXA Std Book" w:cs="Calibri"/>
                <w:b/>
                <w:color w:val="005CA9"/>
                <w:sz w:val="13"/>
                <w:szCs w:val="13"/>
              </w:rPr>
            </w:pPr>
            <w:r>
              <w:rPr>
                <w:rFonts w:ascii="CAIXA Std Book" w:hAnsi="CAIXA Std Book" w:cs="Calibri"/>
                <w:b/>
                <w:bCs/>
                <w:color w:val="005CA9"/>
                <w:sz w:val="13"/>
                <w:szCs w:val="13"/>
              </w:rPr>
              <w:t>210.324</w:t>
            </w:r>
          </w:p>
        </w:tc>
        <w:tc>
          <w:tcPr>
            <w:tcW w:w="473" w:type="pct"/>
            <w:tcBorders>
              <w:top w:val="single" w:sz="4" w:space="0" w:color="F39200"/>
              <w:left w:val="nil"/>
              <w:bottom w:val="single" w:sz="4" w:space="0" w:color="F39200"/>
            </w:tcBorders>
            <w:shd w:val="clear" w:color="auto" w:fill="auto"/>
            <w:noWrap/>
            <w:vAlign w:val="center"/>
          </w:tcPr>
          <w:p w14:paraId="33813355" w14:textId="50F4B52A" w:rsidR="00C91950" w:rsidRPr="00667139" w:rsidRDefault="00C91950" w:rsidP="00C91950">
            <w:pPr>
              <w:jc w:val="right"/>
              <w:rPr>
                <w:rFonts w:ascii="CAIXA Std Book" w:hAnsi="CAIXA Std Book" w:cs="Calibri"/>
                <w:b/>
                <w:color w:val="005CA9"/>
                <w:sz w:val="13"/>
                <w:szCs w:val="13"/>
              </w:rPr>
            </w:pPr>
            <w:r>
              <w:rPr>
                <w:rFonts w:ascii="CAIXA Std Book" w:hAnsi="CAIXA Std Book" w:cs="Calibri"/>
                <w:b/>
                <w:bCs/>
                <w:color w:val="005CA9"/>
                <w:sz w:val="13"/>
                <w:szCs w:val="13"/>
              </w:rPr>
              <w:t>3.316.323</w:t>
            </w:r>
          </w:p>
        </w:tc>
        <w:tc>
          <w:tcPr>
            <w:tcW w:w="473" w:type="pct"/>
            <w:tcBorders>
              <w:top w:val="single" w:sz="4" w:space="0" w:color="F39200"/>
              <w:left w:val="nil"/>
              <w:bottom w:val="single" w:sz="4" w:space="0" w:color="F39200"/>
              <w:right w:val="nil"/>
            </w:tcBorders>
            <w:shd w:val="clear" w:color="auto" w:fill="auto"/>
            <w:noWrap/>
            <w:vAlign w:val="center"/>
          </w:tcPr>
          <w:p w14:paraId="7E9B24FC" w14:textId="0ECFED0A" w:rsidR="00C91950" w:rsidRPr="00667139" w:rsidRDefault="00C91950" w:rsidP="00C9195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581.617</w:t>
            </w:r>
          </w:p>
        </w:tc>
        <w:tc>
          <w:tcPr>
            <w:tcW w:w="473" w:type="pct"/>
            <w:tcBorders>
              <w:top w:val="single" w:sz="4" w:space="0" w:color="F39200"/>
              <w:left w:val="nil"/>
              <w:bottom w:val="single" w:sz="4" w:space="0" w:color="F39200"/>
              <w:right w:val="nil"/>
            </w:tcBorders>
            <w:shd w:val="clear" w:color="auto" w:fill="auto"/>
            <w:noWrap/>
            <w:vAlign w:val="center"/>
          </w:tcPr>
          <w:p w14:paraId="20E6C0F9" w14:textId="02952DDF" w:rsidR="00C91950" w:rsidRPr="00667139" w:rsidRDefault="00C91950" w:rsidP="00C9195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209.133</w:t>
            </w:r>
          </w:p>
        </w:tc>
        <w:tc>
          <w:tcPr>
            <w:tcW w:w="473" w:type="pct"/>
            <w:tcBorders>
              <w:top w:val="single" w:sz="4" w:space="0" w:color="F39200"/>
              <w:left w:val="nil"/>
              <w:bottom w:val="single" w:sz="4" w:space="0" w:color="F39200"/>
              <w:right w:val="nil"/>
            </w:tcBorders>
            <w:shd w:val="clear" w:color="auto" w:fill="auto"/>
            <w:noWrap/>
            <w:vAlign w:val="center"/>
          </w:tcPr>
          <w:p w14:paraId="4F85D9D0" w14:textId="10012456" w:rsidR="00C91950" w:rsidRPr="00667139" w:rsidRDefault="00C91950" w:rsidP="00C9195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213.277</w:t>
            </w:r>
          </w:p>
        </w:tc>
        <w:tc>
          <w:tcPr>
            <w:tcW w:w="472" w:type="pct"/>
            <w:tcBorders>
              <w:top w:val="single" w:sz="4" w:space="0" w:color="F39200"/>
              <w:left w:val="nil"/>
              <w:bottom w:val="single" w:sz="4" w:space="0" w:color="F39200"/>
              <w:right w:val="nil"/>
            </w:tcBorders>
            <w:shd w:val="clear" w:color="auto" w:fill="auto"/>
            <w:noWrap/>
            <w:vAlign w:val="center"/>
          </w:tcPr>
          <w:p w14:paraId="5D01D3BB" w14:textId="06E8C739" w:rsidR="00C91950" w:rsidRPr="00667139" w:rsidRDefault="00C91950" w:rsidP="00C91950">
            <w:pPr>
              <w:jc w:val="right"/>
              <w:rPr>
                <w:rFonts w:ascii="CAIXA Std Book" w:hAnsi="CAIXA Std Book" w:cs="Calibri"/>
                <w:color w:val="005CA9"/>
                <w:sz w:val="13"/>
                <w:szCs w:val="13"/>
                <w:highlight w:val="yellow"/>
              </w:rPr>
            </w:pPr>
            <w:r w:rsidRPr="00667139">
              <w:rPr>
                <w:rFonts w:ascii="CAIXA Std Book" w:hAnsi="CAIXA Std Book" w:cs="Calibri"/>
                <w:b/>
                <w:bCs/>
                <w:color w:val="005CA9"/>
                <w:sz w:val="13"/>
                <w:szCs w:val="13"/>
              </w:rPr>
              <w:t>3.109.148</w:t>
            </w:r>
          </w:p>
        </w:tc>
      </w:tr>
      <w:tr w:rsidR="00B24A30" w:rsidRPr="00667139" w14:paraId="12E7F3E0" w14:textId="77777777" w:rsidTr="00B91EB0">
        <w:trPr>
          <w:trHeight w:val="283"/>
        </w:trPr>
        <w:tc>
          <w:tcPr>
            <w:tcW w:w="1265" w:type="pct"/>
            <w:tcBorders>
              <w:top w:val="nil"/>
              <w:left w:val="nil"/>
            </w:tcBorders>
            <w:shd w:val="clear" w:color="auto" w:fill="auto"/>
            <w:vAlign w:val="center"/>
          </w:tcPr>
          <w:p w14:paraId="59E5427A" w14:textId="196B75E7"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 xml:space="preserve">Rendas com prestação de serviços </w:t>
            </w:r>
            <w:r w:rsidR="002D456A">
              <w:rPr>
                <w:rFonts w:ascii="CAIXA Std Book" w:hAnsi="CAIXA Std Book" w:cs="Calibri"/>
                <w:color w:val="005CA9"/>
                <w:sz w:val="13"/>
                <w:szCs w:val="13"/>
              </w:rPr>
              <w:t>(1 a 4</w:t>
            </w:r>
            <w:r w:rsidR="002D456A" w:rsidRPr="00667139">
              <w:rPr>
                <w:rFonts w:ascii="CAIXA Std Book" w:hAnsi="CAIXA Std Book" w:cs="Calibri"/>
                <w:color w:val="005CA9"/>
                <w:sz w:val="13"/>
                <w:szCs w:val="13"/>
              </w:rPr>
              <w:t>)</w:t>
            </w:r>
          </w:p>
        </w:tc>
        <w:tc>
          <w:tcPr>
            <w:tcW w:w="425" w:type="pct"/>
            <w:tcBorders>
              <w:top w:val="nil"/>
              <w:left w:val="nil"/>
              <w:bottom w:val="nil"/>
              <w:right w:val="nil"/>
            </w:tcBorders>
            <w:shd w:val="clear" w:color="auto" w:fill="auto"/>
            <w:noWrap/>
            <w:vAlign w:val="center"/>
          </w:tcPr>
          <w:p w14:paraId="4B341591" w14:textId="47E6444B"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323.204</w:t>
            </w:r>
          </w:p>
        </w:tc>
        <w:tc>
          <w:tcPr>
            <w:tcW w:w="473" w:type="pct"/>
            <w:tcBorders>
              <w:top w:val="nil"/>
              <w:left w:val="nil"/>
              <w:bottom w:val="nil"/>
              <w:right w:val="nil"/>
            </w:tcBorders>
            <w:shd w:val="clear" w:color="auto" w:fill="auto"/>
            <w:noWrap/>
            <w:vAlign w:val="center"/>
          </w:tcPr>
          <w:p w14:paraId="282C2DF3" w14:textId="35B8827C"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226.901</w:t>
            </w:r>
          </w:p>
        </w:tc>
        <w:tc>
          <w:tcPr>
            <w:tcW w:w="473" w:type="pct"/>
            <w:tcBorders>
              <w:top w:val="nil"/>
              <w:left w:val="nil"/>
              <w:bottom w:val="nil"/>
              <w:right w:val="nil"/>
            </w:tcBorders>
            <w:shd w:val="clear" w:color="auto" w:fill="auto"/>
            <w:noWrap/>
            <w:vAlign w:val="center"/>
          </w:tcPr>
          <w:p w14:paraId="41EB87B0" w14:textId="02C049E9"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210.260</w:t>
            </w:r>
          </w:p>
        </w:tc>
        <w:tc>
          <w:tcPr>
            <w:tcW w:w="473" w:type="pct"/>
            <w:tcBorders>
              <w:top w:val="nil"/>
              <w:left w:val="nil"/>
              <w:bottom w:val="nil"/>
            </w:tcBorders>
            <w:shd w:val="clear" w:color="auto" w:fill="auto"/>
            <w:noWrap/>
            <w:vAlign w:val="center"/>
          </w:tcPr>
          <w:p w14:paraId="03C13E90" w14:textId="21547495"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1.228.399</w:t>
            </w:r>
          </w:p>
        </w:tc>
        <w:tc>
          <w:tcPr>
            <w:tcW w:w="473" w:type="pct"/>
            <w:tcBorders>
              <w:top w:val="nil"/>
              <w:left w:val="nil"/>
              <w:bottom w:val="nil"/>
              <w:right w:val="nil"/>
            </w:tcBorders>
            <w:shd w:val="clear" w:color="auto" w:fill="auto"/>
            <w:noWrap/>
            <w:vAlign w:val="center"/>
          </w:tcPr>
          <w:p w14:paraId="2789C2B3" w14:textId="3E054683"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296.605</w:t>
            </w:r>
          </w:p>
        </w:tc>
        <w:tc>
          <w:tcPr>
            <w:tcW w:w="473" w:type="pct"/>
            <w:tcBorders>
              <w:top w:val="nil"/>
              <w:left w:val="nil"/>
              <w:bottom w:val="nil"/>
              <w:right w:val="nil"/>
            </w:tcBorders>
            <w:shd w:val="clear" w:color="auto" w:fill="auto"/>
            <w:noWrap/>
            <w:vAlign w:val="center"/>
          </w:tcPr>
          <w:p w14:paraId="6AFF2331" w14:textId="173D86CF"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208.821</w:t>
            </w:r>
          </w:p>
        </w:tc>
        <w:tc>
          <w:tcPr>
            <w:tcW w:w="473" w:type="pct"/>
            <w:tcBorders>
              <w:top w:val="nil"/>
              <w:left w:val="nil"/>
              <w:bottom w:val="nil"/>
              <w:right w:val="nil"/>
            </w:tcBorders>
            <w:shd w:val="clear" w:color="auto" w:fill="auto"/>
            <w:noWrap/>
            <w:vAlign w:val="center"/>
          </w:tcPr>
          <w:p w14:paraId="58F60AA8" w14:textId="20E49ADC"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213.277</w:t>
            </w:r>
          </w:p>
        </w:tc>
        <w:tc>
          <w:tcPr>
            <w:tcW w:w="472" w:type="pct"/>
            <w:tcBorders>
              <w:top w:val="nil"/>
              <w:left w:val="nil"/>
              <w:bottom w:val="nil"/>
              <w:right w:val="nil"/>
            </w:tcBorders>
            <w:shd w:val="clear" w:color="auto" w:fill="auto"/>
            <w:noWrap/>
            <w:vAlign w:val="center"/>
          </w:tcPr>
          <w:p w14:paraId="7203B29C" w14:textId="4582B2D7"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1.227.962</w:t>
            </w:r>
          </w:p>
        </w:tc>
      </w:tr>
      <w:tr w:rsidR="00B24A30" w:rsidRPr="00667139" w14:paraId="728EA3D3" w14:textId="77777777" w:rsidTr="00EB4B30">
        <w:trPr>
          <w:trHeight w:val="283"/>
        </w:trPr>
        <w:tc>
          <w:tcPr>
            <w:tcW w:w="1265" w:type="pct"/>
            <w:tcBorders>
              <w:top w:val="nil"/>
              <w:left w:val="nil"/>
            </w:tcBorders>
            <w:shd w:val="clear" w:color="auto" w:fill="auto"/>
            <w:vAlign w:val="center"/>
          </w:tcPr>
          <w:p w14:paraId="67838CBF" w14:textId="0CB4FA3A"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Rendas com administração de fundos de investimento</w:t>
            </w:r>
          </w:p>
        </w:tc>
        <w:tc>
          <w:tcPr>
            <w:tcW w:w="425" w:type="pct"/>
            <w:tcBorders>
              <w:top w:val="nil"/>
              <w:left w:val="nil"/>
              <w:bottom w:val="nil"/>
              <w:right w:val="nil"/>
            </w:tcBorders>
            <w:shd w:val="clear" w:color="auto" w:fill="auto"/>
            <w:noWrap/>
            <w:vAlign w:val="center"/>
          </w:tcPr>
          <w:p w14:paraId="3CBB7A51" w14:textId="0C516B3E"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7F5043B9" w14:textId="52485F11"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4543094B" w14:textId="266DE5B5"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tcBorders>
            <w:shd w:val="clear" w:color="auto" w:fill="auto"/>
            <w:noWrap/>
            <w:vAlign w:val="center"/>
          </w:tcPr>
          <w:p w14:paraId="37C84A1A" w14:textId="0F8EAB30"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105.264</w:t>
            </w:r>
          </w:p>
        </w:tc>
        <w:tc>
          <w:tcPr>
            <w:tcW w:w="473" w:type="pct"/>
            <w:tcBorders>
              <w:top w:val="nil"/>
              <w:left w:val="nil"/>
              <w:bottom w:val="nil"/>
              <w:right w:val="nil"/>
            </w:tcBorders>
            <w:shd w:val="clear" w:color="auto" w:fill="auto"/>
            <w:noWrap/>
            <w:vAlign w:val="center"/>
          </w:tcPr>
          <w:p w14:paraId="19CFA8B4" w14:textId="08875706"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4E87D263" w14:textId="7B75D540"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4B9F075E" w14:textId="2474180C"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2" w:type="pct"/>
            <w:tcBorders>
              <w:top w:val="nil"/>
              <w:left w:val="nil"/>
              <w:bottom w:val="nil"/>
              <w:right w:val="nil"/>
            </w:tcBorders>
            <w:shd w:val="clear" w:color="auto" w:fill="auto"/>
            <w:noWrap/>
            <w:vAlign w:val="center"/>
          </w:tcPr>
          <w:p w14:paraId="2EEA6E1A" w14:textId="54B68C91"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87.024</w:t>
            </w:r>
          </w:p>
        </w:tc>
      </w:tr>
      <w:tr w:rsidR="00B24A30" w:rsidRPr="00667139" w14:paraId="0C38D426" w14:textId="77777777" w:rsidTr="00EB4B30">
        <w:trPr>
          <w:trHeight w:val="283"/>
        </w:trPr>
        <w:tc>
          <w:tcPr>
            <w:tcW w:w="1265" w:type="pct"/>
            <w:tcBorders>
              <w:top w:val="nil"/>
              <w:left w:val="nil"/>
              <w:bottom w:val="single" w:sz="4" w:space="0" w:color="F79646" w:themeColor="accent6"/>
            </w:tcBorders>
            <w:shd w:val="clear" w:color="auto" w:fill="auto"/>
            <w:vAlign w:val="center"/>
          </w:tcPr>
          <w:p w14:paraId="652FC153" w14:textId="3B9D2834"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Outras receitas operacionais (</w:t>
            </w:r>
            <w:r>
              <w:rPr>
                <w:rFonts w:ascii="CAIXA Std Book" w:hAnsi="CAIXA Std Book" w:cs="Calibri"/>
                <w:color w:val="005CA9"/>
                <w:sz w:val="13"/>
                <w:szCs w:val="13"/>
              </w:rPr>
              <w:t>5</w:t>
            </w:r>
            <w:r w:rsidRPr="00667139">
              <w:rPr>
                <w:rFonts w:ascii="CAIXA Std Book" w:hAnsi="CAIXA Std Book" w:cs="Calibri"/>
                <w:color w:val="005CA9"/>
                <w:sz w:val="13"/>
                <w:szCs w:val="13"/>
              </w:rPr>
              <w:t>)</w:t>
            </w:r>
          </w:p>
        </w:tc>
        <w:tc>
          <w:tcPr>
            <w:tcW w:w="425" w:type="pct"/>
            <w:tcBorders>
              <w:top w:val="nil"/>
              <w:left w:val="nil"/>
              <w:bottom w:val="single" w:sz="4" w:space="0" w:color="F39200"/>
              <w:right w:val="nil"/>
            </w:tcBorders>
            <w:shd w:val="clear" w:color="auto" w:fill="auto"/>
            <w:noWrap/>
            <w:vAlign w:val="center"/>
          </w:tcPr>
          <w:p w14:paraId="741867BD" w14:textId="5649BEC3"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233.287</w:t>
            </w:r>
          </w:p>
        </w:tc>
        <w:tc>
          <w:tcPr>
            <w:tcW w:w="473" w:type="pct"/>
            <w:tcBorders>
              <w:top w:val="nil"/>
              <w:left w:val="nil"/>
              <w:bottom w:val="single" w:sz="4" w:space="0" w:color="F39200"/>
              <w:right w:val="nil"/>
            </w:tcBorders>
            <w:shd w:val="clear" w:color="auto" w:fill="auto"/>
            <w:noWrap/>
            <w:vAlign w:val="center"/>
          </w:tcPr>
          <w:p w14:paraId="6750AEA6" w14:textId="2B199EF4"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4.897</w:t>
            </w:r>
          </w:p>
        </w:tc>
        <w:tc>
          <w:tcPr>
            <w:tcW w:w="473" w:type="pct"/>
            <w:tcBorders>
              <w:top w:val="nil"/>
              <w:left w:val="nil"/>
              <w:bottom w:val="single" w:sz="4" w:space="0" w:color="F39200"/>
              <w:right w:val="nil"/>
            </w:tcBorders>
            <w:shd w:val="clear" w:color="auto" w:fill="auto"/>
            <w:noWrap/>
            <w:vAlign w:val="center"/>
          </w:tcPr>
          <w:p w14:paraId="1D491336" w14:textId="72E2A3C0"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64</w:t>
            </w:r>
          </w:p>
        </w:tc>
        <w:tc>
          <w:tcPr>
            <w:tcW w:w="473" w:type="pct"/>
            <w:tcBorders>
              <w:top w:val="nil"/>
              <w:left w:val="nil"/>
              <w:bottom w:val="single" w:sz="4" w:space="0" w:color="F39200"/>
            </w:tcBorders>
            <w:shd w:val="clear" w:color="auto" w:fill="auto"/>
            <w:noWrap/>
            <w:vAlign w:val="center"/>
          </w:tcPr>
          <w:p w14:paraId="1772D097" w14:textId="507A67A9"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1.982.660</w:t>
            </w:r>
          </w:p>
        </w:tc>
        <w:tc>
          <w:tcPr>
            <w:tcW w:w="473" w:type="pct"/>
            <w:tcBorders>
              <w:top w:val="nil"/>
              <w:left w:val="nil"/>
              <w:bottom w:val="single" w:sz="4" w:space="0" w:color="F39200"/>
              <w:right w:val="nil"/>
            </w:tcBorders>
            <w:shd w:val="clear" w:color="auto" w:fill="auto"/>
            <w:noWrap/>
            <w:vAlign w:val="center"/>
          </w:tcPr>
          <w:p w14:paraId="2AB8FFC2" w14:textId="0D2660AD"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285.012</w:t>
            </w:r>
          </w:p>
        </w:tc>
        <w:tc>
          <w:tcPr>
            <w:tcW w:w="473" w:type="pct"/>
            <w:tcBorders>
              <w:top w:val="nil"/>
              <w:left w:val="nil"/>
              <w:bottom w:val="single" w:sz="4" w:space="0" w:color="F39200"/>
              <w:right w:val="nil"/>
            </w:tcBorders>
            <w:shd w:val="clear" w:color="auto" w:fill="auto"/>
            <w:noWrap/>
            <w:vAlign w:val="center"/>
          </w:tcPr>
          <w:p w14:paraId="16387338" w14:textId="7A842898"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312</w:t>
            </w:r>
          </w:p>
        </w:tc>
        <w:tc>
          <w:tcPr>
            <w:tcW w:w="473" w:type="pct"/>
            <w:tcBorders>
              <w:top w:val="nil"/>
              <w:left w:val="nil"/>
              <w:bottom w:val="single" w:sz="4" w:space="0" w:color="F39200"/>
              <w:right w:val="nil"/>
            </w:tcBorders>
            <w:shd w:val="clear" w:color="auto" w:fill="auto"/>
            <w:noWrap/>
            <w:vAlign w:val="center"/>
          </w:tcPr>
          <w:p w14:paraId="0EA8F899" w14:textId="5ED6E7C7"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2" w:type="pct"/>
            <w:tcBorders>
              <w:top w:val="nil"/>
              <w:left w:val="nil"/>
              <w:bottom w:val="single" w:sz="4" w:space="0" w:color="F39200"/>
              <w:right w:val="nil"/>
            </w:tcBorders>
            <w:shd w:val="clear" w:color="auto" w:fill="auto"/>
            <w:noWrap/>
            <w:vAlign w:val="center"/>
          </w:tcPr>
          <w:p w14:paraId="0355C37A" w14:textId="472A277B"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1.794.162</w:t>
            </w:r>
          </w:p>
        </w:tc>
      </w:tr>
      <w:tr w:rsidR="00B24A30" w:rsidRPr="00667139" w14:paraId="380B5458" w14:textId="77777777" w:rsidTr="00B91EB0">
        <w:trPr>
          <w:trHeight w:val="283"/>
        </w:trPr>
        <w:tc>
          <w:tcPr>
            <w:tcW w:w="1265" w:type="pct"/>
            <w:tcBorders>
              <w:top w:val="single" w:sz="4" w:space="0" w:color="F79646" w:themeColor="accent6"/>
              <w:left w:val="nil"/>
              <w:bottom w:val="single" w:sz="4" w:space="0" w:color="F79646" w:themeColor="accent6"/>
            </w:tcBorders>
            <w:shd w:val="clear" w:color="auto" w:fill="auto"/>
            <w:vAlign w:val="center"/>
          </w:tcPr>
          <w:p w14:paraId="7B2F6B73" w14:textId="2F3D4FFC"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b/>
                <w:color w:val="005CA9"/>
                <w:sz w:val="13"/>
                <w:szCs w:val="13"/>
              </w:rPr>
              <w:t>DESPESAS</w:t>
            </w:r>
          </w:p>
        </w:tc>
        <w:tc>
          <w:tcPr>
            <w:tcW w:w="425" w:type="pct"/>
            <w:tcBorders>
              <w:top w:val="nil"/>
              <w:left w:val="nil"/>
              <w:bottom w:val="single" w:sz="4" w:space="0" w:color="F39200"/>
              <w:right w:val="nil"/>
            </w:tcBorders>
            <w:shd w:val="clear" w:color="auto" w:fill="auto"/>
            <w:noWrap/>
            <w:vAlign w:val="center"/>
          </w:tcPr>
          <w:p w14:paraId="653A1D13" w14:textId="323FAB49" w:rsidR="00B24A30" w:rsidRPr="00667139" w:rsidRDefault="00B24A30" w:rsidP="00B24A30">
            <w:pPr>
              <w:jc w:val="right"/>
              <w:rPr>
                <w:rFonts w:ascii="CAIXA Std Book" w:hAnsi="CAIXA Std Book" w:cs="Calibri"/>
                <w:b/>
                <w:color w:val="005CA9"/>
                <w:sz w:val="13"/>
                <w:szCs w:val="13"/>
              </w:rPr>
            </w:pPr>
            <w:r>
              <w:rPr>
                <w:rFonts w:ascii="CAIXA Std Book" w:hAnsi="CAIXA Std Book" w:cs="Calibri"/>
                <w:b/>
                <w:bCs/>
                <w:color w:val="005CA9"/>
                <w:sz w:val="13"/>
                <w:szCs w:val="13"/>
              </w:rPr>
              <w:t>(639.526)</w:t>
            </w:r>
          </w:p>
        </w:tc>
        <w:tc>
          <w:tcPr>
            <w:tcW w:w="473" w:type="pct"/>
            <w:tcBorders>
              <w:top w:val="nil"/>
              <w:left w:val="nil"/>
              <w:bottom w:val="single" w:sz="4" w:space="0" w:color="F39200"/>
              <w:right w:val="nil"/>
            </w:tcBorders>
            <w:shd w:val="clear" w:color="auto" w:fill="auto"/>
            <w:noWrap/>
            <w:vAlign w:val="center"/>
          </w:tcPr>
          <w:p w14:paraId="017A5D50" w14:textId="00C43077" w:rsidR="00B24A30" w:rsidRPr="00667139" w:rsidRDefault="00B24A30" w:rsidP="00B24A30">
            <w:pPr>
              <w:jc w:val="right"/>
              <w:rPr>
                <w:rFonts w:ascii="CAIXA Std Book" w:hAnsi="CAIXA Std Book" w:cs="Calibri"/>
                <w:b/>
                <w:color w:val="005CA9"/>
                <w:sz w:val="13"/>
                <w:szCs w:val="13"/>
              </w:rPr>
            </w:pPr>
            <w:r>
              <w:rPr>
                <w:rFonts w:ascii="CAIXA Std Book" w:hAnsi="CAIXA Std Book" w:cs="Calibri"/>
                <w:b/>
                <w:bCs/>
                <w:color w:val="005CA9"/>
                <w:sz w:val="13"/>
                <w:szCs w:val="13"/>
              </w:rPr>
              <w:t>(33.432)</w:t>
            </w:r>
          </w:p>
        </w:tc>
        <w:tc>
          <w:tcPr>
            <w:tcW w:w="473" w:type="pct"/>
            <w:tcBorders>
              <w:top w:val="nil"/>
              <w:left w:val="nil"/>
              <w:bottom w:val="single" w:sz="4" w:space="0" w:color="F39200"/>
              <w:right w:val="nil"/>
            </w:tcBorders>
            <w:shd w:val="clear" w:color="auto" w:fill="auto"/>
            <w:noWrap/>
            <w:vAlign w:val="center"/>
          </w:tcPr>
          <w:p w14:paraId="4E5A7FC2" w14:textId="3FDA7E90" w:rsidR="00B24A30" w:rsidRPr="00667139" w:rsidRDefault="00B24A30" w:rsidP="00B24A30">
            <w:pPr>
              <w:jc w:val="right"/>
              <w:rPr>
                <w:rFonts w:ascii="CAIXA Std Book" w:hAnsi="CAIXA Std Book" w:cs="Calibri"/>
                <w:b/>
                <w:color w:val="005CA9"/>
                <w:sz w:val="13"/>
                <w:szCs w:val="13"/>
              </w:rPr>
            </w:pPr>
            <w:r>
              <w:rPr>
                <w:rFonts w:ascii="CAIXA Std Book" w:hAnsi="CAIXA Std Book" w:cs="Calibri"/>
                <w:b/>
                <w:bCs/>
                <w:color w:val="005CA9"/>
                <w:sz w:val="13"/>
                <w:szCs w:val="13"/>
              </w:rPr>
              <w:t>(161.908)</w:t>
            </w:r>
          </w:p>
        </w:tc>
        <w:tc>
          <w:tcPr>
            <w:tcW w:w="473" w:type="pct"/>
            <w:tcBorders>
              <w:top w:val="nil"/>
              <w:left w:val="nil"/>
              <w:bottom w:val="single" w:sz="4" w:space="0" w:color="F39200"/>
            </w:tcBorders>
            <w:shd w:val="clear" w:color="auto" w:fill="auto"/>
            <w:noWrap/>
            <w:vAlign w:val="center"/>
          </w:tcPr>
          <w:p w14:paraId="00E40A13" w14:textId="0800F55B" w:rsidR="00B24A30" w:rsidRPr="00667139" w:rsidRDefault="00B24A30" w:rsidP="00B24A30">
            <w:pPr>
              <w:jc w:val="right"/>
              <w:rPr>
                <w:rFonts w:ascii="CAIXA Std Book" w:hAnsi="CAIXA Std Book" w:cs="Calibri"/>
                <w:b/>
                <w:color w:val="005CA9"/>
                <w:sz w:val="13"/>
                <w:szCs w:val="13"/>
              </w:rPr>
            </w:pPr>
            <w:r>
              <w:rPr>
                <w:rFonts w:ascii="CAIXA Std Book" w:hAnsi="CAIXA Std Book" w:cs="Calibri"/>
                <w:b/>
                <w:bCs/>
                <w:color w:val="005CA9"/>
                <w:sz w:val="13"/>
                <w:szCs w:val="13"/>
              </w:rPr>
              <w:t>(8.754.369)</w:t>
            </w:r>
          </w:p>
        </w:tc>
        <w:tc>
          <w:tcPr>
            <w:tcW w:w="473" w:type="pct"/>
            <w:tcBorders>
              <w:top w:val="nil"/>
              <w:left w:val="nil"/>
              <w:bottom w:val="single" w:sz="4" w:space="0" w:color="F39200"/>
              <w:right w:val="nil"/>
            </w:tcBorders>
            <w:shd w:val="clear" w:color="auto" w:fill="auto"/>
            <w:noWrap/>
            <w:vAlign w:val="center"/>
          </w:tcPr>
          <w:p w14:paraId="47633C9D" w14:textId="23B6645A"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(423.468)</w:t>
            </w:r>
          </w:p>
        </w:tc>
        <w:tc>
          <w:tcPr>
            <w:tcW w:w="473" w:type="pct"/>
            <w:tcBorders>
              <w:top w:val="nil"/>
              <w:left w:val="nil"/>
              <w:bottom w:val="single" w:sz="4" w:space="0" w:color="F39200"/>
              <w:right w:val="nil"/>
            </w:tcBorders>
            <w:shd w:val="clear" w:color="auto" w:fill="auto"/>
            <w:noWrap/>
            <w:vAlign w:val="center"/>
          </w:tcPr>
          <w:p w14:paraId="45193857" w14:textId="25E77056"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(191.676)</w:t>
            </w:r>
          </w:p>
        </w:tc>
        <w:tc>
          <w:tcPr>
            <w:tcW w:w="473" w:type="pct"/>
            <w:tcBorders>
              <w:top w:val="nil"/>
              <w:left w:val="nil"/>
              <w:bottom w:val="single" w:sz="4" w:space="0" w:color="F39200"/>
              <w:right w:val="nil"/>
            </w:tcBorders>
            <w:shd w:val="clear" w:color="auto" w:fill="auto"/>
            <w:noWrap/>
            <w:vAlign w:val="center"/>
          </w:tcPr>
          <w:p w14:paraId="739336B9" w14:textId="756E7557"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b/>
                <w:bCs/>
                <w:color w:val="005CA9"/>
                <w:sz w:val="13"/>
                <w:szCs w:val="13"/>
              </w:rPr>
              <w:t>(5.554)</w:t>
            </w:r>
          </w:p>
        </w:tc>
        <w:tc>
          <w:tcPr>
            <w:tcW w:w="472" w:type="pct"/>
            <w:tcBorders>
              <w:top w:val="nil"/>
              <w:left w:val="nil"/>
              <w:bottom w:val="single" w:sz="4" w:space="0" w:color="F39200"/>
              <w:right w:val="nil"/>
            </w:tcBorders>
            <w:shd w:val="clear" w:color="auto" w:fill="auto"/>
            <w:noWrap/>
            <w:vAlign w:val="center"/>
          </w:tcPr>
          <w:p w14:paraId="71A73E3B" w14:textId="5D178D40"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b/>
                <w:bCs/>
                <w:color w:val="005CA9"/>
                <w:sz w:val="13"/>
                <w:szCs w:val="13"/>
              </w:rPr>
              <w:t>(9.985.695)</w:t>
            </w:r>
          </w:p>
        </w:tc>
      </w:tr>
      <w:tr w:rsidR="00B24A30" w:rsidRPr="00667139" w14:paraId="67F326E8" w14:textId="77777777" w:rsidTr="00EB4B30">
        <w:trPr>
          <w:trHeight w:val="283"/>
        </w:trPr>
        <w:tc>
          <w:tcPr>
            <w:tcW w:w="1265" w:type="pct"/>
            <w:tcBorders>
              <w:top w:val="single" w:sz="4" w:space="0" w:color="F79646" w:themeColor="accent6"/>
              <w:left w:val="nil"/>
            </w:tcBorders>
            <w:shd w:val="clear" w:color="auto" w:fill="auto"/>
            <w:vAlign w:val="center"/>
          </w:tcPr>
          <w:p w14:paraId="25AF9800" w14:textId="4B25F8EE"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Despesas de emissões de títulos e valores mobiliários (</w:t>
            </w:r>
            <w:r>
              <w:rPr>
                <w:rFonts w:ascii="CAIXA Std Book" w:hAnsi="CAIXA Std Book" w:cs="Calibri"/>
                <w:color w:val="005CA9"/>
                <w:sz w:val="13"/>
                <w:szCs w:val="13"/>
              </w:rPr>
              <w:t>6</w:t>
            </w:r>
            <w:r w:rsidRPr="00667139">
              <w:rPr>
                <w:rFonts w:ascii="CAIXA Std Book" w:hAnsi="CAIXA Std Book" w:cs="Calibri"/>
                <w:color w:val="005CA9"/>
                <w:sz w:val="13"/>
                <w:szCs w:val="13"/>
              </w:rPr>
              <w:t>)</w:t>
            </w:r>
          </w:p>
        </w:tc>
        <w:tc>
          <w:tcPr>
            <w:tcW w:w="425" w:type="pct"/>
            <w:tcBorders>
              <w:top w:val="nil"/>
              <w:left w:val="nil"/>
              <w:bottom w:val="nil"/>
              <w:right w:val="nil"/>
            </w:tcBorders>
            <w:shd w:val="clear" w:color="auto" w:fill="auto"/>
            <w:noWrap/>
            <w:vAlign w:val="center"/>
          </w:tcPr>
          <w:p w14:paraId="5C66FE48" w14:textId="77E3FFE0"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(420.041)</w:t>
            </w:r>
          </w:p>
        </w:tc>
        <w:tc>
          <w:tcPr>
            <w:tcW w:w="473" w:type="pct"/>
            <w:tcBorders>
              <w:top w:val="nil"/>
              <w:left w:val="nil"/>
              <w:bottom w:val="nil"/>
              <w:right w:val="nil"/>
            </w:tcBorders>
            <w:shd w:val="clear" w:color="auto" w:fill="auto"/>
            <w:noWrap/>
            <w:vAlign w:val="center"/>
          </w:tcPr>
          <w:p w14:paraId="7635F887" w14:textId="16D4D1D0"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(3.165)</w:t>
            </w:r>
          </w:p>
        </w:tc>
        <w:tc>
          <w:tcPr>
            <w:tcW w:w="473" w:type="pct"/>
            <w:tcBorders>
              <w:top w:val="nil"/>
              <w:left w:val="nil"/>
              <w:bottom w:val="nil"/>
              <w:right w:val="nil"/>
            </w:tcBorders>
            <w:shd w:val="clear" w:color="auto" w:fill="auto"/>
            <w:noWrap/>
            <w:vAlign w:val="center"/>
          </w:tcPr>
          <w:p w14:paraId="0F8C5439" w14:textId="7B182F4A"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tcBorders>
            <w:shd w:val="clear" w:color="auto" w:fill="auto"/>
            <w:noWrap/>
            <w:vAlign w:val="center"/>
          </w:tcPr>
          <w:p w14:paraId="1587C7E1" w14:textId="174966FC"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(293.924)</w:t>
            </w:r>
          </w:p>
        </w:tc>
        <w:tc>
          <w:tcPr>
            <w:tcW w:w="473" w:type="pct"/>
            <w:tcBorders>
              <w:top w:val="nil"/>
              <w:left w:val="nil"/>
              <w:bottom w:val="nil"/>
              <w:right w:val="nil"/>
            </w:tcBorders>
            <w:shd w:val="clear" w:color="auto" w:fill="auto"/>
            <w:noWrap/>
            <w:vAlign w:val="center"/>
          </w:tcPr>
          <w:p w14:paraId="150BCCEC" w14:textId="0E0D1C92"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(164.393)</w:t>
            </w:r>
          </w:p>
        </w:tc>
        <w:tc>
          <w:tcPr>
            <w:tcW w:w="473" w:type="pct"/>
            <w:tcBorders>
              <w:top w:val="nil"/>
              <w:left w:val="nil"/>
              <w:bottom w:val="nil"/>
              <w:right w:val="nil"/>
            </w:tcBorders>
            <w:shd w:val="clear" w:color="auto" w:fill="auto"/>
            <w:noWrap/>
            <w:vAlign w:val="center"/>
          </w:tcPr>
          <w:p w14:paraId="00C12679" w14:textId="316327DA"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(2.893)</w:t>
            </w:r>
          </w:p>
        </w:tc>
        <w:tc>
          <w:tcPr>
            <w:tcW w:w="473" w:type="pct"/>
            <w:tcBorders>
              <w:top w:val="nil"/>
              <w:left w:val="nil"/>
              <w:bottom w:val="nil"/>
              <w:right w:val="nil"/>
            </w:tcBorders>
            <w:shd w:val="clear" w:color="auto" w:fill="auto"/>
            <w:noWrap/>
            <w:vAlign w:val="center"/>
          </w:tcPr>
          <w:p w14:paraId="0CED8DEF" w14:textId="4EDAA7E0"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2" w:type="pct"/>
            <w:tcBorders>
              <w:top w:val="nil"/>
              <w:left w:val="nil"/>
              <w:bottom w:val="nil"/>
              <w:right w:val="nil"/>
            </w:tcBorders>
            <w:shd w:val="clear" w:color="auto" w:fill="auto"/>
            <w:noWrap/>
            <w:vAlign w:val="center"/>
          </w:tcPr>
          <w:p w14:paraId="106AB01E" w14:textId="4D3F5F80"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(108.964)</w:t>
            </w:r>
          </w:p>
        </w:tc>
      </w:tr>
      <w:tr w:rsidR="00B24A30" w:rsidRPr="00667139" w14:paraId="37EDD9D4" w14:textId="77777777" w:rsidTr="00EB4B30">
        <w:trPr>
          <w:trHeight w:val="283"/>
        </w:trPr>
        <w:tc>
          <w:tcPr>
            <w:tcW w:w="1265" w:type="pct"/>
            <w:tcBorders>
              <w:top w:val="nil"/>
              <w:left w:val="nil"/>
            </w:tcBorders>
            <w:shd w:val="clear" w:color="auto" w:fill="auto"/>
            <w:vAlign w:val="center"/>
          </w:tcPr>
          <w:p w14:paraId="762876B8" w14:textId="40940382"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Pessoal (</w:t>
            </w:r>
            <w:r>
              <w:rPr>
                <w:rFonts w:ascii="CAIXA Std Book" w:hAnsi="CAIXA Std Book" w:cs="Calibri"/>
                <w:color w:val="005CA9"/>
                <w:sz w:val="13"/>
                <w:szCs w:val="13"/>
              </w:rPr>
              <w:t>7</w:t>
            </w:r>
            <w:r w:rsidRPr="00667139">
              <w:rPr>
                <w:rFonts w:ascii="CAIXA Std Book" w:hAnsi="CAIXA Std Book" w:cs="Calibri"/>
                <w:color w:val="005CA9"/>
                <w:sz w:val="13"/>
                <w:szCs w:val="13"/>
              </w:rPr>
              <w:t>)</w:t>
            </w:r>
          </w:p>
        </w:tc>
        <w:tc>
          <w:tcPr>
            <w:tcW w:w="425" w:type="pct"/>
            <w:tcBorders>
              <w:top w:val="nil"/>
              <w:left w:val="nil"/>
              <w:bottom w:val="nil"/>
              <w:right w:val="nil"/>
            </w:tcBorders>
            <w:shd w:val="clear" w:color="auto" w:fill="auto"/>
            <w:noWrap/>
            <w:vAlign w:val="center"/>
          </w:tcPr>
          <w:p w14:paraId="095F70AD" w14:textId="06BD66B2"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2D724BD4" w14:textId="0B5DD8D6"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14D3D996" w14:textId="7F4CC187"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tcBorders>
            <w:shd w:val="clear" w:color="auto" w:fill="auto"/>
            <w:noWrap/>
            <w:vAlign w:val="center"/>
          </w:tcPr>
          <w:p w14:paraId="1E4F139B" w14:textId="6F90DEB0"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(348.17</w:t>
            </w:r>
            <w:r w:rsidR="00806B7F">
              <w:rPr>
                <w:rFonts w:ascii="CAIXA Std Book" w:hAnsi="CAIXA Std Book" w:cs="Calibri"/>
                <w:color w:val="005CA9"/>
                <w:sz w:val="13"/>
                <w:szCs w:val="13"/>
              </w:rPr>
              <w:t>3</w:t>
            </w: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5AAFD90E" w14:textId="27B7C269"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2726CD52" w14:textId="465734B5"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169F9776" w14:textId="4F24A5C5"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2" w:type="pct"/>
            <w:tcBorders>
              <w:top w:val="nil"/>
              <w:left w:val="nil"/>
              <w:bottom w:val="nil"/>
              <w:right w:val="nil"/>
            </w:tcBorders>
            <w:shd w:val="clear" w:color="auto" w:fill="auto"/>
            <w:noWrap/>
            <w:vAlign w:val="center"/>
          </w:tcPr>
          <w:p w14:paraId="03824716" w14:textId="1167E97D"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(330.377)</w:t>
            </w:r>
          </w:p>
        </w:tc>
      </w:tr>
      <w:tr w:rsidR="00B24A30" w:rsidRPr="00667139" w14:paraId="67B98450" w14:textId="77777777" w:rsidTr="00EB4B30">
        <w:trPr>
          <w:trHeight w:val="283"/>
        </w:trPr>
        <w:tc>
          <w:tcPr>
            <w:tcW w:w="1265" w:type="pct"/>
            <w:tcBorders>
              <w:top w:val="nil"/>
              <w:left w:val="nil"/>
            </w:tcBorders>
            <w:shd w:val="clear" w:color="auto" w:fill="auto"/>
            <w:vAlign w:val="center"/>
          </w:tcPr>
          <w:p w14:paraId="3ACA74C1" w14:textId="77447797"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Administrativas (</w:t>
            </w:r>
            <w:r>
              <w:rPr>
                <w:rFonts w:ascii="CAIXA Std Book" w:hAnsi="CAIXA Std Book" w:cs="Calibri"/>
                <w:color w:val="005CA9"/>
                <w:sz w:val="13"/>
                <w:szCs w:val="13"/>
              </w:rPr>
              <w:t>8</w:t>
            </w:r>
            <w:r w:rsidRPr="00667139">
              <w:rPr>
                <w:rFonts w:ascii="CAIXA Std Book" w:hAnsi="CAIXA Std Book" w:cs="Calibri"/>
                <w:color w:val="005CA9"/>
                <w:sz w:val="13"/>
                <w:szCs w:val="13"/>
              </w:rPr>
              <w:t>)</w:t>
            </w:r>
          </w:p>
        </w:tc>
        <w:tc>
          <w:tcPr>
            <w:tcW w:w="425" w:type="pct"/>
            <w:tcBorders>
              <w:top w:val="nil"/>
              <w:left w:val="nil"/>
              <w:bottom w:val="nil"/>
              <w:right w:val="nil"/>
            </w:tcBorders>
            <w:shd w:val="clear" w:color="auto" w:fill="auto"/>
            <w:noWrap/>
            <w:vAlign w:val="center"/>
          </w:tcPr>
          <w:p w14:paraId="03EDE8AF" w14:textId="5AC1E387"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59042983" w14:textId="271EFF2F"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right w:val="nil"/>
            </w:tcBorders>
            <w:shd w:val="clear" w:color="auto" w:fill="auto"/>
            <w:noWrap/>
            <w:vAlign w:val="center"/>
          </w:tcPr>
          <w:p w14:paraId="0FB95950" w14:textId="3CBBD1A2" w:rsidR="00B24A30" w:rsidRPr="00667139" w:rsidRDefault="00B24A30" w:rsidP="00B24A30">
            <w:pPr>
              <w:jc w:val="center"/>
              <w:rPr>
                <w:rFonts w:ascii="CAIXA Std Book" w:hAnsi="CAIXA Std Book" w:cs="Calibri"/>
                <w:color w:val="005CA9"/>
                <w:sz w:val="13"/>
                <w:szCs w:val="13"/>
              </w:rPr>
            </w:pPr>
            <w:r>
              <w:rPr>
                <w:rFonts w:ascii="CAIXA Std Book" w:hAnsi="CAIXA Std Book" w:cs="Calibri"/>
                <w:color w:val="005CA9"/>
                <w:sz w:val="13"/>
                <w:szCs w:val="13"/>
              </w:rPr>
              <w:t>-</w:t>
            </w:r>
          </w:p>
        </w:tc>
        <w:tc>
          <w:tcPr>
            <w:tcW w:w="473" w:type="pct"/>
            <w:tcBorders>
              <w:top w:val="nil"/>
              <w:left w:val="nil"/>
              <w:bottom w:val="nil"/>
            </w:tcBorders>
            <w:shd w:val="clear" w:color="auto" w:fill="auto"/>
            <w:noWrap/>
            <w:vAlign w:val="center"/>
          </w:tcPr>
          <w:p w14:paraId="54A419EB" w14:textId="414D9ACD"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(9.347)</w:t>
            </w:r>
          </w:p>
        </w:tc>
        <w:tc>
          <w:tcPr>
            <w:tcW w:w="473" w:type="pct"/>
            <w:tcBorders>
              <w:top w:val="nil"/>
              <w:left w:val="nil"/>
              <w:bottom w:val="nil"/>
              <w:right w:val="nil"/>
            </w:tcBorders>
            <w:shd w:val="clear" w:color="auto" w:fill="auto"/>
            <w:noWrap/>
            <w:vAlign w:val="center"/>
          </w:tcPr>
          <w:p w14:paraId="36832DA1" w14:textId="6918F8A5"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617A4A7C" w14:textId="0AD6C0FB"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3" w:type="pct"/>
            <w:tcBorders>
              <w:top w:val="nil"/>
              <w:left w:val="nil"/>
              <w:bottom w:val="nil"/>
              <w:right w:val="nil"/>
            </w:tcBorders>
            <w:shd w:val="clear" w:color="auto" w:fill="auto"/>
            <w:noWrap/>
            <w:vAlign w:val="center"/>
          </w:tcPr>
          <w:p w14:paraId="2B885E73" w14:textId="45675583" w:rsidR="00B24A30" w:rsidRPr="00667139" w:rsidRDefault="00B24A30" w:rsidP="00B24A30">
            <w:pPr>
              <w:jc w:val="center"/>
              <w:rPr>
                <w:rFonts w:ascii="CAIXA Std Book" w:hAnsi="CAIXA Std Book" w:cs="Calibri"/>
                <w:color w:val="005CA9"/>
                <w:sz w:val="13"/>
                <w:szCs w:val="13"/>
                <w:highlight w:val="yellow"/>
              </w:rPr>
            </w:pPr>
            <w:r w:rsidRPr="00667139">
              <w:rPr>
                <w:rFonts w:ascii="CAIXA Std Book" w:hAnsi="CAIXA Std Book" w:cs="Arial"/>
                <w:color w:val="005CA9"/>
                <w:sz w:val="13"/>
                <w:szCs w:val="13"/>
              </w:rPr>
              <w:t>-</w:t>
            </w:r>
          </w:p>
        </w:tc>
        <w:tc>
          <w:tcPr>
            <w:tcW w:w="472" w:type="pct"/>
            <w:tcBorders>
              <w:top w:val="nil"/>
              <w:left w:val="nil"/>
              <w:bottom w:val="nil"/>
              <w:right w:val="nil"/>
            </w:tcBorders>
            <w:shd w:val="clear" w:color="auto" w:fill="auto"/>
            <w:noWrap/>
            <w:vAlign w:val="center"/>
          </w:tcPr>
          <w:p w14:paraId="299C2EBB" w14:textId="79CCC81D"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(9.607)</w:t>
            </w:r>
          </w:p>
        </w:tc>
      </w:tr>
      <w:tr w:rsidR="00B24A30" w:rsidRPr="00667139" w14:paraId="5AC0A89D" w14:textId="77777777" w:rsidTr="00B91EB0">
        <w:trPr>
          <w:trHeight w:val="283"/>
        </w:trPr>
        <w:tc>
          <w:tcPr>
            <w:tcW w:w="1265" w:type="pct"/>
            <w:tcBorders>
              <w:top w:val="nil"/>
              <w:left w:val="nil"/>
              <w:bottom w:val="single" w:sz="4" w:space="0" w:color="F79646" w:themeColor="accent6"/>
            </w:tcBorders>
            <w:shd w:val="clear" w:color="auto" w:fill="auto"/>
            <w:vAlign w:val="center"/>
          </w:tcPr>
          <w:p w14:paraId="5315DCBC" w14:textId="38C2915F" w:rsidR="00B24A30" w:rsidRPr="00667139" w:rsidRDefault="00B24A30" w:rsidP="00B24A30">
            <w:pPr>
              <w:rPr>
                <w:rFonts w:ascii="CAIXA Std Book" w:hAnsi="CAIXA Std Book" w:cs="Calibri"/>
                <w:color w:val="005CA9"/>
                <w:sz w:val="13"/>
                <w:szCs w:val="13"/>
              </w:rPr>
            </w:pPr>
            <w:r w:rsidRPr="00667139">
              <w:rPr>
                <w:rFonts w:ascii="CAIXA Std Book" w:hAnsi="CAIXA Std Book" w:cs="Calibri"/>
                <w:color w:val="005CA9"/>
                <w:sz w:val="13"/>
                <w:szCs w:val="13"/>
              </w:rPr>
              <w:t>Outras despesas operacionais (</w:t>
            </w:r>
            <w:r>
              <w:rPr>
                <w:rFonts w:ascii="CAIXA Std Book" w:hAnsi="CAIXA Std Book" w:cs="Calibri"/>
                <w:color w:val="005CA9"/>
                <w:sz w:val="13"/>
                <w:szCs w:val="13"/>
              </w:rPr>
              <w:t>9</w:t>
            </w:r>
            <w:r w:rsidRPr="00667139">
              <w:rPr>
                <w:rFonts w:ascii="CAIXA Std Book" w:hAnsi="CAIXA Std Book" w:cs="Calibri"/>
                <w:color w:val="005CA9"/>
                <w:sz w:val="13"/>
                <w:szCs w:val="13"/>
              </w:rPr>
              <w:t>)</w:t>
            </w:r>
          </w:p>
        </w:tc>
        <w:tc>
          <w:tcPr>
            <w:tcW w:w="425" w:type="pct"/>
            <w:tcBorders>
              <w:top w:val="nil"/>
              <w:left w:val="nil"/>
              <w:bottom w:val="single" w:sz="4" w:space="0" w:color="F39200"/>
              <w:right w:val="nil"/>
            </w:tcBorders>
            <w:shd w:val="clear" w:color="auto" w:fill="auto"/>
            <w:noWrap/>
            <w:vAlign w:val="center"/>
          </w:tcPr>
          <w:p w14:paraId="08C1F2D0" w14:textId="0D13E31E"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(219.485)</w:t>
            </w:r>
          </w:p>
        </w:tc>
        <w:tc>
          <w:tcPr>
            <w:tcW w:w="473" w:type="pct"/>
            <w:tcBorders>
              <w:top w:val="nil"/>
              <w:left w:val="nil"/>
              <w:bottom w:val="single" w:sz="4" w:space="0" w:color="F39200"/>
              <w:right w:val="nil"/>
            </w:tcBorders>
            <w:shd w:val="clear" w:color="auto" w:fill="auto"/>
            <w:noWrap/>
            <w:vAlign w:val="center"/>
          </w:tcPr>
          <w:p w14:paraId="138CD93A" w14:textId="4E877336"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(30.267)</w:t>
            </w:r>
          </w:p>
        </w:tc>
        <w:tc>
          <w:tcPr>
            <w:tcW w:w="473" w:type="pct"/>
            <w:tcBorders>
              <w:top w:val="nil"/>
              <w:left w:val="nil"/>
              <w:bottom w:val="single" w:sz="4" w:space="0" w:color="F39200"/>
              <w:right w:val="nil"/>
            </w:tcBorders>
            <w:shd w:val="clear" w:color="auto" w:fill="auto"/>
            <w:noWrap/>
            <w:vAlign w:val="center"/>
          </w:tcPr>
          <w:p w14:paraId="1D763A5F" w14:textId="012AE46A"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(161.908)</w:t>
            </w:r>
          </w:p>
        </w:tc>
        <w:tc>
          <w:tcPr>
            <w:tcW w:w="473" w:type="pct"/>
            <w:tcBorders>
              <w:top w:val="nil"/>
              <w:left w:val="nil"/>
              <w:bottom w:val="single" w:sz="4" w:space="0" w:color="F39200"/>
            </w:tcBorders>
            <w:shd w:val="clear" w:color="auto" w:fill="auto"/>
            <w:noWrap/>
            <w:vAlign w:val="center"/>
          </w:tcPr>
          <w:p w14:paraId="5BAA201B" w14:textId="647A114B" w:rsidR="00B24A30" w:rsidRPr="00667139" w:rsidRDefault="00B24A30" w:rsidP="00B24A30">
            <w:pPr>
              <w:jc w:val="right"/>
              <w:rPr>
                <w:rFonts w:ascii="CAIXA Std Book" w:hAnsi="CAIXA Std Book" w:cs="Calibri"/>
                <w:color w:val="005CA9"/>
                <w:sz w:val="13"/>
                <w:szCs w:val="13"/>
              </w:rPr>
            </w:pPr>
            <w:r>
              <w:rPr>
                <w:rFonts w:ascii="CAIXA Std Book" w:hAnsi="CAIXA Std Book" w:cs="Calibri"/>
                <w:color w:val="005CA9"/>
                <w:sz w:val="13"/>
                <w:szCs w:val="13"/>
              </w:rPr>
              <w:t>(8.102.924)</w:t>
            </w:r>
          </w:p>
        </w:tc>
        <w:tc>
          <w:tcPr>
            <w:tcW w:w="473" w:type="pct"/>
            <w:tcBorders>
              <w:top w:val="nil"/>
              <w:left w:val="nil"/>
              <w:bottom w:val="single" w:sz="4" w:space="0" w:color="F39200"/>
              <w:right w:val="nil"/>
            </w:tcBorders>
            <w:shd w:val="clear" w:color="auto" w:fill="auto"/>
            <w:noWrap/>
            <w:vAlign w:val="center"/>
          </w:tcPr>
          <w:p w14:paraId="289EA498" w14:textId="3CA697BA"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(259.075)</w:t>
            </w:r>
          </w:p>
        </w:tc>
        <w:tc>
          <w:tcPr>
            <w:tcW w:w="473" w:type="pct"/>
            <w:tcBorders>
              <w:top w:val="nil"/>
              <w:left w:val="nil"/>
              <w:bottom w:val="single" w:sz="4" w:space="0" w:color="F39200"/>
              <w:right w:val="nil"/>
            </w:tcBorders>
            <w:shd w:val="clear" w:color="auto" w:fill="auto"/>
            <w:noWrap/>
            <w:vAlign w:val="center"/>
          </w:tcPr>
          <w:p w14:paraId="691D2D90" w14:textId="48DC1ADE"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(188.783)</w:t>
            </w:r>
          </w:p>
        </w:tc>
        <w:tc>
          <w:tcPr>
            <w:tcW w:w="473" w:type="pct"/>
            <w:tcBorders>
              <w:top w:val="nil"/>
              <w:left w:val="nil"/>
              <w:bottom w:val="single" w:sz="4" w:space="0" w:color="F39200"/>
              <w:right w:val="nil"/>
            </w:tcBorders>
            <w:shd w:val="clear" w:color="auto" w:fill="auto"/>
            <w:noWrap/>
            <w:vAlign w:val="center"/>
          </w:tcPr>
          <w:p w14:paraId="1F69DF0E" w14:textId="70423B74"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Arial"/>
                <w:color w:val="005CA9"/>
                <w:sz w:val="13"/>
                <w:szCs w:val="13"/>
              </w:rPr>
              <w:t>(5.554)</w:t>
            </w:r>
          </w:p>
        </w:tc>
        <w:tc>
          <w:tcPr>
            <w:tcW w:w="472" w:type="pct"/>
            <w:tcBorders>
              <w:top w:val="nil"/>
              <w:left w:val="nil"/>
              <w:bottom w:val="single" w:sz="4" w:space="0" w:color="F39200"/>
              <w:right w:val="nil"/>
            </w:tcBorders>
            <w:shd w:val="clear" w:color="auto" w:fill="auto"/>
            <w:noWrap/>
            <w:vAlign w:val="center"/>
          </w:tcPr>
          <w:p w14:paraId="3B9EEB96" w14:textId="06952AD7" w:rsidR="00B24A30" w:rsidRPr="00667139" w:rsidRDefault="00B24A30" w:rsidP="00B24A30">
            <w:pPr>
              <w:jc w:val="right"/>
              <w:rPr>
                <w:rFonts w:ascii="CAIXA Std Book" w:hAnsi="CAIXA Std Book" w:cs="Calibri"/>
                <w:color w:val="005CA9"/>
                <w:sz w:val="13"/>
                <w:szCs w:val="13"/>
                <w:highlight w:val="yellow"/>
              </w:rPr>
            </w:pPr>
            <w:r w:rsidRPr="00667139">
              <w:rPr>
                <w:rFonts w:ascii="CAIXA Std Book" w:hAnsi="CAIXA Std Book" w:cs="Calibri"/>
                <w:color w:val="005CA9"/>
                <w:sz w:val="13"/>
                <w:szCs w:val="13"/>
              </w:rPr>
              <w:t>(9.536.747)</w:t>
            </w:r>
          </w:p>
        </w:tc>
      </w:tr>
    </w:tbl>
    <w:p w14:paraId="578DE383" w14:textId="637A960E"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(1) Em Controladora, corresponde à renda de prestação de serviços em programas sociais e operações de repasses do OGU.</w:t>
      </w:r>
    </w:p>
    <w:p w14:paraId="795DF9FE"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(2) Em Controlada em conjunto, representa operações de cartões de débito e crédito contratadas com a Elo Serviços.</w:t>
      </w:r>
    </w:p>
    <w:p w14:paraId="254C8A93"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 xml:space="preserve">(3) Em Coligadas, trata-se de rendas </w:t>
      </w:r>
      <w:proofErr w:type="spellStart"/>
      <w:r>
        <w:rPr>
          <w:rFonts w:ascii="CAIXA Std Book" w:hAnsi="CAIXA Std Book"/>
          <w:color w:val="005CA9"/>
          <w:sz w:val="12"/>
          <w:szCs w:val="12"/>
        </w:rPr>
        <w:t>proveninentes</w:t>
      </w:r>
      <w:proofErr w:type="spellEnd"/>
      <w:r>
        <w:rPr>
          <w:rFonts w:ascii="CAIXA Std Book" w:hAnsi="CAIXA Std Book"/>
          <w:color w:val="005CA9"/>
          <w:sz w:val="12"/>
          <w:szCs w:val="12"/>
        </w:rPr>
        <w:t xml:space="preserve"> da comercialização de produtos de coligadas do grupo Caixa Seguridade.</w:t>
      </w:r>
    </w:p>
    <w:p w14:paraId="046CE247" w14:textId="77777777" w:rsidR="00252DCC" w:rsidRDefault="00252DCC" w:rsidP="00252DCC">
      <w:pPr>
        <w:jc w:val="both"/>
        <w:rPr>
          <w:rFonts w:ascii="CAIXA Std Book" w:hAnsi="CAIXA Std Book"/>
          <w:color w:val="005CA9"/>
          <w:sz w:val="12"/>
          <w:szCs w:val="12"/>
        </w:rPr>
      </w:pPr>
      <w:r>
        <w:rPr>
          <w:rFonts w:ascii="CAIXA Std Book" w:hAnsi="CAIXA Std Book"/>
          <w:color w:val="005CA9"/>
          <w:sz w:val="12"/>
          <w:szCs w:val="12"/>
        </w:rPr>
        <w:t>(4) Em Outras entidades, refere-se a rendas com prestação de serviços e tarifas sobre FGTS, FIES, fundos de investimento e outras entidades e programas governamentais, representados na Nota 24.</w:t>
      </w:r>
    </w:p>
    <w:p w14:paraId="7B686561" w14:textId="77777777" w:rsidR="00191906" w:rsidRPr="0087648B" w:rsidRDefault="00191906" w:rsidP="00191906">
      <w:pPr>
        <w:jc w:val="both"/>
        <w:rPr>
          <w:rFonts w:ascii="CAIXA Std Book" w:hAnsi="CAIXA Std Book"/>
          <w:color w:val="005CA9"/>
          <w:sz w:val="12"/>
          <w:szCs w:val="12"/>
        </w:rPr>
      </w:pPr>
      <w:r w:rsidRPr="0087648B">
        <w:rPr>
          <w:rFonts w:ascii="CAIXA Std Book" w:hAnsi="CAIXA Std Book"/>
          <w:color w:val="005CA9"/>
          <w:sz w:val="12"/>
          <w:szCs w:val="12"/>
        </w:rPr>
        <w:t>(</w:t>
      </w:r>
      <w:r>
        <w:rPr>
          <w:rFonts w:ascii="CAIXA Std Book" w:hAnsi="CAIXA Std Book"/>
          <w:color w:val="005CA9"/>
          <w:sz w:val="12"/>
          <w:szCs w:val="12"/>
        </w:rPr>
        <w:t>5</w:t>
      </w:r>
      <w:r w:rsidRPr="0087648B">
        <w:rPr>
          <w:rFonts w:ascii="CAIXA Std Book" w:hAnsi="CAIXA Std Book"/>
          <w:color w:val="005CA9"/>
          <w:sz w:val="12"/>
          <w:szCs w:val="12"/>
        </w:rPr>
        <w:t xml:space="preserve">) </w:t>
      </w:r>
      <w:r w:rsidRPr="000961A6">
        <w:rPr>
          <w:rFonts w:ascii="CAIXA Std Book" w:hAnsi="CAIXA Std Book"/>
          <w:color w:val="005CA9"/>
          <w:sz w:val="12"/>
          <w:szCs w:val="12"/>
        </w:rPr>
        <w:t xml:space="preserve">Em </w:t>
      </w:r>
      <w:r>
        <w:rPr>
          <w:rFonts w:ascii="CAIXA Std Book" w:hAnsi="CAIXA Std Book"/>
          <w:color w:val="005CA9"/>
          <w:sz w:val="12"/>
          <w:szCs w:val="12"/>
        </w:rPr>
        <w:t>C</w:t>
      </w:r>
      <w:r w:rsidRPr="000961A6">
        <w:rPr>
          <w:rFonts w:ascii="CAIXA Std Book" w:hAnsi="CAIXA Std Book"/>
          <w:color w:val="005CA9"/>
          <w:sz w:val="12"/>
          <w:szCs w:val="12"/>
        </w:rPr>
        <w:t>ontrolada em conjunto, o saldo é composto por transações com</w:t>
      </w:r>
      <w:r>
        <w:rPr>
          <w:rFonts w:ascii="CAIXA Std Book" w:hAnsi="CAIXA Std Book"/>
          <w:color w:val="005CA9"/>
          <w:sz w:val="12"/>
          <w:szCs w:val="12"/>
        </w:rPr>
        <w:t xml:space="preserve"> a</w:t>
      </w:r>
      <w:r w:rsidRPr="000961A6">
        <w:rPr>
          <w:rFonts w:ascii="CAIXA Std Book" w:hAnsi="CAIXA Std Book"/>
          <w:color w:val="005CA9"/>
          <w:sz w:val="12"/>
          <w:szCs w:val="12"/>
        </w:rPr>
        <w:t xml:space="preserve"> Elo Serviços e em </w:t>
      </w:r>
      <w:r>
        <w:rPr>
          <w:rFonts w:ascii="CAIXA Std Book" w:hAnsi="CAIXA Std Book"/>
          <w:color w:val="005CA9"/>
          <w:sz w:val="12"/>
          <w:szCs w:val="12"/>
        </w:rPr>
        <w:t>C</w:t>
      </w:r>
      <w:r w:rsidRPr="000961A6">
        <w:rPr>
          <w:rFonts w:ascii="CAIXA Std Book" w:hAnsi="CAIXA Std Book"/>
          <w:color w:val="005CA9"/>
          <w:sz w:val="12"/>
          <w:szCs w:val="12"/>
        </w:rPr>
        <w:t>oligada, com a TecBan.</w:t>
      </w:r>
    </w:p>
    <w:p w14:paraId="6F062F0D" w14:textId="2F8D7CE1" w:rsidR="00191906" w:rsidRDefault="00191906" w:rsidP="00191906">
      <w:pPr>
        <w:jc w:val="both"/>
        <w:rPr>
          <w:rFonts w:ascii="CAIXA Std Book" w:hAnsi="CAIXA Std Book"/>
          <w:color w:val="005CA9"/>
          <w:sz w:val="12"/>
          <w:szCs w:val="12"/>
        </w:rPr>
      </w:pPr>
      <w:r w:rsidRPr="00654472">
        <w:rPr>
          <w:rFonts w:ascii="CAIXA Std Book" w:hAnsi="CAIXA Std Book"/>
          <w:color w:val="005CA9"/>
          <w:sz w:val="12"/>
          <w:szCs w:val="12"/>
        </w:rPr>
        <w:t>(</w:t>
      </w:r>
      <w:r>
        <w:rPr>
          <w:rFonts w:ascii="CAIXA Std Book" w:hAnsi="CAIXA Std Book"/>
          <w:color w:val="005CA9"/>
          <w:sz w:val="12"/>
          <w:szCs w:val="12"/>
        </w:rPr>
        <w:t>6</w:t>
      </w:r>
      <w:r w:rsidRPr="00654472">
        <w:rPr>
          <w:rFonts w:ascii="CAIXA Std Book" w:hAnsi="CAIXA Std Book"/>
          <w:color w:val="005CA9"/>
          <w:sz w:val="12"/>
          <w:szCs w:val="12"/>
        </w:rPr>
        <w:t xml:space="preserve">) </w:t>
      </w:r>
      <w:r>
        <w:rPr>
          <w:rFonts w:ascii="CAIXA Std Book" w:hAnsi="CAIXA Std Book"/>
          <w:color w:val="005CA9"/>
          <w:sz w:val="12"/>
          <w:szCs w:val="12"/>
        </w:rPr>
        <w:t>D</w:t>
      </w:r>
      <w:r w:rsidRPr="00654472">
        <w:rPr>
          <w:rFonts w:ascii="CAIXA Std Book" w:hAnsi="CAIXA Std Book"/>
          <w:color w:val="005CA9"/>
          <w:sz w:val="12"/>
          <w:szCs w:val="12"/>
        </w:rPr>
        <w:t>espesas com juros remuneratórios e atualização monetária dos IHCD</w:t>
      </w:r>
      <w:r>
        <w:rPr>
          <w:rFonts w:ascii="CAIXA Std Book" w:hAnsi="CAIXA Std Book"/>
          <w:color w:val="005CA9"/>
          <w:sz w:val="12"/>
          <w:szCs w:val="12"/>
        </w:rPr>
        <w:t xml:space="preserve"> (Controladora)</w:t>
      </w:r>
      <w:r w:rsidRPr="00654472">
        <w:rPr>
          <w:rFonts w:ascii="CAIXA Std Book" w:hAnsi="CAIXA Std Book"/>
          <w:color w:val="005CA9"/>
          <w:sz w:val="12"/>
          <w:szCs w:val="12"/>
        </w:rPr>
        <w:t xml:space="preserve">. </w:t>
      </w:r>
      <w:r>
        <w:rPr>
          <w:rFonts w:ascii="CAIXA Std Book" w:hAnsi="CAIXA Std Book"/>
          <w:color w:val="005CA9"/>
          <w:sz w:val="12"/>
          <w:szCs w:val="12"/>
        </w:rPr>
        <w:t>O</w:t>
      </w:r>
      <w:r w:rsidRPr="00654472">
        <w:rPr>
          <w:rFonts w:ascii="CAIXA Std Book" w:hAnsi="CAIXA Std Book"/>
          <w:color w:val="005CA9"/>
          <w:sz w:val="12"/>
          <w:szCs w:val="12"/>
        </w:rPr>
        <w:t>perações com o FGTS, FAR, FDS, FGS</w:t>
      </w:r>
      <w:r>
        <w:rPr>
          <w:rFonts w:ascii="CAIXA Std Book" w:hAnsi="CAIXA Std Book"/>
          <w:color w:val="005CA9"/>
          <w:sz w:val="12"/>
          <w:szCs w:val="12"/>
        </w:rPr>
        <w:t xml:space="preserve"> (Outras entidades)</w:t>
      </w:r>
      <w:r w:rsidRPr="00654472">
        <w:rPr>
          <w:rFonts w:ascii="CAIXA Std Book" w:hAnsi="CAIXA Std Book"/>
          <w:color w:val="005CA9"/>
          <w:sz w:val="12"/>
          <w:szCs w:val="12"/>
        </w:rPr>
        <w:t>.</w:t>
      </w:r>
    </w:p>
    <w:p w14:paraId="5B47E674" w14:textId="70DB7E69" w:rsidR="00191906" w:rsidRDefault="00191906" w:rsidP="00191906">
      <w:pPr>
        <w:jc w:val="both"/>
        <w:rPr>
          <w:rFonts w:ascii="CAIXA Std Book" w:hAnsi="CAIXA Std Book"/>
          <w:color w:val="005CA9"/>
          <w:sz w:val="12"/>
          <w:szCs w:val="12"/>
        </w:rPr>
      </w:pPr>
      <w:r w:rsidRPr="001D743F">
        <w:rPr>
          <w:rFonts w:ascii="CAIXA Std Book" w:hAnsi="CAIXA Std Book"/>
          <w:color w:val="005CA9"/>
          <w:sz w:val="12"/>
          <w:szCs w:val="12"/>
        </w:rPr>
        <w:t>(</w:t>
      </w:r>
      <w:r>
        <w:rPr>
          <w:rFonts w:ascii="CAIXA Std Book" w:hAnsi="CAIXA Std Book"/>
          <w:color w:val="005CA9"/>
          <w:sz w:val="12"/>
          <w:szCs w:val="12"/>
        </w:rPr>
        <w:t>7</w:t>
      </w:r>
      <w:r w:rsidRPr="001D743F">
        <w:rPr>
          <w:rFonts w:ascii="CAIXA Std Book" w:hAnsi="CAIXA Std Book"/>
          <w:color w:val="005CA9"/>
          <w:sz w:val="12"/>
          <w:szCs w:val="12"/>
        </w:rPr>
        <w:t>) Despesas de previdência complementar com a Funcef, conforme Nota 25.</w:t>
      </w:r>
    </w:p>
    <w:p w14:paraId="7060DD29" w14:textId="77777777" w:rsidR="00191906" w:rsidRPr="0087648B" w:rsidRDefault="00191906" w:rsidP="00191906">
      <w:pPr>
        <w:jc w:val="both"/>
        <w:rPr>
          <w:rFonts w:ascii="CAIXA Std Book" w:hAnsi="CAIXA Std Book"/>
          <w:color w:val="005CA9"/>
          <w:sz w:val="12"/>
          <w:szCs w:val="12"/>
        </w:rPr>
      </w:pPr>
      <w:r w:rsidRPr="0087648B">
        <w:rPr>
          <w:rFonts w:ascii="CAIXA Std Book" w:hAnsi="CAIXA Std Book"/>
          <w:color w:val="005CA9"/>
          <w:sz w:val="12"/>
          <w:szCs w:val="12"/>
        </w:rPr>
        <w:t>(</w:t>
      </w:r>
      <w:r>
        <w:rPr>
          <w:rFonts w:ascii="CAIXA Std Book" w:hAnsi="CAIXA Std Book"/>
          <w:color w:val="005CA9"/>
          <w:sz w:val="12"/>
          <w:szCs w:val="12"/>
        </w:rPr>
        <w:t>8</w:t>
      </w:r>
      <w:r w:rsidRPr="0087648B">
        <w:rPr>
          <w:rFonts w:ascii="CAIXA Std Book" w:hAnsi="CAIXA Std Book"/>
          <w:color w:val="005CA9"/>
          <w:sz w:val="12"/>
          <w:szCs w:val="12"/>
        </w:rPr>
        <w:t xml:space="preserve">) Refere-se a despesas de aluguel </w:t>
      </w:r>
      <w:r>
        <w:rPr>
          <w:rFonts w:ascii="CAIXA Std Book" w:hAnsi="CAIXA Std Book"/>
          <w:color w:val="005CA9"/>
          <w:sz w:val="12"/>
          <w:szCs w:val="12"/>
        </w:rPr>
        <w:t>de imóveis devidas à</w:t>
      </w:r>
      <w:r w:rsidRPr="0087648B">
        <w:rPr>
          <w:rFonts w:ascii="CAIXA Std Book" w:hAnsi="CAIXA Std Book"/>
          <w:color w:val="005CA9"/>
          <w:sz w:val="12"/>
          <w:szCs w:val="12"/>
        </w:rPr>
        <w:t xml:space="preserve"> Funcef.</w:t>
      </w:r>
    </w:p>
    <w:p w14:paraId="54A8BED3" w14:textId="77777777" w:rsidR="0054776D" w:rsidRDefault="00191906" w:rsidP="00191906">
      <w:pPr>
        <w:jc w:val="both"/>
        <w:rPr>
          <w:rFonts w:ascii="CAIXA Std Book" w:hAnsi="CAIXA Std Book"/>
          <w:color w:val="005CA9"/>
          <w:sz w:val="12"/>
          <w:szCs w:val="12"/>
        </w:rPr>
      </w:pPr>
      <w:r w:rsidRPr="0087648B">
        <w:rPr>
          <w:rFonts w:ascii="CAIXA Std Book" w:hAnsi="CAIXA Std Book"/>
          <w:color w:val="005CA9"/>
          <w:sz w:val="12"/>
          <w:szCs w:val="12"/>
        </w:rPr>
        <w:t>(</w:t>
      </w:r>
      <w:r>
        <w:rPr>
          <w:rFonts w:ascii="CAIXA Std Book" w:hAnsi="CAIXA Std Book"/>
          <w:color w:val="005CA9"/>
          <w:sz w:val="12"/>
          <w:szCs w:val="12"/>
        </w:rPr>
        <w:t>9</w:t>
      </w:r>
      <w:r w:rsidRPr="0087648B">
        <w:rPr>
          <w:rFonts w:ascii="CAIXA Std Book" w:hAnsi="CAIXA Std Book"/>
          <w:color w:val="005CA9"/>
          <w:sz w:val="12"/>
          <w:szCs w:val="12"/>
        </w:rPr>
        <w:t xml:space="preserve">) Em </w:t>
      </w:r>
      <w:r>
        <w:rPr>
          <w:rFonts w:ascii="CAIXA Std Book" w:hAnsi="CAIXA Std Book"/>
          <w:color w:val="005CA9"/>
          <w:sz w:val="12"/>
          <w:szCs w:val="12"/>
        </w:rPr>
        <w:t>O</w:t>
      </w:r>
      <w:r w:rsidRPr="0087648B">
        <w:rPr>
          <w:rFonts w:ascii="CAIXA Std Book" w:hAnsi="CAIXA Std Book"/>
          <w:color w:val="005CA9"/>
          <w:sz w:val="12"/>
          <w:szCs w:val="12"/>
        </w:rPr>
        <w:t xml:space="preserve">utras entidades, </w:t>
      </w:r>
      <w:r>
        <w:rPr>
          <w:rFonts w:ascii="CAIXA Std Book" w:hAnsi="CAIXA Std Book"/>
          <w:color w:val="005CA9"/>
          <w:sz w:val="12"/>
          <w:szCs w:val="12"/>
        </w:rPr>
        <w:t xml:space="preserve">destacam-se as </w:t>
      </w:r>
      <w:r w:rsidRPr="0087648B">
        <w:rPr>
          <w:rFonts w:ascii="CAIXA Std Book" w:hAnsi="CAIXA Std Book"/>
          <w:color w:val="005CA9"/>
          <w:sz w:val="12"/>
          <w:szCs w:val="12"/>
        </w:rPr>
        <w:t xml:space="preserve">despesas com operações de repasses </w:t>
      </w:r>
      <w:r>
        <w:rPr>
          <w:rFonts w:ascii="CAIXA Std Book" w:hAnsi="CAIXA Std Book"/>
          <w:color w:val="005CA9"/>
          <w:sz w:val="12"/>
          <w:szCs w:val="12"/>
        </w:rPr>
        <w:t>d</w:t>
      </w:r>
      <w:r w:rsidRPr="0087648B">
        <w:rPr>
          <w:rFonts w:ascii="CAIXA Std Book" w:hAnsi="CAIXA Std Book"/>
          <w:color w:val="005CA9"/>
          <w:sz w:val="12"/>
          <w:szCs w:val="12"/>
        </w:rPr>
        <w:t>o FGTS, BNDES e outros, conforme Nota 16(b)</w:t>
      </w:r>
      <w:r w:rsidR="00B91EB0" w:rsidRPr="0087648B">
        <w:rPr>
          <w:rFonts w:ascii="CAIXA Std Book" w:hAnsi="CAIXA Std Book"/>
          <w:color w:val="005CA9"/>
          <w:sz w:val="12"/>
          <w:szCs w:val="12"/>
        </w:rPr>
        <w:t>.</w:t>
      </w:r>
    </w:p>
    <w:p w14:paraId="7797A900" w14:textId="77777777" w:rsidR="0058113F" w:rsidRDefault="0058113F" w:rsidP="00191906">
      <w:pPr>
        <w:jc w:val="both"/>
        <w:rPr>
          <w:rFonts w:ascii="CAIXA Std Book" w:hAnsi="CAIXA Std Book"/>
          <w:color w:val="005CA9"/>
          <w:sz w:val="12"/>
          <w:szCs w:val="12"/>
        </w:rPr>
      </w:pPr>
    </w:p>
    <w:p w14:paraId="70511FB6" w14:textId="3084277A" w:rsidR="0054776D" w:rsidRPr="00B91EB0" w:rsidRDefault="0054776D" w:rsidP="00191906">
      <w:pPr>
        <w:jc w:val="both"/>
        <w:rPr>
          <w:rFonts w:ascii="CAIXA Std Book" w:hAnsi="CAIXA Std Book"/>
          <w:color w:val="005CA9"/>
          <w:sz w:val="12"/>
          <w:szCs w:val="12"/>
        </w:rPr>
        <w:sectPr w:rsidR="0054776D" w:rsidRPr="00B91EB0" w:rsidSect="0088151D">
          <w:headerReference w:type="default" r:id="rId69"/>
          <w:footerReference w:type="default" r:id="rId70"/>
          <w:pgSz w:w="16838" w:h="11906" w:orient="landscape"/>
          <w:pgMar w:top="1418" w:right="851" w:bottom="851" w:left="1418" w:header="1134" w:footer="709" w:gutter="0"/>
          <w:cols w:space="708"/>
          <w:docGrid w:linePitch="360"/>
        </w:sectPr>
      </w:pPr>
    </w:p>
    <w:p w14:paraId="14729B9B" w14:textId="350F763A" w:rsidR="0054776D" w:rsidRPr="00FF4346" w:rsidRDefault="0054776D" w:rsidP="00B37B40">
      <w:pPr>
        <w:pStyle w:val="PargrafodaLista"/>
        <w:numPr>
          <w:ilvl w:val="0"/>
          <w:numId w:val="12"/>
        </w:numPr>
        <w:spacing w:before="480" w:after="240"/>
        <w:ind w:left="151" w:hanging="151"/>
        <w:jc w:val="both"/>
        <w:rPr>
          <w:rFonts w:ascii="CAIXA Std Book" w:hAnsi="CAIXA Std Book"/>
          <w:b/>
          <w:color w:val="005CA9"/>
          <w:sz w:val="20"/>
          <w:szCs w:val="20"/>
        </w:rPr>
      </w:pPr>
      <w:r w:rsidRPr="00FF4346">
        <w:rPr>
          <w:rFonts w:ascii="CAIXA Std Book" w:hAnsi="CAIXA Std Book"/>
          <w:b/>
          <w:color w:val="005CA9"/>
          <w:sz w:val="20"/>
          <w:szCs w:val="20"/>
        </w:rPr>
        <w:lastRenderedPageBreak/>
        <w:t>Média salarial (valores em R$)</w:t>
      </w:r>
    </w:p>
    <w:tbl>
      <w:tblPr>
        <w:tblW w:w="5000" w:type="pct"/>
        <w:tblCellMar>
          <w:left w:w="0" w:type="dxa"/>
          <w:right w:w="28" w:type="dxa"/>
        </w:tblCellMar>
        <w:tblLook w:val="04A0" w:firstRow="1" w:lastRow="0" w:firstColumn="1" w:lastColumn="0" w:noHBand="0" w:noVBand="1"/>
      </w:tblPr>
      <w:tblGrid>
        <w:gridCol w:w="4373"/>
        <w:gridCol w:w="1343"/>
        <w:gridCol w:w="1343"/>
        <w:gridCol w:w="1343"/>
        <w:gridCol w:w="1345"/>
      </w:tblGrid>
      <w:tr w:rsidR="003B2B2A" w:rsidRPr="00A33766" w14:paraId="20045ACD" w14:textId="77777777" w:rsidTr="00072188">
        <w:trPr>
          <w:trHeight w:val="283"/>
        </w:trPr>
        <w:tc>
          <w:tcPr>
            <w:tcW w:w="5000" w:type="pct"/>
            <w:gridSpan w:val="5"/>
            <w:tcBorders>
              <w:top w:val="single" w:sz="4" w:space="0" w:color="F39200"/>
              <w:left w:val="nil"/>
              <w:bottom w:val="single" w:sz="4" w:space="0" w:color="F39200"/>
              <w:right w:val="nil"/>
            </w:tcBorders>
            <w:shd w:val="clear" w:color="auto" w:fill="auto"/>
            <w:noWrap/>
            <w:vAlign w:val="center"/>
            <w:hideMark/>
          </w:tcPr>
          <w:p w14:paraId="28AA156A" w14:textId="0AF9564E" w:rsidR="0054776D" w:rsidRPr="00FF4346" w:rsidRDefault="0054776D" w:rsidP="00072188">
            <w:pPr>
              <w:jc w:val="center"/>
              <w:rPr>
                <w:rFonts w:ascii="CAIXA Std Book" w:hAnsi="CAIXA Std Book" w:cs="Symbol"/>
                <w:b/>
                <w:color w:val="005CA9"/>
                <w:sz w:val="18"/>
                <w:szCs w:val="18"/>
              </w:rPr>
            </w:pPr>
            <w:bookmarkStart w:id="132" w:name="_Hlk48302948"/>
            <w:r w:rsidRPr="00FF4346">
              <w:rPr>
                <w:rFonts w:ascii="CAIXA Std Book" w:hAnsi="CAIXA Std Book" w:cs="Symbol"/>
                <w:b/>
                <w:color w:val="005CA9"/>
                <w:sz w:val="18"/>
                <w:szCs w:val="18"/>
              </w:rPr>
              <w:t>INDIVIDUAL</w:t>
            </w:r>
            <w:r w:rsidR="0082171D" w:rsidRPr="00FF4346">
              <w:rPr>
                <w:rFonts w:ascii="CAIXA Std Book" w:hAnsi="CAIXA Std Book" w:cs="Symbol"/>
                <w:b/>
                <w:color w:val="005CA9"/>
                <w:sz w:val="18"/>
                <w:szCs w:val="18"/>
              </w:rPr>
              <w:t>/CONSOLIDADO</w:t>
            </w:r>
          </w:p>
        </w:tc>
      </w:tr>
      <w:tr w:rsidR="003B2B2A" w:rsidRPr="00A33766" w14:paraId="53B6B8F6" w14:textId="77777777" w:rsidTr="00365B9B">
        <w:trPr>
          <w:trHeight w:val="283"/>
        </w:trPr>
        <w:tc>
          <w:tcPr>
            <w:tcW w:w="2243" w:type="pct"/>
            <w:vMerge w:val="restart"/>
            <w:tcBorders>
              <w:top w:val="nil"/>
              <w:left w:val="nil"/>
              <w:bottom w:val="single" w:sz="4" w:space="0" w:color="F39200"/>
              <w:right w:val="nil"/>
            </w:tcBorders>
            <w:shd w:val="clear" w:color="auto" w:fill="auto"/>
            <w:noWrap/>
            <w:vAlign w:val="center"/>
            <w:hideMark/>
          </w:tcPr>
          <w:p w14:paraId="621C3566" w14:textId="77777777" w:rsidR="0054776D" w:rsidRPr="00FF4346" w:rsidRDefault="0054776D"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Descrição</w:t>
            </w:r>
          </w:p>
        </w:tc>
        <w:tc>
          <w:tcPr>
            <w:tcW w:w="1378" w:type="pct"/>
            <w:gridSpan w:val="2"/>
            <w:tcBorders>
              <w:top w:val="single" w:sz="4" w:space="0" w:color="F39200"/>
              <w:left w:val="nil"/>
              <w:bottom w:val="single" w:sz="4" w:space="0" w:color="F39200"/>
              <w:right w:val="nil"/>
            </w:tcBorders>
            <w:shd w:val="clear" w:color="auto" w:fill="auto"/>
            <w:noWrap/>
            <w:vAlign w:val="center"/>
            <w:hideMark/>
          </w:tcPr>
          <w:p w14:paraId="6F397C78" w14:textId="52722A98" w:rsidR="0054776D" w:rsidRPr="00FF4346" w:rsidRDefault="009F0054"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31/</w:t>
            </w:r>
            <w:r w:rsidR="004C1004">
              <w:rPr>
                <w:rFonts w:ascii="CAIXA Std Book" w:hAnsi="CAIXA Std Book" w:cs="Symbol"/>
                <w:b/>
                <w:color w:val="005CA9"/>
                <w:sz w:val="18"/>
                <w:szCs w:val="18"/>
              </w:rPr>
              <w:t>03</w:t>
            </w:r>
            <w:r w:rsidR="0054776D" w:rsidRPr="00FF4346">
              <w:rPr>
                <w:rFonts w:ascii="CAIXA Std Book" w:hAnsi="CAIXA Std Book" w:cs="Symbol"/>
                <w:b/>
                <w:color w:val="005CA9"/>
                <w:sz w:val="18"/>
                <w:szCs w:val="18"/>
              </w:rPr>
              <w:t>/202</w:t>
            </w:r>
            <w:r w:rsidR="004C1004">
              <w:rPr>
                <w:rFonts w:ascii="CAIXA Std Book" w:hAnsi="CAIXA Std Book" w:cs="Symbol"/>
                <w:b/>
                <w:color w:val="005CA9"/>
                <w:sz w:val="18"/>
                <w:szCs w:val="18"/>
              </w:rPr>
              <w:t>4</w:t>
            </w:r>
          </w:p>
        </w:tc>
        <w:tc>
          <w:tcPr>
            <w:tcW w:w="1379" w:type="pct"/>
            <w:gridSpan w:val="2"/>
            <w:tcBorders>
              <w:top w:val="single" w:sz="4" w:space="0" w:color="F39200"/>
              <w:left w:val="nil"/>
              <w:bottom w:val="single" w:sz="4" w:space="0" w:color="F39200"/>
              <w:right w:val="nil"/>
            </w:tcBorders>
            <w:shd w:val="clear" w:color="auto" w:fill="auto"/>
            <w:noWrap/>
            <w:vAlign w:val="center"/>
            <w:hideMark/>
          </w:tcPr>
          <w:p w14:paraId="0B68EF73" w14:textId="6B24581D" w:rsidR="0054776D" w:rsidRPr="00FF4346" w:rsidRDefault="00841161"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31/</w:t>
            </w:r>
            <w:r w:rsidR="00B547BB">
              <w:rPr>
                <w:rFonts w:ascii="CAIXA Std Book" w:hAnsi="CAIXA Std Book" w:cs="Symbol"/>
                <w:b/>
                <w:color w:val="005CA9"/>
                <w:sz w:val="18"/>
                <w:szCs w:val="18"/>
              </w:rPr>
              <w:t>12</w:t>
            </w:r>
            <w:r w:rsidR="0054776D" w:rsidRPr="00FF4346">
              <w:rPr>
                <w:rFonts w:ascii="CAIXA Std Book" w:hAnsi="CAIXA Std Book" w:cs="Symbol"/>
                <w:b/>
                <w:color w:val="005CA9"/>
                <w:sz w:val="18"/>
                <w:szCs w:val="18"/>
              </w:rPr>
              <w:t>/202</w:t>
            </w:r>
            <w:r w:rsidR="004C1004">
              <w:rPr>
                <w:rFonts w:ascii="CAIXA Std Book" w:hAnsi="CAIXA Std Book" w:cs="Symbol"/>
                <w:b/>
                <w:color w:val="005CA9"/>
                <w:sz w:val="18"/>
                <w:szCs w:val="18"/>
              </w:rPr>
              <w:t>3</w:t>
            </w:r>
          </w:p>
        </w:tc>
      </w:tr>
      <w:tr w:rsidR="003B2B2A" w:rsidRPr="00A33766" w14:paraId="7038BD70" w14:textId="77777777" w:rsidTr="000A3B84">
        <w:trPr>
          <w:trHeight w:val="283"/>
        </w:trPr>
        <w:tc>
          <w:tcPr>
            <w:tcW w:w="2243" w:type="pct"/>
            <w:vMerge/>
            <w:tcBorders>
              <w:top w:val="nil"/>
              <w:left w:val="nil"/>
              <w:bottom w:val="single" w:sz="4" w:space="0" w:color="F39200"/>
              <w:right w:val="nil"/>
            </w:tcBorders>
            <w:vAlign w:val="center"/>
            <w:hideMark/>
          </w:tcPr>
          <w:p w14:paraId="23E29953" w14:textId="77777777" w:rsidR="0054776D" w:rsidRPr="00FF4346" w:rsidRDefault="0054776D" w:rsidP="00072188">
            <w:pPr>
              <w:rPr>
                <w:rFonts w:ascii="CAIXA Std Book" w:hAnsi="CAIXA Std Book" w:cs="Symbol"/>
                <w:b/>
                <w:color w:val="005CA9"/>
                <w:sz w:val="18"/>
                <w:szCs w:val="18"/>
              </w:rPr>
            </w:pPr>
          </w:p>
        </w:tc>
        <w:tc>
          <w:tcPr>
            <w:tcW w:w="689" w:type="pct"/>
            <w:tcBorders>
              <w:top w:val="nil"/>
              <w:left w:val="nil"/>
              <w:bottom w:val="single" w:sz="4" w:space="0" w:color="F39200"/>
              <w:right w:val="nil"/>
            </w:tcBorders>
            <w:shd w:val="clear" w:color="auto" w:fill="auto"/>
            <w:noWrap/>
            <w:vAlign w:val="center"/>
            <w:hideMark/>
          </w:tcPr>
          <w:p w14:paraId="4720C477" w14:textId="77777777" w:rsidR="0054776D" w:rsidRPr="00FF4346" w:rsidRDefault="0054776D"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Administrador</w:t>
            </w:r>
          </w:p>
        </w:tc>
        <w:tc>
          <w:tcPr>
            <w:tcW w:w="689" w:type="pct"/>
            <w:tcBorders>
              <w:top w:val="nil"/>
              <w:left w:val="nil"/>
              <w:bottom w:val="single" w:sz="4" w:space="0" w:color="F39200"/>
              <w:right w:val="nil"/>
            </w:tcBorders>
            <w:shd w:val="clear" w:color="auto" w:fill="auto"/>
            <w:noWrap/>
            <w:vAlign w:val="center"/>
            <w:hideMark/>
          </w:tcPr>
          <w:p w14:paraId="4F1DF5BA" w14:textId="77777777" w:rsidR="0054776D" w:rsidRPr="00FF4346" w:rsidRDefault="0054776D"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Empregado</w:t>
            </w:r>
          </w:p>
        </w:tc>
        <w:tc>
          <w:tcPr>
            <w:tcW w:w="689" w:type="pct"/>
            <w:tcBorders>
              <w:top w:val="nil"/>
              <w:left w:val="nil"/>
              <w:bottom w:val="single" w:sz="4" w:space="0" w:color="F39200"/>
              <w:right w:val="nil"/>
            </w:tcBorders>
            <w:shd w:val="clear" w:color="auto" w:fill="auto"/>
            <w:noWrap/>
            <w:vAlign w:val="center"/>
            <w:hideMark/>
          </w:tcPr>
          <w:p w14:paraId="4B68BB02" w14:textId="77777777" w:rsidR="0054776D" w:rsidRPr="00FF4346" w:rsidRDefault="0054776D"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Administrador</w:t>
            </w:r>
          </w:p>
        </w:tc>
        <w:tc>
          <w:tcPr>
            <w:tcW w:w="690" w:type="pct"/>
            <w:tcBorders>
              <w:top w:val="nil"/>
              <w:left w:val="nil"/>
              <w:bottom w:val="single" w:sz="4" w:space="0" w:color="F39200"/>
              <w:right w:val="nil"/>
            </w:tcBorders>
            <w:shd w:val="clear" w:color="auto" w:fill="auto"/>
            <w:noWrap/>
            <w:vAlign w:val="center"/>
            <w:hideMark/>
          </w:tcPr>
          <w:p w14:paraId="0BDB1EC9" w14:textId="77777777" w:rsidR="0054776D" w:rsidRPr="00FF4346" w:rsidRDefault="0054776D" w:rsidP="00072188">
            <w:pPr>
              <w:jc w:val="center"/>
              <w:rPr>
                <w:rFonts w:ascii="CAIXA Std Book" w:hAnsi="CAIXA Std Book" w:cs="Symbol"/>
                <w:b/>
                <w:color w:val="005CA9"/>
                <w:sz w:val="18"/>
                <w:szCs w:val="18"/>
              </w:rPr>
            </w:pPr>
            <w:r w:rsidRPr="00FF4346">
              <w:rPr>
                <w:rFonts w:ascii="CAIXA Std Book" w:hAnsi="CAIXA Std Book" w:cs="Symbol"/>
                <w:b/>
                <w:color w:val="005CA9"/>
                <w:sz w:val="18"/>
                <w:szCs w:val="18"/>
              </w:rPr>
              <w:t>Empregado</w:t>
            </w:r>
          </w:p>
        </w:tc>
      </w:tr>
      <w:tr w:rsidR="00B70996" w:rsidRPr="00A33766" w14:paraId="0098C6D9" w14:textId="77777777" w:rsidTr="000A3B84">
        <w:trPr>
          <w:trHeight w:val="283"/>
        </w:trPr>
        <w:tc>
          <w:tcPr>
            <w:tcW w:w="2243" w:type="pct"/>
            <w:tcBorders>
              <w:top w:val="nil"/>
              <w:left w:val="nil"/>
              <w:bottom w:val="nil"/>
              <w:right w:val="nil"/>
            </w:tcBorders>
            <w:shd w:val="clear" w:color="auto" w:fill="auto"/>
            <w:noWrap/>
            <w:vAlign w:val="center"/>
            <w:hideMark/>
          </w:tcPr>
          <w:p w14:paraId="4BC86946" w14:textId="77777777" w:rsidR="00B70996" w:rsidRPr="00FF4346" w:rsidRDefault="00B70996" w:rsidP="00B70996">
            <w:pPr>
              <w:rPr>
                <w:rFonts w:ascii="CAIXA Std Book" w:hAnsi="CAIXA Std Book" w:cs="Symbol"/>
                <w:color w:val="005CA9"/>
                <w:sz w:val="18"/>
                <w:szCs w:val="18"/>
              </w:rPr>
            </w:pPr>
            <w:r w:rsidRPr="00FF4346">
              <w:rPr>
                <w:rFonts w:ascii="CAIXA Std Book" w:hAnsi="CAIXA Std Book" w:cs="Symbol"/>
                <w:color w:val="005CA9"/>
                <w:sz w:val="18"/>
                <w:szCs w:val="18"/>
              </w:rPr>
              <w:t>Maior salário</w:t>
            </w:r>
          </w:p>
        </w:tc>
        <w:tc>
          <w:tcPr>
            <w:tcW w:w="689" w:type="pct"/>
            <w:tcBorders>
              <w:top w:val="nil"/>
              <w:left w:val="nil"/>
              <w:bottom w:val="nil"/>
              <w:right w:val="nil"/>
            </w:tcBorders>
            <w:shd w:val="clear" w:color="auto" w:fill="auto"/>
            <w:noWrap/>
            <w:vAlign w:val="center"/>
          </w:tcPr>
          <w:p w14:paraId="627B785F" w14:textId="755A8681" w:rsidR="00B70996" w:rsidRPr="007C42F9" w:rsidRDefault="00B70996"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61.254</w:t>
            </w:r>
          </w:p>
        </w:tc>
        <w:tc>
          <w:tcPr>
            <w:tcW w:w="689" w:type="pct"/>
            <w:tcBorders>
              <w:top w:val="nil"/>
              <w:left w:val="nil"/>
              <w:bottom w:val="nil"/>
              <w:right w:val="nil"/>
            </w:tcBorders>
            <w:shd w:val="clear" w:color="auto" w:fill="auto"/>
            <w:noWrap/>
            <w:vAlign w:val="center"/>
          </w:tcPr>
          <w:p w14:paraId="35C5BB77" w14:textId="474E2CB9" w:rsidR="00B70996" w:rsidRPr="007C42F9" w:rsidRDefault="00B70996"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72.259</w:t>
            </w:r>
          </w:p>
        </w:tc>
        <w:tc>
          <w:tcPr>
            <w:tcW w:w="689" w:type="pct"/>
            <w:tcBorders>
              <w:top w:val="nil"/>
              <w:left w:val="nil"/>
              <w:bottom w:val="nil"/>
              <w:right w:val="nil"/>
            </w:tcBorders>
            <w:shd w:val="clear" w:color="auto" w:fill="auto"/>
            <w:noWrap/>
            <w:vAlign w:val="center"/>
          </w:tcPr>
          <w:p w14:paraId="7DB58DBB" w14:textId="3CFD0DE1" w:rsidR="00B70996" w:rsidRPr="00C0087A" w:rsidRDefault="00F76112"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61.254</w:t>
            </w:r>
          </w:p>
        </w:tc>
        <w:tc>
          <w:tcPr>
            <w:tcW w:w="690" w:type="pct"/>
            <w:tcBorders>
              <w:top w:val="nil"/>
              <w:left w:val="nil"/>
              <w:bottom w:val="nil"/>
              <w:right w:val="nil"/>
            </w:tcBorders>
            <w:shd w:val="clear" w:color="auto" w:fill="auto"/>
            <w:noWrap/>
            <w:vAlign w:val="center"/>
          </w:tcPr>
          <w:p w14:paraId="390B4668" w14:textId="348D745B" w:rsidR="00B70996" w:rsidRPr="00C0087A" w:rsidRDefault="00F76112"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7</w:t>
            </w:r>
            <w:r>
              <w:rPr>
                <w:rFonts w:ascii="CAIXA Std Book" w:hAnsi="CAIXA Std Book" w:cs="Symbol"/>
                <w:color w:val="005CA9"/>
                <w:sz w:val="18"/>
                <w:szCs w:val="18"/>
              </w:rPr>
              <w:t>1.614</w:t>
            </w:r>
          </w:p>
        </w:tc>
      </w:tr>
      <w:tr w:rsidR="00B70996" w:rsidRPr="00A33766" w14:paraId="17981726" w14:textId="77777777" w:rsidTr="000A3B84">
        <w:trPr>
          <w:trHeight w:val="283"/>
        </w:trPr>
        <w:tc>
          <w:tcPr>
            <w:tcW w:w="2243" w:type="pct"/>
            <w:tcBorders>
              <w:top w:val="nil"/>
              <w:left w:val="nil"/>
              <w:bottom w:val="nil"/>
              <w:right w:val="nil"/>
            </w:tcBorders>
            <w:shd w:val="clear" w:color="auto" w:fill="auto"/>
            <w:noWrap/>
            <w:vAlign w:val="center"/>
            <w:hideMark/>
          </w:tcPr>
          <w:p w14:paraId="001115C1" w14:textId="77777777" w:rsidR="00B70996" w:rsidRPr="00FF4346" w:rsidRDefault="00B70996" w:rsidP="00B70996">
            <w:pPr>
              <w:rPr>
                <w:rFonts w:ascii="CAIXA Std Book" w:hAnsi="CAIXA Std Book" w:cs="Symbol"/>
                <w:color w:val="005CA9"/>
                <w:sz w:val="18"/>
                <w:szCs w:val="18"/>
              </w:rPr>
            </w:pPr>
            <w:r w:rsidRPr="00FF4346">
              <w:rPr>
                <w:rFonts w:ascii="CAIXA Std Book" w:hAnsi="CAIXA Std Book" w:cs="Symbol"/>
                <w:color w:val="005CA9"/>
                <w:sz w:val="18"/>
                <w:szCs w:val="18"/>
              </w:rPr>
              <w:t>Salário médio</w:t>
            </w:r>
          </w:p>
        </w:tc>
        <w:tc>
          <w:tcPr>
            <w:tcW w:w="689" w:type="pct"/>
            <w:tcBorders>
              <w:top w:val="nil"/>
              <w:left w:val="nil"/>
              <w:bottom w:val="nil"/>
              <w:right w:val="nil"/>
            </w:tcBorders>
            <w:shd w:val="clear" w:color="auto" w:fill="auto"/>
            <w:noWrap/>
            <w:vAlign w:val="center"/>
          </w:tcPr>
          <w:p w14:paraId="2A7C32F4" w14:textId="7ED6D29E" w:rsidR="00B70996" w:rsidRPr="00FF4346" w:rsidRDefault="00B70996" w:rsidP="00B70996">
            <w:pPr>
              <w:jc w:val="right"/>
              <w:rPr>
                <w:rFonts w:ascii="CAIXA Std Book" w:hAnsi="CAIXA Std Book" w:cs="Symbol"/>
                <w:color w:val="005CA9"/>
                <w:sz w:val="18"/>
                <w:szCs w:val="18"/>
              </w:rPr>
            </w:pPr>
            <w:r>
              <w:rPr>
                <w:rFonts w:ascii="CAIXA Std Book" w:hAnsi="CAIXA Std Book" w:cs="Symbol"/>
                <w:color w:val="005CA9"/>
                <w:sz w:val="18"/>
                <w:szCs w:val="18"/>
              </w:rPr>
              <w:t>48.929</w:t>
            </w:r>
          </w:p>
        </w:tc>
        <w:tc>
          <w:tcPr>
            <w:tcW w:w="689" w:type="pct"/>
            <w:tcBorders>
              <w:top w:val="nil"/>
              <w:left w:val="nil"/>
              <w:bottom w:val="nil"/>
              <w:right w:val="nil"/>
            </w:tcBorders>
            <w:shd w:val="clear" w:color="auto" w:fill="auto"/>
            <w:noWrap/>
            <w:vAlign w:val="center"/>
          </w:tcPr>
          <w:p w14:paraId="79BB9590" w14:textId="0E45D5FD" w:rsidR="00B70996" w:rsidRPr="007C42F9" w:rsidRDefault="00B70996"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14.298</w:t>
            </w:r>
          </w:p>
        </w:tc>
        <w:tc>
          <w:tcPr>
            <w:tcW w:w="689" w:type="pct"/>
            <w:tcBorders>
              <w:top w:val="nil"/>
              <w:left w:val="nil"/>
              <w:bottom w:val="nil"/>
              <w:right w:val="nil"/>
            </w:tcBorders>
            <w:shd w:val="clear" w:color="auto" w:fill="auto"/>
            <w:noWrap/>
            <w:vAlign w:val="center"/>
          </w:tcPr>
          <w:p w14:paraId="2C659DA7" w14:textId="49C56500" w:rsidR="00B70996" w:rsidRPr="00C0087A" w:rsidRDefault="00F76112" w:rsidP="00B70996">
            <w:pPr>
              <w:jc w:val="right"/>
              <w:rPr>
                <w:rFonts w:ascii="CAIXA Std Book" w:hAnsi="CAIXA Std Book" w:cs="Symbol"/>
                <w:color w:val="005CA9"/>
                <w:sz w:val="18"/>
                <w:szCs w:val="18"/>
              </w:rPr>
            </w:pPr>
            <w:r>
              <w:rPr>
                <w:rFonts w:ascii="CAIXA Std Book" w:hAnsi="CAIXA Std Book" w:cs="Symbol"/>
                <w:color w:val="005CA9"/>
                <w:sz w:val="18"/>
                <w:szCs w:val="18"/>
              </w:rPr>
              <w:t>48.929</w:t>
            </w:r>
          </w:p>
        </w:tc>
        <w:tc>
          <w:tcPr>
            <w:tcW w:w="690" w:type="pct"/>
            <w:tcBorders>
              <w:top w:val="nil"/>
              <w:left w:val="nil"/>
              <w:bottom w:val="nil"/>
              <w:right w:val="nil"/>
            </w:tcBorders>
            <w:shd w:val="clear" w:color="auto" w:fill="auto"/>
            <w:noWrap/>
            <w:vAlign w:val="center"/>
          </w:tcPr>
          <w:p w14:paraId="515DD3ED" w14:textId="443EEAD2" w:rsidR="00B70996" w:rsidRPr="00C0087A" w:rsidRDefault="00F76112"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14.2</w:t>
            </w:r>
            <w:r>
              <w:rPr>
                <w:rFonts w:ascii="CAIXA Std Book" w:hAnsi="CAIXA Std Book" w:cs="Symbol"/>
                <w:color w:val="005CA9"/>
                <w:sz w:val="18"/>
                <w:szCs w:val="18"/>
              </w:rPr>
              <w:t>31</w:t>
            </w:r>
          </w:p>
        </w:tc>
      </w:tr>
      <w:tr w:rsidR="00B70996" w:rsidRPr="00A33766" w14:paraId="23110039" w14:textId="77777777" w:rsidTr="000A3B84">
        <w:trPr>
          <w:trHeight w:val="283"/>
        </w:trPr>
        <w:tc>
          <w:tcPr>
            <w:tcW w:w="2243" w:type="pct"/>
            <w:tcBorders>
              <w:top w:val="nil"/>
              <w:left w:val="nil"/>
              <w:bottom w:val="nil"/>
              <w:right w:val="nil"/>
            </w:tcBorders>
            <w:shd w:val="clear" w:color="auto" w:fill="auto"/>
            <w:noWrap/>
            <w:vAlign w:val="center"/>
            <w:hideMark/>
          </w:tcPr>
          <w:p w14:paraId="40BCBD6F" w14:textId="77777777" w:rsidR="00B70996" w:rsidRPr="00FF4346" w:rsidRDefault="00B70996" w:rsidP="00B70996">
            <w:pPr>
              <w:rPr>
                <w:rFonts w:ascii="CAIXA Std Book" w:hAnsi="CAIXA Std Book" w:cs="Symbol"/>
                <w:color w:val="005CA9"/>
                <w:sz w:val="18"/>
                <w:szCs w:val="18"/>
              </w:rPr>
            </w:pPr>
            <w:r w:rsidRPr="00FF4346">
              <w:rPr>
                <w:rFonts w:ascii="CAIXA Std Book" w:hAnsi="CAIXA Std Book" w:cs="Symbol"/>
                <w:color w:val="005CA9"/>
                <w:sz w:val="18"/>
                <w:szCs w:val="18"/>
              </w:rPr>
              <w:t>Menor salário</w:t>
            </w:r>
          </w:p>
        </w:tc>
        <w:tc>
          <w:tcPr>
            <w:tcW w:w="689" w:type="pct"/>
            <w:tcBorders>
              <w:top w:val="nil"/>
              <w:left w:val="nil"/>
              <w:bottom w:val="nil"/>
              <w:right w:val="nil"/>
            </w:tcBorders>
            <w:shd w:val="clear" w:color="auto" w:fill="auto"/>
            <w:noWrap/>
            <w:vAlign w:val="center"/>
          </w:tcPr>
          <w:p w14:paraId="23BC20BF" w14:textId="02A36B05" w:rsidR="00B70996" w:rsidRPr="00FF4346" w:rsidRDefault="00B70996" w:rsidP="00B70996">
            <w:pPr>
              <w:jc w:val="right"/>
              <w:rPr>
                <w:rFonts w:ascii="CAIXA Std Book" w:hAnsi="CAIXA Std Book" w:cs="Symbol"/>
                <w:color w:val="005CA9"/>
                <w:sz w:val="18"/>
                <w:szCs w:val="18"/>
              </w:rPr>
            </w:pPr>
            <w:r>
              <w:rPr>
                <w:rFonts w:ascii="CAIXA Std Book" w:hAnsi="CAIXA Std Book" w:cs="Symbol"/>
                <w:color w:val="005CA9"/>
                <w:sz w:val="18"/>
                <w:szCs w:val="18"/>
              </w:rPr>
              <w:t>45.636</w:t>
            </w:r>
          </w:p>
        </w:tc>
        <w:tc>
          <w:tcPr>
            <w:tcW w:w="689" w:type="pct"/>
            <w:tcBorders>
              <w:top w:val="nil"/>
              <w:left w:val="nil"/>
              <w:bottom w:val="nil"/>
              <w:right w:val="nil"/>
            </w:tcBorders>
            <w:shd w:val="clear" w:color="auto" w:fill="auto"/>
            <w:noWrap/>
            <w:vAlign w:val="center"/>
          </w:tcPr>
          <w:p w14:paraId="0340F590" w14:textId="6F7D04DE" w:rsidR="00B70996" w:rsidRPr="007C42F9" w:rsidRDefault="00B70996" w:rsidP="00B70996">
            <w:pPr>
              <w:jc w:val="right"/>
              <w:rPr>
                <w:rFonts w:ascii="CAIXA Std Book" w:hAnsi="CAIXA Std Book" w:cs="Symbol"/>
                <w:color w:val="005CA9"/>
                <w:sz w:val="18"/>
                <w:szCs w:val="18"/>
              </w:rPr>
            </w:pPr>
            <w:r w:rsidRPr="007C42F9">
              <w:rPr>
                <w:rFonts w:ascii="CAIXA Std Book" w:hAnsi="CAIXA Std Book" w:cs="Symbol"/>
                <w:color w:val="005CA9"/>
                <w:sz w:val="18"/>
                <w:szCs w:val="18"/>
              </w:rPr>
              <w:t>3.762</w:t>
            </w:r>
          </w:p>
        </w:tc>
        <w:tc>
          <w:tcPr>
            <w:tcW w:w="689" w:type="pct"/>
            <w:tcBorders>
              <w:top w:val="nil"/>
              <w:left w:val="nil"/>
              <w:bottom w:val="nil"/>
              <w:right w:val="nil"/>
            </w:tcBorders>
            <w:shd w:val="clear" w:color="auto" w:fill="auto"/>
            <w:noWrap/>
            <w:vAlign w:val="center"/>
          </w:tcPr>
          <w:p w14:paraId="6E19554C" w14:textId="5CA628BB" w:rsidR="00B70996" w:rsidRPr="00C0087A" w:rsidRDefault="00F76112" w:rsidP="00B70996">
            <w:pPr>
              <w:jc w:val="right"/>
              <w:rPr>
                <w:rFonts w:ascii="CAIXA Std Book" w:hAnsi="CAIXA Std Book" w:cs="Symbol"/>
                <w:color w:val="005CA9"/>
                <w:sz w:val="18"/>
                <w:szCs w:val="18"/>
              </w:rPr>
            </w:pPr>
            <w:r>
              <w:rPr>
                <w:rFonts w:ascii="CAIXA Std Book" w:hAnsi="CAIXA Std Book" w:cs="Symbol"/>
                <w:color w:val="005CA9"/>
                <w:sz w:val="18"/>
                <w:szCs w:val="18"/>
              </w:rPr>
              <w:t>45.636</w:t>
            </w:r>
          </w:p>
        </w:tc>
        <w:tc>
          <w:tcPr>
            <w:tcW w:w="690" w:type="pct"/>
            <w:tcBorders>
              <w:top w:val="nil"/>
              <w:left w:val="nil"/>
              <w:bottom w:val="nil"/>
              <w:right w:val="nil"/>
            </w:tcBorders>
            <w:shd w:val="clear" w:color="auto" w:fill="auto"/>
            <w:noWrap/>
            <w:vAlign w:val="center"/>
          </w:tcPr>
          <w:p w14:paraId="5CEA4975" w14:textId="642F6308" w:rsidR="00B70996" w:rsidRPr="00C0087A" w:rsidRDefault="002429F7" w:rsidP="00B70996">
            <w:pPr>
              <w:jc w:val="right"/>
              <w:rPr>
                <w:rFonts w:ascii="CAIXA Std Book" w:hAnsi="CAIXA Std Book" w:cs="Symbol"/>
                <w:color w:val="005CA9"/>
                <w:sz w:val="18"/>
                <w:szCs w:val="18"/>
              </w:rPr>
            </w:pPr>
            <w:r>
              <w:rPr>
                <w:rFonts w:ascii="CAIXA Std Book" w:hAnsi="CAIXA Std Book" w:cs="Symbol"/>
                <w:color w:val="005CA9"/>
                <w:sz w:val="18"/>
                <w:szCs w:val="18"/>
              </w:rPr>
              <w:t>3.</w:t>
            </w:r>
            <w:r w:rsidR="00F76112" w:rsidRPr="007C42F9">
              <w:rPr>
                <w:rFonts w:ascii="CAIXA Std Book" w:hAnsi="CAIXA Std Book" w:cs="Symbol"/>
                <w:color w:val="005CA9"/>
                <w:sz w:val="18"/>
                <w:szCs w:val="18"/>
              </w:rPr>
              <w:t>762</w:t>
            </w:r>
          </w:p>
        </w:tc>
      </w:tr>
      <w:tr w:rsidR="00B70996" w:rsidRPr="00A33766" w14:paraId="44125345" w14:textId="77777777" w:rsidTr="000A3B84">
        <w:trPr>
          <w:trHeight w:val="283"/>
        </w:trPr>
        <w:tc>
          <w:tcPr>
            <w:tcW w:w="2243" w:type="pct"/>
            <w:tcBorders>
              <w:top w:val="nil"/>
              <w:left w:val="nil"/>
              <w:bottom w:val="single" w:sz="4" w:space="0" w:color="F39200"/>
              <w:right w:val="nil"/>
            </w:tcBorders>
            <w:shd w:val="clear" w:color="auto" w:fill="auto"/>
            <w:noWrap/>
            <w:vAlign w:val="center"/>
            <w:hideMark/>
          </w:tcPr>
          <w:p w14:paraId="5E4241B4" w14:textId="77777777" w:rsidR="00B70996" w:rsidRPr="00FF4346" w:rsidRDefault="00B70996" w:rsidP="00B70996">
            <w:pPr>
              <w:rPr>
                <w:rFonts w:ascii="CAIXA Std Book" w:hAnsi="CAIXA Std Book" w:cs="Symbol"/>
                <w:color w:val="005CA9"/>
                <w:sz w:val="18"/>
                <w:szCs w:val="18"/>
              </w:rPr>
            </w:pPr>
            <w:r w:rsidRPr="00FF4346">
              <w:rPr>
                <w:rFonts w:ascii="CAIXA Std Book" w:hAnsi="CAIXA Std Book" w:cs="Symbol"/>
                <w:color w:val="005CA9"/>
                <w:sz w:val="18"/>
                <w:szCs w:val="18"/>
              </w:rPr>
              <w:t xml:space="preserve">Benefícios </w:t>
            </w:r>
          </w:p>
        </w:tc>
        <w:tc>
          <w:tcPr>
            <w:tcW w:w="689" w:type="pct"/>
            <w:tcBorders>
              <w:top w:val="nil"/>
              <w:left w:val="nil"/>
              <w:bottom w:val="single" w:sz="4" w:space="0" w:color="F39200"/>
              <w:right w:val="nil"/>
            </w:tcBorders>
            <w:shd w:val="clear" w:color="auto" w:fill="auto"/>
            <w:noWrap/>
            <w:vAlign w:val="center"/>
          </w:tcPr>
          <w:p w14:paraId="2EDF7CAB" w14:textId="020AC74E" w:rsidR="00B70996" w:rsidRPr="00FF4346" w:rsidRDefault="00B70996" w:rsidP="00B70996">
            <w:pPr>
              <w:jc w:val="right"/>
              <w:rPr>
                <w:rFonts w:ascii="CAIXA Std Book" w:hAnsi="CAIXA Std Book" w:cs="Symbol"/>
                <w:color w:val="005CA9"/>
                <w:sz w:val="18"/>
                <w:szCs w:val="18"/>
              </w:rPr>
            </w:pPr>
            <w:r>
              <w:rPr>
                <w:rFonts w:ascii="CAIXA Std Book" w:hAnsi="CAIXA Std Book" w:cs="Symbol"/>
                <w:color w:val="005CA9"/>
                <w:sz w:val="18"/>
                <w:szCs w:val="18"/>
              </w:rPr>
              <w:t>14.455</w:t>
            </w:r>
          </w:p>
        </w:tc>
        <w:tc>
          <w:tcPr>
            <w:tcW w:w="689" w:type="pct"/>
            <w:tcBorders>
              <w:top w:val="nil"/>
              <w:left w:val="nil"/>
              <w:bottom w:val="single" w:sz="4" w:space="0" w:color="F39200"/>
              <w:right w:val="nil"/>
            </w:tcBorders>
            <w:shd w:val="clear" w:color="auto" w:fill="auto"/>
            <w:noWrap/>
            <w:vAlign w:val="center"/>
          </w:tcPr>
          <w:p w14:paraId="4EBE83A3" w14:textId="61FB7E97" w:rsidR="00B70996" w:rsidRPr="00FF4346" w:rsidRDefault="00B70996" w:rsidP="00B70996">
            <w:pPr>
              <w:jc w:val="right"/>
              <w:rPr>
                <w:rFonts w:ascii="CAIXA Std Book" w:hAnsi="CAIXA Std Book" w:cs="Symbol"/>
                <w:color w:val="005CA9"/>
                <w:sz w:val="18"/>
                <w:szCs w:val="18"/>
              </w:rPr>
            </w:pPr>
            <w:r>
              <w:rPr>
                <w:rFonts w:ascii="CAIXA Std Book" w:hAnsi="CAIXA Std Book" w:cs="Symbol"/>
                <w:color w:val="005CA9"/>
                <w:sz w:val="18"/>
                <w:szCs w:val="18"/>
              </w:rPr>
              <w:t>4.545</w:t>
            </w:r>
          </w:p>
        </w:tc>
        <w:tc>
          <w:tcPr>
            <w:tcW w:w="689" w:type="pct"/>
            <w:tcBorders>
              <w:top w:val="nil"/>
              <w:left w:val="nil"/>
              <w:bottom w:val="single" w:sz="4" w:space="0" w:color="F39200"/>
              <w:right w:val="nil"/>
            </w:tcBorders>
            <w:shd w:val="clear" w:color="auto" w:fill="auto"/>
            <w:noWrap/>
            <w:vAlign w:val="center"/>
          </w:tcPr>
          <w:p w14:paraId="7DCCE40B" w14:textId="1DAC2BE7" w:rsidR="00B70996" w:rsidRPr="00C0087A" w:rsidRDefault="00F76112" w:rsidP="00B70996">
            <w:pPr>
              <w:jc w:val="right"/>
              <w:rPr>
                <w:rFonts w:ascii="CAIXA Std Book" w:hAnsi="CAIXA Std Book" w:cs="Symbol"/>
                <w:color w:val="005CA9"/>
                <w:sz w:val="18"/>
                <w:szCs w:val="18"/>
              </w:rPr>
            </w:pPr>
            <w:r>
              <w:rPr>
                <w:rFonts w:ascii="CAIXA Std Book" w:hAnsi="CAIXA Std Book" w:cs="Symbol"/>
                <w:color w:val="005CA9"/>
                <w:sz w:val="18"/>
                <w:szCs w:val="18"/>
              </w:rPr>
              <w:t>14.462</w:t>
            </w:r>
          </w:p>
        </w:tc>
        <w:tc>
          <w:tcPr>
            <w:tcW w:w="690" w:type="pct"/>
            <w:tcBorders>
              <w:top w:val="nil"/>
              <w:left w:val="nil"/>
              <w:bottom w:val="single" w:sz="4" w:space="0" w:color="F39200"/>
              <w:right w:val="nil"/>
            </w:tcBorders>
            <w:shd w:val="clear" w:color="auto" w:fill="auto"/>
            <w:noWrap/>
            <w:vAlign w:val="center"/>
          </w:tcPr>
          <w:p w14:paraId="3855866A" w14:textId="29FD64DB" w:rsidR="00B70996" w:rsidRPr="00C0087A" w:rsidRDefault="00F76112" w:rsidP="00B70996">
            <w:pPr>
              <w:jc w:val="right"/>
              <w:rPr>
                <w:rFonts w:ascii="CAIXA Std Book" w:hAnsi="CAIXA Std Book" w:cs="Symbol"/>
                <w:color w:val="005CA9"/>
                <w:sz w:val="18"/>
                <w:szCs w:val="18"/>
              </w:rPr>
            </w:pPr>
            <w:r>
              <w:rPr>
                <w:rFonts w:ascii="CAIXA Std Book" w:hAnsi="CAIXA Std Book" w:cs="Symbol"/>
                <w:color w:val="005CA9"/>
                <w:sz w:val="18"/>
                <w:szCs w:val="18"/>
              </w:rPr>
              <w:t>4.</w:t>
            </w:r>
            <w:r w:rsidR="007E66D6">
              <w:rPr>
                <w:rFonts w:ascii="CAIXA Std Book" w:hAnsi="CAIXA Std Book" w:cs="Symbol"/>
                <w:color w:val="005CA9"/>
                <w:sz w:val="18"/>
                <w:szCs w:val="18"/>
              </w:rPr>
              <w:t>053</w:t>
            </w:r>
          </w:p>
        </w:tc>
      </w:tr>
    </w:tbl>
    <w:p w14:paraId="0E1151D7" w14:textId="4A9842AF" w:rsidR="0054776D" w:rsidRPr="00FF4346" w:rsidRDefault="0054776D" w:rsidP="00B37B40">
      <w:pPr>
        <w:pStyle w:val="PargrafodaLista"/>
        <w:numPr>
          <w:ilvl w:val="0"/>
          <w:numId w:val="12"/>
        </w:numPr>
        <w:spacing w:before="480" w:after="240"/>
        <w:ind w:left="151" w:hanging="151"/>
        <w:jc w:val="both"/>
        <w:rPr>
          <w:rFonts w:ascii="CAIXA Std Book" w:hAnsi="CAIXA Std Book"/>
          <w:b/>
          <w:color w:val="005CA9"/>
          <w:sz w:val="20"/>
          <w:szCs w:val="20"/>
        </w:rPr>
      </w:pPr>
      <w:r w:rsidRPr="00FF4346">
        <w:rPr>
          <w:rFonts w:ascii="CAIXA Std Book" w:hAnsi="CAIXA Std Book"/>
          <w:b/>
          <w:color w:val="005CA9"/>
          <w:sz w:val="20"/>
          <w:szCs w:val="20"/>
        </w:rPr>
        <w:t>Remuneração do pessoal</w:t>
      </w:r>
      <w:r w:rsidR="00484191" w:rsidRPr="00FF4346">
        <w:rPr>
          <w:rFonts w:ascii="CAIXA Std Book" w:hAnsi="CAIXA Std Book"/>
          <w:b/>
          <w:color w:val="005CA9"/>
          <w:sz w:val="20"/>
          <w:szCs w:val="20"/>
        </w:rPr>
        <w:t xml:space="preserve"> </w:t>
      </w:r>
      <w:r w:rsidRPr="00FF4346">
        <w:rPr>
          <w:rFonts w:ascii="CAIXA Std Book" w:hAnsi="CAIXA Std Book"/>
          <w:b/>
          <w:color w:val="005CA9"/>
          <w:sz w:val="20"/>
          <w:szCs w:val="20"/>
        </w:rPr>
        <w:t>chave da administração</w:t>
      </w:r>
    </w:p>
    <w:p w14:paraId="04204B01" w14:textId="783C88D3" w:rsidR="00AE60C2" w:rsidRPr="00FF4346" w:rsidRDefault="00AE60C2" w:rsidP="00AE60C2">
      <w:pPr>
        <w:pStyle w:val="wordsection1"/>
        <w:spacing w:after="120" w:afterAutospacing="0"/>
        <w:jc w:val="both"/>
        <w:rPr>
          <w:rFonts w:ascii="CAIXA Std Book" w:eastAsia="Yu Mincho Light" w:hAnsi="CAIXA Std Book"/>
          <w:color w:val="005CA9"/>
          <w:sz w:val="20"/>
          <w:szCs w:val="20"/>
        </w:rPr>
      </w:pPr>
      <w:r w:rsidRPr="00FF4346">
        <w:rPr>
          <w:rFonts w:ascii="CAIXA Std Book" w:eastAsia="Yu Mincho Light" w:hAnsi="CAIXA Std Book"/>
          <w:color w:val="005CA9"/>
          <w:sz w:val="20"/>
          <w:szCs w:val="20"/>
        </w:rPr>
        <w:t>O montante da remuneração global dos administradores, membros do Conselho de Administração, Conselho Fiscal, Comitê de Auditoria, Comitê de Risco e Comitê de Pessoas, Elegibilidade, Sucessão e Remuneração da CAIXA é submetido anualmente pelo Conselho de Administração para aprovação da Assembleia Geral da CAIXA.</w:t>
      </w:r>
    </w:p>
    <w:p w14:paraId="7B91ED05" w14:textId="7585B44E" w:rsidR="009B5C29" w:rsidRPr="00FF4346" w:rsidRDefault="0054776D" w:rsidP="0054776D">
      <w:pPr>
        <w:spacing w:before="120" w:after="240"/>
        <w:jc w:val="both"/>
        <w:rPr>
          <w:rFonts w:ascii="CAIXA Std Book" w:hAnsi="CAIXA Std Book"/>
          <w:color w:val="005CA9"/>
          <w:sz w:val="20"/>
          <w:szCs w:val="20"/>
        </w:rPr>
      </w:pPr>
      <w:r w:rsidRPr="00FF4346">
        <w:rPr>
          <w:rFonts w:ascii="CAIXA Std Book" w:hAnsi="CAIXA Std Book"/>
          <w:color w:val="005CA9"/>
          <w:sz w:val="20"/>
          <w:szCs w:val="20"/>
        </w:rPr>
        <w:t>Os custos com remunerações e outros benefícios atribuídos ao pessoal</w:t>
      </w:r>
      <w:r w:rsidR="00775750" w:rsidRPr="00FF4346">
        <w:rPr>
          <w:rFonts w:ascii="CAIXA Std Book" w:hAnsi="CAIXA Std Book"/>
          <w:color w:val="005CA9"/>
          <w:sz w:val="20"/>
          <w:szCs w:val="20"/>
        </w:rPr>
        <w:t xml:space="preserve"> </w:t>
      </w:r>
      <w:r w:rsidRPr="00FF4346">
        <w:rPr>
          <w:rFonts w:ascii="CAIXA Std Book" w:hAnsi="CAIXA Std Book"/>
          <w:color w:val="005CA9"/>
          <w:sz w:val="20"/>
          <w:szCs w:val="20"/>
        </w:rPr>
        <w:t>chave da administração são apresentados como segue:</w:t>
      </w:r>
    </w:p>
    <w:tbl>
      <w:tblPr>
        <w:tblW w:w="5000" w:type="pct"/>
        <w:tblCellMar>
          <w:left w:w="70" w:type="dxa"/>
          <w:right w:w="70" w:type="dxa"/>
        </w:tblCellMar>
        <w:tblLook w:val="04A0" w:firstRow="1" w:lastRow="0" w:firstColumn="1" w:lastColumn="0" w:noHBand="0" w:noVBand="1"/>
      </w:tblPr>
      <w:tblGrid>
        <w:gridCol w:w="6669"/>
        <w:gridCol w:w="1538"/>
        <w:gridCol w:w="1540"/>
      </w:tblGrid>
      <w:tr w:rsidR="00CA322E" w:rsidRPr="00000FB1" w14:paraId="1459EACC" w14:textId="77777777" w:rsidTr="00667139">
        <w:trPr>
          <w:trHeight w:val="282"/>
        </w:trPr>
        <w:tc>
          <w:tcPr>
            <w:tcW w:w="5000" w:type="pct"/>
            <w:gridSpan w:val="3"/>
            <w:tcBorders>
              <w:top w:val="single" w:sz="4" w:space="0" w:color="F79646" w:themeColor="accent6"/>
              <w:left w:val="nil"/>
              <w:bottom w:val="single" w:sz="4" w:space="0" w:color="F39200"/>
              <w:right w:val="nil"/>
            </w:tcBorders>
            <w:vAlign w:val="center"/>
          </w:tcPr>
          <w:p w14:paraId="048C45AF" w14:textId="0CA73854" w:rsidR="00CA322E" w:rsidRPr="00000FB1" w:rsidRDefault="00CA322E" w:rsidP="00667139">
            <w:pPr>
              <w:jc w:val="center"/>
              <w:rPr>
                <w:rFonts w:ascii="CAIXA Std Book" w:hAnsi="CAIXA Std Book" w:cs="Calibri"/>
                <w:b/>
                <w:color w:val="005CA9"/>
                <w:sz w:val="18"/>
                <w:szCs w:val="18"/>
              </w:rPr>
            </w:pPr>
            <w:r w:rsidRPr="00000FB1">
              <w:rPr>
                <w:rFonts w:ascii="CAIXA Std Book" w:hAnsi="CAIXA Std Book" w:cs="Calibri"/>
                <w:b/>
                <w:color w:val="005CA9"/>
                <w:sz w:val="18"/>
                <w:szCs w:val="18"/>
              </w:rPr>
              <w:t>INDIVIDUAL</w:t>
            </w:r>
            <w:r w:rsidR="0082171D" w:rsidRPr="00000FB1">
              <w:rPr>
                <w:rFonts w:ascii="CAIXA Std Book" w:hAnsi="CAIXA Std Book" w:cs="Calibri"/>
                <w:b/>
                <w:color w:val="005CA9"/>
                <w:sz w:val="18"/>
                <w:szCs w:val="18"/>
              </w:rPr>
              <w:t>/CONSOLIDADO</w:t>
            </w:r>
          </w:p>
        </w:tc>
      </w:tr>
      <w:tr w:rsidR="00434491" w:rsidRPr="00000FB1" w14:paraId="4BABBC7B" w14:textId="77777777" w:rsidTr="00433B47">
        <w:trPr>
          <w:trHeight w:val="282"/>
        </w:trPr>
        <w:tc>
          <w:tcPr>
            <w:tcW w:w="3421" w:type="pct"/>
            <w:vMerge w:val="restart"/>
            <w:tcBorders>
              <w:top w:val="nil"/>
              <w:left w:val="nil"/>
              <w:bottom w:val="single" w:sz="4" w:space="0" w:color="F39200"/>
              <w:right w:val="nil"/>
            </w:tcBorders>
            <w:shd w:val="clear" w:color="auto" w:fill="auto"/>
            <w:vAlign w:val="center"/>
            <w:hideMark/>
          </w:tcPr>
          <w:p w14:paraId="58914BA1" w14:textId="77777777" w:rsidR="00434491" w:rsidRPr="00000FB1" w:rsidRDefault="00434491">
            <w:pPr>
              <w:jc w:val="center"/>
              <w:rPr>
                <w:rFonts w:ascii="CAIXA Std Book" w:hAnsi="CAIXA Std Book" w:cs="Calibri"/>
                <w:b/>
                <w:bCs/>
                <w:color w:val="005CA9"/>
                <w:sz w:val="18"/>
                <w:szCs w:val="18"/>
              </w:rPr>
            </w:pPr>
            <w:r w:rsidRPr="00000FB1">
              <w:rPr>
                <w:rFonts w:ascii="CAIXA Std Book" w:hAnsi="CAIXA Std Book" w:cs="Calibri"/>
                <w:b/>
                <w:bCs/>
                <w:color w:val="005CA9"/>
                <w:sz w:val="18"/>
                <w:szCs w:val="18"/>
              </w:rPr>
              <w:t>Descrição</w:t>
            </w:r>
          </w:p>
        </w:tc>
        <w:tc>
          <w:tcPr>
            <w:tcW w:w="789" w:type="pct"/>
            <w:tcBorders>
              <w:top w:val="single" w:sz="4" w:space="0" w:color="F39200"/>
              <w:left w:val="nil"/>
              <w:bottom w:val="single" w:sz="4" w:space="0" w:color="F39200"/>
              <w:right w:val="nil"/>
            </w:tcBorders>
            <w:vAlign w:val="center"/>
          </w:tcPr>
          <w:p w14:paraId="59B9AA00" w14:textId="77777777" w:rsidR="00434491" w:rsidRPr="00000FB1" w:rsidRDefault="00434491" w:rsidP="00434491">
            <w:pPr>
              <w:jc w:val="center"/>
              <w:rPr>
                <w:rFonts w:ascii="CAIXA Std Book" w:hAnsi="CAIXA Std Book" w:cs="Calibri"/>
                <w:b/>
                <w:color w:val="005CA9"/>
                <w:sz w:val="18"/>
                <w:szCs w:val="18"/>
              </w:rPr>
            </w:pPr>
            <w:r w:rsidRPr="00000FB1">
              <w:rPr>
                <w:rFonts w:ascii="CAIXA Std Book" w:hAnsi="CAIXA Std Book" w:cs="Calibri"/>
                <w:b/>
                <w:color w:val="005CA9"/>
                <w:sz w:val="18"/>
                <w:szCs w:val="18"/>
              </w:rPr>
              <w:t>2024</w:t>
            </w:r>
          </w:p>
        </w:tc>
        <w:tc>
          <w:tcPr>
            <w:tcW w:w="790" w:type="pct"/>
            <w:tcBorders>
              <w:top w:val="single" w:sz="4" w:space="0" w:color="F39200"/>
              <w:left w:val="nil"/>
              <w:bottom w:val="single" w:sz="4" w:space="0" w:color="F39200"/>
              <w:right w:val="nil"/>
            </w:tcBorders>
            <w:shd w:val="clear" w:color="auto" w:fill="auto"/>
            <w:vAlign w:val="center"/>
          </w:tcPr>
          <w:p w14:paraId="3B83D5BE" w14:textId="14D4DB32" w:rsidR="00434491" w:rsidRPr="00000FB1" w:rsidRDefault="00434491" w:rsidP="00434491">
            <w:pPr>
              <w:jc w:val="center"/>
              <w:rPr>
                <w:rFonts w:ascii="CAIXA Std Book" w:hAnsi="CAIXA Std Book" w:cs="Calibri"/>
                <w:b/>
                <w:color w:val="005CA9"/>
                <w:sz w:val="18"/>
                <w:szCs w:val="18"/>
              </w:rPr>
            </w:pPr>
            <w:r w:rsidRPr="00000FB1">
              <w:rPr>
                <w:rFonts w:ascii="CAIXA Std Book" w:hAnsi="CAIXA Std Book" w:cs="Calibri"/>
                <w:b/>
                <w:color w:val="005CA9"/>
                <w:sz w:val="18"/>
                <w:szCs w:val="18"/>
              </w:rPr>
              <w:t>2023</w:t>
            </w:r>
          </w:p>
        </w:tc>
      </w:tr>
      <w:tr w:rsidR="00434491" w:rsidRPr="00000FB1" w14:paraId="1940D090" w14:textId="77777777" w:rsidTr="00433B47">
        <w:trPr>
          <w:trHeight w:val="282"/>
        </w:trPr>
        <w:tc>
          <w:tcPr>
            <w:tcW w:w="3421" w:type="pct"/>
            <w:vMerge/>
            <w:tcBorders>
              <w:top w:val="nil"/>
              <w:left w:val="nil"/>
              <w:bottom w:val="single" w:sz="4" w:space="0" w:color="F39200"/>
              <w:right w:val="nil"/>
            </w:tcBorders>
            <w:vAlign w:val="center"/>
            <w:hideMark/>
          </w:tcPr>
          <w:p w14:paraId="166A8816" w14:textId="77777777" w:rsidR="00434491" w:rsidRPr="00000FB1" w:rsidRDefault="00434491" w:rsidP="009276D5">
            <w:pPr>
              <w:jc w:val="right"/>
              <w:rPr>
                <w:rFonts w:ascii="CAIXA Std Book" w:hAnsi="CAIXA Std Book" w:cs="Calibri"/>
                <w:b/>
                <w:bCs/>
                <w:color w:val="005CA9"/>
                <w:sz w:val="18"/>
                <w:szCs w:val="18"/>
              </w:rPr>
            </w:pPr>
          </w:p>
        </w:tc>
        <w:tc>
          <w:tcPr>
            <w:tcW w:w="789" w:type="pct"/>
            <w:tcBorders>
              <w:top w:val="nil"/>
              <w:left w:val="nil"/>
              <w:bottom w:val="single" w:sz="4" w:space="0" w:color="F39200"/>
              <w:right w:val="nil"/>
            </w:tcBorders>
            <w:vAlign w:val="center"/>
          </w:tcPr>
          <w:p w14:paraId="2B30B674" w14:textId="335D916E" w:rsidR="00434491" w:rsidRPr="00000FB1" w:rsidRDefault="00434491" w:rsidP="00434491">
            <w:pPr>
              <w:jc w:val="center"/>
              <w:rPr>
                <w:rFonts w:ascii="CAIXA Std Book" w:hAnsi="CAIXA Std Book" w:cs="Calibri"/>
                <w:b/>
                <w:bCs/>
                <w:color w:val="005CA9"/>
                <w:sz w:val="18"/>
                <w:szCs w:val="18"/>
              </w:rPr>
            </w:pPr>
            <w:r w:rsidRPr="00000FB1">
              <w:rPr>
                <w:rFonts w:ascii="CAIXA Std Book" w:hAnsi="CAIXA Std Book" w:cs="Arial"/>
                <w:b/>
                <w:bCs/>
                <w:color w:val="005CA9"/>
                <w:sz w:val="18"/>
                <w:szCs w:val="18"/>
              </w:rPr>
              <w:t>1º trimestre</w:t>
            </w:r>
          </w:p>
        </w:tc>
        <w:tc>
          <w:tcPr>
            <w:tcW w:w="790" w:type="pct"/>
            <w:tcBorders>
              <w:top w:val="nil"/>
              <w:left w:val="nil"/>
              <w:bottom w:val="single" w:sz="4" w:space="0" w:color="F39200"/>
              <w:right w:val="nil"/>
            </w:tcBorders>
            <w:shd w:val="clear" w:color="auto" w:fill="auto"/>
            <w:noWrap/>
            <w:vAlign w:val="center"/>
          </w:tcPr>
          <w:p w14:paraId="0B7B6E3D" w14:textId="5F18FAA9" w:rsidR="00434491" w:rsidRPr="00000FB1" w:rsidRDefault="00434491" w:rsidP="00434491">
            <w:pPr>
              <w:jc w:val="center"/>
              <w:rPr>
                <w:rFonts w:ascii="CAIXA Std Book" w:hAnsi="CAIXA Std Book" w:cs="Calibri"/>
                <w:b/>
                <w:bCs/>
                <w:color w:val="005CA9"/>
                <w:sz w:val="18"/>
                <w:szCs w:val="18"/>
              </w:rPr>
            </w:pPr>
            <w:r w:rsidRPr="00000FB1">
              <w:rPr>
                <w:rFonts w:ascii="CAIXA Std Book" w:hAnsi="CAIXA Std Book" w:cs="Arial"/>
                <w:b/>
                <w:bCs/>
                <w:color w:val="005CA9"/>
                <w:sz w:val="18"/>
                <w:szCs w:val="18"/>
              </w:rPr>
              <w:t>1º trimestre</w:t>
            </w:r>
          </w:p>
        </w:tc>
      </w:tr>
      <w:tr w:rsidR="00434491" w:rsidRPr="00000FB1" w14:paraId="2159952A" w14:textId="77777777" w:rsidTr="00433B47">
        <w:trPr>
          <w:trHeight w:val="282"/>
        </w:trPr>
        <w:tc>
          <w:tcPr>
            <w:tcW w:w="3421" w:type="pct"/>
            <w:tcBorders>
              <w:top w:val="nil"/>
              <w:left w:val="nil"/>
              <w:bottom w:val="single" w:sz="4" w:space="0" w:color="F39200"/>
              <w:right w:val="nil"/>
            </w:tcBorders>
            <w:shd w:val="clear" w:color="auto" w:fill="auto"/>
            <w:noWrap/>
            <w:vAlign w:val="center"/>
            <w:hideMark/>
          </w:tcPr>
          <w:p w14:paraId="668DD2D7"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Benefícios de curto prazo</w:t>
            </w:r>
          </w:p>
        </w:tc>
        <w:tc>
          <w:tcPr>
            <w:tcW w:w="789" w:type="pct"/>
            <w:tcBorders>
              <w:top w:val="single" w:sz="4" w:space="0" w:color="F39200"/>
              <w:left w:val="nil"/>
              <w:bottom w:val="single" w:sz="4" w:space="0" w:color="F39200"/>
              <w:right w:val="nil"/>
            </w:tcBorders>
            <w:vAlign w:val="center"/>
          </w:tcPr>
          <w:p w14:paraId="632147AD" w14:textId="27B2C80F" w:rsidR="00434491" w:rsidRPr="00F27E23" w:rsidRDefault="00464489" w:rsidP="00F27E23">
            <w:pPr>
              <w:jc w:val="right"/>
              <w:rPr>
                <w:rFonts w:ascii="CAIXA Std Book" w:hAnsi="CAIXA Std Book" w:cs="Calibri"/>
                <w:b/>
                <w:bCs/>
                <w:color w:val="005CA9"/>
                <w:sz w:val="18"/>
                <w:szCs w:val="18"/>
              </w:rPr>
            </w:pPr>
            <w:r w:rsidRPr="00F27E23">
              <w:rPr>
                <w:rFonts w:ascii="CAIXA Std Book" w:hAnsi="CAIXA Std Book" w:cs="Calibri"/>
                <w:b/>
                <w:bCs/>
                <w:color w:val="005CA9"/>
                <w:sz w:val="18"/>
                <w:szCs w:val="18"/>
              </w:rPr>
              <w:t>8.</w:t>
            </w:r>
            <w:r w:rsidR="008D3B1D" w:rsidRPr="00F27E23">
              <w:rPr>
                <w:rFonts w:ascii="CAIXA Std Book" w:hAnsi="CAIXA Std Book" w:cs="Calibri"/>
                <w:b/>
                <w:bCs/>
                <w:color w:val="005CA9"/>
                <w:sz w:val="18"/>
                <w:szCs w:val="18"/>
              </w:rPr>
              <w:t>596</w:t>
            </w:r>
          </w:p>
        </w:tc>
        <w:tc>
          <w:tcPr>
            <w:tcW w:w="790" w:type="pct"/>
            <w:tcBorders>
              <w:top w:val="single" w:sz="4" w:space="0" w:color="F39200"/>
              <w:left w:val="nil"/>
              <w:bottom w:val="single" w:sz="4" w:space="0" w:color="F39200"/>
              <w:right w:val="nil"/>
            </w:tcBorders>
            <w:shd w:val="clear" w:color="auto" w:fill="auto"/>
            <w:vAlign w:val="center"/>
          </w:tcPr>
          <w:p w14:paraId="1711CFB2" w14:textId="74D00FC3" w:rsidR="00434491" w:rsidRPr="00000FB1" w:rsidRDefault="00434491" w:rsidP="00434491">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7.067</w:t>
            </w:r>
          </w:p>
        </w:tc>
      </w:tr>
      <w:tr w:rsidR="00434491" w:rsidRPr="00000FB1" w14:paraId="6E1FA20D" w14:textId="77777777" w:rsidTr="00433B47">
        <w:trPr>
          <w:trHeight w:val="282"/>
        </w:trPr>
        <w:tc>
          <w:tcPr>
            <w:tcW w:w="3421" w:type="pct"/>
            <w:tcBorders>
              <w:top w:val="nil"/>
              <w:left w:val="nil"/>
              <w:bottom w:val="nil"/>
              <w:right w:val="nil"/>
            </w:tcBorders>
            <w:shd w:val="clear" w:color="auto" w:fill="auto"/>
            <w:noWrap/>
            <w:vAlign w:val="center"/>
            <w:hideMark/>
          </w:tcPr>
          <w:p w14:paraId="04BC3A43"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Proventos</w:t>
            </w:r>
          </w:p>
        </w:tc>
        <w:tc>
          <w:tcPr>
            <w:tcW w:w="789" w:type="pct"/>
            <w:tcBorders>
              <w:top w:val="nil"/>
              <w:left w:val="nil"/>
              <w:bottom w:val="nil"/>
              <w:right w:val="nil"/>
            </w:tcBorders>
            <w:vAlign w:val="center"/>
          </w:tcPr>
          <w:p w14:paraId="5DC95B5F" w14:textId="2B6AB96B" w:rsidR="00434491" w:rsidRPr="00F27E23" w:rsidRDefault="002E2404" w:rsidP="00F27E23">
            <w:pPr>
              <w:jc w:val="right"/>
              <w:rPr>
                <w:rFonts w:ascii="CAIXA Std Book" w:hAnsi="CAIXA Std Book" w:cs="Calibri"/>
                <w:b/>
                <w:bCs/>
                <w:color w:val="005CA9"/>
                <w:sz w:val="18"/>
                <w:szCs w:val="18"/>
              </w:rPr>
            </w:pPr>
            <w:r w:rsidRPr="00F27E23">
              <w:rPr>
                <w:rFonts w:ascii="CAIXA Std Book" w:hAnsi="CAIXA Std Book" w:cs="Calibri"/>
                <w:b/>
                <w:bCs/>
                <w:color w:val="005CA9"/>
                <w:sz w:val="18"/>
                <w:szCs w:val="18"/>
              </w:rPr>
              <w:t>6.</w:t>
            </w:r>
            <w:r w:rsidR="00395986" w:rsidRPr="00F27E23">
              <w:rPr>
                <w:rFonts w:ascii="CAIXA Std Book" w:hAnsi="CAIXA Std Book" w:cs="Calibri"/>
                <w:b/>
                <w:bCs/>
                <w:color w:val="005CA9"/>
                <w:sz w:val="18"/>
                <w:szCs w:val="18"/>
              </w:rPr>
              <w:t>182</w:t>
            </w:r>
          </w:p>
        </w:tc>
        <w:tc>
          <w:tcPr>
            <w:tcW w:w="790" w:type="pct"/>
            <w:tcBorders>
              <w:top w:val="nil"/>
              <w:left w:val="nil"/>
              <w:bottom w:val="nil"/>
              <w:right w:val="nil"/>
            </w:tcBorders>
            <w:shd w:val="clear" w:color="auto" w:fill="auto"/>
            <w:vAlign w:val="center"/>
          </w:tcPr>
          <w:p w14:paraId="4799B0C7" w14:textId="3D282356" w:rsidR="00434491" w:rsidRPr="00000FB1" w:rsidRDefault="00434491" w:rsidP="00F27E23">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5.112</w:t>
            </w:r>
          </w:p>
        </w:tc>
      </w:tr>
      <w:tr w:rsidR="00434491" w:rsidRPr="00000FB1" w14:paraId="7F1D547E" w14:textId="77777777" w:rsidTr="00433B47">
        <w:trPr>
          <w:trHeight w:val="282"/>
        </w:trPr>
        <w:tc>
          <w:tcPr>
            <w:tcW w:w="3421" w:type="pct"/>
            <w:tcBorders>
              <w:top w:val="nil"/>
              <w:left w:val="nil"/>
              <w:bottom w:val="nil"/>
              <w:right w:val="nil"/>
            </w:tcBorders>
            <w:shd w:val="clear" w:color="auto" w:fill="auto"/>
            <w:noWrap/>
            <w:vAlign w:val="center"/>
            <w:hideMark/>
          </w:tcPr>
          <w:p w14:paraId="4E98ABCE"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Diretoria</w:t>
            </w:r>
          </w:p>
        </w:tc>
        <w:tc>
          <w:tcPr>
            <w:tcW w:w="789" w:type="pct"/>
            <w:tcBorders>
              <w:top w:val="nil"/>
              <w:left w:val="nil"/>
              <w:bottom w:val="nil"/>
              <w:right w:val="nil"/>
            </w:tcBorders>
            <w:vAlign w:val="center"/>
          </w:tcPr>
          <w:p w14:paraId="16BE1C55" w14:textId="040EF480" w:rsidR="00434491" w:rsidRPr="00000FB1" w:rsidRDefault="0033534C" w:rsidP="00F27E23">
            <w:pPr>
              <w:jc w:val="right"/>
              <w:rPr>
                <w:rFonts w:ascii="CAIXA Std Book" w:hAnsi="CAIXA Std Book" w:cs="Calibri"/>
                <w:color w:val="005CA9"/>
                <w:sz w:val="18"/>
                <w:szCs w:val="18"/>
              </w:rPr>
            </w:pPr>
            <w:r>
              <w:rPr>
                <w:rFonts w:ascii="CAIXA Std Book" w:hAnsi="CAIXA Std Book" w:cs="Calibri"/>
                <w:color w:val="005CA9"/>
                <w:sz w:val="18"/>
                <w:szCs w:val="18"/>
              </w:rPr>
              <w:t>5.214</w:t>
            </w:r>
          </w:p>
        </w:tc>
        <w:tc>
          <w:tcPr>
            <w:tcW w:w="790" w:type="pct"/>
            <w:tcBorders>
              <w:top w:val="nil"/>
              <w:left w:val="nil"/>
              <w:bottom w:val="nil"/>
              <w:right w:val="nil"/>
            </w:tcBorders>
            <w:shd w:val="clear" w:color="auto" w:fill="auto"/>
            <w:vAlign w:val="center"/>
          </w:tcPr>
          <w:p w14:paraId="7B5B7826" w14:textId="071D2EF6" w:rsidR="00434491" w:rsidRPr="00000FB1" w:rsidRDefault="00434491" w:rsidP="00F27E23">
            <w:pPr>
              <w:jc w:val="right"/>
              <w:rPr>
                <w:rFonts w:ascii="CAIXA Std Book" w:hAnsi="CAIXA Std Book" w:cs="Calibri"/>
                <w:color w:val="005CA9"/>
                <w:sz w:val="18"/>
                <w:szCs w:val="18"/>
              </w:rPr>
            </w:pPr>
            <w:r w:rsidRPr="00000FB1">
              <w:rPr>
                <w:rFonts w:ascii="CAIXA Std Book" w:hAnsi="CAIXA Std Book" w:cs="Arial"/>
                <w:color w:val="005CA9"/>
                <w:sz w:val="18"/>
                <w:szCs w:val="18"/>
              </w:rPr>
              <w:t>4.448</w:t>
            </w:r>
          </w:p>
        </w:tc>
      </w:tr>
      <w:tr w:rsidR="00434491" w:rsidRPr="00000FB1" w14:paraId="32CD0A16" w14:textId="77777777" w:rsidTr="00433B47">
        <w:trPr>
          <w:trHeight w:val="282"/>
        </w:trPr>
        <w:tc>
          <w:tcPr>
            <w:tcW w:w="3421" w:type="pct"/>
            <w:tcBorders>
              <w:top w:val="nil"/>
              <w:left w:val="nil"/>
              <w:bottom w:val="nil"/>
              <w:right w:val="nil"/>
            </w:tcBorders>
            <w:shd w:val="clear" w:color="auto" w:fill="auto"/>
            <w:noWrap/>
            <w:vAlign w:val="center"/>
            <w:hideMark/>
          </w:tcPr>
          <w:p w14:paraId="233F6E5F"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Conselho de Administração</w:t>
            </w:r>
          </w:p>
        </w:tc>
        <w:tc>
          <w:tcPr>
            <w:tcW w:w="789" w:type="pct"/>
            <w:tcBorders>
              <w:top w:val="nil"/>
              <w:left w:val="nil"/>
              <w:bottom w:val="nil"/>
              <w:right w:val="nil"/>
            </w:tcBorders>
            <w:vAlign w:val="center"/>
          </w:tcPr>
          <w:p w14:paraId="5B6F6B2F" w14:textId="78C385D5" w:rsidR="00434491" w:rsidRPr="00000FB1" w:rsidRDefault="0033534C" w:rsidP="00F27E23">
            <w:pPr>
              <w:jc w:val="right"/>
              <w:rPr>
                <w:rFonts w:ascii="CAIXA Std Book" w:hAnsi="CAIXA Std Book" w:cs="Calibri"/>
                <w:color w:val="005CA9"/>
                <w:sz w:val="18"/>
                <w:szCs w:val="18"/>
              </w:rPr>
            </w:pPr>
            <w:r>
              <w:rPr>
                <w:rFonts w:ascii="CAIXA Std Book" w:hAnsi="CAIXA Std Book" w:cs="Calibri"/>
                <w:color w:val="005CA9"/>
                <w:sz w:val="18"/>
                <w:szCs w:val="18"/>
              </w:rPr>
              <w:t>74</w:t>
            </w:r>
          </w:p>
        </w:tc>
        <w:tc>
          <w:tcPr>
            <w:tcW w:w="790" w:type="pct"/>
            <w:tcBorders>
              <w:top w:val="nil"/>
              <w:left w:val="nil"/>
              <w:bottom w:val="nil"/>
              <w:right w:val="nil"/>
            </w:tcBorders>
            <w:shd w:val="clear" w:color="auto" w:fill="auto"/>
            <w:vAlign w:val="center"/>
          </w:tcPr>
          <w:p w14:paraId="073C63CB" w14:textId="4C3F4930" w:rsidR="00434491" w:rsidRPr="00000FB1" w:rsidRDefault="00434491" w:rsidP="00F27E23">
            <w:pPr>
              <w:jc w:val="right"/>
              <w:rPr>
                <w:rFonts w:ascii="CAIXA Std Book" w:hAnsi="CAIXA Std Book" w:cs="Calibri"/>
                <w:color w:val="005CA9"/>
                <w:sz w:val="18"/>
                <w:szCs w:val="18"/>
              </w:rPr>
            </w:pPr>
            <w:r w:rsidRPr="00000FB1">
              <w:rPr>
                <w:rFonts w:ascii="CAIXA Std Book" w:hAnsi="CAIXA Std Book" w:cs="Calibri"/>
                <w:color w:val="005CA9"/>
                <w:sz w:val="18"/>
                <w:szCs w:val="18"/>
              </w:rPr>
              <w:t>75</w:t>
            </w:r>
          </w:p>
        </w:tc>
      </w:tr>
      <w:tr w:rsidR="00434491" w:rsidRPr="00000FB1" w14:paraId="278EF854" w14:textId="77777777" w:rsidTr="00433B47">
        <w:trPr>
          <w:trHeight w:val="282"/>
        </w:trPr>
        <w:tc>
          <w:tcPr>
            <w:tcW w:w="3421" w:type="pct"/>
            <w:tcBorders>
              <w:top w:val="nil"/>
              <w:left w:val="nil"/>
              <w:bottom w:val="nil"/>
              <w:right w:val="nil"/>
            </w:tcBorders>
            <w:shd w:val="clear" w:color="auto" w:fill="auto"/>
            <w:noWrap/>
            <w:vAlign w:val="center"/>
            <w:hideMark/>
          </w:tcPr>
          <w:p w14:paraId="7F08AF53"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Conselho Fiscal</w:t>
            </w:r>
          </w:p>
        </w:tc>
        <w:tc>
          <w:tcPr>
            <w:tcW w:w="789" w:type="pct"/>
            <w:tcBorders>
              <w:top w:val="nil"/>
              <w:left w:val="nil"/>
              <w:bottom w:val="nil"/>
              <w:right w:val="nil"/>
            </w:tcBorders>
            <w:vAlign w:val="center"/>
          </w:tcPr>
          <w:p w14:paraId="58ABF5E1" w14:textId="0F691EE0" w:rsidR="00434491" w:rsidRPr="00000FB1" w:rsidRDefault="00067E43" w:rsidP="00F27E23">
            <w:pPr>
              <w:jc w:val="right"/>
              <w:rPr>
                <w:rFonts w:ascii="CAIXA Std Book" w:hAnsi="CAIXA Std Book" w:cs="Calibri"/>
                <w:color w:val="005CA9"/>
                <w:sz w:val="18"/>
                <w:szCs w:val="18"/>
              </w:rPr>
            </w:pPr>
            <w:r>
              <w:rPr>
                <w:rFonts w:ascii="CAIXA Std Book" w:hAnsi="CAIXA Std Book" w:cs="Calibri"/>
                <w:color w:val="005CA9"/>
                <w:sz w:val="18"/>
                <w:szCs w:val="18"/>
              </w:rPr>
              <w:t>48</w:t>
            </w:r>
          </w:p>
        </w:tc>
        <w:tc>
          <w:tcPr>
            <w:tcW w:w="790" w:type="pct"/>
            <w:tcBorders>
              <w:top w:val="nil"/>
              <w:left w:val="nil"/>
              <w:bottom w:val="nil"/>
              <w:right w:val="nil"/>
            </w:tcBorders>
            <w:shd w:val="clear" w:color="auto" w:fill="auto"/>
            <w:vAlign w:val="center"/>
          </w:tcPr>
          <w:p w14:paraId="743B71F0" w14:textId="7BF51EAA" w:rsidR="00434491" w:rsidRPr="00000FB1" w:rsidRDefault="00434491" w:rsidP="00F27E23">
            <w:pPr>
              <w:jc w:val="right"/>
              <w:rPr>
                <w:rFonts w:ascii="CAIXA Std Book" w:hAnsi="CAIXA Std Book"/>
                <w:color w:val="005CA9"/>
                <w:sz w:val="18"/>
                <w:szCs w:val="18"/>
              </w:rPr>
            </w:pPr>
            <w:r w:rsidRPr="00000FB1">
              <w:rPr>
                <w:rFonts w:ascii="CAIXA Std Book" w:hAnsi="CAIXA Std Book" w:cs="Calibri"/>
                <w:color w:val="005CA9"/>
                <w:sz w:val="18"/>
                <w:szCs w:val="18"/>
              </w:rPr>
              <w:t>44</w:t>
            </w:r>
          </w:p>
        </w:tc>
      </w:tr>
      <w:tr w:rsidR="00434491" w:rsidRPr="00000FB1" w14:paraId="70CC4E55" w14:textId="77777777" w:rsidTr="00433B47">
        <w:trPr>
          <w:trHeight w:val="282"/>
        </w:trPr>
        <w:tc>
          <w:tcPr>
            <w:tcW w:w="3421" w:type="pct"/>
            <w:tcBorders>
              <w:top w:val="nil"/>
              <w:left w:val="nil"/>
              <w:bottom w:val="nil"/>
              <w:right w:val="nil"/>
            </w:tcBorders>
            <w:shd w:val="clear" w:color="auto" w:fill="auto"/>
            <w:noWrap/>
            <w:vAlign w:val="center"/>
            <w:hideMark/>
          </w:tcPr>
          <w:p w14:paraId="32D976F9"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Comitê de Auditoria</w:t>
            </w:r>
          </w:p>
        </w:tc>
        <w:tc>
          <w:tcPr>
            <w:tcW w:w="789" w:type="pct"/>
            <w:tcBorders>
              <w:top w:val="nil"/>
              <w:left w:val="nil"/>
              <w:bottom w:val="nil"/>
              <w:right w:val="nil"/>
            </w:tcBorders>
            <w:vAlign w:val="center"/>
          </w:tcPr>
          <w:p w14:paraId="326C1CFD" w14:textId="72357BED" w:rsidR="00434491" w:rsidRPr="00000FB1" w:rsidRDefault="002F3E2D" w:rsidP="00F27E23">
            <w:pPr>
              <w:jc w:val="right"/>
              <w:rPr>
                <w:rFonts w:ascii="CAIXA Std Book" w:hAnsi="CAIXA Std Book" w:cs="Calibri"/>
                <w:color w:val="005CA9"/>
                <w:sz w:val="18"/>
                <w:szCs w:val="18"/>
              </w:rPr>
            </w:pPr>
            <w:r>
              <w:rPr>
                <w:rFonts w:ascii="CAIXA Std Book" w:hAnsi="CAIXA Std Book" w:cs="Calibri"/>
                <w:color w:val="005CA9"/>
                <w:sz w:val="18"/>
                <w:szCs w:val="18"/>
              </w:rPr>
              <w:t>465</w:t>
            </w:r>
          </w:p>
        </w:tc>
        <w:tc>
          <w:tcPr>
            <w:tcW w:w="790" w:type="pct"/>
            <w:tcBorders>
              <w:top w:val="nil"/>
              <w:left w:val="nil"/>
              <w:bottom w:val="nil"/>
              <w:right w:val="nil"/>
            </w:tcBorders>
            <w:shd w:val="clear" w:color="auto" w:fill="auto"/>
            <w:vAlign w:val="center"/>
          </w:tcPr>
          <w:p w14:paraId="6F60D4B0" w14:textId="595D81E4" w:rsidR="00434491" w:rsidRPr="00000FB1" w:rsidRDefault="00434491" w:rsidP="00F27E23">
            <w:pPr>
              <w:jc w:val="right"/>
              <w:rPr>
                <w:rFonts w:ascii="CAIXA Std Book" w:hAnsi="CAIXA Std Book"/>
                <w:color w:val="005CA9"/>
                <w:sz w:val="18"/>
                <w:szCs w:val="18"/>
              </w:rPr>
            </w:pPr>
            <w:r w:rsidRPr="00000FB1">
              <w:rPr>
                <w:rFonts w:ascii="CAIXA Std Book" w:hAnsi="CAIXA Std Book" w:cs="Calibri"/>
                <w:color w:val="005CA9"/>
                <w:sz w:val="18"/>
                <w:szCs w:val="18"/>
              </w:rPr>
              <w:t>325</w:t>
            </w:r>
          </w:p>
        </w:tc>
      </w:tr>
      <w:tr w:rsidR="00434491" w:rsidRPr="00000FB1" w14:paraId="4F6E259A" w14:textId="77777777" w:rsidTr="00433B47">
        <w:trPr>
          <w:trHeight w:val="282"/>
        </w:trPr>
        <w:tc>
          <w:tcPr>
            <w:tcW w:w="3421" w:type="pct"/>
            <w:tcBorders>
              <w:top w:val="nil"/>
              <w:left w:val="nil"/>
              <w:bottom w:val="nil"/>
              <w:right w:val="nil"/>
            </w:tcBorders>
            <w:shd w:val="clear" w:color="auto" w:fill="auto"/>
            <w:noWrap/>
            <w:vAlign w:val="center"/>
            <w:hideMark/>
          </w:tcPr>
          <w:p w14:paraId="68E61062"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Comitê Independente de Risco</w:t>
            </w:r>
          </w:p>
        </w:tc>
        <w:tc>
          <w:tcPr>
            <w:tcW w:w="789" w:type="pct"/>
            <w:tcBorders>
              <w:top w:val="nil"/>
              <w:left w:val="nil"/>
              <w:bottom w:val="nil"/>
              <w:right w:val="nil"/>
            </w:tcBorders>
            <w:vAlign w:val="center"/>
          </w:tcPr>
          <w:p w14:paraId="40973572" w14:textId="5FE7B23F" w:rsidR="00434491" w:rsidRPr="00000FB1" w:rsidRDefault="00EC4893" w:rsidP="00F27E23">
            <w:pPr>
              <w:jc w:val="right"/>
              <w:rPr>
                <w:rFonts w:ascii="CAIXA Std Book" w:hAnsi="CAIXA Std Book" w:cs="Calibri"/>
                <w:color w:val="005CA9"/>
                <w:sz w:val="18"/>
                <w:szCs w:val="18"/>
              </w:rPr>
            </w:pPr>
            <w:r>
              <w:rPr>
                <w:rFonts w:ascii="CAIXA Std Book" w:hAnsi="CAIXA Std Book" w:cs="Calibri"/>
                <w:color w:val="005CA9"/>
                <w:sz w:val="18"/>
                <w:szCs w:val="18"/>
              </w:rPr>
              <w:t>356</w:t>
            </w:r>
          </w:p>
        </w:tc>
        <w:tc>
          <w:tcPr>
            <w:tcW w:w="790" w:type="pct"/>
            <w:tcBorders>
              <w:top w:val="nil"/>
              <w:left w:val="nil"/>
              <w:bottom w:val="nil"/>
              <w:right w:val="nil"/>
            </w:tcBorders>
            <w:shd w:val="clear" w:color="auto" w:fill="auto"/>
            <w:vAlign w:val="center"/>
          </w:tcPr>
          <w:p w14:paraId="3257052C" w14:textId="690F7C8E" w:rsidR="00434491" w:rsidRPr="00000FB1" w:rsidRDefault="00434491" w:rsidP="00F27E23">
            <w:pPr>
              <w:jc w:val="right"/>
              <w:rPr>
                <w:rFonts w:ascii="CAIXA Std Book" w:hAnsi="CAIXA Std Book"/>
                <w:color w:val="005CA9"/>
                <w:sz w:val="18"/>
                <w:szCs w:val="18"/>
              </w:rPr>
            </w:pPr>
            <w:r w:rsidRPr="00000FB1">
              <w:rPr>
                <w:rFonts w:ascii="CAIXA Std Book" w:hAnsi="CAIXA Std Book" w:cs="Calibri"/>
                <w:color w:val="005CA9"/>
                <w:sz w:val="18"/>
                <w:szCs w:val="18"/>
              </w:rPr>
              <w:t>201</w:t>
            </w:r>
          </w:p>
        </w:tc>
      </w:tr>
      <w:tr w:rsidR="00434491" w:rsidRPr="00000FB1" w14:paraId="4913A80D" w14:textId="77777777" w:rsidTr="00433B47">
        <w:trPr>
          <w:trHeight w:val="282"/>
        </w:trPr>
        <w:tc>
          <w:tcPr>
            <w:tcW w:w="3421" w:type="pct"/>
            <w:tcBorders>
              <w:top w:val="nil"/>
              <w:left w:val="nil"/>
              <w:bottom w:val="nil"/>
              <w:right w:val="nil"/>
            </w:tcBorders>
            <w:shd w:val="clear" w:color="auto" w:fill="auto"/>
            <w:noWrap/>
            <w:vAlign w:val="center"/>
          </w:tcPr>
          <w:p w14:paraId="4FA55CC3"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Comitê de Pessoas, Elegibilidade, Sucessão e Remuneração</w:t>
            </w:r>
          </w:p>
        </w:tc>
        <w:tc>
          <w:tcPr>
            <w:tcW w:w="789" w:type="pct"/>
            <w:tcBorders>
              <w:top w:val="nil"/>
              <w:left w:val="nil"/>
              <w:bottom w:val="nil"/>
              <w:right w:val="nil"/>
            </w:tcBorders>
            <w:vAlign w:val="center"/>
          </w:tcPr>
          <w:p w14:paraId="055A71AB" w14:textId="63F459C5" w:rsidR="00434491" w:rsidRPr="00000FB1" w:rsidRDefault="00DF6C8F" w:rsidP="00F27E23">
            <w:pPr>
              <w:jc w:val="right"/>
              <w:rPr>
                <w:rFonts w:ascii="CAIXA Std Book" w:hAnsi="CAIXA Std Book" w:cs="Calibri"/>
                <w:color w:val="005CA9"/>
                <w:sz w:val="18"/>
                <w:szCs w:val="18"/>
              </w:rPr>
            </w:pPr>
            <w:r>
              <w:rPr>
                <w:rFonts w:ascii="CAIXA Std Book" w:hAnsi="CAIXA Std Book" w:cs="Calibri"/>
                <w:color w:val="005CA9"/>
                <w:sz w:val="18"/>
                <w:szCs w:val="18"/>
              </w:rPr>
              <w:t>25</w:t>
            </w:r>
          </w:p>
        </w:tc>
        <w:tc>
          <w:tcPr>
            <w:tcW w:w="790" w:type="pct"/>
            <w:tcBorders>
              <w:top w:val="nil"/>
              <w:left w:val="nil"/>
              <w:bottom w:val="nil"/>
              <w:right w:val="nil"/>
            </w:tcBorders>
            <w:shd w:val="clear" w:color="auto" w:fill="auto"/>
            <w:vAlign w:val="center"/>
          </w:tcPr>
          <w:p w14:paraId="793032A4" w14:textId="7BF74866" w:rsidR="00434491" w:rsidRPr="00000FB1" w:rsidRDefault="00434491" w:rsidP="00F27E23">
            <w:pPr>
              <w:jc w:val="right"/>
              <w:rPr>
                <w:rFonts w:ascii="CAIXA Std Book" w:hAnsi="CAIXA Std Book" w:cs="Calibri"/>
                <w:color w:val="005CA9"/>
                <w:sz w:val="18"/>
                <w:szCs w:val="18"/>
              </w:rPr>
            </w:pPr>
            <w:r w:rsidRPr="00000FB1">
              <w:rPr>
                <w:rFonts w:ascii="CAIXA Std Book" w:hAnsi="CAIXA Std Book" w:cs="Calibri"/>
                <w:color w:val="005CA9"/>
                <w:sz w:val="18"/>
                <w:szCs w:val="18"/>
              </w:rPr>
              <w:t>19</w:t>
            </w:r>
          </w:p>
        </w:tc>
      </w:tr>
      <w:tr w:rsidR="00434491" w:rsidRPr="00000FB1" w14:paraId="2B9A9275" w14:textId="77777777" w:rsidTr="00433B47">
        <w:trPr>
          <w:trHeight w:val="282"/>
        </w:trPr>
        <w:tc>
          <w:tcPr>
            <w:tcW w:w="3421" w:type="pct"/>
            <w:tcBorders>
              <w:top w:val="nil"/>
              <w:left w:val="nil"/>
              <w:bottom w:val="nil"/>
              <w:right w:val="nil"/>
            </w:tcBorders>
            <w:shd w:val="clear" w:color="auto" w:fill="auto"/>
            <w:noWrap/>
            <w:vAlign w:val="center"/>
            <w:hideMark/>
          </w:tcPr>
          <w:p w14:paraId="14680344"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Benefícios</w:t>
            </w:r>
          </w:p>
        </w:tc>
        <w:tc>
          <w:tcPr>
            <w:tcW w:w="789" w:type="pct"/>
            <w:tcBorders>
              <w:top w:val="nil"/>
              <w:left w:val="nil"/>
              <w:bottom w:val="nil"/>
              <w:right w:val="nil"/>
            </w:tcBorders>
            <w:vAlign w:val="center"/>
          </w:tcPr>
          <w:p w14:paraId="38F137D4" w14:textId="285B48BE" w:rsidR="00434491" w:rsidRPr="000A10F9" w:rsidRDefault="00A51204" w:rsidP="00000FB1">
            <w:pPr>
              <w:jc w:val="right"/>
              <w:rPr>
                <w:rFonts w:ascii="CAIXA Std Book" w:hAnsi="CAIXA Std Book" w:cs="Calibri"/>
                <w:b/>
                <w:bCs/>
                <w:color w:val="005CA9"/>
                <w:sz w:val="18"/>
                <w:szCs w:val="18"/>
              </w:rPr>
            </w:pPr>
            <w:r w:rsidRPr="000A10F9">
              <w:rPr>
                <w:rFonts w:ascii="CAIXA Std Book" w:hAnsi="CAIXA Std Book" w:cs="Calibri"/>
                <w:b/>
                <w:bCs/>
                <w:color w:val="005CA9"/>
                <w:sz w:val="18"/>
                <w:szCs w:val="18"/>
              </w:rPr>
              <w:t>467</w:t>
            </w:r>
          </w:p>
        </w:tc>
        <w:tc>
          <w:tcPr>
            <w:tcW w:w="790" w:type="pct"/>
            <w:tcBorders>
              <w:top w:val="nil"/>
              <w:left w:val="nil"/>
              <w:bottom w:val="nil"/>
              <w:right w:val="nil"/>
            </w:tcBorders>
            <w:shd w:val="clear" w:color="auto" w:fill="auto"/>
            <w:vAlign w:val="center"/>
          </w:tcPr>
          <w:p w14:paraId="63D63420" w14:textId="37FF307F" w:rsidR="00434491" w:rsidRPr="00000FB1" w:rsidRDefault="00434491" w:rsidP="00434491">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228</w:t>
            </w:r>
          </w:p>
        </w:tc>
      </w:tr>
      <w:tr w:rsidR="00434491" w:rsidRPr="00000FB1" w14:paraId="14925E22" w14:textId="77777777" w:rsidTr="00433B47">
        <w:trPr>
          <w:trHeight w:val="282"/>
        </w:trPr>
        <w:tc>
          <w:tcPr>
            <w:tcW w:w="3421" w:type="pct"/>
            <w:tcBorders>
              <w:top w:val="nil"/>
              <w:left w:val="nil"/>
              <w:bottom w:val="nil"/>
              <w:right w:val="nil"/>
            </w:tcBorders>
            <w:shd w:val="clear" w:color="auto" w:fill="auto"/>
            <w:noWrap/>
            <w:vAlign w:val="center"/>
            <w:hideMark/>
          </w:tcPr>
          <w:p w14:paraId="63F15C62"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Diretoria</w:t>
            </w:r>
          </w:p>
        </w:tc>
        <w:tc>
          <w:tcPr>
            <w:tcW w:w="789" w:type="pct"/>
            <w:tcBorders>
              <w:top w:val="nil"/>
              <w:left w:val="nil"/>
              <w:bottom w:val="nil"/>
              <w:right w:val="nil"/>
            </w:tcBorders>
            <w:vAlign w:val="center"/>
          </w:tcPr>
          <w:p w14:paraId="76720729" w14:textId="03F6DC03" w:rsidR="00434491" w:rsidRPr="00000FB1" w:rsidRDefault="00A51204" w:rsidP="00000FB1">
            <w:pPr>
              <w:jc w:val="right"/>
              <w:rPr>
                <w:rFonts w:ascii="CAIXA Std Book" w:hAnsi="CAIXA Std Book" w:cs="Calibri"/>
                <w:color w:val="005CA9"/>
                <w:sz w:val="18"/>
                <w:szCs w:val="18"/>
              </w:rPr>
            </w:pPr>
            <w:r>
              <w:rPr>
                <w:rFonts w:ascii="CAIXA Std Book" w:hAnsi="CAIXA Std Book" w:cs="Calibri"/>
                <w:color w:val="005CA9"/>
                <w:sz w:val="18"/>
                <w:szCs w:val="18"/>
              </w:rPr>
              <w:t>4</w:t>
            </w:r>
            <w:r w:rsidR="006B7D80">
              <w:rPr>
                <w:rFonts w:ascii="CAIXA Std Book" w:hAnsi="CAIXA Std Book" w:cs="Calibri"/>
                <w:color w:val="005CA9"/>
                <w:sz w:val="18"/>
                <w:szCs w:val="18"/>
              </w:rPr>
              <w:t>67</w:t>
            </w:r>
          </w:p>
        </w:tc>
        <w:tc>
          <w:tcPr>
            <w:tcW w:w="790" w:type="pct"/>
            <w:tcBorders>
              <w:top w:val="nil"/>
              <w:left w:val="nil"/>
              <w:bottom w:val="nil"/>
              <w:right w:val="nil"/>
            </w:tcBorders>
            <w:shd w:val="clear" w:color="auto" w:fill="auto"/>
            <w:vAlign w:val="center"/>
          </w:tcPr>
          <w:p w14:paraId="58717B41" w14:textId="601C086E" w:rsidR="00434491" w:rsidRPr="00000FB1" w:rsidRDefault="00434491" w:rsidP="00434491">
            <w:pPr>
              <w:jc w:val="right"/>
              <w:rPr>
                <w:rFonts w:ascii="CAIXA Std Book" w:hAnsi="CAIXA Std Book"/>
                <w:color w:val="005CA9"/>
                <w:sz w:val="18"/>
                <w:szCs w:val="18"/>
              </w:rPr>
            </w:pPr>
            <w:r w:rsidRPr="00000FB1">
              <w:rPr>
                <w:rFonts w:ascii="CAIXA Std Book" w:hAnsi="CAIXA Std Book" w:cs="Calibri"/>
                <w:color w:val="005CA9"/>
                <w:sz w:val="18"/>
                <w:szCs w:val="18"/>
              </w:rPr>
              <w:t>228</w:t>
            </w:r>
          </w:p>
        </w:tc>
      </w:tr>
      <w:tr w:rsidR="00434491" w:rsidRPr="00000FB1" w14:paraId="5D225801" w14:textId="77777777" w:rsidTr="00433B47">
        <w:trPr>
          <w:trHeight w:val="282"/>
        </w:trPr>
        <w:tc>
          <w:tcPr>
            <w:tcW w:w="3421" w:type="pct"/>
            <w:tcBorders>
              <w:top w:val="nil"/>
              <w:left w:val="nil"/>
              <w:bottom w:val="nil"/>
              <w:right w:val="nil"/>
            </w:tcBorders>
            <w:shd w:val="clear" w:color="auto" w:fill="auto"/>
            <w:noWrap/>
            <w:vAlign w:val="center"/>
            <w:hideMark/>
          </w:tcPr>
          <w:p w14:paraId="4E31F8F2"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Treinamento</w:t>
            </w:r>
          </w:p>
        </w:tc>
        <w:tc>
          <w:tcPr>
            <w:tcW w:w="789" w:type="pct"/>
            <w:tcBorders>
              <w:top w:val="nil"/>
              <w:left w:val="nil"/>
              <w:bottom w:val="nil"/>
              <w:right w:val="nil"/>
            </w:tcBorders>
            <w:vAlign w:val="center"/>
          </w:tcPr>
          <w:p w14:paraId="65B149F7" w14:textId="01343858" w:rsidR="00434491" w:rsidRPr="000A10F9" w:rsidRDefault="00B418A6" w:rsidP="00000FB1">
            <w:pPr>
              <w:jc w:val="right"/>
              <w:rPr>
                <w:rFonts w:ascii="CAIXA Std Book" w:hAnsi="CAIXA Std Book" w:cs="Calibri"/>
                <w:b/>
                <w:bCs/>
                <w:color w:val="005CA9"/>
                <w:sz w:val="18"/>
                <w:szCs w:val="18"/>
              </w:rPr>
            </w:pPr>
            <w:r w:rsidRPr="000A10F9">
              <w:rPr>
                <w:rFonts w:ascii="CAIXA Std Book" w:hAnsi="CAIXA Std Book" w:cs="Calibri"/>
                <w:b/>
                <w:bCs/>
                <w:color w:val="005CA9"/>
                <w:sz w:val="18"/>
                <w:szCs w:val="18"/>
              </w:rPr>
              <w:t>72</w:t>
            </w:r>
          </w:p>
        </w:tc>
        <w:tc>
          <w:tcPr>
            <w:tcW w:w="790" w:type="pct"/>
            <w:tcBorders>
              <w:top w:val="nil"/>
              <w:left w:val="nil"/>
              <w:bottom w:val="nil"/>
              <w:right w:val="nil"/>
            </w:tcBorders>
            <w:shd w:val="clear" w:color="auto" w:fill="auto"/>
            <w:vAlign w:val="center"/>
          </w:tcPr>
          <w:p w14:paraId="17E23BF1" w14:textId="7027C9F6" w:rsidR="00434491" w:rsidRPr="00000FB1" w:rsidRDefault="00434491" w:rsidP="00434491">
            <w:pPr>
              <w:jc w:val="right"/>
              <w:rPr>
                <w:rFonts w:ascii="CAIXA Std Book" w:hAnsi="CAIXA Std Book"/>
                <w:b/>
                <w:color w:val="005CA9"/>
                <w:sz w:val="18"/>
                <w:szCs w:val="18"/>
              </w:rPr>
            </w:pPr>
            <w:r w:rsidRPr="00000FB1">
              <w:rPr>
                <w:rFonts w:ascii="CAIXA Std Book" w:hAnsi="CAIXA Std Book" w:cs="Calibri"/>
                <w:b/>
                <w:bCs/>
                <w:color w:val="005CA9"/>
                <w:sz w:val="18"/>
                <w:szCs w:val="18"/>
              </w:rPr>
              <w:t>184</w:t>
            </w:r>
          </w:p>
        </w:tc>
      </w:tr>
      <w:tr w:rsidR="00434491" w:rsidRPr="00000FB1" w14:paraId="667A9B7D" w14:textId="77777777" w:rsidTr="00433B47">
        <w:trPr>
          <w:trHeight w:val="282"/>
        </w:trPr>
        <w:tc>
          <w:tcPr>
            <w:tcW w:w="3421" w:type="pct"/>
            <w:tcBorders>
              <w:top w:val="nil"/>
              <w:left w:val="nil"/>
              <w:bottom w:val="single" w:sz="4" w:space="0" w:color="F39200"/>
              <w:right w:val="nil"/>
            </w:tcBorders>
            <w:shd w:val="clear" w:color="auto" w:fill="auto"/>
            <w:noWrap/>
            <w:vAlign w:val="center"/>
            <w:hideMark/>
          </w:tcPr>
          <w:p w14:paraId="0996F4D6"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Encargos sociais</w:t>
            </w:r>
          </w:p>
        </w:tc>
        <w:tc>
          <w:tcPr>
            <w:tcW w:w="789" w:type="pct"/>
            <w:tcBorders>
              <w:top w:val="nil"/>
              <w:left w:val="nil"/>
              <w:bottom w:val="nil"/>
              <w:right w:val="nil"/>
            </w:tcBorders>
            <w:vAlign w:val="center"/>
          </w:tcPr>
          <w:p w14:paraId="2BD9ED3A" w14:textId="681622AE" w:rsidR="00434491" w:rsidRPr="000A10F9" w:rsidRDefault="00B418A6" w:rsidP="00000FB1">
            <w:pPr>
              <w:jc w:val="right"/>
              <w:rPr>
                <w:rFonts w:ascii="CAIXA Std Book" w:hAnsi="CAIXA Std Book" w:cs="Calibri"/>
                <w:b/>
                <w:bCs/>
                <w:color w:val="005CA9"/>
                <w:sz w:val="18"/>
                <w:szCs w:val="18"/>
              </w:rPr>
            </w:pPr>
            <w:r w:rsidRPr="000A10F9">
              <w:rPr>
                <w:rFonts w:ascii="CAIXA Std Book" w:hAnsi="CAIXA Std Book" w:cs="Calibri"/>
                <w:b/>
                <w:bCs/>
                <w:color w:val="005CA9"/>
                <w:sz w:val="18"/>
                <w:szCs w:val="18"/>
              </w:rPr>
              <w:t>1.875</w:t>
            </w:r>
          </w:p>
        </w:tc>
        <w:tc>
          <w:tcPr>
            <w:tcW w:w="790" w:type="pct"/>
            <w:tcBorders>
              <w:top w:val="nil"/>
              <w:left w:val="nil"/>
              <w:bottom w:val="nil"/>
              <w:right w:val="nil"/>
            </w:tcBorders>
            <w:shd w:val="clear" w:color="auto" w:fill="auto"/>
            <w:vAlign w:val="center"/>
          </w:tcPr>
          <w:p w14:paraId="230734A0" w14:textId="4503D700" w:rsidR="00434491" w:rsidRPr="00000FB1" w:rsidRDefault="00434491" w:rsidP="00434491">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1.543</w:t>
            </w:r>
          </w:p>
        </w:tc>
      </w:tr>
      <w:tr w:rsidR="00434491" w:rsidRPr="00000FB1" w14:paraId="76293021" w14:textId="77777777" w:rsidTr="00433B47">
        <w:trPr>
          <w:trHeight w:val="282"/>
        </w:trPr>
        <w:tc>
          <w:tcPr>
            <w:tcW w:w="3421" w:type="pct"/>
            <w:tcBorders>
              <w:top w:val="nil"/>
              <w:left w:val="nil"/>
              <w:bottom w:val="single" w:sz="4" w:space="0" w:color="F39200"/>
              <w:right w:val="nil"/>
            </w:tcBorders>
            <w:shd w:val="clear" w:color="auto" w:fill="auto"/>
            <w:noWrap/>
            <w:vAlign w:val="center"/>
            <w:hideMark/>
          </w:tcPr>
          <w:p w14:paraId="08AC018D"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Benefícios motivados pela cessação do exercício do cargo</w:t>
            </w:r>
          </w:p>
        </w:tc>
        <w:tc>
          <w:tcPr>
            <w:tcW w:w="789" w:type="pct"/>
            <w:tcBorders>
              <w:top w:val="single" w:sz="4" w:space="0" w:color="ED7D31"/>
              <w:left w:val="nil"/>
              <w:bottom w:val="single" w:sz="4" w:space="0" w:color="F39200"/>
              <w:right w:val="nil"/>
            </w:tcBorders>
            <w:vAlign w:val="center"/>
          </w:tcPr>
          <w:p w14:paraId="47ED082A" w14:textId="0AC5BAAC" w:rsidR="00434491" w:rsidRPr="000A10F9" w:rsidRDefault="009A3BFD" w:rsidP="000A10F9">
            <w:pPr>
              <w:jc w:val="center"/>
              <w:rPr>
                <w:rFonts w:ascii="CAIXA Std Book" w:hAnsi="CAIXA Std Book" w:cs="Calibri"/>
                <w:b/>
                <w:bCs/>
                <w:color w:val="005CA9"/>
                <w:sz w:val="18"/>
                <w:szCs w:val="18"/>
              </w:rPr>
            </w:pPr>
            <w:r w:rsidRPr="000A10F9">
              <w:rPr>
                <w:rFonts w:ascii="CAIXA Std Book" w:hAnsi="CAIXA Std Book" w:cs="Calibri"/>
                <w:b/>
                <w:bCs/>
                <w:color w:val="005CA9"/>
                <w:sz w:val="18"/>
                <w:szCs w:val="18"/>
              </w:rPr>
              <w:t>-</w:t>
            </w:r>
          </w:p>
        </w:tc>
        <w:tc>
          <w:tcPr>
            <w:tcW w:w="790" w:type="pct"/>
            <w:tcBorders>
              <w:top w:val="single" w:sz="4" w:space="0" w:color="ED7D31"/>
              <w:left w:val="nil"/>
              <w:bottom w:val="single" w:sz="4" w:space="0" w:color="F39200"/>
              <w:right w:val="nil"/>
            </w:tcBorders>
            <w:shd w:val="clear" w:color="auto" w:fill="auto"/>
            <w:vAlign w:val="center"/>
          </w:tcPr>
          <w:p w14:paraId="0599BE61" w14:textId="46764626" w:rsidR="00434491" w:rsidRPr="00000FB1" w:rsidRDefault="00434491" w:rsidP="00434491">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154</w:t>
            </w:r>
          </w:p>
        </w:tc>
      </w:tr>
      <w:tr w:rsidR="00434491" w:rsidRPr="00000FB1" w14:paraId="7CF7975E" w14:textId="77777777" w:rsidTr="00433B47">
        <w:trPr>
          <w:trHeight w:val="282"/>
        </w:trPr>
        <w:tc>
          <w:tcPr>
            <w:tcW w:w="3421" w:type="pct"/>
            <w:tcBorders>
              <w:top w:val="nil"/>
              <w:left w:val="nil"/>
              <w:bottom w:val="nil"/>
              <w:right w:val="nil"/>
            </w:tcBorders>
            <w:shd w:val="clear" w:color="auto" w:fill="auto"/>
            <w:noWrap/>
            <w:vAlign w:val="center"/>
            <w:hideMark/>
          </w:tcPr>
          <w:p w14:paraId="2528583A" w14:textId="77777777" w:rsidR="00434491" w:rsidRPr="00000FB1" w:rsidRDefault="00434491" w:rsidP="00000FB1">
            <w:pPr>
              <w:rPr>
                <w:rFonts w:ascii="CAIXA Std Book" w:hAnsi="CAIXA Std Book" w:cs="Calibri"/>
                <w:b/>
                <w:bCs/>
                <w:color w:val="005CA9"/>
                <w:sz w:val="18"/>
                <w:szCs w:val="18"/>
              </w:rPr>
            </w:pPr>
            <w:r w:rsidRPr="00000FB1">
              <w:rPr>
                <w:rFonts w:ascii="CAIXA Std Book" w:hAnsi="CAIXA Std Book" w:cs="Calibri"/>
                <w:b/>
                <w:bCs/>
                <w:color w:val="005CA9"/>
                <w:sz w:val="18"/>
                <w:szCs w:val="18"/>
              </w:rPr>
              <w:t>Benefícios pós emprego</w:t>
            </w:r>
          </w:p>
        </w:tc>
        <w:tc>
          <w:tcPr>
            <w:tcW w:w="789" w:type="pct"/>
            <w:tcBorders>
              <w:top w:val="nil"/>
              <w:left w:val="nil"/>
              <w:bottom w:val="nil"/>
              <w:right w:val="nil"/>
            </w:tcBorders>
            <w:vAlign w:val="center"/>
          </w:tcPr>
          <w:p w14:paraId="4E69C701" w14:textId="1E6079B6" w:rsidR="00434491" w:rsidRPr="000A10F9" w:rsidRDefault="000A10F9" w:rsidP="00000FB1">
            <w:pPr>
              <w:jc w:val="right"/>
              <w:rPr>
                <w:rFonts w:ascii="CAIXA Std Book" w:hAnsi="CAIXA Std Book" w:cs="Calibri"/>
                <w:b/>
                <w:bCs/>
                <w:color w:val="005CA9"/>
                <w:sz w:val="18"/>
                <w:szCs w:val="18"/>
              </w:rPr>
            </w:pPr>
            <w:r w:rsidRPr="000A10F9">
              <w:rPr>
                <w:rFonts w:ascii="CAIXA Std Book" w:hAnsi="CAIXA Std Book" w:cs="Calibri"/>
                <w:b/>
                <w:bCs/>
                <w:color w:val="005CA9"/>
                <w:sz w:val="18"/>
                <w:szCs w:val="18"/>
              </w:rPr>
              <w:t>495</w:t>
            </w:r>
          </w:p>
        </w:tc>
        <w:tc>
          <w:tcPr>
            <w:tcW w:w="790" w:type="pct"/>
            <w:tcBorders>
              <w:top w:val="nil"/>
              <w:left w:val="nil"/>
              <w:bottom w:val="nil"/>
              <w:right w:val="nil"/>
            </w:tcBorders>
            <w:shd w:val="clear" w:color="auto" w:fill="auto"/>
            <w:vAlign w:val="center"/>
          </w:tcPr>
          <w:p w14:paraId="40078EA1" w14:textId="0E0C77C4" w:rsidR="00434491" w:rsidRPr="00000FB1" w:rsidRDefault="00434491" w:rsidP="00434491">
            <w:pPr>
              <w:jc w:val="right"/>
              <w:rPr>
                <w:rFonts w:ascii="CAIXA Std Book" w:hAnsi="CAIXA Std Book" w:cs="Calibri"/>
                <w:b/>
                <w:bCs/>
                <w:color w:val="005CA9"/>
                <w:sz w:val="18"/>
                <w:szCs w:val="18"/>
              </w:rPr>
            </w:pPr>
            <w:r w:rsidRPr="00000FB1">
              <w:rPr>
                <w:rFonts w:ascii="CAIXA Std Book" w:hAnsi="CAIXA Std Book" w:cs="Calibri"/>
                <w:b/>
                <w:bCs/>
                <w:color w:val="005CA9"/>
                <w:sz w:val="18"/>
                <w:szCs w:val="18"/>
              </w:rPr>
              <w:t>417</w:t>
            </w:r>
          </w:p>
        </w:tc>
      </w:tr>
      <w:tr w:rsidR="00434491" w:rsidRPr="00000FB1" w14:paraId="451203F6" w14:textId="77777777" w:rsidTr="00433B47">
        <w:trPr>
          <w:trHeight w:val="282"/>
        </w:trPr>
        <w:tc>
          <w:tcPr>
            <w:tcW w:w="3421" w:type="pct"/>
            <w:tcBorders>
              <w:top w:val="nil"/>
              <w:left w:val="nil"/>
              <w:bottom w:val="single" w:sz="4" w:space="0" w:color="F39200"/>
              <w:right w:val="nil"/>
            </w:tcBorders>
            <w:shd w:val="clear" w:color="auto" w:fill="auto"/>
            <w:noWrap/>
            <w:vAlign w:val="center"/>
            <w:hideMark/>
          </w:tcPr>
          <w:p w14:paraId="4176EC08" w14:textId="77777777" w:rsidR="00434491" w:rsidRPr="00000FB1" w:rsidRDefault="00434491" w:rsidP="00000FB1">
            <w:pPr>
              <w:ind w:firstLineChars="100" w:firstLine="180"/>
              <w:rPr>
                <w:rFonts w:ascii="CAIXA Std Book" w:hAnsi="CAIXA Std Book" w:cs="Calibri"/>
                <w:color w:val="005CA9"/>
                <w:sz w:val="18"/>
                <w:szCs w:val="18"/>
              </w:rPr>
            </w:pPr>
            <w:r w:rsidRPr="00000FB1">
              <w:rPr>
                <w:rFonts w:ascii="CAIXA Std Book" w:hAnsi="CAIXA Std Book" w:cs="Calibri"/>
                <w:color w:val="005CA9"/>
                <w:sz w:val="18"/>
                <w:szCs w:val="18"/>
              </w:rPr>
              <w:t>Previdência complementar</w:t>
            </w:r>
          </w:p>
        </w:tc>
        <w:tc>
          <w:tcPr>
            <w:tcW w:w="789" w:type="pct"/>
            <w:tcBorders>
              <w:top w:val="nil"/>
              <w:left w:val="nil"/>
              <w:bottom w:val="single" w:sz="4" w:space="0" w:color="F79646" w:themeColor="accent6"/>
              <w:right w:val="nil"/>
            </w:tcBorders>
            <w:vAlign w:val="center"/>
          </w:tcPr>
          <w:p w14:paraId="6C205885" w14:textId="6B27409A" w:rsidR="00434491" w:rsidRPr="00000FB1" w:rsidRDefault="000A10F9" w:rsidP="00000FB1">
            <w:pPr>
              <w:jc w:val="right"/>
              <w:rPr>
                <w:rFonts w:ascii="CAIXA Std Book" w:hAnsi="CAIXA Std Book" w:cs="Calibri"/>
                <w:color w:val="005CA9"/>
                <w:sz w:val="18"/>
                <w:szCs w:val="18"/>
              </w:rPr>
            </w:pPr>
            <w:r>
              <w:rPr>
                <w:rFonts w:ascii="CAIXA Std Book" w:hAnsi="CAIXA Std Book" w:cs="Calibri"/>
                <w:color w:val="005CA9"/>
                <w:sz w:val="18"/>
                <w:szCs w:val="18"/>
              </w:rPr>
              <w:t>495</w:t>
            </w:r>
          </w:p>
        </w:tc>
        <w:tc>
          <w:tcPr>
            <w:tcW w:w="790" w:type="pct"/>
            <w:tcBorders>
              <w:top w:val="nil"/>
              <w:left w:val="nil"/>
              <w:bottom w:val="single" w:sz="4" w:space="0" w:color="F79646" w:themeColor="accent6"/>
              <w:right w:val="nil"/>
            </w:tcBorders>
            <w:shd w:val="clear" w:color="auto" w:fill="auto"/>
            <w:noWrap/>
            <w:vAlign w:val="center"/>
          </w:tcPr>
          <w:p w14:paraId="4B06204D" w14:textId="3DFEEF87" w:rsidR="00434491" w:rsidRPr="00000FB1" w:rsidRDefault="00434491" w:rsidP="00434491">
            <w:pPr>
              <w:jc w:val="right"/>
              <w:rPr>
                <w:rFonts w:ascii="CAIXA Std Book" w:hAnsi="CAIXA Std Book" w:cs="Calibri"/>
                <w:color w:val="005CA9"/>
                <w:sz w:val="18"/>
                <w:szCs w:val="18"/>
              </w:rPr>
            </w:pPr>
            <w:r w:rsidRPr="00000FB1">
              <w:rPr>
                <w:rFonts w:ascii="CAIXA Std Book" w:hAnsi="CAIXA Std Book" w:cs="Calibri"/>
                <w:color w:val="005CA9"/>
                <w:sz w:val="18"/>
                <w:szCs w:val="18"/>
              </w:rPr>
              <w:t>417</w:t>
            </w:r>
          </w:p>
        </w:tc>
      </w:tr>
    </w:tbl>
    <w:p w14:paraId="641F4CAE" w14:textId="7F9F03FF" w:rsidR="0054776D" w:rsidRPr="00FF4346" w:rsidRDefault="0054776D" w:rsidP="0054776D">
      <w:pPr>
        <w:spacing w:before="240" w:after="120"/>
        <w:jc w:val="both"/>
        <w:rPr>
          <w:rFonts w:ascii="CAIXA Std Book" w:hAnsi="CAIXA Std Book"/>
          <w:color w:val="005CA9"/>
          <w:sz w:val="20"/>
          <w:szCs w:val="20"/>
        </w:rPr>
      </w:pPr>
      <w:r w:rsidRPr="00FF4346">
        <w:rPr>
          <w:rFonts w:ascii="CAIXA Std Book" w:hAnsi="CAIXA Std Book"/>
          <w:color w:val="005CA9"/>
          <w:sz w:val="20"/>
          <w:szCs w:val="20"/>
        </w:rPr>
        <w:t xml:space="preserve">Os benefícios incluem auxílio alimentação, auxílio moradia e plano de saúde aos membros da diretoria. </w:t>
      </w:r>
    </w:p>
    <w:p w14:paraId="1FCDAD51" w14:textId="77777777" w:rsidR="0054776D" w:rsidRPr="00FF4346" w:rsidRDefault="0054776D" w:rsidP="0054776D">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No item Previdência Complementar, os benefícios pós-emprego são restritos aos membros da diretoria, Conselho de Administração e Conselho Fiscal da CAIXA.</w:t>
      </w:r>
    </w:p>
    <w:p w14:paraId="4D7314CF" w14:textId="16A03C1E" w:rsidR="008B1CEB" w:rsidRPr="00FF4346" w:rsidRDefault="0054776D" w:rsidP="00DF765F">
      <w:pPr>
        <w:spacing w:before="120" w:after="120"/>
        <w:jc w:val="both"/>
        <w:rPr>
          <w:rFonts w:ascii="CAIXA Std Book" w:hAnsi="CAIXA Std Book"/>
          <w:color w:val="005CA9"/>
        </w:rPr>
      </w:pPr>
      <w:r w:rsidRPr="00FF4346">
        <w:rPr>
          <w:rFonts w:ascii="CAIXA Std Book" w:hAnsi="CAIXA Std Book"/>
          <w:color w:val="005CA9"/>
          <w:sz w:val="20"/>
          <w:szCs w:val="20"/>
        </w:rPr>
        <w:t xml:space="preserve">A CAIXA não possui remuneração baseada em ações ou </w:t>
      </w:r>
      <w:r w:rsidR="00775750" w:rsidRPr="00FF4346">
        <w:rPr>
          <w:rFonts w:ascii="CAIXA Std Book" w:hAnsi="CAIXA Std Book"/>
          <w:color w:val="005CA9"/>
          <w:sz w:val="20"/>
          <w:szCs w:val="20"/>
        </w:rPr>
        <w:t xml:space="preserve">outros </w:t>
      </w:r>
      <w:r w:rsidRPr="00FF4346">
        <w:rPr>
          <w:rFonts w:ascii="CAIXA Std Book" w:hAnsi="CAIXA Std Book"/>
          <w:color w:val="005CA9"/>
          <w:sz w:val="20"/>
          <w:szCs w:val="20"/>
        </w:rPr>
        <w:t>benefícios de longo prazo a seus funcionários e pessoal chave da administração.</w:t>
      </w:r>
      <w:bookmarkEnd w:id="132"/>
      <w:r w:rsidR="758A4745" w:rsidRPr="00FF4346">
        <w:rPr>
          <w:rFonts w:ascii="CAIXA Std Book" w:hAnsi="CAIXA Std Book"/>
          <w:color w:val="005CA9"/>
          <w:sz w:val="20"/>
          <w:szCs w:val="20"/>
        </w:rPr>
        <w:t xml:space="preserve"> </w:t>
      </w:r>
    </w:p>
    <w:p w14:paraId="55E0B765" w14:textId="77777777" w:rsidR="00433B47" w:rsidRDefault="00433B47">
      <w:pPr>
        <w:rPr>
          <w:rFonts w:ascii="Futura Lt BT" w:hAnsi="Futura Lt BT"/>
          <w:b/>
          <w:color w:val="005CA9"/>
        </w:rPr>
      </w:pPr>
      <w:r>
        <w:br w:type="page"/>
      </w:r>
    </w:p>
    <w:p w14:paraId="30DEB95D" w14:textId="371904FA" w:rsidR="008B1CEB" w:rsidRPr="00FF4346" w:rsidRDefault="008B1CEB" w:rsidP="005A596E">
      <w:pPr>
        <w:pStyle w:val="Ttulo1"/>
      </w:pPr>
      <w:bookmarkStart w:id="133" w:name="_Toc166594508"/>
      <w:r w:rsidRPr="00FF4346">
        <w:lastRenderedPageBreak/>
        <w:t>Nota 3</w:t>
      </w:r>
      <w:r w:rsidR="004917F8" w:rsidRPr="00FF4346">
        <w:t>3</w:t>
      </w:r>
      <w:r w:rsidRPr="00FF4346">
        <w:t xml:space="preserve"> – Gerenciamento de riscos e de capital</w:t>
      </w:r>
      <w:bookmarkEnd w:id="133"/>
    </w:p>
    <w:p w14:paraId="0044ACF2" w14:textId="77777777" w:rsidR="007441C8" w:rsidRPr="00FF4346" w:rsidRDefault="007441C8" w:rsidP="007441C8">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Na CAIXA, o gerenciamento de riscos e de capital é percebido como fator de diferencial competitivo no mercado financeiro e principal meio para preservação de sua solvência, liquidez e rentabilidade.</w:t>
      </w:r>
    </w:p>
    <w:p w14:paraId="65AB6633" w14:textId="77777777" w:rsidR="00F15CAF" w:rsidRPr="00FF4346" w:rsidRDefault="00F15CAF" w:rsidP="00F15CAF">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O gerenciamento de riscos e de capital é realizado por estruturas dedicadas que abrangem sistemas, rotinas, procedimentos e modelos, e são responsáveis pela identificação, mensuração, avaliação, monitoramento, controle, mitigação e comunicação à Alta Administração, visando suportar a tomada de decisão.</w:t>
      </w:r>
    </w:p>
    <w:p w14:paraId="7B7CABC2" w14:textId="77777777" w:rsidR="00F15CAF" w:rsidRPr="00FF4346" w:rsidRDefault="00F15CAF" w:rsidP="00F15CAF">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Em conformidade com a regulação vigente e às boas práticas de governança corporativa, as estruturas de riscos e de capital são compostas pelo Conselho de Administração – CA; pelo Comitê Independente de Risco – CORIS, que subsidia o CA na tomada de decisões nas questões relacionadas à gestão de riscos e de capital; pelo Conselho Diretor – CD; pela Vice-Presidência de Riscos – VICOR e </w:t>
      </w:r>
      <w:r w:rsidR="00A158F9" w:rsidRPr="00FF4346">
        <w:rPr>
          <w:rFonts w:ascii="CAIXA Std Book" w:hAnsi="CAIXA Std Book"/>
          <w:color w:val="005CA9"/>
          <w:sz w:val="20"/>
          <w:szCs w:val="20"/>
        </w:rPr>
        <w:t>pel</w:t>
      </w:r>
      <w:r w:rsidRPr="00FF4346">
        <w:rPr>
          <w:rFonts w:ascii="CAIXA Std Book" w:hAnsi="CAIXA Std Book"/>
          <w:color w:val="005CA9"/>
          <w:sz w:val="20"/>
          <w:szCs w:val="20"/>
        </w:rPr>
        <w:t xml:space="preserve">o Diretor Executivo de Riscos – DECOR como </w:t>
      </w:r>
      <w:proofErr w:type="spellStart"/>
      <w:r w:rsidRPr="009751F2">
        <w:rPr>
          <w:rFonts w:ascii="CAIXA Std Book" w:hAnsi="CAIXA Std Book"/>
          <w:color w:val="005CA9"/>
          <w:sz w:val="20"/>
          <w:szCs w:val="20"/>
        </w:rPr>
        <w:t>Chief</w:t>
      </w:r>
      <w:proofErr w:type="spellEnd"/>
      <w:r w:rsidRPr="009751F2">
        <w:rPr>
          <w:rFonts w:ascii="CAIXA Std Book" w:hAnsi="CAIXA Std Book"/>
          <w:color w:val="005CA9"/>
          <w:sz w:val="20"/>
          <w:szCs w:val="20"/>
        </w:rPr>
        <w:t xml:space="preserve"> Risk Officer – CRO.</w:t>
      </w:r>
    </w:p>
    <w:p w14:paraId="78D63C04" w14:textId="77777777" w:rsidR="00F15CAF" w:rsidRPr="00FF4346" w:rsidRDefault="00F15CAF" w:rsidP="00F15CAF">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Superintendência Nacional de Riscos Corporativos – SUCOR, subordinada </w:t>
      </w:r>
      <w:r w:rsidR="00A158F9" w:rsidRPr="00FF4346">
        <w:rPr>
          <w:rFonts w:ascii="CAIXA Std Book" w:hAnsi="CAIXA Std Book"/>
          <w:color w:val="005CA9"/>
          <w:sz w:val="20"/>
          <w:szCs w:val="20"/>
        </w:rPr>
        <w:t>à</w:t>
      </w:r>
      <w:r w:rsidRPr="00FF4346">
        <w:rPr>
          <w:rFonts w:ascii="CAIXA Std Book" w:hAnsi="CAIXA Std Book"/>
          <w:color w:val="005CA9"/>
          <w:sz w:val="20"/>
          <w:szCs w:val="20"/>
        </w:rPr>
        <w:t xml:space="preserve"> DECOR coordena as iniciativas de adequação da CAIXA ao Novo Acordo de Capitais de Basileia e é responsável por propor a política de gerenciamento de risco do conglomerado CAIXA, a política de gerenciamento de capital e de distribuição de resultados da CAIXA, bem como avaliar e emitir parecer para negócios e demais ações correlatas ao gerenciamento de riscos e capital do conglomerado.</w:t>
      </w:r>
    </w:p>
    <w:p w14:paraId="4DC9601C" w14:textId="77777777" w:rsidR="00F15CAF" w:rsidRPr="00FF4346" w:rsidRDefault="00F15CAF" w:rsidP="009751F2">
      <w:pPr>
        <w:spacing w:before="120" w:after="120"/>
        <w:jc w:val="both"/>
        <w:rPr>
          <w:rFonts w:ascii="CAIXA Std Book" w:hAnsi="CAIXA Std Book"/>
          <w:b/>
          <w:color w:val="005CA9"/>
          <w:sz w:val="20"/>
          <w:szCs w:val="20"/>
        </w:rPr>
      </w:pPr>
      <w:r w:rsidRPr="00FF4346">
        <w:rPr>
          <w:rFonts w:ascii="CAIXA Std Book" w:hAnsi="CAIXA Std Book"/>
          <w:b/>
          <w:color w:val="005CA9"/>
          <w:sz w:val="20"/>
          <w:szCs w:val="20"/>
        </w:rPr>
        <w:t xml:space="preserve">Estrutura de </w:t>
      </w:r>
      <w:r w:rsidR="003808BB" w:rsidRPr="00FF4346">
        <w:rPr>
          <w:rFonts w:ascii="CAIXA Std Book" w:hAnsi="CAIXA Std Book"/>
          <w:b/>
          <w:color w:val="005CA9"/>
          <w:sz w:val="20"/>
          <w:szCs w:val="20"/>
        </w:rPr>
        <w:t>g</w:t>
      </w:r>
      <w:r w:rsidRPr="00FF4346">
        <w:rPr>
          <w:rFonts w:ascii="CAIXA Std Book" w:hAnsi="CAIXA Std Book"/>
          <w:b/>
          <w:color w:val="005CA9"/>
          <w:sz w:val="20"/>
          <w:szCs w:val="20"/>
        </w:rPr>
        <w:t xml:space="preserve">erenciamento de </w:t>
      </w:r>
      <w:r w:rsidR="003808BB" w:rsidRPr="00FF4346">
        <w:rPr>
          <w:rFonts w:ascii="CAIXA Std Book" w:hAnsi="CAIXA Std Book"/>
          <w:b/>
          <w:color w:val="005CA9"/>
          <w:sz w:val="20"/>
          <w:szCs w:val="20"/>
        </w:rPr>
        <w:t>r</w:t>
      </w:r>
      <w:r w:rsidRPr="00FF4346">
        <w:rPr>
          <w:rFonts w:ascii="CAIXA Std Book" w:hAnsi="CAIXA Std Book"/>
          <w:b/>
          <w:color w:val="005CA9"/>
          <w:sz w:val="20"/>
          <w:szCs w:val="20"/>
        </w:rPr>
        <w:t>iscos</w:t>
      </w:r>
    </w:p>
    <w:p w14:paraId="4178F959" w14:textId="77777777" w:rsidR="00F15CAF" w:rsidRPr="00FF4346" w:rsidRDefault="00F15CAF" w:rsidP="00F15CAF">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 xml:space="preserve">A CAIXA mantém estruturas de gerenciamento de risco adequada à natureza das operações e </w:t>
      </w:r>
      <w:r w:rsidR="00B72A7E" w:rsidRPr="00FF4346">
        <w:rPr>
          <w:rFonts w:ascii="CAIXA Std Book" w:hAnsi="CAIXA Std Book"/>
          <w:color w:val="005CA9"/>
          <w:sz w:val="20"/>
          <w:szCs w:val="20"/>
        </w:rPr>
        <w:t>à</w:t>
      </w:r>
      <w:r w:rsidRPr="00FF4346">
        <w:rPr>
          <w:rFonts w:ascii="CAIXA Std Book" w:hAnsi="CAIXA Std Book"/>
          <w:color w:val="005CA9"/>
          <w:sz w:val="20"/>
          <w:szCs w:val="20"/>
        </w:rPr>
        <w:t xml:space="preserve"> complexidade de seus produtos, serviços, atividades e processos compatíveis à sua exposição a cada modalidade de risco.</w:t>
      </w:r>
    </w:p>
    <w:p w14:paraId="5902A9BE" w14:textId="77777777" w:rsidR="00ED479C" w:rsidRPr="00ED479C" w:rsidRDefault="00ED479C" w:rsidP="009751F2">
      <w:pPr>
        <w:spacing w:before="120" w:after="120"/>
        <w:jc w:val="both"/>
        <w:rPr>
          <w:rFonts w:ascii="CAIXA Std Book" w:hAnsi="CAIXA Std Book"/>
          <w:color w:val="005CA9"/>
          <w:sz w:val="20"/>
          <w:szCs w:val="20"/>
        </w:rPr>
      </w:pPr>
      <w:r w:rsidRPr="00ED479C">
        <w:rPr>
          <w:rFonts w:ascii="CAIXA Std Book" w:hAnsi="CAIXA Std Book"/>
          <w:color w:val="005CA9"/>
          <w:sz w:val="20"/>
          <w:szCs w:val="20"/>
        </w:rPr>
        <w:t>A definição dos riscos é realizada considerando critérios quantitativos e qualitativos, e resulta nos seguintes riscos relevantes:</w:t>
      </w:r>
    </w:p>
    <w:p w14:paraId="5636B2C4" w14:textId="77777777" w:rsidR="00ED479C" w:rsidRPr="00ED479C" w:rsidRDefault="00ED479C" w:rsidP="00B37B40">
      <w:pPr>
        <w:pStyle w:val="PargrafodaLista"/>
        <w:numPr>
          <w:ilvl w:val="0"/>
          <w:numId w:val="28"/>
        </w:numPr>
        <w:spacing w:before="120" w:after="120" w:line="360" w:lineRule="auto"/>
        <w:jc w:val="both"/>
        <w:rPr>
          <w:rFonts w:ascii="CAIXA Std Book" w:hAnsi="CAIXA Std Book"/>
          <w:color w:val="005CA9"/>
          <w:sz w:val="20"/>
          <w:szCs w:val="20"/>
        </w:rPr>
      </w:pPr>
      <w:r w:rsidRPr="00ED479C">
        <w:rPr>
          <w:rFonts w:ascii="CAIXA Std Book" w:hAnsi="CAIXA Std Book"/>
          <w:color w:val="005CA9"/>
          <w:sz w:val="20"/>
          <w:szCs w:val="20"/>
        </w:rPr>
        <w:t xml:space="preserve">Risco de Crédito; </w:t>
      </w:r>
    </w:p>
    <w:p w14:paraId="0B74F3C1" w14:textId="77777777" w:rsidR="00ED479C" w:rsidRPr="00ED479C" w:rsidRDefault="00ED479C" w:rsidP="00B37B40">
      <w:pPr>
        <w:pStyle w:val="PargrafodaLista"/>
        <w:numPr>
          <w:ilvl w:val="0"/>
          <w:numId w:val="28"/>
        </w:numPr>
        <w:spacing w:before="120" w:after="120" w:line="360" w:lineRule="auto"/>
        <w:jc w:val="both"/>
        <w:rPr>
          <w:rFonts w:ascii="CAIXA Std Book" w:hAnsi="CAIXA Std Book"/>
          <w:color w:val="005CA9"/>
          <w:sz w:val="20"/>
          <w:szCs w:val="20"/>
        </w:rPr>
      </w:pPr>
      <w:r w:rsidRPr="00ED479C">
        <w:rPr>
          <w:rFonts w:ascii="CAIXA Std Book" w:hAnsi="CAIXA Std Book"/>
          <w:color w:val="005CA9"/>
          <w:sz w:val="20"/>
          <w:szCs w:val="20"/>
        </w:rPr>
        <w:t xml:space="preserve">Risco de Mercado – Carteira Trading e Carteira Banking; </w:t>
      </w:r>
    </w:p>
    <w:p w14:paraId="20B7F1D5" w14:textId="77777777" w:rsidR="00ED479C" w:rsidRPr="00ED479C" w:rsidRDefault="00ED479C" w:rsidP="00B37B40">
      <w:pPr>
        <w:pStyle w:val="PargrafodaLista"/>
        <w:numPr>
          <w:ilvl w:val="0"/>
          <w:numId w:val="28"/>
        </w:numPr>
        <w:spacing w:before="120" w:after="120" w:line="360" w:lineRule="auto"/>
        <w:jc w:val="both"/>
        <w:rPr>
          <w:rFonts w:ascii="CAIXA Std Book" w:hAnsi="CAIXA Std Book"/>
          <w:color w:val="005CA9"/>
          <w:sz w:val="20"/>
          <w:szCs w:val="20"/>
        </w:rPr>
      </w:pPr>
      <w:r w:rsidRPr="00ED479C">
        <w:rPr>
          <w:rFonts w:ascii="CAIXA Std Book" w:hAnsi="CAIXA Std Book"/>
          <w:color w:val="005CA9"/>
          <w:sz w:val="20"/>
          <w:szCs w:val="20"/>
        </w:rPr>
        <w:t xml:space="preserve">Risco de Liquidez; </w:t>
      </w:r>
    </w:p>
    <w:p w14:paraId="4BC52D21" w14:textId="77777777" w:rsidR="00ED479C" w:rsidRPr="00ED479C" w:rsidRDefault="00ED479C" w:rsidP="00B37B40">
      <w:pPr>
        <w:pStyle w:val="PargrafodaLista"/>
        <w:numPr>
          <w:ilvl w:val="0"/>
          <w:numId w:val="28"/>
        </w:numPr>
        <w:spacing w:before="120" w:after="120" w:line="360" w:lineRule="auto"/>
        <w:jc w:val="both"/>
        <w:rPr>
          <w:rFonts w:ascii="CAIXA Std Book" w:hAnsi="CAIXA Std Book"/>
          <w:color w:val="005CA9"/>
          <w:sz w:val="20"/>
          <w:szCs w:val="20"/>
        </w:rPr>
      </w:pPr>
      <w:r w:rsidRPr="00ED479C">
        <w:rPr>
          <w:rFonts w:ascii="CAIXA Std Book" w:hAnsi="CAIXA Std Book"/>
          <w:color w:val="005CA9"/>
          <w:sz w:val="20"/>
          <w:szCs w:val="20"/>
        </w:rPr>
        <w:t xml:space="preserve">Risco Operacional; </w:t>
      </w:r>
    </w:p>
    <w:p w14:paraId="66612008" w14:textId="77777777" w:rsidR="00ED479C" w:rsidRPr="00ED479C" w:rsidRDefault="00ED479C" w:rsidP="009751F2">
      <w:pPr>
        <w:spacing w:before="120" w:after="120"/>
        <w:jc w:val="both"/>
        <w:rPr>
          <w:rFonts w:ascii="CAIXA Std Book" w:hAnsi="CAIXA Std Book"/>
          <w:color w:val="005CA9"/>
          <w:sz w:val="20"/>
          <w:szCs w:val="20"/>
        </w:rPr>
      </w:pPr>
      <w:r w:rsidRPr="00ED479C">
        <w:rPr>
          <w:rFonts w:ascii="CAIXA Std Book" w:hAnsi="CAIXA Std Book"/>
          <w:color w:val="005CA9"/>
          <w:sz w:val="20"/>
          <w:szCs w:val="20"/>
        </w:rPr>
        <w:t>Outros riscos considerados relevantes ao perfil de risco da CAIXA, destacando-se os riscos de Contágio, Estratégia, Reputação, Socioambiental, Atuarial, Cibernético e Compliance.</w:t>
      </w:r>
    </w:p>
    <w:p w14:paraId="3716B2F7" w14:textId="50848E24" w:rsidR="00ED479C" w:rsidRPr="00ED479C" w:rsidRDefault="00ED479C" w:rsidP="00ED479C">
      <w:pPr>
        <w:spacing w:before="120" w:after="120"/>
        <w:jc w:val="both"/>
        <w:rPr>
          <w:rFonts w:ascii="CAIXA Std Book" w:hAnsi="CAIXA Std Book"/>
          <w:color w:val="005CA9"/>
          <w:sz w:val="20"/>
          <w:szCs w:val="20"/>
        </w:rPr>
      </w:pPr>
      <w:r w:rsidRPr="00ED479C">
        <w:rPr>
          <w:rFonts w:ascii="CAIXA Std Book" w:hAnsi="CAIXA Std Book"/>
          <w:color w:val="005CA9"/>
          <w:sz w:val="20"/>
          <w:szCs w:val="20"/>
        </w:rPr>
        <w:t xml:space="preserve">A descrição detalhada das estruturas de gerenciamento de riscos e de capital está disponível no sítio: </w:t>
      </w:r>
      <w:hyperlink r:id="rId71" w:history="1">
        <w:r w:rsidRPr="001E2BA9">
          <w:rPr>
            <w:rFonts w:ascii="CAIXA Std Book" w:hAnsi="CAIXA Std Book"/>
            <w:color w:val="005CA9"/>
            <w:sz w:val="20"/>
            <w:szCs w:val="20"/>
          </w:rPr>
          <w:t>https://ri.caixa.gov.br/informacoes-financeiras/gerenciamento-de-riscos-e-capital/</w:t>
        </w:r>
      </w:hyperlink>
      <w:r w:rsidR="00875560">
        <w:rPr>
          <w:rFonts w:ascii="CAIXA Std Book" w:hAnsi="CAIXA Std Book"/>
          <w:color w:val="005CA9"/>
          <w:sz w:val="20"/>
          <w:szCs w:val="20"/>
        </w:rPr>
        <w:t xml:space="preserve">. </w:t>
      </w:r>
    </w:p>
    <w:p w14:paraId="72BD84F1" w14:textId="77777777" w:rsidR="00FF4346" w:rsidRDefault="00FF4346">
      <w:pPr>
        <w:rPr>
          <w:rFonts w:ascii="CAIXA Std Book" w:hAnsi="CAIXA Std Book"/>
          <w:b/>
          <w:color w:val="005CA9"/>
          <w:sz w:val="20"/>
          <w:szCs w:val="20"/>
        </w:rPr>
      </w:pPr>
      <w:r>
        <w:rPr>
          <w:rFonts w:ascii="CAIXA Std Book" w:hAnsi="CAIXA Std Book"/>
          <w:b/>
          <w:color w:val="005CA9"/>
          <w:sz w:val="20"/>
          <w:szCs w:val="20"/>
        </w:rPr>
        <w:br w:type="page"/>
      </w:r>
    </w:p>
    <w:p w14:paraId="048FC51B" w14:textId="436E1F8F" w:rsidR="009D0D37" w:rsidRPr="00FF4346" w:rsidRDefault="009D0D37" w:rsidP="00B37B40">
      <w:pPr>
        <w:pStyle w:val="PargrafodaLista"/>
        <w:numPr>
          <w:ilvl w:val="0"/>
          <w:numId w:val="25"/>
        </w:numPr>
        <w:spacing w:before="240" w:after="120"/>
        <w:ind w:left="567" w:hanging="577"/>
        <w:jc w:val="both"/>
        <w:rPr>
          <w:rFonts w:ascii="CAIXA Std Book" w:hAnsi="CAIXA Std Book"/>
          <w:b/>
          <w:color w:val="005CA9"/>
          <w:sz w:val="20"/>
          <w:szCs w:val="20"/>
        </w:rPr>
      </w:pPr>
      <w:r w:rsidRPr="00FF4346">
        <w:rPr>
          <w:rFonts w:ascii="CAIXA Std Book" w:hAnsi="CAIXA Std Book"/>
          <w:b/>
          <w:color w:val="005CA9"/>
          <w:sz w:val="20"/>
          <w:szCs w:val="20"/>
        </w:rPr>
        <w:lastRenderedPageBreak/>
        <w:t>Cálculo da exigência de capital regulamentar</w:t>
      </w:r>
    </w:p>
    <w:p w14:paraId="1A895216" w14:textId="3F721274" w:rsidR="009D0D37" w:rsidRPr="00FF4346" w:rsidRDefault="007441C8" w:rsidP="009D0D37">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Em conformidade com as Resoluções CMN nº 4.955/2021 e nº 4.958/2021, o cálculo do patrimônio de referência e o cálculo dos requerimentos mínimos de capital consideram o Conglomerado Prudencial</w:t>
      </w:r>
      <w:r w:rsidR="009D0D37" w:rsidRPr="00FF4346">
        <w:rPr>
          <w:rFonts w:ascii="CAIXA Std Book" w:hAnsi="CAIXA Std Book"/>
          <w:color w:val="005CA9"/>
          <w:sz w:val="20"/>
          <w:szCs w:val="20"/>
        </w:rPr>
        <w:t>.</w:t>
      </w:r>
    </w:p>
    <w:p w14:paraId="211ECF17" w14:textId="3AA0FA11" w:rsidR="009D0D37" w:rsidRPr="00FF4346" w:rsidRDefault="009D0D37" w:rsidP="009D0D37">
      <w:pPr>
        <w:spacing w:before="120" w:after="240"/>
        <w:jc w:val="both"/>
        <w:rPr>
          <w:rFonts w:ascii="CAIXA Std Book" w:hAnsi="CAIXA Std Book"/>
          <w:color w:val="005CA9"/>
          <w:sz w:val="20"/>
          <w:szCs w:val="20"/>
        </w:rPr>
      </w:pPr>
      <w:r w:rsidRPr="00FF4346">
        <w:rPr>
          <w:rFonts w:ascii="CAIXA Std Book" w:hAnsi="CAIXA Std Book"/>
          <w:color w:val="005CA9"/>
          <w:sz w:val="20"/>
          <w:szCs w:val="20"/>
        </w:rPr>
        <w:t>O quadro a seguir apresenta o detalhamento desses indicadores de capital.</w:t>
      </w:r>
    </w:p>
    <w:tbl>
      <w:tblPr>
        <w:tblW w:w="5000" w:type="pct"/>
        <w:tblCellMar>
          <w:left w:w="70" w:type="dxa"/>
          <w:right w:w="70" w:type="dxa"/>
        </w:tblCellMar>
        <w:tblLook w:val="04A0" w:firstRow="1" w:lastRow="0" w:firstColumn="1" w:lastColumn="0" w:noHBand="0" w:noVBand="1"/>
      </w:tblPr>
      <w:tblGrid>
        <w:gridCol w:w="6161"/>
        <w:gridCol w:w="1793"/>
        <w:gridCol w:w="1793"/>
      </w:tblGrid>
      <w:tr w:rsidR="003B2B2A" w:rsidRPr="00667139" w14:paraId="23457A2C" w14:textId="77777777" w:rsidTr="00434491">
        <w:trPr>
          <w:trHeight w:val="283"/>
        </w:trPr>
        <w:tc>
          <w:tcPr>
            <w:tcW w:w="3160" w:type="pct"/>
            <w:tcBorders>
              <w:top w:val="single" w:sz="4" w:space="0" w:color="F39200"/>
              <w:left w:val="nil"/>
              <w:bottom w:val="single" w:sz="4" w:space="0" w:color="F39200"/>
              <w:right w:val="nil"/>
            </w:tcBorders>
            <w:shd w:val="clear" w:color="auto" w:fill="auto"/>
            <w:noWrap/>
            <w:vAlign w:val="center"/>
            <w:hideMark/>
          </w:tcPr>
          <w:p w14:paraId="73FF0238" w14:textId="77777777" w:rsidR="00BC2E67" w:rsidRPr="00667139" w:rsidRDefault="00BC2E67" w:rsidP="00BC2E67">
            <w:pPr>
              <w:jc w:val="center"/>
              <w:rPr>
                <w:rFonts w:ascii="CAIXA Std Book" w:hAnsi="CAIXA Std Book"/>
                <w:b/>
                <w:color w:val="005CA9"/>
                <w:sz w:val="18"/>
                <w:szCs w:val="18"/>
              </w:rPr>
            </w:pPr>
            <w:bookmarkStart w:id="134" w:name="RANGE!B3"/>
            <w:bookmarkStart w:id="135" w:name="_Hlk65763081"/>
            <w:r w:rsidRPr="00667139">
              <w:rPr>
                <w:rFonts w:ascii="CAIXA Std Book" w:hAnsi="CAIXA Std Book"/>
                <w:b/>
                <w:color w:val="005CA9"/>
                <w:sz w:val="18"/>
                <w:szCs w:val="18"/>
              </w:rPr>
              <w:t>Descrição</w:t>
            </w:r>
            <w:bookmarkEnd w:id="134"/>
          </w:p>
        </w:tc>
        <w:tc>
          <w:tcPr>
            <w:tcW w:w="920" w:type="pct"/>
            <w:tcBorders>
              <w:top w:val="single" w:sz="4" w:space="0" w:color="F39200"/>
              <w:left w:val="nil"/>
              <w:bottom w:val="single" w:sz="4" w:space="0" w:color="F39200"/>
              <w:right w:val="nil"/>
            </w:tcBorders>
            <w:shd w:val="clear" w:color="auto" w:fill="auto"/>
            <w:noWrap/>
            <w:vAlign w:val="center"/>
          </w:tcPr>
          <w:p w14:paraId="190525BE" w14:textId="0BC0EA29" w:rsidR="00BC2E67" w:rsidRPr="00667139" w:rsidRDefault="0016262E" w:rsidP="00BC2E67">
            <w:pPr>
              <w:jc w:val="center"/>
              <w:rPr>
                <w:rFonts w:ascii="CAIXA Std Book" w:hAnsi="CAIXA Std Book"/>
                <w:b/>
                <w:color w:val="005CA9"/>
                <w:sz w:val="18"/>
                <w:szCs w:val="18"/>
              </w:rPr>
            </w:pPr>
            <w:r w:rsidRPr="00667139">
              <w:rPr>
                <w:rFonts w:ascii="CAIXA Std Book" w:hAnsi="CAIXA Std Book"/>
                <w:b/>
                <w:color w:val="005CA9"/>
                <w:sz w:val="18"/>
                <w:szCs w:val="18"/>
              </w:rPr>
              <w:t>31/03/2024</w:t>
            </w:r>
          </w:p>
        </w:tc>
        <w:tc>
          <w:tcPr>
            <w:tcW w:w="920" w:type="pct"/>
            <w:tcBorders>
              <w:top w:val="single" w:sz="4" w:space="0" w:color="F39200"/>
              <w:left w:val="nil"/>
              <w:bottom w:val="single" w:sz="4" w:space="0" w:color="F39200"/>
              <w:right w:val="nil"/>
            </w:tcBorders>
            <w:vAlign w:val="center"/>
          </w:tcPr>
          <w:p w14:paraId="04A9B0F9" w14:textId="234058CE" w:rsidR="0016262E" w:rsidRPr="00667139" w:rsidRDefault="0016262E" w:rsidP="0016262E">
            <w:pPr>
              <w:jc w:val="center"/>
              <w:rPr>
                <w:rFonts w:ascii="CAIXA Std Book" w:hAnsi="CAIXA Std Book"/>
                <w:b/>
                <w:color w:val="005CA9"/>
                <w:sz w:val="18"/>
                <w:szCs w:val="18"/>
              </w:rPr>
            </w:pPr>
            <w:r w:rsidRPr="00667139">
              <w:rPr>
                <w:rFonts w:ascii="CAIXA Std Book" w:hAnsi="CAIXA Std Book"/>
                <w:b/>
                <w:color w:val="005CA9"/>
                <w:sz w:val="18"/>
                <w:szCs w:val="18"/>
              </w:rPr>
              <w:t>31/12/2023</w:t>
            </w:r>
          </w:p>
        </w:tc>
      </w:tr>
      <w:tr w:rsidR="007C653A" w:rsidRPr="00667139" w14:paraId="2BA7B60F"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3B6CB1D7"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Patrimônio de Referência – PR</w:t>
            </w:r>
          </w:p>
        </w:tc>
        <w:tc>
          <w:tcPr>
            <w:tcW w:w="920" w:type="pct"/>
            <w:tcBorders>
              <w:top w:val="single" w:sz="4" w:space="0" w:color="F39200"/>
              <w:left w:val="nil"/>
              <w:bottom w:val="single" w:sz="4" w:space="0" w:color="F39200"/>
              <w:right w:val="nil"/>
            </w:tcBorders>
            <w:shd w:val="clear" w:color="auto" w:fill="auto"/>
            <w:noWrap/>
            <w:vAlign w:val="center"/>
          </w:tcPr>
          <w:p w14:paraId="53EF665D" w14:textId="18E511F1"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128.797.357</w:t>
            </w:r>
          </w:p>
        </w:tc>
        <w:tc>
          <w:tcPr>
            <w:tcW w:w="920" w:type="pct"/>
            <w:tcBorders>
              <w:top w:val="nil"/>
              <w:left w:val="nil"/>
              <w:bottom w:val="single" w:sz="4" w:space="0" w:color="F39200"/>
              <w:right w:val="nil"/>
            </w:tcBorders>
            <w:vAlign w:val="center"/>
          </w:tcPr>
          <w:p w14:paraId="5073D3F3" w14:textId="7A8ADCB0"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126.431.245</w:t>
            </w:r>
          </w:p>
        </w:tc>
      </w:tr>
      <w:tr w:rsidR="007C653A" w:rsidRPr="00667139" w14:paraId="20183D2C" w14:textId="77777777" w:rsidTr="00434491">
        <w:trPr>
          <w:trHeight w:val="283"/>
        </w:trPr>
        <w:tc>
          <w:tcPr>
            <w:tcW w:w="3160" w:type="pct"/>
            <w:tcBorders>
              <w:top w:val="nil"/>
              <w:left w:val="nil"/>
              <w:bottom w:val="nil"/>
              <w:right w:val="nil"/>
            </w:tcBorders>
            <w:shd w:val="clear" w:color="auto" w:fill="auto"/>
            <w:noWrap/>
            <w:vAlign w:val="center"/>
            <w:hideMark/>
          </w:tcPr>
          <w:p w14:paraId="5C002A66"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 xml:space="preserve"> Nível I </w:t>
            </w:r>
          </w:p>
        </w:tc>
        <w:tc>
          <w:tcPr>
            <w:tcW w:w="920" w:type="pct"/>
            <w:tcBorders>
              <w:top w:val="nil"/>
              <w:left w:val="nil"/>
              <w:bottom w:val="nil"/>
              <w:right w:val="nil"/>
            </w:tcBorders>
            <w:shd w:val="clear" w:color="auto" w:fill="auto"/>
            <w:noWrap/>
            <w:vAlign w:val="center"/>
          </w:tcPr>
          <w:p w14:paraId="0D6779CD" w14:textId="26EE01A0"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112.623.781</w:t>
            </w:r>
          </w:p>
        </w:tc>
        <w:tc>
          <w:tcPr>
            <w:tcW w:w="920" w:type="pct"/>
            <w:tcBorders>
              <w:top w:val="nil"/>
              <w:left w:val="nil"/>
              <w:bottom w:val="nil"/>
              <w:right w:val="nil"/>
            </w:tcBorders>
            <w:vAlign w:val="center"/>
          </w:tcPr>
          <w:p w14:paraId="22E77BED" w14:textId="30944402"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107.020.333</w:t>
            </w:r>
          </w:p>
        </w:tc>
      </w:tr>
      <w:tr w:rsidR="007C653A" w:rsidRPr="00667139" w14:paraId="077C5DC8" w14:textId="77777777" w:rsidTr="00434491">
        <w:trPr>
          <w:trHeight w:val="283"/>
        </w:trPr>
        <w:tc>
          <w:tcPr>
            <w:tcW w:w="3160" w:type="pct"/>
            <w:tcBorders>
              <w:top w:val="nil"/>
              <w:left w:val="nil"/>
              <w:bottom w:val="nil"/>
              <w:right w:val="nil"/>
            </w:tcBorders>
            <w:shd w:val="clear" w:color="auto" w:fill="auto"/>
            <w:noWrap/>
            <w:vAlign w:val="center"/>
            <w:hideMark/>
          </w:tcPr>
          <w:p w14:paraId="5CEF84A5"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 xml:space="preserve"> Capital Principal – CP </w:t>
            </w:r>
          </w:p>
        </w:tc>
        <w:tc>
          <w:tcPr>
            <w:tcW w:w="920" w:type="pct"/>
            <w:tcBorders>
              <w:top w:val="nil"/>
              <w:left w:val="nil"/>
              <w:bottom w:val="nil"/>
              <w:right w:val="nil"/>
            </w:tcBorders>
            <w:shd w:val="clear" w:color="auto" w:fill="auto"/>
            <w:noWrap/>
            <w:vAlign w:val="center"/>
          </w:tcPr>
          <w:p w14:paraId="6BC0889A" w14:textId="13C11E03"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110.910.540</w:t>
            </w:r>
          </w:p>
        </w:tc>
        <w:tc>
          <w:tcPr>
            <w:tcW w:w="920" w:type="pct"/>
            <w:tcBorders>
              <w:top w:val="nil"/>
              <w:left w:val="nil"/>
              <w:bottom w:val="nil"/>
              <w:right w:val="nil"/>
            </w:tcBorders>
            <w:vAlign w:val="center"/>
          </w:tcPr>
          <w:p w14:paraId="1FF0C1E5" w14:textId="39BD57C1"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105.307.092</w:t>
            </w:r>
          </w:p>
        </w:tc>
      </w:tr>
      <w:tr w:rsidR="007C653A" w:rsidRPr="00667139" w14:paraId="5B5FE3D8" w14:textId="77777777" w:rsidTr="00434491">
        <w:trPr>
          <w:trHeight w:val="283"/>
        </w:trPr>
        <w:tc>
          <w:tcPr>
            <w:tcW w:w="3160" w:type="pct"/>
            <w:tcBorders>
              <w:top w:val="nil"/>
              <w:left w:val="nil"/>
              <w:bottom w:val="nil"/>
              <w:right w:val="nil"/>
            </w:tcBorders>
            <w:shd w:val="clear" w:color="auto" w:fill="auto"/>
            <w:noWrap/>
            <w:vAlign w:val="center"/>
            <w:hideMark/>
          </w:tcPr>
          <w:p w14:paraId="4926749B" w14:textId="269562CA" w:rsidR="007C653A" w:rsidRPr="00667139" w:rsidRDefault="007C653A" w:rsidP="007C653A">
            <w:pPr>
              <w:ind w:firstLineChars="100" w:firstLine="180"/>
              <w:rPr>
                <w:rFonts w:ascii="CAIXA Std Book" w:hAnsi="CAIXA Std Book"/>
                <w:color w:val="005CA9"/>
                <w:sz w:val="18"/>
                <w:szCs w:val="18"/>
              </w:rPr>
            </w:pPr>
            <w:r w:rsidRPr="00667139">
              <w:rPr>
                <w:rFonts w:ascii="CAIXA Std Book" w:hAnsi="CAIXA Std Book"/>
                <w:color w:val="005CA9"/>
                <w:sz w:val="18"/>
                <w:szCs w:val="18"/>
              </w:rPr>
              <w:t>Patrimônio líquido prudencial (1)</w:t>
            </w:r>
          </w:p>
        </w:tc>
        <w:tc>
          <w:tcPr>
            <w:tcW w:w="920" w:type="pct"/>
            <w:tcBorders>
              <w:top w:val="nil"/>
              <w:left w:val="nil"/>
              <w:bottom w:val="nil"/>
              <w:right w:val="nil"/>
            </w:tcBorders>
            <w:shd w:val="clear" w:color="auto" w:fill="auto"/>
            <w:noWrap/>
            <w:vAlign w:val="center"/>
          </w:tcPr>
          <w:p w14:paraId="63544BED" w14:textId="72A9061E" w:rsidR="007C653A" w:rsidRPr="00667139" w:rsidRDefault="007C653A" w:rsidP="007C653A">
            <w:pPr>
              <w:jc w:val="right"/>
              <w:rPr>
                <w:rFonts w:ascii="CAIXA Std Book" w:hAnsi="CAIXA Std Book"/>
                <w:color w:val="005CA9"/>
                <w:sz w:val="18"/>
                <w:szCs w:val="18"/>
              </w:rPr>
            </w:pPr>
            <w:r w:rsidRPr="007C653A">
              <w:rPr>
                <w:rFonts w:ascii="CAIXA Std Book" w:hAnsi="CAIXA Std Book" w:cs="Arial"/>
                <w:color w:val="005CA9"/>
                <w:sz w:val="18"/>
                <w:szCs w:val="18"/>
              </w:rPr>
              <w:t>130.151.177</w:t>
            </w:r>
          </w:p>
        </w:tc>
        <w:tc>
          <w:tcPr>
            <w:tcW w:w="920" w:type="pct"/>
            <w:tcBorders>
              <w:top w:val="nil"/>
              <w:left w:val="nil"/>
              <w:bottom w:val="nil"/>
              <w:right w:val="nil"/>
            </w:tcBorders>
            <w:vAlign w:val="center"/>
          </w:tcPr>
          <w:p w14:paraId="3D129F8B" w14:textId="31AEC2C6" w:rsidR="007C653A" w:rsidRPr="00667139" w:rsidRDefault="007C653A" w:rsidP="007C653A">
            <w:pPr>
              <w:jc w:val="right"/>
              <w:rPr>
                <w:rFonts w:ascii="CAIXA Std Book" w:hAnsi="CAIXA Std Book" w:cs="Arial"/>
                <w:color w:val="005CA9"/>
                <w:sz w:val="18"/>
                <w:szCs w:val="18"/>
              </w:rPr>
            </w:pPr>
            <w:r w:rsidRPr="00667139">
              <w:rPr>
                <w:rFonts w:ascii="CAIXA Std Book" w:hAnsi="CAIXA Std Book" w:cs="Arial"/>
                <w:color w:val="005CA9"/>
                <w:sz w:val="18"/>
                <w:szCs w:val="18"/>
              </w:rPr>
              <w:t>126.458.588</w:t>
            </w:r>
          </w:p>
        </w:tc>
      </w:tr>
      <w:tr w:rsidR="007C653A" w:rsidRPr="00667139" w14:paraId="2DCF8CBC" w14:textId="77777777" w:rsidTr="00434491">
        <w:trPr>
          <w:trHeight w:val="283"/>
        </w:trPr>
        <w:tc>
          <w:tcPr>
            <w:tcW w:w="3160" w:type="pct"/>
            <w:tcBorders>
              <w:top w:val="nil"/>
              <w:left w:val="nil"/>
              <w:bottom w:val="nil"/>
              <w:right w:val="nil"/>
            </w:tcBorders>
            <w:shd w:val="clear" w:color="auto" w:fill="auto"/>
            <w:noWrap/>
            <w:vAlign w:val="center"/>
            <w:hideMark/>
          </w:tcPr>
          <w:p w14:paraId="08B4B9E0" w14:textId="11F23D69" w:rsidR="007C653A" w:rsidRPr="00667139" w:rsidRDefault="007C653A" w:rsidP="007C653A">
            <w:pPr>
              <w:ind w:firstLineChars="100" w:firstLine="180"/>
              <w:rPr>
                <w:rFonts w:ascii="CAIXA Std Book" w:hAnsi="CAIXA Std Book"/>
                <w:color w:val="005CA9"/>
                <w:sz w:val="18"/>
                <w:szCs w:val="18"/>
              </w:rPr>
            </w:pPr>
            <w:r w:rsidRPr="00667139">
              <w:rPr>
                <w:rFonts w:ascii="CAIXA Std Book" w:hAnsi="CAIXA Std Book"/>
                <w:color w:val="005CA9"/>
                <w:sz w:val="18"/>
                <w:szCs w:val="18"/>
              </w:rPr>
              <w:t>Ajustes prudenciais</w:t>
            </w:r>
          </w:p>
        </w:tc>
        <w:tc>
          <w:tcPr>
            <w:tcW w:w="920" w:type="pct"/>
            <w:tcBorders>
              <w:top w:val="nil"/>
              <w:left w:val="nil"/>
              <w:bottom w:val="nil"/>
              <w:right w:val="nil"/>
            </w:tcBorders>
            <w:shd w:val="clear" w:color="auto" w:fill="auto"/>
            <w:noWrap/>
            <w:vAlign w:val="center"/>
          </w:tcPr>
          <w:p w14:paraId="184B8924" w14:textId="595CB378" w:rsidR="007C653A" w:rsidRPr="00667139" w:rsidRDefault="007C653A" w:rsidP="007C653A">
            <w:pPr>
              <w:jc w:val="right"/>
              <w:rPr>
                <w:rFonts w:ascii="CAIXA Std Book" w:hAnsi="CAIXA Std Book"/>
                <w:color w:val="005CA9"/>
                <w:sz w:val="18"/>
                <w:szCs w:val="18"/>
              </w:rPr>
            </w:pPr>
            <w:r w:rsidRPr="007C653A">
              <w:rPr>
                <w:rFonts w:ascii="CAIXA Std Book" w:hAnsi="CAIXA Std Book" w:cs="Arial"/>
                <w:color w:val="005CA9"/>
                <w:sz w:val="18"/>
                <w:szCs w:val="18"/>
              </w:rPr>
              <w:t>(19.240.637)</w:t>
            </w:r>
          </w:p>
        </w:tc>
        <w:tc>
          <w:tcPr>
            <w:tcW w:w="920" w:type="pct"/>
            <w:tcBorders>
              <w:top w:val="nil"/>
              <w:left w:val="nil"/>
              <w:bottom w:val="nil"/>
              <w:right w:val="nil"/>
            </w:tcBorders>
            <w:vAlign w:val="center"/>
          </w:tcPr>
          <w:p w14:paraId="127AB8FE" w14:textId="1872FDE6" w:rsidR="007C653A" w:rsidRPr="00667139" w:rsidRDefault="007C653A" w:rsidP="007C653A">
            <w:pPr>
              <w:jc w:val="right"/>
              <w:rPr>
                <w:rFonts w:ascii="CAIXA Std Book" w:hAnsi="CAIXA Std Book" w:cs="Arial"/>
                <w:color w:val="005CA9"/>
                <w:sz w:val="18"/>
                <w:szCs w:val="18"/>
              </w:rPr>
            </w:pPr>
            <w:r w:rsidRPr="00667139">
              <w:rPr>
                <w:rFonts w:ascii="CAIXA Std Book" w:hAnsi="CAIXA Std Book" w:cs="Arial"/>
                <w:color w:val="005CA9"/>
                <w:sz w:val="18"/>
                <w:szCs w:val="18"/>
              </w:rPr>
              <w:t>(21.151.496)</w:t>
            </w:r>
          </w:p>
        </w:tc>
      </w:tr>
      <w:tr w:rsidR="007C653A" w:rsidRPr="00667139" w14:paraId="78FE2E0A" w14:textId="77777777" w:rsidTr="00434491">
        <w:trPr>
          <w:trHeight w:val="283"/>
        </w:trPr>
        <w:tc>
          <w:tcPr>
            <w:tcW w:w="3160" w:type="pct"/>
            <w:tcBorders>
              <w:top w:val="nil"/>
              <w:left w:val="nil"/>
              <w:bottom w:val="nil"/>
              <w:right w:val="nil"/>
            </w:tcBorders>
            <w:shd w:val="clear" w:color="auto" w:fill="auto"/>
            <w:noWrap/>
            <w:vAlign w:val="center"/>
            <w:hideMark/>
          </w:tcPr>
          <w:p w14:paraId="0E56D63A"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 xml:space="preserve"> Capital Complementar – CC </w:t>
            </w:r>
          </w:p>
        </w:tc>
        <w:tc>
          <w:tcPr>
            <w:tcW w:w="920" w:type="pct"/>
            <w:tcBorders>
              <w:top w:val="nil"/>
              <w:left w:val="nil"/>
              <w:bottom w:val="nil"/>
              <w:right w:val="nil"/>
            </w:tcBorders>
            <w:shd w:val="clear" w:color="auto" w:fill="auto"/>
            <w:noWrap/>
            <w:vAlign w:val="center"/>
          </w:tcPr>
          <w:p w14:paraId="34651EF3" w14:textId="545DE520"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1.713.241</w:t>
            </w:r>
          </w:p>
        </w:tc>
        <w:tc>
          <w:tcPr>
            <w:tcW w:w="920" w:type="pct"/>
            <w:tcBorders>
              <w:top w:val="nil"/>
              <w:left w:val="nil"/>
              <w:bottom w:val="nil"/>
              <w:right w:val="nil"/>
            </w:tcBorders>
            <w:vAlign w:val="center"/>
          </w:tcPr>
          <w:p w14:paraId="2639AAED" w14:textId="570E7848" w:rsidR="007C653A" w:rsidRPr="00667139" w:rsidRDefault="007C653A" w:rsidP="007C653A">
            <w:pPr>
              <w:jc w:val="right"/>
              <w:rPr>
                <w:rFonts w:ascii="CAIXA Std Book" w:hAnsi="CAIXA Std Book" w:cs="Calibri"/>
                <w:b/>
                <w:bCs/>
                <w:color w:val="005CA9"/>
                <w:sz w:val="18"/>
                <w:szCs w:val="18"/>
              </w:rPr>
            </w:pPr>
            <w:r w:rsidRPr="00667139">
              <w:rPr>
                <w:rFonts w:ascii="CAIXA Std Book" w:hAnsi="CAIXA Std Book" w:cs="Calibri"/>
                <w:b/>
                <w:bCs/>
                <w:color w:val="005CA9"/>
                <w:sz w:val="18"/>
                <w:szCs w:val="18"/>
              </w:rPr>
              <w:t>1.713.241</w:t>
            </w:r>
          </w:p>
        </w:tc>
      </w:tr>
      <w:tr w:rsidR="007C653A" w:rsidRPr="00667139" w14:paraId="649D2080" w14:textId="77777777" w:rsidTr="00434491">
        <w:trPr>
          <w:trHeight w:val="283"/>
        </w:trPr>
        <w:tc>
          <w:tcPr>
            <w:tcW w:w="3160" w:type="pct"/>
            <w:tcBorders>
              <w:top w:val="nil"/>
              <w:left w:val="nil"/>
              <w:bottom w:val="nil"/>
              <w:right w:val="nil"/>
            </w:tcBorders>
            <w:shd w:val="clear" w:color="auto" w:fill="auto"/>
            <w:noWrap/>
            <w:vAlign w:val="center"/>
            <w:hideMark/>
          </w:tcPr>
          <w:p w14:paraId="4A393E9A"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 xml:space="preserve"> Nível II </w:t>
            </w:r>
          </w:p>
        </w:tc>
        <w:tc>
          <w:tcPr>
            <w:tcW w:w="920" w:type="pct"/>
            <w:tcBorders>
              <w:top w:val="nil"/>
              <w:left w:val="nil"/>
              <w:bottom w:val="nil"/>
              <w:right w:val="nil"/>
            </w:tcBorders>
            <w:shd w:val="clear" w:color="auto" w:fill="auto"/>
            <w:noWrap/>
            <w:vAlign w:val="center"/>
          </w:tcPr>
          <w:p w14:paraId="11237549" w14:textId="312BD0FF"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16.173.576</w:t>
            </w:r>
          </w:p>
        </w:tc>
        <w:tc>
          <w:tcPr>
            <w:tcW w:w="920" w:type="pct"/>
            <w:tcBorders>
              <w:top w:val="nil"/>
              <w:left w:val="nil"/>
              <w:bottom w:val="nil"/>
              <w:right w:val="nil"/>
            </w:tcBorders>
            <w:vAlign w:val="center"/>
          </w:tcPr>
          <w:p w14:paraId="4F96A1AF" w14:textId="088A594F"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19.410.912</w:t>
            </w:r>
          </w:p>
        </w:tc>
      </w:tr>
      <w:tr w:rsidR="007C653A" w:rsidRPr="00667139" w14:paraId="176B89D6" w14:textId="77777777" w:rsidTr="00434491">
        <w:trPr>
          <w:trHeight w:val="283"/>
        </w:trPr>
        <w:tc>
          <w:tcPr>
            <w:tcW w:w="3160" w:type="pct"/>
            <w:tcBorders>
              <w:top w:val="single" w:sz="4" w:space="0" w:color="F39200"/>
              <w:left w:val="nil"/>
              <w:bottom w:val="single" w:sz="4" w:space="0" w:color="F39200"/>
              <w:right w:val="nil"/>
            </w:tcBorders>
            <w:shd w:val="clear" w:color="auto" w:fill="auto"/>
            <w:noWrap/>
            <w:vAlign w:val="center"/>
            <w:hideMark/>
          </w:tcPr>
          <w:p w14:paraId="7AF4CA94"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Ativos ponderados pelo risco – RWA</w:t>
            </w:r>
          </w:p>
        </w:tc>
        <w:tc>
          <w:tcPr>
            <w:tcW w:w="920" w:type="pct"/>
            <w:tcBorders>
              <w:top w:val="single" w:sz="4" w:space="0" w:color="F39200"/>
              <w:left w:val="nil"/>
              <w:bottom w:val="single" w:sz="4" w:space="0" w:color="F39200"/>
              <w:right w:val="nil"/>
            </w:tcBorders>
            <w:shd w:val="clear" w:color="auto" w:fill="auto"/>
            <w:noWrap/>
            <w:vAlign w:val="center"/>
          </w:tcPr>
          <w:p w14:paraId="1C0C882E" w14:textId="78FD8E57"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764.572.906</w:t>
            </w:r>
          </w:p>
        </w:tc>
        <w:tc>
          <w:tcPr>
            <w:tcW w:w="920" w:type="pct"/>
            <w:tcBorders>
              <w:top w:val="single" w:sz="4" w:space="0" w:color="F39200"/>
              <w:left w:val="nil"/>
              <w:bottom w:val="single" w:sz="4" w:space="0" w:color="F39200"/>
              <w:right w:val="nil"/>
            </w:tcBorders>
            <w:vAlign w:val="center"/>
          </w:tcPr>
          <w:p w14:paraId="465EA902" w14:textId="57304E9F"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757.921.788</w:t>
            </w:r>
          </w:p>
        </w:tc>
      </w:tr>
      <w:tr w:rsidR="007C653A" w:rsidRPr="00667139" w14:paraId="51D6CA4E" w14:textId="77777777" w:rsidTr="00434491">
        <w:trPr>
          <w:trHeight w:val="283"/>
        </w:trPr>
        <w:tc>
          <w:tcPr>
            <w:tcW w:w="3160" w:type="pct"/>
            <w:tcBorders>
              <w:top w:val="nil"/>
              <w:left w:val="nil"/>
              <w:bottom w:val="nil"/>
              <w:right w:val="nil"/>
            </w:tcBorders>
            <w:shd w:val="clear" w:color="auto" w:fill="auto"/>
            <w:noWrap/>
            <w:vAlign w:val="center"/>
            <w:hideMark/>
          </w:tcPr>
          <w:p w14:paraId="1393A040" w14:textId="77777777" w:rsidR="007C653A" w:rsidRPr="00667139" w:rsidRDefault="007C653A" w:rsidP="007C653A">
            <w:pPr>
              <w:rPr>
                <w:rFonts w:ascii="CAIXA Std Book" w:hAnsi="CAIXA Std Book"/>
                <w:color w:val="005CA9"/>
                <w:sz w:val="18"/>
                <w:szCs w:val="18"/>
              </w:rPr>
            </w:pPr>
            <w:r w:rsidRPr="00667139">
              <w:rPr>
                <w:rFonts w:ascii="CAIXA Std Book" w:hAnsi="CAIXA Std Book"/>
                <w:color w:val="005CA9"/>
                <w:sz w:val="18"/>
                <w:szCs w:val="18"/>
              </w:rPr>
              <w:t xml:space="preserve"> Risco de crédito – RWACPAD </w:t>
            </w:r>
          </w:p>
        </w:tc>
        <w:tc>
          <w:tcPr>
            <w:tcW w:w="920" w:type="pct"/>
            <w:tcBorders>
              <w:top w:val="nil"/>
              <w:left w:val="nil"/>
              <w:bottom w:val="nil"/>
              <w:right w:val="nil"/>
            </w:tcBorders>
            <w:shd w:val="clear" w:color="auto" w:fill="auto"/>
            <w:noWrap/>
            <w:vAlign w:val="center"/>
          </w:tcPr>
          <w:p w14:paraId="217771FF" w14:textId="324A994A" w:rsidR="007C653A" w:rsidRPr="00667139" w:rsidRDefault="007C653A" w:rsidP="007C653A">
            <w:pPr>
              <w:jc w:val="right"/>
              <w:rPr>
                <w:rFonts w:ascii="CAIXA Std Book" w:hAnsi="CAIXA Std Book"/>
                <w:color w:val="005CA9"/>
                <w:sz w:val="18"/>
                <w:szCs w:val="18"/>
              </w:rPr>
            </w:pPr>
            <w:r w:rsidRPr="007C653A">
              <w:rPr>
                <w:rFonts w:ascii="CAIXA Std Book" w:hAnsi="CAIXA Std Book" w:cs="Arial"/>
                <w:color w:val="005CA9"/>
                <w:sz w:val="18"/>
                <w:szCs w:val="18"/>
              </w:rPr>
              <w:t>670.501.456</w:t>
            </w:r>
          </w:p>
        </w:tc>
        <w:tc>
          <w:tcPr>
            <w:tcW w:w="920" w:type="pct"/>
            <w:tcBorders>
              <w:top w:val="nil"/>
              <w:left w:val="nil"/>
              <w:bottom w:val="nil"/>
              <w:right w:val="nil"/>
            </w:tcBorders>
            <w:vAlign w:val="center"/>
          </w:tcPr>
          <w:p w14:paraId="324D32DF" w14:textId="3B966660" w:rsidR="007C653A" w:rsidRPr="00667139" w:rsidRDefault="007C653A" w:rsidP="007C653A">
            <w:pPr>
              <w:jc w:val="right"/>
              <w:rPr>
                <w:rFonts w:ascii="CAIXA Std Book" w:hAnsi="CAIXA Std Book" w:cs="Arial"/>
                <w:color w:val="005CA9"/>
                <w:sz w:val="18"/>
                <w:szCs w:val="18"/>
              </w:rPr>
            </w:pPr>
            <w:r w:rsidRPr="00667139">
              <w:rPr>
                <w:rFonts w:ascii="CAIXA Std Book" w:hAnsi="CAIXA Std Book" w:cs="Arial"/>
                <w:color w:val="005CA9"/>
                <w:sz w:val="18"/>
                <w:szCs w:val="18"/>
              </w:rPr>
              <w:t>668.681.422</w:t>
            </w:r>
          </w:p>
        </w:tc>
      </w:tr>
      <w:tr w:rsidR="007C653A" w:rsidRPr="00667139" w14:paraId="4B4B03CC" w14:textId="77777777" w:rsidTr="00434491">
        <w:trPr>
          <w:trHeight w:val="283"/>
        </w:trPr>
        <w:tc>
          <w:tcPr>
            <w:tcW w:w="3160" w:type="pct"/>
            <w:tcBorders>
              <w:top w:val="nil"/>
              <w:left w:val="nil"/>
              <w:bottom w:val="nil"/>
              <w:right w:val="nil"/>
            </w:tcBorders>
            <w:shd w:val="clear" w:color="auto" w:fill="auto"/>
            <w:noWrap/>
            <w:vAlign w:val="center"/>
            <w:hideMark/>
          </w:tcPr>
          <w:p w14:paraId="381C050D" w14:textId="77777777" w:rsidR="007C653A" w:rsidRPr="00667139" w:rsidRDefault="007C653A" w:rsidP="007C653A">
            <w:pPr>
              <w:rPr>
                <w:rFonts w:ascii="CAIXA Std Book" w:hAnsi="CAIXA Std Book"/>
                <w:color w:val="005CA9"/>
                <w:sz w:val="18"/>
                <w:szCs w:val="18"/>
              </w:rPr>
            </w:pPr>
            <w:r w:rsidRPr="00667139">
              <w:rPr>
                <w:rFonts w:ascii="CAIXA Std Book" w:hAnsi="CAIXA Std Book"/>
                <w:color w:val="005CA9"/>
                <w:sz w:val="18"/>
                <w:szCs w:val="18"/>
              </w:rPr>
              <w:t xml:space="preserve"> Risco de mercado – RWAMPAD </w:t>
            </w:r>
          </w:p>
        </w:tc>
        <w:tc>
          <w:tcPr>
            <w:tcW w:w="920" w:type="pct"/>
            <w:tcBorders>
              <w:top w:val="nil"/>
              <w:left w:val="nil"/>
              <w:bottom w:val="nil"/>
              <w:right w:val="nil"/>
            </w:tcBorders>
            <w:shd w:val="clear" w:color="auto" w:fill="auto"/>
            <w:noWrap/>
            <w:vAlign w:val="center"/>
          </w:tcPr>
          <w:p w14:paraId="25FAA116" w14:textId="72E7851F" w:rsidR="007C653A" w:rsidRPr="00667139" w:rsidRDefault="007C653A" w:rsidP="007C653A">
            <w:pPr>
              <w:jc w:val="right"/>
              <w:rPr>
                <w:rFonts w:ascii="CAIXA Std Book" w:hAnsi="CAIXA Std Book"/>
                <w:color w:val="005CA9"/>
                <w:sz w:val="18"/>
                <w:szCs w:val="18"/>
              </w:rPr>
            </w:pPr>
            <w:r w:rsidRPr="007C653A">
              <w:rPr>
                <w:rFonts w:ascii="CAIXA Std Book" w:hAnsi="CAIXA Std Book" w:cs="Arial"/>
                <w:color w:val="005CA9"/>
                <w:sz w:val="18"/>
                <w:szCs w:val="18"/>
              </w:rPr>
              <w:t>14.586.713</w:t>
            </w:r>
          </w:p>
        </w:tc>
        <w:tc>
          <w:tcPr>
            <w:tcW w:w="920" w:type="pct"/>
            <w:tcBorders>
              <w:top w:val="nil"/>
              <w:left w:val="nil"/>
              <w:bottom w:val="nil"/>
              <w:right w:val="nil"/>
            </w:tcBorders>
            <w:vAlign w:val="center"/>
          </w:tcPr>
          <w:p w14:paraId="1A85E260" w14:textId="68904039" w:rsidR="007C653A" w:rsidRPr="00667139" w:rsidRDefault="007C653A" w:rsidP="007C653A">
            <w:pPr>
              <w:jc w:val="right"/>
              <w:rPr>
                <w:rFonts w:ascii="CAIXA Std Book" w:hAnsi="CAIXA Std Book" w:cs="Arial"/>
                <w:color w:val="005CA9"/>
                <w:sz w:val="18"/>
                <w:szCs w:val="18"/>
              </w:rPr>
            </w:pPr>
            <w:r w:rsidRPr="00667139">
              <w:rPr>
                <w:rFonts w:ascii="CAIXA Std Book" w:hAnsi="CAIXA Std Book" w:cs="Arial"/>
                <w:color w:val="005CA9"/>
                <w:sz w:val="18"/>
                <w:szCs w:val="18"/>
              </w:rPr>
              <w:t>13.748.115</w:t>
            </w:r>
          </w:p>
        </w:tc>
      </w:tr>
      <w:tr w:rsidR="007C653A" w:rsidRPr="00667139" w14:paraId="35F0B292" w14:textId="77777777" w:rsidTr="00434491">
        <w:trPr>
          <w:trHeight w:val="283"/>
        </w:trPr>
        <w:tc>
          <w:tcPr>
            <w:tcW w:w="3160" w:type="pct"/>
            <w:tcBorders>
              <w:top w:val="nil"/>
              <w:left w:val="nil"/>
              <w:bottom w:val="nil"/>
              <w:right w:val="nil"/>
            </w:tcBorders>
            <w:shd w:val="clear" w:color="auto" w:fill="auto"/>
            <w:noWrap/>
            <w:vAlign w:val="center"/>
            <w:hideMark/>
          </w:tcPr>
          <w:p w14:paraId="17DD88F2" w14:textId="77777777" w:rsidR="007C653A" w:rsidRPr="00667139" w:rsidRDefault="007C653A" w:rsidP="007C653A">
            <w:pPr>
              <w:rPr>
                <w:rFonts w:ascii="CAIXA Std Book" w:hAnsi="CAIXA Std Book"/>
                <w:color w:val="005CA9"/>
                <w:sz w:val="18"/>
                <w:szCs w:val="18"/>
              </w:rPr>
            </w:pPr>
            <w:r w:rsidRPr="00667139">
              <w:rPr>
                <w:rFonts w:ascii="CAIXA Std Book" w:hAnsi="CAIXA Std Book"/>
                <w:color w:val="005CA9"/>
                <w:sz w:val="18"/>
                <w:szCs w:val="18"/>
              </w:rPr>
              <w:t xml:space="preserve"> Risco operacional – RWAOPAD </w:t>
            </w:r>
          </w:p>
        </w:tc>
        <w:tc>
          <w:tcPr>
            <w:tcW w:w="920" w:type="pct"/>
            <w:tcBorders>
              <w:top w:val="nil"/>
              <w:left w:val="nil"/>
              <w:bottom w:val="nil"/>
              <w:right w:val="nil"/>
            </w:tcBorders>
            <w:shd w:val="clear" w:color="auto" w:fill="auto"/>
            <w:noWrap/>
            <w:vAlign w:val="center"/>
          </w:tcPr>
          <w:p w14:paraId="28DB6B9B" w14:textId="36EADCEA" w:rsidR="007C653A" w:rsidRPr="00667139" w:rsidRDefault="007C653A" w:rsidP="007C653A">
            <w:pPr>
              <w:jc w:val="right"/>
              <w:rPr>
                <w:rFonts w:ascii="CAIXA Std Book" w:hAnsi="CAIXA Std Book"/>
                <w:color w:val="005CA9"/>
                <w:sz w:val="18"/>
                <w:szCs w:val="18"/>
              </w:rPr>
            </w:pPr>
            <w:r w:rsidRPr="007C653A">
              <w:rPr>
                <w:rFonts w:ascii="CAIXA Std Book" w:hAnsi="CAIXA Std Book" w:cs="Arial"/>
                <w:color w:val="005CA9"/>
                <w:sz w:val="18"/>
                <w:szCs w:val="18"/>
              </w:rPr>
              <w:t>79.484.737</w:t>
            </w:r>
          </w:p>
        </w:tc>
        <w:tc>
          <w:tcPr>
            <w:tcW w:w="920" w:type="pct"/>
            <w:tcBorders>
              <w:top w:val="nil"/>
              <w:left w:val="nil"/>
              <w:bottom w:val="nil"/>
              <w:right w:val="nil"/>
            </w:tcBorders>
            <w:vAlign w:val="center"/>
          </w:tcPr>
          <w:p w14:paraId="0A0055C0" w14:textId="7ADEF6E3" w:rsidR="007C653A" w:rsidRPr="00667139" w:rsidRDefault="007C653A" w:rsidP="007C653A">
            <w:pPr>
              <w:jc w:val="right"/>
              <w:rPr>
                <w:rFonts w:ascii="CAIXA Std Book" w:hAnsi="CAIXA Std Book" w:cs="Arial"/>
                <w:color w:val="005CA9"/>
                <w:sz w:val="18"/>
                <w:szCs w:val="18"/>
              </w:rPr>
            </w:pPr>
            <w:r w:rsidRPr="00667139">
              <w:rPr>
                <w:rFonts w:ascii="CAIXA Std Book" w:hAnsi="CAIXA Std Book" w:cs="Arial"/>
                <w:color w:val="005CA9"/>
                <w:sz w:val="18"/>
                <w:szCs w:val="18"/>
              </w:rPr>
              <w:t>75.492.251</w:t>
            </w:r>
          </w:p>
        </w:tc>
      </w:tr>
      <w:tr w:rsidR="007C653A" w:rsidRPr="00667139" w14:paraId="03F0B202" w14:textId="77777777" w:rsidTr="00434491">
        <w:trPr>
          <w:trHeight w:val="283"/>
        </w:trPr>
        <w:tc>
          <w:tcPr>
            <w:tcW w:w="3160" w:type="pct"/>
            <w:tcBorders>
              <w:top w:val="single" w:sz="4" w:space="0" w:color="F39200"/>
              <w:left w:val="nil"/>
              <w:bottom w:val="single" w:sz="4" w:space="0" w:color="F39200"/>
              <w:right w:val="nil"/>
            </w:tcBorders>
            <w:shd w:val="clear" w:color="auto" w:fill="auto"/>
            <w:noWrap/>
            <w:vAlign w:val="center"/>
            <w:hideMark/>
          </w:tcPr>
          <w:p w14:paraId="6DFF499A"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Adicional de Capital Principal - ACP</w:t>
            </w:r>
          </w:p>
        </w:tc>
        <w:tc>
          <w:tcPr>
            <w:tcW w:w="920" w:type="pct"/>
            <w:tcBorders>
              <w:top w:val="single" w:sz="4" w:space="0" w:color="F39200"/>
              <w:left w:val="nil"/>
              <w:bottom w:val="single" w:sz="4" w:space="0" w:color="F39200"/>
              <w:right w:val="nil"/>
            </w:tcBorders>
            <w:shd w:val="clear" w:color="auto" w:fill="auto"/>
            <w:noWrap/>
            <w:vAlign w:val="center"/>
          </w:tcPr>
          <w:p w14:paraId="75B78C7B" w14:textId="6B29D126"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26.760.052</w:t>
            </w:r>
          </w:p>
        </w:tc>
        <w:tc>
          <w:tcPr>
            <w:tcW w:w="920" w:type="pct"/>
            <w:tcBorders>
              <w:top w:val="single" w:sz="4" w:space="0" w:color="F39200"/>
              <w:left w:val="nil"/>
              <w:bottom w:val="single" w:sz="4" w:space="0" w:color="F39200"/>
              <w:right w:val="nil"/>
            </w:tcBorders>
            <w:vAlign w:val="center"/>
          </w:tcPr>
          <w:p w14:paraId="69CE1056" w14:textId="110ABF3E"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26.527.263</w:t>
            </w:r>
          </w:p>
        </w:tc>
      </w:tr>
      <w:tr w:rsidR="007C653A" w:rsidRPr="00667139" w14:paraId="06A8600A" w14:textId="77777777" w:rsidTr="00434491">
        <w:trPr>
          <w:trHeight w:val="283"/>
        </w:trPr>
        <w:tc>
          <w:tcPr>
            <w:tcW w:w="3160" w:type="pct"/>
            <w:tcBorders>
              <w:top w:val="single" w:sz="4" w:space="0" w:color="F39200"/>
              <w:left w:val="nil"/>
              <w:bottom w:val="single" w:sz="4" w:space="0" w:color="F39200"/>
              <w:right w:val="nil"/>
            </w:tcBorders>
            <w:shd w:val="clear" w:color="auto" w:fill="auto"/>
            <w:noWrap/>
            <w:vAlign w:val="center"/>
          </w:tcPr>
          <w:p w14:paraId="43E9AABA" w14:textId="7BA317AF" w:rsidR="007C653A" w:rsidRPr="00667139" w:rsidRDefault="007C653A" w:rsidP="007C653A">
            <w:pPr>
              <w:rPr>
                <w:rFonts w:ascii="CAIXA Std Book" w:hAnsi="CAIXA Std Book"/>
                <w:b/>
                <w:color w:val="005CA9"/>
                <w:sz w:val="18"/>
                <w:szCs w:val="18"/>
              </w:rPr>
            </w:pPr>
            <w:proofErr w:type="spellStart"/>
            <w:r w:rsidRPr="00667139">
              <w:rPr>
                <w:rFonts w:ascii="CAIXA Std Book" w:hAnsi="CAIXA Std Book"/>
                <w:b/>
                <w:color w:val="005CA9"/>
                <w:sz w:val="18"/>
                <w:szCs w:val="18"/>
              </w:rPr>
              <w:t>Patrim</w:t>
            </w:r>
            <w:proofErr w:type="spellEnd"/>
            <w:r w:rsidRPr="00667139">
              <w:rPr>
                <w:rFonts w:ascii="CAIXA Std Book" w:hAnsi="CAIXA Std Book"/>
                <w:b/>
                <w:color w:val="005CA9"/>
                <w:sz w:val="18"/>
                <w:szCs w:val="18"/>
              </w:rPr>
              <w:t>. de Referência Mínimo Requerido - PRMR (RWA*Fator F) + ACP</w:t>
            </w:r>
          </w:p>
        </w:tc>
        <w:tc>
          <w:tcPr>
            <w:tcW w:w="920" w:type="pct"/>
            <w:tcBorders>
              <w:top w:val="nil"/>
              <w:left w:val="nil"/>
              <w:bottom w:val="single" w:sz="4" w:space="0" w:color="F39200"/>
              <w:right w:val="nil"/>
            </w:tcBorders>
            <w:shd w:val="clear" w:color="auto" w:fill="auto"/>
            <w:vAlign w:val="center"/>
          </w:tcPr>
          <w:p w14:paraId="76477DA7" w14:textId="3E499E55"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87.925.884</w:t>
            </w:r>
          </w:p>
        </w:tc>
        <w:tc>
          <w:tcPr>
            <w:tcW w:w="920" w:type="pct"/>
            <w:tcBorders>
              <w:top w:val="nil"/>
              <w:left w:val="nil"/>
              <w:bottom w:val="single" w:sz="4" w:space="0" w:color="F39200"/>
              <w:right w:val="nil"/>
            </w:tcBorders>
            <w:vAlign w:val="center"/>
          </w:tcPr>
          <w:p w14:paraId="155484C7" w14:textId="08815F8B"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87.161.006</w:t>
            </w:r>
          </w:p>
        </w:tc>
      </w:tr>
      <w:tr w:rsidR="007C653A" w:rsidRPr="00667139" w14:paraId="030EEA23"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047912BD"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Risco de mercado – carteira de não negociação - RBAN</w:t>
            </w:r>
          </w:p>
        </w:tc>
        <w:tc>
          <w:tcPr>
            <w:tcW w:w="920" w:type="pct"/>
            <w:tcBorders>
              <w:top w:val="nil"/>
              <w:left w:val="nil"/>
              <w:bottom w:val="single" w:sz="4" w:space="0" w:color="F39200"/>
              <w:right w:val="nil"/>
            </w:tcBorders>
            <w:shd w:val="clear" w:color="auto" w:fill="auto"/>
            <w:noWrap/>
            <w:vAlign w:val="center"/>
          </w:tcPr>
          <w:p w14:paraId="33D08B7E" w14:textId="294C02B7"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5.142.086</w:t>
            </w:r>
          </w:p>
        </w:tc>
        <w:tc>
          <w:tcPr>
            <w:tcW w:w="920" w:type="pct"/>
            <w:tcBorders>
              <w:top w:val="nil"/>
              <w:left w:val="nil"/>
              <w:bottom w:val="single" w:sz="4" w:space="0" w:color="F39200"/>
              <w:right w:val="nil"/>
            </w:tcBorders>
            <w:vAlign w:val="center"/>
          </w:tcPr>
          <w:p w14:paraId="4367E961" w14:textId="048AC854"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2.400.587</w:t>
            </w:r>
          </w:p>
        </w:tc>
      </w:tr>
      <w:tr w:rsidR="007C653A" w:rsidRPr="00667139" w14:paraId="2AE87A63"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6E38F7B6"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Margem de capital (PR - PRMR - RBAN)</w:t>
            </w:r>
          </w:p>
        </w:tc>
        <w:tc>
          <w:tcPr>
            <w:tcW w:w="920" w:type="pct"/>
            <w:tcBorders>
              <w:top w:val="nil"/>
              <w:left w:val="nil"/>
              <w:bottom w:val="single" w:sz="4" w:space="0" w:color="F39200"/>
              <w:right w:val="nil"/>
            </w:tcBorders>
            <w:shd w:val="clear" w:color="auto" w:fill="auto"/>
            <w:noWrap/>
            <w:vAlign w:val="center"/>
          </w:tcPr>
          <w:p w14:paraId="1A83E766" w14:textId="6410E62B"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35.729.386</w:t>
            </w:r>
          </w:p>
        </w:tc>
        <w:tc>
          <w:tcPr>
            <w:tcW w:w="920" w:type="pct"/>
            <w:tcBorders>
              <w:top w:val="nil"/>
              <w:left w:val="nil"/>
              <w:bottom w:val="single" w:sz="4" w:space="0" w:color="F39200"/>
              <w:right w:val="nil"/>
            </w:tcBorders>
            <w:vAlign w:val="center"/>
          </w:tcPr>
          <w:p w14:paraId="015A66E9" w14:textId="7239560E" w:rsidR="007C653A" w:rsidRPr="00667139" w:rsidRDefault="007C653A" w:rsidP="007C653A">
            <w:pPr>
              <w:jc w:val="right"/>
              <w:rPr>
                <w:rFonts w:ascii="CAIXA Std Book" w:hAnsi="CAIXA Std Book" w:cs="Arial"/>
                <w:b/>
                <w:bCs/>
                <w:color w:val="005CA9"/>
                <w:sz w:val="18"/>
                <w:szCs w:val="18"/>
              </w:rPr>
            </w:pPr>
            <w:r w:rsidRPr="00667139">
              <w:rPr>
                <w:rFonts w:ascii="CAIXA Std Book" w:hAnsi="CAIXA Std Book" w:cs="Arial"/>
                <w:b/>
                <w:bCs/>
                <w:color w:val="005CA9"/>
                <w:sz w:val="18"/>
                <w:szCs w:val="18"/>
              </w:rPr>
              <w:t>36.869.652</w:t>
            </w:r>
          </w:p>
        </w:tc>
      </w:tr>
      <w:tr w:rsidR="007C653A" w:rsidRPr="00667139" w14:paraId="03FA5018"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33ABE87B"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Índice de capital principal (CP / RWA)</w:t>
            </w:r>
          </w:p>
        </w:tc>
        <w:tc>
          <w:tcPr>
            <w:tcW w:w="920" w:type="pct"/>
            <w:tcBorders>
              <w:top w:val="nil"/>
              <w:left w:val="nil"/>
              <w:bottom w:val="single" w:sz="4" w:space="0" w:color="F39200"/>
              <w:right w:val="nil"/>
            </w:tcBorders>
            <w:shd w:val="clear" w:color="auto" w:fill="auto"/>
            <w:noWrap/>
            <w:vAlign w:val="center"/>
          </w:tcPr>
          <w:p w14:paraId="65027938" w14:textId="775AE898"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14,51%</w:t>
            </w:r>
          </w:p>
        </w:tc>
        <w:tc>
          <w:tcPr>
            <w:tcW w:w="920" w:type="pct"/>
            <w:tcBorders>
              <w:top w:val="nil"/>
              <w:left w:val="nil"/>
              <w:bottom w:val="single" w:sz="4" w:space="0" w:color="F39200"/>
              <w:right w:val="nil"/>
            </w:tcBorders>
            <w:vAlign w:val="center"/>
          </w:tcPr>
          <w:p w14:paraId="79E95D84" w14:textId="7400B1E8"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13,89%</w:t>
            </w:r>
          </w:p>
        </w:tc>
      </w:tr>
      <w:tr w:rsidR="007C653A" w:rsidRPr="00667139" w14:paraId="75E8955E"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34DF4F28"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Índice de capital nível I (Nível I / RWA)</w:t>
            </w:r>
          </w:p>
        </w:tc>
        <w:tc>
          <w:tcPr>
            <w:tcW w:w="920" w:type="pct"/>
            <w:tcBorders>
              <w:top w:val="nil"/>
              <w:left w:val="nil"/>
              <w:bottom w:val="single" w:sz="4" w:space="0" w:color="F39200"/>
              <w:right w:val="nil"/>
            </w:tcBorders>
            <w:shd w:val="clear" w:color="auto" w:fill="auto"/>
            <w:noWrap/>
            <w:vAlign w:val="center"/>
          </w:tcPr>
          <w:p w14:paraId="75EC9256" w14:textId="7599FB6A"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14,73%</w:t>
            </w:r>
          </w:p>
        </w:tc>
        <w:tc>
          <w:tcPr>
            <w:tcW w:w="920" w:type="pct"/>
            <w:tcBorders>
              <w:top w:val="nil"/>
              <w:left w:val="nil"/>
              <w:bottom w:val="single" w:sz="4" w:space="0" w:color="F39200"/>
              <w:right w:val="nil"/>
            </w:tcBorders>
            <w:vAlign w:val="center"/>
          </w:tcPr>
          <w:p w14:paraId="40290FBE" w14:textId="59B60FC2"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14,12%</w:t>
            </w:r>
          </w:p>
        </w:tc>
      </w:tr>
      <w:tr w:rsidR="007C653A" w:rsidRPr="00667139" w14:paraId="173F2DFC"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76B72F2E" w14:textId="77777777"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Índice de Basileia (PR / RWA)</w:t>
            </w:r>
          </w:p>
        </w:tc>
        <w:tc>
          <w:tcPr>
            <w:tcW w:w="920" w:type="pct"/>
            <w:tcBorders>
              <w:top w:val="nil"/>
              <w:left w:val="nil"/>
              <w:bottom w:val="single" w:sz="4" w:space="0" w:color="F39200"/>
              <w:right w:val="nil"/>
            </w:tcBorders>
            <w:shd w:val="clear" w:color="auto" w:fill="auto"/>
            <w:noWrap/>
            <w:vAlign w:val="center"/>
          </w:tcPr>
          <w:p w14:paraId="6C99F79C" w14:textId="2F4EF670"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16,85%</w:t>
            </w:r>
          </w:p>
        </w:tc>
        <w:tc>
          <w:tcPr>
            <w:tcW w:w="920" w:type="pct"/>
            <w:tcBorders>
              <w:top w:val="nil"/>
              <w:left w:val="nil"/>
              <w:bottom w:val="single" w:sz="4" w:space="0" w:color="F39200"/>
              <w:right w:val="nil"/>
            </w:tcBorders>
            <w:vAlign w:val="center"/>
          </w:tcPr>
          <w:p w14:paraId="124CC075" w14:textId="388776B2" w:rsidR="007C653A" w:rsidRPr="00667139" w:rsidRDefault="007C653A" w:rsidP="007C653A">
            <w:pPr>
              <w:jc w:val="right"/>
              <w:rPr>
                <w:rFonts w:ascii="CAIXA Std Book" w:hAnsi="CAIXA Std Book" w:cs="Arial"/>
                <w:b/>
                <w:color w:val="005CA9"/>
                <w:sz w:val="18"/>
                <w:szCs w:val="18"/>
              </w:rPr>
            </w:pPr>
            <w:r w:rsidRPr="00667139">
              <w:rPr>
                <w:rFonts w:ascii="CAIXA Std Book" w:hAnsi="CAIXA Std Book" w:cs="Arial"/>
                <w:b/>
                <w:color w:val="005CA9"/>
                <w:sz w:val="18"/>
                <w:szCs w:val="18"/>
              </w:rPr>
              <w:t>16,68%</w:t>
            </w:r>
          </w:p>
        </w:tc>
      </w:tr>
      <w:tr w:rsidR="007C653A" w:rsidRPr="00667139" w14:paraId="079357B4" w14:textId="77777777" w:rsidTr="00434491">
        <w:trPr>
          <w:trHeight w:val="283"/>
        </w:trPr>
        <w:tc>
          <w:tcPr>
            <w:tcW w:w="3160" w:type="pct"/>
            <w:tcBorders>
              <w:top w:val="nil"/>
              <w:left w:val="nil"/>
              <w:bottom w:val="single" w:sz="4" w:space="0" w:color="F39200"/>
              <w:right w:val="nil"/>
            </w:tcBorders>
            <w:shd w:val="clear" w:color="auto" w:fill="auto"/>
            <w:noWrap/>
            <w:vAlign w:val="center"/>
            <w:hideMark/>
          </w:tcPr>
          <w:p w14:paraId="6DD3EC1E" w14:textId="58E0F4E1" w:rsidR="007C653A" w:rsidRPr="00667139" w:rsidRDefault="007C653A" w:rsidP="007C653A">
            <w:pPr>
              <w:rPr>
                <w:rFonts w:ascii="CAIXA Std Book" w:hAnsi="CAIXA Std Book"/>
                <w:b/>
                <w:color w:val="005CA9"/>
                <w:sz w:val="18"/>
                <w:szCs w:val="18"/>
              </w:rPr>
            </w:pPr>
            <w:r w:rsidRPr="00667139">
              <w:rPr>
                <w:rFonts w:ascii="CAIXA Std Book" w:hAnsi="CAIXA Std Book"/>
                <w:b/>
                <w:color w:val="005CA9"/>
                <w:sz w:val="18"/>
                <w:szCs w:val="18"/>
              </w:rPr>
              <w:t>Fator F</w:t>
            </w:r>
          </w:p>
        </w:tc>
        <w:tc>
          <w:tcPr>
            <w:tcW w:w="920" w:type="pct"/>
            <w:tcBorders>
              <w:top w:val="nil"/>
              <w:left w:val="nil"/>
              <w:bottom w:val="single" w:sz="4" w:space="0" w:color="F39200"/>
              <w:right w:val="nil"/>
            </w:tcBorders>
            <w:shd w:val="clear" w:color="auto" w:fill="auto"/>
            <w:noWrap/>
            <w:vAlign w:val="center"/>
          </w:tcPr>
          <w:p w14:paraId="7616375A" w14:textId="0350F3F1" w:rsidR="007C653A" w:rsidRPr="00667139" w:rsidRDefault="007C653A" w:rsidP="007C653A">
            <w:pPr>
              <w:jc w:val="right"/>
              <w:rPr>
                <w:rFonts w:ascii="CAIXA Std Book" w:hAnsi="CAIXA Std Book"/>
                <w:b/>
                <w:color w:val="005CA9"/>
                <w:sz w:val="18"/>
                <w:szCs w:val="18"/>
              </w:rPr>
            </w:pPr>
            <w:r w:rsidRPr="007C653A">
              <w:rPr>
                <w:rFonts w:ascii="CAIXA Std Book" w:hAnsi="CAIXA Std Book" w:cs="Arial"/>
                <w:b/>
                <w:bCs/>
                <w:color w:val="005CA9"/>
                <w:sz w:val="18"/>
                <w:szCs w:val="18"/>
              </w:rPr>
              <w:t>8,00%</w:t>
            </w:r>
          </w:p>
        </w:tc>
        <w:tc>
          <w:tcPr>
            <w:tcW w:w="920" w:type="pct"/>
            <w:tcBorders>
              <w:top w:val="nil"/>
              <w:left w:val="nil"/>
              <w:bottom w:val="single" w:sz="4" w:space="0" w:color="F39200"/>
              <w:right w:val="nil"/>
            </w:tcBorders>
            <w:vAlign w:val="center"/>
          </w:tcPr>
          <w:p w14:paraId="49AB7F5C" w14:textId="3FE14FC0" w:rsidR="007C653A" w:rsidRPr="00667139" w:rsidRDefault="007C653A" w:rsidP="007C653A">
            <w:pPr>
              <w:jc w:val="right"/>
              <w:rPr>
                <w:rFonts w:ascii="CAIXA Std Book" w:hAnsi="CAIXA Std Book" w:cs="Calibri"/>
                <w:b/>
                <w:bCs/>
                <w:color w:val="005CA9"/>
                <w:sz w:val="18"/>
                <w:szCs w:val="18"/>
              </w:rPr>
            </w:pPr>
            <w:r w:rsidRPr="00667139">
              <w:rPr>
                <w:rFonts w:ascii="CAIXA Std Book" w:hAnsi="CAIXA Std Book" w:cs="Calibri"/>
                <w:b/>
                <w:bCs/>
                <w:color w:val="005CA9"/>
                <w:sz w:val="18"/>
                <w:szCs w:val="18"/>
              </w:rPr>
              <w:t>8,00%</w:t>
            </w:r>
          </w:p>
        </w:tc>
      </w:tr>
    </w:tbl>
    <w:bookmarkEnd w:id="135"/>
    <w:p w14:paraId="4469A8D7" w14:textId="2DC07576" w:rsidR="00297BD3" w:rsidRPr="00FF4346" w:rsidRDefault="009D0D37" w:rsidP="002B36E6">
      <w:pPr>
        <w:spacing w:after="240"/>
        <w:rPr>
          <w:rFonts w:ascii="CAIXA Std Book" w:hAnsi="CAIXA Std Book" w:cs="Symbol"/>
          <w:color w:val="005CA9"/>
          <w:sz w:val="16"/>
          <w:szCs w:val="16"/>
        </w:rPr>
      </w:pPr>
      <w:r w:rsidRPr="00FF4346">
        <w:rPr>
          <w:rFonts w:ascii="CAIXA Std Book" w:hAnsi="CAIXA Std Book" w:cs="Symbol"/>
          <w:color w:val="005CA9"/>
          <w:sz w:val="16"/>
          <w:szCs w:val="16"/>
        </w:rPr>
        <w:t>(1) Patrimônio Líquido considera os instrumentos híbridos de capital e dívida autorizados conforme Resolução CMN nº 4.</w:t>
      </w:r>
      <w:r w:rsidR="005B1F4C" w:rsidRPr="00FF4346">
        <w:rPr>
          <w:rFonts w:ascii="CAIXA Std Book" w:hAnsi="CAIXA Std Book" w:cs="Symbol"/>
          <w:color w:val="005CA9"/>
          <w:sz w:val="16"/>
          <w:szCs w:val="16"/>
        </w:rPr>
        <w:t>955</w:t>
      </w:r>
      <w:r w:rsidRPr="00FF4346">
        <w:rPr>
          <w:rFonts w:ascii="CAIXA Std Book" w:hAnsi="CAIXA Std Book" w:cs="Symbol"/>
          <w:color w:val="005CA9"/>
          <w:sz w:val="16"/>
          <w:szCs w:val="16"/>
        </w:rPr>
        <w:t>/20</w:t>
      </w:r>
      <w:r w:rsidR="005B1F4C" w:rsidRPr="00FF4346">
        <w:rPr>
          <w:rFonts w:ascii="CAIXA Std Book" w:hAnsi="CAIXA Std Book" w:cs="Symbol"/>
          <w:color w:val="005CA9"/>
          <w:sz w:val="16"/>
          <w:szCs w:val="16"/>
        </w:rPr>
        <w:t>21</w:t>
      </w:r>
      <w:r w:rsidRPr="00FF4346">
        <w:rPr>
          <w:rFonts w:ascii="CAIXA Std Book" w:hAnsi="CAIXA Std Book" w:cs="Symbol"/>
          <w:color w:val="005CA9"/>
          <w:sz w:val="16"/>
          <w:szCs w:val="16"/>
        </w:rPr>
        <w:t>.</w:t>
      </w:r>
    </w:p>
    <w:p w14:paraId="032936A8" w14:textId="1631BE18" w:rsidR="009D0D37" w:rsidRPr="00FF4346" w:rsidRDefault="009D0D37" w:rsidP="00B37B40">
      <w:pPr>
        <w:pStyle w:val="PargrafodaLista"/>
        <w:numPr>
          <w:ilvl w:val="0"/>
          <w:numId w:val="25"/>
        </w:numPr>
        <w:spacing w:before="240" w:after="120"/>
        <w:ind w:left="567" w:hanging="577"/>
        <w:jc w:val="both"/>
        <w:rPr>
          <w:rFonts w:ascii="CAIXA Std Book" w:hAnsi="CAIXA Std Book"/>
          <w:b/>
          <w:color w:val="005CA9"/>
          <w:sz w:val="20"/>
          <w:szCs w:val="20"/>
        </w:rPr>
      </w:pPr>
      <w:r w:rsidRPr="00FF4346">
        <w:rPr>
          <w:rFonts w:ascii="CAIXA Std Book" w:hAnsi="CAIXA Std Book"/>
          <w:b/>
          <w:color w:val="005CA9"/>
          <w:sz w:val="20"/>
          <w:szCs w:val="20"/>
        </w:rPr>
        <w:t xml:space="preserve">Análise de </w:t>
      </w:r>
      <w:r w:rsidR="00F50180" w:rsidRPr="00FF4346">
        <w:rPr>
          <w:rFonts w:ascii="CAIXA Std Book" w:hAnsi="CAIXA Std Book"/>
          <w:b/>
          <w:color w:val="005CA9"/>
          <w:sz w:val="20"/>
          <w:szCs w:val="20"/>
        </w:rPr>
        <w:t>s</w:t>
      </w:r>
      <w:r w:rsidRPr="00FF4346">
        <w:rPr>
          <w:rFonts w:ascii="CAIXA Std Book" w:hAnsi="CAIXA Std Book"/>
          <w:b/>
          <w:color w:val="005CA9"/>
          <w:sz w:val="20"/>
          <w:szCs w:val="20"/>
        </w:rPr>
        <w:t xml:space="preserve">ensibilidade das </w:t>
      </w:r>
      <w:r w:rsidR="00F50180" w:rsidRPr="00FF4346">
        <w:rPr>
          <w:rFonts w:ascii="CAIXA Std Book" w:hAnsi="CAIXA Std Book"/>
          <w:b/>
          <w:color w:val="005CA9"/>
          <w:sz w:val="20"/>
          <w:szCs w:val="20"/>
        </w:rPr>
        <w:t>p</w:t>
      </w:r>
      <w:r w:rsidRPr="00FF4346">
        <w:rPr>
          <w:rFonts w:ascii="CAIXA Std Book" w:hAnsi="CAIXA Std Book"/>
          <w:b/>
          <w:color w:val="005CA9"/>
          <w:sz w:val="20"/>
          <w:szCs w:val="20"/>
        </w:rPr>
        <w:t xml:space="preserve">osições </w:t>
      </w:r>
      <w:r w:rsidR="00F50180" w:rsidRPr="00FF4346">
        <w:rPr>
          <w:rFonts w:ascii="CAIXA Std Book" w:hAnsi="CAIXA Std Book"/>
          <w:b/>
          <w:color w:val="005CA9"/>
          <w:sz w:val="20"/>
          <w:szCs w:val="20"/>
        </w:rPr>
        <w:t>r</w:t>
      </w:r>
      <w:r w:rsidRPr="00FF4346">
        <w:rPr>
          <w:rFonts w:ascii="CAIXA Std Book" w:hAnsi="CAIXA Std Book"/>
          <w:b/>
          <w:color w:val="005CA9"/>
          <w:sz w:val="20"/>
          <w:szCs w:val="20"/>
        </w:rPr>
        <w:t xml:space="preserve">elevantes </w:t>
      </w:r>
    </w:p>
    <w:p w14:paraId="08984583" w14:textId="77777777" w:rsidR="009D0D37" w:rsidRPr="00FF4346" w:rsidRDefault="009D0D37" w:rsidP="00C417E8">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 análise de sensibilidade permite verificar o impacto das variações das taxas de juros sobre os preços dos ativos e passivos, por fator de risco. Estes estudos hipotéticos tornam-se ferramenta de gestão do risco de mercado, possibilitando a definição de medidas de mitigação em caso de concretização de tais cenários, uma vez que as exposições são monitoradas diariamente e movimentos adversos do mercado produzem a imediata atuação das unidades envolvidas no processo visando minimizar eventuais perdas que venham a ocorrer.</w:t>
      </w:r>
    </w:p>
    <w:p w14:paraId="54AF652A" w14:textId="5B0A83D6" w:rsidR="00415B52" w:rsidRPr="00FF4346" w:rsidRDefault="00415B52" w:rsidP="00415B52">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Os instrumentos objeto da análise de sensibilidade são aqueles avaliados pelo valor justo, no caso os instrumentos da carteira TVM classificados nas categorias I – Para negociação e II – Disponíveis para venda</w:t>
      </w:r>
      <w:r w:rsidR="00217CDD" w:rsidRPr="00FF4346">
        <w:rPr>
          <w:rFonts w:ascii="CAIXA Std Book" w:hAnsi="CAIXA Std Book"/>
          <w:color w:val="005CA9"/>
          <w:sz w:val="20"/>
          <w:szCs w:val="20"/>
        </w:rPr>
        <w:t>,</w:t>
      </w:r>
      <w:r w:rsidRPr="00FF4346">
        <w:rPr>
          <w:rFonts w:ascii="CAIXA Std Book" w:hAnsi="CAIXA Std Book"/>
          <w:color w:val="005CA9"/>
          <w:sz w:val="20"/>
          <w:szCs w:val="20"/>
        </w:rPr>
        <w:t xml:space="preserve"> conforme categorização da Circular BCB </w:t>
      </w:r>
      <w:r w:rsidR="00F50180" w:rsidRPr="00FF4346">
        <w:rPr>
          <w:rFonts w:ascii="CAIXA Std Book" w:hAnsi="CAIXA Std Book"/>
          <w:color w:val="005CA9"/>
          <w:sz w:val="20"/>
          <w:szCs w:val="20"/>
        </w:rPr>
        <w:t xml:space="preserve">nº </w:t>
      </w:r>
      <w:r w:rsidRPr="00FF4346">
        <w:rPr>
          <w:rFonts w:ascii="CAIXA Std Book" w:hAnsi="CAIXA Std Book"/>
          <w:color w:val="005CA9"/>
          <w:sz w:val="20"/>
          <w:szCs w:val="20"/>
        </w:rPr>
        <w:t>3</w:t>
      </w:r>
      <w:r w:rsidR="00F50180" w:rsidRPr="00FF4346">
        <w:rPr>
          <w:rFonts w:ascii="CAIXA Std Book" w:hAnsi="CAIXA Std Book"/>
          <w:color w:val="005CA9"/>
          <w:sz w:val="20"/>
          <w:szCs w:val="20"/>
        </w:rPr>
        <w:t>.</w:t>
      </w:r>
      <w:r w:rsidRPr="00FF4346">
        <w:rPr>
          <w:rFonts w:ascii="CAIXA Std Book" w:hAnsi="CAIXA Std Book"/>
          <w:color w:val="005CA9"/>
          <w:sz w:val="20"/>
          <w:szCs w:val="20"/>
        </w:rPr>
        <w:t xml:space="preserve">068/2001, além dos derivativos financeiros que são avaliados ao valor de mercado conforme Circular BCB </w:t>
      </w:r>
      <w:r w:rsidR="00F50180" w:rsidRPr="00FF4346">
        <w:rPr>
          <w:rFonts w:ascii="CAIXA Std Book" w:hAnsi="CAIXA Std Book"/>
          <w:color w:val="005CA9"/>
          <w:sz w:val="20"/>
          <w:szCs w:val="20"/>
        </w:rPr>
        <w:t xml:space="preserve">nº </w:t>
      </w:r>
      <w:r w:rsidRPr="00FF4346">
        <w:rPr>
          <w:rFonts w:ascii="CAIXA Std Book" w:hAnsi="CAIXA Std Book"/>
          <w:color w:val="005CA9"/>
          <w:sz w:val="20"/>
          <w:szCs w:val="20"/>
        </w:rPr>
        <w:t>3</w:t>
      </w:r>
      <w:r w:rsidR="00F50180" w:rsidRPr="00FF4346">
        <w:rPr>
          <w:rFonts w:ascii="CAIXA Std Book" w:hAnsi="CAIXA Std Book"/>
          <w:color w:val="005CA9"/>
          <w:sz w:val="20"/>
          <w:szCs w:val="20"/>
        </w:rPr>
        <w:t>.</w:t>
      </w:r>
      <w:r w:rsidRPr="00FF4346">
        <w:rPr>
          <w:rFonts w:ascii="CAIXA Std Book" w:hAnsi="CAIXA Std Book"/>
          <w:color w:val="005CA9"/>
          <w:sz w:val="20"/>
          <w:szCs w:val="20"/>
        </w:rPr>
        <w:t>082</w:t>
      </w:r>
      <w:r w:rsidR="00217CDD" w:rsidRPr="00FF4346">
        <w:rPr>
          <w:rFonts w:ascii="CAIXA Std Book" w:hAnsi="CAIXA Std Book"/>
          <w:color w:val="005CA9"/>
          <w:sz w:val="20"/>
          <w:szCs w:val="20"/>
        </w:rPr>
        <w:t>/2002</w:t>
      </w:r>
      <w:r w:rsidRPr="00FF4346">
        <w:rPr>
          <w:rFonts w:ascii="CAIXA Std Book" w:hAnsi="CAIXA Std Book"/>
          <w:color w:val="005CA9"/>
          <w:sz w:val="20"/>
          <w:szCs w:val="20"/>
        </w:rPr>
        <w:t>.</w:t>
      </w:r>
    </w:p>
    <w:p w14:paraId="68AD6126" w14:textId="77777777" w:rsidR="009D0D37" w:rsidRPr="00FF4346" w:rsidRDefault="00B070EC" w:rsidP="00C417E8">
      <w:pPr>
        <w:spacing w:before="120" w:after="120"/>
        <w:jc w:val="both"/>
        <w:rPr>
          <w:rFonts w:ascii="CAIXA Std Book" w:hAnsi="CAIXA Std Book"/>
          <w:color w:val="005CA9"/>
          <w:sz w:val="20"/>
          <w:szCs w:val="20"/>
        </w:rPr>
      </w:pPr>
      <w:r w:rsidRPr="00FF4346">
        <w:rPr>
          <w:rFonts w:ascii="CAIXA Std Book" w:hAnsi="CAIXA Std Book"/>
          <w:color w:val="005CA9"/>
          <w:sz w:val="20"/>
          <w:szCs w:val="20"/>
        </w:rPr>
        <w:t>A</w:t>
      </w:r>
      <w:r w:rsidR="009D0D37" w:rsidRPr="00FF4346">
        <w:rPr>
          <w:rFonts w:ascii="CAIXA Std Book" w:hAnsi="CAIXA Std Book"/>
          <w:color w:val="005CA9"/>
          <w:sz w:val="20"/>
          <w:szCs w:val="20"/>
        </w:rPr>
        <w:t>s análises de sensibilidade para cada tipo de risco de mercado considerado relevante pela Alta Administração, ao qual a CAIXA estava exposta, incluíram todas as operações relevantes com instrumentos financeiros e consideraram as maiores perdas em cada um dos cenários a seguir:</w:t>
      </w:r>
    </w:p>
    <w:p w14:paraId="5E74CBDD" w14:textId="77777777" w:rsidR="009D0D37" w:rsidRPr="00FF4346" w:rsidRDefault="009D0D37" w:rsidP="00C417E8">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I:</w:t>
      </w:r>
      <w:r w:rsidRPr="00FF4346">
        <w:rPr>
          <w:rFonts w:ascii="CAIXA Std Book" w:hAnsi="CAIXA Std Book"/>
          <w:color w:val="005CA9"/>
          <w:sz w:val="20"/>
          <w:szCs w:val="20"/>
        </w:rPr>
        <w:tab/>
        <w:t>Cenário provável considerando a trajetória mais provável das variáveis e indicadores macroeconômicos;</w:t>
      </w:r>
    </w:p>
    <w:p w14:paraId="41BDCE0D" w14:textId="77777777"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II:</w:t>
      </w:r>
      <w:r w:rsidRPr="00FF4346">
        <w:rPr>
          <w:rFonts w:ascii="CAIXA Std Book" w:hAnsi="CAIXA Std Book"/>
          <w:color w:val="005CA9"/>
          <w:sz w:val="20"/>
          <w:szCs w:val="20"/>
        </w:rPr>
        <w:tab/>
        <w:t>Cenário eventual que considera um choque paralelo multiplicativo de 25% ao cenário I para o fator de risco Cupom SELIC Títulos Públicos e aditivo de 1% para os demais fatores de risco;</w:t>
      </w:r>
    </w:p>
    <w:p w14:paraId="2996B0BA" w14:textId="77777777"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lastRenderedPageBreak/>
        <w:t>Cenário III:</w:t>
      </w:r>
      <w:r w:rsidRPr="00FF4346">
        <w:rPr>
          <w:rFonts w:ascii="CAIXA Std Book" w:hAnsi="CAIXA Std Book"/>
          <w:color w:val="005CA9"/>
          <w:sz w:val="20"/>
          <w:szCs w:val="20"/>
        </w:rPr>
        <w:tab/>
        <w:t>Cenário eventual que considera um choque paralelo multiplicativo de 50% ao cenário I para o fator de risco Cupom SELIC Títulos Públicos e aditivo de 2,5% para os demais fatores de risco;</w:t>
      </w:r>
    </w:p>
    <w:p w14:paraId="1506878B" w14:textId="77777777"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IV:</w:t>
      </w:r>
      <w:r w:rsidRPr="00FF4346">
        <w:rPr>
          <w:rFonts w:ascii="CAIXA Std Book" w:hAnsi="CAIXA Std Book"/>
          <w:color w:val="005CA9"/>
          <w:sz w:val="20"/>
          <w:szCs w:val="20"/>
        </w:rPr>
        <w:tab/>
        <w:t>Cenário eventual que considera um choque paralelo multiplicativo de 50% ao cenário I para o fator primitivo de risco Cupom SELIC Títulos Públicos e aditivo de 5% para os demais fatores de risco;</w:t>
      </w:r>
    </w:p>
    <w:p w14:paraId="368AAD46" w14:textId="77777777"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V:</w:t>
      </w:r>
      <w:r w:rsidRPr="00FF4346">
        <w:rPr>
          <w:rFonts w:ascii="CAIXA Std Book" w:hAnsi="CAIXA Std Book"/>
          <w:color w:val="005CA9"/>
          <w:sz w:val="20"/>
          <w:szCs w:val="20"/>
        </w:rPr>
        <w:tab/>
        <w:t>Cenário eventual que considera um choque paralelo multiplicativo de 0,75% ao cenário I para o fator primitivo de risco Cupom SELIC Títulos Públicos e subtrativo de 1% para os demais fatores de risco;</w:t>
      </w:r>
    </w:p>
    <w:p w14:paraId="01261EBD" w14:textId="0C9C95DA"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VI:</w:t>
      </w:r>
      <w:r w:rsidRPr="00FF4346">
        <w:rPr>
          <w:rFonts w:ascii="CAIXA Std Book" w:hAnsi="CAIXA Std Book"/>
          <w:color w:val="005CA9"/>
          <w:sz w:val="20"/>
          <w:szCs w:val="20"/>
        </w:rPr>
        <w:tab/>
        <w:t>Cenário eventual que considera um choque paralelo multiplicativo de 0,5% ao cenário I para o fator primitivo de risco Cupom SELIC Títulos Públicos e subtrativo de 2,5% para os demais fatores de risco;</w:t>
      </w:r>
      <w:r w:rsidR="00793DEB" w:rsidRPr="00FF4346">
        <w:rPr>
          <w:rFonts w:ascii="CAIXA Std Book" w:hAnsi="CAIXA Std Book"/>
          <w:color w:val="005CA9"/>
          <w:sz w:val="20"/>
          <w:szCs w:val="20"/>
        </w:rPr>
        <w:t xml:space="preserve"> e</w:t>
      </w:r>
    </w:p>
    <w:p w14:paraId="2E75F700" w14:textId="602C3984" w:rsidR="00415B52" w:rsidRPr="00FF4346" w:rsidRDefault="00415B52" w:rsidP="00415B52">
      <w:pPr>
        <w:spacing w:before="120" w:after="120"/>
        <w:ind w:left="1276" w:hanging="1276"/>
        <w:jc w:val="both"/>
        <w:rPr>
          <w:rFonts w:ascii="CAIXA Std Book" w:hAnsi="CAIXA Std Book"/>
          <w:color w:val="005CA9"/>
          <w:sz w:val="20"/>
          <w:szCs w:val="20"/>
        </w:rPr>
      </w:pPr>
      <w:r w:rsidRPr="00FF4346">
        <w:rPr>
          <w:rFonts w:ascii="CAIXA Std Book" w:hAnsi="CAIXA Std Book"/>
          <w:color w:val="005CA9"/>
          <w:sz w:val="20"/>
          <w:szCs w:val="20"/>
        </w:rPr>
        <w:t>Cenário VII:</w:t>
      </w:r>
      <w:r w:rsidRPr="00616EE1">
        <w:rPr>
          <w:rFonts w:ascii="CAIXA Std Book" w:hAnsi="CAIXA Std Book"/>
          <w:color w:val="005CA9"/>
        </w:rPr>
        <w:tab/>
      </w:r>
      <w:r w:rsidRPr="00FF4346">
        <w:rPr>
          <w:rFonts w:ascii="CAIXA Std Book" w:hAnsi="CAIXA Std Book"/>
          <w:color w:val="005CA9"/>
          <w:sz w:val="20"/>
          <w:szCs w:val="20"/>
        </w:rPr>
        <w:t>Cenário eventual que considera um choque paralelo multiplicativo de 0,25% ao cenário I para o fator primitivo de risco Cupom SELIC Títulos Públicos e subtrativo de 5% para os demais fatores de risco</w:t>
      </w:r>
      <w:r w:rsidR="00793DEB" w:rsidRPr="00FF4346">
        <w:rPr>
          <w:rFonts w:ascii="CAIXA Std Book" w:hAnsi="CAIXA Std Book"/>
          <w:color w:val="005CA9"/>
          <w:sz w:val="20"/>
          <w:szCs w:val="20"/>
        </w:rPr>
        <w:t>.</w:t>
      </w:r>
    </w:p>
    <w:p w14:paraId="32BFD101" w14:textId="78E8D3DB" w:rsidR="00A63366" w:rsidRPr="00FF4346" w:rsidRDefault="00A63366" w:rsidP="00C417E8">
      <w:pPr>
        <w:spacing w:before="120" w:after="240"/>
        <w:jc w:val="both"/>
        <w:rPr>
          <w:rFonts w:ascii="CAIXA Std Book" w:hAnsi="CAIXA Std Book"/>
          <w:color w:val="005CA9"/>
          <w:sz w:val="20"/>
          <w:szCs w:val="20"/>
        </w:rPr>
      </w:pPr>
      <w:r w:rsidRPr="00FF4346">
        <w:rPr>
          <w:rFonts w:ascii="CAIXA Std Book" w:hAnsi="CAIXA Std Book"/>
          <w:color w:val="005CA9"/>
          <w:sz w:val="20"/>
          <w:szCs w:val="20"/>
        </w:rPr>
        <w:t xml:space="preserve">Os resultados dos </w:t>
      </w:r>
      <w:r w:rsidR="000C36ED" w:rsidRPr="00FF4346">
        <w:rPr>
          <w:rFonts w:ascii="CAIXA Std Book" w:hAnsi="CAIXA Std Book"/>
          <w:color w:val="005CA9"/>
          <w:sz w:val="20"/>
          <w:szCs w:val="20"/>
        </w:rPr>
        <w:t>i</w:t>
      </w:r>
      <w:r w:rsidRPr="00FF4346">
        <w:rPr>
          <w:rFonts w:ascii="CAIXA Std Book" w:hAnsi="CAIXA Std Book"/>
          <w:color w:val="005CA9"/>
          <w:sz w:val="20"/>
          <w:szCs w:val="20"/>
        </w:rPr>
        <w:t xml:space="preserve">nstrumentos </w:t>
      </w:r>
      <w:r w:rsidR="000C36ED" w:rsidRPr="00FF4346">
        <w:rPr>
          <w:rFonts w:ascii="CAIXA Std Book" w:hAnsi="CAIXA Std Book"/>
          <w:color w:val="005CA9"/>
          <w:sz w:val="20"/>
          <w:szCs w:val="20"/>
        </w:rPr>
        <w:t>f</w:t>
      </w:r>
      <w:r w:rsidRPr="00FF4346">
        <w:rPr>
          <w:rFonts w:ascii="CAIXA Std Book" w:hAnsi="CAIXA Std Book"/>
          <w:color w:val="005CA9"/>
          <w:sz w:val="20"/>
          <w:szCs w:val="20"/>
        </w:rPr>
        <w:t xml:space="preserve">inanceiros </w:t>
      </w:r>
      <w:r w:rsidR="000C36ED" w:rsidRPr="00FF4346">
        <w:rPr>
          <w:rFonts w:ascii="CAIXA Std Book" w:hAnsi="CAIXA Std Book"/>
          <w:color w:val="005CA9"/>
          <w:sz w:val="20"/>
          <w:szCs w:val="20"/>
        </w:rPr>
        <w:t xml:space="preserve">apurados </w:t>
      </w:r>
      <w:r w:rsidRPr="00FF4346">
        <w:rPr>
          <w:rFonts w:ascii="CAIXA Std Book" w:hAnsi="CAIXA Std Book"/>
          <w:color w:val="005CA9"/>
          <w:sz w:val="20"/>
          <w:szCs w:val="20"/>
        </w:rPr>
        <w:t xml:space="preserve">em </w:t>
      </w:r>
      <w:r w:rsidR="00CE1B88" w:rsidRPr="00FF4346">
        <w:rPr>
          <w:rFonts w:ascii="CAIXA Std Book" w:hAnsi="CAIXA Std Book"/>
          <w:color w:val="005CA9"/>
          <w:sz w:val="20"/>
          <w:szCs w:val="20"/>
        </w:rPr>
        <w:t>31/</w:t>
      </w:r>
      <w:r w:rsidR="00D62D2F">
        <w:rPr>
          <w:rFonts w:ascii="CAIXA Std Book" w:hAnsi="CAIXA Std Book"/>
          <w:color w:val="005CA9"/>
          <w:sz w:val="20"/>
          <w:szCs w:val="20"/>
        </w:rPr>
        <w:t>03/2024</w:t>
      </w:r>
      <w:r w:rsidRPr="00FF4346">
        <w:rPr>
          <w:rFonts w:ascii="CAIXA Std Book" w:hAnsi="CAIXA Std Book"/>
          <w:color w:val="005CA9"/>
          <w:sz w:val="20"/>
          <w:szCs w:val="20"/>
        </w:rPr>
        <w:t xml:space="preserve"> estão sintetizados no quadro a seguir:</w:t>
      </w:r>
    </w:p>
    <w:tbl>
      <w:tblPr>
        <w:tblW w:w="5000" w:type="pct"/>
        <w:tblCellMar>
          <w:left w:w="70" w:type="dxa"/>
          <w:right w:w="70" w:type="dxa"/>
        </w:tblCellMar>
        <w:tblLook w:val="04A0" w:firstRow="1" w:lastRow="0" w:firstColumn="1" w:lastColumn="0" w:noHBand="0" w:noVBand="1"/>
      </w:tblPr>
      <w:tblGrid>
        <w:gridCol w:w="1759"/>
        <w:gridCol w:w="1267"/>
        <w:gridCol w:w="1103"/>
        <w:gridCol w:w="1103"/>
        <w:gridCol w:w="1214"/>
        <w:gridCol w:w="1092"/>
        <w:gridCol w:w="1088"/>
        <w:gridCol w:w="1121"/>
      </w:tblGrid>
      <w:tr w:rsidR="003B2B2A" w:rsidRPr="00A33766" w14:paraId="457F99AF" w14:textId="77777777" w:rsidTr="00C25DA8">
        <w:trPr>
          <w:trHeight w:val="283"/>
        </w:trPr>
        <w:tc>
          <w:tcPr>
            <w:tcW w:w="902" w:type="pct"/>
            <w:vMerge w:val="restart"/>
            <w:tcBorders>
              <w:top w:val="single" w:sz="4" w:space="0" w:color="F79646"/>
              <w:left w:val="nil"/>
              <w:bottom w:val="single" w:sz="4" w:space="0" w:color="F79646"/>
              <w:right w:val="nil"/>
            </w:tcBorders>
            <w:shd w:val="clear" w:color="auto" w:fill="auto"/>
            <w:vAlign w:val="center"/>
            <w:hideMark/>
          </w:tcPr>
          <w:p w14:paraId="27B6658F"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Fator de Risco</w:t>
            </w:r>
          </w:p>
        </w:tc>
        <w:tc>
          <w:tcPr>
            <w:tcW w:w="650" w:type="pct"/>
            <w:vMerge w:val="restart"/>
            <w:tcBorders>
              <w:top w:val="single" w:sz="4" w:space="0" w:color="F79646"/>
              <w:left w:val="nil"/>
              <w:bottom w:val="single" w:sz="4" w:space="0" w:color="F79646"/>
              <w:right w:val="nil"/>
            </w:tcBorders>
            <w:shd w:val="clear" w:color="auto" w:fill="auto"/>
            <w:vAlign w:val="center"/>
            <w:hideMark/>
          </w:tcPr>
          <w:p w14:paraId="1B62DC05" w14:textId="08CD3212"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Cenário </w:t>
            </w:r>
            <w:r w:rsidR="006E744C" w:rsidRPr="00FF4346">
              <w:rPr>
                <w:rFonts w:ascii="CAIXA Std Book" w:eastAsia="Times New Roman" w:hAnsi="CAIXA Std Book" w:cs="Arial"/>
                <w:b/>
                <w:bCs/>
                <w:color w:val="005CA9"/>
                <w:sz w:val="16"/>
                <w:szCs w:val="16"/>
              </w:rPr>
              <w:t>I</w:t>
            </w:r>
            <w:r w:rsidRPr="00FF4346">
              <w:rPr>
                <w:rFonts w:ascii="CAIXA Std Book" w:eastAsia="Times New Roman" w:hAnsi="CAIXA Std Book" w:cs="Arial"/>
                <w:b/>
                <w:bCs/>
                <w:color w:val="005CA9"/>
                <w:sz w:val="16"/>
                <w:szCs w:val="16"/>
              </w:rPr>
              <w:t xml:space="preserve"> -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1754" w:type="pct"/>
            <w:gridSpan w:val="3"/>
            <w:tcBorders>
              <w:top w:val="single" w:sz="4" w:space="0" w:color="F79646"/>
              <w:left w:val="nil"/>
              <w:bottom w:val="single" w:sz="4" w:space="0" w:color="F79646"/>
              <w:right w:val="nil"/>
            </w:tcBorders>
            <w:shd w:val="clear" w:color="auto" w:fill="auto"/>
            <w:vAlign w:val="center"/>
            <w:hideMark/>
          </w:tcPr>
          <w:p w14:paraId="3A9F60B7"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Choque de Alta nas Taxas de Juros</w:t>
            </w:r>
          </w:p>
        </w:tc>
        <w:tc>
          <w:tcPr>
            <w:tcW w:w="1693" w:type="pct"/>
            <w:gridSpan w:val="3"/>
            <w:tcBorders>
              <w:top w:val="single" w:sz="4" w:space="0" w:color="F79646"/>
              <w:left w:val="nil"/>
              <w:bottom w:val="single" w:sz="4" w:space="0" w:color="F79646"/>
              <w:right w:val="nil"/>
            </w:tcBorders>
            <w:shd w:val="clear" w:color="auto" w:fill="auto"/>
            <w:vAlign w:val="center"/>
            <w:hideMark/>
          </w:tcPr>
          <w:p w14:paraId="0F4E2F77"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Choque de Baixa nas Taxas de Juros</w:t>
            </w:r>
          </w:p>
        </w:tc>
      </w:tr>
      <w:tr w:rsidR="003B2B2A" w:rsidRPr="00A33766" w14:paraId="5F394338" w14:textId="77777777" w:rsidTr="00321762">
        <w:trPr>
          <w:trHeight w:val="283"/>
        </w:trPr>
        <w:tc>
          <w:tcPr>
            <w:tcW w:w="902" w:type="pct"/>
            <w:vMerge/>
            <w:tcBorders>
              <w:left w:val="nil"/>
              <w:bottom w:val="single" w:sz="4" w:space="0" w:color="F79646"/>
              <w:right w:val="nil"/>
            </w:tcBorders>
            <w:vAlign w:val="center"/>
            <w:hideMark/>
          </w:tcPr>
          <w:p w14:paraId="4B37A3EB" w14:textId="77777777" w:rsidR="00C901BC" w:rsidRPr="00FF4346" w:rsidRDefault="00C901BC" w:rsidP="00C901BC">
            <w:pPr>
              <w:rPr>
                <w:rFonts w:ascii="CAIXA Std Book" w:eastAsia="Times New Roman" w:hAnsi="CAIXA Std Book" w:cs="Arial"/>
                <w:b/>
                <w:bCs/>
                <w:color w:val="005CA9"/>
                <w:sz w:val="16"/>
                <w:szCs w:val="16"/>
              </w:rPr>
            </w:pPr>
          </w:p>
        </w:tc>
        <w:tc>
          <w:tcPr>
            <w:tcW w:w="650" w:type="pct"/>
            <w:vMerge/>
            <w:tcBorders>
              <w:left w:val="nil"/>
              <w:bottom w:val="single" w:sz="4" w:space="0" w:color="F79646"/>
              <w:right w:val="nil"/>
            </w:tcBorders>
            <w:vAlign w:val="center"/>
            <w:hideMark/>
          </w:tcPr>
          <w:p w14:paraId="309843F1" w14:textId="77777777" w:rsidR="00C901BC" w:rsidRPr="00FF4346" w:rsidRDefault="00C901BC" w:rsidP="00C901BC">
            <w:pPr>
              <w:rPr>
                <w:rFonts w:ascii="CAIXA Std Book" w:eastAsia="Times New Roman" w:hAnsi="CAIXA Std Book" w:cs="Arial"/>
                <w:b/>
                <w:bCs/>
                <w:color w:val="005CA9"/>
                <w:sz w:val="16"/>
                <w:szCs w:val="16"/>
              </w:rPr>
            </w:pPr>
          </w:p>
        </w:tc>
        <w:tc>
          <w:tcPr>
            <w:tcW w:w="566" w:type="pct"/>
            <w:tcBorders>
              <w:top w:val="single" w:sz="4" w:space="0" w:color="F79646"/>
              <w:left w:val="nil"/>
              <w:bottom w:val="single" w:sz="4" w:space="0" w:color="F79646"/>
              <w:right w:val="nil"/>
            </w:tcBorders>
            <w:shd w:val="clear" w:color="auto" w:fill="auto"/>
            <w:noWrap/>
            <w:vAlign w:val="center"/>
            <w:hideMark/>
          </w:tcPr>
          <w:p w14:paraId="5C7338A9"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II</w:t>
            </w:r>
          </w:p>
        </w:tc>
        <w:tc>
          <w:tcPr>
            <w:tcW w:w="566" w:type="pct"/>
            <w:tcBorders>
              <w:top w:val="single" w:sz="4" w:space="0" w:color="F79646"/>
              <w:left w:val="nil"/>
              <w:bottom w:val="single" w:sz="4" w:space="0" w:color="F79646"/>
              <w:right w:val="nil"/>
            </w:tcBorders>
            <w:shd w:val="clear" w:color="auto" w:fill="auto"/>
            <w:noWrap/>
            <w:vAlign w:val="center"/>
            <w:hideMark/>
          </w:tcPr>
          <w:p w14:paraId="4B518981"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III</w:t>
            </w:r>
          </w:p>
        </w:tc>
        <w:tc>
          <w:tcPr>
            <w:tcW w:w="623" w:type="pct"/>
            <w:tcBorders>
              <w:top w:val="single" w:sz="4" w:space="0" w:color="F79646"/>
              <w:left w:val="nil"/>
              <w:bottom w:val="single" w:sz="4" w:space="0" w:color="F79646"/>
              <w:right w:val="nil"/>
            </w:tcBorders>
            <w:shd w:val="clear" w:color="auto" w:fill="auto"/>
            <w:noWrap/>
            <w:vAlign w:val="center"/>
            <w:hideMark/>
          </w:tcPr>
          <w:p w14:paraId="1214F91A"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IV</w:t>
            </w:r>
          </w:p>
        </w:tc>
        <w:tc>
          <w:tcPr>
            <w:tcW w:w="560" w:type="pct"/>
            <w:tcBorders>
              <w:top w:val="single" w:sz="4" w:space="0" w:color="F79646"/>
              <w:left w:val="nil"/>
              <w:bottom w:val="single" w:sz="4" w:space="0" w:color="F79646"/>
              <w:right w:val="nil"/>
            </w:tcBorders>
            <w:shd w:val="clear" w:color="auto" w:fill="auto"/>
            <w:noWrap/>
            <w:vAlign w:val="center"/>
            <w:hideMark/>
          </w:tcPr>
          <w:p w14:paraId="49A508C0"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V</w:t>
            </w:r>
          </w:p>
        </w:tc>
        <w:tc>
          <w:tcPr>
            <w:tcW w:w="558" w:type="pct"/>
            <w:tcBorders>
              <w:top w:val="single" w:sz="4" w:space="0" w:color="F79646"/>
              <w:left w:val="nil"/>
              <w:bottom w:val="single" w:sz="4" w:space="0" w:color="F79646"/>
              <w:right w:val="nil"/>
            </w:tcBorders>
            <w:shd w:val="clear" w:color="auto" w:fill="auto"/>
            <w:noWrap/>
            <w:vAlign w:val="center"/>
            <w:hideMark/>
          </w:tcPr>
          <w:p w14:paraId="5B4D9154"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VI</w:t>
            </w:r>
          </w:p>
        </w:tc>
        <w:tc>
          <w:tcPr>
            <w:tcW w:w="575" w:type="pct"/>
            <w:tcBorders>
              <w:top w:val="single" w:sz="4" w:space="0" w:color="F79646"/>
              <w:left w:val="nil"/>
              <w:bottom w:val="single" w:sz="4" w:space="0" w:color="F79646"/>
              <w:right w:val="nil"/>
            </w:tcBorders>
            <w:shd w:val="clear" w:color="auto" w:fill="auto"/>
            <w:noWrap/>
            <w:vAlign w:val="center"/>
            <w:hideMark/>
          </w:tcPr>
          <w:p w14:paraId="49CD2CB7" w14:textId="77777777" w:rsidR="00C901BC" w:rsidRPr="00FF4346" w:rsidRDefault="00C901BC" w:rsidP="00C901BC">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Cenário VII</w:t>
            </w:r>
          </w:p>
        </w:tc>
      </w:tr>
      <w:tr w:rsidR="003B2B2A" w:rsidRPr="00A33766" w14:paraId="33C7FC6C" w14:textId="77777777" w:rsidTr="00321762">
        <w:trPr>
          <w:trHeight w:val="283"/>
        </w:trPr>
        <w:tc>
          <w:tcPr>
            <w:tcW w:w="902" w:type="pct"/>
            <w:vMerge/>
            <w:tcBorders>
              <w:left w:val="nil"/>
              <w:bottom w:val="single" w:sz="4" w:space="0" w:color="F79646"/>
              <w:right w:val="nil"/>
            </w:tcBorders>
            <w:vAlign w:val="center"/>
            <w:hideMark/>
          </w:tcPr>
          <w:p w14:paraId="32D493E9" w14:textId="77777777" w:rsidR="00C901BC" w:rsidRPr="00FF4346" w:rsidRDefault="00C901BC" w:rsidP="00C901BC">
            <w:pPr>
              <w:rPr>
                <w:rFonts w:ascii="CAIXA Std Book" w:eastAsia="Times New Roman" w:hAnsi="CAIXA Std Book" w:cs="Arial"/>
                <w:b/>
                <w:bCs/>
                <w:color w:val="005CA9"/>
                <w:sz w:val="16"/>
                <w:szCs w:val="16"/>
              </w:rPr>
            </w:pPr>
          </w:p>
        </w:tc>
        <w:tc>
          <w:tcPr>
            <w:tcW w:w="650" w:type="pct"/>
            <w:vMerge/>
            <w:tcBorders>
              <w:left w:val="nil"/>
              <w:bottom w:val="single" w:sz="4" w:space="0" w:color="F79646"/>
              <w:right w:val="nil"/>
            </w:tcBorders>
            <w:vAlign w:val="center"/>
            <w:hideMark/>
          </w:tcPr>
          <w:p w14:paraId="203B1FF2" w14:textId="77777777" w:rsidR="00C901BC" w:rsidRPr="00FF4346" w:rsidRDefault="00C901BC" w:rsidP="00C901BC">
            <w:pPr>
              <w:rPr>
                <w:rFonts w:ascii="CAIXA Std Book" w:eastAsia="Times New Roman" w:hAnsi="CAIXA Std Book" w:cs="Arial"/>
                <w:b/>
                <w:bCs/>
                <w:color w:val="005CA9"/>
                <w:sz w:val="16"/>
                <w:szCs w:val="16"/>
              </w:rPr>
            </w:pPr>
          </w:p>
        </w:tc>
        <w:tc>
          <w:tcPr>
            <w:tcW w:w="566" w:type="pct"/>
            <w:tcBorders>
              <w:top w:val="single" w:sz="4" w:space="0" w:color="F79646"/>
              <w:left w:val="nil"/>
              <w:bottom w:val="single" w:sz="4" w:space="0" w:color="F79646"/>
              <w:right w:val="nil"/>
            </w:tcBorders>
            <w:shd w:val="clear" w:color="auto" w:fill="auto"/>
            <w:vAlign w:val="center"/>
            <w:hideMark/>
          </w:tcPr>
          <w:p w14:paraId="174559A3"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566" w:type="pct"/>
            <w:tcBorders>
              <w:top w:val="single" w:sz="4" w:space="0" w:color="F79646"/>
              <w:left w:val="nil"/>
              <w:bottom w:val="single" w:sz="4" w:space="0" w:color="F79646"/>
              <w:right w:val="nil"/>
            </w:tcBorders>
            <w:shd w:val="clear" w:color="auto" w:fill="auto"/>
            <w:vAlign w:val="center"/>
            <w:hideMark/>
          </w:tcPr>
          <w:p w14:paraId="5A8C8A12"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623" w:type="pct"/>
            <w:tcBorders>
              <w:top w:val="single" w:sz="4" w:space="0" w:color="F79646"/>
              <w:left w:val="nil"/>
              <w:bottom w:val="single" w:sz="4" w:space="0" w:color="F79646"/>
              <w:right w:val="nil"/>
            </w:tcBorders>
            <w:shd w:val="clear" w:color="auto" w:fill="auto"/>
            <w:vAlign w:val="center"/>
            <w:hideMark/>
          </w:tcPr>
          <w:p w14:paraId="5C99B5CB"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560" w:type="pct"/>
            <w:tcBorders>
              <w:top w:val="single" w:sz="4" w:space="0" w:color="F79646"/>
              <w:left w:val="nil"/>
              <w:bottom w:val="single" w:sz="4" w:space="0" w:color="F79646"/>
              <w:right w:val="nil"/>
            </w:tcBorders>
            <w:shd w:val="clear" w:color="auto" w:fill="auto"/>
            <w:vAlign w:val="center"/>
            <w:hideMark/>
          </w:tcPr>
          <w:p w14:paraId="0FE0241C"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558" w:type="pct"/>
            <w:tcBorders>
              <w:top w:val="single" w:sz="4" w:space="0" w:color="F79646"/>
              <w:left w:val="nil"/>
              <w:bottom w:val="single" w:sz="4" w:space="0" w:color="F79646"/>
              <w:right w:val="nil"/>
            </w:tcBorders>
            <w:shd w:val="clear" w:color="auto" w:fill="auto"/>
            <w:vAlign w:val="center"/>
            <w:hideMark/>
          </w:tcPr>
          <w:p w14:paraId="24D60736"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c>
          <w:tcPr>
            <w:tcW w:w="575" w:type="pct"/>
            <w:tcBorders>
              <w:top w:val="single" w:sz="4" w:space="0" w:color="F79646"/>
              <w:left w:val="nil"/>
              <w:bottom w:val="single" w:sz="4" w:space="0" w:color="F79646"/>
              <w:right w:val="nil"/>
            </w:tcBorders>
            <w:shd w:val="clear" w:color="auto" w:fill="auto"/>
            <w:vAlign w:val="center"/>
            <w:hideMark/>
          </w:tcPr>
          <w:p w14:paraId="41DF6F92" w14:textId="77777777" w:rsidR="00C901BC" w:rsidRPr="00FF4346" w:rsidRDefault="00C901BC" w:rsidP="001057F2">
            <w:pPr>
              <w:jc w:val="cente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 xml:space="preserve">Var. </w:t>
            </w:r>
            <w:proofErr w:type="spellStart"/>
            <w:r w:rsidRPr="00FF4346">
              <w:rPr>
                <w:rFonts w:ascii="CAIXA Std Book" w:eastAsia="Times New Roman" w:hAnsi="CAIXA Std Book" w:cs="Arial"/>
                <w:b/>
                <w:bCs/>
                <w:color w:val="005CA9"/>
                <w:sz w:val="16"/>
                <w:szCs w:val="16"/>
              </w:rPr>
              <w:t>MtM</w:t>
            </w:r>
            <w:proofErr w:type="spellEnd"/>
            <w:r w:rsidRPr="00FF4346">
              <w:rPr>
                <w:rFonts w:ascii="CAIXA Std Book" w:eastAsia="Times New Roman" w:hAnsi="CAIXA Std Book" w:cs="Arial"/>
                <w:b/>
                <w:bCs/>
                <w:color w:val="005CA9"/>
                <w:sz w:val="16"/>
                <w:szCs w:val="16"/>
              </w:rPr>
              <w:t xml:space="preserve">      R$ mil</w:t>
            </w:r>
          </w:p>
        </w:tc>
      </w:tr>
      <w:tr w:rsidR="003B2B2A" w:rsidRPr="00A33766" w14:paraId="366898EB" w14:textId="77777777" w:rsidTr="00321762">
        <w:trPr>
          <w:trHeight w:val="283"/>
        </w:trPr>
        <w:tc>
          <w:tcPr>
            <w:tcW w:w="902" w:type="pct"/>
            <w:tcBorders>
              <w:top w:val="single" w:sz="4" w:space="0" w:color="F79646"/>
              <w:left w:val="nil"/>
              <w:bottom w:val="nil"/>
              <w:right w:val="nil"/>
            </w:tcBorders>
            <w:shd w:val="clear" w:color="auto" w:fill="auto"/>
            <w:vAlign w:val="center"/>
            <w:hideMark/>
          </w:tcPr>
          <w:p w14:paraId="1A2B808C" w14:textId="77777777" w:rsidR="00C901BC" w:rsidRPr="00FF4346" w:rsidRDefault="00C901BC" w:rsidP="00C901BC">
            <w:pPr>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CDI</w:t>
            </w:r>
          </w:p>
        </w:tc>
        <w:tc>
          <w:tcPr>
            <w:tcW w:w="650" w:type="pct"/>
            <w:tcBorders>
              <w:top w:val="single" w:sz="4" w:space="0" w:color="F79646"/>
              <w:left w:val="nil"/>
              <w:bottom w:val="nil"/>
              <w:right w:val="nil"/>
            </w:tcBorders>
            <w:shd w:val="clear" w:color="auto" w:fill="auto"/>
            <w:vAlign w:val="center"/>
          </w:tcPr>
          <w:p w14:paraId="11EF2F03" w14:textId="76E71E6C"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79.953.274 </w:t>
            </w:r>
          </w:p>
        </w:tc>
        <w:tc>
          <w:tcPr>
            <w:tcW w:w="566" w:type="pct"/>
            <w:tcBorders>
              <w:top w:val="single" w:sz="4" w:space="0" w:color="F79646"/>
              <w:left w:val="nil"/>
              <w:bottom w:val="nil"/>
              <w:right w:val="nil"/>
            </w:tcBorders>
            <w:shd w:val="clear" w:color="auto" w:fill="auto"/>
            <w:vAlign w:val="center"/>
          </w:tcPr>
          <w:p w14:paraId="1FEB49C1" w14:textId="1B871105"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(1.589.765)</w:t>
            </w:r>
          </w:p>
        </w:tc>
        <w:tc>
          <w:tcPr>
            <w:tcW w:w="566" w:type="pct"/>
            <w:tcBorders>
              <w:top w:val="single" w:sz="4" w:space="0" w:color="F79646"/>
              <w:left w:val="nil"/>
              <w:bottom w:val="nil"/>
              <w:right w:val="nil"/>
            </w:tcBorders>
            <w:shd w:val="clear" w:color="auto" w:fill="auto"/>
            <w:vAlign w:val="center"/>
          </w:tcPr>
          <w:p w14:paraId="2079256A" w14:textId="27A4A2FE"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(3.879.419)</w:t>
            </w:r>
          </w:p>
        </w:tc>
        <w:tc>
          <w:tcPr>
            <w:tcW w:w="623" w:type="pct"/>
            <w:tcBorders>
              <w:top w:val="single" w:sz="4" w:space="0" w:color="F79646"/>
              <w:left w:val="nil"/>
              <w:bottom w:val="nil"/>
              <w:right w:val="nil"/>
            </w:tcBorders>
            <w:shd w:val="clear" w:color="auto" w:fill="auto"/>
            <w:vAlign w:val="center"/>
          </w:tcPr>
          <w:p w14:paraId="629D251A" w14:textId="720DAA42"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(7.459.938)</w:t>
            </w:r>
          </w:p>
        </w:tc>
        <w:tc>
          <w:tcPr>
            <w:tcW w:w="560" w:type="pct"/>
            <w:tcBorders>
              <w:top w:val="single" w:sz="4" w:space="0" w:color="F79646"/>
              <w:left w:val="nil"/>
              <w:bottom w:val="nil"/>
              <w:right w:val="nil"/>
            </w:tcBorders>
            <w:shd w:val="clear" w:color="auto" w:fill="auto"/>
            <w:vAlign w:val="center"/>
          </w:tcPr>
          <w:p w14:paraId="41A54F3B" w14:textId="1149AAD4"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1.643.126 </w:t>
            </w:r>
          </w:p>
        </w:tc>
        <w:tc>
          <w:tcPr>
            <w:tcW w:w="558" w:type="pct"/>
            <w:tcBorders>
              <w:top w:val="single" w:sz="4" w:space="0" w:color="F79646"/>
              <w:left w:val="nil"/>
              <w:bottom w:val="nil"/>
              <w:right w:val="nil"/>
            </w:tcBorders>
            <w:shd w:val="clear" w:color="auto" w:fill="auto"/>
            <w:vAlign w:val="center"/>
          </w:tcPr>
          <w:p w14:paraId="7DDD5CC7" w14:textId="522B3C70"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4.213.292 </w:t>
            </w:r>
          </w:p>
        </w:tc>
        <w:tc>
          <w:tcPr>
            <w:tcW w:w="575" w:type="pct"/>
            <w:tcBorders>
              <w:top w:val="single" w:sz="4" w:space="0" w:color="F79646"/>
              <w:left w:val="nil"/>
              <w:bottom w:val="nil"/>
              <w:right w:val="nil"/>
            </w:tcBorders>
            <w:shd w:val="clear" w:color="auto" w:fill="auto"/>
            <w:vAlign w:val="center"/>
          </w:tcPr>
          <w:p w14:paraId="303D3009" w14:textId="5FBA8215"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8.800.694 </w:t>
            </w:r>
          </w:p>
        </w:tc>
      </w:tr>
      <w:tr w:rsidR="003B2B2A" w:rsidRPr="00A33766" w14:paraId="667DF8B1" w14:textId="77777777" w:rsidTr="00321762">
        <w:trPr>
          <w:trHeight w:val="283"/>
        </w:trPr>
        <w:tc>
          <w:tcPr>
            <w:tcW w:w="902" w:type="pct"/>
            <w:tcBorders>
              <w:top w:val="nil"/>
              <w:left w:val="nil"/>
              <w:bottom w:val="nil"/>
              <w:right w:val="nil"/>
            </w:tcBorders>
            <w:shd w:val="clear" w:color="auto" w:fill="auto"/>
            <w:vAlign w:val="center"/>
            <w:hideMark/>
          </w:tcPr>
          <w:p w14:paraId="65BF4C6E" w14:textId="77777777" w:rsidR="00C901BC" w:rsidRPr="00FF4346" w:rsidRDefault="00C901BC" w:rsidP="00C901BC">
            <w:pPr>
              <w:rPr>
                <w:rFonts w:ascii="CAIXA Std Book" w:eastAsia="Times New Roman" w:hAnsi="CAIXA Std Book" w:cs="Arial"/>
                <w:color w:val="005CA9"/>
                <w:sz w:val="16"/>
                <w:szCs w:val="16"/>
              </w:rPr>
            </w:pPr>
            <w:proofErr w:type="spellStart"/>
            <w:r w:rsidRPr="00FF4346">
              <w:rPr>
                <w:rFonts w:ascii="CAIXA Std Book" w:eastAsia="Times New Roman" w:hAnsi="CAIXA Std Book" w:cs="Arial"/>
                <w:color w:val="005CA9"/>
                <w:sz w:val="16"/>
                <w:szCs w:val="16"/>
              </w:rPr>
              <w:t>Pré</w:t>
            </w:r>
            <w:proofErr w:type="spellEnd"/>
          </w:p>
        </w:tc>
        <w:tc>
          <w:tcPr>
            <w:tcW w:w="650" w:type="pct"/>
            <w:tcBorders>
              <w:top w:val="nil"/>
              <w:left w:val="nil"/>
              <w:bottom w:val="nil"/>
              <w:right w:val="nil"/>
            </w:tcBorders>
            <w:shd w:val="clear" w:color="auto" w:fill="auto"/>
            <w:vAlign w:val="center"/>
          </w:tcPr>
          <w:p w14:paraId="76E408BA" w14:textId="111D40F7"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7.868.906 </w:t>
            </w:r>
          </w:p>
        </w:tc>
        <w:tc>
          <w:tcPr>
            <w:tcW w:w="566" w:type="pct"/>
            <w:tcBorders>
              <w:top w:val="nil"/>
              <w:left w:val="nil"/>
              <w:bottom w:val="nil"/>
              <w:right w:val="nil"/>
            </w:tcBorders>
            <w:shd w:val="clear" w:color="auto" w:fill="auto"/>
            <w:vAlign w:val="center"/>
          </w:tcPr>
          <w:p w14:paraId="252FAF93" w14:textId="2A51F556"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(230.206)</w:t>
            </w:r>
          </w:p>
        </w:tc>
        <w:tc>
          <w:tcPr>
            <w:tcW w:w="566" w:type="pct"/>
            <w:tcBorders>
              <w:top w:val="nil"/>
              <w:left w:val="nil"/>
              <w:bottom w:val="nil"/>
              <w:right w:val="nil"/>
            </w:tcBorders>
            <w:shd w:val="clear" w:color="auto" w:fill="auto"/>
            <w:vAlign w:val="center"/>
          </w:tcPr>
          <w:p w14:paraId="316F5260" w14:textId="253DA129"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(554.186)</w:t>
            </w:r>
          </w:p>
        </w:tc>
        <w:tc>
          <w:tcPr>
            <w:tcW w:w="623" w:type="pct"/>
            <w:tcBorders>
              <w:top w:val="nil"/>
              <w:left w:val="nil"/>
              <w:bottom w:val="nil"/>
              <w:right w:val="nil"/>
            </w:tcBorders>
            <w:shd w:val="clear" w:color="auto" w:fill="auto"/>
            <w:vAlign w:val="center"/>
          </w:tcPr>
          <w:p w14:paraId="16B7FAA7" w14:textId="485C6F38"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(1.042.942)</w:t>
            </w:r>
          </w:p>
        </w:tc>
        <w:tc>
          <w:tcPr>
            <w:tcW w:w="560" w:type="pct"/>
            <w:tcBorders>
              <w:top w:val="nil"/>
              <w:left w:val="nil"/>
              <w:bottom w:val="nil"/>
              <w:right w:val="nil"/>
            </w:tcBorders>
            <w:shd w:val="clear" w:color="auto" w:fill="auto"/>
            <w:vAlign w:val="center"/>
          </w:tcPr>
          <w:p w14:paraId="2B17A0FA" w14:textId="1D23A292"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242.470 </w:t>
            </w:r>
          </w:p>
        </w:tc>
        <w:tc>
          <w:tcPr>
            <w:tcW w:w="558" w:type="pct"/>
            <w:tcBorders>
              <w:top w:val="nil"/>
              <w:left w:val="nil"/>
              <w:bottom w:val="nil"/>
              <w:right w:val="nil"/>
            </w:tcBorders>
            <w:shd w:val="clear" w:color="auto" w:fill="auto"/>
            <w:vAlign w:val="center"/>
          </w:tcPr>
          <w:p w14:paraId="44875529" w14:textId="7B206BBD"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631.006 </w:t>
            </w:r>
          </w:p>
        </w:tc>
        <w:tc>
          <w:tcPr>
            <w:tcW w:w="575" w:type="pct"/>
            <w:tcBorders>
              <w:top w:val="nil"/>
              <w:left w:val="nil"/>
              <w:bottom w:val="nil"/>
              <w:right w:val="nil"/>
            </w:tcBorders>
            <w:shd w:val="clear" w:color="auto" w:fill="auto"/>
            <w:vAlign w:val="center"/>
          </w:tcPr>
          <w:p w14:paraId="16DAE488" w14:textId="25D23469"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1.352.675 </w:t>
            </w:r>
          </w:p>
        </w:tc>
      </w:tr>
      <w:tr w:rsidR="003B2B2A" w:rsidRPr="00A33766" w14:paraId="14808928" w14:textId="77777777" w:rsidTr="00321762">
        <w:trPr>
          <w:trHeight w:val="283"/>
        </w:trPr>
        <w:tc>
          <w:tcPr>
            <w:tcW w:w="902" w:type="pct"/>
            <w:tcBorders>
              <w:top w:val="nil"/>
              <w:left w:val="nil"/>
              <w:bottom w:val="nil"/>
              <w:right w:val="nil"/>
            </w:tcBorders>
            <w:shd w:val="clear" w:color="auto" w:fill="auto"/>
            <w:vAlign w:val="center"/>
            <w:hideMark/>
          </w:tcPr>
          <w:p w14:paraId="09BA7C7D" w14:textId="77777777" w:rsidR="00C901BC" w:rsidRPr="00FF4346" w:rsidRDefault="00C901BC" w:rsidP="00C901BC">
            <w:pPr>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Cupom IPCA</w:t>
            </w:r>
          </w:p>
        </w:tc>
        <w:tc>
          <w:tcPr>
            <w:tcW w:w="650" w:type="pct"/>
            <w:tcBorders>
              <w:top w:val="nil"/>
              <w:left w:val="nil"/>
              <w:bottom w:val="nil"/>
              <w:right w:val="nil"/>
            </w:tcBorders>
            <w:shd w:val="clear" w:color="auto" w:fill="auto"/>
            <w:vAlign w:val="center"/>
          </w:tcPr>
          <w:p w14:paraId="52468740" w14:textId="0C3178A3"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2.832.912 </w:t>
            </w:r>
          </w:p>
        </w:tc>
        <w:tc>
          <w:tcPr>
            <w:tcW w:w="566" w:type="pct"/>
            <w:tcBorders>
              <w:top w:val="nil"/>
              <w:left w:val="nil"/>
              <w:bottom w:val="nil"/>
              <w:right w:val="nil"/>
            </w:tcBorders>
            <w:shd w:val="clear" w:color="auto" w:fill="auto"/>
            <w:vAlign w:val="center"/>
          </w:tcPr>
          <w:p w14:paraId="76BF72CB" w14:textId="60EDCC8B"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(131.713)</w:t>
            </w:r>
          </w:p>
        </w:tc>
        <w:tc>
          <w:tcPr>
            <w:tcW w:w="566" w:type="pct"/>
            <w:tcBorders>
              <w:top w:val="nil"/>
              <w:left w:val="nil"/>
              <w:bottom w:val="nil"/>
              <w:right w:val="nil"/>
            </w:tcBorders>
            <w:shd w:val="clear" w:color="auto" w:fill="auto"/>
            <w:vAlign w:val="center"/>
          </w:tcPr>
          <w:p w14:paraId="29A3E011" w14:textId="1DCCEDB4"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(310.078)</w:t>
            </w:r>
          </w:p>
        </w:tc>
        <w:tc>
          <w:tcPr>
            <w:tcW w:w="623" w:type="pct"/>
            <w:tcBorders>
              <w:top w:val="nil"/>
              <w:left w:val="nil"/>
              <w:bottom w:val="nil"/>
              <w:right w:val="nil"/>
            </w:tcBorders>
            <w:shd w:val="clear" w:color="auto" w:fill="auto"/>
            <w:vAlign w:val="center"/>
          </w:tcPr>
          <w:p w14:paraId="0ED7ABA5" w14:textId="59C7D9DF"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(565.674)</w:t>
            </w:r>
          </w:p>
        </w:tc>
        <w:tc>
          <w:tcPr>
            <w:tcW w:w="560" w:type="pct"/>
            <w:tcBorders>
              <w:top w:val="nil"/>
              <w:left w:val="nil"/>
              <w:bottom w:val="nil"/>
              <w:right w:val="nil"/>
            </w:tcBorders>
            <w:shd w:val="clear" w:color="auto" w:fill="auto"/>
            <w:vAlign w:val="center"/>
          </w:tcPr>
          <w:p w14:paraId="02E086A7" w14:textId="62FE24CA"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143.687 </w:t>
            </w:r>
          </w:p>
        </w:tc>
        <w:tc>
          <w:tcPr>
            <w:tcW w:w="558" w:type="pct"/>
            <w:tcBorders>
              <w:top w:val="nil"/>
              <w:left w:val="nil"/>
              <w:bottom w:val="nil"/>
              <w:right w:val="nil"/>
            </w:tcBorders>
            <w:shd w:val="clear" w:color="auto" w:fill="auto"/>
            <w:vAlign w:val="center"/>
          </w:tcPr>
          <w:p w14:paraId="7A9A607F" w14:textId="4AD63EFC"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385.757 </w:t>
            </w:r>
          </w:p>
        </w:tc>
        <w:tc>
          <w:tcPr>
            <w:tcW w:w="575" w:type="pct"/>
            <w:tcBorders>
              <w:top w:val="nil"/>
              <w:left w:val="nil"/>
              <w:bottom w:val="nil"/>
              <w:right w:val="nil"/>
            </w:tcBorders>
            <w:shd w:val="clear" w:color="auto" w:fill="auto"/>
            <w:vAlign w:val="center"/>
          </w:tcPr>
          <w:p w14:paraId="0F74F24F" w14:textId="183B2F14"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880.944 </w:t>
            </w:r>
          </w:p>
        </w:tc>
      </w:tr>
      <w:tr w:rsidR="003B2B2A" w:rsidRPr="00A33766" w14:paraId="52E86BC3" w14:textId="77777777" w:rsidTr="00321762">
        <w:trPr>
          <w:trHeight w:val="283"/>
        </w:trPr>
        <w:tc>
          <w:tcPr>
            <w:tcW w:w="902" w:type="pct"/>
            <w:tcBorders>
              <w:top w:val="nil"/>
              <w:left w:val="nil"/>
              <w:bottom w:val="nil"/>
              <w:right w:val="nil"/>
            </w:tcBorders>
            <w:shd w:val="clear" w:color="auto" w:fill="auto"/>
            <w:vAlign w:val="center"/>
            <w:hideMark/>
          </w:tcPr>
          <w:p w14:paraId="221A8FCF" w14:textId="77777777" w:rsidR="00C901BC" w:rsidRPr="00FF4346" w:rsidRDefault="00C901BC" w:rsidP="00C901BC">
            <w:pPr>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Cupom TR</w:t>
            </w:r>
          </w:p>
        </w:tc>
        <w:tc>
          <w:tcPr>
            <w:tcW w:w="650" w:type="pct"/>
            <w:tcBorders>
              <w:top w:val="nil"/>
              <w:left w:val="nil"/>
              <w:bottom w:val="nil"/>
              <w:right w:val="nil"/>
            </w:tcBorders>
            <w:shd w:val="clear" w:color="auto" w:fill="auto"/>
            <w:vAlign w:val="center"/>
          </w:tcPr>
          <w:p w14:paraId="700BCE97" w14:textId="3189CA77"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1.411.205 </w:t>
            </w:r>
          </w:p>
        </w:tc>
        <w:tc>
          <w:tcPr>
            <w:tcW w:w="566" w:type="pct"/>
            <w:tcBorders>
              <w:top w:val="nil"/>
              <w:left w:val="nil"/>
              <w:bottom w:val="nil"/>
              <w:right w:val="nil"/>
            </w:tcBorders>
            <w:shd w:val="clear" w:color="auto" w:fill="auto"/>
            <w:vAlign w:val="center"/>
          </w:tcPr>
          <w:p w14:paraId="10016142" w14:textId="0E28F38D"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(77.327)</w:t>
            </w:r>
          </w:p>
        </w:tc>
        <w:tc>
          <w:tcPr>
            <w:tcW w:w="566" w:type="pct"/>
            <w:tcBorders>
              <w:top w:val="nil"/>
              <w:left w:val="nil"/>
              <w:bottom w:val="nil"/>
              <w:right w:val="nil"/>
            </w:tcBorders>
            <w:shd w:val="clear" w:color="auto" w:fill="auto"/>
            <w:vAlign w:val="center"/>
          </w:tcPr>
          <w:p w14:paraId="1FFCD1C2" w14:textId="5414242A"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(180.910)</w:t>
            </w:r>
          </w:p>
        </w:tc>
        <w:tc>
          <w:tcPr>
            <w:tcW w:w="623" w:type="pct"/>
            <w:tcBorders>
              <w:top w:val="nil"/>
              <w:left w:val="nil"/>
              <w:bottom w:val="nil"/>
              <w:right w:val="nil"/>
            </w:tcBorders>
            <w:shd w:val="clear" w:color="auto" w:fill="auto"/>
            <w:vAlign w:val="center"/>
          </w:tcPr>
          <w:p w14:paraId="4107BC78" w14:textId="23BC4516"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(325.976)</w:t>
            </w:r>
          </w:p>
        </w:tc>
        <w:tc>
          <w:tcPr>
            <w:tcW w:w="560" w:type="pct"/>
            <w:tcBorders>
              <w:top w:val="nil"/>
              <w:left w:val="nil"/>
              <w:bottom w:val="nil"/>
              <w:right w:val="nil"/>
            </w:tcBorders>
            <w:shd w:val="clear" w:color="auto" w:fill="auto"/>
            <w:vAlign w:val="center"/>
          </w:tcPr>
          <w:p w14:paraId="60D61BE3" w14:textId="08B33111"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84.883 </w:t>
            </w:r>
          </w:p>
        </w:tc>
        <w:tc>
          <w:tcPr>
            <w:tcW w:w="558" w:type="pct"/>
            <w:tcBorders>
              <w:top w:val="nil"/>
              <w:left w:val="nil"/>
              <w:bottom w:val="nil"/>
              <w:right w:val="nil"/>
            </w:tcBorders>
            <w:shd w:val="clear" w:color="auto" w:fill="auto"/>
            <w:vAlign w:val="center"/>
          </w:tcPr>
          <w:p w14:paraId="10F8BA92" w14:textId="5D6E0502"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228.452 </w:t>
            </w:r>
          </w:p>
        </w:tc>
        <w:tc>
          <w:tcPr>
            <w:tcW w:w="575" w:type="pct"/>
            <w:tcBorders>
              <w:top w:val="nil"/>
              <w:left w:val="nil"/>
              <w:bottom w:val="nil"/>
              <w:right w:val="nil"/>
            </w:tcBorders>
            <w:shd w:val="clear" w:color="auto" w:fill="auto"/>
            <w:vAlign w:val="center"/>
          </w:tcPr>
          <w:p w14:paraId="311A241E" w14:textId="60C30188"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520.832 </w:t>
            </w:r>
          </w:p>
        </w:tc>
      </w:tr>
      <w:tr w:rsidR="003B2B2A" w:rsidRPr="00A33766" w14:paraId="26E422A7" w14:textId="77777777" w:rsidTr="00321762">
        <w:trPr>
          <w:trHeight w:val="283"/>
        </w:trPr>
        <w:tc>
          <w:tcPr>
            <w:tcW w:w="902" w:type="pct"/>
            <w:tcBorders>
              <w:top w:val="nil"/>
              <w:left w:val="nil"/>
              <w:right w:val="nil"/>
            </w:tcBorders>
            <w:shd w:val="clear" w:color="auto" w:fill="auto"/>
            <w:vAlign w:val="center"/>
            <w:hideMark/>
          </w:tcPr>
          <w:p w14:paraId="397B0204" w14:textId="77777777" w:rsidR="00C901BC" w:rsidRPr="00FF4346" w:rsidRDefault="00C901BC" w:rsidP="00C901BC">
            <w:pPr>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Cupom SELIC</w:t>
            </w:r>
          </w:p>
        </w:tc>
        <w:tc>
          <w:tcPr>
            <w:tcW w:w="650" w:type="pct"/>
            <w:tcBorders>
              <w:top w:val="nil"/>
              <w:left w:val="nil"/>
              <w:right w:val="nil"/>
            </w:tcBorders>
            <w:shd w:val="clear" w:color="auto" w:fill="auto"/>
            <w:vAlign w:val="center"/>
          </w:tcPr>
          <w:p w14:paraId="3F0915B1" w14:textId="341E9626"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185.377.682 </w:t>
            </w:r>
          </w:p>
        </w:tc>
        <w:tc>
          <w:tcPr>
            <w:tcW w:w="566" w:type="pct"/>
            <w:tcBorders>
              <w:top w:val="nil"/>
              <w:left w:val="nil"/>
              <w:right w:val="nil"/>
            </w:tcBorders>
            <w:shd w:val="clear" w:color="auto" w:fill="auto"/>
            <w:vAlign w:val="center"/>
          </w:tcPr>
          <w:p w14:paraId="5A91F0A7" w14:textId="1472FE2F"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(299.469)</w:t>
            </w:r>
          </w:p>
        </w:tc>
        <w:tc>
          <w:tcPr>
            <w:tcW w:w="566" w:type="pct"/>
            <w:tcBorders>
              <w:top w:val="nil"/>
              <w:left w:val="nil"/>
              <w:right w:val="nil"/>
            </w:tcBorders>
            <w:shd w:val="clear" w:color="auto" w:fill="auto"/>
            <w:vAlign w:val="center"/>
          </w:tcPr>
          <w:p w14:paraId="2BCA3034" w14:textId="1A8E0467"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(598.215)</w:t>
            </w:r>
          </w:p>
        </w:tc>
        <w:tc>
          <w:tcPr>
            <w:tcW w:w="623" w:type="pct"/>
            <w:tcBorders>
              <w:top w:val="nil"/>
              <w:left w:val="nil"/>
              <w:right w:val="nil"/>
            </w:tcBorders>
            <w:shd w:val="clear" w:color="auto" w:fill="auto"/>
            <w:vAlign w:val="center"/>
          </w:tcPr>
          <w:p w14:paraId="06A80633" w14:textId="554BA727"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(896.242)</w:t>
            </w:r>
          </w:p>
        </w:tc>
        <w:tc>
          <w:tcPr>
            <w:tcW w:w="560" w:type="pct"/>
            <w:tcBorders>
              <w:top w:val="nil"/>
              <w:left w:val="nil"/>
              <w:right w:val="nil"/>
            </w:tcBorders>
            <w:shd w:val="clear" w:color="auto" w:fill="auto"/>
            <w:vAlign w:val="center"/>
          </w:tcPr>
          <w:p w14:paraId="770274B1" w14:textId="525864CC"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300.193 </w:t>
            </w:r>
          </w:p>
        </w:tc>
        <w:tc>
          <w:tcPr>
            <w:tcW w:w="558" w:type="pct"/>
            <w:tcBorders>
              <w:top w:val="nil"/>
              <w:left w:val="nil"/>
              <w:right w:val="nil"/>
            </w:tcBorders>
            <w:shd w:val="clear" w:color="auto" w:fill="auto"/>
            <w:vAlign w:val="center"/>
          </w:tcPr>
          <w:p w14:paraId="3443A3E9" w14:textId="241FD9F3"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601.113 </w:t>
            </w:r>
          </w:p>
        </w:tc>
        <w:tc>
          <w:tcPr>
            <w:tcW w:w="575" w:type="pct"/>
            <w:tcBorders>
              <w:top w:val="nil"/>
              <w:left w:val="nil"/>
              <w:right w:val="nil"/>
            </w:tcBorders>
            <w:shd w:val="clear" w:color="auto" w:fill="auto"/>
            <w:vAlign w:val="center"/>
          </w:tcPr>
          <w:p w14:paraId="21F3F3FE" w14:textId="74F91212"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902.761 </w:t>
            </w:r>
          </w:p>
        </w:tc>
      </w:tr>
      <w:tr w:rsidR="003B2B2A" w:rsidRPr="00A33766" w14:paraId="06FD6016" w14:textId="77777777" w:rsidTr="00321762">
        <w:trPr>
          <w:trHeight w:val="283"/>
        </w:trPr>
        <w:tc>
          <w:tcPr>
            <w:tcW w:w="902" w:type="pct"/>
            <w:tcBorders>
              <w:top w:val="nil"/>
              <w:left w:val="nil"/>
              <w:bottom w:val="single" w:sz="4" w:space="0" w:color="F79646"/>
              <w:right w:val="nil"/>
            </w:tcBorders>
            <w:shd w:val="clear" w:color="auto" w:fill="auto"/>
            <w:vAlign w:val="center"/>
            <w:hideMark/>
          </w:tcPr>
          <w:p w14:paraId="1912302B" w14:textId="77777777" w:rsidR="00C901BC" w:rsidRPr="00FF4346" w:rsidRDefault="00C901BC" w:rsidP="00C901BC">
            <w:pPr>
              <w:rPr>
                <w:rFonts w:ascii="CAIXA Std Book" w:eastAsia="Times New Roman" w:hAnsi="CAIXA Std Book" w:cs="Arial"/>
                <w:color w:val="005CA9"/>
                <w:sz w:val="16"/>
                <w:szCs w:val="16"/>
              </w:rPr>
            </w:pPr>
            <w:r w:rsidRPr="00FF4346">
              <w:rPr>
                <w:rFonts w:ascii="CAIXA Std Book" w:eastAsia="Times New Roman" w:hAnsi="CAIXA Std Book" w:cs="Arial"/>
                <w:color w:val="005CA9"/>
                <w:sz w:val="16"/>
                <w:szCs w:val="16"/>
              </w:rPr>
              <w:t>Cupom IGPM</w:t>
            </w:r>
          </w:p>
        </w:tc>
        <w:tc>
          <w:tcPr>
            <w:tcW w:w="650" w:type="pct"/>
            <w:tcBorders>
              <w:top w:val="nil"/>
              <w:left w:val="nil"/>
              <w:bottom w:val="single" w:sz="4" w:space="0" w:color="F79646"/>
              <w:right w:val="nil"/>
            </w:tcBorders>
            <w:shd w:val="clear" w:color="auto" w:fill="auto"/>
            <w:vAlign w:val="center"/>
          </w:tcPr>
          <w:p w14:paraId="69CEB0BE" w14:textId="123731BB"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11.896 </w:t>
            </w:r>
          </w:p>
        </w:tc>
        <w:tc>
          <w:tcPr>
            <w:tcW w:w="566" w:type="pct"/>
            <w:tcBorders>
              <w:top w:val="nil"/>
              <w:left w:val="nil"/>
              <w:bottom w:val="single" w:sz="4" w:space="0" w:color="F79646"/>
              <w:right w:val="nil"/>
            </w:tcBorders>
            <w:shd w:val="clear" w:color="auto" w:fill="auto"/>
            <w:vAlign w:val="center"/>
          </w:tcPr>
          <w:p w14:paraId="395F6209" w14:textId="6A7B89B4" w:rsidR="00C901BC" w:rsidRPr="00FF4346" w:rsidRDefault="00500FF9" w:rsidP="003879D8">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(541)</w:t>
            </w:r>
          </w:p>
        </w:tc>
        <w:tc>
          <w:tcPr>
            <w:tcW w:w="566" w:type="pct"/>
            <w:tcBorders>
              <w:top w:val="nil"/>
              <w:left w:val="nil"/>
              <w:bottom w:val="single" w:sz="4" w:space="0" w:color="F79646"/>
              <w:right w:val="nil"/>
            </w:tcBorders>
            <w:shd w:val="clear" w:color="auto" w:fill="auto"/>
            <w:vAlign w:val="center"/>
          </w:tcPr>
          <w:p w14:paraId="1B40B429" w14:textId="205EB621"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(1.290)</w:t>
            </w:r>
          </w:p>
        </w:tc>
        <w:tc>
          <w:tcPr>
            <w:tcW w:w="623" w:type="pct"/>
            <w:tcBorders>
              <w:top w:val="nil"/>
              <w:left w:val="nil"/>
              <w:bottom w:val="single" w:sz="4" w:space="0" w:color="F79646"/>
              <w:right w:val="nil"/>
            </w:tcBorders>
            <w:shd w:val="clear" w:color="auto" w:fill="auto"/>
            <w:vAlign w:val="center"/>
          </w:tcPr>
          <w:p w14:paraId="1C4C47E9" w14:textId="6C7DCD81"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(2.390)</w:t>
            </w:r>
          </w:p>
        </w:tc>
        <w:tc>
          <w:tcPr>
            <w:tcW w:w="560" w:type="pct"/>
            <w:tcBorders>
              <w:top w:val="nil"/>
              <w:left w:val="nil"/>
              <w:bottom w:val="single" w:sz="4" w:space="0" w:color="F79646"/>
              <w:right w:val="nil"/>
            </w:tcBorders>
            <w:shd w:val="clear" w:color="auto" w:fill="auto"/>
            <w:vAlign w:val="center"/>
          </w:tcPr>
          <w:p w14:paraId="356F8645" w14:textId="3141AC93"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578 </w:t>
            </w:r>
          </w:p>
        </w:tc>
        <w:tc>
          <w:tcPr>
            <w:tcW w:w="558" w:type="pct"/>
            <w:tcBorders>
              <w:top w:val="nil"/>
              <w:left w:val="nil"/>
              <w:bottom w:val="single" w:sz="4" w:space="0" w:color="F79646"/>
              <w:right w:val="nil"/>
            </w:tcBorders>
            <w:shd w:val="clear" w:color="auto" w:fill="auto"/>
            <w:vAlign w:val="center"/>
          </w:tcPr>
          <w:p w14:paraId="127EC9A1" w14:textId="3F864DA8"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1.519 </w:t>
            </w:r>
          </w:p>
        </w:tc>
        <w:tc>
          <w:tcPr>
            <w:tcW w:w="575" w:type="pct"/>
            <w:tcBorders>
              <w:top w:val="nil"/>
              <w:left w:val="nil"/>
              <w:bottom w:val="single" w:sz="4" w:space="0" w:color="F79646"/>
              <w:right w:val="nil"/>
            </w:tcBorders>
            <w:shd w:val="clear" w:color="auto" w:fill="auto"/>
            <w:vAlign w:val="center"/>
          </w:tcPr>
          <w:p w14:paraId="2509E0AF" w14:textId="1E5E0019" w:rsidR="00C901BC" w:rsidRPr="00FF4346" w:rsidRDefault="00500FF9" w:rsidP="00C901BC">
            <w:pPr>
              <w:jc w:val="right"/>
              <w:rPr>
                <w:rFonts w:ascii="CAIXA Std Book" w:eastAsia="Times New Roman" w:hAnsi="CAIXA Std Book" w:cs="Arial"/>
                <w:color w:val="005CA9"/>
                <w:sz w:val="16"/>
                <w:szCs w:val="16"/>
              </w:rPr>
            </w:pPr>
            <w:r w:rsidRPr="00451C9F">
              <w:rPr>
                <w:rFonts w:ascii="CAIXA Std Book" w:hAnsi="CAIXA Std Book" w:cs="Calibri"/>
                <w:color w:val="005CA9"/>
                <w:sz w:val="16"/>
                <w:szCs w:val="16"/>
              </w:rPr>
              <w:t xml:space="preserve">3.317 </w:t>
            </w:r>
          </w:p>
        </w:tc>
      </w:tr>
      <w:tr w:rsidR="003B2B2A" w:rsidRPr="00A33766" w14:paraId="20BD1298" w14:textId="77777777" w:rsidTr="00321762">
        <w:trPr>
          <w:trHeight w:val="283"/>
        </w:trPr>
        <w:tc>
          <w:tcPr>
            <w:tcW w:w="902" w:type="pct"/>
            <w:tcBorders>
              <w:top w:val="single" w:sz="4" w:space="0" w:color="F79646"/>
              <w:left w:val="nil"/>
              <w:bottom w:val="single" w:sz="4" w:space="0" w:color="F79646"/>
              <w:right w:val="nil"/>
            </w:tcBorders>
            <w:shd w:val="clear" w:color="auto" w:fill="auto"/>
            <w:noWrap/>
            <w:vAlign w:val="center"/>
            <w:hideMark/>
          </w:tcPr>
          <w:p w14:paraId="415BDC8C" w14:textId="77777777" w:rsidR="00C901BC" w:rsidRPr="00FF4346" w:rsidRDefault="00C901BC" w:rsidP="00C901BC">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TAXA DE EXPOSIÇÃO</w:t>
            </w:r>
          </w:p>
        </w:tc>
        <w:tc>
          <w:tcPr>
            <w:tcW w:w="650" w:type="pct"/>
            <w:tcBorders>
              <w:top w:val="single" w:sz="4" w:space="0" w:color="F79646"/>
              <w:left w:val="nil"/>
              <w:bottom w:val="single" w:sz="4" w:space="0" w:color="F79646"/>
              <w:right w:val="nil"/>
            </w:tcBorders>
            <w:shd w:val="clear" w:color="auto" w:fill="auto"/>
            <w:noWrap/>
            <w:vAlign w:val="center"/>
          </w:tcPr>
          <w:p w14:paraId="7C28B54E" w14:textId="17367F4C"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 xml:space="preserve">277.455.875 </w:t>
            </w:r>
          </w:p>
        </w:tc>
        <w:tc>
          <w:tcPr>
            <w:tcW w:w="566" w:type="pct"/>
            <w:tcBorders>
              <w:top w:val="single" w:sz="4" w:space="0" w:color="F79646"/>
              <w:left w:val="nil"/>
              <w:bottom w:val="single" w:sz="4" w:space="0" w:color="F79646"/>
              <w:right w:val="nil"/>
            </w:tcBorders>
            <w:shd w:val="clear" w:color="auto" w:fill="auto"/>
            <w:noWrap/>
            <w:vAlign w:val="center"/>
          </w:tcPr>
          <w:p w14:paraId="40C0785B" w14:textId="20BE53A3"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(2.329.021)</w:t>
            </w:r>
          </w:p>
        </w:tc>
        <w:tc>
          <w:tcPr>
            <w:tcW w:w="566" w:type="pct"/>
            <w:tcBorders>
              <w:top w:val="single" w:sz="4" w:space="0" w:color="F79646"/>
              <w:left w:val="nil"/>
              <w:bottom w:val="single" w:sz="4" w:space="0" w:color="F79646"/>
              <w:right w:val="nil"/>
            </w:tcBorders>
            <w:shd w:val="clear" w:color="auto" w:fill="auto"/>
            <w:noWrap/>
            <w:vAlign w:val="center"/>
          </w:tcPr>
          <w:p w14:paraId="32D62130" w14:textId="409B6390"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(5.524.098)</w:t>
            </w:r>
          </w:p>
        </w:tc>
        <w:tc>
          <w:tcPr>
            <w:tcW w:w="623" w:type="pct"/>
            <w:tcBorders>
              <w:top w:val="single" w:sz="4" w:space="0" w:color="F79646"/>
              <w:left w:val="nil"/>
              <w:bottom w:val="single" w:sz="4" w:space="0" w:color="F79646"/>
              <w:right w:val="nil"/>
            </w:tcBorders>
            <w:shd w:val="clear" w:color="auto" w:fill="auto"/>
            <w:noWrap/>
            <w:vAlign w:val="center"/>
          </w:tcPr>
          <w:p w14:paraId="5BC3F804" w14:textId="244772DE"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(10.293.162)</w:t>
            </w:r>
          </w:p>
        </w:tc>
        <w:tc>
          <w:tcPr>
            <w:tcW w:w="560" w:type="pct"/>
            <w:tcBorders>
              <w:top w:val="single" w:sz="4" w:space="0" w:color="F79646"/>
              <w:left w:val="nil"/>
              <w:bottom w:val="single" w:sz="4" w:space="0" w:color="F79646"/>
              <w:right w:val="nil"/>
            </w:tcBorders>
            <w:shd w:val="clear" w:color="auto" w:fill="auto"/>
            <w:noWrap/>
            <w:vAlign w:val="center"/>
          </w:tcPr>
          <w:p w14:paraId="080E9988" w14:textId="640E632C"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 xml:space="preserve">2.414.937 </w:t>
            </w:r>
          </w:p>
        </w:tc>
        <w:tc>
          <w:tcPr>
            <w:tcW w:w="558" w:type="pct"/>
            <w:tcBorders>
              <w:top w:val="single" w:sz="4" w:space="0" w:color="F79646"/>
              <w:left w:val="nil"/>
              <w:bottom w:val="single" w:sz="4" w:space="0" w:color="F79646"/>
              <w:right w:val="nil"/>
            </w:tcBorders>
            <w:shd w:val="clear" w:color="auto" w:fill="auto"/>
            <w:noWrap/>
            <w:vAlign w:val="center"/>
          </w:tcPr>
          <w:p w14:paraId="3324B559" w14:textId="16FF757D"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 xml:space="preserve">6.061.139 </w:t>
            </w:r>
          </w:p>
        </w:tc>
        <w:tc>
          <w:tcPr>
            <w:tcW w:w="575" w:type="pct"/>
            <w:tcBorders>
              <w:top w:val="single" w:sz="4" w:space="0" w:color="F79646"/>
              <w:left w:val="nil"/>
              <w:bottom w:val="single" w:sz="4" w:space="0" w:color="F79646"/>
              <w:right w:val="nil"/>
            </w:tcBorders>
            <w:shd w:val="clear" w:color="auto" w:fill="auto"/>
            <w:noWrap/>
            <w:vAlign w:val="center"/>
          </w:tcPr>
          <w:p w14:paraId="224DE0FD" w14:textId="614B0277" w:rsidR="00C901BC" w:rsidRPr="00FF4346" w:rsidRDefault="00500FF9" w:rsidP="00B2564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 xml:space="preserve">12.461.223 </w:t>
            </w:r>
          </w:p>
        </w:tc>
      </w:tr>
      <w:tr w:rsidR="00593291" w:rsidRPr="00A33766" w14:paraId="45BB2377" w14:textId="77777777" w:rsidTr="00321762">
        <w:trPr>
          <w:trHeight w:val="283"/>
        </w:trPr>
        <w:tc>
          <w:tcPr>
            <w:tcW w:w="902" w:type="pct"/>
            <w:tcBorders>
              <w:top w:val="single" w:sz="4" w:space="0" w:color="F79646"/>
              <w:left w:val="nil"/>
              <w:bottom w:val="single" w:sz="4" w:space="0" w:color="F79646"/>
              <w:right w:val="nil"/>
            </w:tcBorders>
            <w:shd w:val="clear" w:color="auto" w:fill="auto"/>
            <w:noWrap/>
            <w:vAlign w:val="center"/>
            <w:hideMark/>
          </w:tcPr>
          <w:p w14:paraId="107F0C0A" w14:textId="77777777" w:rsidR="00C901BC" w:rsidRPr="00FF4346" w:rsidRDefault="00C901BC" w:rsidP="00C901BC">
            <w:pPr>
              <w:rPr>
                <w:rFonts w:ascii="CAIXA Std Book" w:eastAsia="Times New Roman" w:hAnsi="CAIXA Std Book" w:cs="Arial"/>
                <w:b/>
                <w:bCs/>
                <w:color w:val="005CA9"/>
                <w:sz w:val="16"/>
                <w:szCs w:val="16"/>
              </w:rPr>
            </w:pPr>
            <w:r w:rsidRPr="00FF4346">
              <w:rPr>
                <w:rFonts w:ascii="CAIXA Std Book" w:eastAsia="Times New Roman" w:hAnsi="CAIXA Std Book" w:cs="Arial"/>
                <w:b/>
                <w:bCs/>
                <w:color w:val="005CA9"/>
                <w:sz w:val="16"/>
                <w:szCs w:val="16"/>
              </w:rPr>
              <w:t>Variação %</w:t>
            </w:r>
          </w:p>
        </w:tc>
        <w:tc>
          <w:tcPr>
            <w:tcW w:w="650" w:type="pct"/>
            <w:tcBorders>
              <w:top w:val="single" w:sz="4" w:space="0" w:color="F79646"/>
              <w:left w:val="nil"/>
              <w:bottom w:val="single" w:sz="4" w:space="0" w:color="F79646"/>
              <w:right w:val="nil"/>
            </w:tcBorders>
            <w:shd w:val="clear" w:color="auto" w:fill="auto"/>
            <w:noWrap/>
            <w:vAlign w:val="center"/>
          </w:tcPr>
          <w:p w14:paraId="74FDA5A9" w14:textId="15AA8911"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 </w:t>
            </w:r>
          </w:p>
        </w:tc>
        <w:tc>
          <w:tcPr>
            <w:tcW w:w="566" w:type="pct"/>
            <w:tcBorders>
              <w:top w:val="single" w:sz="4" w:space="0" w:color="F79646"/>
              <w:left w:val="nil"/>
              <w:bottom w:val="single" w:sz="4" w:space="0" w:color="F79646"/>
              <w:right w:val="nil"/>
            </w:tcBorders>
            <w:shd w:val="clear" w:color="auto" w:fill="auto"/>
            <w:noWrap/>
            <w:vAlign w:val="center"/>
          </w:tcPr>
          <w:p w14:paraId="41C92FEB" w14:textId="7FCC1F27"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(0,84)</w:t>
            </w:r>
          </w:p>
        </w:tc>
        <w:tc>
          <w:tcPr>
            <w:tcW w:w="566" w:type="pct"/>
            <w:tcBorders>
              <w:top w:val="single" w:sz="4" w:space="0" w:color="F79646"/>
              <w:left w:val="nil"/>
              <w:bottom w:val="single" w:sz="4" w:space="0" w:color="F79646"/>
              <w:right w:val="nil"/>
            </w:tcBorders>
            <w:shd w:val="clear" w:color="auto" w:fill="auto"/>
            <w:noWrap/>
            <w:vAlign w:val="center"/>
          </w:tcPr>
          <w:p w14:paraId="5E401705" w14:textId="54D40617"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(1,99)</w:t>
            </w:r>
          </w:p>
        </w:tc>
        <w:tc>
          <w:tcPr>
            <w:tcW w:w="623" w:type="pct"/>
            <w:tcBorders>
              <w:top w:val="single" w:sz="4" w:space="0" w:color="F79646"/>
              <w:left w:val="nil"/>
              <w:bottom w:val="single" w:sz="4" w:space="0" w:color="F79646"/>
              <w:right w:val="nil"/>
            </w:tcBorders>
            <w:shd w:val="clear" w:color="auto" w:fill="auto"/>
            <w:noWrap/>
            <w:vAlign w:val="center"/>
          </w:tcPr>
          <w:p w14:paraId="5BC0140D" w14:textId="64FA81FC"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(3,71)</w:t>
            </w:r>
          </w:p>
        </w:tc>
        <w:tc>
          <w:tcPr>
            <w:tcW w:w="560" w:type="pct"/>
            <w:tcBorders>
              <w:top w:val="single" w:sz="4" w:space="0" w:color="F79646"/>
              <w:left w:val="nil"/>
              <w:bottom w:val="single" w:sz="4" w:space="0" w:color="F79646"/>
              <w:right w:val="nil"/>
            </w:tcBorders>
            <w:shd w:val="clear" w:color="auto" w:fill="auto"/>
            <w:noWrap/>
            <w:vAlign w:val="center"/>
          </w:tcPr>
          <w:p w14:paraId="72CE0C83" w14:textId="79599462"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0,87</w:t>
            </w:r>
          </w:p>
        </w:tc>
        <w:tc>
          <w:tcPr>
            <w:tcW w:w="558" w:type="pct"/>
            <w:tcBorders>
              <w:top w:val="single" w:sz="4" w:space="0" w:color="F79646"/>
              <w:left w:val="nil"/>
              <w:bottom w:val="single" w:sz="4" w:space="0" w:color="F79646"/>
              <w:right w:val="nil"/>
            </w:tcBorders>
            <w:shd w:val="clear" w:color="auto" w:fill="auto"/>
            <w:noWrap/>
            <w:vAlign w:val="center"/>
          </w:tcPr>
          <w:p w14:paraId="65C2FCF7" w14:textId="7C9E6CC2"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2,18</w:t>
            </w:r>
          </w:p>
        </w:tc>
        <w:tc>
          <w:tcPr>
            <w:tcW w:w="575" w:type="pct"/>
            <w:tcBorders>
              <w:top w:val="single" w:sz="4" w:space="0" w:color="F79646"/>
              <w:left w:val="nil"/>
              <w:bottom w:val="single" w:sz="4" w:space="0" w:color="F79646"/>
              <w:right w:val="nil"/>
            </w:tcBorders>
            <w:shd w:val="clear" w:color="auto" w:fill="auto"/>
            <w:noWrap/>
            <w:vAlign w:val="center"/>
          </w:tcPr>
          <w:p w14:paraId="046F87D8" w14:textId="64BF43BD" w:rsidR="00C901BC" w:rsidRPr="00FF4346" w:rsidRDefault="00500FF9" w:rsidP="006A56C1">
            <w:pPr>
              <w:jc w:val="right"/>
              <w:rPr>
                <w:rFonts w:ascii="CAIXA Std Book" w:eastAsia="Times New Roman" w:hAnsi="CAIXA Std Book" w:cs="Arial"/>
                <w:b/>
                <w:bCs/>
                <w:color w:val="005CA9"/>
                <w:sz w:val="16"/>
                <w:szCs w:val="16"/>
              </w:rPr>
            </w:pPr>
            <w:r w:rsidRPr="00451C9F">
              <w:rPr>
                <w:rFonts w:ascii="CAIXA Std Book" w:hAnsi="CAIXA Std Book" w:cs="Calibri"/>
                <w:b/>
                <w:bCs/>
                <w:color w:val="005CA9"/>
                <w:sz w:val="16"/>
                <w:szCs w:val="16"/>
              </w:rPr>
              <w:t>4,49</w:t>
            </w:r>
          </w:p>
        </w:tc>
      </w:tr>
    </w:tbl>
    <w:p w14:paraId="500C76E9" w14:textId="1353B58F" w:rsidR="00415B52" w:rsidRPr="00FF4346" w:rsidRDefault="00415B52" w:rsidP="00B37B40">
      <w:pPr>
        <w:pStyle w:val="PargrafodaLista"/>
        <w:numPr>
          <w:ilvl w:val="0"/>
          <w:numId w:val="25"/>
        </w:numPr>
        <w:spacing w:before="240" w:after="120"/>
        <w:ind w:left="567" w:hanging="577"/>
        <w:jc w:val="both"/>
        <w:rPr>
          <w:rFonts w:ascii="CAIXA Std Book" w:hAnsi="CAIXA Std Book"/>
          <w:b/>
          <w:color w:val="005CA9"/>
          <w:sz w:val="20"/>
          <w:szCs w:val="20"/>
        </w:rPr>
      </w:pPr>
      <w:r w:rsidRPr="00FF4346">
        <w:rPr>
          <w:rFonts w:ascii="CAIXA Std Book" w:hAnsi="CAIXA Std Book"/>
          <w:b/>
          <w:color w:val="005CA9"/>
          <w:sz w:val="20"/>
          <w:szCs w:val="20"/>
        </w:rPr>
        <w:t xml:space="preserve">Valor </w:t>
      </w:r>
      <w:r w:rsidR="000C36ED" w:rsidRPr="00FF4346">
        <w:rPr>
          <w:rFonts w:ascii="CAIXA Std Book" w:hAnsi="CAIXA Std Book"/>
          <w:b/>
          <w:color w:val="005CA9"/>
          <w:sz w:val="20"/>
          <w:szCs w:val="20"/>
        </w:rPr>
        <w:t>j</w:t>
      </w:r>
      <w:r w:rsidRPr="00FF4346">
        <w:rPr>
          <w:rFonts w:ascii="CAIXA Std Book" w:hAnsi="CAIXA Std Book"/>
          <w:b/>
          <w:color w:val="005CA9"/>
          <w:sz w:val="20"/>
          <w:szCs w:val="20"/>
        </w:rPr>
        <w:t>usto</w:t>
      </w:r>
    </w:p>
    <w:p w14:paraId="093AA94E" w14:textId="7B02308F" w:rsidR="00415B52" w:rsidRPr="00FF4346" w:rsidRDefault="00415B52" w:rsidP="001057F2">
      <w:pPr>
        <w:autoSpaceDE w:val="0"/>
        <w:autoSpaceDN w:val="0"/>
        <w:adjustRightInd w:val="0"/>
        <w:spacing w:before="120" w:after="120"/>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 xml:space="preserve">Considerando o conceito de valor justo, quando não houver preço cotado em mercado ativo disponível para um instrumento financeiro e também não seja possível identificar operações recentes com instrumento financeiro similar, a </w:t>
      </w:r>
      <w:r w:rsidR="00D70BB9" w:rsidRPr="00FF4346">
        <w:rPr>
          <w:rFonts w:ascii="CAIXA Std Book" w:eastAsia="Times New Roman" w:hAnsi="CAIXA Std Book" w:cs="Arial"/>
          <w:color w:val="005CA9"/>
          <w:sz w:val="20"/>
          <w:szCs w:val="20"/>
        </w:rPr>
        <w:t>CAIXA</w:t>
      </w:r>
      <w:r w:rsidRPr="00FF4346">
        <w:rPr>
          <w:rFonts w:ascii="CAIXA Std Book" w:eastAsia="Times New Roman" w:hAnsi="CAIXA Std Book" w:cs="Arial"/>
          <w:color w:val="005CA9"/>
          <w:sz w:val="20"/>
          <w:szCs w:val="20"/>
        </w:rPr>
        <w:t xml:space="preserve"> define o valor justo de instrumentos financeiros com base em metodologias de apreçamento praticada pelo mercado, como o método do valor presente obtido pelo fluxo de caixa descontado, e assumindo pressupostos como a adoção de um </w:t>
      </w:r>
      <w:r w:rsidRPr="00FF4346">
        <w:rPr>
          <w:rFonts w:ascii="CAIXA Std Book" w:eastAsia="Times New Roman" w:hAnsi="CAIXA Std Book" w:cs="Arial"/>
          <w:i/>
          <w:iCs/>
          <w:color w:val="005CA9"/>
          <w:sz w:val="20"/>
          <w:szCs w:val="20"/>
        </w:rPr>
        <w:t>spread</w:t>
      </w:r>
      <w:r w:rsidRPr="00FF4346">
        <w:rPr>
          <w:rFonts w:ascii="CAIXA Std Book" w:eastAsia="Times New Roman" w:hAnsi="CAIXA Std Book" w:cs="Arial"/>
          <w:color w:val="005CA9"/>
          <w:sz w:val="20"/>
          <w:szCs w:val="20"/>
        </w:rPr>
        <w:t xml:space="preserve"> de crédito a partir do </w:t>
      </w:r>
      <w:r w:rsidRPr="00FF4346">
        <w:rPr>
          <w:rFonts w:ascii="CAIXA Std Book" w:eastAsia="Times New Roman" w:hAnsi="CAIXA Std Book" w:cs="Arial"/>
          <w:i/>
          <w:iCs/>
          <w:color w:val="005CA9"/>
          <w:sz w:val="20"/>
          <w:szCs w:val="20"/>
        </w:rPr>
        <w:t>rating</w:t>
      </w:r>
      <w:r w:rsidRPr="00FF4346">
        <w:rPr>
          <w:rFonts w:ascii="CAIXA Std Book" w:eastAsia="Times New Roman" w:hAnsi="CAIXA Std Book" w:cs="Arial"/>
          <w:color w:val="005CA9"/>
          <w:sz w:val="20"/>
          <w:szCs w:val="20"/>
        </w:rPr>
        <w:t xml:space="preserve"> de crédito do emissor, a inclusão de um modelo de resgate antecipado por taxa de desconto definida na construção de árvore binomial de probabilidade (para instrumentos com possibilidade de resgate antecipado) ou de outras técnicas de avaliação.</w:t>
      </w:r>
    </w:p>
    <w:p w14:paraId="7C763D94" w14:textId="5A146773" w:rsidR="00415B52" w:rsidRPr="00FF4346" w:rsidRDefault="00415B52" w:rsidP="001057F2">
      <w:pPr>
        <w:tabs>
          <w:tab w:val="left" w:pos="1650"/>
        </w:tabs>
        <w:spacing w:before="120" w:after="120"/>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 xml:space="preserve">O IFRS 7 </w:t>
      </w:r>
      <w:r w:rsidR="00AF3FB7" w:rsidRPr="00FF4346">
        <w:rPr>
          <w:rFonts w:ascii="CAIXA Std Book" w:eastAsia="Times New Roman" w:hAnsi="CAIXA Std Book" w:cs="Arial"/>
          <w:color w:val="005CA9"/>
          <w:sz w:val="20"/>
          <w:szCs w:val="20"/>
        </w:rPr>
        <w:t>(CPC 4</w:t>
      </w:r>
      <w:r w:rsidR="00E91653" w:rsidRPr="00FF4346">
        <w:rPr>
          <w:rFonts w:ascii="CAIXA Std Book" w:eastAsia="Times New Roman" w:hAnsi="CAIXA Std Book" w:cs="Arial"/>
          <w:color w:val="005CA9"/>
          <w:sz w:val="20"/>
          <w:szCs w:val="20"/>
        </w:rPr>
        <w:t>6</w:t>
      </w:r>
      <w:r w:rsidR="00AF3FB7" w:rsidRPr="00FF4346">
        <w:rPr>
          <w:rFonts w:ascii="CAIXA Std Book" w:eastAsia="Times New Roman" w:hAnsi="CAIXA Std Book" w:cs="Arial"/>
          <w:color w:val="005CA9"/>
          <w:sz w:val="20"/>
          <w:szCs w:val="20"/>
        </w:rPr>
        <w:t>)</w:t>
      </w:r>
      <w:r w:rsidRPr="00FF4346">
        <w:rPr>
          <w:rFonts w:ascii="CAIXA Std Book" w:eastAsia="Times New Roman" w:hAnsi="CAIXA Std Book" w:cs="Arial"/>
          <w:color w:val="005CA9"/>
          <w:sz w:val="20"/>
          <w:szCs w:val="20"/>
        </w:rPr>
        <w:t xml:space="preserve"> especifica uma hierarquia de técnicas de avaliação com base no critério utilização de dados observáveis ou não observáveis. </w:t>
      </w:r>
    </w:p>
    <w:p w14:paraId="5F254402" w14:textId="77777777" w:rsidR="00415B52" w:rsidRPr="00FF4346" w:rsidRDefault="00415B52" w:rsidP="001057F2">
      <w:pPr>
        <w:tabs>
          <w:tab w:val="left" w:pos="1650"/>
        </w:tabs>
        <w:spacing w:before="120" w:after="120"/>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 xml:space="preserve">Dados observáveis refletem informações obtidas no mercado via fontes independentes e os dados não observáveis refletem as premissas de mercado utilizadas pela Instituição. </w:t>
      </w:r>
    </w:p>
    <w:p w14:paraId="33AEFAA3" w14:textId="77777777" w:rsidR="00415B52" w:rsidRPr="00FF4346" w:rsidRDefault="00415B52" w:rsidP="001057F2">
      <w:pPr>
        <w:tabs>
          <w:tab w:val="left" w:pos="1650"/>
        </w:tabs>
        <w:spacing w:before="120" w:after="120"/>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Estes dois tipos de dados criaram a seguinte hierarquia de valor justo:</w:t>
      </w:r>
    </w:p>
    <w:p w14:paraId="5AD206FF" w14:textId="77777777" w:rsidR="00415B52" w:rsidRPr="00FF4346" w:rsidRDefault="00415B52" w:rsidP="00B37B40">
      <w:pPr>
        <w:numPr>
          <w:ilvl w:val="0"/>
          <w:numId w:val="15"/>
        </w:numPr>
        <w:spacing w:before="120" w:after="120"/>
        <w:ind w:left="709" w:hanging="283"/>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lastRenderedPageBreak/>
        <w:t>Nível 1 – preços cotados (não ajustados) nos mercados de ativos para ativos e passivos idênticos. Este nível inclui títulos listados e instrumentos de dívida em negociação na bolsa de valores, mercadorias e futuros, por exemplo.</w:t>
      </w:r>
    </w:p>
    <w:p w14:paraId="46633EED" w14:textId="77777777" w:rsidR="00415B52" w:rsidRPr="00FF4346" w:rsidRDefault="00415B52" w:rsidP="00B37B40">
      <w:pPr>
        <w:numPr>
          <w:ilvl w:val="0"/>
          <w:numId w:val="15"/>
        </w:numPr>
        <w:spacing w:before="120" w:after="120"/>
        <w:ind w:left="709" w:hanging="283"/>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 xml:space="preserve">Nível 2 – outros dados observáveis para ativo ou passivo, diretamente (preços) ou indiretamente (derivada de preços), exceto os do nível 1, incluindo a maioria dos contratos de balcão de derivativos, empréstimos negociados e emissão de dívida estruturada. </w:t>
      </w:r>
    </w:p>
    <w:p w14:paraId="6871DF37" w14:textId="2ADE84A0" w:rsidR="00415B52" w:rsidRPr="00FF4346" w:rsidRDefault="00415B52" w:rsidP="00B37B40">
      <w:pPr>
        <w:numPr>
          <w:ilvl w:val="0"/>
          <w:numId w:val="15"/>
        </w:numPr>
        <w:spacing w:before="120" w:after="120"/>
        <w:ind w:left="709" w:hanging="283"/>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Nível 3 – dados para mensurar o ativo ou passivo que não se baseiam em informações de mercado observáveis (dados não observáveis). Este nível inclui instrumentos de patrimônio e dívida composto significativamente por dados não observáveis.</w:t>
      </w:r>
    </w:p>
    <w:p w14:paraId="0C75B522" w14:textId="77777777" w:rsidR="00415B52" w:rsidRPr="00FF4346" w:rsidRDefault="00415B52" w:rsidP="001057F2">
      <w:pPr>
        <w:spacing w:before="120" w:after="120"/>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Os insumos para coleta de dados, que compõem o processo de formação de preço dos instrumentos, como fonte primária, são obtidos das seguintes fontes:</w:t>
      </w:r>
    </w:p>
    <w:p w14:paraId="1F0E9727" w14:textId="77777777" w:rsidR="00415B52" w:rsidRPr="00FF4346" w:rsidRDefault="00415B52" w:rsidP="00B37B40">
      <w:pPr>
        <w:numPr>
          <w:ilvl w:val="0"/>
          <w:numId w:val="15"/>
        </w:numPr>
        <w:spacing w:before="120" w:after="120"/>
        <w:ind w:left="709" w:hanging="283"/>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Mercado secundários de títulos públicos federais: ANBIMA;</w:t>
      </w:r>
    </w:p>
    <w:p w14:paraId="66373DF8" w14:textId="1D7F7448" w:rsidR="00415B52" w:rsidRPr="00FF4346" w:rsidRDefault="00415B52" w:rsidP="00B37B40">
      <w:pPr>
        <w:numPr>
          <w:ilvl w:val="0"/>
          <w:numId w:val="15"/>
        </w:numPr>
        <w:spacing w:before="120" w:after="120"/>
        <w:ind w:left="709" w:hanging="283"/>
        <w:jc w:val="both"/>
        <w:rPr>
          <w:rFonts w:ascii="CAIXA Std Book" w:eastAsia="Times New Roman" w:hAnsi="CAIXA Std Book" w:cs="Arial"/>
          <w:color w:val="005CA9"/>
          <w:sz w:val="20"/>
          <w:szCs w:val="20"/>
        </w:rPr>
      </w:pPr>
      <w:r w:rsidRPr="00FF4346">
        <w:rPr>
          <w:rFonts w:ascii="CAIXA Std Book" w:eastAsia="Times New Roman" w:hAnsi="CAIXA Std Book" w:cs="Arial"/>
          <w:color w:val="005CA9"/>
          <w:sz w:val="20"/>
          <w:szCs w:val="20"/>
        </w:rPr>
        <w:t xml:space="preserve">Cotações de ações, preços e ajustes de contratos futuros, taxas de mercado para swap, taxa DI: B3 </w:t>
      </w:r>
      <w:proofErr w:type="spellStart"/>
      <w:proofErr w:type="gramStart"/>
      <w:r w:rsidRPr="00FF4346">
        <w:rPr>
          <w:rFonts w:ascii="CAIXA Std Book" w:eastAsia="Times New Roman" w:hAnsi="CAIXA Std Book" w:cs="Arial"/>
          <w:color w:val="005CA9"/>
          <w:sz w:val="20"/>
          <w:szCs w:val="20"/>
        </w:rPr>
        <w:t>S.Al</w:t>
      </w:r>
      <w:proofErr w:type="spellEnd"/>
      <w:proofErr w:type="gramEnd"/>
      <w:r w:rsidRPr="00FF4346">
        <w:rPr>
          <w:rFonts w:ascii="CAIXA Std Book" w:eastAsia="Times New Roman" w:hAnsi="CAIXA Std Book" w:cs="Arial"/>
          <w:color w:val="005CA9"/>
          <w:sz w:val="20"/>
          <w:szCs w:val="20"/>
        </w:rPr>
        <w:t xml:space="preserve"> – Brasil, Bolsa, Balcão</w:t>
      </w:r>
      <w:r w:rsidR="004E442B" w:rsidRPr="00FF4346">
        <w:rPr>
          <w:rFonts w:ascii="CAIXA Std Book" w:eastAsia="Times New Roman" w:hAnsi="CAIXA Std Book" w:cs="Arial"/>
          <w:color w:val="005CA9"/>
          <w:sz w:val="20"/>
          <w:szCs w:val="20"/>
        </w:rPr>
        <w:t>.</w:t>
      </w:r>
    </w:p>
    <w:p w14:paraId="73EA3526" w14:textId="6A36963B" w:rsidR="00BE285A" w:rsidRPr="00FF4346" w:rsidRDefault="00602A3F" w:rsidP="00D64E5B">
      <w:pPr>
        <w:spacing w:before="240" w:after="240"/>
        <w:jc w:val="both"/>
        <w:rPr>
          <w:rFonts w:ascii="CAIXA Std Book" w:eastAsia="Times New Roman" w:hAnsi="CAIXA Std Book" w:cs="Arial"/>
          <w:b/>
          <w:bCs/>
          <w:color w:val="005CA9"/>
          <w:sz w:val="20"/>
          <w:szCs w:val="20"/>
        </w:rPr>
      </w:pPr>
      <w:r w:rsidRPr="00FF4346">
        <w:rPr>
          <w:rFonts w:ascii="CAIXA Std Book" w:hAnsi="CAIXA Std Book"/>
          <w:b/>
          <w:color w:val="005CA9"/>
          <w:sz w:val="20"/>
          <w:szCs w:val="20"/>
        </w:rPr>
        <w:t>(</w:t>
      </w:r>
      <w:r w:rsidR="00407EDD">
        <w:rPr>
          <w:rFonts w:ascii="CAIXA Std Book" w:hAnsi="CAIXA Std Book"/>
          <w:b/>
          <w:color w:val="005CA9"/>
          <w:sz w:val="20"/>
          <w:szCs w:val="20"/>
        </w:rPr>
        <w:t>d</w:t>
      </w:r>
      <w:r w:rsidRPr="00FF4346">
        <w:rPr>
          <w:rFonts w:ascii="CAIXA Std Book" w:hAnsi="CAIXA Std Book"/>
          <w:b/>
          <w:color w:val="005CA9"/>
          <w:sz w:val="20"/>
          <w:szCs w:val="20"/>
        </w:rPr>
        <w:t>)</w:t>
      </w:r>
      <w:r w:rsidRPr="00FF4346">
        <w:rPr>
          <w:rFonts w:ascii="CAIXA Std Book" w:hAnsi="CAIXA Std Book"/>
          <w:b/>
          <w:color w:val="005CA9"/>
          <w:sz w:val="20"/>
          <w:szCs w:val="20"/>
        </w:rPr>
        <w:tab/>
      </w:r>
      <w:r w:rsidR="00BE285A" w:rsidRPr="00FF4346">
        <w:rPr>
          <w:rFonts w:ascii="CAIXA Std Book" w:eastAsia="Times New Roman" w:hAnsi="CAIXA Std Book" w:cs="Arial"/>
          <w:b/>
          <w:bCs/>
          <w:color w:val="005CA9"/>
          <w:sz w:val="20"/>
          <w:szCs w:val="20"/>
        </w:rPr>
        <w:t xml:space="preserve">Hierarquia do valor </w:t>
      </w:r>
      <w:r w:rsidR="008917CE" w:rsidRPr="00FF4346">
        <w:rPr>
          <w:rFonts w:ascii="CAIXA Std Book" w:eastAsia="Times New Roman" w:hAnsi="CAIXA Std Book" w:cs="Arial"/>
          <w:b/>
          <w:bCs/>
          <w:color w:val="005CA9"/>
          <w:sz w:val="20"/>
          <w:szCs w:val="20"/>
        </w:rPr>
        <w:t>justo</w:t>
      </w:r>
    </w:p>
    <w:tbl>
      <w:tblPr>
        <w:tblW w:w="5168" w:type="pct"/>
        <w:tblCellMar>
          <w:left w:w="70" w:type="dxa"/>
          <w:right w:w="70" w:type="dxa"/>
        </w:tblCellMar>
        <w:tblLook w:val="04A0" w:firstRow="1" w:lastRow="0" w:firstColumn="1" w:lastColumn="0" w:noHBand="0" w:noVBand="1"/>
      </w:tblPr>
      <w:tblGrid>
        <w:gridCol w:w="4101"/>
        <w:gridCol w:w="1250"/>
        <w:gridCol w:w="1250"/>
        <w:gridCol w:w="1112"/>
        <w:gridCol w:w="1250"/>
        <w:gridCol w:w="1112"/>
      </w:tblGrid>
      <w:tr w:rsidR="00232740" w:rsidRPr="00A33766" w14:paraId="71101CE7" w14:textId="77777777" w:rsidTr="002B1C17">
        <w:trPr>
          <w:trHeight w:val="283"/>
        </w:trPr>
        <w:tc>
          <w:tcPr>
            <w:tcW w:w="5000" w:type="pct"/>
            <w:gridSpan w:val="6"/>
            <w:tcBorders>
              <w:top w:val="single" w:sz="4" w:space="0" w:color="F39200"/>
              <w:left w:val="nil"/>
              <w:bottom w:val="single" w:sz="4" w:space="0" w:color="F39200"/>
              <w:right w:val="nil"/>
            </w:tcBorders>
            <w:shd w:val="clear" w:color="auto" w:fill="auto"/>
            <w:noWrap/>
            <w:vAlign w:val="center"/>
          </w:tcPr>
          <w:p w14:paraId="5D326316" w14:textId="5BFDA417" w:rsidR="00232740" w:rsidRPr="00FF4346" w:rsidRDefault="00232740" w:rsidP="00F737F0">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INDIVIDUAL</w:t>
            </w:r>
          </w:p>
        </w:tc>
      </w:tr>
      <w:tr w:rsidR="008455D6" w:rsidRPr="00A33766" w14:paraId="1BDB21A0" w14:textId="77777777" w:rsidTr="002B1C17">
        <w:trPr>
          <w:trHeight w:val="283"/>
        </w:trPr>
        <w:tc>
          <w:tcPr>
            <w:tcW w:w="2035" w:type="pct"/>
            <w:vMerge w:val="restart"/>
            <w:tcBorders>
              <w:top w:val="single" w:sz="4" w:space="0" w:color="F39200"/>
              <w:left w:val="nil"/>
              <w:bottom w:val="single" w:sz="4" w:space="0" w:color="F39200"/>
              <w:right w:val="nil"/>
            </w:tcBorders>
            <w:shd w:val="clear" w:color="auto" w:fill="auto"/>
            <w:noWrap/>
            <w:vAlign w:val="center"/>
            <w:hideMark/>
          </w:tcPr>
          <w:p w14:paraId="12D8AC04" w14:textId="0DC08C93" w:rsidR="008455D6" w:rsidRPr="00FF4346" w:rsidRDefault="00410D46" w:rsidP="00094E08">
            <w:pPr>
              <w:jc w:val="center"/>
              <w:rPr>
                <w:rFonts w:ascii="CAIXA Std Book" w:eastAsia="Times New Roman" w:hAnsi="CAIXA Std Book" w:cs="Calibri"/>
                <w:b/>
                <w:bCs/>
                <w:color w:val="005CA9"/>
                <w:sz w:val="16"/>
                <w:szCs w:val="16"/>
              </w:rPr>
            </w:pPr>
            <w:proofErr w:type="spellStart"/>
            <w:r w:rsidRPr="00FF4346">
              <w:rPr>
                <w:rFonts w:ascii="CAIXA Std Book" w:eastAsia="Times New Roman" w:hAnsi="CAIXA Std Book" w:cs="Calibri"/>
                <w:b/>
                <w:bCs/>
                <w:color w:val="005CA9"/>
                <w:sz w:val="16"/>
                <w:szCs w:val="16"/>
              </w:rPr>
              <w:t>Decrição</w:t>
            </w:r>
            <w:proofErr w:type="spellEnd"/>
          </w:p>
        </w:tc>
        <w:tc>
          <w:tcPr>
            <w:tcW w:w="1241" w:type="pct"/>
            <w:gridSpan w:val="2"/>
            <w:tcBorders>
              <w:top w:val="single" w:sz="4" w:space="0" w:color="F39200"/>
              <w:left w:val="nil"/>
              <w:bottom w:val="single" w:sz="4" w:space="0" w:color="F39200"/>
              <w:right w:val="single" w:sz="4" w:space="0" w:color="FFFFFF" w:themeColor="background1"/>
            </w:tcBorders>
            <w:vAlign w:val="center"/>
          </w:tcPr>
          <w:p w14:paraId="1D4BD6B8" w14:textId="59D1229F" w:rsidR="008455D6" w:rsidRPr="00FF4346" w:rsidRDefault="00CE1B88" w:rsidP="008455D6">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w:t>
            </w:r>
            <w:r w:rsidR="004B7707">
              <w:rPr>
                <w:rFonts w:ascii="CAIXA Std Book" w:eastAsia="Times New Roman" w:hAnsi="CAIXA Std Book" w:cs="Calibri"/>
                <w:b/>
                <w:bCs/>
                <w:color w:val="005CA9"/>
                <w:sz w:val="16"/>
                <w:szCs w:val="16"/>
              </w:rPr>
              <w:t>03/2024</w:t>
            </w:r>
          </w:p>
        </w:tc>
        <w:tc>
          <w:tcPr>
            <w:tcW w:w="1724" w:type="pct"/>
            <w:gridSpan w:val="3"/>
            <w:tcBorders>
              <w:top w:val="single" w:sz="4" w:space="0" w:color="F39200"/>
              <w:left w:val="single" w:sz="4" w:space="0" w:color="FFFFFF" w:themeColor="background1"/>
              <w:bottom w:val="single" w:sz="4" w:space="0" w:color="F39200"/>
              <w:right w:val="nil"/>
            </w:tcBorders>
            <w:shd w:val="clear" w:color="auto" w:fill="auto"/>
            <w:noWrap/>
            <w:vAlign w:val="center"/>
            <w:hideMark/>
          </w:tcPr>
          <w:p w14:paraId="01790C57" w14:textId="77777777" w:rsidR="008455D6" w:rsidRPr="00FF4346" w:rsidRDefault="008455D6" w:rsidP="00F737F0">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Níveis de valor justo</w:t>
            </w:r>
          </w:p>
        </w:tc>
      </w:tr>
      <w:tr w:rsidR="00D94EEB" w:rsidRPr="00A33766" w14:paraId="36D76826" w14:textId="77777777" w:rsidTr="002B1C17">
        <w:trPr>
          <w:trHeight w:val="283"/>
        </w:trPr>
        <w:tc>
          <w:tcPr>
            <w:tcW w:w="2035" w:type="pct"/>
            <w:vMerge/>
            <w:tcBorders>
              <w:top w:val="single" w:sz="4" w:space="0" w:color="F39200"/>
              <w:left w:val="nil"/>
              <w:bottom w:val="single" w:sz="4" w:space="0" w:color="F39200"/>
              <w:right w:val="nil"/>
            </w:tcBorders>
            <w:vAlign w:val="center"/>
            <w:hideMark/>
          </w:tcPr>
          <w:p w14:paraId="40A5BD8F" w14:textId="77777777" w:rsidR="008455D6" w:rsidRPr="00FF4346" w:rsidRDefault="008455D6" w:rsidP="008455D6">
            <w:pPr>
              <w:rPr>
                <w:rFonts w:ascii="CAIXA Std Book" w:eastAsia="Times New Roman" w:hAnsi="CAIXA Std Book" w:cs="Calibri"/>
                <w:b/>
                <w:bCs/>
                <w:color w:val="005CA9"/>
                <w:sz w:val="16"/>
                <w:szCs w:val="16"/>
              </w:rPr>
            </w:pPr>
          </w:p>
        </w:tc>
        <w:tc>
          <w:tcPr>
            <w:tcW w:w="620" w:type="pct"/>
            <w:tcBorders>
              <w:top w:val="single" w:sz="4" w:space="0" w:color="F39200"/>
              <w:left w:val="nil"/>
              <w:bottom w:val="single" w:sz="4" w:space="0" w:color="F39200"/>
              <w:right w:val="nil"/>
            </w:tcBorders>
            <w:shd w:val="clear" w:color="000000" w:fill="FFFFFF"/>
            <w:vAlign w:val="center"/>
          </w:tcPr>
          <w:p w14:paraId="2E529810" w14:textId="08E15187" w:rsidR="008455D6" w:rsidRPr="00FF4346" w:rsidRDefault="008455D6"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620" w:type="pct"/>
            <w:tcBorders>
              <w:top w:val="single" w:sz="4" w:space="0" w:color="F39200"/>
              <w:left w:val="nil"/>
              <w:bottom w:val="single" w:sz="4" w:space="0" w:color="F39200"/>
              <w:right w:val="nil"/>
            </w:tcBorders>
            <w:shd w:val="clear" w:color="000000" w:fill="FFFFFF"/>
            <w:noWrap/>
            <w:vAlign w:val="center"/>
            <w:hideMark/>
          </w:tcPr>
          <w:p w14:paraId="3165F267" w14:textId="18FE7C0E" w:rsidR="008455D6" w:rsidRPr="00FF4346" w:rsidRDefault="008455D6"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justo</w:t>
            </w:r>
          </w:p>
        </w:tc>
        <w:tc>
          <w:tcPr>
            <w:tcW w:w="552" w:type="pct"/>
            <w:tcBorders>
              <w:top w:val="nil"/>
              <w:left w:val="nil"/>
              <w:bottom w:val="single" w:sz="4" w:space="0" w:color="F39200"/>
              <w:right w:val="nil"/>
            </w:tcBorders>
            <w:shd w:val="clear" w:color="000000" w:fill="FFFFFF"/>
            <w:noWrap/>
            <w:vAlign w:val="center"/>
            <w:hideMark/>
          </w:tcPr>
          <w:p w14:paraId="2F111450" w14:textId="77777777" w:rsidR="008455D6" w:rsidRPr="00FF4346" w:rsidRDefault="008455D6"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1</w:t>
            </w:r>
          </w:p>
        </w:tc>
        <w:tc>
          <w:tcPr>
            <w:tcW w:w="620" w:type="pct"/>
            <w:tcBorders>
              <w:top w:val="nil"/>
              <w:left w:val="nil"/>
              <w:bottom w:val="single" w:sz="4" w:space="0" w:color="F39200"/>
              <w:right w:val="nil"/>
            </w:tcBorders>
            <w:shd w:val="clear" w:color="000000" w:fill="FFFFFF"/>
            <w:noWrap/>
            <w:vAlign w:val="center"/>
            <w:hideMark/>
          </w:tcPr>
          <w:p w14:paraId="3D45120F" w14:textId="77777777" w:rsidR="008455D6" w:rsidRPr="00FF4346" w:rsidRDefault="008455D6"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2</w:t>
            </w:r>
          </w:p>
        </w:tc>
        <w:tc>
          <w:tcPr>
            <w:tcW w:w="552" w:type="pct"/>
            <w:tcBorders>
              <w:top w:val="nil"/>
              <w:left w:val="nil"/>
              <w:bottom w:val="single" w:sz="4" w:space="0" w:color="F39200"/>
              <w:right w:val="nil"/>
            </w:tcBorders>
            <w:shd w:val="clear" w:color="000000" w:fill="FFFFFF"/>
            <w:noWrap/>
            <w:vAlign w:val="center"/>
            <w:hideMark/>
          </w:tcPr>
          <w:p w14:paraId="1DD2B0DA" w14:textId="77777777" w:rsidR="008455D6" w:rsidRPr="00FF4346" w:rsidRDefault="008455D6"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3</w:t>
            </w:r>
          </w:p>
        </w:tc>
      </w:tr>
      <w:tr w:rsidR="00AF76EB" w:rsidRPr="00A33766" w14:paraId="45C5F4D4" w14:textId="77777777" w:rsidTr="002B1C17">
        <w:trPr>
          <w:trHeight w:val="283"/>
        </w:trPr>
        <w:tc>
          <w:tcPr>
            <w:tcW w:w="5000" w:type="pct"/>
            <w:gridSpan w:val="6"/>
            <w:tcBorders>
              <w:top w:val="nil"/>
              <w:left w:val="nil"/>
              <w:bottom w:val="single" w:sz="4" w:space="0" w:color="F39200"/>
              <w:right w:val="nil"/>
            </w:tcBorders>
            <w:shd w:val="clear" w:color="auto" w:fill="auto"/>
            <w:vAlign w:val="center"/>
            <w:hideMark/>
          </w:tcPr>
          <w:p w14:paraId="0EE6C2A5" w14:textId="2EC908CA" w:rsidR="00AF76EB" w:rsidRPr="00FF4346" w:rsidRDefault="00AF76EB" w:rsidP="00193DC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Ativos e passivos financeiros mensurados a valor justo</w:t>
            </w:r>
          </w:p>
        </w:tc>
      </w:tr>
      <w:tr w:rsidR="00D94EEB" w:rsidRPr="00A33766" w14:paraId="5646ED57" w14:textId="77777777" w:rsidTr="002B1C17">
        <w:trPr>
          <w:trHeight w:val="283"/>
        </w:trPr>
        <w:tc>
          <w:tcPr>
            <w:tcW w:w="2035" w:type="pct"/>
            <w:tcBorders>
              <w:top w:val="nil"/>
              <w:left w:val="nil"/>
              <w:bottom w:val="nil"/>
              <w:right w:val="nil"/>
            </w:tcBorders>
            <w:shd w:val="clear" w:color="auto" w:fill="auto"/>
            <w:noWrap/>
            <w:vAlign w:val="center"/>
            <w:hideMark/>
          </w:tcPr>
          <w:p w14:paraId="564E4E64" w14:textId="77777777" w:rsidR="00427CFA" w:rsidRPr="00FF4346" w:rsidRDefault="00427CFA"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w:t>
            </w:r>
          </w:p>
        </w:tc>
        <w:tc>
          <w:tcPr>
            <w:tcW w:w="620" w:type="pct"/>
            <w:tcBorders>
              <w:top w:val="nil"/>
              <w:left w:val="nil"/>
              <w:bottom w:val="nil"/>
              <w:right w:val="nil"/>
            </w:tcBorders>
            <w:vAlign w:val="center"/>
          </w:tcPr>
          <w:p w14:paraId="442B5B61" w14:textId="2190AB4E" w:rsidR="00427CFA" w:rsidRPr="00FF4346" w:rsidRDefault="00427CFA" w:rsidP="00094E08">
            <w:pPr>
              <w:jc w:val="right"/>
              <w:rPr>
                <w:rFonts w:ascii="CAIXA Std Book" w:eastAsia="Times New Roman" w:hAnsi="CAIXA Std Book" w:cs="Calibri"/>
                <w:b/>
                <w:bCs/>
                <w:color w:val="005CA9"/>
                <w:sz w:val="16"/>
                <w:szCs w:val="16"/>
              </w:rPr>
            </w:pPr>
          </w:p>
        </w:tc>
        <w:tc>
          <w:tcPr>
            <w:tcW w:w="620" w:type="pct"/>
            <w:tcBorders>
              <w:top w:val="nil"/>
              <w:left w:val="nil"/>
              <w:bottom w:val="nil"/>
              <w:right w:val="nil"/>
            </w:tcBorders>
            <w:shd w:val="clear" w:color="auto" w:fill="auto"/>
            <w:noWrap/>
            <w:vAlign w:val="center"/>
          </w:tcPr>
          <w:p w14:paraId="15224951" w14:textId="1D5A0579" w:rsidR="00427CFA" w:rsidRPr="00FF4346" w:rsidRDefault="00427CFA" w:rsidP="00094E08">
            <w:pPr>
              <w:jc w:val="right"/>
              <w:rPr>
                <w:rFonts w:ascii="CAIXA Std Book" w:eastAsia="Times New Roman" w:hAnsi="CAIXA Std Book" w:cs="Calibri"/>
                <w:b/>
                <w:bCs/>
                <w:color w:val="005CA9"/>
                <w:sz w:val="16"/>
                <w:szCs w:val="16"/>
              </w:rPr>
            </w:pPr>
          </w:p>
        </w:tc>
        <w:tc>
          <w:tcPr>
            <w:tcW w:w="552" w:type="pct"/>
            <w:tcBorders>
              <w:top w:val="nil"/>
              <w:left w:val="nil"/>
              <w:bottom w:val="nil"/>
              <w:right w:val="nil"/>
            </w:tcBorders>
            <w:shd w:val="clear" w:color="auto" w:fill="auto"/>
            <w:noWrap/>
            <w:vAlign w:val="center"/>
          </w:tcPr>
          <w:p w14:paraId="5F636CFC" w14:textId="44878083" w:rsidR="00427CFA" w:rsidRPr="00FF4346" w:rsidRDefault="00427CFA" w:rsidP="00094E08">
            <w:pPr>
              <w:jc w:val="right"/>
              <w:rPr>
                <w:rFonts w:ascii="CAIXA Std Book" w:eastAsia="Times New Roman" w:hAnsi="CAIXA Std Book" w:cs="Times New Roman"/>
                <w:color w:val="005CA9"/>
                <w:sz w:val="16"/>
                <w:szCs w:val="16"/>
              </w:rPr>
            </w:pPr>
          </w:p>
        </w:tc>
        <w:tc>
          <w:tcPr>
            <w:tcW w:w="620" w:type="pct"/>
            <w:tcBorders>
              <w:top w:val="nil"/>
              <w:left w:val="nil"/>
              <w:bottom w:val="nil"/>
              <w:right w:val="nil"/>
            </w:tcBorders>
            <w:shd w:val="clear" w:color="auto" w:fill="auto"/>
            <w:noWrap/>
            <w:vAlign w:val="center"/>
          </w:tcPr>
          <w:p w14:paraId="0458E11C" w14:textId="363FB174" w:rsidR="00427CFA" w:rsidRPr="00FF4346" w:rsidRDefault="00427CFA" w:rsidP="00094E08">
            <w:pPr>
              <w:jc w:val="right"/>
              <w:rPr>
                <w:rFonts w:ascii="CAIXA Std Book" w:eastAsia="Times New Roman" w:hAnsi="CAIXA Std Book" w:cs="Times New Roman"/>
                <w:color w:val="005CA9"/>
                <w:sz w:val="16"/>
                <w:szCs w:val="16"/>
              </w:rPr>
            </w:pPr>
          </w:p>
        </w:tc>
        <w:tc>
          <w:tcPr>
            <w:tcW w:w="552" w:type="pct"/>
            <w:tcBorders>
              <w:top w:val="nil"/>
              <w:left w:val="nil"/>
              <w:bottom w:val="nil"/>
              <w:right w:val="nil"/>
            </w:tcBorders>
            <w:shd w:val="clear" w:color="auto" w:fill="auto"/>
            <w:noWrap/>
            <w:vAlign w:val="center"/>
          </w:tcPr>
          <w:p w14:paraId="60C08F50" w14:textId="47201E85" w:rsidR="00427CFA" w:rsidRPr="00FF4346" w:rsidRDefault="00427CFA" w:rsidP="00094E08">
            <w:pPr>
              <w:jc w:val="right"/>
              <w:rPr>
                <w:rFonts w:ascii="CAIXA Std Book" w:eastAsia="Times New Roman" w:hAnsi="CAIXA Std Book" w:cs="Times New Roman"/>
                <w:color w:val="005CA9"/>
                <w:sz w:val="16"/>
                <w:szCs w:val="16"/>
              </w:rPr>
            </w:pPr>
          </w:p>
        </w:tc>
      </w:tr>
      <w:tr w:rsidR="00AD6E87" w:rsidRPr="00A33766" w14:paraId="05BB1946" w14:textId="77777777" w:rsidTr="002B1C17">
        <w:trPr>
          <w:trHeight w:val="283"/>
        </w:trPr>
        <w:tc>
          <w:tcPr>
            <w:tcW w:w="2035" w:type="pct"/>
            <w:tcBorders>
              <w:top w:val="nil"/>
              <w:left w:val="nil"/>
              <w:bottom w:val="nil"/>
              <w:right w:val="nil"/>
            </w:tcBorders>
            <w:shd w:val="clear" w:color="auto" w:fill="auto"/>
            <w:noWrap/>
            <w:vAlign w:val="center"/>
            <w:hideMark/>
          </w:tcPr>
          <w:p w14:paraId="7A0C176A" w14:textId="77777777" w:rsidR="00AD6E87" w:rsidRPr="00FF4346" w:rsidRDefault="00AD6E87" w:rsidP="00AD6E87">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Ativos Financeiros </w:t>
            </w:r>
          </w:p>
        </w:tc>
        <w:tc>
          <w:tcPr>
            <w:tcW w:w="620" w:type="pct"/>
            <w:tcBorders>
              <w:top w:val="nil"/>
              <w:left w:val="nil"/>
              <w:bottom w:val="nil"/>
              <w:right w:val="nil"/>
            </w:tcBorders>
            <w:vAlign w:val="center"/>
          </w:tcPr>
          <w:p w14:paraId="12DA615E" w14:textId="4B0D7FA0" w:rsidR="00AD6E87" w:rsidRPr="00FF4346" w:rsidRDefault="002B1C17" w:rsidP="00AD6E87">
            <w:pPr>
              <w:jc w:val="right"/>
              <w:rPr>
                <w:rFonts w:ascii="CAIXA Std Book" w:eastAsia="Times New Roman" w:hAnsi="CAIXA Std Book" w:cs="Aldhabi"/>
                <w:b/>
                <w:color w:val="005CA9"/>
                <w:sz w:val="16"/>
                <w:szCs w:val="16"/>
              </w:rPr>
            </w:pPr>
            <w:r>
              <w:rPr>
                <w:rFonts w:ascii="CAIXA Std Book" w:hAnsi="CAIXA Std Book" w:cs="Calibri"/>
                <w:b/>
                <w:bCs/>
                <w:color w:val="005CA9"/>
                <w:sz w:val="16"/>
                <w:szCs w:val="16"/>
              </w:rPr>
              <w:t>1.828.695.001</w:t>
            </w:r>
          </w:p>
        </w:tc>
        <w:tc>
          <w:tcPr>
            <w:tcW w:w="620" w:type="pct"/>
            <w:tcBorders>
              <w:top w:val="nil"/>
              <w:left w:val="nil"/>
              <w:bottom w:val="nil"/>
              <w:right w:val="nil"/>
            </w:tcBorders>
            <w:shd w:val="clear" w:color="auto" w:fill="auto"/>
            <w:noWrap/>
            <w:vAlign w:val="center"/>
          </w:tcPr>
          <w:p w14:paraId="3CEB4487" w14:textId="1445F326" w:rsidR="00AD6E87" w:rsidRPr="00FF4346" w:rsidRDefault="002B1C17" w:rsidP="00AD6E87">
            <w:pPr>
              <w:jc w:val="right"/>
              <w:rPr>
                <w:rFonts w:ascii="CAIXA Std Book" w:eastAsia="Times New Roman" w:hAnsi="CAIXA Std Book" w:cs="Aldhabi"/>
                <w:b/>
                <w:color w:val="005CA9"/>
                <w:sz w:val="16"/>
                <w:szCs w:val="16"/>
              </w:rPr>
            </w:pPr>
            <w:r>
              <w:rPr>
                <w:rFonts w:ascii="CAIXA Std Book" w:hAnsi="CAIXA Std Book" w:cs="Calibri"/>
                <w:b/>
                <w:bCs/>
                <w:color w:val="005CA9"/>
                <w:sz w:val="16"/>
                <w:szCs w:val="16"/>
              </w:rPr>
              <w:t>1.621.079.000</w:t>
            </w:r>
          </w:p>
        </w:tc>
        <w:tc>
          <w:tcPr>
            <w:tcW w:w="552" w:type="pct"/>
            <w:tcBorders>
              <w:top w:val="nil"/>
              <w:left w:val="nil"/>
              <w:bottom w:val="nil"/>
              <w:right w:val="nil"/>
            </w:tcBorders>
            <w:shd w:val="clear" w:color="auto" w:fill="auto"/>
            <w:noWrap/>
            <w:vAlign w:val="center"/>
          </w:tcPr>
          <w:p w14:paraId="28B0D52C" w14:textId="06C9A6D5" w:rsidR="00AD6E87" w:rsidRPr="00FF4346" w:rsidRDefault="002B1C17" w:rsidP="000B0B0A">
            <w:pPr>
              <w:jc w:val="center"/>
              <w:rPr>
                <w:rFonts w:ascii="CAIXA Std Book" w:eastAsia="Times New Roman" w:hAnsi="CAIXA Std Book" w:cs="Aldhabi"/>
                <w:b/>
                <w:color w:val="005CA9"/>
                <w:sz w:val="16"/>
                <w:szCs w:val="16"/>
              </w:rPr>
            </w:pPr>
            <w:r>
              <w:rPr>
                <w:rFonts w:ascii="CAIXA Std Book" w:hAnsi="CAIXA Std Book" w:cs="Calibri"/>
                <w:b/>
                <w:bCs/>
                <w:color w:val="005CA9"/>
                <w:sz w:val="16"/>
                <w:szCs w:val="16"/>
              </w:rPr>
              <w:t>266.509.544</w:t>
            </w:r>
          </w:p>
        </w:tc>
        <w:tc>
          <w:tcPr>
            <w:tcW w:w="620" w:type="pct"/>
            <w:tcBorders>
              <w:top w:val="nil"/>
              <w:left w:val="nil"/>
              <w:bottom w:val="nil"/>
              <w:right w:val="nil"/>
            </w:tcBorders>
            <w:shd w:val="clear" w:color="auto" w:fill="auto"/>
            <w:noWrap/>
            <w:vAlign w:val="center"/>
          </w:tcPr>
          <w:p w14:paraId="22EEC291" w14:textId="2A4D817D" w:rsidR="00AD6E87" w:rsidRPr="00FF4346" w:rsidRDefault="002B1C17" w:rsidP="00AD6E87">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1.340.458.993</w:t>
            </w:r>
          </w:p>
        </w:tc>
        <w:tc>
          <w:tcPr>
            <w:tcW w:w="552" w:type="pct"/>
            <w:tcBorders>
              <w:top w:val="nil"/>
              <w:left w:val="nil"/>
              <w:bottom w:val="nil"/>
              <w:right w:val="nil"/>
            </w:tcBorders>
            <w:shd w:val="clear" w:color="auto" w:fill="auto"/>
            <w:noWrap/>
            <w:vAlign w:val="center"/>
          </w:tcPr>
          <w:p w14:paraId="3CAAF663" w14:textId="4FA30E04" w:rsidR="00AD6E87" w:rsidRPr="00FF4346" w:rsidRDefault="002B1C17" w:rsidP="000B0B0A">
            <w:pPr>
              <w:jc w:val="center"/>
              <w:rPr>
                <w:rFonts w:ascii="CAIXA Std Book" w:eastAsia="Times New Roman" w:hAnsi="CAIXA Std Book" w:cs="Calibri"/>
                <w:b/>
                <w:color w:val="005CA9"/>
                <w:sz w:val="16"/>
                <w:szCs w:val="16"/>
              </w:rPr>
            </w:pPr>
            <w:r>
              <w:rPr>
                <w:rFonts w:ascii="CAIXA Std Book" w:hAnsi="CAIXA Std Book" w:cs="Calibri"/>
                <w:b/>
                <w:bCs/>
                <w:color w:val="005CA9"/>
                <w:sz w:val="16"/>
                <w:szCs w:val="16"/>
              </w:rPr>
              <w:t>14.110.463</w:t>
            </w:r>
          </w:p>
        </w:tc>
      </w:tr>
      <w:tr w:rsidR="00AD6E87" w:rsidRPr="00A33766" w14:paraId="2054397A" w14:textId="77777777" w:rsidTr="002B1C17">
        <w:trPr>
          <w:trHeight w:val="283"/>
        </w:trPr>
        <w:tc>
          <w:tcPr>
            <w:tcW w:w="2035" w:type="pct"/>
            <w:tcBorders>
              <w:top w:val="nil"/>
              <w:left w:val="nil"/>
              <w:bottom w:val="nil"/>
              <w:right w:val="nil"/>
            </w:tcBorders>
            <w:shd w:val="clear" w:color="auto" w:fill="auto"/>
            <w:noWrap/>
            <w:vAlign w:val="center"/>
            <w:hideMark/>
          </w:tcPr>
          <w:p w14:paraId="75C535B8" w14:textId="0E1DD296" w:rsidR="00AD6E87" w:rsidRPr="00FF4346" w:rsidRDefault="001314D9"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Aplicações interfinanceiras de liquidez</w:t>
            </w:r>
          </w:p>
        </w:tc>
        <w:tc>
          <w:tcPr>
            <w:tcW w:w="620" w:type="pct"/>
            <w:tcBorders>
              <w:top w:val="nil"/>
              <w:left w:val="nil"/>
              <w:bottom w:val="nil"/>
              <w:right w:val="nil"/>
            </w:tcBorders>
            <w:vAlign w:val="center"/>
          </w:tcPr>
          <w:p w14:paraId="2F83E21A" w14:textId="47D91A62"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196.187.926</w:t>
            </w:r>
          </w:p>
        </w:tc>
        <w:tc>
          <w:tcPr>
            <w:tcW w:w="620" w:type="pct"/>
            <w:tcBorders>
              <w:top w:val="nil"/>
              <w:left w:val="nil"/>
              <w:bottom w:val="nil"/>
              <w:right w:val="nil"/>
            </w:tcBorders>
            <w:shd w:val="clear" w:color="auto" w:fill="auto"/>
            <w:noWrap/>
            <w:vAlign w:val="center"/>
          </w:tcPr>
          <w:p w14:paraId="29AAC2E4" w14:textId="242CD7EE"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196.190.162</w:t>
            </w:r>
          </w:p>
        </w:tc>
        <w:tc>
          <w:tcPr>
            <w:tcW w:w="552" w:type="pct"/>
            <w:tcBorders>
              <w:top w:val="nil"/>
              <w:left w:val="nil"/>
              <w:bottom w:val="nil"/>
              <w:right w:val="nil"/>
            </w:tcBorders>
            <w:shd w:val="clear" w:color="auto" w:fill="auto"/>
            <w:noWrap/>
            <w:vAlign w:val="center"/>
          </w:tcPr>
          <w:p w14:paraId="17035FCD" w14:textId="0E9EBF50" w:rsidR="00AD6E87" w:rsidRPr="00FF4346" w:rsidRDefault="000B0B0A" w:rsidP="00AD6E87">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777EED12" w14:textId="46036FCF"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196.190.162</w:t>
            </w:r>
          </w:p>
        </w:tc>
        <w:tc>
          <w:tcPr>
            <w:tcW w:w="552" w:type="pct"/>
            <w:tcBorders>
              <w:top w:val="nil"/>
              <w:left w:val="nil"/>
              <w:bottom w:val="nil"/>
              <w:right w:val="nil"/>
            </w:tcBorders>
            <w:shd w:val="clear" w:color="auto" w:fill="auto"/>
            <w:noWrap/>
            <w:vAlign w:val="center"/>
          </w:tcPr>
          <w:p w14:paraId="5B59D52E" w14:textId="645D9EF4" w:rsidR="00AD6E87" w:rsidRPr="00FF4346" w:rsidRDefault="000B0B0A" w:rsidP="00AD6E87">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AD6E87" w:rsidRPr="00A33766" w14:paraId="47F96275" w14:textId="77777777" w:rsidTr="002B1C17">
        <w:trPr>
          <w:trHeight w:val="283"/>
        </w:trPr>
        <w:tc>
          <w:tcPr>
            <w:tcW w:w="2035" w:type="pct"/>
            <w:tcBorders>
              <w:top w:val="nil"/>
              <w:left w:val="nil"/>
              <w:bottom w:val="nil"/>
              <w:right w:val="nil"/>
            </w:tcBorders>
            <w:shd w:val="clear" w:color="auto" w:fill="auto"/>
            <w:noWrap/>
            <w:vAlign w:val="center"/>
            <w:hideMark/>
          </w:tcPr>
          <w:p w14:paraId="5A2DC925" w14:textId="50C581B4" w:rsidR="00AD6E87" w:rsidRPr="00FF4346" w:rsidRDefault="001314D9"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Depósitos compulsórios no Banco Central</w:t>
            </w:r>
          </w:p>
        </w:tc>
        <w:tc>
          <w:tcPr>
            <w:tcW w:w="620" w:type="pct"/>
            <w:tcBorders>
              <w:top w:val="nil"/>
              <w:left w:val="nil"/>
              <w:bottom w:val="nil"/>
              <w:right w:val="nil"/>
            </w:tcBorders>
            <w:vAlign w:val="center"/>
          </w:tcPr>
          <w:p w14:paraId="47F49D7E" w14:textId="419A842C"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138.767.537</w:t>
            </w:r>
          </w:p>
        </w:tc>
        <w:tc>
          <w:tcPr>
            <w:tcW w:w="620" w:type="pct"/>
            <w:tcBorders>
              <w:top w:val="nil"/>
              <w:left w:val="nil"/>
              <w:bottom w:val="nil"/>
              <w:right w:val="nil"/>
            </w:tcBorders>
            <w:shd w:val="clear" w:color="auto" w:fill="auto"/>
            <w:noWrap/>
            <w:vAlign w:val="center"/>
          </w:tcPr>
          <w:p w14:paraId="298A89C1" w14:textId="67E48902"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131.259.482</w:t>
            </w:r>
          </w:p>
        </w:tc>
        <w:tc>
          <w:tcPr>
            <w:tcW w:w="552" w:type="pct"/>
            <w:tcBorders>
              <w:top w:val="nil"/>
              <w:left w:val="nil"/>
              <w:bottom w:val="nil"/>
              <w:right w:val="nil"/>
            </w:tcBorders>
            <w:shd w:val="clear" w:color="auto" w:fill="auto"/>
            <w:noWrap/>
            <w:vAlign w:val="center"/>
          </w:tcPr>
          <w:p w14:paraId="42D36783" w14:textId="69B0F6D7" w:rsidR="00AD6E87" w:rsidRPr="00FF4346" w:rsidRDefault="002B1C17" w:rsidP="002B1C17">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4336E17C" w14:textId="58CD4FC1"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131.259.482</w:t>
            </w:r>
          </w:p>
        </w:tc>
        <w:tc>
          <w:tcPr>
            <w:tcW w:w="552" w:type="pct"/>
            <w:tcBorders>
              <w:top w:val="nil"/>
              <w:left w:val="nil"/>
              <w:bottom w:val="nil"/>
              <w:right w:val="nil"/>
            </w:tcBorders>
            <w:shd w:val="clear" w:color="auto" w:fill="auto"/>
            <w:noWrap/>
            <w:vAlign w:val="center"/>
          </w:tcPr>
          <w:p w14:paraId="2B75242B" w14:textId="6C38A241" w:rsidR="00AD6E87" w:rsidRPr="00FF4346" w:rsidRDefault="002B1C17" w:rsidP="002B1C17">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AD6E87" w:rsidRPr="00A33766" w14:paraId="2C494119" w14:textId="77777777" w:rsidTr="002B1C17">
        <w:trPr>
          <w:trHeight w:val="283"/>
        </w:trPr>
        <w:tc>
          <w:tcPr>
            <w:tcW w:w="2035" w:type="pct"/>
            <w:tcBorders>
              <w:top w:val="nil"/>
              <w:left w:val="nil"/>
              <w:bottom w:val="nil"/>
              <w:right w:val="nil"/>
            </w:tcBorders>
            <w:shd w:val="clear" w:color="auto" w:fill="auto"/>
            <w:noWrap/>
            <w:vAlign w:val="center"/>
            <w:hideMark/>
          </w:tcPr>
          <w:p w14:paraId="4542FE5E" w14:textId="77777777" w:rsidR="00AD6E87" w:rsidRPr="00FF4346" w:rsidRDefault="00AD6E87"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Títulos e Valores Mobiliários</w:t>
            </w:r>
          </w:p>
        </w:tc>
        <w:tc>
          <w:tcPr>
            <w:tcW w:w="620" w:type="pct"/>
            <w:tcBorders>
              <w:top w:val="nil"/>
              <w:left w:val="nil"/>
              <w:bottom w:val="nil"/>
              <w:right w:val="nil"/>
            </w:tcBorders>
            <w:vAlign w:val="center"/>
          </w:tcPr>
          <w:p w14:paraId="32C63763" w14:textId="78997E27"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286.940.649</w:t>
            </w:r>
          </w:p>
        </w:tc>
        <w:tc>
          <w:tcPr>
            <w:tcW w:w="620" w:type="pct"/>
            <w:tcBorders>
              <w:top w:val="nil"/>
              <w:left w:val="nil"/>
              <w:bottom w:val="nil"/>
              <w:right w:val="nil"/>
            </w:tcBorders>
            <w:shd w:val="clear" w:color="auto" w:fill="auto"/>
            <w:noWrap/>
            <w:vAlign w:val="center"/>
          </w:tcPr>
          <w:p w14:paraId="36252A26" w14:textId="400F2589"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282.301.774</w:t>
            </w:r>
          </w:p>
        </w:tc>
        <w:tc>
          <w:tcPr>
            <w:tcW w:w="552" w:type="pct"/>
            <w:tcBorders>
              <w:top w:val="nil"/>
              <w:left w:val="nil"/>
              <w:bottom w:val="nil"/>
              <w:right w:val="nil"/>
            </w:tcBorders>
            <w:shd w:val="clear" w:color="auto" w:fill="auto"/>
            <w:noWrap/>
            <w:vAlign w:val="center"/>
          </w:tcPr>
          <w:p w14:paraId="4ACED104" w14:textId="7DCBB444" w:rsidR="00AD6E87" w:rsidRPr="00FF4346" w:rsidRDefault="002B1C17" w:rsidP="000B0B0A">
            <w:pPr>
              <w:jc w:val="center"/>
              <w:rPr>
                <w:rFonts w:ascii="CAIXA Std Book" w:hAnsi="CAIXA Std Book" w:cs="Aldhabi"/>
                <w:color w:val="005CA9"/>
                <w:sz w:val="16"/>
                <w:szCs w:val="16"/>
              </w:rPr>
            </w:pPr>
            <w:r>
              <w:rPr>
                <w:rFonts w:ascii="CAIXA Std Book" w:hAnsi="CAIXA Std Book" w:cs="Calibri"/>
                <w:color w:val="005CA9"/>
                <w:sz w:val="16"/>
                <w:szCs w:val="16"/>
              </w:rPr>
              <w:t>266.509.544</w:t>
            </w:r>
          </w:p>
        </w:tc>
        <w:tc>
          <w:tcPr>
            <w:tcW w:w="620" w:type="pct"/>
            <w:tcBorders>
              <w:top w:val="nil"/>
              <w:left w:val="nil"/>
              <w:bottom w:val="nil"/>
              <w:right w:val="nil"/>
            </w:tcBorders>
            <w:shd w:val="clear" w:color="auto" w:fill="auto"/>
            <w:noWrap/>
            <w:vAlign w:val="center"/>
          </w:tcPr>
          <w:p w14:paraId="7B355ECA" w14:textId="57C44322"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1.681.767</w:t>
            </w:r>
          </w:p>
        </w:tc>
        <w:tc>
          <w:tcPr>
            <w:tcW w:w="552" w:type="pct"/>
            <w:tcBorders>
              <w:top w:val="nil"/>
              <w:left w:val="nil"/>
              <w:bottom w:val="nil"/>
              <w:right w:val="nil"/>
            </w:tcBorders>
            <w:shd w:val="clear" w:color="auto" w:fill="auto"/>
            <w:noWrap/>
            <w:vAlign w:val="center"/>
          </w:tcPr>
          <w:p w14:paraId="49827181" w14:textId="699E25BC" w:rsidR="00AD6E87" w:rsidRPr="00FF4346" w:rsidRDefault="002B1C17" w:rsidP="000B0B0A">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14.110.463</w:t>
            </w:r>
          </w:p>
        </w:tc>
      </w:tr>
      <w:tr w:rsidR="00AD6E87" w:rsidRPr="00A33766" w14:paraId="11D907D2" w14:textId="77777777" w:rsidTr="002B1C17">
        <w:trPr>
          <w:trHeight w:val="283"/>
        </w:trPr>
        <w:tc>
          <w:tcPr>
            <w:tcW w:w="2035" w:type="pct"/>
            <w:tcBorders>
              <w:top w:val="nil"/>
              <w:left w:val="nil"/>
              <w:bottom w:val="nil"/>
              <w:right w:val="nil"/>
            </w:tcBorders>
            <w:shd w:val="clear" w:color="auto" w:fill="auto"/>
            <w:noWrap/>
            <w:vAlign w:val="center"/>
            <w:hideMark/>
          </w:tcPr>
          <w:p w14:paraId="115330C1" w14:textId="77777777" w:rsidR="00AD6E87" w:rsidRPr="00FF4346" w:rsidRDefault="00AD6E87"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Instrumentos financeiros derivativos</w:t>
            </w:r>
          </w:p>
        </w:tc>
        <w:tc>
          <w:tcPr>
            <w:tcW w:w="620" w:type="pct"/>
            <w:tcBorders>
              <w:top w:val="nil"/>
              <w:left w:val="nil"/>
              <w:bottom w:val="nil"/>
              <w:right w:val="nil"/>
            </w:tcBorders>
            <w:vAlign w:val="center"/>
          </w:tcPr>
          <w:p w14:paraId="079738AB" w14:textId="5A36A16D"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166.253</w:t>
            </w:r>
          </w:p>
        </w:tc>
        <w:tc>
          <w:tcPr>
            <w:tcW w:w="620" w:type="pct"/>
            <w:tcBorders>
              <w:top w:val="nil"/>
              <w:left w:val="nil"/>
              <w:bottom w:val="nil"/>
              <w:right w:val="nil"/>
            </w:tcBorders>
            <w:shd w:val="clear" w:color="auto" w:fill="auto"/>
            <w:noWrap/>
            <w:vAlign w:val="center"/>
          </w:tcPr>
          <w:p w14:paraId="3F821954" w14:textId="1694E6C5"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166.253</w:t>
            </w:r>
          </w:p>
        </w:tc>
        <w:tc>
          <w:tcPr>
            <w:tcW w:w="552" w:type="pct"/>
            <w:tcBorders>
              <w:top w:val="nil"/>
              <w:left w:val="nil"/>
              <w:bottom w:val="nil"/>
              <w:right w:val="nil"/>
            </w:tcBorders>
            <w:shd w:val="clear" w:color="auto" w:fill="auto"/>
            <w:noWrap/>
            <w:vAlign w:val="center"/>
          </w:tcPr>
          <w:p w14:paraId="7D1294B6" w14:textId="3E9FF08F" w:rsidR="00AD6E87" w:rsidRPr="00FF4346" w:rsidRDefault="000B0B0A" w:rsidP="00AD6E87">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4CE00B38" w14:textId="0515A6AD"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166.253</w:t>
            </w:r>
          </w:p>
        </w:tc>
        <w:tc>
          <w:tcPr>
            <w:tcW w:w="552" w:type="pct"/>
            <w:tcBorders>
              <w:top w:val="nil"/>
              <w:left w:val="nil"/>
              <w:bottom w:val="nil"/>
              <w:right w:val="nil"/>
            </w:tcBorders>
            <w:shd w:val="clear" w:color="auto" w:fill="auto"/>
            <w:noWrap/>
            <w:vAlign w:val="center"/>
          </w:tcPr>
          <w:p w14:paraId="4A1B3BFC" w14:textId="0831BEE6" w:rsidR="00AD6E87" w:rsidRPr="00FF4346" w:rsidRDefault="000B0B0A" w:rsidP="00AD6E87">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AD6E87" w:rsidRPr="00A33766" w14:paraId="31D94E89" w14:textId="77777777" w:rsidTr="002B1C17">
        <w:trPr>
          <w:trHeight w:val="283"/>
        </w:trPr>
        <w:tc>
          <w:tcPr>
            <w:tcW w:w="2035" w:type="pct"/>
            <w:tcBorders>
              <w:top w:val="nil"/>
              <w:left w:val="nil"/>
              <w:right w:val="nil"/>
            </w:tcBorders>
            <w:shd w:val="clear" w:color="auto" w:fill="auto"/>
            <w:noWrap/>
            <w:vAlign w:val="center"/>
            <w:hideMark/>
          </w:tcPr>
          <w:p w14:paraId="4E0DAB86" w14:textId="77777777" w:rsidR="00AD6E87" w:rsidRPr="00FF4346" w:rsidRDefault="00AD6E87"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Carteira de crédito</w:t>
            </w:r>
          </w:p>
        </w:tc>
        <w:tc>
          <w:tcPr>
            <w:tcW w:w="620" w:type="pct"/>
            <w:tcBorders>
              <w:top w:val="nil"/>
              <w:left w:val="nil"/>
              <w:right w:val="nil"/>
            </w:tcBorders>
            <w:vAlign w:val="center"/>
          </w:tcPr>
          <w:p w14:paraId="15284FD7" w14:textId="572D7E69"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1.144.237.736</w:t>
            </w:r>
          </w:p>
        </w:tc>
        <w:tc>
          <w:tcPr>
            <w:tcW w:w="620" w:type="pct"/>
            <w:tcBorders>
              <w:top w:val="nil"/>
              <w:left w:val="nil"/>
              <w:right w:val="nil"/>
            </w:tcBorders>
            <w:shd w:val="clear" w:color="auto" w:fill="auto"/>
            <w:noWrap/>
            <w:vAlign w:val="center"/>
          </w:tcPr>
          <w:p w14:paraId="7D7A2245" w14:textId="3CFAC986"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951.488.614</w:t>
            </w:r>
          </w:p>
        </w:tc>
        <w:tc>
          <w:tcPr>
            <w:tcW w:w="552" w:type="pct"/>
            <w:tcBorders>
              <w:top w:val="nil"/>
              <w:left w:val="nil"/>
              <w:right w:val="nil"/>
            </w:tcBorders>
            <w:shd w:val="clear" w:color="auto" w:fill="auto"/>
            <w:noWrap/>
            <w:vAlign w:val="center"/>
          </w:tcPr>
          <w:p w14:paraId="5181B52A" w14:textId="2A9E61C1" w:rsidR="00AD6E87" w:rsidRPr="00FF4346" w:rsidRDefault="000B0B0A" w:rsidP="00AD6E87">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780FEF16" w14:textId="39B35602"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951.488.614</w:t>
            </w:r>
          </w:p>
        </w:tc>
        <w:tc>
          <w:tcPr>
            <w:tcW w:w="552" w:type="pct"/>
            <w:tcBorders>
              <w:top w:val="nil"/>
              <w:left w:val="nil"/>
              <w:right w:val="nil"/>
            </w:tcBorders>
            <w:shd w:val="clear" w:color="auto" w:fill="auto"/>
            <w:noWrap/>
            <w:vAlign w:val="center"/>
          </w:tcPr>
          <w:p w14:paraId="16540F3D" w14:textId="3426A311" w:rsidR="00AD6E87" w:rsidRPr="00FF4346" w:rsidRDefault="000B0B0A" w:rsidP="00AD6E87">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AD6E87" w:rsidRPr="00A33766" w14:paraId="44E21A66" w14:textId="77777777" w:rsidTr="002B1C17">
        <w:trPr>
          <w:trHeight w:val="283"/>
        </w:trPr>
        <w:tc>
          <w:tcPr>
            <w:tcW w:w="2035" w:type="pct"/>
            <w:tcBorders>
              <w:top w:val="nil"/>
              <w:left w:val="nil"/>
              <w:right w:val="nil"/>
            </w:tcBorders>
            <w:shd w:val="clear" w:color="auto" w:fill="auto"/>
            <w:noWrap/>
            <w:vAlign w:val="center"/>
            <w:hideMark/>
          </w:tcPr>
          <w:p w14:paraId="78A69A29" w14:textId="77777777" w:rsidR="00AD6E87" w:rsidRPr="00FF4346" w:rsidRDefault="00AD6E87" w:rsidP="00AD6E87">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Outros ativos financeiros</w:t>
            </w:r>
          </w:p>
        </w:tc>
        <w:tc>
          <w:tcPr>
            <w:tcW w:w="620" w:type="pct"/>
            <w:tcBorders>
              <w:top w:val="nil"/>
              <w:left w:val="nil"/>
              <w:right w:val="nil"/>
            </w:tcBorders>
            <w:vAlign w:val="center"/>
          </w:tcPr>
          <w:p w14:paraId="6E3E431C" w14:textId="5FF44791"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62.394.900</w:t>
            </w:r>
          </w:p>
        </w:tc>
        <w:tc>
          <w:tcPr>
            <w:tcW w:w="620" w:type="pct"/>
            <w:tcBorders>
              <w:top w:val="nil"/>
              <w:left w:val="nil"/>
              <w:right w:val="nil"/>
            </w:tcBorders>
            <w:shd w:val="clear" w:color="auto" w:fill="auto"/>
            <w:noWrap/>
            <w:vAlign w:val="center"/>
          </w:tcPr>
          <w:p w14:paraId="2A75002C" w14:textId="396A6223" w:rsidR="00AD6E87" w:rsidRPr="00FF4346" w:rsidRDefault="002B1C17" w:rsidP="00AD6E87">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59.672.715</w:t>
            </w:r>
          </w:p>
        </w:tc>
        <w:tc>
          <w:tcPr>
            <w:tcW w:w="552" w:type="pct"/>
            <w:tcBorders>
              <w:top w:val="nil"/>
              <w:left w:val="nil"/>
              <w:right w:val="nil"/>
            </w:tcBorders>
            <w:shd w:val="clear" w:color="auto" w:fill="auto"/>
            <w:noWrap/>
            <w:vAlign w:val="center"/>
          </w:tcPr>
          <w:p w14:paraId="65945367" w14:textId="4143B819" w:rsidR="00AD6E87" w:rsidRPr="00FF4346" w:rsidRDefault="002B1C17" w:rsidP="00AD6E87">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065071D6" w14:textId="5DFA79B0" w:rsidR="00AD6E87" w:rsidRPr="00FF4346" w:rsidRDefault="002B1C17" w:rsidP="00AD6E87">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59.672.715</w:t>
            </w:r>
          </w:p>
        </w:tc>
        <w:tc>
          <w:tcPr>
            <w:tcW w:w="552" w:type="pct"/>
            <w:tcBorders>
              <w:top w:val="nil"/>
              <w:left w:val="nil"/>
              <w:right w:val="nil"/>
            </w:tcBorders>
            <w:shd w:val="clear" w:color="auto" w:fill="auto"/>
            <w:noWrap/>
            <w:vAlign w:val="center"/>
          </w:tcPr>
          <w:p w14:paraId="572BC2EE" w14:textId="6D1B3046" w:rsidR="00AD6E87" w:rsidRPr="00FF4346" w:rsidRDefault="002B1C17" w:rsidP="002B1C17">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413D7C" w:rsidRPr="00A33766" w14:paraId="49E9E7B0" w14:textId="77777777" w:rsidTr="002B1C17">
        <w:trPr>
          <w:trHeight w:val="283"/>
        </w:trPr>
        <w:tc>
          <w:tcPr>
            <w:tcW w:w="2035" w:type="pct"/>
            <w:tcBorders>
              <w:left w:val="nil"/>
              <w:bottom w:val="nil"/>
              <w:right w:val="nil"/>
            </w:tcBorders>
            <w:shd w:val="clear" w:color="auto" w:fill="auto"/>
            <w:noWrap/>
            <w:vAlign w:val="center"/>
            <w:hideMark/>
          </w:tcPr>
          <w:p w14:paraId="311B9126" w14:textId="77777777" w:rsidR="00413D7C" w:rsidRPr="00FF4346" w:rsidRDefault="00413D7C"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PASSIVO</w:t>
            </w:r>
          </w:p>
        </w:tc>
        <w:tc>
          <w:tcPr>
            <w:tcW w:w="620" w:type="pct"/>
            <w:tcBorders>
              <w:left w:val="nil"/>
              <w:bottom w:val="nil"/>
              <w:right w:val="nil"/>
            </w:tcBorders>
            <w:vAlign w:val="center"/>
          </w:tcPr>
          <w:p w14:paraId="79A42D51" w14:textId="77777777" w:rsidR="00413D7C" w:rsidRPr="00FF4346" w:rsidRDefault="00413D7C" w:rsidP="00193DCE">
            <w:pPr>
              <w:jc w:val="right"/>
              <w:rPr>
                <w:rFonts w:ascii="CAIXA Std Book" w:eastAsia="Times New Roman" w:hAnsi="CAIXA Std Book" w:cs="Aldhabi"/>
                <w:b/>
                <w:color w:val="005CA9"/>
                <w:sz w:val="16"/>
                <w:szCs w:val="16"/>
              </w:rPr>
            </w:pPr>
          </w:p>
        </w:tc>
        <w:tc>
          <w:tcPr>
            <w:tcW w:w="620" w:type="pct"/>
            <w:tcBorders>
              <w:left w:val="nil"/>
              <w:bottom w:val="nil"/>
              <w:right w:val="nil"/>
            </w:tcBorders>
            <w:shd w:val="clear" w:color="auto" w:fill="auto"/>
            <w:noWrap/>
            <w:vAlign w:val="center"/>
          </w:tcPr>
          <w:p w14:paraId="099C2D55" w14:textId="7C704215" w:rsidR="00413D7C" w:rsidRPr="00FF4346" w:rsidRDefault="00413D7C" w:rsidP="00193DCE">
            <w:pPr>
              <w:jc w:val="right"/>
              <w:rPr>
                <w:rFonts w:ascii="CAIXA Std Book" w:eastAsia="Times New Roman" w:hAnsi="CAIXA Std Book" w:cs="Aldhabi"/>
                <w:b/>
                <w:color w:val="005CA9"/>
                <w:sz w:val="16"/>
                <w:szCs w:val="16"/>
              </w:rPr>
            </w:pPr>
          </w:p>
        </w:tc>
        <w:tc>
          <w:tcPr>
            <w:tcW w:w="552" w:type="pct"/>
            <w:tcBorders>
              <w:left w:val="nil"/>
              <w:bottom w:val="nil"/>
              <w:right w:val="nil"/>
            </w:tcBorders>
            <w:shd w:val="clear" w:color="auto" w:fill="auto"/>
            <w:noWrap/>
            <w:vAlign w:val="center"/>
          </w:tcPr>
          <w:p w14:paraId="4783D724" w14:textId="77777777" w:rsidR="00413D7C" w:rsidRPr="00FF4346" w:rsidRDefault="00413D7C" w:rsidP="00147240">
            <w:pPr>
              <w:jc w:val="center"/>
              <w:rPr>
                <w:rFonts w:ascii="CAIXA Std Book" w:eastAsia="Times New Roman" w:hAnsi="CAIXA Std Book" w:cs="Aldhabi"/>
                <w:color w:val="005CA9"/>
                <w:sz w:val="16"/>
                <w:szCs w:val="16"/>
              </w:rPr>
            </w:pPr>
          </w:p>
        </w:tc>
        <w:tc>
          <w:tcPr>
            <w:tcW w:w="620" w:type="pct"/>
            <w:tcBorders>
              <w:left w:val="nil"/>
              <w:bottom w:val="nil"/>
              <w:right w:val="nil"/>
            </w:tcBorders>
            <w:shd w:val="clear" w:color="auto" w:fill="auto"/>
            <w:noWrap/>
            <w:vAlign w:val="center"/>
          </w:tcPr>
          <w:p w14:paraId="27E161F0" w14:textId="77777777" w:rsidR="00413D7C" w:rsidRPr="00FF4346" w:rsidRDefault="00413D7C" w:rsidP="00193DCE">
            <w:pPr>
              <w:jc w:val="right"/>
              <w:rPr>
                <w:rFonts w:ascii="CAIXA Std Book" w:eastAsia="Times New Roman" w:hAnsi="CAIXA Std Book" w:cs="Times New Roman"/>
                <w:color w:val="005CA9"/>
                <w:sz w:val="16"/>
                <w:szCs w:val="16"/>
              </w:rPr>
            </w:pPr>
          </w:p>
        </w:tc>
        <w:tc>
          <w:tcPr>
            <w:tcW w:w="552" w:type="pct"/>
            <w:tcBorders>
              <w:left w:val="nil"/>
              <w:bottom w:val="nil"/>
              <w:right w:val="nil"/>
            </w:tcBorders>
            <w:shd w:val="clear" w:color="auto" w:fill="auto"/>
            <w:noWrap/>
            <w:vAlign w:val="center"/>
          </w:tcPr>
          <w:p w14:paraId="0C76F035" w14:textId="77777777" w:rsidR="00413D7C" w:rsidRPr="00FF4346" w:rsidRDefault="00413D7C" w:rsidP="00193DCE">
            <w:pPr>
              <w:jc w:val="right"/>
              <w:rPr>
                <w:rFonts w:ascii="CAIXA Std Book" w:eastAsia="Times New Roman" w:hAnsi="CAIXA Std Book" w:cs="Times New Roman"/>
                <w:color w:val="005CA9"/>
                <w:sz w:val="16"/>
                <w:szCs w:val="16"/>
              </w:rPr>
            </w:pPr>
          </w:p>
        </w:tc>
      </w:tr>
      <w:tr w:rsidR="0056310D" w:rsidRPr="00A33766" w14:paraId="0D29A597" w14:textId="77777777" w:rsidTr="002B1C17">
        <w:trPr>
          <w:trHeight w:val="283"/>
        </w:trPr>
        <w:tc>
          <w:tcPr>
            <w:tcW w:w="2035" w:type="pct"/>
            <w:tcBorders>
              <w:top w:val="nil"/>
              <w:left w:val="nil"/>
              <w:bottom w:val="nil"/>
              <w:right w:val="nil"/>
            </w:tcBorders>
            <w:shd w:val="clear" w:color="auto" w:fill="auto"/>
            <w:noWrap/>
            <w:vAlign w:val="center"/>
            <w:hideMark/>
          </w:tcPr>
          <w:p w14:paraId="2D6A1AE3" w14:textId="77777777" w:rsidR="0056310D" w:rsidRPr="00FF4346" w:rsidRDefault="0056310D" w:rsidP="0056310D">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Passivos Financeiros </w:t>
            </w:r>
          </w:p>
        </w:tc>
        <w:tc>
          <w:tcPr>
            <w:tcW w:w="620" w:type="pct"/>
            <w:tcBorders>
              <w:top w:val="nil"/>
              <w:left w:val="nil"/>
              <w:bottom w:val="nil"/>
              <w:right w:val="nil"/>
            </w:tcBorders>
            <w:vAlign w:val="center"/>
          </w:tcPr>
          <w:p w14:paraId="6FEB2741" w14:textId="4F314BB8" w:rsidR="0056310D" w:rsidRPr="00FF4346" w:rsidRDefault="000B0B0A" w:rsidP="0056310D">
            <w:pPr>
              <w:jc w:val="right"/>
              <w:rPr>
                <w:rFonts w:ascii="CAIXA Std Book" w:eastAsia="Times New Roman" w:hAnsi="CAIXA Std Book" w:cs="Aldhabi"/>
                <w:b/>
                <w:color w:val="005CA9"/>
                <w:sz w:val="16"/>
                <w:szCs w:val="16"/>
              </w:rPr>
            </w:pPr>
            <w:r>
              <w:rPr>
                <w:rFonts w:ascii="CAIXA Std Book" w:hAnsi="CAIXA Std Book" w:cs="Calibri"/>
                <w:b/>
                <w:bCs/>
                <w:color w:val="005CA9"/>
                <w:sz w:val="16"/>
                <w:szCs w:val="16"/>
              </w:rPr>
              <w:t>1.666.310.917</w:t>
            </w:r>
          </w:p>
        </w:tc>
        <w:tc>
          <w:tcPr>
            <w:tcW w:w="620" w:type="pct"/>
            <w:tcBorders>
              <w:top w:val="nil"/>
              <w:left w:val="nil"/>
              <w:bottom w:val="nil"/>
              <w:right w:val="nil"/>
            </w:tcBorders>
            <w:shd w:val="clear" w:color="auto" w:fill="auto"/>
            <w:noWrap/>
            <w:vAlign w:val="center"/>
          </w:tcPr>
          <w:p w14:paraId="5A964909" w14:textId="7FF9C9DB" w:rsidR="0056310D" w:rsidRPr="00FF4346" w:rsidRDefault="000B0B0A" w:rsidP="0056310D">
            <w:pPr>
              <w:jc w:val="right"/>
              <w:rPr>
                <w:rFonts w:ascii="CAIXA Std Book" w:eastAsia="Times New Roman" w:hAnsi="CAIXA Std Book" w:cs="Aldhabi"/>
                <w:b/>
                <w:color w:val="005CA9"/>
                <w:sz w:val="16"/>
                <w:szCs w:val="16"/>
              </w:rPr>
            </w:pPr>
            <w:r>
              <w:rPr>
                <w:rFonts w:ascii="CAIXA Std Book" w:hAnsi="CAIXA Std Book" w:cs="Calibri"/>
                <w:b/>
                <w:bCs/>
                <w:color w:val="005CA9"/>
                <w:sz w:val="16"/>
                <w:szCs w:val="16"/>
              </w:rPr>
              <w:t>1.484.750.237</w:t>
            </w:r>
          </w:p>
        </w:tc>
        <w:tc>
          <w:tcPr>
            <w:tcW w:w="552" w:type="pct"/>
            <w:tcBorders>
              <w:top w:val="nil"/>
              <w:left w:val="nil"/>
              <w:bottom w:val="nil"/>
              <w:right w:val="nil"/>
            </w:tcBorders>
            <w:shd w:val="clear" w:color="auto" w:fill="auto"/>
            <w:noWrap/>
            <w:vAlign w:val="center"/>
          </w:tcPr>
          <w:p w14:paraId="527CBE8D" w14:textId="216D3EA1" w:rsidR="0056310D" w:rsidRPr="00FF4346" w:rsidRDefault="000B0B0A" w:rsidP="0056310D">
            <w:pPr>
              <w:jc w:val="center"/>
              <w:rPr>
                <w:rFonts w:ascii="CAIXA Std Book" w:hAnsi="CAIXA Std Book" w:cs="Aldhabi"/>
                <w:b/>
                <w:color w:val="005CA9"/>
                <w:sz w:val="16"/>
                <w:szCs w:val="16"/>
              </w:rPr>
            </w:pPr>
            <w:r>
              <w:rPr>
                <w:rFonts w:ascii="CAIXA Std Book" w:hAnsi="CAIXA Std Book" w:cs="Calibri"/>
                <w:b/>
                <w:bCs/>
                <w:color w:val="005CA9"/>
                <w:sz w:val="16"/>
                <w:szCs w:val="16"/>
              </w:rPr>
              <w:t>-</w:t>
            </w:r>
          </w:p>
        </w:tc>
        <w:tc>
          <w:tcPr>
            <w:tcW w:w="620" w:type="pct"/>
            <w:tcBorders>
              <w:top w:val="nil"/>
              <w:left w:val="nil"/>
              <w:bottom w:val="nil"/>
              <w:right w:val="nil"/>
            </w:tcBorders>
            <w:shd w:val="clear" w:color="auto" w:fill="auto"/>
            <w:noWrap/>
            <w:vAlign w:val="center"/>
          </w:tcPr>
          <w:p w14:paraId="16A710B9" w14:textId="187E32BD" w:rsidR="0056310D" w:rsidRPr="00FF4346" w:rsidRDefault="000B0B0A" w:rsidP="0056310D">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828.188.928</w:t>
            </w:r>
          </w:p>
        </w:tc>
        <w:tc>
          <w:tcPr>
            <w:tcW w:w="552" w:type="pct"/>
            <w:tcBorders>
              <w:top w:val="nil"/>
              <w:left w:val="nil"/>
              <w:bottom w:val="nil"/>
              <w:right w:val="nil"/>
            </w:tcBorders>
            <w:shd w:val="clear" w:color="auto" w:fill="auto"/>
            <w:noWrap/>
            <w:vAlign w:val="center"/>
          </w:tcPr>
          <w:p w14:paraId="22395975" w14:textId="45C52A67" w:rsidR="0056310D" w:rsidRPr="00FF4346" w:rsidRDefault="000B0B0A" w:rsidP="0056310D">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656.561.309</w:t>
            </w:r>
          </w:p>
        </w:tc>
      </w:tr>
      <w:tr w:rsidR="00631240" w:rsidRPr="00A33766" w14:paraId="77BA4D60" w14:textId="77777777" w:rsidTr="002B1C17">
        <w:trPr>
          <w:trHeight w:val="283"/>
        </w:trPr>
        <w:tc>
          <w:tcPr>
            <w:tcW w:w="2035" w:type="pct"/>
            <w:tcBorders>
              <w:top w:val="nil"/>
              <w:left w:val="nil"/>
              <w:bottom w:val="nil"/>
              <w:right w:val="nil"/>
            </w:tcBorders>
            <w:shd w:val="clear" w:color="auto" w:fill="auto"/>
            <w:noWrap/>
            <w:vAlign w:val="center"/>
            <w:hideMark/>
          </w:tcPr>
          <w:p w14:paraId="45A4FE9F" w14:textId="77777777" w:rsidR="00631240" w:rsidRPr="00FF4346" w:rsidRDefault="00631240" w:rsidP="004D73A2">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clientes</w:t>
            </w:r>
          </w:p>
        </w:tc>
        <w:tc>
          <w:tcPr>
            <w:tcW w:w="620" w:type="pct"/>
            <w:tcBorders>
              <w:top w:val="nil"/>
              <w:left w:val="nil"/>
              <w:bottom w:val="nil"/>
              <w:right w:val="nil"/>
            </w:tcBorders>
            <w:vAlign w:val="center"/>
          </w:tcPr>
          <w:p w14:paraId="65C902E2" w14:textId="5370C6C1" w:rsidR="00631240" w:rsidRPr="00FF4346" w:rsidRDefault="000B0B0A" w:rsidP="004D73A2">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705.612.841</w:t>
            </w:r>
          </w:p>
        </w:tc>
        <w:tc>
          <w:tcPr>
            <w:tcW w:w="620" w:type="pct"/>
            <w:tcBorders>
              <w:top w:val="nil"/>
              <w:left w:val="nil"/>
              <w:bottom w:val="nil"/>
              <w:right w:val="nil"/>
            </w:tcBorders>
            <w:shd w:val="clear" w:color="auto" w:fill="auto"/>
            <w:noWrap/>
            <w:vAlign w:val="center"/>
          </w:tcPr>
          <w:p w14:paraId="6B80923B" w14:textId="2C7DA781" w:rsidR="00631240" w:rsidRPr="00FF4346" w:rsidRDefault="000B0B0A" w:rsidP="004D73A2">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656.561.309</w:t>
            </w:r>
          </w:p>
        </w:tc>
        <w:tc>
          <w:tcPr>
            <w:tcW w:w="552" w:type="pct"/>
            <w:tcBorders>
              <w:top w:val="nil"/>
              <w:left w:val="nil"/>
              <w:bottom w:val="nil"/>
              <w:right w:val="nil"/>
            </w:tcBorders>
            <w:shd w:val="clear" w:color="auto" w:fill="auto"/>
            <w:noWrap/>
            <w:vAlign w:val="center"/>
          </w:tcPr>
          <w:p w14:paraId="3E76E47C" w14:textId="05A8C235" w:rsidR="00631240" w:rsidRPr="00FF4346" w:rsidRDefault="000B0B0A" w:rsidP="00147240">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7228370B" w14:textId="4AC02654" w:rsidR="00631240" w:rsidRPr="00FF4346" w:rsidRDefault="000B0B0A" w:rsidP="001F61F2">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552" w:type="pct"/>
            <w:tcBorders>
              <w:top w:val="nil"/>
              <w:left w:val="nil"/>
              <w:bottom w:val="nil"/>
              <w:right w:val="nil"/>
            </w:tcBorders>
            <w:shd w:val="clear" w:color="auto" w:fill="auto"/>
            <w:noWrap/>
            <w:vAlign w:val="center"/>
          </w:tcPr>
          <w:p w14:paraId="0BD4A493" w14:textId="1EE451C1" w:rsidR="00631240" w:rsidRPr="00FF4346" w:rsidRDefault="000B0B0A" w:rsidP="004D73A2">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656.561.309</w:t>
            </w:r>
          </w:p>
        </w:tc>
      </w:tr>
      <w:tr w:rsidR="0056310D" w:rsidRPr="00A33766" w14:paraId="485F8B3C" w14:textId="77777777" w:rsidTr="00294D9D">
        <w:trPr>
          <w:trHeight w:val="283"/>
        </w:trPr>
        <w:tc>
          <w:tcPr>
            <w:tcW w:w="2035" w:type="pct"/>
            <w:tcBorders>
              <w:top w:val="nil"/>
              <w:left w:val="nil"/>
              <w:right w:val="nil"/>
            </w:tcBorders>
            <w:shd w:val="clear" w:color="auto" w:fill="auto"/>
            <w:noWrap/>
            <w:vAlign w:val="center"/>
            <w:hideMark/>
          </w:tcPr>
          <w:p w14:paraId="11C23B4B" w14:textId="365DC83F" w:rsidR="0056310D" w:rsidRPr="00FF4346" w:rsidRDefault="0056310D" w:rsidP="0056310D">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instituições financeiras e outras</w:t>
            </w:r>
          </w:p>
        </w:tc>
        <w:tc>
          <w:tcPr>
            <w:tcW w:w="620" w:type="pct"/>
            <w:tcBorders>
              <w:top w:val="nil"/>
              <w:left w:val="nil"/>
              <w:right w:val="nil"/>
            </w:tcBorders>
            <w:vAlign w:val="center"/>
          </w:tcPr>
          <w:p w14:paraId="16700497" w14:textId="678DC748" w:rsidR="0056310D" w:rsidRPr="00FF4346" w:rsidRDefault="000B0B0A" w:rsidP="0056310D">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709.916.056</w:t>
            </w:r>
          </w:p>
        </w:tc>
        <w:tc>
          <w:tcPr>
            <w:tcW w:w="620" w:type="pct"/>
            <w:tcBorders>
              <w:top w:val="nil"/>
              <w:left w:val="nil"/>
              <w:right w:val="nil"/>
            </w:tcBorders>
            <w:shd w:val="clear" w:color="auto" w:fill="auto"/>
            <w:noWrap/>
            <w:vAlign w:val="center"/>
          </w:tcPr>
          <w:p w14:paraId="636970E1" w14:textId="6DCEFDE7" w:rsidR="0056310D" w:rsidRPr="00FF4346" w:rsidRDefault="000B0B0A" w:rsidP="0056310D">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582.077.333</w:t>
            </w:r>
          </w:p>
        </w:tc>
        <w:tc>
          <w:tcPr>
            <w:tcW w:w="552" w:type="pct"/>
            <w:tcBorders>
              <w:top w:val="nil"/>
              <w:left w:val="nil"/>
              <w:right w:val="nil"/>
            </w:tcBorders>
            <w:shd w:val="clear" w:color="auto" w:fill="auto"/>
            <w:noWrap/>
            <w:vAlign w:val="center"/>
          </w:tcPr>
          <w:p w14:paraId="5F1C5043" w14:textId="553423A2" w:rsidR="0056310D" w:rsidRPr="00FF4346" w:rsidRDefault="000B0B0A" w:rsidP="0056310D">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5C400317" w14:textId="7BBD0C60" w:rsidR="0056310D" w:rsidRPr="00FF4346" w:rsidRDefault="000B0B0A" w:rsidP="0056310D">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582.077.333</w:t>
            </w:r>
          </w:p>
        </w:tc>
        <w:tc>
          <w:tcPr>
            <w:tcW w:w="552" w:type="pct"/>
            <w:tcBorders>
              <w:top w:val="nil"/>
              <w:left w:val="nil"/>
              <w:right w:val="nil"/>
            </w:tcBorders>
            <w:shd w:val="clear" w:color="auto" w:fill="auto"/>
            <w:noWrap/>
            <w:vAlign w:val="center"/>
          </w:tcPr>
          <w:p w14:paraId="1EC360A6" w14:textId="2F2DB466" w:rsidR="0056310D" w:rsidRPr="00FF4346" w:rsidRDefault="000B0B0A" w:rsidP="0056310D">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56310D" w:rsidRPr="00A33766" w14:paraId="42C6F5C0" w14:textId="77777777" w:rsidTr="00294D9D">
        <w:trPr>
          <w:trHeight w:val="283"/>
        </w:trPr>
        <w:tc>
          <w:tcPr>
            <w:tcW w:w="2035" w:type="pct"/>
            <w:tcBorders>
              <w:top w:val="nil"/>
              <w:left w:val="nil"/>
              <w:bottom w:val="single" w:sz="4" w:space="0" w:color="F79646" w:themeColor="accent6"/>
              <w:right w:val="nil"/>
            </w:tcBorders>
            <w:shd w:val="clear" w:color="auto" w:fill="auto"/>
            <w:noWrap/>
            <w:vAlign w:val="center"/>
            <w:hideMark/>
          </w:tcPr>
          <w:p w14:paraId="70A9D1E4" w14:textId="77777777" w:rsidR="0056310D" w:rsidRPr="00FF4346" w:rsidRDefault="0056310D" w:rsidP="0056310D">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emissões de títulos e valores mobiliários</w:t>
            </w:r>
          </w:p>
        </w:tc>
        <w:tc>
          <w:tcPr>
            <w:tcW w:w="620" w:type="pct"/>
            <w:tcBorders>
              <w:top w:val="nil"/>
              <w:left w:val="nil"/>
              <w:bottom w:val="single" w:sz="4" w:space="0" w:color="F79646" w:themeColor="accent6"/>
              <w:right w:val="nil"/>
            </w:tcBorders>
            <w:vAlign w:val="center"/>
          </w:tcPr>
          <w:p w14:paraId="0482CE4E" w14:textId="35F1F419" w:rsidR="0056310D" w:rsidRPr="00FF4346" w:rsidRDefault="000B0B0A" w:rsidP="0056310D">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250.782.020</w:t>
            </w:r>
          </w:p>
        </w:tc>
        <w:tc>
          <w:tcPr>
            <w:tcW w:w="620" w:type="pct"/>
            <w:tcBorders>
              <w:top w:val="nil"/>
              <w:left w:val="nil"/>
              <w:bottom w:val="single" w:sz="4" w:space="0" w:color="F79646" w:themeColor="accent6"/>
              <w:right w:val="nil"/>
            </w:tcBorders>
            <w:shd w:val="clear" w:color="auto" w:fill="auto"/>
            <w:noWrap/>
            <w:vAlign w:val="center"/>
          </w:tcPr>
          <w:p w14:paraId="3DE60BAB" w14:textId="6D03F100" w:rsidR="0056310D" w:rsidRPr="00FF4346" w:rsidRDefault="000B0B0A" w:rsidP="0056310D">
            <w:pPr>
              <w:jc w:val="right"/>
              <w:rPr>
                <w:rFonts w:ascii="CAIXA Std Book" w:eastAsia="Times New Roman" w:hAnsi="CAIXA Std Book" w:cs="Aldhabi"/>
                <w:color w:val="005CA9"/>
                <w:sz w:val="16"/>
                <w:szCs w:val="16"/>
              </w:rPr>
            </w:pPr>
            <w:r>
              <w:rPr>
                <w:rFonts w:ascii="CAIXA Std Book" w:hAnsi="CAIXA Std Book" w:cs="Calibri"/>
                <w:color w:val="005CA9"/>
                <w:sz w:val="16"/>
                <w:szCs w:val="16"/>
              </w:rPr>
              <w:t>246.111.595</w:t>
            </w:r>
          </w:p>
        </w:tc>
        <w:tc>
          <w:tcPr>
            <w:tcW w:w="552" w:type="pct"/>
            <w:tcBorders>
              <w:top w:val="nil"/>
              <w:left w:val="nil"/>
              <w:bottom w:val="single" w:sz="4" w:space="0" w:color="F79646" w:themeColor="accent6"/>
              <w:right w:val="nil"/>
            </w:tcBorders>
            <w:shd w:val="clear" w:color="auto" w:fill="auto"/>
            <w:noWrap/>
            <w:vAlign w:val="center"/>
          </w:tcPr>
          <w:p w14:paraId="3D5A7211" w14:textId="2C687A80" w:rsidR="0056310D" w:rsidRPr="00FF4346" w:rsidRDefault="000B0B0A" w:rsidP="0056310D">
            <w:pPr>
              <w:jc w:val="center"/>
              <w:rPr>
                <w:rFonts w:ascii="CAIXA Std Book" w:eastAsia="Times New Roman" w:hAnsi="CAIXA Std Book" w:cs="Aldhabi"/>
                <w:color w:val="005CA9"/>
                <w:sz w:val="16"/>
                <w:szCs w:val="16"/>
              </w:rPr>
            </w:pPr>
            <w:r>
              <w:rPr>
                <w:rFonts w:ascii="CAIXA Std Book" w:hAnsi="CAIXA Std Book" w:cs="Calibri"/>
                <w:color w:val="005CA9"/>
                <w:sz w:val="16"/>
                <w:szCs w:val="16"/>
              </w:rPr>
              <w:t>-</w:t>
            </w:r>
          </w:p>
        </w:tc>
        <w:tc>
          <w:tcPr>
            <w:tcW w:w="620" w:type="pct"/>
            <w:tcBorders>
              <w:top w:val="nil"/>
              <w:left w:val="nil"/>
              <w:bottom w:val="single" w:sz="4" w:space="0" w:color="F79646" w:themeColor="accent6"/>
              <w:right w:val="nil"/>
            </w:tcBorders>
            <w:shd w:val="clear" w:color="auto" w:fill="auto"/>
            <w:noWrap/>
            <w:vAlign w:val="center"/>
          </w:tcPr>
          <w:p w14:paraId="51D6D2F0" w14:textId="3926D9E5" w:rsidR="0056310D" w:rsidRPr="00FF4346" w:rsidRDefault="000B0B0A" w:rsidP="0056310D">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246.111.595</w:t>
            </w:r>
          </w:p>
        </w:tc>
        <w:tc>
          <w:tcPr>
            <w:tcW w:w="552" w:type="pct"/>
            <w:tcBorders>
              <w:top w:val="nil"/>
              <w:left w:val="nil"/>
              <w:bottom w:val="single" w:sz="4" w:space="0" w:color="F79646" w:themeColor="accent6"/>
              <w:right w:val="nil"/>
            </w:tcBorders>
            <w:shd w:val="clear" w:color="auto" w:fill="auto"/>
            <w:noWrap/>
            <w:vAlign w:val="center"/>
          </w:tcPr>
          <w:p w14:paraId="39671615" w14:textId="708FE158" w:rsidR="0056310D" w:rsidRPr="00FF4346" w:rsidRDefault="000B0B0A" w:rsidP="0056310D">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bl>
    <w:p w14:paraId="1DC79A49" w14:textId="77777777" w:rsidR="00381680" w:rsidRDefault="00381680">
      <w:pPr>
        <w:rPr>
          <w:rFonts w:ascii="CAIXA Std Book" w:hAnsi="CAIXA Std Book"/>
          <w:b/>
          <w:color w:val="005CA9"/>
        </w:rPr>
      </w:pPr>
    </w:p>
    <w:p w14:paraId="1AB57A2E" w14:textId="18C645E6" w:rsidR="00381680" w:rsidRDefault="00381680">
      <w:pPr>
        <w:rPr>
          <w:rFonts w:ascii="CAIXA Std Book" w:hAnsi="CAIXA Std Book"/>
          <w:b/>
          <w:color w:val="005CA9"/>
        </w:rPr>
      </w:pPr>
      <w:r>
        <w:rPr>
          <w:rFonts w:ascii="CAIXA Std Book" w:hAnsi="CAIXA Std Book"/>
          <w:b/>
          <w:color w:val="005CA9"/>
        </w:rPr>
        <w:br w:type="page"/>
      </w:r>
    </w:p>
    <w:p w14:paraId="097454AF" w14:textId="77777777" w:rsidR="00381680" w:rsidRDefault="00381680">
      <w:pPr>
        <w:rPr>
          <w:rFonts w:ascii="CAIXA Std Book" w:hAnsi="CAIXA Std Book"/>
          <w:b/>
          <w:color w:val="005CA9"/>
        </w:rPr>
      </w:pPr>
    </w:p>
    <w:tbl>
      <w:tblPr>
        <w:tblW w:w="5168" w:type="pct"/>
        <w:tblCellMar>
          <w:left w:w="70" w:type="dxa"/>
          <w:right w:w="70" w:type="dxa"/>
        </w:tblCellMar>
        <w:tblLook w:val="04A0" w:firstRow="1" w:lastRow="0" w:firstColumn="1" w:lastColumn="0" w:noHBand="0" w:noVBand="1"/>
      </w:tblPr>
      <w:tblGrid>
        <w:gridCol w:w="4101"/>
        <w:gridCol w:w="1250"/>
        <w:gridCol w:w="1250"/>
        <w:gridCol w:w="1112"/>
        <w:gridCol w:w="1250"/>
        <w:gridCol w:w="1112"/>
      </w:tblGrid>
      <w:tr w:rsidR="00381680" w:rsidRPr="00A33766" w14:paraId="55BB094E" w14:textId="77777777" w:rsidTr="00925767">
        <w:trPr>
          <w:trHeight w:val="283"/>
        </w:trPr>
        <w:tc>
          <w:tcPr>
            <w:tcW w:w="5000" w:type="pct"/>
            <w:gridSpan w:val="6"/>
            <w:tcBorders>
              <w:top w:val="single" w:sz="4" w:space="0" w:color="F39200"/>
              <w:left w:val="nil"/>
              <w:bottom w:val="single" w:sz="4" w:space="0" w:color="F39200"/>
              <w:right w:val="nil"/>
            </w:tcBorders>
            <w:shd w:val="clear" w:color="auto" w:fill="auto"/>
            <w:noWrap/>
            <w:vAlign w:val="center"/>
          </w:tcPr>
          <w:p w14:paraId="3F1CFA4C"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INDIVIDUAL</w:t>
            </w:r>
          </w:p>
        </w:tc>
      </w:tr>
      <w:tr w:rsidR="00381680" w:rsidRPr="00A33766" w14:paraId="319E3454" w14:textId="77777777" w:rsidTr="00925767">
        <w:trPr>
          <w:trHeight w:val="283"/>
        </w:trPr>
        <w:tc>
          <w:tcPr>
            <w:tcW w:w="2035" w:type="pct"/>
            <w:vMerge w:val="restart"/>
            <w:tcBorders>
              <w:top w:val="single" w:sz="4" w:space="0" w:color="F39200"/>
              <w:left w:val="nil"/>
              <w:bottom w:val="single" w:sz="4" w:space="0" w:color="F39200"/>
              <w:right w:val="nil"/>
            </w:tcBorders>
            <w:shd w:val="clear" w:color="auto" w:fill="auto"/>
            <w:noWrap/>
            <w:vAlign w:val="center"/>
            <w:hideMark/>
          </w:tcPr>
          <w:p w14:paraId="0360CB0F" w14:textId="77777777" w:rsidR="00381680" w:rsidRPr="00FF4346" w:rsidRDefault="00381680" w:rsidP="00D64E5B">
            <w:pPr>
              <w:jc w:val="center"/>
              <w:rPr>
                <w:rFonts w:ascii="CAIXA Std Book" w:eastAsia="Times New Roman" w:hAnsi="CAIXA Std Book" w:cs="Calibri"/>
                <w:b/>
                <w:bCs/>
                <w:color w:val="005CA9"/>
                <w:sz w:val="16"/>
                <w:szCs w:val="16"/>
              </w:rPr>
            </w:pPr>
            <w:proofErr w:type="spellStart"/>
            <w:r w:rsidRPr="00FF4346">
              <w:rPr>
                <w:rFonts w:ascii="CAIXA Std Book" w:eastAsia="Times New Roman" w:hAnsi="CAIXA Std Book" w:cs="Calibri"/>
                <w:b/>
                <w:bCs/>
                <w:color w:val="005CA9"/>
                <w:sz w:val="16"/>
                <w:szCs w:val="16"/>
              </w:rPr>
              <w:t>Decrição</w:t>
            </w:r>
            <w:proofErr w:type="spellEnd"/>
          </w:p>
        </w:tc>
        <w:tc>
          <w:tcPr>
            <w:tcW w:w="1241" w:type="pct"/>
            <w:gridSpan w:val="2"/>
            <w:tcBorders>
              <w:top w:val="single" w:sz="4" w:space="0" w:color="F39200"/>
              <w:left w:val="nil"/>
              <w:bottom w:val="single" w:sz="4" w:space="0" w:color="F39200"/>
              <w:right w:val="single" w:sz="4" w:space="0" w:color="FFFFFF" w:themeColor="background1"/>
            </w:tcBorders>
            <w:vAlign w:val="center"/>
          </w:tcPr>
          <w:p w14:paraId="335AAA22" w14:textId="51ADB89F"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w:t>
            </w:r>
            <w:r>
              <w:rPr>
                <w:rFonts w:ascii="CAIXA Std Book" w:eastAsia="Times New Roman" w:hAnsi="CAIXA Std Book" w:cs="Calibri"/>
                <w:b/>
                <w:bCs/>
                <w:color w:val="005CA9"/>
                <w:sz w:val="16"/>
                <w:szCs w:val="16"/>
              </w:rPr>
              <w:t>12/202</w:t>
            </w:r>
            <w:r w:rsidR="001314D9">
              <w:rPr>
                <w:rFonts w:ascii="CAIXA Std Book" w:eastAsia="Times New Roman" w:hAnsi="CAIXA Std Book" w:cs="Calibri"/>
                <w:b/>
                <w:bCs/>
                <w:color w:val="005CA9"/>
                <w:sz w:val="16"/>
                <w:szCs w:val="16"/>
              </w:rPr>
              <w:t>3</w:t>
            </w:r>
          </w:p>
        </w:tc>
        <w:tc>
          <w:tcPr>
            <w:tcW w:w="1724" w:type="pct"/>
            <w:gridSpan w:val="3"/>
            <w:tcBorders>
              <w:top w:val="single" w:sz="4" w:space="0" w:color="F39200"/>
              <w:left w:val="single" w:sz="4" w:space="0" w:color="FFFFFF" w:themeColor="background1"/>
              <w:bottom w:val="single" w:sz="4" w:space="0" w:color="F39200"/>
              <w:right w:val="nil"/>
            </w:tcBorders>
            <w:shd w:val="clear" w:color="auto" w:fill="auto"/>
            <w:noWrap/>
            <w:vAlign w:val="center"/>
            <w:hideMark/>
          </w:tcPr>
          <w:p w14:paraId="383DB038"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Níveis de valor justo</w:t>
            </w:r>
          </w:p>
        </w:tc>
      </w:tr>
      <w:tr w:rsidR="00381680" w:rsidRPr="00A33766" w14:paraId="65AFDC07" w14:textId="77777777" w:rsidTr="00925767">
        <w:trPr>
          <w:trHeight w:val="283"/>
        </w:trPr>
        <w:tc>
          <w:tcPr>
            <w:tcW w:w="2035" w:type="pct"/>
            <w:vMerge/>
            <w:tcBorders>
              <w:top w:val="single" w:sz="4" w:space="0" w:color="F39200"/>
              <w:left w:val="nil"/>
              <w:bottom w:val="single" w:sz="4" w:space="0" w:color="F39200"/>
              <w:right w:val="nil"/>
            </w:tcBorders>
            <w:vAlign w:val="center"/>
            <w:hideMark/>
          </w:tcPr>
          <w:p w14:paraId="1D4A4825" w14:textId="77777777" w:rsidR="00381680" w:rsidRPr="00FF4346" w:rsidRDefault="00381680" w:rsidP="00D64E5B">
            <w:pPr>
              <w:rPr>
                <w:rFonts w:ascii="CAIXA Std Book" w:eastAsia="Times New Roman" w:hAnsi="CAIXA Std Book" w:cs="Calibri"/>
                <w:b/>
                <w:bCs/>
                <w:color w:val="005CA9"/>
                <w:sz w:val="16"/>
                <w:szCs w:val="16"/>
              </w:rPr>
            </w:pPr>
          </w:p>
        </w:tc>
        <w:tc>
          <w:tcPr>
            <w:tcW w:w="620" w:type="pct"/>
            <w:tcBorders>
              <w:top w:val="single" w:sz="4" w:space="0" w:color="F39200"/>
              <w:left w:val="nil"/>
              <w:bottom w:val="single" w:sz="4" w:space="0" w:color="F39200"/>
              <w:right w:val="nil"/>
            </w:tcBorders>
            <w:shd w:val="clear" w:color="000000" w:fill="FFFFFF"/>
            <w:vAlign w:val="center"/>
          </w:tcPr>
          <w:p w14:paraId="45BE6DCF"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620" w:type="pct"/>
            <w:tcBorders>
              <w:top w:val="single" w:sz="4" w:space="0" w:color="F39200"/>
              <w:left w:val="nil"/>
              <w:bottom w:val="single" w:sz="4" w:space="0" w:color="F39200"/>
              <w:right w:val="nil"/>
            </w:tcBorders>
            <w:shd w:val="clear" w:color="000000" w:fill="FFFFFF"/>
            <w:noWrap/>
            <w:vAlign w:val="center"/>
            <w:hideMark/>
          </w:tcPr>
          <w:p w14:paraId="35878B25"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justo</w:t>
            </w:r>
          </w:p>
        </w:tc>
        <w:tc>
          <w:tcPr>
            <w:tcW w:w="552" w:type="pct"/>
            <w:tcBorders>
              <w:top w:val="nil"/>
              <w:left w:val="nil"/>
              <w:bottom w:val="single" w:sz="4" w:space="0" w:color="F39200"/>
              <w:right w:val="nil"/>
            </w:tcBorders>
            <w:shd w:val="clear" w:color="000000" w:fill="FFFFFF"/>
            <w:noWrap/>
            <w:vAlign w:val="center"/>
            <w:hideMark/>
          </w:tcPr>
          <w:p w14:paraId="2BF1E854"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1</w:t>
            </w:r>
          </w:p>
        </w:tc>
        <w:tc>
          <w:tcPr>
            <w:tcW w:w="620" w:type="pct"/>
            <w:tcBorders>
              <w:top w:val="nil"/>
              <w:left w:val="nil"/>
              <w:bottom w:val="single" w:sz="4" w:space="0" w:color="F39200"/>
              <w:right w:val="nil"/>
            </w:tcBorders>
            <w:shd w:val="clear" w:color="000000" w:fill="FFFFFF"/>
            <w:noWrap/>
            <w:vAlign w:val="center"/>
            <w:hideMark/>
          </w:tcPr>
          <w:p w14:paraId="7A6AA8D7"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2</w:t>
            </w:r>
          </w:p>
        </w:tc>
        <w:tc>
          <w:tcPr>
            <w:tcW w:w="552" w:type="pct"/>
            <w:tcBorders>
              <w:top w:val="nil"/>
              <w:left w:val="nil"/>
              <w:bottom w:val="single" w:sz="4" w:space="0" w:color="F39200"/>
              <w:right w:val="nil"/>
            </w:tcBorders>
            <w:shd w:val="clear" w:color="000000" w:fill="FFFFFF"/>
            <w:noWrap/>
            <w:vAlign w:val="center"/>
            <w:hideMark/>
          </w:tcPr>
          <w:p w14:paraId="68DC4780"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3</w:t>
            </w:r>
          </w:p>
        </w:tc>
      </w:tr>
      <w:tr w:rsidR="00381680" w:rsidRPr="00A33766" w14:paraId="54B9B280" w14:textId="77777777" w:rsidTr="00925767">
        <w:trPr>
          <w:trHeight w:val="283"/>
        </w:trPr>
        <w:tc>
          <w:tcPr>
            <w:tcW w:w="5000" w:type="pct"/>
            <w:gridSpan w:val="6"/>
            <w:tcBorders>
              <w:top w:val="nil"/>
              <w:left w:val="nil"/>
              <w:bottom w:val="single" w:sz="4" w:space="0" w:color="F39200"/>
              <w:right w:val="nil"/>
            </w:tcBorders>
            <w:shd w:val="clear" w:color="auto" w:fill="auto"/>
            <w:vAlign w:val="center"/>
            <w:hideMark/>
          </w:tcPr>
          <w:p w14:paraId="2698F347" w14:textId="77777777" w:rsidR="00381680" w:rsidRPr="00FF4346" w:rsidRDefault="00381680" w:rsidP="00D64E5B">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Ativos e passivos financeiros mensurados a valor justo</w:t>
            </w:r>
          </w:p>
        </w:tc>
      </w:tr>
      <w:tr w:rsidR="00381680" w:rsidRPr="00A33766" w14:paraId="75AAACAC" w14:textId="77777777" w:rsidTr="00925767">
        <w:trPr>
          <w:trHeight w:val="283"/>
        </w:trPr>
        <w:tc>
          <w:tcPr>
            <w:tcW w:w="2035" w:type="pct"/>
            <w:tcBorders>
              <w:top w:val="nil"/>
              <w:left w:val="nil"/>
              <w:bottom w:val="nil"/>
              <w:right w:val="nil"/>
            </w:tcBorders>
            <w:shd w:val="clear" w:color="auto" w:fill="auto"/>
            <w:noWrap/>
            <w:vAlign w:val="center"/>
            <w:hideMark/>
          </w:tcPr>
          <w:p w14:paraId="7301ABD1" w14:textId="77777777" w:rsidR="00381680" w:rsidRPr="00FF4346" w:rsidRDefault="00381680" w:rsidP="00D64E5B">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w:t>
            </w:r>
          </w:p>
        </w:tc>
        <w:tc>
          <w:tcPr>
            <w:tcW w:w="620" w:type="pct"/>
            <w:tcBorders>
              <w:top w:val="nil"/>
              <w:left w:val="nil"/>
              <w:bottom w:val="nil"/>
              <w:right w:val="nil"/>
            </w:tcBorders>
            <w:vAlign w:val="center"/>
          </w:tcPr>
          <w:p w14:paraId="22297088" w14:textId="004B59E4" w:rsidR="00381680" w:rsidRPr="00FF4346" w:rsidRDefault="00381680" w:rsidP="00D64E5B">
            <w:pPr>
              <w:jc w:val="right"/>
              <w:rPr>
                <w:rFonts w:ascii="CAIXA Std Book" w:eastAsia="Times New Roman" w:hAnsi="CAIXA Std Book" w:cs="Calibri"/>
                <w:b/>
                <w:bCs/>
                <w:color w:val="005CA9"/>
                <w:sz w:val="16"/>
                <w:szCs w:val="16"/>
              </w:rPr>
            </w:pPr>
          </w:p>
        </w:tc>
        <w:tc>
          <w:tcPr>
            <w:tcW w:w="620" w:type="pct"/>
            <w:tcBorders>
              <w:top w:val="nil"/>
              <w:left w:val="nil"/>
              <w:bottom w:val="nil"/>
              <w:right w:val="nil"/>
            </w:tcBorders>
            <w:shd w:val="clear" w:color="auto" w:fill="auto"/>
            <w:noWrap/>
            <w:vAlign w:val="center"/>
          </w:tcPr>
          <w:p w14:paraId="2ACED1C5" w14:textId="5008E523" w:rsidR="00381680" w:rsidRPr="00FF4346" w:rsidRDefault="00381680" w:rsidP="00D64E5B">
            <w:pPr>
              <w:jc w:val="right"/>
              <w:rPr>
                <w:rFonts w:ascii="CAIXA Std Book" w:eastAsia="Times New Roman" w:hAnsi="CAIXA Std Book" w:cs="Calibri"/>
                <w:b/>
                <w:bCs/>
                <w:color w:val="005CA9"/>
                <w:sz w:val="16"/>
                <w:szCs w:val="16"/>
              </w:rPr>
            </w:pPr>
          </w:p>
        </w:tc>
        <w:tc>
          <w:tcPr>
            <w:tcW w:w="552" w:type="pct"/>
            <w:tcBorders>
              <w:top w:val="nil"/>
              <w:left w:val="nil"/>
              <w:bottom w:val="nil"/>
              <w:right w:val="nil"/>
            </w:tcBorders>
            <w:shd w:val="clear" w:color="auto" w:fill="auto"/>
            <w:noWrap/>
            <w:vAlign w:val="center"/>
          </w:tcPr>
          <w:p w14:paraId="5B524D87" w14:textId="47562CFE" w:rsidR="00381680" w:rsidRPr="00FF4346" w:rsidRDefault="00381680" w:rsidP="00D64E5B">
            <w:pPr>
              <w:jc w:val="right"/>
              <w:rPr>
                <w:rFonts w:ascii="CAIXA Std Book" w:eastAsia="Times New Roman" w:hAnsi="CAIXA Std Book" w:cs="Times New Roman"/>
                <w:color w:val="005CA9"/>
                <w:sz w:val="16"/>
                <w:szCs w:val="16"/>
              </w:rPr>
            </w:pPr>
          </w:p>
        </w:tc>
        <w:tc>
          <w:tcPr>
            <w:tcW w:w="620" w:type="pct"/>
            <w:tcBorders>
              <w:top w:val="nil"/>
              <w:left w:val="nil"/>
              <w:bottom w:val="nil"/>
              <w:right w:val="nil"/>
            </w:tcBorders>
            <w:shd w:val="clear" w:color="auto" w:fill="auto"/>
            <w:noWrap/>
            <w:vAlign w:val="center"/>
          </w:tcPr>
          <w:p w14:paraId="7F752182" w14:textId="18F698F2" w:rsidR="00381680" w:rsidRPr="00FF4346" w:rsidRDefault="00381680" w:rsidP="00D64E5B">
            <w:pPr>
              <w:jc w:val="right"/>
              <w:rPr>
                <w:rFonts w:ascii="CAIXA Std Book" w:eastAsia="Times New Roman" w:hAnsi="CAIXA Std Book" w:cs="Times New Roman"/>
                <w:color w:val="005CA9"/>
                <w:sz w:val="16"/>
                <w:szCs w:val="16"/>
              </w:rPr>
            </w:pPr>
          </w:p>
        </w:tc>
        <w:tc>
          <w:tcPr>
            <w:tcW w:w="552" w:type="pct"/>
            <w:tcBorders>
              <w:top w:val="nil"/>
              <w:left w:val="nil"/>
              <w:bottom w:val="nil"/>
              <w:right w:val="nil"/>
            </w:tcBorders>
            <w:shd w:val="clear" w:color="auto" w:fill="auto"/>
            <w:noWrap/>
            <w:vAlign w:val="center"/>
          </w:tcPr>
          <w:p w14:paraId="4B9386E4" w14:textId="4224CDC3" w:rsidR="00381680" w:rsidRPr="00FF4346" w:rsidRDefault="00381680" w:rsidP="00D64E5B">
            <w:pPr>
              <w:jc w:val="right"/>
              <w:rPr>
                <w:rFonts w:ascii="CAIXA Std Book" w:eastAsia="Times New Roman" w:hAnsi="CAIXA Std Book" w:cs="Times New Roman"/>
                <w:color w:val="005CA9"/>
                <w:sz w:val="16"/>
                <w:szCs w:val="16"/>
              </w:rPr>
            </w:pPr>
          </w:p>
        </w:tc>
      </w:tr>
      <w:tr w:rsidR="00381680" w:rsidRPr="00A33766" w14:paraId="0912B6CF" w14:textId="77777777" w:rsidTr="00925767">
        <w:trPr>
          <w:trHeight w:val="283"/>
        </w:trPr>
        <w:tc>
          <w:tcPr>
            <w:tcW w:w="2035" w:type="pct"/>
            <w:tcBorders>
              <w:top w:val="nil"/>
              <w:left w:val="nil"/>
              <w:bottom w:val="nil"/>
              <w:right w:val="nil"/>
            </w:tcBorders>
            <w:shd w:val="clear" w:color="auto" w:fill="auto"/>
            <w:noWrap/>
            <w:vAlign w:val="center"/>
            <w:hideMark/>
          </w:tcPr>
          <w:p w14:paraId="2FAF2624" w14:textId="77777777" w:rsidR="00381680" w:rsidRPr="00FF4346" w:rsidRDefault="00381680" w:rsidP="00381680">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Ativos Financeiros </w:t>
            </w:r>
          </w:p>
        </w:tc>
        <w:tc>
          <w:tcPr>
            <w:tcW w:w="620" w:type="pct"/>
            <w:tcBorders>
              <w:top w:val="nil"/>
              <w:left w:val="nil"/>
              <w:bottom w:val="nil"/>
              <w:right w:val="nil"/>
            </w:tcBorders>
            <w:vAlign w:val="center"/>
          </w:tcPr>
          <w:p w14:paraId="6D56FD08" w14:textId="579126A2" w:rsidR="00381680" w:rsidRPr="00FF4346" w:rsidRDefault="00381680" w:rsidP="00381680">
            <w:pPr>
              <w:jc w:val="right"/>
              <w:rPr>
                <w:rFonts w:ascii="CAIXA Std Book" w:eastAsia="Times New Roman" w:hAnsi="CAIXA Std Book" w:cs="Aldhabi"/>
                <w:b/>
                <w:color w:val="005CA9"/>
                <w:sz w:val="16"/>
                <w:szCs w:val="16"/>
              </w:rPr>
            </w:pPr>
            <w:r w:rsidRPr="00FF4346">
              <w:rPr>
                <w:rFonts w:ascii="CAIXA Std Book" w:hAnsi="CAIXA Std Book" w:cs="Calibri"/>
                <w:b/>
                <w:bCs/>
                <w:color w:val="005CA9"/>
                <w:sz w:val="16"/>
                <w:szCs w:val="16"/>
              </w:rPr>
              <w:t>1.779.520.873</w:t>
            </w:r>
          </w:p>
        </w:tc>
        <w:tc>
          <w:tcPr>
            <w:tcW w:w="620" w:type="pct"/>
            <w:tcBorders>
              <w:top w:val="nil"/>
              <w:left w:val="nil"/>
              <w:bottom w:val="nil"/>
              <w:right w:val="nil"/>
            </w:tcBorders>
            <w:shd w:val="clear" w:color="auto" w:fill="auto"/>
            <w:noWrap/>
            <w:vAlign w:val="center"/>
          </w:tcPr>
          <w:p w14:paraId="3D360076" w14:textId="7683E83E" w:rsidR="00381680" w:rsidRPr="00FF4346" w:rsidRDefault="00381680" w:rsidP="00381680">
            <w:pPr>
              <w:jc w:val="right"/>
              <w:rPr>
                <w:rFonts w:ascii="CAIXA Std Book" w:eastAsia="Times New Roman" w:hAnsi="CAIXA Std Book" w:cs="Aldhabi"/>
                <w:b/>
                <w:color w:val="005CA9"/>
                <w:sz w:val="16"/>
                <w:szCs w:val="16"/>
              </w:rPr>
            </w:pPr>
            <w:r w:rsidRPr="00FF4346">
              <w:rPr>
                <w:rFonts w:ascii="CAIXA Std Book" w:hAnsi="CAIXA Std Book" w:cs="Calibri"/>
                <w:b/>
                <w:bCs/>
                <w:color w:val="005CA9"/>
                <w:sz w:val="16"/>
                <w:szCs w:val="16"/>
              </w:rPr>
              <w:t>1.617.776.979</w:t>
            </w:r>
          </w:p>
        </w:tc>
        <w:tc>
          <w:tcPr>
            <w:tcW w:w="552" w:type="pct"/>
            <w:tcBorders>
              <w:top w:val="nil"/>
              <w:left w:val="nil"/>
              <w:bottom w:val="nil"/>
              <w:right w:val="nil"/>
            </w:tcBorders>
            <w:shd w:val="clear" w:color="auto" w:fill="auto"/>
            <w:noWrap/>
            <w:vAlign w:val="center"/>
          </w:tcPr>
          <w:p w14:paraId="5BBC7FB7" w14:textId="3D719918" w:rsidR="00381680" w:rsidRPr="00FF4346" w:rsidRDefault="00381680" w:rsidP="00381680">
            <w:pPr>
              <w:jc w:val="center"/>
              <w:rPr>
                <w:rFonts w:ascii="CAIXA Std Book" w:eastAsia="Times New Roman" w:hAnsi="CAIXA Std Book" w:cs="Aldhabi"/>
                <w:b/>
                <w:color w:val="005CA9"/>
                <w:sz w:val="16"/>
                <w:szCs w:val="16"/>
              </w:rPr>
            </w:pPr>
            <w:r w:rsidRPr="00FF4346">
              <w:rPr>
                <w:rFonts w:ascii="CAIXA Std Book" w:hAnsi="CAIXA Std Book" w:cs="Calibri"/>
                <w:b/>
                <w:bCs/>
                <w:color w:val="005CA9"/>
                <w:sz w:val="16"/>
                <w:szCs w:val="16"/>
              </w:rPr>
              <w:t>261.941.909</w:t>
            </w:r>
          </w:p>
        </w:tc>
        <w:tc>
          <w:tcPr>
            <w:tcW w:w="620" w:type="pct"/>
            <w:tcBorders>
              <w:top w:val="nil"/>
              <w:left w:val="nil"/>
              <w:bottom w:val="nil"/>
              <w:right w:val="nil"/>
            </w:tcBorders>
            <w:shd w:val="clear" w:color="auto" w:fill="auto"/>
            <w:noWrap/>
            <w:vAlign w:val="center"/>
          </w:tcPr>
          <w:p w14:paraId="697C68F1" w14:textId="4A0B1040" w:rsidR="00381680" w:rsidRPr="00FF4346" w:rsidRDefault="00381680" w:rsidP="00381680">
            <w:pPr>
              <w:jc w:val="right"/>
              <w:rPr>
                <w:rFonts w:ascii="CAIXA Std Book" w:eastAsia="Times New Roman" w:hAnsi="CAIXA Std Book" w:cs="Calibri"/>
                <w:b/>
                <w:color w:val="005CA9"/>
                <w:sz w:val="16"/>
                <w:szCs w:val="16"/>
              </w:rPr>
            </w:pPr>
            <w:r w:rsidRPr="00FF4346">
              <w:rPr>
                <w:rFonts w:ascii="CAIXA Std Book" w:hAnsi="CAIXA Std Book" w:cs="Calibri"/>
                <w:b/>
                <w:bCs/>
                <w:color w:val="005CA9"/>
                <w:sz w:val="16"/>
                <w:szCs w:val="16"/>
              </w:rPr>
              <w:t>1.342.426.424</w:t>
            </w:r>
          </w:p>
        </w:tc>
        <w:tc>
          <w:tcPr>
            <w:tcW w:w="552" w:type="pct"/>
            <w:tcBorders>
              <w:top w:val="nil"/>
              <w:left w:val="nil"/>
              <w:bottom w:val="nil"/>
              <w:right w:val="nil"/>
            </w:tcBorders>
            <w:shd w:val="clear" w:color="auto" w:fill="auto"/>
            <w:noWrap/>
            <w:vAlign w:val="center"/>
          </w:tcPr>
          <w:p w14:paraId="64D2E11B" w14:textId="257B3B9F" w:rsidR="00381680" w:rsidRPr="00FF4346" w:rsidRDefault="00381680" w:rsidP="00381680">
            <w:pPr>
              <w:jc w:val="center"/>
              <w:rPr>
                <w:rFonts w:ascii="CAIXA Std Book" w:eastAsia="Times New Roman" w:hAnsi="CAIXA Std Book" w:cs="Calibri"/>
                <w:b/>
                <w:color w:val="005CA9"/>
                <w:sz w:val="16"/>
                <w:szCs w:val="16"/>
              </w:rPr>
            </w:pPr>
            <w:r w:rsidRPr="00FF4346">
              <w:rPr>
                <w:rFonts w:ascii="CAIXA Std Book" w:hAnsi="CAIXA Std Book" w:cs="Calibri"/>
                <w:b/>
                <w:bCs/>
                <w:color w:val="005CA9"/>
                <w:sz w:val="16"/>
                <w:szCs w:val="16"/>
              </w:rPr>
              <w:t>13.408.646</w:t>
            </w:r>
          </w:p>
        </w:tc>
      </w:tr>
      <w:tr w:rsidR="001314D9" w:rsidRPr="00A33766" w14:paraId="21217357" w14:textId="77777777" w:rsidTr="00925767">
        <w:trPr>
          <w:trHeight w:val="283"/>
        </w:trPr>
        <w:tc>
          <w:tcPr>
            <w:tcW w:w="2035" w:type="pct"/>
            <w:tcBorders>
              <w:top w:val="nil"/>
              <w:left w:val="nil"/>
              <w:bottom w:val="nil"/>
              <w:right w:val="nil"/>
            </w:tcBorders>
            <w:shd w:val="clear" w:color="auto" w:fill="auto"/>
            <w:noWrap/>
            <w:vAlign w:val="center"/>
            <w:hideMark/>
          </w:tcPr>
          <w:p w14:paraId="2DFBC930" w14:textId="49DBFBC7" w:rsidR="001314D9" w:rsidRPr="00FF4346" w:rsidRDefault="001314D9" w:rsidP="001314D9">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Aplicações interfinanceiras de liquidez</w:t>
            </w:r>
          </w:p>
        </w:tc>
        <w:tc>
          <w:tcPr>
            <w:tcW w:w="620" w:type="pct"/>
            <w:tcBorders>
              <w:top w:val="nil"/>
              <w:left w:val="nil"/>
              <w:bottom w:val="nil"/>
              <w:right w:val="nil"/>
            </w:tcBorders>
            <w:vAlign w:val="center"/>
          </w:tcPr>
          <w:p w14:paraId="2F6213CD" w14:textId="03AB0A79" w:rsidR="001314D9" w:rsidRPr="00FF4346" w:rsidRDefault="001314D9" w:rsidP="001314D9">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180.978.966</w:t>
            </w:r>
          </w:p>
        </w:tc>
        <w:tc>
          <w:tcPr>
            <w:tcW w:w="620" w:type="pct"/>
            <w:tcBorders>
              <w:top w:val="nil"/>
              <w:left w:val="nil"/>
              <w:bottom w:val="nil"/>
              <w:right w:val="nil"/>
            </w:tcBorders>
            <w:shd w:val="clear" w:color="auto" w:fill="auto"/>
            <w:noWrap/>
            <w:vAlign w:val="center"/>
          </w:tcPr>
          <w:p w14:paraId="609E5F63" w14:textId="53BD70EA" w:rsidR="001314D9" w:rsidRPr="00FF4346" w:rsidRDefault="001314D9" w:rsidP="001314D9">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180.980.309</w:t>
            </w:r>
          </w:p>
        </w:tc>
        <w:tc>
          <w:tcPr>
            <w:tcW w:w="552" w:type="pct"/>
            <w:tcBorders>
              <w:top w:val="nil"/>
              <w:left w:val="nil"/>
              <w:bottom w:val="nil"/>
              <w:right w:val="nil"/>
            </w:tcBorders>
            <w:shd w:val="clear" w:color="auto" w:fill="auto"/>
            <w:noWrap/>
            <w:vAlign w:val="center"/>
          </w:tcPr>
          <w:p w14:paraId="36BE307B" w14:textId="25A19A40" w:rsidR="001314D9" w:rsidRPr="00FF4346" w:rsidRDefault="001314D9" w:rsidP="001314D9">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3956BE85" w14:textId="43A7498A" w:rsidR="001314D9" w:rsidRPr="00FF4346" w:rsidRDefault="001314D9" w:rsidP="001314D9">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180.980.309</w:t>
            </w:r>
          </w:p>
        </w:tc>
        <w:tc>
          <w:tcPr>
            <w:tcW w:w="552" w:type="pct"/>
            <w:tcBorders>
              <w:top w:val="nil"/>
              <w:left w:val="nil"/>
              <w:bottom w:val="nil"/>
              <w:right w:val="nil"/>
            </w:tcBorders>
            <w:shd w:val="clear" w:color="auto" w:fill="auto"/>
            <w:noWrap/>
            <w:vAlign w:val="center"/>
          </w:tcPr>
          <w:p w14:paraId="4FD7B401" w14:textId="03BD0722" w:rsidR="001314D9" w:rsidRPr="00FF4346" w:rsidRDefault="001314D9" w:rsidP="001314D9">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1314D9" w:rsidRPr="00A33766" w14:paraId="07F7E438" w14:textId="77777777" w:rsidTr="00925767">
        <w:trPr>
          <w:trHeight w:val="283"/>
        </w:trPr>
        <w:tc>
          <w:tcPr>
            <w:tcW w:w="2035" w:type="pct"/>
            <w:tcBorders>
              <w:top w:val="nil"/>
              <w:left w:val="nil"/>
              <w:bottom w:val="nil"/>
              <w:right w:val="nil"/>
            </w:tcBorders>
            <w:shd w:val="clear" w:color="auto" w:fill="auto"/>
            <w:noWrap/>
            <w:vAlign w:val="center"/>
            <w:hideMark/>
          </w:tcPr>
          <w:p w14:paraId="1B529671" w14:textId="7AD690DF" w:rsidR="001314D9" w:rsidRPr="00FF4346" w:rsidRDefault="001314D9" w:rsidP="001314D9">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Depósitos compulsórios no Banco Central</w:t>
            </w:r>
          </w:p>
        </w:tc>
        <w:tc>
          <w:tcPr>
            <w:tcW w:w="620" w:type="pct"/>
            <w:tcBorders>
              <w:top w:val="nil"/>
              <w:left w:val="nil"/>
              <w:bottom w:val="nil"/>
              <w:right w:val="nil"/>
            </w:tcBorders>
            <w:vAlign w:val="center"/>
          </w:tcPr>
          <w:p w14:paraId="4A622B9E" w14:textId="05C74838" w:rsidR="001314D9" w:rsidRPr="00FF4346" w:rsidRDefault="001314D9" w:rsidP="001314D9">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133.393.149</w:t>
            </w:r>
          </w:p>
        </w:tc>
        <w:tc>
          <w:tcPr>
            <w:tcW w:w="620" w:type="pct"/>
            <w:tcBorders>
              <w:top w:val="nil"/>
              <w:left w:val="nil"/>
              <w:bottom w:val="nil"/>
              <w:right w:val="nil"/>
            </w:tcBorders>
            <w:shd w:val="clear" w:color="auto" w:fill="auto"/>
            <w:noWrap/>
            <w:vAlign w:val="center"/>
          </w:tcPr>
          <w:p w14:paraId="33301993" w14:textId="492A4DE8" w:rsidR="001314D9" w:rsidRPr="00FF4346" w:rsidRDefault="001314D9" w:rsidP="001314D9">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126.694.762</w:t>
            </w:r>
          </w:p>
        </w:tc>
        <w:tc>
          <w:tcPr>
            <w:tcW w:w="552" w:type="pct"/>
            <w:tcBorders>
              <w:top w:val="nil"/>
              <w:left w:val="nil"/>
              <w:bottom w:val="nil"/>
              <w:right w:val="nil"/>
            </w:tcBorders>
            <w:shd w:val="clear" w:color="auto" w:fill="auto"/>
            <w:noWrap/>
            <w:vAlign w:val="center"/>
          </w:tcPr>
          <w:p w14:paraId="5751F9B0" w14:textId="76FB94A5" w:rsidR="001314D9" w:rsidRPr="00FF4346" w:rsidRDefault="001314D9" w:rsidP="001314D9">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7EE4B43E" w14:textId="2C827634" w:rsidR="001314D9" w:rsidRPr="00FF4346" w:rsidRDefault="001314D9" w:rsidP="001314D9">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126.694.762</w:t>
            </w:r>
          </w:p>
        </w:tc>
        <w:tc>
          <w:tcPr>
            <w:tcW w:w="552" w:type="pct"/>
            <w:tcBorders>
              <w:top w:val="nil"/>
              <w:left w:val="nil"/>
              <w:bottom w:val="nil"/>
              <w:right w:val="nil"/>
            </w:tcBorders>
            <w:shd w:val="clear" w:color="auto" w:fill="auto"/>
            <w:noWrap/>
            <w:vAlign w:val="center"/>
          </w:tcPr>
          <w:p w14:paraId="26E3B087" w14:textId="23FD70E6" w:rsidR="001314D9" w:rsidRPr="00FF4346" w:rsidRDefault="001314D9" w:rsidP="001314D9">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381680" w:rsidRPr="00A33766" w14:paraId="5717CF79" w14:textId="77777777" w:rsidTr="00925767">
        <w:trPr>
          <w:trHeight w:val="283"/>
        </w:trPr>
        <w:tc>
          <w:tcPr>
            <w:tcW w:w="2035" w:type="pct"/>
            <w:tcBorders>
              <w:top w:val="nil"/>
              <w:left w:val="nil"/>
              <w:bottom w:val="nil"/>
              <w:right w:val="nil"/>
            </w:tcBorders>
            <w:shd w:val="clear" w:color="auto" w:fill="auto"/>
            <w:noWrap/>
            <w:vAlign w:val="center"/>
            <w:hideMark/>
          </w:tcPr>
          <w:p w14:paraId="4BFADC29"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Títulos e Valores Mobiliários</w:t>
            </w:r>
          </w:p>
        </w:tc>
        <w:tc>
          <w:tcPr>
            <w:tcW w:w="620" w:type="pct"/>
            <w:tcBorders>
              <w:top w:val="nil"/>
              <w:left w:val="nil"/>
              <w:bottom w:val="nil"/>
              <w:right w:val="nil"/>
            </w:tcBorders>
            <w:vAlign w:val="center"/>
          </w:tcPr>
          <w:p w14:paraId="71DCE3FD" w14:textId="4CE0F062"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281.716.676</w:t>
            </w:r>
          </w:p>
        </w:tc>
        <w:tc>
          <w:tcPr>
            <w:tcW w:w="620" w:type="pct"/>
            <w:tcBorders>
              <w:top w:val="nil"/>
              <w:left w:val="nil"/>
              <w:bottom w:val="nil"/>
              <w:right w:val="nil"/>
            </w:tcBorders>
            <w:shd w:val="clear" w:color="auto" w:fill="auto"/>
            <w:noWrap/>
            <w:vAlign w:val="center"/>
          </w:tcPr>
          <w:p w14:paraId="42234B9C" w14:textId="6C72CEB8"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276.816.851</w:t>
            </w:r>
          </w:p>
        </w:tc>
        <w:tc>
          <w:tcPr>
            <w:tcW w:w="552" w:type="pct"/>
            <w:tcBorders>
              <w:top w:val="nil"/>
              <w:left w:val="nil"/>
              <w:bottom w:val="nil"/>
              <w:right w:val="nil"/>
            </w:tcBorders>
            <w:shd w:val="clear" w:color="auto" w:fill="auto"/>
            <w:noWrap/>
            <w:vAlign w:val="center"/>
          </w:tcPr>
          <w:p w14:paraId="5F186C52" w14:textId="0B7150FF" w:rsidR="00381680" w:rsidRPr="00FF4346" w:rsidRDefault="00381680" w:rsidP="00381680">
            <w:pPr>
              <w:jc w:val="center"/>
              <w:rPr>
                <w:rFonts w:ascii="CAIXA Std Book" w:hAnsi="CAIXA Std Book" w:cs="Aldhabi"/>
                <w:color w:val="005CA9"/>
                <w:sz w:val="16"/>
                <w:szCs w:val="16"/>
              </w:rPr>
            </w:pPr>
            <w:r w:rsidRPr="00FF4346">
              <w:rPr>
                <w:rFonts w:ascii="CAIXA Std Book" w:hAnsi="CAIXA Std Book" w:cs="Calibri"/>
                <w:color w:val="005CA9"/>
                <w:sz w:val="16"/>
                <w:szCs w:val="16"/>
              </w:rPr>
              <w:t>261.941.909</w:t>
            </w:r>
          </w:p>
        </w:tc>
        <w:tc>
          <w:tcPr>
            <w:tcW w:w="620" w:type="pct"/>
            <w:tcBorders>
              <w:top w:val="nil"/>
              <w:left w:val="nil"/>
              <w:bottom w:val="nil"/>
              <w:right w:val="nil"/>
            </w:tcBorders>
            <w:shd w:val="clear" w:color="auto" w:fill="auto"/>
            <w:noWrap/>
            <w:vAlign w:val="center"/>
          </w:tcPr>
          <w:p w14:paraId="47007F06" w14:textId="153D0CB3"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1.466.296</w:t>
            </w:r>
          </w:p>
        </w:tc>
        <w:tc>
          <w:tcPr>
            <w:tcW w:w="552" w:type="pct"/>
            <w:tcBorders>
              <w:top w:val="nil"/>
              <w:left w:val="nil"/>
              <w:bottom w:val="nil"/>
              <w:right w:val="nil"/>
            </w:tcBorders>
            <w:shd w:val="clear" w:color="auto" w:fill="auto"/>
            <w:noWrap/>
            <w:vAlign w:val="center"/>
          </w:tcPr>
          <w:p w14:paraId="7915DEF8" w14:textId="621CDC22" w:rsidR="00381680" w:rsidRPr="00FF4346" w:rsidRDefault="00381680" w:rsidP="00381680">
            <w:pPr>
              <w:jc w:val="center"/>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13.408.646</w:t>
            </w:r>
          </w:p>
        </w:tc>
      </w:tr>
      <w:tr w:rsidR="00381680" w:rsidRPr="00A33766" w14:paraId="73CB99B0" w14:textId="77777777" w:rsidTr="000C79F4">
        <w:trPr>
          <w:trHeight w:val="283"/>
        </w:trPr>
        <w:tc>
          <w:tcPr>
            <w:tcW w:w="2035" w:type="pct"/>
            <w:tcBorders>
              <w:top w:val="nil"/>
              <w:left w:val="nil"/>
              <w:bottom w:val="nil"/>
              <w:right w:val="nil"/>
            </w:tcBorders>
            <w:shd w:val="clear" w:color="auto" w:fill="auto"/>
            <w:noWrap/>
            <w:vAlign w:val="center"/>
            <w:hideMark/>
          </w:tcPr>
          <w:p w14:paraId="477F26B4"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Instrumentos financeiros derivativos</w:t>
            </w:r>
          </w:p>
        </w:tc>
        <w:tc>
          <w:tcPr>
            <w:tcW w:w="620" w:type="pct"/>
            <w:tcBorders>
              <w:top w:val="nil"/>
              <w:left w:val="nil"/>
              <w:bottom w:val="nil"/>
              <w:right w:val="nil"/>
            </w:tcBorders>
            <w:vAlign w:val="center"/>
          </w:tcPr>
          <w:p w14:paraId="73FCA7BF" w14:textId="0835EB88"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163.206</w:t>
            </w:r>
          </w:p>
        </w:tc>
        <w:tc>
          <w:tcPr>
            <w:tcW w:w="620" w:type="pct"/>
            <w:tcBorders>
              <w:top w:val="nil"/>
              <w:left w:val="nil"/>
              <w:bottom w:val="nil"/>
              <w:right w:val="nil"/>
            </w:tcBorders>
            <w:shd w:val="clear" w:color="auto" w:fill="auto"/>
            <w:noWrap/>
            <w:vAlign w:val="center"/>
          </w:tcPr>
          <w:p w14:paraId="3EBC3ADB" w14:textId="17997875"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163.154</w:t>
            </w:r>
          </w:p>
        </w:tc>
        <w:tc>
          <w:tcPr>
            <w:tcW w:w="552" w:type="pct"/>
            <w:tcBorders>
              <w:top w:val="nil"/>
              <w:left w:val="nil"/>
              <w:bottom w:val="nil"/>
              <w:right w:val="nil"/>
            </w:tcBorders>
            <w:shd w:val="clear" w:color="auto" w:fill="auto"/>
            <w:noWrap/>
            <w:vAlign w:val="center"/>
          </w:tcPr>
          <w:p w14:paraId="562AAFC2" w14:textId="75AECEE2"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3EA59B44" w14:textId="4E439EA6"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163.154</w:t>
            </w:r>
          </w:p>
        </w:tc>
        <w:tc>
          <w:tcPr>
            <w:tcW w:w="552" w:type="pct"/>
            <w:tcBorders>
              <w:top w:val="nil"/>
              <w:left w:val="nil"/>
              <w:bottom w:val="nil"/>
              <w:right w:val="nil"/>
            </w:tcBorders>
            <w:shd w:val="clear" w:color="auto" w:fill="auto"/>
            <w:noWrap/>
            <w:vAlign w:val="center"/>
          </w:tcPr>
          <w:p w14:paraId="724247DB" w14:textId="132A2B89" w:rsidR="00381680" w:rsidRPr="00FF4346" w:rsidRDefault="00381680" w:rsidP="000C79F4">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381680" w:rsidRPr="00A33766" w14:paraId="049147C6" w14:textId="77777777" w:rsidTr="000C79F4">
        <w:trPr>
          <w:trHeight w:val="283"/>
        </w:trPr>
        <w:tc>
          <w:tcPr>
            <w:tcW w:w="2035" w:type="pct"/>
            <w:tcBorders>
              <w:top w:val="nil"/>
              <w:left w:val="nil"/>
              <w:right w:val="nil"/>
            </w:tcBorders>
            <w:shd w:val="clear" w:color="auto" w:fill="auto"/>
            <w:noWrap/>
            <w:vAlign w:val="center"/>
            <w:hideMark/>
          </w:tcPr>
          <w:p w14:paraId="64D3DBF6"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Carteira de crédito</w:t>
            </w:r>
          </w:p>
        </w:tc>
        <w:tc>
          <w:tcPr>
            <w:tcW w:w="620" w:type="pct"/>
            <w:tcBorders>
              <w:top w:val="nil"/>
              <w:left w:val="nil"/>
              <w:right w:val="nil"/>
            </w:tcBorders>
            <w:vAlign w:val="center"/>
          </w:tcPr>
          <w:p w14:paraId="2EAA6348" w14:textId="53D4E974"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1.119</w:t>
            </w:r>
            <w:r w:rsidRPr="00FF4346">
              <w:rPr>
                <w:rFonts w:ascii="CAIXA Std Book" w:hAnsi="CAIXA Std Book" w:cs="Calibri"/>
                <w:color w:val="005CA9"/>
                <w:sz w:val="16"/>
                <w:szCs w:val="16"/>
              </w:rPr>
              <w:t>.820.258</w:t>
            </w:r>
          </w:p>
        </w:tc>
        <w:tc>
          <w:tcPr>
            <w:tcW w:w="620" w:type="pct"/>
            <w:tcBorders>
              <w:top w:val="nil"/>
              <w:left w:val="nil"/>
              <w:right w:val="nil"/>
            </w:tcBorders>
            <w:shd w:val="clear" w:color="auto" w:fill="auto"/>
            <w:noWrap/>
            <w:vAlign w:val="center"/>
          </w:tcPr>
          <w:p w14:paraId="59AF7EBF" w14:textId="2A0CFA4F"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972.508.550</w:t>
            </w:r>
          </w:p>
        </w:tc>
        <w:tc>
          <w:tcPr>
            <w:tcW w:w="552" w:type="pct"/>
            <w:tcBorders>
              <w:top w:val="nil"/>
              <w:left w:val="nil"/>
              <w:right w:val="nil"/>
            </w:tcBorders>
            <w:shd w:val="clear" w:color="auto" w:fill="auto"/>
            <w:noWrap/>
            <w:vAlign w:val="center"/>
          </w:tcPr>
          <w:p w14:paraId="3C9E4B11" w14:textId="4EEB6325"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right w:val="nil"/>
            </w:tcBorders>
            <w:shd w:val="clear" w:color="auto" w:fill="auto"/>
            <w:noWrap/>
            <w:vAlign w:val="center"/>
          </w:tcPr>
          <w:p w14:paraId="1FB29150" w14:textId="37474FFE"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972.508.550</w:t>
            </w:r>
          </w:p>
        </w:tc>
        <w:tc>
          <w:tcPr>
            <w:tcW w:w="552" w:type="pct"/>
            <w:tcBorders>
              <w:top w:val="nil"/>
              <w:left w:val="nil"/>
              <w:right w:val="nil"/>
            </w:tcBorders>
            <w:shd w:val="clear" w:color="auto" w:fill="auto"/>
            <w:noWrap/>
            <w:vAlign w:val="center"/>
          </w:tcPr>
          <w:p w14:paraId="207D5E24" w14:textId="45D49D0A" w:rsidR="00381680" w:rsidRPr="00FF4346" w:rsidRDefault="00381680" w:rsidP="000C79F4">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381680" w:rsidRPr="00A33766" w14:paraId="21B03699" w14:textId="77777777" w:rsidTr="000C79F4">
        <w:trPr>
          <w:trHeight w:val="283"/>
        </w:trPr>
        <w:tc>
          <w:tcPr>
            <w:tcW w:w="2035" w:type="pct"/>
            <w:tcBorders>
              <w:top w:val="nil"/>
              <w:left w:val="nil"/>
              <w:right w:val="nil"/>
            </w:tcBorders>
            <w:shd w:val="clear" w:color="auto" w:fill="auto"/>
            <w:noWrap/>
            <w:vAlign w:val="center"/>
            <w:hideMark/>
          </w:tcPr>
          <w:p w14:paraId="547B2F5A"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Outros ativos financeiros</w:t>
            </w:r>
          </w:p>
        </w:tc>
        <w:tc>
          <w:tcPr>
            <w:tcW w:w="620" w:type="pct"/>
            <w:tcBorders>
              <w:top w:val="nil"/>
              <w:left w:val="nil"/>
              <w:right w:val="nil"/>
            </w:tcBorders>
            <w:vAlign w:val="center"/>
          </w:tcPr>
          <w:p w14:paraId="14D460EC" w14:textId="08995357"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63.448.618</w:t>
            </w:r>
          </w:p>
        </w:tc>
        <w:tc>
          <w:tcPr>
            <w:tcW w:w="620" w:type="pct"/>
            <w:tcBorders>
              <w:top w:val="nil"/>
              <w:left w:val="nil"/>
              <w:right w:val="nil"/>
            </w:tcBorders>
            <w:shd w:val="clear" w:color="auto" w:fill="auto"/>
            <w:noWrap/>
            <w:vAlign w:val="center"/>
          </w:tcPr>
          <w:p w14:paraId="3296ED51" w14:textId="7D1EE7C0"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60.613.353</w:t>
            </w:r>
          </w:p>
        </w:tc>
        <w:tc>
          <w:tcPr>
            <w:tcW w:w="552" w:type="pct"/>
            <w:tcBorders>
              <w:top w:val="nil"/>
              <w:left w:val="nil"/>
              <w:right w:val="nil"/>
            </w:tcBorders>
            <w:shd w:val="clear" w:color="auto" w:fill="auto"/>
            <w:noWrap/>
            <w:vAlign w:val="center"/>
          </w:tcPr>
          <w:p w14:paraId="631AFD03" w14:textId="25ADA4F7"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right w:val="nil"/>
            </w:tcBorders>
            <w:shd w:val="clear" w:color="auto" w:fill="auto"/>
            <w:noWrap/>
            <w:vAlign w:val="center"/>
          </w:tcPr>
          <w:p w14:paraId="1D694BF6" w14:textId="119E6715"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60.613.353</w:t>
            </w:r>
          </w:p>
        </w:tc>
        <w:tc>
          <w:tcPr>
            <w:tcW w:w="552" w:type="pct"/>
            <w:tcBorders>
              <w:top w:val="nil"/>
              <w:left w:val="nil"/>
              <w:right w:val="nil"/>
            </w:tcBorders>
            <w:shd w:val="clear" w:color="auto" w:fill="auto"/>
            <w:noWrap/>
            <w:vAlign w:val="center"/>
          </w:tcPr>
          <w:p w14:paraId="6B93D71C" w14:textId="04E551D2" w:rsidR="00381680" w:rsidRPr="00FF4346" w:rsidRDefault="00381680" w:rsidP="000C79F4">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381680" w:rsidRPr="00A33766" w14:paraId="4627A0B1" w14:textId="77777777" w:rsidTr="00925767">
        <w:trPr>
          <w:trHeight w:val="283"/>
        </w:trPr>
        <w:tc>
          <w:tcPr>
            <w:tcW w:w="2035" w:type="pct"/>
            <w:tcBorders>
              <w:left w:val="nil"/>
              <w:bottom w:val="nil"/>
              <w:right w:val="nil"/>
            </w:tcBorders>
            <w:shd w:val="clear" w:color="auto" w:fill="auto"/>
            <w:noWrap/>
            <w:vAlign w:val="center"/>
            <w:hideMark/>
          </w:tcPr>
          <w:p w14:paraId="002B54F1" w14:textId="77777777" w:rsidR="00381680" w:rsidRPr="00FF4346" w:rsidRDefault="00381680" w:rsidP="00381680">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PASSIVO</w:t>
            </w:r>
          </w:p>
        </w:tc>
        <w:tc>
          <w:tcPr>
            <w:tcW w:w="620" w:type="pct"/>
            <w:tcBorders>
              <w:left w:val="nil"/>
              <w:bottom w:val="nil"/>
              <w:right w:val="nil"/>
            </w:tcBorders>
            <w:vAlign w:val="center"/>
          </w:tcPr>
          <w:p w14:paraId="19664E5C" w14:textId="77777777" w:rsidR="00381680" w:rsidRPr="00FF4346" w:rsidRDefault="00381680" w:rsidP="00381680">
            <w:pPr>
              <w:jc w:val="right"/>
              <w:rPr>
                <w:rFonts w:ascii="CAIXA Std Book" w:eastAsia="Times New Roman" w:hAnsi="CAIXA Std Book" w:cs="Aldhabi"/>
                <w:b/>
                <w:color w:val="005CA9"/>
                <w:sz w:val="16"/>
                <w:szCs w:val="16"/>
              </w:rPr>
            </w:pPr>
          </w:p>
        </w:tc>
        <w:tc>
          <w:tcPr>
            <w:tcW w:w="620" w:type="pct"/>
            <w:tcBorders>
              <w:left w:val="nil"/>
              <w:bottom w:val="nil"/>
              <w:right w:val="nil"/>
            </w:tcBorders>
            <w:shd w:val="clear" w:color="auto" w:fill="auto"/>
            <w:noWrap/>
            <w:vAlign w:val="center"/>
          </w:tcPr>
          <w:p w14:paraId="04D8EABB" w14:textId="77777777" w:rsidR="00381680" w:rsidRPr="00FF4346" w:rsidRDefault="00381680" w:rsidP="00381680">
            <w:pPr>
              <w:jc w:val="right"/>
              <w:rPr>
                <w:rFonts w:ascii="CAIXA Std Book" w:eastAsia="Times New Roman" w:hAnsi="CAIXA Std Book" w:cs="Aldhabi"/>
                <w:b/>
                <w:color w:val="005CA9"/>
                <w:sz w:val="16"/>
                <w:szCs w:val="16"/>
              </w:rPr>
            </w:pPr>
          </w:p>
        </w:tc>
        <w:tc>
          <w:tcPr>
            <w:tcW w:w="552" w:type="pct"/>
            <w:tcBorders>
              <w:left w:val="nil"/>
              <w:bottom w:val="nil"/>
              <w:right w:val="nil"/>
            </w:tcBorders>
            <w:shd w:val="clear" w:color="auto" w:fill="auto"/>
            <w:noWrap/>
            <w:vAlign w:val="center"/>
          </w:tcPr>
          <w:p w14:paraId="10B1B879" w14:textId="77777777" w:rsidR="00381680" w:rsidRPr="00FF4346" w:rsidRDefault="00381680" w:rsidP="00381680">
            <w:pPr>
              <w:jc w:val="center"/>
              <w:rPr>
                <w:rFonts w:ascii="CAIXA Std Book" w:eastAsia="Times New Roman" w:hAnsi="CAIXA Std Book" w:cs="Aldhabi"/>
                <w:color w:val="005CA9"/>
                <w:sz w:val="16"/>
                <w:szCs w:val="16"/>
              </w:rPr>
            </w:pPr>
          </w:p>
        </w:tc>
        <w:tc>
          <w:tcPr>
            <w:tcW w:w="620" w:type="pct"/>
            <w:tcBorders>
              <w:left w:val="nil"/>
              <w:bottom w:val="nil"/>
              <w:right w:val="nil"/>
            </w:tcBorders>
            <w:shd w:val="clear" w:color="auto" w:fill="auto"/>
            <w:noWrap/>
            <w:vAlign w:val="center"/>
          </w:tcPr>
          <w:p w14:paraId="0CFEA9E5" w14:textId="77777777" w:rsidR="00381680" w:rsidRPr="00FF4346" w:rsidRDefault="00381680" w:rsidP="00381680">
            <w:pPr>
              <w:jc w:val="right"/>
              <w:rPr>
                <w:rFonts w:ascii="CAIXA Std Book" w:eastAsia="Times New Roman" w:hAnsi="CAIXA Std Book" w:cs="Times New Roman"/>
                <w:color w:val="005CA9"/>
                <w:sz w:val="16"/>
                <w:szCs w:val="16"/>
              </w:rPr>
            </w:pPr>
          </w:p>
        </w:tc>
        <w:tc>
          <w:tcPr>
            <w:tcW w:w="552" w:type="pct"/>
            <w:tcBorders>
              <w:left w:val="nil"/>
              <w:bottom w:val="nil"/>
              <w:right w:val="nil"/>
            </w:tcBorders>
            <w:shd w:val="clear" w:color="auto" w:fill="auto"/>
            <w:noWrap/>
            <w:vAlign w:val="center"/>
          </w:tcPr>
          <w:p w14:paraId="20C87B1C" w14:textId="77777777" w:rsidR="00381680" w:rsidRPr="00FF4346" w:rsidRDefault="00381680" w:rsidP="00381680">
            <w:pPr>
              <w:jc w:val="right"/>
              <w:rPr>
                <w:rFonts w:ascii="CAIXA Std Book" w:eastAsia="Times New Roman" w:hAnsi="CAIXA Std Book" w:cs="Times New Roman"/>
                <w:color w:val="005CA9"/>
                <w:sz w:val="16"/>
                <w:szCs w:val="16"/>
              </w:rPr>
            </w:pPr>
          </w:p>
        </w:tc>
      </w:tr>
      <w:tr w:rsidR="00381680" w:rsidRPr="00A33766" w14:paraId="7F1949BF" w14:textId="77777777" w:rsidTr="00925767">
        <w:trPr>
          <w:trHeight w:val="283"/>
        </w:trPr>
        <w:tc>
          <w:tcPr>
            <w:tcW w:w="2035" w:type="pct"/>
            <w:tcBorders>
              <w:top w:val="nil"/>
              <w:left w:val="nil"/>
              <w:bottom w:val="nil"/>
              <w:right w:val="nil"/>
            </w:tcBorders>
            <w:shd w:val="clear" w:color="auto" w:fill="auto"/>
            <w:noWrap/>
            <w:vAlign w:val="center"/>
            <w:hideMark/>
          </w:tcPr>
          <w:p w14:paraId="794C8934" w14:textId="77777777" w:rsidR="00381680" w:rsidRPr="00FF4346" w:rsidRDefault="00381680" w:rsidP="00381680">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Passivos Financeiros </w:t>
            </w:r>
          </w:p>
        </w:tc>
        <w:tc>
          <w:tcPr>
            <w:tcW w:w="620" w:type="pct"/>
            <w:tcBorders>
              <w:top w:val="nil"/>
              <w:left w:val="nil"/>
              <w:bottom w:val="nil"/>
              <w:right w:val="nil"/>
            </w:tcBorders>
            <w:vAlign w:val="center"/>
          </w:tcPr>
          <w:p w14:paraId="0838871B" w14:textId="6C8099D0" w:rsidR="00381680" w:rsidRPr="00FF4346" w:rsidRDefault="00381680" w:rsidP="00381680">
            <w:pPr>
              <w:jc w:val="right"/>
              <w:rPr>
                <w:rFonts w:ascii="CAIXA Std Book" w:eastAsia="Times New Roman" w:hAnsi="CAIXA Std Book" w:cs="Aldhabi"/>
                <w:b/>
                <w:color w:val="005CA9"/>
                <w:sz w:val="16"/>
                <w:szCs w:val="16"/>
              </w:rPr>
            </w:pPr>
            <w:r w:rsidRPr="00FF4346">
              <w:rPr>
                <w:rFonts w:ascii="CAIXA Std Book" w:hAnsi="CAIXA Std Book" w:cs="Calibri"/>
                <w:b/>
                <w:bCs/>
                <w:color w:val="005CA9"/>
                <w:sz w:val="16"/>
                <w:szCs w:val="16"/>
              </w:rPr>
              <w:t>1.616.268.614</w:t>
            </w:r>
          </w:p>
        </w:tc>
        <w:tc>
          <w:tcPr>
            <w:tcW w:w="620" w:type="pct"/>
            <w:tcBorders>
              <w:top w:val="nil"/>
              <w:left w:val="nil"/>
              <w:bottom w:val="nil"/>
              <w:right w:val="nil"/>
            </w:tcBorders>
            <w:shd w:val="clear" w:color="auto" w:fill="auto"/>
            <w:noWrap/>
            <w:vAlign w:val="center"/>
          </w:tcPr>
          <w:p w14:paraId="7BA3C9FB" w14:textId="24F6F9E9" w:rsidR="00381680" w:rsidRPr="00FF4346" w:rsidRDefault="00381680" w:rsidP="00381680">
            <w:pPr>
              <w:jc w:val="right"/>
              <w:rPr>
                <w:rFonts w:ascii="CAIXA Std Book" w:eastAsia="Times New Roman" w:hAnsi="CAIXA Std Book" w:cs="Aldhabi"/>
                <w:b/>
                <w:color w:val="005CA9"/>
                <w:sz w:val="16"/>
                <w:szCs w:val="16"/>
              </w:rPr>
            </w:pPr>
            <w:r w:rsidRPr="00FF4346">
              <w:rPr>
                <w:rFonts w:ascii="CAIXA Std Book" w:hAnsi="CAIXA Std Book" w:cs="Calibri"/>
                <w:b/>
                <w:bCs/>
                <w:color w:val="005CA9"/>
                <w:sz w:val="16"/>
                <w:szCs w:val="16"/>
              </w:rPr>
              <w:t>1.</w:t>
            </w:r>
            <w:r w:rsidR="00AA0318">
              <w:rPr>
                <w:rFonts w:ascii="CAIXA Std Book" w:hAnsi="CAIXA Std Book" w:cs="Calibri"/>
                <w:b/>
                <w:bCs/>
                <w:color w:val="005CA9"/>
                <w:sz w:val="16"/>
                <w:szCs w:val="16"/>
              </w:rPr>
              <w:t>438.657.556</w:t>
            </w:r>
          </w:p>
        </w:tc>
        <w:tc>
          <w:tcPr>
            <w:tcW w:w="552" w:type="pct"/>
            <w:tcBorders>
              <w:top w:val="nil"/>
              <w:left w:val="nil"/>
              <w:bottom w:val="nil"/>
              <w:right w:val="nil"/>
            </w:tcBorders>
            <w:shd w:val="clear" w:color="auto" w:fill="auto"/>
            <w:noWrap/>
            <w:vAlign w:val="center"/>
          </w:tcPr>
          <w:p w14:paraId="5588A4B5" w14:textId="4DAAFD3C" w:rsidR="00381680" w:rsidRPr="00FF4346" w:rsidRDefault="00381680" w:rsidP="00381680">
            <w:pPr>
              <w:jc w:val="center"/>
              <w:rPr>
                <w:rFonts w:ascii="CAIXA Std Book" w:hAnsi="CAIXA Std Book" w:cs="Aldhabi"/>
                <w:b/>
                <w:color w:val="005CA9"/>
                <w:sz w:val="16"/>
                <w:szCs w:val="16"/>
              </w:rPr>
            </w:pPr>
            <w:r w:rsidRPr="00FF4346">
              <w:rPr>
                <w:rFonts w:ascii="CAIXA Std Book" w:hAnsi="CAIXA Std Book"/>
                <w:b/>
                <w:color w:val="005CA9"/>
                <w:sz w:val="16"/>
                <w:szCs w:val="16"/>
              </w:rPr>
              <w:t>-</w:t>
            </w:r>
          </w:p>
        </w:tc>
        <w:tc>
          <w:tcPr>
            <w:tcW w:w="620" w:type="pct"/>
            <w:tcBorders>
              <w:top w:val="nil"/>
              <w:left w:val="nil"/>
              <w:bottom w:val="nil"/>
              <w:right w:val="nil"/>
            </w:tcBorders>
            <w:shd w:val="clear" w:color="auto" w:fill="auto"/>
            <w:noWrap/>
            <w:vAlign w:val="center"/>
          </w:tcPr>
          <w:p w14:paraId="76239DC6" w14:textId="33C1BA45" w:rsidR="00381680" w:rsidRPr="00FF4346" w:rsidRDefault="00381680" w:rsidP="00381680">
            <w:pPr>
              <w:jc w:val="right"/>
              <w:rPr>
                <w:rFonts w:ascii="CAIXA Std Book" w:eastAsia="Times New Roman" w:hAnsi="CAIXA Std Book" w:cs="Calibri"/>
                <w:b/>
                <w:color w:val="005CA9"/>
                <w:sz w:val="16"/>
                <w:szCs w:val="16"/>
              </w:rPr>
            </w:pPr>
            <w:r w:rsidRPr="00FF4346">
              <w:rPr>
                <w:rFonts w:ascii="CAIXA Std Book" w:hAnsi="CAIXA Std Book" w:cs="Calibri"/>
                <w:b/>
                <w:bCs/>
                <w:color w:val="005CA9"/>
                <w:sz w:val="16"/>
                <w:szCs w:val="16"/>
              </w:rPr>
              <w:t>777.298.799</w:t>
            </w:r>
          </w:p>
        </w:tc>
        <w:tc>
          <w:tcPr>
            <w:tcW w:w="552" w:type="pct"/>
            <w:tcBorders>
              <w:top w:val="nil"/>
              <w:left w:val="nil"/>
              <w:bottom w:val="nil"/>
              <w:right w:val="nil"/>
            </w:tcBorders>
            <w:shd w:val="clear" w:color="auto" w:fill="auto"/>
            <w:noWrap/>
            <w:vAlign w:val="center"/>
          </w:tcPr>
          <w:p w14:paraId="4F68B5F5" w14:textId="17BF97C1" w:rsidR="00381680" w:rsidRPr="00FF4346" w:rsidRDefault="00381680" w:rsidP="00381680">
            <w:pPr>
              <w:jc w:val="right"/>
              <w:rPr>
                <w:rFonts w:ascii="CAIXA Std Book" w:eastAsia="Times New Roman" w:hAnsi="CAIXA Std Book" w:cs="Calibri"/>
                <w:b/>
                <w:color w:val="005CA9"/>
                <w:sz w:val="16"/>
                <w:szCs w:val="16"/>
              </w:rPr>
            </w:pPr>
            <w:r w:rsidRPr="00FF4346">
              <w:rPr>
                <w:rFonts w:ascii="CAIXA Std Book" w:hAnsi="CAIXA Std Book" w:cs="Calibri"/>
                <w:b/>
                <w:bCs/>
                <w:color w:val="005CA9"/>
                <w:sz w:val="16"/>
                <w:szCs w:val="16"/>
              </w:rPr>
              <w:t>661.</w:t>
            </w:r>
            <w:r w:rsidR="00CE685B">
              <w:rPr>
                <w:rFonts w:ascii="CAIXA Std Book" w:hAnsi="CAIXA Std Book" w:cs="Calibri"/>
                <w:b/>
                <w:bCs/>
                <w:color w:val="005CA9"/>
                <w:sz w:val="16"/>
                <w:szCs w:val="16"/>
              </w:rPr>
              <w:t>358.757</w:t>
            </w:r>
          </w:p>
        </w:tc>
      </w:tr>
      <w:tr w:rsidR="00381680" w:rsidRPr="00A33766" w14:paraId="01751E3F" w14:textId="77777777" w:rsidTr="00925767">
        <w:trPr>
          <w:trHeight w:val="283"/>
        </w:trPr>
        <w:tc>
          <w:tcPr>
            <w:tcW w:w="2035" w:type="pct"/>
            <w:tcBorders>
              <w:top w:val="nil"/>
              <w:left w:val="nil"/>
              <w:bottom w:val="nil"/>
              <w:right w:val="nil"/>
            </w:tcBorders>
            <w:shd w:val="clear" w:color="auto" w:fill="auto"/>
            <w:noWrap/>
            <w:vAlign w:val="center"/>
            <w:hideMark/>
          </w:tcPr>
          <w:p w14:paraId="082F2B1D"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clientes</w:t>
            </w:r>
          </w:p>
        </w:tc>
        <w:tc>
          <w:tcPr>
            <w:tcW w:w="620" w:type="pct"/>
            <w:tcBorders>
              <w:top w:val="nil"/>
              <w:left w:val="nil"/>
              <w:bottom w:val="nil"/>
              <w:right w:val="nil"/>
            </w:tcBorders>
            <w:vAlign w:val="center"/>
          </w:tcPr>
          <w:p w14:paraId="14959B6E" w14:textId="4F68FB26"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714.074.459</w:t>
            </w:r>
          </w:p>
        </w:tc>
        <w:tc>
          <w:tcPr>
            <w:tcW w:w="620" w:type="pct"/>
            <w:tcBorders>
              <w:top w:val="nil"/>
              <w:left w:val="nil"/>
              <w:bottom w:val="nil"/>
              <w:right w:val="nil"/>
            </w:tcBorders>
            <w:shd w:val="clear" w:color="auto" w:fill="auto"/>
            <w:noWrap/>
            <w:vAlign w:val="center"/>
          </w:tcPr>
          <w:p w14:paraId="4A787EA9" w14:textId="0977B58D"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661.358.757</w:t>
            </w:r>
          </w:p>
        </w:tc>
        <w:tc>
          <w:tcPr>
            <w:tcW w:w="552" w:type="pct"/>
            <w:tcBorders>
              <w:top w:val="nil"/>
              <w:left w:val="nil"/>
              <w:bottom w:val="nil"/>
              <w:right w:val="nil"/>
            </w:tcBorders>
            <w:shd w:val="clear" w:color="auto" w:fill="auto"/>
            <w:noWrap/>
            <w:vAlign w:val="center"/>
          </w:tcPr>
          <w:p w14:paraId="0B9FFFFA" w14:textId="507CA668"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142BC07C" w14:textId="5908C8DC" w:rsidR="00381680" w:rsidRPr="00FF4346" w:rsidRDefault="00381680" w:rsidP="00381680">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552" w:type="pct"/>
            <w:tcBorders>
              <w:top w:val="nil"/>
              <w:left w:val="nil"/>
              <w:bottom w:val="nil"/>
              <w:right w:val="nil"/>
            </w:tcBorders>
            <w:shd w:val="clear" w:color="auto" w:fill="auto"/>
            <w:noWrap/>
            <w:vAlign w:val="center"/>
          </w:tcPr>
          <w:p w14:paraId="6D842465" w14:textId="410E7B09"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661.358.757</w:t>
            </w:r>
          </w:p>
        </w:tc>
      </w:tr>
      <w:tr w:rsidR="00381680" w:rsidRPr="00A33766" w14:paraId="15118C8C" w14:textId="77777777" w:rsidTr="00294D9D">
        <w:trPr>
          <w:trHeight w:val="283"/>
        </w:trPr>
        <w:tc>
          <w:tcPr>
            <w:tcW w:w="2035" w:type="pct"/>
            <w:tcBorders>
              <w:top w:val="nil"/>
              <w:left w:val="nil"/>
              <w:right w:val="nil"/>
            </w:tcBorders>
            <w:shd w:val="clear" w:color="auto" w:fill="auto"/>
            <w:noWrap/>
            <w:vAlign w:val="center"/>
            <w:hideMark/>
          </w:tcPr>
          <w:p w14:paraId="05160B91"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instituições financeiras e outras</w:t>
            </w:r>
          </w:p>
        </w:tc>
        <w:tc>
          <w:tcPr>
            <w:tcW w:w="620" w:type="pct"/>
            <w:tcBorders>
              <w:top w:val="nil"/>
              <w:left w:val="nil"/>
              <w:right w:val="nil"/>
            </w:tcBorders>
            <w:vAlign w:val="center"/>
          </w:tcPr>
          <w:p w14:paraId="39C66164" w14:textId="6392DD50"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665.024.676</w:t>
            </w:r>
          </w:p>
        </w:tc>
        <w:tc>
          <w:tcPr>
            <w:tcW w:w="620" w:type="pct"/>
            <w:tcBorders>
              <w:top w:val="nil"/>
              <w:left w:val="nil"/>
              <w:right w:val="nil"/>
            </w:tcBorders>
            <w:shd w:val="clear" w:color="auto" w:fill="auto"/>
            <w:noWrap/>
            <w:vAlign w:val="center"/>
          </w:tcPr>
          <w:p w14:paraId="0A9302A5" w14:textId="14412620"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548.055.892</w:t>
            </w:r>
          </w:p>
        </w:tc>
        <w:tc>
          <w:tcPr>
            <w:tcW w:w="552" w:type="pct"/>
            <w:tcBorders>
              <w:top w:val="nil"/>
              <w:left w:val="nil"/>
              <w:right w:val="nil"/>
            </w:tcBorders>
            <w:shd w:val="clear" w:color="auto" w:fill="auto"/>
            <w:noWrap/>
            <w:vAlign w:val="center"/>
          </w:tcPr>
          <w:p w14:paraId="44D928D7" w14:textId="226047DC"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right w:val="nil"/>
            </w:tcBorders>
            <w:shd w:val="clear" w:color="auto" w:fill="auto"/>
            <w:noWrap/>
            <w:vAlign w:val="center"/>
          </w:tcPr>
          <w:p w14:paraId="5A00A316" w14:textId="62B1792B"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548.055.892</w:t>
            </w:r>
          </w:p>
        </w:tc>
        <w:tc>
          <w:tcPr>
            <w:tcW w:w="552" w:type="pct"/>
            <w:tcBorders>
              <w:top w:val="nil"/>
              <w:left w:val="nil"/>
              <w:right w:val="nil"/>
            </w:tcBorders>
            <w:shd w:val="clear" w:color="auto" w:fill="auto"/>
            <w:noWrap/>
            <w:vAlign w:val="center"/>
          </w:tcPr>
          <w:p w14:paraId="657D5ACE" w14:textId="4D8253F1" w:rsidR="00381680" w:rsidRPr="00FF4346" w:rsidRDefault="00381680" w:rsidP="00381680">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381680" w:rsidRPr="00A33766" w14:paraId="077C61A9" w14:textId="77777777" w:rsidTr="00294D9D">
        <w:trPr>
          <w:trHeight w:val="283"/>
        </w:trPr>
        <w:tc>
          <w:tcPr>
            <w:tcW w:w="2035" w:type="pct"/>
            <w:tcBorders>
              <w:top w:val="nil"/>
              <w:left w:val="nil"/>
              <w:bottom w:val="single" w:sz="4" w:space="0" w:color="F79646" w:themeColor="accent6"/>
              <w:right w:val="nil"/>
            </w:tcBorders>
            <w:shd w:val="clear" w:color="auto" w:fill="auto"/>
            <w:noWrap/>
            <w:vAlign w:val="center"/>
            <w:hideMark/>
          </w:tcPr>
          <w:p w14:paraId="5D498610" w14:textId="77777777" w:rsidR="00381680" w:rsidRPr="00FF4346" w:rsidRDefault="00381680" w:rsidP="00381680">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emissões de títulos e valores mobiliários</w:t>
            </w:r>
          </w:p>
        </w:tc>
        <w:tc>
          <w:tcPr>
            <w:tcW w:w="620" w:type="pct"/>
            <w:tcBorders>
              <w:top w:val="nil"/>
              <w:left w:val="nil"/>
              <w:bottom w:val="single" w:sz="4" w:space="0" w:color="F79646" w:themeColor="accent6"/>
              <w:right w:val="nil"/>
            </w:tcBorders>
            <w:vAlign w:val="center"/>
          </w:tcPr>
          <w:p w14:paraId="68A8FE49" w14:textId="1BDB1EEB"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237.169.479</w:t>
            </w:r>
          </w:p>
        </w:tc>
        <w:tc>
          <w:tcPr>
            <w:tcW w:w="620" w:type="pct"/>
            <w:tcBorders>
              <w:top w:val="nil"/>
              <w:left w:val="nil"/>
              <w:bottom w:val="single" w:sz="4" w:space="0" w:color="F79646" w:themeColor="accent6"/>
              <w:right w:val="nil"/>
            </w:tcBorders>
            <w:shd w:val="clear" w:color="auto" w:fill="auto"/>
            <w:noWrap/>
            <w:vAlign w:val="center"/>
          </w:tcPr>
          <w:p w14:paraId="363014A1" w14:textId="403DD318" w:rsidR="00381680" w:rsidRPr="00FF4346" w:rsidRDefault="00381680" w:rsidP="00381680">
            <w:pPr>
              <w:jc w:val="right"/>
              <w:rPr>
                <w:rFonts w:ascii="CAIXA Std Book" w:eastAsia="Times New Roman" w:hAnsi="CAIXA Std Book" w:cs="Aldhabi"/>
                <w:color w:val="005CA9"/>
                <w:sz w:val="16"/>
                <w:szCs w:val="16"/>
              </w:rPr>
            </w:pPr>
            <w:r w:rsidRPr="00FF4346">
              <w:rPr>
                <w:rFonts w:ascii="CAIXA Std Book" w:hAnsi="CAIXA Std Book" w:cs="Calibri"/>
                <w:color w:val="005CA9"/>
                <w:sz w:val="16"/>
                <w:szCs w:val="16"/>
              </w:rPr>
              <w:t>229.242.907</w:t>
            </w:r>
          </w:p>
        </w:tc>
        <w:tc>
          <w:tcPr>
            <w:tcW w:w="552" w:type="pct"/>
            <w:tcBorders>
              <w:top w:val="nil"/>
              <w:left w:val="nil"/>
              <w:bottom w:val="single" w:sz="4" w:space="0" w:color="F79646" w:themeColor="accent6"/>
              <w:right w:val="nil"/>
            </w:tcBorders>
            <w:shd w:val="clear" w:color="auto" w:fill="auto"/>
            <w:noWrap/>
            <w:vAlign w:val="center"/>
          </w:tcPr>
          <w:p w14:paraId="6D9443B8" w14:textId="1ED822A0" w:rsidR="00381680" w:rsidRPr="00FF4346" w:rsidRDefault="00381680" w:rsidP="00381680">
            <w:pPr>
              <w:jc w:val="center"/>
              <w:rPr>
                <w:rFonts w:ascii="CAIXA Std Book" w:eastAsia="Times New Roman" w:hAnsi="CAIXA Std Book" w:cs="Aldhabi"/>
                <w:color w:val="005CA9"/>
                <w:sz w:val="16"/>
                <w:szCs w:val="16"/>
              </w:rPr>
            </w:pPr>
            <w:r w:rsidRPr="00FF4346">
              <w:rPr>
                <w:rFonts w:ascii="CAIXA Std Book" w:eastAsia="Times New Roman" w:hAnsi="CAIXA Std Book" w:cs="Calibri"/>
                <w:color w:val="005CA9"/>
                <w:sz w:val="16"/>
                <w:szCs w:val="16"/>
              </w:rPr>
              <w:t>-</w:t>
            </w:r>
          </w:p>
        </w:tc>
        <w:tc>
          <w:tcPr>
            <w:tcW w:w="620" w:type="pct"/>
            <w:tcBorders>
              <w:top w:val="nil"/>
              <w:left w:val="nil"/>
              <w:bottom w:val="single" w:sz="4" w:space="0" w:color="F79646" w:themeColor="accent6"/>
              <w:right w:val="nil"/>
            </w:tcBorders>
            <w:shd w:val="clear" w:color="auto" w:fill="auto"/>
            <w:noWrap/>
            <w:vAlign w:val="center"/>
          </w:tcPr>
          <w:p w14:paraId="6BF6E4E0" w14:textId="64B524F9" w:rsidR="00381680" w:rsidRPr="00FF4346" w:rsidRDefault="00381680" w:rsidP="00381680">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229.242.907</w:t>
            </w:r>
          </w:p>
        </w:tc>
        <w:tc>
          <w:tcPr>
            <w:tcW w:w="552" w:type="pct"/>
            <w:tcBorders>
              <w:top w:val="nil"/>
              <w:left w:val="nil"/>
              <w:bottom w:val="single" w:sz="4" w:space="0" w:color="F79646" w:themeColor="accent6"/>
              <w:right w:val="nil"/>
            </w:tcBorders>
            <w:shd w:val="clear" w:color="auto" w:fill="auto"/>
            <w:noWrap/>
            <w:vAlign w:val="center"/>
          </w:tcPr>
          <w:p w14:paraId="79B7491A" w14:textId="14583DED" w:rsidR="00381680" w:rsidRPr="00FF4346" w:rsidRDefault="00381680" w:rsidP="00381680">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bl>
    <w:p w14:paraId="6E2093DF" w14:textId="556DDAD9" w:rsidR="0056310D" w:rsidRPr="00FF4346" w:rsidRDefault="0056310D">
      <w:pPr>
        <w:rPr>
          <w:rFonts w:ascii="CAIXA Std Book" w:hAnsi="CAIXA Std Book"/>
          <w:b/>
          <w:color w:val="005CA9"/>
        </w:rPr>
      </w:pPr>
    </w:p>
    <w:p w14:paraId="0D03C2EA" w14:textId="77777777" w:rsidR="00CD24C9" w:rsidRPr="00FF4346" w:rsidRDefault="00CD24C9">
      <w:pPr>
        <w:rPr>
          <w:rFonts w:ascii="CAIXA Std Book" w:hAnsi="CAIXA Std Book"/>
          <w:b/>
          <w:color w:val="005CA9"/>
        </w:rPr>
      </w:pPr>
    </w:p>
    <w:tbl>
      <w:tblPr>
        <w:tblW w:w="5168" w:type="pct"/>
        <w:tblCellMar>
          <w:left w:w="70" w:type="dxa"/>
          <w:right w:w="70" w:type="dxa"/>
        </w:tblCellMar>
        <w:tblLook w:val="04A0" w:firstRow="1" w:lastRow="0" w:firstColumn="1" w:lastColumn="0" w:noHBand="0" w:noVBand="1"/>
      </w:tblPr>
      <w:tblGrid>
        <w:gridCol w:w="4101"/>
        <w:gridCol w:w="1250"/>
        <w:gridCol w:w="1250"/>
        <w:gridCol w:w="1112"/>
        <w:gridCol w:w="1250"/>
        <w:gridCol w:w="1112"/>
      </w:tblGrid>
      <w:tr w:rsidR="004F3E26" w:rsidRPr="00A33766" w14:paraId="2176E6F6" w14:textId="77777777" w:rsidTr="00107347">
        <w:trPr>
          <w:trHeight w:val="283"/>
        </w:trPr>
        <w:tc>
          <w:tcPr>
            <w:tcW w:w="5000" w:type="pct"/>
            <w:gridSpan w:val="6"/>
            <w:tcBorders>
              <w:top w:val="single" w:sz="4" w:space="0" w:color="F39200"/>
              <w:left w:val="nil"/>
              <w:bottom w:val="single" w:sz="4" w:space="0" w:color="F39200"/>
              <w:right w:val="nil"/>
            </w:tcBorders>
            <w:shd w:val="clear" w:color="auto" w:fill="auto"/>
            <w:noWrap/>
            <w:vAlign w:val="center"/>
          </w:tcPr>
          <w:p w14:paraId="5DEE7E7A" w14:textId="6FEDD00D" w:rsidR="004F3E26" w:rsidRPr="00FF4346" w:rsidRDefault="004F3E26" w:rsidP="00BD5472">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CONSOLIDADO</w:t>
            </w:r>
          </w:p>
        </w:tc>
      </w:tr>
      <w:tr w:rsidR="00FB2AAF" w:rsidRPr="00A33766" w14:paraId="038FC603" w14:textId="77777777" w:rsidTr="00107347">
        <w:trPr>
          <w:trHeight w:val="283"/>
        </w:trPr>
        <w:tc>
          <w:tcPr>
            <w:tcW w:w="2035" w:type="pct"/>
            <w:vMerge w:val="restart"/>
            <w:tcBorders>
              <w:top w:val="single" w:sz="4" w:space="0" w:color="F39200"/>
              <w:left w:val="nil"/>
              <w:bottom w:val="single" w:sz="4" w:space="0" w:color="F39200"/>
              <w:right w:val="nil"/>
            </w:tcBorders>
            <w:shd w:val="clear" w:color="auto" w:fill="auto"/>
            <w:noWrap/>
            <w:vAlign w:val="center"/>
            <w:hideMark/>
          </w:tcPr>
          <w:p w14:paraId="4504DD50" w14:textId="2C4B9157" w:rsidR="008D3492" w:rsidRPr="00FF4346" w:rsidRDefault="004F3E26" w:rsidP="00BD5472">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Descrição</w:t>
            </w:r>
          </w:p>
        </w:tc>
        <w:tc>
          <w:tcPr>
            <w:tcW w:w="1241" w:type="pct"/>
            <w:gridSpan w:val="2"/>
            <w:tcBorders>
              <w:top w:val="single" w:sz="4" w:space="0" w:color="F39200"/>
              <w:left w:val="nil"/>
              <w:bottom w:val="nil"/>
              <w:right w:val="nil"/>
            </w:tcBorders>
            <w:vAlign w:val="center"/>
          </w:tcPr>
          <w:p w14:paraId="66AB1A94" w14:textId="792D9F8D" w:rsidR="008D3492" w:rsidRPr="00FF4346" w:rsidRDefault="00CE1B88" w:rsidP="00BD5472">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w:t>
            </w:r>
            <w:r w:rsidR="004B7707">
              <w:rPr>
                <w:rFonts w:ascii="CAIXA Std Book" w:eastAsia="Times New Roman" w:hAnsi="CAIXA Std Book" w:cs="Calibri"/>
                <w:b/>
                <w:bCs/>
                <w:color w:val="005CA9"/>
                <w:sz w:val="16"/>
                <w:szCs w:val="16"/>
              </w:rPr>
              <w:t>03/2024</w:t>
            </w:r>
          </w:p>
        </w:tc>
        <w:tc>
          <w:tcPr>
            <w:tcW w:w="1724" w:type="pct"/>
            <w:gridSpan w:val="3"/>
            <w:tcBorders>
              <w:top w:val="single" w:sz="4" w:space="0" w:color="F39200"/>
              <w:left w:val="nil"/>
              <w:bottom w:val="single" w:sz="4" w:space="0" w:color="F39200"/>
              <w:right w:val="nil"/>
            </w:tcBorders>
            <w:shd w:val="clear" w:color="auto" w:fill="auto"/>
            <w:noWrap/>
            <w:vAlign w:val="center"/>
            <w:hideMark/>
          </w:tcPr>
          <w:p w14:paraId="4D279BC5" w14:textId="77777777" w:rsidR="008D3492" w:rsidRPr="00FF4346" w:rsidRDefault="008D3492" w:rsidP="00BD5472">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Níveis de valor justo</w:t>
            </w:r>
          </w:p>
        </w:tc>
      </w:tr>
      <w:tr w:rsidR="0009208E" w:rsidRPr="00A33766" w14:paraId="3120010F" w14:textId="77777777" w:rsidTr="00107347">
        <w:trPr>
          <w:trHeight w:val="283"/>
        </w:trPr>
        <w:tc>
          <w:tcPr>
            <w:tcW w:w="2035" w:type="pct"/>
            <w:vMerge/>
            <w:tcBorders>
              <w:top w:val="single" w:sz="4" w:space="0" w:color="F39200"/>
              <w:left w:val="nil"/>
              <w:bottom w:val="single" w:sz="4" w:space="0" w:color="F39200"/>
              <w:right w:val="nil"/>
            </w:tcBorders>
            <w:vAlign w:val="center"/>
            <w:hideMark/>
          </w:tcPr>
          <w:p w14:paraId="3DAC14B7" w14:textId="77777777" w:rsidR="00BD5472" w:rsidRPr="00FF4346" w:rsidRDefault="00BD5472" w:rsidP="00BD5472">
            <w:pPr>
              <w:rPr>
                <w:rFonts w:ascii="CAIXA Std Book" w:eastAsia="Times New Roman" w:hAnsi="CAIXA Std Book" w:cs="Calibri"/>
                <w:b/>
                <w:bCs/>
                <w:color w:val="005CA9"/>
                <w:sz w:val="16"/>
                <w:szCs w:val="16"/>
              </w:rPr>
            </w:pPr>
          </w:p>
        </w:tc>
        <w:tc>
          <w:tcPr>
            <w:tcW w:w="620" w:type="pct"/>
            <w:tcBorders>
              <w:top w:val="single" w:sz="4" w:space="0" w:color="F39200"/>
              <w:left w:val="nil"/>
              <w:bottom w:val="single" w:sz="4" w:space="0" w:color="F39200"/>
              <w:right w:val="nil"/>
            </w:tcBorders>
            <w:shd w:val="clear" w:color="000000" w:fill="FFFFFF"/>
            <w:vAlign w:val="center"/>
          </w:tcPr>
          <w:p w14:paraId="4264BFDC" w14:textId="2FFA86F7" w:rsidR="00BD5472" w:rsidRPr="00FF4346" w:rsidRDefault="001918A7" w:rsidP="0009208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620" w:type="pct"/>
            <w:tcBorders>
              <w:top w:val="single" w:sz="4" w:space="0" w:color="F39200"/>
              <w:left w:val="nil"/>
              <w:bottom w:val="single" w:sz="4" w:space="0" w:color="F39200"/>
              <w:right w:val="nil"/>
            </w:tcBorders>
            <w:shd w:val="clear" w:color="000000" w:fill="FFFFFF"/>
            <w:noWrap/>
            <w:vAlign w:val="center"/>
            <w:hideMark/>
          </w:tcPr>
          <w:p w14:paraId="0DA39018" w14:textId="62F2AD34" w:rsidR="00BD5472" w:rsidRPr="00FF4346" w:rsidRDefault="00BD5472" w:rsidP="0009208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justo</w:t>
            </w:r>
          </w:p>
        </w:tc>
        <w:tc>
          <w:tcPr>
            <w:tcW w:w="552" w:type="pct"/>
            <w:tcBorders>
              <w:top w:val="nil"/>
              <w:left w:val="nil"/>
              <w:bottom w:val="single" w:sz="4" w:space="0" w:color="F39200"/>
              <w:right w:val="nil"/>
            </w:tcBorders>
            <w:shd w:val="clear" w:color="000000" w:fill="FFFFFF"/>
            <w:noWrap/>
            <w:vAlign w:val="center"/>
            <w:hideMark/>
          </w:tcPr>
          <w:p w14:paraId="56DB9380" w14:textId="77777777" w:rsidR="00BD5472" w:rsidRPr="00FF4346" w:rsidRDefault="00BD5472" w:rsidP="0009208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1</w:t>
            </w:r>
          </w:p>
        </w:tc>
        <w:tc>
          <w:tcPr>
            <w:tcW w:w="620" w:type="pct"/>
            <w:tcBorders>
              <w:top w:val="nil"/>
              <w:left w:val="nil"/>
              <w:bottom w:val="single" w:sz="4" w:space="0" w:color="F39200"/>
              <w:right w:val="nil"/>
            </w:tcBorders>
            <w:shd w:val="clear" w:color="000000" w:fill="FFFFFF"/>
            <w:noWrap/>
            <w:vAlign w:val="center"/>
            <w:hideMark/>
          </w:tcPr>
          <w:p w14:paraId="40B68AD7" w14:textId="77777777" w:rsidR="00BD5472" w:rsidRPr="00FF4346" w:rsidRDefault="00BD5472" w:rsidP="0009208E">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2</w:t>
            </w:r>
          </w:p>
        </w:tc>
        <w:tc>
          <w:tcPr>
            <w:tcW w:w="552" w:type="pct"/>
            <w:tcBorders>
              <w:top w:val="nil"/>
              <w:left w:val="nil"/>
              <w:bottom w:val="single" w:sz="4" w:space="0" w:color="F39200"/>
              <w:right w:val="nil"/>
            </w:tcBorders>
            <w:shd w:val="clear" w:color="000000" w:fill="FFFFFF"/>
            <w:noWrap/>
            <w:vAlign w:val="center"/>
            <w:hideMark/>
          </w:tcPr>
          <w:p w14:paraId="35F91ED1" w14:textId="77777777" w:rsidR="00BD5472" w:rsidRPr="00FF4346" w:rsidRDefault="00BD5472" w:rsidP="00BD5472">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3</w:t>
            </w:r>
          </w:p>
        </w:tc>
      </w:tr>
      <w:tr w:rsidR="00193DCE" w:rsidRPr="00A33766" w14:paraId="3A24A1F1" w14:textId="77777777" w:rsidTr="00107347">
        <w:trPr>
          <w:trHeight w:val="283"/>
        </w:trPr>
        <w:tc>
          <w:tcPr>
            <w:tcW w:w="5000" w:type="pct"/>
            <w:gridSpan w:val="6"/>
            <w:tcBorders>
              <w:top w:val="nil"/>
              <w:left w:val="nil"/>
              <w:bottom w:val="single" w:sz="4" w:space="0" w:color="F39200"/>
              <w:right w:val="nil"/>
            </w:tcBorders>
            <w:shd w:val="clear" w:color="auto" w:fill="auto"/>
            <w:vAlign w:val="center"/>
            <w:hideMark/>
          </w:tcPr>
          <w:p w14:paraId="2B3C0F53" w14:textId="1B8BF039" w:rsidR="00193DCE" w:rsidRPr="00FF4346" w:rsidRDefault="00193DCE" w:rsidP="00193DCE">
            <w:pPr>
              <w:jc w:val="center"/>
              <w:rPr>
                <w:rFonts w:ascii="CAIXA Std Book" w:eastAsia="Times New Roman" w:hAnsi="CAIXA Std Book" w:cs="Calibri"/>
                <w:color w:val="005CA9"/>
                <w:sz w:val="16"/>
                <w:szCs w:val="16"/>
              </w:rPr>
            </w:pPr>
            <w:r w:rsidRPr="00FF4346">
              <w:rPr>
                <w:rFonts w:ascii="CAIXA Std Book" w:eastAsia="Times New Roman" w:hAnsi="CAIXA Std Book" w:cs="Calibri"/>
                <w:b/>
                <w:bCs/>
                <w:color w:val="005CA9"/>
                <w:sz w:val="16"/>
                <w:szCs w:val="16"/>
              </w:rPr>
              <w:t>Ativos e passivos financeiros mensurados a valor justo</w:t>
            </w:r>
          </w:p>
        </w:tc>
      </w:tr>
      <w:tr w:rsidR="0009208E" w:rsidRPr="00A33766" w14:paraId="3AAAE55E" w14:textId="77777777" w:rsidTr="00107347">
        <w:trPr>
          <w:trHeight w:val="283"/>
        </w:trPr>
        <w:tc>
          <w:tcPr>
            <w:tcW w:w="2035" w:type="pct"/>
            <w:tcBorders>
              <w:top w:val="nil"/>
              <w:left w:val="nil"/>
              <w:bottom w:val="nil"/>
              <w:right w:val="nil"/>
            </w:tcBorders>
            <w:shd w:val="clear" w:color="auto" w:fill="auto"/>
            <w:noWrap/>
            <w:vAlign w:val="center"/>
            <w:hideMark/>
          </w:tcPr>
          <w:p w14:paraId="2A657CA2" w14:textId="77777777" w:rsidR="00BD5472" w:rsidRPr="00FF4346" w:rsidRDefault="00BD5472"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w:t>
            </w:r>
          </w:p>
        </w:tc>
        <w:tc>
          <w:tcPr>
            <w:tcW w:w="620" w:type="pct"/>
            <w:tcBorders>
              <w:top w:val="nil"/>
              <w:left w:val="nil"/>
              <w:bottom w:val="nil"/>
              <w:right w:val="nil"/>
            </w:tcBorders>
            <w:vAlign w:val="center"/>
          </w:tcPr>
          <w:p w14:paraId="36A86158" w14:textId="6F058E67" w:rsidR="00BD5472" w:rsidRPr="00FF4346" w:rsidRDefault="00BD5472" w:rsidP="00193DCE">
            <w:pPr>
              <w:jc w:val="right"/>
              <w:rPr>
                <w:rFonts w:ascii="CAIXA Std Book" w:eastAsia="Times New Roman" w:hAnsi="CAIXA Std Book" w:cs="Calibri"/>
                <w:b/>
                <w:bCs/>
                <w:color w:val="005CA9"/>
                <w:sz w:val="16"/>
                <w:szCs w:val="16"/>
              </w:rPr>
            </w:pPr>
          </w:p>
        </w:tc>
        <w:tc>
          <w:tcPr>
            <w:tcW w:w="620" w:type="pct"/>
            <w:tcBorders>
              <w:top w:val="nil"/>
              <w:left w:val="nil"/>
              <w:bottom w:val="nil"/>
              <w:right w:val="nil"/>
            </w:tcBorders>
            <w:shd w:val="clear" w:color="auto" w:fill="auto"/>
            <w:noWrap/>
            <w:vAlign w:val="center"/>
            <w:hideMark/>
          </w:tcPr>
          <w:p w14:paraId="126B23C7" w14:textId="794DBF14" w:rsidR="00BD5472" w:rsidRPr="00FF4346" w:rsidRDefault="00BD5472" w:rsidP="00193DCE">
            <w:pPr>
              <w:jc w:val="right"/>
              <w:rPr>
                <w:rFonts w:ascii="CAIXA Std Book" w:eastAsia="Times New Roman" w:hAnsi="CAIXA Std Book" w:cs="Calibri"/>
                <w:b/>
                <w:bCs/>
                <w:color w:val="005CA9"/>
                <w:sz w:val="16"/>
                <w:szCs w:val="16"/>
              </w:rPr>
            </w:pPr>
          </w:p>
        </w:tc>
        <w:tc>
          <w:tcPr>
            <w:tcW w:w="552" w:type="pct"/>
            <w:tcBorders>
              <w:top w:val="nil"/>
              <w:left w:val="nil"/>
              <w:bottom w:val="nil"/>
              <w:right w:val="nil"/>
            </w:tcBorders>
            <w:shd w:val="clear" w:color="auto" w:fill="auto"/>
            <w:noWrap/>
            <w:vAlign w:val="center"/>
            <w:hideMark/>
          </w:tcPr>
          <w:p w14:paraId="3348435D" w14:textId="77777777" w:rsidR="00BD5472" w:rsidRPr="00FF4346" w:rsidRDefault="00BD5472" w:rsidP="00193DCE">
            <w:pPr>
              <w:jc w:val="right"/>
              <w:rPr>
                <w:rFonts w:ascii="CAIXA Std Book" w:eastAsia="Times New Roman" w:hAnsi="CAIXA Std Book" w:cs="Times New Roman"/>
                <w:color w:val="005CA9"/>
                <w:sz w:val="16"/>
                <w:szCs w:val="16"/>
              </w:rPr>
            </w:pPr>
          </w:p>
        </w:tc>
        <w:tc>
          <w:tcPr>
            <w:tcW w:w="620" w:type="pct"/>
            <w:tcBorders>
              <w:top w:val="nil"/>
              <w:left w:val="nil"/>
              <w:bottom w:val="nil"/>
              <w:right w:val="nil"/>
            </w:tcBorders>
            <w:shd w:val="clear" w:color="auto" w:fill="auto"/>
            <w:noWrap/>
            <w:vAlign w:val="center"/>
            <w:hideMark/>
          </w:tcPr>
          <w:p w14:paraId="764D17DB" w14:textId="77777777" w:rsidR="00BD5472" w:rsidRPr="00FF4346" w:rsidRDefault="00BD5472" w:rsidP="00193DCE">
            <w:pPr>
              <w:jc w:val="right"/>
              <w:rPr>
                <w:rFonts w:ascii="CAIXA Std Book" w:eastAsia="Times New Roman" w:hAnsi="CAIXA Std Book" w:cs="Times New Roman"/>
                <w:color w:val="005CA9"/>
                <w:sz w:val="16"/>
                <w:szCs w:val="16"/>
              </w:rPr>
            </w:pPr>
          </w:p>
        </w:tc>
        <w:tc>
          <w:tcPr>
            <w:tcW w:w="552" w:type="pct"/>
            <w:tcBorders>
              <w:top w:val="nil"/>
              <w:left w:val="nil"/>
              <w:bottom w:val="nil"/>
              <w:right w:val="nil"/>
            </w:tcBorders>
            <w:shd w:val="clear" w:color="auto" w:fill="auto"/>
            <w:noWrap/>
            <w:vAlign w:val="center"/>
            <w:hideMark/>
          </w:tcPr>
          <w:p w14:paraId="06991AEF" w14:textId="77777777" w:rsidR="00BD5472" w:rsidRPr="00FF4346" w:rsidRDefault="00BD5472" w:rsidP="00193DCE">
            <w:pPr>
              <w:jc w:val="right"/>
              <w:rPr>
                <w:rFonts w:ascii="CAIXA Std Book" w:eastAsia="Times New Roman" w:hAnsi="CAIXA Std Book" w:cs="Times New Roman"/>
                <w:color w:val="005CA9"/>
                <w:sz w:val="16"/>
                <w:szCs w:val="16"/>
              </w:rPr>
            </w:pPr>
          </w:p>
        </w:tc>
      </w:tr>
      <w:tr w:rsidR="0009208E" w:rsidRPr="00A33766" w14:paraId="785302DB" w14:textId="77777777" w:rsidTr="00107347">
        <w:trPr>
          <w:trHeight w:val="283"/>
        </w:trPr>
        <w:tc>
          <w:tcPr>
            <w:tcW w:w="2035" w:type="pct"/>
            <w:tcBorders>
              <w:top w:val="nil"/>
              <w:left w:val="nil"/>
              <w:bottom w:val="nil"/>
              <w:right w:val="nil"/>
            </w:tcBorders>
            <w:shd w:val="clear" w:color="auto" w:fill="auto"/>
            <w:noWrap/>
            <w:vAlign w:val="center"/>
            <w:hideMark/>
          </w:tcPr>
          <w:p w14:paraId="492E16DF" w14:textId="77777777" w:rsidR="00BD5472" w:rsidRPr="00FF4346" w:rsidRDefault="00BD5472"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Ativos Financeiros </w:t>
            </w:r>
          </w:p>
        </w:tc>
        <w:tc>
          <w:tcPr>
            <w:tcW w:w="620" w:type="pct"/>
            <w:tcBorders>
              <w:top w:val="nil"/>
              <w:left w:val="nil"/>
              <w:bottom w:val="nil"/>
              <w:right w:val="nil"/>
            </w:tcBorders>
            <w:vAlign w:val="center"/>
          </w:tcPr>
          <w:p w14:paraId="67041BDF" w14:textId="344A3B0B" w:rsidR="00BD5472" w:rsidRPr="00FF4346" w:rsidRDefault="00432BD6" w:rsidP="004A3A0F">
            <w:pPr>
              <w:jc w:val="right"/>
              <w:rPr>
                <w:rFonts w:ascii="CAIXA Std Book" w:hAnsi="CAIXA Std Book"/>
                <w:b/>
                <w:color w:val="005CA9"/>
                <w:sz w:val="16"/>
                <w:szCs w:val="16"/>
              </w:rPr>
            </w:pPr>
            <w:r>
              <w:rPr>
                <w:rFonts w:ascii="CAIXA Std Book" w:hAnsi="CAIXA Std Book" w:cs="Calibri"/>
                <w:b/>
                <w:bCs/>
                <w:color w:val="005CA9"/>
                <w:sz w:val="16"/>
                <w:szCs w:val="16"/>
              </w:rPr>
              <w:t>1.830.485.093</w:t>
            </w:r>
          </w:p>
        </w:tc>
        <w:tc>
          <w:tcPr>
            <w:tcW w:w="620" w:type="pct"/>
            <w:tcBorders>
              <w:top w:val="nil"/>
              <w:left w:val="nil"/>
              <w:bottom w:val="nil"/>
              <w:right w:val="nil"/>
            </w:tcBorders>
            <w:shd w:val="clear" w:color="auto" w:fill="auto"/>
            <w:noWrap/>
            <w:vAlign w:val="center"/>
          </w:tcPr>
          <w:p w14:paraId="08304D0B" w14:textId="4109505A" w:rsidR="00BD5472" w:rsidRPr="00FF4346" w:rsidRDefault="00432BD6" w:rsidP="00193DC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1.667.392.96</w:t>
            </w:r>
            <w:r w:rsidR="00493C84">
              <w:rPr>
                <w:rFonts w:ascii="CAIXA Std Book" w:hAnsi="CAIXA Std Book" w:cs="Calibri"/>
                <w:b/>
                <w:bCs/>
                <w:color w:val="005CA9"/>
                <w:sz w:val="16"/>
                <w:szCs w:val="16"/>
              </w:rPr>
              <w:t>8</w:t>
            </w:r>
          </w:p>
        </w:tc>
        <w:tc>
          <w:tcPr>
            <w:tcW w:w="552" w:type="pct"/>
            <w:tcBorders>
              <w:top w:val="nil"/>
              <w:left w:val="nil"/>
              <w:bottom w:val="nil"/>
              <w:right w:val="nil"/>
            </w:tcBorders>
            <w:shd w:val="clear" w:color="auto" w:fill="auto"/>
            <w:noWrap/>
            <w:vAlign w:val="center"/>
          </w:tcPr>
          <w:p w14:paraId="40086547" w14:textId="3DEC4111" w:rsidR="00BD5472" w:rsidRPr="00FF4346" w:rsidRDefault="00432BD6" w:rsidP="00193DC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266.509.54</w:t>
            </w:r>
            <w:r w:rsidR="00493C84">
              <w:rPr>
                <w:rFonts w:ascii="CAIXA Std Book" w:hAnsi="CAIXA Std Book" w:cs="Calibri"/>
                <w:b/>
                <w:bCs/>
                <w:color w:val="005CA9"/>
                <w:sz w:val="16"/>
                <w:szCs w:val="16"/>
              </w:rPr>
              <w:t>4</w:t>
            </w:r>
          </w:p>
        </w:tc>
        <w:tc>
          <w:tcPr>
            <w:tcW w:w="620" w:type="pct"/>
            <w:tcBorders>
              <w:top w:val="nil"/>
              <w:left w:val="nil"/>
              <w:bottom w:val="nil"/>
              <w:right w:val="nil"/>
            </w:tcBorders>
            <w:shd w:val="clear" w:color="auto" w:fill="auto"/>
            <w:noWrap/>
            <w:vAlign w:val="center"/>
          </w:tcPr>
          <w:p w14:paraId="1D223D2C" w14:textId="2920B600" w:rsidR="00BD5472" w:rsidRPr="00FF4346" w:rsidRDefault="00432BD6" w:rsidP="00193DC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1.385.724.83</w:t>
            </w:r>
            <w:r w:rsidR="00913F5A">
              <w:rPr>
                <w:rFonts w:ascii="CAIXA Std Book" w:hAnsi="CAIXA Std Book" w:cs="Calibri"/>
                <w:b/>
                <w:bCs/>
                <w:color w:val="005CA9"/>
                <w:sz w:val="16"/>
                <w:szCs w:val="16"/>
              </w:rPr>
              <w:t>8</w:t>
            </w:r>
          </w:p>
        </w:tc>
        <w:tc>
          <w:tcPr>
            <w:tcW w:w="552" w:type="pct"/>
            <w:tcBorders>
              <w:top w:val="nil"/>
              <w:left w:val="nil"/>
              <w:bottom w:val="nil"/>
              <w:right w:val="nil"/>
            </w:tcBorders>
            <w:shd w:val="clear" w:color="auto" w:fill="auto"/>
            <w:noWrap/>
            <w:vAlign w:val="center"/>
          </w:tcPr>
          <w:p w14:paraId="4591756F" w14:textId="02A54D52" w:rsidR="00BD5472" w:rsidRPr="00FF4346" w:rsidRDefault="00432BD6" w:rsidP="00193DC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15.158.586</w:t>
            </w:r>
          </w:p>
        </w:tc>
      </w:tr>
      <w:tr w:rsidR="007F12B1" w:rsidRPr="00A33766" w14:paraId="7DEEC3F4" w14:textId="77777777" w:rsidTr="00107347">
        <w:trPr>
          <w:trHeight w:val="283"/>
        </w:trPr>
        <w:tc>
          <w:tcPr>
            <w:tcW w:w="2035" w:type="pct"/>
            <w:tcBorders>
              <w:top w:val="nil"/>
              <w:left w:val="nil"/>
              <w:bottom w:val="nil"/>
              <w:right w:val="nil"/>
            </w:tcBorders>
            <w:shd w:val="clear" w:color="auto" w:fill="auto"/>
            <w:noWrap/>
            <w:vAlign w:val="center"/>
            <w:hideMark/>
          </w:tcPr>
          <w:p w14:paraId="5E4A9D1D" w14:textId="77777777" w:rsidR="007F12B1" w:rsidRPr="00FF4346" w:rsidRDefault="007F12B1" w:rsidP="00225A23">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Aplicações interfinanceiras de liquidez</w:t>
            </w:r>
          </w:p>
        </w:tc>
        <w:tc>
          <w:tcPr>
            <w:tcW w:w="620" w:type="pct"/>
            <w:tcBorders>
              <w:top w:val="nil"/>
              <w:left w:val="nil"/>
              <w:bottom w:val="nil"/>
              <w:right w:val="nil"/>
            </w:tcBorders>
            <w:vAlign w:val="center"/>
          </w:tcPr>
          <w:p w14:paraId="6F7A40EB" w14:textId="36CBFDDD" w:rsidR="007F12B1" w:rsidRPr="00FF4346" w:rsidRDefault="00432BD6"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196.187.926</w:t>
            </w:r>
          </w:p>
        </w:tc>
        <w:tc>
          <w:tcPr>
            <w:tcW w:w="620" w:type="pct"/>
            <w:tcBorders>
              <w:top w:val="nil"/>
              <w:left w:val="nil"/>
              <w:bottom w:val="nil"/>
              <w:right w:val="nil"/>
            </w:tcBorders>
            <w:shd w:val="clear" w:color="auto" w:fill="auto"/>
            <w:noWrap/>
            <w:vAlign w:val="center"/>
          </w:tcPr>
          <w:p w14:paraId="401959FA" w14:textId="30FD34FF" w:rsidR="007F12B1" w:rsidRPr="00FF4346" w:rsidRDefault="00432BD6"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196.190.162</w:t>
            </w:r>
          </w:p>
        </w:tc>
        <w:tc>
          <w:tcPr>
            <w:tcW w:w="552" w:type="pct"/>
            <w:tcBorders>
              <w:top w:val="nil"/>
              <w:left w:val="nil"/>
              <w:bottom w:val="nil"/>
              <w:right w:val="nil"/>
            </w:tcBorders>
            <w:shd w:val="clear" w:color="auto" w:fill="auto"/>
            <w:noWrap/>
            <w:vAlign w:val="center"/>
          </w:tcPr>
          <w:p w14:paraId="279DA729" w14:textId="40D9798A" w:rsidR="007F12B1" w:rsidRPr="00FF4346" w:rsidRDefault="00432BD6" w:rsidP="00225A23">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6622937A" w14:textId="2FC176AA" w:rsidR="007F12B1" w:rsidRPr="00FF4346" w:rsidRDefault="00432BD6"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196.190.162</w:t>
            </w:r>
          </w:p>
        </w:tc>
        <w:tc>
          <w:tcPr>
            <w:tcW w:w="552" w:type="pct"/>
            <w:tcBorders>
              <w:top w:val="nil"/>
              <w:left w:val="nil"/>
              <w:bottom w:val="nil"/>
              <w:right w:val="nil"/>
            </w:tcBorders>
            <w:shd w:val="clear" w:color="auto" w:fill="auto"/>
            <w:noWrap/>
            <w:vAlign w:val="center"/>
          </w:tcPr>
          <w:p w14:paraId="5780A961" w14:textId="05D88716" w:rsidR="007F12B1" w:rsidRPr="00FF4346" w:rsidRDefault="00432BD6" w:rsidP="00225A23">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6FDC9BD2" w14:textId="77777777" w:rsidTr="00107347">
        <w:trPr>
          <w:trHeight w:val="283"/>
        </w:trPr>
        <w:tc>
          <w:tcPr>
            <w:tcW w:w="2035" w:type="pct"/>
            <w:tcBorders>
              <w:top w:val="nil"/>
              <w:left w:val="nil"/>
              <w:bottom w:val="nil"/>
              <w:right w:val="nil"/>
            </w:tcBorders>
            <w:shd w:val="clear" w:color="auto" w:fill="auto"/>
            <w:noWrap/>
            <w:vAlign w:val="center"/>
            <w:hideMark/>
          </w:tcPr>
          <w:p w14:paraId="23A17C1A"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Depósitos compulsórios no Banco Central</w:t>
            </w:r>
          </w:p>
        </w:tc>
        <w:tc>
          <w:tcPr>
            <w:tcW w:w="620" w:type="pct"/>
            <w:tcBorders>
              <w:top w:val="nil"/>
              <w:left w:val="nil"/>
              <w:bottom w:val="nil"/>
              <w:right w:val="nil"/>
            </w:tcBorders>
            <w:vAlign w:val="center"/>
          </w:tcPr>
          <w:p w14:paraId="481900D0" w14:textId="79AF43B2"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138.767.537</w:t>
            </w:r>
          </w:p>
        </w:tc>
        <w:tc>
          <w:tcPr>
            <w:tcW w:w="620" w:type="pct"/>
            <w:tcBorders>
              <w:top w:val="nil"/>
              <w:left w:val="nil"/>
              <w:bottom w:val="nil"/>
              <w:right w:val="nil"/>
            </w:tcBorders>
            <w:shd w:val="clear" w:color="auto" w:fill="auto"/>
            <w:noWrap/>
            <w:vAlign w:val="center"/>
          </w:tcPr>
          <w:p w14:paraId="0522C4B2" w14:textId="47F8AFFB"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131.259.482</w:t>
            </w:r>
          </w:p>
        </w:tc>
        <w:tc>
          <w:tcPr>
            <w:tcW w:w="552" w:type="pct"/>
            <w:tcBorders>
              <w:top w:val="nil"/>
              <w:left w:val="nil"/>
              <w:bottom w:val="nil"/>
              <w:right w:val="nil"/>
            </w:tcBorders>
            <w:shd w:val="clear" w:color="auto" w:fill="auto"/>
            <w:noWrap/>
            <w:vAlign w:val="center"/>
          </w:tcPr>
          <w:p w14:paraId="21E08C93" w14:textId="2855E4C6"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3E7DA7D0" w14:textId="771F2EC4"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131.259.482</w:t>
            </w:r>
          </w:p>
        </w:tc>
        <w:tc>
          <w:tcPr>
            <w:tcW w:w="552" w:type="pct"/>
            <w:tcBorders>
              <w:top w:val="nil"/>
              <w:left w:val="nil"/>
              <w:bottom w:val="nil"/>
              <w:right w:val="nil"/>
            </w:tcBorders>
            <w:shd w:val="clear" w:color="auto" w:fill="auto"/>
            <w:noWrap/>
            <w:vAlign w:val="center"/>
          </w:tcPr>
          <w:p w14:paraId="759BAA2E" w14:textId="20265564"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54212159" w14:textId="77777777" w:rsidTr="00107347">
        <w:trPr>
          <w:trHeight w:val="283"/>
        </w:trPr>
        <w:tc>
          <w:tcPr>
            <w:tcW w:w="2035" w:type="pct"/>
            <w:tcBorders>
              <w:top w:val="nil"/>
              <w:left w:val="nil"/>
              <w:bottom w:val="nil"/>
              <w:right w:val="nil"/>
            </w:tcBorders>
            <w:shd w:val="clear" w:color="auto" w:fill="auto"/>
            <w:noWrap/>
            <w:vAlign w:val="center"/>
            <w:hideMark/>
          </w:tcPr>
          <w:p w14:paraId="642AB0A7"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Títulos e Valores Mobiliários</w:t>
            </w:r>
          </w:p>
        </w:tc>
        <w:tc>
          <w:tcPr>
            <w:tcW w:w="620" w:type="pct"/>
            <w:tcBorders>
              <w:top w:val="nil"/>
              <w:left w:val="nil"/>
              <w:bottom w:val="nil"/>
              <w:right w:val="nil"/>
            </w:tcBorders>
            <w:vAlign w:val="center"/>
          </w:tcPr>
          <w:p w14:paraId="11E279E1" w14:textId="068F71B2" w:rsidR="00A901DD" w:rsidRPr="00FF4346" w:rsidRDefault="00432BD6" w:rsidP="00193DCE">
            <w:pPr>
              <w:jc w:val="right"/>
              <w:rPr>
                <w:rFonts w:ascii="CAIXA Std Book" w:hAnsi="CAIXA Std Book"/>
                <w:color w:val="005CA9"/>
                <w:sz w:val="22"/>
                <w:szCs w:val="22"/>
              </w:rPr>
            </w:pPr>
            <w:r>
              <w:rPr>
                <w:rFonts w:ascii="CAIXA Std Book" w:hAnsi="CAIXA Std Book" w:cs="Calibri"/>
                <w:color w:val="005CA9"/>
                <w:sz w:val="16"/>
                <w:szCs w:val="16"/>
              </w:rPr>
              <w:t>287.506.498</w:t>
            </w:r>
          </w:p>
        </w:tc>
        <w:tc>
          <w:tcPr>
            <w:tcW w:w="620" w:type="pct"/>
            <w:tcBorders>
              <w:top w:val="nil"/>
              <w:left w:val="nil"/>
              <w:bottom w:val="nil"/>
              <w:right w:val="nil"/>
            </w:tcBorders>
            <w:shd w:val="clear" w:color="auto" w:fill="auto"/>
            <w:noWrap/>
            <w:vAlign w:val="center"/>
          </w:tcPr>
          <w:p w14:paraId="54C7EACE" w14:textId="2C39D4ED"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283.349.897</w:t>
            </w:r>
          </w:p>
        </w:tc>
        <w:tc>
          <w:tcPr>
            <w:tcW w:w="552" w:type="pct"/>
            <w:tcBorders>
              <w:top w:val="nil"/>
              <w:left w:val="nil"/>
              <w:bottom w:val="nil"/>
              <w:right w:val="nil"/>
            </w:tcBorders>
            <w:shd w:val="clear" w:color="auto" w:fill="auto"/>
            <w:noWrap/>
            <w:vAlign w:val="center"/>
          </w:tcPr>
          <w:p w14:paraId="1487CF82" w14:textId="3ACB34F2"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266.509.54</w:t>
            </w:r>
            <w:r w:rsidR="00493C84">
              <w:rPr>
                <w:rFonts w:ascii="CAIXA Std Book" w:hAnsi="CAIXA Std Book" w:cs="Calibri"/>
                <w:color w:val="005CA9"/>
                <w:sz w:val="16"/>
                <w:szCs w:val="16"/>
              </w:rPr>
              <w:t>4</w:t>
            </w:r>
          </w:p>
        </w:tc>
        <w:tc>
          <w:tcPr>
            <w:tcW w:w="620" w:type="pct"/>
            <w:tcBorders>
              <w:top w:val="nil"/>
              <w:left w:val="nil"/>
              <w:bottom w:val="nil"/>
              <w:right w:val="nil"/>
            </w:tcBorders>
            <w:shd w:val="clear" w:color="auto" w:fill="auto"/>
            <w:noWrap/>
            <w:vAlign w:val="center"/>
          </w:tcPr>
          <w:p w14:paraId="39306C91" w14:textId="7CB9FB12"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1.681.767</w:t>
            </w:r>
          </w:p>
        </w:tc>
        <w:tc>
          <w:tcPr>
            <w:tcW w:w="552" w:type="pct"/>
            <w:tcBorders>
              <w:top w:val="nil"/>
              <w:left w:val="nil"/>
              <w:bottom w:val="nil"/>
              <w:right w:val="nil"/>
            </w:tcBorders>
            <w:shd w:val="clear" w:color="auto" w:fill="auto"/>
            <w:noWrap/>
            <w:vAlign w:val="center"/>
          </w:tcPr>
          <w:p w14:paraId="11C1D550" w14:textId="46F13882"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15.158.586</w:t>
            </w:r>
          </w:p>
        </w:tc>
      </w:tr>
      <w:tr w:rsidR="0009208E" w:rsidRPr="00A33766" w14:paraId="36638926" w14:textId="77777777" w:rsidTr="00107347">
        <w:trPr>
          <w:trHeight w:val="283"/>
        </w:trPr>
        <w:tc>
          <w:tcPr>
            <w:tcW w:w="2035" w:type="pct"/>
            <w:tcBorders>
              <w:top w:val="nil"/>
              <w:left w:val="nil"/>
              <w:bottom w:val="nil"/>
              <w:right w:val="nil"/>
            </w:tcBorders>
            <w:shd w:val="clear" w:color="auto" w:fill="auto"/>
            <w:noWrap/>
            <w:vAlign w:val="center"/>
            <w:hideMark/>
          </w:tcPr>
          <w:p w14:paraId="16093185"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Instrumentos financeiros derivativos</w:t>
            </w:r>
          </w:p>
        </w:tc>
        <w:tc>
          <w:tcPr>
            <w:tcW w:w="620" w:type="pct"/>
            <w:tcBorders>
              <w:top w:val="nil"/>
              <w:left w:val="nil"/>
              <w:bottom w:val="nil"/>
              <w:right w:val="nil"/>
            </w:tcBorders>
            <w:vAlign w:val="center"/>
          </w:tcPr>
          <w:p w14:paraId="3F09B115" w14:textId="57007621"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166.253</w:t>
            </w:r>
          </w:p>
        </w:tc>
        <w:tc>
          <w:tcPr>
            <w:tcW w:w="620" w:type="pct"/>
            <w:tcBorders>
              <w:top w:val="nil"/>
              <w:left w:val="nil"/>
              <w:bottom w:val="nil"/>
              <w:right w:val="nil"/>
            </w:tcBorders>
            <w:shd w:val="clear" w:color="auto" w:fill="auto"/>
            <w:noWrap/>
            <w:vAlign w:val="center"/>
          </w:tcPr>
          <w:p w14:paraId="79BD7B27" w14:textId="4429283B"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166.253</w:t>
            </w:r>
          </w:p>
        </w:tc>
        <w:tc>
          <w:tcPr>
            <w:tcW w:w="552" w:type="pct"/>
            <w:tcBorders>
              <w:top w:val="nil"/>
              <w:left w:val="nil"/>
              <w:bottom w:val="nil"/>
              <w:right w:val="nil"/>
            </w:tcBorders>
            <w:shd w:val="clear" w:color="auto" w:fill="auto"/>
            <w:noWrap/>
            <w:vAlign w:val="center"/>
          </w:tcPr>
          <w:p w14:paraId="752A7E14" w14:textId="6B6FC912"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center"/>
          </w:tcPr>
          <w:p w14:paraId="7A33A94B" w14:textId="1ACC644B"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166.253</w:t>
            </w:r>
          </w:p>
        </w:tc>
        <w:tc>
          <w:tcPr>
            <w:tcW w:w="552" w:type="pct"/>
            <w:tcBorders>
              <w:top w:val="nil"/>
              <w:left w:val="nil"/>
              <w:bottom w:val="nil"/>
              <w:right w:val="nil"/>
            </w:tcBorders>
            <w:shd w:val="clear" w:color="auto" w:fill="auto"/>
            <w:noWrap/>
            <w:vAlign w:val="center"/>
          </w:tcPr>
          <w:p w14:paraId="2AF28EF8" w14:textId="0FC8BC5A"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23A21E24" w14:textId="77777777" w:rsidTr="00107347">
        <w:trPr>
          <w:trHeight w:val="283"/>
        </w:trPr>
        <w:tc>
          <w:tcPr>
            <w:tcW w:w="2035" w:type="pct"/>
            <w:tcBorders>
              <w:top w:val="nil"/>
              <w:left w:val="nil"/>
              <w:right w:val="nil"/>
            </w:tcBorders>
            <w:shd w:val="clear" w:color="auto" w:fill="auto"/>
            <w:noWrap/>
            <w:vAlign w:val="center"/>
            <w:hideMark/>
          </w:tcPr>
          <w:p w14:paraId="23915478"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Carteira de crédito</w:t>
            </w:r>
          </w:p>
        </w:tc>
        <w:tc>
          <w:tcPr>
            <w:tcW w:w="620" w:type="pct"/>
            <w:tcBorders>
              <w:top w:val="nil"/>
              <w:left w:val="nil"/>
              <w:right w:val="nil"/>
            </w:tcBorders>
            <w:vAlign w:val="center"/>
          </w:tcPr>
          <w:p w14:paraId="6F46D8F3" w14:textId="33E1C15A" w:rsidR="00A901DD" w:rsidRPr="00FF4346" w:rsidRDefault="00432BD6" w:rsidP="00193DCE">
            <w:pPr>
              <w:jc w:val="right"/>
              <w:rPr>
                <w:rFonts w:ascii="CAIXA Std Book" w:hAnsi="CAIXA Std Book"/>
                <w:color w:val="005CA9"/>
                <w:sz w:val="22"/>
                <w:szCs w:val="22"/>
              </w:rPr>
            </w:pPr>
            <w:r>
              <w:rPr>
                <w:rFonts w:ascii="CAIXA Std Book" w:hAnsi="CAIXA Std Book" w:cs="Calibri"/>
                <w:color w:val="005CA9"/>
                <w:sz w:val="16"/>
                <w:szCs w:val="16"/>
              </w:rPr>
              <w:t>1.145.317.348</w:t>
            </w:r>
          </w:p>
        </w:tc>
        <w:tc>
          <w:tcPr>
            <w:tcW w:w="620" w:type="pct"/>
            <w:tcBorders>
              <w:top w:val="nil"/>
              <w:left w:val="nil"/>
              <w:right w:val="nil"/>
            </w:tcBorders>
            <w:shd w:val="clear" w:color="auto" w:fill="auto"/>
            <w:noWrap/>
            <w:vAlign w:val="center"/>
          </w:tcPr>
          <w:p w14:paraId="19623505" w14:textId="43E9384B"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995.740.320</w:t>
            </w:r>
          </w:p>
        </w:tc>
        <w:tc>
          <w:tcPr>
            <w:tcW w:w="552" w:type="pct"/>
            <w:tcBorders>
              <w:top w:val="nil"/>
              <w:left w:val="nil"/>
              <w:right w:val="nil"/>
            </w:tcBorders>
            <w:shd w:val="clear" w:color="auto" w:fill="auto"/>
            <w:noWrap/>
            <w:vAlign w:val="center"/>
          </w:tcPr>
          <w:p w14:paraId="6798C7D9" w14:textId="4FF721EC"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6B37B129" w14:textId="7DBB4E24"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995.740.320</w:t>
            </w:r>
          </w:p>
        </w:tc>
        <w:tc>
          <w:tcPr>
            <w:tcW w:w="552" w:type="pct"/>
            <w:tcBorders>
              <w:top w:val="nil"/>
              <w:left w:val="nil"/>
              <w:right w:val="nil"/>
            </w:tcBorders>
            <w:shd w:val="clear" w:color="auto" w:fill="auto"/>
            <w:noWrap/>
            <w:vAlign w:val="center"/>
          </w:tcPr>
          <w:p w14:paraId="52947039" w14:textId="5F61BFC8"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1E74DDB1" w14:textId="77777777" w:rsidTr="00107347">
        <w:trPr>
          <w:trHeight w:val="283"/>
        </w:trPr>
        <w:tc>
          <w:tcPr>
            <w:tcW w:w="2035" w:type="pct"/>
            <w:tcBorders>
              <w:top w:val="nil"/>
              <w:left w:val="nil"/>
              <w:right w:val="nil"/>
            </w:tcBorders>
            <w:shd w:val="clear" w:color="auto" w:fill="auto"/>
            <w:noWrap/>
            <w:vAlign w:val="center"/>
            <w:hideMark/>
          </w:tcPr>
          <w:p w14:paraId="1D6AFFFB"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Outros ativos financeiros</w:t>
            </w:r>
          </w:p>
        </w:tc>
        <w:tc>
          <w:tcPr>
            <w:tcW w:w="620" w:type="pct"/>
            <w:tcBorders>
              <w:top w:val="nil"/>
              <w:left w:val="nil"/>
              <w:right w:val="nil"/>
            </w:tcBorders>
            <w:vAlign w:val="center"/>
          </w:tcPr>
          <w:p w14:paraId="413BF5B8" w14:textId="63377F55"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62.539.531</w:t>
            </w:r>
          </w:p>
        </w:tc>
        <w:tc>
          <w:tcPr>
            <w:tcW w:w="620" w:type="pct"/>
            <w:tcBorders>
              <w:top w:val="nil"/>
              <w:left w:val="nil"/>
              <w:right w:val="nil"/>
            </w:tcBorders>
            <w:shd w:val="clear" w:color="auto" w:fill="auto"/>
            <w:noWrap/>
            <w:vAlign w:val="center"/>
          </w:tcPr>
          <w:p w14:paraId="2CEAFCCD" w14:textId="645A87FB"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60.686.854</w:t>
            </w:r>
          </w:p>
        </w:tc>
        <w:tc>
          <w:tcPr>
            <w:tcW w:w="552" w:type="pct"/>
            <w:tcBorders>
              <w:top w:val="nil"/>
              <w:left w:val="nil"/>
              <w:right w:val="nil"/>
            </w:tcBorders>
            <w:shd w:val="clear" w:color="auto" w:fill="auto"/>
            <w:noWrap/>
            <w:vAlign w:val="center"/>
          </w:tcPr>
          <w:p w14:paraId="4DF11C4A" w14:textId="58A899DA"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35D7183A" w14:textId="7B652BE6" w:rsidR="00A901DD" w:rsidRPr="00FF4346" w:rsidRDefault="00432BD6"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60.686.854</w:t>
            </w:r>
          </w:p>
        </w:tc>
        <w:tc>
          <w:tcPr>
            <w:tcW w:w="552" w:type="pct"/>
            <w:tcBorders>
              <w:top w:val="nil"/>
              <w:left w:val="nil"/>
              <w:right w:val="nil"/>
            </w:tcBorders>
            <w:shd w:val="clear" w:color="auto" w:fill="auto"/>
            <w:noWrap/>
            <w:vAlign w:val="center"/>
          </w:tcPr>
          <w:p w14:paraId="17C93EA4" w14:textId="2DDE520F"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781B10E6" w14:textId="77777777" w:rsidTr="00107347">
        <w:trPr>
          <w:trHeight w:val="283"/>
        </w:trPr>
        <w:tc>
          <w:tcPr>
            <w:tcW w:w="2035" w:type="pct"/>
            <w:tcBorders>
              <w:left w:val="nil"/>
              <w:bottom w:val="nil"/>
              <w:right w:val="nil"/>
            </w:tcBorders>
            <w:shd w:val="clear" w:color="auto" w:fill="auto"/>
            <w:noWrap/>
            <w:vAlign w:val="center"/>
            <w:hideMark/>
          </w:tcPr>
          <w:p w14:paraId="0469870D" w14:textId="77777777" w:rsidR="00BD5472" w:rsidRPr="00FF4346" w:rsidRDefault="00BD5472"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PASSIVO</w:t>
            </w:r>
          </w:p>
        </w:tc>
        <w:tc>
          <w:tcPr>
            <w:tcW w:w="620" w:type="pct"/>
            <w:tcBorders>
              <w:left w:val="nil"/>
              <w:bottom w:val="nil"/>
              <w:right w:val="nil"/>
            </w:tcBorders>
            <w:vAlign w:val="center"/>
          </w:tcPr>
          <w:p w14:paraId="32BE2769" w14:textId="77777777" w:rsidR="00BD5472" w:rsidRPr="00FF4346" w:rsidRDefault="00BD5472" w:rsidP="00193DCE">
            <w:pPr>
              <w:jc w:val="right"/>
              <w:rPr>
                <w:rFonts w:ascii="CAIXA Std Book" w:eastAsia="Times New Roman" w:hAnsi="CAIXA Std Book" w:cs="Calibri"/>
                <w:b/>
                <w:bCs/>
                <w:color w:val="005CA9"/>
                <w:sz w:val="16"/>
                <w:szCs w:val="16"/>
              </w:rPr>
            </w:pPr>
          </w:p>
        </w:tc>
        <w:tc>
          <w:tcPr>
            <w:tcW w:w="620" w:type="pct"/>
            <w:tcBorders>
              <w:left w:val="nil"/>
              <w:bottom w:val="nil"/>
              <w:right w:val="nil"/>
            </w:tcBorders>
            <w:shd w:val="clear" w:color="auto" w:fill="auto"/>
            <w:noWrap/>
            <w:vAlign w:val="center"/>
          </w:tcPr>
          <w:p w14:paraId="5F6EB697" w14:textId="4420A09B" w:rsidR="00BD5472" w:rsidRPr="00FF4346" w:rsidRDefault="00BD5472" w:rsidP="00193DCE">
            <w:pPr>
              <w:jc w:val="right"/>
              <w:rPr>
                <w:rFonts w:ascii="CAIXA Std Book" w:eastAsia="Times New Roman" w:hAnsi="CAIXA Std Book" w:cs="Calibri"/>
                <w:color w:val="005CA9"/>
                <w:sz w:val="16"/>
                <w:szCs w:val="16"/>
              </w:rPr>
            </w:pPr>
          </w:p>
        </w:tc>
        <w:tc>
          <w:tcPr>
            <w:tcW w:w="552" w:type="pct"/>
            <w:tcBorders>
              <w:left w:val="nil"/>
              <w:bottom w:val="nil"/>
              <w:right w:val="nil"/>
            </w:tcBorders>
            <w:shd w:val="clear" w:color="auto" w:fill="auto"/>
            <w:noWrap/>
            <w:vAlign w:val="center"/>
          </w:tcPr>
          <w:p w14:paraId="355FB9E4" w14:textId="77777777" w:rsidR="00BD5472" w:rsidRPr="00FF4346" w:rsidRDefault="00BD5472" w:rsidP="00154F41">
            <w:pPr>
              <w:jc w:val="center"/>
              <w:rPr>
                <w:rFonts w:ascii="CAIXA Std Book" w:eastAsia="Times New Roman" w:hAnsi="CAIXA Std Book" w:cs="Calibri"/>
                <w:color w:val="005CA9"/>
                <w:sz w:val="16"/>
                <w:szCs w:val="16"/>
              </w:rPr>
            </w:pPr>
          </w:p>
        </w:tc>
        <w:tc>
          <w:tcPr>
            <w:tcW w:w="620" w:type="pct"/>
            <w:tcBorders>
              <w:left w:val="nil"/>
              <w:bottom w:val="nil"/>
              <w:right w:val="nil"/>
            </w:tcBorders>
            <w:shd w:val="clear" w:color="auto" w:fill="auto"/>
            <w:noWrap/>
            <w:vAlign w:val="center"/>
          </w:tcPr>
          <w:p w14:paraId="346B1D0C" w14:textId="77777777" w:rsidR="00BD5472" w:rsidRPr="00FF4346" w:rsidRDefault="00BD5472" w:rsidP="00193DCE">
            <w:pPr>
              <w:jc w:val="right"/>
              <w:rPr>
                <w:rFonts w:ascii="CAIXA Std Book" w:eastAsia="Times New Roman" w:hAnsi="CAIXA Std Book" w:cs="Calibri"/>
                <w:color w:val="005CA9"/>
                <w:sz w:val="16"/>
                <w:szCs w:val="16"/>
              </w:rPr>
            </w:pPr>
          </w:p>
        </w:tc>
        <w:tc>
          <w:tcPr>
            <w:tcW w:w="552" w:type="pct"/>
            <w:tcBorders>
              <w:left w:val="nil"/>
              <w:bottom w:val="nil"/>
              <w:right w:val="nil"/>
            </w:tcBorders>
            <w:shd w:val="clear" w:color="auto" w:fill="auto"/>
            <w:noWrap/>
            <w:vAlign w:val="center"/>
          </w:tcPr>
          <w:p w14:paraId="0C461833" w14:textId="77777777" w:rsidR="00BD5472" w:rsidRPr="00FF4346" w:rsidRDefault="00BD5472" w:rsidP="00193DCE">
            <w:pPr>
              <w:jc w:val="right"/>
              <w:rPr>
                <w:rFonts w:ascii="CAIXA Std Book" w:eastAsia="Times New Roman" w:hAnsi="CAIXA Std Book" w:cs="Calibri"/>
                <w:color w:val="005CA9"/>
                <w:sz w:val="16"/>
                <w:szCs w:val="16"/>
              </w:rPr>
            </w:pPr>
          </w:p>
        </w:tc>
      </w:tr>
      <w:tr w:rsidR="0009208E" w:rsidRPr="00A33766" w14:paraId="523818EF" w14:textId="77777777" w:rsidTr="00107347">
        <w:trPr>
          <w:trHeight w:val="283"/>
        </w:trPr>
        <w:tc>
          <w:tcPr>
            <w:tcW w:w="2035" w:type="pct"/>
            <w:tcBorders>
              <w:top w:val="nil"/>
              <w:left w:val="nil"/>
              <w:bottom w:val="nil"/>
              <w:right w:val="nil"/>
            </w:tcBorders>
            <w:shd w:val="clear" w:color="auto" w:fill="auto"/>
            <w:noWrap/>
            <w:vAlign w:val="center"/>
            <w:hideMark/>
          </w:tcPr>
          <w:p w14:paraId="4164467C" w14:textId="77777777" w:rsidR="00BD5472" w:rsidRPr="00FF4346" w:rsidRDefault="00BD5472" w:rsidP="00193DCE">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Passivos Financeiros </w:t>
            </w:r>
          </w:p>
        </w:tc>
        <w:tc>
          <w:tcPr>
            <w:tcW w:w="620" w:type="pct"/>
            <w:tcBorders>
              <w:top w:val="nil"/>
              <w:left w:val="nil"/>
              <w:bottom w:val="nil"/>
              <w:right w:val="nil"/>
            </w:tcBorders>
            <w:vAlign w:val="center"/>
          </w:tcPr>
          <w:p w14:paraId="558926FE" w14:textId="034FCB94" w:rsidR="00BD5472" w:rsidRPr="00FF4346" w:rsidRDefault="00C36803" w:rsidP="00193DCE">
            <w:pPr>
              <w:jc w:val="right"/>
              <w:rPr>
                <w:rFonts w:ascii="CAIXA Std Book" w:hAnsi="CAIXA Std Book"/>
                <w:b/>
                <w:color w:val="005CA9"/>
                <w:sz w:val="22"/>
                <w:szCs w:val="22"/>
              </w:rPr>
            </w:pPr>
            <w:r>
              <w:rPr>
                <w:rFonts w:ascii="CAIXA Std Book" w:hAnsi="CAIXA Std Book" w:cs="Calibri"/>
                <w:b/>
                <w:bCs/>
                <w:color w:val="005CA9"/>
                <w:sz w:val="16"/>
                <w:szCs w:val="16"/>
              </w:rPr>
              <w:t>1.630.747.</w:t>
            </w:r>
            <w:r w:rsidR="006E1A6C">
              <w:rPr>
                <w:rFonts w:ascii="CAIXA Std Book" w:hAnsi="CAIXA Std Book" w:cs="Calibri"/>
                <w:b/>
                <w:bCs/>
                <w:color w:val="005CA9"/>
                <w:sz w:val="16"/>
                <w:szCs w:val="16"/>
              </w:rPr>
              <w:t>323</w:t>
            </w:r>
          </w:p>
        </w:tc>
        <w:tc>
          <w:tcPr>
            <w:tcW w:w="620" w:type="pct"/>
            <w:tcBorders>
              <w:top w:val="nil"/>
              <w:left w:val="nil"/>
              <w:bottom w:val="nil"/>
              <w:right w:val="nil"/>
            </w:tcBorders>
            <w:shd w:val="clear" w:color="auto" w:fill="auto"/>
            <w:noWrap/>
            <w:vAlign w:val="center"/>
          </w:tcPr>
          <w:p w14:paraId="3EF0D17F" w14:textId="075F6ED5" w:rsidR="00BD5472" w:rsidRPr="00FF4346" w:rsidRDefault="00C36803" w:rsidP="0009208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1.449.862.506</w:t>
            </w:r>
          </w:p>
        </w:tc>
        <w:tc>
          <w:tcPr>
            <w:tcW w:w="552" w:type="pct"/>
            <w:tcBorders>
              <w:top w:val="nil"/>
              <w:left w:val="nil"/>
              <w:bottom w:val="nil"/>
              <w:right w:val="nil"/>
            </w:tcBorders>
            <w:shd w:val="clear" w:color="auto" w:fill="auto"/>
            <w:noWrap/>
            <w:vAlign w:val="center"/>
          </w:tcPr>
          <w:p w14:paraId="37A1D5CC" w14:textId="6AC0BE4E" w:rsidR="00BD5472" w:rsidRPr="00FF4346" w:rsidRDefault="00C36803" w:rsidP="00E36F5C">
            <w:pPr>
              <w:jc w:val="center"/>
              <w:rPr>
                <w:rFonts w:ascii="CAIXA Std Book" w:eastAsia="Times New Roman" w:hAnsi="CAIXA Std Book" w:cs="Calibri"/>
                <w:b/>
                <w:color w:val="005CA9"/>
                <w:sz w:val="16"/>
                <w:szCs w:val="16"/>
              </w:rPr>
            </w:pPr>
            <w:r>
              <w:rPr>
                <w:rFonts w:ascii="CAIXA Std Book" w:hAnsi="CAIXA Std Book" w:cs="Calibri"/>
                <w:b/>
                <w:bCs/>
                <w:color w:val="005CA9"/>
                <w:sz w:val="16"/>
                <w:szCs w:val="16"/>
              </w:rPr>
              <w:t>-</w:t>
            </w:r>
          </w:p>
        </w:tc>
        <w:tc>
          <w:tcPr>
            <w:tcW w:w="620" w:type="pct"/>
            <w:tcBorders>
              <w:top w:val="nil"/>
              <w:left w:val="nil"/>
              <w:bottom w:val="nil"/>
              <w:right w:val="nil"/>
            </w:tcBorders>
            <w:shd w:val="clear" w:color="auto" w:fill="auto"/>
            <w:noWrap/>
            <w:vAlign w:val="center"/>
          </w:tcPr>
          <w:p w14:paraId="5693B2B9" w14:textId="7A67B9BC" w:rsidR="00BD5472" w:rsidRPr="00FF4346" w:rsidRDefault="00C36803" w:rsidP="00193DCE">
            <w:pPr>
              <w:jc w:val="right"/>
              <w:rPr>
                <w:rFonts w:ascii="CAIXA Std Book" w:eastAsia="Times New Roman" w:hAnsi="CAIXA Std Book" w:cs="Calibri"/>
                <w:b/>
                <w:color w:val="005CA9"/>
                <w:sz w:val="16"/>
                <w:szCs w:val="16"/>
              </w:rPr>
            </w:pPr>
            <w:r>
              <w:rPr>
                <w:rFonts w:ascii="CAIXA Std Book" w:hAnsi="CAIXA Std Book" w:cs="Calibri"/>
                <w:b/>
                <w:bCs/>
                <w:color w:val="005CA9"/>
                <w:sz w:val="16"/>
                <w:szCs w:val="16"/>
              </w:rPr>
              <w:t>793.304.655</w:t>
            </w:r>
          </w:p>
        </w:tc>
        <w:tc>
          <w:tcPr>
            <w:tcW w:w="552" w:type="pct"/>
            <w:tcBorders>
              <w:top w:val="nil"/>
              <w:left w:val="nil"/>
              <w:bottom w:val="nil"/>
              <w:right w:val="nil"/>
            </w:tcBorders>
            <w:shd w:val="clear" w:color="auto" w:fill="auto"/>
            <w:noWrap/>
            <w:vAlign w:val="center"/>
          </w:tcPr>
          <w:p w14:paraId="7B3C4536" w14:textId="4CC1B050" w:rsidR="00BD5472" w:rsidRPr="00FF4346" w:rsidRDefault="00C36803" w:rsidP="00193DCE">
            <w:pPr>
              <w:jc w:val="right"/>
              <w:rPr>
                <w:rFonts w:ascii="CAIXA Std Book" w:eastAsia="Times New Roman" w:hAnsi="CAIXA Std Book" w:cs="Calibri"/>
                <w:b/>
                <w:bCs/>
                <w:color w:val="005CA9"/>
                <w:sz w:val="16"/>
                <w:szCs w:val="16"/>
              </w:rPr>
            </w:pPr>
            <w:r>
              <w:rPr>
                <w:rFonts w:ascii="CAIXA Std Book" w:hAnsi="CAIXA Std Book" w:cs="Calibri"/>
                <w:b/>
                <w:bCs/>
                <w:color w:val="005CA9"/>
                <w:sz w:val="16"/>
                <w:szCs w:val="16"/>
              </w:rPr>
              <w:t>656.557.851</w:t>
            </w:r>
          </w:p>
        </w:tc>
      </w:tr>
      <w:tr w:rsidR="007F12B1" w:rsidRPr="00A33766" w14:paraId="7F07A9B9" w14:textId="77777777" w:rsidTr="00107347">
        <w:trPr>
          <w:trHeight w:val="283"/>
        </w:trPr>
        <w:tc>
          <w:tcPr>
            <w:tcW w:w="2035" w:type="pct"/>
            <w:tcBorders>
              <w:top w:val="nil"/>
              <w:left w:val="nil"/>
              <w:bottom w:val="nil"/>
              <w:right w:val="nil"/>
            </w:tcBorders>
            <w:shd w:val="clear" w:color="auto" w:fill="auto"/>
            <w:noWrap/>
            <w:vAlign w:val="center"/>
            <w:hideMark/>
          </w:tcPr>
          <w:p w14:paraId="315A7DEB" w14:textId="77777777" w:rsidR="007F12B1" w:rsidRPr="00FF4346" w:rsidRDefault="007F12B1" w:rsidP="00225A23">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clientes</w:t>
            </w:r>
          </w:p>
        </w:tc>
        <w:tc>
          <w:tcPr>
            <w:tcW w:w="620" w:type="pct"/>
            <w:tcBorders>
              <w:top w:val="nil"/>
              <w:left w:val="nil"/>
              <w:bottom w:val="nil"/>
              <w:right w:val="nil"/>
            </w:tcBorders>
            <w:vAlign w:val="center"/>
          </w:tcPr>
          <w:p w14:paraId="779D73FD" w14:textId="3874C124" w:rsidR="007F12B1" w:rsidRPr="00FF4346" w:rsidRDefault="00C36803"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705.609.125</w:t>
            </w:r>
          </w:p>
        </w:tc>
        <w:tc>
          <w:tcPr>
            <w:tcW w:w="620" w:type="pct"/>
            <w:tcBorders>
              <w:top w:val="nil"/>
              <w:left w:val="nil"/>
              <w:bottom w:val="nil"/>
              <w:right w:val="nil"/>
            </w:tcBorders>
            <w:shd w:val="clear" w:color="auto" w:fill="auto"/>
            <w:noWrap/>
            <w:vAlign w:val="center"/>
          </w:tcPr>
          <w:p w14:paraId="6E77A605" w14:textId="277882B9" w:rsidR="007F12B1" w:rsidRPr="00FF4346" w:rsidRDefault="00C36803"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656.557.851</w:t>
            </w:r>
          </w:p>
        </w:tc>
        <w:tc>
          <w:tcPr>
            <w:tcW w:w="552" w:type="pct"/>
            <w:tcBorders>
              <w:top w:val="nil"/>
              <w:left w:val="nil"/>
              <w:bottom w:val="nil"/>
              <w:right w:val="nil"/>
            </w:tcBorders>
            <w:shd w:val="clear" w:color="auto" w:fill="auto"/>
            <w:noWrap/>
            <w:vAlign w:val="center"/>
          </w:tcPr>
          <w:p w14:paraId="7F290A6B" w14:textId="3DD96072" w:rsidR="007F12B1" w:rsidRPr="00FF4346" w:rsidRDefault="00432BD6" w:rsidP="00225A23">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bottom w:val="nil"/>
              <w:right w:val="nil"/>
            </w:tcBorders>
            <w:shd w:val="clear" w:color="auto" w:fill="auto"/>
            <w:noWrap/>
            <w:vAlign w:val="bottom"/>
          </w:tcPr>
          <w:p w14:paraId="6481ADC5" w14:textId="13936284" w:rsidR="007F12B1" w:rsidRPr="00FF4346" w:rsidRDefault="00C36803" w:rsidP="00C36803">
            <w:pPr>
              <w:jc w:val="center"/>
              <w:rPr>
                <w:rFonts w:ascii="CAIXA Std Book" w:eastAsia="Times New Roman" w:hAnsi="CAIXA Std Book" w:cs="Calibri"/>
                <w:color w:val="005CA9"/>
                <w:sz w:val="16"/>
                <w:szCs w:val="16"/>
              </w:rPr>
            </w:pPr>
            <w:r w:rsidRPr="00616EE1">
              <w:rPr>
                <w:rFonts w:ascii="CAIXA Std Book" w:hAnsi="CAIXA Std Book" w:cs="Calibri"/>
                <w:color w:val="005CA9"/>
                <w:sz w:val="16"/>
                <w:szCs w:val="16"/>
              </w:rPr>
              <w:t>-</w:t>
            </w:r>
          </w:p>
        </w:tc>
        <w:tc>
          <w:tcPr>
            <w:tcW w:w="552" w:type="pct"/>
            <w:tcBorders>
              <w:top w:val="nil"/>
              <w:left w:val="nil"/>
              <w:bottom w:val="nil"/>
              <w:right w:val="nil"/>
            </w:tcBorders>
            <w:shd w:val="clear" w:color="auto" w:fill="auto"/>
            <w:noWrap/>
            <w:vAlign w:val="center"/>
          </w:tcPr>
          <w:p w14:paraId="5DF444FE" w14:textId="086260E8" w:rsidR="007F12B1" w:rsidRPr="00FF4346" w:rsidRDefault="00432BD6" w:rsidP="00225A2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656.557.851</w:t>
            </w:r>
          </w:p>
        </w:tc>
      </w:tr>
      <w:tr w:rsidR="0009208E" w:rsidRPr="00A33766" w14:paraId="3CCAD26B" w14:textId="77777777" w:rsidTr="00294D9D">
        <w:trPr>
          <w:trHeight w:val="283"/>
        </w:trPr>
        <w:tc>
          <w:tcPr>
            <w:tcW w:w="2035" w:type="pct"/>
            <w:tcBorders>
              <w:top w:val="nil"/>
              <w:left w:val="nil"/>
              <w:right w:val="nil"/>
            </w:tcBorders>
            <w:shd w:val="clear" w:color="auto" w:fill="auto"/>
            <w:noWrap/>
            <w:vAlign w:val="center"/>
            <w:hideMark/>
          </w:tcPr>
          <w:p w14:paraId="4D216D74" w14:textId="7EBC2D34"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instituições financeiras</w:t>
            </w:r>
            <w:r w:rsidR="007A0246" w:rsidRPr="00FF4346">
              <w:rPr>
                <w:rFonts w:ascii="CAIXA Std Book" w:eastAsia="Times New Roman" w:hAnsi="CAIXA Std Book" w:cs="Calibri"/>
                <w:color w:val="005CA9"/>
                <w:sz w:val="16"/>
                <w:szCs w:val="16"/>
              </w:rPr>
              <w:t xml:space="preserve"> e outras</w:t>
            </w:r>
          </w:p>
        </w:tc>
        <w:tc>
          <w:tcPr>
            <w:tcW w:w="620" w:type="pct"/>
            <w:tcBorders>
              <w:top w:val="nil"/>
              <w:left w:val="nil"/>
              <w:right w:val="nil"/>
            </w:tcBorders>
            <w:vAlign w:val="center"/>
          </w:tcPr>
          <w:p w14:paraId="647B56E5" w14:textId="531D00E8" w:rsidR="00A901DD" w:rsidRPr="00FF4346" w:rsidRDefault="00C36803"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708.684.142</w:t>
            </w:r>
          </w:p>
        </w:tc>
        <w:tc>
          <w:tcPr>
            <w:tcW w:w="620" w:type="pct"/>
            <w:tcBorders>
              <w:top w:val="nil"/>
              <w:left w:val="nil"/>
              <w:right w:val="nil"/>
            </w:tcBorders>
            <w:shd w:val="clear" w:color="auto" w:fill="auto"/>
            <w:noWrap/>
            <w:vAlign w:val="center"/>
          </w:tcPr>
          <w:p w14:paraId="1670D2CF" w14:textId="36634AC6" w:rsidR="00A901DD" w:rsidRPr="00FF4346" w:rsidRDefault="00C36803"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581.067.257</w:t>
            </w:r>
          </w:p>
        </w:tc>
        <w:tc>
          <w:tcPr>
            <w:tcW w:w="552" w:type="pct"/>
            <w:tcBorders>
              <w:top w:val="nil"/>
              <w:left w:val="nil"/>
              <w:right w:val="nil"/>
            </w:tcBorders>
            <w:shd w:val="clear" w:color="auto" w:fill="auto"/>
            <w:noWrap/>
            <w:vAlign w:val="center"/>
          </w:tcPr>
          <w:p w14:paraId="0154169C" w14:textId="5BBD3759" w:rsidR="00A901DD" w:rsidRPr="00FF4346" w:rsidRDefault="00432BD6" w:rsidP="00FB2AAF">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right w:val="nil"/>
            </w:tcBorders>
            <w:shd w:val="clear" w:color="auto" w:fill="auto"/>
            <w:noWrap/>
            <w:vAlign w:val="center"/>
          </w:tcPr>
          <w:p w14:paraId="11F4161F" w14:textId="43B924B7" w:rsidR="00A901DD" w:rsidRPr="00FF4346" w:rsidRDefault="00C36803" w:rsidP="00C36803">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581.067.257</w:t>
            </w:r>
          </w:p>
        </w:tc>
        <w:tc>
          <w:tcPr>
            <w:tcW w:w="552" w:type="pct"/>
            <w:tcBorders>
              <w:top w:val="nil"/>
              <w:left w:val="nil"/>
              <w:right w:val="nil"/>
            </w:tcBorders>
            <w:shd w:val="clear" w:color="auto" w:fill="auto"/>
            <w:noWrap/>
            <w:vAlign w:val="center"/>
          </w:tcPr>
          <w:p w14:paraId="5C01669F" w14:textId="2AD3702E" w:rsidR="00A901DD" w:rsidRPr="00FF4346" w:rsidRDefault="00C36803" w:rsidP="00C36803">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r w:rsidR="0009208E" w:rsidRPr="00A33766" w14:paraId="631DEAFB" w14:textId="77777777" w:rsidTr="00294D9D">
        <w:trPr>
          <w:trHeight w:val="283"/>
        </w:trPr>
        <w:tc>
          <w:tcPr>
            <w:tcW w:w="2035" w:type="pct"/>
            <w:tcBorders>
              <w:top w:val="nil"/>
              <w:left w:val="nil"/>
              <w:bottom w:val="single" w:sz="4" w:space="0" w:color="F79646" w:themeColor="accent6"/>
              <w:right w:val="nil"/>
            </w:tcBorders>
            <w:shd w:val="clear" w:color="auto" w:fill="auto"/>
            <w:noWrap/>
            <w:vAlign w:val="center"/>
            <w:hideMark/>
          </w:tcPr>
          <w:p w14:paraId="2810E60C" w14:textId="77777777" w:rsidR="00A901DD" w:rsidRPr="00FF4346" w:rsidRDefault="00A901DD" w:rsidP="00193DCE">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emissões de títulos e valores mobiliários</w:t>
            </w:r>
          </w:p>
        </w:tc>
        <w:tc>
          <w:tcPr>
            <w:tcW w:w="620" w:type="pct"/>
            <w:tcBorders>
              <w:top w:val="nil"/>
              <w:left w:val="nil"/>
              <w:bottom w:val="single" w:sz="4" w:space="0" w:color="F79646" w:themeColor="accent6"/>
              <w:right w:val="nil"/>
            </w:tcBorders>
            <w:vAlign w:val="center"/>
          </w:tcPr>
          <w:p w14:paraId="1BF35E24" w14:textId="24DC7AF2" w:rsidR="00A901DD" w:rsidRPr="00FF4346" w:rsidRDefault="00C36803"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216.454.056</w:t>
            </w:r>
          </w:p>
        </w:tc>
        <w:tc>
          <w:tcPr>
            <w:tcW w:w="620" w:type="pct"/>
            <w:tcBorders>
              <w:top w:val="nil"/>
              <w:left w:val="nil"/>
              <w:bottom w:val="single" w:sz="4" w:space="0" w:color="F79646" w:themeColor="accent6"/>
              <w:right w:val="nil"/>
            </w:tcBorders>
            <w:shd w:val="clear" w:color="auto" w:fill="auto"/>
            <w:noWrap/>
            <w:vAlign w:val="center"/>
          </w:tcPr>
          <w:p w14:paraId="2B562F41" w14:textId="00F64DE3" w:rsidR="00A901DD" w:rsidRPr="00FF4346" w:rsidRDefault="00C36803"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212.237.398</w:t>
            </w:r>
          </w:p>
        </w:tc>
        <w:tc>
          <w:tcPr>
            <w:tcW w:w="552" w:type="pct"/>
            <w:tcBorders>
              <w:top w:val="nil"/>
              <w:left w:val="nil"/>
              <w:bottom w:val="single" w:sz="4" w:space="0" w:color="F79646" w:themeColor="accent6"/>
              <w:right w:val="nil"/>
            </w:tcBorders>
            <w:shd w:val="clear" w:color="auto" w:fill="auto"/>
            <w:noWrap/>
            <w:vAlign w:val="center"/>
          </w:tcPr>
          <w:p w14:paraId="245FA2BD" w14:textId="6086C942" w:rsidR="00A901DD" w:rsidRPr="00FF4346" w:rsidRDefault="00432BD6" w:rsidP="00FB2AAF">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c>
          <w:tcPr>
            <w:tcW w:w="620" w:type="pct"/>
            <w:tcBorders>
              <w:top w:val="nil"/>
              <w:left w:val="nil"/>
              <w:bottom w:val="single" w:sz="4" w:space="0" w:color="F79646" w:themeColor="accent6"/>
              <w:right w:val="nil"/>
            </w:tcBorders>
            <w:shd w:val="clear" w:color="auto" w:fill="auto"/>
            <w:noWrap/>
            <w:vAlign w:val="center"/>
          </w:tcPr>
          <w:p w14:paraId="03F2E323" w14:textId="545C66E9" w:rsidR="00A901DD" w:rsidRPr="00FF4346" w:rsidRDefault="00C36803" w:rsidP="00193DCE">
            <w:pPr>
              <w:jc w:val="right"/>
              <w:rPr>
                <w:rFonts w:ascii="CAIXA Std Book" w:eastAsia="Times New Roman" w:hAnsi="CAIXA Std Book" w:cs="Calibri"/>
                <w:color w:val="005CA9"/>
                <w:sz w:val="16"/>
                <w:szCs w:val="16"/>
              </w:rPr>
            </w:pPr>
            <w:r>
              <w:rPr>
                <w:rFonts w:ascii="CAIXA Std Book" w:hAnsi="CAIXA Std Book" w:cs="Calibri"/>
                <w:color w:val="005CA9"/>
                <w:sz w:val="16"/>
                <w:szCs w:val="16"/>
              </w:rPr>
              <w:t>212.237.398</w:t>
            </w:r>
          </w:p>
        </w:tc>
        <w:tc>
          <w:tcPr>
            <w:tcW w:w="552" w:type="pct"/>
            <w:tcBorders>
              <w:top w:val="nil"/>
              <w:left w:val="nil"/>
              <w:bottom w:val="single" w:sz="4" w:space="0" w:color="F79646" w:themeColor="accent6"/>
              <w:right w:val="nil"/>
            </w:tcBorders>
            <w:shd w:val="clear" w:color="auto" w:fill="auto"/>
            <w:noWrap/>
            <w:vAlign w:val="center"/>
          </w:tcPr>
          <w:p w14:paraId="18006B37" w14:textId="6116E6C5" w:rsidR="00A901DD" w:rsidRPr="00FF4346" w:rsidRDefault="00432BD6" w:rsidP="0009208E">
            <w:pPr>
              <w:jc w:val="center"/>
              <w:rPr>
                <w:rFonts w:ascii="CAIXA Std Book" w:eastAsia="Times New Roman" w:hAnsi="CAIXA Std Book" w:cs="Calibri"/>
                <w:color w:val="005CA9"/>
                <w:sz w:val="16"/>
                <w:szCs w:val="16"/>
              </w:rPr>
            </w:pPr>
            <w:r>
              <w:rPr>
                <w:rFonts w:ascii="CAIXA Std Book" w:hAnsi="CAIXA Std Book" w:cs="Calibri"/>
                <w:color w:val="005CA9"/>
                <w:sz w:val="16"/>
                <w:szCs w:val="16"/>
              </w:rPr>
              <w:t>-</w:t>
            </w:r>
          </w:p>
        </w:tc>
      </w:tr>
    </w:tbl>
    <w:p w14:paraId="314919B3" w14:textId="77777777" w:rsidR="00CD24C9" w:rsidRPr="00FF4346" w:rsidRDefault="00CD24C9">
      <w:pPr>
        <w:rPr>
          <w:rFonts w:ascii="CAIXA Std Book" w:hAnsi="CAIXA Std Book"/>
          <w:b/>
          <w:color w:val="005CA9"/>
        </w:rPr>
      </w:pPr>
      <w:r w:rsidRPr="00FF4346">
        <w:rPr>
          <w:rFonts w:ascii="CAIXA Std Book" w:hAnsi="CAIXA Std Book"/>
          <w:b/>
          <w:color w:val="005CA9"/>
        </w:rPr>
        <w:br w:type="page"/>
      </w:r>
    </w:p>
    <w:tbl>
      <w:tblPr>
        <w:tblW w:w="5235" w:type="pct"/>
        <w:tblLayout w:type="fixed"/>
        <w:tblCellMar>
          <w:left w:w="70" w:type="dxa"/>
          <w:right w:w="70" w:type="dxa"/>
        </w:tblCellMar>
        <w:tblLook w:val="04A0" w:firstRow="1" w:lastRow="0" w:firstColumn="1" w:lastColumn="0" w:noHBand="0" w:noVBand="1"/>
      </w:tblPr>
      <w:tblGrid>
        <w:gridCol w:w="4112"/>
        <w:gridCol w:w="1275"/>
        <w:gridCol w:w="1276"/>
        <w:gridCol w:w="1133"/>
        <w:gridCol w:w="1276"/>
        <w:gridCol w:w="1133"/>
      </w:tblGrid>
      <w:tr w:rsidR="004F3E26" w:rsidRPr="00A33766" w14:paraId="61DBCCB2" w14:textId="77777777" w:rsidTr="00BC1A2A">
        <w:trPr>
          <w:trHeight w:val="283"/>
        </w:trPr>
        <w:tc>
          <w:tcPr>
            <w:tcW w:w="5000" w:type="pct"/>
            <w:gridSpan w:val="6"/>
            <w:tcBorders>
              <w:top w:val="single" w:sz="4" w:space="0" w:color="F39200"/>
              <w:left w:val="nil"/>
              <w:bottom w:val="single" w:sz="4" w:space="0" w:color="F39200"/>
              <w:right w:val="nil"/>
            </w:tcBorders>
            <w:shd w:val="clear" w:color="auto" w:fill="auto"/>
            <w:noWrap/>
            <w:vAlign w:val="center"/>
          </w:tcPr>
          <w:p w14:paraId="632A1E5D"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lastRenderedPageBreak/>
              <w:t>CONSOLIDADO</w:t>
            </w:r>
          </w:p>
        </w:tc>
      </w:tr>
      <w:tr w:rsidR="004F3E26" w:rsidRPr="00A33766" w14:paraId="381E7B7E" w14:textId="77777777" w:rsidTr="00294D9D">
        <w:trPr>
          <w:trHeight w:val="283"/>
        </w:trPr>
        <w:tc>
          <w:tcPr>
            <w:tcW w:w="2015" w:type="pct"/>
            <w:vMerge w:val="restart"/>
            <w:tcBorders>
              <w:top w:val="single" w:sz="4" w:space="0" w:color="F39200"/>
              <w:left w:val="nil"/>
              <w:bottom w:val="single" w:sz="4" w:space="0" w:color="F39200"/>
              <w:right w:val="nil"/>
            </w:tcBorders>
            <w:shd w:val="clear" w:color="auto" w:fill="auto"/>
            <w:noWrap/>
            <w:vAlign w:val="center"/>
            <w:hideMark/>
          </w:tcPr>
          <w:p w14:paraId="4848AC9E"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Descrição</w:t>
            </w:r>
          </w:p>
        </w:tc>
        <w:tc>
          <w:tcPr>
            <w:tcW w:w="1250" w:type="pct"/>
            <w:gridSpan w:val="2"/>
            <w:tcBorders>
              <w:top w:val="single" w:sz="4" w:space="0" w:color="F39200"/>
              <w:left w:val="nil"/>
              <w:bottom w:val="nil"/>
              <w:right w:val="nil"/>
            </w:tcBorders>
            <w:vAlign w:val="center"/>
          </w:tcPr>
          <w:p w14:paraId="27130F14" w14:textId="53D58CCA"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31/12/20</w:t>
            </w:r>
            <w:r w:rsidR="00FC60D1" w:rsidRPr="00FF4346">
              <w:rPr>
                <w:rFonts w:ascii="CAIXA Std Book" w:eastAsia="Times New Roman" w:hAnsi="CAIXA Std Book" w:cs="Calibri"/>
                <w:b/>
                <w:bCs/>
                <w:color w:val="005CA9"/>
                <w:sz w:val="16"/>
                <w:szCs w:val="16"/>
              </w:rPr>
              <w:t>2</w:t>
            </w:r>
            <w:r w:rsidR="004B7707">
              <w:rPr>
                <w:rFonts w:ascii="CAIXA Std Book" w:eastAsia="Times New Roman" w:hAnsi="CAIXA Std Book" w:cs="Calibri"/>
                <w:b/>
                <w:bCs/>
                <w:color w:val="005CA9"/>
                <w:sz w:val="16"/>
                <w:szCs w:val="16"/>
              </w:rPr>
              <w:t>3</w:t>
            </w:r>
          </w:p>
        </w:tc>
        <w:tc>
          <w:tcPr>
            <w:tcW w:w="1735" w:type="pct"/>
            <w:gridSpan w:val="3"/>
            <w:tcBorders>
              <w:top w:val="single" w:sz="4" w:space="0" w:color="F39200"/>
              <w:left w:val="nil"/>
              <w:bottom w:val="single" w:sz="4" w:space="0" w:color="F39200"/>
              <w:right w:val="nil"/>
            </w:tcBorders>
            <w:shd w:val="clear" w:color="auto" w:fill="auto"/>
            <w:noWrap/>
            <w:vAlign w:val="center"/>
            <w:hideMark/>
          </w:tcPr>
          <w:p w14:paraId="21363867"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Níveis de valor justo</w:t>
            </w:r>
          </w:p>
        </w:tc>
      </w:tr>
      <w:tr w:rsidR="004F3E26" w:rsidRPr="00A33766" w14:paraId="12CB5103" w14:textId="77777777" w:rsidTr="00BC1A2A">
        <w:trPr>
          <w:trHeight w:val="283"/>
        </w:trPr>
        <w:tc>
          <w:tcPr>
            <w:tcW w:w="2015" w:type="pct"/>
            <w:vMerge/>
            <w:tcBorders>
              <w:top w:val="single" w:sz="4" w:space="0" w:color="F39200"/>
              <w:left w:val="nil"/>
              <w:bottom w:val="single" w:sz="4" w:space="0" w:color="F39200"/>
              <w:right w:val="nil"/>
            </w:tcBorders>
            <w:vAlign w:val="center"/>
            <w:hideMark/>
          </w:tcPr>
          <w:p w14:paraId="047473D5" w14:textId="77777777" w:rsidR="004F3E26" w:rsidRPr="00FF4346" w:rsidRDefault="004F3E26" w:rsidP="0052608D">
            <w:pPr>
              <w:rPr>
                <w:rFonts w:ascii="CAIXA Std Book" w:eastAsia="Times New Roman" w:hAnsi="CAIXA Std Book" w:cs="Calibri"/>
                <w:b/>
                <w:bCs/>
                <w:color w:val="005CA9"/>
                <w:sz w:val="16"/>
                <w:szCs w:val="16"/>
              </w:rPr>
            </w:pPr>
          </w:p>
        </w:tc>
        <w:tc>
          <w:tcPr>
            <w:tcW w:w="625" w:type="pct"/>
            <w:tcBorders>
              <w:top w:val="single" w:sz="4" w:space="0" w:color="F39200"/>
              <w:left w:val="nil"/>
              <w:bottom w:val="single" w:sz="4" w:space="0" w:color="F39200"/>
              <w:right w:val="nil"/>
            </w:tcBorders>
            <w:shd w:val="clear" w:color="000000" w:fill="FFFFFF"/>
            <w:vAlign w:val="center"/>
          </w:tcPr>
          <w:p w14:paraId="028C6ACE"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contábil</w:t>
            </w:r>
          </w:p>
        </w:tc>
        <w:tc>
          <w:tcPr>
            <w:tcW w:w="625" w:type="pct"/>
            <w:tcBorders>
              <w:top w:val="single" w:sz="4" w:space="0" w:color="F39200"/>
              <w:left w:val="nil"/>
              <w:bottom w:val="single" w:sz="4" w:space="0" w:color="F39200"/>
              <w:right w:val="nil"/>
            </w:tcBorders>
            <w:shd w:val="clear" w:color="000000" w:fill="FFFFFF"/>
            <w:noWrap/>
            <w:vAlign w:val="center"/>
            <w:hideMark/>
          </w:tcPr>
          <w:p w14:paraId="5FEA0BB1"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Valor justo</w:t>
            </w:r>
          </w:p>
        </w:tc>
        <w:tc>
          <w:tcPr>
            <w:tcW w:w="555" w:type="pct"/>
            <w:tcBorders>
              <w:top w:val="nil"/>
              <w:left w:val="nil"/>
              <w:bottom w:val="single" w:sz="4" w:space="0" w:color="F39200"/>
              <w:right w:val="nil"/>
            </w:tcBorders>
            <w:shd w:val="clear" w:color="000000" w:fill="FFFFFF"/>
            <w:noWrap/>
            <w:vAlign w:val="center"/>
            <w:hideMark/>
          </w:tcPr>
          <w:p w14:paraId="30CF819C"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1</w:t>
            </w:r>
          </w:p>
        </w:tc>
        <w:tc>
          <w:tcPr>
            <w:tcW w:w="625" w:type="pct"/>
            <w:tcBorders>
              <w:top w:val="nil"/>
              <w:left w:val="nil"/>
              <w:bottom w:val="single" w:sz="4" w:space="0" w:color="F39200"/>
              <w:right w:val="nil"/>
            </w:tcBorders>
            <w:shd w:val="clear" w:color="000000" w:fill="FFFFFF"/>
            <w:noWrap/>
            <w:vAlign w:val="center"/>
            <w:hideMark/>
          </w:tcPr>
          <w:p w14:paraId="23AC1544"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2</w:t>
            </w:r>
          </w:p>
        </w:tc>
        <w:tc>
          <w:tcPr>
            <w:tcW w:w="555" w:type="pct"/>
            <w:tcBorders>
              <w:top w:val="nil"/>
              <w:left w:val="nil"/>
              <w:bottom w:val="single" w:sz="4" w:space="0" w:color="F39200"/>
              <w:right w:val="nil"/>
            </w:tcBorders>
            <w:shd w:val="clear" w:color="000000" w:fill="FFFFFF"/>
            <w:noWrap/>
            <w:vAlign w:val="center"/>
            <w:hideMark/>
          </w:tcPr>
          <w:p w14:paraId="1BB89225" w14:textId="77777777" w:rsidR="004F3E26" w:rsidRPr="00FF4346" w:rsidRDefault="004F3E26" w:rsidP="0052608D">
            <w:pPr>
              <w:jc w:val="cente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Nível 3</w:t>
            </w:r>
          </w:p>
        </w:tc>
      </w:tr>
      <w:tr w:rsidR="004F3E26" w:rsidRPr="00A33766" w14:paraId="304FF894" w14:textId="77777777" w:rsidTr="00BC1A2A">
        <w:trPr>
          <w:trHeight w:val="283"/>
        </w:trPr>
        <w:tc>
          <w:tcPr>
            <w:tcW w:w="5000" w:type="pct"/>
            <w:gridSpan w:val="6"/>
            <w:tcBorders>
              <w:top w:val="nil"/>
              <w:left w:val="nil"/>
              <w:bottom w:val="single" w:sz="4" w:space="0" w:color="F39200"/>
              <w:right w:val="nil"/>
            </w:tcBorders>
            <w:shd w:val="clear" w:color="auto" w:fill="auto"/>
            <w:vAlign w:val="center"/>
            <w:hideMark/>
          </w:tcPr>
          <w:p w14:paraId="1CEFA314" w14:textId="5CABB674" w:rsidR="004F3E26" w:rsidRPr="00FF4346" w:rsidRDefault="004F3E26" w:rsidP="0052608D">
            <w:pPr>
              <w:jc w:val="center"/>
              <w:rPr>
                <w:rFonts w:ascii="CAIXA Std Book" w:eastAsia="Times New Roman" w:hAnsi="CAIXA Std Book" w:cs="Calibri"/>
                <w:color w:val="005CA9"/>
                <w:sz w:val="16"/>
                <w:szCs w:val="16"/>
              </w:rPr>
            </w:pPr>
            <w:r w:rsidRPr="00FF4346">
              <w:rPr>
                <w:rFonts w:ascii="CAIXA Std Book" w:eastAsia="Times New Roman" w:hAnsi="CAIXA Std Book" w:cs="Calibri"/>
                <w:b/>
                <w:bCs/>
                <w:color w:val="005CA9"/>
                <w:sz w:val="16"/>
                <w:szCs w:val="16"/>
              </w:rPr>
              <w:t>Ativos e passivos financeiros mensurados a valor justo</w:t>
            </w:r>
          </w:p>
        </w:tc>
      </w:tr>
      <w:tr w:rsidR="004F3E26" w:rsidRPr="00A33766" w14:paraId="54BFBAC4" w14:textId="77777777" w:rsidTr="00BC1A2A">
        <w:trPr>
          <w:trHeight w:val="283"/>
        </w:trPr>
        <w:tc>
          <w:tcPr>
            <w:tcW w:w="2015" w:type="pct"/>
            <w:tcBorders>
              <w:top w:val="nil"/>
              <w:left w:val="nil"/>
              <w:bottom w:val="nil"/>
              <w:right w:val="nil"/>
            </w:tcBorders>
            <w:shd w:val="clear" w:color="auto" w:fill="auto"/>
            <w:noWrap/>
            <w:vAlign w:val="center"/>
            <w:hideMark/>
          </w:tcPr>
          <w:p w14:paraId="07001618" w14:textId="77777777" w:rsidR="004F3E26" w:rsidRPr="00FF4346" w:rsidRDefault="004F3E26" w:rsidP="0052608D">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ATIVO</w:t>
            </w:r>
          </w:p>
        </w:tc>
        <w:tc>
          <w:tcPr>
            <w:tcW w:w="625" w:type="pct"/>
            <w:tcBorders>
              <w:top w:val="nil"/>
              <w:left w:val="nil"/>
              <w:bottom w:val="nil"/>
              <w:right w:val="nil"/>
            </w:tcBorders>
            <w:vAlign w:val="center"/>
          </w:tcPr>
          <w:p w14:paraId="295C3F68" w14:textId="77777777" w:rsidR="004F3E26" w:rsidRPr="00FF4346" w:rsidRDefault="004F3E26" w:rsidP="0052608D">
            <w:pPr>
              <w:jc w:val="right"/>
              <w:rPr>
                <w:rFonts w:ascii="CAIXA Std Book" w:eastAsia="Times New Roman" w:hAnsi="CAIXA Std Book" w:cs="Calibri"/>
                <w:b/>
                <w:bCs/>
                <w:color w:val="005CA9"/>
                <w:sz w:val="16"/>
                <w:szCs w:val="16"/>
              </w:rPr>
            </w:pPr>
          </w:p>
        </w:tc>
        <w:tc>
          <w:tcPr>
            <w:tcW w:w="625" w:type="pct"/>
            <w:tcBorders>
              <w:top w:val="nil"/>
              <w:left w:val="nil"/>
              <w:bottom w:val="nil"/>
              <w:right w:val="nil"/>
            </w:tcBorders>
            <w:shd w:val="clear" w:color="auto" w:fill="auto"/>
            <w:noWrap/>
            <w:vAlign w:val="center"/>
            <w:hideMark/>
          </w:tcPr>
          <w:p w14:paraId="52F94475" w14:textId="77777777" w:rsidR="004F3E26" w:rsidRPr="00FF4346" w:rsidRDefault="004F3E26" w:rsidP="0052608D">
            <w:pPr>
              <w:jc w:val="right"/>
              <w:rPr>
                <w:rFonts w:ascii="CAIXA Std Book" w:eastAsia="Times New Roman" w:hAnsi="CAIXA Std Book" w:cs="Calibri"/>
                <w:b/>
                <w:bCs/>
                <w:color w:val="005CA9"/>
                <w:sz w:val="16"/>
                <w:szCs w:val="16"/>
              </w:rPr>
            </w:pPr>
          </w:p>
        </w:tc>
        <w:tc>
          <w:tcPr>
            <w:tcW w:w="555" w:type="pct"/>
            <w:tcBorders>
              <w:top w:val="nil"/>
              <w:left w:val="nil"/>
              <w:bottom w:val="nil"/>
              <w:right w:val="nil"/>
            </w:tcBorders>
            <w:shd w:val="clear" w:color="auto" w:fill="auto"/>
            <w:noWrap/>
            <w:vAlign w:val="center"/>
            <w:hideMark/>
          </w:tcPr>
          <w:p w14:paraId="3FC427E0" w14:textId="77777777" w:rsidR="004F3E26" w:rsidRPr="00FF4346" w:rsidRDefault="004F3E26" w:rsidP="0052608D">
            <w:pPr>
              <w:jc w:val="right"/>
              <w:rPr>
                <w:rFonts w:ascii="CAIXA Std Book" w:eastAsia="Times New Roman" w:hAnsi="CAIXA Std Book" w:cs="Times New Roman"/>
                <w:color w:val="005CA9"/>
                <w:sz w:val="16"/>
                <w:szCs w:val="16"/>
              </w:rPr>
            </w:pPr>
          </w:p>
        </w:tc>
        <w:tc>
          <w:tcPr>
            <w:tcW w:w="625" w:type="pct"/>
            <w:tcBorders>
              <w:top w:val="nil"/>
              <w:left w:val="nil"/>
              <w:bottom w:val="nil"/>
              <w:right w:val="nil"/>
            </w:tcBorders>
            <w:shd w:val="clear" w:color="auto" w:fill="auto"/>
            <w:noWrap/>
            <w:vAlign w:val="center"/>
            <w:hideMark/>
          </w:tcPr>
          <w:p w14:paraId="633AA160" w14:textId="77777777" w:rsidR="004F3E26" w:rsidRPr="00FF4346" w:rsidRDefault="004F3E26" w:rsidP="0052608D">
            <w:pPr>
              <w:jc w:val="right"/>
              <w:rPr>
                <w:rFonts w:ascii="CAIXA Std Book" w:eastAsia="Times New Roman" w:hAnsi="CAIXA Std Book" w:cs="Times New Roman"/>
                <w:color w:val="005CA9"/>
                <w:sz w:val="16"/>
                <w:szCs w:val="16"/>
              </w:rPr>
            </w:pPr>
          </w:p>
        </w:tc>
        <w:tc>
          <w:tcPr>
            <w:tcW w:w="555" w:type="pct"/>
            <w:tcBorders>
              <w:top w:val="nil"/>
              <w:left w:val="nil"/>
              <w:bottom w:val="nil"/>
              <w:right w:val="nil"/>
            </w:tcBorders>
            <w:shd w:val="clear" w:color="auto" w:fill="auto"/>
            <w:noWrap/>
            <w:vAlign w:val="center"/>
            <w:hideMark/>
          </w:tcPr>
          <w:p w14:paraId="5B4DDA62" w14:textId="77777777" w:rsidR="004F3E26" w:rsidRPr="00FF4346" w:rsidRDefault="004F3E26" w:rsidP="0052608D">
            <w:pPr>
              <w:jc w:val="right"/>
              <w:rPr>
                <w:rFonts w:ascii="CAIXA Std Book" w:eastAsia="Times New Roman" w:hAnsi="CAIXA Std Book" w:cs="Times New Roman"/>
                <w:color w:val="005CA9"/>
                <w:sz w:val="16"/>
                <w:szCs w:val="16"/>
              </w:rPr>
            </w:pPr>
          </w:p>
        </w:tc>
      </w:tr>
      <w:tr w:rsidR="008D7E2B" w:rsidRPr="00A33766" w14:paraId="03050C06" w14:textId="77777777" w:rsidTr="00BC1A2A">
        <w:trPr>
          <w:trHeight w:val="283"/>
        </w:trPr>
        <w:tc>
          <w:tcPr>
            <w:tcW w:w="2015" w:type="pct"/>
            <w:tcBorders>
              <w:top w:val="nil"/>
              <w:left w:val="nil"/>
              <w:bottom w:val="nil"/>
              <w:right w:val="nil"/>
            </w:tcBorders>
            <w:shd w:val="clear" w:color="auto" w:fill="auto"/>
            <w:noWrap/>
            <w:vAlign w:val="center"/>
            <w:hideMark/>
          </w:tcPr>
          <w:p w14:paraId="5A6CD0E3" w14:textId="77777777" w:rsidR="008D7E2B" w:rsidRPr="00FF4346" w:rsidRDefault="008D7E2B" w:rsidP="008D7E2B">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Ativos Financeiros </w:t>
            </w:r>
          </w:p>
        </w:tc>
        <w:tc>
          <w:tcPr>
            <w:tcW w:w="625" w:type="pct"/>
            <w:tcBorders>
              <w:top w:val="nil"/>
              <w:left w:val="nil"/>
              <w:bottom w:val="nil"/>
              <w:right w:val="nil"/>
            </w:tcBorders>
            <w:vAlign w:val="center"/>
          </w:tcPr>
          <w:p w14:paraId="1B966C95" w14:textId="016AE820"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1.780.968.365</w:t>
            </w:r>
          </w:p>
        </w:tc>
        <w:tc>
          <w:tcPr>
            <w:tcW w:w="625" w:type="pct"/>
            <w:tcBorders>
              <w:top w:val="nil"/>
              <w:left w:val="nil"/>
              <w:bottom w:val="nil"/>
              <w:right w:val="nil"/>
            </w:tcBorders>
            <w:shd w:val="clear" w:color="auto" w:fill="auto"/>
            <w:noWrap/>
            <w:vAlign w:val="center"/>
            <w:hideMark/>
          </w:tcPr>
          <w:p w14:paraId="74D05AFB" w14:textId="2C023C2C"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1.662.976.267</w:t>
            </w:r>
          </w:p>
        </w:tc>
        <w:tc>
          <w:tcPr>
            <w:tcW w:w="555" w:type="pct"/>
            <w:tcBorders>
              <w:top w:val="nil"/>
              <w:left w:val="nil"/>
              <w:bottom w:val="nil"/>
              <w:right w:val="nil"/>
            </w:tcBorders>
            <w:shd w:val="clear" w:color="auto" w:fill="auto"/>
            <w:noWrap/>
            <w:vAlign w:val="center"/>
          </w:tcPr>
          <w:p w14:paraId="783F3AA1" w14:textId="484F8485"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261.941.909</w:t>
            </w:r>
          </w:p>
        </w:tc>
        <w:tc>
          <w:tcPr>
            <w:tcW w:w="625" w:type="pct"/>
            <w:tcBorders>
              <w:top w:val="nil"/>
              <w:left w:val="nil"/>
              <w:bottom w:val="nil"/>
              <w:right w:val="nil"/>
            </w:tcBorders>
            <w:shd w:val="clear" w:color="auto" w:fill="auto"/>
            <w:noWrap/>
            <w:vAlign w:val="center"/>
          </w:tcPr>
          <w:p w14:paraId="2CB91E9C" w14:textId="49CAA4FF"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1.386.608.698</w:t>
            </w:r>
          </w:p>
        </w:tc>
        <w:tc>
          <w:tcPr>
            <w:tcW w:w="555" w:type="pct"/>
            <w:tcBorders>
              <w:top w:val="nil"/>
              <w:left w:val="nil"/>
              <w:bottom w:val="nil"/>
              <w:right w:val="nil"/>
            </w:tcBorders>
            <w:shd w:val="clear" w:color="auto" w:fill="auto"/>
            <w:noWrap/>
            <w:vAlign w:val="center"/>
          </w:tcPr>
          <w:p w14:paraId="54D824B5" w14:textId="79E9DA97" w:rsidR="008D7E2B" w:rsidRPr="00FF4346" w:rsidRDefault="004B7707" w:rsidP="008D7E2B">
            <w:pPr>
              <w:jc w:val="right"/>
              <w:rPr>
                <w:rFonts w:ascii="CAIXA Std Book" w:eastAsia="Times New Roman" w:hAnsi="CAIXA Std Book" w:cs="Times New Roman"/>
                <w:b/>
                <w:color w:val="005CA9"/>
                <w:sz w:val="16"/>
                <w:szCs w:val="16"/>
              </w:rPr>
            </w:pPr>
            <w:r w:rsidRPr="00FF4346">
              <w:rPr>
                <w:rFonts w:ascii="CAIXA Std Book" w:hAnsi="CAIXA Std Book" w:cs="Calibri"/>
                <w:b/>
                <w:bCs/>
                <w:color w:val="005CA9"/>
                <w:sz w:val="16"/>
                <w:szCs w:val="16"/>
              </w:rPr>
              <w:t>14.425.660</w:t>
            </w:r>
          </w:p>
        </w:tc>
      </w:tr>
      <w:tr w:rsidR="007F12B1" w:rsidRPr="00A33766" w14:paraId="077EB823" w14:textId="77777777" w:rsidTr="00BC1A2A">
        <w:trPr>
          <w:trHeight w:val="283"/>
        </w:trPr>
        <w:tc>
          <w:tcPr>
            <w:tcW w:w="2015" w:type="pct"/>
            <w:tcBorders>
              <w:top w:val="nil"/>
              <w:left w:val="nil"/>
              <w:bottom w:val="nil"/>
              <w:right w:val="nil"/>
            </w:tcBorders>
            <w:shd w:val="clear" w:color="auto" w:fill="auto"/>
            <w:noWrap/>
            <w:vAlign w:val="center"/>
            <w:hideMark/>
          </w:tcPr>
          <w:p w14:paraId="02A0BAB7" w14:textId="77777777" w:rsidR="007F12B1" w:rsidRPr="00FF4346" w:rsidRDefault="007F12B1" w:rsidP="00225A23">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Aplicações interfinanceiras de liquidez</w:t>
            </w:r>
          </w:p>
        </w:tc>
        <w:tc>
          <w:tcPr>
            <w:tcW w:w="625" w:type="pct"/>
            <w:tcBorders>
              <w:top w:val="nil"/>
              <w:left w:val="nil"/>
              <w:bottom w:val="nil"/>
              <w:right w:val="nil"/>
            </w:tcBorders>
            <w:vAlign w:val="center"/>
          </w:tcPr>
          <w:p w14:paraId="6B27A5F7" w14:textId="44BCC079"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180.978.966</w:t>
            </w:r>
          </w:p>
        </w:tc>
        <w:tc>
          <w:tcPr>
            <w:tcW w:w="625" w:type="pct"/>
            <w:tcBorders>
              <w:top w:val="nil"/>
              <w:left w:val="nil"/>
              <w:bottom w:val="nil"/>
              <w:right w:val="nil"/>
            </w:tcBorders>
            <w:shd w:val="clear" w:color="auto" w:fill="auto"/>
            <w:noWrap/>
            <w:vAlign w:val="center"/>
            <w:hideMark/>
          </w:tcPr>
          <w:p w14:paraId="6B16EA5E" w14:textId="20E36FCF"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180.980.309</w:t>
            </w:r>
          </w:p>
        </w:tc>
        <w:tc>
          <w:tcPr>
            <w:tcW w:w="555" w:type="pct"/>
            <w:tcBorders>
              <w:top w:val="nil"/>
              <w:left w:val="nil"/>
              <w:bottom w:val="nil"/>
              <w:right w:val="nil"/>
            </w:tcBorders>
            <w:shd w:val="clear" w:color="auto" w:fill="auto"/>
            <w:noWrap/>
            <w:vAlign w:val="center"/>
            <w:hideMark/>
          </w:tcPr>
          <w:p w14:paraId="692A0FCF" w14:textId="77777777" w:rsidR="007F12B1" w:rsidRPr="00FF4346" w:rsidRDefault="007F12B1" w:rsidP="00225A2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bottom w:val="nil"/>
              <w:right w:val="nil"/>
            </w:tcBorders>
            <w:shd w:val="clear" w:color="auto" w:fill="auto"/>
            <w:noWrap/>
            <w:vAlign w:val="center"/>
            <w:hideMark/>
          </w:tcPr>
          <w:p w14:paraId="0DAD5530" w14:textId="7E3BA3B5"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180.980.309</w:t>
            </w:r>
          </w:p>
        </w:tc>
        <w:tc>
          <w:tcPr>
            <w:tcW w:w="555" w:type="pct"/>
            <w:tcBorders>
              <w:top w:val="nil"/>
              <w:left w:val="nil"/>
              <w:bottom w:val="nil"/>
              <w:right w:val="nil"/>
            </w:tcBorders>
            <w:shd w:val="clear" w:color="auto" w:fill="auto"/>
            <w:noWrap/>
            <w:vAlign w:val="center"/>
            <w:hideMark/>
          </w:tcPr>
          <w:p w14:paraId="4DA9D5DF" w14:textId="77777777" w:rsidR="007F12B1" w:rsidRPr="00FF4346" w:rsidRDefault="007F12B1" w:rsidP="00225A2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05DB6A7E" w14:textId="77777777" w:rsidTr="00BC1A2A">
        <w:trPr>
          <w:trHeight w:val="283"/>
        </w:trPr>
        <w:tc>
          <w:tcPr>
            <w:tcW w:w="2015" w:type="pct"/>
            <w:tcBorders>
              <w:top w:val="nil"/>
              <w:left w:val="nil"/>
              <w:bottom w:val="nil"/>
              <w:right w:val="nil"/>
            </w:tcBorders>
            <w:shd w:val="clear" w:color="auto" w:fill="auto"/>
            <w:noWrap/>
            <w:vAlign w:val="center"/>
            <w:hideMark/>
          </w:tcPr>
          <w:p w14:paraId="73AAF49B"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Depósitos compulsórios no Banco Central</w:t>
            </w:r>
          </w:p>
        </w:tc>
        <w:tc>
          <w:tcPr>
            <w:tcW w:w="625" w:type="pct"/>
            <w:tcBorders>
              <w:top w:val="nil"/>
              <w:left w:val="nil"/>
              <w:bottom w:val="nil"/>
              <w:right w:val="nil"/>
            </w:tcBorders>
            <w:vAlign w:val="center"/>
          </w:tcPr>
          <w:p w14:paraId="0076C185" w14:textId="7CEE8637"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133.393.149</w:t>
            </w:r>
          </w:p>
        </w:tc>
        <w:tc>
          <w:tcPr>
            <w:tcW w:w="625" w:type="pct"/>
            <w:tcBorders>
              <w:top w:val="nil"/>
              <w:left w:val="nil"/>
              <w:bottom w:val="nil"/>
              <w:right w:val="nil"/>
            </w:tcBorders>
            <w:shd w:val="clear" w:color="auto" w:fill="auto"/>
            <w:noWrap/>
            <w:vAlign w:val="center"/>
            <w:hideMark/>
          </w:tcPr>
          <w:p w14:paraId="66EAC263" w14:textId="447C4A14"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126.694.762</w:t>
            </w:r>
          </w:p>
        </w:tc>
        <w:tc>
          <w:tcPr>
            <w:tcW w:w="555" w:type="pct"/>
            <w:tcBorders>
              <w:top w:val="nil"/>
              <w:left w:val="nil"/>
              <w:bottom w:val="nil"/>
              <w:right w:val="nil"/>
            </w:tcBorders>
            <w:shd w:val="clear" w:color="auto" w:fill="auto"/>
            <w:noWrap/>
            <w:vAlign w:val="center"/>
            <w:hideMark/>
          </w:tcPr>
          <w:p w14:paraId="57303D36" w14:textId="4E141B42"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bottom w:val="nil"/>
              <w:right w:val="nil"/>
            </w:tcBorders>
            <w:shd w:val="clear" w:color="auto" w:fill="auto"/>
            <w:noWrap/>
            <w:vAlign w:val="center"/>
            <w:hideMark/>
          </w:tcPr>
          <w:p w14:paraId="70A91F79" w14:textId="1EFBA318"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126.694.762</w:t>
            </w:r>
          </w:p>
        </w:tc>
        <w:tc>
          <w:tcPr>
            <w:tcW w:w="555" w:type="pct"/>
            <w:tcBorders>
              <w:top w:val="nil"/>
              <w:left w:val="nil"/>
              <w:bottom w:val="nil"/>
              <w:right w:val="nil"/>
            </w:tcBorders>
            <w:shd w:val="clear" w:color="auto" w:fill="auto"/>
            <w:noWrap/>
            <w:vAlign w:val="center"/>
            <w:hideMark/>
          </w:tcPr>
          <w:p w14:paraId="23296383" w14:textId="1DADBA2B"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6B933708" w14:textId="77777777" w:rsidTr="00BC1A2A">
        <w:trPr>
          <w:trHeight w:val="283"/>
        </w:trPr>
        <w:tc>
          <w:tcPr>
            <w:tcW w:w="2015" w:type="pct"/>
            <w:tcBorders>
              <w:top w:val="nil"/>
              <w:left w:val="nil"/>
              <w:bottom w:val="nil"/>
              <w:right w:val="nil"/>
            </w:tcBorders>
            <w:shd w:val="clear" w:color="auto" w:fill="auto"/>
            <w:noWrap/>
            <w:vAlign w:val="center"/>
            <w:hideMark/>
          </w:tcPr>
          <w:p w14:paraId="4CADB53D"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Títulos e Valores Mobiliários</w:t>
            </w:r>
          </w:p>
        </w:tc>
        <w:tc>
          <w:tcPr>
            <w:tcW w:w="625" w:type="pct"/>
            <w:tcBorders>
              <w:top w:val="nil"/>
              <w:left w:val="nil"/>
              <w:bottom w:val="nil"/>
              <w:right w:val="nil"/>
            </w:tcBorders>
            <w:vAlign w:val="center"/>
          </w:tcPr>
          <w:p w14:paraId="3F0EB15D" w14:textId="60F266EE"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281.956.233</w:t>
            </w:r>
          </w:p>
        </w:tc>
        <w:tc>
          <w:tcPr>
            <w:tcW w:w="625" w:type="pct"/>
            <w:tcBorders>
              <w:top w:val="nil"/>
              <w:left w:val="nil"/>
              <w:bottom w:val="nil"/>
              <w:right w:val="nil"/>
            </w:tcBorders>
            <w:shd w:val="clear" w:color="auto" w:fill="auto"/>
            <w:noWrap/>
            <w:vAlign w:val="center"/>
            <w:hideMark/>
          </w:tcPr>
          <w:p w14:paraId="31B70C36" w14:textId="5FC4C50E"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277.833.865</w:t>
            </w:r>
          </w:p>
        </w:tc>
        <w:tc>
          <w:tcPr>
            <w:tcW w:w="555" w:type="pct"/>
            <w:tcBorders>
              <w:top w:val="nil"/>
              <w:left w:val="nil"/>
              <w:bottom w:val="nil"/>
              <w:right w:val="nil"/>
            </w:tcBorders>
            <w:shd w:val="clear" w:color="auto" w:fill="auto"/>
            <w:noWrap/>
            <w:vAlign w:val="center"/>
            <w:hideMark/>
          </w:tcPr>
          <w:p w14:paraId="565C3BC6" w14:textId="19013234"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261.941.909</w:t>
            </w:r>
          </w:p>
        </w:tc>
        <w:tc>
          <w:tcPr>
            <w:tcW w:w="625" w:type="pct"/>
            <w:tcBorders>
              <w:top w:val="nil"/>
              <w:left w:val="nil"/>
              <w:bottom w:val="nil"/>
              <w:right w:val="nil"/>
            </w:tcBorders>
            <w:shd w:val="clear" w:color="auto" w:fill="auto"/>
            <w:noWrap/>
            <w:vAlign w:val="center"/>
            <w:hideMark/>
          </w:tcPr>
          <w:p w14:paraId="2B6DF1B3" w14:textId="50FACEB6"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1.466.296</w:t>
            </w:r>
          </w:p>
        </w:tc>
        <w:tc>
          <w:tcPr>
            <w:tcW w:w="555" w:type="pct"/>
            <w:tcBorders>
              <w:top w:val="nil"/>
              <w:left w:val="nil"/>
              <w:bottom w:val="nil"/>
              <w:right w:val="nil"/>
            </w:tcBorders>
            <w:shd w:val="clear" w:color="auto" w:fill="auto"/>
            <w:noWrap/>
            <w:vAlign w:val="center"/>
            <w:hideMark/>
          </w:tcPr>
          <w:p w14:paraId="33DE208B" w14:textId="612F2958"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14.425.660</w:t>
            </w:r>
          </w:p>
        </w:tc>
      </w:tr>
      <w:tr w:rsidR="008D7E2B" w:rsidRPr="00A33766" w14:paraId="2B8D5449" w14:textId="77777777" w:rsidTr="00BC1A2A">
        <w:trPr>
          <w:trHeight w:val="283"/>
        </w:trPr>
        <w:tc>
          <w:tcPr>
            <w:tcW w:w="2015" w:type="pct"/>
            <w:tcBorders>
              <w:top w:val="nil"/>
              <w:left w:val="nil"/>
              <w:bottom w:val="nil"/>
              <w:right w:val="nil"/>
            </w:tcBorders>
            <w:shd w:val="clear" w:color="auto" w:fill="auto"/>
            <w:noWrap/>
            <w:vAlign w:val="center"/>
            <w:hideMark/>
          </w:tcPr>
          <w:p w14:paraId="09B31323"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Instrumentos financeiros derivativos</w:t>
            </w:r>
          </w:p>
        </w:tc>
        <w:tc>
          <w:tcPr>
            <w:tcW w:w="625" w:type="pct"/>
            <w:tcBorders>
              <w:top w:val="nil"/>
              <w:left w:val="nil"/>
              <w:bottom w:val="nil"/>
              <w:right w:val="nil"/>
            </w:tcBorders>
            <w:vAlign w:val="center"/>
          </w:tcPr>
          <w:p w14:paraId="35F1E87A" w14:textId="0806C415"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163.206</w:t>
            </w:r>
          </w:p>
        </w:tc>
        <w:tc>
          <w:tcPr>
            <w:tcW w:w="625" w:type="pct"/>
            <w:tcBorders>
              <w:top w:val="nil"/>
              <w:left w:val="nil"/>
              <w:bottom w:val="nil"/>
              <w:right w:val="nil"/>
            </w:tcBorders>
            <w:shd w:val="clear" w:color="auto" w:fill="auto"/>
            <w:noWrap/>
            <w:vAlign w:val="center"/>
            <w:hideMark/>
          </w:tcPr>
          <w:p w14:paraId="1C706418" w14:textId="503AEB6E"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163.154</w:t>
            </w:r>
          </w:p>
        </w:tc>
        <w:tc>
          <w:tcPr>
            <w:tcW w:w="555" w:type="pct"/>
            <w:tcBorders>
              <w:top w:val="nil"/>
              <w:left w:val="nil"/>
              <w:bottom w:val="nil"/>
              <w:right w:val="nil"/>
            </w:tcBorders>
            <w:shd w:val="clear" w:color="auto" w:fill="auto"/>
            <w:noWrap/>
            <w:vAlign w:val="center"/>
            <w:hideMark/>
          </w:tcPr>
          <w:p w14:paraId="1EBCA30B" w14:textId="7C9362A2"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bottom w:val="nil"/>
              <w:right w:val="nil"/>
            </w:tcBorders>
            <w:shd w:val="clear" w:color="auto" w:fill="auto"/>
            <w:noWrap/>
            <w:vAlign w:val="center"/>
            <w:hideMark/>
          </w:tcPr>
          <w:p w14:paraId="45C7AAEC" w14:textId="450A53E6"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163.154</w:t>
            </w:r>
          </w:p>
        </w:tc>
        <w:tc>
          <w:tcPr>
            <w:tcW w:w="555" w:type="pct"/>
            <w:tcBorders>
              <w:top w:val="nil"/>
              <w:left w:val="nil"/>
              <w:bottom w:val="nil"/>
              <w:right w:val="nil"/>
            </w:tcBorders>
            <w:shd w:val="clear" w:color="auto" w:fill="auto"/>
            <w:noWrap/>
            <w:vAlign w:val="center"/>
            <w:hideMark/>
          </w:tcPr>
          <w:p w14:paraId="17F4F5FB" w14:textId="3AF101F5"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315FAB94" w14:textId="77777777" w:rsidTr="00BC1A2A">
        <w:trPr>
          <w:trHeight w:val="283"/>
        </w:trPr>
        <w:tc>
          <w:tcPr>
            <w:tcW w:w="2015" w:type="pct"/>
            <w:tcBorders>
              <w:top w:val="nil"/>
              <w:left w:val="nil"/>
              <w:right w:val="nil"/>
            </w:tcBorders>
            <w:shd w:val="clear" w:color="auto" w:fill="auto"/>
            <w:noWrap/>
            <w:vAlign w:val="center"/>
            <w:hideMark/>
          </w:tcPr>
          <w:p w14:paraId="67E72D8A"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Carteira de crédito</w:t>
            </w:r>
          </w:p>
        </w:tc>
        <w:tc>
          <w:tcPr>
            <w:tcW w:w="625" w:type="pct"/>
            <w:tcBorders>
              <w:top w:val="nil"/>
              <w:left w:val="nil"/>
              <w:right w:val="nil"/>
            </w:tcBorders>
            <w:vAlign w:val="center"/>
          </w:tcPr>
          <w:p w14:paraId="2ACAE9BD" w14:textId="6FB3E3A7"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1.120.867.849</w:t>
            </w:r>
          </w:p>
        </w:tc>
        <w:tc>
          <w:tcPr>
            <w:tcW w:w="625" w:type="pct"/>
            <w:tcBorders>
              <w:top w:val="nil"/>
              <w:left w:val="nil"/>
              <w:right w:val="nil"/>
            </w:tcBorders>
            <w:shd w:val="clear" w:color="auto" w:fill="auto"/>
            <w:noWrap/>
            <w:vAlign w:val="center"/>
            <w:hideMark/>
          </w:tcPr>
          <w:p w14:paraId="4575D2FF" w14:textId="7C046DC6"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1.017.929.624</w:t>
            </w:r>
          </w:p>
        </w:tc>
        <w:tc>
          <w:tcPr>
            <w:tcW w:w="555" w:type="pct"/>
            <w:tcBorders>
              <w:top w:val="nil"/>
              <w:left w:val="nil"/>
              <w:right w:val="nil"/>
            </w:tcBorders>
            <w:shd w:val="clear" w:color="auto" w:fill="auto"/>
            <w:noWrap/>
            <w:vAlign w:val="center"/>
            <w:hideMark/>
          </w:tcPr>
          <w:p w14:paraId="542C6A96" w14:textId="76E60CCA"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right w:val="nil"/>
            </w:tcBorders>
            <w:shd w:val="clear" w:color="auto" w:fill="auto"/>
            <w:noWrap/>
            <w:vAlign w:val="center"/>
            <w:hideMark/>
          </w:tcPr>
          <w:p w14:paraId="4701D030" w14:textId="350BE3A0"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1.017.929.624</w:t>
            </w:r>
          </w:p>
        </w:tc>
        <w:tc>
          <w:tcPr>
            <w:tcW w:w="555" w:type="pct"/>
            <w:tcBorders>
              <w:top w:val="nil"/>
              <w:left w:val="nil"/>
              <w:right w:val="nil"/>
            </w:tcBorders>
            <w:shd w:val="clear" w:color="auto" w:fill="auto"/>
            <w:noWrap/>
            <w:vAlign w:val="center"/>
            <w:hideMark/>
          </w:tcPr>
          <w:p w14:paraId="2B9C9728" w14:textId="0BD40666"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5745F545" w14:textId="77777777" w:rsidTr="00BC1A2A">
        <w:trPr>
          <w:trHeight w:val="283"/>
        </w:trPr>
        <w:tc>
          <w:tcPr>
            <w:tcW w:w="2015" w:type="pct"/>
            <w:tcBorders>
              <w:top w:val="nil"/>
              <w:left w:val="nil"/>
              <w:right w:val="nil"/>
            </w:tcBorders>
            <w:shd w:val="clear" w:color="auto" w:fill="auto"/>
            <w:noWrap/>
            <w:vAlign w:val="center"/>
            <w:hideMark/>
          </w:tcPr>
          <w:p w14:paraId="3E4622A2"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Outros ativos financeiros</w:t>
            </w:r>
          </w:p>
        </w:tc>
        <w:tc>
          <w:tcPr>
            <w:tcW w:w="625" w:type="pct"/>
            <w:tcBorders>
              <w:top w:val="nil"/>
              <w:left w:val="nil"/>
              <w:right w:val="nil"/>
            </w:tcBorders>
            <w:vAlign w:val="center"/>
          </w:tcPr>
          <w:p w14:paraId="23AB80D6" w14:textId="7F341110"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63.608.962</w:t>
            </w:r>
          </w:p>
        </w:tc>
        <w:tc>
          <w:tcPr>
            <w:tcW w:w="625" w:type="pct"/>
            <w:tcBorders>
              <w:top w:val="nil"/>
              <w:left w:val="nil"/>
              <w:right w:val="nil"/>
            </w:tcBorders>
            <w:shd w:val="clear" w:color="auto" w:fill="auto"/>
            <w:noWrap/>
            <w:vAlign w:val="center"/>
            <w:hideMark/>
          </w:tcPr>
          <w:p w14:paraId="057A5F5F" w14:textId="3501B730"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59.374.553</w:t>
            </w:r>
          </w:p>
        </w:tc>
        <w:tc>
          <w:tcPr>
            <w:tcW w:w="555" w:type="pct"/>
            <w:tcBorders>
              <w:top w:val="nil"/>
              <w:left w:val="nil"/>
              <w:right w:val="nil"/>
            </w:tcBorders>
            <w:shd w:val="clear" w:color="auto" w:fill="auto"/>
            <w:noWrap/>
            <w:vAlign w:val="center"/>
            <w:hideMark/>
          </w:tcPr>
          <w:p w14:paraId="42A979E2" w14:textId="7495D05E"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right w:val="nil"/>
            </w:tcBorders>
            <w:shd w:val="clear" w:color="auto" w:fill="auto"/>
            <w:noWrap/>
            <w:vAlign w:val="center"/>
            <w:hideMark/>
          </w:tcPr>
          <w:p w14:paraId="7AB599AE" w14:textId="478817D6"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59.374.553</w:t>
            </w:r>
          </w:p>
        </w:tc>
        <w:tc>
          <w:tcPr>
            <w:tcW w:w="555" w:type="pct"/>
            <w:tcBorders>
              <w:top w:val="nil"/>
              <w:left w:val="nil"/>
              <w:right w:val="nil"/>
            </w:tcBorders>
            <w:shd w:val="clear" w:color="auto" w:fill="auto"/>
            <w:noWrap/>
            <w:vAlign w:val="center"/>
            <w:hideMark/>
          </w:tcPr>
          <w:p w14:paraId="23D5AC76" w14:textId="4BE74DB8"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7D4BAEFB" w14:textId="77777777" w:rsidTr="00BC1A2A">
        <w:trPr>
          <w:trHeight w:val="283"/>
        </w:trPr>
        <w:tc>
          <w:tcPr>
            <w:tcW w:w="2015" w:type="pct"/>
            <w:tcBorders>
              <w:left w:val="nil"/>
              <w:bottom w:val="nil"/>
              <w:right w:val="nil"/>
            </w:tcBorders>
            <w:shd w:val="clear" w:color="auto" w:fill="auto"/>
            <w:noWrap/>
            <w:vAlign w:val="center"/>
            <w:hideMark/>
          </w:tcPr>
          <w:p w14:paraId="31DF4011" w14:textId="77777777" w:rsidR="008D7E2B" w:rsidRPr="00FF4346" w:rsidRDefault="008D7E2B" w:rsidP="008D7E2B">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PASSIVO</w:t>
            </w:r>
          </w:p>
        </w:tc>
        <w:tc>
          <w:tcPr>
            <w:tcW w:w="625" w:type="pct"/>
            <w:tcBorders>
              <w:left w:val="nil"/>
              <w:bottom w:val="nil"/>
              <w:right w:val="nil"/>
            </w:tcBorders>
            <w:vAlign w:val="center"/>
          </w:tcPr>
          <w:p w14:paraId="5CA9AA82" w14:textId="77777777" w:rsidR="008D7E2B" w:rsidRPr="00FF4346" w:rsidRDefault="008D7E2B" w:rsidP="008D7E2B">
            <w:pPr>
              <w:jc w:val="right"/>
              <w:rPr>
                <w:rFonts w:ascii="CAIXA Std Book" w:eastAsia="Times New Roman" w:hAnsi="CAIXA Std Book" w:cs="Calibri"/>
                <w:b/>
                <w:bCs/>
                <w:color w:val="005CA9"/>
                <w:sz w:val="16"/>
                <w:szCs w:val="16"/>
              </w:rPr>
            </w:pPr>
          </w:p>
        </w:tc>
        <w:tc>
          <w:tcPr>
            <w:tcW w:w="625" w:type="pct"/>
            <w:tcBorders>
              <w:left w:val="nil"/>
              <w:bottom w:val="nil"/>
              <w:right w:val="nil"/>
            </w:tcBorders>
            <w:shd w:val="clear" w:color="auto" w:fill="auto"/>
            <w:noWrap/>
            <w:vAlign w:val="center"/>
            <w:hideMark/>
          </w:tcPr>
          <w:p w14:paraId="73FF315D" w14:textId="77777777" w:rsidR="008D7E2B" w:rsidRPr="00FF4346" w:rsidRDefault="008D7E2B" w:rsidP="008D7E2B">
            <w:pPr>
              <w:jc w:val="right"/>
              <w:rPr>
                <w:rFonts w:ascii="CAIXA Std Book" w:eastAsia="Times New Roman" w:hAnsi="CAIXA Std Book" w:cs="Calibri"/>
                <w:b/>
                <w:bCs/>
                <w:color w:val="005CA9"/>
                <w:sz w:val="16"/>
                <w:szCs w:val="16"/>
              </w:rPr>
            </w:pPr>
          </w:p>
        </w:tc>
        <w:tc>
          <w:tcPr>
            <w:tcW w:w="555" w:type="pct"/>
            <w:tcBorders>
              <w:left w:val="nil"/>
              <w:bottom w:val="nil"/>
              <w:right w:val="nil"/>
            </w:tcBorders>
            <w:shd w:val="clear" w:color="auto" w:fill="auto"/>
            <w:noWrap/>
            <w:vAlign w:val="center"/>
            <w:hideMark/>
          </w:tcPr>
          <w:p w14:paraId="2015AB75" w14:textId="77777777" w:rsidR="008D7E2B" w:rsidRPr="00FF4346" w:rsidRDefault="008D7E2B" w:rsidP="008D7E2B">
            <w:pPr>
              <w:jc w:val="right"/>
              <w:rPr>
                <w:rFonts w:ascii="CAIXA Std Book" w:eastAsia="Times New Roman" w:hAnsi="CAIXA Std Book" w:cs="Times New Roman"/>
                <w:color w:val="005CA9"/>
                <w:sz w:val="16"/>
                <w:szCs w:val="16"/>
              </w:rPr>
            </w:pPr>
          </w:p>
        </w:tc>
        <w:tc>
          <w:tcPr>
            <w:tcW w:w="625" w:type="pct"/>
            <w:tcBorders>
              <w:left w:val="nil"/>
              <w:bottom w:val="nil"/>
              <w:right w:val="nil"/>
            </w:tcBorders>
            <w:shd w:val="clear" w:color="auto" w:fill="auto"/>
            <w:noWrap/>
            <w:vAlign w:val="center"/>
            <w:hideMark/>
          </w:tcPr>
          <w:p w14:paraId="7A5F65EA" w14:textId="77777777" w:rsidR="008D7E2B" w:rsidRPr="00FF4346" w:rsidRDefault="008D7E2B" w:rsidP="008D7E2B">
            <w:pPr>
              <w:jc w:val="right"/>
              <w:rPr>
                <w:rFonts w:ascii="CAIXA Std Book" w:eastAsia="Times New Roman" w:hAnsi="CAIXA Std Book" w:cs="Times New Roman"/>
                <w:color w:val="005CA9"/>
                <w:sz w:val="16"/>
                <w:szCs w:val="16"/>
              </w:rPr>
            </w:pPr>
          </w:p>
        </w:tc>
        <w:tc>
          <w:tcPr>
            <w:tcW w:w="555" w:type="pct"/>
            <w:tcBorders>
              <w:left w:val="nil"/>
              <w:bottom w:val="nil"/>
              <w:right w:val="nil"/>
            </w:tcBorders>
            <w:shd w:val="clear" w:color="auto" w:fill="auto"/>
            <w:noWrap/>
            <w:vAlign w:val="center"/>
            <w:hideMark/>
          </w:tcPr>
          <w:p w14:paraId="38D5CDFA" w14:textId="77777777" w:rsidR="008D7E2B" w:rsidRPr="00FF4346" w:rsidRDefault="008D7E2B" w:rsidP="008D7E2B">
            <w:pPr>
              <w:jc w:val="right"/>
              <w:rPr>
                <w:rFonts w:ascii="CAIXA Std Book" w:eastAsia="Times New Roman" w:hAnsi="CAIXA Std Book" w:cs="Times New Roman"/>
                <w:color w:val="005CA9"/>
                <w:sz w:val="16"/>
                <w:szCs w:val="16"/>
              </w:rPr>
            </w:pPr>
          </w:p>
        </w:tc>
      </w:tr>
      <w:tr w:rsidR="008D7E2B" w:rsidRPr="00A33766" w14:paraId="18E2EC76" w14:textId="77777777" w:rsidTr="00BC1A2A">
        <w:trPr>
          <w:trHeight w:val="283"/>
        </w:trPr>
        <w:tc>
          <w:tcPr>
            <w:tcW w:w="2015" w:type="pct"/>
            <w:tcBorders>
              <w:top w:val="nil"/>
              <w:left w:val="nil"/>
              <w:bottom w:val="nil"/>
              <w:right w:val="nil"/>
            </w:tcBorders>
            <w:shd w:val="clear" w:color="auto" w:fill="auto"/>
            <w:noWrap/>
            <w:vAlign w:val="center"/>
            <w:hideMark/>
          </w:tcPr>
          <w:p w14:paraId="5B84D81B" w14:textId="77777777" w:rsidR="008D7E2B" w:rsidRPr="00FF4346" w:rsidRDefault="008D7E2B" w:rsidP="008D7E2B">
            <w:pPr>
              <w:rPr>
                <w:rFonts w:ascii="CAIXA Std Book" w:eastAsia="Times New Roman" w:hAnsi="CAIXA Std Book" w:cs="Calibri"/>
                <w:b/>
                <w:bCs/>
                <w:color w:val="005CA9"/>
                <w:sz w:val="16"/>
                <w:szCs w:val="16"/>
              </w:rPr>
            </w:pPr>
            <w:r w:rsidRPr="00FF4346">
              <w:rPr>
                <w:rFonts w:ascii="CAIXA Std Book" w:eastAsia="Times New Roman" w:hAnsi="CAIXA Std Book" w:cs="Calibri"/>
                <w:b/>
                <w:bCs/>
                <w:color w:val="005CA9"/>
                <w:sz w:val="16"/>
                <w:szCs w:val="16"/>
              </w:rPr>
              <w:t xml:space="preserve">Passivos Financeiros </w:t>
            </w:r>
          </w:p>
        </w:tc>
        <w:tc>
          <w:tcPr>
            <w:tcW w:w="625" w:type="pct"/>
            <w:tcBorders>
              <w:top w:val="nil"/>
              <w:left w:val="nil"/>
              <w:bottom w:val="nil"/>
              <w:right w:val="nil"/>
            </w:tcBorders>
            <w:vAlign w:val="center"/>
          </w:tcPr>
          <w:p w14:paraId="126366A4" w14:textId="2855F3B8" w:rsidR="008D7E2B" w:rsidRPr="00FF4346" w:rsidRDefault="004B7707" w:rsidP="008D7E2B">
            <w:pPr>
              <w:jc w:val="right"/>
              <w:rPr>
                <w:rFonts w:ascii="CAIXA Std Book" w:hAnsi="CAIXA Std Book"/>
                <w:b/>
                <w:color w:val="005CA9"/>
                <w:sz w:val="22"/>
                <w:szCs w:val="22"/>
              </w:rPr>
            </w:pPr>
            <w:r w:rsidRPr="00FF4346">
              <w:rPr>
                <w:rFonts w:ascii="CAIXA Std Book" w:hAnsi="CAIXA Std Book" w:cs="Calibri"/>
                <w:b/>
                <w:bCs/>
                <w:color w:val="005CA9"/>
                <w:sz w:val="16"/>
                <w:szCs w:val="16"/>
              </w:rPr>
              <w:t>1.582.318.</w:t>
            </w:r>
            <w:r w:rsidR="00C17895">
              <w:rPr>
                <w:rFonts w:ascii="CAIXA Std Book" w:hAnsi="CAIXA Std Book" w:cs="Calibri"/>
                <w:b/>
                <w:bCs/>
                <w:color w:val="005CA9"/>
                <w:sz w:val="16"/>
                <w:szCs w:val="16"/>
              </w:rPr>
              <w:t>661</w:t>
            </w:r>
          </w:p>
        </w:tc>
        <w:tc>
          <w:tcPr>
            <w:tcW w:w="625" w:type="pct"/>
            <w:tcBorders>
              <w:top w:val="nil"/>
              <w:left w:val="nil"/>
              <w:bottom w:val="nil"/>
              <w:right w:val="nil"/>
            </w:tcBorders>
            <w:shd w:val="clear" w:color="auto" w:fill="auto"/>
            <w:noWrap/>
            <w:vAlign w:val="center"/>
            <w:hideMark/>
          </w:tcPr>
          <w:p w14:paraId="0A656B76" w14:textId="4DA0E31A"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1.</w:t>
            </w:r>
            <w:r w:rsidR="00F80D1D">
              <w:rPr>
                <w:rFonts w:ascii="CAIXA Std Book" w:hAnsi="CAIXA Std Book" w:cs="Calibri"/>
                <w:b/>
                <w:bCs/>
                <w:color w:val="005CA9"/>
                <w:sz w:val="16"/>
                <w:szCs w:val="16"/>
              </w:rPr>
              <w:t>405.689.582</w:t>
            </w:r>
          </w:p>
        </w:tc>
        <w:tc>
          <w:tcPr>
            <w:tcW w:w="555" w:type="pct"/>
            <w:tcBorders>
              <w:top w:val="nil"/>
              <w:left w:val="nil"/>
              <w:bottom w:val="nil"/>
              <w:right w:val="nil"/>
            </w:tcBorders>
            <w:shd w:val="clear" w:color="auto" w:fill="auto"/>
            <w:noWrap/>
            <w:vAlign w:val="center"/>
            <w:hideMark/>
          </w:tcPr>
          <w:p w14:paraId="6FD84516" w14:textId="782A1080" w:rsidR="008D7E2B" w:rsidRPr="00FF4346" w:rsidRDefault="008D7E2B" w:rsidP="008D7E2B">
            <w:pPr>
              <w:jc w:val="center"/>
              <w:rPr>
                <w:rFonts w:ascii="CAIXA Std Book" w:hAnsi="CAIXA Std Book"/>
                <w:b/>
                <w:color w:val="005CA9"/>
                <w:sz w:val="16"/>
                <w:szCs w:val="16"/>
              </w:rPr>
            </w:pPr>
            <w:r w:rsidRPr="00FF4346">
              <w:rPr>
                <w:rFonts w:ascii="CAIXA Std Book" w:hAnsi="CAIXA Std Book"/>
                <w:b/>
                <w:color w:val="005CA9"/>
                <w:sz w:val="16"/>
                <w:szCs w:val="16"/>
              </w:rPr>
              <w:t>-</w:t>
            </w:r>
          </w:p>
        </w:tc>
        <w:tc>
          <w:tcPr>
            <w:tcW w:w="625" w:type="pct"/>
            <w:tcBorders>
              <w:top w:val="nil"/>
              <w:left w:val="nil"/>
              <w:bottom w:val="nil"/>
              <w:right w:val="nil"/>
            </w:tcBorders>
            <w:shd w:val="clear" w:color="auto" w:fill="auto"/>
            <w:noWrap/>
            <w:vAlign w:val="center"/>
          </w:tcPr>
          <w:p w14:paraId="56DF582C" w14:textId="3157D528" w:rsidR="008D7E2B" w:rsidRPr="00FF4346" w:rsidRDefault="004B7707" w:rsidP="008D7E2B">
            <w:pPr>
              <w:jc w:val="right"/>
              <w:rPr>
                <w:rFonts w:ascii="CAIXA Std Book" w:hAnsi="CAIXA Std Book"/>
                <w:b/>
                <w:color w:val="005CA9"/>
                <w:sz w:val="16"/>
                <w:szCs w:val="16"/>
              </w:rPr>
            </w:pPr>
            <w:r w:rsidRPr="00FF4346">
              <w:rPr>
                <w:rFonts w:ascii="CAIXA Std Book" w:hAnsi="CAIXA Std Book" w:cs="Calibri"/>
                <w:b/>
                <w:bCs/>
                <w:color w:val="005CA9"/>
                <w:sz w:val="16"/>
                <w:szCs w:val="16"/>
              </w:rPr>
              <w:t>744.331.178</w:t>
            </w:r>
          </w:p>
        </w:tc>
        <w:tc>
          <w:tcPr>
            <w:tcW w:w="555" w:type="pct"/>
            <w:tcBorders>
              <w:top w:val="nil"/>
              <w:left w:val="nil"/>
              <w:bottom w:val="nil"/>
              <w:right w:val="nil"/>
            </w:tcBorders>
            <w:shd w:val="clear" w:color="auto" w:fill="auto"/>
            <w:noWrap/>
            <w:vAlign w:val="center"/>
          </w:tcPr>
          <w:p w14:paraId="51468180" w14:textId="2606BA7E" w:rsidR="008D7E2B" w:rsidRPr="00FF4346" w:rsidRDefault="004B7707" w:rsidP="008D7E2B">
            <w:pPr>
              <w:jc w:val="right"/>
              <w:rPr>
                <w:rFonts w:ascii="CAIXA Std Book" w:eastAsia="Times New Roman" w:hAnsi="CAIXA Std Book" w:cs="Calibri"/>
                <w:b/>
                <w:bCs/>
                <w:color w:val="005CA9"/>
                <w:sz w:val="16"/>
                <w:szCs w:val="16"/>
              </w:rPr>
            </w:pPr>
            <w:r w:rsidRPr="00FF4346">
              <w:rPr>
                <w:rFonts w:ascii="CAIXA Std Book" w:hAnsi="CAIXA Std Book" w:cs="Calibri"/>
                <w:b/>
                <w:bCs/>
                <w:color w:val="005CA9"/>
                <w:sz w:val="16"/>
                <w:szCs w:val="16"/>
              </w:rPr>
              <w:t>661.</w:t>
            </w:r>
            <w:r w:rsidR="00F80D1D">
              <w:rPr>
                <w:rFonts w:ascii="CAIXA Std Book" w:hAnsi="CAIXA Std Book" w:cs="Calibri"/>
                <w:b/>
                <w:bCs/>
                <w:color w:val="005CA9"/>
                <w:sz w:val="16"/>
                <w:szCs w:val="16"/>
              </w:rPr>
              <w:t>358.404</w:t>
            </w:r>
          </w:p>
        </w:tc>
      </w:tr>
      <w:tr w:rsidR="007F12B1" w:rsidRPr="00A33766" w14:paraId="30FE6F91" w14:textId="77777777" w:rsidTr="00BC1A2A">
        <w:trPr>
          <w:trHeight w:val="283"/>
        </w:trPr>
        <w:tc>
          <w:tcPr>
            <w:tcW w:w="2015" w:type="pct"/>
            <w:tcBorders>
              <w:top w:val="nil"/>
              <w:left w:val="nil"/>
              <w:bottom w:val="nil"/>
              <w:right w:val="nil"/>
            </w:tcBorders>
            <w:shd w:val="clear" w:color="auto" w:fill="auto"/>
            <w:noWrap/>
            <w:vAlign w:val="center"/>
            <w:hideMark/>
          </w:tcPr>
          <w:p w14:paraId="3AD429CC" w14:textId="77777777" w:rsidR="007F12B1" w:rsidRPr="00FF4346" w:rsidRDefault="007F12B1" w:rsidP="00225A23">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clientes</w:t>
            </w:r>
          </w:p>
        </w:tc>
        <w:tc>
          <w:tcPr>
            <w:tcW w:w="625" w:type="pct"/>
            <w:tcBorders>
              <w:top w:val="nil"/>
              <w:left w:val="nil"/>
              <w:bottom w:val="nil"/>
              <w:right w:val="nil"/>
            </w:tcBorders>
            <w:vAlign w:val="center"/>
          </w:tcPr>
          <w:p w14:paraId="78543991" w14:textId="65436021"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714.074.077</w:t>
            </w:r>
          </w:p>
        </w:tc>
        <w:tc>
          <w:tcPr>
            <w:tcW w:w="625" w:type="pct"/>
            <w:tcBorders>
              <w:top w:val="nil"/>
              <w:left w:val="nil"/>
              <w:bottom w:val="nil"/>
              <w:right w:val="nil"/>
            </w:tcBorders>
            <w:shd w:val="clear" w:color="auto" w:fill="auto"/>
            <w:noWrap/>
            <w:vAlign w:val="center"/>
            <w:hideMark/>
          </w:tcPr>
          <w:p w14:paraId="5231744C" w14:textId="79BBB9F0"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661.358.404</w:t>
            </w:r>
          </w:p>
        </w:tc>
        <w:tc>
          <w:tcPr>
            <w:tcW w:w="555" w:type="pct"/>
            <w:tcBorders>
              <w:top w:val="nil"/>
              <w:left w:val="nil"/>
              <w:bottom w:val="nil"/>
              <w:right w:val="nil"/>
            </w:tcBorders>
            <w:shd w:val="clear" w:color="auto" w:fill="auto"/>
            <w:noWrap/>
            <w:vAlign w:val="center"/>
            <w:hideMark/>
          </w:tcPr>
          <w:p w14:paraId="4E4774EE" w14:textId="77777777" w:rsidR="007F12B1" w:rsidRPr="00FF4346" w:rsidRDefault="007F12B1" w:rsidP="00225A23">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bottom w:val="nil"/>
              <w:right w:val="nil"/>
            </w:tcBorders>
            <w:shd w:val="clear" w:color="auto" w:fill="auto"/>
            <w:noWrap/>
            <w:vAlign w:val="center"/>
            <w:hideMark/>
          </w:tcPr>
          <w:p w14:paraId="265DA8D4" w14:textId="76B2565B" w:rsidR="007F12B1" w:rsidRPr="00FF4346" w:rsidRDefault="00CF4682" w:rsidP="00225A23">
            <w:pPr>
              <w:jc w:val="center"/>
              <w:rPr>
                <w:rFonts w:ascii="CAIXA Std Book" w:eastAsia="Times New Roman" w:hAnsi="CAIXA Std Book" w:cs="Times New Roman"/>
                <w:color w:val="005CA9"/>
                <w:sz w:val="16"/>
                <w:szCs w:val="16"/>
              </w:rPr>
            </w:pPr>
            <w:r>
              <w:rPr>
                <w:rFonts w:ascii="CAIXA Std Book" w:eastAsia="Times New Roman" w:hAnsi="CAIXA Std Book" w:cs="Times New Roman"/>
                <w:color w:val="005CA9"/>
                <w:sz w:val="16"/>
                <w:szCs w:val="16"/>
              </w:rPr>
              <w:t>-</w:t>
            </w:r>
          </w:p>
        </w:tc>
        <w:tc>
          <w:tcPr>
            <w:tcW w:w="555" w:type="pct"/>
            <w:tcBorders>
              <w:top w:val="nil"/>
              <w:left w:val="nil"/>
              <w:bottom w:val="nil"/>
              <w:right w:val="nil"/>
            </w:tcBorders>
            <w:shd w:val="clear" w:color="auto" w:fill="auto"/>
            <w:noWrap/>
            <w:vAlign w:val="center"/>
            <w:hideMark/>
          </w:tcPr>
          <w:p w14:paraId="722282BD" w14:textId="573BE740" w:rsidR="007F12B1" w:rsidRPr="00FF4346" w:rsidRDefault="004B7707" w:rsidP="00225A23">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661.358.404</w:t>
            </w:r>
          </w:p>
        </w:tc>
      </w:tr>
      <w:tr w:rsidR="008D7E2B" w:rsidRPr="00A33766" w14:paraId="5EA4023C" w14:textId="77777777" w:rsidTr="00294D9D">
        <w:trPr>
          <w:trHeight w:val="283"/>
        </w:trPr>
        <w:tc>
          <w:tcPr>
            <w:tcW w:w="2015" w:type="pct"/>
            <w:tcBorders>
              <w:top w:val="nil"/>
              <w:left w:val="nil"/>
              <w:right w:val="nil"/>
            </w:tcBorders>
            <w:shd w:val="clear" w:color="auto" w:fill="auto"/>
            <w:noWrap/>
            <w:vAlign w:val="center"/>
            <w:hideMark/>
          </w:tcPr>
          <w:p w14:paraId="54961FFE"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instituições financeiras e outras</w:t>
            </w:r>
          </w:p>
        </w:tc>
        <w:tc>
          <w:tcPr>
            <w:tcW w:w="625" w:type="pct"/>
            <w:tcBorders>
              <w:top w:val="nil"/>
              <w:left w:val="nil"/>
              <w:right w:val="nil"/>
            </w:tcBorders>
            <w:vAlign w:val="center"/>
          </w:tcPr>
          <w:p w14:paraId="1E5624CC" w14:textId="5A7C0E67"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664.122.848</w:t>
            </w:r>
          </w:p>
        </w:tc>
        <w:tc>
          <w:tcPr>
            <w:tcW w:w="625" w:type="pct"/>
            <w:tcBorders>
              <w:top w:val="nil"/>
              <w:left w:val="nil"/>
              <w:right w:val="nil"/>
            </w:tcBorders>
            <w:shd w:val="clear" w:color="auto" w:fill="auto"/>
            <w:noWrap/>
            <w:vAlign w:val="center"/>
            <w:hideMark/>
          </w:tcPr>
          <w:p w14:paraId="69CE718F" w14:textId="3B4674C5"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547.312.684</w:t>
            </w:r>
          </w:p>
        </w:tc>
        <w:tc>
          <w:tcPr>
            <w:tcW w:w="555" w:type="pct"/>
            <w:tcBorders>
              <w:top w:val="nil"/>
              <w:left w:val="nil"/>
              <w:right w:val="nil"/>
            </w:tcBorders>
            <w:shd w:val="clear" w:color="auto" w:fill="auto"/>
            <w:noWrap/>
            <w:vAlign w:val="center"/>
            <w:hideMark/>
          </w:tcPr>
          <w:p w14:paraId="2FE777C8" w14:textId="5D6C1B56"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right w:val="nil"/>
            </w:tcBorders>
            <w:shd w:val="clear" w:color="auto" w:fill="auto"/>
            <w:noWrap/>
            <w:vAlign w:val="center"/>
            <w:hideMark/>
          </w:tcPr>
          <w:p w14:paraId="5DEAFEA8" w14:textId="2CAD744D"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547.312.684</w:t>
            </w:r>
          </w:p>
        </w:tc>
        <w:tc>
          <w:tcPr>
            <w:tcW w:w="555" w:type="pct"/>
            <w:tcBorders>
              <w:top w:val="nil"/>
              <w:left w:val="nil"/>
              <w:right w:val="nil"/>
            </w:tcBorders>
            <w:shd w:val="clear" w:color="auto" w:fill="auto"/>
            <w:noWrap/>
            <w:vAlign w:val="center"/>
            <w:hideMark/>
          </w:tcPr>
          <w:p w14:paraId="1B386C6B" w14:textId="17EF793F"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r w:rsidR="008D7E2B" w:rsidRPr="00A33766" w14:paraId="62BBAB57" w14:textId="77777777" w:rsidTr="00294D9D">
        <w:trPr>
          <w:trHeight w:val="283"/>
        </w:trPr>
        <w:tc>
          <w:tcPr>
            <w:tcW w:w="2015" w:type="pct"/>
            <w:tcBorders>
              <w:top w:val="nil"/>
              <w:left w:val="nil"/>
              <w:bottom w:val="single" w:sz="4" w:space="0" w:color="F79646" w:themeColor="accent6"/>
              <w:right w:val="nil"/>
            </w:tcBorders>
            <w:shd w:val="clear" w:color="auto" w:fill="auto"/>
            <w:noWrap/>
            <w:vAlign w:val="center"/>
            <w:hideMark/>
          </w:tcPr>
          <w:p w14:paraId="7A8C89B5" w14:textId="77777777" w:rsidR="008D7E2B" w:rsidRPr="00FF4346" w:rsidRDefault="008D7E2B" w:rsidP="008D7E2B">
            <w:pPr>
              <w:ind w:firstLineChars="100" w:firstLine="160"/>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Recursos de emissões de títulos e valores mobiliários</w:t>
            </w:r>
          </w:p>
        </w:tc>
        <w:tc>
          <w:tcPr>
            <w:tcW w:w="625" w:type="pct"/>
            <w:tcBorders>
              <w:top w:val="nil"/>
              <w:left w:val="nil"/>
              <w:bottom w:val="single" w:sz="4" w:space="0" w:color="F79646" w:themeColor="accent6"/>
              <w:right w:val="nil"/>
            </w:tcBorders>
            <w:vAlign w:val="center"/>
          </w:tcPr>
          <w:p w14:paraId="7C8BDEE2" w14:textId="61B0FE2A"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204.</w:t>
            </w:r>
            <w:r w:rsidR="008D7E2B" w:rsidRPr="00FF4346">
              <w:rPr>
                <w:rFonts w:ascii="CAIXA Std Book" w:eastAsia="Times New Roman" w:hAnsi="CAIXA Std Book" w:cs="Calibri"/>
                <w:color w:val="005CA9"/>
                <w:sz w:val="16"/>
                <w:szCs w:val="16"/>
              </w:rPr>
              <w:t>121.</w:t>
            </w:r>
            <w:r w:rsidRPr="00FF4346">
              <w:rPr>
                <w:rFonts w:ascii="CAIXA Std Book" w:hAnsi="CAIXA Std Book" w:cs="Calibri"/>
                <w:color w:val="005CA9"/>
                <w:sz w:val="16"/>
                <w:szCs w:val="16"/>
              </w:rPr>
              <w:t>736</w:t>
            </w:r>
          </w:p>
        </w:tc>
        <w:tc>
          <w:tcPr>
            <w:tcW w:w="625" w:type="pct"/>
            <w:tcBorders>
              <w:top w:val="nil"/>
              <w:left w:val="nil"/>
              <w:bottom w:val="single" w:sz="4" w:space="0" w:color="F79646" w:themeColor="accent6"/>
              <w:right w:val="nil"/>
            </w:tcBorders>
            <w:shd w:val="clear" w:color="auto" w:fill="auto"/>
            <w:noWrap/>
            <w:vAlign w:val="center"/>
            <w:hideMark/>
          </w:tcPr>
          <w:p w14:paraId="1CF2874E" w14:textId="2AE66569"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197.018.494</w:t>
            </w:r>
          </w:p>
        </w:tc>
        <w:tc>
          <w:tcPr>
            <w:tcW w:w="555" w:type="pct"/>
            <w:tcBorders>
              <w:top w:val="nil"/>
              <w:left w:val="nil"/>
              <w:bottom w:val="single" w:sz="4" w:space="0" w:color="F79646" w:themeColor="accent6"/>
              <w:right w:val="nil"/>
            </w:tcBorders>
            <w:shd w:val="clear" w:color="auto" w:fill="auto"/>
            <w:noWrap/>
            <w:vAlign w:val="center"/>
            <w:hideMark/>
          </w:tcPr>
          <w:p w14:paraId="1F3D70E9" w14:textId="29BA2294"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c>
          <w:tcPr>
            <w:tcW w:w="625" w:type="pct"/>
            <w:tcBorders>
              <w:top w:val="nil"/>
              <w:left w:val="nil"/>
              <w:bottom w:val="single" w:sz="4" w:space="0" w:color="F79646" w:themeColor="accent6"/>
              <w:right w:val="nil"/>
            </w:tcBorders>
            <w:shd w:val="clear" w:color="auto" w:fill="auto"/>
            <w:noWrap/>
            <w:vAlign w:val="center"/>
            <w:hideMark/>
          </w:tcPr>
          <w:p w14:paraId="13216F9E" w14:textId="7BEF5FA9" w:rsidR="008D7E2B" w:rsidRPr="00FF4346" w:rsidRDefault="004B7707" w:rsidP="008D7E2B">
            <w:pPr>
              <w:jc w:val="right"/>
              <w:rPr>
                <w:rFonts w:ascii="CAIXA Std Book" w:eastAsia="Times New Roman" w:hAnsi="CAIXA Std Book" w:cs="Calibri"/>
                <w:color w:val="005CA9"/>
                <w:sz w:val="16"/>
                <w:szCs w:val="16"/>
              </w:rPr>
            </w:pPr>
            <w:r w:rsidRPr="00FF4346">
              <w:rPr>
                <w:rFonts w:ascii="CAIXA Std Book" w:hAnsi="CAIXA Std Book" w:cs="Calibri"/>
                <w:color w:val="005CA9"/>
                <w:sz w:val="16"/>
                <w:szCs w:val="16"/>
              </w:rPr>
              <w:t>197.018.494</w:t>
            </w:r>
          </w:p>
        </w:tc>
        <w:tc>
          <w:tcPr>
            <w:tcW w:w="555" w:type="pct"/>
            <w:tcBorders>
              <w:top w:val="nil"/>
              <w:left w:val="nil"/>
              <w:bottom w:val="single" w:sz="4" w:space="0" w:color="F79646" w:themeColor="accent6"/>
              <w:right w:val="nil"/>
            </w:tcBorders>
            <w:shd w:val="clear" w:color="auto" w:fill="auto"/>
            <w:noWrap/>
            <w:vAlign w:val="center"/>
            <w:hideMark/>
          </w:tcPr>
          <w:p w14:paraId="04C3B321" w14:textId="312442A9" w:rsidR="008D7E2B" w:rsidRPr="00FF4346" w:rsidRDefault="008D7E2B" w:rsidP="008D7E2B">
            <w:pPr>
              <w:jc w:val="center"/>
              <w:rPr>
                <w:rFonts w:ascii="CAIXA Std Book" w:eastAsia="Times New Roman" w:hAnsi="CAIXA Std Book" w:cs="Calibri"/>
                <w:color w:val="005CA9"/>
                <w:sz w:val="16"/>
                <w:szCs w:val="16"/>
              </w:rPr>
            </w:pPr>
            <w:r w:rsidRPr="00FF4346">
              <w:rPr>
                <w:rFonts w:ascii="CAIXA Std Book" w:eastAsia="Times New Roman" w:hAnsi="CAIXA Std Book" w:cs="Calibri"/>
                <w:color w:val="005CA9"/>
                <w:sz w:val="16"/>
                <w:szCs w:val="16"/>
              </w:rPr>
              <w:t>-</w:t>
            </w:r>
          </w:p>
        </w:tc>
      </w:tr>
    </w:tbl>
    <w:p w14:paraId="05343119" w14:textId="67D64535" w:rsidR="00D02D99" w:rsidRPr="00FF4346" w:rsidRDefault="00D02D99" w:rsidP="005A596E">
      <w:pPr>
        <w:pStyle w:val="Ttulo1"/>
      </w:pPr>
      <w:bookmarkStart w:id="136" w:name="_Toc166594509"/>
      <w:r w:rsidRPr="00FF4346">
        <w:t>Nota 34 – Resultado recorrente e não recorrente</w:t>
      </w:r>
      <w:bookmarkEnd w:id="136"/>
    </w:p>
    <w:p w14:paraId="3E4C397D" w14:textId="7F61E2B6" w:rsidR="00BF5595" w:rsidRPr="00FF4346" w:rsidRDefault="00BF5595" w:rsidP="00BF5595">
      <w:pPr>
        <w:spacing w:before="120" w:after="240"/>
        <w:jc w:val="both"/>
        <w:rPr>
          <w:rFonts w:ascii="CAIXA Std Book" w:hAnsi="CAIXA Std Book"/>
          <w:color w:val="005CA9"/>
          <w:sz w:val="20"/>
          <w:szCs w:val="20"/>
        </w:rPr>
      </w:pPr>
      <w:bookmarkStart w:id="137" w:name="_Hlk65763109"/>
      <w:r w:rsidRPr="00FF4346">
        <w:rPr>
          <w:rFonts w:ascii="CAIXA Std Book" w:hAnsi="CAIXA Std Book"/>
          <w:color w:val="005CA9"/>
          <w:sz w:val="20"/>
          <w:szCs w:val="20"/>
        </w:rPr>
        <w:t>Conforme Resolução BCB n° 2/2020</w:t>
      </w:r>
      <w:r w:rsidR="001D6095" w:rsidRPr="00FF4346">
        <w:rPr>
          <w:rFonts w:ascii="CAIXA Std Book" w:hAnsi="CAIXA Std Book"/>
          <w:color w:val="005CA9"/>
          <w:sz w:val="20"/>
          <w:szCs w:val="20"/>
        </w:rPr>
        <w:t>,</w:t>
      </w:r>
      <w:r w:rsidRPr="00FF4346">
        <w:rPr>
          <w:rFonts w:ascii="CAIXA Std Book" w:hAnsi="CAIXA Std Book"/>
          <w:color w:val="005CA9"/>
          <w:sz w:val="20"/>
          <w:szCs w:val="20"/>
        </w:rPr>
        <w:t xml:space="preserve"> destacamos</w:t>
      </w:r>
      <w:r w:rsidR="00905FFD" w:rsidRPr="00FF4346">
        <w:rPr>
          <w:rFonts w:ascii="CAIXA Std Book" w:hAnsi="CAIXA Std Book"/>
          <w:color w:val="005CA9"/>
          <w:sz w:val="20"/>
          <w:szCs w:val="20"/>
        </w:rPr>
        <w:t>,</w:t>
      </w:r>
      <w:r w:rsidRPr="00FF4346">
        <w:rPr>
          <w:rFonts w:ascii="CAIXA Std Book" w:hAnsi="CAIXA Std Book"/>
          <w:color w:val="005CA9"/>
          <w:sz w:val="20"/>
          <w:szCs w:val="20"/>
        </w:rPr>
        <w:t xml:space="preserve"> a seguir</w:t>
      </w:r>
      <w:r w:rsidR="00905FFD" w:rsidRPr="00FF4346">
        <w:rPr>
          <w:rFonts w:ascii="CAIXA Std Book" w:hAnsi="CAIXA Std Book"/>
          <w:color w:val="005CA9"/>
          <w:sz w:val="20"/>
          <w:szCs w:val="20"/>
        </w:rPr>
        <w:t>,</w:t>
      </w:r>
      <w:r w:rsidRPr="00FF4346">
        <w:rPr>
          <w:rFonts w:ascii="CAIXA Std Book" w:hAnsi="CAIXA Std Book"/>
          <w:color w:val="005CA9"/>
          <w:sz w:val="20"/>
          <w:szCs w:val="20"/>
        </w:rPr>
        <w:t xml:space="preserve"> o resultado recorrente e não recorrente, líquido dos efeitos fiscais:</w:t>
      </w:r>
    </w:p>
    <w:tbl>
      <w:tblPr>
        <w:tblW w:w="4945" w:type="pct"/>
        <w:tblCellMar>
          <w:left w:w="70" w:type="dxa"/>
          <w:right w:w="70" w:type="dxa"/>
        </w:tblCellMar>
        <w:tblLook w:val="04A0" w:firstRow="1" w:lastRow="0" w:firstColumn="1" w:lastColumn="0" w:noHBand="0" w:noVBand="1"/>
      </w:tblPr>
      <w:tblGrid>
        <w:gridCol w:w="3974"/>
        <w:gridCol w:w="1417"/>
        <w:gridCol w:w="1417"/>
        <w:gridCol w:w="1415"/>
        <w:gridCol w:w="1417"/>
      </w:tblGrid>
      <w:tr w:rsidR="005858D4" w:rsidRPr="003A0D7D" w14:paraId="20C0CA4B" w14:textId="77777777" w:rsidTr="00A33766">
        <w:trPr>
          <w:trHeight w:val="283"/>
        </w:trPr>
        <w:tc>
          <w:tcPr>
            <w:tcW w:w="2061" w:type="pct"/>
            <w:vMerge w:val="restart"/>
            <w:tcBorders>
              <w:top w:val="single" w:sz="4" w:space="0" w:color="F79646"/>
              <w:left w:val="nil"/>
              <w:bottom w:val="single" w:sz="4" w:space="0" w:color="F79646"/>
              <w:right w:val="nil"/>
            </w:tcBorders>
            <w:shd w:val="clear" w:color="auto" w:fill="auto"/>
            <w:vAlign w:val="center"/>
            <w:hideMark/>
          </w:tcPr>
          <w:bookmarkEnd w:id="137"/>
          <w:p w14:paraId="243E37C0" w14:textId="77777777" w:rsidR="005858D4" w:rsidRPr="00A33766" w:rsidRDefault="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Evento</w:t>
            </w:r>
          </w:p>
        </w:tc>
        <w:tc>
          <w:tcPr>
            <w:tcW w:w="1470" w:type="pct"/>
            <w:gridSpan w:val="2"/>
            <w:tcBorders>
              <w:top w:val="single" w:sz="4" w:space="0" w:color="F79646"/>
              <w:left w:val="nil"/>
              <w:bottom w:val="nil"/>
              <w:right w:val="nil"/>
            </w:tcBorders>
            <w:shd w:val="clear" w:color="auto" w:fill="auto"/>
            <w:noWrap/>
            <w:vAlign w:val="center"/>
            <w:hideMark/>
          </w:tcPr>
          <w:p w14:paraId="01ED786D" w14:textId="77777777" w:rsidR="005858D4" w:rsidRPr="00A33766" w:rsidRDefault="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INDIVIDUAL</w:t>
            </w:r>
          </w:p>
        </w:tc>
        <w:tc>
          <w:tcPr>
            <w:tcW w:w="1469" w:type="pct"/>
            <w:gridSpan w:val="2"/>
            <w:tcBorders>
              <w:top w:val="single" w:sz="4" w:space="0" w:color="F79646"/>
              <w:left w:val="nil"/>
              <w:bottom w:val="nil"/>
              <w:right w:val="nil"/>
            </w:tcBorders>
            <w:shd w:val="clear" w:color="auto" w:fill="auto"/>
            <w:noWrap/>
            <w:vAlign w:val="center"/>
            <w:hideMark/>
          </w:tcPr>
          <w:p w14:paraId="0E319F81" w14:textId="77777777" w:rsidR="005858D4" w:rsidRPr="00A33766" w:rsidRDefault="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CONSOLIDADO</w:t>
            </w:r>
          </w:p>
        </w:tc>
      </w:tr>
      <w:tr w:rsidR="005858D4" w:rsidRPr="003A0D7D" w14:paraId="13904DDC" w14:textId="77777777" w:rsidTr="00A33766">
        <w:trPr>
          <w:trHeight w:val="283"/>
        </w:trPr>
        <w:tc>
          <w:tcPr>
            <w:tcW w:w="2061" w:type="pct"/>
            <w:vMerge/>
            <w:tcBorders>
              <w:top w:val="single" w:sz="4" w:space="0" w:color="F79646"/>
              <w:left w:val="nil"/>
              <w:bottom w:val="single" w:sz="4" w:space="0" w:color="F79646"/>
              <w:right w:val="nil"/>
            </w:tcBorders>
            <w:vAlign w:val="center"/>
            <w:hideMark/>
          </w:tcPr>
          <w:p w14:paraId="1F1D7318" w14:textId="77777777" w:rsidR="005858D4" w:rsidRPr="00A33766" w:rsidRDefault="005858D4" w:rsidP="005858D4">
            <w:pPr>
              <w:rPr>
                <w:rFonts w:ascii="CAIXA Std Book" w:hAnsi="CAIXA Std Book" w:cs="Arial"/>
                <w:b/>
                <w:color w:val="005CA9"/>
                <w:sz w:val="18"/>
                <w:szCs w:val="18"/>
              </w:rPr>
            </w:pPr>
          </w:p>
        </w:tc>
        <w:tc>
          <w:tcPr>
            <w:tcW w:w="735" w:type="pct"/>
            <w:tcBorders>
              <w:top w:val="single" w:sz="4" w:space="0" w:color="F79646"/>
              <w:left w:val="nil"/>
              <w:bottom w:val="single" w:sz="4" w:space="0" w:color="F79646"/>
              <w:right w:val="nil"/>
            </w:tcBorders>
            <w:shd w:val="clear" w:color="auto" w:fill="auto"/>
            <w:vAlign w:val="center"/>
            <w:hideMark/>
          </w:tcPr>
          <w:p w14:paraId="47D51D03" w14:textId="2B09B872" w:rsidR="005858D4" w:rsidRPr="00A33766" w:rsidRDefault="005858D4" w:rsidP="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2024</w:t>
            </w:r>
          </w:p>
        </w:tc>
        <w:tc>
          <w:tcPr>
            <w:tcW w:w="735" w:type="pct"/>
            <w:tcBorders>
              <w:top w:val="single" w:sz="4" w:space="0" w:color="F79646"/>
              <w:left w:val="nil"/>
              <w:bottom w:val="single" w:sz="4" w:space="0" w:color="F79646"/>
              <w:right w:val="nil"/>
            </w:tcBorders>
            <w:shd w:val="clear" w:color="auto" w:fill="auto"/>
            <w:vAlign w:val="center"/>
            <w:hideMark/>
          </w:tcPr>
          <w:p w14:paraId="55C6C5E5" w14:textId="7DE5BCE8" w:rsidR="005858D4" w:rsidRPr="00A33766" w:rsidRDefault="005858D4" w:rsidP="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2023</w:t>
            </w:r>
          </w:p>
        </w:tc>
        <w:tc>
          <w:tcPr>
            <w:tcW w:w="734" w:type="pct"/>
            <w:tcBorders>
              <w:top w:val="single" w:sz="4" w:space="0" w:color="F79646"/>
              <w:left w:val="nil"/>
              <w:bottom w:val="single" w:sz="4" w:space="0" w:color="F79646"/>
              <w:right w:val="nil"/>
            </w:tcBorders>
            <w:shd w:val="clear" w:color="auto" w:fill="auto"/>
            <w:vAlign w:val="center"/>
            <w:hideMark/>
          </w:tcPr>
          <w:p w14:paraId="45A2B8CF" w14:textId="223DE494" w:rsidR="005858D4" w:rsidRPr="00A33766" w:rsidRDefault="005858D4" w:rsidP="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2024</w:t>
            </w:r>
          </w:p>
        </w:tc>
        <w:tc>
          <w:tcPr>
            <w:tcW w:w="735" w:type="pct"/>
            <w:tcBorders>
              <w:top w:val="single" w:sz="4" w:space="0" w:color="F79646"/>
              <w:left w:val="nil"/>
              <w:bottom w:val="single" w:sz="4" w:space="0" w:color="F79646"/>
              <w:right w:val="nil"/>
            </w:tcBorders>
            <w:shd w:val="clear" w:color="auto" w:fill="auto"/>
            <w:vAlign w:val="center"/>
            <w:hideMark/>
          </w:tcPr>
          <w:p w14:paraId="0E98B624" w14:textId="115A2882" w:rsidR="005858D4" w:rsidRPr="00A33766" w:rsidRDefault="005858D4" w:rsidP="005858D4">
            <w:pPr>
              <w:jc w:val="center"/>
              <w:rPr>
                <w:rFonts w:ascii="CAIXA Std Book" w:hAnsi="CAIXA Std Book" w:cs="Arial"/>
                <w:b/>
                <w:color w:val="005CA9"/>
                <w:sz w:val="18"/>
                <w:szCs w:val="18"/>
              </w:rPr>
            </w:pPr>
            <w:r w:rsidRPr="00A33766">
              <w:rPr>
                <w:rFonts w:ascii="CAIXA Std Book" w:hAnsi="CAIXA Std Book" w:cs="Arial"/>
                <w:b/>
                <w:color w:val="005CA9"/>
                <w:sz w:val="18"/>
                <w:szCs w:val="18"/>
              </w:rPr>
              <w:t>2023</w:t>
            </w:r>
          </w:p>
        </w:tc>
      </w:tr>
      <w:tr w:rsidR="005858D4" w:rsidRPr="003A0D7D" w14:paraId="47372C26" w14:textId="77777777" w:rsidTr="00A33766">
        <w:trPr>
          <w:trHeight w:val="283"/>
        </w:trPr>
        <w:tc>
          <w:tcPr>
            <w:tcW w:w="2061" w:type="pct"/>
            <w:vMerge/>
            <w:tcBorders>
              <w:top w:val="single" w:sz="4" w:space="0" w:color="F79646"/>
              <w:left w:val="nil"/>
              <w:bottom w:val="single" w:sz="4" w:space="0" w:color="F79646"/>
              <w:right w:val="nil"/>
            </w:tcBorders>
            <w:vAlign w:val="center"/>
            <w:hideMark/>
          </w:tcPr>
          <w:p w14:paraId="2207AF0A" w14:textId="77777777" w:rsidR="005858D4" w:rsidRPr="00A33766" w:rsidRDefault="005858D4" w:rsidP="005858D4">
            <w:pPr>
              <w:rPr>
                <w:rFonts w:ascii="CAIXA Std Book" w:hAnsi="CAIXA Std Book" w:cs="Arial"/>
                <w:b/>
                <w:color w:val="005CA9"/>
                <w:sz w:val="18"/>
                <w:szCs w:val="18"/>
              </w:rPr>
            </w:pPr>
          </w:p>
        </w:tc>
        <w:tc>
          <w:tcPr>
            <w:tcW w:w="735" w:type="pct"/>
            <w:tcBorders>
              <w:top w:val="nil"/>
              <w:left w:val="nil"/>
              <w:bottom w:val="single" w:sz="4" w:space="0" w:color="F79646"/>
              <w:right w:val="nil"/>
            </w:tcBorders>
            <w:shd w:val="clear" w:color="auto" w:fill="auto"/>
            <w:vAlign w:val="center"/>
            <w:hideMark/>
          </w:tcPr>
          <w:p w14:paraId="1BD2DC5D" w14:textId="77777777" w:rsidR="005858D4" w:rsidRPr="00A33766" w:rsidRDefault="005858D4" w:rsidP="005858D4">
            <w:pPr>
              <w:ind w:firstLineChars="100" w:firstLine="177"/>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735" w:type="pct"/>
            <w:tcBorders>
              <w:top w:val="nil"/>
              <w:left w:val="nil"/>
              <w:bottom w:val="single" w:sz="4" w:space="0" w:color="F79646"/>
              <w:right w:val="nil"/>
            </w:tcBorders>
            <w:shd w:val="clear" w:color="auto" w:fill="auto"/>
            <w:vAlign w:val="center"/>
            <w:hideMark/>
          </w:tcPr>
          <w:p w14:paraId="035CAB70" w14:textId="4DE61DF6" w:rsidR="005858D4" w:rsidRPr="00A33766" w:rsidRDefault="005858D4" w:rsidP="005858D4">
            <w:pPr>
              <w:ind w:firstLineChars="100" w:firstLine="177"/>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734" w:type="pct"/>
            <w:tcBorders>
              <w:top w:val="nil"/>
              <w:left w:val="nil"/>
              <w:bottom w:val="single" w:sz="4" w:space="0" w:color="F79646"/>
              <w:right w:val="nil"/>
            </w:tcBorders>
            <w:shd w:val="clear" w:color="auto" w:fill="auto"/>
            <w:vAlign w:val="center"/>
            <w:hideMark/>
          </w:tcPr>
          <w:p w14:paraId="15299E63" w14:textId="77777777" w:rsidR="005858D4" w:rsidRPr="00A33766" w:rsidRDefault="005858D4" w:rsidP="005858D4">
            <w:pPr>
              <w:ind w:firstLineChars="100" w:firstLine="177"/>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c>
          <w:tcPr>
            <w:tcW w:w="735" w:type="pct"/>
            <w:tcBorders>
              <w:top w:val="nil"/>
              <w:left w:val="nil"/>
              <w:bottom w:val="single" w:sz="4" w:space="0" w:color="F79646"/>
              <w:right w:val="nil"/>
            </w:tcBorders>
            <w:shd w:val="clear" w:color="auto" w:fill="auto"/>
            <w:vAlign w:val="center"/>
            <w:hideMark/>
          </w:tcPr>
          <w:p w14:paraId="78AE065E" w14:textId="44120828" w:rsidR="005858D4" w:rsidRPr="00A33766" w:rsidRDefault="005858D4" w:rsidP="005858D4">
            <w:pPr>
              <w:ind w:firstLineChars="100" w:firstLine="177"/>
              <w:jc w:val="center"/>
              <w:rPr>
                <w:rFonts w:ascii="CAIXA Std Book" w:hAnsi="CAIXA Std Book" w:cs="Arial"/>
                <w:b/>
                <w:color w:val="005CA9"/>
                <w:sz w:val="18"/>
                <w:szCs w:val="18"/>
              </w:rPr>
            </w:pPr>
            <w:r w:rsidRPr="00A33766">
              <w:rPr>
                <w:rFonts w:ascii="CAIXA Std Book" w:hAnsi="CAIXA Std Book" w:cs="Arial"/>
                <w:b/>
                <w:color w:val="005CA9"/>
                <w:sz w:val="18"/>
                <w:szCs w:val="18"/>
              </w:rPr>
              <w:t>1º trimestre</w:t>
            </w:r>
          </w:p>
        </w:tc>
      </w:tr>
      <w:tr w:rsidR="005858D4" w:rsidRPr="003A0D7D" w14:paraId="77556324" w14:textId="77777777" w:rsidTr="00A33766">
        <w:trPr>
          <w:trHeight w:val="283"/>
        </w:trPr>
        <w:tc>
          <w:tcPr>
            <w:tcW w:w="2061" w:type="pct"/>
            <w:tcBorders>
              <w:top w:val="nil"/>
              <w:left w:val="nil"/>
              <w:bottom w:val="single" w:sz="4" w:space="0" w:color="F79646"/>
              <w:right w:val="nil"/>
            </w:tcBorders>
            <w:shd w:val="clear" w:color="auto" w:fill="auto"/>
            <w:vAlign w:val="center"/>
            <w:hideMark/>
          </w:tcPr>
          <w:p w14:paraId="2AA58C24" w14:textId="77777777" w:rsidR="005858D4" w:rsidRPr="00A33766" w:rsidRDefault="005858D4" w:rsidP="005858D4">
            <w:pPr>
              <w:rPr>
                <w:rFonts w:ascii="CAIXA Std Book" w:hAnsi="CAIXA Std Book" w:cs="Arial"/>
                <w:b/>
                <w:color w:val="005CA9"/>
                <w:sz w:val="18"/>
                <w:szCs w:val="18"/>
              </w:rPr>
            </w:pPr>
            <w:r w:rsidRPr="00A33766">
              <w:rPr>
                <w:rFonts w:ascii="CAIXA Std Book" w:hAnsi="CAIXA Std Book" w:cs="Arial"/>
                <w:b/>
                <w:color w:val="005CA9"/>
                <w:sz w:val="18"/>
                <w:szCs w:val="18"/>
              </w:rPr>
              <w:t>Lucro Líquido Contábil (a)</w:t>
            </w:r>
          </w:p>
        </w:tc>
        <w:tc>
          <w:tcPr>
            <w:tcW w:w="735" w:type="pct"/>
            <w:tcBorders>
              <w:top w:val="nil"/>
              <w:left w:val="nil"/>
              <w:bottom w:val="single" w:sz="4" w:space="0" w:color="F79646"/>
              <w:right w:val="nil"/>
            </w:tcBorders>
            <w:shd w:val="clear" w:color="auto" w:fill="auto"/>
            <w:vAlign w:val="center"/>
          </w:tcPr>
          <w:p w14:paraId="2BFE0EDB" w14:textId="1ABB3F1A" w:rsidR="005858D4" w:rsidRPr="00A33766" w:rsidRDefault="003A0D7D" w:rsidP="005858D4">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2.272.516</w:t>
            </w:r>
          </w:p>
        </w:tc>
        <w:tc>
          <w:tcPr>
            <w:tcW w:w="735" w:type="pct"/>
            <w:tcBorders>
              <w:top w:val="nil"/>
              <w:left w:val="nil"/>
              <w:bottom w:val="single" w:sz="4" w:space="0" w:color="F79646"/>
              <w:right w:val="nil"/>
            </w:tcBorders>
            <w:shd w:val="clear" w:color="auto" w:fill="auto"/>
            <w:vAlign w:val="center"/>
            <w:hideMark/>
          </w:tcPr>
          <w:p w14:paraId="4C8CAFDD" w14:textId="25375CEA" w:rsidR="005858D4" w:rsidRPr="00A33766" w:rsidRDefault="005858D4" w:rsidP="005858D4">
            <w:pPr>
              <w:jc w:val="right"/>
              <w:rPr>
                <w:rFonts w:ascii="CAIXA Std Book" w:hAnsi="CAIXA Std Book" w:cs="Cambria Math"/>
                <w:b/>
                <w:color w:val="005CA9"/>
                <w:sz w:val="18"/>
                <w:szCs w:val="18"/>
              </w:rPr>
            </w:pPr>
            <w:r w:rsidRPr="003A0D7D">
              <w:rPr>
                <w:rFonts w:ascii="CAIXA Std Book" w:hAnsi="CAIXA Std Book" w:cs="Arial"/>
                <w:b/>
                <w:color w:val="005CA9"/>
                <w:sz w:val="18"/>
                <w:szCs w:val="18"/>
              </w:rPr>
              <w:t>1.839.232</w:t>
            </w:r>
          </w:p>
        </w:tc>
        <w:tc>
          <w:tcPr>
            <w:tcW w:w="734" w:type="pct"/>
            <w:tcBorders>
              <w:top w:val="nil"/>
              <w:left w:val="nil"/>
              <w:bottom w:val="single" w:sz="4" w:space="0" w:color="F79646"/>
              <w:right w:val="nil"/>
            </w:tcBorders>
            <w:shd w:val="clear" w:color="auto" w:fill="auto"/>
            <w:vAlign w:val="center"/>
          </w:tcPr>
          <w:p w14:paraId="4C4395FD" w14:textId="57F436DA" w:rsidR="005858D4" w:rsidRPr="00A33766" w:rsidRDefault="003A0D7D" w:rsidP="005858D4">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2.461.574</w:t>
            </w:r>
          </w:p>
        </w:tc>
        <w:tc>
          <w:tcPr>
            <w:tcW w:w="735" w:type="pct"/>
            <w:tcBorders>
              <w:top w:val="nil"/>
              <w:left w:val="nil"/>
              <w:bottom w:val="single" w:sz="4" w:space="0" w:color="F79646"/>
              <w:right w:val="nil"/>
            </w:tcBorders>
            <w:shd w:val="clear" w:color="auto" w:fill="auto"/>
            <w:vAlign w:val="center"/>
            <w:hideMark/>
          </w:tcPr>
          <w:p w14:paraId="57DDE98B" w14:textId="623F52F0" w:rsidR="005858D4" w:rsidRPr="00A33766" w:rsidRDefault="005858D4" w:rsidP="005858D4">
            <w:pPr>
              <w:jc w:val="right"/>
              <w:rPr>
                <w:rFonts w:ascii="CAIXA Std Book" w:hAnsi="CAIXA Std Book" w:cs="Cambria Math"/>
                <w:b/>
                <w:color w:val="005CA9"/>
                <w:sz w:val="18"/>
                <w:szCs w:val="18"/>
              </w:rPr>
            </w:pPr>
            <w:r w:rsidRPr="003A0D7D">
              <w:rPr>
                <w:rFonts w:ascii="CAIXA Std Book" w:hAnsi="CAIXA Std Book" w:cs="Arial"/>
                <w:b/>
                <w:color w:val="005CA9"/>
                <w:sz w:val="18"/>
                <w:szCs w:val="18"/>
              </w:rPr>
              <w:t>1.934.360</w:t>
            </w:r>
          </w:p>
        </w:tc>
      </w:tr>
      <w:tr w:rsidR="005858D4" w:rsidRPr="00F94B09" w14:paraId="734743C0" w14:textId="77777777" w:rsidTr="00A33766">
        <w:trPr>
          <w:trHeight w:val="283"/>
        </w:trPr>
        <w:tc>
          <w:tcPr>
            <w:tcW w:w="2061" w:type="pct"/>
            <w:tcBorders>
              <w:top w:val="nil"/>
              <w:left w:val="nil"/>
              <w:bottom w:val="nil"/>
              <w:right w:val="nil"/>
            </w:tcBorders>
            <w:shd w:val="clear" w:color="auto" w:fill="auto"/>
            <w:vAlign w:val="center"/>
            <w:hideMark/>
          </w:tcPr>
          <w:p w14:paraId="21C960A1" w14:textId="77777777" w:rsidR="005858D4" w:rsidRPr="00F94B09" w:rsidRDefault="005858D4" w:rsidP="005858D4">
            <w:pPr>
              <w:rPr>
                <w:rFonts w:ascii="CAIXA Std Book" w:hAnsi="CAIXA Std Book" w:cs="Arial"/>
                <w:b/>
                <w:bCs/>
                <w:color w:val="005CA9"/>
                <w:sz w:val="18"/>
                <w:szCs w:val="18"/>
              </w:rPr>
            </w:pPr>
            <w:r w:rsidRPr="00F94B09">
              <w:rPr>
                <w:rFonts w:ascii="CAIXA Std Book" w:hAnsi="CAIXA Std Book" w:cs="Arial"/>
                <w:b/>
                <w:bCs/>
                <w:color w:val="005CA9"/>
                <w:sz w:val="18"/>
                <w:szCs w:val="18"/>
              </w:rPr>
              <w:t>Eventos Não Recorrentes (b)</w:t>
            </w:r>
          </w:p>
        </w:tc>
        <w:tc>
          <w:tcPr>
            <w:tcW w:w="735" w:type="pct"/>
            <w:tcBorders>
              <w:top w:val="nil"/>
              <w:left w:val="nil"/>
              <w:bottom w:val="nil"/>
              <w:right w:val="nil"/>
            </w:tcBorders>
            <w:shd w:val="clear" w:color="auto" w:fill="auto"/>
            <w:vAlign w:val="center"/>
          </w:tcPr>
          <w:p w14:paraId="458CC067" w14:textId="325DAF42" w:rsidR="005858D4" w:rsidRPr="00F94B09" w:rsidRDefault="003A0D7D" w:rsidP="003A0D7D">
            <w:pPr>
              <w:jc w:val="right"/>
              <w:rPr>
                <w:rFonts w:ascii="CAIXA Std Book" w:hAnsi="CAIXA Std Book" w:cs="Cambria Math"/>
                <w:b/>
                <w:bCs/>
                <w:color w:val="005CA9"/>
                <w:sz w:val="18"/>
                <w:szCs w:val="18"/>
              </w:rPr>
            </w:pPr>
            <w:r w:rsidRPr="00F94B09">
              <w:rPr>
                <w:rFonts w:ascii="CAIXA Std Book" w:hAnsi="CAIXA Std Book" w:cs="Arial"/>
                <w:b/>
                <w:bCs/>
                <w:color w:val="005CA9"/>
                <w:sz w:val="18"/>
                <w:szCs w:val="18"/>
              </w:rPr>
              <w:t>(875.134)</w:t>
            </w:r>
          </w:p>
        </w:tc>
        <w:tc>
          <w:tcPr>
            <w:tcW w:w="735" w:type="pct"/>
            <w:tcBorders>
              <w:top w:val="nil"/>
              <w:left w:val="nil"/>
              <w:bottom w:val="nil"/>
              <w:right w:val="nil"/>
            </w:tcBorders>
            <w:shd w:val="clear" w:color="auto" w:fill="auto"/>
            <w:vAlign w:val="center"/>
            <w:hideMark/>
          </w:tcPr>
          <w:p w14:paraId="43BE06EF" w14:textId="18441EDA" w:rsidR="005858D4" w:rsidRPr="00F94B09" w:rsidRDefault="005858D4" w:rsidP="005858D4">
            <w:pPr>
              <w:jc w:val="center"/>
              <w:rPr>
                <w:rFonts w:ascii="CAIXA Std Book" w:hAnsi="CAIXA Std Book" w:cs="Cambria Math"/>
                <w:b/>
                <w:bCs/>
                <w:color w:val="005CA9"/>
                <w:sz w:val="18"/>
                <w:szCs w:val="18"/>
              </w:rPr>
            </w:pPr>
            <w:r w:rsidRPr="00F94B09">
              <w:rPr>
                <w:rFonts w:ascii="CAIXA Std Book" w:hAnsi="CAIXA Std Book" w:cs="Arial"/>
                <w:b/>
                <w:bCs/>
                <w:color w:val="005CA9"/>
                <w:sz w:val="18"/>
                <w:szCs w:val="18"/>
              </w:rPr>
              <w:t>-</w:t>
            </w:r>
          </w:p>
        </w:tc>
        <w:tc>
          <w:tcPr>
            <w:tcW w:w="734" w:type="pct"/>
            <w:tcBorders>
              <w:top w:val="nil"/>
              <w:left w:val="nil"/>
              <w:bottom w:val="nil"/>
              <w:right w:val="nil"/>
            </w:tcBorders>
            <w:shd w:val="clear" w:color="auto" w:fill="auto"/>
            <w:vAlign w:val="center"/>
          </w:tcPr>
          <w:p w14:paraId="6C1CDEA8" w14:textId="0860517D" w:rsidR="005858D4" w:rsidRPr="00F94B09" w:rsidRDefault="003A0D7D" w:rsidP="003A0D7D">
            <w:pPr>
              <w:jc w:val="right"/>
              <w:rPr>
                <w:rFonts w:ascii="CAIXA Std Book" w:hAnsi="CAIXA Std Book" w:cs="Cambria Math"/>
                <w:b/>
                <w:bCs/>
                <w:color w:val="005CA9"/>
                <w:sz w:val="18"/>
                <w:szCs w:val="18"/>
              </w:rPr>
            </w:pPr>
            <w:r w:rsidRPr="00F94B09">
              <w:rPr>
                <w:rFonts w:ascii="CAIXA Std Book" w:hAnsi="CAIXA Std Book" w:cs="Arial"/>
                <w:b/>
                <w:bCs/>
                <w:color w:val="005CA9"/>
                <w:sz w:val="18"/>
                <w:szCs w:val="18"/>
              </w:rPr>
              <w:t>(875.134)</w:t>
            </w:r>
          </w:p>
        </w:tc>
        <w:tc>
          <w:tcPr>
            <w:tcW w:w="735" w:type="pct"/>
            <w:tcBorders>
              <w:top w:val="nil"/>
              <w:left w:val="nil"/>
              <w:bottom w:val="nil"/>
              <w:right w:val="nil"/>
            </w:tcBorders>
            <w:shd w:val="clear" w:color="auto" w:fill="auto"/>
            <w:vAlign w:val="center"/>
            <w:hideMark/>
          </w:tcPr>
          <w:p w14:paraId="2A96B916" w14:textId="3D7A2F39" w:rsidR="005858D4" w:rsidRPr="00F94B09" w:rsidRDefault="005858D4" w:rsidP="005858D4">
            <w:pPr>
              <w:jc w:val="center"/>
              <w:rPr>
                <w:rFonts w:ascii="CAIXA Std Book" w:hAnsi="CAIXA Std Book" w:cs="Cambria Math"/>
                <w:b/>
                <w:bCs/>
                <w:color w:val="005CA9"/>
                <w:sz w:val="18"/>
                <w:szCs w:val="18"/>
              </w:rPr>
            </w:pPr>
            <w:r w:rsidRPr="00F94B09">
              <w:rPr>
                <w:rFonts w:ascii="CAIXA Std Book" w:hAnsi="CAIXA Std Book" w:cs="Arial"/>
                <w:b/>
                <w:bCs/>
                <w:color w:val="005CA9"/>
                <w:sz w:val="18"/>
                <w:szCs w:val="18"/>
              </w:rPr>
              <w:t>-</w:t>
            </w:r>
          </w:p>
        </w:tc>
      </w:tr>
      <w:tr w:rsidR="00552DB8" w:rsidRPr="003A0D7D" w14:paraId="70879987" w14:textId="77777777" w:rsidTr="00A33766">
        <w:trPr>
          <w:trHeight w:val="283"/>
        </w:trPr>
        <w:tc>
          <w:tcPr>
            <w:tcW w:w="2061" w:type="pct"/>
            <w:tcBorders>
              <w:top w:val="nil"/>
              <w:left w:val="nil"/>
              <w:bottom w:val="nil"/>
              <w:right w:val="nil"/>
            </w:tcBorders>
            <w:shd w:val="clear" w:color="auto" w:fill="auto"/>
            <w:vAlign w:val="center"/>
          </w:tcPr>
          <w:p w14:paraId="245A6816" w14:textId="5F805FBB" w:rsidR="00552DB8" w:rsidRPr="00A33766" w:rsidRDefault="00C828BA" w:rsidP="005858D4">
            <w:pPr>
              <w:rPr>
                <w:rFonts w:ascii="CAIXA Std Book" w:hAnsi="CAIXA Std Book" w:cs="Arial"/>
                <w:color w:val="005CA9"/>
                <w:sz w:val="18"/>
                <w:szCs w:val="18"/>
              </w:rPr>
            </w:pPr>
            <w:r>
              <w:rPr>
                <w:rFonts w:ascii="CAIXA Std Book" w:hAnsi="CAIXA Std Book" w:cs="Arial"/>
                <w:color w:val="005CA9"/>
                <w:sz w:val="18"/>
                <w:szCs w:val="18"/>
              </w:rPr>
              <w:t xml:space="preserve">   PDV 2024 (1)</w:t>
            </w:r>
          </w:p>
        </w:tc>
        <w:tc>
          <w:tcPr>
            <w:tcW w:w="735" w:type="pct"/>
            <w:tcBorders>
              <w:top w:val="nil"/>
              <w:left w:val="nil"/>
              <w:bottom w:val="nil"/>
              <w:right w:val="nil"/>
            </w:tcBorders>
            <w:shd w:val="clear" w:color="auto" w:fill="auto"/>
            <w:vAlign w:val="center"/>
          </w:tcPr>
          <w:p w14:paraId="3B57DEFF" w14:textId="137285A3" w:rsidR="00552DB8" w:rsidRPr="00A33766" w:rsidRDefault="003A0D7D" w:rsidP="003A0D7D">
            <w:pPr>
              <w:jc w:val="right"/>
              <w:rPr>
                <w:rFonts w:ascii="CAIXA Std Book" w:hAnsi="CAIXA Std Book" w:cs="Cambria Math"/>
                <w:color w:val="005CA9"/>
                <w:sz w:val="18"/>
                <w:szCs w:val="18"/>
              </w:rPr>
            </w:pPr>
            <w:r w:rsidRPr="003A0D7D">
              <w:rPr>
                <w:rFonts w:ascii="CAIXA Std Book" w:hAnsi="CAIXA Std Book" w:cs="Arial"/>
                <w:color w:val="005CA9"/>
                <w:sz w:val="18"/>
                <w:szCs w:val="18"/>
              </w:rPr>
              <w:t>(875.134)</w:t>
            </w:r>
          </w:p>
        </w:tc>
        <w:tc>
          <w:tcPr>
            <w:tcW w:w="735" w:type="pct"/>
            <w:tcBorders>
              <w:top w:val="nil"/>
              <w:left w:val="nil"/>
              <w:bottom w:val="nil"/>
              <w:right w:val="nil"/>
            </w:tcBorders>
            <w:shd w:val="clear" w:color="auto" w:fill="auto"/>
            <w:vAlign w:val="center"/>
          </w:tcPr>
          <w:p w14:paraId="3512AFA9" w14:textId="2B7D6F38" w:rsidR="00552DB8" w:rsidRPr="00A33766" w:rsidRDefault="003A0D7D" w:rsidP="005858D4">
            <w:pPr>
              <w:jc w:val="center"/>
              <w:rPr>
                <w:rFonts w:ascii="CAIXA Std Book" w:hAnsi="CAIXA Std Book" w:cs="Cambria Math"/>
                <w:color w:val="005CA9"/>
                <w:sz w:val="18"/>
                <w:szCs w:val="18"/>
              </w:rPr>
            </w:pPr>
            <w:r w:rsidRPr="003A0D7D">
              <w:rPr>
                <w:rFonts w:ascii="CAIXA Std Book" w:hAnsi="CAIXA Std Book" w:cs="Arial"/>
                <w:color w:val="005CA9"/>
                <w:sz w:val="18"/>
                <w:szCs w:val="18"/>
              </w:rPr>
              <w:t>-</w:t>
            </w:r>
          </w:p>
        </w:tc>
        <w:tc>
          <w:tcPr>
            <w:tcW w:w="734" w:type="pct"/>
            <w:tcBorders>
              <w:top w:val="nil"/>
              <w:left w:val="nil"/>
              <w:bottom w:val="nil"/>
              <w:right w:val="nil"/>
            </w:tcBorders>
            <w:shd w:val="clear" w:color="auto" w:fill="auto"/>
            <w:vAlign w:val="center"/>
          </w:tcPr>
          <w:p w14:paraId="28E9A3C3" w14:textId="0620893F" w:rsidR="00552DB8" w:rsidRPr="00A33766" w:rsidRDefault="003A0D7D" w:rsidP="003A0D7D">
            <w:pPr>
              <w:jc w:val="right"/>
              <w:rPr>
                <w:rFonts w:ascii="CAIXA Std Book" w:hAnsi="CAIXA Std Book" w:cs="Cambria Math"/>
                <w:color w:val="005CA9"/>
                <w:sz w:val="18"/>
                <w:szCs w:val="18"/>
              </w:rPr>
            </w:pPr>
            <w:r w:rsidRPr="003A0D7D">
              <w:rPr>
                <w:rFonts w:ascii="CAIXA Std Book" w:hAnsi="CAIXA Std Book" w:cs="Arial"/>
                <w:color w:val="005CA9"/>
                <w:sz w:val="18"/>
                <w:szCs w:val="18"/>
              </w:rPr>
              <w:t>(875.134)</w:t>
            </w:r>
          </w:p>
        </w:tc>
        <w:tc>
          <w:tcPr>
            <w:tcW w:w="735" w:type="pct"/>
            <w:tcBorders>
              <w:top w:val="nil"/>
              <w:left w:val="nil"/>
              <w:bottom w:val="nil"/>
              <w:right w:val="nil"/>
            </w:tcBorders>
            <w:shd w:val="clear" w:color="auto" w:fill="auto"/>
            <w:vAlign w:val="center"/>
          </w:tcPr>
          <w:p w14:paraId="263C409D" w14:textId="78DF7D5C" w:rsidR="00552DB8" w:rsidRPr="00A33766" w:rsidRDefault="003A0D7D" w:rsidP="005858D4">
            <w:pPr>
              <w:jc w:val="center"/>
              <w:rPr>
                <w:rFonts w:ascii="CAIXA Std Book" w:hAnsi="CAIXA Std Book" w:cs="Cambria Math"/>
                <w:color w:val="005CA9"/>
                <w:sz w:val="18"/>
                <w:szCs w:val="18"/>
              </w:rPr>
            </w:pPr>
            <w:r>
              <w:rPr>
                <w:rFonts w:ascii="CAIXA Std Book" w:hAnsi="CAIXA Std Book" w:cs="Cambria Math"/>
                <w:color w:val="005CA9"/>
                <w:sz w:val="18"/>
                <w:szCs w:val="18"/>
              </w:rPr>
              <w:t>-</w:t>
            </w:r>
          </w:p>
        </w:tc>
      </w:tr>
      <w:tr w:rsidR="005858D4" w:rsidRPr="00F94B09" w14:paraId="4C8B7636" w14:textId="77777777" w:rsidTr="00A33766">
        <w:trPr>
          <w:trHeight w:val="283"/>
        </w:trPr>
        <w:tc>
          <w:tcPr>
            <w:tcW w:w="2061" w:type="pct"/>
            <w:tcBorders>
              <w:top w:val="nil"/>
              <w:left w:val="nil"/>
              <w:bottom w:val="nil"/>
              <w:right w:val="nil"/>
            </w:tcBorders>
            <w:shd w:val="clear" w:color="auto" w:fill="auto"/>
            <w:vAlign w:val="center"/>
            <w:hideMark/>
          </w:tcPr>
          <w:p w14:paraId="0FFF16E3" w14:textId="3ED77C5D" w:rsidR="005858D4" w:rsidRPr="00F94B09" w:rsidRDefault="005858D4" w:rsidP="005858D4">
            <w:pPr>
              <w:rPr>
                <w:rFonts w:ascii="CAIXA Std Book" w:hAnsi="CAIXA Std Book" w:cs="Arial"/>
                <w:b/>
                <w:bCs/>
                <w:color w:val="005CA9"/>
                <w:sz w:val="18"/>
                <w:szCs w:val="18"/>
              </w:rPr>
            </w:pPr>
            <w:r w:rsidRPr="00F94B09">
              <w:rPr>
                <w:rFonts w:ascii="CAIXA Std Book" w:hAnsi="CAIXA Std Book" w:cs="Arial"/>
                <w:b/>
                <w:bCs/>
                <w:color w:val="005CA9"/>
                <w:sz w:val="18"/>
                <w:szCs w:val="18"/>
              </w:rPr>
              <w:t>Despesas Impactadas pelos Eventos (c)</w:t>
            </w:r>
            <w:r w:rsidR="00C828BA" w:rsidRPr="00F94B09">
              <w:rPr>
                <w:rFonts w:ascii="CAIXA Std Book" w:hAnsi="CAIXA Std Book" w:cs="Arial"/>
                <w:b/>
                <w:bCs/>
                <w:color w:val="005CA9"/>
                <w:sz w:val="18"/>
                <w:szCs w:val="18"/>
              </w:rPr>
              <w:t xml:space="preserve"> (2)</w:t>
            </w:r>
          </w:p>
        </w:tc>
        <w:tc>
          <w:tcPr>
            <w:tcW w:w="735" w:type="pct"/>
            <w:tcBorders>
              <w:top w:val="nil"/>
              <w:left w:val="nil"/>
              <w:bottom w:val="nil"/>
              <w:right w:val="nil"/>
            </w:tcBorders>
            <w:shd w:val="clear" w:color="auto" w:fill="auto"/>
            <w:vAlign w:val="center"/>
          </w:tcPr>
          <w:p w14:paraId="481DB8F0" w14:textId="293DD775" w:rsidR="005858D4" w:rsidRPr="00F94B09" w:rsidRDefault="003A0D7D" w:rsidP="003A0D7D">
            <w:pPr>
              <w:jc w:val="right"/>
              <w:rPr>
                <w:rFonts w:ascii="CAIXA Std Book" w:hAnsi="CAIXA Std Book" w:cs="Cambria Math"/>
                <w:b/>
                <w:bCs/>
                <w:color w:val="005CA9"/>
                <w:sz w:val="18"/>
                <w:szCs w:val="18"/>
              </w:rPr>
            </w:pPr>
            <w:r w:rsidRPr="00F94B09">
              <w:rPr>
                <w:rFonts w:ascii="CAIXA Std Book" w:hAnsi="CAIXA Std Book" w:cs="Arial"/>
                <w:b/>
                <w:bCs/>
                <w:color w:val="005CA9"/>
                <w:sz w:val="18"/>
                <w:szCs w:val="18"/>
              </w:rPr>
              <w:t>457.960</w:t>
            </w:r>
          </w:p>
        </w:tc>
        <w:tc>
          <w:tcPr>
            <w:tcW w:w="735" w:type="pct"/>
            <w:tcBorders>
              <w:top w:val="nil"/>
              <w:left w:val="nil"/>
              <w:bottom w:val="nil"/>
              <w:right w:val="nil"/>
            </w:tcBorders>
            <w:shd w:val="clear" w:color="auto" w:fill="auto"/>
            <w:vAlign w:val="center"/>
            <w:hideMark/>
          </w:tcPr>
          <w:p w14:paraId="374CAB0D" w14:textId="66609406" w:rsidR="005858D4" w:rsidRPr="00F94B09" w:rsidRDefault="005858D4" w:rsidP="005858D4">
            <w:pPr>
              <w:jc w:val="center"/>
              <w:rPr>
                <w:rFonts w:ascii="CAIXA Std Book" w:hAnsi="CAIXA Std Book" w:cs="Cambria Math"/>
                <w:b/>
                <w:bCs/>
                <w:color w:val="005CA9"/>
                <w:sz w:val="18"/>
                <w:szCs w:val="18"/>
              </w:rPr>
            </w:pPr>
            <w:r w:rsidRPr="00F94B09">
              <w:rPr>
                <w:rFonts w:ascii="CAIXA Std Book" w:hAnsi="CAIXA Std Book" w:cs="Arial"/>
                <w:b/>
                <w:bCs/>
                <w:color w:val="005CA9"/>
                <w:sz w:val="18"/>
                <w:szCs w:val="18"/>
              </w:rPr>
              <w:t>-</w:t>
            </w:r>
          </w:p>
        </w:tc>
        <w:tc>
          <w:tcPr>
            <w:tcW w:w="734" w:type="pct"/>
            <w:tcBorders>
              <w:top w:val="nil"/>
              <w:left w:val="nil"/>
              <w:bottom w:val="nil"/>
              <w:right w:val="nil"/>
            </w:tcBorders>
            <w:shd w:val="clear" w:color="auto" w:fill="auto"/>
            <w:vAlign w:val="center"/>
          </w:tcPr>
          <w:p w14:paraId="134ADFBA" w14:textId="221B91F5" w:rsidR="005858D4" w:rsidRPr="00F94B09" w:rsidRDefault="003A0D7D" w:rsidP="003A0D7D">
            <w:pPr>
              <w:jc w:val="right"/>
              <w:rPr>
                <w:rFonts w:ascii="CAIXA Std Book" w:hAnsi="CAIXA Std Book" w:cs="Cambria Math"/>
                <w:b/>
                <w:bCs/>
                <w:color w:val="005CA9"/>
                <w:sz w:val="18"/>
                <w:szCs w:val="18"/>
              </w:rPr>
            </w:pPr>
            <w:r w:rsidRPr="00F94B09">
              <w:rPr>
                <w:rFonts w:ascii="CAIXA Std Book" w:hAnsi="CAIXA Std Book" w:cs="Arial"/>
                <w:b/>
                <w:bCs/>
                <w:color w:val="005CA9"/>
                <w:sz w:val="18"/>
                <w:szCs w:val="18"/>
              </w:rPr>
              <w:t>453.564</w:t>
            </w:r>
          </w:p>
        </w:tc>
        <w:tc>
          <w:tcPr>
            <w:tcW w:w="735" w:type="pct"/>
            <w:tcBorders>
              <w:top w:val="nil"/>
              <w:left w:val="nil"/>
              <w:bottom w:val="nil"/>
              <w:right w:val="nil"/>
            </w:tcBorders>
            <w:shd w:val="clear" w:color="auto" w:fill="auto"/>
            <w:vAlign w:val="center"/>
            <w:hideMark/>
          </w:tcPr>
          <w:p w14:paraId="3A75996B" w14:textId="30D93014" w:rsidR="005858D4" w:rsidRPr="00F94B09" w:rsidRDefault="005858D4" w:rsidP="005858D4">
            <w:pPr>
              <w:jc w:val="center"/>
              <w:rPr>
                <w:rFonts w:ascii="CAIXA Std Book" w:hAnsi="CAIXA Std Book" w:cs="Cambria Math"/>
                <w:b/>
                <w:bCs/>
                <w:color w:val="005CA9"/>
                <w:sz w:val="18"/>
                <w:szCs w:val="18"/>
              </w:rPr>
            </w:pPr>
            <w:r w:rsidRPr="00F94B09">
              <w:rPr>
                <w:rFonts w:ascii="CAIXA Std Book" w:hAnsi="CAIXA Std Book" w:cs="Cambria Math"/>
                <w:b/>
                <w:bCs/>
                <w:color w:val="005CA9"/>
                <w:sz w:val="18"/>
                <w:szCs w:val="18"/>
              </w:rPr>
              <w:t>-</w:t>
            </w:r>
          </w:p>
        </w:tc>
      </w:tr>
      <w:tr w:rsidR="005858D4" w:rsidRPr="003A0D7D" w14:paraId="12A495EF" w14:textId="77777777" w:rsidTr="00A33766">
        <w:trPr>
          <w:trHeight w:val="283"/>
        </w:trPr>
        <w:tc>
          <w:tcPr>
            <w:tcW w:w="2061" w:type="pct"/>
            <w:tcBorders>
              <w:top w:val="nil"/>
              <w:left w:val="nil"/>
              <w:bottom w:val="single" w:sz="4" w:space="0" w:color="F79646"/>
              <w:right w:val="nil"/>
            </w:tcBorders>
            <w:shd w:val="clear" w:color="auto" w:fill="auto"/>
            <w:vAlign w:val="center"/>
            <w:hideMark/>
          </w:tcPr>
          <w:p w14:paraId="1D42D561" w14:textId="77777777" w:rsidR="005858D4" w:rsidRPr="00A33766" w:rsidRDefault="005858D4" w:rsidP="005858D4">
            <w:pPr>
              <w:rPr>
                <w:rFonts w:ascii="CAIXA Std Book" w:hAnsi="CAIXA Std Book" w:cs="Arial"/>
                <w:b/>
                <w:color w:val="005CA9"/>
                <w:sz w:val="18"/>
                <w:szCs w:val="18"/>
              </w:rPr>
            </w:pPr>
            <w:r w:rsidRPr="00A33766">
              <w:rPr>
                <w:rFonts w:ascii="CAIXA Std Book" w:hAnsi="CAIXA Std Book" w:cs="Arial"/>
                <w:b/>
                <w:color w:val="005CA9"/>
                <w:sz w:val="18"/>
                <w:szCs w:val="18"/>
              </w:rPr>
              <w:t>Resultado Não Recorrente (d = b + c)</w:t>
            </w:r>
          </w:p>
        </w:tc>
        <w:tc>
          <w:tcPr>
            <w:tcW w:w="735" w:type="pct"/>
            <w:tcBorders>
              <w:top w:val="nil"/>
              <w:left w:val="nil"/>
              <w:bottom w:val="single" w:sz="4" w:space="0" w:color="F79646"/>
              <w:right w:val="nil"/>
            </w:tcBorders>
            <w:shd w:val="clear" w:color="auto" w:fill="auto"/>
            <w:vAlign w:val="center"/>
          </w:tcPr>
          <w:p w14:paraId="2800A2F6" w14:textId="25CAD577" w:rsidR="005858D4" w:rsidRPr="00A33766" w:rsidRDefault="003A0D7D" w:rsidP="003A0D7D">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(417.174)</w:t>
            </w:r>
          </w:p>
        </w:tc>
        <w:tc>
          <w:tcPr>
            <w:tcW w:w="735" w:type="pct"/>
            <w:tcBorders>
              <w:top w:val="nil"/>
              <w:left w:val="nil"/>
              <w:bottom w:val="single" w:sz="4" w:space="0" w:color="F79646"/>
              <w:right w:val="nil"/>
            </w:tcBorders>
            <w:shd w:val="clear" w:color="auto" w:fill="auto"/>
            <w:vAlign w:val="center"/>
            <w:hideMark/>
          </w:tcPr>
          <w:p w14:paraId="3B787E1A" w14:textId="56E59469" w:rsidR="005858D4" w:rsidRPr="00A33766" w:rsidRDefault="005858D4" w:rsidP="005858D4">
            <w:pPr>
              <w:jc w:val="center"/>
              <w:rPr>
                <w:rFonts w:ascii="CAIXA Std Book" w:hAnsi="CAIXA Std Book" w:cs="Cambria Math"/>
                <w:b/>
                <w:color w:val="005CA9"/>
                <w:sz w:val="18"/>
                <w:szCs w:val="18"/>
              </w:rPr>
            </w:pPr>
            <w:r w:rsidRPr="003A0D7D">
              <w:rPr>
                <w:rFonts w:ascii="CAIXA Std Book" w:hAnsi="CAIXA Std Book" w:cs="Arial"/>
                <w:b/>
                <w:color w:val="005CA9"/>
                <w:sz w:val="18"/>
                <w:szCs w:val="18"/>
              </w:rPr>
              <w:t>-</w:t>
            </w:r>
          </w:p>
        </w:tc>
        <w:tc>
          <w:tcPr>
            <w:tcW w:w="734" w:type="pct"/>
            <w:tcBorders>
              <w:top w:val="nil"/>
              <w:left w:val="nil"/>
              <w:bottom w:val="single" w:sz="4" w:space="0" w:color="F79646"/>
              <w:right w:val="nil"/>
            </w:tcBorders>
            <w:shd w:val="clear" w:color="auto" w:fill="auto"/>
            <w:vAlign w:val="center"/>
          </w:tcPr>
          <w:p w14:paraId="188A70E8" w14:textId="407B764F" w:rsidR="005858D4" w:rsidRPr="00A33766" w:rsidRDefault="003A0D7D" w:rsidP="003A0D7D">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(421.570)</w:t>
            </w:r>
          </w:p>
        </w:tc>
        <w:tc>
          <w:tcPr>
            <w:tcW w:w="735" w:type="pct"/>
            <w:tcBorders>
              <w:top w:val="nil"/>
              <w:left w:val="nil"/>
              <w:bottom w:val="single" w:sz="4" w:space="0" w:color="F79646"/>
              <w:right w:val="nil"/>
            </w:tcBorders>
            <w:shd w:val="clear" w:color="auto" w:fill="auto"/>
            <w:vAlign w:val="center"/>
            <w:hideMark/>
          </w:tcPr>
          <w:p w14:paraId="121A365F" w14:textId="6B199A67" w:rsidR="005858D4" w:rsidRPr="00A33766" w:rsidRDefault="005858D4" w:rsidP="005858D4">
            <w:pPr>
              <w:jc w:val="center"/>
              <w:rPr>
                <w:rFonts w:ascii="CAIXA Std Book" w:hAnsi="CAIXA Std Book" w:cs="Cambria Math"/>
                <w:b/>
                <w:color w:val="005CA9"/>
                <w:sz w:val="18"/>
                <w:szCs w:val="18"/>
              </w:rPr>
            </w:pPr>
            <w:r w:rsidRPr="003A0D7D">
              <w:rPr>
                <w:rFonts w:ascii="CAIXA Std Book" w:hAnsi="CAIXA Std Book" w:cs="Arial"/>
                <w:b/>
                <w:color w:val="005CA9"/>
                <w:sz w:val="18"/>
                <w:szCs w:val="18"/>
              </w:rPr>
              <w:t>-</w:t>
            </w:r>
          </w:p>
        </w:tc>
      </w:tr>
      <w:tr w:rsidR="005858D4" w:rsidRPr="003A0D7D" w14:paraId="64D7DA1B" w14:textId="77777777" w:rsidTr="00A33766">
        <w:trPr>
          <w:trHeight w:val="283"/>
        </w:trPr>
        <w:tc>
          <w:tcPr>
            <w:tcW w:w="2061" w:type="pct"/>
            <w:tcBorders>
              <w:top w:val="nil"/>
              <w:left w:val="nil"/>
              <w:bottom w:val="single" w:sz="4" w:space="0" w:color="F79646"/>
              <w:right w:val="nil"/>
            </w:tcBorders>
            <w:shd w:val="clear" w:color="auto" w:fill="auto"/>
            <w:vAlign w:val="center"/>
            <w:hideMark/>
          </w:tcPr>
          <w:p w14:paraId="4F18A6DF" w14:textId="77777777" w:rsidR="005858D4" w:rsidRPr="00A33766" w:rsidRDefault="005858D4" w:rsidP="005858D4">
            <w:pPr>
              <w:rPr>
                <w:rFonts w:ascii="CAIXA Std Book" w:hAnsi="CAIXA Std Book" w:cs="Arial"/>
                <w:b/>
                <w:color w:val="005CA9"/>
                <w:sz w:val="18"/>
                <w:szCs w:val="18"/>
              </w:rPr>
            </w:pPr>
            <w:r w:rsidRPr="00A33766">
              <w:rPr>
                <w:rFonts w:ascii="CAIXA Std Book" w:hAnsi="CAIXA Std Book" w:cs="Arial"/>
                <w:b/>
                <w:color w:val="005CA9"/>
                <w:sz w:val="18"/>
                <w:szCs w:val="18"/>
              </w:rPr>
              <w:t>Resultado Recorrente Regulatório (e = a - d)</w:t>
            </w:r>
          </w:p>
        </w:tc>
        <w:tc>
          <w:tcPr>
            <w:tcW w:w="735" w:type="pct"/>
            <w:tcBorders>
              <w:top w:val="nil"/>
              <w:left w:val="nil"/>
              <w:bottom w:val="single" w:sz="4" w:space="0" w:color="F79646"/>
              <w:right w:val="nil"/>
            </w:tcBorders>
            <w:shd w:val="clear" w:color="auto" w:fill="auto"/>
            <w:vAlign w:val="center"/>
          </w:tcPr>
          <w:p w14:paraId="7FC6A9ED" w14:textId="50454A2B" w:rsidR="005858D4" w:rsidRPr="00A33766" w:rsidRDefault="003A0D7D" w:rsidP="005858D4">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2.689.690</w:t>
            </w:r>
          </w:p>
        </w:tc>
        <w:tc>
          <w:tcPr>
            <w:tcW w:w="735" w:type="pct"/>
            <w:tcBorders>
              <w:top w:val="nil"/>
              <w:left w:val="nil"/>
              <w:bottom w:val="single" w:sz="4" w:space="0" w:color="F79646"/>
              <w:right w:val="nil"/>
            </w:tcBorders>
            <w:shd w:val="clear" w:color="auto" w:fill="auto"/>
            <w:vAlign w:val="center"/>
            <w:hideMark/>
          </w:tcPr>
          <w:p w14:paraId="0371DF0A" w14:textId="31EFDDAE" w:rsidR="005858D4" w:rsidRPr="00A33766" w:rsidRDefault="005858D4" w:rsidP="005858D4">
            <w:pPr>
              <w:jc w:val="right"/>
              <w:rPr>
                <w:rFonts w:ascii="CAIXA Std Book" w:hAnsi="CAIXA Std Book" w:cs="Cambria Math"/>
                <w:b/>
                <w:color w:val="005CA9"/>
                <w:sz w:val="18"/>
                <w:szCs w:val="18"/>
              </w:rPr>
            </w:pPr>
            <w:r w:rsidRPr="003A0D7D">
              <w:rPr>
                <w:rFonts w:ascii="CAIXA Std Book" w:hAnsi="CAIXA Std Book" w:cs="Arial"/>
                <w:b/>
                <w:color w:val="005CA9"/>
                <w:sz w:val="18"/>
                <w:szCs w:val="18"/>
              </w:rPr>
              <w:t>1.839.232</w:t>
            </w:r>
          </w:p>
        </w:tc>
        <w:tc>
          <w:tcPr>
            <w:tcW w:w="734" w:type="pct"/>
            <w:tcBorders>
              <w:top w:val="nil"/>
              <w:left w:val="nil"/>
              <w:bottom w:val="single" w:sz="4" w:space="0" w:color="F79646"/>
              <w:right w:val="nil"/>
            </w:tcBorders>
            <w:shd w:val="clear" w:color="auto" w:fill="auto"/>
            <w:vAlign w:val="center"/>
          </w:tcPr>
          <w:p w14:paraId="42863283" w14:textId="5A182005" w:rsidR="005858D4" w:rsidRPr="00A33766" w:rsidRDefault="003A0D7D" w:rsidP="005858D4">
            <w:pPr>
              <w:jc w:val="right"/>
              <w:rPr>
                <w:rFonts w:ascii="CAIXA Std Book" w:hAnsi="CAIXA Std Book" w:cs="Cambria Math"/>
                <w:b/>
                <w:color w:val="005CA9"/>
                <w:sz w:val="18"/>
                <w:szCs w:val="18"/>
              </w:rPr>
            </w:pPr>
            <w:r w:rsidRPr="003A0D7D">
              <w:rPr>
                <w:rFonts w:ascii="CAIXA Std Book" w:hAnsi="CAIXA Std Book" w:cs="Arial"/>
                <w:b/>
                <w:bCs/>
                <w:color w:val="005CA9"/>
                <w:sz w:val="18"/>
                <w:szCs w:val="18"/>
              </w:rPr>
              <w:t>2.883.144</w:t>
            </w:r>
          </w:p>
        </w:tc>
        <w:tc>
          <w:tcPr>
            <w:tcW w:w="735" w:type="pct"/>
            <w:tcBorders>
              <w:top w:val="nil"/>
              <w:left w:val="nil"/>
              <w:bottom w:val="single" w:sz="4" w:space="0" w:color="F79646"/>
              <w:right w:val="nil"/>
            </w:tcBorders>
            <w:shd w:val="clear" w:color="auto" w:fill="auto"/>
            <w:vAlign w:val="center"/>
            <w:hideMark/>
          </w:tcPr>
          <w:p w14:paraId="314CA80D" w14:textId="6293FA39" w:rsidR="005858D4" w:rsidRPr="00A33766" w:rsidRDefault="005858D4" w:rsidP="005858D4">
            <w:pPr>
              <w:jc w:val="right"/>
              <w:rPr>
                <w:rFonts w:ascii="CAIXA Std Book" w:hAnsi="CAIXA Std Book" w:cs="Cambria Math"/>
                <w:b/>
                <w:color w:val="005CA9"/>
                <w:sz w:val="18"/>
                <w:szCs w:val="18"/>
              </w:rPr>
            </w:pPr>
            <w:r w:rsidRPr="003A0D7D">
              <w:rPr>
                <w:rFonts w:ascii="CAIXA Std Book" w:hAnsi="CAIXA Std Book" w:cs="Arial"/>
                <w:b/>
                <w:color w:val="005CA9"/>
                <w:sz w:val="18"/>
                <w:szCs w:val="18"/>
              </w:rPr>
              <w:t>1.934.360</w:t>
            </w:r>
          </w:p>
        </w:tc>
      </w:tr>
    </w:tbl>
    <w:p w14:paraId="5D1967D3" w14:textId="33772FA6" w:rsidR="00C828BA" w:rsidRPr="00FF4346" w:rsidRDefault="00C828BA" w:rsidP="00C828BA">
      <w:pPr>
        <w:jc w:val="both"/>
        <w:rPr>
          <w:rFonts w:ascii="CAIXA Std Book" w:hAnsi="CAIXA Std Book"/>
          <w:b/>
          <w:bCs/>
          <w:color w:val="005CA9"/>
          <w:sz w:val="20"/>
          <w:szCs w:val="20"/>
        </w:rPr>
      </w:pPr>
    </w:p>
    <w:p w14:paraId="093DCAAD" w14:textId="7E742B93" w:rsidR="0086170A" w:rsidRPr="001C29E3" w:rsidRDefault="0086170A" w:rsidP="001C29E3">
      <w:pPr>
        <w:spacing w:after="120"/>
        <w:rPr>
          <w:rFonts w:ascii="CAIXA Std Book" w:hAnsi="CAIXA Std Book"/>
          <w:b/>
          <w:color w:val="005CA9"/>
          <w:sz w:val="20"/>
          <w:szCs w:val="20"/>
        </w:rPr>
      </w:pPr>
      <w:r w:rsidRPr="001C29E3">
        <w:rPr>
          <w:rFonts w:ascii="CAIXA Std Book" w:hAnsi="CAIXA Std Book"/>
          <w:b/>
          <w:color w:val="005CA9"/>
          <w:sz w:val="20"/>
          <w:szCs w:val="20"/>
        </w:rPr>
        <w:t>1º trimestre</w:t>
      </w:r>
      <w:r w:rsidR="00401E70">
        <w:rPr>
          <w:rFonts w:ascii="CAIXA Std Book" w:hAnsi="CAIXA Std Book"/>
          <w:b/>
          <w:bCs/>
          <w:color w:val="005CA9"/>
          <w:sz w:val="20"/>
          <w:szCs w:val="20"/>
        </w:rPr>
        <w:t xml:space="preserve"> de </w:t>
      </w:r>
      <w:r w:rsidRPr="001C29E3">
        <w:rPr>
          <w:rFonts w:ascii="CAIXA Std Book" w:hAnsi="CAIXA Std Book"/>
          <w:b/>
          <w:color w:val="005CA9"/>
          <w:sz w:val="20"/>
          <w:szCs w:val="20"/>
        </w:rPr>
        <w:t>2024</w:t>
      </w:r>
    </w:p>
    <w:p w14:paraId="2AA78C5D" w14:textId="77777777" w:rsidR="001C29E3" w:rsidRDefault="009E3A2D" w:rsidP="001C29E3">
      <w:pPr>
        <w:rPr>
          <w:rFonts w:ascii="CAIXA Std Book" w:hAnsi="CAIXA Std Book"/>
          <w:color w:val="005CA9"/>
          <w:sz w:val="20"/>
          <w:szCs w:val="20"/>
        </w:rPr>
      </w:pPr>
      <w:r w:rsidRPr="001C29E3">
        <w:rPr>
          <w:rFonts w:ascii="CAIXA Std Book" w:hAnsi="CAIXA Std Book"/>
          <w:color w:val="005CA9"/>
          <w:sz w:val="20"/>
          <w:szCs w:val="20"/>
        </w:rPr>
        <w:t>(1)</w:t>
      </w:r>
      <w:r w:rsidR="00AD2B39" w:rsidRPr="001C29E3">
        <w:rPr>
          <w:rFonts w:ascii="CAIXA Std Book" w:hAnsi="CAIXA Std Book"/>
          <w:color w:val="005CA9"/>
          <w:sz w:val="20"/>
          <w:szCs w:val="20"/>
        </w:rPr>
        <w:t xml:space="preserve"> </w:t>
      </w:r>
      <w:r w:rsidR="001C29E3" w:rsidRPr="001C29E3">
        <w:rPr>
          <w:rFonts w:ascii="CAIXA Std Book" w:hAnsi="CAIXA Std Book"/>
          <w:color w:val="005CA9"/>
          <w:sz w:val="20"/>
          <w:szCs w:val="20"/>
        </w:rPr>
        <w:t>Programa de Desligamento Voluntário (PDV) 2024.</w:t>
      </w:r>
    </w:p>
    <w:p w14:paraId="74A7DE1C" w14:textId="47720B6B" w:rsidR="009D1A4E" w:rsidRPr="009D1A4E" w:rsidRDefault="001C29E3" w:rsidP="009D1A4E">
      <w:pPr>
        <w:jc w:val="both"/>
        <w:rPr>
          <w:rFonts w:ascii="CAIXA Std Book" w:hAnsi="CAIXA Std Book"/>
          <w:bCs/>
          <w:color w:val="005CA9"/>
          <w:sz w:val="20"/>
          <w:szCs w:val="20"/>
        </w:rPr>
      </w:pPr>
      <w:r w:rsidRPr="009D1A4E">
        <w:rPr>
          <w:rFonts w:ascii="CAIXA Std Book" w:hAnsi="CAIXA Std Book"/>
          <w:color w:val="005CA9"/>
          <w:sz w:val="20"/>
          <w:szCs w:val="20"/>
        </w:rPr>
        <w:t xml:space="preserve">(2) </w:t>
      </w:r>
      <w:r w:rsidR="009D1A4E" w:rsidRPr="009D1A4E">
        <w:rPr>
          <w:rFonts w:ascii="CAIXA Std Book" w:hAnsi="CAIXA Std Book"/>
          <w:bCs/>
          <w:color w:val="005CA9"/>
          <w:sz w:val="20"/>
          <w:szCs w:val="20"/>
        </w:rPr>
        <w:t>Despesas impactadas pelos eventos incluem efeitos tributários, de despesas de PLR e de IHCD sobre os itens não recorrentes.</w:t>
      </w:r>
    </w:p>
    <w:p w14:paraId="61F40CF6" w14:textId="5BB6265F" w:rsidR="001C29E3" w:rsidRPr="001C29E3" w:rsidRDefault="001C29E3" w:rsidP="001C29E3">
      <w:pPr>
        <w:rPr>
          <w:rFonts w:ascii="CAIXA Std Book" w:hAnsi="CAIXA Std Book"/>
          <w:color w:val="005CA9"/>
          <w:sz w:val="20"/>
          <w:szCs w:val="20"/>
        </w:rPr>
      </w:pPr>
      <w:r w:rsidRPr="00616EE1">
        <w:rPr>
          <w:rFonts w:ascii="CAIXA Std Book" w:hAnsi="CAIXA Std Book"/>
          <w:color w:val="005CA9"/>
        </w:rPr>
        <w:br w:type="page"/>
      </w:r>
    </w:p>
    <w:p w14:paraId="62A3FF74" w14:textId="4DE8B3FE" w:rsidR="00C80BC3" w:rsidRPr="005A596E" w:rsidRDefault="00A145AF" w:rsidP="005A596E">
      <w:pPr>
        <w:pStyle w:val="Ttulo1"/>
      </w:pPr>
      <w:bookmarkStart w:id="138" w:name="_Toc166594510"/>
      <w:r w:rsidRPr="005A596E">
        <w:lastRenderedPageBreak/>
        <w:t>Nota 3</w:t>
      </w:r>
      <w:r w:rsidR="00914730" w:rsidRPr="005A596E">
        <w:t>5</w:t>
      </w:r>
      <w:r w:rsidR="00C80BC3" w:rsidRPr="005A596E">
        <w:t xml:space="preserve"> – Outras informações</w:t>
      </w:r>
      <w:bookmarkEnd w:id="138"/>
      <w:r w:rsidR="00C80BC3" w:rsidRPr="005A596E">
        <w:t xml:space="preserve"> </w:t>
      </w:r>
    </w:p>
    <w:p w14:paraId="522D51EB" w14:textId="1898275E" w:rsidR="00C80BC3" w:rsidRPr="00FF4346" w:rsidRDefault="00C80BC3" w:rsidP="00B37B40">
      <w:pPr>
        <w:pStyle w:val="PargrafodaLista"/>
        <w:numPr>
          <w:ilvl w:val="0"/>
          <w:numId w:val="13"/>
        </w:numPr>
        <w:spacing w:before="480" w:after="240"/>
        <w:ind w:left="567" w:hanging="567"/>
        <w:contextualSpacing w:val="0"/>
        <w:rPr>
          <w:rFonts w:ascii="CAIXA Std Book" w:hAnsi="CAIXA Std Book"/>
          <w:color w:val="005CA9"/>
        </w:rPr>
      </w:pPr>
      <w:r w:rsidRPr="00FF4346">
        <w:rPr>
          <w:rFonts w:ascii="CAIXA Std Book" w:hAnsi="CAIXA Std Book"/>
          <w:b/>
          <w:color w:val="005CA9"/>
          <w:sz w:val="20"/>
          <w:szCs w:val="20"/>
        </w:rPr>
        <w:t>Ativos de Fundos de Investimento administrados pela CAIXA</w:t>
      </w:r>
    </w:p>
    <w:tbl>
      <w:tblPr>
        <w:tblW w:w="5000" w:type="pct"/>
        <w:tblCellMar>
          <w:left w:w="0" w:type="dxa"/>
          <w:right w:w="57" w:type="dxa"/>
        </w:tblCellMar>
        <w:tblLook w:val="04A0" w:firstRow="1" w:lastRow="0" w:firstColumn="1" w:lastColumn="0" w:noHBand="0" w:noVBand="1"/>
      </w:tblPr>
      <w:tblGrid>
        <w:gridCol w:w="6217"/>
        <w:gridCol w:w="1998"/>
        <w:gridCol w:w="1532"/>
      </w:tblGrid>
      <w:tr w:rsidR="003B2B2A" w:rsidRPr="00A33766" w14:paraId="3937045B" w14:textId="77777777" w:rsidTr="003F20C6">
        <w:trPr>
          <w:trHeight w:val="283"/>
        </w:trPr>
        <w:tc>
          <w:tcPr>
            <w:tcW w:w="3189" w:type="pct"/>
            <w:tcBorders>
              <w:top w:val="single" w:sz="4" w:space="0" w:color="F39200"/>
              <w:left w:val="nil"/>
              <w:bottom w:val="single" w:sz="4" w:space="0" w:color="F39200"/>
              <w:right w:val="nil"/>
            </w:tcBorders>
            <w:shd w:val="clear" w:color="auto" w:fill="auto"/>
            <w:noWrap/>
            <w:vAlign w:val="center"/>
            <w:hideMark/>
          </w:tcPr>
          <w:p w14:paraId="04E45C1B" w14:textId="77777777" w:rsidR="00BC2E67" w:rsidRPr="00FF4346" w:rsidRDefault="00BC2E67" w:rsidP="00BC2E67">
            <w:pPr>
              <w:jc w:val="center"/>
              <w:rPr>
                <w:rFonts w:ascii="CAIXA Std Book" w:hAnsi="CAIXA Std Book"/>
                <w:b/>
                <w:color w:val="005CA9"/>
                <w:sz w:val="18"/>
                <w:szCs w:val="18"/>
              </w:rPr>
            </w:pPr>
            <w:r w:rsidRPr="00FF4346">
              <w:rPr>
                <w:rFonts w:ascii="CAIXA Std Book" w:hAnsi="CAIXA Std Book"/>
                <w:b/>
                <w:color w:val="005CA9"/>
                <w:sz w:val="18"/>
                <w:szCs w:val="18"/>
              </w:rPr>
              <w:t>Descrição (1)</w:t>
            </w:r>
          </w:p>
        </w:tc>
        <w:tc>
          <w:tcPr>
            <w:tcW w:w="1025" w:type="pct"/>
            <w:tcBorders>
              <w:top w:val="single" w:sz="4" w:space="0" w:color="F39200"/>
              <w:left w:val="nil"/>
              <w:bottom w:val="single" w:sz="4" w:space="0" w:color="F39200"/>
              <w:right w:val="nil"/>
            </w:tcBorders>
            <w:shd w:val="clear" w:color="auto" w:fill="auto"/>
            <w:noWrap/>
            <w:vAlign w:val="center"/>
          </w:tcPr>
          <w:p w14:paraId="47AE1ABA" w14:textId="2D20826B" w:rsidR="00BC2E67" w:rsidRPr="00FF4346" w:rsidRDefault="00B15C55" w:rsidP="00BC2E67">
            <w:pPr>
              <w:jc w:val="center"/>
              <w:rPr>
                <w:rFonts w:ascii="CAIXA Std Book" w:hAnsi="CAIXA Std Book"/>
                <w:b/>
                <w:color w:val="005CA9"/>
                <w:sz w:val="18"/>
                <w:szCs w:val="18"/>
              </w:rPr>
            </w:pPr>
            <w:r w:rsidRPr="00FF4346">
              <w:rPr>
                <w:rFonts w:ascii="CAIXA Std Book" w:hAnsi="CAIXA Std Book"/>
                <w:b/>
                <w:color w:val="005CA9"/>
                <w:sz w:val="18"/>
                <w:szCs w:val="18"/>
              </w:rPr>
              <w:t>31/</w:t>
            </w:r>
            <w:r w:rsidR="000E2B18">
              <w:rPr>
                <w:rFonts w:ascii="CAIXA Std Book" w:hAnsi="CAIXA Std Book"/>
                <w:b/>
                <w:color w:val="005CA9"/>
                <w:sz w:val="18"/>
                <w:szCs w:val="18"/>
              </w:rPr>
              <w:t>03/2024</w:t>
            </w:r>
          </w:p>
        </w:tc>
        <w:tc>
          <w:tcPr>
            <w:tcW w:w="786" w:type="pct"/>
            <w:tcBorders>
              <w:top w:val="single" w:sz="4" w:space="0" w:color="F39200"/>
              <w:left w:val="nil"/>
              <w:bottom w:val="single" w:sz="4" w:space="0" w:color="F39200"/>
              <w:right w:val="nil"/>
            </w:tcBorders>
            <w:vAlign w:val="center"/>
          </w:tcPr>
          <w:p w14:paraId="3AEBD22A" w14:textId="7CD2AB31" w:rsidR="00BC2E67" w:rsidRPr="00FF4346" w:rsidRDefault="00BC2E67" w:rsidP="00BC2E67">
            <w:pPr>
              <w:jc w:val="center"/>
              <w:rPr>
                <w:rFonts w:ascii="CAIXA Std Book" w:hAnsi="CAIXA Std Book"/>
                <w:b/>
                <w:color w:val="005CA9"/>
                <w:sz w:val="18"/>
                <w:szCs w:val="18"/>
              </w:rPr>
            </w:pPr>
            <w:r w:rsidRPr="00FF4346">
              <w:rPr>
                <w:rFonts w:ascii="CAIXA Std Book" w:hAnsi="CAIXA Std Book"/>
                <w:b/>
                <w:color w:val="005CA9"/>
                <w:sz w:val="18"/>
                <w:szCs w:val="18"/>
              </w:rPr>
              <w:t>31/12/202</w:t>
            </w:r>
            <w:r w:rsidR="000E2B18">
              <w:rPr>
                <w:rFonts w:ascii="CAIXA Std Book" w:hAnsi="CAIXA Std Book"/>
                <w:b/>
                <w:color w:val="005CA9"/>
                <w:sz w:val="18"/>
                <w:szCs w:val="18"/>
              </w:rPr>
              <w:t>3</w:t>
            </w:r>
          </w:p>
        </w:tc>
      </w:tr>
      <w:tr w:rsidR="00F14091" w:rsidRPr="00A33766" w14:paraId="63A8E2B5" w14:textId="77777777" w:rsidTr="003F20C6">
        <w:trPr>
          <w:trHeight w:val="283"/>
        </w:trPr>
        <w:tc>
          <w:tcPr>
            <w:tcW w:w="3189" w:type="pct"/>
            <w:tcBorders>
              <w:top w:val="nil"/>
              <w:left w:val="nil"/>
              <w:bottom w:val="nil"/>
              <w:right w:val="nil"/>
            </w:tcBorders>
            <w:shd w:val="clear" w:color="auto" w:fill="auto"/>
            <w:noWrap/>
            <w:vAlign w:val="center"/>
            <w:hideMark/>
          </w:tcPr>
          <w:p w14:paraId="772DE50F" w14:textId="77777777" w:rsidR="00F14091" w:rsidRPr="00FF4346" w:rsidRDefault="00F14091" w:rsidP="00F14091">
            <w:pPr>
              <w:rPr>
                <w:rFonts w:ascii="CAIXA Std Book" w:hAnsi="CAIXA Std Book"/>
                <w:color w:val="005CA9"/>
                <w:sz w:val="18"/>
                <w:szCs w:val="18"/>
              </w:rPr>
            </w:pPr>
            <w:r w:rsidRPr="00FF4346">
              <w:rPr>
                <w:rFonts w:ascii="CAIXA Std Book" w:hAnsi="CAIXA Std Book"/>
                <w:color w:val="005CA9"/>
                <w:sz w:val="18"/>
                <w:szCs w:val="18"/>
              </w:rPr>
              <w:t>Fundos de investimento financeiro</w:t>
            </w:r>
          </w:p>
        </w:tc>
        <w:tc>
          <w:tcPr>
            <w:tcW w:w="1025" w:type="pct"/>
            <w:tcBorders>
              <w:top w:val="nil"/>
              <w:left w:val="nil"/>
              <w:bottom w:val="nil"/>
              <w:right w:val="nil"/>
            </w:tcBorders>
            <w:shd w:val="clear" w:color="auto" w:fill="auto"/>
            <w:noWrap/>
            <w:vAlign w:val="center"/>
          </w:tcPr>
          <w:p w14:paraId="36B97380" w14:textId="16729114" w:rsidR="00F14091" w:rsidRPr="00FF4346" w:rsidRDefault="00C3420F" w:rsidP="00F14091">
            <w:pPr>
              <w:jc w:val="right"/>
              <w:rPr>
                <w:rFonts w:ascii="CAIXA Std Book" w:hAnsi="CAIXA Std Book" w:cs="Arial"/>
                <w:color w:val="005CA9"/>
                <w:sz w:val="18"/>
                <w:szCs w:val="18"/>
              </w:rPr>
            </w:pPr>
            <w:r>
              <w:rPr>
                <w:rFonts w:ascii="CAIXA Std Book" w:hAnsi="CAIXA Std Book" w:cs="Arial"/>
                <w:color w:val="005CA9"/>
                <w:sz w:val="18"/>
                <w:szCs w:val="18"/>
              </w:rPr>
              <w:t>474.446.239</w:t>
            </w:r>
          </w:p>
        </w:tc>
        <w:tc>
          <w:tcPr>
            <w:tcW w:w="786" w:type="pct"/>
            <w:tcBorders>
              <w:top w:val="nil"/>
              <w:left w:val="nil"/>
              <w:bottom w:val="nil"/>
              <w:right w:val="nil"/>
            </w:tcBorders>
            <w:shd w:val="clear" w:color="auto" w:fill="auto"/>
            <w:vAlign w:val="center"/>
          </w:tcPr>
          <w:p w14:paraId="0390C381" w14:textId="605B2B11" w:rsidR="00F14091" w:rsidRPr="00FF4346" w:rsidRDefault="00F14091" w:rsidP="00F14091">
            <w:pPr>
              <w:jc w:val="right"/>
              <w:rPr>
                <w:rFonts w:ascii="CAIXA Std Book" w:hAnsi="CAIXA Std Book"/>
                <w:color w:val="005CA9"/>
                <w:sz w:val="18"/>
                <w:szCs w:val="18"/>
              </w:rPr>
            </w:pPr>
            <w:r w:rsidRPr="00FF4346">
              <w:rPr>
                <w:rFonts w:ascii="CAIXA Std Book" w:hAnsi="CAIXA Std Book" w:cs="Arial"/>
                <w:color w:val="005CA9"/>
                <w:sz w:val="18"/>
                <w:szCs w:val="18"/>
              </w:rPr>
              <w:t>455.969.818</w:t>
            </w:r>
          </w:p>
        </w:tc>
      </w:tr>
      <w:tr w:rsidR="00F14091" w:rsidRPr="00A33766" w14:paraId="57B48167" w14:textId="77777777" w:rsidTr="003F20C6">
        <w:trPr>
          <w:trHeight w:val="283"/>
        </w:trPr>
        <w:tc>
          <w:tcPr>
            <w:tcW w:w="3189" w:type="pct"/>
            <w:tcBorders>
              <w:top w:val="nil"/>
              <w:left w:val="nil"/>
              <w:bottom w:val="nil"/>
              <w:right w:val="nil"/>
            </w:tcBorders>
            <w:shd w:val="clear" w:color="auto" w:fill="auto"/>
            <w:noWrap/>
            <w:vAlign w:val="center"/>
            <w:hideMark/>
          </w:tcPr>
          <w:p w14:paraId="610E3875" w14:textId="77777777" w:rsidR="00F14091" w:rsidRPr="00FF4346" w:rsidRDefault="00F14091" w:rsidP="00F14091">
            <w:pPr>
              <w:rPr>
                <w:rFonts w:ascii="CAIXA Std Book" w:hAnsi="CAIXA Std Book"/>
                <w:color w:val="005CA9"/>
                <w:sz w:val="18"/>
                <w:szCs w:val="18"/>
              </w:rPr>
            </w:pPr>
            <w:r w:rsidRPr="00FF4346">
              <w:rPr>
                <w:rFonts w:ascii="CAIXA Std Book" w:hAnsi="CAIXA Std Book"/>
                <w:color w:val="005CA9"/>
                <w:sz w:val="18"/>
                <w:szCs w:val="18"/>
              </w:rPr>
              <w:t>Fundos de investimento em cotas - FIC (2)</w:t>
            </w:r>
          </w:p>
        </w:tc>
        <w:tc>
          <w:tcPr>
            <w:tcW w:w="1025" w:type="pct"/>
            <w:tcBorders>
              <w:top w:val="nil"/>
              <w:left w:val="nil"/>
              <w:bottom w:val="nil"/>
              <w:right w:val="nil"/>
            </w:tcBorders>
            <w:shd w:val="clear" w:color="auto" w:fill="auto"/>
            <w:noWrap/>
            <w:vAlign w:val="center"/>
          </w:tcPr>
          <w:p w14:paraId="7998C042" w14:textId="44346F7A" w:rsidR="00F14091" w:rsidRPr="00FF4346" w:rsidRDefault="00C3420F" w:rsidP="00F14091">
            <w:pPr>
              <w:jc w:val="right"/>
              <w:rPr>
                <w:rFonts w:ascii="CAIXA Std Book" w:hAnsi="CAIXA Std Book" w:cs="Arial"/>
                <w:color w:val="005CA9"/>
                <w:sz w:val="18"/>
                <w:szCs w:val="18"/>
              </w:rPr>
            </w:pPr>
            <w:r>
              <w:rPr>
                <w:rFonts w:ascii="CAIXA Std Book" w:hAnsi="CAIXA Std Book" w:cs="Arial"/>
                <w:color w:val="005CA9"/>
                <w:sz w:val="18"/>
                <w:szCs w:val="18"/>
              </w:rPr>
              <w:t>319.577.915</w:t>
            </w:r>
          </w:p>
        </w:tc>
        <w:tc>
          <w:tcPr>
            <w:tcW w:w="786" w:type="pct"/>
            <w:tcBorders>
              <w:top w:val="nil"/>
              <w:left w:val="nil"/>
              <w:bottom w:val="nil"/>
              <w:right w:val="nil"/>
            </w:tcBorders>
            <w:shd w:val="clear" w:color="auto" w:fill="auto"/>
            <w:vAlign w:val="center"/>
          </w:tcPr>
          <w:p w14:paraId="7414A96C" w14:textId="44709860" w:rsidR="00F14091" w:rsidRPr="00FF4346" w:rsidRDefault="00F14091" w:rsidP="00F14091">
            <w:pPr>
              <w:jc w:val="right"/>
              <w:rPr>
                <w:rFonts w:ascii="CAIXA Std Book" w:hAnsi="CAIXA Std Book"/>
                <w:color w:val="005CA9"/>
                <w:sz w:val="18"/>
                <w:szCs w:val="18"/>
              </w:rPr>
            </w:pPr>
            <w:r w:rsidRPr="00FF4346">
              <w:rPr>
                <w:rFonts w:ascii="CAIXA Std Book" w:hAnsi="CAIXA Std Book" w:cs="Arial"/>
                <w:color w:val="005CA9"/>
                <w:sz w:val="18"/>
                <w:szCs w:val="18"/>
              </w:rPr>
              <w:t>310.756.753</w:t>
            </w:r>
          </w:p>
        </w:tc>
      </w:tr>
      <w:tr w:rsidR="00F14091" w:rsidRPr="00A33766" w14:paraId="18312E9E" w14:textId="77777777" w:rsidTr="003F20C6">
        <w:trPr>
          <w:trHeight w:val="283"/>
        </w:trPr>
        <w:tc>
          <w:tcPr>
            <w:tcW w:w="3189" w:type="pct"/>
            <w:tcBorders>
              <w:top w:val="nil"/>
              <w:left w:val="nil"/>
              <w:bottom w:val="nil"/>
              <w:right w:val="nil"/>
            </w:tcBorders>
            <w:shd w:val="clear" w:color="auto" w:fill="auto"/>
            <w:noWrap/>
            <w:vAlign w:val="center"/>
            <w:hideMark/>
          </w:tcPr>
          <w:p w14:paraId="42D53F48" w14:textId="77777777" w:rsidR="00F14091" w:rsidRPr="00FF4346" w:rsidRDefault="00F14091" w:rsidP="00F14091">
            <w:pPr>
              <w:rPr>
                <w:rFonts w:ascii="CAIXA Std Book" w:hAnsi="CAIXA Std Book"/>
                <w:color w:val="005CA9"/>
                <w:sz w:val="18"/>
                <w:szCs w:val="18"/>
              </w:rPr>
            </w:pPr>
            <w:r w:rsidRPr="00FF4346">
              <w:rPr>
                <w:rFonts w:ascii="CAIXA Std Book" w:hAnsi="CAIXA Std Book"/>
                <w:color w:val="005CA9"/>
                <w:sz w:val="18"/>
                <w:szCs w:val="18"/>
              </w:rPr>
              <w:t>Fundos de ações</w:t>
            </w:r>
          </w:p>
        </w:tc>
        <w:tc>
          <w:tcPr>
            <w:tcW w:w="1025" w:type="pct"/>
            <w:tcBorders>
              <w:top w:val="nil"/>
              <w:left w:val="nil"/>
              <w:bottom w:val="nil"/>
              <w:right w:val="nil"/>
            </w:tcBorders>
            <w:shd w:val="clear" w:color="auto" w:fill="auto"/>
            <w:noWrap/>
            <w:vAlign w:val="center"/>
          </w:tcPr>
          <w:p w14:paraId="09E99875" w14:textId="2AA5728A" w:rsidR="00F14091" w:rsidRPr="00FF4346" w:rsidRDefault="00C3420F" w:rsidP="00F14091">
            <w:pPr>
              <w:jc w:val="right"/>
              <w:rPr>
                <w:rFonts w:ascii="CAIXA Std Book" w:hAnsi="CAIXA Std Book" w:cs="Arial"/>
                <w:color w:val="005CA9"/>
                <w:sz w:val="18"/>
                <w:szCs w:val="18"/>
              </w:rPr>
            </w:pPr>
            <w:r>
              <w:rPr>
                <w:rFonts w:ascii="CAIXA Std Book" w:hAnsi="CAIXA Std Book" w:cs="Arial"/>
                <w:color w:val="005CA9"/>
                <w:sz w:val="18"/>
                <w:szCs w:val="18"/>
              </w:rPr>
              <w:t>26.211.837</w:t>
            </w:r>
          </w:p>
        </w:tc>
        <w:tc>
          <w:tcPr>
            <w:tcW w:w="786" w:type="pct"/>
            <w:tcBorders>
              <w:top w:val="nil"/>
              <w:left w:val="nil"/>
              <w:bottom w:val="nil"/>
              <w:right w:val="nil"/>
            </w:tcBorders>
            <w:shd w:val="clear" w:color="auto" w:fill="auto"/>
            <w:vAlign w:val="center"/>
          </w:tcPr>
          <w:p w14:paraId="618A782D" w14:textId="42D98A8F" w:rsidR="00F14091" w:rsidRPr="00FF4346" w:rsidRDefault="00F14091" w:rsidP="00F14091">
            <w:pPr>
              <w:jc w:val="right"/>
              <w:rPr>
                <w:rFonts w:ascii="CAIXA Std Book" w:hAnsi="CAIXA Std Book"/>
                <w:color w:val="005CA9"/>
                <w:sz w:val="18"/>
                <w:szCs w:val="18"/>
              </w:rPr>
            </w:pPr>
            <w:r w:rsidRPr="00FF4346">
              <w:rPr>
                <w:rFonts w:ascii="CAIXA Std Book" w:hAnsi="CAIXA Std Book" w:cs="Arial"/>
                <w:color w:val="005CA9"/>
                <w:sz w:val="18"/>
                <w:szCs w:val="18"/>
              </w:rPr>
              <w:t>27.344.917</w:t>
            </w:r>
          </w:p>
        </w:tc>
      </w:tr>
      <w:tr w:rsidR="00F14091" w:rsidRPr="00A33766" w14:paraId="49318193" w14:textId="77777777" w:rsidTr="003F20C6">
        <w:trPr>
          <w:trHeight w:val="283"/>
        </w:trPr>
        <w:tc>
          <w:tcPr>
            <w:tcW w:w="3189" w:type="pct"/>
            <w:tcBorders>
              <w:top w:val="single" w:sz="4" w:space="0" w:color="F39200"/>
              <w:left w:val="nil"/>
              <w:bottom w:val="single" w:sz="4" w:space="0" w:color="F39200"/>
              <w:right w:val="nil"/>
            </w:tcBorders>
            <w:shd w:val="clear" w:color="auto" w:fill="auto"/>
            <w:noWrap/>
            <w:vAlign w:val="center"/>
            <w:hideMark/>
          </w:tcPr>
          <w:p w14:paraId="47A4E3B2" w14:textId="77777777" w:rsidR="00F14091" w:rsidRPr="00FF4346" w:rsidRDefault="00F14091" w:rsidP="00F14091">
            <w:pPr>
              <w:rPr>
                <w:rFonts w:ascii="CAIXA Std Book" w:hAnsi="CAIXA Std Book"/>
                <w:b/>
                <w:color w:val="005CA9"/>
                <w:sz w:val="18"/>
                <w:szCs w:val="18"/>
              </w:rPr>
            </w:pPr>
            <w:r w:rsidRPr="00FF4346">
              <w:rPr>
                <w:rFonts w:ascii="CAIXA Std Book" w:hAnsi="CAIXA Std Book"/>
                <w:b/>
                <w:color w:val="005CA9"/>
                <w:sz w:val="18"/>
                <w:szCs w:val="18"/>
              </w:rPr>
              <w:t>Total</w:t>
            </w:r>
          </w:p>
        </w:tc>
        <w:tc>
          <w:tcPr>
            <w:tcW w:w="1025" w:type="pct"/>
            <w:tcBorders>
              <w:top w:val="single" w:sz="4" w:space="0" w:color="F39200"/>
              <w:left w:val="nil"/>
              <w:bottom w:val="single" w:sz="4" w:space="0" w:color="F39200"/>
              <w:right w:val="nil"/>
            </w:tcBorders>
            <w:shd w:val="clear" w:color="auto" w:fill="auto"/>
            <w:noWrap/>
            <w:vAlign w:val="center"/>
          </w:tcPr>
          <w:p w14:paraId="1BBFF2F1" w14:textId="2827DC18" w:rsidR="00F14091" w:rsidRPr="00FF4346" w:rsidRDefault="00C3420F" w:rsidP="00F14091">
            <w:pPr>
              <w:jc w:val="right"/>
              <w:rPr>
                <w:rFonts w:ascii="CAIXA Std Book" w:hAnsi="CAIXA Std Book"/>
                <w:b/>
                <w:color w:val="005CA9"/>
                <w:sz w:val="18"/>
                <w:szCs w:val="18"/>
              </w:rPr>
            </w:pPr>
            <w:r>
              <w:rPr>
                <w:rFonts w:ascii="CAIXA Std Book" w:hAnsi="CAIXA Std Book" w:cs="Arial"/>
                <w:b/>
                <w:bCs/>
                <w:color w:val="005CA9"/>
                <w:sz w:val="18"/>
                <w:szCs w:val="18"/>
              </w:rPr>
              <w:t>820.235.991</w:t>
            </w:r>
          </w:p>
        </w:tc>
        <w:tc>
          <w:tcPr>
            <w:tcW w:w="786" w:type="pct"/>
            <w:tcBorders>
              <w:top w:val="single" w:sz="4" w:space="0" w:color="F39200"/>
              <w:left w:val="nil"/>
              <w:bottom w:val="single" w:sz="4" w:space="0" w:color="F39200"/>
              <w:right w:val="nil"/>
            </w:tcBorders>
            <w:shd w:val="clear" w:color="auto" w:fill="auto"/>
            <w:vAlign w:val="center"/>
          </w:tcPr>
          <w:p w14:paraId="68091212" w14:textId="1AAD1DFF" w:rsidR="00F14091" w:rsidRPr="00FF4346" w:rsidRDefault="00F14091" w:rsidP="00F14091">
            <w:pPr>
              <w:jc w:val="right"/>
              <w:rPr>
                <w:rFonts w:ascii="CAIXA Std Book" w:hAnsi="CAIXA Std Book"/>
                <w:b/>
                <w:color w:val="005CA9"/>
                <w:sz w:val="18"/>
                <w:szCs w:val="18"/>
              </w:rPr>
            </w:pPr>
            <w:r w:rsidRPr="00FF4346">
              <w:rPr>
                <w:rFonts w:ascii="CAIXA Std Book" w:hAnsi="CAIXA Std Book" w:cs="Arial"/>
                <w:b/>
                <w:bCs/>
                <w:color w:val="005CA9"/>
                <w:sz w:val="18"/>
                <w:szCs w:val="18"/>
              </w:rPr>
              <w:t>794.071.488</w:t>
            </w:r>
          </w:p>
        </w:tc>
      </w:tr>
    </w:tbl>
    <w:p w14:paraId="1F8A1EE2" w14:textId="0F32E1FD" w:rsidR="000D036E" w:rsidRPr="00FF4346" w:rsidRDefault="000D036E" w:rsidP="009A006C">
      <w:pPr>
        <w:ind w:left="425" w:hanging="425"/>
        <w:rPr>
          <w:rFonts w:ascii="CAIXA Std Book" w:hAnsi="CAIXA Std Book"/>
          <w:color w:val="005CA9"/>
          <w:sz w:val="16"/>
          <w:szCs w:val="16"/>
        </w:rPr>
      </w:pPr>
      <w:r w:rsidRPr="00FF4346">
        <w:rPr>
          <w:rFonts w:ascii="CAIXA Std Book" w:hAnsi="CAIXA Std Book"/>
          <w:color w:val="005CA9"/>
          <w:sz w:val="16"/>
          <w:szCs w:val="16"/>
        </w:rPr>
        <w:t>(1) A informação apresentada não é auditada pela auditoria independente.</w:t>
      </w:r>
    </w:p>
    <w:p w14:paraId="26099D6A" w14:textId="5188B79C" w:rsidR="004B2603" w:rsidRPr="00FF4346" w:rsidRDefault="000D036E" w:rsidP="009A006C">
      <w:pPr>
        <w:ind w:left="425" w:hanging="425"/>
        <w:rPr>
          <w:rFonts w:ascii="CAIXA Std Book" w:hAnsi="CAIXA Std Book"/>
          <w:color w:val="005CA9"/>
          <w:sz w:val="16"/>
          <w:szCs w:val="16"/>
        </w:rPr>
      </w:pPr>
      <w:r w:rsidRPr="00FF4346">
        <w:rPr>
          <w:rFonts w:ascii="CAIXA Std Book" w:hAnsi="CAIXA Std Book"/>
          <w:color w:val="005CA9"/>
          <w:sz w:val="16"/>
          <w:szCs w:val="16"/>
        </w:rPr>
        <w:t xml:space="preserve">(2) </w:t>
      </w:r>
      <w:r w:rsidR="00D138A3" w:rsidRPr="00FF4346">
        <w:rPr>
          <w:rFonts w:ascii="CAIXA Std Book" w:hAnsi="CAIXA Std Book"/>
          <w:color w:val="005CA9"/>
          <w:sz w:val="16"/>
          <w:szCs w:val="16"/>
        </w:rPr>
        <w:t>Inclui Fundos de aplicação em cotas, que nã</w:t>
      </w:r>
      <w:r w:rsidR="005B149D" w:rsidRPr="00FF4346">
        <w:rPr>
          <w:rFonts w:ascii="CAIXA Std Book" w:hAnsi="CAIXA Std Book"/>
          <w:color w:val="005CA9"/>
          <w:sz w:val="16"/>
          <w:szCs w:val="16"/>
        </w:rPr>
        <w:t>o são considerados no ranking AN</w:t>
      </w:r>
      <w:r w:rsidR="00D138A3" w:rsidRPr="00FF4346">
        <w:rPr>
          <w:rFonts w:ascii="CAIXA Std Book" w:hAnsi="CAIXA Std Book"/>
          <w:color w:val="005CA9"/>
          <w:sz w:val="16"/>
          <w:szCs w:val="16"/>
        </w:rPr>
        <w:t>BIMA.</w:t>
      </w:r>
    </w:p>
    <w:p w14:paraId="36CD0792" w14:textId="44F0DEB8" w:rsidR="008A62F3" w:rsidRPr="00FF4346" w:rsidRDefault="008A62F3" w:rsidP="00B37B40">
      <w:pPr>
        <w:pStyle w:val="PargrafodaLista"/>
        <w:numPr>
          <w:ilvl w:val="0"/>
          <w:numId w:val="13"/>
        </w:numPr>
        <w:spacing w:before="480" w:after="240"/>
        <w:ind w:left="567" w:hanging="567"/>
        <w:contextualSpacing w:val="0"/>
        <w:rPr>
          <w:rFonts w:ascii="CAIXA Std Book" w:hAnsi="CAIXA Std Book"/>
          <w:b/>
          <w:bCs/>
          <w:color w:val="005CA9"/>
          <w:sz w:val="20"/>
          <w:szCs w:val="20"/>
        </w:rPr>
      </w:pPr>
      <w:r w:rsidRPr="00FF4346">
        <w:rPr>
          <w:rFonts w:ascii="CAIXA Std Book" w:hAnsi="CAIXA Std Book"/>
          <w:b/>
          <w:bCs/>
          <w:color w:val="005CA9"/>
          <w:sz w:val="20"/>
          <w:szCs w:val="20"/>
        </w:rPr>
        <w:t>Ativo problemático</w:t>
      </w:r>
    </w:p>
    <w:p w14:paraId="3A4BD468" w14:textId="0DD2BC02" w:rsidR="008A62F3" w:rsidRPr="00FF4346" w:rsidRDefault="008A62F3" w:rsidP="008A62F3">
      <w:pPr>
        <w:pStyle w:val="Default0"/>
        <w:jc w:val="both"/>
        <w:rPr>
          <w:rFonts w:ascii="CAIXA Std Book" w:hAnsi="CAIXA Std Book"/>
          <w:color w:val="005CA9"/>
          <w:sz w:val="20"/>
          <w:szCs w:val="20"/>
        </w:rPr>
      </w:pPr>
      <w:r w:rsidRPr="00FF4346">
        <w:rPr>
          <w:rFonts w:ascii="CAIXA Std Book" w:hAnsi="CAIXA Std Book"/>
          <w:color w:val="005CA9"/>
          <w:sz w:val="20"/>
          <w:szCs w:val="20"/>
        </w:rPr>
        <w:t xml:space="preserve">De acordo com a Resolução CMN nº 4.557/2017, ativo problemático é um ativo financeiro no qual é verificado que a respectiva obrigação está em atraso há mais de 90 dias e/ou há indicativos de que </w:t>
      </w:r>
      <w:r w:rsidR="0061150A" w:rsidRPr="00FF4346">
        <w:rPr>
          <w:rFonts w:ascii="CAIXA Std Book" w:hAnsi="CAIXA Std Book"/>
          <w:color w:val="005CA9"/>
          <w:sz w:val="20"/>
          <w:szCs w:val="20"/>
        </w:rPr>
        <w:t>essa obrigação</w:t>
      </w:r>
      <w:r w:rsidRPr="00FF4346">
        <w:rPr>
          <w:rFonts w:ascii="CAIXA Std Book" w:hAnsi="CAIXA Std Book"/>
          <w:color w:val="005CA9"/>
          <w:sz w:val="20"/>
          <w:szCs w:val="20"/>
        </w:rPr>
        <w:t xml:space="preserve"> não será integralmente honrada</w:t>
      </w:r>
      <w:r w:rsidR="00625B05" w:rsidRPr="00FF4346">
        <w:rPr>
          <w:rFonts w:ascii="CAIXA Std Book" w:hAnsi="CAIXA Std Book"/>
          <w:color w:val="005CA9"/>
          <w:sz w:val="20"/>
          <w:szCs w:val="20"/>
        </w:rPr>
        <w:t>,</w:t>
      </w:r>
      <w:r w:rsidRPr="00FF4346">
        <w:rPr>
          <w:rFonts w:ascii="CAIXA Std Book" w:hAnsi="CAIXA Std Book"/>
          <w:color w:val="005CA9"/>
          <w:sz w:val="20"/>
          <w:szCs w:val="20"/>
        </w:rPr>
        <w:t xml:space="preserve"> sem que seja necessário recorrer a garantias ou a colaterais.</w:t>
      </w:r>
    </w:p>
    <w:p w14:paraId="0A206397" w14:textId="2317901E" w:rsidR="008A62F3" w:rsidRPr="00FF4346" w:rsidRDefault="008A62F3" w:rsidP="008A62F3">
      <w:pPr>
        <w:spacing w:before="120" w:after="120"/>
        <w:jc w:val="both"/>
        <w:rPr>
          <w:rFonts w:ascii="CAIXA Std Book" w:hAnsi="CAIXA Std Book" w:cs="Cambria Math"/>
          <w:color w:val="005CA9"/>
          <w:sz w:val="20"/>
          <w:szCs w:val="20"/>
        </w:rPr>
      </w:pPr>
      <w:r w:rsidRPr="00752057">
        <w:rPr>
          <w:rFonts w:ascii="CAIXA Std Book" w:hAnsi="CAIXA Std Book" w:cs="Cambria Math"/>
          <w:color w:val="005CA9"/>
          <w:sz w:val="20"/>
          <w:szCs w:val="20"/>
        </w:rPr>
        <w:t>Em 3</w:t>
      </w:r>
      <w:r w:rsidR="006D509E" w:rsidRPr="00752057">
        <w:rPr>
          <w:rFonts w:ascii="CAIXA Std Book" w:hAnsi="CAIXA Std Book" w:cs="Cambria Math"/>
          <w:color w:val="005CA9"/>
          <w:sz w:val="20"/>
          <w:szCs w:val="20"/>
        </w:rPr>
        <w:t>1</w:t>
      </w:r>
      <w:r w:rsidRPr="00752057">
        <w:rPr>
          <w:rFonts w:ascii="CAIXA Std Book" w:hAnsi="CAIXA Std Book" w:cs="Cambria Math"/>
          <w:color w:val="005CA9"/>
          <w:sz w:val="20"/>
          <w:szCs w:val="20"/>
        </w:rPr>
        <w:t>/</w:t>
      </w:r>
      <w:r w:rsidR="002D4809" w:rsidRPr="00752057">
        <w:rPr>
          <w:rFonts w:ascii="CAIXA Std Book" w:hAnsi="CAIXA Std Book" w:cs="Cambria Math"/>
          <w:color w:val="005CA9"/>
          <w:sz w:val="20"/>
          <w:szCs w:val="20"/>
        </w:rPr>
        <w:t>03/2024</w:t>
      </w:r>
      <w:r w:rsidR="001865B5" w:rsidRPr="00752057">
        <w:rPr>
          <w:rFonts w:ascii="CAIXA Std Book" w:hAnsi="CAIXA Std Book" w:cs="Cambria Math"/>
          <w:color w:val="005CA9"/>
          <w:sz w:val="20"/>
          <w:szCs w:val="20"/>
        </w:rPr>
        <w:t>,</w:t>
      </w:r>
      <w:r w:rsidRPr="00752057">
        <w:rPr>
          <w:rFonts w:ascii="CAIXA Std Book" w:hAnsi="CAIXA Std Book" w:cs="Cambria Math"/>
          <w:color w:val="005CA9"/>
          <w:sz w:val="20"/>
          <w:szCs w:val="20"/>
        </w:rPr>
        <w:t xml:space="preserve"> a carteira problemática alcançou o montante de R$</w:t>
      </w:r>
      <w:r w:rsidR="00593D37" w:rsidRPr="00752057">
        <w:rPr>
          <w:rFonts w:ascii="CAIXA Std Book" w:hAnsi="CAIXA Std Book" w:cs="Cambria Math"/>
          <w:color w:val="005CA9"/>
          <w:sz w:val="20"/>
          <w:szCs w:val="20"/>
        </w:rPr>
        <w:t xml:space="preserve"> </w:t>
      </w:r>
      <w:r w:rsidR="001F32FD" w:rsidRPr="00752057">
        <w:rPr>
          <w:rFonts w:ascii="CAIXA Std Book" w:hAnsi="CAIXA Std Book" w:cs="Cambria Math"/>
          <w:color w:val="005CA9"/>
          <w:sz w:val="20"/>
          <w:szCs w:val="20"/>
        </w:rPr>
        <w:t>88.890</w:t>
      </w:r>
      <w:r w:rsidR="003050BA" w:rsidRPr="00752057">
        <w:rPr>
          <w:rFonts w:ascii="CAIXA Std Book" w:hAnsi="CAIXA Std Book" w:cs="Cambria Math"/>
          <w:color w:val="005CA9"/>
          <w:sz w:val="20"/>
          <w:szCs w:val="20"/>
        </w:rPr>
        <w:t>.454</w:t>
      </w:r>
      <w:r w:rsidRPr="00752057">
        <w:rPr>
          <w:rFonts w:ascii="CAIXA Std Book" w:hAnsi="CAIXA Std Book" w:cs="Cambria Math"/>
          <w:color w:val="005CA9"/>
          <w:sz w:val="20"/>
          <w:szCs w:val="20"/>
        </w:rPr>
        <w:t xml:space="preserve"> (31/12/202</w:t>
      </w:r>
      <w:r w:rsidR="00E10C5D" w:rsidRPr="00752057">
        <w:rPr>
          <w:rFonts w:ascii="CAIXA Std Book" w:hAnsi="CAIXA Std Book" w:cs="Cambria Math"/>
          <w:color w:val="005CA9"/>
          <w:sz w:val="20"/>
          <w:szCs w:val="20"/>
        </w:rPr>
        <w:t>3</w:t>
      </w:r>
      <w:r w:rsidRPr="00752057">
        <w:rPr>
          <w:rFonts w:ascii="CAIXA Std Book" w:hAnsi="CAIXA Std Book" w:cs="Cambria Math"/>
          <w:color w:val="005CA9"/>
          <w:sz w:val="20"/>
          <w:szCs w:val="20"/>
        </w:rPr>
        <w:t xml:space="preserve"> - R$ 8</w:t>
      </w:r>
      <w:r w:rsidR="001A0741" w:rsidRPr="00752057">
        <w:rPr>
          <w:rFonts w:ascii="CAIXA Std Book" w:hAnsi="CAIXA Std Book" w:cs="Cambria Math"/>
          <w:color w:val="005CA9"/>
          <w:sz w:val="20"/>
          <w:szCs w:val="20"/>
        </w:rPr>
        <w:t>8.</w:t>
      </w:r>
      <w:r w:rsidR="002634CB" w:rsidRPr="00752057">
        <w:rPr>
          <w:rFonts w:ascii="CAIXA Std Book" w:hAnsi="CAIXA Std Book" w:cs="Cambria Math"/>
          <w:color w:val="005CA9"/>
          <w:sz w:val="20"/>
          <w:szCs w:val="20"/>
        </w:rPr>
        <w:t>577.816</w:t>
      </w:r>
      <w:r w:rsidRPr="00752057">
        <w:rPr>
          <w:rFonts w:ascii="CAIXA Std Book" w:hAnsi="CAIXA Std Book" w:cs="Cambria Math"/>
          <w:color w:val="005CA9"/>
          <w:sz w:val="20"/>
          <w:szCs w:val="20"/>
        </w:rPr>
        <w:t>), sendo constituída provisão no montante de R$</w:t>
      </w:r>
      <w:r w:rsidR="00E10C5D" w:rsidRPr="00752057">
        <w:rPr>
          <w:rFonts w:ascii="CAIXA Std Book" w:hAnsi="CAIXA Std Book" w:cs="Cambria Math"/>
          <w:color w:val="005CA9"/>
          <w:sz w:val="20"/>
          <w:szCs w:val="20"/>
        </w:rPr>
        <w:t xml:space="preserve"> </w:t>
      </w:r>
      <w:r w:rsidR="006648F1" w:rsidRPr="00752057">
        <w:rPr>
          <w:rFonts w:ascii="CAIXA Std Book" w:hAnsi="CAIXA Std Book" w:cs="Cambria Math"/>
          <w:color w:val="005CA9"/>
          <w:sz w:val="20"/>
          <w:szCs w:val="20"/>
        </w:rPr>
        <w:t>31.061.859</w:t>
      </w:r>
      <w:r w:rsidRPr="00752057">
        <w:rPr>
          <w:rFonts w:ascii="CAIXA Std Book" w:hAnsi="CAIXA Std Book" w:cs="Cambria Math"/>
          <w:color w:val="005CA9"/>
          <w:sz w:val="20"/>
          <w:szCs w:val="20"/>
        </w:rPr>
        <w:t xml:space="preserve"> (31/12/202</w:t>
      </w:r>
      <w:r w:rsidR="00E10C5D" w:rsidRPr="00752057">
        <w:rPr>
          <w:rFonts w:ascii="CAIXA Std Book" w:hAnsi="CAIXA Std Book" w:cs="Cambria Math"/>
          <w:color w:val="005CA9"/>
          <w:sz w:val="20"/>
          <w:szCs w:val="20"/>
        </w:rPr>
        <w:t>3</w:t>
      </w:r>
      <w:r w:rsidRPr="00752057">
        <w:rPr>
          <w:rFonts w:ascii="CAIXA Std Book" w:hAnsi="CAIXA Std Book" w:cs="Cambria Math"/>
          <w:color w:val="005CA9"/>
          <w:sz w:val="20"/>
          <w:szCs w:val="20"/>
        </w:rPr>
        <w:t xml:space="preserve"> – R$ </w:t>
      </w:r>
      <w:r w:rsidR="00E10C5D" w:rsidRPr="00752057">
        <w:rPr>
          <w:rFonts w:ascii="CAIXA Std Book" w:hAnsi="CAIXA Std Book" w:cs="Cambria Math"/>
          <w:color w:val="005CA9"/>
          <w:sz w:val="20"/>
          <w:szCs w:val="20"/>
        </w:rPr>
        <w:t>30.247.431</w:t>
      </w:r>
      <w:r w:rsidRPr="00752057">
        <w:rPr>
          <w:rFonts w:ascii="CAIXA Std Book" w:hAnsi="CAIXA Std Book" w:cs="Cambria Math"/>
          <w:color w:val="005CA9"/>
          <w:sz w:val="20"/>
          <w:szCs w:val="20"/>
        </w:rPr>
        <w:t xml:space="preserve">) para a referida carteira. Destaca-se que o componente de maior relevância na carteira decorre da reestruturação que responde por </w:t>
      </w:r>
      <w:r w:rsidR="00581728" w:rsidRPr="00752057">
        <w:rPr>
          <w:rFonts w:ascii="CAIXA Std Book" w:hAnsi="CAIXA Std Book" w:cs="Cambria Math"/>
          <w:color w:val="005CA9"/>
          <w:sz w:val="20"/>
          <w:szCs w:val="20"/>
        </w:rPr>
        <w:t>57,33</w:t>
      </w:r>
      <w:r w:rsidRPr="00752057">
        <w:rPr>
          <w:rFonts w:ascii="CAIXA Std Book" w:hAnsi="CAIXA Std Book" w:cs="Cambria Math"/>
          <w:color w:val="005CA9"/>
          <w:sz w:val="20"/>
          <w:szCs w:val="20"/>
        </w:rPr>
        <w:t xml:space="preserve">% (R$ </w:t>
      </w:r>
      <w:r w:rsidR="007B0B25" w:rsidRPr="00752057">
        <w:rPr>
          <w:rFonts w:ascii="CAIXA Std Book" w:hAnsi="CAIXA Std Book" w:cs="Cambria Math"/>
          <w:color w:val="005CA9"/>
          <w:sz w:val="20"/>
          <w:szCs w:val="20"/>
        </w:rPr>
        <w:t>50.963.196</w:t>
      </w:r>
      <w:r w:rsidRPr="00752057">
        <w:rPr>
          <w:rFonts w:ascii="CAIXA Std Book" w:hAnsi="CAIXA Std Book" w:cs="Cambria Math"/>
          <w:color w:val="005CA9"/>
          <w:sz w:val="20"/>
          <w:szCs w:val="20"/>
        </w:rPr>
        <w:t>) da exposição problemática</w:t>
      </w:r>
      <w:r w:rsidR="00882BAD" w:rsidRPr="00752057">
        <w:rPr>
          <w:rFonts w:ascii="CAIXA Std Book" w:hAnsi="CAIXA Std Book" w:cs="Cambria Math"/>
          <w:color w:val="005CA9"/>
          <w:sz w:val="20"/>
          <w:szCs w:val="20"/>
        </w:rPr>
        <w:t>,</w:t>
      </w:r>
      <w:r w:rsidRPr="00752057">
        <w:rPr>
          <w:rFonts w:ascii="CAIXA Std Book" w:hAnsi="CAIXA Std Book" w:cs="Cambria Math"/>
          <w:color w:val="005CA9"/>
          <w:sz w:val="20"/>
          <w:szCs w:val="20"/>
        </w:rPr>
        <w:t xml:space="preserve"> justificado pela característica de longo prazo do crédito habitacional, cuja representatividade é de </w:t>
      </w:r>
      <w:r w:rsidR="00E0223A" w:rsidRPr="00752057">
        <w:rPr>
          <w:rFonts w:ascii="CAIXA Std Book" w:hAnsi="CAIXA Std Book" w:cs="Cambria Math"/>
          <w:color w:val="005CA9"/>
          <w:sz w:val="20"/>
          <w:szCs w:val="20"/>
        </w:rPr>
        <w:t>69,29</w:t>
      </w:r>
      <w:r w:rsidRPr="00752057">
        <w:rPr>
          <w:rFonts w:ascii="CAIXA Std Book" w:hAnsi="CAIXA Std Book" w:cs="Cambria Math"/>
          <w:color w:val="005CA9"/>
          <w:sz w:val="20"/>
          <w:szCs w:val="20"/>
        </w:rPr>
        <w:t xml:space="preserve">% (R$ </w:t>
      </w:r>
      <w:r w:rsidR="00AF5C83" w:rsidRPr="00752057">
        <w:rPr>
          <w:rFonts w:ascii="CAIXA Std Book" w:hAnsi="CAIXA Std Book" w:cs="Cambria Math"/>
          <w:color w:val="005CA9"/>
          <w:sz w:val="20"/>
          <w:szCs w:val="20"/>
        </w:rPr>
        <w:t>61.590.</w:t>
      </w:r>
      <w:r w:rsidR="00752057" w:rsidRPr="00752057">
        <w:rPr>
          <w:rFonts w:ascii="CAIXA Std Book" w:hAnsi="CAIXA Std Book" w:cs="Cambria Math"/>
          <w:color w:val="005CA9"/>
          <w:sz w:val="20"/>
          <w:szCs w:val="20"/>
        </w:rPr>
        <w:t>407</w:t>
      </w:r>
      <w:r w:rsidRPr="00752057">
        <w:rPr>
          <w:rFonts w:ascii="CAIXA Std Book" w:hAnsi="CAIXA Std Book" w:cs="Cambria Math"/>
          <w:color w:val="005CA9"/>
          <w:sz w:val="20"/>
          <w:szCs w:val="20"/>
        </w:rPr>
        <w:t>).</w:t>
      </w:r>
    </w:p>
    <w:p w14:paraId="77D150E0" w14:textId="230D7ABA" w:rsidR="0036308B" w:rsidRDefault="0036308B" w:rsidP="00B37B40">
      <w:pPr>
        <w:pStyle w:val="PargrafodaLista"/>
        <w:numPr>
          <w:ilvl w:val="0"/>
          <w:numId w:val="13"/>
        </w:numPr>
        <w:spacing w:before="480" w:after="240"/>
        <w:ind w:left="567" w:hanging="567"/>
        <w:contextualSpacing w:val="0"/>
        <w:rPr>
          <w:rFonts w:ascii="CAIXA Std Book" w:hAnsi="CAIXA Std Book"/>
          <w:b/>
          <w:bCs/>
          <w:color w:val="005CA9"/>
          <w:sz w:val="20"/>
          <w:szCs w:val="20"/>
        </w:rPr>
      </w:pPr>
      <w:r>
        <w:rPr>
          <w:rFonts w:ascii="CAIXA Std Book" w:hAnsi="CAIXA Std Book"/>
          <w:b/>
          <w:bCs/>
          <w:color w:val="005CA9"/>
          <w:sz w:val="20"/>
          <w:szCs w:val="20"/>
        </w:rPr>
        <w:t>P</w:t>
      </w:r>
      <w:r w:rsidR="009D434C">
        <w:rPr>
          <w:rFonts w:ascii="CAIXA Std Book" w:hAnsi="CAIXA Std Book"/>
          <w:b/>
          <w:bCs/>
          <w:color w:val="005CA9"/>
          <w:sz w:val="20"/>
          <w:szCs w:val="20"/>
        </w:rPr>
        <w:t>rograma de desligamento</w:t>
      </w:r>
      <w:r>
        <w:rPr>
          <w:rFonts w:ascii="CAIXA Std Book" w:hAnsi="CAIXA Std Book"/>
          <w:b/>
          <w:bCs/>
          <w:color w:val="005CA9"/>
          <w:sz w:val="20"/>
          <w:szCs w:val="20"/>
        </w:rPr>
        <w:t xml:space="preserve"> voluntári</w:t>
      </w:r>
      <w:r w:rsidR="009D434C">
        <w:rPr>
          <w:rFonts w:ascii="CAIXA Std Book" w:hAnsi="CAIXA Std Book"/>
          <w:b/>
          <w:bCs/>
          <w:color w:val="005CA9"/>
          <w:sz w:val="20"/>
          <w:szCs w:val="20"/>
        </w:rPr>
        <w:t>o</w:t>
      </w:r>
    </w:p>
    <w:p w14:paraId="5E834636" w14:textId="77777777" w:rsidR="00002AFA" w:rsidRDefault="00002AFA" w:rsidP="00002AFA">
      <w:pPr>
        <w:spacing w:before="120" w:after="120"/>
        <w:jc w:val="both"/>
        <w:rPr>
          <w:rFonts w:ascii="CAIXA Std Book" w:hAnsi="CAIXA Std Book" w:cs="Cambria Math"/>
          <w:color w:val="005CA9"/>
          <w:sz w:val="20"/>
          <w:szCs w:val="20"/>
        </w:rPr>
      </w:pPr>
      <w:r w:rsidRPr="00002AFA">
        <w:rPr>
          <w:rFonts w:ascii="CAIXA Std Book" w:hAnsi="CAIXA Std Book" w:cs="Cambria Math"/>
          <w:color w:val="005CA9"/>
          <w:sz w:val="20"/>
          <w:szCs w:val="20"/>
        </w:rPr>
        <w:t>A CAIXA anunciou em 04/03/2024 a abertura do Programa de Desligamento Voluntário – PDV aos empregados que manifestarem interesse em se desligar da empresa. O prazo para adesão ocorrerá até 31/05/2024 com o limite de 3200 desligamentos. O período de desligamentos dos contemplados no PDV será entre 1º de julho e 30 de agosto. O valor estimado com o desligamento é de R$ 875.134 a título de provisão com as verbas indenizatórias e auxílios financeiros.</w:t>
      </w:r>
    </w:p>
    <w:p w14:paraId="5D4938DD" w14:textId="1A70430B" w:rsidR="008E38B6" w:rsidRPr="00FF4346" w:rsidRDefault="00926F02" w:rsidP="005A596E">
      <w:pPr>
        <w:pStyle w:val="Ttulo1"/>
      </w:pPr>
      <w:bookmarkStart w:id="139" w:name="_Toc166594511"/>
      <w:bookmarkStart w:id="140" w:name="_Hlk65763178"/>
      <w:r w:rsidRPr="00FF4346">
        <w:t xml:space="preserve">Nota 36 </w:t>
      </w:r>
      <w:r w:rsidR="008F4736" w:rsidRPr="00FF4346">
        <w:t>–</w:t>
      </w:r>
      <w:r w:rsidRPr="00FF4346">
        <w:t xml:space="preserve"> </w:t>
      </w:r>
      <w:r w:rsidR="008E38B6" w:rsidRPr="00FF4346">
        <w:t>Evento</w:t>
      </w:r>
      <w:r w:rsidR="00997D19" w:rsidRPr="00FF4346">
        <w:t>s</w:t>
      </w:r>
      <w:r w:rsidR="008E38B6" w:rsidRPr="00FF4346">
        <w:t xml:space="preserve"> </w:t>
      </w:r>
      <w:r w:rsidR="00361F96" w:rsidRPr="00FF4346">
        <w:t>s</w:t>
      </w:r>
      <w:r w:rsidR="008E38B6" w:rsidRPr="00FF4346">
        <w:t>ubsequente</w:t>
      </w:r>
      <w:r w:rsidR="00361F96" w:rsidRPr="00FF4346">
        <w:t>s</w:t>
      </w:r>
      <w:bookmarkEnd w:id="139"/>
    </w:p>
    <w:p w14:paraId="3FDF6DA1" w14:textId="77777777" w:rsidR="00052B2B" w:rsidRPr="00F30691" w:rsidRDefault="00052B2B" w:rsidP="00F30691">
      <w:pPr>
        <w:spacing w:before="480" w:after="240"/>
        <w:rPr>
          <w:rFonts w:ascii="CAIXA Std Book" w:hAnsi="CAIXA Std Book" w:cs="Cambria Math"/>
          <w:color w:val="005CA9"/>
          <w:sz w:val="20"/>
          <w:szCs w:val="20"/>
        </w:rPr>
      </w:pPr>
      <w:r w:rsidRPr="00F30691">
        <w:rPr>
          <w:rFonts w:ascii="CAIXA Std Book" w:hAnsi="CAIXA Std Book"/>
          <w:b/>
          <w:bCs/>
          <w:color w:val="005CA9"/>
          <w:sz w:val="20"/>
          <w:szCs w:val="20"/>
        </w:rPr>
        <w:t>Caixa Loterias</w:t>
      </w:r>
    </w:p>
    <w:p w14:paraId="797D90A0" w14:textId="77777777" w:rsidR="00052B2B" w:rsidRPr="00F06945" w:rsidRDefault="00052B2B" w:rsidP="00052B2B">
      <w:pPr>
        <w:spacing w:before="120" w:after="120"/>
        <w:jc w:val="both"/>
        <w:rPr>
          <w:rFonts w:ascii="CAIXA Std Book" w:hAnsi="CAIXA Std Book" w:cs="Cambria Math"/>
          <w:color w:val="005CA9"/>
          <w:sz w:val="20"/>
          <w:szCs w:val="20"/>
        </w:rPr>
      </w:pPr>
      <w:r>
        <w:rPr>
          <w:rFonts w:ascii="CAIXA Std Book" w:hAnsi="CAIXA Std Book" w:cs="Cambria Math"/>
          <w:color w:val="005CA9"/>
          <w:sz w:val="20"/>
          <w:szCs w:val="20"/>
        </w:rPr>
        <w:t>O</w:t>
      </w:r>
      <w:r w:rsidRPr="00F06945">
        <w:rPr>
          <w:rFonts w:ascii="CAIXA Std Book" w:hAnsi="CAIXA Std Book" w:cs="Cambria Math"/>
          <w:color w:val="005CA9"/>
          <w:sz w:val="20"/>
          <w:szCs w:val="20"/>
        </w:rPr>
        <w:t xml:space="preserve"> Conselho de Administração aprovou, </w:t>
      </w:r>
      <w:r>
        <w:rPr>
          <w:rFonts w:ascii="CAIXA Std Book" w:hAnsi="CAIXA Std Book" w:cs="Cambria Math"/>
          <w:color w:val="005CA9"/>
          <w:sz w:val="20"/>
          <w:szCs w:val="20"/>
        </w:rPr>
        <w:t>em 17/04/2024,</w:t>
      </w:r>
      <w:r w:rsidRPr="00F06945">
        <w:rPr>
          <w:rFonts w:ascii="CAIXA Std Book" w:hAnsi="CAIXA Std Book" w:cs="Cambria Math"/>
          <w:color w:val="005CA9"/>
          <w:sz w:val="20"/>
          <w:szCs w:val="20"/>
        </w:rPr>
        <w:t xml:space="preserve"> a migração dos negócios de Loterias da CAIXA para a CAIXA Loterias S.A., sua subsidiária integral.</w:t>
      </w:r>
      <w:r>
        <w:rPr>
          <w:rFonts w:ascii="CAIXA Std Book" w:hAnsi="CAIXA Std Book" w:cs="Cambria Math"/>
          <w:color w:val="005CA9"/>
          <w:sz w:val="20"/>
          <w:szCs w:val="20"/>
        </w:rPr>
        <w:t xml:space="preserve"> </w:t>
      </w:r>
      <w:r w:rsidRPr="00F06945">
        <w:rPr>
          <w:rFonts w:ascii="CAIXA Std Book" w:hAnsi="CAIXA Std Book" w:cs="Cambria Math"/>
          <w:color w:val="005CA9"/>
          <w:sz w:val="20"/>
          <w:szCs w:val="20"/>
        </w:rPr>
        <w:t>A migração conferirá maior foco e contribuirá para o objetivo de modernização do negócio de loterias, expansão do mercado de jogos, diversificação dos produtos e incremento do resultado.</w:t>
      </w:r>
    </w:p>
    <w:p w14:paraId="08169518" w14:textId="69686E06" w:rsidR="00150EC6" w:rsidRPr="00FF4346" w:rsidRDefault="00150EC6" w:rsidP="00181AC1">
      <w:pPr>
        <w:spacing w:before="120" w:after="120"/>
        <w:ind w:right="139"/>
        <w:jc w:val="both"/>
        <w:rPr>
          <w:rFonts w:ascii="CAIXA Std Book" w:hAnsi="CAIXA Std Book"/>
          <w:color w:val="005CA9"/>
          <w:sz w:val="20"/>
          <w:szCs w:val="20"/>
        </w:rPr>
      </w:pPr>
    </w:p>
    <w:p w14:paraId="4A753BA1" w14:textId="329566E7" w:rsidR="0056310D" w:rsidRPr="00FF4346" w:rsidRDefault="0056310D">
      <w:pPr>
        <w:rPr>
          <w:rFonts w:ascii="CAIXA Std Book" w:hAnsi="CAIXA Std Book" w:cs="Cambria Math"/>
          <w:color w:val="005CA9"/>
          <w:sz w:val="20"/>
          <w:szCs w:val="20"/>
        </w:rPr>
      </w:pPr>
      <w:r w:rsidRPr="00FF4346">
        <w:rPr>
          <w:rFonts w:ascii="CAIXA Std Book" w:hAnsi="CAIXA Std Book"/>
          <w:color w:val="005CA9"/>
          <w:sz w:val="20"/>
          <w:szCs w:val="20"/>
        </w:rPr>
        <w:br w:type="page"/>
      </w:r>
    </w:p>
    <w:p w14:paraId="3760F21A" w14:textId="1D34A517" w:rsidR="00F6722D" w:rsidRPr="00FF4346" w:rsidRDefault="00F6722D" w:rsidP="0056310D">
      <w:pPr>
        <w:rPr>
          <w:rFonts w:ascii="CAIXA Std Book" w:hAnsi="CAIXA Std Book"/>
          <w:color w:val="005CA9"/>
          <w:sz w:val="16"/>
          <w:szCs w:val="16"/>
        </w:rPr>
      </w:pPr>
    </w:p>
    <w:p w14:paraId="3CBC3239" w14:textId="77777777" w:rsidR="0056310D" w:rsidRPr="00FF4346" w:rsidRDefault="0056310D" w:rsidP="0056310D">
      <w:pPr>
        <w:rPr>
          <w:rFonts w:ascii="CAIXA Std Book" w:hAnsi="CAIXA Std Book"/>
          <w:color w:val="005CA9"/>
          <w:sz w:val="16"/>
          <w:szCs w:val="16"/>
        </w:rPr>
      </w:pPr>
    </w:p>
    <w:p w14:paraId="28E4DB3B" w14:textId="77777777" w:rsidR="008133D9" w:rsidRPr="00FF4346" w:rsidRDefault="008133D9" w:rsidP="009A006C">
      <w:pPr>
        <w:ind w:left="425" w:hanging="425"/>
        <w:rPr>
          <w:rFonts w:ascii="CAIXA Std Book" w:hAnsi="CAIXA Std Book"/>
          <w:color w:val="005CA9"/>
          <w:sz w:val="16"/>
          <w:szCs w:val="16"/>
        </w:rPr>
      </w:pPr>
    </w:p>
    <w:p w14:paraId="722EFBFE"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p>
    <w:p w14:paraId="4ABD01FE" w14:textId="33F6B7CD" w:rsidR="00F6722D" w:rsidRPr="00FF4346" w:rsidRDefault="00A91BAC" w:rsidP="00F6722D">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 xml:space="preserve">Carlos Antonio Vieira </w:t>
      </w:r>
      <w:r w:rsidR="008F7DE8" w:rsidRPr="00FF4346">
        <w:rPr>
          <w:rFonts w:ascii="CAIXA Std Book" w:hAnsi="CAIXA Std Book"/>
          <w:color w:val="005CA9"/>
          <w:sz w:val="20"/>
          <w:szCs w:val="20"/>
        </w:rPr>
        <w:t>Fernandes</w:t>
      </w:r>
    </w:p>
    <w:p w14:paraId="50A163AC" w14:textId="742F16D3" w:rsidR="00F6722D" w:rsidRPr="00FF4346" w:rsidRDefault="00F6722D" w:rsidP="00F6722D">
      <w:pPr>
        <w:tabs>
          <w:tab w:val="left" w:pos="4921"/>
          <w:tab w:val="decimal" w:pos="8948"/>
        </w:tabs>
        <w:suppressAutoHyphens/>
        <w:autoSpaceDE w:val="0"/>
        <w:autoSpaceDN w:val="0"/>
        <w:adjustRightInd w:val="0"/>
        <w:jc w:val="both"/>
        <w:rPr>
          <w:rFonts w:ascii="CAIXA Std Book" w:hAnsi="CAIXA Std Book"/>
          <w:color w:val="005CA9"/>
          <w:sz w:val="20"/>
          <w:szCs w:val="20"/>
        </w:rPr>
      </w:pPr>
      <w:bookmarkStart w:id="141" w:name="_Hlk48230001"/>
      <w:r w:rsidRPr="00FF4346">
        <w:rPr>
          <w:rFonts w:ascii="CAIXA Std Book" w:hAnsi="CAIXA Std Book"/>
          <w:color w:val="005CA9"/>
          <w:sz w:val="20"/>
          <w:szCs w:val="20"/>
        </w:rPr>
        <w:t>President</w:t>
      </w:r>
      <w:r w:rsidR="00321762" w:rsidRPr="00FF4346">
        <w:rPr>
          <w:rFonts w:ascii="CAIXA Std Book" w:hAnsi="CAIXA Std Book"/>
          <w:color w:val="005CA9"/>
          <w:sz w:val="20"/>
          <w:szCs w:val="20"/>
        </w:rPr>
        <w:t>e</w:t>
      </w:r>
    </w:p>
    <w:p w14:paraId="5A79A45C" w14:textId="77777777" w:rsidR="00F6722D" w:rsidRPr="00FF4346" w:rsidRDefault="00F6722D" w:rsidP="00F6722D">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1B2C036B" w14:textId="77777777" w:rsidR="00362310" w:rsidRPr="00FF4346" w:rsidRDefault="00362310" w:rsidP="00F6722D">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498E0B20" w14:textId="77777777" w:rsidR="00362310" w:rsidRPr="00FF4346" w:rsidRDefault="00362310" w:rsidP="00F6722D">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07A34653" w14:textId="77777777" w:rsidR="00F6722D" w:rsidRPr="00FF4346" w:rsidRDefault="00F6722D" w:rsidP="00F6722D">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7D322492" w14:textId="77B2EFE7" w:rsidR="0031241E" w:rsidRPr="00FF4346" w:rsidRDefault="007B30CB"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Adriano Assis Matias</w:t>
      </w:r>
      <w:r w:rsidR="0031241E" w:rsidRPr="00FF4346">
        <w:rPr>
          <w:rFonts w:ascii="CAIXA Std Book" w:hAnsi="CAIXA Std Book"/>
          <w:color w:val="005CA9"/>
          <w:sz w:val="20"/>
          <w:szCs w:val="20"/>
        </w:rPr>
        <w:tab/>
      </w:r>
      <w:r w:rsidR="005E5143" w:rsidRPr="00FF4346">
        <w:rPr>
          <w:rFonts w:ascii="CAIXA Std Book" w:hAnsi="CAIXA Std Book"/>
          <w:color w:val="005CA9"/>
          <w:sz w:val="20"/>
          <w:szCs w:val="20"/>
        </w:rPr>
        <w:t xml:space="preserve">Francisco </w:t>
      </w:r>
      <w:proofErr w:type="spellStart"/>
      <w:r w:rsidR="005E5143" w:rsidRPr="00FF4346">
        <w:rPr>
          <w:rFonts w:ascii="CAIXA Std Book" w:hAnsi="CAIXA Std Book"/>
          <w:color w:val="005CA9"/>
          <w:sz w:val="20"/>
          <w:szCs w:val="20"/>
        </w:rPr>
        <w:t>Egidio</w:t>
      </w:r>
      <w:proofErr w:type="spellEnd"/>
      <w:r w:rsidR="005E5143" w:rsidRPr="00FF4346">
        <w:rPr>
          <w:rFonts w:ascii="CAIXA Std Book" w:hAnsi="CAIXA Std Book"/>
          <w:color w:val="005CA9"/>
          <w:sz w:val="20"/>
          <w:szCs w:val="20"/>
        </w:rPr>
        <w:t xml:space="preserve"> </w:t>
      </w:r>
      <w:proofErr w:type="spellStart"/>
      <w:r w:rsidR="005E5143" w:rsidRPr="00FF4346">
        <w:rPr>
          <w:rFonts w:ascii="CAIXA Std Book" w:hAnsi="CAIXA Std Book"/>
          <w:color w:val="005CA9"/>
          <w:sz w:val="20"/>
          <w:szCs w:val="20"/>
        </w:rPr>
        <w:t>Pelucio</w:t>
      </w:r>
      <w:proofErr w:type="spellEnd"/>
      <w:r w:rsidR="005E5143" w:rsidRPr="00FF4346">
        <w:rPr>
          <w:rFonts w:ascii="CAIXA Std Book" w:hAnsi="CAIXA Std Book"/>
          <w:color w:val="005CA9"/>
          <w:sz w:val="20"/>
          <w:szCs w:val="20"/>
        </w:rPr>
        <w:t xml:space="preserve"> Martins</w:t>
      </w:r>
    </w:p>
    <w:p w14:paraId="07B1EA02" w14:textId="1DDEC253"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Vice-presidente</w:t>
      </w:r>
      <w:r w:rsidRPr="00FF4346">
        <w:rPr>
          <w:rFonts w:ascii="CAIXA Std Book" w:hAnsi="CAIXA Std Book"/>
          <w:color w:val="005CA9"/>
          <w:sz w:val="20"/>
          <w:szCs w:val="20"/>
        </w:rPr>
        <w:tab/>
        <w:t>Vice-presidente</w:t>
      </w:r>
    </w:p>
    <w:p w14:paraId="4F6AF0AB"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549FB4D3"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0DE8E14A"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A17972B"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60F2ACF" w14:textId="2DE38FA0" w:rsidR="0031241E" w:rsidRPr="00FF4346" w:rsidRDefault="005E5143"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proofErr w:type="spellStart"/>
      <w:r w:rsidRPr="00FF4346">
        <w:rPr>
          <w:rFonts w:ascii="CAIXA Std Book" w:hAnsi="CAIXA Std Book"/>
          <w:color w:val="005CA9"/>
          <w:sz w:val="20"/>
          <w:szCs w:val="20"/>
        </w:rPr>
        <w:t>Henriete</w:t>
      </w:r>
      <w:proofErr w:type="spellEnd"/>
      <w:r w:rsidRPr="00FF4346">
        <w:rPr>
          <w:rFonts w:ascii="CAIXA Std Book" w:hAnsi="CAIXA Std Book"/>
          <w:color w:val="005CA9"/>
          <w:sz w:val="20"/>
          <w:szCs w:val="20"/>
        </w:rPr>
        <w:t xml:space="preserve"> Alexandra Sartori Bernabé</w:t>
      </w:r>
      <w:r w:rsidR="0031241E" w:rsidRPr="00FF4346">
        <w:rPr>
          <w:rFonts w:ascii="CAIXA Std Book" w:hAnsi="CAIXA Std Book"/>
          <w:color w:val="005CA9"/>
          <w:sz w:val="20"/>
          <w:szCs w:val="20"/>
        </w:rPr>
        <w:tab/>
      </w:r>
      <w:r w:rsidR="009F70DA" w:rsidRPr="00FF4346">
        <w:rPr>
          <w:rFonts w:ascii="CAIXA Std Book" w:hAnsi="CAIXA Std Book"/>
          <w:color w:val="005CA9"/>
          <w:sz w:val="20"/>
          <w:szCs w:val="20"/>
        </w:rPr>
        <w:t>Inês da Silva Magalhães</w:t>
      </w:r>
    </w:p>
    <w:p w14:paraId="7EEA0709"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Vice-presidente</w:t>
      </w:r>
      <w:r w:rsidRPr="00FF4346">
        <w:rPr>
          <w:rFonts w:ascii="CAIXA Std Book" w:hAnsi="CAIXA Std Book"/>
          <w:color w:val="005CA9"/>
          <w:sz w:val="20"/>
          <w:szCs w:val="20"/>
        </w:rPr>
        <w:tab/>
        <w:t>Vice-presidente</w:t>
      </w:r>
    </w:p>
    <w:p w14:paraId="731CDB2E"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51157BE" w14:textId="77777777" w:rsidR="0031241E" w:rsidRPr="00FF4346" w:rsidRDefault="0031241E" w:rsidP="0031241E">
      <w:pPr>
        <w:tabs>
          <w:tab w:val="left" w:pos="0"/>
          <w:tab w:val="left" w:pos="218"/>
          <w:tab w:val="left" w:pos="436"/>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755FDA61"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7949AA94"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1A21ECF9" w14:textId="090D6002" w:rsidR="0031241E" w:rsidRPr="00FF4346" w:rsidRDefault="00503317"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Laércio Roberto Lemos de Souza</w:t>
      </w:r>
      <w:r w:rsidR="0031241E" w:rsidRPr="00FF4346">
        <w:rPr>
          <w:rFonts w:ascii="CAIXA Std Book" w:hAnsi="CAIXA Std Book"/>
          <w:color w:val="005CA9"/>
          <w:sz w:val="20"/>
          <w:szCs w:val="20"/>
        </w:rPr>
        <w:tab/>
      </w:r>
      <w:r w:rsidR="004F1B26" w:rsidRPr="00AC3FE0">
        <w:rPr>
          <w:rFonts w:ascii="CAIXA Std Book" w:hAnsi="CAIXA Std Book"/>
          <w:color w:val="005CA9"/>
          <w:sz w:val="20"/>
          <w:szCs w:val="20"/>
        </w:rPr>
        <w:t xml:space="preserve">Marcelo </w:t>
      </w:r>
      <w:r w:rsidR="008627E9">
        <w:rPr>
          <w:rFonts w:ascii="CAIXA Std Book" w:hAnsi="CAIXA Std Book"/>
          <w:color w:val="005CA9"/>
          <w:sz w:val="20"/>
          <w:szCs w:val="20"/>
        </w:rPr>
        <w:t>Campos Prata</w:t>
      </w:r>
    </w:p>
    <w:p w14:paraId="228CD404"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Vice-presidente</w:t>
      </w:r>
      <w:r w:rsidRPr="00FF4346">
        <w:rPr>
          <w:rFonts w:ascii="CAIXA Std Book" w:hAnsi="CAIXA Std Book"/>
          <w:color w:val="005CA9"/>
          <w:sz w:val="20"/>
          <w:szCs w:val="20"/>
        </w:rPr>
        <w:tab/>
        <w:t>Vice-presidente</w:t>
      </w:r>
    </w:p>
    <w:p w14:paraId="0FAE62D7"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0128D3A"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52C0A99C"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18EB0000" w14:textId="77777777" w:rsidR="001A6067" w:rsidRPr="00FF4346" w:rsidRDefault="001A6067" w:rsidP="001A6067">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4437A0B6" w14:textId="5F0AC3DC" w:rsidR="0031241E" w:rsidRPr="00FF4346" w:rsidRDefault="00675B9A" w:rsidP="001A6067">
      <w:pPr>
        <w:rPr>
          <w:rFonts w:ascii="CAIXA Std Book" w:hAnsi="CAIXA Std Book"/>
          <w:color w:val="005CA9"/>
          <w:sz w:val="20"/>
          <w:szCs w:val="20"/>
        </w:rPr>
      </w:pPr>
      <w:r w:rsidRPr="00FF4346">
        <w:rPr>
          <w:rFonts w:ascii="CAIXA Std Book" w:hAnsi="CAIXA Std Book"/>
          <w:color w:val="005CA9"/>
          <w:sz w:val="20"/>
          <w:szCs w:val="20"/>
        </w:rPr>
        <w:t>Marcos Brasiliano Rosa</w:t>
      </w:r>
      <w:r w:rsidR="0031241E" w:rsidRPr="00FF4346">
        <w:rPr>
          <w:rFonts w:ascii="CAIXA Std Book" w:hAnsi="CAIXA Std Book"/>
          <w:color w:val="005CA9"/>
          <w:sz w:val="20"/>
          <w:szCs w:val="20"/>
        </w:rPr>
        <w:tab/>
      </w:r>
      <w:r w:rsidR="001A6067" w:rsidRPr="00FF4346">
        <w:rPr>
          <w:rFonts w:ascii="CAIXA Std Book" w:hAnsi="CAIXA Std Book"/>
          <w:color w:val="005CA9"/>
          <w:sz w:val="20"/>
          <w:szCs w:val="20"/>
        </w:rPr>
        <w:tab/>
      </w:r>
      <w:r w:rsidR="001A6067" w:rsidRPr="00FF4346">
        <w:rPr>
          <w:rFonts w:ascii="CAIXA Std Book" w:hAnsi="CAIXA Std Book"/>
          <w:color w:val="005CA9"/>
          <w:sz w:val="20"/>
          <w:szCs w:val="20"/>
        </w:rPr>
        <w:tab/>
      </w:r>
      <w:r w:rsidR="001A6067" w:rsidRPr="00FF4346">
        <w:rPr>
          <w:rFonts w:ascii="CAIXA Std Book" w:hAnsi="CAIXA Std Book"/>
          <w:color w:val="005CA9"/>
          <w:sz w:val="20"/>
          <w:szCs w:val="20"/>
        </w:rPr>
        <w:tab/>
      </w:r>
      <w:r w:rsidR="005D3294">
        <w:rPr>
          <w:rFonts w:ascii="CAIXA Std Book" w:hAnsi="CAIXA Std Book"/>
          <w:color w:val="005CA9"/>
          <w:sz w:val="20"/>
          <w:szCs w:val="20"/>
        </w:rPr>
        <w:tab/>
      </w:r>
      <w:r w:rsidR="005D3294" w:rsidRPr="00FF4346">
        <w:rPr>
          <w:rFonts w:ascii="CAIXA Std Book" w:hAnsi="CAIXA Std Book"/>
          <w:color w:val="005CA9"/>
          <w:sz w:val="20"/>
          <w:szCs w:val="20"/>
        </w:rPr>
        <w:t>Paulo Rodrigo De Lemos Lopes</w:t>
      </w:r>
      <w:r w:rsidR="0031241E" w:rsidRPr="00FF4346">
        <w:rPr>
          <w:rFonts w:ascii="CAIXA Std Book" w:hAnsi="CAIXA Std Book"/>
          <w:color w:val="005CA9"/>
          <w:sz w:val="20"/>
          <w:szCs w:val="20"/>
        </w:rPr>
        <w:tab/>
        <w:t xml:space="preserve"> </w:t>
      </w:r>
    </w:p>
    <w:p w14:paraId="251D3432" w14:textId="3C20CE0A" w:rsidR="0031241E" w:rsidRPr="00FF4346" w:rsidRDefault="001A6067" w:rsidP="001A6067">
      <w:pPr>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Vice-Presidente</w:t>
      </w:r>
      <w:r w:rsidRPr="00FF4346">
        <w:rPr>
          <w:rFonts w:ascii="CAIXA Std Book" w:hAnsi="CAIXA Std Book"/>
          <w:color w:val="005CA9"/>
          <w:sz w:val="20"/>
          <w:szCs w:val="20"/>
        </w:rPr>
        <w:tab/>
      </w:r>
      <w:r w:rsidRPr="00FF4346">
        <w:rPr>
          <w:rFonts w:ascii="CAIXA Std Book" w:hAnsi="CAIXA Std Book"/>
          <w:color w:val="005CA9"/>
          <w:sz w:val="20"/>
          <w:szCs w:val="20"/>
        </w:rPr>
        <w:tab/>
      </w:r>
      <w:r w:rsidRPr="00FF4346">
        <w:rPr>
          <w:rFonts w:ascii="CAIXA Std Book" w:hAnsi="CAIXA Std Book"/>
          <w:color w:val="005CA9"/>
          <w:sz w:val="20"/>
          <w:szCs w:val="20"/>
        </w:rPr>
        <w:tab/>
      </w:r>
      <w:r w:rsidRPr="00FF4346">
        <w:rPr>
          <w:rFonts w:ascii="CAIXA Std Book" w:hAnsi="CAIXA Std Book"/>
          <w:color w:val="005CA9"/>
          <w:sz w:val="20"/>
          <w:szCs w:val="20"/>
        </w:rPr>
        <w:tab/>
      </w:r>
      <w:r w:rsidRPr="00FF4346">
        <w:rPr>
          <w:rFonts w:ascii="CAIXA Std Book" w:hAnsi="CAIXA Std Book"/>
          <w:color w:val="005CA9"/>
          <w:sz w:val="20"/>
          <w:szCs w:val="20"/>
        </w:rPr>
        <w:tab/>
      </w:r>
      <w:r w:rsidR="0031241E" w:rsidRPr="00FF4346">
        <w:rPr>
          <w:rFonts w:ascii="CAIXA Std Book" w:hAnsi="CAIXA Std Book"/>
          <w:color w:val="005CA9"/>
          <w:sz w:val="20"/>
          <w:szCs w:val="20"/>
        </w:rPr>
        <w:t>Vice-presidente</w:t>
      </w:r>
      <w:r w:rsidR="0031241E" w:rsidRPr="00FF4346">
        <w:rPr>
          <w:rFonts w:ascii="CAIXA Std Book" w:hAnsi="CAIXA Std Book"/>
          <w:color w:val="005CA9"/>
          <w:sz w:val="20"/>
          <w:szCs w:val="20"/>
        </w:rPr>
        <w:tab/>
      </w:r>
    </w:p>
    <w:p w14:paraId="6C681FFA"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719FB466"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16D8B38E"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126D03DD" w14:textId="77777777" w:rsidR="0031241E" w:rsidRPr="00FF4346" w:rsidRDefault="0031241E" w:rsidP="0031241E">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A62659F" w14:textId="0FFA5ED6" w:rsidR="004E0EBE" w:rsidRPr="00FF4346" w:rsidRDefault="00675B9A" w:rsidP="004E0EB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Tarso Duarte De Tassis</w:t>
      </w:r>
      <w:r w:rsidR="0031241E" w:rsidRPr="00FF4346">
        <w:rPr>
          <w:rFonts w:ascii="CAIXA Std Book" w:hAnsi="CAIXA Std Book"/>
          <w:color w:val="005CA9"/>
          <w:sz w:val="20"/>
          <w:szCs w:val="20"/>
        </w:rPr>
        <w:tab/>
      </w:r>
      <w:r w:rsidR="005D3294">
        <w:rPr>
          <w:rFonts w:ascii="CAIXA Std Book" w:hAnsi="CAIXA Std Book"/>
          <w:color w:val="005CA9"/>
          <w:sz w:val="20"/>
          <w:szCs w:val="20"/>
        </w:rPr>
        <w:t>T</w:t>
      </w:r>
      <w:r w:rsidR="00C31747">
        <w:rPr>
          <w:rFonts w:ascii="CAIXA Std Book" w:hAnsi="CAIXA Std Book"/>
          <w:color w:val="005CA9"/>
          <w:sz w:val="20"/>
          <w:szCs w:val="20"/>
        </w:rPr>
        <w:t>iago Cordeiro de Oliveira</w:t>
      </w:r>
      <w:r w:rsidR="0031241E" w:rsidRPr="00FF4346">
        <w:rPr>
          <w:rFonts w:ascii="CAIXA Std Book" w:hAnsi="CAIXA Std Book"/>
          <w:color w:val="005CA9"/>
          <w:sz w:val="20"/>
          <w:szCs w:val="20"/>
        </w:rPr>
        <w:tab/>
      </w:r>
    </w:p>
    <w:p w14:paraId="6BE165B7" w14:textId="74B8B9F0" w:rsidR="004E0EBE" w:rsidRPr="00FF4346" w:rsidRDefault="001A6067" w:rsidP="004E0EBE">
      <w:pPr>
        <w:tabs>
          <w:tab w:val="left" w:pos="4921"/>
          <w:tab w:val="decimal" w:pos="8948"/>
        </w:tabs>
        <w:suppressAutoHyphens/>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Vice-presidente</w:t>
      </w:r>
      <w:r w:rsidRPr="00FF4346">
        <w:rPr>
          <w:rFonts w:ascii="CAIXA Std Book" w:hAnsi="CAIXA Std Book"/>
          <w:color w:val="005CA9"/>
          <w:sz w:val="20"/>
          <w:szCs w:val="20"/>
        </w:rPr>
        <w:tab/>
      </w:r>
      <w:proofErr w:type="spellStart"/>
      <w:r w:rsidR="004E0EBE" w:rsidRPr="00FF4346">
        <w:rPr>
          <w:rFonts w:ascii="CAIXA Std Book" w:hAnsi="CAIXA Std Book"/>
          <w:color w:val="005CA9"/>
          <w:sz w:val="20"/>
          <w:szCs w:val="20"/>
        </w:rPr>
        <w:t>Vice-presidente</w:t>
      </w:r>
      <w:proofErr w:type="spellEnd"/>
      <w:r w:rsidR="004E404A">
        <w:rPr>
          <w:rFonts w:ascii="CAIXA Std Book" w:hAnsi="CAIXA Std Book"/>
          <w:color w:val="005CA9"/>
          <w:sz w:val="20"/>
          <w:szCs w:val="20"/>
        </w:rPr>
        <w:t xml:space="preserve"> em exercício</w:t>
      </w:r>
      <w:r w:rsidR="004E0EBE" w:rsidRPr="00FF4346">
        <w:rPr>
          <w:rFonts w:ascii="CAIXA Std Book" w:hAnsi="CAIXA Std Book"/>
          <w:color w:val="005CA9"/>
          <w:sz w:val="20"/>
          <w:szCs w:val="20"/>
        </w:rPr>
        <w:tab/>
      </w:r>
    </w:p>
    <w:p w14:paraId="070FBB6A" w14:textId="2BB114C2" w:rsidR="00F6722D" w:rsidRPr="00C31747" w:rsidRDefault="00F6722D" w:rsidP="004E404A">
      <w:pPr>
        <w:tabs>
          <w:tab w:val="left" w:pos="4921"/>
          <w:tab w:val="decimal" w:pos="8948"/>
        </w:tabs>
        <w:suppressAutoHyphens/>
        <w:autoSpaceDE w:val="0"/>
        <w:autoSpaceDN w:val="0"/>
        <w:adjustRightInd w:val="0"/>
        <w:rPr>
          <w:rFonts w:ascii="CAIXA Std Book" w:hAnsi="CAIXA Std Book"/>
          <w:color w:val="005CA9"/>
          <w:sz w:val="20"/>
          <w:szCs w:val="20"/>
        </w:rPr>
      </w:pPr>
    </w:p>
    <w:p w14:paraId="4E008CAD" w14:textId="77777777" w:rsidR="00384044" w:rsidRPr="00FF4346" w:rsidRDefault="00384044" w:rsidP="00F6722D">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5293754F" w14:textId="77777777" w:rsidR="00384044" w:rsidRPr="00FF4346" w:rsidRDefault="00384044" w:rsidP="00F6722D">
      <w:pPr>
        <w:tabs>
          <w:tab w:val="left" w:pos="4921"/>
          <w:tab w:val="decimal" w:pos="8948"/>
        </w:tabs>
        <w:suppressAutoHyphens/>
        <w:autoSpaceDE w:val="0"/>
        <w:autoSpaceDN w:val="0"/>
        <w:adjustRightInd w:val="0"/>
        <w:jc w:val="both"/>
        <w:rPr>
          <w:rFonts w:ascii="CAIXA Std Book" w:hAnsi="CAIXA Std Book"/>
          <w:color w:val="005CA9"/>
          <w:sz w:val="20"/>
          <w:szCs w:val="20"/>
          <w:highlight w:val="yellow"/>
        </w:rPr>
      </w:pPr>
    </w:p>
    <w:p w14:paraId="3AF7A06E" w14:textId="77777777" w:rsidR="00F47EA2" w:rsidRPr="00FF4346" w:rsidRDefault="00F47EA2" w:rsidP="007D1B39">
      <w:pPr>
        <w:rPr>
          <w:rFonts w:ascii="CAIXA Std Book" w:hAnsi="CAIXA Std Book"/>
          <w:color w:val="005CA9"/>
          <w:sz w:val="20"/>
          <w:szCs w:val="20"/>
        </w:rPr>
      </w:pPr>
    </w:p>
    <w:p w14:paraId="4CA0C730" w14:textId="6E2C77AA" w:rsidR="007D1B39" w:rsidRPr="00FF4346" w:rsidRDefault="007D1B39" w:rsidP="007D1B39">
      <w:pPr>
        <w:rPr>
          <w:rFonts w:ascii="CAIXA Std Book" w:hAnsi="CAIXA Std Book"/>
          <w:color w:val="005CA9"/>
          <w:sz w:val="20"/>
          <w:szCs w:val="20"/>
        </w:rPr>
      </w:pPr>
      <w:r w:rsidRPr="00FF4346">
        <w:rPr>
          <w:rFonts w:ascii="CAIXA Std Book" w:hAnsi="CAIXA Std Book"/>
          <w:color w:val="005CA9"/>
          <w:sz w:val="20"/>
          <w:szCs w:val="20"/>
        </w:rPr>
        <w:t>Juliana Grigol Fonsechi</w:t>
      </w:r>
    </w:p>
    <w:p w14:paraId="0714B7E1" w14:textId="6A9759C3" w:rsidR="00D023E9" w:rsidRPr="00FF4346" w:rsidRDefault="00D023E9" w:rsidP="007D1B39">
      <w:pPr>
        <w:rPr>
          <w:rFonts w:ascii="CAIXA Std Book" w:hAnsi="CAIXA Std Book"/>
          <w:color w:val="005CA9"/>
          <w:sz w:val="20"/>
          <w:szCs w:val="20"/>
        </w:rPr>
      </w:pPr>
      <w:r w:rsidRPr="00FF4346">
        <w:rPr>
          <w:rFonts w:ascii="CAIXA Std Book" w:hAnsi="CAIXA Std Book"/>
          <w:color w:val="005CA9"/>
          <w:sz w:val="20"/>
          <w:szCs w:val="20"/>
        </w:rPr>
        <w:t xml:space="preserve">Diretora de </w:t>
      </w:r>
      <w:r w:rsidR="00C92726">
        <w:rPr>
          <w:rFonts w:ascii="CAIXA Std Book" w:hAnsi="CAIXA Std Book"/>
          <w:color w:val="005CA9"/>
          <w:sz w:val="20"/>
          <w:szCs w:val="20"/>
        </w:rPr>
        <w:t xml:space="preserve">Contadoria e </w:t>
      </w:r>
      <w:r w:rsidRPr="00FF4346">
        <w:rPr>
          <w:rFonts w:ascii="CAIXA Std Book" w:hAnsi="CAIXA Std Book"/>
          <w:color w:val="005CA9"/>
          <w:sz w:val="20"/>
          <w:szCs w:val="20"/>
        </w:rPr>
        <w:t>Controladoria</w:t>
      </w:r>
    </w:p>
    <w:p w14:paraId="354AF0A5" w14:textId="77777777" w:rsidR="007D1B39" w:rsidRPr="00FF4346" w:rsidRDefault="007D1B39" w:rsidP="007D1B39">
      <w:pPr>
        <w:rPr>
          <w:rFonts w:ascii="CAIXA Std Book" w:hAnsi="CAIXA Std Book"/>
          <w:color w:val="005CA9"/>
          <w:sz w:val="20"/>
          <w:szCs w:val="20"/>
        </w:rPr>
      </w:pPr>
    </w:p>
    <w:p w14:paraId="6347D194" w14:textId="77777777" w:rsidR="002C5E4A" w:rsidRPr="00FF4346" w:rsidRDefault="002C5E4A" w:rsidP="00F6722D">
      <w:pPr>
        <w:autoSpaceDE w:val="0"/>
        <w:autoSpaceDN w:val="0"/>
        <w:adjustRightInd w:val="0"/>
        <w:jc w:val="both"/>
        <w:rPr>
          <w:rFonts w:ascii="CAIXA Std Book" w:hAnsi="CAIXA Std Book"/>
          <w:color w:val="005CA9"/>
          <w:sz w:val="20"/>
          <w:szCs w:val="20"/>
        </w:rPr>
      </w:pPr>
    </w:p>
    <w:p w14:paraId="40666BCC" w14:textId="77777777" w:rsidR="001A6067" w:rsidRPr="00FF4346" w:rsidRDefault="001A6067" w:rsidP="00F6722D">
      <w:pPr>
        <w:autoSpaceDE w:val="0"/>
        <w:autoSpaceDN w:val="0"/>
        <w:adjustRightInd w:val="0"/>
        <w:jc w:val="both"/>
        <w:rPr>
          <w:rFonts w:ascii="CAIXA Std Book" w:hAnsi="CAIXA Std Book"/>
          <w:color w:val="005CA9"/>
          <w:sz w:val="20"/>
          <w:szCs w:val="20"/>
        </w:rPr>
      </w:pPr>
    </w:p>
    <w:p w14:paraId="6480C75C" w14:textId="77777777" w:rsidR="00F6722D" w:rsidRPr="00FF4346" w:rsidRDefault="00F6722D" w:rsidP="00F6722D">
      <w:pPr>
        <w:tabs>
          <w:tab w:val="left" w:pos="4921"/>
          <w:tab w:val="decimal" w:pos="8948"/>
        </w:tabs>
        <w:suppressAutoHyphens/>
        <w:autoSpaceDE w:val="0"/>
        <w:autoSpaceDN w:val="0"/>
        <w:adjustRightInd w:val="0"/>
        <w:jc w:val="both"/>
        <w:rPr>
          <w:rFonts w:ascii="CAIXA Std Book" w:hAnsi="CAIXA Std Book"/>
          <w:color w:val="005CA9"/>
          <w:sz w:val="20"/>
          <w:szCs w:val="20"/>
        </w:rPr>
      </w:pPr>
    </w:p>
    <w:p w14:paraId="3B6D02F1" w14:textId="7ADE8891" w:rsidR="00F6722D" w:rsidRPr="00FF4346" w:rsidRDefault="00582196" w:rsidP="00F6722D">
      <w:pPr>
        <w:rPr>
          <w:rFonts w:ascii="CAIXA Std Book" w:hAnsi="CAIXA Std Book"/>
          <w:color w:val="005CA9"/>
          <w:sz w:val="20"/>
          <w:szCs w:val="20"/>
        </w:rPr>
      </w:pPr>
      <w:r w:rsidRPr="00FF4346">
        <w:rPr>
          <w:rFonts w:ascii="CAIXA Std Book" w:hAnsi="CAIXA Std Book"/>
          <w:color w:val="005CA9"/>
          <w:sz w:val="20"/>
          <w:szCs w:val="20"/>
        </w:rPr>
        <w:t>C</w:t>
      </w:r>
      <w:r w:rsidR="009F339D">
        <w:rPr>
          <w:rFonts w:ascii="CAIXA Std Book" w:hAnsi="CAIXA Std Book"/>
          <w:color w:val="005CA9"/>
          <w:sz w:val="20"/>
          <w:szCs w:val="20"/>
        </w:rPr>
        <w:t>el</w:t>
      </w:r>
      <w:r w:rsidRPr="00FF4346">
        <w:rPr>
          <w:rFonts w:ascii="CAIXA Std Book" w:hAnsi="CAIXA Std Book"/>
          <w:color w:val="005CA9"/>
          <w:sz w:val="20"/>
          <w:szCs w:val="20"/>
        </w:rPr>
        <w:t xml:space="preserve">io </w:t>
      </w:r>
      <w:proofErr w:type="spellStart"/>
      <w:r w:rsidRPr="00FF4346">
        <w:rPr>
          <w:rFonts w:ascii="CAIXA Std Book" w:hAnsi="CAIXA Std Book"/>
          <w:color w:val="005CA9"/>
          <w:sz w:val="20"/>
          <w:szCs w:val="20"/>
        </w:rPr>
        <w:t>Cesario</w:t>
      </w:r>
      <w:proofErr w:type="spellEnd"/>
      <w:r w:rsidRPr="00FF4346">
        <w:rPr>
          <w:rFonts w:ascii="CAIXA Std Book" w:hAnsi="CAIXA Std Book"/>
          <w:color w:val="005CA9"/>
          <w:sz w:val="20"/>
          <w:szCs w:val="20"/>
        </w:rPr>
        <w:t xml:space="preserve"> de Torres</w:t>
      </w:r>
    </w:p>
    <w:p w14:paraId="6016AE51" w14:textId="77777777" w:rsidR="00F6722D" w:rsidRPr="00FF4346" w:rsidRDefault="00F6722D" w:rsidP="00F6722D">
      <w:pPr>
        <w:autoSpaceDE w:val="0"/>
        <w:autoSpaceDN w:val="0"/>
        <w:adjustRightInd w:val="0"/>
        <w:jc w:val="both"/>
        <w:rPr>
          <w:rFonts w:ascii="CAIXA Std Book" w:hAnsi="CAIXA Std Book"/>
          <w:color w:val="005CA9"/>
          <w:sz w:val="20"/>
          <w:szCs w:val="20"/>
        </w:rPr>
      </w:pPr>
      <w:r w:rsidRPr="00FF4346">
        <w:rPr>
          <w:rFonts w:ascii="CAIXA Std Book" w:hAnsi="CAIXA Std Book"/>
          <w:color w:val="005CA9"/>
          <w:sz w:val="20"/>
          <w:szCs w:val="20"/>
        </w:rPr>
        <w:t>Superintendente Nacional</w:t>
      </w:r>
    </w:p>
    <w:p w14:paraId="07122B70" w14:textId="01F1D480" w:rsidR="00B3489E" w:rsidRPr="00FF4346" w:rsidRDefault="00F6722D" w:rsidP="00B3489E">
      <w:pPr>
        <w:autoSpaceDE w:val="0"/>
        <w:autoSpaceDN w:val="0"/>
        <w:adjustRightInd w:val="0"/>
        <w:jc w:val="both"/>
        <w:rPr>
          <w:rFonts w:ascii="CAIXA Std Book" w:hAnsi="CAIXA Std Book"/>
          <w:color w:val="005CA9"/>
          <w:sz w:val="16"/>
          <w:szCs w:val="16"/>
        </w:rPr>
      </w:pPr>
      <w:r w:rsidRPr="00FF4346">
        <w:rPr>
          <w:rFonts w:ascii="CAIXA Std Book" w:hAnsi="CAIXA Std Book"/>
          <w:color w:val="005CA9"/>
          <w:sz w:val="20"/>
          <w:szCs w:val="20"/>
        </w:rPr>
        <w:t>Contador CRC</w:t>
      </w:r>
      <w:r w:rsidR="003178DC" w:rsidRPr="00FF4346">
        <w:rPr>
          <w:rFonts w:ascii="CAIXA Std Book" w:hAnsi="CAIXA Std Book"/>
          <w:color w:val="005CA9"/>
          <w:sz w:val="20"/>
          <w:szCs w:val="20"/>
        </w:rPr>
        <w:t>/</w:t>
      </w:r>
      <w:r w:rsidR="00950D92" w:rsidRPr="00FF4346">
        <w:rPr>
          <w:rFonts w:ascii="CAIXA Std Book" w:hAnsi="CAIXA Std Book"/>
          <w:color w:val="005CA9"/>
          <w:sz w:val="20"/>
          <w:szCs w:val="20"/>
        </w:rPr>
        <w:t>GO</w:t>
      </w:r>
      <w:r w:rsidRPr="00FF4346">
        <w:rPr>
          <w:rFonts w:ascii="CAIXA Std Book" w:hAnsi="CAIXA Std Book"/>
          <w:color w:val="005CA9"/>
          <w:sz w:val="20"/>
          <w:szCs w:val="20"/>
        </w:rPr>
        <w:t xml:space="preserve"> </w:t>
      </w:r>
      <w:r w:rsidR="00950D92" w:rsidRPr="00FF4346">
        <w:rPr>
          <w:rFonts w:ascii="CAIXA Std Book" w:hAnsi="CAIXA Std Book"/>
          <w:color w:val="005CA9"/>
          <w:sz w:val="20"/>
          <w:szCs w:val="20"/>
        </w:rPr>
        <w:t>0095</w:t>
      </w:r>
      <w:r w:rsidR="0077307F" w:rsidRPr="00FF4346">
        <w:rPr>
          <w:rFonts w:ascii="CAIXA Std Book" w:hAnsi="CAIXA Std Book"/>
          <w:color w:val="005CA9"/>
          <w:sz w:val="20"/>
          <w:szCs w:val="20"/>
        </w:rPr>
        <w:t>77</w:t>
      </w:r>
      <w:r w:rsidRPr="00FF4346">
        <w:rPr>
          <w:rFonts w:ascii="CAIXA Std Book" w:hAnsi="CAIXA Std Book"/>
          <w:color w:val="005CA9"/>
          <w:sz w:val="20"/>
          <w:szCs w:val="20"/>
        </w:rPr>
        <w:t>/</w:t>
      </w:r>
      <w:r w:rsidR="003C37EB" w:rsidRPr="00FF4346">
        <w:rPr>
          <w:rFonts w:ascii="CAIXA Std Book" w:hAnsi="CAIXA Std Book"/>
          <w:color w:val="005CA9"/>
          <w:sz w:val="20"/>
          <w:szCs w:val="20"/>
        </w:rPr>
        <w:t>O</w:t>
      </w:r>
      <w:r w:rsidRPr="00FF4346">
        <w:rPr>
          <w:rFonts w:ascii="CAIXA Std Book" w:hAnsi="CAIXA Std Book"/>
          <w:color w:val="005CA9"/>
          <w:sz w:val="20"/>
          <w:szCs w:val="20"/>
        </w:rPr>
        <w:t>-</w:t>
      </w:r>
      <w:r w:rsidR="00B5111F" w:rsidRPr="00FF4346">
        <w:rPr>
          <w:rFonts w:ascii="CAIXA Std Book" w:hAnsi="CAIXA Std Book"/>
          <w:color w:val="005CA9"/>
          <w:sz w:val="20"/>
          <w:szCs w:val="20"/>
        </w:rPr>
        <w:t>1</w:t>
      </w:r>
      <w:r w:rsidR="009A3F77" w:rsidRPr="00FF4346">
        <w:rPr>
          <w:rFonts w:ascii="CAIXA Std Book" w:hAnsi="CAIXA Std Book"/>
          <w:color w:val="005CA9"/>
          <w:sz w:val="20"/>
          <w:szCs w:val="20"/>
        </w:rPr>
        <w:t>-</w:t>
      </w:r>
      <w:r w:rsidR="00B5111F" w:rsidRPr="00FF4346">
        <w:rPr>
          <w:rFonts w:ascii="CAIXA Std Book" w:hAnsi="CAIXA Std Book"/>
          <w:color w:val="005CA9"/>
          <w:sz w:val="20"/>
          <w:szCs w:val="20"/>
        </w:rPr>
        <w:t>T</w:t>
      </w:r>
      <w:r w:rsidRPr="00FF4346">
        <w:rPr>
          <w:rFonts w:ascii="CAIXA Std Book" w:hAnsi="CAIXA Std Book"/>
          <w:color w:val="005CA9"/>
          <w:sz w:val="20"/>
          <w:szCs w:val="20"/>
        </w:rPr>
        <w:t>-DF</w:t>
      </w:r>
      <w:bookmarkEnd w:id="140"/>
      <w:bookmarkEnd w:id="141"/>
    </w:p>
    <w:p w14:paraId="2F713A93" w14:textId="77777777" w:rsidR="004D2E7A" w:rsidRDefault="004D2E7A" w:rsidP="0031241E">
      <w:pPr>
        <w:autoSpaceDE w:val="0"/>
        <w:autoSpaceDN w:val="0"/>
        <w:adjustRightInd w:val="0"/>
        <w:jc w:val="both"/>
        <w:rPr>
          <w:rFonts w:ascii="CAIXA Std Book" w:hAnsi="CAIXA Std Book"/>
          <w:color w:val="005CA9"/>
          <w:sz w:val="16"/>
          <w:szCs w:val="16"/>
        </w:rPr>
        <w:sectPr w:rsidR="004D2E7A" w:rsidSect="0088151D">
          <w:headerReference w:type="default" r:id="rId72"/>
          <w:footerReference w:type="default" r:id="rId73"/>
          <w:headerReference w:type="first" r:id="rId74"/>
          <w:footerReference w:type="first" r:id="rId75"/>
          <w:pgSz w:w="11907" w:h="16840" w:code="9"/>
          <w:pgMar w:top="1440" w:right="1080" w:bottom="1440" w:left="1080" w:header="1134" w:footer="709" w:gutter="0"/>
          <w:cols w:space="708"/>
          <w:titlePg/>
          <w:docGrid w:linePitch="360"/>
        </w:sectPr>
      </w:pPr>
    </w:p>
    <w:p w14:paraId="39C0A79E" w14:textId="77777777" w:rsidR="007D2024" w:rsidRDefault="007D2024" w:rsidP="005A596E">
      <w:pPr>
        <w:pStyle w:val="Ttulo1"/>
      </w:pPr>
      <w:bookmarkStart w:id="142" w:name="_Toc18318166"/>
      <w:bookmarkStart w:id="143" w:name="_Toc49280716"/>
      <w:bookmarkStart w:id="144" w:name="_Toc66738706"/>
      <w:bookmarkStart w:id="145" w:name="_Toc96526819"/>
      <w:bookmarkStart w:id="146" w:name="_Toc130312417"/>
      <w:bookmarkStart w:id="147" w:name="_Toc142992013"/>
      <w:bookmarkStart w:id="148" w:name="_Toc159926904"/>
      <w:bookmarkStart w:id="149" w:name="_Toc166594512"/>
      <w:r>
        <w:lastRenderedPageBreak/>
        <w:t>Parecer do Conselho Fiscal</w:t>
      </w:r>
      <w:bookmarkEnd w:id="142"/>
      <w:bookmarkEnd w:id="143"/>
      <w:bookmarkEnd w:id="144"/>
      <w:bookmarkEnd w:id="145"/>
      <w:bookmarkEnd w:id="146"/>
      <w:bookmarkEnd w:id="147"/>
      <w:bookmarkEnd w:id="148"/>
      <w:bookmarkEnd w:id="149"/>
    </w:p>
    <w:p w14:paraId="1A476FDB" w14:textId="77777777" w:rsidR="0016675E" w:rsidRPr="0016675E" w:rsidRDefault="0016675E" w:rsidP="0016675E"/>
    <w:p w14:paraId="4DCD1126" w14:textId="77777777" w:rsidR="00282B79" w:rsidRPr="00AC1586" w:rsidRDefault="00282B79" w:rsidP="0016675E">
      <w:pPr>
        <w:keepLines/>
        <w:jc w:val="center"/>
        <w:rPr>
          <w:rFonts w:ascii="Arial" w:hAnsi="Arial" w:cs="Arial"/>
          <w:b/>
          <w:sz w:val="22"/>
          <w:szCs w:val="22"/>
          <w:u w:val="single"/>
        </w:rPr>
      </w:pPr>
      <w:r w:rsidRPr="00AC1586">
        <w:rPr>
          <w:rFonts w:ascii="Arial" w:hAnsi="Arial" w:cs="Arial"/>
          <w:b/>
          <w:sz w:val="22"/>
          <w:szCs w:val="22"/>
          <w:u w:val="single"/>
        </w:rPr>
        <w:t>Parecer nº 079/2024, da Ata nº 870, de 10/05/2024</w:t>
      </w:r>
    </w:p>
    <w:p w14:paraId="4F17C6BB" w14:textId="77777777" w:rsidR="00282B79" w:rsidRPr="00AC1586" w:rsidRDefault="00282B79" w:rsidP="0016675E">
      <w:pPr>
        <w:keepLines/>
        <w:ind w:right="-567"/>
        <w:jc w:val="both"/>
        <w:rPr>
          <w:rFonts w:ascii="Arial" w:hAnsi="Arial" w:cs="Arial"/>
          <w:b/>
          <w:sz w:val="22"/>
          <w:szCs w:val="22"/>
        </w:rPr>
      </w:pPr>
    </w:p>
    <w:p w14:paraId="5E2FCB4C" w14:textId="77777777" w:rsidR="00282B79" w:rsidRPr="00AC1586" w:rsidRDefault="00282B79" w:rsidP="0016675E">
      <w:pPr>
        <w:keepLines/>
        <w:ind w:right="-567"/>
        <w:jc w:val="both"/>
        <w:rPr>
          <w:rFonts w:ascii="Arial" w:hAnsi="Arial" w:cs="Arial"/>
          <w:b/>
          <w:sz w:val="22"/>
          <w:szCs w:val="22"/>
        </w:rPr>
      </w:pPr>
    </w:p>
    <w:p w14:paraId="6A971ADE" w14:textId="77777777" w:rsidR="00282B79" w:rsidRPr="00AC1586" w:rsidRDefault="00282B79" w:rsidP="0016675E">
      <w:pPr>
        <w:keepLines/>
        <w:ind w:right="-28"/>
        <w:jc w:val="both"/>
        <w:rPr>
          <w:rFonts w:ascii="Arial" w:hAnsi="Arial" w:cs="Arial"/>
          <w:caps/>
          <w:sz w:val="22"/>
          <w:szCs w:val="22"/>
        </w:rPr>
      </w:pPr>
      <w:r w:rsidRPr="00AC1586">
        <w:rPr>
          <w:rFonts w:ascii="Arial" w:hAnsi="Arial" w:cs="Arial"/>
          <w:b/>
          <w:sz w:val="22"/>
          <w:szCs w:val="22"/>
        </w:rPr>
        <w:t>Assunto: Demonstrações Contábeis Intermediárias Individuais e Consolidadas Condensadas, e o acompanhamento da Execução Orçamentária da CAIXA, referentes ao 1º trimestre de 2024.</w:t>
      </w:r>
    </w:p>
    <w:p w14:paraId="41EEA4F1" w14:textId="77777777" w:rsidR="00282B79" w:rsidRPr="00AC1586" w:rsidRDefault="00282B79" w:rsidP="0016675E">
      <w:pPr>
        <w:pStyle w:val="Recuodecorpodetexto2"/>
        <w:keepLines/>
        <w:ind w:right="-567"/>
        <w:jc w:val="both"/>
        <w:rPr>
          <w:rFonts w:ascii="Arial" w:hAnsi="Arial" w:cs="Arial"/>
          <w:caps/>
          <w:sz w:val="22"/>
          <w:szCs w:val="22"/>
        </w:rPr>
      </w:pPr>
    </w:p>
    <w:p w14:paraId="7B3A99C6" w14:textId="77777777" w:rsidR="00282B79" w:rsidRPr="00AC1586" w:rsidRDefault="00282B79" w:rsidP="0016675E">
      <w:pPr>
        <w:tabs>
          <w:tab w:val="left" w:pos="9469"/>
        </w:tabs>
        <w:spacing w:line="360" w:lineRule="auto"/>
        <w:ind w:firstLine="1134"/>
        <w:jc w:val="both"/>
        <w:rPr>
          <w:rFonts w:ascii="Arial" w:hAnsi="Arial" w:cs="Arial"/>
          <w:bCs/>
          <w:sz w:val="22"/>
          <w:szCs w:val="22"/>
        </w:rPr>
      </w:pPr>
      <w:r w:rsidRPr="00AC1586">
        <w:rPr>
          <w:rFonts w:ascii="Arial" w:hAnsi="Arial" w:cs="Arial"/>
          <w:sz w:val="22"/>
          <w:szCs w:val="22"/>
        </w:rPr>
        <w:t xml:space="preserve">O Conselho Fiscal da Caixa Econômica Federal, em cumprimento ao disposto nos incisos II, III, V, alínea “b”, e XVI do Artigo 67, do Estatuto Social da CAIXA, </w:t>
      </w:r>
      <w:r w:rsidRPr="00AC1586">
        <w:rPr>
          <w:rFonts w:ascii="Arial" w:hAnsi="Arial" w:cs="Arial"/>
          <w:b/>
          <w:bCs/>
          <w:sz w:val="22"/>
          <w:szCs w:val="22"/>
        </w:rPr>
        <w:t>examinou</w:t>
      </w:r>
      <w:r w:rsidRPr="00AC1586">
        <w:rPr>
          <w:rFonts w:ascii="Arial" w:hAnsi="Arial" w:cs="Arial"/>
          <w:bCs/>
          <w:sz w:val="22"/>
          <w:szCs w:val="22"/>
        </w:rPr>
        <w:t xml:space="preserve"> as Demonstrações Contábeis Intermediárias Individuais e Consolidadas Condensadas, e o acompanhamento da Execução Orçamentária da CAIXA, referentes ao 1º trimestre de 2024, aprovadas pela Resolução do Conselho de Administração n° 1554/2024 da Ata 860, de 10/05/2024 e, considerando o Parecer do Comitê de Auditoria n° 101/2024 da Ata 474, de 09/05/2024, e a manifestação da empresa de auditoria independente, KPMG Auditores Independentes, bem como os subsídios e esclarecimentos obtidos durante a reunião, </w:t>
      </w:r>
      <w:r w:rsidRPr="00AC1586">
        <w:rPr>
          <w:rFonts w:ascii="Arial" w:hAnsi="Arial" w:cs="Arial"/>
          <w:b/>
          <w:bCs/>
          <w:sz w:val="22"/>
          <w:szCs w:val="22"/>
        </w:rPr>
        <w:t>opina favoravelmente</w:t>
      </w:r>
      <w:r w:rsidRPr="00AC1586">
        <w:rPr>
          <w:rFonts w:ascii="Arial" w:hAnsi="Arial" w:cs="Arial"/>
          <w:bCs/>
          <w:sz w:val="22"/>
          <w:szCs w:val="22"/>
        </w:rPr>
        <w:t xml:space="preserve"> sobre as Demonstrações. Observado o exposto, o Colegiado </w:t>
      </w:r>
      <w:r w:rsidRPr="00AC1586">
        <w:rPr>
          <w:rFonts w:ascii="Arial" w:hAnsi="Arial" w:cs="Arial"/>
          <w:b/>
          <w:bCs/>
          <w:sz w:val="22"/>
          <w:szCs w:val="22"/>
        </w:rPr>
        <w:t>não identifica óbices</w:t>
      </w:r>
      <w:r w:rsidRPr="00AC1586">
        <w:rPr>
          <w:rFonts w:ascii="Arial" w:hAnsi="Arial" w:cs="Arial"/>
          <w:bCs/>
          <w:sz w:val="22"/>
          <w:szCs w:val="22"/>
        </w:rPr>
        <w:t xml:space="preserve"> à divulgação das Demonstrações Contábeis Intermediárias Individuais e Consolidadas Condensadas, referentes ao 1º trimestre de 2024, contida nesta matéria.</w:t>
      </w:r>
    </w:p>
    <w:p w14:paraId="122A342C" w14:textId="77777777" w:rsidR="00282B79" w:rsidRPr="00AC1586" w:rsidRDefault="00282B79" w:rsidP="00282B79">
      <w:pPr>
        <w:tabs>
          <w:tab w:val="left" w:pos="9469"/>
        </w:tabs>
        <w:spacing w:line="360" w:lineRule="auto"/>
        <w:ind w:firstLine="1134"/>
        <w:rPr>
          <w:rFonts w:ascii="Arial" w:hAnsi="Arial" w:cs="Arial"/>
          <w:bCs/>
          <w:sz w:val="22"/>
          <w:szCs w:val="22"/>
        </w:rPr>
      </w:pPr>
    </w:p>
    <w:p w14:paraId="78203D8B" w14:textId="77777777" w:rsidR="00282B79" w:rsidRPr="00AC1586" w:rsidRDefault="00282B79" w:rsidP="00282B79">
      <w:pPr>
        <w:tabs>
          <w:tab w:val="left" w:pos="9214"/>
        </w:tabs>
        <w:jc w:val="right"/>
        <w:rPr>
          <w:rFonts w:ascii="Arial" w:hAnsi="Arial" w:cs="Arial"/>
          <w:sz w:val="22"/>
          <w:szCs w:val="22"/>
        </w:rPr>
      </w:pPr>
      <w:r w:rsidRPr="00AC1586">
        <w:rPr>
          <w:rFonts w:ascii="Arial" w:hAnsi="Arial" w:cs="Arial"/>
          <w:sz w:val="22"/>
          <w:szCs w:val="22"/>
        </w:rPr>
        <w:t>Brasília, 10 de maio de 2024.</w:t>
      </w:r>
    </w:p>
    <w:p w14:paraId="07E5FB3B" w14:textId="77777777" w:rsidR="00282B79" w:rsidRPr="00AC1586" w:rsidRDefault="00282B79" w:rsidP="00282B79">
      <w:pPr>
        <w:tabs>
          <w:tab w:val="left" w:pos="9214"/>
        </w:tabs>
        <w:jc w:val="right"/>
        <w:rPr>
          <w:rFonts w:ascii="Arial" w:hAnsi="Arial" w:cs="Arial"/>
          <w:sz w:val="22"/>
          <w:szCs w:val="22"/>
        </w:rPr>
      </w:pPr>
    </w:p>
    <w:p w14:paraId="1CE3B21F" w14:textId="77777777" w:rsidR="00282B79" w:rsidRPr="00AC1586" w:rsidRDefault="00282B79" w:rsidP="00282B79">
      <w:pPr>
        <w:tabs>
          <w:tab w:val="left" w:pos="9214"/>
        </w:tabs>
        <w:jc w:val="right"/>
        <w:rPr>
          <w:rFonts w:ascii="Arial" w:hAnsi="Arial" w:cs="Arial"/>
          <w:sz w:val="22"/>
          <w:szCs w:val="22"/>
        </w:rPr>
      </w:pPr>
    </w:p>
    <w:p w14:paraId="6634FEC4" w14:textId="77777777" w:rsidR="00282B79" w:rsidRPr="00AC1586" w:rsidRDefault="00282B79" w:rsidP="00282B79">
      <w:pPr>
        <w:tabs>
          <w:tab w:val="left" w:pos="9214"/>
        </w:tabs>
        <w:jc w:val="right"/>
        <w:rPr>
          <w:rFonts w:ascii="Arial" w:hAnsi="Arial" w:cs="Arial"/>
          <w:sz w:val="22"/>
          <w:szCs w:val="22"/>
        </w:rPr>
      </w:pPr>
    </w:p>
    <w:p w14:paraId="1A1E8530" w14:textId="77777777" w:rsidR="00282B79" w:rsidRPr="00AC1586" w:rsidRDefault="00282B79" w:rsidP="00282B79">
      <w:pPr>
        <w:tabs>
          <w:tab w:val="left" w:pos="9214"/>
        </w:tabs>
        <w:jc w:val="right"/>
        <w:rPr>
          <w:rFonts w:ascii="Arial" w:hAnsi="Arial" w:cs="Arial"/>
          <w:sz w:val="22"/>
          <w:szCs w:val="22"/>
        </w:rPr>
      </w:pPr>
    </w:p>
    <w:tbl>
      <w:tblPr>
        <w:tblW w:w="9527" w:type="dxa"/>
        <w:tblInd w:w="-142" w:type="dxa"/>
        <w:tblLook w:val="04A0" w:firstRow="1" w:lastRow="0" w:firstColumn="1" w:lastColumn="0" w:noHBand="0" w:noVBand="1"/>
      </w:tblPr>
      <w:tblGrid>
        <w:gridCol w:w="4996"/>
        <w:gridCol w:w="4531"/>
      </w:tblGrid>
      <w:tr w:rsidR="00282B79" w:rsidRPr="00AC1586" w14:paraId="12B46A7A" w14:textId="77777777" w:rsidTr="009136BB">
        <w:trPr>
          <w:trHeight w:val="922"/>
        </w:trPr>
        <w:tc>
          <w:tcPr>
            <w:tcW w:w="4996" w:type="dxa"/>
            <w:shd w:val="clear" w:color="auto" w:fill="auto"/>
          </w:tcPr>
          <w:p w14:paraId="1FE85011" w14:textId="77777777" w:rsidR="00282B79" w:rsidRPr="00AC1586" w:rsidRDefault="00282B79" w:rsidP="009136BB">
            <w:pPr>
              <w:snapToGrid w:val="0"/>
              <w:ind w:right="-107"/>
              <w:rPr>
                <w:rFonts w:ascii="Arial" w:eastAsia="MS Mincho" w:hAnsi="Arial" w:cs="Arial"/>
                <w:sz w:val="22"/>
                <w:szCs w:val="22"/>
              </w:rPr>
            </w:pPr>
            <w:r w:rsidRPr="00AC1586">
              <w:rPr>
                <w:rFonts w:ascii="Arial" w:eastAsia="MS Mincho" w:hAnsi="Arial" w:cs="Arial"/>
                <w:sz w:val="22"/>
                <w:szCs w:val="22"/>
              </w:rPr>
              <w:t>GILSON ALCEU BITTENCOURT</w:t>
            </w:r>
          </w:p>
          <w:p w14:paraId="2E54568C" w14:textId="77777777" w:rsidR="00282B79" w:rsidRPr="00AC1586" w:rsidRDefault="00282B79" w:rsidP="009136BB">
            <w:pPr>
              <w:rPr>
                <w:rFonts w:ascii="Arial" w:eastAsia="MS Mincho" w:hAnsi="Arial" w:cs="Arial"/>
                <w:sz w:val="22"/>
                <w:szCs w:val="22"/>
              </w:rPr>
            </w:pPr>
            <w:r w:rsidRPr="00AC1586">
              <w:rPr>
                <w:rFonts w:ascii="Arial" w:eastAsia="MS Mincho" w:hAnsi="Arial" w:cs="Arial"/>
                <w:sz w:val="22"/>
                <w:szCs w:val="22"/>
              </w:rPr>
              <w:t>Membro Titular</w:t>
            </w:r>
          </w:p>
          <w:p w14:paraId="7488FF70" w14:textId="77777777" w:rsidR="00282B79" w:rsidRPr="00AC1586" w:rsidRDefault="00282B79" w:rsidP="009136BB">
            <w:pPr>
              <w:rPr>
                <w:rFonts w:ascii="Arial" w:eastAsia="MS Mincho" w:hAnsi="Arial" w:cs="Arial"/>
                <w:sz w:val="22"/>
                <w:szCs w:val="22"/>
              </w:rPr>
            </w:pPr>
          </w:p>
          <w:p w14:paraId="46BC6FF0" w14:textId="77777777" w:rsidR="00282B79" w:rsidRPr="00AC1586" w:rsidRDefault="00282B79" w:rsidP="009136BB">
            <w:pPr>
              <w:rPr>
                <w:rFonts w:ascii="Arial" w:eastAsia="MS Mincho" w:hAnsi="Arial" w:cs="Arial"/>
                <w:sz w:val="22"/>
                <w:szCs w:val="22"/>
              </w:rPr>
            </w:pPr>
          </w:p>
          <w:p w14:paraId="461F1497" w14:textId="77777777" w:rsidR="00282B79" w:rsidRPr="00AC1586" w:rsidRDefault="00282B79" w:rsidP="009136BB">
            <w:pPr>
              <w:rPr>
                <w:rFonts w:ascii="Arial" w:eastAsia="MS Mincho" w:hAnsi="Arial" w:cs="Arial"/>
                <w:sz w:val="22"/>
                <w:szCs w:val="22"/>
              </w:rPr>
            </w:pPr>
          </w:p>
          <w:p w14:paraId="3165CCDB" w14:textId="77777777" w:rsidR="00282B79" w:rsidRPr="00AC1586" w:rsidRDefault="00282B79" w:rsidP="009136BB">
            <w:pPr>
              <w:rPr>
                <w:rFonts w:ascii="Arial" w:eastAsia="MS Mincho" w:hAnsi="Arial" w:cs="Arial"/>
                <w:sz w:val="22"/>
                <w:szCs w:val="22"/>
              </w:rPr>
            </w:pPr>
          </w:p>
        </w:tc>
        <w:tc>
          <w:tcPr>
            <w:tcW w:w="4531" w:type="dxa"/>
            <w:shd w:val="clear" w:color="auto" w:fill="auto"/>
          </w:tcPr>
          <w:p w14:paraId="2970CBE5" w14:textId="77777777" w:rsidR="00282B79" w:rsidRPr="00AC1586" w:rsidRDefault="00282B79" w:rsidP="009136BB">
            <w:pPr>
              <w:jc w:val="right"/>
              <w:rPr>
                <w:rFonts w:ascii="Arial" w:eastAsia="MS Mincho" w:hAnsi="Arial" w:cs="Arial"/>
                <w:sz w:val="22"/>
                <w:szCs w:val="22"/>
              </w:rPr>
            </w:pPr>
            <w:r w:rsidRPr="00AC1586">
              <w:rPr>
                <w:rFonts w:ascii="Arial" w:eastAsia="MS Mincho" w:hAnsi="Arial" w:cs="Arial"/>
                <w:sz w:val="22"/>
                <w:szCs w:val="22"/>
              </w:rPr>
              <w:t>MARIANGELA FIALEK</w:t>
            </w:r>
          </w:p>
          <w:p w14:paraId="674ADDF7" w14:textId="77777777" w:rsidR="00282B79" w:rsidRPr="00AC1586" w:rsidRDefault="00282B79" w:rsidP="009136BB">
            <w:pPr>
              <w:jc w:val="right"/>
              <w:rPr>
                <w:rFonts w:ascii="Arial" w:eastAsia="MS Mincho" w:hAnsi="Arial" w:cs="Arial"/>
                <w:sz w:val="22"/>
                <w:szCs w:val="22"/>
              </w:rPr>
            </w:pPr>
            <w:r w:rsidRPr="00AC1586">
              <w:rPr>
                <w:rFonts w:ascii="Arial" w:eastAsia="MS Mincho" w:hAnsi="Arial" w:cs="Arial"/>
                <w:sz w:val="22"/>
                <w:szCs w:val="22"/>
              </w:rPr>
              <w:t>Membro Titular</w:t>
            </w:r>
          </w:p>
          <w:p w14:paraId="3E323B66" w14:textId="77777777" w:rsidR="00282B79" w:rsidRPr="00AC1586" w:rsidRDefault="00282B79" w:rsidP="009136BB">
            <w:pPr>
              <w:jc w:val="right"/>
              <w:rPr>
                <w:rFonts w:ascii="Arial" w:eastAsia="MS Mincho" w:hAnsi="Arial" w:cs="Arial"/>
                <w:sz w:val="22"/>
                <w:szCs w:val="22"/>
              </w:rPr>
            </w:pPr>
          </w:p>
          <w:p w14:paraId="281D9CC3" w14:textId="77777777" w:rsidR="00282B79" w:rsidRPr="00AC1586" w:rsidRDefault="00282B79" w:rsidP="009136BB">
            <w:pPr>
              <w:jc w:val="right"/>
              <w:rPr>
                <w:rFonts w:ascii="Arial" w:eastAsia="MS Mincho" w:hAnsi="Arial" w:cs="Arial"/>
                <w:sz w:val="22"/>
                <w:szCs w:val="22"/>
              </w:rPr>
            </w:pPr>
          </w:p>
          <w:p w14:paraId="13139D1D" w14:textId="77777777" w:rsidR="00282B79" w:rsidRPr="00AC1586" w:rsidRDefault="00282B79" w:rsidP="009136BB">
            <w:pPr>
              <w:jc w:val="right"/>
              <w:rPr>
                <w:rFonts w:ascii="Arial" w:eastAsia="MS Mincho" w:hAnsi="Arial" w:cs="Arial"/>
                <w:sz w:val="22"/>
                <w:szCs w:val="22"/>
              </w:rPr>
            </w:pPr>
          </w:p>
          <w:p w14:paraId="727F24D1" w14:textId="77777777" w:rsidR="00282B79" w:rsidRPr="00AC1586" w:rsidRDefault="00282B79" w:rsidP="009136BB">
            <w:pPr>
              <w:jc w:val="right"/>
              <w:rPr>
                <w:rFonts w:ascii="Arial" w:eastAsia="MS Mincho" w:hAnsi="Arial" w:cs="Arial"/>
                <w:sz w:val="22"/>
                <w:szCs w:val="22"/>
              </w:rPr>
            </w:pPr>
          </w:p>
        </w:tc>
      </w:tr>
      <w:tr w:rsidR="00282B79" w:rsidRPr="00AC1586" w14:paraId="6B10123E" w14:textId="77777777" w:rsidTr="009136BB">
        <w:trPr>
          <w:trHeight w:val="866"/>
        </w:trPr>
        <w:tc>
          <w:tcPr>
            <w:tcW w:w="9527" w:type="dxa"/>
            <w:gridSpan w:val="2"/>
            <w:shd w:val="clear" w:color="auto" w:fill="auto"/>
          </w:tcPr>
          <w:p w14:paraId="2E658A3C" w14:textId="77777777" w:rsidR="00282B79" w:rsidRPr="00AC1586" w:rsidRDefault="00282B79" w:rsidP="009136BB">
            <w:pPr>
              <w:jc w:val="center"/>
              <w:rPr>
                <w:rFonts w:ascii="Arial" w:eastAsia="MS Mincho" w:hAnsi="Arial" w:cs="Arial"/>
                <w:sz w:val="22"/>
                <w:szCs w:val="22"/>
              </w:rPr>
            </w:pPr>
            <w:r w:rsidRPr="00AC1586">
              <w:rPr>
                <w:rFonts w:ascii="Arial" w:eastAsia="MS Mincho" w:hAnsi="Arial" w:cs="Arial"/>
                <w:sz w:val="22"/>
                <w:szCs w:val="22"/>
              </w:rPr>
              <w:t>MARCELO PEREIRA DE AMORIM</w:t>
            </w:r>
          </w:p>
          <w:p w14:paraId="0874F751" w14:textId="77777777" w:rsidR="00282B79" w:rsidRPr="00AC1586" w:rsidRDefault="00282B79" w:rsidP="009136BB">
            <w:pPr>
              <w:jc w:val="center"/>
              <w:rPr>
                <w:rFonts w:ascii="Arial" w:eastAsia="MS Mincho" w:hAnsi="Arial" w:cs="Arial"/>
                <w:sz w:val="22"/>
                <w:szCs w:val="22"/>
              </w:rPr>
            </w:pPr>
            <w:r w:rsidRPr="00AC1586">
              <w:rPr>
                <w:rFonts w:ascii="Arial" w:eastAsia="MS Mincho" w:hAnsi="Arial" w:cs="Arial"/>
                <w:sz w:val="22"/>
                <w:szCs w:val="22"/>
              </w:rPr>
              <w:t>Presidente</w:t>
            </w:r>
          </w:p>
          <w:p w14:paraId="0A4097E6" w14:textId="77777777" w:rsidR="00282B79" w:rsidRPr="00AC1586" w:rsidRDefault="00282B79" w:rsidP="009136BB">
            <w:pPr>
              <w:ind w:left="-105"/>
              <w:rPr>
                <w:rFonts w:ascii="Arial" w:eastAsia="MS Mincho" w:hAnsi="Arial" w:cs="Arial"/>
                <w:sz w:val="22"/>
                <w:szCs w:val="22"/>
              </w:rPr>
            </w:pPr>
          </w:p>
        </w:tc>
      </w:tr>
    </w:tbl>
    <w:p w14:paraId="4222749C" w14:textId="77777777" w:rsidR="007D2024" w:rsidRDefault="007D2024" w:rsidP="0031241E">
      <w:pPr>
        <w:autoSpaceDE w:val="0"/>
        <w:autoSpaceDN w:val="0"/>
        <w:adjustRightInd w:val="0"/>
        <w:jc w:val="both"/>
        <w:rPr>
          <w:rFonts w:ascii="CAIXA Std Book" w:hAnsi="CAIXA Std Book"/>
          <w:color w:val="005CA9"/>
          <w:sz w:val="16"/>
          <w:szCs w:val="16"/>
        </w:rPr>
        <w:sectPr w:rsidR="007D2024" w:rsidSect="0088151D">
          <w:headerReference w:type="first" r:id="rId76"/>
          <w:footerReference w:type="first" r:id="rId77"/>
          <w:pgSz w:w="11907" w:h="16840" w:code="9"/>
          <w:pgMar w:top="1440" w:right="1080" w:bottom="1440" w:left="1080" w:header="1134" w:footer="709" w:gutter="0"/>
          <w:cols w:space="708"/>
          <w:titlePg/>
          <w:docGrid w:linePitch="360"/>
        </w:sectPr>
      </w:pPr>
    </w:p>
    <w:p w14:paraId="162890C6" w14:textId="77777777" w:rsidR="00E2450D" w:rsidRPr="00A93B95" w:rsidRDefault="00E2450D" w:rsidP="005A596E">
      <w:pPr>
        <w:pStyle w:val="Ttulo1"/>
      </w:pPr>
      <w:bookmarkStart w:id="150" w:name="_Toc130312416"/>
      <w:bookmarkStart w:id="151" w:name="_Toc142992012"/>
      <w:bookmarkStart w:id="152" w:name="_Toc159926906"/>
      <w:bookmarkStart w:id="153" w:name="_Toc166594513"/>
      <w:r w:rsidRPr="00A93B95">
        <w:lastRenderedPageBreak/>
        <w:t>Relatório do Auditor Independente</w:t>
      </w:r>
      <w:bookmarkEnd w:id="150"/>
      <w:bookmarkEnd w:id="151"/>
      <w:bookmarkEnd w:id="152"/>
      <w:bookmarkEnd w:id="153"/>
    </w:p>
    <w:tbl>
      <w:tblPr>
        <w:tblpPr w:leftFromText="141" w:rightFromText="141" w:vertAnchor="page" w:horzAnchor="margin" w:tblpX="400" w:tblpY="5329"/>
        <w:tblW w:w="4500" w:type="dxa"/>
        <w:tblLayout w:type="fixed"/>
        <w:tblCellMar>
          <w:left w:w="70" w:type="dxa"/>
          <w:right w:w="70" w:type="dxa"/>
        </w:tblCellMar>
        <w:tblLook w:val="0000" w:firstRow="0" w:lastRow="0" w:firstColumn="0" w:lastColumn="0" w:noHBand="0" w:noVBand="0"/>
      </w:tblPr>
      <w:tblGrid>
        <w:gridCol w:w="300"/>
        <w:gridCol w:w="3900"/>
        <w:gridCol w:w="300"/>
      </w:tblGrid>
      <w:tr w:rsidR="00C668B1" w:rsidRPr="00FD3AF5" w14:paraId="035C3F56" w14:textId="77777777" w:rsidTr="00B85732">
        <w:trPr>
          <w:trHeight w:val="5747"/>
        </w:trPr>
        <w:tc>
          <w:tcPr>
            <w:tcW w:w="300" w:type="dxa"/>
          </w:tcPr>
          <w:p w14:paraId="100A4A9F" w14:textId="77777777" w:rsidR="00C668B1" w:rsidRPr="001D517E" w:rsidRDefault="00C668B1" w:rsidP="00B85732">
            <w:pPr>
              <w:suppressAutoHyphens/>
              <w:spacing w:line="168" w:lineRule="auto"/>
              <w:ind w:left="115"/>
              <w:rPr>
                <w:rFonts w:ascii="Univers 45 Light" w:hAnsi="Univers 45 Light"/>
                <w:b/>
              </w:rPr>
            </w:pPr>
          </w:p>
        </w:tc>
        <w:tc>
          <w:tcPr>
            <w:tcW w:w="3900" w:type="dxa"/>
          </w:tcPr>
          <w:p w14:paraId="75DD7A2B" w14:textId="77777777" w:rsidR="00C668B1" w:rsidRPr="001D517E" w:rsidRDefault="00C668B1" w:rsidP="00B85732">
            <w:pPr>
              <w:suppressAutoHyphens/>
              <w:spacing w:line="168" w:lineRule="auto"/>
              <w:ind w:left="115"/>
              <w:rPr>
                <w:rFonts w:ascii="KPMG Extralight" w:eastAsia="KPMG Extralight" w:hAnsi="KPMG Extralight" w:cs="KPMG Extralight"/>
                <w:sz w:val="80"/>
                <w:szCs w:val="76"/>
              </w:rPr>
            </w:pPr>
            <w:r>
              <w:rPr>
                <w:rFonts w:ascii="KPMG Extralight" w:hAnsi="KPMG Extralight"/>
                <w:sz w:val="80"/>
              </w:rPr>
              <w:t>Caixa Econômica Federal</w:t>
            </w:r>
          </w:p>
          <w:p w14:paraId="4CA4BD9B" w14:textId="77777777" w:rsidR="00C668B1" w:rsidRDefault="00C668B1" w:rsidP="00B85732">
            <w:pPr>
              <w:spacing w:before="360"/>
              <w:ind w:left="115"/>
              <w:rPr>
                <w:rFonts w:ascii="Univers 45 Light" w:hAnsi="Univers 45 Light"/>
                <w:b/>
                <w:spacing w:val="-1"/>
              </w:rPr>
            </w:pPr>
            <w:r w:rsidRPr="001D517E">
              <w:rPr>
                <w:rFonts w:ascii="Univers 45 Light" w:hAnsi="Univers 45 Light"/>
                <w:b/>
                <w:spacing w:val="-1"/>
              </w:rPr>
              <w:t xml:space="preserve">Relatório das </w:t>
            </w:r>
            <w:r>
              <w:rPr>
                <w:rFonts w:ascii="Univers 45 Light" w:hAnsi="Univers 45 Light"/>
                <w:b/>
                <w:spacing w:val="-1"/>
              </w:rPr>
              <w:t>demonstrações contábeis intermediárias individuais e consolidadas condensadas</w:t>
            </w:r>
          </w:p>
          <w:p w14:paraId="670AB20E" w14:textId="77777777" w:rsidR="00C668B1" w:rsidRPr="001D517E" w:rsidRDefault="00C668B1" w:rsidP="00B85732">
            <w:pPr>
              <w:spacing w:before="360"/>
              <w:ind w:left="115"/>
              <w:rPr>
                <w:rFonts w:ascii="Univers 45 Light" w:hAnsi="Univers 45 Light"/>
                <w:b/>
                <w:spacing w:val="-1"/>
              </w:rPr>
            </w:pPr>
            <w:r w:rsidRPr="00CF4A4E">
              <w:rPr>
                <w:rFonts w:ascii="Univers 45 Light" w:hAnsi="Univers 45 Light"/>
                <w:b/>
                <w:bCs/>
                <w:spacing w:val="-1"/>
              </w:rPr>
              <w:t>31 de março de 2024</w:t>
            </w:r>
            <w:r w:rsidRPr="001D517E">
              <w:rPr>
                <w:rFonts w:ascii="Univers 45 Light" w:hAnsi="Univers 45 Light"/>
                <w:b/>
                <w:spacing w:val="-1"/>
              </w:rPr>
              <w:t xml:space="preserve"> </w:t>
            </w:r>
          </w:p>
          <w:p w14:paraId="205DBF9E" w14:textId="77777777" w:rsidR="00C668B1" w:rsidRPr="001D517E" w:rsidRDefault="00C668B1" w:rsidP="00B85732">
            <w:pPr>
              <w:pStyle w:val="TableParagraph"/>
              <w:spacing w:before="17" w:line="254" w:lineRule="auto"/>
              <w:ind w:left="-72" w:right="-58"/>
              <w:jc w:val="center"/>
              <w:rPr>
                <w:lang w:val="pt-BR"/>
              </w:rPr>
            </w:pPr>
          </w:p>
        </w:tc>
        <w:tc>
          <w:tcPr>
            <w:tcW w:w="300" w:type="dxa"/>
          </w:tcPr>
          <w:p w14:paraId="478CE5E4" w14:textId="77777777" w:rsidR="00C668B1" w:rsidRPr="009E12CE" w:rsidRDefault="00C668B1" w:rsidP="00B85732">
            <w:pPr>
              <w:pStyle w:val="13Subttulo"/>
              <w:spacing w:before="0" w:after="0" w:line="240" w:lineRule="auto"/>
              <w:ind w:firstLine="0"/>
              <w:rPr>
                <w:lang w:val="pt-BR"/>
              </w:rPr>
            </w:pPr>
            <w:r w:rsidRPr="009E12CE">
              <w:rPr>
                <w:lang w:val="pt-BR"/>
              </w:rPr>
              <w:t xml:space="preserve"> </w:t>
            </w:r>
          </w:p>
        </w:tc>
      </w:tr>
      <w:tr w:rsidR="00C668B1" w:rsidRPr="00FD3AF5" w14:paraId="622072FA" w14:textId="77777777" w:rsidTr="00B85732">
        <w:trPr>
          <w:trHeight w:hRule="exact" w:val="361"/>
        </w:trPr>
        <w:tc>
          <w:tcPr>
            <w:tcW w:w="300" w:type="dxa"/>
          </w:tcPr>
          <w:p w14:paraId="04F6821D" w14:textId="77777777" w:rsidR="00C668B1" w:rsidRPr="009E12CE" w:rsidRDefault="00C668B1" w:rsidP="00B85732">
            <w:r w:rsidRPr="009E12CE">
              <w:rPr>
                <w:rFonts w:ascii="KPMG Logo" w:hAnsi="KPMG Logo"/>
                <w:noProof/>
                <w:sz w:val="44"/>
              </w:rPr>
              <w:t xml:space="preserve"> </w:t>
            </w:r>
          </w:p>
        </w:tc>
        <w:tc>
          <w:tcPr>
            <w:tcW w:w="3900" w:type="dxa"/>
          </w:tcPr>
          <w:p w14:paraId="7FEA4B07" w14:textId="77777777" w:rsidR="00C668B1" w:rsidRPr="009E12CE" w:rsidRDefault="00C668B1" w:rsidP="00B85732">
            <w:pPr>
              <w:pStyle w:val="13Subttulo"/>
              <w:spacing w:before="0" w:after="0" w:line="240" w:lineRule="auto"/>
              <w:ind w:firstLine="0"/>
              <w:rPr>
                <w:b w:val="0"/>
                <w:sz w:val="22"/>
                <w:lang w:val="pt-BR"/>
              </w:rPr>
            </w:pPr>
            <w:r w:rsidRPr="009E12CE">
              <w:rPr>
                <w:b w:val="0"/>
                <w:sz w:val="22"/>
                <w:lang w:val="pt-BR"/>
              </w:rPr>
              <w:t xml:space="preserve"> </w:t>
            </w:r>
          </w:p>
        </w:tc>
        <w:tc>
          <w:tcPr>
            <w:tcW w:w="300" w:type="dxa"/>
          </w:tcPr>
          <w:p w14:paraId="5A4D4A18" w14:textId="77777777" w:rsidR="00C668B1" w:rsidRPr="009E12CE" w:rsidRDefault="00C668B1" w:rsidP="00B85732">
            <w:pPr>
              <w:pStyle w:val="13Subttulo"/>
              <w:spacing w:before="0" w:after="0" w:line="240" w:lineRule="auto"/>
              <w:ind w:firstLine="0"/>
              <w:rPr>
                <w:b w:val="0"/>
                <w:sz w:val="22"/>
                <w:lang w:val="pt-BR"/>
              </w:rPr>
            </w:pPr>
            <w:r w:rsidRPr="009E12CE">
              <w:rPr>
                <w:b w:val="0"/>
                <w:sz w:val="22"/>
                <w:lang w:val="pt-BR"/>
              </w:rPr>
              <w:t xml:space="preserve"> </w:t>
            </w:r>
          </w:p>
        </w:tc>
      </w:tr>
    </w:tbl>
    <w:p w14:paraId="3DAA103E" w14:textId="77777777" w:rsidR="00C668B1" w:rsidRDefault="00C668B1" w:rsidP="00C668B1">
      <w:pPr>
        <w:pStyle w:val="Corpodetexto"/>
        <w:spacing w:before="20" w:after="20" w:line="280" w:lineRule="exact"/>
        <w:rPr>
          <w:bCs/>
          <w:color w:val="000000" w:themeColor="text1"/>
        </w:rPr>
      </w:pPr>
    </w:p>
    <w:p w14:paraId="2232A6F7" w14:textId="77777777" w:rsidR="00C53AAD" w:rsidRPr="00C53AAD" w:rsidRDefault="00C53AAD" w:rsidP="00C53AAD"/>
    <w:p w14:paraId="78C56FB6" w14:textId="77777777" w:rsidR="00C53AAD" w:rsidRPr="00C53AAD" w:rsidRDefault="00C53AAD" w:rsidP="00C53AAD"/>
    <w:p w14:paraId="5991767C" w14:textId="77777777" w:rsidR="00C53AAD" w:rsidRPr="00C53AAD" w:rsidRDefault="00C53AAD" w:rsidP="00C53AAD"/>
    <w:p w14:paraId="61E54AC3" w14:textId="77777777" w:rsidR="00C53AAD" w:rsidRPr="00C53AAD" w:rsidRDefault="00C53AAD" w:rsidP="00C53AAD"/>
    <w:p w14:paraId="17BDEF98" w14:textId="77777777" w:rsidR="00C53AAD" w:rsidRPr="00C53AAD" w:rsidRDefault="00C53AAD" w:rsidP="00C53AAD"/>
    <w:p w14:paraId="6C07BCD2" w14:textId="77777777" w:rsidR="00C53AAD" w:rsidRPr="00C53AAD" w:rsidRDefault="00C53AAD" w:rsidP="00C53AAD"/>
    <w:p w14:paraId="5FC7E996" w14:textId="77777777" w:rsidR="00C53AAD" w:rsidRPr="00C53AAD" w:rsidRDefault="00C53AAD" w:rsidP="00C53AAD"/>
    <w:p w14:paraId="5C80C894" w14:textId="77777777" w:rsidR="00C53AAD" w:rsidRPr="00C53AAD" w:rsidRDefault="00C53AAD" w:rsidP="00C53AAD"/>
    <w:p w14:paraId="16B25EBA" w14:textId="77777777" w:rsidR="00C53AAD" w:rsidRPr="00C53AAD" w:rsidRDefault="00C53AAD" w:rsidP="00C53AAD"/>
    <w:p w14:paraId="20C26209" w14:textId="77777777" w:rsidR="00C53AAD" w:rsidRPr="00C53AAD" w:rsidRDefault="00C53AAD" w:rsidP="00C53AAD"/>
    <w:p w14:paraId="6099E150" w14:textId="77777777" w:rsidR="00C53AAD" w:rsidRPr="00C53AAD" w:rsidRDefault="00C53AAD" w:rsidP="00C53AAD"/>
    <w:p w14:paraId="7785C3F7" w14:textId="77777777" w:rsidR="00C53AAD" w:rsidRPr="00C53AAD" w:rsidRDefault="00C53AAD" w:rsidP="00C53AAD"/>
    <w:p w14:paraId="7C07B462" w14:textId="77777777" w:rsidR="00C53AAD" w:rsidRPr="00C53AAD" w:rsidRDefault="00C53AAD" w:rsidP="00C53AAD"/>
    <w:p w14:paraId="6BD19247" w14:textId="77777777" w:rsidR="00C53AAD" w:rsidRPr="00C53AAD" w:rsidRDefault="00C53AAD" w:rsidP="00C53AAD"/>
    <w:p w14:paraId="3EDBB4CD" w14:textId="77777777" w:rsidR="00C53AAD" w:rsidRPr="00C53AAD" w:rsidRDefault="00C53AAD" w:rsidP="00C53AAD"/>
    <w:p w14:paraId="4BFA4CDD" w14:textId="77777777" w:rsidR="00C53AAD" w:rsidRPr="00C53AAD" w:rsidRDefault="00C53AAD" w:rsidP="00C53AAD"/>
    <w:p w14:paraId="73C33AF5" w14:textId="77777777" w:rsidR="00C53AAD" w:rsidRPr="00C53AAD" w:rsidRDefault="00C53AAD" w:rsidP="00C53AAD"/>
    <w:p w14:paraId="27D37A50" w14:textId="77777777" w:rsidR="00C53AAD" w:rsidRPr="00C53AAD" w:rsidRDefault="00C53AAD" w:rsidP="00C53AAD"/>
    <w:p w14:paraId="0C3338D4" w14:textId="77777777" w:rsidR="00C53AAD" w:rsidRPr="00C53AAD" w:rsidRDefault="00C53AAD" w:rsidP="00C53AAD"/>
    <w:p w14:paraId="4415DBDF" w14:textId="77777777" w:rsidR="00C53AAD" w:rsidRPr="00C53AAD" w:rsidRDefault="00C53AAD" w:rsidP="00C53AAD"/>
    <w:p w14:paraId="56989C1B" w14:textId="77777777" w:rsidR="00C53AAD" w:rsidRPr="00C53AAD" w:rsidRDefault="00C53AAD" w:rsidP="00C53AAD"/>
    <w:p w14:paraId="02647B07" w14:textId="77777777" w:rsidR="00C53AAD" w:rsidRPr="00C53AAD" w:rsidRDefault="00C53AAD" w:rsidP="00C53AAD"/>
    <w:p w14:paraId="4EF7DC37" w14:textId="77777777" w:rsidR="00C53AAD" w:rsidRPr="00C53AAD" w:rsidRDefault="00C53AAD" w:rsidP="00C53AAD"/>
    <w:p w14:paraId="33A0D3F9" w14:textId="77777777" w:rsidR="00C53AAD" w:rsidRPr="00C53AAD" w:rsidRDefault="00C53AAD" w:rsidP="00C53AAD"/>
    <w:p w14:paraId="1F5550E6" w14:textId="77777777" w:rsidR="00C53AAD" w:rsidRPr="00C53AAD" w:rsidRDefault="00C53AAD" w:rsidP="00C53AAD"/>
    <w:p w14:paraId="42594B2C" w14:textId="77777777" w:rsidR="00C53AAD" w:rsidRPr="00C53AAD" w:rsidRDefault="00C53AAD" w:rsidP="00C53AAD"/>
    <w:p w14:paraId="4D85FFF0" w14:textId="77777777" w:rsidR="00C53AAD" w:rsidRPr="00C53AAD" w:rsidRDefault="00C53AAD" w:rsidP="00C53AAD"/>
    <w:p w14:paraId="455F5833" w14:textId="1F2A2DEB" w:rsidR="00C53AAD" w:rsidRPr="00C53AAD" w:rsidRDefault="00C53AAD" w:rsidP="00C53AAD">
      <w:pPr>
        <w:tabs>
          <w:tab w:val="left" w:pos="1820"/>
        </w:tabs>
      </w:pPr>
      <w:r>
        <w:lastRenderedPageBreak/>
        <w:tab/>
      </w:r>
    </w:p>
    <w:p w14:paraId="050173C4" w14:textId="6A1784DC" w:rsidR="00C668B1" w:rsidRPr="000A3892" w:rsidRDefault="00C668B1" w:rsidP="00C668B1">
      <w:pPr>
        <w:pStyle w:val="Corpodetexto"/>
        <w:spacing w:before="20" w:after="20" w:line="280" w:lineRule="exact"/>
        <w:rPr>
          <w:rFonts w:ascii="Arial" w:hAnsi="Arial" w:cs="Arial"/>
          <w:color w:val="000000" w:themeColor="text1"/>
        </w:rPr>
      </w:pPr>
      <w:r w:rsidRPr="000A3892">
        <w:rPr>
          <w:rFonts w:ascii="Arial" w:hAnsi="Arial" w:cs="Arial"/>
          <w:color w:val="000000" w:themeColor="text1"/>
        </w:rPr>
        <w:t>KPMG Auditores Independentes Ltda.</w:t>
      </w:r>
    </w:p>
    <w:p w14:paraId="23C2CCB8" w14:textId="77777777" w:rsidR="00C668B1" w:rsidRPr="000A3892" w:rsidRDefault="00C668B1" w:rsidP="00C668B1">
      <w:pPr>
        <w:pStyle w:val="Corpodetexto"/>
        <w:spacing w:before="20" w:after="20" w:line="280" w:lineRule="exact"/>
        <w:rPr>
          <w:rFonts w:ascii="Arial" w:hAnsi="Arial" w:cs="Arial"/>
          <w:color w:val="000000" w:themeColor="text1"/>
        </w:rPr>
      </w:pPr>
      <w:r w:rsidRPr="000A3892">
        <w:rPr>
          <w:rFonts w:ascii="Arial" w:hAnsi="Arial" w:cs="Arial"/>
          <w:color w:val="000000" w:themeColor="text1"/>
        </w:rPr>
        <w:t>SAI/SO, Área 6580 - Bloco 02, 3º andar, sala 302 - Torre Norte</w:t>
      </w:r>
    </w:p>
    <w:p w14:paraId="03347043" w14:textId="77777777" w:rsidR="00C668B1" w:rsidRPr="000A3892" w:rsidRDefault="00C668B1" w:rsidP="00C668B1">
      <w:pPr>
        <w:pStyle w:val="Corpodetexto"/>
        <w:spacing w:before="20" w:after="20" w:line="280" w:lineRule="exact"/>
        <w:rPr>
          <w:rFonts w:ascii="Arial" w:hAnsi="Arial" w:cs="Arial"/>
          <w:color w:val="000000" w:themeColor="text1"/>
        </w:rPr>
      </w:pPr>
      <w:r w:rsidRPr="000A3892">
        <w:rPr>
          <w:rFonts w:ascii="Arial" w:hAnsi="Arial" w:cs="Arial"/>
          <w:color w:val="000000" w:themeColor="text1"/>
        </w:rPr>
        <w:t>ParkShopping - Zona Industrial (Guará)</w:t>
      </w:r>
    </w:p>
    <w:p w14:paraId="0DC35D69" w14:textId="77777777" w:rsidR="00C668B1" w:rsidRPr="000A3892" w:rsidRDefault="00C668B1" w:rsidP="00C668B1">
      <w:pPr>
        <w:pStyle w:val="Corpodetexto"/>
        <w:spacing w:before="20" w:after="20" w:line="280" w:lineRule="exact"/>
        <w:rPr>
          <w:rFonts w:ascii="Arial" w:hAnsi="Arial" w:cs="Arial"/>
          <w:color w:val="000000" w:themeColor="text1"/>
        </w:rPr>
      </w:pPr>
      <w:r w:rsidRPr="000A3892">
        <w:rPr>
          <w:rFonts w:ascii="Arial" w:hAnsi="Arial" w:cs="Arial"/>
          <w:color w:val="000000" w:themeColor="text1"/>
        </w:rPr>
        <w:t xml:space="preserve">Caixa Postal 11619 - CEP: 71219-900 - Brasília/DF - Brasil </w:t>
      </w:r>
    </w:p>
    <w:p w14:paraId="1AE338ED" w14:textId="77777777" w:rsidR="00C668B1" w:rsidRPr="000A3892" w:rsidRDefault="00C668B1" w:rsidP="00C668B1">
      <w:pPr>
        <w:pStyle w:val="Corpodetexto"/>
        <w:spacing w:before="20" w:after="20" w:line="280" w:lineRule="exact"/>
        <w:rPr>
          <w:rFonts w:ascii="Arial" w:hAnsi="Arial" w:cs="Arial"/>
          <w:color w:val="000000" w:themeColor="text1"/>
        </w:rPr>
      </w:pPr>
      <w:r w:rsidRPr="000A3892">
        <w:rPr>
          <w:rFonts w:ascii="Arial" w:hAnsi="Arial" w:cs="Arial"/>
          <w:color w:val="000000" w:themeColor="text1"/>
        </w:rPr>
        <w:t>Telefone +55 (61) 3362 3700</w:t>
      </w:r>
    </w:p>
    <w:p w14:paraId="1A0B93EC" w14:textId="77777777" w:rsidR="00C668B1" w:rsidRPr="000A3892" w:rsidRDefault="00C668B1" w:rsidP="00C668B1">
      <w:pPr>
        <w:pStyle w:val="Corpodetexto"/>
        <w:spacing w:before="20" w:after="20" w:line="280" w:lineRule="exact"/>
        <w:rPr>
          <w:rFonts w:ascii="Arial" w:hAnsi="Arial" w:cs="Arial"/>
        </w:rPr>
      </w:pPr>
      <w:r w:rsidRPr="000A3892">
        <w:rPr>
          <w:rFonts w:ascii="Arial" w:hAnsi="Arial" w:cs="Arial"/>
          <w:color w:val="000000" w:themeColor="text1"/>
        </w:rPr>
        <w:t>kpmg.com.br</w:t>
      </w:r>
    </w:p>
    <w:p w14:paraId="49368493" w14:textId="77777777" w:rsidR="00C668B1" w:rsidRPr="000A3892" w:rsidRDefault="00C668B1" w:rsidP="00C668B1">
      <w:pPr>
        <w:pStyle w:val="Corpodetexto"/>
        <w:ind w:left="993"/>
        <w:rPr>
          <w:rFonts w:ascii="Arial" w:hAnsi="Arial" w:cs="Arial"/>
        </w:rPr>
      </w:pPr>
    </w:p>
    <w:p w14:paraId="4B88CBF3" w14:textId="77777777" w:rsidR="00C668B1" w:rsidRPr="000A3892" w:rsidRDefault="00C668B1" w:rsidP="00C668B1">
      <w:pPr>
        <w:rPr>
          <w:rFonts w:ascii="Arial" w:hAnsi="Arial" w:cs="Arial"/>
          <w:b/>
          <w:sz w:val="20"/>
          <w:szCs w:val="20"/>
        </w:rPr>
      </w:pPr>
      <w:r w:rsidRPr="000A3892">
        <w:rPr>
          <w:rFonts w:ascii="Arial" w:hAnsi="Arial" w:cs="Arial"/>
          <w:b/>
          <w:sz w:val="20"/>
          <w:szCs w:val="20"/>
        </w:rPr>
        <w:t>Relatório das demonstrações contábeis intermediárias individuais e consolidadas condensadas</w:t>
      </w:r>
    </w:p>
    <w:p w14:paraId="5A050D3B" w14:textId="77777777" w:rsidR="00C668B1" w:rsidRPr="000A3892" w:rsidRDefault="00C668B1" w:rsidP="00C668B1">
      <w:pPr>
        <w:pStyle w:val="Corpodetexto"/>
        <w:spacing w:before="11"/>
        <w:rPr>
          <w:rFonts w:ascii="Arial" w:hAnsi="Arial" w:cs="Arial"/>
          <w:b/>
        </w:rPr>
      </w:pPr>
    </w:p>
    <w:p w14:paraId="0ED9761D" w14:textId="77777777" w:rsidR="00C668B1" w:rsidRPr="000A3892" w:rsidRDefault="00C668B1" w:rsidP="00C668B1">
      <w:pPr>
        <w:pStyle w:val="Corpodetexto"/>
        <w:rPr>
          <w:rFonts w:ascii="Arial" w:hAnsi="Arial" w:cs="Arial"/>
        </w:rPr>
      </w:pPr>
      <w:r w:rsidRPr="000A3892">
        <w:rPr>
          <w:rFonts w:ascii="Arial" w:hAnsi="Arial" w:cs="Arial"/>
        </w:rPr>
        <w:t xml:space="preserve">Aos </w:t>
      </w:r>
    </w:p>
    <w:p w14:paraId="4794FCAB" w14:textId="77777777" w:rsidR="00C668B1" w:rsidRPr="000A3892" w:rsidRDefault="00C668B1" w:rsidP="00C668B1">
      <w:pPr>
        <w:pStyle w:val="Corpodetexto"/>
        <w:rPr>
          <w:rFonts w:ascii="Arial" w:hAnsi="Arial" w:cs="Arial"/>
        </w:rPr>
      </w:pPr>
      <w:r w:rsidRPr="000A3892">
        <w:rPr>
          <w:rFonts w:ascii="Arial" w:hAnsi="Arial" w:cs="Arial"/>
        </w:rPr>
        <w:t xml:space="preserve">Acionistas, ao Conselho de Administração e aos Administradores da   </w:t>
      </w:r>
    </w:p>
    <w:p w14:paraId="39AE068F" w14:textId="77777777" w:rsidR="00C668B1" w:rsidRPr="00195A60" w:rsidRDefault="00C668B1" w:rsidP="005A596E">
      <w:pPr>
        <w:rPr>
          <w:rFonts w:ascii="Arial" w:hAnsi="Arial" w:cs="Arial"/>
          <w:b/>
          <w:bCs/>
          <w:sz w:val="20"/>
          <w:szCs w:val="20"/>
        </w:rPr>
      </w:pPr>
      <w:r w:rsidRPr="00195A60">
        <w:rPr>
          <w:rFonts w:ascii="Arial" w:hAnsi="Arial" w:cs="Arial"/>
          <w:b/>
          <w:bCs/>
          <w:sz w:val="20"/>
          <w:szCs w:val="20"/>
        </w:rPr>
        <w:t>Caixa Econômica Federal - CAIXA</w:t>
      </w:r>
    </w:p>
    <w:p w14:paraId="643E7F01" w14:textId="77777777" w:rsidR="00C668B1" w:rsidRPr="000A3892" w:rsidRDefault="00C668B1" w:rsidP="00C668B1">
      <w:pPr>
        <w:pStyle w:val="Corpodetexto"/>
        <w:rPr>
          <w:rFonts w:ascii="Arial" w:hAnsi="Arial" w:cs="Arial"/>
        </w:rPr>
      </w:pPr>
      <w:r w:rsidRPr="000A3892">
        <w:rPr>
          <w:rFonts w:ascii="Arial" w:hAnsi="Arial" w:cs="Arial"/>
        </w:rPr>
        <w:t>Brasília - DF</w:t>
      </w:r>
    </w:p>
    <w:p w14:paraId="4C9B2826" w14:textId="77777777" w:rsidR="00C668B1" w:rsidRDefault="00C668B1" w:rsidP="00C668B1">
      <w:pPr>
        <w:pStyle w:val="Corpodetexto"/>
        <w:spacing w:before="10"/>
        <w:rPr>
          <w:rFonts w:ascii="Arial" w:hAnsi="Arial" w:cs="Arial"/>
        </w:rPr>
      </w:pPr>
    </w:p>
    <w:p w14:paraId="39706CB2" w14:textId="77777777" w:rsidR="00195A60" w:rsidRPr="005F0A45" w:rsidRDefault="00195A60" w:rsidP="00C668B1">
      <w:pPr>
        <w:pStyle w:val="Corpodetexto"/>
        <w:spacing w:before="10"/>
        <w:rPr>
          <w:rFonts w:ascii="Arial" w:hAnsi="Arial" w:cs="Arial"/>
        </w:rPr>
      </w:pPr>
    </w:p>
    <w:p w14:paraId="77600B06" w14:textId="77777777" w:rsidR="00C668B1" w:rsidRPr="00E537C5" w:rsidRDefault="00C668B1" w:rsidP="00E537C5">
      <w:pPr>
        <w:spacing w:before="120" w:after="120"/>
        <w:rPr>
          <w:rFonts w:ascii="Arial" w:hAnsi="Arial" w:cs="Arial"/>
          <w:b/>
          <w:bCs/>
          <w:sz w:val="22"/>
          <w:szCs w:val="22"/>
        </w:rPr>
      </w:pPr>
      <w:r w:rsidRPr="00E537C5">
        <w:rPr>
          <w:rFonts w:ascii="Arial" w:hAnsi="Arial" w:cs="Arial"/>
          <w:b/>
          <w:bCs/>
          <w:sz w:val="22"/>
          <w:szCs w:val="22"/>
        </w:rPr>
        <w:t>Introdução</w:t>
      </w:r>
    </w:p>
    <w:p w14:paraId="3A93E17D" w14:textId="77777777" w:rsidR="00C668B1" w:rsidRPr="005F0A45" w:rsidRDefault="00C668B1" w:rsidP="00F81028">
      <w:pPr>
        <w:pStyle w:val="Corpodetexto"/>
        <w:jc w:val="left"/>
        <w:rPr>
          <w:rFonts w:ascii="Arial" w:hAnsi="Arial" w:cs="Arial"/>
          <w:color w:val="FF0000"/>
        </w:rPr>
      </w:pPr>
      <w:r w:rsidRPr="005F0A45">
        <w:rPr>
          <w:rFonts w:ascii="Arial" w:hAnsi="Arial" w:cs="Arial"/>
        </w:rPr>
        <w:t>Revisamos</w:t>
      </w:r>
      <w:r w:rsidRPr="005F0A45">
        <w:rPr>
          <w:rFonts w:ascii="Arial" w:hAnsi="Arial" w:cs="Arial"/>
          <w:spacing w:val="-9"/>
        </w:rPr>
        <w:t xml:space="preserve"> </w:t>
      </w:r>
      <w:r w:rsidRPr="005F0A45">
        <w:rPr>
          <w:rFonts w:ascii="Arial" w:hAnsi="Arial" w:cs="Arial"/>
        </w:rPr>
        <w:t>as</w:t>
      </w:r>
      <w:r w:rsidRPr="005F0A45">
        <w:rPr>
          <w:rFonts w:ascii="Arial" w:hAnsi="Arial" w:cs="Arial"/>
          <w:spacing w:val="-9"/>
        </w:rPr>
        <w:t xml:space="preserve"> </w:t>
      </w:r>
      <w:r w:rsidRPr="005F0A45">
        <w:rPr>
          <w:rFonts w:ascii="Arial" w:hAnsi="Arial" w:cs="Arial"/>
        </w:rPr>
        <w:t>demonstrações</w:t>
      </w:r>
      <w:r w:rsidRPr="005F0A45">
        <w:rPr>
          <w:rFonts w:ascii="Arial" w:hAnsi="Arial" w:cs="Arial"/>
          <w:spacing w:val="-9"/>
        </w:rPr>
        <w:t xml:space="preserve"> </w:t>
      </w:r>
      <w:r w:rsidRPr="005F0A45">
        <w:rPr>
          <w:rFonts w:ascii="Arial" w:hAnsi="Arial" w:cs="Arial"/>
        </w:rPr>
        <w:t>contábeis</w:t>
      </w:r>
      <w:r w:rsidRPr="005F0A45">
        <w:rPr>
          <w:rFonts w:ascii="Arial" w:hAnsi="Arial" w:cs="Arial"/>
          <w:spacing w:val="-9"/>
        </w:rPr>
        <w:t xml:space="preserve"> </w:t>
      </w:r>
      <w:r w:rsidRPr="005F0A45">
        <w:rPr>
          <w:rFonts w:ascii="Arial" w:hAnsi="Arial" w:cs="Arial"/>
        </w:rPr>
        <w:t>intermediárias individuais</w:t>
      </w:r>
      <w:r w:rsidRPr="005F0A45">
        <w:rPr>
          <w:rFonts w:ascii="Arial" w:hAnsi="Arial" w:cs="Arial"/>
          <w:spacing w:val="-9"/>
        </w:rPr>
        <w:t xml:space="preserve"> </w:t>
      </w:r>
      <w:r w:rsidRPr="005F0A45">
        <w:rPr>
          <w:rFonts w:ascii="Arial" w:hAnsi="Arial" w:cs="Arial"/>
        </w:rPr>
        <w:t>e</w:t>
      </w:r>
      <w:r w:rsidRPr="005F0A45">
        <w:rPr>
          <w:rFonts w:ascii="Arial" w:hAnsi="Arial" w:cs="Arial"/>
          <w:spacing w:val="-10"/>
        </w:rPr>
        <w:t xml:space="preserve"> </w:t>
      </w:r>
      <w:r w:rsidRPr="005F0A45">
        <w:rPr>
          <w:rFonts w:ascii="Arial" w:hAnsi="Arial" w:cs="Arial"/>
        </w:rPr>
        <w:t>consolidadas</w:t>
      </w:r>
      <w:r w:rsidRPr="005F0A45">
        <w:rPr>
          <w:rFonts w:ascii="Arial" w:hAnsi="Arial" w:cs="Arial"/>
          <w:spacing w:val="-10"/>
        </w:rPr>
        <w:t xml:space="preserve"> </w:t>
      </w:r>
      <w:r w:rsidRPr="005F0A45">
        <w:rPr>
          <w:rFonts w:ascii="Arial" w:hAnsi="Arial" w:cs="Arial"/>
        </w:rPr>
        <w:t>condensadas da</w:t>
      </w:r>
      <w:r w:rsidRPr="005F0A45">
        <w:rPr>
          <w:rFonts w:ascii="Arial" w:hAnsi="Arial" w:cs="Arial"/>
          <w:spacing w:val="-6"/>
        </w:rPr>
        <w:t xml:space="preserve"> </w:t>
      </w:r>
      <w:r w:rsidRPr="005F0A45">
        <w:rPr>
          <w:rFonts w:ascii="Arial" w:hAnsi="Arial" w:cs="Arial"/>
          <w:spacing w:val="3"/>
        </w:rPr>
        <w:t>Caixa Econômica Federal</w:t>
      </w:r>
      <w:r w:rsidRPr="005F0A45">
        <w:rPr>
          <w:rFonts w:ascii="Arial" w:hAnsi="Arial" w:cs="Arial"/>
        </w:rPr>
        <w:t xml:space="preserve"> (“CAIXA”), referentes ao </w:t>
      </w:r>
      <w:r w:rsidRPr="005F0A45">
        <w:rPr>
          <w:rFonts w:ascii="Arial" w:hAnsi="Arial" w:cs="Arial"/>
          <w:color w:val="000000"/>
        </w:rPr>
        <w:t>trimestre findo em 31 de março de 2024, que compreendem o balanço patrimonial condensado em 31 de março de 2024 e</w:t>
      </w:r>
      <w:r w:rsidRPr="005F0A45">
        <w:rPr>
          <w:rFonts w:ascii="Arial" w:hAnsi="Arial" w:cs="Arial"/>
        </w:rPr>
        <w:t xml:space="preserve"> as respectivas demonstrações condensadas do resultado e do resultado abrangente para o período de três meses findo naquela data e das mutações do patrimônio líquido e dos fluxos de caixa para o período de três meses findo naquela data, e as notas explicativas às demonstrações contábeis intermediárias individuais e consolidadas condensadas.</w:t>
      </w:r>
    </w:p>
    <w:p w14:paraId="563E3912" w14:textId="77777777" w:rsidR="00C668B1" w:rsidRPr="005F0A45" w:rsidRDefault="00C668B1" w:rsidP="00F81028">
      <w:pPr>
        <w:pStyle w:val="Corpodetexto"/>
        <w:jc w:val="left"/>
        <w:rPr>
          <w:rFonts w:ascii="Arial" w:hAnsi="Arial" w:cs="Arial"/>
        </w:rPr>
      </w:pPr>
    </w:p>
    <w:p w14:paraId="2C205E60" w14:textId="77777777" w:rsidR="00C668B1" w:rsidRPr="005F0A45" w:rsidRDefault="00C668B1" w:rsidP="00F81028">
      <w:pPr>
        <w:pStyle w:val="Corpodetexto"/>
        <w:jc w:val="left"/>
        <w:rPr>
          <w:rFonts w:ascii="Arial" w:hAnsi="Arial" w:cs="Arial"/>
        </w:rPr>
      </w:pPr>
      <w:r w:rsidRPr="005F0A45">
        <w:rPr>
          <w:rFonts w:ascii="Arial" w:hAnsi="Arial" w:cs="Arial"/>
        </w:rPr>
        <w:t>A Administração da CAIXA é responsável pela elaboração e apresentação das demonstrações contábeis intermediárias individuais e consolidadas condensadas de acordo com as práticas contábeis adotadas no Brasil aplicáveis às instituições autorizadas a funcionar pelo Banco Central do Brasil. Nossa responsabilidade é a de expressar uma conclusão sobre essas demonstrações contábeis intermediárias individuais e consolidadas condensadas com base em nossa revisão.</w:t>
      </w:r>
    </w:p>
    <w:p w14:paraId="2C3D92B9" w14:textId="77777777" w:rsidR="00C668B1" w:rsidRPr="00E537C5" w:rsidRDefault="00C668B1" w:rsidP="000A3892">
      <w:pPr>
        <w:spacing w:before="240" w:after="120"/>
        <w:rPr>
          <w:rFonts w:ascii="Arial" w:hAnsi="Arial" w:cs="Arial"/>
          <w:b/>
          <w:bCs/>
          <w:sz w:val="22"/>
          <w:szCs w:val="22"/>
        </w:rPr>
      </w:pPr>
      <w:r w:rsidRPr="00E537C5">
        <w:rPr>
          <w:rFonts w:ascii="Arial" w:hAnsi="Arial" w:cs="Arial"/>
          <w:b/>
          <w:bCs/>
          <w:sz w:val="22"/>
          <w:szCs w:val="22"/>
        </w:rPr>
        <w:t>Alcance da revisão</w:t>
      </w:r>
    </w:p>
    <w:p w14:paraId="513288F7" w14:textId="77777777" w:rsidR="00C668B1" w:rsidRPr="005F0A45" w:rsidRDefault="00C668B1" w:rsidP="00F81028">
      <w:pPr>
        <w:pStyle w:val="Corpodetexto"/>
        <w:jc w:val="left"/>
        <w:rPr>
          <w:rFonts w:ascii="Arial" w:hAnsi="Arial" w:cs="Arial"/>
        </w:rPr>
      </w:pPr>
      <w:r w:rsidRPr="005F0A45">
        <w:rPr>
          <w:rFonts w:ascii="Arial" w:hAnsi="Arial" w:cs="Arial"/>
        </w:rPr>
        <w:t>Conduzimos</w:t>
      </w:r>
      <w:r w:rsidRPr="005F0A45">
        <w:rPr>
          <w:rFonts w:ascii="Arial" w:hAnsi="Arial" w:cs="Arial"/>
          <w:spacing w:val="-7"/>
        </w:rPr>
        <w:t xml:space="preserve"> </w:t>
      </w:r>
      <w:r w:rsidRPr="005F0A45">
        <w:rPr>
          <w:rFonts w:ascii="Arial" w:hAnsi="Arial" w:cs="Arial"/>
        </w:rPr>
        <w:t>nossa</w:t>
      </w:r>
      <w:r w:rsidRPr="005F0A45">
        <w:rPr>
          <w:rFonts w:ascii="Arial" w:hAnsi="Arial" w:cs="Arial"/>
          <w:spacing w:val="-8"/>
        </w:rPr>
        <w:t xml:space="preserve"> </w:t>
      </w:r>
      <w:r w:rsidRPr="005F0A45">
        <w:rPr>
          <w:rFonts w:ascii="Arial" w:hAnsi="Arial" w:cs="Arial"/>
        </w:rPr>
        <w:t>revisão</w:t>
      </w:r>
      <w:r w:rsidRPr="005F0A45">
        <w:rPr>
          <w:rFonts w:ascii="Arial" w:hAnsi="Arial" w:cs="Arial"/>
          <w:spacing w:val="-6"/>
        </w:rPr>
        <w:t xml:space="preserve"> </w:t>
      </w:r>
      <w:r w:rsidRPr="005F0A45">
        <w:rPr>
          <w:rFonts w:ascii="Arial" w:hAnsi="Arial" w:cs="Arial"/>
        </w:rPr>
        <w:t>de</w:t>
      </w:r>
      <w:r w:rsidRPr="005F0A45">
        <w:rPr>
          <w:rFonts w:ascii="Arial" w:hAnsi="Arial" w:cs="Arial"/>
          <w:spacing w:val="-8"/>
        </w:rPr>
        <w:t xml:space="preserve"> </w:t>
      </w:r>
      <w:r w:rsidRPr="005F0A45">
        <w:rPr>
          <w:rFonts w:ascii="Arial" w:hAnsi="Arial" w:cs="Arial"/>
        </w:rPr>
        <w:t>acordo</w:t>
      </w:r>
      <w:r w:rsidRPr="005F0A45">
        <w:rPr>
          <w:rFonts w:ascii="Arial" w:hAnsi="Arial" w:cs="Arial"/>
          <w:spacing w:val="-8"/>
        </w:rPr>
        <w:t xml:space="preserve"> </w:t>
      </w:r>
      <w:r w:rsidRPr="005F0A45">
        <w:rPr>
          <w:rFonts w:ascii="Arial" w:hAnsi="Arial" w:cs="Arial"/>
        </w:rPr>
        <w:t>com</w:t>
      </w:r>
      <w:r w:rsidRPr="005F0A45">
        <w:rPr>
          <w:rFonts w:ascii="Arial" w:hAnsi="Arial" w:cs="Arial"/>
          <w:spacing w:val="-4"/>
        </w:rPr>
        <w:t xml:space="preserve"> </w:t>
      </w:r>
      <w:r w:rsidRPr="005F0A45">
        <w:rPr>
          <w:rFonts w:ascii="Arial" w:hAnsi="Arial" w:cs="Arial"/>
        </w:rPr>
        <w:t>as</w:t>
      </w:r>
      <w:r w:rsidRPr="005F0A45">
        <w:rPr>
          <w:rFonts w:ascii="Arial" w:hAnsi="Arial" w:cs="Arial"/>
          <w:spacing w:val="-7"/>
        </w:rPr>
        <w:t xml:space="preserve"> </w:t>
      </w:r>
      <w:r w:rsidRPr="005F0A45">
        <w:rPr>
          <w:rFonts w:ascii="Arial" w:hAnsi="Arial" w:cs="Arial"/>
        </w:rPr>
        <w:t>normas</w:t>
      </w:r>
      <w:r w:rsidRPr="005F0A45">
        <w:rPr>
          <w:rFonts w:ascii="Arial" w:hAnsi="Arial" w:cs="Arial"/>
          <w:spacing w:val="-7"/>
        </w:rPr>
        <w:t xml:space="preserve"> </w:t>
      </w:r>
      <w:r w:rsidRPr="005F0A45">
        <w:rPr>
          <w:rFonts w:ascii="Arial" w:hAnsi="Arial" w:cs="Arial"/>
        </w:rPr>
        <w:t>brasileiras</w:t>
      </w:r>
      <w:r w:rsidRPr="005F0A45">
        <w:rPr>
          <w:rFonts w:ascii="Arial" w:hAnsi="Arial" w:cs="Arial"/>
          <w:spacing w:val="-7"/>
        </w:rPr>
        <w:t xml:space="preserve"> </w:t>
      </w:r>
      <w:r w:rsidRPr="005F0A45">
        <w:rPr>
          <w:rFonts w:ascii="Arial" w:hAnsi="Arial" w:cs="Arial"/>
        </w:rPr>
        <w:t>e</w:t>
      </w:r>
      <w:r w:rsidRPr="005F0A45">
        <w:rPr>
          <w:rFonts w:ascii="Arial" w:hAnsi="Arial" w:cs="Arial"/>
          <w:spacing w:val="-6"/>
        </w:rPr>
        <w:t xml:space="preserve"> </w:t>
      </w:r>
      <w:r w:rsidRPr="005F0A45">
        <w:rPr>
          <w:rFonts w:ascii="Arial" w:hAnsi="Arial" w:cs="Arial"/>
        </w:rPr>
        <w:t>internacionais</w:t>
      </w:r>
      <w:r w:rsidRPr="005F0A45">
        <w:rPr>
          <w:rFonts w:ascii="Arial" w:hAnsi="Arial" w:cs="Arial"/>
          <w:spacing w:val="-4"/>
        </w:rPr>
        <w:t xml:space="preserve"> </w:t>
      </w:r>
      <w:r w:rsidRPr="005F0A45">
        <w:rPr>
          <w:rFonts w:ascii="Arial" w:hAnsi="Arial" w:cs="Arial"/>
        </w:rPr>
        <w:t>de</w:t>
      </w:r>
      <w:r w:rsidRPr="005F0A45">
        <w:rPr>
          <w:rFonts w:ascii="Arial" w:hAnsi="Arial" w:cs="Arial"/>
          <w:spacing w:val="-8"/>
        </w:rPr>
        <w:t xml:space="preserve"> </w:t>
      </w:r>
      <w:r w:rsidRPr="005F0A45">
        <w:rPr>
          <w:rFonts w:ascii="Arial" w:hAnsi="Arial" w:cs="Arial"/>
        </w:rPr>
        <w:t xml:space="preserve">revisão de informações intermediárias (NBC TR 2410 – Revisão de Informações Intermediárias Executada pelo Auditor da Entidade e ISRE 2410 – </w:t>
      </w:r>
      <w:r w:rsidRPr="005F0A45">
        <w:rPr>
          <w:rFonts w:ascii="Arial" w:hAnsi="Arial" w:cs="Arial"/>
          <w:i/>
        </w:rPr>
        <w:t xml:space="preserve">Review </w:t>
      </w:r>
      <w:proofErr w:type="spellStart"/>
      <w:r w:rsidRPr="005F0A45">
        <w:rPr>
          <w:rFonts w:ascii="Arial" w:hAnsi="Arial" w:cs="Arial"/>
          <w:i/>
        </w:rPr>
        <w:t>of</w:t>
      </w:r>
      <w:proofErr w:type="spellEnd"/>
      <w:r w:rsidRPr="005F0A45">
        <w:rPr>
          <w:rFonts w:ascii="Arial" w:hAnsi="Arial" w:cs="Arial"/>
          <w:i/>
        </w:rPr>
        <w:t xml:space="preserve"> Interim Financial </w:t>
      </w:r>
      <w:proofErr w:type="spellStart"/>
      <w:r w:rsidRPr="005F0A45">
        <w:rPr>
          <w:rFonts w:ascii="Arial" w:hAnsi="Arial" w:cs="Arial"/>
          <w:i/>
        </w:rPr>
        <w:t>Information</w:t>
      </w:r>
      <w:proofErr w:type="spellEnd"/>
      <w:r w:rsidRPr="005F0A45">
        <w:rPr>
          <w:rFonts w:ascii="Arial" w:hAnsi="Arial" w:cs="Arial"/>
          <w:i/>
        </w:rPr>
        <w:t xml:space="preserve"> </w:t>
      </w:r>
      <w:proofErr w:type="spellStart"/>
      <w:r w:rsidRPr="005F0A45">
        <w:rPr>
          <w:rFonts w:ascii="Arial" w:hAnsi="Arial" w:cs="Arial"/>
          <w:i/>
        </w:rPr>
        <w:t>Performed</w:t>
      </w:r>
      <w:proofErr w:type="spellEnd"/>
      <w:r w:rsidRPr="005F0A45">
        <w:rPr>
          <w:rFonts w:ascii="Arial" w:hAnsi="Arial" w:cs="Arial"/>
          <w:i/>
        </w:rPr>
        <w:t xml:space="preserve"> </w:t>
      </w:r>
      <w:proofErr w:type="spellStart"/>
      <w:r w:rsidRPr="005F0A45">
        <w:rPr>
          <w:rFonts w:ascii="Arial" w:hAnsi="Arial" w:cs="Arial"/>
          <w:i/>
        </w:rPr>
        <w:t>by</w:t>
      </w:r>
      <w:proofErr w:type="spellEnd"/>
      <w:r w:rsidRPr="005F0A45">
        <w:rPr>
          <w:rFonts w:ascii="Arial" w:hAnsi="Arial" w:cs="Arial"/>
          <w:i/>
        </w:rPr>
        <w:t xml:space="preserve"> </w:t>
      </w:r>
      <w:proofErr w:type="spellStart"/>
      <w:r w:rsidRPr="005F0A45">
        <w:rPr>
          <w:rFonts w:ascii="Arial" w:hAnsi="Arial" w:cs="Arial"/>
          <w:i/>
        </w:rPr>
        <w:t>the</w:t>
      </w:r>
      <w:proofErr w:type="spellEnd"/>
      <w:r w:rsidRPr="005F0A45">
        <w:rPr>
          <w:rFonts w:ascii="Arial" w:hAnsi="Arial" w:cs="Arial"/>
          <w:i/>
        </w:rPr>
        <w:t xml:space="preserve"> Independent Auditor </w:t>
      </w:r>
      <w:proofErr w:type="spellStart"/>
      <w:r w:rsidRPr="005F0A45">
        <w:rPr>
          <w:rFonts w:ascii="Arial" w:hAnsi="Arial" w:cs="Arial"/>
          <w:i/>
        </w:rPr>
        <w:t>of</w:t>
      </w:r>
      <w:proofErr w:type="spellEnd"/>
      <w:r w:rsidRPr="005F0A45">
        <w:rPr>
          <w:rFonts w:ascii="Arial" w:hAnsi="Arial" w:cs="Arial"/>
          <w:i/>
        </w:rPr>
        <w:t xml:space="preserve"> </w:t>
      </w:r>
      <w:proofErr w:type="spellStart"/>
      <w:r w:rsidRPr="005F0A45">
        <w:rPr>
          <w:rFonts w:ascii="Arial" w:hAnsi="Arial" w:cs="Arial"/>
          <w:i/>
        </w:rPr>
        <w:t>the</w:t>
      </w:r>
      <w:proofErr w:type="spellEnd"/>
      <w:r w:rsidRPr="005F0A45">
        <w:rPr>
          <w:rFonts w:ascii="Arial" w:hAnsi="Arial" w:cs="Arial"/>
          <w:i/>
        </w:rPr>
        <w:t xml:space="preserve"> Entity</w:t>
      </w:r>
      <w:r w:rsidRPr="005F0A45">
        <w:rPr>
          <w:rFonts w:ascii="Arial" w:hAnsi="Arial" w:cs="Arial"/>
        </w:rPr>
        <w:t>, respectivamente). A revisão de informações intermediárias consiste na realização de indagações, principalmente às pessoas responsáveis pelos assuntos financeiros e contábeis e na aplicação de procedimentos analíticos e de outros procedimentos de revisão. O alcance de uma revisão é significativamente menor do que o de uma auditoria conduzida de acordo com as normas brasileiras e internacionais de auditoria e, consequentemente, não nos permite obter segurança de que tomamos conhecimento de todos os assuntos significativos que poderiam ser identificados em uma auditoria. Portanto, não expressamos uma opinião de</w:t>
      </w:r>
      <w:r w:rsidRPr="005F0A45">
        <w:rPr>
          <w:rFonts w:ascii="Arial" w:hAnsi="Arial" w:cs="Arial"/>
          <w:spacing w:val="-15"/>
        </w:rPr>
        <w:t xml:space="preserve"> </w:t>
      </w:r>
      <w:r w:rsidRPr="005F0A45">
        <w:rPr>
          <w:rFonts w:ascii="Arial" w:hAnsi="Arial" w:cs="Arial"/>
        </w:rPr>
        <w:t>auditoria.</w:t>
      </w:r>
    </w:p>
    <w:p w14:paraId="33A61E30" w14:textId="77777777" w:rsidR="00C668B1" w:rsidRPr="00E537C5" w:rsidRDefault="00C668B1" w:rsidP="000A3892">
      <w:pPr>
        <w:spacing w:before="240" w:after="120"/>
        <w:rPr>
          <w:rFonts w:ascii="Arial" w:hAnsi="Arial" w:cs="Arial"/>
          <w:b/>
          <w:bCs/>
          <w:sz w:val="22"/>
          <w:szCs w:val="22"/>
        </w:rPr>
      </w:pPr>
      <w:r w:rsidRPr="00E537C5">
        <w:rPr>
          <w:rFonts w:ascii="Arial" w:hAnsi="Arial" w:cs="Arial"/>
          <w:b/>
          <w:bCs/>
          <w:sz w:val="22"/>
          <w:szCs w:val="22"/>
        </w:rPr>
        <w:t>Conclusão sobre as demonstrações contábeis intermediárias individuais e consolidadas condensadas</w:t>
      </w:r>
    </w:p>
    <w:p w14:paraId="06E0F507" w14:textId="77777777" w:rsidR="00C668B1" w:rsidRPr="005F0A45" w:rsidRDefault="00C668B1" w:rsidP="00F81028">
      <w:pPr>
        <w:rPr>
          <w:rFonts w:ascii="Arial" w:hAnsi="Arial" w:cs="Arial"/>
          <w:sz w:val="20"/>
          <w:szCs w:val="20"/>
        </w:rPr>
      </w:pPr>
      <w:r w:rsidRPr="005F0A45">
        <w:rPr>
          <w:rFonts w:ascii="Arial" w:hAnsi="Arial" w:cs="Arial"/>
          <w:sz w:val="20"/>
          <w:szCs w:val="20"/>
        </w:rPr>
        <w:t>Com base em nossa revisão, não temos conhecimento de nenhum fato que nos leve a acreditar que as demonstrações contábeis intermediárias individuais e consolidadas condensadas, acima referidas, não apresentam adequadamente, em todos os aspectos relevantes, a posição patrimonial e financeira individual e consolidada da CAIXA em 31 de março de 2024, o desempenho individual e consolidado de suas operações e os seus fluxos de caixa individuais e consolidados para o período de três meses findo nessa data, de acordo com as práticas contábeis adotadas no Brasil aplicáveis às instituições autorizadas a funcionar pelo Banco Central do Brasil.</w:t>
      </w:r>
    </w:p>
    <w:p w14:paraId="7E91337E" w14:textId="77777777" w:rsidR="00D60A7A" w:rsidRDefault="00D60A7A">
      <w:pPr>
        <w:rPr>
          <w:rFonts w:ascii="Arial" w:hAnsi="Arial" w:cs="Arial"/>
          <w:b/>
          <w:bCs/>
          <w:sz w:val="22"/>
          <w:szCs w:val="22"/>
        </w:rPr>
      </w:pPr>
      <w:r>
        <w:rPr>
          <w:rFonts w:ascii="Arial" w:hAnsi="Arial" w:cs="Arial"/>
          <w:b/>
          <w:bCs/>
          <w:sz w:val="22"/>
          <w:szCs w:val="22"/>
        </w:rPr>
        <w:br w:type="page"/>
      </w:r>
    </w:p>
    <w:p w14:paraId="3F4D1727" w14:textId="7EBEF385" w:rsidR="00C668B1" w:rsidRPr="000A3892" w:rsidRDefault="00C668B1" w:rsidP="000A3892">
      <w:pPr>
        <w:spacing w:before="240" w:after="120"/>
        <w:rPr>
          <w:rFonts w:ascii="Arial" w:hAnsi="Arial" w:cs="Arial"/>
          <w:b/>
          <w:bCs/>
          <w:sz w:val="22"/>
          <w:szCs w:val="22"/>
        </w:rPr>
      </w:pPr>
      <w:r w:rsidRPr="000A3892">
        <w:rPr>
          <w:rFonts w:ascii="Arial" w:hAnsi="Arial" w:cs="Arial"/>
          <w:b/>
          <w:bCs/>
          <w:sz w:val="22"/>
          <w:szCs w:val="22"/>
        </w:rPr>
        <w:lastRenderedPageBreak/>
        <w:t>Outros assuntos</w:t>
      </w:r>
    </w:p>
    <w:p w14:paraId="0B7E1434" w14:textId="77777777" w:rsidR="00C668B1" w:rsidRPr="005F0A45" w:rsidRDefault="00C668B1" w:rsidP="00EA2507">
      <w:pPr>
        <w:spacing w:before="240" w:after="240"/>
        <w:rPr>
          <w:rFonts w:ascii="Arial" w:hAnsi="Arial" w:cs="Arial"/>
          <w:b/>
          <w:i/>
          <w:sz w:val="20"/>
          <w:szCs w:val="20"/>
        </w:rPr>
      </w:pPr>
      <w:r w:rsidRPr="005F0A45">
        <w:rPr>
          <w:rFonts w:ascii="Arial" w:hAnsi="Arial" w:cs="Arial"/>
          <w:b/>
          <w:i/>
          <w:sz w:val="20"/>
          <w:szCs w:val="20"/>
        </w:rPr>
        <w:t>Demonstrações do valor adicionado</w:t>
      </w:r>
    </w:p>
    <w:p w14:paraId="7ED9CAFB" w14:textId="77777777" w:rsidR="00C668B1" w:rsidRPr="00F81028" w:rsidRDefault="00C668B1" w:rsidP="00F81028">
      <w:pPr>
        <w:rPr>
          <w:rFonts w:ascii="Arial" w:hAnsi="Arial" w:cs="Arial"/>
          <w:sz w:val="20"/>
          <w:szCs w:val="20"/>
        </w:rPr>
      </w:pPr>
      <w:r w:rsidRPr="005F0A45">
        <w:rPr>
          <w:rFonts w:ascii="Arial" w:hAnsi="Arial" w:cs="Arial"/>
          <w:sz w:val="20"/>
          <w:szCs w:val="20"/>
        </w:rPr>
        <w:t>As demonstrações contábeis intermediárias individuais e consolidadas condensadas acima referidas incluem as demonstrações do valor adicionado (DVA), individuais e consolidadas condensadas, referentes ao período de três meses findo em 31 de março de 2024, elaboradas sob a responsabilidade da Administração da CAIXA, cuja apresentação não é requerida para fins das práticas contábeis adotadas no Brasil aplicáveis às instituições autorizadas a funcionar pelo Banco Central do Brasil. Essas demonstrações foram submetidas a procedimentos de revisão executados em conjunto com a revisão das demonstrações contábeis intermediárias individuais e consolidadas condensadas, com o objetivo de concluir se elas estão conciliadas com as demonstrações contábeis intermediárias individuais e consolidadas condensadas e registros contábeis, conforme aplicável, e se sua forma e conteúdo estão de acordo com os critérios definidos no Pronunciamento Técnico CPC 09 – Demonstração do Valor Adicionado. Com base em nossa revisão, não temos conhecimento de nenhum fato que nos leve a acreditar que essas demonstrações do valor adicionado individuais e consolidadas não foram elaboradas, em todos os aspectos relevantes, segundo os critérios definidos nessa norma e de forma consistente em relação às demonstrações contábeis intermediárias individuais e consolidadas condensadas tomadas em conjunto.</w:t>
      </w:r>
    </w:p>
    <w:p w14:paraId="1711202F" w14:textId="77777777" w:rsidR="00C668B1" w:rsidRPr="005F0A45" w:rsidRDefault="00C668B1" w:rsidP="00EA2507">
      <w:pPr>
        <w:spacing w:before="240" w:after="240"/>
        <w:rPr>
          <w:rFonts w:ascii="Arial" w:hAnsi="Arial" w:cs="Arial"/>
          <w:b/>
          <w:i/>
          <w:sz w:val="20"/>
          <w:szCs w:val="20"/>
        </w:rPr>
      </w:pPr>
      <w:r w:rsidRPr="005F0A45">
        <w:rPr>
          <w:rFonts w:ascii="Arial" w:hAnsi="Arial" w:cs="Arial"/>
          <w:b/>
          <w:i/>
          <w:sz w:val="20"/>
          <w:szCs w:val="20"/>
        </w:rPr>
        <w:t>Demonstrações contábeis consolidadas</w:t>
      </w:r>
    </w:p>
    <w:p w14:paraId="070C5EA1" w14:textId="77777777" w:rsidR="00C668B1" w:rsidRPr="005F0A45" w:rsidRDefault="00C668B1" w:rsidP="00C668B1">
      <w:pPr>
        <w:rPr>
          <w:rFonts w:ascii="Arial" w:hAnsi="Arial" w:cs="Arial"/>
          <w:sz w:val="20"/>
          <w:szCs w:val="20"/>
        </w:rPr>
      </w:pPr>
      <w:r w:rsidRPr="005F0A45">
        <w:rPr>
          <w:rFonts w:ascii="Arial" w:hAnsi="Arial" w:cs="Arial"/>
          <w:sz w:val="20"/>
          <w:szCs w:val="20"/>
        </w:rPr>
        <w:t xml:space="preserve">Essas demonstrações contábeis intermediárias consolidadas condensadas para trimestre findo em 31 de março de 2024, que foram elaboradas de acordo com as práticas contábeis adotadas no Brasil aplicáveis às instituições autorizadas a funcionar pelo Banco Central do Brasil (BACEN), estão sendo apresentadas de maneira adicional, conforme faculdade prevista no Art. nº 77 da Resolução CMN nº 4.966, às demonstrações financeiras consolidadas preparadas de acordo com as Normas Internacionais de Relatório Financeiro (IFRS) emitidas pelo </w:t>
      </w:r>
      <w:proofErr w:type="spellStart"/>
      <w:r w:rsidRPr="005F0A45">
        <w:rPr>
          <w:rFonts w:ascii="Arial" w:hAnsi="Arial" w:cs="Arial"/>
          <w:i/>
          <w:iCs/>
          <w:sz w:val="20"/>
          <w:szCs w:val="20"/>
        </w:rPr>
        <w:t>International</w:t>
      </w:r>
      <w:proofErr w:type="spellEnd"/>
      <w:r w:rsidRPr="005F0A45">
        <w:rPr>
          <w:rFonts w:ascii="Arial" w:hAnsi="Arial" w:cs="Arial"/>
          <w:i/>
          <w:iCs/>
          <w:sz w:val="20"/>
          <w:szCs w:val="20"/>
        </w:rPr>
        <w:t xml:space="preserve"> </w:t>
      </w:r>
      <w:proofErr w:type="spellStart"/>
      <w:r w:rsidRPr="005F0A45">
        <w:rPr>
          <w:rFonts w:ascii="Arial" w:hAnsi="Arial" w:cs="Arial"/>
          <w:i/>
          <w:iCs/>
          <w:sz w:val="20"/>
          <w:szCs w:val="20"/>
        </w:rPr>
        <w:t>Accounting</w:t>
      </w:r>
      <w:proofErr w:type="spellEnd"/>
      <w:r w:rsidRPr="005F0A45">
        <w:rPr>
          <w:rFonts w:ascii="Arial" w:hAnsi="Arial" w:cs="Arial"/>
          <w:i/>
          <w:iCs/>
          <w:sz w:val="20"/>
          <w:szCs w:val="20"/>
        </w:rPr>
        <w:t xml:space="preserve"> Standards Board</w:t>
      </w:r>
      <w:r w:rsidRPr="005F0A45">
        <w:rPr>
          <w:rFonts w:ascii="Arial" w:hAnsi="Arial" w:cs="Arial"/>
          <w:sz w:val="20"/>
          <w:szCs w:val="20"/>
        </w:rPr>
        <w:t xml:space="preserve"> (IASB), que até a presente data não foram elaboradas e divulgadas pela CAIXA.</w:t>
      </w:r>
    </w:p>
    <w:p w14:paraId="0096F8C5" w14:textId="77777777" w:rsidR="00C668B1" w:rsidRPr="005F0A45" w:rsidRDefault="00C668B1" w:rsidP="00C668B1">
      <w:pPr>
        <w:pStyle w:val="Corpodetexto"/>
        <w:rPr>
          <w:rFonts w:ascii="Arial" w:hAnsi="Arial" w:cs="Arial"/>
        </w:rPr>
      </w:pPr>
    </w:p>
    <w:p w14:paraId="3AD24C79" w14:textId="77777777" w:rsidR="00C668B1" w:rsidRPr="005F0A45" w:rsidRDefault="00C668B1" w:rsidP="00C668B1">
      <w:pPr>
        <w:pStyle w:val="Corpodetexto"/>
        <w:spacing w:before="1"/>
        <w:rPr>
          <w:rFonts w:ascii="Arial" w:hAnsi="Arial" w:cs="Arial"/>
        </w:rPr>
      </w:pPr>
      <w:r w:rsidRPr="005F0A45">
        <w:rPr>
          <w:rFonts w:ascii="Arial" w:hAnsi="Arial" w:cs="Arial"/>
        </w:rPr>
        <w:t>Brasília, 13 de maio de 2024</w:t>
      </w:r>
    </w:p>
    <w:p w14:paraId="30CC8C8F" w14:textId="77777777" w:rsidR="00C668B1" w:rsidRDefault="00C668B1" w:rsidP="00C668B1">
      <w:pPr>
        <w:pStyle w:val="Corpodetexto"/>
        <w:spacing w:before="10"/>
        <w:rPr>
          <w:rFonts w:ascii="Arial" w:hAnsi="Arial" w:cs="Arial"/>
        </w:rPr>
      </w:pPr>
    </w:p>
    <w:p w14:paraId="26CDDE21" w14:textId="77777777" w:rsidR="00EA2507" w:rsidRDefault="00EA2507" w:rsidP="00C668B1">
      <w:pPr>
        <w:pStyle w:val="Corpodetexto"/>
        <w:spacing w:before="10"/>
        <w:rPr>
          <w:rFonts w:ascii="Arial" w:hAnsi="Arial" w:cs="Arial"/>
        </w:rPr>
      </w:pPr>
    </w:p>
    <w:p w14:paraId="26F9159C" w14:textId="77777777" w:rsidR="00EA2507" w:rsidRPr="005F0A45" w:rsidRDefault="00EA2507" w:rsidP="00C668B1">
      <w:pPr>
        <w:pStyle w:val="Corpodetexto"/>
        <w:spacing w:before="10"/>
        <w:rPr>
          <w:rFonts w:ascii="Arial" w:hAnsi="Arial" w:cs="Arial"/>
        </w:rPr>
      </w:pPr>
    </w:p>
    <w:p w14:paraId="32391DA5" w14:textId="77777777" w:rsidR="00C668B1" w:rsidRPr="005F0A45" w:rsidRDefault="00C668B1" w:rsidP="00C668B1">
      <w:pPr>
        <w:pStyle w:val="Corpodetexto"/>
        <w:rPr>
          <w:rFonts w:ascii="Arial" w:hAnsi="Arial" w:cs="Arial"/>
        </w:rPr>
      </w:pPr>
      <w:r w:rsidRPr="005F0A45">
        <w:rPr>
          <w:rFonts w:ascii="Arial" w:hAnsi="Arial" w:cs="Arial"/>
        </w:rPr>
        <w:t>KPMG Auditores Independentes Ltda</w:t>
      </w:r>
    </w:p>
    <w:p w14:paraId="543318A9" w14:textId="77777777" w:rsidR="00C668B1" w:rsidRPr="005F0A45" w:rsidRDefault="00C668B1" w:rsidP="00C668B1">
      <w:pPr>
        <w:pStyle w:val="Corpodetexto"/>
        <w:rPr>
          <w:rFonts w:ascii="Arial" w:hAnsi="Arial" w:cs="Arial"/>
        </w:rPr>
      </w:pPr>
      <w:r w:rsidRPr="005F0A45">
        <w:rPr>
          <w:rFonts w:ascii="Arial" w:hAnsi="Arial" w:cs="Arial"/>
        </w:rPr>
        <w:t>CRC SP-014428/F-0</w:t>
      </w:r>
    </w:p>
    <w:p w14:paraId="4745DD71" w14:textId="77777777" w:rsidR="00C668B1" w:rsidRPr="005F0A45" w:rsidRDefault="00C668B1" w:rsidP="00C668B1">
      <w:pPr>
        <w:pStyle w:val="Corpodetexto"/>
        <w:rPr>
          <w:rFonts w:ascii="Arial" w:hAnsi="Arial" w:cs="Arial"/>
        </w:rPr>
      </w:pPr>
    </w:p>
    <w:p w14:paraId="5E4D0DEB" w14:textId="77777777" w:rsidR="00C668B1" w:rsidRPr="005F0A45" w:rsidRDefault="00C668B1" w:rsidP="00C668B1">
      <w:pPr>
        <w:pStyle w:val="Corpodetexto"/>
        <w:rPr>
          <w:rFonts w:ascii="Arial" w:hAnsi="Arial" w:cs="Arial"/>
        </w:rPr>
      </w:pPr>
    </w:p>
    <w:p w14:paraId="4D1BD05B" w14:textId="77777777" w:rsidR="00C668B1" w:rsidRPr="005F0A45" w:rsidRDefault="00C668B1" w:rsidP="00C668B1">
      <w:pPr>
        <w:pStyle w:val="Corpodetexto"/>
        <w:rPr>
          <w:rFonts w:ascii="Arial" w:hAnsi="Arial" w:cs="Arial"/>
        </w:rPr>
      </w:pPr>
    </w:p>
    <w:p w14:paraId="4E19083A" w14:textId="77777777" w:rsidR="008F082B" w:rsidRDefault="00C668B1" w:rsidP="006E4072">
      <w:pPr>
        <w:pStyle w:val="Corpodetexto"/>
        <w:rPr>
          <w:rFonts w:ascii="Arial" w:hAnsi="Arial" w:cs="Arial"/>
        </w:rPr>
      </w:pPr>
      <w:r w:rsidRPr="005F0A45">
        <w:rPr>
          <w:rFonts w:ascii="Arial" w:hAnsi="Arial" w:cs="Arial"/>
        </w:rPr>
        <w:t xml:space="preserve">André Dala </w:t>
      </w:r>
      <w:proofErr w:type="spellStart"/>
      <w:r w:rsidRPr="005F0A45">
        <w:rPr>
          <w:rFonts w:ascii="Arial" w:hAnsi="Arial" w:cs="Arial"/>
        </w:rPr>
        <w:t>Pola</w:t>
      </w:r>
      <w:proofErr w:type="spellEnd"/>
    </w:p>
    <w:p w14:paraId="3F1500AF" w14:textId="3322836F" w:rsidR="00C668B1" w:rsidRPr="005F0A45" w:rsidRDefault="00C668B1" w:rsidP="006E4072">
      <w:pPr>
        <w:pStyle w:val="Corpodetexto"/>
        <w:rPr>
          <w:rFonts w:ascii="Arial" w:hAnsi="Arial" w:cs="Arial"/>
        </w:rPr>
      </w:pPr>
      <w:r w:rsidRPr="005F0A45">
        <w:rPr>
          <w:rFonts w:ascii="Arial" w:hAnsi="Arial" w:cs="Arial"/>
        </w:rPr>
        <w:t>Contador CRC 1SP214007/O-2</w:t>
      </w:r>
    </w:p>
    <w:p w14:paraId="083E543C" w14:textId="77777777" w:rsidR="0031241E" w:rsidRPr="00FF4346" w:rsidRDefault="0031241E" w:rsidP="0031241E">
      <w:pPr>
        <w:autoSpaceDE w:val="0"/>
        <w:autoSpaceDN w:val="0"/>
        <w:adjustRightInd w:val="0"/>
        <w:jc w:val="both"/>
        <w:rPr>
          <w:rFonts w:ascii="CAIXA Std Book" w:hAnsi="CAIXA Std Book"/>
          <w:color w:val="005CA9"/>
          <w:sz w:val="16"/>
          <w:szCs w:val="16"/>
        </w:rPr>
      </w:pPr>
    </w:p>
    <w:sectPr w:rsidR="0031241E" w:rsidRPr="00FF4346" w:rsidSect="0088151D">
      <w:headerReference w:type="default" r:id="rId78"/>
      <w:footerReference w:type="default" r:id="rId79"/>
      <w:headerReference w:type="first" r:id="rId80"/>
      <w:footerReference w:type="first" r:id="rId81"/>
      <w:pgSz w:w="11907" w:h="16840" w:code="9"/>
      <w:pgMar w:top="1440" w:right="1080" w:bottom="1440" w:left="1080" w:header="113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0E58BD" w14:textId="77777777" w:rsidR="00BE0E2B" w:rsidRDefault="00BE0E2B">
      <w:r>
        <w:separator/>
      </w:r>
    </w:p>
  </w:endnote>
  <w:endnote w:type="continuationSeparator" w:id="0">
    <w:p w14:paraId="76A993DC" w14:textId="77777777" w:rsidR="00BE0E2B" w:rsidRDefault="00BE0E2B">
      <w:r>
        <w:continuationSeparator/>
      </w:r>
    </w:p>
  </w:endnote>
  <w:endnote w:type="continuationNotice" w:id="1">
    <w:p w14:paraId="53BC68ED" w14:textId="77777777" w:rsidR="00BE0E2B" w:rsidRDefault="00BE0E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IXA Std Book">
    <w:altName w:val="Calibri"/>
    <w:panose1 w:val="020B0503020204030204"/>
    <w:charset w:val="00"/>
    <w:family w:val="swiss"/>
    <w:pitch w:val="variable"/>
    <w:sig w:usb0="A00000EF" w:usb1="4000205B"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Yu Mincho Light">
    <w:altName w:val="Yu Gothic"/>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ncoDoBrasil Textos">
    <w:altName w:val="Calibri"/>
    <w:charset w:val="00"/>
    <w:family w:val="auto"/>
    <w:pitch w:val="variable"/>
    <w:sig w:usb0="00000003" w:usb1="00000001"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Futura Std Book">
    <w:panose1 w:val="020B0502020204020303"/>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altName w:val="Times"/>
    <w:panose1 w:val="02020603050405020304"/>
    <w:charset w:val="00"/>
    <w:family w:val="roman"/>
    <w:pitch w:val="variable"/>
    <w:sig w:usb0="E0002EFF" w:usb1="C000785B" w:usb2="00000009" w:usb3="00000000" w:csb0="000001FF" w:csb1="00000000"/>
  </w:font>
  <w:font w:name="Futura Lt BT">
    <w:altName w:val="Calibri"/>
    <w:panose1 w:val="020B0402020204020303"/>
    <w:charset w:val="00"/>
    <w:family w:val="swiss"/>
    <w:pitch w:val="variable"/>
    <w:sig w:usb0="00000087" w:usb1="00000000" w:usb2="00000000" w:usb3="00000000" w:csb0="0000001B" w:csb1="00000000"/>
  </w:font>
  <w:font w:name="MS Mincho">
    <w:altName w:val="ＭＳ 明朝"/>
    <w:panose1 w:val="02020609040205080304"/>
    <w:charset w:val="80"/>
    <w:family w:val="modern"/>
    <w:pitch w:val="fixed"/>
    <w:sig w:usb0="E00002FF" w:usb1="6AC7FDFB" w:usb2="08000012" w:usb3="00000000" w:csb0="0002009F" w:csb1="00000000"/>
  </w:font>
  <w:font w:name="Aldhabi">
    <w:charset w:val="B2"/>
    <w:family w:val="auto"/>
    <w:pitch w:val="variable"/>
    <w:sig w:usb0="80002007" w:usb1="80000000" w:usb2="00000008" w:usb3="00000000" w:csb0="00000041" w:csb1="00000000"/>
  </w:font>
  <w:font w:name="Univers 45 Light">
    <w:altName w:val="Calibri"/>
    <w:charset w:val="00"/>
    <w:family w:val="auto"/>
    <w:pitch w:val="variable"/>
    <w:sig w:usb0="80000023" w:usb1="00000000" w:usb2="00000000" w:usb3="00000000" w:csb0="00000001" w:csb1="00000000"/>
  </w:font>
  <w:font w:name="KPMG Extralight">
    <w:altName w:val="Calibri"/>
    <w:charset w:val="00"/>
    <w:family w:val="swiss"/>
    <w:pitch w:val="variable"/>
    <w:sig w:usb0="00000287" w:usb1="00000000" w:usb2="00000000" w:usb3="00000000" w:csb0="0000009F" w:csb1="00000000"/>
  </w:font>
  <w:font w:name="KPMG Logo">
    <w:altName w:val="Calibri"/>
    <w:charset w:val="00"/>
    <w:family w:val="auto"/>
    <w:pitch w:val="variable"/>
    <w:sig w:usb0="00000003" w:usb1="00000000" w:usb2="00000000" w:usb3="00000000" w:csb0="00000001" w:csb1="00000000"/>
  </w:font>
  <w:font w:name="Univers for KPMG Light">
    <w:altName w:val="Calibri"/>
    <w:charset w:val="00"/>
    <w:family w:val="swiss"/>
    <w:pitch w:val="variable"/>
    <w:sig w:usb0="800002AF" w:usb1="500020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FE565" w14:textId="1B4A4352" w:rsidR="00091962" w:rsidRDefault="00091962">
    <w:pPr>
      <w:pStyle w:val="Rodap"/>
    </w:pPr>
  </w:p>
  <w:p w14:paraId="395EAF74" w14:textId="77777777" w:rsidR="00091962" w:rsidRDefault="00091962"/>
  <w:p w14:paraId="045A08FB" w14:textId="77777777" w:rsidR="00091962" w:rsidRDefault="0009196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BEB35" w14:textId="29F5D566" w:rsidR="00091962" w:rsidRDefault="00091962" w:rsidP="006E5F47">
    <w:pPr>
      <w:pStyle w:val="Rodap"/>
      <w:jc w:val="right"/>
      <w:rPr>
        <w:rFonts w:ascii="Courier New" w:hAnsi="Courier New"/>
      </w:rPr>
    </w:pPr>
    <w:r>
      <w:rPr>
        <w:noProof/>
        <w:sz w:val="16"/>
        <w:szCs w:val="16"/>
      </w:rPr>
      <mc:AlternateContent>
        <mc:Choice Requires="wps">
          <w:drawing>
            <wp:anchor distT="0" distB="0" distL="114300" distR="114300" simplePos="0" relativeHeight="251658241" behindDoc="0" locked="0" layoutInCell="0" allowOverlap="1" wp14:anchorId="570866E5" wp14:editId="37412396">
              <wp:simplePos x="0" y="8310166"/>
              <wp:positionH relativeFrom="page">
                <wp:align>left</wp:align>
              </wp:positionH>
              <wp:positionV relativeFrom="page">
                <wp:align>bottom</wp:align>
              </wp:positionV>
              <wp:extent cx="7772400" cy="1557655"/>
              <wp:effectExtent l="0" t="0" r="0" b="4445"/>
              <wp:wrapNone/>
              <wp:docPr id="15" name="Caixa de Texto 15" descr="{&quot;HashCode&quot;:-848151416,&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155765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5C478C1" w14:textId="0B702002" w:rsidR="00091962" w:rsidRPr="005870D4" w:rsidRDefault="00091962" w:rsidP="005870D4">
                          <w:pPr>
                            <w:rPr>
                              <w:rFonts w:ascii="Calibri" w:hAnsi="Calibri" w:cs="Calibri"/>
                              <w:color w:val="0000FF"/>
                              <w:sz w:val="16"/>
                            </w:rPr>
                          </w:pPr>
                          <w:r w:rsidRPr="005870D4">
                            <w:rPr>
                              <w:rFonts w:ascii="Calibri" w:hAnsi="Calibri" w:cs="Calibri"/>
                              <w:color w:val="0000FF"/>
                              <w:sz w:val="16"/>
                            </w:rPr>
                            <w:t>## INFORMAÇÃO CONFIDENCIAL: Esta mensagem, incluindo anexos, contém informações confidenciais. O uso, divulgação, distribuição e/ou cópia não autorizados são estritamente proibidos e sujeitos às penalidades legais cabíveis. Caso esta mensagem tenha sido encaminhada indevidamente para você ou se houver necessidade de esclarecimento adicional, favor contatar o remetente. ##</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v:shapetype w14:anchorId="570866E5" id="_x0000_t202" coordsize="21600,21600" o:spt="202" path="m,l,21600r21600,l21600,xe">
              <v:stroke joinstyle="miter"/>
              <v:path gradientshapeok="t" o:connecttype="rect"/>
            </v:shapetype>
            <v:shape id="Caixa de Texto 15" o:spid="_x0000_s1028" type="#_x0000_t202" alt="{&quot;HashCode&quot;:-848151416,&quot;Height&quot;:9999999.0,&quot;Width&quot;:9999999.0,&quot;Placement&quot;:&quot;Footer&quot;,&quot;Index&quot;:&quot;Primary&quot;,&quot;Section&quot;:1,&quot;Top&quot;:0.0,&quot;Left&quot;:0.0}" style="position:absolute;left:0;text-align:left;margin-left:0;margin-top:0;width:612pt;height:122.65pt;z-index:251658241;visibility:visible;mso-wrap-style:square;mso-wrap-distance-left:9pt;mso-wrap-distance-top:0;mso-wrap-distance-right:9pt;mso-wrap-distance-bottom:0;mso-position-horizontal:left;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" o:allowincell="f" filled="f" stroked="f" strokeweight=".5pt">
              <v:textbox inset="20pt,0,,0">
                <w:txbxContent>
                  <w:p w14:paraId="25C478C1" w14:textId="0B702002" w:rsidR="00091962" w:rsidRPr="005870D4" w:rsidRDefault="00091962" w:rsidP="005870D4">
                    <w:pPr>
                      <w:rPr>
                        <w:rFonts w:ascii="Calibri" w:hAnsi="Calibri" w:cs="Calibri"/>
                        <w:color w:val="0000FF"/>
                        <w:sz w:val="16"/>
                      </w:rPr>
                    </w:pPr>
                    <w:r w:rsidRPr="005870D4">
                      <w:rPr>
                        <w:rFonts w:ascii="Calibri" w:hAnsi="Calibri" w:cs="Calibri"/>
                        <w:color w:val="0000FF"/>
                        <w:sz w:val="16"/>
                      </w:rPr>
                      <w:t>## INFORMAÇÃO CONFIDENCIAL: Esta mensagem, incluindo anexos, contém informações confidenciais. O uso, divulgação, distribuição e/ou cópia não autorizados são estritamente proibidos e sujeitos às penalidades legais cabíveis. Caso esta mensagem tenha sido encaminhada indevidamente para você ou se houver necessidade de esclarecimento adicional, favor contatar o remetente. ##</w:t>
                    </w:r>
                  </w:p>
                </w:txbxContent>
              </v:textbox>
              <w10:wrap anchorx="page" anchory="page"/>
            </v:shape>
          </w:pict>
        </mc:Fallback>
      </mc:AlternateContent>
    </w:r>
    <w:r>
      <w:rPr>
        <w:noProof/>
        <w:sz w:val="16"/>
        <w:szCs w:val="16"/>
      </w:rPr>
      <w:drawing>
        <wp:anchor distT="0" distB="0" distL="114300" distR="114300" simplePos="0" relativeHeight="251658290" behindDoc="1" locked="0" layoutInCell="1" allowOverlap="1" wp14:anchorId="3E563C6D" wp14:editId="58FEFA8C">
          <wp:simplePos x="0" y="0"/>
          <wp:positionH relativeFrom="page">
            <wp:posOffset>-146050</wp:posOffset>
          </wp:positionH>
          <wp:positionV relativeFrom="paragraph">
            <wp:posOffset>36566</wp:posOffset>
          </wp:positionV>
          <wp:extent cx="7559675" cy="160655"/>
          <wp:effectExtent l="0" t="0" r="3175" b="0"/>
          <wp:wrapNone/>
          <wp:docPr id="26" name="Imagem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0" name="Sem título.png"/>
                  <pic:cNvPicPr preferRelativeResize="0"/>
                </pic:nvPicPr>
                <pic:blipFill rotWithShape="1">
                  <a:blip r:embed="rId1">
                    <a:extLst>
                      <a:ext uri="{28A0092B-C50C-407E-A947-70E740481C1C}">
                        <a14:useLocalDpi xmlns:a14="http://schemas.microsoft.com/office/drawing/2010/main" val="0"/>
                      </a:ext>
                    </a:extLst>
                  </a:blip>
                  <a:srcRect l="8415" t="27789" b="22414"/>
                  <a:stretch/>
                </pic:blipFill>
                <pic:spPr bwMode="auto">
                  <a:xfrm>
                    <a:off x="0" y="0"/>
                    <a:ext cx="7559675" cy="1606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3EB20CE" w14:textId="7C3A1B04" w:rsidR="00091962" w:rsidRPr="006E5F47" w:rsidRDefault="00091962" w:rsidP="006E5F47">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1156609181"/>
        <w:docPartObj>
          <w:docPartGallery w:val="Page Numbers (Bottom of Page)"/>
          <w:docPartUnique/>
        </w:docPartObj>
      </w:sdtPr>
      <w:sdtEndPr/>
      <w:sdtContent>
        <w:r w:rsidRPr="00337FC1">
          <w:rPr>
            <w:noProof/>
            <w:color w:val="2E74B5"/>
            <w:sz w:val="20"/>
            <w:szCs w:val="20"/>
          </w:rPr>
          <w:fldChar w:fldCharType="begin"/>
        </w:r>
        <w:r w:rsidRPr="00337FC1">
          <w:rPr>
            <w:noProof/>
            <w:color w:val="2E74B5"/>
            <w:sz w:val="20"/>
            <w:szCs w:val="20"/>
          </w:rPr>
          <w:instrText>PAGE   \* MERGEFORMAT</w:instrText>
        </w:r>
        <w:r w:rsidRPr="00337FC1">
          <w:rPr>
            <w:noProof/>
            <w:color w:val="2E74B5"/>
            <w:sz w:val="20"/>
            <w:szCs w:val="20"/>
          </w:rPr>
          <w:fldChar w:fldCharType="separate"/>
        </w:r>
        <w:r>
          <w:rPr>
            <w:noProof/>
            <w:color w:val="2E74B5"/>
            <w:sz w:val="20"/>
            <w:szCs w:val="20"/>
          </w:rPr>
          <w:t>1</w:t>
        </w:r>
        <w:r w:rsidRPr="00337FC1">
          <w:rPr>
            <w:noProof/>
            <w:color w:val="2E74B5"/>
            <w:sz w:val="20"/>
            <w:szCs w:val="20"/>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734A9" w14:textId="23F9634B" w:rsidR="006B73A0" w:rsidRDefault="006B73A0" w:rsidP="006B73A0">
    <w:pPr>
      <w:pStyle w:val="Rodap"/>
      <w:jc w:val="right"/>
      <w:rPr>
        <w:rFonts w:ascii="Courier New" w:hAnsi="Courier New"/>
      </w:rPr>
    </w:pPr>
    <w:r>
      <w:rPr>
        <w:noProof/>
      </w:rPr>
      <w:drawing>
        <wp:anchor distT="0" distB="0" distL="114300" distR="114300" simplePos="0" relativeHeight="251658292" behindDoc="1" locked="0" layoutInCell="1" allowOverlap="1" wp14:anchorId="3B0C1641" wp14:editId="59BE93CD">
          <wp:simplePos x="0" y="0"/>
          <wp:positionH relativeFrom="column">
            <wp:posOffset>-924284</wp:posOffset>
          </wp:positionH>
          <wp:positionV relativeFrom="paragraph">
            <wp:posOffset>103118</wp:posOffset>
          </wp:positionV>
          <wp:extent cx="7577455" cy="339725"/>
          <wp:effectExtent l="0" t="0" r="4445" b="3175"/>
          <wp:wrapNone/>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DCD2E97" w14:textId="75276638" w:rsidR="00091962" w:rsidRPr="007525E5" w:rsidRDefault="00091962"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852994273"/>
        <w:docPartObj>
          <w:docPartGallery w:val="Page Numbers (Bottom of Page)"/>
          <w:docPartUnique/>
        </w:docPartObj>
      </w:sdtPr>
      <w:sdtEndPr>
        <w:rPr>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12</w:t>
        </w:r>
        <w:r w:rsidRPr="007525E5">
          <w:rPr>
            <w:rFonts w:ascii="CAIXA Std Book" w:hAnsi="CAIXA Std Book"/>
            <w:color w:val="2E74B5"/>
            <w:sz w:val="20"/>
            <w:szCs w:val="20"/>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5D472" w14:textId="77777777" w:rsidR="00897B00" w:rsidRDefault="00897B00" w:rsidP="006B73A0">
    <w:pPr>
      <w:pStyle w:val="Rodap"/>
      <w:jc w:val="right"/>
      <w:rPr>
        <w:rFonts w:ascii="Courier New" w:hAnsi="Courier New"/>
      </w:rPr>
    </w:pPr>
    <w:r>
      <w:rPr>
        <w:noProof/>
      </w:rPr>
      <w:drawing>
        <wp:anchor distT="0" distB="0" distL="114300" distR="114300" simplePos="0" relativeHeight="251694140" behindDoc="1" locked="0" layoutInCell="1" allowOverlap="1" wp14:anchorId="68DE1267" wp14:editId="28F1A8D4">
          <wp:simplePos x="0" y="0"/>
          <wp:positionH relativeFrom="column">
            <wp:posOffset>-592143</wp:posOffset>
          </wp:positionH>
          <wp:positionV relativeFrom="paragraph">
            <wp:posOffset>100066</wp:posOffset>
          </wp:positionV>
          <wp:extent cx="10834370" cy="339725"/>
          <wp:effectExtent l="0" t="0" r="5080" b="3175"/>
          <wp:wrapNone/>
          <wp:docPr id="34"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47647" cy="3401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B3F580" w14:textId="77777777" w:rsidR="00897B00" w:rsidRPr="007525E5" w:rsidRDefault="00897B00"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202752832"/>
        <w:docPartObj>
          <w:docPartGallery w:val="Page Numbers (Bottom of Page)"/>
          <w:docPartUnique/>
        </w:docPartObj>
      </w:sdtPr>
      <w:sdtEndPr>
        <w:rPr>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12</w:t>
        </w:r>
        <w:r w:rsidRPr="007525E5">
          <w:rPr>
            <w:rFonts w:ascii="CAIXA Std Book" w:hAnsi="CAIXA Std Book"/>
            <w:color w:val="2E74B5"/>
            <w:sz w:val="20"/>
            <w:szCs w:val="20"/>
          </w:rPr>
          <w:fldChar w:fldCharType="end"/>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A881" w14:textId="77777777" w:rsidR="00897B00" w:rsidRDefault="00897B00" w:rsidP="006B73A0">
    <w:pPr>
      <w:pStyle w:val="Rodap"/>
      <w:jc w:val="right"/>
      <w:rPr>
        <w:rFonts w:ascii="Courier New" w:hAnsi="Courier New"/>
      </w:rPr>
    </w:pPr>
    <w:r>
      <w:rPr>
        <w:noProof/>
      </w:rPr>
      <w:drawing>
        <wp:anchor distT="0" distB="0" distL="114300" distR="114300" simplePos="0" relativeHeight="251699260" behindDoc="1" locked="0" layoutInCell="1" allowOverlap="1" wp14:anchorId="3695CD97" wp14:editId="2BFCEA08">
          <wp:simplePos x="0" y="0"/>
          <wp:positionH relativeFrom="column">
            <wp:posOffset>-924284</wp:posOffset>
          </wp:positionH>
          <wp:positionV relativeFrom="paragraph">
            <wp:posOffset>103118</wp:posOffset>
          </wp:positionV>
          <wp:extent cx="7577455" cy="339725"/>
          <wp:effectExtent l="0" t="0" r="4445" b="3175"/>
          <wp:wrapNone/>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F73414" w14:textId="77777777" w:rsidR="00897B00" w:rsidRPr="007525E5" w:rsidRDefault="00897B00"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821005633"/>
        <w:docPartObj>
          <w:docPartGallery w:val="Page Numbers (Bottom of Page)"/>
          <w:docPartUnique/>
        </w:docPartObj>
      </w:sdtPr>
      <w:sdtEndPr>
        <w:rPr>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12</w:t>
        </w:r>
        <w:r w:rsidRPr="007525E5">
          <w:rPr>
            <w:rFonts w:ascii="CAIXA Std Book" w:hAnsi="CAIXA Std Book"/>
            <w:color w:val="2E74B5"/>
            <w:sz w:val="20"/>
            <w:szCs w:val="20"/>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C6E32" w14:textId="77777777" w:rsidR="006E12F5" w:rsidRDefault="006E12F5" w:rsidP="006B73A0">
    <w:pPr>
      <w:pStyle w:val="Rodap"/>
      <w:jc w:val="right"/>
      <w:rPr>
        <w:rFonts w:ascii="Courier New" w:hAnsi="Courier New"/>
      </w:rPr>
    </w:pPr>
    <w:r>
      <w:rPr>
        <w:noProof/>
      </w:rPr>
      <w:drawing>
        <wp:anchor distT="0" distB="0" distL="114300" distR="114300" simplePos="0" relativeHeight="251682876" behindDoc="1" locked="0" layoutInCell="1" allowOverlap="1" wp14:anchorId="736C5369" wp14:editId="1DC8E7C5">
          <wp:simplePos x="0" y="0"/>
          <wp:positionH relativeFrom="column">
            <wp:posOffset>-924284</wp:posOffset>
          </wp:positionH>
          <wp:positionV relativeFrom="paragraph">
            <wp:posOffset>103118</wp:posOffset>
          </wp:positionV>
          <wp:extent cx="7577455" cy="339725"/>
          <wp:effectExtent l="0" t="0" r="4445" b="3175"/>
          <wp:wrapNone/>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0C5D84" w14:textId="77777777" w:rsidR="006E12F5" w:rsidRPr="007525E5" w:rsidRDefault="006E12F5"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773513495"/>
        <w:docPartObj>
          <w:docPartGallery w:val="Page Numbers (Bottom of Page)"/>
          <w:docPartUnique/>
        </w:docPartObj>
      </w:sdtPr>
      <w:sdtEndPr>
        <w:rPr>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12</w:t>
        </w:r>
        <w:r w:rsidRPr="007525E5">
          <w:rPr>
            <w:rFonts w:ascii="CAIXA Std Book" w:hAnsi="CAIXA Std Book"/>
            <w:color w:val="2E74B5"/>
            <w:sz w:val="20"/>
            <w:szCs w:val="20"/>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EC6F2" w14:textId="77777777" w:rsidR="006B73A0" w:rsidRDefault="006B73A0" w:rsidP="006B73A0">
    <w:pPr>
      <w:pStyle w:val="Rodap"/>
      <w:jc w:val="right"/>
      <w:rPr>
        <w:rFonts w:ascii="Courier New" w:hAnsi="Courier New"/>
      </w:rPr>
    </w:pPr>
    <w:r>
      <w:rPr>
        <w:noProof/>
      </w:rPr>
      <w:drawing>
        <wp:anchor distT="0" distB="0" distL="114300" distR="114300" simplePos="0" relativeHeight="251658266" behindDoc="1" locked="0" layoutInCell="1" allowOverlap="1" wp14:anchorId="2F62FAF8" wp14:editId="2216DEFC">
          <wp:simplePos x="0" y="0"/>
          <wp:positionH relativeFrom="column">
            <wp:posOffset>-920631</wp:posOffset>
          </wp:positionH>
          <wp:positionV relativeFrom="paragraph">
            <wp:posOffset>107252</wp:posOffset>
          </wp:positionV>
          <wp:extent cx="11071904" cy="377825"/>
          <wp:effectExtent l="0" t="0" r="0" b="3175"/>
          <wp:wrapNone/>
          <wp:docPr id="449" name="Imagem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19481" cy="41698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95D123" w14:textId="77777777" w:rsidR="00091962" w:rsidRPr="007525E5" w:rsidRDefault="00091962"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98697762"/>
        <w:docPartObj>
          <w:docPartGallery w:val="Page Numbers (Bottom of Page)"/>
          <w:docPartUnique/>
        </w:docPartObj>
      </w:sdt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28</w:t>
        </w:r>
        <w:r w:rsidRPr="007525E5">
          <w:rPr>
            <w:rFonts w:ascii="CAIXA Std Book" w:hAnsi="CAIXA Std Book"/>
            <w:color w:val="2E74B5"/>
            <w:sz w:val="20"/>
            <w:szCs w:val="20"/>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FCA2A" w14:textId="77777777" w:rsidR="00936EDB" w:rsidRDefault="0009069D" w:rsidP="00936EDB">
    <w:pPr>
      <w:pStyle w:val="Rodap"/>
      <w:jc w:val="right"/>
    </w:pPr>
    <w:r>
      <w:rPr>
        <w:noProof/>
      </w:rPr>
      <w:drawing>
        <wp:anchor distT="0" distB="0" distL="114300" distR="114300" simplePos="0" relativeHeight="251658296" behindDoc="1" locked="0" layoutInCell="1" allowOverlap="1" wp14:anchorId="6CFEEC82" wp14:editId="0AC423CD">
          <wp:simplePos x="0" y="0"/>
          <wp:positionH relativeFrom="column">
            <wp:posOffset>-882618</wp:posOffset>
          </wp:positionH>
          <wp:positionV relativeFrom="paragraph">
            <wp:posOffset>276217</wp:posOffset>
          </wp:positionV>
          <wp:extent cx="7582395" cy="375890"/>
          <wp:effectExtent l="0" t="0" r="0" b="5715"/>
          <wp:wrapNone/>
          <wp:docPr id="451" name="Imagem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69257" cy="3901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BB6AD9" w14:textId="77777777" w:rsidR="00936EDB" w:rsidRDefault="00936EDB" w:rsidP="0009069D">
    <w:pPr>
      <w:pStyle w:val="Rodap"/>
      <w:jc w:val="center"/>
      <w:rPr>
        <w:rFonts w:ascii="Courier New" w:hAnsi="Courier New"/>
      </w:rPr>
    </w:pPr>
  </w:p>
  <w:p w14:paraId="6F62ACA9" w14:textId="18731E49" w:rsidR="00936EDB" w:rsidRPr="007525E5" w:rsidRDefault="00936EDB" w:rsidP="00936EDB">
    <w:pPr>
      <w:pStyle w:val="Rodap"/>
      <w:tabs>
        <w:tab w:val="clear" w:pos="4252"/>
        <w:tab w:val="clear" w:pos="8504"/>
        <w:tab w:val="center" w:pos="4820"/>
      </w:tabs>
      <w:jc w:val="right"/>
      <w:rPr>
        <w:rFonts w:ascii="CAIXA Std Book" w:hAnsi="CAIXA Std Book"/>
      </w:rPr>
    </w:pPr>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27</w:t>
    </w:r>
    <w:r w:rsidRPr="007525E5">
      <w:rPr>
        <w:rFonts w:ascii="CAIXA Std Book" w:hAnsi="CAIXA Std Book"/>
        <w:color w:val="2E74B5"/>
        <w:sz w:val="20"/>
        <w:szCs w:val="2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AF036" w14:textId="3729E2AB" w:rsidR="00091962" w:rsidRDefault="0009069D" w:rsidP="006E5F47">
    <w:pPr>
      <w:pStyle w:val="Rodap"/>
      <w:jc w:val="right"/>
    </w:pPr>
    <w:r>
      <w:rPr>
        <w:noProof/>
      </w:rPr>
      <w:drawing>
        <wp:anchor distT="0" distB="0" distL="114300" distR="114300" simplePos="0" relativeHeight="251658297" behindDoc="1" locked="0" layoutInCell="1" allowOverlap="1" wp14:anchorId="177AA782" wp14:editId="4F42C550">
          <wp:simplePos x="0" y="0"/>
          <wp:positionH relativeFrom="column">
            <wp:posOffset>-824948</wp:posOffset>
          </wp:positionH>
          <wp:positionV relativeFrom="paragraph">
            <wp:posOffset>342927</wp:posOffset>
          </wp:positionV>
          <wp:extent cx="11071904" cy="377825"/>
          <wp:effectExtent l="0" t="0" r="0" b="3175"/>
          <wp:wrapNone/>
          <wp:docPr id="457" name="Imagem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71904" cy="377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E0409F" w14:textId="26BCE1A9" w:rsidR="00091962" w:rsidRDefault="00091962" w:rsidP="00936EDB">
    <w:pPr>
      <w:pStyle w:val="Rodap"/>
      <w:jc w:val="center"/>
      <w:rPr>
        <w:rFonts w:ascii="Courier New" w:hAnsi="Courier New"/>
      </w:rPr>
    </w:pPr>
  </w:p>
  <w:p w14:paraId="321BD314" w14:textId="77777777" w:rsidR="00091962" w:rsidRPr="007525E5" w:rsidRDefault="00091962" w:rsidP="006E5F47">
    <w:pPr>
      <w:pStyle w:val="Rodap"/>
      <w:tabs>
        <w:tab w:val="clear" w:pos="4252"/>
        <w:tab w:val="clear" w:pos="8504"/>
        <w:tab w:val="center" w:pos="4820"/>
      </w:tabs>
      <w:jc w:val="right"/>
      <w:rPr>
        <w:rFonts w:ascii="CAIXA Std Book" w:hAnsi="CAIXA Std Book"/>
        <w:color w:val="2E74B5"/>
        <w:sz w:val="20"/>
        <w:szCs w:val="20"/>
      </w:rPr>
    </w:pPr>
    <w:r w:rsidRPr="006E5F47">
      <w:rPr>
        <w:noProof/>
        <w:color w:val="2E74B5"/>
        <w:sz w:val="20"/>
        <w:szCs w:val="20"/>
      </w:rPr>
      <w:tab/>
    </w:r>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29</w:t>
    </w:r>
    <w:r w:rsidRPr="007525E5">
      <w:rPr>
        <w:rFonts w:ascii="CAIXA Std Book" w:hAnsi="CAIXA Std Book"/>
        <w:color w:val="2E74B5"/>
        <w:sz w:val="20"/>
        <w:szCs w:val="20"/>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07EDA" w14:textId="6F411FCD" w:rsidR="00F40E0C" w:rsidRDefault="00F40E0C" w:rsidP="006E5F47">
    <w:pPr>
      <w:pStyle w:val="Rodap"/>
      <w:jc w:val="right"/>
    </w:pPr>
    <w:r>
      <w:rPr>
        <w:noProof/>
      </w:rPr>
      <w:drawing>
        <wp:anchor distT="0" distB="0" distL="114300" distR="114300" simplePos="0" relativeHeight="251658263" behindDoc="1" locked="0" layoutInCell="1" allowOverlap="1" wp14:anchorId="6B015E3D" wp14:editId="1E22935A">
          <wp:simplePos x="0" y="0"/>
          <wp:positionH relativeFrom="column">
            <wp:posOffset>-882618</wp:posOffset>
          </wp:positionH>
          <wp:positionV relativeFrom="paragraph">
            <wp:posOffset>276217</wp:posOffset>
          </wp:positionV>
          <wp:extent cx="7582395" cy="375890"/>
          <wp:effectExtent l="0" t="0" r="0" b="5715"/>
          <wp:wrapNone/>
          <wp:docPr id="465" name="Imagem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69257" cy="3901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AF530D" w14:textId="532FE3C0" w:rsidR="00F40E0C" w:rsidRDefault="00F40E0C" w:rsidP="00936EDB">
    <w:pPr>
      <w:pStyle w:val="Rodap"/>
      <w:jc w:val="center"/>
      <w:rPr>
        <w:rFonts w:ascii="Courier New" w:hAnsi="Courier New"/>
      </w:rPr>
    </w:pPr>
  </w:p>
  <w:p w14:paraId="3611FC1B" w14:textId="344F2A9D" w:rsidR="00F40E0C" w:rsidRPr="007525E5" w:rsidRDefault="00F40E0C" w:rsidP="006E5F47">
    <w:pPr>
      <w:pStyle w:val="Rodap"/>
      <w:tabs>
        <w:tab w:val="clear" w:pos="4252"/>
        <w:tab w:val="clear" w:pos="8504"/>
        <w:tab w:val="center" w:pos="4820"/>
      </w:tabs>
      <w:jc w:val="right"/>
      <w:rPr>
        <w:rFonts w:ascii="CAIXA Std Book" w:hAnsi="CAIXA Std Book"/>
        <w:color w:val="2E74B5"/>
        <w:sz w:val="20"/>
        <w:szCs w:val="20"/>
      </w:rPr>
    </w:pPr>
    <w:r w:rsidRPr="006E5F47">
      <w:rPr>
        <w:noProof/>
        <w:color w:val="2E74B5"/>
        <w:sz w:val="20"/>
        <w:szCs w:val="20"/>
      </w:rPr>
      <w:tab/>
    </w:r>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29</w:t>
    </w:r>
    <w:r w:rsidRPr="007525E5">
      <w:rPr>
        <w:rFonts w:ascii="CAIXA Std Book" w:hAnsi="CAIXA Std Book"/>
        <w:color w:val="2E74B5"/>
        <w:sz w:val="20"/>
        <w:szCs w:val="20"/>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732C" w14:textId="139A24BE" w:rsidR="00091962" w:rsidRDefault="00091962" w:rsidP="00FA052E">
    <w:pPr>
      <w:pStyle w:val="Rodap"/>
      <w:jc w:val="right"/>
    </w:pPr>
  </w:p>
  <w:p w14:paraId="694992FA" w14:textId="4C598A6D" w:rsidR="002E3959" w:rsidRDefault="002E3959" w:rsidP="002E3959">
    <w:pPr>
      <w:pStyle w:val="Rodap"/>
      <w:jc w:val="right"/>
    </w:pPr>
    <w:r>
      <w:rPr>
        <w:noProof/>
      </w:rPr>
      <w:drawing>
        <wp:anchor distT="0" distB="0" distL="114300" distR="114300" simplePos="0" relativeHeight="251658268" behindDoc="1" locked="0" layoutInCell="1" allowOverlap="1" wp14:anchorId="4698806C" wp14:editId="749985A8">
          <wp:simplePos x="0" y="0"/>
          <wp:positionH relativeFrom="column">
            <wp:posOffset>-821043</wp:posOffset>
          </wp:positionH>
          <wp:positionV relativeFrom="paragraph">
            <wp:posOffset>153588</wp:posOffset>
          </wp:positionV>
          <wp:extent cx="10990907" cy="376544"/>
          <wp:effectExtent l="0" t="0" r="0" b="5080"/>
          <wp:wrapNone/>
          <wp:docPr id="467" name="Imagem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82742" cy="379690"/>
                  </a:xfrm>
                  <a:prstGeom prst="rect">
                    <a:avLst/>
                  </a:prstGeom>
                  <a:noFill/>
                  <a:ln>
                    <a:noFill/>
                  </a:ln>
                </pic:spPr>
              </pic:pic>
            </a:graphicData>
          </a:graphic>
          <wp14:sizeRelH relativeFrom="page">
            <wp14:pctWidth>0</wp14:pctWidth>
          </wp14:sizeRelH>
          <wp14:sizeRelV relativeFrom="page">
            <wp14:pctHeight>0</wp14:pctHeight>
          </wp14:sizeRelV>
        </wp:anchor>
      </w:drawing>
    </w:r>
  </w:p>
  <w:sdt>
    <w:sdtPr>
      <w:id w:val="1532611092"/>
      <w:docPartObj>
        <w:docPartGallery w:val="Page Numbers (Bottom of Page)"/>
        <w:docPartUnique/>
      </w:docPartObj>
    </w:sdtPr>
    <w:sdtEndPr>
      <w:rPr>
        <w:rFonts w:ascii="CAIXA Std Book" w:hAnsi="CAIXA Std Book"/>
        <w:noProof/>
        <w:color w:val="2E74B5"/>
        <w:sz w:val="20"/>
        <w:szCs w:val="20"/>
      </w:rPr>
    </w:sdtEndPr>
    <w:sdtContent>
      <w:p w14:paraId="4F38246E" w14:textId="6CF760CD" w:rsidR="00091962" w:rsidRPr="007525E5" w:rsidRDefault="00091962" w:rsidP="00FA052E">
        <w:pPr>
          <w:pStyle w:val="Rodap"/>
          <w:tabs>
            <w:tab w:val="clear" w:pos="4252"/>
            <w:tab w:val="clear" w:pos="8504"/>
            <w:tab w:val="center" w:pos="4820"/>
          </w:tabs>
          <w:jc w:val="right"/>
          <w:rPr>
            <w:rFonts w:ascii="CAIXA Std Book" w:hAnsi="CAIXA Std Book"/>
            <w:noProof/>
            <w:color w:val="2E74B5"/>
            <w:sz w:val="20"/>
            <w:szCs w:val="20"/>
          </w:rPr>
        </w:pPr>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28</w:t>
        </w:r>
        <w:r w:rsidRPr="007525E5">
          <w:rPr>
            <w:rFonts w:ascii="CAIXA Std Book" w:hAnsi="CAIXA Std Book"/>
            <w:color w:val="2E74B5"/>
            <w:sz w:val="20"/>
            <w:szCs w:val="20"/>
          </w:rPr>
          <w:fldChar w:fldCharType="end"/>
        </w:r>
      </w:p>
    </w:sdtContent>
  </w:sdt>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26147" w14:textId="77777777" w:rsidR="00936EDB" w:rsidRDefault="00936EDB" w:rsidP="00936EDB">
    <w:pPr>
      <w:pStyle w:val="Rodap"/>
      <w:jc w:val="right"/>
      <w:rPr>
        <w:rFonts w:ascii="Courier New" w:hAnsi="Courier New"/>
      </w:rPr>
    </w:pPr>
    <w:r>
      <w:rPr>
        <w:noProof/>
      </w:rPr>
      <w:drawing>
        <wp:anchor distT="0" distB="0" distL="114300" distR="114300" simplePos="0" relativeHeight="251658270" behindDoc="1" locked="0" layoutInCell="1" allowOverlap="1" wp14:anchorId="7C6AA6D9" wp14:editId="228FCCAB">
          <wp:simplePos x="0" y="0"/>
          <wp:positionH relativeFrom="column">
            <wp:posOffset>-920631</wp:posOffset>
          </wp:positionH>
          <wp:positionV relativeFrom="paragraph">
            <wp:posOffset>107252</wp:posOffset>
          </wp:positionV>
          <wp:extent cx="11071904" cy="377825"/>
          <wp:effectExtent l="0" t="0" r="0" b="3175"/>
          <wp:wrapNone/>
          <wp:docPr id="469" name="Imagem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19481" cy="41698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455E8B" w14:textId="41816D7E" w:rsidR="00091962" w:rsidRPr="007525E5" w:rsidRDefault="00091962" w:rsidP="00FA052E">
    <w:pPr>
      <w:pStyle w:val="Rodap"/>
      <w:tabs>
        <w:tab w:val="clear" w:pos="4252"/>
        <w:tab w:val="clear" w:pos="8504"/>
        <w:tab w:val="center" w:pos="4820"/>
      </w:tabs>
      <w:jc w:val="right"/>
      <w:rPr>
        <w:rFonts w:ascii="CAIXA Std Book" w:hAnsi="CAIXA Std Book"/>
        <w:noProof/>
        <w:color w:val="2E74B5"/>
        <w:sz w:val="20"/>
        <w:szCs w:val="20"/>
      </w:rPr>
    </w:pPr>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28</w:t>
    </w:r>
    <w:r w:rsidRPr="007525E5">
      <w:rPr>
        <w:rFonts w:ascii="CAIXA Std Book" w:hAnsi="CAIXA Std Book"/>
        <w:color w:val="2E74B5"/>
        <w:sz w:val="20"/>
        <w:szCs w:val="20"/>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79B1D" w14:textId="77777777" w:rsidR="00091962" w:rsidRDefault="0018557F" w:rsidP="00331E1C">
    <w:pPr>
      <w:pStyle w:val="Rodap"/>
      <w:jc w:val="right"/>
      <w:rPr>
        <w:rFonts w:ascii="Courier New" w:hAnsi="Courier New"/>
      </w:rPr>
    </w:pPr>
    <w:r>
      <w:rPr>
        <w:noProof/>
      </w:rPr>
      <w:drawing>
        <wp:anchor distT="0" distB="0" distL="114300" distR="114300" simplePos="0" relativeHeight="251658285" behindDoc="1" locked="0" layoutInCell="1" allowOverlap="1" wp14:anchorId="55C66F8A" wp14:editId="38B1F054">
          <wp:simplePos x="0" y="0"/>
          <wp:positionH relativeFrom="column">
            <wp:posOffset>-924284</wp:posOffset>
          </wp:positionH>
          <wp:positionV relativeFrom="paragraph">
            <wp:posOffset>103118</wp:posOffset>
          </wp:positionV>
          <wp:extent cx="7577455" cy="339725"/>
          <wp:effectExtent l="0" t="0" r="4445" b="3175"/>
          <wp:wrapNone/>
          <wp:docPr id="471" name="Imagem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252F24" w14:textId="77777777" w:rsidR="00091962" w:rsidRPr="006E5F47" w:rsidRDefault="00091962" w:rsidP="00331E1C">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868067314"/>
        <w:docPartObj>
          <w:docPartGallery w:val="Page Numbers (Bottom of Page)"/>
          <w:docPartUnique/>
        </w:docPartObj>
      </w:sdtPr>
      <w:sdtEndPr>
        <w:rPr>
          <w:rFonts w:ascii="Futura Lt BT" w:hAnsi="Futura Lt BT"/>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25</w:t>
        </w:r>
        <w:r w:rsidRPr="007525E5">
          <w:rPr>
            <w:rFonts w:ascii="CAIXA Std Book" w:hAnsi="CAIXA Std Book"/>
            <w:color w:val="2E74B5"/>
            <w:sz w:val="20"/>
            <w:szCs w:val="20"/>
          </w:rPr>
          <w:fldChar w:fldCharType="end"/>
        </w:r>
      </w:sdtContent>
    </w:sdt>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FA87D" w14:textId="29012BFC" w:rsidR="00091962" w:rsidRDefault="00091962" w:rsidP="00FA052E">
    <w:pPr>
      <w:pStyle w:val="Rodap"/>
      <w:jc w:val="right"/>
      <w:rPr>
        <w:rFonts w:ascii="Courier New" w:hAnsi="Courier New"/>
      </w:rPr>
    </w:pPr>
  </w:p>
  <w:p w14:paraId="692A5CCB" w14:textId="77777777" w:rsidR="00BB24B9" w:rsidRDefault="00BB24B9" w:rsidP="00BB24B9">
    <w:pPr>
      <w:pStyle w:val="Rodap"/>
      <w:jc w:val="right"/>
      <w:rPr>
        <w:rFonts w:ascii="Courier New" w:hAnsi="Courier New"/>
      </w:rPr>
    </w:pPr>
    <w:r>
      <w:rPr>
        <w:noProof/>
      </w:rPr>
      <w:drawing>
        <wp:anchor distT="0" distB="0" distL="114300" distR="114300" simplePos="0" relativeHeight="251658287" behindDoc="1" locked="0" layoutInCell="1" allowOverlap="1" wp14:anchorId="1936CF09" wp14:editId="66B14656">
          <wp:simplePos x="0" y="0"/>
          <wp:positionH relativeFrom="column">
            <wp:posOffset>-924284</wp:posOffset>
          </wp:positionH>
          <wp:positionV relativeFrom="paragraph">
            <wp:posOffset>103118</wp:posOffset>
          </wp:positionV>
          <wp:extent cx="7577455" cy="339725"/>
          <wp:effectExtent l="0" t="0" r="4445" b="3175"/>
          <wp:wrapNone/>
          <wp:docPr id="482" name="Imagem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BA0166" w14:textId="77777777" w:rsidR="00091962" w:rsidRPr="007525E5" w:rsidRDefault="00091962" w:rsidP="00FA052E">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814751164"/>
        <w:docPartObj>
          <w:docPartGallery w:val="Page Numbers (Bottom of Page)"/>
          <w:docPartUnique/>
        </w:docPartObj>
      </w:sdt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25</w:t>
        </w:r>
        <w:r w:rsidRPr="007525E5">
          <w:rPr>
            <w:rFonts w:ascii="CAIXA Std Book" w:hAnsi="CAIXA Std Book"/>
            <w:color w:val="2E74B5"/>
            <w:sz w:val="20"/>
            <w:szCs w:val="20"/>
          </w:rPr>
          <w:fldChar w:fldCharType="end"/>
        </w:r>
      </w:sdtContent>
    </w:sdt>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9484C" w14:textId="3C63FACC" w:rsidR="00936EDB" w:rsidRDefault="00CA7E80" w:rsidP="00331E1C">
    <w:pPr>
      <w:pStyle w:val="Rodap"/>
      <w:jc w:val="right"/>
      <w:rPr>
        <w:rFonts w:ascii="Courier New" w:hAnsi="Courier New"/>
      </w:rPr>
    </w:pPr>
    <w:r>
      <w:rPr>
        <w:noProof/>
      </w:rPr>
      <w:drawing>
        <wp:anchor distT="0" distB="0" distL="114300" distR="114300" simplePos="0" relativeHeight="251677756" behindDoc="1" locked="0" layoutInCell="1" allowOverlap="1" wp14:anchorId="673E7220" wp14:editId="4538EF59">
          <wp:simplePos x="0" y="0"/>
          <wp:positionH relativeFrom="column">
            <wp:posOffset>-959181</wp:posOffset>
          </wp:positionH>
          <wp:positionV relativeFrom="paragraph">
            <wp:posOffset>84621</wp:posOffset>
          </wp:positionV>
          <wp:extent cx="10754995" cy="365125"/>
          <wp:effectExtent l="0" t="0" r="8255" b="0"/>
          <wp:wrapNone/>
          <wp:docPr id="484" name="Imagem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54995" cy="365125"/>
                  </a:xfrm>
                  <a:prstGeom prst="rect">
                    <a:avLst/>
                  </a:prstGeom>
                  <a:noFill/>
                  <a:ln>
                    <a:noFill/>
                  </a:ln>
                </pic:spPr>
              </pic:pic>
            </a:graphicData>
          </a:graphic>
          <wp14:sizeRelH relativeFrom="page">
            <wp14:pctWidth>0</wp14:pctWidth>
          </wp14:sizeRelH>
          <wp14:sizeRelV relativeFrom="page">
            <wp14:pctHeight>0</wp14:pctHeight>
          </wp14:sizeRelV>
        </wp:anchor>
      </w:drawing>
    </w:r>
    <w:r w:rsidR="00576123">
      <w:rPr>
        <w:noProof/>
      </w:rPr>
      <w:drawing>
        <wp:anchor distT="0" distB="0" distL="114300" distR="114300" simplePos="0" relativeHeight="251658272" behindDoc="1" locked="0" layoutInCell="1" allowOverlap="1" wp14:anchorId="59E049C4" wp14:editId="7309B884">
          <wp:simplePos x="0" y="0"/>
          <wp:positionH relativeFrom="column">
            <wp:posOffset>-924284</wp:posOffset>
          </wp:positionH>
          <wp:positionV relativeFrom="paragraph">
            <wp:posOffset>3236181</wp:posOffset>
          </wp:positionV>
          <wp:extent cx="7851751" cy="254442"/>
          <wp:effectExtent l="0" t="0" r="0" b="0"/>
          <wp:wrapNone/>
          <wp:docPr id="485" name="Imagem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94503" cy="25582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2781C5" w14:textId="6F62CD1E" w:rsidR="00936EDB" w:rsidRPr="006E5F47" w:rsidRDefault="00936EDB" w:rsidP="00331E1C">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907916003"/>
        <w:docPartObj>
          <w:docPartGallery w:val="Page Numbers (Bottom of Page)"/>
          <w:docPartUnique/>
        </w:docPartObj>
      </w:sdtPr>
      <w:sdtEndPr>
        <w:rPr>
          <w:rFonts w:ascii="Futura Lt BT" w:hAnsi="Futura Lt BT"/>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25</w:t>
        </w:r>
        <w:r w:rsidRPr="007525E5">
          <w:rPr>
            <w:rFonts w:ascii="CAIXA Std Book" w:hAnsi="CAIXA Std Book"/>
            <w:color w:val="2E74B5"/>
            <w:sz w:val="20"/>
            <w:szCs w:val="20"/>
          </w:rPr>
          <w:fldChar w:fldCharType="end"/>
        </w:r>
      </w:sdtContent>
    </w:sdt>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2AD1E" w14:textId="5F6925F1" w:rsidR="00936EDB" w:rsidRDefault="00936EDB" w:rsidP="00FA052E">
    <w:pPr>
      <w:pStyle w:val="Rodap"/>
      <w:jc w:val="right"/>
      <w:rPr>
        <w:rFonts w:ascii="Courier New" w:hAnsi="Courier New"/>
      </w:rPr>
    </w:pPr>
  </w:p>
  <w:p w14:paraId="326DE5FB" w14:textId="6532246F" w:rsidR="00936EDB" w:rsidRDefault="00576123" w:rsidP="00936EDB">
    <w:pPr>
      <w:pStyle w:val="Rodap"/>
      <w:jc w:val="right"/>
      <w:rPr>
        <w:rFonts w:ascii="Courier New" w:hAnsi="Courier New"/>
      </w:rPr>
    </w:pPr>
    <w:r>
      <w:rPr>
        <w:noProof/>
      </w:rPr>
      <w:drawing>
        <wp:anchor distT="0" distB="0" distL="114300" distR="114300" simplePos="0" relativeHeight="251658274" behindDoc="1" locked="0" layoutInCell="1" allowOverlap="1" wp14:anchorId="1F5495CA" wp14:editId="0B03240D">
          <wp:simplePos x="0" y="0"/>
          <wp:positionH relativeFrom="column">
            <wp:posOffset>-927591</wp:posOffset>
          </wp:positionH>
          <wp:positionV relativeFrom="paragraph">
            <wp:posOffset>107252</wp:posOffset>
          </wp:positionV>
          <wp:extent cx="10754995" cy="365125"/>
          <wp:effectExtent l="0" t="0" r="8255" b="0"/>
          <wp:wrapNone/>
          <wp:docPr id="487" name="Imagem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97123" cy="3733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F83542" w14:textId="3D1C918B" w:rsidR="00936EDB" w:rsidRPr="006E5F47" w:rsidRDefault="00936EDB" w:rsidP="00936EDB">
    <w:pPr>
      <w:pStyle w:val="Rodap"/>
      <w:tabs>
        <w:tab w:val="clear" w:pos="4252"/>
        <w:tab w:val="clear" w:pos="8504"/>
        <w:tab w:val="center" w:pos="4820"/>
      </w:tabs>
      <w:jc w:val="right"/>
      <w:rPr>
        <w:noProof/>
        <w:color w:val="2E74B5"/>
        <w:sz w:val="20"/>
        <w:szCs w:val="20"/>
      </w:rPr>
    </w:pPr>
    <w:r>
      <w:rPr>
        <w:noProof/>
        <w:color w:val="2E74B5"/>
        <w:sz w:val="20"/>
        <w:szCs w:val="20"/>
      </w:rPr>
      <w:tab/>
    </w:r>
    <w:r>
      <w:rPr>
        <w:noProof/>
        <w:color w:val="2E74B5"/>
        <w:sz w:val="20"/>
        <w:szCs w:val="20"/>
      </w:rPr>
      <w:tab/>
    </w:r>
    <w:sdt>
      <w:sdtPr>
        <w:rPr>
          <w:noProof/>
          <w:color w:val="2E74B5"/>
          <w:sz w:val="20"/>
          <w:szCs w:val="20"/>
        </w:rPr>
        <w:id w:val="490690490"/>
        <w:docPartObj>
          <w:docPartGallery w:val="Page Numbers (Bottom of Page)"/>
          <w:docPartUnique/>
        </w:docPartObj>
      </w:sdt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25</w:t>
        </w:r>
        <w:r w:rsidRPr="007525E5">
          <w:rPr>
            <w:rFonts w:ascii="CAIXA Std Book" w:hAnsi="CAIXA Std Book"/>
            <w:color w:val="2E74B5"/>
            <w:sz w:val="20"/>
            <w:szCs w:val="20"/>
          </w:rPr>
          <w:fldChar w:fldCharType="end"/>
        </w:r>
      </w:sdtContent>
    </w:sdt>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E5DAD" w14:textId="2373AB38" w:rsidR="00F71B10" w:rsidRDefault="00F71B10" w:rsidP="00331E1C">
    <w:pPr>
      <w:pStyle w:val="Rodap"/>
      <w:jc w:val="right"/>
      <w:rPr>
        <w:rFonts w:ascii="Courier New" w:hAnsi="Courier New"/>
      </w:rPr>
    </w:pPr>
    <w:r>
      <w:rPr>
        <w:noProof/>
      </w:rPr>
      <w:drawing>
        <wp:anchor distT="0" distB="0" distL="114300" distR="114300" simplePos="0" relativeHeight="251670588" behindDoc="1" locked="0" layoutInCell="1" allowOverlap="1" wp14:anchorId="56BBCD56" wp14:editId="6A5B6407">
          <wp:simplePos x="0" y="0"/>
          <wp:positionH relativeFrom="column">
            <wp:posOffset>-922351</wp:posOffset>
          </wp:positionH>
          <wp:positionV relativeFrom="paragraph">
            <wp:posOffset>61401</wp:posOffset>
          </wp:positionV>
          <wp:extent cx="7625301" cy="365094"/>
          <wp:effectExtent l="0" t="0" r="0" b="0"/>
          <wp:wrapNone/>
          <wp:docPr id="489" name="Imagem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5301" cy="36509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540" behindDoc="1" locked="0" layoutInCell="1" allowOverlap="1" wp14:anchorId="0EBBFC35" wp14:editId="5CC730F4">
          <wp:simplePos x="0" y="0"/>
          <wp:positionH relativeFrom="column">
            <wp:posOffset>-924284</wp:posOffset>
          </wp:positionH>
          <wp:positionV relativeFrom="paragraph">
            <wp:posOffset>3236181</wp:posOffset>
          </wp:positionV>
          <wp:extent cx="7851751" cy="254442"/>
          <wp:effectExtent l="0" t="0" r="0" b="0"/>
          <wp:wrapNone/>
          <wp:docPr id="490" name="Imagem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94503" cy="25582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5C948F" w14:textId="70E5301D" w:rsidR="00F71B10" w:rsidRPr="006E5F47" w:rsidRDefault="00F71B10" w:rsidP="00331E1C">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1329632020"/>
        <w:docPartObj>
          <w:docPartGallery w:val="Page Numbers (Bottom of Page)"/>
          <w:docPartUnique/>
        </w:docPartObj>
      </w:sdtPr>
      <w:sdtEndPr>
        <w:rPr>
          <w:rFonts w:ascii="Futura Lt BT" w:hAnsi="Futura Lt BT"/>
          <w:noProof w:val="0"/>
        </w:rPr>
      </w:sdtEndPr>
      <w:sdtContent>
        <w:r w:rsidRPr="007525E5">
          <w:rPr>
            <w:rFonts w:ascii="CAIXA Std Book" w:hAnsi="CAIXA Std Book"/>
            <w:color w:val="2E74B5"/>
            <w:sz w:val="20"/>
            <w:szCs w:val="20"/>
          </w:rPr>
          <w:fldChar w:fldCharType="begin"/>
        </w:r>
        <w:r w:rsidRPr="007525E5">
          <w:rPr>
            <w:rFonts w:ascii="CAIXA Std Book" w:hAnsi="CAIXA Std Book"/>
            <w:color w:val="2E74B5"/>
            <w:sz w:val="20"/>
            <w:szCs w:val="20"/>
          </w:rPr>
          <w:instrText>PAGE   \* MERGEFORMAT</w:instrText>
        </w:r>
        <w:r w:rsidRPr="007525E5">
          <w:rPr>
            <w:rFonts w:ascii="CAIXA Std Book" w:hAnsi="CAIXA Std Book"/>
            <w:color w:val="2E74B5"/>
            <w:sz w:val="20"/>
            <w:szCs w:val="20"/>
          </w:rPr>
          <w:fldChar w:fldCharType="separate"/>
        </w:r>
        <w:r w:rsidRPr="007525E5">
          <w:rPr>
            <w:rFonts w:ascii="CAIXA Std Book" w:hAnsi="CAIXA Std Book"/>
            <w:color w:val="2E74B5"/>
            <w:sz w:val="20"/>
            <w:szCs w:val="20"/>
          </w:rPr>
          <w:t>25</w:t>
        </w:r>
        <w:r w:rsidRPr="007525E5">
          <w:rPr>
            <w:rFonts w:ascii="CAIXA Std Book" w:hAnsi="CAIXA Std Book"/>
            <w:color w:val="2E74B5"/>
            <w:sz w:val="20"/>
            <w:szCs w:val="20"/>
          </w:rPr>
          <w:fldChar w:fldCharType="end"/>
        </w:r>
      </w:sdtContent>
    </w:sdt>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36FAF" w14:textId="77777777" w:rsidR="0041501F" w:rsidRDefault="0041501F" w:rsidP="0041501F">
    <w:pPr>
      <w:pStyle w:val="Rodap"/>
      <w:jc w:val="right"/>
      <w:rPr>
        <w:rFonts w:ascii="Courier New" w:hAnsi="Courier New"/>
      </w:rPr>
    </w:pPr>
    <w:r>
      <w:rPr>
        <w:noProof/>
      </w:rPr>
      <w:drawing>
        <wp:anchor distT="0" distB="0" distL="114300" distR="114300" simplePos="0" relativeHeight="251658294" behindDoc="1" locked="0" layoutInCell="1" allowOverlap="1" wp14:anchorId="476F5C73" wp14:editId="26A6934A">
          <wp:simplePos x="0" y="0"/>
          <wp:positionH relativeFrom="column">
            <wp:posOffset>-924285</wp:posOffset>
          </wp:positionH>
          <wp:positionV relativeFrom="paragraph">
            <wp:posOffset>32164</wp:posOffset>
          </wp:positionV>
          <wp:extent cx="7625301" cy="365094"/>
          <wp:effectExtent l="0" t="0" r="0" b="0"/>
          <wp:wrapNone/>
          <wp:docPr id="492" name="Imagem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34568" cy="38947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A6C4E1" w14:textId="2A60321D" w:rsidR="00091962" w:rsidRPr="00E35757" w:rsidRDefault="0041501F" w:rsidP="0041501F">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r w:rsidR="00091962" w:rsidRPr="006E5F47">
      <w:rPr>
        <w:noProof/>
        <w:color w:val="2E74B5"/>
        <w:sz w:val="20"/>
        <w:szCs w:val="20"/>
      </w:rPr>
      <w:tab/>
    </w:r>
    <w:r w:rsidR="00091962" w:rsidRPr="00E35757">
      <w:rPr>
        <w:rFonts w:ascii="CAIXA Std Book" w:hAnsi="CAIXA Std Book"/>
        <w:color w:val="2E74B5"/>
        <w:sz w:val="20"/>
        <w:szCs w:val="20"/>
      </w:rPr>
      <w:fldChar w:fldCharType="begin"/>
    </w:r>
    <w:r w:rsidR="00091962" w:rsidRPr="00E35757">
      <w:rPr>
        <w:rFonts w:ascii="CAIXA Std Book" w:hAnsi="CAIXA Std Book"/>
        <w:color w:val="2E74B5"/>
        <w:sz w:val="20"/>
        <w:szCs w:val="20"/>
      </w:rPr>
      <w:instrText>PAGE   \* MERGEFORMAT</w:instrText>
    </w:r>
    <w:r w:rsidR="00091962" w:rsidRPr="00E35757">
      <w:rPr>
        <w:rFonts w:ascii="CAIXA Std Book" w:hAnsi="CAIXA Std Book"/>
        <w:color w:val="2E74B5"/>
        <w:sz w:val="20"/>
        <w:szCs w:val="20"/>
      </w:rPr>
      <w:fldChar w:fldCharType="separate"/>
    </w:r>
    <w:r w:rsidR="00091962" w:rsidRPr="00E35757">
      <w:rPr>
        <w:rFonts w:ascii="CAIXA Std Book" w:hAnsi="CAIXA Std Book"/>
        <w:color w:val="2E74B5"/>
        <w:sz w:val="20"/>
        <w:szCs w:val="20"/>
      </w:rPr>
      <w:t>31</w:t>
    </w:r>
    <w:r w:rsidR="00091962" w:rsidRPr="00E35757">
      <w:rPr>
        <w:rFonts w:ascii="CAIXA Std Book" w:hAnsi="CAIXA Std Book"/>
        <w:color w:val="2E74B5"/>
        <w:sz w:val="20"/>
        <w:szCs w:val="20"/>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0407A" w14:textId="77777777" w:rsidR="00D343A3" w:rsidRDefault="00D343A3" w:rsidP="0041501F">
    <w:pPr>
      <w:pStyle w:val="Rodap"/>
      <w:jc w:val="right"/>
      <w:rPr>
        <w:rFonts w:ascii="Courier New" w:hAnsi="Courier New"/>
      </w:rPr>
    </w:pPr>
    <w:r>
      <w:rPr>
        <w:noProof/>
      </w:rPr>
      <w:drawing>
        <wp:anchor distT="0" distB="0" distL="114300" distR="114300" simplePos="0" relativeHeight="251663420" behindDoc="1" locked="0" layoutInCell="1" allowOverlap="1" wp14:anchorId="51A3D803" wp14:editId="7CEE268F">
          <wp:simplePos x="0" y="0"/>
          <wp:positionH relativeFrom="column">
            <wp:posOffset>-924284</wp:posOffset>
          </wp:positionH>
          <wp:positionV relativeFrom="paragraph">
            <wp:posOffset>31805</wp:posOffset>
          </wp:positionV>
          <wp:extent cx="10718165" cy="364490"/>
          <wp:effectExtent l="0" t="0" r="6985" b="0"/>
          <wp:wrapNone/>
          <wp:docPr id="498" name="Imagem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64313" cy="38986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A64B4E" w14:textId="77777777" w:rsidR="00D343A3" w:rsidRPr="00E35757" w:rsidRDefault="00D343A3" w:rsidP="0041501F">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r w:rsidRPr="006E5F47">
      <w:rPr>
        <w:noProof/>
        <w:color w:val="2E74B5"/>
        <w:sz w:val="20"/>
        <w:szCs w:val="20"/>
      </w:rPr>
      <w:tab/>
    </w:r>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31</w:t>
    </w:r>
    <w:r w:rsidRPr="00E35757">
      <w:rPr>
        <w:rFonts w:ascii="CAIXA Std Book" w:hAnsi="CAIXA Std Book"/>
        <w:color w:val="2E74B5"/>
        <w:sz w:val="20"/>
        <w:szCs w:val="20"/>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FB351" w14:textId="77777777" w:rsidR="00D07531" w:rsidRDefault="00D07531" w:rsidP="0052608D">
    <w:pPr>
      <w:pStyle w:val="Rodap"/>
      <w:jc w:val="right"/>
      <w:rPr>
        <w:rFonts w:ascii="Courier New" w:hAnsi="Courier New"/>
      </w:rPr>
    </w:pPr>
    <w:r>
      <w:rPr>
        <w:noProof/>
      </w:rPr>
      <w:drawing>
        <wp:anchor distT="0" distB="0" distL="114300" distR="114300" simplePos="0" relativeHeight="251658276" behindDoc="1" locked="0" layoutInCell="1" allowOverlap="1" wp14:anchorId="2D559FEE" wp14:editId="0E7E17FE">
          <wp:simplePos x="0" y="0"/>
          <wp:positionH relativeFrom="column">
            <wp:posOffset>-900430</wp:posOffset>
          </wp:positionH>
          <wp:positionV relativeFrom="paragraph">
            <wp:posOffset>104996</wp:posOffset>
          </wp:positionV>
          <wp:extent cx="7551420" cy="340360"/>
          <wp:effectExtent l="0" t="0" r="0" b="2540"/>
          <wp:wrapNone/>
          <wp:docPr id="500" name="Imagem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198" cy="34098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AF0CA8" w14:textId="77777777" w:rsidR="00D07531" w:rsidRPr="006E5F47" w:rsidRDefault="00D07531" w:rsidP="006E5F47">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22396507"/>
        <w:docPartObj>
          <w:docPartGallery w:val="Page Numbers (Bottom of Page)"/>
          <w:docPartUnique/>
        </w:docPartObj>
      </w:sdtPr>
      <w:sdtEndPr>
        <w:rPr>
          <w:rFonts w:ascii="Futura Lt BT" w:hAnsi="Futura Lt BT"/>
          <w:noProof w:val="0"/>
        </w:rPr>
      </w:sdtEndPr>
      <w:sdtContent>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77</w:t>
        </w:r>
        <w:r w:rsidRPr="00E35757">
          <w:rPr>
            <w:rFonts w:ascii="CAIXA Std Book" w:hAnsi="CAIXA Std Book"/>
            <w:color w:val="2E74B5"/>
            <w:sz w:val="20"/>
            <w:szCs w:val="20"/>
          </w:rPr>
          <w:fldChar w:fldCharType="end"/>
        </w:r>
      </w:sdtContent>
    </w:sdt>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C5F8B" w14:textId="77777777" w:rsidR="00D07531" w:rsidRPr="004E6F7B" w:rsidRDefault="00D07531">
    <w:pPr>
      <w:pStyle w:val="Rodap"/>
      <w:jc w:val="right"/>
      <w:rPr>
        <w:sz w:val="16"/>
      </w:rPr>
    </w:pPr>
    <w:r>
      <w:rPr>
        <w:noProof/>
      </w:rPr>
      <w:drawing>
        <wp:anchor distT="0" distB="0" distL="114300" distR="114300" simplePos="0" relativeHeight="251658277" behindDoc="1" locked="0" layoutInCell="1" allowOverlap="1" wp14:anchorId="1EB3A93C" wp14:editId="6D701B84">
          <wp:simplePos x="0" y="0"/>
          <wp:positionH relativeFrom="page">
            <wp:align>left</wp:align>
          </wp:positionH>
          <wp:positionV relativeFrom="paragraph">
            <wp:posOffset>24765</wp:posOffset>
          </wp:positionV>
          <wp:extent cx="7560000" cy="162000"/>
          <wp:effectExtent l="0" t="0" r="3175" b="9525"/>
          <wp:wrapNone/>
          <wp:docPr id="501" name="Imagem 501"/>
          <wp:cNvGraphicFramePr/>
          <a:graphic xmlns:a="http://schemas.openxmlformats.org/drawingml/2006/main">
            <a:graphicData uri="http://schemas.openxmlformats.org/drawingml/2006/picture">
              <pic:pic xmlns:pic="http://schemas.openxmlformats.org/drawingml/2006/picture">
                <pic:nvPicPr>
                  <pic:cNvPr id="14" name="Imagem 14"/>
                  <pic:cNvPicPr preferRelativeResize="0"/>
                </pic:nvPicPr>
                <pic:blipFill rotWithShape="1">
                  <a:blip r:embed="rId1">
                    <a:extLst>
                      <a:ext uri="{28A0092B-C50C-407E-A947-70E740481C1C}">
                        <a14:useLocalDpi xmlns:a14="http://schemas.microsoft.com/office/drawing/2010/main" val="0"/>
                      </a:ext>
                    </a:extLst>
                  </a:blip>
                  <a:srcRect l="8415" t="27789" b="22414"/>
                  <a:stretch/>
                </pic:blipFill>
                <pic:spPr bwMode="auto">
                  <a:xfrm>
                    <a:off x="0" y="0"/>
                    <a:ext cx="7560000" cy="162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7A1D7B" w14:textId="77777777" w:rsidR="00D07531" w:rsidRDefault="00D07531">
    <w:pPr>
      <w:pStyle w:val="Rodap"/>
      <w:jc w:val="right"/>
      <w:rPr>
        <w:rFonts w:ascii="Courier New" w:hAnsi="Courier New"/>
        <w:sz w:val="16"/>
        <w:szCs w:val="16"/>
      </w:rPr>
    </w:pPr>
    <w:r w:rsidRPr="004E6F7B">
      <w:rPr>
        <w:rFonts w:ascii="Courier New" w:hAnsi="Courier New"/>
        <w:sz w:val="16"/>
        <w:szCs w:val="16"/>
      </w:rPr>
      <w:fldChar w:fldCharType="begin"/>
    </w:r>
    <w:r w:rsidRPr="004E6F7B">
      <w:rPr>
        <w:rFonts w:ascii="Courier New" w:hAnsi="Courier New"/>
        <w:sz w:val="16"/>
        <w:szCs w:val="16"/>
      </w:rPr>
      <w:instrText>PAGE   \* MERGEFORMAT</w:instrText>
    </w:r>
    <w:r w:rsidRPr="004E6F7B">
      <w:rPr>
        <w:rFonts w:ascii="Courier New" w:hAnsi="Courier New"/>
        <w:sz w:val="16"/>
        <w:szCs w:val="16"/>
      </w:rPr>
      <w:fldChar w:fldCharType="separate"/>
    </w:r>
    <w:r w:rsidRPr="004E6F7B">
      <w:rPr>
        <w:rFonts w:ascii="Courier New" w:hAnsi="Courier New"/>
        <w:sz w:val="16"/>
        <w:szCs w:val="16"/>
      </w:rPr>
      <w:t>2</w:t>
    </w:r>
    <w:r w:rsidRPr="004E6F7B">
      <w:rPr>
        <w:rFonts w:ascii="Courier New" w:hAnsi="Courier New"/>
        <w:sz w:val="16"/>
        <w:szCs w:val="16"/>
      </w:rPr>
      <w:fldChar w:fldCharType="end"/>
    </w:r>
  </w:p>
  <w:p w14:paraId="29C9C430" w14:textId="77777777" w:rsidR="00D07531" w:rsidRDefault="00D07531">
    <w:pPr>
      <w:pStyle w:val="Rodap"/>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F876A" w14:textId="77777777" w:rsidR="003B762C" w:rsidRDefault="00D07531" w:rsidP="0052608D">
    <w:pPr>
      <w:pStyle w:val="Rodap"/>
      <w:jc w:val="right"/>
      <w:rPr>
        <w:rFonts w:ascii="Courier New" w:hAnsi="Courier New"/>
      </w:rPr>
    </w:pPr>
    <w:r>
      <w:rPr>
        <w:noProof/>
      </w:rPr>
      <w:drawing>
        <wp:anchor distT="0" distB="0" distL="114300" distR="114300" simplePos="0" relativeHeight="251658278" behindDoc="1" locked="0" layoutInCell="1" allowOverlap="1" wp14:anchorId="35BF8369" wp14:editId="0F211E13">
          <wp:simplePos x="0" y="0"/>
          <wp:positionH relativeFrom="column">
            <wp:posOffset>-884526</wp:posOffset>
          </wp:positionH>
          <wp:positionV relativeFrom="paragraph">
            <wp:posOffset>103395</wp:posOffset>
          </wp:positionV>
          <wp:extent cx="10734260" cy="340347"/>
          <wp:effectExtent l="0" t="0" r="0" b="3175"/>
          <wp:wrapNone/>
          <wp:docPr id="504" name="Imagem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44443" cy="3470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0AD0B6" w14:textId="77777777" w:rsidR="003B762C" w:rsidRPr="006E5F47" w:rsidRDefault="003B762C" w:rsidP="006E5F47">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261192922"/>
        <w:docPartObj>
          <w:docPartGallery w:val="Page Numbers (Bottom of Page)"/>
          <w:docPartUnique/>
        </w:docPartObj>
      </w:sdtPr>
      <w:sdtEndPr>
        <w:rPr>
          <w:rFonts w:ascii="Futura Lt BT" w:hAnsi="Futura Lt BT"/>
          <w:noProof w:val="0"/>
        </w:rPr>
      </w:sdtEndPr>
      <w:sdtContent>
        <w:r w:rsidRPr="0083024D">
          <w:rPr>
            <w:rFonts w:ascii="Futura Lt BT" w:hAnsi="Futura Lt BT"/>
            <w:color w:val="2E74B5"/>
            <w:sz w:val="20"/>
            <w:szCs w:val="20"/>
          </w:rPr>
          <w:fldChar w:fldCharType="begin"/>
        </w:r>
        <w:r w:rsidRPr="0083024D">
          <w:rPr>
            <w:rFonts w:ascii="Futura Lt BT" w:hAnsi="Futura Lt BT"/>
            <w:color w:val="2E74B5"/>
            <w:sz w:val="20"/>
            <w:szCs w:val="20"/>
          </w:rPr>
          <w:instrText>PAGE   \* MERGEFORMAT</w:instrText>
        </w:r>
        <w:r w:rsidRPr="0083024D">
          <w:rPr>
            <w:rFonts w:ascii="Futura Lt BT" w:hAnsi="Futura Lt BT"/>
            <w:color w:val="2E74B5"/>
            <w:sz w:val="20"/>
            <w:szCs w:val="20"/>
          </w:rPr>
          <w:fldChar w:fldCharType="separate"/>
        </w:r>
        <w:r w:rsidRPr="0083024D">
          <w:rPr>
            <w:rFonts w:ascii="Futura Lt BT" w:hAnsi="Futura Lt BT"/>
            <w:color w:val="2E74B5"/>
            <w:sz w:val="20"/>
            <w:szCs w:val="20"/>
          </w:rPr>
          <w:t>77</w:t>
        </w:r>
        <w:r w:rsidRPr="0083024D">
          <w:rPr>
            <w:rFonts w:ascii="Futura Lt BT" w:hAnsi="Futura Lt BT"/>
            <w:color w:val="2E74B5"/>
            <w:sz w:val="20"/>
            <w:szCs w:val="20"/>
          </w:rPr>
          <w:fldChar w:fldCharType="end"/>
        </w:r>
      </w:sdtContent>
    </w:sdt>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47A19" w14:textId="77777777" w:rsidR="002E3049" w:rsidRDefault="002E3049" w:rsidP="006E5F47">
    <w:pPr>
      <w:pStyle w:val="Rodap"/>
      <w:jc w:val="right"/>
      <w:rPr>
        <w:noProof/>
      </w:rPr>
    </w:pPr>
  </w:p>
  <w:p w14:paraId="1CB78E20" w14:textId="7612FBF2" w:rsidR="00091962" w:rsidRDefault="002E3049" w:rsidP="006E5F47">
    <w:pPr>
      <w:pStyle w:val="Rodap"/>
      <w:jc w:val="right"/>
      <w:rPr>
        <w:rFonts w:ascii="Courier New" w:hAnsi="Courier New"/>
      </w:rPr>
    </w:pPr>
    <w:r>
      <w:rPr>
        <w:noProof/>
      </w:rPr>
      <w:drawing>
        <wp:anchor distT="0" distB="0" distL="114300" distR="114300" simplePos="0" relativeHeight="251658280" behindDoc="1" locked="0" layoutInCell="1" allowOverlap="1" wp14:anchorId="543E3A91" wp14:editId="7259A2EA">
          <wp:simplePos x="0" y="0"/>
          <wp:positionH relativeFrom="column">
            <wp:posOffset>-924284</wp:posOffset>
          </wp:positionH>
          <wp:positionV relativeFrom="paragraph">
            <wp:posOffset>103118</wp:posOffset>
          </wp:positionV>
          <wp:extent cx="7577455" cy="339725"/>
          <wp:effectExtent l="0" t="0" r="4445" b="3175"/>
          <wp:wrapNone/>
          <wp:docPr id="506" name="Imagem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3930" cy="34225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D41F24" w14:textId="77777777" w:rsidR="00091962" w:rsidRPr="006E5F47" w:rsidRDefault="00091962" w:rsidP="006E5F47">
    <w:pPr>
      <w:pStyle w:val="Rodap"/>
      <w:tabs>
        <w:tab w:val="clear" w:pos="4252"/>
        <w:tab w:val="clear" w:pos="8504"/>
        <w:tab w:val="center" w:pos="4820"/>
      </w:tabs>
      <w:jc w:val="right"/>
      <w:rPr>
        <w:noProof/>
        <w:color w:val="2E74B5"/>
        <w:sz w:val="20"/>
        <w:szCs w:val="20"/>
      </w:rPr>
    </w:pPr>
    <w:r>
      <w:rPr>
        <w:noProof/>
        <w:color w:val="2E74B5"/>
        <w:sz w:val="20"/>
        <w:szCs w:val="20"/>
      </w:rPr>
      <w:tab/>
    </w:r>
    <w:sdt>
      <w:sdtPr>
        <w:rPr>
          <w:noProof/>
          <w:color w:val="2E74B5"/>
          <w:sz w:val="20"/>
          <w:szCs w:val="20"/>
        </w:rPr>
        <w:id w:val="-495420807"/>
        <w:docPartObj>
          <w:docPartGallery w:val="Page Numbers (Bottom of Page)"/>
          <w:docPartUnique/>
        </w:docPartObj>
      </w:sdtPr>
      <w:sdtEndPr>
        <w:rPr>
          <w:rFonts w:ascii="CAIXA Std Book" w:hAnsi="CAIXA Std Book"/>
          <w:noProof w:val="0"/>
        </w:rPr>
      </w:sdtEndPr>
      <w:sdtContent>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77</w:t>
        </w:r>
        <w:r w:rsidRPr="00E35757">
          <w:rPr>
            <w:rFonts w:ascii="CAIXA Std Book" w:hAnsi="CAIXA Std Book"/>
            <w:color w:val="2E74B5"/>
            <w:sz w:val="20"/>
            <w:szCs w:val="20"/>
          </w:rPr>
          <w:fldChar w:fldCharType="end"/>
        </w:r>
      </w:sdtContent>
    </w:sdt>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7BA60" w14:textId="77777777" w:rsidR="00091962" w:rsidRPr="004E6F7B" w:rsidRDefault="00091962">
    <w:pPr>
      <w:pStyle w:val="Rodap"/>
      <w:jc w:val="right"/>
      <w:rPr>
        <w:sz w:val="16"/>
      </w:rPr>
    </w:pPr>
    <w:r>
      <w:rPr>
        <w:noProof/>
      </w:rPr>
      <w:drawing>
        <wp:anchor distT="0" distB="0" distL="114300" distR="114300" simplePos="0" relativeHeight="251658281" behindDoc="1" locked="0" layoutInCell="1" allowOverlap="1" wp14:anchorId="6ACB0DB7" wp14:editId="2BA36B9D">
          <wp:simplePos x="0" y="0"/>
          <wp:positionH relativeFrom="page">
            <wp:align>left</wp:align>
          </wp:positionH>
          <wp:positionV relativeFrom="paragraph">
            <wp:posOffset>24765</wp:posOffset>
          </wp:positionV>
          <wp:extent cx="7560000" cy="162000"/>
          <wp:effectExtent l="0" t="0" r="3175" b="9525"/>
          <wp:wrapNone/>
          <wp:docPr id="507" name="Imagem 507"/>
          <wp:cNvGraphicFramePr/>
          <a:graphic xmlns:a="http://schemas.openxmlformats.org/drawingml/2006/main">
            <a:graphicData uri="http://schemas.openxmlformats.org/drawingml/2006/picture">
              <pic:pic xmlns:pic="http://schemas.openxmlformats.org/drawingml/2006/picture">
                <pic:nvPicPr>
                  <pic:cNvPr id="14" name="Imagem 14"/>
                  <pic:cNvPicPr preferRelativeResize="0"/>
                </pic:nvPicPr>
                <pic:blipFill rotWithShape="1">
                  <a:blip r:embed="rId1">
                    <a:extLst>
                      <a:ext uri="{28A0092B-C50C-407E-A947-70E740481C1C}">
                        <a14:useLocalDpi xmlns:a14="http://schemas.microsoft.com/office/drawing/2010/main" val="0"/>
                      </a:ext>
                    </a:extLst>
                  </a:blip>
                  <a:srcRect l="8415" t="27789" b="22414"/>
                  <a:stretch/>
                </pic:blipFill>
                <pic:spPr bwMode="auto">
                  <a:xfrm>
                    <a:off x="0" y="0"/>
                    <a:ext cx="7560000" cy="162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0659B89" w14:textId="77777777" w:rsidR="00091962" w:rsidRDefault="00091962">
    <w:pPr>
      <w:pStyle w:val="Rodap"/>
      <w:jc w:val="right"/>
      <w:rPr>
        <w:rFonts w:ascii="Courier New" w:hAnsi="Courier New"/>
        <w:sz w:val="16"/>
        <w:szCs w:val="16"/>
      </w:rPr>
    </w:pPr>
    <w:r w:rsidRPr="004E6F7B">
      <w:rPr>
        <w:rFonts w:ascii="Courier New" w:hAnsi="Courier New"/>
        <w:sz w:val="16"/>
        <w:szCs w:val="16"/>
      </w:rPr>
      <w:fldChar w:fldCharType="begin"/>
    </w:r>
    <w:r w:rsidRPr="004E6F7B">
      <w:rPr>
        <w:rFonts w:ascii="Courier New" w:hAnsi="Courier New"/>
        <w:sz w:val="16"/>
        <w:szCs w:val="16"/>
      </w:rPr>
      <w:instrText>PAGE   \* MERGEFORMAT</w:instrText>
    </w:r>
    <w:r w:rsidRPr="004E6F7B">
      <w:rPr>
        <w:rFonts w:ascii="Courier New" w:hAnsi="Courier New"/>
        <w:sz w:val="16"/>
        <w:szCs w:val="16"/>
      </w:rPr>
      <w:fldChar w:fldCharType="separate"/>
    </w:r>
    <w:r w:rsidRPr="004E6F7B">
      <w:rPr>
        <w:rFonts w:ascii="Courier New" w:hAnsi="Courier New"/>
        <w:sz w:val="16"/>
        <w:szCs w:val="16"/>
      </w:rPr>
      <w:t>2</w:t>
    </w:r>
    <w:r w:rsidRPr="004E6F7B">
      <w:rPr>
        <w:rFonts w:ascii="Courier New" w:hAnsi="Courier New"/>
        <w:sz w:val="16"/>
        <w:szCs w:val="16"/>
      </w:rPr>
      <w:fldChar w:fldCharType="end"/>
    </w:r>
  </w:p>
  <w:p w14:paraId="350CCC7C" w14:textId="77777777" w:rsidR="00091962" w:rsidRDefault="00091962">
    <w:pPr>
      <w:pStyle w:val="Rodap"/>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168419"/>
      <w:docPartObj>
        <w:docPartGallery w:val="Page Numbers (Bottom of Page)"/>
        <w:docPartUnique/>
      </w:docPartObj>
    </w:sdtPr>
    <w:sdtEndPr>
      <w:rPr>
        <w:rFonts w:ascii="CAIXA Std Book" w:hAnsi="CAIXA Std Book"/>
        <w:color w:val="2E74B5"/>
        <w:sz w:val="20"/>
        <w:szCs w:val="20"/>
      </w:rPr>
    </w:sdtEndPr>
    <w:sdtContent>
      <w:p w14:paraId="227C65A6" w14:textId="2DD80241" w:rsidR="00091962" w:rsidRDefault="002E3049">
        <w:pPr>
          <w:pStyle w:val="Rodap"/>
          <w:jc w:val="right"/>
          <w:rPr>
            <w:rFonts w:ascii="Courier New" w:hAnsi="Courier New"/>
          </w:rPr>
        </w:pPr>
        <w:r>
          <w:rPr>
            <w:noProof/>
          </w:rPr>
          <w:drawing>
            <wp:anchor distT="0" distB="0" distL="114300" distR="114300" simplePos="0" relativeHeight="251658283" behindDoc="1" locked="0" layoutInCell="1" allowOverlap="1" wp14:anchorId="5515DEAF" wp14:editId="15B19C4D">
              <wp:simplePos x="0" y="0"/>
              <wp:positionH relativeFrom="column">
                <wp:posOffset>-894767</wp:posOffset>
              </wp:positionH>
              <wp:positionV relativeFrom="paragraph">
                <wp:posOffset>125178</wp:posOffset>
              </wp:positionV>
              <wp:extent cx="10723542" cy="350874"/>
              <wp:effectExtent l="0" t="0" r="0" b="0"/>
              <wp:wrapNone/>
              <wp:docPr id="509" name="Imagem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23542" cy="35087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5464C7" w14:textId="77777777" w:rsidR="00091962" w:rsidRPr="00E35757" w:rsidRDefault="00091962" w:rsidP="002E3049">
        <w:pPr>
          <w:pStyle w:val="Rodap"/>
          <w:jc w:val="right"/>
          <w:rPr>
            <w:rFonts w:ascii="CAIXA Std Book" w:hAnsi="CAIXA Std Book"/>
            <w:color w:val="2E74B5"/>
            <w:sz w:val="20"/>
            <w:szCs w:val="20"/>
          </w:rPr>
        </w:pPr>
        <w:r w:rsidRPr="006E5F47">
          <w:rPr>
            <w:noProof/>
            <w:color w:val="2E74B5"/>
            <w:sz w:val="20"/>
            <w:szCs w:val="20"/>
          </w:rPr>
          <w:tab/>
        </w:r>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81</w:t>
        </w:r>
        <w:r w:rsidRPr="00E35757">
          <w:rPr>
            <w:rFonts w:ascii="CAIXA Std Book" w:hAnsi="CAIXA Std Book"/>
            <w:color w:val="2E74B5"/>
            <w:sz w:val="20"/>
            <w:szCs w:val="20"/>
          </w:rPr>
          <w:fldChar w:fldCharType="end"/>
        </w:r>
      </w:p>
    </w:sdtContent>
  </w:sdt>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19126" w14:textId="77777777" w:rsidR="00091962" w:rsidRDefault="00824E99" w:rsidP="006E5F47">
    <w:pPr>
      <w:pStyle w:val="Rodap"/>
      <w:jc w:val="right"/>
      <w:rPr>
        <w:rFonts w:ascii="Courier New" w:hAnsi="Courier New"/>
      </w:rPr>
    </w:pPr>
    <w:r>
      <w:rPr>
        <w:noProof/>
      </w:rPr>
      <w:drawing>
        <wp:anchor distT="0" distB="0" distL="114300" distR="114300" simplePos="0" relativeHeight="251658251" behindDoc="1" locked="0" layoutInCell="1" allowOverlap="1" wp14:anchorId="01FA210C" wp14:editId="73D26C59">
          <wp:simplePos x="0" y="0"/>
          <wp:positionH relativeFrom="column">
            <wp:posOffset>-919716</wp:posOffset>
          </wp:positionH>
          <wp:positionV relativeFrom="paragraph">
            <wp:posOffset>91288</wp:posOffset>
          </wp:positionV>
          <wp:extent cx="7793665" cy="349418"/>
          <wp:effectExtent l="0" t="0" r="0" b="0"/>
          <wp:wrapNone/>
          <wp:docPr id="511" name="Imagem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0376" cy="35823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87F700" w14:textId="77777777" w:rsidR="00091962" w:rsidRPr="00253499" w:rsidRDefault="00091962"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353416507"/>
        <w:docPartObj>
          <w:docPartGallery w:val="Page Numbers (Bottom of Page)"/>
          <w:docPartUnique/>
        </w:docPartObj>
      </w:sdtPr>
      <w:sdtEndPr>
        <w:rPr>
          <w:noProof w:val="0"/>
        </w:rPr>
      </w:sdtEndPr>
      <w:sdtContent>
        <w:r w:rsidRPr="00253499">
          <w:rPr>
            <w:rFonts w:ascii="CAIXA Std Book" w:hAnsi="CAIXA Std Book"/>
            <w:color w:val="2E74B5"/>
            <w:sz w:val="20"/>
            <w:szCs w:val="20"/>
          </w:rPr>
          <w:fldChar w:fldCharType="begin"/>
        </w:r>
        <w:r w:rsidRPr="00253499">
          <w:rPr>
            <w:rFonts w:ascii="CAIXA Std Book" w:hAnsi="CAIXA Std Book"/>
            <w:color w:val="2E74B5"/>
            <w:sz w:val="20"/>
            <w:szCs w:val="20"/>
          </w:rPr>
          <w:instrText>PAGE   \* MERGEFORMAT</w:instrText>
        </w:r>
        <w:r w:rsidRPr="00253499">
          <w:rPr>
            <w:rFonts w:ascii="CAIXA Std Book" w:hAnsi="CAIXA Std Book"/>
            <w:color w:val="2E74B5"/>
            <w:sz w:val="20"/>
            <w:szCs w:val="20"/>
          </w:rPr>
          <w:fldChar w:fldCharType="separate"/>
        </w:r>
        <w:r w:rsidRPr="00253499">
          <w:rPr>
            <w:rFonts w:ascii="CAIXA Std Book" w:hAnsi="CAIXA Std Book"/>
            <w:color w:val="2E74B5"/>
            <w:sz w:val="20"/>
            <w:szCs w:val="20"/>
          </w:rPr>
          <w:t>85</w:t>
        </w:r>
        <w:r w:rsidRPr="00253499">
          <w:rPr>
            <w:rFonts w:ascii="CAIXA Std Book" w:hAnsi="CAIXA Std Book"/>
            <w:color w:val="2E74B5"/>
            <w:sz w:val="20"/>
            <w:szCs w:val="20"/>
          </w:rPr>
          <w:fldChar w:fldCharType="end"/>
        </w:r>
      </w:sdtContent>
    </w:sdt>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33077" w14:textId="77777777" w:rsidR="00091962" w:rsidRDefault="00DF765F" w:rsidP="000D7FB6">
    <w:pPr>
      <w:pStyle w:val="Rodap"/>
      <w:jc w:val="right"/>
      <w:rPr>
        <w:rFonts w:ascii="Courier New" w:hAnsi="Courier New"/>
      </w:rPr>
    </w:pPr>
    <w:r>
      <w:rPr>
        <w:noProof/>
      </w:rPr>
      <w:drawing>
        <wp:anchor distT="0" distB="0" distL="114300" distR="114300" simplePos="0" relativeHeight="251658253" behindDoc="1" locked="0" layoutInCell="1" allowOverlap="1" wp14:anchorId="0EE716FB" wp14:editId="2977E492">
          <wp:simplePos x="0" y="0"/>
          <wp:positionH relativeFrom="column">
            <wp:posOffset>-919716</wp:posOffset>
          </wp:positionH>
          <wp:positionV relativeFrom="paragraph">
            <wp:posOffset>91288</wp:posOffset>
          </wp:positionV>
          <wp:extent cx="7793665" cy="349418"/>
          <wp:effectExtent l="0" t="0" r="0" b="0"/>
          <wp:wrapNone/>
          <wp:docPr id="961" name="Imagem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90376" cy="35823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EF87E5" w14:textId="5B80D961" w:rsidR="00091962" w:rsidRPr="00E35757" w:rsidRDefault="00091962" w:rsidP="000D7FB6">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689899114"/>
        <w:docPartObj>
          <w:docPartGallery w:val="Page Numbers (Bottom of Page)"/>
          <w:docPartUnique/>
        </w:docPartObj>
      </w:sdtPr>
      <w:sdtEndPr>
        <w:rPr>
          <w:noProof w:val="0"/>
        </w:rPr>
      </w:sdtEndPr>
      <w:sdtContent>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82</w:t>
        </w:r>
        <w:r w:rsidRPr="00E35757">
          <w:rPr>
            <w:rFonts w:ascii="CAIXA Std Book" w:hAnsi="CAIXA Std Book"/>
            <w:color w:val="2E74B5"/>
            <w:sz w:val="20"/>
            <w:szCs w:val="20"/>
          </w:rPr>
          <w:fldChar w:fldCharType="end"/>
        </w:r>
      </w:sdtContent>
    </w:sdt>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5C12E" w14:textId="2C6293F4" w:rsidR="004D2E7A" w:rsidRDefault="004D2E7A" w:rsidP="000D7FB6">
    <w:pPr>
      <w:pStyle w:val="Rodap"/>
      <w:jc w:val="right"/>
      <w:rPr>
        <w:rFonts w:ascii="Courier New" w:hAnsi="Courier New"/>
      </w:rPr>
    </w:pPr>
  </w:p>
  <w:p w14:paraId="7C60BD20" w14:textId="77777777" w:rsidR="004D2E7A" w:rsidRPr="00E35757" w:rsidRDefault="004D2E7A" w:rsidP="000D7FB6">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2050182547"/>
        <w:docPartObj>
          <w:docPartGallery w:val="Page Numbers (Bottom of Page)"/>
          <w:docPartUnique/>
        </w:docPartObj>
      </w:sdtPr>
      <w:sdtEndPr>
        <w:rPr>
          <w:noProof w:val="0"/>
        </w:rPr>
      </w:sdtEndPr>
      <w:sdtContent>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82</w:t>
        </w:r>
        <w:r w:rsidRPr="00E35757">
          <w:rPr>
            <w:rFonts w:ascii="CAIXA Std Book" w:hAnsi="CAIXA Std Book"/>
            <w:color w:val="2E74B5"/>
            <w:sz w:val="20"/>
            <w:szCs w:val="20"/>
          </w:rPr>
          <w:fldChar w:fldCharType="end"/>
        </w:r>
      </w:sdtContent>
    </w:sdt>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B36C2" w14:textId="610E87CB" w:rsidR="008D4DC9" w:rsidRDefault="008D4DC9" w:rsidP="006E5F47">
    <w:pPr>
      <w:pStyle w:val="Rodap"/>
      <w:jc w:val="right"/>
      <w:rPr>
        <w:rFonts w:ascii="Courier New" w:hAnsi="Courier New"/>
      </w:rPr>
    </w:pPr>
  </w:p>
  <w:tbl>
    <w:tblPr>
      <w:tblW w:w="8126" w:type="dxa"/>
      <w:tblCellMar>
        <w:left w:w="170" w:type="dxa"/>
      </w:tblCellMar>
      <w:tblLook w:val="04A0" w:firstRow="1" w:lastRow="0" w:firstColumn="1" w:lastColumn="0" w:noHBand="0" w:noVBand="1"/>
    </w:tblPr>
    <w:tblGrid>
      <w:gridCol w:w="4066"/>
      <w:gridCol w:w="4060"/>
    </w:tblGrid>
    <w:tr w:rsidR="00D60A7A" w:rsidRPr="001816C2" w14:paraId="3C0B7B5C" w14:textId="77777777" w:rsidTr="00B85732">
      <w:tc>
        <w:tcPr>
          <w:tcW w:w="4066" w:type="dxa"/>
          <w:shd w:val="clear" w:color="auto" w:fill="auto"/>
          <w:vAlign w:val="bottom"/>
        </w:tcPr>
        <w:p w14:paraId="74CCC4A8" w14:textId="77777777" w:rsidR="00D60A7A" w:rsidRPr="001816C2" w:rsidRDefault="00D60A7A" w:rsidP="00D60A7A">
          <w:pPr>
            <w:tabs>
              <w:tab w:val="right" w:pos="8505"/>
            </w:tabs>
            <w:ind w:left="-152"/>
            <w:rPr>
              <w:rFonts w:eastAsia="Times New Roman"/>
              <w:color w:val="939598"/>
              <w:sz w:val="11"/>
              <w:szCs w:val="12"/>
            </w:rPr>
          </w:pPr>
          <w:r w:rsidRPr="001816C2">
            <w:rPr>
              <w:rFonts w:eastAsia="Times New Roman"/>
              <w:color w:val="939598"/>
              <w:sz w:val="11"/>
              <w:szCs w:val="12"/>
            </w:rPr>
            <w:t xml:space="preserve">KPMG Auditores Independentes Ltda., uma sociedade simples brasileira, de responsabilidade limitada e firma-membro da organização global KPMG de firmas-membro independentes licenciadas da KPMG </w:t>
          </w:r>
          <w:proofErr w:type="spellStart"/>
          <w:r w:rsidRPr="001816C2">
            <w:rPr>
              <w:rFonts w:eastAsia="Times New Roman"/>
              <w:color w:val="939598"/>
              <w:sz w:val="11"/>
              <w:szCs w:val="12"/>
            </w:rPr>
            <w:t>International</w:t>
          </w:r>
          <w:proofErr w:type="spellEnd"/>
          <w:r w:rsidRPr="001816C2">
            <w:rPr>
              <w:rFonts w:eastAsia="Times New Roman"/>
              <w:color w:val="939598"/>
              <w:sz w:val="11"/>
              <w:szCs w:val="12"/>
            </w:rPr>
            <w:t xml:space="preserve"> </w:t>
          </w:r>
          <w:proofErr w:type="spellStart"/>
          <w:r w:rsidRPr="001816C2">
            <w:rPr>
              <w:rFonts w:eastAsia="Times New Roman"/>
              <w:color w:val="939598"/>
              <w:sz w:val="11"/>
              <w:szCs w:val="12"/>
            </w:rPr>
            <w:t>Limited</w:t>
          </w:r>
          <w:proofErr w:type="spellEnd"/>
          <w:r w:rsidRPr="001816C2">
            <w:rPr>
              <w:rFonts w:eastAsia="Times New Roman"/>
              <w:color w:val="939598"/>
              <w:sz w:val="11"/>
              <w:szCs w:val="12"/>
            </w:rPr>
            <w:t>, uma empresa inglesa privada de responsabilidade limitada.</w:t>
          </w:r>
        </w:p>
      </w:tc>
      <w:tc>
        <w:tcPr>
          <w:tcW w:w="4060" w:type="dxa"/>
          <w:shd w:val="clear" w:color="auto" w:fill="auto"/>
        </w:tcPr>
        <w:p w14:paraId="6EA1461B" w14:textId="77777777" w:rsidR="00D60A7A" w:rsidRPr="001816C2" w:rsidRDefault="00D60A7A" w:rsidP="00D60A7A">
          <w:pPr>
            <w:tabs>
              <w:tab w:val="right" w:pos="8505"/>
            </w:tabs>
            <w:rPr>
              <w:rFonts w:eastAsia="Times New Roman"/>
              <w:i/>
              <w:color w:val="939598"/>
              <w:sz w:val="11"/>
              <w:szCs w:val="12"/>
            </w:rPr>
          </w:pPr>
          <w:r w:rsidRPr="001816C2">
            <w:rPr>
              <w:rFonts w:eastAsia="Times New Roman"/>
              <w:i/>
              <w:color w:val="939598"/>
              <w:sz w:val="11"/>
              <w:szCs w:val="12"/>
            </w:rPr>
            <w:t>KPMG Auditores Independentes</w:t>
          </w:r>
          <w:r w:rsidRPr="001816C2">
            <w:rPr>
              <w:rFonts w:ascii="Univers for KPMG Light" w:eastAsia="Times New Roman" w:hAnsi="Univers for KPMG Light" w:cs="Times New Roman"/>
              <w:sz w:val="12"/>
              <w:szCs w:val="20"/>
            </w:rPr>
            <w:t xml:space="preserve"> </w:t>
          </w:r>
          <w:r w:rsidRPr="001816C2">
            <w:rPr>
              <w:rFonts w:eastAsia="Times New Roman"/>
              <w:i/>
              <w:color w:val="939598"/>
              <w:sz w:val="11"/>
              <w:szCs w:val="12"/>
            </w:rPr>
            <w:t xml:space="preserve">Ltda., a </w:t>
          </w:r>
          <w:proofErr w:type="spellStart"/>
          <w:r w:rsidRPr="001816C2">
            <w:rPr>
              <w:rFonts w:eastAsia="Times New Roman"/>
              <w:i/>
              <w:color w:val="939598"/>
              <w:sz w:val="11"/>
              <w:szCs w:val="12"/>
            </w:rPr>
            <w:t>Brazilian</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liability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company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and</w:t>
          </w:r>
          <w:proofErr w:type="spellEnd"/>
          <w:r w:rsidRPr="001816C2">
            <w:rPr>
              <w:rFonts w:eastAsia="Times New Roman"/>
              <w:i/>
              <w:color w:val="939598"/>
              <w:sz w:val="11"/>
              <w:szCs w:val="12"/>
            </w:rPr>
            <w:t xml:space="preserve"> a </w:t>
          </w:r>
          <w:proofErr w:type="spellStart"/>
          <w:r w:rsidRPr="001816C2">
            <w:rPr>
              <w:rFonts w:eastAsia="Times New Roman"/>
              <w:i/>
              <w:color w:val="939598"/>
              <w:sz w:val="11"/>
              <w:szCs w:val="12"/>
            </w:rPr>
            <w:t>member</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firm</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of</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the</w:t>
          </w:r>
          <w:proofErr w:type="spellEnd"/>
          <w:r w:rsidRPr="001816C2">
            <w:rPr>
              <w:rFonts w:eastAsia="Times New Roman"/>
              <w:i/>
              <w:color w:val="939598"/>
              <w:sz w:val="11"/>
              <w:szCs w:val="12"/>
            </w:rPr>
            <w:t xml:space="preserve"> KPMG global </w:t>
          </w:r>
          <w:proofErr w:type="spellStart"/>
          <w:r w:rsidRPr="001816C2">
            <w:rPr>
              <w:rFonts w:eastAsia="Times New Roman"/>
              <w:i/>
              <w:color w:val="939598"/>
              <w:sz w:val="11"/>
              <w:szCs w:val="12"/>
            </w:rPr>
            <w:t>organization</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of</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independent</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member</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firms</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affiliated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with</w:t>
          </w:r>
          <w:proofErr w:type="spellEnd"/>
          <w:r w:rsidRPr="001816C2">
            <w:rPr>
              <w:rFonts w:eastAsia="Times New Roman"/>
              <w:i/>
              <w:color w:val="939598"/>
              <w:sz w:val="11"/>
              <w:szCs w:val="12"/>
            </w:rPr>
            <w:t xml:space="preserve"> KPMG </w:t>
          </w:r>
          <w:proofErr w:type="spellStart"/>
          <w:r w:rsidRPr="001816C2">
            <w:rPr>
              <w:rFonts w:eastAsia="Times New Roman"/>
              <w:i/>
              <w:color w:val="939598"/>
              <w:sz w:val="11"/>
              <w:szCs w:val="12"/>
            </w:rPr>
            <w:t>International</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a </w:t>
          </w:r>
          <w:proofErr w:type="spellStart"/>
          <w:r w:rsidRPr="001816C2">
            <w:rPr>
              <w:rFonts w:eastAsia="Times New Roman"/>
              <w:i/>
              <w:color w:val="939598"/>
              <w:sz w:val="11"/>
              <w:szCs w:val="12"/>
            </w:rPr>
            <w:t>private</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English</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company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by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guarantee</w:t>
          </w:r>
          <w:proofErr w:type="spellEnd"/>
          <w:r w:rsidRPr="001816C2">
            <w:rPr>
              <w:rFonts w:eastAsia="Times New Roman"/>
              <w:i/>
              <w:color w:val="939598"/>
              <w:sz w:val="11"/>
              <w:szCs w:val="12"/>
            </w:rPr>
            <w:t>.</w:t>
          </w:r>
        </w:p>
      </w:tc>
    </w:tr>
  </w:tbl>
  <w:p w14:paraId="3A506F0B" w14:textId="77777777" w:rsidR="008D4DC9" w:rsidRPr="00253499" w:rsidRDefault="008D4DC9" w:rsidP="006E5F47">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1340048883"/>
        <w:docPartObj>
          <w:docPartGallery w:val="Page Numbers (Bottom of Page)"/>
          <w:docPartUnique/>
        </w:docPartObj>
      </w:sdtPr>
      <w:sdtEndPr>
        <w:rPr>
          <w:noProof w:val="0"/>
        </w:rPr>
      </w:sdtEndPr>
      <w:sdtContent>
        <w:r w:rsidRPr="00253499">
          <w:rPr>
            <w:rFonts w:ascii="CAIXA Std Book" w:hAnsi="CAIXA Std Book"/>
            <w:color w:val="2E74B5"/>
            <w:sz w:val="20"/>
            <w:szCs w:val="20"/>
          </w:rPr>
          <w:fldChar w:fldCharType="begin"/>
        </w:r>
        <w:r w:rsidRPr="00253499">
          <w:rPr>
            <w:rFonts w:ascii="CAIXA Std Book" w:hAnsi="CAIXA Std Book"/>
            <w:color w:val="2E74B5"/>
            <w:sz w:val="20"/>
            <w:szCs w:val="20"/>
          </w:rPr>
          <w:instrText>PAGE   \* MERGEFORMAT</w:instrText>
        </w:r>
        <w:r w:rsidRPr="00253499">
          <w:rPr>
            <w:rFonts w:ascii="CAIXA Std Book" w:hAnsi="CAIXA Std Book"/>
            <w:color w:val="2E74B5"/>
            <w:sz w:val="20"/>
            <w:szCs w:val="20"/>
          </w:rPr>
          <w:fldChar w:fldCharType="separate"/>
        </w:r>
        <w:r w:rsidRPr="00253499">
          <w:rPr>
            <w:rFonts w:ascii="CAIXA Std Book" w:hAnsi="CAIXA Std Book"/>
            <w:color w:val="2E74B5"/>
            <w:sz w:val="20"/>
            <w:szCs w:val="20"/>
          </w:rPr>
          <w:t>85</w:t>
        </w:r>
        <w:r w:rsidRPr="00253499">
          <w:rPr>
            <w:rFonts w:ascii="CAIXA Std Book" w:hAnsi="CAIXA Std Book"/>
            <w:color w:val="2E74B5"/>
            <w:sz w:val="20"/>
            <w:szCs w:val="20"/>
          </w:rPr>
          <w:fldChar w:fldCharType="end"/>
        </w:r>
      </w:sdtContent>
    </w:sdt>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6EFC" w14:textId="77777777" w:rsidR="001C71D3" w:rsidRDefault="001C71D3" w:rsidP="000D7FB6">
    <w:pPr>
      <w:pStyle w:val="Rodap"/>
      <w:jc w:val="right"/>
      <w:rPr>
        <w:rFonts w:ascii="Courier New" w:hAnsi="Courier New"/>
      </w:rPr>
    </w:pPr>
  </w:p>
  <w:p w14:paraId="51819303" w14:textId="77777777" w:rsidR="001C71D3" w:rsidRPr="00E35757" w:rsidRDefault="001C71D3" w:rsidP="000D7FB6">
    <w:pPr>
      <w:pStyle w:val="Rodap"/>
      <w:tabs>
        <w:tab w:val="clear" w:pos="4252"/>
        <w:tab w:val="clear" w:pos="8504"/>
        <w:tab w:val="center" w:pos="4820"/>
      </w:tabs>
      <w:jc w:val="right"/>
      <w:rPr>
        <w:rFonts w:ascii="CAIXA Std Book" w:hAnsi="CAIXA Std Book"/>
        <w:noProof/>
        <w:color w:val="2E74B5"/>
        <w:sz w:val="20"/>
        <w:szCs w:val="20"/>
      </w:rPr>
    </w:pPr>
    <w:r>
      <w:rPr>
        <w:noProof/>
        <w:color w:val="2E74B5"/>
        <w:sz w:val="20"/>
        <w:szCs w:val="20"/>
      </w:rPr>
      <w:tab/>
    </w:r>
    <w:sdt>
      <w:sdtPr>
        <w:rPr>
          <w:rFonts w:ascii="CAIXA Std Book" w:hAnsi="CAIXA Std Book"/>
          <w:noProof/>
          <w:color w:val="2E74B5"/>
          <w:sz w:val="20"/>
          <w:szCs w:val="20"/>
        </w:rPr>
        <w:id w:val="-268546480"/>
        <w:docPartObj>
          <w:docPartGallery w:val="Page Numbers (Bottom of Page)"/>
          <w:docPartUnique/>
        </w:docPartObj>
      </w:sdtPr>
      <w:sdtEndPr>
        <w:rPr>
          <w:noProof w:val="0"/>
        </w:rPr>
      </w:sdtEndPr>
      <w:sdtContent>
        <w:r w:rsidRPr="00E35757">
          <w:rPr>
            <w:rFonts w:ascii="CAIXA Std Book" w:hAnsi="CAIXA Std Book"/>
            <w:color w:val="2E74B5"/>
            <w:sz w:val="20"/>
            <w:szCs w:val="20"/>
          </w:rPr>
          <w:fldChar w:fldCharType="begin"/>
        </w:r>
        <w:r w:rsidRPr="00E35757">
          <w:rPr>
            <w:rFonts w:ascii="CAIXA Std Book" w:hAnsi="CAIXA Std Book"/>
            <w:color w:val="2E74B5"/>
            <w:sz w:val="20"/>
            <w:szCs w:val="20"/>
          </w:rPr>
          <w:instrText>PAGE   \* MERGEFORMAT</w:instrText>
        </w:r>
        <w:r w:rsidRPr="00E35757">
          <w:rPr>
            <w:rFonts w:ascii="CAIXA Std Book" w:hAnsi="CAIXA Std Book"/>
            <w:color w:val="2E74B5"/>
            <w:sz w:val="20"/>
            <w:szCs w:val="20"/>
          </w:rPr>
          <w:fldChar w:fldCharType="separate"/>
        </w:r>
        <w:r w:rsidRPr="00E35757">
          <w:rPr>
            <w:rFonts w:ascii="CAIXA Std Book" w:hAnsi="CAIXA Std Book"/>
            <w:color w:val="2E74B5"/>
            <w:sz w:val="20"/>
            <w:szCs w:val="20"/>
          </w:rPr>
          <w:t>82</w:t>
        </w:r>
        <w:r w:rsidRPr="00E35757">
          <w:rPr>
            <w:rFonts w:ascii="CAIXA Std Book" w:hAnsi="CAIXA Std Book"/>
            <w:color w:val="2E74B5"/>
            <w:sz w:val="20"/>
            <w:szCs w:val="20"/>
          </w:rPr>
          <w:fldChar w:fldCharType="end"/>
        </w:r>
      </w:sdtContent>
    </w:sdt>
  </w:p>
  <w:tbl>
    <w:tblPr>
      <w:tblW w:w="8126" w:type="dxa"/>
      <w:tblCellMar>
        <w:left w:w="170" w:type="dxa"/>
      </w:tblCellMar>
      <w:tblLook w:val="04A0" w:firstRow="1" w:lastRow="0" w:firstColumn="1" w:lastColumn="0" w:noHBand="0" w:noVBand="1"/>
    </w:tblPr>
    <w:tblGrid>
      <w:gridCol w:w="4066"/>
      <w:gridCol w:w="4060"/>
    </w:tblGrid>
    <w:tr w:rsidR="00D60A7A" w:rsidRPr="001816C2" w14:paraId="1E87FEB2" w14:textId="77777777" w:rsidTr="00B85732">
      <w:tc>
        <w:tcPr>
          <w:tcW w:w="4066" w:type="dxa"/>
          <w:shd w:val="clear" w:color="auto" w:fill="auto"/>
          <w:vAlign w:val="bottom"/>
        </w:tcPr>
        <w:p w14:paraId="7D5B4184" w14:textId="77777777" w:rsidR="00D60A7A" w:rsidRPr="001816C2" w:rsidRDefault="00D60A7A" w:rsidP="00D60A7A">
          <w:pPr>
            <w:tabs>
              <w:tab w:val="right" w:pos="8505"/>
            </w:tabs>
            <w:ind w:left="-152"/>
            <w:rPr>
              <w:rFonts w:eastAsia="Times New Roman"/>
              <w:color w:val="939598"/>
              <w:sz w:val="11"/>
              <w:szCs w:val="12"/>
            </w:rPr>
          </w:pPr>
          <w:r w:rsidRPr="001816C2">
            <w:rPr>
              <w:rFonts w:eastAsia="Times New Roman"/>
              <w:color w:val="939598"/>
              <w:sz w:val="11"/>
              <w:szCs w:val="12"/>
            </w:rPr>
            <w:t xml:space="preserve">KPMG Auditores Independentes Ltda., uma sociedade simples brasileira, de responsabilidade limitada e firma-membro da organização global KPMG de firmas-membro independentes licenciadas da KPMG </w:t>
          </w:r>
          <w:proofErr w:type="spellStart"/>
          <w:r w:rsidRPr="001816C2">
            <w:rPr>
              <w:rFonts w:eastAsia="Times New Roman"/>
              <w:color w:val="939598"/>
              <w:sz w:val="11"/>
              <w:szCs w:val="12"/>
            </w:rPr>
            <w:t>International</w:t>
          </w:r>
          <w:proofErr w:type="spellEnd"/>
          <w:r w:rsidRPr="001816C2">
            <w:rPr>
              <w:rFonts w:eastAsia="Times New Roman"/>
              <w:color w:val="939598"/>
              <w:sz w:val="11"/>
              <w:szCs w:val="12"/>
            </w:rPr>
            <w:t xml:space="preserve"> </w:t>
          </w:r>
          <w:proofErr w:type="spellStart"/>
          <w:r w:rsidRPr="001816C2">
            <w:rPr>
              <w:rFonts w:eastAsia="Times New Roman"/>
              <w:color w:val="939598"/>
              <w:sz w:val="11"/>
              <w:szCs w:val="12"/>
            </w:rPr>
            <w:t>Limited</w:t>
          </w:r>
          <w:proofErr w:type="spellEnd"/>
          <w:r w:rsidRPr="001816C2">
            <w:rPr>
              <w:rFonts w:eastAsia="Times New Roman"/>
              <w:color w:val="939598"/>
              <w:sz w:val="11"/>
              <w:szCs w:val="12"/>
            </w:rPr>
            <w:t>, uma empresa inglesa privada de responsabilidade limitada.</w:t>
          </w:r>
        </w:p>
      </w:tc>
      <w:tc>
        <w:tcPr>
          <w:tcW w:w="4060" w:type="dxa"/>
          <w:shd w:val="clear" w:color="auto" w:fill="auto"/>
        </w:tcPr>
        <w:p w14:paraId="30ED66A8" w14:textId="77777777" w:rsidR="00D60A7A" w:rsidRPr="001816C2" w:rsidRDefault="00D60A7A" w:rsidP="00D60A7A">
          <w:pPr>
            <w:tabs>
              <w:tab w:val="right" w:pos="8505"/>
            </w:tabs>
            <w:rPr>
              <w:rFonts w:eastAsia="Times New Roman"/>
              <w:i/>
              <w:color w:val="939598"/>
              <w:sz w:val="11"/>
              <w:szCs w:val="12"/>
            </w:rPr>
          </w:pPr>
          <w:r w:rsidRPr="001816C2">
            <w:rPr>
              <w:rFonts w:eastAsia="Times New Roman"/>
              <w:i/>
              <w:color w:val="939598"/>
              <w:sz w:val="11"/>
              <w:szCs w:val="12"/>
            </w:rPr>
            <w:t>KPMG Auditores Independentes</w:t>
          </w:r>
          <w:r w:rsidRPr="001816C2">
            <w:rPr>
              <w:rFonts w:ascii="Univers for KPMG Light" w:eastAsia="Times New Roman" w:hAnsi="Univers for KPMG Light" w:cs="Times New Roman"/>
              <w:sz w:val="12"/>
              <w:szCs w:val="20"/>
            </w:rPr>
            <w:t xml:space="preserve"> </w:t>
          </w:r>
          <w:r w:rsidRPr="001816C2">
            <w:rPr>
              <w:rFonts w:eastAsia="Times New Roman"/>
              <w:i/>
              <w:color w:val="939598"/>
              <w:sz w:val="11"/>
              <w:szCs w:val="12"/>
            </w:rPr>
            <w:t xml:space="preserve">Ltda., a </w:t>
          </w:r>
          <w:proofErr w:type="spellStart"/>
          <w:r w:rsidRPr="001816C2">
            <w:rPr>
              <w:rFonts w:eastAsia="Times New Roman"/>
              <w:i/>
              <w:color w:val="939598"/>
              <w:sz w:val="11"/>
              <w:szCs w:val="12"/>
            </w:rPr>
            <w:t>Brazilian</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liability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company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and</w:t>
          </w:r>
          <w:proofErr w:type="spellEnd"/>
          <w:r w:rsidRPr="001816C2">
            <w:rPr>
              <w:rFonts w:eastAsia="Times New Roman"/>
              <w:i/>
              <w:color w:val="939598"/>
              <w:sz w:val="11"/>
              <w:szCs w:val="12"/>
            </w:rPr>
            <w:t xml:space="preserve"> a </w:t>
          </w:r>
          <w:proofErr w:type="spellStart"/>
          <w:r w:rsidRPr="001816C2">
            <w:rPr>
              <w:rFonts w:eastAsia="Times New Roman"/>
              <w:i/>
              <w:color w:val="939598"/>
              <w:sz w:val="11"/>
              <w:szCs w:val="12"/>
            </w:rPr>
            <w:t>member</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firm</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of</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the</w:t>
          </w:r>
          <w:proofErr w:type="spellEnd"/>
          <w:r w:rsidRPr="001816C2">
            <w:rPr>
              <w:rFonts w:eastAsia="Times New Roman"/>
              <w:i/>
              <w:color w:val="939598"/>
              <w:sz w:val="11"/>
              <w:szCs w:val="12"/>
            </w:rPr>
            <w:t xml:space="preserve"> KPMG global </w:t>
          </w:r>
          <w:proofErr w:type="spellStart"/>
          <w:r w:rsidRPr="001816C2">
            <w:rPr>
              <w:rFonts w:eastAsia="Times New Roman"/>
              <w:i/>
              <w:color w:val="939598"/>
              <w:sz w:val="11"/>
              <w:szCs w:val="12"/>
            </w:rPr>
            <w:t>organization</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of</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independent</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member</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firms</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affiliated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with</w:t>
          </w:r>
          <w:proofErr w:type="spellEnd"/>
          <w:r w:rsidRPr="001816C2">
            <w:rPr>
              <w:rFonts w:eastAsia="Times New Roman"/>
              <w:i/>
              <w:color w:val="939598"/>
              <w:sz w:val="11"/>
              <w:szCs w:val="12"/>
            </w:rPr>
            <w:t xml:space="preserve"> KPMG </w:t>
          </w:r>
          <w:proofErr w:type="spellStart"/>
          <w:r w:rsidRPr="001816C2">
            <w:rPr>
              <w:rFonts w:eastAsia="Times New Roman"/>
              <w:i/>
              <w:color w:val="939598"/>
              <w:sz w:val="11"/>
              <w:szCs w:val="12"/>
            </w:rPr>
            <w:t>International</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a </w:t>
          </w:r>
          <w:proofErr w:type="spellStart"/>
          <w:r w:rsidRPr="001816C2">
            <w:rPr>
              <w:rFonts w:eastAsia="Times New Roman"/>
              <w:i/>
              <w:color w:val="939598"/>
              <w:sz w:val="11"/>
              <w:szCs w:val="12"/>
            </w:rPr>
            <w:t>private</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English</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company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limited</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by</w:t>
          </w:r>
          <w:proofErr w:type="spellEnd"/>
          <w:r w:rsidRPr="001816C2">
            <w:rPr>
              <w:rFonts w:eastAsia="Times New Roman"/>
              <w:i/>
              <w:color w:val="939598"/>
              <w:sz w:val="11"/>
              <w:szCs w:val="12"/>
            </w:rPr>
            <w:t xml:space="preserve"> </w:t>
          </w:r>
          <w:proofErr w:type="spellStart"/>
          <w:r w:rsidRPr="001816C2">
            <w:rPr>
              <w:rFonts w:eastAsia="Times New Roman"/>
              <w:i/>
              <w:color w:val="939598"/>
              <w:sz w:val="11"/>
              <w:szCs w:val="12"/>
            </w:rPr>
            <w:t>guarantee</w:t>
          </w:r>
          <w:proofErr w:type="spellEnd"/>
          <w:r w:rsidRPr="001816C2">
            <w:rPr>
              <w:rFonts w:eastAsia="Times New Roman"/>
              <w:i/>
              <w:color w:val="939598"/>
              <w:sz w:val="11"/>
              <w:szCs w:val="12"/>
            </w:rPr>
            <w:t>.</w:t>
          </w:r>
        </w:p>
      </w:tc>
    </w:tr>
  </w:tbl>
  <w:p w14:paraId="772CAAB1" w14:textId="77777777" w:rsidR="00D60A7A" w:rsidRDefault="00D60A7A" w:rsidP="00D60A7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B0854" w14:textId="77777777" w:rsidR="00BE0E2B" w:rsidRDefault="00BE0E2B">
      <w:r>
        <w:separator/>
      </w:r>
    </w:p>
  </w:footnote>
  <w:footnote w:type="continuationSeparator" w:id="0">
    <w:p w14:paraId="56C3E90D" w14:textId="77777777" w:rsidR="00BE0E2B" w:rsidRDefault="00BE0E2B">
      <w:r>
        <w:continuationSeparator/>
      </w:r>
    </w:p>
  </w:footnote>
  <w:footnote w:type="continuationNotice" w:id="1">
    <w:p w14:paraId="3E9570F9" w14:textId="77777777" w:rsidR="00BE0E2B" w:rsidRDefault="00BE0E2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A8416" w14:textId="55BAD995" w:rsidR="00091962" w:rsidRDefault="00091962">
    <w:pPr>
      <w:pStyle w:val="Cabealho"/>
    </w:pPr>
    <w:r>
      <w:rPr>
        <w:noProof/>
        <w:szCs w:val="24"/>
      </w:rPr>
      <mc:AlternateContent>
        <mc:Choice Requires="wps">
          <w:drawing>
            <wp:anchor distT="0" distB="0" distL="114300" distR="114300" simplePos="0" relativeHeight="251658240" behindDoc="0" locked="0" layoutInCell="1" allowOverlap="1" wp14:anchorId="694CF317" wp14:editId="664ABC7A">
              <wp:simplePos x="0" y="0"/>
              <wp:positionH relativeFrom="margin">
                <wp:posOffset>-576580</wp:posOffset>
              </wp:positionH>
              <wp:positionV relativeFrom="paragraph">
                <wp:posOffset>-310515</wp:posOffset>
              </wp:positionV>
              <wp:extent cx="6515100" cy="370840"/>
              <wp:effectExtent l="0" t="0" r="0" b="0"/>
              <wp:wrapNone/>
              <wp:docPr id="267" name="Caixa de Texto 267"/>
              <wp:cNvGraphicFramePr/>
              <a:graphic xmlns:a="http://schemas.openxmlformats.org/drawingml/2006/main">
                <a:graphicData uri="http://schemas.microsoft.com/office/word/2010/wordprocessingShape">
                  <wps:wsp>
                    <wps:cNvSpPr txBox="1"/>
                    <wps:spPr>
                      <a:xfrm>
                        <a:off x="0" y="0"/>
                        <a:ext cx="6515100" cy="370840"/>
                      </a:xfrm>
                      <a:prstGeom prst="rect">
                        <a:avLst/>
                      </a:prstGeom>
                      <a:noFill/>
                      <a:ln w="6350">
                        <a:noFill/>
                      </a:ln>
                    </wps:spPr>
                    <wps:txbx>
                      <w:txbxContent>
                        <w:p w14:paraId="0791C19A" w14:textId="3C734C81" w:rsidR="00091962" w:rsidRDefault="00091962" w:rsidP="00F40452">
                          <w:pPr>
                            <w:rPr>
                              <w:rFonts w:ascii="Courier New" w:hAnsi="Courier New"/>
                              <w:color w:val="FFFFFF" w:themeColor="background1"/>
                              <w:sz w:val="16"/>
                              <w:szCs w:val="14"/>
                            </w:rPr>
                          </w:pPr>
                          <w:r>
                            <w:rPr>
                              <w:rFonts w:ascii="Courier New" w:hAnsi="Courier New"/>
                              <w:color w:val="FFFFFF" w:themeColor="background1"/>
                              <w:sz w:val="16"/>
                              <w:szCs w:val="14"/>
                            </w:rPr>
                            <w:t xml:space="preserve">NOTAS EXPLICATIVAS ÀS DEMONSTRAÇÕES CONTÁBEIS INDIVIDUAIS E CONSOLIDADAS – 30 DE </w:t>
                          </w:r>
                          <w:proofErr w:type="spellStart"/>
                          <w:r>
                            <w:rPr>
                              <w:rFonts w:ascii="Courier New" w:hAnsi="Courier New"/>
                              <w:color w:val="FFFFFF" w:themeColor="background1"/>
                              <w:sz w:val="16"/>
                              <w:szCs w:val="14"/>
                            </w:rPr>
                            <w:t>DE</w:t>
                          </w:r>
                          <w:proofErr w:type="spellEnd"/>
                          <w:r>
                            <w:rPr>
                              <w:rFonts w:ascii="Courier New" w:hAnsi="Courier New"/>
                              <w:color w:val="FFFFFF" w:themeColor="background1"/>
                              <w:sz w:val="16"/>
                              <w:szCs w:val="14"/>
                            </w:rPr>
                            <w:t xml:space="preserve"> 2021</w:t>
                          </w:r>
                        </w:p>
                        <w:p w14:paraId="7DBCE218" w14:textId="77777777" w:rsidR="00091962" w:rsidRDefault="00091962" w:rsidP="00F40452">
                          <w:pPr>
                            <w:rPr>
                              <w:rFonts w:ascii="Courier New" w:hAnsi="Courier New"/>
                              <w:color w:val="FFFFFF" w:themeColor="background1"/>
                              <w:sz w:val="14"/>
                              <w:szCs w:val="14"/>
                            </w:rPr>
                          </w:pPr>
                          <w:r>
                            <w:rPr>
                              <w:rFonts w:ascii="Courier New" w:hAnsi="Courier New"/>
                              <w:color w:val="FFFFFF" w:themeColor="background1"/>
                              <w:sz w:val="14"/>
                              <w:szCs w:val="14"/>
                            </w:rPr>
                            <w:t>Em milhares de reais, exceto quando indicado de outra forma.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4CF317" id="_x0000_t202" coordsize="21600,21600" o:spt="202" path="m,l,21600r21600,l21600,xe">
              <v:stroke joinstyle="miter"/>
              <v:path gradientshapeok="t" o:connecttype="rect"/>
            </v:shapetype>
            <v:shape id="Caixa de Texto 267" o:spid="_x0000_s1027" type="#_x0000_t202" style="position:absolute;margin-left:-45.4pt;margin-top:-24.45pt;width:513pt;height:29.2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" filled="f" stroked="f" strokeweight=".5pt">
              <v:textbox>
                <w:txbxContent>
                  <w:p w14:paraId="0791C19A" w14:textId="3C734C81" w:rsidR="00091962" w:rsidRDefault="00091962" w:rsidP="00F40452">
                    <w:pPr>
                      <w:rPr>
                        <w:rFonts w:ascii="Courier New" w:hAnsi="Courier New"/>
                        <w:color w:val="FFFFFF" w:themeColor="background1"/>
                        <w:sz w:val="16"/>
                        <w:szCs w:val="14"/>
                      </w:rPr>
                    </w:pPr>
                    <w:r>
                      <w:rPr>
                        <w:rFonts w:ascii="Courier New" w:hAnsi="Courier New"/>
                        <w:color w:val="FFFFFF" w:themeColor="background1"/>
                        <w:sz w:val="16"/>
                        <w:szCs w:val="14"/>
                      </w:rPr>
                      <w:t xml:space="preserve">NOTAS EXPLICATIVAS ÀS DEMONSTRAÇÕES CONTÁBEIS INDIVIDUAIS E CONSOLIDADAS – 30 DE </w:t>
                    </w:r>
                    <w:proofErr w:type="spellStart"/>
                    <w:r>
                      <w:rPr>
                        <w:rFonts w:ascii="Courier New" w:hAnsi="Courier New"/>
                        <w:color w:val="FFFFFF" w:themeColor="background1"/>
                        <w:sz w:val="16"/>
                        <w:szCs w:val="14"/>
                      </w:rPr>
                      <w:t>DE</w:t>
                    </w:r>
                    <w:proofErr w:type="spellEnd"/>
                    <w:r>
                      <w:rPr>
                        <w:rFonts w:ascii="Courier New" w:hAnsi="Courier New"/>
                        <w:color w:val="FFFFFF" w:themeColor="background1"/>
                        <w:sz w:val="16"/>
                        <w:szCs w:val="14"/>
                      </w:rPr>
                      <w:t xml:space="preserve"> 2021</w:t>
                    </w:r>
                  </w:p>
                  <w:p w14:paraId="7DBCE218" w14:textId="77777777" w:rsidR="00091962" w:rsidRDefault="00091962" w:rsidP="00F40452">
                    <w:pPr>
                      <w:rPr>
                        <w:rFonts w:ascii="Courier New" w:hAnsi="Courier New"/>
                        <w:color w:val="FFFFFF" w:themeColor="background1"/>
                        <w:sz w:val="14"/>
                        <w:szCs w:val="14"/>
                      </w:rPr>
                    </w:pPr>
                    <w:r>
                      <w:rPr>
                        <w:rFonts w:ascii="Courier New" w:hAnsi="Courier New"/>
                        <w:color w:val="FFFFFF" w:themeColor="background1"/>
                        <w:sz w:val="14"/>
                        <w:szCs w:val="14"/>
                      </w:rPr>
                      <w:t>Em milhares de reais, exceto quando indicado de outra forma.</w:t>
                    </w:r>
                  </w:p>
                </w:txbxContent>
              </v:textbox>
              <w10:wrap anchorx="margin"/>
            </v:shape>
          </w:pict>
        </mc:Fallback>
      </mc:AlternateContent>
    </w:r>
    <w:r>
      <w:rPr>
        <w:noProof/>
      </w:rPr>
      <w:drawing>
        <wp:anchor distT="0" distB="0" distL="114300" distR="114300" simplePos="0" relativeHeight="251658288" behindDoc="1" locked="0" layoutInCell="1" allowOverlap="1" wp14:anchorId="4C1B3B4B" wp14:editId="758BC66C">
          <wp:simplePos x="0" y="0"/>
          <wp:positionH relativeFrom="rightMargin">
            <wp:posOffset>27676</wp:posOffset>
          </wp:positionH>
          <wp:positionV relativeFrom="paragraph">
            <wp:posOffset>-278130</wp:posOffset>
          </wp:positionV>
          <wp:extent cx="453390" cy="283845"/>
          <wp:effectExtent l="0" t="0" r="3810" b="1905"/>
          <wp:wrapNone/>
          <wp:docPr id="19" name="Imagem 19"/>
          <wp:cNvGraphicFramePr/>
          <a:graphic xmlns:a="http://schemas.openxmlformats.org/drawingml/2006/main">
            <a:graphicData uri="http://schemas.openxmlformats.org/drawingml/2006/picture">
              <pic:pic xmlns:pic="http://schemas.openxmlformats.org/drawingml/2006/picture">
                <pic:nvPicPr>
                  <pic:cNvPr id="417" name="Imagem 417"/>
                  <pic:cNvPicPr/>
                </pic:nvPicPr>
                <pic:blipFill>
                  <a:blip r:embed="rId1">
                    <a:extLst>
                      <a:ext uri="{28A0092B-C50C-407E-A947-70E740481C1C}">
                        <a14:useLocalDpi xmlns:a14="http://schemas.microsoft.com/office/drawing/2010/main" val="0"/>
                      </a:ext>
                    </a:extLst>
                  </a:blip>
                  <a:stretch>
                    <a:fillRect/>
                  </a:stretch>
                </pic:blipFill>
                <pic:spPr>
                  <a:xfrm>
                    <a:off x="0" y="0"/>
                    <a:ext cx="453390" cy="283845"/>
                  </a:xfrm>
                  <a:prstGeom prst="rect">
                    <a:avLst/>
                  </a:prstGeom>
                </pic:spPr>
              </pic:pic>
            </a:graphicData>
          </a:graphic>
        </wp:anchor>
      </w:drawing>
    </w:r>
    <w:r>
      <w:rPr>
        <w:noProof/>
      </w:rPr>
      <w:drawing>
        <wp:anchor distT="0" distB="0" distL="114300" distR="114300" simplePos="0" relativeHeight="251658289" behindDoc="0" locked="0" layoutInCell="1" allowOverlap="1" wp14:anchorId="286C908F" wp14:editId="0E482109">
          <wp:simplePos x="0" y="0"/>
          <wp:positionH relativeFrom="page">
            <wp:align>left</wp:align>
          </wp:positionH>
          <wp:positionV relativeFrom="paragraph">
            <wp:posOffset>-346327</wp:posOffset>
          </wp:positionV>
          <wp:extent cx="7056000" cy="417600"/>
          <wp:effectExtent l="0" t="0" r="0" b="1905"/>
          <wp:wrapSquare wrapText="bothSides"/>
          <wp:docPr id="23" name="Imagem 23"/>
          <wp:cNvGraphicFramePr/>
          <a:graphic xmlns:a="http://schemas.openxmlformats.org/drawingml/2006/main">
            <a:graphicData uri="http://schemas.openxmlformats.org/drawingml/2006/picture">
              <pic:pic xmlns:pic="http://schemas.openxmlformats.org/drawingml/2006/picture">
                <pic:nvPicPr>
                  <pic:cNvPr id="418" name="Imagem 418"/>
                  <pic:cNvPicPr preferRelativeResize="0"/>
                </pic:nvPicPr>
                <pic:blipFill rotWithShape="1">
                  <a:blip r:embed="rId2">
                    <a:extLst>
                      <a:ext uri="{28A0092B-C50C-407E-A947-70E740481C1C}">
                        <a14:useLocalDpi xmlns:a14="http://schemas.microsoft.com/office/drawing/2010/main" val="0"/>
                      </a:ext>
                    </a:extLst>
                  </a:blip>
                  <a:srcRect l="10559" t="1230" r="1484" b="91039"/>
                  <a:stretch/>
                </pic:blipFill>
                <pic:spPr bwMode="auto">
                  <a:xfrm>
                    <a:off x="0" y="0"/>
                    <a:ext cx="7056000" cy="417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96DFA" w14:textId="359CEF9C" w:rsidR="00335D13" w:rsidRDefault="002E3959" w:rsidP="006D3F99">
    <w:r>
      <w:rPr>
        <w:noProof/>
      </w:rPr>
      <mc:AlternateContent>
        <mc:Choice Requires="wps">
          <w:drawing>
            <wp:anchor distT="0" distB="0" distL="114300" distR="114300" simplePos="0" relativeHeight="251658258" behindDoc="0" locked="0" layoutInCell="1" allowOverlap="1" wp14:anchorId="2C6CC9AB" wp14:editId="153A63E9">
              <wp:simplePos x="0" y="0"/>
              <wp:positionH relativeFrom="margin">
                <wp:posOffset>-679576</wp:posOffset>
              </wp:positionH>
              <wp:positionV relativeFrom="paragraph">
                <wp:posOffset>-557983</wp:posOffset>
              </wp:positionV>
              <wp:extent cx="6488264" cy="476250"/>
              <wp:effectExtent l="0" t="0" r="0" b="0"/>
              <wp:wrapNone/>
              <wp:docPr id="6" name="Caixa de Texto 6"/>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0A952383" w14:textId="79D9A57A" w:rsidR="00335D13" w:rsidRPr="00176BC9" w:rsidRDefault="00335D13"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DEMONSTRAÇÕES CONTÁBEIS INDIVIDUAIS E CONSOLIDADAS</w:t>
                          </w:r>
                          <w:r w:rsidR="00FF4346" w:rsidRPr="00176BC9">
                            <w:rPr>
                              <w:rFonts w:ascii="CAIXA Std Book" w:hAnsi="CAIXA Std Book"/>
                              <w:color w:val="FFFFFF" w:themeColor="background1"/>
                              <w:sz w:val="16"/>
                              <w:szCs w:val="14"/>
                            </w:rPr>
                            <w:t xml:space="preserve"> INTERMEDIÁRIAS CONDENSADAS</w:t>
                          </w:r>
                          <w:r w:rsidRPr="00176BC9">
                            <w:rPr>
                              <w:rFonts w:ascii="CAIXA Std Book" w:hAnsi="CAIXA Std Book"/>
                              <w:color w:val="FFFFFF" w:themeColor="background1"/>
                              <w:sz w:val="16"/>
                              <w:szCs w:val="14"/>
                            </w:rPr>
                            <w:t xml:space="preserve"> </w:t>
                          </w:r>
                        </w:p>
                        <w:p w14:paraId="16800FAA" w14:textId="4BB5B2FB" w:rsidR="00335D13" w:rsidRPr="00176BC9" w:rsidRDefault="00335D13"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w:t>
                          </w:r>
                          <w:r w:rsidR="009822FF" w:rsidRPr="00176BC9">
                            <w:rPr>
                              <w:rFonts w:ascii="CAIXA Std Book" w:hAnsi="CAIXA Std Book"/>
                              <w:color w:val="FFFFFF" w:themeColor="background1"/>
                              <w:sz w:val="16"/>
                              <w:szCs w:val="14"/>
                            </w:rPr>
                            <w:t xml:space="preserve">1 DE </w:t>
                          </w:r>
                          <w:r w:rsidR="00FF4346" w:rsidRPr="00176BC9">
                            <w:rPr>
                              <w:rFonts w:ascii="CAIXA Std Book" w:hAnsi="CAIXA Std Book"/>
                              <w:color w:val="FFFFFF" w:themeColor="background1"/>
                              <w:sz w:val="16"/>
                              <w:szCs w:val="14"/>
                            </w:rPr>
                            <w:t>MARÇO</w:t>
                          </w:r>
                          <w:r w:rsidRPr="00176BC9">
                            <w:rPr>
                              <w:rFonts w:ascii="CAIXA Std Book" w:hAnsi="CAIXA Std Book"/>
                              <w:color w:val="FFFFFF" w:themeColor="background1"/>
                              <w:sz w:val="16"/>
                              <w:szCs w:val="14"/>
                            </w:rPr>
                            <w:t xml:space="preserve"> DE 202</w:t>
                          </w:r>
                          <w:r w:rsidR="00FF4346" w:rsidRPr="00176BC9">
                            <w:rPr>
                              <w:rFonts w:ascii="CAIXA Std Book" w:hAnsi="CAIXA Std Book"/>
                              <w:color w:val="FFFFFF" w:themeColor="background1"/>
                              <w:sz w:val="16"/>
                              <w:szCs w:val="14"/>
                            </w:rPr>
                            <w:t>4</w:t>
                          </w:r>
                        </w:p>
                        <w:p w14:paraId="49E5B3A4" w14:textId="77777777" w:rsidR="00335D13" w:rsidRPr="00176BC9" w:rsidRDefault="00335D13"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6CC9AB" id="_x0000_t202" coordsize="21600,21600" o:spt="202" path="m,l,21600r21600,l21600,xe">
              <v:stroke joinstyle="miter"/>
              <v:path gradientshapeok="t" o:connecttype="rect"/>
            </v:shapetype>
            <v:shape id="Caixa de Texto 6" o:spid="_x0000_s1029" type="#_x0000_t202" style="position:absolute;margin-left:-53.5pt;margin-top:-43.95pt;width:510.9pt;height:37.5pt;z-index:25165825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" filled="f" stroked="f" strokeweight=".5pt">
              <v:textbox>
                <w:txbxContent>
                  <w:p w14:paraId="0A952383" w14:textId="79D9A57A" w:rsidR="00335D13" w:rsidRPr="00176BC9" w:rsidRDefault="00335D13"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DEMONSTRAÇÕES CONTÁBEIS INDIVIDUAIS E CONSOLIDADAS</w:t>
                    </w:r>
                    <w:r w:rsidR="00FF4346" w:rsidRPr="00176BC9">
                      <w:rPr>
                        <w:rFonts w:ascii="CAIXA Std Book" w:hAnsi="CAIXA Std Book"/>
                        <w:color w:val="FFFFFF" w:themeColor="background1"/>
                        <w:sz w:val="16"/>
                        <w:szCs w:val="14"/>
                      </w:rPr>
                      <w:t xml:space="preserve"> INTERMEDIÁRIAS CONDENSADAS</w:t>
                    </w:r>
                    <w:r w:rsidRPr="00176BC9">
                      <w:rPr>
                        <w:rFonts w:ascii="CAIXA Std Book" w:hAnsi="CAIXA Std Book"/>
                        <w:color w:val="FFFFFF" w:themeColor="background1"/>
                        <w:sz w:val="16"/>
                        <w:szCs w:val="14"/>
                      </w:rPr>
                      <w:t xml:space="preserve"> </w:t>
                    </w:r>
                  </w:p>
                  <w:p w14:paraId="16800FAA" w14:textId="4BB5B2FB" w:rsidR="00335D13" w:rsidRPr="00176BC9" w:rsidRDefault="00335D13"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w:t>
                    </w:r>
                    <w:r w:rsidR="009822FF" w:rsidRPr="00176BC9">
                      <w:rPr>
                        <w:rFonts w:ascii="CAIXA Std Book" w:hAnsi="CAIXA Std Book"/>
                        <w:color w:val="FFFFFF" w:themeColor="background1"/>
                        <w:sz w:val="16"/>
                        <w:szCs w:val="14"/>
                      </w:rPr>
                      <w:t xml:space="preserve">1 DE </w:t>
                    </w:r>
                    <w:r w:rsidR="00FF4346" w:rsidRPr="00176BC9">
                      <w:rPr>
                        <w:rFonts w:ascii="CAIXA Std Book" w:hAnsi="CAIXA Std Book"/>
                        <w:color w:val="FFFFFF" w:themeColor="background1"/>
                        <w:sz w:val="16"/>
                        <w:szCs w:val="14"/>
                      </w:rPr>
                      <w:t>MARÇO</w:t>
                    </w:r>
                    <w:r w:rsidRPr="00176BC9">
                      <w:rPr>
                        <w:rFonts w:ascii="CAIXA Std Book" w:hAnsi="CAIXA Std Book"/>
                        <w:color w:val="FFFFFF" w:themeColor="background1"/>
                        <w:sz w:val="16"/>
                        <w:szCs w:val="14"/>
                      </w:rPr>
                      <w:t xml:space="preserve"> DE 202</w:t>
                    </w:r>
                    <w:r w:rsidR="00FF4346" w:rsidRPr="00176BC9">
                      <w:rPr>
                        <w:rFonts w:ascii="CAIXA Std Book" w:hAnsi="CAIXA Std Book"/>
                        <w:color w:val="FFFFFF" w:themeColor="background1"/>
                        <w:sz w:val="16"/>
                        <w:szCs w:val="14"/>
                      </w:rPr>
                      <w:t>4</w:t>
                    </w:r>
                  </w:p>
                  <w:p w14:paraId="49E5B3A4" w14:textId="77777777" w:rsidR="00335D13" w:rsidRPr="00176BC9" w:rsidRDefault="00335D13"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v:textbox>
              <w10:wrap anchorx="margin"/>
            </v:shape>
          </w:pict>
        </mc:Fallback>
      </mc:AlternateContent>
    </w:r>
    <w:r>
      <w:rPr>
        <w:noProof/>
      </w:rPr>
      <w:drawing>
        <wp:anchor distT="0" distB="0" distL="114300" distR="114300" simplePos="0" relativeHeight="251658291" behindDoc="1" locked="0" layoutInCell="1" allowOverlap="1" wp14:anchorId="527E2840" wp14:editId="647C2F1B">
          <wp:simplePos x="0" y="0"/>
          <wp:positionH relativeFrom="column">
            <wp:posOffset>-927100</wp:posOffset>
          </wp:positionH>
          <wp:positionV relativeFrom="paragraph">
            <wp:posOffset>-719581</wp:posOffset>
          </wp:positionV>
          <wp:extent cx="7577455" cy="753110"/>
          <wp:effectExtent l="0" t="0" r="4445" b="8890"/>
          <wp:wrapNone/>
          <wp:docPr id="27"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44865" w14:textId="7766C29B" w:rsidR="00897B00" w:rsidRDefault="00897B00" w:rsidP="006D3F99">
    <w:r>
      <w:rPr>
        <w:noProof/>
      </w:rPr>
      <w:drawing>
        <wp:anchor distT="0" distB="0" distL="114300" distR="114300" simplePos="0" relativeHeight="251692092" behindDoc="1" locked="0" layoutInCell="1" allowOverlap="1" wp14:anchorId="276890FB" wp14:editId="5A48FF12">
          <wp:simplePos x="0" y="0"/>
          <wp:positionH relativeFrom="column">
            <wp:posOffset>-592143</wp:posOffset>
          </wp:positionH>
          <wp:positionV relativeFrom="paragraph">
            <wp:posOffset>-720090</wp:posOffset>
          </wp:positionV>
          <wp:extent cx="10834777" cy="753110"/>
          <wp:effectExtent l="0" t="0" r="5080" b="8890"/>
          <wp:wrapNone/>
          <wp:docPr id="32" name="Image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43291" cy="75370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1068" behindDoc="0" locked="0" layoutInCell="1" allowOverlap="1" wp14:anchorId="4F9A36D0" wp14:editId="53812EE4">
              <wp:simplePos x="0" y="0"/>
              <wp:positionH relativeFrom="margin">
                <wp:posOffset>-274008</wp:posOffset>
              </wp:positionH>
              <wp:positionV relativeFrom="paragraph">
                <wp:posOffset>-557530</wp:posOffset>
              </wp:positionV>
              <wp:extent cx="6488264" cy="476250"/>
              <wp:effectExtent l="0" t="0" r="0" b="0"/>
              <wp:wrapNone/>
              <wp:docPr id="54" name="Caixa de Texto 54"/>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3AB507BA"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DEMONSTRAÇÕES CONTÁBEIS INDIVIDUAIS E CONSOLIDADAS INTERMEDIÁRIAS CONDENSADAS </w:t>
                          </w:r>
                        </w:p>
                        <w:p w14:paraId="4DF62BAF"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77F6AC7E" w14:textId="77777777" w:rsidR="00897B00" w:rsidRPr="00176BC9" w:rsidRDefault="00897B00"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9A36D0" id="_x0000_t202" coordsize="21600,21600" o:spt="202" path="m,l,21600r21600,l21600,xe">
              <v:stroke joinstyle="miter"/>
              <v:path gradientshapeok="t" o:connecttype="rect"/>
            </v:shapetype>
            <v:shape id="Caixa de Texto 54" o:spid="_x0000_s1030" type="#_x0000_t202" style="position:absolute;margin-left:-21.6pt;margin-top:-43.9pt;width:510.9pt;height:37.5pt;z-index:2516910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pbLGgIAADMEAAAOAAAAZHJzL2Uyb0RvYy54bWysU01vGyEQvVfqf0Dc67WdjeOu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" filled="f" stroked="f" strokeweight=".5pt">
              <v:textbox>
                <w:txbxContent>
                  <w:p w14:paraId="3AB507BA"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DEMONSTRAÇÕES CONTÁBEIS INDIVIDUAIS E CONSOLIDADAS INTERMEDIÁRIAS CONDENSADAS </w:t>
                    </w:r>
                  </w:p>
                  <w:p w14:paraId="4DF62BAF"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77F6AC7E" w14:textId="77777777" w:rsidR="00897B00" w:rsidRPr="00176BC9" w:rsidRDefault="00897B00"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v:textbox>
              <w10:wrap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BEE32" w14:textId="77777777" w:rsidR="00897B00" w:rsidRDefault="00897B00" w:rsidP="006D3F99">
    <w:r>
      <w:rPr>
        <w:noProof/>
      </w:rPr>
      <mc:AlternateContent>
        <mc:Choice Requires="wps">
          <w:drawing>
            <wp:anchor distT="0" distB="0" distL="114300" distR="114300" simplePos="0" relativeHeight="251696188" behindDoc="0" locked="0" layoutInCell="1" allowOverlap="1" wp14:anchorId="726DB340" wp14:editId="75829C34">
              <wp:simplePos x="0" y="0"/>
              <wp:positionH relativeFrom="margin">
                <wp:posOffset>-679576</wp:posOffset>
              </wp:positionH>
              <wp:positionV relativeFrom="paragraph">
                <wp:posOffset>-557983</wp:posOffset>
              </wp:positionV>
              <wp:extent cx="6488264" cy="476250"/>
              <wp:effectExtent l="0" t="0" r="0" b="0"/>
              <wp:wrapNone/>
              <wp:docPr id="450" name="Caixa de Texto 450"/>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0AE0EAB1"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DEMONSTRAÇÕES CONTÁBEIS INDIVIDUAIS E CONSOLIDADAS INTERMEDIÁRIAS CONDENSADAS </w:t>
                          </w:r>
                        </w:p>
                        <w:p w14:paraId="71982FDC"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76710786" w14:textId="77777777" w:rsidR="00897B00" w:rsidRPr="00176BC9" w:rsidRDefault="00897B00"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6DB340" id="_x0000_t202" coordsize="21600,21600" o:spt="202" path="m,l,21600r21600,l21600,xe">
              <v:stroke joinstyle="miter"/>
              <v:path gradientshapeok="t" o:connecttype="rect"/>
            </v:shapetype>
            <v:shape id="Caixa de Texto 450" o:spid="_x0000_s1031" type="#_x0000_t202" style="position:absolute;margin-left:-53.5pt;margin-top:-43.95pt;width:510.9pt;height:37.5pt;z-index:2516961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uMGgIAADM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" filled="f" stroked="f" strokeweight=".5pt">
              <v:textbox>
                <w:txbxContent>
                  <w:p w14:paraId="0AE0EAB1"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DEMONSTRAÇÕES CONTÁBEIS INDIVIDUAIS E CONSOLIDADAS INTERMEDIÁRIAS CONDENSADAS </w:t>
                    </w:r>
                  </w:p>
                  <w:p w14:paraId="71982FDC" w14:textId="77777777" w:rsidR="00897B00" w:rsidRPr="00176BC9" w:rsidRDefault="00897B00"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76710786" w14:textId="77777777" w:rsidR="00897B00" w:rsidRPr="00176BC9" w:rsidRDefault="00897B00"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v:textbox>
              <w10:wrap anchorx="margin"/>
            </v:shape>
          </w:pict>
        </mc:Fallback>
      </mc:AlternateContent>
    </w:r>
    <w:r>
      <w:rPr>
        <w:noProof/>
      </w:rPr>
      <w:drawing>
        <wp:anchor distT="0" distB="0" distL="114300" distR="114300" simplePos="0" relativeHeight="251697212" behindDoc="1" locked="0" layoutInCell="1" allowOverlap="1" wp14:anchorId="2EAF5DC5" wp14:editId="18AD112E">
          <wp:simplePos x="0" y="0"/>
          <wp:positionH relativeFrom="column">
            <wp:posOffset>-927100</wp:posOffset>
          </wp:positionH>
          <wp:positionV relativeFrom="paragraph">
            <wp:posOffset>-719581</wp:posOffset>
          </wp:positionV>
          <wp:extent cx="7577455" cy="753110"/>
          <wp:effectExtent l="0" t="0" r="4445" b="8890"/>
          <wp:wrapNone/>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53266" w14:textId="77777777" w:rsidR="006E12F5" w:rsidRDefault="006E12F5" w:rsidP="006D3F99">
    <w:r>
      <w:rPr>
        <w:noProof/>
      </w:rPr>
      <mc:AlternateContent>
        <mc:Choice Requires="wps">
          <w:drawing>
            <wp:anchor distT="0" distB="0" distL="114300" distR="114300" simplePos="0" relativeHeight="251679804" behindDoc="0" locked="0" layoutInCell="1" allowOverlap="1" wp14:anchorId="445B75F5" wp14:editId="03C90F00">
              <wp:simplePos x="0" y="0"/>
              <wp:positionH relativeFrom="margin">
                <wp:posOffset>-679576</wp:posOffset>
              </wp:positionH>
              <wp:positionV relativeFrom="paragraph">
                <wp:posOffset>-557983</wp:posOffset>
              </wp:positionV>
              <wp:extent cx="6488264" cy="476250"/>
              <wp:effectExtent l="0" t="0" r="0" b="0"/>
              <wp:wrapNone/>
              <wp:docPr id="8" name="Caixa de Texto 8"/>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6D156B53" w14:textId="77777777" w:rsidR="006E12F5" w:rsidRPr="00176BC9" w:rsidRDefault="006E12F5"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69C33C05" w14:textId="77777777" w:rsidR="006E12F5" w:rsidRPr="00176BC9" w:rsidRDefault="006E12F5"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1E2892D" w14:textId="77777777" w:rsidR="006E12F5" w:rsidRPr="00176BC9" w:rsidRDefault="006E12F5"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5B75F5" id="_x0000_t202" coordsize="21600,21600" o:spt="202" path="m,l,21600r21600,l21600,xe">
              <v:stroke joinstyle="miter"/>
              <v:path gradientshapeok="t" o:connecttype="rect"/>
            </v:shapetype>
            <v:shape id="Caixa de Texto 8" o:spid="_x0000_s1032" type="#_x0000_t202" style="position:absolute;margin-left:-53.5pt;margin-top:-43.95pt;width:510.9pt;height:37.5pt;z-index:2516798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" filled="f" stroked="f" strokeweight=".5pt">
              <v:textbox>
                <w:txbxContent>
                  <w:p w14:paraId="6D156B53" w14:textId="77777777" w:rsidR="006E12F5" w:rsidRPr="00176BC9" w:rsidRDefault="006E12F5"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69C33C05" w14:textId="77777777" w:rsidR="006E12F5" w:rsidRPr="00176BC9" w:rsidRDefault="006E12F5" w:rsidP="00335D13">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1E2892D" w14:textId="77777777" w:rsidR="006E12F5" w:rsidRPr="00176BC9" w:rsidRDefault="006E12F5" w:rsidP="00335D13">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txbxContent>
              </v:textbox>
              <w10:wrap anchorx="margin"/>
            </v:shape>
          </w:pict>
        </mc:Fallback>
      </mc:AlternateContent>
    </w:r>
    <w:r>
      <w:rPr>
        <w:noProof/>
      </w:rPr>
      <w:drawing>
        <wp:anchor distT="0" distB="0" distL="114300" distR="114300" simplePos="0" relativeHeight="251680828" behindDoc="1" locked="0" layoutInCell="1" allowOverlap="1" wp14:anchorId="5351220E" wp14:editId="6A944F9F">
          <wp:simplePos x="0" y="0"/>
          <wp:positionH relativeFrom="column">
            <wp:posOffset>-927100</wp:posOffset>
          </wp:positionH>
          <wp:positionV relativeFrom="paragraph">
            <wp:posOffset>-719581</wp:posOffset>
          </wp:positionV>
          <wp:extent cx="7577455" cy="753110"/>
          <wp:effectExtent l="0" t="0" r="4445" b="8890"/>
          <wp:wrapNone/>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44B46" w14:textId="4EB75DD2" w:rsidR="00091962" w:rsidRPr="00485B34" w:rsidRDefault="00FD696E" w:rsidP="00485B34">
    <w:pPr>
      <w:pStyle w:val="Cabealho"/>
    </w:pPr>
    <w:r>
      <w:rPr>
        <w:noProof/>
        <w:szCs w:val="24"/>
      </w:rPr>
      <mc:AlternateContent>
        <mc:Choice Requires="wps">
          <w:drawing>
            <wp:anchor distT="0" distB="0" distL="114300" distR="114300" simplePos="0" relativeHeight="251658255" behindDoc="0" locked="0" layoutInCell="1" allowOverlap="1" wp14:anchorId="7429F518" wp14:editId="41F7134A">
              <wp:simplePos x="0" y="0"/>
              <wp:positionH relativeFrom="margin">
                <wp:posOffset>-137436</wp:posOffset>
              </wp:positionH>
              <wp:positionV relativeFrom="paragraph">
                <wp:posOffset>-568960</wp:posOffset>
              </wp:positionV>
              <wp:extent cx="6488264" cy="476250"/>
              <wp:effectExtent l="0" t="0" r="0" b="0"/>
              <wp:wrapNone/>
              <wp:docPr id="5" name="Caixa de Texto 5"/>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54D4E673" w14:textId="77777777" w:rsidR="009F5E54" w:rsidRPr="00176BC9" w:rsidRDefault="009F5E54" w:rsidP="009F5E54">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6999EAD" w14:textId="77777777" w:rsidR="009F5E54" w:rsidRPr="00176BC9" w:rsidRDefault="009F5E54" w:rsidP="009F5E54">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E68FE9B" w14:textId="77777777" w:rsidR="009F5E54" w:rsidRPr="00176BC9" w:rsidRDefault="009F5E54" w:rsidP="009F5E54">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BBC427B" w14:textId="6D544480" w:rsidR="00485B34" w:rsidRDefault="00485B34" w:rsidP="00485B34">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29F518" id="_x0000_t202" coordsize="21600,21600" o:spt="202" path="m,l,21600r21600,l21600,xe">
              <v:stroke joinstyle="miter"/>
              <v:path gradientshapeok="t" o:connecttype="rect"/>
            </v:shapetype>
            <v:shape id="Caixa de Texto 5" o:spid="_x0000_s1033" type="#_x0000_t202" style="position:absolute;margin-left:-10.8pt;margin-top:-44.8pt;width:510.9pt;height:37.5pt;z-index:25165825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QX9GgIAADM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" filled="f" stroked="f" strokeweight=".5pt">
              <v:textbox>
                <w:txbxContent>
                  <w:p w14:paraId="54D4E673" w14:textId="77777777" w:rsidR="009F5E54" w:rsidRPr="00176BC9" w:rsidRDefault="009F5E54" w:rsidP="009F5E54">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6999EAD" w14:textId="77777777" w:rsidR="009F5E54" w:rsidRPr="00176BC9" w:rsidRDefault="009F5E54" w:rsidP="009F5E54">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E68FE9B" w14:textId="77777777" w:rsidR="009F5E54" w:rsidRPr="00176BC9" w:rsidRDefault="009F5E54" w:rsidP="009F5E54">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BBC427B" w14:textId="6D544480" w:rsidR="00485B34" w:rsidRDefault="00485B34" w:rsidP="00485B34">
                    <w:pPr>
                      <w:rPr>
                        <w:rFonts w:ascii="Futura Lt BT" w:hAnsi="Futura Lt BT"/>
                        <w:color w:val="FFFFFF" w:themeColor="background1"/>
                        <w:sz w:val="14"/>
                        <w:szCs w:val="14"/>
                      </w:rPr>
                    </w:pPr>
                  </w:p>
                </w:txbxContent>
              </v:textbox>
              <w10:wrap anchorx="margin"/>
            </v:shape>
          </w:pict>
        </mc:Fallback>
      </mc:AlternateContent>
    </w:r>
    <w:r w:rsidR="00FF2505">
      <w:rPr>
        <w:noProof/>
      </w:rPr>
      <w:drawing>
        <wp:anchor distT="0" distB="0" distL="114300" distR="114300" simplePos="0" relativeHeight="251658265" behindDoc="1" locked="0" layoutInCell="1" allowOverlap="1" wp14:anchorId="5F2CB4D4" wp14:editId="3BFCCD7B">
          <wp:simplePos x="0" y="0"/>
          <wp:positionH relativeFrom="column">
            <wp:posOffset>-576599</wp:posOffset>
          </wp:positionH>
          <wp:positionV relativeFrom="paragraph">
            <wp:posOffset>-720089</wp:posOffset>
          </wp:positionV>
          <wp:extent cx="10727690" cy="778598"/>
          <wp:effectExtent l="0" t="0" r="0" b="2540"/>
          <wp:wrapNone/>
          <wp:docPr id="55" name="Image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70035" cy="781671"/>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99DF" w14:textId="17BEFAF1" w:rsidR="00C97D7C" w:rsidRDefault="00C97D7C" w:rsidP="007B793D">
    <w:pPr>
      <w:pStyle w:val="Cabealho"/>
    </w:pPr>
    <w:r>
      <w:rPr>
        <w:noProof/>
      </w:rPr>
      <w:drawing>
        <wp:anchor distT="0" distB="0" distL="114300" distR="114300" simplePos="0" relativeHeight="251674684" behindDoc="1" locked="0" layoutInCell="1" allowOverlap="1" wp14:anchorId="4127C6BF" wp14:editId="75555CB2">
          <wp:simplePos x="0" y="0"/>
          <wp:positionH relativeFrom="column">
            <wp:posOffset>-580142</wp:posOffset>
          </wp:positionH>
          <wp:positionV relativeFrom="paragraph">
            <wp:posOffset>-759847</wp:posOffset>
          </wp:positionV>
          <wp:extent cx="10742213" cy="776584"/>
          <wp:effectExtent l="0" t="0" r="0" b="5080"/>
          <wp:wrapNone/>
          <wp:docPr id="452" name="Imagem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83036" cy="79399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mc:AlternateContent>
        <mc:Choice Requires="wps">
          <w:drawing>
            <wp:anchor distT="0" distB="0" distL="114300" distR="114300" simplePos="0" relativeHeight="251675708" behindDoc="0" locked="0" layoutInCell="1" allowOverlap="1" wp14:anchorId="5D7710EB" wp14:editId="2C65D6E2">
              <wp:simplePos x="0" y="0"/>
              <wp:positionH relativeFrom="margin">
                <wp:posOffset>-375754</wp:posOffset>
              </wp:positionH>
              <wp:positionV relativeFrom="paragraph">
                <wp:posOffset>-568960</wp:posOffset>
              </wp:positionV>
              <wp:extent cx="6488264" cy="476250"/>
              <wp:effectExtent l="0" t="0" r="0" b="0"/>
              <wp:wrapNone/>
              <wp:docPr id="20" name="Caixa de Texto 20"/>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178D897A" w14:textId="77777777" w:rsidR="00C97D7C" w:rsidRPr="00176BC9" w:rsidRDefault="00C97D7C" w:rsidP="007B793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BDFDB52" w14:textId="77777777" w:rsidR="00C97D7C" w:rsidRPr="00176BC9" w:rsidRDefault="00C97D7C" w:rsidP="007B793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5EDB600" w14:textId="77777777" w:rsidR="00C97D7C" w:rsidRPr="00176BC9" w:rsidRDefault="00C97D7C" w:rsidP="007B793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B6BF657" w14:textId="77777777" w:rsidR="00C97D7C" w:rsidRDefault="00C97D7C" w:rsidP="007B793D">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7710EB" id="_x0000_t202" coordsize="21600,21600" o:spt="202" path="m,l,21600r21600,l21600,xe">
              <v:stroke joinstyle="miter"/>
              <v:path gradientshapeok="t" o:connecttype="rect"/>
            </v:shapetype>
            <v:shape id="Caixa de Texto 20" o:spid="_x0000_s1034" type="#_x0000_t202" style="position:absolute;margin-left:-29.6pt;margin-top:-44.8pt;width:510.9pt;height:37.5pt;z-index:2516757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" filled="f" stroked="f" strokeweight=".5pt">
              <v:textbox>
                <w:txbxContent>
                  <w:p w14:paraId="178D897A" w14:textId="77777777" w:rsidR="00C97D7C" w:rsidRPr="00176BC9" w:rsidRDefault="00C97D7C" w:rsidP="007B793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BDFDB52" w14:textId="77777777" w:rsidR="00C97D7C" w:rsidRPr="00176BC9" w:rsidRDefault="00C97D7C" w:rsidP="007B793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5EDB600" w14:textId="77777777" w:rsidR="00C97D7C" w:rsidRPr="00176BC9" w:rsidRDefault="00C97D7C" w:rsidP="007B793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B6BF657" w14:textId="77777777" w:rsidR="00C97D7C" w:rsidRDefault="00C97D7C" w:rsidP="007B793D">
                    <w:pPr>
                      <w:rPr>
                        <w:rFonts w:ascii="Futura Lt BT" w:hAnsi="Futura Lt BT"/>
                        <w:color w:val="FFFFFF" w:themeColor="background1"/>
                        <w:sz w:val="14"/>
                        <w:szCs w:val="14"/>
                      </w:rPr>
                    </w:pPr>
                  </w:p>
                </w:txbxContent>
              </v:textbox>
              <w10:wrap anchorx="margin"/>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31A64" w14:textId="3849096C" w:rsidR="0097749C" w:rsidRPr="0097749C" w:rsidRDefault="0097749C" w:rsidP="0097749C">
    <w:pPr>
      <w:pStyle w:val="Cabealho"/>
    </w:pPr>
    <w:r>
      <w:rPr>
        <w:noProof/>
      </w:rPr>
      <w:drawing>
        <wp:anchor distT="0" distB="0" distL="114300" distR="114300" simplePos="0" relativeHeight="251658299" behindDoc="1" locked="0" layoutInCell="1" allowOverlap="1" wp14:anchorId="59AE2FE2" wp14:editId="0A6FDC8D">
          <wp:simplePos x="0" y="0"/>
          <wp:positionH relativeFrom="column">
            <wp:posOffset>-924181</wp:posOffset>
          </wp:positionH>
          <wp:positionV relativeFrom="paragraph">
            <wp:posOffset>-726028</wp:posOffset>
          </wp:positionV>
          <wp:extent cx="7570520" cy="777875"/>
          <wp:effectExtent l="0" t="0" r="0" b="3175"/>
          <wp:wrapNone/>
          <wp:docPr id="458" name="Imagem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2921" cy="77914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mc:AlternateContent>
        <mc:Choice Requires="wps">
          <w:drawing>
            <wp:anchor distT="0" distB="0" distL="114300" distR="114300" simplePos="0" relativeHeight="251658298" behindDoc="0" locked="0" layoutInCell="1" allowOverlap="1" wp14:anchorId="006CD2D6" wp14:editId="69E10566">
              <wp:simplePos x="0" y="0"/>
              <wp:positionH relativeFrom="margin">
                <wp:posOffset>-633277</wp:posOffset>
              </wp:positionH>
              <wp:positionV relativeFrom="paragraph">
                <wp:posOffset>-568960</wp:posOffset>
              </wp:positionV>
              <wp:extent cx="6488264" cy="476250"/>
              <wp:effectExtent l="0" t="0" r="0" b="0"/>
              <wp:wrapNone/>
              <wp:docPr id="39" name="Caixa de Texto 39"/>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5A5D1404" w14:textId="77777777" w:rsidR="0097749C" w:rsidRPr="00176BC9" w:rsidRDefault="0097749C" w:rsidP="0097749C">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FD5B199" w14:textId="77777777" w:rsidR="0097749C" w:rsidRPr="00176BC9" w:rsidRDefault="0097749C" w:rsidP="0097749C">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40B13C0" w14:textId="77777777" w:rsidR="0097749C" w:rsidRPr="00176BC9" w:rsidRDefault="0097749C" w:rsidP="0097749C">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8016612" w14:textId="77777777" w:rsidR="0097749C" w:rsidRDefault="0097749C" w:rsidP="0097749C">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CD2D6" id="_x0000_t202" coordsize="21600,21600" o:spt="202" path="m,l,21600r21600,l21600,xe">
              <v:stroke joinstyle="miter"/>
              <v:path gradientshapeok="t" o:connecttype="rect"/>
            </v:shapetype>
            <v:shape id="Caixa de Texto 39" o:spid="_x0000_s1035" type="#_x0000_t202" style="position:absolute;margin-left:-49.85pt;margin-top:-44.8pt;width:510.9pt;height:37.5pt;z-index:25165829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9zGgIAADM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" filled="f" stroked="f" strokeweight=".5pt">
              <v:textbox>
                <w:txbxContent>
                  <w:p w14:paraId="5A5D1404" w14:textId="77777777" w:rsidR="0097749C" w:rsidRPr="00176BC9" w:rsidRDefault="0097749C" w:rsidP="0097749C">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FD5B199" w14:textId="77777777" w:rsidR="0097749C" w:rsidRPr="00176BC9" w:rsidRDefault="0097749C" w:rsidP="0097749C">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40B13C0" w14:textId="77777777" w:rsidR="0097749C" w:rsidRPr="00176BC9" w:rsidRDefault="0097749C" w:rsidP="0097749C">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8016612" w14:textId="77777777" w:rsidR="0097749C" w:rsidRDefault="0097749C" w:rsidP="0097749C">
                    <w:pPr>
                      <w:rPr>
                        <w:rFonts w:ascii="Futura Lt BT" w:hAnsi="Futura Lt BT"/>
                        <w:color w:val="FFFFFF" w:themeColor="background1"/>
                        <w:sz w:val="14"/>
                        <w:szCs w:val="14"/>
                      </w:rPr>
                    </w:pPr>
                  </w:p>
                </w:txbxContent>
              </v:textbox>
              <w10:wrap anchorx="margin"/>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9D5CE" w14:textId="714C0D97" w:rsidR="00F40E0C" w:rsidRPr="001F1605" w:rsidRDefault="00F40E0C" w:rsidP="001F1605">
    <w:pPr>
      <w:pStyle w:val="Cabealho"/>
    </w:pPr>
    <w:r>
      <w:rPr>
        <w:noProof/>
      </w:rPr>
      <w:drawing>
        <wp:anchor distT="0" distB="0" distL="114300" distR="114300" simplePos="0" relativeHeight="251658262" behindDoc="1" locked="0" layoutInCell="1" allowOverlap="1" wp14:anchorId="4ED1A686" wp14:editId="7D992553">
          <wp:simplePos x="0" y="0"/>
          <wp:positionH relativeFrom="column">
            <wp:posOffset>-924181</wp:posOffset>
          </wp:positionH>
          <wp:positionV relativeFrom="paragraph">
            <wp:posOffset>-726028</wp:posOffset>
          </wp:positionV>
          <wp:extent cx="7570520" cy="777875"/>
          <wp:effectExtent l="0" t="0" r="0" b="3175"/>
          <wp:wrapNone/>
          <wp:docPr id="464" name="Imagem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2921" cy="77914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mc:AlternateContent>
        <mc:Choice Requires="wps">
          <w:drawing>
            <wp:anchor distT="0" distB="0" distL="114300" distR="114300" simplePos="0" relativeHeight="251658261" behindDoc="0" locked="0" layoutInCell="1" allowOverlap="1" wp14:anchorId="60CC24C3" wp14:editId="35BF5D61">
              <wp:simplePos x="0" y="0"/>
              <wp:positionH relativeFrom="margin">
                <wp:posOffset>-633277</wp:posOffset>
              </wp:positionH>
              <wp:positionV relativeFrom="paragraph">
                <wp:posOffset>-568960</wp:posOffset>
              </wp:positionV>
              <wp:extent cx="6488264" cy="476250"/>
              <wp:effectExtent l="0" t="0" r="0" b="0"/>
              <wp:wrapNone/>
              <wp:docPr id="3" name="Caixa de Texto 3"/>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57CAD3A6"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B265A6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966E5C1"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C6F5C6E" w14:textId="3F37B941" w:rsidR="00F40E0C" w:rsidRDefault="00F40E0C" w:rsidP="001F1605">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CC24C3" id="_x0000_t202" coordsize="21600,21600" o:spt="202" path="m,l,21600r21600,l21600,xe">
              <v:stroke joinstyle="miter"/>
              <v:path gradientshapeok="t" o:connecttype="rect"/>
            </v:shapetype>
            <v:shape id="Caixa de Texto 3" o:spid="_x0000_s1036" type="#_x0000_t202" style="position:absolute;margin-left:-49.85pt;margin-top:-44.8pt;width:510.9pt;height:37.5pt;z-index:25165826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LCmGgIAADM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" filled="f" stroked="f" strokeweight=".5pt">
              <v:textbox>
                <w:txbxContent>
                  <w:p w14:paraId="57CAD3A6"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B265A6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966E5C1"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C6F5C6E" w14:textId="3F37B941" w:rsidR="00F40E0C" w:rsidRDefault="00F40E0C" w:rsidP="001F1605">
                    <w:pPr>
                      <w:rPr>
                        <w:rFonts w:ascii="Futura Lt BT" w:hAnsi="Futura Lt BT"/>
                        <w:color w:val="FFFFFF" w:themeColor="background1"/>
                        <w:sz w:val="14"/>
                        <w:szCs w:val="14"/>
                      </w:rPr>
                    </w:pPr>
                  </w:p>
                </w:txbxContent>
              </v:textbox>
              <w10:wrap anchorx="margin"/>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B04D5" w14:textId="77777777" w:rsidR="00936EDB" w:rsidRPr="00FC5E6D" w:rsidRDefault="00936EDB" w:rsidP="00936EDB">
    <w:pPr>
      <w:pStyle w:val="Cabealho"/>
    </w:pPr>
    <w:r>
      <w:rPr>
        <w:noProof/>
      </w:rPr>
      <w:drawing>
        <wp:anchor distT="0" distB="0" distL="114300" distR="114300" simplePos="0" relativeHeight="251658267" behindDoc="1" locked="0" layoutInCell="1" allowOverlap="1" wp14:anchorId="7B25389D" wp14:editId="5DF9EC0C">
          <wp:simplePos x="0" y="0"/>
          <wp:positionH relativeFrom="column">
            <wp:posOffset>-576599</wp:posOffset>
          </wp:positionH>
          <wp:positionV relativeFrom="paragraph">
            <wp:posOffset>-720089</wp:posOffset>
          </wp:positionV>
          <wp:extent cx="10727690" cy="778598"/>
          <wp:effectExtent l="0" t="0" r="0" b="2540"/>
          <wp:wrapNone/>
          <wp:docPr id="466" name="Imagem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70035" cy="781671"/>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mc:AlternateContent>
        <mc:Choice Requires="wps">
          <w:drawing>
            <wp:anchor distT="0" distB="0" distL="114300" distR="114300" simplePos="0" relativeHeight="251658247" behindDoc="0" locked="0" layoutInCell="1" allowOverlap="1" wp14:anchorId="57E182DE" wp14:editId="016657D1">
              <wp:simplePos x="0" y="0"/>
              <wp:positionH relativeFrom="margin">
                <wp:posOffset>-344378</wp:posOffset>
              </wp:positionH>
              <wp:positionV relativeFrom="paragraph">
                <wp:posOffset>-568960</wp:posOffset>
              </wp:positionV>
              <wp:extent cx="6488264" cy="476250"/>
              <wp:effectExtent l="0" t="0" r="0" b="0"/>
              <wp:wrapNone/>
              <wp:docPr id="14" name="Caixa de Texto 14"/>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6587D01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64782FD"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078DBF5"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386795F" w14:textId="580F7EFF" w:rsidR="00936EDB" w:rsidRDefault="00936EDB" w:rsidP="00936EDB">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182DE" id="_x0000_t202" coordsize="21600,21600" o:spt="202" path="m,l,21600r21600,l21600,xe">
              <v:stroke joinstyle="miter"/>
              <v:path gradientshapeok="t" o:connecttype="rect"/>
            </v:shapetype>
            <v:shape id="Caixa de Texto 14" o:spid="_x0000_s1037" type="#_x0000_t202" style="position:absolute;margin-left:-27.1pt;margin-top:-44.8pt;width:510.9pt;height:37.5pt;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" filled="f" stroked="f" strokeweight=".5pt">
              <v:textbox>
                <w:txbxContent>
                  <w:p w14:paraId="6587D01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64782FD"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078DBF5"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386795F" w14:textId="580F7EFF" w:rsidR="00936EDB" w:rsidRDefault="00936EDB" w:rsidP="00936EDB">
                    <w:pPr>
                      <w:rPr>
                        <w:rFonts w:ascii="Futura Lt BT" w:hAnsi="Futura Lt BT"/>
                        <w:color w:val="FFFFFF" w:themeColor="background1"/>
                        <w:sz w:val="14"/>
                        <w:szCs w:val="14"/>
                      </w:rPr>
                    </w:pPr>
                  </w:p>
                </w:txbxContent>
              </v:textbox>
              <w10:wrap anchorx="margin"/>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8DF3A" w14:textId="78DBA6EB" w:rsidR="00091962" w:rsidRPr="00FC5E6D" w:rsidRDefault="009D4D44" w:rsidP="00FC5E6D">
    <w:pPr>
      <w:pStyle w:val="Cabealho"/>
    </w:pPr>
    <w:r>
      <w:rPr>
        <w:noProof/>
        <w:szCs w:val="24"/>
      </w:rPr>
      <mc:AlternateContent>
        <mc:Choice Requires="wps">
          <w:drawing>
            <wp:anchor distT="0" distB="0" distL="114300" distR="114300" simplePos="0" relativeHeight="251658256" behindDoc="0" locked="0" layoutInCell="1" allowOverlap="1" wp14:anchorId="33CDC7AD" wp14:editId="29763B8D">
              <wp:simplePos x="0" y="0"/>
              <wp:positionH relativeFrom="margin">
                <wp:posOffset>-344442</wp:posOffset>
              </wp:positionH>
              <wp:positionV relativeFrom="paragraph">
                <wp:posOffset>-565711</wp:posOffset>
              </wp:positionV>
              <wp:extent cx="6487795" cy="486889"/>
              <wp:effectExtent l="0" t="0" r="0" b="0"/>
              <wp:wrapNone/>
              <wp:docPr id="33" name="Caixa de Texto 33"/>
              <wp:cNvGraphicFramePr/>
              <a:graphic xmlns:a="http://schemas.openxmlformats.org/drawingml/2006/main">
                <a:graphicData uri="http://schemas.microsoft.com/office/word/2010/wordprocessingShape">
                  <wps:wsp>
                    <wps:cNvSpPr txBox="1"/>
                    <wps:spPr>
                      <a:xfrm>
                        <a:off x="0" y="0"/>
                        <a:ext cx="6487795" cy="486889"/>
                      </a:xfrm>
                      <a:prstGeom prst="rect">
                        <a:avLst/>
                      </a:prstGeom>
                      <a:noFill/>
                      <a:ln w="6350">
                        <a:noFill/>
                      </a:ln>
                    </wps:spPr>
                    <wps:txbx>
                      <w:txbxContent>
                        <w:p w14:paraId="7538B3EC"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B5B6A8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1D13B350"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64359A32" w14:textId="3C579A70" w:rsidR="00FC5E6D" w:rsidRDefault="00FC5E6D" w:rsidP="00FC5E6D">
                          <w:pPr>
                            <w:rPr>
                              <w:rFonts w:ascii="Futura Lt BT" w:hAnsi="Futura Lt BT"/>
                              <w:color w:val="FFFFFF" w:themeColor="background1"/>
                              <w:sz w:val="16"/>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CDC7AD" id="_x0000_t202" coordsize="21600,21600" o:spt="202" path="m,l,21600r21600,l21600,xe">
              <v:stroke joinstyle="miter"/>
              <v:path gradientshapeok="t" o:connecttype="rect"/>
            </v:shapetype>
            <v:shape id="Caixa de Texto 33" o:spid="_x0000_s1038" type="#_x0000_t202" style="position:absolute;margin-left:-27.1pt;margin-top:-44.55pt;width:510.85pt;height:38.35pt;z-index:251658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" filled="f" stroked="f" strokeweight=".5pt">
              <v:textbox>
                <w:txbxContent>
                  <w:p w14:paraId="7538B3EC"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B5B6A8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1D13B350"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64359A32" w14:textId="3C579A70" w:rsidR="00FC5E6D" w:rsidRDefault="00FC5E6D" w:rsidP="00FC5E6D">
                    <w:pPr>
                      <w:rPr>
                        <w:rFonts w:ascii="Futura Lt BT" w:hAnsi="Futura Lt BT"/>
                        <w:color w:val="FFFFFF" w:themeColor="background1"/>
                        <w:sz w:val="16"/>
                        <w:szCs w:val="14"/>
                      </w:rPr>
                    </w:pPr>
                  </w:p>
                </w:txbxContent>
              </v:textbox>
              <w10:wrap anchorx="margin"/>
            </v:shape>
          </w:pict>
        </mc:Fallback>
      </mc:AlternateContent>
    </w:r>
    <w:r w:rsidR="00FC5E6D">
      <w:rPr>
        <w:noProof/>
      </w:rPr>
      <w:drawing>
        <wp:anchor distT="0" distB="0" distL="114300" distR="114300" simplePos="0" relativeHeight="251658269" behindDoc="1" locked="0" layoutInCell="1" allowOverlap="1" wp14:anchorId="2C61AAA0" wp14:editId="39DB796B">
          <wp:simplePos x="0" y="0"/>
          <wp:positionH relativeFrom="column">
            <wp:posOffset>-576599</wp:posOffset>
          </wp:positionH>
          <wp:positionV relativeFrom="paragraph">
            <wp:posOffset>-720089</wp:posOffset>
          </wp:positionV>
          <wp:extent cx="10727690" cy="778598"/>
          <wp:effectExtent l="0" t="0" r="0" b="2540"/>
          <wp:wrapNone/>
          <wp:docPr id="468" name="Imagem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70035" cy="781671"/>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67610" w14:textId="77777777" w:rsidR="00091962" w:rsidRPr="00F82438" w:rsidRDefault="0018557F" w:rsidP="0018557F">
    <w:r>
      <w:rPr>
        <w:noProof/>
      </w:rPr>
      <mc:AlternateContent>
        <mc:Choice Requires="wps">
          <w:drawing>
            <wp:anchor distT="0" distB="0" distL="114300" distR="114300" simplePos="0" relativeHeight="251658242" behindDoc="0" locked="0" layoutInCell="1" allowOverlap="1" wp14:anchorId="2A8C1111" wp14:editId="5A777711">
              <wp:simplePos x="0" y="0"/>
              <wp:positionH relativeFrom="margin">
                <wp:posOffset>-588645</wp:posOffset>
              </wp:positionH>
              <wp:positionV relativeFrom="paragraph">
                <wp:posOffset>-603250</wp:posOffset>
              </wp:positionV>
              <wp:extent cx="6488264" cy="476250"/>
              <wp:effectExtent l="0" t="0" r="0" b="0"/>
              <wp:wrapNone/>
              <wp:docPr id="503" name="Caixa de Texto 503"/>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021524F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038F760"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476BBDA"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7CE3078" w14:textId="6F0A8820" w:rsidR="0018557F" w:rsidRDefault="0018557F" w:rsidP="0018557F">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8C1111" id="_x0000_t202" coordsize="21600,21600" o:spt="202" path="m,l,21600r21600,l21600,xe">
              <v:stroke joinstyle="miter"/>
              <v:path gradientshapeok="t" o:connecttype="rect"/>
            </v:shapetype>
            <v:shape id="Caixa de Texto 503" o:spid="_x0000_s1039" type="#_x0000_t202" style="position:absolute;margin-left:-46.35pt;margin-top:-47.5pt;width:510.9pt;height:37.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" filled="f" stroked="f" strokeweight=".5pt">
              <v:textbox>
                <w:txbxContent>
                  <w:p w14:paraId="021524F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038F760"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476BBDA"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7CE3078" w14:textId="6F0A8820" w:rsidR="0018557F" w:rsidRDefault="0018557F" w:rsidP="0018557F">
                    <w:pPr>
                      <w:rPr>
                        <w:rFonts w:ascii="Futura Lt BT" w:hAnsi="Futura Lt BT"/>
                        <w:color w:val="FFFFFF" w:themeColor="background1"/>
                        <w:sz w:val="14"/>
                        <w:szCs w:val="14"/>
                      </w:rPr>
                    </w:pPr>
                  </w:p>
                </w:txbxContent>
              </v:textbox>
              <w10:wrap anchorx="margin"/>
            </v:shape>
          </w:pict>
        </mc:Fallback>
      </mc:AlternateContent>
    </w:r>
    <w:r>
      <w:rPr>
        <w:noProof/>
      </w:rPr>
      <w:drawing>
        <wp:anchor distT="0" distB="0" distL="114300" distR="114300" simplePos="0" relativeHeight="251658284" behindDoc="1" locked="0" layoutInCell="1" allowOverlap="1" wp14:anchorId="341FA25D" wp14:editId="3CA4A5CC">
          <wp:simplePos x="0" y="0"/>
          <wp:positionH relativeFrom="column">
            <wp:posOffset>-927100</wp:posOffset>
          </wp:positionH>
          <wp:positionV relativeFrom="paragraph">
            <wp:posOffset>-719581</wp:posOffset>
          </wp:positionV>
          <wp:extent cx="7577455" cy="753110"/>
          <wp:effectExtent l="0" t="0" r="4445" b="8890"/>
          <wp:wrapNone/>
          <wp:docPr id="470" name="Imagem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5B2C0" w14:textId="77777777" w:rsidR="00936EDB" w:rsidRPr="00F82438" w:rsidRDefault="00936EDB" w:rsidP="00936EDB">
    <w:r>
      <w:rPr>
        <w:noProof/>
      </w:rPr>
      <mc:AlternateContent>
        <mc:Choice Requires="wps">
          <w:drawing>
            <wp:anchor distT="0" distB="0" distL="114300" distR="114300" simplePos="0" relativeHeight="251658248" behindDoc="0" locked="0" layoutInCell="1" allowOverlap="1" wp14:anchorId="228755E1" wp14:editId="3CF66252">
              <wp:simplePos x="0" y="0"/>
              <wp:positionH relativeFrom="margin">
                <wp:posOffset>-588645</wp:posOffset>
              </wp:positionH>
              <wp:positionV relativeFrom="paragraph">
                <wp:posOffset>-603250</wp:posOffset>
              </wp:positionV>
              <wp:extent cx="6488264" cy="476250"/>
              <wp:effectExtent l="0" t="0" r="0" b="0"/>
              <wp:wrapNone/>
              <wp:docPr id="17" name="Caixa de Texto 17"/>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42CA594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67D0FCF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7869F8C"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5ACBAAD6" w14:textId="600BE12D" w:rsidR="00936EDB" w:rsidRDefault="00936EDB" w:rsidP="00936EDB">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8755E1" id="_x0000_t202" coordsize="21600,21600" o:spt="202" path="m,l,21600r21600,l21600,xe">
              <v:stroke joinstyle="miter"/>
              <v:path gradientshapeok="t" o:connecttype="rect"/>
            </v:shapetype>
            <v:shape id="Caixa de Texto 17" o:spid="_x0000_s1040" type="#_x0000_t202" style="position:absolute;margin-left:-46.35pt;margin-top:-47.5pt;width:510.9pt;height:37.5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kr3GwIAADQEAAAOAAAAZHJzL2Uyb0RvYy54bWysU01vGyEQvVfqf0Dc67WdjeOu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" filled="f" stroked="f" strokeweight=".5pt">
              <v:textbox>
                <w:txbxContent>
                  <w:p w14:paraId="42CA594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67D0FCF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7869F8C"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5ACBAAD6" w14:textId="600BE12D" w:rsidR="00936EDB" w:rsidRDefault="00936EDB" w:rsidP="00936EDB">
                    <w:pPr>
                      <w:rPr>
                        <w:rFonts w:ascii="Futura Lt BT" w:hAnsi="Futura Lt BT"/>
                        <w:color w:val="FFFFFF" w:themeColor="background1"/>
                        <w:sz w:val="14"/>
                        <w:szCs w:val="14"/>
                      </w:rPr>
                    </w:pPr>
                  </w:p>
                </w:txbxContent>
              </v:textbox>
              <w10:wrap anchorx="margin"/>
            </v:shape>
          </w:pict>
        </mc:Fallback>
      </mc:AlternateContent>
    </w:r>
    <w:r>
      <w:rPr>
        <w:noProof/>
      </w:rPr>
      <w:drawing>
        <wp:anchor distT="0" distB="0" distL="114300" distR="114300" simplePos="0" relativeHeight="251658286" behindDoc="1" locked="0" layoutInCell="1" allowOverlap="1" wp14:anchorId="5326A580" wp14:editId="0CA804CE">
          <wp:simplePos x="0" y="0"/>
          <wp:positionH relativeFrom="column">
            <wp:posOffset>-927100</wp:posOffset>
          </wp:positionH>
          <wp:positionV relativeFrom="paragraph">
            <wp:posOffset>-719581</wp:posOffset>
          </wp:positionV>
          <wp:extent cx="7577455" cy="753110"/>
          <wp:effectExtent l="0" t="0" r="4445" b="8890"/>
          <wp:wrapNone/>
          <wp:docPr id="472" name="Imagem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9796A" w14:textId="3208203A" w:rsidR="00091962" w:rsidRPr="00936EDB" w:rsidRDefault="00576123" w:rsidP="00936EDB">
    <w:r>
      <w:rPr>
        <w:noProof/>
      </w:rPr>
      <w:drawing>
        <wp:anchor distT="0" distB="0" distL="114300" distR="114300" simplePos="0" relativeHeight="251658271" behindDoc="1" locked="0" layoutInCell="1" allowOverlap="1" wp14:anchorId="5DE33BA9" wp14:editId="7DCFA548">
          <wp:simplePos x="0" y="0"/>
          <wp:positionH relativeFrom="column">
            <wp:posOffset>-924284</wp:posOffset>
          </wp:positionH>
          <wp:positionV relativeFrom="paragraph">
            <wp:posOffset>-720090</wp:posOffset>
          </wp:positionV>
          <wp:extent cx="10718358" cy="752423"/>
          <wp:effectExtent l="0" t="0" r="0" b="0"/>
          <wp:wrapNone/>
          <wp:docPr id="483" name="Imagem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18358" cy="752423"/>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59" behindDoc="0" locked="0" layoutInCell="1" allowOverlap="1" wp14:anchorId="2371E643" wp14:editId="639B5A33">
              <wp:simplePos x="0" y="0"/>
              <wp:positionH relativeFrom="margin">
                <wp:posOffset>-588645</wp:posOffset>
              </wp:positionH>
              <wp:positionV relativeFrom="paragraph">
                <wp:posOffset>-603250</wp:posOffset>
              </wp:positionV>
              <wp:extent cx="6488264" cy="476250"/>
              <wp:effectExtent l="0" t="0" r="0" b="0"/>
              <wp:wrapNone/>
              <wp:docPr id="21" name="Caixa de Texto 21"/>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5D265EDE"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41240D1"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B4D676B"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020C278" w14:textId="08A419F6" w:rsidR="00576123" w:rsidRDefault="00576123" w:rsidP="00936EDB">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71E643" id="_x0000_t202" coordsize="21600,21600" o:spt="202" path="m,l,21600r21600,l21600,xe">
              <v:stroke joinstyle="miter"/>
              <v:path gradientshapeok="t" o:connecttype="rect"/>
            </v:shapetype>
            <v:shape id="Caixa de Texto 21" o:spid="_x0000_s1041" type="#_x0000_t202" style="position:absolute;margin-left:-46.35pt;margin-top:-47.5pt;width:510.9pt;height:37.5pt;z-index:25165825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zewGgIAADQ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" filled="f" stroked="f" strokeweight=".5pt">
              <v:textbox>
                <w:txbxContent>
                  <w:p w14:paraId="5D265EDE"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41240D1"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B4D676B"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020C278" w14:textId="08A419F6" w:rsidR="00576123" w:rsidRDefault="00576123" w:rsidP="00936EDB">
                    <w:pPr>
                      <w:rPr>
                        <w:rFonts w:ascii="Futura Lt BT" w:hAnsi="Futura Lt BT"/>
                        <w:color w:val="FFFFFF" w:themeColor="background1"/>
                        <w:sz w:val="14"/>
                        <w:szCs w:val="14"/>
                      </w:rPr>
                    </w:pPr>
                  </w:p>
                </w:txbxContent>
              </v:textbox>
              <w10:wrap anchorx="margin"/>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163BE" w14:textId="2DDE9B03" w:rsidR="00091962" w:rsidRPr="00936EDB" w:rsidRDefault="0013769A" w:rsidP="00936EDB">
    <w:r>
      <w:rPr>
        <w:noProof/>
      </w:rPr>
      <mc:AlternateContent>
        <mc:Choice Requires="wps">
          <w:drawing>
            <wp:anchor distT="0" distB="0" distL="114300" distR="114300" simplePos="0" relativeHeight="251658260" behindDoc="0" locked="0" layoutInCell="1" allowOverlap="1" wp14:anchorId="058ECF89" wp14:editId="7859CECA">
              <wp:simplePos x="0" y="0"/>
              <wp:positionH relativeFrom="margin">
                <wp:posOffset>-381387</wp:posOffset>
              </wp:positionH>
              <wp:positionV relativeFrom="paragraph">
                <wp:posOffset>-539447</wp:posOffset>
              </wp:positionV>
              <wp:extent cx="6488264" cy="476250"/>
              <wp:effectExtent l="0" t="0" r="0" b="0"/>
              <wp:wrapNone/>
              <wp:docPr id="13" name="Caixa de Texto 13"/>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275FB243"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D468C62"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36844F7D"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6E0A3DD" w14:textId="71A378D7" w:rsidR="00576123" w:rsidRDefault="00576123" w:rsidP="00936EDB">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8ECF89" id="_x0000_t202" coordsize="21600,21600" o:spt="202" path="m,l,21600r21600,l21600,xe">
              <v:stroke joinstyle="miter"/>
              <v:path gradientshapeok="t" o:connecttype="rect"/>
            </v:shapetype>
            <v:shape id="Caixa de Texto 13" o:spid="_x0000_s1042" type="#_x0000_t202" style="position:absolute;margin-left:-30.05pt;margin-top:-42.5pt;width:510.9pt;height:37.5pt;z-index:2516582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" filled="f" stroked="f" strokeweight=".5pt">
              <v:textbox>
                <w:txbxContent>
                  <w:p w14:paraId="275FB243"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1D468C62"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36844F7D"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6E0A3DD" w14:textId="71A378D7" w:rsidR="00576123" w:rsidRDefault="00576123" w:rsidP="00936EDB">
                    <w:pPr>
                      <w:rPr>
                        <w:rFonts w:ascii="Futura Lt BT" w:hAnsi="Futura Lt BT"/>
                        <w:color w:val="FFFFFF" w:themeColor="background1"/>
                        <w:sz w:val="14"/>
                        <w:szCs w:val="14"/>
                      </w:rPr>
                    </w:pPr>
                  </w:p>
                </w:txbxContent>
              </v:textbox>
              <w10:wrap anchorx="margin"/>
            </v:shape>
          </w:pict>
        </mc:Fallback>
      </mc:AlternateContent>
    </w:r>
    <w:r w:rsidR="00576123">
      <w:rPr>
        <w:noProof/>
      </w:rPr>
      <w:drawing>
        <wp:anchor distT="0" distB="0" distL="114300" distR="114300" simplePos="0" relativeHeight="251658273" behindDoc="1" locked="0" layoutInCell="1" allowOverlap="1" wp14:anchorId="5DF0259D" wp14:editId="60DFD22C">
          <wp:simplePos x="0" y="0"/>
          <wp:positionH relativeFrom="column">
            <wp:posOffset>-927590</wp:posOffset>
          </wp:positionH>
          <wp:positionV relativeFrom="paragraph">
            <wp:posOffset>-720090</wp:posOffset>
          </wp:positionV>
          <wp:extent cx="10754995" cy="753110"/>
          <wp:effectExtent l="0" t="0" r="8255" b="8890"/>
          <wp:wrapNone/>
          <wp:docPr id="486" name="Imagem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58622" cy="75336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6A84B" w14:textId="77777777" w:rsidR="00C5468E" w:rsidRPr="00936EDB" w:rsidRDefault="00C5468E" w:rsidP="00936EDB">
    <w:r>
      <w:rPr>
        <w:noProof/>
      </w:rPr>
      <w:drawing>
        <wp:anchor distT="0" distB="0" distL="114300" distR="114300" simplePos="0" relativeHeight="251666492" behindDoc="1" locked="0" layoutInCell="1" allowOverlap="1" wp14:anchorId="4E6322FB" wp14:editId="501CCBEF">
          <wp:simplePos x="0" y="0"/>
          <wp:positionH relativeFrom="column">
            <wp:posOffset>-924284</wp:posOffset>
          </wp:positionH>
          <wp:positionV relativeFrom="paragraph">
            <wp:posOffset>-720090</wp:posOffset>
          </wp:positionV>
          <wp:extent cx="7593496" cy="751780"/>
          <wp:effectExtent l="0" t="0" r="0" b="0"/>
          <wp:wrapNone/>
          <wp:docPr id="488" name="Imagem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4832" cy="765773"/>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5468" behindDoc="0" locked="0" layoutInCell="1" allowOverlap="1" wp14:anchorId="1552B577" wp14:editId="21085193">
              <wp:simplePos x="0" y="0"/>
              <wp:positionH relativeFrom="margin">
                <wp:posOffset>-588645</wp:posOffset>
              </wp:positionH>
              <wp:positionV relativeFrom="paragraph">
                <wp:posOffset>-603250</wp:posOffset>
              </wp:positionV>
              <wp:extent cx="6488264" cy="476250"/>
              <wp:effectExtent l="0" t="0" r="0" b="0"/>
              <wp:wrapNone/>
              <wp:docPr id="10" name="Caixa de Texto 10"/>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5D09681F" w14:textId="77777777" w:rsidR="00C5468E" w:rsidRPr="00176BC9" w:rsidRDefault="00C5468E"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4CEC472D" w14:textId="77777777" w:rsidR="00C5468E" w:rsidRPr="00176BC9" w:rsidRDefault="00C5468E"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1F7361FD" w14:textId="77777777" w:rsidR="00C5468E" w:rsidRPr="00176BC9" w:rsidRDefault="00C5468E"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2882FC2E" w14:textId="77777777" w:rsidR="00C5468E" w:rsidRDefault="00C5468E" w:rsidP="00936EDB">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52B577" id="_x0000_t202" coordsize="21600,21600" o:spt="202" path="m,l,21600r21600,l21600,xe">
              <v:stroke joinstyle="miter"/>
              <v:path gradientshapeok="t" o:connecttype="rect"/>
            </v:shapetype>
            <v:shape id="Caixa de Texto 10" o:spid="_x0000_s1043" type="#_x0000_t202" style="position:absolute;margin-left:-46.35pt;margin-top:-47.5pt;width:510.9pt;height:37.5pt;z-index:2516654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dnBGwIAADQ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" filled="f" stroked="f" strokeweight=".5pt">
              <v:textbox>
                <w:txbxContent>
                  <w:p w14:paraId="5D09681F" w14:textId="77777777" w:rsidR="00C5468E" w:rsidRPr="00176BC9" w:rsidRDefault="00C5468E"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4CEC472D" w14:textId="77777777" w:rsidR="00C5468E" w:rsidRPr="00176BC9" w:rsidRDefault="00C5468E"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1F7361FD" w14:textId="77777777" w:rsidR="00C5468E" w:rsidRPr="00176BC9" w:rsidRDefault="00C5468E"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2882FC2E" w14:textId="77777777" w:rsidR="00C5468E" w:rsidRDefault="00C5468E" w:rsidP="00936EDB">
                    <w:pPr>
                      <w:rPr>
                        <w:rFonts w:ascii="Futura Lt BT" w:hAnsi="Futura Lt BT"/>
                        <w:color w:val="FFFFFF" w:themeColor="background1"/>
                        <w:sz w:val="14"/>
                        <w:szCs w:val="14"/>
                      </w:rPr>
                    </w:pPr>
                  </w:p>
                </w:txbxContent>
              </v:textbox>
              <w10:wrap anchorx="margin"/>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58FD2" w14:textId="1070E988" w:rsidR="0041501F" w:rsidRPr="00C36048" w:rsidRDefault="00D343A3" w:rsidP="0041501F">
    <w:r>
      <w:rPr>
        <w:noProof/>
      </w:rPr>
      <w:drawing>
        <wp:anchor distT="0" distB="0" distL="114300" distR="114300" simplePos="0" relativeHeight="251658293" behindDoc="1" locked="0" layoutInCell="1" allowOverlap="1" wp14:anchorId="32351AD0" wp14:editId="564DCE30">
          <wp:simplePos x="0" y="0"/>
          <wp:positionH relativeFrom="column">
            <wp:posOffset>-924285</wp:posOffset>
          </wp:positionH>
          <wp:positionV relativeFrom="paragraph">
            <wp:posOffset>-728041</wp:posOffset>
          </wp:positionV>
          <wp:extent cx="7577593" cy="751840"/>
          <wp:effectExtent l="0" t="0" r="4445" b="0"/>
          <wp:wrapNone/>
          <wp:docPr id="491" name="Imagem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2001" cy="753270"/>
                  </a:xfrm>
                  <a:prstGeom prst="rect">
                    <a:avLst/>
                  </a:prstGeom>
                  <a:noFill/>
                  <a:ln>
                    <a:noFill/>
                  </a:ln>
                </pic:spPr>
              </pic:pic>
            </a:graphicData>
          </a:graphic>
          <wp14:sizeRelH relativeFrom="page">
            <wp14:pctWidth>0</wp14:pctWidth>
          </wp14:sizeRelH>
          <wp14:sizeRelV relativeFrom="page">
            <wp14:pctHeight>0</wp14:pctHeight>
          </wp14:sizeRelV>
        </wp:anchor>
      </w:drawing>
    </w:r>
    <w:r w:rsidR="00F72350">
      <w:rPr>
        <w:noProof/>
      </w:rPr>
      <mc:AlternateContent>
        <mc:Choice Requires="wps">
          <w:drawing>
            <wp:anchor distT="0" distB="0" distL="114300" distR="114300" simplePos="0" relativeHeight="251658249" behindDoc="0" locked="0" layoutInCell="1" allowOverlap="1" wp14:anchorId="06EB1BFF" wp14:editId="6F31DAD4">
              <wp:simplePos x="0" y="0"/>
              <wp:positionH relativeFrom="margin">
                <wp:posOffset>-515278</wp:posOffset>
              </wp:positionH>
              <wp:positionV relativeFrom="paragraph">
                <wp:posOffset>-547957</wp:posOffset>
              </wp:positionV>
              <wp:extent cx="6488264" cy="476250"/>
              <wp:effectExtent l="0" t="0" r="0" b="0"/>
              <wp:wrapNone/>
              <wp:docPr id="16" name="Caixa de Texto 16"/>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6D1382DA"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08FCE52"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7EAF3A2"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5C24BD78" w14:textId="7CDE0930" w:rsidR="0041501F" w:rsidRDefault="0041501F" w:rsidP="0041501F">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EB1BFF" id="_x0000_t202" coordsize="21600,21600" o:spt="202" path="m,l,21600r21600,l21600,xe">
              <v:stroke joinstyle="miter"/>
              <v:path gradientshapeok="t" o:connecttype="rect"/>
            </v:shapetype>
            <v:shape id="Caixa de Texto 16" o:spid="_x0000_s1044" type="#_x0000_t202" style="position:absolute;margin-left:-40.55pt;margin-top:-43.15pt;width:510.9pt;height:37.5pt;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" filled="f" stroked="f" strokeweight=".5pt">
              <v:textbox>
                <w:txbxContent>
                  <w:p w14:paraId="6D1382DA"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08FCE52"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47EAF3A2"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5C24BD78" w14:textId="7CDE0930" w:rsidR="0041501F" w:rsidRDefault="0041501F" w:rsidP="0041501F">
                    <w:pPr>
                      <w:rPr>
                        <w:rFonts w:ascii="Futura Lt BT" w:hAnsi="Futura Lt BT"/>
                        <w:color w:val="FFFFFF" w:themeColor="background1"/>
                        <w:sz w:val="14"/>
                        <w:szCs w:val="14"/>
                      </w:rPr>
                    </w:pPr>
                  </w:p>
                </w:txbxContent>
              </v:textbox>
              <w10:wrap anchorx="margin"/>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CD162" w14:textId="77777777" w:rsidR="00D343A3" w:rsidRPr="00C36048" w:rsidRDefault="00D343A3" w:rsidP="0041501F">
    <w:r>
      <w:rPr>
        <w:noProof/>
      </w:rPr>
      <w:drawing>
        <wp:anchor distT="0" distB="0" distL="114300" distR="114300" simplePos="0" relativeHeight="251661372" behindDoc="1" locked="0" layoutInCell="1" allowOverlap="1" wp14:anchorId="5AE96F05" wp14:editId="77D0ACEF">
          <wp:simplePos x="0" y="0"/>
          <wp:positionH relativeFrom="column">
            <wp:posOffset>-924284</wp:posOffset>
          </wp:positionH>
          <wp:positionV relativeFrom="paragraph">
            <wp:posOffset>-728041</wp:posOffset>
          </wp:positionV>
          <wp:extent cx="10718358" cy="751827"/>
          <wp:effectExtent l="0" t="0" r="0" b="0"/>
          <wp:wrapNone/>
          <wp:docPr id="493" name="Imagem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36282" cy="77412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348" behindDoc="0" locked="0" layoutInCell="1" allowOverlap="1" wp14:anchorId="01A8056D" wp14:editId="25E4CFBC">
              <wp:simplePos x="0" y="0"/>
              <wp:positionH relativeFrom="margin">
                <wp:posOffset>-515278</wp:posOffset>
              </wp:positionH>
              <wp:positionV relativeFrom="paragraph">
                <wp:posOffset>-547957</wp:posOffset>
              </wp:positionV>
              <wp:extent cx="6488264" cy="476250"/>
              <wp:effectExtent l="0" t="0" r="0" b="0"/>
              <wp:wrapNone/>
              <wp:docPr id="1" name="Caixa de Texto 1"/>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01FD7325" w14:textId="77777777" w:rsidR="00D343A3" w:rsidRPr="00176BC9" w:rsidRDefault="00D343A3"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7337028B" w14:textId="77777777" w:rsidR="00D343A3" w:rsidRPr="00176BC9" w:rsidRDefault="00D343A3"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0697FDE" w14:textId="77777777" w:rsidR="00D343A3" w:rsidRPr="00176BC9" w:rsidRDefault="00D343A3"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0A5B2B50" w14:textId="77777777" w:rsidR="00D343A3" w:rsidRDefault="00D343A3" w:rsidP="0041501F">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A8056D" id="_x0000_t202" coordsize="21600,21600" o:spt="202" path="m,l,21600r21600,l21600,xe">
              <v:stroke joinstyle="miter"/>
              <v:path gradientshapeok="t" o:connecttype="rect"/>
            </v:shapetype>
            <v:shape id="Caixa de Texto 1" o:spid="_x0000_s1045" type="#_x0000_t202" style="position:absolute;margin-left:-40.55pt;margin-top:-43.15pt;width:510.9pt;height:37.5pt;z-index:2516603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" filled="f" stroked="f" strokeweight=".5pt">
              <v:textbox>
                <w:txbxContent>
                  <w:p w14:paraId="01FD7325" w14:textId="77777777" w:rsidR="00D343A3" w:rsidRPr="00176BC9" w:rsidRDefault="00D343A3"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7337028B" w14:textId="77777777" w:rsidR="00D343A3" w:rsidRPr="00176BC9" w:rsidRDefault="00D343A3"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0697FDE" w14:textId="77777777" w:rsidR="00D343A3" w:rsidRPr="00176BC9" w:rsidRDefault="00D343A3"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0A5B2B50" w14:textId="77777777" w:rsidR="00D343A3" w:rsidRDefault="00D343A3" w:rsidP="0041501F">
                    <w:pPr>
                      <w:rPr>
                        <w:rFonts w:ascii="Futura Lt BT" w:hAnsi="Futura Lt BT"/>
                        <w:color w:val="FFFFFF" w:themeColor="background1"/>
                        <w:sz w:val="14"/>
                        <w:szCs w:val="14"/>
                      </w:rPr>
                    </w:pPr>
                  </w:p>
                </w:txbxContent>
              </v:textbox>
              <w10:wrap anchorx="margin"/>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3E1BA" w14:textId="77777777" w:rsidR="00D07531" w:rsidRDefault="00D07531" w:rsidP="0052608D">
    <w:pPr>
      <w:pStyle w:val="Cabealho"/>
    </w:pPr>
    <w:r>
      <w:rPr>
        <w:noProof/>
        <w:szCs w:val="24"/>
      </w:rPr>
      <mc:AlternateContent>
        <mc:Choice Requires="wps">
          <w:drawing>
            <wp:anchor distT="0" distB="0" distL="114300" distR="114300" simplePos="0" relativeHeight="251658254" behindDoc="0" locked="0" layoutInCell="1" allowOverlap="1" wp14:anchorId="18F8474D" wp14:editId="2B5B3D16">
              <wp:simplePos x="0" y="0"/>
              <wp:positionH relativeFrom="margin">
                <wp:posOffset>-682155</wp:posOffset>
              </wp:positionH>
              <wp:positionV relativeFrom="paragraph">
                <wp:posOffset>-573101</wp:posOffset>
              </wp:positionV>
              <wp:extent cx="6406737" cy="495300"/>
              <wp:effectExtent l="0" t="0" r="0" b="0"/>
              <wp:wrapNone/>
              <wp:docPr id="702" name="Caixa de Texto 702"/>
              <wp:cNvGraphicFramePr/>
              <a:graphic xmlns:a="http://schemas.openxmlformats.org/drawingml/2006/main">
                <a:graphicData uri="http://schemas.microsoft.com/office/word/2010/wordprocessingShape">
                  <wps:wsp>
                    <wps:cNvSpPr txBox="1"/>
                    <wps:spPr>
                      <a:xfrm>
                        <a:off x="0" y="0"/>
                        <a:ext cx="6406737" cy="495300"/>
                      </a:xfrm>
                      <a:prstGeom prst="rect">
                        <a:avLst/>
                      </a:prstGeom>
                      <a:noFill/>
                      <a:ln w="6350">
                        <a:noFill/>
                      </a:ln>
                    </wps:spPr>
                    <wps:txbx>
                      <w:txbxContent>
                        <w:p w14:paraId="6F829E4A"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0FF6C9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1F62330"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DB5ADFA" w14:textId="0611AF66" w:rsidR="00D07531" w:rsidRDefault="00D07531" w:rsidP="0052608D">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F8474D" id="_x0000_t202" coordsize="21600,21600" o:spt="202" path="m,l,21600r21600,l21600,xe">
              <v:stroke joinstyle="miter"/>
              <v:path gradientshapeok="t" o:connecttype="rect"/>
            </v:shapetype>
            <v:shape id="Caixa de Texto 702" o:spid="_x0000_s1046" type="#_x0000_t202" style="position:absolute;margin-left:-53.7pt;margin-top:-45.15pt;width:504.45pt;height:39pt;z-index:25165825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" filled="f" stroked="f" strokeweight=".5pt">
              <v:textbox>
                <w:txbxContent>
                  <w:p w14:paraId="6F829E4A"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0FF6C9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1F62330"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4DB5ADFA" w14:textId="0611AF66" w:rsidR="00D07531" w:rsidRDefault="00D07531" w:rsidP="0052608D">
                    <w:pPr>
                      <w:rPr>
                        <w:rFonts w:ascii="Futura Lt BT" w:hAnsi="Futura Lt BT"/>
                        <w:color w:val="FFFFFF" w:themeColor="background1"/>
                        <w:sz w:val="14"/>
                        <w:szCs w:val="14"/>
                      </w:rPr>
                    </w:pPr>
                  </w:p>
                </w:txbxContent>
              </v:textbox>
              <w10:wrap anchorx="margin"/>
            </v:shape>
          </w:pict>
        </mc:Fallback>
      </mc:AlternateContent>
    </w:r>
    <w:r>
      <w:rPr>
        <w:noProof/>
      </w:rPr>
      <w:drawing>
        <wp:anchor distT="0" distB="0" distL="114300" distR="114300" simplePos="0" relativeHeight="251658275" behindDoc="1" locked="0" layoutInCell="1" allowOverlap="1" wp14:anchorId="6F1AF581" wp14:editId="78494128">
          <wp:simplePos x="0" y="0"/>
          <wp:positionH relativeFrom="column">
            <wp:posOffset>-924284</wp:posOffset>
          </wp:positionH>
          <wp:positionV relativeFrom="paragraph">
            <wp:posOffset>-720090</wp:posOffset>
          </wp:positionV>
          <wp:extent cx="7568151" cy="753688"/>
          <wp:effectExtent l="0" t="0" r="0" b="8890"/>
          <wp:wrapNone/>
          <wp:docPr id="499" name="Imagem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15312" cy="7583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F6E04" w14:textId="77777777" w:rsidR="00D07531" w:rsidRDefault="00D07531" w:rsidP="005E3238">
    <w:pPr>
      <w:pStyle w:val="Cabealho"/>
      <w:tabs>
        <w:tab w:val="clear" w:pos="4252"/>
        <w:tab w:val="clear" w:pos="8504"/>
        <w:tab w:val="left" w:pos="1970"/>
      </w:tabs>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E5C8B" w14:textId="5E52189B" w:rsidR="003B762C" w:rsidRDefault="00954E71" w:rsidP="0052608D">
    <w:pPr>
      <w:pStyle w:val="Cabealho"/>
    </w:pPr>
    <w:r>
      <w:rPr>
        <w:noProof/>
        <w:szCs w:val="24"/>
      </w:rPr>
      <mc:AlternateContent>
        <mc:Choice Requires="wps">
          <w:drawing>
            <wp:anchor distT="0" distB="0" distL="114300" distR="114300" simplePos="0" relativeHeight="251658257" behindDoc="0" locked="0" layoutInCell="1" allowOverlap="1" wp14:anchorId="00DC840E" wp14:editId="2602FEC2">
              <wp:simplePos x="0" y="0"/>
              <wp:positionH relativeFrom="margin">
                <wp:posOffset>-582378</wp:posOffset>
              </wp:positionH>
              <wp:positionV relativeFrom="paragraph">
                <wp:posOffset>-529259</wp:posOffset>
              </wp:positionV>
              <wp:extent cx="6655242" cy="485775"/>
              <wp:effectExtent l="0" t="0" r="0" b="0"/>
              <wp:wrapNone/>
              <wp:docPr id="679" name="Caixa de Texto 679"/>
              <wp:cNvGraphicFramePr/>
              <a:graphic xmlns:a="http://schemas.openxmlformats.org/drawingml/2006/main">
                <a:graphicData uri="http://schemas.microsoft.com/office/word/2010/wordprocessingShape">
                  <wps:wsp>
                    <wps:cNvSpPr txBox="1"/>
                    <wps:spPr>
                      <a:xfrm>
                        <a:off x="0" y="0"/>
                        <a:ext cx="6655242" cy="485775"/>
                      </a:xfrm>
                      <a:prstGeom prst="rect">
                        <a:avLst/>
                      </a:prstGeom>
                      <a:noFill/>
                      <a:ln w="6350">
                        <a:noFill/>
                      </a:ln>
                    </wps:spPr>
                    <wps:txbx>
                      <w:txbxContent>
                        <w:p w14:paraId="31665AD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EB8EE9C"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7A6A918"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5D782DB" w14:textId="04EA73BA" w:rsidR="00D07531" w:rsidRDefault="00D07531" w:rsidP="0052608D">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DC840E" id="_x0000_t202" coordsize="21600,21600" o:spt="202" path="m,l,21600r21600,l21600,xe">
              <v:stroke joinstyle="miter"/>
              <v:path gradientshapeok="t" o:connecttype="rect"/>
            </v:shapetype>
            <v:shape id="Caixa de Texto 679" o:spid="_x0000_s1047" type="#_x0000_t202" style="position:absolute;margin-left:-45.85pt;margin-top:-41.65pt;width:524.05pt;height:38.25pt;z-index:25165825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" filled="f" stroked="f" strokeweight=".5pt">
              <v:textbox>
                <w:txbxContent>
                  <w:p w14:paraId="31665AD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EB8EE9C"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7A6A918"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5D782DB" w14:textId="04EA73BA" w:rsidR="00D07531" w:rsidRDefault="00D07531" w:rsidP="0052608D">
                    <w:pPr>
                      <w:rPr>
                        <w:rFonts w:ascii="Futura Lt BT" w:hAnsi="Futura Lt BT"/>
                        <w:color w:val="FFFFFF" w:themeColor="background1"/>
                        <w:sz w:val="14"/>
                        <w:szCs w:val="14"/>
                      </w:rPr>
                    </w:pPr>
                  </w:p>
                </w:txbxContent>
              </v:textbox>
              <w10:wrap anchorx="margin"/>
            </v:shape>
          </w:pict>
        </mc:Fallback>
      </mc:AlternateContent>
    </w:r>
    <w:r w:rsidR="00F16D44">
      <w:rPr>
        <w:noProof/>
      </w:rPr>
      <w:drawing>
        <wp:anchor distT="0" distB="0" distL="114300" distR="114300" simplePos="0" relativeHeight="251658264" behindDoc="1" locked="0" layoutInCell="1" allowOverlap="1" wp14:anchorId="1554492A" wp14:editId="24496B7D">
          <wp:simplePos x="0" y="0"/>
          <wp:positionH relativeFrom="column">
            <wp:posOffset>-936644</wp:posOffset>
          </wp:positionH>
          <wp:positionV relativeFrom="paragraph">
            <wp:posOffset>-720090</wp:posOffset>
          </wp:positionV>
          <wp:extent cx="10788361" cy="751840"/>
          <wp:effectExtent l="0" t="0" r="0" b="0"/>
          <wp:wrapNone/>
          <wp:docPr id="502" name="Imagem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91083" cy="7520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A5D41" w14:textId="6C875242" w:rsidR="00091962" w:rsidRPr="00C36048" w:rsidRDefault="002E3049" w:rsidP="002E3049">
    <w:r>
      <w:rPr>
        <w:noProof/>
      </w:rPr>
      <w:drawing>
        <wp:anchor distT="0" distB="0" distL="114300" distR="114300" simplePos="0" relativeHeight="251658279" behindDoc="1" locked="0" layoutInCell="1" allowOverlap="1" wp14:anchorId="03F0FE74" wp14:editId="30B68FB8">
          <wp:simplePos x="0" y="0"/>
          <wp:positionH relativeFrom="column">
            <wp:posOffset>-927100</wp:posOffset>
          </wp:positionH>
          <wp:positionV relativeFrom="paragraph">
            <wp:posOffset>-719455</wp:posOffset>
          </wp:positionV>
          <wp:extent cx="7577455" cy="753110"/>
          <wp:effectExtent l="0" t="0" r="4445" b="8890"/>
          <wp:wrapNone/>
          <wp:docPr id="505" name="Imagem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7455" cy="7531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3" behindDoc="0" locked="0" layoutInCell="1" allowOverlap="1" wp14:anchorId="69A1BA72" wp14:editId="2FAD7BF5">
              <wp:simplePos x="0" y="0"/>
              <wp:positionH relativeFrom="margin">
                <wp:posOffset>-588645</wp:posOffset>
              </wp:positionH>
              <wp:positionV relativeFrom="paragraph">
                <wp:posOffset>-603250</wp:posOffset>
              </wp:positionV>
              <wp:extent cx="6488264" cy="476250"/>
              <wp:effectExtent l="0" t="0" r="0" b="0"/>
              <wp:wrapNone/>
              <wp:docPr id="584" name="Caixa de Texto 584"/>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1F0FB74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8F81F0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1CB1467"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389F814" w14:textId="66E5F5B3" w:rsidR="002E3049" w:rsidRDefault="002E3049" w:rsidP="002E3049">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A1BA72" id="_x0000_t202" coordsize="21600,21600" o:spt="202" path="m,l,21600r21600,l21600,xe">
              <v:stroke joinstyle="miter"/>
              <v:path gradientshapeok="t" o:connecttype="rect"/>
            </v:shapetype>
            <v:shape id="Caixa de Texto 584" o:spid="_x0000_s1048" type="#_x0000_t202" style="position:absolute;margin-left:-46.35pt;margin-top:-47.5pt;width:510.9pt;height:37.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" filled="f" stroked="f" strokeweight=".5pt">
              <v:textbox>
                <w:txbxContent>
                  <w:p w14:paraId="1F0FB74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38F81F0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21CB1467"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389F814" w14:textId="66E5F5B3" w:rsidR="002E3049" w:rsidRDefault="002E3049" w:rsidP="002E3049">
                    <w:pPr>
                      <w:rPr>
                        <w:rFonts w:ascii="Futura Lt BT" w:hAnsi="Futura Lt BT"/>
                        <w:color w:val="FFFFFF" w:themeColor="background1"/>
                        <w:sz w:val="14"/>
                        <w:szCs w:val="14"/>
                      </w:rPr>
                    </w:pPr>
                  </w:p>
                </w:txbxContent>
              </v:textbox>
              <w10:wrap anchorx="margin"/>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EBDA4" w14:textId="77777777" w:rsidR="00091962" w:rsidRDefault="00091962" w:rsidP="005E3238">
    <w:pPr>
      <w:pStyle w:val="Cabealho"/>
      <w:tabs>
        <w:tab w:val="clear" w:pos="4252"/>
        <w:tab w:val="clear" w:pos="8504"/>
        <w:tab w:val="left" w:pos="1970"/>
      </w:tabs>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6BAFB" w14:textId="51586FE5" w:rsidR="00091962" w:rsidRDefault="002E3049" w:rsidP="002E3049">
    <w:r>
      <w:rPr>
        <w:noProof/>
      </w:rPr>
      <w:drawing>
        <wp:anchor distT="0" distB="0" distL="114300" distR="114300" simplePos="0" relativeHeight="251658282" behindDoc="1" locked="0" layoutInCell="1" allowOverlap="1" wp14:anchorId="346BCA9C" wp14:editId="3C2FE668">
          <wp:simplePos x="0" y="0"/>
          <wp:positionH relativeFrom="column">
            <wp:posOffset>-932328</wp:posOffset>
          </wp:positionH>
          <wp:positionV relativeFrom="paragraph">
            <wp:posOffset>-720090</wp:posOffset>
          </wp:positionV>
          <wp:extent cx="10749517" cy="753110"/>
          <wp:effectExtent l="0" t="0" r="0" b="8890"/>
          <wp:wrapNone/>
          <wp:docPr id="508" name="Imagem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55503" cy="75352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4" behindDoc="0" locked="0" layoutInCell="1" allowOverlap="1" wp14:anchorId="4AA63F64" wp14:editId="66DABCD6">
              <wp:simplePos x="0" y="0"/>
              <wp:positionH relativeFrom="margin">
                <wp:posOffset>-588645</wp:posOffset>
              </wp:positionH>
              <wp:positionV relativeFrom="paragraph">
                <wp:posOffset>-603250</wp:posOffset>
              </wp:positionV>
              <wp:extent cx="6488264" cy="476250"/>
              <wp:effectExtent l="0" t="0" r="0" b="0"/>
              <wp:wrapNone/>
              <wp:docPr id="587" name="Caixa de Texto 587"/>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032103A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497032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060B9F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76096FC" w14:textId="5145F050" w:rsidR="002E3049" w:rsidRDefault="002E3049" w:rsidP="002E3049">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A63F64" id="_x0000_t202" coordsize="21600,21600" o:spt="202" path="m,l,21600r21600,l21600,xe">
              <v:stroke joinstyle="miter"/>
              <v:path gradientshapeok="t" o:connecttype="rect"/>
            </v:shapetype>
            <v:shape id="Caixa de Texto 587" o:spid="_x0000_s1049" type="#_x0000_t202" style="position:absolute;margin-left:-46.35pt;margin-top:-47.5pt;width:510.9pt;height:37.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" filled="f" stroked="f" strokeweight=".5pt">
              <v:textbox>
                <w:txbxContent>
                  <w:p w14:paraId="032103AF"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24970327"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5060B9F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376096FC" w14:textId="5145F050" w:rsidR="002E3049" w:rsidRDefault="002E3049" w:rsidP="002E3049">
                    <w:pPr>
                      <w:rPr>
                        <w:rFonts w:ascii="Futura Lt BT" w:hAnsi="Futura Lt BT"/>
                        <w:color w:val="FFFFFF" w:themeColor="background1"/>
                        <w:sz w:val="14"/>
                        <w:szCs w:val="14"/>
                      </w:rPr>
                    </w:pPr>
                  </w:p>
                </w:txbxContent>
              </v:textbox>
              <w10:wrap anchorx="margin"/>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5CA5F" w14:textId="77777777" w:rsidR="00824E99" w:rsidRDefault="00824E99" w:rsidP="00824E99">
    <w:pPr>
      <w:jc w:val="right"/>
    </w:pPr>
    <w:r>
      <w:rPr>
        <w:noProof/>
      </w:rPr>
      <mc:AlternateContent>
        <mc:Choice Requires="wps">
          <w:drawing>
            <wp:anchor distT="0" distB="0" distL="114300" distR="114300" simplePos="0" relativeHeight="251658246" behindDoc="0" locked="0" layoutInCell="1" allowOverlap="1" wp14:anchorId="7EF18323" wp14:editId="39EE0C7B">
              <wp:simplePos x="0" y="0"/>
              <wp:positionH relativeFrom="margin">
                <wp:posOffset>-457530</wp:posOffset>
              </wp:positionH>
              <wp:positionV relativeFrom="paragraph">
                <wp:posOffset>-533276</wp:posOffset>
              </wp:positionV>
              <wp:extent cx="6488264" cy="476250"/>
              <wp:effectExtent l="0" t="0" r="0" b="0"/>
              <wp:wrapNone/>
              <wp:docPr id="596" name="Caixa de Texto 596"/>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3752918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75A64980"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75EA2B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019EB657" w14:textId="5760CAD7" w:rsidR="00824E99" w:rsidRDefault="00824E99" w:rsidP="00824E99">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F18323" id="_x0000_t202" coordsize="21600,21600" o:spt="202" path="m,l,21600r21600,l21600,xe">
              <v:stroke joinstyle="miter"/>
              <v:path gradientshapeok="t" o:connecttype="rect"/>
            </v:shapetype>
            <v:shape id="Caixa de Texto 596" o:spid="_x0000_s1050" type="#_x0000_t202" style="position:absolute;left:0;text-align:left;margin-left:-36.05pt;margin-top:-42pt;width:510.9pt;height:37.5pt;z-index:25165824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" filled="f" stroked="f" strokeweight=".5pt">
              <v:textbox>
                <w:txbxContent>
                  <w:p w14:paraId="3752918B"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75A64980"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075EA2B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019EB657" w14:textId="5760CAD7" w:rsidR="00824E99" w:rsidRDefault="00824E99" w:rsidP="00824E99">
                    <w:pPr>
                      <w:rPr>
                        <w:rFonts w:ascii="Futura Lt BT" w:hAnsi="Futura Lt BT"/>
                        <w:color w:val="FFFFFF" w:themeColor="background1"/>
                        <w:sz w:val="14"/>
                        <w:szCs w:val="14"/>
                      </w:rPr>
                    </w:pPr>
                  </w:p>
                </w:txbxContent>
              </v:textbox>
              <w10:wrap anchorx="margin"/>
            </v:shape>
          </w:pict>
        </mc:Fallback>
      </mc:AlternateContent>
    </w:r>
    <w:r>
      <w:rPr>
        <w:noProof/>
      </w:rPr>
      <w:drawing>
        <wp:anchor distT="0" distB="0" distL="114300" distR="114300" simplePos="0" relativeHeight="251658250" behindDoc="1" locked="0" layoutInCell="1" allowOverlap="1" wp14:anchorId="5DBFDA14" wp14:editId="241E2BB3">
          <wp:simplePos x="0" y="0"/>
          <wp:positionH relativeFrom="column">
            <wp:posOffset>-717698</wp:posOffset>
          </wp:positionH>
          <wp:positionV relativeFrom="paragraph">
            <wp:posOffset>-741354</wp:posOffset>
          </wp:positionV>
          <wp:extent cx="7586345" cy="924998"/>
          <wp:effectExtent l="0" t="0" r="0" b="8890"/>
          <wp:wrapNone/>
          <wp:docPr id="510" name="Imagem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9161" cy="93021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C9452F" w14:textId="2E04B998" w:rsidR="00091962" w:rsidRPr="00A66E84" w:rsidRDefault="00091962" w:rsidP="00A66E84">
    <w:pPr>
      <w:pStyle w:val="Cabealho"/>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7ECDA" w14:textId="2E2CE275" w:rsidR="00B3044D" w:rsidRDefault="00C42AF3" w:rsidP="000D7FB6">
    <w:pPr>
      <w:jc w:val="right"/>
    </w:pPr>
    <w:r>
      <w:rPr>
        <w:noProof/>
      </w:rPr>
      <w:drawing>
        <wp:anchor distT="0" distB="0" distL="114300" distR="114300" simplePos="0" relativeHeight="251658252" behindDoc="1" locked="0" layoutInCell="1" allowOverlap="1" wp14:anchorId="35271DE8" wp14:editId="097EA517">
          <wp:simplePos x="0" y="0"/>
          <wp:positionH relativeFrom="column">
            <wp:posOffset>-708970</wp:posOffset>
          </wp:positionH>
          <wp:positionV relativeFrom="paragraph">
            <wp:posOffset>-741045</wp:posOffset>
          </wp:positionV>
          <wp:extent cx="7586345" cy="924998"/>
          <wp:effectExtent l="0" t="0" r="0" b="8890"/>
          <wp:wrapNone/>
          <wp:docPr id="960" name="Imagem 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6345" cy="924998"/>
                  </a:xfrm>
                  <a:prstGeom prst="rect">
                    <a:avLst/>
                  </a:prstGeom>
                  <a:noFill/>
                  <a:ln>
                    <a:noFill/>
                  </a:ln>
                </pic:spPr>
              </pic:pic>
            </a:graphicData>
          </a:graphic>
          <wp14:sizeRelH relativeFrom="page">
            <wp14:pctWidth>0</wp14:pctWidth>
          </wp14:sizeRelH>
          <wp14:sizeRelV relativeFrom="page">
            <wp14:pctHeight>0</wp14:pctHeight>
          </wp14:sizeRelV>
        </wp:anchor>
      </w:drawing>
    </w:r>
    <w:r w:rsidR="009E3F51">
      <w:rPr>
        <w:noProof/>
      </w:rPr>
      <mc:AlternateContent>
        <mc:Choice Requires="wps">
          <w:drawing>
            <wp:anchor distT="0" distB="0" distL="114300" distR="114300" simplePos="0" relativeHeight="251658245" behindDoc="0" locked="0" layoutInCell="1" allowOverlap="1" wp14:anchorId="4B7AC73C" wp14:editId="7EEDE016">
              <wp:simplePos x="0" y="0"/>
              <wp:positionH relativeFrom="margin">
                <wp:posOffset>-279902</wp:posOffset>
              </wp:positionH>
              <wp:positionV relativeFrom="paragraph">
                <wp:posOffset>-485775</wp:posOffset>
              </wp:positionV>
              <wp:extent cx="6488264" cy="476250"/>
              <wp:effectExtent l="0" t="0" r="0" b="0"/>
              <wp:wrapNone/>
              <wp:docPr id="593" name="Caixa de Texto 593"/>
              <wp:cNvGraphicFramePr/>
              <a:graphic xmlns:a="http://schemas.openxmlformats.org/drawingml/2006/main">
                <a:graphicData uri="http://schemas.microsoft.com/office/word/2010/wordprocessingShape">
                  <wps:wsp>
                    <wps:cNvSpPr txBox="1"/>
                    <wps:spPr>
                      <a:xfrm>
                        <a:off x="0" y="0"/>
                        <a:ext cx="6488264" cy="476250"/>
                      </a:xfrm>
                      <a:prstGeom prst="rect">
                        <a:avLst/>
                      </a:prstGeom>
                      <a:noFill/>
                      <a:ln w="6350">
                        <a:noFill/>
                      </a:ln>
                    </wps:spPr>
                    <wps:txbx>
                      <w:txbxContent>
                        <w:p w14:paraId="62E84AE8"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48E98B3"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D84CC8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ADEEB6E" w14:textId="7BFE3947" w:rsidR="002E3049" w:rsidRDefault="002E3049" w:rsidP="002E3049">
                          <w:pPr>
                            <w:rPr>
                              <w:rFonts w:ascii="Futura Lt BT" w:hAnsi="Futura Lt BT"/>
                              <w:color w:val="FFFFFF" w:themeColor="background1"/>
                              <w:sz w:val="14"/>
                              <w:szCs w:val="1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7AC73C" id="_x0000_t202" coordsize="21600,21600" o:spt="202" path="m,l,21600r21600,l21600,xe">
              <v:stroke joinstyle="miter"/>
              <v:path gradientshapeok="t" o:connecttype="rect"/>
            </v:shapetype>
            <v:shape id="Caixa de Texto 593" o:spid="_x0000_s1051" type="#_x0000_t202" style="position:absolute;left:0;text-align:left;margin-left:-22.05pt;margin-top:-38.25pt;width:510.9pt;height:37.5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" filled="f" stroked="f" strokeweight=".5pt">
              <v:textbox>
                <w:txbxContent>
                  <w:p w14:paraId="62E84AE8"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 xml:space="preserve">NOTAS EXPLICATIVAS ÀS DEMONSTRAÇÕES CONTÁBEIS INDIVIDUAIS E CONSOLIDADAS INTERMEDIÁRIAS CONDENSADAS </w:t>
                    </w:r>
                  </w:p>
                  <w:p w14:paraId="048E98B3" w14:textId="77777777" w:rsidR="00B831ED" w:rsidRPr="00176BC9" w:rsidRDefault="00B831ED" w:rsidP="00B831ED">
                    <w:pPr>
                      <w:rPr>
                        <w:rFonts w:ascii="CAIXA Std Book" w:hAnsi="CAIXA Std Book"/>
                        <w:color w:val="FFFFFF" w:themeColor="background1"/>
                        <w:sz w:val="16"/>
                        <w:szCs w:val="14"/>
                      </w:rPr>
                    </w:pPr>
                    <w:r w:rsidRPr="00176BC9">
                      <w:rPr>
                        <w:rFonts w:ascii="CAIXA Std Book" w:hAnsi="CAIXA Std Book"/>
                        <w:color w:val="FFFFFF" w:themeColor="background1"/>
                        <w:sz w:val="16"/>
                        <w:szCs w:val="14"/>
                      </w:rPr>
                      <w:t>31 DE MARÇO DE 2024</w:t>
                    </w:r>
                  </w:p>
                  <w:p w14:paraId="6D84CC83" w14:textId="77777777" w:rsidR="00B831ED" w:rsidRPr="00176BC9" w:rsidRDefault="00B831ED" w:rsidP="00B831ED">
                    <w:pPr>
                      <w:rPr>
                        <w:rFonts w:ascii="CAIXA Std Book" w:hAnsi="CAIXA Std Book"/>
                        <w:color w:val="FFFFFF" w:themeColor="background1"/>
                        <w:sz w:val="14"/>
                        <w:szCs w:val="14"/>
                      </w:rPr>
                    </w:pPr>
                    <w:r w:rsidRPr="00176BC9">
                      <w:rPr>
                        <w:rFonts w:ascii="CAIXA Std Book" w:hAnsi="CAIXA Std Book"/>
                        <w:color w:val="FFFFFF" w:themeColor="background1"/>
                        <w:sz w:val="14"/>
                        <w:szCs w:val="14"/>
                      </w:rPr>
                      <w:t>Em milhares de reais, exceto quando indicado de outra forma.</w:t>
                    </w:r>
                  </w:p>
                  <w:p w14:paraId="7ADEEB6E" w14:textId="7BFE3947" w:rsidR="002E3049" w:rsidRDefault="002E3049" w:rsidP="002E3049">
                    <w:pPr>
                      <w:rPr>
                        <w:rFonts w:ascii="Futura Lt BT" w:hAnsi="Futura Lt BT"/>
                        <w:color w:val="FFFFFF" w:themeColor="background1"/>
                        <w:sz w:val="14"/>
                        <w:szCs w:val="14"/>
                      </w:rPr>
                    </w:pPr>
                  </w:p>
                </w:txbxContent>
              </v:textbox>
              <w10:wrap anchorx="margin"/>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1A1F4" w14:textId="5DB42028" w:rsidR="004D2E7A" w:rsidRDefault="00F90FBC" w:rsidP="000D7FB6">
    <w:pPr>
      <w:jc w:val="right"/>
    </w:pPr>
    <w:r w:rsidRPr="009D16A4">
      <w:rPr>
        <w:noProof/>
      </w:rPr>
      <w:drawing>
        <wp:anchor distT="0" distB="0" distL="114300" distR="114300" simplePos="0" relativeHeight="251689020" behindDoc="1" locked="0" layoutInCell="1" allowOverlap="1" wp14:anchorId="62427DFD" wp14:editId="436834EB">
          <wp:simplePos x="0" y="0"/>
          <wp:positionH relativeFrom="margin">
            <wp:posOffset>0</wp:posOffset>
          </wp:positionH>
          <wp:positionV relativeFrom="paragraph">
            <wp:posOffset>-362657</wp:posOffset>
          </wp:positionV>
          <wp:extent cx="2914650" cy="323850"/>
          <wp:effectExtent l="0" t="0" r="0" b="0"/>
          <wp:wrapTight wrapText="bothSides">
            <wp:wrapPolygon edited="0">
              <wp:start x="565" y="0"/>
              <wp:lineTo x="0" y="5082"/>
              <wp:lineTo x="0" y="17788"/>
              <wp:lineTo x="282" y="20329"/>
              <wp:lineTo x="19765" y="20329"/>
              <wp:lineTo x="21459" y="13976"/>
              <wp:lineTo x="21459" y="6353"/>
              <wp:lineTo x="18635" y="0"/>
              <wp:lineTo x="565" y="0"/>
            </wp:wrapPolygon>
          </wp:wrapTight>
          <wp:docPr id="962" name="Imagem 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4650" cy="323850"/>
                  </a:xfrm>
                  <a:prstGeom prst="rect">
                    <a:avLst/>
                  </a:prstGeom>
                  <a:solidFill>
                    <a:srgbClr val="FFFFFF">
                      <a:alpha val="0"/>
                    </a:srgbClr>
                  </a:solidFill>
                  <a:ln>
                    <a:noFill/>
                  </a:ln>
                </pic:spPr>
              </pic:pic>
            </a:graphicData>
          </a:graphic>
        </wp:anchor>
      </w:drawing>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A676E" w14:textId="77777777" w:rsidR="008D4DC9" w:rsidRDefault="008D4DC9" w:rsidP="008C6B32">
    <w:pPr>
      <w:pStyle w:val="Cabealho"/>
      <w:rPr>
        <w:sz w:val="20"/>
      </w:rPr>
    </w:pPr>
    <w:r>
      <w:rPr>
        <w:noProof/>
      </w:rPr>
      <w:drawing>
        <wp:anchor distT="0" distB="0" distL="114300" distR="114300" simplePos="0" relativeHeight="251709500" behindDoc="0" locked="0" layoutInCell="1" allowOverlap="1" wp14:anchorId="77EEA11A" wp14:editId="18A760DA">
          <wp:simplePos x="0" y="0"/>
          <wp:positionH relativeFrom="margin">
            <wp:posOffset>419</wp:posOffset>
          </wp:positionH>
          <wp:positionV relativeFrom="paragraph">
            <wp:posOffset>-414463</wp:posOffset>
          </wp:positionV>
          <wp:extent cx="978408" cy="402336"/>
          <wp:effectExtent l="0" t="0" r="0" b="0"/>
          <wp:wrapSquare wrapText="bothSides"/>
          <wp:docPr id="473" name="Imagem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11266" t="28883" r="15703" b="29646"/>
                  <a:stretch>
                    <a:fillRect/>
                  </a:stretch>
                </pic:blipFill>
                <pic:spPr bwMode="auto">
                  <a:xfrm>
                    <a:off x="0" y="0"/>
                    <a:ext cx="978408" cy="402336"/>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B9C6B" w14:textId="77777777" w:rsidR="001C71D3" w:rsidRDefault="001C71D3" w:rsidP="000D7FB6">
    <w:pPr>
      <w:jc w:val="right"/>
    </w:pPr>
    <w:r>
      <w:rPr>
        <w:noProof/>
      </w:rPr>
      <w:drawing>
        <wp:anchor distT="0" distB="0" distL="114300" distR="114300" simplePos="0" relativeHeight="251686972" behindDoc="0" locked="0" layoutInCell="1" allowOverlap="1" wp14:anchorId="37DC7AA1" wp14:editId="08ABFAB7">
          <wp:simplePos x="0" y="0"/>
          <wp:positionH relativeFrom="margin">
            <wp:posOffset>419</wp:posOffset>
          </wp:positionH>
          <wp:positionV relativeFrom="paragraph">
            <wp:posOffset>-310503</wp:posOffset>
          </wp:positionV>
          <wp:extent cx="978408" cy="402336"/>
          <wp:effectExtent l="0" t="0" r="0" b="0"/>
          <wp:wrapSquare wrapText="bothSides"/>
          <wp:docPr id="29"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l="11266" t="28883" r="15703" b="29646"/>
                  <a:stretch>
                    <a:fillRect/>
                  </a:stretch>
                </pic:blipFill>
                <pic:spPr bwMode="auto">
                  <a:xfrm>
                    <a:off x="0" y="0"/>
                    <a:ext cx="978408" cy="402336"/>
                  </a:xfrm>
                  <a:prstGeom prst="rect">
                    <a:avLst/>
                  </a:prstGeom>
                  <a:noFill/>
                </pic:spPr>
              </pic:pic>
            </a:graphicData>
          </a:graphic>
          <wp14:sizeRelH relativeFrom="margin">
            <wp14:pctWidth>0</wp14:pctWidth>
          </wp14:sizeRelH>
          <wp14:sizeRelV relativeFrom="margin">
            <wp14:pctHeight>0</wp14:pctHeight>
          </wp14:sizeRelV>
        </wp:anchor>
      </w:drawing>
    </w:r>
  </w:p>
  <w:p w14:paraId="1701631A" w14:textId="77777777" w:rsidR="00D60A7A" w:rsidRDefault="00D60A7A"/>
  <w:p w14:paraId="119AA143" w14:textId="77777777" w:rsidR="00D60A7A" w:rsidRDefault="00D60A7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764E5"/>
    <w:multiLevelType w:val="hybridMultilevel"/>
    <w:tmpl w:val="735E6402"/>
    <w:lvl w:ilvl="0" w:tplc="208CFE48">
      <w:start w:val="1"/>
      <w:numFmt w:val="lowerLetter"/>
      <w:lvlText w:val="(%1)"/>
      <w:lvlJc w:val="left"/>
      <w:pPr>
        <w:ind w:left="1774" w:hanging="705"/>
      </w:pPr>
      <w:rPr>
        <w:rFonts w:ascii="CAIXA Std Book" w:hAnsi="CAIXA Std Book" w:hint="default"/>
        <w:b/>
        <w:bCs/>
        <w:sz w:val="20"/>
        <w:szCs w:val="20"/>
      </w:r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 w15:restartNumberingAfterBreak="0">
    <w:nsid w:val="033527C9"/>
    <w:multiLevelType w:val="hybridMultilevel"/>
    <w:tmpl w:val="364E9F14"/>
    <w:lvl w:ilvl="0" w:tplc="3F703608">
      <w:start w:val="1"/>
      <w:numFmt w:val="lowerLetter"/>
      <w:lvlText w:val="(%1)"/>
      <w:lvlJc w:val="left"/>
      <w:pPr>
        <w:ind w:left="6030" w:hanging="360"/>
      </w:pPr>
      <w:rPr>
        <w:rFonts w:cs="Yu Mincho Light" w:hint="default"/>
        <w:sz w:val="20"/>
        <w:szCs w:val="20"/>
      </w:rPr>
    </w:lvl>
    <w:lvl w:ilvl="1" w:tplc="04160019">
      <w:start w:val="1"/>
      <w:numFmt w:val="lowerLetter"/>
      <w:lvlText w:val="%2."/>
      <w:lvlJc w:val="left"/>
      <w:pPr>
        <w:ind w:left="1440" w:hanging="360"/>
      </w:pPr>
      <w:rPr>
        <w:rFonts w:cs="Yu Mincho Light"/>
      </w:rPr>
    </w:lvl>
    <w:lvl w:ilvl="2" w:tplc="0416001B" w:tentative="1">
      <w:start w:val="1"/>
      <w:numFmt w:val="lowerRoman"/>
      <w:lvlText w:val="%3."/>
      <w:lvlJc w:val="right"/>
      <w:pPr>
        <w:ind w:left="2160" w:hanging="180"/>
      </w:pPr>
      <w:rPr>
        <w:rFonts w:cs="Yu Mincho Light"/>
      </w:rPr>
    </w:lvl>
    <w:lvl w:ilvl="3" w:tplc="0416000F" w:tentative="1">
      <w:start w:val="1"/>
      <w:numFmt w:val="decimal"/>
      <w:lvlText w:val="%4."/>
      <w:lvlJc w:val="left"/>
      <w:pPr>
        <w:ind w:left="2880" w:hanging="360"/>
      </w:pPr>
      <w:rPr>
        <w:rFonts w:cs="Yu Mincho Light"/>
      </w:rPr>
    </w:lvl>
    <w:lvl w:ilvl="4" w:tplc="04160019" w:tentative="1">
      <w:start w:val="1"/>
      <w:numFmt w:val="lowerLetter"/>
      <w:lvlText w:val="%5."/>
      <w:lvlJc w:val="left"/>
      <w:pPr>
        <w:ind w:left="3600" w:hanging="360"/>
      </w:pPr>
      <w:rPr>
        <w:rFonts w:cs="Yu Mincho Light"/>
      </w:rPr>
    </w:lvl>
    <w:lvl w:ilvl="5" w:tplc="0416001B" w:tentative="1">
      <w:start w:val="1"/>
      <w:numFmt w:val="lowerRoman"/>
      <w:lvlText w:val="%6."/>
      <w:lvlJc w:val="right"/>
      <w:pPr>
        <w:ind w:left="4320" w:hanging="180"/>
      </w:pPr>
      <w:rPr>
        <w:rFonts w:cs="Yu Mincho Light"/>
      </w:rPr>
    </w:lvl>
    <w:lvl w:ilvl="6" w:tplc="0416000F" w:tentative="1">
      <w:start w:val="1"/>
      <w:numFmt w:val="decimal"/>
      <w:lvlText w:val="%7."/>
      <w:lvlJc w:val="left"/>
      <w:pPr>
        <w:ind w:left="5040" w:hanging="360"/>
      </w:pPr>
      <w:rPr>
        <w:rFonts w:cs="Yu Mincho Light"/>
      </w:rPr>
    </w:lvl>
    <w:lvl w:ilvl="7" w:tplc="04160019" w:tentative="1">
      <w:start w:val="1"/>
      <w:numFmt w:val="lowerLetter"/>
      <w:lvlText w:val="%8."/>
      <w:lvlJc w:val="left"/>
      <w:pPr>
        <w:ind w:left="5760" w:hanging="360"/>
      </w:pPr>
      <w:rPr>
        <w:rFonts w:cs="Yu Mincho Light"/>
      </w:rPr>
    </w:lvl>
    <w:lvl w:ilvl="8" w:tplc="0416001B" w:tentative="1">
      <w:start w:val="1"/>
      <w:numFmt w:val="lowerRoman"/>
      <w:lvlText w:val="%9."/>
      <w:lvlJc w:val="right"/>
      <w:pPr>
        <w:ind w:left="6480" w:hanging="180"/>
      </w:pPr>
      <w:rPr>
        <w:rFonts w:cs="Yu Mincho Light"/>
      </w:rPr>
    </w:lvl>
  </w:abstractNum>
  <w:abstractNum w:abstractNumId="2" w15:restartNumberingAfterBreak="0">
    <w:nsid w:val="071852B4"/>
    <w:multiLevelType w:val="hybridMultilevel"/>
    <w:tmpl w:val="FA9CC660"/>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94965E4"/>
    <w:multiLevelType w:val="hybridMultilevel"/>
    <w:tmpl w:val="CFDA5F18"/>
    <w:lvl w:ilvl="0" w:tplc="F754FEBA">
      <w:start w:val="1"/>
      <w:numFmt w:val="decimal"/>
      <w:lvlText w:val="(%1)"/>
      <w:lvlJc w:val="left"/>
      <w:pPr>
        <w:ind w:left="400" w:hanging="360"/>
      </w:pPr>
      <w:rPr>
        <w:rFonts w:hint="default"/>
      </w:rPr>
    </w:lvl>
    <w:lvl w:ilvl="1" w:tplc="04160019" w:tentative="1">
      <w:start w:val="1"/>
      <w:numFmt w:val="lowerLetter"/>
      <w:lvlText w:val="%2."/>
      <w:lvlJc w:val="left"/>
      <w:pPr>
        <w:ind w:left="1120" w:hanging="360"/>
      </w:pPr>
    </w:lvl>
    <w:lvl w:ilvl="2" w:tplc="0416001B" w:tentative="1">
      <w:start w:val="1"/>
      <w:numFmt w:val="lowerRoman"/>
      <w:lvlText w:val="%3."/>
      <w:lvlJc w:val="right"/>
      <w:pPr>
        <w:ind w:left="1840" w:hanging="180"/>
      </w:pPr>
    </w:lvl>
    <w:lvl w:ilvl="3" w:tplc="0416000F" w:tentative="1">
      <w:start w:val="1"/>
      <w:numFmt w:val="decimal"/>
      <w:lvlText w:val="%4."/>
      <w:lvlJc w:val="left"/>
      <w:pPr>
        <w:ind w:left="2560" w:hanging="360"/>
      </w:pPr>
    </w:lvl>
    <w:lvl w:ilvl="4" w:tplc="04160019" w:tentative="1">
      <w:start w:val="1"/>
      <w:numFmt w:val="lowerLetter"/>
      <w:lvlText w:val="%5."/>
      <w:lvlJc w:val="left"/>
      <w:pPr>
        <w:ind w:left="3280" w:hanging="360"/>
      </w:pPr>
    </w:lvl>
    <w:lvl w:ilvl="5" w:tplc="0416001B" w:tentative="1">
      <w:start w:val="1"/>
      <w:numFmt w:val="lowerRoman"/>
      <w:lvlText w:val="%6."/>
      <w:lvlJc w:val="right"/>
      <w:pPr>
        <w:ind w:left="4000" w:hanging="180"/>
      </w:pPr>
    </w:lvl>
    <w:lvl w:ilvl="6" w:tplc="0416000F" w:tentative="1">
      <w:start w:val="1"/>
      <w:numFmt w:val="decimal"/>
      <w:lvlText w:val="%7."/>
      <w:lvlJc w:val="left"/>
      <w:pPr>
        <w:ind w:left="4720" w:hanging="360"/>
      </w:pPr>
    </w:lvl>
    <w:lvl w:ilvl="7" w:tplc="04160019" w:tentative="1">
      <w:start w:val="1"/>
      <w:numFmt w:val="lowerLetter"/>
      <w:lvlText w:val="%8."/>
      <w:lvlJc w:val="left"/>
      <w:pPr>
        <w:ind w:left="5440" w:hanging="360"/>
      </w:pPr>
    </w:lvl>
    <w:lvl w:ilvl="8" w:tplc="0416001B" w:tentative="1">
      <w:start w:val="1"/>
      <w:numFmt w:val="lowerRoman"/>
      <w:lvlText w:val="%9."/>
      <w:lvlJc w:val="right"/>
      <w:pPr>
        <w:ind w:left="6160" w:hanging="180"/>
      </w:pPr>
    </w:lvl>
  </w:abstractNum>
  <w:abstractNum w:abstractNumId="4" w15:restartNumberingAfterBreak="0">
    <w:nsid w:val="11423520"/>
    <w:multiLevelType w:val="hybridMultilevel"/>
    <w:tmpl w:val="83CCB708"/>
    <w:lvl w:ilvl="0" w:tplc="63AAEE0C">
      <w:start w:val="1"/>
      <w:numFmt w:val="decimal"/>
      <w:lvlText w:val="(%1)"/>
      <w:lvlJc w:val="left"/>
      <w:pPr>
        <w:ind w:left="360" w:hanging="360"/>
      </w:pPr>
      <w:rPr>
        <w:rFonts w:hint="default"/>
      </w:rPr>
    </w:lvl>
    <w:lvl w:ilvl="1" w:tplc="64BC11A6">
      <w:start w:val="1"/>
      <w:numFmt w:val="lowerLetter"/>
      <w:lvlText w:val="(%2)"/>
      <w:lvlJc w:val="left"/>
      <w:pPr>
        <w:ind w:left="680" w:hanging="680"/>
      </w:pPr>
      <w:rPr>
        <w:rFonts w:hint="default"/>
      </w:r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5" w15:restartNumberingAfterBreak="0">
    <w:nsid w:val="15406090"/>
    <w:multiLevelType w:val="hybridMultilevel"/>
    <w:tmpl w:val="7C04290C"/>
    <w:lvl w:ilvl="0" w:tplc="0408E96E">
      <w:start w:val="1"/>
      <w:numFmt w:val="bullet"/>
      <w:lvlRestart w:val="0"/>
      <w:pStyle w:val="Marcador1"/>
      <w:lvlText w:val=""/>
      <w:lvlJc w:val="left"/>
      <w:pPr>
        <w:tabs>
          <w:tab w:val="num" w:pos="0"/>
        </w:tabs>
      </w:pPr>
      <w:rPr>
        <w:rFonts w:ascii="Wingdings" w:hAnsi="Wingdings"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F4735B"/>
    <w:multiLevelType w:val="hybridMultilevel"/>
    <w:tmpl w:val="F5545AB8"/>
    <w:lvl w:ilvl="0" w:tplc="958A612A">
      <w:start w:val="1"/>
      <w:numFmt w:val="lowerLetter"/>
      <w:lvlText w:val="(%1)"/>
      <w:lvlJc w:val="left"/>
      <w:pPr>
        <w:ind w:left="567" w:hanging="567"/>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4866A5B"/>
    <w:multiLevelType w:val="hybridMultilevel"/>
    <w:tmpl w:val="E1E23C8A"/>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9E86A70"/>
    <w:multiLevelType w:val="hybridMultilevel"/>
    <w:tmpl w:val="88CA561A"/>
    <w:lvl w:ilvl="0" w:tplc="8C02BF2C">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9" w15:restartNumberingAfterBreak="0">
    <w:nsid w:val="2C157005"/>
    <w:multiLevelType w:val="hybridMultilevel"/>
    <w:tmpl w:val="32C28420"/>
    <w:lvl w:ilvl="0" w:tplc="8C02BF2C">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2D500F83"/>
    <w:multiLevelType w:val="hybridMultilevel"/>
    <w:tmpl w:val="90A8E348"/>
    <w:lvl w:ilvl="0" w:tplc="D8DC2162">
      <w:start w:val="1"/>
      <w:numFmt w:val="lowerLetter"/>
      <w:lvlText w:val="(%1)"/>
      <w:lvlJc w:val="left"/>
      <w:pPr>
        <w:tabs>
          <w:tab w:val="num" w:pos="1069"/>
        </w:tabs>
        <w:ind w:left="1069" w:hanging="360"/>
      </w:pPr>
      <w:rPr>
        <w:rFonts w:cs="Yu Mincho Light" w:hint="default"/>
        <w:color w:val="005CA9"/>
      </w:rPr>
    </w:lvl>
    <w:lvl w:ilvl="1" w:tplc="04160019" w:tentative="1">
      <w:start w:val="1"/>
      <w:numFmt w:val="lowerLetter"/>
      <w:lvlText w:val="%2."/>
      <w:lvlJc w:val="left"/>
      <w:pPr>
        <w:tabs>
          <w:tab w:val="num" w:pos="1789"/>
        </w:tabs>
        <w:ind w:left="1789" w:hanging="360"/>
      </w:pPr>
      <w:rPr>
        <w:rFonts w:cs="Yu Mincho Light"/>
      </w:rPr>
    </w:lvl>
    <w:lvl w:ilvl="2" w:tplc="0416001B" w:tentative="1">
      <w:start w:val="1"/>
      <w:numFmt w:val="lowerRoman"/>
      <w:lvlText w:val="%3."/>
      <w:lvlJc w:val="right"/>
      <w:pPr>
        <w:tabs>
          <w:tab w:val="num" w:pos="2509"/>
        </w:tabs>
        <w:ind w:left="2509" w:hanging="180"/>
      </w:pPr>
      <w:rPr>
        <w:rFonts w:cs="Yu Mincho Light"/>
      </w:rPr>
    </w:lvl>
    <w:lvl w:ilvl="3" w:tplc="0416000F" w:tentative="1">
      <w:start w:val="1"/>
      <w:numFmt w:val="decimal"/>
      <w:lvlText w:val="%4."/>
      <w:lvlJc w:val="left"/>
      <w:pPr>
        <w:tabs>
          <w:tab w:val="num" w:pos="3229"/>
        </w:tabs>
        <w:ind w:left="3229" w:hanging="360"/>
      </w:pPr>
      <w:rPr>
        <w:rFonts w:cs="Yu Mincho Light"/>
      </w:rPr>
    </w:lvl>
    <w:lvl w:ilvl="4" w:tplc="04160019" w:tentative="1">
      <w:start w:val="1"/>
      <w:numFmt w:val="lowerLetter"/>
      <w:lvlText w:val="%5."/>
      <w:lvlJc w:val="left"/>
      <w:pPr>
        <w:tabs>
          <w:tab w:val="num" w:pos="3949"/>
        </w:tabs>
        <w:ind w:left="3949" w:hanging="360"/>
      </w:pPr>
      <w:rPr>
        <w:rFonts w:cs="Yu Mincho Light"/>
      </w:rPr>
    </w:lvl>
    <w:lvl w:ilvl="5" w:tplc="0416001B" w:tentative="1">
      <w:start w:val="1"/>
      <w:numFmt w:val="lowerRoman"/>
      <w:lvlText w:val="%6."/>
      <w:lvlJc w:val="right"/>
      <w:pPr>
        <w:tabs>
          <w:tab w:val="num" w:pos="4669"/>
        </w:tabs>
        <w:ind w:left="4669" w:hanging="180"/>
      </w:pPr>
      <w:rPr>
        <w:rFonts w:cs="Yu Mincho Light"/>
      </w:rPr>
    </w:lvl>
    <w:lvl w:ilvl="6" w:tplc="0416000F" w:tentative="1">
      <w:start w:val="1"/>
      <w:numFmt w:val="decimal"/>
      <w:lvlText w:val="%7."/>
      <w:lvlJc w:val="left"/>
      <w:pPr>
        <w:tabs>
          <w:tab w:val="num" w:pos="5389"/>
        </w:tabs>
        <w:ind w:left="5389" w:hanging="360"/>
      </w:pPr>
      <w:rPr>
        <w:rFonts w:cs="Yu Mincho Light"/>
      </w:rPr>
    </w:lvl>
    <w:lvl w:ilvl="7" w:tplc="04160019" w:tentative="1">
      <w:start w:val="1"/>
      <w:numFmt w:val="lowerLetter"/>
      <w:lvlText w:val="%8."/>
      <w:lvlJc w:val="left"/>
      <w:pPr>
        <w:tabs>
          <w:tab w:val="num" w:pos="6109"/>
        </w:tabs>
        <w:ind w:left="6109" w:hanging="360"/>
      </w:pPr>
      <w:rPr>
        <w:rFonts w:cs="Yu Mincho Light"/>
      </w:rPr>
    </w:lvl>
    <w:lvl w:ilvl="8" w:tplc="0416001B" w:tentative="1">
      <w:start w:val="1"/>
      <w:numFmt w:val="lowerRoman"/>
      <w:lvlText w:val="%9."/>
      <w:lvlJc w:val="right"/>
      <w:pPr>
        <w:tabs>
          <w:tab w:val="num" w:pos="6829"/>
        </w:tabs>
        <w:ind w:left="6829" w:hanging="180"/>
      </w:pPr>
      <w:rPr>
        <w:rFonts w:cs="Yu Mincho Light"/>
      </w:rPr>
    </w:lvl>
  </w:abstractNum>
  <w:abstractNum w:abstractNumId="11" w15:restartNumberingAfterBreak="0">
    <w:nsid w:val="34015408"/>
    <w:multiLevelType w:val="hybridMultilevel"/>
    <w:tmpl w:val="BC7A33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DC61634"/>
    <w:multiLevelType w:val="hybridMultilevel"/>
    <w:tmpl w:val="7DBE3EF6"/>
    <w:lvl w:ilvl="0" w:tplc="F0FED212">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82E33B5"/>
    <w:multiLevelType w:val="hybridMultilevel"/>
    <w:tmpl w:val="DECCE902"/>
    <w:lvl w:ilvl="0" w:tplc="88BCF974">
      <w:start w:val="1"/>
      <w:numFmt w:val="lowerLetter"/>
      <w:lvlText w:val="(%1)"/>
      <w:lvlJc w:val="left"/>
      <w:pPr>
        <w:ind w:left="720" w:hanging="360"/>
      </w:pPr>
      <w:rPr>
        <w:rFonts w:ascii="CAIXA Std Book" w:hAnsi="CAIXA Std Book" w:hint="default"/>
        <w:b/>
        <w:color w:val="005CA9"/>
        <w:sz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590445A9"/>
    <w:multiLevelType w:val="hybridMultilevel"/>
    <w:tmpl w:val="43A22308"/>
    <w:lvl w:ilvl="0" w:tplc="6C649536">
      <w:start w:val="1"/>
      <w:numFmt w:val="lowerLetter"/>
      <w:lvlText w:val="(%1)"/>
      <w:lvlJc w:val="left"/>
      <w:pPr>
        <w:ind w:left="1231" w:hanging="360"/>
      </w:pPr>
      <w:rPr>
        <w:rFonts w:hint="default"/>
      </w:rPr>
    </w:lvl>
    <w:lvl w:ilvl="1" w:tplc="04160019" w:tentative="1">
      <w:start w:val="1"/>
      <w:numFmt w:val="lowerLetter"/>
      <w:lvlText w:val="%2."/>
      <w:lvlJc w:val="left"/>
      <w:pPr>
        <w:ind w:left="1951" w:hanging="360"/>
      </w:pPr>
    </w:lvl>
    <w:lvl w:ilvl="2" w:tplc="0416001B" w:tentative="1">
      <w:start w:val="1"/>
      <w:numFmt w:val="lowerRoman"/>
      <w:lvlText w:val="%3."/>
      <w:lvlJc w:val="right"/>
      <w:pPr>
        <w:ind w:left="2671" w:hanging="180"/>
      </w:pPr>
    </w:lvl>
    <w:lvl w:ilvl="3" w:tplc="0416000F" w:tentative="1">
      <w:start w:val="1"/>
      <w:numFmt w:val="decimal"/>
      <w:lvlText w:val="%4."/>
      <w:lvlJc w:val="left"/>
      <w:pPr>
        <w:ind w:left="3391" w:hanging="360"/>
      </w:pPr>
    </w:lvl>
    <w:lvl w:ilvl="4" w:tplc="04160019" w:tentative="1">
      <w:start w:val="1"/>
      <w:numFmt w:val="lowerLetter"/>
      <w:lvlText w:val="%5."/>
      <w:lvlJc w:val="left"/>
      <w:pPr>
        <w:ind w:left="4111" w:hanging="360"/>
      </w:pPr>
    </w:lvl>
    <w:lvl w:ilvl="5" w:tplc="0416001B" w:tentative="1">
      <w:start w:val="1"/>
      <w:numFmt w:val="lowerRoman"/>
      <w:lvlText w:val="%6."/>
      <w:lvlJc w:val="right"/>
      <w:pPr>
        <w:ind w:left="4831" w:hanging="180"/>
      </w:pPr>
    </w:lvl>
    <w:lvl w:ilvl="6" w:tplc="0416000F" w:tentative="1">
      <w:start w:val="1"/>
      <w:numFmt w:val="decimal"/>
      <w:lvlText w:val="%7."/>
      <w:lvlJc w:val="left"/>
      <w:pPr>
        <w:ind w:left="5551" w:hanging="360"/>
      </w:pPr>
    </w:lvl>
    <w:lvl w:ilvl="7" w:tplc="04160019" w:tentative="1">
      <w:start w:val="1"/>
      <w:numFmt w:val="lowerLetter"/>
      <w:lvlText w:val="%8."/>
      <w:lvlJc w:val="left"/>
      <w:pPr>
        <w:ind w:left="6271" w:hanging="360"/>
      </w:pPr>
    </w:lvl>
    <w:lvl w:ilvl="8" w:tplc="0416001B" w:tentative="1">
      <w:start w:val="1"/>
      <w:numFmt w:val="lowerRoman"/>
      <w:lvlText w:val="%9."/>
      <w:lvlJc w:val="right"/>
      <w:pPr>
        <w:ind w:left="6991" w:hanging="180"/>
      </w:pPr>
    </w:lvl>
  </w:abstractNum>
  <w:abstractNum w:abstractNumId="15" w15:restartNumberingAfterBreak="0">
    <w:nsid w:val="5BC4284C"/>
    <w:multiLevelType w:val="hybridMultilevel"/>
    <w:tmpl w:val="E6D04386"/>
    <w:lvl w:ilvl="0" w:tplc="63AAEE0C">
      <w:start w:val="1"/>
      <w:numFmt w:val="decimal"/>
      <w:lvlText w:val="(%1)"/>
      <w:lvlJc w:val="left"/>
      <w:pPr>
        <w:ind w:left="720" w:hanging="360"/>
      </w:pPr>
      <w:rPr>
        <w:rFonts w:hint="default"/>
      </w:rPr>
    </w:lvl>
    <w:lvl w:ilvl="1" w:tplc="FA3EABEC">
      <w:start w:val="1"/>
      <w:numFmt w:val="lowerLetter"/>
      <w:lvlText w:val="(%2)"/>
      <w:lvlJc w:val="left"/>
      <w:pPr>
        <w:ind w:left="680" w:hanging="680"/>
      </w:pPr>
      <w:rPr>
        <w:rFonts w:ascii="CAIXA Std Book" w:hAnsi="CAIXA Std Book" w:hint="default"/>
        <w:b/>
        <w:color w:val="005CA9"/>
        <w:sz w:val="20"/>
        <w:szCs w:val="2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E6474D7"/>
    <w:multiLevelType w:val="hybridMultilevel"/>
    <w:tmpl w:val="BC7A33A6"/>
    <w:lvl w:ilvl="0" w:tplc="E5825CBA">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610A7878"/>
    <w:multiLevelType w:val="hybridMultilevel"/>
    <w:tmpl w:val="EB2EC886"/>
    <w:lvl w:ilvl="0" w:tplc="41CEEFDE">
      <w:start w:val="1"/>
      <w:numFmt w:val="lowerLetter"/>
      <w:lvlText w:val="(%1)"/>
      <w:lvlJc w:val="left"/>
      <w:pPr>
        <w:ind w:left="644" w:hanging="360"/>
      </w:pPr>
      <w:rPr>
        <w:rFonts w:hint="default"/>
        <w:b/>
        <w:bCs/>
        <w:sz w:val="20"/>
        <w:szCs w:val="20"/>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8" w15:restartNumberingAfterBreak="0">
    <w:nsid w:val="61123875"/>
    <w:multiLevelType w:val="hybridMultilevel"/>
    <w:tmpl w:val="2E34C920"/>
    <w:lvl w:ilvl="0" w:tplc="04160001">
      <w:start w:val="1"/>
      <w:numFmt w:val="bullet"/>
      <w:lvlText w:val=""/>
      <w:lvlJc w:val="left"/>
      <w:pPr>
        <w:ind w:left="768" w:hanging="360"/>
      </w:pPr>
      <w:rPr>
        <w:rFonts w:ascii="Symbol" w:hAnsi="Symbol" w:hint="default"/>
      </w:rPr>
    </w:lvl>
    <w:lvl w:ilvl="1" w:tplc="04160003" w:tentative="1">
      <w:start w:val="1"/>
      <w:numFmt w:val="bullet"/>
      <w:lvlText w:val="o"/>
      <w:lvlJc w:val="left"/>
      <w:pPr>
        <w:ind w:left="1488" w:hanging="360"/>
      </w:pPr>
      <w:rPr>
        <w:rFonts w:ascii="Courier New" w:hAnsi="Courier New" w:cs="Courier New" w:hint="default"/>
      </w:rPr>
    </w:lvl>
    <w:lvl w:ilvl="2" w:tplc="04160005" w:tentative="1">
      <w:start w:val="1"/>
      <w:numFmt w:val="bullet"/>
      <w:lvlText w:val=""/>
      <w:lvlJc w:val="left"/>
      <w:pPr>
        <w:ind w:left="2208" w:hanging="360"/>
      </w:pPr>
      <w:rPr>
        <w:rFonts w:ascii="Wingdings" w:hAnsi="Wingdings" w:hint="default"/>
      </w:rPr>
    </w:lvl>
    <w:lvl w:ilvl="3" w:tplc="04160001" w:tentative="1">
      <w:start w:val="1"/>
      <w:numFmt w:val="bullet"/>
      <w:lvlText w:val=""/>
      <w:lvlJc w:val="left"/>
      <w:pPr>
        <w:ind w:left="2928" w:hanging="360"/>
      </w:pPr>
      <w:rPr>
        <w:rFonts w:ascii="Symbol" w:hAnsi="Symbol" w:hint="default"/>
      </w:rPr>
    </w:lvl>
    <w:lvl w:ilvl="4" w:tplc="04160003" w:tentative="1">
      <w:start w:val="1"/>
      <w:numFmt w:val="bullet"/>
      <w:lvlText w:val="o"/>
      <w:lvlJc w:val="left"/>
      <w:pPr>
        <w:ind w:left="3648" w:hanging="360"/>
      </w:pPr>
      <w:rPr>
        <w:rFonts w:ascii="Courier New" w:hAnsi="Courier New" w:cs="Courier New" w:hint="default"/>
      </w:rPr>
    </w:lvl>
    <w:lvl w:ilvl="5" w:tplc="04160005" w:tentative="1">
      <w:start w:val="1"/>
      <w:numFmt w:val="bullet"/>
      <w:lvlText w:val=""/>
      <w:lvlJc w:val="left"/>
      <w:pPr>
        <w:ind w:left="4368" w:hanging="360"/>
      </w:pPr>
      <w:rPr>
        <w:rFonts w:ascii="Wingdings" w:hAnsi="Wingdings" w:hint="default"/>
      </w:rPr>
    </w:lvl>
    <w:lvl w:ilvl="6" w:tplc="04160001" w:tentative="1">
      <w:start w:val="1"/>
      <w:numFmt w:val="bullet"/>
      <w:lvlText w:val=""/>
      <w:lvlJc w:val="left"/>
      <w:pPr>
        <w:ind w:left="5088" w:hanging="360"/>
      </w:pPr>
      <w:rPr>
        <w:rFonts w:ascii="Symbol" w:hAnsi="Symbol" w:hint="default"/>
      </w:rPr>
    </w:lvl>
    <w:lvl w:ilvl="7" w:tplc="04160003" w:tentative="1">
      <w:start w:val="1"/>
      <w:numFmt w:val="bullet"/>
      <w:lvlText w:val="o"/>
      <w:lvlJc w:val="left"/>
      <w:pPr>
        <w:ind w:left="5808" w:hanging="360"/>
      </w:pPr>
      <w:rPr>
        <w:rFonts w:ascii="Courier New" w:hAnsi="Courier New" w:cs="Courier New" w:hint="default"/>
      </w:rPr>
    </w:lvl>
    <w:lvl w:ilvl="8" w:tplc="04160005" w:tentative="1">
      <w:start w:val="1"/>
      <w:numFmt w:val="bullet"/>
      <w:lvlText w:val=""/>
      <w:lvlJc w:val="left"/>
      <w:pPr>
        <w:ind w:left="6528" w:hanging="360"/>
      </w:pPr>
      <w:rPr>
        <w:rFonts w:ascii="Wingdings" w:hAnsi="Wingdings" w:hint="default"/>
      </w:rPr>
    </w:lvl>
  </w:abstractNum>
  <w:abstractNum w:abstractNumId="19" w15:restartNumberingAfterBreak="0">
    <w:nsid w:val="63690FE4"/>
    <w:multiLevelType w:val="hybridMultilevel"/>
    <w:tmpl w:val="A5506ACC"/>
    <w:lvl w:ilvl="0" w:tplc="F9862A7E">
      <w:start w:val="1"/>
      <w:numFmt w:val="lowerLetter"/>
      <w:lvlText w:val="(%1)"/>
      <w:lvlJc w:val="left"/>
      <w:pPr>
        <w:ind w:left="1070" w:hanging="360"/>
      </w:pPr>
      <w:rPr>
        <w:rFonts w:hint="default"/>
      </w:rPr>
    </w:lvl>
    <w:lvl w:ilvl="1" w:tplc="04160019" w:tentative="1">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20" w15:restartNumberingAfterBreak="0">
    <w:nsid w:val="652C08E7"/>
    <w:multiLevelType w:val="hybridMultilevel"/>
    <w:tmpl w:val="07F0D852"/>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Yu Mincho Light"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Yu Mincho Light"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Yu Mincho Light" w:hint="default"/>
      </w:rPr>
    </w:lvl>
    <w:lvl w:ilvl="8" w:tplc="04160005">
      <w:start w:val="1"/>
      <w:numFmt w:val="bullet"/>
      <w:lvlText w:val=""/>
      <w:lvlJc w:val="left"/>
      <w:pPr>
        <w:ind w:left="6480" w:hanging="360"/>
      </w:pPr>
      <w:rPr>
        <w:rFonts w:ascii="Wingdings" w:hAnsi="Wingdings" w:hint="default"/>
      </w:rPr>
    </w:lvl>
  </w:abstractNum>
  <w:abstractNum w:abstractNumId="21" w15:restartNumberingAfterBreak="0">
    <w:nsid w:val="655370D0"/>
    <w:multiLevelType w:val="hybridMultilevel"/>
    <w:tmpl w:val="6A4C6DCC"/>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656054B1"/>
    <w:multiLevelType w:val="multilevel"/>
    <w:tmpl w:val="AF04DA3E"/>
    <w:lvl w:ilvl="0">
      <w:start w:val="1"/>
      <w:numFmt w:val="decimal"/>
      <w:lvlText w:val="%1 "/>
      <w:lvlJc w:val="left"/>
      <w:pPr>
        <w:tabs>
          <w:tab w:val="num" w:pos="360"/>
        </w:tabs>
      </w:pPr>
      <w:rPr>
        <w:rFonts w:ascii="Cambria Math" w:hAnsi="Cambria Math" w:cs="Yu Mincho Light" w:hint="default"/>
        <w:b/>
        <w:i w:val="0"/>
        <w:color w:val="auto"/>
        <w:sz w:val="18"/>
      </w:rPr>
    </w:lvl>
    <w:lvl w:ilvl="1">
      <w:start w:val="1"/>
      <w:numFmt w:val="decimal"/>
      <w:pStyle w:val="Normal2"/>
      <w:lvlText w:val="%1.%2 "/>
      <w:lvlJc w:val="left"/>
      <w:pPr>
        <w:tabs>
          <w:tab w:val="num" w:pos="600"/>
        </w:tabs>
        <w:ind w:left="240" w:hanging="240"/>
      </w:pPr>
      <w:rPr>
        <w:rFonts w:ascii="Cambria Math" w:hAnsi="Cambria Math" w:cs="Yu Mincho Light" w:hint="default"/>
        <w:b/>
        <w:i w:val="0"/>
        <w:color w:val="auto"/>
        <w:sz w:val="18"/>
      </w:rPr>
    </w:lvl>
    <w:lvl w:ilvl="2">
      <w:start w:val="1"/>
      <w:numFmt w:val="decimal"/>
      <w:pStyle w:val="Normal3"/>
      <w:lvlText w:val="%1.%2.%3 "/>
      <w:lvlJc w:val="left"/>
      <w:pPr>
        <w:tabs>
          <w:tab w:val="num" w:pos="720"/>
        </w:tabs>
      </w:pPr>
      <w:rPr>
        <w:rFonts w:ascii="Cambria Math" w:hAnsi="Cambria Math" w:cs="Yu Mincho Light" w:hint="default"/>
        <w:b/>
        <w:i w:val="0"/>
        <w:color w:val="auto"/>
        <w:sz w:val="18"/>
      </w:rPr>
    </w:lvl>
    <w:lvl w:ilvl="3">
      <w:start w:val="1"/>
      <w:numFmt w:val="decimal"/>
      <w:lvlText w:val="%1.%2.%3.%4 "/>
      <w:lvlJc w:val="left"/>
      <w:pPr>
        <w:tabs>
          <w:tab w:val="num" w:pos="720"/>
        </w:tabs>
      </w:pPr>
      <w:rPr>
        <w:rFonts w:ascii="Cambria Math" w:hAnsi="Cambria Math" w:cs="Yu Mincho Light" w:hint="default"/>
        <w:b/>
        <w:bCs w:val="0"/>
        <w:i w:val="0"/>
        <w:iCs w:val="0"/>
        <w:caps w:val="0"/>
        <w:smallCaps w:val="0"/>
        <w:strike w:val="0"/>
        <w:dstrike w:val="0"/>
        <w:vanish w:val="0"/>
        <w:color w:val="auto"/>
        <w:kern w:val="0"/>
        <w:position w:val="0"/>
        <w:sz w:val="18"/>
        <w:u w:val="none"/>
        <w:vertAlign w:val="baseline"/>
      </w:rPr>
    </w:lvl>
    <w:lvl w:ilvl="4">
      <w:start w:val="1"/>
      <w:numFmt w:val="decimal"/>
      <w:lvlText w:val="%1.%2.%3.%4.%5 "/>
      <w:lvlJc w:val="left"/>
      <w:pPr>
        <w:tabs>
          <w:tab w:val="num" w:pos="0"/>
        </w:tabs>
      </w:pPr>
      <w:rPr>
        <w:rFonts w:cs="Yu Mincho Light" w:hint="default"/>
        <w:b/>
        <w:i w:val="0"/>
      </w:rPr>
    </w:lvl>
    <w:lvl w:ilvl="5">
      <w:start w:val="1"/>
      <w:numFmt w:val="decimal"/>
      <w:lvlText w:val="%1.%2.%3.%4.%5.%6 "/>
      <w:lvlJc w:val="left"/>
      <w:pPr>
        <w:tabs>
          <w:tab w:val="num" w:pos="0"/>
        </w:tabs>
      </w:pPr>
      <w:rPr>
        <w:rFonts w:ascii="Cambria Math" w:hAnsi="Cambria Math" w:cs="Yu Mincho Light" w:hint="default"/>
        <w:b/>
        <w:i w:val="0"/>
        <w:color w:val="auto"/>
        <w:sz w:val="18"/>
      </w:rPr>
    </w:lvl>
    <w:lvl w:ilvl="6">
      <w:start w:val="1"/>
      <w:numFmt w:val="decimal"/>
      <w:lvlText w:val="%1.%2.%3.%4.%5.%6.%7 "/>
      <w:lvlJc w:val="left"/>
      <w:pPr>
        <w:tabs>
          <w:tab w:val="num" w:pos="1080"/>
        </w:tabs>
      </w:pPr>
      <w:rPr>
        <w:rFonts w:ascii="Cambria Math" w:hAnsi="Cambria Math" w:cs="Yu Mincho Light" w:hint="default"/>
        <w:b/>
        <w:i w:val="0"/>
        <w:color w:val="0000FF"/>
        <w:sz w:val="18"/>
      </w:rPr>
    </w:lvl>
    <w:lvl w:ilvl="7">
      <w:start w:val="1"/>
      <w:numFmt w:val="decimal"/>
      <w:lvlText w:val="%1.%2.%3.%4.%5.%6.%7.%8 "/>
      <w:lvlJc w:val="left"/>
      <w:pPr>
        <w:tabs>
          <w:tab w:val="num" w:pos="1440"/>
        </w:tabs>
      </w:pPr>
      <w:rPr>
        <w:rFonts w:ascii="Cambria Math" w:hAnsi="Cambria Math" w:cs="Yu Mincho Light" w:hint="default"/>
        <w:b/>
        <w:i w:val="0"/>
        <w:color w:val="0000FF"/>
        <w:sz w:val="18"/>
      </w:rPr>
    </w:lvl>
    <w:lvl w:ilvl="8">
      <w:start w:val="1"/>
      <w:numFmt w:val="decimal"/>
      <w:lvlText w:val="%1.%2.%3.%4.%5.%6.%7.%8.%9 "/>
      <w:lvlJc w:val="left"/>
      <w:pPr>
        <w:tabs>
          <w:tab w:val="num" w:pos="1440"/>
        </w:tabs>
      </w:pPr>
      <w:rPr>
        <w:rFonts w:ascii="Cambria Math" w:hAnsi="Cambria Math" w:cs="Yu Mincho Light" w:hint="default"/>
        <w:b/>
        <w:i w:val="0"/>
        <w:color w:val="0000FF"/>
        <w:sz w:val="18"/>
      </w:rPr>
    </w:lvl>
  </w:abstractNum>
  <w:abstractNum w:abstractNumId="23" w15:restartNumberingAfterBreak="0">
    <w:nsid w:val="67027D02"/>
    <w:multiLevelType w:val="hybridMultilevel"/>
    <w:tmpl w:val="C4BC0BE6"/>
    <w:lvl w:ilvl="0" w:tplc="FFFFFFFF">
      <w:start w:val="1"/>
      <w:numFmt w:val="lowerLetter"/>
      <w:lvlText w:val="(%1)"/>
      <w:lvlJc w:val="left"/>
      <w:pPr>
        <w:ind w:left="2912"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9E829E6"/>
    <w:multiLevelType w:val="hybridMultilevel"/>
    <w:tmpl w:val="E9E4914C"/>
    <w:lvl w:ilvl="0" w:tplc="89AAD5FE">
      <w:start w:val="1"/>
      <w:numFmt w:val="lowerLetter"/>
      <w:lvlText w:val="(%1)"/>
      <w:lvlJc w:val="left"/>
      <w:pPr>
        <w:tabs>
          <w:tab w:val="num" w:pos="750"/>
        </w:tabs>
        <w:ind w:left="750" w:hanging="390"/>
      </w:pPr>
      <w:rPr>
        <w:rFonts w:cs="Yu Mincho Light" w:hint="default"/>
      </w:rPr>
    </w:lvl>
    <w:lvl w:ilvl="1" w:tplc="04160019" w:tentative="1">
      <w:start w:val="1"/>
      <w:numFmt w:val="lowerLetter"/>
      <w:lvlText w:val="%2."/>
      <w:lvlJc w:val="left"/>
      <w:pPr>
        <w:tabs>
          <w:tab w:val="num" w:pos="1440"/>
        </w:tabs>
        <w:ind w:left="1440" w:hanging="360"/>
      </w:pPr>
      <w:rPr>
        <w:rFonts w:cs="Yu Mincho Light"/>
      </w:rPr>
    </w:lvl>
    <w:lvl w:ilvl="2" w:tplc="0416001B" w:tentative="1">
      <w:start w:val="1"/>
      <w:numFmt w:val="lowerRoman"/>
      <w:lvlText w:val="%3."/>
      <w:lvlJc w:val="right"/>
      <w:pPr>
        <w:tabs>
          <w:tab w:val="num" w:pos="2160"/>
        </w:tabs>
        <w:ind w:left="2160" w:hanging="180"/>
      </w:pPr>
      <w:rPr>
        <w:rFonts w:cs="Yu Mincho Light"/>
      </w:rPr>
    </w:lvl>
    <w:lvl w:ilvl="3" w:tplc="0416000F" w:tentative="1">
      <w:start w:val="1"/>
      <w:numFmt w:val="decimal"/>
      <w:lvlText w:val="%4."/>
      <w:lvlJc w:val="left"/>
      <w:pPr>
        <w:tabs>
          <w:tab w:val="num" w:pos="2880"/>
        </w:tabs>
        <w:ind w:left="2880" w:hanging="360"/>
      </w:pPr>
      <w:rPr>
        <w:rFonts w:cs="Yu Mincho Light"/>
      </w:rPr>
    </w:lvl>
    <w:lvl w:ilvl="4" w:tplc="04160019" w:tentative="1">
      <w:start w:val="1"/>
      <w:numFmt w:val="lowerLetter"/>
      <w:lvlText w:val="%5."/>
      <w:lvlJc w:val="left"/>
      <w:pPr>
        <w:tabs>
          <w:tab w:val="num" w:pos="3600"/>
        </w:tabs>
        <w:ind w:left="3600" w:hanging="360"/>
      </w:pPr>
      <w:rPr>
        <w:rFonts w:cs="Yu Mincho Light"/>
      </w:rPr>
    </w:lvl>
    <w:lvl w:ilvl="5" w:tplc="0416001B" w:tentative="1">
      <w:start w:val="1"/>
      <w:numFmt w:val="lowerRoman"/>
      <w:lvlText w:val="%6."/>
      <w:lvlJc w:val="right"/>
      <w:pPr>
        <w:tabs>
          <w:tab w:val="num" w:pos="4320"/>
        </w:tabs>
        <w:ind w:left="4320" w:hanging="180"/>
      </w:pPr>
      <w:rPr>
        <w:rFonts w:cs="Yu Mincho Light"/>
      </w:rPr>
    </w:lvl>
    <w:lvl w:ilvl="6" w:tplc="0416000F" w:tentative="1">
      <w:start w:val="1"/>
      <w:numFmt w:val="decimal"/>
      <w:lvlText w:val="%7."/>
      <w:lvlJc w:val="left"/>
      <w:pPr>
        <w:tabs>
          <w:tab w:val="num" w:pos="5040"/>
        </w:tabs>
        <w:ind w:left="5040" w:hanging="360"/>
      </w:pPr>
      <w:rPr>
        <w:rFonts w:cs="Yu Mincho Light"/>
      </w:rPr>
    </w:lvl>
    <w:lvl w:ilvl="7" w:tplc="04160019" w:tentative="1">
      <w:start w:val="1"/>
      <w:numFmt w:val="lowerLetter"/>
      <w:lvlText w:val="%8."/>
      <w:lvlJc w:val="left"/>
      <w:pPr>
        <w:tabs>
          <w:tab w:val="num" w:pos="5760"/>
        </w:tabs>
        <w:ind w:left="5760" w:hanging="360"/>
      </w:pPr>
      <w:rPr>
        <w:rFonts w:cs="Yu Mincho Light"/>
      </w:rPr>
    </w:lvl>
    <w:lvl w:ilvl="8" w:tplc="0416001B" w:tentative="1">
      <w:start w:val="1"/>
      <w:numFmt w:val="lowerRoman"/>
      <w:lvlText w:val="%9."/>
      <w:lvlJc w:val="right"/>
      <w:pPr>
        <w:tabs>
          <w:tab w:val="num" w:pos="6480"/>
        </w:tabs>
        <w:ind w:left="6480" w:hanging="180"/>
      </w:pPr>
      <w:rPr>
        <w:rFonts w:cs="Yu Mincho Light"/>
      </w:rPr>
    </w:lvl>
  </w:abstractNum>
  <w:abstractNum w:abstractNumId="25" w15:restartNumberingAfterBreak="0">
    <w:nsid w:val="7C580F4F"/>
    <w:multiLevelType w:val="multilevel"/>
    <w:tmpl w:val="A0E05404"/>
    <w:styleLink w:val="Listaatual1"/>
    <w:lvl w:ilvl="0">
      <w:start w:val="1"/>
      <w:numFmt w:val="none"/>
      <w:lvlText w:val="Nota %1"/>
      <w:lvlJc w:val="left"/>
      <w:pPr>
        <w:tabs>
          <w:tab w:val="num" w:pos="120"/>
        </w:tabs>
        <w:ind w:left="552" w:hanging="552"/>
      </w:pPr>
      <w:rPr>
        <w:rFonts w:ascii="Cambria Math" w:hAnsi="Cambria Math" w:cs="Yu Mincho Light" w:hint="default"/>
        <w:b/>
        <w:color w:val="auto"/>
        <w:sz w:val="22"/>
      </w:rPr>
    </w:lvl>
    <w:lvl w:ilvl="1">
      <w:start w:val="1"/>
      <w:numFmt w:val="decimal"/>
      <w:lvlText w:val="%1.%2"/>
      <w:lvlJc w:val="left"/>
      <w:pPr>
        <w:tabs>
          <w:tab w:val="num" w:pos="0"/>
        </w:tabs>
        <w:ind w:left="576" w:hanging="576"/>
      </w:pPr>
      <w:rPr>
        <w:rFonts w:cs="Yu Mincho Light" w:hint="default"/>
      </w:rPr>
    </w:lvl>
    <w:lvl w:ilvl="2">
      <w:start w:val="1"/>
      <w:numFmt w:val="decimal"/>
      <w:lvlText w:val="%1.%2.%3"/>
      <w:lvlJc w:val="left"/>
      <w:pPr>
        <w:tabs>
          <w:tab w:val="num" w:pos="0"/>
        </w:tabs>
        <w:ind w:left="720" w:hanging="720"/>
      </w:pPr>
      <w:rPr>
        <w:rFonts w:cs="Yu Mincho Light" w:hint="default"/>
        <w:i w:val="0"/>
        <w:color w:val="000000"/>
        <w:sz w:val="22"/>
        <w:szCs w:val="22"/>
      </w:rPr>
    </w:lvl>
    <w:lvl w:ilvl="3">
      <w:start w:val="1"/>
      <w:numFmt w:val="decimal"/>
      <w:lvlText w:val="%1.%2.%3.%4"/>
      <w:lvlJc w:val="left"/>
      <w:pPr>
        <w:tabs>
          <w:tab w:val="num" w:pos="0"/>
        </w:tabs>
        <w:ind w:left="864" w:hanging="864"/>
      </w:pPr>
      <w:rPr>
        <w:rFonts w:cs="Yu Mincho Light" w:hint="default"/>
      </w:rPr>
    </w:lvl>
    <w:lvl w:ilvl="4">
      <w:start w:val="1"/>
      <w:numFmt w:val="decimal"/>
      <w:lvlText w:val="%1.%2.%3.%4.%5"/>
      <w:lvlJc w:val="left"/>
      <w:pPr>
        <w:tabs>
          <w:tab w:val="num" w:pos="0"/>
        </w:tabs>
        <w:ind w:left="1008" w:hanging="1008"/>
      </w:pPr>
      <w:rPr>
        <w:rFonts w:cs="Yu Mincho Light" w:hint="default"/>
      </w:rPr>
    </w:lvl>
    <w:lvl w:ilvl="5">
      <w:start w:val="1"/>
      <w:numFmt w:val="decimal"/>
      <w:lvlText w:val="%1.%2.%3.%4.%5.%6"/>
      <w:lvlJc w:val="left"/>
      <w:pPr>
        <w:tabs>
          <w:tab w:val="num" w:pos="0"/>
        </w:tabs>
        <w:ind w:left="1152" w:hanging="1152"/>
      </w:pPr>
      <w:rPr>
        <w:rFonts w:cs="Yu Mincho Light" w:hint="default"/>
      </w:rPr>
    </w:lvl>
    <w:lvl w:ilvl="6">
      <w:start w:val="1"/>
      <w:numFmt w:val="decimal"/>
      <w:lvlText w:val="%1.%2.%3.%4.%5.%6.%7"/>
      <w:lvlJc w:val="left"/>
      <w:pPr>
        <w:tabs>
          <w:tab w:val="num" w:pos="0"/>
        </w:tabs>
        <w:ind w:left="1296" w:hanging="1296"/>
      </w:pPr>
      <w:rPr>
        <w:rFonts w:cs="Yu Mincho Light" w:hint="default"/>
      </w:rPr>
    </w:lvl>
    <w:lvl w:ilvl="7">
      <w:start w:val="1"/>
      <w:numFmt w:val="decimal"/>
      <w:lvlText w:val="%1.%2.%3.%4.%5.%6.%7.%8"/>
      <w:lvlJc w:val="left"/>
      <w:pPr>
        <w:tabs>
          <w:tab w:val="num" w:pos="0"/>
        </w:tabs>
        <w:ind w:left="1440" w:hanging="1440"/>
      </w:pPr>
      <w:rPr>
        <w:rFonts w:cs="Yu Mincho Light" w:hint="default"/>
      </w:rPr>
    </w:lvl>
    <w:lvl w:ilvl="8">
      <w:start w:val="1"/>
      <w:numFmt w:val="decimal"/>
      <w:lvlText w:val="%1.%2.%3.%4.%5.%6.%7.%8.%9"/>
      <w:lvlJc w:val="left"/>
      <w:pPr>
        <w:tabs>
          <w:tab w:val="num" w:pos="0"/>
        </w:tabs>
        <w:ind w:left="1584" w:hanging="1584"/>
      </w:pPr>
      <w:rPr>
        <w:rFonts w:cs="Yu Mincho Light" w:hint="default"/>
      </w:rPr>
    </w:lvl>
  </w:abstractNum>
  <w:abstractNum w:abstractNumId="26" w15:restartNumberingAfterBreak="0">
    <w:nsid w:val="7EEE4B40"/>
    <w:multiLevelType w:val="hybridMultilevel"/>
    <w:tmpl w:val="18F255CC"/>
    <w:styleLink w:val="PubliConLista"/>
    <w:lvl w:ilvl="0" w:tplc="83106758">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F5233A5"/>
    <w:multiLevelType w:val="hybridMultilevel"/>
    <w:tmpl w:val="C4BC0BE6"/>
    <w:lvl w:ilvl="0" w:tplc="CB9E0B32">
      <w:start w:val="1"/>
      <w:numFmt w:val="lowerLetter"/>
      <w:lvlText w:val="(%1)"/>
      <w:lvlJc w:val="left"/>
      <w:pPr>
        <w:ind w:left="2912"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608393831">
    <w:abstractNumId w:val="22"/>
  </w:num>
  <w:num w:numId="2" w16cid:durableId="845901900">
    <w:abstractNumId w:val="25"/>
  </w:num>
  <w:num w:numId="3" w16cid:durableId="1204637454">
    <w:abstractNumId w:val="5"/>
  </w:num>
  <w:num w:numId="4" w16cid:durableId="570047939">
    <w:abstractNumId w:val="10"/>
  </w:num>
  <w:num w:numId="5" w16cid:durableId="1702781767">
    <w:abstractNumId w:val="1"/>
  </w:num>
  <w:num w:numId="6" w16cid:durableId="992491472">
    <w:abstractNumId w:val="24"/>
  </w:num>
  <w:num w:numId="7" w16cid:durableId="481312524">
    <w:abstractNumId w:val="19"/>
  </w:num>
  <w:num w:numId="8" w16cid:durableId="200483169">
    <w:abstractNumId w:val="27"/>
  </w:num>
  <w:num w:numId="9" w16cid:durableId="381641774">
    <w:abstractNumId w:val="16"/>
  </w:num>
  <w:num w:numId="10" w16cid:durableId="897588688">
    <w:abstractNumId w:val="15"/>
  </w:num>
  <w:num w:numId="11" w16cid:durableId="1914006855">
    <w:abstractNumId w:val="4"/>
  </w:num>
  <w:num w:numId="12" w16cid:durableId="39462350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1873911">
    <w:abstractNumId w:val="13"/>
  </w:num>
  <w:num w:numId="14" w16cid:durableId="709649328">
    <w:abstractNumId w:val="6"/>
  </w:num>
  <w:num w:numId="15" w16cid:durableId="306665198">
    <w:abstractNumId w:val="20"/>
  </w:num>
  <w:num w:numId="16" w16cid:durableId="294259207">
    <w:abstractNumId w:val="0"/>
  </w:num>
  <w:num w:numId="17" w16cid:durableId="601454636">
    <w:abstractNumId w:val="17"/>
  </w:num>
  <w:num w:numId="18" w16cid:durableId="1813063370">
    <w:abstractNumId w:val="9"/>
  </w:num>
  <w:num w:numId="19" w16cid:durableId="858201792">
    <w:abstractNumId w:val="21"/>
  </w:num>
  <w:num w:numId="20" w16cid:durableId="61415114">
    <w:abstractNumId w:val="8"/>
  </w:num>
  <w:num w:numId="21" w16cid:durableId="1771463114">
    <w:abstractNumId w:val="7"/>
  </w:num>
  <w:num w:numId="22" w16cid:durableId="1898663429">
    <w:abstractNumId w:val="26"/>
  </w:num>
  <w:num w:numId="23" w16cid:durableId="620261538">
    <w:abstractNumId w:val="3"/>
  </w:num>
  <w:num w:numId="24" w16cid:durableId="1098065861">
    <w:abstractNumId w:val="18"/>
  </w:num>
  <w:num w:numId="25" w16cid:durableId="112793132">
    <w:abstractNumId w:val="12"/>
  </w:num>
  <w:num w:numId="26" w16cid:durableId="312416605">
    <w:abstractNumId w:val="23"/>
  </w:num>
  <w:num w:numId="27" w16cid:durableId="1577326959">
    <w:abstractNumId w:val="11"/>
  </w:num>
  <w:num w:numId="28" w16cid:durableId="1785005134">
    <w:abstractNumId w:val="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BBA"/>
    <w:rsid w:val="00000008"/>
    <w:rsid w:val="00000086"/>
    <w:rsid w:val="000000A4"/>
    <w:rsid w:val="000000AE"/>
    <w:rsid w:val="000000F2"/>
    <w:rsid w:val="00000181"/>
    <w:rsid w:val="0000021D"/>
    <w:rsid w:val="00000243"/>
    <w:rsid w:val="00000326"/>
    <w:rsid w:val="00000471"/>
    <w:rsid w:val="000004B2"/>
    <w:rsid w:val="000004EB"/>
    <w:rsid w:val="0000068D"/>
    <w:rsid w:val="000006B0"/>
    <w:rsid w:val="00000719"/>
    <w:rsid w:val="000007DE"/>
    <w:rsid w:val="000008B0"/>
    <w:rsid w:val="00000923"/>
    <w:rsid w:val="00000A7C"/>
    <w:rsid w:val="00000A81"/>
    <w:rsid w:val="00000A86"/>
    <w:rsid w:val="00000ABD"/>
    <w:rsid w:val="00000AF7"/>
    <w:rsid w:val="00000C0A"/>
    <w:rsid w:val="00000D01"/>
    <w:rsid w:val="00000D62"/>
    <w:rsid w:val="00000F75"/>
    <w:rsid w:val="00000FB1"/>
    <w:rsid w:val="0000102E"/>
    <w:rsid w:val="000010D4"/>
    <w:rsid w:val="000011E8"/>
    <w:rsid w:val="00001244"/>
    <w:rsid w:val="000012FA"/>
    <w:rsid w:val="000013A5"/>
    <w:rsid w:val="000014CE"/>
    <w:rsid w:val="00001511"/>
    <w:rsid w:val="000015E1"/>
    <w:rsid w:val="00001699"/>
    <w:rsid w:val="000016C5"/>
    <w:rsid w:val="0000172E"/>
    <w:rsid w:val="000017B4"/>
    <w:rsid w:val="0000181E"/>
    <w:rsid w:val="0000182F"/>
    <w:rsid w:val="00001870"/>
    <w:rsid w:val="000018C6"/>
    <w:rsid w:val="000019DB"/>
    <w:rsid w:val="000019F9"/>
    <w:rsid w:val="00001A07"/>
    <w:rsid w:val="00001A8B"/>
    <w:rsid w:val="00001CC8"/>
    <w:rsid w:val="00001D70"/>
    <w:rsid w:val="00001D8D"/>
    <w:rsid w:val="00001DA2"/>
    <w:rsid w:val="00001E24"/>
    <w:rsid w:val="00001EEB"/>
    <w:rsid w:val="00001F4F"/>
    <w:rsid w:val="00001F50"/>
    <w:rsid w:val="00001FC9"/>
    <w:rsid w:val="00001FD7"/>
    <w:rsid w:val="000022B9"/>
    <w:rsid w:val="000022E5"/>
    <w:rsid w:val="0000246F"/>
    <w:rsid w:val="0000247B"/>
    <w:rsid w:val="000024A1"/>
    <w:rsid w:val="000025A3"/>
    <w:rsid w:val="0000278C"/>
    <w:rsid w:val="000027AC"/>
    <w:rsid w:val="000027C7"/>
    <w:rsid w:val="00002824"/>
    <w:rsid w:val="00002941"/>
    <w:rsid w:val="000029E1"/>
    <w:rsid w:val="00002A83"/>
    <w:rsid w:val="00002AFA"/>
    <w:rsid w:val="00002B15"/>
    <w:rsid w:val="00002B26"/>
    <w:rsid w:val="00002B82"/>
    <w:rsid w:val="00002D69"/>
    <w:rsid w:val="00002D9C"/>
    <w:rsid w:val="00002E9B"/>
    <w:rsid w:val="00002EEB"/>
    <w:rsid w:val="00002F03"/>
    <w:rsid w:val="00002F75"/>
    <w:rsid w:val="00002FBA"/>
    <w:rsid w:val="00002FED"/>
    <w:rsid w:val="0000300D"/>
    <w:rsid w:val="0000309B"/>
    <w:rsid w:val="000032E2"/>
    <w:rsid w:val="000032F2"/>
    <w:rsid w:val="000033EA"/>
    <w:rsid w:val="000034F0"/>
    <w:rsid w:val="0000388D"/>
    <w:rsid w:val="0000399C"/>
    <w:rsid w:val="000039EA"/>
    <w:rsid w:val="00003A7E"/>
    <w:rsid w:val="00003B69"/>
    <w:rsid w:val="00003BD4"/>
    <w:rsid w:val="00003CD0"/>
    <w:rsid w:val="00003CFB"/>
    <w:rsid w:val="00003E8B"/>
    <w:rsid w:val="00003EB6"/>
    <w:rsid w:val="00003EB7"/>
    <w:rsid w:val="00003FA7"/>
    <w:rsid w:val="00004020"/>
    <w:rsid w:val="000040A8"/>
    <w:rsid w:val="000041A5"/>
    <w:rsid w:val="00004298"/>
    <w:rsid w:val="000042AB"/>
    <w:rsid w:val="000042B2"/>
    <w:rsid w:val="00004329"/>
    <w:rsid w:val="00004391"/>
    <w:rsid w:val="000043E2"/>
    <w:rsid w:val="00004451"/>
    <w:rsid w:val="0000450C"/>
    <w:rsid w:val="0000455F"/>
    <w:rsid w:val="0000465B"/>
    <w:rsid w:val="0000469A"/>
    <w:rsid w:val="00004742"/>
    <w:rsid w:val="000047A5"/>
    <w:rsid w:val="000047BD"/>
    <w:rsid w:val="00004867"/>
    <w:rsid w:val="00004A6C"/>
    <w:rsid w:val="00004A85"/>
    <w:rsid w:val="00004AE4"/>
    <w:rsid w:val="00004B03"/>
    <w:rsid w:val="00004B13"/>
    <w:rsid w:val="00004B23"/>
    <w:rsid w:val="00004D4B"/>
    <w:rsid w:val="00004DA8"/>
    <w:rsid w:val="00004E71"/>
    <w:rsid w:val="00004E8D"/>
    <w:rsid w:val="00004E92"/>
    <w:rsid w:val="00004F22"/>
    <w:rsid w:val="000052C9"/>
    <w:rsid w:val="00005432"/>
    <w:rsid w:val="00005549"/>
    <w:rsid w:val="000057AA"/>
    <w:rsid w:val="000057AC"/>
    <w:rsid w:val="00005844"/>
    <w:rsid w:val="00005857"/>
    <w:rsid w:val="000058E7"/>
    <w:rsid w:val="00005938"/>
    <w:rsid w:val="000059C5"/>
    <w:rsid w:val="000059D4"/>
    <w:rsid w:val="000059F6"/>
    <w:rsid w:val="00005A38"/>
    <w:rsid w:val="00005A7B"/>
    <w:rsid w:val="00005AA9"/>
    <w:rsid w:val="00005AB7"/>
    <w:rsid w:val="00005AD8"/>
    <w:rsid w:val="00005AED"/>
    <w:rsid w:val="00005C74"/>
    <w:rsid w:val="00005CBC"/>
    <w:rsid w:val="00005D00"/>
    <w:rsid w:val="00005D50"/>
    <w:rsid w:val="00005D5D"/>
    <w:rsid w:val="00005D64"/>
    <w:rsid w:val="00005F51"/>
    <w:rsid w:val="00005FCA"/>
    <w:rsid w:val="00006021"/>
    <w:rsid w:val="00006189"/>
    <w:rsid w:val="0000619E"/>
    <w:rsid w:val="00006344"/>
    <w:rsid w:val="00006424"/>
    <w:rsid w:val="00006447"/>
    <w:rsid w:val="00006578"/>
    <w:rsid w:val="00006592"/>
    <w:rsid w:val="00006596"/>
    <w:rsid w:val="00006693"/>
    <w:rsid w:val="000067BF"/>
    <w:rsid w:val="000067F1"/>
    <w:rsid w:val="000068CD"/>
    <w:rsid w:val="00006979"/>
    <w:rsid w:val="00006A42"/>
    <w:rsid w:val="00006AF4"/>
    <w:rsid w:val="00006B90"/>
    <w:rsid w:val="00006C04"/>
    <w:rsid w:val="00006C32"/>
    <w:rsid w:val="00006C4D"/>
    <w:rsid w:val="00006CA5"/>
    <w:rsid w:val="00006CB2"/>
    <w:rsid w:val="00006CD5"/>
    <w:rsid w:val="00006DCB"/>
    <w:rsid w:val="00006DF3"/>
    <w:rsid w:val="00006F22"/>
    <w:rsid w:val="00006F24"/>
    <w:rsid w:val="00006F30"/>
    <w:rsid w:val="0000704B"/>
    <w:rsid w:val="00007055"/>
    <w:rsid w:val="0000705B"/>
    <w:rsid w:val="00007084"/>
    <w:rsid w:val="0000716D"/>
    <w:rsid w:val="0000719E"/>
    <w:rsid w:val="00007290"/>
    <w:rsid w:val="000072C2"/>
    <w:rsid w:val="000072FF"/>
    <w:rsid w:val="00007380"/>
    <w:rsid w:val="000073F3"/>
    <w:rsid w:val="00007422"/>
    <w:rsid w:val="0000743D"/>
    <w:rsid w:val="0000743F"/>
    <w:rsid w:val="00007509"/>
    <w:rsid w:val="00007690"/>
    <w:rsid w:val="000076DD"/>
    <w:rsid w:val="0000770A"/>
    <w:rsid w:val="00007925"/>
    <w:rsid w:val="00007959"/>
    <w:rsid w:val="0000796F"/>
    <w:rsid w:val="000079D0"/>
    <w:rsid w:val="00007AC2"/>
    <w:rsid w:val="00007AC7"/>
    <w:rsid w:val="00007ADF"/>
    <w:rsid w:val="00007B7A"/>
    <w:rsid w:val="00007C20"/>
    <w:rsid w:val="00007C35"/>
    <w:rsid w:val="00007CAF"/>
    <w:rsid w:val="00007CB7"/>
    <w:rsid w:val="00007EAD"/>
    <w:rsid w:val="00007F05"/>
    <w:rsid w:val="00007F86"/>
    <w:rsid w:val="0001016E"/>
    <w:rsid w:val="0001026E"/>
    <w:rsid w:val="000102B5"/>
    <w:rsid w:val="00010369"/>
    <w:rsid w:val="000103B4"/>
    <w:rsid w:val="000107C8"/>
    <w:rsid w:val="000107F9"/>
    <w:rsid w:val="00010830"/>
    <w:rsid w:val="00010879"/>
    <w:rsid w:val="0001090D"/>
    <w:rsid w:val="00010A19"/>
    <w:rsid w:val="00010A5F"/>
    <w:rsid w:val="00010A67"/>
    <w:rsid w:val="00010B9B"/>
    <w:rsid w:val="00010C19"/>
    <w:rsid w:val="00010C1D"/>
    <w:rsid w:val="00010CA2"/>
    <w:rsid w:val="00010D2E"/>
    <w:rsid w:val="00010DFF"/>
    <w:rsid w:val="00010E80"/>
    <w:rsid w:val="00010F97"/>
    <w:rsid w:val="00010FDD"/>
    <w:rsid w:val="00010FF5"/>
    <w:rsid w:val="00011123"/>
    <w:rsid w:val="0001118E"/>
    <w:rsid w:val="00011354"/>
    <w:rsid w:val="000114E3"/>
    <w:rsid w:val="00011518"/>
    <w:rsid w:val="00011553"/>
    <w:rsid w:val="000115B5"/>
    <w:rsid w:val="0001164F"/>
    <w:rsid w:val="0001165D"/>
    <w:rsid w:val="00011692"/>
    <w:rsid w:val="000116F8"/>
    <w:rsid w:val="00011739"/>
    <w:rsid w:val="00011776"/>
    <w:rsid w:val="00011777"/>
    <w:rsid w:val="000117EB"/>
    <w:rsid w:val="0001181A"/>
    <w:rsid w:val="0001182A"/>
    <w:rsid w:val="0001183A"/>
    <w:rsid w:val="0001183E"/>
    <w:rsid w:val="0001189F"/>
    <w:rsid w:val="00011A69"/>
    <w:rsid w:val="00011CB7"/>
    <w:rsid w:val="00011D0B"/>
    <w:rsid w:val="00011D40"/>
    <w:rsid w:val="00011E4A"/>
    <w:rsid w:val="00011E9C"/>
    <w:rsid w:val="00011ED5"/>
    <w:rsid w:val="00011EF1"/>
    <w:rsid w:val="00011F22"/>
    <w:rsid w:val="00011FEB"/>
    <w:rsid w:val="00012031"/>
    <w:rsid w:val="00012047"/>
    <w:rsid w:val="00012089"/>
    <w:rsid w:val="000122B5"/>
    <w:rsid w:val="000122F4"/>
    <w:rsid w:val="00012357"/>
    <w:rsid w:val="000123F9"/>
    <w:rsid w:val="00012482"/>
    <w:rsid w:val="000125EE"/>
    <w:rsid w:val="0001268B"/>
    <w:rsid w:val="000126AE"/>
    <w:rsid w:val="000126C3"/>
    <w:rsid w:val="0001274E"/>
    <w:rsid w:val="000127E1"/>
    <w:rsid w:val="000127EF"/>
    <w:rsid w:val="00012901"/>
    <w:rsid w:val="00012939"/>
    <w:rsid w:val="000129CC"/>
    <w:rsid w:val="000129CE"/>
    <w:rsid w:val="00012A2C"/>
    <w:rsid w:val="00012A5D"/>
    <w:rsid w:val="00012A60"/>
    <w:rsid w:val="00012A70"/>
    <w:rsid w:val="00012CB6"/>
    <w:rsid w:val="00012CED"/>
    <w:rsid w:val="00012D6B"/>
    <w:rsid w:val="00012D8E"/>
    <w:rsid w:val="00012DBA"/>
    <w:rsid w:val="00012EF7"/>
    <w:rsid w:val="00012F2C"/>
    <w:rsid w:val="00012FD4"/>
    <w:rsid w:val="00013029"/>
    <w:rsid w:val="000131D1"/>
    <w:rsid w:val="0001329A"/>
    <w:rsid w:val="0001330A"/>
    <w:rsid w:val="000133C2"/>
    <w:rsid w:val="00013400"/>
    <w:rsid w:val="00013403"/>
    <w:rsid w:val="00013474"/>
    <w:rsid w:val="00013482"/>
    <w:rsid w:val="00013505"/>
    <w:rsid w:val="00013572"/>
    <w:rsid w:val="00013634"/>
    <w:rsid w:val="000137C2"/>
    <w:rsid w:val="00013865"/>
    <w:rsid w:val="0001386E"/>
    <w:rsid w:val="00013960"/>
    <w:rsid w:val="000139A8"/>
    <w:rsid w:val="00013A2B"/>
    <w:rsid w:val="00013AAF"/>
    <w:rsid w:val="00013B4F"/>
    <w:rsid w:val="00013C02"/>
    <w:rsid w:val="00013C31"/>
    <w:rsid w:val="00013CAB"/>
    <w:rsid w:val="00013D56"/>
    <w:rsid w:val="00013DD6"/>
    <w:rsid w:val="00013E6A"/>
    <w:rsid w:val="00013E9C"/>
    <w:rsid w:val="00013F5F"/>
    <w:rsid w:val="00014007"/>
    <w:rsid w:val="0001404B"/>
    <w:rsid w:val="0001409A"/>
    <w:rsid w:val="000140B3"/>
    <w:rsid w:val="000140FD"/>
    <w:rsid w:val="0001415F"/>
    <w:rsid w:val="0001417D"/>
    <w:rsid w:val="000143B3"/>
    <w:rsid w:val="000143DE"/>
    <w:rsid w:val="00014561"/>
    <w:rsid w:val="000145F9"/>
    <w:rsid w:val="000146CB"/>
    <w:rsid w:val="0001471B"/>
    <w:rsid w:val="0001476F"/>
    <w:rsid w:val="000148A9"/>
    <w:rsid w:val="000148C8"/>
    <w:rsid w:val="00014909"/>
    <w:rsid w:val="0001490E"/>
    <w:rsid w:val="00014A72"/>
    <w:rsid w:val="00014A7E"/>
    <w:rsid w:val="00014C93"/>
    <w:rsid w:val="00014D53"/>
    <w:rsid w:val="00014DA3"/>
    <w:rsid w:val="00014E07"/>
    <w:rsid w:val="00014E76"/>
    <w:rsid w:val="0001505C"/>
    <w:rsid w:val="00015081"/>
    <w:rsid w:val="000150CA"/>
    <w:rsid w:val="000151C7"/>
    <w:rsid w:val="00015236"/>
    <w:rsid w:val="00015261"/>
    <w:rsid w:val="000152D0"/>
    <w:rsid w:val="000153AA"/>
    <w:rsid w:val="000153B4"/>
    <w:rsid w:val="000153EC"/>
    <w:rsid w:val="000153FD"/>
    <w:rsid w:val="000154B6"/>
    <w:rsid w:val="00015517"/>
    <w:rsid w:val="0001557B"/>
    <w:rsid w:val="00015627"/>
    <w:rsid w:val="000156F7"/>
    <w:rsid w:val="000157DA"/>
    <w:rsid w:val="000159CA"/>
    <w:rsid w:val="000159D4"/>
    <w:rsid w:val="00015A64"/>
    <w:rsid w:val="00015AFC"/>
    <w:rsid w:val="00015B53"/>
    <w:rsid w:val="00015D6C"/>
    <w:rsid w:val="00015E43"/>
    <w:rsid w:val="00015E61"/>
    <w:rsid w:val="00015E8F"/>
    <w:rsid w:val="00015F87"/>
    <w:rsid w:val="00016131"/>
    <w:rsid w:val="0001618F"/>
    <w:rsid w:val="000161B3"/>
    <w:rsid w:val="000161BE"/>
    <w:rsid w:val="000163BA"/>
    <w:rsid w:val="00016608"/>
    <w:rsid w:val="000166BD"/>
    <w:rsid w:val="0001673E"/>
    <w:rsid w:val="00016780"/>
    <w:rsid w:val="000167EF"/>
    <w:rsid w:val="000169CB"/>
    <w:rsid w:val="00016B31"/>
    <w:rsid w:val="00016B71"/>
    <w:rsid w:val="00016D55"/>
    <w:rsid w:val="00016E83"/>
    <w:rsid w:val="00016ECA"/>
    <w:rsid w:val="00016F16"/>
    <w:rsid w:val="0001712C"/>
    <w:rsid w:val="000171B9"/>
    <w:rsid w:val="000171D6"/>
    <w:rsid w:val="00017219"/>
    <w:rsid w:val="0001727F"/>
    <w:rsid w:val="000173E8"/>
    <w:rsid w:val="00017402"/>
    <w:rsid w:val="0001743F"/>
    <w:rsid w:val="00017492"/>
    <w:rsid w:val="00017557"/>
    <w:rsid w:val="00017583"/>
    <w:rsid w:val="00017620"/>
    <w:rsid w:val="00017744"/>
    <w:rsid w:val="000177AB"/>
    <w:rsid w:val="000178F9"/>
    <w:rsid w:val="00017924"/>
    <w:rsid w:val="0001792A"/>
    <w:rsid w:val="00017963"/>
    <w:rsid w:val="00017995"/>
    <w:rsid w:val="00017B4E"/>
    <w:rsid w:val="00017B5D"/>
    <w:rsid w:val="00017BE3"/>
    <w:rsid w:val="00017D02"/>
    <w:rsid w:val="00017E1D"/>
    <w:rsid w:val="00020023"/>
    <w:rsid w:val="000200D9"/>
    <w:rsid w:val="000201E3"/>
    <w:rsid w:val="00020255"/>
    <w:rsid w:val="0002025C"/>
    <w:rsid w:val="00020278"/>
    <w:rsid w:val="00020316"/>
    <w:rsid w:val="000203EA"/>
    <w:rsid w:val="0002041F"/>
    <w:rsid w:val="0002075B"/>
    <w:rsid w:val="0002079A"/>
    <w:rsid w:val="000208CE"/>
    <w:rsid w:val="000208FF"/>
    <w:rsid w:val="000209B7"/>
    <w:rsid w:val="00020A32"/>
    <w:rsid w:val="00020AD8"/>
    <w:rsid w:val="00020AFA"/>
    <w:rsid w:val="00020B35"/>
    <w:rsid w:val="00020B60"/>
    <w:rsid w:val="0002100B"/>
    <w:rsid w:val="00021056"/>
    <w:rsid w:val="0002107A"/>
    <w:rsid w:val="0002123E"/>
    <w:rsid w:val="00021351"/>
    <w:rsid w:val="0002141F"/>
    <w:rsid w:val="0002151A"/>
    <w:rsid w:val="000216A7"/>
    <w:rsid w:val="00021749"/>
    <w:rsid w:val="00021776"/>
    <w:rsid w:val="000218FF"/>
    <w:rsid w:val="000219B8"/>
    <w:rsid w:val="000219D8"/>
    <w:rsid w:val="00021A56"/>
    <w:rsid w:val="00021B87"/>
    <w:rsid w:val="00021C39"/>
    <w:rsid w:val="00021CCF"/>
    <w:rsid w:val="00021D00"/>
    <w:rsid w:val="00021D83"/>
    <w:rsid w:val="00021E64"/>
    <w:rsid w:val="00021E78"/>
    <w:rsid w:val="00022148"/>
    <w:rsid w:val="00022160"/>
    <w:rsid w:val="000221B4"/>
    <w:rsid w:val="000222C1"/>
    <w:rsid w:val="000222C9"/>
    <w:rsid w:val="00022532"/>
    <w:rsid w:val="00022565"/>
    <w:rsid w:val="000225EA"/>
    <w:rsid w:val="000226E1"/>
    <w:rsid w:val="00022746"/>
    <w:rsid w:val="0002277E"/>
    <w:rsid w:val="00022794"/>
    <w:rsid w:val="00022874"/>
    <w:rsid w:val="0002288E"/>
    <w:rsid w:val="00022899"/>
    <w:rsid w:val="000228B0"/>
    <w:rsid w:val="000228BA"/>
    <w:rsid w:val="00022935"/>
    <w:rsid w:val="000229EA"/>
    <w:rsid w:val="00022A2A"/>
    <w:rsid w:val="00022A67"/>
    <w:rsid w:val="00022AF8"/>
    <w:rsid w:val="00022B85"/>
    <w:rsid w:val="00022CC8"/>
    <w:rsid w:val="00022CDA"/>
    <w:rsid w:val="00022DAB"/>
    <w:rsid w:val="00022F44"/>
    <w:rsid w:val="00023143"/>
    <w:rsid w:val="000231F0"/>
    <w:rsid w:val="00023274"/>
    <w:rsid w:val="00023275"/>
    <w:rsid w:val="000232A8"/>
    <w:rsid w:val="000232C9"/>
    <w:rsid w:val="000232D1"/>
    <w:rsid w:val="00023300"/>
    <w:rsid w:val="000235A2"/>
    <w:rsid w:val="00023746"/>
    <w:rsid w:val="000237E8"/>
    <w:rsid w:val="00023803"/>
    <w:rsid w:val="000238F2"/>
    <w:rsid w:val="000238FB"/>
    <w:rsid w:val="000238FE"/>
    <w:rsid w:val="000239ED"/>
    <w:rsid w:val="000239FE"/>
    <w:rsid w:val="00023A9F"/>
    <w:rsid w:val="00023AA2"/>
    <w:rsid w:val="00023BBD"/>
    <w:rsid w:val="00023CE1"/>
    <w:rsid w:val="00023D14"/>
    <w:rsid w:val="00023E00"/>
    <w:rsid w:val="00023EF7"/>
    <w:rsid w:val="00023F52"/>
    <w:rsid w:val="0002407B"/>
    <w:rsid w:val="0002409B"/>
    <w:rsid w:val="000240CF"/>
    <w:rsid w:val="000241A2"/>
    <w:rsid w:val="00024216"/>
    <w:rsid w:val="0002425D"/>
    <w:rsid w:val="000242BC"/>
    <w:rsid w:val="00024317"/>
    <w:rsid w:val="000243EA"/>
    <w:rsid w:val="0002441E"/>
    <w:rsid w:val="0002442D"/>
    <w:rsid w:val="00024512"/>
    <w:rsid w:val="00024570"/>
    <w:rsid w:val="000245A8"/>
    <w:rsid w:val="000245DF"/>
    <w:rsid w:val="0002483A"/>
    <w:rsid w:val="00024857"/>
    <w:rsid w:val="000248E7"/>
    <w:rsid w:val="00024955"/>
    <w:rsid w:val="000249EA"/>
    <w:rsid w:val="00024A7C"/>
    <w:rsid w:val="00024A89"/>
    <w:rsid w:val="00024B00"/>
    <w:rsid w:val="00024B85"/>
    <w:rsid w:val="00024C49"/>
    <w:rsid w:val="00024D0F"/>
    <w:rsid w:val="00024D35"/>
    <w:rsid w:val="00024DFD"/>
    <w:rsid w:val="00024E65"/>
    <w:rsid w:val="00024E92"/>
    <w:rsid w:val="00024EB8"/>
    <w:rsid w:val="00024F4D"/>
    <w:rsid w:val="000250E9"/>
    <w:rsid w:val="0002511E"/>
    <w:rsid w:val="00025141"/>
    <w:rsid w:val="000251A1"/>
    <w:rsid w:val="00025277"/>
    <w:rsid w:val="000253B5"/>
    <w:rsid w:val="000254DE"/>
    <w:rsid w:val="0002552A"/>
    <w:rsid w:val="00025571"/>
    <w:rsid w:val="000255CA"/>
    <w:rsid w:val="00025838"/>
    <w:rsid w:val="000259D7"/>
    <w:rsid w:val="00025B87"/>
    <w:rsid w:val="00025CA4"/>
    <w:rsid w:val="00025E4A"/>
    <w:rsid w:val="00025EBE"/>
    <w:rsid w:val="00025F18"/>
    <w:rsid w:val="00025FF1"/>
    <w:rsid w:val="00025FFB"/>
    <w:rsid w:val="000260AA"/>
    <w:rsid w:val="000261AA"/>
    <w:rsid w:val="000261F3"/>
    <w:rsid w:val="000261FE"/>
    <w:rsid w:val="00026253"/>
    <w:rsid w:val="000263B8"/>
    <w:rsid w:val="00026595"/>
    <w:rsid w:val="00026681"/>
    <w:rsid w:val="000266F9"/>
    <w:rsid w:val="00026877"/>
    <w:rsid w:val="00026A51"/>
    <w:rsid w:val="00026AED"/>
    <w:rsid w:val="00026AEE"/>
    <w:rsid w:val="00026B23"/>
    <w:rsid w:val="00026BA8"/>
    <w:rsid w:val="00026CC9"/>
    <w:rsid w:val="00026D3E"/>
    <w:rsid w:val="00026E61"/>
    <w:rsid w:val="00026ED6"/>
    <w:rsid w:val="00026F90"/>
    <w:rsid w:val="00026FA7"/>
    <w:rsid w:val="000271B8"/>
    <w:rsid w:val="000271E2"/>
    <w:rsid w:val="0002726A"/>
    <w:rsid w:val="00027280"/>
    <w:rsid w:val="00027296"/>
    <w:rsid w:val="000272B4"/>
    <w:rsid w:val="00027463"/>
    <w:rsid w:val="000275B0"/>
    <w:rsid w:val="000275C9"/>
    <w:rsid w:val="0002769E"/>
    <w:rsid w:val="00027791"/>
    <w:rsid w:val="000277ED"/>
    <w:rsid w:val="00027832"/>
    <w:rsid w:val="00027993"/>
    <w:rsid w:val="000279E3"/>
    <w:rsid w:val="00027A38"/>
    <w:rsid w:val="00027A61"/>
    <w:rsid w:val="00027B1F"/>
    <w:rsid w:val="00027B51"/>
    <w:rsid w:val="00027B57"/>
    <w:rsid w:val="00027C36"/>
    <w:rsid w:val="00027D56"/>
    <w:rsid w:val="00030118"/>
    <w:rsid w:val="00030167"/>
    <w:rsid w:val="000301E1"/>
    <w:rsid w:val="00030289"/>
    <w:rsid w:val="00030338"/>
    <w:rsid w:val="00030350"/>
    <w:rsid w:val="000303F6"/>
    <w:rsid w:val="000303FE"/>
    <w:rsid w:val="000304C0"/>
    <w:rsid w:val="000304CC"/>
    <w:rsid w:val="0003077E"/>
    <w:rsid w:val="000307CF"/>
    <w:rsid w:val="000307DC"/>
    <w:rsid w:val="00030869"/>
    <w:rsid w:val="000308B2"/>
    <w:rsid w:val="00030925"/>
    <w:rsid w:val="00030936"/>
    <w:rsid w:val="000309FA"/>
    <w:rsid w:val="00030A2A"/>
    <w:rsid w:val="00030A4A"/>
    <w:rsid w:val="00030A5C"/>
    <w:rsid w:val="00030B34"/>
    <w:rsid w:val="00030B96"/>
    <w:rsid w:val="00030C98"/>
    <w:rsid w:val="00030CB8"/>
    <w:rsid w:val="00030DF7"/>
    <w:rsid w:val="00030E09"/>
    <w:rsid w:val="00030E47"/>
    <w:rsid w:val="00030EA7"/>
    <w:rsid w:val="00030F80"/>
    <w:rsid w:val="00031000"/>
    <w:rsid w:val="000310D5"/>
    <w:rsid w:val="00031149"/>
    <w:rsid w:val="0003116B"/>
    <w:rsid w:val="0003121D"/>
    <w:rsid w:val="00031363"/>
    <w:rsid w:val="000313FD"/>
    <w:rsid w:val="00031472"/>
    <w:rsid w:val="000314CB"/>
    <w:rsid w:val="0003153E"/>
    <w:rsid w:val="0003156F"/>
    <w:rsid w:val="000315C5"/>
    <w:rsid w:val="0003163A"/>
    <w:rsid w:val="00031653"/>
    <w:rsid w:val="000316D5"/>
    <w:rsid w:val="00031722"/>
    <w:rsid w:val="00031730"/>
    <w:rsid w:val="0003180A"/>
    <w:rsid w:val="0003186E"/>
    <w:rsid w:val="00031935"/>
    <w:rsid w:val="00031941"/>
    <w:rsid w:val="00031C08"/>
    <w:rsid w:val="00031C2B"/>
    <w:rsid w:val="00031CB9"/>
    <w:rsid w:val="00031CCF"/>
    <w:rsid w:val="00031CE3"/>
    <w:rsid w:val="00031CEB"/>
    <w:rsid w:val="00031DB6"/>
    <w:rsid w:val="00031EA9"/>
    <w:rsid w:val="00031EE4"/>
    <w:rsid w:val="00031F5D"/>
    <w:rsid w:val="00031F72"/>
    <w:rsid w:val="00031FF2"/>
    <w:rsid w:val="00032099"/>
    <w:rsid w:val="000321B8"/>
    <w:rsid w:val="00032203"/>
    <w:rsid w:val="0003221B"/>
    <w:rsid w:val="000322BF"/>
    <w:rsid w:val="00032407"/>
    <w:rsid w:val="0003244E"/>
    <w:rsid w:val="0003259B"/>
    <w:rsid w:val="000326A2"/>
    <w:rsid w:val="000326B0"/>
    <w:rsid w:val="000326B4"/>
    <w:rsid w:val="000326F9"/>
    <w:rsid w:val="0003285A"/>
    <w:rsid w:val="000328E4"/>
    <w:rsid w:val="00032A33"/>
    <w:rsid w:val="00032A46"/>
    <w:rsid w:val="00032ACC"/>
    <w:rsid w:val="00032B21"/>
    <w:rsid w:val="00032B30"/>
    <w:rsid w:val="00032B7F"/>
    <w:rsid w:val="00032BF7"/>
    <w:rsid w:val="00032C21"/>
    <w:rsid w:val="00032C22"/>
    <w:rsid w:val="00032CA2"/>
    <w:rsid w:val="00032EF7"/>
    <w:rsid w:val="00033112"/>
    <w:rsid w:val="00033131"/>
    <w:rsid w:val="000331A4"/>
    <w:rsid w:val="000332A2"/>
    <w:rsid w:val="000332D3"/>
    <w:rsid w:val="000332DD"/>
    <w:rsid w:val="000332FB"/>
    <w:rsid w:val="00033376"/>
    <w:rsid w:val="00033414"/>
    <w:rsid w:val="0003348B"/>
    <w:rsid w:val="000335DC"/>
    <w:rsid w:val="000335F2"/>
    <w:rsid w:val="000337B7"/>
    <w:rsid w:val="000337E5"/>
    <w:rsid w:val="00033885"/>
    <w:rsid w:val="000338FE"/>
    <w:rsid w:val="0003390D"/>
    <w:rsid w:val="000339D4"/>
    <w:rsid w:val="00033A5D"/>
    <w:rsid w:val="00033AE4"/>
    <w:rsid w:val="00033AF3"/>
    <w:rsid w:val="00033BEF"/>
    <w:rsid w:val="00033C7E"/>
    <w:rsid w:val="00033E15"/>
    <w:rsid w:val="00033E2C"/>
    <w:rsid w:val="00033EFE"/>
    <w:rsid w:val="00033F83"/>
    <w:rsid w:val="00033FE9"/>
    <w:rsid w:val="0003400D"/>
    <w:rsid w:val="00034032"/>
    <w:rsid w:val="0003405C"/>
    <w:rsid w:val="00034188"/>
    <w:rsid w:val="0003418D"/>
    <w:rsid w:val="000341B2"/>
    <w:rsid w:val="000342A0"/>
    <w:rsid w:val="000342B9"/>
    <w:rsid w:val="000342CE"/>
    <w:rsid w:val="000342E2"/>
    <w:rsid w:val="0003446F"/>
    <w:rsid w:val="000344C5"/>
    <w:rsid w:val="00034597"/>
    <w:rsid w:val="000345A8"/>
    <w:rsid w:val="000345D8"/>
    <w:rsid w:val="0003461E"/>
    <w:rsid w:val="0003483F"/>
    <w:rsid w:val="000349B1"/>
    <w:rsid w:val="00034A4A"/>
    <w:rsid w:val="00034C18"/>
    <w:rsid w:val="00034CE5"/>
    <w:rsid w:val="00034D56"/>
    <w:rsid w:val="00034FC5"/>
    <w:rsid w:val="00035014"/>
    <w:rsid w:val="0003508A"/>
    <w:rsid w:val="000350B5"/>
    <w:rsid w:val="00035150"/>
    <w:rsid w:val="00035239"/>
    <w:rsid w:val="0003548A"/>
    <w:rsid w:val="00035526"/>
    <w:rsid w:val="000355C8"/>
    <w:rsid w:val="000356D5"/>
    <w:rsid w:val="000356FB"/>
    <w:rsid w:val="000357A3"/>
    <w:rsid w:val="0003583D"/>
    <w:rsid w:val="0003593F"/>
    <w:rsid w:val="00035BFD"/>
    <w:rsid w:val="00035C1B"/>
    <w:rsid w:val="00035CCC"/>
    <w:rsid w:val="00035CD1"/>
    <w:rsid w:val="00035CD4"/>
    <w:rsid w:val="00035E02"/>
    <w:rsid w:val="00035E9B"/>
    <w:rsid w:val="00035EC6"/>
    <w:rsid w:val="00035F82"/>
    <w:rsid w:val="00035FAE"/>
    <w:rsid w:val="00035FFC"/>
    <w:rsid w:val="00036001"/>
    <w:rsid w:val="000360BF"/>
    <w:rsid w:val="000362D7"/>
    <w:rsid w:val="00036385"/>
    <w:rsid w:val="000363D4"/>
    <w:rsid w:val="00036474"/>
    <w:rsid w:val="000364FA"/>
    <w:rsid w:val="00036505"/>
    <w:rsid w:val="0003654B"/>
    <w:rsid w:val="0003659C"/>
    <w:rsid w:val="000365B6"/>
    <w:rsid w:val="000365C2"/>
    <w:rsid w:val="000365C5"/>
    <w:rsid w:val="000365CD"/>
    <w:rsid w:val="0003686B"/>
    <w:rsid w:val="000368DB"/>
    <w:rsid w:val="0003699D"/>
    <w:rsid w:val="00036AAA"/>
    <w:rsid w:val="00036D24"/>
    <w:rsid w:val="00036E15"/>
    <w:rsid w:val="00036E7F"/>
    <w:rsid w:val="00036EBE"/>
    <w:rsid w:val="00036EBF"/>
    <w:rsid w:val="00036F47"/>
    <w:rsid w:val="00036FC5"/>
    <w:rsid w:val="00037001"/>
    <w:rsid w:val="00037015"/>
    <w:rsid w:val="0003701D"/>
    <w:rsid w:val="00037311"/>
    <w:rsid w:val="00037550"/>
    <w:rsid w:val="00037793"/>
    <w:rsid w:val="000377A2"/>
    <w:rsid w:val="00037833"/>
    <w:rsid w:val="0003785A"/>
    <w:rsid w:val="000378B4"/>
    <w:rsid w:val="00037919"/>
    <w:rsid w:val="000379BB"/>
    <w:rsid w:val="00037A76"/>
    <w:rsid w:val="00037AF2"/>
    <w:rsid w:val="00037CA9"/>
    <w:rsid w:val="00037CAF"/>
    <w:rsid w:val="00037EA7"/>
    <w:rsid w:val="00040066"/>
    <w:rsid w:val="000401A8"/>
    <w:rsid w:val="00040343"/>
    <w:rsid w:val="000403A4"/>
    <w:rsid w:val="000403EA"/>
    <w:rsid w:val="00040469"/>
    <w:rsid w:val="0004046D"/>
    <w:rsid w:val="00040506"/>
    <w:rsid w:val="00040691"/>
    <w:rsid w:val="000406E3"/>
    <w:rsid w:val="000407B3"/>
    <w:rsid w:val="000407BD"/>
    <w:rsid w:val="00040877"/>
    <w:rsid w:val="000408B8"/>
    <w:rsid w:val="0004093F"/>
    <w:rsid w:val="0004097B"/>
    <w:rsid w:val="000409E9"/>
    <w:rsid w:val="00040A04"/>
    <w:rsid w:val="00040A1C"/>
    <w:rsid w:val="00040A28"/>
    <w:rsid w:val="00040B94"/>
    <w:rsid w:val="00040BA7"/>
    <w:rsid w:val="00040BBB"/>
    <w:rsid w:val="00040C19"/>
    <w:rsid w:val="00040C64"/>
    <w:rsid w:val="00040C84"/>
    <w:rsid w:val="00040CA2"/>
    <w:rsid w:val="00040D89"/>
    <w:rsid w:val="00040E71"/>
    <w:rsid w:val="00040ED8"/>
    <w:rsid w:val="00040EE4"/>
    <w:rsid w:val="00040F58"/>
    <w:rsid w:val="00040F85"/>
    <w:rsid w:val="00041021"/>
    <w:rsid w:val="000410C8"/>
    <w:rsid w:val="00041132"/>
    <w:rsid w:val="000411BE"/>
    <w:rsid w:val="00041267"/>
    <w:rsid w:val="0004130B"/>
    <w:rsid w:val="00041339"/>
    <w:rsid w:val="0004142E"/>
    <w:rsid w:val="0004158E"/>
    <w:rsid w:val="000415B4"/>
    <w:rsid w:val="000416C6"/>
    <w:rsid w:val="000416D5"/>
    <w:rsid w:val="00041726"/>
    <w:rsid w:val="00041749"/>
    <w:rsid w:val="00041792"/>
    <w:rsid w:val="00041885"/>
    <w:rsid w:val="000418D4"/>
    <w:rsid w:val="00041919"/>
    <w:rsid w:val="0004199A"/>
    <w:rsid w:val="00041A16"/>
    <w:rsid w:val="00041AAF"/>
    <w:rsid w:val="00041B17"/>
    <w:rsid w:val="00041BB2"/>
    <w:rsid w:val="00041C6A"/>
    <w:rsid w:val="00041D47"/>
    <w:rsid w:val="00041D6E"/>
    <w:rsid w:val="00041DF7"/>
    <w:rsid w:val="00041E03"/>
    <w:rsid w:val="00041EBC"/>
    <w:rsid w:val="00041F39"/>
    <w:rsid w:val="00041FC2"/>
    <w:rsid w:val="000420ED"/>
    <w:rsid w:val="0004210A"/>
    <w:rsid w:val="00042166"/>
    <w:rsid w:val="00042242"/>
    <w:rsid w:val="00042283"/>
    <w:rsid w:val="00042487"/>
    <w:rsid w:val="00042527"/>
    <w:rsid w:val="0004262B"/>
    <w:rsid w:val="000426F2"/>
    <w:rsid w:val="000429D2"/>
    <w:rsid w:val="000429FE"/>
    <w:rsid w:val="00042A6C"/>
    <w:rsid w:val="00042AC6"/>
    <w:rsid w:val="00042AD5"/>
    <w:rsid w:val="00042C01"/>
    <w:rsid w:val="00042C43"/>
    <w:rsid w:val="00042C5C"/>
    <w:rsid w:val="00042CB9"/>
    <w:rsid w:val="00042E02"/>
    <w:rsid w:val="00042EE5"/>
    <w:rsid w:val="00042F55"/>
    <w:rsid w:val="00042F8E"/>
    <w:rsid w:val="00042FCF"/>
    <w:rsid w:val="00042FDE"/>
    <w:rsid w:val="00043095"/>
    <w:rsid w:val="000432AC"/>
    <w:rsid w:val="000433F6"/>
    <w:rsid w:val="00043417"/>
    <w:rsid w:val="0004349A"/>
    <w:rsid w:val="000434BB"/>
    <w:rsid w:val="000435DF"/>
    <w:rsid w:val="000436B1"/>
    <w:rsid w:val="000438CA"/>
    <w:rsid w:val="0004392E"/>
    <w:rsid w:val="00043957"/>
    <w:rsid w:val="000439DD"/>
    <w:rsid w:val="00043AF4"/>
    <w:rsid w:val="00043BA4"/>
    <w:rsid w:val="00043C63"/>
    <w:rsid w:val="00043C9A"/>
    <w:rsid w:val="00043D66"/>
    <w:rsid w:val="00043E31"/>
    <w:rsid w:val="00043EA8"/>
    <w:rsid w:val="00043F29"/>
    <w:rsid w:val="00043F53"/>
    <w:rsid w:val="00043F8A"/>
    <w:rsid w:val="00043FDA"/>
    <w:rsid w:val="00044041"/>
    <w:rsid w:val="00044169"/>
    <w:rsid w:val="0004423E"/>
    <w:rsid w:val="000443D7"/>
    <w:rsid w:val="0004449F"/>
    <w:rsid w:val="000444F4"/>
    <w:rsid w:val="000445D4"/>
    <w:rsid w:val="00044640"/>
    <w:rsid w:val="00044783"/>
    <w:rsid w:val="000447CF"/>
    <w:rsid w:val="000449A2"/>
    <w:rsid w:val="00044A1E"/>
    <w:rsid w:val="00044B3F"/>
    <w:rsid w:val="00044D2F"/>
    <w:rsid w:val="00044D3F"/>
    <w:rsid w:val="00044DB9"/>
    <w:rsid w:val="00044F44"/>
    <w:rsid w:val="00044FB5"/>
    <w:rsid w:val="000450B5"/>
    <w:rsid w:val="00045137"/>
    <w:rsid w:val="0004518A"/>
    <w:rsid w:val="0004518E"/>
    <w:rsid w:val="00045322"/>
    <w:rsid w:val="0004532A"/>
    <w:rsid w:val="000453F7"/>
    <w:rsid w:val="000454AA"/>
    <w:rsid w:val="00045538"/>
    <w:rsid w:val="00045584"/>
    <w:rsid w:val="000455DD"/>
    <w:rsid w:val="000458AC"/>
    <w:rsid w:val="00045A6C"/>
    <w:rsid w:val="00045A89"/>
    <w:rsid w:val="00045B07"/>
    <w:rsid w:val="00045B2A"/>
    <w:rsid w:val="00045B9A"/>
    <w:rsid w:val="00045BE5"/>
    <w:rsid w:val="00045BEC"/>
    <w:rsid w:val="00045C4C"/>
    <w:rsid w:val="00045C52"/>
    <w:rsid w:val="00045CBD"/>
    <w:rsid w:val="00045CC6"/>
    <w:rsid w:val="00045DA4"/>
    <w:rsid w:val="00045DA7"/>
    <w:rsid w:val="00045E5F"/>
    <w:rsid w:val="00045E85"/>
    <w:rsid w:val="00045EBC"/>
    <w:rsid w:val="00045ECA"/>
    <w:rsid w:val="00045EE6"/>
    <w:rsid w:val="00045F6C"/>
    <w:rsid w:val="00046041"/>
    <w:rsid w:val="00046137"/>
    <w:rsid w:val="000461AD"/>
    <w:rsid w:val="00046242"/>
    <w:rsid w:val="0004638F"/>
    <w:rsid w:val="00046391"/>
    <w:rsid w:val="000463F2"/>
    <w:rsid w:val="000465E2"/>
    <w:rsid w:val="0004666E"/>
    <w:rsid w:val="0004668D"/>
    <w:rsid w:val="000467BF"/>
    <w:rsid w:val="0004686C"/>
    <w:rsid w:val="000469CF"/>
    <w:rsid w:val="00046AAE"/>
    <w:rsid w:val="00046ABE"/>
    <w:rsid w:val="00046B65"/>
    <w:rsid w:val="00046C79"/>
    <w:rsid w:val="00046D62"/>
    <w:rsid w:val="00046DC3"/>
    <w:rsid w:val="00046FB0"/>
    <w:rsid w:val="00046FCA"/>
    <w:rsid w:val="00047132"/>
    <w:rsid w:val="000472AA"/>
    <w:rsid w:val="00047512"/>
    <w:rsid w:val="00047549"/>
    <w:rsid w:val="00047576"/>
    <w:rsid w:val="00047664"/>
    <w:rsid w:val="000476FE"/>
    <w:rsid w:val="00047775"/>
    <w:rsid w:val="00047815"/>
    <w:rsid w:val="000478B5"/>
    <w:rsid w:val="000479AC"/>
    <w:rsid w:val="000479B0"/>
    <w:rsid w:val="000479CB"/>
    <w:rsid w:val="00047A48"/>
    <w:rsid w:val="00047A62"/>
    <w:rsid w:val="00047B46"/>
    <w:rsid w:val="00047BB3"/>
    <w:rsid w:val="000500C7"/>
    <w:rsid w:val="000500CF"/>
    <w:rsid w:val="000500D3"/>
    <w:rsid w:val="0005015D"/>
    <w:rsid w:val="00050173"/>
    <w:rsid w:val="000501FC"/>
    <w:rsid w:val="00050222"/>
    <w:rsid w:val="000502DA"/>
    <w:rsid w:val="000503CD"/>
    <w:rsid w:val="000503DB"/>
    <w:rsid w:val="00050410"/>
    <w:rsid w:val="0005041C"/>
    <w:rsid w:val="00050466"/>
    <w:rsid w:val="00050525"/>
    <w:rsid w:val="00050530"/>
    <w:rsid w:val="00050542"/>
    <w:rsid w:val="000505BF"/>
    <w:rsid w:val="000506FB"/>
    <w:rsid w:val="00050710"/>
    <w:rsid w:val="00050787"/>
    <w:rsid w:val="000507B6"/>
    <w:rsid w:val="00050952"/>
    <w:rsid w:val="0005096B"/>
    <w:rsid w:val="000509B6"/>
    <w:rsid w:val="000509E1"/>
    <w:rsid w:val="00050AB6"/>
    <w:rsid w:val="00050C7A"/>
    <w:rsid w:val="00050E53"/>
    <w:rsid w:val="00050ECB"/>
    <w:rsid w:val="00050F7B"/>
    <w:rsid w:val="0005114F"/>
    <w:rsid w:val="0005115B"/>
    <w:rsid w:val="0005118C"/>
    <w:rsid w:val="000512ED"/>
    <w:rsid w:val="00051432"/>
    <w:rsid w:val="000514EF"/>
    <w:rsid w:val="00051547"/>
    <w:rsid w:val="00051617"/>
    <w:rsid w:val="00051666"/>
    <w:rsid w:val="0005167A"/>
    <w:rsid w:val="000516A4"/>
    <w:rsid w:val="000516EF"/>
    <w:rsid w:val="00051727"/>
    <w:rsid w:val="00051762"/>
    <w:rsid w:val="00051782"/>
    <w:rsid w:val="00051792"/>
    <w:rsid w:val="000517CA"/>
    <w:rsid w:val="000517EF"/>
    <w:rsid w:val="0005184B"/>
    <w:rsid w:val="000518C8"/>
    <w:rsid w:val="000518EE"/>
    <w:rsid w:val="00051947"/>
    <w:rsid w:val="00051A9F"/>
    <w:rsid w:val="00051BA1"/>
    <w:rsid w:val="00051C33"/>
    <w:rsid w:val="00051C4C"/>
    <w:rsid w:val="00051CB3"/>
    <w:rsid w:val="00051E80"/>
    <w:rsid w:val="0005207E"/>
    <w:rsid w:val="000520B8"/>
    <w:rsid w:val="000521F3"/>
    <w:rsid w:val="0005222C"/>
    <w:rsid w:val="000522F7"/>
    <w:rsid w:val="00052426"/>
    <w:rsid w:val="0005263F"/>
    <w:rsid w:val="00052864"/>
    <w:rsid w:val="000528E7"/>
    <w:rsid w:val="0005292F"/>
    <w:rsid w:val="0005298E"/>
    <w:rsid w:val="00052AC2"/>
    <w:rsid w:val="00052ACC"/>
    <w:rsid w:val="00052B2B"/>
    <w:rsid w:val="00052B2F"/>
    <w:rsid w:val="00052B75"/>
    <w:rsid w:val="00052BAB"/>
    <w:rsid w:val="00052C92"/>
    <w:rsid w:val="00052E10"/>
    <w:rsid w:val="00052FE2"/>
    <w:rsid w:val="00053030"/>
    <w:rsid w:val="00053060"/>
    <w:rsid w:val="00053079"/>
    <w:rsid w:val="000532E7"/>
    <w:rsid w:val="0005330C"/>
    <w:rsid w:val="0005339E"/>
    <w:rsid w:val="000534EA"/>
    <w:rsid w:val="00053523"/>
    <w:rsid w:val="000535C1"/>
    <w:rsid w:val="00053618"/>
    <w:rsid w:val="0005374B"/>
    <w:rsid w:val="00053842"/>
    <w:rsid w:val="000538B8"/>
    <w:rsid w:val="000539E2"/>
    <w:rsid w:val="00053A79"/>
    <w:rsid w:val="00053B40"/>
    <w:rsid w:val="00053CBE"/>
    <w:rsid w:val="00053D69"/>
    <w:rsid w:val="00053E78"/>
    <w:rsid w:val="00053FA5"/>
    <w:rsid w:val="00053FE4"/>
    <w:rsid w:val="00054064"/>
    <w:rsid w:val="00054088"/>
    <w:rsid w:val="00054120"/>
    <w:rsid w:val="0005427A"/>
    <w:rsid w:val="00054345"/>
    <w:rsid w:val="0005434C"/>
    <w:rsid w:val="00054471"/>
    <w:rsid w:val="000544FE"/>
    <w:rsid w:val="0005459E"/>
    <w:rsid w:val="00054614"/>
    <w:rsid w:val="0005466C"/>
    <w:rsid w:val="000546F6"/>
    <w:rsid w:val="00054862"/>
    <w:rsid w:val="00054923"/>
    <w:rsid w:val="00054980"/>
    <w:rsid w:val="000549B0"/>
    <w:rsid w:val="00054ADE"/>
    <w:rsid w:val="00054B54"/>
    <w:rsid w:val="00054BE7"/>
    <w:rsid w:val="00054C78"/>
    <w:rsid w:val="00054D6D"/>
    <w:rsid w:val="00054E6E"/>
    <w:rsid w:val="00054FD0"/>
    <w:rsid w:val="0005503A"/>
    <w:rsid w:val="00055105"/>
    <w:rsid w:val="00055146"/>
    <w:rsid w:val="00055167"/>
    <w:rsid w:val="00055174"/>
    <w:rsid w:val="0005523B"/>
    <w:rsid w:val="0005532B"/>
    <w:rsid w:val="00055459"/>
    <w:rsid w:val="000555AD"/>
    <w:rsid w:val="00055674"/>
    <w:rsid w:val="0005569C"/>
    <w:rsid w:val="00055760"/>
    <w:rsid w:val="00055787"/>
    <w:rsid w:val="000557C8"/>
    <w:rsid w:val="0005583F"/>
    <w:rsid w:val="00055924"/>
    <w:rsid w:val="00055982"/>
    <w:rsid w:val="00055A63"/>
    <w:rsid w:val="00055B61"/>
    <w:rsid w:val="00055DA2"/>
    <w:rsid w:val="000560C4"/>
    <w:rsid w:val="000560E1"/>
    <w:rsid w:val="00056101"/>
    <w:rsid w:val="00056254"/>
    <w:rsid w:val="00056384"/>
    <w:rsid w:val="00056393"/>
    <w:rsid w:val="0005649D"/>
    <w:rsid w:val="00056515"/>
    <w:rsid w:val="00056725"/>
    <w:rsid w:val="00056729"/>
    <w:rsid w:val="000567CB"/>
    <w:rsid w:val="00056894"/>
    <w:rsid w:val="000568F0"/>
    <w:rsid w:val="00056979"/>
    <w:rsid w:val="00056A96"/>
    <w:rsid w:val="00056B79"/>
    <w:rsid w:val="00056BE8"/>
    <w:rsid w:val="00056CDD"/>
    <w:rsid w:val="00056D5B"/>
    <w:rsid w:val="00056E03"/>
    <w:rsid w:val="00056E9C"/>
    <w:rsid w:val="00056F14"/>
    <w:rsid w:val="00056FAE"/>
    <w:rsid w:val="00057074"/>
    <w:rsid w:val="000570C8"/>
    <w:rsid w:val="0005717C"/>
    <w:rsid w:val="00057180"/>
    <w:rsid w:val="00057213"/>
    <w:rsid w:val="00057341"/>
    <w:rsid w:val="000573DF"/>
    <w:rsid w:val="0005743B"/>
    <w:rsid w:val="000574FC"/>
    <w:rsid w:val="0005750F"/>
    <w:rsid w:val="0005764D"/>
    <w:rsid w:val="00057679"/>
    <w:rsid w:val="000578A3"/>
    <w:rsid w:val="00057906"/>
    <w:rsid w:val="00057970"/>
    <w:rsid w:val="00057A1F"/>
    <w:rsid w:val="00057A64"/>
    <w:rsid w:val="00057A8F"/>
    <w:rsid w:val="00057ABE"/>
    <w:rsid w:val="00057B72"/>
    <w:rsid w:val="00057C7A"/>
    <w:rsid w:val="00057CA7"/>
    <w:rsid w:val="00057D5A"/>
    <w:rsid w:val="00057E8B"/>
    <w:rsid w:val="00057ED1"/>
    <w:rsid w:val="00057F08"/>
    <w:rsid w:val="00057F57"/>
    <w:rsid w:val="00057F8B"/>
    <w:rsid w:val="00060077"/>
    <w:rsid w:val="00060078"/>
    <w:rsid w:val="000600D3"/>
    <w:rsid w:val="00060109"/>
    <w:rsid w:val="00060218"/>
    <w:rsid w:val="000602E3"/>
    <w:rsid w:val="0006037B"/>
    <w:rsid w:val="000603BF"/>
    <w:rsid w:val="00060425"/>
    <w:rsid w:val="000604A2"/>
    <w:rsid w:val="0006054D"/>
    <w:rsid w:val="0006060F"/>
    <w:rsid w:val="000606C0"/>
    <w:rsid w:val="00060741"/>
    <w:rsid w:val="00060796"/>
    <w:rsid w:val="000607F4"/>
    <w:rsid w:val="0006098E"/>
    <w:rsid w:val="000609AB"/>
    <w:rsid w:val="00060B0E"/>
    <w:rsid w:val="00060B52"/>
    <w:rsid w:val="00060B7A"/>
    <w:rsid w:val="00060C57"/>
    <w:rsid w:val="00060C95"/>
    <w:rsid w:val="00060D4B"/>
    <w:rsid w:val="00060DA4"/>
    <w:rsid w:val="00060E35"/>
    <w:rsid w:val="00060E5C"/>
    <w:rsid w:val="00060EAB"/>
    <w:rsid w:val="00060EF5"/>
    <w:rsid w:val="00060F37"/>
    <w:rsid w:val="00060F53"/>
    <w:rsid w:val="00060FDD"/>
    <w:rsid w:val="0006105C"/>
    <w:rsid w:val="00061093"/>
    <w:rsid w:val="0006122E"/>
    <w:rsid w:val="00061244"/>
    <w:rsid w:val="0006142B"/>
    <w:rsid w:val="00061438"/>
    <w:rsid w:val="000614B4"/>
    <w:rsid w:val="000615D0"/>
    <w:rsid w:val="000615DD"/>
    <w:rsid w:val="00061754"/>
    <w:rsid w:val="0006176D"/>
    <w:rsid w:val="000617C6"/>
    <w:rsid w:val="000617D9"/>
    <w:rsid w:val="000618E9"/>
    <w:rsid w:val="00061928"/>
    <w:rsid w:val="00061A0D"/>
    <w:rsid w:val="00061A53"/>
    <w:rsid w:val="00061ADD"/>
    <w:rsid w:val="00061B28"/>
    <w:rsid w:val="00061C42"/>
    <w:rsid w:val="00061CAC"/>
    <w:rsid w:val="00061CD6"/>
    <w:rsid w:val="00061E1A"/>
    <w:rsid w:val="00061FA4"/>
    <w:rsid w:val="000620A6"/>
    <w:rsid w:val="000621E6"/>
    <w:rsid w:val="00062214"/>
    <w:rsid w:val="0006227B"/>
    <w:rsid w:val="0006237F"/>
    <w:rsid w:val="000624BD"/>
    <w:rsid w:val="000624EA"/>
    <w:rsid w:val="0006251A"/>
    <w:rsid w:val="0006251E"/>
    <w:rsid w:val="000625DB"/>
    <w:rsid w:val="00062788"/>
    <w:rsid w:val="000627D4"/>
    <w:rsid w:val="00062838"/>
    <w:rsid w:val="00062878"/>
    <w:rsid w:val="00062942"/>
    <w:rsid w:val="000629B7"/>
    <w:rsid w:val="00062A23"/>
    <w:rsid w:val="00062A45"/>
    <w:rsid w:val="00062A96"/>
    <w:rsid w:val="00062C50"/>
    <w:rsid w:val="00062D27"/>
    <w:rsid w:val="00062D2E"/>
    <w:rsid w:val="00062D78"/>
    <w:rsid w:val="00062DAE"/>
    <w:rsid w:val="00062DB2"/>
    <w:rsid w:val="00062F87"/>
    <w:rsid w:val="0006304C"/>
    <w:rsid w:val="00063182"/>
    <w:rsid w:val="000631DA"/>
    <w:rsid w:val="00063251"/>
    <w:rsid w:val="000632FC"/>
    <w:rsid w:val="00063341"/>
    <w:rsid w:val="0006339E"/>
    <w:rsid w:val="0006345F"/>
    <w:rsid w:val="00063464"/>
    <w:rsid w:val="0006350C"/>
    <w:rsid w:val="00063600"/>
    <w:rsid w:val="00063618"/>
    <w:rsid w:val="000636DC"/>
    <w:rsid w:val="00063754"/>
    <w:rsid w:val="0006397A"/>
    <w:rsid w:val="00063A75"/>
    <w:rsid w:val="00063BB8"/>
    <w:rsid w:val="00063D00"/>
    <w:rsid w:val="00063F77"/>
    <w:rsid w:val="00063FBD"/>
    <w:rsid w:val="000640BD"/>
    <w:rsid w:val="000640EA"/>
    <w:rsid w:val="000640F2"/>
    <w:rsid w:val="00064207"/>
    <w:rsid w:val="0006432F"/>
    <w:rsid w:val="00064564"/>
    <w:rsid w:val="00064597"/>
    <w:rsid w:val="000645E4"/>
    <w:rsid w:val="0006460F"/>
    <w:rsid w:val="0006461F"/>
    <w:rsid w:val="0006463D"/>
    <w:rsid w:val="0006463F"/>
    <w:rsid w:val="0006466A"/>
    <w:rsid w:val="0006473C"/>
    <w:rsid w:val="00064798"/>
    <w:rsid w:val="000648DB"/>
    <w:rsid w:val="0006498B"/>
    <w:rsid w:val="00064A78"/>
    <w:rsid w:val="00064B0F"/>
    <w:rsid w:val="00064BAB"/>
    <w:rsid w:val="00064C3F"/>
    <w:rsid w:val="00064D81"/>
    <w:rsid w:val="00064E9A"/>
    <w:rsid w:val="0006504B"/>
    <w:rsid w:val="00065087"/>
    <w:rsid w:val="00065092"/>
    <w:rsid w:val="000650E9"/>
    <w:rsid w:val="000651A7"/>
    <w:rsid w:val="0006524C"/>
    <w:rsid w:val="00065372"/>
    <w:rsid w:val="0006545E"/>
    <w:rsid w:val="00065479"/>
    <w:rsid w:val="00065643"/>
    <w:rsid w:val="00065680"/>
    <w:rsid w:val="000656CB"/>
    <w:rsid w:val="00065874"/>
    <w:rsid w:val="000658BA"/>
    <w:rsid w:val="000659C6"/>
    <w:rsid w:val="00065A92"/>
    <w:rsid w:val="00065B2E"/>
    <w:rsid w:val="00065D2D"/>
    <w:rsid w:val="00065D99"/>
    <w:rsid w:val="00065F52"/>
    <w:rsid w:val="00065FD1"/>
    <w:rsid w:val="00066080"/>
    <w:rsid w:val="00066108"/>
    <w:rsid w:val="00066205"/>
    <w:rsid w:val="000662FB"/>
    <w:rsid w:val="0006632F"/>
    <w:rsid w:val="00066399"/>
    <w:rsid w:val="00066426"/>
    <w:rsid w:val="00066450"/>
    <w:rsid w:val="0006672D"/>
    <w:rsid w:val="00066780"/>
    <w:rsid w:val="0006682D"/>
    <w:rsid w:val="000668F1"/>
    <w:rsid w:val="00066934"/>
    <w:rsid w:val="00066A0C"/>
    <w:rsid w:val="00066B67"/>
    <w:rsid w:val="00066CB0"/>
    <w:rsid w:val="00066D95"/>
    <w:rsid w:val="00066DDB"/>
    <w:rsid w:val="00066DE3"/>
    <w:rsid w:val="00066ECB"/>
    <w:rsid w:val="00066ED8"/>
    <w:rsid w:val="00066F8C"/>
    <w:rsid w:val="00067007"/>
    <w:rsid w:val="0006702A"/>
    <w:rsid w:val="0006710E"/>
    <w:rsid w:val="00067130"/>
    <w:rsid w:val="000672BA"/>
    <w:rsid w:val="000672DE"/>
    <w:rsid w:val="000672E3"/>
    <w:rsid w:val="000673C7"/>
    <w:rsid w:val="00067445"/>
    <w:rsid w:val="000674C6"/>
    <w:rsid w:val="000674CC"/>
    <w:rsid w:val="00067571"/>
    <w:rsid w:val="000675D1"/>
    <w:rsid w:val="000676A2"/>
    <w:rsid w:val="000676BE"/>
    <w:rsid w:val="000676C9"/>
    <w:rsid w:val="000677F2"/>
    <w:rsid w:val="00067828"/>
    <w:rsid w:val="000678B1"/>
    <w:rsid w:val="000678DF"/>
    <w:rsid w:val="00067952"/>
    <w:rsid w:val="000679A6"/>
    <w:rsid w:val="00067C06"/>
    <w:rsid w:val="00067C15"/>
    <w:rsid w:val="00067CB3"/>
    <w:rsid w:val="00067CDF"/>
    <w:rsid w:val="00067D04"/>
    <w:rsid w:val="00067D88"/>
    <w:rsid w:val="00067E43"/>
    <w:rsid w:val="00067FB0"/>
    <w:rsid w:val="00070384"/>
    <w:rsid w:val="000703B0"/>
    <w:rsid w:val="0007049B"/>
    <w:rsid w:val="00070630"/>
    <w:rsid w:val="0007079A"/>
    <w:rsid w:val="00070827"/>
    <w:rsid w:val="0007092D"/>
    <w:rsid w:val="0007099B"/>
    <w:rsid w:val="00070A7C"/>
    <w:rsid w:val="00070AF9"/>
    <w:rsid w:val="00070BB8"/>
    <w:rsid w:val="00070C9F"/>
    <w:rsid w:val="00070CB9"/>
    <w:rsid w:val="00070E9B"/>
    <w:rsid w:val="00071013"/>
    <w:rsid w:val="000710E3"/>
    <w:rsid w:val="000710FC"/>
    <w:rsid w:val="0007112E"/>
    <w:rsid w:val="00071181"/>
    <w:rsid w:val="00071227"/>
    <w:rsid w:val="00071274"/>
    <w:rsid w:val="000712F8"/>
    <w:rsid w:val="0007130D"/>
    <w:rsid w:val="0007137A"/>
    <w:rsid w:val="0007138F"/>
    <w:rsid w:val="000713B1"/>
    <w:rsid w:val="000713CF"/>
    <w:rsid w:val="00071421"/>
    <w:rsid w:val="0007147A"/>
    <w:rsid w:val="00071530"/>
    <w:rsid w:val="00071659"/>
    <w:rsid w:val="0007167D"/>
    <w:rsid w:val="00071751"/>
    <w:rsid w:val="00071768"/>
    <w:rsid w:val="00071799"/>
    <w:rsid w:val="0007180A"/>
    <w:rsid w:val="0007184B"/>
    <w:rsid w:val="00071897"/>
    <w:rsid w:val="000718F1"/>
    <w:rsid w:val="00071955"/>
    <w:rsid w:val="00071AAE"/>
    <w:rsid w:val="00071B18"/>
    <w:rsid w:val="00071B20"/>
    <w:rsid w:val="00071C14"/>
    <w:rsid w:val="00071C57"/>
    <w:rsid w:val="00071DE0"/>
    <w:rsid w:val="00071DFB"/>
    <w:rsid w:val="00071E71"/>
    <w:rsid w:val="00071FD8"/>
    <w:rsid w:val="00072059"/>
    <w:rsid w:val="00072188"/>
    <w:rsid w:val="0007233D"/>
    <w:rsid w:val="00072348"/>
    <w:rsid w:val="0007236F"/>
    <w:rsid w:val="000723E5"/>
    <w:rsid w:val="00072550"/>
    <w:rsid w:val="0007259F"/>
    <w:rsid w:val="0007264F"/>
    <w:rsid w:val="0007266A"/>
    <w:rsid w:val="000726C9"/>
    <w:rsid w:val="000726E2"/>
    <w:rsid w:val="00072818"/>
    <w:rsid w:val="0007289E"/>
    <w:rsid w:val="00072908"/>
    <w:rsid w:val="0007294F"/>
    <w:rsid w:val="00072AE7"/>
    <w:rsid w:val="00072C65"/>
    <w:rsid w:val="00072D96"/>
    <w:rsid w:val="00072E00"/>
    <w:rsid w:val="00072E40"/>
    <w:rsid w:val="00072EDD"/>
    <w:rsid w:val="00072F17"/>
    <w:rsid w:val="00073037"/>
    <w:rsid w:val="0007304C"/>
    <w:rsid w:val="00073107"/>
    <w:rsid w:val="00073347"/>
    <w:rsid w:val="00073453"/>
    <w:rsid w:val="00073549"/>
    <w:rsid w:val="000735FC"/>
    <w:rsid w:val="0007360D"/>
    <w:rsid w:val="00073788"/>
    <w:rsid w:val="00073791"/>
    <w:rsid w:val="000737C2"/>
    <w:rsid w:val="00073829"/>
    <w:rsid w:val="00073A0A"/>
    <w:rsid w:val="00073AE8"/>
    <w:rsid w:val="00073AF3"/>
    <w:rsid w:val="00073BD4"/>
    <w:rsid w:val="00073BD6"/>
    <w:rsid w:val="00073BDE"/>
    <w:rsid w:val="00073CD5"/>
    <w:rsid w:val="00073D10"/>
    <w:rsid w:val="00073E90"/>
    <w:rsid w:val="00073F12"/>
    <w:rsid w:val="00074048"/>
    <w:rsid w:val="000740EE"/>
    <w:rsid w:val="0007417F"/>
    <w:rsid w:val="000742FB"/>
    <w:rsid w:val="00074338"/>
    <w:rsid w:val="0007445F"/>
    <w:rsid w:val="000745EC"/>
    <w:rsid w:val="0007460D"/>
    <w:rsid w:val="00074620"/>
    <w:rsid w:val="0007473C"/>
    <w:rsid w:val="000748D4"/>
    <w:rsid w:val="000748FD"/>
    <w:rsid w:val="00074A60"/>
    <w:rsid w:val="00074B88"/>
    <w:rsid w:val="00074C05"/>
    <w:rsid w:val="00074CB6"/>
    <w:rsid w:val="00074E7A"/>
    <w:rsid w:val="00074E9C"/>
    <w:rsid w:val="00074EBA"/>
    <w:rsid w:val="00074F35"/>
    <w:rsid w:val="00074F5E"/>
    <w:rsid w:val="00075166"/>
    <w:rsid w:val="000751DE"/>
    <w:rsid w:val="000753CF"/>
    <w:rsid w:val="000753DE"/>
    <w:rsid w:val="00075420"/>
    <w:rsid w:val="00075434"/>
    <w:rsid w:val="00075478"/>
    <w:rsid w:val="00075482"/>
    <w:rsid w:val="000754B4"/>
    <w:rsid w:val="000754ED"/>
    <w:rsid w:val="00075537"/>
    <w:rsid w:val="0007555F"/>
    <w:rsid w:val="00075567"/>
    <w:rsid w:val="0007570A"/>
    <w:rsid w:val="0007572C"/>
    <w:rsid w:val="0007573D"/>
    <w:rsid w:val="0007577F"/>
    <w:rsid w:val="00075829"/>
    <w:rsid w:val="0007582F"/>
    <w:rsid w:val="00075854"/>
    <w:rsid w:val="00075973"/>
    <w:rsid w:val="000759B0"/>
    <w:rsid w:val="00075A05"/>
    <w:rsid w:val="00075DC6"/>
    <w:rsid w:val="00075DD9"/>
    <w:rsid w:val="00075DE1"/>
    <w:rsid w:val="00075EF9"/>
    <w:rsid w:val="00075F1B"/>
    <w:rsid w:val="00075FF7"/>
    <w:rsid w:val="00076106"/>
    <w:rsid w:val="00076114"/>
    <w:rsid w:val="0007617F"/>
    <w:rsid w:val="000761E6"/>
    <w:rsid w:val="000764A1"/>
    <w:rsid w:val="000765C6"/>
    <w:rsid w:val="00076676"/>
    <w:rsid w:val="0007668B"/>
    <w:rsid w:val="00076695"/>
    <w:rsid w:val="000766A4"/>
    <w:rsid w:val="000766E0"/>
    <w:rsid w:val="0007670C"/>
    <w:rsid w:val="000768DD"/>
    <w:rsid w:val="00076949"/>
    <w:rsid w:val="0007695F"/>
    <w:rsid w:val="000769CD"/>
    <w:rsid w:val="00076B50"/>
    <w:rsid w:val="00076B5B"/>
    <w:rsid w:val="00076B7D"/>
    <w:rsid w:val="00076B89"/>
    <w:rsid w:val="00076D63"/>
    <w:rsid w:val="00076E92"/>
    <w:rsid w:val="00076EC2"/>
    <w:rsid w:val="0007707F"/>
    <w:rsid w:val="000770A3"/>
    <w:rsid w:val="000770D9"/>
    <w:rsid w:val="000770E2"/>
    <w:rsid w:val="00077100"/>
    <w:rsid w:val="0007711F"/>
    <w:rsid w:val="00077457"/>
    <w:rsid w:val="0007751D"/>
    <w:rsid w:val="00077529"/>
    <w:rsid w:val="00077553"/>
    <w:rsid w:val="00077618"/>
    <w:rsid w:val="0007768C"/>
    <w:rsid w:val="00077706"/>
    <w:rsid w:val="0007776D"/>
    <w:rsid w:val="0007780B"/>
    <w:rsid w:val="0007786F"/>
    <w:rsid w:val="00077B22"/>
    <w:rsid w:val="00077C08"/>
    <w:rsid w:val="00077C4B"/>
    <w:rsid w:val="00077C9D"/>
    <w:rsid w:val="00077CBB"/>
    <w:rsid w:val="00077D88"/>
    <w:rsid w:val="00077FD3"/>
    <w:rsid w:val="00080070"/>
    <w:rsid w:val="00080083"/>
    <w:rsid w:val="0008024D"/>
    <w:rsid w:val="000802D7"/>
    <w:rsid w:val="0008034B"/>
    <w:rsid w:val="0008037D"/>
    <w:rsid w:val="000803AC"/>
    <w:rsid w:val="000803B8"/>
    <w:rsid w:val="0008046F"/>
    <w:rsid w:val="000804F5"/>
    <w:rsid w:val="00080514"/>
    <w:rsid w:val="00080560"/>
    <w:rsid w:val="000805BE"/>
    <w:rsid w:val="00080607"/>
    <w:rsid w:val="000806CA"/>
    <w:rsid w:val="000806E1"/>
    <w:rsid w:val="00080735"/>
    <w:rsid w:val="00080967"/>
    <w:rsid w:val="000809F0"/>
    <w:rsid w:val="00080AEA"/>
    <w:rsid w:val="00080BA5"/>
    <w:rsid w:val="00080C1E"/>
    <w:rsid w:val="00080CDF"/>
    <w:rsid w:val="00080DE3"/>
    <w:rsid w:val="00080E1C"/>
    <w:rsid w:val="00080EF0"/>
    <w:rsid w:val="00080EF5"/>
    <w:rsid w:val="00080F55"/>
    <w:rsid w:val="00080F78"/>
    <w:rsid w:val="00080F93"/>
    <w:rsid w:val="00081025"/>
    <w:rsid w:val="000811D5"/>
    <w:rsid w:val="000812B0"/>
    <w:rsid w:val="000812C2"/>
    <w:rsid w:val="00081395"/>
    <w:rsid w:val="000813AA"/>
    <w:rsid w:val="000813C9"/>
    <w:rsid w:val="000814D7"/>
    <w:rsid w:val="0008150D"/>
    <w:rsid w:val="0008151A"/>
    <w:rsid w:val="0008152D"/>
    <w:rsid w:val="000815A7"/>
    <w:rsid w:val="000815AC"/>
    <w:rsid w:val="000816A6"/>
    <w:rsid w:val="000816CE"/>
    <w:rsid w:val="00081798"/>
    <w:rsid w:val="0008180A"/>
    <w:rsid w:val="0008189B"/>
    <w:rsid w:val="00081950"/>
    <w:rsid w:val="000819D6"/>
    <w:rsid w:val="000819E2"/>
    <w:rsid w:val="00081B1D"/>
    <w:rsid w:val="00081B31"/>
    <w:rsid w:val="00081B37"/>
    <w:rsid w:val="00081BA7"/>
    <w:rsid w:val="00081BD2"/>
    <w:rsid w:val="00081C0D"/>
    <w:rsid w:val="00081D69"/>
    <w:rsid w:val="00081DEB"/>
    <w:rsid w:val="00081EBE"/>
    <w:rsid w:val="00081F1C"/>
    <w:rsid w:val="00081F39"/>
    <w:rsid w:val="00081FCF"/>
    <w:rsid w:val="00081FE3"/>
    <w:rsid w:val="00081FF1"/>
    <w:rsid w:val="00082183"/>
    <w:rsid w:val="00082194"/>
    <w:rsid w:val="00082225"/>
    <w:rsid w:val="000823B9"/>
    <w:rsid w:val="000825CC"/>
    <w:rsid w:val="000825F4"/>
    <w:rsid w:val="0008264F"/>
    <w:rsid w:val="000827C8"/>
    <w:rsid w:val="000827F1"/>
    <w:rsid w:val="0008283B"/>
    <w:rsid w:val="00082A61"/>
    <w:rsid w:val="00082B9A"/>
    <w:rsid w:val="00082C1F"/>
    <w:rsid w:val="00082CB6"/>
    <w:rsid w:val="00082D30"/>
    <w:rsid w:val="00082D9B"/>
    <w:rsid w:val="00082E28"/>
    <w:rsid w:val="00082E67"/>
    <w:rsid w:val="00082EC5"/>
    <w:rsid w:val="00083071"/>
    <w:rsid w:val="00083080"/>
    <w:rsid w:val="00083096"/>
    <w:rsid w:val="000830EB"/>
    <w:rsid w:val="000832BD"/>
    <w:rsid w:val="00083317"/>
    <w:rsid w:val="000833B5"/>
    <w:rsid w:val="000833D2"/>
    <w:rsid w:val="00083466"/>
    <w:rsid w:val="00083514"/>
    <w:rsid w:val="0008354E"/>
    <w:rsid w:val="000835BD"/>
    <w:rsid w:val="000835D4"/>
    <w:rsid w:val="00083700"/>
    <w:rsid w:val="000837E3"/>
    <w:rsid w:val="000837F2"/>
    <w:rsid w:val="0008386D"/>
    <w:rsid w:val="00083893"/>
    <w:rsid w:val="00083894"/>
    <w:rsid w:val="000838F1"/>
    <w:rsid w:val="00083A75"/>
    <w:rsid w:val="00083A7B"/>
    <w:rsid w:val="00083AA9"/>
    <w:rsid w:val="00083B9A"/>
    <w:rsid w:val="00083BD7"/>
    <w:rsid w:val="00083C50"/>
    <w:rsid w:val="00083C9A"/>
    <w:rsid w:val="00083D14"/>
    <w:rsid w:val="00083E0F"/>
    <w:rsid w:val="00083E2A"/>
    <w:rsid w:val="00083F20"/>
    <w:rsid w:val="0008417E"/>
    <w:rsid w:val="000842E3"/>
    <w:rsid w:val="000842F2"/>
    <w:rsid w:val="00084317"/>
    <w:rsid w:val="00084339"/>
    <w:rsid w:val="000843FA"/>
    <w:rsid w:val="000844AA"/>
    <w:rsid w:val="000844B3"/>
    <w:rsid w:val="0008451E"/>
    <w:rsid w:val="00084556"/>
    <w:rsid w:val="00084631"/>
    <w:rsid w:val="0008479F"/>
    <w:rsid w:val="000848E8"/>
    <w:rsid w:val="000849CA"/>
    <w:rsid w:val="00084AE8"/>
    <w:rsid w:val="00084B2A"/>
    <w:rsid w:val="00084B6F"/>
    <w:rsid w:val="00084E03"/>
    <w:rsid w:val="00084E5B"/>
    <w:rsid w:val="00084E86"/>
    <w:rsid w:val="00084F6B"/>
    <w:rsid w:val="00084F79"/>
    <w:rsid w:val="00084FD5"/>
    <w:rsid w:val="0008505D"/>
    <w:rsid w:val="0008522D"/>
    <w:rsid w:val="000852B2"/>
    <w:rsid w:val="000852ED"/>
    <w:rsid w:val="00085376"/>
    <w:rsid w:val="000853B5"/>
    <w:rsid w:val="000853D9"/>
    <w:rsid w:val="0008543C"/>
    <w:rsid w:val="000854FE"/>
    <w:rsid w:val="0008555D"/>
    <w:rsid w:val="000855FF"/>
    <w:rsid w:val="0008561A"/>
    <w:rsid w:val="00085651"/>
    <w:rsid w:val="00085881"/>
    <w:rsid w:val="00085918"/>
    <w:rsid w:val="00085A33"/>
    <w:rsid w:val="00085A3E"/>
    <w:rsid w:val="00085A46"/>
    <w:rsid w:val="00085A75"/>
    <w:rsid w:val="00085AF8"/>
    <w:rsid w:val="00085B86"/>
    <w:rsid w:val="00085BBF"/>
    <w:rsid w:val="00085C09"/>
    <w:rsid w:val="00085C62"/>
    <w:rsid w:val="00085CD4"/>
    <w:rsid w:val="00085CF3"/>
    <w:rsid w:val="00085F15"/>
    <w:rsid w:val="00085FAF"/>
    <w:rsid w:val="00086046"/>
    <w:rsid w:val="00086087"/>
    <w:rsid w:val="0008609F"/>
    <w:rsid w:val="00086222"/>
    <w:rsid w:val="00086292"/>
    <w:rsid w:val="00086413"/>
    <w:rsid w:val="0008643A"/>
    <w:rsid w:val="00086471"/>
    <w:rsid w:val="00086578"/>
    <w:rsid w:val="000865A7"/>
    <w:rsid w:val="0008665C"/>
    <w:rsid w:val="0008678F"/>
    <w:rsid w:val="00086888"/>
    <w:rsid w:val="0008689D"/>
    <w:rsid w:val="000868D6"/>
    <w:rsid w:val="000868DF"/>
    <w:rsid w:val="000869D9"/>
    <w:rsid w:val="00086A4D"/>
    <w:rsid w:val="00086A78"/>
    <w:rsid w:val="00086BDE"/>
    <w:rsid w:val="00086BFC"/>
    <w:rsid w:val="00086CA0"/>
    <w:rsid w:val="00086D09"/>
    <w:rsid w:val="00086D42"/>
    <w:rsid w:val="00086F7C"/>
    <w:rsid w:val="0008700C"/>
    <w:rsid w:val="0008709C"/>
    <w:rsid w:val="00087337"/>
    <w:rsid w:val="000873E9"/>
    <w:rsid w:val="000874D1"/>
    <w:rsid w:val="00087514"/>
    <w:rsid w:val="0008760F"/>
    <w:rsid w:val="000877E9"/>
    <w:rsid w:val="0008784E"/>
    <w:rsid w:val="00087893"/>
    <w:rsid w:val="0008796D"/>
    <w:rsid w:val="00087A09"/>
    <w:rsid w:val="00087A54"/>
    <w:rsid w:val="00087AE0"/>
    <w:rsid w:val="00087AE1"/>
    <w:rsid w:val="00087CF2"/>
    <w:rsid w:val="00087D12"/>
    <w:rsid w:val="00087D52"/>
    <w:rsid w:val="00087DCC"/>
    <w:rsid w:val="00087DED"/>
    <w:rsid w:val="00087E75"/>
    <w:rsid w:val="00087EDF"/>
    <w:rsid w:val="00087FA2"/>
    <w:rsid w:val="00090064"/>
    <w:rsid w:val="00090225"/>
    <w:rsid w:val="0009029C"/>
    <w:rsid w:val="000902BC"/>
    <w:rsid w:val="0009036D"/>
    <w:rsid w:val="000904A3"/>
    <w:rsid w:val="000904D5"/>
    <w:rsid w:val="000905EB"/>
    <w:rsid w:val="0009069D"/>
    <w:rsid w:val="0009078F"/>
    <w:rsid w:val="00090801"/>
    <w:rsid w:val="0009083F"/>
    <w:rsid w:val="000909A7"/>
    <w:rsid w:val="000909FB"/>
    <w:rsid w:val="00090B79"/>
    <w:rsid w:val="00090BC9"/>
    <w:rsid w:val="00090C52"/>
    <w:rsid w:val="00090D08"/>
    <w:rsid w:val="00090D0A"/>
    <w:rsid w:val="00090D39"/>
    <w:rsid w:val="00090D7F"/>
    <w:rsid w:val="00090DBC"/>
    <w:rsid w:val="00090DC5"/>
    <w:rsid w:val="00090DD0"/>
    <w:rsid w:val="00090EA3"/>
    <w:rsid w:val="00090EE1"/>
    <w:rsid w:val="00090FBB"/>
    <w:rsid w:val="0009100E"/>
    <w:rsid w:val="00091013"/>
    <w:rsid w:val="000910CE"/>
    <w:rsid w:val="0009118A"/>
    <w:rsid w:val="00091231"/>
    <w:rsid w:val="000912DD"/>
    <w:rsid w:val="000912EC"/>
    <w:rsid w:val="0009134D"/>
    <w:rsid w:val="00091478"/>
    <w:rsid w:val="000914BF"/>
    <w:rsid w:val="00091517"/>
    <w:rsid w:val="00091518"/>
    <w:rsid w:val="000915DA"/>
    <w:rsid w:val="00091821"/>
    <w:rsid w:val="00091893"/>
    <w:rsid w:val="00091962"/>
    <w:rsid w:val="000919F6"/>
    <w:rsid w:val="00091A2A"/>
    <w:rsid w:val="00091B76"/>
    <w:rsid w:val="00091BFC"/>
    <w:rsid w:val="00091C0D"/>
    <w:rsid w:val="00091D4B"/>
    <w:rsid w:val="00091D87"/>
    <w:rsid w:val="00091DB8"/>
    <w:rsid w:val="00091F0C"/>
    <w:rsid w:val="00091F1D"/>
    <w:rsid w:val="00092026"/>
    <w:rsid w:val="00092061"/>
    <w:rsid w:val="0009208E"/>
    <w:rsid w:val="00092283"/>
    <w:rsid w:val="00092374"/>
    <w:rsid w:val="000923AB"/>
    <w:rsid w:val="000923F4"/>
    <w:rsid w:val="00092463"/>
    <w:rsid w:val="00092525"/>
    <w:rsid w:val="00092540"/>
    <w:rsid w:val="0009255B"/>
    <w:rsid w:val="00092703"/>
    <w:rsid w:val="0009270B"/>
    <w:rsid w:val="0009270D"/>
    <w:rsid w:val="0009285B"/>
    <w:rsid w:val="00092905"/>
    <w:rsid w:val="000929B6"/>
    <w:rsid w:val="00092A49"/>
    <w:rsid w:val="00092B0A"/>
    <w:rsid w:val="00092B4C"/>
    <w:rsid w:val="00092BF5"/>
    <w:rsid w:val="00092D04"/>
    <w:rsid w:val="00092D24"/>
    <w:rsid w:val="00092E5D"/>
    <w:rsid w:val="00092E6A"/>
    <w:rsid w:val="00092F2A"/>
    <w:rsid w:val="00092F90"/>
    <w:rsid w:val="00093078"/>
    <w:rsid w:val="0009315A"/>
    <w:rsid w:val="0009315C"/>
    <w:rsid w:val="000931A7"/>
    <w:rsid w:val="000933B4"/>
    <w:rsid w:val="000933DA"/>
    <w:rsid w:val="00093410"/>
    <w:rsid w:val="00093459"/>
    <w:rsid w:val="000934F4"/>
    <w:rsid w:val="000935D5"/>
    <w:rsid w:val="000937F1"/>
    <w:rsid w:val="0009382E"/>
    <w:rsid w:val="000938F7"/>
    <w:rsid w:val="0009398D"/>
    <w:rsid w:val="00093A3C"/>
    <w:rsid w:val="00093ABA"/>
    <w:rsid w:val="00093B28"/>
    <w:rsid w:val="00093B4F"/>
    <w:rsid w:val="00093B54"/>
    <w:rsid w:val="00093C93"/>
    <w:rsid w:val="00093CF7"/>
    <w:rsid w:val="00093DCE"/>
    <w:rsid w:val="00093E28"/>
    <w:rsid w:val="00093FB9"/>
    <w:rsid w:val="00094067"/>
    <w:rsid w:val="00094156"/>
    <w:rsid w:val="00094196"/>
    <w:rsid w:val="0009439A"/>
    <w:rsid w:val="000945B3"/>
    <w:rsid w:val="0009467F"/>
    <w:rsid w:val="00094849"/>
    <w:rsid w:val="00094885"/>
    <w:rsid w:val="000948BD"/>
    <w:rsid w:val="000948D1"/>
    <w:rsid w:val="00094936"/>
    <w:rsid w:val="00094952"/>
    <w:rsid w:val="00094A8F"/>
    <w:rsid w:val="00094B22"/>
    <w:rsid w:val="00094BB1"/>
    <w:rsid w:val="00094D9A"/>
    <w:rsid w:val="00094E08"/>
    <w:rsid w:val="00094E28"/>
    <w:rsid w:val="00094E2C"/>
    <w:rsid w:val="00094E5D"/>
    <w:rsid w:val="00094EEF"/>
    <w:rsid w:val="0009502E"/>
    <w:rsid w:val="000950E4"/>
    <w:rsid w:val="000950F6"/>
    <w:rsid w:val="000951B1"/>
    <w:rsid w:val="000951B3"/>
    <w:rsid w:val="0009524C"/>
    <w:rsid w:val="00095409"/>
    <w:rsid w:val="00095452"/>
    <w:rsid w:val="00095532"/>
    <w:rsid w:val="00095550"/>
    <w:rsid w:val="000955D2"/>
    <w:rsid w:val="00095622"/>
    <w:rsid w:val="0009568C"/>
    <w:rsid w:val="00095723"/>
    <w:rsid w:val="000958B4"/>
    <w:rsid w:val="00095911"/>
    <w:rsid w:val="00095920"/>
    <w:rsid w:val="00095A31"/>
    <w:rsid w:val="00095AF4"/>
    <w:rsid w:val="00095B61"/>
    <w:rsid w:val="00095BC3"/>
    <w:rsid w:val="00095BF1"/>
    <w:rsid w:val="00095CA2"/>
    <w:rsid w:val="00095D37"/>
    <w:rsid w:val="00095D9D"/>
    <w:rsid w:val="00095DE3"/>
    <w:rsid w:val="00095DF8"/>
    <w:rsid w:val="00095E24"/>
    <w:rsid w:val="00095E64"/>
    <w:rsid w:val="00095F4D"/>
    <w:rsid w:val="00096034"/>
    <w:rsid w:val="00096065"/>
    <w:rsid w:val="0009618D"/>
    <w:rsid w:val="00096210"/>
    <w:rsid w:val="0009621E"/>
    <w:rsid w:val="0009622B"/>
    <w:rsid w:val="00096285"/>
    <w:rsid w:val="0009628C"/>
    <w:rsid w:val="00096305"/>
    <w:rsid w:val="0009640E"/>
    <w:rsid w:val="00096472"/>
    <w:rsid w:val="000964D1"/>
    <w:rsid w:val="0009655B"/>
    <w:rsid w:val="00096570"/>
    <w:rsid w:val="00096661"/>
    <w:rsid w:val="000967ED"/>
    <w:rsid w:val="00096875"/>
    <w:rsid w:val="000968FE"/>
    <w:rsid w:val="00096905"/>
    <w:rsid w:val="000969A8"/>
    <w:rsid w:val="00096A11"/>
    <w:rsid w:val="00096A3C"/>
    <w:rsid w:val="00096A7B"/>
    <w:rsid w:val="00096AE2"/>
    <w:rsid w:val="00096BEE"/>
    <w:rsid w:val="00096D7B"/>
    <w:rsid w:val="00096DD1"/>
    <w:rsid w:val="00096E6F"/>
    <w:rsid w:val="00096ED7"/>
    <w:rsid w:val="00096FAD"/>
    <w:rsid w:val="0009702B"/>
    <w:rsid w:val="00097094"/>
    <w:rsid w:val="0009710C"/>
    <w:rsid w:val="000975BB"/>
    <w:rsid w:val="000978E3"/>
    <w:rsid w:val="000978F0"/>
    <w:rsid w:val="00097A36"/>
    <w:rsid w:val="00097A46"/>
    <w:rsid w:val="00097A58"/>
    <w:rsid w:val="00097A63"/>
    <w:rsid w:val="00097BFB"/>
    <w:rsid w:val="00097C48"/>
    <w:rsid w:val="00097C7D"/>
    <w:rsid w:val="00097C80"/>
    <w:rsid w:val="00097DA3"/>
    <w:rsid w:val="00097DD8"/>
    <w:rsid w:val="00097E99"/>
    <w:rsid w:val="00097ED3"/>
    <w:rsid w:val="00097FD6"/>
    <w:rsid w:val="00097FE3"/>
    <w:rsid w:val="000A016D"/>
    <w:rsid w:val="000A019E"/>
    <w:rsid w:val="000A02B9"/>
    <w:rsid w:val="000A038C"/>
    <w:rsid w:val="000A041B"/>
    <w:rsid w:val="000A041C"/>
    <w:rsid w:val="000A0532"/>
    <w:rsid w:val="000A0638"/>
    <w:rsid w:val="000A0706"/>
    <w:rsid w:val="000A08D7"/>
    <w:rsid w:val="000A0A63"/>
    <w:rsid w:val="000A0B42"/>
    <w:rsid w:val="000A0B4B"/>
    <w:rsid w:val="000A0C0B"/>
    <w:rsid w:val="000A0C22"/>
    <w:rsid w:val="000A0CAC"/>
    <w:rsid w:val="000A0D05"/>
    <w:rsid w:val="000A0D2C"/>
    <w:rsid w:val="000A0DA4"/>
    <w:rsid w:val="000A0F4B"/>
    <w:rsid w:val="000A0F79"/>
    <w:rsid w:val="000A0FEC"/>
    <w:rsid w:val="000A10DB"/>
    <w:rsid w:val="000A10F9"/>
    <w:rsid w:val="000A1151"/>
    <w:rsid w:val="000A13EA"/>
    <w:rsid w:val="000A142B"/>
    <w:rsid w:val="000A15AA"/>
    <w:rsid w:val="000A161A"/>
    <w:rsid w:val="000A1621"/>
    <w:rsid w:val="000A1636"/>
    <w:rsid w:val="000A164D"/>
    <w:rsid w:val="000A16FB"/>
    <w:rsid w:val="000A16FC"/>
    <w:rsid w:val="000A198E"/>
    <w:rsid w:val="000A1A72"/>
    <w:rsid w:val="000A1AD1"/>
    <w:rsid w:val="000A1B87"/>
    <w:rsid w:val="000A1C1A"/>
    <w:rsid w:val="000A1C45"/>
    <w:rsid w:val="000A1CF4"/>
    <w:rsid w:val="000A1D5D"/>
    <w:rsid w:val="000A1D63"/>
    <w:rsid w:val="000A1DCD"/>
    <w:rsid w:val="000A1F13"/>
    <w:rsid w:val="000A1F98"/>
    <w:rsid w:val="000A207F"/>
    <w:rsid w:val="000A20F2"/>
    <w:rsid w:val="000A212A"/>
    <w:rsid w:val="000A2176"/>
    <w:rsid w:val="000A2200"/>
    <w:rsid w:val="000A22EF"/>
    <w:rsid w:val="000A22F6"/>
    <w:rsid w:val="000A2392"/>
    <w:rsid w:val="000A23D6"/>
    <w:rsid w:val="000A2465"/>
    <w:rsid w:val="000A249A"/>
    <w:rsid w:val="000A249C"/>
    <w:rsid w:val="000A24D6"/>
    <w:rsid w:val="000A252E"/>
    <w:rsid w:val="000A2559"/>
    <w:rsid w:val="000A2648"/>
    <w:rsid w:val="000A2776"/>
    <w:rsid w:val="000A277D"/>
    <w:rsid w:val="000A2823"/>
    <w:rsid w:val="000A28C9"/>
    <w:rsid w:val="000A291D"/>
    <w:rsid w:val="000A2986"/>
    <w:rsid w:val="000A2A83"/>
    <w:rsid w:val="000A2AF4"/>
    <w:rsid w:val="000A2BF2"/>
    <w:rsid w:val="000A2D22"/>
    <w:rsid w:val="000A2D46"/>
    <w:rsid w:val="000A2DE6"/>
    <w:rsid w:val="000A2DF7"/>
    <w:rsid w:val="000A2E23"/>
    <w:rsid w:val="000A2E81"/>
    <w:rsid w:val="000A2F35"/>
    <w:rsid w:val="000A2F90"/>
    <w:rsid w:val="000A3039"/>
    <w:rsid w:val="000A306B"/>
    <w:rsid w:val="000A30AF"/>
    <w:rsid w:val="000A3149"/>
    <w:rsid w:val="000A31AE"/>
    <w:rsid w:val="000A323A"/>
    <w:rsid w:val="000A323E"/>
    <w:rsid w:val="000A324B"/>
    <w:rsid w:val="000A3255"/>
    <w:rsid w:val="000A331C"/>
    <w:rsid w:val="000A3334"/>
    <w:rsid w:val="000A34C3"/>
    <w:rsid w:val="000A3614"/>
    <w:rsid w:val="000A3705"/>
    <w:rsid w:val="000A3731"/>
    <w:rsid w:val="000A37C5"/>
    <w:rsid w:val="000A37E7"/>
    <w:rsid w:val="000A3882"/>
    <w:rsid w:val="000A3892"/>
    <w:rsid w:val="000A38EC"/>
    <w:rsid w:val="000A3952"/>
    <w:rsid w:val="000A3979"/>
    <w:rsid w:val="000A39CA"/>
    <w:rsid w:val="000A3AD4"/>
    <w:rsid w:val="000A3B68"/>
    <w:rsid w:val="000A3B84"/>
    <w:rsid w:val="000A3C4B"/>
    <w:rsid w:val="000A3CE8"/>
    <w:rsid w:val="000A3DF8"/>
    <w:rsid w:val="000A3F5C"/>
    <w:rsid w:val="000A4023"/>
    <w:rsid w:val="000A4212"/>
    <w:rsid w:val="000A4243"/>
    <w:rsid w:val="000A4396"/>
    <w:rsid w:val="000A43CF"/>
    <w:rsid w:val="000A43E7"/>
    <w:rsid w:val="000A43FD"/>
    <w:rsid w:val="000A44DB"/>
    <w:rsid w:val="000A4561"/>
    <w:rsid w:val="000A488C"/>
    <w:rsid w:val="000A4990"/>
    <w:rsid w:val="000A4A19"/>
    <w:rsid w:val="000A4A84"/>
    <w:rsid w:val="000A4AD0"/>
    <w:rsid w:val="000A4AD3"/>
    <w:rsid w:val="000A4B60"/>
    <w:rsid w:val="000A4BF1"/>
    <w:rsid w:val="000A4C74"/>
    <w:rsid w:val="000A4DB1"/>
    <w:rsid w:val="000A4EBF"/>
    <w:rsid w:val="000A506B"/>
    <w:rsid w:val="000A50EE"/>
    <w:rsid w:val="000A5285"/>
    <w:rsid w:val="000A52C3"/>
    <w:rsid w:val="000A53D7"/>
    <w:rsid w:val="000A5409"/>
    <w:rsid w:val="000A5425"/>
    <w:rsid w:val="000A54CE"/>
    <w:rsid w:val="000A55DC"/>
    <w:rsid w:val="000A5624"/>
    <w:rsid w:val="000A5663"/>
    <w:rsid w:val="000A5669"/>
    <w:rsid w:val="000A56E6"/>
    <w:rsid w:val="000A57B9"/>
    <w:rsid w:val="000A5863"/>
    <w:rsid w:val="000A58EF"/>
    <w:rsid w:val="000A58F7"/>
    <w:rsid w:val="000A5ADB"/>
    <w:rsid w:val="000A5B0A"/>
    <w:rsid w:val="000A5B33"/>
    <w:rsid w:val="000A5C74"/>
    <w:rsid w:val="000A5DE2"/>
    <w:rsid w:val="000A5EF2"/>
    <w:rsid w:val="000A5F16"/>
    <w:rsid w:val="000A5F18"/>
    <w:rsid w:val="000A5F35"/>
    <w:rsid w:val="000A6023"/>
    <w:rsid w:val="000A603F"/>
    <w:rsid w:val="000A6095"/>
    <w:rsid w:val="000A60DE"/>
    <w:rsid w:val="000A6109"/>
    <w:rsid w:val="000A6170"/>
    <w:rsid w:val="000A6262"/>
    <w:rsid w:val="000A628F"/>
    <w:rsid w:val="000A6343"/>
    <w:rsid w:val="000A6369"/>
    <w:rsid w:val="000A64F4"/>
    <w:rsid w:val="000A6660"/>
    <w:rsid w:val="000A668A"/>
    <w:rsid w:val="000A6A95"/>
    <w:rsid w:val="000A6ACF"/>
    <w:rsid w:val="000A6B4A"/>
    <w:rsid w:val="000A6B76"/>
    <w:rsid w:val="000A6C38"/>
    <w:rsid w:val="000A6C6D"/>
    <w:rsid w:val="000A6DD0"/>
    <w:rsid w:val="000A6E2C"/>
    <w:rsid w:val="000A6E83"/>
    <w:rsid w:val="000A6EC6"/>
    <w:rsid w:val="000A7035"/>
    <w:rsid w:val="000A704E"/>
    <w:rsid w:val="000A70DF"/>
    <w:rsid w:val="000A718A"/>
    <w:rsid w:val="000A7256"/>
    <w:rsid w:val="000A7478"/>
    <w:rsid w:val="000A748A"/>
    <w:rsid w:val="000A749E"/>
    <w:rsid w:val="000A7501"/>
    <w:rsid w:val="000A7685"/>
    <w:rsid w:val="000A7700"/>
    <w:rsid w:val="000A77BF"/>
    <w:rsid w:val="000A7834"/>
    <w:rsid w:val="000A7967"/>
    <w:rsid w:val="000A79A4"/>
    <w:rsid w:val="000A7A11"/>
    <w:rsid w:val="000A7AD1"/>
    <w:rsid w:val="000A7AEC"/>
    <w:rsid w:val="000A7BAE"/>
    <w:rsid w:val="000A7CDB"/>
    <w:rsid w:val="000A7E74"/>
    <w:rsid w:val="000A7EAB"/>
    <w:rsid w:val="000A7EE6"/>
    <w:rsid w:val="000A7FDA"/>
    <w:rsid w:val="000B014C"/>
    <w:rsid w:val="000B019E"/>
    <w:rsid w:val="000B0459"/>
    <w:rsid w:val="000B0594"/>
    <w:rsid w:val="000B05B1"/>
    <w:rsid w:val="000B05F3"/>
    <w:rsid w:val="000B0680"/>
    <w:rsid w:val="000B06C0"/>
    <w:rsid w:val="000B0724"/>
    <w:rsid w:val="000B0828"/>
    <w:rsid w:val="000B082B"/>
    <w:rsid w:val="000B082D"/>
    <w:rsid w:val="000B0963"/>
    <w:rsid w:val="000B0A1A"/>
    <w:rsid w:val="000B0A9E"/>
    <w:rsid w:val="000B0B0A"/>
    <w:rsid w:val="000B0B47"/>
    <w:rsid w:val="000B0BCC"/>
    <w:rsid w:val="000B0DFC"/>
    <w:rsid w:val="000B0EAB"/>
    <w:rsid w:val="000B0EC8"/>
    <w:rsid w:val="000B0F7B"/>
    <w:rsid w:val="000B0FA0"/>
    <w:rsid w:val="000B0FA3"/>
    <w:rsid w:val="000B1020"/>
    <w:rsid w:val="000B1053"/>
    <w:rsid w:val="000B10A0"/>
    <w:rsid w:val="000B10A9"/>
    <w:rsid w:val="000B110F"/>
    <w:rsid w:val="000B11E9"/>
    <w:rsid w:val="000B11FE"/>
    <w:rsid w:val="000B123A"/>
    <w:rsid w:val="000B123C"/>
    <w:rsid w:val="000B1288"/>
    <w:rsid w:val="000B13B7"/>
    <w:rsid w:val="000B13E8"/>
    <w:rsid w:val="000B1438"/>
    <w:rsid w:val="000B1442"/>
    <w:rsid w:val="000B14EF"/>
    <w:rsid w:val="000B15B3"/>
    <w:rsid w:val="000B1649"/>
    <w:rsid w:val="000B1655"/>
    <w:rsid w:val="000B16C7"/>
    <w:rsid w:val="000B175F"/>
    <w:rsid w:val="000B189F"/>
    <w:rsid w:val="000B19C0"/>
    <w:rsid w:val="000B1B02"/>
    <w:rsid w:val="000B1B37"/>
    <w:rsid w:val="000B1C1C"/>
    <w:rsid w:val="000B1D02"/>
    <w:rsid w:val="000B1D7C"/>
    <w:rsid w:val="000B1D9C"/>
    <w:rsid w:val="000B1DA7"/>
    <w:rsid w:val="000B1DBB"/>
    <w:rsid w:val="000B1E64"/>
    <w:rsid w:val="000B1E79"/>
    <w:rsid w:val="000B1FB9"/>
    <w:rsid w:val="000B207F"/>
    <w:rsid w:val="000B20B3"/>
    <w:rsid w:val="000B20CF"/>
    <w:rsid w:val="000B2200"/>
    <w:rsid w:val="000B221C"/>
    <w:rsid w:val="000B224C"/>
    <w:rsid w:val="000B22AF"/>
    <w:rsid w:val="000B23B5"/>
    <w:rsid w:val="000B23F2"/>
    <w:rsid w:val="000B24CF"/>
    <w:rsid w:val="000B251D"/>
    <w:rsid w:val="000B25E8"/>
    <w:rsid w:val="000B263B"/>
    <w:rsid w:val="000B2662"/>
    <w:rsid w:val="000B2682"/>
    <w:rsid w:val="000B2691"/>
    <w:rsid w:val="000B26AD"/>
    <w:rsid w:val="000B26E0"/>
    <w:rsid w:val="000B26E1"/>
    <w:rsid w:val="000B2717"/>
    <w:rsid w:val="000B2890"/>
    <w:rsid w:val="000B2902"/>
    <w:rsid w:val="000B2954"/>
    <w:rsid w:val="000B2968"/>
    <w:rsid w:val="000B29E7"/>
    <w:rsid w:val="000B2A04"/>
    <w:rsid w:val="000B2B81"/>
    <w:rsid w:val="000B2BB6"/>
    <w:rsid w:val="000B2C82"/>
    <w:rsid w:val="000B2CA5"/>
    <w:rsid w:val="000B2D11"/>
    <w:rsid w:val="000B2D20"/>
    <w:rsid w:val="000B2E75"/>
    <w:rsid w:val="000B2F26"/>
    <w:rsid w:val="000B301A"/>
    <w:rsid w:val="000B3067"/>
    <w:rsid w:val="000B306C"/>
    <w:rsid w:val="000B308E"/>
    <w:rsid w:val="000B3117"/>
    <w:rsid w:val="000B31F4"/>
    <w:rsid w:val="000B3385"/>
    <w:rsid w:val="000B33F6"/>
    <w:rsid w:val="000B3464"/>
    <w:rsid w:val="000B35F2"/>
    <w:rsid w:val="000B3640"/>
    <w:rsid w:val="000B3667"/>
    <w:rsid w:val="000B3680"/>
    <w:rsid w:val="000B368E"/>
    <w:rsid w:val="000B36EB"/>
    <w:rsid w:val="000B3769"/>
    <w:rsid w:val="000B37DA"/>
    <w:rsid w:val="000B38A5"/>
    <w:rsid w:val="000B3A4F"/>
    <w:rsid w:val="000B3A5C"/>
    <w:rsid w:val="000B3A7D"/>
    <w:rsid w:val="000B3B00"/>
    <w:rsid w:val="000B3B86"/>
    <w:rsid w:val="000B3BCD"/>
    <w:rsid w:val="000B3C19"/>
    <w:rsid w:val="000B3C3C"/>
    <w:rsid w:val="000B3D7C"/>
    <w:rsid w:val="000B3F21"/>
    <w:rsid w:val="000B3F81"/>
    <w:rsid w:val="000B3F91"/>
    <w:rsid w:val="000B3FE7"/>
    <w:rsid w:val="000B4132"/>
    <w:rsid w:val="000B417C"/>
    <w:rsid w:val="000B41EF"/>
    <w:rsid w:val="000B425B"/>
    <w:rsid w:val="000B4268"/>
    <w:rsid w:val="000B42EC"/>
    <w:rsid w:val="000B43DE"/>
    <w:rsid w:val="000B43E5"/>
    <w:rsid w:val="000B44FC"/>
    <w:rsid w:val="000B45DA"/>
    <w:rsid w:val="000B463D"/>
    <w:rsid w:val="000B465D"/>
    <w:rsid w:val="000B4682"/>
    <w:rsid w:val="000B46A4"/>
    <w:rsid w:val="000B46B7"/>
    <w:rsid w:val="000B47A5"/>
    <w:rsid w:val="000B489F"/>
    <w:rsid w:val="000B498C"/>
    <w:rsid w:val="000B4A34"/>
    <w:rsid w:val="000B4A36"/>
    <w:rsid w:val="000B4A3B"/>
    <w:rsid w:val="000B4A68"/>
    <w:rsid w:val="000B4AEA"/>
    <w:rsid w:val="000B4CC6"/>
    <w:rsid w:val="000B4CC8"/>
    <w:rsid w:val="000B4CE6"/>
    <w:rsid w:val="000B4D10"/>
    <w:rsid w:val="000B4E9D"/>
    <w:rsid w:val="000B4E9E"/>
    <w:rsid w:val="000B501F"/>
    <w:rsid w:val="000B519F"/>
    <w:rsid w:val="000B51BE"/>
    <w:rsid w:val="000B52FF"/>
    <w:rsid w:val="000B554C"/>
    <w:rsid w:val="000B5568"/>
    <w:rsid w:val="000B5595"/>
    <w:rsid w:val="000B55BE"/>
    <w:rsid w:val="000B564E"/>
    <w:rsid w:val="000B57C0"/>
    <w:rsid w:val="000B57C9"/>
    <w:rsid w:val="000B57E4"/>
    <w:rsid w:val="000B581C"/>
    <w:rsid w:val="000B58A6"/>
    <w:rsid w:val="000B58B8"/>
    <w:rsid w:val="000B593B"/>
    <w:rsid w:val="000B5968"/>
    <w:rsid w:val="000B5AD7"/>
    <w:rsid w:val="000B5B76"/>
    <w:rsid w:val="000B5C1B"/>
    <w:rsid w:val="000B5C4E"/>
    <w:rsid w:val="000B5C5B"/>
    <w:rsid w:val="000B5D09"/>
    <w:rsid w:val="000B5D29"/>
    <w:rsid w:val="000B5D46"/>
    <w:rsid w:val="000B5D51"/>
    <w:rsid w:val="000B5D92"/>
    <w:rsid w:val="000B5DBA"/>
    <w:rsid w:val="000B5EBA"/>
    <w:rsid w:val="000B5ECA"/>
    <w:rsid w:val="000B5ECE"/>
    <w:rsid w:val="000B5F0D"/>
    <w:rsid w:val="000B5F67"/>
    <w:rsid w:val="000B6102"/>
    <w:rsid w:val="000B611B"/>
    <w:rsid w:val="000B6165"/>
    <w:rsid w:val="000B6172"/>
    <w:rsid w:val="000B623B"/>
    <w:rsid w:val="000B62A7"/>
    <w:rsid w:val="000B636B"/>
    <w:rsid w:val="000B653E"/>
    <w:rsid w:val="000B6571"/>
    <w:rsid w:val="000B65F9"/>
    <w:rsid w:val="000B66CF"/>
    <w:rsid w:val="000B66FF"/>
    <w:rsid w:val="000B6701"/>
    <w:rsid w:val="000B6708"/>
    <w:rsid w:val="000B6726"/>
    <w:rsid w:val="000B6740"/>
    <w:rsid w:val="000B679F"/>
    <w:rsid w:val="000B67B1"/>
    <w:rsid w:val="000B68DB"/>
    <w:rsid w:val="000B6929"/>
    <w:rsid w:val="000B696E"/>
    <w:rsid w:val="000B69FA"/>
    <w:rsid w:val="000B6A9E"/>
    <w:rsid w:val="000B6B54"/>
    <w:rsid w:val="000B6B92"/>
    <w:rsid w:val="000B6BE2"/>
    <w:rsid w:val="000B6C4B"/>
    <w:rsid w:val="000B6D0D"/>
    <w:rsid w:val="000B6D2E"/>
    <w:rsid w:val="000B6E69"/>
    <w:rsid w:val="000B6F1F"/>
    <w:rsid w:val="000B6F4A"/>
    <w:rsid w:val="000B6F4F"/>
    <w:rsid w:val="000B6F51"/>
    <w:rsid w:val="000B6F5F"/>
    <w:rsid w:val="000B6FCB"/>
    <w:rsid w:val="000B7051"/>
    <w:rsid w:val="000B7058"/>
    <w:rsid w:val="000B7218"/>
    <w:rsid w:val="000B728D"/>
    <w:rsid w:val="000B72AE"/>
    <w:rsid w:val="000B7313"/>
    <w:rsid w:val="000B7363"/>
    <w:rsid w:val="000B75A8"/>
    <w:rsid w:val="000B764B"/>
    <w:rsid w:val="000B7683"/>
    <w:rsid w:val="000B7758"/>
    <w:rsid w:val="000B77E9"/>
    <w:rsid w:val="000B78F4"/>
    <w:rsid w:val="000B79DC"/>
    <w:rsid w:val="000B7ACB"/>
    <w:rsid w:val="000B7BCD"/>
    <w:rsid w:val="000B7C88"/>
    <w:rsid w:val="000B7E8F"/>
    <w:rsid w:val="000C019A"/>
    <w:rsid w:val="000C0294"/>
    <w:rsid w:val="000C02F3"/>
    <w:rsid w:val="000C038C"/>
    <w:rsid w:val="000C0391"/>
    <w:rsid w:val="000C03C4"/>
    <w:rsid w:val="000C05A0"/>
    <w:rsid w:val="000C081A"/>
    <w:rsid w:val="000C0841"/>
    <w:rsid w:val="000C08BD"/>
    <w:rsid w:val="000C0937"/>
    <w:rsid w:val="000C0952"/>
    <w:rsid w:val="000C0978"/>
    <w:rsid w:val="000C0A8D"/>
    <w:rsid w:val="000C0BBF"/>
    <w:rsid w:val="000C0BF0"/>
    <w:rsid w:val="000C0C5F"/>
    <w:rsid w:val="000C0C96"/>
    <w:rsid w:val="000C0D0A"/>
    <w:rsid w:val="000C0E0D"/>
    <w:rsid w:val="000C0E10"/>
    <w:rsid w:val="000C0FC4"/>
    <w:rsid w:val="000C1063"/>
    <w:rsid w:val="000C1065"/>
    <w:rsid w:val="000C10AF"/>
    <w:rsid w:val="000C1100"/>
    <w:rsid w:val="000C1163"/>
    <w:rsid w:val="000C11F7"/>
    <w:rsid w:val="000C1531"/>
    <w:rsid w:val="000C15AB"/>
    <w:rsid w:val="000C1600"/>
    <w:rsid w:val="000C1744"/>
    <w:rsid w:val="000C1797"/>
    <w:rsid w:val="000C17A5"/>
    <w:rsid w:val="000C17CF"/>
    <w:rsid w:val="000C17F5"/>
    <w:rsid w:val="000C1808"/>
    <w:rsid w:val="000C1891"/>
    <w:rsid w:val="000C1978"/>
    <w:rsid w:val="000C197B"/>
    <w:rsid w:val="000C199E"/>
    <w:rsid w:val="000C19F4"/>
    <w:rsid w:val="000C1B20"/>
    <w:rsid w:val="000C1C57"/>
    <w:rsid w:val="000C1CD7"/>
    <w:rsid w:val="000C1CD8"/>
    <w:rsid w:val="000C1D04"/>
    <w:rsid w:val="000C1D08"/>
    <w:rsid w:val="000C1D26"/>
    <w:rsid w:val="000C1DE4"/>
    <w:rsid w:val="000C1DFA"/>
    <w:rsid w:val="000C1E22"/>
    <w:rsid w:val="000C2032"/>
    <w:rsid w:val="000C2093"/>
    <w:rsid w:val="000C2154"/>
    <w:rsid w:val="000C21A9"/>
    <w:rsid w:val="000C22C7"/>
    <w:rsid w:val="000C22DB"/>
    <w:rsid w:val="000C2475"/>
    <w:rsid w:val="000C2493"/>
    <w:rsid w:val="000C249B"/>
    <w:rsid w:val="000C25E7"/>
    <w:rsid w:val="000C269E"/>
    <w:rsid w:val="000C2707"/>
    <w:rsid w:val="000C281D"/>
    <w:rsid w:val="000C2915"/>
    <w:rsid w:val="000C29B7"/>
    <w:rsid w:val="000C29BE"/>
    <w:rsid w:val="000C29D2"/>
    <w:rsid w:val="000C2AB1"/>
    <w:rsid w:val="000C2B2F"/>
    <w:rsid w:val="000C2B69"/>
    <w:rsid w:val="000C2C43"/>
    <w:rsid w:val="000C2CD9"/>
    <w:rsid w:val="000C2CF8"/>
    <w:rsid w:val="000C2E90"/>
    <w:rsid w:val="000C30DA"/>
    <w:rsid w:val="000C315A"/>
    <w:rsid w:val="000C3165"/>
    <w:rsid w:val="000C31C8"/>
    <w:rsid w:val="000C31CC"/>
    <w:rsid w:val="000C3214"/>
    <w:rsid w:val="000C3402"/>
    <w:rsid w:val="000C34F5"/>
    <w:rsid w:val="000C353E"/>
    <w:rsid w:val="000C355F"/>
    <w:rsid w:val="000C36ED"/>
    <w:rsid w:val="000C36F3"/>
    <w:rsid w:val="000C37C4"/>
    <w:rsid w:val="000C37E5"/>
    <w:rsid w:val="000C380C"/>
    <w:rsid w:val="000C397D"/>
    <w:rsid w:val="000C3B95"/>
    <w:rsid w:val="000C3CBD"/>
    <w:rsid w:val="000C3CC2"/>
    <w:rsid w:val="000C3D46"/>
    <w:rsid w:val="000C3D53"/>
    <w:rsid w:val="000C3D83"/>
    <w:rsid w:val="000C3E2B"/>
    <w:rsid w:val="000C3E66"/>
    <w:rsid w:val="000C3E90"/>
    <w:rsid w:val="000C3EED"/>
    <w:rsid w:val="000C4159"/>
    <w:rsid w:val="000C4161"/>
    <w:rsid w:val="000C4440"/>
    <w:rsid w:val="000C4462"/>
    <w:rsid w:val="000C4479"/>
    <w:rsid w:val="000C4605"/>
    <w:rsid w:val="000C466F"/>
    <w:rsid w:val="000C46EE"/>
    <w:rsid w:val="000C4708"/>
    <w:rsid w:val="000C47E5"/>
    <w:rsid w:val="000C47E8"/>
    <w:rsid w:val="000C4817"/>
    <w:rsid w:val="000C4A86"/>
    <w:rsid w:val="000C4CC5"/>
    <w:rsid w:val="000C4F8E"/>
    <w:rsid w:val="000C4FE8"/>
    <w:rsid w:val="000C5229"/>
    <w:rsid w:val="000C525E"/>
    <w:rsid w:val="000C5392"/>
    <w:rsid w:val="000C53A3"/>
    <w:rsid w:val="000C53D3"/>
    <w:rsid w:val="000C549A"/>
    <w:rsid w:val="000C5511"/>
    <w:rsid w:val="000C5522"/>
    <w:rsid w:val="000C575E"/>
    <w:rsid w:val="000C5776"/>
    <w:rsid w:val="000C5827"/>
    <w:rsid w:val="000C5856"/>
    <w:rsid w:val="000C596B"/>
    <w:rsid w:val="000C5978"/>
    <w:rsid w:val="000C598A"/>
    <w:rsid w:val="000C5A14"/>
    <w:rsid w:val="000C5AFB"/>
    <w:rsid w:val="000C5B09"/>
    <w:rsid w:val="000C5B42"/>
    <w:rsid w:val="000C5B98"/>
    <w:rsid w:val="000C5BFC"/>
    <w:rsid w:val="000C5BFD"/>
    <w:rsid w:val="000C5C58"/>
    <w:rsid w:val="000C5D90"/>
    <w:rsid w:val="000C5E98"/>
    <w:rsid w:val="000C5FC2"/>
    <w:rsid w:val="000C6011"/>
    <w:rsid w:val="000C6109"/>
    <w:rsid w:val="000C6186"/>
    <w:rsid w:val="000C6262"/>
    <w:rsid w:val="000C6415"/>
    <w:rsid w:val="000C6473"/>
    <w:rsid w:val="000C6525"/>
    <w:rsid w:val="000C6559"/>
    <w:rsid w:val="000C6763"/>
    <w:rsid w:val="000C678C"/>
    <w:rsid w:val="000C6828"/>
    <w:rsid w:val="000C6A41"/>
    <w:rsid w:val="000C6B59"/>
    <w:rsid w:val="000C6CA2"/>
    <w:rsid w:val="000C6DE0"/>
    <w:rsid w:val="000C6EEF"/>
    <w:rsid w:val="000C6F2D"/>
    <w:rsid w:val="000C7005"/>
    <w:rsid w:val="000C7029"/>
    <w:rsid w:val="000C703F"/>
    <w:rsid w:val="000C71F6"/>
    <w:rsid w:val="000C72A4"/>
    <w:rsid w:val="000C7398"/>
    <w:rsid w:val="000C73EF"/>
    <w:rsid w:val="000C7436"/>
    <w:rsid w:val="000C7485"/>
    <w:rsid w:val="000C751E"/>
    <w:rsid w:val="000C756F"/>
    <w:rsid w:val="000C7575"/>
    <w:rsid w:val="000C766E"/>
    <w:rsid w:val="000C76D7"/>
    <w:rsid w:val="000C7883"/>
    <w:rsid w:val="000C7961"/>
    <w:rsid w:val="000C797E"/>
    <w:rsid w:val="000C79F4"/>
    <w:rsid w:val="000C7AD8"/>
    <w:rsid w:val="000C7AFF"/>
    <w:rsid w:val="000C7B48"/>
    <w:rsid w:val="000C7B53"/>
    <w:rsid w:val="000C7B6F"/>
    <w:rsid w:val="000C7BB0"/>
    <w:rsid w:val="000C7C57"/>
    <w:rsid w:val="000C7CB5"/>
    <w:rsid w:val="000C7D5A"/>
    <w:rsid w:val="000C7DB1"/>
    <w:rsid w:val="000C7E6D"/>
    <w:rsid w:val="000C7FD3"/>
    <w:rsid w:val="000C7FE4"/>
    <w:rsid w:val="000D003B"/>
    <w:rsid w:val="000D011D"/>
    <w:rsid w:val="000D0287"/>
    <w:rsid w:val="000D036E"/>
    <w:rsid w:val="000D03BE"/>
    <w:rsid w:val="000D0443"/>
    <w:rsid w:val="000D044B"/>
    <w:rsid w:val="000D052F"/>
    <w:rsid w:val="000D057B"/>
    <w:rsid w:val="000D05B2"/>
    <w:rsid w:val="000D0654"/>
    <w:rsid w:val="000D0655"/>
    <w:rsid w:val="000D0665"/>
    <w:rsid w:val="000D06A4"/>
    <w:rsid w:val="000D084B"/>
    <w:rsid w:val="000D08C5"/>
    <w:rsid w:val="000D0919"/>
    <w:rsid w:val="000D0A93"/>
    <w:rsid w:val="000D0AB8"/>
    <w:rsid w:val="000D0AC5"/>
    <w:rsid w:val="000D0B52"/>
    <w:rsid w:val="000D0B79"/>
    <w:rsid w:val="000D0BCC"/>
    <w:rsid w:val="000D0BDE"/>
    <w:rsid w:val="000D0C57"/>
    <w:rsid w:val="000D0D3F"/>
    <w:rsid w:val="000D0DD3"/>
    <w:rsid w:val="000D0E09"/>
    <w:rsid w:val="000D0E68"/>
    <w:rsid w:val="000D0EDB"/>
    <w:rsid w:val="000D0F9F"/>
    <w:rsid w:val="000D106E"/>
    <w:rsid w:val="000D109A"/>
    <w:rsid w:val="000D10A7"/>
    <w:rsid w:val="000D1131"/>
    <w:rsid w:val="000D1155"/>
    <w:rsid w:val="000D116B"/>
    <w:rsid w:val="000D1187"/>
    <w:rsid w:val="000D118E"/>
    <w:rsid w:val="000D11C1"/>
    <w:rsid w:val="000D11E7"/>
    <w:rsid w:val="000D121D"/>
    <w:rsid w:val="000D1322"/>
    <w:rsid w:val="000D1401"/>
    <w:rsid w:val="000D1551"/>
    <w:rsid w:val="000D159B"/>
    <w:rsid w:val="000D1696"/>
    <w:rsid w:val="000D16CD"/>
    <w:rsid w:val="000D1805"/>
    <w:rsid w:val="000D189E"/>
    <w:rsid w:val="000D1905"/>
    <w:rsid w:val="000D193C"/>
    <w:rsid w:val="000D194C"/>
    <w:rsid w:val="000D19A2"/>
    <w:rsid w:val="000D1A2D"/>
    <w:rsid w:val="000D1A4D"/>
    <w:rsid w:val="000D1B4C"/>
    <w:rsid w:val="000D1BD4"/>
    <w:rsid w:val="000D1C27"/>
    <w:rsid w:val="000D1C4A"/>
    <w:rsid w:val="000D1C8F"/>
    <w:rsid w:val="000D1D01"/>
    <w:rsid w:val="000D1D4C"/>
    <w:rsid w:val="000D1F7B"/>
    <w:rsid w:val="000D1FEF"/>
    <w:rsid w:val="000D20AD"/>
    <w:rsid w:val="000D2106"/>
    <w:rsid w:val="000D21A1"/>
    <w:rsid w:val="000D22D2"/>
    <w:rsid w:val="000D2309"/>
    <w:rsid w:val="000D231A"/>
    <w:rsid w:val="000D2350"/>
    <w:rsid w:val="000D2503"/>
    <w:rsid w:val="000D2531"/>
    <w:rsid w:val="000D2627"/>
    <w:rsid w:val="000D271A"/>
    <w:rsid w:val="000D274B"/>
    <w:rsid w:val="000D275B"/>
    <w:rsid w:val="000D2899"/>
    <w:rsid w:val="000D2BEC"/>
    <w:rsid w:val="000D2C4D"/>
    <w:rsid w:val="000D2C91"/>
    <w:rsid w:val="000D2D1B"/>
    <w:rsid w:val="000D2DF5"/>
    <w:rsid w:val="000D2E15"/>
    <w:rsid w:val="000D2FDB"/>
    <w:rsid w:val="000D3410"/>
    <w:rsid w:val="000D341C"/>
    <w:rsid w:val="000D3425"/>
    <w:rsid w:val="000D34FF"/>
    <w:rsid w:val="000D354F"/>
    <w:rsid w:val="000D3575"/>
    <w:rsid w:val="000D3598"/>
    <w:rsid w:val="000D35E1"/>
    <w:rsid w:val="000D36C8"/>
    <w:rsid w:val="000D381D"/>
    <w:rsid w:val="000D38A8"/>
    <w:rsid w:val="000D3935"/>
    <w:rsid w:val="000D3A29"/>
    <w:rsid w:val="000D3B73"/>
    <w:rsid w:val="000D3BDE"/>
    <w:rsid w:val="000D3BFE"/>
    <w:rsid w:val="000D3C24"/>
    <w:rsid w:val="000D3C3F"/>
    <w:rsid w:val="000D3C8E"/>
    <w:rsid w:val="000D3C9D"/>
    <w:rsid w:val="000D3D69"/>
    <w:rsid w:val="000D3E1D"/>
    <w:rsid w:val="000D3F76"/>
    <w:rsid w:val="000D40B5"/>
    <w:rsid w:val="000D41C3"/>
    <w:rsid w:val="000D41E0"/>
    <w:rsid w:val="000D4208"/>
    <w:rsid w:val="000D4289"/>
    <w:rsid w:val="000D42E7"/>
    <w:rsid w:val="000D43A9"/>
    <w:rsid w:val="000D43AD"/>
    <w:rsid w:val="000D4415"/>
    <w:rsid w:val="000D44A3"/>
    <w:rsid w:val="000D4505"/>
    <w:rsid w:val="000D467E"/>
    <w:rsid w:val="000D470C"/>
    <w:rsid w:val="000D47AB"/>
    <w:rsid w:val="000D47CD"/>
    <w:rsid w:val="000D47CE"/>
    <w:rsid w:val="000D494A"/>
    <w:rsid w:val="000D4957"/>
    <w:rsid w:val="000D49DC"/>
    <w:rsid w:val="000D4A0B"/>
    <w:rsid w:val="000D4A79"/>
    <w:rsid w:val="000D4A8F"/>
    <w:rsid w:val="000D4AE2"/>
    <w:rsid w:val="000D4CF9"/>
    <w:rsid w:val="000D4D43"/>
    <w:rsid w:val="000D4EA9"/>
    <w:rsid w:val="000D4F86"/>
    <w:rsid w:val="000D5007"/>
    <w:rsid w:val="000D505F"/>
    <w:rsid w:val="000D5081"/>
    <w:rsid w:val="000D5183"/>
    <w:rsid w:val="000D51EA"/>
    <w:rsid w:val="000D5269"/>
    <w:rsid w:val="000D5282"/>
    <w:rsid w:val="000D533B"/>
    <w:rsid w:val="000D5348"/>
    <w:rsid w:val="000D544D"/>
    <w:rsid w:val="000D5542"/>
    <w:rsid w:val="000D5579"/>
    <w:rsid w:val="000D557F"/>
    <w:rsid w:val="000D55F0"/>
    <w:rsid w:val="000D5629"/>
    <w:rsid w:val="000D568A"/>
    <w:rsid w:val="000D56DC"/>
    <w:rsid w:val="000D574A"/>
    <w:rsid w:val="000D5818"/>
    <w:rsid w:val="000D58A0"/>
    <w:rsid w:val="000D5981"/>
    <w:rsid w:val="000D598F"/>
    <w:rsid w:val="000D5A0C"/>
    <w:rsid w:val="000D5A23"/>
    <w:rsid w:val="000D5AB1"/>
    <w:rsid w:val="000D5C1E"/>
    <w:rsid w:val="000D5CC1"/>
    <w:rsid w:val="000D5DFA"/>
    <w:rsid w:val="000D5E3F"/>
    <w:rsid w:val="000D5F79"/>
    <w:rsid w:val="000D6015"/>
    <w:rsid w:val="000D60E4"/>
    <w:rsid w:val="000D6174"/>
    <w:rsid w:val="000D6262"/>
    <w:rsid w:val="000D62B7"/>
    <w:rsid w:val="000D6335"/>
    <w:rsid w:val="000D63A5"/>
    <w:rsid w:val="000D63F9"/>
    <w:rsid w:val="000D6666"/>
    <w:rsid w:val="000D669B"/>
    <w:rsid w:val="000D68C7"/>
    <w:rsid w:val="000D69F8"/>
    <w:rsid w:val="000D6AB9"/>
    <w:rsid w:val="000D6B1B"/>
    <w:rsid w:val="000D6B7C"/>
    <w:rsid w:val="000D6B7D"/>
    <w:rsid w:val="000D6BC2"/>
    <w:rsid w:val="000D6C7F"/>
    <w:rsid w:val="000D6CAD"/>
    <w:rsid w:val="000D6D89"/>
    <w:rsid w:val="000D6DBB"/>
    <w:rsid w:val="000D6E90"/>
    <w:rsid w:val="000D700B"/>
    <w:rsid w:val="000D7121"/>
    <w:rsid w:val="000D727F"/>
    <w:rsid w:val="000D72AE"/>
    <w:rsid w:val="000D7432"/>
    <w:rsid w:val="000D7470"/>
    <w:rsid w:val="000D7492"/>
    <w:rsid w:val="000D7705"/>
    <w:rsid w:val="000D77EA"/>
    <w:rsid w:val="000D792C"/>
    <w:rsid w:val="000D7A30"/>
    <w:rsid w:val="000D7D29"/>
    <w:rsid w:val="000D7D3E"/>
    <w:rsid w:val="000D7D42"/>
    <w:rsid w:val="000D7DB9"/>
    <w:rsid w:val="000D7E6C"/>
    <w:rsid w:val="000D7ECC"/>
    <w:rsid w:val="000D7F42"/>
    <w:rsid w:val="000D7FB6"/>
    <w:rsid w:val="000E01B7"/>
    <w:rsid w:val="000E035D"/>
    <w:rsid w:val="000E040A"/>
    <w:rsid w:val="000E043A"/>
    <w:rsid w:val="000E045E"/>
    <w:rsid w:val="000E04BD"/>
    <w:rsid w:val="000E067A"/>
    <w:rsid w:val="000E075F"/>
    <w:rsid w:val="000E07A0"/>
    <w:rsid w:val="000E0805"/>
    <w:rsid w:val="000E08ED"/>
    <w:rsid w:val="000E0912"/>
    <w:rsid w:val="000E0945"/>
    <w:rsid w:val="000E09F3"/>
    <w:rsid w:val="000E0A43"/>
    <w:rsid w:val="000E0BE5"/>
    <w:rsid w:val="000E0BEE"/>
    <w:rsid w:val="000E0C06"/>
    <w:rsid w:val="000E0CD5"/>
    <w:rsid w:val="000E0E17"/>
    <w:rsid w:val="000E107F"/>
    <w:rsid w:val="000E11A9"/>
    <w:rsid w:val="000E11DE"/>
    <w:rsid w:val="000E1248"/>
    <w:rsid w:val="000E1297"/>
    <w:rsid w:val="000E136D"/>
    <w:rsid w:val="000E13C0"/>
    <w:rsid w:val="000E13C8"/>
    <w:rsid w:val="000E1409"/>
    <w:rsid w:val="000E1412"/>
    <w:rsid w:val="000E14A2"/>
    <w:rsid w:val="000E14EB"/>
    <w:rsid w:val="000E150C"/>
    <w:rsid w:val="000E16C4"/>
    <w:rsid w:val="000E1754"/>
    <w:rsid w:val="000E17F4"/>
    <w:rsid w:val="000E1891"/>
    <w:rsid w:val="000E1894"/>
    <w:rsid w:val="000E1895"/>
    <w:rsid w:val="000E198F"/>
    <w:rsid w:val="000E19D6"/>
    <w:rsid w:val="000E19EB"/>
    <w:rsid w:val="000E1AF0"/>
    <w:rsid w:val="000E1CD0"/>
    <w:rsid w:val="000E1D70"/>
    <w:rsid w:val="000E1E9A"/>
    <w:rsid w:val="000E2009"/>
    <w:rsid w:val="000E200F"/>
    <w:rsid w:val="000E20F8"/>
    <w:rsid w:val="000E217C"/>
    <w:rsid w:val="000E21B3"/>
    <w:rsid w:val="000E21D8"/>
    <w:rsid w:val="000E23B8"/>
    <w:rsid w:val="000E245C"/>
    <w:rsid w:val="000E24A7"/>
    <w:rsid w:val="000E24F3"/>
    <w:rsid w:val="000E25AB"/>
    <w:rsid w:val="000E25C5"/>
    <w:rsid w:val="000E2765"/>
    <w:rsid w:val="000E2927"/>
    <w:rsid w:val="000E2973"/>
    <w:rsid w:val="000E2974"/>
    <w:rsid w:val="000E29B0"/>
    <w:rsid w:val="000E2B18"/>
    <w:rsid w:val="000E2BEB"/>
    <w:rsid w:val="000E2C17"/>
    <w:rsid w:val="000E2C1D"/>
    <w:rsid w:val="000E2D8A"/>
    <w:rsid w:val="000E2DC0"/>
    <w:rsid w:val="000E2F22"/>
    <w:rsid w:val="000E301F"/>
    <w:rsid w:val="000E3123"/>
    <w:rsid w:val="000E3197"/>
    <w:rsid w:val="000E326E"/>
    <w:rsid w:val="000E331F"/>
    <w:rsid w:val="000E3363"/>
    <w:rsid w:val="000E33C5"/>
    <w:rsid w:val="000E34F9"/>
    <w:rsid w:val="000E351E"/>
    <w:rsid w:val="000E3537"/>
    <w:rsid w:val="000E3644"/>
    <w:rsid w:val="000E36DB"/>
    <w:rsid w:val="000E36DE"/>
    <w:rsid w:val="000E36ED"/>
    <w:rsid w:val="000E3786"/>
    <w:rsid w:val="000E37C0"/>
    <w:rsid w:val="000E3864"/>
    <w:rsid w:val="000E3A13"/>
    <w:rsid w:val="000E3A78"/>
    <w:rsid w:val="000E3AB4"/>
    <w:rsid w:val="000E3B6E"/>
    <w:rsid w:val="000E3BC1"/>
    <w:rsid w:val="000E3BFD"/>
    <w:rsid w:val="000E3BFF"/>
    <w:rsid w:val="000E3CD4"/>
    <w:rsid w:val="000E3DBC"/>
    <w:rsid w:val="000E3FA4"/>
    <w:rsid w:val="000E3FC6"/>
    <w:rsid w:val="000E3FD2"/>
    <w:rsid w:val="000E4095"/>
    <w:rsid w:val="000E4143"/>
    <w:rsid w:val="000E41CF"/>
    <w:rsid w:val="000E4228"/>
    <w:rsid w:val="000E422B"/>
    <w:rsid w:val="000E4335"/>
    <w:rsid w:val="000E443B"/>
    <w:rsid w:val="000E459B"/>
    <w:rsid w:val="000E45E0"/>
    <w:rsid w:val="000E46AE"/>
    <w:rsid w:val="000E47D6"/>
    <w:rsid w:val="000E48F4"/>
    <w:rsid w:val="000E4917"/>
    <w:rsid w:val="000E4983"/>
    <w:rsid w:val="000E4A21"/>
    <w:rsid w:val="000E4A7C"/>
    <w:rsid w:val="000E4B90"/>
    <w:rsid w:val="000E4C96"/>
    <w:rsid w:val="000E4D4D"/>
    <w:rsid w:val="000E4D65"/>
    <w:rsid w:val="000E4D74"/>
    <w:rsid w:val="000E4E60"/>
    <w:rsid w:val="000E4EE3"/>
    <w:rsid w:val="000E4FB0"/>
    <w:rsid w:val="000E507D"/>
    <w:rsid w:val="000E50B8"/>
    <w:rsid w:val="000E5208"/>
    <w:rsid w:val="000E5229"/>
    <w:rsid w:val="000E53B1"/>
    <w:rsid w:val="000E53DD"/>
    <w:rsid w:val="000E54B9"/>
    <w:rsid w:val="000E5520"/>
    <w:rsid w:val="000E556D"/>
    <w:rsid w:val="000E57DD"/>
    <w:rsid w:val="000E58E4"/>
    <w:rsid w:val="000E590A"/>
    <w:rsid w:val="000E5916"/>
    <w:rsid w:val="000E5997"/>
    <w:rsid w:val="000E5998"/>
    <w:rsid w:val="000E59B0"/>
    <w:rsid w:val="000E5A18"/>
    <w:rsid w:val="000E5A53"/>
    <w:rsid w:val="000E5BA3"/>
    <w:rsid w:val="000E5C38"/>
    <w:rsid w:val="000E5D86"/>
    <w:rsid w:val="000E5E8F"/>
    <w:rsid w:val="000E6258"/>
    <w:rsid w:val="000E62FE"/>
    <w:rsid w:val="000E6315"/>
    <w:rsid w:val="000E6412"/>
    <w:rsid w:val="000E6433"/>
    <w:rsid w:val="000E6688"/>
    <w:rsid w:val="000E682E"/>
    <w:rsid w:val="000E696C"/>
    <w:rsid w:val="000E69F6"/>
    <w:rsid w:val="000E69F7"/>
    <w:rsid w:val="000E6A07"/>
    <w:rsid w:val="000E6B02"/>
    <w:rsid w:val="000E6B0D"/>
    <w:rsid w:val="000E6BAE"/>
    <w:rsid w:val="000E6BCB"/>
    <w:rsid w:val="000E6C9B"/>
    <w:rsid w:val="000E6D73"/>
    <w:rsid w:val="000E6E5E"/>
    <w:rsid w:val="000E6EFC"/>
    <w:rsid w:val="000E6F8C"/>
    <w:rsid w:val="000E6FEC"/>
    <w:rsid w:val="000E701D"/>
    <w:rsid w:val="000E7243"/>
    <w:rsid w:val="000E7347"/>
    <w:rsid w:val="000E755C"/>
    <w:rsid w:val="000E75E1"/>
    <w:rsid w:val="000E7681"/>
    <w:rsid w:val="000E7697"/>
    <w:rsid w:val="000E76D7"/>
    <w:rsid w:val="000E7787"/>
    <w:rsid w:val="000E78C6"/>
    <w:rsid w:val="000E797D"/>
    <w:rsid w:val="000E7A2E"/>
    <w:rsid w:val="000E7A3A"/>
    <w:rsid w:val="000E7A6E"/>
    <w:rsid w:val="000E7AB7"/>
    <w:rsid w:val="000E7AFE"/>
    <w:rsid w:val="000E7BA1"/>
    <w:rsid w:val="000E7C02"/>
    <w:rsid w:val="000E7CAE"/>
    <w:rsid w:val="000E7CB7"/>
    <w:rsid w:val="000E7DEC"/>
    <w:rsid w:val="000E7E4A"/>
    <w:rsid w:val="000E7F2E"/>
    <w:rsid w:val="000E7F83"/>
    <w:rsid w:val="000E7FBE"/>
    <w:rsid w:val="000E7FDB"/>
    <w:rsid w:val="000F0066"/>
    <w:rsid w:val="000F00EC"/>
    <w:rsid w:val="000F00FA"/>
    <w:rsid w:val="000F0201"/>
    <w:rsid w:val="000F020C"/>
    <w:rsid w:val="000F0281"/>
    <w:rsid w:val="000F02A0"/>
    <w:rsid w:val="000F03EC"/>
    <w:rsid w:val="000F04DD"/>
    <w:rsid w:val="000F0565"/>
    <w:rsid w:val="000F066B"/>
    <w:rsid w:val="000F067B"/>
    <w:rsid w:val="000F0758"/>
    <w:rsid w:val="000F0789"/>
    <w:rsid w:val="000F07F9"/>
    <w:rsid w:val="000F0818"/>
    <w:rsid w:val="000F0994"/>
    <w:rsid w:val="000F09EA"/>
    <w:rsid w:val="000F0B0C"/>
    <w:rsid w:val="000F0BC7"/>
    <w:rsid w:val="000F0D2C"/>
    <w:rsid w:val="000F0DC7"/>
    <w:rsid w:val="000F0F3F"/>
    <w:rsid w:val="000F0FFF"/>
    <w:rsid w:val="000F10E5"/>
    <w:rsid w:val="000F10FC"/>
    <w:rsid w:val="000F11D3"/>
    <w:rsid w:val="000F11F5"/>
    <w:rsid w:val="000F1285"/>
    <w:rsid w:val="000F12E0"/>
    <w:rsid w:val="000F1318"/>
    <w:rsid w:val="000F132B"/>
    <w:rsid w:val="000F13E6"/>
    <w:rsid w:val="000F143E"/>
    <w:rsid w:val="000F14EC"/>
    <w:rsid w:val="000F154E"/>
    <w:rsid w:val="000F15AB"/>
    <w:rsid w:val="000F15F4"/>
    <w:rsid w:val="000F16AD"/>
    <w:rsid w:val="000F1721"/>
    <w:rsid w:val="000F177C"/>
    <w:rsid w:val="000F17AB"/>
    <w:rsid w:val="000F17C7"/>
    <w:rsid w:val="000F18E3"/>
    <w:rsid w:val="000F18FA"/>
    <w:rsid w:val="000F1901"/>
    <w:rsid w:val="000F1929"/>
    <w:rsid w:val="000F193B"/>
    <w:rsid w:val="000F1943"/>
    <w:rsid w:val="000F1A83"/>
    <w:rsid w:val="000F1C19"/>
    <w:rsid w:val="000F1C83"/>
    <w:rsid w:val="000F1D1B"/>
    <w:rsid w:val="000F1D21"/>
    <w:rsid w:val="000F1FA2"/>
    <w:rsid w:val="000F205D"/>
    <w:rsid w:val="000F221D"/>
    <w:rsid w:val="000F224C"/>
    <w:rsid w:val="000F2326"/>
    <w:rsid w:val="000F23D4"/>
    <w:rsid w:val="000F244C"/>
    <w:rsid w:val="000F249D"/>
    <w:rsid w:val="000F26EB"/>
    <w:rsid w:val="000F271E"/>
    <w:rsid w:val="000F285B"/>
    <w:rsid w:val="000F287A"/>
    <w:rsid w:val="000F2A40"/>
    <w:rsid w:val="000F2B5C"/>
    <w:rsid w:val="000F2BB4"/>
    <w:rsid w:val="000F2D83"/>
    <w:rsid w:val="000F2DB3"/>
    <w:rsid w:val="000F2E03"/>
    <w:rsid w:val="000F2EF8"/>
    <w:rsid w:val="000F3076"/>
    <w:rsid w:val="000F313A"/>
    <w:rsid w:val="000F31AD"/>
    <w:rsid w:val="000F3272"/>
    <w:rsid w:val="000F3289"/>
    <w:rsid w:val="000F32C5"/>
    <w:rsid w:val="000F3375"/>
    <w:rsid w:val="000F33BF"/>
    <w:rsid w:val="000F340B"/>
    <w:rsid w:val="000F344C"/>
    <w:rsid w:val="000F345A"/>
    <w:rsid w:val="000F34A2"/>
    <w:rsid w:val="000F34E0"/>
    <w:rsid w:val="000F3503"/>
    <w:rsid w:val="000F353D"/>
    <w:rsid w:val="000F35D9"/>
    <w:rsid w:val="000F378F"/>
    <w:rsid w:val="000F381B"/>
    <w:rsid w:val="000F3826"/>
    <w:rsid w:val="000F395D"/>
    <w:rsid w:val="000F39E9"/>
    <w:rsid w:val="000F3A3F"/>
    <w:rsid w:val="000F3A9E"/>
    <w:rsid w:val="000F3AF1"/>
    <w:rsid w:val="000F3B3B"/>
    <w:rsid w:val="000F3B85"/>
    <w:rsid w:val="000F3D62"/>
    <w:rsid w:val="000F3D63"/>
    <w:rsid w:val="000F3EA0"/>
    <w:rsid w:val="000F40F3"/>
    <w:rsid w:val="000F41EE"/>
    <w:rsid w:val="000F428C"/>
    <w:rsid w:val="000F42C7"/>
    <w:rsid w:val="000F42F2"/>
    <w:rsid w:val="000F4465"/>
    <w:rsid w:val="000F44F6"/>
    <w:rsid w:val="000F451B"/>
    <w:rsid w:val="000F458D"/>
    <w:rsid w:val="000F45DB"/>
    <w:rsid w:val="000F460F"/>
    <w:rsid w:val="000F4622"/>
    <w:rsid w:val="000F462E"/>
    <w:rsid w:val="000F46A7"/>
    <w:rsid w:val="000F46B5"/>
    <w:rsid w:val="000F47A7"/>
    <w:rsid w:val="000F480C"/>
    <w:rsid w:val="000F481D"/>
    <w:rsid w:val="000F4903"/>
    <w:rsid w:val="000F4A7D"/>
    <w:rsid w:val="000F4AEB"/>
    <w:rsid w:val="000F4B85"/>
    <w:rsid w:val="000F4B93"/>
    <w:rsid w:val="000F4C5E"/>
    <w:rsid w:val="000F4C69"/>
    <w:rsid w:val="000F4CCA"/>
    <w:rsid w:val="000F4CD3"/>
    <w:rsid w:val="000F4D75"/>
    <w:rsid w:val="000F4D7D"/>
    <w:rsid w:val="000F4E49"/>
    <w:rsid w:val="000F4ECD"/>
    <w:rsid w:val="000F4F1D"/>
    <w:rsid w:val="000F50FC"/>
    <w:rsid w:val="000F5142"/>
    <w:rsid w:val="000F5147"/>
    <w:rsid w:val="000F5245"/>
    <w:rsid w:val="000F52BA"/>
    <w:rsid w:val="000F52CE"/>
    <w:rsid w:val="000F53BE"/>
    <w:rsid w:val="000F53F0"/>
    <w:rsid w:val="000F544D"/>
    <w:rsid w:val="000F5561"/>
    <w:rsid w:val="000F55A3"/>
    <w:rsid w:val="000F5687"/>
    <w:rsid w:val="000F5867"/>
    <w:rsid w:val="000F58CA"/>
    <w:rsid w:val="000F593E"/>
    <w:rsid w:val="000F5958"/>
    <w:rsid w:val="000F59DC"/>
    <w:rsid w:val="000F5B35"/>
    <w:rsid w:val="000F5B6E"/>
    <w:rsid w:val="000F5C98"/>
    <w:rsid w:val="000F5F75"/>
    <w:rsid w:val="000F5F7F"/>
    <w:rsid w:val="000F5F8D"/>
    <w:rsid w:val="000F5FF6"/>
    <w:rsid w:val="000F5FFD"/>
    <w:rsid w:val="000F614F"/>
    <w:rsid w:val="000F616C"/>
    <w:rsid w:val="000F6256"/>
    <w:rsid w:val="000F627B"/>
    <w:rsid w:val="000F6382"/>
    <w:rsid w:val="000F641D"/>
    <w:rsid w:val="000F6467"/>
    <w:rsid w:val="000F647B"/>
    <w:rsid w:val="000F6516"/>
    <w:rsid w:val="000F6550"/>
    <w:rsid w:val="000F6594"/>
    <w:rsid w:val="000F669B"/>
    <w:rsid w:val="000F676A"/>
    <w:rsid w:val="000F67FB"/>
    <w:rsid w:val="000F6B1B"/>
    <w:rsid w:val="000F6B3A"/>
    <w:rsid w:val="000F6B66"/>
    <w:rsid w:val="000F6BCA"/>
    <w:rsid w:val="000F6C10"/>
    <w:rsid w:val="000F6E9C"/>
    <w:rsid w:val="000F6F3C"/>
    <w:rsid w:val="000F6F48"/>
    <w:rsid w:val="000F7129"/>
    <w:rsid w:val="000F741D"/>
    <w:rsid w:val="000F742E"/>
    <w:rsid w:val="000F7447"/>
    <w:rsid w:val="000F74D7"/>
    <w:rsid w:val="000F74FA"/>
    <w:rsid w:val="000F750F"/>
    <w:rsid w:val="000F7678"/>
    <w:rsid w:val="000F768A"/>
    <w:rsid w:val="000F77DC"/>
    <w:rsid w:val="000F77F1"/>
    <w:rsid w:val="000F785C"/>
    <w:rsid w:val="000F78AC"/>
    <w:rsid w:val="000F790E"/>
    <w:rsid w:val="000F7C69"/>
    <w:rsid w:val="000F7D74"/>
    <w:rsid w:val="000F7D7F"/>
    <w:rsid w:val="000F7E5C"/>
    <w:rsid w:val="000F7EDE"/>
    <w:rsid w:val="000F7F61"/>
    <w:rsid w:val="000F7FDF"/>
    <w:rsid w:val="0010000D"/>
    <w:rsid w:val="00100027"/>
    <w:rsid w:val="0010003B"/>
    <w:rsid w:val="001000C7"/>
    <w:rsid w:val="00100154"/>
    <w:rsid w:val="0010015C"/>
    <w:rsid w:val="00100188"/>
    <w:rsid w:val="00100301"/>
    <w:rsid w:val="001003CD"/>
    <w:rsid w:val="00100458"/>
    <w:rsid w:val="0010052D"/>
    <w:rsid w:val="0010053A"/>
    <w:rsid w:val="001005FD"/>
    <w:rsid w:val="001008FB"/>
    <w:rsid w:val="001009A9"/>
    <w:rsid w:val="00100A15"/>
    <w:rsid w:val="00100B36"/>
    <w:rsid w:val="00100B61"/>
    <w:rsid w:val="00100EFA"/>
    <w:rsid w:val="00100F20"/>
    <w:rsid w:val="00100F84"/>
    <w:rsid w:val="00100F94"/>
    <w:rsid w:val="00100FEE"/>
    <w:rsid w:val="0010101E"/>
    <w:rsid w:val="0010109C"/>
    <w:rsid w:val="001010C3"/>
    <w:rsid w:val="001010D5"/>
    <w:rsid w:val="001012C7"/>
    <w:rsid w:val="001012CE"/>
    <w:rsid w:val="001012DC"/>
    <w:rsid w:val="0010138B"/>
    <w:rsid w:val="0010141E"/>
    <w:rsid w:val="0010146D"/>
    <w:rsid w:val="00101515"/>
    <w:rsid w:val="00101527"/>
    <w:rsid w:val="00101586"/>
    <w:rsid w:val="00101596"/>
    <w:rsid w:val="00101629"/>
    <w:rsid w:val="001018BD"/>
    <w:rsid w:val="00101946"/>
    <w:rsid w:val="00101952"/>
    <w:rsid w:val="00101A0C"/>
    <w:rsid w:val="00101B1E"/>
    <w:rsid w:val="00101B8E"/>
    <w:rsid w:val="00101C67"/>
    <w:rsid w:val="00101DED"/>
    <w:rsid w:val="00101E1F"/>
    <w:rsid w:val="00101E4F"/>
    <w:rsid w:val="00101E50"/>
    <w:rsid w:val="00101E58"/>
    <w:rsid w:val="00101E68"/>
    <w:rsid w:val="00101EF7"/>
    <w:rsid w:val="00101F29"/>
    <w:rsid w:val="00101FD0"/>
    <w:rsid w:val="0010228F"/>
    <w:rsid w:val="0010237A"/>
    <w:rsid w:val="001023D0"/>
    <w:rsid w:val="00102464"/>
    <w:rsid w:val="00102466"/>
    <w:rsid w:val="001024A3"/>
    <w:rsid w:val="0010271D"/>
    <w:rsid w:val="001027E8"/>
    <w:rsid w:val="0010288A"/>
    <w:rsid w:val="001029C5"/>
    <w:rsid w:val="00102A04"/>
    <w:rsid w:val="00102A12"/>
    <w:rsid w:val="00102A6E"/>
    <w:rsid w:val="00102ADF"/>
    <w:rsid w:val="00102AE7"/>
    <w:rsid w:val="00102BDF"/>
    <w:rsid w:val="00102C7D"/>
    <w:rsid w:val="00102C96"/>
    <w:rsid w:val="00102DBA"/>
    <w:rsid w:val="00102DD3"/>
    <w:rsid w:val="00102DF6"/>
    <w:rsid w:val="00102E32"/>
    <w:rsid w:val="00102E76"/>
    <w:rsid w:val="00102F24"/>
    <w:rsid w:val="00102FA9"/>
    <w:rsid w:val="00102FE7"/>
    <w:rsid w:val="001032AE"/>
    <w:rsid w:val="001032B7"/>
    <w:rsid w:val="001032DC"/>
    <w:rsid w:val="00103321"/>
    <w:rsid w:val="00103335"/>
    <w:rsid w:val="00103612"/>
    <w:rsid w:val="001036DD"/>
    <w:rsid w:val="0010371A"/>
    <w:rsid w:val="001038AE"/>
    <w:rsid w:val="001038B8"/>
    <w:rsid w:val="0010394E"/>
    <w:rsid w:val="001039B4"/>
    <w:rsid w:val="00103A51"/>
    <w:rsid w:val="00103AC6"/>
    <w:rsid w:val="00103B47"/>
    <w:rsid w:val="00103B56"/>
    <w:rsid w:val="00103B7C"/>
    <w:rsid w:val="00103BD2"/>
    <w:rsid w:val="00103CE2"/>
    <w:rsid w:val="00103D1F"/>
    <w:rsid w:val="00103D2A"/>
    <w:rsid w:val="00103E1B"/>
    <w:rsid w:val="00103E8A"/>
    <w:rsid w:val="00103EBE"/>
    <w:rsid w:val="00103EDA"/>
    <w:rsid w:val="00103F04"/>
    <w:rsid w:val="00103F2C"/>
    <w:rsid w:val="00103F71"/>
    <w:rsid w:val="00103F9B"/>
    <w:rsid w:val="00103FA9"/>
    <w:rsid w:val="001041C4"/>
    <w:rsid w:val="00104274"/>
    <w:rsid w:val="00104452"/>
    <w:rsid w:val="001044F7"/>
    <w:rsid w:val="001045BA"/>
    <w:rsid w:val="00104686"/>
    <w:rsid w:val="0010483F"/>
    <w:rsid w:val="00104974"/>
    <w:rsid w:val="001049B0"/>
    <w:rsid w:val="001049D7"/>
    <w:rsid w:val="001049F2"/>
    <w:rsid w:val="00104A38"/>
    <w:rsid w:val="00104A49"/>
    <w:rsid w:val="00104A63"/>
    <w:rsid w:val="00104A96"/>
    <w:rsid w:val="00104A9E"/>
    <w:rsid w:val="00104B29"/>
    <w:rsid w:val="00104C58"/>
    <w:rsid w:val="00104D26"/>
    <w:rsid w:val="00104DB0"/>
    <w:rsid w:val="00104F75"/>
    <w:rsid w:val="00105057"/>
    <w:rsid w:val="00105096"/>
    <w:rsid w:val="00105164"/>
    <w:rsid w:val="0010520D"/>
    <w:rsid w:val="00105393"/>
    <w:rsid w:val="001053D9"/>
    <w:rsid w:val="00105400"/>
    <w:rsid w:val="001054E0"/>
    <w:rsid w:val="00105503"/>
    <w:rsid w:val="00105504"/>
    <w:rsid w:val="001055FB"/>
    <w:rsid w:val="001057F2"/>
    <w:rsid w:val="001057F4"/>
    <w:rsid w:val="001058A6"/>
    <w:rsid w:val="0010599D"/>
    <w:rsid w:val="001059A0"/>
    <w:rsid w:val="00105BA3"/>
    <w:rsid w:val="00105BDD"/>
    <w:rsid w:val="00105C45"/>
    <w:rsid w:val="00105C52"/>
    <w:rsid w:val="00105C60"/>
    <w:rsid w:val="00105D80"/>
    <w:rsid w:val="00105DD1"/>
    <w:rsid w:val="00105E40"/>
    <w:rsid w:val="00105E89"/>
    <w:rsid w:val="00105F7A"/>
    <w:rsid w:val="00105FFD"/>
    <w:rsid w:val="001060E2"/>
    <w:rsid w:val="0010619B"/>
    <w:rsid w:val="001061D5"/>
    <w:rsid w:val="00106272"/>
    <w:rsid w:val="001063DA"/>
    <w:rsid w:val="001067A9"/>
    <w:rsid w:val="001067EC"/>
    <w:rsid w:val="00106A4A"/>
    <w:rsid w:val="00106A75"/>
    <w:rsid w:val="00106A76"/>
    <w:rsid w:val="00106AD7"/>
    <w:rsid w:val="00106B08"/>
    <w:rsid w:val="00106BEC"/>
    <w:rsid w:val="00106C60"/>
    <w:rsid w:val="00106C6C"/>
    <w:rsid w:val="00106DDE"/>
    <w:rsid w:val="00106E61"/>
    <w:rsid w:val="00106EF3"/>
    <w:rsid w:val="00106FB8"/>
    <w:rsid w:val="00107189"/>
    <w:rsid w:val="001071C0"/>
    <w:rsid w:val="001071D7"/>
    <w:rsid w:val="001071EE"/>
    <w:rsid w:val="001071EF"/>
    <w:rsid w:val="00107347"/>
    <w:rsid w:val="001073CB"/>
    <w:rsid w:val="0010744C"/>
    <w:rsid w:val="00107507"/>
    <w:rsid w:val="0010753A"/>
    <w:rsid w:val="00107561"/>
    <w:rsid w:val="001075B8"/>
    <w:rsid w:val="001075CA"/>
    <w:rsid w:val="00107612"/>
    <w:rsid w:val="001077FE"/>
    <w:rsid w:val="0010783E"/>
    <w:rsid w:val="00107951"/>
    <w:rsid w:val="00107979"/>
    <w:rsid w:val="00107ADC"/>
    <w:rsid w:val="00107B4D"/>
    <w:rsid w:val="00107C21"/>
    <w:rsid w:val="00107DF9"/>
    <w:rsid w:val="00107E2A"/>
    <w:rsid w:val="00107E5D"/>
    <w:rsid w:val="00107E75"/>
    <w:rsid w:val="0011001E"/>
    <w:rsid w:val="001101DD"/>
    <w:rsid w:val="001101F5"/>
    <w:rsid w:val="001101FA"/>
    <w:rsid w:val="001102B1"/>
    <w:rsid w:val="00110301"/>
    <w:rsid w:val="0011036A"/>
    <w:rsid w:val="001103BE"/>
    <w:rsid w:val="001103D3"/>
    <w:rsid w:val="0011040F"/>
    <w:rsid w:val="0011045F"/>
    <w:rsid w:val="0011047D"/>
    <w:rsid w:val="001104F2"/>
    <w:rsid w:val="0011056A"/>
    <w:rsid w:val="0011065F"/>
    <w:rsid w:val="00110738"/>
    <w:rsid w:val="001107F4"/>
    <w:rsid w:val="001107F9"/>
    <w:rsid w:val="00110959"/>
    <w:rsid w:val="00110A20"/>
    <w:rsid w:val="00110A2E"/>
    <w:rsid w:val="00110A6C"/>
    <w:rsid w:val="00110C94"/>
    <w:rsid w:val="00110CB6"/>
    <w:rsid w:val="00110D6B"/>
    <w:rsid w:val="00110DA0"/>
    <w:rsid w:val="00110E63"/>
    <w:rsid w:val="00110E90"/>
    <w:rsid w:val="00110EDC"/>
    <w:rsid w:val="00110F63"/>
    <w:rsid w:val="00110F82"/>
    <w:rsid w:val="001111EA"/>
    <w:rsid w:val="00111287"/>
    <w:rsid w:val="001112A3"/>
    <w:rsid w:val="001112D0"/>
    <w:rsid w:val="0011133A"/>
    <w:rsid w:val="00111340"/>
    <w:rsid w:val="00111389"/>
    <w:rsid w:val="0011138D"/>
    <w:rsid w:val="001114CB"/>
    <w:rsid w:val="001114EA"/>
    <w:rsid w:val="001115ED"/>
    <w:rsid w:val="0011163F"/>
    <w:rsid w:val="00111790"/>
    <w:rsid w:val="0011189F"/>
    <w:rsid w:val="0011193E"/>
    <w:rsid w:val="00111A2A"/>
    <w:rsid w:val="00111A9F"/>
    <w:rsid w:val="00111AB4"/>
    <w:rsid w:val="00111B78"/>
    <w:rsid w:val="00111D45"/>
    <w:rsid w:val="00111EAA"/>
    <w:rsid w:val="00111F1E"/>
    <w:rsid w:val="00111F43"/>
    <w:rsid w:val="00111F86"/>
    <w:rsid w:val="0011208C"/>
    <w:rsid w:val="0011212D"/>
    <w:rsid w:val="0011224E"/>
    <w:rsid w:val="0011226B"/>
    <w:rsid w:val="00112289"/>
    <w:rsid w:val="0011236C"/>
    <w:rsid w:val="001123A9"/>
    <w:rsid w:val="001123B5"/>
    <w:rsid w:val="00112431"/>
    <w:rsid w:val="00112538"/>
    <w:rsid w:val="00112575"/>
    <w:rsid w:val="001125E7"/>
    <w:rsid w:val="00112677"/>
    <w:rsid w:val="001126A7"/>
    <w:rsid w:val="001126E5"/>
    <w:rsid w:val="00112749"/>
    <w:rsid w:val="0011287C"/>
    <w:rsid w:val="00112922"/>
    <w:rsid w:val="00112AEC"/>
    <w:rsid w:val="00112BD9"/>
    <w:rsid w:val="00112BDB"/>
    <w:rsid w:val="00112BE5"/>
    <w:rsid w:val="00112C85"/>
    <w:rsid w:val="00112CE4"/>
    <w:rsid w:val="00112D11"/>
    <w:rsid w:val="00112D6B"/>
    <w:rsid w:val="00112D7E"/>
    <w:rsid w:val="00112DA3"/>
    <w:rsid w:val="00112DFE"/>
    <w:rsid w:val="00112E56"/>
    <w:rsid w:val="00112EC3"/>
    <w:rsid w:val="00112F14"/>
    <w:rsid w:val="001131D9"/>
    <w:rsid w:val="001132D8"/>
    <w:rsid w:val="001132EE"/>
    <w:rsid w:val="00113407"/>
    <w:rsid w:val="00113412"/>
    <w:rsid w:val="001134DF"/>
    <w:rsid w:val="00113529"/>
    <w:rsid w:val="0011355D"/>
    <w:rsid w:val="00113649"/>
    <w:rsid w:val="00113875"/>
    <w:rsid w:val="001138F6"/>
    <w:rsid w:val="00113971"/>
    <w:rsid w:val="001139BE"/>
    <w:rsid w:val="00113A3F"/>
    <w:rsid w:val="00113AAC"/>
    <w:rsid w:val="00113B00"/>
    <w:rsid w:val="00113D4F"/>
    <w:rsid w:val="00113E13"/>
    <w:rsid w:val="00113F1D"/>
    <w:rsid w:val="00113F69"/>
    <w:rsid w:val="0011407F"/>
    <w:rsid w:val="00114105"/>
    <w:rsid w:val="00114121"/>
    <w:rsid w:val="001141FA"/>
    <w:rsid w:val="001142BD"/>
    <w:rsid w:val="001142E1"/>
    <w:rsid w:val="001144E0"/>
    <w:rsid w:val="00114700"/>
    <w:rsid w:val="0011475E"/>
    <w:rsid w:val="00114789"/>
    <w:rsid w:val="001147C6"/>
    <w:rsid w:val="001147E6"/>
    <w:rsid w:val="00114A2B"/>
    <w:rsid w:val="00114ADA"/>
    <w:rsid w:val="00114AF3"/>
    <w:rsid w:val="00114CB1"/>
    <w:rsid w:val="00114D05"/>
    <w:rsid w:val="00114D09"/>
    <w:rsid w:val="00114D57"/>
    <w:rsid w:val="00114DBD"/>
    <w:rsid w:val="00114F05"/>
    <w:rsid w:val="00114F20"/>
    <w:rsid w:val="00114F4E"/>
    <w:rsid w:val="00114FAC"/>
    <w:rsid w:val="0011521E"/>
    <w:rsid w:val="00115302"/>
    <w:rsid w:val="00115307"/>
    <w:rsid w:val="0011543A"/>
    <w:rsid w:val="0011547D"/>
    <w:rsid w:val="001154CB"/>
    <w:rsid w:val="001154D2"/>
    <w:rsid w:val="001155FB"/>
    <w:rsid w:val="0011572D"/>
    <w:rsid w:val="00115843"/>
    <w:rsid w:val="00115878"/>
    <w:rsid w:val="00115A98"/>
    <w:rsid w:val="00115BC2"/>
    <w:rsid w:val="00115BCF"/>
    <w:rsid w:val="00115C92"/>
    <w:rsid w:val="00115D08"/>
    <w:rsid w:val="00115D09"/>
    <w:rsid w:val="00115E3C"/>
    <w:rsid w:val="00115EF1"/>
    <w:rsid w:val="00115F8F"/>
    <w:rsid w:val="00116017"/>
    <w:rsid w:val="00116048"/>
    <w:rsid w:val="00116064"/>
    <w:rsid w:val="00116189"/>
    <w:rsid w:val="001161E9"/>
    <w:rsid w:val="00116216"/>
    <w:rsid w:val="00116234"/>
    <w:rsid w:val="00116237"/>
    <w:rsid w:val="0011631C"/>
    <w:rsid w:val="001163B9"/>
    <w:rsid w:val="001163EA"/>
    <w:rsid w:val="0011641C"/>
    <w:rsid w:val="00116490"/>
    <w:rsid w:val="001164CE"/>
    <w:rsid w:val="001165E0"/>
    <w:rsid w:val="0011666E"/>
    <w:rsid w:val="00116685"/>
    <w:rsid w:val="001168CB"/>
    <w:rsid w:val="00116901"/>
    <w:rsid w:val="00116949"/>
    <w:rsid w:val="00116994"/>
    <w:rsid w:val="00116BB3"/>
    <w:rsid w:val="00116BC5"/>
    <w:rsid w:val="00116BFC"/>
    <w:rsid w:val="00116C8B"/>
    <w:rsid w:val="00116CB2"/>
    <w:rsid w:val="00116CD4"/>
    <w:rsid w:val="00116DF8"/>
    <w:rsid w:val="00116E71"/>
    <w:rsid w:val="00116E73"/>
    <w:rsid w:val="0011708F"/>
    <w:rsid w:val="0011717C"/>
    <w:rsid w:val="00117373"/>
    <w:rsid w:val="0011738B"/>
    <w:rsid w:val="001174EA"/>
    <w:rsid w:val="001175B5"/>
    <w:rsid w:val="001176DE"/>
    <w:rsid w:val="0011778A"/>
    <w:rsid w:val="001178A4"/>
    <w:rsid w:val="001178F0"/>
    <w:rsid w:val="001178FE"/>
    <w:rsid w:val="00117988"/>
    <w:rsid w:val="00117AC2"/>
    <w:rsid w:val="00117B42"/>
    <w:rsid w:val="00117BEE"/>
    <w:rsid w:val="00117C7F"/>
    <w:rsid w:val="00117D35"/>
    <w:rsid w:val="00117DA2"/>
    <w:rsid w:val="00117DFD"/>
    <w:rsid w:val="00117E7F"/>
    <w:rsid w:val="001201CE"/>
    <w:rsid w:val="0012029C"/>
    <w:rsid w:val="00120320"/>
    <w:rsid w:val="0012037B"/>
    <w:rsid w:val="001203AB"/>
    <w:rsid w:val="00120464"/>
    <w:rsid w:val="001204B9"/>
    <w:rsid w:val="00120586"/>
    <w:rsid w:val="001205D6"/>
    <w:rsid w:val="00120646"/>
    <w:rsid w:val="001206EF"/>
    <w:rsid w:val="001207B3"/>
    <w:rsid w:val="00120909"/>
    <w:rsid w:val="001209C6"/>
    <w:rsid w:val="00120A72"/>
    <w:rsid w:val="00120BDA"/>
    <w:rsid w:val="00120C16"/>
    <w:rsid w:val="00120C20"/>
    <w:rsid w:val="00120D78"/>
    <w:rsid w:val="00120E0A"/>
    <w:rsid w:val="00120EC3"/>
    <w:rsid w:val="00120EF9"/>
    <w:rsid w:val="001210E6"/>
    <w:rsid w:val="001211B0"/>
    <w:rsid w:val="00121282"/>
    <w:rsid w:val="00121351"/>
    <w:rsid w:val="00121369"/>
    <w:rsid w:val="0012141A"/>
    <w:rsid w:val="0012142B"/>
    <w:rsid w:val="00121579"/>
    <w:rsid w:val="0012157C"/>
    <w:rsid w:val="0012159B"/>
    <w:rsid w:val="001215ED"/>
    <w:rsid w:val="0012162F"/>
    <w:rsid w:val="0012179C"/>
    <w:rsid w:val="001217AB"/>
    <w:rsid w:val="0012188A"/>
    <w:rsid w:val="0012189C"/>
    <w:rsid w:val="001218C9"/>
    <w:rsid w:val="001218F0"/>
    <w:rsid w:val="00121945"/>
    <w:rsid w:val="001219A7"/>
    <w:rsid w:val="001219AB"/>
    <w:rsid w:val="00121A11"/>
    <w:rsid w:val="00121A63"/>
    <w:rsid w:val="00121AC8"/>
    <w:rsid w:val="00121B04"/>
    <w:rsid w:val="00121B53"/>
    <w:rsid w:val="00121B7A"/>
    <w:rsid w:val="00121BED"/>
    <w:rsid w:val="00121BF5"/>
    <w:rsid w:val="00121C4C"/>
    <w:rsid w:val="00121C81"/>
    <w:rsid w:val="00121D13"/>
    <w:rsid w:val="00121D54"/>
    <w:rsid w:val="00121D64"/>
    <w:rsid w:val="0012206B"/>
    <w:rsid w:val="00122185"/>
    <w:rsid w:val="00122266"/>
    <w:rsid w:val="001222D0"/>
    <w:rsid w:val="0012240B"/>
    <w:rsid w:val="0012247A"/>
    <w:rsid w:val="001224A4"/>
    <w:rsid w:val="001224BA"/>
    <w:rsid w:val="00122527"/>
    <w:rsid w:val="001226A7"/>
    <w:rsid w:val="001227D1"/>
    <w:rsid w:val="00122862"/>
    <w:rsid w:val="001228B6"/>
    <w:rsid w:val="0012292D"/>
    <w:rsid w:val="00122979"/>
    <w:rsid w:val="001229B3"/>
    <w:rsid w:val="00122A4B"/>
    <w:rsid w:val="00122B34"/>
    <w:rsid w:val="00122B91"/>
    <w:rsid w:val="00122C28"/>
    <w:rsid w:val="00122CA0"/>
    <w:rsid w:val="00122E6E"/>
    <w:rsid w:val="00122E87"/>
    <w:rsid w:val="00122EC3"/>
    <w:rsid w:val="00122F0B"/>
    <w:rsid w:val="00122FCD"/>
    <w:rsid w:val="00122FEE"/>
    <w:rsid w:val="00122FF7"/>
    <w:rsid w:val="0012318D"/>
    <w:rsid w:val="001231CC"/>
    <w:rsid w:val="001231D6"/>
    <w:rsid w:val="00123207"/>
    <w:rsid w:val="001232D5"/>
    <w:rsid w:val="00123323"/>
    <w:rsid w:val="00123334"/>
    <w:rsid w:val="00123418"/>
    <w:rsid w:val="001234BF"/>
    <w:rsid w:val="0012358F"/>
    <w:rsid w:val="001235C6"/>
    <w:rsid w:val="0012365A"/>
    <w:rsid w:val="0012371B"/>
    <w:rsid w:val="00123933"/>
    <w:rsid w:val="00123B21"/>
    <w:rsid w:val="00123B2C"/>
    <w:rsid w:val="00123CA3"/>
    <w:rsid w:val="00123DF4"/>
    <w:rsid w:val="00123F60"/>
    <w:rsid w:val="00123F74"/>
    <w:rsid w:val="00123F7C"/>
    <w:rsid w:val="001240CC"/>
    <w:rsid w:val="001240E9"/>
    <w:rsid w:val="00124139"/>
    <w:rsid w:val="00124171"/>
    <w:rsid w:val="00124375"/>
    <w:rsid w:val="00124399"/>
    <w:rsid w:val="00124492"/>
    <w:rsid w:val="001244AB"/>
    <w:rsid w:val="00124513"/>
    <w:rsid w:val="00124588"/>
    <w:rsid w:val="0012458D"/>
    <w:rsid w:val="00124604"/>
    <w:rsid w:val="00124645"/>
    <w:rsid w:val="00124702"/>
    <w:rsid w:val="00124761"/>
    <w:rsid w:val="00124778"/>
    <w:rsid w:val="0012479F"/>
    <w:rsid w:val="00124856"/>
    <w:rsid w:val="001248A0"/>
    <w:rsid w:val="001249CD"/>
    <w:rsid w:val="001249CE"/>
    <w:rsid w:val="001249F3"/>
    <w:rsid w:val="00124A29"/>
    <w:rsid w:val="00124A34"/>
    <w:rsid w:val="00124A4C"/>
    <w:rsid w:val="00124AF3"/>
    <w:rsid w:val="00124B34"/>
    <w:rsid w:val="00124C71"/>
    <w:rsid w:val="00124C97"/>
    <w:rsid w:val="00124E10"/>
    <w:rsid w:val="00124E2D"/>
    <w:rsid w:val="00124E73"/>
    <w:rsid w:val="00124F15"/>
    <w:rsid w:val="00124F56"/>
    <w:rsid w:val="001250D2"/>
    <w:rsid w:val="001251AB"/>
    <w:rsid w:val="001253E6"/>
    <w:rsid w:val="001253EA"/>
    <w:rsid w:val="00125513"/>
    <w:rsid w:val="0012554C"/>
    <w:rsid w:val="001255AD"/>
    <w:rsid w:val="001255C8"/>
    <w:rsid w:val="0012563F"/>
    <w:rsid w:val="0012573B"/>
    <w:rsid w:val="00125878"/>
    <w:rsid w:val="00125925"/>
    <w:rsid w:val="00125930"/>
    <w:rsid w:val="00125989"/>
    <w:rsid w:val="001259D5"/>
    <w:rsid w:val="00125A45"/>
    <w:rsid w:val="00125A4C"/>
    <w:rsid w:val="00125BCB"/>
    <w:rsid w:val="00125C02"/>
    <w:rsid w:val="00125E5F"/>
    <w:rsid w:val="00125E81"/>
    <w:rsid w:val="001260CC"/>
    <w:rsid w:val="0012617F"/>
    <w:rsid w:val="00126256"/>
    <w:rsid w:val="00126320"/>
    <w:rsid w:val="00126386"/>
    <w:rsid w:val="001263A7"/>
    <w:rsid w:val="001263E1"/>
    <w:rsid w:val="00126479"/>
    <w:rsid w:val="0012648D"/>
    <w:rsid w:val="00126605"/>
    <w:rsid w:val="00126667"/>
    <w:rsid w:val="00126950"/>
    <w:rsid w:val="0012697F"/>
    <w:rsid w:val="00126A78"/>
    <w:rsid w:val="00126AF2"/>
    <w:rsid w:val="00126B92"/>
    <w:rsid w:val="00126BAD"/>
    <w:rsid w:val="00126C24"/>
    <w:rsid w:val="00126C59"/>
    <w:rsid w:val="00126C6F"/>
    <w:rsid w:val="00126CC2"/>
    <w:rsid w:val="00126E07"/>
    <w:rsid w:val="00127029"/>
    <w:rsid w:val="001270C2"/>
    <w:rsid w:val="001271A6"/>
    <w:rsid w:val="00127212"/>
    <w:rsid w:val="00127342"/>
    <w:rsid w:val="001273CE"/>
    <w:rsid w:val="00127499"/>
    <w:rsid w:val="00127553"/>
    <w:rsid w:val="00127569"/>
    <w:rsid w:val="00127588"/>
    <w:rsid w:val="001275EC"/>
    <w:rsid w:val="00127615"/>
    <w:rsid w:val="00127787"/>
    <w:rsid w:val="001279C5"/>
    <w:rsid w:val="00127A15"/>
    <w:rsid w:val="00127AF0"/>
    <w:rsid w:val="00127B57"/>
    <w:rsid w:val="00127C1F"/>
    <w:rsid w:val="00127D4A"/>
    <w:rsid w:val="00127E07"/>
    <w:rsid w:val="00127E3C"/>
    <w:rsid w:val="00127E5C"/>
    <w:rsid w:val="00127FAA"/>
    <w:rsid w:val="0013005C"/>
    <w:rsid w:val="001300D8"/>
    <w:rsid w:val="001302E1"/>
    <w:rsid w:val="00130306"/>
    <w:rsid w:val="00130341"/>
    <w:rsid w:val="0013039A"/>
    <w:rsid w:val="001303F9"/>
    <w:rsid w:val="001305A0"/>
    <w:rsid w:val="001306C1"/>
    <w:rsid w:val="001306C5"/>
    <w:rsid w:val="00130729"/>
    <w:rsid w:val="001307C0"/>
    <w:rsid w:val="001309FE"/>
    <w:rsid w:val="00130A9C"/>
    <w:rsid w:val="00130B22"/>
    <w:rsid w:val="00130BBF"/>
    <w:rsid w:val="00130C18"/>
    <w:rsid w:val="00130C24"/>
    <w:rsid w:val="00130C8B"/>
    <w:rsid w:val="00130CA8"/>
    <w:rsid w:val="00130D53"/>
    <w:rsid w:val="00130FF2"/>
    <w:rsid w:val="0013111F"/>
    <w:rsid w:val="00131275"/>
    <w:rsid w:val="001313BA"/>
    <w:rsid w:val="001314A3"/>
    <w:rsid w:val="001314D9"/>
    <w:rsid w:val="00131540"/>
    <w:rsid w:val="00131881"/>
    <w:rsid w:val="00131923"/>
    <w:rsid w:val="00131CAD"/>
    <w:rsid w:val="00131CC1"/>
    <w:rsid w:val="00131D47"/>
    <w:rsid w:val="00131D9C"/>
    <w:rsid w:val="00131DC9"/>
    <w:rsid w:val="00131E9C"/>
    <w:rsid w:val="00131F58"/>
    <w:rsid w:val="0013219F"/>
    <w:rsid w:val="00132374"/>
    <w:rsid w:val="001323D4"/>
    <w:rsid w:val="00132540"/>
    <w:rsid w:val="0013254D"/>
    <w:rsid w:val="001325A0"/>
    <w:rsid w:val="001325A9"/>
    <w:rsid w:val="00132638"/>
    <w:rsid w:val="00132661"/>
    <w:rsid w:val="001326B2"/>
    <w:rsid w:val="0013275C"/>
    <w:rsid w:val="00132785"/>
    <w:rsid w:val="0013278D"/>
    <w:rsid w:val="00132797"/>
    <w:rsid w:val="00132818"/>
    <w:rsid w:val="001328E0"/>
    <w:rsid w:val="001328F6"/>
    <w:rsid w:val="00132976"/>
    <w:rsid w:val="001329B9"/>
    <w:rsid w:val="00132A85"/>
    <w:rsid w:val="00132B18"/>
    <w:rsid w:val="00132CDE"/>
    <w:rsid w:val="00132CE2"/>
    <w:rsid w:val="00132D21"/>
    <w:rsid w:val="00132E57"/>
    <w:rsid w:val="00132E5A"/>
    <w:rsid w:val="00132F87"/>
    <w:rsid w:val="00132FF2"/>
    <w:rsid w:val="00133038"/>
    <w:rsid w:val="00133085"/>
    <w:rsid w:val="00133241"/>
    <w:rsid w:val="0013335A"/>
    <w:rsid w:val="001333D7"/>
    <w:rsid w:val="001333FF"/>
    <w:rsid w:val="0013340D"/>
    <w:rsid w:val="00133506"/>
    <w:rsid w:val="00133591"/>
    <w:rsid w:val="00133626"/>
    <w:rsid w:val="0013374C"/>
    <w:rsid w:val="001337DC"/>
    <w:rsid w:val="0013382D"/>
    <w:rsid w:val="00133871"/>
    <w:rsid w:val="001338C2"/>
    <w:rsid w:val="00133932"/>
    <w:rsid w:val="00133994"/>
    <w:rsid w:val="00133996"/>
    <w:rsid w:val="00133A2E"/>
    <w:rsid w:val="00133A82"/>
    <w:rsid w:val="00133ACF"/>
    <w:rsid w:val="00133AE2"/>
    <w:rsid w:val="00133B98"/>
    <w:rsid w:val="00133BD7"/>
    <w:rsid w:val="00133C86"/>
    <w:rsid w:val="00133D15"/>
    <w:rsid w:val="00133DC4"/>
    <w:rsid w:val="00133E06"/>
    <w:rsid w:val="00133E60"/>
    <w:rsid w:val="00133EA7"/>
    <w:rsid w:val="00133EB1"/>
    <w:rsid w:val="00133F35"/>
    <w:rsid w:val="00133FCB"/>
    <w:rsid w:val="00133FEA"/>
    <w:rsid w:val="001340B8"/>
    <w:rsid w:val="001340EA"/>
    <w:rsid w:val="001340F4"/>
    <w:rsid w:val="00134239"/>
    <w:rsid w:val="00134363"/>
    <w:rsid w:val="001343E9"/>
    <w:rsid w:val="001343EF"/>
    <w:rsid w:val="00134438"/>
    <w:rsid w:val="00134456"/>
    <w:rsid w:val="00134476"/>
    <w:rsid w:val="001344B0"/>
    <w:rsid w:val="001344E6"/>
    <w:rsid w:val="0013454A"/>
    <w:rsid w:val="00134567"/>
    <w:rsid w:val="00134569"/>
    <w:rsid w:val="001345AA"/>
    <w:rsid w:val="00134611"/>
    <w:rsid w:val="0013479D"/>
    <w:rsid w:val="001347FB"/>
    <w:rsid w:val="00134983"/>
    <w:rsid w:val="001349C4"/>
    <w:rsid w:val="00134AD5"/>
    <w:rsid w:val="00134B23"/>
    <w:rsid w:val="00134B60"/>
    <w:rsid w:val="00134C91"/>
    <w:rsid w:val="00134E47"/>
    <w:rsid w:val="00134F54"/>
    <w:rsid w:val="00134F96"/>
    <w:rsid w:val="00134F9A"/>
    <w:rsid w:val="00134FE4"/>
    <w:rsid w:val="00135115"/>
    <w:rsid w:val="001351E9"/>
    <w:rsid w:val="0013525D"/>
    <w:rsid w:val="001352DF"/>
    <w:rsid w:val="001352E3"/>
    <w:rsid w:val="00135463"/>
    <w:rsid w:val="001354F8"/>
    <w:rsid w:val="0013556A"/>
    <w:rsid w:val="001355B1"/>
    <w:rsid w:val="001355C9"/>
    <w:rsid w:val="0013568B"/>
    <w:rsid w:val="001356FC"/>
    <w:rsid w:val="00135718"/>
    <w:rsid w:val="00135747"/>
    <w:rsid w:val="0013580F"/>
    <w:rsid w:val="00135820"/>
    <w:rsid w:val="0013599E"/>
    <w:rsid w:val="00135B2E"/>
    <w:rsid w:val="00135B3F"/>
    <w:rsid w:val="00135B4D"/>
    <w:rsid w:val="00135C6E"/>
    <w:rsid w:val="00135C95"/>
    <w:rsid w:val="00135CB5"/>
    <w:rsid w:val="00135D44"/>
    <w:rsid w:val="00135D6F"/>
    <w:rsid w:val="00135D92"/>
    <w:rsid w:val="001360F6"/>
    <w:rsid w:val="00136141"/>
    <w:rsid w:val="00136293"/>
    <w:rsid w:val="001362B0"/>
    <w:rsid w:val="001362BF"/>
    <w:rsid w:val="00136305"/>
    <w:rsid w:val="00136388"/>
    <w:rsid w:val="0013646C"/>
    <w:rsid w:val="001364B0"/>
    <w:rsid w:val="001364EE"/>
    <w:rsid w:val="00136513"/>
    <w:rsid w:val="00136545"/>
    <w:rsid w:val="0013675B"/>
    <w:rsid w:val="0013691C"/>
    <w:rsid w:val="00136935"/>
    <w:rsid w:val="001369BB"/>
    <w:rsid w:val="00136B0E"/>
    <w:rsid w:val="00136BA6"/>
    <w:rsid w:val="00136D7B"/>
    <w:rsid w:val="00136DD0"/>
    <w:rsid w:val="00136E98"/>
    <w:rsid w:val="00136EB1"/>
    <w:rsid w:val="00136F0C"/>
    <w:rsid w:val="00136FCD"/>
    <w:rsid w:val="00137018"/>
    <w:rsid w:val="00137085"/>
    <w:rsid w:val="001370D8"/>
    <w:rsid w:val="001370F1"/>
    <w:rsid w:val="001370FE"/>
    <w:rsid w:val="0013710F"/>
    <w:rsid w:val="0013721C"/>
    <w:rsid w:val="001372D3"/>
    <w:rsid w:val="00137314"/>
    <w:rsid w:val="00137383"/>
    <w:rsid w:val="001373AD"/>
    <w:rsid w:val="00137493"/>
    <w:rsid w:val="001374BD"/>
    <w:rsid w:val="001374EC"/>
    <w:rsid w:val="001375BF"/>
    <w:rsid w:val="0013769A"/>
    <w:rsid w:val="001376D9"/>
    <w:rsid w:val="00137716"/>
    <w:rsid w:val="001378A6"/>
    <w:rsid w:val="001378A8"/>
    <w:rsid w:val="001378D0"/>
    <w:rsid w:val="00137947"/>
    <w:rsid w:val="00137A2A"/>
    <w:rsid w:val="00137A6B"/>
    <w:rsid w:val="00137B63"/>
    <w:rsid w:val="00137B7D"/>
    <w:rsid w:val="00137BB5"/>
    <w:rsid w:val="00137BBA"/>
    <w:rsid w:val="00137C22"/>
    <w:rsid w:val="00137EE8"/>
    <w:rsid w:val="00137F0B"/>
    <w:rsid w:val="001400B2"/>
    <w:rsid w:val="001400D4"/>
    <w:rsid w:val="001402DA"/>
    <w:rsid w:val="001403C3"/>
    <w:rsid w:val="001403F1"/>
    <w:rsid w:val="00140571"/>
    <w:rsid w:val="00140572"/>
    <w:rsid w:val="0014057A"/>
    <w:rsid w:val="00140699"/>
    <w:rsid w:val="00140763"/>
    <w:rsid w:val="00140825"/>
    <w:rsid w:val="00140902"/>
    <w:rsid w:val="001409A5"/>
    <w:rsid w:val="001409F4"/>
    <w:rsid w:val="00140A85"/>
    <w:rsid w:val="00140A88"/>
    <w:rsid w:val="00140B7F"/>
    <w:rsid w:val="00140B92"/>
    <w:rsid w:val="00140BC0"/>
    <w:rsid w:val="00140C1C"/>
    <w:rsid w:val="00140C4A"/>
    <w:rsid w:val="00140CA3"/>
    <w:rsid w:val="00140D29"/>
    <w:rsid w:val="00140D77"/>
    <w:rsid w:val="00140E60"/>
    <w:rsid w:val="00140E63"/>
    <w:rsid w:val="00140EC6"/>
    <w:rsid w:val="00141134"/>
    <w:rsid w:val="001411DE"/>
    <w:rsid w:val="0014120A"/>
    <w:rsid w:val="00141211"/>
    <w:rsid w:val="001412D4"/>
    <w:rsid w:val="00141384"/>
    <w:rsid w:val="001415B2"/>
    <w:rsid w:val="00141670"/>
    <w:rsid w:val="00141676"/>
    <w:rsid w:val="00141767"/>
    <w:rsid w:val="0014186F"/>
    <w:rsid w:val="001419D5"/>
    <w:rsid w:val="001419EF"/>
    <w:rsid w:val="00141A14"/>
    <w:rsid w:val="00141B1B"/>
    <w:rsid w:val="00141B8F"/>
    <w:rsid w:val="00141BD2"/>
    <w:rsid w:val="00141C10"/>
    <w:rsid w:val="00141CF2"/>
    <w:rsid w:val="00141D97"/>
    <w:rsid w:val="00141DE5"/>
    <w:rsid w:val="00141E24"/>
    <w:rsid w:val="00141ED7"/>
    <w:rsid w:val="00141FA3"/>
    <w:rsid w:val="00142040"/>
    <w:rsid w:val="0014206B"/>
    <w:rsid w:val="001420EA"/>
    <w:rsid w:val="001423CE"/>
    <w:rsid w:val="001423E5"/>
    <w:rsid w:val="001423F0"/>
    <w:rsid w:val="00142457"/>
    <w:rsid w:val="0014270C"/>
    <w:rsid w:val="0014276B"/>
    <w:rsid w:val="001428B9"/>
    <w:rsid w:val="00142928"/>
    <w:rsid w:val="0014296A"/>
    <w:rsid w:val="00142B0A"/>
    <w:rsid w:val="00142B11"/>
    <w:rsid w:val="00142B98"/>
    <w:rsid w:val="00142BB9"/>
    <w:rsid w:val="00142C3B"/>
    <w:rsid w:val="00142C54"/>
    <w:rsid w:val="00142CC7"/>
    <w:rsid w:val="00142E59"/>
    <w:rsid w:val="00143004"/>
    <w:rsid w:val="001430CE"/>
    <w:rsid w:val="00143108"/>
    <w:rsid w:val="00143109"/>
    <w:rsid w:val="00143253"/>
    <w:rsid w:val="00143260"/>
    <w:rsid w:val="00143310"/>
    <w:rsid w:val="00143355"/>
    <w:rsid w:val="0014338D"/>
    <w:rsid w:val="0014342A"/>
    <w:rsid w:val="00143493"/>
    <w:rsid w:val="001434EF"/>
    <w:rsid w:val="001435E1"/>
    <w:rsid w:val="0014368F"/>
    <w:rsid w:val="001436BC"/>
    <w:rsid w:val="00143787"/>
    <w:rsid w:val="001437E1"/>
    <w:rsid w:val="00143859"/>
    <w:rsid w:val="001438A4"/>
    <w:rsid w:val="00143A70"/>
    <w:rsid w:val="00143A85"/>
    <w:rsid w:val="00143ACD"/>
    <w:rsid w:val="00143B1B"/>
    <w:rsid w:val="00143BE6"/>
    <w:rsid w:val="00143CCA"/>
    <w:rsid w:val="00143CF9"/>
    <w:rsid w:val="00143DC1"/>
    <w:rsid w:val="00143EBA"/>
    <w:rsid w:val="00143FC0"/>
    <w:rsid w:val="001441FC"/>
    <w:rsid w:val="00144210"/>
    <w:rsid w:val="001443EE"/>
    <w:rsid w:val="001444D2"/>
    <w:rsid w:val="00144675"/>
    <w:rsid w:val="001446A2"/>
    <w:rsid w:val="001446F4"/>
    <w:rsid w:val="0014483D"/>
    <w:rsid w:val="0014484C"/>
    <w:rsid w:val="00144972"/>
    <w:rsid w:val="00144983"/>
    <w:rsid w:val="00144A9E"/>
    <w:rsid w:val="00144AA3"/>
    <w:rsid w:val="00144AE0"/>
    <w:rsid w:val="00144B3D"/>
    <w:rsid w:val="00144BEC"/>
    <w:rsid w:val="00144D58"/>
    <w:rsid w:val="00144D6B"/>
    <w:rsid w:val="00144DAC"/>
    <w:rsid w:val="00144E6D"/>
    <w:rsid w:val="00144F24"/>
    <w:rsid w:val="00144F3D"/>
    <w:rsid w:val="00144FE7"/>
    <w:rsid w:val="001450A0"/>
    <w:rsid w:val="00145112"/>
    <w:rsid w:val="00145298"/>
    <w:rsid w:val="001452AD"/>
    <w:rsid w:val="00145523"/>
    <w:rsid w:val="0014552F"/>
    <w:rsid w:val="00145583"/>
    <w:rsid w:val="001455CC"/>
    <w:rsid w:val="001456C5"/>
    <w:rsid w:val="001456E1"/>
    <w:rsid w:val="001456F0"/>
    <w:rsid w:val="00145758"/>
    <w:rsid w:val="0014578C"/>
    <w:rsid w:val="001457A3"/>
    <w:rsid w:val="0014585A"/>
    <w:rsid w:val="0014588C"/>
    <w:rsid w:val="0014591B"/>
    <w:rsid w:val="0014596F"/>
    <w:rsid w:val="00145A08"/>
    <w:rsid w:val="00145B8D"/>
    <w:rsid w:val="00145B94"/>
    <w:rsid w:val="00145BCE"/>
    <w:rsid w:val="00145C69"/>
    <w:rsid w:val="00145E3E"/>
    <w:rsid w:val="00145ED2"/>
    <w:rsid w:val="0014618A"/>
    <w:rsid w:val="00146209"/>
    <w:rsid w:val="0014621D"/>
    <w:rsid w:val="0014625C"/>
    <w:rsid w:val="001462AB"/>
    <w:rsid w:val="00146470"/>
    <w:rsid w:val="001464F4"/>
    <w:rsid w:val="001465A6"/>
    <w:rsid w:val="00146633"/>
    <w:rsid w:val="0014699D"/>
    <w:rsid w:val="00146A36"/>
    <w:rsid w:val="00146B05"/>
    <w:rsid w:val="00146B54"/>
    <w:rsid w:val="00146B66"/>
    <w:rsid w:val="00146DBF"/>
    <w:rsid w:val="00146E5A"/>
    <w:rsid w:val="00146ECB"/>
    <w:rsid w:val="00146EE7"/>
    <w:rsid w:val="0014703D"/>
    <w:rsid w:val="0014705E"/>
    <w:rsid w:val="001470FC"/>
    <w:rsid w:val="00147174"/>
    <w:rsid w:val="00147225"/>
    <w:rsid w:val="00147240"/>
    <w:rsid w:val="001472AF"/>
    <w:rsid w:val="001472D5"/>
    <w:rsid w:val="001472E3"/>
    <w:rsid w:val="001473B3"/>
    <w:rsid w:val="0014746F"/>
    <w:rsid w:val="001474D9"/>
    <w:rsid w:val="00147595"/>
    <w:rsid w:val="001476A5"/>
    <w:rsid w:val="00147861"/>
    <w:rsid w:val="0014786F"/>
    <w:rsid w:val="001478DA"/>
    <w:rsid w:val="001479DF"/>
    <w:rsid w:val="00147C31"/>
    <w:rsid w:val="00147C79"/>
    <w:rsid w:val="00147D52"/>
    <w:rsid w:val="00147DD2"/>
    <w:rsid w:val="00147F72"/>
    <w:rsid w:val="00147FA7"/>
    <w:rsid w:val="00147FD2"/>
    <w:rsid w:val="00150048"/>
    <w:rsid w:val="001500DD"/>
    <w:rsid w:val="001501BA"/>
    <w:rsid w:val="00150236"/>
    <w:rsid w:val="0015038A"/>
    <w:rsid w:val="001503C5"/>
    <w:rsid w:val="00150428"/>
    <w:rsid w:val="001504D6"/>
    <w:rsid w:val="00150501"/>
    <w:rsid w:val="001505AA"/>
    <w:rsid w:val="001506F1"/>
    <w:rsid w:val="00150858"/>
    <w:rsid w:val="00150883"/>
    <w:rsid w:val="0015091C"/>
    <w:rsid w:val="0015097D"/>
    <w:rsid w:val="00150981"/>
    <w:rsid w:val="00150988"/>
    <w:rsid w:val="001509E0"/>
    <w:rsid w:val="00150B25"/>
    <w:rsid w:val="00150BDD"/>
    <w:rsid w:val="00150C03"/>
    <w:rsid w:val="00150C1A"/>
    <w:rsid w:val="00150C8B"/>
    <w:rsid w:val="00150D75"/>
    <w:rsid w:val="00150D9A"/>
    <w:rsid w:val="00150DF7"/>
    <w:rsid w:val="00150E2C"/>
    <w:rsid w:val="00150E2E"/>
    <w:rsid w:val="00150E52"/>
    <w:rsid w:val="00150E55"/>
    <w:rsid w:val="00150EC6"/>
    <w:rsid w:val="00150F5D"/>
    <w:rsid w:val="00150F62"/>
    <w:rsid w:val="00150F7B"/>
    <w:rsid w:val="00150FE1"/>
    <w:rsid w:val="00151231"/>
    <w:rsid w:val="00151489"/>
    <w:rsid w:val="00151557"/>
    <w:rsid w:val="001515F6"/>
    <w:rsid w:val="00151673"/>
    <w:rsid w:val="001516D5"/>
    <w:rsid w:val="001516DF"/>
    <w:rsid w:val="001516F6"/>
    <w:rsid w:val="00151711"/>
    <w:rsid w:val="0015174F"/>
    <w:rsid w:val="0015175C"/>
    <w:rsid w:val="001517C3"/>
    <w:rsid w:val="001517FF"/>
    <w:rsid w:val="0015182B"/>
    <w:rsid w:val="001518FA"/>
    <w:rsid w:val="00151900"/>
    <w:rsid w:val="00151962"/>
    <w:rsid w:val="00151A66"/>
    <w:rsid w:val="00151AF7"/>
    <w:rsid w:val="00151AFD"/>
    <w:rsid w:val="00151B59"/>
    <w:rsid w:val="00151B9E"/>
    <w:rsid w:val="00151BAD"/>
    <w:rsid w:val="00151C32"/>
    <w:rsid w:val="00151C46"/>
    <w:rsid w:val="00151D15"/>
    <w:rsid w:val="00151D94"/>
    <w:rsid w:val="00151E56"/>
    <w:rsid w:val="00151E8E"/>
    <w:rsid w:val="00151F57"/>
    <w:rsid w:val="00151F95"/>
    <w:rsid w:val="0015207C"/>
    <w:rsid w:val="00152171"/>
    <w:rsid w:val="00152174"/>
    <w:rsid w:val="001521CF"/>
    <w:rsid w:val="0015220E"/>
    <w:rsid w:val="001522CA"/>
    <w:rsid w:val="001522FE"/>
    <w:rsid w:val="00152373"/>
    <w:rsid w:val="001523A1"/>
    <w:rsid w:val="0015251A"/>
    <w:rsid w:val="00152639"/>
    <w:rsid w:val="0015270E"/>
    <w:rsid w:val="00152732"/>
    <w:rsid w:val="001527BC"/>
    <w:rsid w:val="0015287B"/>
    <w:rsid w:val="0015297C"/>
    <w:rsid w:val="001529B0"/>
    <w:rsid w:val="001529F5"/>
    <w:rsid w:val="001529FD"/>
    <w:rsid w:val="00152A34"/>
    <w:rsid w:val="00152A50"/>
    <w:rsid w:val="00152AE0"/>
    <w:rsid w:val="00152C8C"/>
    <w:rsid w:val="00152CDD"/>
    <w:rsid w:val="00152E2C"/>
    <w:rsid w:val="00152FC3"/>
    <w:rsid w:val="00153024"/>
    <w:rsid w:val="0015306D"/>
    <w:rsid w:val="00153190"/>
    <w:rsid w:val="001531A0"/>
    <w:rsid w:val="001531CB"/>
    <w:rsid w:val="001531E3"/>
    <w:rsid w:val="00153229"/>
    <w:rsid w:val="00153456"/>
    <w:rsid w:val="001534BF"/>
    <w:rsid w:val="0015366B"/>
    <w:rsid w:val="0015369E"/>
    <w:rsid w:val="001536C0"/>
    <w:rsid w:val="001536CE"/>
    <w:rsid w:val="001536F7"/>
    <w:rsid w:val="00153706"/>
    <w:rsid w:val="0015370F"/>
    <w:rsid w:val="00153751"/>
    <w:rsid w:val="0015378F"/>
    <w:rsid w:val="00153810"/>
    <w:rsid w:val="001538B0"/>
    <w:rsid w:val="0015392A"/>
    <w:rsid w:val="0015396D"/>
    <w:rsid w:val="001539B8"/>
    <w:rsid w:val="00153A19"/>
    <w:rsid w:val="00153A57"/>
    <w:rsid w:val="00153A66"/>
    <w:rsid w:val="00153C11"/>
    <w:rsid w:val="00153C19"/>
    <w:rsid w:val="00153CCB"/>
    <w:rsid w:val="00153D7B"/>
    <w:rsid w:val="00153E77"/>
    <w:rsid w:val="00153F11"/>
    <w:rsid w:val="00153FDD"/>
    <w:rsid w:val="00154012"/>
    <w:rsid w:val="0015421A"/>
    <w:rsid w:val="0015429B"/>
    <w:rsid w:val="00154327"/>
    <w:rsid w:val="001543BE"/>
    <w:rsid w:val="0015453A"/>
    <w:rsid w:val="001545C5"/>
    <w:rsid w:val="00154622"/>
    <w:rsid w:val="0015463E"/>
    <w:rsid w:val="0015469D"/>
    <w:rsid w:val="001546F2"/>
    <w:rsid w:val="00154726"/>
    <w:rsid w:val="001547C2"/>
    <w:rsid w:val="00154865"/>
    <w:rsid w:val="00154880"/>
    <w:rsid w:val="0015493F"/>
    <w:rsid w:val="00154A2F"/>
    <w:rsid w:val="00154A33"/>
    <w:rsid w:val="00154A58"/>
    <w:rsid w:val="00154AC4"/>
    <w:rsid w:val="00154B51"/>
    <w:rsid w:val="00154B67"/>
    <w:rsid w:val="00154BA2"/>
    <w:rsid w:val="00154C23"/>
    <w:rsid w:val="00154C4E"/>
    <w:rsid w:val="00154CD7"/>
    <w:rsid w:val="00154CF0"/>
    <w:rsid w:val="00154D3F"/>
    <w:rsid w:val="00154D77"/>
    <w:rsid w:val="00154EE3"/>
    <w:rsid w:val="00154F1A"/>
    <w:rsid w:val="00154F41"/>
    <w:rsid w:val="00154F4D"/>
    <w:rsid w:val="00155023"/>
    <w:rsid w:val="00155086"/>
    <w:rsid w:val="001550A7"/>
    <w:rsid w:val="00155136"/>
    <w:rsid w:val="0015513C"/>
    <w:rsid w:val="00155239"/>
    <w:rsid w:val="001552C0"/>
    <w:rsid w:val="00155364"/>
    <w:rsid w:val="0015536E"/>
    <w:rsid w:val="001554A0"/>
    <w:rsid w:val="0015553F"/>
    <w:rsid w:val="00155699"/>
    <w:rsid w:val="001556A7"/>
    <w:rsid w:val="001558A3"/>
    <w:rsid w:val="001559E8"/>
    <w:rsid w:val="00155AA0"/>
    <w:rsid w:val="00155B21"/>
    <w:rsid w:val="00155B54"/>
    <w:rsid w:val="00155C52"/>
    <w:rsid w:val="00155CE4"/>
    <w:rsid w:val="00155CEC"/>
    <w:rsid w:val="00155F0E"/>
    <w:rsid w:val="00155F23"/>
    <w:rsid w:val="00155FE1"/>
    <w:rsid w:val="00156041"/>
    <w:rsid w:val="00156068"/>
    <w:rsid w:val="001560E1"/>
    <w:rsid w:val="0015617F"/>
    <w:rsid w:val="001562F8"/>
    <w:rsid w:val="00156373"/>
    <w:rsid w:val="0015637A"/>
    <w:rsid w:val="0015638B"/>
    <w:rsid w:val="00156392"/>
    <w:rsid w:val="00156471"/>
    <w:rsid w:val="00156617"/>
    <w:rsid w:val="00156625"/>
    <w:rsid w:val="0015670B"/>
    <w:rsid w:val="00156714"/>
    <w:rsid w:val="00156804"/>
    <w:rsid w:val="0015681F"/>
    <w:rsid w:val="00156861"/>
    <w:rsid w:val="00156875"/>
    <w:rsid w:val="00156897"/>
    <w:rsid w:val="00156922"/>
    <w:rsid w:val="001569A2"/>
    <w:rsid w:val="001569DB"/>
    <w:rsid w:val="001569F7"/>
    <w:rsid w:val="00156A20"/>
    <w:rsid w:val="00156A3A"/>
    <w:rsid w:val="00156B1A"/>
    <w:rsid w:val="00156B44"/>
    <w:rsid w:val="00156C24"/>
    <w:rsid w:val="00156DDD"/>
    <w:rsid w:val="00156F83"/>
    <w:rsid w:val="00156FD9"/>
    <w:rsid w:val="00157012"/>
    <w:rsid w:val="00157116"/>
    <w:rsid w:val="001572C6"/>
    <w:rsid w:val="001572E5"/>
    <w:rsid w:val="0015737F"/>
    <w:rsid w:val="0015754A"/>
    <w:rsid w:val="0015756B"/>
    <w:rsid w:val="0015756F"/>
    <w:rsid w:val="001575E6"/>
    <w:rsid w:val="0015764B"/>
    <w:rsid w:val="0015778B"/>
    <w:rsid w:val="00157820"/>
    <w:rsid w:val="001579F6"/>
    <w:rsid w:val="00157A03"/>
    <w:rsid w:val="00157BFC"/>
    <w:rsid w:val="00157C33"/>
    <w:rsid w:val="00157CB3"/>
    <w:rsid w:val="00157D0F"/>
    <w:rsid w:val="00157D6A"/>
    <w:rsid w:val="00157D75"/>
    <w:rsid w:val="00157DDC"/>
    <w:rsid w:val="00157E4E"/>
    <w:rsid w:val="00157F1E"/>
    <w:rsid w:val="00157F8B"/>
    <w:rsid w:val="00160203"/>
    <w:rsid w:val="001602C1"/>
    <w:rsid w:val="00160316"/>
    <w:rsid w:val="00160330"/>
    <w:rsid w:val="00160372"/>
    <w:rsid w:val="001603F5"/>
    <w:rsid w:val="00160423"/>
    <w:rsid w:val="00160431"/>
    <w:rsid w:val="00160472"/>
    <w:rsid w:val="00160673"/>
    <w:rsid w:val="001606CB"/>
    <w:rsid w:val="00160834"/>
    <w:rsid w:val="00160ABE"/>
    <w:rsid w:val="00160C15"/>
    <w:rsid w:val="00160C3B"/>
    <w:rsid w:val="00160DDE"/>
    <w:rsid w:val="00160EF2"/>
    <w:rsid w:val="00160F55"/>
    <w:rsid w:val="0016105B"/>
    <w:rsid w:val="001610BE"/>
    <w:rsid w:val="001610FB"/>
    <w:rsid w:val="00161282"/>
    <w:rsid w:val="001612FA"/>
    <w:rsid w:val="00161512"/>
    <w:rsid w:val="00161661"/>
    <w:rsid w:val="001618C6"/>
    <w:rsid w:val="001619D0"/>
    <w:rsid w:val="00161A04"/>
    <w:rsid w:val="00161ABA"/>
    <w:rsid w:val="00161AE5"/>
    <w:rsid w:val="00161B3D"/>
    <w:rsid w:val="00161C33"/>
    <w:rsid w:val="00161D75"/>
    <w:rsid w:val="00161DC8"/>
    <w:rsid w:val="00161E7E"/>
    <w:rsid w:val="00161F6B"/>
    <w:rsid w:val="00161FC0"/>
    <w:rsid w:val="0016210A"/>
    <w:rsid w:val="00162160"/>
    <w:rsid w:val="00162420"/>
    <w:rsid w:val="00162430"/>
    <w:rsid w:val="00162562"/>
    <w:rsid w:val="001625D9"/>
    <w:rsid w:val="0016262E"/>
    <w:rsid w:val="00162655"/>
    <w:rsid w:val="0016265D"/>
    <w:rsid w:val="00162660"/>
    <w:rsid w:val="001626B2"/>
    <w:rsid w:val="00162779"/>
    <w:rsid w:val="00162788"/>
    <w:rsid w:val="00162842"/>
    <w:rsid w:val="00162848"/>
    <w:rsid w:val="00162887"/>
    <w:rsid w:val="001628F5"/>
    <w:rsid w:val="00162928"/>
    <w:rsid w:val="0016299C"/>
    <w:rsid w:val="001629E2"/>
    <w:rsid w:val="00162A0B"/>
    <w:rsid w:val="00162A8B"/>
    <w:rsid w:val="00162C3B"/>
    <w:rsid w:val="00162C56"/>
    <w:rsid w:val="00162C6A"/>
    <w:rsid w:val="00162CCC"/>
    <w:rsid w:val="00162D02"/>
    <w:rsid w:val="00162E5C"/>
    <w:rsid w:val="00162E7D"/>
    <w:rsid w:val="00162F35"/>
    <w:rsid w:val="00163110"/>
    <w:rsid w:val="0016312B"/>
    <w:rsid w:val="00163138"/>
    <w:rsid w:val="001631F6"/>
    <w:rsid w:val="001631F7"/>
    <w:rsid w:val="0016322B"/>
    <w:rsid w:val="001632B8"/>
    <w:rsid w:val="001632F0"/>
    <w:rsid w:val="001632F5"/>
    <w:rsid w:val="00163563"/>
    <w:rsid w:val="0016358C"/>
    <w:rsid w:val="0016361F"/>
    <w:rsid w:val="0016362B"/>
    <w:rsid w:val="0016368C"/>
    <w:rsid w:val="00163750"/>
    <w:rsid w:val="001637A7"/>
    <w:rsid w:val="00163939"/>
    <w:rsid w:val="00163942"/>
    <w:rsid w:val="0016396E"/>
    <w:rsid w:val="00163974"/>
    <w:rsid w:val="00163979"/>
    <w:rsid w:val="00163A11"/>
    <w:rsid w:val="00163B22"/>
    <w:rsid w:val="00163C60"/>
    <w:rsid w:val="00163CCD"/>
    <w:rsid w:val="00163D75"/>
    <w:rsid w:val="00163E00"/>
    <w:rsid w:val="00163E95"/>
    <w:rsid w:val="00163EC5"/>
    <w:rsid w:val="00163EC8"/>
    <w:rsid w:val="00163F19"/>
    <w:rsid w:val="00163FB6"/>
    <w:rsid w:val="00163FE6"/>
    <w:rsid w:val="001641DE"/>
    <w:rsid w:val="00164299"/>
    <w:rsid w:val="001642AC"/>
    <w:rsid w:val="001643EC"/>
    <w:rsid w:val="00164450"/>
    <w:rsid w:val="001644A6"/>
    <w:rsid w:val="001644CF"/>
    <w:rsid w:val="00164539"/>
    <w:rsid w:val="001648C8"/>
    <w:rsid w:val="00164937"/>
    <w:rsid w:val="00164963"/>
    <w:rsid w:val="00164A4C"/>
    <w:rsid w:val="00164C16"/>
    <w:rsid w:val="00164C28"/>
    <w:rsid w:val="00164CAC"/>
    <w:rsid w:val="00164D15"/>
    <w:rsid w:val="00164D29"/>
    <w:rsid w:val="00164D95"/>
    <w:rsid w:val="00164DA0"/>
    <w:rsid w:val="00164E1C"/>
    <w:rsid w:val="00164E63"/>
    <w:rsid w:val="00164E9F"/>
    <w:rsid w:val="00164F9E"/>
    <w:rsid w:val="00164FCD"/>
    <w:rsid w:val="00164FDE"/>
    <w:rsid w:val="00165093"/>
    <w:rsid w:val="001650FE"/>
    <w:rsid w:val="00165117"/>
    <w:rsid w:val="00165138"/>
    <w:rsid w:val="00165223"/>
    <w:rsid w:val="00165452"/>
    <w:rsid w:val="00165459"/>
    <w:rsid w:val="00165483"/>
    <w:rsid w:val="001654DF"/>
    <w:rsid w:val="00165511"/>
    <w:rsid w:val="001655D3"/>
    <w:rsid w:val="001655D7"/>
    <w:rsid w:val="001655FA"/>
    <w:rsid w:val="00165629"/>
    <w:rsid w:val="0016567F"/>
    <w:rsid w:val="00165705"/>
    <w:rsid w:val="001657CD"/>
    <w:rsid w:val="001658FB"/>
    <w:rsid w:val="00165C5E"/>
    <w:rsid w:val="00165C63"/>
    <w:rsid w:val="00165DB3"/>
    <w:rsid w:val="00165E73"/>
    <w:rsid w:val="00165E93"/>
    <w:rsid w:val="00165ED0"/>
    <w:rsid w:val="00165F53"/>
    <w:rsid w:val="00165FB0"/>
    <w:rsid w:val="00166022"/>
    <w:rsid w:val="001660B8"/>
    <w:rsid w:val="0016615B"/>
    <w:rsid w:val="001661A3"/>
    <w:rsid w:val="001661FE"/>
    <w:rsid w:val="00166275"/>
    <w:rsid w:val="001662C5"/>
    <w:rsid w:val="001662E8"/>
    <w:rsid w:val="00166308"/>
    <w:rsid w:val="001663B5"/>
    <w:rsid w:val="001663F7"/>
    <w:rsid w:val="00166418"/>
    <w:rsid w:val="00166542"/>
    <w:rsid w:val="001665A3"/>
    <w:rsid w:val="001665C3"/>
    <w:rsid w:val="0016664C"/>
    <w:rsid w:val="001666D7"/>
    <w:rsid w:val="00166700"/>
    <w:rsid w:val="0016675E"/>
    <w:rsid w:val="0016676A"/>
    <w:rsid w:val="00166783"/>
    <w:rsid w:val="00166843"/>
    <w:rsid w:val="0016685E"/>
    <w:rsid w:val="001668C8"/>
    <w:rsid w:val="001668D1"/>
    <w:rsid w:val="00166968"/>
    <w:rsid w:val="001669E2"/>
    <w:rsid w:val="00166A69"/>
    <w:rsid w:val="00166A9F"/>
    <w:rsid w:val="00166AA6"/>
    <w:rsid w:val="00166AFD"/>
    <w:rsid w:val="00166B27"/>
    <w:rsid w:val="00166B32"/>
    <w:rsid w:val="00166B69"/>
    <w:rsid w:val="00166CE0"/>
    <w:rsid w:val="00166E20"/>
    <w:rsid w:val="00166E30"/>
    <w:rsid w:val="00166EF5"/>
    <w:rsid w:val="00166EF6"/>
    <w:rsid w:val="00166F0F"/>
    <w:rsid w:val="00166F7C"/>
    <w:rsid w:val="00166FE7"/>
    <w:rsid w:val="0016708E"/>
    <w:rsid w:val="001670CD"/>
    <w:rsid w:val="001672D6"/>
    <w:rsid w:val="0016736D"/>
    <w:rsid w:val="0016737E"/>
    <w:rsid w:val="001673A0"/>
    <w:rsid w:val="001674C2"/>
    <w:rsid w:val="0016762C"/>
    <w:rsid w:val="00167852"/>
    <w:rsid w:val="00167855"/>
    <w:rsid w:val="00167884"/>
    <w:rsid w:val="001678C0"/>
    <w:rsid w:val="001679E5"/>
    <w:rsid w:val="00167A48"/>
    <w:rsid w:val="00167B0F"/>
    <w:rsid w:val="00167B70"/>
    <w:rsid w:val="00167ECD"/>
    <w:rsid w:val="00167FF6"/>
    <w:rsid w:val="00170063"/>
    <w:rsid w:val="001700D0"/>
    <w:rsid w:val="00170167"/>
    <w:rsid w:val="00170198"/>
    <w:rsid w:val="00170286"/>
    <w:rsid w:val="0017035A"/>
    <w:rsid w:val="0017037E"/>
    <w:rsid w:val="0017037F"/>
    <w:rsid w:val="0017052D"/>
    <w:rsid w:val="001705F2"/>
    <w:rsid w:val="00170606"/>
    <w:rsid w:val="00170637"/>
    <w:rsid w:val="00170639"/>
    <w:rsid w:val="001706D6"/>
    <w:rsid w:val="00170727"/>
    <w:rsid w:val="0017078A"/>
    <w:rsid w:val="0017078B"/>
    <w:rsid w:val="00170862"/>
    <w:rsid w:val="0017086F"/>
    <w:rsid w:val="001708C7"/>
    <w:rsid w:val="001708DE"/>
    <w:rsid w:val="00170A46"/>
    <w:rsid w:val="00170AAE"/>
    <w:rsid w:val="00170C0D"/>
    <w:rsid w:val="00170C30"/>
    <w:rsid w:val="00170C4C"/>
    <w:rsid w:val="00170C61"/>
    <w:rsid w:val="00170C9F"/>
    <w:rsid w:val="00170CA4"/>
    <w:rsid w:val="00170D04"/>
    <w:rsid w:val="00170E31"/>
    <w:rsid w:val="001710E8"/>
    <w:rsid w:val="001712C4"/>
    <w:rsid w:val="001713C8"/>
    <w:rsid w:val="0017149F"/>
    <w:rsid w:val="0017153E"/>
    <w:rsid w:val="00171542"/>
    <w:rsid w:val="001715F6"/>
    <w:rsid w:val="00171608"/>
    <w:rsid w:val="00171715"/>
    <w:rsid w:val="00171716"/>
    <w:rsid w:val="00171788"/>
    <w:rsid w:val="001717F6"/>
    <w:rsid w:val="00171A4B"/>
    <w:rsid w:val="00171A9C"/>
    <w:rsid w:val="00171B8A"/>
    <w:rsid w:val="00171C21"/>
    <w:rsid w:val="00171D84"/>
    <w:rsid w:val="00171DB5"/>
    <w:rsid w:val="00171DB6"/>
    <w:rsid w:val="00171DD2"/>
    <w:rsid w:val="00171F0B"/>
    <w:rsid w:val="00171F21"/>
    <w:rsid w:val="00171F29"/>
    <w:rsid w:val="00171FE9"/>
    <w:rsid w:val="0017206A"/>
    <w:rsid w:val="0017210F"/>
    <w:rsid w:val="001721B9"/>
    <w:rsid w:val="001721EF"/>
    <w:rsid w:val="00172200"/>
    <w:rsid w:val="00172356"/>
    <w:rsid w:val="001723B1"/>
    <w:rsid w:val="00172420"/>
    <w:rsid w:val="0017243A"/>
    <w:rsid w:val="00172630"/>
    <w:rsid w:val="0017269B"/>
    <w:rsid w:val="00172831"/>
    <w:rsid w:val="001728B6"/>
    <w:rsid w:val="0017296D"/>
    <w:rsid w:val="00172A97"/>
    <w:rsid w:val="00172BCF"/>
    <w:rsid w:val="00172D05"/>
    <w:rsid w:val="00172E64"/>
    <w:rsid w:val="00173097"/>
    <w:rsid w:val="0017309C"/>
    <w:rsid w:val="001730C0"/>
    <w:rsid w:val="00173138"/>
    <w:rsid w:val="0017314D"/>
    <w:rsid w:val="00173324"/>
    <w:rsid w:val="00173362"/>
    <w:rsid w:val="00173363"/>
    <w:rsid w:val="00173471"/>
    <w:rsid w:val="001735B4"/>
    <w:rsid w:val="001736BD"/>
    <w:rsid w:val="001736DA"/>
    <w:rsid w:val="00173818"/>
    <w:rsid w:val="00173860"/>
    <w:rsid w:val="0017389C"/>
    <w:rsid w:val="001739AF"/>
    <w:rsid w:val="00173AFF"/>
    <w:rsid w:val="00173B15"/>
    <w:rsid w:val="00173B9A"/>
    <w:rsid w:val="00173BCA"/>
    <w:rsid w:val="00173BD7"/>
    <w:rsid w:val="00173BDD"/>
    <w:rsid w:val="00173BE4"/>
    <w:rsid w:val="00173C48"/>
    <w:rsid w:val="00173D50"/>
    <w:rsid w:val="00173DD7"/>
    <w:rsid w:val="00173DF0"/>
    <w:rsid w:val="00173E1B"/>
    <w:rsid w:val="00173E2F"/>
    <w:rsid w:val="00173E8A"/>
    <w:rsid w:val="00173F04"/>
    <w:rsid w:val="001740EB"/>
    <w:rsid w:val="00174141"/>
    <w:rsid w:val="00174157"/>
    <w:rsid w:val="0017433A"/>
    <w:rsid w:val="00174347"/>
    <w:rsid w:val="001745D1"/>
    <w:rsid w:val="001745D3"/>
    <w:rsid w:val="001747F6"/>
    <w:rsid w:val="001748AB"/>
    <w:rsid w:val="001748E1"/>
    <w:rsid w:val="00174AD1"/>
    <w:rsid w:val="00174D69"/>
    <w:rsid w:val="00174DD3"/>
    <w:rsid w:val="00174F62"/>
    <w:rsid w:val="0017522B"/>
    <w:rsid w:val="001753C2"/>
    <w:rsid w:val="001754EA"/>
    <w:rsid w:val="00175548"/>
    <w:rsid w:val="0017559A"/>
    <w:rsid w:val="001755F6"/>
    <w:rsid w:val="001756AD"/>
    <w:rsid w:val="001758A2"/>
    <w:rsid w:val="0017590A"/>
    <w:rsid w:val="00175991"/>
    <w:rsid w:val="001759D4"/>
    <w:rsid w:val="001759F1"/>
    <w:rsid w:val="00175A86"/>
    <w:rsid w:val="00175A88"/>
    <w:rsid w:val="00175AD8"/>
    <w:rsid w:val="00175AEA"/>
    <w:rsid w:val="00175B1D"/>
    <w:rsid w:val="00175CD7"/>
    <w:rsid w:val="00175D47"/>
    <w:rsid w:val="00175D9B"/>
    <w:rsid w:val="00175E6C"/>
    <w:rsid w:val="00175F06"/>
    <w:rsid w:val="00175F9E"/>
    <w:rsid w:val="00175FAC"/>
    <w:rsid w:val="0017609B"/>
    <w:rsid w:val="00176124"/>
    <w:rsid w:val="001761AD"/>
    <w:rsid w:val="0017633E"/>
    <w:rsid w:val="00176373"/>
    <w:rsid w:val="00176486"/>
    <w:rsid w:val="001765B7"/>
    <w:rsid w:val="00176692"/>
    <w:rsid w:val="001766B1"/>
    <w:rsid w:val="00176702"/>
    <w:rsid w:val="001767D0"/>
    <w:rsid w:val="00176877"/>
    <w:rsid w:val="001768B9"/>
    <w:rsid w:val="0017699E"/>
    <w:rsid w:val="001769ED"/>
    <w:rsid w:val="00176A5A"/>
    <w:rsid w:val="00176BC9"/>
    <w:rsid w:val="00176C5B"/>
    <w:rsid w:val="00176CBA"/>
    <w:rsid w:val="00176D1F"/>
    <w:rsid w:val="00176DE5"/>
    <w:rsid w:val="00176DF8"/>
    <w:rsid w:val="00176E8D"/>
    <w:rsid w:val="00176FA7"/>
    <w:rsid w:val="0017701F"/>
    <w:rsid w:val="001770B0"/>
    <w:rsid w:val="00177108"/>
    <w:rsid w:val="00177220"/>
    <w:rsid w:val="0017739C"/>
    <w:rsid w:val="0017740D"/>
    <w:rsid w:val="00177534"/>
    <w:rsid w:val="001777D6"/>
    <w:rsid w:val="001777F4"/>
    <w:rsid w:val="001778DA"/>
    <w:rsid w:val="00177926"/>
    <w:rsid w:val="0017798F"/>
    <w:rsid w:val="00177AE1"/>
    <w:rsid w:val="00177AEE"/>
    <w:rsid w:val="00177AFF"/>
    <w:rsid w:val="00177CDA"/>
    <w:rsid w:val="00177CF4"/>
    <w:rsid w:val="00177D1B"/>
    <w:rsid w:val="00177DD5"/>
    <w:rsid w:val="00177E42"/>
    <w:rsid w:val="00177E54"/>
    <w:rsid w:val="0018009C"/>
    <w:rsid w:val="001800CC"/>
    <w:rsid w:val="00180124"/>
    <w:rsid w:val="001802FC"/>
    <w:rsid w:val="0018034F"/>
    <w:rsid w:val="001803E5"/>
    <w:rsid w:val="00180414"/>
    <w:rsid w:val="001804C0"/>
    <w:rsid w:val="00180572"/>
    <w:rsid w:val="0018063F"/>
    <w:rsid w:val="0018069B"/>
    <w:rsid w:val="001806A2"/>
    <w:rsid w:val="0018078E"/>
    <w:rsid w:val="001807DB"/>
    <w:rsid w:val="00180895"/>
    <w:rsid w:val="00180B11"/>
    <w:rsid w:val="00180C04"/>
    <w:rsid w:val="00180C19"/>
    <w:rsid w:val="00180C61"/>
    <w:rsid w:val="00180D4C"/>
    <w:rsid w:val="00180DEB"/>
    <w:rsid w:val="00180E43"/>
    <w:rsid w:val="00180EB7"/>
    <w:rsid w:val="00180EDF"/>
    <w:rsid w:val="0018114E"/>
    <w:rsid w:val="0018122A"/>
    <w:rsid w:val="00181249"/>
    <w:rsid w:val="0018137B"/>
    <w:rsid w:val="001813A8"/>
    <w:rsid w:val="0018140D"/>
    <w:rsid w:val="0018147E"/>
    <w:rsid w:val="00181550"/>
    <w:rsid w:val="0018156B"/>
    <w:rsid w:val="001815EA"/>
    <w:rsid w:val="00181651"/>
    <w:rsid w:val="00181663"/>
    <w:rsid w:val="001817C5"/>
    <w:rsid w:val="00181931"/>
    <w:rsid w:val="00181939"/>
    <w:rsid w:val="0018193A"/>
    <w:rsid w:val="0018193D"/>
    <w:rsid w:val="00181A34"/>
    <w:rsid w:val="00181AC1"/>
    <w:rsid w:val="00181C02"/>
    <w:rsid w:val="00181D3E"/>
    <w:rsid w:val="00181E7E"/>
    <w:rsid w:val="00181FF7"/>
    <w:rsid w:val="00182031"/>
    <w:rsid w:val="00182037"/>
    <w:rsid w:val="001820F9"/>
    <w:rsid w:val="0018216A"/>
    <w:rsid w:val="00182261"/>
    <w:rsid w:val="00182413"/>
    <w:rsid w:val="001824C5"/>
    <w:rsid w:val="00182573"/>
    <w:rsid w:val="0018258A"/>
    <w:rsid w:val="001825A7"/>
    <w:rsid w:val="001825D5"/>
    <w:rsid w:val="00182608"/>
    <w:rsid w:val="0018276B"/>
    <w:rsid w:val="001827A4"/>
    <w:rsid w:val="0018283C"/>
    <w:rsid w:val="00182954"/>
    <w:rsid w:val="00182BC3"/>
    <w:rsid w:val="00182BFF"/>
    <w:rsid w:val="00182C70"/>
    <w:rsid w:val="00182C8D"/>
    <w:rsid w:val="00182C90"/>
    <w:rsid w:val="00182CA0"/>
    <w:rsid w:val="00182D3C"/>
    <w:rsid w:val="00182DB7"/>
    <w:rsid w:val="00182DDB"/>
    <w:rsid w:val="00182E32"/>
    <w:rsid w:val="00182EEC"/>
    <w:rsid w:val="00182EFD"/>
    <w:rsid w:val="00182F19"/>
    <w:rsid w:val="00182F59"/>
    <w:rsid w:val="00182FD0"/>
    <w:rsid w:val="00183011"/>
    <w:rsid w:val="00183039"/>
    <w:rsid w:val="001831EB"/>
    <w:rsid w:val="001833F3"/>
    <w:rsid w:val="001834FD"/>
    <w:rsid w:val="00183595"/>
    <w:rsid w:val="001835F5"/>
    <w:rsid w:val="0018391B"/>
    <w:rsid w:val="001839B2"/>
    <w:rsid w:val="001839EE"/>
    <w:rsid w:val="00183B13"/>
    <w:rsid w:val="00183B34"/>
    <w:rsid w:val="00183B67"/>
    <w:rsid w:val="00183B86"/>
    <w:rsid w:val="00183C68"/>
    <w:rsid w:val="00183C7C"/>
    <w:rsid w:val="00183CA8"/>
    <w:rsid w:val="00183CE6"/>
    <w:rsid w:val="00183CE8"/>
    <w:rsid w:val="00183E61"/>
    <w:rsid w:val="00183EF3"/>
    <w:rsid w:val="00183F0C"/>
    <w:rsid w:val="00184014"/>
    <w:rsid w:val="00184030"/>
    <w:rsid w:val="0018412B"/>
    <w:rsid w:val="00184201"/>
    <w:rsid w:val="00184247"/>
    <w:rsid w:val="00184372"/>
    <w:rsid w:val="001843DF"/>
    <w:rsid w:val="00184476"/>
    <w:rsid w:val="001844CD"/>
    <w:rsid w:val="001844F2"/>
    <w:rsid w:val="001845D5"/>
    <w:rsid w:val="001845DF"/>
    <w:rsid w:val="00184600"/>
    <w:rsid w:val="001846DE"/>
    <w:rsid w:val="00184789"/>
    <w:rsid w:val="00184798"/>
    <w:rsid w:val="00184806"/>
    <w:rsid w:val="00184853"/>
    <w:rsid w:val="00184871"/>
    <w:rsid w:val="0018487B"/>
    <w:rsid w:val="001848A4"/>
    <w:rsid w:val="00184902"/>
    <w:rsid w:val="00184AE7"/>
    <w:rsid w:val="00184C6E"/>
    <w:rsid w:val="00184CF0"/>
    <w:rsid w:val="00184D1E"/>
    <w:rsid w:val="00184D5D"/>
    <w:rsid w:val="00184EAE"/>
    <w:rsid w:val="00184EAF"/>
    <w:rsid w:val="00184F47"/>
    <w:rsid w:val="00184FB1"/>
    <w:rsid w:val="00184FD8"/>
    <w:rsid w:val="00184FF6"/>
    <w:rsid w:val="00185110"/>
    <w:rsid w:val="00185206"/>
    <w:rsid w:val="00185237"/>
    <w:rsid w:val="00185253"/>
    <w:rsid w:val="001853F5"/>
    <w:rsid w:val="00185494"/>
    <w:rsid w:val="001854CB"/>
    <w:rsid w:val="0018557F"/>
    <w:rsid w:val="0018566A"/>
    <w:rsid w:val="001856EA"/>
    <w:rsid w:val="00185732"/>
    <w:rsid w:val="001858A2"/>
    <w:rsid w:val="00185947"/>
    <w:rsid w:val="00185998"/>
    <w:rsid w:val="001859BB"/>
    <w:rsid w:val="00185A68"/>
    <w:rsid w:val="00185AC7"/>
    <w:rsid w:val="00185AEC"/>
    <w:rsid w:val="00185BCE"/>
    <w:rsid w:val="00185C40"/>
    <w:rsid w:val="00185D09"/>
    <w:rsid w:val="00185E39"/>
    <w:rsid w:val="00185E89"/>
    <w:rsid w:val="00185F58"/>
    <w:rsid w:val="00186150"/>
    <w:rsid w:val="001862E9"/>
    <w:rsid w:val="001864FE"/>
    <w:rsid w:val="00186544"/>
    <w:rsid w:val="001865B5"/>
    <w:rsid w:val="001865BD"/>
    <w:rsid w:val="001866FE"/>
    <w:rsid w:val="001867C9"/>
    <w:rsid w:val="001867D1"/>
    <w:rsid w:val="001868BD"/>
    <w:rsid w:val="001868E8"/>
    <w:rsid w:val="00186938"/>
    <w:rsid w:val="0018695B"/>
    <w:rsid w:val="00186BB1"/>
    <w:rsid w:val="00186C1C"/>
    <w:rsid w:val="00186CA0"/>
    <w:rsid w:val="00186DEC"/>
    <w:rsid w:val="00186E28"/>
    <w:rsid w:val="00186E3A"/>
    <w:rsid w:val="00186E95"/>
    <w:rsid w:val="00186FA7"/>
    <w:rsid w:val="001870A5"/>
    <w:rsid w:val="0018734B"/>
    <w:rsid w:val="00187357"/>
    <w:rsid w:val="001873C4"/>
    <w:rsid w:val="0018759B"/>
    <w:rsid w:val="00187630"/>
    <w:rsid w:val="001876C6"/>
    <w:rsid w:val="00187895"/>
    <w:rsid w:val="00187898"/>
    <w:rsid w:val="00187A06"/>
    <w:rsid w:val="00187A54"/>
    <w:rsid w:val="00187A7D"/>
    <w:rsid w:val="00187BD7"/>
    <w:rsid w:val="00187BD9"/>
    <w:rsid w:val="00187C5D"/>
    <w:rsid w:val="00187C86"/>
    <w:rsid w:val="00187C93"/>
    <w:rsid w:val="00187E13"/>
    <w:rsid w:val="00187E6A"/>
    <w:rsid w:val="0019014A"/>
    <w:rsid w:val="0019014C"/>
    <w:rsid w:val="0019015A"/>
    <w:rsid w:val="0019024A"/>
    <w:rsid w:val="001903DC"/>
    <w:rsid w:val="00190423"/>
    <w:rsid w:val="0019043E"/>
    <w:rsid w:val="001904BC"/>
    <w:rsid w:val="00190523"/>
    <w:rsid w:val="0019054E"/>
    <w:rsid w:val="001905E2"/>
    <w:rsid w:val="00190626"/>
    <w:rsid w:val="00190635"/>
    <w:rsid w:val="0019064A"/>
    <w:rsid w:val="00190845"/>
    <w:rsid w:val="0019093D"/>
    <w:rsid w:val="001909C4"/>
    <w:rsid w:val="001909F7"/>
    <w:rsid w:val="00190C50"/>
    <w:rsid w:val="00190C66"/>
    <w:rsid w:val="00190CD6"/>
    <w:rsid w:val="00190D28"/>
    <w:rsid w:val="00190F88"/>
    <w:rsid w:val="00190FDD"/>
    <w:rsid w:val="001910A9"/>
    <w:rsid w:val="00191117"/>
    <w:rsid w:val="001912B4"/>
    <w:rsid w:val="0019134B"/>
    <w:rsid w:val="00191360"/>
    <w:rsid w:val="001914DA"/>
    <w:rsid w:val="0019155E"/>
    <w:rsid w:val="001915BE"/>
    <w:rsid w:val="0019161D"/>
    <w:rsid w:val="001916CE"/>
    <w:rsid w:val="0019184F"/>
    <w:rsid w:val="001918A7"/>
    <w:rsid w:val="001918FB"/>
    <w:rsid w:val="00191906"/>
    <w:rsid w:val="0019192F"/>
    <w:rsid w:val="00191938"/>
    <w:rsid w:val="00191A5A"/>
    <w:rsid w:val="00191A7F"/>
    <w:rsid w:val="00191A91"/>
    <w:rsid w:val="00191B21"/>
    <w:rsid w:val="00191BFC"/>
    <w:rsid w:val="00191C2E"/>
    <w:rsid w:val="00191DDA"/>
    <w:rsid w:val="00191E67"/>
    <w:rsid w:val="00192008"/>
    <w:rsid w:val="0019213B"/>
    <w:rsid w:val="00192183"/>
    <w:rsid w:val="001921E5"/>
    <w:rsid w:val="0019235D"/>
    <w:rsid w:val="00192392"/>
    <w:rsid w:val="00192450"/>
    <w:rsid w:val="001924F3"/>
    <w:rsid w:val="00192533"/>
    <w:rsid w:val="001926EC"/>
    <w:rsid w:val="00192777"/>
    <w:rsid w:val="001929F0"/>
    <w:rsid w:val="00192A68"/>
    <w:rsid w:val="00192B4C"/>
    <w:rsid w:val="00192BAA"/>
    <w:rsid w:val="00192DF8"/>
    <w:rsid w:val="00192F13"/>
    <w:rsid w:val="00192FA3"/>
    <w:rsid w:val="0019320B"/>
    <w:rsid w:val="00193231"/>
    <w:rsid w:val="001932A8"/>
    <w:rsid w:val="001932AF"/>
    <w:rsid w:val="001932F0"/>
    <w:rsid w:val="00193417"/>
    <w:rsid w:val="001934EB"/>
    <w:rsid w:val="0019363D"/>
    <w:rsid w:val="00193735"/>
    <w:rsid w:val="001937DE"/>
    <w:rsid w:val="0019384C"/>
    <w:rsid w:val="00193BB4"/>
    <w:rsid w:val="00193BE8"/>
    <w:rsid w:val="00193CB8"/>
    <w:rsid w:val="00193CD9"/>
    <w:rsid w:val="00193DA1"/>
    <w:rsid w:val="00193DCE"/>
    <w:rsid w:val="00193FF2"/>
    <w:rsid w:val="00193FFC"/>
    <w:rsid w:val="001940BF"/>
    <w:rsid w:val="00194102"/>
    <w:rsid w:val="00194197"/>
    <w:rsid w:val="001941B5"/>
    <w:rsid w:val="00194211"/>
    <w:rsid w:val="00194220"/>
    <w:rsid w:val="001942BD"/>
    <w:rsid w:val="001942DC"/>
    <w:rsid w:val="00194346"/>
    <w:rsid w:val="0019437E"/>
    <w:rsid w:val="00194820"/>
    <w:rsid w:val="0019483F"/>
    <w:rsid w:val="0019498B"/>
    <w:rsid w:val="001949BD"/>
    <w:rsid w:val="00194A12"/>
    <w:rsid w:val="00194A65"/>
    <w:rsid w:val="00194AFC"/>
    <w:rsid w:val="00194B8A"/>
    <w:rsid w:val="00194D72"/>
    <w:rsid w:val="00194E6C"/>
    <w:rsid w:val="00194F2C"/>
    <w:rsid w:val="00195000"/>
    <w:rsid w:val="00195078"/>
    <w:rsid w:val="00195420"/>
    <w:rsid w:val="00195431"/>
    <w:rsid w:val="00195463"/>
    <w:rsid w:val="0019547A"/>
    <w:rsid w:val="00195515"/>
    <w:rsid w:val="001955BD"/>
    <w:rsid w:val="00195760"/>
    <w:rsid w:val="001957C8"/>
    <w:rsid w:val="0019588D"/>
    <w:rsid w:val="0019599C"/>
    <w:rsid w:val="001959BB"/>
    <w:rsid w:val="00195A60"/>
    <w:rsid w:val="00195BE6"/>
    <w:rsid w:val="00195C23"/>
    <w:rsid w:val="00195C2D"/>
    <w:rsid w:val="00195D19"/>
    <w:rsid w:val="00195E28"/>
    <w:rsid w:val="00195ED8"/>
    <w:rsid w:val="00195FE8"/>
    <w:rsid w:val="00196034"/>
    <w:rsid w:val="0019615B"/>
    <w:rsid w:val="0019616F"/>
    <w:rsid w:val="0019623B"/>
    <w:rsid w:val="00196336"/>
    <w:rsid w:val="001963A9"/>
    <w:rsid w:val="001963D8"/>
    <w:rsid w:val="00196419"/>
    <w:rsid w:val="00196490"/>
    <w:rsid w:val="0019650C"/>
    <w:rsid w:val="0019657D"/>
    <w:rsid w:val="00196589"/>
    <w:rsid w:val="00196680"/>
    <w:rsid w:val="0019671C"/>
    <w:rsid w:val="0019680E"/>
    <w:rsid w:val="001968F2"/>
    <w:rsid w:val="00196A60"/>
    <w:rsid w:val="00196ACF"/>
    <w:rsid w:val="00196B1B"/>
    <w:rsid w:val="00196B2E"/>
    <w:rsid w:val="00196C00"/>
    <w:rsid w:val="00196C64"/>
    <w:rsid w:val="00196C75"/>
    <w:rsid w:val="00196D83"/>
    <w:rsid w:val="00196DD7"/>
    <w:rsid w:val="00196E25"/>
    <w:rsid w:val="00196E62"/>
    <w:rsid w:val="00196EAE"/>
    <w:rsid w:val="00196F2A"/>
    <w:rsid w:val="00196F32"/>
    <w:rsid w:val="001970CC"/>
    <w:rsid w:val="001970F5"/>
    <w:rsid w:val="00197127"/>
    <w:rsid w:val="00197139"/>
    <w:rsid w:val="0019717E"/>
    <w:rsid w:val="001971AD"/>
    <w:rsid w:val="0019722D"/>
    <w:rsid w:val="00197318"/>
    <w:rsid w:val="00197330"/>
    <w:rsid w:val="0019741A"/>
    <w:rsid w:val="00197434"/>
    <w:rsid w:val="0019771E"/>
    <w:rsid w:val="0019778E"/>
    <w:rsid w:val="001977A8"/>
    <w:rsid w:val="00197947"/>
    <w:rsid w:val="00197A32"/>
    <w:rsid w:val="00197A7A"/>
    <w:rsid w:val="00197A93"/>
    <w:rsid w:val="00197B90"/>
    <w:rsid w:val="00197BF4"/>
    <w:rsid w:val="00197C42"/>
    <w:rsid w:val="00197D24"/>
    <w:rsid w:val="00197FBD"/>
    <w:rsid w:val="001A0019"/>
    <w:rsid w:val="001A004F"/>
    <w:rsid w:val="001A01AF"/>
    <w:rsid w:val="001A020C"/>
    <w:rsid w:val="001A021F"/>
    <w:rsid w:val="001A069A"/>
    <w:rsid w:val="001A06DB"/>
    <w:rsid w:val="001A0741"/>
    <w:rsid w:val="001A07D6"/>
    <w:rsid w:val="001A081B"/>
    <w:rsid w:val="001A0825"/>
    <w:rsid w:val="001A08A3"/>
    <w:rsid w:val="001A08C1"/>
    <w:rsid w:val="001A08D3"/>
    <w:rsid w:val="001A09A9"/>
    <w:rsid w:val="001A0A31"/>
    <w:rsid w:val="001A0A7F"/>
    <w:rsid w:val="001A0AB8"/>
    <w:rsid w:val="001A0B30"/>
    <w:rsid w:val="001A0B46"/>
    <w:rsid w:val="001A0B49"/>
    <w:rsid w:val="001A0BAA"/>
    <w:rsid w:val="001A0C65"/>
    <w:rsid w:val="001A0C79"/>
    <w:rsid w:val="001A0CC4"/>
    <w:rsid w:val="001A0CEB"/>
    <w:rsid w:val="001A0DD2"/>
    <w:rsid w:val="001A104A"/>
    <w:rsid w:val="001A11D9"/>
    <w:rsid w:val="001A122D"/>
    <w:rsid w:val="001A1238"/>
    <w:rsid w:val="001A1245"/>
    <w:rsid w:val="001A1391"/>
    <w:rsid w:val="001A1394"/>
    <w:rsid w:val="001A140C"/>
    <w:rsid w:val="001A1465"/>
    <w:rsid w:val="001A166B"/>
    <w:rsid w:val="001A1892"/>
    <w:rsid w:val="001A19A3"/>
    <w:rsid w:val="001A19C7"/>
    <w:rsid w:val="001A19E1"/>
    <w:rsid w:val="001A1A07"/>
    <w:rsid w:val="001A1A99"/>
    <w:rsid w:val="001A1ABB"/>
    <w:rsid w:val="001A1AF2"/>
    <w:rsid w:val="001A1B4D"/>
    <w:rsid w:val="001A1BEE"/>
    <w:rsid w:val="001A1C07"/>
    <w:rsid w:val="001A1C15"/>
    <w:rsid w:val="001A1CD9"/>
    <w:rsid w:val="001A1D3B"/>
    <w:rsid w:val="001A1D79"/>
    <w:rsid w:val="001A1DB0"/>
    <w:rsid w:val="001A1DD4"/>
    <w:rsid w:val="001A1E9C"/>
    <w:rsid w:val="001A1EAD"/>
    <w:rsid w:val="001A1EBE"/>
    <w:rsid w:val="001A1F09"/>
    <w:rsid w:val="001A2054"/>
    <w:rsid w:val="001A20F7"/>
    <w:rsid w:val="001A21AC"/>
    <w:rsid w:val="001A21CF"/>
    <w:rsid w:val="001A23A4"/>
    <w:rsid w:val="001A23AD"/>
    <w:rsid w:val="001A23DF"/>
    <w:rsid w:val="001A2408"/>
    <w:rsid w:val="001A2509"/>
    <w:rsid w:val="001A254D"/>
    <w:rsid w:val="001A25B2"/>
    <w:rsid w:val="001A25D2"/>
    <w:rsid w:val="001A25E4"/>
    <w:rsid w:val="001A2660"/>
    <w:rsid w:val="001A26B0"/>
    <w:rsid w:val="001A26E4"/>
    <w:rsid w:val="001A274D"/>
    <w:rsid w:val="001A2769"/>
    <w:rsid w:val="001A28B8"/>
    <w:rsid w:val="001A290A"/>
    <w:rsid w:val="001A2952"/>
    <w:rsid w:val="001A2A2F"/>
    <w:rsid w:val="001A2B70"/>
    <w:rsid w:val="001A2B7C"/>
    <w:rsid w:val="001A2C08"/>
    <w:rsid w:val="001A2CD0"/>
    <w:rsid w:val="001A2D6B"/>
    <w:rsid w:val="001A2E95"/>
    <w:rsid w:val="001A2FB2"/>
    <w:rsid w:val="001A2FCD"/>
    <w:rsid w:val="001A2FEC"/>
    <w:rsid w:val="001A311A"/>
    <w:rsid w:val="001A324B"/>
    <w:rsid w:val="001A338F"/>
    <w:rsid w:val="001A3471"/>
    <w:rsid w:val="001A375B"/>
    <w:rsid w:val="001A377D"/>
    <w:rsid w:val="001A37FB"/>
    <w:rsid w:val="001A382B"/>
    <w:rsid w:val="001A3A3C"/>
    <w:rsid w:val="001A3A53"/>
    <w:rsid w:val="001A3AE2"/>
    <w:rsid w:val="001A3AEE"/>
    <w:rsid w:val="001A3B01"/>
    <w:rsid w:val="001A3B1D"/>
    <w:rsid w:val="001A3C22"/>
    <w:rsid w:val="001A3CC8"/>
    <w:rsid w:val="001A3CCF"/>
    <w:rsid w:val="001A3EA0"/>
    <w:rsid w:val="001A41C0"/>
    <w:rsid w:val="001A421D"/>
    <w:rsid w:val="001A4487"/>
    <w:rsid w:val="001A44D1"/>
    <w:rsid w:val="001A453D"/>
    <w:rsid w:val="001A45DC"/>
    <w:rsid w:val="001A460E"/>
    <w:rsid w:val="001A46AB"/>
    <w:rsid w:val="001A46CA"/>
    <w:rsid w:val="001A475D"/>
    <w:rsid w:val="001A4791"/>
    <w:rsid w:val="001A47C9"/>
    <w:rsid w:val="001A4890"/>
    <w:rsid w:val="001A49AB"/>
    <w:rsid w:val="001A4A37"/>
    <w:rsid w:val="001A4BCA"/>
    <w:rsid w:val="001A4BCC"/>
    <w:rsid w:val="001A4C49"/>
    <w:rsid w:val="001A4CAD"/>
    <w:rsid w:val="001A4CF6"/>
    <w:rsid w:val="001A4DF1"/>
    <w:rsid w:val="001A4E7C"/>
    <w:rsid w:val="001A4E8B"/>
    <w:rsid w:val="001A4FD8"/>
    <w:rsid w:val="001A51BE"/>
    <w:rsid w:val="001A5271"/>
    <w:rsid w:val="001A531B"/>
    <w:rsid w:val="001A5447"/>
    <w:rsid w:val="001A5458"/>
    <w:rsid w:val="001A54D2"/>
    <w:rsid w:val="001A5502"/>
    <w:rsid w:val="001A5539"/>
    <w:rsid w:val="001A5578"/>
    <w:rsid w:val="001A57D6"/>
    <w:rsid w:val="001A5810"/>
    <w:rsid w:val="001A5840"/>
    <w:rsid w:val="001A5948"/>
    <w:rsid w:val="001A59CA"/>
    <w:rsid w:val="001A59EB"/>
    <w:rsid w:val="001A59F9"/>
    <w:rsid w:val="001A59FA"/>
    <w:rsid w:val="001A5A10"/>
    <w:rsid w:val="001A5A45"/>
    <w:rsid w:val="001A5B1B"/>
    <w:rsid w:val="001A5BAD"/>
    <w:rsid w:val="001A5C15"/>
    <w:rsid w:val="001A5CDC"/>
    <w:rsid w:val="001A5D2C"/>
    <w:rsid w:val="001A5D3E"/>
    <w:rsid w:val="001A5DF1"/>
    <w:rsid w:val="001A5E09"/>
    <w:rsid w:val="001A5EAC"/>
    <w:rsid w:val="001A5ED7"/>
    <w:rsid w:val="001A605E"/>
    <w:rsid w:val="001A6067"/>
    <w:rsid w:val="001A6078"/>
    <w:rsid w:val="001A6110"/>
    <w:rsid w:val="001A6127"/>
    <w:rsid w:val="001A61A7"/>
    <w:rsid w:val="001A6245"/>
    <w:rsid w:val="001A62B3"/>
    <w:rsid w:val="001A62EA"/>
    <w:rsid w:val="001A6364"/>
    <w:rsid w:val="001A64F7"/>
    <w:rsid w:val="001A671E"/>
    <w:rsid w:val="001A67AC"/>
    <w:rsid w:val="001A6B46"/>
    <w:rsid w:val="001A6BDC"/>
    <w:rsid w:val="001A6C12"/>
    <w:rsid w:val="001A6CB5"/>
    <w:rsid w:val="001A6D55"/>
    <w:rsid w:val="001A6F27"/>
    <w:rsid w:val="001A6FB8"/>
    <w:rsid w:val="001A7032"/>
    <w:rsid w:val="001A7264"/>
    <w:rsid w:val="001A726F"/>
    <w:rsid w:val="001A736F"/>
    <w:rsid w:val="001A745C"/>
    <w:rsid w:val="001A74B1"/>
    <w:rsid w:val="001A76E4"/>
    <w:rsid w:val="001A77BC"/>
    <w:rsid w:val="001A788C"/>
    <w:rsid w:val="001A79A1"/>
    <w:rsid w:val="001A79B9"/>
    <w:rsid w:val="001A79CE"/>
    <w:rsid w:val="001A7A21"/>
    <w:rsid w:val="001A7A93"/>
    <w:rsid w:val="001A7ABB"/>
    <w:rsid w:val="001A7AD1"/>
    <w:rsid w:val="001A7BA0"/>
    <w:rsid w:val="001A7BBB"/>
    <w:rsid w:val="001A7C06"/>
    <w:rsid w:val="001A7D0F"/>
    <w:rsid w:val="001A7DEB"/>
    <w:rsid w:val="001A7E67"/>
    <w:rsid w:val="001A7EFF"/>
    <w:rsid w:val="001A7F77"/>
    <w:rsid w:val="001A7F90"/>
    <w:rsid w:val="001A7FBA"/>
    <w:rsid w:val="001B002B"/>
    <w:rsid w:val="001B0113"/>
    <w:rsid w:val="001B0185"/>
    <w:rsid w:val="001B020E"/>
    <w:rsid w:val="001B0256"/>
    <w:rsid w:val="001B0260"/>
    <w:rsid w:val="001B026A"/>
    <w:rsid w:val="001B028B"/>
    <w:rsid w:val="001B02CD"/>
    <w:rsid w:val="001B02F5"/>
    <w:rsid w:val="001B0417"/>
    <w:rsid w:val="001B0695"/>
    <w:rsid w:val="001B072A"/>
    <w:rsid w:val="001B075F"/>
    <w:rsid w:val="001B07CC"/>
    <w:rsid w:val="001B08AC"/>
    <w:rsid w:val="001B0A4A"/>
    <w:rsid w:val="001B0A9A"/>
    <w:rsid w:val="001B0BE6"/>
    <w:rsid w:val="001B0C1C"/>
    <w:rsid w:val="001B0C2D"/>
    <w:rsid w:val="001B0C5D"/>
    <w:rsid w:val="001B0C74"/>
    <w:rsid w:val="001B0CFA"/>
    <w:rsid w:val="001B0D86"/>
    <w:rsid w:val="001B0DF6"/>
    <w:rsid w:val="001B0E2E"/>
    <w:rsid w:val="001B0E88"/>
    <w:rsid w:val="001B0F40"/>
    <w:rsid w:val="001B10FC"/>
    <w:rsid w:val="001B1177"/>
    <w:rsid w:val="001B119C"/>
    <w:rsid w:val="001B11D4"/>
    <w:rsid w:val="001B12EB"/>
    <w:rsid w:val="001B1432"/>
    <w:rsid w:val="001B147D"/>
    <w:rsid w:val="001B14D2"/>
    <w:rsid w:val="001B150C"/>
    <w:rsid w:val="001B1530"/>
    <w:rsid w:val="001B15B7"/>
    <w:rsid w:val="001B1656"/>
    <w:rsid w:val="001B170D"/>
    <w:rsid w:val="001B1715"/>
    <w:rsid w:val="001B176C"/>
    <w:rsid w:val="001B177E"/>
    <w:rsid w:val="001B17BD"/>
    <w:rsid w:val="001B1957"/>
    <w:rsid w:val="001B1983"/>
    <w:rsid w:val="001B19DE"/>
    <w:rsid w:val="001B1A42"/>
    <w:rsid w:val="001B1B89"/>
    <w:rsid w:val="001B1BCD"/>
    <w:rsid w:val="001B1CB3"/>
    <w:rsid w:val="001B1D07"/>
    <w:rsid w:val="001B1DCA"/>
    <w:rsid w:val="001B1E0F"/>
    <w:rsid w:val="001B1E40"/>
    <w:rsid w:val="001B1E81"/>
    <w:rsid w:val="001B1FC3"/>
    <w:rsid w:val="001B20AC"/>
    <w:rsid w:val="001B20F8"/>
    <w:rsid w:val="001B217E"/>
    <w:rsid w:val="001B2181"/>
    <w:rsid w:val="001B2189"/>
    <w:rsid w:val="001B2257"/>
    <w:rsid w:val="001B2293"/>
    <w:rsid w:val="001B22D5"/>
    <w:rsid w:val="001B23E1"/>
    <w:rsid w:val="001B2462"/>
    <w:rsid w:val="001B249C"/>
    <w:rsid w:val="001B256F"/>
    <w:rsid w:val="001B25E1"/>
    <w:rsid w:val="001B25F0"/>
    <w:rsid w:val="001B2660"/>
    <w:rsid w:val="001B26AB"/>
    <w:rsid w:val="001B26F3"/>
    <w:rsid w:val="001B28CB"/>
    <w:rsid w:val="001B2909"/>
    <w:rsid w:val="001B2913"/>
    <w:rsid w:val="001B2944"/>
    <w:rsid w:val="001B297A"/>
    <w:rsid w:val="001B2983"/>
    <w:rsid w:val="001B29D7"/>
    <w:rsid w:val="001B2ADA"/>
    <w:rsid w:val="001B2C3B"/>
    <w:rsid w:val="001B2CA0"/>
    <w:rsid w:val="001B2CD3"/>
    <w:rsid w:val="001B2D39"/>
    <w:rsid w:val="001B2DE4"/>
    <w:rsid w:val="001B2ECC"/>
    <w:rsid w:val="001B30A7"/>
    <w:rsid w:val="001B3398"/>
    <w:rsid w:val="001B33C6"/>
    <w:rsid w:val="001B344C"/>
    <w:rsid w:val="001B346F"/>
    <w:rsid w:val="001B34CB"/>
    <w:rsid w:val="001B353A"/>
    <w:rsid w:val="001B3609"/>
    <w:rsid w:val="001B36B2"/>
    <w:rsid w:val="001B3824"/>
    <w:rsid w:val="001B3844"/>
    <w:rsid w:val="001B3872"/>
    <w:rsid w:val="001B3885"/>
    <w:rsid w:val="001B38CB"/>
    <w:rsid w:val="001B38DF"/>
    <w:rsid w:val="001B3917"/>
    <w:rsid w:val="001B39E2"/>
    <w:rsid w:val="001B3B0B"/>
    <w:rsid w:val="001B3C5D"/>
    <w:rsid w:val="001B3C7A"/>
    <w:rsid w:val="001B3CBA"/>
    <w:rsid w:val="001B3CF4"/>
    <w:rsid w:val="001B3D12"/>
    <w:rsid w:val="001B3E56"/>
    <w:rsid w:val="001B3EE1"/>
    <w:rsid w:val="001B401A"/>
    <w:rsid w:val="001B403C"/>
    <w:rsid w:val="001B4097"/>
    <w:rsid w:val="001B4188"/>
    <w:rsid w:val="001B423A"/>
    <w:rsid w:val="001B42DB"/>
    <w:rsid w:val="001B42EA"/>
    <w:rsid w:val="001B42F5"/>
    <w:rsid w:val="001B42FA"/>
    <w:rsid w:val="001B43B6"/>
    <w:rsid w:val="001B43B8"/>
    <w:rsid w:val="001B445D"/>
    <w:rsid w:val="001B4464"/>
    <w:rsid w:val="001B4595"/>
    <w:rsid w:val="001B460F"/>
    <w:rsid w:val="001B4746"/>
    <w:rsid w:val="001B47D1"/>
    <w:rsid w:val="001B48FD"/>
    <w:rsid w:val="001B493D"/>
    <w:rsid w:val="001B49DC"/>
    <w:rsid w:val="001B49E1"/>
    <w:rsid w:val="001B4A43"/>
    <w:rsid w:val="001B4ADE"/>
    <w:rsid w:val="001B4B21"/>
    <w:rsid w:val="001B4CB2"/>
    <w:rsid w:val="001B4DDE"/>
    <w:rsid w:val="001B4F1C"/>
    <w:rsid w:val="001B4F24"/>
    <w:rsid w:val="001B502D"/>
    <w:rsid w:val="001B508B"/>
    <w:rsid w:val="001B51F4"/>
    <w:rsid w:val="001B527E"/>
    <w:rsid w:val="001B5293"/>
    <w:rsid w:val="001B5296"/>
    <w:rsid w:val="001B53B4"/>
    <w:rsid w:val="001B555D"/>
    <w:rsid w:val="001B5676"/>
    <w:rsid w:val="001B56CA"/>
    <w:rsid w:val="001B5729"/>
    <w:rsid w:val="001B5777"/>
    <w:rsid w:val="001B585E"/>
    <w:rsid w:val="001B5879"/>
    <w:rsid w:val="001B589C"/>
    <w:rsid w:val="001B593F"/>
    <w:rsid w:val="001B5AC5"/>
    <w:rsid w:val="001B5B9D"/>
    <w:rsid w:val="001B5BF4"/>
    <w:rsid w:val="001B5C08"/>
    <w:rsid w:val="001B5C98"/>
    <w:rsid w:val="001B5CCB"/>
    <w:rsid w:val="001B5E22"/>
    <w:rsid w:val="001B5EEA"/>
    <w:rsid w:val="001B5EF3"/>
    <w:rsid w:val="001B5F24"/>
    <w:rsid w:val="001B607F"/>
    <w:rsid w:val="001B60E0"/>
    <w:rsid w:val="001B60F7"/>
    <w:rsid w:val="001B6123"/>
    <w:rsid w:val="001B616C"/>
    <w:rsid w:val="001B630F"/>
    <w:rsid w:val="001B643B"/>
    <w:rsid w:val="001B64D3"/>
    <w:rsid w:val="001B6520"/>
    <w:rsid w:val="001B655A"/>
    <w:rsid w:val="001B6596"/>
    <w:rsid w:val="001B6633"/>
    <w:rsid w:val="001B6645"/>
    <w:rsid w:val="001B673D"/>
    <w:rsid w:val="001B673E"/>
    <w:rsid w:val="001B67E9"/>
    <w:rsid w:val="001B6893"/>
    <w:rsid w:val="001B6AED"/>
    <w:rsid w:val="001B6B71"/>
    <w:rsid w:val="001B6C63"/>
    <w:rsid w:val="001B6D3B"/>
    <w:rsid w:val="001B6DE4"/>
    <w:rsid w:val="001B6E26"/>
    <w:rsid w:val="001B6F6C"/>
    <w:rsid w:val="001B700F"/>
    <w:rsid w:val="001B70A5"/>
    <w:rsid w:val="001B70B4"/>
    <w:rsid w:val="001B70EA"/>
    <w:rsid w:val="001B7182"/>
    <w:rsid w:val="001B722C"/>
    <w:rsid w:val="001B725D"/>
    <w:rsid w:val="001B72D3"/>
    <w:rsid w:val="001B7636"/>
    <w:rsid w:val="001B7727"/>
    <w:rsid w:val="001B77DF"/>
    <w:rsid w:val="001B7833"/>
    <w:rsid w:val="001B78E1"/>
    <w:rsid w:val="001B78E4"/>
    <w:rsid w:val="001B78EC"/>
    <w:rsid w:val="001B78F4"/>
    <w:rsid w:val="001B78F8"/>
    <w:rsid w:val="001B790C"/>
    <w:rsid w:val="001B79C5"/>
    <w:rsid w:val="001B7ADC"/>
    <w:rsid w:val="001B7BE2"/>
    <w:rsid w:val="001B7C13"/>
    <w:rsid w:val="001B7C54"/>
    <w:rsid w:val="001B7C6E"/>
    <w:rsid w:val="001B7CCD"/>
    <w:rsid w:val="001B7CDA"/>
    <w:rsid w:val="001B7CDB"/>
    <w:rsid w:val="001B7D74"/>
    <w:rsid w:val="001B7E44"/>
    <w:rsid w:val="001B7E5E"/>
    <w:rsid w:val="001C0101"/>
    <w:rsid w:val="001C011B"/>
    <w:rsid w:val="001C01E5"/>
    <w:rsid w:val="001C0237"/>
    <w:rsid w:val="001C0297"/>
    <w:rsid w:val="001C03E3"/>
    <w:rsid w:val="001C0684"/>
    <w:rsid w:val="001C0690"/>
    <w:rsid w:val="001C0B5F"/>
    <w:rsid w:val="001C0B7D"/>
    <w:rsid w:val="001C0BBA"/>
    <w:rsid w:val="001C0BFF"/>
    <w:rsid w:val="001C0C4E"/>
    <w:rsid w:val="001C0CB6"/>
    <w:rsid w:val="001C0DAA"/>
    <w:rsid w:val="001C0E0C"/>
    <w:rsid w:val="001C0E66"/>
    <w:rsid w:val="001C0EE5"/>
    <w:rsid w:val="001C0F3A"/>
    <w:rsid w:val="001C0FDA"/>
    <w:rsid w:val="001C1047"/>
    <w:rsid w:val="001C10F6"/>
    <w:rsid w:val="001C10FF"/>
    <w:rsid w:val="001C1457"/>
    <w:rsid w:val="001C1492"/>
    <w:rsid w:val="001C1517"/>
    <w:rsid w:val="001C154B"/>
    <w:rsid w:val="001C1676"/>
    <w:rsid w:val="001C16C4"/>
    <w:rsid w:val="001C1765"/>
    <w:rsid w:val="001C17C1"/>
    <w:rsid w:val="001C1812"/>
    <w:rsid w:val="001C18C4"/>
    <w:rsid w:val="001C19AB"/>
    <w:rsid w:val="001C1A9F"/>
    <w:rsid w:val="001C1AEA"/>
    <w:rsid w:val="001C1B20"/>
    <w:rsid w:val="001C1CD5"/>
    <w:rsid w:val="001C1D25"/>
    <w:rsid w:val="001C1F36"/>
    <w:rsid w:val="001C23D9"/>
    <w:rsid w:val="001C2441"/>
    <w:rsid w:val="001C2515"/>
    <w:rsid w:val="001C254C"/>
    <w:rsid w:val="001C255A"/>
    <w:rsid w:val="001C260F"/>
    <w:rsid w:val="001C2629"/>
    <w:rsid w:val="001C27A4"/>
    <w:rsid w:val="001C281A"/>
    <w:rsid w:val="001C29E3"/>
    <w:rsid w:val="001C29E9"/>
    <w:rsid w:val="001C2A19"/>
    <w:rsid w:val="001C2AF0"/>
    <w:rsid w:val="001C2B81"/>
    <w:rsid w:val="001C2BA3"/>
    <w:rsid w:val="001C2C77"/>
    <w:rsid w:val="001C2C81"/>
    <w:rsid w:val="001C2C9E"/>
    <w:rsid w:val="001C2DBD"/>
    <w:rsid w:val="001C2E44"/>
    <w:rsid w:val="001C2E57"/>
    <w:rsid w:val="001C2E90"/>
    <w:rsid w:val="001C30E8"/>
    <w:rsid w:val="001C30F6"/>
    <w:rsid w:val="001C3262"/>
    <w:rsid w:val="001C3295"/>
    <w:rsid w:val="001C32BD"/>
    <w:rsid w:val="001C3443"/>
    <w:rsid w:val="001C34E6"/>
    <w:rsid w:val="001C34F5"/>
    <w:rsid w:val="001C3890"/>
    <w:rsid w:val="001C3928"/>
    <w:rsid w:val="001C399F"/>
    <w:rsid w:val="001C3AA7"/>
    <w:rsid w:val="001C3AE0"/>
    <w:rsid w:val="001C3AEF"/>
    <w:rsid w:val="001C3B2E"/>
    <w:rsid w:val="001C3B62"/>
    <w:rsid w:val="001C3DC6"/>
    <w:rsid w:val="001C3E53"/>
    <w:rsid w:val="001C3F19"/>
    <w:rsid w:val="001C3F1F"/>
    <w:rsid w:val="001C3F32"/>
    <w:rsid w:val="001C3FE1"/>
    <w:rsid w:val="001C4127"/>
    <w:rsid w:val="001C41DF"/>
    <w:rsid w:val="001C4217"/>
    <w:rsid w:val="001C4253"/>
    <w:rsid w:val="001C4267"/>
    <w:rsid w:val="001C42C7"/>
    <w:rsid w:val="001C435E"/>
    <w:rsid w:val="001C44C0"/>
    <w:rsid w:val="001C450D"/>
    <w:rsid w:val="001C465B"/>
    <w:rsid w:val="001C47D9"/>
    <w:rsid w:val="001C481D"/>
    <w:rsid w:val="001C4966"/>
    <w:rsid w:val="001C4987"/>
    <w:rsid w:val="001C4A6E"/>
    <w:rsid w:val="001C4B0C"/>
    <w:rsid w:val="001C4B20"/>
    <w:rsid w:val="001C4C51"/>
    <w:rsid w:val="001C4C68"/>
    <w:rsid w:val="001C4D4B"/>
    <w:rsid w:val="001C4D59"/>
    <w:rsid w:val="001C5016"/>
    <w:rsid w:val="001C5020"/>
    <w:rsid w:val="001C50C6"/>
    <w:rsid w:val="001C511B"/>
    <w:rsid w:val="001C5144"/>
    <w:rsid w:val="001C51DD"/>
    <w:rsid w:val="001C52B8"/>
    <w:rsid w:val="001C52CC"/>
    <w:rsid w:val="001C52E6"/>
    <w:rsid w:val="001C5354"/>
    <w:rsid w:val="001C53C3"/>
    <w:rsid w:val="001C53E1"/>
    <w:rsid w:val="001C54ED"/>
    <w:rsid w:val="001C5578"/>
    <w:rsid w:val="001C5591"/>
    <w:rsid w:val="001C5636"/>
    <w:rsid w:val="001C5690"/>
    <w:rsid w:val="001C5697"/>
    <w:rsid w:val="001C56B5"/>
    <w:rsid w:val="001C571A"/>
    <w:rsid w:val="001C577D"/>
    <w:rsid w:val="001C5AD8"/>
    <w:rsid w:val="001C5B2D"/>
    <w:rsid w:val="001C5BBB"/>
    <w:rsid w:val="001C5CB2"/>
    <w:rsid w:val="001C5CB7"/>
    <w:rsid w:val="001C5DA9"/>
    <w:rsid w:val="001C5DFB"/>
    <w:rsid w:val="001C5E09"/>
    <w:rsid w:val="001C5E1D"/>
    <w:rsid w:val="001C5EC5"/>
    <w:rsid w:val="001C5F59"/>
    <w:rsid w:val="001C5FB0"/>
    <w:rsid w:val="001C6079"/>
    <w:rsid w:val="001C61AE"/>
    <w:rsid w:val="001C6247"/>
    <w:rsid w:val="001C627B"/>
    <w:rsid w:val="001C6449"/>
    <w:rsid w:val="001C6480"/>
    <w:rsid w:val="001C658E"/>
    <w:rsid w:val="001C6615"/>
    <w:rsid w:val="001C68F6"/>
    <w:rsid w:val="001C6903"/>
    <w:rsid w:val="001C6976"/>
    <w:rsid w:val="001C69C6"/>
    <w:rsid w:val="001C6A24"/>
    <w:rsid w:val="001C6A68"/>
    <w:rsid w:val="001C6A96"/>
    <w:rsid w:val="001C6AF7"/>
    <w:rsid w:val="001C6B36"/>
    <w:rsid w:val="001C6BA9"/>
    <w:rsid w:val="001C6BC7"/>
    <w:rsid w:val="001C6D4B"/>
    <w:rsid w:val="001C6D97"/>
    <w:rsid w:val="001C6EE3"/>
    <w:rsid w:val="001C6F99"/>
    <w:rsid w:val="001C7001"/>
    <w:rsid w:val="001C7097"/>
    <w:rsid w:val="001C71D3"/>
    <w:rsid w:val="001C7368"/>
    <w:rsid w:val="001C754C"/>
    <w:rsid w:val="001C75AF"/>
    <w:rsid w:val="001C75BF"/>
    <w:rsid w:val="001C7626"/>
    <w:rsid w:val="001C7649"/>
    <w:rsid w:val="001C766D"/>
    <w:rsid w:val="001C77A8"/>
    <w:rsid w:val="001C77C5"/>
    <w:rsid w:val="001C77D4"/>
    <w:rsid w:val="001C77DE"/>
    <w:rsid w:val="001C7830"/>
    <w:rsid w:val="001C78C2"/>
    <w:rsid w:val="001C7B23"/>
    <w:rsid w:val="001C7B8D"/>
    <w:rsid w:val="001C7BEA"/>
    <w:rsid w:val="001C7D3B"/>
    <w:rsid w:val="001C7D7A"/>
    <w:rsid w:val="001C7E06"/>
    <w:rsid w:val="001C7E9C"/>
    <w:rsid w:val="001C7F94"/>
    <w:rsid w:val="001D007B"/>
    <w:rsid w:val="001D00BB"/>
    <w:rsid w:val="001D0116"/>
    <w:rsid w:val="001D0169"/>
    <w:rsid w:val="001D0214"/>
    <w:rsid w:val="001D024C"/>
    <w:rsid w:val="001D0332"/>
    <w:rsid w:val="001D0404"/>
    <w:rsid w:val="001D0470"/>
    <w:rsid w:val="001D05B2"/>
    <w:rsid w:val="001D063C"/>
    <w:rsid w:val="001D0842"/>
    <w:rsid w:val="001D0847"/>
    <w:rsid w:val="001D0942"/>
    <w:rsid w:val="001D09E7"/>
    <w:rsid w:val="001D0B8D"/>
    <w:rsid w:val="001D0CC1"/>
    <w:rsid w:val="001D0D91"/>
    <w:rsid w:val="001D0E3D"/>
    <w:rsid w:val="001D0EB5"/>
    <w:rsid w:val="001D0F8B"/>
    <w:rsid w:val="001D0FD1"/>
    <w:rsid w:val="001D0FE0"/>
    <w:rsid w:val="001D1047"/>
    <w:rsid w:val="001D10DA"/>
    <w:rsid w:val="001D1182"/>
    <w:rsid w:val="001D11EE"/>
    <w:rsid w:val="001D1272"/>
    <w:rsid w:val="001D13C4"/>
    <w:rsid w:val="001D1540"/>
    <w:rsid w:val="001D157A"/>
    <w:rsid w:val="001D15BF"/>
    <w:rsid w:val="001D1737"/>
    <w:rsid w:val="001D1794"/>
    <w:rsid w:val="001D1885"/>
    <w:rsid w:val="001D18C7"/>
    <w:rsid w:val="001D19B8"/>
    <w:rsid w:val="001D1CC8"/>
    <w:rsid w:val="001D1D39"/>
    <w:rsid w:val="001D1E4A"/>
    <w:rsid w:val="001D1F11"/>
    <w:rsid w:val="001D1FF2"/>
    <w:rsid w:val="001D206D"/>
    <w:rsid w:val="001D20B9"/>
    <w:rsid w:val="001D210E"/>
    <w:rsid w:val="001D2145"/>
    <w:rsid w:val="001D2167"/>
    <w:rsid w:val="001D21C4"/>
    <w:rsid w:val="001D2267"/>
    <w:rsid w:val="001D2299"/>
    <w:rsid w:val="001D22AA"/>
    <w:rsid w:val="001D22CE"/>
    <w:rsid w:val="001D23C4"/>
    <w:rsid w:val="001D240F"/>
    <w:rsid w:val="001D2468"/>
    <w:rsid w:val="001D24D9"/>
    <w:rsid w:val="001D2535"/>
    <w:rsid w:val="001D25C2"/>
    <w:rsid w:val="001D2686"/>
    <w:rsid w:val="001D26C5"/>
    <w:rsid w:val="001D2725"/>
    <w:rsid w:val="001D27CE"/>
    <w:rsid w:val="001D291F"/>
    <w:rsid w:val="001D295D"/>
    <w:rsid w:val="001D2962"/>
    <w:rsid w:val="001D2991"/>
    <w:rsid w:val="001D29E7"/>
    <w:rsid w:val="001D2A6E"/>
    <w:rsid w:val="001D2ABA"/>
    <w:rsid w:val="001D2B26"/>
    <w:rsid w:val="001D2B2B"/>
    <w:rsid w:val="001D2BEB"/>
    <w:rsid w:val="001D2C2C"/>
    <w:rsid w:val="001D2D98"/>
    <w:rsid w:val="001D2E9B"/>
    <w:rsid w:val="001D2F30"/>
    <w:rsid w:val="001D308D"/>
    <w:rsid w:val="001D31F6"/>
    <w:rsid w:val="001D32B1"/>
    <w:rsid w:val="001D3437"/>
    <w:rsid w:val="001D34AE"/>
    <w:rsid w:val="001D35B7"/>
    <w:rsid w:val="001D35E7"/>
    <w:rsid w:val="001D3613"/>
    <w:rsid w:val="001D365B"/>
    <w:rsid w:val="001D370E"/>
    <w:rsid w:val="001D373F"/>
    <w:rsid w:val="001D3764"/>
    <w:rsid w:val="001D377D"/>
    <w:rsid w:val="001D37FB"/>
    <w:rsid w:val="001D3800"/>
    <w:rsid w:val="001D3865"/>
    <w:rsid w:val="001D38C8"/>
    <w:rsid w:val="001D3AA7"/>
    <w:rsid w:val="001D3ABB"/>
    <w:rsid w:val="001D3B94"/>
    <w:rsid w:val="001D3BA7"/>
    <w:rsid w:val="001D3C8E"/>
    <w:rsid w:val="001D3D1D"/>
    <w:rsid w:val="001D3D8D"/>
    <w:rsid w:val="001D3E40"/>
    <w:rsid w:val="001D3F38"/>
    <w:rsid w:val="001D3FA1"/>
    <w:rsid w:val="001D4030"/>
    <w:rsid w:val="001D4087"/>
    <w:rsid w:val="001D414C"/>
    <w:rsid w:val="001D4151"/>
    <w:rsid w:val="001D4185"/>
    <w:rsid w:val="001D4203"/>
    <w:rsid w:val="001D44B0"/>
    <w:rsid w:val="001D44CA"/>
    <w:rsid w:val="001D44DF"/>
    <w:rsid w:val="001D44EF"/>
    <w:rsid w:val="001D4591"/>
    <w:rsid w:val="001D4636"/>
    <w:rsid w:val="001D47C3"/>
    <w:rsid w:val="001D48AD"/>
    <w:rsid w:val="001D48F3"/>
    <w:rsid w:val="001D490C"/>
    <w:rsid w:val="001D4924"/>
    <w:rsid w:val="001D49AF"/>
    <w:rsid w:val="001D49C5"/>
    <w:rsid w:val="001D4AFC"/>
    <w:rsid w:val="001D4B44"/>
    <w:rsid w:val="001D4B63"/>
    <w:rsid w:val="001D4B8B"/>
    <w:rsid w:val="001D4BD5"/>
    <w:rsid w:val="001D4C8D"/>
    <w:rsid w:val="001D4CED"/>
    <w:rsid w:val="001D4D7E"/>
    <w:rsid w:val="001D4DA7"/>
    <w:rsid w:val="001D4E31"/>
    <w:rsid w:val="001D4EBC"/>
    <w:rsid w:val="001D4F27"/>
    <w:rsid w:val="001D4F51"/>
    <w:rsid w:val="001D4F5B"/>
    <w:rsid w:val="001D4F82"/>
    <w:rsid w:val="001D5057"/>
    <w:rsid w:val="001D5068"/>
    <w:rsid w:val="001D50AC"/>
    <w:rsid w:val="001D5141"/>
    <w:rsid w:val="001D520C"/>
    <w:rsid w:val="001D52EA"/>
    <w:rsid w:val="001D5365"/>
    <w:rsid w:val="001D5481"/>
    <w:rsid w:val="001D54EC"/>
    <w:rsid w:val="001D5500"/>
    <w:rsid w:val="001D5508"/>
    <w:rsid w:val="001D56C6"/>
    <w:rsid w:val="001D5890"/>
    <w:rsid w:val="001D59BA"/>
    <w:rsid w:val="001D5A76"/>
    <w:rsid w:val="001D5B34"/>
    <w:rsid w:val="001D5BD0"/>
    <w:rsid w:val="001D5EC0"/>
    <w:rsid w:val="001D5F8D"/>
    <w:rsid w:val="001D5FEB"/>
    <w:rsid w:val="001D608F"/>
    <w:rsid w:val="001D6095"/>
    <w:rsid w:val="001D60CB"/>
    <w:rsid w:val="001D60E7"/>
    <w:rsid w:val="001D610D"/>
    <w:rsid w:val="001D6224"/>
    <w:rsid w:val="001D622A"/>
    <w:rsid w:val="001D624F"/>
    <w:rsid w:val="001D6294"/>
    <w:rsid w:val="001D6316"/>
    <w:rsid w:val="001D6405"/>
    <w:rsid w:val="001D6473"/>
    <w:rsid w:val="001D6538"/>
    <w:rsid w:val="001D65D4"/>
    <w:rsid w:val="001D675E"/>
    <w:rsid w:val="001D6831"/>
    <w:rsid w:val="001D692D"/>
    <w:rsid w:val="001D693C"/>
    <w:rsid w:val="001D6A28"/>
    <w:rsid w:val="001D6A42"/>
    <w:rsid w:val="001D6AAF"/>
    <w:rsid w:val="001D6B35"/>
    <w:rsid w:val="001D6CBF"/>
    <w:rsid w:val="001D6D89"/>
    <w:rsid w:val="001D6DE6"/>
    <w:rsid w:val="001D6E23"/>
    <w:rsid w:val="001D6E6B"/>
    <w:rsid w:val="001D6EC0"/>
    <w:rsid w:val="001D6FB0"/>
    <w:rsid w:val="001D6FE4"/>
    <w:rsid w:val="001D7014"/>
    <w:rsid w:val="001D70BB"/>
    <w:rsid w:val="001D718E"/>
    <w:rsid w:val="001D7192"/>
    <w:rsid w:val="001D7212"/>
    <w:rsid w:val="001D7218"/>
    <w:rsid w:val="001D7377"/>
    <w:rsid w:val="001D73B7"/>
    <w:rsid w:val="001D741E"/>
    <w:rsid w:val="001D7451"/>
    <w:rsid w:val="001D75BB"/>
    <w:rsid w:val="001D75D7"/>
    <w:rsid w:val="001D766B"/>
    <w:rsid w:val="001D768E"/>
    <w:rsid w:val="001D77A0"/>
    <w:rsid w:val="001D794D"/>
    <w:rsid w:val="001D799F"/>
    <w:rsid w:val="001D79B2"/>
    <w:rsid w:val="001D7A00"/>
    <w:rsid w:val="001D7A48"/>
    <w:rsid w:val="001D7A92"/>
    <w:rsid w:val="001D7ADC"/>
    <w:rsid w:val="001D7C3C"/>
    <w:rsid w:val="001D7CA2"/>
    <w:rsid w:val="001D7CB2"/>
    <w:rsid w:val="001D7CF6"/>
    <w:rsid w:val="001D7E00"/>
    <w:rsid w:val="001D7E3F"/>
    <w:rsid w:val="001D7E75"/>
    <w:rsid w:val="001D7EB0"/>
    <w:rsid w:val="001D7F47"/>
    <w:rsid w:val="001D7FDB"/>
    <w:rsid w:val="001E00C2"/>
    <w:rsid w:val="001E0218"/>
    <w:rsid w:val="001E023A"/>
    <w:rsid w:val="001E0438"/>
    <w:rsid w:val="001E0511"/>
    <w:rsid w:val="001E051A"/>
    <w:rsid w:val="001E0552"/>
    <w:rsid w:val="001E0558"/>
    <w:rsid w:val="001E0572"/>
    <w:rsid w:val="001E0576"/>
    <w:rsid w:val="001E0643"/>
    <w:rsid w:val="001E071B"/>
    <w:rsid w:val="001E0769"/>
    <w:rsid w:val="001E0824"/>
    <w:rsid w:val="001E087E"/>
    <w:rsid w:val="001E0916"/>
    <w:rsid w:val="001E0917"/>
    <w:rsid w:val="001E0A28"/>
    <w:rsid w:val="001E0AF6"/>
    <w:rsid w:val="001E0BC5"/>
    <w:rsid w:val="001E0CBF"/>
    <w:rsid w:val="001E0DB3"/>
    <w:rsid w:val="001E0E0D"/>
    <w:rsid w:val="001E0E0E"/>
    <w:rsid w:val="001E0E66"/>
    <w:rsid w:val="001E0EC6"/>
    <w:rsid w:val="001E0F5B"/>
    <w:rsid w:val="001E10C5"/>
    <w:rsid w:val="001E1145"/>
    <w:rsid w:val="001E124E"/>
    <w:rsid w:val="001E1291"/>
    <w:rsid w:val="001E12BD"/>
    <w:rsid w:val="001E1313"/>
    <w:rsid w:val="001E14BE"/>
    <w:rsid w:val="001E153D"/>
    <w:rsid w:val="001E1589"/>
    <w:rsid w:val="001E1610"/>
    <w:rsid w:val="001E16BD"/>
    <w:rsid w:val="001E16EE"/>
    <w:rsid w:val="001E1712"/>
    <w:rsid w:val="001E17AB"/>
    <w:rsid w:val="001E17B9"/>
    <w:rsid w:val="001E1857"/>
    <w:rsid w:val="001E1CEB"/>
    <w:rsid w:val="001E1D46"/>
    <w:rsid w:val="001E1EFC"/>
    <w:rsid w:val="001E1F86"/>
    <w:rsid w:val="001E1FC2"/>
    <w:rsid w:val="001E1FE7"/>
    <w:rsid w:val="001E2200"/>
    <w:rsid w:val="001E2231"/>
    <w:rsid w:val="001E2304"/>
    <w:rsid w:val="001E2365"/>
    <w:rsid w:val="001E25A5"/>
    <w:rsid w:val="001E2663"/>
    <w:rsid w:val="001E2678"/>
    <w:rsid w:val="001E2685"/>
    <w:rsid w:val="001E26B7"/>
    <w:rsid w:val="001E2721"/>
    <w:rsid w:val="001E276F"/>
    <w:rsid w:val="001E27C1"/>
    <w:rsid w:val="001E284E"/>
    <w:rsid w:val="001E28B3"/>
    <w:rsid w:val="001E28B9"/>
    <w:rsid w:val="001E2943"/>
    <w:rsid w:val="001E29DB"/>
    <w:rsid w:val="001E29DF"/>
    <w:rsid w:val="001E2B7D"/>
    <w:rsid w:val="001E2B95"/>
    <w:rsid w:val="001E2BA2"/>
    <w:rsid w:val="001E2BA9"/>
    <w:rsid w:val="001E2C62"/>
    <w:rsid w:val="001E2E34"/>
    <w:rsid w:val="001E2EB7"/>
    <w:rsid w:val="001E2F71"/>
    <w:rsid w:val="001E2F7F"/>
    <w:rsid w:val="001E2FF2"/>
    <w:rsid w:val="001E303E"/>
    <w:rsid w:val="001E307F"/>
    <w:rsid w:val="001E30AC"/>
    <w:rsid w:val="001E31B8"/>
    <w:rsid w:val="001E31DC"/>
    <w:rsid w:val="001E3265"/>
    <w:rsid w:val="001E3311"/>
    <w:rsid w:val="001E3522"/>
    <w:rsid w:val="001E361E"/>
    <w:rsid w:val="001E370B"/>
    <w:rsid w:val="001E3727"/>
    <w:rsid w:val="001E374B"/>
    <w:rsid w:val="001E3791"/>
    <w:rsid w:val="001E38C4"/>
    <w:rsid w:val="001E3983"/>
    <w:rsid w:val="001E39F4"/>
    <w:rsid w:val="001E3A17"/>
    <w:rsid w:val="001E3B99"/>
    <w:rsid w:val="001E3C66"/>
    <w:rsid w:val="001E3D76"/>
    <w:rsid w:val="001E3DD7"/>
    <w:rsid w:val="001E3E59"/>
    <w:rsid w:val="001E402B"/>
    <w:rsid w:val="001E40A9"/>
    <w:rsid w:val="001E42C1"/>
    <w:rsid w:val="001E4339"/>
    <w:rsid w:val="001E4374"/>
    <w:rsid w:val="001E44B8"/>
    <w:rsid w:val="001E44DA"/>
    <w:rsid w:val="001E45EC"/>
    <w:rsid w:val="001E4623"/>
    <w:rsid w:val="001E485E"/>
    <w:rsid w:val="001E48B1"/>
    <w:rsid w:val="001E49BD"/>
    <w:rsid w:val="001E4AEB"/>
    <w:rsid w:val="001E4B83"/>
    <w:rsid w:val="001E4BA0"/>
    <w:rsid w:val="001E4BEF"/>
    <w:rsid w:val="001E4C70"/>
    <w:rsid w:val="001E4D2E"/>
    <w:rsid w:val="001E4D89"/>
    <w:rsid w:val="001E4E02"/>
    <w:rsid w:val="001E4E14"/>
    <w:rsid w:val="001E4E34"/>
    <w:rsid w:val="001E4E61"/>
    <w:rsid w:val="001E4E68"/>
    <w:rsid w:val="001E4FDA"/>
    <w:rsid w:val="001E5035"/>
    <w:rsid w:val="001E50D7"/>
    <w:rsid w:val="001E516A"/>
    <w:rsid w:val="001E52F2"/>
    <w:rsid w:val="001E5344"/>
    <w:rsid w:val="001E54C9"/>
    <w:rsid w:val="001E5673"/>
    <w:rsid w:val="001E56E4"/>
    <w:rsid w:val="001E56F1"/>
    <w:rsid w:val="001E56FA"/>
    <w:rsid w:val="001E5737"/>
    <w:rsid w:val="001E579C"/>
    <w:rsid w:val="001E57AF"/>
    <w:rsid w:val="001E581F"/>
    <w:rsid w:val="001E59D9"/>
    <w:rsid w:val="001E5AB2"/>
    <w:rsid w:val="001E5B2B"/>
    <w:rsid w:val="001E5CEE"/>
    <w:rsid w:val="001E5D9D"/>
    <w:rsid w:val="001E5E57"/>
    <w:rsid w:val="001E609C"/>
    <w:rsid w:val="001E60B8"/>
    <w:rsid w:val="001E60DC"/>
    <w:rsid w:val="001E6276"/>
    <w:rsid w:val="001E62D1"/>
    <w:rsid w:val="001E643F"/>
    <w:rsid w:val="001E650E"/>
    <w:rsid w:val="001E6624"/>
    <w:rsid w:val="001E6673"/>
    <w:rsid w:val="001E66BB"/>
    <w:rsid w:val="001E67C4"/>
    <w:rsid w:val="001E6807"/>
    <w:rsid w:val="001E6894"/>
    <w:rsid w:val="001E6A1E"/>
    <w:rsid w:val="001E6AED"/>
    <w:rsid w:val="001E6B3B"/>
    <w:rsid w:val="001E6B41"/>
    <w:rsid w:val="001E6BE1"/>
    <w:rsid w:val="001E6E0E"/>
    <w:rsid w:val="001E6EAA"/>
    <w:rsid w:val="001E6F65"/>
    <w:rsid w:val="001E6FE3"/>
    <w:rsid w:val="001E7036"/>
    <w:rsid w:val="001E70F8"/>
    <w:rsid w:val="001E7112"/>
    <w:rsid w:val="001E72F0"/>
    <w:rsid w:val="001E737B"/>
    <w:rsid w:val="001E7476"/>
    <w:rsid w:val="001E7529"/>
    <w:rsid w:val="001E7540"/>
    <w:rsid w:val="001E76E3"/>
    <w:rsid w:val="001E7737"/>
    <w:rsid w:val="001E7746"/>
    <w:rsid w:val="001E774A"/>
    <w:rsid w:val="001E77C1"/>
    <w:rsid w:val="001E77D8"/>
    <w:rsid w:val="001E7922"/>
    <w:rsid w:val="001E792D"/>
    <w:rsid w:val="001E7947"/>
    <w:rsid w:val="001E7983"/>
    <w:rsid w:val="001E7989"/>
    <w:rsid w:val="001E79BB"/>
    <w:rsid w:val="001E7A83"/>
    <w:rsid w:val="001E7AF6"/>
    <w:rsid w:val="001E7B34"/>
    <w:rsid w:val="001E7D14"/>
    <w:rsid w:val="001E7D6B"/>
    <w:rsid w:val="001E7D7B"/>
    <w:rsid w:val="001E7E6B"/>
    <w:rsid w:val="001E7F05"/>
    <w:rsid w:val="001E7F8B"/>
    <w:rsid w:val="001E7FB8"/>
    <w:rsid w:val="001F007C"/>
    <w:rsid w:val="001F01D7"/>
    <w:rsid w:val="001F034B"/>
    <w:rsid w:val="001F0383"/>
    <w:rsid w:val="001F0391"/>
    <w:rsid w:val="001F039F"/>
    <w:rsid w:val="001F03B1"/>
    <w:rsid w:val="001F03B2"/>
    <w:rsid w:val="001F03DC"/>
    <w:rsid w:val="001F047C"/>
    <w:rsid w:val="001F05BA"/>
    <w:rsid w:val="001F05CD"/>
    <w:rsid w:val="001F0614"/>
    <w:rsid w:val="001F0727"/>
    <w:rsid w:val="001F072F"/>
    <w:rsid w:val="001F0731"/>
    <w:rsid w:val="001F076C"/>
    <w:rsid w:val="001F07F4"/>
    <w:rsid w:val="001F0845"/>
    <w:rsid w:val="001F087C"/>
    <w:rsid w:val="001F08B9"/>
    <w:rsid w:val="001F08BF"/>
    <w:rsid w:val="001F0981"/>
    <w:rsid w:val="001F0A7B"/>
    <w:rsid w:val="001F0BB8"/>
    <w:rsid w:val="001F0C9C"/>
    <w:rsid w:val="001F0DB0"/>
    <w:rsid w:val="001F0EDD"/>
    <w:rsid w:val="001F0F70"/>
    <w:rsid w:val="001F0FB8"/>
    <w:rsid w:val="001F1055"/>
    <w:rsid w:val="001F127F"/>
    <w:rsid w:val="001F143B"/>
    <w:rsid w:val="001F1450"/>
    <w:rsid w:val="001F146D"/>
    <w:rsid w:val="001F1492"/>
    <w:rsid w:val="001F14DB"/>
    <w:rsid w:val="001F1543"/>
    <w:rsid w:val="001F15D5"/>
    <w:rsid w:val="001F1605"/>
    <w:rsid w:val="001F1673"/>
    <w:rsid w:val="001F1885"/>
    <w:rsid w:val="001F18B9"/>
    <w:rsid w:val="001F18BF"/>
    <w:rsid w:val="001F198B"/>
    <w:rsid w:val="001F199A"/>
    <w:rsid w:val="001F19E7"/>
    <w:rsid w:val="001F19FF"/>
    <w:rsid w:val="001F1AF5"/>
    <w:rsid w:val="001F1E1B"/>
    <w:rsid w:val="001F1E79"/>
    <w:rsid w:val="001F1E85"/>
    <w:rsid w:val="001F1E87"/>
    <w:rsid w:val="001F1ECE"/>
    <w:rsid w:val="001F2076"/>
    <w:rsid w:val="001F20A2"/>
    <w:rsid w:val="001F2136"/>
    <w:rsid w:val="001F217A"/>
    <w:rsid w:val="001F2247"/>
    <w:rsid w:val="001F2268"/>
    <w:rsid w:val="001F22FD"/>
    <w:rsid w:val="001F2377"/>
    <w:rsid w:val="001F2529"/>
    <w:rsid w:val="001F25B4"/>
    <w:rsid w:val="001F25BB"/>
    <w:rsid w:val="001F2744"/>
    <w:rsid w:val="001F280A"/>
    <w:rsid w:val="001F283E"/>
    <w:rsid w:val="001F2873"/>
    <w:rsid w:val="001F291C"/>
    <w:rsid w:val="001F2A13"/>
    <w:rsid w:val="001F2A25"/>
    <w:rsid w:val="001F2A81"/>
    <w:rsid w:val="001F2AB1"/>
    <w:rsid w:val="001F2AEC"/>
    <w:rsid w:val="001F2AF7"/>
    <w:rsid w:val="001F2B7A"/>
    <w:rsid w:val="001F2BB2"/>
    <w:rsid w:val="001F2CD6"/>
    <w:rsid w:val="001F2D1D"/>
    <w:rsid w:val="001F2D62"/>
    <w:rsid w:val="001F2DCF"/>
    <w:rsid w:val="001F2E6D"/>
    <w:rsid w:val="001F3042"/>
    <w:rsid w:val="001F3124"/>
    <w:rsid w:val="001F3277"/>
    <w:rsid w:val="001F32D2"/>
    <w:rsid w:val="001F32FA"/>
    <w:rsid w:val="001F32FD"/>
    <w:rsid w:val="001F338E"/>
    <w:rsid w:val="001F34C9"/>
    <w:rsid w:val="001F350C"/>
    <w:rsid w:val="001F357E"/>
    <w:rsid w:val="001F35AD"/>
    <w:rsid w:val="001F35FF"/>
    <w:rsid w:val="001F3636"/>
    <w:rsid w:val="001F3726"/>
    <w:rsid w:val="001F391E"/>
    <w:rsid w:val="001F392E"/>
    <w:rsid w:val="001F395E"/>
    <w:rsid w:val="001F398C"/>
    <w:rsid w:val="001F3A3E"/>
    <w:rsid w:val="001F3A9D"/>
    <w:rsid w:val="001F3AA9"/>
    <w:rsid w:val="001F3D13"/>
    <w:rsid w:val="001F3E89"/>
    <w:rsid w:val="001F3ED0"/>
    <w:rsid w:val="001F3F7F"/>
    <w:rsid w:val="001F3FA8"/>
    <w:rsid w:val="001F40BF"/>
    <w:rsid w:val="001F4100"/>
    <w:rsid w:val="001F4191"/>
    <w:rsid w:val="001F432A"/>
    <w:rsid w:val="001F44EF"/>
    <w:rsid w:val="001F452A"/>
    <w:rsid w:val="001F45B5"/>
    <w:rsid w:val="001F45DF"/>
    <w:rsid w:val="001F45EF"/>
    <w:rsid w:val="001F4726"/>
    <w:rsid w:val="001F4782"/>
    <w:rsid w:val="001F47C1"/>
    <w:rsid w:val="001F486A"/>
    <w:rsid w:val="001F48AA"/>
    <w:rsid w:val="001F4905"/>
    <w:rsid w:val="001F4A25"/>
    <w:rsid w:val="001F4A88"/>
    <w:rsid w:val="001F4ADD"/>
    <w:rsid w:val="001F4B40"/>
    <w:rsid w:val="001F4B6F"/>
    <w:rsid w:val="001F4BEE"/>
    <w:rsid w:val="001F4C00"/>
    <w:rsid w:val="001F4C82"/>
    <w:rsid w:val="001F4CD5"/>
    <w:rsid w:val="001F4DA6"/>
    <w:rsid w:val="001F4EC1"/>
    <w:rsid w:val="001F4F79"/>
    <w:rsid w:val="001F5063"/>
    <w:rsid w:val="001F5093"/>
    <w:rsid w:val="001F5171"/>
    <w:rsid w:val="001F518F"/>
    <w:rsid w:val="001F5199"/>
    <w:rsid w:val="001F51CC"/>
    <w:rsid w:val="001F528F"/>
    <w:rsid w:val="001F54D5"/>
    <w:rsid w:val="001F55BF"/>
    <w:rsid w:val="001F560A"/>
    <w:rsid w:val="001F5632"/>
    <w:rsid w:val="001F56DE"/>
    <w:rsid w:val="001F570C"/>
    <w:rsid w:val="001F5816"/>
    <w:rsid w:val="001F5840"/>
    <w:rsid w:val="001F589F"/>
    <w:rsid w:val="001F58B2"/>
    <w:rsid w:val="001F5941"/>
    <w:rsid w:val="001F59A5"/>
    <w:rsid w:val="001F5A79"/>
    <w:rsid w:val="001F5AFE"/>
    <w:rsid w:val="001F5B0A"/>
    <w:rsid w:val="001F5B89"/>
    <w:rsid w:val="001F5C33"/>
    <w:rsid w:val="001F5C54"/>
    <w:rsid w:val="001F5C55"/>
    <w:rsid w:val="001F5CB7"/>
    <w:rsid w:val="001F5CEA"/>
    <w:rsid w:val="001F5CF1"/>
    <w:rsid w:val="001F5D27"/>
    <w:rsid w:val="001F5DD3"/>
    <w:rsid w:val="001F5E22"/>
    <w:rsid w:val="001F5E67"/>
    <w:rsid w:val="001F5EB5"/>
    <w:rsid w:val="001F5F74"/>
    <w:rsid w:val="001F6067"/>
    <w:rsid w:val="001F60FF"/>
    <w:rsid w:val="001F61CF"/>
    <w:rsid w:val="001F61F2"/>
    <w:rsid w:val="001F638A"/>
    <w:rsid w:val="001F63C9"/>
    <w:rsid w:val="001F63E9"/>
    <w:rsid w:val="001F6440"/>
    <w:rsid w:val="001F64C6"/>
    <w:rsid w:val="001F668A"/>
    <w:rsid w:val="001F66C3"/>
    <w:rsid w:val="001F66FF"/>
    <w:rsid w:val="001F6736"/>
    <w:rsid w:val="001F68B4"/>
    <w:rsid w:val="001F68DF"/>
    <w:rsid w:val="001F69C0"/>
    <w:rsid w:val="001F6A4E"/>
    <w:rsid w:val="001F6AFF"/>
    <w:rsid w:val="001F6B97"/>
    <w:rsid w:val="001F6C0B"/>
    <w:rsid w:val="001F6C0C"/>
    <w:rsid w:val="001F6C11"/>
    <w:rsid w:val="001F6C1D"/>
    <w:rsid w:val="001F6C44"/>
    <w:rsid w:val="001F6C4E"/>
    <w:rsid w:val="001F6D84"/>
    <w:rsid w:val="001F6E26"/>
    <w:rsid w:val="001F6F82"/>
    <w:rsid w:val="001F6F92"/>
    <w:rsid w:val="001F6FF0"/>
    <w:rsid w:val="001F712C"/>
    <w:rsid w:val="001F7229"/>
    <w:rsid w:val="001F722D"/>
    <w:rsid w:val="001F7257"/>
    <w:rsid w:val="001F728A"/>
    <w:rsid w:val="001F72D8"/>
    <w:rsid w:val="001F7316"/>
    <w:rsid w:val="001F740C"/>
    <w:rsid w:val="001F74A1"/>
    <w:rsid w:val="001F7627"/>
    <w:rsid w:val="001F7690"/>
    <w:rsid w:val="001F7695"/>
    <w:rsid w:val="001F776F"/>
    <w:rsid w:val="001F77D3"/>
    <w:rsid w:val="001F78FC"/>
    <w:rsid w:val="001F7903"/>
    <w:rsid w:val="001F791B"/>
    <w:rsid w:val="001F79AD"/>
    <w:rsid w:val="001F79B7"/>
    <w:rsid w:val="001F7A8B"/>
    <w:rsid w:val="001F7BF9"/>
    <w:rsid w:val="001F7C8C"/>
    <w:rsid w:val="001F7D0E"/>
    <w:rsid w:val="001F7D2C"/>
    <w:rsid w:val="001F7D63"/>
    <w:rsid w:val="001F7E1C"/>
    <w:rsid w:val="001F7E44"/>
    <w:rsid w:val="001F7E7F"/>
    <w:rsid w:val="001F7EA1"/>
    <w:rsid w:val="001F7EA5"/>
    <w:rsid w:val="001F7ECF"/>
    <w:rsid w:val="001F7FCC"/>
    <w:rsid w:val="0020006D"/>
    <w:rsid w:val="00200076"/>
    <w:rsid w:val="002000D5"/>
    <w:rsid w:val="0020016B"/>
    <w:rsid w:val="00200187"/>
    <w:rsid w:val="00200273"/>
    <w:rsid w:val="00200276"/>
    <w:rsid w:val="00200469"/>
    <w:rsid w:val="0020046F"/>
    <w:rsid w:val="002004E3"/>
    <w:rsid w:val="0020055B"/>
    <w:rsid w:val="002005B0"/>
    <w:rsid w:val="00200615"/>
    <w:rsid w:val="0020064B"/>
    <w:rsid w:val="002006D4"/>
    <w:rsid w:val="002006EF"/>
    <w:rsid w:val="00200735"/>
    <w:rsid w:val="002007CD"/>
    <w:rsid w:val="00200805"/>
    <w:rsid w:val="0020088F"/>
    <w:rsid w:val="00200934"/>
    <w:rsid w:val="002009F8"/>
    <w:rsid w:val="00200AA0"/>
    <w:rsid w:val="00200B4F"/>
    <w:rsid w:val="00200B8D"/>
    <w:rsid w:val="00200BC2"/>
    <w:rsid w:val="00200C55"/>
    <w:rsid w:val="00200CCC"/>
    <w:rsid w:val="00200CEB"/>
    <w:rsid w:val="00200D2C"/>
    <w:rsid w:val="00200D91"/>
    <w:rsid w:val="0020108E"/>
    <w:rsid w:val="0020118E"/>
    <w:rsid w:val="002011FE"/>
    <w:rsid w:val="00201214"/>
    <w:rsid w:val="00201283"/>
    <w:rsid w:val="002012A1"/>
    <w:rsid w:val="00201326"/>
    <w:rsid w:val="00201369"/>
    <w:rsid w:val="002015A6"/>
    <w:rsid w:val="00201636"/>
    <w:rsid w:val="002016CE"/>
    <w:rsid w:val="00201831"/>
    <w:rsid w:val="00201964"/>
    <w:rsid w:val="002019B6"/>
    <w:rsid w:val="00201DAB"/>
    <w:rsid w:val="00201EEE"/>
    <w:rsid w:val="00201F1D"/>
    <w:rsid w:val="0020209F"/>
    <w:rsid w:val="002020C6"/>
    <w:rsid w:val="00202132"/>
    <w:rsid w:val="00202218"/>
    <w:rsid w:val="00202224"/>
    <w:rsid w:val="002022B5"/>
    <w:rsid w:val="002022D1"/>
    <w:rsid w:val="0020235F"/>
    <w:rsid w:val="00202436"/>
    <w:rsid w:val="0020246E"/>
    <w:rsid w:val="00202472"/>
    <w:rsid w:val="00202513"/>
    <w:rsid w:val="0020253A"/>
    <w:rsid w:val="0020255B"/>
    <w:rsid w:val="002026BE"/>
    <w:rsid w:val="002027E0"/>
    <w:rsid w:val="00202960"/>
    <w:rsid w:val="0020299F"/>
    <w:rsid w:val="00202AEF"/>
    <w:rsid w:val="00202BF7"/>
    <w:rsid w:val="00202C0C"/>
    <w:rsid w:val="00202C4E"/>
    <w:rsid w:val="00202D5D"/>
    <w:rsid w:val="00202DA3"/>
    <w:rsid w:val="00202E8E"/>
    <w:rsid w:val="002031B3"/>
    <w:rsid w:val="002032B4"/>
    <w:rsid w:val="002032BE"/>
    <w:rsid w:val="00203414"/>
    <w:rsid w:val="00203519"/>
    <w:rsid w:val="00203524"/>
    <w:rsid w:val="00203536"/>
    <w:rsid w:val="00203546"/>
    <w:rsid w:val="002035A2"/>
    <w:rsid w:val="002035EB"/>
    <w:rsid w:val="00203702"/>
    <w:rsid w:val="002037DF"/>
    <w:rsid w:val="00203819"/>
    <w:rsid w:val="00203862"/>
    <w:rsid w:val="002039A7"/>
    <w:rsid w:val="00203A48"/>
    <w:rsid w:val="00203BC9"/>
    <w:rsid w:val="00203C19"/>
    <w:rsid w:val="00203C3A"/>
    <w:rsid w:val="00203CEF"/>
    <w:rsid w:val="00203D23"/>
    <w:rsid w:val="00203D87"/>
    <w:rsid w:val="00203DEE"/>
    <w:rsid w:val="00203E76"/>
    <w:rsid w:val="00203FBF"/>
    <w:rsid w:val="0020405A"/>
    <w:rsid w:val="002040A8"/>
    <w:rsid w:val="002040BB"/>
    <w:rsid w:val="00204143"/>
    <w:rsid w:val="0020426D"/>
    <w:rsid w:val="002042BF"/>
    <w:rsid w:val="002042D2"/>
    <w:rsid w:val="00204314"/>
    <w:rsid w:val="00204338"/>
    <w:rsid w:val="0020442E"/>
    <w:rsid w:val="00204509"/>
    <w:rsid w:val="00204543"/>
    <w:rsid w:val="0020454E"/>
    <w:rsid w:val="0020465D"/>
    <w:rsid w:val="002046D5"/>
    <w:rsid w:val="0020475A"/>
    <w:rsid w:val="00204A10"/>
    <w:rsid w:val="00204AAA"/>
    <w:rsid w:val="00204BFA"/>
    <w:rsid w:val="00204C53"/>
    <w:rsid w:val="00204C68"/>
    <w:rsid w:val="00204D56"/>
    <w:rsid w:val="00204D5E"/>
    <w:rsid w:val="00204DC8"/>
    <w:rsid w:val="00204ED3"/>
    <w:rsid w:val="00204F12"/>
    <w:rsid w:val="00204F3A"/>
    <w:rsid w:val="00204F8D"/>
    <w:rsid w:val="00204FEF"/>
    <w:rsid w:val="00205171"/>
    <w:rsid w:val="00205198"/>
    <w:rsid w:val="00205361"/>
    <w:rsid w:val="00205365"/>
    <w:rsid w:val="002054C9"/>
    <w:rsid w:val="0020552A"/>
    <w:rsid w:val="002055D7"/>
    <w:rsid w:val="002055EA"/>
    <w:rsid w:val="002056FB"/>
    <w:rsid w:val="002057D3"/>
    <w:rsid w:val="002057DA"/>
    <w:rsid w:val="00205A06"/>
    <w:rsid w:val="00205C3C"/>
    <w:rsid w:val="00205D80"/>
    <w:rsid w:val="00205D8F"/>
    <w:rsid w:val="00205DB6"/>
    <w:rsid w:val="00205DE7"/>
    <w:rsid w:val="00205E76"/>
    <w:rsid w:val="00206069"/>
    <w:rsid w:val="002061D3"/>
    <w:rsid w:val="002061E1"/>
    <w:rsid w:val="00206230"/>
    <w:rsid w:val="00206278"/>
    <w:rsid w:val="002062DD"/>
    <w:rsid w:val="00206327"/>
    <w:rsid w:val="00206349"/>
    <w:rsid w:val="0020636A"/>
    <w:rsid w:val="00206443"/>
    <w:rsid w:val="00206569"/>
    <w:rsid w:val="002065DE"/>
    <w:rsid w:val="002065E5"/>
    <w:rsid w:val="00206605"/>
    <w:rsid w:val="00206746"/>
    <w:rsid w:val="00206796"/>
    <w:rsid w:val="002067C5"/>
    <w:rsid w:val="002067E2"/>
    <w:rsid w:val="002069E2"/>
    <w:rsid w:val="00206AC9"/>
    <w:rsid w:val="00206B93"/>
    <w:rsid w:val="00206D6C"/>
    <w:rsid w:val="00206D71"/>
    <w:rsid w:val="002070BD"/>
    <w:rsid w:val="002070FB"/>
    <w:rsid w:val="00207110"/>
    <w:rsid w:val="002072CA"/>
    <w:rsid w:val="002072FB"/>
    <w:rsid w:val="00207391"/>
    <w:rsid w:val="00207436"/>
    <w:rsid w:val="00207508"/>
    <w:rsid w:val="0020759B"/>
    <w:rsid w:val="002075A6"/>
    <w:rsid w:val="002075B2"/>
    <w:rsid w:val="0020763B"/>
    <w:rsid w:val="002076EF"/>
    <w:rsid w:val="0020777B"/>
    <w:rsid w:val="00207783"/>
    <w:rsid w:val="002077A1"/>
    <w:rsid w:val="002077C8"/>
    <w:rsid w:val="00207832"/>
    <w:rsid w:val="00207837"/>
    <w:rsid w:val="002078FE"/>
    <w:rsid w:val="00207945"/>
    <w:rsid w:val="00207A29"/>
    <w:rsid w:val="00207A7B"/>
    <w:rsid w:val="00207B15"/>
    <w:rsid w:val="00207CFE"/>
    <w:rsid w:val="00207D1D"/>
    <w:rsid w:val="00207DF3"/>
    <w:rsid w:val="00207EB0"/>
    <w:rsid w:val="00207F02"/>
    <w:rsid w:val="00207F32"/>
    <w:rsid w:val="00207FFE"/>
    <w:rsid w:val="00210038"/>
    <w:rsid w:val="00210074"/>
    <w:rsid w:val="0021007F"/>
    <w:rsid w:val="002100C0"/>
    <w:rsid w:val="002100CD"/>
    <w:rsid w:val="002100E9"/>
    <w:rsid w:val="00210161"/>
    <w:rsid w:val="002101F2"/>
    <w:rsid w:val="0021026C"/>
    <w:rsid w:val="002104FC"/>
    <w:rsid w:val="00210598"/>
    <w:rsid w:val="002105CB"/>
    <w:rsid w:val="002105DB"/>
    <w:rsid w:val="002105EB"/>
    <w:rsid w:val="002106ED"/>
    <w:rsid w:val="00210747"/>
    <w:rsid w:val="00210784"/>
    <w:rsid w:val="0021081F"/>
    <w:rsid w:val="00210980"/>
    <w:rsid w:val="00210A4F"/>
    <w:rsid w:val="00210A63"/>
    <w:rsid w:val="00210B2E"/>
    <w:rsid w:val="00210B42"/>
    <w:rsid w:val="00210BD7"/>
    <w:rsid w:val="00210CD7"/>
    <w:rsid w:val="00210E49"/>
    <w:rsid w:val="00210F4B"/>
    <w:rsid w:val="00210F5F"/>
    <w:rsid w:val="00210F9F"/>
    <w:rsid w:val="00211096"/>
    <w:rsid w:val="002110C4"/>
    <w:rsid w:val="00211141"/>
    <w:rsid w:val="00211174"/>
    <w:rsid w:val="00211285"/>
    <w:rsid w:val="00211338"/>
    <w:rsid w:val="002114F1"/>
    <w:rsid w:val="002114F8"/>
    <w:rsid w:val="0021173B"/>
    <w:rsid w:val="00211742"/>
    <w:rsid w:val="0021175D"/>
    <w:rsid w:val="002117ED"/>
    <w:rsid w:val="0021187C"/>
    <w:rsid w:val="002118B8"/>
    <w:rsid w:val="00211A4B"/>
    <w:rsid w:val="00211B24"/>
    <w:rsid w:val="00211B72"/>
    <w:rsid w:val="00211C20"/>
    <w:rsid w:val="00211CC8"/>
    <w:rsid w:val="00211DA6"/>
    <w:rsid w:val="00211DBA"/>
    <w:rsid w:val="00211FCA"/>
    <w:rsid w:val="0021213C"/>
    <w:rsid w:val="0021224A"/>
    <w:rsid w:val="00212278"/>
    <w:rsid w:val="00212279"/>
    <w:rsid w:val="002122EA"/>
    <w:rsid w:val="00212331"/>
    <w:rsid w:val="0021253B"/>
    <w:rsid w:val="00212655"/>
    <w:rsid w:val="002127D1"/>
    <w:rsid w:val="00212893"/>
    <w:rsid w:val="002128C7"/>
    <w:rsid w:val="002128E4"/>
    <w:rsid w:val="0021295C"/>
    <w:rsid w:val="00212A39"/>
    <w:rsid w:val="00212A6B"/>
    <w:rsid w:val="00212AF3"/>
    <w:rsid w:val="00212BD5"/>
    <w:rsid w:val="00212D21"/>
    <w:rsid w:val="00213093"/>
    <w:rsid w:val="0021313C"/>
    <w:rsid w:val="002131AB"/>
    <w:rsid w:val="002131F0"/>
    <w:rsid w:val="00213207"/>
    <w:rsid w:val="00213226"/>
    <w:rsid w:val="00213263"/>
    <w:rsid w:val="0021326C"/>
    <w:rsid w:val="002132BD"/>
    <w:rsid w:val="00213432"/>
    <w:rsid w:val="00213478"/>
    <w:rsid w:val="002134A9"/>
    <w:rsid w:val="002134C1"/>
    <w:rsid w:val="002135C7"/>
    <w:rsid w:val="002135EE"/>
    <w:rsid w:val="002135FE"/>
    <w:rsid w:val="00213622"/>
    <w:rsid w:val="00213657"/>
    <w:rsid w:val="00213719"/>
    <w:rsid w:val="00213750"/>
    <w:rsid w:val="00213787"/>
    <w:rsid w:val="00213876"/>
    <w:rsid w:val="002138AF"/>
    <w:rsid w:val="00213951"/>
    <w:rsid w:val="00213A19"/>
    <w:rsid w:val="00213A35"/>
    <w:rsid w:val="00213A66"/>
    <w:rsid w:val="00213B50"/>
    <w:rsid w:val="00213B7E"/>
    <w:rsid w:val="00213BFF"/>
    <w:rsid w:val="00213C13"/>
    <w:rsid w:val="00213F0C"/>
    <w:rsid w:val="00214036"/>
    <w:rsid w:val="0021409E"/>
    <w:rsid w:val="002140AB"/>
    <w:rsid w:val="00214123"/>
    <w:rsid w:val="00214210"/>
    <w:rsid w:val="00214233"/>
    <w:rsid w:val="00214236"/>
    <w:rsid w:val="0021428C"/>
    <w:rsid w:val="002143B3"/>
    <w:rsid w:val="002143FF"/>
    <w:rsid w:val="002144DD"/>
    <w:rsid w:val="00214565"/>
    <w:rsid w:val="0021463C"/>
    <w:rsid w:val="002147DD"/>
    <w:rsid w:val="002147E3"/>
    <w:rsid w:val="00214834"/>
    <w:rsid w:val="0021483C"/>
    <w:rsid w:val="00214885"/>
    <w:rsid w:val="002148B6"/>
    <w:rsid w:val="0021491F"/>
    <w:rsid w:val="00214932"/>
    <w:rsid w:val="002149C3"/>
    <w:rsid w:val="002149EE"/>
    <w:rsid w:val="00214AFE"/>
    <w:rsid w:val="00214B02"/>
    <w:rsid w:val="00214B57"/>
    <w:rsid w:val="00214BA5"/>
    <w:rsid w:val="00214BF0"/>
    <w:rsid w:val="00214CA9"/>
    <w:rsid w:val="00214D69"/>
    <w:rsid w:val="00214E41"/>
    <w:rsid w:val="00214E93"/>
    <w:rsid w:val="00214EB6"/>
    <w:rsid w:val="00214F02"/>
    <w:rsid w:val="002150AE"/>
    <w:rsid w:val="002150B1"/>
    <w:rsid w:val="002150E4"/>
    <w:rsid w:val="0021511A"/>
    <w:rsid w:val="002151F1"/>
    <w:rsid w:val="0021531A"/>
    <w:rsid w:val="0021535D"/>
    <w:rsid w:val="00215457"/>
    <w:rsid w:val="002156AB"/>
    <w:rsid w:val="002156FB"/>
    <w:rsid w:val="0021581D"/>
    <w:rsid w:val="00215892"/>
    <w:rsid w:val="002158C3"/>
    <w:rsid w:val="002158CE"/>
    <w:rsid w:val="002159BA"/>
    <w:rsid w:val="00215A8C"/>
    <w:rsid w:val="00215A9E"/>
    <w:rsid w:val="00215A9F"/>
    <w:rsid w:val="00215B78"/>
    <w:rsid w:val="00215B7E"/>
    <w:rsid w:val="00215C28"/>
    <w:rsid w:val="00215C53"/>
    <w:rsid w:val="00215C5A"/>
    <w:rsid w:val="00215CA6"/>
    <w:rsid w:val="00215DE0"/>
    <w:rsid w:val="00215E4A"/>
    <w:rsid w:val="0021601C"/>
    <w:rsid w:val="002160EE"/>
    <w:rsid w:val="00216130"/>
    <w:rsid w:val="00216198"/>
    <w:rsid w:val="0021625D"/>
    <w:rsid w:val="00216339"/>
    <w:rsid w:val="0021649C"/>
    <w:rsid w:val="00216566"/>
    <w:rsid w:val="00216655"/>
    <w:rsid w:val="002166BF"/>
    <w:rsid w:val="00216731"/>
    <w:rsid w:val="00216790"/>
    <w:rsid w:val="002167BA"/>
    <w:rsid w:val="002168FB"/>
    <w:rsid w:val="00216932"/>
    <w:rsid w:val="00216996"/>
    <w:rsid w:val="002169F7"/>
    <w:rsid w:val="00216A16"/>
    <w:rsid w:val="00216AC2"/>
    <w:rsid w:val="00216B5C"/>
    <w:rsid w:val="00216BA6"/>
    <w:rsid w:val="00216C7C"/>
    <w:rsid w:val="00216CFD"/>
    <w:rsid w:val="00216D70"/>
    <w:rsid w:val="00216EE0"/>
    <w:rsid w:val="00216F0E"/>
    <w:rsid w:val="0021702C"/>
    <w:rsid w:val="0021715E"/>
    <w:rsid w:val="002172E3"/>
    <w:rsid w:val="002172F5"/>
    <w:rsid w:val="00217378"/>
    <w:rsid w:val="00217406"/>
    <w:rsid w:val="00217510"/>
    <w:rsid w:val="00217511"/>
    <w:rsid w:val="0021751B"/>
    <w:rsid w:val="002175A2"/>
    <w:rsid w:val="002175FC"/>
    <w:rsid w:val="002176F4"/>
    <w:rsid w:val="00217728"/>
    <w:rsid w:val="0021785D"/>
    <w:rsid w:val="00217989"/>
    <w:rsid w:val="00217A70"/>
    <w:rsid w:val="00217B19"/>
    <w:rsid w:val="00217BD2"/>
    <w:rsid w:val="00217C8B"/>
    <w:rsid w:val="00217CDD"/>
    <w:rsid w:val="00217CFE"/>
    <w:rsid w:val="00217D86"/>
    <w:rsid w:val="00217DCC"/>
    <w:rsid w:val="00217ED9"/>
    <w:rsid w:val="00217EDC"/>
    <w:rsid w:val="00217F1F"/>
    <w:rsid w:val="0022010C"/>
    <w:rsid w:val="00220136"/>
    <w:rsid w:val="002201D6"/>
    <w:rsid w:val="0022021D"/>
    <w:rsid w:val="002202E9"/>
    <w:rsid w:val="00220301"/>
    <w:rsid w:val="0022035D"/>
    <w:rsid w:val="0022037F"/>
    <w:rsid w:val="0022042A"/>
    <w:rsid w:val="00220685"/>
    <w:rsid w:val="0022081A"/>
    <w:rsid w:val="00220831"/>
    <w:rsid w:val="002208D8"/>
    <w:rsid w:val="002208E2"/>
    <w:rsid w:val="0022092B"/>
    <w:rsid w:val="00220958"/>
    <w:rsid w:val="00220992"/>
    <w:rsid w:val="00220A3F"/>
    <w:rsid w:val="00220B0A"/>
    <w:rsid w:val="00220BC9"/>
    <w:rsid w:val="00220BF3"/>
    <w:rsid w:val="00220C44"/>
    <w:rsid w:val="00220D31"/>
    <w:rsid w:val="00220DC5"/>
    <w:rsid w:val="00220E41"/>
    <w:rsid w:val="00220FE9"/>
    <w:rsid w:val="002210C2"/>
    <w:rsid w:val="002210E2"/>
    <w:rsid w:val="00221174"/>
    <w:rsid w:val="00221224"/>
    <w:rsid w:val="00221259"/>
    <w:rsid w:val="002213DB"/>
    <w:rsid w:val="002213EE"/>
    <w:rsid w:val="002214E8"/>
    <w:rsid w:val="002215C1"/>
    <w:rsid w:val="002215E6"/>
    <w:rsid w:val="002216F6"/>
    <w:rsid w:val="00221908"/>
    <w:rsid w:val="0022194B"/>
    <w:rsid w:val="0022195C"/>
    <w:rsid w:val="002219DE"/>
    <w:rsid w:val="00221BFC"/>
    <w:rsid w:val="00221C0B"/>
    <w:rsid w:val="00221C3C"/>
    <w:rsid w:val="00221C8B"/>
    <w:rsid w:val="00221D13"/>
    <w:rsid w:val="00221E0C"/>
    <w:rsid w:val="00221F2F"/>
    <w:rsid w:val="00221F3E"/>
    <w:rsid w:val="00221F69"/>
    <w:rsid w:val="0022206C"/>
    <w:rsid w:val="0022211E"/>
    <w:rsid w:val="002222A2"/>
    <w:rsid w:val="00222332"/>
    <w:rsid w:val="0022237E"/>
    <w:rsid w:val="00222381"/>
    <w:rsid w:val="0022238A"/>
    <w:rsid w:val="002223BF"/>
    <w:rsid w:val="00222405"/>
    <w:rsid w:val="00222447"/>
    <w:rsid w:val="002224CB"/>
    <w:rsid w:val="00222507"/>
    <w:rsid w:val="00222555"/>
    <w:rsid w:val="0022265F"/>
    <w:rsid w:val="0022268C"/>
    <w:rsid w:val="002228E2"/>
    <w:rsid w:val="00222953"/>
    <w:rsid w:val="0022298E"/>
    <w:rsid w:val="002229B4"/>
    <w:rsid w:val="002229D3"/>
    <w:rsid w:val="002229DC"/>
    <w:rsid w:val="00222AB5"/>
    <w:rsid w:val="00222BBB"/>
    <w:rsid w:val="00222BF6"/>
    <w:rsid w:val="00222C38"/>
    <w:rsid w:val="00222CB9"/>
    <w:rsid w:val="00222D41"/>
    <w:rsid w:val="00222DA4"/>
    <w:rsid w:val="00222DD6"/>
    <w:rsid w:val="00222F57"/>
    <w:rsid w:val="00222F8F"/>
    <w:rsid w:val="002232FC"/>
    <w:rsid w:val="00223417"/>
    <w:rsid w:val="0022341C"/>
    <w:rsid w:val="00223442"/>
    <w:rsid w:val="00223495"/>
    <w:rsid w:val="00223612"/>
    <w:rsid w:val="0022375F"/>
    <w:rsid w:val="00223771"/>
    <w:rsid w:val="002238C4"/>
    <w:rsid w:val="00223939"/>
    <w:rsid w:val="00223989"/>
    <w:rsid w:val="00223A3E"/>
    <w:rsid w:val="00223B3F"/>
    <w:rsid w:val="00223B61"/>
    <w:rsid w:val="00223B65"/>
    <w:rsid w:val="00223B9D"/>
    <w:rsid w:val="00223C34"/>
    <w:rsid w:val="00223E78"/>
    <w:rsid w:val="00223F11"/>
    <w:rsid w:val="00223F65"/>
    <w:rsid w:val="00223F67"/>
    <w:rsid w:val="00223F8C"/>
    <w:rsid w:val="00224036"/>
    <w:rsid w:val="00224060"/>
    <w:rsid w:val="00224185"/>
    <w:rsid w:val="0022435A"/>
    <w:rsid w:val="002243C3"/>
    <w:rsid w:val="00224422"/>
    <w:rsid w:val="00224434"/>
    <w:rsid w:val="0022450A"/>
    <w:rsid w:val="00224569"/>
    <w:rsid w:val="002245BD"/>
    <w:rsid w:val="0022469E"/>
    <w:rsid w:val="00224822"/>
    <w:rsid w:val="00224887"/>
    <w:rsid w:val="002248FD"/>
    <w:rsid w:val="0022490C"/>
    <w:rsid w:val="002249C0"/>
    <w:rsid w:val="00224A1C"/>
    <w:rsid w:val="00224A25"/>
    <w:rsid w:val="00224A37"/>
    <w:rsid w:val="00224AB5"/>
    <w:rsid w:val="00224B17"/>
    <w:rsid w:val="00224B51"/>
    <w:rsid w:val="00224B9C"/>
    <w:rsid w:val="00224DFD"/>
    <w:rsid w:val="00224E69"/>
    <w:rsid w:val="00225025"/>
    <w:rsid w:val="00225077"/>
    <w:rsid w:val="0022507B"/>
    <w:rsid w:val="002250DA"/>
    <w:rsid w:val="00225340"/>
    <w:rsid w:val="0022534F"/>
    <w:rsid w:val="00225412"/>
    <w:rsid w:val="002254EE"/>
    <w:rsid w:val="00225510"/>
    <w:rsid w:val="00225630"/>
    <w:rsid w:val="00225688"/>
    <w:rsid w:val="002256A1"/>
    <w:rsid w:val="002256C2"/>
    <w:rsid w:val="002257FF"/>
    <w:rsid w:val="00225836"/>
    <w:rsid w:val="00225843"/>
    <w:rsid w:val="00225A23"/>
    <w:rsid w:val="00225ADB"/>
    <w:rsid w:val="00225BF1"/>
    <w:rsid w:val="00225BFE"/>
    <w:rsid w:val="00225C74"/>
    <w:rsid w:val="00225D04"/>
    <w:rsid w:val="00225D2E"/>
    <w:rsid w:val="00225DE3"/>
    <w:rsid w:val="00225F7B"/>
    <w:rsid w:val="00226128"/>
    <w:rsid w:val="0022618E"/>
    <w:rsid w:val="0022623C"/>
    <w:rsid w:val="0022628B"/>
    <w:rsid w:val="00226582"/>
    <w:rsid w:val="00226687"/>
    <w:rsid w:val="002266BF"/>
    <w:rsid w:val="002266DB"/>
    <w:rsid w:val="002266F5"/>
    <w:rsid w:val="00226733"/>
    <w:rsid w:val="00226757"/>
    <w:rsid w:val="002268F6"/>
    <w:rsid w:val="00226C3E"/>
    <w:rsid w:val="00226CE2"/>
    <w:rsid w:val="00226DBC"/>
    <w:rsid w:val="00226DC7"/>
    <w:rsid w:val="00226F0F"/>
    <w:rsid w:val="00226FA3"/>
    <w:rsid w:val="00227010"/>
    <w:rsid w:val="0022723A"/>
    <w:rsid w:val="0022733D"/>
    <w:rsid w:val="00227423"/>
    <w:rsid w:val="002275B2"/>
    <w:rsid w:val="0022769A"/>
    <w:rsid w:val="00227768"/>
    <w:rsid w:val="00227769"/>
    <w:rsid w:val="00227785"/>
    <w:rsid w:val="002277AE"/>
    <w:rsid w:val="00227948"/>
    <w:rsid w:val="00227C59"/>
    <w:rsid w:val="00227DDA"/>
    <w:rsid w:val="00227E92"/>
    <w:rsid w:val="00227EC9"/>
    <w:rsid w:val="00227F64"/>
    <w:rsid w:val="00227FA3"/>
    <w:rsid w:val="00230439"/>
    <w:rsid w:val="0023044F"/>
    <w:rsid w:val="0023047A"/>
    <w:rsid w:val="0023048E"/>
    <w:rsid w:val="002305C2"/>
    <w:rsid w:val="002305F0"/>
    <w:rsid w:val="00230647"/>
    <w:rsid w:val="00230700"/>
    <w:rsid w:val="002307BA"/>
    <w:rsid w:val="00230943"/>
    <w:rsid w:val="002309A7"/>
    <w:rsid w:val="002309AD"/>
    <w:rsid w:val="00230A71"/>
    <w:rsid w:val="00230A7D"/>
    <w:rsid w:val="00230BC7"/>
    <w:rsid w:val="00230D50"/>
    <w:rsid w:val="00230F15"/>
    <w:rsid w:val="00230F94"/>
    <w:rsid w:val="00230FC5"/>
    <w:rsid w:val="00231027"/>
    <w:rsid w:val="00231190"/>
    <w:rsid w:val="0023119F"/>
    <w:rsid w:val="00231237"/>
    <w:rsid w:val="00231290"/>
    <w:rsid w:val="0023129A"/>
    <w:rsid w:val="00231331"/>
    <w:rsid w:val="0023134C"/>
    <w:rsid w:val="00231351"/>
    <w:rsid w:val="0023138F"/>
    <w:rsid w:val="002313AE"/>
    <w:rsid w:val="00231415"/>
    <w:rsid w:val="002314F4"/>
    <w:rsid w:val="0023158B"/>
    <w:rsid w:val="0023160F"/>
    <w:rsid w:val="00231652"/>
    <w:rsid w:val="002316B0"/>
    <w:rsid w:val="002316CB"/>
    <w:rsid w:val="00231792"/>
    <w:rsid w:val="002317CB"/>
    <w:rsid w:val="0023184E"/>
    <w:rsid w:val="00231868"/>
    <w:rsid w:val="002318A9"/>
    <w:rsid w:val="0023192C"/>
    <w:rsid w:val="00231B01"/>
    <w:rsid w:val="00231BC9"/>
    <w:rsid w:val="00231D10"/>
    <w:rsid w:val="00231D5D"/>
    <w:rsid w:val="00231D78"/>
    <w:rsid w:val="00231DB9"/>
    <w:rsid w:val="00231EFE"/>
    <w:rsid w:val="00231F81"/>
    <w:rsid w:val="00231F85"/>
    <w:rsid w:val="00231FC9"/>
    <w:rsid w:val="00232008"/>
    <w:rsid w:val="002321BA"/>
    <w:rsid w:val="002321E6"/>
    <w:rsid w:val="002322D4"/>
    <w:rsid w:val="002322EF"/>
    <w:rsid w:val="00232326"/>
    <w:rsid w:val="002323BE"/>
    <w:rsid w:val="002323EB"/>
    <w:rsid w:val="002324A8"/>
    <w:rsid w:val="0023251E"/>
    <w:rsid w:val="0023264A"/>
    <w:rsid w:val="0023273C"/>
    <w:rsid w:val="0023273F"/>
    <w:rsid w:val="00232740"/>
    <w:rsid w:val="00232924"/>
    <w:rsid w:val="002329EF"/>
    <w:rsid w:val="00232A44"/>
    <w:rsid w:val="00232B43"/>
    <w:rsid w:val="00232C23"/>
    <w:rsid w:val="00232C86"/>
    <w:rsid w:val="00232D98"/>
    <w:rsid w:val="00232E33"/>
    <w:rsid w:val="00232E6F"/>
    <w:rsid w:val="00232F72"/>
    <w:rsid w:val="00232FB1"/>
    <w:rsid w:val="0023306E"/>
    <w:rsid w:val="00233267"/>
    <w:rsid w:val="00233325"/>
    <w:rsid w:val="0023332A"/>
    <w:rsid w:val="0023338D"/>
    <w:rsid w:val="002333C2"/>
    <w:rsid w:val="0023341F"/>
    <w:rsid w:val="002334A1"/>
    <w:rsid w:val="002334C2"/>
    <w:rsid w:val="0023355B"/>
    <w:rsid w:val="00233607"/>
    <w:rsid w:val="00233665"/>
    <w:rsid w:val="00233684"/>
    <w:rsid w:val="002336CF"/>
    <w:rsid w:val="0023374E"/>
    <w:rsid w:val="00233782"/>
    <w:rsid w:val="00233899"/>
    <w:rsid w:val="002338D1"/>
    <w:rsid w:val="00233914"/>
    <w:rsid w:val="00233AB5"/>
    <w:rsid w:val="00233AC8"/>
    <w:rsid w:val="00233DC1"/>
    <w:rsid w:val="00233DC2"/>
    <w:rsid w:val="00233E66"/>
    <w:rsid w:val="00234080"/>
    <w:rsid w:val="002340FA"/>
    <w:rsid w:val="00234251"/>
    <w:rsid w:val="00234317"/>
    <w:rsid w:val="00234446"/>
    <w:rsid w:val="00234470"/>
    <w:rsid w:val="0023459B"/>
    <w:rsid w:val="00234664"/>
    <w:rsid w:val="002346EB"/>
    <w:rsid w:val="0023473D"/>
    <w:rsid w:val="0023482F"/>
    <w:rsid w:val="00234B61"/>
    <w:rsid w:val="00234BB0"/>
    <w:rsid w:val="00234D32"/>
    <w:rsid w:val="00234DFA"/>
    <w:rsid w:val="00234EB5"/>
    <w:rsid w:val="00235079"/>
    <w:rsid w:val="002350F7"/>
    <w:rsid w:val="0023512D"/>
    <w:rsid w:val="00235142"/>
    <w:rsid w:val="0023517C"/>
    <w:rsid w:val="00235192"/>
    <w:rsid w:val="002351A7"/>
    <w:rsid w:val="002351F3"/>
    <w:rsid w:val="002351FE"/>
    <w:rsid w:val="00235203"/>
    <w:rsid w:val="002352BA"/>
    <w:rsid w:val="0023551C"/>
    <w:rsid w:val="00235532"/>
    <w:rsid w:val="00235601"/>
    <w:rsid w:val="00235653"/>
    <w:rsid w:val="002357B0"/>
    <w:rsid w:val="00235822"/>
    <w:rsid w:val="002358F9"/>
    <w:rsid w:val="0023599F"/>
    <w:rsid w:val="002359BB"/>
    <w:rsid w:val="002359C3"/>
    <w:rsid w:val="00235A7D"/>
    <w:rsid w:val="00235AA4"/>
    <w:rsid w:val="00235B3D"/>
    <w:rsid w:val="00235B85"/>
    <w:rsid w:val="00235C36"/>
    <w:rsid w:val="00235C44"/>
    <w:rsid w:val="00235C84"/>
    <w:rsid w:val="00235C8E"/>
    <w:rsid w:val="00235CD5"/>
    <w:rsid w:val="00235E92"/>
    <w:rsid w:val="00235EC5"/>
    <w:rsid w:val="00235F40"/>
    <w:rsid w:val="0023604E"/>
    <w:rsid w:val="0023608A"/>
    <w:rsid w:val="0023609D"/>
    <w:rsid w:val="00236123"/>
    <w:rsid w:val="002361CB"/>
    <w:rsid w:val="00236232"/>
    <w:rsid w:val="00236400"/>
    <w:rsid w:val="00236475"/>
    <w:rsid w:val="002364D4"/>
    <w:rsid w:val="0023655E"/>
    <w:rsid w:val="0023668A"/>
    <w:rsid w:val="00236699"/>
    <w:rsid w:val="0023672E"/>
    <w:rsid w:val="0023692D"/>
    <w:rsid w:val="00236A70"/>
    <w:rsid w:val="00236AF4"/>
    <w:rsid w:val="00236AFB"/>
    <w:rsid w:val="00236BE5"/>
    <w:rsid w:val="00236D63"/>
    <w:rsid w:val="00236DC4"/>
    <w:rsid w:val="0023720D"/>
    <w:rsid w:val="00237224"/>
    <w:rsid w:val="00237284"/>
    <w:rsid w:val="002372EE"/>
    <w:rsid w:val="0023739C"/>
    <w:rsid w:val="00237598"/>
    <w:rsid w:val="0023760A"/>
    <w:rsid w:val="00237663"/>
    <w:rsid w:val="0023766D"/>
    <w:rsid w:val="00237688"/>
    <w:rsid w:val="00237714"/>
    <w:rsid w:val="00237878"/>
    <w:rsid w:val="00237914"/>
    <w:rsid w:val="00237B20"/>
    <w:rsid w:val="00237B8B"/>
    <w:rsid w:val="00237B91"/>
    <w:rsid w:val="00237D66"/>
    <w:rsid w:val="00237DB8"/>
    <w:rsid w:val="00237DF2"/>
    <w:rsid w:val="00237EB8"/>
    <w:rsid w:val="00237EF4"/>
    <w:rsid w:val="00237F99"/>
    <w:rsid w:val="00237F9C"/>
    <w:rsid w:val="00237FA4"/>
    <w:rsid w:val="002400DE"/>
    <w:rsid w:val="0024011D"/>
    <w:rsid w:val="00240177"/>
    <w:rsid w:val="0024017B"/>
    <w:rsid w:val="002401D3"/>
    <w:rsid w:val="002401FD"/>
    <w:rsid w:val="0024029C"/>
    <w:rsid w:val="002402A3"/>
    <w:rsid w:val="002402F9"/>
    <w:rsid w:val="00240451"/>
    <w:rsid w:val="0024052B"/>
    <w:rsid w:val="002406D4"/>
    <w:rsid w:val="00240760"/>
    <w:rsid w:val="002407EA"/>
    <w:rsid w:val="002408FF"/>
    <w:rsid w:val="00240929"/>
    <w:rsid w:val="00240992"/>
    <w:rsid w:val="00240A1F"/>
    <w:rsid w:val="00240C46"/>
    <w:rsid w:val="00240CB5"/>
    <w:rsid w:val="00240D9D"/>
    <w:rsid w:val="00240DD7"/>
    <w:rsid w:val="00240DDC"/>
    <w:rsid w:val="00240E50"/>
    <w:rsid w:val="00240E5D"/>
    <w:rsid w:val="00240FDD"/>
    <w:rsid w:val="002410D8"/>
    <w:rsid w:val="0024120F"/>
    <w:rsid w:val="002412B2"/>
    <w:rsid w:val="002412BF"/>
    <w:rsid w:val="00241405"/>
    <w:rsid w:val="0024148E"/>
    <w:rsid w:val="0024150E"/>
    <w:rsid w:val="0024153E"/>
    <w:rsid w:val="002415AD"/>
    <w:rsid w:val="00241812"/>
    <w:rsid w:val="00241847"/>
    <w:rsid w:val="00241869"/>
    <w:rsid w:val="00241883"/>
    <w:rsid w:val="002418AE"/>
    <w:rsid w:val="002418D9"/>
    <w:rsid w:val="00241B6E"/>
    <w:rsid w:val="00241C37"/>
    <w:rsid w:val="00241CF9"/>
    <w:rsid w:val="00241D96"/>
    <w:rsid w:val="00241E69"/>
    <w:rsid w:val="00241E6B"/>
    <w:rsid w:val="00241EA5"/>
    <w:rsid w:val="00241F32"/>
    <w:rsid w:val="00241F47"/>
    <w:rsid w:val="00241F5B"/>
    <w:rsid w:val="00242015"/>
    <w:rsid w:val="00242084"/>
    <w:rsid w:val="0024214D"/>
    <w:rsid w:val="002421D4"/>
    <w:rsid w:val="002421E3"/>
    <w:rsid w:val="00242298"/>
    <w:rsid w:val="002423AD"/>
    <w:rsid w:val="00242416"/>
    <w:rsid w:val="0024241A"/>
    <w:rsid w:val="002424A4"/>
    <w:rsid w:val="00242546"/>
    <w:rsid w:val="002425E8"/>
    <w:rsid w:val="002426EE"/>
    <w:rsid w:val="002427AE"/>
    <w:rsid w:val="0024287D"/>
    <w:rsid w:val="00242890"/>
    <w:rsid w:val="00242925"/>
    <w:rsid w:val="002429F7"/>
    <w:rsid w:val="00242A53"/>
    <w:rsid w:val="00242A8E"/>
    <w:rsid w:val="00242C8F"/>
    <w:rsid w:val="00242D24"/>
    <w:rsid w:val="00242D53"/>
    <w:rsid w:val="00242D74"/>
    <w:rsid w:val="00242D90"/>
    <w:rsid w:val="00242DBA"/>
    <w:rsid w:val="00242EE7"/>
    <w:rsid w:val="00242F9D"/>
    <w:rsid w:val="00243088"/>
    <w:rsid w:val="002430F2"/>
    <w:rsid w:val="00243121"/>
    <w:rsid w:val="00243127"/>
    <w:rsid w:val="002431B8"/>
    <w:rsid w:val="00243248"/>
    <w:rsid w:val="0024327A"/>
    <w:rsid w:val="002432C6"/>
    <w:rsid w:val="0024343D"/>
    <w:rsid w:val="002435AE"/>
    <w:rsid w:val="00243657"/>
    <w:rsid w:val="0024366B"/>
    <w:rsid w:val="002436BA"/>
    <w:rsid w:val="002436C1"/>
    <w:rsid w:val="002436E9"/>
    <w:rsid w:val="002436EB"/>
    <w:rsid w:val="0024370B"/>
    <w:rsid w:val="00243848"/>
    <w:rsid w:val="002439A5"/>
    <w:rsid w:val="00243A39"/>
    <w:rsid w:val="00243AF7"/>
    <w:rsid w:val="00243B82"/>
    <w:rsid w:val="00243BD4"/>
    <w:rsid w:val="00243C7E"/>
    <w:rsid w:val="00243D0B"/>
    <w:rsid w:val="00243D24"/>
    <w:rsid w:val="00243ED5"/>
    <w:rsid w:val="00243F14"/>
    <w:rsid w:val="00243FAD"/>
    <w:rsid w:val="002440EB"/>
    <w:rsid w:val="002440EE"/>
    <w:rsid w:val="00244126"/>
    <w:rsid w:val="002441B2"/>
    <w:rsid w:val="002441E8"/>
    <w:rsid w:val="00244206"/>
    <w:rsid w:val="00244302"/>
    <w:rsid w:val="002443C6"/>
    <w:rsid w:val="00244500"/>
    <w:rsid w:val="00244689"/>
    <w:rsid w:val="002447A2"/>
    <w:rsid w:val="00244890"/>
    <w:rsid w:val="002448A9"/>
    <w:rsid w:val="002448BB"/>
    <w:rsid w:val="00244908"/>
    <w:rsid w:val="00244918"/>
    <w:rsid w:val="00244944"/>
    <w:rsid w:val="0024494B"/>
    <w:rsid w:val="00244A0C"/>
    <w:rsid w:val="00244B21"/>
    <w:rsid w:val="00244B32"/>
    <w:rsid w:val="00244B74"/>
    <w:rsid w:val="00244BE6"/>
    <w:rsid w:val="00244C37"/>
    <w:rsid w:val="00244C4E"/>
    <w:rsid w:val="00244CA0"/>
    <w:rsid w:val="00244DDA"/>
    <w:rsid w:val="00244FB9"/>
    <w:rsid w:val="00245010"/>
    <w:rsid w:val="0024515A"/>
    <w:rsid w:val="0024515C"/>
    <w:rsid w:val="002451C7"/>
    <w:rsid w:val="002452D4"/>
    <w:rsid w:val="00245379"/>
    <w:rsid w:val="002455F0"/>
    <w:rsid w:val="0024572C"/>
    <w:rsid w:val="0024574B"/>
    <w:rsid w:val="0024574C"/>
    <w:rsid w:val="00245802"/>
    <w:rsid w:val="00245845"/>
    <w:rsid w:val="0024587C"/>
    <w:rsid w:val="00245899"/>
    <w:rsid w:val="002458D4"/>
    <w:rsid w:val="002458E8"/>
    <w:rsid w:val="00245955"/>
    <w:rsid w:val="00245981"/>
    <w:rsid w:val="002459F7"/>
    <w:rsid w:val="00245A3F"/>
    <w:rsid w:val="00245A53"/>
    <w:rsid w:val="00245A96"/>
    <w:rsid w:val="00245AA3"/>
    <w:rsid w:val="00245B72"/>
    <w:rsid w:val="00245B83"/>
    <w:rsid w:val="00245B9A"/>
    <w:rsid w:val="00245C19"/>
    <w:rsid w:val="00245C71"/>
    <w:rsid w:val="00245D5D"/>
    <w:rsid w:val="00245D74"/>
    <w:rsid w:val="00245FB2"/>
    <w:rsid w:val="00245FC9"/>
    <w:rsid w:val="0024604A"/>
    <w:rsid w:val="002460E5"/>
    <w:rsid w:val="002461F4"/>
    <w:rsid w:val="0024623A"/>
    <w:rsid w:val="00246271"/>
    <w:rsid w:val="002463AA"/>
    <w:rsid w:val="002463D9"/>
    <w:rsid w:val="0024640A"/>
    <w:rsid w:val="0024652F"/>
    <w:rsid w:val="00246573"/>
    <w:rsid w:val="0024658B"/>
    <w:rsid w:val="002465A7"/>
    <w:rsid w:val="002466A7"/>
    <w:rsid w:val="00246854"/>
    <w:rsid w:val="002468E8"/>
    <w:rsid w:val="002469D3"/>
    <w:rsid w:val="00246BDC"/>
    <w:rsid w:val="00246D0E"/>
    <w:rsid w:val="00246D40"/>
    <w:rsid w:val="00246DAF"/>
    <w:rsid w:val="00246E61"/>
    <w:rsid w:val="00246EBE"/>
    <w:rsid w:val="00246FFF"/>
    <w:rsid w:val="0024703C"/>
    <w:rsid w:val="00247090"/>
    <w:rsid w:val="00247112"/>
    <w:rsid w:val="0024712E"/>
    <w:rsid w:val="00247140"/>
    <w:rsid w:val="00247191"/>
    <w:rsid w:val="0024723C"/>
    <w:rsid w:val="002472F7"/>
    <w:rsid w:val="00247376"/>
    <w:rsid w:val="0024747A"/>
    <w:rsid w:val="0024769B"/>
    <w:rsid w:val="002476D2"/>
    <w:rsid w:val="0024772F"/>
    <w:rsid w:val="00247860"/>
    <w:rsid w:val="00247876"/>
    <w:rsid w:val="0024789F"/>
    <w:rsid w:val="002478B1"/>
    <w:rsid w:val="00247A57"/>
    <w:rsid w:val="00247AF3"/>
    <w:rsid w:val="00247BC9"/>
    <w:rsid w:val="00247F39"/>
    <w:rsid w:val="00247F64"/>
    <w:rsid w:val="0025005A"/>
    <w:rsid w:val="0025012F"/>
    <w:rsid w:val="00250161"/>
    <w:rsid w:val="00250183"/>
    <w:rsid w:val="00250249"/>
    <w:rsid w:val="0025031D"/>
    <w:rsid w:val="00250469"/>
    <w:rsid w:val="00250599"/>
    <w:rsid w:val="00250653"/>
    <w:rsid w:val="00250730"/>
    <w:rsid w:val="0025079C"/>
    <w:rsid w:val="002507C0"/>
    <w:rsid w:val="002507D5"/>
    <w:rsid w:val="00250820"/>
    <w:rsid w:val="00250897"/>
    <w:rsid w:val="002508C6"/>
    <w:rsid w:val="00250901"/>
    <w:rsid w:val="0025095D"/>
    <w:rsid w:val="0025097A"/>
    <w:rsid w:val="002509CB"/>
    <w:rsid w:val="002509D0"/>
    <w:rsid w:val="00250A25"/>
    <w:rsid w:val="00250B82"/>
    <w:rsid w:val="00250CD9"/>
    <w:rsid w:val="00250CE2"/>
    <w:rsid w:val="00250CEE"/>
    <w:rsid w:val="00250D1B"/>
    <w:rsid w:val="00250D89"/>
    <w:rsid w:val="00250E5F"/>
    <w:rsid w:val="00250F73"/>
    <w:rsid w:val="00250FBC"/>
    <w:rsid w:val="00251012"/>
    <w:rsid w:val="00251046"/>
    <w:rsid w:val="002511FC"/>
    <w:rsid w:val="00251217"/>
    <w:rsid w:val="00251301"/>
    <w:rsid w:val="0025135B"/>
    <w:rsid w:val="00251434"/>
    <w:rsid w:val="00251479"/>
    <w:rsid w:val="002514D6"/>
    <w:rsid w:val="00251548"/>
    <w:rsid w:val="00251556"/>
    <w:rsid w:val="00251575"/>
    <w:rsid w:val="0025159C"/>
    <w:rsid w:val="002515A3"/>
    <w:rsid w:val="00251616"/>
    <w:rsid w:val="002517B5"/>
    <w:rsid w:val="002517CA"/>
    <w:rsid w:val="002518D5"/>
    <w:rsid w:val="0025190A"/>
    <w:rsid w:val="00251911"/>
    <w:rsid w:val="00251974"/>
    <w:rsid w:val="002519F0"/>
    <w:rsid w:val="00251A0E"/>
    <w:rsid w:val="00251AB6"/>
    <w:rsid w:val="00251AC0"/>
    <w:rsid w:val="00251AE9"/>
    <w:rsid w:val="00251B7E"/>
    <w:rsid w:val="00251C07"/>
    <w:rsid w:val="00251C7F"/>
    <w:rsid w:val="00251C86"/>
    <w:rsid w:val="00251C87"/>
    <w:rsid w:val="00251DD1"/>
    <w:rsid w:val="00251E80"/>
    <w:rsid w:val="00251F70"/>
    <w:rsid w:val="00251F75"/>
    <w:rsid w:val="00251F7C"/>
    <w:rsid w:val="00251FE6"/>
    <w:rsid w:val="00251FF6"/>
    <w:rsid w:val="0025206D"/>
    <w:rsid w:val="0025212E"/>
    <w:rsid w:val="00252157"/>
    <w:rsid w:val="0025221B"/>
    <w:rsid w:val="00252293"/>
    <w:rsid w:val="0025235A"/>
    <w:rsid w:val="0025244B"/>
    <w:rsid w:val="00252458"/>
    <w:rsid w:val="00252578"/>
    <w:rsid w:val="002525C4"/>
    <w:rsid w:val="002525D6"/>
    <w:rsid w:val="002525E5"/>
    <w:rsid w:val="00252600"/>
    <w:rsid w:val="00252660"/>
    <w:rsid w:val="0025270D"/>
    <w:rsid w:val="00252865"/>
    <w:rsid w:val="0025293F"/>
    <w:rsid w:val="002529E0"/>
    <w:rsid w:val="00252A73"/>
    <w:rsid w:val="00252A78"/>
    <w:rsid w:val="00252C39"/>
    <w:rsid w:val="00252CA7"/>
    <w:rsid w:val="00252D5C"/>
    <w:rsid w:val="00252DCC"/>
    <w:rsid w:val="00252FDB"/>
    <w:rsid w:val="00253026"/>
    <w:rsid w:val="00253049"/>
    <w:rsid w:val="002531FE"/>
    <w:rsid w:val="0025330F"/>
    <w:rsid w:val="002533B2"/>
    <w:rsid w:val="00253454"/>
    <w:rsid w:val="00253499"/>
    <w:rsid w:val="0025353E"/>
    <w:rsid w:val="00253630"/>
    <w:rsid w:val="0025366C"/>
    <w:rsid w:val="00253702"/>
    <w:rsid w:val="002537AB"/>
    <w:rsid w:val="002537C6"/>
    <w:rsid w:val="00253908"/>
    <w:rsid w:val="00253991"/>
    <w:rsid w:val="002539D6"/>
    <w:rsid w:val="00253A28"/>
    <w:rsid w:val="00253A38"/>
    <w:rsid w:val="00253ADA"/>
    <w:rsid w:val="00253B0E"/>
    <w:rsid w:val="00253BB8"/>
    <w:rsid w:val="00253CB0"/>
    <w:rsid w:val="00253D4E"/>
    <w:rsid w:val="00253EFE"/>
    <w:rsid w:val="00253F43"/>
    <w:rsid w:val="00254008"/>
    <w:rsid w:val="00254015"/>
    <w:rsid w:val="00254079"/>
    <w:rsid w:val="00254095"/>
    <w:rsid w:val="002540F6"/>
    <w:rsid w:val="00254124"/>
    <w:rsid w:val="00254127"/>
    <w:rsid w:val="0025416A"/>
    <w:rsid w:val="002541A4"/>
    <w:rsid w:val="002542E2"/>
    <w:rsid w:val="00254318"/>
    <w:rsid w:val="0025435C"/>
    <w:rsid w:val="00254516"/>
    <w:rsid w:val="00254658"/>
    <w:rsid w:val="00254663"/>
    <w:rsid w:val="00254770"/>
    <w:rsid w:val="002547C0"/>
    <w:rsid w:val="002547CC"/>
    <w:rsid w:val="00254804"/>
    <w:rsid w:val="0025485B"/>
    <w:rsid w:val="00254976"/>
    <w:rsid w:val="00254A75"/>
    <w:rsid w:val="00254B2E"/>
    <w:rsid w:val="00254B67"/>
    <w:rsid w:val="00254B8B"/>
    <w:rsid w:val="00254BC4"/>
    <w:rsid w:val="00254BC8"/>
    <w:rsid w:val="00254BF1"/>
    <w:rsid w:val="00254BFE"/>
    <w:rsid w:val="00254BFF"/>
    <w:rsid w:val="00254C73"/>
    <w:rsid w:val="00254C77"/>
    <w:rsid w:val="00254CCC"/>
    <w:rsid w:val="00254CFE"/>
    <w:rsid w:val="00254D96"/>
    <w:rsid w:val="00254E33"/>
    <w:rsid w:val="00254E5B"/>
    <w:rsid w:val="00254EA5"/>
    <w:rsid w:val="00254EC2"/>
    <w:rsid w:val="00254F90"/>
    <w:rsid w:val="00254FD0"/>
    <w:rsid w:val="002550E8"/>
    <w:rsid w:val="0025517D"/>
    <w:rsid w:val="00255234"/>
    <w:rsid w:val="00255236"/>
    <w:rsid w:val="0025531C"/>
    <w:rsid w:val="0025535A"/>
    <w:rsid w:val="002554BA"/>
    <w:rsid w:val="00255625"/>
    <w:rsid w:val="00255687"/>
    <w:rsid w:val="00255770"/>
    <w:rsid w:val="00255836"/>
    <w:rsid w:val="0025588D"/>
    <w:rsid w:val="002559EB"/>
    <w:rsid w:val="00255A16"/>
    <w:rsid w:val="00255A2E"/>
    <w:rsid w:val="00255A32"/>
    <w:rsid w:val="00255AEE"/>
    <w:rsid w:val="00255B3C"/>
    <w:rsid w:val="00255C57"/>
    <w:rsid w:val="00255C67"/>
    <w:rsid w:val="00255CAA"/>
    <w:rsid w:val="00255D1D"/>
    <w:rsid w:val="00255E1C"/>
    <w:rsid w:val="00255F03"/>
    <w:rsid w:val="00256002"/>
    <w:rsid w:val="0025600A"/>
    <w:rsid w:val="0025607F"/>
    <w:rsid w:val="0025610D"/>
    <w:rsid w:val="00256595"/>
    <w:rsid w:val="002565CA"/>
    <w:rsid w:val="00256708"/>
    <w:rsid w:val="00256736"/>
    <w:rsid w:val="00256771"/>
    <w:rsid w:val="002567A3"/>
    <w:rsid w:val="002567C3"/>
    <w:rsid w:val="00256846"/>
    <w:rsid w:val="00256A48"/>
    <w:rsid w:val="00256A95"/>
    <w:rsid w:val="00256AD6"/>
    <w:rsid w:val="00256BBA"/>
    <w:rsid w:val="00256C07"/>
    <w:rsid w:val="00256D1E"/>
    <w:rsid w:val="00256D73"/>
    <w:rsid w:val="00256E47"/>
    <w:rsid w:val="00256E68"/>
    <w:rsid w:val="00256E71"/>
    <w:rsid w:val="00256F02"/>
    <w:rsid w:val="00257078"/>
    <w:rsid w:val="0025710E"/>
    <w:rsid w:val="00257229"/>
    <w:rsid w:val="0025723D"/>
    <w:rsid w:val="00257255"/>
    <w:rsid w:val="00257321"/>
    <w:rsid w:val="0025738F"/>
    <w:rsid w:val="00257467"/>
    <w:rsid w:val="002574B8"/>
    <w:rsid w:val="0025758A"/>
    <w:rsid w:val="00257601"/>
    <w:rsid w:val="00257654"/>
    <w:rsid w:val="0025765D"/>
    <w:rsid w:val="00257740"/>
    <w:rsid w:val="00257770"/>
    <w:rsid w:val="0025779C"/>
    <w:rsid w:val="002577F1"/>
    <w:rsid w:val="0025789A"/>
    <w:rsid w:val="00257A63"/>
    <w:rsid w:val="00257A74"/>
    <w:rsid w:val="00257A7E"/>
    <w:rsid w:val="00257C7C"/>
    <w:rsid w:val="00257CB6"/>
    <w:rsid w:val="00257D46"/>
    <w:rsid w:val="00257D8C"/>
    <w:rsid w:val="00257E91"/>
    <w:rsid w:val="00257F5A"/>
    <w:rsid w:val="00257F87"/>
    <w:rsid w:val="0026010E"/>
    <w:rsid w:val="00260136"/>
    <w:rsid w:val="0026018D"/>
    <w:rsid w:val="00260224"/>
    <w:rsid w:val="002602E4"/>
    <w:rsid w:val="002602F1"/>
    <w:rsid w:val="00260311"/>
    <w:rsid w:val="0026033F"/>
    <w:rsid w:val="0026049A"/>
    <w:rsid w:val="00260511"/>
    <w:rsid w:val="00260531"/>
    <w:rsid w:val="00260602"/>
    <w:rsid w:val="00260648"/>
    <w:rsid w:val="00260661"/>
    <w:rsid w:val="00260765"/>
    <w:rsid w:val="0026079D"/>
    <w:rsid w:val="002609BB"/>
    <w:rsid w:val="00260A56"/>
    <w:rsid w:val="00260C2B"/>
    <w:rsid w:val="00260D38"/>
    <w:rsid w:val="00260DA1"/>
    <w:rsid w:val="00260DFD"/>
    <w:rsid w:val="00260E12"/>
    <w:rsid w:val="00260EB7"/>
    <w:rsid w:val="00261086"/>
    <w:rsid w:val="002610BD"/>
    <w:rsid w:val="00261125"/>
    <w:rsid w:val="0026112A"/>
    <w:rsid w:val="0026138D"/>
    <w:rsid w:val="0026145E"/>
    <w:rsid w:val="00261547"/>
    <w:rsid w:val="00261737"/>
    <w:rsid w:val="002617CD"/>
    <w:rsid w:val="00261872"/>
    <w:rsid w:val="00261888"/>
    <w:rsid w:val="002618F7"/>
    <w:rsid w:val="00261966"/>
    <w:rsid w:val="00261A1F"/>
    <w:rsid w:val="00261A38"/>
    <w:rsid w:val="00261AB8"/>
    <w:rsid w:val="00261C24"/>
    <w:rsid w:val="00261D25"/>
    <w:rsid w:val="00261D9A"/>
    <w:rsid w:val="00261DAD"/>
    <w:rsid w:val="00261E07"/>
    <w:rsid w:val="00261EF6"/>
    <w:rsid w:val="00262049"/>
    <w:rsid w:val="00262153"/>
    <w:rsid w:val="0026216D"/>
    <w:rsid w:val="002621D6"/>
    <w:rsid w:val="0026228A"/>
    <w:rsid w:val="002622B6"/>
    <w:rsid w:val="00262307"/>
    <w:rsid w:val="002623FA"/>
    <w:rsid w:val="00262582"/>
    <w:rsid w:val="00262645"/>
    <w:rsid w:val="00262662"/>
    <w:rsid w:val="0026266B"/>
    <w:rsid w:val="0026269E"/>
    <w:rsid w:val="002627EE"/>
    <w:rsid w:val="002628CD"/>
    <w:rsid w:val="00262A13"/>
    <w:rsid w:val="00262A21"/>
    <w:rsid w:val="00262B8C"/>
    <w:rsid w:val="00262DCA"/>
    <w:rsid w:val="00262E43"/>
    <w:rsid w:val="00262E50"/>
    <w:rsid w:val="00262FA0"/>
    <w:rsid w:val="00263088"/>
    <w:rsid w:val="002630AB"/>
    <w:rsid w:val="0026315B"/>
    <w:rsid w:val="00263177"/>
    <w:rsid w:val="0026321A"/>
    <w:rsid w:val="0026323A"/>
    <w:rsid w:val="00263359"/>
    <w:rsid w:val="00263372"/>
    <w:rsid w:val="002633E9"/>
    <w:rsid w:val="00263410"/>
    <w:rsid w:val="002634CB"/>
    <w:rsid w:val="0026360F"/>
    <w:rsid w:val="00263640"/>
    <w:rsid w:val="00263653"/>
    <w:rsid w:val="0026369F"/>
    <w:rsid w:val="00263721"/>
    <w:rsid w:val="002638D2"/>
    <w:rsid w:val="002638F2"/>
    <w:rsid w:val="0026396A"/>
    <w:rsid w:val="00263980"/>
    <w:rsid w:val="00263996"/>
    <w:rsid w:val="00263A37"/>
    <w:rsid w:val="00263A5D"/>
    <w:rsid w:val="00263AB3"/>
    <w:rsid w:val="00263AD0"/>
    <w:rsid w:val="00263AF5"/>
    <w:rsid w:val="00263BF3"/>
    <w:rsid w:val="00263C47"/>
    <w:rsid w:val="00263CB5"/>
    <w:rsid w:val="00263D0A"/>
    <w:rsid w:val="00263DB6"/>
    <w:rsid w:val="00263E1A"/>
    <w:rsid w:val="00263E88"/>
    <w:rsid w:val="00263F60"/>
    <w:rsid w:val="00263FB2"/>
    <w:rsid w:val="00264161"/>
    <w:rsid w:val="002641FD"/>
    <w:rsid w:val="00264352"/>
    <w:rsid w:val="0026438E"/>
    <w:rsid w:val="002643D7"/>
    <w:rsid w:val="00264404"/>
    <w:rsid w:val="002644D1"/>
    <w:rsid w:val="00264527"/>
    <w:rsid w:val="00264571"/>
    <w:rsid w:val="002645D6"/>
    <w:rsid w:val="0026461D"/>
    <w:rsid w:val="002646B3"/>
    <w:rsid w:val="00264779"/>
    <w:rsid w:val="00264821"/>
    <w:rsid w:val="00264867"/>
    <w:rsid w:val="00264AD2"/>
    <w:rsid w:val="00264B36"/>
    <w:rsid w:val="00264B7B"/>
    <w:rsid w:val="00264BA0"/>
    <w:rsid w:val="00264C8B"/>
    <w:rsid w:val="00264DF3"/>
    <w:rsid w:val="00264E46"/>
    <w:rsid w:val="00264EA5"/>
    <w:rsid w:val="00264F3F"/>
    <w:rsid w:val="00264F43"/>
    <w:rsid w:val="00265101"/>
    <w:rsid w:val="0026511C"/>
    <w:rsid w:val="00265332"/>
    <w:rsid w:val="0026539A"/>
    <w:rsid w:val="002653B6"/>
    <w:rsid w:val="002655DA"/>
    <w:rsid w:val="00265619"/>
    <w:rsid w:val="00265667"/>
    <w:rsid w:val="0026575B"/>
    <w:rsid w:val="002657C8"/>
    <w:rsid w:val="002657C9"/>
    <w:rsid w:val="002657EA"/>
    <w:rsid w:val="002659C7"/>
    <w:rsid w:val="002659FC"/>
    <w:rsid w:val="00265A22"/>
    <w:rsid w:val="00265A28"/>
    <w:rsid w:val="00265A85"/>
    <w:rsid w:val="00265AA7"/>
    <w:rsid w:val="00265AEC"/>
    <w:rsid w:val="00265B05"/>
    <w:rsid w:val="00265B07"/>
    <w:rsid w:val="00265B10"/>
    <w:rsid w:val="00265C2C"/>
    <w:rsid w:val="00265C80"/>
    <w:rsid w:val="00265DC9"/>
    <w:rsid w:val="00265E4F"/>
    <w:rsid w:val="00265F13"/>
    <w:rsid w:val="00266019"/>
    <w:rsid w:val="00266026"/>
    <w:rsid w:val="002661BA"/>
    <w:rsid w:val="002661CD"/>
    <w:rsid w:val="002661E1"/>
    <w:rsid w:val="0026622C"/>
    <w:rsid w:val="00266310"/>
    <w:rsid w:val="002663AD"/>
    <w:rsid w:val="00266455"/>
    <w:rsid w:val="0026662F"/>
    <w:rsid w:val="00266857"/>
    <w:rsid w:val="002668BE"/>
    <w:rsid w:val="00266957"/>
    <w:rsid w:val="0026698C"/>
    <w:rsid w:val="00266A56"/>
    <w:rsid w:val="00266B1A"/>
    <w:rsid w:val="00266C06"/>
    <w:rsid w:val="00266C67"/>
    <w:rsid w:val="00266D27"/>
    <w:rsid w:val="00266D94"/>
    <w:rsid w:val="00266E45"/>
    <w:rsid w:val="0026704F"/>
    <w:rsid w:val="00267115"/>
    <w:rsid w:val="00267117"/>
    <w:rsid w:val="00267321"/>
    <w:rsid w:val="002674DC"/>
    <w:rsid w:val="002675E9"/>
    <w:rsid w:val="00267607"/>
    <w:rsid w:val="0026764F"/>
    <w:rsid w:val="00267693"/>
    <w:rsid w:val="00267780"/>
    <w:rsid w:val="00267794"/>
    <w:rsid w:val="002677A2"/>
    <w:rsid w:val="002677A4"/>
    <w:rsid w:val="002677E3"/>
    <w:rsid w:val="002677FC"/>
    <w:rsid w:val="0026781F"/>
    <w:rsid w:val="00267923"/>
    <w:rsid w:val="0026793B"/>
    <w:rsid w:val="0026794D"/>
    <w:rsid w:val="002679A6"/>
    <w:rsid w:val="002679F0"/>
    <w:rsid w:val="00267A35"/>
    <w:rsid w:val="00267BC7"/>
    <w:rsid w:val="00267C66"/>
    <w:rsid w:val="00267C87"/>
    <w:rsid w:val="00267C9A"/>
    <w:rsid w:val="00267D00"/>
    <w:rsid w:val="00267D8B"/>
    <w:rsid w:val="00267F74"/>
    <w:rsid w:val="0027004C"/>
    <w:rsid w:val="0027006A"/>
    <w:rsid w:val="00270093"/>
    <w:rsid w:val="00270130"/>
    <w:rsid w:val="002701DC"/>
    <w:rsid w:val="00270428"/>
    <w:rsid w:val="00270480"/>
    <w:rsid w:val="002705BF"/>
    <w:rsid w:val="00270607"/>
    <w:rsid w:val="00270640"/>
    <w:rsid w:val="002706BF"/>
    <w:rsid w:val="0027076B"/>
    <w:rsid w:val="002708E5"/>
    <w:rsid w:val="0027094C"/>
    <w:rsid w:val="002709B0"/>
    <w:rsid w:val="002709D2"/>
    <w:rsid w:val="002709E2"/>
    <w:rsid w:val="00270A4A"/>
    <w:rsid w:val="00270A8A"/>
    <w:rsid w:val="00270B3F"/>
    <w:rsid w:val="00270BA2"/>
    <w:rsid w:val="00270CE8"/>
    <w:rsid w:val="00270CFA"/>
    <w:rsid w:val="00270DE4"/>
    <w:rsid w:val="00270F44"/>
    <w:rsid w:val="00270F61"/>
    <w:rsid w:val="00270FB0"/>
    <w:rsid w:val="0027102B"/>
    <w:rsid w:val="002713DD"/>
    <w:rsid w:val="00271459"/>
    <w:rsid w:val="00271501"/>
    <w:rsid w:val="0027150D"/>
    <w:rsid w:val="002715A2"/>
    <w:rsid w:val="0027165C"/>
    <w:rsid w:val="0027178C"/>
    <w:rsid w:val="0027179E"/>
    <w:rsid w:val="002718AB"/>
    <w:rsid w:val="0027194D"/>
    <w:rsid w:val="002719F1"/>
    <w:rsid w:val="00271ABB"/>
    <w:rsid w:val="00271AF3"/>
    <w:rsid w:val="00271B0E"/>
    <w:rsid w:val="00271BB1"/>
    <w:rsid w:val="00271BCE"/>
    <w:rsid w:val="00271BE1"/>
    <w:rsid w:val="00271D20"/>
    <w:rsid w:val="00271D28"/>
    <w:rsid w:val="00271DDC"/>
    <w:rsid w:val="00271E82"/>
    <w:rsid w:val="00271EE2"/>
    <w:rsid w:val="002720A6"/>
    <w:rsid w:val="0027222A"/>
    <w:rsid w:val="0027232E"/>
    <w:rsid w:val="002723EB"/>
    <w:rsid w:val="0027244E"/>
    <w:rsid w:val="002724DB"/>
    <w:rsid w:val="002726B0"/>
    <w:rsid w:val="002726C1"/>
    <w:rsid w:val="002726DC"/>
    <w:rsid w:val="0027288E"/>
    <w:rsid w:val="00272A29"/>
    <w:rsid w:val="00272AB4"/>
    <w:rsid w:val="00272ADC"/>
    <w:rsid w:val="00272B2F"/>
    <w:rsid w:val="00272B82"/>
    <w:rsid w:val="00272C30"/>
    <w:rsid w:val="00272C5A"/>
    <w:rsid w:val="00272D07"/>
    <w:rsid w:val="00272D25"/>
    <w:rsid w:val="00272D3D"/>
    <w:rsid w:val="00272D53"/>
    <w:rsid w:val="00272DFA"/>
    <w:rsid w:val="00272E80"/>
    <w:rsid w:val="00272E89"/>
    <w:rsid w:val="00272EB2"/>
    <w:rsid w:val="00272EDE"/>
    <w:rsid w:val="00272F31"/>
    <w:rsid w:val="00272F44"/>
    <w:rsid w:val="00272F6E"/>
    <w:rsid w:val="00272FF8"/>
    <w:rsid w:val="0027300A"/>
    <w:rsid w:val="0027300F"/>
    <w:rsid w:val="00273038"/>
    <w:rsid w:val="0027311E"/>
    <w:rsid w:val="00273123"/>
    <w:rsid w:val="002731C8"/>
    <w:rsid w:val="00273216"/>
    <w:rsid w:val="0027331A"/>
    <w:rsid w:val="00273333"/>
    <w:rsid w:val="002733D5"/>
    <w:rsid w:val="00273409"/>
    <w:rsid w:val="0027351F"/>
    <w:rsid w:val="002735CA"/>
    <w:rsid w:val="002735F5"/>
    <w:rsid w:val="00273660"/>
    <w:rsid w:val="002737B6"/>
    <w:rsid w:val="002738A3"/>
    <w:rsid w:val="002738C9"/>
    <w:rsid w:val="00273A00"/>
    <w:rsid w:val="00273A21"/>
    <w:rsid w:val="00273AF4"/>
    <w:rsid w:val="00273B13"/>
    <w:rsid w:val="00273B1B"/>
    <w:rsid w:val="00273C8A"/>
    <w:rsid w:val="00273CB4"/>
    <w:rsid w:val="00273D6F"/>
    <w:rsid w:val="00273E40"/>
    <w:rsid w:val="00273EB2"/>
    <w:rsid w:val="00273EF6"/>
    <w:rsid w:val="00273F6F"/>
    <w:rsid w:val="00273FA3"/>
    <w:rsid w:val="002740DF"/>
    <w:rsid w:val="00274168"/>
    <w:rsid w:val="00274180"/>
    <w:rsid w:val="0027426A"/>
    <w:rsid w:val="0027439E"/>
    <w:rsid w:val="002743DE"/>
    <w:rsid w:val="0027445A"/>
    <w:rsid w:val="00274479"/>
    <w:rsid w:val="00274574"/>
    <w:rsid w:val="0027458E"/>
    <w:rsid w:val="0027468F"/>
    <w:rsid w:val="00274780"/>
    <w:rsid w:val="002747A5"/>
    <w:rsid w:val="0027485D"/>
    <w:rsid w:val="00274861"/>
    <w:rsid w:val="00274873"/>
    <w:rsid w:val="00274922"/>
    <w:rsid w:val="002749CF"/>
    <w:rsid w:val="00274A3B"/>
    <w:rsid w:val="00274A6B"/>
    <w:rsid w:val="00274B90"/>
    <w:rsid w:val="00274BBD"/>
    <w:rsid w:val="00274FE4"/>
    <w:rsid w:val="00275055"/>
    <w:rsid w:val="0027512C"/>
    <w:rsid w:val="0027519F"/>
    <w:rsid w:val="002751C2"/>
    <w:rsid w:val="00275253"/>
    <w:rsid w:val="002752B5"/>
    <w:rsid w:val="002752CE"/>
    <w:rsid w:val="00275473"/>
    <w:rsid w:val="0027551B"/>
    <w:rsid w:val="00275534"/>
    <w:rsid w:val="002755DE"/>
    <w:rsid w:val="002755FD"/>
    <w:rsid w:val="002756DF"/>
    <w:rsid w:val="002756E3"/>
    <w:rsid w:val="002757C4"/>
    <w:rsid w:val="00275884"/>
    <w:rsid w:val="00275992"/>
    <w:rsid w:val="00275B6E"/>
    <w:rsid w:val="00275D37"/>
    <w:rsid w:val="00275DAD"/>
    <w:rsid w:val="00275DC7"/>
    <w:rsid w:val="00275DD3"/>
    <w:rsid w:val="00275E5B"/>
    <w:rsid w:val="00275EAD"/>
    <w:rsid w:val="00275EC1"/>
    <w:rsid w:val="00276073"/>
    <w:rsid w:val="00276195"/>
    <w:rsid w:val="002761BF"/>
    <w:rsid w:val="00276259"/>
    <w:rsid w:val="002762C4"/>
    <w:rsid w:val="002764B4"/>
    <w:rsid w:val="002765BA"/>
    <w:rsid w:val="002765BD"/>
    <w:rsid w:val="00276653"/>
    <w:rsid w:val="002766CC"/>
    <w:rsid w:val="002766EC"/>
    <w:rsid w:val="00276717"/>
    <w:rsid w:val="00276874"/>
    <w:rsid w:val="002769B7"/>
    <w:rsid w:val="00276A8A"/>
    <w:rsid w:val="00276ACB"/>
    <w:rsid w:val="00276AF3"/>
    <w:rsid w:val="00276B37"/>
    <w:rsid w:val="00276BE0"/>
    <w:rsid w:val="00276D80"/>
    <w:rsid w:val="00276D85"/>
    <w:rsid w:val="00276D92"/>
    <w:rsid w:val="00276F64"/>
    <w:rsid w:val="0027708F"/>
    <w:rsid w:val="002772B8"/>
    <w:rsid w:val="002773CE"/>
    <w:rsid w:val="002773E5"/>
    <w:rsid w:val="002774A8"/>
    <w:rsid w:val="00277557"/>
    <w:rsid w:val="00277616"/>
    <w:rsid w:val="00277650"/>
    <w:rsid w:val="002776E5"/>
    <w:rsid w:val="0027777D"/>
    <w:rsid w:val="002777F0"/>
    <w:rsid w:val="0027786B"/>
    <w:rsid w:val="00277897"/>
    <w:rsid w:val="002778B2"/>
    <w:rsid w:val="002779A2"/>
    <w:rsid w:val="00277BA5"/>
    <w:rsid w:val="00277BC8"/>
    <w:rsid w:val="00277C23"/>
    <w:rsid w:val="00277C6A"/>
    <w:rsid w:val="00277CD8"/>
    <w:rsid w:val="00277D9D"/>
    <w:rsid w:val="00277E05"/>
    <w:rsid w:val="00277E9E"/>
    <w:rsid w:val="00277F5C"/>
    <w:rsid w:val="00277F95"/>
    <w:rsid w:val="00277FA0"/>
    <w:rsid w:val="00277FF4"/>
    <w:rsid w:val="0028000C"/>
    <w:rsid w:val="002800C1"/>
    <w:rsid w:val="002800DE"/>
    <w:rsid w:val="0028012C"/>
    <w:rsid w:val="00280153"/>
    <w:rsid w:val="00280182"/>
    <w:rsid w:val="002801A5"/>
    <w:rsid w:val="002801CE"/>
    <w:rsid w:val="00280290"/>
    <w:rsid w:val="0028029B"/>
    <w:rsid w:val="002802BB"/>
    <w:rsid w:val="0028036F"/>
    <w:rsid w:val="00280448"/>
    <w:rsid w:val="00280575"/>
    <w:rsid w:val="00280614"/>
    <w:rsid w:val="0028068D"/>
    <w:rsid w:val="00280854"/>
    <w:rsid w:val="0028085A"/>
    <w:rsid w:val="00280A44"/>
    <w:rsid w:val="00280AA7"/>
    <w:rsid w:val="00280C2D"/>
    <w:rsid w:val="00280CD1"/>
    <w:rsid w:val="00280D4A"/>
    <w:rsid w:val="00280D51"/>
    <w:rsid w:val="00280EDA"/>
    <w:rsid w:val="00280FE3"/>
    <w:rsid w:val="0028104B"/>
    <w:rsid w:val="00281070"/>
    <w:rsid w:val="002810DE"/>
    <w:rsid w:val="002810FD"/>
    <w:rsid w:val="00281215"/>
    <w:rsid w:val="00281271"/>
    <w:rsid w:val="002813C9"/>
    <w:rsid w:val="002813E0"/>
    <w:rsid w:val="00281892"/>
    <w:rsid w:val="0028195B"/>
    <w:rsid w:val="00281A84"/>
    <w:rsid w:val="00281AA2"/>
    <w:rsid w:val="00281ACB"/>
    <w:rsid w:val="00281B98"/>
    <w:rsid w:val="00281C31"/>
    <w:rsid w:val="00281C60"/>
    <w:rsid w:val="00281C8A"/>
    <w:rsid w:val="00281C9A"/>
    <w:rsid w:val="00281CFE"/>
    <w:rsid w:val="00281E10"/>
    <w:rsid w:val="00281E82"/>
    <w:rsid w:val="0028218F"/>
    <w:rsid w:val="002821F3"/>
    <w:rsid w:val="00282244"/>
    <w:rsid w:val="00282393"/>
    <w:rsid w:val="002823D1"/>
    <w:rsid w:val="0028246D"/>
    <w:rsid w:val="00282472"/>
    <w:rsid w:val="0028248E"/>
    <w:rsid w:val="00282516"/>
    <w:rsid w:val="00282716"/>
    <w:rsid w:val="0028273D"/>
    <w:rsid w:val="00282808"/>
    <w:rsid w:val="00282A11"/>
    <w:rsid w:val="00282AAF"/>
    <w:rsid w:val="00282B33"/>
    <w:rsid w:val="00282B79"/>
    <w:rsid w:val="00282B90"/>
    <w:rsid w:val="00282B99"/>
    <w:rsid w:val="00282C76"/>
    <w:rsid w:val="00282D78"/>
    <w:rsid w:val="00282DE0"/>
    <w:rsid w:val="00282E0C"/>
    <w:rsid w:val="00282E56"/>
    <w:rsid w:val="00282EED"/>
    <w:rsid w:val="00282FB0"/>
    <w:rsid w:val="00282FC9"/>
    <w:rsid w:val="00282FD5"/>
    <w:rsid w:val="0028303B"/>
    <w:rsid w:val="002830D9"/>
    <w:rsid w:val="002830FD"/>
    <w:rsid w:val="00283146"/>
    <w:rsid w:val="002831E0"/>
    <w:rsid w:val="0028322F"/>
    <w:rsid w:val="00283272"/>
    <w:rsid w:val="00283326"/>
    <w:rsid w:val="0028337C"/>
    <w:rsid w:val="002833B9"/>
    <w:rsid w:val="002834BA"/>
    <w:rsid w:val="0028353D"/>
    <w:rsid w:val="0028357F"/>
    <w:rsid w:val="00283580"/>
    <w:rsid w:val="00283718"/>
    <w:rsid w:val="00283744"/>
    <w:rsid w:val="0028375C"/>
    <w:rsid w:val="0028396C"/>
    <w:rsid w:val="002839E2"/>
    <w:rsid w:val="00283A12"/>
    <w:rsid w:val="00283A86"/>
    <w:rsid w:val="00283ACE"/>
    <w:rsid w:val="00283AE9"/>
    <w:rsid w:val="00283AF8"/>
    <w:rsid w:val="00283B2F"/>
    <w:rsid w:val="00283C25"/>
    <w:rsid w:val="00283C5B"/>
    <w:rsid w:val="00283C69"/>
    <w:rsid w:val="00283D1D"/>
    <w:rsid w:val="00283D88"/>
    <w:rsid w:val="00283DBE"/>
    <w:rsid w:val="00283E5F"/>
    <w:rsid w:val="00283E94"/>
    <w:rsid w:val="00283FBA"/>
    <w:rsid w:val="00283FEC"/>
    <w:rsid w:val="0028402E"/>
    <w:rsid w:val="002840F0"/>
    <w:rsid w:val="0028413C"/>
    <w:rsid w:val="00284190"/>
    <w:rsid w:val="00284274"/>
    <w:rsid w:val="00284361"/>
    <w:rsid w:val="002843FD"/>
    <w:rsid w:val="00284417"/>
    <w:rsid w:val="00284555"/>
    <w:rsid w:val="002845A4"/>
    <w:rsid w:val="002846D9"/>
    <w:rsid w:val="002847D8"/>
    <w:rsid w:val="00284842"/>
    <w:rsid w:val="0028485F"/>
    <w:rsid w:val="002848E9"/>
    <w:rsid w:val="00284906"/>
    <w:rsid w:val="00284941"/>
    <w:rsid w:val="0028494F"/>
    <w:rsid w:val="002849B2"/>
    <w:rsid w:val="00284A61"/>
    <w:rsid w:val="00284E22"/>
    <w:rsid w:val="00284EDB"/>
    <w:rsid w:val="00284EF2"/>
    <w:rsid w:val="00285060"/>
    <w:rsid w:val="002850E2"/>
    <w:rsid w:val="002851CD"/>
    <w:rsid w:val="002851D9"/>
    <w:rsid w:val="0028533E"/>
    <w:rsid w:val="002853D0"/>
    <w:rsid w:val="002853FC"/>
    <w:rsid w:val="00285427"/>
    <w:rsid w:val="0028543C"/>
    <w:rsid w:val="002854A2"/>
    <w:rsid w:val="00285529"/>
    <w:rsid w:val="00285539"/>
    <w:rsid w:val="00285579"/>
    <w:rsid w:val="0028582B"/>
    <w:rsid w:val="0028589D"/>
    <w:rsid w:val="002858E3"/>
    <w:rsid w:val="0028598B"/>
    <w:rsid w:val="002859B6"/>
    <w:rsid w:val="002859B8"/>
    <w:rsid w:val="00285A57"/>
    <w:rsid w:val="00285BA3"/>
    <w:rsid w:val="00285BE5"/>
    <w:rsid w:val="00285CC8"/>
    <w:rsid w:val="00285DC8"/>
    <w:rsid w:val="00285E97"/>
    <w:rsid w:val="00285EB6"/>
    <w:rsid w:val="00285EE4"/>
    <w:rsid w:val="00285F02"/>
    <w:rsid w:val="00285FB2"/>
    <w:rsid w:val="0028616C"/>
    <w:rsid w:val="00286208"/>
    <w:rsid w:val="002862C3"/>
    <w:rsid w:val="00286335"/>
    <w:rsid w:val="002863BA"/>
    <w:rsid w:val="002863C8"/>
    <w:rsid w:val="002864E0"/>
    <w:rsid w:val="002864E9"/>
    <w:rsid w:val="0028655A"/>
    <w:rsid w:val="002865EB"/>
    <w:rsid w:val="002865F9"/>
    <w:rsid w:val="00286686"/>
    <w:rsid w:val="002866CD"/>
    <w:rsid w:val="002866D3"/>
    <w:rsid w:val="002866FB"/>
    <w:rsid w:val="00286701"/>
    <w:rsid w:val="00286772"/>
    <w:rsid w:val="002867C8"/>
    <w:rsid w:val="002869C8"/>
    <w:rsid w:val="002869CB"/>
    <w:rsid w:val="002869D7"/>
    <w:rsid w:val="002869FE"/>
    <w:rsid w:val="00286A79"/>
    <w:rsid w:val="00286A82"/>
    <w:rsid w:val="00286B79"/>
    <w:rsid w:val="00286C4B"/>
    <w:rsid w:val="00286CE0"/>
    <w:rsid w:val="00286D8F"/>
    <w:rsid w:val="00286E1F"/>
    <w:rsid w:val="00286EF5"/>
    <w:rsid w:val="00286F3A"/>
    <w:rsid w:val="00286F92"/>
    <w:rsid w:val="002870DB"/>
    <w:rsid w:val="00287121"/>
    <w:rsid w:val="00287272"/>
    <w:rsid w:val="00287327"/>
    <w:rsid w:val="00287354"/>
    <w:rsid w:val="00287367"/>
    <w:rsid w:val="002873C7"/>
    <w:rsid w:val="002874C7"/>
    <w:rsid w:val="002874F0"/>
    <w:rsid w:val="00287588"/>
    <w:rsid w:val="0028763B"/>
    <w:rsid w:val="002876C6"/>
    <w:rsid w:val="002876CB"/>
    <w:rsid w:val="002876DE"/>
    <w:rsid w:val="00287713"/>
    <w:rsid w:val="002878B1"/>
    <w:rsid w:val="0028796A"/>
    <w:rsid w:val="00287B36"/>
    <w:rsid w:val="00287B74"/>
    <w:rsid w:val="00287B77"/>
    <w:rsid w:val="00287C64"/>
    <w:rsid w:val="00287D02"/>
    <w:rsid w:val="00287D4C"/>
    <w:rsid w:val="00287E40"/>
    <w:rsid w:val="00287E7C"/>
    <w:rsid w:val="00287F45"/>
    <w:rsid w:val="0029019A"/>
    <w:rsid w:val="002902A1"/>
    <w:rsid w:val="002902C8"/>
    <w:rsid w:val="00290371"/>
    <w:rsid w:val="0029038D"/>
    <w:rsid w:val="00290496"/>
    <w:rsid w:val="002904A3"/>
    <w:rsid w:val="002905EE"/>
    <w:rsid w:val="0029070B"/>
    <w:rsid w:val="00290760"/>
    <w:rsid w:val="00290902"/>
    <w:rsid w:val="00290A52"/>
    <w:rsid w:val="00290B52"/>
    <w:rsid w:val="00290BC4"/>
    <w:rsid w:val="00290C09"/>
    <w:rsid w:val="00290C72"/>
    <w:rsid w:val="00290CB7"/>
    <w:rsid w:val="00290D07"/>
    <w:rsid w:val="00290EF5"/>
    <w:rsid w:val="00291005"/>
    <w:rsid w:val="002910F6"/>
    <w:rsid w:val="0029121D"/>
    <w:rsid w:val="00291235"/>
    <w:rsid w:val="002912FC"/>
    <w:rsid w:val="00291389"/>
    <w:rsid w:val="002913AB"/>
    <w:rsid w:val="002913D8"/>
    <w:rsid w:val="0029140C"/>
    <w:rsid w:val="0029158D"/>
    <w:rsid w:val="00291596"/>
    <w:rsid w:val="00291599"/>
    <w:rsid w:val="002917F4"/>
    <w:rsid w:val="0029182B"/>
    <w:rsid w:val="00291934"/>
    <w:rsid w:val="00291998"/>
    <w:rsid w:val="00291A57"/>
    <w:rsid w:val="00291AB7"/>
    <w:rsid w:val="00291B77"/>
    <w:rsid w:val="00291C50"/>
    <w:rsid w:val="00291C5D"/>
    <w:rsid w:val="00291C6C"/>
    <w:rsid w:val="00291D06"/>
    <w:rsid w:val="00291D15"/>
    <w:rsid w:val="00291DD0"/>
    <w:rsid w:val="00291E6C"/>
    <w:rsid w:val="00291F0E"/>
    <w:rsid w:val="00291F8E"/>
    <w:rsid w:val="00291FBF"/>
    <w:rsid w:val="00292096"/>
    <w:rsid w:val="002920F3"/>
    <w:rsid w:val="002920F5"/>
    <w:rsid w:val="00292135"/>
    <w:rsid w:val="002921A6"/>
    <w:rsid w:val="002921FA"/>
    <w:rsid w:val="00292204"/>
    <w:rsid w:val="0029225A"/>
    <w:rsid w:val="00292289"/>
    <w:rsid w:val="00292387"/>
    <w:rsid w:val="002923CE"/>
    <w:rsid w:val="00292421"/>
    <w:rsid w:val="0029242A"/>
    <w:rsid w:val="0029247F"/>
    <w:rsid w:val="00292559"/>
    <w:rsid w:val="002925AB"/>
    <w:rsid w:val="00292763"/>
    <w:rsid w:val="002927A3"/>
    <w:rsid w:val="002928DE"/>
    <w:rsid w:val="00292924"/>
    <w:rsid w:val="002929B1"/>
    <w:rsid w:val="00292A0C"/>
    <w:rsid w:val="00292A19"/>
    <w:rsid w:val="00292A1D"/>
    <w:rsid w:val="00292CA9"/>
    <w:rsid w:val="00292CF1"/>
    <w:rsid w:val="00292D1C"/>
    <w:rsid w:val="00292D66"/>
    <w:rsid w:val="00292F11"/>
    <w:rsid w:val="00292F9D"/>
    <w:rsid w:val="00293006"/>
    <w:rsid w:val="00293083"/>
    <w:rsid w:val="002930F7"/>
    <w:rsid w:val="00293239"/>
    <w:rsid w:val="0029335F"/>
    <w:rsid w:val="00293367"/>
    <w:rsid w:val="0029336C"/>
    <w:rsid w:val="002933B4"/>
    <w:rsid w:val="002933E7"/>
    <w:rsid w:val="002934D5"/>
    <w:rsid w:val="0029350D"/>
    <w:rsid w:val="002935AE"/>
    <w:rsid w:val="002935E6"/>
    <w:rsid w:val="00293653"/>
    <w:rsid w:val="00293726"/>
    <w:rsid w:val="002937E1"/>
    <w:rsid w:val="002937FA"/>
    <w:rsid w:val="00293847"/>
    <w:rsid w:val="00293855"/>
    <w:rsid w:val="00293862"/>
    <w:rsid w:val="0029386B"/>
    <w:rsid w:val="002938EF"/>
    <w:rsid w:val="00293A4B"/>
    <w:rsid w:val="00293A76"/>
    <w:rsid w:val="00293BC9"/>
    <w:rsid w:val="00293D6F"/>
    <w:rsid w:val="00293E49"/>
    <w:rsid w:val="00293EE1"/>
    <w:rsid w:val="00293F3B"/>
    <w:rsid w:val="00293FCF"/>
    <w:rsid w:val="0029413D"/>
    <w:rsid w:val="002941A2"/>
    <w:rsid w:val="002941D7"/>
    <w:rsid w:val="002941F1"/>
    <w:rsid w:val="002942AE"/>
    <w:rsid w:val="002942FF"/>
    <w:rsid w:val="0029433A"/>
    <w:rsid w:val="002944F7"/>
    <w:rsid w:val="0029460B"/>
    <w:rsid w:val="00294693"/>
    <w:rsid w:val="002946EF"/>
    <w:rsid w:val="00294714"/>
    <w:rsid w:val="00294863"/>
    <w:rsid w:val="0029498E"/>
    <w:rsid w:val="00294A25"/>
    <w:rsid w:val="00294AB9"/>
    <w:rsid w:val="00294AE2"/>
    <w:rsid w:val="00294B29"/>
    <w:rsid w:val="00294B4A"/>
    <w:rsid w:val="00294B59"/>
    <w:rsid w:val="00294BCC"/>
    <w:rsid w:val="00294D9D"/>
    <w:rsid w:val="00294EC3"/>
    <w:rsid w:val="00294F07"/>
    <w:rsid w:val="00294F2F"/>
    <w:rsid w:val="00295003"/>
    <w:rsid w:val="00295068"/>
    <w:rsid w:val="00295083"/>
    <w:rsid w:val="002951D8"/>
    <w:rsid w:val="0029522D"/>
    <w:rsid w:val="00295242"/>
    <w:rsid w:val="0029542D"/>
    <w:rsid w:val="00295569"/>
    <w:rsid w:val="002955E2"/>
    <w:rsid w:val="002955F3"/>
    <w:rsid w:val="00295729"/>
    <w:rsid w:val="00295734"/>
    <w:rsid w:val="002958E1"/>
    <w:rsid w:val="002959DF"/>
    <w:rsid w:val="00295B47"/>
    <w:rsid w:val="00295B88"/>
    <w:rsid w:val="00295C60"/>
    <w:rsid w:val="00295CCE"/>
    <w:rsid w:val="00295D5F"/>
    <w:rsid w:val="00295D75"/>
    <w:rsid w:val="00295E48"/>
    <w:rsid w:val="00295E82"/>
    <w:rsid w:val="00295F6F"/>
    <w:rsid w:val="0029601D"/>
    <w:rsid w:val="00296039"/>
    <w:rsid w:val="00296043"/>
    <w:rsid w:val="00296049"/>
    <w:rsid w:val="002960EC"/>
    <w:rsid w:val="0029613A"/>
    <w:rsid w:val="002961A4"/>
    <w:rsid w:val="002961CD"/>
    <w:rsid w:val="002961EF"/>
    <w:rsid w:val="00296280"/>
    <w:rsid w:val="002962DF"/>
    <w:rsid w:val="00296316"/>
    <w:rsid w:val="0029638E"/>
    <w:rsid w:val="00296403"/>
    <w:rsid w:val="0029653F"/>
    <w:rsid w:val="002965D3"/>
    <w:rsid w:val="002966C7"/>
    <w:rsid w:val="002966F9"/>
    <w:rsid w:val="00296702"/>
    <w:rsid w:val="0029679B"/>
    <w:rsid w:val="00296821"/>
    <w:rsid w:val="002968FA"/>
    <w:rsid w:val="0029697F"/>
    <w:rsid w:val="00296984"/>
    <w:rsid w:val="00296B29"/>
    <w:rsid w:val="00296BA1"/>
    <w:rsid w:val="00296D68"/>
    <w:rsid w:val="00296D73"/>
    <w:rsid w:val="00296D92"/>
    <w:rsid w:val="00296F6C"/>
    <w:rsid w:val="00296FA6"/>
    <w:rsid w:val="00296FF5"/>
    <w:rsid w:val="00297056"/>
    <w:rsid w:val="00297086"/>
    <w:rsid w:val="00297218"/>
    <w:rsid w:val="002972D7"/>
    <w:rsid w:val="002972F3"/>
    <w:rsid w:val="002973FB"/>
    <w:rsid w:val="00297501"/>
    <w:rsid w:val="002975B3"/>
    <w:rsid w:val="002975C3"/>
    <w:rsid w:val="002978C6"/>
    <w:rsid w:val="00297955"/>
    <w:rsid w:val="00297AC3"/>
    <w:rsid w:val="00297B27"/>
    <w:rsid w:val="00297B89"/>
    <w:rsid w:val="00297BD3"/>
    <w:rsid w:val="00297BE3"/>
    <w:rsid w:val="00297CFE"/>
    <w:rsid w:val="00297E73"/>
    <w:rsid w:val="00297EBE"/>
    <w:rsid w:val="00297EF8"/>
    <w:rsid w:val="00297F16"/>
    <w:rsid w:val="00297F44"/>
    <w:rsid w:val="00297F81"/>
    <w:rsid w:val="002A003B"/>
    <w:rsid w:val="002A009F"/>
    <w:rsid w:val="002A00B8"/>
    <w:rsid w:val="002A0172"/>
    <w:rsid w:val="002A01F7"/>
    <w:rsid w:val="002A032D"/>
    <w:rsid w:val="002A03BE"/>
    <w:rsid w:val="002A0416"/>
    <w:rsid w:val="002A0483"/>
    <w:rsid w:val="002A04C4"/>
    <w:rsid w:val="002A05B1"/>
    <w:rsid w:val="002A07F9"/>
    <w:rsid w:val="002A0804"/>
    <w:rsid w:val="002A0829"/>
    <w:rsid w:val="002A086E"/>
    <w:rsid w:val="002A0893"/>
    <w:rsid w:val="002A08A6"/>
    <w:rsid w:val="002A08A9"/>
    <w:rsid w:val="002A08B7"/>
    <w:rsid w:val="002A08BB"/>
    <w:rsid w:val="002A09A5"/>
    <w:rsid w:val="002A0A2C"/>
    <w:rsid w:val="002A0A40"/>
    <w:rsid w:val="002A0A79"/>
    <w:rsid w:val="002A0B83"/>
    <w:rsid w:val="002A0C30"/>
    <w:rsid w:val="002A0C37"/>
    <w:rsid w:val="002A0C63"/>
    <w:rsid w:val="002A0CCC"/>
    <w:rsid w:val="002A0E15"/>
    <w:rsid w:val="002A0ED5"/>
    <w:rsid w:val="002A10C2"/>
    <w:rsid w:val="002A116A"/>
    <w:rsid w:val="002A11E6"/>
    <w:rsid w:val="002A129A"/>
    <w:rsid w:val="002A12F9"/>
    <w:rsid w:val="002A1360"/>
    <w:rsid w:val="002A1375"/>
    <w:rsid w:val="002A1379"/>
    <w:rsid w:val="002A13B8"/>
    <w:rsid w:val="002A14C4"/>
    <w:rsid w:val="002A14E1"/>
    <w:rsid w:val="002A1517"/>
    <w:rsid w:val="002A16FB"/>
    <w:rsid w:val="002A1A5D"/>
    <w:rsid w:val="002A1B63"/>
    <w:rsid w:val="002A1D9A"/>
    <w:rsid w:val="002A1DE4"/>
    <w:rsid w:val="002A1E42"/>
    <w:rsid w:val="002A1F57"/>
    <w:rsid w:val="002A1FFD"/>
    <w:rsid w:val="002A2036"/>
    <w:rsid w:val="002A20A7"/>
    <w:rsid w:val="002A216C"/>
    <w:rsid w:val="002A2288"/>
    <w:rsid w:val="002A2430"/>
    <w:rsid w:val="002A2472"/>
    <w:rsid w:val="002A24AB"/>
    <w:rsid w:val="002A24C2"/>
    <w:rsid w:val="002A2555"/>
    <w:rsid w:val="002A2597"/>
    <w:rsid w:val="002A270E"/>
    <w:rsid w:val="002A2714"/>
    <w:rsid w:val="002A2716"/>
    <w:rsid w:val="002A2789"/>
    <w:rsid w:val="002A2845"/>
    <w:rsid w:val="002A292D"/>
    <w:rsid w:val="002A2984"/>
    <w:rsid w:val="002A2B2B"/>
    <w:rsid w:val="002A2B79"/>
    <w:rsid w:val="002A2BC1"/>
    <w:rsid w:val="002A2BD4"/>
    <w:rsid w:val="002A2C2E"/>
    <w:rsid w:val="002A2C78"/>
    <w:rsid w:val="002A2C85"/>
    <w:rsid w:val="002A2CBF"/>
    <w:rsid w:val="002A2D35"/>
    <w:rsid w:val="002A2D80"/>
    <w:rsid w:val="002A2E42"/>
    <w:rsid w:val="002A2E4B"/>
    <w:rsid w:val="002A2EF1"/>
    <w:rsid w:val="002A30D9"/>
    <w:rsid w:val="002A3120"/>
    <w:rsid w:val="002A316D"/>
    <w:rsid w:val="002A3258"/>
    <w:rsid w:val="002A33DB"/>
    <w:rsid w:val="002A34C8"/>
    <w:rsid w:val="002A34ED"/>
    <w:rsid w:val="002A3584"/>
    <w:rsid w:val="002A35DA"/>
    <w:rsid w:val="002A3625"/>
    <w:rsid w:val="002A3694"/>
    <w:rsid w:val="002A376A"/>
    <w:rsid w:val="002A388E"/>
    <w:rsid w:val="002A3894"/>
    <w:rsid w:val="002A3895"/>
    <w:rsid w:val="002A38A0"/>
    <w:rsid w:val="002A38A5"/>
    <w:rsid w:val="002A397F"/>
    <w:rsid w:val="002A3B51"/>
    <w:rsid w:val="002A3BA2"/>
    <w:rsid w:val="002A3BBA"/>
    <w:rsid w:val="002A3BBD"/>
    <w:rsid w:val="002A3CCD"/>
    <w:rsid w:val="002A3D0F"/>
    <w:rsid w:val="002A3D56"/>
    <w:rsid w:val="002A3DF3"/>
    <w:rsid w:val="002A3E05"/>
    <w:rsid w:val="002A3EEB"/>
    <w:rsid w:val="002A3F97"/>
    <w:rsid w:val="002A40B2"/>
    <w:rsid w:val="002A40EE"/>
    <w:rsid w:val="002A41F3"/>
    <w:rsid w:val="002A4204"/>
    <w:rsid w:val="002A42C1"/>
    <w:rsid w:val="002A43E4"/>
    <w:rsid w:val="002A4527"/>
    <w:rsid w:val="002A456A"/>
    <w:rsid w:val="002A4592"/>
    <w:rsid w:val="002A45CA"/>
    <w:rsid w:val="002A470D"/>
    <w:rsid w:val="002A4859"/>
    <w:rsid w:val="002A48AE"/>
    <w:rsid w:val="002A4931"/>
    <w:rsid w:val="002A49CE"/>
    <w:rsid w:val="002A4A33"/>
    <w:rsid w:val="002A4A67"/>
    <w:rsid w:val="002A4AA2"/>
    <w:rsid w:val="002A4ABD"/>
    <w:rsid w:val="002A4ADA"/>
    <w:rsid w:val="002A4B17"/>
    <w:rsid w:val="002A4B51"/>
    <w:rsid w:val="002A4BE0"/>
    <w:rsid w:val="002A4C02"/>
    <w:rsid w:val="002A4DC9"/>
    <w:rsid w:val="002A4DF8"/>
    <w:rsid w:val="002A4E3E"/>
    <w:rsid w:val="002A4E4A"/>
    <w:rsid w:val="002A4E90"/>
    <w:rsid w:val="002A4EA2"/>
    <w:rsid w:val="002A4EC0"/>
    <w:rsid w:val="002A4FD1"/>
    <w:rsid w:val="002A5034"/>
    <w:rsid w:val="002A5061"/>
    <w:rsid w:val="002A5077"/>
    <w:rsid w:val="002A50FF"/>
    <w:rsid w:val="002A5130"/>
    <w:rsid w:val="002A515C"/>
    <w:rsid w:val="002A5368"/>
    <w:rsid w:val="002A5379"/>
    <w:rsid w:val="002A53D6"/>
    <w:rsid w:val="002A5473"/>
    <w:rsid w:val="002A5493"/>
    <w:rsid w:val="002A54EF"/>
    <w:rsid w:val="002A5560"/>
    <w:rsid w:val="002A55FA"/>
    <w:rsid w:val="002A564F"/>
    <w:rsid w:val="002A568D"/>
    <w:rsid w:val="002A581C"/>
    <w:rsid w:val="002A584B"/>
    <w:rsid w:val="002A584C"/>
    <w:rsid w:val="002A5907"/>
    <w:rsid w:val="002A5984"/>
    <w:rsid w:val="002A5A12"/>
    <w:rsid w:val="002A5ACF"/>
    <w:rsid w:val="002A5B2A"/>
    <w:rsid w:val="002A5BAD"/>
    <w:rsid w:val="002A5C34"/>
    <w:rsid w:val="002A5C74"/>
    <w:rsid w:val="002A5E5E"/>
    <w:rsid w:val="002A5EE8"/>
    <w:rsid w:val="002A5EF3"/>
    <w:rsid w:val="002A6052"/>
    <w:rsid w:val="002A615F"/>
    <w:rsid w:val="002A6169"/>
    <w:rsid w:val="002A61F9"/>
    <w:rsid w:val="002A62F7"/>
    <w:rsid w:val="002A6399"/>
    <w:rsid w:val="002A63D0"/>
    <w:rsid w:val="002A663B"/>
    <w:rsid w:val="002A668F"/>
    <w:rsid w:val="002A66AC"/>
    <w:rsid w:val="002A6743"/>
    <w:rsid w:val="002A6751"/>
    <w:rsid w:val="002A68BC"/>
    <w:rsid w:val="002A6ADD"/>
    <w:rsid w:val="002A6C73"/>
    <w:rsid w:val="002A6CAB"/>
    <w:rsid w:val="002A6CB4"/>
    <w:rsid w:val="002A6CBE"/>
    <w:rsid w:val="002A6CEB"/>
    <w:rsid w:val="002A6D85"/>
    <w:rsid w:val="002A6D8F"/>
    <w:rsid w:val="002A6DA2"/>
    <w:rsid w:val="002A6DAF"/>
    <w:rsid w:val="002A6E84"/>
    <w:rsid w:val="002A6EC0"/>
    <w:rsid w:val="002A6F01"/>
    <w:rsid w:val="002A6F29"/>
    <w:rsid w:val="002A7121"/>
    <w:rsid w:val="002A71D0"/>
    <w:rsid w:val="002A7239"/>
    <w:rsid w:val="002A7324"/>
    <w:rsid w:val="002A777F"/>
    <w:rsid w:val="002A7790"/>
    <w:rsid w:val="002A77AD"/>
    <w:rsid w:val="002A78BA"/>
    <w:rsid w:val="002A78C2"/>
    <w:rsid w:val="002A790F"/>
    <w:rsid w:val="002A7937"/>
    <w:rsid w:val="002A7CF7"/>
    <w:rsid w:val="002A7E1C"/>
    <w:rsid w:val="002A7EBA"/>
    <w:rsid w:val="002B00B4"/>
    <w:rsid w:val="002B00E5"/>
    <w:rsid w:val="002B019B"/>
    <w:rsid w:val="002B01A9"/>
    <w:rsid w:val="002B02BC"/>
    <w:rsid w:val="002B0343"/>
    <w:rsid w:val="002B0380"/>
    <w:rsid w:val="002B03EC"/>
    <w:rsid w:val="002B04D5"/>
    <w:rsid w:val="002B0630"/>
    <w:rsid w:val="002B06A5"/>
    <w:rsid w:val="002B078A"/>
    <w:rsid w:val="002B0860"/>
    <w:rsid w:val="002B09C3"/>
    <w:rsid w:val="002B09CB"/>
    <w:rsid w:val="002B09FC"/>
    <w:rsid w:val="002B0AFF"/>
    <w:rsid w:val="002B0BB5"/>
    <w:rsid w:val="002B0C58"/>
    <w:rsid w:val="002B0C94"/>
    <w:rsid w:val="002B0CAC"/>
    <w:rsid w:val="002B0CF6"/>
    <w:rsid w:val="002B0D44"/>
    <w:rsid w:val="002B0DD1"/>
    <w:rsid w:val="002B0DE9"/>
    <w:rsid w:val="002B0E72"/>
    <w:rsid w:val="002B0FF4"/>
    <w:rsid w:val="002B10FC"/>
    <w:rsid w:val="002B1117"/>
    <w:rsid w:val="002B12C8"/>
    <w:rsid w:val="002B1318"/>
    <w:rsid w:val="002B1340"/>
    <w:rsid w:val="002B1345"/>
    <w:rsid w:val="002B140B"/>
    <w:rsid w:val="002B1466"/>
    <w:rsid w:val="002B146D"/>
    <w:rsid w:val="002B1481"/>
    <w:rsid w:val="002B1515"/>
    <w:rsid w:val="002B1649"/>
    <w:rsid w:val="002B1760"/>
    <w:rsid w:val="002B17F0"/>
    <w:rsid w:val="002B1AC8"/>
    <w:rsid w:val="002B1ACF"/>
    <w:rsid w:val="002B1AF3"/>
    <w:rsid w:val="002B1B35"/>
    <w:rsid w:val="002B1C17"/>
    <w:rsid w:val="002B1C5D"/>
    <w:rsid w:val="002B1C87"/>
    <w:rsid w:val="002B1CE2"/>
    <w:rsid w:val="002B1CE4"/>
    <w:rsid w:val="002B1CF1"/>
    <w:rsid w:val="002B1DA5"/>
    <w:rsid w:val="002B1E1E"/>
    <w:rsid w:val="002B1E39"/>
    <w:rsid w:val="002B1E42"/>
    <w:rsid w:val="002B21BF"/>
    <w:rsid w:val="002B21C3"/>
    <w:rsid w:val="002B2227"/>
    <w:rsid w:val="002B2353"/>
    <w:rsid w:val="002B2365"/>
    <w:rsid w:val="002B2381"/>
    <w:rsid w:val="002B247B"/>
    <w:rsid w:val="002B2505"/>
    <w:rsid w:val="002B257D"/>
    <w:rsid w:val="002B2620"/>
    <w:rsid w:val="002B2631"/>
    <w:rsid w:val="002B26B7"/>
    <w:rsid w:val="002B26D0"/>
    <w:rsid w:val="002B271D"/>
    <w:rsid w:val="002B2810"/>
    <w:rsid w:val="002B2845"/>
    <w:rsid w:val="002B28AA"/>
    <w:rsid w:val="002B294E"/>
    <w:rsid w:val="002B29BB"/>
    <w:rsid w:val="002B29C2"/>
    <w:rsid w:val="002B2A42"/>
    <w:rsid w:val="002B2A9E"/>
    <w:rsid w:val="002B2AA6"/>
    <w:rsid w:val="002B2BD7"/>
    <w:rsid w:val="002B2C8C"/>
    <w:rsid w:val="002B2D58"/>
    <w:rsid w:val="002B2D5F"/>
    <w:rsid w:val="002B2E26"/>
    <w:rsid w:val="002B2EB6"/>
    <w:rsid w:val="002B2EF1"/>
    <w:rsid w:val="002B2F55"/>
    <w:rsid w:val="002B2FE7"/>
    <w:rsid w:val="002B3097"/>
    <w:rsid w:val="002B30DB"/>
    <w:rsid w:val="002B30E7"/>
    <w:rsid w:val="002B3145"/>
    <w:rsid w:val="002B3165"/>
    <w:rsid w:val="002B316B"/>
    <w:rsid w:val="002B31EF"/>
    <w:rsid w:val="002B32BC"/>
    <w:rsid w:val="002B364F"/>
    <w:rsid w:val="002B365D"/>
    <w:rsid w:val="002B36E6"/>
    <w:rsid w:val="002B370E"/>
    <w:rsid w:val="002B37F5"/>
    <w:rsid w:val="002B3805"/>
    <w:rsid w:val="002B381D"/>
    <w:rsid w:val="002B388D"/>
    <w:rsid w:val="002B38D6"/>
    <w:rsid w:val="002B3909"/>
    <w:rsid w:val="002B391E"/>
    <w:rsid w:val="002B399A"/>
    <w:rsid w:val="002B3A11"/>
    <w:rsid w:val="002B3A4E"/>
    <w:rsid w:val="002B3B6A"/>
    <w:rsid w:val="002B3D86"/>
    <w:rsid w:val="002B3D92"/>
    <w:rsid w:val="002B3E9C"/>
    <w:rsid w:val="002B3F3A"/>
    <w:rsid w:val="002B3F58"/>
    <w:rsid w:val="002B3FF8"/>
    <w:rsid w:val="002B4027"/>
    <w:rsid w:val="002B40BC"/>
    <w:rsid w:val="002B40C2"/>
    <w:rsid w:val="002B416A"/>
    <w:rsid w:val="002B4276"/>
    <w:rsid w:val="002B4283"/>
    <w:rsid w:val="002B42DC"/>
    <w:rsid w:val="002B4374"/>
    <w:rsid w:val="002B443A"/>
    <w:rsid w:val="002B4532"/>
    <w:rsid w:val="002B45C1"/>
    <w:rsid w:val="002B4706"/>
    <w:rsid w:val="002B4711"/>
    <w:rsid w:val="002B4871"/>
    <w:rsid w:val="002B48E6"/>
    <w:rsid w:val="002B49C9"/>
    <w:rsid w:val="002B4A41"/>
    <w:rsid w:val="002B4AB9"/>
    <w:rsid w:val="002B4B1A"/>
    <w:rsid w:val="002B4B84"/>
    <w:rsid w:val="002B4BD4"/>
    <w:rsid w:val="002B4CCE"/>
    <w:rsid w:val="002B4D8D"/>
    <w:rsid w:val="002B4E9D"/>
    <w:rsid w:val="002B51D1"/>
    <w:rsid w:val="002B524D"/>
    <w:rsid w:val="002B52D0"/>
    <w:rsid w:val="002B539B"/>
    <w:rsid w:val="002B5543"/>
    <w:rsid w:val="002B5596"/>
    <w:rsid w:val="002B5865"/>
    <w:rsid w:val="002B5886"/>
    <w:rsid w:val="002B59F9"/>
    <w:rsid w:val="002B5B93"/>
    <w:rsid w:val="002B5C2A"/>
    <w:rsid w:val="002B5CBC"/>
    <w:rsid w:val="002B5D94"/>
    <w:rsid w:val="002B5EAB"/>
    <w:rsid w:val="002B5F2E"/>
    <w:rsid w:val="002B5F85"/>
    <w:rsid w:val="002B5FF9"/>
    <w:rsid w:val="002B60D5"/>
    <w:rsid w:val="002B61A8"/>
    <w:rsid w:val="002B625B"/>
    <w:rsid w:val="002B627A"/>
    <w:rsid w:val="002B62BC"/>
    <w:rsid w:val="002B62C6"/>
    <w:rsid w:val="002B63BA"/>
    <w:rsid w:val="002B63C6"/>
    <w:rsid w:val="002B63F0"/>
    <w:rsid w:val="002B6459"/>
    <w:rsid w:val="002B65E2"/>
    <w:rsid w:val="002B6721"/>
    <w:rsid w:val="002B6819"/>
    <w:rsid w:val="002B6A02"/>
    <w:rsid w:val="002B6A99"/>
    <w:rsid w:val="002B6C8F"/>
    <w:rsid w:val="002B6E46"/>
    <w:rsid w:val="002B6E6D"/>
    <w:rsid w:val="002B6EA3"/>
    <w:rsid w:val="002B7265"/>
    <w:rsid w:val="002B74D0"/>
    <w:rsid w:val="002B7635"/>
    <w:rsid w:val="002B76CF"/>
    <w:rsid w:val="002B7703"/>
    <w:rsid w:val="002B77A9"/>
    <w:rsid w:val="002B7839"/>
    <w:rsid w:val="002B78B4"/>
    <w:rsid w:val="002B78BE"/>
    <w:rsid w:val="002B78DB"/>
    <w:rsid w:val="002B791A"/>
    <w:rsid w:val="002B7B2E"/>
    <w:rsid w:val="002B7B45"/>
    <w:rsid w:val="002B7B65"/>
    <w:rsid w:val="002B7BEA"/>
    <w:rsid w:val="002B7BF5"/>
    <w:rsid w:val="002B7C79"/>
    <w:rsid w:val="002B7CF6"/>
    <w:rsid w:val="002B7E89"/>
    <w:rsid w:val="002B7E8C"/>
    <w:rsid w:val="002B7EC0"/>
    <w:rsid w:val="002B7EF9"/>
    <w:rsid w:val="002B7F17"/>
    <w:rsid w:val="002B7F5B"/>
    <w:rsid w:val="002B7F78"/>
    <w:rsid w:val="002B7FD5"/>
    <w:rsid w:val="002B7FE2"/>
    <w:rsid w:val="002C01A1"/>
    <w:rsid w:val="002C02F7"/>
    <w:rsid w:val="002C02FE"/>
    <w:rsid w:val="002C0371"/>
    <w:rsid w:val="002C040C"/>
    <w:rsid w:val="002C046F"/>
    <w:rsid w:val="002C051C"/>
    <w:rsid w:val="002C0558"/>
    <w:rsid w:val="002C06B4"/>
    <w:rsid w:val="002C0737"/>
    <w:rsid w:val="002C0752"/>
    <w:rsid w:val="002C078F"/>
    <w:rsid w:val="002C0824"/>
    <w:rsid w:val="002C09B8"/>
    <w:rsid w:val="002C09BD"/>
    <w:rsid w:val="002C0A5F"/>
    <w:rsid w:val="002C0A93"/>
    <w:rsid w:val="002C0A95"/>
    <w:rsid w:val="002C0B36"/>
    <w:rsid w:val="002C0B8E"/>
    <w:rsid w:val="002C0B94"/>
    <w:rsid w:val="002C0C13"/>
    <w:rsid w:val="002C0C44"/>
    <w:rsid w:val="002C0DD1"/>
    <w:rsid w:val="002C1008"/>
    <w:rsid w:val="002C114D"/>
    <w:rsid w:val="002C11FE"/>
    <w:rsid w:val="002C124B"/>
    <w:rsid w:val="002C125C"/>
    <w:rsid w:val="002C127E"/>
    <w:rsid w:val="002C1293"/>
    <w:rsid w:val="002C1303"/>
    <w:rsid w:val="002C13D1"/>
    <w:rsid w:val="002C13FC"/>
    <w:rsid w:val="002C1512"/>
    <w:rsid w:val="002C1587"/>
    <w:rsid w:val="002C168A"/>
    <w:rsid w:val="002C16BB"/>
    <w:rsid w:val="002C18C5"/>
    <w:rsid w:val="002C194D"/>
    <w:rsid w:val="002C1965"/>
    <w:rsid w:val="002C1AAD"/>
    <w:rsid w:val="002C1AB2"/>
    <w:rsid w:val="002C1C41"/>
    <w:rsid w:val="002C1C46"/>
    <w:rsid w:val="002C1C49"/>
    <w:rsid w:val="002C1CE5"/>
    <w:rsid w:val="002C1DF1"/>
    <w:rsid w:val="002C1E2B"/>
    <w:rsid w:val="002C1E7F"/>
    <w:rsid w:val="002C1EDE"/>
    <w:rsid w:val="002C1F4C"/>
    <w:rsid w:val="002C1F85"/>
    <w:rsid w:val="002C202A"/>
    <w:rsid w:val="002C2036"/>
    <w:rsid w:val="002C206C"/>
    <w:rsid w:val="002C20BC"/>
    <w:rsid w:val="002C210B"/>
    <w:rsid w:val="002C218C"/>
    <w:rsid w:val="002C21E8"/>
    <w:rsid w:val="002C233C"/>
    <w:rsid w:val="002C2387"/>
    <w:rsid w:val="002C23BA"/>
    <w:rsid w:val="002C2429"/>
    <w:rsid w:val="002C257D"/>
    <w:rsid w:val="002C25B7"/>
    <w:rsid w:val="002C268B"/>
    <w:rsid w:val="002C2735"/>
    <w:rsid w:val="002C2738"/>
    <w:rsid w:val="002C2870"/>
    <w:rsid w:val="002C28F4"/>
    <w:rsid w:val="002C29E7"/>
    <w:rsid w:val="002C2A84"/>
    <w:rsid w:val="002C2A8D"/>
    <w:rsid w:val="002C2B57"/>
    <w:rsid w:val="002C2B6A"/>
    <w:rsid w:val="002C2BED"/>
    <w:rsid w:val="002C2CEE"/>
    <w:rsid w:val="002C2E0B"/>
    <w:rsid w:val="002C2E4B"/>
    <w:rsid w:val="002C2E79"/>
    <w:rsid w:val="002C2EB5"/>
    <w:rsid w:val="002C3001"/>
    <w:rsid w:val="002C3060"/>
    <w:rsid w:val="002C309A"/>
    <w:rsid w:val="002C30AF"/>
    <w:rsid w:val="002C3112"/>
    <w:rsid w:val="002C31E3"/>
    <w:rsid w:val="002C3224"/>
    <w:rsid w:val="002C326B"/>
    <w:rsid w:val="002C33AE"/>
    <w:rsid w:val="002C34E7"/>
    <w:rsid w:val="002C377B"/>
    <w:rsid w:val="002C37A9"/>
    <w:rsid w:val="002C37E9"/>
    <w:rsid w:val="002C3907"/>
    <w:rsid w:val="002C3911"/>
    <w:rsid w:val="002C3940"/>
    <w:rsid w:val="002C396F"/>
    <w:rsid w:val="002C3978"/>
    <w:rsid w:val="002C3A4F"/>
    <w:rsid w:val="002C3ABC"/>
    <w:rsid w:val="002C3B7B"/>
    <w:rsid w:val="002C3BBA"/>
    <w:rsid w:val="002C3BFD"/>
    <w:rsid w:val="002C3C53"/>
    <w:rsid w:val="002C3D19"/>
    <w:rsid w:val="002C3D7C"/>
    <w:rsid w:val="002C3D97"/>
    <w:rsid w:val="002C3E19"/>
    <w:rsid w:val="002C3F49"/>
    <w:rsid w:val="002C3FD3"/>
    <w:rsid w:val="002C4026"/>
    <w:rsid w:val="002C4123"/>
    <w:rsid w:val="002C4125"/>
    <w:rsid w:val="002C415D"/>
    <w:rsid w:val="002C420B"/>
    <w:rsid w:val="002C4379"/>
    <w:rsid w:val="002C43C7"/>
    <w:rsid w:val="002C4451"/>
    <w:rsid w:val="002C449F"/>
    <w:rsid w:val="002C4590"/>
    <w:rsid w:val="002C4707"/>
    <w:rsid w:val="002C475D"/>
    <w:rsid w:val="002C47AE"/>
    <w:rsid w:val="002C488A"/>
    <w:rsid w:val="002C4911"/>
    <w:rsid w:val="002C49B5"/>
    <w:rsid w:val="002C49BF"/>
    <w:rsid w:val="002C4AC6"/>
    <w:rsid w:val="002C4AD0"/>
    <w:rsid w:val="002C4B7C"/>
    <w:rsid w:val="002C4B89"/>
    <w:rsid w:val="002C4BF7"/>
    <w:rsid w:val="002C4D27"/>
    <w:rsid w:val="002C4D9E"/>
    <w:rsid w:val="002C4E25"/>
    <w:rsid w:val="002C4E45"/>
    <w:rsid w:val="002C4F40"/>
    <w:rsid w:val="002C4F5E"/>
    <w:rsid w:val="002C4FAA"/>
    <w:rsid w:val="002C4FB0"/>
    <w:rsid w:val="002C5281"/>
    <w:rsid w:val="002C546E"/>
    <w:rsid w:val="002C5480"/>
    <w:rsid w:val="002C54D1"/>
    <w:rsid w:val="002C54DE"/>
    <w:rsid w:val="002C5676"/>
    <w:rsid w:val="002C5734"/>
    <w:rsid w:val="002C5766"/>
    <w:rsid w:val="002C57DF"/>
    <w:rsid w:val="002C5876"/>
    <w:rsid w:val="002C58BE"/>
    <w:rsid w:val="002C59DE"/>
    <w:rsid w:val="002C5ACE"/>
    <w:rsid w:val="002C5B6C"/>
    <w:rsid w:val="002C5B95"/>
    <w:rsid w:val="002C5C06"/>
    <w:rsid w:val="002C5D96"/>
    <w:rsid w:val="002C5D9C"/>
    <w:rsid w:val="002C5D9E"/>
    <w:rsid w:val="002C5E4A"/>
    <w:rsid w:val="002C5F2C"/>
    <w:rsid w:val="002C5FFC"/>
    <w:rsid w:val="002C6076"/>
    <w:rsid w:val="002C60E9"/>
    <w:rsid w:val="002C6194"/>
    <w:rsid w:val="002C61FB"/>
    <w:rsid w:val="002C6264"/>
    <w:rsid w:val="002C6292"/>
    <w:rsid w:val="002C62C4"/>
    <w:rsid w:val="002C63AF"/>
    <w:rsid w:val="002C652A"/>
    <w:rsid w:val="002C6545"/>
    <w:rsid w:val="002C6547"/>
    <w:rsid w:val="002C6734"/>
    <w:rsid w:val="002C677F"/>
    <w:rsid w:val="002C680B"/>
    <w:rsid w:val="002C687A"/>
    <w:rsid w:val="002C68A1"/>
    <w:rsid w:val="002C68B3"/>
    <w:rsid w:val="002C68E1"/>
    <w:rsid w:val="002C6AAD"/>
    <w:rsid w:val="002C6B4D"/>
    <w:rsid w:val="002C6B5C"/>
    <w:rsid w:val="002C6CDB"/>
    <w:rsid w:val="002C6CDF"/>
    <w:rsid w:val="002C6CEB"/>
    <w:rsid w:val="002C6D79"/>
    <w:rsid w:val="002C6D87"/>
    <w:rsid w:val="002C6DC8"/>
    <w:rsid w:val="002C6E9C"/>
    <w:rsid w:val="002C6F7C"/>
    <w:rsid w:val="002C6F93"/>
    <w:rsid w:val="002C6FA9"/>
    <w:rsid w:val="002C6FB7"/>
    <w:rsid w:val="002C6FD6"/>
    <w:rsid w:val="002C705A"/>
    <w:rsid w:val="002C70BF"/>
    <w:rsid w:val="002C7195"/>
    <w:rsid w:val="002C7299"/>
    <w:rsid w:val="002C72C7"/>
    <w:rsid w:val="002C7353"/>
    <w:rsid w:val="002C7389"/>
    <w:rsid w:val="002C74AA"/>
    <w:rsid w:val="002C750C"/>
    <w:rsid w:val="002C7600"/>
    <w:rsid w:val="002C7623"/>
    <w:rsid w:val="002C7691"/>
    <w:rsid w:val="002C76C2"/>
    <w:rsid w:val="002C780F"/>
    <w:rsid w:val="002C7998"/>
    <w:rsid w:val="002C7B00"/>
    <w:rsid w:val="002C7B62"/>
    <w:rsid w:val="002C7B96"/>
    <w:rsid w:val="002C7D3E"/>
    <w:rsid w:val="002C7E33"/>
    <w:rsid w:val="002C7EB2"/>
    <w:rsid w:val="002C7FB4"/>
    <w:rsid w:val="002C7FD5"/>
    <w:rsid w:val="002C7FF7"/>
    <w:rsid w:val="002D0059"/>
    <w:rsid w:val="002D00E0"/>
    <w:rsid w:val="002D00EC"/>
    <w:rsid w:val="002D0178"/>
    <w:rsid w:val="002D01BF"/>
    <w:rsid w:val="002D02B3"/>
    <w:rsid w:val="002D038F"/>
    <w:rsid w:val="002D042E"/>
    <w:rsid w:val="002D0447"/>
    <w:rsid w:val="002D04D2"/>
    <w:rsid w:val="002D051D"/>
    <w:rsid w:val="002D06C4"/>
    <w:rsid w:val="002D0769"/>
    <w:rsid w:val="002D0883"/>
    <w:rsid w:val="002D08D6"/>
    <w:rsid w:val="002D0991"/>
    <w:rsid w:val="002D09A0"/>
    <w:rsid w:val="002D09BE"/>
    <w:rsid w:val="002D0BFA"/>
    <w:rsid w:val="002D0CAA"/>
    <w:rsid w:val="002D0CE4"/>
    <w:rsid w:val="002D0D06"/>
    <w:rsid w:val="002D0D5B"/>
    <w:rsid w:val="002D0F4E"/>
    <w:rsid w:val="002D0F90"/>
    <w:rsid w:val="002D10BB"/>
    <w:rsid w:val="002D1168"/>
    <w:rsid w:val="002D116F"/>
    <w:rsid w:val="002D1173"/>
    <w:rsid w:val="002D11CE"/>
    <w:rsid w:val="002D1221"/>
    <w:rsid w:val="002D1245"/>
    <w:rsid w:val="002D1426"/>
    <w:rsid w:val="002D14E5"/>
    <w:rsid w:val="002D14EF"/>
    <w:rsid w:val="002D1573"/>
    <w:rsid w:val="002D1645"/>
    <w:rsid w:val="002D1699"/>
    <w:rsid w:val="002D1819"/>
    <w:rsid w:val="002D18A3"/>
    <w:rsid w:val="002D18A6"/>
    <w:rsid w:val="002D1959"/>
    <w:rsid w:val="002D1995"/>
    <w:rsid w:val="002D19F9"/>
    <w:rsid w:val="002D1A1F"/>
    <w:rsid w:val="002D1A6C"/>
    <w:rsid w:val="002D1AD4"/>
    <w:rsid w:val="002D1BAB"/>
    <w:rsid w:val="002D1C2C"/>
    <w:rsid w:val="002D1C76"/>
    <w:rsid w:val="002D1D7C"/>
    <w:rsid w:val="002D1EB8"/>
    <w:rsid w:val="002D1FA6"/>
    <w:rsid w:val="002D1FA7"/>
    <w:rsid w:val="002D2030"/>
    <w:rsid w:val="002D2057"/>
    <w:rsid w:val="002D2075"/>
    <w:rsid w:val="002D2121"/>
    <w:rsid w:val="002D21B1"/>
    <w:rsid w:val="002D21CB"/>
    <w:rsid w:val="002D252B"/>
    <w:rsid w:val="002D254C"/>
    <w:rsid w:val="002D2746"/>
    <w:rsid w:val="002D276F"/>
    <w:rsid w:val="002D279D"/>
    <w:rsid w:val="002D28F0"/>
    <w:rsid w:val="002D2941"/>
    <w:rsid w:val="002D2AE3"/>
    <w:rsid w:val="002D2B81"/>
    <w:rsid w:val="002D2BFE"/>
    <w:rsid w:val="002D2C80"/>
    <w:rsid w:val="002D2CCF"/>
    <w:rsid w:val="002D2D67"/>
    <w:rsid w:val="002D2E7D"/>
    <w:rsid w:val="002D2F18"/>
    <w:rsid w:val="002D2F68"/>
    <w:rsid w:val="002D2FCF"/>
    <w:rsid w:val="002D2FE9"/>
    <w:rsid w:val="002D3084"/>
    <w:rsid w:val="002D3173"/>
    <w:rsid w:val="002D31B2"/>
    <w:rsid w:val="002D3244"/>
    <w:rsid w:val="002D329B"/>
    <w:rsid w:val="002D349D"/>
    <w:rsid w:val="002D35A9"/>
    <w:rsid w:val="002D35B2"/>
    <w:rsid w:val="002D39F4"/>
    <w:rsid w:val="002D3A76"/>
    <w:rsid w:val="002D3A9D"/>
    <w:rsid w:val="002D3ADE"/>
    <w:rsid w:val="002D3BAE"/>
    <w:rsid w:val="002D3CF2"/>
    <w:rsid w:val="002D3DC3"/>
    <w:rsid w:val="002D3E41"/>
    <w:rsid w:val="002D3F92"/>
    <w:rsid w:val="002D401A"/>
    <w:rsid w:val="002D405D"/>
    <w:rsid w:val="002D40D8"/>
    <w:rsid w:val="002D40DE"/>
    <w:rsid w:val="002D42AF"/>
    <w:rsid w:val="002D43AB"/>
    <w:rsid w:val="002D4530"/>
    <w:rsid w:val="002D456A"/>
    <w:rsid w:val="002D458E"/>
    <w:rsid w:val="002D468A"/>
    <w:rsid w:val="002D4741"/>
    <w:rsid w:val="002D4809"/>
    <w:rsid w:val="002D4839"/>
    <w:rsid w:val="002D491B"/>
    <w:rsid w:val="002D4B21"/>
    <w:rsid w:val="002D4C0F"/>
    <w:rsid w:val="002D4C77"/>
    <w:rsid w:val="002D4DAC"/>
    <w:rsid w:val="002D4E0E"/>
    <w:rsid w:val="002D4E30"/>
    <w:rsid w:val="002D4E61"/>
    <w:rsid w:val="002D4E7A"/>
    <w:rsid w:val="002D4EF9"/>
    <w:rsid w:val="002D4F2D"/>
    <w:rsid w:val="002D4F77"/>
    <w:rsid w:val="002D4F7B"/>
    <w:rsid w:val="002D4F7C"/>
    <w:rsid w:val="002D5009"/>
    <w:rsid w:val="002D503E"/>
    <w:rsid w:val="002D504F"/>
    <w:rsid w:val="002D506B"/>
    <w:rsid w:val="002D510B"/>
    <w:rsid w:val="002D5217"/>
    <w:rsid w:val="002D5229"/>
    <w:rsid w:val="002D5253"/>
    <w:rsid w:val="002D52B3"/>
    <w:rsid w:val="002D52F8"/>
    <w:rsid w:val="002D52F9"/>
    <w:rsid w:val="002D53C2"/>
    <w:rsid w:val="002D5419"/>
    <w:rsid w:val="002D5462"/>
    <w:rsid w:val="002D559A"/>
    <w:rsid w:val="002D55C1"/>
    <w:rsid w:val="002D5602"/>
    <w:rsid w:val="002D567C"/>
    <w:rsid w:val="002D56FF"/>
    <w:rsid w:val="002D57A6"/>
    <w:rsid w:val="002D5A99"/>
    <w:rsid w:val="002D5C6B"/>
    <w:rsid w:val="002D5CAF"/>
    <w:rsid w:val="002D5DF4"/>
    <w:rsid w:val="002D5E4A"/>
    <w:rsid w:val="002D5E63"/>
    <w:rsid w:val="002D5FC0"/>
    <w:rsid w:val="002D5FF5"/>
    <w:rsid w:val="002D5FFF"/>
    <w:rsid w:val="002D620D"/>
    <w:rsid w:val="002D6377"/>
    <w:rsid w:val="002D63C0"/>
    <w:rsid w:val="002D63FF"/>
    <w:rsid w:val="002D642F"/>
    <w:rsid w:val="002D6436"/>
    <w:rsid w:val="002D647F"/>
    <w:rsid w:val="002D64E2"/>
    <w:rsid w:val="002D6542"/>
    <w:rsid w:val="002D655A"/>
    <w:rsid w:val="002D65FB"/>
    <w:rsid w:val="002D663C"/>
    <w:rsid w:val="002D66E8"/>
    <w:rsid w:val="002D68C7"/>
    <w:rsid w:val="002D6AB9"/>
    <w:rsid w:val="002D6AEF"/>
    <w:rsid w:val="002D6B3D"/>
    <w:rsid w:val="002D6BF4"/>
    <w:rsid w:val="002D6C17"/>
    <w:rsid w:val="002D6C50"/>
    <w:rsid w:val="002D6CA4"/>
    <w:rsid w:val="002D6D14"/>
    <w:rsid w:val="002D6EE3"/>
    <w:rsid w:val="002D6F36"/>
    <w:rsid w:val="002D6FDA"/>
    <w:rsid w:val="002D70AA"/>
    <w:rsid w:val="002D70D9"/>
    <w:rsid w:val="002D70F2"/>
    <w:rsid w:val="002D7145"/>
    <w:rsid w:val="002D7153"/>
    <w:rsid w:val="002D7428"/>
    <w:rsid w:val="002D744F"/>
    <w:rsid w:val="002D76BF"/>
    <w:rsid w:val="002D7863"/>
    <w:rsid w:val="002D7941"/>
    <w:rsid w:val="002D7959"/>
    <w:rsid w:val="002D796C"/>
    <w:rsid w:val="002D79B8"/>
    <w:rsid w:val="002D7ABD"/>
    <w:rsid w:val="002D7AE0"/>
    <w:rsid w:val="002D7B2E"/>
    <w:rsid w:val="002D7B35"/>
    <w:rsid w:val="002D7B58"/>
    <w:rsid w:val="002D7BF8"/>
    <w:rsid w:val="002D7D9D"/>
    <w:rsid w:val="002D7E2E"/>
    <w:rsid w:val="002D7EE9"/>
    <w:rsid w:val="002E0006"/>
    <w:rsid w:val="002E0008"/>
    <w:rsid w:val="002E001F"/>
    <w:rsid w:val="002E0029"/>
    <w:rsid w:val="002E0084"/>
    <w:rsid w:val="002E00AB"/>
    <w:rsid w:val="002E0178"/>
    <w:rsid w:val="002E01BD"/>
    <w:rsid w:val="002E021E"/>
    <w:rsid w:val="002E0230"/>
    <w:rsid w:val="002E02E9"/>
    <w:rsid w:val="002E0379"/>
    <w:rsid w:val="002E03C9"/>
    <w:rsid w:val="002E0419"/>
    <w:rsid w:val="002E05D9"/>
    <w:rsid w:val="002E0704"/>
    <w:rsid w:val="002E0847"/>
    <w:rsid w:val="002E09C0"/>
    <w:rsid w:val="002E09DB"/>
    <w:rsid w:val="002E0A60"/>
    <w:rsid w:val="002E0AF3"/>
    <w:rsid w:val="002E0BAF"/>
    <w:rsid w:val="002E0C4B"/>
    <w:rsid w:val="002E0C83"/>
    <w:rsid w:val="002E0C9C"/>
    <w:rsid w:val="002E0CC1"/>
    <w:rsid w:val="002E0CD8"/>
    <w:rsid w:val="002E0DA5"/>
    <w:rsid w:val="002E0DC7"/>
    <w:rsid w:val="002E0ECF"/>
    <w:rsid w:val="002E0F7D"/>
    <w:rsid w:val="002E0F88"/>
    <w:rsid w:val="002E101E"/>
    <w:rsid w:val="002E1059"/>
    <w:rsid w:val="002E113A"/>
    <w:rsid w:val="002E12C3"/>
    <w:rsid w:val="002E12F5"/>
    <w:rsid w:val="002E133F"/>
    <w:rsid w:val="002E137D"/>
    <w:rsid w:val="002E13B1"/>
    <w:rsid w:val="002E141E"/>
    <w:rsid w:val="002E14E0"/>
    <w:rsid w:val="002E15C3"/>
    <w:rsid w:val="002E162F"/>
    <w:rsid w:val="002E1681"/>
    <w:rsid w:val="002E16EA"/>
    <w:rsid w:val="002E179F"/>
    <w:rsid w:val="002E18A3"/>
    <w:rsid w:val="002E18F4"/>
    <w:rsid w:val="002E1A2B"/>
    <w:rsid w:val="002E1A6D"/>
    <w:rsid w:val="002E1AFB"/>
    <w:rsid w:val="002E1B10"/>
    <w:rsid w:val="002E1C65"/>
    <w:rsid w:val="002E1CD4"/>
    <w:rsid w:val="002E1DA3"/>
    <w:rsid w:val="002E1E3F"/>
    <w:rsid w:val="002E1E78"/>
    <w:rsid w:val="002E1F98"/>
    <w:rsid w:val="002E1FB3"/>
    <w:rsid w:val="002E2005"/>
    <w:rsid w:val="002E2037"/>
    <w:rsid w:val="002E208D"/>
    <w:rsid w:val="002E219A"/>
    <w:rsid w:val="002E21BA"/>
    <w:rsid w:val="002E22BE"/>
    <w:rsid w:val="002E2404"/>
    <w:rsid w:val="002E2498"/>
    <w:rsid w:val="002E24DB"/>
    <w:rsid w:val="002E24E2"/>
    <w:rsid w:val="002E25C1"/>
    <w:rsid w:val="002E26D2"/>
    <w:rsid w:val="002E27B4"/>
    <w:rsid w:val="002E280C"/>
    <w:rsid w:val="002E2850"/>
    <w:rsid w:val="002E2888"/>
    <w:rsid w:val="002E28DC"/>
    <w:rsid w:val="002E28E0"/>
    <w:rsid w:val="002E2908"/>
    <w:rsid w:val="002E291A"/>
    <w:rsid w:val="002E29CD"/>
    <w:rsid w:val="002E2B5C"/>
    <w:rsid w:val="002E2B6F"/>
    <w:rsid w:val="002E2BBE"/>
    <w:rsid w:val="002E2C73"/>
    <w:rsid w:val="002E2C91"/>
    <w:rsid w:val="002E2D04"/>
    <w:rsid w:val="002E2D28"/>
    <w:rsid w:val="002E2D69"/>
    <w:rsid w:val="002E3049"/>
    <w:rsid w:val="002E30A8"/>
    <w:rsid w:val="002E327B"/>
    <w:rsid w:val="002E335F"/>
    <w:rsid w:val="002E34C7"/>
    <w:rsid w:val="002E364D"/>
    <w:rsid w:val="002E36EB"/>
    <w:rsid w:val="002E371F"/>
    <w:rsid w:val="002E3760"/>
    <w:rsid w:val="002E37F3"/>
    <w:rsid w:val="002E3827"/>
    <w:rsid w:val="002E3831"/>
    <w:rsid w:val="002E385E"/>
    <w:rsid w:val="002E3944"/>
    <w:rsid w:val="002E3959"/>
    <w:rsid w:val="002E3962"/>
    <w:rsid w:val="002E3A24"/>
    <w:rsid w:val="002E3B48"/>
    <w:rsid w:val="002E3B50"/>
    <w:rsid w:val="002E3C33"/>
    <w:rsid w:val="002E3C3A"/>
    <w:rsid w:val="002E3C81"/>
    <w:rsid w:val="002E3CD5"/>
    <w:rsid w:val="002E3D5A"/>
    <w:rsid w:val="002E3E51"/>
    <w:rsid w:val="002E3F35"/>
    <w:rsid w:val="002E3F43"/>
    <w:rsid w:val="002E3F79"/>
    <w:rsid w:val="002E3FDE"/>
    <w:rsid w:val="002E4052"/>
    <w:rsid w:val="002E40D4"/>
    <w:rsid w:val="002E4223"/>
    <w:rsid w:val="002E4279"/>
    <w:rsid w:val="002E428E"/>
    <w:rsid w:val="002E42AF"/>
    <w:rsid w:val="002E42B9"/>
    <w:rsid w:val="002E4419"/>
    <w:rsid w:val="002E442E"/>
    <w:rsid w:val="002E458D"/>
    <w:rsid w:val="002E4631"/>
    <w:rsid w:val="002E46F6"/>
    <w:rsid w:val="002E4858"/>
    <w:rsid w:val="002E4A40"/>
    <w:rsid w:val="002E4AE7"/>
    <w:rsid w:val="002E4B0C"/>
    <w:rsid w:val="002E4B95"/>
    <w:rsid w:val="002E4BA1"/>
    <w:rsid w:val="002E4BEF"/>
    <w:rsid w:val="002E4C52"/>
    <w:rsid w:val="002E4D22"/>
    <w:rsid w:val="002E4D84"/>
    <w:rsid w:val="002E4DC4"/>
    <w:rsid w:val="002E4DD7"/>
    <w:rsid w:val="002E4F22"/>
    <w:rsid w:val="002E508B"/>
    <w:rsid w:val="002E50ED"/>
    <w:rsid w:val="002E51A6"/>
    <w:rsid w:val="002E528A"/>
    <w:rsid w:val="002E52F2"/>
    <w:rsid w:val="002E5397"/>
    <w:rsid w:val="002E542E"/>
    <w:rsid w:val="002E546A"/>
    <w:rsid w:val="002E5531"/>
    <w:rsid w:val="002E5540"/>
    <w:rsid w:val="002E5597"/>
    <w:rsid w:val="002E5616"/>
    <w:rsid w:val="002E56AA"/>
    <w:rsid w:val="002E571D"/>
    <w:rsid w:val="002E57C5"/>
    <w:rsid w:val="002E58E9"/>
    <w:rsid w:val="002E596C"/>
    <w:rsid w:val="002E5976"/>
    <w:rsid w:val="002E5985"/>
    <w:rsid w:val="002E59B4"/>
    <w:rsid w:val="002E5AE1"/>
    <w:rsid w:val="002E5D0D"/>
    <w:rsid w:val="002E5D16"/>
    <w:rsid w:val="002E5D90"/>
    <w:rsid w:val="002E5E6D"/>
    <w:rsid w:val="002E5EF3"/>
    <w:rsid w:val="002E5F73"/>
    <w:rsid w:val="002E5FE9"/>
    <w:rsid w:val="002E5FF1"/>
    <w:rsid w:val="002E6044"/>
    <w:rsid w:val="002E6056"/>
    <w:rsid w:val="002E6085"/>
    <w:rsid w:val="002E60CC"/>
    <w:rsid w:val="002E60FA"/>
    <w:rsid w:val="002E6140"/>
    <w:rsid w:val="002E614C"/>
    <w:rsid w:val="002E6217"/>
    <w:rsid w:val="002E6274"/>
    <w:rsid w:val="002E63B9"/>
    <w:rsid w:val="002E64D9"/>
    <w:rsid w:val="002E64F0"/>
    <w:rsid w:val="002E657B"/>
    <w:rsid w:val="002E6582"/>
    <w:rsid w:val="002E65DF"/>
    <w:rsid w:val="002E6657"/>
    <w:rsid w:val="002E66E8"/>
    <w:rsid w:val="002E66F2"/>
    <w:rsid w:val="002E6925"/>
    <w:rsid w:val="002E695F"/>
    <w:rsid w:val="002E697F"/>
    <w:rsid w:val="002E6A58"/>
    <w:rsid w:val="002E6B87"/>
    <w:rsid w:val="002E6CD3"/>
    <w:rsid w:val="002E6D25"/>
    <w:rsid w:val="002E6E0B"/>
    <w:rsid w:val="002E6EC8"/>
    <w:rsid w:val="002E6F76"/>
    <w:rsid w:val="002E7029"/>
    <w:rsid w:val="002E70F5"/>
    <w:rsid w:val="002E7244"/>
    <w:rsid w:val="002E72EE"/>
    <w:rsid w:val="002E7340"/>
    <w:rsid w:val="002E743D"/>
    <w:rsid w:val="002E7495"/>
    <w:rsid w:val="002E75E5"/>
    <w:rsid w:val="002E76AB"/>
    <w:rsid w:val="002E76E6"/>
    <w:rsid w:val="002E78C4"/>
    <w:rsid w:val="002E78E4"/>
    <w:rsid w:val="002E793B"/>
    <w:rsid w:val="002E7A87"/>
    <w:rsid w:val="002E7B2B"/>
    <w:rsid w:val="002E7B94"/>
    <w:rsid w:val="002E7C17"/>
    <w:rsid w:val="002E7CAF"/>
    <w:rsid w:val="002E7D18"/>
    <w:rsid w:val="002E7FBF"/>
    <w:rsid w:val="002E7FEE"/>
    <w:rsid w:val="002F00F1"/>
    <w:rsid w:val="002F0183"/>
    <w:rsid w:val="002F01B6"/>
    <w:rsid w:val="002F01DF"/>
    <w:rsid w:val="002F02F4"/>
    <w:rsid w:val="002F043B"/>
    <w:rsid w:val="002F0455"/>
    <w:rsid w:val="002F0517"/>
    <w:rsid w:val="002F05F2"/>
    <w:rsid w:val="002F061D"/>
    <w:rsid w:val="002F065A"/>
    <w:rsid w:val="002F06A3"/>
    <w:rsid w:val="002F06C9"/>
    <w:rsid w:val="002F0700"/>
    <w:rsid w:val="002F0730"/>
    <w:rsid w:val="002F0742"/>
    <w:rsid w:val="002F074B"/>
    <w:rsid w:val="002F082D"/>
    <w:rsid w:val="002F0840"/>
    <w:rsid w:val="002F09C1"/>
    <w:rsid w:val="002F0A7D"/>
    <w:rsid w:val="002F0AE0"/>
    <w:rsid w:val="002F0B8A"/>
    <w:rsid w:val="002F0BB3"/>
    <w:rsid w:val="002F0BB6"/>
    <w:rsid w:val="002F0C39"/>
    <w:rsid w:val="002F0D30"/>
    <w:rsid w:val="002F0D3F"/>
    <w:rsid w:val="002F0E9A"/>
    <w:rsid w:val="002F0F12"/>
    <w:rsid w:val="002F0F18"/>
    <w:rsid w:val="002F0FA7"/>
    <w:rsid w:val="002F0FF0"/>
    <w:rsid w:val="002F10BE"/>
    <w:rsid w:val="002F117A"/>
    <w:rsid w:val="002F1327"/>
    <w:rsid w:val="002F13AB"/>
    <w:rsid w:val="002F13B8"/>
    <w:rsid w:val="002F13D3"/>
    <w:rsid w:val="002F142B"/>
    <w:rsid w:val="002F1484"/>
    <w:rsid w:val="002F14F3"/>
    <w:rsid w:val="002F16A0"/>
    <w:rsid w:val="002F16A2"/>
    <w:rsid w:val="002F1708"/>
    <w:rsid w:val="002F181F"/>
    <w:rsid w:val="002F186A"/>
    <w:rsid w:val="002F187D"/>
    <w:rsid w:val="002F1926"/>
    <w:rsid w:val="002F192F"/>
    <w:rsid w:val="002F195C"/>
    <w:rsid w:val="002F19FC"/>
    <w:rsid w:val="002F1A65"/>
    <w:rsid w:val="002F1C24"/>
    <w:rsid w:val="002F1D89"/>
    <w:rsid w:val="002F1DFC"/>
    <w:rsid w:val="002F1E24"/>
    <w:rsid w:val="002F1E38"/>
    <w:rsid w:val="002F1F21"/>
    <w:rsid w:val="002F1F40"/>
    <w:rsid w:val="002F233B"/>
    <w:rsid w:val="002F2403"/>
    <w:rsid w:val="002F25F4"/>
    <w:rsid w:val="002F273C"/>
    <w:rsid w:val="002F273D"/>
    <w:rsid w:val="002F274F"/>
    <w:rsid w:val="002F27EB"/>
    <w:rsid w:val="002F290E"/>
    <w:rsid w:val="002F2AEC"/>
    <w:rsid w:val="002F2B5E"/>
    <w:rsid w:val="002F2B62"/>
    <w:rsid w:val="002F2B80"/>
    <w:rsid w:val="002F2CAC"/>
    <w:rsid w:val="002F2D7F"/>
    <w:rsid w:val="002F2DB7"/>
    <w:rsid w:val="002F2DD2"/>
    <w:rsid w:val="002F2FFF"/>
    <w:rsid w:val="002F3219"/>
    <w:rsid w:val="002F321D"/>
    <w:rsid w:val="002F3248"/>
    <w:rsid w:val="002F324B"/>
    <w:rsid w:val="002F3307"/>
    <w:rsid w:val="002F3362"/>
    <w:rsid w:val="002F3510"/>
    <w:rsid w:val="002F35C5"/>
    <w:rsid w:val="002F373D"/>
    <w:rsid w:val="002F3787"/>
    <w:rsid w:val="002F37E3"/>
    <w:rsid w:val="002F38AA"/>
    <w:rsid w:val="002F38F5"/>
    <w:rsid w:val="002F39B2"/>
    <w:rsid w:val="002F3A3D"/>
    <w:rsid w:val="002F3B06"/>
    <w:rsid w:val="002F3B0E"/>
    <w:rsid w:val="002F3B46"/>
    <w:rsid w:val="002F3BF4"/>
    <w:rsid w:val="002F3BF8"/>
    <w:rsid w:val="002F3CA8"/>
    <w:rsid w:val="002F3DF1"/>
    <w:rsid w:val="002F3E2D"/>
    <w:rsid w:val="002F3ECB"/>
    <w:rsid w:val="002F3ED3"/>
    <w:rsid w:val="002F3F2C"/>
    <w:rsid w:val="002F4041"/>
    <w:rsid w:val="002F413D"/>
    <w:rsid w:val="002F41D9"/>
    <w:rsid w:val="002F41EA"/>
    <w:rsid w:val="002F4299"/>
    <w:rsid w:val="002F430D"/>
    <w:rsid w:val="002F430F"/>
    <w:rsid w:val="002F4332"/>
    <w:rsid w:val="002F4351"/>
    <w:rsid w:val="002F4430"/>
    <w:rsid w:val="002F452F"/>
    <w:rsid w:val="002F453E"/>
    <w:rsid w:val="002F4540"/>
    <w:rsid w:val="002F454E"/>
    <w:rsid w:val="002F45D0"/>
    <w:rsid w:val="002F460A"/>
    <w:rsid w:val="002F4675"/>
    <w:rsid w:val="002F46CA"/>
    <w:rsid w:val="002F46FA"/>
    <w:rsid w:val="002F4791"/>
    <w:rsid w:val="002F47CF"/>
    <w:rsid w:val="002F493E"/>
    <w:rsid w:val="002F4A28"/>
    <w:rsid w:val="002F4AEF"/>
    <w:rsid w:val="002F4AF4"/>
    <w:rsid w:val="002F4C16"/>
    <w:rsid w:val="002F4C7F"/>
    <w:rsid w:val="002F4CF6"/>
    <w:rsid w:val="002F4E3B"/>
    <w:rsid w:val="002F4FA5"/>
    <w:rsid w:val="002F51C9"/>
    <w:rsid w:val="002F51DF"/>
    <w:rsid w:val="002F51EE"/>
    <w:rsid w:val="002F522A"/>
    <w:rsid w:val="002F5234"/>
    <w:rsid w:val="002F52B9"/>
    <w:rsid w:val="002F5347"/>
    <w:rsid w:val="002F5467"/>
    <w:rsid w:val="002F54CD"/>
    <w:rsid w:val="002F55D1"/>
    <w:rsid w:val="002F5629"/>
    <w:rsid w:val="002F56D4"/>
    <w:rsid w:val="002F5835"/>
    <w:rsid w:val="002F588D"/>
    <w:rsid w:val="002F594A"/>
    <w:rsid w:val="002F5998"/>
    <w:rsid w:val="002F5A22"/>
    <w:rsid w:val="002F5B66"/>
    <w:rsid w:val="002F5B8F"/>
    <w:rsid w:val="002F5C7E"/>
    <w:rsid w:val="002F5CAB"/>
    <w:rsid w:val="002F5CE9"/>
    <w:rsid w:val="002F5D75"/>
    <w:rsid w:val="002F5DEE"/>
    <w:rsid w:val="002F5E97"/>
    <w:rsid w:val="002F5EF4"/>
    <w:rsid w:val="002F5FBF"/>
    <w:rsid w:val="002F6038"/>
    <w:rsid w:val="002F6043"/>
    <w:rsid w:val="002F604C"/>
    <w:rsid w:val="002F60CF"/>
    <w:rsid w:val="002F6122"/>
    <w:rsid w:val="002F61BE"/>
    <w:rsid w:val="002F624E"/>
    <w:rsid w:val="002F6375"/>
    <w:rsid w:val="002F63C2"/>
    <w:rsid w:val="002F642E"/>
    <w:rsid w:val="002F6522"/>
    <w:rsid w:val="002F6564"/>
    <w:rsid w:val="002F65B9"/>
    <w:rsid w:val="002F65D3"/>
    <w:rsid w:val="002F65DC"/>
    <w:rsid w:val="002F663E"/>
    <w:rsid w:val="002F66C0"/>
    <w:rsid w:val="002F6775"/>
    <w:rsid w:val="002F6792"/>
    <w:rsid w:val="002F696A"/>
    <w:rsid w:val="002F6992"/>
    <w:rsid w:val="002F6999"/>
    <w:rsid w:val="002F6A69"/>
    <w:rsid w:val="002F6AAB"/>
    <w:rsid w:val="002F6B87"/>
    <w:rsid w:val="002F6C4B"/>
    <w:rsid w:val="002F6DAB"/>
    <w:rsid w:val="002F6EF5"/>
    <w:rsid w:val="002F6F7C"/>
    <w:rsid w:val="002F6FD3"/>
    <w:rsid w:val="002F7048"/>
    <w:rsid w:val="002F7078"/>
    <w:rsid w:val="002F70CB"/>
    <w:rsid w:val="002F70FD"/>
    <w:rsid w:val="002F7118"/>
    <w:rsid w:val="002F7134"/>
    <w:rsid w:val="002F7187"/>
    <w:rsid w:val="002F71A1"/>
    <w:rsid w:val="002F7367"/>
    <w:rsid w:val="002F736D"/>
    <w:rsid w:val="002F73D2"/>
    <w:rsid w:val="002F742D"/>
    <w:rsid w:val="002F75FD"/>
    <w:rsid w:val="002F7634"/>
    <w:rsid w:val="002F768E"/>
    <w:rsid w:val="002F7793"/>
    <w:rsid w:val="002F77EE"/>
    <w:rsid w:val="002F78B4"/>
    <w:rsid w:val="002F78C7"/>
    <w:rsid w:val="002F79F1"/>
    <w:rsid w:val="002F7B8B"/>
    <w:rsid w:val="002F7BCF"/>
    <w:rsid w:val="002F7BDB"/>
    <w:rsid w:val="002F7C28"/>
    <w:rsid w:val="002F7CA1"/>
    <w:rsid w:val="002F7DFF"/>
    <w:rsid w:val="002F7E3D"/>
    <w:rsid w:val="00300016"/>
    <w:rsid w:val="00300192"/>
    <w:rsid w:val="003002A4"/>
    <w:rsid w:val="00300313"/>
    <w:rsid w:val="00300329"/>
    <w:rsid w:val="003004A6"/>
    <w:rsid w:val="003004BE"/>
    <w:rsid w:val="00300535"/>
    <w:rsid w:val="003005F7"/>
    <w:rsid w:val="00300605"/>
    <w:rsid w:val="00300622"/>
    <w:rsid w:val="00300684"/>
    <w:rsid w:val="003007F3"/>
    <w:rsid w:val="003007F7"/>
    <w:rsid w:val="0030085B"/>
    <w:rsid w:val="0030086B"/>
    <w:rsid w:val="003008DD"/>
    <w:rsid w:val="0030095C"/>
    <w:rsid w:val="00300985"/>
    <w:rsid w:val="00300A82"/>
    <w:rsid w:val="00300BB2"/>
    <w:rsid w:val="00300D22"/>
    <w:rsid w:val="00300E4F"/>
    <w:rsid w:val="00300EA9"/>
    <w:rsid w:val="00300F34"/>
    <w:rsid w:val="00300FB1"/>
    <w:rsid w:val="0030100A"/>
    <w:rsid w:val="00301083"/>
    <w:rsid w:val="003010A0"/>
    <w:rsid w:val="00301233"/>
    <w:rsid w:val="0030130A"/>
    <w:rsid w:val="0030141A"/>
    <w:rsid w:val="0030148F"/>
    <w:rsid w:val="0030167E"/>
    <w:rsid w:val="003017D7"/>
    <w:rsid w:val="00301872"/>
    <w:rsid w:val="0030195E"/>
    <w:rsid w:val="00301A34"/>
    <w:rsid w:val="00301C1B"/>
    <w:rsid w:val="00301CCB"/>
    <w:rsid w:val="00301D55"/>
    <w:rsid w:val="00301DB6"/>
    <w:rsid w:val="00301DF9"/>
    <w:rsid w:val="00301EC4"/>
    <w:rsid w:val="00301F0A"/>
    <w:rsid w:val="00301FFD"/>
    <w:rsid w:val="0030212C"/>
    <w:rsid w:val="0030229E"/>
    <w:rsid w:val="003022B6"/>
    <w:rsid w:val="003022DD"/>
    <w:rsid w:val="0030231B"/>
    <w:rsid w:val="003024A4"/>
    <w:rsid w:val="003025C8"/>
    <w:rsid w:val="003025CB"/>
    <w:rsid w:val="00302686"/>
    <w:rsid w:val="00302707"/>
    <w:rsid w:val="003027D5"/>
    <w:rsid w:val="00302873"/>
    <w:rsid w:val="00302886"/>
    <w:rsid w:val="00302A3F"/>
    <w:rsid w:val="00302B8C"/>
    <w:rsid w:val="00302C0C"/>
    <w:rsid w:val="00302C28"/>
    <w:rsid w:val="00302CCF"/>
    <w:rsid w:val="00302CDE"/>
    <w:rsid w:val="00302D2B"/>
    <w:rsid w:val="00302D5F"/>
    <w:rsid w:val="00302FEE"/>
    <w:rsid w:val="00303086"/>
    <w:rsid w:val="003030A2"/>
    <w:rsid w:val="003030FF"/>
    <w:rsid w:val="0030314D"/>
    <w:rsid w:val="0030315C"/>
    <w:rsid w:val="0030325C"/>
    <w:rsid w:val="00303269"/>
    <w:rsid w:val="0030335C"/>
    <w:rsid w:val="003033F7"/>
    <w:rsid w:val="0030344C"/>
    <w:rsid w:val="0030358A"/>
    <w:rsid w:val="0030363E"/>
    <w:rsid w:val="0030369B"/>
    <w:rsid w:val="003036EC"/>
    <w:rsid w:val="00303724"/>
    <w:rsid w:val="0030380B"/>
    <w:rsid w:val="0030380C"/>
    <w:rsid w:val="00303860"/>
    <w:rsid w:val="0030387B"/>
    <w:rsid w:val="00303908"/>
    <w:rsid w:val="00303A93"/>
    <w:rsid w:val="00303B74"/>
    <w:rsid w:val="00303D52"/>
    <w:rsid w:val="00303F1A"/>
    <w:rsid w:val="00303FE0"/>
    <w:rsid w:val="0030400A"/>
    <w:rsid w:val="003040B6"/>
    <w:rsid w:val="00304103"/>
    <w:rsid w:val="00304238"/>
    <w:rsid w:val="0030427E"/>
    <w:rsid w:val="003042BD"/>
    <w:rsid w:val="00304337"/>
    <w:rsid w:val="00304362"/>
    <w:rsid w:val="00304402"/>
    <w:rsid w:val="003044A8"/>
    <w:rsid w:val="00304597"/>
    <w:rsid w:val="00304598"/>
    <w:rsid w:val="0030468E"/>
    <w:rsid w:val="003046D1"/>
    <w:rsid w:val="00304706"/>
    <w:rsid w:val="0030482B"/>
    <w:rsid w:val="003048F1"/>
    <w:rsid w:val="003048F7"/>
    <w:rsid w:val="0030499A"/>
    <w:rsid w:val="00304A03"/>
    <w:rsid w:val="00304A04"/>
    <w:rsid w:val="00304A4D"/>
    <w:rsid w:val="00304AFA"/>
    <w:rsid w:val="00304B23"/>
    <w:rsid w:val="00304B5A"/>
    <w:rsid w:val="00304B9A"/>
    <w:rsid w:val="00304BD2"/>
    <w:rsid w:val="00304DA6"/>
    <w:rsid w:val="00304E39"/>
    <w:rsid w:val="00304E72"/>
    <w:rsid w:val="00304EFF"/>
    <w:rsid w:val="00304F20"/>
    <w:rsid w:val="00304F3D"/>
    <w:rsid w:val="00304F4B"/>
    <w:rsid w:val="00304FB5"/>
    <w:rsid w:val="003050B9"/>
    <w:rsid w:val="003050BA"/>
    <w:rsid w:val="003050DB"/>
    <w:rsid w:val="0030523D"/>
    <w:rsid w:val="00305580"/>
    <w:rsid w:val="003055A9"/>
    <w:rsid w:val="0030560D"/>
    <w:rsid w:val="00305668"/>
    <w:rsid w:val="003056AA"/>
    <w:rsid w:val="00305744"/>
    <w:rsid w:val="0030579B"/>
    <w:rsid w:val="003058E6"/>
    <w:rsid w:val="0030590A"/>
    <w:rsid w:val="003059AC"/>
    <w:rsid w:val="00305A4C"/>
    <w:rsid w:val="00305AC4"/>
    <w:rsid w:val="00305AFC"/>
    <w:rsid w:val="00305B20"/>
    <w:rsid w:val="00305D39"/>
    <w:rsid w:val="00305D74"/>
    <w:rsid w:val="00305DF6"/>
    <w:rsid w:val="00305F24"/>
    <w:rsid w:val="0030610E"/>
    <w:rsid w:val="00306223"/>
    <w:rsid w:val="0030625C"/>
    <w:rsid w:val="0030626A"/>
    <w:rsid w:val="00306356"/>
    <w:rsid w:val="00306399"/>
    <w:rsid w:val="00306409"/>
    <w:rsid w:val="00306442"/>
    <w:rsid w:val="00306486"/>
    <w:rsid w:val="00306516"/>
    <w:rsid w:val="00306522"/>
    <w:rsid w:val="0030655B"/>
    <w:rsid w:val="00306684"/>
    <w:rsid w:val="00306764"/>
    <w:rsid w:val="003067DA"/>
    <w:rsid w:val="00306844"/>
    <w:rsid w:val="00306861"/>
    <w:rsid w:val="00306878"/>
    <w:rsid w:val="003068C0"/>
    <w:rsid w:val="0030696F"/>
    <w:rsid w:val="00306994"/>
    <w:rsid w:val="00306A8D"/>
    <w:rsid w:val="00306A9D"/>
    <w:rsid w:val="00306AFC"/>
    <w:rsid w:val="00306B1C"/>
    <w:rsid w:val="00306B98"/>
    <w:rsid w:val="00306BFB"/>
    <w:rsid w:val="00306C7A"/>
    <w:rsid w:val="00306C9D"/>
    <w:rsid w:val="00306D73"/>
    <w:rsid w:val="00306EC6"/>
    <w:rsid w:val="00306EF2"/>
    <w:rsid w:val="00306F78"/>
    <w:rsid w:val="00306FED"/>
    <w:rsid w:val="00307065"/>
    <w:rsid w:val="00307142"/>
    <w:rsid w:val="003071B5"/>
    <w:rsid w:val="003071E4"/>
    <w:rsid w:val="003071FB"/>
    <w:rsid w:val="00307262"/>
    <w:rsid w:val="003072A1"/>
    <w:rsid w:val="003072DE"/>
    <w:rsid w:val="00307389"/>
    <w:rsid w:val="003074AD"/>
    <w:rsid w:val="003074B1"/>
    <w:rsid w:val="003074CD"/>
    <w:rsid w:val="003075F2"/>
    <w:rsid w:val="00307692"/>
    <w:rsid w:val="003077DA"/>
    <w:rsid w:val="0030784D"/>
    <w:rsid w:val="003078CF"/>
    <w:rsid w:val="003078EB"/>
    <w:rsid w:val="00307A4D"/>
    <w:rsid w:val="00307A76"/>
    <w:rsid w:val="00307AF4"/>
    <w:rsid w:val="00307BC6"/>
    <w:rsid w:val="00307DC3"/>
    <w:rsid w:val="00307E09"/>
    <w:rsid w:val="00307EB9"/>
    <w:rsid w:val="00307F39"/>
    <w:rsid w:val="00307F56"/>
    <w:rsid w:val="0031001D"/>
    <w:rsid w:val="003100A6"/>
    <w:rsid w:val="003100F3"/>
    <w:rsid w:val="00310190"/>
    <w:rsid w:val="003101B8"/>
    <w:rsid w:val="00310503"/>
    <w:rsid w:val="0031050F"/>
    <w:rsid w:val="003105A2"/>
    <w:rsid w:val="003105D0"/>
    <w:rsid w:val="00310600"/>
    <w:rsid w:val="00310660"/>
    <w:rsid w:val="003106CC"/>
    <w:rsid w:val="00310715"/>
    <w:rsid w:val="00310769"/>
    <w:rsid w:val="00310835"/>
    <w:rsid w:val="00310874"/>
    <w:rsid w:val="00310914"/>
    <w:rsid w:val="003109ED"/>
    <w:rsid w:val="00310A34"/>
    <w:rsid w:val="00310AE2"/>
    <w:rsid w:val="00310AE9"/>
    <w:rsid w:val="00310B0F"/>
    <w:rsid w:val="00310B4E"/>
    <w:rsid w:val="00310DBC"/>
    <w:rsid w:val="00310DE1"/>
    <w:rsid w:val="00310DE6"/>
    <w:rsid w:val="00310E75"/>
    <w:rsid w:val="00310F46"/>
    <w:rsid w:val="00311045"/>
    <w:rsid w:val="003111AF"/>
    <w:rsid w:val="003112F9"/>
    <w:rsid w:val="003113E8"/>
    <w:rsid w:val="0031148C"/>
    <w:rsid w:val="00311508"/>
    <w:rsid w:val="0031158F"/>
    <w:rsid w:val="003115FB"/>
    <w:rsid w:val="00311643"/>
    <w:rsid w:val="0031167E"/>
    <w:rsid w:val="003116CA"/>
    <w:rsid w:val="00311706"/>
    <w:rsid w:val="00311720"/>
    <w:rsid w:val="00311934"/>
    <w:rsid w:val="0031199E"/>
    <w:rsid w:val="00311A8C"/>
    <w:rsid w:val="00311B5D"/>
    <w:rsid w:val="00311B63"/>
    <w:rsid w:val="00311B8F"/>
    <w:rsid w:val="00311C36"/>
    <w:rsid w:val="00311CCC"/>
    <w:rsid w:val="00311DCD"/>
    <w:rsid w:val="00311DF6"/>
    <w:rsid w:val="00311E7D"/>
    <w:rsid w:val="00311F56"/>
    <w:rsid w:val="00311F66"/>
    <w:rsid w:val="00312035"/>
    <w:rsid w:val="0031203A"/>
    <w:rsid w:val="0031203B"/>
    <w:rsid w:val="0031215D"/>
    <w:rsid w:val="00312278"/>
    <w:rsid w:val="003123CA"/>
    <w:rsid w:val="003123DA"/>
    <w:rsid w:val="0031241E"/>
    <w:rsid w:val="00312497"/>
    <w:rsid w:val="003124C2"/>
    <w:rsid w:val="00312580"/>
    <w:rsid w:val="003125AF"/>
    <w:rsid w:val="00312665"/>
    <w:rsid w:val="00312716"/>
    <w:rsid w:val="0031286A"/>
    <w:rsid w:val="00312974"/>
    <w:rsid w:val="0031298E"/>
    <w:rsid w:val="00312A47"/>
    <w:rsid w:val="00312C7A"/>
    <w:rsid w:val="00312C99"/>
    <w:rsid w:val="00312CF7"/>
    <w:rsid w:val="00312D76"/>
    <w:rsid w:val="00312EF5"/>
    <w:rsid w:val="00312F4C"/>
    <w:rsid w:val="00312F68"/>
    <w:rsid w:val="00312F87"/>
    <w:rsid w:val="003130F6"/>
    <w:rsid w:val="003131DB"/>
    <w:rsid w:val="0031330A"/>
    <w:rsid w:val="00313364"/>
    <w:rsid w:val="00313371"/>
    <w:rsid w:val="0031343B"/>
    <w:rsid w:val="0031343D"/>
    <w:rsid w:val="00313475"/>
    <w:rsid w:val="003134C3"/>
    <w:rsid w:val="003135B2"/>
    <w:rsid w:val="003136F5"/>
    <w:rsid w:val="00313730"/>
    <w:rsid w:val="003137D4"/>
    <w:rsid w:val="003137E5"/>
    <w:rsid w:val="00313813"/>
    <w:rsid w:val="0031383A"/>
    <w:rsid w:val="0031396C"/>
    <w:rsid w:val="00313991"/>
    <w:rsid w:val="00313A67"/>
    <w:rsid w:val="00313B10"/>
    <w:rsid w:val="00313BDE"/>
    <w:rsid w:val="00313C10"/>
    <w:rsid w:val="00313D54"/>
    <w:rsid w:val="00313D6C"/>
    <w:rsid w:val="00313E1C"/>
    <w:rsid w:val="00313EA4"/>
    <w:rsid w:val="00314036"/>
    <w:rsid w:val="003140FC"/>
    <w:rsid w:val="003141B3"/>
    <w:rsid w:val="0031431A"/>
    <w:rsid w:val="003144BE"/>
    <w:rsid w:val="003145AB"/>
    <w:rsid w:val="003145C2"/>
    <w:rsid w:val="0031465E"/>
    <w:rsid w:val="003146ED"/>
    <w:rsid w:val="0031470B"/>
    <w:rsid w:val="0031472C"/>
    <w:rsid w:val="003148B8"/>
    <w:rsid w:val="003148F6"/>
    <w:rsid w:val="003149E6"/>
    <w:rsid w:val="00314A47"/>
    <w:rsid w:val="00314A4F"/>
    <w:rsid w:val="00314E75"/>
    <w:rsid w:val="00314E92"/>
    <w:rsid w:val="00315049"/>
    <w:rsid w:val="00315108"/>
    <w:rsid w:val="0031512A"/>
    <w:rsid w:val="003151EF"/>
    <w:rsid w:val="00315274"/>
    <w:rsid w:val="00315278"/>
    <w:rsid w:val="003152F0"/>
    <w:rsid w:val="0031532D"/>
    <w:rsid w:val="0031532E"/>
    <w:rsid w:val="00315473"/>
    <w:rsid w:val="00315486"/>
    <w:rsid w:val="00315499"/>
    <w:rsid w:val="00315555"/>
    <w:rsid w:val="003155D8"/>
    <w:rsid w:val="003156A1"/>
    <w:rsid w:val="0031581F"/>
    <w:rsid w:val="00315836"/>
    <w:rsid w:val="00315959"/>
    <w:rsid w:val="00315AA4"/>
    <w:rsid w:val="00315B44"/>
    <w:rsid w:val="00315EA0"/>
    <w:rsid w:val="00315EE0"/>
    <w:rsid w:val="00315EEA"/>
    <w:rsid w:val="00315F0A"/>
    <w:rsid w:val="00316112"/>
    <w:rsid w:val="003161E6"/>
    <w:rsid w:val="00316243"/>
    <w:rsid w:val="003162DD"/>
    <w:rsid w:val="00316346"/>
    <w:rsid w:val="00316542"/>
    <w:rsid w:val="0031666C"/>
    <w:rsid w:val="0031674E"/>
    <w:rsid w:val="003167FD"/>
    <w:rsid w:val="0031685B"/>
    <w:rsid w:val="0031685D"/>
    <w:rsid w:val="00316974"/>
    <w:rsid w:val="00316978"/>
    <w:rsid w:val="00316988"/>
    <w:rsid w:val="00316997"/>
    <w:rsid w:val="003169A9"/>
    <w:rsid w:val="00316A13"/>
    <w:rsid w:val="00316A98"/>
    <w:rsid w:val="00316CB6"/>
    <w:rsid w:val="00316DD3"/>
    <w:rsid w:val="00316DFA"/>
    <w:rsid w:val="00316DFF"/>
    <w:rsid w:val="00316E4F"/>
    <w:rsid w:val="00316E71"/>
    <w:rsid w:val="00316F44"/>
    <w:rsid w:val="00316FAF"/>
    <w:rsid w:val="00317037"/>
    <w:rsid w:val="0031703E"/>
    <w:rsid w:val="00317067"/>
    <w:rsid w:val="003171D6"/>
    <w:rsid w:val="003171DB"/>
    <w:rsid w:val="003171DF"/>
    <w:rsid w:val="003171FA"/>
    <w:rsid w:val="0031724D"/>
    <w:rsid w:val="003172F5"/>
    <w:rsid w:val="00317383"/>
    <w:rsid w:val="0031743E"/>
    <w:rsid w:val="003174FA"/>
    <w:rsid w:val="003174FE"/>
    <w:rsid w:val="0031752D"/>
    <w:rsid w:val="0031752E"/>
    <w:rsid w:val="00317567"/>
    <w:rsid w:val="00317633"/>
    <w:rsid w:val="0031776F"/>
    <w:rsid w:val="00317806"/>
    <w:rsid w:val="0031784E"/>
    <w:rsid w:val="00317858"/>
    <w:rsid w:val="00317859"/>
    <w:rsid w:val="00317884"/>
    <w:rsid w:val="003178DC"/>
    <w:rsid w:val="003179B7"/>
    <w:rsid w:val="003179D7"/>
    <w:rsid w:val="00317A65"/>
    <w:rsid w:val="00317A7D"/>
    <w:rsid w:val="00317B00"/>
    <w:rsid w:val="00317BCB"/>
    <w:rsid w:val="00317BED"/>
    <w:rsid w:val="00317BF3"/>
    <w:rsid w:val="00317C4D"/>
    <w:rsid w:val="00317C84"/>
    <w:rsid w:val="00317E84"/>
    <w:rsid w:val="00317F92"/>
    <w:rsid w:val="0031E1CA"/>
    <w:rsid w:val="00320075"/>
    <w:rsid w:val="00320149"/>
    <w:rsid w:val="00320268"/>
    <w:rsid w:val="0032027D"/>
    <w:rsid w:val="003202F3"/>
    <w:rsid w:val="00320384"/>
    <w:rsid w:val="00320416"/>
    <w:rsid w:val="0032045E"/>
    <w:rsid w:val="00320491"/>
    <w:rsid w:val="00320531"/>
    <w:rsid w:val="003205D1"/>
    <w:rsid w:val="00320658"/>
    <w:rsid w:val="00320688"/>
    <w:rsid w:val="003206FB"/>
    <w:rsid w:val="00320756"/>
    <w:rsid w:val="00320794"/>
    <w:rsid w:val="003207CA"/>
    <w:rsid w:val="003207E8"/>
    <w:rsid w:val="003207F4"/>
    <w:rsid w:val="00320805"/>
    <w:rsid w:val="00320831"/>
    <w:rsid w:val="003208D1"/>
    <w:rsid w:val="00320A12"/>
    <w:rsid w:val="00320A14"/>
    <w:rsid w:val="00320ACB"/>
    <w:rsid w:val="00320B4B"/>
    <w:rsid w:val="00320BD3"/>
    <w:rsid w:val="00320C2C"/>
    <w:rsid w:val="00320C4E"/>
    <w:rsid w:val="00320C56"/>
    <w:rsid w:val="00320C5E"/>
    <w:rsid w:val="00320C7B"/>
    <w:rsid w:val="00320C83"/>
    <w:rsid w:val="00320C91"/>
    <w:rsid w:val="00320CE3"/>
    <w:rsid w:val="00320D02"/>
    <w:rsid w:val="00320D42"/>
    <w:rsid w:val="00320E08"/>
    <w:rsid w:val="00320E38"/>
    <w:rsid w:val="00320EC9"/>
    <w:rsid w:val="00320ED3"/>
    <w:rsid w:val="00320FCD"/>
    <w:rsid w:val="0032100B"/>
    <w:rsid w:val="0032110B"/>
    <w:rsid w:val="00321127"/>
    <w:rsid w:val="0032118A"/>
    <w:rsid w:val="003211AC"/>
    <w:rsid w:val="003211BF"/>
    <w:rsid w:val="003211F8"/>
    <w:rsid w:val="00321237"/>
    <w:rsid w:val="0032124F"/>
    <w:rsid w:val="00321256"/>
    <w:rsid w:val="00321321"/>
    <w:rsid w:val="00321442"/>
    <w:rsid w:val="00321542"/>
    <w:rsid w:val="0032163D"/>
    <w:rsid w:val="003216A6"/>
    <w:rsid w:val="00321762"/>
    <w:rsid w:val="003217E6"/>
    <w:rsid w:val="003217F9"/>
    <w:rsid w:val="00321909"/>
    <w:rsid w:val="00321AAD"/>
    <w:rsid w:val="00321B0E"/>
    <w:rsid w:val="00321D21"/>
    <w:rsid w:val="00321E6D"/>
    <w:rsid w:val="00321EC6"/>
    <w:rsid w:val="00321EEC"/>
    <w:rsid w:val="00322061"/>
    <w:rsid w:val="003220F5"/>
    <w:rsid w:val="003220FE"/>
    <w:rsid w:val="00322244"/>
    <w:rsid w:val="003222F4"/>
    <w:rsid w:val="0032234E"/>
    <w:rsid w:val="00322405"/>
    <w:rsid w:val="003224C2"/>
    <w:rsid w:val="00322571"/>
    <w:rsid w:val="003225CB"/>
    <w:rsid w:val="003225E6"/>
    <w:rsid w:val="003225F1"/>
    <w:rsid w:val="0032261E"/>
    <w:rsid w:val="003227F2"/>
    <w:rsid w:val="00322987"/>
    <w:rsid w:val="00322BC0"/>
    <w:rsid w:val="00322BC1"/>
    <w:rsid w:val="00322C08"/>
    <w:rsid w:val="00322C9E"/>
    <w:rsid w:val="00322D85"/>
    <w:rsid w:val="00322E1C"/>
    <w:rsid w:val="00322FE0"/>
    <w:rsid w:val="003230AB"/>
    <w:rsid w:val="003231DB"/>
    <w:rsid w:val="003231EC"/>
    <w:rsid w:val="003232D4"/>
    <w:rsid w:val="003232F5"/>
    <w:rsid w:val="0032330D"/>
    <w:rsid w:val="003234C4"/>
    <w:rsid w:val="003234C9"/>
    <w:rsid w:val="00323537"/>
    <w:rsid w:val="0032367F"/>
    <w:rsid w:val="003238D2"/>
    <w:rsid w:val="003238E4"/>
    <w:rsid w:val="00323918"/>
    <w:rsid w:val="003239BB"/>
    <w:rsid w:val="00323A59"/>
    <w:rsid w:val="00323B03"/>
    <w:rsid w:val="00323C3D"/>
    <w:rsid w:val="00323C4E"/>
    <w:rsid w:val="00323C50"/>
    <w:rsid w:val="00323D0E"/>
    <w:rsid w:val="00323D52"/>
    <w:rsid w:val="00323EA6"/>
    <w:rsid w:val="00324007"/>
    <w:rsid w:val="003240A3"/>
    <w:rsid w:val="003240BD"/>
    <w:rsid w:val="003240FD"/>
    <w:rsid w:val="0032416D"/>
    <w:rsid w:val="00324322"/>
    <w:rsid w:val="00324386"/>
    <w:rsid w:val="003243AC"/>
    <w:rsid w:val="003244D7"/>
    <w:rsid w:val="003245AA"/>
    <w:rsid w:val="00324627"/>
    <w:rsid w:val="00324682"/>
    <w:rsid w:val="003246FE"/>
    <w:rsid w:val="00324709"/>
    <w:rsid w:val="003247F2"/>
    <w:rsid w:val="00324940"/>
    <w:rsid w:val="0032497C"/>
    <w:rsid w:val="003249D8"/>
    <w:rsid w:val="00324A8A"/>
    <w:rsid w:val="00324AEB"/>
    <w:rsid w:val="00324AEE"/>
    <w:rsid w:val="00324B50"/>
    <w:rsid w:val="00324B83"/>
    <w:rsid w:val="00324B84"/>
    <w:rsid w:val="00324B94"/>
    <w:rsid w:val="00324C29"/>
    <w:rsid w:val="00324C8A"/>
    <w:rsid w:val="00324EBA"/>
    <w:rsid w:val="00324F35"/>
    <w:rsid w:val="00324F36"/>
    <w:rsid w:val="00325055"/>
    <w:rsid w:val="003250DE"/>
    <w:rsid w:val="0032511F"/>
    <w:rsid w:val="0032515B"/>
    <w:rsid w:val="0032526A"/>
    <w:rsid w:val="003252C3"/>
    <w:rsid w:val="00325393"/>
    <w:rsid w:val="003253CA"/>
    <w:rsid w:val="003254E8"/>
    <w:rsid w:val="0032552F"/>
    <w:rsid w:val="00325591"/>
    <w:rsid w:val="003256B7"/>
    <w:rsid w:val="0032570C"/>
    <w:rsid w:val="00325830"/>
    <w:rsid w:val="00325954"/>
    <w:rsid w:val="003259CD"/>
    <w:rsid w:val="00325A61"/>
    <w:rsid w:val="00325AB4"/>
    <w:rsid w:val="00325ADD"/>
    <w:rsid w:val="00325B29"/>
    <w:rsid w:val="00325B63"/>
    <w:rsid w:val="00325C01"/>
    <w:rsid w:val="00325C37"/>
    <w:rsid w:val="00325E26"/>
    <w:rsid w:val="00325F99"/>
    <w:rsid w:val="00326023"/>
    <w:rsid w:val="00326029"/>
    <w:rsid w:val="003260E4"/>
    <w:rsid w:val="003261A3"/>
    <w:rsid w:val="00326227"/>
    <w:rsid w:val="00326265"/>
    <w:rsid w:val="003262E0"/>
    <w:rsid w:val="0032631A"/>
    <w:rsid w:val="0032631D"/>
    <w:rsid w:val="00326391"/>
    <w:rsid w:val="003263A6"/>
    <w:rsid w:val="00326468"/>
    <w:rsid w:val="00326510"/>
    <w:rsid w:val="003265C8"/>
    <w:rsid w:val="00326647"/>
    <w:rsid w:val="003266A1"/>
    <w:rsid w:val="003266DB"/>
    <w:rsid w:val="0032675F"/>
    <w:rsid w:val="0032683C"/>
    <w:rsid w:val="0032688A"/>
    <w:rsid w:val="003268B4"/>
    <w:rsid w:val="003268C1"/>
    <w:rsid w:val="0032691F"/>
    <w:rsid w:val="00326B19"/>
    <w:rsid w:val="00326B86"/>
    <w:rsid w:val="00326B8D"/>
    <w:rsid w:val="00326C98"/>
    <w:rsid w:val="00326D0A"/>
    <w:rsid w:val="00326DDC"/>
    <w:rsid w:val="00326DF8"/>
    <w:rsid w:val="00326FA0"/>
    <w:rsid w:val="0032714A"/>
    <w:rsid w:val="003272B9"/>
    <w:rsid w:val="003272FA"/>
    <w:rsid w:val="0032730B"/>
    <w:rsid w:val="00327319"/>
    <w:rsid w:val="00327338"/>
    <w:rsid w:val="00327403"/>
    <w:rsid w:val="00327407"/>
    <w:rsid w:val="003274C7"/>
    <w:rsid w:val="00327571"/>
    <w:rsid w:val="0032778C"/>
    <w:rsid w:val="00327797"/>
    <w:rsid w:val="003278A7"/>
    <w:rsid w:val="0032791E"/>
    <w:rsid w:val="00327985"/>
    <w:rsid w:val="003279CE"/>
    <w:rsid w:val="00327A01"/>
    <w:rsid w:val="00327A6A"/>
    <w:rsid w:val="00327A95"/>
    <w:rsid w:val="00327B70"/>
    <w:rsid w:val="00327D5E"/>
    <w:rsid w:val="00327D62"/>
    <w:rsid w:val="00327D97"/>
    <w:rsid w:val="00327E1F"/>
    <w:rsid w:val="00327E90"/>
    <w:rsid w:val="00327E9F"/>
    <w:rsid w:val="0033013D"/>
    <w:rsid w:val="0033028D"/>
    <w:rsid w:val="003302E7"/>
    <w:rsid w:val="00330367"/>
    <w:rsid w:val="003303BA"/>
    <w:rsid w:val="003303C9"/>
    <w:rsid w:val="00330565"/>
    <w:rsid w:val="00330583"/>
    <w:rsid w:val="003308EF"/>
    <w:rsid w:val="00330B39"/>
    <w:rsid w:val="00330BB6"/>
    <w:rsid w:val="00330DFA"/>
    <w:rsid w:val="00330E59"/>
    <w:rsid w:val="00330E71"/>
    <w:rsid w:val="00330E91"/>
    <w:rsid w:val="00330EE9"/>
    <w:rsid w:val="00330FF2"/>
    <w:rsid w:val="0033116A"/>
    <w:rsid w:val="0033116B"/>
    <w:rsid w:val="003311B3"/>
    <w:rsid w:val="003311E4"/>
    <w:rsid w:val="003312F9"/>
    <w:rsid w:val="00331448"/>
    <w:rsid w:val="00331665"/>
    <w:rsid w:val="003316A9"/>
    <w:rsid w:val="003316AF"/>
    <w:rsid w:val="003316CE"/>
    <w:rsid w:val="003316DE"/>
    <w:rsid w:val="003316F1"/>
    <w:rsid w:val="003318DC"/>
    <w:rsid w:val="00331B41"/>
    <w:rsid w:val="00331BB1"/>
    <w:rsid w:val="00331BD4"/>
    <w:rsid w:val="00331BE0"/>
    <w:rsid w:val="00331C67"/>
    <w:rsid w:val="00331D42"/>
    <w:rsid w:val="00331D6C"/>
    <w:rsid w:val="00331E1C"/>
    <w:rsid w:val="00331E70"/>
    <w:rsid w:val="0033201F"/>
    <w:rsid w:val="00332055"/>
    <w:rsid w:val="00332120"/>
    <w:rsid w:val="0033228A"/>
    <w:rsid w:val="003322DD"/>
    <w:rsid w:val="00332318"/>
    <w:rsid w:val="0033243A"/>
    <w:rsid w:val="0033250E"/>
    <w:rsid w:val="00332511"/>
    <w:rsid w:val="00332516"/>
    <w:rsid w:val="003325BE"/>
    <w:rsid w:val="003325FC"/>
    <w:rsid w:val="003326C9"/>
    <w:rsid w:val="00332710"/>
    <w:rsid w:val="00332726"/>
    <w:rsid w:val="00332729"/>
    <w:rsid w:val="00332787"/>
    <w:rsid w:val="003327BE"/>
    <w:rsid w:val="003327C1"/>
    <w:rsid w:val="00332A6E"/>
    <w:rsid w:val="00332BE9"/>
    <w:rsid w:val="00332C3A"/>
    <w:rsid w:val="00332D9C"/>
    <w:rsid w:val="00332DCB"/>
    <w:rsid w:val="00332F3A"/>
    <w:rsid w:val="00332F4F"/>
    <w:rsid w:val="00332FDF"/>
    <w:rsid w:val="003330BB"/>
    <w:rsid w:val="00333241"/>
    <w:rsid w:val="003332B5"/>
    <w:rsid w:val="003332BE"/>
    <w:rsid w:val="003332D5"/>
    <w:rsid w:val="0033344F"/>
    <w:rsid w:val="00333723"/>
    <w:rsid w:val="00333736"/>
    <w:rsid w:val="003337D1"/>
    <w:rsid w:val="00333822"/>
    <w:rsid w:val="003338C2"/>
    <w:rsid w:val="00333902"/>
    <w:rsid w:val="00333988"/>
    <w:rsid w:val="003339AA"/>
    <w:rsid w:val="00333AE1"/>
    <w:rsid w:val="00333AF3"/>
    <w:rsid w:val="00333C2F"/>
    <w:rsid w:val="00333E32"/>
    <w:rsid w:val="00333F0F"/>
    <w:rsid w:val="00334122"/>
    <w:rsid w:val="00334125"/>
    <w:rsid w:val="003342AE"/>
    <w:rsid w:val="003342C7"/>
    <w:rsid w:val="003342D7"/>
    <w:rsid w:val="003343BE"/>
    <w:rsid w:val="003343D4"/>
    <w:rsid w:val="00334422"/>
    <w:rsid w:val="00334426"/>
    <w:rsid w:val="0033444E"/>
    <w:rsid w:val="003344C4"/>
    <w:rsid w:val="0033451D"/>
    <w:rsid w:val="00334635"/>
    <w:rsid w:val="00334640"/>
    <w:rsid w:val="00334672"/>
    <w:rsid w:val="003346AC"/>
    <w:rsid w:val="003346B8"/>
    <w:rsid w:val="003349CF"/>
    <w:rsid w:val="003349D7"/>
    <w:rsid w:val="00334AFB"/>
    <w:rsid w:val="00334B45"/>
    <w:rsid w:val="00334B6E"/>
    <w:rsid w:val="00334DA6"/>
    <w:rsid w:val="00334F09"/>
    <w:rsid w:val="00334F72"/>
    <w:rsid w:val="00334FD5"/>
    <w:rsid w:val="003350AA"/>
    <w:rsid w:val="003350DC"/>
    <w:rsid w:val="003352D2"/>
    <w:rsid w:val="003352FF"/>
    <w:rsid w:val="0033534C"/>
    <w:rsid w:val="0033538F"/>
    <w:rsid w:val="003353CC"/>
    <w:rsid w:val="00335400"/>
    <w:rsid w:val="00335461"/>
    <w:rsid w:val="003354D4"/>
    <w:rsid w:val="003355A9"/>
    <w:rsid w:val="0033565D"/>
    <w:rsid w:val="0033569F"/>
    <w:rsid w:val="0033571B"/>
    <w:rsid w:val="0033580A"/>
    <w:rsid w:val="00335812"/>
    <w:rsid w:val="00335863"/>
    <w:rsid w:val="003358A5"/>
    <w:rsid w:val="003358B4"/>
    <w:rsid w:val="00335A7A"/>
    <w:rsid w:val="00335A89"/>
    <w:rsid w:val="00335D13"/>
    <w:rsid w:val="00335D73"/>
    <w:rsid w:val="00335D8F"/>
    <w:rsid w:val="00335E1F"/>
    <w:rsid w:val="00335F54"/>
    <w:rsid w:val="00335F80"/>
    <w:rsid w:val="00336052"/>
    <w:rsid w:val="003360F1"/>
    <w:rsid w:val="00336140"/>
    <w:rsid w:val="003361B9"/>
    <w:rsid w:val="003361CC"/>
    <w:rsid w:val="003362BB"/>
    <w:rsid w:val="0033634C"/>
    <w:rsid w:val="0033639C"/>
    <w:rsid w:val="00336417"/>
    <w:rsid w:val="003366A7"/>
    <w:rsid w:val="00336703"/>
    <w:rsid w:val="0033677E"/>
    <w:rsid w:val="00336782"/>
    <w:rsid w:val="003367CC"/>
    <w:rsid w:val="00336820"/>
    <w:rsid w:val="003368A3"/>
    <w:rsid w:val="003368B2"/>
    <w:rsid w:val="003368D7"/>
    <w:rsid w:val="003368E4"/>
    <w:rsid w:val="00336929"/>
    <w:rsid w:val="00336AEB"/>
    <w:rsid w:val="00336EA0"/>
    <w:rsid w:val="00336EBC"/>
    <w:rsid w:val="00336ECB"/>
    <w:rsid w:val="00336F09"/>
    <w:rsid w:val="00336F69"/>
    <w:rsid w:val="003370BE"/>
    <w:rsid w:val="0033721F"/>
    <w:rsid w:val="003372A7"/>
    <w:rsid w:val="00337302"/>
    <w:rsid w:val="0033733F"/>
    <w:rsid w:val="00337701"/>
    <w:rsid w:val="00337712"/>
    <w:rsid w:val="00337778"/>
    <w:rsid w:val="00337874"/>
    <w:rsid w:val="0033797B"/>
    <w:rsid w:val="003379CE"/>
    <w:rsid w:val="00337C13"/>
    <w:rsid w:val="00337CAA"/>
    <w:rsid w:val="00337D56"/>
    <w:rsid w:val="00337E60"/>
    <w:rsid w:val="00337E99"/>
    <w:rsid w:val="00337FC1"/>
    <w:rsid w:val="00340073"/>
    <w:rsid w:val="003400E8"/>
    <w:rsid w:val="003401D4"/>
    <w:rsid w:val="003401E0"/>
    <w:rsid w:val="00340204"/>
    <w:rsid w:val="00340228"/>
    <w:rsid w:val="003403EF"/>
    <w:rsid w:val="003404AC"/>
    <w:rsid w:val="003404BD"/>
    <w:rsid w:val="003404E4"/>
    <w:rsid w:val="0034051E"/>
    <w:rsid w:val="00340537"/>
    <w:rsid w:val="0034068C"/>
    <w:rsid w:val="003406C7"/>
    <w:rsid w:val="003407C5"/>
    <w:rsid w:val="003407D3"/>
    <w:rsid w:val="00340972"/>
    <w:rsid w:val="0034097C"/>
    <w:rsid w:val="00340B3F"/>
    <w:rsid w:val="00340BA8"/>
    <w:rsid w:val="00340CC3"/>
    <w:rsid w:val="00340CE7"/>
    <w:rsid w:val="00340E1B"/>
    <w:rsid w:val="003410A1"/>
    <w:rsid w:val="003410F0"/>
    <w:rsid w:val="00341115"/>
    <w:rsid w:val="003411DF"/>
    <w:rsid w:val="003412EB"/>
    <w:rsid w:val="0034137C"/>
    <w:rsid w:val="003415AD"/>
    <w:rsid w:val="0034162E"/>
    <w:rsid w:val="0034163F"/>
    <w:rsid w:val="0034166A"/>
    <w:rsid w:val="00341750"/>
    <w:rsid w:val="003417B2"/>
    <w:rsid w:val="003417C4"/>
    <w:rsid w:val="003419D4"/>
    <w:rsid w:val="00341A49"/>
    <w:rsid w:val="00341A54"/>
    <w:rsid w:val="00341B96"/>
    <w:rsid w:val="00341C36"/>
    <w:rsid w:val="00341CC3"/>
    <w:rsid w:val="00341CEE"/>
    <w:rsid w:val="00341E14"/>
    <w:rsid w:val="00341F94"/>
    <w:rsid w:val="0034201F"/>
    <w:rsid w:val="003420FB"/>
    <w:rsid w:val="003421A7"/>
    <w:rsid w:val="00342309"/>
    <w:rsid w:val="003423E0"/>
    <w:rsid w:val="00342448"/>
    <w:rsid w:val="0034248E"/>
    <w:rsid w:val="003424B7"/>
    <w:rsid w:val="003424D6"/>
    <w:rsid w:val="00342795"/>
    <w:rsid w:val="003427EB"/>
    <w:rsid w:val="003428D6"/>
    <w:rsid w:val="00342959"/>
    <w:rsid w:val="00342AB3"/>
    <w:rsid w:val="00342ABB"/>
    <w:rsid w:val="00342C5F"/>
    <w:rsid w:val="00342CED"/>
    <w:rsid w:val="00342D95"/>
    <w:rsid w:val="00342F57"/>
    <w:rsid w:val="00342FEB"/>
    <w:rsid w:val="0034304C"/>
    <w:rsid w:val="003430A9"/>
    <w:rsid w:val="003431D5"/>
    <w:rsid w:val="0034320B"/>
    <w:rsid w:val="003432E7"/>
    <w:rsid w:val="00343339"/>
    <w:rsid w:val="00343471"/>
    <w:rsid w:val="003434BE"/>
    <w:rsid w:val="003435AA"/>
    <w:rsid w:val="003436D4"/>
    <w:rsid w:val="0034377A"/>
    <w:rsid w:val="00343829"/>
    <w:rsid w:val="003438F4"/>
    <w:rsid w:val="0034390A"/>
    <w:rsid w:val="003439C1"/>
    <w:rsid w:val="00343A02"/>
    <w:rsid w:val="00343A7C"/>
    <w:rsid w:val="00343B62"/>
    <w:rsid w:val="00343B7D"/>
    <w:rsid w:val="00343B9B"/>
    <w:rsid w:val="00343BA9"/>
    <w:rsid w:val="00343C37"/>
    <w:rsid w:val="00343D90"/>
    <w:rsid w:val="00343E5B"/>
    <w:rsid w:val="00343EAA"/>
    <w:rsid w:val="00343EB1"/>
    <w:rsid w:val="00343EEC"/>
    <w:rsid w:val="00343F28"/>
    <w:rsid w:val="00343FC6"/>
    <w:rsid w:val="00344048"/>
    <w:rsid w:val="003440C3"/>
    <w:rsid w:val="003440DF"/>
    <w:rsid w:val="00344131"/>
    <w:rsid w:val="00344162"/>
    <w:rsid w:val="00344175"/>
    <w:rsid w:val="003441C2"/>
    <w:rsid w:val="003441D7"/>
    <w:rsid w:val="003441FB"/>
    <w:rsid w:val="0034441A"/>
    <w:rsid w:val="003444EE"/>
    <w:rsid w:val="0034454B"/>
    <w:rsid w:val="0034459A"/>
    <w:rsid w:val="003445A4"/>
    <w:rsid w:val="003445DC"/>
    <w:rsid w:val="00344603"/>
    <w:rsid w:val="00344665"/>
    <w:rsid w:val="0034469F"/>
    <w:rsid w:val="003446C9"/>
    <w:rsid w:val="00344790"/>
    <w:rsid w:val="003447B3"/>
    <w:rsid w:val="003447B6"/>
    <w:rsid w:val="003448ED"/>
    <w:rsid w:val="003449E4"/>
    <w:rsid w:val="00344DE4"/>
    <w:rsid w:val="00344DEB"/>
    <w:rsid w:val="00344ED0"/>
    <w:rsid w:val="0034501E"/>
    <w:rsid w:val="0034502D"/>
    <w:rsid w:val="0034508C"/>
    <w:rsid w:val="003450AB"/>
    <w:rsid w:val="003450F5"/>
    <w:rsid w:val="003450FE"/>
    <w:rsid w:val="003451B4"/>
    <w:rsid w:val="00345201"/>
    <w:rsid w:val="003452B2"/>
    <w:rsid w:val="003452F5"/>
    <w:rsid w:val="00345310"/>
    <w:rsid w:val="0034534B"/>
    <w:rsid w:val="003453AC"/>
    <w:rsid w:val="0034550D"/>
    <w:rsid w:val="0034553E"/>
    <w:rsid w:val="003455DB"/>
    <w:rsid w:val="00345639"/>
    <w:rsid w:val="00345732"/>
    <w:rsid w:val="0034583E"/>
    <w:rsid w:val="0034585E"/>
    <w:rsid w:val="003458F8"/>
    <w:rsid w:val="00345AB0"/>
    <w:rsid w:val="00345B36"/>
    <w:rsid w:val="00345B6B"/>
    <w:rsid w:val="00345BE5"/>
    <w:rsid w:val="00345C25"/>
    <w:rsid w:val="00345C6A"/>
    <w:rsid w:val="00345C6D"/>
    <w:rsid w:val="00345CDE"/>
    <w:rsid w:val="00345DEC"/>
    <w:rsid w:val="00345EDC"/>
    <w:rsid w:val="00345FA9"/>
    <w:rsid w:val="003460A5"/>
    <w:rsid w:val="003460BE"/>
    <w:rsid w:val="003460D6"/>
    <w:rsid w:val="003460E4"/>
    <w:rsid w:val="00346102"/>
    <w:rsid w:val="00346156"/>
    <w:rsid w:val="0034615C"/>
    <w:rsid w:val="00346169"/>
    <w:rsid w:val="003461E0"/>
    <w:rsid w:val="0034624D"/>
    <w:rsid w:val="00346286"/>
    <w:rsid w:val="00346302"/>
    <w:rsid w:val="0034636B"/>
    <w:rsid w:val="003463B0"/>
    <w:rsid w:val="0034643E"/>
    <w:rsid w:val="00346543"/>
    <w:rsid w:val="0034656B"/>
    <w:rsid w:val="003465B4"/>
    <w:rsid w:val="0034665C"/>
    <w:rsid w:val="003466F2"/>
    <w:rsid w:val="00346777"/>
    <w:rsid w:val="00346787"/>
    <w:rsid w:val="003467CB"/>
    <w:rsid w:val="00346806"/>
    <w:rsid w:val="00346859"/>
    <w:rsid w:val="003468B9"/>
    <w:rsid w:val="003468D0"/>
    <w:rsid w:val="00346B59"/>
    <w:rsid w:val="00346B90"/>
    <w:rsid w:val="00346CF9"/>
    <w:rsid w:val="00346DAD"/>
    <w:rsid w:val="00346DE2"/>
    <w:rsid w:val="00346F22"/>
    <w:rsid w:val="00346F62"/>
    <w:rsid w:val="00347058"/>
    <w:rsid w:val="003470CB"/>
    <w:rsid w:val="003470DD"/>
    <w:rsid w:val="003471ED"/>
    <w:rsid w:val="00347200"/>
    <w:rsid w:val="003473A2"/>
    <w:rsid w:val="00347452"/>
    <w:rsid w:val="00347597"/>
    <w:rsid w:val="0034780E"/>
    <w:rsid w:val="003478AD"/>
    <w:rsid w:val="00347967"/>
    <w:rsid w:val="00347979"/>
    <w:rsid w:val="00347A16"/>
    <w:rsid w:val="00347C3A"/>
    <w:rsid w:val="00347D8B"/>
    <w:rsid w:val="00347E3B"/>
    <w:rsid w:val="00347F1F"/>
    <w:rsid w:val="00350010"/>
    <w:rsid w:val="00350025"/>
    <w:rsid w:val="003500EC"/>
    <w:rsid w:val="00350146"/>
    <w:rsid w:val="0035039A"/>
    <w:rsid w:val="003503F4"/>
    <w:rsid w:val="003505F5"/>
    <w:rsid w:val="003507E1"/>
    <w:rsid w:val="00350882"/>
    <w:rsid w:val="00350A28"/>
    <w:rsid w:val="00350A5A"/>
    <w:rsid w:val="00350BED"/>
    <w:rsid w:val="00350CCC"/>
    <w:rsid w:val="00350CEA"/>
    <w:rsid w:val="00350CEC"/>
    <w:rsid w:val="00350DE9"/>
    <w:rsid w:val="00350EE9"/>
    <w:rsid w:val="0035105A"/>
    <w:rsid w:val="003510C3"/>
    <w:rsid w:val="003512BC"/>
    <w:rsid w:val="0035150D"/>
    <w:rsid w:val="00351517"/>
    <w:rsid w:val="003516CB"/>
    <w:rsid w:val="003516F9"/>
    <w:rsid w:val="003516FF"/>
    <w:rsid w:val="003517B5"/>
    <w:rsid w:val="003517D0"/>
    <w:rsid w:val="003518A5"/>
    <w:rsid w:val="00351933"/>
    <w:rsid w:val="00351998"/>
    <w:rsid w:val="00351A0B"/>
    <w:rsid w:val="00351A10"/>
    <w:rsid w:val="00351AD8"/>
    <w:rsid w:val="00351B83"/>
    <w:rsid w:val="00351BEA"/>
    <w:rsid w:val="00351D1E"/>
    <w:rsid w:val="00351DA1"/>
    <w:rsid w:val="00351DBB"/>
    <w:rsid w:val="00351EAB"/>
    <w:rsid w:val="00351F4D"/>
    <w:rsid w:val="00351FCA"/>
    <w:rsid w:val="003520A5"/>
    <w:rsid w:val="003520BF"/>
    <w:rsid w:val="00352127"/>
    <w:rsid w:val="003521A3"/>
    <w:rsid w:val="00352312"/>
    <w:rsid w:val="003523CE"/>
    <w:rsid w:val="003523DD"/>
    <w:rsid w:val="0035247B"/>
    <w:rsid w:val="00352506"/>
    <w:rsid w:val="00352689"/>
    <w:rsid w:val="0035268F"/>
    <w:rsid w:val="00352855"/>
    <w:rsid w:val="003528ED"/>
    <w:rsid w:val="0035296A"/>
    <w:rsid w:val="0035297D"/>
    <w:rsid w:val="003529B5"/>
    <w:rsid w:val="00352B69"/>
    <w:rsid w:val="00352C2E"/>
    <w:rsid w:val="00352C44"/>
    <w:rsid w:val="00352EB0"/>
    <w:rsid w:val="00352F36"/>
    <w:rsid w:val="00353055"/>
    <w:rsid w:val="0035308B"/>
    <w:rsid w:val="0035317C"/>
    <w:rsid w:val="00353267"/>
    <w:rsid w:val="0035328B"/>
    <w:rsid w:val="00353294"/>
    <w:rsid w:val="003532F8"/>
    <w:rsid w:val="003533E7"/>
    <w:rsid w:val="0035347F"/>
    <w:rsid w:val="00353552"/>
    <w:rsid w:val="0035359E"/>
    <w:rsid w:val="00353615"/>
    <w:rsid w:val="0035366A"/>
    <w:rsid w:val="00353769"/>
    <w:rsid w:val="003537A8"/>
    <w:rsid w:val="0035380E"/>
    <w:rsid w:val="0035389B"/>
    <w:rsid w:val="003538E9"/>
    <w:rsid w:val="00353A92"/>
    <w:rsid w:val="00353B29"/>
    <w:rsid w:val="00353BC1"/>
    <w:rsid w:val="00353C0C"/>
    <w:rsid w:val="00353CA9"/>
    <w:rsid w:val="00353CC3"/>
    <w:rsid w:val="00353D00"/>
    <w:rsid w:val="00353D6F"/>
    <w:rsid w:val="00353F12"/>
    <w:rsid w:val="00353F3B"/>
    <w:rsid w:val="00353F88"/>
    <w:rsid w:val="00354097"/>
    <w:rsid w:val="003540FE"/>
    <w:rsid w:val="00354128"/>
    <w:rsid w:val="00354180"/>
    <w:rsid w:val="003542ED"/>
    <w:rsid w:val="003543C7"/>
    <w:rsid w:val="003543D4"/>
    <w:rsid w:val="0035449A"/>
    <w:rsid w:val="00354518"/>
    <w:rsid w:val="0035467E"/>
    <w:rsid w:val="00354696"/>
    <w:rsid w:val="003546F6"/>
    <w:rsid w:val="003546F9"/>
    <w:rsid w:val="00354753"/>
    <w:rsid w:val="003548DB"/>
    <w:rsid w:val="00354903"/>
    <w:rsid w:val="00354934"/>
    <w:rsid w:val="003549D6"/>
    <w:rsid w:val="00354A6E"/>
    <w:rsid w:val="00354CF3"/>
    <w:rsid w:val="00354CF7"/>
    <w:rsid w:val="00354D61"/>
    <w:rsid w:val="00354E1D"/>
    <w:rsid w:val="00354F58"/>
    <w:rsid w:val="0035501F"/>
    <w:rsid w:val="00355035"/>
    <w:rsid w:val="00355052"/>
    <w:rsid w:val="003551E5"/>
    <w:rsid w:val="00355205"/>
    <w:rsid w:val="003552A4"/>
    <w:rsid w:val="00355391"/>
    <w:rsid w:val="0035549E"/>
    <w:rsid w:val="003554BD"/>
    <w:rsid w:val="0035552F"/>
    <w:rsid w:val="00355588"/>
    <w:rsid w:val="0035562D"/>
    <w:rsid w:val="00355681"/>
    <w:rsid w:val="003556BB"/>
    <w:rsid w:val="0035570B"/>
    <w:rsid w:val="00355785"/>
    <w:rsid w:val="003557A2"/>
    <w:rsid w:val="0035584F"/>
    <w:rsid w:val="003558A0"/>
    <w:rsid w:val="003558A6"/>
    <w:rsid w:val="00355933"/>
    <w:rsid w:val="00355939"/>
    <w:rsid w:val="0035596C"/>
    <w:rsid w:val="003559A2"/>
    <w:rsid w:val="003559C0"/>
    <w:rsid w:val="003559E4"/>
    <w:rsid w:val="00355A99"/>
    <w:rsid w:val="00355BB8"/>
    <w:rsid w:val="00355BCF"/>
    <w:rsid w:val="00355D3F"/>
    <w:rsid w:val="00355DF3"/>
    <w:rsid w:val="00355E15"/>
    <w:rsid w:val="00355E82"/>
    <w:rsid w:val="00355EEF"/>
    <w:rsid w:val="0035609A"/>
    <w:rsid w:val="00356112"/>
    <w:rsid w:val="003562AB"/>
    <w:rsid w:val="00356307"/>
    <w:rsid w:val="00356335"/>
    <w:rsid w:val="00356378"/>
    <w:rsid w:val="00356407"/>
    <w:rsid w:val="003564F5"/>
    <w:rsid w:val="0035650D"/>
    <w:rsid w:val="0035655C"/>
    <w:rsid w:val="003565E3"/>
    <w:rsid w:val="00356638"/>
    <w:rsid w:val="0035663B"/>
    <w:rsid w:val="0035675A"/>
    <w:rsid w:val="0035679D"/>
    <w:rsid w:val="003567B1"/>
    <w:rsid w:val="0035687C"/>
    <w:rsid w:val="00356A81"/>
    <w:rsid w:val="00356ABF"/>
    <w:rsid w:val="00356AEA"/>
    <w:rsid w:val="00356B6D"/>
    <w:rsid w:val="00356BF3"/>
    <w:rsid w:val="00356C66"/>
    <w:rsid w:val="00356C98"/>
    <w:rsid w:val="00356D2E"/>
    <w:rsid w:val="00356D3E"/>
    <w:rsid w:val="00356F19"/>
    <w:rsid w:val="003570C1"/>
    <w:rsid w:val="00357197"/>
    <w:rsid w:val="0035722A"/>
    <w:rsid w:val="003572F5"/>
    <w:rsid w:val="00357407"/>
    <w:rsid w:val="003574CF"/>
    <w:rsid w:val="00357552"/>
    <w:rsid w:val="00357750"/>
    <w:rsid w:val="003577AE"/>
    <w:rsid w:val="00357A0A"/>
    <w:rsid w:val="00357B54"/>
    <w:rsid w:val="00357B82"/>
    <w:rsid w:val="00357BFC"/>
    <w:rsid w:val="00357C9C"/>
    <w:rsid w:val="00357CBA"/>
    <w:rsid w:val="00357D44"/>
    <w:rsid w:val="00357DB1"/>
    <w:rsid w:val="00357DF3"/>
    <w:rsid w:val="00357E2B"/>
    <w:rsid w:val="00357E98"/>
    <w:rsid w:val="00357E99"/>
    <w:rsid w:val="00357E9A"/>
    <w:rsid w:val="00357F36"/>
    <w:rsid w:val="00360108"/>
    <w:rsid w:val="00360178"/>
    <w:rsid w:val="0036024B"/>
    <w:rsid w:val="003602F1"/>
    <w:rsid w:val="00360332"/>
    <w:rsid w:val="003603C6"/>
    <w:rsid w:val="003604A9"/>
    <w:rsid w:val="003606A3"/>
    <w:rsid w:val="00360826"/>
    <w:rsid w:val="003608C5"/>
    <w:rsid w:val="003608C6"/>
    <w:rsid w:val="003609AC"/>
    <w:rsid w:val="00360AA7"/>
    <w:rsid w:val="00360AAD"/>
    <w:rsid w:val="00360B2B"/>
    <w:rsid w:val="00360B5A"/>
    <w:rsid w:val="00360B5D"/>
    <w:rsid w:val="00360B71"/>
    <w:rsid w:val="00360C6D"/>
    <w:rsid w:val="00360CF3"/>
    <w:rsid w:val="00360D16"/>
    <w:rsid w:val="00360D21"/>
    <w:rsid w:val="00360E82"/>
    <w:rsid w:val="00360EF8"/>
    <w:rsid w:val="00360FA5"/>
    <w:rsid w:val="00360FDC"/>
    <w:rsid w:val="0036109D"/>
    <w:rsid w:val="003610DA"/>
    <w:rsid w:val="0036113E"/>
    <w:rsid w:val="00361206"/>
    <w:rsid w:val="00361237"/>
    <w:rsid w:val="0036141C"/>
    <w:rsid w:val="003615B5"/>
    <w:rsid w:val="0036165E"/>
    <w:rsid w:val="00361719"/>
    <w:rsid w:val="003617EF"/>
    <w:rsid w:val="003619B5"/>
    <w:rsid w:val="00361A9D"/>
    <w:rsid w:val="00361ACC"/>
    <w:rsid w:val="00361B76"/>
    <w:rsid w:val="00361BA0"/>
    <w:rsid w:val="00361C24"/>
    <w:rsid w:val="00361D28"/>
    <w:rsid w:val="00361D73"/>
    <w:rsid w:val="00361E3E"/>
    <w:rsid w:val="00361E4A"/>
    <w:rsid w:val="00361EDA"/>
    <w:rsid w:val="00361F5A"/>
    <w:rsid w:val="00361F96"/>
    <w:rsid w:val="00361F9B"/>
    <w:rsid w:val="00362150"/>
    <w:rsid w:val="00362224"/>
    <w:rsid w:val="00362310"/>
    <w:rsid w:val="0036236B"/>
    <w:rsid w:val="0036237F"/>
    <w:rsid w:val="003623C1"/>
    <w:rsid w:val="003623D4"/>
    <w:rsid w:val="003623EF"/>
    <w:rsid w:val="00362415"/>
    <w:rsid w:val="00362532"/>
    <w:rsid w:val="00362550"/>
    <w:rsid w:val="003625B0"/>
    <w:rsid w:val="003626B7"/>
    <w:rsid w:val="0036272A"/>
    <w:rsid w:val="00362828"/>
    <w:rsid w:val="0036286B"/>
    <w:rsid w:val="0036291E"/>
    <w:rsid w:val="00362929"/>
    <w:rsid w:val="00362964"/>
    <w:rsid w:val="003629CF"/>
    <w:rsid w:val="00362A7A"/>
    <w:rsid w:val="00362A8E"/>
    <w:rsid w:val="00362ABA"/>
    <w:rsid w:val="00362B6E"/>
    <w:rsid w:val="00362BFB"/>
    <w:rsid w:val="00362C6C"/>
    <w:rsid w:val="00362D38"/>
    <w:rsid w:val="00362E0D"/>
    <w:rsid w:val="00362EF8"/>
    <w:rsid w:val="00362F92"/>
    <w:rsid w:val="0036308B"/>
    <w:rsid w:val="003630E9"/>
    <w:rsid w:val="00363150"/>
    <w:rsid w:val="00363169"/>
    <w:rsid w:val="003632EA"/>
    <w:rsid w:val="00363354"/>
    <w:rsid w:val="003633A3"/>
    <w:rsid w:val="003634D7"/>
    <w:rsid w:val="003635D7"/>
    <w:rsid w:val="0036362F"/>
    <w:rsid w:val="00363660"/>
    <w:rsid w:val="0036377D"/>
    <w:rsid w:val="00363893"/>
    <w:rsid w:val="00363933"/>
    <w:rsid w:val="00363A26"/>
    <w:rsid w:val="00363C64"/>
    <w:rsid w:val="00363D1D"/>
    <w:rsid w:val="00363F24"/>
    <w:rsid w:val="00363FD0"/>
    <w:rsid w:val="00364071"/>
    <w:rsid w:val="00364139"/>
    <w:rsid w:val="00364166"/>
    <w:rsid w:val="003642D4"/>
    <w:rsid w:val="00364500"/>
    <w:rsid w:val="0036454B"/>
    <w:rsid w:val="003645B3"/>
    <w:rsid w:val="0036461E"/>
    <w:rsid w:val="003648DE"/>
    <w:rsid w:val="0036492F"/>
    <w:rsid w:val="0036493E"/>
    <w:rsid w:val="00364A5A"/>
    <w:rsid w:val="00364AC3"/>
    <w:rsid w:val="00364B6C"/>
    <w:rsid w:val="00364B98"/>
    <w:rsid w:val="00364C3D"/>
    <w:rsid w:val="00364D41"/>
    <w:rsid w:val="00364E1C"/>
    <w:rsid w:val="00364EC9"/>
    <w:rsid w:val="00364FBD"/>
    <w:rsid w:val="00364FC7"/>
    <w:rsid w:val="00365068"/>
    <w:rsid w:val="003650D4"/>
    <w:rsid w:val="003651B4"/>
    <w:rsid w:val="003651D7"/>
    <w:rsid w:val="00365213"/>
    <w:rsid w:val="0036521C"/>
    <w:rsid w:val="00365284"/>
    <w:rsid w:val="0036528E"/>
    <w:rsid w:val="0036534D"/>
    <w:rsid w:val="00365398"/>
    <w:rsid w:val="0036560F"/>
    <w:rsid w:val="003656FB"/>
    <w:rsid w:val="003657EA"/>
    <w:rsid w:val="003659E2"/>
    <w:rsid w:val="00365A47"/>
    <w:rsid w:val="00365B4C"/>
    <w:rsid w:val="00365B8A"/>
    <w:rsid w:val="00365B9B"/>
    <w:rsid w:val="00365C92"/>
    <w:rsid w:val="00365C99"/>
    <w:rsid w:val="00365CFB"/>
    <w:rsid w:val="00365D94"/>
    <w:rsid w:val="00365F8A"/>
    <w:rsid w:val="00365FC1"/>
    <w:rsid w:val="00365FD1"/>
    <w:rsid w:val="003663E0"/>
    <w:rsid w:val="00366432"/>
    <w:rsid w:val="00366446"/>
    <w:rsid w:val="003664FC"/>
    <w:rsid w:val="0036659D"/>
    <w:rsid w:val="003665B7"/>
    <w:rsid w:val="0036668E"/>
    <w:rsid w:val="003666B1"/>
    <w:rsid w:val="003666F1"/>
    <w:rsid w:val="0036673B"/>
    <w:rsid w:val="0036675C"/>
    <w:rsid w:val="0036679B"/>
    <w:rsid w:val="00366805"/>
    <w:rsid w:val="00366953"/>
    <w:rsid w:val="003669C4"/>
    <w:rsid w:val="00366A2D"/>
    <w:rsid w:val="00366A48"/>
    <w:rsid w:val="00366AF0"/>
    <w:rsid w:val="00366B54"/>
    <w:rsid w:val="00366B84"/>
    <w:rsid w:val="00366BDC"/>
    <w:rsid w:val="00366C68"/>
    <w:rsid w:val="00366C98"/>
    <w:rsid w:val="00366EB8"/>
    <w:rsid w:val="00366F13"/>
    <w:rsid w:val="00366F35"/>
    <w:rsid w:val="00366F3F"/>
    <w:rsid w:val="00367015"/>
    <w:rsid w:val="00367030"/>
    <w:rsid w:val="0036716B"/>
    <w:rsid w:val="00367190"/>
    <w:rsid w:val="003671A9"/>
    <w:rsid w:val="0036732B"/>
    <w:rsid w:val="003675E0"/>
    <w:rsid w:val="0036761F"/>
    <w:rsid w:val="00367656"/>
    <w:rsid w:val="0036766A"/>
    <w:rsid w:val="003676A4"/>
    <w:rsid w:val="0036772F"/>
    <w:rsid w:val="00367755"/>
    <w:rsid w:val="003677A0"/>
    <w:rsid w:val="003678B9"/>
    <w:rsid w:val="00367B1C"/>
    <w:rsid w:val="00367BBD"/>
    <w:rsid w:val="00367C9C"/>
    <w:rsid w:val="00367DD5"/>
    <w:rsid w:val="00367E66"/>
    <w:rsid w:val="00367ED3"/>
    <w:rsid w:val="00367F31"/>
    <w:rsid w:val="00367F46"/>
    <w:rsid w:val="00367FC4"/>
    <w:rsid w:val="00367FFD"/>
    <w:rsid w:val="00370016"/>
    <w:rsid w:val="003701B9"/>
    <w:rsid w:val="003701CB"/>
    <w:rsid w:val="0037020D"/>
    <w:rsid w:val="00370287"/>
    <w:rsid w:val="003702AB"/>
    <w:rsid w:val="003702AE"/>
    <w:rsid w:val="003702DC"/>
    <w:rsid w:val="0037032C"/>
    <w:rsid w:val="003704A2"/>
    <w:rsid w:val="003704E1"/>
    <w:rsid w:val="0037058D"/>
    <w:rsid w:val="003705A2"/>
    <w:rsid w:val="00370692"/>
    <w:rsid w:val="00370698"/>
    <w:rsid w:val="003706EA"/>
    <w:rsid w:val="003707A7"/>
    <w:rsid w:val="003707D3"/>
    <w:rsid w:val="0037093D"/>
    <w:rsid w:val="00370941"/>
    <w:rsid w:val="00370A5C"/>
    <w:rsid w:val="00370A68"/>
    <w:rsid w:val="00370AE4"/>
    <w:rsid w:val="00370B5F"/>
    <w:rsid w:val="00370BCD"/>
    <w:rsid w:val="00370C04"/>
    <w:rsid w:val="00370C1F"/>
    <w:rsid w:val="00370CBA"/>
    <w:rsid w:val="00370DE6"/>
    <w:rsid w:val="00370E21"/>
    <w:rsid w:val="00370F03"/>
    <w:rsid w:val="00370F29"/>
    <w:rsid w:val="00370F35"/>
    <w:rsid w:val="00370F8C"/>
    <w:rsid w:val="00370FCE"/>
    <w:rsid w:val="00371041"/>
    <w:rsid w:val="003710B8"/>
    <w:rsid w:val="003710E6"/>
    <w:rsid w:val="003712E8"/>
    <w:rsid w:val="003713AD"/>
    <w:rsid w:val="003714A2"/>
    <w:rsid w:val="003715CF"/>
    <w:rsid w:val="003717BA"/>
    <w:rsid w:val="003717CF"/>
    <w:rsid w:val="0037181C"/>
    <w:rsid w:val="00371896"/>
    <w:rsid w:val="003718F5"/>
    <w:rsid w:val="003719B0"/>
    <w:rsid w:val="00371A06"/>
    <w:rsid w:val="00371A16"/>
    <w:rsid w:val="00371BBD"/>
    <w:rsid w:val="00371C4B"/>
    <w:rsid w:val="00371C60"/>
    <w:rsid w:val="00371CF4"/>
    <w:rsid w:val="00371CF6"/>
    <w:rsid w:val="00371DDA"/>
    <w:rsid w:val="00371EFA"/>
    <w:rsid w:val="00371F33"/>
    <w:rsid w:val="0037201F"/>
    <w:rsid w:val="00372119"/>
    <w:rsid w:val="003722B4"/>
    <w:rsid w:val="00372391"/>
    <w:rsid w:val="003723D5"/>
    <w:rsid w:val="00372491"/>
    <w:rsid w:val="0037253B"/>
    <w:rsid w:val="003725EB"/>
    <w:rsid w:val="00372660"/>
    <w:rsid w:val="00372722"/>
    <w:rsid w:val="00372782"/>
    <w:rsid w:val="00372B03"/>
    <w:rsid w:val="00372BC2"/>
    <w:rsid w:val="00372ED6"/>
    <w:rsid w:val="00372F69"/>
    <w:rsid w:val="00372FB5"/>
    <w:rsid w:val="00372FF8"/>
    <w:rsid w:val="00373099"/>
    <w:rsid w:val="00373115"/>
    <w:rsid w:val="003731CE"/>
    <w:rsid w:val="00373214"/>
    <w:rsid w:val="00373265"/>
    <w:rsid w:val="003733EC"/>
    <w:rsid w:val="00373513"/>
    <w:rsid w:val="0037351B"/>
    <w:rsid w:val="0037352A"/>
    <w:rsid w:val="003735CE"/>
    <w:rsid w:val="003736E7"/>
    <w:rsid w:val="003737D1"/>
    <w:rsid w:val="00373801"/>
    <w:rsid w:val="00373877"/>
    <w:rsid w:val="0037394F"/>
    <w:rsid w:val="003739CE"/>
    <w:rsid w:val="00373A2F"/>
    <w:rsid w:val="00373A72"/>
    <w:rsid w:val="00373AB1"/>
    <w:rsid w:val="00373AEA"/>
    <w:rsid w:val="00373B15"/>
    <w:rsid w:val="00373B60"/>
    <w:rsid w:val="00373B6B"/>
    <w:rsid w:val="00373B8E"/>
    <w:rsid w:val="00373C59"/>
    <w:rsid w:val="00373CD0"/>
    <w:rsid w:val="00373DCD"/>
    <w:rsid w:val="00373ED9"/>
    <w:rsid w:val="00373F6E"/>
    <w:rsid w:val="00373F77"/>
    <w:rsid w:val="00374129"/>
    <w:rsid w:val="00374281"/>
    <w:rsid w:val="003742E6"/>
    <w:rsid w:val="003742F3"/>
    <w:rsid w:val="003744FF"/>
    <w:rsid w:val="0037453F"/>
    <w:rsid w:val="0037457C"/>
    <w:rsid w:val="00374684"/>
    <w:rsid w:val="00374738"/>
    <w:rsid w:val="0037478F"/>
    <w:rsid w:val="00374952"/>
    <w:rsid w:val="00374C1A"/>
    <w:rsid w:val="00374C40"/>
    <w:rsid w:val="00374CC9"/>
    <w:rsid w:val="00374CFF"/>
    <w:rsid w:val="00374DCE"/>
    <w:rsid w:val="00374EDB"/>
    <w:rsid w:val="00374F60"/>
    <w:rsid w:val="00374F6B"/>
    <w:rsid w:val="0037506F"/>
    <w:rsid w:val="00375155"/>
    <w:rsid w:val="00375162"/>
    <w:rsid w:val="003751F2"/>
    <w:rsid w:val="0037522C"/>
    <w:rsid w:val="003752CA"/>
    <w:rsid w:val="00375330"/>
    <w:rsid w:val="003753EE"/>
    <w:rsid w:val="00375503"/>
    <w:rsid w:val="00375509"/>
    <w:rsid w:val="00375698"/>
    <w:rsid w:val="0037569E"/>
    <w:rsid w:val="003757BD"/>
    <w:rsid w:val="003757E8"/>
    <w:rsid w:val="003759F2"/>
    <w:rsid w:val="00375AF9"/>
    <w:rsid w:val="00375C46"/>
    <w:rsid w:val="00375C9B"/>
    <w:rsid w:val="00375D23"/>
    <w:rsid w:val="00375D95"/>
    <w:rsid w:val="00375D9A"/>
    <w:rsid w:val="00375DB8"/>
    <w:rsid w:val="00375E11"/>
    <w:rsid w:val="00375E87"/>
    <w:rsid w:val="00375F31"/>
    <w:rsid w:val="00375F91"/>
    <w:rsid w:val="00375FD0"/>
    <w:rsid w:val="00376063"/>
    <w:rsid w:val="0037612A"/>
    <w:rsid w:val="0037624B"/>
    <w:rsid w:val="00376275"/>
    <w:rsid w:val="00376276"/>
    <w:rsid w:val="00376308"/>
    <w:rsid w:val="00376408"/>
    <w:rsid w:val="00376415"/>
    <w:rsid w:val="003764ED"/>
    <w:rsid w:val="003766D6"/>
    <w:rsid w:val="003768E2"/>
    <w:rsid w:val="00376908"/>
    <w:rsid w:val="003769C9"/>
    <w:rsid w:val="00376A20"/>
    <w:rsid w:val="00376A58"/>
    <w:rsid w:val="00376AEE"/>
    <w:rsid w:val="00376C47"/>
    <w:rsid w:val="00376CBE"/>
    <w:rsid w:val="00376F60"/>
    <w:rsid w:val="00376F89"/>
    <w:rsid w:val="00376FA4"/>
    <w:rsid w:val="003770B1"/>
    <w:rsid w:val="003771CC"/>
    <w:rsid w:val="003771E3"/>
    <w:rsid w:val="003773DF"/>
    <w:rsid w:val="00377511"/>
    <w:rsid w:val="00377590"/>
    <w:rsid w:val="0037778B"/>
    <w:rsid w:val="003777E8"/>
    <w:rsid w:val="00377942"/>
    <w:rsid w:val="0037797A"/>
    <w:rsid w:val="00377A32"/>
    <w:rsid w:val="00377AC3"/>
    <w:rsid w:val="00377AC9"/>
    <w:rsid w:val="00377AE4"/>
    <w:rsid w:val="00377C4C"/>
    <w:rsid w:val="00377C61"/>
    <w:rsid w:val="00377D11"/>
    <w:rsid w:val="00377DE9"/>
    <w:rsid w:val="00377E56"/>
    <w:rsid w:val="00380015"/>
    <w:rsid w:val="00380041"/>
    <w:rsid w:val="00380074"/>
    <w:rsid w:val="0038011A"/>
    <w:rsid w:val="0038013B"/>
    <w:rsid w:val="00380348"/>
    <w:rsid w:val="00380377"/>
    <w:rsid w:val="00380411"/>
    <w:rsid w:val="0038044C"/>
    <w:rsid w:val="00380505"/>
    <w:rsid w:val="0038079E"/>
    <w:rsid w:val="00380852"/>
    <w:rsid w:val="0038089A"/>
    <w:rsid w:val="003808BB"/>
    <w:rsid w:val="003808DB"/>
    <w:rsid w:val="00380918"/>
    <w:rsid w:val="00380946"/>
    <w:rsid w:val="0038094D"/>
    <w:rsid w:val="00380974"/>
    <w:rsid w:val="00380A35"/>
    <w:rsid w:val="00380B55"/>
    <w:rsid w:val="00380DA2"/>
    <w:rsid w:val="00380F41"/>
    <w:rsid w:val="00380FEF"/>
    <w:rsid w:val="00381163"/>
    <w:rsid w:val="003811AA"/>
    <w:rsid w:val="003811D1"/>
    <w:rsid w:val="003813EF"/>
    <w:rsid w:val="0038154D"/>
    <w:rsid w:val="003815A6"/>
    <w:rsid w:val="00381680"/>
    <w:rsid w:val="003816A9"/>
    <w:rsid w:val="003816C9"/>
    <w:rsid w:val="0038170A"/>
    <w:rsid w:val="00381790"/>
    <w:rsid w:val="0038184F"/>
    <w:rsid w:val="003818C6"/>
    <w:rsid w:val="00381A7A"/>
    <w:rsid w:val="00381BBB"/>
    <w:rsid w:val="00381C30"/>
    <w:rsid w:val="00381C3C"/>
    <w:rsid w:val="00381CFC"/>
    <w:rsid w:val="00381D00"/>
    <w:rsid w:val="00381D4B"/>
    <w:rsid w:val="00381D63"/>
    <w:rsid w:val="00381E1F"/>
    <w:rsid w:val="00381ED6"/>
    <w:rsid w:val="00381F86"/>
    <w:rsid w:val="003820C3"/>
    <w:rsid w:val="003821C7"/>
    <w:rsid w:val="003821D1"/>
    <w:rsid w:val="003822AC"/>
    <w:rsid w:val="003822F8"/>
    <w:rsid w:val="0038230D"/>
    <w:rsid w:val="00382333"/>
    <w:rsid w:val="00382339"/>
    <w:rsid w:val="00382361"/>
    <w:rsid w:val="00382391"/>
    <w:rsid w:val="003823A4"/>
    <w:rsid w:val="0038254C"/>
    <w:rsid w:val="003825A5"/>
    <w:rsid w:val="003825C2"/>
    <w:rsid w:val="003825D0"/>
    <w:rsid w:val="003826CD"/>
    <w:rsid w:val="0038278A"/>
    <w:rsid w:val="003827AA"/>
    <w:rsid w:val="003827C9"/>
    <w:rsid w:val="003827EA"/>
    <w:rsid w:val="003828F7"/>
    <w:rsid w:val="00382A99"/>
    <w:rsid w:val="00382AC5"/>
    <w:rsid w:val="00382C66"/>
    <w:rsid w:val="00382C99"/>
    <w:rsid w:val="00382D1C"/>
    <w:rsid w:val="00382D89"/>
    <w:rsid w:val="00382D90"/>
    <w:rsid w:val="00382DA7"/>
    <w:rsid w:val="00382DE7"/>
    <w:rsid w:val="00382E0C"/>
    <w:rsid w:val="00382F63"/>
    <w:rsid w:val="00382FB6"/>
    <w:rsid w:val="00382FE1"/>
    <w:rsid w:val="00383001"/>
    <w:rsid w:val="0038300D"/>
    <w:rsid w:val="0038312A"/>
    <w:rsid w:val="00383173"/>
    <w:rsid w:val="003831C2"/>
    <w:rsid w:val="003831EA"/>
    <w:rsid w:val="00383320"/>
    <w:rsid w:val="003834D8"/>
    <w:rsid w:val="003834EF"/>
    <w:rsid w:val="003836AE"/>
    <w:rsid w:val="003836E1"/>
    <w:rsid w:val="00383887"/>
    <w:rsid w:val="003838D9"/>
    <w:rsid w:val="0038396C"/>
    <w:rsid w:val="003839D8"/>
    <w:rsid w:val="00383A17"/>
    <w:rsid w:val="00383AF9"/>
    <w:rsid w:val="00383C15"/>
    <w:rsid w:val="00383C16"/>
    <w:rsid w:val="00383C41"/>
    <w:rsid w:val="00383C82"/>
    <w:rsid w:val="00383C95"/>
    <w:rsid w:val="00383CC5"/>
    <w:rsid w:val="00383F90"/>
    <w:rsid w:val="00384044"/>
    <w:rsid w:val="00384180"/>
    <w:rsid w:val="00384181"/>
    <w:rsid w:val="003842A6"/>
    <w:rsid w:val="00384317"/>
    <w:rsid w:val="003845AF"/>
    <w:rsid w:val="00384893"/>
    <w:rsid w:val="003848CD"/>
    <w:rsid w:val="00384992"/>
    <w:rsid w:val="003849D3"/>
    <w:rsid w:val="00384A72"/>
    <w:rsid w:val="00384ADE"/>
    <w:rsid w:val="00384B06"/>
    <w:rsid w:val="00384B24"/>
    <w:rsid w:val="00384B3E"/>
    <w:rsid w:val="00384CDA"/>
    <w:rsid w:val="00384E2E"/>
    <w:rsid w:val="00385071"/>
    <w:rsid w:val="0038507A"/>
    <w:rsid w:val="00385218"/>
    <w:rsid w:val="00385244"/>
    <w:rsid w:val="0038524D"/>
    <w:rsid w:val="00385278"/>
    <w:rsid w:val="003853B6"/>
    <w:rsid w:val="003854C8"/>
    <w:rsid w:val="00385593"/>
    <w:rsid w:val="003855B4"/>
    <w:rsid w:val="003855CE"/>
    <w:rsid w:val="003855F5"/>
    <w:rsid w:val="0038566B"/>
    <w:rsid w:val="003856A8"/>
    <w:rsid w:val="0038572A"/>
    <w:rsid w:val="003857CB"/>
    <w:rsid w:val="003858D1"/>
    <w:rsid w:val="00385A20"/>
    <w:rsid w:val="00385B82"/>
    <w:rsid w:val="00385CFB"/>
    <w:rsid w:val="00385D02"/>
    <w:rsid w:val="00385D11"/>
    <w:rsid w:val="00385D60"/>
    <w:rsid w:val="00385DC7"/>
    <w:rsid w:val="00385F26"/>
    <w:rsid w:val="00385F3A"/>
    <w:rsid w:val="00385F7A"/>
    <w:rsid w:val="00385FE3"/>
    <w:rsid w:val="00386010"/>
    <w:rsid w:val="0038609F"/>
    <w:rsid w:val="003860FE"/>
    <w:rsid w:val="003861C2"/>
    <w:rsid w:val="00386202"/>
    <w:rsid w:val="00386272"/>
    <w:rsid w:val="0038627B"/>
    <w:rsid w:val="003862CC"/>
    <w:rsid w:val="003862D7"/>
    <w:rsid w:val="00386368"/>
    <w:rsid w:val="00386442"/>
    <w:rsid w:val="00386604"/>
    <w:rsid w:val="003869D0"/>
    <w:rsid w:val="003869E0"/>
    <w:rsid w:val="00386A28"/>
    <w:rsid w:val="00386B07"/>
    <w:rsid w:val="00386BD0"/>
    <w:rsid w:val="00386C9A"/>
    <w:rsid w:val="00386DCF"/>
    <w:rsid w:val="00386E1B"/>
    <w:rsid w:val="00386E85"/>
    <w:rsid w:val="00386F38"/>
    <w:rsid w:val="00386F77"/>
    <w:rsid w:val="00386F8F"/>
    <w:rsid w:val="00386F9B"/>
    <w:rsid w:val="00387100"/>
    <w:rsid w:val="00387105"/>
    <w:rsid w:val="00387130"/>
    <w:rsid w:val="00387136"/>
    <w:rsid w:val="003872A3"/>
    <w:rsid w:val="003872B9"/>
    <w:rsid w:val="003872CD"/>
    <w:rsid w:val="003872F0"/>
    <w:rsid w:val="003872F9"/>
    <w:rsid w:val="003875A4"/>
    <w:rsid w:val="0038769A"/>
    <w:rsid w:val="003876E0"/>
    <w:rsid w:val="00387761"/>
    <w:rsid w:val="003877CD"/>
    <w:rsid w:val="003877DD"/>
    <w:rsid w:val="003877EF"/>
    <w:rsid w:val="003879D8"/>
    <w:rsid w:val="00387A1F"/>
    <w:rsid w:val="00387A7F"/>
    <w:rsid w:val="00387AD6"/>
    <w:rsid w:val="00387B90"/>
    <w:rsid w:val="00387D11"/>
    <w:rsid w:val="00387D63"/>
    <w:rsid w:val="00387D91"/>
    <w:rsid w:val="00387E2C"/>
    <w:rsid w:val="00387E9D"/>
    <w:rsid w:val="00387F1D"/>
    <w:rsid w:val="00387F41"/>
    <w:rsid w:val="00387F9F"/>
    <w:rsid w:val="0039008E"/>
    <w:rsid w:val="00390092"/>
    <w:rsid w:val="0039014D"/>
    <w:rsid w:val="0039016B"/>
    <w:rsid w:val="00390230"/>
    <w:rsid w:val="003902A8"/>
    <w:rsid w:val="003902AE"/>
    <w:rsid w:val="003903FF"/>
    <w:rsid w:val="00390406"/>
    <w:rsid w:val="0039042F"/>
    <w:rsid w:val="00390458"/>
    <w:rsid w:val="00390493"/>
    <w:rsid w:val="003904C6"/>
    <w:rsid w:val="00390617"/>
    <w:rsid w:val="003906CF"/>
    <w:rsid w:val="003906E4"/>
    <w:rsid w:val="003909EC"/>
    <w:rsid w:val="00390C6E"/>
    <w:rsid w:val="00390C8D"/>
    <w:rsid w:val="00390CA5"/>
    <w:rsid w:val="00390CE8"/>
    <w:rsid w:val="00390E33"/>
    <w:rsid w:val="00390EF0"/>
    <w:rsid w:val="00390F1B"/>
    <w:rsid w:val="00390F2A"/>
    <w:rsid w:val="00390FDA"/>
    <w:rsid w:val="0039100F"/>
    <w:rsid w:val="00391012"/>
    <w:rsid w:val="0039109E"/>
    <w:rsid w:val="003910D4"/>
    <w:rsid w:val="003910DE"/>
    <w:rsid w:val="00391184"/>
    <w:rsid w:val="00391216"/>
    <w:rsid w:val="0039126D"/>
    <w:rsid w:val="003912C3"/>
    <w:rsid w:val="0039138E"/>
    <w:rsid w:val="0039140B"/>
    <w:rsid w:val="003914FE"/>
    <w:rsid w:val="00391607"/>
    <w:rsid w:val="003916AE"/>
    <w:rsid w:val="003916B8"/>
    <w:rsid w:val="003916BA"/>
    <w:rsid w:val="00391778"/>
    <w:rsid w:val="003917E6"/>
    <w:rsid w:val="003918A1"/>
    <w:rsid w:val="00391971"/>
    <w:rsid w:val="00391A84"/>
    <w:rsid w:val="00391A8D"/>
    <w:rsid w:val="00391B38"/>
    <w:rsid w:val="00391C0F"/>
    <w:rsid w:val="00391CC9"/>
    <w:rsid w:val="00391DE4"/>
    <w:rsid w:val="00391E50"/>
    <w:rsid w:val="00391EE7"/>
    <w:rsid w:val="00391F03"/>
    <w:rsid w:val="00391F87"/>
    <w:rsid w:val="00391FC7"/>
    <w:rsid w:val="00392067"/>
    <w:rsid w:val="0039212B"/>
    <w:rsid w:val="003921E3"/>
    <w:rsid w:val="003924FC"/>
    <w:rsid w:val="003926D3"/>
    <w:rsid w:val="00392744"/>
    <w:rsid w:val="003927C9"/>
    <w:rsid w:val="00392844"/>
    <w:rsid w:val="00392969"/>
    <w:rsid w:val="00392ACB"/>
    <w:rsid w:val="00392B60"/>
    <w:rsid w:val="00392B83"/>
    <w:rsid w:val="00392B90"/>
    <w:rsid w:val="00392BA9"/>
    <w:rsid w:val="00392C3F"/>
    <w:rsid w:val="00392CF3"/>
    <w:rsid w:val="00392D19"/>
    <w:rsid w:val="00392D29"/>
    <w:rsid w:val="00392F22"/>
    <w:rsid w:val="0039300D"/>
    <w:rsid w:val="00393049"/>
    <w:rsid w:val="003930E0"/>
    <w:rsid w:val="003931A7"/>
    <w:rsid w:val="00393244"/>
    <w:rsid w:val="00393348"/>
    <w:rsid w:val="00393532"/>
    <w:rsid w:val="0039354E"/>
    <w:rsid w:val="00393596"/>
    <w:rsid w:val="003935AA"/>
    <w:rsid w:val="00393624"/>
    <w:rsid w:val="003937D8"/>
    <w:rsid w:val="003938F6"/>
    <w:rsid w:val="003939F0"/>
    <w:rsid w:val="00393A9E"/>
    <w:rsid w:val="00393AEE"/>
    <w:rsid w:val="00393B86"/>
    <w:rsid w:val="00393BDD"/>
    <w:rsid w:val="00393BE1"/>
    <w:rsid w:val="00393C17"/>
    <w:rsid w:val="00393D20"/>
    <w:rsid w:val="00393D24"/>
    <w:rsid w:val="00393DDE"/>
    <w:rsid w:val="00393ED1"/>
    <w:rsid w:val="00394013"/>
    <w:rsid w:val="00394065"/>
    <w:rsid w:val="0039406D"/>
    <w:rsid w:val="00394188"/>
    <w:rsid w:val="0039418F"/>
    <w:rsid w:val="003943CE"/>
    <w:rsid w:val="003943E2"/>
    <w:rsid w:val="00394530"/>
    <w:rsid w:val="003945E7"/>
    <w:rsid w:val="003946DD"/>
    <w:rsid w:val="00394749"/>
    <w:rsid w:val="00394803"/>
    <w:rsid w:val="003948D6"/>
    <w:rsid w:val="0039493B"/>
    <w:rsid w:val="00394AF1"/>
    <w:rsid w:val="00394B53"/>
    <w:rsid w:val="00394B73"/>
    <w:rsid w:val="00394C11"/>
    <w:rsid w:val="00394C79"/>
    <w:rsid w:val="00394D4A"/>
    <w:rsid w:val="00394D9A"/>
    <w:rsid w:val="00394EF7"/>
    <w:rsid w:val="00394F2D"/>
    <w:rsid w:val="00394F7A"/>
    <w:rsid w:val="0039530B"/>
    <w:rsid w:val="00395476"/>
    <w:rsid w:val="00395751"/>
    <w:rsid w:val="00395752"/>
    <w:rsid w:val="003957B5"/>
    <w:rsid w:val="003958C1"/>
    <w:rsid w:val="0039592F"/>
    <w:rsid w:val="0039594C"/>
    <w:rsid w:val="00395986"/>
    <w:rsid w:val="0039598D"/>
    <w:rsid w:val="003959F3"/>
    <w:rsid w:val="00395AC9"/>
    <w:rsid w:val="00395AD3"/>
    <w:rsid w:val="00395AE9"/>
    <w:rsid w:val="00395AF9"/>
    <w:rsid w:val="00395B5C"/>
    <w:rsid w:val="00395B5F"/>
    <w:rsid w:val="00395BC0"/>
    <w:rsid w:val="00395C5F"/>
    <w:rsid w:val="00395C6D"/>
    <w:rsid w:val="00395D04"/>
    <w:rsid w:val="00395DB4"/>
    <w:rsid w:val="00395DD9"/>
    <w:rsid w:val="00395E65"/>
    <w:rsid w:val="00396067"/>
    <w:rsid w:val="00396192"/>
    <w:rsid w:val="003961A2"/>
    <w:rsid w:val="003961E0"/>
    <w:rsid w:val="0039629A"/>
    <w:rsid w:val="003962ED"/>
    <w:rsid w:val="00396315"/>
    <w:rsid w:val="003963E4"/>
    <w:rsid w:val="0039640F"/>
    <w:rsid w:val="00396449"/>
    <w:rsid w:val="003966DF"/>
    <w:rsid w:val="003967D6"/>
    <w:rsid w:val="00396937"/>
    <w:rsid w:val="00396A10"/>
    <w:rsid w:val="00396A63"/>
    <w:rsid w:val="00396A68"/>
    <w:rsid w:val="00396AD6"/>
    <w:rsid w:val="00396C15"/>
    <w:rsid w:val="00396C84"/>
    <w:rsid w:val="00396DB2"/>
    <w:rsid w:val="00396DC5"/>
    <w:rsid w:val="00396DC9"/>
    <w:rsid w:val="00396F43"/>
    <w:rsid w:val="0039707C"/>
    <w:rsid w:val="003970DD"/>
    <w:rsid w:val="00397148"/>
    <w:rsid w:val="00397183"/>
    <w:rsid w:val="003971B4"/>
    <w:rsid w:val="003971D8"/>
    <w:rsid w:val="00397220"/>
    <w:rsid w:val="0039729D"/>
    <w:rsid w:val="003972AA"/>
    <w:rsid w:val="003973FD"/>
    <w:rsid w:val="00397509"/>
    <w:rsid w:val="003975A9"/>
    <w:rsid w:val="0039760F"/>
    <w:rsid w:val="00397636"/>
    <w:rsid w:val="00397663"/>
    <w:rsid w:val="00397775"/>
    <w:rsid w:val="0039777F"/>
    <w:rsid w:val="003978E3"/>
    <w:rsid w:val="0039795C"/>
    <w:rsid w:val="00397A29"/>
    <w:rsid w:val="00397A5C"/>
    <w:rsid w:val="00397AE7"/>
    <w:rsid w:val="00397B87"/>
    <w:rsid w:val="00397B92"/>
    <w:rsid w:val="00397B99"/>
    <w:rsid w:val="00397C1E"/>
    <w:rsid w:val="00397CA1"/>
    <w:rsid w:val="00397E7B"/>
    <w:rsid w:val="003A0083"/>
    <w:rsid w:val="003A0168"/>
    <w:rsid w:val="003A04B0"/>
    <w:rsid w:val="003A054E"/>
    <w:rsid w:val="003A063D"/>
    <w:rsid w:val="003A077C"/>
    <w:rsid w:val="003A0837"/>
    <w:rsid w:val="003A0965"/>
    <w:rsid w:val="003A0AD1"/>
    <w:rsid w:val="003A0BE7"/>
    <w:rsid w:val="003A0C7C"/>
    <w:rsid w:val="003A0D7D"/>
    <w:rsid w:val="003A0DC6"/>
    <w:rsid w:val="003A0EEF"/>
    <w:rsid w:val="003A10AB"/>
    <w:rsid w:val="003A1156"/>
    <w:rsid w:val="003A119D"/>
    <w:rsid w:val="003A11DC"/>
    <w:rsid w:val="003A1207"/>
    <w:rsid w:val="003A12A3"/>
    <w:rsid w:val="003A12DD"/>
    <w:rsid w:val="003A1307"/>
    <w:rsid w:val="003A130F"/>
    <w:rsid w:val="003A1423"/>
    <w:rsid w:val="003A147E"/>
    <w:rsid w:val="003A1550"/>
    <w:rsid w:val="003A1590"/>
    <w:rsid w:val="003A169E"/>
    <w:rsid w:val="003A183F"/>
    <w:rsid w:val="003A1843"/>
    <w:rsid w:val="003A19A4"/>
    <w:rsid w:val="003A1A48"/>
    <w:rsid w:val="003A1A77"/>
    <w:rsid w:val="003A1A86"/>
    <w:rsid w:val="003A1AF5"/>
    <w:rsid w:val="003A1BD3"/>
    <w:rsid w:val="003A1C06"/>
    <w:rsid w:val="003A1DCB"/>
    <w:rsid w:val="003A1F29"/>
    <w:rsid w:val="003A1FD7"/>
    <w:rsid w:val="003A1FEB"/>
    <w:rsid w:val="003A2057"/>
    <w:rsid w:val="003A20BC"/>
    <w:rsid w:val="003A218A"/>
    <w:rsid w:val="003A2295"/>
    <w:rsid w:val="003A232F"/>
    <w:rsid w:val="003A233C"/>
    <w:rsid w:val="003A2394"/>
    <w:rsid w:val="003A26F3"/>
    <w:rsid w:val="003A2823"/>
    <w:rsid w:val="003A2870"/>
    <w:rsid w:val="003A28F2"/>
    <w:rsid w:val="003A2998"/>
    <w:rsid w:val="003A29CE"/>
    <w:rsid w:val="003A29D5"/>
    <w:rsid w:val="003A2A6B"/>
    <w:rsid w:val="003A2B6E"/>
    <w:rsid w:val="003A2BEF"/>
    <w:rsid w:val="003A2CA6"/>
    <w:rsid w:val="003A2D4F"/>
    <w:rsid w:val="003A2DDC"/>
    <w:rsid w:val="003A2E37"/>
    <w:rsid w:val="003A2E44"/>
    <w:rsid w:val="003A2F0B"/>
    <w:rsid w:val="003A2F5C"/>
    <w:rsid w:val="003A2F77"/>
    <w:rsid w:val="003A2FE5"/>
    <w:rsid w:val="003A3049"/>
    <w:rsid w:val="003A3122"/>
    <w:rsid w:val="003A3183"/>
    <w:rsid w:val="003A31DD"/>
    <w:rsid w:val="003A3201"/>
    <w:rsid w:val="003A3210"/>
    <w:rsid w:val="003A3340"/>
    <w:rsid w:val="003A34A2"/>
    <w:rsid w:val="003A3628"/>
    <w:rsid w:val="003A362F"/>
    <w:rsid w:val="003A369F"/>
    <w:rsid w:val="003A36B2"/>
    <w:rsid w:val="003A36E5"/>
    <w:rsid w:val="003A374C"/>
    <w:rsid w:val="003A3815"/>
    <w:rsid w:val="003A38D3"/>
    <w:rsid w:val="003A3986"/>
    <w:rsid w:val="003A39DD"/>
    <w:rsid w:val="003A3A35"/>
    <w:rsid w:val="003A3A86"/>
    <w:rsid w:val="003A3CD4"/>
    <w:rsid w:val="003A3E8C"/>
    <w:rsid w:val="003A3F55"/>
    <w:rsid w:val="003A3F74"/>
    <w:rsid w:val="003A3FC6"/>
    <w:rsid w:val="003A3FFA"/>
    <w:rsid w:val="003A4022"/>
    <w:rsid w:val="003A406A"/>
    <w:rsid w:val="003A40F5"/>
    <w:rsid w:val="003A4183"/>
    <w:rsid w:val="003A4243"/>
    <w:rsid w:val="003A43C2"/>
    <w:rsid w:val="003A43CE"/>
    <w:rsid w:val="003A43E4"/>
    <w:rsid w:val="003A44E2"/>
    <w:rsid w:val="003A45A6"/>
    <w:rsid w:val="003A45CE"/>
    <w:rsid w:val="003A4610"/>
    <w:rsid w:val="003A4683"/>
    <w:rsid w:val="003A471C"/>
    <w:rsid w:val="003A4785"/>
    <w:rsid w:val="003A48E8"/>
    <w:rsid w:val="003A4901"/>
    <w:rsid w:val="003A490B"/>
    <w:rsid w:val="003A497A"/>
    <w:rsid w:val="003A4BAD"/>
    <w:rsid w:val="003A4BF2"/>
    <w:rsid w:val="003A4C04"/>
    <w:rsid w:val="003A4D8B"/>
    <w:rsid w:val="003A4DEF"/>
    <w:rsid w:val="003A4EB8"/>
    <w:rsid w:val="003A4EE6"/>
    <w:rsid w:val="003A5007"/>
    <w:rsid w:val="003A50BE"/>
    <w:rsid w:val="003A50C1"/>
    <w:rsid w:val="003A5112"/>
    <w:rsid w:val="003A5186"/>
    <w:rsid w:val="003A51E2"/>
    <w:rsid w:val="003A5326"/>
    <w:rsid w:val="003A5340"/>
    <w:rsid w:val="003A5375"/>
    <w:rsid w:val="003A5416"/>
    <w:rsid w:val="003A546B"/>
    <w:rsid w:val="003A54C9"/>
    <w:rsid w:val="003A5659"/>
    <w:rsid w:val="003A566D"/>
    <w:rsid w:val="003A566F"/>
    <w:rsid w:val="003A56E1"/>
    <w:rsid w:val="003A57CD"/>
    <w:rsid w:val="003A5810"/>
    <w:rsid w:val="003A5903"/>
    <w:rsid w:val="003A5910"/>
    <w:rsid w:val="003A5AB6"/>
    <w:rsid w:val="003A5AFE"/>
    <w:rsid w:val="003A5B30"/>
    <w:rsid w:val="003A5C3A"/>
    <w:rsid w:val="003A5CA9"/>
    <w:rsid w:val="003A5D3F"/>
    <w:rsid w:val="003A5D50"/>
    <w:rsid w:val="003A5DB7"/>
    <w:rsid w:val="003A5DFF"/>
    <w:rsid w:val="003A5E11"/>
    <w:rsid w:val="003A5E17"/>
    <w:rsid w:val="003A5E62"/>
    <w:rsid w:val="003A5F9C"/>
    <w:rsid w:val="003A6148"/>
    <w:rsid w:val="003A622D"/>
    <w:rsid w:val="003A629F"/>
    <w:rsid w:val="003A62AA"/>
    <w:rsid w:val="003A62E7"/>
    <w:rsid w:val="003A63BF"/>
    <w:rsid w:val="003A63F2"/>
    <w:rsid w:val="003A642D"/>
    <w:rsid w:val="003A64F1"/>
    <w:rsid w:val="003A64FF"/>
    <w:rsid w:val="003A6556"/>
    <w:rsid w:val="003A6598"/>
    <w:rsid w:val="003A66EC"/>
    <w:rsid w:val="003A6706"/>
    <w:rsid w:val="003A68D4"/>
    <w:rsid w:val="003A68E4"/>
    <w:rsid w:val="003A6938"/>
    <w:rsid w:val="003A6984"/>
    <w:rsid w:val="003A6A03"/>
    <w:rsid w:val="003A6A5F"/>
    <w:rsid w:val="003A6AA3"/>
    <w:rsid w:val="003A6C28"/>
    <w:rsid w:val="003A6D8C"/>
    <w:rsid w:val="003A6DAD"/>
    <w:rsid w:val="003A6E1D"/>
    <w:rsid w:val="003A6F48"/>
    <w:rsid w:val="003A6F66"/>
    <w:rsid w:val="003A6F9E"/>
    <w:rsid w:val="003A6FD0"/>
    <w:rsid w:val="003A705E"/>
    <w:rsid w:val="003A7066"/>
    <w:rsid w:val="003A719D"/>
    <w:rsid w:val="003A71BF"/>
    <w:rsid w:val="003A72F1"/>
    <w:rsid w:val="003A7483"/>
    <w:rsid w:val="003A74F5"/>
    <w:rsid w:val="003A74FA"/>
    <w:rsid w:val="003A7533"/>
    <w:rsid w:val="003A75EC"/>
    <w:rsid w:val="003A7623"/>
    <w:rsid w:val="003A76CB"/>
    <w:rsid w:val="003A7701"/>
    <w:rsid w:val="003A770C"/>
    <w:rsid w:val="003A778B"/>
    <w:rsid w:val="003A784C"/>
    <w:rsid w:val="003A7947"/>
    <w:rsid w:val="003A79E3"/>
    <w:rsid w:val="003A7A2C"/>
    <w:rsid w:val="003A7A80"/>
    <w:rsid w:val="003A7B70"/>
    <w:rsid w:val="003A7B82"/>
    <w:rsid w:val="003A7D5F"/>
    <w:rsid w:val="003A7FC8"/>
    <w:rsid w:val="003B009C"/>
    <w:rsid w:val="003B0285"/>
    <w:rsid w:val="003B02C5"/>
    <w:rsid w:val="003B03F6"/>
    <w:rsid w:val="003B0454"/>
    <w:rsid w:val="003B0529"/>
    <w:rsid w:val="003B052F"/>
    <w:rsid w:val="003B05B5"/>
    <w:rsid w:val="003B063A"/>
    <w:rsid w:val="003B06F0"/>
    <w:rsid w:val="003B073C"/>
    <w:rsid w:val="003B0776"/>
    <w:rsid w:val="003B083C"/>
    <w:rsid w:val="003B0A7D"/>
    <w:rsid w:val="003B0ACD"/>
    <w:rsid w:val="003B0AFA"/>
    <w:rsid w:val="003B0B34"/>
    <w:rsid w:val="003B0B3F"/>
    <w:rsid w:val="003B0CE5"/>
    <w:rsid w:val="003B0D03"/>
    <w:rsid w:val="003B0E54"/>
    <w:rsid w:val="003B0EA6"/>
    <w:rsid w:val="003B0EE7"/>
    <w:rsid w:val="003B0FE9"/>
    <w:rsid w:val="003B10F9"/>
    <w:rsid w:val="003B11C2"/>
    <w:rsid w:val="003B1301"/>
    <w:rsid w:val="003B1336"/>
    <w:rsid w:val="003B135F"/>
    <w:rsid w:val="003B14C9"/>
    <w:rsid w:val="003B159E"/>
    <w:rsid w:val="003B15DE"/>
    <w:rsid w:val="003B1776"/>
    <w:rsid w:val="003B17A3"/>
    <w:rsid w:val="003B17D2"/>
    <w:rsid w:val="003B181E"/>
    <w:rsid w:val="003B194A"/>
    <w:rsid w:val="003B1953"/>
    <w:rsid w:val="003B196C"/>
    <w:rsid w:val="003B1988"/>
    <w:rsid w:val="003B1B0A"/>
    <w:rsid w:val="003B1CFB"/>
    <w:rsid w:val="003B1D87"/>
    <w:rsid w:val="003B1D92"/>
    <w:rsid w:val="003B1DCB"/>
    <w:rsid w:val="003B1E97"/>
    <w:rsid w:val="003B1EB4"/>
    <w:rsid w:val="003B1EF3"/>
    <w:rsid w:val="003B1F43"/>
    <w:rsid w:val="003B2031"/>
    <w:rsid w:val="003B2174"/>
    <w:rsid w:val="003B2383"/>
    <w:rsid w:val="003B238D"/>
    <w:rsid w:val="003B23B6"/>
    <w:rsid w:val="003B2425"/>
    <w:rsid w:val="003B2426"/>
    <w:rsid w:val="003B2577"/>
    <w:rsid w:val="003B2606"/>
    <w:rsid w:val="003B26BD"/>
    <w:rsid w:val="003B2759"/>
    <w:rsid w:val="003B2792"/>
    <w:rsid w:val="003B27AE"/>
    <w:rsid w:val="003B28CE"/>
    <w:rsid w:val="003B2920"/>
    <w:rsid w:val="003B2921"/>
    <w:rsid w:val="003B2974"/>
    <w:rsid w:val="003B2A13"/>
    <w:rsid w:val="003B2AAB"/>
    <w:rsid w:val="003B2AB4"/>
    <w:rsid w:val="003B2B2A"/>
    <w:rsid w:val="003B2B9B"/>
    <w:rsid w:val="003B2BA4"/>
    <w:rsid w:val="003B2CDF"/>
    <w:rsid w:val="003B2D00"/>
    <w:rsid w:val="003B2D12"/>
    <w:rsid w:val="003B2EBF"/>
    <w:rsid w:val="003B2F2F"/>
    <w:rsid w:val="003B300E"/>
    <w:rsid w:val="003B3057"/>
    <w:rsid w:val="003B30C8"/>
    <w:rsid w:val="003B312E"/>
    <w:rsid w:val="003B3144"/>
    <w:rsid w:val="003B31E6"/>
    <w:rsid w:val="003B323F"/>
    <w:rsid w:val="003B329C"/>
    <w:rsid w:val="003B33CB"/>
    <w:rsid w:val="003B348F"/>
    <w:rsid w:val="003B3504"/>
    <w:rsid w:val="003B3663"/>
    <w:rsid w:val="003B36FB"/>
    <w:rsid w:val="003B37D7"/>
    <w:rsid w:val="003B3824"/>
    <w:rsid w:val="003B3863"/>
    <w:rsid w:val="003B387C"/>
    <w:rsid w:val="003B39F7"/>
    <w:rsid w:val="003B3A34"/>
    <w:rsid w:val="003B3AC9"/>
    <w:rsid w:val="003B3BB1"/>
    <w:rsid w:val="003B3C2C"/>
    <w:rsid w:val="003B3C35"/>
    <w:rsid w:val="003B3C41"/>
    <w:rsid w:val="003B3C96"/>
    <w:rsid w:val="003B3CDE"/>
    <w:rsid w:val="003B3DFA"/>
    <w:rsid w:val="003B3FA5"/>
    <w:rsid w:val="003B3FB1"/>
    <w:rsid w:val="003B3FED"/>
    <w:rsid w:val="003B400D"/>
    <w:rsid w:val="003B403A"/>
    <w:rsid w:val="003B4091"/>
    <w:rsid w:val="003B40E0"/>
    <w:rsid w:val="003B4216"/>
    <w:rsid w:val="003B43C3"/>
    <w:rsid w:val="003B447A"/>
    <w:rsid w:val="003B46ED"/>
    <w:rsid w:val="003B487F"/>
    <w:rsid w:val="003B4B84"/>
    <w:rsid w:val="003B4C49"/>
    <w:rsid w:val="003B4C58"/>
    <w:rsid w:val="003B4C5F"/>
    <w:rsid w:val="003B4D98"/>
    <w:rsid w:val="003B4DFE"/>
    <w:rsid w:val="003B4E10"/>
    <w:rsid w:val="003B4E13"/>
    <w:rsid w:val="003B4E3C"/>
    <w:rsid w:val="003B4F48"/>
    <w:rsid w:val="003B5169"/>
    <w:rsid w:val="003B5262"/>
    <w:rsid w:val="003B52E7"/>
    <w:rsid w:val="003B52F1"/>
    <w:rsid w:val="003B52F3"/>
    <w:rsid w:val="003B535B"/>
    <w:rsid w:val="003B5370"/>
    <w:rsid w:val="003B538B"/>
    <w:rsid w:val="003B5449"/>
    <w:rsid w:val="003B55EC"/>
    <w:rsid w:val="003B5633"/>
    <w:rsid w:val="003B564C"/>
    <w:rsid w:val="003B5713"/>
    <w:rsid w:val="003B5B40"/>
    <w:rsid w:val="003B5B91"/>
    <w:rsid w:val="003B5BA9"/>
    <w:rsid w:val="003B5BD3"/>
    <w:rsid w:val="003B5C1C"/>
    <w:rsid w:val="003B5C2C"/>
    <w:rsid w:val="003B5C74"/>
    <w:rsid w:val="003B5C9F"/>
    <w:rsid w:val="003B5CAA"/>
    <w:rsid w:val="003B5CB1"/>
    <w:rsid w:val="003B5CCE"/>
    <w:rsid w:val="003B5D02"/>
    <w:rsid w:val="003B5D38"/>
    <w:rsid w:val="003B5DA9"/>
    <w:rsid w:val="003B5DF0"/>
    <w:rsid w:val="003B5E24"/>
    <w:rsid w:val="003B5E43"/>
    <w:rsid w:val="003B5F39"/>
    <w:rsid w:val="003B5FEA"/>
    <w:rsid w:val="003B602A"/>
    <w:rsid w:val="003B608B"/>
    <w:rsid w:val="003B624E"/>
    <w:rsid w:val="003B62CE"/>
    <w:rsid w:val="003B6370"/>
    <w:rsid w:val="003B63DE"/>
    <w:rsid w:val="003B6446"/>
    <w:rsid w:val="003B644D"/>
    <w:rsid w:val="003B6461"/>
    <w:rsid w:val="003B655E"/>
    <w:rsid w:val="003B65B5"/>
    <w:rsid w:val="003B665D"/>
    <w:rsid w:val="003B691E"/>
    <w:rsid w:val="003B697F"/>
    <w:rsid w:val="003B6B08"/>
    <w:rsid w:val="003B6DB2"/>
    <w:rsid w:val="003B6DB3"/>
    <w:rsid w:val="003B6DBA"/>
    <w:rsid w:val="003B6E2E"/>
    <w:rsid w:val="003B6E89"/>
    <w:rsid w:val="003B6F89"/>
    <w:rsid w:val="003B6F91"/>
    <w:rsid w:val="003B6FC6"/>
    <w:rsid w:val="003B7082"/>
    <w:rsid w:val="003B7114"/>
    <w:rsid w:val="003B7219"/>
    <w:rsid w:val="003B72B3"/>
    <w:rsid w:val="003B7310"/>
    <w:rsid w:val="003B736A"/>
    <w:rsid w:val="003B742B"/>
    <w:rsid w:val="003B7458"/>
    <w:rsid w:val="003B74C3"/>
    <w:rsid w:val="003B74C8"/>
    <w:rsid w:val="003B7517"/>
    <w:rsid w:val="003B755C"/>
    <w:rsid w:val="003B762C"/>
    <w:rsid w:val="003B767F"/>
    <w:rsid w:val="003B7681"/>
    <w:rsid w:val="003B76D7"/>
    <w:rsid w:val="003B7758"/>
    <w:rsid w:val="003B77CD"/>
    <w:rsid w:val="003B7850"/>
    <w:rsid w:val="003B7890"/>
    <w:rsid w:val="003B789E"/>
    <w:rsid w:val="003B792F"/>
    <w:rsid w:val="003B79A2"/>
    <w:rsid w:val="003B7A26"/>
    <w:rsid w:val="003B7A4C"/>
    <w:rsid w:val="003B7B60"/>
    <w:rsid w:val="003B7B84"/>
    <w:rsid w:val="003B7C14"/>
    <w:rsid w:val="003B7C78"/>
    <w:rsid w:val="003B7DAE"/>
    <w:rsid w:val="003B7FAF"/>
    <w:rsid w:val="003B7FB9"/>
    <w:rsid w:val="003B7FD4"/>
    <w:rsid w:val="003C00F0"/>
    <w:rsid w:val="003C01B2"/>
    <w:rsid w:val="003C01C8"/>
    <w:rsid w:val="003C0214"/>
    <w:rsid w:val="003C0259"/>
    <w:rsid w:val="003C0308"/>
    <w:rsid w:val="003C0385"/>
    <w:rsid w:val="003C04AC"/>
    <w:rsid w:val="003C04C0"/>
    <w:rsid w:val="003C0501"/>
    <w:rsid w:val="003C059A"/>
    <w:rsid w:val="003C060B"/>
    <w:rsid w:val="003C06B5"/>
    <w:rsid w:val="003C0728"/>
    <w:rsid w:val="003C0810"/>
    <w:rsid w:val="003C089D"/>
    <w:rsid w:val="003C0970"/>
    <w:rsid w:val="003C0A49"/>
    <w:rsid w:val="003C0AB1"/>
    <w:rsid w:val="003C0B58"/>
    <w:rsid w:val="003C0B8E"/>
    <w:rsid w:val="003C0C38"/>
    <w:rsid w:val="003C0CF5"/>
    <w:rsid w:val="003C0D9E"/>
    <w:rsid w:val="003C0DF9"/>
    <w:rsid w:val="003C0F75"/>
    <w:rsid w:val="003C11FB"/>
    <w:rsid w:val="003C1211"/>
    <w:rsid w:val="003C14EE"/>
    <w:rsid w:val="003C14FA"/>
    <w:rsid w:val="003C1547"/>
    <w:rsid w:val="003C1662"/>
    <w:rsid w:val="003C1729"/>
    <w:rsid w:val="003C1820"/>
    <w:rsid w:val="003C18D0"/>
    <w:rsid w:val="003C190A"/>
    <w:rsid w:val="003C19FC"/>
    <w:rsid w:val="003C1A20"/>
    <w:rsid w:val="003C1A29"/>
    <w:rsid w:val="003C1BEB"/>
    <w:rsid w:val="003C1CA0"/>
    <w:rsid w:val="003C1CE7"/>
    <w:rsid w:val="003C1CED"/>
    <w:rsid w:val="003C1FC3"/>
    <w:rsid w:val="003C205B"/>
    <w:rsid w:val="003C20F7"/>
    <w:rsid w:val="003C213C"/>
    <w:rsid w:val="003C21DF"/>
    <w:rsid w:val="003C2294"/>
    <w:rsid w:val="003C22B8"/>
    <w:rsid w:val="003C2396"/>
    <w:rsid w:val="003C2406"/>
    <w:rsid w:val="003C24A1"/>
    <w:rsid w:val="003C252D"/>
    <w:rsid w:val="003C258A"/>
    <w:rsid w:val="003C25B7"/>
    <w:rsid w:val="003C275F"/>
    <w:rsid w:val="003C28AA"/>
    <w:rsid w:val="003C28F9"/>
    <w:rsid w:val="003C29A4"/>
    <w:rsid w:val="003C2A45"/>
    <w:rsid w:val="003C2A54"/>
    <w:rsid w:val="003C2B43"/>
    <w:rsid w:val="003C2B99"/>
    <w:rsid w:val="003C2E14"/>
    <w:rsid w:val="003C2EBD"/>
    <w:rsid w:val="003C3139"/>
    <w:rsid w:val="003C3168"/>
    <w:rsid w:val="003C316B"/>
    <w:rsid w:val="003C31F5"/>
    <w:rsid w:val="003C325D"/>
    <w:rsid w:val="003C33F2"/>
    <w:rsid w:val="003C34A0"/>
    <w:rsid w:val="003C34B8"/>
    <w:rsid w:val="003C3542"/>
    <w:rsid w:val="003C3570"/>
    <w:rsid w:val="003C35A7"/>
    <w:rsid w:val="003C3724"/>
    <w:rsid w:val="003C37EB"/>
    <w:rsid w:val="003C385E"/>
    <w:rsid w:val="003C3867"/>
    <w:rsid w:val="003C389D"/>
    <w:rsid w:val="003C38AD"/>
    <w:rsid w:val="003C393F"/>
    <w:rsid w:val="003C3AB5"/>
    <w:rsid w:val="003C3AE2"/>
    <w:rsid w:val="003C3BE7"/>
    <w:rsid w:val="003C3C9E"/>
    <w:rsid w:val="003C3CAE"/>
    <w:rsid w:val="003C3CC2"/>
    <w:rsid w:val="003C3D28"/>
    <w:rsid w:val="003C3DCD"/>
    <w:rsid w:val="003C3E0F"/>
    <w:rsid w:val="003C3E61"/>
    <w:rsid w:val="003C3E78"/>
    <w:rsid w:val="003C3F8A"/>
    <w:rsid w:val="003C402E"/>
    <w:rsid w:val="003C404F"/>
    <w:rsid w:val="003C406B"/>
    <w:rsid w:val="003C40FC"/>
    <w:rsid w:val="003C43AD"/>
    <w:rsid w:val="003C43CD"/>
    <w:rsid w:val="003C4410"/>
    <w:rsid w:val="003C4435"/>
    <w:rsid w:val="003C4465"/>
    <w:rsid w:val="003C4512"/>
    <w:rsid w:val="003C4542"/>
    <w:rsid w:val="003C46D8"/>
    <w:rsid w:val="003C4726"/>
    <w:rsid w:val="003C4799"/>
    <w:rsid w:val="003C47CC"/>
    <w:rsid w:val="003C49A6"/>
    <w:rsid w:val="003C4A66"/>
    <w:rsid w:val="003C4AD3"/>
    <w:rsid w:val="003C4AF8"/>
    <w:rsid w:val="003C4C44"/>
    <w:rsid w:val="003C4D21"/>
    <w:rsid w:val="003C4D37"/>
    <w:rsid w:val="003C4D76"/>
    <w:rsid w:val="003C4E6A"/>
    <w:rsid w:val="003C4EAB"/>
    <w:rsid w:val="003C4F04"/>
    <w:rsid w:val="003C501E"/>
    <w:rsid w:val="003C50CE"/>
    <w:rsid w:val="003C51A5"/>
    <w:rsid w:val="003C52B3"/>
    <w:rsid w:val="003C539E"/>
    <w:rsid w:val="003C53C2"/>
    <w:rsid w:val="003C54F0"/>
    <w:rsid w:val="003C553B"/>
    <w:rsid w:val="003C553D"/>
    <w:rsid w:val="003C55B8"/>
    <w:rsid w:val="003C56B9"/>
    <w:rsid w:val="003C5704"/>
    <w:rsid w:val="003C5755"/>
    <w:rsid w:val="003C586F"/>
    <w:rsid w:val="003C58EB"/>
    <w:rsid w:val="003C58F9"/>
    <w:rsid w:val="003C5A68"/>
    <w:rsid w:val="003C5B09"/>
    <w:rsid w:val="003C5C19"/>
    <w:rsid w:val="003C5C4B"/>
    <w:rsid w:val="003C5C91"/>
    <w:rsid w:val="003C5CB5"/>
    <w:rsid w:val="003C5E06"/>
    <w:rsid w:val="003C5E72"/>
    <w:rsid w:val="003C5ED6"/>
    <w:rsid w:val="003C5F21"/>
    <w:rsid w:val="003C5FF4"/>
    <w:rsid w:val="003C61DF"/>
    <w:rsid w:val="003C6241"/>
    <w:rsid w:val="003C633B"/>
    <w:rsid w:val="003C6358"/>
    <w:rsid w:val="003C6373"/>
    <w:rsid w:val="003C6417"/>
    <w:rsid w:val="003C64E2"/>
    <w:rsid w:val="003C6599"/>
    <w:rsid w:val="003C65A0"/>
    <w:rsid w:val="003C65DB"/>
    <w:rsid w:val="003C65F3"/>
    <w:rsid w:val="003C661E"/>
    <w:rsid w:val="003C6635"/>
    <w:rsid w:val="003C6725"/>
    <w:rsid w:val="003C679D"/>
    <w:rsid w:val="003C690E"/>
    <w:rsid w:val="003C6A34"/>
    <w:rsid w:val="003C6A45"/>
    <w:rsid w:val="003C6AAF"/>
    <w:rsid w:val="003C6B1B"/>
    <w:rsid w:val="003C6C27"/>
    <w:rsid w:val="003C6C90"/>
    <w:rsid w:val="003C6CF7"/>
    <w:rsid w:val="003C6E1D"/>
    <w:rsid w:val="003C6E3E"/>
    <w:rsid w:val="003C6F28"/>
    <w:rsid w:val="003C6F59"/>
    <w:rsid w:val="003C6FF1"/>
    <w:rsid w:val="003C7010"/>
    <w:rsid w:val="003C7031"/>
    <w:rsid w:val="003C70BC"/>
    <w:rsid w:val="003C70C3"/>
    <w:rsid w:val="003C70DE"/>
    <w:rsid w:val="003C7264"/>
    <w:rsid w:val="003C7323"/>
    <w:rsid w:val="003C73E0"/>
    <w:rsid w:val="003C7513"/>
    <w:rsid w:val="003C753E"/>
    <w:rsid w:val="003C7626"/>
    <w:rsid w:val="003C76AB"/>
    <w:rsid w:val="003C787B"/>
    <w:rsid w:val="003C78C0"/>
    <w:rsid w:val="003C7978"/>
    <w:rsid w:val="003C799D"/>
    <w:rsid w:val="003C79F9"/>
    <w:rsid w:val="003C7CC5"/>
    <w:rsid w:val="003C7CE3"/>
    <w:rsid w:val="003C7D52"/>
    <w:rsid w:val="003C7DA9"/>
    <w:rsid w:val="003C7E8F"/>
    <w:rsid w:val="003C7FE6"/>
    <w:rsid w:val="003D018F"/>
    <w:rsid w:val="003D021E"/>
    <w:rsid w:val="003D024A"/>
    <w:rsid w:val="003D040F"/>
    <w:rsid w:val="003D043D"/>
    <w:rsid w:val="003D04A2"/>
    <w:rsid w:val="003D0589"/>
    <w:rsid w:val="003D0695"/>
    <w:rsid w:val="003D074A"/>
    <w:rsid w:val="003D076D"/>
    <w:rsid w:val="003D078F"/>
    <w:rsid w:val="003D07CE"/>
    <w:rsid w:val="003D07F6"/>
    <w:rsid w:val="003D084E"/>
    <w:rsid w:val="003D0880"/>
    <w:rsid w:val="003D093B"/>
    <w:rsid w:val="003D0948"/>
    <w:rsid w:val="003D0967"/>
    <w:rsid w:val="003D0A0E"/>
    <w:rsid w:val="003D0A31"/>
    <w:rsid w:val="003D0A3F"/>
    <w:rsid w:val="003D0C46"/>
    <w:rsid w:val="003D0C52"/>
    <w:rsid w:val="003D0D20"/>
    <w:rsid w:val="003D0D89"/>
    <w:rsid w:val="003D0DDC"/>
    <w:rsid w:val="003D0E32"/>
    <w:rsid w:val="003D0ECA"/>
    <w:rsid w:val="003D0F75"/>
    <w:rsid w:val="003D0F7B"/>
    <w:rsid w:val="003D107F"/>
    <w:rsid w:val="003D12DA"/>
    <w:rsid w:val="003D13EF"/>
    <w:rsid w:val="003D154A"/>
    <w:rsid w:val="003D15CA"/>
    <w:rsid w:val="003D1695"/>
    <w:rsid w:val="003D170F"/>
    <w:rsid w:val="003D1839"/>
    <w:rsid w:val="003D1874"/>
    <w:rsid w:val="003D1A70"/>
    <w:rsid w:val="003D1A9C"/>
    <w:rsid w:val="003D1ACB"/>
    <w:rsid w:val="003D1B48"/>
    <w:rsid w:val="003D1B8A"/>
    <w:rsid w:val="003D1C32"/>
    <w:rsid w:val="003D1CB5"/>
    <w:rsid w:val="003D1E56"/>
    <w:rsid w:val="003D1EC1"/>
    <w:rsid w:val="003D1F96"/>
    <w:rsid w:val="003D204C"/>
    <w:rsid w:val="003D21A0"/>
    <w:rsid w:val="003D2251"/>
    <w:rsid w:val="003D2291"/>
    <w:rsid w:val="003D22D6"/>
    <w:rsid w:val="003D234F"/>
    <w:rsid w:val="003D2392"/>
    <w:rsid w:val="003D23D7"/>
    <w:rsid w:val="003D2405"/>
    <w:rsid w:val="003D241D"/>
    <w:rsid w:val="003D24F6"/>
    <w:rsid w:val="003D25B5"/>
    <w:rsid w:val="003D2654"/>
    <w:rsid w:val="003D2791"/>
    <w:rsid w:val="003D2884"/>
    <w:rsid w:val="003D2963"/>
    <w:rsid w:val="003D299F"/>
    <w:rsid w:val="003D29CA"/>
    <w:rsid w:val="003D2A16"/>
    <w:rsid w:val="003D2AE0"/>
    <w:rsid w:val="003D2C6B"/>
    <w:rsid w:val="003D2C71"/>
    <w:rsid w:val="003D2E8A"/>
    <w:rsid w:val="003D2FD2"/>
    <w:rsid w:val="003D2FDA"/>
    <w:rsid w:val="003D3091"/>
    <w:rsid w:val="003D30C8"/>
    <w:rsid w:val="003D30F3"/>
    <w:rsid w:val="003D3281"/>
    <w:rsid w:val="003D32B7"/>
    <w:rsid w:val="003D3361"/>
    <w:rsid w:val="003D33AE"/>
    <w:rsid w:val="003D3427"/>
    <w:rsid w:val="003D342D"/>
    <w:rsid w:val="003D34DF"/>
    <w:rsid w:val="003D350B"/>
    <w:rsid w:val="003D35AE"/>
    <w:rsid w:val="003D3602"/>
    <w:rsid w:val="003D3723"/>
    <w:rsid w:val="003D37AD"/>
    <w:rsid w:val="003D3805"/>
    <w:rsid w:val="003D3906"/>
    <w:rsid w:val="003D39CF"/>
    <w:rsid w:val="003D3A10"/>
    <w:rsid w:val="003D3A49"/>
    <w:rsid w:val="003D3A9F"/>
    <w:rsid w:val="003D3C11"/>
    <w:rsid w:val="003D3C42"/>
    <w:rsid w:val="003D3DC2"/>
    <w:rsid w:val="003D3DD4"/>
    <w:rsid w:val="003D3E1C"/>
    <w:rsid w:val="003D3E83"/>
    <w:rsid w:val="003D3FB6"/>
    <w:rsid w:val="003D3FEE"/>
    <w:rsid w:val="003D3FFA"/>
    <w:rsid w:val="003D4009"/>
    <w:rsid w:val="003D4010"/>
    <w:rsid w:val="003D4053"/>
    <w:rsid w:val="003D4077"/>
    <w:rsid w:val="003D40AA"/>
    <w:rsid w:val="003D40D7"/>
    <w:rsid w:val="003D417E"/>
    <w:rsid w:val="003D4202"/>
    <w:rsid w:val="003D4206"/>
    <w:rsid w:val="003D4237"/>
    <w:rsid w:val="003D426F"/>
    <w:rsid w:val="003D436D"/>
    <w:rsid w:val="003D43F2"/>
    <w:rsid w:val="003D4568"/>
    <w:rsid w:val="003D45F8"/>
    <w:rsid w:val="003D45F9"/>
    <w:rsid w:val="003D4618"/>
    <w:rsid w:val="003D4658"/>
    <w:rsid w:val="003D46B4"/>
    <w:rsid w:val="003D4754"/>
    <w:rsid w:val="003D486E"/>
    <w:rsid w:val="003D4893"/>
    <w:rsid w:val="003D48D8"/>
    <w:rsid w:val="003D4AB2"/>
    <w:rsid w:val="003D4ABA"/>
    <w:rsid w:val="003D4B6A"/>
    <w:rsid w:val="003D4B85"/>
    <w:rsid w:val="003D4BD0"/>
    <w:rsid w:val="003D4CC1"/>
    <w:rsid w:val="003D4D18"/>
    <w:rsid w:val="003D4D78"/>
    <w:rsid w:val="003D4D93"/>
    <w:rsid w:val="003D4DA7"/>
    <w:rsid w:val="003D4DF7"/>
    <w:rsid w:val="003D4E01"/>
    <w:rsid w:val="003D4ED5"/>
    <w:rsid w:val="003D5033"/>
    <w:rsid w:val="003D510D"/>
    <w:rsid w:val="003D541A"/>
    <w:rsid w:val="003D542B"/>
    <w:rsid w:val="003D5433"/>
    <w:rsid w:val="003D54D2"/>
    <w:rsid w:val="003D5506"/>
    <w:rsid w:val="003D55C8"/>
    <w:rsid w:val="003D5622"/>
    <w:rsid w:val="003D5632"/>
    <w:rsid w:val="003D5845"/>
    <w:rsid w:val="003D58CD"/>
    <w:rsid w:val="003D59C9"/>
    <w:rsid w:val="003D5A50"/>
    <w:rsid w:val="003D5A7F"/>
    <w:rsid w:val="003D5AA7"/>
    <w:rsid w:val="003D5B09"/>
    <w:rsid w:val="003D5C84"/>
    <w:rsid w:val="003D5C88"/>
    <w:rsid w:val="003D5CF2"/>
    <w:rsid w:val="003D5DC5"/>
    <w:rsid w:val="003D5F7C"/>
    <w:rsid w:val="003D5F7E"/>
    <w:rsid w:val="003D5FA2"/>
    <w:rsid w:val="003D603F"/>
    <w:rsid w:val="003D616C"/>
    <w:rsid w:val="003D6400"/>
    <w:rsid w:val="003D64A7"/>
    <w:rsid w:val="003D64A9"/>
    <w:rsid w:val="003D64D0"/>
    <w:rsid w:val="003D64D6"/>
    <w:rsid w:val="003D64FC"/>
    <w:rsid w:val="003D6535"/>
    <w:rsid w:val="003D65E5"/>
    <w:rsid w:val="003D6865"/>
    <w:rsid w:val="003D68AC"/>
    <w:rsid w:val="003D69AE"/>
    <w:rsid w:val="003D6A4D"/>
    <w:rsid w:val="003D6A6A"/>
    <w:rsid w:val="003D6ACC"/>
    <w:rsid w:val="003D6AEC"/>
    <w:rsid w:val="003D6C71"/>
    <w:rsid w:val="003D6CF9"/>
    <w:rsid w:val="003D6D6E"/>
    <w:rsid w:val="003D6DAC"/>
    <w:rsid w:val="003D6DBD"/>
    <w:rsid w:val="003D70BD"/>
    <w:rsid w:val="003D70D2"/>
    <w:rsid w:val="003D7182"/>
    <w:rsid w:val="003D720F"/>
    <w:rsid w:val="003D72DE"/>
    <w:rsid w:val="003D7370"/>
    <w:rsid w:val="003D7411"/>
    <w:rsid w:val="003D74EC"/>
    <w:rsid w:val="003D7595"/>
    <w:rsid w:val="003D759D"/>
    <w:rsid w:val="003D7630"/>
    <w:rsid w:val="003D76AF"/>
    <w:rsid w:val="003D76C3"/>
    <w:rsid w:val="003D771F"/>
    <w:rsid w:val="003D7732"/>
    <w:rsid w:val="003D78F3"/>
    <w:rsid w:val="003D790B"/>
    <w:rsid w:val="003D7AF8"/>
    <w:rsid w:val="003D7BA5"/>
    <w:rsid w:val="003D7C19"/>
    <w:rsid w:val="003D7D1B"/>
    <w:rsid w:val="003D7EDB"/>
    <w:rsid w:val="003D7EF2"/>
    <w:rsid w:val="003D7F0E"/>
    <w:rsid w:val="003D7F4E"/>
    <w:rsid w:val="003D7FBE"/>
    <w:rsid w:val="003E0131"/>
    <w:rsid w:val="003E0173"/>
    <w:rsid w:val="003E0196"/>
    <w:rsid w:val="003E0269"/>
    <w:rsid w:val="003E0270"/>
    <w:rsid w:val="003E038E"/>
    <w:rsid w:val="003E046A"/>
    <w:rsid w:val="003E04A4"/>
    <w:rsid w:val="003E04B0"/>
    <w:rsid w:val="003E070B"/>
    <w:rsid w:val="003E0715"/>
    <w:rsid w:val="003E0820"/>
    <w:rsid w:val="003E0822"/>
    <w:rsid w:val="003E084D"/>
    <w:rsid w:val="003E08C3"/>
    <w:rsid w:val="003E0968"/>
    <w:rsid w:val="003E0B2B"/>
    <w:rsid w:val="003E0BAD"/>
    <w:rsid w:val="003E0C6A"/>
    <w:rsid w:val="003E0C6B"/>
    <w:rsid w:val="003E0D2B"/>
    <w:rsid w:val="003E0FCF"/>
    <w:rsid w:val="003E1006"/>
    <w:rsid w:val="003E10D1"/>
    <w:rsid w:val="003E10D2"/>
    <w:rsid w:val="003E10D7"/>
    <w:rsid w:val="003E11B1"/>
    <w:rsid w:val="003E1244"/>
    <w:rsid w:val="003E1395"/>
    <w:rsid w:val="003E144C"/>
    <w:rsid w:val="003E14CE"/>
    <w:rsid w:val="003E1547"/>
    <w:rsid w:val="003E160D"/>
    <w:rsid w:val="003E1613"/>
    <w:rsid w:val="003E1689"/>
    <w:rsid w:val="003E168F"/>
    <w:rsid w:val="003E16E5"/>
    <w:rsid w:val="003E170C"/>
    <w:rsid w:val="003E17C2"/>
    <w:rsid w:val="003E185B"/>
    <w:rsid w:val="003E18C3"/>
    <w:rsid w:val="003E1A03"/>
    <w:rsid w:val="003E1A54"/>
    <w:rsid w:val="003E1C3D"/>
    <w:rsid w:val="003E1CB4"/>
    <w:rsid w:val="003E1D58"/>
    <w:rsid w:val="003E1DE9"/>
    <w:rsid w:val="003E1E26"/>
    <w:rsid w:val="003E1E5D"/>
    <w:rsid w:val="003E1E60"/>
    <w:rsid w:val="003E1F52"/>
    <w:rsid w:val="003E1FA3"/>
    <w:rsid w:val="003E2083"/>
    <w:rsid w:val="003E2086"/>
    <w:rsid w:val="003E208B"/>
    <w:rsid w:val="003E20AA"/>
    <w:rsid w:val="003E2147"/>
    <w:rsid w:val="003E2153"/>
    <w:rsid w:val="003E2187"/>
    <w:rsid w:val="003E2189"/>
    <w:rsid w:val="003E21A0"/>
    <w:rsid w:val="003E21DA"/>
    <w:rsid w:val="003E2235"/>
    <w:rsid w:val="003E226A"/>
    <w:rsid w:val="003E2295"/>
    <w:rsid w:val="003E236B"/>
    <w:rsid w:val="003E2393"/>
    <w:rsid w:val="003E249D"/>
    <w:rsid w:val="003E25D5"/>
    <w:rsid w:val="003E2604"/>
    <w:rsid w:val="003E2620"/>
    <w:rsid w:val="003E26AD"/>
    <w:rsid w:val="003E2808"/>
    <w:rsid w:val="003E2825"/>
    <w:rsid w:val="003E284B"/>
    <w:rsid w:val="003E290F"/>
    <w:rsid w:val="003E2A4F"/>
    <w:rsid w:val="003E2B10"/>
    <w:rsid w:val="003E2B1A"/>
    <w:rsid w:val="003E2B70"/>
    <w:rsid w:val="003E2CAE"/>
    <w:rsid w:val="003E2CFD"/>
    <w:rsid w:val="003E2D4F"/>
    <w:rsid w:val="003E2D83"/>
    <w:rsid w:val="003E2EAE"/>
    <w:rsid w:val="003E325C"/>
    <w:rsid w:val="003E326D"/>
    <w:rsid w:val="003E328A"/>
    <w:rsid w:val="003E34B0"/>
    <w:rsid w:val="003E3584"/>
    <w:rsid w:val="003E35AB"/>
    <w:rsid w:val="003E37F9"/>
    <w:rsid w:val="003E38BD"/>
    <w:rsid w:val="003E390C"/>
    <w:rsid w:val="003E39C0"/>
    <w:rsid w:val="003E3A52"/>
    <w:rsid w:val="003E3AB6"/>
    <w:rsid w:val="003E3B5C"/>
    <w:rsid w:val="003E3B62"/>
    <w:rsid w:val="003E3B78"/>
    <w:rsid w:val="003E3BA7"/>
    <w:rsid w:val="003E3C35"/>
    <w:rsid w:val="003E3C57"/>
    <w:rsid w:val="003E3C87"/>
    <w:rsid w:val="003E3E29"/>
    <w:rsid w:val="003E3F5F"/>
    <w:rsid w:val="003E403E"/>
    <w:rsid w:val="003E4060"/>
    <w:rsid w:val="003E40A9"/>
    <w:rsid w:val="003E42CB"/>
    <w:rsid w:val="003E43AA"/>
    <w:rsid w:val="003E43B6"/>
    <w:rsid w:val="003E43DB"/>
    <w:rsid w:val="003E45A4"/>
    <w:rsid w:val="003E4609"/>
    <w:rsid w:val="003E469F"/>
    <w:rsid w:val="003E46BE"/>
    <w:rsid w:val="003E46DE"/>
    <w:rsid w:val="003E47D4"/>
    <w:rsid w:val="003E489E"/>
    <w:rsid w:val="003E49A2"/>
    <w:rsid w:val="003E49DA"/>
    <w:rsid w:val="003E4A6A"/>
    <w:rsid w:val="003E4A99"/>
    <w:rsid w:val="003E4C7C"/>
    <w:rsid w:val="003E4CAB"/>
    <w:rsid w:val="003E4E77"/>
    <w:rsid w:val="003E4F3F"/>
    <w:rsid w:val="003E4F47"/>
    <w:rsid w:val="003E4F4A"/>
    <w:rsid w:val="003E4F74"/>
    <w:rsid w:val="003E507A"/>
    <w:rsid w:val="003E50D9"/>
    <w:rsid w:val="003E5179"/>
    <w:rsid w:val="003E5188"/>
    <w:rsid w:val="003E51A0"/>
    <w:rsid w:val="003E5292"/>
    <w:rsid w:val="003E52BC"/>
    <w:rsid w:val="003E52DC"/>
    <w:rsid w:val="003E52FE"/>
    <w:rsid w:val="003E53C7"/>
    <w:rsid w:val="003E5504"/>
    <w:rsid w:val="003E553E"/>
    <w:rsid w:val="003E558B"/>
    <w:rsid w:val="003E5893"/>
    <w:rsid w:val="003E5927"/>
    <w:rsid w:val="003E5A4E"/>
    <w:rsid w:val="003E5AC4"/>
    <w:rsid w:val="003E5B00"/>
    <w:rsid w:val="003E5B5E"/>
    <w:rsid w:val="003E5BE3"/>
    <w:rsid w:val="003E5C11"/>
    <w:rsid w:val="003E5C21"/>
    <w:rsid w:val="003E5C3D"/>
    <w:rsid w:val="003E5C7F"/>
    <w:rsid w:val="003E5C81"/>
    <w:rsid w:val="003E5C96"/>
    <w:rsid w:val="003E5D01"/>
    <w:rsid w:val="003E5FC1"/>
    <w:rsid w:val="003E5FEB"/>
    <w:rsid w:val="003E60E9"/>
    <w:rsid w:val="003E61A8"/>
    <w:rsid w:val="003E61BF"/>
    <w:rsid w:val="003E6217"/>
    <w:rsid w:val="003E6276"/>
    <w:rsid w:val="003E632B"/>
    <w:rsid w:val="003E6362"/>
    <w:rsid w:val="003E6378"/>
    <w:rsid w:val="003E63D1"/>
    <w:rsid w:val="003E64A5"/>
    <w:rsid w:val="003E654B"/>
    <w:rsid w:val="003E656D"/>
    <w:rsid w:val="003E658C"/>
    <w:rsid w:val="003E65F9"/>
    <w:rsid w:val="003E682C"/>
    <w:rsid w:val="003E6870"/>
    <w:rsid w:val="003E68A2"/>
    <w:rsid w:val="003E6960"/>
    <w:rsid w:val="003E69C5"/>
    <w:rsid w:val="003E6A1C"/>
    <w:rsid w:val="003E6B12"/>
    <w:rsid w:val="003E6B30"/>
    <w:rsid w:val="003E6B57"/>
    <w:rsid w:val="003E6BBA"/>
    <w:rsid w:val="003E6CAD"/>
    <w:rsid w:val="003E6CB5"/>
    <w:rsid w:val="003E6CF2"/>
    <w:rsid w:val="003E6D5F"/>
    <w:rsid w:val="003E6F29"/>
    <w:rsid w:val="003E6F8D"/>
    <w:rsid w:val="003E6FB6"/>
    <w:rsid w:val="003E70C7"/>
    <w:rsid w:val="003E70C9"/>
    <w:rsid w:val="003E71D5"/>
    <w:rsid w:val="003E7252"/>
    <w:rsid w:val="003E7278"/>
    <w:rsid w:val="003E7295"/>
    <w:rsid w:val="003E731B"/>
    <w:rsid w:val="003E746B"/>
    <w:rsid w:val="003E7479"/>
    <w:rsid w:val="003E755E"/>
    <w:rsid w:val="003E7566"/>
    <w:rsid w:val="003E76B0"/>
    <w:rsid w:val="003E7704"/>
    <w:rsid w:val="003E78D0"/>
    <w:rsid w:val="003E78E5"/>
    <w:rsid w:val="003E78FE"/>
    <w:rsid w:val="003E7A2C"/>
    <w:rsid w:val="003E7A37"/>
    <w:rsid w:val="003E7A8B"/>
    <w:rsid w:val="003E7AEB"/>
    <w:rsid w:val="003E7D46"/>
    <w:rsid w:val="003E7D8D"/>
    <w:rsid w:val="003E7E1B"/>
    <w:rsid w:val="003E7E90"/>
    <w:rsid w:val="003E7F00"/>
    <w:rsid w:val="003E7F02"/>
    <w:rsid w:val="003F0047"/>
    <w:rsid w:val="003F0053"/>
    <w:rsid w:val="003F0197"/>
    <w:rsid w:val="003F01A8"/>
    <w:rsid w:val="003F0265"/>
    <w:rsid w:val="003F02D6"/>
    <w:rsid w:val="003F034B"/>
    <w:rsid w:val="003F03A0"/>
    <w:rsid w:val="003F04E4"/>
    <w:rsid w:val="003F04FB"/>
    <w:rsid w:val="003F0500"/>
    <w:rsid w:val="003F0537"/>
    <w:rsid w:val="003F0591"/>
    <w:rsid w:val="003F070F"/>
    <w:rsid w:val="003F07BE"/>
    <w:rsid w:val="003F0A81"/>
    <w:rsid w:val="003F0A83"/>
    <w:rsid w:val="003F0AB0"/>
    <w:rsid w:val="003F0B99"/>
    <w:rsid w:val="003F0C44"/>
    <w:rsid w:val="003F0D5D"/>
    <w:rsid w:val="003F0E48"/>
    <w:rsid w:val="003F0EB4"/>
    <w:rsid w:val="003F1017"/>
    <w:rsid w:val="003F1029"/>
    <w:rsid w:val="003F1054"/>
    <w:rsid w:val="003F1226"/>
    <w:rsid w:val="003F1269"/>
    <w:rsid w:val="003F13FC"/>
    <w:rsid w:val="003F145D"/>
    <w:rsid w:val="003F146C"/>
    <w:rsid w:val="003F1478"/>
    <w:rsid w:val="003F151B"/>
    <w:rsid w:val="003F156A"/>
    <w:rsid w:val="003F1599"/>
    <w:rsid w:val="003F165E"/>
    <w:rsid w:val="003F176F"/>
    <w:rsid w:val="003F1845"/>
    <w:rsid w:val="003F18CC"/>
    <w:rsid w:val="003F1912"/>
    <w:rsid w:val="003F1933"/>
    <w:rsid w:val="003F193E"/>
    <w:rsid w:val="003F197E"/>
    <w:rsid w:val="003F1A59"/>
    <w:rsid w:val="003F1AB6"/>
    <w:rsid w:val="003F1B12"/>
    <w:rsid w:val="003F1B6E"/>
    <w:rsid w:val="003F1B7F"/>
    <w:rsid w:val="003F1B8F"/>
    <w:rsid w:val="003F1BEA"/>
    <w:rsid w:val="003F1C15"/>
    <w:rsid w:val="003F1D17"/>
    <w:rsid w:val="003F1D75"/>
    <w:rsid w:val="003F1DC3"/>
    <w:rsid w:val="003F1E16"/>
    <w:rsid w:val="003F1F90"/>
    <w:rsid w:val="003F1F92"/>
    <w:rsid w:val="003F209F"/>
    <w:rsid w:val="003F20C6"/>
    <w:rsid w:val="003F2135"/>
    <w:rsid w:val="003F2150"/>
    <w:rsid w:val="003F21A3"/>
    <w:rsid w:val="003F21D5"/>
    <w:rsid w:val="003F22AA"/>
    <w:rsid w:val="003F244A"/>
    <w:rsid w:val="003F245A"/>
    <w:rsid w:val="003F24AD"/>
    <w:rsid w:val="003F258A"/>
    <w:rsid w:val="003F25A4"/>
    <w:rsid w:val="003F2668"/>
    <w:rsid w:val="003F273C"/>
    <w:rsid w:val="003F297A"/>
    <w:rsid w:val="003F2A60"/>
    <w:rsid w:val="003F2ADD"/>
    <w:rsid w:val="003F2B48"/>
    <w:rsid w:val="003F2C5E"/>
    <w:rsid w:val="003F2CE1"/>
    <w:rsid w:val="003F2D71"/>
    <w:rsid w:val="003F2DB5"/>
    <w:rsid w:val="003F2E07"/>
    <w:rsid w:val="003F2EBE"/>
    <w:rsid w:val="003F2F5D"/>
    <w:rsid w:val="003F2F87"/>
    <w:rsid w:val="003F307E"/>
    <w:rsid w:val="003F329B"/>
    <w:rsid w:val="003F3304"/>
    <w:rsid w:val="003F3344"/>
    <w:rsid w:val="003F33A1"/>
    <w:rsid w:val="003F33E0"/>
    <w:rsid w:val="003F33EE"/>
    <w:rsid w:val="003F343E"/>
    <w:rsid w:val="003F3456"/>
    <w:rsid w:val="003F3473"/>
    <w:rsid w:val="003F34E6"/>
    <w:rsid w:val="003F3620"/>
    <w:rsid w:val="003F3663"/>
    <w:rsid w:val="003F3666"/>
    <w:rsid w:val="003F37CE"/>
    <w:rsid w:val="003F37DA"/>
    <w:rsid w:val="003F37EE"/>
    <w:rsid w:val="003F3832"/>
    <w:rsid w:val="003F385F"/>
    <w:rsid w:val="003F38E9"/>
    <w:rsid w:val="003F3C00"/>
    <w:rsid w:val="003F3C1E"/>
    <w:rsid w:val="003F3DA9"/>
    <w:rsid w:val="003F3DCC"/>
    <w:rsid w:val="003F3DD4"/>
    <w:rsid w:val="003F3E89"/>
    <w:rsid w:val="003F3F5B"/>
    <w:rsid w:val="003F3FDF"/>
    <w:rsid w:val="003F40B9"/>
    <w:rsid w:val="003F41DB"/>
    <w:rsid w:val="003F4264"/>
    <w:rsid w:val="003F42A1"/>
    <w:rsid w:val="003F4378"/>
    <w:rsid w:val="003F457F"/>
    <w:rsid w:val="003F45BC"/>
    <w:rsid w:val="003F47A3"/>
    <w:rsid w:val="003F48F4"/>
    <w:rsid w:val="003F496E"/>
    <w:rsid w:val="003F49E7"/>
    <w:rsid w:val="003F4C2C"/>
    <w:rsid w:val="003F4C45"/>
    <w:rsid w:val="003F4D49"/>
    <w:rsid w:val="003F4DCA"/>
    <w:rsid w:val="003F4DDE"/>
    <w:rsid w:val="003F4DEC"/>
    <w:rsid w:val="003F4E32"/>
    <w:rsid w:val="003F4E98"/>
    <w:rsid w:val="003F4F1A"/>
    <w:rsid w:val="003F4F1B"/>
    <w:rsid w:val="003F4F7E"/>
    <w:rsid w:val="003F506C"/>
    <w:rsid w:val="003F5198"/>
    <w:rsid w:val="003F51B2"/>
    <w:rsid w:val="003F5585"/>
    <w:rsid w:val="003F564A"/>
    <w:rsid w:val="003F573F"/>
    <w:rsid w:val="003F57BF"/>
    <w:rsid w:val="003F581B"/>
    <w:rsid w:val="003F5838"/>
    <w:rsid w:val="003F5863"/>
    <w:rsid w:val="003F58D9"/>
    <w:rsid w:val="003F599F"/>
    <w:rsid w:val="003F59C7"/>
    <w:rsid w:val="003F59CC"/>
    <w:rsid w:val="003F5A16"/>
    <w:rsid w:val="003F5C98"/>
    <w:rsid w:val="003F5CCD"/>
    <w:rsid w:val="003F5D7D"/>
    <w:rsid w:val="003F5FE0"/>
    <w:rsid w:val="003F604B"/>
    <w:rsid w:val="003F6079"/>
    <w:rsid w:val="003F609E"/>
    <w:rsid w:val="003F60C5"/>
    <w:rsid w:val="003F6194"/>
    <w:rsid w:val="003F6235"/>
    <w:rsid w:val="003F63AA"/>
    <w:rsid w:val="003F6414"/>
    <w:rsid w:val="003F642B"/>
    <w:rsid w:val="003F643C"/>
    <w:rsid w:val="003F648C"/>
    <w:rsid w:val="003F655D"/>
    <w:rsid w:val="003F6669"/>
    <w:rsid w:val="003F66AF"/>
    <w:rsid w:val="003F6767"/>
    <w:rsid w:val="003F682F"/>
    <w:rsid w:val="003F6847"/>
    <w:rsid w:val="003F687A"/>
    <w:rsid w:val="003F6902"/>
    <w:rsid w:val="003F697F"/>
    <w:rsid w:val="003F698D"/>
    <w:rsid w:val="003F69C3"/>
    <w:rsid w:val="003F6C28"/>
    <w:rsid w:val="003F6C77"/>
    <w:rsid w:val="003F6D93"/>
    <w:rsid w:val="003F6E14"/>
    <w:rsid w:val="003F6EB4"/>
    <w:rsid w:val="003F6FF7"/>
    <w:rsid w:val="003F7088"/>
    <w:rsid w:val="003F70BF"/>
    <w:rsid w:val="003F71E9"/>
    <w:rsid w:val="003F724D"/>
    <w:rsid w:val="003F72A7"/>
    <w:rsid w:val="003F7343"/>
    <w:rsid w:val="003F7364"/>
    <w:rsid w:val="003F73BF"/>
    <w:rsid w:val="003F746A"/>
    <w:rsid w:val="003F74A7"/>
    <w:rsid w:val="003F74DC"/>
    <w:rsid w:val="003F751F"/>
    <w:rsid w:val="003F756B"/>
    <w:rsid w:val="003F7695"/>
    <w:rsid w:val="003F769A"/>
    <w:rsid w:val="003F7746"/>
    <w:rsid w:val="003F777D"/>
    <w:rsid w:val="003F77E1"/>
    <w:rsid w:val="003F780C"/>
    <w:rsid w:val="003F78F4"/>
    <w:rsid w:val="003F7965"/>
    <w:rsid w:val="003F79AF"/>
    <w:rsid w:val="003F79BF"/>
    <w:rsid w:val="003F7A99"/>
    <w:rsid w:val="003F7AC1"/>
    <w:rsid w:val="003F7B28"/>
    <w:rsid w:val="003F7B8F"/>
    <w:rsid w:val="003F7C34"/>
    <w:rsid w:val="003F7DC1"/>
    <w:rsid w:val="003F7E1A"/>
    <w:rsid w:val="003F7E87"/>
    <w:rsid w:val="003F7EB3"/>
    <w:rsid w:val="003F7F7D"/>
    <w:rsid w:val="003F7FD6"/>
    <w:rsid w:val="003F7FEE"/>
    <w:rsid w:val="00400121"/>
    <w:rsid w:val="00400123"/>
    <w:rsid w:val="0040014A"/>
    <w:rsid w:val="00400179"/>
    <w:rsid w:val="004001BD"/>
    <w:rsid w:val="004001E3"/>
    <w:rsid w:val="0040029E"/>
    <w:rsid w:val="004002D5"/>
    <w:rsid w:val="00400308"/>
    <w:rsid w:val="0040034E"/>
    <w:rsid w:val="004003BC"/>
    <w:rsid w:val="004003C3"/>
    <w:rsid w:val="00400440"/>
    <w:rsid w:val="00400487"/>
    <w:rsid w:val="00400533"/>
    <w:rsid w:val="00400553"/>
    <w:rsid w:val="004005CE"/>
    <w:rsid w:val="004005FE"/>
    <w:rsid w:val="0040065E"/>
    <w:rsid w:val="004006A1"/>
    <w:rsid w:val="004007E4"/>
    <w:rsid w:val="0040083E"/>
    <w:rsid w:val="004008F9"/>
    <w:rsid w:val="00400921"/>
    <w:rsid w:val="0040097F"/>
    <w:rsid w:val="00400B0D"/>
    <w:rsid w:val="00400BA6"/>
    <w:rsid w:val="00400BB5"/>
    <w:rsid w:val="00400BEA"/>
    <w:rsid w:val="00400E3B"/>
    <w:rsid w:val="00400E8E"/>
    <w:rsid w:val="00400EC1"/>
    <w:rsid w:val="00400F1F"/>
    <w:rsid w:val="004010BE"/>
    <w:rsid w:val="00401164"/>
    <w:rsid w:val="004011FA"/>
    <w:rsid w:val="0040127A"/>
    <w:rsid w:val="00401364"/>
    <w:rsid w:val="0040137B"/>
    <w:rsid w:val="004013DB"/>
    <w:rsid w:val="004014BC"/>
    <w:rsid w:val="004014BD"/>
    <w:rsid w:val="00401503"/>
    <w:rsid w:val="00401548"/>
    <w:rsid w:val="00401631"/>
    <w:rsid w:val="004016D3"/>
    <w:rsid w:val="004016EA"/>
    <w:rsid w:val="00401752"/>
    <w:rsid w:val="0040175A"/>
    <w:rsid w:val="004017EA"/>
    <w:rsid w:val="004018D4"/>
    <w:rsid w:val="00401A68"/>
    <w:rsid w:val="00401B43"/>
    <w:rsid w:val="00401BC6"/>
    <w:rsid w:val="00401C57"/>
    <w:rsid w:val="00401DD7"/>
    <w:rsid w:val="00401E2D"/>
    <w:rsid w:val="00401E70"/>
    <w:rsid w:val="00401EEF"/>
    <w:rsid w:val="00401F3C"/>
    <w:rsid w:val="00401FAB"/>
    <w:rsid w:val="004020EA"/>
    <w:rsid w:val="004020F4"/>
    <w:rsid w:val="00402103"/>
    <w:rsid w:val="00402288"/>
    <w:rsid w:val="004025EF"/>
    <w:rsid w:val="00402695"/>
    <w:rsid w:val="004026A8"/>
    <w:rsid w:val="0040278E"/>
    <w:rsid w:val="00402887"/>
    <w:rsid w:val="00402906"/>
    <w:rsid w:val="00402948"/>
    <w:rsid w:val="00402A55"/>
    <w:rsid w:val="00402A56"/>
    <w:rsid w:val="00402BC2"/>
    <w:rsid w:val="00402C3F"/>
    <w:rsid w:val="00402D72"/>
    <w:rsid w:val="00402DCA"/>
    <w:rsid w:val="00402E27"/>
    <w:rsid w:val="00402E9B"/>
    <w:rsid w:val="00402EA3"/>
    <w:rsid w:val="00403159"/>
    <w:rsid w:val="004032C0"/>
    <w:rsid w:val="004032D9"/>
    <w:rsid w:val="004033CD"/>
    <w:rsid w:val="00403445"/>
    <w:rsid w:val="004034CB"/>
    <w:rsid w:val="004035F9"/>
    <w:rsid w:val="0040361E"/>
    <w:rsid w:val="00403980"/>
    <w:rsid w:val="00403A1D"/>
    <w:rsid w:val="00403A32"/>
    <w:rsid w:val="00403A3B"/>
    <w:rsid w:val="00403A71"/>
    <w:rsid w:val="00403A78"/>
    <w:rsid w:val="00403AAA"/>
    <w:rsid w:val="00403ACE"/>
    <w:rsid w:val="00403BD1"/>
    <w:rsid w:val="00403C67"/>
    <w:rsid w:val="00403C79"/>
    <w:rsid w:val="00403D7B"/>
    <w:rsid w:val="00403E38"/>
    <w:rsid w:val="00403E3C"/>
    <w:rsid w:val="00403E7F"/>
    <w:rsid w:val="00403F35"/>
    <w:rsid w:val="00403F49"/>
    <w:rsid w:val="00403FD7"/>
    <w:rsid w:val="00403FE7"/>
    <w:rsid w:val="00404061"/>
    <w:rsid w:val="00404204"/>
    <w:rsid w:val="00404334"/>
    <w:rsid w:val="004043AB"/>
    <w:rsid w:val="004043C2"/>
    <w:rsid w:val="004044A8"/>
    <w:rsid w:val="004044DF"/>
    <w:rsid w:val="0040451F"/>
    <w:rsid w:val="00404544"/>
    <w:rsid w:val="00404594"/>
    <w:rsid w:val="004045F9"/>
    <w:rsid w:val="004046D1"/>
    <w:rsid w:val="004048F9"/>
    <w:rsid w:val="0040495D"/>
    <w:rsid w:val="004049ED"/>
    <w:rsid w:val="004049FC"/>
    <w:rsid w:val="00404A5E"/>
    <w:rsid w:val="00404A73"/>
    <w:rsid w:val="00404AD3"/>
    <w:rsid w:val="00404BBA"/>
    <w:rsid w:val="00404C58"/>
    <w:rsid w:val="00404CC7"/>
    <w:rsid w:val="00404D50"/>
    <w:rsid w:val="00404DCB"/>
    <w:rsid w:val="00404E53"/>
    <w:rsid w:val="00404F8C"/>
    <w:rsid w:val="00405016"/>
    <w:rsid w:val="00405023"/>
    <w:rsid w:val="00405044"/>
    <w:rsid w:val="00405046"/>
    <w:rsid w:val="00405062"/>
    <w:rsid w:val="0040509D"/>
    <w:rsid w:val="00405166"/>
    <w:rsid w:val="004051FB"/>
    <w:rsid w:val="004052A4"/>
    <w:rsid w:val="004055BE"/>
    <w:rsid w:val="004055DF"/>
    <w:rsid w:val="0040568E"/>
    <w:rsid w:val="00405695"/>
    <w:rsid w:val="00405719"/>
    <w:rsid w:val="00405723"/>
    <w:rsid w:val="0040572C"/>
    <w:rsid w:val="0040581F"/>
    <w:rsid w:val="00405869"/>
    <w:rsid w:val="00405907"/>
    <w:rsid w:val="0040593D"/>
    <w:rsid w:val="0040598A"/>
    <w:rsid w:val="004059AB"/>
    <w:rsid w:val="004059B7"/>
    <w:rsid w:val="004059EC"/>
    <w:rsid w:val="004059FF"/>
    <w:rsid w:val="00405B86"/>
    <w:rsid w:val="00405BC6"/>
    <w:rsid w:val="00405D3A"/>
    <w:rsid w:val="00405D70"/>
    <w:rsid w:val="00405E51"/>
    <w:rsid w:val="00405F3E"/>
    <w:rsid w:val="00406047"/>
    <w:rsid w:val="004060B2"/>
    <w:rsid w:val="004060C6"/>
    <w:rsid w:val="004060C7"/>
    <w:rsid w:val="0040621A"/>
    <w:rsid w:val="0040624C"/>
    <w:rsid w:val="00406333"/>
    <w:rsid w:val="004063A2"/>
    <w:rsid w:val="00406479"/>
    <w:rsid w:val="004064BF"/>
    <w:rsid w:val="004064CC"/>
    <w:rsid w:val="00406705"/>
    <w:rsid w:val="004067BE"/>
    <w:rsid w:val="004068C2"/>
    <w:rsid w:val="004068D6"/>
    <w:rsid w:val="004068E8"/>
    <w:rsid w:val="00406942"/>
    <w:rsid w:val="00406993"/>
    <w:rsid w:val="00406A17"/>
    <w:rsid w:val="00406A28"/>
    <w:rsid w:val="00406A4F"/>
    <w:rsid w:val="00406A70"/>
    <w:rsid w:val="00406A73"/>
    <w:rsid w:val="00406AA9"/>
    <w:rsid w:val="00406ADB"/>
    <w:rsid w:val="00406AF9"/>
    <w:rsid w:val="00406B92"/>
    <w:rsid w:val="00406C66"/>
    <w:rsid w:val="00406C88"/>
    <w:rsid w:val="00406D3F"/>
    <w:rsid w:val="00406DBD"/>
    <w:rsid w:val="00406DC9"/>
    <w:rsid w:val="00406E53"/>
    <w:rsid w:val="0040717F"/>
    <w:rsid w:val="0040724E"/>
    <w:rsid w:val="0040740C"/>
    <w:rsid w:val="004074B8"/>
    <w:rsid w:val="00407733"/>
    <w:rsid w:val="00407919"/>
    <w:rsid w:val="00407A71"/>
    <w:rsid w:val="00407B8B"/>
    <w:rsid w:val="00407BCA"/>
    <w:rsid w:val="00407BDE"/>
    <w:rsid w:val="00407C7F"/>
    <w:rsid w:val="00407C8B"/>
    <w:rsid w:val="00407D4E"/>
    <w:rsid w:val="00407D59"/>
    <w:rsid w:val="00407EDD"/>
    <w:rsid w:val="00407F04"/>
    <w:rsid w:val="00407F9E"/>
    <w:rsid w:val="00410075"/>
    <w:rsid w:val="004101B9"/>
    <w:rsid w:val="00410215"/>
    <w:rsid w:val="00410410"/>
    <w:rsid w:val="00410439"/>
    <w:rsid w:val="004104CB"/>
    <w:rsid w:val="004104CD"/>
    <w:rsid w:val="00410553"/>
    <w:rsid w:val="004105AD"/>
    <w:rsid w:val="004105EA"/>
    <w:rsid w:val="004106F4"/>
    <w:rsid w:val="004107EF"/>
    <w:rsid w:val="00410897"/>
    <w:rsid w:val="004108F7"/>
    <w:rsid w:val="00410929"/>
    <w:rsid w:val="00410B4E"/>
    <w:rsid w:val="00410B5D"/>
    <w:rsid w:val="00410BA1"/>
    <w:rsid w:val="00410D0F"/>
    <w:rsid w:val="00410D22"/>
    <w:rsid w:val="00410D46"/>
    <w:rsid w:val="00410D4C"/>
    <w:rsid w:val="00410E83"/>
    <w:rsid w:val="00410F7F"/>
    <w:rsid w:val="00411090"/>
    <w:rsid w:val="004110CC"/>
    <w:rsid w:val="004111C1"/>
    <w:rsid w:val="0041126B"/>
    <w:rsid w:val="004114DB"/>
    <w:rsid w:val="004114F4"/>
    <w:rsid w:val="00411691"/>
    <w:rsid w:val="004116D0"/>
    <w:rsid w:val="00411723"/>
    <w:rsid w:val="00411729"/>
    <w:rsid w:val="004117BC"/>
    <w:rsid w:val="00411876"/>
    <w:rsid w:val="004118A4"/>
    <w:rsid w:val="004118D9"/>
    <w:rsid w:val="00411A99"/>
    <w:rsid w:val="00411B7C"/>
    <w:rsid w:val="00411B7E"/>
    <w:rsid w:val="00411BCA"/>
    <w:rsid w:val="00411C9F"/>
    <w:rsid w:val="00411CAA"/>
    <w:rsid w:val="00411D08"/>
    <w:rsid w:val="00411D70"/>
    <w:rsid w:val="00412075"/>
    <w:rsid w:val="0041218F"/>
    <w:rsid w:val="00412214"/>
    <w:rsid w:val="00412236"/>
    <w:rsid w:val="00412415"/>
    <w:rsid w:val="004125B9"/>
    <w:rsid w:val="00412724"/>
    <w:rsid w:val="0041272B"/>
    <w:rsid w:val="0041279A"/>
    <w:rsid w:val="00412875"/>
    <w:rsid w:val="00412A2B"/>
    <w:rsid w:val="00412AC5"/>
    <w:rsid w:val="00412CCE"/>
    <w:rsid w:val="00412D7D"/>
    <w:rsid w:val="00412E6B"/>
    <w:rsid w:val="00412EE5"/>
    <w:rsid w:val="00412F88"/>
    <w:rsid w:val="00412FDE"/>
    <w:rsid w:val="004130C2"/>
    <w:rsid w:val="00413261"/>
    <w:rsid w:val="004132EA"/>
    <w:rsid w:val="0041344B"/>
    <w:rsid w:val="004134B0"/>
    <w:rsid w:val="004135AB"/>
    <w:rsid w:val="0041364E"/>
    <w:rsid w:val="00413698"/>
    <w:rsid w:val="00413704"/>
    <w:rsid w:val="0041385C"/>
    <w:rsid w:val="004138AC"/>
    <w:rsid w:val="00413950"/>
    <w:rsid w:val="004139E5"/>
    <w:rsid w:val="00413B28"/>
    <w:rsid w:val="00413BEC"/>
    <w:rsid w:val="00413CB5"/>
    <w:rsid w:val="00413D7C"/>
    <w:rsid w:val="00413DDB"/>
    <w:rsid w:val="00413E09"/>
    <w:rsid w:val="00413E1C"/>
    <w:rsid w:val="00413F1B"/>
    <w:rsid w:val="0041402B"/>
    <w:rsid w:val="004140A6"/>
    <w:rsid w:val="00414203"/>
    <w:rsid w:val="00414220"/>
    <w:rsid w:val="00414255"/>
    <w:rsid w:val="004142C0"/>
    <w:rsid w:val="0041432C"/>
    <w:rsid w:val="00414352"/>
    <w:rsid w:val="00414364"/>
    <w:rsid w:val="004143CB"/>
    <w:rsid w:val="0041449E"/>
    <w:rsid w:val="004144BB"/>
    <w:rsid w:val="004144C8"/>
    <w:rsid w:val="004144F9"/>
    <w:rsid w:val="0041453B"/>
    <w:rsid w:val="00414634"/>
    <w:rsid w:val="00414685"/>
    <w:rsid w:val="004146F3"/>
    <w:rsid w:val="00414736"/>
    <w:rsid w:val="00414749"/>
    <w:rsid w:val="0041474D"/>
    <w:rsid w:val="00414A6D"/>
    <w:rsid w:val="00414B1B"/>
    <w:rsid w:val="00414B80"/>
    <w:rsid w:val="00414BDF"/>
    <w:rsid w:val="00414C0D"/>
    <w:rsid w:val="00414C62"/>
    <w:rsid w:val="00414CD6"/>
    <w:rsid w:val="00414D02"/>
    <w:rsid w:val="00414D65"/>
    <w:rsid w:val="00414D94"/>
    <w:rsid w:val="00414F11"/>
    <w:rsid w:val="00414F4A"/>
    <w:rsid w:val="00414F93"/>
    <w:rsid w:val="0041501C"/>
    <w:rsid w:val="0041501F"/>
    <w:rsid w:val="00415075"/>
    <w:rsid w:val="004152BB"/>
    <w:rsid w:val="00415305"/>
    <w:rsid w:val="00415357"/>
    <w:rsid w:val="00415377"/>
    <w:rsid w:val="004153B6"/>
    <w:rsid w:val="004153F2"/>
    <w:rsid w:val="004153FC"/>
    <w:rsid w:val="004154EF"/>
    <w:rsid w:val="0041556B"/>
    <w:rsid w:val="004155B3"/>
    <w:rsid w:val="004155CF"/>
    <w:rsid w:val="00415620"/>
    <w:rsid w:val="004156C1"/>
    <w:rsid w:val="00415748"/>
    <w:rsid w:val="0041592B"/>
    <w:rsid w:val="00415A08"/>
    <w:rsid w:val="00415A5A"/>
    <w:rsid w:val="00415B52"/>
    <w:rsid w:val="00415B81"/>
    <w:rsid w:val="00415B89"/>
    <w:rsid w:val="00415B8C"/>
    <w:rsid w:val="00415CDA"/>
    <w:rsid w:val="00415DC9"/>
    <w:rsid w:val="00415DD5"/>
    <w:rsid w:val="00415E07"/>
    <w:rsid w:val="00415FA3"/>
    <w:rsid w:val="00416028"/>
    <w:rsid w:val="0041619F"/>
    <w:rsid w:val="004161E0"/>
    <w:rsid w:val="00416250"/>
    <w:rsid w:val="004162CD"/>
    <w:rsid w:val="00416411"/>
    <w:rsid w:val="0041642C"/>
    <w:rsid w:val="00416442"/>
    <w:rsid w:val="0041645E"/>
    <w:rsid w:val="004164AC"/>
    <w:rsid w:val="004165B2"/>
    <w:rsid w:val="004165D8"/>
    <w:rsid w:val="0041680D"/>
    <w:rsid w:val="00416827"/>
    <w:rsid w:val="004168F9"/>
    <w:rsid w:val="004169BB"/>
    <w:rsid w:val="00416A79"/>
    <w:rsid w:val="00416AA4"/>
    <w:rsid w:val="00416AB5"/>
    <w:rsid w:val="00416BB5"/>
    <w:rsid w:val="00416BDE"/>
    <w:rsid w:val="00416C7E"/>
    <w:rsid w:val="00416D5D"/>
    <w:rsid w:val="00416E04"/>
    <w:rsid w:val="00416E42"/>
    <w:rsid w:val="00416EC7"/>
    <w:rsid w:val="00416FE6"/>
    <w:rsid w:val="00416FED"/>
    <w:rsid w:val="0041704D"/>
    <w:rsid w:val="00417062"/>
    <w:rsid w:val="00417187"/>
    <w:rsid w:val="004172B7"/>
    <w:rsid w:val="004172F1"/>
    <w:rsid w:val="0041736D"/>
    <w:rsid w:val="0041739B"/>
    <w:rsid w:val="00417585"/>
    <w:rsid w:val="00417588"/>
    <w:rsid w:val="0041760E"/>
    <w:rsid w:val="00417668"/>
    <w:rsid w:val="00417891"/>
    <w:rsid w:val="004178FC"/>
    <w:rsid w:val="00417A2A"/>
    <w:rsid w:val="00417A67"/>
    <w:rsid w:val="00417B1D"/>
    <w:rsid w:val="00417B48"/>
    <w:rsid w:val="00417C88"/>
    <w:rsid w:val="00417D03"/>
    <w:rsid w:val="00417F97"/>
    <w:rsid w:val="004200D3"/>
    <w:rsid w:val="004200EC"/>
    <w:rsid w:val="0042023E"/>
    <w:rsid w:val="0042025E"/>
    <w:rsid w:val="00420353"/>
    <w:rsid w:val="00420361"/>
    <w:rsid w:val="004203FC"/>
    <w:rsid w:val="004204F7"/>
    <w:rsid w:val="004206B3"/>
    <w:rsid w:val="00420736"/>
    <w:rsid w:val="00420901"/>
    <w:rsid w:val="00420A2D"/>
    <w:rsid w:val="00420EB0"/>
    <w:rsid w:val="00420ED5"/>
    <w:rsid w:val="00420F28"/>
    <w:rsid w:val="00420F33"/>
    <w:rsid w:val="00421077"/>
    <w:rsid w:val="00421316"/>
    <w:rsid w:val="0042138D"/>
    <w:rsid w:val="0042151B"/>
    <w:rsid w:val="00421556"/>
    <w:rsid w:val="00421567"/>
    <w:rsid w:val="004215F8"/>
    <w:rsid w:val="00421631"/>
    <w:rsid w:val="00421647"/>
    <w:rsid w:val="004217E1"/>
    <w:rsid w:val="00421830"/>
    <w:rsid w:val="004218AC"/>
    <w:rsid w:val="004219B6"/>
    <w:rsid w:val="00421AA6"/>
    <w:rsid w:val="00421B87"/>
    <w:rsid w:val="00421C5C"/>
    <w:rsid w:val="00421C95"/>
    <w:rsid w:val="00421CA1"/>
    <w:rsid w:val="00421CDA"/>
    <w:rsid w:val="00421D11"/>
    <w:rsid w:val="00421D48"/>
    <w:rsid w:val="00421DC8"/>
    <w:rsid w:val="00421E08"/>
    <w:rsid w:val="00421E7E"/>
    <w:rsid w:val="00421F2E"/>
    <w:rsid w:val="00422132"/>
    <w:rsid w:val="004221CB"/>
    <w:rsid w:val="00422336"/>
    <w:rsid w:val="0042239A"/>
    <w:rsid w:val="004224E8"/>
    <w:rsid w:val="00422566"/>
    <w:rsid w:val="00422651"/>
    <w:rsid w:val="00422672"/>
    <w:rsid w:val="0042269A"/>
    <w:rsid w:val="00422738"/>
    <w:rsid w:val="00422784"/>
    <w:rsid w:val="004227AD"/>
    <w:rsid w:val="00422843"/>
    <w:rsid w:val="00422852"/>
    <w:rsid w:val="00422986"/>
    <w:rsid w:val="004229F7"/>
    <w:rsid w:val="00422AAA"/>
    <w:rsid w:val="00422B1D"/>
    <w:rsid w:val="00422B6A"/>
    <w:rsid w:val="00422C65"/>
    <w:rsid w:val="00422C82"/>
    <w:rsid w:val="00423044"/>
    <w:rsid w:val="004230AE"/>
    <w:rsid w:val="0042311F"/>
    <w:rsid w:val="00423175"/>
    <w:rsid w:val="0042326B"/>
    <w:rsid w:val="0042334F"/>
    <w:rsid w:val="00423364"/>
    <w:rsid w:val="0042344B"/>
    <w:rsid w:val="004234D2"/>
    <w:rsid w:val="00423548"/>
    <w:rsid w:val="00423562"/>
    <w:rsid w:val="00423580"/>
    <w:rsid w:val="004235B6"/>
    <w:rsid w:val="00423700"/>
    <w:rsid w:val="004237BE"/>
    <w:rsid w:val="00423835"/>
    <w:rsid w:val="004239B7"/>
    <w:rsid w:val="004239F9"/>
    <w:rsid w:val="00423ACC"/>
    <w:rsid w:val="00423CC4"/>
    <w:rsid w:val="00423D32"/>
    <w:rsid w:val="00423E88"/>
    <w:rsid w:val="00423F39"/>
    <w:rsid w:val="00423F9D"/>
    <w:rsid w:val="0042403A"/>
    <w:rsid w:val="004240DC"/>
    <w:rsid w:val="00424147"/>
    <w:rsid w:val="0042416D"/>
    <w:rsid w:val="0042419B"/>
    <w:rsid w:val="004241A2"/>
    <w:rsid w:val="004241AA"/>
    <w:rsid w:val="004241D8"/>
    <w:rsid w:val="004242A7"/>
    <w:rsid w:val="00424358"/>
    <w:rsid w:val="004243AF"/>
    <w:rsid w:val="0042441A"/>
    <w:rsid w:val="00424455"/>
    <w:rsid w:val="00424537"/>
    <w:rsid w:val="004245D2"/>
    <w:rsid w:val="00424612"/>
    <w:rsid w:val="004246A9"/>
    <w:rsid w:val="00424730"/>
    <w:rsid w:val="00424914"/>
    <w:rsid w:val="0042499D"/>
    <w:rsid w:val="00424ADC"/>
    <w:rsid w:val="00424BD1"/>
    <w:rsid w:val="00424BE7"/>
    <w:rsid w:val="00424C2B"/>
    <w:rsid w:val="00424C97"/>
    <w:rsid w:val="00424E48"/>
    <w:rsid w:val="00424E7B"/>
    <w:rsid w:val="00424EDC"/>
    <w:rsid w:val="00425054"/>
    <w:rsid w:val="0042548A"/>
    <w:rsid w:val="00425547"/>
    <w:rsid w:val="00425570"/>
    <w:rsid w:val="004255C0"/>
    <w:rsid w:val="004255F9"/>
    <w:rsid w:val="00425623"/>
    <w:rsid w:val="00425674"/>
    <w:rsid w:val="00425686"/>
    <w:rsid w:val="0042578A"/>
    <w:rsid w:val="004257C5"/>
    <w:rsid w:val="0042596E"/>
    <w:rsid w:val="004259A6"/>
    <w:rsid w:val="00425B82"/>
    <w:rsid w:val="00425BA5"/>
    <w:rsid w:val="00425BD9"/>
    <w:rsid w:val="00425BF2"/>
    <w:rsid w:val="00425C5F"/>
    <w:rsid w:val="00425C75"/>
    <w:rsid w:val="00425CA9"/>
    <w:rsid w:val="00425D54"/>
    <w:rsid w:val="00425E2B"/>
    <w:rsid w:val="00425EB6"/>
    <w:rsid w:val="00425F2B"/>
    <w:rsid w:val="00425F31"/>
    <w:rsid w:val="00425FD0"/>
    <w:rsid w:val="00426022"/>
    <w:rsid w:val="00426082"/>
    <w:rsid w:val="0042608B"/>
    <w:rsid w:val="00426094"/>
    <w:rsid w:val="004260C0"/>
    <w:rsid w:val="00426138"/>
    <w:rsid w:val="00426267"/>
    <w:rsid w:val="00426276"/>
    <w:rsid w:val="004262AF"/>
    <w:rsid w:val="0042633C"/>
    <w:rsid w:val="00426366"/>
    <w:rsid w:val="0042639F"/>
    <w:rsid w:val="004263D8"/>
    <w:rsid w:val="00426602"/>
    <w:rsid w:val="00426637"/>
    <w:rsid w:val="0042666C"/>
    <w:rsid w:val="0042677C"/>
    <w:rsid w:val="00426829"/>
    <w:rsid w:val="004268A0"/>
    <w:rsid w:val="004268F2"/>
    <w:rsid w:val="0042693E"/>
    <w:rsid w:val="0042694E"/>
    <w:rsid w:val="0042695F"/>
    <w:rsid w:val="00426964"/>
    <w:rsid w:val="004269FF"/>
    <w:rsid w:val="00426B01"/>
    <w:rsid w:val="00426BAA"/>
    <w:rsid w:val="00426BD7"/>
    <w:rsid w:val="00426BDB"/>
    <w:rsid w:val="00426D04"/>
    <w:rsid w:val="00426D8A"/>
    <w:rsid w:val="00426E85"/>
    <w:rsid w:val="00426F67"/>
    <w:rsid w:val="00426FED"/>
    <w:rsid w:val="00427053"/>
    <w:rsid w:val="0042707A"/>
    <w:rsid w:val="0042710E"/>
    <w:rsid w:val="00427110"/>
    <w:rsid w:val="00427236"/>
    <w:rsid w:val="00427502"/>
    <w:rsid w:val="00427660"/>
    <w:rsid w:val="00427716"/>
    <w:rsid w:val="004277F3"/>
    <w:rsid w:val="0042796C"/>
    <w:rsid w:val="0042798C"/>
    <w:rsid w:val="00427C25"/>
    <w:rsid w:val="00427C38"/>
    <w:rsid w:val="00427C93"/>
    <w:rsid w:val="00427CFA"/>
    <w:rsid w:val="00427D45"/>
    <w:rsid w:val="00427FAC"/>
    <w:rsid w:val="00430033"/>
    <w:rsid w:val="0043004D"/>
    <w:rsid w:val="0043020B"/>
    <w:rsid w:val="0043029C"/>
    <w:rsid w:val="004302AB"/>
    <w:rsid w:val="004302F7"/>
    <w:rsid w:val="00430312"/>
    <w:rsid w:val="00430335"/>
    <w:rsid w:val="0043037B"/>
    <w:rsid w:val="00430387"/>
    <w:rsid w:val="00430402"/>
    <w:rsid w:val="0043041E"/>
    <w:rsid w:val="0043045D"/>
    <w:rsid w:val="0043048F"/>
    <w:rsid w:val="004304BA"/>
    <w:rsid w:val="00430562"/>
    <w:rsid w:val="004305A5"/>
    <w:rsid w:val="004305A8"/>
    <w:rsid w:val="0043063D"/>
    <w:rsid w:val="004306E9"/>
    <w:rsid w:val="004307BA"/>
    <w:rsid w:val="004307DE"/>
    <w:rsid w:val="00430855"/>
    <w:rsid w:val="0043085C"/>
    <w:rsid w:val="0043092A"/>
    <w:rsid w:val="00430979"/>
    <w:rsid w:val="00430AB2"/>
    <w:rsid w:val="00430C13"/>
    <w:rsid w:val="00430E97"/>
    <w:rsid w:val="00430EFE"/>
    <w:rsid w:val="00430FBC"/>
    <w:rsid w:val="004310A0"/>
    <w:rsid w:val="00431106"/>
    <w:rsid w:val="00431118"/>
    <w:rsid w:val="0043113C"/>
    <w:rsid w:val="004312A3"/>
    <w:rsid w:val="00431300"/>
    <w:rsid w:val="0043132E"/>
    <w:rsid w:val="004313EB"/>
    <w:rsid w:val="0043161F"/>
    <w:rsid w:val="0043176F"/>
    <w:rsid w:val="004317BA"/>
    <w:rsid w:val="004318BF"/>
    <w:rsid w:val="0043195A"/>
    <w:rsid w:val="004319C9"/>
    <w:rsid w:val="00431A27"/>
    <w:rsid w:val="00431ACF"/>
    <w:rsid w:val="00431C67"/>
    <w:rsid w:val="00431C8F"/>
    <w:rsid w:val="00431E1D"/>
    <w:rsid w:val="00431E88"/>
    <w:rsid w:val="00431ED3"/>
    <w:rsid w:val="00431F23"/>
    <w:rsid w:val="00431FBC"/>
    <w:rsid w:val="00432204"/>
    <w:rsid w:val="00432209"/>
    <w:rsid w:val="004322CB"/>
    <w:rsid w:val="00432340"/>
    <w:rsid w:val="0043235D"/>
    <w:rsid w:val="0043249D"/>
    <w:rsid w:val="004325A5"/>
    <w:rsid w:val="0043266B"/>
    <w:rsid w:val="00432690"/>
    <w:rsid w:val="004327F7"/>
    <w:rsid w:val="004328A0"/>
    <w:rsid w:val="004328EF"/>
    <w:rsid w:val="0043291C"/>
    <w:rsid w:val="00432984"/>
    <w:rsid w:val="00432A6D"/>
    <w:rsid w:val="00432A99"/>
    <w:rsid w:val="00432AD8"/>
    <w:rsid w:val="00432B12"/>
    <w:rsid w:val="00432B81"/>
    <w:rsid w:val="00432B8C"/>
    <w:rsid w:val="00432BD6"/>
    <w:rsid w:val="00432DF0"/>
    <w:rsid w:val="00432E32"/>
    <w:rsid w:val="00432EF4"/>
    <w:rsid w:val="00432F18"/>
    <w:rsid w:val="00432F6E"/>
    <w:rsid w:val="00432F9F"/>
    <w:rsid w:val="00432FD3"/>
    <w:rsid w:val="00433096"/>
    <w:rsid w:val="0043334B"/>
    <w:rsid w:val="0043340F"/>
    <w:rsid w:val="00433425"/>
    <w:rsid w:val="00433428"/>
    <w:rsid w:val="00433429"/>
    <w:rsid w:val="0043343B"/>
    <w:rsid w:val="0043346D"/>
    <w:rsid w:val="004334DE"/>
    <w:rsid w:val="004334EB"/>
    <w:rsid w:val="00433703"/>
    <w:rsid w:val="004337A0"/>
    <w:rsid w:val="004337BB"/>
    <w:rsid w:val="004337C4"/>
    <w:rsid w:val="00433A7A"/>
    <w:rsid w:val="00433AB9"/>
    <w:rsid w:val="00433AEE"/>
    <w:rsid w:val="00433B20"/>
    <w:rsid w:val="00433B32"/>
    <w:rsid w:val="00433B33"/>
    <w:rsid w:val="00433B47"/>
    <w:rsid w:val="00433B69"/>
    <w:rsid w:val="00433B9C"/>
    <w:rsid w:val="00433BE9"/>
    <w:rsid w:val="00433D10"/>
    <w:rsid w:val="00433DB7"/>
    <w:rsid w:val="00433F7C"/>
    <w:rsid w:val="004340CC"/>
    <w:rsid w:val="00434148"/>
    <w:rsid w:val="004341C0"/>
    <w:rsid w:val="00434251"/>
    <w:rsid w:val="00434300"/>
    <w:rsid w:val="0043435D"/>
    <w:rsid w:val="00434491"/>
    <w:rsid w:val="00434681"/>
    <w:rsid w:val="00434A0A"/>
    <w:rsid w:val="00434A7C"/>
    <w:rsid w:val="00434A88"/>
    <w:rsid w:val="00434AF0"/>
    <w:rsid w:val="00434B55"/>
    <w:rsid w:val="00434C07"/>
    <w:rsid w:val="00434CA5"/>
    <w:rsid w:val="00434D49"/>
    <w:rsid w:val="00434E5D"/>
    <w:rsid w:val="00434E6A"/>
    <w:rsid w:val="00434E7F"/>
    <w:rsid w:val="00434EBE"/>
    <w:rsid w:val="00434EF0"/>
    <w:rsid w:val="00434F89"/>
    <w:rsid w:val="00435047"/>
    <w:rsid w:val="004350C3"/>
    <w:rsid w:val="00435123"/>
    <w:rsid w:val="00435204"/>
    <w:rsid w:val="0043527F"/>
    <w:rsid w:val="004352D2"/>
    <w:rsid w:val="004352E9"/>
    <w:rsid w:val="00435368"/>
    <w:rsid w:val="004354B2"/>
    <w:rsid w:val="004355C3"/>
    <w:rsid w:val="0043561A"/>
    <w:rsid w:val="0043561E"/>
    <w:rsid w:val="00435796"/>
    <w:rsid w:val="004357B1"/>
    <w:rsid w:val="0043598B"/>
    <w:rsid w:val="00435A8B"/>
    <w:rsid w:val="00435B28"/>
    <w:rsid w:val="00435B64"/>
    <w:rsid w:val="00435CEE"/>
    <w:rsid w:val="00435D06"/>
    <w:rsid w:val="00435D2B"/>
    <w:rsid w:val="00435D2F"/>
    <w:rsid w:val="00435E3F"/>
    <w:rsid w:val="00435E45"/>
    <w:rsid w:val="00435E86"/>
    <w:rsid w:val="00436076"/>
    <w:rsid w:val="0043616A"/>
    <w:rsid w:val="0043619A"/>
    <w:rsid w:val="004361B4"/>
    <w:rsid w:val="00436271"/>
    <w:rsid w:val="004363E7"/>
    <w:rsid w:val="004364F3"/>
    <w:rsid w:val="004364F5"/>
    <w:rsid w:val="0043650C"/>
    <w:rsid w:val="00436550"/>
    <w:rsid w:val="00436555"/>
    <w:rsid w:val="0043655E"/>
    <w:rsid w:val="00436785"/>
    <w:rsid w:val="00436897"/>
    <w:rsid w:val="00436A01"/>
    <w:rsid w:val="00436A4C"/>
    <w:rsid w:val="00436A51"/>
    <w:rsid w:val="00436BC9"/>
    <w:rsid w:val="00436CB8"/>
    <w:rsid w:val="00436D75"/>
    <w:rsid w:val="00436DF2"/>
    <w:rsid w:val="00436E94"/>
    <w:rsid w:val="00436F7D"/>
    <w:rsid w:val="00437328"/>
    <w:rsid w:val="004373DF"/>
    <w:rsid w:val="00437483"/>
    <w:rsid w:val="004374A3"/>
    <w:rsid w:val="004374E3"/>
    <w:rsid w:val="004374FD"/>
    <w:rsid w:val="00437573"/>
    <w:rsid w:val="00437582"/>
    <w:rsid w:val="004375FB"/>
    <w:rsid w:val="004376C1"/>
    <w:rsid w:val="00437729"/>
    <w:rsid w:val="0043791E"/>
    <w:rsid w:val="00437991"/>
    <w:rsid w:val="004379A0"/>
    <w:rsid w:val="00437BE5"/>
    <w:rsid w:val="00437CBD"/>
    <w:rsid w:val="00437E8E"/>
    <w:rsid w:val="00437FB9"/>
    <w:rsid w:val="00437FCE"/>
    <w:rsid w:val="004401D3"/>
    <w:rsid w:val="00440220"/>
    <w:rsid w:val="004402EF"/>
    <w:rsid w:val="00440408"/>
    <w:rsid w:val="00440456"/>
    <w:rsid w:val="00440492"/>
    <w:rsid w:val="004404C7"/>
    <w:rsid w:val="00440828"/>
    <w:rsid w:val="0044083F"/>
    <w:rsid w:val="004408BC"/>
    <w:rsid w:val="004409B1"/>
    <w:rsid w:val="00440A2A"/>
    <w:rsid w:val="00440B07"/>
    <w:rsid w:val="00440BA3"/>
    <w:rsid w:val="00440BAB"/>
    <w:rsid w:val="00440BD1"/>
    <w:rsid w:val="00440BFE"/>
    <w:rsid w:val="00440C89"/>
    <w:rsid w:val="00440DB0"/>
    <w:rsid w:val="00440E57"/>
    <w:rsid w:val="00440F23"/>
    <w:rsid w:val="00440F72"/>
    <w:rsid w:val="00440FAA"/>
    <w:rsid w:val="004410AC"/>
    <w:rsid w:val="004411A4"/>
    <w:rsid w:val="0044121F"/>
    <w:rsid w:val="00441230"/>
    <w:rsid w:val="00441243"/>
    <w:rsid w:val="004412A7"/>
    <w:rsid w:val="00441311"/>
    <w:rsid w:val="004414CE"/>
    <w:rsid w:val="004415FC"/>
    <w:rsid w:val="004416AE"/>
    <w:rsid w:val="004416DA"/>
    <w:rsid w:val="00441862"/>
    <w:rsid w:val="00441951"/>
    <w:rsid w:val="0044197E"/>
    <w:rsid w:val="00441A3D"/>
    <w:rsid w:val="00441A85"/>
    <w:rsid w:val="00441AAC"/>
    <w:rsid w:val="00441AC4"/>
    <w:rsid w:val="00441B26"/>
    <w:rsid w:val="00441B2D"/>
    <w:rsid w:val="00441B91"/>
    <w:rsid w:val="00441C72"/>
    <w:rsid w:val="00441D36"/>
    <w:rsid w:val="00441DC5"/>
    <w:rsid w:val="00441DE5"/>
    <w:rsid w:val="00441F02"/>
    <w:rsid w:val="00442198"/>
    <w:rsid w:val="00442220"/>
    <w:rsid w:val="00442237"/>
    <w:rsid w:val="00442268"/>
    <w:rsid w:val="004422B6"/>
    <w:rsid w:val="00442414"/>
    <w:rsid w:val="00442460"/>
    <w:rsid w:val="004425BF"/>
    <w:rsid w:val="00442662"/>
    <w:rsid w:val="00442729"/>
    <w:rsid w:val="0044273D"/>
    <w:rsid w:val="0044282E"/>
    <w:rsid w:val="00442875"/>
    <w:rsid w:val="00442889"/>
    <w:rsid w:val="0044295F"/>
    <w:rsid w:val="004429C9"/>
    <w:rsid w:val="00442A46"/>
    <w:rsid w:val="00442ACE"/>
    <w:rsid w:val="00442C25"/>
    <w:rsid w:val="00442C73"/>
    <w:rsid w:val="00442CBD"/>
    <w:rsid w:val="00442D13"/>
    <w:rsid w:val="00442D72"/>
    <w:rsid w:val="00442DE9"/>
    <w:rsid w:val="00442E08"/>
    <w:rsid w:val="00442E69"/>
    <w:rsid w:val="00442E9E"/>
    <w:rsid w:val="00442EA3"/>
    <w:rsid w:val="00442EA7"/>
    <w:rsid w:val="004430D4"/>
    <w:rsid w:val="004430DB"/>
    <w:rsid w:val="00443100"/>
    <w:rsid w:val="0044316D"/>
    <w:rsid w:val="00443177"/>
    <w:rsid w:val="004432BB"/>
    <w:rsid w:val="00443361"/>
    <w:rsid w:val="004433D2"/>
    <w:rsid w:val="0044346A"/>
    <w:rsid w:val="00443515"/>
    <w:rsid w:val="0044355B"/>
    <w:rsid w:val="004435AB"/>
    <w:rsid w:val="004435D7"/>
    <w:rsid w:val="00443609"/>
    <w:rsid w:val="004436D1"/>
    <w:rsid w:val="004436FA"/>
    <w:rsid w:val="0044370C"/>
    <w:rsid w:val="00443759"/>
    <w:rsid w:val="004437A5"/>
    <w:rsid w:val="004437F6"/>
    <w:rsid w:val="00443800"/>
    <w:rsid w:val="00443919"/>
    <w:rsid w:val="00443966"/>
    <w:rsid w:val="00443A46"/>
    <w:rsid w:val="00443A73"/>
    <w:rsid w:val="00443AC6"/>
    <w:rsid w:val="00443B43"/>
    <w:rsid w:val="00443C1E"/>
    <w:rsid w:val="00443D02"/>
    <w:rsid w:val="00443D0C"/>
    <w:rsid w:val="00443D35"/>
    <w:rsid w:val="00443DE3"/>
    <w:rsid w:val="00443E9A"/>
    <w:rsid w:val="00443E9D"/>
    <w:rsid w:val="00443EE6"/>
    <w:rsid w:val="00443F3E"/>
    <w:rsid w:val="00443F46"/>
    <w:rsid w:val="00443F8A"/>
    <w:rsid w:val="00444071"/>
    <w:rsid w:val="0044413B"/>
    <w:rsid w:val="004441A5"/>
    <w:rsid w:val="00444252"/>
    <w:rsid w:val="0044429D"/>
    <w:rsid w:val="004442DB"/>
    <w:rsid w:val="004442F7"/>
    <w:rsid w:val="00444311"/>
    <w:rsid w:val="00444391"/>
    <w:rsid w:val="00444438"/>
    <w:rsid w:val="0044444C"/>
    <w:rsid w:val="004444C3"/>
    <w:rsid w:val="00444513"/>
    <w:rsid w:val="004445D3"/>
    <w:rsid w:val="00444607"/>
    <w:rsid w:val="004446A7"/>
    <w:rsid w:val="00444792"/>
    <w:rsid w:val="004447E0"/>
    <w:rsid w:val="004448F2"/>
    <w:rsid w:val="0044490A"/>
    <w:rsid w:val="00444912"/>
    <w:rsid w:val="0044494D"/>
    <w:rsid w:val="00444A33"/>
    <w:rsid w:val="00444A6C"/>
    <w:rsid w:val="00444B01"/>
    <w:rsid w:val="00444B76"/>
    <w:rsid w:val="00444CC7"/>
    <w:rsid w:val="00444D69"/>
    <w:rsid w:val="00444D76"/>
    <w:rsid w:val="00444DF4"/>
    <w:rsid w:val="00444DF5"/>
    <w:rsid w:val="00444E97"/>
    <w:rsid w:val="004450F7"/>
    <w:rsid w:val="0044511A"/>
    <w:rsid w:val="0044517B"/>
    <w:rsid w:val="00445234"/>
    <w:rsid w:val="0044531D"/>
    <w:rsid w:val="0044532E"/>
    <w:rsid w:val="004453D9"/>
    <w:rsid w:val="00445454"/>
    <w:rsid w:val="00445475"/>
    <w:rsid w:val="0044555C"/>
    <w:rsid w:val="00445580"/>
    <w:rsid w:val="004455BF"/>
    <w:rsid w:val="00445636"/>
    <w:rsid w:val="0044570F"/>
    <w:rsid w:val="0044574E"/>
    <w:rsid w:val="00445752"/>
    <w:rsid w:val="0044585C"/>
    <w:rsid w:val="0044586B"/>
    <w:rsid w:val="0044589E"/>
    <w:rsid w:val="0044593D"/>
    <w:rsid w:val="004459AE"/>
    <w:rsid w:val="00445A6D"/>
    <w:rsid w:val="00445ADF"/>
    <w:rsid w:val="00445BB6"/>
    <w:rsid w:val="00445BEF"/>
    <w:rsid w:val="00445C79"/>
    <w:rsid w:val="00445CA6"/>
    <w:rsid w:val="00445DE5"/>
    <w:rsid w:val="00445E6F"/>
    <w:rsid w:val="00445EF7"/>
    <w:rsid w:val="00445F58"/>
    <w:rsid w:val="0044606E"/>
    <w:rsid w:val="004460DA"/>
    <w:rsid w:val="00446112"/>
    <w:rsid w:val="004461D3"/>
    <w:rsid w:val="00446377"/>
    <w:rsid w:val="0044644C"/>
    <w:rsid w:val="004464A6"/>
    <w:rsid w:val="004464B1"/>
    <w:rsid w:val="00446672"/>
    <w:rsid w:val="00446684"/>
    <w:rsid w:val="004467EF"/>
    <w:rsid w:val="0044681E"/>
    <w:rsid w:val="004468FB"/>
    <w:rsid w:val="0044690A"/>
    <w:rsid w:val="004469C6"/>
    <w:rsid w:val="004469CB"/>
    <w:rsid w:val="004469D6"/>
    <w:rsid w:val="00446ABF"/>
    <w:rsid w:val="00446D25"/>
    <w:rsid w:val="00446D86"/>
    <w:rsid w:val="00446DB9"/>
    <w:rsid w:val="00446E29"/>
    <w:rsid w:val="00446E35"/>
    <w:rsid w:val="00446F38"/>
    <w:rsid w:val="00447016"/>
    <w:rsid w:val="004470D5"/>
    <w:rsid w:val="00447102"/>
    <w:rsid w:val="004471EC"/>
    <w:rsid w:val="0044725A"/>
    <w:rsid w:val="00447287"/>
    <w:rsid w:val="004472C5"/>
    <w:rsid w:val="004472E3"/>
    <w:rsid w:val="004473A5"/>
    <w:rsid w:val="00447430"/>
    <w:rsid w:val="00447446"/>
    <w:rsid w:val="0044746A"/>
    <w:rsid w:val="004475CE"/>
    <w:rsid w:val="004475DF"/>
    <w:rsid w:val="004476E4"/>
    <w:rsid w:val="004476EE"/>
    <w:rsid w:val="00447776"/>
    <w:rsid w:val="004477AF"/>
    <w:rsid w:val="00447824"/>
    <w:rsid w:val="00447842"/>
    <w:rsid w:val="00447863"/>
    <w:rsid w:val="0044786C"/>
    <w:rsid w:val="004478B7"/>
    <w:rsid w:val="004479AC"/>
    <w:rsid w:val="004479F5"/>
    <w:rsid w:val="00447AC7"/>
    <w:rsid w:val="00447B50"/>
    <w:rsid w:val="00447B68"/>
    <w:rsid w:val="00447C70"/>
    <w:rsid w:val="00447C71"/>
    <w:rsid w:val="00447D30"/>
    <w:rsid w:val="00447DA6"/>
    <w:rsid w:val="00447DE4"/>
    <w:rsid w:val="00447E2E"/>
    <w:rsid w:val="00447EBD"/>
    <w:rsid w:val="00447F03"/>
    <w:rsid w:val="00447F19"/>
    <w:rsid w:val="00447F4A"/>
    <w:rsid w:val="00447FD2"/>
    <w:rsid w:val="00447FDF"/>
    <w:rsid w:val="0045011E"/>
    <w:rsid w:val="0045025C"/>
    <w:rsid w:val="004502D7"/>
    <w:rsid w:val="0045039A"/>
    <w:rsid w:val="004503ED"/>
    <w:rsid w:val="00450464"/>
    <w:rsid w:val="0045056A"/>
    <w:rsid w:val="0045084A"/>
    <w:rsid w:val="0045086C"/>
    <w:rsid w:val="004508A0"/>
    <w:rsid w:val="004508EC"/>
    <w:rsid w:val="00450B73"/>
    <w:rsid w:val="00450BBE"/>
    <w:rsid w:val="00450C59"/>
    <w:rsid w:val="00450C8F"/>
    <w:rsid w:val="00450D87"/>
    <w:rsid w:val="00450DB4"/>
    <w:rsid w:val="00450E02"/>
    <w:rsid w:val="00450E69"/>
    <w:rsid w:val="00450F5E"/>
    <w:rsid w:val="00450FC9"/>
    <w:rsid w:val="00450FDD"/>
    <w:rsid w:val="00451096"/>
    <w:rsid w:val="004510C5"/>
    <w:rsid w:val="00451171"/>
    <w:rsid w:val="004511FA"/>
    <w:rsid w:val="004512A9"/>
    <w:rsid w:val="0045132C"/>
    <w:rsid w:val="00451343"/>
    <w:rsid w:val="00451377"/>
    <w:rsid w:val="0045141D"/>
    <w:rsid w:val="0045144E"/>
    <w:rsid w:val="004516AA"/>
    <w:rsid w:val="00451841"/>
    <w:rsid w:val="004518B1"/>
    <w:rsid w:val="00451986"/>
    <w:rsid w:val="00451B58"/>
    <w:rsid w:val="00451C9F"/>
    <w:rsid w:val="00451E6B"/>
    <w:rsid w:val="00451EFB"/>
    <w:rsid w:val="0045201D"/>
    <w:rsid w:val="00452061"/>
    <w:rsid w:val="00452087"/>
    <w:rsid w:val="004521AB"/>
    <w:rsid w:val="00452364"/>
    <w:rsid w:val="0045237B"/>
    <w:rsid w:val="004523AD"/>
    <w:rsid w:val="004523F8"/>
    <w:rsid w:val="00452493"/>
    <w:rsid w:val="004524C1"/>
    <w:rsid w:val="004524E6"/>
    <w:rsid w:val="00452550"/>
    <w:rsid w:val="0045255F"/>
    <w:rsid w:val="004525BE"/>
    <w:rsid w:val="004526B3"/>
    <w:rsid w:val="00452729"/>
    <w:rsid w:val="004527E1"/>
    <w:rsid w:val="004527E7"/>
    <w:rsid w:val="00452843"/>
    <w:rsid w:val="00452857"/>
    <w:rsid w:val="0045285C"/>
    <w:rsid w:val="004528C5"/>
    <w:rsid w:val="0045291D"/>
    <w:rsid w:val="00452941"/>
    <w:rsid w:val="004529D0"/>
    <w:rsid w:val="00452A54"/>
    <w:rsid w:val="00452A94"/>
    <w:rsid w:val="00452B0D"/>
    <w:rsid w:val="00452BC8"/>
    <w:rsid w:val="00452BD7"/>
    <w:rsid w:val="00452BE6"/>
    <w:rsid w:val="00452D6E"/>
    <w:rsid w:val="00452E01"/>
    <w:rsid w:val="00452E7D"/>
    <w:rsid w:val="00452EA9"/>
    <w:rsid w:val="00452EDA"/>
    <w:rsid w:val="00452F28"/>
    <w:rsid w:val="00452FE8"/>
    <w:rsid w:val="004530C8"/>
    <w:rsid w:val="004531B0"/>
    <w:rsid w:val="00453200"/>
    <w:rsid w:val="004532C3"/>
    <w:rsid w:val="004532CA"/>
    <w:rsid w:val="00453393"/>
    <w:rsid w:val="00453516"/>
    <w:rsid w:val="00453572"/>
    <w:rsid w:val="00453576"/>
    <w:rsid w:val="004535C3"/>
    <w:rsid w:val="004535C5"/>
    <w:rsid w:val="00453692"/>
    <w:rsid w:val="004536B5"/>
    <w:rsid w:val="004537DD"/>
    <w:rsid w:val="0045387B"/>
    <w:rsid w:val="0045395A"/>
    <w:rsid w:val="0045396A"/>
    <w:rsid w:val="004539F7"/>
    <w:rsid w:val="00453A15"/>
    <w:rsid w:val="00453BD5"/>
    <w:rsid w:val="00453C96"/>
    <w:rsid w:val="00453D43"/>
    <w:rsid w:val="00453E02"/>
    <w:rsid w:val="00453E79"/>
    <w:rsid w:val="00454056"/>
    <w:rsid w:val="00454090"/>
    <w:rsid w:val="0045416A"/>
    <w:rsid w:val="0045417B"/>
    <w:rsid w:val="004541CE"/>
    <w:rsid w:val="00454219"/>
    <w:rsid w:val="00454286"/>
    <w:rsid w:val="004542C0"/>
    <w:rsid w:val="004542D9"/>
    <w:rsid w:val="0045431F"/>
    <w:rsid w:val="004543AE"/>
    <w:rsid w:val="00454419"/>
    <w:rsid w:val="0045442B"/>
    <w:rsid w:val="004544B0"/>
    <w:rsid w:val="0045455D"/>
    <w:rsid w:val="00454618"/>
    <w:rsid w:val="00454649"/>
    <w:rsid w:val="004546D1"/>
    <w:rsid w:val="0045475B"/>
    <w:rsid w:val="004547D3"/>
    <w:rsid w:val="00454837"/>
    <w:rsid w:val="0045488E"/>
    <w:rsid w:val="00454932"/>
    <w:rsid w:val="004549E0"/>
    <w:rsid w:val="00454A78"/>
    <w:rsid w:val="00454B17"/>
    <w:rsid w:val="00454B48"/>
    <w:rsid w:val="00454B98"/>
    <w:rsid w:val="00454BA2"/>
    <w:rsid w:val="00454CF5"/>
    <w:rsid w:val="00454D6F"/>
    <w:rsid w:val="00454DDA"/>
    <w:rsid w:val="00454DE1"/>
    <w:rsid w:val="00454EC5"/>
    <w:rsid w:val="00454EEB"/>
    <w:rsid w:val="00455149"/>
    <w:rsid w:val="004552B9"/>
    <w:rsid w:val="00455341"/>
    <w:rsid w:val="004554F3"/>
    <w:rsid w:val="00455521"/>
    <w:rsid w:val="0045555D"/>
    <w:rsid w:val="004556CF"/>
    <w:rsid w:val="004557BA"/>
    <w:rsid w:val="00455976"/>
    <w:rsid w:val="004559F2"/>
    <w:rsid w:val="00455AF1"/>
    <w:rsid w:val="00455B42"/>
    <w:rsid w:val="00455E6F"/>
    <w:rsid w:val="00455FEB"/>
    <w:rsid w:val="004561B7"/>
    <w:rsid w:val="004561D2"/>
    <w:rsid w:val="004561EF"/>
    <w:rsid w:val="0045620C"/>
    <w:rsid w:val="004562F4"/>
    <w:rsid w:val="0045634A"/>
    <w:rsid w:val="004563CD"/>
    <w:rsid w:val="004564B1"/>
    <w:rsid w:val="00456749"/>
    <w:rsid w:val="00456802"/>
    <w:rsid w:val="0045693B"/>
    <w:rsid w:val="00456985"/>
    <w:rsid w:val="00456A49"/>
    <w:rsid w:val="00456BA2"/>
    <w:rsid w:val="00456BDC"/>
    <w:rsid w:val="00456BFE"/>
    <w:rsid w:val="00456C2E"/>
    <w:rsid w:val="00456C89"/>
    <w:rsid w:val="004570CD"/>
    <w:rsid w:val="004571FD"/>
    <w:rsid w:val="004572AD"/>
    <w:rsid w:val="0045733C"/>
    <w:rsid w:val="004573B6"/>
    <w:rsid w:val="004575B9"/>
    <w:rsid w:val="004575E7"/>
    <w:rsid w:val="00457644"/>
    <w:rsid w:val="00457674"/>
    <w:rsid w:val="00457710"/>
    <w:rsid w:val="00457716"/>
    <w:rsid w:val="0045777B"/>
    <w:rsid w:val="00457796"/>
    <w:rsid w:val="004577A5"/>
    <w:rsid w:val="0045780B"/>
    <w:rsid w:val="004578F7"/>
    <w:rsid w:val="00457A90"/>
    <w:rsid w:val="00457ACE"/>
    <w:rsid w:val="00457D09"/>
    <w:rsid w:val="00457D62"/>
    <w:rsid w:val="00457D7B"/>
    <w:rsid w:val="00457DF6"/>
    <w:rsid w:val="00457E5D"/>
    <w:rsid w:val="00457EBE"/>
    <w:rsid w:val="00457EFF"/>
    <w:rsid w:val="00457FFA"/>
    <w:rsid w:val="0046001E"/>
    <w:rsid w:val="00460143"/>
    <w:rsid w:val="00460180"/>
    <w:rsid w:val="00460231"/>
    <w:rsid w:val="00460279"/>
    <w:rsid w:val="004602FC"/>
    <w:rsid w:val="004603AC"/>
    <w:rsid w:val="0046064E"/>
    <w:rsid w:val="0046067E"/>
    <w:rsid w:val="00460710"/>
    <w:rsid w:val="004607D0"/>
    <w:rsid w:val="004608BD"/>
    <w:rsid w:val="00460920"/>
    <w:rsid w:val="00460984"/>
    <w:rsid w:val="00460A12"/>
    <w:rsid w:val="00460B75"/>
    <w:rsid w:val="00460BC7"/>
    <w:rsid w:val="00460BCD"/>
    <w:rsid w:val="00460BF4"/>
    <w:rsid w:val="00460C84"/>
    <w:rsid w:val="00460DB0"/>
    <w:rsid w:val="00460EC3"/>
    <w:rsid w:val="00460F92"/>
    <w:rsid w:val="00460FA8"/>
    <w:rsid w:val="00460FB6"/>
    <w:rsid w:val="0046100E"/>
    <w:rsid w:val="00461277"/>
    <w:rsid w:val="004612A5"/>
    <w:rsid w:val="004612E5"/>
    <w:rsid w:val="0046139F"/>
    <w:rsid w:val="00461411"/>
    <w:rsid w:val="0046142F"/>
    <w:rsid w:val="00461461"/>
    <w:rsid w:val="00461471"/>
    <w:rsid w:val="0046151E"/>
    <w:rsid w:val="004615CF"/>
    <w:rsid w:val="004615FC"/>
    <w:rsid w:val="00461602"/>
    <w:rsid w:val="004616F0"/>
    <w:rsid w:val="00461794"/>
    <w:rsid w:val="004617C9"/>
    <w:rsid w:val="00461961"/>
    <w:rsid w:val="00461A2D"/>
    <w:rsid w:val="00461A7D"/>
    <w:rsid w:val="00461B16"/>
    <w:rsid w:val="00461B27"/>
    <w:rsid w:val="00461BFE"/>
    <w:rsid w:val="00461C31"/>
    <w:rsid w:val="00461C5E"/>
    <w:rsid w:val="00461C6B"/>
    <w:rsid w:val="00461CA8"/>
    <w:rsid w:val="00461CD3"/>
    <w:rsid w:val="00461D88"/>
    <w:rsid w:val="00461E37"/>
    <w:rsid w:val="00461EA7"/>
    <w:rsid w:val="00462013"/>
    <w:rsid w:val="004620D2"/>
    <w:rsid w:val="0046210D"/>
    <w:rsid w:val="004621EC"/>
    <w:rsid w:val="00462280"/>
    <w:rsid w:val="00462286"/>
    <w:rsid w:val="00462325"/>
    <w:rsid w:val="00462360"/>
    <w:rsid w:val="004624FD"/>
    <w:rsid w:val="004625D4"/>
    <w:rsid w:val="00462600"/>
    <w:rsid w:val="00462741"/>
    <w:rsid w:val="00462782"/>
    <w:rsid w:val="004627A8"/>
    <w:rsid w:val="00462818"/>
    <w:rsid w:val="0046286B"/>
    <w:rsid w:val="004628CE"/>
    <w:rsid w:val="004628D2"/>
    <w:rsid w:val="00462A94"/>
    <w:rsid w:val="00462A9B"/>
    <w:rsid w:val="00462C4A"/>
    <w:rsid w:val="00462CF8"/>
    <w:rsid w:val="00462D0D"/>
    <w:rsid w:val="00462D86"/>
    <w:rsid w:val="00462DA2"/>
    <w:rsid w:val="00462DCC"/>
    <w:rsid w:val="00462DE9"/>
    <w:rsid w:val="00462E6B"/>
    <w:rsid w:val="00462FB0"/>
    <w:rsid w:val="00463098"/>
    <w:rsid w:val="00463104"/>
    <w:rsid w:val="00463180"/>
    <w:rsid w:val="00463184"/>
    <w:rsid w:val="0046324B"/>
    <w:rsid w:val="00463254"/>
    <w:rsid w:val="0046326C"/>
    <w:rsid w:val="00463327"/>
    <w:rsid w:val="00463330"/>
    <w:rsid w:val="004633F1"/>
    <w:rsid w:val="00463477"/>
    <w:rsid w:val="004634CC"/>
    <w:rsid w:val="004634E4"/>
    <w:rsid w:val="0046377B"/>
    <w:rsid w:val="004637B4"/>
    <w:rsid w:val="00463912"/>
    <w:rsid w:val="00463989"/>
    <w:rsid w:val="00463BB8"/>
    <w:rsid w:val="00463D19"/>
    <w:rsid w:val="00463D9C"/>
    <w:rsid w:val="00463DCE"/>
    <w:rsid w:val="00463DE4"/>
    <w:rsid w:val="00463F90"/>
    <w:rsid w:val="00464200"/>
    <w:rsid w:val="00464366"/>
    <w:rsid w:val="00464489"/>
    <w:rsid w:val="004644CB"/>
    <w:rsid w:val="00464508"/>
    <w:rsid w:val="004646D3"/>
    <w:rsid w:val="0046477A"/>
    <w:rsid w:val="004647A2"/>
    <w:rsid w:val="004647B0"/>
    <w:rsid w:val="00464806"/>
    <w:rsid w:val="00464924"/>
    <w:rsid w:val="00464961"/>
    <w:rsid w:val="004649A0"/>
    <w:rsid w:val="00464A10"/>
    <w:rsid w:val="00464A79"/>
    <w:rsid w:val="00464A9B"/>
    <w:rsid w:val="00464AE3"/>
    <w:rsid w:val="00464C3F"/>
    <w:rsid w:val="00464CD2"/>
    <w:rsid w:val="00464CDF"/>
    <w:rsid w:val="00464D40"/>
    <w:rsid w:val="00464D42"/>
    <w:rsid w:val="00464D45"/>
    <w:rsid w:val="00464D7E"/>
    <w:rsid w:val="00464ECD"/>
    <w:rsid w:val="00464F80"/>
    <w:rsid w:val="0046507C"/>
    <w:rsid w:val="00465096"/>
    <w:rsid w:val="004650D2"/>
    <w:rsid w:val="004650E2"/>
    <w:rsid w:val="00465168"/>
    <w:rsid w:val="004652B0"/>
    <w:rsid w:val="004652FC"/>
    <w:rsid w:val="004653FA"/>
    <w:rsid w:val="0046575C"/>
    <w:rsid w:val="004657B3"/>
    <w:rsid w:val="004658AB"/>
    <w:rsid w:val="00465939"/>
    <w:rsid w:val="0046598E"/>
    <w:rsid w:val="00465997"/>
    <w:rsid w:val="00465A86"/>
    <w:rsid w:val="00465B7C"/>
    <w:rsid w:val="00465C89"/>
    <w:rsid w:val="00465E78"/>
    <w:rsid w:val="00465F40"/>
    <w:rsid w:val="00465F42"/>
    <w:rsid w:val="00465FA6"/>
    <w:rsid w:val="00465FB2"/>
    <w:rsid w:val="00466035"/>
    <w:rsid w:val="00466036"/>
    <w:rsid w:val="0046603B"/>
    <w:rsid w:val="00466067"/>
    <w:rsid w:val="00466259"/>
    <w:rsid w:val="004664AE"/>
    <w:rsid w:val="004664CE"/>
    <w:rsid w:val="004664E9"/>
    <w:rsid w:val="004665DD"/>
    <w:rsid w:val="00466624"/>
    <w:rsid w:val="004666A4"/>
    <w:rsid w:val="00466835"/>
    <w:rsid w:val="00466865"/>
    <w:rsid w:val="0046698F"/>
    <w:rsid w:val="00466A8E"/>
    <w:rsid w:val="00466AF5"/>
    <w:rsid w:val="00466B43"/>
    <w:rsid w:val="00466BC2"/>
    <w:rsid w:val="00466DA0"/>
    <w:rsid w:val="00466EAE"/>
    <w:rsid w:val="00467053"/>
    <w:rsid w:val="00467115"/>
    <w:rsid w:val="00467132"/>
    <w:rsid w:val="0046717F"/>
    <w:rsid w:val="004673E1"/>
    <w:rsid w:val="004676AB"/>
    <w:rsid w:val="0046778B"/>
    <w:rsid w:val="004677DC"/>
    <w:rsid w:val="004679F9"/>
    <w:rsid w:val="00467A2F"/>
    <w:rsid w:val="00467A6F"/>
    <w:rsid w:val="00467B00"/>
    <w:rsid w:val="00467B35"/>
    <w:rsid w:val="00467B4B"/>
    <w:rsid w:val="00467BD9"/>
    <w:rsid w:val="00467CAE"/>
    <w:rsid w:val="00467D69"/>
    <w:rsid w:val="00467ECB"/>
    <w:rsid w:val="0047014D"/>
    <w:rsid w:val="004703BA"/>
    <w:rsid w:val="0047048A"/>
    <w:rsid w:val="0047050C"/>
    <w:rsid w:val="00470511"/>
    <w:rsid w:val="00470696"/>
    <w:rsid w:val="00470912"/>
    <w:rsid w:val="00470941"/>
    <w:rsid w:val="00470A0C"/>
    <w:rsid w:val="00470B8C"/>
    <w:rsid w:val="00470B8E"/>
    <w:rsid w:val="00470CEA"/>
    <w:rsid w:val="00470CF1"/>
    <w:rsid w:val="00470CFB"/>
    <w:rsid w:val="00470D79"/>
    <w:rsid w:val="00470E8E"/>
    <w:rsid w:val="00470EC5"/>
    <w:rsid w:val="00470EC7"/>
    <w:rsid w:val="00470FBE"/>
    <w:rsid w:val="00471023"/>
    <w:rsid w:val="00471049"/>
    <w:rsid w:val="00471158"/>
    <w:rsid w:val="004711F9"/>
    <w:rsid w:val="00471284"/>
    <w:rsid w:val="00471377"/>
    <w:rsid w:val="00471387"/>
    <w:rsid w:val="00471440"/>
    <w:rsid w:val="004714A2"/>
    <w:rsid w:val="004714A5"/>
    <w:rsid w:val="00471635"/>
    <w:rsid w:val="00471655"/>
    <w:rsid w:val="004717C8"/>
    <w:rsid w:val="004718C4"/>
    <w:rsid w:val="004719CA"/>
    <w:rsid w:val="004719F8"/>
    <w:rsid w:val="00471AB0"/>
    <w:rsid w:val="00471ACD"/>
    <w:rsid w:val="00471B78"/>
    <w:rsid w:val="00471B89"/>
    <w:rsid w:val="00471C0E"/>
    <w:rsid w:val="00471DA6"/>
    <w:rsid w:val="00471E8C"/>
    <w:rsid w:val="00471FA2"/>
    <w:rsid w:val="00472058"/>
    <w:rsid w:val="004720F7"/>
    <w:rsid w:val="004721A8"/>
    <w:rsid w:val="00472241"/>
    <w:rsid w:val="0047231E"/>
    <w:rsid w:val="004724BD"/>
    <w:rsid w:val="00472578"/>
    <w:rsid w:val="0047259B"/>
    <w:rsid w:val="004726BF"/>
    <w:rsid w:val="0047273A"/>
    <w:rsid w:val="0047287D"/>
    <w:rsid w:val="00472883"/>
    <w:rsid w:val="0047288C"/>
    <w:rsid w:val="004729ED"/>
    <w:rsid w:val="00472BC4"/>
    <w:rsid w:val="00472C31"/>
    <w:rsid w:val="00472CCB"/>
    <w:rsid w:val="00472D70"/>
    <w:rsid w:val="00472DD2"/>
    <w:rsid w:val="00472E2D"/>
    <w:rsid w:val="00472E4E"/>
    <w:rsid w:val="00472EC6"/>
    <w:rsid w:val="00472F4E"/>
    <w:rsid w:val="00472F94"/>
    <w:rsid w:val="00472FB5"/>
    <w:rsid w:val="00472FCC"/>
    <w:rsid w:val="00473032"/>
    <w:rsid w:val="00473033"/>
    <w:rsid w:val="004731A2"/>
    <w:rsid w:val="00473289"/>
    <w:rsid w:val="0047332D"/>
    <w:rsid w:val="004734F5"/>
    <w:rsid w:val="00473591"/>
    <w:rsid w:val="0047359F"/>
    <w:rsid w:val="0047373E"/>
    <w:rsid w:val="004737D2"/>
    <w:rsid w:val="004738B0"/>
    <w:rsid w:val="00473BA1"/>
    <w:rsid w:val="00473BEE"/>
    <w:rsid w:val="00473CAF"/>
    <w:rsid w:val="00473CDF"/>
    <w:rsid w:val="00473D65"/>
    <w:rsid w:val="00474160"/>
    <w:rsid w:val="004741F9"/>
    <w:rsid w:val="00474237"/>
    <w:rsid w:val="0047434E"/>
    <w:rsid w:val="004744E4"/>
    <w:rsid w:val="004744F2"/>
    <w:rsid w:val="00474550"/>
    <w:rsid w:val="004745AF"/>
    <w:rsid w:val="00474622"/>
    <w:rsid w:val="00474627"/>
    <w:rsid w:val="004746E3"/>
    <w:rsid w:val="00474782"/>
    <w:rsid w:val="0047478B"/>
    <w:rsid w:val="00474884"/>
    <w:rsid w:val="00474969"/>
    <w:rsid w:val="004749A5"/>
    <w:rsid w:val="004749B2"/>
    <w:rsid w:val="004749D3"/>
    <w:rsid w:val="00474A65"/>
    <w:rsid w:val="00474BEC"/>
    <w:rsid w:val="00474C04"/>
    <w:rsid w:val="00474C8D"/>
    <w:rsid w:val="00474EBD"/>
    <w:rsid w:val="00474F40"/>
    <w:rsid w:val="00474F62"/>
    <w:rsid w:val="00474FC2"/>
    <w:rsid w:val="00475004"/>
    <w:rsid w:val="0047505E"/>
    <w:rsid w:val="00475090"/>
    <w:rsid w:val="0047516C"/>
    <w:rsid w:val="004752ED"/>
    <w:rsid w:val="004753E5"/>
    <w:rsid w:val="0047567A"/>
    <w:rsid w:val="00475688"/>
    <w:rsid w:val="004756B2"/>
    <w:rsid w:val="0047573B"/>
    <w:rsid w:val="0047583A"/>
    <w:rsid w:val="004758B9"/>
    <w:rsid w:val="0047594B"/>
    <w:rsid w:val="00475984"/>
    <w:rsid w:val="004759E5"/>
    <w:rsid w:val="00475A83"/>
    <w:rsid w:val="00475ADA"/>
    <w:rsid w:val="00475B29"/>
    <w:rsid w:val="00475B31"/>
    <w:rsid w:val="00475C3F"/>
    <w:rsid w:val="00475CA2"/>
    <w:rsid w:val="00475D15"/>
    <w:rsid w:val="00475D8B"/>
    <w:rsid w:val="00475DCF"/>
    <w:rsid w:val="00475F65"/>
    <w:rsid w:val="0047603D"/>
    <w:rsid w:val="0047613E"/>
    <w:rsid w:val="0047616D"/>
    <w:rsid w:val="004762A7"/>
    <w:rsid w:val="004762CD"/>
    <w:rsid w:val="00476328"/>
    <w:rsid w:val="004763C2"/>
    <w:rsid w:val="00476419"/>
    <w:rsid w:val="00476452"/>
    <w:rsid w:val="00476559"/>
    <w:rsid w:val="00476662"/>
    <w:rsid w:val="00476851"/>
    <w:rsid w:val="004768FA"/>
    <w:rsid w:val="00476921"/>
    <w:rsid w:val="0047693F"/>
    <w:rsid w:val="004769CB"/>
    <w:rsid w:val="00476A7A"/>
    <w:rsid w:val="00476B9C"/>
    <w:rsid w:val="00476BCA"/>
    <w:rsid w:val="00476CC1"/>
    <w:rsid w:val="00476DC0"/>
    <w:rsid w:val="00476E13"/>
    <w:rsid w:val="00476E52"/>
    <w:rsid w:val="00476F15"/>
    <w:rsid w:val="00476FE3"/>
    <w:rsid w:val="0047710A"/>
    <w:rsid w:val="00477121"/>
    <w:rsid w:val="00477144"/>
    <w:rsid w:val="004771EC"/>
    <w:rsid w:val="0047726C"/>
    <w:rsid w:val="00477295"/>
    <w:rsid w:val="004772E1"/>
    <w:rsid w:val="004773AB"/>
    <w:rsid w:val="00477452"/>
    <w:rsid w:val="00477463"/>
    <w:rsid w:val="00477515"/>
    <w:rsid w:val="00477764"/>
    <w:rsid w:val="0047776F"/>
    <w:rsid w:val="004777A6"/>
    <w:rsid w:val="004777C5"/>
    <w:rsid w:val="00477BC5"/>
    <w:rsid w:val="00477BE7"/>
    <w:rsid w:val="00477C29"/>
    <w:rsid w:val="00477C92"/>
    <w:rsid w:val="00477CA8"/>
    <w:rsid w:val="00477D55"/>
    <w:rsid w:val="00477EB7"/>
    <w:rsid w:val="00477EBA"/>
    <w:rsid w:val="00477FE0"/>
    <w:rsid w:val="00480093"/>
    <w:rsid w:val="004800BD"/>
    <w:rsid w:val="00480148"/>
    <w:rsid w:val="00480150"/>
    <w:rsid w:val="004801A5"/>
    <w:rsid w:val="004801ED"/>
    <w:rsid w:val="004801F4"/>
    <w:rsid w:val="00480257"/>
    <w:rsid w:val="004802FC"/>
    <w:rsid w:val="00480358"/>
    <w:rsid w:val="0048038C"/>
    <w:rsid w:val="00480393"/>
    <w:rsid w:val="0048070B"/>
    <w:rsid w:val="00480867"/>
    <w:rsid w:val="00480A8A"/>
    <w:rsid w:val="00480AF5"/>
    <w:rsid w:val="00480B23"/>
    <w:rsid w:val="00480B29"/>
    <w:rsid w:val="00480B68"/>
    <w:rsid w:val="00480BA5"/>
    <w:rsid w:val="00480BC7"/>
    <w:rsid w:val="00480C1F"/>
    <w:rsid w:val="00480C42"/>
    <w:rsid w:val="00480D48"/>
    <w:rsid w:val="00480D76"/>
    <w:rsid w:val="00480DF4"/>
    <w:rsid w:val="00480F66"/>
    <w:rsid w:val="00480FD8"/>
    <w:rsid w:val="00480FFB"/>
    <w:rsid w:val="0048101B"/>
    <w:rsid w:val="00481081"/>
    <w:rsid w:val="00481167"/>
    <w:rsid w:val="004811DB"/>
    <w:rsid w:val="004812B6"/>
    <w:rsid w:val="004813D9"/>
    <w:rsid w:val="004813DE"/>
    <w:rsid w:val="0048141F"/>
    <w:rsid w:val="004814A2"/>
    <w:rsid w:val="004815DD"/>
    <w:rsid w:val="0048168F"/>
    <w:rsid w:val="004816D0"/>
    <w:rsid w:val="00481823"/>
    <w:rsid w:val="0048188F"/>
    <w:rsid w:val="00481897"/>
    <w:rsid w:val="004819A4"/>
    <w:rsid w:val="004819CE"/>
    <w:rsid w:val="00481A18"/>
    <w:rsid w:val="00481A7A"/>
    <w:rsid w:val="00481AF0"/>
    <w:rsid w:val="00481B1F"/>
    <w:rsid w:val="00481B3F"/>
    <w:rsid w:val="00481B61"/>
    <w:rsid w:val="00481B77"/>
    <w:rsid w:val="00481BD7"/>
    <w:rsid w:val="00481C55"/>
    <w:rsid w:val="00481CB9"/>
    <w:rsid w:val="00481D0C"/>
    <w:rsid w:val="00481F9E"/>
    <w:rsid w:val="0048214E"/>
    <w:rsid w:val="0048215C"/>
    <w:rsid w:val="004821A3"/>
    <w:rsid w:val="00482240"/>
    <w:rsid w:val="004822CF"/>
    <w:rsid w:val="00482361"/>
    <w:rsid w:val="00482495"/>
    <w:rsid w:val="00482525"/>
    <w:rsid w:val="0048255D"/>
    <w:rsid w:val="004825AC"/>
    <w:rsid w:val="0048266F"/>
    <w:rsid w:val="0048277A"/>
    <w:rsid w:val="004827B6"/>
    <w:rsid w:val="00482853"/>
    <w:rsid w:val="00482874"/>
    <w:rsid w:val="00482877"/>
    <w:rsid w:val="004828C4"/>
    <w:rsid w:val="00482994"/>
    <w:rsid w:val="00482A57"/>
    <w:rsid w:val="00482A5E"/>
    <w:rsid w:val="00482A8B"/>
    <w:rsid w:val="00482A98"/>
    <w:rsid w:val="00482AF2"/>
    <w:rsid w:val="00482B6D"/>
    <w:rsid w:val="00482B99"/>
    <w:rsid w:val="00482C69"/>
    <w:rsid w:val="00482CB7"/>
    <w:rsid w:val="00482EE0"/>
    <w:rsid w:val="00482F47"/>
    <w:rsid w:val="00482F68"/>
    <w:rsid w:val="00483048"/>
    <w:rsid w:val="00483064"/>
    <w:rsid w:val="0048311F"/>
    <w:rsid w:val="00483167"/>
    <w:rsid w:val="00483174"/>
    <w:rsid w:val="0048326C"/>
    <w:rsid w:val="0048330C"/>
    <w:rsid w:val="004833BA"/>
    <w:rsid w:val="00483486"/>
    <w:rsid w:val="0048348A"/>
    <w:rsid w:val="0048349E"/>
    <w:rsid w:val="004835A8"/>
    <w:rsid w:val="004835A9"/>
    <w:rsid w:val="004836AD"/>
    <w:rsid w:val="0048375F"/>
    <w:rsid w:val="004837B1"/>
    <w:rsid w:val="004837CF"/>
    <w:rsid w:val="004837F9"/>
    <w:rsid w:val="00483837"/>
    <w:rsid w:val="0048384A"/>
    <w:rsid w:val="00483883"/>
    <w:rsid w:val="004838A6"/>
    <w:rsid w:val="0048390F"/>
    <w:rsid w:val="00483A21"/>
    <w:rsid w:val="00483B44"/>
    <w:rsid w:val="00483BDB"/>
    <w:rsid w:val="00483C21"/>
    <w:rsid w:val="00483C88"/>
    <w:rsid w:val="00483D56"/>
    <w:rsid w:val="00483F5B"/>
    <w:rsid w:val="00483F65"/>
    <w:rsid w:val="00483F73"/>
    <w:rsid w:val="004840EC"/>
    <w:rsid w:val="00484191"/>
    <w:rsid w:val="004841EE"/>
    <w:rsid w:val="00484226"/>
    <w:rsid w:val="004843D3"/>
    <w:rsid w:val="004844E3"/>
    <w:rsid w:val="00484736"/>
    <w:rsid w:val="00484A11"/>
    <w:rsid w:val="00484A21"/>
    <w:rsid w:val="00484B43"/>
    <w:rsid w:val="00484BA7"/>
    <w:rsid w:val="00484C9B"/>
    <w:rsid w:val="00484E9F"/>
    <w:rsid w:val="00484F55"/>
    <w:rsid w:val="00484FAC"/>
    <w:rsid w:val="004851AA"/>
    <w:rsid w:val="00485270"/>
    <w:rsid w:val="00485389"/>
    <w:rsid w:val="004854DD"/>
    <w:rsid w:val="0048555A"/>
    <w:rsid w:val="0048560D"/>
    <w:rsid w:val="00485659"/>
    <w:rsid w:val="0048571A"/>
    <w:rsid w:val="004857EC"/>
    <w:rsid w:val="0048583D"/>
    <w:rsid w:val="004859A9"/>
    <w:rsid w:val="004859BD"/>
    <w:rsid w:val="00485A26"/>
    <w:rsid w:val="00485A2C"/>
    <w:rsid w:val="00485A8C"/>
    <w:rsid w:val="00485B34"/>
    <w:rsid w:val="00485C6F"/>
    <w:rsid w:val="00485CC1"/>
    <w:rsid w:val="00485D20"/>
    <w:rsid w:val="00485D74"/>
    <w:rsid w:val="00485DBF"/>
    <w:rsid w:val="00485FA8"/>
    <w:rsid w:val="00485FE9"/>
    <w:rsid w:val="00486019"/>
    <w:rsid w:val="004860FA"/>
    <w:rsid w:val="00486103"/>
    <w:rsid w:val="00486109"/>
    <w:rsid w:val="0048628F"/>
    <w:rsid w:val="0048630B"/>
    <w:rsid w:val="00486403"/>
    <w:rsid w:val="0048641C"/>
    <w:rsid w:val="004864C4"/>
    <w:rsid w:val="004864DD"/>
    <w:rsid w:val="004867A4"/>
    <w:rsid w:val="004867E2"/>
    <w:rsid w:val="004869BC"/>
    <w:rsid w:val="004869D7"/>
    <w:rsid w:val="00486A3C"/>
    <w:rsid w:val="00486B5C"/>
    <w:rsid w:val="00486C7B"/>
    <w:rsid w:val="00486CD8"/>
    <w:rsid w:val="00486D42"/>
    <w:rsid w:val="00486DE6"/>
    <w:rsid w:val="004870FA"/>
    <w:rsid w:val="0048711C"/>
    <w:rsid w:val="004871BD"/>
    <w:rsid w:val="00487606"/>
    <w:rsid w:val="00487717"/>
    <w:rsid w:val="00487756"/>
    <w:rsid w:val="004877F5"/>
    <w:rsid w:val="004877FA"/>
    <w:rsid w:val="00487806"/>
    <w:rsid w:val="004878F1"/>
    <w:rsid w:val="00487917"/>
    <w:rsid w:val="00487970"/>
    <w:rsid w:val="004879A7"/>
    <w:rsid w:val="004879AD"/>
    <w:rsid w:val="00487AB8"/>
    <w:rsid w:val="00487AFD"/>
    <w:rsid w:val="00487BF4"/>
    <w:rsid w:val="00487C93"/>
    <w:rsid w:val="00487CDD"/>
    <w:rsid w:val="00487E5A"/>
    <w:rsid w:val="00487EC6"/>
    <w:rsid w:val="00487F4A"/>
    <w:rsid w:val="0049005E"/>
    <w:rsid w:val="0049006C"/>
    <w:rsid w:val="004900AB"/>
    <w:rsid w:val="0049010B"/>
    <w:rsid w:val="0049019A"/>
    <w:rsid w:val="004901EE"/>
    <w:rsid w:val="00490225"/>
    <w:rsid w:val="004903BA"/>
    <w:rsid w:val="00490463"/>
    <w:rsid w:val="004904E4"/>
    <w:rsid w:val="00490517"/>
    <w:rsid w:val="0049052F"/>
    <w:rsid w:val="00490757"/>
    <w:rsid w:val="0049093E"/>
    <w:rsid w:val="00490A00"/>
    <w:rsid w:val="00490AE1"/>
    <w:rsid w:val="00490B07"/>
    <w:rsid w:val="00490BFA"/>
    <w:rsid w:val="00490C0C"/>
    <w:rsid w:val="00490C3D"/>
    <w:rsid w:val="00490CFE"/>
    <w:rsid w:val="00490D0B"/>
    <w:rsid w:val="00490D80"/>
    <w:rsid w:val="00490DAC"/>
    <w:rsid w:val="00490DD5"/>
    <w:rsid w:val="00490DFF"/>
    <w:rsid w:val="00490E88"/>
    <w:rsid w:val="00490F14"/>
    <w:rsid w:val="00490F52"/>
    <w:rsid w:val="00490F57"/>
    <w:rsid w:val="00490F58"/>
    <w:rsid w:val="00490FB1"/>
    <w:rsid w:val="00491044"/>
    <w:rsid w:val="004910C1"/>
    <w:rsid w:val="004910D1"/>
    <w:rsid w:val="004910DE"/>
    <w:rsid w:val="0049110E"/>
    <w:rsid w:val="00491235"/>
    <w:rsid w:val="00491302"/>
    <w:rsid w:val="00491393"/>
    <w:rsid w:val="004913A4"/>
    <w:rsid w:val="00491530"/>
    <w:rsid w:val="004915D3"/>
    <w:rsid w:val="004915F1"/>
    <w:rsid w:val="0049167B"/>
    <w:rsid w:val="004916E1"/>
    <w:rsid w:val="004916E6"/>
    <w:rsid w:val="0049171B"/>
    <w:rsid w:val="00491720"/>
    <w:rsid w:val="004917F8"/>
    <w:rsid w:val="0049185C"/>
    <w:rsid w:val="00491874"/>
    <w:rsid w:val="00491937"/>
    <w:rsid w:val="00491996"/>
    <w:rsid w:val="00491A07"/>
    <w:rsid w:val="00491A5C"/>
    <w:rsid w:val="00491A6B"/>
    <w:rsid w:val="00491B56"/>
    <w:rsid w:val="00491BDA"/>
    <w:rsid w:val="00491C01"/>
    <w:rsid w:val="00491C57"/>
    <w:rsid w:val="00491C7B"/>
    <w:rsid w:val="00491C95"/>
    <w:rsid w:val="00491C98"/>
    <w:rsid w:val="00491D05"/>
    <w:rsid w:val="00491DB5"/>
    <w:rsid w:val="00491E3D"/>
    <w:rsid w:val="00491E5E"/>
    <w:rsid w:val="00491EFF"/>
    <w:rsid w:val="00491FD7"/>
    <w:rsid w:val="0049202B"/>
    <w:rsid w:val="0049203E"/>
    <w:rsid w:val="0049206E"/>
    <w:rsid w:val="00492085"/>
    <w:rsid w:val="004921E1"/>
    <w:rsid w:val="004921EF"/>
    <w:rsid w:val="00492286"/>
    <w:rsid w:val="00492340"/>
    <w:rsid w:val="004923E0"/>
    <w:rsid w:val="004924F2"/>
    <w:rsid w:val="00492517"/>
    <w:rsid w:val="00492520"/>
    <w:rsid w:val="004925A5"/>
    <w:rsid w:val="0049275E"/>
    <w:rsid w:val="0049277D"/>
    <w:rsid w:val="004928BD"/>
    <w:rsid w:val="0049291A"/>
    <w:rsid w:val="0049298C"/>
    <w:rsid w:val="00492AB0"/>
    <w:rsid w:val="00492B6B"/>
    <w:rsid w:val="00492C76"/>
    <w:rsid w:val="00492DAC"/>
    <w:rsid w:val="00492DAE"/>
    <w:rsid w:val="00492DF0"/>
    <w:rsid w:val="00492E07"/>
    <w:rsid w:val="00492EA9"/>
    <w:rsid w:val="00492F5B"/>
    <w:rsid w:val="0049309E"/>
    <w:rsid w:val="004930EC"/>
    <w:rsid w:val="004932BF"/>
    <w:rsid w:val="004932C9"/>
    <w:rsid w:val="0049330F"/>
    <w:rsid w:val="00493310"/>
    <w:rsid w:val="00493383"/>
    <w:rsid w:val="00493556"/>
    <w:rsid w:val="004935E4"/>
    <w:rsid w:val="0049360F"/>
    <w:rsid w:val="004937D9"/>
    <w:rsid w:val="004938A9"/>
    <w:rsid w:val="00493961"/>
    <w:rsid w:val="004939B1"/>
    <w:rsid w:val="004939BF"/>
    <w:rsid w:val="004939F7"/>
    <w:rsid w:val="00493BC8"/>
    <w:rsid w:val="00493BF7"/>
    <w:rsid w:val="00493C55"/>
    <w:rsid w:val="00493C84"/>
    <w:rsid w:val="00493D75"/>
    <w:rsid w:val="00493EAB"/>
    <w:rsid w:val="00493F19"/>
    <w:rsid w:val="00493F7C"/>
    <w:rsid w:val="00493F9F"/>
    <w:rsid w:val="00493FCC"/>
    <w:rsid w:val="004942BE"/>
    <w:rsid w:val="004942D5"/>
    <w:rsid w:val="004942E8"/>
    <w:rsid w:val="004942EA"/>
    <w:rsid w:val="0049431E"/>
    <w:rsid w:val="004944AB"/>
    <w:rsid w:val="004944CF"/>
    <w:rsid w:val="004945AF"/>
    <w:rsid w:val="0049488D"/>
    <w:rsid w:val="004948B2"/>
    <w:rsid w:val="004948CC"/>
    <w:rsid w:val="00494B06"/>
    <w:rsid w:val="00494CA2"/>
    <w:rsid w:val="00494D93"/>
    <w:rsid w:val="00494D97"/>
    <w:rsid w:val="00494E61"/>
    <w:rsid w:val="00494F21"/>
    <w:rsid w:val="00494FC4"/>
    <w:rsid w:val="00495053"/>
    <w:rsid w:val="0049509B"/>
    <w:rsid w:val="00495168"/>
    <w:rsid w:val="004951C2"/>
    <w:rsid w:val="00495262"/>
    <w:rsid w:val="00495263"/>
    <w:rsid w:val="004952B4"/>
    <w:rsid w:val="004952FE"/>
    <w:rsid w:val="00495362"/>
    <w:rsid w:val="004954AA"/>
    <w:rsid w:val="004955B8"/>
    <w:rsid w:val="0049561E"/>
    <w:rsid w:val="00495621"/>
    <w:rsid w:val="00495685"/>
    <w:rsid w:val="00495695"/>
    <w:rsid w:val="00495696"/>
    <w:rsid w:val="004956B7"/>
    <w:rsid w:val="004956EE"/>
    <w:rsid w:val="00495718"/>
    <w:rsid w:val="004958B5"/>
    <w:rsid w:val="00495990"/>
    <w:rsid w:val="00495A02"/>
    <w:rsid w:val="00495A7C"/>
    <w:rsid w:val="00495ADF"/>
    <w:rsid w:val="00495B07"/>
    <w:rsid w:val="00495B2D"/>
    <w:rsid w:val="00495BB2"/>
    <w:rsid w:val="00495BEA"/>
    <w:rsid w:val="00495C08"/>
    <w:rsid w:val="00495C76"/>
    <w:rsid w:val="00495D24"/>
    <w:rsid w:val="00495E56"/>
    <w:rsid w:val="00495EE7"/>
    <w:rsid w:val="00495EE9"/>
    <w:rsid w:val="00496089"/>
    <w:rsid w:val="004960C5"/>
    <w:rsid w:val="00496210"/>
    <w:rsid w:val="0049628D"/>
    <w:rsid w:val="004962AC"/>
    <w:rsid w:val="004963A3"/>
    <w:rsid w:val="0049647F"/>
    <w:rsid w:val="004964D5"/>
    <w:rsid w:val="004964E5"/>
    <w:rsid w:val="0049654B"/>
    <w:rsid w:val="00496597"/>
    <w:rsid w:val="004965FA"/>
    <w:rsid w:val="004966BC"/>
    <w:rsid w:val="004966DF"/>
    <w:rsid w:val="0049675A"/>
    <w:rsid w:val="004967F5"/>
    <w:rsid w:val="00496811"/>
    <w:rsid w:val="0049683D"/>
    <w:rsid w:val="004968B4"/>
    <w:rsid w:val="004968CB"/>
    <w:rsid w:val="00496AC1"/>
    <w:rsid w:val="00496AF6"/>
    <w:rsid w:val="00496BC4"/>
    <w:rsid w:val="00496CD4"/>
    <w:rsid w:val="00496D10"/>
    <w:rsid w:val="00496DD2"/>
    <w:rsid w:val="00496E1E"/>
    <w:rsid w:val="00496ED7"/>
    <w:rsid w:val="00496F8C"/>
    <w:rsid w:val="00496FC3"/>
    <w:rsid w:val="004970CA"/>
    <w:rsid w:val="004970FC"/>
    <w:rsid w:val="00497116"/>
    <w:rsid w:val="00497171"/>
    <w:rsid w:val="004971BD"/>
    <w:rsid w:val="0049729D"/>
    <w:rsid w:val="004972C2"/>
    <w:rsid w:val="004972DE"/>
    <w:rsid w:val="004972E2"/>
    <w:rsid w:val="00497356"/>
    <w:rsid w:val="0049746C"/>
    <w:rsid w:val="004975D1"/>
    <w:rsid w:val="00497742"/>
    <w:rsid w:val="00497761"/>
    <w:rsid w:val="00497770"/>
    <w:rsid w:val="004977F8"/>
    <w:rsid w:val="00497830"/>
    <w:rsid w:val="004978AC"/>
    <w:rsid w:val="00497908"/>
    <w:rsid w:val="004979B2"/>
    <w:rsid w:val="00497C57"/>
    <w:rsid w:val="004A008F"/>
    <w:rsid w:val="004A00AE"/>
    <w:rsid w:val="004A01B8"/>
    <w:rsid w:val="004A026D"/>
    <w:rsid w:val="004A0285"/>
    <w:rsid w:val="004A032C"/>
    <w:rsid w:val="004A0424"/>
    <w:rsid w:val="004A05EC"/>
    <w:rsid w:val="004A067B"/>
    <w:rsid w:val="004A0737"/>
    <w:rsid w:val="004A07A7"/>
    <w:rsid w:val="004A07E9"/>
    <w:rsid w:val="004A08A7"/>
    <w:rsid w:val="004A08C9"/>
    <w:rsid w:val="004A0A45"/>
    <w:rsid w:val="004A0A66"/>
    <w:rsid w:val="004A0B19"/>
    <w:rsid w:val="004A0B4F"/>
    <w:rsid w:val="004A0B63"/>
    <w:rsid w:val="004A0C2F"/>
    <w:rsid w:val="004A0C33"/>
    <w:rsid w:val="004A0D43"/>
    <w:rsid w:val="004A0D57"/>
    <w:rsid w:val="004A0DCC"/>
    <w:rsid w:val="004A0E32"/>
    <w:rsid w:val="004A0FAA"/>
    <w:rsid w:val="004A10C6"/>
    <w:rsid w:val="004A117E"/>
    <w:rsid w:val="004A1297"/>
    <w:rsid w:val="004A1338"/>
    <w:rsid w:val="004A13BE"/>
    <w:rsid w:val="004A1419"/>
    <w:rsid w:val="004A14BB"/>
    <w:rsid w:val="004A14D9"/>
    <w:rsid w:val="004A153C"/>
    <w:rsid w:val="004A15A4"/>
    <w:rsid w:val="004A15E0"/>
    <w:rsid w:val="004A1677"/>
    <w:rsid w:val="004A171E"/>
    <w:rsid w:val="004A178D"/>
    <w:rsid w:val="004A1844"/>
    <w:rsid w:val="004A1875"/>
    <w:rsid w:val="004A18B1"/>
    <w:rsid w:val="004A1923"/>
    <w:rsid w:val="004A1971"/>
    <w:rsid w:val="004A1B38"/>
    <w:rsid w:val="004A1C9A"/>
    <w:rsid w:val="004A1CA6"/>
    <w:rsid w:val="004A1CB1"/>
    <w:rsid w:val="004A1D30"/>
    <w:rsid w:val="004A1E17"/>
    <w:rsid w:val="004A1E9E"/>
    <w:rsid w:val="004A1F46"/>
    <w:rsid w:val="004A1F55"/>
    <w:rsid w:val="004A20C0"/>
    <w:rsid w:val="004A225D"/>
    <w:rsid w:val="004A22A6"/>
    <w:rsid w:val="004A22FD"/>
    <w:rsid w:val="004A2428"/>
    <w:rsid w:val="004A24A5"/>
    <w:rsid w:val="004A2607"/>
    <w:rsid w:val="004A2657"/>
    <w:rsid w:val="004A2696"/>
    <w:rsid w:val="004A273B"/>
    <w:rsid w:val="004A2A0E"/>
    <w:rsid w:val="004A2A3F"/>
    <w:rsid w:val="004A2B4F"/>
    <w:rsid w:val="004A2CC7"/>
    <w:rsid w:val="004A3234"/>
    <w:rsid w:val="004A32B3"/>
    <w:rsid w:val="004A32E7"/>
    <w:rsid w:val="004A3393"/>
    <w:rsid w:val="004A3416"/>
    <w:rsid w:val="004A3477"/>
    <w:rsid w:val="004A3536"/>
    <w:rsid w:val="004A360C"/>
    <w:rsid w:val="004A369D"/>
    <w:rsid w:val="004A36AB"/>
    <w:rsid w:val="004A36F3"/>
    <w:rsid w:val="004A3754"/>
    <w:rsid w:val="004A37EE"/>
    <w:rsid w:val="004A384A"/>
    <w:rsid w:val="004A38AA"/>
    <w:rsid w:val="004A38D1"/>
    <w:rsid w:val="004A3A0F"/>
    <w:rsid w:val="004A3A49"/>
    <w:rsid w:val="004A3AD8"/>
    <w:rsid w:val="004A3D3C"/>
    <w:rsid w:val="004A3D43"/>
    <w:rsid w:val="004A3DAD"/>
    <w:rsid w:val="004A3DF8"/>
    <w:rsid w:val="004A3DF9"/>
    <w:rsid w:val="004A3F73"/>
    <w:rsid w:val="004A4040"/>
    <w:rsid w:val="004A4129"/>
    <w:rsid w:val="004A41F7"/>
    <w:rsid w:val="004A42AA"/>
    <w:rsid w:val="004A432A"/>
    <w:rsid w:val="004A43AC"/>
    <w:rsid w:val="004A43F6"/>
    <w:rsid w:val="004A449C"/>
    <w:rsid w:val="004A44B3"/>
    <w:rsid w:val="004A4557"/>
    <w:rsid w:val="004A45CB"/>
    <w:rsid w:val="004A4796"/>
    <w:rsid w:val="004A47B2"/>
    <w:rsid w:val="004A47BA"/>
    <w:rsid w:val="004A47C4"/>
    <w:rsid w:val="004A47CA"/>
    <w:rsid w:val="004A48DB"/>
    <w:rsid w:val="004A48E4"/>
    <w:rsid w:val="004A4BF6"/>
    <w:rsid w:val="004A4BF9"/>
    <w:rsid w:val="004A4CA1"/>
    <w:rsid w:val="004A4CC8"/>
    <w:rsid w:val="004A4CED"/>
    <w:rsid w:val="004A4D04"/>
    <w:rsid w:val="004A4ED8"/>
    <w:rsid w:val="004A4EDA"/>
    <w:rsid w:val="004A4F8D"/>
    <w:rsid w:val="004A4FE0"/>
    <w:rsid w:val="004A50B6"/>
    <w:rsid w:val="004A510C"/>
    <w:rsid w:val="004A52F2"/>
    <w:rsid w:val="004A5307"/>
    <w:rsid w:val="004A536D"/>
    <w:rsid w:val="004A539B"/>
    <w:rsid w:val="004A5472"/>
    <w:rsid w:val="004A54E9"/>
    <w:rsid w:val="004A5539"/>
    <w:rsid w:val="004A56AF"/>
    <w:rsid w:val="004A5704"/>
    <w:rsid w:val="004A59CE"/>
    <w:rsid w:val="004A5BBE"/>
    <w:rsid w:val="004A5CAC"/>
    <w:rsid w:val="004A5D6A"/>
    <w:rsid w:val="004A5D6E"/>
    <w:rsid w:val="004A5D75"/>
    <w:rsid w:val="004A5DE8"/>
    <w:rsid w:val="004A5EC3"/>
    <w:rsid w:val="004A5ED7"/>
    <w:rsid w:val="004A606B"/>
    <w:rsid w:val="004A60C7"/>
    <w:rsid w:val="004A61C3"/>
    <w:rsid w:val="004A61D8"/>
    <w:rsid w:val="004A62E6"/>
    <w:rsid w:val="004A63A7"/>
    <w:rsid w:val="004A6420"/>
    <w:rsid w:val="004A65A2"/>
    <w:rsid w:val="004A65FE"/>
    <w:rsid w:val="004A67B1"/>
    <w:rsid w:val="004A68DC"/>
    <w:rsid w:val="004A6920"/>
    <w:rsid w:val="004A6963"/>
    <w:rsid w:val="004A699B"/>
    <w:rsid w:val="004A6A07"/>
    <w:rsid w:val="004A6ADF"/>
    <w:rsid w:val="004A6B3E"/>
    <w:rsid w:val="004A6B72"/>
    <w:rsid w:val="004A6C50"/>
    <w:rsid w:val="004A6CD8"/>
    <w:rsid w:val="004A6D31"/>
    <w:rsid w:val="004A6DA6"/>
    <w:rsid w:val="004A6DE5"/>
    <w:rsid w:val="004A6E0D"/>
    <w:rsid w:val="004A6E6B"/>
    <w:rsid w:val="004A6F57"/>
    <w:rsid w:val="004A6FCC"/>
    <w:rsid w:val="004A7247"/>
    <w:rsid w:val="004A72A5"/>
    <w:rsid w:val="004A7308"/>
    <w:rsid w:val="004A731A"/>
    <w:rsid w:val="004A7322"/>
    <w:rsid w:val="004A7364"/>
    <w:rsid w:val="004A7438"/>
    <w:rsid w:val="004A743C"/>
    <w:rsid w:val="004A7622"/>
    <w:rsid w:val="004A7734"/>
    <w:rsid w:val="004A7756"/>
    <w:rsid w:val="004A7A1A"/>
    <w:rsid w:val="004A7AEE"/>
    <w:rsid w:val="004A7BFF"/>
    <w:rsid w:val="004A7C16"/>
    <w:rsid w:val="004A7DAD"/>
    <w:rsid w:val="004A7DEF"/>
    <w:rsid w:val="004A7E12"/>
    <w:rsid w:val="004A7E6D"/>
    <w:rsid w:val="004A7FA2"/>
    <w:rsid w:val="004B000D"/>
    <w:rsid w:val="004B00D0"/>
    <w:rsid w:val="004B0101"/>
    <w:rsid w:val="004B0169"/>
    <w:rsid w:val="004B01A0"/>
    <w:rsid w:val="004B01D4"/>
    <w:rsid w:val="004B0233"/>
    <w:rsid w:val="004B03C3"/>
    <w:rsid w:val="004B0423"/>
    <w:rsid w:val="004B045D"/>
    <w:rsid w:val="004B0594"/>
    <w:rsid w:val="004B069E"/>
    <w:rsid w:val="004B07B6"/>
    <w:rsid w:val="004B0819"/>
    <w:rsid w:val="004B0870"/>
    <w:rsid w:val="004B0877"/>
    <w:rsid w:val="004B09C2"/>
    <w:rsid w:val="004B0A0B"/>
    <w:rsid w:val="004B0B8B"/>
    <w:rsid w:val="004B0C1F"/>
    <w:rsid w:val="004B0C3D"/>
    <w:rsid w:val="004B0CB5"/>
    <w:rsid w:val="004B0CB6"/>
    <w:rsid w:val="004B0D39"/>
    <w:rsid w:val="004B0D55"/>
    <w:rsid w:val="004B0DD8"/>
    <w:rsid w:val="004B0DFE"/>
    <w:rsid w:val="004B0E38"/>
    <w:rsid w:val="004B0F08"/>
    <w:rsid w:val="004B1151"/>
    <w:rsid w:val="004B12B4"/>
    <w:rsid w:val="004B132A"/>
    <w:rsid w:val="004B1332"/>
    <w:rsid w:val="004B1366"/>
    <w:rsid w:val="004B1467"/>
    <w:rsid w:val="004B1494"/>
    <w:rsid w:val="004B14C8"/>
    <w:rsid w:val="004B155F"/>
    <w:rsid w:val="004B1789"/>
    <w:rsid w:val="004B1870"/>
    <w:rsid w:val="004B194B"/>
    <w:rsid w:val="004B196A"/>
    <w:rsid w:val="004B1A25"/>
    <w:rsid w:val="004B1A4E"/>
    <w:rsid w:val="004B1ACB"/>
    <w:rsid w:val="004B1B01"/>
    <w:rsid w:val="004B1B5B"/>
    <w:rsid w:val="004B1D09"/>
    <w:rsid w:val="004B1D4E"/>
    <w:rsid w:val="004B1D7F"/>
    <w:rsid w:val="004B1D91"/>
    <w:rsid w:val="004B1DE3"/>
    <w:rsid w:val="004B1E76"/>
    <w:rsid w:val="004B1FEC"/>
    <w:rsid w:val="004B2046"/>
    <w:rsid w:val="004B2056"/>
    <w:rsid w:val="004B2063"/>
    <w:rsid w:val="004B20CC"/>
    <w:rsid w:val="004B20DB"/>
    <w:rsid w:val="004B227A"/>
    <w:rsid w:val="004B22D4"/>
    <w:rsid w:val="004B22E2"/>
    <w:rsid w:val="004B2336"/>
    <w:rsid w:val="004B24CA"/>
    <w:rsid w:val="004B24F9"/>
    <w:rsid w:val="004B2518"/>
    <w:rsid w:val="004B2555"/>
    <w:rsid w:val="004B2557"/>
    <w:rsid w:val="004B2559"/>
    <w:rsid w:val="004B2603"/>
    <w:rsid w:val="004B2635"/>
    <w:rsid w:val="004B27F6"/>
    <w:rsid w:val="004B2829"/>
    <w:rsid w:val="004B2831"/>
    <w:rsid w:val="004B2955"/>
    <w:rsid w:val="004B2991"/>
    <w:rsid w:val="004B2B18"/>
    <w:rsid w:val="004B2B8E"/>
    <w:rsid w:val="004B2DEC"/>
    <w:rsid w:val="004B2E9E"/>
    <w:rsid w:val="004B2F25"/>
    <w:rsid w:val="004B2FF5"/>
    <w:rsid w:val="004B2FFD"/>
    <w:rsid w:val="004B30B9"/>
    <w:rsid w:val="004B30E5"/>
    <w:rsid w:val="004B311A"/>
    <w:rsid w:val="004B31AF"/>
    <w:rsid w:val="004B31BC"/>
    <w:rsid w:val="004B3204"/>
    <w:rsid w:val="004B32D8"/>
    <w:rsid w:val="004B3383"/>
    <w:rsid w:val="004B3677"/>
    <w:rsid w:val="004B36C0"/>
    <w:rsid w:val="004B36FB"/>
    <w:rsid w:val="004B372B"/>
    <w:rsid w:val="004B3AE2"/>
    <w:rsid w:val="004B3DA5"/>
    <w:rsid w:val="004B3DB1"/>
    <w:rsid w:val="004B3DE9"/>
    <w:rsid w:val="004B4177"/>
    <w:rsid w:val="004B41C9"/>
    <w:rsid w:val="004B42B8"/>
    <w:rsid w:val="004B466E"/>
    <w:rsid w:val="004B467C"/>
    <w:rsid w:val="004B4687"/>
    <w:rsid w:val="004B471C"/>
    <w:rsid w:val="004B47D3"/>
    <w:rsid w:val="004B47FF"/>
    <w:rsid w:val="004B48CB"/>
    <w:rsid w:val="004B4933"/>
    <w:rsid w:val="004B4A0E"/>
    <w:rsid w:val="004B4AA2"/>
    <w:rsid w:val="004B4AB4"/>
    <w:rsid w:val="004B4ADF"/>
    <w:rsid w:val="004B4B43"/>
    <w:rsid w:val="004B4CBB"/>
    <w:rsid w:val="004B4D76"/>
    <w:rsid w:val="004B4F0A"/>
    <w:rsid w:val="004B4F39"/>
    <w:rsid w:val="004B4F40"/>
    <w:rsid w:val="004B4FA7"/>
    <w:rsid w:val="004B4FC5"/>
    <w:rsid w:val="004B50A2"/>
    <w:rsid w:val="004B510D"/>
    <w:rsid w:val="004B5144"/>
    <w:rsid w:val="004B51D3"/>
    <w:rsid w:val="004B52F9"/>
    <w:rsid w:val="004B530A"/>
    <w:rsid w:val="004B5334"/>
    <w:rsid w:val="004B53F1"/>
    <w:rsid w:val="004B5444"/>
    <w:rsid w:val="004B545D"/>
    <w:rsid w:val="004B548A"/>
    <w:rsid w:val="004B5532"/>
    <w:rsid w:val="004B566A"/>
    <w:rsid w:val="004B5678"/>
    <w:rsid w:val="004B570B"/>
    <w:rsid w:val="004B5717"/>
    <w:rsid w:val="004B5752"/>
    <w:rsid w:val="004B5786"/>
    <w:rsid w:val="004B57F8"/>
    <w:rsid w:val="004B5851"/>
    <w:rsid w:val="004B58A9"/>
    <w:rsid w:val="004B5994"/>
    <w:rsid w:val="004B599C"/>
    <w:rsid w:val="004B5B66"/>
    <w:rsid w:val="004B5BBC"/>
    <w:rsid w:val="004B5C32"/>
    <w:rsid w:val="004B5C56"/>
    <w:rsid w:val="004B5C61"/>
    <w:rsid w:val="004B5C67"/>
    <w:rsid w:val="004B5C87"/>
    <w:rsid w:val="004B5D4E"/>
    <w:rsid w:val="004B5E4C"/>
    <w:rsid w:val="004B5F97"/>
    <w:rsid w:val="004B6019"/>
    <w:rsid w:val="004B60A7"/>
    <w:rsid w:val="004B6169"/>
    <w:rsid w:val="004B63EB"/>
    <w:rsid w:val="004B63EE"/>
    <w:rsid w:val="004B6460"/>
    <w:rsid w:val="004B65C1"/>
    <w:rsid w:val="004B660B"/>
    <w:rsid w:val="004B667B"/>
    <w:rsid w:val="004B6734"/>
    <w:rsid w:val="004B67AC"/>
    <w:rsid w:val="004B68AE"/>
    <w:rsid w:val="004B6915"/>
    <w:rsid w:val="004B6930"/>
    <w:rsid w:val="004B693A"/>
    <w:rsid w:val="004B6948"/>
    <w:rsid w:val="004B69C3"/>
    <w:rsid w:val="004B6A1F"/>
    <w:rsid w:val="004B6A2B"/>
    <w:rsid w:val="004B6A4C"/>
    <w:rsid w:val="004B6A51"/>
    <w:rsid w:val="004B6B34"/>
    <w:rsid w:val="004B6BDF"/>
    <w:rsid w:val="004B6C6A"/>
    <w:rsid w:val="004B6CE5"/>
    <w:rsid w:val="004B6D24"/>
    <w:rsid w:val="004B6E3D"/>
    <w:rsid w:val="004B6EC4"/>
    <w:rsid w:val="004B6F24"/>
    <w:rsid w:val="004B6FF8"/>
    <w:rsid w:val="004B700D"/>
    <w:rsid w:val="004B729A"/>
    <w:rsid w:val="004B731D"/>
    <w:rsid w:val="004B7433"/>
    <w:rsid w:val="004B752D"/>
    <w:rsid w:val="004B758A"/>
    <w:rsid w:val="004B764F"/>
    <w:rsid w:val="004B766A"/>
    <w:rsid w:val="004B76D2"/>
    <w:rsid w:val="004B7707"/>
    <w:rsid w:val="004B7722"/>
    <w:rsid w:val="004B772C"/>
    <w:rsid w:val="004B77C7"/>
    <w:rsid w:val="004B799A"/>
    <w:rsid w:val="004B79DF"/>
    <w:rsid w:val="004B79FE"/>
    <w:rsid w:val="004B7C1D"/>
    <w:rsid w:val="004B7D15"/>
    <w:rsid w:val="004B7DAF"/>
    <w:rsid w:val="004B7EDF"/>
    <w:rsid w:val="004B7F94"/>
    <w:rsid w:val="004C00B6"/>
    <w:rsid w:val="004C01B9"/>
    <w:rsid w:val="004C01C9"/>
    <w:rsid w:val="004C01FF"/>
    <w:rsid w:val="004C0289"/>
    <w:rsid w:val="004C02B1"/>
    <w:rsid w:val="004C03C8"/>
    <w:rsid w:val="004C046F"/>
    <w:rsid w:val="004C04AB"/>
    <w:rsid w:val="004C04DA"/>
    <w:rsid w:val="004C0542"/>
    <w:rsid w:val="004C05F2"/>
    <w:rsid w:val="004C064A"/>
    <w:rsid w:val="004C0A2C"/>
    <w:rsid w:val="004C0C76"/>
    <w:rsid w:val="004C0DFC"/>
    <w:rsid w:val="004C0E15"/>
    <w:rsid w:val="004C0E5F"/>
    <w:rsid w:val="004C0E8A"/>
    <w:rsid w:val="004C0F37"/>
    <w:rsid w:val="004C0F72"/>
    <w:rsid w:val="004C1004"/>
    <w:rsid w:val="004C10AE"/>
    <w:rsid w:val="004C10F9"/>
    <w:rsid w:val="004C112F"/>
    <w:rsid w:val="004C1183"/>
    <w:rsid w:val="004C11EE"/>
    <w:rsid w:val="004C13EF"/>
    <w:rsid w:val="004C15C5"/>
    <w:rsid w:val="004C165B"/>
    <w:rsid w:val="004C1710"/>
    <w:rsid w:val="004C1846"/>
    <w:rsid w:val="004C1950"/>
    <w:rsid w:val="004C1966"/>
    <w:rsid w:val="004C1A1C"/>
    <w:rsid w:val="004C1AF0"/>
    <w:rsid w:val="004C1B6E"/>
    <w:rsid w:val="004C1C49"/>
    <w:rsid w:val="004C1C64"/>
    <w:rsid w:val="004C1C73"/>
    <w:rsid w:val="004C1E05"/>
    <w:rsid w:val="004C1E3B"/>
    <w:rsid w:val="004C1E95"/>
    <w:rsid w:val="004C1ED1"/>
    <w:rsid w:val="004C1F89"/>
    <w:rsid w:val="004C20CF"/>
    <w:rsid w:val="004C213A"/>
    <w:rsid w:val="004C21A3"/>
    <w:rsid w:val="004C2234"/>
    <w:rsid w:val="004C22CB"/>
    <w:rsid w:val="004C23CC"/>
    <w:rsid w:val="004C23E9"/>
    <w:rsid w:val="004C248F"/>
    <w:rsid w:val="004C24C1"/>
    <w:rsid w:val="004C25C8"/>
    <w:rsid w:val="004C25E7"/>
    <w:rsid w:val="004C25FB"/>
    <w:rsid w:val="004C2731"/>
    <w:rsid w:val="004C2958"/>
    <w:rsid w:val="004C2968"/>
    <w:rsid w:val="004C29C6"/>
    <w:rsid w:val="004C29E5"/>
    <w:rsid w:val="004C2A13"/>
    <w:rsid w:val="004C2A9B"/>
    <w:rsid w:val="004C2B16"/>
    <w:rsid w:val="004C2B7F"/>
    <w:rsid w:val="004C2CC8"/>
    <w:rsid w:val="004C2E4B"/>
    <w:rsid w:val="004C2F1E"/>
    <w:rsid w:val="004C2F5E"/>
    <w:rsid w:val="004C2FAE"/>
    <w:rsid w:val="004C2FBF"/>
    <w:rsid w:val="004C2FC2"/>
    <w:rsid w:val="004C3011"/>
    <w:rsid w:val="004C30CE"/>
    <w:rsid w:val="004C310F"/>
    <w:rsid w:val="004C312B"/>
    <w:rsid w:val="004C32E2"/>
    <w:rsid w:val="004C330F"/>
    <w:rsid w:val="004C3397"/>
    <w:rsid w:val="004C34AF"/>
    <w:rsid w:val="004C358B"/>
    <w:rsid w:val="004C35FA"/>
    <w:rsid w:val="004C3614"/>
    <w:rsid w:val="004C3650"/>
    <w:rsid w:val="004C372F"/>
    <w:rsid w:val="004C3879"/>
    <w:rsid w:val="004C392A"/>
    <w:rsid w:val="004C3958"/>
    <w:rsid w:val="004C39BD"/>
    <w:rsid w:val="004C39CB"/>
    <w:rsid w:val="004C3ABD"/>
    <w:rsid w:val="004C3ACA"/>
    <w:rsid w:val="004C3B55"/>
    <w:rsid w:val="004C3BF6"/>
    <w:rsid w:val="004C3C3F"/>
    <w:rsid w:val="004C3C66"/>
    <w:rsid w:val="004C3CDB"/>
    <w:rsid w:val="004C3D72"/>
    <w:rsid w:val="004C3E96"/>
    <w:rsid w:val="004C3EB4"/>
    <w:rsid w:val="004C43D1"/>
    <w:rsid w:val="004C44D7"/>
    <w:rsid w:val="004C454D"/>
    <w:rsid w:val="004C458B"/>
    <w:rsid w:val="004C45B4"/>
    <w:rsid w:val="004C45FF"/>
    <w:rsid w:val="004C4917"/>
    <w:rsid w:val="004C4AC9"/>
    <w:rsid w:val="004C4BCC"/>
    <w:rsid w:val="004C4D30"/>
    <w:rsid w:val="004C4E6C"/>
    <w:rsid w:val="004C4E97"/>
    <w:rsid w:val="004C4EE0"/>
    <w:rsid w:val="004C4FFB"/>
    <w:rsid w:val="004C5207"/>
    <w:rsid w:val="004C53E2"/>
    <w:rsid w:val="004C53E8"/>
    <w:rsid w:val="004C53F9"/>
    <w:rsid w:val="004C54A1"/>
    <w:rsid w:val="004C5591"/>
    <w:rsid w:val="004C57C7"/>
    <w:rsid w:val="004C5864"/>
    <w:rsid w:val="004C586E"/>
    <w:rsid w:val="004C5A8E"/>
    <w:rsid w:val="004C5BE5"/>
    <w:rsid w:val="004C5D8F"/>
    <w:rsid w:val="004C5F0B"/>
    <w:rsid w:val="004C5F96"/>
    <w:rsid w:val="004C5FB8"/>
    <w:rsid w:val="004C5FC8"/>
    <w:rsid w:val="004C5FF6"/>
    <w:rsid w:val="004C5FFC"/>
    <w:rsid w:val="004C6198"/>
    <w:rsid w:val="004C61C3"/>
    <w:rsid w:val="004C6251"/>
    <w:rsid w:val="004C6296"/>
    <w:rsid w:val="004C635D"/>
    <w:rsid w:val="004C6499"/>
    <w:rsid w:val="004C64E4"/>
    <w:rsid w:val="004C65FA"/>
    <w:rsid w:val="004C661F"/>
    <w:rsid w:val="004C664F"/>
    <w:rsid w:val="004C6808"/>
    <w:rsid w:val="004C6861"/>
    <w:rsid w:val="004C68D7"/>
    <w:rsid w:val="004C6931"/>
    <w:rsid w:val="004C6961"/>
    <w:rsid w:val="004C697F"/>
    <w:rsid w:val="004C69A2"/>
    <w:rsid w:val="004C6A0D"/>
    <w:rsid w:val="004C6A36"/>
    <w:rsid w:val="004C6A5B"/>
    <w:rsid w:val="004C6B84"/>
    <w:rsid w:val="004C6C5C"/>
    <w:rsid w:val="004C6D1C"/>
    <w:rsid w:val="004C6DB6"/>
    <w:rsid w:val="004C6DDB"/>
    <w:rsid w:val="004C6F28"/>
    <w:rsid w:val="004C6F30"/>
    <w:rsid w:val="004C6F93"/>
    <w:rsid w:val="004C6FB3"/>
    <w:rsid w:val="004C7028"/>
    <w:rsid w:val="004C7055"/>
    <w:rsid w:val="004C709F"/>
    <w:rsid w:val="004C7210"/>
    <w:rsid w:val="004C725D"/>
    <w:rsid w:val="004C72A0"/>
    <w:rsid w:val="004C7324"/>
    <w:rsid w:val="004C734E"/>
    <w:rsid w:val="004C760C"/>
    <w:rsid w:val="004C763E"/>
    <w:rsid w:val="004C76AC"/>
    <w:rsid w:val="004C76C5"/>
    <w:rsid w:val="004C76D7"/>
    <w:rsid w:val="004C7746"/>
    <w:rsid w:val="004C78C6"/>
    <w:rsid w:val="004C7B00"/>
    <w:rsid w:val="004C7B06"/>
    <w:rsid w:val="004C7BB0"/>
    <w:rsid w:val="004C7D0F"/>
    <w:rsid w:val="004C7D27"/>
    <w:rsid w:val="004C7E8F"/>
    <w:rsid w:val="004D0043"/>
    <w:rsid w:val="004D00F3"/>
    <w:rsid w:val="004D0147"/>
    <w:rsid w:val="004D026D"/>
    <w:rsid w:val="004D02A8"/>
    <w:rsid w:val="004D02E4"/>
    <w:rsid w:val="004D032D"/>
    <w:rsid w:val="004D0343"/>
    <w:rsid w:val="004D03CA"/>
    <w:rsid w:val="004D03F2"/>
    <w:rsid w:val="004D03FA"/>
    <w:rsid w:val="004D041F"/>
    <w:rsid w:val="004D056E"/>
    <w:rsid w:val="004D087C"/>
    <w:rsid w:val="004D08D2"/>
    <w:rsid w:val="004D0927"/>
    <w:rsid w:val="004D09B0"/>
    <w:rsid w:val="004D0A1C"/>
    <w:rsid w:val="004D0AA3"/>
    <w:rsid w:val="004D0ABC"/>
    <w:rsid w:val="004D0AF6"/>
    <w:rsid w:val="004D0B0E"/>
    <w:rsid w:val="004D0B2E"/>
    <w:rsid w:val="004D0B96"/>
    <w:rsid w:val="004D0BFC"/>
    <w:rsid w:val="004D0CAF"/>
    <w:rsid w:val="004D0CB2"/>
    <w:rsid w:val="004D0CF6"/>
    <w:rsid w:val="004D0F1D"/>
    <w:rsid w:val="004D0F6D"/>
    <w:rsid w:val="004D0FC1"/>
    <w:rsid w:val="004D106F"/>
    <w:rsid w:val="004D108C"/>
    <w:rsid w:val="004D10DA"/>
    <w:rsid w:val="004D11BD"/>
    <w:rsid w:val="004D129D"/>
    <w:rsid w:val="004D12B4"/>
    <w:rsid w:val="004D12F0"/>
    <w:rsid w:val="004D130B"/>
    <w:rsid w:val="004D1371"/>
    <w:rsid w:val="004D14CC"/>
    <w:rsid w:val="004D14ED"/>
    <w:rsid w:val="004D1727"/>
    <w:rsid w:val="004D172B"/>
    <w:rsid w:val="004D1822"/>
    <w:rsid w:val="004D18B6"/>
    <w:rsid w:val="004D18C5"/>
    <w:rsid w:val="004D18DB"/>
    <w:rsid w:val="004D18DD"/>
    <w:rsid w:val="004D1B41"/>
    <w:rsid w:val="004D1C10"/>
    <w:rsid w:val="004D1C59"/>
    <w:rsid w:val="004D1C77"/>
    <w:rsid w:val="004D1DCC"/>
    <w:rsid w:val="004D1E04"/>
    <w:rsid w:val="004D1E1B"/>
    <w:rsid w:val="004D1E2F"/>
    <w:rsid w:val="004D1E5E"/>
    <w:rsid w:val="004D1FDB"/>
    <w:rsid w:val="004D20E0"/>
    <w:rsid w:val="004D2236"/>
    <w:rsid w:val="004D2280"/>
    <w:rsid w:val="004D24B9"/>
    <w:rsid w:val="004D24E0"/>
    <w:rsid w:val="004D2542"/>
    <w:rsid w:val="004D25CD"/>
    <w:rsid w:val="004D263F"/>
    <w:rsid w:val="004D265B"/>
    <w:rsid w:val="004D26B1"/>
    <w:rsid w:val="004D2774"/>
    <w:rsid w:val="004D2776"/>
    <w:rsid w:val="004D277C"/>
    <w:rsid w:val="004D27B4"/>
    <w:rsid w:val="004D2808"/>
    <w:rsid w:val="004D2851"/>
    <w:rsid w:val="004D28EC"/>
    <w:rsid w:val="004D292B"/>
    <w:rsid w:val="004D298F"/>
    <w:rsid w:val="004D29F0"/>
    <w:rsid w:val="004D2A25"/>
    <w:rsid w:val="004D2AE8"/>
    <w:rsid w:val="004D2AEC"/>
    <w:rsid w:val="004D2B7D"/>
    <w:rsid w:val="004D2CFF"/>
    <w:rsid w:val="004D2D60"/>
    <w:rsid w:val="004D2E34"/>
    <w:rsid w:val="004D2E45"/>
    <w:rsid w:val="004D2E4A"/>
    <w:rsid w:val="004D2E7A"/>
    <w:rsid w:val="004D2EBC"/>
    <w:rsid w:val="004D2F7C"/>
    <w:rsid w:val="004D2FAA"/>
    <w:rsid w:val="004D2FBE"/>
    <w:rsid w:val="004D3095"/>
    <w:rsid w:val="004D31C6"/>
    <w:rsid w:val="004D3228"/>
    <w:rsid w:val="004D3271"/>
    <w:rsid w:val="004D32C9"/>
    <w:rsid w:val="004D34F0"/>
    <w:rsid w:val="004D3563"/>
    <w:rsid w:val="004D3589"/>
    <w:rsid w:val="004D3600"/>
    <w:rsid w:val="004D363F"/>
    <w:rsid w:val="004D3837"/>
    <w:rsid w:val="004D3845"/>
    <w:rsid w:val="004D39F5"/>
    <w:rsid w:val="004D3A03"/>
    <w:rsid w:val="004D3ABB"/>
    <w:rsid w:val="004D3ABF"/>
    <w:rsid w:val="004D3C64"/>
    <w:rsid w:val="004D3CD9"/>
    <w:rsid w:val="004D3CED"/>
    <w:rsid w:val="004D3CFA"/>
    <w:rsid w:val="004D3D75"/>
    <w:rsid w:val="004D3DE9"/>
    <w:rsid w:val="004D3F86"/>
    <w:rsid w:val="004D401B"/>
    <w:rsid w:val="004D4125"/>
    <w:rsid w:val="004D42C0"/>
    <w:rsid w:val="004D438F"/>
    <w:rsid w:val="004D43AB"/>
    <w:rsid w:val="004D43FC"/>
    <w:rsid w:val="004D44E4"/>
    <w:rsid w:val="004D4564"/>
    <w:rsid w:val="004D45C4"/>
    <w:rsid w:val="004D46FE"/>
    <w:rsid w:val="004D475D"/>
    <w:rsid w:val="004D485A"/>
    <w:rsid w:val="004D4913"/>
    <w:rsid w:val="004D4918"/>
    <w:rsid w:val="004D491A"/>
    <w:rsid w:val="004D495E"/>
    <w:rsid w:val="004D4A7C"/>
    <w:rsid w:val="004D4A9F"/>
    <w:rsid w:val="004D4C13"/>
    <w:rsid w:val="004D4C1C"/>
    <w:rsid w:val="004D4C2D"/>
    <w:rsid w:val="004D4C63"/>
    <w:rsid w:val="004D4EC4"/>
    <w:rsid w:val="004D4F77"/>
    <w:rsid w:val="004D4F81"/>
    <w:rsid w:val="004D5168"/>
    <w:rsid w:val="004D51B5"/>
    <w:rsid w:val="004D52AC"/>
    <w:rsid w:val="004D5498"/>
    <w:rsid w:val="004D5707"/>
    <w:rsid w:val="004D573C"/>
    <w:rsid w:val="004D57B4"/>
    <w:rsid w:val="004D594B"/>
    <w:rsid w:val="004D5A7A"/>
    <w:rsid w:val="004D5AC0"/>
    <w:rsid w:val="004D5B2F"/>
    <w:rsid w:val="004D5CB9"/>
    <w:rsid w:val="004D5CDF"/>
    <w:rsid w:val="004D5D21"/>
    <w:rsid w:val="004D5D76"/>
    <w:rsid w:val="004D5D80"/>
    <w:rsid w:val="004D5D92"/>
    <w:rsid w:val="004D5E63"/>
    <w:rsid w:val="004D5E7F"/>
    <w:rsid w:val="004D5EE1"/>
    <w:rsid w:val="004D6127"/>
    <w:rsid w:val="004D61BC"/>
    <w:rsid w:val="004D6218"/>
    <w:rsid w:val="004D6270"/>
    <w:rsid w:val="004D62FF"/>
    <w:rsid w:val="004D63B9"/>
    <w:rsid w:val="004D642A"/>
    <w:rsid w:val="004D6433"/>
    <w:rsid w:val="004D6466"/>
    <w:rsid w:val="004D64A9"/>
    <w:rsid w:val="004D6593"/>
    <w:rsid w:val="004D65C6"/>
    <w:rsid w:val="004D66A3"/>
    <w:rsid w:val="004D66CB"/>
    <w:rsid w:val="004D67C4"/>
    <w:rsid w:val="004D68D4"/>
    <w:rsid w:val="004D6C33"/>
    <w:rsid w:val="004D6D25"/>
    <w:rsid w:val="004D6D5F"/>
    <w:rsid w:val="004D6E67"/>
    <w:rsid w:val="004D6E8F"/>
    <w:rsid w:val="004D6EA8"/>
    <w:rsid w:val="004D6EB1"/>
    <w:rsid w:val="004D6F6B"/>
    <w:rsid w:val="004D7048"/>
    <w:rsid w:val="004D7184"/>
    <w:rsid w:val="004D724E"/>
    <w:rsid w:val="004D726F"/>
    <w:rsid w:val="004D72CA"/>
    <w:rsid w:val="004D734F"/>
    <w:rsid w:val="004D73A2"/>
    <w:rsid w:val="004D7412"/>
    <w:rsid w:val="004D7448"/>
    <w:rsid w:val="004D7486"/>
    <w:rsid w:val="004D74C1"/>
    <w:rsid w:val="004D74E9"/>
    <w:rsid w:val="004D7525"/>
    <w:rsid w:val="004D756A"/>
    <w:rsid w:val="004D7675"/>
    <w:rsid w:val="004D769D"/>
    <w:rsid w:val="004D76A0"/>
    <w:rsid w:val="004D76B0"/>
    <w:rsid w:val="004D78C0"/>
    <w:rsid w:val="004D78C7"/>
    <w:rsid w:val="004D7D4F"/>
    <w:rsid w:val="004D7DE0"/>
    <w:rsid w:val="004D7E5B"/>
    <w:rsid w:val="004D7F23"/>
    <w:rsid w:val="004D7F5D"/>
    <w:rsid w:val="004D7FE4"/>
    <w:rsid w:val="004E000A"/>
    <w:rsid w:val="004E0124"/>
    <w:rsid w:val="004E0212"/>
    <w:rsid w:val="004E02B8"/>
    <w:rsid w:val="004E0303"/>
    <w:rsid w:val="004E034E"/>
    <w:rsid w:val="004E04C2"/>
    <w:rsid w:val="004E076E"/>
    <w:rsid w:val="004E078E"/>
    <w:rsid w:val="004E093D"/>
    <w:rsid w:val="004E098F"/>
    <w:rsid w:val="004E0A0B"/>
    <w:rsid w:val="004E0A35"/>
    <w:rsid w:val="004E0BB1"/>
    <w:rsid w:val="004E0EBE"/>
    <w:rsid w:val="004E0F98"/>
    <w:rsid w:val="004E0F9B"/>
    <w:rsid w:val="004E0FED"/>
    <w:rsid w:val="004E1021"/>
    <w:rsid w:val="004E1024"/>
    <w:rsid w:val="004E103D"/>
    <w:rsid w:val="004E10F8"/>
    <w:rsid w:val="004E1185"/>
    <w:rsid w:val="004E1253"/>
    <w:rsid w:val="004E1255"/>
    <w:rsid w:val="004E1308"/>
    <w:rsid w:val="004E1356"/>
    <w:rsid w:val="004E14C4"/>
    <w:rsid w:val="004E14ED"/>
    <w:rsid w:val="004E1526"/>
    <w:rsid w:val="004E1578"/>
    <w:rsid w:val="004E158D"/>
    <w:rsid w:val="004E166F"/>
    <w:rsid w:val="004E168D"/>
    <w:rsid w:val="004E169B"/>
    <w:rsid w:val="004E1786"/>
    <w:rsid w:val="004E17CF"/>
    <w:rsid w:val="004E1969"/>
    <w:rsid w:val="004E198B"/>
    <w:rsid w:val="004E1A79"/>
    <w:rsid w:val="004E1A7A"/>
    <w:rsid w:val="004E1B10"/>
    <w:rsid w:val="004E1BD7"/>
    <w:rsid w:val="004E1C2F"/>
    <w:rsid w:val="004E1DDC"/>
    <w:rsid w:val="004E1E22"/>
    <w:rsid w:val="004E1E87"/>
    <w:rsid w:val="004E1ECF"/>
    <w:rsid w:val="004E1F34"/>
    <w:rsid w:val="004E1F89"/>
    <w:rsid w:val="004E20A5"/>
    <w:rsid w:val="004E2123"/>
    <w:rsid w:val="004E217B"/>
    <w:rsid w:val="004E2416"/>
    <w:rsid w:val="004E24EB"/>
    <w:rsid w:val="004E25D1"/>
    <w:rsid w:val="004E2672"/>
    <w:rsid w:val="004E26B2"/>
    <w:rsid w:val="004E2776"/>
    <w:rsid w:val="004E28AF"/>
    <w:rsid w:val="004E2A28"/>
    <w:rsid w:val="004E2C45"/>
    <w:rsid w:val="004E2CEE"/>
    <w:rsid w:val="004E2D03"/>
    <w:rsid w:val="004E2D2E"/>
    <w:rsid w:val="004E2E9B"/>
    <w:rsid w:val="004E2EA7"/>
    <w:rsid w:val="004E2ED8"/>
    <w:rsid w:val="004E2F87"/>
    <w:rsid w:val="004E2FBE"/>
    <w:rsid w:val="004E3005"/>
    <w:rsid w:val="004E3008"/>
    <w:rsid w:val="004E30E2"/>
    <w:rsid w:val="004E31EA"/>
    <w:rsid w:val="004E3228"/>
    <w:rsid w:val="004E328C"/>
    <w:rsid w:val="004E32B3"/>
    <w:rsid w:val="004E32E7"/>
    <w:rsid w:val="004E333E"/>
    <w:rsid w:val="004E3394"/>
    <w:rsid w:val="004E33FF"/>
    <w:rsid w:val="004E3458"/>
    <w:rsid w:val="004E34DC"/>
    <w:rsid w:val="004E35E4"/>
    <w:rsid w:val="004E3626"/>
    <w:rsid w:val="004E3661"/>
    <w:rsid w:val="004E36D3"/>
    <w:rsid w:val="004E3862"/>
    <w:rsid w:val="004E3868"/>
    <w:rsid w:val="004E3956"/>
    <w:rsid w:val="004E3A44"/>
    <w:rsid w:val="004E3A45"/>
    <w:rsid w:val="004E3B30"/>
    <w:rsid w:val="004E3BE2"/>
    <w:rsid w:val="004E3C57"/>
    <w:rsid w:val="004E3CCE"/>
    <w:rsid w:val="004E3CDC"/>
    <w:rsid w:val="004E3D25"/>
    <w:rsid w:val="004E3D3F"/>
    <w:rsid w:val="004E3D8C"/>
    <w:rsid w:val="004E3E3E"/>
    <w:rsid w:val="004E3F27"/>
    <w:rsid w:val="004E3F7F"/>
    <w:rsid w:val="004E3FF3"/>
    <w:rsid w:val="004E404A"/>
    <w:rsid w:val="004E4146"/>
    <w:rsid w:val="004E4227"/>
    <w:rsid w:val="004E4289"/>
    <w:rsid w:val="004E4297"/>
    <w:rsid w:val="004E4330"/>
    <w:rsid w:val="004E43BF"/>
    <w:rsid w:val="004E442B"/>
    <w:rsid w:val="004E4435"/>
    <w:rsid w:val="004E46CF"/>
    <w:rsid w:val="004E47D9"/>
    <w:rsid w:val="004E4823"/>
    <w:rsid w:val="004E4831"/>
    <w:rsid w:val="004E4980"/>
    <w:rsid w:val="004E4A80"/>
    <w:rsid w:val="004E4BCE"/>
    <w:rsid w:val="004E4BD5"/>
    <w:rsid w:val="004E4C17"/>
    <w:rsid w:val="004E4C92"/>
    <w:rsid w:val="004E4E08"/>
    <w:rsid w:val="004E4EEB"/>
    <w:rsid w:val="004E4F1B"/>
    <w:rsid w:val="004E4F56"/>
    <w:rsid w:val="004E51CC"/>
    <w:rsid w:val="004E5260"/>
    <w:rsid w:val="004E52E3"/>
    <w:rsid w:val="004E5330"/>
    <w:rsid w:val="004E538C"/>
    <w:rsid w:val="004E5459"/>
    <w:rsid w:val="004E5500"/>
    <w:rsid w:val="004E5566"/>
    <w:rsid w:val="004E55AF"/>
    <w:rsid w:val="004E5661"/>
    <w:rsid w:val="004E56CB"/>
    <w:rsid w:val="004E56CE"/>
    <w:rsid w:val="004E56E2"/>
    <w:rsid w:val="004E58C8"/>
    <w:rsid w:val="004E58DE"/>
    <w:rsid w:val="004E59B8"/>
    <w:rsid w:val="004E5AED"/>
    <w:rsid w:val="004E5B7E"/>
    <w:rsid w:val="004E5BAE"/>
    <w:rsid w:val="004E5BD2"/>
    <w:rsid w:val="004E5C4F"/>
    <w:rsid w:val="004E5C6C"/>
    <w:rsid w:val="004E5D14"/>
    <w:rsid w:val="004E5D1D"/>
    <w:rsid w:val="004E5D7F"/>
    <w:rsid w:val="004E5E3A"/>
    <w:rsid w:val="004E5EA7"/>
    <w:rsid w:val="004E5F09"/>
    <w:rsid w:val="004E5FFA"/>
    <w:rsid w:val="004E600B"/>
    <w:rsid w:val="004E606E"/>
    <w:rsid w:val="004E60FB"/>
    <w:rsid w:val="004E628B"/>
    <w:rsid w:val="004E6343"/>
    <w:rsid w:val="004E63FB"/>
    <w:rsid w:val="004E6429"/>
    <w:rsid w:val="004E64EC"/>
    <w:rsid w:val="004E653E"/>
    <w:rsid w:val="004E659C"/>
    <w:rsid w:val="004E6654"/>
    <w:rsid w:val="004E669A"/>
    <w:rsid w:val="004E67D3"/>
    <w:rsid w:val="004E67E0"/>
    <w:rsid w:val="004E69C7"/>
    <w:rsid w:val="004E69EA"/>
    <w:rsid w:val="004E6B3B"/>
    <w:rsid w:val="004E6CBD"/>
    <w:rsid w:val="004E6D01"/>
    <w:rsid w:val="004E6D60"/>
    <w:rsid w:val="004E6ECB"/>
    <w:rsid w:val="004E6EE0"/>
    <w:rsid w:val="004E6F4E"/>
    <w:rsid w:val="004E6F86"/>
    <w:rsid w:val="004E700A"/>
    <w:rsid w:val="004E7134"/>
    <w:rsid w:val="004E7138"/>
    <w:rsid w:val="004E71A8"/>
    <w:rsid w:val="004E71AB"/>
    <w:rsid w:val="004E71DD"/>
    <w:rsid w:val="004E7233"/>
    <w:rsid w:val="004E7452"/>
    <w:rsid w:val="004E749B"/>
    <w:rsid w:val="004E7691"/>
    <w:rsid w:val="004E76ED"/>
    <w:rsid w:val="004E7740"/>
    <w:rsid w:val="004E7773"/>
    <w:rsid w:val="004E7866"/>
    <w:rsid w:val="004E78C3"/>
    <w:rsid w:val="004E79DD"/>
    <w:rsid w:val="004E7A92"/>
    <w:rsid w:val="004E7B9D"/>
    <w:rsid w:val="004E7C67"/>
    <w:rsid w:val="004E7CD1"/>
    <w:rsid w:val="004E7CF7"/>
    <w:rsid w:val="004E7D9F"/>
    <w:rsid w:val="004E7FE9"/>
    <w:rsid w:val="004E7FFB"/>
    <w:rsid w:val="004F00D6"/>
    <w:rsid w:val="004F0128"/>
    <w:rsid w:val="004F016B"/>
    <w:rsid w:val="004F01A6"/>
    <w:rsid w:val="004F02B5"/>
    <w:rsid w:val="004F02E8"/>
    <w:rsid w:val="004F04C6"/>
    <w:rsid w:val="004F04E6"/>
    <w:rsid w:val="004F0530"/>
    <w:rsid w:val="004F061B"/>
    <w:rsid w:val="004F065C"/>
    <w:rsid w:val="004F073D"/>
    <w:rsid w:val="004F078D"/>
    <w:rsid w:val="004F081A"/>
    <w:rsid w:val="004F082F"/>
    <w:rsid w:val="004F09DB"/>
    <w:rsid w:val="004F0A12"/>
    <w:rsid w:val="004F0A5E"/>
    <w:rsid w:val="004F0B25"/>
    <w:rsid w:val="004F0B51"/>
    <w:rsid w:val="004F0B60"/>
    <w:rsid w:val="004F0B6F"/>
    <w:rsid w:val="004F0C61"/>
    <w:rsid w:val="004F0CAB"/>
    <w:rsid w:val="004F0CE9"/>
    <w:rsid w:val="004F0D8E"/>
    <w:rsid w:val="004F0E85"/>
    <w:rsid w:val="004F0EA7"/>
    <w:rsid w:val="004F0EFF"/>
    <w:rsid w:val="004F0F0E"/>
    <w:rsid w:val="004F0F12"/>
    <w:rsid w:val="004F0F1F"/>
    <w:rsid w:val="004F0F7A"/>
    <w:rsid w:val="004F0F9D"/>
    <w:rsid w:val="004F0FE5"/>
    <w:rsid w:val="004F101C"/>
    <w:rsid w:val="004F1040"/>
    <w:rsid w:val="004F1048"/>
    <w:rsid w:val="004F1108"/>
    <w:rsid w:val="004F11AE"/>
    <w:rsid w:val="004F11C8"/>
    <w:rsid w:val="004F123F"/>
    <w:rsid w:val="004F1291"/>
    <w:rsid w:val="004F1302"/>
    <w:rsid w:val="004F1348"/>
    <w:rsid w:val="004F13CA"/>
    <w:rsid w:val="004F15F9"/>
    <w:rsid w:val="004F1646"/>
    <w:rsid w:val="004F16D5"/>
    <w:rsid w:val="004F171C"/>
    <w:rsid w:val="004F179A"/>
    <w:rsid w:val="004F17BD"/>
    <w:rsid w:val="004F17BE"/>
    <w:rsid w:val="004F18A3"/>
    <w:rsid w:val="004F19C3"/>
    <w:rsid w:val="004F19DC"/>
    <w:rsid w:val="004F1AC7"/>
    <w:rsid w:val="004F1B26"/>
    <w:rsid w:val="004F1B30"/>
    <w:rsid w:val="004F1B46"/>
    <w:rsid w:val="004F1BA6"/>
    <w:rsid w:val="004F1C7C"/>
    <w:rsid w:val="004F1CC2"/>
    <w:rsid w:val="004F1D72"/>
    <w:rsid w:val="004F1F4F"/>
    <w:rsid w:val="004F20DF"/>
    <w:rsid w:val="004F2139"/>
    <w:rsid w:val="004F214C"/>
    <w:rsid w:val="004F21A6"/>
    <w:rsid w:val="004F22CB"/>
    <w:rsid w:val="004F22E7"/>
    <w:rsid w:val="004F2441"/>
    <w:rsid w:val="004F245C"/>
    <w:rsid w:val="004F2557"/>
    <w:rsid w:val="004F26D0"/>
    <w:rsid w:val="004F2791"/>
    <w:rsid w:val="004F283E"/>
    <w:rsid w:val="004F289B"/>
    <w:rsid w:val="004F2907"/>
    <w:rsid w:val="004F2C18"/>
    <w:rsid w:val="004F2C2E"/>
    <w:rsid w:val="004F2CAD"/>
    <w:rsid w:val="004F2D25"/>
    <w:rsid w:val="004F2D63"/>
    <w:rsid w:val="004F2DD3"/>
    <w:rsid w:val="004F2E28"/>
    <w:rsid w:val="004F2EBA"/>
    <w:rsid w:val="004F2F2C"/>
    <w:rsid w:val="004F2F86"/>
    <w:rsid w:val="004F2FAC"/>
    <w:rsid w:val="004F3002"/>
    <w:rsid w:val="004F30D2"/>
    <w:rsid w:val="004F30EB"/>
    <w:rsid w:val="004F31DE"/>
    <w:rsid w:val="004F3212"/>
    <w:rsid w:val="004F322E"/>
    <w:rsid w:val="004F324D"/>
    <w:rsid w:val="004F32B8"/>
    <w:rsid w:val="004F32CD"/>
    <w:rsid w:val="004F3324"/>
    <w:rsid w:val="004F33D3"/>
    <w:rsid w:val="004F34B0"/>
    <w:rsid w:val="004F34D5"/>
    <w:rsid w:val="004F356B"/>
    <w:rsid w:val="004F360E"/>
    <w:rsid w:val="004F36F3"/>
    <w:rsid w:val="004F3785"/>
    <w:rsid w:val="004F37A5"/>
    <w:rsid w:val="004F3836"/>
    <w:rsid w:val="004F3852"/>
    <w:rsid w:val="004F3855"/>
    <w:rsid w:val="004F3883"/>
    <w:rsid w:val="004F3896"/>
    <w:rsid w:val="004F38F7"/>
    <w:rsid w:val="004F396C"/>
    <w:rsid w:val="004F397F"/>
    <w:rsid w:val="004F3A51"/>
    <w:rsid w:val="004F3B1D"/>
    <w:rsid w:val="004F3B24"/>
    <w:rsid w:val="004F3B39"/>
    <w:rsid w:val="004F3C1E"/>
    <w:rsid w:val="004F3C9D"/>
    <w:rsid w:val="004F3CE8"/>
    <w:rsid w:val="004F3D21"/>
    <w:rsid w:val="004F3E26"/>
    <w:rsid w:val="004F4252"/>
    <w:rsid w:val="004F42EF"/>
    <w:rsid w:val="004F4487"/>
    <w:rsid w:val="004F44AE"/>
    <w:rsid w:val="004F4552"/>
    <w:rsid w:val="004F4565"/>
    <w:rsid w:val="004F4584"/>
    <w:rsid w:val="004F458C"/>
    <w:rsid w:val="004F463A"/>
    <w:rsid w:val="004F4762"/>
    <w:rsid w:val="004F480E"/>
    <w:rsid w:val="004F4867"/>
    <w:rsid w:val="004F48EF"/>
    <w:rsid w:val="004F497C"/>
    <w:rsid w:val="004F4A9C"/>
    <w:rsid w:val="004F4AD3"/>
    <w:rsid w:val="004F4B0A"/>
    <w:rsid w:val="004F4B9E"/>
    <w:rsid w:val="004F4BDC"/>
    <w:rsid w:val="004F4C75"/>
    <w:rsid w:val="004F4C82"/>
    <w:rsid w:val="004F4D0B"/>
    <w:rsid w:val="004F4D63"/>
    <w:rsid w:val="004F4FA5"/>
    <w:rsid w:val="004F5342"/>
    <w:rsid w:val="004F54E1"/>
    <w:rsid w:val="004F54F0"/>
    <w:rsid w:val="004F5542"/>
    <w:rsid w:val="004F5593"/>
    <w:rsid w:val="004F5658"/>
    <w:rsid w:val="004F5864"/>
    <w:rsid w:val="004F58EA"/>
    <w:rsid w:val="004F5927"/>
    <w:rsid w:val="004F59B1"/>
    <w:rsid w:val="004F59B5"/>
    <w:rsid w:val="004F5AD9"/>
    <w:rsid w:val="004F5B11"/>
    <w:rsid w:val="004F5B46"/>
    <w:rsid w:val="004F5BBF"/>
    <w:rsid w:val="004F5BFD"/>
    <w:rsid w:val="004F5C34"/>
    <w:rsid w:val="004F5D96"/>
    <w:rsid w:val="004F5E26"/>
    <w:rsid w:val="004F5E9C"/>
    <w:rsid w:val="004F60C7"/>
    <w:rsid w:val="004F613A"/>
    <w:rsid w:val="004F6143"/>
    <w:rsid w:val="004F62CF"/>
    <w:rsid w:val="004F645B"/>
    <w:rsid w:val="004F65B7"/>
    <w:rsid w:val="004F672A"/>
    <w:rsid w:val="004F6748"/>
    <w:rsid w:val="004F67C0"/>
    <w:rsid w:val="004F67D0"/>
    <w:rsid w:val="004F67D5"/>
    <w:rsid w:val="004F68E1"/>
    <w:rsid w:val="004F693E"/>
    <w:rsid w:val="004F6A5C"/>
    <w:rsid w:val="004F6B28"/>
    <w:rsid w:val="004F6BAF"/>
    <w:rsid w:val="004F6BEA"/>
    <w:rsid w:val="004F6CB2"/>
    <w:rsid w:val="004F6CFF"/>
    <w:rsid w:val="004F6DB1"/>
    <w:rsid w:val="004F6EEE"/>
    <w:rsid w:val="004F6F1C"/>
    <w:rsid w:val="004F7032"/>
    <w:rsid w:val="004F7041"/>
    <w:rsid w:val="004F70BA"/>
    <w:rsid w:val="004F711B"/>
    <w:rsid w:val="004F7224"/>
    <w:rsid w:val="004F7306"/>
    <w:rsid w:val="004F747E"/>
    <w:rsid w:val="004F7535"/>
    <w:rsid w:val="004F7588"/>
    <w:rsid w:val="004F75C8"/>
    <w:rsid w:val="004F7698"/>
    <w:rsid w:val="004F76E0"/>
    <w:rsid w:val="004F7743"/>
    <w:rsid w:val="004F77DF"/>
    <w:rsid w:val="004F77EA"/>
    <w:rsid w:val="004F7AE7"/>
    <w:rsid w:val="004F7B25"/>
    <w:rsid w:val="004F7B75"/>
    <w:rsid w:val="004F7BAC"/>
    <w:rsid w:val="004F7BB3"/>
    <w:rsid w:val="004F7BB5"/>
    <w:rsid w:val="004F7BCE"/>
    <w:rsid w:val="004F7BF6"/>
    <w:rsid w:val="004F7C03"/>
    <w:rsid w:val="004F7C78"/>
    <w:rsid w:val="004F7CA1"/>
    <w:rsid w:val="004F7ED3"/>
    <w:rsid w:val="004F7F2E"/>
    <w:rsid w:val="004F7FCD"/>
    <w:rsid w:val="004F7FF5"/>
    <w:rsid w:val="00500052"/>
    <w:rsid w:val="005000BF"/>
    <w:rsid w:val="005001F2"/>
    <w:rsid w:val="0050022A"/>
    <w:rsid w:val="0050028E"/>
    <w:rsid w:val="00500427"/>
    <w:rsid w:val="00500466"/>
    <w:rsid w:val="005004B0"/>
    <w:rsid w:val="005004F2"/>
    <w:rsid w:val="0050055E"/>
    <w:rsid w:val="005005E9"/>
    <w:rsid w:val="00500641"/>
    <w:rsid w:val="00500688"/>
    <w:rsid w:val="005006DD"/>
    <w:rsid w:val="00500772"/>
    <w:rsid w:val="00500788"/>
    <w:rsid w:val="005007AE"/>
    <w:rsid w:val="005007B3"/>
    <w:rsid w:val="005007F9"/>
    <w:rsid w:val="0050081C"/>
    <w:rsid w:val="00500964"/>
    <w:rsid w:val="00500A79"/>
    <w:rsid w:val="00500B4C"/>
    <w:rsid w:val="00500CA6"/>
    <w:rsid w:val="00500CDD"/>
    <w:rsid w:val="00500D0B"/>
    <w:rsid w:val="00500E72"/>
    <w:rsid w:val="00500FC3"/>
    <w:rsid w:val="00500FCF"/>
    <w:rsid w:val="00500FF8"/>
    <w:rsid w:val="00500FF9"/>
    <w:rsid w:val="0050106B"/>
    <w:rsid w:val="005010A1"/>
    <w:rsid w:val="005010E8"/>
    <w:rsid w:val="005010E9"/>
    <w:rsid w:val="0050115E"/>
    <w:rsid w:val="0050126D"/>
    <w:rsid w:val="005012A2"/>
    <w:rsid w:val="005013CF"/>
    <w:rsid w:val="0050140A"/>
    <w:rsid w:val="0050146C"/>
    <w:rsid w:val="0050149A"/>
    <w:rsid w:val="00501581"/>
    <w:rsid w:val="005016A2"/>
    <w:rsid w:val="00501751"/>
    <w:rsid w:val="00501827"/>
    <w:rsid w:val="00501901"/>
    <w:rsid w:val="0050199B"/>
    <w:rsid w:val="005019DD"/>
    <w:rsid w:val="00501A2D"/>
    <w:rsid w:val="00501A78"/>
    <w:rsid w:val="00501ABB"/>
    <w:rsid w:val="00501B84"/>
    <w:rsid w:val="00501BDB"/>
    <w:rsid w:val="00501CB0"/>
    <w:rsid w:val="00501D5B"/>
    <w:rsid w:val="00501DA2"/>
    <w:rsid w:val="00501E29"/>
    <w:rsid w:val="00501E73"/>
    <w:rsid w:val="00501F20"/>
    <w:rsid w:val="00501FFF"/>
    <w:rsid w:val="005020E9"/>
    <w:rsid w:val="0050214C"/>
    <w:rsid w:val="005022E3"/>
    <w:rsid w:val="0050232B"/>
    <w:rsid w:val="00502385"/>
    <w:rsid w:val="00502488"/>
    <w:rsid w:val="005024B5"/>
    <w:rsid w:val="00502541"/>
    <w:rsid w:val="0050254A"/>
    <w:rsid w:val="00502686"/>
    <w:rsid w:val="005026B9"/>
    <w:rsid w:val="00502729"/>
    <w:rsid w:val="00502743"/>
    <w:rsid w:val="005027A7"/>
    <w:rsid w:val="00502878"/>
    <w:rsid w:val="0050294E"/>
    <w:rsid w:val="0050294F"/>
    <w:rsid w:val="005029CF"/>
    <w:rsid w:val="00502BB8"/>
    <w:rsid w:val="00502CA5"/>
    <w:rsid w:val="00502D0C"/>
    <w:rsid w:val="00502D20"/>
    <w:rsid w:val="00502E5D"/>
    <w:rsid w:val="00502E86"/>
    <w:rsid w:val="00502FD5"/>
    <w:rsid w:val="00503070"/>
    <w:rsid w:val="005030DA"/>
    <w:rsid w:val="00503124"/>
    <w:rsid w:val="005031A3"/>
    <w:rsid w:val="005031E4"/>
    <w:rsid w:val="0050322C"/>
    <w:rsid w:val="005032D4"/>
    <w:rsid w:val="00503309"/>
    <w:rsid w:val="00503312"/>
    <w:rsid w:val="00503317"/>
    <w:rsid w:val="005033A3"/>
    <w:rsid w:val="005033D6"/>
    <w:rsid w:val="00503470"/>
    <w:rsid w:val="00503488"/>
    <w:rsid w:val="005035AD"/>
    <w:rsid w:val="005035D8"/>
    <w:rsid w:val="005036C4"/>
    <w:rsid w:val="00503774"/>
    <w:rsid w:val="005037CA"/>
    <w:rsid w:val="00503815"/>
    <w:rsid w:val="0050398A"/>
    <w:rsid w:val="00503B3B"/>
    <w:rsid w:val="00503B43"/>
    <w:rsid w:val="00503BC5"/>
    <w:rsid w:val="00503E7F"/>
    <w:rsid w:val="00503F54"/>
    <w:rsid w:val="005040C8"/>
    <w:rsid w:val="005040DB"/>
    <w:rsid w:val="00504175"/>
    <w:rsid w:val="00504185"/>
    <w:rsid w:val="0050422A"/>
    <w:rsid w:val="005042A1"/>
    <w:rsid w:val="005042A2"/>
    <w:rsid w:val="00504359"/>
    <w:rsid w:val="0050441A"/>
    <w:rsid w:val="00504489"/>
    <w:rsid w:val="005044FF"/>
    <w:rsid w:val="0050450E"/>
    <w:rsid w:val="00504541"/>
    <w:rsid w:val="00504609"/>
    <w:rsid w:val="0050460C"/>
    <w:rsid w:val="00504672"/>
    <w:rsid w:val="0050474C"/>
    <w:rsid w:val="005047CE"/>
    <w:rsid w:val="005047F2"/>
    <w:rsid w:val="00504829"/>
    <w:rsid w:val="00504846"/>
    <w:rsid w:val="00504888"/>
    <w:rsid w:val="0050496F"/>
    <w:rsid w:val="00504A8C"/>
    <w:rsid w:val="00504C81"/>
    <w:rsid w:val="00504D24"/>
    <w:rsid w:val="00504F4B"/>
    <w:rsid w:val="00504FD2"/>
    <w:rsid w:val="00504FDE"/>
    <w:rsid w:val="00505242"/>
    <w:rsid w:val="00505260"/>
    <w:rsid w:val="00505447"/>
    <w:rsid w:val="00505471"/>
    <w:rsid w:val="00505510"/>
    <w:rsid w:val="00505610"/>
    <w:rsid w:val="00505654"/>
    <w:rsid w:val="0050569C"/>
    <w:rsid w:val="00505721"/>
    <w:rsid w:val="0050578B"/>
    <w:rsid w:val="00505941"/>
    <w:rsid w:val="0050594A"/>
    <w:rsid w:val="0050597A"/>
    <w:rsid w:val="00505A4E"/>
    <w:rsid w:val="00505B01"/>
    <w:rsid w:val="00505B0D"/>
    <w:rsid w:val="00505BC9"/>
    <w:rsid w:val="00505BEC"/>
    <w:rsid w:val="00505D9C"/>
    <w:rsid w:val="00505F41"/>
    <w:rsid w:val="00505F85"/>
    <w:rsid w:val="00505F8E"/>
    <w:rsid w:val="00506219"/>
    <w:rsid w:val="0050645B"/>
    <w:rsid w:val="005064EE"/>
    <w:rsid w:val="005065A3"/>
    <w:rsid w:val="0050662D"/>
    <w:rsid w:val="00506673"/>
    <w:rsid w:val="00506823"/>
    <w:rsid w:val="0050685D"/>
    <w:rsid w:val="0050689E"/>
    <w:rsid w:val="00506982"/>
    <w:rsid w:val="00506A13"/>
    <w:rsid w:val="00506A2E"/>
    <w:rsid w:val="00506A47"/>
    <w:rsid w:val="00506ACD"/>
    <w:rsid w:val="00506B74"/>
    <w:rsid w:val="00506CF8"/>
    <w:rsid w:val="00506D0A"/>
    <w:rsid w:val="00506D46"/>
    <w:rsid w:val="00506D64"/>
    <w:rsid w:val="00506DE2"/>
    <w:rsid w:val="00506DE7"/>
    <w:rsid w:val="00506E64"/>
    <w:rsid w:val="00506E8A"/>
    <w:rsid w:val="00506E94"/>
    <w:rsid w:val="00506EBF"/>
    <w:rsid w:val="00506F0C"/>
    <w:rsid w:val="00507016"/>
    <w:rsid w:val="00507224"/>
    <w:rsid w:val="00507252"/>
    <w:rsid w:val="005072A7"/>
    <w:rsid w:val="005072AD"/>
    <w:rsid w:val="005074A1"/>
    <w:rsid w:val="005074AF"/>
    <w:rsid w:val="00507688"/>
    <w:rsid w:val="005076F2"/>
    <w:rsid w:val="0050781D"/>
    <w:rsid w:val="00507A4D"/>
    <w:rsid w:val="00507A52"/>
    <w:rsid w:val="00507A5A"/>
    <w:rsid w:val="00507AAB"/>
    <w:rsid w:val="00507ADA"/>
    <w:rsid w:val="00507C0C"/>
    <w:rsid w:val="00507E30"/>
    <w:rsid w:val="00507E96"/>
    <w:rsid w:val="00507EA4"/>
    <w:rsid w:val="00507FC9"/>
    <w:rsid w:val="005102A4"/>
    <w:rsid w:val="00510357"/>
    <w:rsid w:val="005103DF"/>
    <w:rsid w:val="00510425"/>
    <w:rsid w:val="005104A0"/>
    <w:rsid w:val="00510542"/>
    <w:rsid w:val="005105FA"/>
    <w:rsid w:val="00510672"/>
    <w:rsid w:val="005106D6"/>
    <w:rsid w:val="00510881"/>
    <w:rsid w:val="0051092E"/>
    <w:rsid w:val="005109E4"/>
    <w:rsid w:val="00510A58"/>
    <w:rsid w:val="00510A5C"/>
    <w:rsid w:val="00510AC8"/>
    <w:rsid w:val="00510AE0"/>
    <w:rsid w:val="00510AEA"/>
    <w:rsid w:val="00510BF7"/>
    <w:rsid w:val="00510CB3"/>
    <w:rsid w:val="00510DDC"/>
    <w:rsid w:val="00510E71"/>
    <w:rsid w:val="00510E8E"/>
    <w:rsid w:val="00510EBD"/>
    <w:rsid w:val="00510ED3"/>
    <w:rsid w:val="00510FAF"/>
    <w:rsid w:val="00510FE6"/>
    <w:rsid w:val="00511020"/>
    <w:rsid w:val="0051106C"/>
    <w:rsid w:val="0051112C"/>
    <w:rsid w:val="00511159"/>
    <w:rsid w:val="00511195"/>
    <w:rsid w:val="00511242"/>
    <w:rsid w:val="00511249"/>
    <w:rsid w:val="005112A1"/>
    <w:rsid w:val="0051138E"/>
    <w:rsid w:val="00511534"/>
    <w:rsid w:val="0051167B"/>
    <w:rsid w:val="005116F3"/>
    <w:rsid w:val="0051174E"/>
    <w:rsid w:val="005117FC"/>
    <w:rsid w:val="00511837"/>
    <w:rsid w:val="00511B18"/>
    <w:rsid w:val="00511B96"/>
    <w:rsid w:val="00511C0A"/>
    <w:rsid w:val="00511D38"/>
    <w:rsid w:val="00511D3A"/>
    <w:rsid w:val="00511D67"/>
    <w:rsid w:val="00511EBB"/>
    <w:rsid w:val="00511EC6"/>
    <w:rsid w:val="00511F13"/>
    <w:rsid w:val="00511F7E"/>
    <w:rsid w:val="00511FC9"/>
    <w:rsid w:val="005121DA"/>
    <w:rsid w:val="00512235"/>
    <w:rsid w:val="00512305"/>
    <w:rsid w:val="00512312"/>
    <w:rsid w:val="0051233C"/>
    <w:rsid w:val="005123D0"/>
    <w:rsid w:val="00512710"/>
    <w:rsid w:val="0051272B"/>
    <w:rsid w:val="00512807"/>
    <w:rsid w:val="00512902"/>
    <w:rsid w:val="00512981"/>
    <w:rsid w:val="00512AB7"/>
    <w:rsid w:val="00512D7D"/>
    <w:rsid w:val="00512D91"/>
    <w:rsid w:val="00512DB9"/>
    <w:rsid w:val="00512E7C"/>
    <w:rsid w:val="00512FDD"/>
    <w:rsid w:val="00513085"/>
    <w:rsid w:val="005130E6"/>
    <w:rsid w:val="005131C1"/>
    <w:rsid w:val="00513245"/>
    <w:rsid w:val="00513252"/>
    <w:rsid w:val="0051330F"/>
    <w:rsid w:val="0051332B"/>
    <w:rsid w:val="005133D6"/>
    <w:rsid w:val="00513418"/>
    <w:rsid w:val="005135FF"/>
    <w:rsid w:val="00513664"/>
    <w:rsid w:val="005136E6"/>
    <w:rsid w:val="00513758"/>
    <w:rsid w:val="00513804"/>
    <w:rsid w:val="00513B7E"/>
    <w:rsid w:val="00513BAA"/>
    <w:rsid w:val="00513BB5"/>
    <w:rsid w:val="00513DB7"/>
    <w:rsid w:val="00513DF7"/>
    <w:rsid w:val="00513E9D"/>
    <w:rsid w:val="00513F8A"/>
    <w:rsid w:val="00514023"/>
    <w:rsid w:val="005140B0"/>
    <w:rsid w:val="005140FB"/>
    <w:rsid w:val="00514132"/>
    <w:rsid w:val="005142DE"/>
    <w:rsid w:val="0051439E"/>
    <w:rsid w:val="005143E3"/>
    <w:rsid w:val="00514585"/>
    <w:rsid w:val="005146C3"/>
    <w:rsid w:val="00514703"/>
    <w:rsid w:val="00514747"/>
    <w:rsid w:val="005149BD"/>
    <w:rsid w:val="00514A78"/>
    <w:rsid w:val="00514BE5"/>
    <w:rsid w:val="00514BEC"/>
    <w:rsid w:val="00514CAC"/>
    <w:rsid w:val="00514CE4"/>
    <w:rsid w:val="00514CE6"/>
    <w:rsid w:val="00514CEA"/>
    <w:rsid w:val="00514D09"/>
    <w:rsid w:val="00514D76"/>
    <w:rsid w:val="00514E29"/>
    <w:rsid w:val="00514E4B"/>
    <w:rsid w:val="00514E66"/>
    <w:rsid w:val="00514F6F"/>
    <w:rsid w:val="00515005"/>
    <w:rsid w:val="005150AF"/>
    <w:rsid w:val="005150F6"/>
    <w:rsid w:val="0051510F"/>
    <w:rsid w:val="005151CA"/>
    <w:rsid w:val="005151F4"/>
    <w:rsid w:val="005153B3"/>
    <w:rsid w:val="00515567"/>
    <w:rsid w:val="00515605"/>
    <w:rsid w:val="00515689"/>
    <w:rsid w:val="0051575C"/>
    <w:rsid w:val="0051575F"/>
    <w:rsid w:val="00515881"/>
    <w:rsid w:val="005158D2"/>
    <w:rsid w:val="005158E7"/>
    <w:rsid w:val="00515A41"/>
    <w:rsid w:val="00515B19"/>
    <w:rsid w:val="00515BAD"/>
    <w:rsid w:val="00515C7C"/>
    <w:rsid w:val="00515DC5"/>
    <w:rsid w:val="0051603F"/>
    <w:rsid w:val="0051606B"/>
    <w:rsid w:val="005161B7"/>
    <w:rsid w:val="005161EC"/>
    <w:rsid w:val="005161F0"/>
    <w:rsid w:val="00516328"/>
    <w:rsid w:val="005163B1"/>
    <w:rsid w:val="005165A5"/>
    <w:rsid w:val="005165EA"/>
    <w:rsid w:val="0051661D"/>
    <w:rsid w:val="005166BF"/>
    <w:rsid w:val="005166CA"/>
    <w:rsid w:val="00516746"/>
    <w:rsid w:val="00516779"/>
    <w:rsid w:val="0051686F"/>
    <w:rsid w:val="005168A8"/>
    <w:rsid w:val="005168F9"/>
    <w:rsid w:val="005169A4"/>
    <w:rsid w:val="005169D5"/>
    <w:rsid w:val="005169E0"/>
    <w:rsid w:val="005169F7"/>
    <w:rsid w:val="00516A51"/>
    <w:rsid w:val="00516A68"/>
    <w:rsid w:val="00516A75"/>
    <w:rsid w:val="00516AA9"/>
    <w:rsid w:val="00516ACD"/>
    <w:rsid w:val="00516BC2"/>
    <w:rsid w:val="00516BED"/>
    <w:rsid w:val="00516BF9"/>
    <w:rsid w:val="00516C31"/>
    <w:rsid w:val="00516CBC"/>
    <w:rsid w:val="00516D01"/>
    <w:rsid w:val="00516F5B"/>
    <w:rsid w:val="00516FEB"/>
    <w:rsid w:val="0051704D"/>
    <w:rsid w:val="005171C1"/>
    <w:rsid w:val="005172CF"/>
    <w:rsid w:val="00517304"/>
    <w:rsid w:val="0051731A"/>
    <w:rsid w:val="00517357"/>
    <w:rsid w:val="00517418"/>
    <w:rsid w:val="00517538"/>
    <w:rsid w:val="005176A2"/>
    <w:rsid w:val="005176AB"/>
    <w:rsid w:val="0051771D"/>
    <w:rsid w:val="005177D3"/>
    <w:rsid w:val="005179E1"/>
    <w:rsid w:val="00517A11"/>
    <w:rsid w:val="00517A6F"/>
    <w:rsid w:val="00517BAA"/>
    <w:rsid w:val="00517E96"/>
    <w:rsid w:val="005200BB"/>
    <w:rsid w:val="00520213"/>
    <w:rsid w:val="00520299"/>
    <w:rsid w:val="005202C4"/>
    <w:rsid w:val="005202CD"/>
    <w:rsid w:val="0052042A"/>
    <w:rsid w:val="005204A4"/>
    <w:rsid w:val="00520511"/>
    <w:rsid w:val="0052054D"/>
    <w:rsid w:val="0052072C"/>
    <w:rsid w:val="00520746"/>
    <w:rsid w:val="00520765"/>
    <w:rsid w:val="005207E7"/>
    <w:rsid w:val="00520810"/>
    <w:rsid w:val="00520945"/>
    <w:rsid w:val="0052098B"/>
    <w:rsid w:val="005209FE"/>
    <w:rsid w:val="00520A79"/>
    <w:rsid w:val="00520AD8"/>
    <w:rsid w:val="00520B70"/>
    <w:rsid w:val="00520BBE"/>
    <w:rsid w:val="00520C8D"/>
    <w:rsid w:val="00520D76"/>
    <w:rsid w:val="00520DD1"/>
    <w:rsid w:val="00520DEA"/>
    <w:rsid w:val="00520E15"/>
    <w:rsid w:val="00520E9A"/>
    <w:rsid w:val="00520EF0"/>
    <w:rsid w:val="00520F75"/>
    <w:rsid w:val="0052107E"/>
    <w:rsid w:val="00521081"/>
    <w:rsid w:val="0052116E"/>
    <w:rsid w:val="005211AB"/>
    <w:rsid w:val="0052128A"/>
    <w:rsid w:val="00521360"/>
    <w:rsid w:val="005214C5"/>
    <w:rsid w:val="00521606"/>
    <w:rsid w:val="005216E9"/>
    <w:rsid w:val="005216F2"/>
    <w:rsid w:val="005217BD"/>
    <w:rsid w:val="00521800"/>
    <w:rsid w:val="00521974"/>
    <w:rsid w:val="005219C7"/>
    <w:rsid w:val="005219E9"/>
    <w:rsid w:val="00521B41"/>
    <w:rsid w:val="00521B9F"/>
    <w:rsid w:val="00521C5F"/>
    <w:rsid w:val="00521E71"/>
    <w:rsid w:val="00521ED0"/>
    <w:rsid w:val="00521FAD"/>
    <w:rsid w:val="00522052"/>
    <w:rsid w:val="00522227"/>
    <w:rsid w:val="00522277"/>
    <w:rsid w:val="00522296"/>
    <w:rsid w:val="00522360"/>
    <w:rsid w:val="00522441"/>
    <w:rsid w:val="00522483"/>
    <w:rsid w:val="005225D3"/>
    <w:rsid w:val="00522642"/>
    <w:rsid w:val="005226F6"/>
    <w:rsid w:val="0052278C"/>
    <w:rsid w:val="005227E2"/>
    <w:rsid w:val="005228A0"/>
    <w:rsid w:val="0052293B"/>
    <w:rsid w:val="00522994"/>
    <w:rsid w:val="005229CC"/>
    <w:rsid w:val="00522A4B"/>
    <w:rsid w:val="00522B50"/>
    <w:rsid w:val="00522B7B"/>
    <w:rsid w:val="00522D54"/>
    <w:rsid w:val="00522DC1"/>
    <w:rsid w:val="00522E4A"/>
    <w:rsid w:val="00522E90"/>
    <w:rsid w:val="00522EEE"/>
    <w:rsid w:val="00522F57"/>
    <w:rsid w:val="00522F5A"/>
    <w:rsid w:val="0052313C"/>
    <w:rsid w:val="0052345D"/>
    <w:rsid w:val="00523504"/>
    <w:rsid w:val="00523531"/>
    <w:rsid w:val="0052354F"/>
    <w:rsid w:val="00523557"/>
    <w:rsid w:val="005235AD"/>
    <w:rsid w:val="00523601"/>
    <w:rsid w:val="0052362D"/>
    <w:rsid w:val="005236CE"/>
    <w:rsid w:val="005236E4"/>
    <w:rsid w:val="00523711"/>
    <w:rsid w:val="005237C7"/>
    <w:rsid w:val="005237FA"/>
    <w:rsid w:val="00523940"/>
    <w:rsid w:val="005239A2"/>
    <w:rsid w:val="00523A4D"/>
    <w:rsid w:val="00523B7A"/>
    <w:rsid w:val="00523BE9"/>
    <w:rsid w:val="00523BF1"/>
    <w:rsid w:val="00523C55"/>
    <w:rsid w:val="00523C70"/>
    <w:rsid w:val="00523CBA"/>
    <w:rsid w:val="00523D67"/>
    <w:rsid w:val="00523FA1"/>
    <w:rsid w:val="0052403E"/>
    <w:rsid w:val="0052404D"/>
    <w:rsid w:val="00524058"/>
    <w:rsid w:val="0052408E"/>
    <w:rsid w:val="005241B3"/>
    <w:rsid w:val="005241B6"/>
    <w:rsid w:val="00524251"/>
    <w:rsid w:val="0052440B"/>
    <w:rsid w:val="0052442C"/>
    <w:rsid w:val="005244CF"/>
    <w:rsid w:val="00524543"/>
    <w:rsid w:val="00524585"/>
    <w:rsid w:val="00524731"/>
    <w:rsid w:val="005247F8"/>
    <w:rsid w:val="00524923"/>
    <w:rsid w:val="00524AD3"/>
    <w:rsid w:val="00524C81"/>
    <w:rsid w:val="00524C91"/>
    <w:rsid w:val="00524D36"/>
    <w:rsid w:val="00524D42"/>
    <w:rsid w:val="00524D4E"/>
    <w:rsid w:val="00524D9E"/>
    <w:rsid w:val="00524DCF"/>
    <w:rsid w:val="00524E05"/>
    <w:rsid w:val="00524E1E"/>
    <w:rsid w:val="00524E32"/>
    <w:rsid w:val="00524EBC"/>
    <w:rsid w:val="0052507D"/>
    <w:rsid w:val="00525095"/>
    <w:rsid w:val="0052520B"/>
    <w:rsid w:val="00525219"/>
    <w:rsid w:val="005254BA"/>
    <w:rsid w:val="0052559B"/>
    <w:rsid w:val="00525619"/>
    <w:rsid w:val="00525643"/>
    <w:rsid w:val="0052565E"/>
    <w:rsid w:val="005256C1"/>
    <w:rsid w:val="005256D3"/>
    <w:rsid w:val="00525773"/>
    <w:rsid w:val="00525855"/>
    <w:rsid w:val="00525871"/>
    <w:rsid w:val="00525885"/>
    <w:rsid w:val="00525895"/>
    <w:rsid w:val="00525926"/>
    <w:rsid w:val="00525969"/>
    <w:rsid w:val="00525A1B"/>
    <w:rsid w:val="00525B55"/>
    <w:rsid w:val="00525BDA"/>
    <w:rsid w:val="00525C6C"/>
    <w:rsid w:val="00525D3B"/>
    <w:rsid w:val="00525DC3"/>
    <w:rsid w:val="00525E63"/>
    <w:rsid w:val="00525FF1"/>
    <w:rsid w:val="0052608D"/>
    <w:rsid w:val="005260FB"/>
    <w:rsid w:val="0052622F"/>
    <w:rsid w:val="005262A1"/>
    <w:rsid w:val="005264A0"/>
    <w:rsid w:val="005264F8"/>
    <w:rsid w:val="00526512"/>
    <w:rsid w:val="005265A7"/>
    <w:rsid w:val="005265BC"/>
    <w:rsid w:val="00526742"/>
    <w:rsid w:val="005267BC"/>
    <w:rsid w:val="0052686A"/>
    <w:rsid w:val="00526885"/>
    <w:rsid w:val="005268E3"/>
    <w:rsid w:val="00526983"/>
    <w:rsid w:val="00526A54"/>
    <w:rsid w:val="00526A7E"/>
    <w:rsid w:val="00526B2E"/>
    <w:rsid w:val="00526BE9"/>
    <w:rsid w:val="00526C20"/>
    <w:rsid w:val="00526CA0"/>
    <w:rsid w:val="00526F37"/>
    <w:rsid w:val="00526F8D"/>
    <w:rsid w:val="00527071"/>
    <w:rsid w:val="005270F7"/>
    <w:rsid w:val="0052723D"/>
    <w:rsid w:val="00527315"/>
    <w:rsid w:val="00527327"/>
    <w:rsid w:val="005274C8"/>
    <w:rsid w:val="0052751A"/>
    <w:rsid w:val="00527557"/>
    <w:rsid w:val="0052759E"/>
    <w:rsid w:val="005276EE"/>
    <w:rsid w:val="00527942"/>
    <w:rsid w:val="00527992"/>
    <w:rsid w:val="005279E2"/>
    <w:rsid w:val="00527A06"/>
    <w:rsid w:val="00527A8B"/>
    <w:rsid w:val="00527B3E"/>
    <w:rsid w:val="00527D71"/>
    <w:rsid w:val="00527D8B"/>
    <w:rsid w:val="00527DEF"/>
    <w:rsid w:val="00527E32"/>
    <w:rsid w:val="00527EE7"/>
    <w:rsid w:val="00527EEC"/>
    <w:rsid w:val="0053026D"/>
    <w:rsid w:val="00530389"/>
    <w:rsid w:val="0053043B"/>
    <w:rsid w:val="00530592"/>
    <w:rsid w:val="005305AA"/>
    <w:rsid w:val="00530605"/>
    <w:rsid w:val="00530687"/>
    <w:rsid w:val="00530691"/>
    <w:rsid w:val="0053073A"/>
    <w:rsid w:val="005307C3"/>
    <w:rsid w:val="0053090E"/>
    <w:rsid w:val="00530A0E"/>
    <w:rsid w:val="00530ABA"/>
    <w:rsid w:val="00530B18"/>
    <w:rsid w:val="00530B44"/>
    <w:rsid w:val="00530BCF"/>
    <w:rsid w:val="00530CC5"/>
    <w:rsid w:val="00530D35"/>
    <w:rsid w:val="00530EDA"/>
    <w:rsid w:val="00530F4B"/>
    <w:rsid w:val="00530FF7"/>
    <w:rsid w:val="0053105C"/>
    <w:rsid w:val="00531128"/>
    <w:rsid w:val="00531233"/>
    <w:rsid w:val="005312BC"/>
    <w:rsid w:val="0053143C"/>
    <w:rsid w:val="00531448"/>
    <w:rsid w:val="005314E9"/>
    <w:rsid w:val="005315CC"/>
    <w:rsid w:val="005316F1"/>
    <w:rsid w:val="00531800"/>
    <w:rsid w:val="005318DA"/>
    <w:rsid w:val="00531A27"/>
    <w:rsid w:val="00531C3A"/>
    <w:rsid w:val="00531C6A"/>
    <w:rsid w:val="00531CF6"/>
    <w:rsid w:val="00531D4B"/>
    <w:rsid w:val="00531E7B"/>
    <w:rsid w:val="00531ED3"/>
    <w:rsid w:val="00531EF1"/>
    <w:rsid w:val="00531F59"/>
    <w:rsid w:val="00532057"/>
    <w:rsid w:val="00532094"/>
    <w:rsid w:val="00532105"/>
    <w:rsid w:val="00532147"/>
    <w:rsid w:val="005321AC"/>
    <w:rsid w:val="00532354"/>
    <w:rsid w:val="00532412"/>
    <w:rsid w:val="0053245A"/>
    <w:rsid w:val="005324D9"/>
    <w:rsid w:val="005324E9"/>
    <w:rsid w:val="005324F8"/>
    <w:rsid w:val="005326A8"/>
    <w:rsid w:val="005326B0"/>
    <w:rsid w:val="00532791"/>
    <w:rsid w:val="00532A36"/>
    <w:rsid w:val="00532A44"/>
    <w:rsid w:val="00532B2C"/>
    <w:rsid w:val="00532B80"/>
    <w:rsid w:val="00532BB6"/>
    <w:rsid w:val="00532BDD"/>
    <w:rsid w:val="00532CA9"/>
    <w:rsid w:val="00532CC7"/>
    <w:rsid w:val="00532D8D"/>
    <w:rsid w:val="00532E98"/>
    <w:rsid w:val="00532EA3"/>
    <w:rsid w:val="00532F49"/>
    <w:rsid w:val="00532FC5"/>
    <w:rsid w:val="00532FCF"/>
    <w:rsid w:val="00533002"/>
    <w:rsid w:val="00533142"/>
    <w:rsid w:val="00533268"/>
    <w:rsid w:val="00533269"/>
    <w:rsid w:val="0053328E"/>
    <w:rsid w:val="005333F7"/>
    <w:rsid w:val="00533420"/>
    <w:rsid w:val="00533447"/>
    <w:rsid w:val="00533589"/>
    <w:rsid w:val="005335C2"/>
    <w:rsid w:val="005335D8"/>
    <w:rsid w:val="00533826"/>
    <w:rsid w:val="005338D6"/>
    <w:rsid w:val="005339A0"/>
    <w:rsid w:val="005339A8"/>
    <w:rsid w:val="005339B0"/>
    <w:rsid w:val="00533A15"/>
    <w:rsid w:val="00533A91"/>
    <w:rsid w:val="00533AAB"/>
    <w:rsid w:val="00533B2E"/>
    <w:rsid w:val="00533BD6"/>
    <w:rsid w:val="00533C98"/>
    <w:rsid w:val="00533CF7"/>
    <w:rsid w:val="00533CFB"/>
    <w:rsid w:val="00533D99"/>
    <w:rsid w:val="00533E1F"/>
    <w:rsid w:val="00533EFD"/>
    <w:rsid w:val="00533F48"/>
    <w:rsid w:val="00533F9A"/>
    <w:rsid w:val="00534066"/>
    <w:rsid w:val="005340C7"/>
    <w:rsid w:val="0053419E"/>
    <w:rsid w:val="005341C3"/>
    <w:rsid w:val="005341D6"/>
    <w:rsid w:val="005341F7"/>
    <w:rsid w:val="00534221"/>
    <w:rsid w:val="00534272"/>
    <w:rsid w:val="00534274"/>
    <w:rsid w:val="005342F1"/>
    <w:rsid w:val="005344C8"/>
    <w:rsid w:val="00534521"/>
    <w:rsid w:val="0053453A"/>
    <w:rsid w:val="005346F1"/>
    <w:rsid w:val="005347E9"/>
    <w:rsid w:val="0053488F"/>
    <w:rsid w:val="0053489E"/>
    <w:rsid w:val="00534A1D"/>
    <w:rsid w:val="00534A29"/>
    <w:rsid w:val="00534A4E"/>
    <w:rsid w:val="00534A89"/>
    <w:rsid w:val="00534B2B"/>
    <w:rsid w:val="00534BC1"/>
    <w:rsid w:val="00534BE2"/>
    <w:rsid w:val="00534C2D"/>
    <w:rsid w:val="00534D93"/>
    <w:rsid w:val="00534E0A"/>
    <w:rsid w:val="00534EAC"/>
    <w:rsid w:val="00534EC0"/>
    <w:rsid w:val="00534ECE"/>
    <w:rsid w:val="00534EF3"/>
    <w:rsid w:val="00534FC9"/>
    <w:rsid w:val="00534FEA"/>
    <w:rsid w:val="00535156"/>
    <w:rsid w:val="00535162"/>
    <w:rsid w:val="00535256"/>
    <w:rsid w:val="00535389"/>
    <w:rsid w:val="005353D1"/>
    <w:rsid w:val="0053544F"/>
    <w:rsid w:val="00535467"/>
    <w:rsid w:val="0053559A"/>
    <w:rsid w:val="00535610"/>
    <w:rsid w:val="00535639"/>
    <w:rsid w:val="00535663"/>
    <w:rsid w:val="005356A0"/>
    <w:rsid w:val="005356A2"/>
    <w:rsid w:val="00535734"/>
    <w:rsid w:val="00535764"/>
    <w:rsid w:val="0053577F"/>
    <w:rsid w:val="005357E7"/>
    <w:rsid w:val="00535856"/>
    <w:rsid w:val="00535980"/>
    <w:rsid w:val="00535A10"/>
    <w:rsid w:val="00535A88"/>
    <w:rsid w:val="00535B73"/>
    <w:rsid w:val="00535B8C"/>
    <w:rsid w:val="00535C4D"/>
    <w:rsid w:val="00535C55"/>
    <w:rsid w:val="00535C56"/>
    <w:rsid w:val="00535C8B"/>
    <w:rsid w:val="00535CA8"/>
    <w:rsid w:val="00535D01"/>
    <w:rsid w:val="00535D4B"/>
    <w:rsid w:val="00535EBF"/>
    <w:rsid w:val="00535FA9"/>
    <w:rsid w:val="0053604F"/>
    <w:rsid w:val="0053614A"/>
    <w:rsid w:val="0053617D"/>
    <w:rsid w:val="005362B9"/>
    <w:rsid w:val="0053631E"/>
    <w:rsid w:val="005364DA"/>
    <w:rsid w:val="0053661A"/>
    <w:rsid w:val="0053661B"/>
    <w:rsid w:val="0053680D"/>
    <w:rsid w:val="00536835"/>
    <w:rsid w:val="005369CD"/>
    <w:rsid w:val="005369E4"/>
    <w:rsid w:val="00536A79"/>
    <w:rsid w:val="00536AE8"/>
    <w:rsid w:val="00536BA7"/>
    <w:rsid w:val="00536C37"/>
    <w:rsid w:val="00536F61"/>
    <w:rsid w:val="00537056"/>
    <w:rsid w:val="005370A9"/>
    <w:rsid w:val="00537107"/>
    <w:rsid w:val="00537202"/>
    <w:rsid w:val="005373A9"/>
    <w:rsid w:val="005373F5"/>
    <w:rsid w:val="0053748F"/>
    <w:rsid w:val="005374AF"/>
    <w:rsid w:val="005374B2"/>
    <w:rsid w:val="005374E4"/>
    <w:rsid w:val="00537598"/>
    <w:rsid w:val="005375C9"/>
    <w:rsid w:val="005375D4"/>
    <w:rsid w:val="0053765F"/>
    <w:rsid w:val="00537688"/>
    <w:rsid w:val="005376CA"/>
    <w:rsid w:val="005377E4"/>
    <w:rsid w:val="005377FD"/>
    <w:rsid w:val="00537866"/>
    <w:rsid w:val="0053794F"/>
    <w:rsid w:val="00537983"/>
    <w:rsid w:val="00537A7F"/>
    <w:rsid w:val="00537B0C"/>
    <w:rsid w:val="00537C72"/>
    <w:rsid w:val="00537C7C"/>
    <w:rsid w:val="00537CF6"/>
    <w:rsid w:val="00537D17"/>
    <w:rsid w:val="00537D7F"/>
    <w:rsid w:val="00537DB7"/>
    <w:rsid w:val="00537E70"/>
    <w:rsid w:val="00537E75"/>
    <w:rsid w:val="00537EF4"/>
    <w:rsid w:val="00537F12"/>
    <w:rsid w:val="00537F6A"/>
    <w:rsid w:val="005400C4"/>
    <w:rsid w:val="00540330"/>
    <w:rsid w:val="00540560"/>
    <w:rsid w:val="00540591"/>
    <w:rsid w:val="005405D8"/>
    <w:rsid w:val="005405F0"/>
    <w:rsid w:val="0054071F"/>
    <w:rsid w:val="0054072B"/>
    <w:rsid w:val="005407B2"/>
    <w:rsid w:val="0054087D"/>
    <w:rsid w:val="005408E4"/>
    <w:rsid w:val="0054098F"/>
    <w:rsid w:val="005409D7"/>
    <w:rsid w:val="00540AA0"/>
    <w:rsid w:val="00540B8A"/>
    <w:rsid w:val="00540BE9"/>
    <w:rsid w:val="00540CA7"/>
    <w:rsid w:val="00540CF0"/>
    <w:rsid w:val="00540D05"/>
    <w:rsid w:val="00540E2C"/>
    <w:rsid w:val="00540EBC"/>
    <w:rsid w:val="00540F7A"/>
    <w:rsid w:val="00540F8A"/>
    <w:rsid w:val="00540F95"/>
    <w:rsid w:val="00540F98"/>
    <w:rsid w:val="005411C7"/>
    <w:rsid w:val="00541259"/>
    <w:rsid w:val="00541285"/>
    <w:rsid w:val="005412F8"/>
    <w:rsid w:val="005412FB"/>
    <w:rsid w:val="005413D0"/>
    <w:rsid w:val="00541496"/>
    <w:rsid w:val="005414A3"/>
    <w:rsid w:val="0054153A"/>
    <w:rsid w:val="00541602"/>
    <w:rsid w:val="00541705"/>
    <w:rsid w:val="0054172C"/>
    <w:rsid w:val="005417DE"/>
    <w:rsid w:val="005418DE"/>
    <w:rsid w:val="005418E7"/>
    <w:rsid w:val="00541926"/>
    <w:rsid w:val="005419F2"/>
    <w:rsid w:val="00541A2C"/>
    <w:rsid w:val="00541A6C"/>
    <w:rsid w:val="00541ABA"/>
    <w:rsid w:val="00541AF0"/>
    <w:rsid w:val="00541BD5"/>
    <w:rsid w:val="00541BEC"/>
    <w:rsid w:val="00541C5A"/>
    <w:rsid w:val="00541C6D"/>
    <w:rsid w:val="00541D49"/>
    <w:rsid w:val="00541E81"/>
    <w:rsid w:val="00541FB0"/>
    <w:rsid w:val="00542056"/>
    <w:rsid w:val="00542074"/>
    <w:rsid w:val="005420A1"/>
    <w:rsid w:val="00542172"/>
    <w:rsid w:val="0054221B"/>
    <w:rsid w:val="0054223C"/>
    <w:rsid w:val="00542405"/>
    <w:rsid w:val="005424AF"/>
    <w:rsid w:val="005425A6"/>
    <w:rsid w:val="00542780"/>
    <w:rsid w:val="00542791"/>
    <w:rsid w:val="005427AB"/>
    <w:rsid w:val="005427BD"/>
    <w:rsid w:val="00542A66"/>
    <w:rsid w:val="00542AA4"/>
    <w:rsid w:val="00542B31"/>
    <w:rsid w:val="00542BE4"/>
    <w:rsid w:val="00542BEB"/>
    <w:rsid w:val="00542C88"/>
    <w:rsid w:val="00542DA2"/>
    <w:rsid w:val="005430CE"/>
    <w:rsid w:val="0054311C"/>
    <w:rsid w:val="005431FC"/>
    <w:rsid w:val="00543319"/>
    <w:rsid w:val="0054334F"/>
    <w:rsid w:val="00543408"/>
    <w:rsid w:val="00543601"/>
    <w:rsid w:val="00543605"/>
    <w:rsid w:val="00543623"/>
    <w:rsid w:val="00543672"/>
    <w:rsid w:val="00543692"/>
    <w:rsid w:val="005436F3"/>
    <w:rsid w:val="0054370A"/>
    <w:rsid w:val="0054370E"/>
    <w:rsid w:val="0054382A"/>
    <w:rsid w:val="00543859"/>
    <w:rsid w:val="005439FF"/>
    <w:rsid w:val="00543A5D"/>
    <w:rsid w:val="00543B46"/>
    <w:rsid w:val="00543B4B"/>
    <w:rsid w:val="00543B83"/>
    <w:rsid w:val="00543C17"/>
    <w:rsid w:val="00543CCD"/>
    <w:rsid w:val="00543CFA"/>
    <w:rsid w:val="00543DFC"/>
    <w:rsid w:val="00543E36"/>
    <w:rsid w:val="00543E42"/>
    <w:rsid w:val="00543ED4"/>
    <w:rsid w:val="00543F35"/>
    <w:rsid w:val="00543FCB"/>
    <w:rsid w:val="00544076"/>
    <w:rsid w:val="005442BF"/>
    <w:rsid w:val="0054430A"/>
    <w:rsid w:val="0054432F"/>
    <w:rsid w:val="00544338"/>
    <w:rsid w:val="00544354"/>
    <w:rsid w:val="005443D1"/>
    <w:rsid w:val="005443E4"/>
    <w:rsid w:val="0054446F"/>
    <w:rsid w:val="005444AC"/>
    <w:rsid w:val="005444DA"/>
    <w:rsid w:val="00544583"/>
    <w:rsid w:val="005447D5"/>
    <w:rsid w:val="00544B19"/>
    <w:rsid w:val="00544B34"/>
    <w:rsid w:val="00544BE5"/>
    <w:rsid w:val="00544C04"/>
    <w:rsid w:val="00544D82"/>
    <w:rsid w:val="00544E9F"/>
    <w:rsid w:val="00544F10"/>
    <w:rsid w:val="00544F8E"/>
    <w:rsid w:val="00544FB0"/>
    <w:rsid w:val="00544FCE"/>
    <w:rsid w:val="0054501B"/>
    <w:rsid w:val="005450A7"/>
    <w:rsid w:val="005450FE"/>
    <w:rsid w:val="0054519B"/>
    <w:rsid w:val="005451B6"/>
    <w:rsid w:val="005451D6"/>
    <w:rsid w:val="005452B1"/>
    <w:rsid w:val="00545300"/>
    <w:rsid w:val="0054531F"/>
    <w:rsid w:val="00545336"/>
    <w:rsid w:val="00545342"/>
    <w:rsid w:val="0054534D"/>
    <w:rsid w:val="005454FE"/>
    <w:rsid w:val="005455F8"/>
    <w:rsid w:val="00545608"/>
    <w:rsid w:val="00545641"/>
    <w:rsid w:val="005459CE"/>
    <w:rsid w:val="005459EE"/>
    <w:rsid w:val="00545A8F"/>
    <w:rsid w:val="00545AEE"/>
    <w:rsid w:val="00545B85"/>
    <w:rsid w:val="00545D75"/>
    <w:rsid w:val="00545E13"/>
    <w:rsid w:val="00545E38"/>
    <w:rsid w:val="00545E86"/>
    <w:rsid w:val="00545EB8"/>
    <w:rsid w:val="00545FB1"/>
    <w:rsid w:val="005460A9"/>
    <w:rsid w:val="005461A8"/>
    <w:rsid w:val="005462FF"/>
    <w:rsid w:val="0054636F"/>
    <w:rsid w:val="00546440"/>
    <w:rsid w:val="00546494"/>
    <w:rsid w:val="00546526"/>
    <w:rsid w:val="00546559"/>
    <w:rsid w:val="005466C3"/>
    <w:rsid w:val="00546835"/>
    <w:rsid w:val="005468B7"/>
    <w:rsid w:val="005469F2"/>
    <w:rsid w:val="005469FE"/>
    <w:rsid w:val="00546B13"/>
    <w:rsid w:val="00546B88"/>
    <w:rsid w:val="00546C89"/>
    <w:rsid w:val="00546CE5"/>
    <w:rsid w:val="00546D50"/>
    <w:rsid w:val="00546D80"/>
    <w:rsid w:val="00546DB3"/>
    <w:rsid w:val="00546F65"/>
    <w:rsid w:val="00546FB3"/>
    <w:rsid w:val="0054708A"/>
    <w:rsid w:val="0054709B"/>
    <w:rsid w:val="005470C0"/>
    <w:rsid w:val="0054713D"/>
    <w:rsid w:val="00547141"/>
    <w:rsid w:val="00547156"/>
    <w:rsid w:val="005472A1"/>
    <w:rsid w:val="00547309"/>
    <w:rsid w:val="00547332"/>
    <w:rsid w:val="005473C9"/>
    <w:rsid w:val="005473D3"/>
    <w:rsid w:val="00547480"/>
    <w:rsid w:val="005474F6"/>
    <w:rsid w:val="00547562"/>
    <w:rsid w:val="00547739"/>
    <w:rsid w:val="00547763"/>
    <w:rsid w:val="0054776D"/>
    <w:rsid w:val="005477E6"/>
    <w:rsid w:val="00547836"/>
    <w:rsid w:val="0054796E"/>
    <w:rsid w:val="005479F5"/>
    <w:rsid w:val="00547B14"/>
    <w:rsid w:val="00547B1F"/>
    <w:rsid w:val="00547B45"/>
    <w:rsid w:val="00547B8F"/>
    <w:rsid w:val="00547C2B"/>
    <w:rsid w:val="00547C8F"/>
    <w:rsid w:val="00547CA6"/>
    <w:rsid w:val="00547D85"/>
    <w:rsid w:val="00547D87"/>
    <w:rsid w:val="00547F33"/>
    <w:rsid w:val="00550090"/>
    <w:rsid w:val="00550116"/>
    <w:rsid w:val="005502F3"/>
    <w:rsid w:val="005503DD"/>
    <w:rsid w:val="0055046C"/>
    <w:rsid w:val="005504BC"/>
    <w:rsid w:val="00550688"/>
    <w:rsid w:val="005507B1"/>
    <w:rsid w:val="0055085D"/>
    <w:rsid w:val="00550A00"/>
    <w:rsid w:val="00550ACF"/>
    <w:rsid w:val="00550AF6"/>
    <w:rsid w:val="00550BE4"/>
    <w:rsid w:val="00550DA4"/>
    <w:rsid w:val="00550DED"/>
    <w:rsid w:val="00550E12"/>
    <w:rsid w:val="00550E2A"/>
    <w:rsid w:val="00550E50"/>
    <w:rsid w:val="00550EDF"/>
    <w:rsid w:val="00550F76"/>
    <w:rsid w:val="00550FC5"/>
    <w:rsid w:val="00551033"/>
    <w:rsid w:val="00551076"/>
    <w:rsid w:val="005511DF"/>
    <w:rsid w:val="0055125E"/>
    <w:rsid w:val="005512DF"/>
    <w:rsid w:val="005512FD"/>
    <w:rsid w:val="0055130A"/>
    <w:rsid w:val="00551333"/>
    <w:rsid w:val="0055165E"/>
    <w:rsid w:val="00551706"/>
    <w:rsid w:val="0055172E"/>
    <w:rsid w:val="0055189D"/>
    <w:rsid w:val="0055191E"/>
    <w:rsid w:val="005519AC"/>
    <w:rsid w:val="005519D9"/>
    <w:rsid w:val="00551A02"/>
    <w:rsid w:val="00551A62"/>
    <w:rsid w:val="00551B3C"/>
    <w:rsid w:val="00551B7C"/>
    <w:rsid w:val="00551D2A"/>
    <w:rsid w:val="00551F60"/>
    <w:rsid w:val="00551FB3"/>
    <w:rsid w:val="00551FE9"/>
    <w:rsid w:val="0055213A"/>
    <w:rsid w:val="005522E7"/>
    <w:rsid w:val="005522FE"/>
    <w:rsid w:val="0055232E"/>
    <w:rsid w:val="00552362"/>
    <w:rsid w:val="0055245D"/>
    <w:rsid w:val="0055285F"/>
    <w:rsid w:val="0055295B"/>
    <w:rsid w:val="00552961"/>
    <w:rsid w:val="00552A2E"/>
    <w:rsid w:val="00552B69"/>
    <w:rsid w:val="00552BFC"/>
    <w:rsid w:val="00552C67"/>
    <w:rsid w:val="00552CE1"/>
    <w:rsid w:val="00552CE8"/>
    <w:rsid w:val="00552D67"/>
    <w:rsid w:val="00552DB8"/>
    <w:rsid w:val="00552DEA"/>
    <w:rsid w:val="00552E9A"/>
    <w:rsid w:val="00552FA8"/>
    <w:rsid w:val="00553030"/>
    <w:rsid w:val="005531A5"/>
    <w:rsid w:val="0055334B"/>
    <w:rsid w:val="005533AF"/>
    <w:rsid w:val="00553521"/>
    <w:rsid w:val="005536D1"/>
    <w:rsid w:val="0055371B"/>
    <w:rsid w:val="00553730"/>
    <w:rsid w:val="005538CF"/>
    <w:rsid w:val="00553941"/>
    <w:rsid w:val="00553AB2"/>
    <w:rsid w:val="00553B3E"/>
    <w:rsid w:val="00553B8F"/>
    <w:rsid w:val="00553D56"/>
    <w:rsid w:val="00553DBB"/>
    <w:rsid w:val="00553E53"/>
    <w:rsid w:val="00553F43"/>
    <w:rsid w:val="005541CF"/>
    <w:rsid w:val="005541D0"/>
    <w:rsid w:val="00554230"/>
    <w:rsid w:val="005543C8"/>
    <w:rsid w:val="005544AA"/>
    <w:rsid w:val="005546BB"/>
    <w:rsid w:val="005546CC"/>
    <w:rsid w:val="005546DD"/>
    <w:rsid w:val="005546E2"/>
    <w:rsid w:val="005547B5"/>
    <w:rsid w:val="005547BA"/>
    <w:rsid w:val="005547D0"/>
    <w:rsid w:val="00554835"/>
    <w:rsid w:val="00554889"/>
    <w:rsid w:val="00554898"/>
    <w:rsid w:val="005548BE"/>
    <w:rsid w:val="005548D2"/>
    <w:rsid w:val="00554A45"/>
    <w:rsid w:val="00554A93"/>
    <w:rsid w:val="00554B17"/>
    <w:rsid w:val="00554B76"/>
    <w:rsid w:val="00554CDE"/>
    <w:rsid w:val="00554D65"/>
    <w:rsid w:val="00554E5A"/>
    <w:rsid w:val="00554E98"/>
    <w:rsid w:val="00554F20"/>
    <w:rsid w:val="00554F60"/>
    <w:rsid w:val="00554F6F"/>
    <w:rsid w:val="00555001"/>
    <w:rsid w:val="0055501D"/>
    <w:rsid w:val="0055503B"/>
    <w:rsid w:val="00555092"/>
    <w:rsid w:val="00555093"/>
    <w:rsid w:val="005550AE"/>
    <w:rsid w:val="005550D0"/>
    <w:rsid w:val="0055511D"/>
    <w:rsid w:val="0055513C"/>
    <w:rsid w:val="0055539F"/>
    <w:rsid w:val="00555411"/>
    <w:rsid w:val="0055541B"/>
    <w:rsid w:val="00555513"/>
    <w:rsid w:val="0055561D"/>
    <w:rsid w:val="00555643"/>
    <w:rsid w:val="00555720"/>
    <w:rsid w:val="00555732"/>
    <w:rsid w:val="00555834"/>
    <w:rsid w:val="0055594D"/>
    <w:rsid w:val="00555972"/>
    <w:rsid w:val="00555A58"/>
    <w:rsid w:val="00555C9B"/>
    <w:rsid w:val="00555CD0"/>
    <w:rsid w:val="00555D77"/>
    <w:rsid w:val="00555DDB"/>
    <w:rsid w:val="00555E09"/>
    <w:rsid w:val="00555E0C"/>
    <w:rsid w:val="00555E36"/>
    <w:rsid w:val="00555E98"/>
    <w:rsid w:val="00555FDB"/>
    <w:rsid w:val="0055604B"/>
    <w:rsid w:val="0055604C"/>
    <w:rsid w:val="005562BD"/>
    <w:rsid w:val="005564F9"/>
    <w:rsid w:val="00556509"/>
    <w:rsid w:val="0055653E"/>
    <w:rsid w:val="005566A0"/>
    <w:rsid w:val="005566C1"/>
    <w:rsid w:val="00556709"/>
    <w:rsid w:val="005567D7"/>
    <w:rsid w:val="005567DB"/>
    <w:rsid w:val="005567F8"/>
    <w:rsid w:val="0055698D"/>
    <w:rsid w:val="00556A0C"/>
    <w:rsid w:val="00556BF1"/>
    <w:rsid w:val="00556C34"/>
    <w:rsid w:val="00556C65"/>
    <w:rsid w:val="00556C66"/>
    <w:rsid w:val="00556CA5"/>
    <w:rsid w:val="00556CC3"/>
    <w:rsid w:val="00556CED"/>
    <w:rsid w:val="00556D0F"/>
    <w:rsid w:val="00556D4E"/>
    <w:rsid w:val="00556D97"/>
    <w:rsid w:val="00556DB0"/>
    <w:rsid w:val="00556F80"/>
    <w:rsid w:val="005570E0"/>
    <w:rsid w:val="0055716D"/>
    <w:rsid w:val="00557180"/>
    <w:rsid w:val="00557195"/>
    <w:rsid w:val="00557206"/>
    <w:rsid w:val="0055723A"/>
    <w:rsid w:val="00557259"/>
    <w:rsid w:val="005572BC"/>
    <w:rsid w:val="00557320"/>
    <w:rsid w:val="005574F2"/>
    <w:rsid w:val="0055751C"/>
    <w:rsid w:val="0055757E"/>
    <w:rsid w:val="005575A6"/>
    <w:rsid w:val="00557699"/>
    <w:rsid w:val="00557763"/>
    <w:rsid w:val="005577B6"/>
    <w:rsid w:val="00557A24"/>
    <w:rsid w:val="00557A31"/>
    <w:rsid w:val="00557A45"/>
    <w:rsid w:val="00557B47"/>
    <w:rsid w:val="00557C9D"/>
    <w:rsid w:val="00557CA5"/>
    <w:rsid w:val="00557D3E"/>
    <w:rsid w:val="00557DA5"/>
    <w:rsid w:val="00557DDB"/>
    <w:rsid w:val="00557E34"/>
    <w:rsid w:val="00557E3A"/>
    <w:rsid w:val="00557EFE"/>
    <w:rsid w:val="00557F0B"/>
    <w:rsid w:val="00557F4C"/>
    <w:rsid w:val="00557FDB"/>
    <w:rsid w:val="005601E0"/>
    <w:rsid w:val="005602A6"/>
    <w:rsid w:val="005602C1"/>
    <w:rsid w:val="00560347"/>
    <w:rsid w:val="005603F4"/>
    <w:rsid w:val="0056042A"/>
    <w:rsid w:val="00560737"/>
    <w:rsid w:val="00560851"/>
    <w:rsid w:val="005608D0"/>
    <w:rsid w:val="005608D6"/>
    <w:rsid w:val="00560977"/>
    <w:rsid w:val="00560CB7"/>
    <w:rsid w:val="00560D19"/>
    <w:rsid w:val="00560DB6"/>
    <w:rsid w:val="00560E30"/>
    <w:rsid w:val="00560F12"/>
    <w:rsid w:val="00560FDF"/>
    <w:rsid w:val="00561083"/>
    <w:rsid w:val="005610F9"/>
    <w:rsid w:val="00561114"/>
    <w:rsid w:val="00561229"/>
    <w:rsid w:val="005612F7"/>
    <w:rsid w:val="0056132C"/>
    <w:rsid w:val="00561334"/>
    <w:rsid w:val="00561410"/>
    <w:rsid w:val="005615CC"/>
    <w:rsid w:val="005615DF"/>
    <w:rsid w:val="005616D7"/>
    <w:rsid w:val="005617D4"/>
    <w:rsid w:val="00561839"/>
    <w:rsid w:val="005619AF"/>
    <w:rsid w:val="00561A2F"/>
    <w:rsid w:val="00561BA8"/>
    <w:rsid w:val="00561C1B"/>
    <w:rsid w:val="00561C5D"/>
    <w:rsid w:val="00561D77"/>
    <w:rsid w:val="00561E4A"/>
    <w:rsid w:val="00561E62"/>
    <w:rsid w:val="00561ED2"/>
    <w:rsid w:val="00561F10"/>
    <w:rsid w:val="00561FB3"/>
    <w:rsid w:val="00562028"/>
    <w:rsid w:val="00562039"/>
    <w:rsid w:val="00562131"/>
    <w:rsid w:val="005621C8"/>
    <w:rsid w:val="00562249"/>
    <w:rsid w:val="00562276"/>
    <w:rsid w:val="005622F1"/>
    <w:rsid w:val="005623A7"/>
    <w:rsid w:val="00562438"/>
    <w:rsid w:val="005624AF"/>
    <w:rsid w:val="005626DF"/>
    <w:rsid w:val="0056270B"/>
    <w:rsid w:val="00562749"/>
    <w:rsid w:val="00562778"/>
    <w:rsid w:val="005627EE"/>
    <w:rsid w:val="00562939"/>
    <w:rsid w:val="00562984"/>
    <w:rsid w:val="00562A30"/>
    <w:rsid w:val="00562A6F"/>
    <w:rsid w:val="00562C1C"/>
    <w:rsid w:val="00562C2D"/>
    <w:rsid w:val="00562E6B"/>
    <w:rsid w:val="00562F11"/>
    <w:rsid w:val="00562FFF"/>
    <w:rsid w:val="005630B3"/>
    <w:rsid w:val="0056310D"/>
    <w:rsid w:val="0056316B"/>
    <w:rsid w:val="005631BD"/>
    <w:rsid w:val="005631E7"/>
    <w:rsid w:val="00563200"/>
    <w:rsid w:val="0056340A"/>
    <w:rsid w:val="00563583"/>
    <w:rsid w:val="005635BE"/>
    <w:rsid w:val="005636AB"/>
    <w:rsid w:val="005638BF"/>
    <w:rsid w:val="0056398E"/>
    <w:rsid w:val="005639F5"/>
    <w:rsid w:val="00563BB8"/>
    <w:rsid w:val="00563BBB"/>
    <w:rsid w:val="00563BCE"/>
    <w:rsid w:val="00563CB1"/>
    <w:rsid w:val="00563CCC"/>
    <w:rsid w:val="00563D46"/>
    <w:rsid w:val="00563D82"/>
    <w:rsid w:val="00563EA2"/>
    <w:rsid w:val="00564113"/>
    <w:rsid w:val="00564175"/>
    <w:rsid w:val="0056420F"/>
    <w:rsid w:val="00564385"/>
    <w:rsid w:val="00564426"/>
    <w:rsid w:val="0056447D"/>
    <w:rsid w:val="0056470C"/>
    <w:rsid w:val="00564776"/>
    <w:rsid w:val="0056483D"/>
    <w:rsid w:val="0056488A"/>
    <w:rsid w:val="005648CF"/>
    <w:rsid w:val="00564960"/>
    <w:rsid w:val="0056498D"/>
    <w:rsid w:val="00564ADC"/>
    <w:rsid w:val="00564B17"/>
    <w:rsid w:val="00564C4F"/>
    <w:rsid w:val="00564CA4"/>
    <w:rsid w:val="00564E03"/>
    <w:rsid w:val="00564E74"/>
    <w:rsid w:val="00564FA2"/>
    <w:rsid w:val="00564FA4"/>
    <w:rsid w:val="00565101"/>
    <w:rsid w:val="00565123"/>
    <w:rsid w:val="0056529A"/>
    <w:rsid w:val="0056542A"/>
    <w:rsid w:val="005654B0"/>
    <w:rsid w:val="0056553A"/>
    <w:rsid w:val="005655A0"/>
    <w:rsid w:val="005655C6"/>
    <w:rsid w:val="005658EE"/>
    <w:rsid w:val="00565917"/>
    <w:rsid w:val="0056592F"/>
    <w:rsid w:val="00565A5B"/>
    <w:rsid w:val="00565B40"/>
    <w:rsid w:val="00565B56"/>
    <w:rsid w:val="00565CD4"/>
    <w:rsid w:val="00565D6B"/>
    <w:rsid w:val="00565DA1"/>
    <w:rsid w:val="00565DE3"/>
    <w:rsid w:val="00565DE5"/>
    <w:rsid w:val="00565DE7"/>
    <w:rsid w:val="00565E85"/>
    <w:rsid w:val="00565EAD"/>
    <w:rsid w:val="00565EFB"/>
    <w:rsid w:val="00565F1B"/>
    <w:rsid w:val="005660CA"/>
    <w:rsid w:val="00566131"/>
    <w:rsid w:val="0056615F"/>
    <w:rsid w:val="0056629A"/>
    <w:rsid w:val="00566353"/>
    <w:rsid w:val="0056636E"/>
    <w:rsid w:val="005663AE"/>
    <w:rsid w:val="005663E2"/>
    <w:rsid w:val="00566400"/>
    <w:rsid w:val="005664DE"/>
    <w:rsid w:val="005664EA"/>
    <w:rsid w:val="005665B3"/>
    <w:rsid w:val="00566636"/>
    <w:rsid w:val="005666B4"/>
    <w:rsid w:val="00566821"/>
    <w:rsid w:val="005668A2"/>
    <w:rsid w:val="005669CE"/>
    <w:rsid w:val="00566A1A"/>
    <w:rsid w:val="00566B6A"/>
    <w:rsid w:val="00566BA0"/>
    <w:rsid w:val="00566BDA"/>
    <w:rsid w:val="00566C0E"/>
    <w:rsid w:val="00566C30"/>
    <w:rsid w:val="00566C50"/>
    <w:rsid w:val="00566CB1"/>
    <w:rsid w:val="00566D23"/>
    <w:rsid w:val="00566D48"/>
    <w:rsid w:val="00566ECE"/>
    <w:rsid w:val="00566F00"/>
    <w:rsid w:val="00566FC6"/>
    <w:rsid w:val="00567083"/>
    <w:rsid w:val="00567149"/>
    <w:rsid w:val="00567223"/>
    <w:rsid w:val="00567240"/>
    <w:rsid w:val="005672AA"/>
    <w:rsid w:val="005672DB"/>
    <w:rsid w:val="0056731F"/>
    <w:rsid w:val="005673EA"/>
    <w:rsid w:val="005674FF"/>
    <w:rsid w:val="005675FB"/>
    <w:rsid w:val="00567609"/>
    <w:rsid w:val="00567615"/>
    <w:rsid w:val="0056761F"/>
    <w:rsid w:val="005677BA"/>
    <w:rsid w:val="00567918"/>
    <w:rsid w:val="00567A85"/>
    <w:rsid w:val="00567B2C"/>
    <w:rsid w:val="00567B2E"/>
    <w:rsid w:val="00567B6D"/>
    <w:rsid w:val="00567B7D"/>
    <w:rsid w:val="00567C97"/>
    <w:rsid w:val="00567DC1"/>
    <w:rsid w:val="00567DCC"/>
    <w:rsid w:val="00567DF2"/>
    <w:rsid w:val="00567E61"/>
    <w:rsid w:val="0057016D"/>
    <w:rsid w:val="005701C0"/>
    <w:rsid w:val="00570204"/>
    <w:rsid w:val="00570231"/>
    <w:rsid w:val="00570269"/>
    <w:rsid w:val="005702A1"/>
    <w:rsid w:val="005702E9"/>
    <w:rsid w:val="0057039A"/>
    <w:rsid w:val="005703BF"/>
    <w:rsid w:val="005704D0"/>
    <w:rsid w:val="00570523"/>
    <w:rsid w:val="00570528"/>
    <w:rsid w:val="005705CD"/>
    <w:rsid w:val="00570636"/>
    <w:rsid w:val="005706F5"/>
    <w:rsid w:val="00570859"/>
    <w:rsid w:val="00570940"/>
    <w:rsid w:val="00570A1B"/>
    <w:rsid w:val="00570B1C"/>
    <w:rsid w:val="00570B69"/>
    <w:rsid w:val="00570BAD"/>
    <w:rsid w:val="00570C4A"/>
    <w:rsid w:val="00570CAF"/>
    <w:rsid w:val="00570D2A"/>
    <w:rsid w:val="00570D77"/>
    <w:rsid w:val="00570DAA"/>
    <w:rsid w:val="00570DC0"/>
    <w:rsid w:val="00570DFD"/>
    <w:rsid w:val="00570F88"/>
    <w:rsid w:val="005710C0"/>
    <w:rsid w:val="005712A6"/>
    <w:rsid w:val="005712E8"/>
    <w:rsid w:val="00571484"/>
    <w:rsid w:val="005714BC"/>
    <w:rsid w:val="00571508"/>
    <w:rsid w:val="00571537"/>
    <w:rsid w:val="0057169C"/>
    <w:rsid w:val="005716BF"/>
    <w:rsid w:val="005717E9"/>
    <w:rsid w:val="00571981"/>
    <w:rsid w:val="005719A0"/>
    <w:rsid w:val="00571A23"/>
    <w:rsid w:val="00571A5B"/>
    <w:rsid w:val="00571AC1"/>
    <w:rsid w:val="00571AE6"/>
    <w:rsid w:val="00571BF6"/>
    <w:rsid w:val="00571D1C"/>
    <w:rsid w:val="00571D78"/>
    <w:rsid w:val="00571D94"/>
    <w:rsid w:val="00571DC3"/>
    <w:rsid w:val="00571DD2"/>
    <w:rsid w:val="00571F4F"/>
    <w:rsid w:val="00571F96"/>
    <w:rsid w:val="0057208D"/>
    <w:rsid w:val="00572173"/>
    <w:rsid w:val="005721BF"/>
    <w:rsid w:val="00572221"/>
    <w:rsid w:val="00572254"/>
    <w:rsid w:val="005722AB"/>
    <w:rsid w:val="005722B0"/>
    <w:rsid w:val="00572307"/>
    <w:rsid w:val="005724A8"/>
    <w:rsid w:val="0057251D"/>
    <w:rsid w:val="005725D8"/>
    <w:rsid w:val="005725E2"/>
    <w:rsid w:val="005727D5"/>
    <w:rsid w:val="00572857"/>
    <w:rsid w:val="0057289E"/>
    <w:rsid w:val="0057292A"/>
    <w:rsid w:val="005729A4"/>
    <w:rsid w:val="005729F3"/>
    <w:rsid w:val="005729F6"/>
    <w:rsid w:val="00572A05"/>
    <w:rsid w:val="00572A18"/>
    <w:rsid w:val="00572A24"/>
    <w:rsid w:val="00572B96"/>
    <w:rsid w:val="00572B9E"/>
    <w:rsid w:val="00572BD4"/>
    <w:rsid w:val="00572DD3"/>
    <w:rsid w:val="00572E51"/>
    <w:rsid w:val="00572FB0"/>
    <w:rsid w:val="00572FCA"/>
    <w:rsid w:val="00572FF1"/>
    <w:rsid w:val="00573032"/>
    <w:rsid w:val="0057309E"/>
    <w:rsid w:val="00573247"/>
    <w:rsid w:val="0057335B"/>
    <w:rsid w:val="00573394"/>
    <w:rsid w:val="005733B9"/>
    <w:rsid w:val="0057353A"/>
    <w:rsid w:val="00573587"/>
    <w:rsid w:val="005737C1"/>
    <w:rsid w:val="005739CE"/>
    <w:rsid w:val="00573A6D"/>
    <w:rsid w:val="00573AA3"/>
    <w:rsid w:val="00573B76"/>
    <w:rsid w:val="00573B8A"/>
    <w:rsid w:val="00573BC6"/>
    <w:rsid w:val="00573BFB"/>
    <w:rsid w:val="00573D25"/>
    <w:rsid w:val="00573D2C"/>
    <w:rsid w:val="00573D87"/>
    <w:rsid w:val="00573DBB"/>
    <w:rsid w:val="00573E2F"/>
    <w:rsid w:val="00573E61"/>
    <w:rsid w:val="00573E64"/>
    <w:rsid w:val="00573EC8"/>
    <w:rsid w:val="00574025"/>
    <w:rsid w:val="00574130"/>
    <w:rsid w:val="005741D5"/>
    <w:rsid w:val="0057421A"/>
    <w:rsid w:val="0057443B"/>
    <w:rsid w:val="00574493"/>
    <w:rsid w:val="005746F2"/>
    <w:rsid w:val="0057471E"/>
    <w:rsid w:val="0057473F"/>
    <w:rsid w:val="00574849"/>
    <w:rsid w:val="00574905"/>
    <w:rsid w:val="00574920"/>
    <w:rsid w:val="0057492B"/>
    <w:rsid w:val="00574B2E"/>
    <w:rsid w:val="00574C13"/>
    <w:rsid w:val="00574E0A"/>
    <w:rsid w:val="00574ED4"/>
    <w:rsid w:val="00574F8C"/>
    <w:rsid w:val="00575089"/>
    <w:rsid w:val="0057519D"/>
    <w:rsid w:val="0057523D"/>
    <w:rsid w:val="005752BF"/>
    <w:rsid w:val="0057537F"/>
    <w:rsid w:val="00575407"/>
    <w:rsid w:val="00575450"/>
    <w:rsid w:val="0057547D"/>
    <w:rsid w:val="00575484"/>
    <w:rsid w:val="005754D8"/>
    <w:rsid w:val="005754D9"/>
    <w:rsid w:val="00575758"/>
    <w:rsid w:val="0057575B"/>
    <w:rsid w:val="005757FA"/>
    <w:rsid w:val="005758AB"/>
    <w:rsid w:val="005758E9"/>
    <w:rsid w:val="005759C9"/>
    <w:rsid w:val="00575AED"/>
    <w:rsid w:val="00575B25"/>
    <w:rsid w:val="00575BA7"/>
    <w:rsid w:val="00575BBE"/>
    <w:rsid w:val="00575BE8"/>
    <w:rsid w:val="00575C75"/>
    <w:rsid w:val="00575E6D"/>
    <w:rsid w:val="00575EA0"/>
    <w:rsid w:val="00575EDA"/>
    <w:rsid w:val="00575F5F"/>
    <w:rsid w:val="00575FB9"/>
    <w:rsid w:val="005760A3"/>
    <w:rsid w:val="005760C5"/>
    <w:rsid w:val="005760C8"/>
    <w:rsid w:val="005760DC"/>
    <w:rsid w:val="00576117"/>
    <w:rsid w:val="00576123"/>
    <w:rsid w:val="005761E8"/>
    <w:rsid w:val="005762E2"/>
    <w:rsid w:val="0057636E"/>
    <w:rsid w:val="005763FE"/>
    <w:rsid w:val="00576457"/>
    <w:rsid w:val="00576486"/>
    <w:rsid w:val="0057650B"/>
    <w:rsid w:val="00576541"/>
    <w:rsid w:val="005765BE"/>
    <w:rsid w:val="00576672"/>
    <w:rsid w:val="0057682D"/>
    <w:rsid w:val="00576893"/>
    <w:rsid w:val="005768E6"/>
    <w:rsid w:val="00576924"/>
    <w:rsid w:val="00576993"/>
    <w:rsid w:val="00576AC2"/>
    <w:rsid w:val="00576B8E"/>
    <w:rsid w:val="00576C4B"/>
    <w:rsid w:val="00576CB1"/>
    <w:rsid w:val="00576D88"/>
    <w:rsid w:val="00576E0B"/>
    <w:rsid w:val="00576EBC"/>
    <w:rsid w:val="00576F78"/>
    <w:rsid w:val="00576FC2"/>
    <w:rsid w:val="00577025"/>
    <w:rsid w:val="00577067"/>
    <w:rsid w:val="005770AB"/>
    <w:rsid w:val="005770D5"/>
    <w:rsid w:val="00577182"/>
    <w:rsid w:val="00577195"/>
    <w:rsid w:val="005771FC"/>
    <w:rsid w:val="00577484"/>
    <w:rsid w:val="005774A0"/>
    <w:rsid w:val="005775C1"/>
    <w:rsid w:val="00577A31"/>
    <w:rsid w:val="00577A67"/>
    <w:rsid w:val="00577B7F"/>
    <w:rsid w:val="00577EB2"/>
    <w:rsid w:val="00577EBD"/>
    <w:rsid w:val="00577EFD"/>
    <w:rsid w:val="00580009"/>
    <w:rsid w:val="00580024"/>
    <w:rsid w:val="0058012D"/>
    <w:rsid w:val="00580138"/>
    <w:rsid w:val="00580154"/>
    <w:rsid w:val="00580277"/>
    <w:rsid w:val="005803DB"/>
    <w:rsid w:val="0058040D"/>
    <w:rsid w:val="005804B9"/>
    <w:rsid w:val="00580505"/>
    <w:rsid w:val="0058053D"/>
    <w:rsid w:val="00580636"/>
    <w:rsid w:val="00580643"/>
    <w:rsid w:val="00580769"/>
    <w:rsid w:val="005807A7"/>
    <w:rsid w:val="005808BF"/>
    <w:rsid w:val="0058093F"/>
    <w:rsid w:val="005809BE"/>
    <w:rsid w:val="005809F0"/>
    <w:rsid w:val="00580A4C"/>
    <w:rsid w:val="00580B70"/>
    <w:rsid w:val="00580B7D"/>
    <w:rsid w:val="00580D76"/>
    <w:rsid w:val="00580E4A"/>
    <w:rsid w:val="00580FE9"/>
    <w:rsid w:val="00581099"/>
    <w:rsid w:val="005810BD"/>
    <w:rsid w:val="0058112A"/>
    <w:rsid w:val="0058113F"/>
    <w:rsid w:val="0058116E"/>
    <w:rsid w:val="0058117E"/>
    <w:rsid w:val="0058119C"/>
    <w:rsid w:val="00581215"/>
    <w:rsid w:val="00581217"/>
    <w:rsid w:val="0058124D"/>
    <w:rsid w:val="00581283"/>
    <w:rsid w:val="005813CF"/>
    <w:rsid w:val="00581455"/>
    <w:rsid w:val="00581503"/>
    <w:rsid w:val="00581581"/>
    <w:rsid w:val="00581601"/>
    <w:rsid w:val="00581677"/>
    <w:rsid w:val="0058169A"/>
    <w:rsid w:val="00581728"/>
    <w:rsid w:val="005817E4"/>
    <w:rsid w:val="0058195A"/>
    <w:rsid w:val="00581A4D"/>
    <w:rsid w:val="00581A89"/>
    <w:rsid w:val="00581B25"/>
    <w:rsid w:val="00581CE4"/>
    <w:rsid w:val="00581DD0"/>
    <w:rsid w:val="00581DDC"/>
    <w:rsid w:val="00581F2F"/>
    <w:rsid w:val="00581FA8"/>
    <w:rsid w:val="0058200F"/>
    <w:rsid w:val="0058202C"/>
    <w:rsid w:val="00582129"/>
    <w:rsid w:val="00582196"/>
    <w:rsid w:val="005822C5"/>
    <w:rsid w:val="005822E1"/>
    <w:rsid w:val="005823B6"/>
    <w:rsid w:val="00582476"/>
    <w:rsid w:val="005824DA"/>
    <w:rsid w:val="0058258C"/>
    <w:rsid w:val="0058269D"/>
    <w:rsid w:val="005826B6"/>
    <w:rsid w:val="00582705"/>
    <w:rsid w:val="00582742"/>
    <w:rsid w:val="00582785"/>
    <w:rsid w:val="00582807"/>
    <w:rsid w:val="00582817"/>
    <w:rsid w:val="00582819"/>
    <w:rsid w:val="00582A5B"/>
    <w:rsid w:val="00582A8C"/>
    <w:rsid w:val="00582AE5"/>
    <w:rsid w:val="00582B1F"/>
    <w:rsid w:val="00582B3D"/>
    <w:rsid w:val="00582CBF"/>
    <w:rsid w:val="00582D17"/>
    <w:rsid w:val="00582D73"/>
    <w:rsid w:val="00582DE4"/>
    <w:rsid w:val="00582E17"/>
    <w:rsid w:val="00582EB9"/>
    <w:rsid w:val="00582F89"/>
    <w:rsid w:val="00582FD0"/>
    <w:rsid w:val="00582FDA"/>
    <w:rsid w:val="00583089"/>
    <w:rsid w:val="00583100"/>
    <w:rsid w:val="00583167"/>
    <w:rsid w:val="005831A1"/>
    <w:rsid w:val="0058320F"/>
    <w:rsid w:val="00583259"/>
    <w:rsid w:val="0058338A"/>
    <w:rsid w:val="005833FF"/>
    <w:rsid w:val="00583460"/>
    <w:rsid w:val="005834A0"/>
    <w:rsid w:val="005834C8"/>
    <w:rsid w:val="005835EF"/>
    <w:rsid w:val="0058364E"/>
    <w:rsid w:val="0058386A"/>
    <w:rsid w:val="005838EC"/>
    <w:rsid w:val="005839F7"/>
    <w:rsid w:val="00583A55"/>
    <w:rsid w:val="00583AF6"/>
    <w:rsid w:val="00583B0E"/>
    <w:rsid w:val="00583B39"/>
    <w:rsid w:val="00583BC6"/>
    <w:rsid w:val="00583C17"/>
    <w:rsid w:val="00583CE3"/>
    <w:rsid w:val="00583D3B"/>
    <w:rsid w:val="00583DDC"/>
    <w:rsid w:val="00583E5A"/>
    <w:rsid w:val="00583EA5"/>
    <w:rsid w:val="00583F11"/>
    <w:rsid w:val="00583F58"/>
    <w:rsid w:val="00584009"/>
    <w:rsid w:val="0058404A"/>
    <w:rsid w:val="0058404D"/>
    <w:rsid w:val="005840F3"/>
    <w:rsid w:val="0058415C"/>
    <w:rsid w:val="0058419A"/>
    <w:rsid w:val="005844FA"/>
    <w:rsid w:val="00584578"/>
    <w:rsid w:val="0058467E"/>
    <w:rsid w:val="005847D5"/>
    <w:rsid w:val="00584923"/>
    <w:rsid w:val="00584A3F"/>
    <w:rsid w:val="00584B69"/>
    <w:rsid w:val="00584BDC"/>
    <w:rsid w:val="00584C42"/>
    <w:rsid w:val="00584C50"/>
    <w:rsid w:val="00584D79"/>
    <w:rsid w:val="00584DF8"/>
    <w:rsid w:val="00584DFE"/>
    <w:rsid w:val="00584E3B"/>
    <w:rsid w:val="00584E5D"/>
    <w:rsid w:val="00584EF8"/>
    <w:rsid w:val="00584F49"/>
    <w:rsid w:val="00584FA3"/>
    <w:rsid w:val="00584FCA"/>
    <w:rsid w:val="0058501F"/>
    <w:rsid w:val="00585081"/>
    <w:rsid w:val="00585136"/>
    <w:rsid w:val="0058514C"/>
    <w:rsid w:val="00585187"/>
    <w:rsid w:val="005851E9"/>
    <w:rsid w:val="00585271"/>
    <w:rsid w:val="0058533E"/>
    <w:rsid w:val="0058541E"/>
    <w:rsid w:val="005854F5"/>
    <w:rsid w:val="00585588"/>
    <w:rsid w:val="00585667"/>
    <w:rsid w:val="00585675"/>
    <w:rsid w:val="0058567E"/>
    <w:rsid w:val="005857E3"/>
    <w:rsid w:val="00585869"/>
    <w:rsid w:val="005858B7"/>
    <w:rsid w:val="005858C7"/>
    <w:rsid w:val="005858D1"/>
    <w:rsid w:val="005858D4"/>
    <w:rsid w:val="005858E6"/>
    <w:rsid w:val="00585B25"/>
    <w:rsid w:val="00585B7C"/>
    <w:rsid w:val="00585C0A"/>
    <w:rsid w:val="00585C0C"/>
    <w:rsid w:val="00585C9B"/>
    <w:rsid w:val="00585CA0"/>
    <w:rsid w:val="00585D35"/>
    <w:rsid w:val="00585DA0"/>
    <w:rsid w:val="00585E5D"/>
    <w:rsid w:val="00585E90"/>
    <w:rsid w:val="00585F0C"/>
    <w:rsid w:val="00585F0F"/>
    <w:rsid w:val="00585F10"/>
    <w:rsid w:val="00585FA9"/>
    <w:rsid w:val="00585FCC"/>
    <w:rsid w:val="0058606F"/>
    <w:rsid w:val="00586149"/>
    <w:rsid w:val="0058617E"/>
    <w:rsid w:val="005861D7"/>
    <w:rsid w:val="005862D1"/>
    <w:rsid w:val="005862D2"/>
    <w:rsid w:val="0058633B"/>
    <w:rsid w:val="00586382"/>
    <w:rsid w:val="005863E5"/>
    <w:rsid w:val="005863F1"/>
    <w:rsid w:val="0058643F"/>
    <w:rsid w:val="00586489"/>
    <w:rsid w:val="005865D7"/>
    <w:rsid w:val="005866B4"/>
    <w:rsid w:val="00586826"/>
    <w:rsid w:val="00586954"/>
    <w:rsid w:val="00586974"/>
    <w:rsid w:val="005869B4"/>
    <w:rsid w:val="00586A95"/>
    <w:rsid w:val="00586A99"/>
    <w:rsid w:val="00586AE9"/>
    <w:rsid w:val="00586B36"/>
    <w:rsid w:val="00586D27"/>
    <w:rsid w:val="00586D48"/>
    <w:rsid w:val="00586DB1"/>
    <w:rsid w:val="00586DB2"/>
    <w:rsid w:val="00586E7F"/>
    <w:rsid w:val="00586F36"/>
    <w:rsid w:val="005870D4"/>
    <w:rsid w:val="005871C3"/>
    <w:rsid w:val="00587234"/>
    <w:rsid w:val="005872A5"/>
    <w:rsid w:val="005872F4"/>
    <w:rsid w:val="0058733E"/>
    <w:rsid w:val="0058738F"/>
    <w:rsid w:val="005874A6"/>
    <w:rsid w:val="005874AA"/>
    <w:rsid w:val="0058767E"/>
    <w:rsid w:val="00587723"/>
    <w:rsid w:val="00587737"/>
    <w:rsid w:val="00587745"/>
    <w:rsid w:val="00587897"/>
    <w:rsid w:val="00587B2D"/>
    <w:rsid w:val="00587B4D"/>
    <w:rsid w:val="00587C50"/>
    <w:rsid w:val="00587CA5"/>
    <w:rsid w:val="00587E33"/>
    <w:rsid w:val="00587FA4"/>
    <w:rsid w:val="00590022"/>
    <w:rsid w:val="0059003D"/>
    <w:rsid w:val="00590082"/>
    <w:rsid w:val="0059010E"/>
    <w:rsid w:val="0059011B"/>
    <w:rsid w:val="0059020E"/>
    <w:rsid w:val="005902E0"/>
    <w:rsid w:val="005902E8"/>
    <w:rsid w:val="005902FE"/>
    <w:rsid w:val="0059031E"/>
    <w:rsid w:val="005903CB"/>
    <w:rsid w:val="00590465"/>
    <w:rsid w:val="00590475"/>
    <w:rsid w:val="00590575"/>
    <w:rsid w:val="005905A1"/>
    <w:rsid w:val="0059067B"/>
    <w:rsid w:val="005906E4"/>
    <w:rsid w:val="00590741"/>
    <w:rsid w:val="005907B8"/>
    <w:rsid w:val="00590980"/>
    <w:rsid w:val="005909DC"/>
    <w:rsid w:val="005909F3"/>
    <w:rsid w:val="00590B37"/>
    <w:rsid w:val="00590C1C"/>
    <w:rsid w:val="00590CD5"/>
    <w:rsid w:val="00590DCE"/>
    <w:rsid w:val="005910ED"/>
    <w:rsid w:val="005911EA"/>
    <w:rsid w:val="005912EE"/>
    <w:rsid w:val="00591334"/>
    <w:rsid w:val="005914DD"/>
    <w:rsid w:val="00591581"/>
    <w:rsid w:val="00591582"/>
    <w:rsid w:val="00591591"/>
    <w:rsid w:val="005915A0"/>
    <w:rsid w:val="00591660"/>
    <w:rsid w:val="00591682"/>
    <w:rsid w:val="005917F7"/>
    <w:rsid w:val="005918E3"/>
    <w:rsid w:val="00591A91"/>
    <w:rsid w:val="00591B04"/>
    <w:rsid w:val="00591B4B"/>
    <w:rsid w:val="00591B9B"/>
    <w:rsid w:val="00591C4C"/>
    <w:rsid w:val="00591E74"/>
    <w:rsid w:val="00591EB4"/>
    <w:rsid w:val="005920D9"/>
    <w:rsid w:val="00592165"/>
    <w:rsid w:val="005921B8"/>
    <w:rsid w:val="005922B2"/>
    <w:rsid w:val="00592365"/>
    <w:rsid w:val="00592426"/>
    <w:rsid w:val="0059244F"/>
    <w:rsid w:val="00592554"/>
    <w:rsid w:val="0059258F"/>
    <w:rsid w:val="005925AB"/>
    <w:rsid w:val="005925CA"/>
    <w:rsid w:val="005926A1"/>
    <w:rsid w:val="005926D1"/>
    <w:rsid w:val="0059284D"/>
    <w:rsid w:val="00592906"/>
    <w:rsid w:val="00592A4E"/>
    <w:rsid w:val="00592B1B"/>
    <w:rsid w:val="00592C62"/>
    <w:rsid w:val="00592C7B"/>
    <w:rsid w:val="00592D78"/>
    <w:rsid w:val="00592D8B"/>
    <w:rsid w:val="00592D9C"/>
    <w:rsid w:val="00592DC6"/>
    <w:rsid w:val="00592E52"/>
    <w:rsid w:val="00592E5B"/>
    <w:rsid w:val="00592F20"/>
    <w:rsid w:val="00592F6F"/>
    <w:rsid w:val="00593046"/>
    <w:rsid w:val="005931A9"/>
    <w:rsid w:val="00593291"/>
    <w:rsid w:val="00593307"/>
    <w:rsid w:val="00593523"/>
    <w:rsid w:val="00593609"/>
    <w:rsid w:val="0059365D"/>
    <w:rsid w:val="005936B2"/>
    <w:rsid w:val="005936BA"/>
    <w:rsid w:val="005937AF"/>
    <w:rsid w:val="00593819"/>
    <w:rsid w:val="0059381D"/>
    <w:rsid w:val="005938C6"/>
    <w:rsid w:val="0059390E"/>
    <w:rsid w:val="00593978"/>
    <w:rsid w:val="005939BD"/>
    <w:rsid w:val="00593A25"/>
    <w:rsid w:val="00593A33"/>
    <w:rsid w:val="00593A59"/>
    <w:rsid w:val="00593BED"/>
    <w:rsid w:val="00593C1B"/>
    <w:rsid w:val="00593C52"/>
    <w:rsid w:val="00593C75"/>
    <w:rsid w:val="00593D37"/>
    <w:rsid w:val="00593DEC"/>
    <w:rsid w:val="00593F5C"/>
    <w:rsid w:val="00593FFD"/>
    <w:rsid w:val="0059407C"/>
    <w:rsid w:val="0059414A"/>
    <w:rsid w:val="00594215"/>
    <w:rsid w:val="005943A1"/>
    <w:rsid w:val="005943AA"/>
    <w:rsid w:val="005943E6"/>
    <w:rsid w:val="005943EE"/>
    <w:rsid w:val="00594455"/>
    <w:rsid w:val="0059447F"/>
    <w:rsid w:val="005945AD"/>
    <w:rsid w:val="0059464A"/>
    <w:rsid w:val="005947ED"/>
    <w:rsid w:val="00594842"/>
    <w:rsid w:val="0059491E"/>
    <w:rsid w:val="00594A9D"/>
    <w:rsid w:val="00594B42"/>
    <w:rsid w:val="00594B7B"/>
    <w:rsid w:val="00594BD0"/>
    <w:rsid w:val="00594C23"/>
    <w:rsid w:val="00594C26"/>
    <w:rsid w:val="00594CA7"/>
    <w:rsid w:val="00594DC1"/>
    <w:rsid w:val="00594DFD"/>
    <w:rsid w:val="00594E72"/>
    <w:rsid w:val="00594F71"/>
    <w:rsid w:val="00595004"/>
    <w:rsid w:val="005950A5"/>
    <w:rsid w:val="005950BD"/>
    <w:rsid w:val="005952A0"/>
    <w:rsid w:val="0059536D"/>
    <w:rsid w:val="005953EA"/>
    <w:rsid w:val="005953F3"/>
    <w:rsid w:val="005954D3"/>
    <w:rsid w:val="00595543"/>
    <w:rsid w:val="00595595"/>
    <w:rsid w:val="0059560A"/>
    <w:rsid w:val="0059565E"/>
    <w:rsid w:val="005958B9"/>
    <w:rsid w:val="00595A03"/>
    <w:rsid w:val="00595A19"/>
    <w:rsid w:val="00595AA7"/>
    <w:rsid w:val="00595BB6"/>
    <w:rsid w:val="00595C50"/>
    <w:rsid w:val="00595F10"/>
    <w:rsid w:val="00595F68"/>
    <w:rsid w:val="0059601F"/>
    <w:rsid w:val="00596053"/>
    <w:rsid w:val="00596148"/>
    <w:rsid w:val="00596335"/>
    <w:rsid w:val="0059636B"/>
    <w:rsid w:val="00596401"/>
    <w:rsid w:val="005964B9"/>
    <w:rsid w:val="0059663F"/>
    <w:rsid w:val="00596693"/>
    <w:rsid w:val="00596778"/>
    <w:rsid w:val="00596788"/>
    <w:rsid w:val="005967EC"/>
    <w:rsid w:val="0059690A"/>
    <w:rsid w:val="0059692D"/>
    <w:rsid w:val="0059692F"/>
    <w:rsid w:val="0059693C"/>
    <w:rsid w:val="00596A0B"/>
    <w:rsid w:val="00596B3F"/>
    <w:rsid w:val="00596C6A"/>
    <w:rsid w:val="00596D7D"/>
    <w:rsid w:val="00596E68"/>
    <w:rsid w:val="00596E6D"/>
    <w:rsid w:val="0059701E"/>
    <w:rsid w:val="00597055"/>
    <w:rsid w:val="0059733A"/>
    <w:rsid w:val="00597377"/>
    <w:rsid w:val="005973EA"/>
    <w:rsid w:val="00597450"/>
    <w:rsid w:val="005974D6"/>
    <w:rsid w:val="005975D1"/>
    <w:rsid w:val="005975D8"/>
    <w:rsid w:val="005975DB"/>
    <w:rsid w:val="005976AF"/>
    <w:rsid w:val="005977BC"/>
    <w:rsid w:val="005977D7"/>
    <w:rsid w:val="00597843"/>
    <w:rsid w:val="005978CC"/>
    <w:rsid w:val="00597929"/>
    <w:rsid w:val="00597962"/>
    <w:rsid w:val="00597A09"/>
    <w:rsid w:val="00597A57"/>
    <w:rsid w:val="00597C8D"/>
    <w:rsid w:val="00597D4B"/>
    <w:rsid w:val="00597D9C"/>
    <w:rsid w:val="00597EDC"/>
    <w:rsid w:val="00597EFF"/>
    <w:rsid w:val="00597F75"/>
    <w:rsid w:val="00597F93"/>
    <w:rsid w:val="005A0065"/>
    <w:rsid w:val="005A00D4"/>
    <w:rsid w:val="005A016B"/>
    <w:rsid w:val="005A0507"/>
    <w:rsid w:val="005A05BC"/>
    <w:rsid w:val="005A05E0"/>
    <w:rsid w:val="005A07E3"/>
    <w:rsid w:val="005A0818"/>
    <w:rsid w:val="005A0835"/>
    <w:rsid w:val="005A08DD"/>
    <w:rsid w:val="005A08F9"/>
    <w:rsid w:val="005A0920"/>
    <w:rsid w:val="005A0A4D"/>
    <w:rsid w:val="005A0A6D"/>
    <w:rsid w:val="005A0AD6"/>
    <w:rsid w:val="005A0B8F"/>
    <w:rsid w:val="005A0C01"/>
    <w:rsid w:val="005A0C58"/>
    <w:rsid w:val="005A0C88"/>
    <w:rsid w:val="005A0C98"/>
    <w:rsid w:val="005A0CE1"/>
    <w:rsid w:val="005A0D03"/>
    <w:rsid w:val="005A0E20"/>
    <w:rsid w:val="005A0F72"/>
    <w:rsid w:val="005A10CD"/>
    <w:rsid w:val="005A1199"/>
    <w:rsid w:val="005A121D"/>
    <w:rsid w:val="005A1386"/>
    <w:rsid w:val="005A149E"/>
    <w:rsid w:val="005A14BE"/>
    <w:rsid w:val="005A15C3"/>
    <w:rsid w:val="005A1699"/>
    <w:rsid w:val="005A16BD"/>
    <w:rsid w:val="005A19B9"/>
    <w:rsid w:val="005A1A1E"/>
    <w:rsid w:val="005A1A6B"/>
    <w:rsid w:val="005A1A7F"/>
    <w:rsid w:val="005A1B2A"/>
    <w:rsid w:val="005A1B40"/>
    <w:rsid w:val="005A1B4F"/>
    <w:rsid w:val="005A1BA8"/>
    <w:rsid w:val="005A1C86"/>
    <w:rsid w:val="005A1CDA"/>
    <w:rsid w:val="005A1D30"/>
    <w:rsid w:val="005A1D71"/>
    <w:rsid w:val="005A1D74"/>
    <w:rsid w:val="005A1F41"/>
    <w:rsid w:val="005A1F6A"/>
    <w:rsid w:val="005A2024"/>
    <w:rsid w:val="005A2035"/>
    <w:rsid w:val="005A22E5"/>
    <w:rsid w:val="005A2367"/>
    <w:rsid w:val="005A23E8"/>
    <w:rsid w:val="005A2489"/>
    <w:rsid w:val="005A24EC"/>
    <w:rsid w:val="005A26FC"/>
    <w:rsid w:val="005A276B"/>
    <w:rsid w:val="005A29AA"/>
    <w:rsid w:val="005A2BA5"/>
    <w:rsid w:val="005A2BDB"/>
    <w:rsid w:val="005A2C96"/>
    <w:rsid w:val="005A2DDC"/>
    <w:rsid w:val="005A2E55"/>
    <w:rsid w:val="005A2E76"/>
    <w:rsid w:val="005A310C"/>
    <w:rsid w:val="005A311B"/>
    <w:rsid w:val="005A316D"/>
    <w:rsid w:val="005A329E"/>
    <w:rsid w:val="005A34C7"/>
    <w:rsid w:val="005A353A"/>
    <w:rsid w:val="005A35A0"/>
    <w:rsid w:val="005A35A9"/>
    <w:rsid w:val="005A360F"/>
    <w:rsid w:val="005A3707"/>
    <w:rsid w:val="005A3724"/>
    <w:rsid w:val="005A3764"/>
    <w:rsid w:val="005A3812"/>
    <w:rsid w:val="005A3842"/>
    <w:rsid w:val="005A389C"/>
    <w:rsid w:val="005A38C2"/>
    <w:rsid w:val="005A38EC"/>
    <w:rsid w:val="005A39C1"/>
    <w:rsid w:val="005A3A50"/>
    <w:rsid w:val="005A3B79"/>
    <w:rsid w:val="005A3BD7"/>
    <w:rsid w:val="005A3C4A"/>
    <w:rsid w:val="005A3CB7"/>
    <w:rsid w:val="005A3DF0"/>
    <w:rsid w:val="005A3E19"/>
    <w:rsid w:val="005A3F91"/>
    <w:rsid w:val="005A4010"/>
    <w:rsid w:val="005A4112"/>
    <w:rsid w:val="005A42AB"/>
    <w:rsid w:val="005A431E"/>
    <w:rsid w:val="005A4366"/>
    <w:rsid w:val="005A4369"/>
    <w:rsid w:val="005A444A"/>
    <w:rsid w:val="005A455B"/>
    <w:rsid w:val="005A469D"/>
    <w:rsid w:val="005A46F5"/>
    <w:rsid w:val="005A4751"/>
    <w:rsid w:val="005A4776"/>
    <w:rsid w:val="005A4785"/>
    <w:rsid w:val="005A47C5"/>
    <w:rsid w:val="005A47F2"/>
    <w:rsid w:val="005A4A72"/>
    <w:rsid w:val="005A4BD6"/>
    <w:rsid w:val="005A4C2C"/>
    <w:rsid w:val="005A4C56"/>
    <w:rsid w:val="005A4E93"/>
    <w:rsid w:val="005A4EB5"/>
    <w:rsid w:val="005A5014"/>
    <w:rsid w:val="005A502A"/>
    <w:rsid w:val="005A5047"/>
    <w:rsid w:val="005A50FA"/>
    <w:rsid w:val="005A5185"/>
    <w:rsid w:val="005A52D1"/>
    <w:rsid w:val="005A538C"/>
    <w:rsid w:val="005A55EE"/>
    <w:rsid w:val="005A5853"/>
    <w:rsid w:val="005A589C"/>
    <w:rsid w:val="005A590E"/>
    <w:rsid w:val="005A596E"/>
    <w:rsid w:val="005A599E"/>
    <w:rsid w:val="005A59A0"/>
    <w:rsid w:val="005A5A07"/>
    <w:rsid w:val="005A5ABA"/>
    <w:rsid w:val="005A5BB8"/>
    <w:rsid w:val="005A5BEA"/>
    <w:rsid w:val="005A5C37"/>
    <w:rsid w:val="005A5C6F"/>
    <w:rsid w:val="005A5CFE"/>
    <w:rsid w:val="005A5D98"/>
    <w:rsid w:val="005A5DEB"/>
    <w:rsid w:val="005A5F00"/>
    <w:rsid w:val="005A5F81"/>
    <w:rsid w:val="005A6011"/>
    <w:rsid w:val="005A60DF"/>
    <w:rsid w:val="005A6176"/>
    <w:rsid w:val="005A61FC"/>
    <w:rsid w:val="005A6270"/>
    <w:rsid w:val="005A6393"/>
    <w:rsid w:val="005A63A9"/>
    <w:rsid w:val="005A64C9"/>
    <w:rsid w:val="005A6543"/>
    <w:rsid w:val="005A6660"/>
    <w:rsid w:val="005A6669"/>
    <w:rsid w:val="005A66E5"/>
    <w:rsid w:val="005A6703"/>
    <w:rsid w:val="005A67F6"/>
    <w:rsid w:val="005A682F"/>
    <w:rsid w:val="005A684A"/>
    <w:rsid w:val="005A6B5E"/>
    <w:rsid w:val="005A6B83"/>
    <w:rsid w:val="005A6C02"/>
    <w:rsid w:val="005A6D0C"/>
    <w:rsid w:val="005A6E20"/>
    <w:rsid w:val="005A6E22"/>
    <w:rsid w:val="005A6E29"/>
    <w:rsid w:val="005A6ECC"/>
    <w:rsid w:val="005A6EE1"/>
    <w:rsid w:val="005A6EE8"/>
    <w:rsid w:val="005A6F50"/>
    <w:rsid w:val="005A6F9B"/>
    <w:rsid w:val="005A6FB3"/>
    <w:rsid w:val="005A7028"/>
    <w:rsid w:val="005A7187"/>
    <w:rsid w:val="005A71A9"/>
    <w:rsid w:val="005A7226"/>
    <w:rsid w:val="005A72C0"/>
    <w:rsid w:val="005A7316"/>
    <w:rsid w:val="005A7609"/>
    <w:rsid w:val="005A7643"/>
    <w:rsid w:val="005A7782"/>
    <w:rsid w:val="005A77EF"/>
    <w:rsid w:val="005A79A2"/>
    <w:rsid w:val="005A79A8"/>
    <w:rsid w:val="005A7AB2"/>
    <w:rsid w:val="005A7BE5"/>
    <w:rsid w:val="005A7C05"/>
    <w:rsid w:val="005A7C9D"/>
    <w:rsid w:val="005A7E71"/>
    <w:rsid w:val="005A7E7C"/>
    <w:rsid w:val="005A7F69"/>
    <w:rsid w:val="005A7F79"/>
    <w:rsid w:val="005B00AA"/>
    <w:rsid w:val="005B00AD"/>
    <w:rsid w:val="005B00B5"/>
    <w:rsid w:val="005B0110"/>
    <w:rsid w:val="005B013B"/>
    <w:rsid w:val="005B04C7"/>
    <w:rsid w:val="005B0518"/>
    <w:rsid w:val="005B0577"/>
    <w:rsid w:val="005B0599"/>
    <w:rsid w:val="005B05D5"/>
    <w:rsid w:val="005B0636"/>
    <w:rsid w:val="005B087B"/>
    <w:rsid w:val="005B091A"/>
    <w:rsid w:val="005B095E"/>
    <w:rsid w:val="005B0A6F"/>
    <w:rsid w:val="005B0AB9"/>
    <w:rsid w:val="005B0AEB"/>
    <w:rsid w:val="005B0B8D"/>
    <w:rsid w:val="005B0D4F"/>
    <w:rsid w:val="005B0FC6"/>
    <w:rsid w:val="005B10D0"/>
    <w:rsid w:val="005B1264"/>
    <w:rsid w:val="005B129E"/>
    <w:rsid w:val="005B12AA"/>
    <w:rsid w:val="005B12FD"/>
    <w:rsid w:val="005B135E"/>
    <w:rsid w:val="005B136F"/>
    <w:rsid w:val="005B13AB"/>
    <w:rsid w:val="005B1438"/>
    <w:rsid w:val="005B149D"/>
    <w:rsid w:val="005B149E"/>
    <w:rsid w:val="005B14AF"/>
    <w:rsid w:val="005B154C"/>
    <w:rsid w:val="005B1667"/>
    <w:rsid w:val="005B16CB"/>
    <w:rsid w:val="005B1700"/>
    <w:rsid w:val="005B1703"/>
    <w:rsid w:val="005B1773"/>
    <w:rsid w:val="005B179E"/>
    <w:rsid w:val="005B1805"/>
    <w:rsid w:val="005B1809"/>
    <w:rsid w:val="005B1834"/>
    <w:rsid w:val="005B1869"/>
    <w:rsid w:val="005B18C8"/>
    <w:rsid w:val="005B1B65"/>
    <w:rsid w:val="005B1BDB"/>
    <w:rsid w:val="005B1C8D"/>
    <w:rsid w:val="005B1D23"/>
    <w:rsid w:val="005B1E39"/>
    <w:rsid w:val="005B1EF8"/>
    <w:rsid w:val="005B1F4C"/>
    <w:rsid w:val="005B1FAC"/>
    <w:rsid w:val="005B1FAE"/>
    <w:rsid w:val="005B1FCD"/>
    <w:rsid w:val="005B203E"/>
    <w:rsid w:val="005B20F6"/>
    <w:rsid w:val="005B2154"/>
    <w:rsid w:val="005B2170"/>
    <w:rsid w:val="005B21ED"/>
    <w:rsid w:val="005B2246"/>
    <w:rsid w:val="005B2286"/>
    <w:rsid w:val="005B22B9"/>
    <w:rsid w:val="005B22DE"/>
    <w:rsid w:val="005B2306"/>
    <w:rsid w:val="005B2383"/>
    <w:rsid w:val="005B2395"/>
    <w:rsid w:val="005B249D"/>
    <w:rsid w:val="005B2593"/>
    <w:rsid w:val="005B25E5"/>
    <w:rsid w:val="005B2725"/>
    <w:rsid w:val="005B276F"/>
    <w:rsid w:val="005B27AD"/>
    <w:rsid w:val="005B2808"/>
    <w:rsid w:val="005B2826"/>
    <w:rsid w:val="005B285F"/>
    <w:rsid w:val="005B292F"/>
    <w:rsid w:val="005B2B5F"/>
    <w:rsid w:val="005B2C1A"/>
    <w:rsid w:val="005B2C82"/>
    <w:rsid w:val="005B2D9D"/>
    <w:rsid w:val="005B2F30"/>
    <w:rsid w:val="005B3096"/>
    <w:rsid w:val="005B3157"/>
    <w:rsid w:val="005B3246"/>
    <w:rsid w:val="005B32CC"/>
    <w:rsid w:val="005B33C6"/>
    <w:rsid w:val="005B3489"/>
    <w:rsid w:val="005B353F"/>
    <w:rsid w:val="005B35A0"/>
    <w:rsid w:val="005B36EC"/>
    <w:rsid w:val="005B3723"/>
    <w:rsid w:val="005B3927"/>
    <w:rsid w:val="005B3B17"/>
    <w:rsid w:val="005B3BAA"/>
    <w:rsid w:val="005B3C1E"/>
    <w:rsid w:val="005B3DA3"/>
    <w:rsid w:val="005B3F18"/>
    <w:rsid w:val="005B3F75"/>
    <w:rsid w:val="005B3F7D"/>
    <w:rsid w:val="005B4020"/>
    <w:rsid w:val="005B4130"/>
    <w:rsid w:val="005B4218"/>
    <w:rsid w:val="005B42E8"/>
    <w:rsid w:val="005B4339"/>
    <w:rsid w:val="005B4359"/>
    <w:rsid w:val="005B43FB"/>
    <w:rsid w:val="005B43FC"/>
    <w:rsid w:val="005B4519"/>
    <w:rsid w:val="005B45D9"/>
    <w:rsid w:val="005B45E5"/>
    <w:rsid w:val="005B4706"/>
    <w:rsid w:val="005B47DA"/>
    <w:rsid w:val="005B4937"/>
    <w:rsid w:val="005B4940"/>
    <w:rsid w:val="005B4A61"/>
    <w:rsid w:val="005B4ABB"/>
    <w:rsid w:val="005B4AC0"/>
    <w:rsid w:val="005B4C3F"/>
    <w:rsid w:val="005B4C47"/>
    <w:rsid w:val="005B4C51"/>
    <w:rsid w:val="005B4CAF"/>
    <w:rsid w:val="005B4ED1"/>
    <w:rsid w:val="005B500C"/>
    <w:rsid w:val="005B5116"/>
    <w:rsid w:val="005B517D"/>
    <w:rsid w:val="005B52F7"/>
    <w:rsid w:val="005B53D3"/>
    <w:rsid w:val="005B5450"/>
    <w:rsid w:val="005B54B0"/>
    <w:rsid w:val="005B553A"/>
    <w:rsid w:val="005B559B"/>
    <w:rsid w:val="005B5714"/>
    <w:rsid w:val="005B57A7"/>
    <w:rsid w:val="005B57F0"/>
    <w:rsid w:val="005B5862"/>
    <w:rsid w:val="005B58F7"/>
    <w:rsid w:val="005B596F"/>
    <w:rsid w:val="005B59DC"/>
    <w:rsid w:val="005B5B37"/>
    <w:rsid w:val="005B5BA4"/>
    <w:rsid w:val="005B5BC6"/>
    <w:rsid w:val="005B5BD3"/>
    <w:rsid w:val="005B5C26"/>
    <w:rsid w:val="005B5C37"/>
    <w:rsid w:val="005B5D64"/>
    <w:rsid w:val="005B5DD1"/>
    <w:rsid w:val="005B5E8D"/>
    <w:rsid w:val="005B5EDD"/>
    <w:rsid w:val="005B60A0"/>
    <w:rsid w:val="005B634D"/>
    <w:rsid w:val="005B635D"/>
    <w:rsid w:val="005B63B8"/>
    <w:rsid w:val="005B6403"/>
    <w:rsid w:val="005B661C"/>
    <w:rsid w:val="005B66B7"/>
    <w:rsid w:val="005B66C8"/>
    <w:rsid w:val="005B6715"/>
    <w:rsid w:val="005B673C"/>
    <w:rsid w:val="005B67B0"/>
    <w:rsid w:val="005B682D"/>
    <w:rsid w:val="005B6935"/>
    <w:rsid w:val="005B6944"/>
    <w:rsid w:val="005B695E"/>
    <w:rsid w:val="005B6961"/>
    <w:rsid w:val="005B6A67"/>
    <w:rsid w:val="005B6BD1"/>
    <w:rsid w:val="005B6BED"/>
    <w:rsid w:val="005B6C29"/>
    <w:rsid w:val="005B6CC2"/>
    <w:rsid w:val="005B6D87"/>
    <w:rsid w:val="005B6E60"/>
    <w:rsid w:val="005B6FD3"/>
    <w:rsid w:val="005B6FF6"/>
    <w:rsid w:val="005B70E3"/>
    <w:rsid w:val="005B710E"/>
    <w:rsid w:val="005B7192"/>
    <w:rsid w:val="005B727A"/>
    <w:rsid w:val="005B728E"/>
    <w:rsid w:val="005B7312"/>
    <w:rsid w:val="005B7367"/>
    <w:rsid w:val="005B752F"/>
    <w:rsid w:val="005B7635"/>
    <w:rsid w:val="005B76EA"/>
    <w:rsid w:val="005B77AB"/>
    <w:rsid w:val="005B78A4"/>
    <w:rsid w:val="005B79DD"/>
    <w:rsid w:val="005B7A41"/>
    <w:rsid w:val="005B7A90"/>
    <w:rsid w:val="005B7AAA"/>
    <w:rsid w:val="005B7AF3"/>
    <w:rsid w:val="005B7BEE"/>
    <w:rsid w:val="005B7C55"/>
    <w:rsid w:val="005B7D14"/>
    <w:rsid w:val="005B7DE7"/>
    <w:rsid w:val="005B7EE7"/>
    <w:rsid w:val="005B7F92"/>
    <w:rsid w:val="005B7FD9"/>
    <w:rsid w:val="005B7FF8"/>
    <w:rsid w:val="005C009C"/>
    <w:rsid w:val="005C00C1"/>
    <w:rsid w:val="005C0132"/>
    <w:rsid w:val="005C0311"/>
    <w:rsid w:val="005C03B2"/>
    <w:rsid w:val="005C03E2"/>
    <w:rsid w:val="005C0446"/>
    <w:rsid w:val="005C064B"/>
    <w:rsid w:val="005C0701"/>
    <w:rsid w:val="005C0859"/>
    <w:rsid w:val="005C0972"/>
    <w:rsid w:val="005C0980"/>
    <w:rsid w:val="005C0989"/>
    <w:rsid w:val="005C0999"/>
    <w:rsid w:val="005C0C90"/>
    <w:rsid w:val="005C0D68"/>
    <w:rsid w:val="005C0D74"/>
    <w:rsid w:val="005C0DF6"/>
    <w:rsid w:val="005C0E45"/>
    <w:rsid w:val="005C0F75"/>
    <w:rsid w:val="005C0FD5"/>
    <w:rsid w:val="005C11ED"/>
    <w:rsid w:val="005C1221"/>
    <w:rsid w:val="005C12BF"/>
    <w:rsid w:val="005C1412"/>
    <w:rsid w:val="005C1415"/>
    <w:rsid w:val="005C1444"/>
    <w:rsid w:val="005C1489"/>
    <w:rsid w:val="005C150F"/>
    <w:rsid w:val="005C1551"/>
    <w:rsid w:val="005C1570"/>
    <w:rsid w:val="005C15DC"/>
    <w:rsid w:val="005C160B"/>
    <w:rsid w:val="005C161F"/>
    <w:rsid w:val="005C177A"/>
    <w:rsid w:val="005C1884"/>
    <w:rsid w:val="005C195F"/>
    <w:rsid w:val="005C1A08"/>
    <w:rsid w:val="005C1A52"/>
    <w:rsid w:val="005C1A7E"/>
    <w:rsid w:val="005C1AC0"/>
    <w:rsid w:val="005C1AF9"/>
    <w:rsid w:val="005C1D95"/>
    <w:rsid w:val="005C1ED5"/>
    <w:rsid w:val="005C1F3A"/>
    <w:rsid w:val="005C200D"/>
    <w:rsid w:val="005C20B0"/>
    <w:rsid w:val="005C22A6"/>
    <w:rsid w:val="005C233A"/>
    <w:rsid w:val="005C23BC"/>
    <w:rsid w:val="005C24F3"/>
    <w:rsid w:val="005C250E"/>
    <w:rsid w:val="005C25DE"/>
    <w:rsid w:val="005C268E"/>
    <w:rsid w:val="005C28C6"/>
    <w:rsid w:val="005C292D"/>
    <w:rsid w:val="005C2A2C"/>
    <w:rsid w:val="005C2B81"/>
    <w:rsid w:val="005C2BD1"/>
    <w:rsid w:val="005C2C65"/>
    <w:rsid w:val="005C2D11"/>
    <w:rsid w:val="005C2D38"/>
    <w:rsid w:val="005C2D5F"/>
    <w:rsid w:val="005C2D68"/>
    <w:rsid w:val="005C2D77"/>
    <w:rsid w:val="005C2E30"/>
    <w:rsid w:val="005C2E64"/>
    <w:rsid w:val="005C2E72"/>
    <w:rsid w:val="005C2E8F"/>
    <w:rsid w:val="005C2E91"/>
    <w:rsid w:val="005C2F11"/>
    <w:rsid w:val="005C2F82"/>
    <w:rsid w:val="005C2FB9"/>
    <w:rsid w:val="005C2FD8"/>
    <w:rsid w:val="005C32C9"/>
    <w:rsid w:val="005C3539"/>
    <w:rsid w:val="005C35D6"/>
    <w:rsid w:val="005C3639"/>
    <w:rsid w:val="005C3667"/>
    <w:rsid w:val="005C3788"/>
    <w:rsid w:val="005C379A"/>
    <w:rsid w:val="005C379F"/>
    <w:rsid w:val="005C37D8"/>
    <w:rsid w:val="005C38C3"/>
    <w:rsid w:val="005C39BF"/>
    <w:rsid w:val="005C3A19"/>
    <w:rsid w:val="005C3A1B"/>
    <w:rsid w:val="005C3B5C"/>
    <w:rsid w:val="005C3C38"/>
    <w:rsid w:val="005C3CB7"/>
    <w:rsid w:val="005C3D18"/>
    <w:rsid w:val="005C3DF5"/>
    <w:rsid w:val="005C3E7E"/>
    <w:rsid w:val="005C3EB4"/>
    <w:rsid w:val="005C3ED3"/>
    <w:rsid w:val="005C3F58"/>
    <w:rsid w:val="005C4055"/>
    <w:rsid w:val="005C4136"/>
    <w:rsid w:val="005C4164"/>
    <w:rsid w:val="005C426D"/>
    <w:rsid w:val="005C4270"/>
    <w:rsid w:val="005C429A"/>
    <w:rsid w:val="005C43B1"/>
    <w:rsid w:val="005C449B"/>
    <w:rsid w:val="005C459B"/>
    <w:rsid w:val="005C45D9"/>
    <w:rsid w:val="005C45EF"/>
    <w:rsid w:val="005C4600"/>
    <w:rsid w:val="005C466A"/>
    <w:rsid w:val="005C47AD"/>
    <w:rsid w:val="005C48EC"/>
    <w:rsid w:val="005C493A"/>
    <w:rsid w:val="005C4946"/>
    <w:rsid w:val="005C49E1"/>
    <w:rsid w:val="005C4A64"/>
    <w:rsid w:val="005C4A8B"/>
    <w:rsid w:val="005C4C21"/>
    <w:rsid w:val="005C4C54"/>
    <w:rsid w:val="005C4CB2"/>
    <w:rsid w:val="005C4CF5"/>
    <w:rsid w:val="005C4D5F"/>
    <w:rsid w:val="005C4E25"/>
    <w:rsid w:val="005C4E43"/>
    <w:rsid w:val="005C4E6F"/>
    <w:rsid w:val="005C4E7C"/>
    <w:rsid w:val="005C4ED3"/>
    <w:rsid w:val="005C4FEF"/>
    <w:rsid w:val="005C504C"/>
    <w:rsid w:val="005C509B"/>
    <w:rsid w:val="005C512C"/>
    <w:rsid w:val="005C5154"/>
    <w:rsid w:val="005C5158"/>
    <w:rsid w:val="005C517F"/>
    <w:rsid w:val="005C52EF"/>
    <w:rsid w:val="005C5323"/>
    <w:rsid w:val="005C5821"/>
    <w:rsid w:val="005C58C2"/>
    <w:rsid w:val="005C58E1"/>
    <w:rsid w:val="005C59A1"/>
    <w:rsid w:val="005C59C5"/>
    <w:rsid w:val="005C59CD"/>
    <w:rsid w:val="005C5AC3"/>
    <w:rsid w:val="005C5ACB"/>
    <w:rsid w:val="005C5B67"/>
    <w:rsid w:val="005C5BC9"/>
    <w:rsid w:val="005C5C28"/>
    <w:rsid w:val="005C5C56"/>
    <w:rsid w:val="005C5C6D"/>
    <w:rsid w:val="005C5CC9"/>
    <w:rsid w:val="005C5D66"/>
    <w:rsid w:val="005C5DF5"/>
    <w:rsid w:val="005C5E2E"/>
    <w:rsid w:val="005C5E8D"/>
    <w:rsid w:val="005C5EB3"/>
    <w:rsid w:val="005C5F20"/>
    <w:rsid w:val="005C5FE7"/>
    <w:rsid w:val="005C606E"/>
    <w:rsid w:val="005C62EE"/>
    <w:rsid w:val="005C63FB"/>
    <w:rsid w:val="005C6401"/>
    <w:rsid w:val="005C658D"/>
    <w:rsid w:val="005C6598"/>
    <w:rsid w:val="005C65A4"/>
    <w:rsid w:val="005C6612"/>
    <w:rsid w:val="005C6660"/>
    <w:rsid w:val="005C6991"/>
    <w:rsid w:val="005C6A1D"/>
    <w:rsid w:val="005C6ABD"/>
    <w:rsid w:val="005C6B0D"/>
    <w:rsid w:val="005C6B23"/>
    <w:rsid w:val="005C6B4B"/>
    <w:rsid w:val="005C6BE9"/>
    <w:rsid w:val="005C6CD5"/>
    <w:rsid w:val="005C6D71"/>
    <w:rsid w:val="005C6DF4"/>
    <w:rsid w:val="005C6E60"/>
    <w:rsid w:val="005C6EEC"/>
    <w:rsid w:val="005C6F89"/>
    <w:rsid w:val="005C6FC9"/>
    <w:rsid w:val="005C704F"/>
    <w:rsid w:val="005C712A"/>
    <w:rsid w:val="005C7195"/>
    <w:rsid w:val="005C737E"/>
    <w:rsid w:val="005C73BE"/>
    <w:rsid w:val="005C73D0"/>
    <w:rsid w:val="005C73FC"/>
    <w:rsid w:val="005C7737"/>
    <w:rsid w:val="005C774E"/>
    <w:rsid w:val="005C777F"/>
    <w:rsid w:val="005C78CA"/>
    <w:rsid w:val="005C7932"/>
    <w:rsid w:val="005C7934"/>
    <w:rsid w:val="005C7A00"/>
    <w:rsid w:val="005C7A26"/>
    <w:rsid w:val="005C7A9C"/>
    <w:rsid w:val="005C7B3E"/>
    <w:rsid w:val="005C7B8C"/>
    <w:rsid w:val="005C7B9B"/>
    <w:rsid w:val="005C7BB5"/>
    <w:rsid w:val="005C7C55"/>
    <w:rsid w:val="005C7D66"/>
    <w:rsid w:val="005C7E3D"/>
    <w:rsid w:val="005C7ED3"/>
    <w:rsid w:val="005C7F30"/>
    <w:rsid w:val="005C7F78"/>
    <w:rsid w:val="005C7F90"/>
    <w:rsid w:val="005D00E5"/>
    <w:rsid w:val="005D00ED"/>
    <w:rsid w:val="005D0121"/>
    <w:rsid w:val="005D03EA"/>
    <w:rsid w:val="005D04AF"/>
    <w:rsid w:val="005D056F"/>
    <w:rsid w:val="005D0580"/>
    <w:rsid w:val="005D05C1"/>
    <w:rsid w:val="005D05F9"/>
    <w:rsid w:val="005D0604"/>
    <w:rsid w:val="005D060A"/>
    <w:rsid w:val="005D0621"/>
    <w:rsid w:val="005D06D9"/>
    <w:rsid w:val="005D07FD"/>
    <w:rsid w:val="005D083A"/>
    <w:rsid w:val="005D085B"/>
    <w:rsid w:val="005D099F"/>
    <w:rsid w:val="005D0A32"/>
    <w:rsid w:val="005D0B0E"/>
    <w:rsid w:val="005D0C30"/>
    <w:rsid w:val="005D0C60"/>
    <w:rsid w:val="005D0CA3"/>
    <w:rsid w:val="005D0CE2"/>
    <w:rsid w:val="005D0D91"/>
    <w:rsid w:val="005D0ED3"/>
    <w:rsid w:val="005D0F8A"/>
    <w:rsid w:val="005D1090"/>
    <w:rsid w:val="005D10CC"/>
    <w:rsid w:val="005D1190"/>
    <w:rsid w:val="005D11CA"/>
    <w:rsid w:val="005D11ED"/>
    <w:rsid w:val="005D123D"/>
    <w:rsid w:val="005D138C"/>
    <w:rsid w:val="005D1919"/>
    <w:rsid w:val="005D19FE"/>
    <w:rsid w:val="005D1B11"/>
    <w:rsid w:val="005D1BF8"/>
    <w:rsid w:val="005D1C41"/>
    <w:rsid w:val="005D1C71"/>
    <w:rsid w:val="005D1CB7"/>
    <w:rsid w:val="005D1DEF"/>
    <w:rsid w:val="005D205A"/>
    <w:rsid w:val="005D21BD"/>
    <w:rsid w:val="005D22B7"/>
    <w:rsid w:val="005D22BE"/>
    <w:rsid w:val="005D22FC"/>
    <w:rsid w:val="005D2402"/>
    <w:rsid w:val="005D2417"/>
    <w:rsid w:val="005D248D"/>
    <w:rsid w:val="005D24E0"/>
    <w:rsid w:val="005D25C6"/>
    <w:rsid w:val="005D25CD"/>
    <w:rsid w:val="005D25E4"/>
    <w:rsid w:val="005D2681"/>
    <w:rsid w:val="005D276F"/>
    <w:rsid w:val="005D278C"/>
    <w:rsid w:val="005D284B"/>
    <w:rsid w:val="005D28B1"/>
    <w:rsid w:val="005D28F1"/>
    <w:rsid w:val="005D2906"/>
    <w:rsid w:val="005D2AFA"/>
    <w:rsid w:val="005D2C29"/>
    <w:rsid w:val="005D2C75"/>
    <w:rsid w:val="005D2D06"/>
    <w:rsid w:val="005D2D09"/>
    <w:rsid w:val="005D2D4A"/>
    <w:rsid w:val="005D2EA7"/>
    <w:rsid w:val="005D2F52"/>
    <w:rsid w:val="005D2F60"/>
    <w:rsid w:val="005D2FAE"/>
    <w:rsid w:val="005D2FC7"/>
    <w:rsid w:val="005D3280"/>
    <w:rsid w:val="005D328C"/>
    <w:rsid w:val="005D3294"/>
    <w:rsid w:val="005D32FE"/>
    <w:rsid w:val="005D3321"/>
    <w:rsid w:val="005D337E"/>
    <w:rsid w:val="005D338F"/>
    <w:rsid w:val="005D3519"/>
    <w:rsid w:val="005D3548"/>
    <w:rsid w:val="005D35EB"/>
    <w:rsid w:val="005D361E"/>
    <w:rsid w:val="005D3655"/>
    <w:rsid w:val="005D36F4"/>
    <w:rsid w:val="005D378F"/>
    <w:rsid w:val="005D388C"/>
    <w:rsid w:val="005D3A13"/>
    <w:rsid w:val="005D3B3B"/>
    <w:rsid w:val="005D3B7F"/>
    <w:rsid w:val="005D3BC4"/>
    <w:rsid w:val="005D3D3C"/>
    <w:rsid w:val="005D3E82"/>
    <w:rsid w:val="005D3F10"/>
    <w:rsid w:val="005D3F87"/>
    <w:rsid w:val="005D3FE1"/>
    <w:rsid w:val="005D3FF1"/>
    <w:rsid w:val="005D409C"/>
    <w:rsid w:val="005D4134"/>
    <w:rsid w:val="005D4233"/>
    <w:rsid w:val="005D42A0"/>
    <w:rsid w:val="005D42CF"/>
    <w:rsid w:val="005D4308"/>
    <w:rsid w:val="005D4377"/>
    <w:rsid w:val="005D4388"/>
    <w:rsid w:val="005D457A"/>
    <w:rsid w:val="005D4671"/>
    <w:rsid w:val="005D46A8"/>
    <w:rsid w:val="005D46D7"/>
    <w:rsid w:val="005D4773"/>
    <w:rsid w:val="005D4800"/>
    <w:rsid w:val="005D4852"/>
    <w:rsid w:val="005D485B"/>
    <w:rsid w:val="005D491B"/>
    <w:rsid w:val="005D4922"/>
    <w:rsid w:val="005D498B"/>
    <w:rsid w:val="005D49A7"/>
    <w:rsid w:val="005D49B5"/>
    <w:rsid w:val="005D4C58"/>
    <w:rsid w:val="005D4D8B"/>
    <w:rsid w:val="005D4F99"/>
    <w:rsid w:val="005D507C"/>
    <w:rsid w:val="005D511C"/>
    <w:rsid w:val="005D516A"/>
    <w:rsid w:val="005D51F2"/>
    <w:rsid w:val="005D5371"/>
    <w:rsid w:val="005D53B8"/>
    <w:rsid w:val="005D5462"/>
    <w:rsid w:val="005D5515"/>
    <w:rsid w:val="005D5631"/>
    <w:rsid w:val="005D5690"/>
    <w:rsid w:val="005D56F6"/>
    <w:rsid w:val="005D57F8"/>
    <w:rsid w:val="005D5851"/>
    <w:rsid w:val="005D5882"/>
    <w:rsid w:val="005D5997"/>
    <w:rsid w:val="005D59AB"/>
    <w:rsid w:val="005D59B4"/>
    <w:rsid w:val="005D59BC"/>
    <w:rsid w:val="005D59E2"/>
    <w:rsid w:val="005D5A49"/>
    <w:rsid w:val="005D5AAF"/>
    <w:rsid w:val="005D5AC0"/>
    <w:rsid w:val="005D5E15"/>
    <w:rsid w:val="005D5F58"/>
    <w:rsid w:val="005D5F6B"/>
    <w:rsid w:val="005D608E"/>
    <w:rsid w:val="005D60E3"/>
    <w:rsid w:val="005D6125"/>
    <w:rsid w:val="005D6254"/>
    <w:rsid w:val="005D6390"/>
    <w:rsid w:val="005D63BA"/>
    <w:rsid w:val="005D6402"/>
    <w:rsid w:val="005D64B1"/>
    <w:rsid w:val="005D64F7"/>
    <w:rsid w:val="005D651A"/>
    <w:rsid w:val="005D66A4"/>
    <w:rsid w:val="005D6755"/>
    <w:rsid w:val="005D6798"/>
    <w:rsid w:val="005D6803"/>
    <w:rsid w:val="005D69BA"/>
    <w:rsid w:val="005D6AC8"/>
    <w:rsid w:val="005D6BA7"/>
    <w:rsid w:val="005D6BD6"/>
    <w:rsid w:val="005D6BE4"/>
    <w:rsid w:val="005D6C22"/>
    <w:rsid w:val="005D6D2C"/>
    <w:rsid w:val="005D6DD5"/>
    <w:rsid w:val="005D6E3B"/>
    <w:rsid w:val="005D6E80"/>
    <w:rsid w:val="005D6F84"/>
    <w:rsid w:val="005D6FD3"/>
    <w:rsid w:val="005D7047"/>
    <w:rsid w:val="005D7159"/>
    <w:rsid w:val="005D72DA"/>
    <w:rsid w:val="005D73C2"/>
    <w:rsid w:val="005D748E"/>
    <w:rsid w:val="005D754D"/>
    <w:rsid w:val="005D7572"/>
    <w:rsid w:val="005D75A5"/>
    <w:rsid w:val="005D75BA"/>
    <w:rsid w:val="005D7752"/>
    <w:rsid w:val="005D7768"/>
    <w:rsid w:val="005D77F2"/>
    <w:rsid w:val="005D7A26"/>
    <w:rsid w:val="005D7A6A"/>
    <w:rsid w:val="005D7B07"/>
    <w:rsid w:val="005D7BC3"/>
    <w:rsid w:val="005D7C52"/>
    <w:rsid w:val="005D7CBF"/>
    <w:rsid w:val="005D7CFC"/>
    <w:rsid w:val="005D7FB2"/>
    <w:rsid w:val="005E0081"/>
    <w:rsid w:val="005E009D"/>
    <w:rsid w:val="005E00E8"/>
    <w:rsid w:val="005E012B"/>
    <w:rsid w:val="005E0168"/>
    <w:rsid w:val="005E01B4"/>
    <w:rsid w:val="005E023A"/>
    <w:rsid w:val="005E02DB"/>
    <w:rsid w:val="005E03ED"/>
    <w:rsid w:val="005E0411"/>
    <w:rsid w:val="005E048F"/>
    <w:rsid w:val="005E04B5"/>
    <w:rsid w:val="005E0541"/>
    <w:rsid w:val="005E079D"/>
    <w:rsid w:val="005E07BD"/>
    <w:rsid w:val="005E0808"/>
    <w:rsid w:val="005E0841"/>
    <w:rsid w:val="005E08E4"/>
    <w:rsid w:val="005E0937"/>
    <w:rsid w:val="005E09AA"/>
    <w:rsid w:val="005E0A0C"/>
    <w:rsid w:val="005E0B05"/>
    <w:rsid w:val="005E0B0C"/>
    <w:rsid w:val="005E0BF9"/>
    <w:rsid w:val="005E0CEA"/>
    <w:rsid w:val="005E0DE8"/>
    <w:rsid w:val="005E0E16"/>
    <w:rsid w:val="005E0E17"/>
    <w:rsid w:val="005E0E7F"/>
    <w:rsid w:val="005E0F74"/>
    <w:rsid w:val="005E1062"/>
    <w:rsid w:val="005E12E3"/>
    <w:rsid w:val="005E12F2"/>
    <w:rsid w:val="005E136A"/>
    <w:rsid w:val="005E141B"/>
    <w:rsid w:val="005E14CC"/>
    <w:rsid w:val="005E1550"/>
    <w:rsid w:val="005E1639"/>
    <w:rsid w:val="005E165C"/>
    <w:rsid w:val="005E166F"/>
    <w:rsid w:val="005E1676"/>
    <w:rsid w:val="005E1858"/>
    <w:rsid w:val="005E1883"/>
    <w:rsid w:val="005E1918"/>
    <w:rsid w:val="005E195C"/>
    <w:rsid w:val="005E1A3A"/>
    <w:rsid w:val="005E1A4D"/>
    <w:rsid w:val="005E1B86"/>
    <w:rsid w:val="005E1DD7"/>
    <w:rsid w:val="005E1DF4"/>
    <w:rsid w:val="005E1E74"/>
    <w:rsid w:val="005E1EFC"/>
    <w:rsid w:val="005E1F42"/>
    <w:rsid w:val="005E1F54"/>
    <w:rsid w:val="005E1FE9"/>
    <w:rsid w:val="005E2143"/>
    <w:rsid w:val="005E218E"/>
    <w:rsid w:val="005E22E6"/>
    <w:rsid w:val="005E23AC"/>
    <w:rsid w:val="005E2496"/>
    <w:rsid w:val="005E2593"/>
    <w:rsid w:val="005E26CC"/>
    <w:rsid w:val="005E2716"/>
    <w:rsid w:val="005E2721"/>
    <w:rsid w:val="005E297D"/>
    <w:rsid w:val="005E2A29"/>
    <w:rsid w:val="005E2A5B"/>
    <w:rsid w:val="005E2A9E"/>
    <w:rsid w:val="005E2AD6"/>
    <w:rsid w:val="005E2B12"/>
    <w:rsid w:val="005E2CC1"/>
    <w:rsid w:val="005E2E5E"/>
    <w:rsid w:val="005E2E74"/>
    <w:rsid w:val="005E2EA3"/>
    <w:rsid w:val="005E2EC0"/>
    <w:rsid w:val="005E320A"/>
    <w:rsid w:val="005E3238"/>
    <w:rsid w:val="005E3308"/>
    <w:rsid w:val="005E3351"/>
    <w:rsid w:val="005E339A"/>
    <w:rsid w:val="005E33B0"/>
    <w:rsid w:val="005E33CA"/>
    <w:rsid w:val="005E3430"/>
    <w:rsid w:val="005E34E8"/>
    <w:rsid w:val="005E353F"/>
    <w:rsid w:val="005E35B4"/>
    <w:rsid w:val="005E36FE"/>
    <w:rsid w:val="005E3959"/>
    <w:rsid w:val="005E39E9"/>
    <w:rsid w:val="005E3AA2"/>
    <w:rsid w:val="005E3AAD"/>
    <w:rsid w:val="005E3BA5"/>
    <w:rsid w:val="005E3BFA"/>
    <w:rsid w:val="005E3C26"/>
    <w:rsid w:val="005E3E81"/>
    <w:rsid w:val="005E3FAE"/>
    <w:rsid w:val="005E4027"/>
    <w:rsid w:val="005E4164"/>
    <w:rsid w:val="005E4170"/>
    <w:rsid w:val="005E418D"/>
    <w:rsid w:val="005E428B"/>
    <w:rsid w:val="005E43C3"/>
    <w:rsid w:val="005E43D9"/>
    <w:rsid w:val="005E43DA"/>
    <w:rsid w:val="005E441D"/>
    <w:rsid w:val="005E4426"/>
    <w:rsid w:val="005E4456"/>
    <w:rsid w:val="005E446A"/>
    <w:rsid w:val="005E446E"/>
    <w:rsid w:val="005E44D2"/>
    <w:rsid w:val="005E4584"/>
    <w:rsid w:val="005E45C3"/>
    <w:rsid w:val="005E45E0"/>
    <w:rsid w:val="005E4600"/>
    <w:rsid w:val="005E472F"/>
    <w:rsid w:val="005E4824"/>
    <w:rsid w:val="005E4832"/>
    <w:rsid w:val="005E48E3"/>
    <w:rsid w:val="005E49B4"/>
    <w:rsid w:val="005E4A4B"/>
    <w:rsid w:val="005E4A6A"/>
    <w:rsid w:val="005E4A91"/>
    <w:rsid w:val="005E4AB7"/>
    <w:rsid w:val="005E4E2F"/>
    <w:rsid w:val="005E4E41"/>
    <w:rsid w:val="005E4E56"/>
    <w:rsid w:val="005E4E8F"/>
    <w:rsid w:val="005E4EFF"/>
    <w:rsid w:val="005E4F60"/>
    <w:rsid w:val="005E4FFF"/>
    <w:rsid w:val="005E50B4"/>
    <w:rsid w:val="005E5143"/>
    <w:rsid w:val="005E5148"/>
    <w:rsid w:val="005E526B"/>
    <w:rsid w:val="005E52A1"/>
    <w:rsid w:val="005E5331"/>
    <w:rsid w:val="005E5357"/>
    <w:rsid w:val="005E5445"/>
    <w:rsid w:val="005E5468"/>
    <w:rsid w:val="005E5529"/>
    <w:rsid w:val="005E5592"/>
    <w:rsid w:val="005E55AA"/>
    <w:rsid w:val="005E56D7"/>
    <w:rsid w:val="005E5717"/>
    <w:rsid w:val="005E5775"/>
    <w:rsid w:val="005E57C8"/>
    <w:rsid w:val="005E57D0"/>
    <w:rsid w:val="005E57E1"/>
    <w:rsid w:val="005E5827"/>
    <w:rsid w:val="005E5845"/>
    <w:rsid w:val="005E58D8"/>
    <w:rsid w:val="005E5954"/>
    <w:rsid w:val="005E5A62"/>
    <w:rsid w:val="005E5A6E"/>
    <w:rsid w:val="005E5ACA"/>
    <w:rsid w:val="005E5B36"/>
    <w:rsid w:val="005E5B40"/>
    <w:rsid w:val="005E5CDF"/>
    <w:rsid w:val="005E5D01"/>
    <w:rsid w:val="005E5D0E"/>
    <w:rsid w:val="005E5D74"/>
    <w:rsid w:val="005E5E65"/>
    <w:rsid w:val="005E6110"/>
    <w:rsid w:val="005E61C5"/>
    <w:rsid w:val="005E61F2"/>
    <w:rsid w:val="005E63DD"/>
    <w:rsid w:val="005E63E3"/>
    <w:rsid w:val="005E6487"/>
    <w:rsid w:val="005E64FD"/>
    <w:rsid w:val="005E651C"/>
    <w:rsid w:val="005E6582"/>
    <w:rsid w:val="005E65AC"/>
    <w:rsid w:val="005E65AE"/>
    <w:rsid w:val="005E65DF"/>
    <w:rsid w:val="005E662C"/>
    <w:rsid w:val="005E6639"/>
    <w:rsid w:val="005E66D4"/>
    <w:rsid w:val="005E6782"/>
    <w:rsid w:val="005E67CE"/>
    <w:rsid w:val="005E6849"/>
    <w:rsid w:val="005E691D"/>
    <w:rsid w:val="005E6A8D"/>
    <w:rsid w:val="005E6B17"/>
    <w:rsid w:val="005E6B8B"/>
    <w:rsid w:val="005E6DBA"/>
    <w:rsid w:val="005E6DFF"/>
    <w:rsid w:val="005E6E05"/>
    <w:rsid w:val="005E6FF5"/>
    <w:rsid w:val="005E7010"/>
    <w:rsid w:val="005E70E1"/>
    <w:rsid w:val="005E7129"/>
    <w:rsid w:val="005E718F"/>
    <w:rsid w:val="005E722E"/>
    <w:rsid w:val="005E7236"/>
    <w:rsid w:val="005E72F7"/>
    <w:rsid w:val="005E7349"/>
    <w:rsid w:val="005E7539"/>
    <w:rsid w:val="005E7633"/>
    <w:rsid w:val="005E7645"/>
    <w:rsid w:val="005E773E"/>
    <w:rsid w:val="005E7797"/>
    <w:rsid w:val="005E77A3"/>
    <w:rsid w:val="005E77DE"/>
    <w:rsid w:val="005E78D1"/>
    <w:rsid w:val="005E78ED"/>
    <w:rsid w:val="005E78FE"/>
    <w:rsid w:val="005E7951"/>
    <w:rsid w:val="005E7A09"/>
    <w:rsid w:val="005E7B2E"/>
    <w:rsid w:val="005E7C4E"/>
    <w:rsid w:val="005E7D6A"/>
    <w:rsid w:val="005E7D78"/>
    <w:rsid w:val="005E7DAC"/>
    <w:rsid w:val="005E7F81"/>
    <w:rsid w:val="005F0039"/>
    <w:rsid w:val="005F00AA"/>
    <w:rsid w:val="005F00DC"/>
    <w:rsid w:val="005F01EA"/>
    <w:rsid w:val="005F033B"/>
    <w:rsid w:val="005F05A8"/>
    <w:rsid w:val="005F05A9"/>
    <w:rsid w:val="005F05BE"/>
    <w:rsid w:val="005F0661"/>
    <w:rsid w:val="005F0665"/>
    <w:rsid w:val="005F06B0"/>
    <w:rsid w:val="005F0701"/>
    <w:rsid w:val="005F0836"/>
    <w:rsid w:val="005F085B"/>
    <w:rsid w:val="005F093D"/>
    <w:rsid w:val="005F0968"/>
    <w:rsid w:val="005F09B6"/>
    <w:rsid w:val="005F09CF"/>
    <w:rsid w:val="005F0A10"/>
    <w:rsid w:val="005F0A45"/>
    <w:rsid w:val="005F0A69"/>
    <w:rsid w:val="005F0AC0"/>
    <w:rsid w:val="005F0B89"/>
    <w:rsid w:val="005F0BA9"/>
    <w:rsid w:val="005F0C4D"/>
    <w:rsid w:val="005F0C61"/>
    <w:rsid w:val="005F0ED7"/>
    <w:rsid w:val="005F0F24"/>
    <w:rsid w:val="005F0F4C"/>
    <w:rsid w:val="005F1056"/>
    <w:rsid w:val="005F10AD"/>
    <w:rsid w:val="005F10C7"/>
    <w:rsid w:val="005F11C3"/>
    <w:rsid w:val="005F121F"/>
    <w:rsid w:val="005F12F4"/>
    <w:rsid w:val="005F135E"/>
    <w:rsid w:val="005F13BC"/>
    <w:rsid w:val="005F13C9"/>
    <w:rsid w:val="005F1404"/>
    <w:rsid w:val="005F144A"/>
    <w:rsid w:val="005F1487"/>
    <w:rsid w:val="005F15AE"/>
    <w:rsid w:val="005F16F4"/>
    <w:rsid w:val="005F170E"/>
    <w:rsid w:val="005F17D2"/>
    <w:rsid w:val="005F17F6"/>
    <w:rsid w:val="005F1882"/>
    <w:rsid w:val="005F1B1B"/>
    <w:rsid w:val="005F1BAD"/>
    <w:rsid w:val="005F1C60"/>
    <w:rsid w:val="005F1EA9"/>
    <w:rsid w:val="005F1F3B"/>
    <w:rsid w:val="005F2032"/>
    <w:rsid w:val="005F2101"/>
    <w:rsid w:val="005F217E"/>
    <w:rsid w:val="005F21FA"/>
    <w:rsid w:val="005F2230"/>
    <w:rsid w:val="005F227A"/>
    <w:rsid w:val="005F2306"/>
    <w:rsid w:val="005F2366"/>
    <w:rsid w:val="005F2385"/>
    <w:rsid w:val="005F2485"/>
    <w:rsid w:val="005F2493"/>
    <w:rsid w:val="005F253B"/>
    <w:rsid w:val="005F2540"/>
    <w:rsid w:val="005F25EA"/>
    <w:rsid w:val="005F2685"/>
    <w:rsid w:val="005F26D1"/>
    <w:rsid w:val="005F27BC"/>
    <w:rsid w:val="005F2814"/>
    <w:rsid w:val="005F288D"/>
    <w:rsid w:val="005F295D"/>
    <w:rsid w:val="005F2A34"/>
    <w:rsid w:val="005F2B35"/>
    <w:rsid w:val="005F2E12"/>
    <w:rsid w:val="005F2E94"/>
    <w:rsid w:val="005F2E9E"/>
    <w:rsid w:val="005F2FF5"/>
    <w:rsid w:val="005F303D"/>
    <w:rsid w:val="005F322A"/>
    <w:rsid w:val="005F33F0"/>
    <w:rsid w:val="005F345E"/>
    <w:rsid w:val="005F34D4"/>
    <w:rsid w:val="005F37D2"/>
    <w:rsid w:val="005F37DC"/>
    <w:rsid w:val="005F38C5"/>
    <w:rsid w:val="005F39A7"/>
    <w:rsid w:val="005F3A67"/>
    <w:rsid w:val="005F3A8A"/>
    <w:rsid w:val="005F3AC3"/>
    <w:rsid w:val="005F3B52"/>
    <w:rsid w:val="005F3CBD"/>
    <w:rsid w:val="005F3D38"/>
    <w:rsid w:val="005F3DE9"/>
    <w:rsid w:val="005F3EBA"/>
    <w:rsid w:val="005F3EE5"/>
    <w:rsid w:val="005F3F0D"/>
    <w:rsid w:val="005F3FA9"/>
    <w:rsid w:val="005F40C0"/>
    <w:rsid w:val="005F40C6"/>
    <w:rsid w:val="005F40D7"/>
    <w:rsid w:val="005F40EA"/>
    <w:rsid w:val="005F41C2"/>
    <w:rsid w:val="005F4200"/>
    <w:rsid w:val="005F42C5"/>
    <w:rsid w:val="005F43DD"/>
    <w:rsid w:val="005F4411"/>
    <w:rsid w:val="005F44FB"/>
    <w:rsid w:val="005F4585"/>
    <w:rsid w:val="005F4595"/>
    <w:rsid w:val="005F46A5"/>
    <w:rsid w:val="005F46F9"/>
    <w:rsid w:val="005F479B"/>
    <w:rsid w:val="005F49CB"/>
    <w:rsid w:val="005F49CF"/>
    <w:rsid w:val="005F4A2B"/>
    <w:rsid w:val="005F4A3D"/>
    <w:rsid w:val="005F4A65"/>
    <w:rsid w:val="005F4ABA"/>
    <w:rsid w:val="005F4C6F"/>
    <w:rsid w:val="005F4C70"/>
    <w:rsid w:val="005F4D2B"/>
    <w:rsid w:val="005F4DB8"/>
    <w:rsid w:val="005F4F45"/>
    <w:rsid w:val="005F4F9B"/>
    <w:rsid w:val="005F50B0"/>
    <w:rsid w:val="005F51AB"/>
    <w:rsid w:val="005F51F8"/>
    <w:rsid w:val="005F522F"/>
    <w:rsid w:val="005F5241"/>
    <w:rsid w:val="005F532F"/>
    <w:rsid w:val="005F536F"/>
    <w:rsid w:val="005F540D"/>
    <w:rsid w:val="005F552A"/>
    <w:rsid w:val="005F5594"/>
    <w:rsid w:val="005F5664"/>
    <w:rsid w:val="005F56E6"/>
    <w:rsid w:val="005F582E"/>
    <w:rsid w:val="005F5854"/>
    <w:rsid w:val="005F59EE"/>
    <w:rsid w:val="005F5B21"/>
    <w:rsid w:val="005F5C35"/>
    <w:rsid w:val="005F5C73"/>
    <w:rsid w:val="005F5CAA"/>
    <w:rsid w:val="005F5CFD"/>
    <w:rsid w:val="005F5D03"/>
    <w:rsid w:val="005F5D29"/>
    <w:rsid w:val="005F5EDD"/>
    <w:rsid w:val="005F5FF5"/>
    <w:rsid w:val="005F60E9"/>
    <w:rsid w:val="005F6113"/>
    <w:rsid w:val="005F6116"/>
    <w:rsid w:val="005F6167"/>
    <w:rsid w:val="005F617D"/>
    <w:rsid w:val="005F61B2"/>
    <w:rsid w:val="005F620A"/>
    <w:rsid w:val="005F6226"/>
    <w:rsid w:val="005F627D"/>
    <w:rsid w:val="005F62A6"/>
    <w:rsid w:val="005F6487"/>
    <w:rsid w:val="005F65A5"/>
    <w:rsid w:val="005F65B7"/>
    <w:rsid w:val="005F65C6"/>
    <w:rsid w:val="005F6738"/>
    <w:rsid w:val="005F67DB"/>
    <w:rsid w:val="005F67FB"/>
    <w:rsid w:val="005F6A36"/>
    <w:rsid w:val="005F6A49"/>
    <w:rsid w:val="005F6B8C"/>
    <w:rsid w:val="005F6CC7"/>
    <w:rsid w:val="005F6D24"/>
    <w:rsid w:val="005F6D55"/>
    <w:rsid w:val="005F6D6D"/>
    <w:rsid w:val="005F6E1F"/>
    <w:rsid w:val="005F6E31"/>
    <w:rsid w:val="005F7035"/>
    <w:rsid w:val="005F720D"/>
    <w:rsid w:val="005F72FD"/>
    <w:rsid w:val="005F73B8"/>
    <w:rsid w:val="005F7479"/>
    <w:rsid w:val="005F755E"/>
    <w:rsid w:val="005F75AF"/>
    <w:rsid w:val="005F760E"/>
    <w:rsid w:val="005F76F6"/>
    <w:rsid w:val="005F772B"/>
    <w:rsid w:val="005F7755"/>
    <w:rsid w:val="005F781F"/>
    <w:rsid w:val="005F783B"/>
    <w:rsid w:val="005F78CC"/>
    <w:rsid w:val="005F7911"/>
    <w:rsid w:val="005F79CF"/>
    <w:rsid w:val="005F7A7E"/>
    <w:rsid w:val="005F7A8B"/>
    <w:rsid w:val="005F7C47"/>
    <w:rsid w:val="005F7D16"/>
    <w:rsid w:val="005F7D59"/>
    <w:rsid w:val="005F7DA4"/>
    <w:rsid w:val="005F7E87"/>
    <w:rsid w:val="005F7F71"/>
    <w:rsid w:val="005F7FE9"/>
    <w:rsid w:val="0060004D"/>
    <w:rsid w:val="006001D0"/>
    <w:rsid w:val="006002E0"/>
    <w:rsid w:val="006002F1"/>
    <w:rsid w:val="00600352"/>
    <w:rsid w:val="006003E1"/>
    <w:rsid w:val="00600446"/>
    <w:rsid w:val="006004AB"/>
    <w:rsid w:val="0060064D"/>
    <w:rsid w:val="00600703"/>
    <w:rsid w:val="00600719"/>
    <w:rsid w:val="00600751"/>
    <w:rsid w:val="0060076A"/>
    <w:rsid w:val="00600A06"/>
    <w:rsid w:val="00600A4B"/>
    <w:rsid w:val="00600AB7"/>
    <w:rsid w:val="00600ACF"/>
    <w:rsid w:val="00600AE4"/>
    <w:rsid w:val="00600AF8"/>
    <w:rsid w:val="00600BD6"/>
    <w:rsid w:val="00600C78"/>
    <w:rsid w:val="00600D19"/>
    <w:rsid w:val="00600D8C"/>
    <w:rsid w:val="00600EC6"/>
    <w:rsid w:val="00600ED0"/>
    <w:rsid w:val="00600EF3"/>
    <w:rsid w:val="00600F0F"/>
    <w:rsid w:val="00600F1A"/>
    <w:rsid w:val="00600F94"/>
    <w:rsid w:val="00600FD6"/>
    <w:rsid w:val="006010C7"/>
    <w:rsid w:val="006010E8"/>
    <w:rsid w:val="00601188"/>
    <w:rsid w:val="006011CC"/>
    <w:rsid w:val="006011F3"/>
    <w:rsid w:val="006011F4"/>
    <w:rsid w:val="006012B9"/>
    <w:rsid w:val="00601418"/>
    <w:rsid w:val="00601421"/>
    <w:rsid w:val="0060146D"/>
    <w:rsid w:val="00601622"/>
    <w:rsid w:val="006016A0"/>
    <w:rsid w:val="0060172A"/>
    <w:rsid w:val="0060173E"/>
    <w:rsid w:val="00601773"/>
    <w:rsid w:val="006017C9"/>
    <w:rsid w:val="006018EA"/>
    <w:rsid w:val="0060193F"/>
    <w:rsid w:val="006019C1"/>
    <w:rsid w:val="00601A3E"/>
    <w:rsid w:val="00601B12"/>
    <w:rsid w:val="00601BED"/>
    <w:rsid w:val="00601DB7"/>
    <w:rsid w:val="00601ED9"/>
    <w:rsid w:val="00602011"/>
    <w:rsid w:val="0060217C"/>
    <w:rsid w:val="0060217D"/>
    <w:rsid w:val="006021C0"/>
    <w:rsid w:val="00602239"/>
    <w:rsid w:val="0060223D"/>
    <w:rsid w:val="00602258"/>
    <w:rsid w:val="006022E6"/>
    <w:rsid w:val="00602318"/>
    <w:rsid w:val="0060239B"/>
    <w:rsid w:val="006024F3"/>
    <w:rsid w:val="00602504"/>
    <w:rsid w:val="006025A8"/>
    <w:rsid w:val="00602834"/>
    <w:rsid w:val="0060284D"/>
    <w:rsid w:val="0060289B"/>
    <w:rsid w:val="006028B0"/>
    <w:rsid w:val="0060298D"/>
    <w:rsid w:val="006029B8"/>
    <w:rsid w:val="00602A3F"/>
    <w:rsid w:val="00602A62"/>
    <w:rsid w:val="00602AA7"/>
    <w:rsid w:val="00602D6A"/>
    <w:rsid w:val="00602D8C"/>
    <w:rsid w:val="00602E5A"/>
    <w:rsid w:val="00602FBE"/>
    <w:rsid w:val="00603089"/>
    <w:rsid w:val="006031E9"/>
    <w:rsid w:val="00603261"/>
    <w:rsid w:val="006032D0"/>
    <w:rsid w:val="00603347"/>
    <w:rsid w:val="00603467"/>
    <w:rsid w:val="006034A7"/>
    <w:rsid w:val="0060353B"/>
    <w:rsid w:val="00603571"/>
    <w:rsid w:val="006039B1"/>
    <w:rsid w:val="00603A39"/>
    <w:rsid w:val="00603A3C"/>
    <w:rsid w:val="00603ADC"/>
    <w:rsid w:val="00603B08"/>
    <w:rsid w:val="00603B75"/>
    <w:rsid w:val="00603BC7"/>
    <w:rsid w:val="00603C2D"/>
    <w:rsid w:val="00603CBE"/>
    <w:rsid w:val="00603D0D"/>
    <w:rsid w:val="00603D6E"/>
    <w:rsid w:val="00603D85"/>
    <w:rsid w:val="00603DCA"/>
    <w:rsid w:val="00603E5C"/>
    <w:rsid w:val="0060402C"/>
    <w:rsid w:val="00604060"/>
    <w:rsid w:val="0060408F"/>
    <w:rsid w:val="006040D1"/>
    <w:rsid w:val="006040DA"/>
    <w:rsid w:val="00604109"/>
    <w:rsid w:val="006041F6"/>
    <w:rsid w:val="0060421A"/>
    <w:rsid w:val="0060428A"/>
    <w:rsid w:val="006044C8"/>
    <w:rsid w:val="00604535"/>
    <w:rsid w:val="0060465A"/>
    <w:rsid w:val="006046EF"/>
    <w:rsid w:val="00604750"/>
    <w:rsid w:val="006047AD"/>
    <w:rsid w:val="0060482B"/>
    <w:rsid w:val="00604832"/>
    <w:rsid w:val="00604943"/>
    <w:rsid w:val="006049EA"/>
    <w:rsid w:val="006049FA"/>
    <w:rsid w:val="00604A2C"/>
    <w:rsid w:val="00604AAD"/>
    <w:rsid w:val="00604B20"/>
    <w:rsid w:val="00604B3C"/>
    <w:rsid w:val="00604B5C"/>
    <w:rsid w:val="00604C50"/>
    <w:rsid w:val="00604C6F"/>
    <w:rsid w:val="00604DFB"/>
    <w:rsid w:val="00604DFC"/>
    <w:rsid w:val="00604F64"/>
    <w:rsid w:val="00605005"/>
    <w:rsid w:val="00605048"/>
    <w:rsid w:val="0060518F"/>
    <w:rsid w:val="00605196"/>
    <w:rsid w:val="006051FD"/>
    <w:rsid w:val="00605259"/>
    <w:rsid w:val="006052C5"/>
    <w:rsid w:val="006053DF"/>
    <w:rsid w:val="006054B0"/>
    <w:rsid w:val="006055AC"/>
    <w:rsid w:val="00605643"/>
    <w:rsid w:val="0060566F"/>
    <w:rsid w:val="006056BA"/>
    <w:rsid w:val="006057B8"/>
    <w:rsid w:val="00605865"/>
    <w:rsid w:val="00605A84"/>
    <w:rsid w:val="00605A8D"/>
    <w:rsid w:val="00605BB9"/>
    <w:rsid w:val="00605C54"/>
    <w:rsid w:val="00605C55"/>
    <w:rsid w:val="00605CD7"/>
    <w:rsid w:val="00605DBD"/>
    <w:rsid w:val="00605DE6"/>
    <w:rsid w:val="00605DF8"/>
    <w:rsid w:val="00605F51"/>
    <w:rsid w:val="0060602C"/>
    <w:rsid w:val="00606190"/>
    <w:rsid w:val="006061A2"/>
    <w:rsid w:val="006062A1"/>
    <w:rsid w:val="006062DA"/>
    <w:rsid w:val="00606387"/>
    <w:rsid w:val="00606447"/>
    <w:rsid w:val="006064EA"/>
    <w:rsid w:val="00606511"/>
    <w:rsid w:val="00606680"/>
    <w:rsid w:val="006066B4"/>
    <w:rsid w:val="0060672C"/>
    <w:rsid w:val="006067E3"/>
    <w:rsid w:val="0060688E"/>
    <w:rsid w:val="006068AD"/>
    <w:rsid w:val="006068BD"/>
    <w:rsid w:val="006068CE"/>
    <w:rsid w:val="00606A03"/>
    <w:rsid w:val="00606A05"/>
    <w:rsid w:val="00606A09"/>
    <w:rsid w:val="00606A5F"/>
    <w:rsid w:val="00606B3F"/>
    <w:rsid w:val="00606BCA"/>
    <w:rsid w:val="00606BFE"/>
    <w:rsid w:val="00606CEE"/>
    <w:rsid w:val="00606D38"/>
    <w:rsid w:val="00606D62"/>
    <w:rsid w:val="00606F87"/>
    <w:rsid w:val="00607151"/>
    <w:rsid w:val="00607235"/>
    <w:rsid w:val="00607278"/>
    <w:rsid w:val="006072B7"/>
    <w:rsid w:val="006072BD"/>
    <w:rsid w:val="00607367"/>
    <w:rsid w:val="006073ED"/>
    <w:rsid w:val="006074A7"/>
    <w:rsid w:val="006074B6"/>
    <w:rsid w:val="006074EC"/>
    <w:rsid w:val="00607505"/>
    <w:rsid w:val="00607592"/>
    <w:rsid w:val="006075DA"/>
    <w:rsid w:val="006075FC"/>
    <w:rsid w:val="00607678"/>
    <w:rsid w:val="006076AA"/>
    <w:rsid w:val="006076DC"/>
    <w:rsid w:val="0060772A"/>
    <w:rsid w:val="0060784A"/>
    <w:rsid w:val="006079AD"/>
    <w:rsid w:val="00607B0B"/>
    <w:rsid w:val="00607C1A"/>
    <w:rsid w:val="00607CB9"/>
    <w:rsid w:val="00607CED"/>
    <w:rsid w:val="00607D48"/>
    <w:rsid w:val="00607EC3"/>
    <w:rsid w:val="00607F9F"/>
    <w:rsid w:val="00610093"/>
    <w:rsid w:val="0061010F"/>
    <w:rsid w:val="006101DB"/>
    <w:rsid w:val="00610364"/>
    <w:rsid w:val="006103C4"/>
    <w:rsid w:val="00610496"/>
    <w:rsid w:val="006104BF"/>
    <w:rsid w:val="006104CC"/>
    <w:rsid w:val="006105BD"/>
    <w:rsid w:val="006105FD"/>
    <w:rsid w:val="00610701"/>
    <w:rsid w:val="0061079F"/>
    <w:rsid w:val="00610AB6"/>
    <w:rsid w:val="00610B14"/>
    <w:rsid w:val="00610BFD"/>
    <w:rsid w:val="00610C81"/>
    <w:rsid w:val="00610CDB"/>
    <w:rsid w:val="00610D85"/>
    <w:rsid w:val="00610DB2"/>
    <w:rsid w:val="00610F0E"/>
    <w:rsid w:val="00610F9B"/>
    <w:rsid w:val="006110D8"/>
    <w:rsid w:val="00611128"/>
    <w:rsid w:val="00611130"/>
    <w:rsid w:val="0061140B"/>
    <w:rsid w:val="006114A3"/>
    <w:rsid w:val="0061150A"/>
    <w:rsid w:val="006115D7"/>
    <w:rsid w:val="00611709"/>
    <w:rsid w:val="0061176F"/>
    <w:rsid w:val="00611800"/>
    <w:rsid w:val="0061181C"/>
    <w:rsid w:val="00611900"/>
    <w:rsid w:val="0061196C"/>
    <w:rsid w:val="00611999"/>
    <w:rsid w:val="006119EC"/>
    <w:rsid w:val="00611ABC"/>
    <w:rsid w:val="00611AF4"/>
    <w:rsid w:val="00611B2A"/>
    <w:rsid w:val="00611CEE"/>
    <w:rsid w:val="00611D2E"/>
    <w:rsid w:val="00611E1A"/>
    <w:rsid w:val="00611E6A"/>
    <w:rsid w:val="00611EAA"/>
    <w:rsid w:val="00611F18"/>
    <w:rsid w:val="00611F6A"/>
    <w:rsid w:val="00612045"/>
    <w:rsid w:val="00612079"/>
    <w:rsid w:val="006120A3"/>
    <w:rsid w:val="006120C5"/>
    <w:rsid w:val="0061213F"/>
    <w:rsid w:val="0061222B"/>
    <w:rsid w:val="006122F3"/>
    <w:rsid w:val="00612309"/>
    <w:rsid w:val="006123D5"/>
    <w:rsid w:val="00612579"/>
    <w:rsid w:val="00612607"/>
    <w:rsid w:val="00612657"/>
    <w:rsid w:val="00612708"/>
    <w:rsid w:val="00612714"/>
    <w:rsid w:val="0061275A"/>
    <w:rsid w:val="0061285F"/>
    <w:rsid w:val="00612980"/>
    <w:rsid w:val="00612989"/>
    <w:rsid w:val="006129A4"/>
    <w:rsid w:val="006129AD"/>
    <w:rsid w:val="00612BFD"/>
    <w:rsid w:val="00612C5E"/>
    <w:rsid w:val="00612C90"/>
    <w:rsid w:val="00612C9D"/>
    <w:rsid w:val="00612CB9"/>
    <w:rsid w:val="00612CE1"/>
    <w:rsid w:val="00612D0F"/>
    <w:rsid w:val="00612F43"/>
    <w:rsid w:val="00612F56"/>
    <w:rsid w:val="0061306C"/>
    <w:rsid w:val="006131CA"/>
    <w:rsid w:val="00613206"/>
    <w:rsid w:val="006132B8"/>
    <w:rsid w:val="006132D4"/>
    <w:rsid w:val="006132EC"/>
    <w:rsid w:val="006134BA"/>
    <w:rsid w:val="006134F8"/>
    <w:rsid w:val="006134FB"/>
    <w:rsid w:val="006135D7"/>
    <w:rsid w:val="00613759"/>
    <w:rsid w:val="00613804"/>
    <w:rsid w:val="00613861"/>
    <w:rsid w:val="00613900"/>
    <w:rsid w:val="0061394B"/>
    <w:rsid w:val="0061399C"/>
    <w:rsid w:val="00613A90"/>
    <w:rsid w:val="00613B43"/>
    <w:rsid w:val="00613BEB"/>
    <w:rsid w:val="0061401D"/>
    <w:rsid w:val="00614107"/>
    <w:rsid w:val="0061416D"/>
    <w:rsid w:val="00614262"/>
    <w:rsid w:val="0061440E"/>
    <w:rsid w:val="0061445B"/>
    <w:rsid w:val="0061459E"/>
    <w:rsid w:val="006145B1"/>
    <w:rsid w:val="006145C9"/>
    <w:rsid w:val="00614649"/>
    <w:rsid w:val="00614752"/>
    <w:rsid w:val="006147EC"/>
    <w:rsid w:val="00614859"/>
    <w:rsid w:val="0061490D"/>
    <w:rsid w:val="0061493E"/>
    <w:rsid w:val="006149AE"/>
    <w:rsid w:val="00614A9E"/>
    <w:rsid w:val="00614ACC"/>
    <w:rsid w:val="00614BD4"/>
    <w:rsid w:val="00614BEB"/>
    <w:rsid w:val="00614C2B"/>
    <w:rsid w:val="00614D39"/>
    <w:rsid w:val="00614E68"/>
    <w:rsid w:val="00614E9A"/>
    <w:rsid w:val="00614F4C"/>
    <w:rsid w:val="00615072"/>
    <w:rsid w:val="00615076"/>
    <w:rsid w:val="006150CF"/>
    <w:rsid w:val="00615158"/>
    <w:rsid w:val="006151DB"/>
    <w:rsid w:val="006152C1"/>
    <w:rsid w:val="00615302"/>
    <w:rsid w:val="0061536C"/>
    <w:rsid w:val="00615389"/>
    <w:rsid w:val="0061563F"/>
    <w:rsid w:val="006156E7"/>
    <w:rsid w:val="00615759"/>
    <w:rsid w:val="00615809"/>
    <w:rsid w:val="00615959"/>
    <w:rsid w:val="00615A0C"/>
    <w:rsid w:val="00615A8C"/>
    <w:rsid w:val="00615B07"/>
    <w:rsid w:val="00615B40"/>
    <w:rsid w:val="00615B9E"/>
    <w:rsid w:val="00615BA1"/>
    <w:rsid w:val="00615CC5"/>
    <w:rsid w:val="00615D2A"/>
    <w:rsid w:val="00615D76"/>
    <w:rsid w:val="00615DC8"/>
    <w:rsid w:val="00615E85"/>
    <w:rsid w:val="00615E8B"/>
    <w:rsid w:val="00615F5C"/>
    <w:rsid w:val="006161B7"/>
    <w:rsid w:val="006161C9"/>
    <w:rsid w:val="00616201"/>
    <w:rsid w:val="00616247"/>
    <w:rsid w:val="00616250"/>
    <w:rsid w:val="0061628F"/>
    <w:rsid w:val="006162F0"/>
    <w:rsid w:val="006162F7"/>
    <w:rsid w:val="006162FF"/>
    <w:rsid w:val="0061636B"/>
    <w:rsid w:val="00616374"/>
    <w:rsid w:val="006163C9"/>
    <w:rsid w:val="006163F8"/>
    <w:rsid w:val="00616436"/>
    <w:rsid w:val="006164D4"/>
    <w:rsid w:val="0061654A"/>
    <w:rsid w:val="00616578"/>
    <w:rsid w:val="0061658D"/>
    <w:rsid w:val="00616617"/>
    <w:rsid w:val="00616678"/>
    <w:rsid w:val="00616746"/>
    <w:rsid w:val="006167F0"/>
    <w:rsid w:val="0061686C"/>
    <w:rsid w:val="00616899"/>
    <w:rsid w:val="00616914"/>
    <w:rsid w:val="006169C8"/>
    <w:rsid w:val="00616A22"/>
    <w:rsid w:val="00616A6D"/>
    <w:rsid w:val="00616A82"/>
    <w:rsid w:val="00616BE1"/>
    <w:rsid w:val="00616C44"/>
    <w:rsid w:val="00616DFD"/>
    <w:rsid w:val="00616E18"/>
    <w:rsid w:val="00616EA3"/>
    <w:rsid w:val="00616EE1"/>
    <w:rsid w:val="00616EFE"/>
    <w:rsid w:val="006170EF"/>
    <w:rsid w:val="00617109"/>
    <w:rsid w:val="006171AF"/>
    <w:rsid w:val="006171E6"/>
    <w:rsid w:val="00617268"/>
    <w:rsid w:val="006172B3"/>
    <w:rsid w:val="006172EC"/>
    <w:rsid w:val="0061731A"/>
    <w:rsid w:val="006174A5"/>
    <w:rsid w:val="006174EB"/>
    <w:rsid w:val="006176BE"/>
    <w:rsid w:val="00617772"/>
    <w:rsid w:val="006177C6"/>
    <w:rsid w:val="006177ED"/>
    <w:rsid w:val="006178EE"/>
    <w:rsid w:val="00617928"/>
    <w:rsid w:val="00617A08"/>
    <w:rsid w:val="00617C0C"/>
    <w:rsid w:val="00617CA6"/>
    <w:rsid w:val="00617D9F"/>
    <w:rsid w:val="00617DBB"/>
    <w:rsid w:val="00617E6E"/>
    <w:rsid w:val="00617F18"/>
    <w:rsid w:val="00617F51"/>
    <w:rsid w:val="00617FB1"/>
    <w:rsid w:val="00620061"/>
    <w:rsid w:val="0062007E"/>
    <w:rsid w:val="0062021E"/>
    <w:rsid w:val="00620255"/>
    <w:rsid w:val="006202E3"/>
    <w:rsid w:val="006202FF"/>
    <w:rsid w:val="0062043C"/>
    <w:rsid w:val="006204F2"/>
    <w:rsid w:val="006205BE"/>
    <w:rsid w:val="006206BC"/>
    <w:rsid w:val="00620728"/>
    <w:rsid w:val="006208D8"/>
    <w:rsid w:val="00620930"/>
    <w:rsid w:val="00620961"/>
    <w:rsid w:val="006209E0"/>
    <w:rsid w:val="00620B18"/>
    <w:rsid w:val="00620C12"/>
    <w:rsid w:val="00620C6C"/>
    <w:rsid w:val="00620CD5"/>
    <w:rsid w:val="00620D6E"/>
    <w:rsid w:val="00620EC8"/>
    <w:rsid w:val="00620ECE"/>
    <w:rsid w:val="006210B4"/>
    <w:rsid w:val="006210DB"/>
    <w:rsid w:val="006211BB"/>
    <w:rsid w:val="0062153D"/>
    <w:rsid w:val="00621675"/>
    <w:rsid w:val="0062188F"/>
    <w:rsid w:val="00621974"/>
    <w:rsid w:val="0062198A"/>
    <w:rsid w:val="00621996"/>
    <w:rsid w:val="006219AB"/>
    <w:rsid w:val="00621A40"/>
    <w:rsid w:val="00621AB0"/>
    <w:rsid w:val="00621BB6"/>
    <w:rsid w:val="00621DA5"/>
    <w:rsid w:val="00621E4B"/>
    <w:rsid w:val="00621EB9"/>
    <w:rsid w:val="00621ED0"/>
    <w:rsid w:val="00621F86"/>
    <w:rsid w:val="00622006"/>
    <w:rsid w:val="006221E9"/>
    <w:rsid w:val="006221EF"/>
    <w:rsid w:val="0062238F"/>
    <w:rsid w:val="006223D5"/>
    <w:rsid w:val="006223DD"/>
    <w:rsid w:val="00622455"/>
    <w:rsid w:val="0062245B"/>
    <w:rsid w:val="0062246F"/>
    <w:rsid w:val="0062247A"/>
    <w:rsid w:val="0062258E"/>
    <w:rsid w:val="006226E6"/>
    <w:rsid w:val="00622707"/>
    <w:rsid w:val="0062289E"/>
    <w:rsid w:val="00622967"/>
    <w:rsid w:val="00622972"/>
    <w:rsid w:val="00622ABD"/>
    <w:rsid w:val="00622B25"/>
    <w:rsid w:val="00622C54"/>
    <w:rsid w:val="00622D27"/>
    <w:rsid w:val="00622DAF"/>
    <w:rsid w:val="00622DE1"/>
    <w:rsid w:val="00622E41"/>
    <w:rsid w:val="00622E92"/>
    <w:rsid w:val="00622E9F"/>
    <w:rsid w:val="00622EA3"/>
    <w:rsid w:val="00622F67"/>
    <w:rsid w:val="00623087"/>
    <w:rsid w:val="0062325D"/>
    <w:rsid w:val="006233A5"/>
    <w:rsid w:val="00623434"/>
    <w:rsid w:val="006234B9"/>
    <w:rsid w:val="006235F2"/>
    <w:rsid w:val="006235F3"/>
    <w:rsid w:val="00623628"/>
    <w:rsid w:val="00623751"/>
    <w:rsid w:val="006237C9"/>
    <w:rsid w:val="0062392F"/>
    <w:rsid w:val="006239DC"/>
    <w:rsid w:val="006239FD"/>
    <w:rsid w:val="00623AC7"/>
    <w:rsid w:val="00623BB8"/>
    <w:rsid w:val="00623BE4"/>
    <w:rsid w:val="00623BF2"/>
    <w:rsid w:val="00623CAD"/>
    <w:rsid w:val="00623CC2"/>
    <w:rsid w:val="00623D06"/>
    <w:rsid w:val="00623D70"/>
    <w:rsid w:val="00624042"/>
    <w:rsid w:val="0062414C"/>
    <w:rsid w:val="00624176"/>
    <w:rsid w:val="0062418C"/>
    <w:rsid w:val="006244A9"/>
    <w:rsid w:val="006244AD"/>
    <w:rsid w:val="006244D0"/>
    <w:rsid w:val="006244FA"/>
    <w:rsid w:val="00624616"/>
    <w:rsid w:val="00624637"/>
    <w:rsid w:val="0062464D"/>
    <w:rsid w:val="0062465E"/>
    <w:rsid w:val="00624745"/>
    <w:rsid w:val="00624801"/>
    <w:rsid w:val="0062490F"/>
    <w:rsid w:val="006249B9"/>
    <w:rsid w:val="006249D8"/>
    <w:rsid w:val="00624A62"/>
    <w:rsid w:val="00624B4C"/>
    <w:rsid w:val="00624D26"/>
    <w:rsid w:val="00624FA8"/>
    <w:rsid w:val="00624FB5"/>
    <w:rsid w:val="00624FF7"/>
    <w:rsid w:val="00625002"/>
    <w:rsid w:val="0062509B"/>
    <w:rsid w:val="00625209"/>
    <w:rsid w:val="00625350"/>
    <w:rsid w:val="00625586"/>
    <w:rsid w:val="006256DE"/>
    <w:rsid w:val="0062571C"/>
    <w:rsid w:val="006257EB"/>
    <w:rsid w:val="00625860"/>
    <w:rsid w:val="00625A23"/>
    <w:rsid w:val="00625B05"/>
    <w:rsid w:val="00625C50"/>
    <w:rsid w:val="00625CE8"/>
    <w:rsid w:val="00625CEE"/>
    <w:rsid w:val="00625CFC"/>
    <w:rsid w:val="00625E6E"/>
    <w:rsid w:val="0062602A"/>
    <w:rsid w:val="00626063"/>
    <w:rsid w:val="0062609E"/>
    <w:rsid w:val="0062619F"/>
    <w:rsid w:val="006261C7"/>
    <w:rsid w:val="0062625D"/>
    <w:rsid w:val="006263B4"/>
    <w:rsid w:val="006264E4"/>
    <w:rsid w:val="0062650D"/>
    <w:rsid w:val="0062652E"/>
    <w:rsid w:val="00626588"/>
    <w:rsid w:val="006266F1"/>
    <w:rsid w:val="0062674B"/>
    <w:rsid w:val="00626874"/>
    <w:rsid w:val="00626882"/>
    <w:rsid w:val="00626900"/>
    <w:rsid w:val="006269A4"/>
    <w:rsid w:val="006269B0"/>
    <w:rsid w:val="006269DC"/>
    <w:rsid w:val="00626A12"/>
    <w:rsid w:val="00626A74"/>
    <w:rsid w:val="00626B01"/>
    <w:rsid w:val="00626B82"/>
    <w:rsid w:val="00626BDE"/>
    <w:rsid w:val="00626CE1"/>
    <w:rsid w:val="00626D48"/>
    <w:rsid w:val="00626D5E"/>
    <w:rsid w:val="00626DB6"/>
    <w:rsid w:val="00626DE8"/>
    <w:rsid w:val="00626E08"/>
    <w:rsid w:val="00626F10"/>
    <w:rsid w:val="00626F55"/>
    <w:rsid w:val="0062703C"/>
    <w:rsid w:val="006270EF"/>
    <w:rsid w:val="00627119"/>
    <w:rsid w:val="006272DA"/>
    <w:rsid w:val="006274A0"/>
    <w:rsid w:val="006274BA"/>
    <w:rsid w:val="006274D2"/>
    <w:rsid w:val="00627529"/>
    <w:rsid w:val="00627578"/>
    <w:rsid w:val="006275F4"/>
    <w:rsid w:val="00627767"/>
    <w:rsid w:val="006277A3"/>
    <w:rsid w:val="00627AA4"/>
    <w:rsid w:val="00627AB8"/>
    <w:rsid w:val="00627AE3"/>
    <w:rsid w:val="00627B30"/>
    <w:rsid w:val="00627BCD"/>
    <w:rsid w:val="00627C6F"/>
    <w:rsid w:val="00627D3C"/>
    <w:rsid w:val="00627EDF"/>
    <w:rsid w:val="00627F17"/>
    <w:rsid w:val="00627F69"/>
    <w:rsid w:val="00627FCC"/>
    <w:rsid w:val="00627FD2"/>
    <w:rsid w:val="0063009E"/>
    <w:rsid w:val="0063020C"/>
    <w:rsid w:val="0063024C"/>
    <w:rsid w:val="00630330"/>
    <w:rsid w:val="00630405"/>
    <w:rsid w:val="00630461"/>
    <w:rsid w:val="006304BF"/>
    <w:rsid w:val="00630562"/>
    <w:rsid w:val="00630582"/>
    <w:rsid w:val="006305D0"/>
    <w:rsid w:val="00630601"/>
    <w:rsid w:val="00630613"/>
    <w:rsid w:val="006306B6"/>
    <w:rsid w:val="0063070D"/>
    <w:rsid w:val="0063077E"/>
    <w:rsid w:val="006307F1"/>
    <w:rsid w:val="0063080A"/>
    <w:rsid w:val="00630843"/>
    <w:rsid w:val="0063089A"/>
    <w:rsid w:val="00630902"/>
    <w:rsid w:val="00630908"/>
    <w:rsid w:val="00630937"/>
    <w:rsid w:val="00630A42"/>
    <w:rsid w:val="00630B7F"/>
    <w:rsid w:val="00630BB7"/>
    <w:rsid w:val="00630C99"/>
    <w:rsid w:val="00630CAA"/>
    <w:rsid w:val="00630D23"/>
    <w:rsid w:val="00630D9D"/>
    <w:rsid w:val="00630E12"/>
    <w:rsid w:val="00630F9B"/>
    <w:rsid w:val="00630FCE"/>
    <w:rsid w:val="0063107A"/>
    <w:rsid w:val="006310CA"/>
    <w:rsid w:val="00631165"/>
    <w:rsid w:val="006311DE"/>
    <w:rsid w:val="00631240"/>
    <w:rsid w:val="006312A9"/>
    <w:rsid w:val="0063135D"/>
    <w:rsid w:val="006313E8"/>
    <w:rsid w:val="00631429"/>
    <w:rsid w:val="00631443"/>
    <w:rsid w:val="00631466"/>
    <w:rsid w:val="006314AB"/>
    <w:rsid w:val="00631500"/>
    <w:rsid w:val="00631558"/>
    <w:rsid w:val="00631568"/>
    <w:rsid w:val="006315CE"/>
    <w:rsid w:val="0063162A"/>
    <w:rsid w:val="006316D0"/>
    <w:rsid w:val="00631731"/>
    <w:rsid w:val="00631746"/>
    <w:rsid w:val="0063177D"/>
    <w:rsid w:val="00631842"/>
    <w:rsid w:val="0063187B"/>
    <w:rsid w:val="006319CF"/>
    <w:rsid w:val="00631ABB"/>
    <w:rsid w:val="00631B4E"/>
    <w:rsid w:val="00631C1F"/>
    <w:rsid w:val="00631C23"/>
    <w:rsid w:val="00631C81"/>
    <w:rsid w:val="00631D26"/>
    <w:rsid w:val="00631E19"/>
    <w:rsid w:val="00631E4A"/>
    <w:rsid w:val="00631E68"/>
    <w:rsid w:val="00631E91"/>
    <w:rsid w:val="00631FDF"/>
    <w:rsid w:val="0063218B"/>
    <w:rsid w:val="0063221D"/>
    <w:rsid w:val="00632384"/>
    <w:rsid w:val="0063246E"/>
    <w:rsid w:val="00632514"/>
    <w:rsid w:val="00632586"/>
    <w:rsid w:val="006326E6"/>
    <w:rsid w:val="00632725"/>
    <w:rsid w:val="0063299C"/>
    <w:rsid w:val="00632A93"/>
    <w:rsid w:val="00632BFA"/>
    <w:rsid w:val="00632C04"/>
    <w:rsid w:val="00632CD5"/>
    <w:rsid w:val="00632D57"/>
    <w:rsid w:val="00632E3C"/>
    <w:rsid w:val="00632E6D"/>
    <w:rsid w:val="00632E74"/>
    <w:rsid w:val="00632E94"/>
    <w:rsid w:val="00632E95"/>
    <w:rsid w:val="00632E9F"/>
    <w:rsid w:val="00632EE8"/>
    <w:rsid w:val="00632EFC"/>
    <w:rsid w:val="00632FBD"/>
    <w:rsid w:val="00633030"/>
    <w:rsid w:val="0063307E"/>
    <w:rsid w:val="006330B4"/>
    <w:rsid w:val="006331E1"/>
    <w:rsid w:val="00633221"/>
    <w:rsid w:val="0063330C"/>
    <w:rsid w:val="00633313"/>
    <w:rsid w:val="00633434"/>
    <w:rsid w:val="00633453"/>
    <w:rsid w:val="00633454"/>
    <w:rsid w:val="00633465"/>
    <w:rsid w:val="00633501"/>
    <w:rsid w:val="00633739"/>
    <w:rsid w:val="00633744"/>
    <w:rsid w:val="00633936"/>
    <w:rsid w:val="006339A4"/>
    <w:rsid w:val="00633AC2"/>
    <w:rsid w:val="00633B38"/>
    <w:rsid w:val="00633C2D"/>
    <w:rsid w:val="00633D20"/>
    <w:rsid w:val="00633D56"/>
    <w:rsid w:val="00633D61"/>
    <w:rsid w:val="00633D86"/>
    <w:rsid w:val="00633D8B"/>
    <w:rsid w:val="00633DF9"/>
    <w:rsid w:val="00633E4F"/>
    <w:rsid w:val="00633F15"/>
    <w:rsid w:val="00633F88"/>
    <w:rsid w:val="00634095"/>
    <w:rsid w:val="006340D9"/>
    <w:rsid w:val="0063419A"/>
    <w:rsid w:val="006341C0"/>
    <w:rsid w:val="00634240"/>
    <w:rsid w:val="00634249"/>
    <w:rsid w:val="0063424F"/>
    <w:rsid w:val="0063426F"/>
    <w:rsid w:val="0063428C"/>
    <w:rsid w:val="006342CF"/>
    <w:rsid w:val="006343E9"/>
    <w:rsid w:val="00634425"/>
    <w:rsid w:val="006344E2"/>
    <w:rsid w:val="00634525"/>
    <w:rsid w:val="00634569"/>
    <w:rsid w:val="006345CC"/>
    <w:rsid w:val="00634637"/>
    <w:rsid w:val="00634642"/>
    <w:rsid w:val="0063476A"/>
    <w:rsid w:val="0063480F"/>
    <w:rsid w:val="00634900"/>
    <w:rsid w:val="00634A19"/>
    <w:rsid w:val="00634A5D"/>
    <w:rsid w:val="00634ABC"/>
    <w:rsid w:val="00634BA8"/>
    <w:rsid w:val="00634CAE"/>
    <w:rsid w:val="00634D77"/>
    <w:rsid w:val="00634DA8"/>
    <w:rsid w:val="00634E6B"/>
    <w:rsid w:val="00634EF1"/>
    <w:rsid w:val="00634F23"/>
    <w:rsid w:val="00634F62"/>
    <w:rsid w:val="00634FBF"/>
    <w:rsid w:val="00634FED"/>
    <w:rsid w:val="00634FFD"/>
    <w:rsid w:val="00635079"/>
    <w:rsid w:val="006350B0"/>
    <w:rsid w:val="006351E7"/>
    <w:rsid w:val="006352BA"/>
    <w:rsid w:val="006352C5"/>
    <w:rsid w:val="006352D0"/>
    <w:rsid w:val="00635488"/>
    <w:rsid w:val="00635675"/>
    <w:rsid w:val="00635780"/>
    <w:rsid w:val="0063578E"/>
    <w:rsid w:val="006357AA"/>
    <w:rsid w:val="006357EC"/>
    <w:rsid w:val="00635851"/>
    <w:rsid w:val="006358DE"/>
    <w:rsid w:val="00635AF2"/>
    <w:rsid w:val="00635B01"/>
    <w:rsid w:val="00635BA7"/>
    <w:rsid w:val="00635C11"/>
    <w:rsid w:val="00635C54"/>
    <w:rsid w:val="00635C63"/>
    <w:rsid w:val="00635CC6"/>
    <w:rsid w:val="00635CFD"/>
    <w:rsid w:val="00635D60"/>
    <w:rsid w:val="00635DC3"/>
    <w:rsid w:val="00635E96"/>
    <w:rsid w:val="00635EB8"/>
    <w:rsid w:val="00635EBD"/>
    <w:rsid w:val="00635ECC"/>
    <w:rsid w:val="0063608A"/>
    <w:rsid w:val="0063617A"/>
    <w:rsid w:val="006361F3"/>
    <w:rsid w:val="006362A3"/>
    <w:rsid w:val="00636440"/>
    <w:rsid w:val="00636465"/>
    <w:rsid w:val="006364BE"/>
    <w:rsid w:val="0063655D"/>
    <w:rsid w:val="006365CB"/>
    <w:rsid w:val="00636653"/>
    <w:rsid w:val="0063671B"/>
    <w:rsid w:val="00636822"/>
    <w:rsid w:val="0063697C"/>
    <w:rsid w:val="00636B32"/>
    <w:rsid w:val="00636BCF"/>
    <w:rsid w:val="00636C84"/>
    <w:rsid w:val="00636D46"/>
    <w:rsid w:val="00636DEE"/>
    <w:rsid w:val="00636E3E"/>
    <w:rsid w:val="00636E48"/>
    <w:rsid w:val="00636F90"/>
    <w:rsid w:val="006370E6"/>
    <w:rsid w:val="006371A9"/>
    <w:rsid w:val="006371D6"/>
    <w:rsid w:val="00637258"/>
    <w:rsid w:val="006372D0"/>
    <w:rsid w:val="00637389"/>
    <w:rsid w:val="006373B2"/>
    <w:rsid w:val="00637431"/>
    <w:rsid w:val="006374FC"/>
    <w:rsid w:val="00637543"/>
    <w:rsid w:val="00637555"/>
    <w:rsid w:val="006375B0"/>
    <w:rsid w:val="006376D9"/>
    <w:rsid w:val="006377B9"/>
    <w:rsid w:val="00637929"/>
    <w:rsid w:val="006379A4"/>
    <w:rsid w:val="00637A7B"/>
    <w:rsid w:val="00637B73"/>
    <w:rsid w:val="00637BAF"/>
    <w:rsid w:val="00637C1E"/>
    <w:rsid w:val="00637C77"/>
    <w:rsid w:val="00637CCD"/>
    <w:rsid w:val="00637E3B"/>
    <w:rsid w:val="00637E42"/>
    <w:rsid w:val="00637E97"/>
    <w:rsid w:val="00637FC8"/>
    <w:rsid w:val="006400AD"/>
    <w:rsid w:val="0064018C"/>
    <w:rsid w:val="00640263"/>
    <w:rsid w:val="0064039A"/>
    <w:rsid w:val="00640486"/>
    <w:rsid w:val="006404E2"/>
    <w:rsid w:val="006405C5"/>
    <w:rsid w:val="00640634"/>
    <w:rsid w:val="006406D3"/>
    <w:rsid w:val="0064070C"/>
    <w:rsid w:val="006407BC"/>
    <w:rsid w:val="00640812"/>
    <w:rsid w:val="00640836"/>
    <w:rsid w:val="00640886"/>
    <w:rsid w:val="006408A6"/>
    <w:rsid w:val="006408FE"/>
    <w:rsid w:val="006409F4"/>
    <w:rsid w:val="00640A0C"/>
    <w:rsid w:val="00640ACC"/>
    <w:rsid w:val="00640B2E"/>
    <w:rsid w:val="00640B33"/>
    <w:rsid w:val="00640B74"/>
    <w:rsid w:val="00640D72"/>
    <w:rsid w:val="00640DE8"/>
    <w:rsid w:val="00640E5D"/>
    <w:rsid w:val="00640EAE"/>
    <w:rsid w:val="00641044"/>
    <w:rsid w:val="00641048"/>
    <w:rsid w:val="0064105F"/>
    <w:rsid w:val="00641132"/>
    <w:rsid w:val="006412E1"/>
    <w:rsid w:val="00641308"/>
    <w:rsid w:val="00641338"/>
    <w:rsid w:val="0064133E"/>
    <w:rsid w:val="0064136A"/>
    <w:rsid w:val="006413A8"/>
    <w:rsid w:val="006413C6"/>
    <w:rsid w:val="006413D0"/>
    <w:rsid w:val="00641401"/>
    <w:rsid w:val="00641481"/>
    <w:rsid w:val="006414A3"/>
    <w:rsid w:val="006414BF"/>
    <w:rsid w:val="0064155D"/>
    <w:rsid w:val="0064170D"/>
    <w:rsid w:val="006417EB"/>
    <w:rsid w:val="0064180B"/>
    <w:rsid w:val="00641914"/>
    <w:rsid w:val="006419A9"/>
    <w:rsid w:val="006419BE"/>
    <w:rsid w:val="00641A31"/>
    <w:rsid w:val="00641B17"/>
    <w:rsid w:val="00641BA8"/>
    <w:rsid w:val="00641C1F"/>
    <w:rsid w:val="00641C33"/>
    <w:rsid w:val="00641C4E"/>
    <w:rsid w:val="00641C64"/>
    <w:rsid w:val="00641D86"/>
    <w:rsid w:val="00641E34"/>
    <w:rsid w:val="00641F56"/>
    <w:rsid w:val="00641F5D"/>
    <w:rsid w:val="00641F6F"/>
    <w:rsid w:val="0064215B"/>
    <w:rsid w:val="006421A1"/>
    <w:rsid w:val="006424B1"/>
    <w:rsid w:val="006424E0"/>
    <w:rsid w:val="00642598"/>
    <w:rsid w:val="00642691"/>
    <w:rsid w:val="006426A5"/>
    <w:rsid w:val="00642755"/>
    <w:rsid w:val="0064277C"/>
    <w:rsid w:val="006428BD"/>
    <w:rsid w:val="006428DF"/>
    <w:rsid w:val="00642920"/>
    <w:rsid w:val="00642A26"/>
    <w:rsid w:val="00642A3D"/>
    <w:rsid w:val="00642AF4"/>
    <w:rsid w:val="00642B38"/>
    <w:rsid w:val="00642C4F"/>
    <w:rsid w:val="00642D38"/>
    <w:rsid w:val="00642DAD"/>
    <w:rsid w:val="00642E15"/>
    <w:rsid w:val="00642EF4"/>
    <w:rsid w:val="00643054"/>
    <w:rsid w:val="006430F6"/>
    <w:rsid w:val="006431C4"/>
    <w:rsid w:val="006431FC"/>
    <w:rsid w:val="006433C1"/>
    <w:rsid w:val="00643402"/>
    <w:rsid w:val="0064348F"/>
    <w:rsid w:val="006434B1"/>
    <w:rsid w:val="0064353A"/>
    <w:rsid w:val="006435DD"/>
    <w:rsid w:val="006436C4"/>
    <w:rsid w:val="0064379E"/>
    <w:rsid w:val="006437A5"/>
    <w:rsid w:val="00643873"/>
    <w:rsid w:val="00643892"/>
    <w:rsid w:val="006438CB"/>
    <w:rsid w:val="006438DD"/>
    <w:rsid w:val="006439E0"/>
    <w:rsid w:val="006439F9"/>
    <w:rsid w:val="00643B2A"/>
    <w:rsid w:val="00643BA9"/>
    <w:rsid w:val="00643C98"/>
    <w:rsid w:val="00643CC8"/>
    <w:rsid w:val="00643CCD"/>
    <w:rsid w:val="00643D9E"/>
    <w:rsid w:val="00643DC2"/>
    <w:rsid w:val="00643FB3"/>
    <w:rsid w:val="0064413C"/>
    <w:rsid w:val="0064417B"/>
    <w:rsid w:val="006441B0"/>
    <w:rsid w:val="0064420D"/>
    <w:rsid w:val="006443B0"/>
    <w:rsid w:val="006444FD"/>
    <w:rsid w:val="0064456D"/>
    <w:rsid w:val="0064458A"/>
    <w:rsid w:val="0064459F"/>
    <w:rsid w:val="006446EE"/>
    <w:rsid w:val="00644886"/>
    <w:rsid w:val="00644896"/>
    <w:rsid w:val="00644A67"/>
    <w:rsid w:val="00644A72"/>
    <w:rsid w:val="00644B5A"/>
    <w:rsid w:val="00644B92"/>
    <w:rsid w:val="00644B9C"/>
    <w:rsid w:val="00644CA8"/>
    <w:rsid w:val="00644CBE"/>
    <w:rsid w:val="00644D9D"/>
    <w:rsid w:val="00644EED"/>
    <w:rsid w:val="00644F50"/>
    <w:rsid w:val="00644F85"/>
    <w:rsid w:val="00644F99"/>
    <w:rsid w:val="00645058"/>
    <w:rsid w:val="006450D4"/>
    <w:rsid w:val="00645149"/>
    <w:rsid w:val="006451AD"/>
    <w:rsid w:val="00645233"/>
    <w:rsid w:val="006452C9"/>
    <w:rsid w:val="006452CF"/>
    <w:rsid w:val="006453EE"/>
    <w:rsid w:val="00645433"/>
    <w:rsid w:val="006455E3"/>
    <w:rsid w:val="006456AE"/>
    <w:rsid w:val="006456BA"/>
    <w:rsid w:val="006456F6"/>
    <w:rsid w:val="006457A0"/>
    <w:rsid w:val="00645875"/>
    <w:rsid w:val="00645A48"/>
    <w:rsid w:val="00645AB8"/>
    <w:rsid w:val="00645B7E"/>
    <w:rsid w:val="00645C5B"/>
    <w:rsid w:val="00645D34"/>
    <w:rsid w:val="00645D69"/>
    <w:rsid w:val="00646033"/>
    <w:rsid w:val="00646045"/>
    <w:rsid w:val="00646077"/>
    <w:rsid w:val="006460A1"/>
    <w:rsid w:val="006460A6"/>
    <w:rsid w:val="006460CE"/>
    <w:rsid w:val="006460E4"/>
    <w:rsid w:val="0064612C"/>
    <w:rsid w:val="00646182"/>
    <w:rsid w:val="0064622A"/>
    <w:rsid w:val="006462DE"/>
    <w:rsid w:val="0064639E"/>
    <w:rsid w:val="006464C1"/>
    <w:rsid w:val="006464DA"/>
    <w:rsid w:val="00646579"/>
    <w:rsid w:val="006465C0"/>
    <w:rsid w:val="00646600"/>
    <w:rsid w:val="00646640"/>
    <w:rsid w:val="0064668E"/>
    <w:rsid w:val="0064669C"/>
    <w:rsid w:val="00646726"/>
    <w:rsid w:val="0064676B"/>
    <w:rsid w:val="0064693F"/>
    <w:rsid w:val="00646A40"/>
    <w:rsid w:val="00646A67"/>
    <w:rsid w:val="00646AE1"/>
    <w:rsid w:val="00646B8F"/>
    <w:rsid w:val="00646C4C"/>
    <w:rsid w:val="00646EA5"/>
    <w:rsid w:val="00646EAE"/>
    <w:rsid w:val="00646EB0"/>
    <w:rsid w:val="00646F4F"/>
    <w:rsid w:val="006470A9"/>
    <w:rsid w:val="006470AC"/>
    <w:rsid w:val="006470C4"/>
    <w:rsid w:val="00647247"/>
    <w:rsid w:val="006472C0"/>
    <w:rsid w:val="0064733B"/>
    <w:rsid w:val="0064734C"/>
    <w:rsid w:val="0064745B"/>
    <w:rsid w:val="006474C5"/>
    <w:rsid w:val="00647595"/>
    <w:rsid w:val="00647644"/>
    <w:rsid w:val="0064765E"/>
    <w:rsid w:val="00647663"/>
    <w:rsid w:val="00647664"/>
    <w:rsid w:val="00647771"/>
    <w:rsid w:val="006477F3"/>
    <w:rsid w:val="00647856"/>
    <w:rsid w:val="0064785F"/>
    <w:rsid w:val="00647956"/>
    <w:rsid w:val="0064797A"/>
    <w:rsid w:val="006479F4"/>
    <w:rsid w:val="00647A1C"/>
    <w:rsid w:val="00647A85"/>
    <w:rsid w:val="00647B18"/>
    <w:rsid w:val="00647B7D"/>
    <w:rsid w:val="00647B8D"/>
    <w:rsid w:val="00647C54"/>
    <w:rsid w:val="00647CB0"/>
    <w:rsid w:val="00647DB9"/>
    <w:rsid w:val="00647DF2"/>
    <w:rsid w:val="00647E2D"/>
    <w:rsid w:val="00647F86"/>
    <w:rsid w:val="00647F9C"/>
    <w:rsid w:val="00650020"/>
    <w:rsid w:val="0065003D"/>
    <w:rsid w:val="006500B3"/>
    <w:rsid w:val="00650160"/>
    <w:rsid w:val="00650185"/>
    <w:rsid w:val="0065041F"/>
    <w:rsid w:val="00650434"/>
    <w:rsid w:val="006504CA"/>
    <w:rsid w:val="00650506"/>
    <w:rsid w:val="00650525"/>
    <w:rsid w:val="00650582"/>
    <w:rsid w:val="0065067C"/>
    <w:rsid w:val="00650682"/>
    <w:rsid w:val="0065075C"/>
    <w:rsid w:val="00650775"/>
    <w:rsid w:val="00650850"/>
    <w:rsid w:val="006509CA"/>
    <w:rsid w:val="006509FE"/>
    <w:rsid w:val="00650A93"/>
    <w:rsid w:val="00650A97"/>
    <w:rsid w:val="00650B2A"/>
    <w:rsid w:val="00650B8D"/>
    <w:rsid w:val="00650B8F"/>
    <w:rsid w:val="00650BEB"/>
    <w:rsid w:val="00650C52"/>
    <w:rsid w:val="00650C62"/>
    <w:rsid w:val="00650C87"/>
    <w:rsid w:val="00650CB2"/>
    <w:rsid w:val="00650F3D"/>
    <w:rsid w:val="00651023"/>
    <w:rsid w:val="006510D7"/>
    <w:rsid w:val="0065114B"/>
    <w:rsid w:val="006511DE"/>
    <w:rsid w:val="006511DF"/>
    <w:rsid w:val="0065122A"/>
    <w:rsid w:val="00651275"/>
    <w:rsid w:val="006512E8"/>
    <w:rsid w:val="006512FF"/>
    <w:rsid w:val="00651339"/>
    <w:rsid w:val="0065135C"/>
    <w:rsid w:val="006513B3"/>
    <w:rsid w:val="00651431"/>
    <w:rsid w:val="006514ED"/>
    <w:rsid w:val="006514F0"/>
    <w:rsid w:val="00651771"/>
    <w:rsid w:val="00651880"/>
    <w:rsid w:val="00651934"/>
    <w:rsid w:val="0065196E"/>
    <w:rsid w:val="006519AA"/>
    <w:rsid w:val="006519F0"/>
    <w:rsid w:val="00651AF7"/>
    <w:rsid w:val="00651B6F"/>
    <w:rsid w:val="00651BE1"/>
    <w:rsid w:val="00651D34"/>
    <w:rsid w:val="00651DDA"/>
    <w:rsid w:val="00651F82"/>
    <w:rsid w:val="00652121"/>
    <w:rsid w:val="006521AE"/>
    <w:rsid w:val="00652543"/>
    <w:rsid w:val="00652591"/>
    <w:rsid w:val="00652613"/>
    <w:rsid w:val="006526A7"/>
    <w:rsid w:val="006526CC"/>
    <w:rsid w:val="006526D9"/>
    <w:rsid w:val="006526FE"/>
    <w:rsid w:val="00652722"/>
    <w:rsid w:val="00652748"/>
    <w:rsid w:val="0065281D"/>
    <w:rsid w:val="00652995"/>
    <w:rsid w:val="00652A0F"/>
    <w:rsid w:val="00652A3B"/>
    <w:rsid w:val="00652A44"/>
    <w:rsid w:val="00652B00"/>
    <w:rsid w:val="00652B6C"/>
    <w:rsid w:val="00652B8E"/>
    <w:rsid w:val="00652BB7"/>
    <w:rsid w:val="00652DE9"/>
    <w:rsid w:val="00652E6B"/>
    <w:rsid w:val="00652FA9"/>
    <w:rsid w:val="0065314E"/>
    <w:rsid w:val="00653233"/>
    <w:rsid w:val="0065324C"/>
    <w:rsid w:val="0065327C"/>
    <w:rsid w:val="0065329A"/>
    <w:rsid w:val="006533B2"/>
    <w:rsid w:val="006534FF"/>
    <w:rsid w:val="0065353D"/>
    <w:rsid w:val="00653591"/>
    <w:rsid w:val="0065362E"/>
    <w:rsid w:val="006536F7"/>
    <w:rsid w:val="00653724"/>
    <w:rsid w:val="006537A1"/>
    <w:rsid w:val="006537E9"/>
    <w:rsid w:val="00653879"/>
    <w:rsid w:val="006538C0"/>
    <w:rsid w:val="0065397A"/>
    <w:rsid w:val="00653981"/>
    <w:rsid w:val="00653991"/>
    <w:rsid w:val="00653998"/>
    <w:rsid w:val="00653A5E"/>
    <w:rsid w:val="00653AFF"/>
    <w:rsid w:val="00653B01"/>
    <w:rsid w:val="00653BCC"/>
    <w:rsid w:val="00653BEA"/>
    <w:rsid w:val="00653C09"/>
    <w:rsid w:val="00653DF1"/>
    <w:rsid w:val="00653E0E"/>
    <w:rsid w:val="00653E5F"/>
    <w:rsid w:val="00653E9D"/>
    <w:rsid w:val="00653FA8"/>
    <w:rsid w:val="00654135"/>
    <w:rsid w:val="006541FA"/>
    <w:rsid w:val="00654274"/>
    <w:rsid w:val="006542EE"/>
    <w:rsid w:val="006543A4"/>
    <w:rsid w:val="00654507"/>
    <w:rsid w:val="0065451D"/>
    <w:rsid w:val="00654634"/>
    <w:rsid w:val="0065469C"/>
    <w:rsid w:val="006546AB"/>
    <w:rsid w:val="006547FF"/>
    <w:rsid w:val="00654817"/>
    <w:rsid w:val="00654864"/>
    <w:rsid w:val="006548B6"/>
    <w:rsid w:val="0065496C"/>
    <w:rsid w:val="0065497D"/>
    <w:rsid w:val="0065499E"/>
    <w:rsid w:val="006549CB"/>
    <w:rsid w:val="00654A23"/>
    <w:rsid w:val="00654B26"/>
    <w:rsid w:val="00654B4C"/>
    <w:rsid w:val="00654BAD"/>
    <w:rsid w:val="00654C19"/>
    <w:rsid w:val="00654C81"/>
    <w:rsid w:val="00654C95"/>
    <w:rsid w:val="00654CA1"/>
    <w:rsid w:val="00654D17"/>
    <w:rsid w:val="00654D18"/>
    <w:rsid w:val="00654D6F"/>
    <w:rsid w:val="00654D82"/>
    <w:rsid w:val="00654DF0"/>
    <w:rsid w:val="00654E1C"/>
    <w:rsid w:val="00654E32"/>
    <w:rsid w:val="00654E62"/>
    <w:rsid w:val="00654EE0"/>
    <w:rsid w:val="00654EE1"/>
    <w:rsid w:val="00654F19"/>
    <w:rsid w:val="00655048"/>
    <w:rsid w:val="0065505C"/>
    <w:rsid w:val="006550FC"/>
    <w:rsid w:val="006552B9"/>
    <w:rsid w:val="006552C5"/>
    <w:rsid w:val="0065531C"/>
    <w:rsid w:val="0065535B"/>
    <w:rsid w:val="006553B8"/>
    <w:rsid w:val="006553C7"/>
    <w:rsid w:val="006553E5"/>
    <w:rsid w:val="006554B3"/>
    <w:rsid w:val="006555A8"/>
    <w:rsid w:val="006555FB"/>
    <w:rsid w:val="00655647"/>
    <w:rsid w:val="0065564E"/>
    <w:rsid w:val="00655689"/>
    <w:rsid w:val="0065571B"/>
    <w:rsid w:val="0065572E"/>
    <w:rsid w:val="00655809"/>
    <w:rsid w:val="00655BFD"/>
    <w:rsid w:val="00655C8F"/>
    <w:rsid w:val="00655CFB"/>
    <w:rsid w:val="00655D1A"/>
    <w:rsid w:val="00655DDA"/>
    <w:rsid w:val="00655DDB"/>
    <w:rsid w:val="00655E4C"/>
    <w:rsid w:val="00655E54"/>
    <w:rsid w:val="00655E85"/>
    <w:rsid w:val="00655E93"/>
    <w:rsid w:val="00655F15"/>
    <w:rsid w:val="00655F63"/>
    <w:rsid w:val="00655FDE"/>
    <w:rsid w:val="00656046"/>
    <w:rsid w:val="006561FC"/>
    <w:rsid w:val="0065642C"/>
    <w:rsid w:val="006565E8"/>
    <w:rsid w:val="00656844"/>
    <w:rsid w:val="00656895"/>
    <w:rsid w:val="006569FF"/>
    <w:rsid w:val="00656A2C"/>
    <w:rsid w:val="00656B9C"/>
    <w:rsid w:val="00656BF3"/>
    <w:rsid w:val="00656D82"/>
    <w:rsid w:val="00656E03"/>
    <w:rsid w:val="00656E61"/>
    <w:rsid w:val="00656F3B"/>
    <w:rsid w:val="00656F62"/>
    <w:rsid w:val="00657012"/>
    <w:rsid w:val="006570F4"/>
    <w:rsid w:val="0065715F"/>
    <w:rsid w:val="0065717D"/>
    <w:rsid w:val="00657272"/>
    <w:rsid w:val="0065734E"/>
    <w:rsid w:val="006573FB"/>
    <w:rsid w:val="0065756C"/>
    <w:rsid w:val="0065757C"/>
    <w:rsid w:val="00657619"/>
    <w:rsid w:val="0065761C"/>
    <w:rsid w:val="0065777D"/>
    <w:rsid w:val="0065784A"/>
    <w:rsid w:val="00657973"/>
    <w:rsid w:val="006579A2"/>
    <w:rsid w:val="006579AA"/>
    <w:rsid w:val="006579C4"/>
    <w:rsid w:val="006579CF"/>
    <w:rsid w:val="00657A12"/>
    <w:rsid w:val="00657A47"/>
    <w:rsid w:val="00657A9F"/>
    <w:rsid w:val="00657B66"/>
    <w:rsid w:val="00657BA2"/>
    <w:rsid w:val="00657BCF"/>
    <w:rsid w:val="00657C1A"/>
    <w:rsid w:val="00657C64"/>
    <w:rsid w:val="00657C8C"/>
    <w:rsid w:val="00657CC9"/>
    <w:rsid w:val="00657D5B"/>
    <w:rsid w:val="00657DD3"/>
    <w:rsid w:val="00657E1D"/>
    <w:rsid w:val="00657F64"/>
    <w:rsid w:val="0066009E"/>
    <w:rsid w:val="006600E9"/>
    <w:rsid w:val="00660171"/>
    <w:rsid w:val="0066019B"/>
    <w:rsid w:val="006601A7"/>
    <w:rsid w:val="0066033A"/>
    <w:rsid w:val="006604B2"/>
    <w:rsid w:val="0066071C"/>
    <w:rsid w:val="00660841"/>
    <w:rsid w:val="00660A31"/>
    <w:rsid w:val="00660A6B"/>
    <w:rsid w:val="00660A7E"/>
    <w:rsid w:val="00660B8B"/>
    <w:rsid w:val="00660CF9"/>
    <w:rsid w:val="00660E0D"/>
    <w:rsid w:val="00660E7D"/>
    <w:rsid w:val="00660E82"/>
    <w:rsid w:val="00660EE5"/>
    <w:rsid w:val="00660F24"/>
    <w:rsid w:val="00660FB9"/>
    <w:rsid w:val="00661036"/>
    <w:rsid w:val="00661060"/>
    <w:rsid w:val="0066122C"/>
    <w:rsid w:val="00661536"/>
    <w:rsid w:val="0066153A"/>
    <w:rsid w:val="00661589"/>
    <w:rsid w:val="006615EC"/>
    <w:rsid w:val="0066180A"/>
    <w:rsid w:val="0066181B"/>
    <w:rsid w:val="006618B0"/>
    <w:rsid w:val="00661A5A"/>
    <w:rsid w:val="00661A92"/>
    <w:rsid w:val="00661ADE"/>
    <w:rsid w:val="00661B4D"/>
    <w:rsid w:val="00661BDC"/>
    <w:rsid w:val="00661CBB"/>
    <w:rsid w:val="00661F19"/>
    <w:rsid w:val="00661FDD"/>
    <w:rsid w:val="00662021"/>
    <w:rsid w:val="00662042"/>
    <w:rsid w:val="00662089"/>
    <w:rsid w:val="006620A4"/>
    <w:rsid w:val="00662158"/>
    <w:rsid w:val="006621A8"/>
    <w:rsid w:val="006621B5"/>
    <w:rsid w:val="006621C2"/>
    <w:rsid w:val="00662245"/>
    <w:rsid w:val="006622D1"/>
    <w:rsid w:val="0066231A"/>
    <w:rsid w:val="00662330"/>
    <w:rsid w:val="0066237B"/>
    <w:rsid w:val="006623CE"/>
    <w:rsid w:val="0066249F"/>
    <w:rsid w:val="006625B8"/>
    <w:rsid w:val="006626BA"/>
    <w:rsid w:val="006626C6"/>
    <w:rsid w:val="006627DE"/>
    <w:rsid w:val="00662931"/>
    <w:rsid w:val="00662996"/>
    <w:rsid w:val="00662A33"/>
    <w:rsid w:val="00662A48"/>
    <w:rsid w:val="00662A5E"/>
    <w:rsid w:val="00662B0A"/>
    <w:rsid w:val="00662B6E"/>
    <w:rsid w:val="00662C25"/>
    <w:rsid w:val="00662C93"/>
    <w:rsid w:val="00662CE9"/>
    <w:rsid w:val="00662D6F"/>
    <w:rsid w:val="00662FAF"/>
    <w:rsid w:val="00663050"/>
    <w:rsid w:val="00663062"/>
    <w:rsid w:val="00663100"/>
    <w:rsid w:val="0066321D"/>
    <w:rsid w:val="00663309"/>
    <w:rsid w:val="006634B0"/>
    <w:rsid w:val="00663584"/>
    <w:rsid w:val="006635AE"/>
    <w:rsid w:val="00663635"/>
    <w:rsid w:val="006636A4"/>
    <w:rsid w:val="006636B4"/>
    <w:rsid w:val="00663754"/>
    <w:rsid w:val="006637ED"/>
    <w:rsid w:val="0066382B"/>
    <w:rsid w:val="0066388A"/>
    <w:rsid w:val="006638A6"/>
    <w:rsid w:val="006638C3"/>
    <w:rsid w:val="00663934"/>
    <w:rsid w:val="00663A5A"/>
    <w:rsid w:val="00663A5C"/>
    <w:rsid w:val="00663B76"/>
    <w:rsid w:val="00663BD9"/>
    <w:rsid w:val="00663BF4"/>
    <w:rsid w:val="00663C85"/>
    <w:rsid w:val="00663D04"/>
    <w:rsid w:val="00663D90"/>
    <w:rsid w:val="00663E6F"/>
    <w:rsid w:val="00663E7C"/>
    <w:rsid w:val="00663ECA"/>
    <w:rsid w:val="00663EF8"/>
    <w:rsid w:val="00664026"/>
    <w:rsid w:val="0066419F"/>
    <w:rsid w:val="0066422C"/>
    <w:rsid w:val="0066432E"/>
    <w:rsid w:val="00664386"/>
    <w:rsid w:val="0066438D"/>
    <w:rsid w:val="0066438E"/>
    <w:rsid w:val="00664442"/>
    <w:rsid w:val="006646F4"/>
    <w:rsid w:val="00664752"/>
    <w:rsid w:val="0066478D"/>
    <w:rsid w:val="0066478E"/>
    <w:rsid w:val="00664888"/>
    <w:rsid w:val="006648F1"/>
    <w:rsid w:val="0066490D"/>
    <w:rsid w:val="00664975"/>
    <w:rsid w:val="006649B1"/>
    <w:rsid w:val="006649EF"/>
    <w:rsid w:val="00664A89"/>
    <w:rsid w:val="00664B32"/>
    <w:rsid w:val="00664B8B"/>
    <w:rsid w:val="00664B95"/>
    <w:rsid w:val="00664BBF"/>
    <w:rsid w:val="00664C0D"/>
    <w:rsid w:val="00664C23"/>
    <w:rsid w:val="00664CA1"/>
    <w:rsid w:val="00664D46"/>
    <w:rsid w:val="00664D4E"/>
    <w:rsid w:val="00664DE0"/>
    <w:rsid w:val="00664E9F"/>
    <w:rsid w:val="00665089"/>
    <w:rsid w:val="006651E2"/>
    <w:rsid w:val="006651EF"/>
    <w:rsid w:val="00665231"/>
    <w:rsid w:val="00665253"/>
    <w:rsid w:val="00665340"/>
    <w:rsid w:val="00665341"/>
    <w:rsid w:val="00665346"/>
    <w:rsid w:val="00665350"/>
    <w:rsid w:val="00665357"/>
    <w:rsid w:val="006653C5"/>
    <w:rsid w:val="006653D1"/>
    <w:rsid w:val="006653EB"/>
    <w:rsid w:val="0066541E"/>
    <w:rsid w:val="0066543B"/>
    <w:rsid w:val="00665482"/>
    <w:rsid w:val="006655A6"/>
    <w:rsid w:val="00665645"/>
    <w:rsid w:val="006657D8"/>
    <w:rsid w:val="0066597B"/>
    <w:rsid w:val="00665B76"/>
    <w:rsid w:val="00665BBB"/>
    <w:rsid w:val="00665C29"/>
    <w:rsid w:val="00665D63"/>
    <w:rsid w:val="00665DC1"/>
    <w:rsid w:val="00665EF4"/>
    <w:rsid w:val="00665F87"/>
    <w:rsid w:val="00666017"/>
    <w:rsid w:val="006660B5"/>
    <w:rsid w:val="00666163"/>
    <w:rsid w:val="006661A1"/>
    <w:rsid w:val="0066625F"/>
    <w:rsid w:val="0066636F"/>
    <w:rsid w:val="00666413"/>
    <w:rsid w:val="0066651F"/>
    <w:rsid w:val="0066656E"/>
    <w:rsid w:val="00666573"/>
    <w:rsid w:val="0066657F"/>
    <w:rsid w:val="0066660D"/>
    <w:rsid w:val="00666629"/>
    <w:rsid w:val="00666684"/>
    <w:rsid w:val="00666685"/>
    <w:rsid w:val="00666732"/>
    <w:rsid w:val="00666772"/>
    <w:rsid w:val="006667D9"/>
    <w:rsid w:val="006668C2"/>
    <w:rsid w:val="006668D7"/>
    <w:rsid w:val="0066690F"/>
    <w:rsid w:val="006669F5"/>
    <w:rsid w:val="00666A57"/>
    <w:rsid w:val="00666BB2"/>
    <w:rsid w:val="00666D59"/>
    <w:rsid w:val="00666E3F"/>
    <w:rsid w:val="00666EB9"/>
    <w:rsid w:val="00666F06"/>
    <w:rsid w:val="00666FB5"/>
    <w:rsid w:val="00666FD2"/>
    <w:rsid w:val="00667031"/>
    <w:rsid w:val="006670A0"/>
    <w:rsid w:val="00667139"/>
    <w:rsid w:val="0066713B"/>
    <w:rsid w:val="00667309"/>
    <w:rsid w:val="00667354"/>
    <w:rsid w:val="00667376"/>
    <w:rsid w:val="00667446"/>
    <w:rsid w:val="00667572"/>
    <w:rsid w:val="006675C4"/>
    <w:rsid w:val="00667604"/>
    <w:rsid w:val="00667610"/>
    <w:rsid w:val="0066765A"/>
    <w:rsid w:val="00667795"/>
    <w:rsid w:val="006677BC"/>
    <w:rsid w:val="006677DB"/>
    <w:rsid w:val="006677F4"/>
    <w:rsid w:val="006679B3"/>
    <w:rsid w:val="00667AFC"/>
    <w:rsid w:val="00667B88"/>
    <w:rsid w:val="00667B90"/>
    <w:rsid w:val="00667BD8"/>
    <w:rsid w:val="00667C61"/>
    <w:rsid w:val="00667CA3"/>
    <w:rsid w:val="00667E5A"/>
    <w:rsid w:val="00667E7F"/>
    <w:rsid w:val="006700B1"/>
    <w:rsid w:val="00670103"/>
    <w:rsid w:val="006702E0"/>
    <w:rsid w:val="00670370"/>
    <w:rsid w:val="00670681"/>
    <w:rsid w:val="006706C4"/>
    <w:rsid w:val="00670775"/>
    <w:rsid w:val="006708AD"/>
    <w:rsid w:val="006709C5"/>
    <w:rsid w:val="006709DE"/>
    <w:rsid w:val="00670A4E"/>
    <w:rsid w:val="00670AE1"/>
    <w:rsid w:val="00670B7C"/>
    <w:rsid w:val="00670C99"/>
    <w:rsid w:val="00670CB9"/>
    <w:rsid w:val="00670D04"/>
    <w:rsid w:val="00670EAC"/>
    <w:rsid w:val="00670F20"/>
    <w:rsid w:val="00670FCF"/>
    <w:rsid w:val="00671134"/>
    <w:rsid w:val="006711EE"/>
    <w:rsid w:val="0067129C"/>
    <w:rsid w:val="00671303"/>
    <w:rsid w:val="006714E9"/>
    <w:rsid w:val="00671677"/>
    <w:rsid w:val="00671788"/>
    <w:rsid w:val="006717D7"/>
    <w:rsid w:val="006718A2"/>
    <w:rsid w:val="0067199D"/>
    <w:rsid w:val="00671A2D"/>
    <w:rsid w:val="00671B7A"/>
    <w:rsid w:val="00671CB6"/>
    <w:rsid w:val="00671CFF"/>
    <w:rsid w:val="00671D2F"/>
    <w:rsid w:val="00671D8E"/>
    <w:rsid w:val="00671E1A"/>
    <w:rsid w:val="00671E4C"/>
    <w:rsid w:val="00671EAF"/>
    <w:rsid w:val="00671F39"/>
    <w:rsid w:val="00671F7A"/>
    <w:rsid w:val="00672098"/>
    <w:rsid w:val="00672111"/>
    <w:rsid w:val="0067211E"/>
    <w:rsid w:val="006721D7"/>
    <w:rsid w:val="00672223"/>
    <w:rsid w:val="00672277"/>
    <w:rsid w:val="006722E4"/>
    <w:rsid w:val="00672305"/>
    <w:rsid w:val="0067232C"/>
    <w:rsid w:val="0067238E"/>
    <w:rsid w:val="00672398"/>
    <w:rsid w:val="0067247F"/>
    <w:rsid w:val="006725E8"/>
    <w:rsid w:val="0067262B"/>
    <w:rsid w:val="006726B7"/>
    <w:rsid w:val="006727A9"/>
    <w:rsid w:val="006727EE"/>
    <w:rsid w:val="00672864"/>
    <w:rsid w:val="006729F7"/>
    <w:rsid w:val="00672AC6"/>
    <w:rsid w:val="00672B5F"/>
    <w:rsid w:val="00672B6E"/>
    <w:rsid w:val="00672BC0"/>
    <w:rsid w:val="00672BCD"/>
    <w:rsid w:val="00672C72"/>
    <w:rsid w:val="00672D4B"/>
    <w:rsid w:val="00672E1D"/>
    <w:rsid w:val="00672EB3"/>
    <w:rsid w:val="00672EBC"/>
    <w:rsid w:val="00672F88"/>
    <w:rsid w:val="00672F9C"/>
    <w:rsid w:val="00672FE0"/>
    <w:rsid w:val="00672FEE"/>
    <w:rsid w:val="00673071"/>
    <w:rsid w:val="00673080"/>
    <w:rsid w:val="00673199"/>
    <w:rsid w:val="006731DC"/>
    <w:rsid w:val="0067329D"/>
    <w:rsid w:val="006732A8"/>
    <w:rsid w:val="00673470"/>
    <w:rsid w:val="00673519"/>
    <w:rsid w:val="006735D8"/>
    <w:rsid w:val="006736AB"/>
    <w:rsid w:val="006736D2"/>
    <w:rsid w:val="00673710"/>
    <w:rsid w:val="006737FB"/>
    <w:rsid w:val="00673A34"/>
    <w:rsid w:val="00673A9A"/>
    <w:rsid w:val="00673B30"/>
    <w:rsid w:val="00673C0A"/>
    <w:rsid w:val="00673C2B"/>
    <w:rsid w:val="00673C4F"/>
    <w:rsid w:val="00673D1D"/>
    <w:rsid w:val="00673DFC"/>
    <w:rsid w:val="00673E32"/>
    <w:rsid w:val="00673E3C"/>
    <w:rsid w:val="00674083"/>
    <w:rsid w:val="006740DC"/>
    <w:rsid w:val="00674190"/>
    <w:rsid w:val="006741DA"/>
    <w:rsid w:val="00674207"/>
    <w:rsid w:val="0067436D"/>
    <w:rsid w:val="00674423"/>
    <w:rsid w:val="00674553"/>
    <w:rsid w:val="00674598"/>
    <w:rsid w:val="006745C3"/>
    <w:rsid w:val="006746EE"/>
    <w:rsid w:val="0067478C"/>
    <w:rsid w:val="006747D2"/>
    <w:rsid w:val="0067486B"/>
    <w:rsid w:val="0067487A"/>
    <w:rsid w:val="006748ED"/>
    <w:rsid w:val="00674B2E"/>
    <w:rsid w:val="00674BFF"/>
    <w:rsid w:val="00674C71"/>
    <w:rsid w:val="00674D3E"/>
    <w:rsid w:val="00674DA4"/>
    <w:rsid w:val="00674DCB"/>
    <w:rsid w:val="00674FA8"/>
    <w:rsid w:val="0067500E"/>
    <w:rsid w:val="00675080"/>
    <w:rsid w:val="00675144"/>
    <w:rsid w:val="0067517F"/>
    <w:rsid w:val="00675258"/>
    <w:rsid w:val="00675291"/>
    <w:rsid w:val="00675377"/>
    <w:rsid w:val="0067541F"/>
    <w:rsid w:val="00675553"/>
    <w:rsid w:val="006756F7"/>
    <w:rsid w:val="00675703"/>
    <w:rsid w:val="0067572A"/>
    <w:rsid w:val="006757E9"/>
    <w:rsid w:val="0067582A"/>
    <w:rsid w:val="00675936"/>
    <w:rsid w:val="006759C3"/>
    <w:rsid w:val="006759E8"/>
    <w:rsid w:val="00675B0B"/>
    <w:rsid w:val="00675B16"/>
    <w:rsid w:val="00675B4E"/>
    <w:rsid w:val="00675B9A"/>
    <w:rsid w:val="00675C6A"/>
    <w:rsid w:val="00675D3E"/>
    <w:rsid w:val="00675DAF"/>
    <w:rsid w:val="00675E00"/>
    <w:rsid w:val="00675E24"/>
    <w:rsid w:val="00675F0A"/>
    <w:rsid w:val="00675FB3"/>
    <w:rsid w:val="00675FD4"/>
    <w:rsid w:val="0067606A"/>
    <w:rsid w:val="006761A8"/>
    <w:rsid w:val="00676267"/>
    <w:rsid w:val="00676276"/>
    <w:rsid w:val="00676364"/>
    <w:rsid w:val="0067649C"/>
    <w:rsid w:val="0067649D"/>
    <w:rsid w:val="0067650F"/>
    <w:rsid w:val="00676638"/>
    <w:rsid w:val="0067665B"/>
    <w:rsid w:val="006766CD"/>
    <w:rsid w:val="00676745"/>
    <w:rsid w:val="006767A6"/>
    <w:rsid w:val="0067697F"/>
    <w:rsid w:val="006769A4"/>
    <w:rsid w:val="00676AD8"/>
    <w:rsid w:val="00676AEF"/>
    <w:rsid w:val="00676B9E"/>
    <w:rsid w:val="00676CA5"/>
    <w:rsid w:val="00676D6E"/>
    <w:rsid w:val="00676E45"/>
    <w:rsid w:val="00676E9D"/>
    <w:rsid w:val="00676EB8"/>
    <w:rsid w:val="00676ECE"/>
    <w:rsid w:val="00676F1A"/>
    <w:rsid w:val="00676FF9"/>
    <w:rsid w:val="00677044"/>
    <w:rsid w:val="00677046"/>
    <w:rsid w:val="0067705E"/>
    <w:rsid w:val="006770F9"/>
    <w:rsid w:val="006771CF"/>
    <w:rsid w:val="0067720E"/>
    <w:rsid w:val="00677231"/>
    <w:rsid w:val="00677310"/>
    <w:rsid w:val="00677474"/>
    <w:rsid w:val="00677547"/>
    <w:rsid w:val="00677570"/>
    <w:rsid w:val="00677A3F"/>
    <w:rsid w:val="00677AD3"/>
    <w:rsid w:val="00677AF7"/>
    <w:rsid w:val="00677B0F"/>
    <w:rsid w:val="00677B44"/>
    <w:rsid w:val="00677B85"/>
    <w:rsid w:val="00677BD9"/>
    <w:rsid w:val="00677DE8"/>
    <w:rsid w:val="00677E27"/>
    <w:rsid w:val="00677F10"/>
    <w:rsid w:val="00677FB7"/>
    <w:rsid w:val="00680035"/>
    <w:rsid w:val="006800AF"/>
    <w:rsid w:val="0068013F"/>
    <w:rsid w:val="0068015B"/>
    <w:rsid w:val="0068015C"/>
    <w:rsid w:val="00680189"/>
    <w:rsid w:val="0068021E"/>
    <w:rsid w:val="0068024A"/>
    <w:rsid w:val="00680351"/>
    <w:rsid w:val="0068041E"/>
    <w:rsid w:val="006805D3"/>
    <w:rsid w:val="006805E1"/>
    <w:rsid w:val="006805F8"/>
    <w:rsid w:val="00680714"/>
    <w:rsid w:val="006807FA"/>
    <w:rsid w:val="00680897"/>
    <w:rsid w:val="006808F6"/>
    <w:rsid w:val="00680977"/>
    <w:rsid w:val="006809FC"/>
    <w:rsid w:val="00680A87"/>
    <w:rsid w:val="00680BA1"/>
    <w:rsid w:val="00680CD7"/>
    <w:rsid w:val="00680D77"/>
    <w:rsid w:val="00680DBF"/>
    <w:rsid w:val="00680E57"/>
    <w:rsid w:val="00680F08"/>
    <w:rsid w:val="00680F2C"/>
    <w:rsid w:val="00680F36"/>
    <w:rsid w:val="00680FBA"/>
    <w:rsid w:val="006810AC"/>
    <w:rsid w:val="006811A5"/>
    <w:rsid w:val="006811D8"/>
    <w:rsid w:val="0068128E"/>
    <w:rsid w:val="006812B4"/>
    <w:rsid w:val="00681322"/>
    <w:rsid w:val="006813D5"/>
    <w:rsid w:val="006813F1"/>
    <w:rsid w:val="00681456"/>
    <w:rsid w:val="006814D4"/>
    <w:rsid w:val="006814E4"/>
    <w:rsid w:val="00681536"/>
    <w:rsid w:val="006815B5"/>
    <w:rsid w:val="006815CB"/>
    <w:rsid w:val="00681630"/>
    <w:rsid w:val="00681641"/>
    <w:rsid w:val="0068164D"/>
    <w:rsid w:val="006816A1"/>
    <w:rsid w:val="006817EB"/>
    <w:rsid w:val="00681901"/>
    <w:rsid w:val="0068195E"/>
    <w:rsid w:val="00681972"/>
    <w:rsid w:val="00681990"/>
    <w:rsid w:val="006819B6"/>
    <w:rsid w:val="00681A50"/>
    <w:rsid w:val="00681A81"/>
    <w:rsid w:val="00681BE6"/>
    <w:rsid w:val="00681E20"/>
    <w:rsid w:val="00681E5B"/>
    <w:rsid w:val="00681F2D"/>
    <w:rsid w:val="00682003"/>
    <w:rsid w:val="00682052"/>
    <w:rsid w:val="006820C2"/>
    <w:rsid w:val="006820C9"/>
    <w:rsid w:val="006820F7"/>
    <w:rsid w:val="006821D0"/>
    <w:rsid w:val="00682207"/>
    <w:rsid w:val="00682245"/>
    <w:rsid w:val="00682472"/>
    <w:rsid w:val="00682556"/>
    <w:rsid w:val="006825B7"/>
    <w:rsid w:val="006825F9"/>
    <w:rsid w:val="0068266F"/>
    <w:rsid w:val="00682718"/>
    <w:rsid w:val="006827E5"/>
    <w:rsid w:val="006827EB"/>
    <w:rsid w:val="00682893"/>
    <w:rsid w:val="0068290E"/>
    <w:rsid w:val="0068293A"/>
    <w:rsid w:val="00682A5E"/>
    <w:rsid w:val="00682AB5"/>
    <w:rsid w:val="00682AC3"/>
    <w:rsid w:val="00682B49"/>
    <w:rsid w:val="00682CC9"/>
    <w:rsid w:val="00682CD8"/>
    <w:rsid w:val="00682D64"/>
    <w:rsid w:val="00682DA2"/>
    <w:rsid w:val="00682DE8"/>
    <w:rsid w:val="00682E0C"/>
    <w:rsid w:val="00682EB3"/>
    <w:rsid w:val="00682F55"/>
    <w:rsid w:val="00682FD8"/>
    <w:rsid w:val="00683013"/>
    <w:rsid w:val="00683087"/>
    <w:rsid w:val="006831EE"/>
    <w:rsid w:val="00683227"/>
    <w:rsid w:val="006833C3"/>
    <w:rsid w:val="00683534"/>
    <w:rsid w:val="006835C7"/>
    <w:rsid w:val="00683793"/>
    <w:rsid w:val="006837EE"/>
    <w:rsid w:val="006837F4"/>
    <w:rsid w:val="00683831"/>
    <w:rsid w:val="00683888"/>
    <w:rsid w:val="006838F1"/>
    <w:rsid w:val="006839CB"/>
    <w:rsid w:val="00683A52"/>
    <w:rsid w:val="00683A95"/>
    <w:rsid w:val="00683ACF"/>
    <w:rsid w:val="00683AF0"/>
    <w:rsid w:val="00683AF2"/>
    <w:rsid w:val="00683D0C"/>
    <w:rsid w:val="00683E7A"/>
    <w:rsid w:val="00683E99"/>
    <w:rsid w:val="00683EC4"/>
    <w:rsid w:val="00683F8F"/>
    <w:rsid w:val="00683F99"/>
    <w:rsid w:val="00683FB6"/>
    <w:rsid w:val="00684043"/>
    <w:rsid w:val="0068404E"/>
    <w:rsid w:val="0068413B"/>
    <w:rsid w:val="006842E2"/>
    <w:rsid w:val="00684322"/>
    <w:rsid w:val="006843B4"/>
    <w:rsid w:val="00684407"/>
    <w:rsid w:val="006844AA"/>
    <w:rsid w:val="0068462B"/>
    <w:rsid w:val="00684728"/>
    <w:rsid w:val="0068472F"/>
    <w:rsid w:val="0068473C"/>
    <w:rsid w:val="0068484D"/>
    <w:rsid w:val="006848F0"/>
    <w:rsid w:val="006849D6"/>
    <w:rsid w:val="00684BD8"/>
    <w:rsid w:val="00684C42"/>
    <w:rsid w:val="00684CAD"/>
    <w:rsid w:val="00684CD5"/>
    <w:rsid w:val="00684CFB"/>
    <w:rsid w:val="00684D39"/>
    <w:rsid w:val="00684DCF"/>
    <w:rsid w:val="00684E84"/>
    <w:rsid w:val="00684EEA"/>
    <w:rsid w:val="00684FF8"/>
    <w:rsid w:val="0068502D"/>
    <w:rsid w:val="00685067"/>
    <w:rsid w:val="006850C0"/>
    <w:rsid w:val="0068519B"/>
    <w:rsid w:val="006851E1"/>
    <w:rsid w:val="006852EF"/>
    <w:rsid w:val="00685317"/>
    <w:rsid w:val="00685385"/>
    <w:rsid w:val="0068539E"/>
    <w:rsid w:val="006854A1"/>
    <w:rsid w:val="006854DC"/>
    <w:rsid w:val="00685521"/>
    <w:rsid w:val="006855AC"/>
    <w:rsid w:val="006855F8"/>
    <w:rsid w:val="00685612"/>
    <w:rsid w:val="00685670"/>
    <w:rsid w:val="006858A2"/>
    <w:rsid w:val="00685944"/>
    <w:rsid w:val="0068595E"/>
    <w:rsid w:val="00685A9D"/>
    <w:rsid w:val="00685AA3"/>
    <w:rsid w:val="00685B1E"/>
    <w:rsid w:val="00685D39"/>
    <w:rsid w:val="00685D86"/>
    <w:rsid w:val="00685E7B"/>
    <w:rsid w:val="00685EAC"/>
    <w:rsid w:val="00685F54"/>
    <w:rsid w:val="00685FB2"/>
    <w:rsid w:val="00686038"/>
    <w:rsid w:val="0068605F"/>
    <w:rsid w:val="006862AD"/>
    <w:rsid w:val="006862B9"/>
    <w:rsid w:val="006862DA"/>
    <w:rsid w:val="006864CE"/>
    <w:rsid w:val="00686636"/>
    <w:rsid w:val="006866BD"/>
    <w:rsid w:val="0068675A"/>
    <w:rsid w:val="00686A2F"/>
    <w:rsid w:val="00686AA2"/>
    <w:rsid w:val="00686AE0"/>
    <w:rsid w:val="00686AEB"/>
    <w:rsid w:val="00686AFF"/>
    <w:rsid w:val="00686B95"/>
    <w:rsid w:val="00686BD1"/>
    <w:rsid w:val="00686CE6"/>
    <w:rsid w:val="00686D9F"/>
    <w:rsid w:val="00686FE2"/>
    <w:rsid w:val="00687007"/>
    <w:rsid w:val="00687055"/>
    <w:rsid w:val="00687062"/>
    <w:rsid w:val="0068708B"/>
    <w:rsid w:val="0068714B"/>
    <w:rsid w:val="00687158"/>
    <w:rsid w:val="006872C2"/>
    <w:rsid w:val="006872D4"/>
    <w:rsid w:val="0068746C"/>
    <w:rsid w:val="00687517"/>
    <w:rsid w:val="00687614"/>
    <w:rsid w:val="00687799"/>
    <w:rsid w:val="006877E0"/>
    <w:rsid w:val="00687883"/>
    <w:rsid w:val="00687900"/>
    <w:rsid w:val="00687946"/>
    <w:rsid w:val="0068795E"/>
    <w:rsid w:val="00687988"/>
    <w:rsid w:val="00687A3B"/>
    <w:rsid w:val="00687B46"/>
    <w:rsid w:val="00687B53"/>
    <w:rsid w:val="00687B75"/>
    <w:rsid w:val="00687BEF"/>
    <w:rsid w:val="00687C05"/>
    <w:rsid w:val="00687C16"/>
    <w:rsid w:val="00687C6C"/>
    <w:rsid w:val="00687D73"/>
    <w:rsid w:val="00687D9E"/>
    <w:rsid w:val="00687DB9"/>
    <w:rsid w:val="00687DD8"/>
    <w:rsid w:val="00687E0E"/>
    <w:rsid w:val="00687E70"/>
    <w:rsid w:val="00687EB7"/>
    <w:rsid w:val="00687EE8"/>
    <w:rsid w:val="00687FDF"/>
    <w:rsid w:val="00690015"/>
    <w:rsid w:val="00690056"/>
    <w:rsid w:val="006900B0"/>
    <w:rsid w:val="0069011D"/>
    <w:rsid w:val="00690188"/>
    <w:rsid w:val="00690230"/>
    <w:rsid w:val="006902A4"/>
    <w:rsid w:val="006902AC"/>
    <w:rsid w:val="006902E3"/>
    <w:rsid w:val="006904C5"/>
    <w:rsid w:val="00690500"/>
    <w:rsid w:val="006905BD"/>
    <w:rsid w:val="00690621"/>
    <w:rsid w:val="00690696"/>
    <w:rsid w:val="0069081D"/>
    <w:rsid w:val="00690846"/>
    <w:rsid w:val="006909F0"/>
    <w:rsid w:val="006909F1"/>
    <w:rsid w:val="00690A33"/>
    <w:rsid w:val="00690AD9"/>
    <w:rsid w:val="00690B5A"/>
    <w:rsid w:val="00690C0A"/>
    <w:rsid w:val="00690C4D"/>
    <w:rsid w:val="00690CEC"/>
    <w:rsid w:val="00690E00"/>
    <w:rsid w:val="00691180"/>
    <w:rsid w:val="0069129D"/>
    <w:rsid w:val="00691324"/>
    <w:rsid w:val="00691348"/>
    <w:rsid w:val="00691690"/>
    <w:rsid w:val="006916C2"/>
    <w:rsid w:val="00691780"/>
    <w:rsid w:val="006918A4"/>
    <w:rsid w:val="006918AC"/>
    <w:rsid w:val="00691908"/>
    <w:rsid w:val="006919FB"/>
    <w:rsid w:val="00691D1C"/>
    <w:rsid w:val="00691EA3"/>
    <w:rsid w:val="00691FCC"/>
    <w:rsid w:val="0069207C"/>
    <w:rsid w:val="006920A8"/>
    <w:rsid w:val="006920AF"/>
    <w:rsid w:val="006920DB"/>
    <w:rsid w:val="006920E6"/>
    <w:rsid w:val="00692110"/>
    <w:rsid w:val="0069211D"/>
    <w:rsid w:val="0069223A"/>
    <w:rsid w:val="0069229D"/>
    <w:rsid w:val="00692314"/>
    <w:rsid w:val="0069236F"/>
    <w:rsid w:val="00692442"/>
    <w:rsid w:val="006924A1"/>
    <w:rsid w:val="00692549"/>
    <w:rsid w:val="00692646"/>
    <w:rsid w:val="00692775"/>
    <w:rsid w:val="006927BE"/>
    <w:rsid w:val="00692B12"/>
    <w:rsid w:val="00692B4F"/>
    <w:rsid w:val="00692B5E"/>
    <w:rsid w:val="00692BA5"/>
    <w:rsid w:val="00692C83"/>
    <w:rsid w:val="00692D34"/>
    <w:rsid w:val="00692D80"/>
    <w:rsid w:val="00692DB9"/>
    <w:rsid w:val="00692DCF"/>
    <w:rsid w:val="00692E20"/>
    <w:rsid w:val="00693092"/>
    <w:rsid w:val="0069310E"/>
    <w:rsid w:val="0069317C"/>
    <w:rsid w:val="006931E2"/>
    <w:rsid w:val="006931E3"/>
    <w:rsid w:val="00693263"/>
    <w:rsid w:val="006932F2"/>
    <w:rsid w:val="006932F3"/>
    <w:rsid w:val="00693303"/>
    <w:rsid w:val="00693378"/>
    <w:rsid w:val="00693387"/>
    <w:rsid w:val="006933B8"/>
    <w:rsid w:val="00693512"/>
    <w:rsid w:val="00693637"/>
    <w:rsid w:val="0069371B"/>
    <w:rsid w:val="0069374E"/>
    <w:rsid w:val="0069374F"/>
    <w:rsid w:val="0069378C"/>
    <w:rsid w:val="0069386E"/>
    <w:rsid w:val="0069398A"/>
    <w:rsid w:val="0069398B"/>
    <w:rsid w:val="00693996"/>
    <w:rsid w:val="00693A29"/>
    <w:rsid w:val="00693C34"/>
    <w:rsid w:val="00693C75"/>
    <w:rsid w:val="00693D83"/>
    <w:rsid w:val="00693DA1"/>
    <w:rsid w:val="00693DDE"/>
    <w:rsid w:val="00693E0C"/>
    <w:rsid w:val="00693E11"/>
    <w:rsid w:val="00693E9B"/>
    <w:rsid w:val="00693EAE"/>
    <w:rsid w:val="00693F3E"/>
    <w:rsid w:val="006940A8"/>
    <w:rsid w:val="00694186"/>
    <w:rsid w:val="00694357"/>
    <w:rsid w:val="006943AE"/>
    <w:rsid w:val="006943CE"/>
    <w:rsid w:val="006943E0"/>
    <w:rsid w:val="00694528"/>
    <w:rsid w:val="006945B5"/>
    <w:rsid w:val="0069472C"/>
    <w:rsid w:val="0069474D"/>
    <w:rsid w:val="00694843"/>
    <w:rsid w:val="0069488F"/>
    <w:rsid w:val="0069490A"/>
    <w:rsid w:val="0069491A"/>
    <w:rsid w:val="0069494A"/>
    <w:rsid w:val="006949A6"/>
    <w:rsid w:val="006949A7"/>
    <w:rsid w:val="00694A7C"/>
    <w:rsid w:val="00694CF3"/>
    <w:rsid w:val="0069505B"/>
    <w:rsid w:val="00695247"/>
    <w:rsid w:val="006952D3"/>
    <w:rsid w:val="006952F2"/>
    <w:rsid w:val="00695328"/>
    <w:rsid w:val="00695628"/>
    <w:rsid w:val="00695652"/>
    <w:rsid w:val="00695730"/>
    <w:rsid w:val="006957CE"/>
    <w:rsid w:val="006957FD"/>
    <w:rsid w:val="0069583E"/>
    <w:rsid w:val="006958C0"/>
    <w:rsid w:val="006958E2"/>
    <w:rsid w:val="00695986"/>
    <w:rsid w:val="00695AD1"/>
    <w:rsid w:val="00695AF0"/>
    <w:rsid w:val="00695AFB"/>
    <w:rsid w:val="00695B25"/>
    <w:rsid w:val="00695BD6"/>
    <w:rsid w:val="00695C97"/>
    <w:rsid w:val="00695DD4"/>
    <w:rsid w:val="00695E23"/>
    <w:rsid w:val="00695F03"/>
    <w:rsid w:val="00695F3C"/>
    <w:rsid w:val="00695F4A"/>
    <w:rsid w:val="00695F68"/>
    <w:rsid w:val="00695FF2"/>
    <w:rsid w:val="00696042"/>
    <w:rsid w:val="006961E8"/>
    <w:rsid w:val="0069637A"/>
    <w:rsid w:val="006964DE"/>
    <w:rsid w:val="0069653B"/>
    <w:rsid w:val="00696564"/>
    <w:rsid w:val="0069671D"/>
    <w:rsid w:val="0069678B"/>
    <w:rsid w:val="006969B6"/>
    <w:rsid w:val="006969C9"/>
    <w:rsid w:val="006969D3"/>
    <w:rsid w:val="006969F8"/>
    <w:rsid w:val="00696A16"/>
    <w:rsid w:val="00696AB7"/>
    <w:rsid w:val="00696AD0"/>
    <w:rsid w:val="00696D23"/>
    <w:rsid w:val="00696D73"/>
    <w:rsid w:val="00696E87"/>
    <w:rsid w:val="00696EDE"/>
    <w:rsid w:val="00696F28"/>
    <w:rsid w:val="00696F90"/>
    <w:rsid w:val="0069703E"/>
    <w:rsid w:val="006970B1"/>
    <w:rsid w:val="0069710B"/>
    <w:rsid w:val="0069726B"/>
    <w:rsid w:val="00697296"/>
    <w:rsid w:val="0069732F"/>
    <w:rsid w:val="0069738B"/>
    <w:rsid w:val="00697492"/>
    <w:rsid w:val="006974EE"/>
    <w:rsid w:val="006975D9"/>
    <w:rsid w:val="00697621"/>
    <w:rsid w:val="00697655"/>
    <w:rsid w:val="00697696"/>
    <w:rsid w:val="00697868"/>
    <w:rsid w:val="00697893"/>
    <w:rsid w:val="006978A0"/>
    <w:rsid w:val="00697A38"/>
    <w:rsid w:val="00697C2A"/>
    <w:rsid w:val="00697CED"/>
    <w:rsid w:val="00697DC5"/>
    <w:rsid w:val="00697DD0"/>
    <w:rsid w:val="00697DD1"/>
    <w:rsid w:val="00697E44"/>
    <w:rsid w:val="00697EBA"/>
    <w:rsid w:val="006A0168"/>
    <w:rsid w:val="006A0267"/>
    <w:rsid w:val="006A03E6"/>
    <w:rsid w:val="006A0439"/>
    <w:rsid w:val="006A0541"/>
    <w:rsid w:val="006A05DA"/>
    <w:rsid w:val="006A0676"/>
    <w:rsid w:val="006A0695"/>
    <w:rsid w:val="006A0803"/>
    <w:rsid w:val="006A0928"/>
    <w:rsid w:val="006A09C1"/>
    <w:rsid w:val="006A0A04"/>
    <w:rsid w:val="006A0AB1"/>
    <w:rsid w:val="006A0B23"/>
    <w:rsid w:val="006A0BD9"/>
    <w:rsid w:val="006A0CFA"/>
    <w:rsid w:val="006A0D2F"/>
    <w:rsid w:val="006A0D44"/>
    <w:rsid w:val="006A0F1E"/>
    <w:rsid w:val="006A0F8F"/>
    <w:rsid w:val="006A0FC0"/>
    <w:rsid w:val="006A105B"/>
    <w:rsid w:val="006A1093"/>
    <w:rsid w:val="006A10E2"/>
    <w:rsid w:val="006A133E"/>
    <w:rsid w:val="006A13B6"/>
    <w:rsid w:val="006A13D8"/>
    <w:rsid w:val="006A144E"/>
    <w:rsid w:val="006A1462"/>
    <w:rsid w:val="006A1552"/>
    <w:rsid w:val="006A157B"/>
    <w:rsid w:val="006A15B0"/>
    <w:rsid w:val="006A166D"/>
    <w:rsid w:val="006A18A1"/>
    <w:rsid w:val="006A18E3"/>
    <w:rsid w:val="006A1A35"/>
    <w:rsid w:val="006A1ADB"/>
    <w:rsid w:val="006A1BE5"/>
    <w:rsid w:val="006A1C2B"/>
    <w:rsid w:val="006A1C32"/>
    <w:rsid w:val="006A1C67"/>
    <w:rsid w:val="006A1CA3"/>
    <w:rsid w:val="006A1D12"/>
    <w:rsid w:val="006A1E12"/>
    <w:rsid w:val="006A1F71"/>
    <w:rsid w:val="006A1FE5"/>
    <w:rsid w:val="006A229C"/>
    <w:rsid w:val="006A22BF"/>
    <w:rsid w:val="006A22F3"/>
    <w:rsid w:val="006A2390"/>
    <w:rsid w:val="006A23AB"/>
    <w:rsid w:val="006A2428"/>
    <w:rsid w:val="006A2572"/>
    <w:rsid w:val="006A260E"/>
    <w:rsid w:val="006A2627"/>
    <w:rsid w:val="006A26B0"/>
    <w:rsid w:val="006A275F"/>
    <w:rsid w:val="006A276F"/>
    <w:rsid w:val="006A27C6"/>
    <w:rsid w:val="006A2862"/>
    <w:rsid w:val="006A28FD"/>
    <w:rsid w:val="006A29C7"/>
    <w:rsid w:val="006A29FE"/>
    <w:rsid w:val="006A2A72"/>
    <w:rsid w:val="006A2A8D"/>
    <w:rsid w:val="006A2A99"/>
    <w:rsid w:val="006A2B87"/>
    <w:rsid w:val="006A2C12"/>
    <w:rsid w:val="006A2C5C"/>
    <w:rsid w:val="006A2CC7"/>
    <w:rsid w:val="006A2EC8"/>
    <w:rsid w:val="006A2F73"/>
    <w:rsid w:val="006A303C"/>
    <w:rsid w:val="006A3246"/>
    <w:rsid w:val="006A3254"/>
    <w:rsid w:val="006A33FC"/>
    <w:rsid w:val="006A34CC"/>
    <w:rsid w:val="006A35C2"/>
    <w:rsid w:val="006A388B"/>
    <w:rsid w:val="006A38AA"/>
    <w:rsid w:val="006A38C5"/>
    <w:rsid w:val="006A39C2"/>
    <w:rsid w:val="006A3A22"/>
    <w:rsid w:val="006A3E99"/>
    <w:rsid w:val="006A3EB8"/>
    <w:rsid w:val="006A4014"/>
    <w:rsid w:val="006A4077"/>
    <w:rsid w:val="006A4107"/>
    <w:rsid w:val="006A4183"/>
    <w:rsid w:val="006A41CE"/>
    <w:rsid w:val="006A41F2"/>
    <w:rsid w:val="006A42A6"/>
    <w:rsid w:val="006A4339"/>
    <w:rsid w:val="006A4379"/>
    <w:rsid w:val="006A438C"/>
    <w:rsid w:val="006A43B0"/>
    <w:rsid w:val="006A4482"/>
    <w:rsid w:val="006A44C4"/>
    <w:rsid w:val="006A459D"/>
    <w:rsid w:val="006A45B4"/>
    <w:rsid w:val="006A45BA"/>
    <w:rsid w:val="006A462C"/>
    <w:rsid w:val="006A463A"/>
    <w:rsid w:val="006A465E"/>
    <w:rsid w:val="006A46C0"/>
    <w:rsid w:val="006A46D7"/>
    <w:rsid w:val="006A46E1"/>
    <w:rsid w:val="006A47F1"/>
    <w:rsid w:val="006A48E0"/>
    <w:rsid w:val="006A4A6A"/>
    <w:rsid w:val="006A4A9A"/>
    <w:rsid w:val="006A4AD3"/>
    <w:rsid w:val="006A4BA5"/>
    <w:rsid w:val="006A4BBC"/>
    <w:rsid w:val="006A4BC8"/>
    <w:rsid w:val="006A4C41"/>
    <w:rsid w:val="006A4D69"/>
    <w:rsid w:val="006A4D94"/>
    <w:rsid w:val="006A4E29"/>
    <w:rsid w:val="006A4E4A"/>
    <w:rsid w:val="006A4E50"/>
    <w:rsid w:val="006A4EE5"/>
    <w:rsid w:val="006A4F71"/>
    <w:rsid w:val="006A4FDC"/>
    <w:rsid w:val="006A4FF0"/>
    <w:rsid w:val="006A50D1"/>
    <w:rsid w:val="006A50F8"/>
    <w:rsid w:val="006A5130"/>
    <w:rsid w:val="006A5176"/>
    <w:rsid w:val="006A5285"/>
    <w:rsid w:val="006A544D"/>
    <w:rsid w:val="006A55AB"/>
    <w:rsid w:val="006A56C1"/>
    <w:rsid w:val="006A5916"/>
    <w:rsid w:val="006A5922"/>
    <w:rsid w:val="006A5B09"/>
    <w:rsid w:val="006A5B16"/>
    <w:rsid w:val="006A5B9A"/>
    <w:rsid w:val="006A5BF5"/>
    <w:rsid w:val="006A5C47"/>
    <w:rsid w:val="006A5D08"/>
    <w:rsid w:val="006A5D66"/>
    <w:rsid w:val="006A5E66"/>
    <w:rsid w:val="006A5F48"/>
    <w:rsid w:val="006A6040"/>
    <w:rsid w:val="006A6051"/>
    <w:rsid w:val="006A606B"/>
    <w:rsid w:val="006A60AC"/>
    <w:rsid w:val="006A6293"/>
    <w:rsid w:val="006A62FA"/>
    <w:rsid w:val="006A6378"/>
    <w:rsid w:val="006A63AA"/>
    <w:rsid w:val="006A6448"/>
    <w:rsid w:val="006A6550"/>
    <w:rsid w:val="006A65DC"/>
    <w:rsid w:val="006A6608"/>
    <w:rsid w:val="006A6659"/>
    <w:rsid w:val="006A668F"/>
    <w:rsid w:val="006A670E"/>
    <w:rsid w:val="006A682C"/>
    <w:rsid w:val="006A686C"/>
    <w:rsid w:val="006A68E1"/>
    <w:rsid w:val="006A6A4D"/>
    <w:rsid w:val="006A6AA6"/>
    <w:rsid w:val="006A6C71"/>
    <w:rsid w:val="006A6C85"/>
    <w:rsid w:val="006A6CCF"/>
    <w:rsid w:val="006A6E19"/>
    <w:rsid w:val="006A6E4A"/>
    <w:rsid w:val="006A6E6E"/>
    <w:rsid w:val="006A6F3F"/>
    <w:rsid w:val="006A6FA6"/>
    <w:rsid w:val="006A710A"/>
    <w:rsid w:val="006A724E"/>
    <w:rsid w:val="006A72C8"/>
    <w:rsid w:val="006A72F5"/>
    <w:rsid w:val="006A73EC"/>
    <w:rsid w:val="006A7439"/>
    <w:rsid w:val="006A750D"/>
    <w:rsid w:val="006A75E7"/>
    <w:rsid w:val="006A76A0"/>
    <w:rsid w:val="006A77FB"/>
    <w:rsid w:val="006A780A"/>
    <w:rsid w:val="006A7ADE"/>
    <w:rsid w:val="006A7BB8"/>
    <w:rsid w:val="006A7BC6"/>
    <w:rsid w:val="006A7BF8"/>
    <w:rsid w:val="006A7C52"/>
    <w:rsid w:val="006A7C82"/>
    <w:rsid w:val="006A7CB0"/>
    <w:rsid w:val="006A7EA2"/>
    <w:rsid w:val="006A7EFD"/>
    <w:rsid w:val="006A7F03"/>
    <w:rsid w:val="006A7F51"/>
    <w:rsid w:val="006A7F63"/>
    <w:rsid w:val="006A7FB0"/>
    <w:rsid w:val="006B010C"/>
    <w:rsid w:val="006B04B9"/>
    <w:rsid w:val="006B054B"/>
    <w:rsid w:val="006B0551"/>
    <w:rsid w:val="006B05B0"/>
    <w:rsid w:val="006B05DF"/>
    <w:rsid w:val="006B064C"/>
    <w:rsid w:val="006B0679"/>
    <w:rsid w:val="006B0750"/>
    <w:rsid w:val="006B078E"/>
    <w:rsid w:val="006B09C0"/>
    <w:rsid w:val="006B09C6"/>
    <w:rsid w:val="006B09D0"/>
    <w:rsid w:val="006B0A23"/>
    <w:rsid w:val="006B0A2A"/>
    <w:rsid w:val="006B0A3A"/>
    <w:rsid w:val="006B0B2F"/>
    <w:rsid w:val="006B0D80"/>
    <w:rsid w:val="006B0E03"/>
    <w:rsid w:val="006B0E38"/>
    <w:rsid w:val="006B104F"/>
    <w:rsid w:val="006B105C"/>
    <w:rsid w:val="006B10C3"/>
    <w:rsid w:val="006B10E6"/>
    <w:rsid w:val="006B1131"/>
    <w:rsid w:val="006B1283"/>
    <w:rsid w:val="006B12F6"/>
    <w:rsid w:val="006B12F7"/>
    <w:rsid w:val="006B1342"/>
    <w:rsid w:val="006B138A"/>
    <w:rsid w:val="006B13A1"/>
    <w:rsid w:val="006B149A"/>
    <w:rsid w:val="006B14DB"/>
    <w:rsid w:val="006B14EE"/>
    <w:rsid w:val="006B164B"/>
    <w:rsid w:val="006B16A1"/>
    <w:rsid w:val="006B16B1"/>
    <w:rsid w:val="006B1708"/>
    <w:rsid w:val="006B171A"/>
    <w:rsid w:val="006B1946"/>
    <w:rsid w:val="006B19A4"/>
    <w:rsid w:val="006B1A04"/>
    <w:rsid w:val="006B1A3E"/>
    <w:rsid w:val="006B1AA7"/>
    <w:rsid w:val="006B1B48"/>
    <w:rsid w:val="006B1B55"/>
    <w:rsid w:val="006B1B98"/>
    <w:rsid w:val="006B1E12"/>
    <w:rsid w:val="006B1F4A"/>
    <w:rsid w:val="006B1F8E"/>
    <w:rsid w:val="006B2022"/>
    <w:rsid w:val="006B2041"/>
    <w:rsid w:val="006B2067"/>
    <w:rsid w:val="006B20FC"/>
    <w:rsid w:val="006B218F"/>
    <w:rsid w:val="006B2249"/>
    <w:rsid w:val="006B22CB"/>
    <w:rsid w:val="006B23C8"/>
    <w:rsid w:val="006B247E"/>
    <w:rsid w:val="006B25C9"/>
    <w:rsid w:val="006B2602"/>
    <w:rsid w:val="006B265A"/>
    <w:rsid w:val="006B2769"/>
    <w:rsid w:val="006B2788"/>
    <w:rsid w:val="006B27A5"/>
    <w:rsid w:val="006B2802"/>
    <w:rsid w:val="006B28A1"/>
    <w:rsid w:val="006B29C7"/>
    <w:rsid w:val="006B2B75"/>
    <w:rsid w:val="006B2BE6"/>
    <w:rsid w:val="006B2D9F"/>
    <w:rsid w:val="006B2E43"/>
    <w:rsid w:val="006B2EE2"/>
    <w:rsid w:val="006B3193"/>
    <w:rsid w:val="006B31AE"/>
    <w:rsid w:val="006B3255"/>
    <w:rsid w:val="006B3297"/>
    <w:rsid w:val="006B3330"/>
    <w:rsid w:val="006B3376"/>
    <w:rsid w:val="006B341D"/>
    <w:rsid w:val="006B3493"/>
    <w:rsid w:val="006B363B"/>
    <w:rsid w:val="006B3691"/>
    <w:rsid w:val="006B3799"/>
    <w:rsid w:val="006B37AA"/>
    <w:rsid w:val="006B390A"/>
    <w:rsid w:val="006B3A38"/>
    <w:rsid w:val="006B3A6B"/>
    <w:rsid w:val="006B3A73"/>
    <w:rsid w:val="006B3B28"/>
    <w:rsid w:val="006B3BF9"/>
    <w:rsid w:val="006B3C23"/>
    <w:rsid w:val="006B3D79"/>
    <w:rsid w:val="006B3DF2"/>
    <w:rsid w:val="006B3E86"/>
    <w:rsid w:val="006B3F75"/>
    <w:rsid w:val="006B3FCD"/>
    <w:rsid w:val="006B3FFE"/>
    <w:rsid w:val="006B409F"/>
    <w:rsid w:val="006B411F"/>
    <w:rsid w:val="006B42B8"/>
    <w:rsid w:val="006B4325"/>
    <w:rsid w:val="006B433A"/>
    <w:rsid w:val="006B43F3"/>
    <w:rsid w:val="006B43FA"/>
    <w:rsid w:val="006B45DF"/>
    <w:rsid w:val="006B4620"/>
    <w:rsid w:val="006B471E"/>
    <w:rsid w:val="006B4883"/>
    <w:rsid w:val="006B496F"/>
    <w:rsid w:val="006B4A20"/>
    <w:rsid w:val="006B4B8F"/>
    <w:rsid w:val="006B4BF2"/>
    <w:rsid w:val="006B4BF5"/>
    <w:rsid w:val="006B4CE4"/>
    <w:rsid w:val="006B4DC3"/>
    <w:rsid w:val="006B4EA3"/>
    <w:rsid w:val="006B4F29"/>
    <w:rsid w:val="006B4F54"/>
    <w:rsid w:val="006B5160"/>
    <w:rsid w:val="006B516B"/>
    <w:rsid w:val="006B519A"/>
    <w:rsid w:val="006B51D7"/>
    <w:rsid w:val="006B5350"/>
    <w:rsid w:val="006B53A3"/>
    <w:rsid w:val="006B5407"/>
    <w:rsid w:val="006B5466"/>
    <w:rsid w:val="006B5472"/>
    <w:rsid w:val="006B548E"/>
    <w:rsid w:val="006B54EA"/>
    <w:rsid w:val="006B5505"/>
    <w:rsid w:val="006B5564"/>
    <w:rsid w:val="006B55B2"/>
    <w:rsid w:val="006B55CE"/>
    <w:rsid w:val="006B55E9"/>
    <w:rsid w:val="006B582F"/>
    <w:rsid w:val="006B58B9"/>
    <w:rsid w:val="006B59EF"/>
    <w:rsid w:val="006B59FD"/>
    <w:rsid w:val="006B5A64"/>
    <w:rsid w:val="006B5ADC"/>
    <w:rsid w:val="006B5B27"/>
    <w:rsid w:val="006B5C37"/>
    <w:rsid w:val="006B5D52"/>
    <w:rsid w:val="006B5DB6"/>
    <w:rsid w:val="006B5DD9"/>
    <w:rsid w:val="006B5EAA"/>
    <w:rsid w:val="006B6018"/>
    <w:rsid w:val="006B61DB"/>
    <w:rsid w:val="006B636D"/>
    <w:rsid w:val="006B6454"/>
    <w:rsid w:val="006B661A"/>
    <w:rsid w:val="006B66E9"/>
    <w:rsid w:val="006B6754"/>
    <w:rsid w:val="006B67A4"/>
    <w:rsid w:val="006B683A"/>
    <w:rsid w:val="006B6859"/>
    <w:rsid w:val="006B68A3"/>
    <w:rsid w:val="006B68AE"/>
    <w:rsid w:val="006B690E"/>
    <w:rsid w:val="006B6929"/>
    <w:rsid w:val="006B6974"/>
    <w:rsid w:val="006B6A06"/>
    <w:rsid w:val="006B6B18"/>
    <w:rsid w:val="006B6B6B"/>
    <w:rsid w:val="006B6C1E"/>
    <w:rsid w:val="006B6C35"/>
    <w:rsid w:val="006B6C94"/>
    <w:rsid w:val="006B6CAF"/>
    <w:rsid w:val="006B6CD8"/>
    <w:rsid w:val="006B6CDE"/>
    <w:rsid w:val="006B6CEA"/>
    <w:rsid w:val="006B6D37"/>
    <w:rsid w:val="006B6DDD"/>
    <w:rsid w:val="006B6DE3"/>
    <w:rsid w:val="006B701B"/>
    <w:rsid w:val="006B722E"/>
    <w:rsid w:val="006B724D"/>
    <w:rsid w:val="006B7356"/>
    <w:rsid w:val="006B739C"/>
    <w:rsid w:val="006B73A0"/>
    <w:rsid w:val="006B73AD"/>
    <w:rsid w:val="006B743D"/>
    <w:rsid w:val="006B7476"/>
    <w:rsid w:val="006B74F5"/>
    <w:rsid w:val="006B7584"/>
    <w:rsid w:val="006B75A4"/>
    <w:rsid w:val="006B75A5"/>
    <w:rsid w:val="006B75EA"/>
    <w:rsid w:val="006B7658"/>
    <w:rsid w:val="006B7702"/>
    <w:rsid w:val="006B7779"/>
    <w:rsid w:val="006B77C5"/>
    <w:rsid w:val="006B782F"/>
    <w:rsid w:val="006B7923"/>
    <w:rsid w:val="006B799C"/>
    <w:rsid w:val="006B7A69"/>
    <w:rsid w:val="006B7AC6"/>
    <w:rsid w:val="006B7B28"/>
    <w:rsid w:val="006B7B87"/>
    <w:rsid w:val="006B7BF7"/>
    <w:rsid w:val="006B7CAA"/>
    <w:rsid w:val="006B7D80"/>
    <w:rsid w:val="006B7E28"/>
    <w:rsid w:val="006B7EE9"/>
    <w:rsid w:val="006B7F81"/>
    <w:rsid w:val="006C0035"/>
    <w:rsid w:val="006C0039"/>
    <w:rsid w:val="006C0062"/>
    <w:rsid w:val="006C0083"/>
    <w:rsid w:val="006C0187"/>
    <w:rsid w:val="006C0206"/>
    <w:rsid w:val="006C028E"/>
    <w:rsid w:val="006C02C6"/>
    <w:rsid w:val="006C0313"/>
    <w:rsid w:val="006C032E"/>
    <w:rsid w:val="006C0338"/>
    <w:rsid w:val="006C0488"/>
    <w:rsid w:val="006C069A"/>
    <w:rsid w:val="006C06CF"/>
    <w:rsid w:val="006C0730"/>
    <w:rsid w:val="006C08FC"/>
    <w:rsid w:val="006C099F"/>
    <w:rsid w:val="006C09BC"/>
    <w:rsid w:val="006C0A02"/>
    <w:rsid w:val="006C0BF2"/>
    <w:rsid w:val="006C0D70"/>
    <w:rsid w:val="006C0E4F"/>
    <w:rsid w:val="006C0FD5"/>
    <w:rsid w:val="006C1055"/>
    <w:rsid w:val="006C10BC"/>
    <w:rsid w:val="006C10CC"/>
    <w:rsid w:val="006C11B0"/>
    <w:rsid w:val="006C1222"/>
    <w:rsid w:val="006C12EE"/>
    <w:rsid w:val="006C1439"/>
    <w:rsid w:val="006C1453"/>
    <w:rsid w:val="006C1566"/>
    <w:rsid w:val="006C1652"/>
    <w:rsid w:val="006C1664"/>
    <w:rsid w:val="006C16F3"/>
    <w:rsid w:val="006C175C"/>
    <w:rsid w:val="006C1963"/>
    <w:rsid w:val="006C19BC"/>
    <w:rsid w:val="006C19BE"/>
    <w:rsid w:val="006C1A0D"/>
    <w:rsid w:val="006C1ABE"/>
    <w:rsid w:val="006C1BD9"/>
    <w:rsid w:val="006C1DB7"/>
    <w:rsid w:val="006C2055"/>
    <w:rsid w:val="006C205E"/>
    <w:rsid w:val="006C2177"/>
    <w:rsid w:val="006C21A9"/>
    <w:rsid w:val="006C223D"/>
    <w:rsid w:val="006C2299"/>
    <w:rsid w:val="006C22D3"/>
    <w:rsid w:val="006C2305"/>
    <w:rsid w:val="006C2314"/>
    <w:rsid w:val="006C235B"/>
    <w:rsid w:val="006C23F2"/>
    <w:rsid w:val="006C2402"/>
    <w:rsid w:val="006C24C2"/>
    <w:rsid w:val="006C2574"/>
    <w:rsid w:val="006C25BC"/>
    <w:rsid w:val="006C2649"/>
    <w:rsid w:val="006C264C"/>
    <w:rsid w:val="006C27E7"/>
    <w:rsid w:val="006C291A"/>
    <w:rsid w:val="006C2974"/>
    <w:rsid w:val="006C2A0B"/>
    <w:rsid w:val="006C2AF8"/>
    <w:rsid w:val="006C2B18"/>
    <w:rsid w:val="006C2B81"/>
    <w:rsid w:val="006C2C58"/>
    <w:rsid w:val="006C2D7B"/>
    <w:rsid w:val="006C2F05"/>
    <w:rsid w:val="006C2F8B"/>
    <w:rsid w:val="006C2F93"/>
    <w:rsid w:val="006C3038"/>
    <w:rsid w:val="006C30DF"/>
    <w:rsid w:val="006C3102"/>
    <w:rsid w:val="006C3109"/>
    <w:rsid w:val="006C32E9"/>
    <w:rsid w:val="006C3422"/>
    <w:rsid w:val="006C3468"/>
    <w:rsid w:val="006C34CE"/>
    <w:rsid w:val="006C34F7"/>
    <w:rsid w:val="006C3516"/>
    <w:rsid w:val="006C3551"/>
    <w:rsid w:val="006C35F0"/>
    <w:rsid w:val="006C3605"/>
    <w:rsid w:val="006C3639"/>
    <w:rsid w:val="006C390B"/>
    <w:rsid w:val="006C393B"/>
    <w:rsid w:val="006C399C"/>
    <w:rsid w:val="006C3A7B"/>
    <w:rsid w:val="006C3B50"/>
    <w:rsid w:val="006C3BCC"/>
    <w:rsid w:val="006C3E45"/>
    <w:rsid w:val="006C3F20"/>
    <w:rsid w:val="006C3F21"/>
    <w:rsid w:val="006C3F8A"/>
    <w:rsid w:val="006C3FBF"/>
    <w:rsid w:val="006C3FDA"/>
    <w:rsid w:val="006C4004"/>
    <w:rsid w:val="006C4023"/>
    <w:rsid w:val="006C4067"/>
    <w:rsid w:val="006C4096"/>
    <w:rsid w:val="006C4108"/>
    <w:rsid w:val="006C41B0"/>
    <w:rsid w:val="006C41BB"/>
    <w:rsid w:val="006C4273"/>
    <w:rsid w:val="006C42BF"/>
    <w:rsid w:val="006C438A"/>
    <w:rsid w:val="006C43F4"/>
    <w:rsid w:val="006C45C7"/>
    <w:rsid w:val="006C468F"/>
    <w:rsid w:val="006C46F6"/>
    <w:rsid w:val="006C4762"/>
    <w:rsid w:val="006C4770"/>
    <w:rsid w:val="006C4781"/>
    <w:rsid w:val="006C47BB"/>
    <w:rsid w:val="006C47D6"/>
    <w:rsid w:val="006C495C"/>
    <w:rsid w:val="006C49F8"/>
    <w:rsid w:val="006C4BB1"/>
    <w:rsid w:val="006C4C28"/>
    <w:rsid w:val="006C4C59"/>
    <w:rsid w:val="006C4E0C"/>
    <w:rsid w:val="006C4E63"/>
    <w:rsid w:val="006C4E7A"/>
    <w:rsid w:val="006C4F79"/>
    <w:rsid w:val="006C501A"/>
    <w:rsid w:val="006C506A"/>
    <w:rsid w:val="006C50AE"/>
    <w:rsid w:val="006C50FC"/>
    <w:rsid w:val="006C51D4"/>
    <w:rsid w:val="006C5378"/>
    <w:rsid w:val="006C539D"/>
    <w:rsid w:val="006C53A7"/>
    <w:rsid w:val="006C53F8"/>
    <w:rsid w:val="006C542A"/>
    <w:rsid w:val="006C542F"/>
    <w:rsid w:val="006C54EB"/>
    <w:rsid w:val="006C5770"/>
    <w:rsid w:val="006C5782"/>
    <w:rsid w:val="006C57C1"/>
    <w:rsid w:val="006C57F2"/>
    <w:rsid w:val="006C57FC"/>
    <w:rsid w:val="006C5819"/>
    <w:rsid w:val="006C5844"/>
    <w:rsid w:val="006C584C"/>
    <w:rsid w:val="006C58E6"/>
    <w:rsid w:val="006C58FD"/>
    <w:rsid w:val="006C59D5"/>
    <w:rsid w:val="006C5AC9"/>
    <w:rsid w:val="006C5ADE"/>
    <w:rsid w:val="006C5C4A"/>
    <w:rsid w:val="006C5D1E"/>
    <w:rsid w:val="006C5D64"/>
    <w:rsid w:val="006C5D70"/>
    <w:rsid w:val="006C5D97"/>
    <w:rsid w:val="006C5F49"/>
    <w:rsid w:val="006C5F95"/>
    <w:rsid w:val="006C5F96"/>
    <w:rsid w:val="006C5FDE"/>
    <w:rsid w:val="006C5FED"/>
    <w:rsid w:val="006C604A"/>
    <w:rsid w:val="006C6107"/>
    <w:rsid w:val="006C6139"/>
    <w:rsid w:val="006C61E2"/>
    <w:rsid w:val="006C6264"/>
    <w:rsid w:val="006C627A"/>
    <w:rsid w:val="006C62CC"/>
    <w:rsid w:val="006C63E4"/>
    <w:rsid w:val="006C65AE"/>
    <w:rsid w:val="006C66C4"/>
    <w:rsid w:val="006C6708"/>
    <w:rsid w:val="006C680F"/>
    <w:rsid w:val="006C6883"/>
    <w:rsid w:val="006C6912"/>
    <w:rsid w:val="006C6932"/>
    <w:rsid w:val="006C6989"/>
    <w:rsid w:val="006C6A1A"/>
    <w:rsid w:val="006C6A2C"/>
    <w:rsid w:val="006C6A7F"/>
    <w:rsid w:val="006C6B56"/>
    <w:rsid w:val="006C6B80"/>
    <w:rsid w:val="006C6BBA"/>
    <w:rsid w:val="006C6C8E"/>
    <w:rsid w:val="006C6D06"/>
    <w:rsid w:val="006C6E28"/>
    <w:rsid w:val="006C6E5B"/>
    <w:rsid w:val="006C6EC5"/>
    <w:rsid w:val="006C6F74"/>
    <w:rsid w:val="006C6FA3"/>
    <w:rsid w:val="006C7003"/>
    <w:rsid w:val="006C73B3"/>
    <w:rsid w:val="006C7413"/>
    <w:rsid w:val="006C7444"/>
    <w:rsid w:val="006C756F"/>
    <w:rsid w:val="006C75AF"/>
    <w:rsid w:val="006C760A"/>
    <w:rsid w:val="006C76BA"/>
    <w:rsid w:val="006C76EE"/>
    <w:rsid w:val="006C7798"/>
    <w:rsid w:val="006C77E7"/>
    <w:rsid w:val="006C78E4"/>
    <w:rsid w:val="006C7926"/>
    <w:rsid w:val="006C7987"/>
    <w:rsid w:val="006C79AB"/>
    <w:rsid w:val="006C7A2C"/>
    <w:rsid w:val="006C7A43"/>
    <w:rsid w:val="006C7BB3"/>
    <w:rsid w:val="006C7BD1"/>
    <w:rsid w:val="006C7C31"/>
    <w:rsid w:val="006C7C39"/>
    <w:rsid w:val="006C7CD9"/>
    <w:rsid w:val="006C7CDB"/>
    <w:rsid w:val="006C7DCF"/>
    <w:rsid w:val="006C7E9E"/>
    <w:rsid w:val="006C7EA6"/>
    <w:rsid w:val="006C7EAD"/>
    <w:rsid w:val="006C7EBA"/>
    <w:rsid w:val="006C7FDE"/>
    <w:rsid w:val="006D002F"/>
    <w:rsid w:val="006D0055"/>
    <w:rsid w:val="006D00AD"/>
    <w:rsid w:val="006D0127"/>
    <w:rsid w:val="006D0172"/>
    <w:rsid w:val="006D0247"/>
    <w:rsid w:val="006D02EC"/>
    <w:rsid w:val="006D043F"/>
    <w:rsid w:val="006D0472"/>
    <w:rsid w:val="006D04D0"/>
    <w:rsid w:val="006D0777"/>
    <w:rsid w:val="006D07D6"/>
    <w:rsid w:val="006D0818"/>
    <w:rsid w:val="006D081F"/>
    <w:rsid w:val="006D0856"/>
    <w:rsid w:val="006D0869"/>
    <w:rsid w:val="006D093A"/>
    <w:rsid w:val="006D09D5"/>
    <w:rsid w:val="006D09F5"/>
    <w:rsid w:val="006D0A26"/>
    <w:rsid w:val="006D0A2D"/>
    <w:rsid w:val="006D0BA0"/>
    <w:rsid w:val="006D0C8A"/>
    <w:rsid w:val="006D0D21"/>
    <w:rsid w:val="006D0D33"/>
    <w:rsid w:val="006D0E3C"/>
    <w:rsid w:val="006D0E67"/>
    <w:rsid w:val="006D0EB5"/>
    <w:rsid w:val="006D102D"/>
    <w:rsid w:val="006D1047"/>
    <w:rsid w:val="006D104E"/>
    <w:rsid w:val="006D119D"/>
    <w:rsid w:val="006D122C"/>
    <w:rsid w:val="006D128A"/>
    <w:rsid w:val="006D12D1"/>
    <w:rsid w:val="006D14CC"/>
    <w:rsid w:val="006D14D9"/>
    <w:rsid w:val="006D1682"/>
    <w:rsid w:val="006D1699"/>
    <w:rsid w:val="006D1780"/>
    <w:rsid w:val="006D17E3"/>
    <w:rsid w:val="006D1854"/>
    <w:rsid w:val="006D191B"/>
    <w:rsid w:val="006D19D4"/>
    <w:rsid w:val="006D1A0F"/>
    <w:rsid w:val="006D1A79"/>
    <w:rsid w:val="006D1BB1"/>
    <w:rsid w:val="006D1BFC"/>
    <w:rsid w:val="006D1CB0"/>
    <w:rsid w:val="006D1D94"/>
    <w:rsid w:val="006D1E24"/>
    <w:rsid w:val="006D1F31"/>
    <w:rsid w:val="006D1F67"/>
    <w:rsid w:val="006D1F94"/>
    <w:rsid w:val="006D20C8"/>
    <w:rsid w:val="006D21AA"/>
    <w:rsid w:val="006D222A"/>
    <w:rsid w:val="006D22DA"/>
    <w:rsid w:val="006D2312"/>
    <w:rsid w:val="006D2342"/>
    <w:rsid w:val="006D24B6"/>
    <w:rsid w:val="006D2514"/>
    <w:rsid w:val="006D2720"/>
    <w:rsid w:val="006D2817"/>
    <w:rsid w:val="006D28C8"/>
    <w:rsid w:val="006D293F"/>
    <w:rsid w:val="006D2967"/>
    <w:rsid w:val="006D2B05"/>
    <w:rsid w:val="006D2B16"/>
    <w:rsid w:val="006D2BB9"/>
    <w:rsid w:val="006D2C19"/>
    <w:rsid w:val="006D2C7C"/>
    <w:rsid w:val="006D2D18"/>
    <w:rsid w:val="006D2E21"/>
    <w:rsid w:val="006D2E86"/>
    <w:rsid w:val="006D2EF1"/>
    <w:rsid w:val="006D2F7A"/>
    <w:rsid w:val="006D2FF2"/>
    <w:rsid w:val="006D3115"/>
    <w:rsid w:val="006D3149"/>
    <w:rsid w:val="006D3179"/>
    <w:rsid w:val="006D31C0"/>
    <w:rsid w:val="006D31EB"/>
    <w:rsid w:val="006D33CE"/>
    <w:rsid w:val="006D3422"/>
    <w:rsid w:val="006D3435"/>
    <w:rsid w:val="006D35C5"/>
    <w:rsid w:val="006D35FA"/>
    <w:rsid w:val="006D37A1"/>
    <w:rsid w:val="006D37B7"/>
    <w:rsid w:val="006D37D9"/>
    <w:rsid w:val="006D37F7"/>
    <w:rsid w:val="006D3872"/>
    <w:rsid w:val="006D38A5"/>
    <w:rsid w:val="006D391F"/>
    <w:rsid w:val="006D3A07"/>
    <w:rsid w:val="006D3B05"/>
    <w:rsid w:val="006D3B0C"/>
    <w:rsid w:val="006D3B19"/>
    <w:rsid w:val="006D3BCE"/>
    <w:rsid w:val="006D3C97"/>
    <w:rsid w:val="006D3DF3"/>
    <w:rsid w:val="006D3EFE"/>
    <w:rsid w:val="006D3F1A"/>
    <w:rsid w:val="006D3F99"/>
    <w:rsid w:val="006D4091"/>
    <w:rsid w:val="006D4193"/>
    <w:rsid w:val="006D4207"/>
    <w:rsid w:val="006D421B"/>
    <w:rsid w:val="006D4291"/>
    <w:rsid w:val="006D4301"/>
    <w:rsid w:val="006D442D"/>
    <w:rsid w:val="006D4430"/>
    <w:rsid w:val="006D4557"/>
    <w:rsid w:val="006D4613"/>
    <w:rsid w:val="006D461B"/>
    <w:rsid w:val="006D4632"/>
    <w:rsid w:val="006D4638"/>
    <w:rsid w:val="006D4701"/>
    <w:rsid w:val="006D4783"/>
    <w:rsid w:val="006D482E"/>
    <w:rsid w:val="006D483F"/>
    <w:rsid w:val="006D485D"/>
    <w:rsid w:val="006D4878"/>
    <w:rsid w:val="006D487A"/>
    <w:rsid w:val="006D489E"/>
    <w:rsid w:val="006D49EB"/>
    <w:rsid w:val="006D49F7"/>
    <w:rsid w:val="006D4A6F"/>
    <w:rsid w:val="006D4ADC"/>
    <w:rsid w:val="006D4B1D"/>
    <w:rsid w:val="006D4BC6"/>
    <w:rsid w:val="006D4BD5"/>
    <w:rsid w:val="006D4D73"/>
    <w:rsid w:val="006D4E3E"/>
    <w:rsid w:val="006D4E93"/>
    <w:rsid w:val="006D4FA3"/>
    <w:rsid w:val="006D4FF0"/>
    <w:rsid w:val="006D509E"/>
    <w:rsid w:val="006D5271"/>
    <w:rsid w:val="006D5437"/>
    <w:rsid w:val="006D5475"/>
    <w:rsid w:val="006D54A8"/>
    <w:rsid w:val="006D54C1"/>
    <w:rsid w:val="006D55BB"/>
    <w:rsid w:val="006D5605"/>
    <w:rsid w:val="006D5629"/>
    <w:rsid w:val="006D57FE"/>
    <w:rsid w:val="006D58D7"/>
    <w:rsid w:val="006D58F6"/>
    <w:rsid w:val="006D5A0D"/>
    <w:rsid w:val="006D5B7C"/>
    <w:rsid w:val="006D5B82"/>
    <w:rsid w:val="006D5D1B"/>
    <w:rsid w:val="006D5ED4"/>
    <w:rsid w:val="006D5FF5"/>
    <w:rsid w:val="006D62E2"/>
    <w:rsid w:val="006D6370"/>
    <w:rsid w:val="006D639D"/>
    <w:rsid w:val="006D64C3"/>
    <w:rsid w:val="006D64C8"/>
    <w:rsid w:val="006D658A"/>
    <w:rsid w:val="006D6624"/>
    <w:rsid w:val="006D6643"/>
    <w:rsid w:val="006D66A1"/>
    <w:rsid w:val="006D6767"/>
    <w:rsid w:val="006D691A"/>
    <w:rsid w:val="006D693A"/>
    <w:rsid w:val="006D693C"/>
    <w:rsid w:val="006D6A2A"/>
    <w:rsid w:val="006D6A9E"/>
    <w:rsid w:val="006D6B34"/>
    <w:rsid w:val="006D6B7D"/>
    <w:rsid w:val="006D6B87"/>
    <w:rsid w:val="006D6BC0"/>
    <w:rsid w:val="006D6D5D"/>
    <w:rsid w:val="006D6D77"/>
    <w:rsid w:val="006D6D9E"/>
    <w:rsid w:val="006D6DCD"/>
    <w:rsid w:val="006D6DDB"/>
    <w:rsid w:val="006D6E1A"/>
    <w:rsid w:val="006D6EE2"/>
    <w:rsid w:val="006D6F3D"/>
    <w:rsid w:val="006D70BF"/>
    <w:rsid w:val="006D71A5"/>
    <w:rsid w:val="006D7287"/>
    <w:rsid w:val="006D739B"/>
    <w:rsid w:val="006D74C5"/>
    <w:rsid w:val="006D7628"/>
    <w:rsid w:val="006D76BA"/>
    <w:rsid w:val="006D76EC"/>
    <w:rsid w:val="006D77F0"/>
    <w:rsid w:val="006D77F1"/>
    <w:rsid w:val="006D7818"/>
    <w:rsid w:val="006D7870"/>
    <w:rsid w:val="006D79A8"/>
    <w:rsid w:val="006D7B95"/>
    <w:rsid w:val="006D7D38"/>
    <w:rsid w:val="006D7D62"/>
    <w:rsid w:val="006D7E38"/>
    <w:rsid w:val="006D7EF4"/>
    <w:rsid w:val="006E013E"/>
    <w:rsid w:val="006E0179"/>
    <w:rsid w:val="006E01C0"/>
    <w:rsid w:val="006E02F6"/>
    <w:rsid w:val="006E0437"/>
    <w:rsid w:val="006E0442"/>
    <w:rsid w:val="006E047D"/>
    <w:rsid w:val="006E048A"/>
    <w:rsid w:val="006E057D"/>
    <w:rsid w:val="006E0660"/>
    <w:rsid w:val="006E0837"/>
    <w:rsid w:val="006E085D"/>
    <w:rsid w:val="006E0937"/>
    <w:rsid w:val="006E09BF"/>
    <w:rsid w:val="006E09DA"/>
    <w:rsid w:val="006E09E6"/>
    <w:rsid w:val="006E0A19"/>
    <w:rsid w:val="006E0AEC"/>
    <w:rsid w:val="006E0D24"/>
    <w:rsid w:val="006E0E08"/>
    <w:rsid w:val="006E0E5D"/>
    <w:rsid w:val="006E0E81"/>
    <w:rsid w:val="006E0F78"/>
    <w:rsid w:val="006E1124"/>
    <w:rsid w:val="006E11FF"/>
    <w:rsid w:val="006E127C"/>
    <w:rsid w:val="006E12F5"/>
    <w:rsid w:val="006E138B"/>
    <w:rsid w:val="006E142A"/>
    <w:rsid w:val="006E1443"/>
    <w:rsid w:val="006E157D"/>
    <w:rsid w:val="006E15B3"/>
    <w:rsid w:val="006E163B"/>
    <w:rsid w:val="006E1658"/>
    <w:rsid w:val="006E1689"/>
    <w:rsid w:val="006E16E2"/>
    <w:rsid w:val="006E16F4"/>
    <w:rsid w:val="006E176F"/>
    <w:rsid w:val="006E17D8"/>
    <w:rsid w:val="006E1A6C"/>
    <w:rsid w:val="006E1AED"/>
    <w:rsid w:val="006E1B49"/>
    <w:rsid w:val="006E1BB1"/>
    <w:rsid w:val="006E1C60"/>
    <w:rsid w:val="006E1CAB"/>
    <w:rsid w:val="006E1CBF"/>
    <w:rsid w:val="006E1DE6"/>
    <w:rsid w:val="006E1E65"/>
    <w:rsid w:val="006E1E7B"/>
    <w:rsid w:val="006E1E8C"/>
    <w:rsid w:val="006E1F0D"/>
    <w:rsid w:val="006E1F1E"/>
    <w:rsid w:val="006E1F9D"/>
    <w:rsid w:val="006E1FD3"/>
    <w:rsid w:val="006E2040"/>
    <w:rsid w:val="006E20AD"/>
    <w:rsid w:val="006E2199"/>
    <w:rsid w:val="006E2218"/>
    <w:rsid w:val="006E2262"/>
    <w:rsid w:val="006E22B5"/>
    <w:rsid w:val="006E2309"/>
    <w:rsid w:val="006E2354"/>
    <w:rsid w:val="006E248F"/>
    <w:rsid w:val="006E2496"/>
    <w:rsid w:val="006E2549"/>
    <w:rsid w:val="006E2554"/>
    <w:rsid w:val="006E258D"/>
    <w:rsid w:val="006E2595"/>
    <w:rsid w:val="006E25B0"/>
    <w:rsid w:val="006E25E3"/>
    <w:rsid w:val="006E26DD"/>
    <w:rsid w:val="006E271B"/>
    <w:rsid w:val="006E27DB"/>
    <w:rsid w:val="006E2838"/>
    <w:rsid w:val="006E287F"/>
    <w:rsid w:val="006E28DA"/>
    <w:rsid w:val="006E29D8"/>
    <w:rsid w:val="006E29E2"/>
    <w:rsid w:val="006E2ABF"/>
    <w:rsid w:val="006E2B32"/>
    <w:rsid w:val="006E2BFB"/>
    <w:rsid w:val="006E2C68"/>
    <w:rsid w:val="006E2E72"/>
    <w:rsid w:val="006E2F0B"/>
    <w:rsid w:val="006E2F1A"/>
    <w:rsid w:val="006E2F8A"/>
    <w:rsid w:val="006E301E"/>
    <w:rsid w:val="006E3057"/>
    <w:rsid w:val="006E309B"/>
    <w:rsid w:val="006E31C0"/>
    <w:rsid w:val="006E3302"/>
    <w:rsid w:val="006E330D"/>
    <w:rsid w:val="006E3317"/>
    <w:rsid w:val="006E344F"/>
    <w:rsid w:val="006E345E"/>
    <w:rsid w:val="006E35AB"/>
    <w:rsid w:val="006E35DF"/>
    <w:rsid w:val="006E36C4"/>
    <w:rsid w:val="006E383E"/>
    <w:rsid w:val="006E3970"/>
    <w:rsid w:val="006E399C"/>
    <w:rsid w:val="006E39C2"/>
    <w:rsid w:val="006E3AE3"/>
    <w:rsid w:val="006E3B39"/>
    <w:rsid w:val="006E3B40"/>
    <w:rsid w:val="006E3C44"/>
    <w:rsid w:val="006E3CA4"/>
    <w:rsid w:val="006E3CFF"/>
    <w:rsid w:val="006E3E4E"/>
    <w:rsid w:val="006E3E6B"/>
    <w:rsid w:val="006E3FE8"/>
    <w:rsid w:val="006E4045"/>
    <w:rsid w:val="006E4072"/>
    <w:rsid w:val="006E4090"/>
    <w:rsid w:val="006E4166"/>
    <w:rsid w:val="006E41AA"/>
    <w:rsid w:val="006E4239"/>
    <w:rsid w:val="006E426A"/>
    <w:rsid w:val="006E4272"/>
    <w:rsid w:val="006E42B5"/>
    <w:rsid w:val="006E42EA"/>
    <w:rsid w:val="006E4435"/>
    <w:rsid w:val="006E446F"/>
    <w:rsid w:val="006E4470"/>
    <w:rsid w:val="006E44D8"/>
    <w:rsid w:val="006E4525"/>
    <w:rsid w:val="006E45D3"/>
    <w:rsid w:val="006E4619"/>
    <w:rsid w:val="006E463B"/>
    <w:rsid w:val="006E4657"/>
    <w:rsid w:val="006E468F"/>
    <w:rsid w:val="006E470F"/>
    <w:rsid w:val="006E4832"/>
    <w:rsid w:val="006E499F"/>
    <w:rsid w:val="006E4C70"/>
    <w:rsid w:val="006E4EB2"/>
    <w:rsid w:val="006E4EE3"/>
    <w:rsid w:val="006E4F14"/>
    <w:rsid w:val="006E4F1D"/>
    <w:rsid w:val="006E507D"/>
    <w:rsid w:val="006E50B6"/>
    <w:rsid w:val="006E50C5"/>
    <w:rsid w:val="006E50DE"/>
    <w:rsid w:val="006E5254"/>
    <w:rsid w:val="006E52CC"/>
    <w:rsid w:val="006E5341"/>
    <w:rsid w:val="006E5387"/>
    <w:rsid w:val="006E53AE"/>
    <w:rsid w:val="006E555E"/>
    <w:rsid w:val="006E5628"/>
    <w:rsid w:val="006E5722"/>
    <w:rsid w:val="006E572E"/>
    <w:rsid w:val="006E575F"/>
    <w:rsid w:val="006E5837"/>
    <w:rsid w:val="006E58A5"/>
    <w:rsid w:val="006E599C"/>
    <w:rsid w:val="006E59D9"/>
    <w:rsid w:val="006E5A5A"/>
    <w:rsid w:val="006E5A83"/>
    <w:rsid w:val="006E5B20"/>
    <w:rsid w:val="006E5B70"/>
    <w:rsid w:val="006E5D35"/>
    <w:rsid w:val="006E5D4D"/>
    <w:rsid w:val="006E5D4F"/>
    <w:rsid w:val="006E5D98"/>
    <w:rsid w:val="006E5E13"/>
    <w:rsid w:val="006E5EE3"/>
    <w:rsid w:val="006E5F15"/>
    <w:rsid w:val="006E5F47"/>
    <w:rsid w:val="006E5FA2"/>
    <w:rsid w:val="006E5FC4"/>
    <w:rsid w:val="006E603C"/>
    <w:rsid w:val="006E605F"/>
    <w:rsid w:val="006E606A"/>
    <w:rsid w:val="006E615B"/>
    <w:rsid w:val="006E62B3"/>
    <w:rsid w:val="006E62DD"/>
    <w:rsid w:val="006E6320"/>
    <w:rsid w:val="006E637D"/>
    <w:rsid w:val="006E63B0"/>
    <w:rsid w:val="006E65A7"/>
    <w:rsid w:val="006E686B"/>
    <w:rsid w:val="006E68E8"/>
    <w:rsid w:val="006E6954"/>
    <w:rsid w:val="006E6C48"/>
    <w:rsid w:val="006E6D82"/>
    <w:rsid w:val="006E6DCF"/>
    <w:rsid w:val="006E6E22"/>
    <w:rsid w:val="006E7048"/>
    <w:rsid w:val="006E724F"/>
    <w:rsid w:val="006E73C9"/>
    <w:rsid w:val="006E744C"/>
    <w:rsid w:val="006E7483"/>
    <w:rsid w:val="006E74DA"/>
    <w:rsid w:val="006E7765"/>
    <w:rsid w:val="006E7796"/>
    <w:rsid w:val="006E77CC"/>
    <w:rsid w:val="006E7838"/>
    <w:rsid w:val="006E788E"/>
    <w:rsid w:val="006E78A8"/>
    <w:rsid w:val="006E78AA"/>
    <w:rsid w:val="006E790F"/>
    <w:rsid w:val="006E7AE7"/>
    <w:rsid w:val="006E7C78"/>
    <w:rsid w:val="006E7C7F"/>
    <w:rsid w:val="006E7D49"/>
    <w:rsid w:val="006E7D9A"/>
    <w:rsid w:val="006E7DDD"/>
    <w:rsid w:val="006E7E81"/>
    <w:rsid w:val="006E7F02"/>
    <w:rsid w:val="006E7FB3"/>
    <w:rsid w:val="006F00B5"/>
    <w:rsid w:val="006F00C8"/>
    <w:rsid w:val="006F024B"/>
    <w:rsid w:val="006F0291"/>
    <w:rsid w:val="006F041A"/>
    <w:rsid w:val="006F0703"/>
    <w:rsid w:val="006F073F"/>
    <w:rsid w:val="006F074E"/>
    <w:rsid w:val="006F07F7"/>
    <w:rsid w:val="006F09E4"/>
    <w:rsid w:val="006F0A22"/>
    <w:rsid w:val="006F0A4A"/>
    <w:rsid w:val="006F0AB3"/>
    <w:rsid w:val="006F0AC2"/>
    <w:rsid w:val="006F0BD0"/>
    <w:rsid w:val="006F0BED"/>
    <w:rsid w:val="006F0CA4"/>
    <w:rsid w:val="006F0DB7"/>
    <w:rsid w:val="006F0EEE"/>
    <w:rsid w:val="006F1035"/>
    <w:rsid w:val="006F104A"/>
    <w:rsid w:val="006F1067"/>
    <w:rsid w:val="006F10BE"/>
    <w:rsid w:val="006F116E"/>
    <w:rsid w:val="006F1225"/>
    <w:rsid w:val="006F1292"/>
    <w:rsid w:val="006F135C"/>
    <w:rsid w:val="006F1390"/>
    <w:rsid w:val="006F1406"/>
    <w:rsid w:val="006F1413"/>
    <w:rsid w:val="006F1546"/>
    <w:rsid w:val="006F164D"/>
    <w:rsid w:val="006F1688"/>
    <w:rsid w:val="006F1698"/>
    <w:rsid w:val="006F17CE"/>
    <w:rsid w:val="006F18CD"/>
    <w:rsid w:val="006F196B"/>
    <w:rsid w:val="006F1A9D"/>
    <w:rsid w:val="006F1AC5"/>
    <w:rsid w:val="006F1C7C"/>
    <w:rsid w:val="006F1DC6"/>
    <w:rsid w:val="006F1E82"/>
    <w:rsid w:val="006F1EDF"/>
    <w:rsid w:val="006F1F2A"/>
    <w:rsid w:val="006F2076"/>
    <w:rsid w:val="006F210C"/>
    <w:rsid w:val="006F2160"/>
    <w:rsid w:val="006F2213"/>
    <w:rsid w:val="006F2280"/>
    <w:rsid w:val="006F22B9"/>
    <w:rsid w:val="006F22FE"/>
    <w:rsid w:val="006F2302"/>
    <w:rsid w:val="006F2467"/>
    <w:rsid w:val="006F24EE"/>
    <w:rsid w:val="006F2606"/>
    <w:rsid w:val="006F2656"/>
    <w:rsid w:val="006F2947"/>
    <w:rsid w:val="006F299B"/>
    <w:rsid w:val="006F29B3"/>
    <w:rsid w:val="006F2A03"/>
    <w:rsid w:val="006F2AA8"/>
    <w:rsid w:val="006F2B38"/>
    <w:rsid w:val="006F2B4D"/>
    <w:rsid w:val="006F2BFC"/>
    <w:rsid w:val="006F2C2B"/>
    <w:rsid w:val="006F2C6B"/>
    <w:rsid w:val="006F2C83"/>
    <w:rsid w:val="006F2D11"/>
    <w:rsid w:val="006F2D63"/>
    <w:rsid w:val="006F2D79"/>
    <w:rsid w:val="006F2E2E"/>
    <w:rsid w:val="006F2EF4"/>
    <w:rsid w:val="006F3054"/>
    <w:rsid w:val="006F312A"/>
    <w:rsid w:val="006F324E"/>
    <w:rsid w:val="006F3561"/>
    <w:rsid w:val="006F3567"/>
    <w:rsid w:val="006F358D"/>
    <w:rsid w:val="006F3593"/>
    <w:rsid w:val="006F36E6"/>
    <w:rsid w:val="006F378F"/>
    <w:rsid w:val="006F3968"/>
    <w:rsid w:val="006F3B3E"/>
    <w:rsid w:val="006F3D45"/>
    <w:rsid w:val="006F3D55"/>
    <w:rsid w:val="006F3D79"/>
    <w:rsid w:val="006F3DB4"/>
    <w:rsid w:val="006F3E42"/>
    <w:rsid w:val="006F3E4B"/>
    <w:rsid w:val="006F3E9A"/>
    <w:rsid w:val="006F3F2F"/>
    <w:rsid w:val="006F3F64"/>
    <w:rsid w:val="006F40F1"/>
    <w:rsid w:val="006F40FE"/>
    <w:rsid w:val="006F4142"/>
    <w:rsid w:val="006F4167"/>
    <w:rsid w:val="006F41A9"/>
    <w:rsid w:val="006F41D2"/>
    <w:rsid w:val="006F42FC"/>
    <w:rsid w:val="006F4315"/>
    <w:rsid w:val="006F43AB"/>
    <w:rsid w:val="006F43B7"/>
    <w:rsid w:val="006F43C4"/>
    <w:rsid w:val="006F450A"/>
    <w:rsid w:val="006F453E"/>
    <w:rsid w:val="006F4564"/>
    <w:rsid w:val="006F472D"/>
    <w:rsid w:val="006F475E"/>
    <w:rsid w:val="006F4849"/>
    <w:rsid w:val="006F48C9"/>
    <w:rsid w:val="006F48F1"/>
    <w:rsid w:val="006F492A"/>
    <w:rsid w:val="006F4A27"/>
    <w:rsid w:val="006F4A70"/>
    <w:rsid w:val="006F4A93"/>
    <w:rsid w:val="006F4B13"/>
    <w:rsid w:val="006F4BD0"/>
    <w:rsid w:val="006F4BE2"/>
    <w:rsid w:val="006F4CC5"/>
    <w:rsid w:val="006F4DE6"/>
    <w:rsid w:val="006F4EA5"/>
    <w:rsid w:val="006F4F2F"/>
    <w:rsid w:val="006F5227"/>
    <w:rsid w:val="006F5271"/>
    <w:rsid w:val="006F531C"/>
    <w:rsid w:val="006F5357"/>
    <w:rsid w:val="006F539D"/>
    <w:rsid w:val="006F5445"/>
    <w:rsid w:val="006F549F"/>
    <w:rsid w:val="006F54E3"/>
    <w:rsid w:val="006F55B6"/>
    <w:rsid w:val="006F5757"/>
    <w:rsid w:val="006F5859"/>
    <w:rsid w:val="006F598B"/>
    <w:rsid w:val="006F599F"/>
    <w:rsid w:val="006F5A77"/>
    <w:rsid w:val="006F5ABA"/>
    <w:rsid w:val="006F5AD2"/>
    <w:rsid w:val="006F5BD6"/>
    <w:rsid w:val="006F5D77"/>
    <w:rsid w:val="006F5E71"/>
    <w:rsid w:val="006F5EB2"/>
    <w:rsid w:val="006F6001"/>
    <w:rsid w:val="006F6003"/>
    <w:rsid w:val="006F6004"/>
    <w:rsid w:val="006F6008"/>
    <w:rsid w:val="006F6146"/>
    <w:rsid w:val="006F619D"/>
    <w:rsid w:val="006F61CB"/>
    <w:rsid w:val="006F6245"/>
    <w:rsid w:val="006F63C0"/>
    <w:rsid w:val="006F6482"/>
    <w:rsid w:val="006F64BB"/>
    <w:rsid w:val="006F64CB"/>
    <w:rsid w:val="006F6503"/>
    <w:rsid w:val="006F65E4"/>
    <w:rsid w:val="006F65E8"/>
    <w:rsid w:val="006F66B4"/>
    <w:rsid w:val="006F672E"/>
    <w:rsid w:val="006F6772"/>
    <w:rsid w:val="006F6803"/>
    <w:rsid w:val="006F695E"/>
    <w:rsid w:val="006F6A32"/>
    <w:rsid w:val="006F6ACE"/>
    <w:rsid w:val="006F6B53"/>
    <w:rsid w:val="006F6BF9"/>
    <w:rsid w:val="006F6C3B"/>
    <w:rsid w:val="006F6C3E"/>
    <w:rsid w:val="006F6CA8"/>
    <w:rsid w:val="006F6DB9"/>
    <w:rsid w:val="006F6DED"/>
    <w:rsid w:val="006F6FA7"/>
    <w:rsid w:val="006F6FB0"/>
    <w:rsid w:val="006F6FD7"/>
    <w:rsid w:val="006F7055"/>
    <w:rsid w:val="006F71A9"/>
    <w:rsid w:val="006F7232"/>
    <w:rsid w:val="006F7257"/>
    <w:rsid w:val="006F7367"/>
    <w:rsid w:val="006F7662"/>
    <w:rsid w:val="006F7684"/>
    <w:rsid w:val="006F76EB"/>
    <w:rsid w:val="006F776B"/>
    <w:rsid w:val="006F77A2"/>
    <w:rsid w:val="006F77D6"/>
    <w:rsid w:val="006F7824"/>
    <w:rsid w:val="006F7832"/>
    <w:rsid w:val="006F7939"/>
    <w:rsid w:val="006F7953"/>
    <w:rsid w:val="006F79D8"/>
    <w:rsid w:val="006F7A6B"/>
    <w:rsid w:val="006F7BCA"/>
    <w:rsid w:val="006F7C6B"/>
    <w:rsid w:val="006F7CE2"/>
    <w:rsid w:val="006F7D3B"/>
    <w:rsid w:val="006F7DC3"/>
    <w:rsid w:val="006F7E0B"/>
    <w:rsid w:val="006F7E81"/>
    <w:rsid w:val="006F7EFF"/>
    <w:rsid w:val="006F7F00"/>
    <w:rsid w:val="00700072"/>
    <w:rsid w:val="007000A0"/>
    <w:rsid w:val="007000B8"/>
    <w:rsid w:val="007000B9"/>
    <w:rsid w:val="00700453"/>
    <w:rsid w:val="0070048F"/>
    <w:rsid w:val="007004B3"/>
    <w:rsid w:val="007004D3"/>
    <w:rsid w:val="00700501"/>
    <w:rsid w:val="00700512"/>
    <w:rsid w:val="0070051F"/>
    <w:rsid w:val="00700530"/>
    <w:rsid w:val="00700654"/>
    <w:rsid w:val="00700693"/>
    <w:rsid w:val="007006B6"/>
    <w:rsid w:val="007008D1"/>
    <w:rsid w:val="007008ED"/>
    <w:rsid w:val="0070095D"/>
    <w:rsid w:val="00700A09"/>
    <w:rsid w:val="00700A68"/>
    <w:rsid w:val="00700A83"/>
    <w:rsid w:val="00700B21"/>
    <w:rsid w:val="00700B8A"/>
    <w:rsid w:val="00700B9D"/>
    <w:rsid w:val="00700BA3"/>
    <w:rsid w:val="00700BDA"/>
    <w:rsid w:val="00700F5B"/>
    <w:rsid w:val="00701023"/>
    <w:rsid w:val="00701117"/>
    <w:rsid w:val="00701184"/>
    <w:rsid w:val="00701247"/>
    <w:rsid w:val="0070128A"/>
    <w:rsid w:val="0070133F"/>
    <w:rsid w:val="0070142E"/>
    <w:rsid w:val="007014AF"/>
    <w:rsid w:val="007014FC"/>
    <w:rsid w:val="0070152F"/>
    <w:rsid w:val="0070159B"/>
    <w:rsid w:val="0070159E"/>
    <w:rsid w:val="0070164D"/>
    <w:rsid w:val="0070168F"/>
    <w:rsid w:val="007016DB"/>
    <w:rsid w:val="0070176A"/>
    <w:rsid w:val="007017E1"/>
    <w:rsid w:val="007018A0"/>
    <w:rsid w:val="00701A64"/>
    <w:rsid w:val="00701AE0"/>
    <w:rsid w:val="00701B42"/>
    <w:rsid w:val="00701C44"/>
    <w:rsid w:val="00701D7C"/>
    <w:rsid w:val="00701EB7"/>
    <w:rsid w:val="00701F6E"/>
    <w:rsid w:val="00701FBF"/>
    <w:rsid w:val="00701FF6"/>
    <w:rsid w:val="00702029"/>
    <w:rsid w:val="007020F9"/>
    <w:rsid w:val="00702215"/>
    <w:rsid w:val="00702287"/>
    <w:rsid w:val="007023CB"/>
    <w:rsid w:val="00702410"/>
    <w:rsid w:val="0070250D"/>
    <w:rsid w:val="0070264A"/>
    <w:rsid w:val="0070279F"/>
    <w:rsid w:val="007028B5"/>
    <w:rsid w:val="007028C2"/>
    <w:rsid w:val="00702993"/>
    <w:rsid w:val="00702AC2"/>
    <w:rsid w:val="00702CDF"/>
    <w:rsid w:val="00702D02"/>
    <w:rsid w:val="00702EC7"/>
    <w:rsid w:val="00702F5F"/>
    <w:rsid w:val="0070310F"/>
    <w:rsid w:val="0070327D"/>
    <w:rsid w:val="00703282"/>
    <w:rsid w:val="007032B6"/>
    <w:rsid w:val="0070337F"/>
    <w:rsid w:val="007033E0"/>
    <w:rsid w:val="00703404"/>
    <w:rsid w:val="0070349E"/>
    <w:rsid w:val="007034B1"/>
    <w:rsid w:val="007034C2"/>
    <w:rsid w:val="00703597"/>
    <w:rsid w:val="007035F0"/>
    <w:rsid w:val="0070362E"/>
    <w:rsid w:val="0070363A"/>
    <w:rsid w:val="00703682"/>
    <w:rsid w:val="007036B6"/>
    <w:rsid w:val="007036D1"/>
    <w:rsid w:val="00703705"/>
    <w:rsid w:val="00703725"/>
    <w:rsid w:val="0070372B"/>
    <w:rsid w:val="00703774"/>
    <w:rsid w:val="007037ED"/>
    <w:rsid w:val="0070387E"/>
    <w:rsid w:val="007038D4"/>
    <w:rsid w:val="007038ED"/>
    <w:rsid w:val="00703910"/>
    <w:rsid w:val="0070394C"/>
    <w:rsid w:val="007039A5"/>
    <w:rsid w:val="007039B3"/>
    <w:rsid w:val="00703CEA"/>
    <w:rsid w:val="00703D34"/>
    <w:rsid w:val="00703DD7"/>
    <w:rsid w:val="00703E19"/>
    <w:rsid w:val="00703E4F"/>
    <w:rsid w:val="00703EAB"/>
    <w:rsid w:val="00703FB1"/>
    <w:rsid w:val="00703FF2"/>
    <w:rsid w:val="00704017"/>
    <w:rsid w:val="00704046"/>
    <w:rsid w:val="007040CA"/>
    <w:rsid w:val="007040D4"/>
    <w:rsid w:val="00704121"/>
    <w:rsid w:val="007041D5"/>
    <w:rsid w:val="00704361"/>
    <w:rsid w:val="0070444B"/>
    <w:rsid w:val="00704495"/>
    <w:rsid w:val="00704621"/>
    <w:rsid w:val="007047C2"/>
    <w:rsid w:val="00704AB5"/>
    <w:rsid w:val="00704B44"/>
    <w:rsid w:val="00704B4E"/>
    <w:rsid w:val="00704B91"/>
    <w:rsid w:val="00704BD4"/>
    <w:rsid w:val="00704C08"/>
    <w:rsid w:val="00704F35"/>
    <w:rsid w:val="00704F44"/>
    <w:rsid w:val="00704F4A"/>
    <w:rsid w:val="00705114"/>
    <w:rsid w:val="00705129"/>
    <w:rsid w:val="00705170"/>
    <w:rsid w:val="00705362"/>
    <w:rsid w:val="00705383"/>
    <w:rsid w:val="007053FD"/>
    <w:rsid w:val="0070547B"/>
    <w:rsid w:val="007054C5"/>
    <w:rsid w:val="007054C6"/>
    <w:rsid w:val="00705521"/>
    <w:rsid w:val="00705617"/>
    <w:rsid w:val="00705633"/>
    <w:rsid w:val="00705653"/>
    <w:rsid w:val="0070565D"/>
    <w:rsid w:val="0070589D"/>
    <w:rsid w:val="00705904"/>
    <w:rsid w:val="007059FC"/>
    <w:rsid w:val="00705A1C"/>
    <w:rsid w:val="00705B27"/>
    <w:rsid w:val="00705BAD"/>
    <w:rsid w:val="00705BDE"/>
    <w:rsid w:val="00705CD7"/>
    <w:rsid w:val="00705D23"/>
    <w:rsid w:val="00705D94"/>
    <w:rsid w:val="00705E15"/>
    <w:rsid w:val="00705E1E"/>
    <w:rsid w:val="00705E22"/>
    <w:rsid w:val="00705F17"/>
    <w:rsid w:val="00705FA5"/>
    <w:rsid w:val="00705FAC"/>
    <w:rsid w:val="00705FC1"/>
    <w:rsid w:val="0070609C"/>
    <w:rsid w:val="007060CF"/>
    <w:rsid w:val="00706136"/>
    <w:rsid w:val="007062A2"/>
    <w:rsid w:val="007062A3"/>
    <w:rsid w:val="007062A7"/>
    <w:rsid w:val="00706321"/>
    <w:rsid w:val="00706457"/>
    <w:rsid w:val="0070645E"/>
    <w:rsid w:val="0070645F"/>
    <w:rsid w:val="00706555"/>
    <w:rsid w:val="0070655E"/>
    <w:rsid w:val="0070661F"/>
    <w:rsid w:val="00706635"/>
    <w:rsid w:val="007066B2"/>
    <w:rsid w:val="00706712"/>
    <w:rsid w:val="0070685B"/>
    <w:rsid w:val="007068C4"/>
    <w:rsid w:val="0070695B"/>
    <w:rsid w:val="00706A4A"/>
    <w:rsid w:val="00706A5B"/>
    <w:rsid w:val="00706CDD"/>
    <w:rsid w:val="00706DF2"/>
    <w:rsid w:val="00706E99"/>
    <w:rsid w:val="00706F2B"/>
    <w:rsid w:val="0070711C"/>
    <w:rsid w:val="007073AA"/>
    <w:rsid w:val="007073FD"/>
    <w:rsid w:val="00707420"/>
    <w:rsid w:val="00707429"/>
    <w:rsid w:val="0070754A"/>
    <w:rsid w:val="00707567"/>
    <w:rsid w:val="007075ED"/>
    <w:rsid w:val="007076D9"/>
    <w:rsid w:val="00707828"/>
    <w:rsid w:val="00707861"/>
    <w:rsid w:val="0070797C"/>
    <w:rsid w:val="007079A0"/>
    <w:rsid w:val="007079F3"/>
    <w:rsid w:val="00707A18"/>
    <w:rsid w:val="00707A60"/>
    <w:rsid w:val="00707A8B"/>
    <w:rsid w:val="00707AE9"/>
    <w:rsid w:val="00707B92"/>
    <w:rsid w:val="00707BC5"/>
    <w:rsid w:val="00707BD2"/>
    <w:rsid w:val="00707C8C"/>
    <w:rsid w:val="00707D0B"/>
    <w:rsid w:val="00707DB9"/>
    <w:rsid w:val="00707F39"/>
    <w:rsid w:val="00707F4E"/>
    <w:rsid w:val="00710053"/>
    <w:rsid w:val="00710175"/>
    <w:rsid w:val="00710313"/>
    <w:rsid w:val="0071033D"/>
    <w:rsid w:val="007103E9"/>
    <w:rsid w:val="00710442"/>
    <w:rsid w:val="007104C0"/>
    <w:rsid w:val="007107BA"/>
    <w:rsid w:val="00710818"/>
    <w:rsid w:val="00710885"/>
    <w:rsid w:val="007108DA"/>
    <w:rsid w:val="007109CC"/>
    <w:rsid w:val="00710A33"/>
    <w:rsid w:val="00710AEB"/>
    <w:rsid w:val="00710CC2"/>
    <w:rsid w:val="00710CD9"/>
    <w:rsid w:val="00710D41"/>
    <w:rsid w:val="00710D49"/>
    <w:rsid w:val="00710D61"/>
    <w:rsid w:val="00710E4F"/>
    <w:rsid w:val="00710EF8"/>
    <w:rsid w:val="00710F7E"/>
    <w:rsid w:val="0071117B"/>
    <w:rsid w:val="007111CD"/>
    <w:rsid w:val="00711240"/>
    <w:rsid w:val="007112DC"/>
    <w:rsid w:val="0071137C"/>
    <w:rsid w:val="007113FF"/>
    <w:rsid w:val="00711402"/>
    <w:rsid w:val="00711413"/>
    <w:rsid w:val="0071151B"/>
    <w:rsid w:val="00711588"/>
    <w:rsid w:val="00711628"/>
    <w:rsid w:val="0071162D"/>
    <w:rsid w:val="00711724"/>
    <w:rsid w:val="00711745"/>
    <w:rsid w:val="00711795"/>
    <w:rsid w:val="007118C0"/>
    <w:rsid w:val="00711952"/>
    <w:rsid w:val="007119BC"/>
    <w:rsid w:val="007119F1"/>
    <w:rsid w:val="00711A35"/>
    <w:rsid w:val="00711A93"/>
    <w:rsid w:val="00711B6D"/>
    <w:rsid w:val="00711BB0"/>
    <w:rsid w:val="00711BC8"/>
    <w:rsid w:val="00711C0A"/>
    <w:rsid w:val="00711C88"/>
    <w:rsid w:val="00711CA5"/>
    <w:rsid w:val="00711DF5"/>
    <w:rsid w:val="00711E1E"/>
    <w:rsid w:val="00711E37"/>
    <w:rsid w:val="00711EC7"/>
    <w:rsid w:val="00711ECF"/>
    <w:rsid w:val="00711EF8"/>
    <w:rsid w:val="00711FC7"/>
    <w:rsid w:val="00711FFE"/>
    <w:rsid w:val="007120C5"/>
    <w:rsid w:val="007120CB"/>
    <w:rsid w:val="007120DB"/>
    <w:rsid w:val="007120F4"/>
    <w:rsid w:val="0071212D"/>
    <w:rsid w:val="00712276"/>
    <w:rsid w:val="007122C5"/>
    <w:rsid w:val="007122DB"/>
    <w:rsid w:val="007122ED"/>
    <w:rsid w:val="0071233A"/>
    <w:rsid w:val="00712352"/>
    <w:rsid w:val="007123EF"/>
    <w:rsid w:val="007125AD"/>
    <w:rsid w:val="0071261D"/>
    <w:rsid w:val="007126B5"/>
    <w:rsid w:val="007127D3"/>
    <w:rsid w:val="007127F3"/>
    <w:rsid w:val="0071289F"/>
    <w:rsid w:val="007129F3"/>
    <w:rsid w:val="00712A31"/>
    <w:rsid w:val="00712A7F"/>
    <w:rsid w:val="00712ABA"/>
    <w:rsid w:val="00712B17"/>
    <w:rsid w:val="00712BAF"/>
    <w:rsid w:val="00712CC4"/>
    <w:rsid w:val="00712ED6"/>
    <w:rsid w:val="00712FC7"/>
    <w:rsid w:val="00712FEC"/>
    <w:rsid w:val="00713037"/>
    <w:rsid w:val="00713058"/>
    <w:rsid w:val="00713080"/>
    <w:rsid w:val="007130C3"/>
    <w:rsid w:val="007130CD"/>
    <w:rsid w:val="00713269"/>
    <w:rsid w:val="007132D0"/>
    <w:rsid w:val="007133E1"/>
    <w:rsid w:val="007134B6"/>
    <w:rsid w:val="0071358A"/>
    <w:rsid w:val="007135B6"/>
    <w:rsid w:val="007135D3"/>
    <w:rsid w:val="0071364C"/>
    <w:rsid w:val="00713658"/>
    <w:rsid w:val="0071372C"/>
    <w:rsid w:val="007137E1"/>
    <w:rsid w:val="0071384E"/>
    <w:rsid w:val="007138DA"/>
    <w:rsid w:val="00713A71"/>
    <w:rsid w:val="00713A79"/>
    <w:rsid w:val="00713C3C"/>
    <w:rsid w:val="00713D22"/>
    <w:rsid w:val="00713DE9"/>
    <w:rsid w:val="00714190"/>
    <w:rsid w:val="007141E2"/>
    <w:rsid w:val="007142DF"/>
    <w:rsid w:val="00714406"/>
    <w:rsid w:val="00714431"/>
    <w:rsid w:val="0071443A"/>
    <w:rsid w:val="0071457C"/>
    <w:rsid w:val="0071466B"/>
    <w:rsid w:val="00714698"/>
    <w:rsid w:val="007146B1"/>
    <w:rsid w:val="007146BD"/>
    <w:rsid w:val="007148A0"/>
    <w:rsid w:val="007148B3"/>
    <w:rsid w:val="007149AA"/>
    <w:rsid w:val="00714A44"/>
    <w:rsid w:val="00714AB4"/>
    <w:rsid w:val="00714B57"/>
    <w:rsid w:val="00714CE7"/>
    <w:rsid w:val="00714DC5"/>
    <w:rsid w:val="00714F2B"/>
    <w:rsid w:val="00714F8F"/>
    <w:rsid w:val="00715135"/>
    <w:rsid w:val="00715248"/>
    <w:rsid w:val="00715348"/>
    <w:rsid w:val="0071536A"/>
    <w:rsid w:val="007153F4"/>
    <w:rsid w:val="00715489"/>
    <w:rsid w:val="00715660"/>
    <w:rsid w:val="00715678"/>
    <w:rsid w:val="0071570B"/>
    <w:rsid w:val="00715720"/>
    <w:rsid w:val="0071582B"/>
    <w:rsid w:val="00715858"/>
    <w:rsid w:val="00715891"/>
    <w:rsid w:val="007158AC"/>
    <w:rsid w:val="00715908"/>
    <w:rsid w:val="00715A26"/>
    <w:rsid w:val="00715A38"/>
    <w:rsid w:val="00715A8F"/>
    <w:rsid w:val="00715C0D"/>
    <w:rsid w:val="00715C21"/>
    <w:rsid w:val="00715D2D"/>
    <w:rsid w:val="00715D30"/>
    <w:rsid w:val="00715D39"/>
    <w:rsid w:val="00715DC8"/>
    <w:rsid w:val="00715E93"/>
    <w:rsid w:val="00715ECE"/>
    <w:rsid w:val="00715EEE"/>
    <w:rsid w:val="00715F2C"/>
    <w:rsid w:val="00715F2F"/>
    <w:rsid w:val="00715F56"/>
    <w:rsid w:val="00715FD8"/>
    <w:rsid w:val="007160AE"/>
    <w:rsid w:val="00716127"/>
    <w:rsid w:val="007161C6"/>
    <w:rsid w:val="00716296"/>
    <w:rsid w:val="0071636C"/>
    <w:rsid w:val="007163D0"/>
    <w:rsid w:val="007163FF"/>
    <w:rsid w:val="00716435"/>
    <w:rsid w:val="007165B3"/>
    <w:rsid w:val="007168C8"/>
    <w:rsid w:val="00716912"/>
    <w:rsid w:val="00716926"/>
    <w:rsid w:val="0071694E"/>
    <w:rsid w:val="007169B3"/>
    <w:rsid w:val="00716C59"/>
    <w:rsid w:val="00716D04"/>
    <w:rsid w:val="00716D2A"/>
    <w:rsid w:val="00716DDF"/>
    <w:rsid w:val="00716E15"/>
    <w:rsid w:val="00716E93"/>
    <w:rsid w:val="00716F60"/>
    <w:rsid w:val="007170A9"/>
    <w:rsid w:val="0071718B"/>
    <w:rsid w:val="007171F8"/>
    <w:rsid w:val="00717241"/>
    <w:rsid w:val="007172DF"/>
    <w:rsid w:val="00717333"/>
    <w:rsid w:val="00717396"/>
    <w:rsid w:val="00717409"/>
    <w:rsid w:val="0071751A"/>
    <w:rsid w:val="007175C8"/>
    <w:rsid w:val="00717654"/>
    <w:rsid w:val="0071768C"/>
    <w:rsid w:val="007176AC"/>
    <w:rsid w:val="007176DE"/>
    <w:rsid w:val="00717751"/>
    <w:rsid w:val="007177AF"/>
    <w:rsid w:val="007177DD"/>
    <w:rsid w:val="00717844"/>
    <w:rsid w:val="007178D9"/>
    <w:rsid w:val="00717993"/>
    <w:rsid w:val="00717B3F"/>
    <w:rsid w:val="00717BEB"/>
    <w:rsid w:val="00717C47"/>
    <w:rsid w:val="00717DD1"/>
    <w:rsid w:val="00717E86"/>
    <w:rsid w:val="00717E8E"/>
    <w:rsid w:val="00717EE4"/>
    <w:rsid w:val="00720027"/>
    <w:rsid w:val="00720132"/>
    <w:rsid w:val="00720203"/>
    <w:rsid w:val="00720213"/>
    <w:rsid w:val="0072026E"/>
    <w:rsid w:val="00720367"/>
    <w:rsid w:val="007203E4"/>
    <w:rsid w:val="0072045E"/>
    <w:rsid w:val="007204B3"/>
    <w:rsid w:val="007204FC"/>
    <w:rsid w:val="00720550"/>
    <w:rsid w:val="00720556"/>
    <w:rsid w:val="007207EE"/>
    <w:rsid w:val="00720857"/>
    <w:rsid w:val="007209DB"/>
    <w:rsid w:val="00720A89"/>
    <w:rsid w:val="00720AE4"/>
    <w:rsid w:val="00720C38"/>
    <w:rsid w:val="00720C48"/>
    <w:rsid w:val="00720C50"/>
    <w:rsid w:val="00720C8B"/>
    <w:rsid w:val="00720D5A"/>
    <w:rsid w:val="0072108B"/>
    <w:rsid w:val="007212D3"/>
    <w:rsid w:val="007212E7"/>
    <w:rsid w:val="007213EA"/>
    <w:rsid w:val="007213F7"/>
    <w:rsid w:val="00721462"/>
    <w:rsid w:val="007214D9"/>
    <w:rsid w:val="00721525"/>
    <w:rsid w:val="00721643"/>
    <w:rsid w:val="00721741"/>
    <w:rsid w:val="00721749"/>
    <w:rsid w:val="00721799"/>
    <w:rsid w:val="007217B7"/>
    <w:rsid w:val="007217BC"/>
    <w:rsid w:val="00721812"/>
    <w:rsid w:val="00721851"/>
    <w:rsid w:val="00721B6E"/>
    <w:rsid w:val="00721C6D"/>
    <w:rsid w:val="00721CFC"/>
    <w:rsid w:val="00721D53"/>
    <w:rsid w:val="00721D83"/>
    <w:rsid w:val="00721E3E"/>
    <w:rsid w:val="00721F29"/>
    <w:rsid w:val="00721F51"/>
    <w:rsid w:val="00721F86"/>
    <w:rsid w:val="00721FA3"/>
    <w:rsid w:val="0072201A"/>
    <w:rsid w:val="007221FD"/>
    <w:rsid w:val="0072225B"/>
    <w:rsid w:val="0072227B"/>
    <w:rsid w:val="007223FF"/>
    <w:rsid w:val="0072248E"/>
    <w:rsid w:val="0072255D"/>
    <w:rsid w:val="00722580"/>
    <w:rsid w:val="00722726"/>
    <w:rsid w:val="0072275D"/>
    <w:rsid w:val="007227BB"/>
    <w:rsid w:val="007227E4"/>
    <w:rsid w:val="007227F8"/>
    <w:rsid w:val="0072299E"/>
    <w:rsid w:val="00722A0D"/>
    <w:rsid w:val="00722A45"/>
    <w:rsid w:val="00722BC8"/>
    <w:rsid w:val="00722CF3"/>
    <w:rsid w:val="00722D18"/>
    <w:rsid w:val="00722D1A"/>
    <w:rsid w:val="00722D54"/>
    <w:rsid w:val="00722EE8"/>
    <w:rsid w:val="00722EFD"/>
    <w:rsid w:val="00722F5D"/>
    <w:rsid w:val="00723009"/>
    <w:rsid w:val="00723098"/>
    <w:rsid w:val="00723238"/>
    <w:rsid w:val="0072327F"/>
    <w:rsid w:val="007232DB"/>
    <w:rsid w:val="007232EC"/>
    <w:rsid w:val="007232F1"/>
    <w:rsid w:val="00723369"/>
    <w:rsid w:val="007233BA"/>
    <w:rsid w:val="007233E7"/>
    <w:rsid w:val="00723404"/>
    <w:rsid w:val="007234D7"/>
    <w:rsid w:val="00723543"/>
    <w:rsid w:val="00723561"/>
    <w:rsid w:val="0072359E"/>
    <w:rsid w:val="0072360B"/>
    <w:rsid w:val="007236AD"/>
    <w:rsid w:val="0072371A"/>
    <w:rsid w:val="0072379E"/>
    <w:rsid w:val="007237A6"/>
    <w:rsid w:val="00723973"/>
    <w:rsid w:val="0072397A"/>
    <w:rsid w:val="007239A2"/>
    <w:rsid w:val="00723A65"/>
    <w:rsid w:val="00723A75"/>
    <w:rsid w:val="00723BB2"/>
    <w:rsid w:val="00723C87"/>
    <w:rsid w:val="00723CAF"/>
    <w:rsid w:val="00723D5A"/>
    <w:rsid w:val="00723E03"/>
    <w:rsid w:val="00723E4E"/>
    <w:rsid w:val="00723E91"/>
    <w:rsid w:val="00723EB8"/>
    <w:rsid w:val="00723F98"/>
    <w:rsid w:val="00723FDF"/>
    <w:rsid w:val="007240D8"/>
    <w:rsid w:val="007241EF"/>
    <w:rsid w:val="007241F5"/>
    <w:rsid w:val="0072421A"/>
    <w:rsid w:val="007242A0"/>
    <w:rsid w:val="00724378"/>
    <w:rsid w:val="00724392"/>
    <w:rsid w:val="007243FC"/>
    <w:rsid w:val="00724447"/>
    <w:rsid w:val="007245D1"/>
    <w:rsid w:val="00724637"/>
    <w:rsid w:val="00724641"/>
    <w:rsid w:val="0072465B"/>
    <w:rsid w:val="007246AA"/>
    <w:rsid w:val="007246CE"/>
    <w:rsid w:val="0072476B"/>
    <w:rsid w:val="0072476E"/>
    <w:rsid w:val="0072484A"/>
    <w:rsid w:val="00724A62"/>
    <w:rsid w:val="00724AB6"/>
    <w:rsid w:val="00724B1E"/>
    <w:rsid w:val="00724BA5"/>
    <w:rsid w:val="00724E84"/>
    <w:rsid w:val="00724F5B"/>
    <w:rsid w:val="00724FAD"/>
    <w:rsid w:val="0072505A"/>
    <w:rsid w:val="007250D1"/>
    <w:rsid w:val="007250E0"/>
    <w:rsid w:val="00725156"/>
    <w:rsid w:val="007251B3"/>
    <w:rsid w:val="007251E1"/>
    <w:rsid w:val="007251E7"/>
    <w:rsid w:val="00725286"/>
    <w:rsid w:val="007252C8"/>
    <w:rsid w:val="00725330"/>
    <w:rsid w:val="00725389"/>
    <w:rsid w:val="00725393"/>
    <w:rsid w:val="007253AD"/>
    <w:rsid w:val="007253CA"/>
    <w:rsid w:val="00725511"/>
    <w:rsid w:val="007255DA"/>
    <w:rsid w:val="00725888"/>
    <w:rsid w:val="007258B6"/>
    <w:rsid w:val="00725912"/>
    <w:rsid w:val="00725973"/>
    <w:rsid w:val="00725985"/>
    <w:rsid w:val="0072599A"/>
    <w:rsid w:val="00725A28"/>
    <w:rsid w:val="00725CED"/>
    <w:rsid w:val="00725D92"/>
    <w:rsid w:val="00725DD9"/>
    <w:rsid w:val="00725E85"/>
    <w:rsid w:val="00725ECD"/>
    <w:rsid w:val="00725FA1"/>
    <w:rsid w:val="00726102"/>
    <w:rsid w:val="0072615D"/>
    <w:rsid w:val="0072618B"/>
    <w:rsid w:val="00726200"/>
    <w:rsid w:val="0072626C"/>
    <w:rsid w:val="007262B1"/>
    <w:rsid w:val="0072642C"/>
    <w:rsid w:val="0072652E"/>
    <w:rsid w:val="00726650"/>
    <w:rsid w:val="007266F7"/>
    <w:rsid w:val="00726729"/>
    <w:rsid w:val="007267B5"/>
    <w:rsid w:val="007268A4"/>
    <w:rsid w:val="007269A5"/>
    <w:rsid w:val="00726A55"/>
    <w:rsid w:val="00726AC5"/>
    <w:rsid w:val="00726B62"/>
    <w:rsid w:val="00726C03"/>
    <w:rsid w:val="00726C70"/>
    <w:rsid w:val="00726CB6"/>
    <w:rsid w:val="00726DAF"/>
    <w:rsid w:val="00726DEB"/>
    <w:rsid w:val="00726E1B"/>
    <w:rsid w:val="00726E44"/>
    <w:rsid w:val="00726F5D"/>
    <w:rsid w:val="00726F65"/>
    <w:rsid w:val="00726F89"/>
    <w:rsid w:val="00726FCD"/>
    <w:rsid w:val="00727094"/>
    <w:rsid w:val="0072711A"/>
    <w:rsid w:val="00727212"/>
    <w:rsid w:val="00727237"/>
    <w:rsid w:val="00727336"/>
    <w:rsid w:val="00727367"/>
    <w:rsid w:val="007273A0"/>
    <w:rsid w:val="007274A0"/>
    <w:rsid w:val="007274E1"/>
    <w:rsid w:val="007275C9"/>
    <w:rsid w:val="00727819"/>
    <w:rsid w:val="0072784E"/>
    <w:rsid w:val="0072793C"/>
    <w:rsid w:val="0072794F"/>
    <w:rsid w:val="007279F8"/>
    <w:rsid w:val="00727A9C"/>
    <w:rsid w:val="00727BE3"/>
    <w:rsid w:val="00727CC8"/>
    <w:rsid w:val="00727E22"/>
    <w:rsid w:val="00727EF8"/>
    <w:rsid w:val="00730072"/>
    <w:rsid w:val="0073012F"/>
    <w:rsid w:val="00730140"/>
    <w:rsid w:val="007301DB"/>
    <w:rsid w:val="007302E3"/>
    <w:rsid w:val="007303A2"/>
    <w:rsid w:val="007303C1"/>
    <w:rsid w:val="007303F5"/>
    <w:rsid w:val="0073040F"/>
    <w:rsid w:val="00730459"/>
    <w:rsid w:val="0073047F"/>
    <w:rsid w:val="007304D5"/>
    <w:rsid w:val="007305EC"/>
    <w:rsid w:val="00730696"/>
    <w:rsid w:val="007306B1"/>
    <w:rsid w:val="00730751"/>
    <w:rsid w:val="007308E3"/>
    <w:rsid w:val="007309BF"/>
    <w:rsid w:val="00730AE8"/>
    <w:rsid w:val="00730B70"/>
    <w:rsid w:val="00730CE2"/>
    <w:rsid w:val="00730CFF"/>
    <w:rsid w:val="00730DF9"/>
    <w:rsid w:val="00730E4C"/>
    <w:rsid w:val="00730F7C"/>
    <w:rsid w:val="00730F9E"/>
    <w:rsid w:val="00731066"/>
    <w:rsid w:val="007310BE"/>
    <w:rsid w:val="007310DC"/>
    <w:rsid w:val="00731158"/>
    <w:rsid w:val="00731222"/>
    <w:rsid w:val="00731229"/>
    <w:rsid w:val="0073124C"/>
    <w:rsid w:val="00731387"/>
    <w:rsid w:val="007313E4"/>
    <w:rsid w:val="007315ED"/>
    <w:rsid w:val="00731627"/>
    <w:rsid w:val="00731689"/>
    <w:rsid w:val="0073171B"/>
    <w:rsid w:val="0073175A"/>
    <w:rsid w:val="007317FA"/>
    <w:rsid w:val="007318CF"/>
    <w:rsid w:val="00731926"/>
    <w:rsid w:val="0073196F"/>
    <w:rsid w:val="0073198C"/>
    <w:rsid w:val="007319C2"/>
    <w:rsid w:val="007319EF"/>
    <w:rsid w:val="00731C09"/>
    <w:rsid w:val="00731C54"/>
    <w:rsid w:val="00731C6D"/>
    <w:rsid w:val="00731CC6"/>
    <w:rsid w:val="0073206A"/>
    <w:rsid w:val="00732239"/>
    <w:rsid w:val="007322AA"/>
    <w:rsid w:val="007322D5"/>
    <w:rsid w:val="007323F0"/>
    <w:rsid w:val="00732485"/>
    <w:rsid w:val="0073253E"/>
    <w:rsid w:val="0073256D"/>
    <w:rsid w:val="007325EB"/>
    <w:rsid w:val="007326A3"/>
    <w:rsid w:val="00732831"/>
    <w:rsid w:val="007328AC"/>
    <w:rsid w:val="007328B9"/>
    <w:rsid w:val="00732A4D"/>
    <w:rsid w:val="00732B1F"/>
    <w:rsid w:val="00732B2D"/>
    <w:rsid w:val="00732B2E"/>
    <w:rsid w:val="00732B31"/>
    <w:rsid w:val="00732B85"/>
    <w:rsid w:val="00732BC6"/>
    <w:rsid w:val="00732BCC"/>
    <w:rsid w:val="00732F3A"/>
    <w:rsid w:val="00732F40"/>
    <w:rsid w:val="00732FD2"/>
    <w:rsid w:val="0073305B"/>
    <w:rsid w:val="007330BD"/>
    <w:rsid w:val="00733194"/>
    <w:rsid w:val="007331AD"/>
    <w:rsid w:val="007331B2"/>
    <w:rsid w:val="0073320F"/>
    <w:rsid w:val="00733238"/>
    <w:rsid w:val="007333D9"/>
    <w:rsid w:val="007334A8"/>
    <w:rsid w:val="007334D3"/>
    <w:rsid w:val="007334FC"/>
    <w:rsid w:val="00733520"/>
    <w:rsid w:val="00733617"/>
    <w:rsid w:val="00733700"/>
    <w:rsid w:val="0073376E"/>
    <w:rsid w:val="007337AB"/>
    <w:rsid w:val="007338C6"/>
    <w:rsid w:val="00733909"/>
    <w:rsid w:val="0073392B"/>
    <w:rsid w:val="007339A1"/>
    <w:rsid w:val="00733A46"/>
    <w:rsid w:val="00733A6D"/>
    <w:rsid w:val="00733BD9"/>
    <w:rsid w:val="00733BF3"/>
    <w:rsid w:val="00733C0D"/>
    <w:rsid w:val="00733E3F"/>
    <w:rsid w:val="00733E8F"/>
    <w:rsid w:val="00733EA8"/>
    <w:rsid w:val="00733ED6"/>
    <w:rsid w:val="00733FBE"/>
    <w:rsid w:val="00734257"/>
    <w:rsid w:val="007342BA"/>
    <w:rsid w:val="007342E2"/>
    <w:rsid w:val="00734356"/>
    <w:rsid w:val="00734438"/>
    <w:rsid w:val="0073446D"/>
    <w:rsid w:val="007344D5"/>
    <w:rsid w:val="007344EF"/>
    <w:rsid w:val="00734586"/>
    <w:rsid w:val="00734592"/>
    <w:rsid w:val="007345A4"/>
    <w:rsid w:val="00734675"/>
    <w:rsid w:val="00734774"/>
    <w:rsid w:val="0073477A"/>
    <w:rsid w:val="0073480D"/>
    <w:rsid w:val="0073482B"/>
    <w:rsid w:val="007348CF"/>
    <w:rsid w:val="007349AE"/>
    <w:rsid w:val="00734A80"/>
    <w:rsid w:val="00734ACB"/>
    <w:rsid w:val="00734B54"/>
    <w:rsid w:val="00734C48"/>
    <w:rsid w:val="00734D49"/>
    <w:rsid w:val="00734DBC"/>
    <w:rsid w:val="00734EC7"/>
    <w:rsid w:val="00734F9E"/>
    <w:rsid w:val="00734FC1"/>
    <w:rsid w:val="00735054"/>
    <w:rsid w:val="00735099"/>
    <w:rsid w:val="0073525C"/>
    <w:rsid w:val="00735288"/>
    <w:rsid w:val="00735389"/>
    <w:rsid w:val="0073541A"/>
    <w:rsid w:val="0073541F"/>
    <w:rsid w:val="0073546F"/>
    <w:rsid w:val="00735471"/>
    <w:rsid w:val="00735482"/>
    <w:rsid w:val="0073550F"/>
    <w:rsid w:val="00735584"/>
    <w:rsid w:val="007356FC"/>
    <w:rsid w:val="007357AC"/>
    <w:rsid w:val="00735820"/>
    <w:rsid w:val="0073583A"/>
    <w:rsid w:val="007359B0"/>
    <w:rsid w:val="007359E5"/>
    <w:rsid w:val="00735A62"/>
    <w:rsid w:val="00735B3C"/>
    <w:rsid w:val="00735CAC"/>
    <w:rsid w:val="00735F93"/>
    <w:rsid w:val="00735FD0"/>
    <w:rsid w:val="00735FD5"/>
    <w:rsid w:val="00735FE5"/>
    <w:rsid w:val="00736054"/>
    <w:rsid w:val="007360DB"/>
    <w:rsid w:val="007361CE"/>
    <w:rsid w:val="0073621E"/>
    <w:rsid w:val="007362EF"/>
    <w:rsid w:val="0073631B"/>
    <w:rsid w:val="007363BA"/>
    <w:rsid w:val="00736434"/>
    <w:rsid w:val="0073646E"/>
    <w:rsid w:val="0073652E"/>
    <w:rsid w:val="00736562"/>
    <w:rsid w:val="0073659E"/>
    <w:rsid w:val="0073661D"/>
    <w:rsid w:val="00736667"/>
    <w:rsid w:val="00736677"/>
    <w:rsid w:val="0073668D"/>
    <w:rsid w:val="007366CC"/>
    <w:rsid w:val="00736812"/>
    <w:rsid w:val="00736818"/>
    <w:rsid w:val="0073689D"/>
    <w:rsid w:val="007368C7"/>
    <w:rsid w:val="007369FC"/>
    <w:rsid w:val="00736A43"/>
    <w:rsid w:val="00736ABC"/>
    <w:rsid w:val="00736AE8"/>
    <w:rsid w:val="00736B1C"/>
    <w:rsid w:val="00736B2A"/>
    <w:rsid w:val="00736C9F"/>
    <w:rsid w:val="00736CAB"/>
    <w:rsid w:val="00736CCF"/>
    <w:rsid w:val="00736E0B"/>
    <w:rsid w:val="007370B1"/>
    <w:rsid w:val="007370D4"/>
    <w:rsid w:val="00737103"/>
    <w:rsid w:val="007371BC"/>
    <w:rsid w:val="007371F7"/>
    <w:rsid w:val="00737223"/>
    <w:rsid w:val="0073728E"/>
    <w:rsid w:val="00737468"/>
    <w:rsid w:val="00737A9D"/>
    <w:rsid w:val="00737B48"/>
    <w:rsid w:val="00737B63"/>
    <w:rsid w:val="00737B68"/>
    <w:rsid w:val="00737B76"/>
    <w:rsid w:val="00737C1A"/>
    <w:rsid w:val="00737CC4"/>
    <w:rsid w:val="00737D0F"/>
    <w:rsid w:val="00737E0C"/>
    <w:rsid w:val="00737E69"/>
    <w:rsid w:val="00737F14"/>
    <w:rsid w:val="00737FB7"/>
    <w:rsid w:val="00740041"/>
    <w:rsid w:val="0074011B"/>
    <w:rsid w:val="007401CB"/>
    <w:rsid w:val="007401D2"/>
    <w:rsid w:val="00740246"/>
    <w:rsid w:val="00740296"/>
    <w:rsid w:val="00740353"/>
    <w:rsid w:val="0074039D"/>
    <w:rsid w:val="00740511"/>
    <w:rsid w:val="00740541"/>
    <w:rsid w:val="00740696"/>
    <w:rsid w:val="00740713"/>
    <w:rsid w:val="007408C2"/>
    <w:rsid w:val="007409FD"/>
    <w:rsid w:val="00740AF2"/>
    <w:rsid w:val="00740C4F"/>
    <w:rsid w:val="00740C51"/>
    <w:rsid w:val="00740C74"/>
    <w:rsid w:val="00740CC3"/>
    <w:rsid w:val="00740D2E"/>
    <w:rsid w:val="00740D50"/>
    <w:rsid w:val="00740D5D"/>
    <w:rsid w:val="00740DA9"/>
    <w:rsid w:val="00740EC5"/>
    <w:rsid w:val="00740FB8"/>
    <w:rsid w:val="00741069"/>
    <w:rsid w:val="00741146"/>
    <w:rsid w:val="00741259"/>
    <w:rsid w:val="0074125B"/>
    <w:rsid w:val="00741308"/>
    <w:rsid w:val="00741373"/>
    <w:rsid w:val="00741385"/>
    <w:rsid w:val="007413CD"/>
    <w:rsid w:val="007414A1"/>
    <w:rsid w:val="007414D3"/>
    <w:rsid w:val="00741528"/>
    <w:rsid w:val="00741555"/>
    <w:rsid w:val="007415AD"/>
    <w:rsid w:val="007415CB"/>
    <w:rsid w:val="007415DF"/>
    <w:rsid w:val="00741670"/>
    <w:rsid w:val="007416EE"/>
    <w:rsid w:val="00741778"/>
    <w:rsid w:val="007417A2"/>
    <w:rsid w:val="007417F5"/>
    <w:rsid w:val="00741832"/>
    <w:rsid w:val="0074188B"/>
    <w:rsid w:val="0074188E"/>
    <w:rsid w:val="007418B9"/>
    <w:rsid w:val="007418CE"/>
    <w:rsid w:val="007419CE"/>
    <w:rsid w:val="00741A42"/>
    <w:rsid w:val="00741A6A"/>
    <w:rsid w:val="00741AE6"/>
    <w:rsid w:val="00741B56"/>
    <w:rsid w:val="00741B9B"/>
    <w:rsid w:val="00741BB7"/>
    <w:rsid w:val="00741C0B"/>
    <w:rsid w:val="00741DEF"/>
    <w:rsid w:val="00741E07"/>
    <w:rsid w:val="0074204C"/>
    <w:rsid w:val="007420F1"/>
    <w:rsid w:val="0074215E"/>
    <w:rsid w:val="00742170"/>
    <w:rsid w:val="00742178"/>
    <w:rsid w:val="00742410"/>
    <w:rsid w:val="007424DD"/>
    <w:rsid w:val="007425BD"/>
    <w:rsid w:val="00742604"/>
    <w:rsid w:val="00742621"/>
    <w:rsid w:val="007426F9"/>
    <w:rsid w:val="00742948"/>
    <w:rsid w:val="00742BF6"/>
    <w:rsid w:val="00742CEE"/>
    <w:rsid w:val="00742D90"/>
    <w:rsid w:val="00742E2E"/>
    <w:rsid w:val="00742E72"/>
    <w:rsid w:val="00742E8E"/>
    <w:rsid w:val="00742EF8"/>
    <w:rsid w:val="00742F2D"/>
    <w:rsid w:val="00742F53"/>
    <w:rsid w:val="007430F9"/>
    <w:rsid w:val="00743207"/>
    <w:rsid w:val="0074344E"/>
    <w:rsid w:val="00743553"/>
    <w:rsid w:val="007436BC"/>
    <w:rsid w:val="00743774"/>
    <w:rsid w:val="00743836"/>
    <w:rsid w:val="0074396A"/>
    <w:rsid w:val="00743AFC"/>
    <w:rsid w:val="00743B56"/>
    <w:rsid w:val="00743C35"/>
    <w:rsid w:val="00743CCD"/>
    <w:rsid w:val="00743D48"/>
    <w:rsid w:val="00743D6B"/>
    <w:rsid w:val="00743D6D"/>
    <w:rsid w:val="00743DC8"/>
    <w:rsid w:val="00743E1C"/>
    <w:rsid w:val="00743EA3"/>
    <w:rsid w:val="00743ECB"/>
    <w:rsid w:val="00743EF9"/>
    <w:rsid w:val="00743FA7"/>
    <w:rsid w:val="00743FE1"/>
    <w:rsid w:val="007440D4"/>
    <w:rsid w:val="00744184"/>
    <w:rsid w:val="007441C8"/>
    <w:rsid w:val="007441CA"/>
    <w:rsid w:val="0074436E"/>
    <w:rsid w:val="00744387"/>
    <w:rsid w:val="007444DC"/>
    <w:rsid w:val="007444F3"/>
    <w:rsid w:val="007445BA"/>
    <w:rsid w:val="00744794"/>
    <w:rsid w:val="00744828"/>
    <w:rsid w:val="007448A2"/>
    <w:rsid w:val="007448DD"/>
    <w:rsid w:val="00744976"/>
    <w:rsid w:val="007449E4"/>
    <w:rsid w:val="00744B05"/>
    <w:rsid w:val="00744B1E"/>
    <w:rsid w:val="00744B7B"/>
    <w:rsid w:val="00744D9C"/>
    <w:rsid w:val="00744DC6"/>
    <w:rsid w:val="00744E16"/>
    <w:rsid w:val="00744F90"/>
    <w:rsid w:val="007450B0"/>
    <w:rsid w:val="00745111"/>
    <w:rsid w:val="0074513C"/>
    <w:rsid w:val="00745154"/>
    <w:rsid w:val="007452C5"/>
    <w:rsid w:val="0074539F"/>
    <w:rsid w:val="0074541E"/>
    <w:rsid w:val="00745435"/>
    <w:rsid w:val="0074544E"/>
    <w:rsid w:val="00745489"/>
    <w:rsid w:val="0074550C"/>
    <w:rsid w:val="0074554D"/>
    <w:rsid w:val="007455A6"/>
    <w:rsid w:val="0074561E"/>
    <w:rsid w:val="0074568F"/>
    <w:rsid w:val="007456B7"/>
    <w:rsid w:val="007456F0"/>
    <w:rsid w:val="00745736"/>
    <w:rsid w:val="00745794"/>
    <w:rsid w:val="007457D2"/>
    <w:rsid w:val="0074586A"/>
    <w:rsid w:val="007458BF"/>
    <w:rsid w:val="007458FC"/>
    <w:rsid w:val="00745972"/>
    <w:rsid w:val="00745A4D"/>
    <w:rsid w:val="00745ABA"/>
    <w:rsid w:val="00745AD2"/>
    <w:rsid w:val="00745BAF"/>
    <w:rsid w:val="00745C16"/>
    <w:rsid w:val="00745C52"/>
    <w:rsid w:val="00745E05"/>
    <w:rsid w:val="00745E8D"/>
    <w:rsid w:val="00745F4F"/>
    <w:rsid w:val="007460DF"/>
    <w:rsid w:val="0074626C"/>
    <w:rsid w:val="00746278"/>
    <w:rsid w:val="007462ED"/>
    <w:rsid w:val="00746379"/>
    <w:rsid w:val="00746452"/>
    <w:rsid w:val="00746462"/>
    <w:rsid w:val="0074650C"/>
    <w:rsid w:val="007465D3"/>
    <w:rsid w:val="007465FC"/>
    <w:rsid w:val="00746643"/>
    <w:rsid w:val="00746666"/>
    <w:rsid w:val="007466DD"/>
    <w:rsid w:val="00746783"/>
    <w:rsid w:val="00746853"/>
    <w:rsid w:val="00746956"/>
    <w:rsid w:val="00746B44"/>
    <w:rsid w:val="00746B63"/>
    <w:rsid w:val="00746C02"/>
    <w:rsid w:val="00746C35"/>
    <w:rsid w:val="00746C42"/>
    <w:rsid w:val="00746CA3"/>
    <w:rsid w:val="00746EC2"/>
    <w:rsid w:val="00746F07"/>
    <w:rsid w:val="00746F51"/>
    <w:rsid w:val="00746FC1"/>
    <w:rsid w:val="00746FCB"/>
    <w:rsid w:val="00747088"/>
    <w:rsid w:val="00747114"/>
    <w:rsid w:val="007472F2"/>
    <w:rsid w:val="00747363"/>
    <w:rsid w:val="00747399"/>
    <w:rsid w:val="007473A6"/>
    <w:rsid w:val="007473E9"/>
    <w:rsid w:val="00747469"/>
    <w:rsid w:val="007474BB"/>
    <w:rsid w:val="007474DB"/>
    <w:rsid w:val="00747589"/>
    <w:rsid w:val="007476BE"/>
    <w:rsid w:val="007477A4"/>
    <w:rsid w:val="007477EB"/>
    <w:rsid w:val="0074782C"/>
    <w:rsid w:val="00747849"/>
    <w:rsid w:val="0074790C"/>
    <w:rsid w:val="007479D6"/>
    <w:rsid w:val="00747AAA"/>
    <w:rsid w:val="00747BB4"/>
    <w:rsid w:val="00747C20"/>
    <w:rsid w:val="00747C60"/>
    <w:rsid w:val="00747D0B"/>
    <w:rsid w:val="00747E12"/>
    <w:rsid w:val="00747E2D"/>
    <w:rsid w:val="00747F04"/>
    <w:rsid w:val="00747FA6"/>
    <w:rsid w:val="007500F5"/>
    <w:rsid w:val="00750199"/>
    <w:rsid w:val="007501F5"/>
    <w:rsid w:val="007505B3"/>
    <w:rsid w:val="00750626"/>
    <w:rsid w:val="007506FB"/>
    <w:rsid w:val="00750766"/>
    <w:rsid w:val="007507D1"/>
    <w:rsid w:val="007507D7"/>
    <w:rsid w:val="007509B7"/>
    <w:rsid w:val="00750A92"/>
    <w:rsid w:val="00750ACB"/>
    <w:rsid w:val="00750BF5"/>
    <w:rsid w:val="00750C2F"/>
    <w:rsid w:val="00750CB5"/>
    <w:rsid w:val="00750CC6"/>
    <w:rsid w:val="00750E61"/>
    <w:rsid w:val="00750E9E"/>
    <w:rsid w:val="00750EA5"/>
    <w:rsid w:val="00750EED"/>
    <w:rsid w:val="00750F03"/>
    <w:rsid w:val="00750F65"/>
    <w:rsid w:val="00750FB7"/>
    <w:rsid w:val="00751082"/>
    <w:rsid w:val="007510D0"/>
    <w:rsid w:val="0075116A"/>
    <w:rsid w:val="00751180"/>
    <w:rsid w:val="0075139A"/>
    <w:rsid w:val="007514A2"/>
    <w:rsid w:val="00751722"/>
    <w:rsid w:val="00751759"/>
    <w:rsid w:val="007519CA"/>
    <w:rsid w:val="00751AEC"/>
    <w:rsid w:val="00751C4A"/>
    <w:rsid w:val="00751C84"/>
    <w:rsid w:val="00751D72"/>
    <w:rsid w:val="00751DB5"/>
    <w:rsid w:val="00751E06"/>
    <w:rsid w:val="00751E5B"/>
    <w:rsid w:val="00751ECB"/>
    <w:rsid w:val="00751F4D"/>
    <w:rsid w:val="00751F81"/>
    <w:rsid w:val="00752057"/>
    <w:rsid w:val="0075210F"/>
    <w:rsid w:val="00752128"/>
    <w:rsid w:val="00752135"/>
    <w:rsid w:val="0075213F"/>
    <w:rsid w:val="007521D5"/>
    <w:rsid w:val="007521EB"/>
    <w:rsid w:val="007522D0"/>
    <w:rsid w:val="0075230A"/>
    <w:rsid w:val="0075232F"/>
    <w:rsid w:val="00752446"/>
    <w:rsid w:val="0075255A"/>
    <w:rsid w:val="007525E5"/>
    <w:rsid w:val="00752821"/>
    <w:rsid w:val="00752833"/>
    <w:rsid w:val="007528AE"/>
    <w:rsid w:val="00752923"/>
    <w:rsid w:val="00752970"/>
    <w:rsid w:val="007529B7"/>
    <w:rsid w:val="00752A9D"/>
    <w:rsid w:val="00752B64"/>
    <w:rsid w:val="00752B76"/>
    <w:rsid w:val="00752D56"/>
    <w:rsid w:val="00752E64"/>
    <w:rsid w:val="00752EC5"/>
    <w:rsid w:val="00752ECD"/>
    <w:rsid w:val="00752ECE"/>
    <w:rsid w:val="00752EF8"/>
    <w:rsid w:val="00752F06"/>
    <w:rsid w:val="00752F91"/>
    <w:rsid w:val="0075305C"/>
    <w:rsid w:val="00753231"/>
    <w:rsid w:val="0075327E"/>
    <w:rsid w:val="0075328C"/>
    <w:rsid w:val="007533BD"/>
    <w:rsid w:val="00753427"/>
    <w:rsid w:val="00753433"/>
    <w:rsid w:val="0075356F"/>
    <w:rsid w:val="0075361D"/>
    <w:rsid w:val="0075368D"/>
    <w:rsid w:val="0075373E"/>
    <w:rsid w:val="00753917"/>
    <w:rsid w:val="0075392F"/>
    <w:rsid w:val="0075397E"/>
    <w:rsid w:val="007539B8"/>
    <w:rsid w:val="00753B0B"/>
    <w:rsid w:val="00753B71"/>
    <w:rsid w:val="00753BF9"/>
    <w:rsid w:val="00753C4C"/>
    <w:rsid w:val="00753CFD"/>
    <w:rsid w:val="00753F0D"/>
    <w:rsid w:val="00753F21"/>
    <w:rsid w:val="00753F3E"/>
    <w:rsid w:val="00753F5C"/>
    <w:rsid w:val="00753F90"/>
    <w:rsid w:val="0075407D"/>
    <w:rsid w:val="00754098"/>
    <w:rsid w:val="00754236"/>
    <w:rsid w:val="00754242"/>
    <w:rsid w:val="007543B7"/>
    <w:rsid w:val="00754455"/>
    <w:rsid w:val="007544B9"/>
    <w:rsid w:val="007544F7"/>
    <w:rsid w:val="007545B3"/>
    <w:rsid w:val="007545DE"/>
    <w:rsid w:val="007546E6"/>
    <w:rsid w:val="007546F7"/>
    <w:rsid w:val="007548DD"/>
    <w:rsid w:val="007549F3"/>
    <w:rsid w:val="00754A1E"/>
    <w:rsid w:val="00754AB9"/>
    <w:rsid w:val="00754B1B"/>
    <w:rsid w:val="00754B38"/>
    <w:rsid w:val="00754B44"/>
    <w:rsid w:val="00754C10"/>
    <w:rsid w:val="00754C34"/>
    <w:rsid w:val="00754C6D"/>
    <w:rsid w:val="00754E7B"/>
    <w:rsid w:val="00754F88"/>
    <w:rsid w:val="00754F93"/>
    <w:rsid w:val="00754FA3"/>
    <w:rsid w:val="00755080"/>
    <w:rsid w:val="007550EC"/>
    <w:rsid w:val="0075515D"/>
    <w:rsid w:val="00755169"/>
    <w:rsid w:val="0075521A"/>
    <w:rsid w:val="0075532A"/>
    <w:rsid w:val="007553B5"/>
    <w:rsid w:val="007553C4"/>
    <w:rsid w:val="007554C0"/>
    <w:rsid w:val="0075554C"/>
    <w:rsid w:val="0075557A"/>
    <w:rsid w:val="007556FE"/>
    <w:rsid w:val="00755735"/>
    <w:rsid w:val="00755B9E"/>
    <w:rsid w:val="00755BF2"/>
    <w:rsid w:val="00755C65"/>
    <w:rsid w:val="00755CB0"/>
    <w:rsid w:val="00755F3B"/>
    <w:rsid w:val="00755F76"/>
    <w:rsid w:val="00755F78"/>
    <w:rsid w:val="00755FFD"/>
    <w:rsid w:val="007561B2"/>
    <w:rsid w:val="007561C3"/>
    <w:rsid w:val="00756211"/>
    <w:rsid w:val="00756251"/>
    <w:rsid w:val="0075639C"/>
    <w:rsid w:val="007563FD"/>
    <w:rsid w:val="0075655A"/>
    <w:rsid w:val="0075656F"/>
    <w:rsid w:val="007566E0"/>
    <w:rsid w:val="007568C5"/>
    <w:rsid w:val="00756921"/>
    <w:rsid w:val="00756B80"/>
    <w:rsid w:val="00756BAA"/>
    <w:rsid w:val="00756E4B"/>
    <w:rsid w:val="00756E86"/>
    <w:rsid w:val="00756ED1"/>
    <w:rsid w:val="00756F91"/>
    <w:rsid w:val="00756F96"/>
    <w:rsid w:val="00756FCE"/>
    <w:rsid w:val="00756FFE"/>
    <w:rsid w:val="0075708E"/>
    <w:rsid w:val="007570D4"/>
    <w:rsid w:val="00757104"/>
    <w:rsid w:val="0075710B"/>
    <w:rsid w:val="007571BE"/>
    <w:rsid w:val="0075727D"/>
    <w:rsid w:val="00757295"/>
    <w:rsid w:val="00757516"/>
    <w:rsid w:val="0075771C"/>
    <w:rsid w:val="007577E3"/>
    <w:rsid w:val="007577F8"/>
    <w:rsid w:val="007578AC"/>
    <w:rsid w:val="00757905"/>
    <w:rsid w:val="00757A26"/>
    <w:rsid w:val="00757AEA"/>
    <w:rsid w:val="00757BB5"/>
    <w:rsid w:val="00757C6E"/>
    <w:rsid w:val="00757E85"/>
    <w:rsid w:val="00757EAE"/>
    <w:rsid w:val="00757F42"/>
    <w:rsid w:val="0076000C"/>
    <w:rsid w:val="0076006D"/>
    <w:rsid w:val="007600F3"/>
    <w:rsid w:val="007601C0"/>
    <w:rsid w:val="00760289"/>
    <w:rsid w:val="007602D8"/>
    <w:rsid w:val="007603C0"/>
    <w:rsid w:val="007603F2"/>
    <w:rsid w:val="0076064B"/>
    <w:rsid w:val="0076064D"/>
    <w:rsid w:val="007606A3"/>
    <w:rsid w:val="007606E3"/>
    <w:rsid w:val="0076081A"/>
    <w:rsid w:val="007608B9"/>
    <w:rsid w:val="007608E4"/>
    <w:rsid w:val="00760994"/>
    <w:rsid w:val="00760B97"/>
    <w:rsid w:val="00760BD1"/>
    <w:rsid w:val="00760D7E"/>
    <w:rsid w:val="00760EC7"/>
    <w:rsid w:val="00760EF0"/>
    <w:rsid w:val="00760F59"/>
    <w:rsid w:val="00761008"/>
    <w:rsid w:val="007610DB"/>
    <w:rsid w:val="00761101"/>
    <w:rsid w:val="0076112D"/>
    <w:rsid w:val="00761265"/>
    <w:rsid w:val="007612AE"/>
    <w:rsid w:val="00761396"/>
    <w:rsid w:val="00761504"/>
    <w:rsid w:val="00761584"/>
    <w:rsid w:val="0076158C"/>
    <w:rsid w:val="007615EF"/>
    <w:rsid w:val="007615F2"/>
    <w:rsid w:val="0076177A"/>
    <w:rsid w:val="007617A3"/>
    <w:rsid w:val="007617C6"/>
    <w:rsid w:val="0076188A"/>
    <w:rsid w:val="00761893"/>
    <w:rsid w:val="0076191F"/>
    <w:rsid w:val="00761A56"/>
    <w:rsid w:val="00761AC3"/>
    <w:rsid w:val="00761B14"/>
    <w:rsid w:val="00761C8D"/>
    <w:rsid w:val="00761CFF"/>
    <w:rsid w:val="00761D15"/>
    <w:rsid w:val="00761D36"/>
    <w:rsid w:val="00761D75"/>
    <w:rsid w:val="00761DB6"/>
    <w:rsid w:val="00761E52"/>
    <w:rsid w:val="00761E69"/>
    <w:rsid w:val="00761E80"/>
    <w:rsid w:val="00761ED3"/>
    <w:rsid w:val="00761EFD"/>
    <w:rsid w:val="00761F2E"/>
    <w:rsid w:val="00761F94"/>
    <w:rsid w:val="00761FC7"/>
    <w:rsid w:val="00762048"/>
    <w:rsid w:val="00762065"/>
    <w:rsid w:val="007620BC"/>
    <w:rsid w:val="0076213F"/>
    <w:rsid w:val="00762515"/>
    <w:rsid w:val="007625A0"/>
    <w:rsid w:val="00762613"/>
    <w:rsid w:val="00762723"/>
    <w:rsid w:val="0076273D"/>
    <w:rsid w:val="007627AB"/>
    <w:rsid w:val="007627D2"/>
    <w:rsid w:val="0076283A"/>
    <w:rsid w:val="007628BE"/>
    <w:rsid w:val="00762910"/>
    <w:rsid w:val="00762930"/>
    <w:rsid w:val="007629C9"/>
    <w:rsid w:val="00762A9A"/>
    <w:rsid w:val="00762A9C"/>
    <w:rsid w:val="00762AEF"/>
    <w:rsid w:val="00762BF5"/>
    <w:rsid w:val="00762C33"/>
    <w:rsid w:val="00762CAB"/>
    <w:rsid w:val="00762CD6"/>
    <w:rsid w:val="00762EAA"/>
    <w:rsid w:val="00762EEE"/>
    <w:rsid w:val="00762F1E"/>
    <w:rsid w:val="00762F2D"/>
    <w:rsid w:val="00762F8A"/>
    <w:rsid w:val="00763103"/>
    <w:rsid w:val="00763148"/>
    <w:rsid w:val="007631AF"/>
    <w:rsid w:val="007631C6"/>
    <w:rsid w:val="00763302"/>
    <w:rsid w:val="00763322"/>
    <w:rsid w:val="00763365"/>
    <w:rsid w:val="007633A8"/>
    <w:rsid w:val="007633C0"/>
    <w:rsid w:val="007633F3"/>
    <w:rsid w:val="00763426"/>
    <w:rsid w:val="0076347B"/>
    <w:rsid w:val="007634A2"/>
    <w:rsid w:val="0076354B"/>
    <w:rsid w:val="00763566"/>
    <w:rsid w:val="0076368B"/>
    <w:rsid w:val="00763731"/>
    <w:rsid w:val="00763748"/>
    <w:rsid w:val="0076387A"/>
    <w:rsid w:val="00763919"/>
    <w:rsid w:val="00763A52"/>
    <w:rsid w:val="00763A6A"/>
    <w:rsid w:val="00763B0E"/>
    <w:rsid w:val="00763B9E"/>
    <w:rsid w:val="00763C0D"/>
    <w:rsid w:val="00763C3B"/>
    <w:rsid w:val="00763E05"/>
    <w:rsid w:val="00763E61"/>
    <w:rsid w:val="00763F54"/>
    <w:rsid w:val="00763FD8"/>
    <w:rsid w:val="0076404A"/>
    <w:rsid w:val="00764084"/>
    <w:rsid w:val="00764189"/>
    <w:rsid w:val="0076428F"/>
    <w:rsid w:val="007642AB"/>
    <w:rsid w:val="007642D0"/>
    <w:rsid w:val="00764383"/>
    <w:rsid w:val="00764456"/>
    <w:rsid w:val="007644DD"/>
    <w:rsid w:val="00764565"/>
    <w:rsid w:val="00764579"/>
    <w:rsid w:val="007645B4"/>
    <w:rsid w:val="007646BD"/>
    <w:rsid w:val="007646CB"/>
    <w:rsid w:val="007646F1"/>
    <w:rsid w:val="00764803"/>
    <w:rsid w:val="007648FB"/>
    <w:rsid w:val="007649AB"/>
    <w:rsid w:val="007649DD"/>
    <w:rsid w:val="00764AAF"/>
    <w:rsid w:val="00764B97"/>
    <w:rsid w:val="00764BF2"/>
    <w:rsid w:val="00764C0E"/>
    <w:rsid w:val="00764C8D"/>
    <w:rsid w:val="00764EC7"/>
    <w:rsid w:val="00764F0D"/>
    <w:rsid w:val="00764F13"/>
    <w:rsid w:val="00764F24"/>
    <w:rsid w:val="007650DD"/>
    <w:rsid w:val="0076510B"/>
    <w:rsid w:val="00765180"/>
    <w:rsid w:val="007651F9"/>
    <w:rsid w:val="0076529B"/>
    <w:rsid w:val="007652B2"/>
    <w:rsid w:val="00765321"/>
    <w:rsid w:val="00765474"/>
    <w:rsid w:val="0076550A"/>
    <w:rsid w:val="00765567"/>
    <w:rsid w:val="007655F1"/>
    <w:rsid w:val="00765674"/>
    <w:rsid w:val="00765807"/>
    <w:rsid w:val="00765853"/>
    <w:rsid w:val="007658B5"/>
    <w:rsid w:val="00765903"/>
    <w:rsid w:val="0076592E"/>
    <w:rsid w:val="00765A6C"/>
    <w:rsid w:val="00765AD4"/>
    <w:rsid w:val="00765AEE"/>
    <w:rsid w:val="00765B01"/>
    <w:rsid w:val="00765B36"/>
    <w:rsid w:val="00765B4F"/>
    <w:rsid w:val="00765C07"/>
    <w:rsid w:val="00765DBC"/>
    <w:rsid w:val="00765DDD"/>
    <w:rsid w:val="00765E13"/>
    <w:rsid w:val="00765E1E"/>
    <w:rsid w:val="00765E4C"/>
    <w:rsid w:val="00765EAC"/>
    <w:rsid w:val="00765F0B"/>
    <w:rsid w:val="00765F37"/>
    <w:rsid w:val="00765F3B"/>
    <w:rsid w:val="00765F7C"/>
    <w:rsid w:val="007661B3"/>
    <w:rsid w:val="00766223"/>
    <w:rsid w:val="007662F4"/>
    <w:rsid w:val="007663AD"/>
    <w:rsid w:val="007663F6"/>
    <w:rsid w:val="00766494"/>
    <w:rsid w:val="0076653A"/>
    <w:rsid w:val="00766601"/>
    <w:rsid w:val="007666B6"/>
    <w:rsid w:val="007666FF"/>
    <w:rsid w:val="0076679E"/>
    <w:rsid w:val="007667A7"/>
    <w:rsid w:val="007668E7"/>
    <w:rsid w:val="00766911"/>
    <w:rsid w:val="007669B5"/>
    <w:rsid w:val="00766A00"/>
    <w:rsid w:val="00766A25"/>
    <w:rsid w:val="00766A5A"/>
    <w:rsid w:val="00766AA4"/>
    <w:rsid w:val="00766B01"/>
    <w:rsid w:val="00766B10"/>
    <w:rsid w:val="00766C32"/>
    <w:rsid w:val="00766C38"/>
    <w:rsid w:val="00766CD6"/>
    <w:rsid w:val="00766D35"/>
    <w:rsid w:val="00766D5F"/>
    <w:rsid w:val="00766DA4"/>
    <w:rsid w:val="00766DCB"/>
    <w:rsid w:val="00766E86"/>
    <w:rsid w:val="00766F6E"/>
    <w:rsid w:val="00766F9A"/>
    <w:rsid w:val="00767026"/>
    <w:rsid w:val="00767037"/>
    <w:rsid w:val="007670CC"/>
    <w:rsid w:val="00767125"/>
    <w:rsid w:val="00767210"/>
    <w:rsid w:val="00767257"/>
    <w:rsid w:val="00767267"/>
    <w:rsid w:val="00767353"/>
    <w:rsid w:val="0076738B"/>
    <w:rsid w:val="00767458"/>
    <w:rsid w:val="00767472"/>
    <w:rsid w:val="00767482"/>
    <w:rsid w:val="007674E9"/>
    <w:rsid w:val="00767518"/>
    <w:rsid w:val="00767540"/>
    <w:rsid w:val="007676EC"/>
    <w:rsid w:val="007677B2"/>
    <w:rsid w:val="007677EC"/>
    <w:rsid w:val="00767808"/>
    <w:rsid w:val="00767833"/>
    <w:rsid w:val="00767889"/>
    <w:rsid w:val="007678F3"/>
    <w:rsid w:val="007679F6"/>
    <w:rsid w:val="00767A66"/>
    <w:rsid w:val="00767A7B"/>
    <w:rsid w:val="00767B25"/>
    <w:rsid w:val="00767CBE"/>
    <w:rsid w:val="00767D0A"/>
    <w:rsid w:val="00767D30"/>
    <w:rsid w:val="00767D57"/>
    <w:rsid w:val="00767D5A"/>
    <w:rsid w:val="00767EF4"/>
    <w:rsid w:val="00767F05"/>
    <w:rsid w:val="00767F1F"/>
    <w:rsid w:val="00767FDE"/>
    <w:rsid w:val="00770084"/>
    <w:rsid w:val="007701BD"/>
    <w:rsid w:val="00770205"/>
    <w:rsid w:val="0077025E"/>
    <w:rsid w:val="007702B9"/>
    <w:rsid w:val="007702CC"/>
    <w:rsid w:val="007703A8"/>
    <w:rsid w:val="007703BD"/>
    <w:rsid w:val="007704D0"/>
    <w:rsid w:val="007704F4"/>
    <w:rsid w:val="00770527"/>
    <w:rsid w:val="00770548"/>
    <w:rsid w:val="0077059F"/>
    <w:rsid w:val="007705A3"/>
    <w:rsid w:val="007706DB"/>
    <w:rsid w:val="00770750"/>
    <w:rsid w:val="00770772"/>
    <w:rsid w:val="0077077C"/>
    <w:rsid w:val="007707F6"/>
    <w:rsid w:val="007708E1"/>
    <w:rsid w:val="00770908"/>
    <w:rsid w:val="0077094F"/>
    <w:rsid w:val="00770982"/>
    <w:rsid w:val="007709D0"/>
    <w:rsid w:val="00770A32"/>
    <w:rsid w:val="00770A98"/>
    <w:rsid w:val="00770BD8"/>
    <w:rsid w:val="00770CE4"/>
    <w:rsid w:val="00770D2D"/>
    <w:rsid w:val="00770DA2"/>
    <w:rsid w:val="00770E23"/>
    <w:rsid w:val="00770EF9"/>
    <w:rsid w:val="0077106E"/>
    <w:rsid w:val="00771111"/>
    <w:rsid w:val="0077112C"/>
    <w:rsid w:val="00771199"/>
    <w:rsid w:val="007711A3"/>
    <w:rsid w:val="00771409"/>
    <w:rsid w:val="00771486"/>
    <w:rsid w:val="00771513"/>
    <w:rsid w:val="00771587"/>
    <w:rsid w:val="007715B9"/>
    <w:rsid w:val="007715E8"/>
    <w:rsid w:val="00771621"/>
    <w:rsid w:val="00771914"/>
    <w:rsid w:val="007719FC"/>
    <w:rsid w:val="00771A8A"/>
    <w:rsid w:val="00771B3F"/>
    <w:rsid w:val="00771BCF"/>
    <w:rsid w:val="00771C94"/>
    <w:rsid w:val="00771CDD"/>
    <w:rsid w:val="00771D66"/>
    <w:rsid w:val="00771D75"/>
    <w:rsid w:val="00771DD4"/>
    <w:rsid w:val="00771E15"/>
    <w:rsid w:val="00771F21"/>
    <w:rsid w:val="007720C5"/>
    <w:rsid w:val="0077211B"/>
    <w:rsid w:val="00772126"/>
    <w:rsid w:val="007721EC"/>
    <w:rsid w:val="00772252"/>
    <w:rsid w:val="007724F1"/>
    <w:rsid w:val="00772552"/>
    <w:rsid w:val="007725F7"/>
    <w:rsid w:val="00772834"/>
    <w:rsid w:val="0077286C"/>
    <w:rsid w:val="0077286E"/>
    <w:rsid w:val="007728B7"/>
    <w:rsid w:val="007729F3"/>
    <w:rsid w:val="00772D51"/>
    <w:rsid w:val="00772D6F"/>
    <w:rsid w:val="00772EAD"/>
    <w:rsid w:val="00772EE6"/>
    <w:rsid w:val="00772F15"/>
    <w:rsid w:val="00772F22"/>
    <w:rsid w:val="00772F37"/>
    <w:rsid w:val="00772FCC"/>
    <w:rsid w:val="0077307B"/>
    <w:rsid w:val="0077307F"/>
    <w:rsid w:val="007730C5"/>
    <w:rsid w:val="00773137"/>
    <w:rsid w:val="0077316F"/>
    <w:rsid w:val="007732A0"/>
    <w:rsid w:val="00773454"/>
    <w:rsid w:val="00773503"/>
    <w:rsid w:val="0077356C"/>
    <w:rsid w:val="0077368C"/>
    <w:rsid w:val="00773747"/>
    <w:rsid w:val="007737DF"/>
    <w:rsid w:val="00773899"/>
    <w:rsid w:val="0077399A"/>
    <w:rsid w:val="00773B42"/>
    <w:rsid w:val="00773BAF"/>
    <w:rsid w:val="00773BB5"/>
    <w:rsid w:val="00773C48"/>
    <w:rsid w:val="00773C57"/>
    <w:rsid w:val="00773D27"/>
    <w:rsid w:val="00773DAF"/>
    <w:rsid w:val="00773DC6"/>
    <w:rsid w:val="00773EC4"/>
    <w:rsid w:val="00773EDC"/>
    <w:rsid w:val="00773EE2"/>
    <w:rsid w:val="00773F53"/>
    <w:rsid w:val="00774005"/>
    <w:rsid w:val="007740C1"/>
    <w:rsid w:val="007741AA"/>
    <w:rsid w:val="00774328"/>
    <w:rsid w:val="0077444E"/>
    <w:rsid w:val="0077454B"/>
    <w:rsid w:val="00774552"/>
    <w:rsid w:val="0077477B"/>
    <w:rsid w:val="00774794"/>
    <w:rsid w:val="007747E5"/>
    <w:rsid w:val="007747F9"/>
    <w:rsid w:val="00774897"/>
    <w:rsid w:val="007748AF"/>
    <w:rsid w:val="007748DF"/>
    <w:rsid w:val="00774A5C"/>
    <w:rsid w:val="00774AB6"/>
    <w:rsid w:val="00774B1A"/>
    <w:rsid w:val="00774BE7"/>
    <w:rsid w:val="00774D8E"/>
    <w:rsid w:val="00774E27"/>
    <w:rsid w:val="00774EAA"/>
    <w:rsid w:val="00774F15"/>
    <w:rsid w:val="00775017"/>
    <w:rsid w:val="007750F2"/>
    <w:rsid w:val="007751CE"/>
    <w:rsid w:val="00775269"/>
    <w:rsid w:val="0077528D"/>
    <w:rsid w:val="0077539D"/>
    <w:rsid w:val="007753EA"/>
    <w:rsid w:val="00775453"/>
    <w:rsid w:val="007754EF"/>
    <w:rsid w:val="0077554D"/>
    <w:rsid w:val="0077555C"/>
    <w:rsid w:val="00775750"/>
    <w:rsid w:val="0077586B"/>
    <w:rsid w:val="0077587B"/>
    <w:rsid w:val="00775994"/>
    <w:rsid w:val="007759DA"/>
    <w:rsid w:val="007759E8"/>
    <w:rsid w:val="00775AEB"/>
    <w:rsid w:val="00775B5B"/>
    <w:rsid w:val="00775B85"/>
    <w:rsid w:val="00775C4A"/>
    <w:rsid w:val="00775C97"/>
    <w:rsid w:val="00775CB2"/>
    <w:rsid w:val="00775CFB"/>
    <w:rsid w:val="00775D25"/>
    <w:rsid w:val="00775DA0"/>
    <w:rsid w:val="00775E76"/>
    <w:rsid w:val="00775EA3"/>
    <w:rsid w:val="00775F17"/>
    <w:rsid w:val="00775F2F"/>
    <w:rsid w:val="00776007"/>
    <w:rsid w:val="00776033"/>
    <w:rsid w:val="00776044"/>
    <w:rsid w:val="007760A1"/>
    <w:rsid w:val="0077611C"/>
    <w:rsid w:val="007762EB"/>
    <w:rsid w:val="0077639C"/>
    <w:rsid w:val="007763EA"/>
    <w:rsid w:val="00776588"/>
    <w:rsid w:val="00776648"/>
    <w:rsid w:val="0077665A"/>
    <w:rsid w:val="00776661"/>
    <w:rsid w:val="00776675"/>
    <w:rsid w:val="007766A2"/>
    <w:rsid w:val="007766B2"/>
    <w:rsid w:val="00776715"/>
    <w:rsid w:val="00776741"/>
    <w:rsid w:val="007767ED"/>
    <w:rsid w:val="007767F3"/>
    <w:rsid w:val="0077684F"/>
    <w:rsid w:val="00776927"/>
    <w:rsid w:val="0077698C"/>
    <w:rsid w:val="007769F0"/>
    <w:rsid w:val="00776AED"/>
    <w:rsid w:val="00776BB4"/>
    <w:rsid w:val="00776BBA"/>
    <w:rsid w:val="00776C29"/>
    <w:rsid w:val="00776C59"/>
    <w:rsid w:val="00776C61"/>
    <w:rsid w:val="00776C72"/>
    <w:rsid w:val="00776CD2"/>
    <w:rsid w:val="00776D20"/>
    <w:rsid w:val="00776D2A"/>
    <w:rsid w:val="00776F97"/>
    <w:rsid w:val="0077708A"/>
    <w:rsid w:val="00777193"/>
    <w:rsid w:val="0077722C"/>
    <w:rsid w:val="0077729D"/>
    <w:rsid w:val="007772BA"/>
    <w:rsid w:val="0077733B"/>
    <w:rsid w:val="00777350"/>
    <w:rsid w:val="0077743C"/>
    <w:rsid w:val="0077749A"/>
    <w:rsid w:val="0077757A"/>
    <w:rsid w:val="00777604"/>
    <w:rsid w:val="0077767E"/>
    <w:rsid w:val="00777681"/>
    <w:rsid w:val="007777FE"/>
    <w:rsid w:val="0077782E"/>
    <w:rsid w:val="0077783B"/>
    <w:rsid w:val="00777B04"/>
    <w:rsid w:val="00777CB2"/>
    <w:rsid w:val="00777CF8"/>
    <w:rsid w:val="00777D35"/>
    <w:rsid w:val="00777D49"/>
    <w:rsid w:val="00777D87"/>
    <w:rsid w:val="00777E7C"/>
    <w:rsid w:val="00777F49"/>
    <w:rsid w:val="00780033"/>
    <w:rsid w:val="00780042"/>
    <w:rsid w:val="007800EF"/>
    <w:rsid w:val="007801E9"/>
    <w:rsid w:val="007801EF"/>
    <w:rsid w:val="00780278"/>
    <w:rsid w:val="007802DE"/>
    <w:rsid w:val="00780328"/>
    <w:rsid w:val="00780347"/>
    <w:rsid w:val="007804FE"/>
    <w:rsid w:val="007806F6"/>
    <w:rsid w:val="00780713"/>
    <w:rsid w:val="0078071C"/>
    <w:rsid w:val="00780AC7"/>
    <w:rsid w:val="00780B01"/>
    <w:rsid w:val="00780C25"/>
    <w:rsid w:val="00780D1F"/>
    <w:rsid w:val="00780E49"/>
    <w:rsid w:val="00780E8D"/>
    <w:rsid w:val="00780E90"/>
    <w:rsid w:val="00780F10"/>
    <w:rsid w:val="00780F25"/>
    <w:rsid w:val="00780F78"/>
    <w:rsid w:val="00780FB8"/>
    <w:rsid w:val="00780FE8"/>
    <w:rsid w:val="007810C1"/>
    <w:rsid w:val="0078118A"/>
    <w:rsid w:val="00781257"/>
    <w:rsid w:val="007812A7"/>
    <w:rsid w:val="00781316"/>
    <w:rsid w:val="00781497"/>
    <w:rsid w:val="00781522"/>
    <w:rsid w:val="0078155A"/>
    <w:rsid w:val="0078172E"/>
    <w:rsid w:val="007817B5"/>
    <w:rsid w:val="007817DC"/>
    <w:rsid w:val="007817E3"/>
    <w:rsid w:val="00781878"/>
    <w:rsid w:val="00781895"/>
    <w:rsid w:val="007818E0"/>
    <w:rsid w:val="007818ED"/>
    <w:rsid w:val="00781A72"/>
    <w:rsid w:val="00781CBB"/>
    <w:rsid w:val="00781CBD"/>
    <w:rsid w:val="00781D15"/>
    <w:rsid w:val="00781E39"/>
    <w:rsid w:val="00782018"/>
    <w:rsid w:val="007820C9"/>
    <w:rsid w:val="00782118"/>
    <w:rsid w:val="0078222E"/>
    <w:rsid w:val="00782337"/>
    <w:rsid w:val="00782356"/>
    <w:rsid w:val="00782366"/>
    <w:rsid w:val="007823D8"/>
    <w:rsid w:val="00782400"/>
    <w:rsid w:val="0078257F"/>
    <w:rsid w:val="00782746"/>
    <w:rsid w:val="0078278E"/>
    <w:rsid w:val="007827FE"/>
    <w:rsid w:val="0078288C"/>
    <w:rsid w:val="00782957"/>
    <w:rsid w:val="00782978"/>
    <w:rsid w:val="007829CC"/>
    <w:rsid w:val="00782AE4"/>
    <w:rsid w:val="00782C5D"/>
    <w:rsid w:val="00782C75"/>
    <w:rsid w:val="00782CD0"/>
    <w:rsid w:val="00782D54"/>
    <w:rsid w:val="00782E41"/>
    <w:rsid w:val="00782E9B"/>
    <w:rsid w:val="00782EA8"/>
    <w:rsid w:val="00782EAB"/>
    <w:rsid w:val="00783017"/>
    <w:rsid w:val="00783136"/>
    <w:rsid w:val="00783195"/>
    <w:rsid w:val="00783199"/>
    <w:rsid w:val="007831AE"/>
    <w:rsid w:val="0078322E"/>
    <w:rsid w:val="0078342B"/>
    <w:rsid w:val="007834A3"/>
    <w:rsid w:val="00783541"/>
    <w:rsid w:val="007835C5"/>
    <w:rsid w:val="00783654"/>
    <w:rsid w:val="0078372C"/>
    <w:rsid w:val="0078374C"/>
    <w:rsid w:val="007839A4"/>
    <w:rsid w:val="00783AEE"/>
    <w:rsid w:val="00783B65"/>
    <w:rsid w:val="00783BA3"/>
    <w:rsid w:val="00783D16"/>
    <w:rsid w:val="00783D91"/>
    <w:rsid w:val="00783E0E"/>
    <w:rsid w:val="00783EC2"/>
    <w:rsid w:val="00783F49"/>
    <w:rsid w:val="00784007"/>
    <w:rsid w:val="00784092"/>
    <w:rsid w:val="00784124"/>
    <w:rsid w:val="00784174"/>
    <w:rsid w:val="00784179"/>
    <w:rsid w:val="007841C0"/>
    <w:rsid w:val="007842AA"/>
    <w:rsid w:val="007842C1"/>
    <w:rsid w:val="007842FF"/>
    <w:rsid w:val="00784375"/>
    <w:rsid w:val="007843BB"/>
    <w:rsid w:val="00784486"/>
    <w:rsid w:val="007844DC"/>
    <w:rsid w:val="00784607"/>
    <w:rsid w:val="00784693"/>
    <w:rsid w:val="007846D2"/>
    <w:rsid w:val="00784792"/>
    <w:rsid w:val="007848F1"/>
    <w:rsid w:val="00784997"/>
    <w:rsid w:val="007849C1"/>
    <w:rsid w:val="007849FC"/>
    <w:rsid w:val="00784A70"/>
    <w:rsid w:val="00784A76"/>
    <w:rsid w:val="00784ACD"/>
    <w:rsid w:val="00784ADD"/>
    <w:rsid w:val="00784C8C"/>
    <w:rsid w:val="00784CD7"/>
    <w:rsid w:val="00784CFB"/>
    <w:rsid w:val="00784E29"/>
    <w:rsid w:val="00784E76"/>
    <w:rsid w:val="00784ED1"/>
    <w:rsid w:val="00784F3C"/>
    <w:rsid w:val="00784FC4"/>
    <w:rsid w:val="00784FD6"/>
    <w:rsid w:val="0078502D"/>
    <w:rsid w:val="007850A2"/>
    <w:rsid w:val="00785186"/>
    <w:rsid w:val="007851A7"/>
    <w:rsid w:val="007851C7"/>
    <w:rsid w:val="0078533E"/>
    <w:rsid w:val="0078539C"/>
    <w:rsid w:val="007853CB"/>
    <w:rsid w:val="0078541F"/>
    <w:rsid w:val="00785495"/>
    <w:rsid w:val="007856CA"/>
    <w:rsid w:val="00785832"/>
    <w:rsid w:val="0078583C"/>
    <w:rsid w:val="007858D9"/>
    <w:rsid w:val="007859A3"/>
    <w:rsid w:val="007859B6"/>
    <w:rsid w:val="007859DE"/>
    <w:rsid w:val="00785A48"/>
    <w:rsid w:val="00785A74"/>
    <w:rsid w:val="00785AB1"/>
    <w:rsid w:val="00785AC4"/>
    <w:rsid w:val="00785ADA"/>
    <w:rsid w:val="00785C8A"/>
    <w:rsid w:val="00785DC1"/>
    <w:rsid w:val="00785DEB"/>
    <w:rsid w:val="00785E26"/>
    <w:rsid w:val="00785E32"/>
    <w:rsid w:val="00785E8B"/>
    <w:rsid w:val="00785F84"/>
    <w:rsid w:val="007860BC"/>
    <w:rsid w:val="007861F4"/>
    <w:rsid w:val="00786221"/>
    <w:rsid w:val="00786233"/>
    <w:rsid w:val="0078626F"/>
    <w:rsid w:val="0078628A"/>
    <w:rsid w:val="0078645A"/>
    <w:rsid w:val="0078659C"/>
    <w:rsid w:val="007865A0"/>
    <w:rsid w:val="007865E8"/>
    <w:rsid w:val="007865EA"/>
    <w:rsid w:val="00786627"/>
    <w:rsid w:val="007866DC"/>
    <w:rsid w:val="0078688C"/>
    <w:rsid w:val="00786AA5"/>
    <w:rsid w:val="00786ADB"/>
    <w:rsid w:val="00786BC9"/>
    <w:rsid w:val="00786CE5"/>
    <w:rsid w:val="00786CE8"/>
    <w:rsid w:val="00786F6E"/>
    <w:rsid w:val="00786FC7"/>
    <w:rsid w:val="00786FEA"/>
    <w:rsid w:val="0078703F"/>
    <w:rsid w:val="007870D9"/>
    <w:rsid w:val="007870E0"/>
    <w:rsid w:val="007870FF"/>
    <w:rsid w:val="00787175"/>
    <w:rsid w:val="0078721D"/>
    <w:rsid w:val="00787261"/>
    <w:rsid w:val="00787323"/>
    <w:rsid w:val="00787473"/>
    <w:rsid w:val="00787487"/>
    <w:rsid w:val="0078754E"/>
    <w:rsid w:val="007875AB"/>
    <w:rsid w:val="00787659"/>
    <w:rsid w:val="00787693"/>
    <w:rsid w:val="007876F5"/>
    <w:rsid w:val="00787716"/>
    <w:rsid w:val="00787773"/>
    <w:rsid w:val="0078778C"/>
    <w:rsid w:val="007877BA"/>
    <w:rsid w:val="00787903"/>
    <w:rsid w:val="00787BD1"/>
    <w:rsid w:val="00787BDB"/>
    <w:rsid w:val="00787BFB"/>
    <w:rsid w:val="00787C03"/>
    <w:rsid w:val="00787C1E"/>
    <w:rsid w:val="00787C72"/>
    <w:rsid w:val="00787C99"/>
    <w:rsid w:val="00787CBF"/>
    <w:rsid w:val="00787E76"/>
    <w:rsid w:val="00787E9B"/>
    <w:rsid w:val="00787ED2"/>
    <w:rsid w:val="00787F60"/>
    <w:rsid w:val="00787F7B"/>
    <w:rsid w:val="00787FA8"/>
    <w:rsid w:val="00790043"/>
    <w:rsid w:val="00790222"/>
    <w:rsid w:val="007902B9"/>
    <w:rsid w:val="0079042F"/>
    <w:rsid w:val="0079051D"/>
    <w:rsid w:val="00790551"/>
    <w:rsid w:val="0079066E"/>
    <w:rsid w:val="0079067C"/>
    <w:rsid w:val="007906A9"/>
    <w:rsid w:val="00790808"/>
    <w:rsid w:val="007908B5"/>
    <w:rsid w:val="007908B8"/>
    <w:rsid w:val="007908C6"/>
    <w:rsid w:val="00790919"/>
    <w:rsid w:val="00790954"/>
    <w:rsid w:val="007909B6"/>
    <w:rsid w:val="007909DA"/>
    <w:rsid w:val="00790A02"/>
    <w:rsid w:val="00790ABD"/>
    <w:rsid w:val="00790B91"/>
    <w:rsid w:val="00790C13"/>
    <w:rsid w:val="00790C2D"/>
    <w:rsid w:val="00790CB8"/>
    <w:rsid w:val="00790DE8"/>
    <w:rsid w:val="00790E17"/>
    <w:rsid w:val="00790F58"/>
    <w:rsid w:val="00790FF9"/>
    <w:rsid w:val="00791121"/>
    <w:rsid w:val="0079117D"/>
    <w:rsid w:val="007911F9"/>
    <w:rsid w:val="00791439"/>
    <w:rsid w:val="007914EB"/>
    <w:rsid w:val="00791576"/>
    <w:rsid w:val="00791633"/>
    <w:rsid w:val="00791784"/>
    <w:rsid w:val="00791785"/>
    <w:rsid w:val="007917FF"/>
    <w:rsid w:val="00791850"/>
    <w:rsid w:val="0079191F"/>
    <w:rsid w:val="00791943"/>
    <w:rsid w:val="00791959"/>
    <w:rsid w:val="0079195B"/>
    <w:rsid w:val="007919C2"/>
    <w:rsid w:val="00791B21"/>
    <w:rsid w:val="00791B79"/>
    <w:rsid w:val="00791CF1"/>
    <w:rsid w:val="00791D0C"/>
    <w:rsid w:val="00791D49"/>
    <w:rsid w:val="00791D70"/>
    <w:rsid w:val="00791DAC"/>
    <w:rsid w:val="00791E42"/>
    <w:rsid w:val="00791F92"/>
    <w:rsid w:val="00791FF5"/>
    <w:rsid w:val="00792207"/>
    <w:rsid w:val="00792233"/>
    <w:rsid w:val="007922AE"/>
    <w:rsid w:val="007922F7"/>
    <w:rsid w:val="00792317"/>
    <w:rsid w:val="00792334"/>
    <w:rsid w:val="007923C0"/>
    <w:rsid w:val="007924D8"/>
    <w:rsid w:val="00792595"/>
    <w:rsid w:val="00792643"/>
    <w:rsid w:val="00792769"/>
    <w:rsid w:val="0079278C"/>
    <w:rsid w:val="00792881"/>
    <w:rsid w:val="00792AC4"/>
    <w:rsid w:val="00792B59"/>
    <w:rsid w:val="00792B7A"/>
    <w:rsid w:val="00792C2D"/>
    <w:rsid w:val="00792CEB"/>
    <w:rsid w:val="00792D6D"/>
    <w:rsid w:val="00792E6F"/>
    <w:rsid w:val="00792F4C"/>
    <w:rsid w:val="00793059"/>
    <w:rsid w:val="00793094"/>
    <w:rsid w:val="007930B5"/>
    <w:rsid w:val="0079330E"/>
    <w:rsid w:val="00793400"/>
    <w:rsid w:val="00793445"/>
    <w:rsid w:val="007934F5"/>
    <w:rsid w:val="0079356C"/>
    <w:rsid w:val="007935F3"/>
    <w:rsid w:val="00793640"/>
    <w:rsid w:val="007937CD"/>
    <w:rsid w:val="00793802"/>
    <w:rsid w:val="007939BD"/>
    <w:rsid w:val="00793AAD"/>
    <w:rsid w:val="00793AF4"/>
    <w:rsid w:val="00793B30"/>
    <w:rsid w:val="00793B8D"/>
    <w:rsid w:val="00793DA7"/>
    <w:rsid w:val="00793DBA"/>
    <w:rsid w:val="00793DEB"/>
    <w:rsid w:val="00793E83"/>
    <w:rsid w:val="00793F2D"/>
    <w:rsid w:val="00793FA8"/>
    <w:rsid w:val="0079402E"/>
    <w:rsid w:val="007940AE"/>
    <w:rsid w:val="007940E7"/>
    <w:rsid w:val="00794153"/>
    <w:rsid w:val="00794199"/>
    <w:rsid w:val="00794238"/>
    <w:rsid w:val="007942A8"/>
    <w:rsid w:val="007942D9"/>
    <w:rsid w:val="0079441D"/>
    <w:rsid w:val="00794439"/>
    <w:rsid w:val="00794567"/>
    <w:rsid w:val="00794587"/>
    <w:rsid w:val="00794605"/>
    <w:rsid w:val="0079464B"/>
    <w:rsid w:val="0079468B"/>
    <w:rsid w:val="007947AF"/>
    <w:rsid w:val="0079482B"/>
    <w:rsid w:val="0079484F"/>
    <w:rsid w:val="007948B3"/>
    <w:rsid w:val="00794AED"/>
    <w:rsid w:val="00794CBE"/>
    <w:rsid w:val="00794D4F"/>
    <w:rsid w:val="007951EC"/>
    <w:rsid w:val="007953ED"/>
    <w:rsid w:val="0079540D"/>
    <w:rsid w:val="00795475"/>
    <w:rsid w:val="00795476"/>
    <w:rsid w:val="00795485"/>
    <w:rsid w:val="0079550D"/>
    <w:rsid w:val="0079551D"/>
    <w:rsid w:val="007955BB"/>
    <w:rsid w:val="007956DF"/>
    <w:rsid w:val="007956ED"/>
    <w:rsid w:val="00795746"/>
    <w:rsid w:val="00795773"/>
    <w:rsid w:val="007959EB"/>
    <w:rsid w:val="00795AE6"/>
    <w:rsid w:val="00795AF8"/>
    <w:rsid w:val="00795B0C"/>
    <w:rsid w:val="00795C77"/>
    <w:rsid w:val="00795C90"/>
    <w:rsid w:val="00795CE1"/>
    <w:rsid w:val="00795D32"/>
    <w:rsid w:val="00795DB3"/>
    <w:rsid w:val="00795E67"/>
    <w:rsid w:val="00795EC3"/>
    <w:rsid w:val="00795EFB"/>
    <w:rsid w:val="00795F28"/>
    <w:rsid w:val="0079600B"/>
    <w:rsid w:val="00796040"/>
    <w:rsid w:val="0079611A"/>
    <w:rsid w:val="007961E2"/>
    <w:rsid w:val="00796220"/>
    <w:rsid w:val="0079626C"/>
    <w:rsid w:val="00796380"/>
    <w:rsid w:val="00796399"/>
    <w:rsid w:val="007963A0"/>
    <w:rsid w:val="00796536"/>
    <w:rsid w:val="00796556"/>
    <w:rsid w:val="007965D6"/>
    <w:rsid w:val="007965DC"/>
    <w:rsid w:val="007966BD"/>
    <w:rsid w:val="007966D3"/>
    <w:rsid w:val="007966E0"/>
    <w:rsid w:val="00796702"/>
    <w:rsid w:val="00796733"/>
    <w:rsid w:val="007969D3"/>
    <w:rsid w:val="00796AA1"/>
    <w:rsid w:val="00796BB3"/>
    <w:rsid w:val="00796C9A"/>
    <w:rsid w:val="00796D55"/>
    <w:rsid w:val="00796D74"/>
    <w:rsid w:val="00796DA7"/>
    <w:rsid w:val="00796E05"/>
    <w:rsid w:val="00796FAC"/>
    <w:rsid w:val="00796FCF"/>
    <w:rsid w:val="00796FE2"/>
    <w:rsid w:val="00797041"/>
    <w:rsid w:val="00797087"/>
    <w:rsid w:val="007970ED"/>
    <w:rsid w:val="00797339"/>
    <w:rsid w:val="00797397"/>
    <w:rsid w:val="007973EF"/>
    <w:rsid w:val="00797406"/>
    <w:rsid w:val="00797419"/>
    <w:rsid w:val="00797442"/>
    <w:rsid w:val="00797450"/>
    <w:rsid w:val="007974B1"/>
    <w:rsid w:val="007974F7"/>
    <w:rsid w:val="00797532"/>
    <w:rsid w:val="007975F5"/>
    <w:rsid w:val="00797609"/>
    <w:rsid w:val="0079768F"/>
    <w:rsid w:val="007976F8"/>
    <w:rsid w:val="00797746"/>
    <w:rsid w:val="007977A0"/>
    <w:rsid w:val="007977D3"/>
    <w:rsid w:val="00797804"/>
    <w:rsid w:val="00797968"/>
    <w:rsid w:val="00797983"/>
    <w:rsid w:val="00797AE4"/>
    <w:rsid w:val="00797BB6"/>
    <w:rsid w:val="00797D8A"/>
    <w:rsid w:val="00797ED6"/>
    <w:rsid w:val="00797F15"/>
    <w:rsid w:val="00797F1A"/>
    <w:rsid w:val="00797F93"/>
    <w:rsid w:val="007A005B"/>
    <w:rsid w:val="007A0109"/>
    <w:rsid w:val="007A0246"/>
    <w:rsid w:val="007A02AC"/>
    <w:rsid w:val="007A02C6"/>
    <w:rsid w:val="007A02C7"/>
    <w:rsid w:val="007A02F8"/>
    <w:rsid w:val="007A0386"/>
    <w:rsid w:val="007A03FF"/>
    <w:rsid w:val="007A055C"/>
    <w:rsid w:val="007A08BC"/>
    <w:rsid w:val="007A0AA0"/>
    <w:rsid w:val="007A0ACB"/>
    <w:rsid w:val="007A0CBB"/>
    <w:rsid w:val="007A0D67"/>
    <w:rsid w:val="007A0EDE"/>
    <w:rsid w:val="007A0F1F"/>
    <w:rsid w:val="007A0FB3"/>
    <w:rsid w:val="007A0FE6"/>
    <w:rsid w:val="007A0FF4"/>
    <w:rsid w:val="007A105D"/>
    <w:rsid w:val="007A1101"/>
    <w:rsid w:val="007A115C"/>
    <w:rsid w:val="007A11A4"/>
    <w:rsid w:val="007A1312"/>
    <w:rsid w:val="007A14F0"/>
    <w:rsid w:val="007A1527"/>
    <w:rsid w:val="007A159D"/>
    <w:rsid w:val="007A15F8"/>
    <w:rsid w:val="007A166B"/>
    <w:rsid w:val="007A167B"/>
    <w:rsid w:val="007A184A"/>
    <w:rsid w:val="007A1896"/>
    <w:rsid w:val="007A190F"/>
    <w:rsid w:val="007A1A22"/>
    <w:rsid w:val="007A1A44"/>
    <w:rsid w:val="007A1A7D"/>
    <w:rsid w:val="007A1B9B"/>
    <w:rsid w:val="007A1BF8"/>
    <w:rsid w:val="007A1C43"/>
    <w:rsid w:val="007A1D91"/>
    <w:rsid w:val="007A1F13"/>
    <w:rsid w:val="007A1F7B"/>
    <w:rsid w:val="007A1FA6"/>
    <w:rsid w:val="007A207C"/>
    <w:rsid w:val="007A20B1"/>
    <w:rsid w:val="007A215D"/>
    <w:rsid w:val="007A21B6"/>
    <w:rsid w:val="007A21D6"/>
    <w:rsid w:val="007A21EC"/>
    <w:rsid w:val="007A228D"/>
    <w:rsid w:val="007A22B5"/>
    <w:rsid w:val="007A22D1"/>
    <w:rsid w:val="007A234B"/>
    <w:rsid w:val="007A2383"/>
    <w:rsid w:val="007A23B0"/>
    <w:rsid w:val="007A2503"/>
    <w:rsid w:val="007A25DE"/>
    <w:rsid w:val="007A265F"/>
    <w:rsid w:val="007A27F0"/>
    <w:rsid w:val="007A2810"/>
    <w:rsid w:val="007A2957"/>
    <w:rsid w:val="007A29FB"/>
    <w:rsid w:val="007A2A5E"/>
    <w:rsid w:val="007A2A81"/>
    <w:rsid w:val="007A2BE1"/>
    <w:rsid w:val="007A2BF0"/>
    <w:rsid w:val="007A2CA8"/>
    <w:rsid w:val="007A2CB7"/>
    <w:rsid w:val="007A2D0D"/>
    <w:rsid w:val="007A2D2A"/>
    <w:rsid w:val="007A304A"/>
    <w:rsid w:val="007A30E6"/>
    <w:rsid w:val="007A3246"/>
    <w:rsid w:val="007A3278"/>
    <w:rsid w:val="007A3301"/>
    <w:rsid w:val="007A332E"/>
    <w:rsid w:val="007A34CC"/>
    <w:rsid w:val="007A352F"/>
    <w:rsid w:val="007A35B2"/>
    <w:rsid w:val="007A3625"/>
    <w:rsid w:val="007A36E0"/>
    <w:rsid w:val="007A3715"/>
    <w:rsid w:val="007A38D7"/>
    <w:rsid w:val="007A3939"/>
    <w:rsid w:val="007A3A36"/>
    <w:rsid w:val="007A3B2D"/>
    <w:rsid w:val="007A3B46"/>
    <w:rsid w:val="007A3CF9"/>
    <w:rsid w:val="007A3D50"/>
    <w:rsid w:val="007A3D94"/>
    <w:rsid w:val="007A3E06"/>
    <w:rsid w:val="007A3E57"/>
    <w:rsid w:val="007A3E8D"/>
    <w:rsid w:val="007A3F83"/>
    <w:rsid w:val="007A3FEB"/>
    <w:rsid w:val="007A4178"/>
    <w:rsid w:val="007A4296"/>
    <w:rsid w:val="007A43FD"/>
    <w:rsid w:val="007A4510"/>
    <w:rsid w:val="007A454A"/>
    <w:rsid w:val="007A45BA"/>
    <w:rsid w:val="007A45F2"/>
    <w:rsid w:val="007A4617"/>
    <w:rsid w:val="007A467A"/>
    <w:rsid w:val="007A468B"/>
    <w:rsid w:val="007A46EF"/>
    <w:rsid w:val="007A4725"/>
    <w:rsid w:val="007A47B2"/>
    <w:rsid w:val="007A4818"/>
    <w:rsid w:val="007A4937"/>
    <w:rsid w:val="007A4967"/>
    <w:rsid w:val="007A4995"/>
    <w:rsid w:val="007A49C9"/>
    <w:rsid w:val="007A4B87"/>
    <w:rsid w:val="007A4D00"/>
    <w:rsid w:val="007A4D19"/>
    <w:rsid w:val="007A4E45"/>
    <w:rsid w:val="007A4ED3"/>
    <w:rsid w:val="007A4EDD"/>
    <w:rsid w:val="007A501D"/>
    <w:rsid w:val="007A517D"/>
    <w:rsid w:val="007A51CD"/>
    <w:rsid w:val="007A51E2"/>
    <w:rsid w:val="007A52C2"/>
    <w:rsid w:val="007A5308"/>
    <w:rsid w:val="007A5351"/>
    <w:rsid w:val="007A5387"/>
    <w:rsid w:val="007A541A"/>
    <w:rsid w:val="007A541F"/>
    <w:rsid w:val="007A544C"/>
    <w:rsid w:val="007A544E"/>
    <w:rsid w:val="007A5470"/>
    <w:rsid w:val="007A54A4"/>
    <w:rsid w:val="007A56EB"/>
    <w:rsid w:val="007A57DA"/>
    <w:rsid w:val="007A5A70"/>
    <w:rsid w:val="007A5A99"/>
    <w:rsid w:val="007A5B01"/>
    <w:rsid w:val="007A5B54"/>
    <w:rsid w:val="007A5BFD"/>
    <w:rsid w:val="007A5D86"/>
    <w:rsid w:val="007A5E2F"/>
    <w:rsid w:val="007A5EF1"/>
    <w:rsid w:val="007A5F44"/>
    <w:rsid w:val="007A5F5D"/>
    <w:rsid w:val="007A6065"/>
    <w:rsid w:val="007A6109"/>
    <w:rsid w:val="007A6255"/>
    <w:rsid w:val="007A62EF"/>
    <w:rsid w:val="007A62F9"/>
    <w:rsid w:val="007A63E6"/>
    <w:rsid w:val="007A64C2"/>
    <w:rsid w:val="007A6517"/>
    <w:rsid w:val="007A65B4"/>
    <w:rsid w:val="007A65E3"/>
    <w:rsid w:val="007A65EC"/>
    <w:rsid w:val="007A66CF"/>
    <w:rsid w:val="007A66E7"/>
    <w:rsid w:val="007A66FB"/>
    <w:rsid w:val="007A67A3"/>
    <w:rsid w:val="007A67B7"/>
    <w:rsid w:val="007A685F"/>
    <w:rsid w:val="007A6878"/>
    <w:rsid w:val="007A68CF"/>
    <w:rsid w:val="007A69AC"/>
    <w:rsid w:val="007A6A6F"/>
    <w:rsid w:val="007A6AFF"/>
    <w:rsid w:val="007A6BAC"/>
    <w:rsid w:val="007A6C5E"/>
    <w:rsid w:val="007A6C80"/>
    <w:rsid w:val="007A6C8E"/>
    <w:rsid w:val="007A6D77"/>
    <w:rsid w:val="007A6E1B"/>
    <w:rsid w:val="007A6EDB"/>
    <w:rsid w:val="007A70E7"/>
    <w:rsid w:val="007A7238"/>
    <w:rsid w:val="007A724C"/>
    <w:rsid w:val="007A7254"/>
    <w:rsid w:val="007A73C1"/>
    <w:rsid w:val="007A73DD"/>
    <w:rsid w:val="007A7456"/>
    <w:rsid w:val="007A7463"/>
    <w:rsid w:val="007A74BC"/>
    <w:rsid w:val="007A74E8"/>
    <w:rsid w:val="007A756A"/>
    <w:rsid w:val="007A7644"/>
    <w:rsid w:val="007A76FE"/>
    <w:rsid w:val="007A77BB"/>
    <w:rsid w:val="007A791D"/>
    <w:rsid w:val="007A79AA"/>
    <w:rsid w:val="007A79EB"/>
    <w:rsid w:val="007A7A24"/>
    <w:rsid w:val="007A7A62"/>
    <w:rsid w:val="007A7A9E"/>
    <w:rsid w:val="007A7AC4"/>
    <w:rsid w:val="007A7B1B"/>
    <w:rsid w:val="007A7C0A"/>
    <w:rsid w:val="007A7CA4"/>
    <w:rsid w:val="007A7D75"/>
    <w:rsid w:val="007A7E49"/>
    <w:rsid w:val="007A7F4C"/>
    <w:rsid w:val="007A7F86"/>
    <w:rsid w:val="007B00C6"/>
    <w:rsid w:val="007B018F"/>
    <w:rsid w:val="007B0296"/>
    <w:rsid w:val="007B02B3"/>
    <w:rsid w:val="007B02D5"/>
    <w:rsid w:val="007B034C"/>
    <w:rsid w:val="007B0369"/>
    <w:rsid w:val="007B04C4"/>
    <w:rsid w:val="007B04F5"/>
    <w:rsid w:val="007B0523"/>
    <w:rsid w:val="007B057E"/>
    <w:rsid w:val="007B0641"/>
    <w:rsid w:val="007B064E"/>
    <w:rsid w:val="007B0796"/>
    <w:rsid w:val="007B079A"/>
    <w:rsid w:val="007B0A25"/>
    <w:rsid w:val="007B0AD4"/>
    <w:rsid w:val="007B0B25"/>
    <w:rsid w:val="007B0B4F"/>
    <w:rsid w:val="007B0B59"/>
    <w:rsid w:val="007B0BE5"/>
    <w:rsid w:val="007B0C6C"/>
    <w:rsid w:val="007B0E8C"/>
    <w:rsid w:val="007B105E"/>
    <w:rsid w:val="007B1195"/>
    <w:rsid w:val="007B1248"/>
    <w:rsid w:val="007B1275"/>
    <w:rsid w:val="007B12EA"/>
    <w:rsid w:val="007B13AB"/>
    <w:rsid w:val="007B154E"/>
    <w:rsid w:val="007B173A"/>
    <w:rsid w:val="007B17C7"/>
    <w:rsid w:val="007B17CE"/>
    <w:rsid w:val="007B194C"/>
    <w:rsid w:val="007B1989"/>
    <w:rsid w:val="007B1A2D"/>
    <w:rsid w:val="007B1A4C"/>
    <w:rsid w:val="007B1A8D"/>
    <w:rsid w:val="007B1B24"/>
    <w:rsid w:val="007B1D9F"/>
    <w:rsid w:val="007B1E28"/>
    <w:rsid w:val="007B2095"/>
    <w:rsid w:val="007B21A2"/>
    <w:rsid w:val="007B21EE"/>
    <w:rsid w:val="007B229A"/>
    <w:rsid w:val="007B22BE"/>
    <w:rsid w:val="007B22CF"/>
    <w:rsid w:val="007B22D6"/>
    <w:rsid w:val="007B231F"/>
    <w:rsid w:val="007B234E"/>
    <w:rsid w:val="007B2353"/>
    <w:rsid w:val="007B23F5"/>
    <w:rsid w:val="007B24BE"/>
    <w:rsid w:val="007B24CB"/>
    <w:rsid w:val="007B251C"/>
    <w:rsid w:val="007B251E"/>
    <w:rsid w:val="007B2682"/>
    <w:rsid w:val="007B2698"/>
    <w:rsid w:val="007B26D7"/>
    <w:rsid w:val="007B2734"/>
    <w:rsid w:val="007B27AD"/>
    <w:rsid w:val="007B2A1A"/>
    <w:rsid w:val="007B2A2D"/>
    <w:rsid w:val="007B2A48"/>
    <w:rsid w:val="007B2B34"/>
    <w:rsid w:val="007B2B92"/>
    <w:rsid w:val="007B2C36"/>
    <w:rsid w:val="007B2D97"/>
    <w:rsid w:val="007B2E14"/>
    <w:rsid w:val="007B2E2A"/>
    <w:rsid w:val="007B2E63"/>
    <w:rsid w:val="007B2E7E"/>
    <w:rsid w:val="007B2EF7"/>
    <w:rsid w:val="007B2EF8"/>
    <w:rsid w:val="007B2F6A"/>
    <w:rsid w:val="007B2FA5"/>
    <w:rsid w:val="007B2FA6"/>
    <w:rsid w:val="007B3045"/>
    <w:rsid w:val="007B30B1"/>
    <w:rsid w:val="007B30CB"/>
    <w:rsid w:val="007B33C4"/>
    <w:rsid w:val="007B34A1"/>
    <w:rsid w:val="007B34D3"/>
    <w:rsid w:val="007B35CC"/>
    <w:rsid w:val="007B3628"/>
    <w:rsid w:val="007B363B"/>
    <w:rsid w:val="007B3740"/>
    <w:rsid w:val="007B3787"/>
    <w:rsid w:val="007B380C"/>
    <w:rsid w:val="007B3893"/>
    <w:rsid w:val="007B3910"/>
    <w:rsid w:val="007B393B"/>
    <w:rsid w:val="007B3942"/>
    <w:rsid w:val="007B396C"/>
    <w:rsid w:val="007B3A45"/>
    <w:rsid w:val="007B3A4C"/>
    <w:rsid w:val="007B3B27"/>
    <w:rsid w:val="007B3B57"/>
    <w:rsid w:val="007B3B95"/>
    <w:rsid w:val="007B3C1E"/>
    <w:rsid w:val="007B3C5F"/>
    <w:rsid w:val="007B3C69"/>
    <w:rsid w:val="007B3ECE"/>
    <w:rsid w:val="007B3FB9"/>
    <w:rsid w:val="007B4077"/>
    <w:rsid w:val="007B40BF"/>
    <w:rsid w:val="007B413C"/>
    <w:rsid w:val="007B4192"/>
    <w:rsid w:val="007B41BA"/>
    <w:rsid w:val="007B41CE"/>
    <w:rsid w:val="007B428A"/>
    <w:rsid w:val="007B466B"/>
    <w:rsid w:val="007B471A"/>
    <w:rsid w:val="007B48A0"/>
    <w:rsid w:val="007B48BC"/>
    <w:rsid w:val="007B48E1"/>
    <w:rsid w:val="007B4A1A"/>
    <w:rsid w:val="007B4ABB"/>
    <w:rsid w:val="007B4B97"/>
    <w:rsid w:val="007B4BB2"/>
    <w:rsid w:val="007B4D11"/>
    <w:rsid w:val="007B5016"/>
    <w:rsid w:val="007B5027"/>
    <w:rsid w:val="007B5070"/>
    <w:rsid w:val="007B5352"/>
    <w:rsid w:val="007B539C"/>
    <w:rsid w:val="007B5558"/>
    <w:rsid w:val="007B556B"/>
    <w:rsid w:val="007B5690"/>
    <w:rsid w:val="007B5710"/>
    <w:rsid w:val="007B5765"/>
    <w:rsid w:val="007B5767"/>
    <w:rsid w:val="007B58A6"/>
    <w:rsid w:val="007B5983"/>
    <w:rsid w:val="007B599C"/>
    <w:rsid w:val="007B5B97"/>
    <w:rsid w:val="007B5CD2"/>
    <w:rsid w:val="007B5E00"/>
    <w:rsid w:val="007B5E86"/>
    <w:rsid w:val="007B5E8B"/>
    <w:rsid w:val="007B5E91"/>
    <w:rsid w:val="007B602D"/>
    <w:rsid w:val="007B60CF"/>
    <w:rsid w:val="007B6135"/>
    <w:rsid w:val="007B6254"/>
    <w:rsid w:val="007B62FF"/>
    <w:rsid w:val="007B633E"/>
    <w:rsid w:val="007B660C"/>
    <w:rsid w:val="007B6640"/>
    <w:rsid w:val="007B673D"/>
    <w:rsid w:val="007B67F2"/>
    <w:rsid w:val="007B6843"/>
    <w:rsid w:val="007B6925"/>
    <w:rsid w:val="007B6B9F"/>
    <w:rsid w:val="007B6C0F"/>
    <w:rsid w:val="007B6D79"/>
    <w:rsid w:val="007B6E36"/>
    <w:rsid w:val="007B6F62"/>
    <w:rsid w:val="007B6F76"/>
    <w:rsid w:val="007B6F9F"/>
    <w:rsid w:val="007B7058"/>
    <w:rsid w:val="007B719A"/>
    <w:rsid w:val="007B71E8"/>
    <w:rsid w:val="007B72E4"/>
    <w:rsid w:val="007B732C"/>
    <w:rsid w:val="007B732E"/>
    <w:rsid w:val="007B737C"/>
    <w:rsid w:val="007B73CC"/>
    <w:rsid w:val="007B74C0"/>
    <w:rsid w:val="007B75FA"/>
    <w:rsid w:val="007B77BB"/>
    <w:rsid w:val="007B77D0"/>
    <w:rsid w:val="007B78F5"/>
    <w:rsid w:val="007B7924"/>
    <w:rsid w:val="007B7930"/>
    <w:rsid w:val="007B793D"/>
    <w:rsid w:val="007B7B48"/>
    <w:rsid w:val="007B7C85"/>
    <w:rsid w:val="007B7CB5"/>
    <w:rsid w:val="007B7E6B"/>
    <w:rsid w:val="007B7E86"/>
    <w:rsid w:val="007B7F48"/>
    <w:rsid w:val="007B7F87"/>
    <w:rsid w:val="007C0072"/>
    <w:rsid w:val="007C0393"/>
    <w:rsid w:val="007C03CC"/>
    <w:rsid w:val="007C043B"/>
    <w:rsid w:val="007C04A6"/>
    <w:rsid w:val="007C056F"/>
    <w:rsid w:val="007C0606"/>
    <w:rsid w:val="007C0622"/>
    <w:rsid w:val="007C0636"/>
    <w:rsid w:val="007C064A"/>
    <w:rsid w:val="007C069F"/>
    <w:rsid w:val="007C06E6"/>
    <w:rsid w:val="007C073E"/>
    <w:rsid w:val="007C0831"/>
    <w:rsid w:val="007C084E"/>
    <w:rsid w:val="007C08CD"/>
    <w:rsid w:val="007C0989"/>
    <w:rsid w:val="007C098E"/>
    <w:rsid w:val="007C0AB7"/>
    <w:rsid w:val="007C0AEC"/>
    <w:rsid w:val="007C0AFF"/>
    <w:rsid w:val="007C0B2F"/>
    <w:rsid w:val="007C0B41"/>
    <w:rsid w:val="007C0C20"/>
    <w:rsid w:val="007C0C77"/>
    <w:rsid w:val="007C0D57"/>
    <w:rsid w:val="007C0E1B"/>
    <w:rsid w:val="007C0E3C"/>
    <w:rsid w:val="007C0FBF"/>
    <w:rsid w:val="007C10EA"/>
    <w:rsid w:val="007C11AF"/>
    <w:rsid w:val="007C13D0"/>
    <w:rsid w:val="007C13DA"/>
    <w:rsid w:val="007C15F1"/>
    <w:rsid w:val="007C15F9"/>
    <w:rsid w:val="007C16A8"/>
    <w:rsid w:val="007C16CD"/>
    <w:rsid w:val="007C1723"/>
    <w:rsid w:val="007C17C2"/>
    <w:rsid w:val="007C17F7"/>
    <w:rsid w:val="007C183C"/>
    <w:rsid w:val="007C1886"/>
    <w:rsid w:val="007C189D"/>
    <w:rsid w:val="007C18CE"/>
    <w:rsid w:val="007C197A"/>
    <w:rsid w:val="007C1999"/>
    <w:rsid w:val="007C1A6A"/>
    <w:rsid w:val="007C1AC9"/>
    <w:rsid w:val="007C1B75"/>
    <w:rsid w:val="007C1C0B"/>
    <w:rsid w:val="007C1CDB"/>
    <w:rsid w:val="007C1CEF"/>
    <w:rsid w:val="007C1D87"/>
    <w:rsid w:val="007C1EB0"/>
    <w:rsid w:val="007C1F5D"/>
    <w:rsid w:val="007C1FBC"/>
    <w:rsid w:val="007C1FD4"/>
    <w:rsid w:val="007C217C"/>
    <w:rsid w:val="007C217F"/>
    <w:rsid w:val="007C21BA"/>
    <w:rsid w:val="007C21CD"/>
    <w:rsid w:val="007C2227"/>
    <w:rsid w:val="007C223E"/>
    <w:rsid w:val="007C2243"/>
    <w:rsid w:val="007C229C"/>
    <w:rsid w:val="007C2390"/>
    <w:rsid w:val="007C24E8"/>
    <w:rsid w:val="007C2608"/>
    <w:rsid w:val="007C289D"/>
    <w:rsid w:val="007C2985"/>
    <w:rsid w:val="007C29E2"/>
    <w:rsid w:val="007C29F0"/>
    <w:rsid w:val="007C2A0F"/>
    <w:rsid w:val="007C2BEE"/>
    <w:rsid w:val="007C2C0D"/>
    <w:rsid w:val="007C2CF3"/>
    <w:rsid w:val="007C2D25"/>
    <w:rsid w:val="007C2D6D"/>
    <w:rsid w:val="007C2E77"/>
    <w:rsid w:val="007C2EC6"/>
    <w:rsid w:val="007C2EEF"/>
    <w:rsid w:val="007C2F4D"/>
    <w:rsid w:val="007C2F71"/>
    <w:rsid w:val="007C2F8B"/>
    <w:rsid w:val="007C2FD1"/>
    <w:rsid w:val="007C3084"/>
    <w:rsid w:val="007C314E"/>
    <w:rsid w:val="007C31BA"/>
    <w:rsid w:val="007C31EB"/>
    <w:rsid w:val="007C32EA"/>
    <w:rsid w:val="007C32F6"/>
    <w:rsid w:val="007C344D"/>
    <w:rsid w:val="007C3466"/>
    <w:rsid w:val="007C348C"/>
    <w:rsid w:val="007C3599"/>
    <w:rsid w:val="007C36B2"/>
    <w:rsid w:val="007C36D3"/>
    <w:rsid w:val="007C3815"/>
    <w:rsid w:val="007C38A7"/>
    <w:rsid w:val="007C3925"/>
    <w:rsid w:val="007C3929"/>
    <w:rsid w:val="007C3C41"/>
    <w:rsid w:val="007C3C62"/>
    <w:rsid w:val="007C3DCA"/>
    <w:rsid w:val="007C3EB4"/>
    <w:rsid w:val="007C3F09"/>
    <w:rsid w:val="007C3F83"/>
    <w:rsid w:val="007C3F96"/>
    <w:rsid w:val="007C3FD2"/>
    <w:rsid w:val="007C4030"/>
    <w:rsid w:val="007C408F"/>
    <w:rsid w:val="007C4093"/>
    <w:rsid w:val="007C40D3"/>
    <w:rsid w:val="007C40DC"/>
    <w:rsid w:val="007C415D"/>
    <w:rsid w:val="007C4212"/>
    <w:rsid w:val="007C42F9"/>
    <w:rsid w:val="007C4448"/>
    <w:rsid w:val="007C4465"/>
    <w:rsid w:val="007C44D7"/>
    <w:rsid w:val="007C453A"/>
    <w:rsid w:val="007C47C5"/>
    <w:rsid w:val="007C47DE"/>
    <w:rsid w:val="007C483B"/>
    <w:rsid w:val="007C4887"/>
    <w:rsid w:val="007C48B9"/>
    <w:rsid w:val="007C4970"/>
    <w:rsid w:val="007C49A2"/>
    <w:rsid w:val="007C4A83"/>
    <w:rsid w:val="007C4BC1"/>
    <w:rsid w:val="007C4C0D"/>
    <w:rsid w:val="007C4D0A"/>
    <w:rsid w:val="007C4D9A"/>
    <w:rsid w:val="007C4E24"/>
    <w:rsid w:val="007C4F15"/>
    <w:rsid w:val="007C4FAC"/>
    <w:rsid w:val="007C4FB9"/>
    <w:rsid w:val="007C4FDA"/>
    <w:rsid w:val="007C502A"/>
    <w:rsid w:val="007C502D"/>
    <w:rsid w:val="007C51D6"/>
    <w:rsid w:val="007C5219"/>
    <w:rsid w:val="007C537D"/>
    <w:rsid w:val="007C5476"/>
    <w:rsid w:val="007C550C"/>
    <w:rsid w:val="007C564D"/>
    <w:rsid w:val="007C5699"/>
    <w:rsid w:val="007C56E8"/>
    <w:rsid w:val="007C578A"/>
    <w:rsid w:val="007C5949"/>
    <w:rsid w:val="007C59E7"/>
    <w:rsid w:val="007C59ED"/>
    <w:rsid w:val="007C5A3F"/>
    <w:rsid w:val="007C5AAD"/>
    <w:rsid w:val="007C5C11"/>
    <w:rsid w:val="007C5C94"/>
    <w:rsid w:val="007C5D0A"/>
    <w:rsid w:val="007C5D1E"/>
    <w:rsid w:val="007C5D81"/>
    <w:rsid w:val="007C5DF7"/>
    <w:rsid w:val="007C5E4E"/>
    <w:rsid w:val="007C5F44"/>
    <w:rsid w:val="007C5F85"/>
    <w:rsid w:val="007C6111"/>
    <w:rsid w:val="007C6199"/>
    <w:rsid w:val="007C6215"/>
    <w:rsid w:val="007C6227"/>
    <w:rsid w:val="007C63AF"/>
    <w:rsid w:val="007C646A"/>
    <w:rsid w:val="007C6472"/>
    <w:rsid w:val="007C653A"/>
    <w:rsid w:val="007C653C"/>
    <w:rsid w:val="007C6553"/>
    <w:rsid w:val="007C6588"/>
    <w:rsid w:val="007C6666"/>
    <w:rsid w:val="007C67AF"/>
    <w:rsid w:val="007C682D"/>
    <w:rsid w:val="007C686A"/>
    <w:rsid w:val="007C68EA"/>
    <w:rsid w:val="007C6928"/>
    <w:rsid w:val="007C697E"/>
    <w:rsid w:val="007C69B8"/>
    <w:rsid w:val="007C6AAE"/>
    <w:rsid w:val="007C6AAF"/>
    <w:rsid w:val="007C6ABC"/>
    <w:rsid w:val="007C6AD8"/>
    <w:rsid w:val="007C6C4C"/>
    <w:rsid w:val="007C6DEC"/>
    <w:rsid w:val="007C6E4D"/>
    <w:rsid w:val="007C6F8A"/>
    <w:rsid w:val="007C6FF8"/>
    <w:rsid w:val="007C705B"/>
    <w:rsid w:val="007C709B"/>
    <w:rsid w:val="007C7248"/>
    <w:rsid w:val="007C725F"/>
    <w:rsid w:val="007C72C9"/>
    <w:rsid w:val="007C7507"/>
    <w:rsid w:val="007C7595"/>
    <w:rsid w:val="007C76BD"/>
    <w:rsid w:val="007C76DC"/>
    <w:rsid w:val="007C782B"/>
    <w:rsid w:val="007C7834"/>
    <w:rsid w:val="007C7878"/>
    <w:rsid w:val="007C791A"/>
    <w:rsid w:val="007C79A8"/>
    <w:rsid w:val="007C7AC8"/>
    <w:rsid w:val="007C7AD4"/>
    <w:rsid w:val="007C7AE4"/>
    <w:rsid w:val="007C7C25"/>
    <w:rsid w:val="007C7DE1"/>
    <w:rsid w:val="007C7E74"/>
    <w:rsid w:val="007C7EF4"/>
    <w:rsid w:val="007C7F05"/>
    <w:rsid w:val="007C7F3C"/>
    <w:rsid w:val="007D0146"/>
    <w:rsid w:val="007D0298"/>
    <w:rsid w:val="007D0383"/>
    <w:rsid w:val="007D03D9"/>
    <w:rsid w:val="007D04BE"/>
    <w:rsid w:val="007D0599"/>
    <w:rsid w:val="007D05A8"/>
    <w:rsid w:val="007D05D4"/>
    <w:rsid w:val="007D067A"/>
    <w:rsid w:val="007D0685"/>
    <w:rsid w:val="007D06F6"/>
    <w:rsid w:val="007D08AD"/>
    <w:rsid w:val="007D0995"/>
    <w:rsid w:val="007D0AB0"/>
    <w:rsid w:val="007D0B1C"/>
    <w:rsid w:val="007D0B29"/>
    <w:rsid w:val="007D0B5E"/>
    <w:rsid w:val="007D0C6E"/>
    <w:rsid w:val="007D0C91"/>
    <w:rsid w:val="007D0CDD"/>
    <w:rsid w:val="007D0D00"/>
    <w:rsid w:val="007D0D06"/>
    <w:rsid w:val="007D0E0D"/>
    <w:rsid w:val="007D0E31"/>
    <w:rsid w:val="007D0E3C"/>
    <w:rsid w:val="007D0E51"/>
    <w:rsid w:val="007D0EDC"/>
    <w:rsid w:val="007D0F3D"/>
    <w:rsid w:val="007D1040"/>
    <w:rsid w:val="007D1305"/>
    <w:rsid w:val="007D1307"/>
    <w:rsid w:val="007D1340"/>
    <w:rsid w:val="007D1372"/>
    <w:rsid w:val="007D13A1"/>
    <w:rsid w:val="007D1481"/>
    <w:rsid w:val="007D14BE"/>
    <w:rsid w:val="007D1511"/>
    <w:rsid w:val="007D1631"/>
    <w:rsid w:val="007D1683"/>
    <w:rsid w:val="007D173E"/>
    <w:rsid w:val="007D1785"/>
    <w:rsid w:val="007D1A11"/>
    <w:rsid w:val="007D1A9E"/>
    <w:rsid w:val="007D1AA9"/>
    <w:rsid w:val="007D1B39"/>
    <w:rsid w:val="007D1BAF"/>
    <w:rsid w:val="007D1BCC"/>
    <w:rsid w:val="007D1C83"/>
    <w:rsid w:val="007D1CDA"/>
    <w:rsid w:val="007D1CE1"/>
    <w:rsid w:val="007D1CEA"/>
    <w:rsid w:val="007D1D13"/>
    <w:rsid w:val="007D1D40"/>
    <w:rsid w:val="007D1D97"/>
    <w:rsid w:val="007D1DD1"/>
    <w:rsid w:val="007D1E00"/>
    <w:rsid w:val="007D1F1A"/>
    <w:rsid w:val="007D2024"/>
    <w:rsid w:val="007D2036"/>
    <w:rsid w:val="007D2040"/>
    <w:rsid w:val="007D204E"/>
    <w:rsid w:val="007D217E"/>
    <w:rsid w:val="007D234E"/>
    <w:rsid w:val="007D23F2"/>
    <w:rsid w:val="007D2420"/>
    <w:rsid w:val="007D245B"/>
    <w:rsid w:val="007D2498"/>
    <w:rsid w:val="007D24E2"/>
    <w:rsid w:val="007D252A"/>
    <w:rsid w:val="007D25B8"/>
    <w:rsid w:val="007D2633"/>
    <w:rsid w:val="007D2647"/>
    <w:rsid w:val="007D26E2"/>
    <w:rsid w:val="007D283C"/>
    <w:rsid w:val="007D2958"/>
    <w:rsid w:val="007D29FF"/>
    <w:rsid w:val="007D2A74"/>
    <w:rsid w:val="007D2A75"/>
    <w:rsid w:val="007D2A81"/>
    <w:rsid w:val="007D2AE9"/>
    <w:rsid w:val="007D2B4F"/>
    <w:rsid w:val="007D2B96"/>
    <w:rsid w:val="007D2BCF"/>
    <w:rsid w:val="007D2BE5"/>
    <w:rsid w:val="007D2D17"/>
    <w:rsid w:val="007D2F06"/>
    <w:rsid w:val="007D2F0A"/>
    <w:rsid w:val="007D309E"/>
    <w:rsid w:val="007D30CB"/>
    <w:rsid w:val="007D329D"/>
    <w:rsid w:val="007D329E"/>
    <w:rsid w:val="007D3321"/>
    <w:rsid w:val="007D34F3"/>
    <w:rsid w:val="007D362A"/>
    <w:rsid w:val="007D3A31"/>
    <w:rsid w:val="007D3A64"/>
    <w:rsid w:val="007D3A79"/>
    <w:rsid w:val="007D3B96"/>
    <w:rsid w:val="007D3BA0"/>
    <w:rsid w:val="007D3BBF"/>
    <w:rsid w:val="007D3C6C"/>
    <w:rsid w:val="007D3D18"/>
    <w:rsid w:val="007D3D32"/>
    <w:rsid w:val="007D3D3B"/>
    <w:rsid w:val="007D3D85"/>
    <w:rsid w:val="007D3DD1"/>
    <w:rsid w:val="007D3F48"/>
    <w:rsid w:val="007D40F3"/>
    <w:rsid w:val="007D4108"/>
    <w:rsid w:val="007D42B9"/>
    <w:rsid w:val="007D43ED"/>
    <w:rsid w:val="007D4459"/>
    <w:rsid w:val="007D44D4"/>
    <w:rsid w:val="007D4836"/>
    <w:rsid w:val="007D4966"/>
    <w:rsid w:val="007D49A4"/>
    <w:rsid w:val="007D49C6"/>
    <w:rsid w:val="007D49ED"/>
    <w:rsid w:val="007D4C77"/>
    <w:rsid w:val="007D4EF1"/>
    <w:rsid w:val="007D4F97"/>
    <w:rsid w:val="007D5011"/>
    <w:rsid w:val="007D5032"/>
    <w:rsid w:val="007D5050"/>
    <w:rsid w:val="007D5098"/>
    <w:rsid w:val="007D514B"/>
    <w:rsid w:val="007D5172"/>
    <w:rsid w:val="007D517A"/>
    <w:rsid w:val="007D52A3"/>
    <w:rsid w:val="007D52BE"/>
    <w:rsid w:val="007D532F"/>
    <w:rsid w:val="007D53B4"/>
    <w:rsid w:val="007D53C5"/>
    <w:rsid w:val="007D544E"/>
    <w:rsid w:val="007D5501"/>
    <w:rsid w:val="007D559F"/>
    <w:rsid w:val="007D5622"/>
    <w:rsid w:val="007D5634"/>
    <w:rsid w:val="007D5640"/>
    <w:rsid w:val="007D56A7"/>
    <w:rsid w:val="007D5720"/>
    <w:rsid w:val="007D5868"/>
    <w:rsid w:val="007D5A17"/>
    <w:rsid w:val="007D5A6F"/>
    <w:rsid w:val="007D5A98"/>
    <w:rsid w:val="007D5AC6"/>
    <w:rsid w:val="007D5CD3"/>
    <w:rsid w:val="007D5CDF"/>
    <w:rsid w:val="007D5D6C"/>
    <w:rsid w:val="007D5DB3"/>
    <w:rsid w:val="007D5F81"/>
    <w:rsid w:val="007D6154"/>
    <w:rsid w:val="007D6168"/>
    <w:rsid w:val="007D62A2"/>
    <w:rsid w:val="007D632B"/>
    <w:rsid w:val="007D6337"/>
    <w:rsid w:val="007D6360"/>
    <w:rsid w:val="007D64D2"/>
    <w:rsid w:val="007D64E0"/>
    <w:rsid w:val="007D64E3"/>
    <w:rsid w:val="007D650A"/>
    <w:rsid w:val="007D651C"/>
    <w:rsid w:val="007D6526"/>
    <w:rsid w:val="007D666B"/>
    <w:rsid w:val="007D66E7"/>
    <w:rsid w:val="007D66EA"/>
    <w:rsid w:val="007D66FA"/>
    <w:rsid w:val="007D6753"/>
    <w:rsid w:val="007D6760"/>
    <w:rsid w:val="007D69B4"/>
    <w:rsid w:val="007D6A8B"/>
    <w:rsid w:val="007D6B60"/>
    <w:rsid w:val="007D6BE2"/>
    <w:rsid w:val="007D6D9E"/>
    <w:rsid w:val="007D6DD7"/>
    <w:rsid w:val="007D6E54"/>
    <w:rsid w:val="007D6FF3"/>
    <w:rsid w:val="007D7041"/>
    <w:rsid w:val="007D7050"/>
    <w:rsid w:val="007D71B2"/>
    <w:rsid w:val="007D7318"/>
    <w:rsid w:val="007D7338"/>
    <w:rsid w:val="007D737D"/>
    <w:rsid w:val="007D7750"/>
    <w:rsid w:val="007D7866"/>
    <w:rsid w:val="007D7A45"/>
    <w:rsid w:val="007D7AA0"/>
    <w:rsid w:val="007D7C09"/>
    <w:rsid w:val="007D7C74"/>
    <w:rsid w:val="007D7CA3"/>
    <w:rsid w:val="007D7E25"/>
    <w:rsid w:val="007D7E39"/>
    <w:rsid w:val="007D7FB8"/>
    <w:rsid w:val="007D7FF3"/>
    <w:rsid w:val="007E0037"/>
    <w:rsid w:val="007E0108"/>
    <w:rsid w:val="007E02EF"/>
    <w:rsid w:val="007E0319"/>
    <w:rsid w:val="007E0373"/>
    <w:rsid w:val="007E0490"/>
    <w:rsid w:val="007E0669"/>
    <w:rsid w:val="007E0691"/>
    <w:rsid w:val="007E07B5"/>
    <w:rsid w:val="007E07D5"/>
    <w:rsid w:val="007E07EA"/>
    <w:rsid w:val="007E0980"/>
    <w:rsid w:val="007E0B08"/>
    <w:rsid w:val="007E0B5D"/>
    <w:rsid w:val="007E0B91"/>
    <w:rsid w:val="007E0BB0"/>
    <w:rsid w:val="007E0BB5"/>
    <w:rsid w:val="007E0C3A"/>
    <w:rsid w:val="007E0C67"/>
    <w:rsid w:val="007E0D42"/>
    <w:rsid w:val="007E0D53"/>
    <w:rsid w:val="007E0D64"/>
    <w:rsid w:val="007E0E9E"/>
    <w:rsid w:val="007E0F40"/>
    <w:rsid w:val="007E0F5A"/>
    <w:rsid w:val="007E0F79"/>
    <w:rsid w:val="007E0FBC"/>
    <w:rsid w:val="007E0FFE"/>
    <w:rsid w:val="007E104D"/>
    <w:rsid w:val="007E105B"/>
    <w:rsid w:val="007E1171"/>
    <w:rsid w:val="007E11A3"/>
    <w:rsid w:val="007E127C"/>
    <w:rsid w:val="007E12DC"/>
    <w:rsid w:val="007E1321"/>
    <w:rsid w:val="007E1336"/>
    <w:rsid w:val="007E13F3"/>
    <w:rsid w:val="007E140A"/>
    <w:rsid w:val="007E1487"/>
    <w:rsid w:val="007E1501"/>
    <w:rsid w:val="007E154D"/>
    <w:rsid w:val="007E1570"/>
    <w:rsid w:val="007E15AF"/>
    <w:rsid w:val="007E1731"/>
    <w:rsid w:val="007E1760"/>
    <w:rsid w:val="007E17A0"/>
    <w:rsid w:val="007E17BC"/>
    <w:rsid w:val="007E17DD"/>
    <w:rsid w:val="007E1953"/>
    <w:rsid w:val="007E195D"/>
    <w:rsid w:val="007E196A"/>
    <w:rsid w:val="007E19C2"/>
    <w:rsid w:val="007E1A29"/>
    <w:rsid w:val="007E1AA5"/>
    <w:rsid w:val="007E1D35"/>
    <w:rsid w:val="007E1EED"/>
    <w:rsid w:val="007E1F2C"/>
    <w:rsid w:val="007E1F93"/>
    <w:rsid w:val="007E1F99"/>
    <w:rsid w:val="007E207D"/>
    <w:rsid w:val="007E20C5"/>
    <w:rsid w:val="007E2169"/>
    <w:rsid w:val="007E21DC"/>
    <w:rsid w:val="007E2205"/>
    <w:rsid w:val="007E231C"/>
    <w:rsid w:val="007E233A"/>
    <w:rsid w:val="007E240B"/>
    <w:rsid w:val="007E241C"/>
    <w:rsid w:val="007E246E"/>
    <w:rsid w:val="007E248B"/>
    <w:rsid w:val="007E2524"/>
    <w:rsid w:val="007E2576"/>
    <w:rsid w:val="007E2589"/>
    <w:rsid w:val="007E25AD"/>
    <w:rsid w:val="007E25F7"/>
    <w:rsid w:val="007E2673"/>
    <w:rsid w:val="007E2713"/>
    <w:rsid w:val="007E275F"/>
    <w:rsid w:val="007E27BC"/>
    <w:rsid w:val="007E2800"/>
    <w:rsid w:val="007E2865"/>
    <w:rsid w:val="007E289D"/>
    <w:rsid w:val="007E2925"/>
    <w:rsid w:val="007E2A1A"/>
    <w:rsid w:val="007E2AA8"/>
    <w:rsid w:val="007E2B79"/>
    <w:rsid w:val="007E2BE8"/>
    <w:rsid w:val="007E2C04"/>
    <w:rsid w:val="007E2C17"/>
    <w:rsid w:val="007E2CFD"/>
    <w:rsid w:val="007E2D72"/>
    <w:rsid w:val="007E2DF3"/>
    <w:rsid w:val="007E2EFC"/>
    <w:rsid w:val="007E2F0F"/>
    <w:rsid w:val="007E2F1D"/>
    <w:rsid w:val="007E2FEC"/>
    <w:rsid w:val="007E30DA"/>
    <w:rsid w:val="007E31EF"/>
    <w:rsid w:val="007E3282"/>
    <w:rsid w:val="007E344F"/>
    <w:rsid w:val="007E34AF"/>
    <w:rsid w:val="007E34FE"/>
    <w:rsid w:val="007E35BE"/>
    <w:rsid w:val="007E360B"/>
    <w:rsid w:val="007E3693"/>
    <w:rsid w:val="007E36D8"/>
    <w:rsid w:val="007E379E"/>
    <w:rsid w:val="007E382C"/>
    <w:rsid w:val="007E393F"/>
    <w:rsid w:val="007E3964"/>
    <w:rsid w:val="007E397C"/>
    <w:rsid w:val="007E39D2"/>
    <w:rsid w:val="007E3AC7"/>
    <w:rsid w:val="007E3AE2"/>
    <w:rsid w:val="007E3C18"/>
    <w:rsid w:val="007E3DC0"/>
    <w:rsid w:val="007E3DC9"/>
    <w:rsid w:val="007E3DF3"/>
    <w:rsid w:val="007E3E54"/>
    <w:rsid w:val="007E3E77"/>
    <w:rsid w:val="007E3F4F"/>
    <w:rsid w:val="007E3F6F"/>
    <w:rsid w:val="007E3F83"/>
    <w:rsid w:val="007E3FED"/>
    <w:rsid w:val="007E4008"/>
    <w:rsid w:val="007E4107"/>
    <w:rsid w:val="007E41AC"/>
    <w:rsid w:val="007E4206"/>
    <w:rsid w:val="007E427B"/>
    <w:rsid w:val="007E42C1"/>
    <w:rsid w:val="007E42DE"/>
    <w:rsid w:val="007E42EC"/>
    <w:rsid w:val="007E43FE"/>
    <w:rsid w:val="007E442E"/>
    <w:rsid w:val="007E44B3"/>
    <w:rsid w:val="007E44BE"/>
    <w:rsid w:val="007E44D1"/>
    <w:rsid w:val="007E451F"/>
    <w:rsid w:val="007E4555"/>
    <w:rsid w:val="007E45F3"/>
    <w:rsid w:val="007E45FD"/>
    <w:rsid w:val="007E465B"/>
    <w:rsid w:val="007E46D1"/>
    <w:rsid w:val="007E46F8"/>
    <w:rsid w:val="007E47E8"/>
    <w:rsid w:val="007E48A1"/>
    <w:rsid w:val="007E491A"/>
    <w:rsid w:val="007E4A07"/>
    <w:rsid w:val="007E4A2B"/>
    <w:rsid w:val="007E4ACC"/>
    <w:rsid w:val="007E4B7F"/>
    <w:rsid w:val="007E4BD5"/>
    <w:rsid w:val="007E4D26"/>
    <w:rsid w:val="007E4E18"/>
    <w:rsid w:val="007E4E1A"/>
    <w:rsid w:val="007E4E29"/>
    <w:rsid w:val="007E4EDA"/>
    <w:rsid w:val="007E50CB"/>
    <w:rsid w:val="007E5194"/>
    <w:rsid w:val="007E51E8"/>
    <w:rsid w:val="007E5234"/>
    <w:rsid w:val="007E5239"/>
    <w:rsid w:val="007E5334"/>
    <w:rsid w:val="007E5366"/>
    <w:rsid w:val="007E53F9"/>
    <w:rsid w:val="007E5408"/>
    <w:rsid w:val="007E5425"/>
    <w:rsid w:val="007E5493"/>
    <w:rsid w:val="007E54C4"/>
    <w:rsid w:val="007E5780"/>
    <w:rsid w:val="007E57F6"/>
    <w:rsid w:val="007E5822"/>
    <w:rsid w:val="007E58CB"/>
    <w:rsid w:val="007E58D3"/>
    <w:rsid w:val="007E58EC"/>
    <w:rsid w:val="007E59FC"/>
    <w:rsid w:val="007E5A2D"/>
    <w:rsid w:val="007E5BA4"/>
    <w:rsid w:val="007E5C72"/>
    <w:rsid w:val="007E5CC7"/>
    <w:rsid w:val="007E5D1C"/>
    <w:rsid w:val="007E5D34"/>
    <w:rsid w:val="007E5D69"/>
    <w:rsid w:val="007E5DEF"/>
    <w:rsid w:val="007E5DFB"/>
    <w:rsid w:val="007E5E0E"/>
    <w:rsid w:val="007E5E68"/>
    <w:rsid w:val="007E5F31"/>
    <w:rsid w:val="007E5F80"/>
    <w:rsid w:val="007E6048"/>
    <w:rsid w:val="007E60AC"/>
    <w:rsid w:val="007E610D"/>
    <w:rsid w:val="007E625C"/>
    <w:rsid w:val="007E6329"/>
    <w:rsid w:val="007E63CF"/>
    <w:rsid w:val="007E63EA"/>
    <w:rsid w:val="007E647D"/>
    <w:rsid w:val="007E655B"/>
    <w:rsid w:val="007E65B9"/>
    <w:rsid w:val="007E65E2"/>
    <w:rsid w:val="007E66D6"/>
    <w:rsid w:val="007E67F3"/>
    <w:rsid w:val="007E6801"/>
    <w:rsid w:val="007E682A"/>
    <w:rsid w:val="007E6846"/>
    <w:rsid w:val="007E686F"/>
    <w:rsid w:val="007E68B4"/>
    <w:rsid w:val="007E68EA"/>
    <w:rsid w:val="007E6910"/>
    <w:rsid w:val="007E6945"/>
    <w:rsid w:val="007E6AD9"/>
    <w:rsid w:val="007E6AE8"/>
    <w:rsid w:val="007E6B17"/>
    <w:rsid w:val="007E6CC0"/>
    <w:rsid w:val="007E6D61"/>
    <w:rsid w:val="007E6DA4"/>
    <w:rsid w:val="007E6DB1"/>
    <w:rsid w:val="007E6F3C"/>
    <w:rsid w:val="007E6FCB"/>
    <w:rsid w:val="007E7144"/>
    <w:rsid w:val="007E720A"/>
    <w:rsid w:val="007E7325"/>
    <w:rsid w:val="007E7328"/>
    <w:rsid w:val="007E74F3"/>
    <w:rsid w:val="007E75AC"/>
    <w:rsid w:val="007E75B7"/>
    <w:rsid w:val="007E7661"/>
    <w:rsid w:val="007E767C"/>
    <w:rsid w:val="007E778F"/>
    <w:rsid w:val="007E77B2"/>
    <w:rsid w:val="007E7813"/>
    <w:rsid w:val="007E792F"/>
    <w:rsid w:val="007E79D1"/>
    <w:rsid w:val="007E7C06"/>
    <w:rsid w:val="007E7D71"/>
    <w:rsid w:val="007E7DEF"/>
    <w:rsid w:val="007E7ED9"/>
    <w:rsid w:val="007E7EE7"/>
    <w:rsid w:val="007E7FAD"/>
    <w:rsid w:val="007F00AE"/>
    <w:rsid w:val="007F01B2"/>
    <w:rsid w:val="007F021B"/>
    <w:rsid w:val="007F0398"/>
    <w:rsid w:val="007F03D1"/>
    <w:rsid w:val="007F047D"/>
    <w:rsid w:val="007F055E"/>
    <w:rsid w:val="007F06CE"/>
    <w:rsid w:val="007F0754"/>
    <w:rsid w:val="007F076D"/>
    <w:rsid w:val="007F07AC"/>
    <w:rsid w:val="007F07F3"/>
    <w:rsid w:val="007F086A"/>
    <w:rsid w:val="007F095A"/>
    <w:rsid w:val="007F09E9"/>
    <w:rsid w:val="007F09F7"/>
    <w:rsid w:val="007F0B87"/>
    <w:rsid w:val="007F0C10"/>
    <w:rsid w:val="007F0CD2"/>
    <w:rsid w:val="007F0E02"/>
    <w:rsid w:val="007F0E65"/>
    <w:rsid w:val="007F0E66"/>
    <w:rsid w:val="007F0EAE"/>
    <w:rsid w:val="007F0ED6"/>
    <w:rsid w:val="007F0EE2"/>
    <w:rsid w:val="007F0F0B"/>
    <w:rsid w:val="007F0F12"/>
    <w:rsid w:val="007F0F9F"/>
    <w:rsid w:val="007F1045"/>
    <w:rsid w:val="007F10ED"/>
    <w:rsid w:val="007F123D"/>
    <w:rsid w:val="007F12B1"/>
    <w:rsid w:val="007F13AE"/>
    <w:rsid w:val="007F1507"/>
    <w:rsid w:val="007F15D5"/>
    <w:rsid w:val="007F15EB"/>
    <w:rsid w:val="007F175A"/>
    <w:rsid w:val="007F1787"/>
    <w:rsid w:val="007F179A"/>
    <w:rsid w:val="007F17EA"/>
    <w:rsid w:val="007F1848"/>
    <w:rsid w:val="007F187E"/>
    <w:rsid w:val="007F18D4"/>
    <w:rsid w:val="007F18F0"/>
    <w:rsid w:val="007F1A97"/>
    <w:rsid w:val="007F1B87"/>
    <w:rsid w:val="007F1C9C"/>
    <w:rsid w:val="007F1E38"/>
    <w:rsid w:val="007F1ED0"/>
    <w:rsid w:val="007F1EDD"/>
    <w:rsid w:val="007F203B"/>
    <w:rsid w:val="007F21A4"/>
    <w:rsid w:val="007F222D"/>
    <w:rsid w:val="007F2304"/>
    <w:rsid w:val="007F246C"/>
    <w:rsid w:val="007F2593"/>
    <w:rsid w:val="007F25B0"/>
    <w:rsid w:val="007F25CE"/>
    <w:rsid w:val="007F2635"/>
    <w:rsid w:val="007F2783"/>
    <w:rsid w:val="007F2794"/>
    <w:rsid w:val="007F2845"/>
    <w:rsid w:val="007F285D"/>
    <w:rsid w:val="007F2870"/>
    <w:rsid w:val="007F2892"/>
    <w:rsid w:val="007F292F"/>
    <w:rsid w:val="007F294A"/>
    <w:rsid w:val="007F294C"/>
    <w:rsid w:val="007F29AA"/>
    <w:rsid w:val="007F2A03"/>
    <w:rsid w:val="007F2AE2"/>
    <w:rsid w:val="007F2B9C"/>
    <w:rsid w:val="007F2D3A"/>
    <w:rsid w:val="007F2DA9"/>
    <w:rsid w:val="007F2DF8"/>
    <w:rsid w:val="007F2DFA"/>
    <w:rsid w:val="007F2EE7"/>
    <w:rsid w:val="007F2EF1"/>
    <w:rsid w:val="007F2F31"/>
    <w:rsid w:val="007F2FA3"/>
    <w:rsid w:val="007F3234"/>
    <w:rsid w:val="007F3241"/>
    <w:rsid w:val="007F32CA"/>
    <w:rsid w:val="007F3424"/>
    <w:rsid w:val="007F34AD"/>
    <w:rsid w:val="007F36F3"/>
    <w:rsid w:val="007F3789"/>
    <w:rsid w:val="007F37AD"/>
    <w:rsid w:val="007F37F5"/>
    <w:rsid w:val="007F38F0"/>
    <w:rsid w:val="007F38F6"/>
    <w:rsid w:val="007F395C"/>
    <w:rsid w:val="007F3A40"/>
    <w:rsid w:val="007F3AB9"/>
    <w:rsid w:val="007F3CC6"/>
    <w:rsid w:val="007F3CE6"/>
    <w:rsid w:val="007F3D02"/>
    <w:rsid w:val="007F3DD5"/>
    <w:rsid w:val="007F3E86"/>
    <w:rsid w:val="007F3F0D"/>
    <w:rsid w:val="007F3F9E"/>
    <w:rsid w:val="007F42DD"/>
    <w:rsid w:val="007F431C"/>
    <w:rsid w:val="007F4445"/>
    <w:rsid w:val="007F44A1"/>
    <w:rsid w:val="007F459A"/>
    <w:rsid w:val="007F46D1"/>
    <w:rsid w:val="007F4897"/>
    <w:rsid w:val="007F490A"/>
    <w:rsid w:val="007F494A"/>
    <w:rsid w:val="007F4AD4"/>
    <w:rsid w:val="007F4C36"/>
    <w:rsid w:val="007F4D12"/>
    <w:rsid w:val="007F4D66"/>
    <w:rsid w:val="007F4DFC"/>
    <w:rsid w:val="007F4E82"/>
    <w:rsid w:val="007F4F60"/>
    <w:rsid w:val="007F4FF1"/>
    <w:rsid w:val="007F50D3"/>
    <w:rsid w:val="007F5279"/>
    <w:rsid w:val="007F52FD"/>
    <w:rsid w:val="007F534C"/>
    <w:rsid w:val="007F53BC"/>
    <w:rsid w:val="007F53D6"/>
    <w:rsid w:val="007F53D8"/>
    <w:rsid w:val="007F542D"/>
    <w:rsid w:val="007F5442"/>
    <w:rsid w:val="007F5444"/>
    <w:rsid w:val="007F54C7"/>
    <w:rsid w:val="007F54CC"/>
    <w:rsid w:val="007F561B"/>
    <w:rsid w:val="007F567B"/>
    <w:rsid w:val="007F5701"/>
    <w:rsid w:val="007F583C"/>
    <w:rsid w:val="007F583E"/>
    <w:rsid w:val="007F58EB"/>
    <w:rsid w:val="007F5B8D"/>
    <w:rsid w:val="007F5BE7"/>
    <w:rsid w:val="007F5CEC"/>
    <w:rsid w:val="007F5DB4"/>
    <w:rsid w:val="007F5E14"/>
    <w:rsid w:val="007F5F38"/>
    <w:rsid w:val="007F5FF7"/>
    <w:rsid w:val="007F606F"/>
    <w:rsid w:val="007F6286"/>
    <w:rsid w:val="007F6289"/>
    <w:rsid w:val="007F6290"/>
    <w:rsid w:val="007F6292"/>
    <w:rsid w:val="007F62C3"/>
    <w:rsid w:val="007F636A"/>
    <w:rsid w:val="007F642D"/>
    <w:rsid w:val="007F65F9"/>
    <w:rsid w:val="007F6628"/>
    <w:rsid w:val="007F6632"/>
    <w:rsid w:val="007F6866"/>
    <w:rsid w:val="007F686B"/>
    <w:rsid w:val="007F6939"/>
    <w:rsid w:val="007F69CD"/>
    <w:rsid w:val="007F69EF"/>
    <w:rsid w:val="007F6AB2"/>
    <w:rsid w:val="007F6ACD"/>
    <w:rsid w:val="007F6B05"/>
    <w:rsid w:val="007F6B07"/>
    <w:rsid w:val="007F6BCC"/>
    <w:rsid w:val="007F6BFA"/>
    <w:rsid w:val="007F6CA1"/>
    <w:rsid w:val="007F6D01"/>
    <w:rsid w:val="007F6DF4"/>
    <w:rsid w:val="007F6E37"/>
    <w:rsid w:val="007F6E7E"/>
    <w:rsid w:val="007F6FD9"/>
    <w:rsid w:val="007F700F"/>
    <w:rsid w:val="007F708B"/>
    <w:rsid w:val="007F715A"/>
    <w:rsid w:val="007F71AF"/>
    <w:rsid w:val="007F7266"/>
    <w:rsid w:val="007F7470"/>
    <w:rsid w:val="007F74D8"/>
    <w:rsid w:val="007F7591"/>
    <w:rsid w:val="007F75B6"/>
    <w:rsid w:val="007F7601"/>
    <w:rsid w:val="007F7651"/>
    <w:rsid w:val="007F76A9"/>
    <w:rsid w:val="007F77A2"/>
    <w:rsid w:val="007F77EC"/>
    <w:rsid w:val="007F7853"/>
    <w:rsid w:val="007F790F"/>
    <w:rsid w:val="007F7952"/>
    <w:rsid w:val="007F7995"/>
    <w:rsid w:val="007F79DB"/>
    <w:rsid w:val="007F7A3D"/>
    <w:rsid w:val="007F7A3F"/>
    <w:rsid w:val="007F7AB3"/>
    <w:rsid w:val="007F7B0E"/>
    <w:rsid w:val="007F7B3F"/>
    <w:rsid w:val="007F7C3B"/>
    <w:rsid w:val="007F7C81"/>
    <w:rsid w:val="007F7CD7"/>
    <w:rsid w:val="007F7D16"/>
    <w:rsid w:val="007F7E0C"/>
    <w:rsid w:val="007F7E75"/>
    <w:rsid w:val="007F7E8A"/>
    <w:rsid w:val="007F7F4C"/>
    <w:rsid w:val="007F7F5D"/>
    <w:rsid w:val="00800028"/>
    <w:rsid w:val="008000B0"/>
    <w:rsid w:val="0080011E"/>
    <w:rsid w:val="008001B5"/>
    <w:rsid w:val="008001DF"/>
    <w:rsid w:val="0080024D"/>
    <w:rsid w:val="008002E1"/>
    <w:rsid w:val="008002FA"/>
    <w:rsid w:val="008004DB"/>
    <w:rsid w:val="00800564"/>
    <w:rsid w:val="008006D0"/>
    <w:rsid w:val="008008E7"/>
    <w:rsid w:val="00800913"/>
    <w:rsid w:val="008009E6"/>
    <w:rsid w:val="00800AB2"/>
    <w:rsid w:val="00800AEB"/>
    <w:rsid w:val="00800AFF"/>
    <w:rsid w:val="00800B0E"/>
    <w:rsid w:val="00800B2E"/>
    <w:rsid w:val="00800B30"/>
    <w:rsid w:val="00800D02"/>
    <w:rsid w:val="00800F61"/>
    <w:rsid w:val="00800FC0"/>
    <w:rsid w:val="008010F9"/>
    <w:rsid w:val="0080126D"/>
    <w:rsid w:val="00801360"/>
    <w:rsid w:val="008013E9"/>
    <w:rsid w:val="00801486"/>
    <w:rsid w:val="008015C3"/>
    <w:rsid w:val="008015F5"/>
    <w:rsid w:val="00801614"/>
    <w:rsid w:val="00801724"/>
    <w:rsid w:val="0080175C"/>
    <w:rsid w:val="008018F0"/>
    <w:rsid w:val="008019FD"/>
    <w:rsid w:val="00801AFD"/>
    <w:rsid w:val="00801B1E"/>
    <w:rsid w:val="00801C08"/>
    <w:rsid w:val="00801C1C"/>
    <w:rsid w:val="00801D0D"/>
    <w:rsid w:val="00801D6E"/>
    <w:rsid w:val="00801D8C"/>
    <w:rsid w:val="00801E4A"/>
    <w:rsid w:val="00801EAB"/>
    <w:rsid w:val="00801ECD"/>
    <w:rsid w:val="00801EEC"/>
    <w:rsid w:val="00801EED"/>
    <w:rsid w:val="00801FFA"/>
    <w:rsid w:val="0080209A"/>
    <w:rsid w:val="0080212A"/>
    <w:rsid w:val="0080221E"/>
    <w:rsid w:val="0080225F"/>
    <w:rsid w:val="0080232B"/>
    <w:rsid w:val="00802404"/>
    <w:rsid w:val="00802466"/>
    <w:rsid w:val="008024C7"/>
    <w:rsid w:val="00802502"/>
    <w:rsid w:val="0080277C"/>
    <w:rsid w:val="008027E8"/>
    <w:rsid w:val="008028CA"/>
    <w:rsid w:val="008029AB"/>
    <w:rsid w:val="00802A16"/>
    <w:rsid w:val="00802A1F"/>
    <w:rsid w:val="00802B9D"/>
    <w:rsid w:val="00802CEF"/>
    <w:rsid w:val="00802CF4"/>
    <w:rsid w:val="00802CFD"/>
    <w:rsid w:val="00802D1E"/>
    <w:rsid w:val="00802D75"/>
    <w:rsid w:val="00802DD6"/>
    <w:rsid w:val="00802E2E"/>
    <w:rsid w:val="00802ED3"/>
    <w:rsid w:val="00802F12"/>
    <w:rsid w:val="00802FBE"/>
    <w:rsid w:val="00802FE7"/>
    <w:rsid w:val="008031FA"/>
    <w:rsid w:val="0080337C"/>
    <w:rsid w:val="008034A8"/>
    <w:rsid w:val="008034E7"/>
    <w:rsid w:val="00803511"/>
    <w:rsid w:val="0080359F"/>
    <w:rsid w:val="008036E4"/>
    <w:rsid w:val="00803765"/>
    <w:rsid w:val="0080378E"/>
    <w:rsid w:val="00803812"/>
    <w:rsid w:val="0080381A"/>
    <w:rsid w:val="0080390D"/>
    <w:rsid w:val="008039B0"/>
    <w:rsid w:val="008039E8"/>
    <w:rsid w:val="008039FB"/>
    <w:rsid w:val="00803B06"/>
    <w:rsid w:val="00803D03"/>
    <w:rsid w:val="00803DFF"/>
    <w:rsid w:val="00803E48"/>
    <w:rsid w:val="00803E66"/>
    <w:rsid w:val="00803F1D"/>
    <w:rsid w:val="00803F55"/>
    <w:rsid w:val="00803FAB"/>
    <w:rsid w:val="00803FB8"/>
    <w:rsid w:val="00804013"/>
    <w:rsid w:val="008040E0"/>
    <w:rsid w:val="00804106"/>
    <w:rsid w:val="00804289"/>
    <w:rsid w:val="008043AA"/>
    <w:rsid w:val="008043E8"/>
    <w:rsid w:val="0080450A"/>
    <w:rsid w:val="0080455F"/>
    <w:rsid w:val="0080460A"/>
    <w:rsid w:val="0080493C"/>
    <w:rsid w:val="00804946"/>
    <w:rsid w:val="008049B8"/>
    <w:rsid w:val="008049E7"/>
    <w:rsid w:val="00804A2E"/>
    <w:rsid w:val="00804A42"/>
    <w:rsid w:val="00804B8C"/>
    <w:rsid w:val="00804BCA"/>
    <w:rsid w:val="00804C50"/>
    <w:rsid w:val="00804CFC"/>
    <w:rsid w:val="00804FF3"/>
    <w:rsid w:val="0080506D"/>
    <w:rsid w:val="00805126"/>
    <w:rsid w:val="00805159"/>
    <w:rsid w:val="00805204"/>
    <w:rsid w:val="0080534E"/>
    <w:rsid w:val="008054C2"/>
    <w:rsid w:val="0080556A"/>
    <w:rsid w:val="0080565D"/>
    <w:rsid w:val="008056EB"/>
    <w:rsid w:val="00805765"/>
    <w:rsid w:val="0080585B"/>
    <w:rsid w:val="008058E4"/>
    <w:rsid w:val="00805930"/>
    <w:rsid w:val="00805959"/>
    <w:rsid w:val="00805C83"/>
    <w:rsid w:val="00805D96"/>
    <w:rsid w:val="00805DCD"/>
    <w:rsid w:val="00805E08"/>
    <w:rsid w:val="00805E71"/>
    <w:rsid w:val="00805EE8"/>
    <w:rsid w:val="00805F69"/>
    <w:rsid w:val="0080602D"/>
    <w:rsid w:val="0080604B"/>
    <w:rsid w:val="0080611D"/>
    <w:rsid w:val="00806252"/>
    <w:rsid w:val="00806253"/>
    <w:rsid w:val="008062AC"/>
    <w:rsid w:val="008063E4"/>
    <w:rsid w:val="00806437"/>
    <w:rsid w:val="00806474"/>
    <w:rsid w:val="00806509"/>
    <w:rsid w:val="008065ED"/>
    <w:rsid w:val="00806693"/>
    <w:rsid w:val="008067F0"/>
    <w:rsid w:val="00806819"/>
    <w:rsid w:val="00806840"/>
    <w:rsid w:val="008068E0"/>
    <w:rsid w:val="008068FE"/>
    <w:rsid w:val="00806AC0"/>
    <w:rsid w:val="00806ACC"/>
    <w:rsid w:val="00806B44"/>
    <w:rsid w:val="00806B68"/>
    <w:rsid w:val="00806B7F"/>
    <w:rsid w:val="00806B8D"/>
    <w:rsid w:val="00806C24"/>
    <w:rsid w:val="00806C2F"/>
    <w:rsid w:val="00806CDD"/>
    <w:rsid w:val="00806D30"/>
    <w:rsid w:val="00806D92"/>
    <w:rsid w:val="00806DFE"/>
    <w:rsid w:val="00806FA9"/>
    <w:rsid w:val="00807049"/>
    <w:rsid w:val="008070AD"/>
    <w:rsid w:val="0080710A"/>
    <w:rsid w:val="008071FC"/>
    <w:rsid w:val="0080732E"/>
    <w:rsid w:val="00807581"/>
    <w:rsid w:val="00807688"/>
    <w:rsid w:val="008076A5"/>
    <w:rsid w:val="008077E4"/>
    <w:rsid w:val="0080788A"/>
    <w:rsid w:val="00807A0B"/>
    <w:rsid w:val="00807A98"/>
    <w:rsid w:val="00807ADD"/>
    <w:rsid w:val="00807C3B"/>
    <w:rsid w:val="00807DF6"/>
    <w:rsid w:val="00807E14"/>
    <w:rsid w:val="00807EB0"/>
    <w:rsid w:val="00807FFA"/>
    <w:rsid w:val="00810078"/>
    <w:rsid w:val="0081007A"/>
    <w:rsid w:val="008100DF"/>
    <w:rsid w:val="008100ED"/>
    <w:rsid w:val="00810501"/>
    <w:rsid w:val="00810517"/>
    <w:rsid w:val="0081053F"/>
    <w:rsid w:val="0081056C"/>
    <w:rsid w:val="0081082D"/>
    <w:rsid w:val="008108AC"/>
    <w:rsid w:val="008108D1"/>
    <w:rsid w:val="008108E9"/>
    <w:rsid w:val="0081096B"/>
    <w:rsid w:val="008109B5"/>
    <w:rsid w:val="008109C9"/>
    <w:rsid w:val="00810A0A"/>
    <w:rsid w:val="00810A82"/>
    <w:rsid w:val="00810C1F"/>
    <w:rsid w:val="00810C96"/>
    <w:rsid w:val="00810CC4"/>
    <w:rsid w:val="00810D78"/>
    <w:rsid w:val="00810EF3"/>
    <w:rsid w:val="00811089"/>
    <w:rsid w:val="008110A6"/>
    <w:rsid w:val="008110C9"/>
    <w:rsid w:val="00811188"/>
    <w:rsid w:val="0081118B"/>
    <w:rsid w:val="00811190"/>
    <w:rsid w:val="00811243"/>
    <w:rsid w:val="008112BD"/>
    <w:rsid w:val="00811328"/>
    <w:rsid w:val="0081137B"/>
    <w:rsid w:val="008113AA"/>
    <w:rsid w:val="00811426"/>
    <w:rsid w:val="0081145A"/>
    <w:rsid w:val="00811485"/>
    <w:rsid w:val="0081167A"/>
    <w:rsid w:val="008116D2"/>
    <w:rsid w:val="0081172C"/>
    <w:rsid w:val="00811806"/>
    <w:rsid w:val="00811812"/>
    <w:rsid w:val="0081197D"/>
    <w:rsid w:val="00811A4E"/>
    <w:rsid w:val="00811B39"/>
    <w:rsid w:val="00811CAE"/>
    <w:rsid w:val="00811CD7"/>
    <w:rsid w:val="00811D48"/>
    <w:rsid w:val="00811ED0"/>
    <w:rsid w:val="00811EDC"/>
    <w:rsid w:val="00811F42"/>
    <w:rsid w:val="00811FA8"/>
    <w:rsid w:val="00812196"/>
    <w:rsid w:val="008121E1"/>
    <w:rsid w:val="00812319"/>
    <w:rsid w:val="00812391"/>
    <w:rsid w:val="008123A2"/>
    <w:rsid w:val="008123AF"/>
    <w:rsid w:val="00812409"/>
    <w:rsid w:val="00812496"/>
    <w:rsid w:val="0081255B"/>
    <w:rsid w:val="0081261A"/>
    <w:rsid w:val="00812626"/>
    <w:rsid w:val="0081262E"/>
    <w:rsid w:val="008126F1"/>
    <w:rsid w:val="00812901"/>
    <w:rsid w:val="0081290A"/>
    <w:rsid w:val="00812970"/>
    <w:rsid w:val="008129A3"/>
    <w:rsid w:val="00812BD2"/>
    <w:rsid w:val="00812E83"/>
    <w:rsid w:val="00812F08"/>
    <w:rsid w:val="008131C0"/>
    <w:rsid w:val="00813268"/>
    <w:rsid w:val="008132CC"/>
    <w:rsid w:val="0081337D"/>
    <w:rsid w:val="008133D9"/>
    <w:rsid w:val="008133F3"/>
    <w:rsid w:val="008134B1"/>
    <w:rsid w:val="008134B6"/>
    <w:rsid w:val="008134CE"/>
    <w:rsid w:val="00813795"/>
    <w:rsid w:val="00813842"/>
    <w:rsid w:val="00813A9A"/>
    <w:rsid w:val="00813B1E"/>
    <w:rsid w:val="00813B7B"/>
    <w:rsid w:val="00813C62"/>
    <w:rsid w:val="00813D68"/>
    <w:rsid w:val="00813D82"/>
    <w:rsid w:val="00813DBB"/>
    <w:rsid w:val="00813E93"/>
    <w:rsid w:val="00813F30"/>
    <w:rsid w:val="00813F73"/>
    <w:rsid w:val="00813F89"/>
    <w:rsid w:val="0081400A"/>
    <w:rsid w:val="0081409E"/>
    <w:rsid w:val="008140FE"/>
    <w:rsid w:val="008141CB"/>
    <w:rsid w:val="008141F2"/>
    <w:rsid w:val="008141F7"/>
    <w:rsid w:val="00814265"/>
    <w:rsid w:val="008142CE"/>
    <w:rsid w:val="008142E9"/>
    <w:rsid w:val="008142EA"/>
    <w:rsid w:val="0081435E"/>
    <w:rsid w:val="00814364"/>
    <w:rsid w:val="008143A8"/>
    <w:rsid w:val="00814419"/>
    <w:rsid w:val="0081441B"/>
    <w:rsid w:val="008145CF"/>
    <w:rsid w:val="00814629"/>
    <w:rsid w:val="008146C6"/>
    <w:rsid w:val="00814833"/>
    <w:rsid w:val="008148BB"/>
    <w:rsid w:val="008148DE"/>
    <w:rsid w:val="008148EE"/>
    <w:rsid w:val="008149AD"/>
    <w:rsid w:val="00814A5A"/>
    <w:rsid w:val="00814AD1"/>
    <w:rsid w:val="00814B00"/>
    <w:rsid w:val="00814C7C"/>
    <w:rsid w:val="00814DE1"/>
    <w:rsid w:val="00814E04"/>
    <w:rsid w:val="00814F49"/>
    <w:rsid w:val="008150E1"/>
    <w:rsid w:val="00815113"/>
    <w:rsid w:val="00815146"/>
    <w:rsid w:val="00815174"/>
    <w:rsid w:val="00815184"/>
    <w:rsid w:val="008151B7"/>
    <w:rsid w:val="008151CA"/>
    <w:rsid w:val="00815275"/>
    <w:rsid w:val="008154A2"/>
    <w:rsid w:val="00815779"/>
    <w:rsid w:val="008157F1"/>
    <w:rsid w:val="00815A01"/>
    <w:rsid w:val="00815B4D"/>
    <w:rsid w:val="00815C6A"/>
    <w:rsid w:val="00815D42"/>
    <w:rsid w:val="00815DA4"/>
    <w:rsid w:val="00815EA9"/>
    <w:rsid w:val="00815F24"/>
    <w:rsid w:val="00815F72"/>
    <w:rsid w:val="00815FE7"/>
    <w:rsid w:val="0081600C"/>
    <w:rsid w:val="008160AE"/>
    <w:rsid w:val="00816197"/>
    <w:rsid w:val="008161BF"/>
    <w:rsid w:val="0081628C"/>
    <w:rsid w:val="0081646C"/>
    <w:rsid w:val="0081648E"/>
    <w:rsid w:val="0081653E"/>
    <w:rsid w:val="0081655A"/>
    <w:rsid w:val="008165EE"/>
    <w:rsid w:val="00816674"/>
    <w:rsid w:val="008166A8"/>
    <w:rsid w:val="008167BE"/>
    <w:rsid w:val="008169CB"/>
    <w:rsid w:val="00816A77"/>
    <w:rsid w:val="00816A83"/>
    <w:rsid w:val="00816A86"/>
    <w:rsid w:val="00816B5D"/>
    <w:rsid w:val="00816C2C"/>
    <w:rsid w:val="00816C3F"/>
    <w:rsid w:val="00816C9F"/>
    <w:rsid w:val="00816D18"/>
    <w:rsid w:val="00816F0E"/>
    <w:rsid w:val="00816FEF"/>
    <w:rsid w:val="00817032"/>
    <w:rsid w:val="00817055"/>
    <w:rsid w:val="008170DD"/>
    <w:rsid w:val="008170EC"/>
    <w:rsid w:val="008172C3"/>
    <w:rsid w:val="008172F2"/>
    <w:rsid w:val="00817346"/>
    <w:rsid w:val="0081737B"/>
    <w:rsid w:val="00817412"/>
    <w:rsid w:val="0081741F"/>
    <w:rsid w:val="00817445"/>
    <w:rsid w:val="008174D1"/>
    <w:rsid w:val="0081753C"/>
    <w:rsid w:val="00817693"/>
    <w:rsid w:val="0081777C"/>
    <w:rsid w:val="00817797"/>
    <w:rsid w:val="0081788B"/>
    <w:rsid w:val="00817923"/>
    <w:rsid w:val="008179F5"/>
    <w:rsid w:val="008179FC"/>
    <w:rsid w:val="00817ACB"/>
    <w:rsid w:val="00817B2A"/>
    <w:rsid w:val="00817BC6"/>
    <w:rsid w:val="00817E07"/>
    <w:rsid w:val="00817FA0"/>
    <w:rsid w:val="008200BB"/>
    <w:rsid w:val="008200D2"/>
    <w:rsid w:val="0082013D"/>
    <w:rsid w:val="0082014D"/>
    <w:rsid w:val="008201DE"/>
    <w:rsid w:val="008201F5"/>
    <w:rsid w:val="00820218"/>
    <w:rsid w:val="0082037D"/>
    <w:rsid w:val="00820415"/>
    <w:rsid w:val="00820488"/>
    <w:rsid w:val="00820641"/>
    <w:rsid w:val="00820652"/>
    <w:rsid w:val="00820853"/>
    <w:rsid w:val="00820917"/>
    <w:rsid w:val="00820962"/>
    <w:rsid w:val="0082097F"/>
    <w:rsid w:val="008209FD"/>
    <w:rsid w:val="00820A3F"/>
    <w:rsid w:val="00820A9A"/>
    <w:rsid w:val="00820AAC"/>
    <w:rsid w:val="00820BC5"/>
    <w:rsid w:val="00820C13"/>
    <w:rsid w:val="00820E11"/>
    <w:rsid w:val="00820E49"/>
    <w:rsid w:val="00820F0B"/>
    <w:rsid w:val="00820F36"/>
    <w:rsid w:val="00821003"/>
    <w:rsid w:val="00821040"/>
    <w:rsid w:val="008210AE"/>
    <w:rsid w:val="0082126C"/>
    <w:rsid w:val="00821289"/>
    <w:rsid w:val="008212CF"/>
    <w:rsid w:val="008212F6"/>
    <w:rsid w:val="0082138F"/>
    <w:rsid w:val="008213A5"/>
    <w:rsid w:val="008213EE"/>
    <w:rsid w:val="00821441"/>
    <w:rsid w:val="00821474"/>
    <w:rsid w:val="008214E1"/>
    <w:rsid w:val="0082152B"/>
    <w:rsid w:val="0082155E"/>
    <w:rsid w:val="008216BF"/>
    <w:rsid w:val="0082171D"/>
    <w:rsid w:val="00821744"/>
    <w:rsid w:val="008217E5"/>
    <w:rsid w:val="00821849"/>
    <w:rsid w:val="00821936"/>
    <w:rsid w:val="00821943"/>
    <w:rsid w:val="00821A65"/>
    <w:rsid w:val="00821BA3"/>
    <w:rsid w:val="00821C56"/>
    <w:rsid w:val="00821C79"/>
    <w:rsid w:val="00821D31"/>
    <w:rsid w:val="00821EF7"/>
    <w:rsid w:val="00821F49"/>
    <w:rsid w:val="00821FB6"/>
    <w:rsid w:val="00822171"/>
    <w:rsid w:val="0082228B"/>
    <w:rsid w:val="0082230C"/>
    <w:rsid w:val="00822356"/>
    <w:rsid w:val="00822430"/>
    <w:rsid w:val="0082243C"/>
    <w:rsid w:val="008225AD"/>
    <w:rsid w:val="008225F1"/>
    <w:rsid w:val="008227C5"/>
    <w:rsid w:val="00822899"/>
    <w:rsid w:val="008228EB"/>
    <w:rsid w:val="00822984"/>
    <w:rsid w:val="0082298E"/>
    <w:rsid w:val="00822AD0"/>
    <w:rsid w:val="00822B33"/>
    <w:rsid w:val="00822B35"/>
    <w:rsid w:val="00822B8C"/>
    <w:rsid w:val="00822C37"/>
    <w:rsid w:val="00822D4E"/>
    <w:rsid w:val="00822D8E"/>
    <w:rsid w:val="00822DB4"/>
    <w:rsid w:val="00822DC5"/>
    <w:rsid w:val="00822DF9"/>
    <w:rsid w:val="00822EC7"/>
    <w:rsid w:val="00822F32"/>
    <w:rsid w:val="00822F6C"/>
    <w:rsid w:val="00823060"/>
    <w:rsid w:val="0082308F"/>
    <w:rsid w:val="00823126"/>
    <w:rsid w:val="0082312F"/>
    <w:rsid w:val="00823130"/>
    <w:rsid w:val="0082318C"/>
    <w:rsid w:val="008231BF"/>
    <w:rsid w:val="008231C1"/>
    <w:rsid w:val="00823263"/>
    <w:rsid w:val="00823271"/>
    <w:rsid w:val="008232A9"/>
    <w:rsid w:val="008232C4"/>
    <w:rsid w:val="0082330C"/>
    <w:rsid w:val="00823342"/>
    <w:rsid w:val="00823346"/>
    <w:rsid w:val="00823495"/>
    <w:rsid w:val="008234C2"/>
    <w:rsid w:val="0082362E"/>
    <w:rsid w:val="00823664"/>
    <w:rsid w:val="008236C0"/>
    <w:rsid w:val="008236C6"/>
    <w:rsid w:val="008237C0"/>
    <w:rsid w:val="0082385E"/>
    <w:rsid w:val="0082395F"/>
    <w:rsid w:val="00823A30"/>
    <w:rsid w:val="00823A85"/>
    <w:rsid w:val="00823A93"/>
    <w:rsid w:val="00823AFE"/>
    <w:rsid w:val="00823B07"/>
    <w:rsid w:val="00823B49"/>
    <w:rsid w:val="00823B98"/>
    <w:rsid w:val="00823C67"/>
    <w:rsid w:val="00823C6A"/>
    <w:rsid w:val="00823C94"/>
    <w:rsid w:val="00823D5A"/>
    <w:rsid w:val="00823D6A"/>
    <w:rsid w:val="00823DFB"/>
    <w:rsid w:val="00823EEC"/>
    <w:rsid w:val="00823F4E"/>
    <w:rsid w:val="00823F97"/>
    <w:rsid w:val="0082411E"/>
    <w:rsid w:val="008241B3"/>
    <w:rsid w:val="00824295"/>
    <w:rsid w:val="008242DC"/>
    <w:rsid w:val="008242E1"/>
    <w:rsid w:val="00824458"/>
    <w:rsid w:val="0082445B"/>
    <w:rsid w:val="00824497"/>
    <w:rsid w:val="008244ED"/>
    <w:rsid w:val="0082458B"/>
    <w:rsid w:val="00824675"/>
    <w:rsid w:val="00824746"/>
    <w:rsid w:val="00824757"/>
    <w:rsid w:val="00824872"/>
    <w:rsid w:val="0082488D"/>
    <w:rsid w:val="008248CC"/>
    <w:rsid w:val="00824983"/>
    <w:rsid w:val="00824ABD"/>
    <w:rsid w:val="00824AE4"/>
    <w:rsid w:val="00824B53"/>
    <w:rsid w:val="00824BFD"/>
    <w:rsid w:val="00824C9D"/>
    <w:rsid w:val="00824CE9"/>
    <w:rsid w:val="00824E74"/>
    <w:rsid w:val="00824E96"/>
    <w:rsid w:val="00824E99"/>
    <w:rsid w:val="00824FFB"/>
    <w:rsid w:val="0082528E"/>
    <w:rsid w:val="0082540F"/>
    <w:rsid w:val="0082548D"/>
    <w:rsid w:val="0082550C"/>
    <w:rsid w:val="00825674"/>
    <w:rsid w:val="00825678"/>
    <w:rsid w:val="00825723"/>
    <w:rsid w:val="00825853"/>
    <w:rsid w:val="00825873"/>
    <w:rsid w:val="008258DB"/>
    <w:rsid w:val="00825B6C"/>
    <w:rsid w:val="00825BB5"/>
    <w:rsid w:val="00825C63"/>
    <w:rsid w:val="00825C95"/>
    <w:rsid w:val="00825CC4"/>
    <w:rsid w:val="00825D71"/>
    <w:rsid w:val="00825FEC"/>
    <w:rsid w:val="00825FF5"/>
    <w:rsid w:val="0082607E"/>
    <w:rsid w:val="00826252"/>
    <w:rsid w:val="0082627A"/>
    <w:rsid w:val="00826380"/>
    <w:rsid w:val="00826403"/>
    <w:rsid w:val="008264B1"/>
    <w:rsid w:val="008264C4"/>
    <w:rsid w:val="0082653A"/>
    <w:rsid w:val="00826640"/>
    <w:rsid w:val="008266A0"/>
    <w:rsid w:val="008266B2"/>
    <w:rsid w:val="008266D8"/>
    <w:rsid w:val="008266FC"/>
    <w:rsid w:val="00826847"/>
    <w:rsid w:val="00826882"/>
    <w:rsid w:val="008268EA"/>
    <w:rsid w:val="00826962"/>
    <w:rsid w:val="00826A2A"/>
    <w:rsid w:val="00826A5F"/>
    <w:rsid w:val="00826AFC"/>
    <w:rsid w:val="00826BAC"/>
    <w:rsid w:val="00826BD2"/>
    <w:rsid w:val="00826DB8"/>
    <w:rsid w:val="00826EA2"/>
    <w:rsid w:val="00826F09"/>
    <w:rsid w:val="008270F3"/>
    <w:rsid w:val="008271D7"/>
    <w:rsid w:val="00827387"/>
    <w:rsid w:val="008274AD"/>
    <w:rsid w:val="00827528"/>
    <w:rsid w:val="008275B0"/>
    <w:rsid w:val="008275CF"/>
    <w:rsid w:val="00827679"/>
    <w:rsid w:val="008276FA"/>
    <w:rsid w:val="00827705"/>
    <w:rsid w:val="008277A9"/>
    <w:rsid w:val="00827856"/>
    <w:rsid w:val="00827BCA"/>
    <w:rsid w:val="00827BD1"/>
    <w:rsid w:val="00827BDA"/>
    <w:rsid w:val="00827E3A"/>
    <w:rsid w:val="00827E55"/>
    <w:rsid w:val="00827FD7"/>
    <w:rsid w:val="00827FF0"/>
    <w:rsid w:val="00830053"/>
    <w:rsid w:val="00830063"/>
    <w:rsid w:val="008301B7"/>
    <w:rsid w:val="0083024D"/>
    <w:rsid w:val="0083026E"/>
    <w:rsid w:val="008303C9"/>
    <w:rsid w:val="00830451"/>
    <w:rsid w:val="008304CE"/>
    <w:rsid w:val="008304CF"/>
    <w:rsid w:val="00830594"/>
    <w:rsid w:val="0083060E"/>
    <w:rsid w:val="008306E6"/>
    <w:rsid w:val="008306F6"/>
    <w:rsid w:val="008307DA"/>
    <w:rsid w:val="0083097A"/>
    <w:rsid w:val="00830AC1"/>
    <w:rsid w:val="00830CE0"/>
    <w:rsid w:val="00830D91"/>
    <w:rsid w:val="00830DD9"/>
    <w:rsid w:val="00830E90"/>
    <w:rsid w:val="00830F40"/>
    <w:rsid w:val="00830FC9"/>
    <w:rsid w:val="00831030"/>
    <w:rsid w:val="00831127"/>
    <w:rsid w:val="00831250"/>
    <w:rsid w:val="008312A0"/>
    <w:rsid w:val="008312A3"/>
    <w:rsid w:val="008312ED"/>
    <w:rsid w:val="00831421"/>
    <w:rsid w:val="00831490"/>
    <w:rsid w:val="008314AD"/>
    <w:rsid w:val="008317BF"/>
    <w:rsid w:val="008317DC"/>
    <w:rsid w:val="0083195D"/>
    <w:rsid w:val="008319D3"/>
    <w:rsid w:val="00831A8A"/>
    <w:rsid w:val="00831BB2"/>
    <w:rsid w:val="00831BC8"/>
    <w:rsid w:val="00831C0D"/>
    <w:rsid w:val="00831EB8"/>
    <w:rsid w:val="00831EC8"/>
    <w:rsid w:val="00831F0F"/>
    <w:rsid w:val="00831F9F"/>
    <w:rsid w:val="00831FB8"/>
    <w:rsid w:val="00831FFD"/>
    <w:rsid w:val="0083204E"/>
    <w:rsid w:val="008320CB"/>
    <w:rsid w:val="008320F4"/>
    <w:rsid w:val="0083215E"/>
    <w:rsid w:val="0083219D"/>
    <w:rsid w:val="008321BA"/>
    <w:rsid w:val="008321D3"/>
    <w:rsid w:val="00832232"/>
    <w:rsid w:val="00832249"/>
    <w:rsid w:val="008322A7"/>
    <w:rsid w:val="008324E2"/>
    <w:rsid w:val="00832571"/>
    <w:rsid w:val="0083262D"/>
    <w:rsid w:val="0083271B"/>
    <w:rsid w:val="00832720"/>
    <w:rsid w:val="00832751"/>
    <w:rsid w:val="008327DF"/>
    <w:rsid w:val="0083289C"/>
    <w:rsid w:val="008328C1"/>
    <w:rsid w:val="008328EF"/>
    <w:rsid w:val="00832A92"/>
    <w:rsid w:val="00832AD8"/>
    <w:rsid w:val="00832BBB"/>
    <w:rsid w:val="00832C2A"/>
    <w:rsid w:val="00832C5F"/>
    <w:rsid w:val="00832D5A"/>
    <w:rsid w:val="00832D97"/>
    <w:rsid w:val="00832DBC"/>
    <w:rsid w:val="00832DCD"/>
    <w:rsid w:val="00832DF1"/>
    <w:rsid w:val="00832E06"/>
    <w:rsid w:val="00832E12"/>
    <w:rsid w:val="00832E63"/>
    <w:rsid w:val="00832F56"/>
    <w:rsid w:val="00833053"/>
    <w:rsid w:val="0083308C"/>
    <w:rsid w:val="00833110"/>
    <w:rsid w:val="0083318C"/>
    <w:rsid w:val="00833278"/>
    <w:rsid w:val="00833435"/>
    <w:rsid w:val="008334F2"/>
    <w:rsid w:val="008337E7"/>
    <w:rsid w:val="008337F9"/>
    <w:rsid w:val="00833848"/>
    <w:rsid w:val="0083388F"/>
    <w:rsid w:val="008338D3"/>
    <w:rsid w:val="0083390F"/>
    <w:rsid w:val="00833948"/>
    <w:rsid w:val="00833977"/>
    <w:rsid w:val="008339C8"/>
    <w:rsid w:val="008339CE"/>
    <w:rsid w:val="00833A1A"/>
    <w:rsid w:val="00833CC3"/>
    <w:rsid w:val="00833D52"/>
    <w:rsid w:val="00834071"/>
    <w:rsid w:val="008340B9"/>
    <w:rsid w:val="00834173"/>
    <w:rsid w:val="008341D7"/>
    <w:rsid w:val="0083423C"/>
    <w:rsid w:val="0083424D"/>
    <w:rsid w:val="00834286"/>
    <w:rsid w:val="008342A0"/>
    <w:rsid w:val="008342D5"/>
    <w:rsid w:val="0083435A"/>
    <w:rsid w:val="008343F3"/>
    <w:rsid w:val="00834405"/>
    <w:rsid w:val="008344FE"/>
    <w:rsid w:val="0083450D"/>
    <w:rsid w:val="00834680"/>
    <w:rsid w:val="008347E0"/>
    <w:rsid w:val="008348A1"/>
    <w:rsid w:val="00834A4D"/>
    <w:rsid w:val="00834AA3"/>
    <w:rsid w:val="00834BC0"/>
    <w:rsid w:val="00834BF5"/>
    <w:rsid w:val="00834CA6"/>
    <w:rsid w:val="00834D29"/>
    <w:rsid w:val="00834D67"/>
    <w:rsid w:val="00834DF7"/>
    <w:rsid w:val="00834F76"/>
    <w:rsid w:val="00834F7F"/>
    <w:rsid w:val="00835177"/>
    <w:rsid w:val="00835266"/>
    <w:rsid w:val="008352C1"/>
    <w:rsid w:val="00835309"/>
    <w:rsid w:val="008353AE"/>
    <w:rsid w:val="00835435"/>
    <w:rsid w:val="0083547C"/>
    <w:rsid w:val="008354DC"/>
    <w:rsid w:val="008356C1"/>
    <w:rsid w:val="008357DC"/>
    <w:rsid w:val="008358E3"/>
    <w:rsid w:val="00835924"/>
    <w:rsid w:val="00835970"/>
    <w:rsid w:val="008359D0"/>
    <w:rsid w:val="00835AC5"/>
    <w:rsid w:val="00835C66"/>
    <w:rsid w:val="00835CBE"/>
    <w:rsid w:val="00835E5A"/>
    <w:rsid w:val="00835EC4"/>
    <w:rsid w:val="0083605A"/>
    <w:rsid w:val="008360C2"/>
    <w:rsid w:val="008360CE"/>
    <w:rsid w:val="00836104"/>
    <w:rsid w:val="0083611C"/>
    <w:rsid w:val="0083612E"/>
    <w:rsid w:val="00836178"/>
    <w:rsid w:val="008361C2"/>
    <w:rsid w:val="008362DA"/>
    <w:rsid w:val="00836344"/>
    <w:rsid w:val="00836438"/>
    <w:rsid w:val="008364DD"/>
    <w:rsid w:val="008366D3"/>
    <w:rsid w:val="00836768"/>
    <w:rsid w:val="0083676C"/>
    <w:rsid w:val="00836914"/>
    <w:rsid w:val="0083697A"/>
    <w:rsid w:val="008369D6"/>
    <w:rsid w:val="00836AEE"/>
    <w:rsid w:val="00836B64"/>
    <w:rsid w:val="00836B95"/>
    <w:rsid w:val="00836C96"/>
    <w:rsid w:val="00836CA1"/>
    <w:rsid w:val="00836CFF"/>
    <w:rsid w:val="00836E99"/>
    <w:rsid w:val="00836F5B"/>
    <w:rsid w:val="00836FF7"/>
    <w:rsid w:val="00837087"/>
    <w:rsid w:val="00837186"/>
    <w:rsid w:val="00837211"/>
    <w:rsid w:val="0083721E"/>
    <w:rsid w:val="008372E4"/>
    <w:rsid w:val="008373C1"/>
    <w:rsid w:val="0083751C"/>
    <w:rsid w:val="00837846"/>
    <w:rsid w:val="00837877"/>
    <w:rsid w:val="00837893"/>
    <w:rsid w:val="00837A0B"/>
    <w:rsid w:val="00837A21"/>
    <w:rsid w:val="00837CE0"/>
    <w:rsid w:val="00837DAE"/>
    <w:rsid w:val="00837DDC"/>
    <w:rsid w:val="00837E10"/>
    <w:rsid w:val="00837F2D"/>
    <w:rsid w:val="00837F55"/>
    <w:rsid w:val="00837F66"/>
    <w:rsid w:val="00837F6C"/>
    <w:rsid w:val="00840039"/>
    <w:rsid w:val="00840236"/>
    <w:rsid w:val="00840255"/>
    <w:rsid w:val="008404BC"/>
    <w:rsid w:val="00840574"/>
    <w:rsid w:val="008405D7"/>
    <w:rsid w:val="00840751"/>
    <w:rsid w:val="008408A2"/>
    <w:rsid w:val="00840A6C"/>
    <w:rsid w:val="00840ABC"/>
    <w:rsid w:val="00840AC9"/>
    <w:rsid w:val="00840C2B"/>
    <w:rsid w:val="00840C33"/>
    <w:rsid w:val="00840C49"/>
    <w:rsid w:val="00840C91"/>
    <w:rsid w:val="00840D3F"/>
    <w:rsid w:val="00840E71"/>
    <w:rsid w:val="00840F13"/>
    <w:rsid w:val="0084103C"/>
    <w:rsid w:val="008410C3"/>
    <w:rsid w:val="00841161"/>
    <w:rsid w:val="008414DF"/>
    <w:rsid w:val="008414FA"/>
    <w:rsid w:val="0084159C"/>
    <w:rsid w:val="008415B3"/>
    <w:rsid w:val="008416F6"/>
    <w:rsid w:val="00841780"/>
    <w:rsid w:val="00841794"/>
    <w:rsid w:val="008417CF"/>
    <w:rsid w:val="0084186F"/>
    <w:rsid w:val="00841907"/>
    <w:rsid w:val="008419F1"/>
    <w:rsid w:val="00841A0E"/>
    <w:rsid w:val="00841A9A"/>
    <w:rsid w:val="00841C11"/>
    <w:rsid w:val="00841C2F"/>
    <w:rsid w:val="00841CAB"/>
    <w:rsid w:val="00841CBB"/>
    <w:rsid w:val="00841D37"/>
    <w:rsid w:val="00841E11"/>
    <w:rsid w:val="00841E55"/>
    <w:rsid w:val="00841EA2"/>
    <w:rsid w:val="00841EC4"/>
    <w:rsid w:val="00841EF3"/>
    <w:rsid w:val="00841F3C"/>
    <w:rsid w:val="00841F7C"/>
    <w:rsid w:val="0084206F"/>
    <w:rsid w:val="00842082"/>
    <w:rsid w:val="008421DF"/>
    <w:rsid w:val="0084228A"/>
    <w:rsid w:val="008422C7"/>
    <w:rsid w:val="00842317"/>
    <w:rsid w:val="00842365"/>
    <w:rsid w:val="00842375"/>
    <w:rsid w:val="00842437"/>
    <w:rsid w:val="008424B4"/>
    <w:rsid w:val="00842605"/>
    <w:rsid w:val="0084264A"/>
    <w:rsid w:val="0084273D"/>
    <w:rsid w:val="00842853"/>
    <w:rsid w:val="00842964"/>
    <w:rsid w:val="008429D9"/>
    <w:rsid w:val="00842A38"/>
    <w:rsid w:val="00842A79"/>
    <w:rsid w:val="00842AEE"/>
    <w:rsid w:val="00842B3C"/>
    <w:rsid w:val="00842B75"/>
    <w:rsid w:val="00842C31"/>
    <w:rsid w:val="00842C8B"/>
    <w:rsid w:val="00842D6F"/>
    <w:rsid w:val="00842F97"/>
    <w:rsid w:val="00842FAE"/>
    <w:rsid w:val="00843088"/>
    <w:rsid w:val="008430AC"/>
    <w:rsid w:val="008430BC"/>
    <w:rsid w:val="0084323C"/>
    <w:rsid w:val="00843294"/>
    <w:rsid w:val="008432BB"/>
    <w:rsid w:val="0084336A"/>
    <w:rsid w:val="00843567"/>
    <w:rsid w:val="008436F8"/>
    <w:rsid w:val="00843896"/>
    <w:rsid w:val="008438A9"/>
    <w:rsid w:val="008438BE"/>
    <w:rsid w:val="008438E0"/>
    <w:rsid w:val="00843997"/>
    <w:rsid w:val="00843A31"/>
    <w:rsid w:val="00843A35"/>
    <w:rsid w:val="00843AC9"/>
    <w:rsid w:val="00843AF0"/>
    <w:rsid w:val="00843C8E"/>
    <w:rsid w:val="00843C97"/>
    <w:rsid w:val="00843CB8"/>
    <w:rsid w:val="00843DEA"/>
    <w:rsid w:val="00843EB4"/>
    <w:rsid w:val="00843EF7"/>
    <w:rsid w:val="0084416B"/>
    <w:rsid w:val="008441F7"/>
    <w:rsid w:val="0084424D"/>
    <w:rsid w:val="008442D1"/>
    <w:rsid w:val="008442DF"/>
    <w:rsid w:val="00844372"/>
    <w:rsid w:val="00844417"/>
    <w:rsid w:val="0084446B"/>
    <w:rsid w:val="008445D4"/>
    <w:rsid w:val="00844609"/>
    <w:rsid w:val="0084461E"/>
    <w:rsid w:val="00844664"/>
    <w:rsid w:val="008447F1"/>
    <w:rsid w:val="00844837"/>
    <w:rsid w:val="0084485D"/>
    <w:rsid w:val="008448E9"/>
    <w:rsid w:val="0084490F"/>
    <w:rsid w:val="0084491F"/>
    <w:rsid w:val="00844943"/>
    <w:rsid w:val="00844979"/>
    <w:rsid w:val="008449DD"/>
    <w:rsid w:val="00844A21"/>
    <w:rsid w:val="00844A72"/>
    <w:rsid w:val="00844B57"/>
    <w:rsid w:val="00844C74"/>
    <w:rsid w:val="00844E6D"/>
    <w:rsid w:val="00844E7A"/>
    <w:rsid w:val="00845047"/>
    <w:rsid w:val="0084505A"/>
    <w:rsid w:val="008451F6"/>
    <w:rsid w:val="0084523F"/>
    <w:rsid w:val="00845316"/>
    <w:rsid w:val="008453D7"/>
    <w:rsid w:val="00845414"/>
    <w:rsid w:val="0084549B"/>
    <w:rsid w:val="008454B7"/>
    <w:rsid w:val="008454CB"/>
    <w:rsid w:val="0084555F"/>
    <w:rsid w:val="0084556C"/>
    <w:rsid w:val="0084559B"/>
    <w:rsid w:val="008455B9"/>
    <w:rsid w:val="008455D6"/>
    <w:rsid w:val="008455E6"/>
    <w:rsid w:val="008455F5"/>
    <w:rsid w:val="00845637"/>
    <w:rsid w:val="008456AE"/>
    <w:rsid w:val="00845701"/>
    <w:rsid w:val="00845716"/>
    <w:rsid w:val="00845808"/>
    <w:rsid w:val="0084582D"/>
    <w:rsid w:val="0084585C"/>
    <w:rsid w:val="0084596C"/>
    <w:rsid w:val="00845A72"/>
    <w:rsid w:val="00845B6D"/>
    <w:rsid w:val="00845C3A"/>
    <w:rsid w:val="00845CE6"/>
    <w:rsid w:val="00845DB0"/>
    <w:rsid w:val="00845FAD"/>
    <w:rsid w:val="00845FFB"/>
    <w:rsid w:val="008461E1"/>
    <w:rsid w:val="008462D3"/>
    <w:rsid w:val="008462FE"/>
    <w:rsid w:val="00846553"/>
    <w:rsid w:val="0084661B"/>
    <w:rsid w:val="0084669F"/>
    <w:rsid w:val="00846734"/>
    <w:rsid w:val="0084689A"/>
    <w:rsid w:val="00846934"/>
    <w:rsid w:val="00846C01"/>
    <w:rsid w:val="00846C9C"/>
    <w:rsid w:val="00846EF7"/>
    <w:rsid w:val="00846F05"/>
    <w:rsid w:val="00846F35"/>
    <w:rsid w:val="00846F73"/>
    <w:rsid w:val="00847406"/>
    <w:rsid w:val="008474EB"/>
    <w:rsid w:val="00847517"/>
    <w:rsid w:val="0084756B"/>
    <w:rsid w:val="0084763F"/>
    <w:rsid w:val="00847658"/>
    <w:rsid w:val="00847695"/>
    <w:rsid w:val="008476DE"/>
    <w:rsid w:val="0084771D"/>
    <w:rsid w:val="008477BE"/>
    <w:rsid w:val="00847877"/>
    <w:rsid w:val="008479C7"/>
    <w:rsid w:val="008479FE"/>
    <w:rsid w:val="00847A1A"/>
    <w:rsid w:val="00847ABF"/>
    <w:rsid w:val="00847AE3"/>
    <w:rsid w:val="00847B16"/>
    <w:rsid w:val="00847B1C"/>
    <w:rsid w:val="00847B4D"/>
    <w:rsid w:val="00847B5C"/>
    <w:rsid w:val="00847CFC"/>
    <w:rsid w:val="00847D9F"/>
    <w:rsid w:val="00847DD0"/>
    <w:rsid w:val="00847E4A"/>
    <w:rsid w:val="00847E79"/>
    <w:rsid w:val="00847E9B"/>
    <w:rsid w:val="00847ED0"/>
    <w:rsid w:val="00847EF9"/>
    <w:rsid w:val="0085003A"/>
    <w:rsid w:val="00850058"/>
    <w:rsid w:val="0085008D"/>
    <w:rsid w:val="00850224"/>
    <w:rsid w:val="0085031D"/>
    <w:rsid w:val="00850436"/>
    <w:rsid w:val="00850456"/>
    <w:rsid w:val="008504D3"/>
    <w:rsid w:val="008504EA"/>
    <w:rsid w:val="00850508"/>
    <w:rsid w:val="0085050A"/>
    <w:rsid w:val="00850568"/>
    <w:rsid w:val="008505CD"/>
    <w:rsid w:val="00850674"/>
    <w:rsid w:val="008506A0"/>
    <w:rsid w:val="00850755"/>
    <w:rsid w:val="008507E2"/>
    <w:rsid w:val="00850879"/>
    <w:rsid w:val="0085096E"/>
    <w:rsid w:val="00850A52"/>
    <w:rsid w:val="00850A89"/>
    <w:rsid w:val="00850AD3"/>
    <w:rsid w:val="00850B45"/>
    <w:rsid w:val="00850B4A"/>
    <w:rsid w:val="00850B60"/>
    <w:rsid w:val="00850B94"/>
    <w:rsid w:val="00850BB0"/>
    <w:rsid w:val="00850BD2"/>
    <w:rsid w:val="00850D77"/>
    <w:rsid w:val="00850D92"/>
    <w:rsid w:val="00850DAF"/>
    <w:rsid w:val="00850DCC"/>
    <w:rsid w:val="00850DDD"/>
    <w:rsid w:val="00850E7B"/>
    <w:rsid w:val="00850FE9"/>
    <w:rsid w:val="0085101A"/>
    <w:rsid w:val="00851045"/>
    <w:rsid w:val="00851077"/>
    <w:rsid w:val="008510FE"/>
    <w:rsid w:val="00851131"/>
    <w:rsid w:val="00851139"/>
    <w:rsid w:val="00851148"/>
    <w:rsid w:val="008511F6"/>
    <w:rsid w:val="00851215"/>
    <w:rsid w:val="00851220"/>
    <w:rsid w:val="00851386"/>
    <w:rsid w:val="00851394"/>
    <w:rsid w:val="008513A1"/>
    <w:rsid w:val="008513C1"/>
    <w:rsid w:val="00851482"/>
    <w:rsid w:val="0085150C"/>
    <w:rsid w:val="008515CF"/>
    <w:rsid w:val="008516DF"/>
    <w:rsid w:val="00851866"/>
    <w:rsid w:val="0085188D"/>
    <w:rsid w:val="0085191C"/>
    <w:rsid w:val="00851964"/>
    <w:rsid w:val="008519AA"/>
    <w:rsid w:val="00851A32"/>
    <w:rsid w:val="00851A40"/>
    <w:rsid w:val="00851A50"/>
    <w:rsid w:val="00851AA1"/>
    <w:rsid w:val="00851B2D"/>
    <w:rsid w:val="00851B3D"/>
    <w:rsid w:val="00851C0E"/>
    <w:rsid w:val="00851C67"/>
    <w:rsid w:val="00851C97"/>
    <w:rsid w:val="00851DCB"/>
    <w:rsid w:val="00851E62"/>
    <w:rsid w:val="00852087"/>
    <w:rsid w:val="0085218E"/>
    <w:rsid w:val="008521EA"/>
    <w:rsid w:val="0085225E"/>
    <w:rsid w:val="008522C3"/>
    <w:rsid w:val="008522F8"/>
    <w:rsid w:val="00852592"/>
    <w:rsid w:val="00852641"/>
    <w:rsid w:val="008528E6"/>
    <w:rsid w:val="008529A2"/>
    <w:rsid w:val="008529FF"/>
    <w:rsid w:val="00852B09"/>
    <w:rsid w:val="00852BCE"/>
    <w:rsid w:val="00852CFD"/>
    <w:rsid w:val="00852D05"/>
    <w:rsid w:val="00852D30"/>
    <w:rsid w:val="00852F33"/>
    <w:rsid w:val="00852F54"/>
    <w:rsid w:val="00852F7F"/>
    <w:rsid w:val="00852FE9"/>
    <w:rsid w:val="00852FF6"/>
    <w:rsid w:val="00853031"/>
    <w:rsid w:val="0085310B"/>
    <w:rsid w:val="008531AC"/>
    <w:rsid w:val="008531F5"/>
    <w:rsid w:val="00853211"/>
    <w:rsid w:val="008532FF"/>
    <w:rsid w:val="0085335E"/>
    <w:rsid w:val="00853481"/>
    <w:rsid w:val="00853660"/>
    <w:rsid w:val="00853661"/>
    <w:rsid w:val="0085369E"/>
    <w:rsid w:val="008536CA"/>
    <w:rsid w:val="008537A3"/>
    <w:rsid w:val="008537DF"/>
    <w:rsid w:val="008537E6"/>
    <w:rsid w:val="00853920"/>
    <w:rsid w:val="0085392F"/>
    <w:rsid w:val="008539C0"/>
    <w:rsid w:val="00853B06"/>
    <w:rsid w:val="00853B3F"/>
    <w:rsid w:val="00853BF5"/>
    <w:rsid w:val="00853C50"/>
    <w:rsid w:val="00853CD6"/>
    <w:rsid w:val="00853D2B"/>
    <w:rsid w:val="00853D58"/>
    <w:rsid w:val="00853F1D"/>
    <w:rsid w:val="0085404D"/>
    <w:rsid w:val="00854070"/>
    <w:rsid w:val="008540CF"/>
    <w:rsid w:val="008541E3"/>
    <w:rsid w:val="008541EE"/>
    <w:rsid w:val="00854229"/>
    <w:rsid w:val="00854234"/>
    <w:rsid w:val="008542C7"/>
    <w:rsid w:val="008543F8"/>
    <w:rsid w:val="00854436"/>
    <w:rsid w:val="00854562"/>
    <w:rsid w:val="008545C6"/>
    <w:rsid w:val="00854625"/>
    <w:rsid w:val="00854760"/>
    <w:rsid w:val="00854791"/>
    <w:rsid w:val="008548AC"/>
    <w:rsid w:val="008548E2"/>
    <w:rsid w:val="00854915"/>
    <w:rsid w:val="00854963"/>
    <w:rsid w:val="00854A0D"/>
    <w:rsid w:val="00854A9B"/>
    <w:rsid w:val="00854B43"/>
    <w:rsid w:val="00854B8F"/>
    <w:rsid w:val="00854D00"/>
    <w:rsid w:val="00854D1F"/>
    <w:rsid w:val="00854D36"/>
    <w:rsid w:val="00854D4F"/>
    <w:rsid w:val="00854DEB"/>
    <w:rsid w:val="00854E8E"/>
    <w:rsid w:val="00854FD8"/>
    <w:rsid w:val="00854FFE"/>
    <w:rsid w:val="00855076"/>
    <w:rsid w:val="008550B5"/>
    <w:rsid w:val="008550EF"/>
    <w:rsid w:val="00855161"/>
    <w:rsid w:val="0085535D"/>
    <w:rsid w:val="00855399"/>
    <w:rsid w:val="008553DD"/>
    <w:rsid w:val="008553EC"/>
    <w:rsid w:val="00855402"/>
    <w:rsid w:val="00855478"/>
    <w:rsid w:val="0085550E"/>
    <w:rsid w:val="008555BD"/>
    <w:rsid w:val="008555C1"/>
    <w:rsid w:val="008555C8"/>
    <w:rsid w:val="00855604"/>
    <w:rsid w:val="00855612"/>
    <w:rsid w:val="00855743"/>
    <w:rsid w:val="0085574E"/>
    <w:rsid w:val="008558DB"/>
    <w:rsid w:val="00855960"/>
    <w:rsid w:val="00855A3A"/>
    <w:rsid w:val="00855AF2"/>
    <w:rsid w:val="00855B34"/>
    <w:rsid w:val="00855B43"/>
    <w:rsid w:val="00855D2D"/>
    <w:rsid w:val="00855EBB"/>
    <w:rsid w:val="00855F30"/>
    <w:rsid w:val="00855F67"/>
    <w:rsid w:val="00855FC9"/>
    <w:rsid w:val="008561EC"/>
    <w:rsid w:val="0085621B"/>
    <w:rsid w:val="00856325"/>
    <w:rsid w:val="0085638B"/>
    <w:rsid w:val="008563AC"/>
    <w:rsid w:val="008563FA"/>
    <w:rsid w:val="00856503"/>
    <w:rsid w:val="0085657D"/>
    <w:rsid w:val="00856585"/>
    <w:rsid w:val="008566EF"/>
    <w:rsid w:val="008567E1"/>
    <w:rsid w:val="008567E9"/>
    <w:rsid w:val="00856820"/>
    <w:rsid w:val="00856856"/>
    <w:rsid w:val="008568C9"/>
    <w:rsid w:val="008568E5"/>
    <w:rsid w:val="00856AB0"/>
    <w:rsid w:val="00856B32"/>
    <w:rsid w:val="00856B4A"/>
    <w:rsid w:val="00856D0E"/>
    <w:rsid w:val="00856D99"/>
    <w:rsid w:val="00856E1E"/>
    <w:rsid w:val="00856FB8"/>
    <w:rsid w:val="00856FBF"/>
    <w:rsid w:val="00856FCE"/>
    <w:rsid w:val="00857096"/>
    <w:rsid w:val="008570F5"/>
    <w:rsid w:val="00857141"/>
    <w:rsid w:val="0085724E"/>
    <w:rsid w:val="0085728D"/>
    <w:rsid w:val="0085729D"/>
    <w:rsid w:val="008572EF"/>
    <w:rsid w:val="008573BC"/>
    <w:rsid w:val="008573C7"/>
    <w:rsid w:val="00857476"/>
    <w:rsid w:val="008574E2"/>
    <w:rsid w:val="00857545"/>
    <w:rsid w:val="00857571"/>
    <w:rsid w:val="00857574"/>
    <w:rsid w:val="008575CA"/>
    <w:rsid w:val="00857660"/>
    <w:rsid w:val="008576D2"/>
    <w:rsid w:val="00857710"/>
    <w:rsid w:val="00857856"/>
    <w:rsid w:val="008578C0"/>
    <w:rsid w:val="0085791F"/>
    <w:rsid w:val="00857A7D"/>
    <w:rsid w:val="00857B2F"/>
    <w:rsid w:val="00857C86"/>
    <w:rsid w:val="00857D15"/>
    <w:rsid w:val="00857D65"/>
    <w:rsid w:val="00857DF1"/>
    <w:rsid w:val="00857E33"/>
    <w:rsid w:val="00857F12"/>
    <w:rsid w:val="00857FE5"/>
    <w:rsid w:val="008600DA"/>
    <w:rsid w:val="008600DC"/>
    <w:rsid w:val="00860113"/>
    <w:rsid w:val="008601B7"/>
    <w:rsid w:val="008602C5"/>
    <w:rsid w:val="00860314"/>
    <w:rsid w:val="0086031D"/>
    <w:rsid w:val="00860339"/>
    <w:rsid w:val="00860343"/>
    <w:rsid w:val="00860378"/>
    <w:rsid w:val="00860383"/>
    <w:rsid w:val="00860414"/>
    <w:rsid w:val="008604B4"/>
    <w:rsid w:val="008605DE"/>
    <w:rsid w:val="00860669"/>
    <w:rsid w:val="008607A3"/>
    <w:rsid w:val="00860952"/>
    <w:rsid w:val="00860B0C"/>
    <w:rsid w:val="00860B9A"/>
    <w:rsid w:val="00860C97"/>
    <w:rsid w:val="00860D4E"/>
    <w:rsid w:val="00860DC9"/>
    <w:rsid w:val="00860E03"/>
    <w:rsid w:val="00860FAC"/>
    <w:rsid w:val="00860FCD"/>
    <w:rsid w:val="0086107E"/>
    <w:rsid w:val="0086109A"/>
    <w:rsid w:val="008610AA"/>
    <w:rsid w:val="0086117C"/>
    <w:rsid w:val="008611A8"/>
    <w:rsid w:val="008611EF"/>
    <w:rsid w:val="008612A2"/>
    <w:rsid w:val="008612E4"/>
    <w:rsid w:val="008613F2"/>
    <w:rsid w:val="0086150E"/>
    <w:rsid w:val="00861566"/>
    <w:rsid w:val="00861607"/>
    <w:rsid w:val="0086170A"/>
    <w:rsid w:val="0086173D"/>
    <w:rsid w:val="00861774"/>
    <w:rsid w:val="0086189F"/>
    <w:rsid w:val="008619D2"/>
    <w:rsid w:val="00861A01"/>
    <w:rsid w:val="00861AA4"/>
    <w:rsid w:val="00861C20"/>
    <w:rsid w:val="00861C72"/>
    <w:rsid w:val="00861CCD"/>
    <w:rsid w:val="00861E3B"/>
    <w:rsid w:val="00861EA6"/>
    <w:rsid w:val="00862089"/>
    <w:rsid w:val="008620CE"/>
    <w:rsid w:val="008621BE"/>
    <w:rsid w:val="00862227"/>
    <w:rsid w:val="0086223B"/>
    <w:rsid w:val="008622FF"/>
    <w:rsid w:val="008623E5"/>
    <w:rsid w:val="00862555"/>
    <w:rsid w:val="00862597"/>
    <w:rsid w:val="0086266B"/>
    <w:rsid w:val="008626D6"/>
    <w:rsid w:val="008627E9"/>
    <w:rsid w:val="008628B0"/>
    <w:rsid w:val="008628F3"/>
    <w:rsid w:val="00862924"/>
    <w:rsid w:val="00862A38"/>
    <w:rsid w:val="00862BEE"/>
    <w:rsid w:val="00862C06"/>
    <w:rsid w:val="00862C40"/>
    <w:rsid w:val="00862C8A"/>
    <w:rsid w:val="00862CBD"/>
    <w:rsid w:val="00862E88"/>
    <w:rsid w:val="00862EBB"/>
    <w:rsid w:val="00862EE1"/>
    <w:rsid w:val="00862F8C"/>
    <w:rsid w:val="00862FA6"/>
    <w:rsid w:val="00863024"/>
    <w:rsid w:val="0086303E"/>
    <w:rsid w:val="00863086"/>
    <w:rsid w:val="008630A6"/>
    <w:rsid w:val="00863126"/>
    <w:rsid w:val="00863337"/>
    <w:rsid w:val="0086333C"/>
    <w:rsid w:val="0086336B"/>
    <w:rsid w:val="008633FB"/>
    <w:rsid w:val="008634D3"/>
    <w:rsid w:val="00863544"/>
    <w:rsid w:val="00863582"/>
    <w:rsid w:val="00863744"/>
    <w:rsid w:val="0086375C"/>
    <w:rsid w:val="0086375F"/>
    <w:rsid w:val="0086379C"/>
    <w:rsid w:val="00863840"/>
    <w:rsid w:val="00863883"/>
    <w:rsid w:val="008639E6"/>
    <w:rsid w:val="00863A3D"/>
    <w:rsid w:val="00863A4F"/>
    <w:rsid w:val="00863A99"/>
    <w:rsid w:val="00863B15"/>
    <w:rsid w:val="00863BC7"/>
    <w:rsid w:val="00863C55"/>
    <w:rsid w:val="00863CE6"/>
    <w:rsid w:val="00863DB7"/>
    <w:rsid w:val="00863DEE"/>
    <w:rsid w:val="00863DF1"/>
    <w:rsid w:val="00863E28"/>
    <w:rsid w:val="00863E38"/>
    <w:rsid w:val="00863E39"/>
    <w:rsid w:val="00863E40"/>
    <w:rsid w:val="00863E5E"/>
    <w:rsid w:val="00863FCB"/>
    <w:rsid w:val="008640F4"/>
    <w:rsid w:val="008642F5"/>
    <w:rsid w:val="0086444B"/>
    <w:rsid w:val="0086455D"/>
    <w:rsid w:val="0086460E"/>
    <w:rsid w:val="0086461B"/>
    <w:rsid w:val="00864629"/>
    <w:rsid w:val="00864642"/>
    <w:rsid w:val="008646E7"/>
    <w:rsid w:val="00864784"/>
    <w:rsid w:val="008649EF"/>
    <w:rsid w:val="00864A32"/>
    <w:rsid w:val="00864A42"/>
    <w:rsid w:val="00864AED"/>
    <w:rsid w:val="00864B0C"/>
    <w:rsid w:val="00864BF6"/>
    <w:rsid w:val="00864C56"/>
    <w:rsid w:val="00864C8F"/>
    <w:rsid w:val="00864D5C"/>
    <w:rsid w:val="00864DC6"/>
    <w:rsid w:val="00864E4D"/>
    <w:rsid w:val="00864E9A"/>
    <w:rsid w:val="00864F87"/>
    <w:rsid w:val="00864FBA"/>
    <w:rsid w:val="00865052"/>
    <w:rsid w:val="008650DE"/>
    <w:rsid w:val="00865171"/>
    <w:rsid w:val="008651BC"/>
    <w:rsid w:val="00865264"/>
    <w:rsid w:val="008653DA"/>
    <w:rsid w:val="00865435"/>
    <w:rsid w:val="00865586"/>
    <w:rsid w:val="008655BB"/>
    <w:rsid w:val="008655C8"/>
    <w:rsid w:val="008655CF"/>
    <w:rsid w:val="00865670"/>
    <w:rsid w:val="008656D3"/>
    <w:rsid w:val="00865784"/>
    <w:rsid w:val="00865910"/>
    <w:rsid w:val="008659FD"/>
    <w:rsid w:val="00865A5B"/>
    <w:rsid w:val="00865B75"/>
    <w:rsid w:val="00865BC6"/>
    <w:rsid w:val="00865BC9"/>
    <w:rsid w:val="00865BD1"/>
    <w:rsid w:val="00865CF5"/>
    <w:rsid w:val="00865E50"/>
    <w:rsid w:val="00865EC2"/>
    <w:rsid w:val="00865F8A"/>
    <w:rsid w:val="008660EF"/>
    <w:rsid w:val="0086615D"/>
    <w:rsid w:val="008661AF"/>
    <w:rsid w:val="008661C1"/>
    <w:rsid w:val="0086630A"/>
    <w:rsid w:val="0086638D"/>
    <w:rsid w:val="008663A5"/>
    <w:rsid w:val="008663DE"/>
    <w:rsid w:val="00866633"/>
    <w:rsid w:val="00866676"/>
    <w:rsid w:val="00866747"/>
    <w:rsid w:val="00866769"/>
    <w:rsid w:val="008667DD"/>
    <w:rsid w:val="008667EE"/>
    <w:rsid w:val="0086697E"/>
    <w:rsid w:val="008669DB"/>
    <w:rsid w:val="008669F1"/>
    <w:rsid w:val="00866A1A"/>
    <w:rsid w:val="00866A8F"/>
    <w:rsid w:val="00866BF0"/>
    <w:rsid w:val="00866D42"/>
    <w:rsid w:val="00866EA1"/>
    <w:rsid w:val="00866EC8"/>
    <w:rsid w:val="00866F19"/>
    <w:rsid w:val="00866F5B"/>
    <w:rsid w:val="00866F60"/>
    <w:rsid w:val="008670D1"/>
    <w:rsid w:val="008670EF"/>
    <w:rsid w:val="00867130"/>
    <w:rsid w:val="008671D9"/>
    <w:rsid w:val="0086721B"/>
    <w:rsid w:val="0086726F"/>
    <w:rsid w:val="008673E5"/>
    <w:rsid w:val="00867401"/>
    <w:rsid w:val="0086742E"/>
    <w:rsid w:val="0086750C"/>
    <w:rsid w:val="008675A0"/>
    <w:rsid w:val="00867619"/>
    <w:rsid w:val="00867662"/>
    <w:rsid w:val="008676E7"/>
    <w:rsid w:val="00867768"/>
    <w:rsid w:val="0086778F"/>
    <w:rsid w:val="00867886"/>
    <w:rsid w:val="008678B2"/>
    <w:rsid w:val="008678C2"/>
    <w:rsid w:val="0086790E"/>
    <w:rsid w:val="00867931"/>
    <w:rsid w:val="00867A41"/>
    <w:rsid w:val="00867A5D"/>
    <w:rsid w:val="00867ADD"/>
    <w:rsid w:val="00867BBC"/>
    <w:rsid w:val="00867BEE"/>
    <w:rsid w:val="00867CE3"/>
    <w:rsid w:val="00867D5B"/>
    <w:rsid w:val="00867DF7"/>
    <w:rsid w:val="00867E29"/>
    <w:rsid w:val="00867EBC"/>
    <w:rsid w:val="00867F3F"/>
    <w:rsid w:val="00867F67"/>
    <w:rsid w:val="00867F7D"/>
    <w:rsid w:val="00867F99"/>
    <w:rsid w:val="00867FAA"/>
    <w:rsid w:val="008700B6"/>
    <w:rsid w:val="0087016F"/>
    <w:rsid w:val="00870178"/>
    <w:rsid w:val="008701F7"/>
    <w:rsid w:val="00870210"/>
    <w:rsid w:val="008702F4"/>
    <w:rsid w:val="00870372"/>
    <w:rsid w:val="008703D2"/>
    <w:rsid w:val="0087044F"/>
    <w:rsid w:val="00870480"/>
    <w:rsid w:val="00870550"/>
    <w:rsid w:val="00870563"/>
    <w:rsid w:val="008706E4"/>
    <w:rsid w:val="00870710"/>
    <w:rsid w:val="008707DD"/>
    <w:rsid w:val="00870872"/>
    <w:rsid w:val="008708A0"/>
    <w:rsid w:val="008708B8"/>
    <w:rsid w:val="0087090C"/>
    <w:rsid w:val="00870981"/>
    <w:rsid w:val="008709EC"/>
    <w:rsid w:val="00870A82"/>
    <w:rsid w:val="00870AA5"/>
    <w:rsid w:val="00870AB6"/>
    <w:rsid w:val="00870C98"/>
    <w:rsid w:val="00870D90"/>
    <w:rsid w:val="00870DD0"/>
    <w:rsid w:val="0087100F"/>
    <w:rsid w:val="00871160"/>
    <w:rsid w:val="008711CF"/>
    <w:rsid w:val="00871260"/>
    <w:rsid w:val="0087126C"/>
    <w:rsid w:val="00871322"/>
    <w:rsid w:val="00871546"/>
    <w:rsid w:val="008715DB"/>
    <w:rsid w:val="008716D9"/>
    <w:rsid w:val="0087177B"/>
    <w:rsid w:val="00871A9F"/>
    <w:rsid w:val="00871ADA"/>
    <w:rsid w:val="00871B11"/>
    <w:rsid w:val="00871CA1"/>
    <w:rsid w:val="00871E50"/>
    <w:rsid w:val="00871E87"/>
    <w:rsid w:val="00871EEF"/>
    <w:rsid w:val="00872027"/>
    <w:rsid w:val="0087208E"/>
    <w:rsid w:val="0087217A"/>
    <w:rsid w:val="00872277"/>
    <w:rsid w:val="008725C1"/>
    <w:rsid w:val="008726D0"/>
    <w:rsid w:val="008727B0"/>
    <w:rsid w:val="00872815"/>
    <w:rsid w:val="008728F4"/>
    <w:rsid w:val="00872947"/>
    <w:rsid w:val="00872ABD"/>
    <w:rsid w:val="00872B50"/>
    <w:rsid w:val="00872B55"/>
    <w:rsid w:val="00872BB1"/>
    <w:rsid w:val="00872C27"/>
    <w:rsid w:val="00872C32"/>
    <w:rsid w:val="00872CB5"/>
    <w:rsid w:val="00872CBD"/>
    <w:rsid w:val="00872DFE"/>
    <w:rsid w:val="00872E8C"/>
    <w:rsid w:val="008730EB"/>
    <w:rsid w:val="008731AB"/>
    <w:rsid w:val="008731D1"/>
    <w:rsid w:val="0087320D"/>
    <w:rsid w:val="00873239"/>
    <w:rsid w:val="00873349"/>
    <w:rsid w:val="008733AC"/>
    <w:rsid w:val="008733D0"/>
    <w:rsid w:val="008733F9"/>
    <w:rsid w:val="00873409"/>
    <w:rsid w:val="00873425"/>
    <w:rsid w:val="008734C9"/>
    <w:rsid w:val="008734F9"/>
    <w:rsid w:val="00873688"/>
    <w:rsid w:val="00873771"/>
    <w:rsid w:val="00873792"/>
    <w:rsid w:val="008737C0"/>
    <w:rsid w:val="008737C3"/>
    <w:rsid w:val="008737F1"/>
    <w:rsid w:val="0087383E"/>
    <w:rsid w:val="008738B2"/>
    <w:rsid w:val="008738BF"/>
    <w:rsid w:val="008738C6"/>
    <w:rsid w:val="0087393E"/>
    <w:rsid w:val="00873951"/>
    <w:rsid w:val="0087398F"/>
    <w:rsid w:val="00873A38"/>
    <w:rsid w:val="00873AF5"/>
    <w:rsid w:val="00873CB1"/>
    <w:rsid w:val="00873DA5"/>
    <w:rsid w:val="00873F5C"/>
    <w:rsid w:val="008740EE"/>
    <w:rsid w:val="0087410F"/>
    <w:rsid w:val="0087413C"/>
    <w:rsid w:val="008741D6"/>
    <w:rsid w:val="00874254"/>
    <w:rsid w:val="00874328"/>
    <w:rsid w:val="008743CF"/>
    <w:rsid w:val="00874468"/>
    <w:rsid w:val="00874529"/>
    <w:rsid w:val="00874594"/>
    <w:rsid w:val="00874634"/>
    <w:rsid w:val="008746D2"/>
    <w:rsid w:val="00874737"/>
    <w:rsid w:val="008747E1"/>
    <w:rsid w:val="00874802"/>
    <w:rsid w:val="0087481E"/>
    <w:rsid w:val="00874824"/>
    <w:rsid w:val="00874836"/>
    <w:rsid w:val="0087499A"/>
    <w:rsid w:val="008749CB"/>
    <w:rsid w:val="00874A08"/>
    <w:rsid w:val="00874BAB"/>
    <w:rsid w:val="00874C7A"/>
    <w:rsid w:val="00874CE2"/>
    <w:rsid w:val="00874D79"/>
    <w:rsid w:val="00874E5A"/>
    <w:rsid w:val="00874F49"/>
    <w:rsid w:val="0087502A"/>
    <w:rsid w:val="008750DA"/>
    <w:rsid w:val="008750EB"/>
    <w:rsid w:val="0087514F"/>
    <w:rsid w:val="008752C7"/>
    <w:rsid w:val="008752EA"/>
    <w:rsid w:val="00875405"/>
    <w:rsid w:val="00875435"/>
    <w:rsid w:val="00875560"/>
    <w:rsid w:val="008755A5"/>
    <w:rsid w:val="008755AA"/>
    <w:rsid w:val="0087566C"/>
    <w:rsid w:val="008758EA"/>
    <w:rsid w:val="0087595B"/>
    <w:rsid w:val="00875AC7"/>
    <w:rsid w:val="00875B4C"/>
    <w:rsid w:val="00875BF6"/>
    <w:rsid w:val="00875C50"/>
    <w:rsid w:val="00875C7D"/>
    <w:rsid w:val="00875CBC"/>
    <w:rsid w:val="00875D5B"/>
    <w:rsid w:val="0087603D"/>
    <w:rsid w:val="00876088"/>
    <w:rsid w:val="008760A9"/>
    <w:rsid w:val="00876151"/>
    <w:rsid w:val="00876186"/>
    <w:rsid w:val="00876295"/>
    <w:rsid w:val="0087637B"/>
    <w:rsid w:val="008763B0"/>
    <w:rsid w:val="008763C0"/>
    <w:rsid w:val="008763D4"/>
    <w:rsid w:val="0087648B"/>
    <w:rsid w:val="00876536"/>
    <w:rsid w:val="0087654A"/>
    <w:rsid w:val="00876553"/>
    <w:rsid w:val="008765A2"/>
    <w:rsid w:val="008765D9"/>
    <w:rsid w:val="00876638"/>
    <w:rsid w:val="008766D0"/>
    <w:rsid w:val="00876729"/>
    <w:rsid w:val="0087676C"/>
    <w:rsid w:val="00876866"/>
    <w:rsid w:val="0087691D"/>
    <w:rsid w:val="00876B6E"/>
    <w:rsid w:val="00876B6F"/>
    <w:rsid w:val="00876BAB"/>
    <w:rsid w:val="00876D45"/>
    <w:rsid w:val="00876EB2"/>
    <w:rsid w:val="00876EC0"/>
    <w:rsid w:val="00877052"/>
    <w:rsid w:val="00877058"/>
    <w:rsid w:val="00877070"/>
    <w:rsid w:val="0087707D"/>
    <w:rsid w:val="00877133"/>
    <w:rsid w:val="008771AC"/>
    <w:rsid w:val="008771C3"/>
    <w:rsid w:val="00877270"/>
    <w:rsid w:val="00877312"/>
    <w:rsid w:val="00877459"/>
    <w:rsid w:val="0087746C"/>
    <w:rsid w:val="00877472"/>
    <w:rsid w:val="00877527"/>
    <w:rsid w:val="008775BD"/>
    <w:rsid w:val="008775C9"/>
    <w:rsid w:val="008777EF"/>
    <w:rsid w:val="0087780D"/>
    <w:rsid w:val="0087789E"/>
    <w:rsid w:val="00877A2D"/>
    <w:rsid w:val="00877A3F"/>
    <w:rsid w:val="00877AEE"/>
    <w:rsid w:val="00877B4D"/>
    <w:rsid w:val="00877B9C"/>
    <w:rsid w:val="00877C08"/>
    <w:rsid w:val="00877D95"/>
    <w:rsid w:val="00877E0C"/>
    <w:rsid w:val="00877E4F"/>
    <w:rsid w:val="00877EDB"/>
    <w:rsid w:val="00880052"/>
    <w:rsid w:val="008800E6"/>
    <w:rsid w:val="00880139"/>
    <w:rsid w:val="008802D5"/>
    <w:rsid w:val="0088036A"/>
    <w:rsid w:val="008804F1"/>
    <w:rsid w:val="00880503"/>
    <w:rsid w:val="0088053D"/>
    <w:rsid w:val="0088063C"/>
    <w:rsid w:val="008807F6"/>
    <w:rsid w:val="00880A24"/>
    <w:rsid w:val="00880ABD"/>
    <w:rsid w:val="00880AE2"/>
    <w:rsid w:val="00880B59"/>
    <w:rsid w:val="00880BAB"/>
    <w:rsid w:val="00880C11"/>
    <w:rsid w:val="00880C27"/>
    <w:rsid w:val="00880C4F"/>
    <w:rsid w:val="00880C85"/>
    <w:rsid w:val="00880CD0"/>
    <w:rsid w:val="00880CEC"/>
    <w:rsid w:val="00880D56"/>
    <w:rsid w:val="00880D7E"/>
    <w:rsid w:val="00880D9E"/>
    <w:rsid w:val="00880EAE"/>
    <w:rsid w:val="00880ED6"/>
    <w:rsid w:val="00880F34"/>
    <w:rsid w:val="00880F96"/>
    <w:rsid w:val="0088100C"/>
    <w:rsid w:val="0088104F"/>
    <w:rsid w:val="00881100"/>
    <w:rsid w:val="00881178"/>
    <w:rsid w:val="008811E3"/>
    <w:rsid w:val="008811E5"/>
    <w:rsid w:val="00881205"/>
    <w:rsid w:val="00881228"/>
    <w:rsid w:val="008812AB"/>
    <w:rsid w:val="00881361"/>
    <w:rsid w:val="00881391"/>
    <w:rsid w:val="008814BC"/>
    <w:rsid w:val="0088151D"/>
    <w:rsid w:val="008815DB"/>
    <w:rsid w:val="008816B9"/>
    <w:rsid w:val="008816E4"/>
    <w:rsid w:val="00881775"/>
    <w:rsid w:val="008817E7"/>
    <w:rsid w:val="008818FC"/>
    <w:rsid w:val="0088193E"/>
    <w:rsid w:val="008819AD"/>
    <w:rsid w:val="008819C2"/>
    <w:rsid w:val="00881A13"/>
    <w:rsid w:val="00881A79"/>
    <w:rsid w:val="00881AB5"/>
    <w:rsid w:val="00881BC3"/>
    <w:rsid w:val="00881BEA"/>
    <w:rsid w:val="00881C23"/>
    <w:rsid w:val="0088204E"/>
    <w:rsid w:val="0088207D"/>
    <w:rsid w:val="00882080"/>
    <w:rsid w:val="0088220B"/>
    <w:rsid w:val="00882318"/>
    <w:rsid w:val="008823AA"/>
    <w:rsid w:val="0088249A"/>
    <w:rsid w:val="008825EE"/>
    <w:rsid w:val="008825FB"/>
    <w:rsid w:val="00882627"/>
    <w:rsid w:val="00882650"/>
    <w:rsid w:val="008826C4"/>
    <w:rsid w:val="0088274E"/>
    <w:rsid w:val="00882891"/>
    <w:rsid w:val="0088291C"/>
    <w:rsid w:val="0088291F"/>
    <w:rsid w:val="00882967"/>
    <w:rsid w:val="0088296A"/>
    <w:rsid w:val="00882A81"/>
    <w:rsid w:val="00882AA8"/>
    <w:rsid w:val="00882BAD"/>
    <w:rsid w:val="00882BB2"/>
    <w:rsid w:val="00882CBB"/>
    <w:rsid w:val="00882CDB"/>
    <w:rsid w:val="00882D40"/>
    <w:rsid w:val="00882E2C"/>
    <w:rsid w:val="00882E61"/>
    <w:rsid w:val="00882F1F"/>
    <w:rsid w:val="00883019"/>
    <w:rsid w:val="00883081"/>
    <w:rsid w:val="00883110"/>
    <w:rsid w:val="008831DE"/>
    <w:rsid w:val="0088320E"/>
    <w:rsid w:val="0088321E"/>
    <w:rsid w:val="00883384"/>
    <w:rsid w:val="0088338D"/>
    <w:rsid w:val="008833F5"/>
    <w:rsid w:val="00883439"/>
    <w:rsid w:val="008834B0"/>
    <w:rsid w:val="008834E8"/>
    <w:rsid w:val="00883508"/>
    <w:rsid w:val="00883543"/>
    <w:rsid w:val="00883554"/>
    <w:rsid w:val="008835C1"/>
    <w:rsid w:val="0088362C"/>
    <w:rsid w:val="00883684"/>
    <w:rsid w:val="00883701"/>
    <w:rsid w:val="00883717"/>
    <w:rsid w:val="00883743"/>
    <w:rsid w:val="00883777"/>
    <w:rsid w:val="0088388A"/>
    <w:rsid w:val="008838AF"/>
    <w:rsid w:val="0088390C"/>
    <w:rsid w:val="00883934"/>
    <w:rsid w:val="008839D7"/>
    <w:rsid w:val="00883A5E"/>
    <w:rsid w:val="00883A8E"/>
    <w:rsid w:val="00883D95"/>
    <w:rsid w:val="00883E11"/>
    <w:rsid w:val="00883F7A"/>
    <w:rsid w:val="00883FA0"/>
    <w:rsid w:val="0088402B"/>
    <w:rsid w:val="0088409A"/>
    <w:rsid w:val="008840B3"/>
    <w:rsid w:val="00884134"/>
    <w:rsid w:val="00884169"/>
    <w:rsid w:val="0088416E"/>
    <w:rsid w:val="0088419C"/>
    <w:rsid w:val="008841CA"/>
    <w:rsid w:val="0088425D"/>
    <w:rsid w:val="00884268"/>
    <w:rsid w:val="00884312"/>
    <w:rsid w:val="00884315"/>
    <w:rsid w:val="008843BA"/>
    <w:rsid w:val="008844A0"/>
    <w:rsid w:val="00884625"/>
    <w:rsid w:val="0088476D"/>
    <w:rsid w:val="00884906"/>
    <w:rsid w:val="008849F1"/>
    <w:rsid w:val="00884A60"/>
    <w:rsid w:val="00884B42"/>
    <w:rsid w:val="00884B4D"/>
    <w:rsid w:val="00884B69"/>
    <w:rsid w:val="00884CDE"/>
    <w:rsid w:val="00884DAD"/>
    <w:rsid w:val="00884E7C"/>
    <w:rsid w:val="00884E8F"/>
    <w:rsid w:val="00884F79"/>
    <w:rsid w:val="00884FDB"/>
    <w:rsid w:val="0088512E"/>
    <w:rsid w:val="008851E9"/>
    <w:rsid w:val="008852A5"/>
    <w:rsid w:val="0088549C"/>
    <w:rsid w:val="008854E4"/>
    <w:rsid w:val="00885550"/>
    <w:rsid w:val="008856F6"/>
    <w:rsid w:val="008856FD"/>
    <w:rsid w:val="00885749"/>
    <w:rsid w:val="0088583F"/>
    <w:rsid w:val="00885850"/>
    <w:rsid w:val="00885A00"/>
    <w:rsid w:val="00885A21"/>
    <w:rsid w:val="00885A56"/>
    <w:rsid w:val="00885AD1"/>
    <w:rsid w:val="00885AFD"/>
    <w:rsid w:val="00885B48"/>
    <w:rsid w:val="00885BAB"/>
    <w:rsid w:val="00885BC8"/>
    <w:rsid w:val="00885C91"/>
    <w:rsid w:val="00885E1A"/>
    <w:rsid w:val="00885EFB"/>
    <w:rsid w:val="00885F47"/>
    <w:rsid w:val="008860D4"/>
    <w:rsid w:val="008860E5"/>
    <w:rsid w:val="00886255"/>
    <w:rsid w:val="0088637E"/>
    <w:rsid w:val="008864B6"/>
    <w:rsid w:val="008865DB"/>
    <w:rsid w:val="0088660D"/>
    <w:rsid w:val="00886612"/>
    <w:rsid w:val="00886619"/>
    <w:rsid w:val="00886727"/>
    <w:rsid w:val="00886880"/>
    <w:rsid w:val="008868F5"/>
    <w:rsid w:val="008869F3"/>
    <w:rsid w:val="00886AD3"/>
    <w:rsid w:val="00886B98"/>
    <w:rsid w:val="00886C30"/>
    <w:rsid w:val="00886C65"/>
    <w:rsid w:val="00886D24"/>
    <w:rsid w:val="00886D6F"/>
    <w:rsid w:val="00886FA5"/>
    <w:rsid w:val="00887011"/>
    <w:rsid w:val="00887076"/>
    <w:rsid w:val="008871D9"/>
    <w:rsid w:val="008871FF"/>
    <w:rsid w:val="008872E4"/>
    <w:rsid w:val="00887451"/>
    <w:rsid w:val="00887499"/>
    <w:rsid w:val="0088766C"/>
    <w:rsid w:val="008877C0"/>
    <w:rsid w:val="008878BF"/>
    <w:rsid w:val="00887917"/>
    <w:rsid w:val="00887BA9"/>
    <w:rsid w:val="00887CE5"/>
    <w:rsid w:val="00887DCB"/>
    <w:rsid w:val="00887DF9"/>
    <w:rsid w:val="00887EB4"/>
    <w:rsid w:val="00887EDF"/>
    <w:rsid w:val="00887F04"/>
    <w:rsid w:val="00887FA5"/>
    <w:rsid w:val="0089009B"/>
    <w:rsid w:val="00890105"/>
    <w:rsid w:val="00890180"/>
    <w:rsid w:val="0089021E"/>
    <w:rsid w:val="00890236"/>
    <w:rsid w:val="008905B0"/>
    <w:rsid w:val="008905DE"/>
    <w:rsid w:val="0089063E"/>
    <w:rsid w:val="0089068A"/>
    <w:rsid w:val="00890748"/>
    <w:rsid w:val="00890875"/>
    <w:rsid w:val="008908FB"/>
    <w:rsid w:val="008909CA"/>
    <w:rsid w:val="008909E3"/>
    <w:rsid w:val="00890A6C"/>
    <w:rsid w:val="00890AE2"/>
    <w:rsid w:val="00890B63"/>
    <w:rsid w:val="00890C4D"/>
    <w:rsid w:val="00890C60"/>
    <w:rsid w:val="00890C78"/>
    <w:rsid w:val="00890CE6"/>
    <w:rsid w:val="00890D81"/>
    <w:rsid w:val="00890E51"/>
    <w:rsid w:val="0089101D"/>
    <w:rsid w:val="0089109E"/>
    <w:rsid w:val="008910A0"/>
    <w:rsid w:val="008910B1"/>
    <w:rsid w:val="00891113"/>
    <w:rsid w:val="00891184"/>
    <w:rsid w:val="008912B5"/>
    <w:rsid w:val="00891408"/>
    <w:rsid w:val="0089151F"/>
    <w:rsid w:val="0089152A"/>
    <w:rsid w:val="00891556"/>
    <w:rsid w:val="00891566"/>
    <w:rsid w:val="00891585"/>
    <w:rsid w:val="008915A4"/>
    <w:rsid w:val="008915FC"/>
    <w:rsid w:val="0089161E"/>
    <w:rsid w:val="0089167F"/>
    <w:rsid w:val="00891682"/>
    <w:rsid w:val="00891730"/>
    <w:rsid w:val="008917CE"/>
    <w:rsid w:val="008918B9"/>
    <w:rsid w:val="008919B2"/>
    <w:rsid w:val="00891A32"/>
    <w:rsid w:val="00891ADE"/>
    <w:rsid w:val="00891B0B"/>
    <w:rsid w:val="00891B83"/>
    <w:rsid w:val="00891D6D"/>
    <w:rsid w:val="00891F66"/>
    <w:rsid w:val="00891F89"/>
    <w:rsid w:val="00891FC8"/>
    <w:rsid w:val="0089206B"/>
    <w:rsid w:val="008921AA"/>
    <w:rsid w:val="008921CF"/>
    <w:rsid w:val="008921D4"/>
    <w:rsid w:val="0089221D"/>
    <w:rsid w:val="00892255"/>
    <w:rsid w:val="008922DD"/>
    <w:rsid w:val="00892375"/>
    <w:rsid w:val="0089254A"/>
    <w:rsid w:val="00892575"/>
    <w:rsid w:val="0089262E"/>
    <w:rsid w:val="008927C9"/>
    <w:rsid w:val="008928D0"/>
    <w:rsid w:val="0089293D"/>
    <w:rsid w:val="00892989"/>
    <w:rsid w:val="0089299D"/>
    <w:rsid w:val="00892A79"/>
    <w:rsid w:val="00892B9C"/>
    <w:rsid w:val="00892BE1"/>
    <w:rsid w:val="00892C54"/>
    <w:rsid w:val="00892D5F"/>
    <w:rsid w:val="00892E41"/>
    <w:rsid w:val="00892E54"/>
    <w:rsid w:val="00892E6E"/>
    <w:rsid w:val="00892F8B"/>
    <w:rsid w:val="00892FB6"/>
    <w:rsid w:val="00892FED"/>
    <w:rsid w:val="0089304E"/>
    <w:rsid w:val="00893072"/>
    <w:rsid w:val="0089318E"/>
    <w:rsid w:val="008931E0"/>
    <w:rsid w:val="00893331"/>
    <w:rsid w:val="008933CB"/>
    <w:rsid w:val="00893488"/>
    <w:rsid w:val="0089348F"/>
    <w:rsid w:val="00893600"/>
    <w:rsid w:val="00893746"/>
    <w:rsid w:val="008937CE"/>
    <w:rsid w:val="00893847"/>
    <w:rsid w:val="008938CE"/>
    <w:rsid w:val="00893965"/>
    <w:rsid w:val="008939A7"/>
    <w:rsid w:val="00893AF6"/>
    <w:rsid w:val="00893B04"/>
    <w:rsid w:val="00893B30"/>
    <w:rsid w:val="00893B37"/>
    <w:rsid w:val="00893B7B"/>
    <w:rsid w:val="00893CA6"/>
    <w:rsid w:val="00893CCE"/>
    <w:rsid w:val="00893D49"/>
    <w:rsid w:val="00893F0E"/>
    <w:rsid w:val="00893F70"/>
    <w:rsid w:val="008940D3"/>
    <w:rsid w:val="008940E7"/>
    <w:rsid w:val="00894126"/>
    <w:rsid w:val="0089417C"/>
    <w:rsid w:val="00894182"/>
    <w:rsid w:val="008941F8"/>
    <w:rsid w:val="0089430B"/>
    <w:rsid w:val="0089438F"/>
    <w:rsid w:val="008943B3"/>
    <w:rsid w:val="008944CE"/>
    <w:rsid w:val="0089462A"/>
    <w:rsid w:val="008946CF"/>
    <w:rsid w:val="008947A7"/>
    <w:rsid w:val="008947F5"/>
    <w:rsid w:val="00894849"/>
    <w:rsid w:val="00894892"/>
    <w:rsid w:val="008948D1"/>
    <w:rsid w:val="00894972"/>
    <w:rsid w:val="00894AA3"/>
    <w:rsid w:val="00894BB3"/>
    <w:rsid w:val="00894C48"/>
    <w:rsid w:val="00894C50"/>
    <w:rsid w:val="00894C6C"/>
    <w:rsid w:val="00894CB3"/>
    <w:rsid w:val="00894D04"/>
    <w:rsid w:val="00894F1B"/>
    <w:rsid w:val="008950CA"/>
    <w:rsid w:val="0089512E"/>
    <w:rsid w:val="008951FB"/>
    <w:rsid w:val="00895225"/>
    <w:rsid w:val="00895350"/>
    <w:rsid w:val="00895393"/>
    <w:rsid w:val="0089539F"/>
    <w:rsid w:val="008953D4"/>
    <w:rsid w:val="00895560"/>
    <w:rsid w:val="008955E8"/>
    <w:rsid w:val="00895648"/>
    <w:rsid w:val="008956E1"/>
    <w:rsid w:val="008956ED"/>
    <w:rsid w:val="00895704"/>
    <w:rsid w:val="008957F8"/>
    <w:rsid w:val="00895871"/>
    <w:rsid w:val="0089587F"/>
    <w:rsid w:val="008958A7"/>
    <w:rsid w:val="008958D2"/>
    <w:rsid w:val="008958DF"/>
    <w:rsid w:val="008959F7"/>
    <w:rsid w:val="00895A6F"/>
    <w:rsid w:val="00895BDD"/>
    <w:rsid w:val="00895C5D"/>
    <w:rsid w:val="00895D39"/>
    <w:rsid w:val="00895DA6"/>
    <w:rsid w:val="00895DC0"/>
    <w:rsid w:val="00895FCF"/>
    <w:rsid w:val="00895FE0"/>
    <w:rsid w:val="008960A5"/>
    <w:rsid w:val="00896157"/>
    <w:rsid w:val="008961EB"/>
    <w:rsid w:val="0089625E"/>
    <w:rsid w:val="0089633F"/>
    <w:rsid w:val="008963FD"/>
    <w:rsid w:val="00896416"/>
    <w:rsid w:val="00896666"/>
    <w:rsid w:val="00896667"/>
    <w:rsid w:val="008966A9"/>
    <w:rsid w:val="008968FF"/>
    <w:rsid w:val="00896918"/>
    <w:rsid w:val="0089691E"/>
    <w:rsid w:val="00896A5D"/>
    <w:rsid w:val="00896C63"/>
    <w:rsid w:val="00896C97"/>
    <w:rsid w:val="00896D35"/>
    <w:rsid w:val="00896D6C"/>
    <w:rsid w:val="00896D74"/>
    <w:rsid w:val="00896DD1"/>
    <w:rsid w:val="00896E15"/>
    <w:rsid w:val="0089703F"/>
    <w:rsid w:val="008970DF"/>
    <w:rsid w:val="0089714F"/>
    <w:rsid w:val="008971E5"/>
    <w:rsid w:val="0089724D"/>
    <w:rsid w:val="00897309"/>
    <w:rsid w:val="008973E7"/>
    <w:rsid w:val="0089741E"/>
    <w:rsid w:val="008974A4"/>
    <w:rsid w:val="008974ED"/>
    <w:rsid w:val="00897504"/>
    <w:rsid w:val="008975C9"/>
    <w:rsid w:val="00897738"/>
    <w:rsid w:val="00897850"/>
    <w:rsid w:val="0089789B"/>
    <w:rsid w:val="008978C7"/>
    <w:rsid w:val="00897B00"/>
    <w:rsid w:val="00897B3D"/>
    <w:rsid w:val="00897C50"/>
    <w:rsid w:val="00897C60"/>
    <w:rsid w:val="00897D4C"/>
    <w:rsid w:val="00897D65"/>
    <w:rsid w:val="00897E25"/>
    <w:rsid w:val="00897F74"/>
    <w:rsid w:val="008A00C2"/>
    <w:rsid w:val="008A012F"/>
    <w:rsid w:val="008A01FD"/>
    <w:rsid w:val="008A029A"/>
    <w:rsid w:val="008A0307"/>
    <w:rsid w:val="008A0335"/>
    <w:rsid w:val="008A038D"/>
    <w:rsid w:val="008A0778"/>
    <w:rsid w:val="008A08CF"/>
    <w:rsid w:val="008A0917"/>
    <w:rsid w:val="008A0939"/>
    <w:rsid w:val="008A0949"/>
    <w:rsid w:val="008A0ABA"/>
    <w:rsid w:val="008A0AE7"/>
    <w:rsid w:val="008A0B20"/>
    <w:rsid w:val="008A0C98"/>
    <w:rsid w:val="008A0CAD"/>
    <w:rsid w:val="008A0CF1"/>
    <w:rsid w:val="008A0CF8"/>
    <w:rsid w:val="008A0DA8"/>
    <w:rsid w:val="008A0DE4"/>
    <w:rsid w:val="008A0E4A"/>
    <w:rsid w:val="008A0E93"/>
    <w:rsid w:val="008A0E9C"/>
    <w:rsid w:val="008A0F22"/>
    <w:rsid w:val="008A0FFB"/>
    <w:rsid w:val="008A102F"/>
    <w:rsid w:val="008A10C3"/>
    <w:rsid w:val="008A10EA"/>
    <w:rsid w:val="008A1194"/>
    <w:rsid w:val="008A1293"/>
    <w:rsid w:val="008A1393"/>
    <w:rsid w:val="008A13C1"/>
    <w:rsid w:val="008A142F"/>
    <w:rsid w:val="008A1461"/>
    <w:rsid w:val="008A14F2"/>
    <w:rsid w:val="008A1621"/>
    <w:rsid w:val="008A1679"/>
    <w:rsid w:val="008A16E8"/>
    <w:rsid w:val="008A17A6"/>
    <w:rsid w:val="008A180C"/>
    <w:rsid w:val="008A1877"/>
    <w:rsid w:val="008A19CA"/>
    <w:rsid w:val="008A1B3F"/>
    <w:rsid w:val="008A1C7D"/>
    <w:rsid w:val="008A1D36"/>
    <w:rsid w:val="008A1DAD"/>
    <w:rsid w:val="008A203F"/>
    <w:rsid w:val="008A2045"/>
    <w:rsid w:val="008A21AF"/>
    <w:rsid w:val="008A22D1"/>
    <w:rsid w:val="008A2383"/>
    <w:rsid w:val="008A23AE"/>
    <w:rsid w:val="008A23D0"/>
    <w:rsid w:val="008A2416"/>
    <w:rsid w:val="008A245D"/>
    <w:rsid w:val="008A249F"/>
    <w:rsid w:val="008A2605"/>
    <w:rsid w:val="008A267D"/>
    <w:rsid w:val="008A26B7"/>
    <w:rsid w:val="008A26BE"/>
    <w:rsid w:val="008A26CF"/>
    <w:rsid w:val="008A270E"/>
    <w:rsid w:val="008A28C2"/>
    <w:rsid w:val="008A28D1"/>
    <w:rsid w:val="008A28E6"/>
    <w:rsid w:val="008A2901"/>
    <w:rsid w:val="008A29EE"/>
    <w:rsid w:val="008A2A0E"/>
    <w:rsid w:val="008A2CB6"/>
    <w:rsid w:val="008A2E53"/>
    <w:rsid w:val="008A2EAA"/>
    <w:rsid w:val="008A2F43"/>
    <w:rsid w:val="008A2F78"/>
    <w:rsid w:val="008A3166"/>
    <w:rsid w:val="008A32FA"/>
    <w:rsid w:val="008A3362"/>
    <w:rsid w:val="008A34E2"/>
    <w:rsid w:val="008A353B"/>
    <w:rsid w:val="008A3612"/>
    <w:rsid w:val="008A3654"/>
    <w:rsid w:val="008A3668"/>
    <w:rsid w:val="008A367C"/>
    <w:rsid w:val="008A37E6"/>
    <w:rsid w:val="008A3804"/>
    <w:rsid w:val="008A38DA"/>
    <w:rsid w:val="008A3948"/>
    <w:rsid w:val="008A3A17"/>
    <w:rsid w:val="008A3A5E"/>
    <w:rsid w:val="008A3BA0"/>
    <w:rsid w:val="008A3C8A"/>
    <w:rsid w:val="008A3D4F"/>
    <w:rsid w:val="008A3DD2"/>
    <w:rsid w:val="008A3DE1"/>
    <w:rsid w:val="008A3E8B"/>
    <w:rsid w:val="008A3E91"/>
    <w:rsid w:val="008A3EBE"/>
    <w:rsid w:val="008A400F"/>
    <w:rsid w:val="008A412F"/>
    <w:rsid w:val="008A4237"/>
    <w:rsid w:val="008A4276"/>
    <w:rsid w:val="008A4498"/>
    <w:rsid w:val="008A44F8"/>
    <w:rsid w:val="008A454C"/>
    <w:rsid w:val="008A45BC"/>
    <w:rsid w:val="008A4665"/>
    <w:rsid w:val="008A46CE"/>
    <w:rsid w:val="008A495B"/>
    <w:rsid w:val="008A496A"/>
    <w:rsid w:val="008A4B41"/>
    <w:rsid w:val="008A4B4D"/>
    <w:rsid w:val="008A4BA5"/>
    <w:rsid w:val="008A4CCB"/>
    <w:rsid w:val="008A4D47"/>
    <w:rsid w:val="008A4D4F"/>
    <w:rsid w:val="008A4DDB"/>
    <w:rsid w:val="008A4EBB"/>
    <w:rsid w:val="008A4F32"/>
    <w:rsid w:val="008A508A"/>
    <w:rsid w:val="008A50B1"/>
    <w:rsid w:val="008A50B5"/>
    <w:rsid w:val="008A50BF"/>
    <w:rsid w:val="008A5230"/>
    <w:rsid w:val="008A5266"/>
    <w:rsid w:val="008A5303"/>
    <w:rsid w:val="008A5309"/>
    <w:rsid w:val="008A5319"/>
    <w:rsid w:val="008A5391"/>
    <w:rsid w:val="008A5438"/>
    <w:rsid w:val="008A54D6"/>
    <w:rsid w:val="008A54DD"/>
    <w:rsid w:val="008A5561"/>
    <w:rsid w:val="008A5593"/>
    <w:rsid w:val="008A55BD"/>
    <w:rsid w:val="008A55CE"/>
    <w:rsid w:val="008A5654"/>
    <w:rsid w:val="008A5691"/>
    <w:rsid w:val="008A5841"/>
    <w:rsid w:val="008A58DE"/>
    <w:rsid w:val="008A58F6"/>
    <w:rsid w:val="008A5926"/>
    <w:rsid w:val="008A5A69"/>
    <w:rsid w:val="008A5B3E"/>
    <w:rsid w:val="008A5C1A"/>
    <w:rsid w:val="008A5C33"/>
    <w:rsid w:val="008A5C3D"/>
    <w:rsid w:val="008A5CF3"/>
    <w:rsid w:val="008A5D35"/>
    <w:rsid w:val="008A5DCC"/>
    <w:rsid w:val="008A5E91"/>
    <w:rsid w:val="008A5EA7"/>
    <w:rsid w:val="008A5F76"/>
    <w:rsid w:val="008A6064"/>
    <w:rsid w:val="008A60AE"/>
    <w:rsid w:val="008A60F3"/>
    <w:rsid w:val="008A6162"/>
    <w:rsid w:val="008A61CF"/>
    <w:rsid w:val="008A61D9"/>
    <w:rsid w:val="008A625A"/>
    <w:rsid w:val="008A627E"/>
    <w:rsid w:val="008A62F3"/>
    <w:rsid w:val="008A62FB"/>
    <w:rsid w:val="008A642E"/>
    <w:rsid w:val="008A6449"/>
    <w:rsid w:val="008A64A4"/>
    <w:rsid w:val="008A64DD"/>
    <w:rsid w:val="008A64E0"/>
    <w:rsid w:val="008A64ED"/>
    <w:rsid w:val="008A6517"/>
    <w:rsid w:val="008A668D"/>
    <w:rsid w:val="008A6711"/>
    <w:rsid w:val="008A6896"/>
    <w:rsid w:val="008A689E"/>
    <w:rsid w:val="008A6952"/>
    <w:rsid w:val="008A6A10"/>
    <w:rsid w:val="008A6BB7"/>
    <w:rsid w:val="008A6D25"/>
    <w:rsid w:val="008A6D4F"/>
    <w:rsid w:val="008A6DA4"/>
    <w:rsid w:val="008A6DC7"/>
    <w:rsid w:val="008A6DE8"/>
    <w:rsid w:val="008A6EFA"/>
    <w:rsid w:val="008A6F0E"/>
    <w:rsid w:val="008A6F17"/>
    <w:rsid w:val="008A6F88"/>
    <w:rsid w:val="008A6F8B"/>
    <w:rsid w:val="008A716F"/>
    <w:rsid w:val="008A7174"/>
    <w:rsid w:val="008A71A0"/>
    <w:rsid w:val="008A7347"/>
    <w:rsid w:val="008A75B9"/>
    <w:rsid w:val="008A75BB"/>
    <w:rsid w:val="008A7621"/>
    <w:rsid w:val="008A7663"/>
    <w:rsid w:val="008A766C"/>
    <w:rsid w:val="008A76FF"/>
    <w:rsid w:val="008A783F"/>
    <w:rsid w:val="008A78CF"/>
    <w:rsid w:val="008A78F9"/>
    <w:rsid w:val="008A79D3"/>
    <w:rsid w:val="008A7A55"/>
    <w:rsid w:val="008A7AF4"/>
    <w:rsid w:val="008A7BD9"/>
    <w:rsid w:val="008A7BEA"/>
    <w:rsid w:val="008A7C46"/>
    <w:rsid w:val="008A7C61"/>
    <w:rsid w:val="008A7D70"/>
    <w:rsid w:val="008A7D98"/>
    <w:rsid w:val="008A7DAD"/>
    <w:rsid w:val="008A7E0D"/>
    <w:rsid w:val="008A7E28"/>
    <w:rsid w:val="008A7E62"/>
    <w:rsid w:val="008A7E6C"/>
    <w:rsid w:val="008A7F73"/>
    <w:rsid w:val="008A7F9C"/>
    <w:rsid w:val="008A7FEF"/>
    <w:rsid w:val="008B0002"/>
    <w:rsid w:val="008B0037"/>
    <w:rsid w:val="008B0065"/>
    <w:rsid w:val="008B018F"/>
    <w:rsid w:val="008B02E7"/>
    <w:rsid w:val="008B030A"/>
    <w:rsid w:val="008B0441"/>
    <w:rsid w:val="008B0498"/>
    <w:rsid w:val="008B0531"/>
    <w:rsid w:val="008B053E"/>
    <w:rsid w:val="008B0541"/>
    <w:rsid w:val="008B05C8"/>
    <w:rsid w:val="008B067C"/>
    <w:rsid w:val="008B07BB"/>
    <w:rsid w:val="008B0816"/>
    <w:rsid w:val="008B08BF"/>
    <w:rsid w:val="008B09A3"/>
    <w:rsid w:val="008B0AD4"/>
    <w:rsid w:val="008B0BBB"/>
    <w:rsid w:val="008B0C83"/>
    <w:rsid w:val="008B0D62"/>
    <w:rsid w:val="008B0D85"/>
    <w:rsid w:val="008B1081"/>
    <w:rsid w:val="008B10AF"/>
    <w:rsid w:val="008B1154"/>
    <w:rsid w:val="008B1319"/>
    <w:rsid w:val="008B1323"/>
    <w:rsid w:val="008B1388"/>
    <w:rsid w:val="008B13F3"/>
    <w:rsid w:val="008B1414"/>
    <w:rsid w:val="008B14F8"/>
    <w:rsid w:val="008B1509"/>
    <w:rsid w:val="008B15F7"/>
    <w:rsid w:val="008B176D"/>
    <w:rsid w:val="008B17D6"/>
    <w:rsid w:val="008B18F3"/>
    <w:rsid w:val="008B1931"/>
    <w:rsid w:val="008B194A"/>
    <w:rsid w:val="008B1966"/>
    <w:rsid w:val="008B198C"/>
    <w:rsid w:val="008B19E0"/>
    <w:rsid w:val="008B19F3"/>
    <w:rsid w:val="008B1AE9"/>
    <w:rsid w:val="008B1C4A"/>
    <w:rsid w:val="008B1CEB"/>
    <w:rsid w:val="008B1EA7"/>
    <w:rsid w:val="008B1F14"/>
    <w:rsid w:val="008B1F75"/>
    <w:rsid w:val="008B20C0"/>
    <w:rsid w:val="008B21A6"/>
    <w:rsid w:val="008B22CD"/>
    <w:rsid w:val="008B2343"/>
    <w:rsid w:val="008B24A0"/>
    <w:rsid w:val="008B2510"/>
    <w:rsid w:val="008B2572"/>
    <w:rsid w:val="008B259D"/>
    <w:rsid w:val="008B25A7"/>
    <w:rsid w:val="008B25BF"/>
    <w:rsid w:val="008B269E"/>
    <w:rsid w:val="008B2759"/>
    <w:rsid w:val="008B2811"/>
    <w:rsid w:val="008B2883"/>
    <w:rsid w:val="008B2988"/>
    <w:rsid w:val="008B2BAE"/>
    <w:rsid w:val="008B2C98"/>
    <w:rsid w:val="008B2E95"/>
    <w:rsid w:val="008B2F23"/>
    <w:rsid w:val="008B3099"/>
    <w:rsid w:val="008B30CE"/>
    <w:rsid w:val="008B30EA"/>
    <w:rsid w:val="008B3189"/>
    <w:rsid w:val="008B319A"/>
    <w:rsid w:val="008B31E9"/>
    <w:rsid w:val="008B31EF"/>
    <w:rsid w:val="008B328B"/>
    <w:rsid w:val="008B32E5"/>
    <w:rsid w:val="008B3330"/>
    <w:rsid w:val="008B343E"/>
    <w:rsid w:val="008B344C"/>
    <w:rsid w:val="008B34CE"/>
    <w:rsid w:val="008B3525"/>
    <w:rsid w:val="008B3669"/>
    <w:rsid w:val="008B36C8"/>
    <w:rsid w:val="008B3709"/>
    <w:rsid w:val="008B3781"/>
    <w:rsid w:val="008B37AB"/>
    <w:rsid w:val="008B387C"/>
    <w:rsid w:val="008B391F"/>
    <w:rsid w:val="008B3A67"/>
    <w:rsid w:val="008B3AD1"/>
    <w:rsid w:val="008B3B70"/>
    <w:rsid w:val="008B3BDB"/>
    <w:rsid w:val="008B3C4C"/>
    <w:rsid w:val="008B3E9B"/>
    <w:rsid w:val="008B3ECB"/>
    <w:rsid w:val="008B3F4F"/>
    <w:rsid w:val="008B4093"/>
    <w:rsid w:val="008B4179"/>
    <w:rsid w:val="008B4181"/>
    <w:rsid w:val="008B41E2"/>
    <w:rsid w:val="008B42CB"/>
    <w:rsid w:val="008B44D9"/>
    <w:rsid w:val="008B457A"/>
    <w:rsid w:val="008B45E5"/>
    <w:rsid w:val="008B463C"/>
    <w:rsid w:val="008B466C"/>
    <w:rsid w:val="008B46C0"/>
    <w:rsid w:val="008B46E6"/>
    <w:rsid w:val="008B46FD"/>
    <w:rsid w:val="008B47B1"/>
    <w:rsid w:val="008B47DB"/>
    <w:rsid w:val="008B4869"/>
    <w:rsid w:val="008B48C3"/>
    <w:rsid w:val="008B490F"/>
    <w:rsid w:val="008B4A05"/>
    <w:rsid w:val="008B4A49"/>
    <w:rsid w:val="008B4BE1"/>
    <w:rsid w:val="008B4BEE"/>
    <w:rsid w:val="008B4C67"/>
    <w:rsid w:val="008B4CCE"/>
    <w:rsid w:val="008B4DDE"/>
    <w:rsid w:val="008B4E07"/>
    <w:rsid w:val="008B4E30"/>
    <w:rsid w:val="008B4ED7"/>
    <w:rsid w:val="008B5046"/>
    <w:rsid w:val="008B5056"/>
    <w:rsid w:val="008B5073"/>
    <w:rsid w:val="008B5092"/>
    <w:rsid w:val="008B50E0"/>
    <w:rsid w:val="008B50FE"/>
    <w:rsid w:val="008B5145"/>
    <w:rsid w:val="008B523D"/>
    <w:rsid w:val="008B5327"/>
    <w:rsid w:val="008B5378"/>
    <w:rsid w:val="008B54F5"/>
    <w:rsid w:val="008B5523"/>
    <w:rsid w:val="008B554E"/>
    <w:rsid w:val="008B5628"/>
    <w:rsid w:val="008B5643"/>
    <w:rsid w:val="008B5698"/>
    <w:rsid w:val="008B56E4"/>
    <w:rsid w:val="008B56F9"/>
    <w:rsid w:val="008B5734"/>
    <w:rsid w:val="008B590E"/>
    <w:rsid w:val="008B5969"/>
    <w:rsid w:val="008B59A1"/>
    <w:rsid w:val="008B5A21"/>
    <w:rsid w:val="008B5A97"/>
    <w:rsid w:val="008B5C2C"/>
    <w:rsid w:val="008B5EF6"/>
    <w:rsid w:val="008B5FD7"/>
    <w:rsid w:val="008B609B"/>
    <w:rsid w:val="008B60C6"/>
    <w:rsid w:val="008B60FD"/>
    <w:rsid w:val="008B6186"/>
    <w:rsid w:val="008B61B8"/>
    <w:rsid w:val="008B61BA"/>
    <w:rsid w:val="008B61F0"/>
    <w:rsid w:val="008B6241"/>
    <w:rsid w:val="008B6246"/>
    <w:rsid w:val="008B62CD"/>
    <w:rsid w:val="008B6305"/>
    <w:rsid w:val="008B6495"/>
    <w:rsid w:val="008B6529"/>
    <w:rsid w:val="008B65A7"/>
    <w:rsid w:val="008B660B"/>
    <w:rsid w:val="008B6712"/>
    <w:rsid w:val="008B67DB"/>
    <w:rsid w:val="008B67F5"/>
    <w:rsid w:val="008B6892"/>
    <w:rsid w:val="008B6940"/>
    <w:rsid w:val="008B6A70"/>
    <w:rsid w:val="008B6AC5"/>
    <w:rsid w:val="008B6B13"/>
    <w:rsid w:val="008B6B41"/>
    <w:rsid w:val="008B6CA1"/>
    <w:rsid w:val="008B6E50"/>
    <w:rsid w:val="008B6E66"/>
    <w:rsid w:val="008B6FC4"/>
    <w:rsid w:val="008B7339"/>
    <w:rsid w:val="008B734D"/>
    <w:rsid w:val="008B7361"/>
    <w:rsid w:val="008B7390"/>
    <w:rsid w:val="008B7404"/>
    <w:rsid w:val="008B745B"/>
    <w:rsid w:val="008B7511"/>
    <w:rsid w:val="008B760C"/>
    <w:rsid w:val="008B76D6"/>
    <w:rsid w:val="008B77BA"/>
    <w:rsid w:val="008B77BD"/>
    <w:rsid w:val="008B77ED"/>
    <w:rsid w:val="008B77FA"/>
    <w:rsid w:val="008B788D"/>
    <w:rsid w:val="008B7966"/>
    <w:rsid w:val="008B7A7C"/>
    <w:rsid w:val="008B7A84"/>
    <w:rsid w:val="008B7B06"/>
    <w:rsid w:val="008B7B21"/>
    <w:rsid w:val="008B7C69"/>
    <w:rsid w:val="008B7C7F"/>
    <w:rsid w:val="008B7C9A"/>
    <w:rsid w:val="008B7CC0"/>
    <w:rsid w:val="008B7ED4"/>
    <w:rsid w:val="008B7EF9"/>
    <w:rsid w:val="008B7F89"/>
    <w:rsid w:val="008B7FDA"/>
    <w:rsid w:val="008B7FE1"/>
    <w:rsid w:val="008C00B7"/>
    <w:rsid w:val="008C0157"/>
    <w:rsid w:val="008C019C"/>
    <w:rsid w:val="008C019E"/>
    <w:rsid w:val="008C0273"/>
    <w:rsid w:val="008C03F9"/>
    <w:rsid w:val="008C04F1"/>
    <w:rsid w:val="008C04F7"/>
    <w:rsid w:val="008C061F"/>
    <w:rsid w:val="008C0624"/>
    <w:rsid w:val="008C0659"/>
    <w:rsid w:val="008C0694"/>
    <w:rsid w:val="008C06A9"/>
    <w:rsid w:val="008C06D4"/>
    <w:rsid w:val="008C07BB"/>
    <w:rsid w:val="008C0831"/>
    <w:rsid w:val="008C08A7"/>
    <w:rsid w:val="008C0967"/>
    <w:rsid w:val="008C0974"/>
    <w:rsid w:val="008C09EB"/>
    <w:rsid w:val="008C0B13"/>
    <w:rsid w:val="008C0B59"/>
    <w:rsid w:val="008C0CE8"/>
    <w:rsid w:val="008C0EF0"/>
    <w:rsid w:val="008C0F1C"/>
    <w:rsid w:val="008C0FE0"/>
    <w:rsid w:val="008C1056"/>
    <w:rsid w:val="008C10B2"/>
    <w:rsid w:val="008C1220"/>
    <w:rsid w:val="008C1251"/>
    <w:rsid w:val="008C1269"/>
    <w:rsid w:val="008C1285"/>
    <w:rsid w:val="008C131F"/>
    <w:rsid w:val="008C1340"/>
    <w:rsid w:val="008C1588"/>
    <w:rsid w:val="008C15AF"/>
    <w:rsid w:val="008C15D3"/>
    <w:rsid w:val="008C1699"/>
    <w:rsid w:val="008C1719"/>
    <w:rsid w:val="008C177A"/>
    <w:rsid w:val="008C17A5"/>
    <w:rsid w:val="008C17D9"/>
    <w:rsid w:val="008C185F"/>
    <w:rsid w:val="008C186C"/>
    <w:rsid w:val="008C1954"/>
    <w:rsid w:val="008C1957"/>
    <w:rsid w:val="008C1B53"/>
    <w:rsid w:val="008C1BBC"/>
    <w:rsid w:val="008C1BC7"/>
    <w:rsid w:val="008C1D19"/>
    <w:rsid w:val="008C1D24"/>
    <w:rsid w:val="008C1E09"/>
    <w:rsid w:val="008C1F3B"/>
    <w:rsid w:val="008C2062"/>
    <w:rsid w:val="008C21B1"/>
    <w:rsid w:val="008C2273"/>
    <w:rsid w:val="008C2292"/>
    <w:rsid w:val="008C2299"/>
    <w:rsid w:val="008C229A"/>
    <w:rsid w:val="008C23C3"/>
    <w:rsid w:val="008C24E1"/>
    <w:rsid w:val="008C24EF"/>
    <w:rsid w:val="008C25CD"/>
    <w:rsid w:val="008C26BB"/>
    <w:rsid w:val="008C2731"/>
    <w:rsid w:val="008C289F"/>
    <w:rsid w:val="008C28C9"/>
    <w:rsid w:val="008C28D1"/>
    <w:rsid w:val="008C2A92"/>
    <w:rsid w:val="008C2AA0"/>
    <w:rsid w:val="008C2AFA"/>
    <w:rsid w:val="008C2D76"/>
    <w:rsid w:val="008C2EBA"/>
    <w:rsid w:val="008C2F2A"/>
    <w:rsid w:val="008C2F7C"/>
    <w:rsid w:val="008C31C0"/>
    <w:rsid w:val="008C32F9"/>
    <w:rsid w:val="008C3487"/>
    <w:rsid w:val="008C3493"/>
    <w:rsid w:val="008C34C2"/>
    <w:rsid w:val="008C34E2"/>
    <w:rsid w:val="008C359A"/>
    <w:rsid w:val="008C3612"/>
    <w:rsid w:val="008C3680"/>
    <w:rsid w:val="008C3744"/>
    <w:rsid w:val="008C3778"/>
    <w:rsid w:val="008C3828"/>
    <w:rsid w:val="008C3885"/>
    <w:rsid w:val="008C38D4"/>
    <w:rsid w:val="008C394E"/>
    <w:rsid w:val="008C394F"/>
    <w:rsid w:val="008C3A2F"/>
    <w:rsid w:val="008C3A41"/>
    <w:rsid w:val="008C3A98"/>
    <w:rsid w:val="008C3B0B"/>
    <w:rsid w:val="008C3B27"/>
    <w:rsid w:val="008C3D70"/>
    <w:rsid w:val="008C3DEB"/>
    <w:rsid w:val="008C3E98"/>
    <w:rsid w:val="008C3F11"/>
    <w:rsid w:val="008C3FF3"/>
    <w:rsid w:val="008C4457"/>
    <w:rsid w:val="008C453D"/>
    <w:rsid w:val="008C45C9"/>
    <w:rsid w:val="008C460D"/>
    <w:rsid w:val="008C4682"/>
    <w:rsid w:val="008C4762"/>
    <w:rsid w:val="008C4848"/>
    <w:rsid w:val="008C4873"/>
    <w:rsid w:val="008C491B"/>
    <w:rsid w:val="008C49FE"/>
    <w:rsid w:val="008C4A72"/>
    <w:rsid w:val="008C4A77"/>
    <w:rsid w:val="008C4A7F"/>
    <w:rsid w:val="008C4AE1"/>
    <w:rsid w:val="008C4AFF"/>
    <w:rsid w:val="008C4B24"/>
    <w:rsid w:val="008C4B55"/>
    <w:rsid w:val="008C4B96"/>
    <w:rsid w:val="008C4CF7"/>
    <w:rsid w:val="008C4D04"/>
    <w:rsid w:val="008C4D94"/>
    <w:rsid w:val="008C4DC0"/>
    <w:rsid w:val="008C510A"/>
    <w:rsid w:val="008C5186"/>
    <w:rsid w:val="008C525D"/>
    <w:rsid w:val="008C52D9"/>
    <w:rsid w:val="008C5351"/>
    <w:rsid w:val="008C53C1"/>
    <w:rsid w:val="008C5495"/>
    <w:rsid w:val="008C5665"/>
    <w:rsid w:val="008C56C2"/>
    <w:rsid w:val="008C58BA"/>
    <w:rsid w:val="008C59ED"/>
    <w:rsid w:val="008C5A52"/>
    <w:rsid w:val="008C5A6E"/>
    <w:rsid w:val="008C5AC3"/>
    <w:rsid w:val="008C5AC7"/>
    <w:rsid w:val="008C5C4D"/>
    <w:rsid w:val="008C5D97"/>
    <w:rsid w:val="008C5DA7"/>
    <w:rsid w:val="008C5E68"/>
    <w:rsid w:val="008C5F08"/>
    <w:rsid w:val="008C600E"/>
    <w:rsid w:val="008C6124"/>
    <w:rsid w:val="008C6209"/>
    <w:rsid w:val="008C62CA"/>
    <w:rsid w:val="008C6313"/>
    <w:rsid w:val="008C6316"/>
    <w:rsid w:val="008C6387"/>
    <w:rsid w:val="008C6482"/>
    <w:rsid w:val="008C6624"/>
    <w:rsid w:val="008C66ED"/>
    <w:rsid w:val="008C6714"/>
    <w:rsid w:val="008C675F"/>
    <w:rsid w:val="008C6916"/>
    <w:rsid w:val="008C6B60"/>
    <w:rsid w:val="008C6B63"/>
    <w:rsid w:val="008C6BB9"/>
    <w:rsid w:val="008C6C24"/>
    <w:rsid w:val="008C6D48"/>
    <w:rsid w:val="008C6D58"/>
    <w:rsid w:val="008C6E9B"/>
    <w:rsid w:val="008C6EB9"/>
    <w:rsid w:val="008C6F92"/>
    <w:rsid w:val="008C703C"/>
    <w:rsid w:val="008C70C2"/>
    <w:rsid w:val="008C7131"/>
    <w:rsid w:val="008C7153"/>
    <w:rsid w:val="008C72AB"/>
    <w:rsid w:val="008C72EC"/>
    <w:rsid w:val="008C7369"/>
    <w:rsid w:val="008C739D"/>
    <w:rsid w:val="008C7417"/>
    <w:rsid w:val="008C7457"/>
    <w:rsid w:val="008C7488"/>
    <w:rsid w:val="008C74B2"/>
    <w:rsid w:val="008C74C3"/>
    <w:rsid w:val="008C7589"/>
    <w:rsid w:val="008C764B"/>
    <w:rsid w:val="008C7689"/>
    <w:rsid w:val="008C7693"/>
    <w:rsid w:val="008C76B9"/>
    <w:rsid w:val="008C76E0"/>
    <w:rsid w:val="008C7785"/>
    <w:rsid w:val="008C77B6"/>
    <w:rsid w:val="008C784B"/>
    <w:rsid w:val="008C7888"/>
    <w:rsid w:val="008C788D"/>
    <w:rsid w:val="008C790F"/>
    <w:rsid w:val="008C797E"/>
    <w:rsid w:val="008C7AEC"/>
    <w:rsid w:val="008C7B9E"/>
    <w:rsid w:val="008C7D1E"/>
    <w:rsid w:val="008C7D25"/>
    <w:rsid w:val="008C7D63"/>
    <w:rsid w:val="008C7E17"/>
    <w:rsid w:val="008C7E19"/>
    <w:rsid w:val="008C7EBA"/>
    <w:rsid w:val="008C7F2B"/>
    <w:rsid w:val="008C7F33"/>
    <w:rsid w:val="008C7FA7"/>
    <w:rsid w:val="008C7FD2"/>
    <w:rsid w:val="008C7FD5"/>
    <w:rsid w:val="008D004F"/>
    <w:rsid w:val="008D0099"/>
    <w:rsid w:val="008D012F"/>
    <w:rsid w:val="008D016C"/>
    <w:rsid w:val="008D01C5"/>
    <w:rsid w:val="008D02CC"/>
    <w:rsid w:val="008D06F4"/>
    <w:rsid w:val="008D0733"/>
    <w:rsid w:val="008D075E"/>
    <w:rsid w:val="008D07CD"/>
    <w:rsid w:val="008D082D"/>
    <w:rsid w:val="008D0A8E"/>
    <w:rsid w:val="008D0B1E"/>
    <w:rsid w:val="008D0BD3"/>
    <w:rsid w:val="008D0CBB"/>
    <w:rsid w:val="008D0D71"/>
    <w:rsid w:val="008D0E19"/>
    <w:rsid w:val="008D0E51"/>
    <w:rsid w:val="008D0F5B"/>
    <w:rsid w:val="008D110A"/>
    <w:rsid w:val="008D11A8"/>
    <w:rsid w:val="008D1221"/>
    <w:rsid w:val="008D123E"/>
    <w:rsid w:val="008D12E3"/>
    <w:rsid w:val="008D1314"/>
    <w:rsid w:val="008D1384"/>
    <w:rsid w:val="008D1400"/>
    <w:rsid w:val="008D150E"/>
    <w:rsid w:val="008D160E"/>
    <w:rsid w:val="008D166D"/>
    <w:rsid w:val="008D16BE"/>
    <w:rsid w:val="008D1794"/>
    <w:rsid w:val="008D17FE"/>
    <w:rsid w:val="008D1870"/>
    <w:rsid w:val="008D1880"/>
    <w:rsid w:val="008D18A6"/>
    <w:rsid w:val="008D18BA"/>
    <w:rsid w:val="008D18BB"/>
    <w:rsid w:val="008D1964"/>
    <w:rsid w:val="008D1A5D"/>
    <w:rsid w:val="008D1AED"/>
    <w:rsid w:val="008D1C72"/>
    <w:rsid w:val="008D1D35"/>
    <w:rsid w:val="008D1D3F"/>
    <w:rsid w:val="008D1D43"/>
    <w:rsid w:val="008D1D67"/>
    <w:rsid w:val="008D1D81"/>
    <w:rsid w:val="008D1DD8"/>
    <w:rsid w:val="008D1E8B"/>
    <w:rsid w:val="008D1ECC"/>
    <w:rsid w:val="008D1ED3"/>
    <w:rsid w:val="008D1F31"/>
    <w:rsid w:val="008D1F64"/>
    <w:rsid w:val="008D1F84"/>
    <w:rsid w:val="008D203B"/>
    <w:rsid w:val="008D20C4"/>
    <w:rsid w:val="008D2146"/>
    <w:rsid w:val="008D2164"/>
    <w:rsid w:val="008D21B7"/>
    <w:rsid w:val="008D222E"/>
    <w:rsid w:val="008D22FA"/>
    <w:rsid w:val="008D236A"/>
    <w:rsid w:val="008D23D8"/>
    <w:rsid w:val="008D24A3"/>
    <w:rsid w:val="008D25A7"/>
    <w:rsid w:val="008D2616"/>
    <w:rsid w:val="008D26DA"/>
    <w:rsid w:val="008D2740"/>
    <w:rsid w:val="008D28ED"/>
    <w:rsid w:val="008D2A63"/>
    <w:rsid w:val="008D2AF1"/>
    <w:rsid w:val="008D2BAA"/>
    <w:rsid w:val="008D2D7C"/>
    <w:rsid w:val="008D2E6D"/>
    <w:rsid w:val="008D2F75"/>
    <w:rsid w:val="008D3011"/>
    <w:rsid w:val="008D31EB"/>
    <w:rsid w:val="008D3281"/>
    <w:rsid w:val="008D331F"/>
    <w:rsid w:val="008D3441"/>
    <w:rsid w:val="008D3442"/>
    <w:rsid w:val="008D3454"/>
    <w:rsid w:val="008D3492"/>
    <w:rsid w:val="008D3518"/>
    <w:rsid w:val="008D3655"/>
    <w:rsid w:val="008D3677"/>
    <w:rsid w:val="008D3703"/>
    <w:rsid w:val="008D3735"/>
    <w:rsid w:val="008D376D"/>
    <w:rsid w:val="008D3780"/>
    <w:rsid w:val="008D3786"/>
    <w:rsid w:val="008D37C6"/>
    <w:rsid w:val="008D3864"/>
    <w:rsid w:val="008D38BF"/>
    <w:rsid w:val="008D3957"/>
    <w:rsid w:val="008D3988"/>
    <w:rsid w:val="008D39FC"/>
    <w:rsid w:val="008D3A98"/>
    <w:rsid w:val="008D3B1D"/>
    <w:rsid w:val="008D3B36"/>
    <w:rsid w:val="008D3B72"/>
    <w:rsid w:val="008D3BD6"/>
    <w:rsid w:val="008D3C23"/>
    <w:rsid w:val="008D3DEC"/>
    <w:rsid w:val="008D3E14"/>
    <w:rsid w:val="008D3F09"/>
    <w:rsid w:val="008D4002"/>
    <w:rsid w:val="008D4102"/>
    <w:rsid w:val="008D4127"/>
    <w:rsid w:val="008D41B0"/>
    <w:rsid w:val="008D420D"/>
    <w:rsid w:val="008D4237"/>
    <w:rsid w:val="008D42B6"/>
    <w:rsid w:val="008D42EE"/>
    <w:rsid w:val="008D4436"/>
    <w:rsid w:val="008D4501"/>
    <w:rsid w:val="008D450D"/>
    <w:rsid w:val="008D45A8"/>
    <w:rsid w:val="008D4611"/>
    <w:rsid w:val="008D46BA"/>
    <w:rsid w:val="008D46EA"/>
    <w:rsid w:val="008D4777"/>
    <w:rsid w:val="008D48D8"/>
    <w:rsid w:val="008D498A"/>
    <w:rsid w:val="008D49FA"/>
    <w:rsid w:val="008D4A37"/>
    <w:rsid w:val="008D4AB4"/>
    <w:rsid w:val="008D4BB1"/>
    <w:rsid w:val="008D4BFD"/>
    <w:rsid w:val="008D4C45"/>
    <w:rsid w:val="008D4C7D"/>
    <w:rsid w:val="008D4D4D"/>
    <w:rsid w:val="008D4DC3"/>
    <w:rsid w:val="008D4DC9"/>
    <w:rsid w:val="008D4EE3"/>
    <w:rsid w:val="008D51A6"/>
    <w:rsid w:val="008D51C0"/>
    <w:rsid w:val="008D5233"/>
    <w:rsid w:val="008D52CF"/>
    <w:rsid w:val="008D5401"/>
    <w:rsid w:val="008D54ED"/>
    <w:rsid w:val="008D5577"/>
    <w:rsid w:val="008D56E7"/>
    <w:rsid w:val="008D5713"/>
    <w:rsid w:val="008D588E"/>
    <w:rsid w:val="008D58DD"/>
    <w:rsid w:val="008D58F0"/>
    <w:rsid w:val="008D599C"/>
    <w:rsid w:val="008D5BBA"/>
    <w:rsid w:val="008D5BDC"/>
    <w:rsid w:val="008D5CB6"/>
    <w:rsid w:val="008D5CFD"/>
    <w:rsid w:val="008D5D7A"/>
    <w:rsid w:val="008D5E95"/>
    <w:rsid w:val="008D5F78"/>
    <w:rsid w:val="008D6099"/>
    <w:rsid w:val="008D60DA"/>
    <w:rsid w:val="008D60E4"/>
    <w:rsid w:val="008D611D"/>
    <w:rsid w:val="008D634D"/>
    <w:rsid w:val="008D64EF"/>
    <w:rsid w:val="008D66B1"/>
    <w:rsid w:val="008D673B"/>
    <w:rsid w:val="008D6792"/>
    <w:rsid w:val="008D6A94"/>
    <w:rsid w:val="008D6AB4"/>
    <w:rsid w:val="008D6BB2"/>
    <w:rsid w:val="008D6CDF"/>
    <w:rsid w:val="008D6CE0"/>
    <w:rsid w:val="008D6D0C"/>
    <w:rsid w:val="008D6E01"/>
    <w:rsid w:val="008D6E70"/>
    <w:rsid w:val="008D6EEA"/>
    <w:rsid w:val="008D7034"/>
    <w:rsid w:val="008D7182"/>
    <w:rsid w:val="008D7189"/>
    <w:rsid w:val="008D72FB"/>
    <w:rsid w:val="008D738F"/>
    <w:rsid w:val="008D7452"/>
    <w:rsid w:val="008D74FB"/>
    <w:rsid w:val="008D753A"/>
    <w:rsid w:val="008D7697"/>
    <w:rsid w:val="008D786E"/>
    <w:rsid w:val="008D78E8"/>
    <w:rsid w:val="008D790D"/>
    <w:rsid w:val="008D79F9"/>
    <w:rsid w:val="008D7A69"/>
    <w:rsid w:val="008D7AD9"/>
    <w:rsid w:val="008D7B70"/>
    <w:rsid w:val="008D7BDD"/>
    <w:rsid w:val="008D7C3D"/>
    <w:rsid w:val="008D7C54"/>
    <w:rsid w:val="008D7C93"/>
    <w:rsid w:val="008D7DE1"/>
    <w:rsid w:val="008D7E2B"/>
    <w:rsid w:val="008D7E4C"/>
    <w:rsid w:val="008E0286"/>
    <w:rsid w:val="008E02AB"/>
    <w:rsid w:val="008E0342"/>
    <w:rsid w:val="008E0467"/>
    <w:rsid w:val="008E0517"/>
    <w:rsid w:val="008E05AC"/>
    <w:rsid w:val="008E05B4"/>
    <w:rsid w:val="008E05D5"/>
    <w:rsid w:val="008E066A"/>
    <w:rsid w:val="008E0848"/>
    <w:rsid w:val="008E09C0"/>
    <w:rsid w:val="008E0AD6"/>
    <w:rsid w:val="008E0AE8"/>
    <w:rsid w:val="008E0B36"/>
    <w:rsid w:val="008E0BA1"/>
    <w:rsid w:val="008E0D1A"/>
    <w:rsid w:val="008E0D21"/>
    <w:rsid w:val="008E0D2E"/>
    <w:rsid w:val="008E0DBB"/>
    <w:rsid w:val="008E0E37"/>
    <w:rsid w:val="008E0E5B"/>
    <w:rsid w:val="008E0F74"/>
    <w:rsid w:val="008E1109"/>
    <w:rsid w:val="008E111C"/>
    <w:rsid w:val="008E11C6"/>
    <w:rsid w:val="008E122C"/>
    <w:rsid w:val="008E12CC"/>
    <w:rsid w:val="008E1371"/>
    <w:rsid w:val="008E13D2"/>
    <w:rsid w:val="008E14B0"/>
    <w:rsid w:val="008E150A"/>
    <w:rsid w:val="008E1624"/>
    <w:rsid w:val="008E177E"/>
    <w:rsid w:val="008E17D3"/>
    <w:rsid w:val="008E181D"/>
    <w:rsid w:val="008E187B"/>
    <w:rsid w:val="008E18E3"/>
    <w:rsid w:val="008E1919"/>
    <w:rsid w:val="008E1927"/>
    <w:rsid w:val="008E19D1"/>
    <w:rsid w:val="008E19DE"/>
    <w:rsid w:val="008E1A68"/>
    <w:rsid w:val="008E1BB8"/>
    <w:rsid w:val="008E1C23"/>
    <w:rsid w:val="008E1C4C"/>
    <w:rsid w:val="008E1E49"/>
    <w:rsid w:val="008E1EBA"/>
    <w:rsid w:val="008E1EF8"/>
    <w:rsid w:val="008E1F3D"/>
    <w:rsid w:val="008E1FCA"/>
    <w:rsid w:val="008E1FF6"/>
    <w:rsid w:val="008E2076"/>
    <w:rsid w:val="008E20AD"/>
    <w:rsid w:val="008E20E4"/>
    <w:rsid w:val="008E225B"/>
    <w:rsid w:val="008E2513"/>
    <w:rsid w:val="008E257A"/>
    <w:rsid w:val="008E2589"/>
    <w:rsid w:val="008E2623"/>
    <w:rsid w:val="008E274E"/>
    <w:rsid w:val="008E28DF"/>
    <w:rsid w:val="008E28E7"/>
    <w:rsid w:val="008E2963"/>
    <w:rsid w:val="008E2A41"/>
    <w:rsid w:val="008E2A5F"/>
    <w:rsid w:val="008E2AC8"/>
    <w:rsid w:val="008E2B90"/>
    <w:rsid w:val="008E2B9C"/>
    <w:rsid w:val="008E2C62"/>
    <w:rsid w:val="008E2CA0"/>
    <w:rsid w:val="008E2EED"/>
    <w:rsid w:val="008E2F9F"/>
    <w:rsid w:val="008E30B8"/>
    <w:rsid w:val="008E30C7"/>
    <w:rsid w:val="008E3178"/>
    <w:rsid w:val="008E3201"/>
    <w:rsid w:val="008E321B"/>
    <w:rsid w:val="008E3228"/>
    <w:rsid w:val="008E3258"/>
    <w:rsid w:val="008E3266"/>
    <w:rsid w:val="008E3291"/>
    <w:rsid w:val="008E348B"/>
    <w:rsid w:val="008E34EA"/>
    <w:rsid w:val="008E35A9"/>
    <w:rsid w:val="008E35BD"/>
    <w:rsid w:val="008E35C6"/>
    <w:rsid w:val="008E36D5"/>
    <w:rsid w:val="008E3703"/>
    <w:rsid w:val="008E387A"/>
    <w:rsid w:val="008E38B6"/>
    <w:rsid w:val="008E38C0"/>
    <w:rsid w:val="008E39C5"/>
    <w:rsid w:val="008E3AE5"/>
    <w:rsid w:val="008E3B13"/>
    <w:rsid w:val="008E3B52"/>
    <w:rsid w:val="008E3C27"/>
    <w:rsid w:val="008E3D69"/>
    <w:rsid w:val="008E3E03"/>
    <w:rsid w:val="008E3E68"/>
    <w:rsid w:val="008E3EA4"/>
    <w:rsid w:val="008E3F3A"/>
    <w:rsid w:val="008E404B"/>
    <w:rsid w:val="008E4109"/>
    <w:rsid w:val="008E418D"/>
    <w:rsid w:val="008E4305"/>
    <w:rsid w:val="008E436D"/>
    <w:rsid w:val="008E4439"/>
    <w:rsid w:val="008E444E"/>
    <w:rsid w:val="008E445D"/>
    <w:rsid w:val="008E4526"/>
    <w:rsid w:val="008E452C"/>
    <w:rsid w:val="008E4562"/>
    <w:rsid w:val="008E4625"/>
    <w:rsid w:val="008E4697"/>
    <w:rsid w:val="008E474B"/>
    <w:rsid w:val="008E47C6"/>
    <w:rsid w:val="008E4828"/>
    <w:rsid w:val="008E4876"/>
    <w:rsid w:val="008E48C9"/>
    <w:rsid w:val="008E4992"/>
    <w:rsid w:val="008E49B6"/>
    <w:rsid w:val="008E49B7"/>
    <w:rsid w:val="008E4A4E"/>
    <w:rsid w:val="008E4C2E"/>
    <w:rsid w:val="008E4CA3"/>
    <w:rsid w:val="008E4D26"/>
    <w:rsid w:val="008E4DF8"/>
    <w:rsid w:val="008E4E35"/>
    <w:rsid w:val="008E4EAD"/>
    <w:rsid w:val="008E4F74"/>
    <w:rsid w:val="008E500F"/>
    <w:rsid w:val="008E505B"/>
    <w:rsid w:val="008E507F"/>
    <w:rsid w:val="008E5196"/>
    <w:rsid w:val="008E5339"/>
    <w:rsid w:val="008E5384"/>
    <w:rsid w:val="008E53DB"/>
    <w:rsid w:val="008E540A"/>
    <w:rsid w:val="008E543A"/>
    <w:rsid w:val="008E54C0"/>
    <w:rsid w:val="008E54CA"/>
    <w:rsid w:val="008E555A"/>
    <w:rsid w:val="008E56DA"/>
    <w:rsid w:val="008E56E1"/>
    <w:rsid w:val="008E589A"/>
    <w:rsid w:val="008E58F5"/>
    <w:rsid w:val="008E5947"/>
    <w:rsid w:val="008E59FC"/>
    <w:rsid w:val="008E5A6F"/>
    <w:rsid w:val="008E5AD7"/>
    <w:rsid w:val="008E5ADE"/>
    <w:rsid w:val="008E5B96"/>
    <w:rsid w:val="008E5C18"/>
    <w:rsid w:val="008E5D9F"/>
    <w:rsid w:val="008E5E1B"/>
    <w:rsid w:val="008E5E9E"/>
    <w:rsid w:val="008E5EE8"/>
    <w:rsid w:val="008E60D7"/>
    <w:rsid w:val="008E6217"/>
    <w:rsid w:val="008E624C"/>
    <w:rsid w:val="008E62FE"/>
    <w:rsid w:val="008E6401"/>
    <w:rsid w:val="008E64CD"/>
    <w:rsid w:val="008E65E1"/>
    <w:rsid w:val="008E662B"/>
    <w:rsid w:val="008E6765"/>
    <w:rsid w:val="008E6787"/>
    <w:rsid w:val="008E67C0"/>
    <w:rsid w:val="008E67E8"/>
    <w:rsid w:val="008E681B"/>
    <w:rsid w:val="008E6965"/>
    <w:rsid w:val="008E6A4D"/>
    <w:rsid w:val="008E6BF7"/>
    <w:rsid w:val="008E6C6E"/>
    <w:rsid w:val="008E6C8C"/>
    <w:rsid w:val="008E6D10"/>
    <w:rsid w:val="008E6DAF"/>
    <w:rsid w:val="008E6F3F"/>
    <w:rsid w:val="008E6F97"/>
    <w:rsid w:val="008E70E2"/>
    <w:rsid w:val="008E7157"/>
    <w:rsid w:val="008E72AC"/>
    <w:rsid w:val="008E7301"/>
    <w:rsid w:val="008E732E"/>
    <w:rsid w:val="008E73CB"/>
    <w:rsid w:val="008E7403"/>
    <w:rsid w:val="008E749D"/>
    <w:rsid w:val="008E7526"/>
    <w:rsid w:val="008E7542"/>
    <w:rsid w:val="008E7618"/>
    <w:rsid w:val="008E7834"/>
    <w:rsid w:val="008E7890"/>
    <w:rsid w:val="008E78CE"/>
    <w:rsid w:val="008E78D4"/>
    <w:rsid w:val="008E79B2"/>
    <w:rsid w:val="008E7AB6"/>
    <w:rsid w:val="008E7BED"/>
    <w:rsid w:val="008E7C4B"/>
    <w:rsid w:val="008E7C62"/>
    <w:rsid w:val="008E7CAE"/>
    <w:rsid w:val="008E7D1F"/>
    <w:rsid w:val="008E7DA2"/>
    <w:rsid w:val="008E7DD5"/>
    <w:rsid w:val="008E7E8C"/>
    <w:rsid w:val="008E7F3A"/>
    <w:rsid w:val="008E7F55"/>
    <w:rsid w:val="008F00C3"/>
    <w:rsid w:val="008F02E5"/>
    <w:rsid w:val="008F0337"/>
    <w:rsid w:val="008F038D"/>
    <w:rsid w:val="008F03EB"/>
    <w:rsid w:val="008F03F9"/>
    <w:rsid w:val="008F0459"/>
    <w:rsid w:val="008F0479"/>
    <w:rsid w:val="008F0560"/>
    <w:rsid w:val="008F0598"/>
    <w:rsid w:val="008F0684"/>
    <w:rsid w:val="008F06F8"/>
    <w:rsid w:val="008F07C8"/>
    <w:rsid w:val="008F07DF"/>
    <w:rsid w:val="008F082B"/>
    <w:rsid w:val="008F0A85"/>
    <w:rsid w:val="008F0A94"/>
    <w:rsid w:val="008F0BF2"/>
    <w:rsid w:val="008F0C0F"/>
    <w:rsid w:val="008F0CB2"/>
    <w:rsid w:val="008F0CB4"/>
    <w:rsid w:val="008F0CF3"/>
    <w:rsid w:val="008F0E15"/>
    <w:rsid w:val="008F0E58"/>
    <w:rsid w:val="008F0E7A"/>
    <w:rsid w:val="008F0EAF"/>
    <w:rsid w:val="008F0ECF"/>
    <w:rsid w:val="008F0F42"/>
    <w:rsid w:val="008F0FF5"/>
    <w:rsid w:val="008F109B"/>
    <w:rsid w:val="008F10EA"/>
    <w:rsid w:val="008F10F3"/>
    <w:rsid w:val="008F1236"/>
    <w:rsid w:val="008F1325"/>
    <w:rsid w:val="008F13FC"/>
    <w:rsid w:val="008F1441"/>
    <w:rsid w:val="008F1559"/>
    <w:rsid w:val="008F1561"/>
    <w:rsid w:val="008F1585"/>
    <w:rsid w:val="008F16CA"/>
    <w:rsid w:val="008F1874"/>
    <w:rsid w:val="008F18F3"/>
    <w:rsid w:val="008F1A89"/>
    <w:rsid w:val="008F1A91"/>
    <w:rsid w:val="008F1B5D"/>
    <w:rsid w:val="008F1C1A"/>
    <w:rsid w:val="008F1E74"/>
    <w:rsid w:val="008F1EC3"/>
    <w:rsid w:val="008F1F2A"/>
    <w:rsid w:val="008F1F51"/>
    <w:rsid w:val="008F1F79"/>
    <w:rsid w:val="008F2019"/>
    <w:rsid w:val="008F206A"/>
    <w:rsid w:val="008F2143"/>
    <w:rsid w:val="008F21F3"/>
    <w:rsid w:val="008F22BC"/>
    <w:rsid w:val="008F2452"/>
    <w:rsid w:val="008F2693"/>
    <w:rsid w:val="008F273B"/>
    <w:rsid w:val="008F2765"/>
    <w:rsid w:val="008F2766"/>
    <w:rsid w:val="008F28CC"/>
    <w:rsid w:val="008F2A53"/>
    <w:rsid w:val="008F2ABC"/>
    <w:rsid w:val="008F2AD8"/>
    <w:rsid w:val="008F2B77"/>
    <w:rsid w:val="008F2BCA"/>
    <w:rsid w:val="008F2C54"/>
    <w:rsid w:val="008F2C6B"/>
    <w:rsid w:val="008F2D3D"/>
    <w:rsid w:val="008F2D70"/>
    <w:rsid w:val="008F2D7A"/>
    <w:rsid w:val="008F2DD9"/>
    <w:rsid w:val="008F2EFE"/>
    <w:rsid w:val="008F2F4D"/>
    <w:rsid w:val="008F30DF"/>
    <w:rsid w:val="008F3243"/>
    <w:rsid w:val="008F32E6"/>
    <w:rsid w:val="008F334F"/>
    <w:rsid w:val="008F33F2"/>
    <w:rsid w:val="008F3424"/>
    <w:rsid w:val="008F353F"/>
    <w:rsid w:val="008F371E"/>
    <w:rsid w:val="008F3755"/>
    <w:rsid w:val="008F3769"/>
    <w:rsid w:val="008F37C3"/>
    <w:rsid w:val="008F37EE"/>
    <w:rsid w:val="008F3851"/>
    <w:rsid w:val="008F385B"/>
    <w:rsid w:val="008F3871"/>
    <w:rsid w:val="008F3890"/>
    <w:rsid w:val="008F3918"/>
    <w:rsid w:val="008F3938"/>
    <w:rsid w:val="008F3952"/>
    <w:rsid w:val="008F399A"/>
    <w:rsid w:val="008F39D6"/>
    <w:rsid w:val="008F3A7C"/>
    <w:rsid w:val="008F3A83"/>
    <w:rsid w:val="008F3A9D"/>
    <w:rsid w:val="008F3BCA"/>
    <w:rsid w:val="008F3C1A"/>
    <w:rsid w:val="008F3D91"/>
    <w:rsid w:val="008F3E16"/>
    <w:rsid w:val="008F3E20"/>
    <w:rsid w:val="008F3E7F"/>
    <w:rsid w:val="008F3FA4"/>
    <w:rsid w:val="008F4087"/>
    <w:rsid w:val="008F41C5"/>
    <w:rsid w:val="008F42B4"/>
    <w:rsid w:val="008F4388"/>
    <w:rsid w:val="008F441B"/>
    <w:rsid w:val="008F4503"/>
    <w:rsid w:val="008F4641"/>
    <w:rsid w:val="008F4736"/>
    <w:rsid w:val="008F47AD"/>
    <w:rsid w:val="008F47AF"/>
    <w:rsid w:val="008F4A5F"/>
    <w:rsid w:val="008F4B0D"/>
    <w:rsid w:val="008F4C66"/>
    <w:rsid w:val="008F4CD2"/>
    <w:rsid w:val="008F4CE1"/>
    <w:rsid w:val="008F4DA3"/>
    <w:rsid w:val="008F4EB6"/>
    <w:rsid w:val="008F4FD7"/>
    <w:rsid w:val="008F4FFF"/>
    <w:rsid w:val="008F5058"/>
    <w:rsid w:val="008F51C3"/>
    <w:rsid w:val="008F535F"/>
    <w:rsid w:val="008F53BC"/>
    <w:rsid w:val="008F5429"/>
    <w:rsid w:val="008F5498"/>
    <w:rsid w:val="008F54C8"/>
    <w:rsid w:val="008F559C"/>
    <w:rsid w:val="008F5623"/>
    <w:rsid w:val="008F5641"/>
    <w:rsid w:val="008F56BF"/>
    <w:rsid w:val="008F57B6"/>
    <w:rsid w:val="008F5821"/>
    <w:rsid w:val="008F5918"/>
    <w:rsid w:val="008F594C"/>
    <w:rsid w:val="008F5A21"/>
    <w:rsid w:val="008F5A92"/>
    <w:rsid w:val="008F5B94"/>
    <w:rsid w:val="008F5BFF"/>
    <w:rsid w:val="008F5C91"/>
    <w:rsid w:val="008F5D2C"/>
    <w:rsid w:val="008F5D5E"/>
    <w:rsid w:val="008F5DF6"/>
    <w:rsid w:val="008F5E20"/>
    <w:rsid w:val="008F5F4E"/>
    <w:rsid w:val="008F5F71"/>
    <w:rsid w:val="008F5FA7"/>
    <w:rsid w:val="008F5FE4"/>
    <w:rsid w:val="008F604C"/>
    <w:rsid w:val="008F6083"/>
    <w:rsid w:val="008F6088"/>
    <w:rsid w:val="008F627F"/>
    <w:rsid w:val="008F62D7"/>
    <w:rsid w:val="008F6367"/>
    <w:rsid w:val="008F645C"/>
    <w:rsid w:val="008F64C2"/>
    <w:rsid w:val="008F65F4"/>
    <w:rsid w:val="008F6625"/>
    <w:rsid w:val="008F66E1"/>
    <w:rsid w:val="008F6721"/>
    <w:rsid w:val="008F67BE"/>
    <w:rsid w:val="008F67C7"/>
    <w:rsid w:val="008F67FB"/>
    <w:rsid w:val="008F68E6"/>
    <w:rsid w:val="008F69DF"/>
    <w:rsid w:val="008F69E4"/>
    <w:rsid w:val="008F6A97"/>
    <w:rsid w:val="008F6B6E"/>
    <w:rsid w:val="008F6C5D"/>
    <w:rsid w:val="008F6C64"/>
    <w:rsid w:val="008F6CD4"/>
    <w:rsid w:val="008F6D27"/>
    <w:rsid w:val="008F6D56"/>
    <w:rsid w:val="008F6DA2"/>
    <w:rsid w:val="008F6E3B"/>
    <w:rsid w:val="008F6FA0"/>
    <w:rsid w:val="008F7020"/>
    <w:rsid w:val="008F70AC"/>
    <w:rsid w:val="008F71B1"/>
    <w:rsid w:val="008F7302"/>
    <w:rsid w:val="008F73E3"/>
    <w:rsid w:val="008F75C0"/>
    <w:rsid w:val="008F75CE"/>
    <w:rsid w:val="008F75E6"/>
    <w:rsid w:val="008F7631"/>
    <w:rsid w:val="008F770D"/>
    <w:rsid w:val="008F773E"/>
    <w:rsid w:val="008F78B3"/>
    <w:rsid w:val="008F790C"/>
    <w:rsid w:val="008F7968"/>
    <w:rsid w:val="008F7986"/>
    <w:rsid w:val="008F79E4"/>
    <w:rsid w:val="008F7A2D"/>
    <w:rsid w:val="008F7A52"/>
    <w:rsid w:val="008F7B2C"/>
    <w:rsid w:val="008F7B2F"/>
    <w:rsid w:val="008F7B69"/>
    <w:rsid w:val="008F7BEF"/>
    <w:rsid w:val="008F7C2C"/>
    <w:rsid w:val="008F7C48"/>
    <w:rsid w:val="008F7C73"/>
    <w:rsid w:val="008F7CD6"/>
    <w:rsid w:val="008F7DA8"/>
    <w:rsid w:val="008F7DD5"/>
    <w:rsid w:val="008F7DE8"/>
    <w:rsid w:val="008F7EBB"/>
    <w:rsid w:val="008F7ECA"/>
    <w:rsid w:val="008F7F7F"/>
    <w:rsid w:val="008F7FBE"/>
    <w:rsid w:val="00900112"/>
    <w:rsid w:val="00900322"/>
    <w:rsid w:val="0090035E"/>
    <w:rsid w:val="00900411"/>
    <w:rsid w:val="00900436"/>
    <w:rsid w:val="00900488"/>
    <w:rsid w:val="00900502"/>
    <w:rsid w:val="00900696"/>
    <w:rsid w:val="0090073D"/>
    <w:rsid w:val="009007C4"/>
    <w:rsid w:val="009007CB"/>
    <w:rsid w:val="00900829"/>
    <w:rsid w:val="00900895"/>
    <w:rsid w:val="009008E5"/>
    <w:rsid w:val="00900973"/>
    <w:rsid w:val="00900988"/>
    <w:rsid w:val="00900A2C"/>
    <w:rsid w:val="00900BEA"/>
    <w:rsid w:val="00900C5C"/>
    <w:rsid w:val="00900DEF"/>
    <w:rsid w:val="00900DFB"/>
    <w:rsid w:val="00900E47"/>
    <w:rsid w:val="00900E9A"/>
    <w:rsid w:val="00900EB2"/>
    <w:rsid w:val="00901007"/>
    <w:rsid w:val="009010A8"/>
    <w:rsid w:val="00901125"/>
    <w:rsid w:val="009011DA"/>
    <w:rsid w:val="00901231"/>
    <w:rsid w:val="0090127E"/>
    <w:rsid w:val="009012BE"/>
    <w:rsid w:val="0090141A"/>
    <w:rsid w:val="009014E1"/>
    <w:rsid w:val="00901524"/>
    <w:rsid w:val="00901538"/>
    <w:rsid w:val="00901576"/>
    <w:rsid w:val="009015CB"/>
    <w:rsid w:val="009015ED"/>
    <w:rsid w:val="00901727"/>
    <w:rsid w:val="00901972"/>
    <w:rsid w:val="00901A9C"/>
    <w:rsid w:val="00901C0A"/>
    <w:rsid w:val="00901C28"/>
    <w:rsid w:val="00901D27"/>
    <w:rsid w:val="00901DA1"/>
    <w:rsid w:val="00901DD3"/>
    <w:rsid w:val="00901F97"/>
    <w:rsid w:val="00901FE6"/>
    <w:rsid w:val="009020A4"/>
    <w:rsid w:val="009020A7"/>
    <w:rsid w:val="00902226"/>
    <w:rsid w:val="0090229E"/>
    <w:rsid w:val="009022D1"/>
    <w:rsid w:val="00902321"/>
    <w:rsid w:val="009023B2"/>
    <w:rsid w:val="0090243C"/>
    <w:rsid w:val="009024E3"/>
    <w:rsid w:val="009024F5"/>
    <w:rsid w:val="00902519"/>
    <w:rsid w:val="009027EC"/>
    <w:rsid w:val="009027FD"/>
    <w:rsid w:val="0090280D"/>
    <w:rsid w:val="00902927"/>
    <w:rsid w:val="00902B09"/>
    <w:rsid w:val="00902B4B"/>
    <w:rsid w:val="00902B50"/>
    <w:rsid w:val="00902BDC"/>
    <w:rsid w:val="00902C4A"/>
    <w:rsid w:val="00902C78"/>
    <w:rsid w:val="00902E7B"/>
    <w:rsid w:val="00902E96"/>
    <w:rsid w:val="00902EB0"/>
    <w:rsid w:val="00902F3A"/>
    <w:rsid w:val="00903086"/>
    <w:rsid w:val="009030FF"/>
    <w:rsid w:val="0090328B"/>
    <w:rsid w:val="00903439"/>
    <w:rsid w:val="0090343D"/>
    <w:rsid w:val="00903486"/>
    <w:rsid w:val="009035C6"/>
    <w:rsid w:val="0090360F"/>
    <w:rsid w:val="00903613"/>
    <w:rsid w:val="0090362F"/>
    <w:rsid w:val="00903689"/>
    <w:rsid w:val="009037A4"/>
    <w:rsid w:val="00903838"/>
    <w:rsid w:val="0090387A"/>
    <w:rsid w:val="0090393A"/>
    <w:rsid w:val="0090395F"/>
    <w:rsid w:val="00903B10"/>
    <w:rsid w:val="00903B6B"/>
    <w:rsid w:val="00903D68"/>
    <w:rsid w:val="0090401A"/>
    <w:rsid w:val="00904020"/>
    <w:rsid w:val="0090413C"/>
    <w:rsid w:val="009043A2"/>
    <w:rsid w:val="0090442D"/>
    <w:rsid w:val="009044A7"/>
    <w:rsid w:val="00904519"/>
    <w:rsid w:val="0090467F"/>
    <w:rsid w:val="009046B2"/>
    <w:rsid w:val="009047D2"/>
    <w:rsid w:val="00904812"/>
    <w:rsid w:val="0090481F"/>
    <w:rsid w:val="00904832"/>
    <w:rsid w:val="009048D5"/>
    <w:rsid w:val="00904926"/>
    <w:rsid w:val="009049DF"/>
    <w:rsid w:val="00904A10"/>
    <w:rsid w:val="00904A43"/>
    <w:rsid w:val="00904BA8"/>
    <w:rsid w:val="00904BBF"/>
    <w:rsid w:val="00904D2B"/>
    <w:rsid w:val="00904E46"/>
    <w:rsid w:val="00904FBF"/>
    <w:rsid w:val="0090513E"/>
    <w:rsid w:val="009051F7"/>
    <w:rsid w:val="00905203"/>
    <w:rsid w:val="0090521D"/>
    <w:rsid w:val="009052CF"/>
    <w:rsid w:val="00905327"/>
    <w:rsid w:val="0090533F"/>
    <w:rsid w:val="00905350"/>
    <w:rsid w:val="009053F6"/>
    <w:rsid w:val="00905476"/>
    <w:rsid w:val="009054D3"/>
    <w:rsid w:val="009054EE"/>
    <w:rsid w:val="009055C7"/>
    <w:rsid w:val="00905638"/>
    <w:rsid w:val="009056A6"/>
    <w:rsid w:val="009056AF"/>
    <w:rsid w:val="0090575F"/>
    <w:rsid w:val="009057B4"/>
    <w:rsid w:val="009058B9"/>
    <w:rsid w:val="009058E7"/>
    <w:rsid w:val="00905AA4"/>
    <w:rsid w:val="00905B05"/>
    <w:rsid w:val="00905B52"/>
    <w:rsid w:val="00905BAB"/>
    <w:rsid w:val="00905C6E"/>
    <w:rsid w:val="00905E9E"/>
    <w:rsid w:val="00905F42"/>
    <w:rsid w:val="00905F98"/>
    <w:rsid w:val="00905FFD"/>
    <w:rsid w:val="00906016"/>
    <w:rsid w:val="0090607A"/>
    <w:rsid w:val="009060B8"/>
    <w:rsid w:val="009060DF"/>
    <w:rsid w:val="00906151"/>
    <w:rsid w:val="0090619D"/>
    <w:rsid w:val="0090643A"/>
    <w:rsid w:val="009064C4"/>
    <w:rsid w:val="009064E9"/>
    <w:rsid w:val="00906528"/>
    <w:rsid w:val="00906530"/>
    <w:rsid w:val="009065C5"/>
    <w:rsid w:val="0090666B"/>
    <w:rsid w:val="009066C7"/>
    <w:rsid w:val="0090672C"/>
    <w:rsid w:val="00906779"/>
    <w:rsid w:val="00906781"/>
    <w:rsid w:val="009067B3"/>
    <w:rsid w:val="009067CB"/>
    <w:rsid w:val="00906846"/>
    <w:rsid w:val="009069FA"/>
    <w:rsid w:val="00906A9B"/>
    <w:rsid w:val="00906ABC"/>
    <w:rsid w:val="00906ABE"/>
    <w:rsid w:val="00906ADC"/>
    <w:rsid w:val="00906B29"/>
    <w:rsid w:val="00906CF3"/>
    <w:rsid w:val="00906E73"/>
    <w:rsid w:val="00906E91"/>
    <w:rsid w:val="00906EBF"/>
    <w:rsid w:val="00906F2D"/>
    <w:rsid w:val="00906F5C"/>
    <w:rsid w:val="00906F81"/>
    <w:rsid w:val="00906FE5"/>
    <w:rsid w:val="009070CE"/>
    <w:rsid w:val="00907115"/>
    <w:rsid w:val="0090713D"/>
    <w:rsid w:val="00907144"/>
    <w:rsid w:val="009071C6"/>
    <w:rsid w:val="0090748A"/>
    <w:rsid w:val="009074F6"/>
    <w:rsid w:val="009074F7"/>
    <w:rsid w:val="00907708"/>
    <w:rsid w:val="00907896"/>
    <w:rsid w:val="00907943"/>
    <w:rsid w:val="009079E6"/>
    <w:rsid w:val="009079FC"/>
    <w:rsid w:val="00907A42"/>
    <w:rsid w:val="00907BC0"/>
    <w:rsid w:val="00907BE9"/>
    <w:rsid w:val="00907E02"/>
    <w:rsid w:val="00907E4B"/>
    <w:rsid w:val="009100C3"/>
    <w:rsid w:val="00910181"/>
    <w:rsid w:val="00910182"/>
    <w:rsid w:val="009101D0"/>
    <w:rsid w:val="00910375"/>
    <w:rsid w:val="0091064D"/>
    <w:rsid w:val="009106BB"/>
    <w:rsid w:val="00910798"/>
    <w:rsid w:val="009107A5"/>
    <w:rsid w:val="00910860"/>
    <w:rsid w:val="00910878"/>
    <w:rsid w:val="0091090D"/>
    <w:rsid w:val="00910A90"/>
    <w:rsid w:val="00910C23"/>
    <w:rsid w:val="00910E01"/>
    <w:rsid w:val="00910E80"/>
    <w:rsid w:val="00910F3C"/>
    <w:rsid w:val="00910F8E"/>
    <w:rsid w:val="00910FBA"/>
    <w:rsid w:val="0091102D"/>
    <w:rsid w:val="00911105"/>
    <w:rsid w:val="009111B3"/>
    <w:rsid w:val="009111D5"/>
    <w:rsid w:val="00911247"/>
    <w:rsid w:val="009112CA"/>
    <w:rsid w:val="009112DC"/>
    <w:rsid w:val="00911360"/>
    <w:rsid w:val="009113EC"/>
    <w:rsid w:val="00911545"/>
    <w:rsid w:val="00911658"/>
    <w:rsid w:val="009116AF"/>
    <w:rsid w:val="00911737"/>
    <w:rsid w:val="009117F1"/>
    <w:rsid w:val="00911824"/>
    <w:rsid w:val="00911842"/>
    <w:rsid w:val="009118AD"/>
    <w:rsid w:val="00911934"/>
    <w:rsid w:val="00911A80"/>
    <w:rsid w:val="00911ABE"/>
    <w:rsid w:val="00911B1A"/>
    <w:rsid w:val="00911C08"/>
    <w:rsid w:val="00911D04"/>
    <w:rsid w:val="00911D75"/>
    <w:rsid w:val="00911EF3"/>
    <w:rsid w:val="00911FA6"/>
    <w:rsid w:val="00911FEC"/>
    <w:rsid w:val="009120C0"/>
    <w:rsid w:val="00912112"/>
    <w:rsid w:val="009121C2"/>
    <w:rsid w:val="00912295"/>
    <w:rsid w:val="00912349"/>
    <w:rsid w:val="00912380"/>
    <w:rsid w:val="00912399"/>
    <w:rsid w:val="00912434"/>
    <w:rsid w:val="009124CE"/>
    <w:rsid w:val="00912580"/>
    <w:rsid w:val="009125FB"/>
    <w:rsid w:val="00912629"/>
    <w:rsid w:val="009126E2"/>
    <w:rsid w:val="0091273F"/>
    <w:rsid w:val="009127C0"/>
    <w:rsid w:val="00912835"/>
    <w:rsid w:val="009128C2"/>
    <w:rsid w:val="00912902"/>
    <w:rsid w:val="009129A1"/>
    <w:rsid w:val="009129BA"/>
    <w:rsid w:val="009129D2"/>
    <w:rsid w:val="00912A25"/>
    <w:rsid w:val="00912B35"/>
    <w:rsid w:val="00912B36"/>
    <w:rsid w:val="00912BB5"/>
    <w:rsid w:val="00912C50"/>
    <w:rsid w:val="00912C93"/>
    <w:rsid w:val="00912CAF"/>
    <w:rsid w:val="00912D40"/>
    <w:rsid w:val="00912EBC"/>
    <w:rsid w:val="00912FD4"/>
    <w:rsid w:val="00913035"/>
    <w:rsid w:val="009130CB"/>
    <w:rsid w:val="009131F7"/>
    <w:rsid w:val="00913240"/>
    <w:rsid w:val="00913258"/>
    <w:rsid w:val="0091325A"/>
    <w:rsid w:val="00913275"/>
    <w:rsid w:val="00913332"/>
    <w:rsid w:val="0091334A"/>
    <w:rsid w:val="00913436"/>
    <w:rsid w:val="0091348E"/>
    <w:rsid w:val="009135BC"/>
    <w:rsid w:val="0091360B"/>
    <w:rsid w:val="0091365C"/>
    <w:rsid w:val="00913667"/>
    <w:rsid w:val="00913707"/>
    <w:rsid w:val="0091377D"/>
    <w:rsid w:val="009137A3"/>
    <w:rsid w:val="009137FA"/>
    <w:rsid w:val="0091381F"/>
    <w:rsid w:val="009138A7"/>
    <w:rsid w:val="00913A4C"/>
    <w:rsid w:val="00913A89"/>
    <w:rsid w:val="00913AFD"/>
    <w:rsid w:val="00913B69"/>
    <w:rsid w:val="00913C3E"/>
    <w:rsid w:val="00913E59"/>
    <w:rsid w:val="00913EC9"/>
    <w:rsid w:val="00913F5A"/>
    <w:rsid w:val="00913F70"/>
    <w:rsid w:val="00913F85"/>
    <w:rsid w:val="00913F86"/>
    <w:rsid w:val="00913FCC"/>
    <w:rsid w:val="00913FD1"/>
    <w:rsid w:val="00913FD7"/>
    <w:rsid w:val="00914095"/>
    <w:rsid w:val="009140DD"/>
    <w:rsid w:val="00914106"/>
    <w:rsid w:val="00914260"/>
    <w:rsid w:val="009143F8"/>
    <w:rsid w:val="009144CD"/>
    <w:rsid w:val="009144E8"/>
    <w:rsid w:val="00914613"/>
    <w:rsid w:val="00914710"/>
    <w:rsid w:val="00914718"/>
    <w:rsid w:val="00914730"/>
    <w:rsid w:val="00914791"/>
    <w:rsid w:val="009147C7"/>
    <w:rsid w:val="00914948"/>
    <w:rsid w:val="00914A52"/>
    <w:rsid w:val="00914AC7"/>
    <w:rsid w:val="00914AD2"/>
    <w:rsid w:val="00914AE9"/>
    <w:rsid w:val="00914C06"/>
    <w:rsid w:val="00914D4D"/>
    <w:rsid w:val="00914E88"/>
    <w:rsid w:val="00914E8B"/>
    <w:rsid w:val="00914EA3"/>
    <w:rsid w:val="00914F0B"/>
    <w:rsid w:val="00914F6F"/>
    <w:rsid w:val="00914FAD"/>
    <w:rsid w:val="00915014"/>
    <w:rsid w:val="00915044"/>
    <w:rsid w:val="0091515E"/>
    <w:rsid w:val="009152C4"/>
    <w:rsid w:val="009153B8"/>
    <w:rsid w:val="009153BA"/>
    <w:rsid w:val="009153FF"/>
    <w:rsid w:val="0091555A"/>
    <w:rsid w:val="0091556B"/>
    <w:rsid w:val="00915776"/>
    <w:rsid w:val="009157CE"/>
    <w:rsid w:val="00915950"/>
    <w:rsid w:val="00915B00"/>
    <w:rsid w:val="00915B13"/>
    <w:rsid w:val="00915B16"/>
    <w:rsid w:val="00915C25"/>
    <w:rsid w:val="00915C58"/>
    <w:rsid w:val="00915D36"/>
    <w:rsid w:val="00915E07"/>
    <w:rsid w:val="00915E16"/>
    <w:rsid w:val="00915E80"/>
    <w:rsid w:val="00915EE3"/>
    <w:rsid w:val="00916003"/>
    <w:rsid w:val="00916046"/>
    <w:rsid w:val="00916051"/>
    <w:rsid w:val="00916191"/>
    <w:rsid w:val="009161A6"/>
    <w:rsid w:val="0091626F"/>
    <w:rsid w:val="009163A0"/>
    <w:rsid w:val="00916404"/>
    <w:rsid w:val="009164B9"/>
    <w:rsid w:val="00916552"/>
    <w:rsid w:val="0091657F"/>
    <w:rsid w:val="0091659C"/>
    <w:rsid w:val="009165A6"/>
    <w:rsid w:val="009166A9"/>
    <w:rsid w:val="00916752"/>
    <w:rsid w:val="00916A06"/>
    <w:rsid w:val="00916A0E"/>
    <w:rsid w:val="00916B5C"/>
    <w:rsid w:val="00916CBC"/>
    <w:rsid w:val="00916D83"/>
    <w:rsid w:val="00916F12"/>
    <w:rsid w:val="00916F2C"/>
    <w:rsid w:val="00916F2D"/>
    <w:rsid w:val="00916F58"/>
    <w:rsid w:val="009170A9"/>
    <w:rsid w:val="009170F1"/>
    <w:rsid w:val="00917134"/>
    <w:rsid w:val="009171AE"/>
    <w:rsid w:val="009171DC"/>
    <w:rsid w:val="009173CF"/>
    <w:rsid w:val="009175AD"/>
    <w:rsid w:val="009176B4"/>
    <w:rsid w:val="009177F2"/>
    <w:rsid w:val="00917838"/>
    <w:rsid w:val="009178F8"/>
    <w:rsid w:val="009179D8"/>
    <w:rsid w:val="00917A2B"/>
    <w:rsid w:val="00917A6B"/>
    <w:rsid w:val="00917C38"/>
    <w:rsid w:val="00917C98"/>
    <w:rsid w:val="00917D0A"/>
    <w:rsid w:val="00917D34"/>
    <w:rsid w:val="00917D6E"/>
    <w:rsid w:val="00917E81"/>
    <w:rsid w:val="00917EED"/>
    <w:rsid w:val="00917EF0"/>
    <w:rsid w:val="00920110"/>
    <w:rsid w:val="0092011D"/>
    <w:rsid w:val="009201CB"/>
    <w:rsid w:val="0092021D"/>
    <w:rsid w:val="009202C1"/>
    <w:rsid w:val="009203E5"/>
    <w:rsid w:val="00920473"/>
    <w:rsid w:val="0092049E"/>
    <w:rsid w:val="009204ED"/>
    <w:rsid w:val="009205ED"/>
    <w:rsid w:val="00920606"/>
    <w:rsid w:val="00920662"/>
    <w:rsid w:val="0092067A"/>
    <w:rsid w:val="00920842"/>
    <w:rsid w:val="0092089E"/>
    <w:rsid w:val="009209EE"/>
    <w:rsid w:val="00920A01"/>
    <w:rsid w:val="00920A0A"/>
    <w:rsid w:val="00920B14"/>
    <w:rsid w:val="00920C26"/>
    <w:rsid w:val="00920C9A"/>
    <w:rsid w:val="00920CF1"/>
    <w:rsid w:val="00920F50"/>
    <w:rsid w:val="00920FED"/>
    <w:rsid w:val="0092101D"/>
    <w:rsid w:val="00921070"/>
    <w:rsid w:val="00921085"/>
    <w:rsid w:val="0092108A"/>
    <w:rsid w:val="00921144"/>
    <w:rsid w:val="009211BF"/>
    <w:rsid w:val="0092139E"/>
    <w:rsid w:val="009213A8"/>
    <w:rsid w:val="009213C5"/>
    <w:rsid w:val="0092148F"/>
    <w:rsid w:val="009216AD"/>
    <w:rsid w:val="009216F8"/>
    <w:rsid w:val="009218B1"/>
    <w:rsid w:val="00921954"/>
    <w:rsid w:val="00921A15"/>
    <w:rsid w:val="00921A87"/>
    <w:rsid w:val="00921C17"/>
    <w:rsid w:val="00921C5A"/>
    <w:rsid w:val="00921DCA"/>
    <w:rsid w:val="0092205C"/>
    <w:rsid w:val="009220CA"/>
    <w:rsid w:val="0092215B"/>
    <w:rsid w:val="0092215D"/>
    <w:rsid w:val="00922321"/>
    <w:rsid w:val="0092232A"/>
    <w:rsid w:val="00922352"/>
    <w:rsid w:val="00922377"/>
    <w:rsid w:val="009223CF"/>
    <w:rsid w:val="0092250F"/>
    <w:rsid w:val="0092252E"/>
    <w:rsid w:val="00922613"/>
    <w:rsid w:val="00922717"/>
    <w:rsid w:val="0092272F"/>
    <w:rsid w:val="0092274B"/>
    <w:rsid w:val="00922826"/>
    <w:rsid w:val="009228BF"/>
    <w:rsid w:val="009228E0"/>
    <w:rsid w:val="009228EC"/>
    <w:rsid w:val="00922973"/>
    <w:rsid w:val="009229CA"/>
    <w:rsid w:val="00922B0C"/>
    <w:rsid w:val="00922B40"/>
    <w:rsid w:val="00922BC0"/>
    <w:rsid w:val="00922CF1"/>
    <w:rsid w:val="00922D2C"/>
    <w:rsid w:val="00922DB4"/>
    <w:rsid w:val="00922E65"/>
    <w:rsid w:val="00922EBC"/>
    <w:rsid w:val="00922ED7"/>
    <w:rsid w:val="0092311F"/>
    <w:rsid w:val="0092314A"/>
    <w:rsid w:val="00923177"/>
    <w:rsid w:val="009231CB"/>
    <w:rsid w:val="0092322D"/>
    <w:rsid w:val="009232B6"/>
    <w:rsid w:val="0092335C"/>
    <w:rsid w:val="00923542"/>
    <w:rsid w:val="009235EE"/>
    <w:rsid w:val="0092389A"/>
    <w:rsid w:val="009239A1"/>
    <w:rsid w:val="009239E4"/>
    <w:rsid w:val="009239F9"/>
    <w:rsid w:val="00923BBB"/>
    <w:rsid w:val="00923BC1"/>
    <w:rsid w:val="00923CCE"/>
    <w:rsid w:val="00923D5F"/>
    <w:rsid w:val="00923DA9"/>
    <w:rsid w:val="00923EF9"/>
    <w:rsid w:val="00923F25"/>
    <w:rsid w:val="00923F65"/>
    <w:rsid w:val="00923FB7"/>
    <w:rsid w:val="00924140"/>
    <w:rsid w:val="0092416A"/>
    <w:rsid w:val="00924243"/>
    <w:rsid w:val="009242CB"/>
    <w:rsid w:val="0092430F"/>
    <w:rsid w:val="00924364"/>
    <w:rsid w:val="00924435"/>
    <w:rsid w:val="0092445D"/>
    <w:rsid w:val="0092454E"/>
    <w:rsid w:val="00924595"/>
    <w:rsid w:val="009245B4"/>
    <w:rsid w:val="00924699"/>
    <w:rsid w:val="009246D7"/>
    <w:rsid w:val="0092473A"/>
    <w:rsid w:val="0092480C"/>
    <w:rsid w:val="00924ABF"/>
    <w:rsid w:val="00924BB4"/>
    <w:rsid w:val="00924CA6"/>
    <w:rsid w:val="00924CAB"/>
    <w:rsid w:val="00924CAC"/>
    <w:rsid w:val="00924D05"/>
    <w:rsid w:val="00924D5B"/>
    <w:rsid w:val="00924E3D"/>
    <w:rsid w:val="00925238"/>
    <w:rsid w:val="0092528D"/>
    <w:rsid w:val="009252BC"/>
    <w:rsid w:val="009252FD"/>
    <w:rsid w:val="00925300"/>
    <w:rsid w:val="00925323"/>
    <w:rsid w:val="0092540F"/>
    <w:rsid w:val="0092549E"/>
    <w:rsid w:val="00925767"/>
    <w:rsid w:val="00925778"/>
    <w:rsid w:val="009258A2"/>
    <w:rsid w:val="009258DE"/>
    <w:rsid w:val="00925A59"/>
    <w:rsid w:val="00925A9B"/>
    <w:rsid w:val="00925AD3"/>
    <w:rsid w:val="00925B7F"/>
    <w:rsid w:val="00925CE8"/>
    <w:rsid w:val="00925D2A"/>
    <w:rsid w:val="00925DA8"/>
    <w:rsid w:val="00925E7F"/>
    <w:rsid w:val="00925EBC"/>
    <w:rsid w:val="00925EE9"/>
    <w:rsid w:val="00925F17"/>
    <w:rsid w:val="0092604C"/>
    <w:rsid w:val="009260DE"/>
    <w:rsid w:val="00926108"/>
    <w:rsid w:val="00926109"/>
    <w:rsid w:val="0092610C"/>
    <w:rsid w:val="009261E0"/>
    <w:rsid w:val="009261F4"/>
    <w:rsid w:val="009262C4"/>
    <w:rsid w:val="00926347"/>
    <w:rsid w:val="0092634B"/>
    <w:rsid w:val="009263D1"/>
    <w:rsid w:val="0092653B"/>
    <w:rsid w:val="00926700"/>
    <w:rsid w:val="00926803"/>
    <w:rsid w:val="00926843"/>
    <w:rsid w:val="00926871"/>
    <w:rsid w:val="00926933"/>
    <w:rsid w:val="009269BA"/>
    <w:rsid w:val="00926AAF"/>
    <w:rsid w:val="00926AF0"/>
    <w:rsid w:val="00926B63"/>
    <w:rsid w:val="00926CA9"/>
    <w:rsid w:val="00926E93"/>
    <w:rsid w:val="00926F02"/>
    <w:rsid w:val="00926F10"/>
    <w:rsid w:val="009270F7"/>
    <w:rsid w:val="00927121"/>
    <w:rsid w:val="009273E5"/>
    <w:rsid w:val="009274BB"/>
    <w:rsid w:val="009274DB"/>
    <w:rsid w:val="00927587"/>
    <w:rsid w:val="009275E8"/>
    <w:rsid w:val="009276D5"/>
    <w:rsid w:val="00927719"/>
    <w:rsid w:val="00927870"/>
    <w:rsid w:val="009278F8"/>
    <w:rsid w:val="00927931"/>
    <w:rsid w:val="00927A5A"/>
    <w:rsid w:val="00927AA0"/>
    <w:rsid w:val="00927AB2"/>
    <w:rsid w:val="00927B23"/>
    <w:rsid w:val="00927CF8"/>
    <w:rsid w:val="00927D53"/>
    <w:rsid w:val="00927D6F"/>
    <w:rsid w:val="00927DFA"/>
    <w:rsid w:val="00927E0D"/>
    <w:rsid w:val="00927EBF"/>
    <w:rsid w:val="00927ED2"/>
    <w:rsid w:val="00927EE7"/>
    <w:rsid w:val="00927EF9"/>
    <w:rsid w:val="00927F2A"/>
    <w:rsid w:val="00927F96"/>
    <w:rsid w:val="00927FC2"/>
    <w:rsid w:val="00930287"/>
    <w:rsid w:val="00930316"/>
    <w:rsid w:val="00930379"/>
    <w:rsid w:val="0093037B"/>
    <w:rsid w:val="00930604"/>
    <w:rsid w:val="009306AF"/>
    <w:rsid w:val="009307AA"/>
    <w:rsid w:val="009307FF"/>
    <w:rsid w:val="009309CE"/>
    <w:rsid w:val="00930AEB"/>
    <w:rsid w:val="00930B63"/>
    <w:rsid w:val="00930BB0"/>
    <w:rsid w:val="00930BCA"/>
    <w:rsid w:val="00930D03"/>
    <w:rsid w:val="00930DF4"/>
    <w:rsid w:val="00930E6D"/>
    <w:rsid w:val="00930E84"/>
    <w:rsid w:val="00930F26"/>
    <w:rsid w:val="00931046"/>
    <w:rsid w:val="00931100"/>
    <w:rsid w:val="00931143"/>
    <w:rsid w:val="0093121A"/>
    <w:rsid w:val="009312AD"/>
    <w:rsid w:val="0093144D"/>
    <w:rsid w:val="0093146B"/>
    <w:rsid w:val="00931476"/>
    <w:rsid w:val="009314AC"/>
    <w:rsid w:val="00931572"/>
    <w:rsid w:val="009315EB"/>
    <w:rsid w:val="00931728"/>
    <w:rsid w:val="00931A03"/>
    <w:rsid w:val="00931A9E"/>
    <w:rsid w:val="00931AF6"/>
    <w:rsid w:val="00931BE8"/>
    <w:rsid w:val="00931E78"/>
    <w:rsid w:val="00931E96"/>
    <w:rsid w:val="00931FC3"/>
    <w:rsid w:val="0093208A"/>
    <w:rsid w:val="009321E0"/>
    <w:rsid w:val="00932223"/>
    <w:rsid w:val="00932233"/>
    <w:rsid w:val="00932333"/>
    <w:rsid w:val="009323C2"/>
    <w:rsid w:val="0093241E"/>
    <w:rsid w:val="00932460"/>
    <w:rsid w:val="009324E4"/>
    <w:rsid w:val="00932587"/>
    <w:rsid w:val="00932611"/>
    <w:rsid w:val="009327EE"/>
    <w:rsid w:val="00932852"/>
    <w:rsid w:val="009328B5"/>
    <w:rsid w:val="009328F3"/>
    <w:rsid w:val="00932980"/>
    <w:rsid w:val="009329EB"/>
    <w:rsid w:val="00932AEE"/>
    <w:rsid w:val="00932B16"/>
    <w:rsid w:val="00932BF6"/>
    <w:rsid w:val="00932BFE"/>
    <w:rsid w:val="00932C36"/>
    <w:rsid w:val="00932C82"/>
    <w:rsid w:val="00932D28"/>
    <w:rsid w:val="00932DB9"/>
    <w:rsid w:val="00932DBB"/>
    <w:rsid w:val="00932E86"/>
    <w:rsid w:val="009331F3"/>
    <w:rsid w:val="0093322E"/>
    <w:rsid w:val="00933339"/>
    <w:rsid w:val="0093337C"/>
    <w:rsid w:val="0093337E"/>
    <w:rsid w:val="009333C9"/>
    <w:rsid w:val="00933472"/>
    <w:rsid w:val="009334C1"/>
    <w:rsid w:val="0093367E"/>
    <w:rsid w:val="009336C0"/>
    <w:rsid w:val="009336CE"/>
    <w:rsid w:val="0093370E"/>
    <w:rsid w:val="009337B9"/>
    <w:rsid w:val="00933853"/>
    <w:rsid w:val="009338CD"/>
    <w:rsid w:val="00933959"/>
    <w:rsid w:val="00933969"/>
    <w:rsid w:val="00933A1D"/>
    <w:rsid w:val="00933A7A"/>
    <w:rsid w:val="00933A88"/>
    <w:rsid w:val="00933AC5"/>
    <w:rsid w:val="00933B50"/>
    <w:rsid w:val="00933BC8"/>
    <w:rsid w:val="00933C5A"/>
    <w:rsid w:val="00933D0A"/>
    <w:rsid w:val="00933D2D"/>
    <w:rsid w:val="00933DB7"/>
    <w:rsid w:val="0093406C"/>
    <w:rsid w:val="0093418B"/>
    <w:rsid w:val="009341C7"/>
    <w:rsid w:val="00934210"/>
    <w:rsid w:val="009342DD"/>
    <w:rsid w:val="009343B0"/>
    <w:rsid w:val="0093441F"/>
    <w:rsid w:val="009344BB"/>
    <w:rsid w:val="00934542"/>
    <w:rsid w:val="00934559"/>
    <w:rsid w:val="009345B4"/>
    <w:rsid w:val="009345DC"/>
    <w:rsid w:val="00934684"/>
    <w:rsid w:val="00934715"/>
    <w:rsid w:val="0093472D"/>
    <w:rsid w:val="0093475E"/>
    <w:rsid w:val="0093476B"/>
    <w:rsid w:val="0093478B"/>
    <w:rsid w:val="00934817"/>
    <w:rsid w:val="00934A35"/>
    <w:rsid w:val="00934BFB"/>
    <w:rsid w:val="00934CF8"/>
    <w:rsid w:val="00934D62"/>
    <w:rsid w:val="00934DE0"/>
    <w:rsid w:val="00934E39"/>
    <w:rsid w:val="00934E66"/>
    <w:rsid w:val="00934F96"/>
    <w:rsid w:val="00934FE8"/>
    <w:rsid w:val="00935032"/>
    <w:rsid w:val="0093503A"/>
    <w:rsid w:val="009350DF"/>
    <w:rsid w:val="0093519D"/>
    <w:rsid w:val="009351A5"/>
    <w:rsid w:val="009351C4"/>
    <w:rsid w:val="009351E2"/>
    <w:rsid w:val="009352BA"/>
    <w:rsid w:val="00935332"/>
    <w:rsid w:val="0093553E"/>
    <w:rsid w:val="0093578C"/>
    <w:rsid w:val="0093581E"/>
    <w:rsid w:val="00935A64"/>
    <w:rsid w:val="00935B31"/>
    <w:rsid w:val="00935B37"/>
    <w:rsid w:val="00935BDF"/>
    <w:rsid w:val="00935C8D"/>
    <w:rsid w:val="00935CCE"/>
    <w:rsid w:val="00935CE7"/>
    <w:rsid w:val="00935E08"/>
    <w:rsid w:val="00935F38"/>
    <w:rsid w:val="00935F72"/>
    <w:rsid w:val="00935FBE"/>
    <w:rsid w:val="009360C4"/>
    <w:rsid w:val="0093614F"/>
    <w:rsid w:val="00936205"/>
    <w:rsid w:val="00936219"/>
    <w:rsid w:val="00936330"/>
    <w:rsid w:val="00936475"/>
    <w:rsid w:val="009364F5"/>
    <w:rsid w:val="00936563"/>
    <w:rsid w:val="0093660F"/>
    <w:rsid w:val="00936894"/>
    <w:rsid w:val="009368AF"/>
    <w:rsid w:val="009369DA"/>
    <w:rsid w:val="00936A8D"/>
    <w:rsid w:val="00936AAB"/>
    <w:rsid w:val="00936B11"/>
    <w:rsid w:val="00936B13"/>
    <w:rsid w:val="00936B1B"/>
    <w:rsid w:val="00936C0E"/>
    <w:rsid w:val="00936C3E"/>
    <w:rsid w:val="00936C72"/>
    <w:rsid w:val="00936CAF"/>
    <w:rsid w:val="00936D16"/>
    <w:rsid w:val="00936D59"/>
    <w:rsid w:val="00936DA5"/>
    <w:rsid w:val="00936EDB"/>
    <w:rsid w:val="00936F58"/>
    <w:rsid w:val="00936F9D"/>
    <w:rsid w:val="00936FCA"/>
    <w:rsid w:val="00936FD4"/>
    <w:rsid w:val="00937050"/>
    <w:rsid w:val="00937102"/>
    <w:rsid w:val="00937177"/>
    <w:rsid w:val="0093717F"/>
    <w:rsid w:val="009371B3"/>
    <w:rsid w:val="00937210"/>
    <w:rsid w:val="00937219"/>
    <w:rsid w:val="0093723E"/>
    <w:rsid w:val="009372C4"/>
    <w:rsid w:val="00937308"/>
    <w:rsid w:val="009374DF"/>
    <w:rsid w:val="00937567"/>
    <w:rsid w:val="0093756A"/>
    <w:rsid w:val="009375FE"/>
    <w:rsid w:val="0093774C"/>
    <w:rsid w:val="0093784F"/>
    <w:rsid w:val="009378FD"/>
    <w:rsid w:val="00937A05"/>
    <w:rsid w:val="00937A84"/>
    <w:rsid w:val="00937BFB"/>
    <w:rsid w:val="00937C07"/>
    <w:rsid w:val="00937C58"/>
    <w:rsid w:val="00937C80"/>
    <w:rsid w:val="00937E01"/>
    <w:rsid w:val="00937EA2"/>
    <w:rsid w:val="00937F86"/>
    <w:rsid w:val="00937FA6"/>
    <w:rsid w:val="00937FD5"/>
    <w:rsid w:val="00937FDB"/>
    <w:rsid w:val="00937FEF"/>
    <w:rsid w:val="009401A9"/>
    <w:rsid w:val="00940268"/>
    <w:rsid w:val="009402D5"/>
    <w:rsid w:val="009403B9"/>
    <w:rsid w:val="009403C6"/>
    <w:rsid w:val="00940414"/>
    <w:rsid w:val="00940417"/>
    <w:rsid w:val="00940446"/>
    <w:rsid w:val="009404E9"/>
    <w:rsid w:val="0094054D"/>
    <w:rsid w:val="0094055B"/>
    <w:rsid w:val="00940620"/>
    <w:rsid w:val="009406BA"/>
    <w:rsid w:val="00940714"/>
    <w:rsid w:val="0094071D"/>
    <w:rsid w:val="00940785"/>
    <w:rsid w:val="009407CC"/>
    <w:rsid w:val="0094084A"/>
    <w:rsid w:val="0094086B"/>
    <w:rsid w:val="0094092B"/>
    <w:rsid w:val="00940934"/>
    <w:rsid w:val="00940ADC"/>
    <w:rsid w:val="00940BE5"/>
    <w:rsid w:val="00940C0C"/>
    <w:rsid w:val="00940C2E"/>
    <w:rsid w:val="00940C5C"/>
    <w:rsid w:val="00940E60"/>
    <w:rsid w:val="00940E69"/>
    <w:rsid w:val="009410C9"/>
    <w:rsid w:val="009411F7"/>
    <w:rsid w:val="00941230"/>
    <w:rsid w:val="0094126C"/>
    <w:rsid w:val="009412CC"/>
    <w:rsid w:val="009412D9"/>
    <w:rsid w:val="009413A4"/>
    <w:rsid w:val="009413D4"/>
    <w:rsid w:val="009413FE"/>
    <w:rsid w:val="0094146D"/>
    <w:rsid w:val="009415DF"/>
    <w:rsid w:val="00941685"/>
    <w:rsid w:val="009417CB"/>
    <w:rsid w:val="009417D9"/>
    <w:rsid w:val="009418D8"/>
    <w:rsid w:val="00941914"/>
    <w:rsid w:val="0094193E"/>
    <w:rsid w:val="009419BD"/>
    <w:rsid w:val="00941A5A"/>
    <w:rsid w:val="00941ADB"/>
    <w:rsid w:val="00941BB3"/>
    <w:rsid w:val="00941BC1"/>
    <w:rsid w:val="00941BC9"/>
    <w:rsid w:val="00941D58"/>
    <w:rsid w:val="00941DD4"/>
    <w:rsid w:val="00941EFE"/>
    <w:rsid w:val="00941FAE"/>
    <w:rsid w:val="00941FB6"/>
    <w:rsid w:val="00942078"/>
    <w:rsid w:val="009420F8"/>
    <w:rsid w:val="00942113"/>
    <w:rsid w:val="00942322"/>
    <w:rsid w:val="0094236B"/>
    <w:rsid w:val="009423F6"/>
    <w:rsid w:val="0094240A"/>
    <w:rsid w:val="00942427"/>
    <w:rsid w:val="009424B1"/>
    <w:rsid w:val="00942512"/>
    <w:rsid w:val="009425EB"/>
    <w:rsid w:val="009425F2"/>
    <w:rsid w:val="009425FF"/>
    <w:rsid w:val="00942673"/>
    <w:rsid w:val="009426BB"/>
    <w:rsid w:val="0094271E"/>
    <w:rsid w:val="009427DB"/>
    <w:rsid w:val="009428A5"/>
    <w:rsid w:val="00942994"/>
    <w:rsid w:val="00942A1A"/>
    <w:rsid w:val="00942B7E"/>
    <w:rsid w:val="00942ECC"/>
    <w:rsid w:val="00943049"/>
    <w:rsid w:val="00943063"/>
    <w:rsid w:val="00943223"/>
    <w:rsid w:val="009432F9"/>
    <w:rsid w:val="00943343"/>
    <w:rsid w:val="00943450"/>
    <w:rsid w:val="00943479"/>
    <w:rsid w:val="00943480"/>
    <w:rsid w:val="00943541"/>
    <w:rsid w:val="00943584"/>
    <w:rsid w:val="00943755"/>
    <w:rsid w:val="009437BE"/>
    <w:rsid w:val="009437E1"/>
    <w:rsid w:val="0094384C"/>
    <w:rsid w:val="00943A65"/>
    <w:rsid w:val="00943B8B"/>
    <w:rsid w:val="00943C19"/>
    <w:rsid w:val="00943C30"/>
    <w:rsid w:val="00943C99"/>
    <w:rsid w:val="00943D7B"/>
    <w:rsid w:val="00943DB0"/>
    <w:rsid w:val="00943DBC"/>
    <w:rsid w:val="00943E2A"/>
    <w:rsid w:val="00943E84"/>
    <w:rsid w:val="00943ED4"/>
    <w:rsid w:val="00943EEF"/>
    <w:rsid w:val="00944010"/>
    <w:rsid w:val="009441A1"/>
    <w:rsid w:val="0094441B"/>
    <w:rsid w:val="0094454D"/>
    <w:rsid w:val="0094459E"/>
    <w:rsid w:val="009447B5"/>
    <w:rsid w:val="00944808"/>
    <w:rsid w:val="00944AA9"/>
    <w:rsid w:val="00944C2A"/>
    <w:rsid w:val="00944C9E"/>
    <w:rsid w:val="00944D51"/>
    <w:rsid w:val="00944D75"/>
    <w:rsid w:val="00944DA0"/>
    <w:rsid w:val="00944ED9"/>
    <w:rsid w:val="00944F2E"/>
    <w:rsid w:val="00944F50"/>
    <w:rsid w:val="00944FA3"/>
    <w:rsid w:val="0094504A"/>
    <w:rsid w:val="0094517E"/>
    <w:rsid w:val="009451B0"/>
    <w:rsid w:val="009451D8"/>
    <w:rsid w:val="00945243"/>
    <w:rsid w:val="00945250"/>
    <w:rsid w:val="00945257"/>
    <w:rsid w:val="00945365"/>
    <w:rsid w:val="0094539E"/>
    <w:rsid w:val="00945438"/>
    <w:rsid w:val="0094544B"/>
    <w:rsid w:val="009455C6"/>
    <w:rsid w:val="009455DD"/>
    <w:rsid w:val="009455E3"/>
    <w:rsid w:val="009456A0"/>
    <w:rsid w:val="0094571E"/>
    <w:rsid w:val="0094579E"/>
    <w:rsid w:val="00945850"/>
    <w:rsid w:val="0094587A"/>
    <w:rsid w:val="0094589E"/>
    <w:rsid w:val="009458FB"/>
    <w:rsid w:val="009459CD"/>
    <w:rsid w:val="00945B34"/>
    <w:rsid w:val="00945C5C"/>
    <w:rsid w:val="00945C65"/>
    <w:rsid w:val="00945CC4"/>
    <w:rsid w:val="00945D75"/>
    <w:rsid w:val="00945DB1"/>
    <w:rsid w:val="00945E9F"/>
    <w:rsid w:val="00945EFA"/>
    <w:rsid w:val="00945F50"/>
    <w:rsid w:val="00945FB4"/>
    <w:rsid w:val="00945FD2"/>
    <w:rsid w:val="00946071"/>
    <w:rsid w:val="009460A4"/>
    <w:rsid w:val="0094616A"/>
    <w:rsid w:val="009461AB"/>
    <w:rsid w:val="009462F4"/>
    <w:rsid w:val="009462F8"/>
    <w:rsid w:val="00946342"/>
    <w:rsid w:val="009463BD"/>
    <w:rsid w:val="00946432"/>
    <w:rsid w:val="0094644E"/>
    <w:rsid w:val="009465B7"/>
    <w:rsid w:val="00946634"/>
    <w:rsid w:val="009466C9"/>
    <w:rsid w:val="0094670E"/>
    <w:rsid w:val="0094680E"/>
    <w:rsid w:val="00946877"/>
    <w:rsid w:val="009468E1"/>
    <w:rsid w:val="009469E9"/>
    <w:rsid w:val="00946A78"/>
    <w:rsid w:val="00946AA6"/>
    <w:rsid w:val="00946B14"/>
    <w:rsid w:val="00946B1F"/>
    <w:rsid w:val="00946C2C"/>
    <w:rsid w:val="00946C48"/>
    <w:rsid w:val="00946C8B"/>
    <w:rsid w:val="00946CDE"/>
    <w:rsid w:val="00946E0B"/>
    <w:rsid w:val="00946E41"/>
    <w:rsid w:val="00946EBB"/>
    <w:rsid w:val="00946EBC"/>
    <w:rsid w:val="00946F20"/>
    <w:rsid w:val="00946F2F"/>
    <w:rsid w:val="00946FC2"/>
    <w:rsid w:val="00946FF2"/>
    <w:rsid w:val="00947056"/>
    <w:rsid w:val="009470B8"/>
    <w:rsid w:val="0094710D"/>
    <w:rsid w:val="0094722C"/>
    <w:rsid w:val="00947288"/>
    <w:rsid w:val="0094734A"/>
    <w:rsid w:val="00947422"/>
    <w:rsid w:val="0094750E"/>
    <w:rsid w:val="009475C9"/>
    <w:rsid w:val="009475CC"/>
    <w:rsid w:val="00947601"/>
    <w:rsid w:val="0094765C"/>
    <w:rsid w:val="0094781A"/>
    <w:rsid w:val="0094785E"/>
    <w:rsid w:val="0094788D"/>
    <w:rsid w:val="0094794B"/>
    <w:rsid w:val="0094798C"/>
    <w:rsid w:val="00947A28"/>
    <w:rsid w:val="00947A2A"/>
    <w:rsid w:val="00947B1B"/>
    <w:rsid w:val="00947BE8"/>
    <w:rsid w:val="00947C68"/>
    <w:rsid w:val="00947CDE"/>
    <w:rsid w:val="00947DC0"/>
    <w:rsid w:val="00947E5F"/>
    <w:rsid w:val="00950066"/>
    <w:rsid w:val="0095011C"/>
    <w:rsid w:val="00950123"/>
    <w:rsid w:val="009501CE"/>
    <w:rsid w:val="00950260"/>
    <w:rsid w:val="009502B6"/>
    <w:rsid w:val="00950320"/>
    <w:rsid w:val="00950370"/>
    <w:rsid w:val="0095042E"/>
    <w:rsid w:val="0095045C"/>
    <w:rsid w:val="0095046B"/>
    <w:rsid w:val="009505BF"/>
    <w:rsid w:val="00950655"/>
    <w:rsid w:val="00950727"/>
    <w:rsid w:val="0095075E"/>
    <w:rsid w:val="00950765"/>
    <w:rsid w:val="00950836"/>
    <w:rsid w:val="00950839"/>
    <w:rsid w:val="009508F5"/>
    <w:rsid w:val="009508F9"/>
    <w:rsid w:val="009509FF"/>
    <w:rsid w:val="00950B3A"/>
    <w:rsid w:val="00950B64"/>
    <w:rsid w:val="00950BE3"/>
    <w:rsid w:val="00950C2D"/>
    <w:rsid w:val="00950CEE"/>
    <w:rsid w:val="00950D8E"/>
    <w:rsid w:val="00950D92"/>
    <w:rsid w:val="00950F54"/>
    <w:rsid w:val="00950FB9"/>
    <w:rsid w:val="00951016"/>
    <w:rsid w:val="00951060"/>
    <w:rsid w:val="00951092"/>
    <w:rsid w:val="00951149"/>
    <w:rsid w:val="00951169"/>
    <w:rsid w:val="009512E1"/>
    <w:rsid w:val="00951382"/>
    <w:rsid w:val="009513F6"/>
    <w:rsid w:val="009513F7"/>
    <w:rsid w:val="00951418"/>
    <w:rsid w:val="00951421"/>
    <w:rsid w:val="00951423"/>
    <w:rsid w:val="0095157B"/>
    <w:rsid w:val="009517B1"/>
    <w:rsid w:val="0095182D"/>
    <w:rsid w:val="00951905"/>
    <w:rsid w:val="00951B21"/>
    <w:rsid w:val="00951BAA"/>
    <w:rsid w:val="00951BD3"/>
    <w:rsid w:val="00951C16"/>
    <w:rsid w:val="00951C19"/>
    <w:rsid w:val="00951C95"/>
    <w:rsid w:val="00951CB9"/>
    <w:rsid w:val="00951D45"/>
    <w:rsid w:val="00951F83"/>
    <w:rsid w:val="00951F87"/>
    <w:rsid w:val="00951FA2"/>
    <w:rsid w:val="0095200E"/>
    <w:rsid w:val="009520C0"/>
    <w:rsid w:val="009521FE"/>
    <w:rsid w:val="00952492"/>
    <w:rsid w:val="00952658"/>
    <w:rsid w:val="00952685"/>
    <w:rsid w:val="009526B0"/>
    <w:rsid w:val="00952828"/>
    <w:rsid w:val="00952905"/>
    <w:rsid w:val="0095291B"/>
    <w:rsid w:val="00952A5D"/>
    <w:rsid w:val="00952BBB"/>
    <w:rsid w:val="00952CBB"/>
    <w:rsid w:val="00952F17"/>
    <w:rsid w:val="00952F4A"/>
    <w:rsid w:val="009530C6"/>
    <w:rsid w:val="00953111"/>
    <w:rsid w:val="00953195"/>
    <w:rsid w:val="0095345C"/>
    <w:rsid w:val="009535FA"/>
    <w:rsid w:val="00953650"/>
    <w:rsid w:val="00953670"/>
    <w:rsid w:val="0095379C"/>
    <w:rsid w:val="009537BF"/>
    <w:rsid w:val="00953810"/>
    <w:rsid w:val="0095385E"/>
    <w:rsid w:val="00953870"/>
    <w:rsid w:val="009539A8"/>
    <w:rsid w:val="00953A2E"/>
    <w:rsid w:val="00953A42"/>
    <w:rsid w:val="00953B0B"/>
    <w:rsid w:val="00953B29"/>
    <w:rsid w:val="00953B61"/>
    <w:rsid w:val="00953BD6"/>
    <w:rsid w:val="00953D05"/>
    <w:rsid w:val="00953D0D"/>
    <w:rsid w:val="00953DF2"/>
    <w:rsid w:val="00953E45"/>
    <w:rsid w:val="00953F50"/>
    <w:rsid w:val="00953F86"/>
    <w:rsid w:val="00953FAD"/>
    <w:rsid w:val="00954167"/>
    <w:rsid w:val="009542E6"/>
    <w:rsid w:val="009542FC"/>
    <w:rsid w:val="00954345"/>
    <w:rsid w:val="009543A4"/>
    <w:rsid w:val="00954465"/>
    <w:rsid w:val="00954497"/>
    <w:rsid w:val="0095457E"/>
    <w:rsid w:val="0095460E"/>
    <w:rsid w:val="0095465B"/>
    <w:rsid w:val="009546EB"/>
    <w:rsid w:val="00954878"/>
    <w:rsid w:val="0095496D"/>
    <w:rsid w:val="0095498F"/>
    <w:rsid w:val="00954A7D"/>
    <w:rsid w:val="00954B46"/>
    <w:rsid w:val="00954B8F"/>
    <w:rsid w:val="00954BFD"/>
    <w:rsid w:val="00954C56"/>
    <w:rsid w:val="00954D3C"/>
    <w:rsid w:val="00954D5B"/>
    <w:rsid w:val="00954DDE"/>
    <w:rsid w:val="00954E1A"/>
    <w:rsid w:val="00954E6D"/>
    <w:rsid w:val="00954E71"/>
    <w:rsid w:val="00954EC0"/>
    <w:rsid w:val="00954F5D"/>
    <w:rsid w:val="009551A4"/>
    <w:rsid w:val="00955279"/>
    <w:rsid w:val="009552BA"/>
    <w:rsid w:val="009552CE"/>
    <w:rsid w:val="00955356"/>
    <w:rsid w:val="0095541C"/>
    <w:rsid w:val="00955532"/>
    <w:rsid w:val="0095573D"/>
    <w:rsid w:val="0095576B"/>
    <w:rsid w:val="00955777"/>
    <w:rsid w:val="0095577E"/>
    <w:rsid w:val="009557AB"/>
    <w:rsid w:val="00955979"/>
    <w:rsid w:val="00955A40"/>
    <w:rsid w:val="00955AD8"/>
    <w:rsid w:val="00955AE9"/>
    <w:rsid w:val="00955E32"/>
    <w:rsid w:val="00955E79"/>
    <w:rsid w:val="00955EA5"/>
    <w:rsid w:val="00955EAE"/>
    <w:rsid w:val="00955F33"/>
    <w:rsid w:val="00955FA3"/>
    <w:rsid w:val="0095608C"/>
    <w:rsid w:val="009560B6"/>
    <w:rsid w:val="00956115"/>
    <w:rsid w:val="00956347"/>
    <w:rsid w:val="0095639F"/>
    <w:rsid w:val="009563AC"/>
    <w:rsid w:val="009563B7"/>
    <w:rsid w:val="00956427"/>
    <w:rsid w:val="009565C3"/>
    <w:rsid w:val="00956671"/>
    <w:rsid w:val="00956693"/>
    <w:rsid w:val="0095675F"/>
    <w:rsid w:val="009567DD"/>
    <w:rsid w:val="009567FD"/>
    <w:rsid w:val="00956860"/>
    <w:rsid w:val="00956901"/>
    <w:rsid w:val="00956905"/>
    <w:rsid w:val="00956938"/>
    <w:rsid w:val="00956A02"/>
    <w:rsid w:val="00956AA6"/>
    <w:rsid w:val="00956B19"/>
    <w:rsid w:val="00956BF6"/>
    <w:rsid w:val="00956C3A"/>
    <w:rsid w:val="00956CCA"/>
    <w:rsid w:val="00956D9F"/>
    <w:rsid w:val="00956DBB"/>
    <w:rsid w:val="00956DE8"/>
    <w:rsid w:val="00956E64"/>
    <w:rsid w:val="00956F3F"/>
    <w:rsid w:val="00956FB5"/>
    <w:rsid w:val="0095709F"/>
    <w:rsid w:val="009570E8"/>
    <w:rsid w:val="00957173"/>
    <w:rsid w:val="009571E6"/>
    <w:rsid w:val="009572E6"/>
    <w:rsid w:val="0095732F"/>
    <w:rsid w:val="00957332"/>
    <w:rsid w:val="0095739F"/>
    <w:rsid w:val="009573C0"/>
    <w:rsid w:val="00957458"/>
    <w:rsid w:val="009574D5"/>
    <w:rsid w:val="00957780"/>
    <w:rsid w:val="009577D1"/>
    <w:rsid w:val="0095795B"/>
    <w:rsid w:val="009579A1"/>
    <w:rsid w:val="00957A16"/>
    <w:rsid w:val="00957A2B"/>
    <w:rsid w:val="00957C0F"/>
    <w:rsid w:val="00957D40"/>
    <w:rsid w:val="00957D65"/>
    <w:rsid w:val="00957D6B"/>
    <w:rsid w:val="00957D87"/>
    <w:rsid w:val="00957DD1"/>
    <w:rsid w:val="00957EC9"/>
    <w:rsid w:val="00957EE2"/>
    <w:rsid w:val="00957EFC"/>
    <w:rsid w:val="00957F3A"/>
    <w:rsid w:val="00957FBF"/>
    <w:rsid w:val="009600B5"/>
    <w:rsid w:val="0096012A"/>
    <w:rsid w:val="009601C7"/>
    <w:rsid w:val="0096026E"/>
    <w:rsid w:val="009602A9"/>
    <w:rsid w:val="00960470"/>
    <w:rsid w:val="009604CC"/>
    <w:rsid w:val="0096051B"/>
    <w:rsid w:val="0096059A"/>
    <w:rsid w:val="00960766"/>
    <w:rsid w:val="009607A8"/>
    <w:rsid w:val="009607B7"/>
    <w:rsid w:val="00960805"/>
    <w:rsid w:val="00960822"/>
    <w:rsid w:val="009608A4"/>
    <w:rsid w:val="009608CE"/>
    <w:rsid w:val="00960976"/>
    <w:rsid w:val="0096099D"/>
    <w:rsid w:val="009609B9"/>
    <w:rsid w:val="00960A7A"/>
    <w:rsid w:val="00960A89"/>
    <w:rsid w:val="00960BD0"/>
    <w:rsid w:val="00960C4E"/>
    <w:rsid w:val="00960D39"/>
    <w:rsid w:val="00960D3B"/>
    <w:rsid w:val="00960D55"/>
    <w:rsid w:val="00960FCC"/>
    <w:rsid w:val="0096107F"/>
    <w:rsid w:val="00961331"/>
    <w:rsid w:val="00961414"/>
    <w:rsid w:val="00961484"/>
    <w:rsid w:val="009614B4"/>
    <w:rsid w:val="009614EB"/>
    <w:rsid w:val="009615B2"/>
    <w:rsid w:val="009616A5"/>
    <w:rsid w:val="009616FE"/>
    <w:rsid w:val="00961710"/>
    <w:rsid w:val="0096179E"/>
    <w:rsid w:val="009617CF"/>
    <w:rsid w:val="00961981"/>
    <w:rsid w:val="00961985"/>
    <w:rsid w:val="009619FE"/>
    <w:rsid w:val="00961B2D"/>
    <w:rsid w:val="00961BF1"/>
    <w:rsid w:val="00961E23"/>
    <w:rsid w:val="00961E46"/>
    <w:rsid w:val="00961E9F"/>
    <w:rsid w:val="00961FC4"/>
    <w:rsid w:val="0096215C"/>
    <w:rsid w:val="00962161"/>
    <w:rsid w:val="00962193"/>
    <w:rsid w:val="00962264"/>
    <w:rsid w:val="00962461"/>
    <w:rsid w:val="00962580"/>
    <w:rsid w:val="00962644"/>
    <w:rsid w:val="00962666"/>
    <w:rsid w:val="00962684"/>
    <w:rsid w:val="009626D6"/>
    <w:rsid w:val="00962739"/>
    <w:rsid w:val="00962762"/>
    <w:rsid w:val="0096286F"/>
    <w:rsid w:val="009628E6"/>
    <w:rsid w:val="00962929"/>
    <w:rsid w:val="009629C2"/>
    <w:rsid w:val="00962AAB"/>
    <w:rsid w:val="00962AB3"/>
    <w:rsid w:val="00962B14"/>
    <w:rsid w:val="00962B3A"/>
    <w:rsid w:val="00962B75"/>
    <w:rsid w:val="00962D08"/>
    <w:rsid w:val="00962EB4"/>
    <w:rsid w:val="00962EE2"/>
    <w:rsid w:val="00962FD2"/>
    <w:rsid w:val="00962FFF"/>
    <w:rsid w:val="0096328D"/>
    <w:rsid w:val="00963296"/>
    <w:rsid w:val="009632B1"/>
    <w:rsid w:val="009632EC"/>
    <w:rsid w:val="0096335D"/>
    <w:rsid w:val="0096338D"/>
    <w:rsid w:val="009633A7"/>
    <w:rsid w:val="009633BB"/>
    <w:rsid w:val="009633DA"/>
    <w:rsid w:val="009633F6"/>
    <w:rsid w:val="009634FA"/>
    <w:rsid w:val="0096366D"/>
    <w:rsid w:val="00963741"/>
    <w:rsid w:val="009637D5"/>
    <w:rsid w:val="00963801"/>
    <w:rsid w:val="00963823"/>
    <w:rsid w:val="00963ABF"/>
    <w:rsid w:val="00963AC2"/>
    <w:rsid w:val="00963B1F"/>
    <w:rsid w:val="00963B6D"/>
    <w:rsid w:val="00963C2A"/>
    <w:rsid w:val="00963E0B"/>
    <w:rsid w:val="00963E0C"/>
    <w:rsid w:val="00963E57"/>
    <w:rsid w:val="00963ED3"/>
    <w:rsid w:val="00963EF7"/>
    <w:rsid w:val="0096416C"/>
    <w:rsid w:val="0096420F"/>
    <w:rsid w:val="009642D1"/>
    <w:rsid w:val="009642DF"/>
    <w:rsid w:val="009643F3"/>
    <w:rsid w:val="00964505"/>
    <w:rsid w:val="0096451E"/>
    <w:rsid w:val="0096454F"/>
    <w:rsid w:val="009645AA"/>
    <w:rsid w:val="00964994"/>
    <w:rsid w:val="00964A30"/>
    <w:rsid w:val="00964B2F"/>
    <w:rsid w:val="00964B42"/>
    <w:rsid w:val="00964B8C"/>
    <w:rsid w:val="00964B9C"/>
    <w:rsid w:val="00964BAC"/>
    <w:rsid w:val="00964C3A"/>
    <w:rsid w:val="00964C4E"/>
    <w:rsid w:val="00964C8A"/>
    <w:rsid w:val="00964D05"/>
    <w:rsid w:val="00964D4D"/>
    <w:rsid w:val="00964E02"/>
    <w:rsid w:val="00964F07"/>
    <w:rsid w:val="00964F14"/>
    <w:rsid w:val="00964F16"/>
    <w:rsid w:val="00964FD6"/>
    <w:rsid w:val="00965002"/>
    <w:rsid w:val="009650A3"/>
    <w:rsid w:val="009651A5"/>
    <w:rsid w:val="009652DA"/>
    <w:rsid w:val="0096536C"/>
    <w:rsid w:val="009653EF"/>
    <w:rsid w:val="00965566"/>
    <w:rsid w:val="00965630"/>
    <w:rsid w:val="009656D8"/>
    <w:rsid w:val="009656DC"/>
    <w:rsid w:val="009656EE"/>
    <w:rsid w:val="00965740"/>
    <w:rsid w:val="0096577F"/>
    <w:rsid w:val="009658ED"/>
    <w:rsid w:val="009658F0"/>
    <w:rsid w:val="0096591D"/>
    <w:rsid w:val="00965A17"/>
    <w:rsid w:val="00965A55"/>
    <w:rsid w:val="00965A98"/>
    <w:rsid w:val="00965C05"/>
    <w:rsid w:val="00965C50"/>
    <w:rsid w:val="00965C81"/>
    <w:rsid w:val="00965C82"/>
    <w:rsid w:val="00965DF9"/>
    <w:rsid w:val="00965E0B"/>
    <w:rsid w:val="00965E3E"/>
    <w:rsid w:val="00965EC2"/>
    <w:rsid w:val="00965F8B"/>
    <w:rsid w:val="00965FA5"/>
    <w:rsid w:val="00966048"/>
    <w:rsid w:val="00966049"/>
    <w:rsid w:val="00966056"/>
    <w:rsid w:val="00966076"/>
    <w:rsid w:val="0096608A"/>
    <w:rsid w:val="00966113"/>
    <w:rsid w:val="0096617E"/>
    <w:rsid w:val="00966279"/>
    <w:rsid w:val="00966297"/>
    <w:rsid w:val="009662A0"/>
    <w:rsid w:val="009662B9"/>
    <w:rsid w:val="009663DB"/>
    <w:rsid w:val="00966400"/>
    <w:rsid w:val="00966488"/>
    <w:rsid w:val="009664F6"/>
    <w:rsid w:val="009665C7"/>
    <w:rsid w:val="0096661A"/>
    <w:rsid w:val="00966741"/>
    <w:rsid w:val="009667DB"/>
    <w:rsid w:val="00966819"/>
    <w:rsid w:val="009668B4"/>
    <w:rsid w:val="0096692F"/>
    <w:rsid w:val="00966930"/>
    <w:rsid w:val="00966AA9"/>
    <w:rsid w:val="00966B5D"/>
    <w:rsid w:val="00966BAB"/>
    <w:rsid w:val="00966BCD"/>
    <w:rsid w:val="00966C43"/>
    <w:rsid w:val="00966C60"/>
    <w:rsid w:val="00966C69"/>
    <w:rsid w:val="00966C7A"/>
    <w:rsid w:val="00966C93"/>
    <w:rsid w:val="00966C9F"/>
    <w:rsid w:val="00966D5D"/>
    <w:rsid w:val="00966D6B"/>
    <w:rsid w:val="00966E1C"/>
    <w:rsid w:val="00966E5F"/>
    <w:rsid w:val="00966F2F"/>
    <w:rsid w:val="00966FB9"/>
    <w:rsid w:val="0096710C"/>
    <w:rsid w:val="0096722F"/>
    <w:rsid w:val="00967308"/>
    <w:rsid w:val="0096730D"/>
    <w:rsid w:val="00967313"/>
    <w:rsid w:val="009674E4"/>
    <w:rsid w:val="0096755A"/>
    <w:rsid w:val="009676BB"/>
    <w:rsid w:val="00967715"/>
    <w:rsid w:val="00967750"/>
    <w:rsid w:val="00967756"/>
    <w:rsid w:val="00967A6E"/>
    <w:rsid w:val="00967A82"/>
    <w:rsid w:val="00967A93"/>
    <w:rsid w:val="00967AAD"/>
    <w:rsid w:val="00967B00"/>
    <w:rsid w:val="00967BE8"/>
    <w:rsid w:val="00967C2E"/>
    <w:rsid w:val="00967E37"/>
    <w:rsid w:val="00967F02"/>
    <w:rsid w:val="009700AB"/>
    <w:rsid w:val="009701AF"/>
    <w:rsid w:val="00970234"/>
    <w:rsid w:val="0097034D"/>
    <w:rsid w:val="00970363"/>
    <w:rsid w:val="00970385"/>
    <w:rsid w:val="0097039C"/>
    <w:rsid w:val="0097043E"/>
    <w:rsid w:val="00970459"/>
    <w:rsid w:val="00970475"/>
    <w:rsid w:val="0097047B"/>
    <w:rsid w:val="009704B1"/>
    <w:rsid w:val="009704F6"/>
    <w:rsid w:val="00970506"/>
    <w:rsid w:val="00970684"/>
    <w:rsid w:val="009706E2"/>
    <w:rsid w:val="00970750"/>
    <w:rsid w:val="00970823"/>
    <w:rsid w:val="00970ADF"/>
    <w:rsid w:val="00970D42"/>
    <w:rsid w:val="00970D47"/>
    <w:rsid w:val="00970D5B"/>
    <w:rsid w:val="00970D79"/>
    <w:rsid w:val="00970DA7"/>
    <w:rsid w:val="00970DB8"/>
    <w:rsid w:val="00970DBA"/>
    <w:rsid w:val="00970DFA"/>
    <w:rsid w:val="00970E69"/>
    <w:rsid w:val="00970EE0"/>
    <w:rsid w:val="00970F7A"/>
    <w:rsid w:val="00971046"/>
    <w:rsid w:val="00971121"/>
    <w:rsid w:val="009711F1"/>
    <w:rsid w:val="009711F7"/>
    <w:rsid w:val="00971286"/>
    <w:rsid w:val="00971291"/>
    <w:rsid w:val="00971308"/>
    <w:rsid w:val="0097134C"/>
    <w:rsid w:val="0097147F"/>
    <w:rsid w:val="009714B2"/>
    <w:rsid w:val="00971567"/>
    <w:rsid w:val="009715F0"/>
    <w:rsid w:val="009715FC"/>
    <w:rsid w:val="009716F9"/>
    <w:rsid w:val="009716FF"/>
    <w:rsid w:val="00971767"/>
    <w:rsid w:val="009717F6"/>
    <w:rsid w:val="00971807"/>
    <w:rsid w:val="0097180F"/>
    <w:rsid w:val="00971AA0"/>
    <w:rsid w:val="00971AAC"/>
    <w:rsid w:val="00971B74"/>
    <w:rsid w:val="00971B9B"/>
    <w:rsid w:val="00971D7A"/>
    <w:rsid w:val="00971E0E"/>
    <w:rsid w:val="00971E4F"/>
    <w:rsid w:val="00971EDF"/>
    <w:rsid w:val="00971EFD"/>
    <w:rsid w:val="00971F79"/>
    <w:rsid w:val="00971F86"/>
    <w:rsid w:val="00971FE9"/>
    <w:rsid w:val="00972060"/>
    <w:rsid w:val="009720D3"/>
    <w:rsid w:val="0097212F"/>
    <w:rsid w:val="0097229D"/>
    <w:rsid w:val="00972397"/>
    <w:rsid w:val="009723AA"/>
    <w:rsid w:val="00972426"/>
    <w:rsid w:val="0097244E"/>
    <w:rsid w:val="00972461"/>
    <w:rsid w:val="009724C3"/>
    <w:rsid w:val="0097255E"/>
    <w:rsid w:val="00972679"/>
    <w:rsid w:val="009726B8"/>
    <w:rsid w:val="009726E2"/>
    <w:rsid w:val="00972771"/>
    <w:rsid w:val="009727E8"/>
    <w:rsid w:val="009729F3"/>
    <w:rsid w:val="00972B51"/>
    <w:rsid w:val="00972B9B"/>
    <w:rsid w:val="00972C1A"/>
    <w:rsid w:val="00972C1E"/>
    <w:rsid w:val="00972C73"/>
    <w:rsid w:val="00972C96"/>
    <w:rsid w:val="00972D46"/>
    <w:rsid w:val="00972D6B"/>
    <w:rsid w:val="00972DED"/>
    <w:rsid w:val="00972DFC"/>
    <w:rsid w:val="00972F41"/>
    <w:rsid w:val="00972FCE"/>
    <w:rsid w:val="0097336C"/>
    <w:rsid w:val="009733F9"/>
    <w:rsid w:val="009734B2"/>
    <w:rsid w:val="009734C5"/>
    <w:rsid w:val="0097351D"/>
    <w:rsid w:val="00973539"/>
    <w:rsid w:val="0097356B"/>
    <w:rsid w:val="00973591"/>
    <w:rsid w:val="00973639"/>
    <w:rsid w:val="0097366B"/>
    <w:rsid w:val="0097375A"/>
    <w:rsid w:val="00973812"/>
    <w:rsid w:val="0097386F"/>
    <w:rsid w:val="009738A4"/>
    <w:rsid w:val="00973910"/>
    <w:rsid w:val="009739A3"/>
    <w:rsid w:val="00973ADB"/>
    <w:rsid w:val="00973ADF"/>
    <w:rsid w:val="00973B48"/>
    <w:rsid w:val="00973C00"/>
    <w:rsid w:val="00973C68"/>
    <w:rsid w:val="00973D71"/>
    <w:rsid w:val="00973DC0"/>
    <w:rsid w:val="00973DEC"/>
    <w:rsid w:val="00973E50"/>
    <w:rsid w:val="00973EC1"/>
    <w:rsid w:val="00973F29"/>
    <w:rsid w:val="00974182"/>
    <w:rsid w:val="0097418C"/>
    <w:rsid w:val="0097422E"/>
    <w:rsid w:val="0097423A"/>
    <w:rsid w:val="0097424D"/>
    <w:rsid w:val="0097428E"/>
    <w:rsid w:val="0097437E"/>
    <w:rsid w:val="009743C2"/>
    <w:rsid w:val="00974489"/>
    <w:rsid w:val="009745EB"/>
    <w:rsid w:val="0097465C"/>
    <w:rsid w:val="0097472D"/>
    <w:rsid w:val="009748D2"/>
    <w:rsid w:val="00974E37"/>
    <w:rsid w:val="00974F71"/>
    <w:rsid w:val="00974F8A"/>
    <w:rsid w:val="00974FDC"/>
    <w:rsid w:val="00974FDF"/>
    <w:rsid w:val="0097500B"/>
    <w:rsid w:val="00975010"/>
    <w:rsid w:val="009751F2"/>
    <w:rsid w:val="009752C5"/>
    <w:rsid w:val="00975376"/>
    <w:rsid w:val="00975379"/>
    <w:rsid w:val="009753BC"/>
    <w:rsid w:val="0097549C"/>
    <w:rsid w:val="009754DF"/>
    <w:rsid w:val="00975594"/>
    <w:rsid w:val="00975658"/>
    <w:rsid w:val="00975694"/>
    <w:rsid w:val="009757FC"/>
    <w:rsid w:val="009758EE"/>
    <w:rsid w:val="00975984"/>
    <w:rsid w:val="009759F5"/>
    <w:rsid w:val="00975A77"/>
    <w:rsid w:val="00975AC2"/>
    <w:rsid w:val="00975AD8"/>
    <w:rsid w:val="00975BD2"/>
    <w:rsid w:val="00975C83"/>
    <w:rsid w:val="00975D7F"/>
    <w:rsid w:val="00975E25"/>
    <w:rsid w:val="00975E34"/>
    <w:rsid w:val="00975E8E"/>
    <w:rsid w:val="00975FDF"/>
    <w:rsid w:val="009760E5"/>
    <w:rsid w:val="0097619E"/>
    <w:rsid w:val="009761B4"/>
    <w:rsid w:val="009762C3"/>
    <w:rsid w:val="009762C8"/>
    <w:rsid w:val="009763FD"/>
    <w:rsid w:val="0097642D"/>
    <w:rsid w:val="009764F2"/>
    <w:rsid w:val="00976546"/>
    <w:rsid w:val="009765A4"/>
    <w:rsid w:val="009765E9"/>
    <w:rsid w:val="00976764"/>
    <w:rsid w:val="00976889"/>
    <w:rsid w:val="0097688B"/>
    <w:rsid w:val="009768D5"/>
    <w:rsid w:val="00976A06"/>
    <w:rsid w:val="00976AC2"/>
    <w:rsid w:val="00976B5E"/>
    <w:rsid w:val="00976D5B"/>
    <w:rsid w:val="00976E04"/>
    <w:rsid w:val="00976E66"/>
    <w:rsid w:val="00976ED7"/>
    <w:rsid w:val="00976F9E"/>
    <w:rsid w:val="00976FC0"/>
    <w:rsid w:val="00976FE5"/>
    <w:rsid w:val="0097707C"/>
    <w:rsid w:val="00977134"/>
    <w:rsid w:val="00977145"/>
    <w:rsid w:val="00977368"/>
    <w:rsid w:val="00977426"/>
    <w:rsid w:val="00977437"/>
    <w:rsid w:val="0097749C"/>
    <w:rsid w:val="009774AD"/>
    <w:rsid w:val="0097755E"/>
    <w:rsid w:val="0097770C"/>
    <w:rsid w:val="0097784C"/>
    <w:rsid w:val="009778D1"/>
    <w:rsid w:val="009778F0"/>
    <w:rsid w:val="00977A20"/>
    <w:rsid w:val="00977A2F"/>
    <w:rsid w:val="00977AE2"/>
    <w:rsid w:val="00977B63"/>
    <w:rsid w:val="00977BA3"/>
    <w:rsid w:val="00977BC8"/>
    <w:rsid w:val="00977C79"/>
    <w:rsid w:val="00977CC8"/>
    <w:rsid w:val="00977DCA"/>
    <w:rsid w:val="00977ED3"/>
    <w:rsid w:val="00977F0B"/>
    <w:rsid w:val="00977F2D"/>
    <w:rsid w:val="00977FE1"/>
    <w:rsid w:val="00977FE6"/>
    <w:rsid w:val="00980041"/>
    <w:rsid w:val="009801F8"/>
    <w:rsid w:val="009803D2"/>
    <w:rsid w:val="00980532"/>
    <w:rsid w:val="00980598"/>
    <w:rsid w:val="009805B9"/>
    <w:rsid w:val="009805DE"/>
    <w:rsid w:val="009806FB"/>
    <w:rsid w:val="00980702"/>
    <w:rsid w:val="00980770"/>
    <w:rsid w:val="009808A6"/>
    <w:rsid w:val="00980A96"/>
    <w:rsid w:val="00980ADE"/>
    <w:rsid w:val="00980AF5"/>
    <w:rsid w:val="00980B29"/>
    <w:rsid w:val="00980BA9"/>
    <w:rsid w:val="00980BB8"/>
    <w:rsid w:val="00980BD2"/>
    <w:rsid w:val="00980C00"/>
    <w:rsid w:val="00980C6E"/>
    <w:rsid w:val="00980CB8"/>
    <w:rsid w:val="00980CE0"/>
    <w:rsid w:val="00980EA5"/>
    <w:rsid w:val="00980F23"/>
    <w:rsid w:val="00980FE9"/>
    <w:rsid w:val="009810C0"/>
    <w:rsid w:val="009811B2"/>
    <w:rsid w:val="009812E2"/>
    <w:rsid w:val="00981377"/>
    <w:rsid w:val="009814C3"/>
    <w:rsid w:val="009814F4"/>
    <w:rsid w:val="00981740"/>
    <w:rsid w:val="00981755"/>
    <w:rsid w:val="0098180A"/>
    <w:rsid w:val="0098189C"/>
    <w:rsid w:val="009818AF"/>
    <w:rsid w:val="00981913"/>
    <w:rsid w:val="00981942"/>
    <w:rsid w:val="00981A22"/>
    <w:rsid w:val="00981BA1"/>
    <w:rsid w:val="00981BE0"/>
    <w:rsid w:val="00981C6C"/>
    <w:rsid w:val="00981CC1"/>
    <w:rsid w:val="00981D0F"/>
    <w:rsid w:val="00981D6D"/>
    <w:rsid w:val="00981E03"/>
    <w:rsid w:val="00981F27"/>
    <w:rsid w:val="00981F91"/>
    <w:rsid w:val="00981FC8"/>
    <w:rsid w:val="00982223"/>
    <w:rsid w:val="0098222A"/>
    <w:rsid w:val="0098227A"/>
    <w:rsid w:val="009822FF"/>
    <w:rsid w:val="0098242B"/>
    <w:rsid w:val="009826D0"/>
    <w:rsid w:val="009826FD"/>
    <w:rsid w:val="009828A9"/>
    <w:rsid w:val="0098291D"/>
    <w:rsid w:val="0098295E"/>
    <w:rsid w:val="00982992"/>
    <w:rsid w:val="00982B03"/>
    <w:rsid w:val="00982B1B"/>
    <w:rsid w:val="00982B43"/>
    <w:rsid w:val="00982B6A"/>
    <w:rsid w:val="00982B71"/>
    <w:rsid w:val="00982C9E"/>
    <w:rsid w:val="00982D94"/>
    <w:rsid w:val="00982DDB"/>
    <w:rsid w:val="00982EB3"/>
    <w:rsid w:val="00982EED"/>
    <w:rsid w:val="00982FA1"/>
    <w:rsid w:val="0098302C"/>
    <w:rsid w:val="009830F5"/>
    <w:rsid w:val="009831D4"/>
    <w:rsid w:val="0098325A"/>
    <w:rsid w:val="009832A1"/>
    <w:rsid w:val="009832B1"/>
    <w:rsid w:val="00983478"/>
    <w:rsid w:val="0098350C"/>
    <w:rsid w:val="00983539"/>
    <w:rsid w:val="009835BC"/>
    <w:rsid w:val="009835CD"/>
    <w:rsid w:val="00983630"/>
    <w:rsid w:val="009837A6"/>
    <w:rsid w:val="0098384C"/>
    <w:rsid w:val="009838DB"/>
    <w:rsid w:val="00983967"/>
    <w:rsid w:val="009839F8"/>
    <w:rsid w:val="00983AC7"/>
    <w:rsid w:val="00983C91"/>
    <w:rsid w:val="00983CFD"/>
    <w:rsid w:val="00983D2D"/>
    <w:rsid w:val="00983D56"/>
    <w:rsid w:val="00983D64"/>
    <w:rsid w:val="00983DA5"/>
    <w:rsid w:val="00983EB3"/>
    <w:rsid w:val="0098406F"/>
    <w:rsid w:val="0098410E"/>
    <w:rsid w:val="00984175"/>
    <w:rsid w:val="009841A1"/>
    <w:rsid w:val="009841A2"/>
    <w:rsid w:val="009841DA"/>
    <w:rsid w:val="009842C5"/>
    <w:rsid w:val="00984420"/>
    <w:rsid w:val="0098442F"/>
    <w:rsid w:val="0098445A"/>
    <w:rsid w:val="00984478"/>
    <w:rsid w:val="009844FA"/>
    <w:rsid w:val="0098450E"/>
    <w:rsid w:val="00984545"/>
    <w:rsid w:val="009845DC"/>
    <w:rsid w:val="00984674"/>
    <w:rsid w:val="00984687"/>
    <w:rsid w:val="009847AA"/>
    <w:rsid w:val="0098496F"/>
    <w:rsid w:val="009849CA"/>
    <w:rsid w:val="00984A2C"/>
    <w:rsid w:val="00984A34"/>
    <w:rsid w:val="00984A78"/>
    <w:rsid w:val="00984AA8"/>
    <w:rsid w:val="00984AB9"/>
    <w:rsid w:val="00984AF2"/>
    <w:rsid w:val="00984B61"/>
    <w:rsid w:val="00984B9F"/>
    <w:rsid w:val="00984E89"/>
    <w:rsid w:val="00984ED6"/>
    <w:rsid w:val="00984F57"/>
    <w:rsid w:val="00984FBA"/>
    <w:rsid w:val="0098500A"/>
    <w:rsid w:val="0098517B"/>
    <w:rsid w:val="009854B8"/>
    <w:rsid w:val="009857AE"/>
    <w:rsid w:val="0098592B"/>
    <w:rsid w:val="009859B9"/>
    <w:rsid w:val="00985A5B"/>
    <w:rsid w:val="00985AA9"/>
    <w:rsid w:val="00985C38"/>
    <w:rsid w:val="00985C5A"/>
    <w:rsid w:val="00985C86"/>
    <w:rsid w:val="00985CFB"/>
    <w:rsid w:val="00985D23"/>
    <w:rsid w:val="00985D54"/>
    <w:rsid w:val="00985DC9"/>
    <w:rsid w:val="00985DF3"/>
    <w:rsid w:val="00985E95"/>
    <w:rsid w:val="00985EAF"/>
    <w:rsid w:val="00985F3A"/>
    <w:rsid w:val="00985F3B"/>
    <w:rsid w:val="00985F62"/>
    <w:rsid w:val="0098606D"/>
    <w:rsid w:val="009861E6"/>
    <w:rsid w:val="009861FE"/>
    <w:rsid w:val="00986247"/>
    <w:rsid w:val="009862AF"/>
    <w:rsid w:val="009862ED"/>
    <w:rsid w:val="009862FA"/>
    <w:rsid w:val="00986314"/>
    <w:rsid w:val="00986497"/>
    <w:rsid w:val="0098649B"/>
    <w:rsid w:val="0098649D"/>
    <w:rsid w:val="0098651F"/>
    <w:rsid w:val="009865A7"/>
    <w:rsid w:val="0098661F"/>
    <w:rsid w:val="009866A3"/>
    <w:rsid w:val="009866B0"/>
    <w:rsid w:val="009866E7"/>
    <w:rsid w:val="009867B9"/>
    <w:rsid w:val="00986895"/>
    <w:rsid w:val="009869B9"/>
    <w:rsid w:val="00986A43"/>
    <w:rsid w:val="00986A56"/>
    <w:rsid w:val="00986B1B"/>
    <w:rsid w:val="00986B47"/>
    <w:rsid w:val="00986B5E"/>
    <w:rsid w:val="00986C6B"/>
    <w:rsid w:val="00986DDA"/>
    <w:rsid w:val="00986E22"/>
    <w:rsid w:val="00986EAC"/>
    <w:rsid w:val="00986ED9"/>
    <w:rsid w:val="00986F85"/>
    <w:rsid w:val="00986F8C"/>
    <w:rsid w:val="00986F9E"/>
    <w:rsid w:val="009871CA"/>
    <w:rsid w:val="009873D4"/>
    <w:rsid w:val="0098740B"/>
    <w:rsid w:val="0098742B"/>
    <w:rsid w:val="00987462"/>
    <w:rsid w:val="009874C7"/>
    <w:rsid w:val="00987532"/>
    <w:rsid w:val="00987735"/>
    <w:rsid w:val="00987757"/>
    <w:rsid w:val="00987795"/>
    <w:rsid w:val="009877D2"/>
    <w:rsid w:val="009877D5"/>
    <w:rsid w:val="00987844"/>
    <w:rsid w:val="009879E4"/>
    <w:rsid w:val="00987A7F"/>
    <w:rsid w:val="00987B55"/>
    <w:rsid w:val="00987B7F"/>
    <w:rsid w:val="00987C33"/>
    <w:rsid w:val="00987C9C"/>
    <w:rsid w:val="00987CA2"/>
    <w:rsid w:val="00987DA0"/>
    <w:rsid w:val="00987E18"/>
    <w:rsid w:val="00987E91"/>
    <w:rsid w:val="00987ED5"/>
    <w:rsid w:val="00987F95"/>
    <w:rsid w:val="00987FB6"/>
    <w:rsid w:val="00990072"/>
    <w:rsid w:val="009900B0"/>
    <w:rsid w:val="009900C1"/>
    <w:rsid w:val="00990111"/>
    <w:rsid w:val="00990188"/>
    <w:rsid w:val="00990265"/>
    <w:rsid w:val="0099027B"/>
    <w:rsid w:val="00990348"/>
    <w:rsid w:val="009903A1"/>
    <w:rsid w:val="00990467"/>
    <w:rsid w:val="009904AA"/>
    <w:rsid w:val="009904B3"/>
    <w:rsid w:val="009905E7"/>
    <w:rsid w:val="00990650"/>
    <w:rsid w:val="009906DA"/>
    <w:rsid w:val="0099074F"/>
    <w:rsid w:val="00990751"/>
    <w:rsid w:val="00990813"/>
    <w:rsid w:val="00990911"/>
    <w:rsid w:val="0099099D"/>
    <w:rsid w:val="009909FA"/>
    <w:rsid w:val="00990ACF"/>
    <w:rsid w:val="00990B2B"/>
    <w:rsid w:val="00990BE9"/>
    <w:rsid w:val="00990CF1"/>
    <w:rsid w:val="00990D8E"/>
    <w:rsid w:val="00990E18"/>
    <w:rsid w:val="00990E52"/>
    <w:rsid w:val="00990F73"/>
    <w:rsid w:val="0099107D"/>
    <w:rsid w:val="009911A7"/>
    <w:rsid w:val="009911B9"/>
    <w:rsid w:val="009911DC"/>
    <w:rsid w:val="00991237"/>
    <w:rsid w:val="0099141B"/>
    <w:rsid w:val="0099142A"/>
    <w:rsid w:val="009916E5"/>
    <w:rsid w:val="00991767"/>
    <w:rsid w:val="00991866"/>
    <w:rsid w:val="00991879"/>
    <w:rsid w:val="0099199D"/>
    <w:rsid w:val="00991AAF"/>
    <w:rsid w:val="00991B6F"/>
    <w:rsid w:val="00991B70"/>
    <w:rsid w:val="00991D43"/>
    <w:rsid w:val="00991DB8"/>
    <w:rsid w:val="00991F55"/>
    <w:rsid w:val="00991FE0"/>
    <w:rsid w:val="00991FEF"/>
    <w:rsid w:val="0099214C"/>
    <w:rsid w:val="009921F6"/>
    <w:rsid w:val="00992260"/>
    <w:rsid w:val="0099227F"/>
    <w:rsid w:val="0099229A"/>
    <w:rsid w:val="009922C6"/>
    <w:rsid w:val="009922F1"/>
    <w:rsid w:val="0099232D"/>
    <w:rsid w:val="00992419"/>
    <w:rsid w:val="00992525"/>
    <w:rsid w:val="00992680"/>
    <w:rsid w:val="00992692"/>
    <w:rsid w:val="00992795"/>
    <w:rsid w:val="009927F1"/>
    <w:rsid w:val="009927F7"/>
    <w:rsid w:val="0099286B"/>
    <w:rsid w:val="00992A2F"/>
    <w:rsid w:val="00992BAA"/>
    <w:rsid w:val="00992D22"/>
    <w:rsid w:val="00992DA1"/>
    <w:rsid w:val="00992DB5"/>
    <w:rsid w:val="00992DCB"/>
    <w:rsid w:val="00992E01"/>
    <w:rsid w:val="00992F22"/>
    <w:rsid w:val="00992FAC"/>
    <w:rsid w:val="00992FAD"/>
    <w:rsid w:val="00993058"/>
    <w:rsid w:val="009930C2"/>
    <w:rsid w:val="00993116"/>
    <w:rsid w:val="00993156"/>
    <w:rsid w:val="0099316F"/>
    <w:rsid w:val="0099321F"/>
    <w:rsid w:val="00993247"/>
    <w:rsid w:val="00993381"/>
    <w:rsid w:val="00993387"/>
    <w:rsid w:val="009933F6"/>
    <w:rsid w:val="00993427"/>
    <w:rsid w:val="009934E7"/>
    <w:rsid w:val="0099351A"/>
    <w:rsid w:val="00993658"/>
    <w:rsid w:val="00993712"/>
    <w:rsid w:val="0099371D"/>
    <w:rsid w:val="00993829"/>
    <w:rsid w:val="00993902"/>
    <w:rsid w:val="00993929"/>
    <w:rsid w:val="00993993"/>
    <w:rsid w:val="00993B04"/>
    <w:rsid w:val="00993B49"/>
    <w:rsid w:val="00993BC1"/>
    <w:rsid w:val="00993C7F"/>
    <w:rsid w:val="00993C86"/>
    <w:rsid w:val="00993C9C"/>
    <w:rsid w:val="00993D2B"/>
    <w:rsid w:val="00993E6D"/>
    <w:rsid w:val="00993ED6"/>
    <w:rsid w:val="00993F52"/>
    <w:rsid w:val="00993FAC"/>
    <w:rsid w:val="00994073"/>
    <w:rsid w:val="009942CC"/>
    <w:rsid w:val="009943A7"/>
    <w:rsid w:val="00994442"/>
    <w:rsid w:val="00994509"/>
    <w:rsid w:val="00994845"/>
    <w:rsid w:val="00994910"/>
    <w:rsid w:val="00994941"/>
    <w:rsid w:val="009949A6"/>
    <w:rsid w:val="00994AEE"/>
    <w:rsid w:val="00994B4E"/>
    <w:rsid w:val="00994B98"/>
    <w:rsid w:val="00994BA5"/>
    <w:rsid w:val="00994C73"/>
    <w:rsid w:val="00994C87"/>
    <w:rsid w:val="00994EC7"/>
    <w:rsid w:val="00994F4F"/>
    <w:rsid w:val="00994F53"/>
    <w:rsid w:val="00994F79"/>
    <w:rsid w:val="00994FAB"/>
    <w:rsid w:val="00994FC4"/>
    <w:rsid w:val="00994FFE"/>
    <w:rsid w:val="00995020"/>
    <w:rsid w:val="00995028"/>
    <w:rsid w:val="009950A4"/>
    <w:rsid w:val="009950BB"/>
    <w:rsid w:val="00995148"/>
    <w:rsid w:val="00995187"/>
    <w:rsid w:val="0099519D"/>
    <w:rsid w:val="009951E7"/>
    <w:rsid w:val="009951F7"/>
    <w:rsid w:val="009951FD"/>
    <w:rsid w:val="009952AB"/>
    <w:rsid w:val="0099543A"/>
    <w:rsid w:val="0099545A"/>
    <w:rsid w:val="0099549C"/>
    <w:rsid w:val="009954C9"/>
    <w:rsid w:val="009954D8"/>
    <w:rsid w:val="009955D0"/>
    <w:rsid w:val="0099566C"/>
    <w:rsid w:val="00995683"/>
    <w:rsid w:val="0099580E"/>
    <w:rsid w:val="00995871"/>
    <w:rsid w:val="009959B1"/>
    <w:rsid w:val="009959C6"/>
    <w:rsid w:val="009959F9"/>
    <w:rsid w:val="00995A16"/>
    <w:rsid w:val="00995AAF"/>
    <w:rsid w:val="00995AB2"/>
    <w:rsid w:val="00995AC5"/>
    <w:rsid w:val="00995AF4"/>
    <w:rsid w:val="00995B3D"/>
    <w:rsid w:val="00995B75"/>
    <w:rsid w:val="00995B82"/>
    <w:rsid w:val="00995C0E"/>
    <w:rsid w:val="00995D6D"/>
    <w:rsid w:val="00995E99"/>
    <w:rsid w:val="00995EE6"/>
    <w:rsid w:val="0099604E"/>
    <w:rsid w:val="009960F4"/>
    <w:rsid w:val="00996178"/>
    <w:rsid w:val="00996348"/>
    <w:rsid w:val="00996360"/>
    <w:rsid w:val="00996396"/>
    <w:rsid w:val="00996434"/>
    <w:rsid w:val="0099644B"/>
    <w:rsid w:val="00996538"/>
    <w:rsid w:val="00996629"/>
    <w:rsid w:val="0099662C"/>
    <w:rsid w:val="00996681"/>
    <w:rsid w:val="00996686"/>
    <w:rsid w:val="0099670B"/>
    <w:rsid w:val="00996794"/>
    <w:rsid w:val="009967BE"/>
    <w:rsid w:val="009967DC"/>
    <w:rsid w:val="00996810"/>
    <w:rsid w:val="009968A8"/>
    <w:rsid w:val="009968AB"/>
    <w:rsid w:val="009968BC"/>
    <w:rsid w:val="009968ED"/>
    <w:rsid w:val="00996AD8"/>
    <w:rsid w:val="00996B00"/>
    <w:rsid w:val="00996DBA"/>
    <w:rsid w:val="00996E55"/>
    <w:rsid w:val="00996EE0"/>
    <w:rsid w:val="00996EFC"/>
    <w:rsid w:val="00996F00"/>
    <w:rsid w:val="00996FA4"/>
    <w:rsid w:val="00996FC2"/>
    <w:rsid w:val="00997076"/>
    <w:rsid w:val="009970A3"/>
    <w:rsid w:val="009970BE"/>
    <w:rsid w:val="009970C0"/>
    <w:rsid w:val="0099736F"/>
    <w:rsid w:val="00997458"/>
    <w:rsid w:val="009974DE"/>
    <w:rsid w:val="00997542"/>
    <w:rsid w:val="00997551"/>
    <w:rsid w:val="009975B4"/>
    <w:rsid w:val="00997650"/>
    <w:rsid w:val="0099770C"/>
    <w:rsid w:val="0099771F"/>
    <w:rsid w:val="0099776E"/>
    <w:rsid w:val="00997780"/>
    <w:rsid w:val="00997914"/>
    <w:rsid w:val="00997B34"/>
    <w:rsid w:val="00997B83"/>
    <w:rsid w:val="00997B8D"/>
    <w:rsid w:val="00997C21"/>
    <w:rsid w:val="00997CED"/>
    <w:rsid w:val="00997D19"/>
    <w:rsid w:val="00997D37"/>
    <w:rsid w:val="00997D65"/>
    <w:rsid w:val="00997D73"/>
    <w:rsid w:val="00997EA4"/>
    <w:rsid w:val="009A0043"/>
    <w:rsid w:val="009A006C"/>
    <w:rsid w:val="009A00A7"/>
    <w:rsid w:val="009A00C5"/>
    <w:rsid w:val="009A012D"/>
    <w:rsid w:val="009A02ED"/>
    <w:rsid w:val="009A0350"/>
    <w:rsid w:val="009A03A2"/>
    <w:rsid w:val="009A03E4"/>
    <w:rsid w:val="009A0414"/>
    <w:rsid w:val="009A062E"/>
    <w:rsid w:val="009A06AE"/>
    <w:rsid w:val="009A06B6"/>
    <w:rsid w:val="009A06C5"/>
    <w:rsid w:val="009A06C9"/>
    <w:rsid w:val="009A06D9"/>
    <w:rsid w:val="009A072E"/>
    <w:rsid w:val="009A077C"/>
    <w:rsid w:val="009A0802"/>
    <w:rsid w:val="009A09C8"/>
    <w:rsid w:val="009A0ADB"/>
    <w:rsid w:val="009A0B8A"/>
    <w:rsid w:val="009A0C5C"/>
    <w:rsid w:val="009A0C82"/>
    <w:rsid w:val="009A0D14"/>
    <w:rsid w:val="009A0D15"/>
    <w:rsid w:val="009A0D5A"/>
    <w:rsid w:val="009A0D63"/>
    <w:rsid w:val="009A0E0B"/>
    <w:rsid w:val="009A0E59"/>
    <w:rsid w:val="009A0E83"/>
    <w:rsid w:val="009A0F7C"/>
    <w:rsid w:val="009A0F7D"/>
    <w:rsid w:val="009A0FB0"/>
    <w:rsid w:val="009A0FD7"/>
    <w:rsid w:val="009A0FF1"/>
    <w:rsid w:val="009A10AC"/>
    <w:rsid w:val="009A113A"/>
    <w:rsid w:val="009A12D7"/>
    <w:rsid w:val="009A133A"/>
    <w:rsid w:val="009A1394"/>
    <w:rsid w:val="009A1539"/>
    <w:rsid w:val="009A15AB"/>
    <w:rsid w:val="009A16CA"/>
    <w:rsid w:val="009A17A1"/>
    <w:rsid w:val="009A17D3"/>
    <w:rsid w:val="009A18A0"/>
    <w:rsid w:val="009A18B2"/>
    <w:rsid w:val="009A191F"/>
    <w:rsid w:val="009A193F"/>
    <w:rsid w:val="009A1990"/>
    <w:rsid w:val="009A19A6"/>
    <w:rsid w:val="009A19B2"/>
    <w:rsid w:val="009A19F1"/>
    <w:rsid w:val="009A1A36"/>
    <w:rsid w:val="009A1ACC"/>
    <w:rsid w:val="009A1AD4"/>
    <w:rsid w:val="009A1B33"/>
    <w:rsid w:val="009A1BC3"/>
    <w:rsid w:val="009A1C41"/>
    <w:rsid w:val="009A1CF9"/>
    <w:rsid w:val="009A1D82"/>
    <w:rsid w:val="009A1E0E"/>
    <w:rsid w:val="009A1E11"/>
    <w:rsid w:val="009A1E41"/>
    <w:rsid w:val="009A1E91"/>
    <w:rsid w:val="009A1ECB"/>
    <w:rsid w:val="009A1F36"/>
    <w:rsid w:val="009A204D"/>
    <w:rsid w:val="009A2123"/>
    <w:rsid w:val="009A2150"/>
    <w:rsid w:val="009A218C"/>
    <w:rsid w:val="009A22D2"/>
    <w:rsid w:val="009A233E"/>
    <w:rsid w:val="009A245E"/>
    <w:rsid w:val="009A2476"/>
    <w:rsid w:val="009A25FF"/>
    <w:rsid w:val="009A26F7"/>
    <w:rsid w:val="009A27B5"/>
    <w:rsid w:val="009A27FA"/>
    <w:rsid w:val="009A2937"/>
    <w:rsid w:val="009A2942"/>
    <w:rsid w:val="009A298F"/>
    <w:rsid w:val="009A2A85"/>
    <w:rsid w:val="009A2B2F"/>
    <w:rsid w:val="009A2B43"/>
    <w:rsid w:val="009A2C29"/>
    <w:rsid w:val="009A2C3E"/>
    <w:rsid w:val="009A2C65"/>
    <w:rsid w:val="009A2D29"/>
    <w:rsid w:val="009A2D3C"/>
    <w:rsid w:val="009A2D91"/>
    <w:rsid w:val="009A2DF7"/>
    <w:rsid w:val="009A2E3B"/>
    <w:rsid w:val="009A2E4F"/>
    <w:rsid w:val="009A2EF4"/>
    <w:rsid w:val="009A2FF9"/>
    <w:rsid w:val="009A309D"/>
    <w:rsid w:val="009A309E"/>
    <w:rsid w:val="009A3151"/>
    <w:rsid w:val="009A31CC"/>
    <w:rsid w:val="009A3344"/>
    <w:rsid w:val="009A34BA"/>
    <w:rsid w:val="009A34F5"/>
    <w:rsid w:val="009A3523"/>
    <w:rsid w:val="009A353C"/>
    <w:rsid w:val="009A35A6"/>
    <w:rsid w:val="009A3668"/>
    <w:rsid w:val="009A36EE"/>
    <w:rsid w:val="009A375F"/>
    <w:rsid w:val="009A384C"/>
    <w:rsid w:val="009A38F0"/>
    <w:rsid w:val="009A3A54"/>
    <w:rsid w:val="009A3AF8"/>
    <w:rsid w:val="009A3BFD"/>
    <w:rsid w:val="009A3C3F"/>
    <w:rsid w:val="009A3C5F"/>
    <w:rsid w:val="009A3D38"/>
    <w:rsid w:val="009A3D5B"/>
    <w:rsid w:val="009A3E70"/>
    <w:rsid w:val="009A3F2A"/>
    <w:rsid w:val="009A3F77"/>
    <w:rsid w:val="009A3FCE"/>
    <w:rsid w:val="009A3FF7"/>
    <w:rsid w:val="009A400E"/>
    <w:rsid w:val="009A419D"/>
    <w:rsid w:val="009A41FB"/>
    <w:rsid w:val="009A4216"/>
    <w:rsid w:val="009A425B"/>
    <w:rsid w:val="009A4334"/>
    <w:rsid w:val="009A435E"/>
    <w:rsid w:val="009A4360"/>
    <w:rsid w:val="009A437D"/>
    <w:rsid w:val="009A43CB"/>
    <w:rsid w:val="009A440E"/>
    <w:rsid w:val="009A4457"/>
    <w:rsid w:val="009A4466"/>
    <w:rsid w:val="009A44CE"/>
    <w:rsid w:val="009A456D"/>
    <w:rsid w:val="009A4590"/>
    <w:rsid w:val="009A4602"/>
    <w:rsid w:val="009A4613"/>
    <w:rsid w:val="009A462D"/>
    <w:rsid w:val="009A46C7"/>
    <w:rsid w:val="009A4802"/>
    <w:rsid w:val="009A4845"/>
    <w:rsid w:val="009A4861"/>
    <w:rsid w:val="009A4A14"/>
    <w:rsid w:val="009A4A66"/>
    <w:rsid w:val="009A4D25"/>
    <w:rsid w:val="009A4D95"/>
    <w:rsid w:val="009A4E1F"/>
    <w:rsid w:val="009A4EF9"/>
    <w:rsid w:val="009A4F9D"/>
    <w:rsid w:val="009A5023"/>
    <w:rsid w:val="009A504D"/>
    <w:rsid w:val="009A50C4"/>
    <w:rsid w:val="009A50CB"/>
    <w:rsid w:val="009A513E"/>
    <w:rsid w:val="009A5468"/>
    <w:rsid w:val="009A5673"/>
    <w:rsid w:val="009A56D6"/>
    <w:rsid w:val="009A5984"/>
    <w:rsid w:val="009A59A4"/>
    <w:rsid w:val="009A5A3E"/>
    <w:rsid w:val="009A5A9C"/>
    <w:rsid w:val="009A5B40"/>
    <w:rsid w:val="009A5B8A"/>
    <w:rsid w:val="009A5B95"/>
    <w:rsid w:val="009A5BE4"/>
    <w:rsid w:val="009A5C36"/>
    <w:rsid w:val="009A5CB3"/>
    <w:rsid w:val="009A5CF6"/>
    <w:rsid w:val="009A5CF7"/>
    <w:rsid w:val="009A5D05"/>
    <w:rsid w:val="009A5D82"/>
    <w:rsid w:val="009A5DC9"/>
    <w:rsid w:val="009A5E56"/>
    <w:rsid w:val="009A5EC4"/>
    <w:rsid w:val="009A5F6A"/>
    <w:rsid w:val="009A6093"/>
    <w:rsid w:val="009A60BF"/>
    <w:rsid w:val="009A62D8"/>
    <w:rsid w:val="009A62DC"/>
    <w:rsid w:val="009A6332"/>
    <w:rsid w:val="009A64F9"/>
    <w:rsid w:val="009A65B8"/>
    <w:rsid w:val="009A66D3"/>
    <w:rsid w:val="009A66DD"/>
    <w:rsid w:val="009A6714"/>
    <w:rsid w:val="009A67DE"/>
    <w:rsid w:val="009A67EA"/>
    <w:rsid w:val="009A67FC"/>
    <w:rsid w:val="009A69D2"/>
    <w:rsid w:val="009A6B05"/>
    <w:rsid w:val="009A6B7B"/>
    <w:rsid w:val="009A6C19"/>
    <w:rsid w:val="009A6C45"/>
    <w:rsid w:val="009A6C5C"/>
    <w:rsid w:val="009A6CCA"/>
    <w:rsid w:val="009A6E12"/>
    <w:rsid w:val="009A6E78"/>
    <w:rsid w:val="009A6E8B"/>
    <w:rsid w:val="009A6F67"/>
    <w:rsid w:val="009A6F6F"/>
    <w:rsid w:val="009A7177"/>
    <w:rsid w:val="009A7205"/>
    <w:rsid w:val="009A7273"/>
    <w:rsid w:val="009A730B"/>
    <w:rsid w:val="009A730D"/>
    <w:rsid w:val="009A7312"/>
    <w:rsid w:val="009A7348"/>
    <w:rsid w:val="009A740D"/>
    <w:rsid w:val="009A744C"/>
    <w:rsid w:val="009A746D"/>
    <w:rsid w:val="009A7760"/>
    <w:rsid w:val="009A77C4"/>
    <w:rsid w:val="009A782A"/>
    <w:rsid w:val="009A78ED"/>
    <w:rsid w:val="009A7A2B"/>
    <w:rsid w:val="009A7A37"/>
    <w:rsid w:val="009A7A3B"/>
    <w:rsid w:val="009A7A43"/>
    <w:rsid w:val="009A7A6A"/>
    <w:rsid w:val="009A7C35"/>
    <w:rsid w:val="009A7CCE"/>
    <w:rsid w:val="009A7E6B"/>
    <w:rsid w:val="009A7F4F"/>
    <w:rsid w:val="009B00FA"/>
    <w:rsid w:val="009B0177"/>
    <w:rsid w:val="009B020F"/>
    <w:rsid w:val="009B025D"/>
    <w:rsid w:val="009B02C1"/>
    <w:rsid w:val="009B02CE"/>
    <w:rsid w:val="009B0595"/>
    <w:rsid w:val="009B06F9"/>
    <w:rsid w:val="009B0732"/>
    <w:rsid w:val="009B093F"/>
    <w:rsid w:val="009B0969"/>
    <w:rsid w:val="009B0A2D"/>
    <w:rsid w:val="009B0A4D"/>
    <w:rsid w:val="009B0BD4"/>
    <w:rsid w:val="009B0C08"/>
    <w:rsid w:val="009B0C3F"/>
    <w:rsid w:val="009B0C9D"/>
    <w:rsid w:val="009B0CA1"/>
    <w:rsid w:val="009B0CBB"/>
    <w:rsid w:val="009B0D28"/>
    <w:rsid w:val="009B0EF5"/>
    <w:rsid w:val="009B0F0B"/>
    <w:rsid w:val="009B0F8C"/>
    <w:rsid w:val="009B0FEA"/>
    <w:rsid w:val="009B10F5"/>
    <w:rsid w:val="009B122B"/>
    <w:rsid w:val="009B12CA"/>
    <w:rsid w:val="009B12F1"/>
    <w:rsid w:val="009B1310"/>
    <w:rsid w:val="009B1327"/>
    <w:rsid w:val="009B13C0"/>
    <w:rsid w:val="009B1432"/>
    <w:rsid w:val="009B1569"/>
    <w:rsid w:val="009B1653"/>
    <w:rsid w:val="009B1715"/>
    <w:rsid w:val="009B1928"/>
    <w:rsid w:val="009B199D"/>
    <w:rsid w:val="009B19FA"/>
    <w:rsid w:val="009B1ABC"/>
    <w:rsid w:val="009B1B0D"/>
    <w:rsid w:val="009B1B3B"/>
    <w:rsid w:val="009B1D46"/>
    <w:rsid w:val="009B1E28"/>
    <w:rsid w:val="009B1E60"/>
    <w:rsid w:val="009B1E63"/>
    <w:rsid w:val="009B1F08"/>
    <w:rsid w:val="009B1F6D"/>
    <w:rsid w:val="009B20BE"/>
    <w:rsid w:val="009B2218"/>
    <w:rsid w:val="009B246B"/>
    <w:rsid w:val="009B251C"/>
    <w:rsid w:val="009B258E"/>
    <w:rsid w:val="009B25D2"/>
    <w:rsid w:val="009B26DC"/>
    <w:rsid w:val="009B2793"/>
    <w:rsid w:val="009B27AC"/>
    <w:rsid w:val="009B28DF"/>
    <w:rsid w:val="009B28E8"/>
    <w:rsid w:val="009B2931"/>
    <w:rsid w:val="009B2962"/>
    <w:rsid w:val="009B2A13"/>
    <w:rsid w:val="009B2A69"/>
    <w:rsid w:val="009B2ACC"/>
    <w:rsid w:val="009B2AD4"/>
    <w:rsid w:val="009B2B2D"/>
    <w:rsid w:val="009B2C14"/>
    <w:rsid w:val="009B2CC7"/>
    <w:rsid w:val="009B2D9A"/>
    <w:rsid w:val="009B2DB9"/>
    <w:rsid w:val="009B2DC4"/>
    <w:rsid w:val="009B2E5D"/>
    <w:rsid w:val="009B2E69"/>
    <w:rsid w:val="009B2ECF"/>
    <w:rsid w:val="009B2F51"/>
    <w:rsid w:val="009B2FBE"/>
    <w:rsid w:val="009B3143"/>
    <w:rsid w:val="009B325D"/>
    <w:rsid w:val="009B3284"/>
    <w:rsid w:val="009B3371"/>
    <w:rsid w:val="009B33EE"/>
    <w:rsid w:val="009B33F2"/>
    <w:rsid w:val="009B34E6"/>
    <w:rsid w:val="009B351C"/>
    <w:rsid w:val="009B3592"/>
    <w:rsid w:val="009B3708"/>
    <w:rsid w:val="009B3768"/>
    <w:rsid w:val="009B3769"/>
    <w:rsid w:val="009B3782"/>
    <w:rsid w:val="009B3783"/>
    <w:rsid w:val="009B3816"/>
    <w:rsid w:val="009B38E3"/>
    <w:rsid w:val="009B39C9"/>
    <w:rsid w:val="009B3A75"/>
    <w:rsid w:val="009B3B08"/>
    <w:rsid w:val="009B3E05"/>
    <w:rsid w:val="009B3EBE"/>
    <w:rsid w:val="009B3F12"/>
    <w:rsid w:val="009B3F43"/>
    <w:rsid w:val="009B3FA1"/>
    <w:rsid w:val="009B3FAF"/>
    <w:rsid w:val="009B3FC6"/>
    <w:rsid w:val="009B4054"/>
    <w:rsid w:val="009B4096"/>
    <w:rsid w:val="009B4098"/>
    <w:rsid w:val="009B410D"/>
    <w:rsid w:val="009B41B1"/>
    <w:rsid w:val="009B42E9"/>
    <w:rsid w:val="009B45B6"/>
    <w:rsid w:val="009B462B"/>
    <w:rsid w:val="009B469F"/>
    <w:rsid w:val="009B471F"/>
    <w:rsid w:val="009B499B"/>
    <w:rsid w:val="009B4A8C"/>
    <w:rsid w:val="009B4AFC"/>
    <w:rsid w:val="009B4C78"/>
    <w:rsid w:val="009B4D30"/>
    <w:rsid w:val="009B4F84"/>
    <w:rsid w:val="009B50A3"/>
    <w:rsid w:val="009B5119"/>
    <w:rsid w:val="009B51F6"/>
    <w:rsid w:val="009B5214"/>
    <w:rsid w:val="009B5260"/>
    <w:rsid w:val="009B52B0"/>
    <w:rsid w:val="009B5461"/>
    <w:rsid w:val="009B54DD"/>
    <w:rsid w:val="009B55C3"/>
    <w:rsid w:val="009B55C5"/>
    <w:rsid w:val="009B57F8"/>
    <w:rsid w:val="009B5839"/>
    <w:rsid w:val="009B5862"/>
    <w:rsid w:val="009B598B"/>
    <w:rsid w:val="009B5B33"/>
    <w:rsid w:val="009B5B75"/>
    <w:rsid w:val="009B5BE4"/>
    <w:rsid w:val="009B5BE9"/>
    <w:rsid w:val="009B5C29"/>
    <w:rsid w:val="009B5C43"/>
    <w:rsid w:val="009B5D28"/>
    <w:rsid w:val="009B5D5E"/>
    <w:rsid w:val="009B5DDE"/>
    <w:rsid w:val="009B5E3D"/>
    <w:rsid w:val="009B5E4C"/>
    <w:rsid w:val="009B5EA2"/>
    <w:rsid w:val="009B5F47"/>
    <w:rsid w:val="009B5F4A"/>
    <w:rsid w:val="009B5F5C"/>
    <w:rsid w:val="009B5F69"/>
    <w:rsid w:val="009B6009"/>
    <w:rsid w:val="009B614E"/>
    <w:rsid w:val="009B618C"/>
    <w:rsid w:val="009B61F3"/>
    <w:rsid w:val="009B637B"/>
    <w:rsid w:val="009B6382"/>
    <w:rsid w:val="009B63A8"/>
    <w:rsid w:val="009B6417"/>
    <w:rsid w:val="009B6475"/>
    <w:rsid w:val="009B64C5"/>
    <w:rsid w:val="009B65AE"/>
    <w:rsid w:val="009B65B6"/>
    <w:rsid w:val="009B6616"/>
    <w:rsid w:val="009B673F"/>
    <w:rsid w:val="009B67CA"/>
    <w:rsid w:val="009B6812"/>
    <w:rsid w:val="009B6CC4"/>
    <w:rsid w:val="009B6DEB"/>
    <w:rsid w:val="009B6F63"/>
    <w:rsid w:val="009B6FB6"/>
    <w:rsid w:val="009B7066"/>
    <w:rsid w:val="009B7084"/>
    <w:rsid w:val="009B70AE"/>
    <w:rsid w:val="009B70EA"/>
    <w:rsid w:val="009B7280"/>
    <w:rsid w:val="009B72B3"/>
    <w:rsid w:val="009B7385"/>
    <w:rsid w:val="009B7480"/>
    <w:rsid w:val="009B74B1"/>
    <w:rsid w:val="009B7508"/>
    <w:rsid w:val="009B7573"/>
    <w:rsid w:val="009B7580"/>
    <w:rsid w:val="009B75F4"/>
    <w:rsid w:val="009B76B0"/>
    <w:rsid w:val="009B7727"/>
    <w:rsid w:val="009B7764"/>
    <w:rsid w:val="009B779F"/>
    <w:rsid w:val="009B7818"/>
    <w:rsid w:val="009B7832"/>
    <w:rsid w:val="009B78E3"/>
    <w:rsid w:val="009B7982"/>
    <w:rsid w:val="009B799E"/>
    <w:rsid w:val="009B7A9D"/>
    <w:rsid w:val="009B7AC4"/>
    <w:rsid w:val="009B7AF3"/>
    <w:rsid w:val="009B7AF8"/>
    <w:rsid w:val="009B7B3C"/>
    <w:rsid w:val="009B7B72"/>
    <w:rsid w:val="009B7C0F"/>
    <w:rsid w:val="009B7CCB"/>
    <w:rsid w:val="009B7E91"/>
    <w:rsid w:val="009B7E9C"/>
    <w:rsid w:val="009B7FF5"/>
    <w:rsid w:val="009C0069"/>
    <w:rsid w:val="009C01D0"/>
    <w:rsid w:val="009C023D"/>
    <w:rsid w:val="009C0259"/>
    <w:rsid w:val="009C0351"/>
    <w:rsid w:val="009C03AC"/>
    <w:rsid w:val="009C040F"/>
    <w:rsid w:val="009C047D"/>
    <w:rsid w:val="009C059C"/>
    <w:rsid w:val="009C0661"/>
    <w:rsid w:val="009C08A6"/>
    <w:rsid w:val="009C0937"/>
    <w:rsid w:val="009C0AD7"/>
    <w:rsid w:val="009C0B05"/>
    <w:rsid w:val="009C0B13"/>
    <w:rsid w:val="009C0B3B"/>
    <w:rsid w:val="009C0B4E"/>
    <w:rsid w:val="009C0BA2"/>
    <w:rsid w:val="009C0C12"/>
    <w:rsid w:val="009C0DF3"/>
    <w:rsid w:val="009C0E19"/>
    <w:rsid w:val="009C0E43"/>
    <w:rsid w:val="009C0E62"/>
    <w:rsid w:val="009C0EC2"/>
    <w:rsid w:val="009C0F13"/>
    <w:rsid w:val="009C0F33"/>
    <w:rsid w:val="009C0F4A"/>
    <w:rsid w:val="009C0FD4"/>
    <w:rsid w:val="009C1038"/>
    <w:rsid w:val="009C11EE"/>
    <w:rsid w:val="009C11F1"/>
    <w:rsid w:val="009C12AA"/>
    <w:rsid w:val="009C12E0"/>
    <w:rsid w:val="009C131E"/>
    <w:rsid w:val="009C134E"/>
    <w:rsid w:val="009C1449"/>
    <w:rsid w:val="009C14A6"/>
    <w:rsid w:val="009C14FF"/>
    <w:rsid w:val="009C1558"/>
    <w:rsid w:val="009C155F"/>
    <w:rsid w:val="009C15D1"/>
    <w:rsid w:val="009C1646"/>
    <w:rsid w:val="009C1791"/>
    <w:rsid w:val="009C18CE"/>
    <w:rsid w:val="009C18EC"/>
    <w:rsid w:val="009C1955"/>
    <w:rsid w:val="009C19EF"/>
    <w:rsid w:val="009C1ADC"/>
    <w:rsid w:val="009C1C81"/>
    <w:rsid w:val="009C1CA1"/>
    <w:rsid w:val="009C1CC6"/>
    <w:rsid w:val="009C1CCB"/>
    <w:rsid w:val="009C1CD6"/>
    <w:rsid w:val="009C1DC8"/>
    <w:rsid w:val="009C1E04"/>
    <w:rsid w:val="009C1E9C"/>
    <w:rsid w:val="009C1F8C"/>
    <w:rsid w:val="009C1F9F"/>
    <w:rsid w:val="009C2174"/>
    <w:rsid w:val="009C21DA"/>
    <w:rsid w:val="009C223D"/>
    <w:rsid w:val="009C22E1"/>
    <w:rsid w:val="009C22FD"/>
    <w:rsid w:val="009C230B"/>
    <w:rsid w:val="009C2392"/>
    <w:rsid w:val="009C245F"/>
    <w:rsid w:val="009C254F"/>
    <w:rsid w:val="009C25E6"/>
    <w:rsid w:val="009C2604"/>
    <w:rsid w:val="009C260E"/>
    <w:rsid w:val="009C2693"/>
    <w:rsid w:val="009C2707"/>
    <w:rsid w:val="009C2735"/>
    <w:rsid w:val="009C2839"/>
    <w:rsid w:val="009C294B"/>
    <w:rsid w:val="009C29F4"/>
    <w:rsid w:val="009C2AAB"/>
    <w:rsid w:val="009C2B11"/>
    <w:rsid w:val="009C2B5D"/>
    <w:rsid w:val="009C2B72"/>
    <w:rsid w:val="009C2B8E"/>
    <w:rsid w:val="009C2D55"/>
    <w:rsid w:val="009C2DEE"/>
    <w:rsid w:val="009C302D"/>
    <w:rsid w:val="009C30F5"/>
    <w:rsid w:val="009C3165"/>
    <w:rsid w:val="009C3275"/>
    <w:rsid w:val="009C335F"/>
    <w:rsid w:val="009C348C"/>
    <w:rsid w:val="009C34AA"/>
    <w:rsid w:val="009C3587"/>
    <w:rsid w:val="009C35DE"/>
    <w:rsid w:val="009C364B"/>
    <w:rsid w:val="009C3659"/>
    <w:rsid w:val="009C3669"/>
    <w:rsid w:val="009C3677"/>
    <w:rsid w:val="009C3687"/>
    <w:rsid w:val="009C3699"/>
    <w:rsid w:val="009C3761"/>
    <w:rsid w:val="009C391A"/>
    <w:rsid w:val="009C399E"/>
    <w:rsid w:val="009C3A84"/>
    <w:rsid w:val="009C3AAB"/>
    <w:rsid w:val="009C3C2E"/>
    <w:rsid w:val="009C3CF4"/>
    <w:rsid w:val="009C3CFC"/>
    <w:rsid w:val="009C3D71"/>
    <w:rsid w:val="009C3D8A"/>
    <w:rsid w:val="009C3F81"/>
    <w:rsid w:val="009C4009"/>
    <w:rsid w:val="009C4053"/>
    <w:rsid w:val="009C40B4"/>
    <w:rsid w:val="009C40D0"/>
    <w:rsid w:val="009C40F6"/>
    <w:rsid w:val="009C4221"/>
    <w:rsid w:val="009C427B"/>
    <w:rsid w:val="009C441B"/>
    <w:rsid w:val="009C44D9"/>
    <w:rsid w:val="009C4516"/>
    <w:rsid w:val="009C4561"/>
    <w:rsid w:val="009C458A"/>
    <w:rsid w:val="009C45CC"/>
    <w:rsid w:val="009C4653"/>
    <w:rsid w:val="009C468A"/>
    <w:rsid w:val="009C46C0"/>
    <w:rsid w:val="009C4707"/>
    <w:rsid w:val="009C475C"/>
    <w:rsid w:val="009C47A6"/>
    <w:rsid w:val="009C47A7"/>
    <w:rsid w:val="009C4829"/>
    <w:rsid w:val="009C4A71"/>
    <w:rsid w:val="009C4BC3"/>
    <w:rsid w:val="009C4DA0"/>
    <w:rsid w:val="009C4E3F"/>
    <w:rsid w:val="009C4EA7"/>
    <w:rsid w:val="009C4F36"/>
    <w:rsid w:val="009C4FFE"/>
    <w:rsid w:val="009C50B2"/>
    <w:rsid w:val="009C526D"/>
    <w:rsid w:val="009C52CF"/>
    <w:rsid w:val="009C552E"/>
    <w:rsid w:val="009C55BC"/>
    <w:rsid w:val="009C5681"/>
    <w:rsid w:val="009C56BF"/>
    <w:rsid w:val="009C56E2"/>
    <w:rsid w:val="009C574B"/>
    <w:rsid w:val="009C585E"/>
    <w:rsid w:val="009C5A13"/>
    <w:rsid w:val="009C5A2E"/>
    <w:rsid w:val="009C5B3B"/>
    <w:rsid w:val="009C5B74"/>
    <w:rsid w:val="009C5C8C"/>
    <w:rsid w:val="009C5C95"/>
    <w:rsid w:val="009C5D8F"/>
    <w:rsid w:val="009C5DCB"/>
    <w:rsid w:val="009C5E5C"/>
    <w:rsid w:val="009C5E72"/>
    <w:rsid w:val="009C6057"/>
    <w:rsid w:val="009C60D4"/>
    <w:rsid w:val="009C61D8"/>
    <w:rsid w:val="009C625C"/>
    <w:rsid w:val="009C62DC"/>
    <w:rsid w:val="009C62F6"/>
    <w:rsid w:val="009C649F"/>
    <w:rsid w:val="009C652B"/>
    <w:rsid w:val="009C65A4"/>
    <w:rsid w:val="009C66D0"/>
    <w:rsid w:val="009C678E"/>
    <w:rsid w:val="009C6856"/>
    <w:rsid w:val="009C6B28"/>
    <w:rsid w:val="009C6B70"/>
    <w:rsid w:val="009C6D23"/>
    <w:rsid w:val="009C6E65"/>
    <w:rsid w:val="009C6EF7"/>
    <w:rsid w:val="009C6F42"/>
    <w:rsid w:val="009C6F70"/>
    <w:rsid w:val="009C6FA8"/>
    <w:rsid w:val="009C70C2"/>
    <w:rsid w:val="009C70F8"/>
    <w:rsid w:val="009C71EF"/>
    <w:rsid w:val="009C731C"/>
    <w:rsid w:val="009C73CF"/>
    <w:rsid w:val="009C7402"/>
    <w:rsid w:val="009C753C"/>
    <w:rsid w:val="009C7588"/>
    <w:rsid w:val="009C7650"/>
    <w:rsid w:val="009C7692"/>
    <w:rsid w:val="009C76F6"/>
    <w:rsid w:val="009C777C"/>
    <w:rsid w:val="009C7820"/>
    <w:rsid w:val="009C7973"/>
    <w:rsid w:val="009C7A04"/>
    <w:rsid w:val="009C7A14"/>
    <w:rsid w:val="009C7B46"/>
    <w:rsid w:val="009C7C68"/>
    <w:rsid w:val="009C7CEE"/>
    <w:rsid w:val="009C7D3E"/>
    <w:rsid w:val="009C7DFD"/>
    <w:rsid w:val="009C7E10"/>
    <w:rsid w:val="009C7E53"/>
    <w:rsid w:val="009C7F3A"/>
    <w:rsid w:val="009C7F6F"/>
    <w:rsid w:val="009D00F5"/>
    <w:rsid w:val="009D016D"/>
    <w:rsid w:val="009D0199"/>
    <w:rsid w:val="009D01AC"/>
    <w:rsid w:val="009D0233"/>
    <w:rsid w:val="009D0248"/>
    <w:rsid w:val="009D036C"/>
    <w:rsid w:val="009D047C"/>
    <w:rsid w:val="009D0531"/>
    <w:rsid w:val="009D054D"/>
    <w:rsid w:val="009D060E"/>
    <w:rsid w:val="009D0634"/>
    <w:rsid w:val="009D06D2"/>
    <w:rsid w:val="009D07B6"/>
    <w:rsid w:val="009D087C"/>
    <w:rsid w:val="009D08B3"/>
    <w:rsid w:val="009D0975"/>
    <w:rsid w:val="009D09B4"/>
    <w:rsid w:val="009D09CB"/>
    <w:rsid w:val="009D09DF"/>
    <w:rsid w:val="009D0C2D"/>
    <w:rsid w:val="009D0C6D"/>
    <w:rsid w:val="009D0D37"/>
    <w:rsid w:val="009D0EB2"/>
    <w:rsid w:val="009D0F06"/>
    <w:rsid w:val="009D0F92"/>
    <w:rsid w:val="009D0FA1"/>
    <w:rsid w:val="009D0FDD"/>
    <w:rsid w:val="009D1286"/>
    <w:rsid w:val="009D1288"/>
    <w:rsid w:val="009D12C6"/>
    <w:rsid w:val="009D1436"/>
    <w:rsid w:val="009D14EA"/>
    <w:rsid w:val="009D1531"/>
    <w:rsid w:val="009D15BE"/>
    <w:rsid w:val="009D164C"/>
    <w:rsid w:val="009D1670"/>
    <w:rsid w:val="009D179F"/>
    <w:rsid w:val="009D196B"/>
    <w:rsid w:val="009D1999"/>
    <w:rsid w:val="009D19FC"/>
    <w:rsid w:val="009D1A4E"/>
    <w:rsid w:val="009D1C05"/>
    <w:rsid w:val="009D1C36"/>
    <w:rsid w:val="009D1C49"/>
    <w:rsid w:val="009D1C7E"/>
    <w:rsid w:val="009D1CDF"/>
    <w:rsid w:val="009D1E18"/>
    <w:rsid w:val="009D1F34"/>
    <w:rsid w:val="009D1F6F"/>
    <w:rsid w:val="009D1FA3"/>
    <w:rsid w:val="009D21C0"/>
    <w:rsid w:val="009D2322"/>
    <w:rsid w:val="009D2349"/>
    <w:rsid w:val="009D234A"/>
    <w:rsid w:val="009D23C3"/>
    <w:rsid w:val="009D240F"/>
    <w:rsid w:val="009D2435"/>
    <w:rsid w:val="009D2568"/>
    <w:rsid w:val="009D25C7"/>
    <w:rsid w:val="009D25E8"/>
    <w:rsid w:val="009D2629"/>
    <w:rsid w:val="009D26D2"/>
    <w:rsid w:val="009D274C"/>
    <w:rsid w:val="009D27C6"/>
    <w:rsid w:val="009D27CA"/>
    <w:rsid w:val="009D28EC"/>
    <w:rsid w:val="009D2A55"/>
    <w:rsid w:val="009D2B11"/>
    <w:rsid w:val="009D2C1C"/>
    <w:rsid w:val="009D2C43"/>
    <w:rsid w:val="009D2CA5"/>
    <w:rsid w:val="009D2D5C"/>
    <w:rsid w:val="009D2DD5"/>
    <w:rsid w:val="009D2E43"/>
    <w:rsid w:val="009D2EA4"/>
    <w:rsid w:val="009D2F0B"/>
    <w:rsid w:val="009D2F5C"/>
    <w:rsid w:val="009D2FD1"/>
    <w:rsid w:val="009D319D"/>
    <w:rsid w:val="009D3286"/>
    <w:rsid w:val="009D32BC"/>
    <w:rsid w:val="009D32FF"/>
    <w:rsid w:val="009D3315"/>
    <w:rsid w:val="009D338F"/>
    <w:rsid w:val="009D3512"/>
    <w:rsid w:val="009D3519"/>
    <w:rsid w:val="009D3523"/>
    <w:rsid w:val="009D3529"/>
    <w:rsid w:val="009D3636"/>
    <w:rsid w:val="009D368B"/>
    <w:rsid w:val="009D3691"/>
    <w:rsid w:val="009D3894"/>
    <w:rsid w:val="009D3A15"/>
    <w:rsid w:val="009D3A5C"/>
    <w:rsid w:val="009D3AC2"/>
    <w:rsid w:val="009D3B41"/>
    <w:rsid w:val="009D3B5F"/>
    <w:rsid w:val="009D3B62"/>
    <w:rsid w:val="009D3BC6"/>
    <w:rsid w:val="009D3C9B"/>
    <w:rsid w:val="009D3D52"/>
    <w:rsid w:val="009D3D9F"/>
    <w:rsid w:val="009D3EA3"/>
    <w:rsid w:val="009D3F13"/>
    <w:rsid w:val="009D3F1E"/>
    <w:rsid w:val="009D3FC0"/>
    <w:rsid w:val="009D4014"/>
    <w:rsid w:val="009D42C0"/>
    <w:rsid w:val="009D433E"/>
    <w:rsid w:val="009D434C"/>
    <w:rsid w:val="009D43A6"/>
    <w:rsid w:val="009D43EE"/>
    <w:rsid w:val="009D4460"/>
    <w:rsid w:val="009D4462"/>
    <w:rsid w:val="009D4512"/>
    <w:rsid w:val="009D4516"/>
    <w:rsid w:val="009D451D"/>
    <w:rsid w:val="009D47F2"/>
    <w:rsid w:val="009D48D8"/>
    <w:rsid w:val="009D4947"/>
    <w:rsid w:val="009D4AAB"/>
    <w:rsid w:val="009D4B51"/>
    <w:rsid w:val="009D4CA1"/>
    <w:rsid w:val="009D4D44"/>
    <w:rsid w:val="009D4F27"/>
    <w:rsid w:val="009D4F28"/>
    <w:rsid w:val="009D4F5A"/>
    <w:rsid w:val="009D4FE4"/>
    <w:rsid w:val="009D4FF4"/>
    <w:rsid w:val="009D5034"/>
    <w:rsid w:val="009D50F4"/>
    <w:rsid w:val="009D5116"/>
    <w:rsid w:val="009D52E9"/>
    <w:rsid w:val="009D5301"/>
    <w:rsid w:val="009D53AD"/>
    <w:rsid w:val="009D5432"/>
    <w:rsid w:val="009D5503"/>
    <w:rsid w:val="009D5724"/>
    <w:rsid w:val="009D580F"/>
    <w:rsid w:val="009D5AFA"/>
    <w:rsid w:val="009D5B42"/>
    <w:rsid w:val="009D5B72"/>
    <w:rsid w:val="009D5D71"/>
    <w:rsid w:val="009D5D85"/>
    <w:rsid w:val="009D5E39"/>
    <w:rsid w:val="009D5E5F"/>
    <w:rsid w:val="009D6001"/>
    <w:rsid w:val="009D60FC"/>
    <w:rsid w:val="009D612D"/>
    <w:rsid w:val="009D6139"/>
    <w:rsid w:val="009D6192"/>
    <w:rsid w:val="009D61A8"/>
    <w:rsid w:val="009D6303"/>
    <w:rsid w:val="009D6385"/>
    <w:rsid w:val="009D63F3"/>
    <w:rsid w:val="009D649C"/>
    <w:rsid w:val="009D6602"/>
    <w:rsid w:val="009D690D"/>
    <w:rsid w:val="009D6948"/>
    <w:rsid w:val="009D69A4"/>
    <w:rsid w:val="009D6A88"/>
    <w:rsid w:val="009D6AD4"/>
    <w:rsid w:val="009D6B68"/>
    <w:rsid w:val="009D6B8C"/>
    <w:rsid w:val="009D6C20"/>
    <w:rsid w:val="009D6C65"/>
    <w:rsid w:val="009D6CCA"/>
    <w:rsid w:val="009D6E2F"/>
    <w:rsid w:val="009D6F43"/>
    <w:rsid w:val="009D705B"/>
    <w:rsid w:val="009D7079"/>
    <w:rsid w:val="009D71B4"/>
    <w:rsid w:val="009D71DC"/>
    <w:rsid w:val="009D733A"/>
    <w:rsid w:val="009D7349"/>
    <w:rsid w:val="009D7372"/>
    <w:rsid w:val="009D737A"/>
    <w:rsid w:val="009D73A9"/>
    <w:rsid w:val="009D73AE"/>
    <w:rsid w:val="009D73D1"/>
    <w:rsid w:val="009D73EC"/>
    <w:rsid w:val="009D7465"/>
    <w:rsid w:val="009D74DE"/>
    <w:rsid w:val="009D7541"/>
    <w:rsid w:val="009D763B"/>
    <w:rsid w:val="009D76A3"/>
    <w:rsid w:val="009D76B3"/>
    <w:rsid w:val="009D76BE"/>
    <w:rsid w:val="009D7702"/>
    <w:rsid w:val="009D7775"/>
    <w:rsid w:val="009D7782"/>
    <w:rsid w:val="009D77CE"/>
    <w:rsid w:val="009D7983"/>
    <w:rsid w:val="009D7A0E"/>
    <w:rsid w:val="009D7A12"/>
    <w:rsid w:val="009D7A35"/>
    <w:rsid w:val="009D7A4D"/>
    <w:rsid w:val="009D7AB3"/>
    <w:rsid w:val="009D7C84"/>
    <w:rsid w:val="009D7C8B"/>
    <w:rsid w:val="009D7CAC"/>
    <w:rsid w:val="009D7EAD"/>
    <w:rsid w:val="009E0023"/>
    <w:rsid w:val="009E0105"/>
    <w:rsid w:val="009E01C7"/>
    <w:rsid w:val="009E0271"/>
    <w:rsid w:val="009E02AA"/>
    <w:rsid w:val="009E035B"/>
    <w:rsid w:val="009E0439"/>
    <w:rsid w:val="009E049F"/>
    <w:rsid w:val="009E04D0"/>
    <w:rsid w:val="009E04EB"/>
    <w:rsid w:val="009E0600"/>
    <w:rsid w:val="009E071A"/>
    <w:rsid w:val="009E0847"/>
    <w:rsid w:val="009E0945"/>
    <w:rsid w:val="009E0B37"/>
    <w:rsid w:val="009E0D39"/>
    <w:rsid w:val="009E0EA8"/>
    <w:rsid w:val="009E0F0A"/>
    <w:rsid w:val="009E0FCC"/>
    <w:rsid w:val="009E1079"/>
    <w:rsid w:val="009E10AB"/>
    <w:rsid w:val="009E10AD"/>
    <w:rsid w:val="009E10B9"/>
    <w:rsid w:val="009E1180"/>
    <w:rsid w:val="009E120C"/>
    <w:rsid w:val="009E124C"/>
    <w:rsid w:val="009E128E"/>
    <w:rsid w:val="009E12A7"/>
    <w:rsid w:val="009E130B"/>
    <w:rsid w:val="009E1384"/>
    <w:rsid w:val="009E1386"/>
    <w:rsid w:val="009E1451"/>
    <w:rsid w:val="009E14BD"/>
    <w:rsid w:val="009E15E6"/>
    <w:rsid w:val="009E16C1"/>
    <w:rsid w:val="009E16DF"/>
    <w:rsid w:val="009E175F"/>
    <w:rsid w:val="009E1789"/>
    <w:rsid w:val="009E1791"/>
    <w:rsid w:val="009E179E"/>
    <w:rsid w:val="009E17E8"/>
    <w:rsid w:val="009E18FC"/>
    <w:rsid w:val="009E191F"/>
    <w:rsid w:val="009E19AA"/>
    <w:rsid w:val="009E1ACD"/>
    <w:rsid w:val="009E1B15"/>
    <w:rsid w:val="009E1B50"/>
    <w:rsid w:val="009E1C08"/>
    <w:rsid w:val="009E1C32"/>
    <w:rsid w:val="009E1C66"/>
    <w:rsid w:val="009E1C68"/>
    <w:rsid w:val="009E1D3E"/>
    <w:rsid w:val="009E1E2A"/>
    <w:rsid w:val="009E1E7A"/>
    <w:rsid w:val="009E1EFD"/>
    <w:rsid w:val="009E1FF9"/>
    <w:rsid w:val="009E2076"/>
    <w:rsid w:val="009E208B"/>
    <w:rsid w:val="009E20C4"/>
    <w:rsid w:val="009E20DE"/>
    <w:rsid w:val="009E214C"/>
    <w:rsid w:val="009E21A0"/>
    <w:rsid w:val="009E21F2"/>
    <w:rsid w:val="009E221F"/>
    <w:rsid w:val="009E235F"/>
    <w:rsid w:val="009E24C8"/>
    <w:rsid w:val="009E251E"/>
    <w:rsid w:val="009E25A2"/>
    <w:rsid w:val="009E25CB"/>
    <w:rsid w:val="009E25D5"/>
    <w:rsid w:val="009E2688"/>
    <w:rsid w:val="009E2736"/>
    <w:rsid w:val="009E275E"/>
    <w:rsid w:val="009E27FE"/>
    <w:rsid w:val="009E2846"/>
    <w:rsid w:val="009E286B"/>
    <w:rsid w:val="009E28C8"/>
    <w:rsid w:val="009E2925"/>
    <w:rsid w:val="009E29C1"/>
    <w:rsid w:val="009E2A41"/>
    <w:rsid w:val="009E2B63"/>
    <w:rsid w:val="009E2C3E"/>
    <w:rsid w:val="009E2DB6"/>
    <w:rsid w:val="009E2E58"/>
    <w:rsid w:val="009E2F19"/>
    <w:rsid w:val="009E30C7"/>
    <w:rsid w:val="009E3115"/>
    <w:rsid w:val="009E31FE"/>
    <w:rsid w:val="009E321A"/>
    <w:rsid w:val="009E32F1"/>
    <w:rsid w:val="009E33A4"/>
    <w:rsid w:val="009E33B7"/>
    <w:rsid w:val="009E3478"/>
    <w:rsid w:val="009E353C"/>
    <w:rsid w:val="009E3782"/>
    <w:rsid w:val="009E3824"/>
    <w:rsid w:val="009E3971"/>
    <w:rsid w:val="009E39C5"/>
    <w:rsid w:val="009E39DC"/>
    <w:rsid w:val="009E3A2D"/>
    <w:rsid w:val="009E3BC5"/>
    <w:rsid w:val="009E3CD3"/>
    <w:rsid w:val="009E3DD5"/>
    <w:rsid w:val="009E3E9C"/>
    <w:rsid w:val="009E3E9D"/>
    <w:rsid w:val="009E3ED1"/>
    <w:rsid w:val="009E3EEA"/>
    <w:rsid w:val="009E3F51"/>
    <w:rsid w:val="009E3F5D"/>
    <w:rsid w:val="009E3F8F"/>
    <w:rsid w:val="009E4012"/>
    <w:rsid w:val="009E414B"/>
    <w:rsid w:val="009E4370"/>
    <w:rsid w:val="009E43EB"/>
    <w:rsid w:val="009E4422"/>
    <w:rsid w:val="009E44E2"/>
    <w:rsid w:val="009E4519"/>
    <w:rsid w:val="009E454B"/>
    <w:rsid w:val="009E4574"/>
    <w:rsid w:val="009E4613"/>
    <w:rsid w:val="009E4635"/>
    <w:rsid w:val="009E464C"/>
    <w:rsid w:val="009E4811"/>
    <w:rsid w:val="009E48C6"/>
    <w:rsid w:val="009E48F0"/>
    <w:rsid w:val="009E4923"/>
    <w:rsid w:val="009E496D"/>
    <w:rsid w:val="009E4975"/>
    <w:rsid w:val="009E4A05"/>
    <w:rsid w:val="009E4A39"/>
    <w:rsid w:val="009E4A75"/>
    <w:rsid w:val="009E4AAE"/>
    <w:rsid w:val="009E4B52"/>
    <w:rsid w:val="009E4C43"/>
    <w:rsid w:val="009E4D51"/>
    <w:rsid w:val="009E4D9E"/>
    <w:rsid w:val="009E4DA6"/>
    <w:rsid w:val="009E4E06"/>
    <w:rsid w:val="009E4F45"/>
    <w:rsid w:val="009E4FDF"/>
    <w:rsid w:val="009E5054"/>
    <w:rsid w:val="009E5093"/>
    <w:rsid w:val="009E512E"/>
    <w:rsid w:val="009E5242"/>
    <w:rsid w:val="009E524A"/>
    <w:rsid w:val="009E52F3"/>
    <w:rsid w:val="009E5433"/>
    <w:rsid w:val="009E55B4"/>
    <w:rsid w:val="009E55D0"/>
    <w:rsid w:val="009E563E"/>
    <w:rsid w:val="009E566F"/>
    <w:rsid w:val="009E5716"/>
    <w:rsid w:val="009E5791"/>
    <w:rsid w:val="009E583E"/>
    <w:rsid w:val="009E59BA"/>
    <w:rsid w:val="009E59DC"/>
    <w:rsid w:val="009E5A74"/>
    <w:rsid w:val="009E5A99"/>
    <w:rsid w:val="009E5B35"/>
    <w:rsid w:val="009E5CAC"/>
    <w:rsid w:val="009E5CCA"/>
    <w:rsid w:val="009E5DDF"/>
    <w:rsid w:val="009E5E22"/>
    <w:rsid w:val="009E5E6B"/>
    <w:rsid w:val="009E5EC4"/>
    <w:rsid w:val="009E5F67"/>
    <w:rsid w:val="009E61BC"/>
    <w:rsid w:val="009E6220"/>
    <w:rsid w:val="009E62A9"/>
    <w:rsid w:val="009E6380"/>
    <w:rsid w:val="009E641A"/>
    <w:rsid w:val="009E6448"/>
    <w:rsid w:val="009E660B"/>
    <w:rsid w:val="009E691B"/>
    <w:rsid w:val="009E6928"/>
    <w:rsid w:val="009E6951"/>
    <w:rsid w:val="009E69D1"/>
    <w:rsid w:val="009E6A79"/>
    <w:rsid w:val="009E6A91"/>
    <w:rsid w:val="009E6B31"/>
    <w:rsid w:val="009E6BBF"/>
    <w:rsid w:val="009E6C19"/>
    <w:rsid w:val="009E6DE0"/>
    <w:rsid w:val="009E6DFE"/>
    <w:rsid w:val="009E6E09"/>
    <w:rsid w:val="009E6E17"/>
    <w:rsid w:val="009E6E43"/>
    <w:rsid w:val="009E6E75"/>
    <w:rsid w:val="009E6E9F"/>
    <w:rsid w:val="009E6EBE"/>
    <w:rsid w:val="009E7001"/>
    <w:rsid w:val="009E705D"/>
    <w:rsid w:val="009E706D"/>
    <w:rsid w:val="009E721A"/>
    <w:rsid w:val="009E7234"/>
    <w:rsid w:val="009E72BF"/>
    <w:rsid w:val="009E7342"/>
    <w:rsid w:val="009E739D"/>
    <w:rsid w:val="009E73ED"/>
    <w:rsid w:val="009E75B4"/>
    <w:rsid w:val="009E7730"/>
    <w:rsid w:val="009E782A"/>
    <w:rsid w:val="009E7960"/>
    <w:rsid w:val="009E7A07"/>
    <w:rsid w:val="009E7AF8"/>
    <w:rsid w:val="009E7B19"/>
    <w:rsid w:val="009E7B57"/>
    <w:rsid w:val="009E7C60"/>
    <w:rsid w:val="009E7D38"/>
    <w:rsid w:val="009E7DB3"/>
    <w:rsid w:val="009E7DB7"/>
    <w:rsid w:val="009E7E33"/>
    <w:rsid w:val="009E7ECD"/>
    <w:rsid w:val="009E7F15"/>
    <w:rsid w:val="009F000E"/>
    <w:rsid w:val="009F0054"/>
    <w:rsid w:val="009F0060"/>
    <w:rsid w:val="009F0153"/>
    <w:rsid w:val="009F018D"/>
    <w:rsid w:val="009F01B1"/>
    <w:rsid w:val="009F028D"/>
    <w:rsid w:val="009F0364"/>
    <w:rsid w:val="009F0376"/>
    <w:rsid w:val="009F03F7"/>
    <w:rsid w:val="009F0497"/>
    <w:rsid w:val="009F049B"/>
    <w:rsid w:val="009F0568"/>
    <w:rsid w:val="009F0642"/>
    <w:rsid w:val="009F0662"/>
    <w:rsid w:val="009F0668"/>
    <w:rsid w:val="009F0692"/>
    <w:rsid w:val="009F06FC"/>
    <w:rsid w:val="009F0700"/>
    <w:rsid w:val="009F073B"/>
    <w:rsid w:val="009F073D"/>
    <w:rsid w:val="009F082B"/>
    <w:rsid w:val="009F08E7"/>
    <w:rsid w:val="009F0909"/>
    <w:rsid w:val="009F0AD9"/>
    <w:rsid w:val="009F0BEF"/>
    <w:rsid w:val="009F0D45"/>
    <w:rsid w:val="009F0E1A"/>
    <w:rsid w:val="009F0E24"/>
    <w:rsid w:val="009F0E3F"/>
    <w:rsid w:val="009F0EEE"/>
    <w:rsid w:val="009F0EFD"/>
    <w:rsid w:val="009F0FB5"/>
    <w:rsid w:val="009F1017"/>
    <w:rsid w:val="009F10E0"/>
    <w:rsid w:val="009F12CD"/>
    <w:rsid w:val="009F138D"/>
    <w:rsid w:val="009F15DD"/>
    <w:rsid w:val="009F1651"/>
    <w:rsid w:val="009F16DF"/>
    <w:rsid w:val="009F174C"/>
    <w:rsid w:val="009F180B"/>
    <w:rsid w:val="009F18FB"/>
    <w:rsid w:val="009F1A4A"/>
    <w:rsid w:val="009F1B3A"/>
    <w:rsid w:val="009F1C03"/>
    <w:rsid w:val="009F1CC9"/>
    <w:rsid w:val="009F1D2A"/>
    <w:rsid w:val="009F1DB8"/>
    <w:rsid w:val="009F1E2F"/>
    <w:rsid w:val="009F1E7F"/>
    <w:rsid w:val="009F1EB5"/>
    <w:rsid w:val="009F1F01"/>
    <w:rsid w:val="009F1FDA"/>
    <w:rsid w:val="009F2027"/>
    <w:rsid w:val="009F2095"/>
    <w:rsid w:val="009F2109"/>
    <w:rsid w:val="009F2206"/>
    <w:rsid w:val="009F22A4"/>
    <w:rsid w:val="009F2368"/>
    <w:rsid w:val="009F23BA"/>
    <w:rsid w:val="009F23FB"/>
    <w:rsid w:val="009F241B"/>
    <w:rsid w:val="009F2433"/>
    <w:rsid w:val="009F24F3"/>
    <w:rsid w:val="009F25BA"/>
    <w:rsid w:val="009F2623"/>
    <w:rsid w:val="009F278A"/>
    <w:rsid w:val="009F28B9"/>
    <w:rsid w:val="009F28E9"/>
    <w:rsid w:val="009F291D"/>
    <w:rsid w:val="009F2A99"/>
    <w:rsid w:val="009F2B5A"/>
    <w:rsid w:val="009F2B66"/>
    <w:rsid w:val="009F2BA1"/>
    <w:rsid w:val="009F2BA4"/>
    <w:rsid w:val="009F2D55"/>
    <w:rsid w:val="009F2DCB"/>
    <w:rsid w:val="009F2E8A"/>
    <w:rsid w:val="009F2E8B"/>
    <w:rsid w:val="009F2F2C"/>
    <w:rsid w:val="009F2FEE"/>
    <w:rsid w:val="009F305E"/>
    <w:rsid w:val="009F306F"/>
    <w:rsid w:val="009F30AE"/>
    <w:rsid w:val="009F3102"/>
    <w:rsid w:val="009F3150"/>
    <w:rsid w:val="009F31A1"/>
    <w:rsid w:val="009F3239"/>
    <w:rsid w:val="009F332B"/>
    <w:rsid w:val="009F3380"/>
    <w:rsid w:val="009F339D"/>
    <w:rsid w:val="009F3460"/>
    <w:rsid w:val="009F3494"/>
    <w:rsid w:val="009F356E"/>
    <w:rsid w:val="009F3777"/>
    <w:rsid w:val="009F37F6"/>
    <w:rsid w:val="009F3859"/>
    <w:rsid w:val="009F3888"/>
    <w:rsid w:val="009F3891"/>
    <w:rsid w:val="009F38AD"/>
    <w:rsid w:val="009F3916"/>
    <w:rsid w:val="009F3979"/>
    <w:rsid w:val="009F39B0"/>
    <w:rsid w:val="009F3A4F"/>
    <w:rsid w:val="009F3DE4"/>
    <w:rsid w:val="009F3ED3"/>
    <w:rsid w:val="009F3FF6"/>
    <w:rsid w:val="009F404D"/>
    <w:rsid w:val="009F408B"/>
    <w:rsid w:val="009F40A0"/>
    <w:rsid w:val="009F40D7"/>
    <w:rsid w:val="009F4129"/>
    <w:rsid w:val="009F412D"/>
    <w:rsid w:val="009F414B"/>
    <w:rsid w:val="009F4157"/>
    <w:rsid w:val="009F41B4"/>
    <w:rsid w:val="009F4223"/>
    <w:rsid w:val="009F4268"/>
    <w:rsid w:val="009F4273"/>
    <w:rsid w:val="009F42A7"/>
    <w:rsid w:val="009F4345"/>
    <w:rsid w:val="009F4400"/>
    <w:rsid w:val="009F442B"/>
    <w:rsid w:val="009F44BA"/>
    <w:rsid w:val="009F4528"/>
    <w:rsid w:val="009F4563"/>
    <w:rsid w:val="009F4598"/>
    <w:rsid w:val="009F4732"/>
    <w:rsid w:val="009F4806"/>
    <w:rsid w:val="009F4928"/>
    <w:rsid w:val="009F4987"/>
    <w:rsid w:val="009F4AE7"/>
    <w:rsid w:val="009F4DB1"/>
    <w:rsid w:val="009F4E4F"/>
    <w:rsid w:val="009F4E53"/>
    <w:rsid w:val="009F4EF0"/>
    <w:rsid w:val="009F4FC5"/>
    <w:rsid w:val="009F4FDF"/>
    <w:rsid w:val="009F5049"/>
    <w:rsid w:val="009F51DB"/>
    <w:rsid w:val="009F53AC"/>
    <w:rsid w:val="009F5474"/>
    <w:rsid w:val="009F57A4"/>
    <w:rsid w:val="009F58A6"/>
    <w:rsid w:val="009F5A4F"/>
    <w:rsid w:val="009F5A91"/>
    <w:rsid w:val="009F5B54"/>
    <w:rsid w:val="009F5BB7"/>
    <w:rsid w:val="009F5BF6"/>
    <w:rsid w:val="009F5C3B"/>
    <w:rsid w:val="009F5CC3"/>
    <w:rsid w:val="009F5DCB"/>
    <w:rsid w:val="009F5E54"/>
    <w:rsid w:val="009F5E55"/>
    <w:rsid w:val="009F5EAA"/>
    <w:rsid w:val="009F5EB2"/>
    <w:rsid w:val="009F5F5D"/>
    <w:rsid w:val="009F5F9F"/>
    <w:rsid w:val="009F5FC6"/>
    <w:rsid w:val="009F5FCA"/>
    <w:rsid w:val="009F5FDB"/>
    <w:rsid w:val="009F6088"/>
    <w:rsid w:val="009F60A9"/>
    <w:rsid w:val="009F60D5"/>
    <w:rsid w:val="009F60E5"/>
    <w:rsid w:val="009F613F"/>
    <w:rsid w:val="009F6166"/>
    <w:rsid w:val="009F625B"/>
    <w:rsid w:val="009F630D"/>
    <w:rsid w:val="009F6356"/>
    <w:rsid w:val="009F6367"/>
    <w:rsid w:val="009F637B"/>
    <w:rsid w:val="009F63A3"/>
    <w:rsid w:val="009F6428"/>
    <w:rsid w:val="009F643F"/>
    <w:rsid w:val="009F66C9"/>
    <w:rsid w:val="009F6840"/>
    <w:rsid w:val="009F6918"/>
    <w:rsid w:val="009F69D3"/>
    <w:rsid w:val="009F6A82"/>
    <w:rsid w:val="009F6BC8"/>
    <w:rsid w:val="009F6BFA"/>
    <w:rsid w:val="009F6C67"/>
    <w:rsid w:val="009F6CFF"/>
    <w:rsid w:val="009F6D17"/>
    <w:rsid w:val="009F6D6F"/>
    <w:rsid w:val="009F6DCA"/>
    <w:rsid w:val="009F6E27"/>
    <w:rsid w:val="009F6E40"/>
    <w:rsid w:val="009F6F62"/>
    <w:rsid w:val="009F705F"/>
    <w:rsid w:val="009F7091"/>
    <w:rsid w:val="009F70DA"/>
    <w:rsid w:val="009F7230"/>
    <w:rsid w:val="009F736E"/>
    <w:rsid w:val="009F748C"/>
    <w:rsid w:val="009F74BB"/>
    <w:rsid w:val="009F74E5"/>
    <w:rsid w:val="009F7657"/>
    <w:rsid w:val="009F77C9"/>
    <w:rsid w:val="009F7838"/>
    <w:rsid w:val="009F783F"/>
    <w:rsid w:val="009F7856"/>
    <w:rsid w:val="009F78D0"/>
    <w:rsid w:val="009F7991"/>
    <w:rsid w:val="009F7ADA"/>
    <w:rsid w:val="009F7B89"/>
    <w:rsid w:val="009F7C23"/>
    <w:rsid w:val="009F7E2F"/>
    <w:rsid w:val="009F7E9C"/>
    <w:rsid w:val="009F7F6C"/>
    <w:rsid w:val="009F7FA1"/>
    <w:rsid w:val="00A004B4"/>
    <w:rsid w:val="00A0054E"/>
    <w:rsid w:val="00A00551"/>
    <w:rsid w:val="00A0058E"/>
    <w:rsid w:val="00A00593"/>
    <w:rsid w:val="00A00802"/>
    <w:rsid w:val="00A0087E"/>
    <w:rsid w:val="00A008B7"/>
    <w:rsid w:val="00A00931"/>
    <w:rsid w:val="00A00A8F"/>
    <w:rsid w:val="00A00B2B"/>
    <w:rsid w:val="00A00B62"/>
    <w:rsid w:val="00A00C70"/>
    <w:rsid w:val="00A00CF9"/>
    <w:rsid w:val="00A00D21"/>
    <w:rsid w:val="00A00D7F"/>
    <w:rsid w:val="00A00DE7"/>
    <w:rsid w:val="00A00EAA"/>
    <w:rsid w:val="00A00F55"/>
    <w:rsid w:val="00A00FBF"/>
    <w:rsid w:val="00A00FEF"/>
    <w:rsid w:val="00A01034"/>
    <w:rsid w:val="00A0114E"/>
    <w:rsid w:val="00A01187"/>
    <w:rsid w:val="00A01272"/>
    <w:rsid w:val="00A012F0"/>
    <w:rsid w:val="00A01360"/>
    <w:rsid w:val="00A01430"/>
    <w:rsid w:val="00A0156A"/>
    <w:rsid w:val="00A01654"/>
    <w:rsid w:val="00A016CB"/>
    <w:rsid w:val="00A016F2"/>
    <w:rsid w:val="00A01778"/>
    <w:rsid w:val="00A0178C"/>
    <w:rsid w:val="00A01883"/>
    <w:rsid w:val="00A0189D"/>
    <w:rsid w:val="00A01902"/>
    <w:rsid w:val="00A01A33"/>
    <w:rsid w:val="00A01A36"/>
    <w:rsid w:val="00A01BCD"/>
    <w:rsid w:val="00A01C8B"/>
    <w:rsid w:val="00A01CF2"/>
    <w:rsid w:val="00A01D1C"/>
    <w:rsid w:val="00A01D25"/>
    <w:rsid w:val="00A01D51"/>
    <w:rsid w:val="00A01FD8"/>
    <w:rsid w:val="00A0212C"/>
    <w:rsid w:val="00A02199"/>
    <w:rsid w:val="00A021D5"/>
    <w:rsid w:val="00A02257"/>
    <w:rsid w:val="00A022E4"/>
    <w:rsid w:val="00A023BD"/>
    <w:rsid w:val="00A02537"/>
    <w:rsid w:val="00A02640"/>
    <w:rsid w:val="00A02648"/>
    <w:rsid w:val="00A02652"/>
    <w:rsid w:val="00A02700"/>
    <w:rsid w:val="00A027A1"/>
    <w:rsid w:val="00A02968"/>
    <w:rsid w:val="00A0297D"/>
    <w:rsid w:val="00A029D1"/>
    <w:rsid w:val="00A02A1A"/>
    <w:rsid w:val="00A02A75"/>
    <w:rsid w:val="00A02A83"/>
    <w:rsid w:val="00A02B84"/>
    <w:rsid w:val="00A02BD4"/>
    <w:rsid w:val="00A02C97"/>
    <w:rsid w:val="00A02D80"/>
    <w:rsid w:val="00A02E4B"/>
    <w:rsid w:val="00A02EB9"/>
    <w:rsid w:val="00A02FBF"/>
    <w:rsid w:val="00A03045"/>
    <w:rsid w:val="00A0305D"/>
    <w:rsid w:val="00A0312F"/>
    <w:rsid w:val="00A032F9"/>
    <w:rsid w:val="00A03327"/>
    <w:rsid w:val="00A03331"/>
    <w:rsid w:val="00A03389"/>
    <w:rsid w:val="00A033D2"/>
    <w:rsid w:val="00A03418"/>
    <w:rsid w:val="00A035E9"/>
    <w:rsid w:val="00A036AB"/>
    <w:rsid w:val="00A037A1"/>
    <w:rsid w:val="00A037A7"/>
    <w:rsid w:val="00A03806"/>
    <w:rsid w:val="00A03862"/>
    <w:rsid w:val="00A03892"/>
    <w:rsid w:val="00A03944"/>
    <w:rsid w:val="00A0394D"/>
    <w:rsid w:val="00A03CBF"/>
    <w:rsid w:val="00A03CF6"/>
    <w:rsid w:val="00A03D6F"/>
    <w:rsid w:val="00A03EEB"/>
    <w:rsid w:val="00A03F43"/>
    <w:rsid w:val="00A03F97"/>
    <w:rsid w:val="00A04239"/>
    <w:rsid w:val="00A04294"/>
    <w:rsid w:val="00A042E0"/>
    <w:rsid w:val="00A0430E"/>
    <w:rsid w:val="00A0456A"/>
    <w:rsid w:val="00A045FE"/>
    <w:rsid w:val="00A0460D"/>
    <w:rsid w:val="00A046C7"/>
    <w:rsid w:val="00A04716"/>
    <w:rsid w:val="00A04725"/>
    <w:rsid w:val="00A047C4"/>
    <w:rsid w:val="00A048DD"/>
    <w:rsid w:val="00A0496E"/>
    <w:rsid w:val="00A04AFE"/>
    <w:rsid w:val="00A04BB9"/>
    <w:rsid w:val="00A04C90"/>
    <w:rsid w:val="00A04CBD"/>
    <w:rsid w:val="00A04CE7"/>
    <w:rsid w:val="00A04E40"/>
    <w:rsid w:val="00A04E95"/>
    <w:rsid w:val="00A0509A"/>
    <w:rsid w:val="00A05275"/>
    <w:rsid w:val="00A054F8"/>
    <w:rsid w:val="00A05524"/>
    <w:rsid w:val="00A05537"/>
    <w:rsid w:val="00A0567A"/>
    <w:rsid w:val="00A0577B"/>
    <w:rsid w:val="00A05903"/>
    <w:rsid w:val="00A0597B"/>
    <w:rsid w:val="00A05A6F"/>
    <w:rsid w:val="00A05B18"/>
    <w:rsid w:val="00A05BC4"/>
    <w:rsid w:val="00A05CBF"/>
    <w:rsid w:val="00A05D08"/>
    <w:rsid w:val="00A05DB9"/>
    <w:rsid w:val="00A05E45"/>
    <w:rsid w:val="00A05EF6"/>
    <w:rsid w:val="00A05F27"/>
    <w:rsid w:val="00A06069"/>
    <w:rsid w:val="00A062A0"/>
    <w:rsid w:val="00A0630A"/>
    <w:rsid w:val="00A063ED"/>
    <w:rsid w:val="00A0645D"/>
    <w:rsid w:val="00A06545"/>
    <w:rsid w:val="00A066A6"/>
    <w:rsid w:val="00A067CE"/>
    <w:rsid w:val="00A067DA"/>
    <w:rsid w:val="00A067E6"/>
    <w:rsid w:val="00A06A8E"/>
    <w:rsid w:val="00A06AF6"/>
    <w:rsid w:val="00A06BCA"/>
    <w:rsid w:val="00A06BD0"/>
    <w:rsid w:val="00A06C83"/>
    <w:rsid w:val="00A06CB9"/>
    <w:rsid w:val="00A06CC3"/>
    <w:rsid w:val="00A06CD8"/>
    <w:rsid w:val="00A06D75"/>
    <w:rsid w:val="00A06EB1"/>
    <w:rsid w:val="00A06ED6"/>
    <w:rsid w:val="00A0700B"/>
    <w:rsid w:val="00A07035"/>
    <w:rsid w:val="00A070A7"/>
    <w:rsid w:val="00A071B0"/>
    <w:rsid w:val="00A071C7"/>
    <w:rsid w:val="00A0722E"/>
    <w:rsid w:val="00A07288"/>
    <w:rsid w:val="00A07293"/>
    <w:rsid w:val="00A07339"/>
    <w:rsid w:val="00A0738C"/>
    <w:rsid w:val="00A073C2"/>
    <w:rsid w:val="00A074B0"/>
    <w:rsid w:val="00A074F2"/>
    <w:rsid w:val="00A07508"/>
    <w:rsid w:val="00A07521"/>
    <w:rsid w:val="00A07522"/>
    <w:rsid w:val="00A07624"/>
    <w:rsid w:val="00A0767D"/>
    <w:rsid w:val="00A07770"/>
    <w:rsid w:val="00A07836"/>
    <w:rsid w:val="00A07973"/>
    <w:rsid w:val="00A07A0E"/>
    <w:rsid w:val="00A07A51"/>
    <w:rsid w:val="00A07A70"/>
    <w:rsid w:val="00A07BE4"/>
    <w:rsid w:val="00A07BF0"/>
    <w:rsid w:val="00A07CE8"/>
    <w:rsid w:val="00A07D38"/>
    <w:rsid w:val="00A07D45"/>
    <w:rsid w:val="00A07DA7"/>
    <w:rsid w:val="00A07DFB"/>
    <w:rsid w:val="00A07E24"/>
    <w:rsid w:val="00A07F77"/>
    <w:rsid w:val="00A100D4"/>
    <w:rsid w:val="00A10138"/>
    <w:rsid w:val="00A10267"/>
    <w:rsid w:val="00A102C4"/>
    <w:rsid w:val="00A10418"/>
    <w:rsid w:val="00A10481"/>
    <w:rsid w:val="00A1052B"/>
    <w:rsid w:val="00A10585"/>
    <w:rsid w:val="00A10650"/>
    <w:rsid w:val="00A10676"/>
    <w:rsid w:val="00A108EA"/>
    <w:rsid w:val="00A10984"/>
    <w:rsid w:val="00A109F4"/>
    <w:rsid w:val="00A10B38"/>
    <w:rsid w:val="00A10B39"/>
    <w:rsid w:val="00A10BB0"/>
    <w:rsid w:val="00A10C5C"/>
    <w:rsid w:val="00A10C90"/>
    <w:rsid w:val="00A10CB1"/>
    <w:rsid w:val="00A10D41"/>
    <w:rsid w:val="00A10D79"/>
    <w:rsid w:val="00A10E8F"/>
    <w:rsid w:val="00A10F31"/>
    <w:rsid w:val="00A10FB9"/>
    <w:rsid w:val="00A1112A"/>
    <w:rsid w:val="00A11269"/>
    <w:rsid w:val="00A11347"/>
    <w:rsid w:val="00A11598"/>
    <w:rsid w:val="00A11676"/>
    <w:rsid w:val="00A116E6"/>
    <w:rsid w:val="00A11738"/>
    <w:rsid w:val="00A1179C"/>
    <w:rsid w:val="00A117C3"/>
    <w:rsid w:val="00A11827"/>
    <w:rsid w:val="00A119CE"/>
    <w:rsid w:val="00A11AC4"/>
    <w:rsid w:val="00A11B11"/>
    <w:rsid w:val="00A11BE8"/>
    <w:rsid w:val="00A11CEE"/>
    <w:rsid w:val="00A11DD9"/>
    <w:rsid w:val="00A11DF3"/>
    <w:rsid w:val="00A11EA8"/>
    <w:rsid w:val="00A11FED"/>
    <w:rsid w:val="00A120FC"/>
    <w:rsid w:val="00A12107"/>
    <w:rsid w:val="00A121A6"/>
    <w:rsid w:val="00A121C0"/>
    <w:rsid w:val="00A1222F"/>
    <w:rsid w:val="00A12250"/>
    <w:rsid w:val="00A122A9"/>
    <w:rsid w:val="00A122FF"/>
    <w:rsid w:val="00A1247A"/>
    <w:rsid w:val="00A124BC"/>
    <w:rsid w:val="00A1254D"/>
    <w:rsid w:val="00A12558"/>
    <w:rsid w:val="00A12580"/>
    <w:rsid w:val="00A125D3"/>
    <w:rsid w:val="00A1263D"/>
    <w:rsid w:val="00A126C0"/>
    <w:rsid w:val="00A126C7"/>
    <w:rsid w:val="00A12704"/>
    <w:rsid w:val="00A12788"/>
    <w:rsid w:val="00A128FC"/>
    <w:rsid w:val="00A12910"/>
    <w:rsid w:val="00A12925"/>
    <w:rsid w:val="00A1299D"/>
    <w:rsid w:val="00A129B0"/>
    <w:rsid w:val="00A12A38"/>
    <w:rsid w:val="00A12AF7"/>
    <w:rsid w:val="00A12B1A"/>
    <w:rsid w:val="00A12C2E"/>
    <w:rsid w:val="00A12C7B"/>
    <w:rsid w:val="00A12C95"/>
    <w:rsid w:val="00A12CE3"/>
    <w:rsid w:val="00A12EB0"/>
    <w:rsid w:val="00A12EB1"/>
    <w:rsid w:val="00A1315D"/>
    <w:rsid w:val="00A13201"/>
    <w:rsid w:val="00A132DC"/>
    <w:rsid w:val="00A13315"/>
    <w:rsid w:val="00A1331C"/>
    <w:rsid w:val="00A13410"/>
    <w:rsid w:val="00A1349C"/>
    <w:rsid w:val="00A134AE"/>
    <w:rsid w:val="00A13522"/>
    <w:rsid w:val="00A13534"/>
    <w:rsid w:val="00A13587"/>
    <w:rsid w:val="00A136FD"/>
    <w:rsid w:val="00A1370E"/>
    <w:rsid w:val="00A137E6"/>
    <w:rsid w:val="00A13829"/>
    <w:rsid w:val="00A13947"/>
    <w:rsid w:val="00A1394E"/>
    <w:rsid w:val="00A13992"/>
    <w:rsid w:val="00A139E0"/>
    <w:rsid w:val="00A13A62"/>
    <w:rsid w:val="00A13B27"/>
    <w:rsid w:val="00A13F81"/>
    <w:rsid w:val="00A140F0"/>
    <w:rsid w:val="00A14135"/>
    <w:rsid w:val="00A14197"/>
    <w:rsid w:val="00A141D1"/>
    <w:rsid w:val="00A141FB"/>
    <w:rsid w:val="00A14211"/>
    <w:rsid w:val="00A143B5"/>
    <w:rsid w:val="00A143DA"/>
    <w:rsid w:val="00A143DD"/>
    <w:rsid w:val="00A143E5"/>
    <w:rsid w:val="00A14542"/>
    <w:rsid w:val="00A145AF"/>
    <w:rsid w:val="00A14651"/>
    <w:rsid w:val="00A146D5"/>
    <w:rsid w:val="00A1473B"/>
    <w:rsid w:val="00A14755"/>
    <w:rsid w:val="00A147A1"/>
    <w:rsid w:val="00A147C2"/>
    <w:rsid w:val="00A147CC"/>
    <w:rsid w:val="00A1495E"/>
    <w:rsid w:val="00A14B8F"/>
    <w:rsid w:val="00A14BB0"/>
    <w:rsid w:val="00A14C54"/>
    <w:rsid w:val="00A14C8D"/>
    <w:rsid w:val="00A14C8F"/>
    <w:rsid w:val="00A14DAD"/>
    <w:rsid w:val="00A14EE7"/>
    <w:rsid w:val="00A152B3"/>
    <w:rsid w:val="00A1535F"/>
    <w:rsid w:val="00A153C7"/>
    <w:rsid w:val="00A155FC"/>
    <w:rsid w:val="00A156C9"/>
    <w:rsid w:val="00A15765"/>
    <w:rsid w:val="00A157CC"/>
    <w:rsid w:val="00A1581B"/>
    <w:rsid w:val="00A1584C"/>
    <w:rsid w:val="00A15862"/>
    <w:rsid w:val="00A158BD"/>
    <w:rsid w:val="00A158F9"/>
    <w:rsid w:val="00A15959"/>
    <w:rsid w:val="00A15A7A"/>
    <w:rsid w:val="00A15A9A"/>
    <w:rsid w:val="00A15D10"/>
    <w:rsid w:val="00A15ED6"/>
    <w:rsid w:val="00A15F3E"/>
    <w:rsid w:val="00A15FB6"/>
    <w:rsid w:val="00A15FCE"/>
    <w:rsid w:val="00A15FD2"/>
    <w:rsid w:val="00A1601E"/>
    <w:rsid w:val="00A16040"/>
    <w:rsid w:val="00A16251"/>
    <w:rsid w:val="00A16277"/>
    <w:rsid w:val="00A163F5"/>
    <w:rsid w:val="00A16413"/>
    <w:rsid w:val="00A1644A"/>
    <w:rsid w:val="00A164A3"/>
    <w:rsid w:val="00A164B7"/>
    <w:rsid w:val="00A164E5"/>
    <w:rsid w:val="00A165F8"/>
    <w:rsid w:val="00A16642"/>
    <w:rsid w:val="00A166D1"/>
    <w:rsid w:val="00A166E0"/>
    <w:rsid w:val="00A168AC"/>
    <w:rsid w:val="00A169A1"/>
    <w:rsid w:val="00A169F7"/>
    <w:rsid w:val="00A16A1A"/>
    <w:rsid w:val="00A16A34"/>
    <w:rsid w:val="00A16AFB"/>
    <w:rsid w:val="00A16B22"/>
    <w:rsid w:val="00A16B53"/>
    <w:rsid w:val="00A16C8C"/>
    <w:rsid w:val="00A16C99"/>
    <w:rsid w:val="00A16D64"/>
    <w:rsid w:val="00A16D88"/>
    <w:rsid w:val="00A16E50"/>
    <w:rsid w:val="00A16E7B"/>
    <w:rsid w:val="00A1701E"/>
    <w:rsid w:val="00A17074"/>
    <w:rsid w:val="00A170C5"/>
    <w:rsid w:val="00A17207"/>
    <w:rsid w:val="00A17259"/>
    <w:rsid w:val="00A172B8"/>
    <w:rsid w:val="00A172C8"/>
    <w:rsid w:val="00A172EA"/>
    <w:rsid w:val="00A17715"/>
    <w:rsid w:val="00A177C6"/>
    <w:rsid w:val="00A177D6"/>
    <w:rsid w:val="00A177DF"/>
    <w:rsid w:val="00A17847"/>
    <w:rsid w:val="00A178FD"/>
    <w:rsid w:val="00A1796E"/>
    <w:rsid w:val="00A17A26"/>
    <w:rsid w:val="00A17A4A"/>
    <w:rsid w:val="00A17A6B"/>
    <w:rsid w:val="00A17A96"/>
    <w:rsid w:val="00A17AED"/>
    <w:rsid w:val="00A17BD7"/>
    <w:rsid w:val="00A17D25"/>
    <w:rsid w:val="00A17D85"/>
    <w:rsid w:val="00A17DFE"/>
    <w:rsid w:val="00A17E32"/>
    <w:rsid w:val="00A17E55"/>
    <w:rsid w:val="00A17F3C"/>
    <w:rsid w:val="00A17F7F"/>
    <w:rsid w:val="00A20086"/>
    <w:rsid w:val="00A2008D"/>
    <w:rsid w:val="00A20196"/>
    <w:rsid w:val="00A2020E"/>
    <w:rsid w:val="00A20217"/>
    <w:rsid w:val="00A20330"/>
    <w:rsid w:val="00A2036E"/>
    <w:rsid w:val="00A203AF"/>
    <w:rsid w:val="00A20506"/>
    <w:rsid w:val="00A206C1"/>
    <w:rsid w:val="00A208A5"/>
    <w:rsid w:val="00A20960"/>
    <w:rsid w:val="00A20A0D"/>
    <w:rsid w:val="00A20F46"/>
    <w:rsid w:val="00A20F72"/>
    <w:rsid w:val="00A20F81"/>
    <w:rsid w:val="00A210C3"/>
    <w:rsid w:val="00A210F9"/>
    <w:rsid w:val="00A21156"/>
    <w:rsid w:val="00A2119A"/>
    <w:rsid w:val="00A21250"/>
    <w:rsid w:val="00A21385"/>
    <w:rsid w:val="00A2152A"/>
    <w:rsid w:val="00A2154E"/>
    <w:rsid w:val="00A2163A"/>
    <w:rsid w:val="00A21669"/>
    <w:rsid w:val="00A21715"/>
    <w:rsid w:val="00A21897"/>
    <w:rsid w:val="00A218BA"/>
    <w:rsid w:val="00A218EF"/>
    <w:rsid w:val="00A21B7B"/>
    <w:rsid w:val="00A21C34"/>
    <w:rsid w:val="00A21CC5"/>
    <w:rsid w:val="00A21D96"/>
    <w:rsid w:val="00A21DD0"/>
    <w:rsid w:val="00A21EFE"/>
    <w:rsid w:val="00A21F53"/>
    <w:rsid w:val="00A21F77"/>
    <w:rsid w:val="00A22014"/>
    <w:rsid w:val="00A220E1"/>
    <w:rsid w:val="00A220F2"/>
    <w:rsid w:val="00A2211A"/>
    <w:rsid w:val="00A22235"/>
    <w:rsid w:val="00A222C7"/>
    <w:rsid w:val="00A2244E"/>
    <w:rsid w:val="00A224AE"/>
    <w:rsid w:val="00A2254B"/>
    <w:rsid w:val="00A226A5"/>
    <w:rsid w:val="00A22734"/>
    <w:rsid w:val="00A227E9"/>
    <w:rsid w:val="00A22916"/>
    <w:rsid w:val="00A229A4"/>
    <w:rsid w:val="00A22B7C"/>
    <w:rsid w:val="00A22D33"/>
    <w:rsid w:val="00A22D8E"/>
    <w:rsid w:val="00A22D92"/>
    <w:rsid w:val="00A22E86"/>
    <w:rsid w:val="00A22F77"/>
    <w:rsid w:val="00A22F93"/>
    <w:rsid w:val="00A22FB9"/>
    <w:rsid w:val="00A23072"/>
    <w:rsid w:val="00A2319F"/>
    <w:rsid w:val="00A23305"/>
    <w:rsid w:val="00A23316"/>
    <w:rsid w:val="00A2335A"/>
    <w:rsid w:val="00A23412"/>
    <w:rsid w:val="00A23458"/>
    <w:rsid w:val="00A234A4"/>
    <w:rsid w:val="00A234C8"/>
    <w:rsid w:val="00A2365E"/>
    <w:rsid w:val="00A23777"/>
    <w:rsid w:val="00A2383B"/>
    <w:rsid w:val="00A23887"/>
    <w:rsid w:val="00A238B3"/>
    <w:rsid w:val="00A23978"/>
    <w:rsid w:val="00A239B6"/>
    <w:rsid w:val="00A23A30"/>
    <w:rsid w:val="00A23A5F"/>
    <w:rsid w:val="00A23AFB"/>
    <w:rsid w:val="00A23B1F"/>
    <w:rsid w:val="00A23B26"/>
    <w:rsid w:val="00A23CED"/>
    <w:rsid w:val="00A23D78"/>
    <w:rsid w:val="00A23E5F"/>
    <w:rsid w:val="00A23F21"/>
    <w:rsid w:val="00A23F27"/>
    <w:rsid w:val="00A23F9C"/>
    <w:rsid w:val="00A2407F"/>
    <w:rsid w:val="00A24168"/>
    <w:rsid w:val="00A241B4"/>
    <w:rsid w:val="00A2437A"/>
    <w:rsid w:val="00A243B1"/>
    <w:rsid w:val="00A24412"/>
    <w:rsid w:val="00A2444C"/>
    <w:rsid w:val="00A244E3"/>
    <w:rsid w:val="00A24653"/>
    <w:rsid w:val="00A2467C"/>
    <w:rsid w:val="00A24772"/>
    <w:rsid w:val="00A247DD"/>
    <w:rsid w:val="00A2483A"/>
    <w:rsid w:val="00A24930"/>
    <w:rsid w:val="00A24A4B"/>
    <w:rsid w:val="00A24A72"/>
    <w:rsid w:val="00A24E89"/>
    <w:rsid w:val="00A24ED8"/>
    <w:rsid w:val="00A24F45"/>
    <w:rsid w:val="00A250EB"/>
    <w:rsid w:val="00A25188"/>
    <w:rsid w:val="00A25235"/>
    <w:rsid w:val="00A25309"/>
    <w:rsid w:val="00A25449"/>
    <w:rsid w:val="00A2546D"/>
    <w:rsid w:val="00A2547C"/>
    <w:rsid w:val="00A2547E"/>
    <w:rsid w:val="00A254CE"/>
    <w:rsid w:val="00A256D3"/>
    <w:rsid w:val="00A25848"/>
    <w:rsid w:val="00A25878"/>
    <w:rsid w:val="00A25918"/>
    <w:rsid w:val="00A25937"/>
    <w:rsid w:val="00A259CF"/>
    <w:rsid w:val="00A259D6"/>
    <w:rsid w:val="00A259EC"/>
    <w:rsid w:val="00A25ADF"/>
    <w:rsid w:val="00A25B46"/>
    <w:rsid w:val="00A25BB8"/>
    <w:rsid w:val="00A25CEF"/>
    <w:rsid w:val="00A25D11"/>
    <w:rsid w:val="00A25DC3"/>
    <w:rsid w:val="00A25E72"/>
    <w:rsid w:val="00A25E7A"/>
    <w:rsid w:val="00A25EDA"/>
    <w:rsid w:val="00A260AB"/>
    <w:rsid w:val="00A260B8"/>
    <w:rsid w:val="00A26169"/>
    <w:rsid w:val="00A261F0"/>
    <w:rsid w:val="00A2621B"/>
    <w:rsid w:val="00A26266"/>
    <w:rsid w:val="00A2627B"/>
    <w:rsid w:val="00A26285"/>
    <w:rsid w:val="00A262C5"/>
    <w:rsid w:val="00A262D3"/>
    <w:rsid w:val="00A263E0"/>
    <w:rsid w:val="00A2641F"/>
    <w:rsid w:val="00A2665B"/>
    <w:rsid w:val="00A26715"/>
    <w:rsid w:val="00A26724"/>
    <w:rsid w:val="00A267BF"/>
    <w:rsid w:val="00A267DA"/>
    <w:rsid w:val="00A2684B"/>
    <w:rsid w:val="00A2684E"/>
    <w:rsid w:val="00A268D0"/>
    <w:rsid w:val="00A2694A"/>
    <w:rsid w:val="00A2697D"/>
    <w:rsid w:val="00A26BA4"/>
    <w:rsid w:val="00A26C7E"/>
    <w:rsid w:val="00A26D2C"/>
    <w:rsid w:val="00A26E14"/>
    <w:rsid w:val="00A26E9F"/>
    <w:rsid w:val="00A26EB2"/>
    <w:rsid w:val="00A26FCE"/>
    <w:rsid w:val="00A26FD2"/>
    <w:rsid w:val="00A26FF4"/>
    <w:rsid w:val="00A2704D"/>
    <w:rsid w:val="00A270D4"/>
    <w:rsid w:val="00A270EC"/>
    <w:rsid w:val="00A27177"/>
    <w:rsid w:val="00A27201"/>
    <w:rsid w:val="00A272D9"/>
    <w:rsid w:val="00A273E9"/>
    <w:rsid w:val="00A2743E"/>
    <w:rsid w:val="00A27477"/>
    <w:rsid w:val="00A27506"/>
    <w:rsid w:val="00A27552"/>
    <w:rsid w:val="00A27584"/>
    <w:rsid w:val="00A275FA"/>
    <w:rsid w:val="00A275FE"/>
    <w:rsid w:val="00A2760B"/>
    <w:rsid w:val="00A2768B"/>
    <w:rsid w:val="00A2779F"/>
    <w:rsid w:val="00A27846"/>
    <w:rsid w:val="00A2790C"/>
    <w:rsid w:val="00A27968"/>
    <w:rsid w:val="00A279E1"/>
    <w:rsid w:val="00A27B85"/>
    <w:rsid w:val="00A27BD8"/>
    <w:rsid w:val="00A27BDD"/>
    <w:rsid w:val="00A27C17"/>
    <w:rsid w:val="00A27C5F"/>
    <w:rsid w:val="00A27CC0"/>
    <w:rsid w:val="00A27D62"/>
    <w:rsid w:val="00A27D70"/>
    <w:rsid w:val="00A27EFE"/>
    <w:rsid w:val="00A27F01"/>
    <w:rsid w:val="00A3002A"/>
    <w:rsid w:val="00A300ED"/>
    <w:rsid w:val="00A3018F"/>
    <w:rsid w:val="00A301F7"/>
    <w:rsid w:val="00A303CA"/>
    <w:rsid w:val="00A303FA"/>
    <w:rsid w:val="00A3048F"/>
    <w:rsid w:val="00A3051C"/>
    <w:rsid w:val="00A305D3"/>
    <w:rsid w:val="00A30626"/>
    <w:rsid w:val="00A30776"/>
    <w:rsid w:val="00A308E2"/>
    <w:rsid w:val="00A3092B"/>
    <w:rsid w:val="00A30989"/>
    <w:rsid w:val="00A3099F"/>
    <w:rsid w:val="00A30A48"/>
    <w:rsid w:val="00A30B29"/>
    <w:rsid w:val="00A30B72"/>
    <w:rsid w:val="00A30B99"/>
    <w:rsid w:val="00A30DE3"/>
    <w:rsid w:val="00A30ED8"/>
    <w:rsid w:val="00A30EF2"/>
    <w:rsid w:val="00A30F48"/>
    <w:rsid w:val="00A30F8D"/>
    <w:rsid w:val="00A31117"/>
    <w:rsid w:val="00A31124"/>
    <w:rsid w:val="00A31151"/>
    <w:rsid w:val="00A311E4"/>
    <w:rsid w:val="00A31293"/>
    <w:rsid w:val="00A31352"/>
    <w:rsid w:val="00A31373"/>
    <w:rsid w:val="00A3138B"/>
    <w:rsid w:val="00A313C7"/>
    <w:rsid w:val="00A313EB"/>
    <w:rsid w:val="00A31450"/>
    <w:rsid w:val="00A3151A"/>
    <w:rsid w:val="00A31891"/>
    <w:rsid w:val="00A31897"/>
    <w:rsid w:val="00A31898"/>
    <w:rsid w:val="00A31939"/>
    <w:rsid w:val="00A31B3C"/>
    <w:rsid w:val="00A31BCB"/>
    <w:rsid w:val="00A31BE7"/>
    <w:rsid w:val="00A31CE2"/>
    <w:rsid w:val="00A31D51"/>
    <w:rsid w:val="00A31DDE"/>
    <w:rsid w:val="00A31ED1"/>
    <w:rsid w:val="00A31F4E"/>
    <w:rsid w:val="00A31FE7"/>
    <w:rsid w:val="00A32093"/>
    <w:rsid w:val="00A3209D"/>
    <w:rsid w:val="00A320EF"/>
    <w:rsid w:val="00A32147"/>
    <w:rsid w:val="00A322AA"/>
    <w:rsid w:val="00A323D0"/>
    <w:rsid w:val="00A323F3"/>
    <w:rsid w:val="00A3245E"/>
    <w:rsid w:val="00A324B5"/>
    <w:rsid w:val="00A32563"/>
    <w:rsid w:val="00A32588"/>
    <w:rsid w:val="00A326AA"/>
    <w:rsid w:val="00A32760"/>
    <w:rsid w:val="00A3279F"/>
    <w:rsid w:val="00A327D5"/>
    <w:rsid w:val="00A328E1"/>
    <w:rsid w:val="00A3293D"/>
    <w:rsid w:val="00A329AD"/>
    <w:rsid w:val="00A32ADC"/>
    <w:rsid w:val="00A32B68"/>
    <w:rsid w:val="00A32CF2"/>
    <w:rsid w:val="00A32E52"/>
    <w:rsid w:val="00A32E77"/>
    <w:rsid w:val="00A32EF0"/>
    <w:rsid w:val="00A32F00"/>
    <w:rsid w:val="00A32F0E"/>
    <w:rsid w:val="00A33016"/>
    <w:rsid w:val="00A330FC"/>
    <w:rsid w:val="00A3335A"/>
    <w:rsid w:val="00A33492"/>
    <w:rsid w:val="00A3356C"/>
    <w:rsid w:val="00A335C7"/>
    <w:rsid w:val="00A335FF"/>
    <w:rsid w:val="00A33766"/>
    <w:rsid w:val="00A3379F"/>
    <w:rsid w:val="00A337D7"/>
    <w:rsid w:val="00A338C1"/>
    <w:rsid w:val="00A338C2"/>
    <w:rsid w:val="00A338DE"/>
    <w:rsid w:val="00A3390F"/>
    <w:rsid w:val="00A33916"/>
    <w:rsid w:val="00A3392B"/>
    <w:rsid w:val="00A33A1E"/>
    <w:rsid w:val="00A33BDD"/>
    <w:rsid w:val="00A33CEE"/>
    <w:rsid w:val="00A33D69"/>
    <w:rsid w:val="00A33DC9"/>
    <w:rsid w:val="00A34030"/>
    <w:rsid w:val="00A34063"/>
    <w:rsid w:val="00A340C5"/>
    <w:rsid w:val="00A341DD"/>
    <w:rsid w:val="00A341E2"/>
    <w:rsid w:val="00A34241"/>
    <w:rsid w:val="00A3432A"/>
    <w:rsid w:val="00A3433A"/>
    <w:rsid w:val="00A343A2"/>
    <w:rsid w:val="00A34472"/>
    <w:rsid w:val="00A3452C"/>
    <w:rsid w:val="00A34581"/>
    <w:rsid w:val="00A3468C"/>
    <w:rsid w:val="00A346F9"/>
    <w:rsid w:val="00A349DB"/>
    <w:rsid w:val="00A34AD7"/>
    <w:rsid w:val="00A34B7E"/>
    <w:rsid w:val="00A34BF4"/>
    <w:rsid w:val="00A34C4A"/>
    <w:rsid w:val="00A34D22"/>
    <w:rsid w:val="00A34DAC"/>
    <w:rsid w:val="00A34F01"/>
    <w:rsid w:val="00A34F62"/>
    <w:rsid w:val="00A34F8A"/>
    <w:rsid w:val="00A351C2"/>
    <w:rsid w:val="00A352A2"/>
    <w:rsid w:val="00A35382"/>
    <w:rsid w:val="00A35385"/>
    <w:rsid w:val="00A3538B"/>
    <w:rsid w:val="00A353C0"/>
    <w:rsid w:val="00A353DC"/>
    <w:rsid w:val="00A353FD"/>
    <w:rsid w:val="00A3544E"/>
    <w:rsid w:val="00A3549C"/>
    <w:rsid w:val="00A354B4"/>
    <w:rsid w:val="00A3554C"/>
    <w:rsid w:val="00A3557F"/>
    <w:rsid w:val="00A3558E"/>
    <w:rsid w:val="00A355B0"/>
    <w:rsid w:val="00A356DC"/>
    <w:rsid w:val="00A3574D"/>
    <w:rsid w:val="00A357EB"/>
    <w:rsid w:val="00A358C8"/>
    <w:rsid w:val="00A35910"/>
    <w:rsid w:val="00A3593D"/>
    <w:rsid w:val="00A359C7"/>
    <w:rsid w:val="00A35A20"/>
    <w:rsid w:val="00A35A8C"/>
    <w:rsid w:val="00A35B94"/>
    <w:rsid w:val="00A35CBC"/>
    <w:rsid w:val="00A35D36"/>
    <w:rsid w:val="00A35E45"/>
    <w:rsid w:val="00A35F22"/>
    <w:rsid w:val="00A35F2C"/>
    <w:rsid w:val="00A35F46"/>
    <w:rsid w:val="00A35F9B"/>
    <w:rsid w:val="00A35FE8"/>
    <w:rsid w:val="00A3614D"/>
    <w:rsid w:val="00A3615D"/>
    <w:rsid w:val="00A3623F"/>
    <w:rsid w:val="00A3628F"/>
    <w:rsid w:val="00A36500"/>
    <w:rsid w:val="00A36530"/>
    <w:rsid w:val="00A3656C"/>
    <w:rsid w:val="00A36649"/>
    <w:rsid w:val="00A36667"/>
    <w:rsid w:val="00A36677"/>
    <w:rsid w:val="00A36678"/>
    <w:rsid w:val="00A36687"/>
    <w:rsid w:val="00A369CE"/>
    <w:rsid w:val="00A36A14"/>
    <w:rsid w:val="00A36B14"/>
    <w:rsid w:val="00A36B89"/>
    <w:rsid w:val="00A36C55"/>
    <w:rsid w:val="00A36DCA"/>
    <w:rsid w:val="00A36EB0"/>
    <w:rsid w:val="00A36F29"/>
    <w:rsid w:val="00A3716A"/>
    <w:rsid w:val="00A371A4"/>
    <w:rsid w:val="00A371AC"/>
    <w:rsid w:val="00A37258"/>
    <w:rsid w:val="00A372A0"/>
    <w:rsid w:val="00A372A2"/>
    <w:rsid w:val="00A373DF"/>
    <w:rsid w:val="00A37490"/>
    <w:rsid w:val="00A37572"/>
    <w:rsid w:val="00A375EE"/>
    <w:rsid w:val="00A37630"/>
    <w:rsid w:val="00A376A7"/>
    <w:rsid w:val="00A37990"/>
    <w:rsid w:val="00A37A72"/>
    <w:rsid w:val="00A37AED"/>
    <w:rsid w:val="00A37B3A"/>
    <w:rsid w:val="00A37B54"/>
    <w:rsid w:val="00A37BBA"/>
    <w:rsid w:val="00A37C05"/>
    <w:rsid w:val="00A37CD2"/>
    <w:rsid w:val="00A37CF9"/>
    <w:rsid w:val="00A37D0C"/>
    <w:rsid w:val="00A37D98"/>
    <w:rsid w:val="00A37E9B"/>
    <w:rsid w:val="00A37EAE"/>
    <w:rsid w:val="00A37F1D"/>
    <w:rsid w:val="00A37FB1"/>
    <w:rsid w:val="00A40035"/>
    <w:rsid w:val="00A400D5"/>
    <w:rsid w:val="00A40388"/>
    <w:rsid w:val="00A4042E"/>
    <w:rsid w:val="00A40487"/>
    <w:rsid w:val="00A404C5"/>
    <w:rsid w:val="00A404C8"/>
    <w:rsid w:val="00A405DE"/>
    <w:rsid w:val="00A4062E"/>
    <w:rsid w:val="00A4066D"/>
    <w:rsid w:val="00A40827"/>
    <w:rsid w:val="00A40844"/>
    <w:rsid w:val="00A4088C"/>
    <w:rsid w:val="00A408AB"/>
    <w:rsid w:val="00A408AD"/>
    <w:rsid w:val="00A40A0A"/>
    <w:rsid w:val="00A40A1B"/>
    <w:rsid w:val="00A40A97"/>
    <w:rsid w:val="00A40B6F"/>
    <w:rsid w:val="00A40C8A"/>
    <w:rsid w:val="00A40CD6"/>
    <w:rsid w:val="00A40CE8"/>
    <w:rsid w:val="00A40D5A"/>
    <w:rsid w:val="00A40DCD"/>
    <w:rsid w:val="00A40DD5"/>
    <w:rsid w:val="00A40DEB"/>
    <w:rsid w:val="00A40E42"/>
    <w:rsid w:val="00A40EB3"/>
    <w:rsid w:val="00A40ED6"/>
    <w:rsid w:val="00A40FC5"/>
    <w:rsid w:val="00A41015"/>
    <w:rsid w:val="00A41185"/>
    <w:rsid w:val="00A41191"/>
    <w:rsid w:val="00A412DC"/>
    <w:rsid w:val="00A413D0"/>
    <w:rsid w:val="00A4144A"/>
    <w:rsid w:val="00A41453"/>
    <w:rsid w:val="00A414A0"/>
    <w:rsid w:val="00A414DE"/>
    <w:rsid w:val="00A41529"/>
    <w:rsid w:val="00A41659"/>
    <w:rsid w:val="00A416DE"/>
    <w:rsid w:val="00A41746"/>
    <w:rsid w:val="00A4175B"/>
    <w:rsid w:val="00A41861"/>
    <w:rsid w:val="00A419BF"/>
    <w:rsid w:val="00A41B1C"/>
    <w:rsid w:val="00A41B2D"/>
    <w:rsid w:val="00A41C51"/>
    <w:rsid w:val="00A41CC4"/>
    <w:rsid w:val="00A41D86"/>
    <w:rsid w:val="00A41E2C"/>
    <w:rsid w:val="00A41ED4"/>
    <w:rsid w:val="00A41F02"/>
    <w:rsid w:val="00A41FC1"/>
    <w:rsid w:val="00A41FC5"/>
    <w:rsid w:val="00A4209B"/>
    <w:rsid w:val="00A420B2"/>
    <w:rsid w:val="00A4211E"/>
    <w:rsid w:val="00A4223D"/>
    <w:rsid w:val="00A42289"/>
    <w:rsid w:val="00A423BB"/>
    <w:rsid w:val="00A424B6"/>
    <w:rsid w:val="00A4250E"/>
    <w:rsid w:val="00A4250F"/>
    <w:rsid w:val="00A42578"/>
    <w:rsid w:val="00A425A0"/>
    <w:rsid w:val="00A425AC"/>
    <w:rsid w:val="00A4271D"/>
    <w:rsid w:val="00A42752"/>
    <w:rsid w:val="00A4278F"/>
    <w:rsid w:val="00A427C7"/>
    <w:rsid w:val="00A427D1"/>
    <w:rsid w:val="00A428CF"/>
    <w:rsid w:val="00A429BE"/>
    <w:rsid w:val="00A42AEF"/>
    <w:rsid w:val="00A42B49"/>
    <w:rsid w:val="00A42C68"/>
    <w:rsid w:val="00A42CFB"/>
    <w:rsid w:val="00A42D11"/>
    <w:rsid w:val="00A42D93"/>
    <w:rsid w:val="00A42E57"/>
    <w:rsid w:val="00A42EA5"/>
    <w:rsid w:val="00A42F30"/>
    <w:rsid w:val="00A42F4C"/>
    <w:rsid w:val="00A4304A"/>
    <w:rsid w:val="00A430C1"/>
    <w:rsid w:val="00A4313B"/>
    <w:rsid w:val="00A4317A"/>
    <w:rsid w:val="00A4317C"/>
    <w:rsid w:val="00A431B8"/>
    <w:rsid w:val="00A432FF"/>
    <w:rsid w:val="00A4330C"/>
    <w:rsid w:val="00A43384"/>
    <w:rsid w:val="00A433B1"/>
    <w:rsid w:val="00A4342E"/>
    <w:rsid w:val="00A434AE"/>
    <w:rsid w:val="00A434E5"/>
    <w:rsid w:val="00A43554"/>
    <w:rsid w:val="00A435B3"/>
    <w:rsid w:val="00A4360A"/>
    <w:rsid w:val="00A436DF"/>
    <w:rsid w:val="00A43730"/>
    <w:rsid w:val="00A437D4"/>
    <w:rsid w:val="00A43A52"/>
    <w:rsid w:val="00A43A53"/>
    <w:rsid w:val="00A43A8C"/>
    <w:rsid w:val="00A43B94"/>
    <w:rsid w:val="00A43C61"/>
    <w:rsid w:val="00A43DE4"/>
    <w:rsid w:val="00A43E24"/>
    <w:rsid w:val="00A43E7E"/>
    <w:rsid w:val="00A43EA7"/>
    <w:rsid w:val="00A43EB8"/>
    <w:rsid w:val="00A43ED1"/>
    <w:rsid w:val="00A43F4C"/>
    <w:rsid w:val="00A43F7B"/>
    <w:rsid w:val="00A440C2"/>
    <w:rsid w:val="00A4412C"/>
    <w:rsid w:val="00A44220"/>
    <w:rsid w:val="00A442CC"/>
    <w:rsid w:val="00A442D8"/>
    <w:rsid w:val="00A442ED"/>
    <w:rsid w:val="00A443DE"/>
    <w:rsid w:val="00A44652"/>
    <w:rsid w:val="00A446E0"/>
    <w:rsid w:val="00A4471E"/>
    <w:rsid w:val="00A44773"/>
    <w:rsid w:val="00A447B8"/>
    <w:rsid w:val="00A447EA"/>
    <w:rsid w:val="00A44877"/>
    <w:rsid w:val="00A448C7"/>
    <w:rsid w:val="00A44906"/>
    <w:rsid w:val="00A4492B"/>
    <w:rsid w:val="00A44A0E"/>
    <w:rsid w:val="00A44A5A"/>
    <w:rsid w:val="00A44AA8"/>
    <w:rsid w:val="00A44AD6"/>
    <w:rsid w:val="00A44B15"/>
    <w:rsid w:val="00A44C44"/>
    <w:rsid w:val="00A44D4C"/>
    <w:rsid w:val="00A44FD1"/>
    <w:rsid w:val="00A450B0"/>
    <w:rsid w:val="00A45167"/>
    <w:rsid w:val="00A45249"/>
    <w:rsid w:val="00A45378"/>
    <w:rsid w:val="00A45471"/>
    <w:rsid w:val="00A4551D"/>
    <w:rsid w:val="00A456D6"/>
    <w:rsid w:val="00A456F6"/>
    <w:rsid w:val="00A4586F"/>
    <w:rsid w:val="00A45956"/>
    <w:rsid w:val="00A459BC"/>
    <w:rsid w:val="00A45A41"/>
    <w:rsid w:val="00A45B5B"/>
    <w:rsid w:val="00A45C37"/>
    <w:rsid w:val="00A45D4F"/>
    <w:rsid w:val="00A45D84"/>
    <w:rsid w:val="00A45DC2"/>
    <w:rsid w:val="00A45E5C"/>
    <w:rsid w:val="00A45E77"/>
    <w:rsid w:val="00A45E8C"/>
    <w:rsid w:val="00A45F4D"/>
    <w:rsid w:val="00A45FB6"/>
    <w:rsid w:val="00A46084"/>
    <w:rsid w:val="00A460E4"/>
    <w:rsid w:val="00A46126"/>
    <w:rsid w:val="00A46189"/>
    <w:rsid w:val="00A46198"/>
    <w:rsid w:val="00A461DD"/>
    <w:rsid w:val="00A4622D"/>
    <w:rsid w:val="00A462CF"/>
    <w:rsid w:val="00A462FA"/>
    <w:rsid w:val="00A463C4"/>
    <w:rsid w:val="00A463F7"/>
    <w:rsid w:val="00A4645E"/>
    <w:rsid w:val="00A464DD"/>
    <w:rsid w:val="00A46521"/>
    <w:rsid w:val="00A465B3"/>
    <w:rsid w:val="00A4667D"/>
    <w:rsid w:val="00A466FD"/>
    <w:rsid w:val="00A46721"/>
    <w:rsid w:val="00A46736"/>
    <w:rsid w:val="00A467A9"/>
    <w:rsid w:val="00A46810"/>
    <w:rsid w:val="00A46980"/>
    <w:rsid w:val="00A46A53"/>
    <w:rsid w:val="00A46AAA"/>
    <w:rsid w:val="00A46AF6"/>
    <w:rsid w:val="00A46B7E"/>
    <w:rsid w:val="00A46B98"/>
    <w:rsid w:val="00A46C17"/>
    <w:rsid w:val="00A46CB6"/>
    <w:rsid w:val="00A46DC6"/>
    <w:rsid w:val="00A46E7D"/>
    <w:rsid w:val="00A46EEB"/>
    <w:rsid w:val="00A46FFB"/>
    <w:rsid w:val="00A471A9"/>
    <w:rsid w:val="00A47319"/>
    <w:rsid w:val="00A4743A"/>
    <w:rsid w:val="00A47444"/>
    <w:rsid w:val="00A47459"/>
    <w:rsid w:val="00A474FB"/>
    <w:rsid w:val="00A47505"/>
    <w:rsid w:val="00A47835"/>
    <w:rsid w:val="00A479B9"/>
    <w:rsid w:val="00A479F2"/>
    <w:rsid w:val="00A47A41"/>
    <w:rsid w:val="00A47A92"/>
    <w:rsid w:val="00A47AD0"/>
    <w:rsid w:val="00A47AFC"/>
    <w:rsid w:val="00A47B1D"/>
    <w:rsid w:val="00A47C0A"/>
    <w:rsid w:val="00A47CA0"/>
    <w:rsid w:val="00A47CBC"/>
    <w:rsid w:val="00A47D64"/>
    <w:rsid w:val="00A47DC8"/>
    <w:rsid w:val="00A47E1C"/>
    <w:rsid w:val="00A47E3A"/>
    <w:rsid w:val="00A47E8A"/>
    <w:rsid w:val="00A47EA0"/>
    <w:rsid w:val="00A47EF7"/>
    <w:rsid w:val="00A47F9E"/>
    <w:rsid w:val="00A47FCB"/>
    <w:rsid w:val="00A50060"/>
    <w:rsid w:val="00A500C1"/>
    <w:rsid w:val="00A501FD"/>
    <w:rsid w:val="00A50275"/>
    <w:rsid w:val="00A50298"/>
    <w:rsid w:val="00A50425"/>
    <w:rsid w:val="00A5060A"/>
    <w:rsid w:val="00A50670"/>
    <w:rsid w:val="00A507B4"/>
    <w:rsid w:val="00A507CA"/>
    <w:rsid w:val="00A50887"/>
    <w:rsid w:val="00A508B3"/>
    <w:rsid w:val="00A50AEF"/>
    <w:rsid w:val="00A50B36"/>
    <w:rsid w:val="00A50B74"/>
    <w:rsid w:val="00A50BFF"/>
    <w:rsid w:val="00A50DAB"/>
    <w:rsid w:val="00A50E64"/>
    <w:rsid w:val="00A50F87"/>
    <w:rsid w:val="00A50F99"/>
    <w:rsid w:val="00A51195"/>
    <w:rsid w:val="00A51204"/>
    <w:rsid w:val="00A51416"/>
    <w:rsid w:val="00A514D8"/>
    <w:rsid w:val="00A51563"/>
    <w:rsid w:val="00A515FE"/>
    <w:rsid w:val="00A516A4"/>
    <w:rsid w:val="00A517EA"/>
    <w:rsid w:val="00A517EC"/>
    <w:rsid w:val="00A51809"/>
    <w:rsid w:val="00A518C8"/>
    <w:rsid w:val="00A51B27"/>
    <w:rsid w:val="00A51F61"/>
    <w:rsid w:val="00A52038"/>
    <w:rsid w:val="00A52051"/>
    <w:rsid w:val="00A5208C"/>
    <w:rsid w:val="00A520CC"/>
    <w:rsid w:val="00A520D4"/>
    <w:rsid w:val="00A5212C"/>
    <w:rsid w:val="00A52251"/>
    <w:rsid w:val="00A52256"/>
    <w:rsid w:val="00A522C1"/>
    <w:rsid w:val="00A52335"/>
    <w:rsid w:val="00A524FB"/>
    <w:rsid w:val="00A5256B"/>
    <w:rsid w:val="00A526D4"/>
    <w:rsid w:val="00A52720"/>
    <w:rsid w:val="00A52770"/>
    <w:rsid w:val="00A5282F"/>
    <w:rsid w:val="00A528D4"/>
    <w:rsid w:val="00A52921"/>
    <w:rsid w:val="00A52940"/>
    <w:rsid w:val="00A52980"/>
    <w:rsid w:val="00A52A5D"/>
    <w:rsid w:val="00A52A8B"/>
    <w:rsid w:val="00A52A95"/>
    <w:rsid w:val="00A52AE0"/>
    <w:rsid w:val="00A52B83"/>
    <w:rsid w:val="00A52BEE"/>
    <w:rsid w:val="00A52C09"/>
    <w:rsid w:val="00A52C6A"/>
    <w:rsid w:val="00A52C84"/>
    <w:rsid w:val="00A52CD1"/>
    <w:rsid w:val="00A52D00"/>
    <w:rsid w:val="00A52EAA"/>
    <w:rsid w:val="00A52EE0"/>
    <w:rsid w:val="00A53003"/>
    <w:rsid w:val="00A5302D"/>
    <w:rsid w:val="00A5312D"/>
    <w:rsid w:val="00A5317F"/>
    <w:rsid w:val="00A531E1"/>
    <w:rsid w:val="00A532DC"/>
    <w:rsid w:val="00A532E7"/>
    <w:rsid w:val="00A53371"/>
    <w:rsid w:val="00A53486"/>
    <w:rsid w:val="00A5348D"/>
    <w:rsid w:val="00A534B5"/>
    <w:rsid w:val="00A534C3"/>
    <w:rsid w:val="00A53632"/>
    <w:rsid w:val="00A5369B"/>
    <w:rsid w:val="00A5375C"/>
    <w:rsid w:val="00A5376A"/>
    <w:rsid w:val="00A537F5"/>
    <w:rsid w:val="00A537F7"/>
    <w:rsid w:val="00A53814"/>
    <w:rsid w:val="00A5395E"/>
    <w:rsid w:val="00A53980"/>
    <w:rsid w:val="00A53B6E"/>
    <w:rsid w:val="00A53BA2"/>
    <w:rsid w:val="00A53C09"/>
    <w:rsid w:val="00A53C39"/>
    <w:rsid w:val="00A53CEB"/>
    <w:rsid w:val="00A53D34"/>
    <w:rsid w:val="00A53D47"/>
    <w:rsid w:val="00A53D59"/>
    <w:rsid w:val="00A53D86"/>
    <w:rsid w:val="00A53E1C"/>
    <w:rsid w:val="00A53E7D"/>
    <w:rsid w:val="00A53E9D"/>
    <w:rsid w:val="00A53ED9"/>
    <w:rsid w:val="00A5410B"/>
    <w:rsid w:val="00A54288"/>
    <w:rsid w:val="00A54300"/>
    <w:rsid w:val="00A54387"/>
    <w:rsid w:val="00A543F6"/>
    <w:rsid w:val="00A545AE"/>
    <w:rsid w:val="00A545E2"/>
    <w:rsid w:val="00A54604"/>
    <w:rsid w:val="00A5463B"/>
    <w:rsid w:val="00A546B5"/>
    <w:rsid w:val="00A546F3"/>
    <w:rsid w:val="00A54881"/>
    <w:rsid w:val="00A548D9"/>
    <w:rsid w:val="00A549E0"/>
    <w:rsid w:val="00A54A08"/>
    <w:rsid w:val="00A54BD9"/>
    <w:rsid w:val="00A54C13"/>
    <w:rsid w:val="00A54CF7"/>
    <w:rsid w:val="00A54E3A"/>
    <w:rsid w:val="00A54E70"/>
    <w:rsid w:val="00A54F02"/>
    <w:rsid w:val="00A54F20"/>
    <w:rsid w:val="00A54F96"/>
    <w:rsid w:val="00A5508E"/>
    <w:rsid w:val="00A554D3"/>
    <w:rsid w:val="00A55621"/>
    <w:rsid w:val="00A556A1"/>
    <w:rsid w:val="00A556CA"/>
    <w:rsid w:val="00A55754"/>
    <w:rsid w:val="00A55777"/>
    <w:rsid w:val="00A5580E"/>
    <w:rsid w:val="00A55923"/>
    <w:rsid w:val="00A55959"/>
    <w:rsid w:val="00A55970"/>
    <w:rsid w:val="00A55A3D"/>
    <w:rsid w:val="00A55B98"/>
    <w:rsid w:val="00A55C8C"/>
    <w:rsid w:val="00A55CB5"/>
    <w:rsid w:val="00A55CD7"/>
    <w:rsid w:val="00A55E18"/>
    <w:rsid w:val="00A55E37"/>
    <w:rsid w:val="00A55E82"/>
    <w:rsid w:val="00A55EFA"/>
    <w:rsid w:val="00A55F43"/>
    <w:rsid w:val="00A55F72"/>
    <w:rsid w:val="00A55FA4"/>
    <w:rsid w:val="00A55FB0"/>
    <w:rsid w:val="00A56092"/>
    <w:rsid w:val="00A562BF"/>
    <w:rsid w:val="00A56372"/>
    <w:rsid w:val="00A5637E"/>
    <w:rsid w:val="00A563AB"/>
    <w:rsid w:val="00A56464"/>
    <w:rsid w:val="00A564CA"/>
    <w:rsid w:val="00A564E8"/>
    <w:rsid w:val="00A5651B"/>
    <w:rsid w:val="00A5657F"/>
    <w:rsid w:val="00A56583"/>
    <w:rsid w:val="00A5662F"/>
    <w:rsid w:val="00A56641"/>
    <w:rsid w:val="00A5688F"/>
    <w:rsid w:val="00A5689D"/>
    <w:rsid w:val="00A56933"/>
    <w:rsid w:val="00A56954"/>
    <w:rsid w:val="00A569E2"/>
    <w:rsid w:val="00A56B00"/>
    <w:rsid w:val="00A56B74"/>
    <w:rsid w:val="00A56B89"/>
    <w:rsid w:val="00A56B93"/>
    <w:rsid w:val="00A56C2F"/>
    <w:rsid w:val="00A56C52"/>
    <w:rsid w:val="00A56DFC"/>
    <w:rsid w:val="00A56E00"/>
    <w:rsid w:val="00A56E0D"/>
    <w:rsid w:val="00A56E97"/>
    <w:rsid w:val="00A56F7A"/>
    <w:rsid w:val="00A56FD9"/>
    <w:rsid w:val="00A56FE0"/>
    <w:rsid w:val="00A57151"/>
    <w:rsid w:val="00A571D0"/>
    <w:rsid w:val="00A57232"/>
    <w:rsid w:val="00A572EF"/>
    <w:rsid w:val="00A573A4"/>
    <w:rsid w:val="00A573CA"/>
    <w:rsid w:val="00A5740A"/>
    <w:rsid w:val="00A574BC"/>
    <w:rsid w:val="00A575C4"/>
    <w:rsid w:val="00A575D2"/>
    <w:rsid w:val="00A575E6"/>
    <w:rsid w:val="00A57616"/>
    <w:rsid w:val="00A57621"/>
    <w:rsid w:val="00A577C6"/>
    <w:rsid w:val="00A57812"/>
    <w:rsid w:val="00A57837"/>
    <w:rsid w:val="00A578D4"/>
    <w:rsid w:val="00A578DD"/>
    <w:rsid w:val="00A57990"/>
    <w:rsid w:val="00A57992"/>
    <w:rsid w:val="00A57A42"/>
    <w:rsid w:val="00A57B57"/>
    <w:rsid w:val="00A57B8A"/>
    <w:rsid w:val="00A57C5F"/>
    <w:rsid w:val="00A57CB1"/>
    <w:rsid w:val="00A57DB8"/>
    <w:rsid w:val="00A57E0A"/>
    <w:rsid w:val="00A57E38"/>
    <w:rsid w:val="00A57E83"/>
    <w:rsid w:val="00A57FA1"/>
    <w:rsid w:val="00A57FC7"/>
    <w:rsid w:val="00A57FE4"/>
    <w:rsid w:val="00A600BD"/>
    <w:rsid w:val="00A600F8"/>
    <w:rsid w:val="00A6027D"/>
    <w:rsid w:val="00A602EF"/>
    <w:rsid w:val="00A60348"/>
    <w:rsid w:val="00A6039A"/>
    <w:rsid w:val="00A603D1"/>
    <w:rsid w:val="00A603D4"/>
    <w:rsid w:val="00A6065E"/>
    <w:rsid w:val="00A60815"/>
    <w:rsid w:val="00A60860"/>
    <w:rsid w:val="00A608AD"/>
    <w:rsid w:val="00A60977"/>
    <w:rsid w:val="00A60A5D"/>
    <w:rsid w:val="00A60BFA"/>
    <w:rsid w:val="00A60DA1"/>
    <w:rsid w:val="00A60DFA"/>
    <w:rsid w:val="00A60E51"/>
    <w:rsid w:val="00A60E96"/>
    <w:rsid w:val="00A60EBA"/>
    <w:rsid w:val="00A60F26"/>
    <w:rsid w:val="00A60FC6"/>
    <w:rsid w:val="00A60FE2"/>
    <w:rsid w:val="00A60FEA"/>
    <w:rsid w:val="00A61085"/>
    <w:rsid w:val="00A6131F"/>
    <w:rsid w:val="00A6134F"/>
    <w:rsid w:val="00A614C4"/>
    <w:rsid w:val="00A614C5"/>
    <w:rsid w:val="00A616A0"/>
    <w:rsid w:val="00A61786"/>
    <w:rsid w:val="00A617AB"/>
    <w:rsid w:val="00A6186A"/>
    <w:rsid w:val="00A61932"/>
    <w:rsid w:val="00A619F6"/>
    <w:rsid w:val="00A61A3B"/>
    <w:rsid w:val="00A61AA8"/>
    <w:rsid w:val="00A61B84"/>
    <w:rsid w:val="00A61BCC"/>
    <w:rsid w:val="00A61BDD"/>
    <w:rsid w:val="00A61C2F"/>
    <w:rsid w:val="00A61C46"/>
    <w:rsid w:val="00A61D44"/>
    <w:rsid w:val="00A61E23"/>
    <w:rsid w:val="00A61E95"/>
    <w:rsid w:val="00A61EA3"/>
    <w:rsid w:val="00A61EF9"/>
    <w:rsid w:val="00A61F1B"/>
    <w:rsid w:val="00A61F6B"/>
    <w:rsid w:val="00A620B4"/>
    <w:rsid w:val="00A6213E"/>
    <w:rsid w:val="00A62341"/>
    <w:rsid w:val="00A624FB"/>
    <w:rsid w:val="00A62514"/>
    <w:rsid w:val="00A6262F"/>
    <w:rsid w:val="00A62632"/>
    <w:rsid w:val="00A6266C"/>
    <w:rsid w:val="00A6267A"/>
    <w:rsid w:val="00A6274B"/>
    <w:rsid w:val="00A6280C"/>
    <w:rsid w:val="00A62848"/>
    <w:rsid w:val="00A62853"/>
    <w:rsid w:val="00A62859"/>
    <w:rsid w:val="00A628A1"/>
    <w:rsid w:val="00A628DF"/>
    <w:rsid w:val="00A62BB7"/>
    <w:rsid w:val="00A62C61"/>
    <w:rsid w:val="00A62C67"/>
    <w:rsid w:val="00A62C74"/>
    <w:rsid w:val="00A62C9E"/>
    <w:rsid w:val="00A62CCF"/>
    <w:rsid w:val="00A62D5F"/>
    <w:rsid w:val="00A62D71"/>
    <w:rsid w:val="00A62D7C"/>
    <w:rsid w:val="00A62D81"/>
    <w:rsid w:val="00A62E33"/>
    <w:rsid w:val="00A62F0F"/>
    <w:rsid w:val="00A62F62"/>
    <w:rsid w:val="00A62F8E"/>
    <w:rsid w:val="00A62F9B"/>
    <w:rsid w:val="00A62FB8"/>
    <w:rsid w:val="00A6315E"/>
    <w:rsid w:val="00A631CB"/>
    <w:rsid w:val="00A631D5"/>
    <w:rsid w:val="00A63222"/>
    <w:rsid w:val="00A63335"/>
    <w:rsid w:val="00A6335E"/>
    <w:rsid w:val="00A63366"/>
    <w:rsid w:val="00A63397"/>
    <w:rsid w:val="00A633FF"/>
    <w:rsid w:val="00A6351C"/>
    <w:rsid w:val="00A635F4"/>
    <w:rsid w:val="00A63768"/>
    <w:rsid w:val="00A63781"/>
    <w:rsid w:val="00A638A5"/>
    <w:rsid w:val="00A638FF"/>
    <w:rsid w:val="00A6392C"/>
    <w:rsid w:val="00A63A0D"/>
    <w:rsid w:val="00A63A84"/>
    <w:rsid w:val="00A63BFD"/>
    <w:rsid w:val="00A63C56"/>
    <w:rsid w:val="00A63CDF"/>
    <w:rsid w:val="00A63CF3"/>
    <w:rsid w:val="00A63E1A"/>
    <w:rsid w:val="00A63E21"/>
    <w:rsid w:val="00A63E98"/>
    <w:rsid w:val="00A63EC6"/>
    <w:rsid w:val="00A63EDD"/>
    <w:rsid w:val="00A63FF2"/>
    <w:rsid w:val="00A64018"/>
    <w:rsid w:val="00A64039"/>
    <w:rsid w:val="00A64138"/>
    <w:rsid w:val="00A6417E"/>
    <w:rsid w:val="00A6423C"/>
    <w:rsid w:val="00A64297"/>
    <w:rsid w:val="00A642C2"/>
    <w:rsid w:val="00A64450"/>
    <w:rsid w:val="00A644A4"/>
    <w:rsid w:val="00A6467C"/>
    <w:rsid w:val="00A646A5"/>
    <w:rsid w:val="00A64710"/>
    <w:rsid w:val="00A647C1"/>
    <w:rsid w:val="00A647D0"/>
    <w:rsid w:val="00A647E1"/>
    <w:rsid w:val="00A64829"/>
    <w:rsid w:val="00A648BD"/>
    <w:rsid w:val="00A648F0"/>
    <w:rsid w:val="00A6491B"/>
    <w:rsid w:val="00A6492B"/>
    <w:rsid w:val="00A64968"/>
    <w:rsid w:val="00A6499C"/>
    <w:rsid w:val="00A64AEB"/>
    <w:rsid w:val="00A64B53"/>
    <w:rsid w:val="00A64B56"/>
    <w:rsid w:val="00A64D2A"/>
    <w:rsid w:val="00A64D6C"/>
    <w:rsid w:val="00A64D6F"/>
    <w:rsid w:val="00A64D71"/>
    <w:rsid w:val="00A64E07"/>
    <w:rsid w:val="00A64E60"/>
    <w:rsid w:val="00A64FF2"/>
    <w:rsid w:val="00A65006"/>
    <w:rsid w:val="00A6500F"/>
    <w:rsid w:val="00A650DE"/>
    <w:rsid w:val="00A651A3"/>
    <w:rsid w:val="00A652B1"/>
    <w:rsid w:val="00A652E3"/>
    <w:rsid w:val="00A654C4"/>
    <w:rsid w:val="00A654ED"/>
    <w:rsid w:val="00A65524"/>
    <w:rsid w:val="00A655A6"/>
    <w:rsid w:val="00A655AF"/>
    <w:rsid w:val="00A656CB"/>
    <w:rsid w:val="00A65711"/>
    <w:rsid w:val="00A657CE"/>
    <w:rsid w:val="00A659A8"/>
    <w:rsid w:val="00A659BD"/>
    <w:rsid w:val="00A65A00"/>
    <w:rsid w:val="00A65A30"/>
    <w:rsid w:val="00A65B4D"/>
    <w:rsid w:val="00A65B4F"/>
    <w:rsid w:val="00A65B9C"/>
    <w:rsid w:val="00A65C4B"/>
    <w:rsid w:val="00A65D11"/>
    <w:rsid w:val="00A65E0F"/>
    <w:rsid w:val="00A65F32"/>
    <w:rsid w:val="00A65F75"/>
    <w:rsid w:val="00A6608D"/>
    <w:rsid w:val="00A66127"/>
    <w:rsid w:val="00A66141"/>
    <w:rsid w:val="00A66160"/>
    <w:rsid w:val="00A66263"/>
    <w:rsid w:val="00A66306"/>
    <w:rsid w:val="00A66377"/>
    <w:rsid w:val="00A663D4"/>
    <w:rsid w:val="00A663E9"/>
    <w:rsid w:val="00A66503"/>
    <w:rsid w:val="00A6655E"/>
    <w:rsid w:val="00A66581"/>
    <w:rsid w:val="00A6660D"/>
    <w:rsid w:val="00A666ED"/>
    <w:rsid w:val="00A666F2"/>
    <w:rsid w:val="00A66791"/>
    <w:rsid w:val="00A669B9"/>
    <w:rsid w:val="00A66A5E"/>
    <w:rsid w:val="00A66B70"/>
    <w:rsid w:val="00A66BC0"/>
    <w:rsid w:val="00A66C90"/>
    <w:rsid w:val="00A66D13"/>
    <w:rsid w:val="00A66D20"/>
    <w:rsid w:val="00A66D3F"/>
    <w:rsid w:val="00A66E53"/>
    <w:rsid w:val="00A66E84"/>
    <w:rsid w:val="00A66F81"/>
    <w:rsid w:val="00A66FB0"/>
    <w:rsid w:val="00A66FF7"/>
    <w:rsid w:val="00A6700F"/>
    <w:rsid w:val="00A6707B"/>
    <w:rsid w:val="00A67126"/>
    <w:rsid w:val="00A671A6"/>
    <w:rsid w:val="00A673CA"/>
    <w:rsid w:val="00A6748C"/>
    <w:rsid w:val="00A676C1"/>
    <w:rsid w:val="00A67777"/>
    <w:rsid w:val="00A6779D"/>
    <w:rsid w:val="00A6792B"/>
    <w:rsid w:val="00A67930"/>
    <w:rsid w:val="00A67A14"/>
    <w:rsid w:val="00A67AD0"/>
    <w:rsid w:val="00A67C9B"/>
    <w:rsid w:val="00A67D50"/>
    <w:rsid w:val="00A67D51"/>
    <w:rsid w:val="00A67E9E"/>
    <w:rsid w:val="00A67EA4"/>
    <w:rsid w:val="00A67F77"/>
    <w:rsid w:val="00A70007"/>
    <w:rsid w:val="00A7006D"/>
    <w:rsid w:val="00A701F6"/>
    <w:rsid w:val="00A70218"/>
    <w:rsid w:val="00A70390"/>
    <w:rsid w:val="00A7041D"/>
    <w:rsid w:val="00A704C4"/>
    <w:rsid w:val="00A70572"/>
    <w:rsid w:val="00A705FF"/>
    <w:rsid w:val="00A7068A"/>
    <w:rsid w:val="00A70790"/>
    <w:rsid w:val="00A707B0"/>
    <w:rsid w:val="00A70856"/>
    <w:rsid w:val="00A708F5"/>
    <w:rsid w:val="00A70980"/>
    <w:rsid w:val="00A70A6E"/>
    <w:rsid w:val="00A70A9E"/>
    <w:rsid w:val="00A70B7E"/>
    <w:rsid w:val="00A70C5C"/>
    <w:rsid w:val="00A70CB4"/>
    <w:rsid w:val="00A70D47"/>
    <w:rsid w:val="00A70DD9"/>
    <w:rsid w:val="00A70E9F"/>
    <w:rsid w:val="00A70F8C"/>
    <w:rsid w:val="00A7109B"/>
    <w:rsid w:val="00A7115E"/>
    <w:rsid w:val="00A7130F"/>
    <w:rsid w:val="00A71335"/>
    <w:rsid w:val="00A71416"/>
    <w:rsid w:val="00A7141C"/>
    <w:rsid w:val="00A71429"/>
    <w:rsid w:val="00A71491"/>
    <w:rsid w:val="00A7151B"/>
    <w:rsid w:val="00A715D2"/>
    <w:rsid w:val="00A71623"/>
    <w:rsid w:val="00A71634"/>
    <w:rsid w:val="00A71678"/>
    <w:rsid w:val="00A716D2"/>
    <w:rsid w:val="00A71720"/>
    <w:rsid w:val="00A7172A"/>
    <w:rsid w:val="00A7178F"/>
    <w:rsid w:val="00A718B6"/>
    <w:rsid w:val="00A71902"/>
    <w:rsid w:val="00A7191E"/>
    <w:rsid w:val="00A719A5"/>
    <w:rsid w:val="00A71ACC"/>
    <w:rsid w:val="00A71BC5"/>
    <w:rsid w:val="00A71BD6"/>
    <w:rsid w:val="00A71D0B"/>
    <w:rsid w:val="00A71D3C"/>
    <w:rsid w:val="00A71E92"/>
    <w:rsid w:val="00A7214F"/>
    <w:rsid w:val="00A722D2"/>
    <w:rsid w:val="00A72331"/>
    <w:rsid w:val="00A7249E"/>
    <w:rsid w:val="00A72520"/>
    <w:rsid w:val="00A72553"/>
    <w:rsid w:val="00A72663"/>
    <w:rsid w:val="00A7271D"/>
    <w:rsid w:val="00A72790"/>
    <w:rsid w:val="00A728ED"/>
    <w:rsid w:val="00A7295E"/>
    <w:rsid w:val="00A7296E"/>
    <w:rsid w:val="00A7297C"/>
    <w:rsid w:val="00A729DB"/>
    <w:rsid w:val="00A72AAE"/>
    <w:rsid w:val="00A72B2E"/>
    <w:rsid w:val="00A72B74"/>
    <w:rsid w:val="00A72BA2"/>
    <w:rsid w:val="00A72C3C"/>
    <w:rsid w:val="00A72C76"/>
    <w:rsid w:val="00A72D14"/>
    <w:rsid w:val="00A72D38"/>
    <w:rsid w:val="00A72D52"/>
    <w:rsid w:val="00A72DE2"/>
    <w:rsid w:val="00A72E27"/>
    <w:rsid w:val="00A72E46"/>
    <w:rsid w:val="00A72EA7"/>
    <w:rsid w:val="00A72EB7"/>
    <w:rsid w:val="00A73001"/>
    <w:rsid w:val="00A73015"/>
    <w:rsid w:val="00A7302C"/>
    <w:rsid w:val="00A730AE"/>
    <w:rsid w:val="00A730D4"/>
    <w:rsid w:val="00A7311B"/>
    <w:rsid w:val="00A73149"/>
    <w:rsid w:val="00A732E2"/>
    <w:rsid w:val="00A73351"/>
    <w:rsid w:val="00A73366"/>
    <w:rsid w:val="00A733FE"/>
    <w:rsid w:val="00A7354C"/>
    <w:rsid w:val="00A735D6"/>
    <w:rsid w:val="00A735F3"/>
    <w:rsid w:val="00A736CC"/>
    <w:rsid w:val="00A736F2"/>
    <w:rsid w:val="00A737B7"/>
    <w:rsid w:val="00A7384A"/>
    <w:rsid w:val="00A7385B"/>
    <w:rsid w:val="00A739DA"/>
    <w:rsid w:val="00A73A1F"/>
    <w:rsid w:val="00A73D63"/>
    <w:rsid w:val="00A73DE2"/>
    <w:rsid w:val="00A73E1E"/>
    <w:rsid w:val="00A7401C"/>
    <w:rsid w:val="00A7407F"/>
    <w:rsid w:val="00A74204"/>
    <w:rsid w:val="00A7429E"/>
    <w:rsid w:val="00A744C8"/>
    <w:rsid w:val="00A74664"/>
    <w:rsid w:val="00A74704"/>
    <w:rsid w:val="00A7488D"/>
    <w:rsid w:val="00A74901"/>
    <w:rsid w:val="00A74B75"/>
    <w:rsid w:val="00A74C91"/>
    <w:rsid w:val="00A74DD6"/>
    <w:rsid w:val="00A74DDA"/>
    <w:rsid w:val="00A74DE2"/>
    <w:rsid w:val="00A74E0C"/>
    <w:rsid w:val="00A74E77"/>
    <w:rsid w:val="00A74EB1"/>
    <w:rsid w:val="00A74F1D"/>
    <w:rsid w:val="00A74F5E"/>
    <w:rsid w:val="00A74F9D"/>
    <w:rsid w:val="00A75142"/>
    <w:rsid w:val="00A751AA"/>
    <w:rsid w:val="00A751B0"/>
    <w:rsid w:val="00A75236"/>
    <w:rsid w:val="00A752D7"/>
    <w:rsid w:val="00A7558A"/>
    <w:rsid w:val="00A755E4"/>
    <w:rsid w:val="00A7568A"/>
    <w:rsid w:val="00A7570F"/>
    <w:rsid w:val="00A75737"/>
    <w:rsid w:val="00A75769"/>
    <w:rsid w:val="00A7579E"/>
    <w:rsid w:val="00A7592E"/>
    <w:rsid w:val="00A75A19"/>
    <w:rsid w:val="00A75AC5"/>
    <w:rsid w:val="00A75AF9"/>
    <w:rsid w:val="00A75B63"/>
    <w:rsid w:val="00A75C0B"/>
    <w:rsid w:val="00A75D01"/>
    <w:rsid w:val="00A75EB6"/>
    <w:rsid w:val="00A75EF8"/>
    <w:rsid w:val="00A75F2D"/>
    <w:rsid w:val="00A75FD3"/>
    <w:rsid w:val="00A7616D"/>
    <w:rsid w:val="00A76192"/>
    <w:rsid w:val="00A761CC"/>
    <w:rsid w:val="00A7621C"/>
    <w:rsid w:val="00A76229"/>
    <w:rsid w:val="00A7624A"/>
    <w:rsid w:val="00A76273"/>
    <w:rsid w:val="00A762E0"/>
    <w:rsid w:val="00A7632F"/>
    <w:rsid w:val="00A763A0"/>
    <w:rsid w:val="00A763BF"/>
    <w:rsid w:val="00A76495"/>
    <w:rsid w:val="00A7658D"/>
    <w:rsid w:val="00A7660E"/>
    <w:rsid w:val="00A7666F"/>
    <w:rsid w:val="00A766F7"/>
    <w:rsid w:val="00A767E0"/>
    <w:rsid w:val="00A767F7"/>
    <w:rsid w:val="00A7681A"/>
    <w:rsid w:val="00A7683D"/>
    <w:rsid w:val="00A7685F"/>
    <w:rsid w:val="00A768BE"/>
    <w:rsid w:val="00A769D8"/>
    <w:rsid w:val="00A76A4F"/>
    <w:rsid w:val="00A76A9D"/>
    <w:rsid w:val="00A76B20"/>
    <w:rsid w:val="00A76B93"/>
    <w:rsid w:val="00A76BE3"/>
    <w:rsid w:val="00A76C5D"/>
    <w:rsid w:val="00A76C7B"/>
    <w:rsid w:val="00A76DE0"/>
    <w:rsid w:val="00A76E19"/>
    <w:rsid w:val="00A76E57"/>
    <w:rsid w:val="00A76E6C"/>
    <w:rsid w:val="00A76F5C"/>
    <w:rsid w:val="00A76FCE"/>
    <w:rsid w:val="00A77078"/>
    <w:rsid w:val="00A77122"/>
    <w:rsid w:val="00A7723D"/>
    <w:rsid w:val="00A77264"/>
    <w:rsid w:val="00A7728B"/>
    <w:rsid w:val="00A77536"/>
    <w:rsid w:val="00A77547"/>
    <w:rsid w:val="00A7754B"/>
    <w:rsid w:val="00A77566"/>
    <w:rsid w:val="00A77698"/>
    <w:rsid w:val="00A776FE"/>
    <w:rsid w:val="00A7773D"/>
    <w:rsid w:val="00A777D8"/>
    <w:rsid w:val="00A7781C"/>
    <w:rsid w:val="00A7781D"/>
    <w:rsid w:val="00A778FB"/>
    <w:rsid w:val="00A779CC"/>
    <w:rsid w:val="00A779D9"/>
    <w:rsid w:val="00A77A0B"/>
    <w:rsid w:val="00A77A80"/>
    <w:rsid w:val="00A77A91"/>
    <w:rsid w:val="00A77C16"/>
    <w:rsid w:val="00A77CA1"/>
    <w:rsid w:val="00A77CFB"/>
    <w:rsid w:val="00A77D57"/>
    <w:rsid w:val="00A77D63"/>
    <w:rsid w:val="00A77DC0"/>
    <w:rsid w:val="00A77DC2"/>
    <w:rsid w:val="00A77DF0"/>
    <w:rsid w:val="00A77EBC"/>
    <w:rsid w:val="00A77FE9"/>
    <w:rsid w:val="00A80078"/>
    <w:rsid w:val="00A800F1"/>
    <w:rsid w:val="00A8023E"/>
    <w:rsid w:val="00A8026A"/>
    <w:rsid w:val="00A802ED"/>
    <w:rsid w:val="00A8034B"/>
    <w:rsid w:val="00A803AB"/>
    <w:rsid w:val="00A80431"/>
    <w:rsid w:val="00A805A4"/>
    <w:rsid w:val="00A805AA"/>
    <w:rsid w:val="00A80625"/>
    <w:rsid w:val="00A80794"/>
    <w:rsid w:val="00A80962"/>
    <w:rsid w:val="00A809E7"/>
    <w:rsid w:val="00A80AF0"/>
    <w:rsid w:val="00A80B6A"/>
    <w:rsid w:val="00A80BA0"/>
    <w:rsid w:val="00A80BF9"/>
    <w:rsid w:val="00A80C8A"/>
    <w:rsid w:val="00A80D90"/>
    <w:rsid w:val="00A80DF5"/>
    <w:rsid w:val="00A80F8D"/>
    <w:rsid w:val="00A80FDC"/>
    <w:rsid w:val="00A81148"/>
    <w:rsid w:val="00A81184"/>
    <w:rsid w:val="00A81283"/>
    <w:rsid w:val="00A812F4"/>
    <w:rsid w:val="00A814A7"/>
    <w:rsid w:val="00A814DB"/>
    <w:rsid w:val="00A81504"/>
    <w:rsid w:val="00A815B5"/>
    <w:rsid w:val="00A8165F"/>
    <w:rsid w:val="00A81753"/>
    <w:rsid w:val="00A81774"/>
    <w:rsid w:val="00A81781"/>
    <w:rsid w:val="00A817CF"/>
    <w:rsid w:val="00A81A4F"/>
    <w:rsid w:val="00A81B10"/>
    <w:rsid w:val="00A81BAE"/>
    <w:rsid w:val="00A81C23"/>
    <w:rsid w:val="00A81C24"/>
    <w:rsid w:val="00A81D7F"/>
    <w:rsid w:val="00A81DD5"/>
    <w:rsid w:val="00A82031"/>
    <w:rsid w:val="00A8208A"/>
    <w:rsid w:val="00A821E0"/>
    <w:rsid w:val="00A82360"/>
    <w:rsid w:val="00A82417"/>
    <w:rsid w:val="00A825B5"/>
    <w:rsid w:val="00A825B7"/>
    <w:rsid w:val="00A826D2"/>
    <w:rsid w:val="00A82773"/>
    <w:rsid w:val="00A82785"/>
    <w:rsid w:val="00A8279C"/>
    <w:rsid w:val="00A8289D"/>
    <w:rsid w:val="00A828AC"/>
    <w:rsid w:val="00A82952"/>
    <w:rsid w:val="00A82993"/>
    <w:rsid w:val="00A829CF"/>
    <w:rsid w:val="00A829EC"/>
    <w:rsid w:val="00A82B82"/>
    <w:rsid w:val="00A82CB2"/>
    <w:rsid w:val="00A82D08"/>
    <w:rsid w:val="00A82D99"/>
    <w:rsid w:val="00A82DD9"/>
    <w:rsid w:val="00A82E0A"/>
    <w:rsid w:val="00A82E26"/>
    <w:rsid w:val="00A82EFA"/>
    <w:rsid w:val="00A8305B"/>
    <w:rsid w:val="00A830FF"/>
    <w:rsid w:val="00A8311D"/>
    <w:rsid w:val="00A83120"/>
    <w:rsid w:val="00A8320E"/>
    <w:rsid w:val="00A83291"/>
    <w:rsid w:val="00A832C8"/>
    <w:rsid w:val="00A833BD"/>
    <w:rsid w:val="00A83448"/>
    <w:rsid w:val="00A8358A"/>
    <w:rsid w:val="00A8388D"/>
    <w:rsid w:val="00A83928"/>
    <w:rsid w:val="00A83A07"/>
    <w:rsid w:val="00A83A5B"/>
    <w:rsid w:val="00A83C7F"/>
    <w:rsid w:val="00A83CDD"/>
    <w:rsid w:val="00A83DC5"/>
    <w:rsid w:val="00A83DE3"/>
    <w:rsid w:val="00A83E2E"/>
    <w:rsid w:val="00A83E92"/>
    <w:rsid w:val="00A83EEA"/>
    <w:rsid w:val="00A83EF5"/>
    <w:rsid w:val="00A83FC7"/>
    <w:rsid w:val="00A83FED"/>
    <w:rsid w:val="00A83FEF"/>
    <w:rsid w:val="00A840E3"/>
    <w:rsid w:val="00A840E5"/>
    <w:rsid w:val="00A84111"/>
    <w:rsid w:val="00A84114"/>
    <w:rsid w:val="00A8411F"/>
    <w:rsid w:val="00A84232"/>
    <w:rsid w:val="00A84351"/>
    <w:rsid w:val="00A843DB"/>
    <w:rsid w:val="00A844D3"/>
    <w:rsid w:val="00A844F0"/>
    <w:rsid w:val="00A84684"/>
    <w:rsid w:val="00A84697"/>
    <w:rsid w:val="00A8474E"/>
    <w:rsid w:val="00A847C0"/>
    <w:rsid w:val="00A84859"/>
    <w:rsid w:val="00A849C6"/>
    <w:rsid w:val="00A849E8"/>
    <w:rsid w:val="00A84A7F"/>
    <w:rsid w:val="00A84B08"/>
    <w:rsid w:val="00A84B12"/>
    <w:rsid w:val="00A84B99"/>
    <w:rsid w:val="00A84C2E"/>
    <w:rsid w:val="00A84C7F"/>
    <w:rsid w:val="00A84D99"/>
    <w:rsid w:val="00A84E6A"/>
    <w:rsid w:val="00A84E8A"/>
    <w:rsid w:val="00A84EAD"/>
    <w:rsid w:val="00A84ED3"/>
    <w:rsid w:val="00A84F1D"/>
    <w:rsid w:val="00A84FB6"/>
    <w:rsid w:val="00A85001"/>
    <w:rsid w:val="00A85032"/>
    <w:rsid w:val="00A850B1"/>
    <w:rsid w:val="00A850CD"/>
    <w:rsid w:val="00A850D1"/>
    <w:rsid w:val="00A851B6"/>
    <w:rsid w:val="00A8526E"/>
    <w:rsid w:val="00A852EB"/>
    <w:rsid w:val="00A852F3"/>
    <w:rsid w:val="00A85409"/>
    <w:rsid w:val="00A8546E"/>
    <w:rsid w:val="00A85614"/>
    <w:rsid w:val="00A85776"/>
    <w:rsid w:val="00A85809"/>
    <w:rsid w:val="00A8586F"/>
    <w:rsid w:val="00A85A9F"/>
    <w:rsid w:val="00A85AA8"/>
    <w:rsid w:val="00A85ACE"/>
    <w:rsid w:val="00A85B22"/>
    <w:rsid w:val="00A85B3E"/>
    <w:rsid w:val="00A85B41"/>
    <w:rsid w:val="00A85CE2"/>
    <w:rsid w:val="00A85D78"/>
    <w:rsid w:val="00A85E1C"/>
    <w:rsid w:val="00A85F06"/>
    <w:rsid w:val="00A85F24"/>
    <w:rsid w:val="00A86026"/>
    <w:rsid w:val="00A8608D"/>
    <w:rsid w:val="00A86141"/>
    <w:rsid w:val="00A8618C"/>
    <w:rsid w:val="00A861D2"/>
    <w:rsid w:val="00A861F7"/>
    <w:rsid w:val="00A86323"/>
    <w:rsid w:val="00A86356"/>
    <w:rsid w:val="00A86360"/>
    <w:rsid w:val="00A863C1"/>
    <w:rsid w:val="00A863D0"/>
    <w:rsid w:val="00A864CD"/>
    <w:rsid w:val="00A86545"/>
    <w:rsid w:val="00A8655F"/>
    <w:rsid w:val="00A865EA"/>
    <w:rsid w:val="00A86746"/>
    <w:rsid w:val="00A8674B"/>
    <w:rsid w:val="00A867C8"/>
    <w:rsid w:val="00A8681E"/>
    <w:rsid w:val="00A868E0"/>
    <w:rsid w:val="00A86945"/>
    <w:rsid w:val="00A86952"/>
    <w:rsid w:val="00A869F6"/>
    <w:rsid w:val="00A86A53"/>
    <w:rsid w:val="00A86A80"/>
    <w:rsid w:val="00A86AC7"/>
    <w:rsid w:val="00A86ACD"/>
    <w:rsid w:val="00A86AE9"/>
    <w:rsid w:val="00A86AEC"/>
    <w:rsid w:val="00A86B9D"/>
    <w:rsid w:val="00A86BD6"/>
    <w:rsid w:val="00A86C5D"/>
    <w:rsid w:val="00A86D3B"/>
    <w:rsid w:val="00A86D9F"/>
    <w:rsid w:val="00A86E00"/>
    <w:rsid w:val="00A86E14"/>
    <w:rsid w:val="00A86E86"/>
    <w:rsid w:val="00A86EF3"/>
    <w:rsid w:val="00A86F92"/>
    <w:rsid w:val="00A87028"/>
    <w:rsid w:val="00A87073"/>
    <w:rsid w:val="00A870B5"/>
    <w:rsid w:val="00A870BF"/>
    <w:rsid w:val="00A870C3"/>
    <w:rsid w:val="00A87241"/>
    <w:rsid w:val="00A8730F"/>
    <w:rsid w:val="00A8739F"/>
    <w:rsid w:val="00A87465"/>
    <w:rsid w:val="00A875B1"/>
    <w:rsid w:val="00A87649"/>
    <w:rsid w:val="00A876DD"/>
    <w:rsid w:val="00A877DB"/>
    <w:rsid w:val="00A8790E"/>
    <w:rsid w:val="00A87952"/>
    <w:rsid w:val="00A87986"/>
    <w:rsid w:val="00A879C4"/>
    <w:rsid w:val="00A879F4"/>
    <w:rsid w:val="00A87A15"/>
    <w:rsid w:val="00A87A26"/>
    <w:rsid w:val="00A87B2A"/>
    <w:rsid w:val="00A87B36"/>
    <w:rsid w:val="00A87B58"/>
    <w:rsid w:val="00A87B92"/>
    <w:rsid w:val="00A87C71"/>
    <w:rsid w:val="00A87CB9"/>
    <w:rsid w:val="00A87D62"/>
    <w:rsid w:val="00A87D97"/>
    <w:rsid w:val="00A87DE4"/>
    <w:rsid w:val="00A87EF8"/>
    <w:rsid w:val="00A87FD9"/>
    <w:rsid w:val="00A901DD"/>
    <w:rsid w:val="00A902A1"/>
    <w:rsid w:val="00A90329"/>
    <w:rsid w:val="00A90351"/>
    <w:rsid w:val="00A90401"/>
    <w:rsid w:val="00A9049B"/>
    <w:rsid w:val="00A904F0"/>
    <w:rsid w:val="00A90539"/>
    <w:rsid w:val="00A90660"/>
    <w:rsid w:val="00A90682"/>
    <w:rsid w:val="00A90725"/>
    <w:rsid w:val="00A90776"/>
    <w:rsid w:val="00A908D5"/>
    <w:rsid w:val="00A908FF"/>
    <w:rsid w:val="00A90916"/>
    <w:rsid w:val="00A909BD"/>
    <w:rsid w:val="00A909C1"/>
    <w:rsid w:val="00A90A63"/>
    <w:rsid w:val="00A90AE5"/>
    <w:rsid w:val="00A90B73"/>
    <w:rsid w:val="00A90BC7"/>
    <w:rsid w:val="00A90BD4"/>
    <w:rsid w:val="00A90CDB"/>
    <w:rsid w:val="00A90CE3"/>
    <w:rsid w:val="00A90D29"/>
    <w:rsid w:val="00A90E78"/>
    <w:rsid w:val="00A90ECF"/>
    <w:rsid w:val="00A90EEA"/>
    <w:rsid w:val="00A90F86"/>
    <w:rsid w:val="00A90FEF"/>
    <w:rsid w:val="00A91009"/>
    <w:rsid w:val="00A910EC"/>
    <w:rsid w:val="00A910ED"/>
    <w:rsid w:val="00A911FE"/>
    <w:rsid w:val="00A91250"/>
    <w:rsid w:val="00A91358"/>
    <w:rsid w:val="00A91368"/>
    <w:rsid w:val="00A91453"/>
    <w:rsid w:val="00A914A6"/>
    <w:rsid w:val="00A91523"/>
    <w:rsid w:val="00A918B2"/>
    <w:rsid w:val="00A919A8"/>
    <w:rsid w:val="00A919AE"/>
    <w:rsid w:val="00A919B6"/>
    <w:rsid w:val="00A919B7"/>
    <w:rsid w:val="00A919CC"/>
    <w:rsid w:val="00A919E8"/>
    <w:rsid w:val="00A91A34"/>
    <w:rsid w:val="00A91AB5"/>
    <w:rsid w:val="00A91BA7"/>
    <w:rsid w:val="00A91BAC"/>
    <w:rsid w:val="00A91C05"/>
    <w:rsid w:val="00A91C7C"/>
    <w:rsid w:val="00A91D06"/>
    <w:rsid w:val="00A91D87"/>
    <w:rsid w:val="00A91E86"/>
    <w:rsid w:val="00A91E97"/>
    <w:rsid w:val="00A91F7C"/>
    <w:rsid w:val="00A92077"/>
    <w:rsid w:val="00A920AD"/>
    <w:rsid w:val="00A920DB"/>
    <w:rsid w:val="00A9212F"/>
    <w:rsid w:val="00A92268"/>
    <w:rsid w:val="00A922C2"/>
    <w:rsid w:val="00A92400"/>
    <w:rsid w:val="00A92462"/>
    <w:rsid w:val="00A92509"/>
    <w:rsid w:val="00A9251F"/>
    <w:rsid w:val="00A92533"/>
    <w:rsid w:val="00A92726"/>
    <w:rsid w:val="00A92843"/>
    <w:rsid w:val="00A92868"/>
    <w:rsid w:val="00A9291B"/>
    <w:rsid w:val="00A929AC"/>
    <w:rsid w:val="00A92A36"/>
    <w:rsid w:val="00A92A6A"/>
    <w:rsid w:val="00A92AC0"/>
    <w:rsid w:val="00A92ACA"/>
    <w:rsid w:val="00A92ADD"/>
    <w:rsid w:val="00A92AF0"/>
    <w:rsid w:val="00A92D37"/>
    <w:rsid w:val="00A92DFC"/>
    <w:rsid w:val="00A92E55"/>
    <w:rsid w:val="00A92ECB"/>
    <w:rsid w:val="00A92FD3"/>
    <w:rsid w:val="00A93058"/>
    <w:rsid w:val="00A9313E"/>
    <w:rsid w:val="00A93141"/>
    <w:rsid w:val="00A93173"/>
    <w:rsid w:val="00A9329C"/>
    <w:rsid w:val="00A932C7"/>
    <w:rsid w:val="00A932CA"/>
    <w:rsid w:val="00A93351"/>
    <w:rsid w:val="00A93368"/>
    <w:rsid w:val="00A9341F"/>
    <w:rsid w:val="00A93446"/>
    <w:rsid w:val="00A93466"/>
    <w:rsid w:val="00A934A2"/>
    <w:rsid w:val="00A934E6"/>
    <w:rsid w:val="00A9356D"/>
    <w:rsid w:val="00A936D8"/>
    <w:rsid w:val="00A93870"/>
    <w:rsid w:val="00A93B3D"/>
    <w:rsid w:val="00A93CA1"/>
    <w:rsid w:val="00A93D66"/>
    <w:rsid w:val="00A93DFF"/>
    <w:rsid w:val="00A93F8B"/>
    <w:rsid w:val="00A94061"/>
    <w:rsid w:val="00A94137"/>
    <w:rsid w:val="00A9414E"/>
    <w:rsid w:val="00A94218"/>
    <w:rsid w:val="00A942FE"/>
    <w:rsid w:val="00A94473"/>
    <w:rsid w:val="00A944A9"/>
    <w:rsid w:val="00A944B6"/>
    <w:rsid w:val="00A944D8"/>
    <w:rsid w:val="00A94526"/>
    <w:rsid w:val="00A9471F"/>
    <w:rsid w:val="00A948CF"/>
    <w:rsid w:val="00A949B1"/>
    <w:rsid w:val="00A94C58"/>
    <w:rsid w:val="00A94C61"/>
    <w:rsid w:val="00A94D1E"/>
    <w:rsid w:val="00A94EA7"/>
    <w:rsid w:val="00A94ECA"/>
    <w:rsid w:val="00A94ED5"/>
    <w:rsid w:val="00A94F1C"/>
    <w:rsid w:val="00A950EE"/>
    <w:rsid w:val="00A9511F"/>
    <w:rsid w:val="00A9515A"/>
    <w:rsid w:val="00A951D8"/>
    <w:rsid w:val="00A951E0"/>
    <w:rsid w:val="00A95231"/>
    <w:rsid w:val="00A95410"/>
    <w:rsid w:val="00A95417"/>
    <w:rsid w:val="00A9542A"/>
    <w:rsid w:val="00A9542C"/>
    <w:rsid w:val="00A9550C"/>
    <w:rsid w:val="00A955D4"/>
    <w:rsid w:val="00A955DA"/>
    <w:rsid w:val="00A95725"/>
    <w:rsid w:val="00A9577B"/>
    <w:rsid w:val="00A95812"/>
    <w:rsid w:val="00A95821"/>
    <w:rsid w:val="00A959B9"/>
    <w:rsid w:val="00A959C3"/>
    <w:rsid w:val="00A95ABE"/>
    <w:rsid w:val="00A95AF7"/>
    <w:rsid w:val="00A95B78"/>
    <w:rsid w:val="00A95C7C"/>
    <w:rsid w:val="00A95CA1"/>
    <w:rsid w:val="00A95D93"/>
    <w:rsid w:val="00A95DB4"/>
    <w:rsid w:val="00A95E45"/>
    <w:rsid w:val="00A95F01"/>
    <w:rsid w:val="00A95FD2"/>
    <w:rsid w:val="00A96004"/>
    <w:rsid w:val="00A9609C"/>
    <w:rsid w:val="00A9611A"/>
    <w:rsid w:val="00A9613B"/>
    <w:rsid w:val="00A9614B"/>
    <w:rsid w:val="00A9618F"/>
    <w:rsid w:val="00A9624B"/>
    <w:rsid w:val="00A96252"/>
    <w:rsid w:val="00A96321"/>
    <w:rsid w:val="00A96368"/>
    <w:rsid w:val="00A9641B"/>
    <w:rsid w:val="00A96490"/>
    <w:rsid w:val="00A964C2"/>
    <w:rsid w:val="00A964FE"/>
    <w:rsid w:val="00A96637"/>
    <w:rsid w:val="00A966D5"/>
    <w:rsid w:val="00A9682D"/>
    <w:rsid w:val="00A96849"/>
    <w:rsid w:val="00A968CA"/>
    <w:rsid w:val="00A96960"/>
    <w:rsid w:val="00A96BA9"/>
    <w:rsid w:val="00A96BE6"/>
    <w:rsid w:val="00A96C7C"/>
    <w:rsid w:val="00A96C98"/>
    <w:rsid w:val="00A96CB9"/>
    <w:rsid w:val="00A96CEE"/>
    <w:rsid w:val="00A96E18"/>
    <w:rsid w:val="00A96ED8"/>
    <w:rsid w:val="00A96FF1"/>
    <w:rsid w:val="00A970CF"/>
    <w:rsid w:val="00A971B7"/>
    <w:rsid w:val="00A971C9"/>
    <w:rsid w:val="00A97209"/>
    <w:rsid w:val="00A9726A"/>
    <w:rsid w:val="00A9729E"/>
    <w:rsid w:val="00A972B8"/>
    <w:rsid w:val="00A972EE"/>
    <w:rsid w:val="00A975F0"/>
    <w:rsid w:val="00A9761C"/>
    <w:rsid w:val="00A976EC"/>
    <w:rsid w:val="00A97788"/>
    <w:rsid w:val="00A97872"/>
    <w:rsid w:val="00A978A3"/>
    <w:rsid w:val="00A9792F"/>
    <w:rsid w:val="00A979B7"/>
    <w:rsid w:val="00A97B1D"/>
    <w:rsid w:val="00A97B87"/>
    <w:rsid w:val="00A97DD2"/>
    <w:rsid w:val="00A97E52"/>
    <w:rsid w:val="00A97EE2"/>
    <w:rsid w:val="00A97F7D"/>
    <w:rsid w:val="00AA008F"/>
    <w:rsid w:val="00AA00F9"/>
    <w:rsid w:val="00AA0124"/>
    <w:rsid w:val="00AA017F"/>
    <w:rsid w:val="00AA021F"/>
    <w:rsid w:val="00AA02BF"/>
    <w:rsid w:val="00AA030C"/>
    <w:rsid w:val="00AA0318"/>
    <w:rsid w:val="00AA0329"/>
    <w:rsid w:val="00AA0478"/>
    <w:rsid w:val="00AA04BE"/>
    <w:rsid w:val="00AA0668"/>
    <w:rsid w:val="00AA0698"/>
    <w:rsid w:val="00AA0724"/>
    <w:rsid w:val="00AA0908"/>
    <w:rsid w:val="00AA09D3"/>
    <w:rsid w:val="00AA09D9"/>
    <w:rsid w:val="00AA0B8E"/>
    <w:rsid w:val="00AA0C03"/>
    <w:rsid w:val="00AA0C88"/>
    <w:rsid w:val="00AA0D50"/>
    <w:rsid w:val="00AA0EA3"/>
    <w:rsid w:val="00AA0EC7"/>
    <w:rsid w:val="00AA0F70"/>
    <w:rsid w:val="00AA1091"/>
    <w:rsid w:val="00AA1149"/>
    <w:rsid w:val="00AA1161"/>
    <w:rsid w:val="00AA12B1"/>
    <w:rsid w:val="00AA133E"/>
    <w:rsid w:val="00AA1388"/>
    <w:rsid w:val="00AA13C6"/>
    <w:rsid w:val="00AA14C3"/>
    <w:rsid w:val="00AA1512"/>
    <w:rsid w:val="00AA158D"/>
    <w:rsid w:val="00AA1640"/>
    <w:rsid w:val="00AA1788"/>
    <w:rsid w:val="00AA18B2"/>
    <w:rsid w:val="00AA191D"/>
    <w:rsid w:val="00AA1A4F"/>
    <w:rsid w:val="00AA1A8E"/>
    <w:rsid w:val="00AA1ADE"/>
    <w:rsid w:val="00AA1BEF"/>
    <w:rsid w:val="00AA1C50"/>
    <w:rsid w:val="00AA1CC2"/>
    <w:rsid w:val="00AA1CF0"/>
    <w:rsid w:val="00AA1DD4"/>
    <w:rsid w:val="00AA1E02"/>
    <w:rsid w:val="00AA1E8D"/>
    <w:rsid w:val="00AA1F04"/>
    <w:rsid w:val="00AA20E9"/>
    <w:rsid w:val="00AA20FF"/>
    <w:rsid w:val="00AA214F"/>
    <w:rsid w:val="00AA2227"/>
    <w:rsid w:val="00AA2242"/>
    <w:rsid w:val="00AA224A"/>
    <w:rsid w:val="00AA22CA"/>
    <w:rsid w:val="00AA22CB"/>
    <w:rsid w:val="00AA233C"/>
    <w:rsid w:val="00AA2368"/>
    <w:rsid w:val="00AA2611"/>
    <w:rsid w:val="00AA264F"/>
    <w:rsid w:val="00AA26A1"/>
    <w:rsid w:val="00AA2802"/>
    <w:rsid w:val="00AA2813"/>
    <w:rsid w:val="00AA2A18"/>
    <w:rsid w:val="00AA2AD0"/>
    <w:rsid w:val="00AA2EE7"/>
    <w:rsid w:val="00AA2F63"/>
    <w:rsid w:val="00AA2F6A"/>
    <w:rsid w:val="00AA2F8C"/>
    <w:rsid w:val="00AA2FE9"/>
    <w:rsid w:val="00AA3022"/>
    <w:rsid w:val="00AA30B1"/>
    <w:rsid w:val="00AA331F"/>
    <w:rsid w:val="00AA3634"/>
    <w:rsid w:val="00AA3663"/>
    <w:rsid w:val="00AA3671"/>
    <w:rsid w:val="00AA379D"/>
    <w:rsid w:val="00AA37BB"/>
    <w:rsid w:val="00AA37D6"/>
    <w:rsid w:val="00AA3815"/>
    <w:rsid w:val="00AA38B2"/>
    <w:rsid w:val="00AA39C6"/>
    <w:rsid w:val="00AA3B0A"/>
    <w:rsid w:val="00AA3B10"/>
    <w:rsid w:val="00AA3B51"/>
    <w:rsid w:val="00AA3B8C"/>
    <w:rsid w:val="00AA3BB3"/>
    <w:rsid w:val="00AA3CB7"/>
    <w:rsid w:val="00AA3D25"/>
    <w:rsid w:val="00AA3D9F"/>
    <w:rsid w:val="00AA3F97"/>
    <w:rsid w:val="00AA4139"/>
    <w:rsid w:val="00AA417B"/>
    <w:rsid w:val="00AA41BB"/>
    <w:rsid w:val="00AA41D8"/>
    <w:rsid w:val="00AA42CF"/>
    <w:rsid w:val="00AA47DA"/>
    <w:rsid w:val="00AA4879"/>
    <w:rsid w:val="00AA48F8"/>
    <w:rsid w:val="00AA4A29"/>
    <w:rsid w:val="00AA4A3E"/>
    <w:rsid w:val="00AA4AC1"/>
    <w:rsid w:val="00AA4C1A"/>
    <w:rsid w:val="00AA4E7F"/>
    <w:rsid w:val="00AA4E99"/>
    <w:rsid w:val="00AA5096"/>
    <w:rsid w:val="00AA5146"/>
    <w:rsid w:val="00AA5150"/>
    <w:rsid w:val="00AA51EE"/>
    <w:rsid w:val="00AA542F"/>
    <w:rsid w:val="00AA5579"/>
    <w:rsid w:val="00AA5693"/>
    <w:rsid w:val="00AA5798"/>
    <w:rsid w:val="00AA57C1"/>
    <w:rsid w:val="00AA5800"/>
    <w:rsid w:val="00AA58CE"/>
    <w:rsid w:val="00AA59D5"/>
    <w:rsid w:val="00AA5A24"/>
    <w:rsid w:val="00AA5C2F"/>
    <w:rsid w:val="00AA5C4D"/>
    <w:rsid w:val="00AA5C92"/>
    <w:rsid w:val="00AA5D0E"/>
    <w:rsid w:val="00AA5D74"/>
    <w:rsid w:val="00AA5D8B"/>
    <w:rsid w:val="00AA5EC6"/>
    <w:rsid w:val="00AA5F92"/>
    <w:rsid w:val="00AA5F9D"/>
    <w:rsid w:val="00AA62FE"/>
    <w:rsid w:val="00AA6449"/>
    <w:rsid w:val="00AA64C2"/>
    <w:rsid w:val="00AA6574"/>
    <w:rsid w:val="00AA6621"/>
    <w:rsid w:val="00AA66B7"/>
    <w:rsid w:val="00AA66D0"/>
    <w:rsid w:val="00AA6A13"/>
    <w:rsid w:val="00AA6A5A"/>
    <w:rsid w:val="00AA6B59"/>
    <w:rsid w:val="00AA6B5C"/>
    <w:rsid w:val="00AA6C1E"/>
    <w:rsid w:val="00AA6CC6"/>
    <w:rsid w:val="00AA6D17"/>
    <w:rsid w:val="00AA6D2B"/>
    <w:rsid w:val="00AA6EA6"/>
    <w:rsid w:val="00AA6ECD"/>
    <w:rsid w:val="00AA6F56"/>
    <w:rsid w:val="00AA70BF"/>
    <w:rsid w:val="00AA71C7"/>
    <w:rsid w:val="00AA7200"/>
    <w:rsid w:val="00AA72E4"/>
    <w:rsid w:val="00AA74B8"/>
    <w:rsid w:val="00AA74EA"/>
    <w:rsid w:val="00AA7660"/>
    <w:rsid w:val="00AA76C1"/>
    <w:rsid w:val="00AA779B"/>
    <w:rsid w:val="00AA7983"/>
    <w:rsid w:val="00AA7A3D"/>
    <w:rsid w:val="00AA7A9B"/>
    <w:rsid w:val="00AA7B29"/>
    <w:rsid w:val="00AA7C68"/>
    <w:rsid w:val="00AA7CBF"/>
    <w:rsid w:val="00AA7D41"/>
    <w:rsid w:val="00AA7EE6"/>
    <w:rsid w:val="00AA7F58"/>
    <w:rsid w:val="00AB03B8"/>
    <w:rsid w:val="00AB0421"/>
    <w:rsid w:val="00AB042F"/>
    <w:rsid w:val="00AB0877"/>
    <w:rsid w:val="00AB0933"/>
    <w:rsid w:val="00AB0BB1"/>
    <w:rsid w:val="00AB0BEC"/>
    <w:rsid w:val="00AB0C22"/>
    <w:rsid w:val="00AB0CA2"/>
    <w:rsid w:val="00AB0CF4"/>
    <w:rsid w:val="00AB0D24"/>
    <w:rsid w:val="00AB0D54"/>
    <w:rsid w:val="00AB0E07"/>
    <w:rsid w:val="00AB0FB6"/>
    <w:rsid w:val="00AB107E"/>
    <w:rsid w:val="00AB10AC"/>
    <w:rsid w:val="00AB1208"/>
    <w:rsid w:val="00AB125D"/>
    <w:rsid w:val="00AB12CA"/>
    <w:rsid w:val="00AB130F"/>
    <w:rsid w:val="00AB14AA"/>
    <w:rsid w:val="00AB14C8"/>
    <w:rsid w:val="00AB15C1"/>
    <w:rsid w:val="00AB1620"/>
    <w:rsid w:val="00AB1633"/>
    <w:rsid w:val="00AB16DF"/>
    <w:rsid w:val="00AB172F"/>
    <w:rsid w:val="00AB1748"/>
    <w:rsid w:val="00AB178B"/>
    <w:rsid w:val="00AB186A"/>
    <w:rsid w:val="00AB186E"/>
    <w:rsid w:val="00AB18F6"/>
    <w:rsid w:val="00AB19B4"/>
    <w:rsid w:val="00AB1A30"/>
    <w:rsid w:val="00AB1A44"/>
    <w:rsid w:val="00AB1B3F"/>
    <w:rsid w:val="00AB1B65"/>
    <w:rsid w:val="00AB1F19"/>
    <w:rsid w:val="00AB1FA4"/>
    <w:rsid w:val="00AB1FAD"/>
    <w:rsid w:val="00AB2059"/>
    <w:rsid w:val="00AB20CD"/>
    <w:rsid w:val="00AB20F2"/>
    <w:rsid w:val="00AB21BE"/>
    <w:rsid w:val="00AB232C"/>
    <w:rsid w:val="00AB236D"/>
    <w:rsid w:val="00AB23D3"/>
    <w:rsid w:val="00AB252C"/>
    <w:rsid w:val="00AB25C9"/>
    <w:rsid w:val="00AB26B9"/>
    <w:rsid w:val="00AB2769"/>
    <w:rsid w:val="00AB281E"/>
    <w:rsid w:val="00AB2A9B"/>
    <w:rsid w:val="00AB2B9D"/>
    <w:rsid w:val="00AB2C07"/>
    <w:rsid w:val="00AB2DF2"/>
    <w:rsid w:val="00AB2E3C"/>
    <w:rsid w:val="00AB2F20"/>
    <w:rsid w:val="00AB2F42"/>
    <w:rsid w:val="00AB2F91"/>
    <w:rsid w:val="00AB2FA6"/>
    <w:rsid w:val="00AB3007"/>
    <w:rsid w:val="00AB30A6"/>
    <w:rsid w:val="00AB30D3"/>
    <w:rsid w:val="00AB313D"/>
    <w:rsid w:val="00AB315E"/>
    <w:rsid w:val="00AB3230"/>
    <w:rsid w:val="00AB32FF"/>
    <w:rsid w:val="00AB3352"/>
    <w:rsid w:val="00AB3702"/>
    <w:rsid w:val="00AB3711"/>
    <w:rsid w:val="00AB37AC"/>
    <w:rsid w:val="00AB3827"/>
    <w:rsid w:val="00AB38DA"/>
    <w:rsid w:val="00AB38EC"/>
    <w:rsid w:val="00AB3E78"/>
    <w:rsid w:val="00AB4103"/>
    <w:rsid w:val="00AB4199"/>
    <w:rsid w:val="00AB41A4"/>
    <w:rsid w:val="00AB42A5"/>
    <w:rsid w:val="00AB4476"/>
    <w:rsid w:val="00AB4577"/>
    <w:rsid w:val="00AB4620"/>
    <w:rsid w:val="00AB46C5"/>
    <w:rsid w:val="00AB46E5"/>
    <w:rsid w:val="00AB470A"/>
    <w:rsid w:val="00AB481B"/>
    <w:rsid w:val="00AB48D7"/>
    <w:rsid w:val="00AB492A"/>
    <w:rsid w:val="00AB498A"/>
    <w:rsid w:val="00AB49A3"/>
    <w:rsid w:val="00AB4BAC"/>
    <w:rsid w:val="00AB4BDC"/>
    <w:rsid w:val="00AB4C3C"/>
    <w:rsid w:val="00AB4CF0"/>
    <w:rsid w:val="00AB4D62"/>
    <w:rsid w:val="00AB4E39"/>
    <w:rsid w:val="00AB4E77"/>
    <w:rsid w:val="00AB4F0B"/>
    <w:rsid w:val="00AB4F30"/>
    <w:rsid w:val="00AB5124"/>
    <w:rsid w:val="00AB5216"/>
    <w:rsid w:val="00AB5269"/>
    <w:rsid w:val="00AB537E"/>
    <w:rsid w:val="00AB53F9"/>
    <w:rsid w:val="00AB5410"/>
    <w:rsid w:val="00AB5452"/>
    <w:rsid w:val="00AB55A7"/>
    <w:rsid w:val="00AB5635"/>
    <w:rsid w:val="00AB5772"/>
    <w:rsid w:val="00AB577E"/>
    <w:rsid w:val="00AB582F"/>
    <w:rsid w:val="00AB5895"/>
    <w:rsid w:val="00AB5936"/>
    <w:rsid w:val="00AB5B60"/>
    <w:rsid w:val="00AB5BBC"/>
    <w:rsid w:val="00AB5C18"/>
    <w:rsid w:val="00AB5D4F"/>
    <w:rsid w:val="00AB5E1F"/>
    <w:rsid w:val="00AB60D8"/>
    <w:rsid w:val="00AB61D8"/>
    <w:rsid w:val="00AB62C6"/>
    <w:rsid w:val="00AB6401"/>
    <w:rsid w:val="00AB6433"/>
    <w:rsid w:val="00AB6476"/>
    <w:rsid w:val="00AB6494"/>
    <w:rsid w:val="00AB64CD"/>
    <w:rsid w:val="00AB6591"/>
    <w:rsid w:val="00AB6694"/>
    <w:rsid w:val="00AB67B1"/>
    <w:rsid w:val="00AB67CC"/>
    <w:rsid w:val="00AB6815"/>
    <w:rsid w:val="00AB6A76"/>
    <w:rsid w:val="00AB6BCF"/>
    <w:rsid w:val="00AB6D3E"/>
    <w:rsid w:val="00AB6DC2"/>
    <w:rsid w:val="00AB6DF4"/>
    <w:rsid w:val="00AB6EF1"/>
    <w:rsid w:val="00AB6F09"/>
    <w:rsid w:val="00AB6F31"/>
    <w:rsid w:val="00AB6F56"/>
    <w:rsid w:val="00AB716A"/>
    <w:rsid w:val="00AB726D"/>
    <w:rsid w:val="00AB7297"/>
    <w:rsid w:val="00AB72CA"/>
    <w:rsid w:val="00AB7323"/>
    <w:rsid w:val="00AB736C"/>
    <w:rsid w:val="00AB7406"/>
    <w:rsid w:val="00AB754B"/>
    <w:rsid w:val="00AB77BC"/>
    <w:rsid w:val="00AB789E"/>
    <w:rsid w:val="00AB7A30"/>
    <w:rsid w:val="00AB7A53"/>
    <w:rsid w:val="00AB7BE8"/>
    <w:rsid w:val="00AB7C81"/>
    <w:rsid w:val="00AB7D03"/>
    <w:rsid w:val="00AB7E3C"/>
    <w:rsid w:val="00AB7F09"/>
    <w:rsid w:val="00AB7F61"/>
    <w:rsid w:val="00AB7FC8"/>
    <w:rsid w:val="00AC00FD"/>
    <w:rsid w:val="00AC0356"/>
    <w:rsid w:val="00AC03EF"/>
    <w:rsid w:val="00AC04A9"/>
    <w:rsid w:val="00AC05AA"/>
    <w:rsid w:val="00AC0636"/>
    <w:rsid w:val="00AC06E6"/>
    <w:rsid w:val="00AC0708"/>
    <w:rsid w:val="00AC0902"/>
    <w:rsid w:val="00AC092F"/>
    <w:rsid w:val="00AC0997"/>
    <w:rsid w:val="00AC0A33"/>
    <w:rsid w:val="00AC0A60"/>
    <w:rsid w:val="00AC0A89"/>
    <w:rsid w:val="00AC0AC2"/>
    <w:rsid w:val="00AC0B16"/>
    <w:rsid w:val="00AC0BB6"/>
    <w:rsid w:val="00AC0C83"/>
    <w:rsid w:val="00AC0E7B"/>
    <w:rsid w:val="00AC0EA7"/>
    <w:rsid w:val="00AC0EF4"/>
    <w:rsid w:val="00AC1065"/>
    <w:rsid w:val="00AC11BE"/>
    <w:rsid w:val="00AC1200"/>
    <w:rsid w:val="00AC12B7"/>
    <w:rsid w:val="00AC14BE"/>
    <w:rsid w:val="00AC1507"/>
    <w:rsid w:val="00AC1532"/>
    <w:rsid w:val="00AC1581"/>
    <w:rsid w:val="00AC1586"/>
    <w:rsid w:val="00AC1603"/>
    <w:rsid w:val="00AC173A"/>
    <w:rsid w:val="00AC191C"/>
    <w:rsid w:val="00AC197B"/>
    <w:rsid w:val="00AC1A02"/>
    <w:rsid w:val="00AC1A8C"/>
    <w:rsid w:val="00AC1C11"/>
    <w:rsid w:val="00AC1E34"/>
    <w:rsid w:val="00AC1E96"/>
    <w:rsid w:val="00AC1F08"/>
    <w:rsid w:val="00AC205C"/>
    <w:rsid w:val="00AC208A"/>
    <w:rsid w:val="00AC21D2"/>
    <w:rsid w:val="00AC21E4"/>
    <w:rsid w:val="00AC22C2"/>
    <w:rsid w:val="00AC2417"/>
    <w:rsid w:val="00AC2464"/>
    <w:rsid w:val="00AC255C"/>
    <w:rsid w:val="00AC262F"/>
    <w:rsid w:val="00AC2709"/>
    <w:rsid w:val="00AC2722"/>
    <w:rsid w:val="00AC2775"/>
    <w:rsid w:val="00AC27AE"/>
    <w:rsid w:val="00AC28FE"/>
    <w:rsid w:val="00AC2959"/>
    <w:rsid w:val="00AC2AD1"/>
    <w:rsid w:val="00AC2BF6"/>
    <w:rsid w:val="00AC2C09"/>
    <w:rsid w:val="00AC2D17"/>
    <w:rsid w:val="00AC2D33"/>
    <w:rsid w:val="00AC2EA8"/>
    <w:rsid w:val="00AC2F5A"/>
    <w:rsid w:val="00AC3135"/>
    <w:rsid w:val="00AC318C"/>
    <w:rsid w:val="00AC3374"/>
    <w:rsid w:val="00AC33B3"/>
    <w:rsid w:val="00AC3547"/>
    <w:rsid w:val="00AC3558"/>
    <w:rsid w:val="00AC3604"/>
    <w:rsid w:val="00AC36AF"/>
    <w:rsid w:val="00AC3701"/>
    <w:rsid w:val="00AC3768"/>
    <w:rsid w:val="00AC3784"/>
    <w:rsid w:val="00AC380E"/>
    <w:rsid w:val="00AC3858"/>
    <w:rsid w:val="00AC38DF"/>
    <w:rsid w:val="00AC3B49"/>
    <w:rsid w:val="00AC3B56"/>
    <w:rsid w:val="00AC3D18"/>
    <w:rsid w:val="00AC3DE6"/>
    <w:rsid w:val="00AC3E2F"/>
    <w:rsid w:val="00AC3F79"/>
    <w:rsid w:val="00AC400D"/>
    <w:rsid w:val="00AC4195"/>
    <w:rsid w:val="00AC4282"/>
    <w:rsid w:val="00AC42A0"/>
    <w:rsid w:val="00AC42D0"/>
    <w:rsid w:val="00AC42F2"/>
    <w:rsid w:val="00AC44BB"/>
    <w:rsid w:val="00AC44E7"/>
    <w:rsid w:val="00AC4849"/>
    <w:rsid w:val="00AC48F7"/>
    <w:rsid w:val="00AC496E"/>
    <w:rsid w:val="00AC4A9F"/>
    <w:rsid w:val="00AC4B30"/>
    <w:rsid w:val="00AC4CB5"/>
    <w:rsid w:val="00AC4D84"/>
    <w:rsid w:val="00AC4E55"/>
    <w:rsid w:val="00AC4E75"/>
    <w:rsid w:val="00AC4ECE"/>
    <w:rsid w:val="00AC4F56"/>
    <w:rsid w:val="00AC4FE4"/>
    <w:rsid w:val="00AC50E7"/>
    <w:rsid w:val="00AC51E2"/>
    <w:rsid w:val="00AC51FE"/>
    <w:rsid w:val="00AC5234"/>
    <w:rsid w:val="00AC5357"/>
    <w:rsid w:val="00AC5489"/>
    <w:rsid w:val="00AC54EE"/>
    <w:rsid w:val="00AC5701"/>
    <w:rsid w:val="00AC574A"/>
    <w:rsid w:val="00AC575C"/>
    <w:rsid w:val="00AC577D"/>
    <w:rsid w:val="00AC5787"/>
    <w:rsid w:val="00AC57C8"/>
    <w:rsid w:val="00AC5833"/>
    <w:rsid w:val="00AC587B"/>
    <w:rsid w:val="00AC5887"/>
    <w:rsid w:val="00AC5B11"/>
    <w:rsid w:val="00AC5B9F"/>
    <w:rsid w:val="00AC5C58"/>
    <w:rsid w:val="00AC5CA7"/>
    <w:rsid w:val="00AC5CF4"/>
    <w:rsid w:val="00AC5D1B"/>
    <w:rsid w:val="00AC5E68"/>
    <w:rsid w:val="00AC5E9D"/>
    <w:rsid w:val="00AC5EE8"/>
    <w:rsid w:val="00AC5F6F"/>
    <w:rsid w:val="00AC611C"/>
    <w:rsid w:val="00AC6167"/>
    <w:rsid w:val="00AC617A"/>
    <w:rsid w:val="00AC618F"/>
    <w:rsid w:val="00AC641D"/>
    <w:rsid w:val="00AC6459"/>
    <w:rsid w:val="00AC64A4"/>
    <w:rsid w:val="00AC66A7"/>
    <w:rsid w:val="00AC674D"/>
    <w:rsid w:val="00AC67B5"/>
    <w:rsid w:val="00AC683D"/>
    <w:rsid w:val="00AC6977"/>
    <w:rsid w:val="00AC6987"/>
    <w:rsid w:val="00AC69B0"/>
    <w:rsid w:val="00AC69EA"/>
    <w:rsid w:val="00AC6A8A"/>
    <w:rsid w:val="00AC6B6B"/>
    <w:rsid w:val="00AC6BF1"/>
    <w:rsid w:val="00AC6C4C"/>
    <w:rsid w:val="00AC6CCD"/>
    <w:rsid w:val="00AC6CFC"/>
    <w:rsid w:val="00AC6EBB"/>
    <w:rsid w:val="00AC6EF8"/>
    <w:rsid w:val="00AC6F85"/>
    <w:rsid w:val="00AC6FA8"/>
    <w:rsid w:val="00AC6FB4"/>
    <w:rsid w:val="00AC6FE9"/>
    <w:rsid w:val="00AC7011"/>
    <w:rsid w:val="00AC70AD"/>
    <w:rsid w:val="00AC70E8"/>
    <w:rsid w:val="00AC710B"/>
    <w:rsid w:val="00AC7123"/>
    <w:rsid w:val="00AC7268"/>
    <w:rsid w:val="00AC72D2"/>
    <w:rsid w:val="00AC734F"/>
    <w:rsid w:val="00AC7435"/>
    <w:rsid w:val="00AC76ED"/>
    <w:rsid w:val="00AC77ED"/>
    <w:rsid w:val="00AC790C"/>
    <w:rsid w:val="00AC7945"/>
    <w:rsid w:val="00AC7977"/>
    <w:rsid w:val="00AC7A00"/>
    <w:rsid w:val="00AC7BE7"/>
    <w:rsid w:val="00AC7C5B"/>
    <w:rsid w:val="00AC7C65"/>
    <w:rsid w:val="00AC7C6E"/>
    <w:rsid w:val="00AC7C82"/>
    <w:rsid w:val="00AC7CE6"/>
    <w:rsid w:val="00AC7D1B"/>
    <w:rsid w:val="00AC7E5D"/>
    <w:rsid w:val="00AC7EA0"/>
    <w:rsid w:val="00AC7EC8"/>
    <w:rsid w:val="00AC7EDA"/>
    <w:rsid w:val="00AD000A"/>
    <w:rsid w:val="00AD0154"/>
    <w:rsid w:val="00AD015B"/>
    <w:rsid w:val="00AD0184"/>
    <w:rsid w:val="00AD01BD"/>
    <w:rsid w:val="00AD01E6"/>
    <w:rsid w:val="00AD02AF"/>
    <w:rsid w:val="00AD044A"/>
    <w:rsid w:val="00AD054C"/>
    <w:rsid w:val="00AD05DE"/>
    <w:rsid w:val="00AD068D"/>
    <w:rsid w:val="00AD0702"/>
    <w:rsid w:val="00AD0714"/>
    <w:rsid w:val="00AD07C7"/>
    <w:rsid w:val="00AD07E6"/>
    <w:rsid w:val="00AD0833"/>
    <w:rsid w:val="00AD0879"/>
    <w:rsid w:val="00AD0930"/>
    <w:rsid w:val="00AD094B"/>
    <w:rsid w:val="00AD0A92"/>
    <w:rsid w:val="00AD0ABE"/>
    <w:rsid w:val="00AD0B33"/>
    <w:rsid w:val="00AD0BC3"/>
    <w:rsid w:val="00AD0C00"/>
    <w:rsid w:val="00AD0C60"/>
    <w:rsid w:val="00AD0C8E"/>
    <w:rsid w:val="00AD0D74"/>
    <w:rsid w:val="00AD0DB4"/>
    <w:rsid w:val="00AD0E90"/>
    <w:rsid w:val="00AD0EC7"/>
    <w:rsid w:val="00AD0F84"/>
    <w:rsid w:val="00AD0FB7"/>
    <w:rsid w:val="00AD0FE7"/>
    <w:rsid w:val="00AD1060"/>
    <w:rsid w:val="00AD1098"/>
    <w:rsid w:val="00AD11DF"/>
    <w:rsid w:val="00AD122A"/>
    <w:rsid w:val="00AD12EF"/>
    <w:rsid w:val="00AD135D"/>
    <w:rsid w:val="00AD14BB"/>
    <w:rsid w:val="00AD15DC"/>
    <w:rsid w:val="00AD1795"/>
    <w:rsid w:val="00AD17F4"/>
    <w:rsid w:val="00AD1846"/>
    <w:rsid w:val="00AD1886"/>
    <w:rsid w:val="00AD18E9"/>
    <w:rsid w:val="00AD18ED"/>
    <w:rsid w:val="00AD195F"/>
    <w:rsid w:val="00AD19CB"/>
    <w:rsid w:val="00AD1B42"/>
    <w:rsid w:val="00AD1C1E"/>
    <w:rsid w:val="00AD1D15"/>
    <w:rsid w:val="00AD1DC6"/>
    <w:rsid w:val="00AD1DEB"/>
    <w:rsid w:val="00AD1E11"/>
    <w:rsid w:val="00AD1E43"/>
    <w:rsid w:val="00AD1E6F"/>
    <w:rsid w:val="00AD1EB2"/>
    <w:rsid w:val="00AD1FF5"/>
    <w:rsid w:val="00AD2043"/>
    <w:rsid w:val="00AD206E"/>
    <w:rsid w:val="00AD20A3"/>
    <w:rsid w:val="00AD20F0"/>
    <w:rsid w:val="00AD23A3"/>
    <w:rsid w:val="00AD23BF"/>
    <w:rsid w:val="00AD23E0"/>
    <w:rsid w:val="00AD24A9"/>
    <w:rsid w:val="00AD25D6"/>
    <w:rsid w:val="00AD2678"/>
    <w:rsid w:val="00AD270F"/>
    <w:rsid w:val="00AD2724"/>
    <w:rsid w:val="00AD274D"/>
    <w:rsid w:val="00AD278F"/>
    <w:rsid w:val="00AD28A7"/>
    <w:rsid w:val="00AD28DB"/>
    <w:rsid w:val="00AD293B"/>
    <w:rsid w:val="00AD2A29"/>
    <w:rsid w:val="00AD2A2E"/>
    <w:rsid w:val="00AD2A5A"/>
    <w:rsid w:val="00AD2AAB"/>
    <w:rsid w:val="00AD2B39"/>
    <w:rsid w:val="00AD2B56"/>
    <w:rsid w:val="00AD2B73"/>
    <w:rsid w:val="00AD2BE1"/>
    <w:rsid w:val="00AD2BE6"/>
    <w:rsid w:val="00AD2C9F"/>
    <w:rsid w:val="00AD2E3B"/>
    <w:rsid w:val="00AD2E73"/>
    <w:rsid w:val="00AD2EA5"/>
    <w:rsid w:val="00AD2EE8"/>
    <w:rsid w:val="00AD2F28"/>
    <w:rsid w:val="00AD3010"/>
    <w:rsid w:val="00AD3138"/>
    <w:rsid w:val="00AD31BB"/>
    <w:rsid w:val="00AD3296"/>
    <w:rsid w:val="00AD329B"/>
    <w:rsid w:val="00AD32A7"/>
    <w:rsid w:val="00AD33F5"/>
    <w:rsid w:val="00AD34A6"/>
    <w:rsid w:val="00AD34FA"/>
    <w:rsid w:val="00AD385F"/>
    <w:rsid w:val="00AD38BC"/>
    <w:rsid w:val="00AD39D3"/>
    <w:rsid w:val="00AD3A2A"/>
    <w:rsid w:val="00AD3A3A"/>
    <w:rsid w:val="00AD3B2C"/>
    <w:rsid w:val="00AD3B6F"/>
    <w:rsid w:val="00AD3BBC"/>
    <w:rsid w:val="00AD3C39"/>
    <w:rsid w:val="00AD3CC3"/>
    <w:rsid w:val="00AD3D6E"/>
    <w:rsid w:val="00AD3E7B"/>
    <w:rsid w:val="00AD3F85"/>
    <w:rsid w:val="00AD40C2"/>
    <w:rsid w:val="00AD40F3"/>
    <w:rsid w:val="00AD41FF"/>
    <w:rsid w:val="00AD4247"/>
    <w:rsid w:val="00AD4347"/>
    <w:rsid w:val="00AD4392"/>
    <w:rsid w:val="00AD4434"/>
    <w:rsid w:val="00AD45E7"/>
    <w:rsid w:val="00AD476C"/>
    <w:rsid w:val="00AD47AB"/>
    <w:rsid w:val="00AD47D4"/>
    <w:rsid w:val="00AD487D"/>
    <w:rsid w:val="00AD48CA"/>
    <w:rsid w:val="00AD496B"/>
    <w:rsid w:val="00AD49C1"/>
    <w:rsid w:val="00AD4A61"/>
    <w:rsid w:val="00AD4A82"/>
    <w:rsid w:val="00AD4ABB"/>
    <w:rsid w:val="00AD4ADE"/>
    <w:rsid w:val="00AD4ADF"/>
    <w:rsid w:val="00AD4AFC"/>
    <w:rsid w:val="00AD4B17"/>
    <w:rsid w:val="00AD4B4F"/>
    <w:rsid w:val="00AD4CA2"/>
    <w:rsid w:val="00AD4CDD"/>
    <w:rsid w:val="00AD511B"/>
    <w:rsid w:val="00AD511E"/>
    <w:rsid w:val="00AD5153"/>
    <w:rsid w:val="00AD51AE"/>
    <w:rsid w:val="00AD5209"/>
    <w:rsid w:val="00AD520C"/>
    <w:rsid w:val="00AD5258"/>
    <w:rsid w:val="00AD527B"/>
    <w:rsid w:val="00AD52CA"/>
    <w:rsid w:val="00AD532A"/>
    <w:rsid w:val="00AD5387"/>
    <w:rsid w:val="00AD53D3"/>
    <w:rsid w:val="00AD5494"/>
    <w:rsid w:val="00AD55EC"/>
    <w:rsid w:val="00AD569C"/>
    <w:rsid w:val="00AD573F"/>
    <w:rsid w:val="00AD57E5"/>
    <w:rsid w:val="00AD5945"/>
    <w:rsid w:val="00AD5979"/>
    <w:rsid w:val="00AD599A"/>
    <w:rsid w:val="00AD59F6"/>
    <w:rsid w:val="00AD5B12"/>
    <w:rsid w:val="00AD5C6A"/>
    <w:rsid w:val="00AD5D1D"/>
    <w:rsid w:val="00AD5D49"/>
    <w:rsid w:val="00AD5DA0"/>
    <w:rsid w:val="00AD5E15"/>
    <w:rsid w:val="00AD5E2C"/>
    <w:rsid w:val="00AD5E2D"/>
    <w:rsid w:val="00AD5E69"/>
    <w:rsid w:val="00AD5E7B"/>
    <w:rsid w:val="00AD5EEB"/>
    <w:rsid w:val="00AD5F8A"/>
    <w:rsid w:val="00AD5FA7"/>
    <w:rsid w:val="00AD612E"/>
    <w:rsid w:val="00AD619D"/>
    <w:rsid w:val="00AD6273"/>
    <w:rsid w:val="00AD6321"/>
    <w:rsid w:val="00AD6360"/>
    <w:rsid w:val="00AD6376"/>
    <w:rsid w:val="00AD644E"/>
    <w:rsid w:val="00AD6467"/>
    <w:rsid w:val="00AD6493"/>
    <w:rsid w:val="00AD64BC"/>
    <w:rsid w:val="00AD64BF"/>
    <w:rsid w:val="00AD656F"/>
    <w:rsid w:val="00AD65BF"/>
    <w:rsid w:val="00AD65F5"/>
    <w:rsid w:val="00AD6671"/>
    <w:rsid w:val="00AD66AA"/>
    <w:rsid w:val="00AD67F0"/>
    <w:rsid w:val="00AD67F3"/>
    <w:rsid w:val="00AD6831"/>
    <w:rsid w:val="00AD6965"/>
    <w:rsid w:val="00AD6A28"/>
    <w:rsid w:val="00AD6A87"/>
    <w:rsid w:val="00AD6AA3"/>
    <w:rsid w:val="00AD6B2C"/>
    <w:rsid w:val="00AD6CA1"/>
    <w:rsid w:val="00AD6D0D"/>
    <w:rsid w:val="00AD6D85"/>
    <w:rsid w:val="00AD6E87"/>
    <w:rsid w:val="00AD6E97"/>
    <w:rsid w:val="00AD705E"/>
    <w:rsid w:val="00AD70B5"/>
    <w:rsid w:val="00AD70D5"/>
    <w:rsid w:val="00AD712C"/>
    <w:rsid w:val="00AD7217"/>
    <w:rsid w:val="00AD7280"/>
    <w:rsid w:val="00AD7283"/>
    <w:rsid w:val="00AD72A3"/>
    <w:rsid w:val="00AD72A4"/>
    <w:rsid w:val="00AD7361"/>
    <w:rsid w:val="00AD73F1"/>
    <w:rsid w:val="00AD7641"/>
    <w:rsid w:val="00AD76DD"/>
    <w:rsid w:val="00AD793A"/>
    <w:rsid w:val="00AD7C5C"/>
    <w:rsid w:val="00AD7D13"/>
    <w:rsid w:val="00AD7D77"/>
    <w:rsid w:val="00AD7FAC"/>
    <w:rsid w:val="00AE0003"/>
    <w:rsid w:val="00AE0019"/>
    <w:rsid w:val="00AE02AD"/>
    <w:rsid w:val="00AE02D5"/>
    <w:rsid w:val="00AE0376"/>
    <w:rsid w:val="00AE03B1"/>
    <w:rsid w:val="00AE08F4"/>
    <w:rsid w:val="00AE0928"/>
    <w:rsid w:val="00AE09ED"/>
    <w:rsid w:val="00AE09F3"/>
    <w:rsid w:val="00AE0AB3"/>
    <w:rsid w:val="00AE0B4E"/>
    <w:rsid w:val="00AE0BF6"/>
    <w:rsid w:val="00AE0C63"/>
    <w:rsid w:val="00AE0D4E"/>
    <w:rsid w:val="00AE0DE4"/>
    <w:rsid w:val="00AE0E72"/>
    <w:rsid w:val="00AE0F3A"/>
    <w:rsid w:val="00AE0F71"/>
    <w:rsid w:val="00AE11A4"/>
    <w:rsid w:val="00AE11FE"/>
    <w:rsid w:val="00AE12F5"/>
    <w:rsid w:val="00AE1358"/>
    <w:rsid w:val="00AE13A6"/>
    <w:rsid w:val="00AE13C7"/>
    <w:rsid w:val="00AE13F9"/>
    <w:rsid w:val="00AE14B4"/>
    <w:rsid w:val="00AE1514"/>
    <w:rsid w:val="00AE17F3"/>
    <w:rsid w:val="00AE1823"/>
    <w:rsid w:val="00AE1839"/>
    <w:rsid w:val="00AE18C4"/>
    <w:rsid w:val="00AE19B9"/>
    <w:rsid w:val="00AE19F3"/>
    <w:rsid w:val="00AE1A44"/>
    <w:rsid w:val="00AE1A90"/>
    <w:rsid w:val="00AE1ACB"/>
    <w:rsid w:val="00AE1C4B"/>
    <w:rsid w:val="00AE1D6F"/>
    <w:rsid w:val="00AE1D7E"/>
    <w:rsid w:val="00AE1E64"/>
    <w:rsid w:val="00AE1E76"/>
    <w:rsid w:val="00AE1F23"/>
    <w:rsid w:val="00AE1FD1"/>
    <w:rsid w:val="00AE2018"/>
    <w:rsid w:val="00AE20AA"/>
    <w:rsid w:val="00AE2267"/>
    <w:rsid w:val="00AE233B"/>
    <w:rsid w:val="00AE238F"/>
    <w:rsid w:val="00AE2477"/>
    <w:rsid w:val="00AE24D5"/>
    <w:rsid w:val="00AE2561"/>
    <w:rsid w:val="00AE2584"/>
    <w:rsid w:val="00AE2618"/>
    <w:rsid w:val="00AE2662"/>
    <w:rsid w:val="00AE269D"/>
    <w:rsid w:val="00AE26AB"/>
    <w:rsid w:val="00AE26E4"/>
    <w:rsid w:val="00AE27F7"/>
    <w:rsid w:val="00AE2809"/>
    <w:rsid w:val="00AE282E"/>
    <w:rsid w:val="00AE284C"/>
    <w:rsid w:val="00AE2969"/>
    <w:rsid w:val="00AE29EB"/>
    <w:rsid w:val="00AE2A0C"/>
    <w:rsid w:val="00AE2B07"/>
    <w:rsid w:val="00AE2BC1"/>
    <w:rsid w:val="00AE2C1B"/>
    <w:rsid w:val="00AE2C56"/>
    <w:rsid w:val="00AE2C73"/>
    <w:rsid w:val="00AE2D03"/>
    <w:rsid w:val="00AE2D05"/>
    <w:rsid w:val="00AE2ED7"/>
    <w:rsid w:val="00AE2F12"/>
    <w:rsid w:val="00AE2F14"/>
    <w:rsid w:val="00AE2F3B"/>
    <w:rsid w:val="00AE312C"/>
    <w:rsid w:val="00AE3138"/>
    <w:rsid w:val="00AE314E"/>
    <w:rsid w:val="00AE3161"/>
    <w:rsid w:val="00AE3163"/>
    <w:rsid w:val="00AE3198"/>
    <w:rsid w:val="00AE31B2"/>
    <w:rsid w:val="00AE31C1"/>
    <w:rsid w:val="00AE3250"/>
    <w:rsid w:val="00AE330E"/>
    <w:rsid w:val="00AE334A"/>
    <w:rsid w:val="00AE337F"/>
    <w:rsid w:val="00AE338C"/>
    <w:rsid w:val="00AE344B"/>
    <w:rsid w:val="00AE3510"/>
    <w:rsid w:val="00AE351A"/>
    <w:rsid w:val="00AE35FB"/>
    <w:rsid w:val="00AE3609"/>
    <w:rsid w:val="00AE37E3"/>
    <w:rsid w:val="00AE38A3"/>
    <w:rsid w:val="00AE38FA"/>
    <w:rsid w:val="00AE3AE9"/>
    <w:rsid w:val="00AE3BA2"/>
    <w:rsid w:val="00AE3BCB"/>
    <w:rsid w:val="00AE3F1D"/>
    <w:rsid w:val="00AE3F2F"/>
    <w:rsid w:val="00AE401A"/>
    <w:rsid w:val="00AE4085"/>
    <w:rsid w:val="00AE40D4"/>
    <w:rsid w:val="00AE4118"/>
    <w:rsid w:val="00AE414C"/>
    <w:rsid w:val="00AE4231"/>
    <w:rsid w:val="00AE4237"/>
    <w:rsid w:val="00AE426F"/>
    <w:rsid w:val="00AE4273"/>
    <w:rsid w:val="00AE4277"/>
    <w:rsid w:val="00AE43FC"/>
    <w:rsid w:val="00AE4588"/>
    <w:rsid w:val="00AE45FE"/>
    <w:rsid w:val="00AE464D"/>
    <w:rsid w:val="00AE4699"/>
    <w:rsid w:val="00AE46BE"/>
    <w:rsid w:val="00AE48E4"/>
    <w:rsid w:val="00AE48EB"/>
    <w:rsid w:val="00AE4972"/>
    <w:rsid w:val="00AE497E"/>
    <w:rsid w:val="00AE49CE"/>
    <w:rsid w:val="00AE49F9"/>
    <w:rsid w:val="00AE4A10"/>
    <w:rsid w:val="00AE4A12"/>
    <w:rsid w:val="00AE4AE5"/>
    <w:rsid w:val="00AE4B4B"/>
    <w:rsid w:val="00AE4C10"/>
    <w:rsid w:val="00AE4D34"/>
    <w:rsid w:val="00AE4D76"/>
    <w:rsid w:val="00AE4E80"/>
    <w:rsid w:val="00AE4F12"/>
    <w:rsid w:val="00AE4F1E"/>
    <w:rsid w:val="00AE4FDD"/>
    <w:rsid w:val="00AE502C"/>
    <w:rsid w:val="00AE5364"/>
    <w:rsid w:val="00AE53E7"/>
    <w:rsid w:val="00AE563E"/>
    <w:rsid w:val="00AE5670"/>
    <w:rsid w:val="00AE5747"/>
    <w:rsid w:val="00AE57D4"/>
    <w:rsid w:val="00AE581F"/>
    <w:rsid w:val="00AE5996"/>
    <w:rsid w:val="00AE59B3"/>
    <w:rsid w:val="00AE5ACE"/>
    <w:rsid w:val="00AE5B24"/>
    <w:rsid w:val="00AE5BFE"/>
    <w:rsid w:val="00AE5C60"/>
    <w:rsid w:val="00AE5D0D"/>
    <w:rsid w:val="00AE5DD9"/>
    <w:rsid w:val="00AE5EFB"/>
    <w:rsid w:val="00AE5F17"/>
    <w:rsid w:val="00AE5F43"/>
    <w:rsid w:val="00AE603D"/>
    <w:rsid w:val="00AE6074"/>
    <w:rsid w:val="00AE60C2"/>
    <w:rsid w:val="00AE61E7"/>
    <w:rsid w:val="00AE6206"/>
    <w:rsid w:val="00AE63C3"/>
    <w:rsid w:val="00AE63EA"/>
    <w:rsid w:val="00AE640E"/>
    <w:rsid w:val="00AE6414"/>
    <w:rsid w:val="00AE642C"/>
    <w:rsid w:val="00AE6504"/>
    <w:rsid w:val="00AE653A"/>
    <w:rsid w:val="00AE656A"/>
    <w:rsid w:val="00AE65EC"/>
    <w:rsid w:val="00AE6648"/>
    <w:rsid w:val="00AE667C"/>
    <w:rsid w:val="00AE672D"/>
    <w:rsid w:val="00AE6795"/>
    <w:rsid w:val="00AE6940"/>
    <w:rsid w:val="00AE6B21"/>
    <w:rsid w:val="00AE6B50"/>
    <w:rsid w:val="00AE6B81"/>
    <w:rsid w:val="00AE6B95"/>
    <w:rsid w:val="00AE6BFC"/>
    <w:rsid w:val="00AE6DD9"/>
    <w:rsid w:val="00AE6ECC"/>
    <w:rsid w:val="00AE6F1D"/>
    <w:rsid w:val="00AE6F5A"/>
    <w:rsid w:val="00AE700D"/>
    <w:rsid w:val="00AE704B"/>
    <w:rsid w:val="00AE7116"/>
    <w:rsid w:val="00AE7159"/>
    <w:rsid w:val="00AE73B9"/>
    <w:rsid w:val="00AE74BE"/>
    <w:rsid w:val="00AE7583"/>
    <w:rsid w:val="00AE7584"/>
    <w:rsid w:val="00AE762B"/>
    <w:rsid w:val="00AE767D"/>
    <w:rsid w:val="00AE76E3"/>
    <w:rsid w:val="00AE77B9"/>
    <w:rsid w:val="00AE7802"/>
    <w:rsid w:val="00AE7A2B"/>
    <w:rsid w:val="00AE7A3A"/>
    <w:rsid w:val="00AE7B04"/>
    <w:rsid w:val="00AE7BBB"/>
    <w:rsid w:val="00AE7C8F"/>
    <w:rsid w:val="00AE7D56"/>
    <w:rsid w:val="00AE7E55"/>
    <w:rsid w:val="00AF012A"/>
    <w:rsid w:val="00AF0199"/>
    <w:rsid w:val="00AF028B"/>
    <w:rsid w:val="00AF02BB"/>
    <w:rsid w:val="00AF035D"/>
    <w:rsid w:val="00AF0364"/>
    <w:rsid w:val="00AF04A7"/>
    <w:rsid w:val="00AF04D8"/>
    <w:rsid w:val="00AF04F4"/>
    <w:rsid w:val="00AF0555"/>
    <w:rsid w:val="00AF0576"/>
    <w:rsid w:val="00AF07B5"/>
    <w:rsid w:val="00AF09BA"/>
    <w:rsid w:val="00AF0AD0"/>
    <w:rsid w:val="00AF0D31"/>
    <w:rsid w:val="00AF0DA3"/>
    <w:rsid w:val="00AF0DCF"/>
    <w:rsid w:val="00AF0F6D"/>
    <w:rsid w:val="00AF1084"/>
    <w:rsid w:val="00AF10F8"/>
    <w:rsid w:val="00AF1163"/>
    <w:rsid w:val="00AF1215"/>
    <w:rsid w:val="00AF121A"/>
    <w:rsid w:val="00AF12C8"/>
    <w:rsid w:val="00AF1431"/>
    <w:rsid w:val="00AF14A6"/>
    <w:rsid w:val="00AF14C3"/>
    <w:rsid w:val="00AF1527"/>
    <w:rsid w:val="00AF1570"/>
    <w:rsid w:val="00AF1746"/>
    <w:rsid w:val="00AF17F0"/>
    <w:rsid w:val="00AF1819"/>
    <w:rsid w:val="00AF1824"/>
    <w:rsid w:val="00AF18DC"/>
    <w:rsid w:val="00AF1955"/>
    <w:rsid w:val="00AF1967"/>
    <w:rsid w:val="00AF1C78"/>
    <w:rsid w:val="00AF1CCB"/>
    <w:rsid w:val="00AF1DFE"/>
    <w:rsid w:val="00AF1E7C"/>
    <w:rsid w:val="00AF1EF4"/>
    <w:rsid w:val="00AF1F75"/>
    <w:rsid w:val="00AF1FF6"/>
    <w:rsid w:val="00AF2011"/>
    <w:rsid w:val="00AF2051"/>
    <w:rsid w:val="00AF20AB"/>
    <w:rsid w:val="00AF21A0"/>
    <w:rsid w:val="00AF220E"/>
    <w:rsid w:val="00AF22BE"/>
    <w:rsid w:val="00AF239A"/>
    <w:rsid w:val="00AF260B"/>
    <w:rsid w:val="00AF2619"/>
    <w:rsid w:val="00AF2627"/>
    <w:rsid w:val="00AF2841"/>
    <w:rsid w:val="00AF2849"/>
    <w:rsid w:val="00AF28E6"/>
    <w:rsid w:val="00AF28FB"/>
    <w:rsid w:val="00AF29BF"/>
    <w:rsid w:val="00AF29F7"/>
    <w:rsid w:val="00AF2A10"/>
    <w:rsid w:val="00AF2B31"/>
    <w:rsid w:val="00AF2BD5"/>
    <w:rsid w:val="00AF2CDA"/>
    <w:rsid w:val="00AF2CF5"/>
    <w:rsid w:val="00AF2DBF"/>
    <w:rsid w:val="00AF2E6A"/>
    <w:rsid w:val="00AF2E78"/>
    <w:rsid w:val="00AF2FAA"/>
    <w:rsid w:val="00AF3008"/>
    <w:rsid w:val="00AF304B"/>
    <w:rsid w:val="00AF30BD"/>
    <w:rsid w:val="00AF317A"/>
    <w:rsid w:val="00AF3265"/>
    <w:rsid w:val="00AF3274"/>
    <w:rsid w:val="00AF32CA"/>
    <w:rsid w:val="00AF3589"/>
    <w:rsid w:val="00AF35A0"/>
    <w:rsid w:val="00AF35F7"/>
    <w:rsid w:val="00AF36FB"/>
    <w:rsid w:val="00AF37C8"/>
    <w:rsid w:val="00AF381D"/>
    <w:rsid w:val="00AF386E"/>
    <w:rsid w:val="00AF3891"/>
    <w:rsid w:val="00AF38B2"/>
    <w:rsid w:val="00AF3903"/>
    <w:rsid w:val="00AF3ADD"/>
    <w:rsid w:val="00AF3BF3"/>
    <w:rsid w:val="00AF3C69"/>
    <w:rsid w:val="00AF3CBE"/>
    <w:rsid w:val="00AF3D19"/>
    <w:rsid w:val="00AF3D33"/>
    <w:rsid w:val="00AF3DE4"/>
    <w:rsid w:val="00AF3DEB"/>
    <w:rsid w:val="00AF3F6E"/>
    <w:rsid w:val="00AF3F87"/>
    <w:rsid w:val="00AF3FB3"/>
    <w:rsid w:val="00AF3FB7"/>
    <w:rsid w:val="00AF3FE9"/>
    <w:rsid w:val="00AF4091"/>
    <w:rsid w:val="00AF41D7"/>
    <w:rsid w:val="00AF427F"/>
    <w:rsid w:val="00AF42A1"/>
    <w:rsid w:val="00AF42E8"/>
    <w:rsid w:val="00AF4318"/>
    <w:rsid w:val="00AF4411"/>
    <w:rsid w:val="00AF4547"/>
    <w:rsid w:val="00AF4635"/>
    <w:rsid w:val="00AF4775"/>
    <w:rsid w:val="00AF47A2"/>
    <w:rsid w:val="00AF47FA"/>
    <w:rsid w:val="00AF4877"/>
    <w:rsid w:val="00AF48C4"/>
    <w:rsid w:val="00AF48D5"/>
    <w:rsid w:val="00AF498D"/>
    <w:rsid w:val="00AF4BD6"/>
    <w:rsid w:val="00AF4D81"/>
    <w:rsid w:val="00AF4D85"/>
    <w:rsid w:val="00AF4DAE"/>
    <w:rsid w:val="00AF5031"/>
    <w:rsid w:val="00AF50DB"/>
    <w:rsid w:val="00AF523B"/>
    <w:rsid w:val="00AF5253"/>
    <w:rsid w:val="00AF52A5"/>
    <w:rsid w:val="00AF52C6"/>
    <w:rsid w:val="00AF52F0"/>
    <w:rsid w:val="00AF5316"/>
    <w:rsid w:val="00AF53BD"/>
    <w:rsid w:val="00AF5461"/>
    <w:rsid w:val="00AF54CC"/>
    <w:rsid w:val="00AF5661"/>
    <w:rsid w:val="00AF569C"/>
    <w:rsid w:val="00AF56C1"/>
    <w:rsid w:val="00AF5700"/>
    <w:rsid w:val="00AF570D"/>
    <w:rsid w:val="00AF571E"/>
    <w:rsid w:val="00AF578F"/>
    <w:rsid w:val="00AF585B"/>
    <w:rsid w:val="00AF588C"/>
    <w:rsid w:val="00AF591A"/>
    <w:rsid w:val="00AF593D"/>
    <w:rsid w:val="00AF5975"/>
    <w:rsid w:val="00AF5A3A"/>
    <w:rsid w:val="00AF5AC0"/>
    <w:rsid w:val="00AF5B2E"/>
    <w:rsid w:val="00AF5BF7"/>
    <w:rsid w:val="00AF5C55"/>
    <w:rsid w:val="00AF5C83"/>
    <w:rsid w:val="00AF5CCC"/>
    <w:rsid w:val="00AF5DA7"/>
    <w:rsid w:val="00AF5E02"/>
    <w:rsid w:val="00AF5E6D"/>
    <w:rsid w:val="00AF5EA4"/>
    <w:rsid w:val="00AF6136"/>
    <w:rsid w:val="00AF6141"/>
    <w:rsid w:val="00AF6146"/>
    <w:rsid w:val="00AF61E3"/>
    <w:rsid w:val="00AF6202"/>
    <w:rsid w:val="00AF6389"/>
    <w:rsid w:val="00AF639E"/>
    <w:rsid w:val="00AF63D3"/>
    <w:rsid w:val="00AF6416"/>
    <w:rsid w:val="00AF6495"/>
    <w:rsid w:val="00AF653C"/>
    <w:rsid w:val="00AF65F3"/>
    <w:rsid w:val="00AF6804"/>
    <w:rsid w:val="00AF6810"/>
    <w:rsid w:val="00AF68CA"/>
    <w:rsid w:val="00AF6A08"/>
    <w:rsid w:val="00AF6B1E"/>
    <w:rsid w:val="00AF6B4A"/>
    <w:rsid w:val="00AF6BD4"/>
    <w:rsid w:val="00AF6BDE"/>
    <w:rsid w:val="00AF6C29"/>
    <w:rsid w:val="00AF6C37"/>
    <w:rsid w:val="00AF6C45"/>
    <w:rsid w:val="00AF6C4E"/>
    <w:rsid w:val="00AF6C61"/>
    <w:rsid w:val="00AF6C71"/>
    <w:rsid w:val="00AF6C9C"/>
    <w:rsid w:val="00AF6CA1"/>
    <w:rsid w:val="00AF6CF4"/>
    <w:rsid w:val="00AF6D4A"/>
    <w:rsid w:val="00AF6D52"/>
    <w:rsid w:val="00AF6DBF"/>
    <w:rsid w:val="00AF6ED5"/>
    <w:rsid w:val="00AF6F0F"/>
    <w:rsid w:val="00AF6FD1"/>
    <w:rsid w:val="00AF7090"/>
    <w:rsid w:val="00AF70B9"/>
    <w:rsid w:val="00AF712D"/>
    <w:rsid w:val="00AF71EA"/>
    <w:rsid w:val="00AF7212"/>
    <w:rsid w:val="00AF7224"/>
    <w:rsid w:val="00AF7338"/>
    <w:rsid w:val="00AF7371"/>
    <w:rsid w:val="00AF74E3"/>
    <w:rsid w:val="00AF7509"/>
    <w:rsid w:val="00AF7544"/>
    <w:rsid w:val="00AF76EB"/>
    <w:rsid w:val="00AF77B1"/>
    <w:rsid w:val="00AF785E"/>
    <w:rsid w:val="00AF7865"/>
    <w:rsid w:val="00AF78B4"/>
    <w:rsid w:val="00AF7949"/>
    <w:rsid w:val="00AF7985"/>
    <w:rsid w:val="00AF79AE"/>
    <w:rsid w:val="00AF7A0F"/>
    <w:rsid w:val="00AF7A7F"/>
    <w:rsid w:val="00AF7AD8"/>
    <w:rsid w:val="00AF7B82"/>
    <w:rsid w:val="00AF7BAD"/>
    <w:rsid w:val="00AF7CD0"/>
    <w:rsid w:val="00AF7D8E"/>
    <w:rsid w:val="00AF7DC6"/>
    <w:rsid w:val="00B0004F"/>
    <w:rsid w:val="00B00059"/>
    <w:rsid w:val="00B000E9"/>
    <w:rsid w:val="00B00290"/>
    <w:rsid w:val="00B00410"/>
    <w:rsid w:val="00B00438"/>
    <w:rsid w:val="00B004D9"/>
    <w:rsid w:val="00B0058A"/>
    <w:rsid w:val="00B006E1"/>
    <w:rsid w:val="00B007E8"/>
    <w:rsid w:val="00B00815"/>
    <w:rsid w:val="00B0098D"/>
    <w:rsid w:val="00B009EC"/>
    <w:rsid w:val="00B00A99"/>
    <w:rsid w:val="00B00B2F"/>
    <w:rsid w:val="00B00B35"/>
    <w:rsid w:val="00B00BF4"/>
    <w:rsid w:val="00B00C16"/>
    <w:rsid w:val="00B00CF7"/>
    <w:rsid w:val="00B00D04"/>
    <w:rsid w:val="00B00D1C"/>
    <w:rsid w:val="00B00D2F"/>
    <w:rsid w:val="00B00EF3"/>
    <w:rsid w:val="00B00F02"/>
    <w:rsid w:val="00B00F31"/>
    <w:rsid w:val="00B00FCF"/>
    <w:rsid w:val="00B00FFA"/>
    <w:rsid w:val="00B01045"/>
    <w:rsid w:val="00B01079"/>
    <w:rsid w:val="00B010D4"/>
    <w:rsid w:val="00B01110"/>
    <w:rsid w:val="00B01386"/>
    <w:rsid w:val="00B0140F"/>
    <w:rsid w:val="00B019DA"/>
    <w:rsid w:val="00B019FF"/>
    <w:rsid w:val="00B01A3F"/>
    <w:rsid w:val="00B01A47"/>
    <w:rsid w:val="00B01C3E"/>
    <w:rsid w:val="00B01D6F"/>
    <w:rsid w:val="00B01DE6"/>
    <w:rsid w:val="00B01E50"/>
    <w:rsid w:val="00B01EE1"/>
    <w:rsid w:val="00B01F11"/>
    <w:rsid w:val="00B01F98"/>
    <w:rsid w:val="00B02149"/>
    <w:rsid w:val="00B021AD"/>
    <w:rsid w:val="00B02210"/>
    <w:rsid w:val="00B02244"/>
    <w:rsid w:val="00B02320"/>
    <w:rsid w:val="00B024E6"/>
    <w:rsid w:val="00B02505"/>
    <w:rsid w:val="00B0262D"/>
    <w:rsid w:val="00B027FC"/>
    <w:rsid w:val="00B0280D"/>
    <w:rsid w:val="00B0282C"/>
    <w:rsid w:val="00B02934"/>
    <w:rsid w:val="00B02982"/>
    <w:rsid w:val="00B02AC2"/>
    <w:rsid w:val="00B02B1E"/>
    <w:rsid w:val="00B02B36"/>
    <w:rsid w:val="00B02BFC"/>
    <w:rsid w:val="00B02C4C"/>
    <w:rsid w:val="00B02DEB"/>
    <w:rsid w:val="00B02EEB"/>
    <w:rsid w:val="00B02FBE"/>
    <w:rsid w:val="00B03004"/>
    <w:rsid w:val="00B03172"/>
    <w:rsid w:val="00B03179"/>
    <w:rsid w:val="00B0318A"/>
    <w:rsid w:val="00B03228"/>
    <w:rsid w:val="00B033B2"/>
    <w:rsid w:val="00B034C9"/>
    <w:rsid w:val="00B034EB"/>
    <w:rsid w:val="00B034FC"/>
    <w:rsid w:val="00B0359C"/>
    <w:rsid w:val="00B035DC"/>
    <w:rsid w:val="00B0361C"/>
    <w:rsid w:val="00B0377A"/>
    <w:rsid w:val="00B037DE"/>
    <w:rsid w:val="00B037E0"/>
    <w:rsid w:val="00B03828"/>
    <w:rsid w:val="00B03837"/>
    <w:rsid w:val="00B03869"/>
    <w:rsid w:val="00B03927"/>
    <w:rsid w:val="00B03961"/>
    <w:rsid w:val="00B03971"/>
    <w:rsid w:val="00B03A55"/>
    <w:rsid w:val="00B03AAA"/>
    <w:rsid w:val="00B03AE2"/>
    <w:rsid w:val="00B03B5B"/>
    <w:rsid w:val="00B03B6E"/>
    <w:rsid w:val="00B03C17"/>
    <w:rsid w:val="00B03C62"/>
    <w:rsid w:val="00B03C7B"/>
    <w:rsid w:val="00B03E54"/>
    <w:rsid w:val="00B03EB9"/>
    <w:rsid w:val="00B040EA"/>
    <w:rsid w:val="00B0426A"/>
    <w:rsid w:val="00B043BA"/>
    <w:rsid w:val="00B04418"/>
    <w:rsid w:val="00B04443"/>
    <w:rsid w:val="00B045D8"/>
    <w:rsid w:val="00B04633"/>
    <w:rsid w:val="00B0464E"/>
    <w:rsid w:val="00B047D4"/>
    <w:rsid w:val="00B047D5"/>
    <w:rsid w:val="00B048A3"/>
    <w:rsid w:val="00B04905"/>
    <w:rsid w:val="00B049DA"/>
    <w:rsid w:val="00B04A04"/>
    <w:rsid w:val="00B04B3C"/>
    <w:rsid w:val="00B04B78"/>
    <w:rsid w:val="00B04BB2"/>
    <w:rsid w:val="00B04C7C"/>
    <w:rsid w:val="00B04CE0"/>
    <w:rsid w:val="00B04D7C"/>
    <w:rsid w:val="00B04E9E"/>
    <w:rsid w:val="00B04ED6"/>
    <w:rsid w:val="00B04F41"/>
    <w:rsid w:val="00B052C4"/>
    <w:rsid w:val="00B053F3"/>
    <w:rsid w:val="00B0551A"/>
    <w:rsid w:val="00B05565"/>
    <w:rsid w:val="00B055CD"/>
    <w:rsid w:val="00B05662"/>
    <w:rsid w:val="00B05699"/>
    <w:rsid w:val="00B056B7"/>
    <w:rsid w:val="00B05772"/>
    <w:rsid w:val="00B05789"/>
    <w:rsid w:val="00B057DF"/>
    <w:rsid w:val="00B05884"/>
    <w:rsid w:val="00B059DF"/>
    <w:rsid w:val="00B059E4"/>
    <w:rsid w:val="00B05A26"/>
    <w:rsid w:val="00B05A50"/>
    <w:rsid w:val="00B05A95"/>
    <w:rsid w:val="00B05BEE"/>
    <w:rsid w:val="00B05D23"/>
    <w:rsid w:val="00B05D36"/>
    <w:rsid w:val="00B05D89"/>
    <w:rsid w:val="00B05DC5"/>
    <w:rsid w:val="00B05DE9"/>
    <w:rsid w:val="00B05E26"/>
    <w:rsid w:val="00B05FA9"/>
    <w:rsid w:val="00B0605D"/>
    <w:rsid w:val="00B06067"/>
    <w:rsid w:val="00B061C1"/>
    <w:rsid w:val="00B062B1"/>
    <w:rsid w:val="00B062EC"/>
    <w:rsid w:val="00B064B3"/>
    <w:rsid w:val="00B064E8"/>
    <w:rsid w:val="00B06650"/>
    <w:rsid w:val="00B06697"/>
    <w:rsid w:val="00B066CB"/>
    <w:rsid w:val="00B06775"/>
    <w:rsid w:val="00B06783"/>
    <w:rsid w:val="00B067A1"/>
    <w:rsid w:val="00B067AD"/>
    <w:rsid w:val="00B06979"/>
    <w:rsid w:val="00B0697F"/>
    <w:rsid w:val="00B069B5"/>
    <w:rsid w:val="00B06A0F"/>
    <w:rsid w:val="00B06A43"/>
    <w:rsid w:val="00B06A5C"/>
    <w:rsid w:val="00B06A5D"/>
    <w:rsid w:val="00B06B60"/>
    <w:rsid w:val="00B06D33"/>
    <w:rsid w:val="00B06E16"/>
    <w:rsid w:val="00B06E1E"/>
    <w:rsid w:val="00B06EFE"/>
    <w:rsid w:val="00B06F06"/>
    <w:rsid w:val="00B06F3B"/>
    <w:rsid w:val="00B07035"/>
    <w:rsid w:val="00B070B2"/>
    <w:rsid w:val="00B070EC"/>
    <w:rsid w:val="00B07115"/>
    <w:rsid w:val="00B07121"/>
    <w:rsid w:val="00B072D1"/>
    <w:rsid w:val="00B07347"/>
    <w:rsid w:val="00B07367"/>
    <w:rsid w:val="00B073D4"/>
    <w:rsid w:val="00B0746E"/>
    <w:rsid w:val="00B07491"/>
    <w:rsid w:val="00B078B7"/>
    <w:rsid w:val="00B07904"/>
    <w:rsid w:val="00B0794E"/>
    <w:rsid w:val="00B079DE"/>
    <w:rsid w:val="00B07A10"/>
    <w:rsid w:val="00B07B16"/>
    <w:rsid w:val="00B07B22"/>
    <w:rsid w:val="00B07BF3"/>
    <w:rsid w:val="00B07CA2"/>
    <w:rsid w:val="00B07CEF"/>
    <w:rsid w:val="00B07D82"/>
    <w:rsid w:val="00B07DB6"/>
    <w:rsid w:val="00B07E8B"/>
    <w:rsid w:val="00B07ED2"/>
    <w:rsid w:val="00B07F4B"/>
    <w:rsid w:val="00B10002"/>
    <w:rsid w:val="00B10019"/>
    <w:rsid w:val="00B100DF"/>
    <w:rsid w:val="00B100F5"/>
    <w:rsid w:val="00B101D9"/>
    <w:rsid w:val="00B101FA"/>
    <w:rsid w:val="00B10389"/>
    <w:rsid w:val="00B103B2"/>
    <w:rsid w:val="00B103CD"/>
    <w:rsid w:val="00B104FA"/>
    <w:rsid w:val="00B1054A"/>
    <w:rsid w:val="00B10634"/>
    <w:rsid w:val="00B107DC"/>
    <w:rsid w:val="00B107E4"/>
    <w:rsid w:val="00B1083C"/>
    <w:rsid w:val="00B108F4"/>
    <w:rsid w:val="00B10963"/>
    <w:rsid w:val="00B10C38"/>
    <w:rsid w:val="00B10D68"/>
    <w:rsid w:val="00B10E56"/>
    <w:rsid w:val="00B10E9A"/>
    <w:rsid w:val="00B10EAF"/>
    <w:rsid w:val="00B10FA2"/>
    <w:rsid w:val="00B11070"/>
    <w:rsid w:val="00B110EF"/>
    <w:rsid w:val="00B110F1"/>
    <w:rsid w:val="00B1124B"/>
    <w:rsid w:val="00B11260"/>
    <w:rsid w:val="00B112CC"/>
    <w:rsid w:val="00B112F8"/>
    <w:rsid w:val="00B11395"/>
    <w:rsid w:val="00B113D6"/>
    <w:rsid w:val="00B113DB"/>
    <w:rsid w:val="00B11433"/>
    <w:rsid w:val="00B114A9"/>
    <w:rsid w:val="00B1155C"/>
    <w:rsid w:val="00B11598"/>
    <w:rsid w:val="00B115B9"/>
    <w:rsid w:val="00B1163B"/>
    <w:rsid w:val="00B116AD"/>
    <w:rsid w:val="00B116B5"/>
    <w:rsid w:val="00B11770"/>
    <w:rsid w:val="00B11791"/>
    <w:rsid w:val="00B11840"/>
    <w:rsid w:val="00B1186A"/>
    <w:rsid w:val="00B119AA"/>
    <w:rsid w:val="00B11A28"/>
    <w:rsid w:val="00B11AA7"/>
    <w:rsid w:val="00B11B10"/>
    <w:rsid w:val="00B11B5C"/>
    <w:rsid w:val="00B11BB4"/>
    <w:rsid w:val="00B11BE8"/>
    <w:rsid w:val="00B11CC8"/>
    <w:rsid w:val="00B11CFB"/>
    <w:rsid w:val="00B11D80"/>
    <w:rsid w:val="00B11EF8"/>
    <w:rsid w:val="00B11F9F"/>
    <w:rsid w:val="00B11FF6"/>
    <w:rsid w:val="00B12092"/>
    <w:rsid w:val="00B1209A"/>
    <w:rsid w:val="00B120B6"/>
    <w:rsid w:val="00B1219A"/>
    <w:rsid w:val="00B1240F"/>
    <w:rsid w:val="00B125F4"/>
    <w:rsid w:val="00B12612"/>
    <w:rsid w:val="00B126FE"/>
    <w:rsid w:val="00B12709"/>
    <w:rsid w:val="00B1271C"/>
    <w:rsid w:val="00B1278B"/>
    <w:rsid w:val="00B12798"/>
    <w:rsid w:val="00B12886"/>
    <w:rsid w:val="00B129A7"/>
    <w:rsid w:val="00B12A1A"/>
    <w:rsid w:val="00B12AA4"/>
    <w:rsid w:val="00B12ACE"/>
    <w:rsid w:val="00B12C5D"/>
    <w:rsid w:val="00B12C75"/>
    <w:rsid w:val="00B12CAD"/>
    <w:rsid w:val="00B12CC0"/>
    <w:rsid w:val="00B12D07"/>
    <w:rsid w:val="00B12D79"/>
    <w:rsid w:val="00B12D7E"/>
    <w:rsid w:val="00B12DA1"/>
    <w:rsid w:val="00B12DC5"/>
    <w:rsid w:val="00B12DDC"/>
    <w:rsid w:val="00B12E04"/>
    <w:rsid w:val="00B12EC8"/>
    <w:rsid w:val="00B12F10"/>
    <w:rsid w:val="00B13008"/>
    <w:rsid w:val="00B13048"/>
    <w:rsid w:val="00B13075"/>
    <w:rsid w:val="00B13097"/>
    <w:rsid w:val="00B1314B"/>
    <w:rsid w:val="00B13203"/>
    <w:rsid w:val="00B1322F"/>
    <w:rsid w:val="00B132C5"/>
    <w:rsid w:val="00B13302"/>
    <w:rsid w:val="00B1332F"/>
    <w:rsid w:val="00B1338E"/>
    <w:rsid w:val="00B13499"/>
    <w:rsid w:val="00B1352A"/>
    <w:rsid w:val="00B13600"/>
    <w:rsid w:val="00B1363F"/>
    <w:rsid w:val="00B13749"/>
    <w:rsid w:val="00B137BB"/>
    <w:rsid w:val="00B137EE"/>
    <w:rsid w:val="00B13945"/>
    <w:rsid w:val="00B13953"/>
    <w:rsid w:val="00B139B5"/>
    <w:rsid w:val="00B13B86"/>
    <w:rsid w:val="00B13C86"/>
    <w:rsid w:val="00B13CCA"/>
    <w:rsid w:val="00B13EB7"/>
    <w:rsid w:val="00B13F96"/>
    <w:rsid w:val="00B14008"/>
    <w:rsid w:val="00B1407B"/>
    <w:rsid w:val="00B1414D"/>
    <w:rsid w:val="00B142C6"/>
    <w:rsid w:val="00B143BE"/>
    <w:rsid w:val="00B143DE"/>
    <w:rsid w:val="00B143F3"/>
    <w:rsid w:val="00B14424"/>
    <w:rsid w:val="00B144DA"/>
    <w:rsid w:val="00B144DB"/>
    <w:rsid w:val="00B14771"/>
    <w:rsid w:val="00B14920"/>
    <w:rsid w:val="00B14945"/>
    <w:rsid w:val="00B14A18"/>
    <w:rsid w:val="00B14A63"/>
    <w:rsid w:val="00B14AAB"/>
    <w:rsid w:val="00B14AF6"/>
    <w:rsid w:val="00B14BBE"/>
    <w:rsid w:val="00B14BFA"/>
    <w:rsid w:val="00B14DAF"/>
    <w:rsid w:val="00B14E6A"/>
    <w:rsid w:val="00B14FF1"/>
    <w:rsid w:val="00B15016"/>
    <w:rsid w:val="00B1510B"/>
    <w:rsid w:val="00B15228"/>
    <w:rsid w:val="00B15236"/>
    <w:rsid w:val="00B15258"/>
    <w:rsid w:val="00B1529F"/>
    <w:rsid w:val="00B152DD"/>
    <w:rsid w:val="00B15343"/>
    <w:rsid w:val="00B15372"/>
    <w:rsid w:val="00B153B0"/>
    <w:rsid w:val="00B154A2"/>
    <w:rsid w:val="00B154E2"/>
    <w:rsid w:val="00B154FF"/>
    <w:rsid w:val="00B1554D"/>
    <w:rsid w:val="00B15696"/>
    <w:rsid w:val="00B15743"/>
    <w:rsid w:val="00B158BC"/>
    <w:rsid w:val="00B15909"/>
    <w:rsid w:val="00B15925"/>
    <w:rsid w:val="00B159D9"/>
    <w:rsid w:val="00B15A20"/>
    <w:rsid w:val="00B15B1C"/>
    <w:rsid w:val="00B15BA6"/>
    <w:rsid w:val="00B15C31"/>
    <w:rsid w:val="00B15C3C"/>
    <w:rsid w:val="00B15C49"/>
    <w:rsid w:val="00B15C4F"/>
    <w:rsid w:val="00B15C55"/>
    <w:rsid w:val="00B15EF8"/>
    <w:rsid w:val="00B15F91"/>
    <w:rsid w:val="00B16005"/>
    <w:rsid w:val="00B1601C"/>
    <w:rsid w:val="00B160CF"/>
    <w:rsid w:val="00B161FC"/>
    <w:rsid w:val="00B16212"/>
    <w:rsid w:val="00B16232"/>
    <w:rsid w:val="00B1633D"/>
    <w:rsid w:val="00B164D7"/>
    <w:rsid w:val="00B1668E"/>
    <w:rsid w:val="00B16729"/>
    <w:rsid w:val="00B1672F"/>
    <w:rsid w:val="00B16951"/>
    <w:rsid w:val="00B16A55"/>
    <w:rsid w:val="00B16A8E"/>
    <w:rsid w:val="00B16AA9"/>
    <w:rsid w:val="00B16B30"/>
    <w:rsid w:val="00B16C23"/>
    <w:rsid w:val="00B16D2D"/>
    <w:rsid w:val="00B16D3F"/>
    <w:rsid w:val="00B16D43"/>
    <w:rsid w:val="00B16E47"/>
    <w:rsid w:val="00B1704A"/>
    <w:rsid w:val="00B1709F"/>
    <w:rsid w:val="00B1716F"/>
    <w:rsid w:val="00B17363"/>
    <w:rsid w:val="00B17432"/>
    <w:rsid w:val="00B17498"/>
    <w:rsid w:val="00B17535"/>
    <w:rsid w:val="00B175DE"/>
    <w:rsid w:val="00B175EC"/>
    <w:rsid w:val="00B175F9"/>
    <w:rsid w:val="00B17656"/>
    <w:rsid w:val="00B17748"/>
    <w:rsid w:val="00B1775C"/>
    <w:rsid w:val="00B17774"/>
    <w:rsid w:val="00B17842"/>
    <w:rsid w:val="00B17865"/>
    <w:rsid w:val="00B1789F"/>
    <w:rsid w:val="00B179F5"/>
    <w:rsid w:val="00B17A41"/>
    <w:rsid w:val="00B17B0A"/>
    <w:rsid w:val="00B17C6D"/>
    <w:rsid w:val="00B17CC3"/>
    <w:rsid w:val="00B17D1F"/>
    <w:rsid w:val="00B17DD3"/>
    <w:rsid w:val="00B17E4A"/>
    <w:rsid w:val="00B17E9D"/>
    <w:rsid w:val="00B17EA2"/>
    <w:rsid w:val="00B17EEA"/>
    <w:rsid w:val="00B17F78"/>
    <w:rsid w:val="00B17F7A"/>
    <w:rsid w:val="00B200B0"/>
    <w:rsid w:val="00B200D3"/>
    <w:rsid w:val="00B201F5"/>
    <w:rsid w:val="00B2031E"/>
    <w:rsid w:val="00B20351"/>
    <w:rsid w:val="00B204A5"/>
    <w:rsid w:val="00B204F9"/>
    <w:rsid w:val="00B2053E"/>
    <w:rsid w:val="00B207A4"/>
    <w:rsid w:val="00B207D6"/>
    <w:rsid w:val="00B208F3"/>
    <w:rsid w:val="00B208F5"/>
    <w:rsid w:val="00B20917"/>
    <w:rsid w:val="00B20960"/>
    <w:rsid w:val="00B2096A"/>
    <w:rsid w:val="00B209C0"/>
    <w:rsid w:val="00B209D3"/>
    <w:rsid w:val="00B209E6"/>
    <w:rsid w:val="00B20A44"/>
    <w:rsid w:val="00B20A72"/>
    <w:rsid w:val="00B20A90"/>
    <w:rsid w:val="00B20B20"/>
    <w:rsid w:val="00B20B77"/>
    <w:rsid w:val="00B20BC8"/>
    <w:rsid w:val="00B20BC9"/>
    <w:rsid w:val="00B20C43"/>
    <w:rsid w:val="00B20C87"/>
    <w:rsid w:val="00B20DF2"/>
    <w:rsid w:val="00B20E76"/>
    <w:rsid w:val="00B20F3B"/>
    <w:rsid w:val="00B21013"/>
    <w:rsid w:val="00B21039"/>
    <w:rsid w:val="00B210D0"/>
    <w:rsid w:val="00B21158"/>
    <w:rsid w:val="00B21159"/>
    <w:rsid w:val="00B21288"/>
    <w:rsid w:val="00B2130A"/>
    <w:rsid w:val="00B2140E"/>
    <w:rsid w:val="00B21411"/>
    <w:rsid w:val="00B214FD"/>
    <w:rsid w:val="00B21654"/>
    <w:rsid w:val="00B216D4"/>
    <w:rsid w:val="00B21839"/>
    <w:rsid w:val="00B2183D"/>
    <w:rsid w:val="00B2192F"/>
    <w:rsid w:val="00B21A2E"/>
    <w:rsid w:val="00B21AA3"/>
    <w:rsid w:val="00B21AB7"/>
    <w:rsid w:val="00B21CC8"/>
    <w:rsid w:val="00B21D08"/>
    <w:rsid w:val="00B21D5F"/>
    <w:rsid w:val="00B21D84"/>
    <w:rsid w:val="00B21F25"/>
    <w:rsid w:val="00B21F2F"/>
    <w:rsid w:val="00B2203B"/>
    <w:rsid w:val="00B22059"/>
    <w:rsid w:val="00B22088"/>
    <w:rsid w:val="00B2217D"/>
    <w:rsid w:val="00B221D7"/>
    <w:rsid w:val="00B2247D"/>
    <w:rsid w:val="00B224B9"/>
    <w:rsid w:val="00B2253D"/>
    <w:rsid w:val="00B225F8"/>
    <w:rsid w:val="00B22670"/>
    <w:rsid w:val="00B227A6"/>
    <w:rsid w:val="00B2290F"/>
    <w:rsid w:val="00B2292B"/>
    <w:rsid w:val="00B22973"/>
    <w:rsid w:val="00B22A0C"/>
    <w:rsid w:val="00B22AF5"/>
    <w:rsid w:val="00B22B29"/>
    <w:rsid w:val="00B22BDA"/>
    <w:rsid w:val="00B22C04"/>
    <w:rsid w:val="00B22D35"/>
    <w:rsid w:val="00B22D8C"/>
    <w:rsid w:val="00B22EC6"/>
    <w:rsid w:val="00B22ED1"/>
    <w:rsid w:val="00B22EE5"/>
    <w:rsid w:val="00B2302D"/>
    <w:rsid w:val="00B2305E"/>
    <w:rsid w:val="00B23109"/>
    <w:rsid w:val="00B231D2"/>
    <w:rsid w:val="00B23219"/>
    <w:rsid w:val="00B2329D"/>
    <w:rsid w:val="00B232BA"/>
    <w:rsid w:val="00B2334E"/>
    <w:rsid w:val="00B23367"/>
    <w:rsid w:val="00B23380"/>
    <w:rsid w:val="00B2342A"/>
    <w:rsid w:val="00B23510"/>
    <w:rsid w:val="00B235BA"/>
    <w:rsid w:val="00B236E3"/>
    <w:rsid w:val="00B2370B"/>
    <w:rsid w:val="00B2379C"/>
    <w:rsid w:val="00B2387A"/>
    <w:rsid w:val="00B238FC"/>
    <w:rsid w:val="00B2391F"/>
    <w:rsid w:val="00B239E7"/>
    <w:rsid w:val="00B23A40"/>
    <w:rsid w:val="00B23BAD"/>
    <w:rsid w:val="00B23C1D"/>
    <w:rsid w:val="00B23CBE"/>
    <w:rsid w:val="00B23CC3"/>
    <w:rsid w:val="00B23D82"/>
    <w:rsid w:val="00B23DB7"/>
    <w:rsid w:val="00B23EC8"/>
    <w:rsid w:val="00B23F08"/>
    <w:rsid w:val="00B23FC8"/>
    <w:rsid w:val="00B240C5"/>
    <w:rsid w:val="00B2410B"/>
    <w:rsid w:val="00B2413F"/>
    <w:rsid w:val="00B2414D"/>
    <w:rsid w:val="00B2418F"/>
    <w:rsid w:val="00B241C8"/>
    <w:rsid w:val="00B241DA"/>
    <w:rsid w:val="00B24284"/>
    <w:rsid w:val="00B242C2"/>
    <w:rsid w:val="00B242FD"/>
    <w:rsid w:val="00B24324"/>
    <w:rsid w:val="00B24518"/>
    <w:rsid w:val="00B24673"/>
    <w:rsid w:val="00B24826"/>
    <w:rsid w:val="00B248A0"/>
    <w:rsid w:val="00B2493C"/>
    <w:rsid w:val="00B249CB"/>
    <w:rsid w:val="00B24A30"/>
    <w:rsid w:val="00B24B55"/>
    <w:rsid w:val="00B24BCF"/>
    <w:rsid w:val="00B24C23"/>
    <w:rsid w:val="00B24C2C"/>
    <w:rsid w:val="00B24C78"/>
    <w:rsid w:val="00B24D05"/>
    <w:rsid w:val="00B24D10"/>
    <w:rsid w:val="00B24DF6"/>
    <w:rsid w:val="00B24E81"/>
    <w:rsid w:val="00B24EC5"/>
    <w:rsid w:val="00B24EE2"/>
    <w:rsid w:val="00B25135"/>
    <w:rsid w:val="00B251B9"/>
    <w:rsid w:val="00B252C2"/>
    <w:rsid w:val="00B2533C"/>
    <w:rsid w:val="00B253C9"/>
    <w:rsid w:val="00B2544F"/>
    <w:rsid w:val="00B2546B"/>
    <w:rsid w:val="00B2546F"/>
    <w:rsid w:val="00B2549B"/>
    <w:rsid w:val="00B254F0"/>
    <w:rsid w:val="00B2551D"/>
    <w:rsid w:val="00B255B4"/>
    <w:rsid w:val="00B255B9"/>
    <w:rsid w:val="00B255E9"/>
    <w:rsid w:val="00B25641"/>
    <w:rsid w:val="00B25659"/>
    <w:rsid w:val="00B2565D"/>
    <w:rsid w:val="00B25699"/>
    <w:rsid w:val="00B2575F"/>
    <w:rsid w:val="00B258D5"/>
    <w:rsid w:val="00B25966"/>
    <w:rsid w:val="00B25972"/>
    <w:rsid w:val="00B25A04"/>
    <w:rsid w:val="00B25A4E"/>
    <w:rsid w:val="00B25A66"/>
    <w:rsid w:val="00B25A8E"/>
    <w:rsid w:val="00B25BD2"/>
    <w:rsid w:val="00B25C31"/>
    <w:rsid w:val="00B25D14"/>
    <w:rsid w:val="00B25DF2"/>
    <w:rsid w:val="00B25F14"/>
    <w:rsid w:val="00B25F1A"/>
    <w:rsid w:val="00B26102"/>
    <w:rsid w:val="00B26181"/>
    <w:rsid w:val="00B261F8"/>
    <w:rsid w:val="00B26251"/>
    <w:rsid w:val="00B26269"/>
    <w:rsid w:val="00B26281"/>
    <w:rsid w:val="00B263E2"/>
    <w:rsid w:val="00B264B0"/>
    <w:rsid w:val="00B264D3"/>
    <w:rsid w:val="00B264DE"/>
    <w:rsid w:val="00B26556"/>
    <w:rsid w:val="00B2661F"/>
    <w:rsid w:val="00B2664D"/>
    <w:rsid w:val="00B26772"/>
    <w:rsid w:val="00B267E5"/>
    <w:rsid w:val="00B26858"/>
    <w:rsid w:val="00B268CF"/>
    <w:rsid w:val="00B2690C"/>
    <w:rsid w:val="00B2692C"/>
    <w:rsid w:val="00B26AAE"/>
    <w:rsid w:val="00B26AF2"/>
    <w:rsid w:val="00B26B07"/>
    <w:rsid w:val="00B26B19"/>
    <w:rsid w:val="00B26B62"/>
    <w:rsid w:val="00B26B80"/>
    <w:rsid w:val="00B26C03"/>
    <w:rsid w:val="00B26C09"/>
    <w:rsid w:val="00B26C68"/>
    <w:rsid w:val="00B26C6F"/>
    <w:rsid w:val="00B26D43"/>
    <w:rsid w:val="00B26E00"/>
    <w:rsid w:val="00B2721A"/>
    <w:rsid w:val="00B27301"/>
    <w:rsid w:val="00B2731D"/>
    <w:rsid w:val="00B274BE"/>
    <w:rsid w:val="00B2757A"/>
    <w:rsid w:val="00B2758D"/>
    <w:rsid w:val="00B27605"/>
    <w:rsid w:val="00B27821"/>
    <w:rsid w:val="00B2782A"/>
    <w:rsid w:val="00B27922"/>
    <w:rsid w:val="00B27AB9"/>
    <w:rsid w:val="00B27ABC"/>
    <w:rsid w:val="00B27B39"/>
    <w:rsid w:val="00B27BB2"/>
    <w:rsid w:val="00B27BE2"/>
    <w:rsid w:val="00B27ED9"/>
    <w:rsid w:val="00B27F0E"/>
    <w:rsid w:val="00B27F57"/>
    <w:rsid w:val="00B27F95"/>
    <w:rsid w:val="00B300F7"/>
    <w:rsid w:val="00B3018D"/>
    <w:rsid w:val="00B301C8"/>
    <w:rsid w:val="00B301F1"/>
    <w:rsid w:val="00B30237"/>
    <w:rsid w:val="00B3023B"/>
    <w:rsid w:val="00B3024A"/>
    <w:rsid w:val="00B3044D"/>
    <w:rsid w:val="00B304C7"/>
    <w:rsid w:val="00B305D6"/>
    <w:rsid w:val="00B30614"/>
    <w:rsid w:val="00B30639"/>
    <w:rsid w:val="00B30645"/>
    <w:rsid w:val="00B30726"/>
    <w:rsid w:val="00B30761"/>
    <w:rsid w:val="00B307C0"/>
    <w:rsid w:val="00B307D2"/>
    <w:rsid w:val="00B30854"/>
    <w:rsid w:val="00B30868"/>
    <w:rsid w:val="00B3086D"/>
    <w:rsid w:val="00B308F7"/>
    <w:rsid w:val="00B3091C"/>
    <w:rsid w:val="00B30AFF"/>
    <w:rsid w:val="00B30B5F"/>
    <w:rsid w:val="00B30B77"/>
    <w:rsid w:val="00B30BB5"/>
    <w:rsid w:val="00B30BDE"/>
    <w:rsid w:val="00B30BF6"/>
    <w:rsid w:val="00B30C27"/>
    <w:rsid w:val="00B30CA1"/>
    <w:rsid w:val="00B30CAA"/>
    <w:rsid w:val="00B30D1E"/>
    <w:rsid w:val="00B30D92"/>
    <w:rsid w:val="00B30D9F"/>
    <w:rsid w:val="00B30E05"/>
    <w:rsid w:val="00B30FBB"/>
    <w:rsid w:val="00B31041"/>
    <w:rsid w:val="00B310BF"/>
    <w:rsid w:val="00B310CC"/>
    <w:rsid w:val="00B3111B"/>
    <w:rsid w:val="00B311C9"/>
    <w:rsid w:val="00B3121D"/>
    <w:rsid w:val="00B3129F"/>
    <w:rsid w:val="00B31340"/>
    <w:rsid w:val="00B3134F"/>
    <w:rsid w:val="00B313A1"/>
    <w:rsid w:val="00B313D8"/>
    <w:rsid w:val="00B313DD"/>
    <w:rsid w:val="00B31432"/>
    <w:rsid w:val="00B314DC"/>
    <w:rsid w:val="00B315A3"/>
    <w:rsid w:val="00B315D1"/>
    <w:rsid w:val="00B316E7"/>
    <w:rsid w:val="00B31A4B"/>
    <w:rsid w:val="00B31AEF"/>
    <w:rsid w:val="00B31B90"/>
    <w:rsid w:val="00B31C24"/>
    <w:rsid w:val="00B31D3A"/>
    <w:rsid w:val="00B31D5D"/>
    <w:rsid w:val="00B31D97"/>
    <w:rsid w:val="00B31E0B"/>
    <w:rsid w:val="00B31E23"/>
    <w:rsid w:val="00B31E7E"/>
    <w:rsid w:val="00B32038"/>
    <w:rsid w:val="00B32067"/>
    <w:rsid w:val="00B320BC"/>
    <w:rsid w:val="00B320FE"/>
    <w:rsid w:val="00B32125"/>
    <w:rsid w:val="00B32241"/>
    <w:rsid w:val="00B322A3"/>
    <w:rsid w:val="00B32324"/>
    <w:rsid w:val="00B3272F"/>
    <w:rsid w:val="00B32760"/>
    <w:rsid w:val="00B327A2"/>
    <w:rsid w:val="00B3284D"/>
    <w:rsid w:val="00B329E9"/>
    <w:rsid w:val="00B32A17"/>
    <w:rsid w:val="00B32A67"/>
    <w:rsid w:val="00B32B14"/>
    <w:rsid w:val="00B32BC4"/>
    <w:rsid w:val="00B32BF8"/>
    <w:rsid w:val="00B32CBF"/>
    <w:rsid w:val="00B32D4B"/>
    <w:rsid w:val="00B32E00"/>
    <w:rsid w:val="00B32E1B"/>
    <w:rsid w:val="00B32ED4"/>
    <w:rsid w:val="00B32EDF"/>
    <w:rsid w:val="00B32F0D"/>
    <w:rsid w:val="00B330EF"/>
    <w:rsid w:val="00B33139"/>
    <w:rsid w:val="00B3324E"/>
    <w:rsid w:val="00B333FD"/>
    <w:rsid w:val="00B335D4"/>
    <w:rsid w:val="00B336BE"/>
    <w:rsid w:val="00B337FC"/>
    <w:rsid w:val="00B3385E"/>
    <w:rsid w:val="00B338D8"/>
    <w:rsid w:val="00B339C0"/>
    <w:rsid w:val="00B33A34"/>
    <w:rsid w:val="00B33A40"/>
    <w:rsid w:val="00B33A5D"/>
    <w:rsid w:val="00B33BB1"/>
    <w:rsid w:val="00B33BEA"/>
    <w:rsid w:val="00B33C08"/>
    <w:rsid w:val="00B33CB3"/>
    <w:rsid w:val="00B33CBB"/>
    <w:rsid w:val="00B33D21"/>
    <w:rsid w:val="00B33D71"/>
    <w:rsid w:val="00B33DAD"/>
    <w:rsid w:val="00B33E0E"/>
    <w:rsid w:val="00B33F3C"/>
    <w:rsid w:val="00B3402C"/>
    <w:rsid w:val="00B34035"/>
    <w:rsid w:val="00B34124"/>
    <w:rsid w:val="00B34171"/>
    <w:rsid w:val="00B34233"/>
    <w:rsid w:val="00B342F2"/>
    <w:rsid w:val="00B3455E"/>
    <w:rsid w:val="00B34563"/>
    <w:rsid w:val="00B3458E"/>
    <w:rsid w:val="00B345F4"/>
    <w:rsid w:val="00B34765"/>
    <w:rsid w:val="00B3481C"/>
    <w:rsid w:val="00B3481D"/>
    <w:rsid w:val="00B3483B"/>
    <w:rsid w:val="00B3484B"/>
    <w:rsid w:val="00B3489E"/>
    <w:rsid w:val="00B34A02"/>
    <w:rsid w:val="00B34B07"/>
    <w:rsid w:val="00B34CBB"/>
    <w:rsid w:val="00B34D16"/>
    <w:rsid w:val="00B34D41"/>
    <w:rsid w:val="00B34E59"/>
    <w:rsid w:val="00B34EA9"/>
    <w:rsid w:val="00B34EFD"/>
    <w:rsid w:val="00B34F70"/>
    <w:rsid w:val="00B35131"/>
    <w:rsid w:val="00B3513B"/>
    <w:rsid w:val="00B35196"/>
    <w:rsid w:val="00B352C3"/>
    <w:rsid w:val="00B352E9"/>
    <w:rsid w:val="00B35364"/>
    <w:rsid w:val="00B3549E"/>
    <w:rsid w:val="00B355F3"/>
    <w:rsid w:val="00B3566F"/>
    <w:rsid w:val="00B3567D"/>
    <w:rsid w:val="00B35742"/>
    <w:rsid w:val="00B35751"/>
    <w:rsid w:val="00B3577B"/>
    <w:rsid w:val="00B3579C"/>
    <w:rsid w:val="00B35806"/>
    <w:rsid w:val="00B3584F"/>
    <w:rsid w:val="00B358AA"/>
    <w:rsid w:val="00B35933"/>
    <w:rsid w:val="00B35A33"/>
    <w:rsid w:val="00B35A3A"/>
    <w:rsid w:val="00B35BCB"/>
    <w:rsid w:val="00B35F08"/>
    <w:rsid w:val="00B35F7E"/>
    <w:rsid w:val="00B35F8E"/>
    <w:rsid w:val="00B36109"/>
    <w:rsid w:val="00B36144"/>
    <w:rsid w:val="00B3615A"/>
    <w:rsid w:val="00B362A3"/>
    <w:rsid w:val="00B36356"/>
    <w:rsid w:val="00B363E7"/>
    <w:rsid w:val="00B3656B"/>
    <w:rsid w:val="00B36584"/>
    <w:rsid w:val="00B36595"/>
    <w:rsid w:val="00B36745"/>
    <w:rsid w:val="00B36746"/>
    <w:rsid w:val="00B3675B"/>
    <w:rsid w:val="00B367B7"/>
    <w:rsid w:val="00B367C8"/>
    <w:rsid w:val="00B36811"/>
    <w:rsid w:val="00B36823"/>
    <w:rsid w:val="00B36832"/>
    <w:rsid w:val="00B368AF"/>
    <w:rsid w:val="00B368E4"/>
    <w:rsid w:val="00B3699D"/>
    <w:rsid w:val="00B369D6"/>
    <w:rsid w:val="00B36A6B"/>
    <w:rsid w:val="00B36C20"/>
    <w:rsid w:val="00B36C27"/>
    <w:rsid w:val="00B36C97"/>
    <w:rsid w:val="00B36CE3"/>
    <w:rsid w:val="00B36CFC"/>
    <w:rsid w:val="00B36DDB"/>
    <w:rsid w:val="00B36F0C"/>
    <w:rsid w:val="00B36F6D"/>
    <w:rsid w:val="00B3700B"/>
    <w:rsid w:val="00B371DF"/>
    <w:rsid w:val="00B3720B"/>
    <w:rsid w:val="00B374C1"/>
    <w:rsid w:val="00B37520"/>
    <w:rsid w:val="00B37611"/>
    <w:rsid w:val="00B37635"/>
    <w:rsid w:val="00B376DC"/>
    <w:rsid w:val="00B376F8"/>
    <w:rsid w:val="00B37745"/>
    <w:rsid w:val="00B37798"/>
    <w:rsid w:val="00B377EC"/>
    <w:rsid w:val="00B377F4"/>
    <w:rsid w:val="00B37880"/>
    <w:rsid w:val="00B3792E"/>
    <w:rsid w:val="00B37944"/>
    <w:rsid w:val="00B379AD"/>
    <w:rsid w:val="00B37AB3"/>
    <w:rsid w:val="00B37B40"/>
    <w:rsid w:val="00B37C18"/>
    <w:rsid w:val="00B37C1D"/>
    <w:rsid w:val="00B37D45"/>
    <w:rsid w:val="00B37E9E"/>
    <w:rsid w:val="00B37FE2"/>
    <w:rsid w:val="00B40220"/>
    <w:rsid w:val="00B40294"/>
    <w:rsid w:val="00B402AD"/>
    <w:rsid w:val="00B402CC"/>
    <w:rsid w:val="00B40308"/>
    <w:rsid w:val="00B40309"/>
    <w:rsid w:val="00B40314"/>
    <w:rsid w:val="00B40330"/>
    <w:rsid w:val="00B40351"/>
    <w:rsid w:val="00B404F6"/>
    <w:rsid w:val="00B40539"/>
    <w:rsid w:val="00B40581"/>
    <w:rsid w:val="00B4064D"/>
    <w:rsid w:val="00B40667"/>
    <w:rsid w:val="00B406DC"/>
    <w:rsid w:val="00B406DE"/>
    <w:rsid w:val="00B4070B"/>
    <w:rsid w:val="00B407ED"/>
    <w:rsid w:val="00B40868"/>
    <w:rsid w:val="00B40888"/>
    <w:rsid w:val="00B40890"/>
    <w:rsid w:val="00B4099D"/>
    <w:rsid w:val="00B40AEF"/>
    <w:rsid w:val="00B40BFE"/>
    <w:rsid w:val="00B40C81"/>
    <w:rsid w:val="00B40CB3"/>
    <w:rsid w:val="00B40F0A"/>
    <w:rsid w:val="00B40F28"/>
    <w:rsid w:val="00B40F31"/>
    <w:rsid w:val="00B40FBF"/>
    <w:rsid w:val="00B41078"/>
    <w:rsid w:val="00B4109A"/>
    <w:rsid w:val="00B4109D"/>
    <w:rsid w:val="00B41152"/>
    <w:rsid w:val="00B411DF"/>
    <w:rsid w:val="00B41286"/>
    <w:rsid w:val="00B4130D"/>
    <w:rsid w:val="00B41428"/>
    <w:rsid w:val="00B4143A"/>
    <w:rsid w:val="00B414CB"/>
    <w:rsid w:val="00B41615"/>
    <w:rsid w:val="00B416C0"/>
    <w:rsid w:val="00B41753"/>
    <w:rsid w:val="00B4177D"/>
    <w:rsid w:val="00B418A6"/>
    <w:rsid w:val="00B418FE"/>
    <w:rsid w:val="00B4194C"/>
    <w:rsid w:val="00B41AC0"/>
    <w:rsid w:val="00B41B7E"/>
    <w:rsid w:val="00B41BAF"/>
    <w:rsid w:val="00B41BF4"/>
    <w:rsid w:val="00B41BFD"/>
    <w:rsid w:val="00B41C79"/>
    <w:rsid w:val="00B41D05"/>
    <w:rsid w:val="00B41DA1"/>
    <w:rsid w:val="00B41DBC"/>
    <w:rsid w:val="00B41E15"/>
    <w:rsid w:val="00B41EB1"/>
    <w:rsid w:val="00B41EDC"/>
    <w:rsid w:val="00B41F0C"/>
    <w:rsid w:val="00B41F15"/>
    <w:rsid w:val="00B4206B"/>
    <w:rsid w:val="00B420E7"/>
    <w:rsid w:val="00B421F8"/>
    <w:rsid w:val="00B4227B"/>
    <w:rsid w:val="00B42335"/>
    <w:rsid w:val="00B42480"/>
    <w:rsid w:val="00B4254A"/>
    <w:rsid w:val="00B4259C"/>
    <w:rsid w:val="00B425DA"/>
    <w:rsid w:val="00B425F7"/>
    <w:rsid w:val="00B42691"/>
    <w:rsid w:val="00B42763"/>
    <w:rsid w:val="00B427C4"/>
    <w:rsid w:val="00B427F2"/>
    <w:rsid w:val="00B42857"/>
    <w:rsid w:val="00B4290B"/>
    <w:rsid w:val="00B42946"/>
    <w:rsid w:val="00B42961"/>
    <w:rsid w:val="00B4298C"/>
    <w:rsid w:val="00B429FA"/>
    <w:rsid w:val="00B42AE7"/>
    <w:rsid w:val="00B42B2E"/>
    <w:rsid w:val="00B42BEF"/>
    <w:rsid w:val="00B42E23"/>
    <w:rsid w:val="00B42FB3"/>
    <w:rsid w:val="00B43080"/>
    <w:rsid w:val="00B43349"/>
    <w:rsid w:val="00B43373"/>
    <w:rsid w:val="00B4342B"/>
    <w:rsid w:val="00B43444"/>
    <w:rsid w:val="00B4362C"/>
    <w:rsid w:val="00B43653"/>
    <w:rsid w:val="00B43758"/>
    <w:rsid w:val="00B438BE"/>
    <w:rsid w:val="00B43A01"/>
    <w:rsid w:val="00B43AD7"/>
    <w:rsid w:val="00B43AFE"/>
    <w:rsid w:val="00B43B9D"/>
    <w:rsid w:val="00B43C8E"/>
    <w:rsid w:val="00B43F8E"/>
    <w:rsid w:val="00B44084"/>
    <w:rsid w:val="00B4408B"/>
    <w:rsid w:val="00B4408C"/>
    <w:rsid w:val="00B4413B"/>
    <w:rsid w:val="00B441AF"/>
    <w:rsid w:val="00B441B9"/>
    <w:rsid w:val="00B44254"/>
    <w:rsid w:val="00B44354"/>
    <w:rsid w:val="00B4439C"/>
    <w:rsid w:val="00B443DE"/>
    <w:rsid w:val="00B443ED"/>
    <w:rsid w:val="00B4440F"/>
    <w:rsid w:val="00B444A3"/>
    <w:rsid w:val="00B44526"/>
    <w:rsid w:val="00B44638"/>
    <w:rsid w:val="00B44678"/>
    <w:rsid w:val="00B448CD"/>
    <w:rsid w:val="00B44A27"/>
    <w:rsid w:val="00B44A65"/>
    <w:rsid w:val="00B44B72"/>
    <w:rsid w:val="00B44CFC"/>
    <w:rsid w:val="00B44CFE"/>
    <w:rsid w:val="00B44DEC"/>
    <w:rsid w:val="00B45020"/>
    <w:rsid w:val="00B4505D"/>
    <w:rsid w:val="00B451EC"/>
    <w:rsid w:val="00B45270"/>
    <w:rsid w:val="00B45290"/>
    <w:rsid w:val="00B452C3"/>
    <w:rsid w:val="00B452CE"/>
    <w:rsid w:val="00B45328"/>
    <w:rsid w:val="00B453C4"/>
    <w:rsid w:val="00B4542B"/>
    <w:rsid w:val="00B45612"/>
    <w:rsid w:val="00B456A9"/>
    <w:rsid w:val="00B45776"/>
    <w:rsid w:val="00B457E9"/>
    <w:rsid w:val="00B45A4E"/>
    <w:rsid w:val="00B45A5E"/>
    <w:rsid w:val="00B45B6A"/>
    <w:rsid w:val="00B45C24"/>
    <w:rsid w:val="00B45C57"/>
    <w:rsid w:val="00B45DFB"/>
    <w:rsid w:val="00B45F50"/>
    <w:rsid w:val="00B45FE8"/>
    <w:rsid w:val="00B45FEE"/>
    <w:rsid w:val="00B460A9"/>
    <w:rsid w:val="00B460BC"/>
    <w:rsid w:val="00B460D6"/>
    <w:rsid w:val="00B460E5"/>
    <w:rsid w:val="00B46186"/>
    <w:rsid w:val="00B461D4"/>
    <w:rsid w:val="00B462F8"/>
    <w:rsid w:val="00B4634A"/>
    <w:rsid w:val="00B46485"/>
    <w:rsid w:val="00B46498"/>
    <w:rsid w:val="00B464F4"/>
    <w:rsid w:val="00B465D1"/>
    <w:rsid w:val="00B4683E"/>
    <w:rsid w:val="00B4694C"/>
    <w:rsid w:val="00B469E3"/>
    <w:rsid w:val="00B46A9B"/>
    <w:rsid w:val="00B46BA8"/>
    <w:rsid w:val="00B46BBA"/>
    <w:rsid w:val="00B46BD5"/>
    <w:rsid w:val="00B46C6F"/>
    <w:rsid w:val="00B46CB4"/>
    <w:rsid w:val="00B46E3B"/>
    <w:rsid w:val="00B46E3F"/>
    <w:rsid w:val="00B46EE7"/>
    <w:rsid w:val="00B4703E"/>
    <w:rsid w:val="00B470D3"/>
    <w:rsid w:val="00B470EC"/>
    <w:rsid w:val="00B4719D"/>
    <w:rsid w:val="00B471E0"/>
    <w:rsid w:val="00B471F3"/>
    <w:rsid w:val="00B47239"/>
    <w:rsid w:val="00B472C6"/>
    <w:rsid w:val="00B4733C"/>
    <w:rsid w:val="00B473D7"/>
    <w:rsid w:val="00B4742F"/>
    <w:rsid w:val="00B47628"/>
    <w:rsid w:val="00B4770B"/>
    <w:rsid w:val="00B47779"/>
    <w:rsid w:val="00B478A4"/>
    <w:rsid w:val="00B478F5"/>
    <w:rsid w:val="00B47914"/>
    <w:rsid w:val="00B47936"/>
    <w:rsid w:val="00B47962"/>
    <w:rsid w:val="00B47AC0"/>
    <w:rsid w:val="00B47BA1"/>
    <w:rsid w:val="00B47C87"/>
    <w:rsid w:val="00B47CAE"/>
    <w:rsid w:val="00B47CB3"/>
    <w:rsid w:val="00B47D0B"/>
    <w:rsid w:val="00B47E6A"/>
    <w:rsid w:val="00B47FB2"/>
    <w:rsid w:val="00B500DA"/>
    <w:rsid w:val="00B50102"/>
    <w:rsid w:val="00B5010C"/>
    <w:rsid w:val="00B5018A"/>
    <w:rsid w:val="00B50218"/>
    <w:rsid w:val="00B502A0"/>
    <w:rsid w:val="00B503E0"/>
    <w:rsid w:val="00B5046E"/>
    <w:rsid w:val="00B504B3"/>
    <w:rsid w:val="00B506DD"/>
    <w:rsid w:val="00B50920"/>
    <w:rsid w:val="00B50985"/>
    <w:rsid w:val="00B509A7"/>
    <w:rsid w:val="00B509E7"/>
    <w:rsid w:val="00B509EB"/>
    <w:rsid w:val="00B50A1B"/>
    <w:rsid w:val="00B50AB6"/>
    <w:rsid w:val="00B50AE7"/>
    <w:rsid w:val="00B50C6D"/>
    <w:rsid w:val="00B50E3C"/>
    <w:rsid w:val="00B50E78"/>
    <w:rsid w:val="00B50F49"/>
    <w:rsid w:val="00B5101C"/>
    <w:rsid w:val="00B51108"/>
    <w:rsid w:val="00B5111F"/>
    <w:rsid w:val="00B512C9"/>
    <w:rsid w:val="00B5134C"/>
    <w:rsid w:val="00B5137B"/>
    <w:rsid w:val="00B51385"/>
    <w:rsid w:val="00B5150F"/>
    <w:rsid w:val="00B51622"/>
    <w:rsid w:val="00B516E7"/>
    <w:rsid w:val="00B517C9"/>
    <w:rsid w:val="00B51A15"/>
    <w:rsid w:val="00B51AA5"/>
    <w:rsid w:val="00B51B56"/>
    <w:rsid w:val="00B51C95"/>
    <w:rsid w:val="00B51D7B"/>
    <w:rsid w:val="00B51F14"/>
    <w:rsid w:val="00B51FC0"/>
    <w:rsid w:val="00B52049"/>
    <w:rsid w:val="00B52273"/>
    <w:rsid w:val="00B52288"/>
    <w:rsid w:val="00B52305"/>
    <w:rsid w:val="00B52354"/>
    <w:rsid w:val="00B523D2"/>
    <w:rsid w:val="00B524A1"/>
    <w:rsid w:val="00B524E2"/>
    <w:rsid w:val="00B5257B"/>
    <w:rsid w:val="00B52630"/>
    <w:rsid w:val="00B52684"/>
    <w:rsid w:val="00B52688"/>
    <w:rsid w:val="00B5277A"/>
    <w:rsid w:val="00B527BA"/>
    <w:rsid w:val="00B52825"/>
    <w:rsid w:val="00B52892"/>
    <w:rsid w:val="00B52A24"/>
    <w:rsid w:val="00B52A83"/>
    <w:rsid w:val="00B52B16"/>
    <w:rsid w:val="00B52B3D"/>
    <w:rsid w:val="00B52B86"/>
    <w:rsid w:val="00B52C02"/>
    <w:rsid w:val="00B52C22"/>
    <w:rsid w:val="00B52D00"/>
    <w:rsid w:val="00B52E42"/>
    <w:rsid w:val="00B52EDF"/>
    <w:rsid w:val="00B52EF1"/>
    <w:rsid w:val="00B52EF7"/>
    <w:rsid w:val="00B52F06"/>
    <w:rsid w:val="00B52F6C"/>
    <w:rsid w:val="00B52FB5"/>
    <w:rsid w:val="00B530E8"/>
    <w:rsid w:val="00B531F9"/>
    <w:rsid w:val="00B5322A"/>
    <w:rsid w:val="00B5323A"/>
    <w:rsid w:val="00B532F8"/>
    <w:rsid w:val="00B533A1"/>
    <w:rsid w:val="00B533B4"/>
    <w:rsid w:val="00B533BB"/>
    <w:rsid w:val="00B5342C"/>
    <w:rsid w:val="00B534EF"/>
    <w:rsid w:val="00B534FC"/>
    <w:rsid w:val="00B535AD"/>
    <w:rsid w:val="00B53619"/>
    <w:rsid w:val="00B53665"/>
    <w:rsid w:val="00B53682"/>
    <w:rsid w:val="00B536A1"/>
    <w:rsid w:val="00B53779"/>
    <w:rsid w:val="00B537C6"/>
    <w:rsid w:val="00B53802"/>
    <w:rsid w:val="00B53807"/>
    <w:rsid w:val="00B53845"/>
    <w:rsid w:val="00B5385B"/>
    <w:rsid w:val="00B53925"/>
    <w:rsid w:val="00B539DF"/>
    <w:rsid w:val="00B53A82"/>
    <w:rsid w:val="00B53B5E"/>
    <w:rsid w:val="00B53C08"/>
    <w:rsid w:val="00B53CFE"/>
    <w:rsid w:val="00B53D0A"/>
    <w:rsid w:val="00B53D27"/>
    <w:rsid w:val="00B53D86"/>
    <w:rsid w:val="00B53F2C"/>
    <w:rsid w:val="00B53F4B"/>
    <w:rsid w:val="00B54014"/>
    <w:rsid w:val="00B54269"/>
    <w:rsid w:val="00B5435F"/>
    <w:rsid w:val="00B54406"/>
    <w:rsid w:val="00B5444B"/>
    <w:rsid w:val="00B54478"/>
    <w:rsid w:val="00B544BB"/>
    <w:rsid w:val="00B544BF"/>
    <w:rsid w:val="00B5454E"/>
    <w:rsid w:val="00B545F8"/>
    <w:rsid w:val="00B54654"/>
    <w:rsid w:val="00B5471E"/>
    <w:rsid w:val="00B5473F"/>
    <w:rsid w:val="00B547A5"/>
    <w:rsid w:val="00B547BB"/>
    <w:rsid w:val="00B547E0"/>
    <w:rsid w:val="00B548D4"/>
    <w:rsid w:val="00B54988"/>
    <w:rsid w:val="00B549B6"/>
    <w:rsid w:val="00B549C1"/>
    <w:rsid w:val="00B54A11"/>
    <w:rsid w:val="00B54A3A"/>
    <w:rsid w:val="00B54AF0"/>
    <w:rsid w:val="00B54CB7"/>
    <w:rsid w:val="00B54D84"/>
    <w:rsid w:val="00B54DBE"/>
    <w:rsid w:val="00B54EDA"/>
    <w:rsid w:val="00B55063"/>
    <w:rsid w:val="00B550A5"/>
    <w:rsid w:val="00B550FB"/>
    <w:rsid w:val="00B551F6"/>
    <w:rsid w:val="00B551FF"/>
    <w:rsid w:val="00B553E8"/>
    <w:rsid w:val="00B55583"/>
    <w:rsid w:val="00B555D3"/>
    <w:rsid w:val="00B5560D"/>
    <w:rsid w:val="00B55621"/>
    <w:rsid w:val="00B55641"/>
    <w:rsid w:val="00B557A0"/>
    <w:rsid w:val="00B557F5"/>
    <w:rsid w:val="00B55858"/>
    <w:rsid w:val="00B559CD"/>
    <w:rsid w:val="00B559F2"/>
    <w:rsid w:val="00B55B59"/>
    <w:rsid w:val="00B55C43"/>
    <w:rsid w:val="00B55D20"/>
    <w:rsid w:val="00B55D29"/>
    <w:rsid w:val="00B55DEB"/>
    <w:rsid w:val="00B55E5A"/>
    <w:rsid w:val="00B55E74"/>
    <w:rsid w:val="00B55EF9"/>
    <w:rsid w:val="00B560EB"/>
    <w:rsid w:val="00B56167"/>
    <w:rsid w:val="00B56264"/>
    <w:rsid w:val="00B56650"/>
    <w:rsid w:val="00B56778"/>
    <w:rsid w:val="00B567A8"/>
    <w:rsid w:val="00B567B5"/>
    <w:rsid w:val="00B56871"/>
    <w:rsid w:val="00B568BA"/>
    <w:rsid w:val="00B568CC"/>
    <w:rsid w:val="00B569A2"/>
    <w:rsid w:val="00B569FD"/>
    <w:rsid w:val="00B56B4F"/>
    <w:rsid w:val="00B56B97"/>
    <w:rsid w:val="00B56BC8"/>
    <w:rsid w:val="00B56C64"/>
    <w:rsid w:val="00B56CE8"/>
    <w:rsid w:val="00B56E33"/>
    <w:rsid w:val="00B56F69"/>
    <w:rsid w:val="00B56F86"/>
    <w:rsid w:val="00B57230"/>
    <w:rsid w:val="00B57264"/>
    <w:rsid w:val="00B57629"/>
    <w:rsid w:val="00B57666"/>
    <w:rsid w:val="00B576CC"/>
    <w:rsid w:val="00B578B4"/>
    <w:rsid w:val="00B578F0"/>
    <w:rsid w:val="00B57993"/>
    <w:rsid w:val="00B579DE"/>
    <w:rsid w:val="00B57A63"/>
    <w:rsid w:val="00B57B98"/>
    <w:rsid w:val="00B57C28"/>
    <w:rsid w:val="00B60017"/>
    <w:rsid w:val="00B60057"/>
    <w:rsid w:val="00B6019A"/>
    <w:rsid w:val="00B60210"/>
    <w:rsid w:val="00B6023F"/>
    <w:rsid w:val="00B603B9"/>
    <w:rsid w:val="00B6044A"/>
    <w:rsid w:val="00B6054A"/>
    <w:rsid w:val="00B606C4"/>
    <w:rsid w:val="00B60757"/>
    <w:rsid w:val="00B607C4"/>
    <w:rsid w:val="00B607D7"/>
    <w:rsid w:val="00B60866"/>
    <w:rsid w:val="00B609D6"/>
    <w:rsid w:val="00B60A3D"/>
    <w:rsid w:val="00B60A94"/>
    <w:rsid w:val="00B60AD0"/>
    <w:rsid w:val="00B60AF0"/>
    <w:rsid w:val="00B60B31"/>
    <w:rsid w:val="00B60BB0"/>
    <w:rsid w:val="00B60CE2"/>
    <w:rsid w:val="00B60CE8"/>
    <w:rsid w:val="00B60D8B"/>
    <w:rsid w:val="00B60E0A"/>
    <w:rsid w:val="00B60E0E"/>
    <w:rsid w:val="00B60E5A"/>
    <w:rsid w:val="00B60EB0"/>
    <w:rsid w:val="00B60F26"/>
    <w:rsid w:val="00B60FB6"/>
    <w:rsid w:val="00B60FEA"/>
    <w:rsid w:val="00B61007"/>
    <w:rsid w:val="00B61073"/>
    <w:rsid w:val="00B610F4"/>
    <w:rsid w:val="00B611A5"/>
    <w:rsid w:val="00B612F6"/>
    <w:rsid w:val="00B6130D"/>
    <w:rsid w:val="00B61341"/>
    <w:rsid w:val="00B6135C"/>
    <w:rsid w:val="00B61584"/>
    <w:rsid w:val="00B615FF"/>
    <w:rsid w:val="00B6161B"/>
    <w:rsid w:val="00B616C0"/>
    <w:rsid w:val="00B616CE"/>
    <w:rsid w:val="00B61718"/>
    <w:rsid w:val="00B61726"/>
    <w:rsid w:val="00B6187A"/>
    <w:rsid w:val="00B61888"/>
    <w:rsid w:val="00B6196F"/>
    <w:rsid w:val="00B61974"/>
    <w:rsid w:val="00B619EB"/>
    <w:rsid w:val="00B61A0A"/>
    <w:rsid w:val="00B61B51"/>
    <w:rsid w:val="00B61BA3"/>
    <w:rsid w:val="00B61BCA"/>
    <w:rsid w:val="00B61C12"/>
    <w:rsid w:val="00B61C7E"/>
    <w:rsid w:val="00B61C87"/>
    <w:rsid w:val="00B61C92"/>
    <w:rsid w:val="00B61CA7"/>
    <w:rsid w:val="00B61D57"/>
    <w:rsid w:val="00B61E0C"/>
    <w:rsid w:val="00B61E51"/>
    <w:rsid w:val="00B61E96"/>
    <w:rsid w:val="00B61F14"/>
    <w:rsid w:val="00B620E0"/>
    <w:rsid w:val="00B6233E"/>
    <w:rsid w:val="00B6242A"/>
    <w:rsid w:val="00B62496"/>
    <w:rsid w:val="00B624B4"/>
    <w:rsid w:val="00B62515"/>
    <w:rsid w:val="00B625CE"/>
    <w:rsid w:val="00B625E6"/>
    <w:rsid w:val="00B62622"/>
    <w:rsid w:val="00B62758"/>
    <w:rsid w:val="00B62795"/>
    <w:rsid w:val="00B62854"/>
    <w:rsid w:val="00B62975"/>
    <w:rsid w:val="00B6297F"/>
    <w:rsid w:val="00B62AAA"/>
    <w:rsid w:val="00B62AC1"/>
    <w:rsid w:val="00B62B43"/>
    <w:rsid w:val="00B62B9E"/>
    <w:rsid w:val="00B62C2A"/>
    <w:rsid w:val="00B62C6B"/>
    <w:rsid w:val="00B62D3B"/>
    <w:rsid w:val="00B62DC3"/>
    <w:rsid w:val="00B62DF4"/>
    <w:rsid w:val="00B62EE8"/>
    <w:rsid w:val="00B62EED"/>
    <w:rsid w:val="00B631D2"/>
    <w:rsid w:val="00B6324C"/>
    <w:rsid w:val="00B632A7"/>
    <w:rsid w:val="00B632C1"/>
    <w:rsid w:val="00B632EE"/>
    <w:rsid w:val="00B63339"/>
    <w:rsid w:val="00B63402"/>
    <w:rsid w:val="00B634A3"/>
    <w:rsid w:val="00B63554"/>
    <w:rsid w:val="00B637F4"/>
    <w:rsid w:val="00B639D7"/>
    <w:rsid w:val="00B63ADF"/>
    <w:rsid w:val="00B63B5C"/>
    <w:rsid w:val="00B63D37"/>
    <w:rsid w:val="00B63E55"/>
    <w:rsid w:val="00B63EEC"/>
    <w:rsid w:val="00B64070"/>
    <w:rsid w:val="00B64071"/>
    <w:rsid w:val="00B64221"/>
    <w:rsid w:val="00B64522"/>
    <w:rsid w:val="00B645B0"/>
    <w:rsid w:val="00B6460F"/>
    <w:rsid w:val="00B64622"/>
    <w:rsid w:val="00B6467A"/>
    <w:rsid w:val="00B6474F"/>
    <w:rsid w:val="00B647AA"/>
    <w:rsid w:val="00B64812"/>
    <w:rsid w:val="00B64828"/>
    <w:rsid w:val="00B6484A"/>
    <w:rsid w:val="00B6487C"/>
    <w:rsid w:val="00B64887"/>
    <w:rsid w:val="00B648D8"/>
    <w:rsid w:val="00B64945"/>
    <w:rsid w:val="00B64A0B"/>
    <w:rsid w:val="00B64A57"/>
    <w:rsid w:val="00B64ACA"/>
    <w:rsid w:val="00B64BE5"/>
    <w:rsid w:val="00B64C7F"/>
    <w:rsid w:val="00B64CA2"/>
    <w:rsid w:val="00B64D39"/>
    <w:rsid w:val="00B64D59"/>
    <w:rsid w:val="00B64DB6"/>
    <w:rsid w:val="00B64E15"/>
    <w:rsid w:val="00B64EA1"/>
    <w:rsid w:val="00B64F3F"/>
    <w:rsid w:val="00B64FBC"/>
    <w:rsid w:val="00B64FC5"/>
    <w:rsid w:val="00B65188"/>
    <w:rsid w:val="00B6523B"/>
    <w:rsid w:val="00B65482"/>
    <w:rsid w:val="00B65595"/>
    <w:rsid w:val="00B65675"/>
    <w:rsid w:val="00B6572F"/>
    <w:rsid w:val="00B65834"/>
    <w:rsid w:val="00B65899"/>
    <w:rsid w:val="00B65950"/>
    <w:rsid w:val="00B65BE6"/>
    <w:rsid w:val="00B65C72"/>
    <w:rsid w:val="00B65CF1"/>
    <w:rsid w:val="00B65DEE"/>
    <w:rsid w:val="00B65E06"/>
    <w:rsid w:val="00B65E9E"/>
    <w:rsid w:val="00B65ED8"/>
    <w:rsid w:val="00B65F3F"/>
    <w:rsid w:val="00B65F7A"/>
    <w:rsid w:val="00B65F87"/>
    <w:rsid w:val="00B660D3"/>
    <w:rsid w:val="00B661B5"/>
    <w:rsid w:val="00B66389"/>
    <w:rsid w:val="00B663EE"/>
    <w:rsid w:val="00B66417"/>
    <w:rsid w:val="00B66468"/>
    <w:rsid w:val="00B664A5"/>
    <w:rsid w:val="00B664D5"/>
    <w:rsid w:val="00B665AE"/>
    <w:rsid w:val="00B66668"/>
    <w:rsid w:val="00B66684"/>
    <w:rsid w:val="00B666C8"/>
    <w:rsid w:val="00B66750"/>
    <w:rsid w:val="00B6694A"/>
    <w:rsid w:val="00B669B7"/>
    <w:rsid w:val="00B66A5F"/>
    <w:rsid w:val="00B66B92"/>
    <w:rsid w:val="00B66C1C"/>
    <w:rsid w:val="00B66C6F"/>
    <w:rsid w:val="00B66DCD"/>
    <w:rsid w:val="00B66E5E"/>
    <w:rsid w:val="00B66F39"/>
    <w:rsid w:val="00B66F68"/>
    <w:rsid w:val="00B67072"/>
    <w:rsid w:val="00B6707B"/>
    <w:rsid w:val="00B67143"/>
    <w:rsid w:val="00B6716B"/>
    <w:rsid w:val="00B67203"/>
    <w:rsid w:val="00B6721C"/>
    <w:rsid w:val="00B67282"/>
    <w:rsid w:val="00B67391"/>
    <w:rsid w:val="00B6744D"/>
    <w:rsid w:val="00B67530"/>
    <w:rsid w:val="00B67587"/>
    <w:rsid w:val="00B67644"/>
    <w:rsid w:val="00B6766F"/>
    <w:rsid w:val="00B677E0"/>
    <w:rsid w:val="00B678AF"/>
    <w:rsid w:val="00B678D9"/>
    <w:rsid w:val="00B67915"/>
    <w:rsid w:val="00B67A04"/>
    <w:rsid w:val="00B67AD9"/>
    <w:rsid w:val="00B67B25"/>
    <w:rsid w:val="00B67B5E"/>
    <w:rsid w:val="00B67C5C"/>
    <w:rsid w:val="00B67C91"/>
    <w:rsid w:val="00B67C9B"/>
    <w:rsid w:val="00B67CF7"/>
    <w:rsid w:val="00B67CF9"/>
    <w:rsid w:val="00B67CFC"/>
    <w:rsid w:val="00B67F47"/>
    <w:rsid w:val="00B700C9"/>
    <w:rsid w:val="00B70125"/>
    <w:rsid w:val="00B70151"/>
    <w:rsid w:val="00B70187"/>
    <w:rsid w:val="00B70196"/>
    <w:rsid w:val="00B701EB"/>
    <w:rsid w:val="00B70232"/>
    <w:rsid w:val="00B70234"/>
    <w:rsid w:val="00B70298"/>
    <w:rsid w:val="00B70332"/>
    <w:rsid w:val="00B70372"/>
    <w:rsid w:val="00B7039A"/>
    <w:rsid w:val="00B703CA"/>
    <w:rsid w:val="00B704CC"/>
    <w:rsid w:val="00B704F2"/>
    <w:rsid w:val="00B70512"/>
    <w:rsid w:val="00B70528"/>
    <w:rsid w:val="00B705C0"/>
    <w:rsid w:val="00B70651"/>
    <w:rsid w:val="00B706E6"/>
    <w:rsid w:val="00B70877"/>
    <w:rsid w:val="00B70996"/>
    <w:rsid w:val="00B70A8E"/>
    <w:rsid w:val="00B70AB8"/>
    <w:rsid w:val="00B70B92"/>
    <w:rsid w:val="00B70CCE"/>
    <w:rsid w:val="00B70CEA"/>
    <w:rsid w:val="00B70D30"/>
    <w:rsid w:val="00B70E57"/>
    <w:rsid w:val="00B70FED"/>
    <w:rsid w:val="00B710DC"/>
    <w:rsid w:val="00B711C3"/>
    <w:rsid w:val="00B711CE"/>
    <w:rsid w:val="00B711F2"/>
    <w:rsid w:val="00B712BC"/>
    <w:rsid w:val="00B713B8"/>
    <w:rsid w:val="00B714AD"/>
    <w:rsid w:val="00B714ED"/>
    <w:rsid w:val="00B715FE"/>
    <w:rsid w:val="00B71686"/>
    <w:rsid w:val="00B71705"/>
    <w:rsid w:val="00B7177E"/>
    <w:rsid w:val="00B7178F"/>
    <w:rsid w:val="00B717DD"/>
    <w:rsid w:val="00B71813"/>
    <w:rsid w:val="00B71829"/>
    <w:rsid w:val="00B7186C"/>
    <w:rsid w:val="00B718B9"/>
    <w:rsid w:val="00B718FA"/>
    <w:rsid w:val="00B71A4B"/>
    <w:rsid w:val="00B71AA8"/>
    <w:rsid w:val="00B71ACA"/>
    <w:rsid w:val="00B71B5F"/>
    <w:rsid w:val="00B71D8A"/>
    <w:rsid w:val="00B71EF9"/>
    <w:rsid w:val="00B71EFB"/>
    <w:rsid w:val="00B71F4B"/>
    <w:rsid w:val="00B71F8B"/>
    <w:rsid w:val="00B71FD0"/>
    <w:rsid w:val="00B72022"/>
    <w:rsid w:val="00B72148"/>
    <w:rsid w:val="00B72173"/>
    <w:rsid w:val="00B7247D"/>
    <w:rsid w:val="00B7248A"/>
    <w:rsid w:val="00B72523"/>
    <w:rsid w:val="00B725B2"/>
    <w:rsid w:val="00B72636"/>
    <w:rsid w:val="00B7268E"/>
    <w:rsid w:val="00B727A5"/>
    <w:rsid w:val="00B72855"/>
    <w:rsid w:val="00B729A7"/>
    <w:rsid w:val="00B72A7E"/>
    <w:rsid w:val="00B72AFD"/>
    <w:rsid w:val="00B72B70"/>
    <w:rsid w:val="00B72BEC"/>
    <w:rsid w:val="00B72C29"/>
    <w:rsid w:val="00B72C8D"/>
    <w:rsid w:val="00B72CD3"/>
    <w:rsid w:val="00B72CF8"/>
    <w:rsid w:val="00B72D96"/>
    <w:rsid w:val="00B72E27"/>
    <w:rsid w:val="00B72E29"/>
    <w:rsid w:val="00B72E58"/>
    <w:rsid w:val="00B72E5E"/>
    <w:rsid w:val="00B72F17"/>
    <w:rsid w:val="00B730AD"/>
    <w:rsid w:val="00B730EA"/>
    <w:rsid w:val="00B73113"/>
    <w:rsid w:val="00B7319A"/>
    <w:rsid w:val="00B73207"/>
    <w:rsid w:val="00B73295"/>
    <w:rsid w:val="00B73373"/>
    <w:rsid w:val="00B73449"/>
    <w:rsid w:val="00B73535"/>
    <w:rsid w:val="00B7354F"/>
    <w:rsid w:val="00B73577"/>
    <w:rsid w:val="00B73591"/>
    <w:rsid w:val="00B7362D"/>
    <w:rsid w:val="00B7363D"/>
    <w:rsid w:val="00B737B9"/>
    <w:rsid w:val="00B73801"/>
    <w:rsid w:val="00B738AD"/>
    <w:rsid w:val="00B739DC"/>
    <w:rsid w:val="00B73A67"/>
    <w:rsid w:val="00B73ADC"/>
    <w:rsid w:val="00B73CA3"/>
    <w:rsid w:val="00B73CBC"/>
    <w:rsid w:val="00B73CD5"/>
    <w:rsid w:val="00B73D6A"/>
    <w:rsid w:val="00B73D8E"/>
    <w:rsid w:val="00B73E52"/>
    <w:rsid w:val="00B73E5C"/>
    <w:rsid w:val="00B73EB3"/>
    <w:rsid w:val="00B73ED0"/>
    <w:rsid w:val="00B73FC4"/>
    <w:rsid w:val="00B73FD6"/>
    <w:rsid w:val="00B73FE8"/>
    <w:rsid w:val="00B7406F"/>
    <w:rsid w:val="00B74084"/>
    <w:rsid w:val="00B741AC"/>
    <w:rsid w:val="00B743CF"/>
    <w:rsid w:val="00B7441E"/>
    <w:rsid w:val="00B74524"/>
    <w:rsid w:val="00B74582"/>
    <w:rsid w:val="00B7460E"/>
    <w:rsid w:val="00B7461B"/>
    <w:rsid w:val="00B74660"/>
    <w:rsid w:val="00B74672"/>
    <w:rsid w:val="00B74721"/>
    <w:rsid w:val="00B7484C"/>
    <w:rsid w:val="00B749D0"/>
    <w:rsid w:val="00B74A09"/>
    <w:rsid w:val="00B74A16"/>
    <w:rsid w:val="00B74A58"/>
    <w:rsid w:val="00B74A93"/>
    <w:rsid w:val="00B74AC9"/>
    <w:rsid w:val="00B74BB2"/>
    <w:rsid w:val="00B74DFD"/>
    <w:rsid w:val="00B74E3E"/>
    <w:rsid w:val="00B74E73"/>
    <w:rsid w:val="00B74E9A"/>
    <w:rsid w:val="00B74EA2"/>
    <w:rsid w:val="00B74EA9"/>
    <w:rsid w:val="00B75041"/>
    <w:rsid w:val="00B75081"/>
    <w:rsid w:val="00B750AF"/>
    <w:rsid w:val="00B7511B"/>
    <w:rsid w:val="00B7514A"/>
    <w:rsid w:val="00B751A4"/>
    <w:rsid w:val="00B75364"/>
    <w:rsid w:val="00B75399"/>
    <w:rsid w:val="00B75464"/>
    <w:rsid w:val="00B754D2"/>
    <w:rsid w:val="00B75653"/>
    <w:rsid w:val="00B757B2"/>
    <w:rsid w:val="00B757D3"/>
    <w:rsid w:val="00B757E8"/>
    <w:rsid w:val="00B7583D"/>
    <w:rsid w:val="00B759CA"/>
    <w:rsid w:val="00B75A3E"/>
    <w:rsid w:val="00B75AF3"/>
    <w:rsid w:val="00B75C41"/>
    <w:rsid w:val="00B75CC6"/>
    <w:rsid w:val="00B75CD0"/>
    <w:rsid w:val="00B75D41"/>
    <w:rsid w:val="00B75E38"/>
    <w:rsid w:val="00B75E7D"/>
    <w:rsid w:val="00B75FBF"/>
    <w:rsid w:val="00B75FE6"/>
    <w:rsid w:val="00B7610B"/>
    <w:rsid w:val="00B76147"/>
    <w:rsid w:val="00B7614E"/>
    <w:rsid w:val="00B7619D"/>
    <w:rsid w:val="00B762CB"/>
    <w:rsid w:val="00B762ED"/>
    <w:rsid w:val="00B763D3"/>
    <w:rsid w:val="00B763DF"/>
    <w:rsid w:val="00B766F8"/>
    <w:rsid w:val="00B76712"/>
    <w:rsid w:val="00B767B9"/>
    <w:rsid w:val="00B76819"/>
    <w:rsid w:val="00B7685D"/>
    <w:rsid w:val="00B7695A"/>
    <w:rsid w:val="00B769EF"/>
    <w:rsid w:val="00B76A20"/>
    <w:rsid w:val="00B76B15"/>
    <w:rsid w:val="00B76B4D"/>
    <w:rsid w:val="00B76B73"/>
    <w:rsid w:val="00B76C68"/>
    <w:rsid w:val="00B76C84"/>
    <w:rsid w:val="00B76D0C"/>
    <w:rsid w:val="00B76D51"/>
    <w:rsid w:val="00B76DCC"/>
    <w:rsid w:val="00B76DE9"/>
    <w:rsid w:val="00B76DEF"/>
    <w:rsid w:val="00B76E1B"/>
    <w:rsid w:val="00B76E20"/>
    <w:rsid w:val="00B76F6A"/>
    <w:rsid w:val="00B77031"/>
    <w:rsid w:val="00B7703D"/>
    <w:rsid w:val="00B770C3"/>
    <w:rsid w:val="00B7716F"/>
    <w:rsid w:val="00B77308"/>
    <w:rsid w:val="00B77360"/>
    <w:rsid w:val="00B773C3"/>
    <w:rsid w:val="00B77677"/>
    <w:rsid w:val="00B77742"/>
    <w:rsid w:val="00B7776D"/>
    <w:rsid w:val="00B77888"/>
    <w:rsid w:val="00B77960"/>
    <w:rsid w:val="00B77B1C"/>
    <w:rsid w:val="00B77CC0"/>
    <w:rsid w:val="00B77DBF"/>
    <w:rsid w:val="00B77ECD"/>
    <w:rsid w:val="00B77F85"/>
    <w:rsid w:val="00B800E2"/>
    <w:rsid w:val="00B80179"/>
    <w:rsid w:val="00B8020B"/>
    <w:rsid w:val="00B80217"/>
    <w:rsid w:val="00B8024E"/>
    <w:rsid w:val="00B8048C"/>
    <w:rsid w:val="00B804C9"/>
    <w:rsid w:val="00B80652"/>
    <w:rsid w:val="00B806F8"/>
    <w:rsid w:val="00B8070A"/>
    <w:rsid w:val="00B80744"/>
    <w:rsid w:val="00B807DA"/>
    <w:rsid w:val="00B80833"/>
    <w:rsid w:val="00B808FE"/>
    <w:rsid w:val="00B8093E"/>
    <w:rsid w:val="00B80ACE"/>
    <w:rsid w:val="00B80D7B"/>
    <w:rsid w:val="00B80DDD"/>
    <w:rsid w:val="00B80E00"/>
    <w:rsid w:val="00B80EC7"/>
    <w:rsid w:val="00B80F6C"/>
    <w:rsid w:val="00B81028"/>
    <w:rsid w:val="00B81110"/>
    <w:rsid w:val="00B81111"/>
    <w:rsid w:val="00B8114C"/>
    <w:rsid w:val="00B81301"/>
    <w:rsid w:val="00B81311"/>
    <w:rsid w:val="00B814F1"/>
    <w:rsid w:val="00B8151C"/>
    <w:rsid w:val="00B81671"/>
    <w:rsid w:val="00B816FD"/>
    <w:rsid w:val="00B8172B"/>
    <w:rsid w:val="00B81742"/>
    <w:rsid w:val="00B8190D"/>
    <w:rsid w:val="00B81924"/>
    <w:rsid w:val="00B81A6B"/>
    <w:rsid w:val="00B81ABA"/>
    <w:rsid w:val="00B81ABC"/>
    <w:rsid w:val="00B81BA7"/>
    <w:rsid w:val="00B81C76"/>
    <w:rsid w:val="00B81C8F"/>
    <w:rsid w:val="00B81C9F"/>
    <w:rsid w:val="00B81D8D"/>
    <w:rsid w:val="00B81E54"/>
    <w:rsid w:val="00B81F22"/>
    <w:rsid w:val="00B81F57"/>
    <w:rsid w:val="00B81FD9"/>
    <w:rsid w:val="00B820CB"/>
    <w:rsid w:val="00B820DF"/>
    <w:rsid w:val="00B82227"/>
    <w:rsid w:val="00B823E2"/>
    <w:rsid w:val="00B8240A"/>
    <w:rsid w:val="00B82423"/>
    <w:rsid w:val="00B8264F"/>
    <w:rsid w:val="00B82668"/>
    <w:rsid w:val="00B826F3"/>
    <w:rsid w:val="00B82708"/>
    <w:rsid w:val="00B82762"/>
    <w:rsid w:val="00B8289F"/>
    <w:rsid w:val="00B828FD"/>
    <w:rsid w:val="00B829D1"/>
    <w:rsid w:val="00B82A36"/>
    <w:rsid w:val="00B82A7E"/>
    <w:rsid w:val="00B82ABF"/>
    <w:rsid w:val="00B82BD6"/>
    <w:rsid w:val="00B82C28"/>
    <w:rsid w:val="00B82C79"/>
    <w:rsid w:val="00B82C90"/>
    <w:rsid w:val="00B82DB3"/>
    <w:rsid w:val="00B82DDD"/>
    <w:rsid w:val="00B82DEF"/>
    <w:rsid w:val="00B82E03"/>
    <w:rsid w:val="00B82F96"/>
    <w:rsid w:val="00B82FAE"/>
    <w:rsid w:val="00B83023"/>
    <w:rsid w:val="00B831ED"/>
    <w:rsid w:val="00B832FE"/>
    <w:rsid w:val="00B83487"/>
    <w:rsid w:val="00B8353B"/>
    <w:rsid w:val="00B8356E"/>
    <w:rsid w:val="00B8369B"/>
    <w:rsid w:val="00B836E3"/>
    <w:rsid w:val="00B8370E"/>
    <w:rsid w:val="00B83775"/>
    <w:rsid w:val="00B837A6"/>
    <w:rsid w:val="00B837FA"/>
    <w:rsid w:val="00B83804"/>
    <w:rsid w:val="00B83874"/>
    <w:rsid w:val="00B8394A"/>
    <w:rsid w:val="00B83A3A"/>
    <w:rsid w:val="00B83A8F"/>
    <w:rsid w:val="00B83B14"/>
    <w:rsid w:val="00B83B41"/>
    <w:rsid w:val="00B83BE0"/>
    <w:rsid w:val="00B83BED"/>
    <w:rsid w:val="00B83C36"/>
    <w:rsid w:val="00B83DF3"/>
    <w:rsid w:val="00B83E01"/>
    <w:rsid w:val="00B83E25"/>
    <w:rsid w:val="00B83F3C"/>
    <w:rsid w:val="00B84020"/>
    <w:rsid w:val="00B840DF"/>
    <w:rsid w:val="00B84276"/>
    <w:rsid w:val="00B84369"/>
    <w:rsid w:val="00B84375"/>
    <w:rsid w:val="00B8440B"/>
    <w:rsid w:val="00B84436"/>
    <w:rsid w:val="00B84599"/>
    <w:rsid w:val="00B845C2"/>
    <w:rsid w:val="00B84671"/>
    <w:rsid w:val="00B8469D"/>
    <w:rsid w:val="00B846D2"/>
    <w:rsid w:val="00B847F4"/>
    <w:rsid w:val="00B84865"/>
    <w:rsid w:val="00B8490C"/>
    <w:rsid w:val="00B84952"/>
    <w:rsid w:val="00B849DD"/>
    <w:rsid w:val="00B84AB1"/>
    <w:rsid w:val="00B84D27"/>
    <w:rsid w:val="00B84E38"/>
    <w:rsid w:val="00B84ED1"/>
    <w:rsid w:val="00B8509C"/>
    <w:rsid w:val="00B8509D"/>
    <w:rsid w:val="00B850B8"/>
    <w:rsid w:val="00B85131"/>
    <w:rsid w:val="00B8515F"/>
    <w:rsid w:val="00B85169"/>
    <w:rsid w:val="00B851BF"/>
    <w:rsid w:val="00B85254"/>
    <w:rsid w:val="00B85264"/>
    <w:rsid w:val="00B85278"/>
    <w:rsid w:val="00B854BC"/>
    <w:rsid w:val="00B85513"/>
    <w:rsid w:val="00B8554E"/>
    <w:rsid w:val="00B85638"/>
    <w:rsid w:val="00B85740"/>
    <w:rsid w:val="00B8581D"/>
    <w:rsid w:val="00B858F7"/>
    <w:rsid w:val="00B859F0"/>
    <w:rsid w:val="00B85A3F"/>
    <w:rsid w:val="00B85A5A"/>
    <w:rsid w:val="00B85A81"/>
    <w:rsid w:val="00B85AAA"/>
    <w:rsid w:val="00B85AC4"/>
    <w:rsid w:val="00B85ADD"/>
    <w:rsid w:val="00B85BDF"/>
    <w:rsid w:val="00B85D2A"/>
    <w:rsid w:val="00B85D48"/>
    <w:rsid w:val="00B85DB2"/>
    <w:rsid w:val="00B85E42"/>
    <w:rsid w:val="00B85F06"/>
    <w:rsid w:val="00B85F50"/>
    <w:rsid w:val="00B85F83"/>
    <w:rsid w:val="00B85F9A"/>
    <w:rsid w:val="00B85FA3"/>
    <w:rsid w:val="00B86042"/>
    <w:rsid w:val="00B86222"/>
    <w:rsid w:val="00B86255"/>
    <w:rsid w:val="00B862EE"/>
    <w:rsid w:val="00B86348"/>
    <w:rsid w:val="00B863A9"/>
    <w:rsid w:val="00B863AD"/>
    <w:rsid w:val="00B863D9"/>
    <w:rsid w:val="00B8642B"/>
    <w:rsid w:val="00B864B1"/>
    <w:rsid w:val="00B864F2"/>
    <w:rsid w:val="00B865C2"/>
    <w:rsid w:val="00B8660D"/>
    <w:rsid w:val="00B86693"/>
    <w:rsid w:val="00B867BF"/>
    <w:rsid w:val="00B868FB"/>
    <w:rsid w:val="00B86A1E"/>
    <w:rsid w:val="00B86A47"/>
    <w:rsid w:val="00B86AA8"/>
    <w:rsid w:val="00B86AC5"/>
    <w:rsid w:val="00B86B98"/>
    <w:rsid w:val="00B86BC7"/>
    <w:rsid w:val="00B86C13"/>
    <w:rsid w:val="00B86CED"/>
    <w:rsid w:val="00B86D54"/>
    <w:rsid w:val="00B86F6C"/>
    <w:rsid w:val="00B86FDF"/>
    <w:rsid w:val="00B871BA"/>
    <w:rsid w:val="00B8732F"/>
    <w:rsid w:val="00B8733F"/>
    <w:rsid w:val="00B87424"/>
    <w:rsid w:val="00B8746D"/>
    <w:rsid w:val="00B87636"/>
    <w:rsid w:val="00B8769E"/>
    <w:rsid w:val="00B8772E"/>
    <w:rsid w:val="00B877A2"/>
    <w:rsid w:val="00B8785B"/>
    <w:rsid w:val="00B878C6"/>
    <w:rsid w:val="00B878E1"/>
    <w:rsid w:val="00B87A0A"/>
    <w:rsid w:val="00B87BE0"/>
    <w:rsid w:val="00B87D2E"/>
    <w:rsid w:val="00B87E38"/>
    <w:rsid w:val="00B87F27"/>
    <w:rsid w:val="00B90138"/>
    <w:rsid w:val="00B902BC"/>
    <w:rsid w:val="00B9034F"/>
    <w:rsid w:val="00B9038C"/>
    <w:rsid w:val="00B90549"/>
    <w:rsid w:val="00B909EF"/>
    <w:rsid w:val="00B90AF3"/>
    <w:rsid w:val="00B90B22"/>
    <w:rsid w:val="00B90B36"/>
    <w:rsid w:val="00B90B64"/>
    <w:rsid w:val="00B90B98"/>
    <w:rsid w:val="00B90C40"/>
    <w:rsid w:val="00B90C66"/>
    <w:rsid w:val="00B90DA7"/>
    <w:rsid w:val="00B90E15"/>
    <w:rsid w:val="00B90E7F"/>
    <w:rsid w:val="00B90E93"/>
    <w:rsid w:val="00B90FFC"/>
    <w:rsid w:val="00B910B8"/>
    <w:rsid w:val="00B910BF"/>
    <w:rsid w:val="00B91166"/>
    <w:rsid w:val="00B911E8"/>
    <w:rsid w:val="00B9132A"/>
    <w:rsid w:val="00B91379"/>
    <w:rsid w:val="00B9138C"/>
    <w:rsid w:val="00B91412"/>
    <w:rsid w:val="00B9141B"/>
    <w:rsid w:val="00B91441"/>
    <w:rsid w:val="00B9147B"/>
    <w:rsid w:val="00B9150F"/>
    <w:rsid w:val="00B915A5"/>
    <w:rsid w:val="00B915F5"/>
    <w:rsid w:val="00B91762"/>
    <w:rsid w:val="00B917C1"/>
    <w:rsid w:val="00B917E8"/>
    <w:rsid w:val="00B91837"/>
    <w:rsid w:val="00B918D4"/>
    <w:rsid w:val="00B91998"/>
    <w:rsid w:val="00B91AB5"/>
    <w:rsid w:val="00B91B48"/>
    <w:rsid w:val="00B91B4B"/>
    <w:rsid w:val="00B91C7B"/>
    <w:rsid w:val="00B91D0A"/>
    <w:rsid w:val="00B91E40"/>
    <w:rsid w:val="00B91EB0"/>
    <w:rsid w:val="00B91ED7"/>
    <w:rsid w:val="00B91EF1"/>
    <w:rsid w:val="00B91F33"/>
    <w:rsid w:val="00B91FE3"/>
    <w:rsid w:val="00B92069"/>
    <w:rsid w:val="00B92075"/>
    <w:rsid w:val="00B92173"/>
    <w:rsid w:val="00B92296"/>
    <w:rsid w:val="00B922C7"/>
    <w:rsid w:val="00B922D5"/>
    <w:rsid w:val="00B922E9"/>
    <w:rsid w:val="00B9244D"/>
    <w:rsid w:val="00B9246B"/>
    <w:rsid w:val="00B92501"/>
    <w:rsid w:val="00B9257F"/>
    <w:rsid w:val="00B9260C"/>
    <w:rsid w:val="00B92BA5"/>
    <w:rsid w:val="00B92D61"/>
    <w:rsid w:val="00B92DCC"/>
    <w:rsid w:val="00B92DCD"/>
    <w:rsid w:val="00B92DDB"/>
    <w:rsid w:val="00B92F97"/>
    <w:rsid w:val="00B92FD8"/>
    <w:rsid w:val="00B9302B"/>
    <w:rsid w:val="00B930B3"/>
    <w:rsid w:val="00B930E1"/>
    <w:rsid w:val="00B93113"/>
    <w:rsid w:val="00B9311D"/>
    <w:rsid w:val="00B93148"/>
    <w:rsid w:val="00B93174"/>
    <w:rsid w:val="00B93268"/>
    <w:rsid w:val="00B9328C"/>
    <w:rsid w:val="00B9342A"/>
    <w:rsid w:val="00B934E6"/>
    <w:rsid w:val="00B93695"/>
    <w:rsid w:val="00B937A8"/>
    <w:rsid w:val="00B9387F"/>
    <w:rsid w:val="00B938A9"/>
    <w:rsid w:val="00B93A3B"/>
    <w:rsid w:val="00B93AB4"/>
    <w:rsid w:val="00B93B16"/>
    <w:rsid w:val="00B93BBA"/>
    <w:rsid w:val="00B93C63"/>
    <w:rsid w:val="00B93C91"/>
    <w:rsid w:val="00B93CA0"/>
    <w:rsid w:val="00B93DCE"/>
    <w:rsid w:val="00B93DDC"/>
    <w:rsid w:val="00B93F36"/>
    <w:rsid w:val="00B93FFF"/>
    <w:rsid w:val="00B94021"/>
    <w:rsid w:val="00B94122"/>
    <w:rsid w:val="00B9415C"/>
    <w:rsid w:val="00B941FB"/>
    <w:rsid w:val="00B94261"/>
    <w:rsid w:val="00B942AA"/>
    <w:rsid w:val="00B94387"/>
    <w:rsid w:val="00B943C2"/>
    <w:rsid w:val="00B943F3"/>
    <w:rsid w:val="00B94419"/>
    <w:rsid w:val="00B94465"/>
    <w:rsid w:val="00B94485"/>
    <w:rsid w:val="00B944CD"/>
    <w:rsid w:val="00B944DA"/>
    <w:rsid w:val="00B9456F"/>
    <w:rsid w:val="00B94639"/>
    <w:rsid w:val="00B946D4"/>
    <w:rsid w:val="00B94710"/>
    <w:rsid w:val="00B94776"/>
    <w:rsid w:val="00B94797"/>
    <w:rsid w:val="00B949F5"/>
    <w:rsid w:val="00B94AA8"/>
    <w:rsid w:val="00B94B19"/>
    <w:rsid w:val="00B94C1A"/>
    <w:rsid w:val="00B94C3D"/>
    <w:rsid w:val="00B94DFB"/>
    <w:rsid w:val="00B94E10"/>
    <w:rsid w:val="00B94E2B"/>
    <w:rsid w:val="00B94EBC"/>
    <w:rsid w:val="00B94F58"/>
    <w:rsid w:val="00B950B7"/>
    <w:rsid w:val="00B9518F"/>
    <w:rsid w:val="00B951FD"/>
    <w:rsid w:val="00B9520F"/>
    <w:rsid w:val="00B95266"/>
    <w:rsid w:val="00B95369"/>
    <w:rsid w:val="00B95372"/>
    <w:rsid w:val="00B95446"/>
    <w:rsid w:val="00B9544B"/>
    <w:rsid w:val="00B95594"/>
    <w:rsid w:val="00B956E4"/>
    <w:rsid w:val="00B956FF"/>
    <w:rsid w:val="00B9579C"/>
    <w:rsid w:val="00B957B6"/>
    <w:rsid w:val="00B957BD"/>
    <w:rsid w:val="00B95965"/>
    <w:rsid w:val="00B95B3C"/>
    <w:rsid w:val="00B95C6B"/>
    <w:rsid w:val="00B95CFD"/>
    <w:rsid w:val="00B95D26"/>
    <w:rsid w:val="00B95D6B"/>
    <w:rsid w:val="00B9619A"/>
    <w:rsid w:val="00B962D4"/>
    <w:rsid w:val="00B96375"/>
    <w:rsid w:val="00B9639D"/>
    <w:rsid w:val="00B963BD"/>
    <w:rsid w:val="00B963E9"/>
    <w:rsid w:val="00B964FF"/>
    <w:rsid w:val="00B965C0"/>
    <w:rsid w:val="00B96669"/>
    <w:rsid w:val="00B967C2"/>
    <w:rsid w:val="00B96884"/>
    <w:rsid w:val="00B969D4"/>
    <w:rsid w:val="00B96A0A"/>
    <w:rsid w:val="00B96B4A"/>
    <w:rsid w:val="00B96B7B"/>
    <w:rsid w:val="00B96CA5"/>
    <w:rsid w:val="00B96CBA"/>
    <w:rsid w:val="00B96D0C"/>
    <w:rsid w:val="00B96DD4"/>
    <w:rsid w:val="00B96E3C"/>
    <w:rsid w:val="00B96EC8"/>
    <w:rsid w:val="00B96ECF"/>
    <w:rsid w:val="00B96EF7"/>
    <w:rsid w:val="00B96F88"/>
    <w:rsid w:val="00B96FC7"/>
    <w:rsid w:val="00B97020"/>
    <w:rsid w:val="00B970D7"/>
    <w:rsid w:val="00B97110"/>
    <w:rsid w:val="00B9711C"/>
    <w:rsid w:val="00B97129"/>
    <w:rsid w:val="00B971D0"/>
    <w:rsid w:val="00B9725B"/>
    <w:rsid w:val="00B9732C"/>
    <w:rsid w:val="00B973EF"/>
    <w:rsid w:val="00B974F7"/>
    <w:rsid w:val="00B977AC"/>
    <w:rsid w:val="00B977C8"/>
    <w:rsid w:val="00B97835"/>
    <w:rsid w:val="00B97873"/>
    <w:rsid w:val="00B97A78"/>
    <w:rsid w:val="00B97AD8"/>
    <w:rsid w:val="00B97B8C"/>
    <w:rsid w:val="00B97BF3"/>
    <w:rsid w:val="00B97C16"/>
    <w:rsid w:val="00B97C28"/>
    <w:rsid w:val="00B97C53"/>
    <w:rsid w:val="00B97D42"/>
    <w:rsid w:val="00B97D5B"/>
    <w:rsid w:val="00B97D6D"/>
    <w:rsid w:val="00B97DA6"/>
    <w:rsid w:val="00B97DA9"/>
    <w:rsid w:val="00B97E04"/>
    <w:rsid w:val="00B97ED6"/>
    <w:rsid w:val="00BA006E"/>
    <w:rsid w:val="00BA01DA"/>
    <w:rsid w:val="00BA032E"/>
    <w:rsid w:val="00BA034F"/>
    <w:rsid w:val="00BA049C"/>
    <w:rsid w:val="00BA05B4"/>
    <w:rsid w:val="00BA05ED"/>
    <w:rsid w:val="00BA06D2"/>
    <w:rsid w:val="00BA06DE"/>
    <w:rsid w:val="00BA084C"/>
    <w:rsid w:val="00BA0890"/>
    <w:rsid w:val="00BA08BA"/>
    <w:rsid w:val="00BA0A51"/>
    <w:rsid w:val="00BA0A89"/>
    <w:rsid w:val="00BA0AA7"/>
    <w:rsid w:val="00BA0B32"/>
    <w:rsid w:val="00BA0C51"/>
    <w:rsid w:val="00BA0CE8"/>
    <w:rsid w:val="00BA0D25"/>
    <w:rsid w:val="00BA0E1B"/>
    <w:rsid w:val="00BA0FA5"/>
    <w:rsid w:val="00BA107F"/>
    <w:rsid w:val="00BA1152"/>
    <w:rsid w:val="00BA1178"/>
    <w:rsid w:val="00BA1269"/>
    <w:rsid w:val="00BA12B1"/>
    <w:rsid w:val="00BA12B8"/>
    <w:rsid w:val="00BA1344"/>
    <w:rsid w:val="00BA1366"/>
    <w:rsid w:val="00BA14CF"/>
    <w:rsid w:val="00BA156C"/>
    <w:rsid w:val="00BA1596"/>
    <w:rsid w:val="00BA15A0"/>
    <w:rsid w:val="00BA15BA"/>
    <w:rsid w:val="00BA15CA"/>
    <w:rsid w:val="00BA1624"/>
    <w:rsid w:val="00BA17E7"/>
    <w:rsid w:val="00BA19DD"/>
    <w:rsid w:val="00BA1A79"/>
    <w:rsid w:val="00BA1BE3"/>
    <w:rsid w:val="00BA1E0D"/>
    <w:rsid w:val="00BA1EA3"/>
    <w:rsid w:val="00BA1F7D"/>
    <w:rsid w:val="00BA1F9C"/>
    <w:rsid w:val="00BA2072"/>
    <w:rsid w:val="00BA20B5"/>
    <w:rsid w:val="00BA20FB"/>
    <w:rsid w:val="00BA235A"/>
    <w:rsid w:val="00BA237B"/>
    <w:rsid w:val="00BA2388"/>
    <w:rsid w:val="00BA2423"/>
    <w:rsid w:val="00BA244F"/>
    <w:rsid w:val="00BA24E7"/>
    <w:rsid w:val="00BA26FA"/>
    <w:rsid w:val="00BA2714"/>
    <w:rsid w:val="00BA27AD"/>
    <w:rsid w:val="00BA2808"/>
    <w:rsid w:val="00BA28E7"/>
    <w:rsid w:val="00BA29C3"/>
    <w:rsid w:val="00BA2A1D"/>
    <w:rsid w:val="00BA2B18"/>
    <w:rsid w:val="00BA2BCE"/>
    <w:rsid w:val="00BA2D6B"/>
    <w:rsid w:val="00BA2D9E"/>
    <w:rsid w:val="00BA2DD2"/>
    <w:rsid w:val="00BA2ED3"/>
    <w:rsid w:val="00BA2F6C"/>
    <w:rsid w:val="00BA2F9C"/>
    <w:rsid w:val="00BA3009"/>
    <w:rsid w:val="00BA306F"/>
    <w:rsid w:val="00BA3108"/>
    <w:rsid w:val="00BA3143"/>
    <w:rsid w:val="00BA3178"/>
    <w:rsid w:val="00BA31D8"/>
    <w:rsid w:val="00BA32BE"/>
    <w:rsid w:val="00BA33B8"/>
    <w:rsid w:val="00BA33CD"/>
    <w:rsid w:val="00BA3458"/>
    <w:rsid w:val="00BA3459"/>
    <w:rsid w:val="00BA3468"/>
    <w:rsid w:val="00BA3578"/>
    <w:rsid w:val="00BA35F1"/>
    <w:rsid w:val="00BA37AC"/>
    <w:rsid w:val="00BA394A"/>
    <w:rsid w:val="00BA39AF"/>
    <w:rsid w:val="00BA39B6"/>
    <w:rsid w:val="00BA3A67"/>
    <w:rsid w:val="00BA3A9A"/>
    <w:rsid w:val="00BA3AB4"/>
    <w:rsid w:val="00BA3B41"/>
    <w:rsid w:val="00BA3B68"/>
    <w:rsid w:val="00BA3D59"/>
    <w:rsid w:val="00BA3D74"/>
    <w:rsid w:val="00BA3EAA"/>
    <w:rsid w:val="00BA3F80"/>
    <w:rsid w:val="00BA3FA6"/>
    <w:rsid w:val="00BA4006"/>
    <w:rsid w:val="00BA4067"/>
    <w:rsid w:val="00BA41BE"/>
    <w:rsid w:val="00BA42FC"/>
    <w:rsid w:val="00BA435C"/>
    <w:rsid w:val="00BA438A"/>
    <w:rsid w:val="00BA43CB"/>
    <w:rsid w:val="00BA4444"/>
    <w:rsid w:val="00BA44FA"/>
    <w:rsid w:val="00BA45FD"/>
    <w:rsid w:val="00BA4628"/>
    <w:rsid w:val="00BA46E0"/>
    <w:rsid w:val="00BA4703"/>
    <w:rsid w:val="00BA489A"/>
    <w:rsid w:val="00BA48A6"/>
    <w:rsid w:val="00BA48F7"/>
    <w:rsid w:val="00BA492B"/>
    <w:rsid w:val="00BA4945"/>
    <w:rsid w:val="00BA4A1D"/>
    <w:rsid w:val="00BA4A3D"/>
    <w:rsid w:val="00BA4A71"/>
    <w:rsid w:val="00BA4B46"/>
    <w:rsid w:val="00BA4B78"/>
    <w:rsid w:val="00BA4CB1"/>
    <w:rsid w:val="00BA4D15"/>
    <w:rsid w:val="00BA4EEB"/>
    <w:rsid w:val="00BA4F62"/>
    <w:rsid w:val="00BA50C2"/>
    <w:rsid w:val="00BA51A6"/>
    <w:rsid w:val="00BA5291"/>
    <w:rsid w:val="00BA5358"/>
    <w:rsid w:val="00BA537C"/>
    <w:rsid w:val="00BA5436"/>
    <w:rsid w:val="00BA54BF"/>
    <w:rsid w:val="00BA54FC"/>
    <w:rsid w:val="00BA5597"/>
    <w:rsid w:val="00BA55AB"/>
    <w:rsid w:val="00BA5628"/>
    <w:rsid w:val="00BA56D1"/>
    <w:rsid w:val="00BA56F4"/>
    <w:rsid w:val="00BA575D"/>
    <w:rsid w:val="00BA57F5"/>
    <w:rsid w:val="00BA586B"/>
    <w:rsid w:val="00BA58CD"/>
    <w:rsid w:val="00BA58D6"/>
    <w:rsid w:val="00BA5AC5"/>
    <w:rsid w:val="00BA5B3A"/>
    <w:rsid w:val="00BA5BDC"/>
    <w:rsid w:val="00BA5BF0"/>
    <w:rsid w:val="00BA5C1B"/>
    <w:rsid w:val="00BA5CAF"/>
    <w:rsid w:val="00BA5CB1"/>
    <w:rsid w:val="00BA5D40"/>
    <w:rsid w:val="00BA5E2C"/>
    <w:rsid w:val="00BA5F76"/>
    <w:rsid w:val="00BA5F97"/>
    <w:rsid w:val="00BA6069"/>
    <w:rsid w:val="00BA606F"/>
    <w:rsid w:val="00BA610E"/>
    <w:rsid w:val="00BA61C6"/>
    <w:rsid w:val="00BA6224"/>
    <w:rsid w:val="00BA63C2"/>
    <w:rsid w:val="00BA63E8"/>
    <w:rsid w:val="00BA63E9"/>
    <w:rsid w:val="00BA63EF"/>
    <w:rsid w:val="00BA641A"/>
    <w:rsid w:val="00BA649D"/>
    <w:rsid w:val="00BA64F8"/>
    <w:rsid w:val="00BA6524"/>
    <w:rsid w:val="00BA67F3"/>
    <w:rsid w:val="00BA6882"/>
    <w:rsid w:val="00BA6971"/>
    <w:rsid w:val="00BA6B97"/>
    <w:rsid w:val="00BA6C02"/>
    <w:rsid w:val="00BA6D45"/>
    <w:rsid w:val="00BA6E9E"/>
    <w:rsid w:val="00BA6EBC"/>
    <w:rsid w:val="00BA6F20"/>
    <w:rsid w:val="00BA6FA2"/>
    <w:rsid w:val="00BA6FD4"/>
    <w:rsid w:val="00BA7060"/>
    <w:rsid w:val="00BA714E"/>
    <w:rsid w:val="00BA71A4"/>
    <w:rsid w:val="00BA7244"/>
    <w:rsid w:val="00BA7252"/>
    <w:rsid w:val="00BA734D"/>
    <w:rsid w:val="00BA7355"/>
    <w:rsid w:val="00BA7452"/>
    <w:rsid w:val="00BA745F"/>
    <w:rsid w:val="00BA7521"/>
    <w:rsid w:val="00BA7546"/>
    <w:rsid w:val="00BA758C"/>
    <w:rsid w:val="00BA7606"/>
    <w:rsid w:val="00BA761B"/>
    <w:rsid w:val="00BA761D"/>
    <w:rsid w:val="00BA7673"/>
    <w:rsid w:val="00BA7695"/>
    <w:rsid w:val="00BA76E5"/>
    <w:rsid w:val="00BA770F"/>
    <w:rsid w:val="00BA7717"/>
    <w:rsid w:val="00BA78D2"/>
    <w:rsid w:val="00BA7A16"/>
    <w:rsid w:val="00BA7A4B"/>
    <w:rsid w:val="00BA7B0A"/>
    <w:rsid w:val="00BA7B2D"/>
    <w:rsid w:val="00BA7D56"/>
    <w:rsid w:val="00BA7D94"/>
    <w:rsid w:val="00BA7E50"/>
    <w:rsid w:val="00BA7FCA"/>
    <w:rsid w:val="00BB0015"/>
    <w:rsid w:val="00BB00BE"/>
    <w:rsid w:val="00BB00DD"/>
    <w:rsid w:val="00BB0229"/>
    <w:rsid w:val="00BB0278"/>
    <w:rsid w:val="00BB0355"/>
    <w:rsid w:val="00BB0525"/>
    <w:rsid w:val="00BB07AC"/>
    <w:rsid w:val="00BB07B1"/>
    <w:rsid w:val="00BB0884"/>
    <w:rsid w:val="00BB08BC"/>
    <w:rsid w:val="00BB090A"/>
    <w:rsid w:val="00BB090F"/>
    <w:rsid w:val="00BB09D2"/>
    <w:rsid w:val="00BB0A3A"/>
    <w:rsid w:val="00BB0A73"/>
    <w:rsid w:val="00BB0A96"/>
    <w:rsid w:val="00BB0AB3"/>
    <w:rsid w:val="00BB0B0D"/>
    <w:rsid w:val="00BB0BC1"/>
    <w:rsid w:val="00BB0BCC"/>
    <w:rsid w:val="00BB0C2B"/>
    <w:rsid w:val="00BB0C67"/>
    <w:rsid w:val="00BB0CBB"/>
    <w:rsid w:val="00BB0DCF"/>
    <w:rsid w:val="00BB0FDF"/>
    <w:rsid w:val="00BB0FE2"/>
    <w:rsid w:val="00BB0FFA"/>
    <w:rsid w:val="00BB1055"/>
    <w:rsid w:val="00BB1321"/>
    <w:rsid w:val="00BB136C"/>
    <w:rsid w:val="00BB138B"/>
    <w:rsid w:val="00BB1546"/>
    <w:rsid w:val="00BB15A6"/>
    <w:rsid w:val="00BB1657"/>
    <w:rsid w:val="00BB16CC"/>
    <w:rsid w:val="00BB1848"/>
    <w:rsid w:val="00BB1896"/>
    <w:rsid w:val="00BB1A6D"/>
    <w:rsid w:val="00BB1B6C"/>
    <w:rsid w:val="00BB1C35"/>
    <w:rsid w:val="00BB1D1F"/>
    <w:rsid w:val="00BB1D35"/>
    <w:rsid w:val="00BB1D37"/>
    <w:rsid w:val="00BB1F01"/>
    <w:rsid w:val="00BB2022"/>
    <w:rsid w:val="00BB206D"/>
    <w:rsid w:val="00BB20FA"/>
    <w:rsid w:val="00BB2109"/>
    <w:rsid w:val="00BB22E0"/>
    <w:rsid w:val="00BB2314"/>
    <w:rsid w:val="00BB2349"/>
    <w:rsid w:val="00BB24B9"/>
    <w:rsid w:val="00BB24DC"/>
    <w:rsid w:val="00BB24F9"/>
    <w:rsid w:val="00BB253D"/>
    <w:rsid w:val="00BB254A"/>
    <w:rsid w:val="00BB25AA"/>
    <w:rsid w:val="00BB26E3"/>
    <w:rsid w:val="00BB2702"/>
    <w:rsid w:val="00BB2884"/>
    <w:rsid w:val="00BB28FB"/>
    <w:rsid w:val="00BB2984"/>
    <w:rsid w:val="00BB29FF"/>
    <w:rsid w:val="00BB2AC4"/>
    <w:rsid w:val="00BB2CA1"/>
    <w:rsid w:val="00BB2D37"/>
    <w:rsid w:val="00BB2DAD"/>
    <w:rsid w:val="00BB2DB6"/>
    <w:rsid w:val="00BB2F19"/>
    <w:rsid w:val="00BB2F6B"/>
    <w:rsid w:val="00BB3081"/>
    <w:rsid w:val="00BB3136"/>
    <w:rsid w:val="00BB317A"/>
    <w:rsid w:val="00BB322A"/>
    <w:rsid w:val="00BB3255"/>
    <w:rsid w:val="00BB325F"/>
    <w:rsid w:val="00BB32E5"/>
    <w:rsid w:val="00BB3447"/>
    <w:rsid w:val="00BB3473"/>
    <w:rsid w:val="00BB34EC"/>
    <w:rsid w:val="00BB3540"/>
    <w:rsid w:val="00BB3648"/>
    <w:rsid w:val="00BB3658"/>
    <w:rsid w:val="00BB370B"/>
    <w:rsid w:val="00BB3814"/>
    <w:rsid w:val="00BB381E"/>
    <w:rsid w:val="00BB3893"/>
    <w:rsid w:val="00BB3914"/>
    <w:rsid w:val="00BB39EB"/>
    <w:rsid w:val="00BB3B4E"/>
    <w:rsid w:val="00BB3BD5"/>
    <w:rsid w:val="00BB3BE3"/>
    <w:rsid w:val="00BB3C3C"/>
    <w:rsid w:val="00BB3C42"/>
    <w:rsid w:val="00BB3C47"/>
    <w:rsid w:val="00BB3C7F"/>
    <w:rsid w:val="00BB3C87"/>
    <w:rsid w:val="00BB3C96"/>
    <w:rsid w:val="00BB3DF9"/>
    <w:rsid w:val="00BB3EEB"/>
    <w:rsid w:val="00BB3F1B"/>
    <w:rsid w:val="00BB3F26"/>
    <w:rsid w:val="00BB3F89"/>
    <w:rsid w:val="00BB3FD7"/>
    <w:rsid w:val="00BB405A"/>
    <w:rsid w:val="00BB40AA"/>
    <w:rsid w:val="00BB40C1"/>
    <w:rsid w:val="00BB410C"/>
    <w:rsid w:val="00BB4126"/>
    <w:rsid w:val="00BB4287"/>
    <w:rsid w:val="00BB42E7"/>
    <w:rsid w:val="00BB43D2"/>
    <w:rsid w:val="00BB44D0"/>
    <w:rsid w:val="00BB463B"/>
    <w:rsid w:val="00BB46B4"/>
    <w:rsid w:val="00BB4736"/>
    <w:rsid w:val="00BB476C"/>
    <w:rsid w:val="00BB4820"/>
    <w:rsid w:val="00BB483A"/>
    <w:rsid w:val="00BB483D"/>
    <w:rsid w:val="00BB4992"/>
    <w:rsid w:val="00BB4A3C"/>
    <w:rsid w:val="00BB4ADC"/>
    <w:rsid w:val="00BB4AE9"/>
    <w:rsid w:val="00BB4B8D"/>
    <w:rsid w:val="00BB4B9C"/>
    <w:rsid w:val="00BB4BC5"/>
    <w:rsid w:val="00BB4C00"/>
    <w:rsid w:val="00BB4C2C"/>
    <w:rsid w:val="00BB4CC3"/>
    <w:rsid w:val="00BB4D52"/>
    <w:rsid w:val="00BB4DC7"/>
    <w:rsid w:val="00BB4E0A"/>
    <w:rsid w:val="00BB4EC4"/>
    <w:rsid w:val="00BB4EDB"/>
    <w:rsid w:val="00BB4FAE"/>
    <w:rsid w:val="00BB4FF1"/>
    <w:rsid w:val="00BB5015"/>
    <w:rsid w:val="00BB5351"/>
    <w:rsid w:val="00BB53CD"/>
    <w:rsid w:val="00BB5526"/>
    <w:rsid w:val="00BB5535"/>
    <w:rsid w:val="00BB5675"/>
    <w:rsid w:val="00BB5754"/>
    <w:rsid w:val="00BB5761"/>
    <w:rsid w:val="00BB577C"/>
    <w:rsid w:val="00BB57B1"/>
    <w:rsid w:val="00BB5821"/>
    <w:rsid w:val="00BB5829"/>
    <w:rsid w:val="00BB583A"/>
    <w:rsid w:val="00BB598C"/>
    <w:rsid w:val="00BB59D4"/>
    <w:rsid w:val="00BB5A24"/>
    <w:rsid w:val="00BB5AF5"/>
    <w:rsid w:val="00BB5C2E"/>
    <w:rsid w:val="00BB5E3C"/>
    <w:rsid w:val="00BB5EA7"/>
    <w:rsid w:val="00BB5ECD"/>
    <w:rsid w:val="00BB5ECF"/>
    <w:rsid w:val="00BB5F8A"/>
    <w:rsid w:val="00BB628C"/>
    <w:rsid w:val="00BB6291"/>
    <w:rsid w:val="00BB62BE"/>
    <w:rsid w:val="00BB6346"/>
    <w:rsid w:val="00BB63A5"/>
    <w:rsid w:val="00BB63E6"/>
    <w:rsid w:val="00BB64D6"/>
    <w:rsid w:val="00BB64FF"/>
    <w:rsid w:val="00BB66FB"/>
    <w:rsid w:val="00BB68F8"/>
    <w:rsid w:val="00BB6900"/>
    <w:rsid w:val="00BB6921"/>
    <w:rsid w:val="00BB6AD5"/>
    <w:rsid w:val="00BB6B66"/>
    <w:rsid w:val="00BB6B8E"/>
    <w:rsid w:val="00BB6C15"/>
    <w:rsid w:val="00BB6D6F"/>
    <w:rsid w:val="00BB6D83"/>
    <w:rsid w:val="00BB6DE6"/>
    <w:rsid w:val="00BB6E01"/>
    <w:rsid w:val="00BB6E1C"/>
    <w:rsid w:val="00BB6EEB"/>
    <w:rsid w:val="00BB6F9D"/>
    <w:rsid w:val="00BB70D4"/>
    <w:rsid w:val="00BB70EB"/>
    <w:rsid w:val="00BB7190"/>
    <w:rsid w:val="00BB7304"/>
    <w:rsid w:val="00BB731F"/>
    <w:rsid w:val="00BB7424"/>
    <w:rsid w:val="00BB74F1"/>
    <w:rsid w:val="00BB7597"/>
    <w:rsid w:val="00BB75B2"/>
    <w:rsid w:val="00BB75C9"/>
    <w:rsid w:val="00BB75F1"/>
    <w:rsid w:val="00BB76FA"/>
    <w:rsid w:val="00BB7728"/>
    <w:rsid w:val="00BB7754"/>
    <w:rsid w:val="00BB77C0"/>
    <w:rsid w:val="00BB7816"/>
    <w:rsid w:val="00BB7834"/>
    <w:rsid w:val="00BB7A1B"/>
    <w:rsid w:val="00BB7AC5"/>
    <w:rsid w:val="00BB7AD8"/>
    <w:rsid w:val="00BB7C1B"/>
    <w:rsid w:val="00BB7CD6"/>
    <w:rsid w:val="00BB7D63"/>
    <w:rsid w:val="00BB7D7A"/>
    <w:rsid w:val="00BB7D7D"/>
    <w:rsid w:val="00BB7DCF"/>
    <w:rsid w:val="00BB7E0F"/>
    <w:rsid w:val="00BB7EA9"/>
    <w:rsid w:val="00BB7F62"/>
    <w:rsid w:val="00BB7F68"/>
    <w:rsid w:val="00BC0133"/>
    <w:rsid w:val="00BC01B0"/>
    <w:rsid w:val="00BC022B"/>
    <w:rsid w:val="00BC025C"/>
    <w:rsid w:val="00BC045E"/>
    <w:rsid w:val="00BC06E1"/>
    <w:rsid w:val="00BC06E4"/>
    <w:rsid w:val="00BC0C0F"/>
    <w:rsid w:val="00BC0C37"/>
    <w:rsid w:val="00BC0D44"/>
    <w:rsid w:val="00BC0D51"/>
    <w:rsid w:val="00BC0F0C"/>
    <w:rsid w:val="00BC102D"/>
    <w:rsid w:val="00BC10C2"/>
    <w:rsid w:val="00BC11A9"/>
    <w:rsid w:val="00BC14F3"/>
    <w:rsid w:val="00BC1517"/>
    <w:rsid w:val="00BC1525"/>
    <w:rsid w:val="00BC1573"/>
    <w:rsid w:val="00BC16A0"/>
    <w:rsid w:val="00BC1758"/>
    <w:rsid w:val="00BC1762"/>
    <w:rsid w:val="00BC178E"/>
    <w:rsid w:val="00BC1937"/>
    <w:rsid w:val="00BC1A2A"/>
    <w:rsid w:val="00BC1A60"/>
    <w:rsid w:val="00BC1C58"/>
    <w:rsid w:val="00BC1DA7"/>
    <w:rsid w:val="00BC1DFB"/>
    <w:rsid w:val="00BC1E4F"/>
    <w:rsid w:val="00BC1E90"/>
    <w:rsid w:val="00BC1F67"/>
    <w:rsid w:val="00BC1F86"/>
    <w:rsid w:val="00BC1FAA"/>
    <w:rsid w:val="00BC2086"/>
    <w:rsid w:val="00BC20E4"/>
    <w:rsid w:val="00BC20F8"/>
    <w:rsid w:val="00BC2183"/>
    <w:rsid w:val="00BC2395"/>
    <w:rsid w:val="00BC2640"/>
    <w:rsid w:val="00BC269B"/>
    <w:rsid w:val="00BC26C1"/>
    <w:rsid w:val="00BC2733"/>
    <w:rsid w:val="00BC27A3"/>
    <w:rsid w:val="00BC290E"/>
    <w:rsid w:val="00BC291D"/>
    <w:rsid w:val="00BC2A1B"/>
    <w:rsid w:val="00BC2AEB"/>
    <w:rsid w:val="00BC2B0B"/>
    <w:rsid w:val="00BC2B1B"/>
    <w:rsid w:val="00BC2BBB"/>
    <w:rsid w:val="00BC2CCB"/>
    <w:rsid w:val="00BC2D1E"/>
    <w:rsid w:val="00BC2D31"/>
    <w:rsid w:val="00BC2D49"/>
    <w:rsid w:val="00BC2DA7"/>
    <w:rsid w:val="00BC2DF0"/>
    <w:rsid w:val="00BC2E3A"/>
    <w:rsid w:val="00BC2E55"/>
    <w:rsid w:val="00BC2E67"/>
    <w:rsid w:val="00BC2E9B"/>
    <w:rsid w:val="00BC2FE3"/>
    <w:rsid w:val="00BC301B"/>
    <w:rsid w:val="00BC3095"/>
    <w:rsid w:val="00BC319A"/>
    <w:rsid w:val="00BC3264"/>
    <w:rsid w:val="00BC331E"/>
    <w:rsid w:val="00BC34FF"/>
    <w:rsid w:val="00BC3784"/>
    <w:rsid w:val="00BC37CB"/>
    <w:rsid w:val="00BC37E0"/>
    <w:rsid w:val="00BC37FA"/>
    <w:rsid w:val="00BC389C"/>
    <w:rsid w:val="00BC3935"/>
    <w:rsid w:val="00BC39F1"/>
    <w:rsid w:val="00BC3BDF"/>
    <w:rsid w:val="00BC3CED"/>
    <w:rsid w:val="00BC3DAB"/>
    <w:rsid w:val="00BC3DCF"/>
    <w:rsid w:val="00BC3E8D"/>
    <w:rsid w:val="00BC3FEA"/>
    <w:rsid w:val="00BC4067"/>
    <w:rsid w:val="00BC41B9"/>
    <w:rsid w:val="00BC426C"/>
    <w:rsid w:val="00BC42B6"/>
    <w:rsid w:val="00BC4405"/>
    <w:rsid w:val="00BC451C"/>
    <w:rsid w:val="00BC459C"/>
    <w:rsid w:val="00BC45A5"/>
    <w:rsid w:val="00BC4607"/>
    <w:rsid w:val="00BC467B"/>
    <w:rsid w:val="00BC4681"/>
    <w:rsid w:val="00BC4910"/>
    <w:rsid w:val="00BC4929"/>
    <w:rsid w:val="00BC4CFC"/>
    <w:rsid w:val="00BC4DAD"/>
    <w:rsid w:val="00BC4DBB"/>
    <w:rsid w:val="00BC4DCA"/>
    <w:rsid w:val="00BC4E77"/>
    <w:rsid w:val="00BC4F0E"/>
    <w:rsid w:val="00BC4F57"/>
    <w:rsid w:val="00BC4F58"/>
    <w:rsid w:val="00BC4F69"/>
    <w:rsid w:val="00BC5094"/>
    <w:rsid w:val="00BC52A0"/>
    <w:rsid w:val="00BC532E"/>
    <w:rsid w:val="00BC532F"/>
    <w:rsid w:val="00BC537A"/>
    <w:rsid w:val="00BC5557"/>
    <w:rsid w:val="00BC5575"/>
    <w:rsid w:val="00BC5685"/>
    <w:rsid w:val="00BC5689"/>
    <w:rsid w:val="00BC56C9"/>
    <w:rsid w:val="00BC576B"/>
    <w:rsid w:val="00BC5837"/>
    <w:rsid w:val="00BC589F"/>
    <w:rsid w:val="00BC58AB"/>
    <w:rsid w:val="00BC5984"/>
    <w:rsid w:val="00BC5ABB"/>
    <w:rsid w:val="00BC5C18"/>
    <w:rsid w:val="00BC5C3D"/>
    <w:rsid w:val="00BC5C49"/>
    <w:rsid w:val="00BC5C55"/>
    <w:rsid w:val="00BC5CC4"/>
    <w:rsid w:val="00BC5D13"/>
    <w:rsid w:val="00BC5EA9"/>
    <w:rsid w:val="00BC5FBB"/>
    <w:rsid w:val="00BC5FE6"/>
    <w:rsid w:val="00BC604C"/>
    <w:rsid w:val="00BC6188"/>
    <w:rsid w:val="00BC61A5"/>
    <w:rsid w:val="00BC630A"/>
    <w:rsid w:val="00BC6320"/>
    <w:rsid w:val="00BC6333"/>
    <w:rsid w:val="00BC636F"/>
    <w:rsid w:val="00BC6383"/>
    <w:rsid w:val="00BC63FB"/>
    <w:rsid w:val="00BC63FE"/>
    <w:rsid w:val="00BC65E9"/>
    <w:rsid w:val="00BC6629"/>
    <w:rsid w:val="00BC665C"/>
    <w:rsid w:val="00BC67BE"/>
    <w:rsid w:val="00BC6852"/>
    <w:rsid w:val="00BC69EC"/>
    <w:rsid w:val="00BC6A49"/>
    <w:rsid w:val="00BC6B1D"/>
    <w:rsid w:val="00BC6E32"/>
    <w:rsid w:val="00BC6F9A"/>
    <w:rsid w:val="00BC7065"/>
    <w:rsid w:val="00BC7077"/>
    <w:rsid w:val="00BC7134"/>
    <w:rsid w:val="00BC7198"/>
    <w:rsid w:val="00BC71C8"/>
    <w:rsid w:val="00BC71F3"/>
    <w:rsid w:val="00BC723B"/>
    <w:rsid w:val="00BC723C"/>
    <w:rsid w:val="00BC728D"/>
    <w:rsid w:val="00BC72D3"/>
    <w:rsid w:val="00BC730F"/>
    <w:rsid w:val="00BC73AB"/>
    <w:rsid w:val="00BC73C3"/>
    <w:rsid w:val="00BC7481"/>
    <w:rsid w:val="00BC752B"/>
    <w:rsid w:val="00BC75BC"/>
    <w:rsid w:val="00BC77C9"/>
    <w:rsid w:val="00BC7A27"/>
    <w:rsid w:val="00BC7AA6"/>
    <w:rsid w:val="00BC7ACB"/>
    <w:rsid w:val="00BC7B60"/>
    <w:rsid w:val="00BC7BEE"/>
    <w:rsid w:val="00BC7C4E"/>
    <w:rsid w:val="00BC7CB8"/>
    <w:rsid w:val="00BC7CC2"/>
    <w:rsid w:val="00BC7E0D"/>
    <w:rsid w:val="00BC7ECC"/>
    <w:rsid w:val="00BC7F18"/>
    <w:rsid w:val="00BC7FA8"/>
    <w:rsid w:val="00BD0083"/>
    <w:rsid w:val="00BD0127"/>
    <w:rsid w:val="00BD0260"/>
    <w:rsid w:val="00BD02A9"/>
    <w:rsid w:val="00BD03BC"/>
    <w:rsid w:val="00BD03BF"/>
    <w:rsid w:val="00BD03C9"/>
    <w:rsid w:val="00BD03D1"/>
    <w:rsid w:val="00BD0469"/>
    <w:rsid w:val="00BD048D"/>
    <w:rsid w:val="00BD0560"/>
    <w:rsid w:val="00BD057E"/>
    <w:rsid w:val="00BD06A7"/>
    <w:rsid w:val="00BD0713"/>
    <w:rsid w:val="00BD07A0"/>
    <w:rsid w:val="00BD07A5"/>
    <w:rsid w:val="00BD086A"/>
    <w:rsid w:val="00BD0881"/>
    <w:rsid w:val="00BD08E0"/>
    <w:rsid w:val="00BD0937"/>
    <w:rsid w:val="00BD095B"/>
    <w:rsid w:val="00BD09DA"/>
    <w:rsid w:val="00BD0A47"/>
    <w:rsid w:val="00BD0B5A"/>
    <w:rsid w:val="00BD0B68"/>
    <w:rsid w:val="00BD0B84"/>
    <w:rsid w:val="00BD0BB4"/>
    <w:rsid w:val="00BD0BD8"/>
    <w:rsid w:val="00BD0C1A"/>
    <w:rsid w:val="00BD0C9B"/>
    <w:rsid w:val="00BD0D7A"/>
    <w:rsid w:val="00BD0DCF"/>
    <w:rsid w:val="00BD0EFA"/>
    <w:rsid w:val="00BD0F54"/>
    <w:rsid w:val="00BD10B1"/>
    <w:rsid w:val="00BD10CC"/>
    <w:rsid w:val="00BD10F1"/>
    <w:rsid w:val="00BD11EE"/>
    <w:rsid w:val="00BD1216"/>
    <w:rsid w:val="00BD12A9"/>
    <w:rsid w:val="00BD130A"/>
    <w:rsid w:val="00BD14DD"/>
    <w:rsid w:val="00BD1507"/>
    <w:rsid w:val="00BD157A"/>
    <w:rsid w:val="00BD15BB"/>
    <w:rsid w:val="00BD1692"/>
    <w:rsid w:val="00BD175C"/>
    <w:rsid w:val="00BD1990"/>
    <w:rsid w:val="00BD19CA"/>
    <w:rsid w:val="00BD1AA7"/>
    <w:rsid w:val="00BD1AF9"/>
    <w:rsid w:val="00BD1C0D"/>
    <w:rsid w:val="00BD1C3E"/>
    <w:rsid w:val="00BD1C85"/>
    <w:rsid w:val="00BD1CF1"/>
    <w:rsid w:val="00BD1D1B"/>
    <w:rsid w:val="00BD1EAE"/>
    <w:rsid w:val="00BD2075"/>
    <w:rsid w:val="00BD21FC"/>
    <w:rsid w:val="00BD2326"/>
    <w:rsid w:val="00BD245A"/>
    <w:rsid w:val="00BD2566"/>
    <w:rsid w:val="00BD25E4"/>
    <w:rsid w:val="00BD2728"/>
    <w:rsid w:val="00BD27C3"/>
    <w:rsid w:val="00BD27FA"/>
    <w:rsid w:val="00BD29FE"/>
    <w:rsid w:val="00BD2A31"/>
    <w:rsid w:val="00BD2A46"/>
    <w:rsid w:val="00BD2ACB"/>
    <w:rsid w:val="00BD2C0B"/>
    <w:rsid w:val="00BD2C2D"/>
    <w:rsid w:val="00BD2C86"/>
    <w:rsid w:val="00BD2C9A"/>
    <w:rsid w:val="00BD2CE7"/>
    <w:rsid w:val="00BD2E6F"/>
    <w:rsid w:val="00BD2EED"/>
    <w:rsid w:val="00BD2F97"/>
    <w:rsid w:val="00BD2FED"/>
    <w:rsid w:val="00BD3031"/>
    <w:rsid w:val="00BD3263"/>
    <w:rsid w:val="00BD328F"/>
    <w:rsid w:val="00BD3436"/>
    <w:rsid w:val="00BD3517"/>
    <w:rsid w:val="00BD3555"/>
    <w:rsid w:val="00BD35DD"/>
    <w:rsid w:val="00BD35FD"/>
    <w:rsid w:val="00BD36D1"/>
    <w:rsid w:val="00BD3749"/>
    <w:rsid w:val="00BD377D"/>
    <w:rsid w:val="00BD386D"/>
    <w:rsid w:val="00BD38B2"/>
    <w:rsid w:val="00BD3951"/>
    <w:rsid w:val="00BD39CB"/>
    <w:rsid w:val="00BD3AF1"/>
    <w:rsid w:val="00BD3B33"/>
    <w:rsid w:val="00BD3CE3"/>
    <w:rsid w:val="00BD3D00"/>
    <w:rsid w:val="00BD3D87"/>
    <w:rsid w:val="00BD3DCF"/>
    <w:rsid w:val="00BD3ED5"/>
    <w:rsid w:val="00BD3EFF"/>
    <w:rsid w:val="00BD4037"/>
    <w:rsid w:val="00BD40EE"/>
    <w:rsid w:val="00BD40FE"/>
    <w:rsid w:val="00BD411F"/>
    <w:rsid w:val="00BD421A"/>
    <w:rsid w:val="00BD4239"/>
    <w:rsid w:val="00BD437E"/>
    <w:rsid w:val="00BD4396"/>
    <w:rsid w:val="00BD43B4"/>
    <w:rsid w:val="00BD441A"/>
    <w:rsid w:val="00BD4423"/>
    <w:rsid w:val="00BD4434"/>
    <w:rsid w:val="00BD455E"/>
    <w:rsid w:val="00BD45F5"/>
    <w:rsid w:val="00BD462E"/>
    <w:rsid w:val="00BD463B"/>
    <w:rsid w:val="00BD465D"/>
    <w:rsid w:val="00BD47F5"/>
    <w:rsid w:val="00BD488A"/>
    <w:rsid w:val="00BD488B"/>
    <w:rsid w:val="00BD48C1"/>
    <w:rsid w:val="00BD49B6"/>
    <w:rsid w:val="00BD4A73"/>
    <w:rsid w:val="00BD4C0B"/>
    <w:rsid w:val="00BD4CEE"/>
    <w:rsid w:val="00BD4D3B"/>
    <w:rsid w:val="00BD4DDC"/>
    <w:rsid w:val="00BD4E5C"/>
    <w:rsid w:val="00BD4F35"/>
    <w:rsid w:val="00BD4F4B"/>
    <w:rsid w:val="00BD541C"/>
    <w:rsid w:val="00BD544A"/>
    <w:rsid w:val="00BD5472"/>
    <w:rsid w:val="00BD54A1"/>
    <w:rsid w:val="00BD5528"/>
    <w:rsid w:val="00BD5599"/>
    <w:rsid w:val="00BD566E"/>
    <w:rsid w:val="00BD567D"/>
    <w:rsid w:val="00BD5699"/>
    <w:rsid w:val="00BD57CC"/>
    <w:rsid w:val="00BD57F2"/>
    <w:rsid w:val="00BD5865"/>
    <w:rsid w:val="00BD589B"/>
    <w:rsid w:val="00BD5923"/>
    <w:rsid w:val="00BD5A60"/>
    <w:rsid w:val="00BD5BA0"/>
    <w:rsid w:val="00BD5BD4"/>
    <w:rsid w:val="00BD5C46"/>
    <w:rsid w:val="00BD5C62"/>
    <w:rsid w:val="00BD5D4E"/>
    <w:rsid w:val="00BD5F80"/>
    <w:rsid w:val="00BD5FF0"/>
    <w:rsid w:val="00BD600A"/>
    <w:rsid w:val="00BD6032"/>
    <w:rsid w:val="00BD60A2"/>
    <w:rsid w:val="00BD61DA"/>
    <w:rsid w:val="00BD62E7"/>
    <w:rsid w:val="00BD6399"/>
    <w:rsid w:val="00BD63E0"/>
    <w:rsid w:val="00BD642E"/>
    <w:rsid w:val="00BD64F8"/>
    <w:rsid w:val="00BD6681"/>
    <w:rsid w:val="00BD6707"/>
    <w:rsid w:val="00BD6776"/>
    <w:rsid w:val="00BD690D"/>
    <w:rsid w:val="00BD69D1"/>
    <w:rsid w:val="00BD6B24"/>
    <w:rsid w:val="00BD6CBA"/>
    <w:rsid w:val="00BD6DDA"/>
    <w:rsid w:val="00BD6F29"/>
    <w:rsid w:val="00BD6F69"/>
    <w:rsid w:val="00BD6FA2"/>
    <w:rsid w:val="00BD6FA4"/>
    <w:rsid w:val="00BD6FD0"/>
    <w:rsid w:val="00BD6FFF"/>
    <w:rsid w:val="00BD7019"/>
    <w:rsid w:val="00BD711B"/>
    <w:rsid w:val="00BD71B5"/>
    <w:rsid w:val="00BD720A"/>
    <w:rsid w:val="00BD725E"/>
    <w:rsid w:val="00BD72C4"/>
    <w:rsid w:val="00BD72C5"/>
    <w:rsid w:val="00BD7321"/>
    <w:rsid w:val="00BD73E1"/>
    <w:rsid w:val="00BD73F6"/>
    <w:rsid w:val="00BD740D"/>
    <w:rsid w:val="00BD7564"/>
    <w:rsid w:val="00BD75AF"/>
    <w:rsid w:val="00BD774F"/>
    <w:rsid w:val="00BD7861"/>
    <w:rsid w:val="00BD7873"/>
    <w:rsid w:val="00BD7ACC"/>
    <w:rsid w:val="00BD7DB6"/>
    <w:rsid w:val="00BD7DCA"/>
    <w:rsid w:val="00BD7DD6"/>
    <w:rsid w:val="00BD7E51"/>
    <w:rsid w:val="00BD7F09"/>
    <w:rsid w:val="00BD7FDC"/>
    <w:rsid w:val="00BE0018"/>
    <w:rsid w:val="00BE00B1"/>
    <w:rsid w:val="00BE026B"/>
    <w:rsid w:val="00BE030D"/>
    <w:rsid w:val="00BE0367"/>
    <w:rsid w:val="00BE0395"/>
    <w:rsid w:val="00BE03DB"/>
    <w:rsid w:val="00BE0513"/>
    <w:rsid w:val="00BE0576"/>
    <w:rsid w:val="00BE05FE"/>
    <w:rsid w:val="00BE064B"/>
    <w:rsid w:val="00BE06A4"/>
    <w:rsid w:val="00BE0794"/>
    <w:rsid w:val="00BE07A9"/>
    <w:rsid w:val="00BE07F7"/>
    <w:rsid w:val="00BE0872"/>
    <w:rsid w:val="00BE087F"/>
    <w:rsid w:val="00BE08DD"/>
    <w:rsid w:val="00BE09B9"/>
    <w:rsid w:val="00BE0AB2"/>
    <w:rsid w:val="00BE0B12"/>
    <w:rsid w:val="00BE0C19"/>
    <w:rsid w:val="00BE0CBB"/>
    <w:rsid w:val="00BE0D19"/>
    <w:rsid w:val="00BE0D8B"/>
    <w:rsid w:val="00BE0D8D"/>
    <w:rsid w:val="00BE0E0D"/>
    <w:rsid w:val="00BE0E2B"/>
    <w:rsid w:val="00BE0E81"/>
    <w:rsid w:val="00BE0EAC"/>
    <w:rsid w:val="00BE0F65"/>
    <w:rsid w:val="00BE0F7B"/>
    <w:rsid w:val="00BE0FA6"/>
    <w:rsid w:val="00BE0FBF"/>
    <w:rsid w:val="00BE1006"/>
    <w:rsid w:val="00BE1017"/>
    <w:rsid w:val="00BE1058"/>
    <w:rsid w:val="00BE10A6"/>
    <w:rsid w:val="00BE1249"/>
    <w:rsid w:val="00BE12A0"/>
    <w:rsid w:val="00BE12F5"/>
    <w:rsid w:val="00BE1387"/>
    <w:rsid w:val="00BE17D4"/>
    <w:rsid w:val="00BE1880"/>
    <w:rsid w:val="00BE19CC"/>
    <w:rsid w:val="00BE1A58"/>
    <w:rsid w:val="00BE1ADE"/>
    <w:rsid w:val="00BE1B22"/>
    <w:rsid w:val="00BE1C72"/>
    <w:rsid w:val="00BE1CC1"/>
    <w:rsid w:val="00BE1CF6"/>
    <w:rsid w:val="00BE1D70"/>
    <w:rsid w:val="00BE1D7D"/>
    <w:rsid w:val="00BE1EC2"/>
    <w:rsid w:val="00BE1F36"/>
    <w:rsid w:val="00BE1FC8"/>
    <w:rsid w:val="00BE2215"/>
    <w:rsid w:val="00BE2366"/>
    <w:rsid w:val="00BE262B"/>
    <w:rsid w:val="00BE26B2"/>
    <w:rsid w:val="00BE282B"/>
    <w:rsid w:val="00BE285A"/>
    <w:rsid w:val="00BE2864"/>
    <w:rsid w:val="00BE28BE"/>
    <w:rsid w:val="00BE2922"/>
    <w:rsid w:val="00BE29B3"/>
    <w:rsid w:val="00BE29B6"/>
    <w:rsid w:val="00BE2BF1"/>
    <w:rsid w:val="00BE2C2E"/>
    <w:rsid w:val="00BE2D34"/>
    <w:rsid w:val="00BE2D4B"/>
    <w:rsid w:val="00BE2D55"/>
    <w:rsid w:val="00BE2DE5"/>
    <w:rsid w:val="00BE2EF5"/>
    <w:rsid w:val="00BE2FB4"/>
    <w:rsid w:val="00BE2FC4"/>
    <w:rsid w:val="00BE3010"/>
    <w:rsid w:val="00BE3015"/>
    <w:rsid w:val="00BE3030"/>
    <w:rsid w:val="00BE3074"/>
    <w:rsid w:val="00BE3165"/>
    <w:rsid w:val="00BE31B0"/>
    <w:rsid w:val="00BE33F9"/>
    <w:rsid w:val="00BE343E"/>
    <w:rsid w:val="00BE354E"/>
    <w:rsid w:val="00BE3568"/>
    <w:rsid w:val="00BE3576"/>
    <w:rsid w:val="00BE35B0"/>
    <w:rsid w:val="00BE3602"/>
    <w:rsid w:val="00BE3623"/>
    <w:rsid w:val="00BE3631"/>
    <w:rsid w:val="00BE3669"/>
    <w:rsid w:val="00BE369E"/>
    <w:rsid w:val="00BE3768"/>
    <w:rsid w:val="00BE39BC"/>
    <w:rsid w:val="00BE3A5C"/>
    <w:rsid w:val="00BE3AF0"/>
    <w:rsid w:val="00BE3B6C"/>
    <w:rsid w:val="00BE3C44"/>
    <w:rsid w:val="00BE3C49"/>
    <w:rsid w:val="00BE3D4D"/>
    <w:rsid w:val="00BE3DA4"/>
    <w:rsid w:val="00BE3F01"/>
    <w:rsid w:val="00BE3F94"/>
    <w:rsid w:val="00BE3FF4"/>
    <w:rsid w:val="00BE4071"/>
    <w:rsid w:val="00BE408D"/>
    <w:rsid w:val="00BE40A2"/>
    <w:rsid w:val="00BE40D0"/>
    <w:rsid w:val="00BE41CB"/>
    <w:rsid w:val="00BE4392"/>
    <w:rsid w:val="00BE442D"/>
    <w:rsid w:val="00BE46A1"/>
    <w:rsid w:val="00BE4760"/>
    <w:rsid w:val="00BE48C3"/>
    <w:rsid w:val="00BE4989"/>
    <w:rsid w:val="00BE4990"/>
    <w:rsid w:val="00BE49D8"/>
    <w:rsid w:val="00BE4C11"/>
    <w:rsid w:val="00BE4D0D"/>
    <w:rsid w:val="00BE4D6A"/>
    <w:rsid w:val="00BE4DD6"/>
    <w:rsid w:val="00BE4DE8"/>
    <w:rsid w:val="00BE50B2"/>
    <w:rsid w:val="00BE50D9"/>
    <w:rsid w:val="00BE543E"/>
    <w:rsid w:val="00BE5481"/>
    <w:rsid w:val="00BE5497"/>
    <w:rsid w:val="00BE54BB"/>
    <w:rsid w:val="00BE55DE"/>
    <w:rsid w:val="00BE560D"/>
    <w:rsid w:val="00BE5778"/>
    <w:rsid w:val="00BE57FF"/>
    <w:rsid w:val="00BE5BE3"/>
    <w:rsid w:val="00BE5D40"/>
    <w:rsid w:val="00BE6159"/>
    <w:rsid w:val="00BE62E1"/>
    <w:rsid w:val="00BE63A1"/>
    <w:rsid w:val="00BE640F"/>
    <w:rsid w:val="00BE647D"/>
    <w:rsid w:val="00BE64AF"/>
    <w:rsid w:val="00BE65DA"/>
    <w:rsid w:val="00BE6671"/>
    <w:rsid w:val="00BE66B4"/>
    <w:rsid w:val="00BE67EC"/>
    <w:rsid w:val="00BE67FD"/>
    <w:rsid w:val="00BE6832"/>
    <w:rsid w:val="00BE6981"/>
    <w:rsid w:val="00BE69BD"/>
    <w:rsid w:val="00BE6A21"/>
    <w:rsid w:val="00BE6A4E"/>
    <w:rsid w:val="00BE6A6A"/>
    <w:rsid w:val="00BE6AC4"/>
    <w:rsid w:val="00BE6AF4"/>
    <w:rsid w:val="00BE6C5B"/>
    <w:rsid w:val="00BE6D2A"/>
    <w:rsid w:val="00BE6DE2"/>
    <w:rsid w:val="00BE6ED2"/>
    <w:rsid w:val="00BE6EFC"/>
    <w:rsid w:val="00BE6F64"/>
    <w:rsid w:val="00BE6F87"/>
    <w:rsid w:val="00BE705B"/>
    <w:rsid w:val="00BE70D8"/>
    <w:rsid w:val="00BE7134"/>
    <w:rsid w:val="00BE71D6"/>
    <w:rsid w:val="00BE731C"/>
    <w:rsid w:val="00BE7334"/>
    <w:rsid w:val="00BE73A6"/>
    <w:rsid w:val="00BE73D7"/>
    <w:rsid w:val="00BE7434"/>
    <w:rsid w:val="00BE746D"/>
    <w:rsid w:val="00BE74A6"/>
    <w:rsid w:val="00BE7572"/>
    <w:rsid w:val="00BE75CE"/>
    <w:rsid w:val="00BE777D"/>
    <w:rsid w:val="00BE782F"/>
    <w:rsid w:val="00BE793A"/>
    <w:rsid w:val="00BE799E"/>
    <w:rsid w:val="00BE7A45"/>
    <w:rsid w:val="00BE7B7B"/>
    <w:rsid w:val="00BE7D4B"/>
    <w:rsid w:val="00BE7DA9"/>
    <w:rsid w:val="00BE7EA5"/>
    <w:rsid w:val="00BE7FAF"/>
    <w:rsid w:val="00BF00AB"/>
    <w:rsid w:val="00BF00F7"/>
    <w:rsid w:val="00BF01EC"/>
    <w:rsid w:val="00BF035D"/>
    <w:rsid w:val="00BF0406"/>
    <w:rsid w:val="00BF047D"/>
    <w:rsid w:val="00BF051F"/>
    <w:rsid w:val="00BF073F"/>
    <w:rsid w:val="00BF07B4"/>
    <w:rsid w:val="00BF0835"/>
    <w:rsid w:val="00BF0890"/>
    <w:rsid w:val="00BF0895"/>
    <w:rsid w:val="00BF0936"/>
    <w:rsid w:val="00BF096F"/>
    <w:rsid w:val="00BF097D"/>
    <w:rsid w:val="00BF0988"/>
    <w:rsid w:val="00BF0A85"/>
    <w:rsid w:val="00BF0AA1"/>
    <w:rsid w:val="00BF0B0D"/>
    <w:rsid w:val="00BF0B8D"/>
    <w:rsid w:val="00BF0CA4"/>
    <w:rsid w:val="00BF0D26"/>
    <w:rsid w:val="00BF0D5A"/>
    <w:rsid w:val="00BF0DCE"/>
    <w:rsid w:val="00BF0E9D"/>
    <w:rsid w:val="00BF100F"/>
    <w:rsid w:val="00BF113C"/>
    <w:rsid w:val="00BF11B7"/>
    <w:rsid w:val="00BF11F3"/>
    <w:rsid w:val="00BF1334"/>
    <w:rsid w:val="00BF134F"/>
    <w:rsid w:val="00BF1380"/>
    <w:rsid w:val="00BF1459"/>
    <w:rsid w:val="00BF147D"/>
    <w:rsid w:val="00BF14AE"/>
    <w:rsid w:val="00BF1550"/>
    <w:rsid w:val="00BF1621"/>
    <w:rsid w:val="00BF1682"/>
    <w:rsid w:val="00BF1717"/>
    <w:rsid w:val="00BF177D"/>
    <w:rsid w:val="00BF1856"/>
    <w:rsid w:val="00BF18ED"/>
    <w:rsid w:val="00BF190C"/>
    <w:rsid w:val="00BF196A"/>
    <w:rsid w:val="00BF19D9"/>
    <w:rsid w:val="00BF1B46"/>
    <w:rsid w:val="00BF1BAC"/>
    <w:rsid w:val="00BF1BF1"/>
    <w:rsid w:val="00BF1C04"/>
    <w:rsid w:val="00BF1C3C"/>
    <w:rsid w:val="00BF1DA1"/>
    <w:rsid w:val="00BF1F06"/>
    <w:rsid w:val="00BF1F36"/>
    <w:rsid w:val="00BF1FCD"/>
    <w:rsid w:val="00BF2039"/>
    <w:rsid w:val="00BF2048"/>
    <w:rsid w:val="00BF21A4"/>
    <w:rsid w:val="00BF221F"/>
    <w:rsid w:val="00BF2270"/>
    <w:rsid w:val="00BF22C6"/>
    <w:rsid w:val="00BF24F4"/>
    <w:rsid w:val="00BF255C"/>
    <w:rsid w:val="00BF25D0"/>
    <w:rsid w:val="00BF26AC"/>
    <w:rsid w:val="00BF277A"/>
    <w:rsid w:val="00BF27AC"/>
    <w:rsid w:val="00BF27E3"/>
    <w:rsid w:val="00BF2844"/>
    <w:rsid w:val="00BF2887"/>
    <w:rsid w:val="00BF2A0D"/>
    <w:rsid w:val="00BF2A50"/>
    <w:rsid w:val="00BF2A69"/>
    <w:rsid w:val="00BF2B89"/>
    <w:rsid w:val="00BF2B8F"/>
    <w:rsid w:val="00BF2C04"/>
    <w:rsid w:val="00BF2C29"/>
    <w:rsid w:val="00BF2D7F"/>
    <w:rsid w:val="00BF2DF6"/>
    <w:rsid w:val="00BF2F9C"/>
    <w:rsid w:val="00BF30E0"/>
    <w:rsid w:val="00BF34AA"/>
    <w:rsid w:val="00BF36A1"/>
    <w:rsid w:val="00BF378D"/>
    <w:rsid w:val="00BF38D5"/>
    <w:rsid w:val="00BF391C"/>
    <w:rsid w:val="00BF3A16"/>
    <w:rsid w:val="00BF3AF6"/>
    <w:rsid w:val="00BF3C9F"/>
    <w:rsid w:val="00BF3D32"/>
    <w:rsid w:val="00BF3FED"/>
    <w:rsid w:val="00BF4010"/>
    <w:rsid w:val="00BF4017"/>
    <w:rsid w:val="00BF4072"/>
    <w:rsid w:val="00BF40A1"/>
    <w:rsid w:val="00BF4137"/>
    <w:rsid w:val="00BF4147"/>
    <w:rsid w:val="00BF427B"/>
    <w:rsid w:val="00BF4356"/>
    <w:rsid w:val="00BF43F2"/>
    <w:rsid w:val="00BF4417"/>
    <w:rsid w:val="00BF4519"/>
    <w:rsid w:val="00BF4557"/>
    <w:rsid w:val="00BF4636"/>
    <w:rsid w:val="00BF4661"/>
    <w:rsid w:val="00BF46C8"/>
    <w:rsid w:val="00BF4706"/>
    <w:rsid w:val="00BF4737"/>
    <w:rsid w:val="00BF47E0"/>
    <w:rsid w:val="00BF4818"/>
    <w:rsid w:val="00BF48D1"/>
    <w:rsid w:val="00BF49A2"/>
    <w:rsid w:val="00BF4A61"/>
    <w:rsid w:val="00BF4ADF"/>
    <w:rsid w:val="00BF4BB9"/>
    <w:rsid w:val="00BF4BE3"/>
    <w:rsid w:val="00BF4C44"/>
    <w:rsid w:val="00BF4C4E"/>
    <w:rsid w:val="00BF4CE4"/>
    <w:rsid w:val="00BF4F41"/>
    <w:rsid w:val="00BF4F5C"/>
    <w:rsid w:val="00BF4F7E"/>
    <w:rsid w:val="00BF5198"/>
    <w:rsid w:val="00BF51A4"/>
    <w:rsid w:val="00BF51D1"/>
    <w:rsid w:val="00BF5248"/>
    <w:rsid w:val="00BF52B7"/>
    <w:rsid w:val="00BF52E9"/>
    <w:rsid w:val="00BF553C"/>
    <w:rsid w:val="00BF5595"/>
    <w:rsid w:val="00BF5630"/>
    <w:rsid w:val="00BF5709"/>
    <w:rsid w:val="00BF5870"/>
    <w:rsid w:val="00BF5996"/>
    <w:rsid w:val="00BF5AE8"/>
    <w:rsid w:val="00BF5BA1"/>
    <w:rsid w:val="00BF5D24"/>
    <w:rsid w:val="00BF5D36"/>
    <w:rsid w:val="00BF5D7D"/>
    <w:rsid w:val="00BF5F32"/>
    <w:rsid w:val="00BF5FB1"/>
    <w:rsid w:val="00BF5FF9"/>
    <w:rsid w:val="00BF6019"/>
    <w:rsid w:val="00BF6080"/>
    <w:rsid w:val="00BF60B0"/>
    <w:rsid w:val="00BF6157"/>
    <w:rsid w:val="00BF6381"/>
    <w:rsid w:val="00BF649E"/>
    <w:rsid w:val="00BF6506"/>
    <w:rsid w:val="00BF6611"/>
    <w:rsid w:val="00BF6652"/>
    <w:rsid w:val="00BF67C3"/>
    <w:rsid w:val="00BF6857"/>
    <w:rsid w:val="00BF68A2"/>
    <w:rsid w:val="00BF68E1"/>
    <w:rsid w:val="00BF6950"/>
    <w:rsid w:val="00BF6ADB"/>
    <w:rsid w:val="00BF6BE9"/>
    <w:rsid w:val="00BF6C6D"/>
    <w:rsid w:val="00BF6E38"/>
    <w:rsid w:val="00BF6EA5"/>
    <w:rsid w:val="00BF6F06"/>
    <w:rsid w:val="00BF6F99"/>
    <w:rsid w:val="00BF708E"/>
    <w:rsid w:val="00BF71C4"/>
    <w:rsid w:val="00BF71C5"/>
    <w:rsid w:val="00BF73F3"/>
    <w:rsid w:val="00BF741D"/>
    <w:rsid w:val="00BF7428"/>
    <w:rsid w:val="00BF74F6"/>
    <w:rsid w:val="00BF7685"/>
    <w:rsid w:val="00BF7733"/>
    <w:rsid w:val="00BF781F"/>
    <w:rsid w:val="00BF78CF"/>
    <w:rsid w:val="00BF796D"/>
    <w:rsid w:val="00BF7A07"/>
    <w:rsid w:val="00BF7A9F"/>
    <w:rsid w:val="00BF7B23"/>
    <w:rsid w:val="00BF7BBA"/>
    <w:rsid w:val="00BF7BE4"/>
    <w:rsid w:val="00BF7BEC"/>
    <w:rsid w:val="00BF7BF8"/>
    <w:rsid w:val="00BF7CD3"/>
    <w:rsid w:val="00BF7D51"/>
    <w:rsid w:val="00BF7DE0"/>
    <w:rsid w:val="00BF7DF2"/>
    <w:rsid w:val="00BF7EFD"/>
    <w:rsid w:val="00C00144"/>
    <w:rsid w:val="00C001AB"/>
    <w:rsid w:val="00C001F0"/>
    <w:rsid w:val="00C00207"/>
    <w:rsid w:val="00C003A8"/>
    <w:rsid w:val="00C0040B"/>
    <w:rsid w:val="00C00459"/>
    <w:rsid w:val="00C004CA"/>
    <w:rsid w:val="00C00772"/>
    <w:rsid w:val="00C007B7"/>
    <w:rsid w:val="00C0087A"/>
    <w:rsid w:val="00C00934"/>
    <w:rsid w:val="00C0099D"/>
    <w:rsid w:val="00C00BC5"/>
    <w:rsid w:val="00C00DB3"/>
    <w:rsid w:val="00C00E45"/>
    <w:rsid w:val="00C00FB7"/>
    <w:rsid w:val="00C00FBF"/>
    <w:rsid w:val="00C01056"/>
    <w:rsid w:val="00C010C3"/>
    <w:rsid w:val="00C01164"/>
    <w:rsid w:val="00C01214"/>
    <w:rsid w:val="00C012DA"/>
    <w:rsid w:val="00C0133B"/>
    <w:rsid w:val="00C013EF"/>
    <w:rsid w:val="00C01407"/>
    <w:rsid w:val="00C014B5"/>
    <w:rsid w:val="00C014D0"/>
    <w:rsid w:val="00C01582"/>
    <w:rsid w:val="00C0162B"/>
    <w:rsid w:val="00C01643"/>
    <w:rsid w:val="00C0165B"/>
    <w:rsid w:val="00C01704"/>
    <w:rsid w:val="00C017FD"/>
    <w:rsid w:val="00C019EF"/>
    <w:rsid w:val="00C01C2A"/>
    <w:rsid w:val="00C01C48"/>
    <w:rsid w:val="00C01D0D"/>
    <w:rsid w:val="00C01D22"/>
    <w:rsid w:val="00C01D3E"/>
    <w:rsid w:val="00C01D59"/>
    <w:rsid w:val="00C01EC1"/>
    <w:rsid w:val="00C01EF0"/>
    <w:rsid w:val="00C01FD9"/>
    <w:rsid w:val="00C022A7"/>
    <w:rsid w:val="00C022E6"/>
    <w:rsid w:val="00C02328"/>
    <w:rsid w:val="00C02350"/>
    <w:rsid w:val="00C023EC"/>
    <w:rsid w:val="00C0240C"/>
    <w:rsid w:val="00C02483"/>
    <w:rsid w:val="00C02508"/>
    <w:rsid w:val="00C0250B"/>
    <w:rsid w:val="00C025A8"/>
    <w:rsid w:val="00C025D9"/>
    <w:rsid w:val="00C02642"/>
    <w:rsid w:val="00C02736"/>
    <w:rsid w:val="00C027F7"/>
    <w:rsid w:val="00C0281E"/>
    <w:rsid w:val="00C02A6D"/>
    <w:rsid w:val="00C02AC6"/>
    <w:rsid w:val="00C02AC7"/>
    <w:rsid w:val="00C02B1B"/>
    <w:rsid w:val="00C02BBA"/>
    <w:rsid w:val="00C02C39"/>
    <w:rsid w:val="00C02CDE"/>
    <w:rsid w:val="00C02D2C"/>
    <w:rsid w:val="00C02D3A"/>
    <w:rsid w:val="00C02D76"/>
    <w:rsid w:val="00C02D8E"/>
    <w:rsid w:val="00C02DAA"/>
    <w:rsid w:val="00C02F7E"/>
    <w:rsid w:val="00C02F94"/>
    <w:rsid w:val="00C03007"/>
    <w:rsid w:val="00C03036"/>
    <w:rsid w:val="00C03051"/>
    <w:rsid w:val="00C030FC"/>
    <w:rsid w:val="00C0310E"/>
    <w:rsid w:val="00C03203"/>
    <w:rsid w:val="00C03243"/>
    <w:rsid w:val="00C034AE"/>
    <w:rsid w:val="00C034DA"/>
    <w:rsid w:val="00C03590"/>
    <w:rsid w:val="00C036BB"/>
    <w:rsid w:val="00C036D6"/>
    <w:rsid w:val="00C03894"/>
    <w:rsid w:val="00C038B3"/>
    <w:rsid w:val="00C03A8C"/>
    <w:rsid w:val="00C03ACD"/>
    <w:rsid w:val="00C03AE8"/>
    <w:rsid w:val="00C03AFE"/>
    <w:rsid w:val="00C03AFF"/>
    <w:rsid w:val="00C03C16"/>
    <w:rsid w:val="00C03C3B"/>
    <w:rsid w:val="00C03D40"/>
    <w:rsid w:val="00C03E95"/>
    <w:rsid w:val="00C03ED3"/>
    <w:rsid w:val="00C03EF0"/>
    <w:rsid w:val="00C03F3F"/>
    <w:rsid w:val="00C03F86"/>
    <w:rsid w:val="00C0404B"/>
    <w:rsid w:val="00C04084"/>
    <w:rsid w:val="00C040B7"/>
    <w:rsid w:val="00C04120"/>
    <w:rsid w:val="00C04125"/>
    <w:rsid w:val="00C0424F"/>
    <w:rsid w:val="00C04264"/>
    <w:rsid w:val="00C04278"/>
    <w:rsid w:val="00C04279"/>
    <w:rsid w:val="00C04324"/>
    <w:rsid w:val="00C043D4"/>
    <w:rsid w:val="00C04419"/>
    <w:rsid w:val="00C044F6"/>
    <w:rsid w:val="00C0456C"/>
    <w:rsid w:val="00C045AD"/>
    <w:rsid w:val="00C045B5"/>
    <w:rsid w:val="00C046A5"/>
    <w:rsid w:val="00C046DE"/>
    <w:rsid w:val="00C04797"/>
    <w:rsid w:val="00C048A7"/>
    <w:rsid w:val="00C049FA"/>
    <w:rsid w:val="00C04A2D"/>
    <w:rsid w:val="00C04A58"/>
    <w:rsid w:val="00C04A5A"/>
    <w:rsid w:val="00C04B36"/>
    <w:rsid w:val="00C04CD1"/>
    <w:rsid w:val="00C04CE5"/>
    <w:rsid w:val="00C04D25"/>
    <w:rsid w:val="00C04D29"/>
    <w:rsid w:val="00C04F12"/>
    <w:rsid w:val="00C0500B"/>
    <w:rsid w:val="00C050EC"/>
    <w:rsid w:val="00C05245"/>
    <w:rsid w:val="00C05258"/>
    <w:rsid w:val="00C0526E"/>
    <w:rsid w:val="00C052B6"/>
    <w:rsid w:val="00C052CE"/>
    <w:rsid w:val="00C0531E"/>
    <w:rsid w:val="00C0533D"/>
    <w:rsid w:val="00C054D3"/>
    <w:rsid w:val="00C05515"/>
    <w:rsid w:val="00C05565"/>
    <w:rsid w:val="00C056E9"/>
    <w:rsid w:val="00C058E0"/>
    <w:rsid w:val="00C05BF3"/>
    <w:rsid w:val="00C05E0A"/>
    <w:rsid w:val="00C05EC0"/>
    <w:rsid w:val="00C05F1A"/>
    <w:rsid w:val="00C05F1C"/>
    <w:rsid w:val="00C05F2F"/>
    <w:rsid w:val="00C05F63"/>
    <w:rsid w:val="00C05FA7"/>
    <w:rsid w:val="00C06076"/>
    <w:rsid w:val="00C06165"/>
    <w:rsid w:val="00C0621F"/>
    <w:rsid w:val="00C06226"/>
    <w:rsid w:val="00C0625A"/>
    <w:rsid w:val="00C0627C"/>
    <w:rsid w:val="00C062C3"/>
    <w:rsid w:val="00C06338"/>
    <w:rsid w:val="00C06342"/>
    <w:rsid w:val="00C0634A"/>
    <w:rsid w:val="00C06469"/>
    <w:rsid w:val="00C0648E"/>
    <w:rsid w:val="00C06522"/>
    <w:rsid w:val="00C065BE"/>
    <w:rsid w:val="00C065C3"/>
    <w:rsid w:val="00C0662D"/>
    <w:rsid w:val="00C0680A"/>
    <w:rsid w:val="00C06847"/>
    <w:rsid w:val="00C068D3"/>
    <w:rsid w:val="00C06945"/>
    <w:rsid w:val="00C06A38"/>
    <w:rsid w:val="00C06ACE"/>
    <w:rsid w:val="00C06BD0"/>
    <w:rsid w:val="00C06C66"/>
    <w:rsid w:val="00C06C68"/>
    <w:rsid w:val="00C06D59"/>
    <w:rsid w:val="00C06DA5"/>
    <w:rsid w:val="00C06E00"/>
    <w:rsid w:val="00C06EA7"/>
    <w:rsid w:val="00C06EED"/>
    <w:rsid w:val="00C06F0C"/>
    <w:rsid w:val="00C06F9D"/>
    <w:rsid w:val="00C06FE5"/>
    <w:rsid w:val="00C07016"/>
    <w:rsid w:val="00C07084"/>
    <w:rsid w:val="00C070D2"/>
    <w:rsid w:val="00C072D2"/>
    <w:rsid w:val="00C07337"/>
    <w:rsid w:val="00C074B5"/>
    <w:rsid w:val="00C075B8"/>
    <w:rsid w:val="00C075E6"/>
    <w:rsid w:val="00C07645"/>
    <w:rsid w:val="00C07692"/>
    <w:rsid w:val="00C076E9"/>
    <w:rsid w:val="00C07719"/>
    <w:rsid w:val="00C0774F"/>
    <w:rsid w:val="00C077E9"/>
    <w:rsid w:val="00C078DC"/>
    <w:rsid w:val="00C07996"/>
    <w:rsid w:val="00C079AF"/>
    <w:rsid w:val="00C07A61"/>
    <w:rsid w:val="00C07AED"/>
    <w:rsid w:val="00C07B30"/>
    <w:rsid w:val="00C07B9A"/>
    <w:rsid w:val="00C07BE4"/>
    <w:rsid w:val="00C07BED"/>
    <w:rsid w:val="00C07C07"/>
    <w:rsid w:val="00C07CAC"/>
    <w:rsid w:val="00C07CCD"/>
    <w:rsid w:val="00C07D9D"/>
    <w:rsid w:val="00C07DCC"/>
    <w:rsid w:val="00C07E7D"/>
    <w:rsid w:val="00C07F67"/>
    <w:rsid w:val="00C07FCE"/>
    <w:rsid w:val="00C100A9"/>
    <w:rsid w:val="00C10100"/>
    <w:rsid w:val="00C101C4"/>
    <w:rsid w:val="00C1033E"/>
    <w:rsid w:val="00C103A9"/>
    <w:rsid w:val="00C1042B"/>
    <w:rsid w:val="00C10473"/>
    <w:rsid w:val="00C10593"/>
    <w:rsid w:val="00C106C4"/>
    <w:rsid w:val="00C106F5"/>
    <w:rsid w:val="00C10717"/>
    <w:rsid w:val="00C10733"/>
    <w:rsid w:val="00C1074E"/>
    <w:rsid w:val="00C10923"/>
    <w:rsid w:val="00C10994"/>
    <w:rsid w:val="00C109BF"/>
    <w:rsid w:val="00C10A04"/>
    <w:rsid w:val="00C10A18"/>
    <w:rsid w:val="00C10A55"/>
    <w:rsid w:val="00C10B26"/>
    <w:rsid w:val="00C10C61"/>
    <w:rsid w:val="00C10C71"/>
    <w:rsid w:val="00C10CE0"/>
    <w:rsid w:val="00C10D0A"/>
    <w:rsid w:val="00C10D57"/>
    <w:rsid w:val="00C10DA8"/>
    <w:rsid w:val="00C10E67"/>
    <w:rsid w:val="00C10EDB"/>
    <w:rsid w:val="00C10EF4"/>
    <w:rsid w:val="00C10F86"/>
    <w:rsid w:val="00C10FCE"/>
    <w:rsid w:val="00C11017"/>
    <w:rsid w:val="00C11092"/>
    <w:rsid w:val="00C110E5"/>
    <w:rsid w:val="00C112A4"/>
    <w:rsid w:val="00C1133A"/>
    <w:rsid w:val="00C11362"/>
    <w:rsid w:val="00C1139B"/>
    <w:rsid w:val="00C1153F"/>
    <w:rsid w:val="00C115F2"/>
    <w:rsid w:val="00C11727"/>
    <w:rsid w:val="00C11778"/>
    <w:rsid w:val="00C11840"/>
    <w:rsid w:val="00C11898"/>
    <w:rsid w:val="00C118CF"/>
    <w:rsid w:val="00C11912"/>
    <w:rsid w:val="00C11936"/>
    <w:rsid w:val="00C11981"/>
    <w:rsid w:val="00C11988"/>
    <w:rsid w:val="00C119D0"/>
    <w:rsid w:val="00C11A6D"/>
    <w:rsid w:val="00C11BF2"/>
    <w:rsid w:val="00C11C5D"/>
    <w:rsid w:val="00C11D55"/>
    <w:rsid w:val="00C11DD3"/>
    <w:rsid w:val="00C11E0B"/>
    <w:rsid w:val="00C11E4E"/>
    <w:rsid w:val="00C11EB0"/>
    <w:rsid w:val="00C12138"/>
    <w:rsid w:val="00C1216D"/>
    <w:rsid w:val="00C121A0"/>
    <w:rsid w:val="00C121E8"/>
    <w:rsid w:val="00C1240A"/>
    <w:rsid w:val="00C12429"/>
    <w:rsid w:val="00C12507"/>
    <w:rsid w:val="00C125A2"/>
    <w:rsid w:val="00C125B9"/>
    <w:rsid w:val="00C126B7"/>
    <w:rsid w:val="00C12843"/>
    <w:rsid w:val="00C12912"/>
    <w:rsid w:val="00C129E2"/>
    <w:rsid w:val="00C12B41"/>
    <w:rsid w:val="00C12BAA"/>
    <w:rsid w:val="00C12BD1"/>
    <w:rsid w:val="00C12C19"/>
    <w:rsid w:val="00C12C23"/>
    <w:rsid w:val="00C12D6F"/>
    <w:rsid w:val="00C12D95"/>
    <w:rsid w:val="00C12DDD"/>
    <w:rsid w:val="00C12DF4"/>
    <w:rsid w:val="00C12EBA"/>
    <w:rsid w:val="00C132B8"/>
    <w:rsid w:val="00C1338C"/>
    <w:rsid w:val="00C13405"/>
    <w:rsid w:val="00C13435"/>
    <w:rsid w:val="00C13458"/>
    <w:rsid w:val="00C13484"/>
    <w:rsid w:val="00C135B0"/>
    <w:rsid w:val="00C135E1"/>
    <w:rsid w:val="00C13609"/>
    <w:rsid w:val="00C1362C"/>
    <w:rsid w:val="00C137A6"/>
    <w:rsid w:val="00C13834"/>
    <w:rsid w:val="00C1384F"/>
    <w:rsid w:val="00C13860"/>
    <w:rsid w:val="00C13879"/>
    <w:rsid w:val="00C13A1B"/>
    <w:rsid w:val="00C13A5E"/>
    <w:rsid w:val="00C13AF2"/>
    <w:rsid w:val="00C13D59"/>
    <w:rsid w:val="00C13E5B"/>
    <w:rsid w:val="00C13EDF"/>
    <w:rsid w:val="00C13EF7"/>
    <w:rsid w:val="00C13F61"/>
    <w:rsid w:val="00C13FB6"/>
    <w:rsid w:val="00C14039"/>
    <w:rsid w:val="00C1403B"/>
    <w:rsid w:val="00C14198"/>
    <w:rsid w:val="00C141A1"/>
    <w:rsid w:val="00C14201"/>
    <w:rsid w:val="00C1425A"/>
    <w:rsid w:val="00C14260"/>
    <w:rsid w:val="00C14312"/>
    <w:rsid w:val="00C1436C"/>
    <w:rsid w:val="00C14588"/>
    <w:rsid w:val="00C145A1"/>
    <w:rsid w:val="00C145B1"/>
    <w:rsid w:val="00C147BA"/>
    <w:rsid w:val="00C147D3"/>
    <w:rsid w:val="00C14981"/>
    <w:rsid w:val="00C14AD3"/>
    <w:rsid w:val="00C14BDD"/>
    <w:rsid w:val="00C14DBE"/>
    <w:rsid w:val="00C14FD5"/>
    <w:rsid w:val="00C15025"/>
    <w:rsid w:val="00C15032"/>
    <w:rsid w:val="00C1509E"/>
    <w:rsid w:val="00C150A2"/>
    <w:rsid w:val="00C15251"/>
    <w:rsid w:val="00C1534B"/>
    <w:rsid w:val="00C15365"/>
    <w:rsid w:val="00C153EA"/>
    <w:rsid w:val="00C1541D"/>
    <w:rsid w:val="00C15556"/>
    <w:rsid w:val="00C15631"/>
    <w:rsid w:val="00C159E1"/>
    <w:rsid w:val="00C159FE"/>
    <w:rsid w:val="00C15B2B"/>
    <w:rsid w:val="00C15B69"/>
    <w:rsid w:val="00C15B81"/>
    <w:rsid w:val="00C15C06"/>
    <w:rsid w:val="00C15C12"/>
    <w:rsid w:val="00C15CA0"/>
    <w:rsid w:val="00C15D33"/>
    <w:rsid w:val="00C15D64"/>
    <w:rsid w:val="00C15EE5"/>
    <w:rsid w:val="00C15EF9"/>
    <w:rsid w:val="00C16026"/>
    <w:rsid w:val="00C1607D"/>
    <w:rsid w:val="00C160AC"/>
    <w:rsid w:val="00C160B5"/>
    <w:rsid w:val="00C16130"/>
    <w:rsid w:val="00C16236"/>
    <w:rsid w:val="00C16295"/>
    <w:rsid w:val="00C162E3"/>
    <w:rsid w:val="00C162ED"/>
    <w:rsid w:val="00C16318"/>
    <w:rsid w:val="00C1635C"/>
    <w:rsid w:val="00C16485"/>
    <w:rsid w:val="00C16581"/>
    <w:rsid w:val="00C165BD"/>
    <w:rsid w:val="00C16650"/>
    <w:rsid w:val="00C166A9"/>
    <w:rsid w:val="00C167D0"/>
    <w:rsid w:val="00C16848"/>
    <w:rsid w:val="00C16850"/>
    <w:rsid w:val="00C168E1"/>
    <w:rsid w:val="00C16933"/>
    <w:rsid w:val="00C1693E"/>
    <w:rsid w:val="00C16AC9"/>
    <w:rsid w:val="00C16ACF"/>
    <w:rsid w:val="00C16AE0"/>
    <w:rsid w:val="00C16AFB"/>
    <w:rsid w:val="00C16B47"/>
    <w:rsid w:val="00C16B92"/>
    <w:rsid w:val="00C16BD0"/>
    <w:rsid w:val="00C16C0F"/>
    <w:rsid w:val="00C16C45"/>
    <w:rsid w:val="00C16C6D"/>
    <w:rsid w:val="00C16C86"/>
    <w:rsid w:val="00C16D15"/>
    <w:rsid w:val="00C16E90"/>
    <w:rsid w:val="00C16EE6"/>
    <w:rsid w:val="00C16FF1"/>
    <w:rsid w:val="00C1704F"/>
    <w:rsid w:val="00C170CA"/>
    <w:rsid w:val="00C17292"/>
    <w:rsid w:val="00C172FA"/>
    <w:rsid w:val="00C17313"/>
    <w:rsid w:val="00C17324"/>
    <w:rsid w:val="00C1744F"/>
    <w:rsid w:val="00C17585"/>
    <w:rsid w:val="00C17673"/>
    <w:rsid w:val="00C17695"/>
    <w:rsid w:val="00C176C2"/>
    <w:rsid w:val="00C176EC"/>
    <w:rsid w:val="00C1775E"/>
    <w:rsid w:val="00C177FC"/>
    <w:rsid w:val="00C17895"/>
    <w:rsid w:val="00C1798A"/>
    <w:rsid w:val="00C179FC"/>
    <w:rsid w:val="00C17A01"/>
    <w:rsid w:val="00C17A40"/>
    <w:rsid w:val="00C17A63"/>
    <w:rsid w:val="00C17ADE"/>
    <w:rsid w:val="00C17AE4"/>
    <w:rsid w:val="00C17D0F"/>
    <w:rsid w:val="00C17D5A"/>
    <w:rsid w:val="00C17E2D"/>
    <w:rsid w:val="00C17E69"/>
    <w:rsid w:val="00C17E6D"/>
    <w:rsid w:val="00C17E8C"/>
    <w:rsid w:val="00C17EDB"/>
    <w:rsid w:val="00C17F8A"/>
    <w:rsid w:val="00C2004C"/>
    <w:rsid w:val="00C20086"/>
    <w:rsid w:val="00C2008B"/>
    <w:rsid w:val="00C200B9"/>
    <w:rsid w:val="00C200BA"/>
    <w:rsid w:val="00C2013A"/>
    <w:rsid w:val="00C20160"/>
    <w:rsid w:val="00C20170"/>
    <w:rsid w:val="00C2029F"/>
    <w:rsid w:val="00C203B2"/>
    <w:rsid w:val="00C20408"/>
    <w:rsid w:val="00C204CB"/>
    <w:rsid w:val="00C20546"/>
    <w:rsid w:val="00C205AA"/>
    <w:rsid w:val="00C205C8"/>
    <w:rsid w:val="00C20691"/>
    <w:rsid w:val="00C20761"/>
    <w:rsid w:val="00C20814"/>
    <w:rsid w:val="00C20815"/>
    <w:rsid w:val="00C2084B"/>
    <w:rsid w:val="00C2086B"/>
    <w:rsid w:val="00C20970"/>
    <w:rsid w:val="00C20AFA"/>
    <w:rsid w:val="00C20AFB"/>
    <w:rsid w:val="00C20B0A"/>
    <w:rsid w:val="00C20BE5"/>
    <w:rsid w:val="00C20BF2"/>
    <w:rsid w:val="00C20C73"/>
    <w:rsid w:val="00C20D42"/>
    <w:rsid w:val="00C20D4B"/>
    <w:rsid w:val="00C20DDD"/>
    <w:rsid w:val="00C20DE7"/>
    <w:rsid w:val="00C20F79"/>
    <w:rsid w:val="00C20F88"/>
    <w:rsid w:val="00C20F92"/>
    <w:rsid w:val="00C20FB0"/>
    <w:rsid w:val="00C20FC1"/>
    <w:rsid w:val="00C21140"/>
    <w:rsid w:val="00C21183"/>
    <w:rsid w:val="00C2119F"/>
    <w:rsid w:val="00C2121E"/>
    <w:rsid w:val="00C2124F"/>
    <w:rsid w:val="00C2128C"/>
    <w:rsid w:val="00C212F4"/>
    <w:rsid w:val="00C21346"/>
    <w:rsid w:val="00C213FD"/>
    <w:rsid w:val="00C214EB"/>
    <w:rsid w:val="00C215C4"/>
    <w:rsid w:val="00C216D4"/>
    <w:rsid w:val="00C2175E"/>
    <w:rsid w:val="00C21773"/>
    <w:rsid w:val="00C217D1"/>
    <w:rsid w:val="00C2183F"/>
    <w:rsid w:val="00C21849"/>
    <w:rsid w:val="00C2184E"/>
    <w:rsid w:val="00C21A20"/>
    <w:rsid w:val="00C21A58"/>
    <w:rsid w:val="00C21A8B"/>
    <w:rsid w:val="00C21AA8"/>
    <w:rsid w:val="00C21AC1"/>
    <w:rsid w:val="00C21B68"/>
    <w:rsid w:val="00C21BD1"/>
    <w:rsid w:val="00C21C29"/>
    <w:rsid w:val="00C21D4C"/>
    <w:rsid w:val="00C21D57"/>
    <w:rsid w:val="00C21DC2"/>
    <w:rsid w:val="00C21DE0"/>
    <w:rsid w:val="00C21F46"/>
    <w:rsid w:val="00C220C9"/>
    <w:rsid w:val="00C220D9"/>
    <w:rsid w:val="00C2211A"/>
    <w:rsid w:val="00C22175"/>
    <w:rsid w:val="00C2222B"/>
    <w:rsid w:val="00C22299"/>
    <w:rsid w:val="00C22383"/>
    <w:rsid w:val="00C2241F"/>
    <w:rsid w:val="00C2265F"/>
    <w:rsid w:val="00C22893"/>
    <w:rsid w:val="00C228CC"/>
    <w:rsid w:val="00C228E3"/>
    <w:rsid w:val="00C2294D"/>
    <w:rsid w:val="00C229FE"/>
    <w:rsid w:val="00C22A0F"/>
    <w:rsid w:val="00C22C2D"/>
    <w:rsid w:val="00C22C32"/>
    <w:rsid w:val="00C22CDB"/>
    <w:rsid w:val="00C22EFA"/>
    <w:rsid w:val="00C22F27"/>
    <w:rsid w:val="00C22F29"/>
    <w:rsid w:val="00C22F2D"/>
    <w:rsid w:val="00C22F71"/>
    <w:rsid w:val="00C2318B"/>
    <w:rsid w:val="00C231D7"/>
    <w:rsid w:val="00C23396"/>
    <w:rsid w:val="00C233DA"/>
    <w:rsid w:val="00C23436"/>
    <w:rsid w:val="00C23462"/>
    <w:rsid w:val="00C23481"/>
    <w:rsid w:val="00C2352A"/>
    <w:rsid w:val="00C2380E"/>
    <w:rsid w:val="00C23924"/>
    <w:rsid w:val="00C23972"/>
    <w:rsid w:val="00C23997"/>
    <w:rsid w:val="00C23B9C"/>
    <w:rsid w:val="00C23BCF"/>
    <w:rsid w:val="00C23BF5"/>
    <w:rsid w:val="00C23C28"/>
    <w:rsid w:val="00C23C55"/>
    <w:rsid w:val="00C23CE6"/>
    <w:rsid w:val="00C23D54"/>
    <w:rsid w:val="00C23D79"/>
    <w:rsid w:val="00C23F8C"/>
    <w:rsid w:val="00C23FC8"/>
    <w:rsid w:val="00C24044"/>
    <w:rsid w:val="00C2407C"/>
    <w:rsid w:val="00C2409B"/>
    <w:rsid w:val="00C240AA"/>
    <w:rsid w:val="00C240D4"/>
    <w:rsid w:val="00C2429A"/>
    <w:rsid w:val="00C242B2"/>
    <w:rsid w:val="00C243B7"/>
    <w:rsid w:val="00C24406"/>
    <w:rsid w:val="00C244A6"/>
    <w:rsid w:val="00C24686"/>
    <w:rsid w:val="00C246AC"/>
    <w:rsid w:val="00C24712"/>
    <w:rsid w:val="00C2475F"/>
    <w:rsid w:val="00C2485E"/>
    <w:rsid w:val="00C24878"/>
    <w:rsid w:val="00C24A5A"/>
    <w:rsid w:val="00C24AAB"/>
    <w:rsid w:val="00C24AD1"/>
    <w:rsid w:val="00C24B44"/>
    <w:rsid w:val="00C24C31"/>
    <w:rsid w:val="00C24C39"/>
    <w:rsid w:val="00C24C77"/>
    <w:rsid w:val="00C24D4A"/>
    <w:rsid w:val="00C24DE2"/>
    <w:rsid w:val="00C24E78"/>
    <w:rsid w:val="00C24EC6"/>
    <w:rsid w:val="00C25020"/>
    <w:rsid w:val="00C2504C"/>
    <w:rsid w:val="00C25074"/>
    <w:rsid w:val="00C250F9"/>
    <w:rsid w:val="00C2512D"/>
    <w:rsid w:val="00C25152"/>
    <w:rsid w:val="00C25306"/>
    <w:rsid w:val="00C25375"/>
    <w:rsid w:val="00C25453"/>
    <w:rsid w:val="00C25515"/>
    <w:rsid w:val="00C25536"/>
    <w:rsid w:val="00C25566"/>
    <w:rsid w:val="00C256AD"/>
    <w:rsid w:val="00C25789"/>
    <w:rsid w:val="00C2578D"/>
    <w:rsid w:val="00C257CB"/>
    <w:rsid w:val="00C25855"/>
    <w:rsid w:val="00C258A3"/>
    <w:rsid w:val="00C25974"/>
    <w:rsid w:val="00C2597C"/>
    <w:rsid w:val="00C25982"/>
    <w:rsid w:val="00C259BB"/>
    <w:rsid w:val="00C25B3F"/>
    <w:rsid w:val="00C25D32"/>
    <w:rsid w:val="00C25D7A"/>
    <w:rsid w:val="00C25DA8"/>
    <w:rsid w:val="00C25E0D"/>
    <w:rsid w:val="00C25E60"/>
    <w:rsid w:val="00C25EB2"/>
    <w:rsid w:val="00C25EEA"/>
    <w:rsid w:val="00C25EFB"/>
    <w:rsid w:val="00C25F85"/>
    <w:rsid w:val="00C26020"/>
    <w:rsid w:val="00C260D8"/>
    <w:rsid w:val="00C2619C"/>
    <w:rsid w:val="00C2630C"/>
    <w:rsid w:val="00C26346"/>
    <w:rsid w:val="00C2635A"/>
    <w:rsid w:val="00C2641A"/>
    <w:rsid w:val="00C265B2"/>
    <w:rsid w:val="00C265F8"/>
    <w:rsid w:val="00C265FC"/>
    <w:rsid w:val="00C26614"/>
    <w:rsid w:val="00C2668D"/>
    <w:rsid w:val="00C2668E"/>
    <w:rsid w:val="00C266F8"/>
    <w:rsid w:val="00C2676D"/>
    <w:rsid w:val="00C26841"/>
    <w:rsid w:val="00C26850"/>
    <w:rsid w:val="00C26870"/>
    <w:rsid w:val="00C26A0A"/>
    <w:rsid w:val="00C26B15"/>
    <w:rsid w:val="00C26BFB"/>
    <w:rsid w:val="00C26C9B"/>
    <w:rsid w:val="00C26EBA"/>
    <w:rsid w:val="00C26ED5"/>
    <w:rsid w:val="00C26F02"/>
    <w:rsid w:val="00C270E2"/>
    <w:rsid w:val="00C2721A"/>
    <w:rsid w:val="00C27257"/>
    <w:rsid w:val="00C2726F"/>
    <w:rsid w:val="00C272E3"/>
    <w:rsid w:val="00C27455"/>
    <w:rsid w:val="00C275C6"/>
    <w:rsid w:val="00C275D3"/>
    <w:rsid w:val="00C27641"/>
    <w:rsid w:val="00C276EB"/>
    <w:rsid w:val="00C27706"/>
    <w:rsid w:val="00C2776B"/>
    <w:rsid w:val="00C278AD"/>
    <w:rsid w:val="00C27941"/>
    <w:rsid w:val="00C27943"/>
    <w:rsid w:val="00C27C23"/>
    <w:rsid w:val="00C27D6E"/>
    <w:rsid w:val="00C27D7E"/>
    <w:rsid w:val="00C27D9C"/>
    <w:rsid w:val="00C27E27"/>
    <w:rsid w:val="00C27E9F"/>
    <w:rsid w:val="00C27EB8"/>
    <w:rsid w:val="00C27F11"/>
    <w:rsid w:val="00C27F25"/>
    <w:rsid w:val="00C30046"/>
    <w:rsid w:val="00C30077"/>
    <w:rsid w:val="00C300B9"/>
    <w:rsid w:val="00C301D4"/>
    <w:rsid w:val="00C30257"/>
    <w:rsid w:val="00C3040B"/>
    <w:rsid w:val="00C3043A"/>
    <w:rsid w:val="00C30482"/>
    <w:rsid w:val="00C3052B"/>
    <w:rsid w:val="00C305D3"/>
    <w:rsid w:val="00C305EB"/>
    <w:rsid w:val="00C306D9"/>
    <w:rsid w:val="00C30834"/>
    <w:rsid w:val="00C3084D"/>
    <w:rsid w:val="00C30899"/>
    <w:rsid w:val="00C308DA"/>
    <w:rsid w:val="00C3090D"/>
    <w:rsid w:val="00C30A1B"/>
    <w:rsid w:val="00C30A93"/>
    <w:rsid w:val="00C30AC8"/>
    <w:rsid w:val="00C30CA5"/>
    <w:rsid w:val="00C30CFC"/>
    <w:rsid w:val="00C30D35"/>
    <w:rsid w:val="00C30D7C"/>
    <w:rsid w:val="00C30F8E"/>
    <w:rsid w:val="00C310C8"/>
    <w:rsid w:val="00C311E0"/>
    <w:rsid w:val="00C31208"/>
    <w:rsid w:val="00C3123A"/>
    <w:rsid w:val="00C312B3"/>
    <w:rsid w:val="00C313CC"/>
    <w:rsid w:val="00C31441"/>
    <w:rsid w:val="00C31484"/>
    <w:rsid w:val="00C314EE"/>
    <w:rsid w:val="00C31509"/>
    <w:rsid w:val="00C3155A"/>
    <w:rsid w:val="00C31711"/>
    <w:rsid w:val="00C31747"/>
    <w:rsid w:val="00C31764"/>
    <w:rsid w:val="00C317F7"/>
    <w:rsid w:val="00C3182A"/>
    <w:rsid w:val="00C319B5"/>
    <w:rsid w:val="00C319BD"/>
    <w:rsid w:val="00C31A65"/>
    <w:rsid w:val="00C31A68"/>
    <w:rsid w:val="00C31E3C"/>
    <w:rsid w:val="00C31EF4"/>
    <w:rsid w:val="00C31FA5"/>
    <w:rsid w:val="00C32066"/>
    <w:rsid w:val="00C320B7"/>
    <w:rsid w:val="00C32156"/>
    <w:rsid w:val="00C321F1"/>
    <w:rsid w:val="00C32467"/>
    <w:rsid w:val="00C3254D"/>
    <w:rsid w:val="00C325AB"/>
    <w:rsid w:val="00C326F1"/>
    <w:rsid w:val="00C327BC"/>
    <w:rsid w:val="00C32803"/>
    <w:rsid w:val="00C32809"/>
    <w:rsid w:val="00C3287A"/>
    <w:rsid w:val="00C32903"/>
    <w:rsid w:val="00C3297E"/>
    <w:rsid w:val="00C329B5"/>
    <w:rsid w:val="00C32A89"/>
    <w:rsid w:val="00C32A9B"/>
    <w:rsid w:val="00C32AA7"/>
    <w:rsid w:val="00C32CC4"/>
    <w:rsid w:val="00C32E7A"/>
    <w:rsid w:val="00C32F12"/>
    <w:rsid w:val="00C32FBE"/>
    <w:rsid w:val="00C3300A"/>
    <w:rsid w:val="00C33049"/>
    <w:rsid w:val="00C33112"/>
    <w:rsid w:val="00C3312A"/>
    <w:rsid w:val="00C3322C"/>
    <w:rsid w:val="00C33289"/>
    <w:rsid w:val="00C332FB"/>
    <w:rsid w:val="00C33308"/>
    <w:rsid w:val="00C33339"/>
    <w:rsid w:val="00C33394"/>
    <w:rsid w:val="00C333C3"/>
    <w:rsid w:val="00C333F9"/>
    <w:rsid w:val="00C3346D"/>
    <w:rsid w:val="00C334A8"/>
    <w:rsid w:val="00C334E4"/>
    <w:rsid w:val="00C3367E"/>
    <w:rsid w:val="00C336C3"/>
    <w:rsid w:val="00C339A0"/>
    <w:rsid w:val="00C33BD5"/>
    <w:rsid w:val="00C33C0E"/>
    <w:rsid w:val="00C33CD6"/>
    <w:rsid w:val="00C33D33"/>
    <w:rsid w:val="00C33D3D"/>
    <w:rsid w:val="00C33DAD"/>
    <w:rsid w:val="00C33DCF"/>
    <w:rsid w:val="00C33E13"/>
    <w:rsid w:val="00C33FF5"/>
    <w:rsid w:val="00C34005"/>
    <w:rsid w:val="00C34008"/>
    <w:rsid w:val="00C340FB"/>
    <w:rsid w:val="00C34114"/>
    <w:rsid w:val="00C341DA"/>
    <w:rsid w:val="00C3420F"/>
    <w:rsid w:val="00C342A6"/>
    <w:rsid w:val="00C34315"/>
    <w:rsid w:val="00C3431C"/>
    <w:rsid w:val="00C3453F"/>
    <w:rsid w:val="00C34547"/>
    <w:rsid w:val="00C346A0"/>
    <w:rsid w:val="00C3484A"/>
    <w:rsid w:val="00C348EB"/>
    <w:rsid w:val="00C34964"/>
    <w:rsid w:val="00C34AC7"/>
    <w:rsid w:val="00C34AF7"/>
    <w:rsid w:val="00C34C24"/>
    <w:rsid w:val="00C34C3A"/>
    <w:rsid w:val="00C34C82"/>
    <w:rsid w:val="00C34D7D"/>
    <w:rsid w:val="00C34D82"/>
    <w:rsid w:val="00C34E2C"/>
    <w:rsid w:val="00C34F86"/>
    <w:rsid w:val="00C34FA3"/>
    <w:rsid w:val="00C35113"/>
    <w:rsid w:val="00C35142"/>
    <w:rsid w:val="00C35143"/>
    <w:rsid w:val="00C3514B"/>
    <w:rsid w:val="00C3519D"/>
    <w:rsid w:val="00C351D7"/>
    <w:rsid w:val="00C3521A"/>
    <w:rsid w:val="00C352D2"/>
    <w:rsid w:val="00C35375"/>
    <w:rsid w:val="00C3539F"/>
    <w:rsid w:val="00C353A3"/>
    <w:rsid w:val="00C35496"/>
    <w:rsid w:val="00C35519"/>
    <w:rsid w:val="00C355D5"/>
    <w:rsid w:val="00C3560E"/>
    <w:rsid w:val="00C35659"/>
    <w:rsid w:val="00C35679"/>
    <w:rsid w:val="00C35705"/>
    <w:rsid w:val="00C35785"/>
    <w:rsid w:val="00C357B9"/>
    <w:rsid w:val="00C357D9"/>
    <w:rsid w:val="00C3593D"/>
    <w:rsid w:val="00C35CE1"/>
    <w:rsid w:val="00C35D21"/>
    <w:rsid w:val="00C35D43"/>
    <w:rsid w:val="00C35D76"/>
    <w:rsid w:val="00C35D8C"/>
    <w:rsid w:val="00C35E3E"/>
    <w:rsid w:val="00C35E70"/>
    <w:rsid w:val="00C35E8F"/>
    <w:rsid w:val="00C35ED0"/>
    <w:rsid w:val="00C35F47"/>
    <w:rsid w:val="00C35FFA"/>
    <w:rsid w:val="00C36029"/>
    <w:rsid w:val="00C36043"/>
    <w:rsid w:val="00C36048"/>
    <w:rsid w:val="00C364E5"/>
    <w:rsid w:val="00C365D7"/>
    <w:rsid w:val="00C3667B"/>
    <w:rsid w:val="00C36697"/>
    <w:rsid w:val="00C3677C"/>
    <w:rsid w:val="00C3679E"/>
    <w:rsid w:val="00C367B4"/>
    <w:rsid w:val="00C367C4"/>
    <w:rsid w:val="00C36803"/>
    <w:rsid w:val="00C36804"/>
    <w:rsid w:val="00C3680A"/>
    <w:rsid w:val="00C3685F"/>
    <w:rsid w:val="00C36A27"/>
    <w:rsid w:val="00C36AD5"/>
    <w:rsid w:val="00C36B27"/>
    <w:rsid w:val="00C36C5E"/>
    <w:rsid w:val="00C36CB6"/>
    <w:rsid w:val="00C36CC4"/>
    <w:rsid w:val="00C36D0B"/>
    <w:rsid w:val="00C36EDF"/>
    <w:rsid w:val="00C36F3F"/>
    <w:rsid w:val="00C36F46"/>
    <w:rsid w:val="00C36FD2"/>
    <w:rsid w:val="00C370CA"/>
    <w:rsid w:val="00C370CB"/>
    <w:rsid w:val="00C370FA"/>
    <w:rsid w:val="00C37236"/>
    <w:rsid w:val="00C37267"/>
    <w:rsid w:val="00C372A6"/>
    <w:rsid w:val="00C372E1"/>
    <w:rsid w:val="00C37377"/>
    <w:rsid w:val="00C373B3"/>
    <w:rsid w:val="00C373FC"/>
    <w:rsid w:val="00C3754B"/>
    <w:rsid w:val="00C37576"/>
    <w:rsid w:val="00C377E0"/>
    <w:rsid w:val="00C37806"/>
    <w:rsid w:val="00C3788E"/>
    <w:rsid w:val="00C3797A"/>
    <w:rsid w:val="00C37B99"/>
    <w:rsid w:val="00C37C15"/>
    <w:rsid w:val="00C37C57"/>
    <w:rsid w:val="00C37D41"/>
    <w:rsid w:val="00C40099"/>
    <w:rsid w:val="00C400DF"/>
    <w:rsid w:val="00C4035C"/>
    <w:rsid w:val="00C40364"/>
    <w:rsid w:val="00C40499"/>
    <w:rsid w:val="00C405F2"/>
    <w:rsid w:val="00C40643"/>
    <w:rsid w:val="00C4077F"/>
    <w:rsid w:val="00C407C5"/>
    <w:rsid w:val="00C4086E"/>
    <w:rsid w:val="00C409A4"/>
    <w:rsid w:val="00C40A96"/>
    <w:rsid w:val="00C40C4A"/>
    <w:rsid w:val="00C40C59"/>
    <w:rsid w:val="00C40CD4"/>
    <w:rsid w:val="00C40E26"/>
    <w:rsid w:val="00C40EA8"/>
    <w:rsid w:val="00C40EE1"/>
    <w:rsid w:val="00C40FC8"/>
    <w:rsid w:val="00C4100E"/>
    <w:rsid w:val="00C4101C"/>
    <w:rsid w:val="00C41119"/>
    <w:rsid w:val="00C41141"/>
    <w:rsid w:val="00C41226"/>
    <w:rsid w:val="00C41373"/>
    <w:rsid w:val="00C413F8"/>
    <w:rsid w:val="00C413FD"/>
    <w:rsid w:val="00C4152D"/>
    <w:rsid w:val="00C4169D"/>
    <w:rsid w:val="00C416B7"/>
    <w:rsid w:val="00C4170F"/>
    <w:rsid w:val="00C4173F"/>
    <w:rsid w:val="00C41745"/>
    <w:rsid w:val="00C417D4"/>
    <w:rsid w:val="00C417E8"/>
    <w:rsid w:val="00C41835"/>
    <w:rsid w:val="00C41889"/>
    <w:rsid w:val="00C41A65"/>
    <w:rsid w:val="00C41AEE"/>
    <w:rsid w:val="00C41BCE"/>
    <w:rsid w:val="00C41BD3"/>
    <w:rsid w:val="00C41C27"/>
    <w:rsid w:val="00C41C98"/>
    <w:rsid w:val="00C41CE7"/>
    <w:rsid w:val="00C41D5F"/>
    <w:rsid w:val="00C41E67"/>
    <w:rsid w:val="00C41EA5"/>
    <w:rsid w:val="00C41F8A"/>
    <w:rsid w:val="00C41F96"/>
    <w:rsid w:val="00C41FBD"/>
    <w:rsid w:val="00C42048"/>
    <w:rsid w:val="00C420BC"/>
    <w:rsid w:val="00C422D3"/>
    <w:rsid w:val="00C422D4"/>
    <w:rsid w:val="00C42395"/>
    <w:rsid w:val="00C42499"/>
    <w:rsid w:val="00C42549"/>
    <w:rsid w:val="00C42667"/>
    <w:rsid w:val="00C42780"/>
    <w:rsid w:val="00C428D8"/>
    <w:rsid w:val="00C428DF"/>
    <w:rsid w:val="00C42A32"/>
    <w:rsid w:val="00C42AF3"/>
    <w:rsid w:val="00C42AF7"/>
    <w:rsid w:val="00C42BD7"/>
    <w:rsid w:val="00C42BE4"/>
    <w:rsid w:val="00C42C2F"/>
    <w:rsid w:val="00C42EAB"/>
    <w:rsid w:val="00C430C3"/>
    <w:rsid w:val="00C431A0"/>
    <w:rsid w:val="00C431B6"/>
    <w:rsid w:val="00C431DB"/>
    <w:rsid w:val="00C43250"/>
    <w:rsid w:val="00C43289"/>
    <w:rsid w:val="00C4332E"/>
    <w:rsid w:val="00C4337F"/>
    <w:rsid w:val="00C433B4"/>
    <w:rsid w:val="00C43745"/>
    <w:rsid w:val="00C437F7"/>
    <w:rsid w:val="00C43817"/>
    <w:rsid w:val="00C43828"/>
    <w:rsid w:val="00C43887"/>
    <w:rsid w:val="00C438EA"/>
    <w:rsid w:val="00C43929"/>
    <w:rsid w:val="00C43961"/>
    <w:rsid w:val="00C4396B"/>
    <w:rsid w:val="00C4396D"/>
    <w:rsid w:val="00C439BD"/>
    <w:rsid w:val="00C43B06"/>
    <w:rsid w:val="00C43BC1"/>
    <w:rsid w:val="00C43C44"/>
    <w:rsid w:val="00C43C96"/>
    <w:rsid w:val="00C43D72"/>
    <w:rsid w:val="00C43DD4"/>
    <w:rsid w:val="00C43E73"/>
    <w:rsid w:val="00C43E7D"/>
    <w:rsid w:val="00C43ED8"/>
    <w:rsid w:val="00C43F7B"/>
    <w:rsid w:val="00C440AB"/>
    <w:rsid w:val="00C440AD"/>
    <w:rsid w:val="00C440E0"/>
    <w:rsid w:val="00C44251"/>
    <w:rsid w:val="00C442CA"/>
    <w:rsid w:val="00C443BE"/>
    <w:rsid w:val="00C445C4"/>
    <w:rsid w:val="00C445F6"/>
    <w:rsid w:val="00C446CC"/>
    <w:rsid w:val="00C44713"/>
    <w:rsid w:val="00C447E6"/>
    <w:rsid w:val="00C4496A"/>
    <w:rsid w:val="00C44A1E"/>
    <w:rsid w:val="00C44A89"/>
    <w:rsid w:val="00C44AAB"/>
    <w:rsid w:val="00C44BAF"/>
    <w:rsid w:val="00C44BC2"/>
    <w:rsid w:val="00C44E58"/>
    <w:rsid w:val="00C44EC9"/>
    <w:rsid w:val="00C44EEB"/>
    <w:rsid w:val="00C44F13"/>
    <w:rsid w:val="00C44FCA"/>
    <w:rsid w:val="00C450D9"/>
    <w:rsid w:val="00C4511E"/>
    <w:rsid w:val="00C4529C"/>
    <w:rsid w:val="00C45329"/>
    <w:rsid w:val="00C453B1"/>
    <w:rsid w:val="00C4572A"/>
    <w:rsid w:val="00C45761"/>
    <w:rsid w:val="00C45763"/>
    <w:rsid w:val="00C457A1"/>
    <w:rsid w:val="00C458BF"/>
    <w:rsid w:val="00C4597C"/>
    <w:rsid w:val="00C459EE"/>
    <w:rsid w:val="00C45A75"/>
    <w:rsid w:val="00C45A88"/>
    <w:rsid w:val="00C45AB8"/>
    <w:rsid w:val="00C45AD6"/>
    <w:rsid w:val="00C45B47"/>
    <w:rsid w:val="00C45B88"/>
    <w:rsid w:val="00C45BE6"/>
    <w:rsid w:val="00C45C48"/>
    <w:rsid w:val="00C45DDC"/>
    <w:rsid w:val="00C460A3"/>
    <w:rsid w:val="00C461B9"/>
    <w:rsid w:val="00C461E5"/>
    <w:rsid w:val="00C46221"/>
    <w:rsid w:val="00C46273"/>
    <w:rsid w:val="00C46344"/>
    <w:rsid w:val="00C4640C"/>
    <w:rsid w:val="00C46443"/>
    <w:rsid w:val="00C46487"/>
    <w:rsid w:val="00C464BC"/>
    <w:rsid w:val="00C464CD"/>
    <w:rsid w:val="00C465A7"/>
    <w:rsid w:val="00C465B9"/>
    <w:rsid w:val="00C4668F"/>
    <w:rsid w:val="00C466A0"/>
    <w:rsid w:val="00C466D2"/>
    <w:rsid w:val="00C466E9"/>
    <w:rsid w:val="00C466F0"/>
    <w:rsid w:val="00C46797"/>
    <w:rsid w:val="00C467ED"/>
    <w:rsid w:val="00C4688A"/>
    <w:rsid w:val="00C468CD"/>
    <w:rsid w:val="00C46A49"/>
    <w:rsid w:val="00C46ACC"/>
    <w:rsid w:val="00C46B71"/>
    <w:rsid w:val="00C46BF0"/>
    <w:rsid w:val="00C46D01"/>
    <w:rsid w:val="00C46D82"/>
    <w:rsid w:val="00C46E0A"/>
    <w:rsid w:val="00C46EA9"/>
    <w:rsid w:val="00C46F17"/>
    <w:rsid w:val="00C47042"/>
    <w:rsid w:val="00C47043"/>
    <w:rsid w:val="00C470FC"/>
    <w:rsid w:val="00C47163"/>
    <w:rsid w:val="00C472D6"/>
    <w:rsid w:val="00C4730F"/>
    <w:rsid w:val="00C47393"/>
    <w:rsid w:val="00C47395"/>
    <w:rsid w:val="00C473E2"/>
    <w:rsid w:val="00C4744A"/>
    <w:rsid w:val="00C47472"/>
    <w:rsid w:val="00C474B7"/>
    <w:rsid w:val="00C47576"/>
    <w:rsid w:val="00C475DF"/>
    <w:rsid w:val="00C4765C"/>
    <w:rsid w:val="00C476E2"/>
    <w:rsid w:val="00C4774F"/>
    <w:rsid w:val="00C47797"/>
    <w:rsid w:val="00C477DB"/>
    <w:rsid w:val="00C478B1"/>
    <w:rsid w:val="00C4798E"/>
    <w:rsid w:val="00C47B25"/>
    <w:rsid w:val="00C47B53"/>
    <w:rsid w:val="00C47B6A"/>
    <w:rsid w:val="00C47BCF"/>
    <w:rsid w:val="00C47C3A"/>
    <w:rsid w:val="00C47C5F"/>
    <w:rsid w:val="00C47C89"/>
    <w:rsid w:val="00C47CD0"/>
    <w:rsid w:val="00C47CF6"/>
    <w:rsid w:val="00C47D2E"/>
    <w:rsid w:val="00C47DF7"/>
    <w:rsid w:val="00C47E0D"/>
    <w:rsid w:val="00C47E49"/>
    <w:rsid w:val="00C47EC6"/>
    <w:rsid w:val="00C50038"/>
    <w:rsid w:val="00C50080"/>
    <w:rsid w:val="00C5008C"/>
    <w:rsid w:val="00C50092"/>
    <w:rsid w:val="00C500C3"/>
    <w:rsid w:val="00C500C4"/>
    <w:rsid w:val="00C50257"/>
    <w:rsid w:val="00C502D7"/>
    <w:rsid w:val="00C5040E"/>
    <w:rsid w:val="00C50490"/>
    <w:rsid w:val="00C50602"/>
    <w:rsid w:val="00C50664"/>
    <w:rsid w:val="00C506A9"/>
    <w:rsid w:val="00C5073F"/>
    <w:rsid w:val="00C508CD"/>
    <w:rsid w:val="00C50966"/>
    <w:rsid w:val="00C5099A"/>
    <w:rsid w:val="00C50A57"/>
    <w:rsid w:val="00C50BE9"/>
    <w:rsid w:val="00C50BED"/>
    <w:rsid w:val="00C50D0D"/>
    <w:rsid w:val="00C50D10"/>
    <w:rsid w:val="00C50D1C"/>
    <w:rsid w:val="00C50E32"/>
    <w:rsid w:val="00C50EC0"/>
    <w:rsid w:val="00C50FBD"/>
    <w:rsid w:val="00C5124A"/>
    <w:rsid w:val="00C51336"/>
    <w:rsid w:val="00C51390"/>
    <w:rsid w:val="00C51397"/>
    <w:rsid w:val="00C513AA"/>
    <w:rsid w:val="00C5148F"/>
    <w:rsid w:val="00C514BF"/>
    <w:rsid w:val="00C51531"/>
    <w:rsid w:val="00C51564"/>
    <w:rsid w:val="00C51577"/>
    <w:rsid w:val="00C516AD"/>
    <w:rsid w:val="00C516C6"/>
    <w:rsid w:val="00C516E4"/>
    <w:rsid w:val="00C5175A"/>
    <w:rsid w:val="00C517C9"/>
    <w:rsid w:val="00C51810"/>
    <w:rsid w:val="00C518A6"/>
    <w:rsid w:val="00C518D7"/>
    <w:rsid w:val="00C51907"/>
    <w:rsid w:val="00C5194E"/>
    <w:rsid w:val="00C51DC9"/>
    <w:rsid w:val="00C51E68"/>
    <w:rsid w:val="00C51E70"/>
    <w:rsid w:val="00C51EF8"/>
    <w:rsid w:val="00C51FEF"/>
    <w:rsid w:val="00C5206E"/>
    <w:rsid w:val="00C52085"/>
    <w:rsid w:val="00C520DD"/>
    <w:rsid w:val="00C52120"/>
    <w:rsid w:val="00C52174"/>
    <w:rsid w:val="00C521B1"/>
    <w:rsid w:val="00C52277"/>
    <w:rsid w:val="00C522DD"/>
    <w:rsid w:val="00C522F2"/>
    <w:rsid w:val="00C5241A"/>
    <w:rsid w:val="00C52477"/>
    <w:rsid w:val="00C524D5"/>
    <w:rsid w:val="00C525B1"/>
    <w:rsid w:val="00C52781"/>
    <w:rsid w:val="00C52926"/>
    <w:rsid w:val="00C5293E"/>
    <w:rsid w:val="00C529D5"/>
    <w:rsid w:val="00C52A09"/>
    <w:rsid w:val="00C52A21"/>
    <w:rsid w:val="00C52A71"/>
    <w:rsid w:val="00C52AC2"/>
    <w:rsid w:val="00C52AFB"/>
    <w:rsid w:val="00C52B66"/>
    <w:rsid w:val="00C52C90"/>
    <w:rsid w:val="00C52CF5"/>
    <w:rsid w:val="00C52D37"/>
    <w:rsid w:val="00C52E10"/>
    <w:rsid w:val="00C52E94"/>
    <w:rsid w:val="00C52F44"/>
    <w:rsid w:val="00C530F4"/>
    <w:rsid w:val="00C53171"/>
    <w:rsid w:val="00C531AC"/>
    <w:rsid w:val="00C531EE"/>
    <w:rsid w:val="00C532B3"/>
    <w:rsid w:val="00C532CA"/>
    <w:rsid w:val="00C53378"/>
    <w:rsid w:val="00C533A0"/>
    <w:rsid w:val="00C53483"/>
    <w:rsid w:val="00C534F5"/>
    <w:rsid w:val="00C535EF"/>
    <w:rsid w:val="00C536A0"/>
    <w:rsid w:val="00C537A9"/>
    <w:rsid w:val="00C5380B"/>
    <w:rsid w:val="00C53AAD"/>
    <w:rsid w:val="00C53B85"/>
    <w:rsid w:val="00C53C18"/>
    <w:rsid w:val="00C53C68"/>
    <w:rsid w:val="00C53D55"/>
    <w:rsid w:val="00C53D67"/>
    <w:rsid w:val="00C53DBB"/>
    <w:rsid w:val="00C53EF4"/>
    <w:rsid w:val="00C53FD2"/>
    <w:rsid w:val="00C53FDF"/>
    <w:rsid w:val="00C54098"/>
    <w:rsid w:val="00C540B3"/>
    <w:rsid w:val="00C540E6"/>
    <w:rsid w:val="00C5413D"/>
    <w:rsid w:val="00C54142"/>
    <w:rsid w:val="00C54278"/>
    <w:rsid w:val="00C542CE"/>
    <w:rsid w:val="00C542E5"/>
    <w:rsid w:val="00C54343"/>
    <w:rsid w:val="00C54394"/>
    <w:rsid w:val="00C54404"/>
    <w:rsid w:val="00C5449A"/>
    <w:rsid w:val="00C544B2"/>
    <w:rsid w:val="00C54572"/>
    <w:rsid w:val="00C5459E"/>
    <w:rsid w:val="00C54619"/>
    <w:rsid w:val="00C5467A"/>
    <w:rsid w:val="00C5468D"/>
    <w:rsid w:val="00C5468E"/>
    <w:rsid w:val="00C546D5"/>
    <w:rsid w:val="00C54703"/>
    <w:rsid w:val="00C54731"/>
    <w:rsid w:val="00C54878"/>
    <w:rsid w:val="00C5487D"/>
    <w:rsid w:val="00C548BB"/>
    <w:rsid w:val="00C54917"/>
    <w:rsid w:val="00C54B7D"/>
    <w:rsid w:val="00C54B82"/>
    <w:rsid w:val="00C54DF9"/>
    <w:rsid w:val="00C54E39"/>
    <w:rsid w:val="00C54E66"/>
    <w:rsid w:val="00C54E8A"/>
    <w:rsid w:val="00C55003"/>
    <w:rsid w:val="00C550E3"/>
    <w:rsid w:val="00C55103"/>
    <w:rsid w:val="00C5521C"/>
    <w:rsid w:val="00C552CA"/>
    <w:rsid w:val="00C553C5"/>
    <w:rsid w:val="00C5547E"/>
    <w:rsid w:val="00C55483"/>
    <w:rsid w:val="00C554F2"/>
    <w:rsid w:val="00C55588"/>
    <w:rsid w:val="00C555A0"/>
    <w:rsid w:val="00C55605"/>
    <w:rsid w:val="00C5588D"/>
    <w:rsid w:val="00C55985"/>
    <w:rsid w:val="00C559E0"/>
    <w:rsid w:val="00C559E7"/>
    <w:rsid w:val="00C559F5"/>
    <w:rsid w:val="00C55A12"/>
    <w:rsid w:val="00C55A48"/>
    <w:rsid w:val="00C55AE0"/>
    <w:rsid w:val="00C55B48"/>
    <w:rsid w:val="00C55BCB"/>
    <w:rsid w:val="00C55CB0"/>
    <w:rsid w:val="00C55DBA"/>
    <w:rsid w:val="00C55EC4"/>
    <w:rsid w:val="00C55ECC"/>
    <w:rsid w:val="00C55F32"/>
    <w:rsid w:val="00C55FDA"/>
    <w:rsid w:val="00C56162"/>
    <w:rsid w:val="00C56248"/>
    <w:rsid w:val="00C5642F"/>
    <w:rsid w:val="00C56475"/>
    <w:rsid w:val="00C565B1"/>
    <w:rsid w:val="00C56679"/>
    <w:rsid w:val="00C568BA"/>
    <w:rsid w:val="00C568C9"/>
    <w:rsid w:val="00C56966"/>
    <w:rsid w:val="00C569A7"/>
    <w:rsid w:val="00C569CD"/>
    <w:rsid w:val="00C56A6E"/>
    <w:rsid w:val="00C56AE6"/>
    <w:rsid w:val="00C56BB6"/>
    <w:rsid w:val="00C56C28"/>
    <w:rsid w:val="00C56C42"/>
    <w:rsid w:val="00C56CB6"/>
    <w:rsid w:val="00C56CD6"/>
    <w:rsid w:val="00C56D95"/>
    <w:rsid w:val="00C56DC4"/>
    <w:rsid w:val="00C56F36"/>
    <w:rsid w:val="00C570AC"/>
    <w:rsid w:val="00C5718D"/>
    <w:rsid w:val="00C571E4"/>
    <w:rsid w:val="00C57245"/>
    <w:rsid w:val="00C57338"/>
    <w:rsid w:val="00C5737A"/>
    <w:rsid w:val="00C5737C"/>
    <w:rsid w:val="00C573EA"/>
    <w:rsid w:val="00C57421"/>
    <w:rsid w:val="00C57480"/>
    <w:rsid w:val="00C575DD"/>
    <w:rsid w:val="00C57631"/>
    <w:rsid w:val="00C57639"/>
    <w:rsid w:val="00C57721"/>
    <w:rsid w:val="00C57733"/>
    <w:rsid w:val="00C5787A"/>
    <w:rsid w:val="00C5798D"/>
    <w:rsid w:val="00C579BB"/>
    <w:rsid w:val="00C57B9D"/>
    <w:rsid w:val="00C57C78"/>
    <w:rsid w:val="00C57D23"/>
    <w:rsid w:val="00C57E00"/>
    <w:rsid w:val="00C57E5E"/>
    <w:rsid w:val="00C57E84"/>
    <w:rsid w:val="00C57F1C"/>
    <w:rsid w:val="00C57FDE"/>
    <w:rsid w:val="00C60059"/>
    <w:rsid w:val="00C60144"/>
    <w:rsid w:val="00C601A3"/>
    <w:rsid w:val="00C60207"/>
    <w:rsid w:val="00C602B3"/>
    <w:rsid w:val="00C60377"/>
    <w:rsid w:val="00C60499"/>
    <w:rsid w:val="00C6056D"/>
    <w:rsid w:val="00C60576"/>
    <w:rsid w:val="00C60604"/>
    <w:rsid w:val="00C60677"/>
    <w:rsid w:val="00C606FF"/>
    <w:rsid w:val="00C6075F"/>
    <w:rsid w:val="00C607B0"/>
    <w:rsid w:val="00C60837"/>
    <w:rsid w:val="00C60867"/>
    <w:rsid w:val="00C60913"/>
    <w:rsid w:val="00C60A3A"/>
    <w:rsid w:val="00C60A96"/>
    <w:rsid w:val="00C60B4F"/>
    <w:rsid w:val="00C60B5B"/>
    <w:rsid w:val="00C60C96"/>
    <w:rsid w:val="00C60CD5"/>
    <w:rsid w:val="00C60D27"/>
    <w:rsid w:val="00C60E3F"/>
    <w:rsid w:val="00C60F26"/>
    <w:rsid w:val="00C60FC4"/>
    <w:rsid w:val="00C60FE5"/>
    <w:rsid w:val="00C6102A"/>
    <w:rsid w:val="00C61044"/>
    <w:rsid w:val="00C61117"/>
    <w:rsid w:val="00C61190"/>
    <w:rsid w:val="00C6128E"/>
    <w:rsid w:val="00C61299"/>
    <w:rsid w:val="00C612EA"/>
    <w:rsid w:val="00C61318"/>
    <w:rsid w:val="00C614FB"/>
    <w:rsid w:val="00C6154D"/>
    <w:rsid w:val="00C615D1"/>
    <w:rsid w:val="00C616D0"/>
    <w:rsid w:val="00C6175F"/>
    <w:rsid w:val="00C61776"/>
    <w:rsid w:val="00C61869"/>
    <w:rsid w:val="00C6187C"/>
    <w:rsid w:val="00C618C9"/>
    <w:rsid w:val="00C61942"/>
    <w:rsid w:val="00C6194F"/>
    <w:rsid w:val="00C619B8"/>
    <w:rsid w:val="00C61A50"/>
    <w:rsid w:val="00C61B79"/>
    <w:rsid w:val="00C61BD4"/>
    <w:rsid w:val="00C61BDC"/>
    <w:rsid w:val="00C61BF0"/>
    <w:rsid w:val="00C61C9D"/>
    <w:rsid w:val="00C61D19"/>
    <w:rsid w:val="00C61E19"/>
    <w:rsid w:val="00C61E33"/>
    <w:rsid w:val="00C61FA2"/>
    <w:rsid w:val="00C61FDB"/>
    <w:rsid w:val="00C61FE4"/>
    <w:rsid w:val="00C620D4"/>
    <w:rsid w:val="00C620E7"/>
    <w:rsid w:val="00C621A0"/>
    <w:rsid w:val="00C62223"/>
    <w:rsid w:val="00C62227"/>
    <w:rsid w:val="00C6223A"/>
    <w:rsid w:val="00C622CC"/>
    <w:rsid w:val="00C62401"/>
    <w:rsid w:val="00C6241A"/>
    <w:rsid w:val="00C62435"/>
    <w:rsid w:val="00C62472"/>
    <w:rsid w:val="00C624DE"/>
    <w:rsid w:val="00C6255A"/>
    <w:rsid w:val="00C625C2"/>
    <w:rsid w:val="00C625E9"/>
    <w:rsid w:val="00C62652"/>
    <w:rsid w:val="00C628CC"/>
    <w:rsid w:val="00C6295F"/>
    <w:rsid w:val="00C62A28"/>
    <w:rsid w:val="00C62AAB"/>
    <w:rsid w:val="00C62AF0"/>
    <w:rsid w:val="00C62B09"/>
    <w:rsid w:val="00C62B15"/>
    <w:rsid w:val="00C62B70"/>
    <w:rsid w:val="00C62BE4"/>
    <w:rsid w:val="00C62C45"/>
    <w:rsid w:val="00C62CA6"/>
    <w:rsid w:val="00C62CAE"/>
    <w:rsid w:val="00C62D68"/>
    <w:rsid w:val="00C62E01"/>
    <w:rsid w:val="00C62FD9"/>
    <w:rsid w:val="00C62FEC"/>
    <w:rsid w:val="00C63110"/>
    <w:rsid w:val="00C631E7"/>
    <w:rsid w:val="00C6322C"/>
    <w:rsid w:val="00C6325F"/>
    <w:rsid w:val="00C63296"/>
    <w:rsid w:val="00C63368"/>
    <w:rsid w:val="00C633F8"/>
    <w:rsid w:val="00C635B9"/>
    <w:rsid w:val="00C63661"/>
    <w:rsid w:val="00C6367D"/>
    <w:rsid w:val="00C6368F"/>
    <w:rsid w:val="00C636EA"/>
    <w:rsid w:val="00C63774"/>
    <w:rsid w:val="00C63843"/>
    <w:rsid w:val="00C63849"/>
    <w:rsid w:val="00C63934"/>
    <w:rsid w:val="00C63943"/>
    <w:rsid w:val="00C6395A"/>
    <w:rsid w:val="00C63987"/>
    <w:rsid w:val="00C63A7F"/>
    <w:rsid w:val="00C63ADD"/>
    <w:rsid w:val="00C63BE2"/>
    <w:rsid w:val="00C63C06"/>
    <w:rsid w:val="00C63C3A"/>
    <w:rsid w:val="00C63C72"/>
    <w:rsid w:val="00C63CF1"/>
    <w:rsid w:val="00C63CFA"/>
    <w:rsid w:val="00C63EF6"/>
    <w:rsid w:val="00C63F20"/>
    <w:rsid w:val="00C63FE0"/>
    <w:rsid w:val="00C640A6"/>
    <w:rsid w:val="00C6415B"/>
    <w:rsid w:val="00C64187"/>
    <w:rsid w:val="00C64222"/>
    <w:rsid w:val="00C64295"/>
    <w:rsid w:val="00C645F7"/>
    <w:rsid w:val="00C64701"/>
    <w:rsid w:val="00C64715"/>
    <w:rsid w:val="00C6472C"/>
    <w:rsid w:val="00C64813"/>
    <w:rsid w:val="00C6491A"/>
    <w:rsid w:val="00C6494F"/>
    <w:rsid w:val="00C64A2C"/>
    <w:rsid w:val="00C64B3B"/>
    <w:rsid w:val="00C64B42"/>
    <w:rsid w:val="00C64B8F"/>
    <w:rsid w:val="00C64C24"/>
    <w:rsid w:val="00C64CC5"/>
    <w:rsid w:val="00C64CDA"/>
    <w:rsid w:val="00C64D59"/>
    <w:rsid w:val="00C64D8D"/>
    <w:rsid w:val="00C64DAD"/>
    <w:rsid w:val="00C64E1A"/>
    <w:rsid w:val="00C64EBA"/>
    <w:rsid w:val="00C64EF3"/>
    <w:rsid w:val="00C64F0F"/>
    <w:rsid w:val="00C64F10"/>
    <w:rsid w:val="00C64F94"/>
    <w:rsid w:val="00C64FBC"/>
    <w:rsid w:val="00C65025"/>
    <w:rsid w:val="00C6504D"/>
    <w:rsid w:val="00C650DD"/>
    <w:rsid w:val="00C65112"/>
    <w:rsid w:val="00C6523F"/>
    <w:rsid w:val="00C65250"/>
    <w:rsid w:val="00C653D3"/>
    <w:rsid w:val="00C653E5"/>
    <w:rsid w:val="00C65453"/>
    <w:rsid w:val="00C65559"/>
    <w:rsid w:val="00C65603"/>
    <w:rsid w:val="00C65637"/>
    <w:rsid w:val="00C65656"/>
    <w:rsid w:val="00C65774"/>
    <w:rsid w:val="00C65825"/>
    <w:rsid w:val="00C658A6"/>
    <w:rsid w:val="00C6597C"/>
    <w:rsid w:val="00C65A6F"/>
    <w:rsid w:val="00C65B13"/>
    <w:rsid w:val="00C65B62"/>
    <w:rsid w:val="00C65D08"/>
    <w:rsid w:val="00C65D33"/>
    <w:rsid w:val="00C65DA5"/>
    <w:rsid w:val="00C65DE4"/>
    <w:rsid w:val="00C65E99"/>
    <w:rsid w:val="00C65F30"/>
    <w:rsid w:val="00C65FA0"/>
    <w:rsid w:val="00C6627B"/>
    <w:rsid w:val="00C66301"/>
    <w:rsid w:val="00C66334"/>
    <w:rsid w:val="00C663BC"/>
    <w:rsid w:val="00C663E2"/>
    <w:rsid w:val="00C664A6"/>
    <w:rsid w:val="00C6652C"/>
    <w:rsid w:val="00C6654C"/>
    <w:rsid w:val="00C6654F"/>
    <w:rsid w:val="00C665EB"/>
    <w:rsid w:val="00C666F3"/>
    <w:rsid w:val="00C66802"/>
    <w:rsid w:val="00C66858"/>
    <w:rsid w:val="00C668B1"/>
    <w:rsid w:val="00C66918"/>
    <w:rsid w:val="00C6691C"/>
    <w:rsid w:val="00C669C5"/>
    <w:rsid w:val="00C669D6"/>
    <w:rsid w:val="00C66B1B"/>
    <w:rsid w:val="00C66B44"/>
    <w:rsid w:val="00C66B90"/>
    <w:rsid w:val="00C66DDD"/>
    <w:rsid w:val="00C66F09"/>
    <w:rsid w:val="00C66F73"/>
    <w:rsid w:val="00C67068"/>
    <w:rsid w:val="00C671EF"/>
    <w:rsid w:val="00C67202"/>
    <w:rsid w:val="00C67263"/>
    <w:rsid w:val="00C672D4"/>
    <w:rsid w:val="00C6731A"/>
    <w:rsid w:val="00C67456"/>
    <w:rsid w:val="00C675B9"/>
    <w:rsid w:val="00C676D1"/>
    <w:rsid w:val="00C677C0"/>
    <w:rsid w:val="00C6780E"/>
    <w:rsid w:val="00C67879"/>
    <w:rsid w:val="00C679FC"/>
    <w:rsid w:val="00C67AD3"/>
    <w:rsid w:val="00C67B0A"/>
    <w:rsid w:val="00C67B59"/>
    <w:rsid w:val="00C67B5F"/>
    <w:rsid w:val="00C67BE5"/>
    <w:rsid w:val="00C67C2F"/>
    <w:rsid w:val="00C67D0A"/>
    <w:rsid w:val="00C67D31"/>
    <w:rsid w:val="00C67EF3"/>
    <w:rsid w:val="00C67FA8"/>
    <w:rsid w:val="00C67FD3"/>
    <w:rsid w:val="00C700AE"/>
    <w:rsid w:val="00C700BD"/>
    <w:rsid w:val="00C701A9"/>
    <w:rsid w:val="00C701B2"/>
    <w:rsid w:val="00C701DD"/>
    <w:rsid w:val="00C70202"/>
    <w:rsid w:val="00C70264"/>
    <w:rsid w:val="00C70330"/>
    <w:rsid w:val="00C70464"/>
    <w:rsid w:val="00C70475"/>
    <w:rsid w:val="00C7048E"/>
    <w:rsid w:val="00C704B9"/>
    <w:rsid w:val="00C704D8"/>
    <w:rsid w:val="00C704EA"/>
    <w:rsid w:val="00C7065C"/>
    <w:rsid w:val="00C7078D"/>
    <w:rsid w:val="00C707C0"/>
    <w:rsid w:val="00C707EC"/>
    <w:rsid w:val="00C70900"/>
    <w:rsid w:val="00C7090D"/>
    <w:rsid w:val="00C70AF3"/>
    <w:rsid w:val="00C70B54"/>
    <w:rsid w:val="00C70BB6"/>
    <w:rsid w:val="00C70C96"/>
    <w:rsid w:val="00C70CDC"/>
    <w:rsid w:val="00C70D82"/>
    <w:rsid w:val="00C70E5D"/>
    <w:rsid w:val="00C70E9D"/>
    <w:rsid w:val="00C70ED5"/>
    <w:rsid w:val="00C70F7F"/>
    <w:rsid w:val="00C71024"/>
    <w:rsid w:val="00C71068"/>
    <w:rsid w:val="00C710F6"/>
    <w:rsid w:val="00C710FB"/>
    <w:rsid w:val="00C7110C"/>
    <w:rsid w:val="00C7112C"/>
    <w:rsid w:val="00C7114A"/>
    <w:rsid w:val="00C71159"/>
    <w:rsid w:val="00C7118A"/>
    <w:rsid w:val="00C711F4"/>
    <w:rsid w:val="00C712D9"/>
    <w:rsid w:val="00C71300"/>
    <w:rsid w:val="00C71378"/>
    <w:rsid w:val="00C713D7"/>
    <w:rsid w:val="00C7141C"/>
    <w:rsid w:val="00C71437"/>
    <w:rsid w:val="00C71442"/>
    <w:rsid w:val="00C7146E"/>
    <w:rsid w:val="00C7150A"/>
    <w:rsid w:val="00C71614"/>
    <w:rsid w:val="00C71646"/>
    <w:rsid w:val="00C71758"/>
    <w:rsid w:val="00C717E9"/>
    <w:rsid w:val="00C717FA"/>
    <w:rsid w:val="00C71971"/>
    <w:rsid w:val="00C71973"/>
    <w:rsid w:val="00C7198F"/>
    <w:rsid w:val="00C719E4"/>
    <w:rsid w:val="00C71AD0"/>
    <w:rsid w:val="00C71AE5"/>
    <w:rsid w:val="00C71AF8"/>
    <w:rsid w:val="00C71B33"/>
    <w:rsid w:val="00C71C4D"/>
    <w:rsid w:val="00C71C57"/>
    <w:rsid w:val="00C71D49"/>
    <w:rsid w:val="00C71DE7"/>
    <w:rsid w:val="00C71EEF"/>
    <w:rsid w:val="00C71FB8"/>
    <w:rsid w:val="00C72088"/>
    <w:rsid w:val="00C7221C"/>
    <w:rsid w:val="00C722B0"/>
    <w:rsid w:val="00C722E5"/>
    <w:rsid w:val="00C7234E"/>
    <w:rsid w:val="00C723C1"/>
    <w:rsid w:val="00C7246A"/>
    <w:rsid w:val="00C724DE"/>
    <w:rsid w:val="00C725BF"/>
    <w:rsid w:val="00C72640"/>
    <w:rsid w:val="00C726AD"/>
    <w:rsid w:val="00C726B7"/>
    <w:rsid w:val="00C72780"/>
    <w:rsid w:val="00C72865"/>
    <w:rsid w:val="00C729BE"/>
    <w:rsid w:val="00C72AB9"/>
    <w:rsid w:val="00C72B0C"/>
    <w:rsid w:val="00C72D03"/>
    <w:rsid w:val="00C72E11"/>
    <w:rsid w:val="00C72E23"/>
    <w:rsid w:val="00C72EEA"/>
    <w:rsid w:val="00C72F20"/>
    <w:rsid w:val="00C72F31"/>
    <w:rsid w:val="00C72F53"/>
    <w:rsid w:val="00C72FFE"/>
    <w:rsid w:val="00C7301D"/>
    <w:rsid w:val="00C73131"/>
    <w:rsid w:val="00C73159"/>
    <w:rsid w:val="00C73181"/>
    <w:rsid w:val="00C73439"/>
    <w:rsid w:val="00C73512"/>
    <w:rsid w:val="00C735D8"/>
    <w:rsid w:val="00C735E6"/>
    <w:rsid w:val="00C736BA"/>
    <w:rsid w:val="00C73782"/>
    <w:rsid w:val="00C73872"/>
    <w:rsid w:val="00C738DE"/>
    <w:rsid w:val="00C7391B"/>
    <w:rsid w:val="00C73A03"/>
    <w:rsid w:val="00C73A16"/>
    <w:rsid w:val="00C73A34"/>
    <w:rsid w:val="00C73A38"/>
    <w:rsid w:val="00C73A7A"/>
    <w:rsid w:val="00C73B1F"/>
    <w:rsid w:val="00C73B2B"/>
    <w:rsid w:val="00C73BCE"/>
    <w:rsid w:val="00C73C57"/>
    <w:rsid w:val="00C73CED"/>
    <w:rsid w:val="00C73D67"/>
    <w:rsid w:val="00C73DEB"/>
    <w:rsid w:val="00C73F58"/>
    <w:rsid w:val="00C73FCA"/>
    <w:rsid w:val="00C73FF0"/>
    <w:rsid w:val="00C73FFD"/>
    <w:rsid w:val="00C740DC"/>
    <w:rsid w:val="00C74198"/>
    <w:rsid w:val="00C741DD"/>
    <w:rsid w:val="00C74223"/>
    <w:rsid w:val="00C74241"/>
    <w:rsid w:val="00C742D6"/>
    <w:rsid w:val="00C74312"/>
    <w:rsid w:val="00C74323"/>
    <w:rsid w:val="00C74391"/>
    <w:rsid w:val="00C7445F"/>
    <w:rsid w:val="00C744E9"/>
    <w:rsid w:val="00C746FA"/>
    <w:rsid w:val="00C74774"/>
    <w:rsid w:val="00C747EF"/>
    <w:rsid w:val="00C7481B"/>
    <w:rsid w:val="00C7493B"/>
    <w:rsid w:val="00C749DA"/>
    <w:rsid w:val="00C74A59"/>
    <w:rsid w:val="00C74A7E"/>
    <w:rsid w:val="00C74A9E"/>
    <w:rsid w:val="00C74D46"/>
    <w:rsid w:val="00C74D8A"/>
    <w:rsid w:val="00C74F00"/>
    <w:rsid w:val="00C74F2F"/>
    <w:rsid w:val="00C74F44"/>
    <w:rsid w:val="00C74FD5"/>
    <w:rsid w:val="00C75025"/>
    <w:rsid w:val="00C75033"/>
    <w:rsid w:val="00C751C0"/>
    <w:rsid w:val="00C7520F"/>
    <w:rsid w:val="00C754A2"/>
    <w:rsid w:val="00C754DA"/>
    <w:rsid w:val="00C754E8"/>
    <w:rsid w:val="00C754F0"/>
    <w:rsid w:val="00C755EC"/>
    <w:rsid w:val="00C756EF"/>
    <w:rsid w:val="00C7584D"/>
    <w:rsid w:val="00C7589C"/>
    <w:rsid w:val="00C75958"/>
    <w:rsid w:val="00C759FC"/>
    <w:rsid w:val="00C75A84"/>
    <w:rsid w:val="00C75C0B"/>
    <w:rsid w:val="00C75C20"/>
    <w:rsid w:val="00C75CD4"/>
    <w:rsid w:val="00C75D4E"/>
    <w:rsid w:val="00C75D8A"/>
    <w:rsid w:val="00C75DA5"/>
    <w:rsid w:val="00C75DD8"/>
    <w:rsid w:val="00C75EC0"/>
    <w:rsid w:val="00C75ECE"/>
    <w:rsid w:val="00C760EC"/>
    <w:rsid w:val="00C7617F"/>
    <w:rsid w:val="00C76193"/>
    <w:rsid w:val="00C76244"/>
    <w:rsid w:val="00C7629C"/>
    <w:rsid w:val="00C76333"/>
    <w:rsid w:val="00C76358"/>
    <w:rsid w:val="00C7635D"/>
    <w:rsid w:val="00C76591"/>
    <w:rsid w:val="00C76653"/>
    <w:rsid w:val="00C767B3"/>
    <w:rsid w:val="00C767E5"/>
    <w:rsid w:val="00C76951"/>
    <w:rsid w:val="00C76970"/>
    <w:rsid w:val="00C76B1B"/>
    <w:rsid w:val="00C76B83"/>
    <w:rsid w:val="00C76BEC"/>
    <w:rsid w:val="00C76BF0"/>
    <w:rsid w:val="00C76BF8"/>
    <w:rsid w:val="00C76C1B"/>
    <w:rsid w:val="00C76C97"/>
    <w:rsid w:val="00C76D56"/>
    <w:rsid w:val="00C76ECD"/>
    <w:rsid w:val="00C76ED3"/>
    <w:rsid w:val="00C77048"/>
    <w:rsid w:val="00C7707D"/>
    <w:rsid w:val="00C770AD"/>
    <w:rsid w:val="00C7710D"/>
    <w:rsid w:val="00C771A6"/>
    <w:rsid w:val="00C771FF"/>
    <w:rsid w:val="00C77403"/>
    <w:rsid w:val="00C77444"/>
    <w:rsid w:val="00C7748A"/>
    <w:rsid w:val="00C774F3"/>
    <w:rsid w:val="00C775B5"/>
    <w:rsid w:val="00C77638"/>
    <w:rsid w:val="00C776CC"/>
    <w:rsid w:val="00C77B8C"/>
    <w:rsid w:val="00C77C3F"/>
    <w:rsid w:val="00C77C7A"/>
    <w:rsid w:val="00C77D25"/>
    <w:rsid w:val="00C77E4E"/>
    <w:rsid w:val="00C77F8B"/>
    <w:rsid w:val="00C77F92"/>
    <w:rsid w:val="00C77FEC"/>
    <w:rsid w:val="00C8001A"/>
    <w:rsid w:val="00C80050"/>
    <w:rsid w:val="00C800A5"/>
    <w:rsid w:val="00C80125"/>
    <w:rsid w:val="00C80209"/>
    <w:rsid w:val="00C8028F"/>
    <w:rsid w:val="00C802DF"/>
    <w:rsid w:val="00C803BB"/>
    <w:rsid w:val="00C804DF"/>
    <w:rsid w:val="00C804E6"/>
    <w:rsid w:val="00C80504"/>
    <w:rsid w:val="00C80537"/>
    <w:rsid w:val="00C805C4"/>
    <w:rsid w:val="00C805F2"/>
    <w:rsid w:val="00C806E1"/>
    <w:rsid w:val="00C80775"/>
    <w:rsid w:val="00C8077D"/>
    <w:rsid w:val="00C8080B"/>
    <w:rsid w:val="00C80829"/>
    <w:rsid w:val="00C80936"/>
    <w:rsid w:val="00C80984"/>
    <w:rsid w:val="00C80A01"/>
    <w:rsid w:val="00C80A2E"/>
    <w:rsid w:val="00C80A7E"/>
    <w:rsid w:val="00C80AC5"/>
    <w:rsid w:val="00C80BAE"/>
    <w:rsid w:val="00C80BC3"/>
    <w:rsid w:val="00C80C0B"/>
    <w:rsid w:val="00C80C13"/>
    <w:rsid w:val="00C80DBC"/>
    <w:rsid w:val="00C80E08"/>
    <w:rsid w:val="00C80E3A"/>
    <w:rsid w:val="00C80E79"/>
    <w:rsid w:val="00C80EE2"/>
    <w:rsid w:val="00C80F92"/>
    <w:rsid w:val="00C81033"/>
    <w:rsid w:val="00C81355"/>
    <w:rsid w:val="00C81370"/>
    <w:rsid w:val="00C81394"/>
    <w:rsid w:val="00C8139C"/>
    <w:rsid w:val="00C813E3"/>
    <w:rsid w:val="00C8142D"/>
    <w:rsid w:val="00C81452"/>
    <w:rsid w:val="00C81603"/>
    <w:rsid w:val="00C81639"/>
    <w:rsid w:val="00C8163A"/>
    <w:rsid w:val="00C8165A"/>
    <w:rsid w:val="00C8167E"/>
    <w:rsid w:val="00C81827"/>
    <w:rsid w:val="00C818A7"/>
    <w:rsid w:val="00C81A0C"/>
    <w:rsid w:val="00C81A26"/>
    <w:rsid w:val="00C81A5A"/>
    <w:rsid w:val="00C81A7E"/>
    <w:rsid w:val="00C81B2E"/>
    <w:rsid w:val="00C81B30"/>
    <w:rsid w:val="00C81B34"/>
    <w:rsid w:val="00C81CA4"/>
    <w:rsid w:val="00C81DFE"/>
    <w:rsid w:val="00C821AD"/>
    <w:rsid w:val="00C82259"/>
    <w:rsid w:val="00C822C5"/>
    <w:rsid w:val="00C8234C"/>
    <w:rsid w:val="00C823D4"/>
    <w:rsid w:val="00C82426"/>
    <w:rsid w:val="00C824E5"/>
    <w:rsid w:val="00C824F8"/>
    <w:rsid w:val="00C8268C"/>
    <w:rsid w:val="00C827B9"/>
    <w:rsid w:val="00C827C0"/>
    <w:rsid w:val="00C828BA"/>
    <w:rsid w:val="00C828D5"/>
    <w:rsid w:val="00C82974"/>
    <w:rsid w:val="00C829BB"/>
    <w:rsid w:val="00C82AD9"/>
    <w:rsid w:val="00C82BA0"/>
    <w:rsid w:val="00C82BB8"/>
    <w:rsid w:val="00C82C80"/>
    <w:rsid w:val="00C82CB0"/>
    <w:rsid w:val="00C82D54"/>
    <w:rsid w:val="00C82DF3"/>
    <w:rsid w:val="00C82E60"/>
    <w:rsid w:val="00C82E7B"/>
    <w:rsid w:val="00C82E7E"/>
    <w:rsid w:val="00C82F04"/>
    <w:rsid w:val="00C82F1C"/>
    <w:rsid w:val="00C82F1F"/>
    <w:rsid w:val="00C82F82"/>
    <w:rsid w:val="00C8304D"/>
    <w:rsid w:val="00C83057"/>
    <w:rsid w:val="00C83058"/>
    <w:rsid w:val="00C8305D"/>
    <w:rsid w:val="00C830D6"/>
    <w:rsid w:val="00C83271"/>
    <w:rsid w:val="00C8333B"/>
    <w:rsid w:val="00C83366"/>
    <w:rsid w:val="00C833CE"/>
    <w:rsid w:val="00C83461"/>
    <w:rsid w:val="00C834E0"/>
    <w:rsid w:val="00C834F2"/>
    <w:rsid w:val="00C8356F"/>
    <w:rsid w:val="00C83585"/>
    <w:rsid w:val="00C8363A"/>
    <w:rsid w:val="00C8374E"/>
    <w:rsid w:val="00C838AC"/>
    <w:rsid w:val="00C839E8"/>
    <w:rsid w:val="00C83A44"/>
    <w:rsid w:val="00C83B20"/>
    <w:rsid w:val="00C83B8F"/>
    <w:rsid w:val="00C83B96"/>
    <w:rsid w:val="00C83B9C"/>
    <w:rsid w:val="00C83CCB"/>
    <w:rsid w:val="00C83D06"/>
    <w:rsid w:val="00C83D65"/>
    <w:rsid w:val="00C83E11"/>
    <w:rsid w:val="00C83E1E"/>
    <w:rsid w:val="00C83E97"/>
    <w:rsid w:val="00C83F0E"/>
    <w:rsid w:val="00C83F7E"/>
    <w:rsid w:val="00C83F9D"/>
    <w:rsid w:val="00C8411D"/>
    <w:rsid w:val="00C84194"/>
    <w:rsid w:val="00C84198"/>
    <w:rsid w:val="00C841DA"/>
    <w:rsid w:val="00C842B8"/>
    <w:rsid w:val="00C84360"/>
    <w:rsid w:val="00C843A7"/>
    <w:rsid w:val="00C843BA"/>
    <w:rsid w:val="00C844C2"/>
    <w:rsid w:val="00C844E6"/>
    <w:rsid w:val="00C84570"/>
    <w:rsid w:val="00C845D1"/>
    <w:rsid w:val="00C845EF"/>
    <w:rsid w:val="00C84671"/>
    <w:rsid w:val="00C846F2"/>
    <w:rsid w:val="00C8470A"/>
    <w:rsid w:val="00C84717"/>
    <w:rsid w:val="00C84734"/>
    <w:rsid w:val="00C84758"/>
    <w:rsid w:val="00C84774"/>
    <w:rsid w:val="00C8488C"/>
    <w:rsid w:val="00C848E2"/>
    <w:rsid w:val="00C848E3"/>
    <w:rsid w:val="00C8498B"/>
    <w:rsid w:val="00C849C8"/>
    <w:rsid w:val="00C84A02"/>
    <w:rsid w:val="00C84A97"/>
    <w:rsid w:val="00C84AA4"/>
    <w:rsid w:val="00C84B1D"/>
    <w:rsid w:val="00C84C1B"/>
    <w:rsid w:val="00C84C21"/>
    <w:rsid w:val="00C84DA2"/>
    <w:rsid w:val="00C84EE8"/>
    <w:rsid w:val="00C850D0"/>
    <w:rsid w:val="00C850E4"/>
    <w:rsid w:val="00C8517A"/>
    <w:rsid w:val="00C851B2"/>
    <w:rsid w:val="00C851E1"/>
    <w:rsid w:val="00C85233"/>
    <w:rsid w:val="00C85248"/>
    <w:rsid w:val="00C852B0"/>
    <w:rsid w:val="00C8539C"/>
    <w:rsid w:val="00C853CE"/>
    <w:rsid w:val="00C85559"/>
    <w:rsid w:val="00C857E3"/>
    <w:rsid w:val="00C8587D"/>
    <w:rsid w:val="00C85892"/>
    <w:rsid w:val="00C85914"/>
    <w:rsid w:val="00C85A3C"/>
    <w:rsid w:val="00C85A8E"/>
    <w:rsid w:val="00C85B1F"/>
    <w:rsid w:val="00C85CA8"/>
    <w:rsid w:val="00C85E1D"/>
    <w:rsid w:val="00C85E4E"/>
    <w:rsid w:val="00C85ED3"/>
    <w:rsid w:val="00C85F94"/>
    <w:rsid w:val="00C85F95"/>
    <w:rsid w:val="00C860C3"/>
    <w:rsid w:val="00C86164"/>
    <w:rsid w:val="00C861EF"/>
    <w:rsid w:val="00C86263"/>
    <w:rsid w:val="00C86271"/>
    <w:rsid w:val="00C863CA"/>
    <w:rsid w:val="00C86414"/>
    <w:rsid w:val="00C864A8"/>
    <w:rsid w:val="00C86603"/>
    <w:rsid w:val="00C86629"/>
    <w:rsid w:val="00C86691"/>
    <w:rsid w:val="00C86713"/>
    <w:rsid w:val="00C867C7"/>
    <w:rsid w:val="00C8680F"/>
    <w:rsid w:val="00C86832"/>
    <w:rsid w:val="00C8683B"/>
    <w:rsid w:val="00C86841"/>
    <w:rsid w:val="00C868B7"/>
    <w:rsid w:val="00C8696F"/>
    <w:rsid w:val="00C86975"/>
    <w:rsid w:val="00C869D3"/>
    <w:rsid w:val="00C869E7"/>
    <w:rsid w:val="00C869F6"/>
    <w:rsid w:val="00C86A22"/>
    <w:rsid w:val="00C86A35"/>
    <w:rsid w:val="00C86A9E"/>
    <w:rsid w:val="00C86C40"/>
    <w:rsid w:val="00C86C95"/>
    <w:rsid w:val="00C86CA7"/>
    <w:rsid w:val="00C86CAE"/>
    <w:rsid w:val="00C86CC2"/>
    <w:rsid w:val="00C86CEF"/>
    <w:rsid w:val="00C86D22"/>
    <w:rsid w:val="00C86D9A"/>
    <w:rsid w:val="00C86E69"/>
    <w:rsid w:val="00C86E88"/>
    <w:rsid w:val="00C86EE8"/>
    <w:rsid w:val="00C86F1C"/>
    <w:rsid w:val="00C86F37"/>
    <w:rsid w:val="00C86F83"/>
    <w:rsid w:val="00C87046"/>
    <w:rsid w:val="00C87092"/>
    <w:rsid w:val="00C870A5"/>
    <w:rsid w:val="00C870C0"/>
    <w:rsid w:val="00C87186"/>
    <w:rsid w:val="00C87259"/>
    <w:rsid w:val="00C872EC"/>
    <w:rsid w:val="00C874A7"/>
    <w:rsid w:val="00C874C9"/>
    <w:rsid w:val="00C875D2"/>
    <w:rsid w:val="00C87626"/>
    <w:rsid w:val="00C87628"/>
    <w:rsid w:val="00C877A3"/>
    <w:rsid w:val="00C87804"/>
    <w:rsid w:val="00C87841"/>
    <w:rsid w:val="00C878F8"/>
    <w:rsid w:val="00C87952"/>
    <w:rsid w:val="00C8798A"/>
    <w:rsid w:val="00C87A77"/>
    <w:rsid w:val="00C87AE8"/>
    <w:rsid w:val="00C87AF2"/>
    <w:rsid w:val="00C87B1E"/>
    <w:rsid w:val="00C87C46"/>
    <w:rsid w:val="00C87C66"/>
    <w:rsid w:val="00C87CC9"/>
    <w:rsid w:val="00C87CD5"/>
    <w:rsid w:val="00C87DB5"/>
    <w:rsid w:val="00C87F2D"/>
    <w:rsid w:val="00C87F59"/>
    <w:rsid w:val="00C87F9C"/>
    <w:rsid w:val="00C90024"/>
    <w:rsid w:val="00C90112"/>
    <w:rsid w:val="00C90115"/>
    <w:rsid w:val="00C901BC"/>
    <w:rsid w:val="00C90218"/>
    <w:rsid w:val="00C903BA"/>
    <w:rsid w:val="00C90424"/>
    <w:rsid w:val="00C9042E"/>
    <w:rsid w:val="00C905C0"/>
    <w:rsid w:val="00C905EC"/>
    <w:rsid w:val="00C90652"/>
    <w:rsid w:val="00C907E8"/>
    <w:rsid w:val="00C908D3"/>
    <w:rsid w:val="00C908E9"/>
    <w:rsid w:val="00C90964"/>
    <w:rsid w:val="00C909B9"/>
    <w:rsid w:val="00C90A38"/>
    <w:rsid w:val="00C90AD3"/>
    <w:rsid w:val="00C90C60"/>
    <w:rsid w:val="00C90C99"/>
    <w:rsid w:val="00C90ED5"/>
    <w:rsid w:val="00C90F7A"/>
    <w:rsid w:val="00C90FF3"/>
    <w:rsid w:val="00C9115B"/>
    <w:rsid w:val="00C91177"/>
    <w:rsid w:val="00C911E8"/>
    <w:rsid w:val="00C91250"/>
    <w:rsid w:val="00C91266"/>
    <w:rsid w:val="00C91291"/>
    <w:rsid w:val="00C91327"/>
    <w:rsid w:val="00C913C9"/>
    <w:rsid w:val="00C915B9"/>
    <w:rsid w:val="00C915EE"/>
    <w:rsid w:val="00C91648"/>
    <w:rsid w:val="00C91651"/>
    <w:rsid w:val="00C916DC"/>
    <w:rsid w:val="00C916E3"/>
    <w:rsid w:val="00C917A6"/>
    <w:rsid w:val="00C917E5"/>
    <w:rsid w:val="00C91884"/>
    <w:rsid w:val="00C91907"/>
    <w:rsid w:val="00C91916"/>
    <w:rsid w:val="00C91949"/>
    <w:rsid w:val="00C91950"/>
    <w:rsid w:val="00C919E0"/>
    <w:rsid w:val="00C91A70"/>
    <w:rsid w:val="00C91BF7"/>
    <w:rsid w:val="00C91C37"/>
    <w:rsid w:val="00C91C55"/>
    <w:rsid w:val="00C91F93"/>
    <w:rsid w:val="00C91FAD"/>
    <w:rsid w:val="00C91FC4"/>
    <w:rsid w:val="00C91FDF"/>
    <w:rsid w:val="00C92092"/>
    <w:rsid w:val="00C92093"/>
    <w:rsid w:val="00C92192"/>
    <w:rsid w:val="00C922F5"/>
    <w:rsid w:val="00C924C6"/>
    <w:rsid w:val="00C924D6"/>
    <w:rsid w:val="00C9252F"/>
    <w:rsid w:val="00C92531"/>
    <w:rsid w:val="00C925A3"/>
    <w:rsid w:val="00C92726"/>
    <w:rsid w:val="00C9276F"/>
    <w:rsid w:val="00C928D6"/>
    <w:rsid w:val="00C929C3"/>
    <w:rsid w:val="00C929FA"/>
    <w:rsid w:val="00C92A03"/>
    <w:rsid w:val="00C92A81"/>
    <w:rsid w:val="00C92B2D"/>
    <w:rsid w:val="00C92B3D"/>
    <w:rsid w:val="00C92B9D"/>
    <w:rsid w:val="00C92C11"/>
    <w:rsid w:val="00C92D22"/>
    <w:rsid w:val="00C92D32"/>
    <w:rsid w:val="00C92F21"/>
    <w:rsid w:val="00C92F48"/>
    <w:rsid w:val="00C92FF9"/>
    <w:rsid w:val="00C930A2"/>
    <w:rsid w:val="00C931FA"/>
    <w:rsid w:val="00C93241"/>
    <w:rsid w:val="00C932B0"/>
    <w:rsid w:val="00C93311"/>
    <w:rsid w:val="00C93318"/>
    <w:rsid w:val="00C936C6"/>
    <w:rsid w:val="00C937E0"/>
    <w:rsid w:val="00C9380F"/>
    <w:rsid w:val="00C9382A"/>
    <w:rsid w:val="00C938AD"/>
    <w:rsid w:val="00C9391B"/>
    <w:rsid w:val="00C93B2B"/>
    <w:rsid w:val="00C93B34"/>
    <w:rsid w:val="00C93C57"/>
    <w:rsid w:val="00C93CA8"/>
    <w:rsid w:val="00C93CDE"/>
    <w:rsid w:val="00C93D94"/>
    <w:rsid w:val="00C93E17"/>
    <w:rsid w:val="00C93E6B"/>
    <w:rsid w:val="00C93EA1"/>
    <w:rsid w:val="00C93F6B"/>
    <w:rsid w:val="00C940A3"/>
    <w:rsid w:val="00C94231"/>
    <w:rsid w:val="00C94246"/>
    <w:rsid w:val="00C94298"/>
    <w:rsid w:val="00C9429D"/>
    <w:rsid w:val="00C942FC"/>
    <w:rsid w:val="00C9435E"/>
    <w:rsid w:val="00C9443B"/>
    <w:rsid w:val="00C944D4"/>
    <w:rsid w:val="00C944F7"/>
    <w:rsid w:val="00C9452B"/>
    <w:rsid w:val="00C9456E"/>
    <w:rsid w:val="00C94588"/>
    <w:rsid w:val="00C9459E"/>
    <w:rsid w:val="00C94627"/>
    <w:rsid w:val="00C9463D"/>
    <w:rsid w:val="00C946F3"/>
    <w:rsid w:val="00C9477F"/>
    <w:rsid w:val="00C94796"/>
    <w:rsid w:val="00C947C8"/>
    <w:rsid w:val="00C94802"/>
    <w:rsid w:val="00C94810"/>
    <w:rsid w:val="00C94826"/>
    <w:rsid w:val="00C9486B"/>
    <w:rsid w:val="00C948F1"/>
    <w:rsid w:val="00C948FC"/>
    <w:rsid w:val="00C9496B"/>
    <w:rsid w:val="00C94B5E"/>
    <w:rsid w:val="00C94B6A"/>
    <w:rsid w:val="00C94C77"/>
    <w:rsid w:val="00C94D7B"/>
    <w:rsid w:val="00C94ECC"/>
    <w:rsid w:val="00C94F0A"/>
    <w:rsid w:val="00C94FA0"/>
    <w:rsid w:val="00C94FE0"/>
    <w:rsid w:val="00C9501B"/>
    <w:rsid w:val="00C95108"/>
    <w:rsid w:val="00C95199"/>
    <w:rsid w:val="00C9519F"/>
    <w:rsid w:val="00C95226"/>
    <w:rsid w:val="00C952A3"/>
    <w:rsid w:val="00C952F7"/>
    <w:rsid w:val="00C95332"/>
    <w:rsid w:val="00C95354"/>
    <w:rsid w:val="00C953FD"/>
    <w:rsid w:val="00C95427"/>
    <w:rsid w:val="00C954BB"/>
    <w:rsid w:val="00C9567B"/>
    <w:rsid w:val="00C956C3"/>
    <w:rsid w:val="00C95709"/>
    <w:rsid w:val="00C95778"/>
    <w:rsid w:val="00C95820"/>
    <w:rsid w:val="00C9583B"/>
    <w:rsid w:val="00C9587C"/>
    <w:rsid w:val="00C9591C"/>
    <w:rsid w:val="00C95925"/>
    <w:rsid w:val="00C959B0"/>
    <w:rsid w:val="00C959C4"/>
    <w:rsid w:val="00C95A93"/>
    <w:rsid w:val="00C95AD1"/>
    <w:rsid w:val="00C95C63"/>
    <w:rsid w:val="00C95C9F"/>
    <w:rsid w:val="00C95DB0"/>
    <w:rsid w:val="00C95DE4"/>
    <w:rsid w:val="00C95E0C"/>
    <w:rsid w:val="00C95E41"/>
    <w:rsid w:val="00C95E52"/>
    <w:rsid w:val="00C95EA7"/>
    <w:rsid w:val="00C95EEC"/>
    <w:rsid w:val="00C95F23"/>
    <w:rsid w:val="00C95F25"/>
    <w:rsid w:val="00C95F3D"/>
    <w:rsid w:val="00C96192"/>
    <w:rsid w:val="00C9636F"/>
    <w:rsid w:val="00C964A3"/>
    <w:rsid w:val="00C964F6"/>
    <w:rsid w:val="00C9651B"/>
    <w:rsid w:val="00C9653E"/>
    <w:rsid w:val="00C965A8"/>
    <w:rsid w:val="00C96614"/>
    <w:rsid w:val="00C966B7"/>
    <w:rsid w:val="00C9679C"/>
    <w:rsid w:val="00C96813"/>
    <w:rsid w:val="00C96880"/>
    <w:rsid w:val="00C96930"/>
    <w:rsid w:val="00C969D0"/>
    <w:rsid w:val="00C96AE9"/>
    <w:rsid w:val="00C96B02"/>
    <w:rsid w:val="00C96B22"/>
    <w:rsid w:val="00C96B5A"/>
    <w:rsid w:val="00C96C38"/>
    <w:rsid w:val="00C96C4E"/>
    <w:rsid w:val="00C96C54"/>
    <w:rsid w:val="00C96C8C"/>
    <w:rsid w:val="00C96F5A"/>
    <w:rsid w:val="00C97020"/>
    <w:rsid w:val="00C9705F"/>
    <w:rsid w:val="00C970E4"/>
    <w:rsid w:val="00C97310"/>
    <w:rsid w:val="00C973CD"/>
    <w:rsid w:val="00C973D9"/>
    <w:rsid w:val="00C973FC"/>
    <w:rsid w:val="00C97526"/>
    <w:rsid w:val="00C9757D"/>
    <w:rsid w:val="00C97580"/>
    <w:rsid w:val="00C97596"/>
    <w:rsid w:val="00C97758"/>
    <w:rsid w:val="00C977C0"/>
    <w:rsid w:val="00C978A3"/>
    <w:rsid w:val="00C97A0D"/>
    <w:rsid w:val="00C97A58"/>
    <w:rsid w:val="00C97B82"/>
    <w:rsid w:val="00C97BC4"/>
    <w:rsid w:val="00C97C7A"/>
    <w:rsid w:val="00C97D7C"/>
    <w:rsid w:val="00C97D80"/>
    <w:rsid w:val="00C97E0A"/>
    <w:rsid w:val="00C97E97"/>
    <w:rsid w:val="00C97EAF"/>
    <w:rsid w:val="00C97EC4"/>
    <w:rsid w:val="00C97EFB"/>
    <w:rsid w:val="00C97F4A"/>
    <w:rsid w:val="00C97FBA"/>
    <w:rsid w:val="00C97FD9"/>
    <w:rsid w:val="00CA0185"/>
    <w:rsid w:val="00CA01C8"/>
    <w:rsid w:val="00CA03B0"/>
    <w:rsid w:val="00CA0436"/>
    <w:rsid w:val="00CA0488"/>
    <w:rsid w:val="00CA04D3"/>
    <w:rsid w:val="00CA04D4"/>
    <w:rsid w:val="00CA04E0"/>
    <w:rsid w:val="00CA057A"/>
    <w:rsid w:val="00CA0608"/>
    <w:rsid w:val="00CA0689"/>
    <w:rsid w:val="00CA081C"/>
    <w:rsid w:val="00CA08C7"/>
    <w:rsid w:val="00CA08F2"/>
    <w:rsid w:val="00CA0978"/>
    <w:rsid w:val="00CA09CD"/>
    <w:rsid w:val="00CA0A43"/>
    <w:rsid w:val="00CA0AA6"/>
    <w:rsid w:val="00CA0AF6"/>
    <w:rsid w:val="00CA0B4B"/>
    <w:rsid w:val="00CA0B4D"/>
    <w:rsid w:val="00CA0D13"/>
    <w:rsid w:val="00CA0D90"/>
    <w:rsid w:val="00CA0DF1"/>
    <w:rsid w:val="00CA0E28"/>
    <w:rsid w:val="00CA0E43"/>
    <w:rsid w:val="00CA0E8B"/>
    <w:rsid w:val="00CA0EA0"/>
    <w:rsid w:val="00CA101D"/>
    <w:rsid w:val="00CA1094"/>
    <w:rsid w:val="00CA11A5"/>
    <w:rsid w:val="00CA120E"/>
    <w:rsid w:val="00CA142E"/>
    <w:rsid w:val="00CA1430"/>
    <w:rsid w:val="00CA146A"/>
    <w:rsid w:val="00CA1548"/>
    <w:rsid w:val="00CA15AF"/>
    <w:rsid w:val="00CA15E1"/>
    <w:rsid w:val="00CA15ED"/>
    <w:rsid w:val="00CA1626"/>
    <w:rsid w:val="00CA173C"/>
    <w:rsid w:val="00CA180D"/>
    <w:rsid w:val="00CA1824"/>
    <w:rsid w:val="00CA1879"/>
    <w:rsid w:val="00CA18CB"/>
    <w:rsid w:val="00CA196B"/>
    <w:rsid w:val="00CA1994"/>
    <w:rsid w:val="00CA19B9"/>
    <w:rsid w:val="00CA19F8"/>
    <w:rsid w:val="00CA1AB8"/>
    <w:rsid w:val="00CA1B0A"/>
    <w:rsid w:val="00CA1D07"/>
    <w:rsid w:val="00CA1DAD"/>
    <w:rsid w:val="00CA1DB3"/>
    <w:rsid w:val="00CA1DE5"/>
    <w:rsid w:val="00CA1F0E"/>
    <w:rsid w:val="00CA2126"/>
    <w:rsid w:val="00CA217B"/>
    <w:rsid w:val="00CA234D"/>
    <w:rsid w:val="00CA23A3"/>
    <w:rsid w:val="00CA25C5"/>
    <w:rsid w:val="00CA2748"/>
    <w:rsid w:val="00CA2786"/>
    <w:rsid w:val="00CA27E2"/>
    <w:rsid w:val="00CA27E5"/>
    <w:rsid w:val="00CA2A92"/>
    <w:rsid w:val="00CA2B09"/>
    <w:rsid w:val="00CA2B4C"/>
    <w:rsid w:val="00CA2B7C"/>
    <w:rsid w:val="00CA2C21"/>
    <w:rsid w:val="00CA2C64"/>
    <w:rsid w:val="00CA2CBD"/>
    <w:rsid w:val="00CA2DE6"/>
    <w:rsid w:val="00CA2F76"/>
    <w:rsid w:val="00CA2F8C"/>
    <w:rsid w:val="00CA2FFB"/>
    <w:rsid w:val="00CA3073"/>
    <w:rsid w:val="00CA3175"/>
    <w:rsid w:val="00CA3220"/>
    <w:rsid w:val="00CA3223"/>
    <w:rsid w:val="00CA322E"/>
    <w:rsid w:val="00CA3246"/>
    <w:rsid w:val="00CA3257"/>
    <w:rsid w:val="00CA328E"/>
    <w:rsid w:val="00CA339F"/>
    <w:rsid w:val="00CA33D2"/>
    <w:rsid w:val="00CA3519"/>
    <w:rsid w:val="00CA356C"/>
    <w:rsid w:val="00CA35E8"/>
    <w:rsid w:val="00CA35F6"/>
    <w:rsid w:val="00CA3695"/>
    <w:rsid w:val="00CA36A0"/>
    <w:rsid w:val="00CA3737"/>
    <w:rsid w:val="00CA3782"/>
    <w:rsid w:val="00CA378F"/>
    <w:rsid w:val="00CA37CD"/>
    <w:rsid w:val="00CA386B"/>
    <w:rsid w:val="00CA38FE"/>
    <w:rsid w:val="00CA39E5"/>
    <w:rsid w:val="00CA3A24"/>
    <w:rsid w:val="00CA3AA4"/>
    <w:rsid w:val="00CA3AB2"/>
    <w:rsid w:val="00CA3ACD"/>
    <w:rsid w:val="00CA3B50"/>
    <w:rsid w:val="00CA3B6B"/>
    <w:rsid w:val="00CA3B85"/>
    <w:rsid w:val="00CA3C94"/>
    <w:rsid w:val="00CA3DDA"/>
    <w:rsid w:val="00CA3DDF"/>
    <w:rsid w:val="00CA3E47"/>
    <w:rsid w:val="00CA3E87"/>
    <w:rsid w:val="00CA401B"/>
    <w:rsid w:val="00CA4029"/>
    <w:rsid w:val="00CA40A6"/>
    <w:rsid w:val="00CA40F1"/>
    <w:rsid w:val="00CA41E1"/>
    <w:rsid w:val="00CA41E3"/>
    <w:rsid w:val="00CA4218"/>
    <w:rsid w:val="00CA42C0"/>
    <w:rsid w:val="00CA42EC"/>
    <w:rsid w:val="00CA4522"/>
    <w:rsid w:val="00CA45DA"/>
    <w:rsid w:val="00CA478A"/>
    <w:rsid w:val="00CA492E"/>
    <w:rsid w:val="00CA4956"/>
    <w:rsid w:val="00CA499B"/>
    <w:rsid w:val="00CA499E"/>
    <w:rsid w:val="00CA4D01"/>
    <w:rsid w:val="00CA4E83"/>
    <w:rsid w:val="00CA502E"/>
    <w:rsid w:val="00CA528A"/>
    <w:rsid w:val="00CA53A6"/>
    <w:rsid w:val="00CA53CC"/>
    <w:rsid w:val="00CA53D7"/>
    <w:rsid w:val="00CA544A"/>
    <w:rsid w:val="00CA58B9"/>
    <w:rsid w:val="00CA59F1"/>
    <w:rsid w:val="00CA5A22"/>
    <w:rsid w:val="00CA5B0C"/>
    <w:rsid w:val="00CA5CA0"/>
    <w:rsid w:val="00CA5D23"/>
    <w:rsid w:val="00CA5D63"/>
    <w:rsid w:val="00CA5DEF"/>
    <w:rsid w:val="00CA5E97"/>
    <w:rsid w:val="00CA5FD8"/>
    <w:rsid w:val="00CA6153"/>
    <w:rsid w:val="00CA61FE"/>
    <w:rsid w:val="00CA6207"/>
    <w:rsid w:val="00CA626B"/>
    <w:rsid w:val="00CA6312"/>
    <w:rsid w:val="00CA631B"/>
    <w:rsid w:val="00CA6447"/>
    <w:rsid w:val="00CA6588"/>
    <w:rsid w:val="00CA66C9"/>
    <w:rsid w:val="00CA68A2"/>
    <w:rsid w:val="00CA697E"/>
    <w:rsid w:val="00CA6B0A"/>
    <w:rsid w:val="00CA6B32"/>
    <w:rsid w:val="00CA6C86"/>
    <w:rsid w:val="00CA6D24"/>
    <w:rsid w:val="00CA6DA6"/>
    <w:rsid w:val="00CA6DAB"/>
    <w:rsid w:val="00CA6DD3"/>
    <w:rsid w:val="00CA6F5F"/>
    <w:rsid w:val="00CA6F70"/>
    <w:rsid w:val="00CA71C3"/>
    <w:rsid w:val="00CA723C"/>
    <w:rsid w:val="00CA732F"/>
    <w:rsid w:val="00CA735C"/>
    <w:rsid w:val="00CA7380"/>
    <w:rsid w:val="00CA7381"/>
    <w:rsid w:val="00CA739A"/>
    <w:rsid w:val="00CA740C"/>
    <w:rsid w:val="00CA741B"/>
    <w:rsid w:val="00CA752C"/>
    <w:rsid w:val="00CA75D6"/>
    <w:rsid w:val="00CA76F8"/>
    <w:rsid w:val="00CA7758"/>
    <w:rsid w:val="00CA78F2"/>
    <w:rsid w:val="00CA7944"/>
    <w:rsid w:val="00CA7984"/>
    <w:rsid w:val="00CA7B0E"/>
    <w:rsid w:val="00CA7BFB"/>
    <w:rsid w:val="00CA7DF8"/>
    <w:rsid w:val="00CA7E69"/>
    <w:rsid w:val="00CA7E80"/>
    <w:rsid w:val="00CA7EAE"/>
    <w:rsid w:val="00CA7EEC"/>
    <w:rsid w:val="00CB0061"/>
    <w:rsid w:val="00CB02EC"/>
    <w:rsid w:val="00CB03A3"/>
    <w:rsid w:val="00CB04D1"/>
    <w:rsid w:val="00CB04FE"/>
    <w:rsid w:val="00CB0512"/>
    <w:rsid w:val="00CB059A"/>
    <w:rsid w:val="00CB05C9"/>
    <w:rsid w:val="00CB06BC"/>
    <w:rsid w:val="00CB06D6"/>
    <w:rsid w:val="00CB0759"/>
    <w:rsid w:val="00CB07E8"/>
    <w:rsid w:val="00CB085B"/>
    <w:rsid w:val="00CB08AA"/>
    <w:rsid w:val="00CB08EE"/>
    <w:rsid w:val="00CB090A"/>
    <w:rsid w:val="00CB090E"/>
    <w:rsid w:val="00CB0999"/>
    <w:rsid w:val="00CB0D2A"/>
    <w:rsid w:val="00CB0DF9"/>
    <w:rsid w:val="00CB0E3C"/>
    <w:rsid w:val="00CB10B6"/>
    <w:rsid w:val="00CB11A1"/>
    <w:rsid w:val="00CB11CC"/>
    <w:rsid w:val="00CB1270"/>
    <w:rsid w:val="00CB12B4"/>
    <w:rsid w:val="00CB1304"/>
    <w:rsid w:val="00CB13B5"/>
    <w:rsid w:val="00CB1465"/>
    <w:rsid w:val="00CB156A"/>
    <w:rsid w:val="00CB1609"/>
    <w:rsid w:val="00CB1630"/>
    <w:rsid w:val="00CB16E9"/>
    <w:rsid w:val="00CB1707"/>
    <w:rsid w:val="00CB17E9"/>
    <w:rsid w:val="00CB1820"/>
    <w:rsid w:val="00CB1890"/>
    <w:rsid w:val="00CB1995"/>
    <w:rsid w:val="00CB19D4"/>
    <w:rsid w:val="00CB1A1C"/>
    <w:rsid w:val="00CB1A4E"/>
    <w:rsid w:val="00CB1ADA"/>
    <w:rsid w:val="00CB1B08"/>
    <w:rsid w:val="00CB1BBD"/>
    <w:rsid w:val="00CB1BF9"/>
    <w:rsid w:val="00CB1C2E"/>
    <w:rsid w:val="00CB1C46"/>
    <w:rsid w:val="00CB1CE6"/>
    <w:rsid w:val="00CB1D0F"/>
    <w:rsid w:val="00CB1E28"/>
    <w:rsid w:val="00CB1E5B"/>
    <w:rsid w:val="00CB1F2F"/>
    <w:rsid w:val="00CB1F91"/>
    <w:rsid w:val="00CB1FC9"/>
    <w:rsid w:val="00CB213C"/>
    <w:rsid w:val="00CB214B"/>
    <w:rsid w:val="00CB2157"/>
    <w:rsid w:val="00CB21E0"/>
    <w:rsid w:val="00CB2277"/>
    <w:rsid w:val="00CB22DA"/>
    <w:rsid w:val="00CB237C"/>
    <w:rsid w:val="00CB2453"/>
    <w:rsid w:val="00CB25B7"/>
    <w:rsid w:val="00CB261E"/>
    <w:rsid w:val="00CB2654"/>
    <w:rsid w:val="00CB26CE"/>
    <w:rsid w:val="00CB2844"/>
    <w:rsid w:val="00CB2933"/>
    <w:rsid w:val="00CB2948"/>
    <w:rsid w:val="00CB29E0"/>
    <w:rsid w:val="00CB2A03"/>
    <w:rsid w:val="00CB2A31"/>
    <w:rsid w:val="00CB2A92"/>
    <w:rsid w:val="00CB2B0D"/>
    <w:rsid w:val="00CB2BD9"/>
    <w:rsid w:val="00CB2C32"/>
    <w:rsid w:val="00CB2DAB"/>
    <w:rsid w:val="00CB2EAB"/>
    <w:rsid w:val="00CB2F97"/>
    <w:rsid w:val="00CB2FA5"/>
    <w:rsid w:val="00CB2FDA"/>
    <w:rsid w:val="00CB30B3"/>
    <w:rsid w:val="00CB31C0"/>
    <w:rsid w:val="00CB31EC"/>
    <w:rsid w:val="00CB3215"/>
    <w:rsid w:val="00CB32F9"/>
    <w:rsid w:val="00CB3301"/>
    <w:rsid w:val="00CB3319"/>
    <w:rsid w:val="00CB3477"/>
    <w:rsid w:val="00CB34E3"/>
    <w:rsid w:val="00CB353D"/>
    <w:rsid w:val="00CB3563"/>
    <w:rsid w:val="00CB3638"/>
    <w:rsid w:val="00CB3692"/>
    <w:rsid w:val="00CB36DB"/>
    <w:rsid w:val="00CB36FB"/>
    <w:rsid w:val="00CB376B"/>
    <w:rsid w:val="00CB38A4"/>
    <w:rsid w:val="00CB3A32"/>
    <w:rsid w:val="00CB3B06"/>
    <w:rsid w:val="00CB3C3D"/>
    <w:rsid w:val="00CB3C49"/>
    <w:rsid w:val="00CB3F1A"/>
    <w:rsid w:val="00CB3F6B"/>
    <w:rsid w:val="00CB40E6"/>
    <w:rsid w:val="00CB4192"/>
    <w:rsid w:val="00CB423A"/>
    <w:rsid w:val="00CB4291"/>
    <w:rsid w:val="00CB434A"/>
    <w:rsid w:val="00CB43F5"/>
    <w:rsid w:val="00CB44F0"/>
    <w:rsid w:val="00CB4505"/>
    <w:rsid w:val="00CB4557"/>
    <w:rsid w:val="00CB455D"/>
    <w:rsid w:val="00CB4755"/>
    <w:rsid w:val="00CB47BF"/>
    <w:rsid w:val="00CB4849"/>
    <w:rsid w:val="00CB4966"/>
    <w:rsid w:val="00CB4A52"/>
    <w:rsid w:val="00CB4AB0"/>
    <w:rsid w:val="00CB4B73"/>
    <w:rsid w:val="00CB4BC1"/>
    <w:rsid w:val="00CB4C16"/>
    <w:rsid w:val="00CB4C26"/>
    <w:rsid w:val="00CB4C5C"/>
    <w:rsid w:val="00CB4C77"/>
    <w:rsid w:val="00CB4CF5"/>
    <w:rsid w:val="00CB4D03"/>
    <w:rsid w:val="00CB4D8A"/>
    <w:rsid w:val="00CB4DF5"/>
    <w:rsid w:val="00CB4EF1"/>
    <w:rsid w:val="00CB4F86"/>
    <w:rsid w:val="00CB4F9F"/>
    <w:rsid w:val="00CB5002"/>
    <w:rsid w:val="00CB5110"/>
    <w:rsid w:val="00CB5192"/>
    <w:rsid w:val="00CB523D"/>
    <w:rsid w:val="00CB5270"/>
    <w:rsid w:val="00CB536C"/>
    <w:rsid w:val="00CB5407"/>
    <w:rsid w:val="00CB547C"/>
    <w:rsid w:val="00CB549F"/>
    <w:rsid w:val="00CB550F"/>
    <w:rsid w:val="00CB55F5"/>
    <w:rsid w:val="00CB5603"/>
    <w:rsid w:val="00CB5611"/>
    <w:rsid w:val="00CB5635"/>
    <w:rsid w:val="00CB566B"/>
    <w:rsid w:val="00CB5678"/>
    <w:rsid w:val="00CB5705"/>
    <w:rsid w:val="00CB57D3"/>
    <w:rsid w:val="00CB57D6"/>
    <w:rsid w:val="00CB57E8"/>
    <w:rsid w:val="00CB57F5"/>
    <w:rsid w:val="00CB5814"/>
    <w:rsid w:val="00CB5840"/>
    <w:rsid w:val="00CB5865"/>
    <w:rsid w:val="00CB58AB"/>
    <w:rsid w:val="00CB5AB3"/>
    <w:rsid w:val="00CB5B52"/>
    <w:rsid w:val="00CB5B9C"/>
    <w:rsid w:val="00CB5C92"/>
    <w:rsid w:val="00CB5D16"/>
    <w:rsid w:val="00CB5D25"/>
    <w:rsid w:val="00CB5D2A"/>
    <w:rsid w:val="00CB5DDE"/>
    <w:rsid w:val="00CB5DEC"/>
    <w:rsid w:val="00CB5F7F"/>
    <w:rsid w:val="00CB6203"/>
    <w:rsid w:val="00CB63D8"/>
    <w:rsid w:val="00CB63F4"/>
    <w:rsid w:val="00CB6486"/>
    <w:rsid w:val="00CB64E2"/>
    <w:rsid w:val="00CB6624"/>
    <w:rsid w:val="00CB66A3"/>
    <w:rsid w:val="00CB67AC"/>
    <w:rsid w:val="00CB67BD"/>
    <w:rsid w:val="00CB681A"/>
    <w:rsid w:val="00CB6959"/>
    <w:rsid w:val="00CB69CA"/>
    <w:rsid w:val="00CB6B4A"/>
    <w:rsid w:val="00CB6B93"/>
    <w:rsid w:val="00CB6BCB"/>
    <w:rsid w:val="00CB6C48"/>
    <w:rsid w:val="00CB6C67"/>
    <w:rsid w:val="00CB6C86"/>
    <w:rsid w:val="00CB6CA8"/>
    <w:rsid w:val="00CB6E04"/>
    <w:rsid w:val="00CB6EC5"/>
    <w:rsid w:val="00CB6F6E"/>
    <w:rsid w:val="00CB6F70"/>
    <w:rsid w:val="00CB6FC4"/>
    <w:rsid w:val="00CB7108"/>
    <w:rsid w:val="00CB7185"/>
    <w:rsid w:val="00CB71EA"/>
    <w:rsid w:val="00CB752A"/>
    <w:rsid w:val="00CB7589"/>
    <w:rsid w:val="00CB75B2"/>
    <w:rsid w:val="00CB7631"/>
    <w:rsid w:val="00CB7712"/>
    <w:rsid w:val="00CB7734"/>
    <w:rsid w:val="00CB7887"/>
    <w:rsid w:val="00CB78F5"/>
    <w:rsid w:val="00CB791E"/>
    <w:rsid w:val="00CB795D"/>
    <w:rsid w:val="00CB79E3"/>
    <w:rsid w:val="00CB7A1F"/>
    <w:rsid w:val="00CB7AC0"/>
    <w:rsid w:val="00CB7AF7"/>
    <w:rsid w:val="00CB7B5D"/>
    <w:rsid w:val="00CB7BBE"/>
    <w:rsid w:val="00CB7C11"/>
    <w:rsid w:val="00CB7C78"/>
    <w:rsid w:val="00CB7CE5"/>
    <w:rsid w:val="00CB7DAD"/>
    <w:rsid w:val="00CB7E8B"/>
    <w:rsid w:val="00CB7EA8"/>
    <w:rsid w:val="00CB7F5A"/>
    <w:rsid w:val="00CB7FB2"/>
    <w:rsid w:val="00CB7FD2"/>
    <w:rsid w:val="00CC0044"/>
    <w:rsid w:val="00CC00BF"/>
    <w:rsid w:val="00CC00E9"/>
    <w:rsid w:val="00CC00F5"/>
    <w:rsid w:val="00CC0293"/>
    <w:rsid w:val="00CC02B1"/>
    <w:rsid w:val="00CC02C1"/>
    <w:rsid w:val="00CC0332"/>
    <w:rsid w:val="00CC0395"/>
    <w:rsid w:val="00CC039F"/>
    <w:rsid w:val="00CC03AA"/>
    <w:rsid w:val="00CC0457"/>
    <w:rsid w:val="00CC0476"/>
    <w:rsid w:val="00CC06D4"/>
    <w:rsid w:val="00CC0785"/>
    <w:rsid w:val="00CC0906"/>
    <w:rsid w:val="00CC0A2E"/>
    <w:rsid w:val="00CC0A94"/>
    <w:rsid w:val="00CC0AF0"/>
    <w:rsid w:val="00CC0BA5"/>
    <w:rsid w:val="00CC0C00"/>
    <w:rsid w:val="00CC0CA0"/>
    <w:rsid w:val="00CC0CF0"/>
    <w:rsid w:val="00CC0DF6"/>
    <w:rsid w:val="00CC0F54"/>
    <w:rsid w:val="00CC0F6E"/>
    <w:rsid w:val="00CC0F87"/>
    <w:rsid w:val="00CC0FC3"/>
    <w:rsid w:val="00CC1016"/>
    <w:rsid w:val="00CC1085"/>
    <w:rsid w:val="00CC10E3"/>
    <w:rsid w:val="00CC1141"/>
    <w:rsid w:val="00CC1146"/>
    <w:rsid w:val="00CC1304"/>
    <w:rsid w:val="00CC131F"/>
    <w:rsid w:val="00CC136E"/>
    <w:rsid w:val="00CC139D"/>
    <w:rsid w:val="00CC142D"/>
    <w:rsid w:val="00CC142F"/>
    <w:rsid w:val="00CC1440"/>
    <w:rsid w:val="00CC149E"/>
    <w:rsid w:val="00CC14EF"/>
    <w:rsid w:val="00CC166D"/>
    <w:rsid w:val="00CC16AB"/>
    <w:rsid w:val="00CC16B7"/>
    <w:rsid w:val="00CC1739"/>
    <w:rsid w:val="00CC176C"/>
    <w:rsid w:val="00CC1917"/>
    <w:rsid w:val="00CC19A7"/>
    <w:rsid w:val="00CC19B9"/>
    <w:rsid w:val="00CC19D5"/>
    <w:rsid w:val="00CC1B18"/>
    <w:rsid w:val="00CC1B89"/>
    <w:rsid w:val="00CC1C89"/>
    <w:rsid w:val="00CC1CC1"/>
    <w:rsid w:val="00CC1CC5"/>
    <w:rsid w:val="00CC1E25"/>
    <w:rsid w:val="00CC1E83"/>
    <w:rsid w:val="00CC1FD9"/>
    <w:rsid w:val="00CC1FEA"/>
    <w:rsid w:val="00CC20B9"/>
    <w:rsid w:val="00CC2160"/>
    <w:rsid w:val="00CC2299"/>
    <w:rsid w:val="00CC269A"/>
    <w:rsid w:val="00CC29DB"/>
    <w:rsid w:val="00CC2AE8"/>
    <w:rsid w:val="00CC2B8D"/>
    <w:rsid w:val="00CC2CBE"/>
    <w:rsid w:val="00CC2E05"/>
    <w:rsid w:val="00CC2E32"/>
    <w:rsid w:val="00CC2EF4"/>
    <w:rsid w:val="00CC2FF1"/>
    <w:rsid w:val="00CC3011"/>
    <w:rsid w:val="00CC302A"/>
    <w:rsid w:val="00CC302E"/>
    <w:rsid w:val="00CC321E"/>
    <w:rsid w:val="00CC3259"/>
    <w:rsid w:val="00CC329B"/>
    <w:rsid w:val="00CC3400"/>
    <w:rsid w:val="00CC34E0"/>
    <w:rsid w:val="00CC34F3"/>
    <w:rsid w:val="00CC3551"/>
    <w:rsid w:val="00CC35BA"/>
    <w:rsid w:val="00CC35CA"/>
    <w:rsid w:val="00CC35D2"/>
    <w:rsid w:val="00CC3623"/>
    <w:rsid w:val="00CC386E"/>
    <w:rsid w:val="00CC3880"/>
    <w:rsid w:val="00CC3948"/>
    <w:rsid w:val="00CC39D7"/>
    <w:rsid w:val="00CC3A44"/>
    <w:rsid w:val="00CC3A4D"/>
    <w:rsid w:val="00CC3B59"/>
    <w:rsid w:val="00CC3BCF"/>
    <w:rsid w:val="00CC3CD2"/>
    <w:rsid w:val="00CC3E9E"/>
    <w:rsid w:val="00CC3EA6"/>
    <w:rsid w:val="00CC3EF8"/>
    <w:rsid w:val="00CC3F4B"/>
    <w:rsid w:val="00CC3F77"/>
    <w:rsid w:val="00CC3FC0"/>
    <w:rsid w:val="00CC3FFF"/>
    <w:rsid w:val="00CC40D2"/>
    <w:rsid w:val="00CC41D1"/>
    <w:rsid w:val="00CC4249"/>
    <w:rsid w:val="00CC4361"/>
    <w:rsid w:val="00CC4486"/>
    <w:rsid w:val="00CC4599"/>
    <w:rsid w:val="00CC461B"/>
    <w:rsid w:val="00CC4808"/>
    <w:rsid w:val="00CC48C2"/>
    <w:rsid w:val="00CC48D4"/>
    <w:rsid w:val="00CC492F"/>
    <w:rsid w:val="00CC4A03"/>
    <w:rsid w:val="00CC4BF0"/>
    <w:rsid w:val="00CC4D1D"/>
    <w:rsid w:val="00CC4D2E"/>
    <w:rsid w:val="00CC4D75"/>
    <w:rsid w:val="00CC4FBE"/>
    <w:rsid w:val="00CC5003"/>
    <w:rsid w:val="00CC5113"/>
    <w:rsid w:val="00CC5192"/>
    <w:rsid w:val="00CC528A"/>
    <w:rsid w:val="00CC53A4"/>
    <w:rsid w:val="00CC540F"/>
    <w:rsid w:val="00CC544C"/>
    <w:rsid w:val="00CC5454"/>
    <w:rsid w:val="00CC5498"/>
    <w:rsid w:val="00CC54AD"/>
    <w:rsid w:val="00CC54F9"/>
    <w:rsid w:val="00CC5531"/>
    <w:rsid w:val="00CC557B"/>
    <w:rsid w:val="00CC55AA"/>
    <w:rsid w:val="00CC56B7"/>
    <w:rsid w:val="00CC5A7E"/>
    <w:rsid w:val="00CC5AF3"/>
    <w:rsid w:val="00CC5B57"/>
    <w:rsid w:val="00CC5B71"/>
    <w:rsid w:val="00CC5CA0"/>
    <w:rsid w:val="00CC5DC6"/>
    <w:rsid w:val="00CC5E96"/>
    <w:rsid w:val="00CC6059"/>
    <w:rsid w:val="00CC60EB"/>
    <w:rsid w:val="00CC6170"/>
    <w:rsid w:val="00CC617D"/>
    <w:rsid w:val="00CC61C0"/>
    <w:rsid w:val="00CC6244"/>
    <w:rsid w:val="00CC6264"/>
    <w:rsid w:val="00CC62E4"/>
    <w:rsid w:val="00CC6345"/>
    <w:rsid w:val="00CC63AC"/>
    <w:rsid w:val="00CC6582"/>
    <w:rsid w:val="00CC65C5"/>
    <w:rsid w:val="00CC66B9"/>
    <w:rsid w:val="00CC66EC"/>
    <w:rsid w:val="00CC66F2"/>
    <w:rsid w:val="00CC6749"/>
    <w:rsid w:val="00CC68A1"/>
    <w:rsid w:val="00CC68D0"/>
    <w:rsid w:val="00CC693E"/>
    <w:rsid w:val="00CC6967"/>
    <w:rsid w:val="00CC6968"/>
    <w:rsid w:val="00CC69A9"/>
    <w:rsid w:val="00CC6A07"/>
    <w:rsid w:val="00CC6A54"/>
    <w:rsid w:val="00CC6A61"/>
    <w:rsid w:val="00CC6ADB"/>
    <w:rsid w:val="00CC6B31"/>
    <w:rsid w:val="00CC6B54"/>
    <w:rsid w:val="00CC6C25"/>
    <w:rsid w:val="00CC6C30"/>
    <w:rsid w:val="00CC6C4C"/>
    <w:rsid w:val="00CC6D55"/>
    <w:rsid w:val="00CC6DD0"/>
    <w:rsid w:val="00CC6DDE"/>
    <w:rsid w:val="00CC6E37"/>
    <w:rsid w:val="00CC6E49"/>
    <w:rsid w:val="00CC6E59"/>
    <w:rsid w:val="00CC6E8B"/>
    <w:rsid w:val="00CC6EE2"/>
    <w:rsid w:val="00CC6EFB"/>
    <w:rsid w:val="00CC6F8F"/>
    <w:rsid w:val="00CC6FF1"/>
    <w:rsid w:val="00CC6FFD"/>
    <w:rsid w:val="00CC714F"/>
    <w:rsid w:val="00CC7333"/>
    <w:rsid w:val="00CC7399"/>
    <w:rsid w:val="00CC73B9"/>
    <w:rsid w:val="00CC7437"/>
    <w:rsid w:val="00CC756B"/>
    <w:rsid w:val="00CC75BC"/>
    <w:rsid w:val="00CC75C1"/>
    <w:rsid w:val="00CC7715"/>
    <w:rsid w:val="00CC778C"/>
    <w:rsid w:val="00CC7852"/>
    <w:rsid w:val="00CC7892"/>
    <w:rsid w:val="00CC78D6"/>
    <w:rsid w:val="00CC7992"/>
    <w:rsid w:val="00CC7AD4"/>
    <w:rsid w:val="00CC7B1B"/>
    <w:rsid w:val="00CC7B53"/>
    <w:rsid w:val="00CC7BDE"/>
    <w:rsid w:val="00CC7BE0"/>
    <w:rsid w:val="00CC7CB1"/>
    <w:rsid w:val="00CC7D0B"/>
    <w:rsid w:val="00CC7D84"/>
    <w:rsid w:val="00CC7DFA"/>
    <w:rsid w:val="00CC7E3A"/>
    <w:rsid w:val="00CC7E97"/>
    <w:rsid w:val="00CC7EE2"/>
    <w:rsid w:val="00CD0004"/>
    <w:rsid w:val="00CD0127"/>
    <w:rsid w:val="00CD019F"/>
    <w:rsid w:val="00CD035B"/>
    <w:rsid w:val="00CD03DC"/>
    <w:rsid w:val="00CD04CC"/>
    <w:rsid w:val="00CD0509"/>
    <w:rsid w:val="00CD054E"/>
    <w:rsid w:val="00CD0607"/>
    <w:rsid w:val="00CD061B"/>
    <w:rsid w:val="00CD061F"/>
    <w:rsid w:val="00CD065A"/>
    <w:rsid w:val="00CD0706"/>
    <w:rsid w:val="00CD08AC"/>
    <w:rsid w:val="00CD09D2"/>
    <w:rsid w:val="00CD0A2F"/>
    <w:rsid w:val="00CD0AED"/>
    <w:rsid w:val="00CD0B3C"/>
    <w:rsid w:val="00CD0CCE"/>
    <w:rsid w:val="00CD0DB0"/>
    <w:rsid w:val="00CD0E12"/>
    <w:rsid w:val="00CD0EEA"/>
    <w:rsid w:val="00CD1086"/>
    <w:rsid w:val="00CD1125"/>
    <w:rsid w:val="00CD113A"/>
    <w:rsid w:val="00CD11FB"/>
    <w:rsid w:val="00CD1437"/>
    <w:rsid w:val="00CD14CF"/>
    <w:rsid w:val="00CD15AD"/>
    <w:rsid w:val="00CD160F"/>
    <w:rsid w:val="00CD164D"/>
    <w:rsid w:val="00CD1700"/>
    <w:rsid w:val="00CD17E2"/>
    <w:rsid w:val="00CD17EB"/>
    <w:rsid w:val="00CD18DF"/>
    <w:rsid w:val="00CD1A62"/>
    <w:rsid w:val="00CD1B38"/>
    <w:rsid w:val="00CD1B9C"/>
    <w:rsid w:val="00CD1BE9"/>
    <w:rsid w:val="00CD1C03"/>
    <w:rsid w:val="00CD1C49"/>
    <w:rsid w:val="00CD1C74"/>
    <w:rsid w:val="00CD1CC6"/>
    <w:rsid w:val="00CD1D47"/>
    <w:rsid w:val="00CD1E43"/>
    <w:rsid w:val="00CD1EBE"/>
    <w:rsid w:val="00CD1F0B"/>
    <w:rsid w:val="00CD2025"/>
    <w:rsid w:val="00CD2182"/>
    <w:rsid w:val="00CD2193"/>
    <w:rsid w:val="00CD21A8"/>
    <w:rsid w:val="00CD2217"/>
    <w:rsid w:val="00CD245C"/>
    <w:rsid w:val="00CD246D"/>
    <w:rsid w:val="00CD24C9"/>
    <w:rsid w:val="00CD24CE"/>
    <w:rsid w:val="00CD2563"/>
    <w:rsid w:val="00CD26BB"/>
    <w:rsid w:val="00CD2723"/>
    <w:rsid w:val="00CD2950"/>
    <w:rsid w:val="00CD2B9C"/>
    <w:rsid w:val="00CD2E19"/>
    <w:rsid w:val="00CD2EFB"/>
    <w:rsid w:val="00CD2F38"/>
    <w:rsid w:val="00CD2FB8"/>
    <w:rsid w:val="00CD3016"/>
    <w:rsid w:val="00CD30BC"/>
    <w:rsid w:val="00CD3165"/>
    <w:rsid w:val="00CD31C8"/>
    <w:rsid w:val="00CD32A3"/>
    <w:rsid w:val="00CD32AC"/>
    <w:rsid w:val="00CD333B"/>
    <w:rsid w:val="00CD336C"/>
    <w:rsid w:val="00CD346B"/>
    <w:rsid w:val="00CD358A"/>
    <w:rsid w:val="00CD35D7"/>
    <w:rsid w:val="00CD366C"/>
    <w:rsid w:val="00CD36D9"/>
    <w:rsid w:val="00CD3707"/>
    <w:rsid w:val="00CD37FC"/>
    <w:rsid w:val="00CD3842"/>
    <w:rsid w:val="00CD3876"/>
    <w:rsid w:val="00CD393C"/>
    <w:rsid w:val="00CD399B"/>
    <w:rsid w:val="00CD39C9"/>
    <w:rsid w:val="00CD39E6"/>
    <w:rsid w:val="00CD39FF"/>
    <w:rsid w:val="00CD3A5E"/>
    <w:rsid w:val="00CD3A67"/>
    <w:rsid w:val="00CD3A7C"/>
    <w:rsid w:val="00CD3B63"/>
    <w:rsid w:val="00CD3D2C"/>
    <w:rsid w:val="00CD3DE6"/>
    <w:rsid w:val="00CD3E1B"/>
    <w:rsid w:val="00CD3E2B"/>
    <w:rsid w:val="00CD3EB4"/>
    <w:rsid w:val="00CD3EC5"/>
    <w:rsid w:val="00CD3ED4"/>
    <w:rsid w:val="00CD3F56"/>
    <w:rsid w:val="00CD4045"/>
    <w:rsid w:val="00CD4053"/>
    <w:rsid w:val="00CD40DC"/>
    <w:rsid w:val="00CD4184"/>
    <w:rsid w:val="00CD41DA"/>
    <w:rsid w:val="00CD4266"/>
    <w:rsid w:val="00CD4282"/>
    <w:rsid w:val="00CD428B"/>
    <w:rsid w:val="00CD430F"/>
    <w:rsid w:val="00CD44A1"/>
    <w:rsid w:val="00CD44B1"/>
    <w:rsid w:val="00CD44EC"/>
    <w:rsid w:val="00CD450E"/>
    <w:rsid w:val="00CD46C3"/>
    <w:rsid w:val="00CD47CE"/>
    <w:rsid w:val="00CD48EC"/>
    <w:rsid w:val="00CD4A6B"/>
    <w:rsid w:val="00CD4C01"/>
    <w:rsid w:val="00CD4C61"/>
    <w:rsid w:val="00CD4CFB"/>
    <w:rsid w:val="00CD4DD2"/>
    <w:rsid w:val="00CD4E05"/>
    <w:rsid w:val="00CD4E7B"/>
    <w:rsid w:val="00CD4F54"/>
    <w:rsid w:val="00CD4F57"/>
    <w:rsid w:val="00CD4FD3"/>
    <w:rsid w:val="00CD506A"/>
    <w:rsid w:val="00CD511D"/>
    <w:rsid w:val="00CD51DF"/>
    <w:rsid w:val="00CD52C6"/>
    <w:rsid w:val="00CD52D8"/>
    <w:rsid w:val="00CD535D"/>
    <w:rsid w:val="00CD5374"/>
    <w:rsid w:val="00CD539B"/>
    <w:rsid w:val="00CD53C4"/>
    <w:rsid w:val="00CD54FC"/>
    <w:rsid w:val="00CD5540"/>
    <w:rsid w:val="00CD55D7"/>
    <w:rsid w:val="00CD5663"/>
    <w:rsid w:val="00CD56D8"/>
    <w:rsid w:val="00CD58D3"/>
    <w:rsid w:val="00CD5927"/>
    <w:rsid w:val="00CD5948"/>
    <w:rsid w:val="00CD59EA"/>
    <w:rsid w:val="00CD5A45"/>
    <w:rsid w:val="00CD5B38"/>
    <w:rsid w:val="00CD5B5B"/>
    <w:rsid w:val="00CD5B68"/>
    <w:rsid w:val="00CD5BCF"/>
    <w:rsid w:val="00CD5C20"/>
    <w:rsid w:val="00CD5C29"/>
    <w:rsid w:val="00CD5D11"/>
    <w:rsid w:val="00CD5E2E"/>
    <w:rsid w:val="00CD5E51"/>
    <w:rsid w:val="00CD5ED7"/>
    <w:rsid w:val="00CD5F25"/>
    <w:rsid w:val="00CD5FED"/>
    <w:rsid w:val="00CD60D6"/>
    <w:rsid w:val="00CD61EE"/>
    <w:rsid w:val="00CD61F7"/>
    <w:rsid w:val="00CD6261"/>
    <w:rsid w:val="00CD6501"/>
    <w:rsid w:val="00CD655C"/>
    <w:rsid w:val="00CD65CC"/>
    <w:rsid w:val="00CD65E9"/>
    <w:rsid w:val="00CD6619"/>
    <w:rsid w:val="00CD665B"/>
    <w:rsid w:val="00CD668D"/>
    <w:rsid w:val="00CD672E"/>
    <w:rsid w:val="00CD673D"/>
    <w:rsid w:val="00CD6762"/>
    <w:rsid w:val="00CD6992"/>
    <w:rsid w:val="00CD69B0"/>
    <w:rsid w:val="00CD69E9"/>
    <w:rsid w:val="00CD6A00"/>
    <w:rsid w:val="00CD6B87"/>
    <w:rsid w:val="00CD6BB5"/>
    <w:rsid w:val="00CD6C08"/>
    <w:rsid w:val="00CD6CBB"/>
    <w:rsid w:val="00CD6E37"/>
    <w:rsid w:val="00CD6E94"/>
    <w:rsid w:val="00CD6F24"/>
    <w:rsid w:val="00CD6FA6"/>
    <w:rsid w:val="00CD7321"/>
    <w:rsid w:val="00CD7341"/>
    <w:rsid w:val="00CD73AE"/>
    <w:rsid w:val="00CD73CA"/>
    <w:rsid w:val="00CD73FA"/>
    <w:rsid w:val="00CD7485"/>
    <w:rsid w:val="00CD74F3"/>
    <w:rsid w:val="00CD7508"/>
    <w:rsid w:val="00CD7589"/>
    <w:rsid w:val="00CD75D0"/>
    <w:rsid w:val="00CD7698"/>
    <w:rsid w:val="00CD771D"/>
    <w:rsid w:val="00CD77A1"/>
    <w:rsid w:val="00CD77F9"/>
    <w:rsid w:val="00CD792D"/>
    <w:rsid w:val="00CD7944"/>
    <w:rsid w:val="00CD7963"/>
    <w:rsid w:val="00CD7B36"/>
    <w:rsid w:val="00CD7B37"/>
    <w:rsid w:val="00CD7C08"/>
    <w:rsid w:val="00CD7C33"/>
    <w:rsid w:val="00CD7C73"/>
    <w:rsid w:val="00CD7E6A"/>
    <w:rsid w:val="00CD7E8D"/>
    <w:rsid w:val="00CD7ED8"/>
    <w:rsid w:val="00CD7EE6"/>
    <w:rsid w:val="00CD7FAC"/>
    <w:rsid w:val="00CE002E"/>
    <w:rsid w:val="00CE0087"/>
    <w:rsid w:val="00CE011A"/>
    <w:rsid w:val="00CE0194"/>
    <w:rsid w:val="00CE01B6"/>
    <w:rsid w:val="00CE04ED"/>
    <w:rsid w:val="00CE0527"/>
    <w:rsid w:val="00CE060E"/>
    <w:rsid w:val="00CE0616"/>
    <w:rsid w:val="00CE063B"/>
    <w:rsid w:val="00CE0694"/>
    <w:rsid w:val="00CE0721"/>
    <w:rsid w:val="00CE07C4"/>
    <w:rsid w:val="00CE07E0"/>
    <w:rsid w:val="00CE0802"/>
    <w:rsid w:val="00CE090E"/>
    <w:rsid w:val="00CE0967"/>
    <w:rsid w:val="00CE09A8"/>
    <w:rsid w:val="00CE09D7"/>
    <w:rsid w:val="00CE0A65"/>
    <w:rsid w:val="00CE0DD7"/>
    <w:rsid w:val="00CE0ED0"/>
    <w:rsid w:val="00CE0FE2"/>
    <w:rsid w:val="00CE0FEA"/>
    <w:rsid w:val="00CE1139"/>
    <w:rsid w:val="00CE11BE"/>
    <w:rsid w:val="00CE11CE"/>
    <w:rsid w:val="00CE12F8"/>
    <w:rsid w:val="00CE1343"/>
    <w:rsid w:val="00CE13D5"/>
    <w:rsid w:val="00CE13FE"/>
    <w:rsid w:val="00CE1419"/>
    <w:rsid w:val="00CE15B7"/>
    <w:rsid w:val="00CE16BB"/>
    <w:rsid w:val="00CE171E"/>
    <w:rsid w:val="00CE194B"/>
    <w:rsid w:val="00CE196E"/>
    <w:rsid w:val="00CE1B88"/>
    <w:rsid w:val="00CE1D94"/>
    <w:rsid w:val="00CE1E01"/>
    <w:rsid w:val="00CE1F6A"/>
    <w:rsid w:val="00CE1FA3"/>
    <w:rsid w:val="00CE2284"/>
    <w:rsid w:val="00CE22A4"/>
    <w:rsid w:val="00CE2419"/>
    <w:rsid w:val="00CE2474"/>
    <w:rsid w:val="00CE25EB"/>
    <w:rsid w:val="00CE2651"/>
    <w:rsid w:val="00CE2783"/>
    <w:rsid w:val="00CE279F"/>
    <w:rsid w:val="00CE27C7"/>
    <w:rsid w:val="00CE27CA"/>
    <w:rsid w:val="00CE27EA"/>
    <w:rsid w:val="00CE2838"/>
    <w:rsid w:val="00CE29E1"/>
    <w:rsid w:val="00CE2B78"/>
    <w:rsid w:val="00CE2B8A"/>
    <w:rsid w:val="00CE2BE5"/>
    <w:rsid w:val="00CE2C45"/>
    <w:rsid w:val="00CE2C81"/>
    <w:rsid w:val="00CE2E78"/>
    <w:rsid w:val="00CE2ECE"/>
    <w:rsid w:val="00CE2F3D"/>
    <w:rsid w:val="00CE2F42"/>
    <w:rsid w:val="00CE308A"/>
    <w:rsid w:val="00CE311E"/>
    <w:rsid w:val="00CE31FF"/>
    <w:rsid w:val="00CE3204"/>
    <w:rsid w:val="00CE328D"/>
    <w:rsid w:val="00CE329A"/>
    <w:rsid w:val="00CE3324"/>
    <w:rsid w:val="00CE3331"/>
    <w:rsid w:val="00CE3382"/>
    <w:rsid w:val="00CE33BC"/>
    <w:rsid w:val="00CE33F9"/>
    <w:rsid w:val="00CE3493"/>
    <w:rsid w:val="00CE34C1"/>
    <w:rsid w:val="00CE34F2"/>
    <w:rsid w:val="00CE3518"/>
    <w:rsid w:val="00CE356E"/>
    <w:rsid w:val="00CE3651"/>
    <w:rsid w:val="00CE36A2"/>
    <w:rsid w:val="00CE36BB"/>
    <w:rsid w:val="00CE372C"/>
    <w:rsid w:val="00CE37C6"/>
    <w:rsid w:val="00CE386E"/>
    <w:rsid w:val="00CE3877"/>
    <w:rsid w:val="00CE3894"/>
    <w:rsid w:val="00CE397D"/>
    <w:rsid w:val="00CE39F1"/>
    <w:rsid w:val="00CE3B20"/>
    <w:rsid w:val="00CE3B60"/>
    <w:rsid w:val="00CE3BFB"/>
    <w:rsid w:val="00CE3C23"/>
    <w:rsid w:val="00CE3CC3"/>
    <w:rsid w:val="00CE3E44"/>
    <w:rsid w:val="00CE3F6F"/>
    <w:rsid w:val="00CE3FA3"/>
    <w:rsid w:val="00CE4079"/>
    <w:rsid w:val="00CE4091"/>
    <w:rsid w:val="00CE4092"/>
    <w:rsid w:val="00CE40D4"/>
    <w:rsid w:val="00CE411A"/>
    <w:rsid w:val="00CE418B"/>
    <w:rsid w:val="00CE4201"/>
    <w:rsid w:val="00CE423B"/>
    <w:rsid w:val="00CE4298"/>
    <w:rsid w:val="00CE441A"/>
    <w:rsid w:val="00CE44AF"/>
    <w:rsid w:val="00CE4574"/>
    <w:rsid w:val="00CE45FC"/>
    <w:rsid w:val="00CE47D7"/>
    <w:rsid w:val="00CE483E"/>
    <w:rsid w:val="00CE4863"/>
    <w:rsid w:val="00CE4991"/>
    <w:rsid w:val="00CE49A0"/>
    <w:rsid w:val="00CE49F4"/>
    <w:rsid w:val="00CE4A70"/>
    <w:rsid w:val="00CE4D2B"/>
    <w:rsid w:val="00CE4EF7"/>
    <w:rsid w:val="00CE4FE4"/>
    <w:rsid w:val="00CE4FFD"/>
    <w:rsid w:val="00CE50B0"/>
    <w:rsid w:val="00CE523E"/>
    <w:rsid w:val="00CE528E"/>
    <w:rsid w:val="00CE52D6"/>
    <w:rsid w:val="00CE53D2"/>
    <w:rsid w:val="00CE5421"/>
    <w:rsid w:val="00CE54C1"/>
    <w:rsid w:val="00CE54C7"/>
    <w:rsid w:val="00CE55B7"/>
    <w:rsid w:val="00CE5630"/>
    <w:rsid w:val="00CE56EF"/>
    <w:rsid w:val="00CE57F0"/>
    <w:rsid w:val="00CE57F2"/>
    <w:rsid w:val="00CE57FB"/>
    <w:rsid w:val="00CE584F"/>
    <w:rsid w:val="00CE5945"/>
    <w:rsid w:val="00CE5A06"/>
    <w:rsid w:val="00CE5A42"/>
    <w:rsid w:val="00CE5AB1"/>
    <w:rsid w:val="00CE5AF9"/>
    <w:rsid w:val="00CE5C60"/>
    <w:rsid w:val="00CE5C98"/>
    <w:rsid w:val="00CE5DE7"/>
    <w:rsid w:val="00CE5E0B"/>
    <w:rsid w:val="00CE5E81"/>
    <w:rsid w:val="00CE5F20"/>
    <w:rsid w:val="00CE5F71"/>
    <w:rsid w:val="00CE5FD1"/>
    <w:rsid w:val="00CE6071"/>
    <w:rsid w:val="00CE6088"/>
    <w:rsid w:val="00CE60C6"/>
    <w:rsid w:val="00CE624F"/>
    <w:rsid w:val="00CE6311"/>
    <w:rsid w:val="00CE63B2"/>
    <w:rsid w:val="00CE6497"/>
    <w:rsid w:val="00CE64C4"/>
    <w:rsid w:val="00CE65BD"/>
    <w:rsid w:val="00CE65C8"/>
    <w:rsid w:val="00CE676D"/>
    <w:rsid w:val="00CE678C"/>
    <w:rsid w:val="00CE67CD"/>
    <w:rsid w:val="00CE685B"/>
    <w:rsid w:val="00CE6A26"/>
    <w:rsid w:val="00CE6AE2"/>
    <w:rsid w:val="00CE6B20"/>
    <w:rsid w:val="00CE6BAA"/>
    <w:rsid w:val="00CE6CE7"/>
    <w:rsid w:val="00CE6DB0"/>
    <w:rsid w:val="00CE6E05"/>
    <w:rsid w:val="00CE6EEB"/>
    <w:rsid w:val="00CE6EFC"/>
    <w:rsid w:val="00CE6F44"/>
    <w:rsid w:val="00CE6F4D"/>
    <w:rsid w:val="00CE6FBE"/>
    <w:rsid w:val="00CE70C9"/>
    <w:rsid w:val="00CE7157"/>
    <w:rsid w:val="00CE7160"/>
    <w:rsid w:val="00CE7199"/>
    <w:rsid w:val="00CE7264"/>
    <w:rsid w:val="00CE72C7"/>
    <w:rsid w:val="00CE731A"/>
    <w:rsid w:val="00CE7361"/>
    <w:rsid w:val="00CE73A9"/>
    <w:rsid w:val="00CE740B"/>
    <w:rsid w:val="00CE7509"/>
    <w:rsid w:val="00CE7556"/>
    <w:rsid w:val="00CE75CB"/>
    <w:rsid w:val="00CE75E2"/>
    <w:rsid w:val="00CE7649"/>
    <w:rsid w:val="00CE7709"/>
    <w:rsid w:val="00CE7801"/>
    <w:rsid w:val="00CE780D"/>
    <w:rsid w:val="00CE7820"/>
    <w:rsid w:val="00CE7889"/>
    <w:rsid w:val="00CE7943"/>
    <w:rsid w:val="00CE794D"/>
    <w:rsid w:val="00CE79C7"/>
    <w:rsid w:val="00CE7AC2"/>
    <w:rsid w:val="00CE7B0C"/>
    <w:rsid w:val="00CE7B70"/>
    <w:rsid w:val="00CE7BAB"/>
    <w:rsid w:val="00CE7D66"/>
    <w:rsid w:val="00CE7DE5"/>
    <w:rsid w:val="00CE7E92"/>
    <w:rsid w:val="00CE7ECF"/>
    <w:rsid w:val="00CE7F05"/>
    <w:rsid w:val="00CF0039"/>
    <w:rsid w:val="00CF013A"/>
    <w:rsid w:val="00CF018E"/>
    <w:rsid w:val="00CF0193"/>
    <w:rsid w:val="00CF0227"/>
    <w:rsid w:val="00CF024B"/>
    <w:rsid w:val="00CF0275"/>
    <w:rsid w:val="00CF038C"/>
    <w:rsid w:val="00CF038F"/>
    <w:rsid w:val="00CF03EC"/>
    <w:rsid w:val="00CF046C"/>
    <w:rsid w:val="00CF0519"/>
    <w:rsid w:val="00CF0530"/>
    <w:rsid w:val="00CF0557"/>
    <w:rsid w:val="00CF055D"/>
    <w:rsid w:val="00CF073C"/>
    <w:rsid w:val="00CF0824"/>
    <w:rsid w:val="00CF08FF"/>
    <w:rsid w:val="00CF092A"/>
    <w:rsid w:val="00CF0971"/>
    <w:rsid w:val="00CF09C7"/>
    <w:rsid w:val="00CF09EF"/>
    <w:rsid w:val="00CF0A4F"/>
    <w:rsid w:val="00CF0B00"/>
    <w:rsid w:val="00CF0BC6"/>
    <w:rsid w:val="00CF0CEE"/>
    <w:rsid w:val="00CF0F2E"/>
    <w:rsid w:val="00CF0F50"/>
    <w:rsid w:val="00CF0FEB"/>
    <w:rsid w:val="00CF1002"/>
    <w:rsid w:val="00CF10DD"/>
    <w:rsid w:val="00CF111B"/>
    <w:rsid w:val="00CF1124"/>
    <w:rsid w:val="00CF116B"/>
    <w:rsid w:val="00CF11BD"/>
    <w:rsid w:val="00CF1222"/>
    <w:rsid w:val="00CF124C"/>
    <w:rsid w:val="00CF125F"/>
    <w:rsid w:val="00CF1293"/>
    <w:rsid w:val="00CF1350"/>
    <w:rsid w:val="00CF1477"/>
    <w:rsid w:val="00CF14E2"/>
    <w:rsid w:val="00CF1643"/>
    <w:rsid w:val="00CF16DB"/>
    <w:rsid w:val="00CF1793"/>
    <w:rsid w:val="00CF1882"/>
    <w:rsid w:val="00CF193D"/>
    <w:rsid w:val="00CF1A5B"/>
    <w:rsid w:val="00CF1B63"/>
    <w:rsid w:val="00CF1D74"/>
    <w:rsid w:val="00CF1DB2"/>
    <w:rsid w:val="00CF1DFD"/>
    <w:rsid w:val="00CF1FC3"/>
    <w:rsid w:val="00CF202C"/>
    <w:rsid w:val="00CF203B"/>
    <w:rsid w:val="00CF2116"/>
    <w:rsid w:val="00CF212F"/>
    <w:rsid w:val="00CF2184"/>
    <w:rsid w:val="00CF21BA"/>
    <w:rsid w:val="00CF23D2"/>
    <w:rsid w:val="00CF241A"/>
    <w:rsid w:val="00CF248E"/>
    <w:rsid w:val="00CF24A8"/>
    <w:rsid w:val="00CF2545"/>
    <w:rsid w:val="00CF261F"/>
    <w:rsid w:val="00CF262E"/>
    <w:rsid w:val="00CF2691"/>
    <w:rsid w:val="00CF277D"/>
    <w:rsid w:val="00CF2939"/>
    <w:rsid w:val="00CF2994"/>
    <w:rsid w:val="00CF2A8A"/>
    <w:rsid w:val="00CF2B71"/>
    <w:rsid w:val="00CF2BE6"/>
    <w:rsid w:val="00CF2C67"/>
    <w:rsid w:val="00CF2CBF"/>
    <w:rsid w:val="00CF2CC3"/>
    <w:rsid w:val="00CF2CE4"/>
    <w:rsid w:val="00CF2E01"/>
    <w:rsid w:val="00CF2F28"/>
    <w:rsid w:val="00CF2F78"/>
    <w:rsid w:val="00CF2FAC"/>
    <w:rsid w:val="00CF2FF9"/>
    <w:rsid w:val="00CF3010"/>
    <w:rsid w:val="00CF30E1"/>
    <w:rsid w:val="00CF3152"/>
    <w:rsid w:val="00CF3160"/>
    <w:rsid w:val="00CF31AE"/>
    <w:rsid w:val="00CF349F"/>
    <w:rsid w:val="00CF34FD"/>
    <w:rsid w:val="00CF354E"/>
    <w:rsid w:val="00CF35E5"/>
    <w:rsid w:val="00CF3608"/>
    <w:rsid w:val="00CF365A"/>
    <w:rsid w:val="00CF3851"/>
    <w:rsid w:val="00CF39D6"/>
    <w:rsid w:val="00CF39D8"/>
    <w:rsid w:val="00CF3A23"/>
    <w:rsid w:val="00CF3A26"/>
    <w:rsid w:val="00CF3A46"/>
    <w:rsid w:val="00CF3A97"/>
    <w:rsid w:val="00CF3B02"/>
    <w:rsid w:val="00CF3BAA"/>
    <w:rsid w:val="00CF3BBE"/>
    <w:rsid w:val="00CF3BC2"/>
    <w:rsid w:val="00CF3C50"/>
    <w:rsid w:val="00CF3C6D"/>
    <w:rsid w:val="00CF3C8F"/>
    <w:rsid w:val="00CF3CA2"/>
    <w:rsid w:val="00CF3CAA"/>
    <w:rsid w:val="00CF3D8F"/>
    <w:rsid w:val="00CF3E00"/>
    <w:rsid w:val="00CF3E01"/>
    <w:rsid w:val="00CF3E3F"/>
    <w:rsid w:val="00CF3E9D"/>
    <w:rsid w:val="00CF3F4B"/>
    <w:rsid w:val="00CF40A7"/>
    <w:rsid w:val="00CF40CE"/>
    <w:rsid w:val="00CF4136"/>
    <w:rsid w:val="00CF4203"/>
    <w:rsid w:val="00CF4282"/>
    <w:rsid w:val="00CF42BA"/>
    <w:rsid w:val="00CF42DE"/>
    <w:rsid w:val="00CF432D"/>
    <w:rsid w:val="00CF436D"/>
    <w:rsid w:val="00CF43D8"/>
    <w:rsid w:val="00CF4447"/>
    <w:rsid w:val="00CF4486"/>
    <w:rsid w:val="00CF44D4"/>
    <w:rsid w:val="00CF44FC"/>
    <w:rsid w:val="00CF45C4"/>
    <w:rsid w:val="00CF4652"/>
    <w:rsid w:val="00CF4664"/>
    <w:rsid w:val="00CF4682"/>
    <w:rsid w:val="00CF46E4"/>
    <w:rsid w:val="00CF47C7"/>
    <w:rsid w:val="00CF48DC"/>
    <w:rsid w:val="00CF4A58"/>
    <w:rsid w:val="00CF4ADE"/>
    <w:rsid w:val="00CF4CF8"/>
    <w:rsid w:val="00CF4D8C"/>
    <w:rsid w:val="00CF4E02"/>
    <w:rsid w:val="00CF4E9E"/>
    <w:rsid w:val="00CF4F9B"/>
    <w:rsid w:val="00CF4FA5"/>
    <w:rsid w:val="00CF509C"/>
    <w:rsid w:val="00CF50B1"/>
    <w:rsid w:val="00CF51C2"/>
    <w:rsid w:val="00CF51C3"/>
    <w:rsid w:val="00CF521E"/>
    <w:rsid w:val="00CF5296"/>
    <w:rsid w:val="00CF5435"/>
    <w:rsid w:val="00CF5557"/>
    <w:rsid w:val="00CF556A"/>
    <w:rsid w:val="00CF568F"/>
    <w:rsid w:val="00CF56EA"/>
    <w:rsid w:val="00CF575D"/>
    <w:rsid w:val="00CF5A1E"/>
    <w:rsid w:val="00CF5AB0"/>
    <w:rsid w:val="00CF5AF2"/>
    <w:rsid w:val="00CF5B65"/>
    <w:rsid w:val="00CF5CCE"/>
    <w:rsid w:val="00CF5CD8"/>
    <w:rsid w:val="00CF5D5C"/>
    <w:rsid w:val="00CF5F12"/>
    <w:rsid w:val="00CF5FA9"/>
    <w:rsid w:val="00CF5FB2"/>
    <w:rsid w:val="00CF5FBA"/>
    <w:rsid w:val="00CF5FC4"/>
    <w:rsid w:val="00CF617B"/>
    <w:rsid w:val="00CF6624"/>
    <w:rsid w:val="00CF663C"/>
    <w:rsid w:val="00CF6659"/>
    <w:rsid w:val="00CF6771"/>
    <w:rsid w:val="00CF67EF"/>
    <w:rsid w:val="00CF6857"/>
    <w:rsid w:val="00CF687D"/>
    <w:rsid w:val="00CF696F"/>
    <w:rsid w:val="00CF6A80"/>
    <w:rsid w:val="00CF6B8E"/>
    <w:rsid w:val="00CF6B98"/>
    <w:rsid w:val="00CF6BD2"/>
    <w:rsid w:val="00CF6C2C"/>
    <w:rsid w:val="00CF6C33"/>
    <w:rsid w:val="00CF6D36"/>
    <w:rsid w:val="00CF6D80"/>
    <w:rsid w:val="00CF6D8E"/>
    <w:rsid w:val="00CF6DD0"/>
    <w:rsid w:val="00CF6DDE"/>
    <w:rsid w:val="00CF6E83"/>
    <w:rsid w:val="00CF706F"/>
    <w:rsid w:val="00CF70BC"/>
    <w:rsid w:val="00CF711B"/>
    <w:rsid w:val="00CF72D9"/>
    <w:rsid w:val="00CF73AC"/>
    <w:rsid w:val="00CF7450"/>
    <w:rsid w:val="00CF74D9"/>
    <w:rsid w:val="00CF756C"/>
    <w:rsid w:val="00CF7754"/>
    <w:rsid w:val="00CF77A0"/>
    <w:rsid w:val="00CF77F8"/>
    <w:rsid w:val="00CF790F"/>
    <w:rsid w:val="00CF7948"/>
    <w:rsid w:val="00CF79C4"/>
    <w:rsid w:val="00CF79DE"/>
    <w:rsid w:val="00CF79E4"/>
    <w:rsid w:val="00CF7A22"/>
    <w:rsid w:val="00CF7C62"/>
    <w:rsid w:val="00CF7CD0"/>
    <w:rsid w:val="00CF7DE4"/>
    <w:rsid w:val="00CF7E27"/>
    <w:rsid w:val="00CF7E6B"/>
    <w:rsid w:val="00CF7E95"/>
    <w:rsid w:val="00CF7F30"/>
    <w:rsid w:val="00D00021"/>
    <w:rsid w:val="00D000DE"/>
    <w:rsid w:val="00D0017B"/>
    <w:rsid w:val="00D00206"/>
    <w:rsid w:val="00D00240"/>
    <w:rsid w:val="00D00408"/>
    <w:rsid w:val="00D0040F"/>
    <w:rsid w:val="00D0047E"/>
    <w:rsid w:val="00D004CE"/>
    <w:rsid w:val="00D005DD"/>
    <w:rsid w:val="00D0064C"/>
    <w:rsid w:val="00D006B7"/>
    <w:rsid w:val="00D006F6"/>
    <w:rsid w:val="00D00710"/>
    <w:rsid w:val="00D00841"/>
    <w:rsid w:val="00D00857"/>
    <w:rsid w:val="00D008C3"/>
    <w:rsid w:val="00D00960"/>
    <w:rsid w:val="00D00969"/>
    <w:rsid w:val="00D009B1"/>
    <w:rsid w:val="00D00AB8"/>
    <w:rsid w:val="00D00B4C"/>
    <w:rsid w:val="00D00C33"/>
    <w:rsid w:val="00D00C38"/>
    <w:rsid w:val="00D00C78"/>
    <w:rsid w:val="00D00F1B"/>
    <w:rsid w:val="00D00F28"/>
    <w:rsid w:val="00D00F79"/>
    <w:rsid w:val="00D00FBA"/>
    <w:rsid w:val="00D010AD"/>
    <w:rsid w:val="00D01199"/>
    <w:rsid w:val="00D01349"/>
    <w:rsid w:val="00D0139F"/>
    <w:rsid w:val="00D014A1"/>
    <w:rsid w:val="00D01500"/>
    <w:rsid w:val="00D01646"/>
    <w:rsid w:val="00D01666"/>
    <w:rsid w:val="00D0167A"/>
    <w:rsid w:val="00D016C1"/>
    <w:rsid w:val="00D016F5"/>
    <w:rsid w:val="00D0179A"/>
    <w:rsid w:val="00D017AC"/>
    <w:rsid w:val="00D018D5"/>
    <w:rsid w:val="00D019B8"/>
    <w:rsid w:val="00D019E4"/>
    <w:rsid w:val="00D01B2A"/>
    <w:rsid w:val="00D01BB4"/>
    <w:rsid w:val="00D01C32"/>
    <w:rsid w:val="00D01C83"/>
    <w:rsid w:val="00D01C8A"/>
    <w:rsid w:val="00D01C99"/>
    <w:rsid w:val="00D01CE2"/>
    <w:rsid w:val="00D01E06"/>
    <w:rsid w:val="00D01EE7"/>
    <w:rsid w:val="00D01EF5"/>
    <w:rsid w:val="00D01F3C"/>
    <w:rsid w:val="00D01F4E"/>
    <w:rsid w:val="00D01FEE"/>
    <w:rsid w:val="00D0216A"/>
    <w:rsid w:val="00D02182"/>
    <w:rsid w:val="00D02248"/>
    <w:rsid w:val="00D02250"/>
    <w:rsid w:val="00D0229B"/>
    <w:rsid w:val="00D022F6"/>
    <w:rsid w:val="00D02305"/>
    <w:rsid w:val="00D02318"/>
    <w:rsid w:val="00D023E9"/>
    <w:rsid w:val="00D02413"/>
    <w:rsid w:val="00D025D6"/>
    <w:rsid w:val="00D02659"/>
    <w:rsid w:val="00D02672"/>
    <w:rsid w:val="00D026F8"/>
    <w:rsid w:val="00D0275E"/>
    <w:rsid w:val="00D027C9"/>
    <w:rsid w:val="00D02800"/>
    <w:rsid w:val="00D02849"/>
    <w:rsid w:val="00D028ED"/>
    <w:rsid w:val="00D028F5"/>
    <w:rsid w:val="00D02A5C"/>
    <w:rsid w:val="00D02AA5"/>
    <w:rsid w:val="00D02B0E"/>
    <w:rsid w:val="00D02B1E"/>
    <w:rsid w:val="00D02B5D"/>
    <w:rsid w:val="00D02BAD"/>
    <w:rsid w:val="00D02BAE"/>
    <w:rsid w:val="00D02C6F"/>
    <w:rsid w:val="00D02C8D"/>
    <w:rsid w:val="00D02D11"/>
    <w:rsid w:val="00D02D99"/>
    <w:rsid w:val="00D02F28"/>
    <w:rsid w:val="00D02F60"/>
    <w:rsid w:val="00D02F76"/>
    <w:rsid w:val="00D03088"/>
    <w:rsid w:val="00D030FB"/>
    <w:rsid w:val="00D03194"/>
    <w:rsid w:val="00D0320C"/>
    <w:rsid w:val="00D03355"/>
    <w:rsid w:val="00D0341F"/>
    <w:rsid w:val="00D03486"/>
    <w:rsid w:val="00D0356E"/>
    <w:rsid w:val="00D03653"/>
    <w:rsid w:val="00D03673"/>
    <w:rsid w:val="00D03723"/>
    <w:rsid w:val="00D0377A"/>
    <w:rsid w:val="00D037A8"/>
    <w:rsid w:val="00D0388B"/>
    <w:rsid w:val="00D03961"/>
    <w:rsid w:val="00D0399F"/>
    <w:rsid w:val="00D039E1"/>
    <w:rsid w:val="00D03A2E"/>
    <w:rsid w:val="00D03B9A"/>
    <w:rsid w:val="00D03D6F"/>
    <w:rsid w:val="00D03E55"/>
    <w:rsid w:val="00D03EB7"/>
    <w:rsid w:val="00D03F14"/>
    <w:rsid w:val="00D03F36"/>
    <w:rsid w:val="00D041C9"/>
    <w:rsid w:val="00D043D7"/>
    <w:rsid w:val="00D04442"/>
    <w:rsid w:val="00D044E0"/>
    <w:rsid w:val="00D0451C"/>
    <w:rsid w:val="00D04547"/>
    <w:rsid w:val="00D047D8"/>
    <w:rsid w:val="00D04824"/>
    <w:rsid w:val="00D04844"/>
    <w:rsid w:val="00D048C8"/>
    <w:rsid w:val="00D048FD"/>
    <w:rsid w:val="00D0493C"/>
    <w:rsid w:val="00D04949"/>
    <w:rsid w:val="00D0499E"/>
    <w:rsid w:val="00D04A57"/>
    <w:rsid w:val="00D04AB0"/>
    <w:rsid w:val="00D04B56"/>
    <w:rsid w:val="00D04B7F"/>
    <w:rsid w:val="00D04C4B"/>
    <w:rsid w:val="00D04C9D"/>
    <w:rsid w:val="00D04D78"/>
    <w:rsid w:val="00D04E18"/>
    <w:rsid w:val="00D04ED7"/>
    <w:rsid w:val="00D05025"/>
    <w:rsid w:val="00D0503A"/>
    <w:rsid w:val="00D0503B"/>
    <w:rsid w:val="00D05094"/>
    <w:rsid w:val="00D0511B"/>
    <w:rsid w:val="00D05128"/>
    <w:rsid w:val="00D05137"/>
    <w:rsid w:val="00D05153"/>
    <w:rsid w:val="00D051D6"/>
    <w:rsid w:val="00D051FD"/>
    <w:rsid w:val="00D05205"/>
    <w:rsid w:val="00D05207"/>
    <w:rsid w:val="00D0525E"/>
    <w:rsid w:val="00D052E5"/>
    <w:rsid w:val="00D0549C"/>
    <w:rsid w:val="00D05589"/>
    <w:rsid w:val="00D05647"/>
    <w:rsid w:val="00D056AA"/>
    <w:rsid w:val="00D057B0"/>
    <w:rsid w:val="00D057E0"/>
    <w:rsid w:val="00D05835"/>
    <w:rsid w:val="00D059A1"/>
    <w:rsid w:val="00D059CB"/>
    <w:rsid w:val="00D05A07"/>
    <w:rsid w:val="00D05A57"/>
    <w:rsid w:val="00D05A95"/>
    <w:rsid w:val="00D05B08"/>
    <w:rsid w:val="00D05C4E"/>
    <w:rsid w:val="00D05C87"/>
    <w:rsid w:val="00D05DA1"/>
    <w:rsid w:val="00D05DEB"/>
    <w:rsid w:val="00D05EC7"/>
    <w:rsid w:val="00D05F61"/>
    <w:rsid w:val="00D06072"/>
    <w:rsid w:val="00D060B7"/>
    <w:rsid w:val="00D06235"/>
    <w:rsid w:val="00D0634A"/>
    <w:rsid w:val="00D063A7"/>
    <w:rsid w:val="00D063EB"/>
    <w:rsid w:val="00D06420"/>
    <w:rsid w:val="00D0648C"/>
    <w:rsid w:val="00D064E0"/>
    <w:rsid w:val="00D06593"/>
    <w:rsid w:val="00D0664C"/>
    <w:rsid w:val="00D066E0"/>
    <w:rsid w:val="00D066FF"/>
    <w:rsid w:val="00D068AA"/>
    <w:rsid w:val="00D06915"/>
    <w:rsid w:val="00D069A1"/>
    <w:rsid w:val="00D069E7"/>
    <w:rsid w:val="00D069F7"/>
    <w:rsid w:val="00D06A51"/>
    <w:rsid w:val="00D06ACC"/>
    <w:rsid w:val="00D06C82"/>
    <w:rsid w:val="00D06CC3"/>
    <w:rsid w:val="00D06D2D"/>
    <w:rsid w:val="00D06D67"/>
    <w:rsid w:val="00D06E2F"/>
    <w:rsid w:val="00D06EBC"/>
    <w:rsid w:val="00D06EF1"/>
    <w:rsid w:val="00D06F5D"/>
    <w:rsid w:val="00D06FA6"/>
    <w:rsid w:val="00D07016"/>
    <w:rsid w:val="00D07086"/>
    <w:rsid w:val="00D07301"/>
    <w:rsid w:val="00D07310"/>
    <w:rsid w:val="00D07371"/>
    <w:rsid w:val="00D074D7"/>
    <w:rsid w:val="00D07531"/>
    <w:rsid w:val="00D07553"/>
    <w:rsid w:val="00D0755E"/>
    <w:rsid w:val="00D0768F"/>
    <w:rsid w:val="00D07699"/>
    <w:rsid w:val="00D076DC"/>
    <w:rsid w:val="00D0775B"/>
    <w:rsid w:val="00D07848"/>
    <w:rsid w:val="00D07897"/>
    <w:rsid w:val="00D07958"/>
    <w:rsid w:val="00D07973"/>
    <w:rsid w:val="00D079C9"/>
    <w:rsid w:val="00D079DF"/>
    <w:rsid w:val="00D07A09"/>
    <w:rsid w:val="00D07A8A"/>
    <w:rsid w:val="00D07AC3"/>
    <w:rsid w:val="00D07B1A"/>
    <w:rsid w:val="00D07C03"/>
    <w:rsid w:val="00D07C04"/>
    <w:rsid w:val="00D07C67"/>
    <w:rsid w:val="00D07C8E"/>
    <w:rsid w:val="00D07CD9"/>
    <w:rsid w:val="00D07F3A"/>
    <w:rsid w:val="00D07FFD"/>
    <w:rsid w:val="00D10062"/>
    <w:rsid w:val="00D10087"/>
    <w:rsid w:val="00D101D6"/>
    <w:rsid w:val="00D101FD"/>
    <w:rsid w:val="00D10245"/>
    <w:rsid w:val="00D1026D"/>
    <w:rsid w:val="00D1033A"/>
    <w:rsid w:val="00D10372"/>
    <w:rsid w:val="00D1048E"/>
    <w:rsid w:val="00D104F4"/>
    <w:rsid w:val="00D10537"/>
    <w:rsid w:val="00D105B9"/>
    <w:rsid w:val="00D105FC"/>
    <w:rsid w:val="00D106A7"/>
    <w:rsid w:val="00D106F9"/>
    <w:rsid w:val="00D1081A"/>
    <w:rsid w:val="00D109AC"/>
    <w:rsid w:val="00D109E1"/>
    <w:rsid w:val="00D109F0"/>
    <w:rsid w:val="00D10A39"/>
    <w:rsid w:val="00D10AE3"/>
    <w:rsid w:val="00D10B01"/>
    <w:rsid w:val="00D10B79"/>
    <w:rsid w:val="00D10CBA"/>
    <w:rsid w:val="00D10D5A"/>
    <w:rsid w:val="00D10E11"/>
    <w:rsid w:val="00D10F8F"/>
    <w:rsid w:val="00D10FB9"/>
    <w:rsid w:val="00D110BF"/>
    <w:rsid w:val="00D110E5"/>
    <w:rsid w:val="00D111AA"/>
    <w:rsid w:val="00D11231"/>
    <w:rsid w:val="00D11313"/>
    <w:rsid w:val="00D11374"/>
    <w:rsid w:val="00D113A8"/>
    <w:rsid w:val="00D11439"/>
    <w:rsid w:val="00D1145F"/>
    <w:rsid w:val="00D114BD"/>
    <w:rsid w:val="00D114C9"/>
    <w:rsid w:val="00D1155D"/>
    <w:rsid w:val="00D115A0"/>
    <w:rsid w:val="00D1161F"/>
    <w:rsid w:val="00D11660"/>
    <w:rsid w:val="00D116AB"/>
    <w:rsid w:val="00D116D3"/>
    <w:rsid w:val="00D11729"/>
    <w:rsid w:val="00D1174F"/>
    <w:rsid w:val="00D117AC"/>
    <w:rsid w:val="00D1189B"/>
    <w:rsid w:val="00D11994"/>
    <w:rsid w:val="00D11ACE"/>
    <w:rsid w:val="00D11B25"/>
    <w:rsid w:val="00D11CED"/>
    <w:rsid w:val="00D11D05"/>
    <w:rsid w:val="00D11D96"/>
    <w:rsid w:val="00D11D9F"/>
    <w:rsid w:val="00D11DF6"/>
    <w:rsid w:val="00D11E6C"/>
    <w:rsid w:val="00D11FB9"/>
    <w:rsid w:val="00D12097"/>
    <w:rsid w:val="00D12147"/>
    <w:rsid w:val="00D12426"/>
    <w:rsid w:val="00D12437"/>
    <w:rsid w:val="00D12507"/>
    <w:rsid w:val="00D12564"/>
    <w:rsid w:val="00D12581"/>
    <w:rsid w:val="00D12721"/>
    <w:rsid w:val="00D12757"/>
    <w:rsid w:val="00D12760"/>
    <w:rsid w:val="00D12839"/>
    <w:rsid w:val="00D129CB"/>
    <w:rsid w:val="00D12A63"/>
    <w:rsid w:val="00D12AA0"/>
    <w:rsid w:val="00D12AD4"/>
    <w:rsid w:val="00D12B2E"/>
    <w:rsid w:val="00D12B91"/>
    <w:rsid w:val="00D12BAA"/>
    <w:rsid w:val="00D12C41"/>
    <w:rsid w:val="00D12C5C"/>
    <w:rsid w:val="00D12C6C"/>
    <w:rsid w:val="00D12D90"/>
    <w:rsid w:val="00D12DA2"/>
    <w:rsid w:val="00D12EA5"/>
    <w:rsid w:val="00D12F8B"/>
    <w:rsid w:val="00D13046"/>
    <w:rsid w:val="00D1307C"/>
    <w:rsid w:val="00D131A4"/>
    <w:rsid w:val="00D13223"/>
    <w:rsid w:val="00D13247"/>
    <w:rsid w:val="00D132A6"/>
    <w:rsid w:val="00D132B9"/>
    <w:rsid w:val="00D1330C"/>
    <w:rsid w:val="00D1336F"/>
    <w:rsid w:val="00D13384"/>
    <w:rsid w:val="00D134A6"/>
    <w:rsid w:val="00D1352B"/>
    <w:rsid w:val="00D135D8"/>
    <w:rsid w:val="00D135DE"/>
    <w:rsid w:val="00D135E4"/>
    <w:rsid w:val="00D13865"/>
    <w:rsid w:val="00D138A3"/>
    <w:rsid w:val="00D1393E"/>
    <w:rsid w:val="00D139B8"/>
    <w:rsid w:val="00D139DC"/>
    <w:rsid w:val="00D13AAA"/>
    <w:rsid w:val="00D13BF2"/>
    <w:rsid w:val="00D13C53"/>
    <w:rsid w:val="00D13CC8"/>
    <w:rsid w:val="00D13D56"/>
    <w:rsid w:val="00D13D95"/>
    <w:rsid w:val="00D13F35"/>
    <w:rsid w:val="00D13FB8"/>
    <w:rsid w:val="00D13FE3"/>
    <w:rsid w:val="00D14085"/>
    <w:rsid w:val="00D140D4"/>
    <w:rsid w:val="00D14111"/>
    <w:rsid w:val="00D142AD"/>
    <w:rsid w:val="00D142FD"/>
    <w:rsid w:val="00D1430E"/>
    <w:rsid w:val="00D14385"/>
    <w:rsid w:val="00D1438E"/>
    <w:rsid w:val="00D143BF"/>
    <w:rsid w:val="00D144AC"/>
    <w:rsid w:val="00D146B9"/>
    <w:rsid w:val="00D146EE"/>
    <w:rsid w:val="00D146F2"/>
    <w:rsid w:val="00D14769"/>
    <w:rsid w:val="00D14815"/>
    <w:rsid w:val="00D14882"/>
    <w:rsid w:val="00D148DC"/>
    <w:rsid w:val="00D14994"/>
    <w:rsid w:val="00D14A48"/>
    <w:rsid w:val="00D14AE6"/>
    <w:rsid w:val="00D14B0D"/>
    <w:rsid w:val="00D14BE4"/>
    <w:rsid w:val="00D14CB5"/>
    <w:rsid w:val="00D14E19"/>
    <w:rsid w:val="00D14E28"/>
    <w:rsid w:val="00D14F5D"/>
    <w:rsid w:val="00D14FC8"/>
    <w:rsid w:val="00D14FF9"/>
    <w:rsid w:val="00D15184"/>
    <w:rsid w:val="00D15212"/>
    <w:rsid w:val="00D15292"/>
    <w:rsid w:val="00D1533F"/>
    <w:rsid w:val="00D153DF"/>
    <w:rsid w:val="00D15544"/>
    <w:rsid w:val="00D1564B"/>
    <w:rsid w:val="00D15740"/>
    <w:rsid w:val="00D15827"/>
    <w:rsid w:val="00D15888"/>
    <w:rsid w:val="00D158B3"/>
    <w:rsid w:val="00D159B8"/>
    <w:rsid w:val="00D15A2F"/>
    <w:rsid w:val="00D15D06"/>
    <w:rsid w:val="00D15D0C"/>
    <w:rsid w:val="00D15D33"/>
    <w:rsid w:val="00D15DA2"/>
    <w:rsid w:val="00D15DE7"/>
    <w:rsid w:val="00D15EF8"/>
    <w:rsid w:val="00D15FFC"/>
    <w:rsid w:val="00D160C9"/>
    <w:rsid w:val="00D1613E"/>
    <w:rsid w:val="00D16164"/>
    <w:rsid w:val="00D16226"/>
    <w:rsid w:val="00D16301"/>
    <w:rsid w:val="00D16399"/>
    <w:rsid w:val="00D1639C"/>
    <w:rsid w:val="00D16467"/>
    <w:rsid w:val="00D164A2"/>
    <w:rsid w:val="00D164A7"/>
    <w:rsid w:val="00D164C3"/>
    <w:rsid w:val="00D166D2"/>
    <w:rsid w:val="00D168BB"/>
    <w:rsid w:val="00D16909"/>
    <w:rsid w:val="00D16994"/>
    <w:rsid w:val="00D16A5F"/>
    <w:rsid w:val="00D16A66"/>
    <w:rsid w:val="00D16E28"/>
    <w:rsid w:val="00D16F00"/>
    <w:rsid w:val="00D16F1E"/>
    <w:rsid w:val="00D17007"/>
    <w:rsid w:val="00D1720C"/>
    <w:rsid w:val="00D17556"/>
    <w:rsid w:val="00D175F0"/>
    <w:rsid w:val="00D175FB"/>
    <w:rsid w:val="00D17609"/>
    <w:rsid w:val="00D176DB"/>
    <w:rsid w:val="00D177CA"/>
    <w:rsid w:val="00D17839"/>
    <w:rsid w:val="00D17956"/>
    <w:rsid w:val="00D179A6"/>
    <w:rsid w:val="00D179BD"/>
    <w:rsid w:val="00D17B06"/>
    <w:rsid w:val="00D17BD7"/>
    <w:rsid w:val="00D17C44"/>
    <w:rsid w:val="00D17CED"/>
    <w:rsid w:val="00D17D14"/>
    <w:rsid w:val="00D17DD0"/>
    <w:rsid w:val="00D17F3A"/>
    <w:rsid w:val="00D17FBF"/>
    <w:rsid w:val="00D2003B"/>
    <w:rsid w:val="00D20093"/>
    <w:rsid w:val="00D200EF"/>
    <w:rsid w:val="00D200FD"/>
    <w:rsid w:val="00D20106"/>
    <w:rsid w:val="00D201BA"/>
    <w:rsid w:val="00D201E2"/>
    <w:rsid w:val="00D20335"/>
    <w:rsid w:val="00D2040E"/>
    <w:rsid w:val="00D2050E"/>
    <w:rsid w:val="00D20600"/>
    <w:rsid w:val="00D2069D"/>
    <w:rsid w:val="00D206C0"/>
    <w:rsid w:val="00D207DA"/>
    <w:rsid w:val="00D20905"/>
    <w:rsid w:val="00D20A5A"/>
    <w:rsid w:val="00D20A5D"/>
    <w:rsid w:val="00D20B63"/>
    <w:rsid w:val="00D20B9B"/>
    <w:rsid w:val="00D20BE8"/>
    <w:rsid w:val="00D20CFC"/>
    <w:rsid w:val="00D20E0C"/>
    <w:rsid w:val="00D20F06"/>
    <w:rsid w:val="00D20F25"/>
    <w:rsid w:val="00D210A3"/>
    <w:rsid w:val="00D211F8"/>
    <w:rsid w:val="00D212CC"/>
    <w:rsid w:val="00D2133E"/>
    <w:rsid w:val="00D213F6"/>
    <w:rsid w:val="00D213FA"/>
    <w:rsid w:val="00D2144B"/>
    <w:rsid w:val="00D214A3"/>
    <w:rsid w:val="00D21539"/>
    <w:rsid w:val="00D2156A"/>
    <w:rsid w:val="00D215E1"/>
    <w:rsid w:val="00D2171A"/>
    <w:rsid w:val="00D218AE"/>
    <w:rsid w:val="00D2195F"/>
    <w:rsid w:val="00D21A1F"/>
    <w:rsid w:val="00D21B69"/>
    <w:rsid w:val="00D21B71"/>
    <w:rsid w:val="00D21BB1"/>
    <w:rsid w:val="00D21D18"/>
    <w:rsid w:val="00D21DC8"/>
    <w:rsid w:val="00D21E42"/>
    <w:rsid w:val="00D21F71"/>
    <w:rsid w:val="00D21F90"/>
    <w:rsid w:val="00D21FAA"/>
    <w:rsid w:val="00D2206A"/>
    <w:rsid w:val="00D22319"/>
    <w:rsid w:val="00D223AA"/>
    <w:rsid w:val="00D223FA"/>
    <w:rsid w:val="00D22597"/>
    <w:rsid w:val="00D225C3"/>
    <w:rsid w:val="00D225C6"/>
    <w:rsid w:val="00D225D2"/>
    <w:rsid w:val="00D22603"/>
    <w:rsid w:val="00D22741"/>
    <w:rsid w:val="00D22766"/>
    <w:rsid w:val="00D227C6"/>
    <w:rsid w:val="00D227F5"/>
    <w:rsid w:val="00D2282D"/>
    <w:rsid w:val="00D22882"/>
    <w:rsid w:val="00D22A33"/>
    <w:rsid w:val="00D22AA0"/>
    <w:rsid w:val="00D22BB2"/>
    <w:rsid w:val="00D22C38"/>
    <w:rsid w:val="00D22D3F"/>
    <w:rsid w:val="00D22D4A"/>
    <w:rsid w:val="00D22DF3"/>
    <w:rsid w:val="00D22DFD"/>
    <w:rsid w:val="00D22ED3"/>
    <w:rsid w:val="00D22F39"/>
    <w:rsid w:val="00D23073"/>
    <w:rsid w:val="00D2310B"/>
    <w:rsid w:val="00D23151"/>
    <w:rsid w:val="00D23179"/>
    <w:rsid w:val="00D231EE"/>
    <w:rsid w:val="00D23209"/>
    <w:rsid w:val="00D2320D"/>
    <w:rsid w:val="00D23267"/>
    <w:rsid w:val="00D23276"/>
    <w:rsid w:val="00D23299"/>
    <w:rsid w:val="00D2334C"/>
    <w:rsid w:val="00D23498"/>
    <w:rsid w:val="00D235C7"/>
    <w:rsid w:val="00D2366D"/>
    <w:rsid w:val="00D236BB"/>
    <w:rsid w:val="00D238CD"/>
    <w:rsid w:val="00D239A6"/>
    <w:rsid w:val="00D239DB"/>
    <w:rsid w:val="00D23AE0"/>
    <w:rsid w:val="00D23EB3"/>
    <w:rsid w:val="00D23F1D"/>
    <w:rsid w:val="00D23F60"/>
    <w:rsid w:val="00D23FA1"/>
    <w:rsid w:val="00D24039"/>
    <w:rsid w:val="00D2405F"/>
    <w:rsid w:val="00D2420F"/>
    <w:rsid w:val="00D2430A"/>
    <w:rsid w:val="00D2432E"/>
    <w:rsid w:val="00D245EC"/>
    <w:rsid w:val="00D24607"/>
    <w:rsid w:val="00D24669"/>
    <w:rsid w:val="00D2467C"/>
    <w:rsid w:val="00D24741"/>
    <w:rsid w:val="00D24788"/>
    <w:rsid w:val="00D24814"/>
    <w:rsid w:val="00D24880"/>
    <w:rsid w:val="00D24888"/>
    <w:rsid w:val="00D2492A"/>
    <w:rsid w:val="00D24A3A"/>
    <w:rsid w:val="00D24A8B"/>
    <w:rsid w:val="00D24ACB"/>
    <w:rsid w:val="00D24BBA"/>
    <w:rsid w:val="00D24C64"/>
    <w:rsid w:val="00D24C98"/>
    <w:rsid w:val="00D24CAD"/>
    <w:rsid w:val="00D24CCD"/>
    <w:rsid w:val="00D24CDA"/>
    <w:rsid w:val="00D24D5E"/>
    <w:rsid w:val="00D24ED5"/>
    <w:rsid w:val="00D24EDB"/>
    <w:rsid w:val="00D24F4E"/>
    <w:rsid w:val="00D25120"/>
    <w:rsid w:val="00D25146"/>
    <w:rsid w:val="00D251B0"/>
    <w:rsid w:val="00D25223"/>
    <w:rsid w:val="00D25311"/>
    <w:rsid w:val="00D253CB"/>
    <w:rsid w:val="00D253DA"/>
    <w:rsid w:val="00D255A3"/>
    <w:rsid w:val="00D2560B"/>
    <w:rsid w:val="00D256A8"/>
    <w:rsid w:val="00D256C2"/>
    <w:rsid w:val="00D25A45"/>
    <w:rsid w:val="00D25A53"/>
    <w:rsid w:val="00D25AC2"/>
    <w:rsid w:val="00D25BD2"/>
    <w:rsid w:val="00D25D12"/>
    <w:rsid w:val="00D25DEC"/>
    <w:rsid w:val="00D25EC8"/>
    <w:rsid w:val="00D25F2F"/>
    <w:rsid w:val="00D26367"/>
    <w:rsid w:val="00D263B6"/>
    <w:rsid w:val="00D2645B"/>
    <w:rsid w:val="00D2649B"/>
    <w:rsid w:val="00D26614"/>
    <w:rsid w:val="00D2662E"/>
    <w:rsid w:val="00D267C0"/>
    <w:rsid w:val="00D2680E"/>
    <w:rsid w:val="00D26814"/>
    <w:rsid w:val="00D26928"/>
    <w:rsid w:val="00D26940"/>
    <w:rsid w:val="00D2699F"/>
    <w:rsid w:val="00D269C8"/>
    <w:rsid w:val="00D26B42"/>
    <w:rsid w:val="00D26B80"/>
    <w:rsid w:val="00D26BA9"/>
    <w:rsid w:val="00D26C19"/>
    <w:rsid w:val="00D26CFA"/>
    <w:rsid w:val="00D26DEC"/>
    <w:rsid w:val="00D26E64"/>
    <w:rsid w:val="00D26FBF"/>
    <w:rsid w:val="00D270CA"/>
    <w:rsid w:val="00D27139"/>
    <w:rsid w:val="00D271A6"/>
    <w:rsid w:val="00D271DB"/>
    <w:rsid w:val="00D27280"/>
    <w:rsid w:val="00D27494"/>
    <w:rsid w:val="00D2749C"/>
    <w:rsid w:val="00D274D0"/>
    <w:rsid w:val="00D2755A"/>
    <w:rsid w:val="00D275D4"/>
    <w:rsid w:val="00D275DA"/>
    <w:rsid w:val="00D27640"/>
    <w:rsid w:val="00D276B4"/>
    <w:rsid w:val="00D2778B"/>
    <w:rsid w:val="00D27792"/>
    <w:rsid w:val="00D279E2"/>
    <w:rsid w:val="00D27A49"/>
    <w:rsid w:val="00D27A62"/>
    <w:rsid w:val="00D27BC2"/>
    <w:rsid w:val="00D27C51"/>
    <w:rsid w:val="00D27DA8"/>
    <w:rsid w:val="00D27E02"/>
    <w:rsid w:val="00D27E69"/>
    <w:rsid w:val="00D27EED"/>
    <w:rsid w:val="00D301FB"/>
    <w:rsid w:val="00D302A8"/>
    <w:rsid w:val="00D302AD"/>
    <w:rsid w:val="00D303D1"/>
    <w:rsid w:val="00D30489"/>
    <w:rsid w:val="00D30491"/>
    <w:rsid w:val="00D30597"/>
    <w:rsid w:val="00D305FB"/>
    <w:rsid w:val="00D306D1"/>
    <w:rsid w:val="00D307A2"/>
    <w:rsid w:val="00D307ED"/>
    <w:rsid w:val="00D308B0"/>
    <w:rsid w:val="00D309C3"/>
    <w:rsid w:val="00D30C62"/>
    <w:rsid w:val="00D30D0D"/>
    <w:rsid w:val="00D30DFA"/>
    <w:rsid w:val="00D30E56"/>
    <w:rsid w:val="00D30EB8"/>
    <w:rsid w:val="00D3112B"/>
    <w:rsid w:val="00D3113D"/>
    <w:rsid w:val="00D312D4"/>
    <w:rsid w:val="00D31401"/>
    <w:rsid w:val="00D3142B"/>
    <w:rsid w:val="00D314DC"/>
    <w:rsid w:val="00D3155A"/>
    <w:rsid w:val="00D3156E"/>
    <w:rsid w:val="00D315FC"/>
    <w:rsid w:val="00D31648"/>
    <w:rsid w:val="00D316D7"/>
    <w:rsid w:val="00D316FE"/>
    <w:rsid w:val="00D31775"/>
    <w:rsid w:val="00D318E1"/>
    <w:rsid w:val="00D31946"/>
    <w:rsid w:val="00D319DA"/>
    <w:rsid w:val="00D319ED"/>
    <w:rsid w:val="00D319F3"/>
    <w:rsid w:val="00D31B9B"/>
    <w:rsid w:val="00D31BCC"/>
    <w:rsid w:val="00D31BCF"/>
    <w:rsid w:val="00D31C05"/>
    <w:rsid w:val="00D31C2B"/>
    <w:rsid w:val="00D31C30"/>
    <w:rsid w:val="00D31DEA"/>
    <w:rsid w:val="00D31E44"/>
    <w:rsid w:val="00D31E5D"/>
    <w:rsid w:val="00D31EB5"/>
    <w:rsid w:val="00D32009"/>
    <w:rsid w:val="00D320DB"/>
    <w:rsid w:val="00D3211B"/>
    <w:rsid w:val="00D32181"/>
    <w:rsid w:val="00D32285"/>
    <w:rsid w:val="00D322B2"/>
    <w:rsid w:val="00D322EB"/>
    <w:rsid w:val="00D325B2"/>
    <w:rsid w:val="00D32651"/>
    <w:rsid w:val="00D3265D"/>
    <w:rsid w:val="00D3273B"/>
    <w:rsid w:val="00D327AA"/>
    <w:rsid w:val="00D327B3"/>
    <w:rsid w:val="00D32805"/>
    <w:rsid w:val="00D328A8"/>
    <w:rsid w:val="00D32A15"/>
    <w:rsid w:val="00D32CB0"/>
    <w:rsid w:val="00D32D0A"/>
    <w:rsid w:val="00D32D52"/>
    <w:rsid w:val="00D32DDE"/>
    <w:rsid w:val="00D32E75"/>
    <w:rsid w:val="00D33047"/>
    <w:rsid w:val="00D331B4"/>
    <w:rsid w:val="00D331B8"/>
    <w:rsid w:val="00D331F0"/>
    <w:rsid w:val="00D33257"/>
    <w:rsid w:val="00D332F8"/>
    <w:rsid w:val="00D33320"/>
    <w:rsid w:val="00D333C7"/>
    <w:rsid w:val="00D3342F"/>
    <w:rsid w:val="00D3346E"/>
    <w:rsid w:val="00D3347F"/>
    <w:rsid w:val="00D334B7"/>
    <w:rsid w:val="00D3356B"/>
    <w:rsid w:val="00D33668"/>
    <w:rsid w:val="00D3366E"/>
    <w:rsid w:val="00D3367A"/>
    <w:rsid w:val="00D33795"/>
    <w:rsid w:val="00D338E9"/>
    <w:rsid w:val="00D33ACB"/>
    <w:rsid w:val="00D33B53"/>
    <w:rsid w:val="00D33BAA"/>
    <w:rsid w:val="00D33BCE"/>
    <w:rsid w:val="00D33BDB"/>
    <w:rsid w:val="00D33C31"/>
    <w:rsid w:val="00D33CA3"/>
    <w:rsid w:val="00D33E19"/>
    <w:rsid w:val="00D33EED"/>
    <w:rsid w:val="00D33F33"/>
    <w:rsid w:val="00D33F90"/>
    <w:rsid w:val="00D33FF8"/>
    <w:rsid w:val="00D3400D"/>
    <w:rsid w:val="00D340A7"/>
    <w:rsid w:val="00D34119"/>
    <w:rsid w:val="00D34129"/>
    <w:rsid w:val="00D34170"/>
    <w:rsid w:val="00D341F8"/>
    <w:rsid w:val="00D3424F"/>
    <w:rsid w:val="00D342E7"/>
    <w:rsid w:val="00D343A3"/>
    <w:rsid w:val="00D34419"/>
    <w:rsid w:val="00D34454"/>
    <w:rsid w:val="00D3453D"/>
    <w:rsid w:val="00D3454E"/>
    <w:rsid w:val="00D34552"/>
    <w:rsid w:val="00D346F2"/>
    <w:rsid w:val="00D346F3"/>
    <w:rsid w:val="00D34752"/>
    <w:rsid w:val="00D3479C"/>
    <w:rsid w:val="00D347FB"/>
    <w:rsid w:val="00D348FC"/>
    <w:rsid w:val="00D34963"/>
    <w:rsid w:val="00D3496F"/>
    <w:rsid w:val="00D34971"/>
    <w:rsid w:val="00D34A4D"/>
    <w:rsid w:val="00D34BF3"/>
    <w:rsid w:val="00D34C51"/>
    <w:rsid w:val="00D34D1A"/>
    <w:rsid w:val="00D34D83"/>
    <w:rsid w:val="00D35015"/>
    <w:rsid w:val="00D3531D"/>
    <w:rsid w:val="00D353F3"/>
    <w:rsid w:val="00D35478"/>
    <w:rsid w:val="00D356A4"/>
    <w:rsid w:val="00D35777"/>
    <w:rsid w:val="00D35790"/>
    <w:rsid w:val="00D357B7"/>
    <w:rsid w:val="00D35802"/>
    <w:rsid w:val="00D35855"/>
    <w:rsid w:val="00D35917"/>
    <w:rsid w:val="00D35AFA"/>
    <w:rsid w:val="00D35B4B"/>
    <w:rsid w:val="00D35B53"/>
    <w:rsid w:val="00D35B73"/>
    <w:rsid w:val="00D35C5D"/>
    <w:rsid w:val="00D35D78"/>
    <w:rsid w:val="00D35EE3"/>
    <w:rsid w:val="00D35EE7"/>
    <w:rsid w:val="00D35EF0"/>
    <w:rsid w:val="00D35F17"/>
    <w:rsid w:val="00D35F1B"/>
    <w:rsid w:val="00D35F65"/>
    <w:rsid w:val="00D35F6D"/>
    <w:rsid w:val="00D36067"/>
    <w:rsid w:val="00D3611D"/>
    <w:rsid w:val="00D36197"/>
    <w:rsid w:val="00D362F9"/>
    <w:rsid w:val="00D36374"/>
    <w:rsid w:val="00D3658D"/>
    <w:rsid w:val="00D365B7"/>
    <w:rsid w:val="00D36608"/>
    <w:rsid w:val="00D3666C"/>
    <w:rsid w:val="00D366AD"/>
    <w:rsid w:val="00D366CE"/>
    <w:rsid w:val="00D36752"/>
    <w:rsid w:val="00D367AA"/>
    <w:rsid w:val="00D36828"/>
    <w:rsid w:val="00D3685E"/>
    <w:rsid w:val="00D36938"/>
    <w:rsid w:val="00D36AB8"/>
    <w:rsid w:val="00D36B19"/>
    <w:rsid w:val="00D36C48"/>
    <w:rsid w:val="00D36C56"/>
    <w:rsid w:val="00D36C96"/>
    <w:rsid w:val="00D36CE0"/>
    <w:rsid w:val="00D36CE7"/>
    <w:rsid w:val="00D36E1C"/>
    <w:rsid w:val="00D36E6F"/>
    <w:rsid w:val="00D36EC5"/>
    <w:rsid w:val="00D36F66"/>
    <w:rsid w:val="00D36F89"/>
    <w:rsid w:val="00D36FAF"/>
    <w:rsid w:val="00D37038"/>
    <w:rsid w:val="00D3703E"/>
    <w:rsid w:val="00D370E3"/>
    <w:rsid w:val="00D371DD"/>
    <w:rsid w:val="00D37221"/>
    <w:rsid w:val="00D372B3"/>
    <w:rsid w:val="00D37396"/>
    <w:rsid w:val="00D373FD"/>
    <w:rsid w:val="00D37510"/>
    <w:rsid w:val="00D37513"/>
    <w:rsid w:val="00D37598"/>
    <w:rsid w:val="00D3770D"/>
    <w:rsid w:val="00D3779B"/>
    <w:rsid w:val="00D377BE"/>
    <w:rsid w:val="00D37910"/>
    <w:rsid w:val="00D3795B"/>
    <w:rsid w:val="00D379B3"/>
    <w:rsid w:val="00D379E4"/>
    <w:rsid w:val="00D37A50"/>
    <w:rsid w:val="00D37A68"/>
    <w:rsid w:val="00D37B11"/>
    <w:rsid w:val="00D37BA1"/>
    <w:rsid w:val="00D37C11"/>
    <w:rsid w:val="00D37C6C"/>
    <w:rsid w:val="00D37CC5"/>
    <w:rsid w:val="00D37D44"/>
    <w:rsid w:val="00D37E10"/>
    <w:rsid w:val="00D37E51"/>
    <w:rsid w:val="00D37EA6"/>
    <w:rsid w:val="00D37ECA"/>
    <w:rsid w:val="00D37FC6"/>
    <w:rsid w:val="00D40126"/>
    <w:rsid w:val="00D4015B"/>
    <w:rsid w:val="00D40163"/>
    <w:rsid w:val="00D40194"/>
    <w:rsid w:val="00D401C8"/>
    <w:rsid w:val="00D40219"/>
    <w:rsid w:val="00D403C9"/>
    <w:rsid w:val="00D40429"/>
    <w:rsid w:val="00D4053E"/>
    <w:rsid w:val="00D405BD"/>
    <w:rsid w:val="00D40623"/>
    <w:rsid w:val="00D406D0"/>
    <w:rsid w:val="00D4077E"/>
    <w:rsid w:val="00D407A8"/>
    <w:rsid w:val="00D40841"/>
    <w:rsid w:val="00D4085B"/>
    <w:rsid w:val="00D4094E"/>
    <w:rsid w:val="00D4099C"/>
    <w:rsid w:val="00D409E8"/>
    <w:rsid w:val="00D40A7C"/>
    <w:rsid w:val="00D40BAB"/>
    <w:rsid w:val="00D40C0F"/>
    <w:rsid w:val="00D40C56"/>
    <w:rsid w:val="00D40C9B"/>
    <w:rsid w:val="00D40CC5"/>
    <w:rsid w:val="00D40DD9"/>
    <w:rsid w:val="00D40DE4"/>
    <w:rsid w:val="00D40DEB"/>
    <w:rsid w:val="00D41155"/>
    <w:rsid w:val="00D411FC"/>
    <w:rsid w:val="00D4124C"/>
    <w:rsid w:val="00D41274"/>
    <w:rsid w:val="00D41321"/>
    <w:rsid w:val="00D4136E"/>
    <w:rsid w:val="00D4139D"/>
    <w:rsid w:val="00D41415"/>
    <w:rsid w:val="00D41419"/>
    <w:rsid w:val="00D41475"/>
    <w:rsid w:val="00D414E3"/>
    <w:rsid w:val="00D415B2"/>
    <w:rsid w:val="00D4162B"/>
    <w:rsid w:val="00D41649"/>
    <w:rsid w:val="00D4170C"/>
    <w:rsid w:val="00D4171F"/>
    <w:rsid w:val="00D41747"/>
    <w:rsid w:val="00D418F4"/>
    <w:rsid w:val="00D41914"/>
    <w:rsid w:val="00D419EC"/>
    <w:rsid w:val="00D41A0E"/>
    <w:rsid w:val="00D41A78"/>
    <w:rsid w:val="00D41A94"/>
    <w:rsid w:val="00D41AC4"/>
    <w:rsid w:val="00D41AFD"/>
    <w:rsid w:val="00D41B6C"/>
    <w:rsid w:val="00D41BFC"/>
    <w:rsid w:val="00D41C94"/>
    <w:rsid w:val="00D41CF0"/>
    <w:rsid w:val="00D41DE7"/>
    <w:rsid w:val="00D41E29"/>
    <w:rsid w:val="00D41EB1"/>
    <w:rsid w:val="00D41F7B"/>
    <w:rsid w:val="00D41F80"/>
    <w:rsid w:val="00D41FE8"/>
    <w:rsid w:val="00D42074"/>
    <w:rsid w:val="00D4213F"/>
    <w:rsid w:val="00D421F0"/>
    <w:rsid w:val="00D4223E"/>
    <w:rsid w:val="00D42266"/>
    <w:rsid w:val="00D4231B"/>
    <w:rsid w:val="00D4234F"/>
    <w:rsid w:val="00D423C9"/>
    <w:rsid w:val="00D4263C"/>
    <w:rsid w:val="00D42653"/>
    <w:rsid w:val="00D42713"/>
    <w:rsid w:val="00D42719"/>
    <w:rsid w:val="00D4272D"/>
    <w:rsid w:val="00D428C5"/>
    <w:rsid w:val="00D428EB"/>
    <w:rsid w:val="00D4297E"/>
    <w:rsid w:val="00D42A83"/>
    <w:rsid w:val="00D42B20"/>
    <w:rsid w:val="00D42B78"/>
    <w:rsid w:val="00D42BD0"/>
    <w:rsid w:val="00D42C07"/>
    <w:rsid w:val="00D42C33"/>
    <w:rsid w:val="00D42C36"/>
    <w:rsid w:val="00D42E9F"/>
    <w:rsid w:val="00D42F41"/>
    <w:rsid w:val="00D42FC0"/>
    <w:rsid w:val="00D4306B"/>
    <w:rsid w:val="00D43125"/>
    <w:rsid w:val="00D43154"/>
    <w:rsid w:val="00D4323F"/>
    <w:rsid w:val="00D43302"/>
    <w:rsid w:val="00D43386"/>
    <w:rsid w:val="00D43546"/>
    <w:rsid w:val="00D43550"/>
    <w:rsid w:val="00D43571"/>
    <w:rsid w:val="00D43579"/>
    <w:rsid w:val="00D435BD"/>
    <w:rsid w:val="00D435E8"/>
    <w:rsid w:val="00D4362C"/>
    <w:rsid w:val="00D436FA"/>
    <w:rsid w:val="00D43862"/>
    <w:rsid w:val="00D438AE"/>
    <w:rsid w:val="00D43A66"/>
    <w:rsid w:val="00D43BDF"/>
    <w:rsid w:val="00D43C3D"/>
    <w:rsid w:val="00D43CDE"/>
    <w:rsid w:val="00D43FB8"/>
    <w:rsid w:val="00D4400F"/>
    <w:rsid w:val="00D4402E"/>
    <w:rsid w:val="00D44123"/>
    <w:rsid w:val="00D441EE"/>
    <w:rsid w:val="00D44291"/>
    <w:rsid w:val="00D4446C"/>
    <w:rsid w:val="00D4453E"/>
    <w:rsid w:val="00D4465B"/>
    <w:rsid w:val="00D446B1"/>
    <w:rsid w:val="00D4478B"/>
    <w:rsid w:val="00D447AF"/>
    <w:rsid w:val="00D447EE"/>
    <w:rsid w:val="00D4485E"/>
    <w:rsid w:val="00D44865"/>
    <w:rsid w:val="00D448B2"/>
    <w:rsid w:val="00D44A4A"/>
    <w:rsid w:val="00D44B02"/>
    <w:rsid w:val="00D44B59"/>
    <w:rsid w:val="00D44C11"/>
    <w:rsid w:val="00D44C3D"/>
    <w:rsid w:val="00D44C51"/>
    <w:rsid w:val="00D44C65"/>
    <w:rsid w:val="00D44CDF"/>
    <w:rsid w:val="00D44CF8"/>
    <w:rsid w:val="00D44E49"/>
    <w:rsid w:val="00D44FE9"/>
    <w:rsid w:val="00D45029"/>
    <w:rsid w:val="00D4518B"/>
    <w:rsid w:val="00D45192"/>
    <w:rsid w:val="00D4539B"/>
    <w:rsid w:val="00D453C3"/>
    <w:rsid w:val="00D454F8"/>
    <w:rsid w:val="00D45576"/>
    <w:rsid w:val="00D45825"/>
    <w:rsid w:val="00D45933"/>
    <w:rsid w:val="00D45993"/>
    <w:rsid w:val="00D459BC"/>
    <w:rsid w:val="00D45A35"/>
    <w:rsid w:val="00D45A90"/>
    <w:rsid w:val="00D45A92"/>
    <w:rsid w:val="00D45B6E"/>
    <w:rsid w:val="00D45BA4"/>
    <w:rsid w:val="00D45BA6"/>
    <w:rsid w:val="00D45C0B"/>
    <w:rsid w:val="00D45CAC"/>
    <w:rsid w:val="00D45D83"/>
    <w:rsid w:val="00D45D85"/>
    <w:rsid w:val="00D45E11"/>
    <w:rsid w:val="00D45FBA"/>
    <w:rsid w:val="00D45FCB"/>
    <w:rsid w:val="00D4627A"/>
    <w:rsid w:val="00D46284"/>
    <w:rsid w:val="00D46303"/>
    <w:rsid w:val="00D46329"/>
    <w:rsid w:val="00D46402"/>
    <w:rsid w:val="00D4643D"/>
    <w:rsid w:val="00D464B7"/>
    <w:rsid w:val="00D46681"/>
    <w:rsid w:val="00D466B9"/>
    <w:rsid w:val="00D4690A"/>
    <w:rsid w:val="00D469F5"/>
    <w:rsid w:val="00D46A09"/>
    <w:rsid w:val="00D46A6C"/>
    <w:rsid w:val="00D46AB8"/>
    <w:rsid w:val="00D46B43"/>
    <w:rsid w:val="00D46BA6"/>
    <w:rsid w:val="00D46C10"/>
    <w:rsid w:val="00D46C9D"/>
    <w:rsid w:val="00D46D09"/>
    <w:rsid w:val="00D46D18"/>
    <w:rsid w:val="00D46E86"/>
    <w:rsid w:val="00D46EDE"/>
    <w:rsid w:val="00D46EF8"/>
    <w:rsid w:val="00D4709C"/>
    <w:rsid w:val="00D47264"/>
    <w:rsid w:val="00D473B6"/>
    <w:rsid w:val="00D47401"/>
    <w:rsid w:val="00D47443"/>
    <w:rsid w:val="00D475CF"/>
    <w:rsid w:val="00D475D8"/>
    <w:rsid w:val="00D47691"/>
    <w:rsid w:val="00D476E8"/>
    <w:rsid w:val="00D47743"/>
    <w:rsid w:val="00D47917"/>
    <w:rsid w:val="00D47A3B"/>
    <w:rsid w:val="00D47A8A"/>
    <w:rsid w:val="00D47AFB"/>
    <w:rsid w:val="00D47B7C"/>
    <w:rsid w:val="00D47B90"/>
    <w:rsid w:val="00D47BE1"/>
    <w:rsid w:val="00D47C04"/>
    <w:rsid w:val="00D47D08"/>
    <w:rsid w:val="00D47F4B"/>
    <w:rsid w:val="00D500F8"/>
    <w:rsid w:val="00D5011E"/>
    <w:rsid w:val="00D501B5"/>
    <w:rsid w:val="00D50202"/>
    <w:rsid w:val="00D50292"/>
    <w:rsid w:val="00D502B9"/>
    <w:rsid w:val="00D50395"/>
    <w:rsid w:val="00D5044C"/>
    <w:rsid w:val="00D504A2"/>
    <w:rsid w:val="00D5050A"/>
    <w:rsid w:val="00D5053C"/>
    <w:rsid w:val="00D506A7"/>
    <w:rsid w:val="00D50761"/>
    <w:rsid w:val="00D50762"/>
    <w:rsid w:val="00D507D0"/>
    <w:rsid w:val="00D508AA"/>
    <w:rsid w:val="00D508CA"/>
    <w:rsid w:val="00D5093E"/>
    <w:rsid w:val="00D50A2F"/>
    <w:rsid w:val="00D50AFB"/>
    <w:rsid w:val="00D50BAA"/>
    <w:rsid w:val="00D50CCA"/>
    <w:rsid w:val="00D50D97"/>
    <w:rsid w:val="00D50DC8"/>
    <w:rsid w:val="00D50DF9"/>
    <w:rsid w:val="00D50DFC"/>
    <w:rsid w:val="00D50E23"/>
    <w:rsid w:val="00D50E2F"/>
    <w:rsid w:val="00D50E9C"/>
    <w:rsid w:val="00D50F5B"/>
    <w:rsid w:val="00D51049"/>
    <w:rsid w:val="00D51134"/>
    <w:rsid w:val="00D51182"/>
    <w:rsid w:val="00D512F2"/>
    <w:rsid w:val="00D5130F"/>
    <w:rsid w:val="00D51347"/>
    <w:rsid w:val="00D5135E"/>
    <w:rsid w:val="00D5138E"/>
    <w:rsid w:val="00D51684"/>
    <w:rsid w:val="00D51685"/>
    <w:rsid w:val="00D51804"/>
    <w:rsid w:val="00D518E3"/>
    <w:rsid w:val="00D518E5"/>
    <w:rsid w:val="00D51947"/>
    <w:rsid w:val="00D5199D"/>
    <w:rsid w:val="00D51ACB"/>
    <w:rsid w:val="00D51AF7"/>
    <w:rsid w:val="00D51B14"/>
    <w:rsid w:val="00D51B4E"/>
    <w:rsid w:val="00D51C63"/>
    <w:rsid w:val="00D51D10"/>
    <w:rsid w:val="00D51D41"/>
    <w:rsid w:val="00D51EE0"/>
    <w:rsid w:val="00D51F2C"/>
    <w:rsid w:val="00D52027"/>
    <w:rsid w:val="00D5202D"/>
    <w:rsid w:val="00D52094"/>
    <w:rsid w:val="00D520CB"/>
    <w:rsid w:val="00D52198"/>
    <w:rsid w:val="00D521D1"/>
    <w:rsid w:val="00D523E9"/>
    <w:rsid w:val="00D525B3"/>
    <w:rsid w:val="00D5262B"/>
    <w:rsid w:val="00D526AC"/>
    <w:rsid w:val="00D52730"/>
    <w:rsid w:val="00D52779"/>
    <w:rsid w:val="00D52806"/>
    <w:rsid w:val="00D52898"/>
    <w:rsid w:val="00D5291A"/>
    <w:rsid w:val="00D529F7"/>
    <w:rsid w:val="00D52AB6"/>
    <w:rsid w:val="00D52C29"/>
    <w:rsid w:val="00D52C42"/>
    <w:rsid w:val="00D52CBF"/>
    <w:rsid w:val="00D52CC0"/>
    <w:rsid w:val="00D52EC0"/>
    <w:rsid w:val="00D52F61"/>
    <w:rsid w:val="00D52FA4"/>
    <w:rsid w:val="00D53025"/>
    <w:rsid w:val="00D5309B"/>
    <w:rsid w:val="00D530D4"/>
    <w:rsid w:val="00D53147"/>
    <w:rsid w:val="00D53186"/>
    <w:rsid w:val="00D531A6"/>
    <w:rsid w:val="00D532AA"/>
    <w:rsid w:val="00D532D2"/>
    <w:rsid w:val="00D532D5"/>
    <w:rsid w:val="00D534CC"/>
    <w:rsid w:val="00D53512"/>
    <w:rsid w:val="00D53775"/>
    <w:rsid w:val="00D537BB"/>
    <w:rsid w:val="00D537C9"/>
    <w:rsid w:val="00D53839"/>
    <w:rsid w:val="00D538D3"/>
    <w:rsid w:val="00D53914"/>
    <w:rsid w:val="00D53922"/>
    <w:rsid w:val="00D53998"/>
    <w:rsid w:val="00D539EF"/>
    <w:rsid w:val="00D53AC0"/>
    <w:rsid w:val="00D53B1A"/>
    <w:rsid w:val="00D53B1B"/>
    <w:rsid w:val="00D53CF6"/>
    <w:rsid w:val="00D53DBD"/>
    <w:rsid w:val="00D53DC4"/>
    <w:rsid w:val="00D53E2C"/>
    <w:rsid w:val="00D53F19"/>
    <w:rsid w:val="00D53F64"/>
    <w:rsid w:val="00D53FC8"/>
    <w:rsid w:val="00D53FCC"/>
    <w:rsid w:val="00D53FF2"/>
    <w:rsid w:val="00D540A0"/>
    <w:rsid w:val="00D54295"/>
    <w:rsid w:val="00D543B5"/>
    <w:rsid w:val="00D543B9"/>
    <w:rsid w:val="00D543FF"/>
    <w:rsid w:val="00D54432"/>
    <w:rsid w:val="00D5444C"/>
    <w:rsid w:val="00D544B3"/>
    <w:rsid w:val="00D54561"/>
    <w:rsid w:val="00D5456C"/>
    <w:rsid w:val="00D54572"/>
    <w:rsid w:val="00D546A2"/>
    <w:rsid w:val="00D54798"/>
    <w:rsid w:val="00D547DF"/>
    <w:rsid w:val="00D54868"/>
    <w:rsid w:val="00D54950"/>
    <w:rsid w:val="00D54C44"/>
    <w:rsid w:val="00D54DB8"/>
    <w:rsid w:val="00D54E16"/>
    <w:rsid w:val="00D54E50"/>
    <w:rsid w:val="00D54E6A"/>
    <w:rsid w:val="00D54E78"/>
    <w:rsid w:val="00D54F13"/>
    <w:rsid w:val="00D550A5"/>
    <w:rsid w:val="00D5521E"/>
    <w:rsid w:val="00D55220"/>
    <w:rsid w:val="00D55229"/>
    <w:rsid w:val="00D55234"/>
    <w:rsid w:val="00D55261"/>
    <w:rsid w:val="00D55287"/>
    <w:rsid w:val="00D552C3"/>
    <w:rsid w:val="00D5530D"/>
    <w:rsid w:val="00D553BF"/>
    <w:rsid w:val="00D553EC"/>
    <w:rsid w:val="00D55406"/>
    <w:rsid w:val="00D55441"/>
    <w:rsid w:val="00D55486"/>
    <w:rsid w:val="00D554CA"/>
    <w:rsid w:val="00D554FB"/>
    <w:rsid w:val="00D555BE"/>
    <w:rsid w:val="00D5576F"/>
    <w:rsid w:val="00D558F9"/>
    <w:rsid w:val="00D55926"/>
    <w:rsid w:val="00D55BBD"/>
    <w:rsid w:val="00D55C90"/>
    <w:rsid w:val="00D55DD4"/>
    <w:rsid w:val="00D55DDD"/>
    <w:rsid w:val="00D55DE9"/>
    <w:rsid w:val="00D55E10"/>
    <w:rsid w:val="00D55E49"/>
    <w:rsid w:val="00D55E6E"/>
    <w:rsid w:val="00D55E6F"/>
    <w:rsid w:val="00D55EA1"/>
    <w:rsid w:val="00D55F95"/>
    <w:rsid w:val="00D56082"/>
    <w:rsid w:val="00D56201"/>
    <w:rsid w:val="00D56215"/>
    <w:rsid w:val="00D5626F"/>
    <w:rsid w:val="00D562CD"/>
    <w:rsid w:val="00D563C8"/>
    <w:rsid w:val="00D5644D"/>
    <w:rsid w:val="00D56494"/>
    <w:rsid w:val="00D564F5"/>
    <w:rsid w:val="00D56509"/>
    <w:rsid w:val="00D56567"/>
    <w:rsid w:val="00D56753"/>
    <w:rsid w:val="00D5682B"/>
    <w:rsid w:val="00D56904"/>
    <w:rsid w:val="00D5691D"/>
    <w:rsid w:val="00D569A2"/>
    <w:rsid w:val="00D569BF"/>
    <w:rsid w:val="00D569D9"/>
    <w:rsid w:val="00D56C23"/>
    <w:rsid w:val="00D56C47"/>
    <w:rsid w:val="00D56CB6"/>
    <w:rsid w:val="00D56D88"/>
    <w:rsid w:val="00D56ED1"/>
    <w:rsid w:val="00D56EE1"/>
    <w:rsid w:val="00D56F6D"/>
    <w:rsid w:val="00D56FA7"/>
    <w:rsid w:val="00D56FD9"/>
    <w:rsid w:val="00D57069"/>
    <w:rsid w:val="00D57099"/>
    <w:rsid w:val="00D5736B"/>
    <w:rsid w:val="00D5743B"/>
    <w:rsid w:val="00D57453"/>
    <w:rsid w:val="00D57573"/>
    <w:rsid w:val="00D578CE"/>
    <w:rsid w:val="00D57930"/>
    <w:rsid w:val="00D57938"/>
    <w:rsid w:val="00D57B08"/>
    <w:rsid w:val="00D57B31"/>
    <w:rsid w:val="00D57B59"/>
    <w:rsid w:val="00D57C54"/>
    <w:rsid w:val="00D57C8D"/>
    <w:rsid w:val="00D57D0A"/>
    <w:rsid w:val="00D57DB8"/>
    <w:rsid w:val="00D57EBB"/>
    <w:rsid w:val="00D57FDE"/>
    <w:rsid w:val="00D600CD"/>
    <w:rsid w:val="00D6023D"/>
    <w:rsid w:val="00D602F6"/>
    <w:rsid w:val="00D60404"/>
    <w:rsid w:val="00D6043A"/>
    <w:rsid w:val="00D60578"/>
    <w:rsid w:val="00D605C1"/>
    <w:rsid w:val="00D605C2"/>
    <w:rsid w:val="00D6075F"/>
    <w:rsid w:val="00D60794"/>
    <w:rsid w:val="00D6083F"/>
    <w:rsid w:val="00D60869"/>
    <w:rsid w:val="00D6088D"/>
    <w:rsid w:val="00D60894"/>
    <w:rsid w:val="00D6092F"/>
    <w:rsid w:val="00D609B6"/>
    <w:rsid w:val="00D609C6"/>
    <w:rsid w:val="00D60A7A"/>
    <w:rsid w:val="00D60B64"/>
    <w:rsid w:val="00D60B8C"/>
    <w:rsid w:val="00D60BAF"/>
    <w:rsid w:val="00D60CA7"/>
    <w:rsid w:val="00D60E21"/>
    <w:rsid w:val="00D60FB4"/>
    <w:rsid w:val="00D6105C"/>
    <w:rsid w:val="00D6109A"/>
    <w:rsid w:val="00D610BD"/>
    <w:rsid w:val="00D61142"/>
    <w:rsid w:val="00D61146"/>
    <w:rsid w:val="00D612AC"/>
    <w:rsid w:val="00D612C2"/>
    <w:rsid w:val="00D61639"/>
    <w:rsid w:val="00D616B0"/>
    <w:rsid w:val="00D61919"/>
    <w:rsid w:val="00D61A36"/>
    <w:rsid w:val="00D61AE1"/>
    <w:rsid w:val="00D61B36"/>
    <w:rsid w:val="00D61B59"/>
    <w:rsid w:val="00D61BE4"/>
    <w:rsid w:val="00D61C6B"/>
    <w:rsid w:val="00D61D46"/>
    <w:rsid w:val="00D61D5F"/>
    <w:rsid w:val="00D61D6D"/>
    <w:rsid w:val="00D61D88"/>
    <w:rsid w:val="00D61E2B"/>
    <w:rsid w:val="00D61EEB"/>
    <w:rsid w:val="00D62006"/>
    <w:rsid w:val="00D6204D"/>
    <w:rsid w:val="00D6210C"/>
    <w:rsid w:val="00D62156"/>
    <w:rsid w:val="00D62210"/>
    <w:rsid w:val="00D62244"/>
    <w:rsid w:val="00D623D1"/>
    <w:rsid w:val="00D6255C"/>
    <w:rsid w:val="00D625CF"/>
    <w:rsid w:val="00D625E2"/>
    <w:rsid w:val="00D62618"/>
    <w:rsid w:val="00D626A9"/>
    <w:rsid w:val="00D626CA"/>
    <w:rsid w:val="00D626D8"/>
    <w:rsid w:val="00D626F9"/>
    <w:rsid w:val="00D62798"/>
    <w:rsid w:val="00D627B8"/>
    <w:rsid w:val="00D6281D"/>
    <w:rsid w:val="00D62844"/>
    <w:rsid w:val="00D628B4"/>
    <w:rsid w:val="00D628E9"/>
    <w:rsid w:val="00D62931"/>
    <w:rsid w:val="00D6293E"/>
    <w:rsid w:val="00D6298B"/>
    <w:rsid w:val="00D6298C"/>
    <w:rsid w:val="00D62AB9"/>
    <w:rsid w:val="00D62ABB"/>
    <w:rsid w:val="00D62B1B"/>
    <w:rsid w:val="00D62B8A"/>
    <w:rsid w:val="00D62C00"/>
    <w:rsid w:val="00D62CD9"/>
    <w:rsid w:val="00D62D2F"/>
    <w:rsid w:val="00D62E20"/>
    <w:rsid w:val="00D62E98"/>
    <w:rsid w:val="00D62F14"/>
    <w:rsid w:val="00D62FC3"/>
    <w:rsid w:val="00D62FE7"/>
    <w:rsid w:val="00D63048"/>
    <w:rsid w:val="00D630EC"/>
    <w:rsid w:val="00D6315E"/>
    <w:rsid w:val="00D6318C"/>
    <w:rsid w:val="00D63204"/>
    <w:rsid w:val="00D63261"/>
    <w:rsid w:val="00D6328C"/>
    <w:rsid w:val="00D6330C"/>
    <w:rsid w:val="00D633C8"/>
    <w:rsid w:val="00D633E5"/>
    <w:rsid w:val="00D6343C"/>
    <w:rsid w:val="00D634E0"/>
    <w:rsid w:val="00D635A2"/>
    <w:rsid w:val="00D635A7"/>
    <w:rsid w:val="00D636B4"/>
    <w:rsid w:val="00D636D5"/>
    <w:rsid w:val="00D6378C"/>
    <w:rsid w:val="00D6378E"/>
    <w:rsid w:val="00D637DB"/>
    <w:rsid w:val="00D63830"/>
    <w:rsid w:val="00D6383C"/>
    <w:rsid w:val="00D63BEA"/>
    <w:rsid w:val="00D63BF3"/>
    <w:rsid w:val="00D63C04"/>
    <w:rsid w:val="00D63CB2"/>
    <w:rsid w:val="00D63CF5"/>
    <w:rsid w:val="00D63CF8"/>
    <w:rsid w:val="00D63D2F"/>
    <w:rsid w:val="00D63DA3"/>
    <w:rsid w:val="00D63E01"/>
    <w:rsid w:val="00D63F81"/>
    <w:rsid w:val="00D63FBE"/>
    <w:rsid w:val="00D64022"/>
    <w:rsid w:val="00D64068"/>
    <w:rsid w:val="00D640C6"/>
    <w:rsid w:val="00D640F8"/>
    <w:rsid w:val="00D642A1"/>
    <w:rsid w:val="00D6445C"/>
    <w:rsid w:val="00D644BD"/>
    <w:rsid w:val="00D644CA"/>
    <w:rsid w:val="00D644D2"/>
    <w:rsid w:val="00D64526"/>
    <w:rsid w:val="00D645E3"/>
    <w:rsid w:val="00D6462E"/>
    <w:rsid w:val="00D64654"/>
    <w:rsid w:val="00D6467E"/>
    <w:rsid w:val="00D64728"/>
    <w:rsid w:val="00D648B2"/>
    <w:rsid w:val="00D64916"/>
    <w:rsid w:val="00D64AE5"/>
    <w:rsid w:val="00D64AE9"/>
    <w:rsid w:val="00D64B14"/>
    <w:rsid w:val="00D64BB4"/>
    <w:rsid w:val="00D64BF4"/>
    <w:rsid w:val="00D64C28"/>
    <w:rsid w:val="00D64C44"/>
    <w:rsid w:val="00D64DAB"/>
    <w:rsid w:val="00D64E5B"/>
    <w:rsid w:val="00D64EF7"/>
    <w:rsid w:val="00D6502C"/>
    <w:rsid w:val="00D65134"/>
    <w:rsid w:val="00D6518E"/>
    <w:rsid w:val="00D6523E"/>
    <w:rsid w:val="00D652C7"/>
    <w:rsid w:val="00D652D7"/>
    <w:rsid w:val="00D65400"/>
    <w:rsid w:val="00D654F9"/>
    <w:rsid w:val="00D6572D"/>
    <w:rsid w:val="00D657A1"/>
    <w:rsid w:val="00D657CD"/>
    <w:rsid w:val="00D6589F"/>
    <w:rsid w:val="00D6595C"/>
    <w:rsid w:val="00D659E1"/>
    <w:rsid w:val="00D65A8C"/>
    <w:rsid w:val="00D65B5E"/>
    <w:rsid w:val="00D65C17"/>
    <w:rsid w:val="00D65C69"/>
    <w:rsid w:val="00D65D95"/>
    <w:rsid w:val="00D65E4C"/>
    <w:rsid w:val="00D65EA8"/>
    <w:rsid w:val="00D6606A"/>
    <w:rsid w:val="00D66114"/>
    <w:rsid w:val="00D66223"/>
    <w:rsid w:val="00D6622F"/>
    <w:rsid w:val="00D662EE"/>
    <w:rsid w:val="00D66411"/>
    <w:rsid w:val="00D66490"/>
    <w:rsid w:val="00D66492"/>
    <w:rsid w:val="00D66497"/>
    <w:rsid w:val="00D665B9"/>
    <w:rsid w:val="00D665CA"/>
    <w:rsid w:val="00D66760"/>
    <w:rsid w:val="00D667B5"/>
    <w:rsid w:val="00D6683C"/>
    <w:rsid w:val="00D66892"/>
    <w:rsid w:val="00D668FC"/>
    <w:rsid w:val="00D6697D"/>
    <w:rsid w:val="00D66A84"/>
    <w:rsid w:val="00D66B6D"/>
    <w:rsid w:val="00D66BA9"/>
    <w:rsid w:val="00D66BFA"/>
    <w:rsid w:val="00D66C9C"/>
    <w:rsid w:val="00D66CF3"/>
    <w:rsid w:val="00D66D7C"/>
    <w:rsid w:val="00D66D85"/>
    <w:rsid w:val="00D66E66"/>
    <w:rsid w:val="00D66E91"/>
    <w:rsid w:val="00D66F15"/>
    <w:rsid w:val="00D66F41"/>
    <w:rsid w:val="00D66F8A"/>
    <w:rsid w:val="00D66FDE"/>
    <w:rsid w:val="00D66FF1"/>
    <w:rsid w:val="00D6711B"/>
    <w:rsid w:val="00D671D2"/>
    <w:rsid w:val="00D67296"/>
    <w:rsid w:val="00D67354"/>
    <w:rsid w:val="00D67357"/>
    <w:rsid w:val="00D673A1"/>
    <w:rsid w:val="00D67557"/>
    <w:rsid w:val="00D67575"/>
    <w:rsid w:val="00D675DD"/>
    <w:rsid w:val="00D6761B"/>
    <w:rsid w:val="00D67681"/>
    <w:rsid w:val="00D6779B"/>
    <w:rsid w:val="00D67822"/>
    <w:rsid w:val="00D678CB"/>
    <w:rsid w:val="00D67916"/>
    <w:rsid w:val="00D679C8"/>
    <w:rsid w:val="00D679F2"/>
    <w:rsid w:val="00D67BED"/>
    <w:rsid w:val="00D67CBB"/>
    <w:rsid w:val="00D67CC8"/>
    <w:rsid w:val="00D67D7B"/>
    <w:rsid w:val="00D67D84"/>
    <w:rsid w:val="00D67D88"/>
    <w:rsid w:val="00D67E51"/>
    <w:rsid w:val="00D7022D"/>
    <w:rsid w:val="00D702AC"/>
    <w:rsid w:val="00D7036E"/>
    <w:rsid w:val="00D703BE"/>
    <w:rsid w:val="00D704CD"/>
    <w:rsid w:val="00D70512"/>
    <w:rsid w:val="00D70557"/>
    <w:rsid w:val="00D706B1"/>
    <w:rsid w:val="00D70A48"/>
    <w:rsid w:val="00D70AC8"/>
    <w:rsid w:val="00D70B77"/>
    <w:rsid w:val="00D70BB9"/>
    <w:rsid w:val="00D70BD3"/>
    <w:rsid w:val="00D70BED"/>
    <w:rsid w:val="00D70C9D"/>
    <w:rsid w:val="00D70CAF"/>
    <w:rsid w:val="00D70F6E"/>
    <w:rsid w:val="00D70FDF"/>
    <w:rsid w:val="00D71041"/>
    <w:rsid w:val="00D712BA"/>
    <w:rsid w:val="00D71374"/>
    <w:rsid w:val="00D713AF"/>
    <w:rsid w:val="00D713B4"/>
    <w:rsid w:val="00D7142C"/>
    <w:rsid w:val="00D71455"/>
    <w:rsid w:val="00D7145F"/>
    <w:rsid w:val="00D71567"/>
    <w:rsid w:val="00D715B7"/>
    <w:rsid w:val="00D715B8"/>
    <w:rsid w:val="00D715D9"/>
    <w:rsid w:val="00D7162A"/>
    <w:rsid w:val="00D717A2"/>
    <w:rsid w:val="00D7189A"/>
    <w:rsid w:val="00D71985"/>
    <w:rsid w:val="00D719F1"/>
    <w:rsid w:val="00D71A10"/>
    <w:rsid w:val="00D71B08"/>
    <w:rsid w:val="00D71BE3"/>
    <w:rsid w:val="00D71CCF"/>
    <w:rsid w:val="00D71DC6"/>
    <w:rsid w:val="00D71E02"/>
    <w:rsid w:val="00D71E4F"/>
    <w:rsid w:val="00D71FAF"/>
    <w:rsid w:val="00D720C8"/>
    <w:rsid w:val="00D72154"/>
    <w:rsid w:val="00D7216D"/>
    <w:rsid w:val="00D7218A"/>
    <w:rsid w:val="00D7222D"/>
    <w:rsid w:val="00D7224A"/>
    <w:rsid w:val="00D722BF"/>
    <w:rsid w:val="00D72384"/>
    <w:rsid w:val="00D723F7"/>
    <w:rsid w:val="00D72422"/>
    <w:rsid w:val="00D7244C"/>
    <w:rsid w:val="00D7256D"/>
    <w:rsid w:val="00D725CB"/>
    <w:rsid w:val="00D7268B"/>
    <w:rsid w:val="00D726F9"/>
    <w:rsid w:val="00D7280C"/>
    <w:rsid w:val="00D7294D"/>
    <w:rsid w:val="00D72A55"/>
    <w:rsid w:val="00D72AF9"/>
    <w:rsid w:val="00D72BC5"/>
    <w:rsid w:val="00D72D35"/>
    <w:rsid w:val="00D72DCD"/>
    <w:rsid w:val="00D72E1B"/>
    <w:rsid w:val="00D72EDC"/>
    <w:rsid w:val="00D72F3E"/>
    <w:rsid w:val="00D72FD3"/>
    <w:rsid w:val="00D73144"/>
    <w:rsid w:val="00D731A4"/>
    <w:rsid w:val="00D732F8"/>
    <w:rsid w:val="00D73383"/>
    <w:rsid w:val="00D7340E"/>
    <w:rsid w:val="00D734D9"/>
    <w:rsid w:val="00D73670"/>
    <w:rsid w:val="00D73801"/>
    <w:rsid w:val="00D73879"/>
    <w:rsid w:val="00D73941"/>
    <w:rsid w:val="00D73977"/>
    <w:rsid w:val="00D73AF5"/>
    <w:rsid w:val="00D73B2D"/>
    <w:rsid w:val="00D73B43"/>
    <w:rsid w:val="00D73B64"/>
    <w:rsid w:val="00D73BF6"/>
    <w:rsid w:val="00D73DAE"/>
    <w:rsid w:val="00D74065"/>
    <w:rsid w:val="00D74191"/>
    <w:rsid w:val="00D7421E"/>
    <w:rsid w:val="00D742CB"/>
    <w:rsid w:val="00D74633"/>
    <w:rsid w:val="00D74694"/>
    <w:rsid w:val="00D746AB"/>
    <w:rsid w:val="00D746C8"/>
    <w:rsid w:val="00D7471A"/>
    <w:rsid w:val="00D74739"/>
    <w:rsid w:val="00D74795"/>
    <w:rsid w:val="00D7483F"/>
    <w:rsid w:val="00D74999"/>
    <w:rsid w:val="00D749E3"/>
    <w:rsid w:val="00D74AA5"/>
    <w:rsid w:val="00D74BB0"/>
    <w:rsid w:val="00D74D41"/>
    <w:rsid w:val="00D74DEF"/>
    <w:rsid w:val="00D74F05"/>
    <w:rsid w:val="00D74F24"/>
    <w:rsid w:val="00D750CF"/>
    <w:rsid w:val="00D75121"/>
    <w:rsid w:val="00D751D8"/>
    <w:rsid w:val="00D751E4"/>
    <w:rsid w:val="00D752A5"/>
    <w:rsid w:val="00D752C3"/>
    <w:rsid w:val="00D753FA"/>
    <w:rsid w:val="00D75403"/>
    <w:rsid w:val="00D75586"/>
    <w:rsid w:val="00D755A9"/>
    <w:rsid w:val="00D755BE"/>
    <w:rsid w:val="00D756B1"/>
    <w:rsid w:val="00D757E3"/>
    <w:rsid w:val="00D75896"/>
    <w:rsid w:val="00D759C7"/>
    <w:rsid w:val="00D759E7"/>
    <w:rsid w:val="00D75A51"/>
    <w:rsid w:val="00D75A89"/>
    <w:rsid w:val="00D75A93"/>
    <w:rsid w:val="00D75A97"/>
    <w:rsid w:val="00D75AE5"/>
    <w:rsid w:val="00D75BD6"/>
    <w:rsid w:val="00D75C97"/>
    <w:rsid w:val="00D75CA7"/>
    <w:rsid w:val="00D75D13"/>
    <w:rsid w:val="00D75F96"/>
    <w:rsid w:val="00D75FE4"/>
    <w:rsid w:val="00D75FE8"/>
    <w:rsid w:val="00D76018"/>
    <w:rsid w:val="00D760E0"/>
    <w:rsid w:val="00D76211"/>
    <w:rsid w:val="00D76351"/>
    <w:rsid w:val="00D763AB"/>
    <w:rsid w:val="00D763B4"/>
    <w:rsid w:val="00D764E0"/>
    <w:rsid w:val="00D76593"/>
    <w:rsid w:val="00D765B1"/>
    <w:rsid w:val="00D765F8"/>
    <w:rsid w:val="00D76711"/>
    <w:rsid w:val="00D76735"/>
    <w:rsid w:val="00D767E2"/>
    <w:rsid w:val="00D768E0"/>
    <w:rsid w:val="00D7693B"/>
    <w:rsid w:val="00D76ADB"/>
    <w:rsid w:val="00D76B07"/>
    <w:rsid w:val="00D76B25"/>
    <w:rsid w:val="00D76B55"/>
    <w:rsid w:val="00D76BD1"/>
    <w:rsid w:val="00D76C92"/>
    <w:rsid w:val="00D76CF5"/>
    <w:rsid w:val="00D76D07"/>
    <w:rsid w:val="00D76D32"/>
    <w:rsid w:val="00D76D99"/>
    <w:rsid w:val="00D76EA8"/>
    <w:rsid w:val="00D76F55"/>
    <w:rsid w:val="00D76FCF"/>
    <w:rsid w:val="00D7702C"/>
    <w:rsid w:val="00D7713F"/>
    <w:rsid w:val="00D772CD"/>
    <w:rsid w:val="00D77305"/>
    <w:rsid w:val="00D773D2"/>
    <w:rsid w:val="00D77419"/>
    <w:rsid w:val="00D7741C"/>
    <w:rsid w:val="00D774F1"/>
    <w:rsid w:val="00D77538"/>
    <w:rsid w:val="00D77589"/>
    <w:rsid w:val="00D77593"/>
    <w:rsid w:val="00D775BF"/>
    <w:rsid w:val="00D7765C"/>
    <w:rsid w:val="00D77849"/>
    <w:rsid w:val="00D7784A"/>
    <w:rsid w:val="00D77865"/>
    <w:rsid w:val="00D77885"/>
    <w:rsid w:val="00D778B2"/>
    <w:rsid w:val="00D778D5"/>
    <w:rsid w:val="00D779F5"/>
    <w:rsid w:val="00D77A79"/>
    <w:rsid w:val="00D77A83"/>
    <w:rsid w:val="00D77B07"/>
    <w:rsid w:val="00D77B3E"/>
    <w:rsid w:val="00D77B5D"/>
    <w:rsid w:val="00D77D0C"/>
    <w:rsid w:val="00D77E4B"/>
    <w:rsid w:val="00D77E58"/>
    <w:rsid w:val="00D77F4D"/>
    <w:rsid w:val="00D77FA9"/>
    <w:rsid w:val="00D802DB"/>
    <w:rsid w:val="00D802F0"/>
    <w:rsid w:val="00D802FE"/>
    <w:rsid w:val="00D80348"/>
    <w:rsid w:val="00D80529"/>
    <w:rsid w:val="00D80647"/>
    <w:rsid w:val="00D80763"/>
    <w:rsid w:val="00D808A5"/>
    <w:rsid w:val="00D80A26"/>
    <w:rsid w:val="00D80AD8"/>
    <w:rsid w:val="00D80B19"/>
    <w:rsid w:val="00D80B39"/>
    <w:rsid w:val="00D80B58"/>
    <w:rsid w:val="00D80C23"/>
    <w:rsid w:val="00D80C7F"/>
    <w:rsid w:val="00D80CD7"/>
    <w:rsid w:val="00D80D1C"/>
    <w:rsid w:val="00D80D54"/>
    <w:rsid w:val="00D80D6A"/>
    <w:rsid w:val="00D80E02"/>
    <w:rsid w:val="00D80E80"/>
    <w:rsid w:val="00D80EE7"/>
    <w:rsid w:val="00D81091"/>
    <w:rsid w:val="00D810D5"/>
    <w:rsid w:val="00D811C7"/>
    <w:rsid w:val="00D812C7"/>
    <w:rsid w:val="00D812D5"/>
    <w:rsid w:val="00D8137E"/>
    <w:rsid w:val="00D81557"/>
    <w:rsid w:val="00D81562"/>
    <w:rsid w:val="00D8178E"/>
    <w:rsid w:val="00D817B6"/>
    <w:rsid w:val="00D81874"/>
    <w:rsid w:val="00D81891"/>
    <w:rsid w:val="00D818ED"/>
    <w:rsid w:val="00D8195A"/>
    <w:rsid w:val="00D81999"/>
    <w:rsid w:val="00D819D0"/>
    <w:rsid w:val="00D81A36"/>
    <w:rsid w:val="00D81B7C"/>
    <w:rsid w:val="00D81C8D"/>
    <w:rsid w:val="00D81D70"/>
    <w:rsid w:val="00D81D82"/>
    <w:rsid w:val="00D81E2F"/>
    <w:rsid w:val="00D81EB7"/>
    <w:rsid w:val="00D81EBB"/>
    <w:rsid w:val="00D82045"/>
    <w:rsid w:val="00D8204F"/>
    <w:rsid w:val="00D8222D"/>
    <w:rsid w:val="00D82248"/>
    <w:rsid w:val="00D8226D"/>
    <w:rsid w:val="00D8241B"/>
    <w:rsid w:val="00D8244E"/>
    <w:rsid w:val="00D82582"/>
    <w:rsid w:val="00D825C0"/>
    <w:rsid w:val="00D825DF"/>
    <w:rsid w:val="00D82838"/>
    <w:rsid w:val="00D8288E"/>
    <w:rsid w:val="00D828F1"/>
    <w:rsid w:val="00D82951"/>
    <w:rsid w:val="00D82998"/>
    <w:rsid w:val="00D829F5"/>
    <w:rsid w:val="00D82BC6"/>
    <w:rsid w:val="00D82E2F"/>
    <w:rsid w:val="00D82F24"/>
    <w:rsid w:val="00D82F82"/>
    <w:rsid w:val="00D83011"/>
    <w:rsid w:val="00D830E2"/>
    <w:rsid w:val="00D830E9"/>
    <w:rsid w:val="00D830FB"/>
    <w:rsid w:val="00D8314E"/>
    <w:rsid w:val="00D83286"/>
    <w:rsid w:val="00D832F8"/>
    <w:rsid w:val="00D83304"/>
    <w:rsid w:val="00D834ED"/>
    <w:rsid w:val="00D834FF"/>
    <w:rsid w:val="00D8362C"/>
    <w:rsid w:val="00D83645"/>
    <w:rsid w:val="00D837BA"/>
    <w:rsid w:val="00D8385B"/>
    <w:rsid w:val="00D83AAE"/>
    <w:rsid w:val="00D83AB8"/>
    <w:rsid w:val="00D83AD7"/>
    <w:rsid w:val="00D83B0A"/>
    <w:rsid w:val="00D83B15"/>
    <w:rsid w:val="00D83B35"/>
    <w:rsid w:val="00D83C83"/>
    <w:rsid w:val="00D83CA2"/>
    <w:rsid w:val="00D84091"/>
    <w:rsid w:val="00D840BD"/>
    <w:rsid w:val="00D8411C"/>
    <w:rsid w:val="00D84200"/>
    <w:rsid w:val="00D84260"/>
    <w:rsid w:val="00D842D1"/>
    <w:rsid w:val="00D8434A"/>
    <w:rsid w:val="00D843EF"/>
    <w:rsid w:val="00D845CE"/>
    <w:rsid w:val="00D846C4"/>
    <w:rsid w:val="00D846ED"/>
    <w:rsid w:val="00D847F3"/>
    <w:rsid w:val="00D8481F"/>
    <w:rsid w:val="00D8486F"/>
    <w:rsid w:val="00D84946"/>
    <w:rsid w:val="00D849C4"/>
    <w:rsid w:val="00D84A15"/>
    <w:rsid w:val="00D84A47"/>
    <w:rsid w:val="00D84A7C"/>
    <w:rsid w:val="00D84BC5"/>
    <w:rsid w:val="00D84CB8"/>
    <w:rsid w:val="00D84D14"/>
    <w:rsid w:val="00D84D90"/>
    <w:rsid w:val="00D84E06"/>
    <w:rsid w:val="00D84E29"/>
    <w:rsid w:val="00D84EF4"/>
    <w:rsid w:val="00D84FE3"/>
    <w:rsid w:val="00D8500A"/>
    <w:rsid w:val="00D85121"/>
    <w:rsid w:val="00D85196"/>
    <w:rsid w:val="00D851A7"/>
    <w:rsid w:val="00D851E3"/>
    <w:rsid w:val="00D8530A"/>
    <w:rsid w:val="00D8538D"/>
    <w:rsid w:val="00D853A1"/>
    <w:rsid w:val="00D85441"/>
    <w:rsid w:val="00D85466"/>
    <w:rsid w:val="00D85511"/>
    <w:rsid w:val="00D8575F"/>
    <w:rsid w:val="00D857D9"/>
    <w:rsid w:val="00D857DE"/>
    <w:rsid w:val="00D85855"/>
    <w:rsid w:val="00D85884"/>
    <w:rsid w:val="00D85947"/>
    <w:rsid w:val="00D8594E"/>
    <w:rsid w:val="00D85962"/>
    <w:rsid w:val="00D859D6"/>
    <w:rsid w:val="00D85A41"/>
    <w:rsid w:val="00D85AAC"/>
    <w:rsid w:val="00D85ADE"/>
    <w:rsid w:val="00D85AE9"/>
    <w:rsid w:val="00D85C65"/>
    <w:rsid w:val="00D85CA6"/>
    <w:rsid w:val="00D85CB6"/>
    <w:rsid w:val="00D85CCB"/>
    <w:rsid w:val="00D85D61"/>
    <w:rsid w:val="00D85E47"/>
    <w:rsid w:val="00D85F9F"/>
    <w:rsid w:val="00D85FB9"/>
    <w:rsid w:val="00D86064"/>
    <w:rsid w:val="00D861C5"/>
    <w:rsid w:val="00D861CA"/>
    <w:rsid w:val="00D861DE"/>
    <w:rsid w:val="00D861E3"/>
    <w:rsid w:val="00D8620F"/>
    <w:rsid w:val="00D86236"/>
    <w:rsid w:val="00D86308"/>
    <w:rsid w:val="00D864DF"/>
    <w:rsid w:val="00D86553"/>
    <w:rsid w:val="00D8657D"/>
    <w:rsid w:val="00D8663E"/>
    <w:rsid w:val="00D8677B"/>
    <w:rsid w:val="00D86828"/>
    <w:rsid w:val="00D86900"/>
    <w:rsid w:val="00D869F0"/>
    <w:rsid w:val="00D86A9D"/>
    <w:rsid w:val="00D86B58"/>
    <w:rsid w:val="00D86B97"/>
    <w:rsid w:val="00D86BB3"/>
    <w:rsid w:val="00D86BCC"/>
    <w:rsid w:val="00D86BFA"/>
    <w:rsid w:val="00D86C46"/>
    <w:rsid w:val="00D86C4C"/>
    <w:rsid w:val="00D86CAB"/>
    <w:rsid w:val="00D86CB6"/>
    <w:rsid w:val="00D86DD7"/>
    <w:rsid w:val="00D86E88"/>
    <w:rsid w:val="00D86F3D"/>
    <w:rsid w:val="00D86FAF"/>
    <w:rsid w:val="00D86FF4"/>
    <w:rsid w:val="00D87089"/>
    <w:rsid w:val="00D870F5"/>
    <w:rsid w:val="00D87129"/>
    <w:rsid w:val="00D87269"/>
    <w:rsid w:val="00D87329"/>
    <w:rsid w:val="00D873E4"/>
    <w:rsid w:val="00D873E7"/>
    <w:rsid w:val="00D87498"/>
    <w:rsid w:val="00D875C1"/>
    <w:rsid w:val="00D875E2"/>
    <w:rsid w:val="00D8768C"/>
    <w:rsid w:val="00D876E8"/>
    <w:rsid w:val="00D8770D"/>
    <w:rsid w:val="00D8770E"/>
    <w:rsid w:val="00D8780D"/>
    <w:rsid w:val="00D87890"/>
    <w:rsid w:val="00D87960"/>
    <w:rsid w:val="00D87A7E"/>
    <w:rsid w:val="00D87B3D"/>
    <w:rsid w:val="00D87C61"/>
    <w:rsid w:val="00D87D1D"/>
    <w:rsid w:val="00D87D30"/>
    <w:rsid w:val="00D87E8F"/>
    <w:rsid w:val="00D87EBA"/>
    <w:rsid w:val="00D87EDD"/>
    <w:rsid w:val="00D87EF3"/>
    <w:rsid w:val="00D87F25"/>
    <w:rsid w:val="00D87FF3"/>
    <w:rsid w:val="00D90000"/>
    <w:rsid w:val="00D90032"/>
    <w:rsid w:val="00D901F7"/>
    <w:rsid w:val="00D902E5"/>
    <w:rsid w:val="00D903D7"/>
    <w:rsid w:val="00D90419"/>
    <w:rsid w:val="00D9041F"/>
    <w:rsid w:val="00D90473"/>
    <w:rsid w:val="00D90517"/>
    <w:rsid w:val="00D90546"/>
    <w:rsid w:val="00D905C7"/>
    <w:rsid w:val="00D9063D"/>
    <w:rsid w:val="00D9069C"/>
    <w:rsid w:val="00D9070C"/>
    <w:rsid w:val="00D90711"/>
    <w:rsid w:val="00D907A5"/>
    <w:rsid w:val="00D907C8"/>
    <w:rsid w:val="00D9086C"/>
    <w:rsid w:val="00D9089C"/>
    <w:rsid w:val="00D90932"/>
    <w:rsid w:val="00D9094B"/>
    <w:rsid w:val="00D9098F"/>
    <w:rsid w:val="00D909CB"/>
    <w:rsid w:val="00D90A85"/>
    <w:rsid w:val="00D90B02"/>
    <w:rsid w:val="00D90B34"/>
    <w:rsid w:val="00D90B48"/>
    <w:rsid w:val="00D90BEC"/>
    <w:rsid w:val="00D90CAE"/>
    <w:rsid w:val="00D90CB0"/>
    <w:rsid w:val="00D90CC5"/>
    <w:rsid w:val="00D90FB7"/>
    <w:rsid w:val="00D910C0"/>
    <w:rsid w:val="00D91173"/>
    <w:rsid w:val="00D91298"/>
    <w:rsid w:val="00D912A2"/>
    <w:rsid w:val="00D91511"/>
    <w:rsid w:val="00D91625"/>
    <w:rsid w:val="00D91782"/>
    <w:rsid w:val="00D917D4"/>
    <w:rsid w:val="00D917DB"/>
    <w:rsid w:val="00D917E5"/>
    <w:rsid w:val="00D91948"/>
    <w:rsid w:val="00D91A27"/>
    <w:rsid w:val="00D91B57"/>
    <w:rsid w:val="00D91BF5"/>
    <w:rsid w:val="00D91ECE"/>
    <w:rsid w:val="00D91F14"/>
    <w:rsid w:val="00D91F4F"/>
    <w:rsid w:val="00D91FA9"/>
    <w:rsid w:val="00D92079"/>
    <w:rsid w:val="00D920A1"/>
    <w:rsid w:val="00D920F9"/>
    <w:rsid w:val="00D9210B"/>
    <w:rsid w:val="00D92192"/>
    <w:rsid w:val="00D921D3"/>
    <w:rsid w:val="00D921D4"/>
    <w:rsid w:val="00D92286"/>
    <w:rsid w:val="00D92406"/>
    <w:rsid w:val="00D92736"/>
    <w:rsid w:val="00D9274A"/>
    <w:rsid w:val="00D9285F"/>
    <w:rsid w:val="00D929C9"/>
    <w:rsid w:val="00D92A19"/>
    <w:rsid w:val="00D92BB3"/>
    <w:rsid w:val="00D92CBE"/>
    <w:rsid w:val="00D92CCC"/>
    <w:rsid w:val="00D92D9B"/>
    <w:rsid w:val="00D92DCA"/>
    <w:rsid w:val="00D92F00"/>
    <w:rsid w:val="00D9300D"/>
    <w:rsid w:val="00D930E0"/>
    <w:rsid w:val="00D93148"/>
    <w:rsid w:val="00D93218"/>
    <w:rsid w:val="00D93220"/>
    <w:rsid w:val="00D93241"/>
    <w:rsid w:val="00D9327E"/>
    <w:rsid w:val="00D932AE"/>
    <w:rsid w:val="00D933CA"/>
    <w:rsid w:val="00D93416"/>
    <w:rsid w:val="00D93559"/>
    <w:rsid w:val="00D93574"/>
    <w:rsid w:val="00D93671"/>
    <w:rsid w:val="00D93919"/>
    <w:rsid w:val="00D93944"/>
    <w:rsid w:val="00D93A17"/>
    <w:rsid w:val="00D93A3F"/>
    <w:rsid w:val="00D93A6E"/>
    <w:rsid w:val="00D93AC0"/>
    <w:rsid w:val="00D93B02"/>
    <w:rsid w:val="00D93C27"/>
    <w:rsid w:val="00D93C4F"/>
    <w:rsid w:val="00D93C95"/>
    <w:rsid w:val="00D93D43"/>
    <w:rsid w:val="00D93E02"/>
    <w:rsid w:val="00D93E3C"/>
    <w:rsid w:val="00D93FB9"/>
    <w:rsid w:val="00D94058"/>
    <w:rsid w:val="00D9407D"/>
    <w:rsid w:val="00D940EC"/>
    <w:rsid w:val="00D9413E"/>
    <w:rsid w:val="00D94183"/>
    <w:rsid w:val="00D941C7"/>
    <w:rsid w:val="00D942A8"/>
    <w:rsid w:val="00D942F1"/>
    <w:rsid w:val="00D943C6"/>
    <w:rsid w:val="00D94445"/>
    <w:rsid w:val="00D945ED"/>
    <w:rsid w:val="00D9461C"/>
    <w:rsid w:val="00D946CA"/>
    <w:rsid w:val="00D9485B"/>
    <w:rsid w:val="00D94930"/>
    <w:rsid w:val="00D949C5"/>
    <w:rsid w:val="00D94A86"/>
    <w:rsid w:val="00D94A9B"/>
    <w:rsid w:val="00D94AAA"/>
    <w:rsid w:val="00D94B32"/>
    <w:rsid w:val="00D94B7A"/>
    <w:rsid w:val="00D94C9F"/>
    <w:rsid w:val="00D94DBA"/>
    <w:rsid w:val="00D94E13"/>
    <w:rsid w:val="00D94E52"/>
    <w:rsid w:val="00D94EEB"/>
    <w:rsid w:val="00D94F76"/>
    <w:rsid w:val="00D95094"/>
    <w:rsid w:val="00D950AA"/>
    <w:rsid w:val="00D95176"/>
    <w:rsid w:val="00D951D1"/>
    <w:rsid w:val="00D95218"/>
    <w:rsid w:val="00D952CD"/>
    <w:rsid w:val="00D952DE"/>
    <w:rsid w:val="00D9531E"/>
    <w:rsid w:val="00D9538B"/>
    <w:rsid w:val="00D953FF"/>
    <w:rsid w:val="00D95465"/>
    <w:rsid w:val="00D954F9"/>
    <w:rsid w:val="00D95503"/>
    <w:rsid w:val="00D9554C"/>
    <w:rsid w:val="00D955A4"/>
    <w:rsid w:val="00D95669"/>
    <w:rsid w:val="00D95715"/>
    <w:rsid w:val="00D9573A"/>
    <w:rsid w:val="00D9589B"/>
    <w:rsid w:val="00D959E8"/>
    <w:rsid w:val="00D95A7A"/>
    <w:rsid w:val="00D95AA4"/>
    <w:rsid w:val="00D95B25"/>
    <w:rsid w:val="00D95B80"/>
    <w:rsid w:val="00D95BBF"/>
    <w:rsid w:val="00D95C44"/>
    <w:rsid w:val="00D95D50"/>
    <w:rsid w:val="00D95D97"/>
    <w:rsid w:val="00D95E5B"/>
    <w:rsid w:val="00D95E71"/>
    <w:rsid w:val="00D95F8B"/>
    <w:rsid w:val="00D95FE4"/>
    <w:rsid w:val="00D960BC"/>
    <w:rsid w:val="00D96142"/>
    <w:rsid w:val="00D9632D"/>
    <w:rsid w:val="00D96343"/>
    <w:rsid w:val="00D96360"/>
    <w:rsid w:val="00D96411"/>
    <w:rsid w:val="00D964F4"/>
    <w:rsid w:val="00D965DF"/>
    <w:rsid w:val="00D965EF"/>
    <w:rsid w:val="00D967FE"/>
    <w:rsid w:val="00D96898"/>
    <w:rsid w:val="00D9692A"/>
    <w:rsid w:val="00D9697C"/>
    <w:rsid w:val="00D969BE"/>
    <w:rsid w:val="00D96A94"/>
    <w:rsid w:val="00D96AB3"/>
    <w:rsid w:val="00D96B75"/>
    <w:rsid w:val="00D96B76"/>
    <w:rsid w:val="00D96BB8"/>
    <w:rsid w:val="00D96C5C"/>
    <w:rsid w:val="00D96D33"/>
    <w:rsid w:val="00D96D46"/>
    <w:rsid w:val="00D96F68"/>
    <w:rsid w:val="00D97048"/>
    <w:rsid w:val="00D9720A"/>
    <w:rsid w:val="00D972A8"/>
    <w:rsid w:val="00D97371"/>
    <w:rsid w:val="00D97373"/>
    <w:rsid w:val="00D973AA"/>
    <w:rsid w:val="00D97483"/>
    <w:rsid w:val="00D97497"/>
    <w:rsid w:val="00D974DB"/>
    <w:rsid w:val="00D97675"/>
    <w:rsid w:val="00D9771D"/>
    <w:rsid w:val="00D9776D"/>
    <w:rsid w:val="00D977E5"/>
    <w:rsid w:val="00D97897"/>
    <w:rsid w:val="00D9793E"/>
    <w:rsid w:val="00D9799A"/>
    <w:rsid w:val="00D979E1"/>
    <w:rsid w:val="00D97A85"/>
    <w:rsid w:val="00D97B32"/>
    <w:rsid w:val="00D97B65"/>
    <w:rsid w:val="00D97B6C"/>
    <w:rsid w:val="00D97B9F"/>
    <w:rsid w:val="00D97C81"/>
    <w:rsid w:val="00D97D1E"/>
    <w:rsid w:val="00D97D97"/>
    <w:rsid w:val="00D97F7B"/>
    <w:rsid w:val="00D97F7F"/>
    <w:rsid w:val="00D97FA1"/>
    <w:rsid w:val="00DA00C6"/>
    <w:rsid w:val="00DA015B"/>
    <w:rsid w:val="00DA015C"/>
    <w:rsid w:val="00DA0195"/>
    <w:rsid w:val="00DA019F"/>
    <w:rsid w:val="00DA0234"/>
    <w:rsid w:val="00DA0362"/>
    <w:rsid w:val="00DA03A9"/>
    <w:rsid w:val="00DA03D5"/>
    <w:rsid w:val="00DA0526"/>
    <w:rsid w:val="00DA05A2"/>
    <w:rsid w:val="00DA05BF"/>
    <w:rsid w:val="00DA05E4"/>
    <w:rsid w:val="00DA062F"/>
    <w:rsid w:val="00DA0732"/>
    <w:rsid w:val="00DA07CF"/>
    <w:rsid w:val="00DA080E"/>
    <w:rsid w:val="00DA08DE"/>
    <w:rsid w:val="00DA0927"/>
    <w:rsid w:val="00DA0A53"/>
    <w:rsid w:val="00DA0ACC"/>
    <w:rsid w:val="00DA0B26"/>
    <w:rsid w:val="00DA0B6C"/>
    <w:rsid w:val="00DA0BAC"/>
    <w:rsid w:val="00DA0CB9"/>
    <w:rsid w:val="00DA0E63"/>
    <w:rsid w:val="00DA0E72"/>
    <w:rsid w:val="00DA0EFA"/>
    <w:rsid w:val="00DA1188"/>
    <w:rsid w:val="00DA1304"/>
    <w:rsid w:val="00DA13B8"/>
    <w:rsid w:val="00DA14AF"/>
    <w:rsid w:val="00DA14D6"/>
    <w:rsid w:val="00DA154B"/>
    <w:rsid w:val="00DA156C"/>
    <w:rsid w:val="00DA1644"/>
    <w:rsid w:val="00DA16C4"/>
    <w:rsid w:val="00DA1759"/>
    <w:rsid w:val="00DA17A9"/>
    <w:rsid w:val="00DA18B2"/>
    <w:rsid w:val="00DA1BAE"/>
    <w:rsid w:val="00DA1C85"/>
    <w:rsid w:val="00DA1CEE"/>
    <w:rsid w:val="00DA1D07"/>
    <w:rsid w:val="00DA1D9F"/>
    <w:rsid w:val="00DA1EDD"/>
    <w:rsid w:val="00DA1F1B"/>
    <w:rsid w:val="00DA1F3F"/>
    <w:rsid w:val="00DA1FDD"/>
    <w:rsid w:val="00DA2027"/>
    <w:rsid w:val="00DA2170"/>
    <w:rsid w:val="00DA218E"/>
    <w:rsid w:val="00DA220B"/>
    <w:rsid w:val="00DA22B1"/>
    <w:rsid w:val="00DA2343"/>
    <w:rsid w:val="00DA2346"/>
    <w:rsid w:val="00DA2350"/>
    <w:rsid w:val="00DA2386"/>
    <w:rsid w:val="00DA2521"/>
    <w:rsid w:val="00DA264B"/>
    <w:rsid w:val="00DA2668"/>
    <w:rsid w:val="00DA26AC"/>
    <w:rsid w:val="00DA26F6"/>
    <w:rsid w:val="00DA2715"/>
    <w:rsid w:val="00DA2802"/>
    <w:rsid w:val="00DA2918"/>
    <w:rsid w:val="00DA2928"/>
    <w:rsid w:val="00DA2956"/>
    <w:rsid w:val="00DA2A34"/>
    <w:rsid w:val="00DA2AC3"/>
    <w:rsid w:val="00DA2AF5"/>
    <w:rsid w:val="00DA2B12"/>
    <w:rsid w:val="00DA2C08"/>
    <w:rsid w:val="00DA2C41"/>
    <w:rsid w:val="00DA2CE4"/>
    <w:rsid w:val="00DA2CFD"/>
    <w:rsid w:val="00DA2DB7"/>
    <w:rsid w:val="00DA2DF4"/>
    <w:rsid w:val="00DA2E6E"/>
    <w:rsid w:val="00DA2ECE"/>
    <w:rsid w:val="00DA2F41"/>
    <w:rsid w:val="00DA2F49"/>
    <w:rsid w:val="00DA2F8C"/>
    <w:rsid w:val="00DA3052"/>
    <w:rsid w:val="00DA30DB"/>
    <w:rsid w:val="00DA313E"/>
    <w:rsid w:val="00DA3185"/>
    <w:rsid w:val="00DA31BD"/>
    <w:rsid w:val="00DA31C0"/>
    <w:rsid w:val="00DA31E1"/>
    <w:rsid w:val="00DA321B"/>
    <w:rsid w:val="00DA325B"/>
    <w:rsid w:val="00DA3284"/>
    <w:rsid w:val="00DA32A7"/>
    <w:rsid w:val="00DA3350"/>
    <w:rsid w:val="00DA3395"/>
    <w:rsid w:val="00DA33E5"/>
    <w:rsid w:val="00DA3532"/>
    <w:rsid w:val="00DA358C"/>
    <w:rsid w:val="00DA3656"/>
    <w:rsid w:val="00DA3668"/>
    <w:rsid w:val="00DA368F"/>
    <w:rsid w:val="00DA373E"/>
    <w:rsid w:val="00DA395F"/>
    <w:rsid w:val="00DA3A08"/>
    <w:rsid w:val="00DA3C08"/>
    <w:rsid w:val="00DA3C12"/>
    <w:rsid w:val="00DA3D72"/>
    <w:rsid w:val="00DA3EDA"/>
    <w:rsid w:val="00DA3EE8"/>
    <w:rsid w:val="00DA3F1D"/>
    <w:rsid w:val="00DA4013"/>
    <w:rsid w:val="00DA404A"/>
    <w:rsid w:val="00DA4116"/>
    <w:rsid w:val="00DA414F"/>
    <w:rsid w:val="00DA42E0"/>
    <w:rsid w:val="00DA433D"/>
    <w:rsid w:val="00DA43EF"/>
    <w:rsid w:val="00DA451B"/>
    <w:rsid w:val="00DA453D"/>
    <w:rsid w:val="00DA4544"/>
    <w:rsid w:val="00DA4748"/>
    <w:rsid w:val="00DA4792"/>
    <w:rsid w:val="00DA4822"/>
    <w:rsid w:val="00DA48DF"/>
    <w:rsid w:val="00DA48FA"/>
    <w:rsid w:val="00DA4971"/>
    <w:rsid w:val="00DA49DF"/>
    <w:rsid w:val="00DA4BE5"/>
    <w:rsid w:val="00DA4C7D"/>
    <w:rsid w:val="00DA4CB1"/>
    <w:rsid w:val="00DA4D35"/>
    <w:rsid w:val="00DA4FA1"/>
    <w:rsid w:val="00DA50FF"/>
    <w:rsid w:val="00DA5149"/>
    <w:rsid w:val="00DA5422"/>
    <w:rsid w:val="00DA543E"/>
    <w:rsid w:val="00DA54C8"/>
    <w:rsid w:val="00DA54DC"/>
    <w:rsid w:val="00DA5721"/>
    <w:rsid w:val="00DA5784"/>
    <w:rsid w:val="00DA5831"/>
    <w:rsid w:val="00DA583B"/>
    <w:rsid w:val="00DA58B6"/>
    <w:rsid w:val="00DA58E7"/>
    <w:rsid w:val="00DA5930"/>
    <w:rsid w:val="00DA5AA0"/>
    <w:rsid w:val="00DA5B5C"/>
    <w:rsid w:val="00DA5D48"/>
    <w:rsid w:val="00DA5D4D"/>
    <w:rsid w:val="00DA5DBB"/>
    <w:rsid w:val="00DA5DE3"/>
    <w:rsid w:val="00DA5EA1"/>
    <w:rsid w:val="00DA5EA4"/>
    <w:rsid w:val="00DA5EF6"/>
    <w:rsid w:val="00DA5EFB"/>
    <w:rsid w:val="00DA5F50"/>
    <w:rsid w:val="00DA60CC"/>
    <w:rsid w:val="00DA627C"/>
    <w:rsid w:val="00DA6288"/>
    <w:rsid w:val="00DA62A6"/>
    <w:rsid w:val="00DA62D9"/>
    <w:rsid w:val="00DA62EE"/>
    <w:rsid w:val="00DA6324"/>
    <w:rsid w:val="00DA641E"/>
    <w:rsid w:val="00DA64D0"/>
    <w:rsid w:val="00DA64F7"/>
    <w:rsid w:val="00DA655C"/>
    <w:rsid w:val="00DA6637"/>
    <w:rsid w:val="00DA6826"/>
    <w:rsid w:val="00DA6959"/>
    <w:rsid w:val="00DA6A09"/>
    <w:rsid w:val="00DA6A0C"/>
    <w:rsid w:val="00DA6B1B"/>
    <w:rsid w:val="00DA6B73"/>
    <w:rsid w:val="00DA6BCD"/>
    <w:rsid w:val="00DA6C61"/>
    <w:rsid w:val="00DA6C71"/>
    <w:rsid w:val="00DA6C92"/>
    <w:rsid w:val="00DA6D90"/>
    <w:rsid w:val="00DA6DF6"/>
    <w:rsid w:val="00DA6FD5"/>
    <w:rsid w:val="00DA702A"/>
    <w:rsid w:val="00DA711E"/>
    <w:rsid w:val="00DA71D6"/>
    <w:rsid w:val="00DA7209"/>
    <w:rsid w:val="00DA7235"/>
    <w:rsid w:val="00DA7296"/>
    <w:rsid w:val="00DA733C"/>
    <w:rsid w:val="00DA743D"/>
    <w:rsid w:val="00DA7451"/>
    <w:rsid w:val="00DA74E9"/>
    <w:rsid w:val="00DA75C1"/>
    <w:rsid w:val="00DA767D"/>
    <w:rsid w:val="00DA7739"/>
    <w:rsid w:val="00DA777A"/>
    <w:rsid w:val="00DA7841"/>
    <w:rsid w:val="00DA7A1F"/>
    <w:rsid w:val="00DA7A8D"/>
    <w:rsid w:val="00DA7ABB"/>
    <w:rsid w:val="00DA7BAA"/>
    <w:rsid w:val="00DA7BF5"/>
    <w:rsid w:val="00DA7C9C"/>
    <w:rsid w:val="00DA7CE6"/>
    <w:rsid w:val="00DA7DE7"/>
    <w:rsid w:val="00DA7E8A"/>
    <w:rsid w:val="00DA7EED"/>
    <w:rsid w:val="00DA7FCA"/>
    <w:rsid w:val="00DB0007"/>
    <w:rsid w:val="00DB01C8"/>
    <w:rsid w:val="00DB0218"/>
    <w:rsid w:val="00DB023A"/>
    <w:rsid w:val="00DB0308"/>
    <w:rsid w:val="00DB049A"/>
    <w:rsid w:val="00DB055B"/>
    <w:rsid w:val="00DB05CE"/>
    <w:rsid w:val="00DB073B"/>
    <w:rsid w:val="00DB0821"/>
    <w:rsid w:val="00DB0861"/>
    <w:rsid w:val="00DB08F9"/>
    <w:rsid w:val="00DB0940"/>
    <w:rsid w:val="00DB096F"/>
    <w:rsid w:val="00DB09D4"/>
    <w:rsid w:val="00DB0A24"/>
    <w:rsid w:val="00DB0A38"/>
    <w:rsid w:val="00DB0AEC"/>
    <w:rsid w:val="00DB0B19"/>
    <w:rsid w:val="00DB0BB3"/>
    <w:rsid w:val="00DB0C05"/>
    <w:rsid w:val="00DB0C11"/>
    <w:rsid w:val="00DB0CF4"/>
    <w:rsid w:val="00DB0D9C"/>
    <w:rsid w:val="00DB0DDC"/>
    <w:rsid w:val="00DB0E2B"/>
    <w:rsid w:val="00DB0E84"/>
    <w:rsid w:val="00DB1071"/>
    <w:rsid w:val="00DB10D9"/>
    <w:rsid w:val="00DB116B"/>
    <w:rsid w:val="00DB12AA"/>
    <w:rsid w:val="00DB1352"/>
    <w:rsid w:val="00DB137C"/>
    <w:rsid w:val="00DB1495"/>
    <w:rsid w:val="00DB1497"/>
    <w:rsid w:val="00DB1537"/>
    <w:rsid w:val="00DB1607"/>
    <w:rsid w:val="00DB16CD"/>
    <w:rsid w:val="00DB16ED"/>
    <w:rsid w:val="00DB1702"/>
    <w:rsid w:val="00DB17EB"/>
    <w:rsid w:val="00DB1830"/>
    <w:rsid w:val="00DB18A6"/>
    <w:rsid w:val="00DB19E4"/>
    <w:rsid w:val="00DB1A12"/>
    <w:rsid w:val="00DB1A8E"/>
    <w:rsid w:val="00DB1AE5"/>
    <w:rsid w:val="00DB1AE9"/>
    <w:rsid w:val="00DB1BA8"/>
    <w:rsid w:val="00DB1C10"/>
    <w:rsid w:val="00DB1C9E"/>
    <w:rsid w:val="00DB1CDE"/>
    <w:rsid w:val="00DB1D6F"/>
    <w:rsid w:val="00DB1E30"/>
    <w:rsid w:val="00DB1E96"/>
    <w:rsid w:val="00DB1E98"/>
    <w:rsid w:val="00DB1F2F"/>
    <w:rsid w:val="00DB2034"/>
    <w:rsid w:val="00DB20C3"/>
    <w:rsid w:val="00DB20DD"/>
    <w:rsid w:val="00DB2137"/>
    <w:rsid w:val="00DB21C5"/>
    <w:rsid w:val="00DB2260"/>
    <w:rsid w:val="00DB22C8"/>
    <w:rsid w:val="00DB23B6"/>
    <w:rsid w:val="00DB23FA"/>
    <w:rsid w:val="00DB2451"/>
    <w:rsid w:val="00DB24BE"/>
    <w:rsid w:val="00DB24D4"/>
    <w:rsid w:val="00DB252F"/>
    <w:rsid w:val="00DB25D4"/>
    <w:rsid w:val="00DB2656"/>
    <w:rsid w:val="00DB2661"/>
    <w:rsid w:val="00DB28C0"/>
    <w:rsid w:val="00DB2B6A"/>
    <w:rsid w:val="00DB2B7F"/>
    <w:rsid w:val="00DB2C95"/>
    <w:rsid w:val="00DB2CA7"/>
    <w:rsid w:val="00DB2CD6"/>
    <w:rsid w:val="00DB2D66"/>
    <w:rsid w:val="00DB2E07"/>
    <w:rsid w:val="00DB2EAB"/>
    <w:rsid w:val="00DB2ECC"/>
    <w:rsid w:val="00DB2F9B"/>
    <w:rsid w:val="00DB2FE6"/>
    <w:rsid w:val="00DB303C"/>
    <w:rsid w:val="00DB306F"/>
    <w:rsid w:val="00DB30A3"/>
    <w:rsid w:val="00DB310C"/>
    <w:rsid w:val="00DB3143"/>
    <w:rsid w:val="00DB3240"/>
    <w:rsid w:val="00DB32AE"/>
    <w:rsid w:val="00DB333C"/>
    <w:rsid w:val="00DB3388"/>
    <w:rsid w:val="00DB33B0"/>
    <w:rsid w:val="00DB33C2"/>
    <w:rsid w:val="00DB33C9"/>
    <w:rsid w:val="00DB33FF"/>
    <w:rsid w:val="00DB3449"/>
    <w:rsid w:val="00DB351B"/>
    <w:rsid w:val="00DB358D"/>
    <w:rsid w:val="00DB363A"/>
    <w:rsid w:val="00DB378F"/>
    <w:rsid w:val="00DB37A0"/>
    <w:rsid w:val="00DB37C2"/>
    <w:rsid w:val="00DB3830"/>
    <w:rsid w:val="00DB3839"/>
    <w:rsid w:val="00DB3841"/>
    <w:rsid w:val="00DB388C"/>
    <w:rsid w:val="00DB392A"/>
    <w:rsid w:val="00DB39C8"/>
    <w:rsid w:val="00DB3CE1"/>
    <w:rsid w:val="00DB3E2F"/>
    <w:rsid w:val="00DB3E9C"/>
    <w:rsid w:val="00DB3F17"/>
    <w:rsid w:val="00DB3F73"/>
    <w:rsid w:val="00DB4034"/>
    <w:rsid w:val="00DB40AE"/>
    <w:rsid w:val="00DB40F8"/>
    <w:rsid w:val="00DB40FA"/>
    <w:rsid w:val="00DB413B"/>
    <w:rsid w:val="00DB4148"/>
    <w:rsid w:val="00DB4236"/>
    <w:rsid w:val="00DB42A1"/>
    <w:rsid w:val="00DB43B1"/>
    <w:rsid w:val="00DB4448"/>
    <w:rsid w:val="00DB450B"/>
    <w:rsid w:val="00DB4543"/>
    <w:rsid w:val="00DB4673"/>
    <w:rsid w:val="00DB482A"/>
    <w:rsid w:val="00DB489D"/>
    <w:rsid w:val="00DB48CB"/>
    <w:rsid w:val="00DB4989"/>
    <w:rsid w:val="00DB49EB"/>
    <w:rsid w:val="00DB4A17"/>
    <w:rsid w:val="00DB4B40"/>
    <w:rsid w:val="00DB4B61"/>
    <w:rsid w:val="00DB4B7C"/>
    <w:rsid w:val="00DB4B89"/>
    <w:rsid w:val="00DB4BC9"/>
    <w:rsid w:val="00DB4BD5"/>
    <w:rsid w:val="00DB4C86"/>
    <w:rsid w:val="00DB4C88"/>
    <w:rsid w:val="00DB4CA0"/>
    <w:rsid w:val="00DB4EDD"/>
    <w:rsid w:val="00DB4FF6"/>
    <w:rsid w:val="00DB5068"/>
    <w:rsid w:val="00DB50D8"/>
    <w:rsid w:val="00DB5234"/>
    <w:rsid w:val="00DB5337"/>
    <w:rsid w:val="00DB5341"/>
    <w:rsid w:val="00DB54AD"/>
    <w:rsid w:val="00DB5551"/>
    <w:rsid w:val="00DB5738"/>
    <w:rsid w:val="00DB573F"/>
    <w:rsid w:val="00DB582F"/>
    <w:rsid w:val="00DB5882"/>
    <w:rsid w:val="00DB58F3"/>
    <w:rsid w:val="00DB5B18"/>
    <w:rsid w:val="00DB5B3E"/>
    <w:rsid w:val="00DB5C4D"/>
    <w:rsid w:val="00DB5C80"/>
    <w:rsid w:val="00DB5D32"/>
    <w:rsid w:val="00DB5DEB"/>
    <w:rsid w:val="00DB5E6F"/>
    <w:rsid w:val="00DB5E9B"/>
    <w:rsid w:val="00DB5FDA"/>
    <w:rsid w:val="00DB6017"/>
    <w:rsid w:val="00DB60F8"/>
    <w:rsid w:val="00DB61AB"/>
    <w:rsid w:val="00DB6248"/>
    <w:rsid w:val="00DB6292"/>
    <w:rsid w:val="00DB629F"/>
    <w:rsid w:val="00DB62BC"/>
    <w:rsid w:val="00DB6302"/>
    <w:rsid w:val="00DB64CF"/>
    <w:rsid w:val="00DB6586"/>
    <w:rsid w:val="00DB65C9"/>
    <w:rsid w:val="00DB65F8"/>
    <w:rsid w:val="00DB66B9"/>
    <w:rsid w:val="00DB670C"/>
    <w:rsid w:val="00DB67B8"/>
    <w:rsid w:val="00DB6899"/>
    <w:rsid w:val="00DB68B5"/>
    <w:rsid w:val="00DB68BD"/>
    <w:rsid w:val="00DB68D7"/>
    <w:rsid w:val="00DB6933"/>
    <w:rsid w:val="00DB699A"/>
    <w:rsid w:val="00DB69E4"/>
    <w:rsid w:val="00DB6B64"/>
    <w:rsid w:val="00DB6CBC"/>
    <w:rsid w:val="00DB6D7C"/>
    <w:rsid w:val="00DB6DDC"/>
    <w:rsid w:val="00DB6DE0"/>
    <w:rsid w:val="00DB6ED7"/>
    <w:rsid w:val="00DB6F2A"/>
    <w:rsid w:val="00DB6FC6"/>
    <w:rsid w:val="00DB6FE1"/>
    <w:rsid w:val="00DB6FEB"/>
    <w:rsid w:val="00DB7023"/>
    <w:rsid w:val="00DB711C"/>
    <w:rsid w:val="00DB7148"/>
    <w:rsid w:val="00DB729D"/>
    <w:rsid w:val="00DB7307"/>
    <w:rsid w:val="00DB7314"/>
    <w:rsid w:val="00DB7317"/>
    <w:rsid w:val="00DB7388"/>
    <w:rsid w:val="00DB74A0"/>
    <w:rsid w:val="00DB7533"/>
    <w:rsid w:val="00DB755E"/>
    <w:rsid w:val="00DB75A0"/>
    <w:rsid w:val="00DB76E5"/>
    <w:rsid w:val="00DB770C"/>
    <w:rsid w:val="00DB7785"/>
    <w:rsid w:val="00DB7819"/>
    <w:rsid w:val="00DB7863"/>
    <w:rsid w:val="00DB78A3"/>
    <w:rsid w:val="00DB7A1F"/>
    <w:rsid w:val="00DB7AE1"/>
    <w:rsid w:val="00DB7B23"/>
    <w:rsid w:val="00DB7B5A"/>
    <w:rsid w:val="00DB7B73"/>
    <w:rsid w:val="00DB7B9C"/>
    <w:rsid w:val="00DB7C07"/>
    <w:rsid w:val="00DB7D39"/>
    <w:rsid w:val="00DB7E03"/>
    <w:rsid w:val="00DB7E41"/>
    <w:rsid w:val="00DB7EFC"/>
    <w:rsid w:val="00DC00B0"/>
    <w:rsid w:val="00DC0293"/>
    <w:rsid w:val="00DC03C8"/>
    <w:rsid w:val="00DC04BE"/>
    <w:rsid w:val="00DC054E"/>
    <w:rsid w:val="00DC0574"/>
    <w:rsid w:val="00DC05E4"/>
    <w:rsid w:val="00DC05E6"/>
    <w:rsid w:val="00DC0685"/>
    <w:rsid w:val="00DC0700"/>
    <w:rsid w:val="00DC0810"/>
    <w:rsid w:val="00DC08AA"/>
    <w:rsid w:val="00DC08B5"/>
    <w:rsid w:val="00DC08C9"/>
    <w:rsid w:val="00DC08E8"/>
    <w:rsid w:val="00DC09A5"/>
    <w:rsid w:val="00DC09CE"/>
    <w:rsid w:val="00DC09E0"/>
    <w:rsid w:val="00DC0AAC"/>
    <w:rsid w:val="00DC0ADD"/>
    <w:rsid w:val="00DC0B0A"/>
    <w:rsid w:val="00DC0B71"/>
    <w:rsid w:val="00DC0BE7"/>
    <w:rsid w:val="00DC0C10"/>
    <w:rsid w:val="00DC0C95"/>
    <w:rsid w:val="00DC0E3C"/>
    <w:rsid w:val="00DC0EAB"/>
    <w:rsid w:val="00DC0F35"/>
    <w:rsid w:val="00DC10AA"/>
    <w:rsid w:val="00DC10D9"/>
    <w:rsid w:val="00DC116D"/>
    <w:rsid w:val="00DC1183"/>
    <w:rsid w:val="00DC11C8"/>
    <w:rsid w:val="00DC126B"/>
    <w:rsid w:val="00DC1455"/>
    <w:rsid w:val="00DC1483"/>
    <w:rsid w:val="00DC1491"/>
    <w:rsid w:val="00DC1519"/>
    <w:rsid w:val="00DC15E7"/>
    <w:rsid w:val="00DC160E"/>
    <w:rsid w:val="00DC16A0"/>
    <w:rsid w:val="00DC16F0"/>
    <w:rsid w:val="00DC1807"/>
    <w:rsid w:val="00DC186B"/>
    <w:rsid w:val="00DC18A4"/>
    <w:rsid w:val="00DC1937"/>
    <w:rsid w:val="00DC195B"/>
    <w:rsid w:val="00DC1A0E"/>
    <w:rsid w:val="00DC1B84"/>
    <w:rsid w:val="00DC1BDB"/>
    <w:rsid w:val="00DC1BEC"/>
    <w:rsid w:val="00DC1C19"/>
    <w:rsid w:val="00DC1C34"/>
    <w:rsid w:val="00DC1C52"/>
    <w:rsid w:val="00DC1C61"/>
    <w:rsid w:val="00DC1CB7"/>
    <w:rsid w:val="00DC1CEE"/>
    <w:rsid w:val="00DC1E10"/>
    <w:rsid w:val="00DC21E0"/>
    <w:rsid w:val="00DC2235"/>
    <w:rsid w:val="00DC22F2"/>
    <w:rsid w:val="00DC230F"/>
    <w:rsid w:val="00DC2366"/>
    <w:rsid w:val="00DC23B1"/>
    <w:rsid w:val="00DC23DA"/>
    <w:rsid w:val="00DC25A7"/>
    <w:rsid w:val="00DC265B"/>
    <w:rsid w:val="00DC2767"/>
    <w:rsid w:val="00DC27EC"/>
    <w:rsid w:val="00DC288B"/>
    <w:rsid w:val="00DC2935"/>
    <w:rsid w:val="00DC2A00"/>
    <w:rsid w:val="00DC2A7E"/>
    <w:rsid w:val="00DC2A8B"/>
    <w:rsid w:val="00DC2ACF"/>
    <w:rsid w:val="00DC2B73"/>
    <w:rsid w:val="00DC2D46"/>
    <w:rsid w:val="00DC2DBF"/>
    <w:rsid w:val="00DC2E9B"/>
    <w:rsid w:val="00DC2F57"/>
    <w:rsid w:val="00DC30A8"/>
    <w:rsid w:val="00DC312B"/>
    <w:rsid w:val="00DC31BA"/>
    <w:rsid w:val="00DC31EB"/>
    <w:rsid w:val="00DC31EF"/>
    <w:rsid w:val="00DC3216"/>
    <w:rsid w:val="00DC3291"/>
    <w:rsid w:val="00DC330D"/>
    <w:rsid w:val="00DC3454"/>
    <w:rsid w:val="00DC35CB"/>
    <w:rsid w:val="00DC35F0"/>
    <w:rsid w:val="00DC361C"/>
    <w:rsid w:val="00DC36F8"/>
    <w:rsid w:val="00DC375C"/>
    <w:rsid w:val="00DC37F6"/>
    <w:rsid w:val="00DC387B"/>
    <w:rsid w:val="00DC3884"/>
    <w:rsid w:val="00DC3A04"/>
    <w:rsid w:val="00DC3B04"/>
    <w:rsid w:val="00DC3C0D"/>
    <w:rsid w:val="00DC3D01"/>
    <w:rsid w:val="00DC3E0F"/>
    <w:rsid w:val="00DC3E22"/>
    <w:rsid w:val="00DC3E76"/>
    <w:rsid w:val="00DC3EC5"/>
    <w:rsid w:val="00DC3F58"/>
    <w:rsid w:val="00DC3FC0"/>
    <w:rsid w:val="00DC402D"/>
    <w:rsid w:val="00DC4037"/>
    <w:rsid w:val="00DC405C"/>
    <w:rsid w:val="00DC417E"/>
    <w:rsid w:val="00DC41D9"/>
    <w:rsid w:val="00DC41EE"/>
    <w:rsid w:val="00DC425B"/>
    <w:rsid w:val="00DC426E"/>
    <w:rsid w:val="00DC4375"/>
    <w:rsid w:val="00DC440F"/>
    <w:rsid w:val="00DC4464"/>
    <w:rsid w:val="00DC4594"/>
    <w:rsid w:val="00DC472D"/>
    <w:rsid w:val="00DC489B"/>
    <w:rsid w:val="00DC4926"/>
    <w:rsid w:val="00DC4937"/>
    <w:rsid w:val="00DC4970"/>
    <w:rsid w:val="00DC4B9A"/>
    <w:rsid w:val="00DC4DB2"/>
    <w:rsid w:val="00DC4DD0"/>
    <w:rsid w:val="00DC4ECA"/>
    <w:rsid w:val="00DC4EE1"/>
    <w:rsid w:val="00DC4F0D"/>
    <w:rsid w:val="00DC4F5D"/>
    <w:rsid w:val="00DC4FB7"/>
    <w:rsid w:val="00DC506B"/>
    <w:rsid w:val="00DC512C"/>
    <w:rsid w:val="00DC51CD"/>
    <w:rsid w:val="00DC5237"/>
    <w:rsid w:val="00DC52A1"/>
    <w:rsid w:val="00DC52AE"/>
    <w:rsid w:val="00DC52D4"/>
    <w:rsid w:val="00DC530C"/>
    <w:rsid w:val="00DC54D5"/>
    <w:rsid w:val="00DC55A3"/>
    <w:rsid w:val="00DC55DB"/>
    <w:rsid w:val="00DC5634"/>
    <w:rsid w:val="00DC5644"/>
    <w:rsid w:val="00DC5685"/>
    <w:rsid w:val="00DC570D"/>
    <w:rsid w:val="00DC57AA"/>
    <w:rsid w:val="00DC57FD"/>
    <w:rsid w:val="00DC580E"/>
    <w:rsid w:val="00DC580F"/>
    <w:rsid w:val="00DC58C1"/>
    <w:rsid w:val="00DC58E2"/>
    <w:rsid w:val="00DC5A34"/>
    <w:rsid w:val="00DC5C41"/>
    <w:rsid w:val="00DC5C61"/>
    <w:rsid w:val="00DC5C77"/>
    <w:rsid w:val="00DC5C98"/>
    <w:rsid w:val="00DC5D26"/>
    <w:rsid w:val="00DC5D51"/>
    <w:rsid w:val="00DC5F61"/>
    <w:rsid w:val="00DC5FF6"/>
    <w:rsid w:val="00DC6038"/>
    <w:rsid w:val="00DC60BD"/>
    <w:rsid w:val="00DC60EA"/>
    <w:rsid w:val="00DC615C"/>
    <w:rsid w:val="00DC616D"/>
    <w:rsid w:val="00DC61AC"/>
    <w:rsid w:val="00DC61F2"/>
    <w:rsid w:val="00DC62B4"/>
    <w:rsid w:val="00DC62DB"/>
    <w:rsid w:val="00DC63AC"/>
    <w:rsid w:val="00DC64D5"/>
    <w:rsid w:val="00DC658F"/>
    <w:rsid w:val="00DC65EB"/>
    <w:rsid w:val="00DC6637"/>
    <w:rsid w:val="00DC66D8"/>
    <w:rsid w:val="00DC66F9"/>
    <w:rsid w:val="00DC6769"/>
    <w:rsid w:val="00DC6816"/>
    <w:rsid w:val="00DC68DB"/>
    <w:rsid w:val="00DC69F9"/>
    <w:rsid w:val="00DC6A7F"/>
    <w:rsid w:val="00DC6AE3"/>
    <w:rsid w:val="00DC6B4E"/>
    <w:rsid w:val="00DC6CE0"/>
    <w:rsid w:val="00DC6CF2"/>
    <w:rsid w:val="00DC6CFE"/>
    <w:rsid w:val="00DC6E1A"/>
    <w:rsid w:val="00DC70AE"/>
    <w:rsid w:val="00DC70C5"/>
    <w:rsid w:val="00DC70E1"/>
    <w:rsid w:val="00DC7133"/>
    <w:rsid w:val="00DC7217"/>
    <w:rsid w:val="00DC73BD"/>
    <w:rsid w:val="00DC740C"/>
    <w:rsid w:val="00DC7492"/>
    <w:rsid w:val="00DC767E"/>
    <w:rsid w:val="00DC76A9"/>
    <w:rsid w:val="00DC76B5"/>
    <w:rsid w:val="00DC7788"/>
    <w:rsid w:val="00DC788F"/>
    <w:rsid w:val="00DC789F"/>
    <w:rsid w:val="00DC78B7"/>
    <w:rsid w:val="00DC7926"/>
    <w:rsid w:val="00DC79A0"/>
    <w:rsid w:val="00DC79C2"/>
    <w:rsid w:val="00DC79DC"/>
    <w:rsid w:val="00DC7A67"/>
    <w:rsid w:val="00DC7B40"/>
    <w:rsid w:val="00DC7B4E"/>
    <w:rsid w:val="00DC7C16"/>
    <w:rsid w:val="00DC7C74"/>
    <w:rsid w:val="00DC7CBE"/>
    <w:rsid w:val="00DC7D49"/>
    <w:rsid w:val="00DC7E16"/>
    <w:rsid w:val="00DC7E4F"/>
    <w:rsid w:val="00DC7E70"/>
    <w:rsid w:val="00DD0057"/>
    <w:rsid w:val="00DD0089"/>
    <w:rsid w:val="00DD0172"/>
    <w:rsid w:val="00DD0358"/>
    <w:rsid w:val="00DD03E9"/>
    <w:rsid w:val="00DD03F9"/>
    <w:rsid w:val="00DD04E2"/>
    <w:rsid w:val="00DD061E"/>
    <w:rsid w:val="00DD0626"/>
    <w:rsid w:val="00DD077F"/>
    <w:rsid w:val="00DD079E"/>
    <w:rsid w:val="00DD07CD"/>
    <w:rsid w:val="00DD08B5"/>
    <w:rsid w:val="00DD08C9"/>
    <w:rsid w:val="00DD0A2C"/>
    <w:rsid w:val="00DD0AA6"/>
    <w:rsid w:val="00DD0AAC"/>
    <w:rsid w:val="00DD0ACD"/>
    <w:rsid w:val="00DD0C00"/>
    <w:rsid w:val="00DD0C64"/>
    <w:rsid w:val="00DD0E29"/>
    <w:rsid w:val="00DD0F12"/>
    <w:rsid w:val="00DD0FA1"/>
    <w:rsid w:val="00DD0FF4"/>
    <w:rsid w:val="00DD10D9"/>
    <w:rsid w:val="00DD10FF"/>
    <w:rsid w:val="00DD1161"/>
    <w:rsid w:val="00DD1295"/>
    <w:rsid w:val="00DD129F"/>
    <w:rsid w:val="00DD12C1"/>
    <w:rsid w:val="00DD12E9"/>
    <w:rsid w:val="00DD1457"/>
    <w:rsid w:val="00DD149C"/>
    <w:rsid w:val="00DD14F7"/>
    <w:rsid w:val="00DD1503"/>
    <w:rsid w:val="00DD1550"/>
    <w:rsid w:val="00DD15A6"/>
    <w:rsid w:val="00DD15E2"/>
    <w:rsid w:val="00DD15F5"/>
    <w:rsid w:val="00DD1769"/>
    <w:rsid w:val="00DD17F0"/>
    <w:rsid w:val="00DD189C"/>
    <w:rsid w:val="00DD18A2"/>
    <w:rsid w:val="00DD18FA"/>
    <w:rsid w:val="00DD1988"/>
    <w:rsid w:val="00DD19AF"/>
    <w:rsid w:val="00DD1A51"/>
    <w:rsid w:val="00DD1A79"/>
    <w:rsid w:val="00DD1AD4"/>
    <w:rsid w:val="00DD1AE6"/>
    <w:rsid w:val="00DD1B04"/>
    <w:rsid w:val="00DD1B5B"/>
    <w:rsid w:val="00DD1B5E"/>
    <w:rsid w:val="00DD1BAC"/>
    <w:rsid w:val="00DD1BB3"/>
    <w:rsid w:val="00DD1CE1"/>
    <w:rsid w:val="00DD1D47"/>
    <w:rsid w:val="00DD1D5C"/>
    <w:rsid w:val="00DD1F6C"/>
    <w:rsid w:val="00DD1F72"/>
    <w:rsid w:val="00DD2090"/>
    <w:rsid w:val="00DD2190"/>
    <w:rsid w:val="00DD21BD"/>
    <w:rsid w:val="00DD2236"/>
    <w:rsid w:val="00DD2359"/>
    <w:rsid w:val="00DD2363"/>
    <w:rsid w:val="00DD2448"/>
    <w:rsid w:val="00DD2450"/>
    <w:rsid w:val="00DD2497"/>
    <w:rsid w:val="00DD250E"/>
    <w:rsid w:val="00DD2569"/>
    <w:rsid w:val="00DD2589"/>
    <w:rsid w:val="00DD2621"/>
    <w:rsid w:val="00DD263F"/>
    <w:rsid w:val="00DD2710"/>
    <w:rsid w:val="00DD283C"/>
    <w:rsid w:val="00DD28A0"/>
    <w:rsid w:val="00DD2927"/>
    <w:rsid w:val="00DD2949"/>
    <w:rsid w:val="00DD29DC"/>
    <w:rsid w:val="00DD2A44"/>
    <w:rsid w:val="00DD2B90"/>
    <w:rsid w:val="00DD2D79"/>
    <w:rsid w:val="00DD2E05"/>
    <w:rsid w:val="00DD2E1C"/>
    <w:rsid w:val="00DD2E4F"/>
    <w:rsid w:val="00DD2EA7"/>
    <w:rsid w:val="00DD2FB4"/>
    <w:rsid w:val="00DD314F"/>
    <w:rsid w:val="00DD319E"/>
    <w:rsid w:val="00DD31E9"/>
    <w:rsid w:val="00DD3441"/>
    <w:rsid w:val="00DD349F"/>
    <w:rsid w:val="00DD34B9"/>
    <w:rsid w:val="00DD34EE"/>
    <w:rsid w:val="00DD35C9"/>
    <w:rsid w:val="00DD36E6"/>
    <w:rsid w:val="00DD377F"/>
    <w:rsid w:val="00DD37B5"/>
    <w:rsid w:val="00DD3807"/>
    <w:rsid w:val="00DD380A"/>
    <w:rsid w:val="00DD380B"/>
    <w:rsid w:val="00DD38AC"/>
    <w:rsid w:val="00DD38E2"/>
    <w:rsid w:val="00DD399B"/>
    <w:rsid w:val="00DD3AAA"/>
    <w:rsid w:val="00DD3B55"/>
    <w:rsid w:val="00DD3CBD"/>
    <w:rsid w:val="00DD3D2B"/>
    <w:rsid w:val="00DD3D66"/>
    <w:rsid w:val="00DD3D74"/>
    <w:rsid w:val="00DD3D84"/>
    <w:rsid w:val="00DD3D99"/>
    <w:rsid w:val="00DD3F5E"/>
    <w:rsid w:val="00DD4084"/>
    <w:rsid w:val="00DD40A4"/>
    <w:rsid w:val="00DD4214"/>
    <w:rsid w:val="00DD42BF"/>
    <w:rsid w:val="00DD4364"/>
    <w:rsid w:val="00DD4404"/>
    <w:rsid w:val="00DD4494"/>
    <w:rsid w:val="00DD45B4"/>
    <w:rsid w:val="00DD470C"/>
    <w:rsid w:val="00DD4722"/>
    <w:rsid w:val="00DD47B2"/>
    <w:rsid w:val="00DD47D0"/>
    <w:rsid w:val="00DD4890"/>
    <w:rsid w:val="00DD48F8"/>
    <w:rsid w:val="00DD4960"/>
    <w:rsid w:val="00DD4A4C"/>
    <w:rsid w:val="00DD4A71"/>
    <w:rsid w:val="00DD4B28"/>
    <w:rsid w:val="00DD4B82"/>
    <w:rsid w:val="00DD4C22"/>
    <w:rsid w:val="00DD4C81"/>
    <w:rsid w:val="00DD4C85"/>
    <w:rsid w:val="00DD4D38"/>
    <w:rsid w:val="00DD4D76"/>
    <w:rsid w:val="00DD4D9B"/>
    <w:rsid w:val="00DD4DCE"/>
    <w:rsid w:val="00DD4DE4"/>
    <w:rsid w:val="00DD4E31"/>
    <w:rsid w:val="00DD4E34"/>
    <w:rsid w:val="00DD4E63"/>
    <w:rsid w:val="00DD4F35"/>
    <w:rsid w:val="00DD4F86"/>
    <w:rsid w:val="00DD4F9C"/>
    <w:rsid w:val="00DD4FF0"/>
    <w:rsid w:val="00DD500D"/>
    <w:rsid w:val="00DD50B8"/>
    <w:rsid w:val="00DD51D5"/>
    <w:rsid w:val="00DD52C2"/>
    <w:rsid w:val="00DD52C5"/>
    <w:rsid w:val="00DD544C"/>
    <w:rsid w:val="00DD54A9"/>
    <w:rsid w:val="00DD552C"/>
    <w:rsid w:val="00DD55C7"/>
    <w:rsid w:val="00DD5617"/>
    <w:rsid w:val="00DD5668"/>
    <w:rsid w:val="00DD568E"/>
    <w:rsid w:val="00DD58B6"/>
    <w:rsid w:val="00DD5977"/>
    <w:rsid w:val="00DD59EC"/>
    <w:rsid w:val="00DD5A3D"/>
    <w:rsid w:val="00DD5ADE"/>
    <w:rsid w:val="00DD5AE3"/>
    <w:rsid w:val="00DD5AEA"/>
    <w:rsid w:val="00DD5BA7"/>
    <w:rsid w:val="00DD5C14"/>
    <w:rsid w:val="00DD5C3A"/>
    <w:rsid w:val="00DD5E90"/>
    <w:rsid w:val="00DD5EE9"/>
    <w:rsid w:val="00DD5F3E"/>
    <w:rsid w:val="00DD6018"/>
    <w:rsid w:val="00DD6045"/>
    <w:rsid w:val="00DD6053"/>
    <w:rsid w:val="00DD610E"/>
    <w:rsid w:val="00DD61A2"/>
    <w:rsid w:val="00DD61BB"/>
    <w:rsid w:val="00DD6226"/>
    <w:rsid w:val="00DD6234"/>
    <w:rsid w:val="00DD6249"/>
    <w:rsid w:val="00DD62B3"/>
    <w:rsid w:val="00DD62DD"/>
    <w:rsid w:val="00DD62EF"/>
    <w:rsid w:val="00DD6302"/>
    <w:rsid w:val="00DD638B"/>
    <w:rsid w:val="00DD646D"/>
    <w:rsid w:val="00DD6492"/>
    <w:rsid w:val="00DD64AB"/>
    <w:rsid w:val="00DD6615"/>
    <w:rsid w:val="00DD6745"/>
    <w:rsid w:val="00DD68E8"/>
    <w:rsid w:val="00DD697A"/>
    <w:rsid w:val="00DD6A07"/>
    <w:rsid w:val="00DD6BAF"/>
    <w:rsid w:val="00DD6BFC"/>
    <w:rsid w:val="00DD6D0D"/>
    <w:rsid w:val="00DD6F4B"/>
    <w:rsid w:val="00DD6F74"/>
    <w:rsid w:val="00DD7068"/>
    <w:rsid w:val="00DD7078"/>
    <w:rsid w:val="00DD708E"/>
    <w:rsid w:val="00DD70C4"/>
    <w:rsid w:val="00DD715E"/>
    <w:rsid w:val="00DD7164"/>
    <w:rsid w:val="00DD7172"/>
    <w:rsid w:val="00DD7271"/>
    <w:rsid w:val="00DD7388"/>
    <w:rsid w:val="00DD741D"/>
    <w:rsid w:val="00DD7600"/>
    <w:rsid w:val="00DD760F"/>
    <w:rsid w:val="00DD77A8"/>
    <w:rsid w:val="00DD77C2"/>
    <w:rsid w:val="00DD7809"/>
    <w:rsid w:val="00DD780F"/>
    <w:rsid w:val="00DD788D"/>
    <w:rsid w:val="00DD78BB"/>
    <w:rsid w:val="00DD79EF"/>
    <w:rsid w:val="00DD79F3"/>
    <w:rsid w:val="00DD7A17"/>
    <w:rsid w:val="00DD7A38"/>
    <w:rsid w:val="00DD7B20"/>
    <w:rsid w:val="00DD7D51"/>
    <w:rsid w:val="00DD7EEB"/>
    <w:rsid w:val="00DD7F89"/>
    <w:rsid w:val="00DD7FBF"/>
    <w:rsid w:val="00DE0049"/>
    <w:rsid w:val="00DE00DA"/>
    <w:rsid w:val="00DE00FB"/>
    <w:rsid w:val="00DE01F6"/>
    <w:rsid w:val="00DE020C"/>
    <w:rsid w:val="00DE02C4"/>
    <w:rsid w:val="00DE02F4"/>
    <w:rsid w:val="00DE03DE"/>
    <w:rsid w:val="00DE05B8"/>
    <w:rsid w:val="00DE0619"/>
    <w:rsid w:val="00DE087A"/>
    <w:rsid w:val="00DE0958"/>
    <w:rsid w:val="00DE0A55"/>
    <w:rsid w:val="00DE0B31"/>
    <w:rsid w:val="00DE0C05"/>
    <w:rsid w:val="00DE0C31"/>
    <w:rsid w:val="00DE0C40"/>
    <w:rsid w:val="00DE0CD0"/>
    <w:rsid w:val="00DE0DBF"/>
    <w:rsid w:val="00DE0DC8"/>
    <w:rsid w:val="00DE0DEE"/>
    <w:rsid w:val="00DE0E1C"/>
    <w:rsid w:val="00DE0F00"/>
    <w:rsid w:val="00DE11CD"/>
    <w:rsid w:val="00DE11EF"/>
    <w:rsid w:val="00DE12CB"/>
    <w:rsid w:val="00DE12DC"/>
    <w:rsid w:val="00DE1494"/>
    <w:rsid w:val="00DE14F6"/>
    <w:rsid w:val="00DE1516"/>
    <w:rsid w:val="00DE1551"/>
    <w:rsid w:val="00DE1686"/>
    <w:rsid w:val="00DE17F2"/>
    <w:rsid w:val="00DE1864"/>
    <w:rsid w:val="00DE1865"/>
    <w:rsid w:val="00DE191E"/>
    <w:rsid w:val="00DE19D3"/>
    <w:rsid w:val="00DE1AEE"/>
    <w:rsid w:val="00DE1B84"/>
    <w:rsid w:val="00DE1CC9"/>
    <w:rsid w:val="00DE1DC2"/>
    <w:rsid w:val="00DE1EA2"/>
    <w:rsid w:val="00DE1F0A"/>
    <w:rsid w:val="00DE219E"/>
    <w:rsid w:val="00DE2265"/>
    <w:rsid w:val="00DE22E1"/>
    <w:rsid w:val="00DE2376"/>
    <w:rsid w:val="00DE2447"/>
    <w:rsid w:val="00DE2486"/>
    <w:rsid w:val="00DE251A"/>
    <w:rsid w:val="00DE2584"/>
    <w:rsid w:val="00DE25BF"/>
    <w:rsid w:val="00DE2842"/>
    <w:rsid w:val="00DE28DD"/>
    <w:rsid w:val="00DE292B"/>
    <w:rsid w:val="00DE2A57"/>
    <w:rsid w:val="00DE2B3A"/>
    <w:rsid w:val="00DE2C04"/>
    <w:rsid w:val="00DE2D03"/>
    <w:rsid w:val="00DE2D0E"/>
    <w:rsid w:val="00DE2E94"/>
    <w:rsid w:val="00DE2F1C"/>
    <w:rsid w:val="00DE304D"/>
    <w:rsid w:val="00DE31AC"/>
    <w:rsid w:val="00DE31E0"/>
    <w:rsid w:val="00DE3297"/>
    <w:rsid w:val="00DE330F"/>
    <w:rsid w:val="00DE343D"/>
    <w:rsid w:val="00DE34EB"/>
    <w:rsid w:val="00DE360F"/>
    <w:rsid w:val="00DE3669"/>
    <w:rsid w:val="00DE36A6"/>
    <w:rsid w:val="00DE3899"/>
    <w:rsid w:val="00DE392F"/>
    <w:rsid w:val="00DE3960"/>
    <w:rsid w:val="00DE39D4"/>
    <w:rsid w:val="00DE3A4D"/>
    <w:rsid w:val="00DE3BB8"/>
    <w:rsid w:val="00DE3BC2"/>
    <w:rsid w:val="00DE3BFC"/>
    <w:rsid w:val="00DE3C84"/>
    <w:rsid w:val="00DE3C96"/>
    <w:rsid w:val="00DE3CD0"/>
    <w:rsid w:val="00DE3D00"/>
    <w:rsid w:val="00DE3ED6"/>
    <w:rsid w:val="00DE3F22"/>
    <w:rsid w:val="00DE3FA7"/>
    <w:rsid w:val="00DE4012"/>
    <w:rsid w:val="00DE428A"/>
    <w:rsid w:val="00DE42BD"/>
    <w:rsid w:val="00DE43BA"/>
    <w:rsid w:val="00DE43D3"/>
    <w:rsid w:val="00DE4429"/>
    <w:rsid w:val="00DE4442"/>
    <w:rsid w:val="00DE449A"/>
    <w:rsid w:val="00DE44E8"/>
    <w:rsid w:val="00DE4555"/>
    <w:rsid w:val="00DE4574"/>
    <w:rsid w:val="00DE45B8"/>
    <w:rsid w:val="00DE47BE"/>
    <w:rsid w:val="00DE47ED"/>
    <w:rsid w:val="00DE481D"/>
    <w:rsid w:val="00DE4944"/>
    <w:rsid w:val="00DE494A"/>
    <w:rsid w:val="00DE499C"/>
    <w:rsid w:val="00DE4BFD"/>
    <w:rsid w:val="00DE4CB7"/>
    <w:rsid w:val="00DE4E29"/>
    <w:rsid w:val="00DE4EE3"/>
    <w:rsid w:val="00DE4F26"/>
    <w:rsid w:val="00DE4F40"/>
    <w:rsid w:val="00DE4F97"/>
    <w:rsid w:val="00DE4F9B"/>
    <w:rsid w:val="00DE5009"/>
    <w:rsid w:val="00DE50A5"/>
    <w:rsid w:val="00DE50CD"/>
    <w:rsid w:val="00DE5128"/>
    <w:rsid w:val="00DE515B"/>
    <w:rsid w:val="00DE51AE"/>
    <w:rsid w:val="00DE522E"/>
    <w:rsid w:val="00DE52A7"/>
    <w:rsid w:val="00DE5410"/>
    <w:rsid w:val="00DE5414"/>
    <w:rsid w:val="00DE5479"/>
    <w:rsid w:val="00DE54CD"/>
    <w:rsid w:val="00DE54FE"/>
    <w:rsid w:val="00DE5623"/>
    <w:rsid w:val="00DE578B"/>
    <w:rsid w:val="00DE57EB"/>
    <w:rsid w:val="00DE5803"/>
    <w:rsid w:val="00DE5869"/>
    <w:rsid w:val="00DE58C7"/>
    <w:rsid w:val="00DE59DB"/>
    <w:rsid w:val="00DE5AAB"/>
    <w:rsid w:val="00DE5AEF"/>
    <w:rsid w:val="00DE5C2A"/>
    <w:rsid w:val="00DE5CA5"/>
    <w:rsid w:val="00DE5CFD"/>
    <w:rsid w:val="00DE5D02"/>
    <w:rsid w:val="00DE5D63"/>
    <w:rsid w:val="00DE5DC8"/>
    <w:rsid w:val="00DE5E01"/>
    <w:rsid w:val="00DE5E4D"/>
    <w:rsid w:val="00DE5EBA"/>
    <w:rsid w:val="00DE611F"/>
    <w:rsid w:val="00DE6296"/>
    <w:rsid w:val="00DE637A"/>
    <w:rsid w:val="00DE6477"/>
    <w:rsid w:val="00DE64BF"/>
    <w:rsid w:val="00DE64E3"/>
    <w:rsid w:val="00DE663C"/>
    <w:rsid w:val="00DE66BE"/>
    <w:rsid w:val="00DE6909"/>
    <w:rsid w:val="00DE693B"/>
    <w:rsid w:val="00DE6966"/>
    <w:rsid w:val="00DE6CE0"/>
    <w:rsid w:val="00DE6D3D"/>
    <w:rsid w:val="00DE6ED1"/>
    <w:rsid w:val="00DE6F1F"/>
    <w:rsid w:val="00DE6FE9"/>
    <w:rsid w:val="00DE6FEE"/>
    <w:rsid w:val="00DE704F"/>
    <w:rsid w:val="00DE7177"/>
    <w:rsid w:val="00DE71B8"/>
    <w:rsid w:val="00DE726B"/>
    <w:rsid w:val="00DE72CB"/>
    <w:rsid w:val="00DE7435"/>
    <w:rsid w:val="00DE746E"/>
    <w:rsid w:val="00DE759B"/>
    <w:rsid w:val="00DE75C8"/>
    <w:rsid w:val="00DE7746"/>
    <w:rsid w:val="00DE77B7"/>
    <w:rsid w:val="00DE783C"/>
    <w:rsid w:val="00DE7851"/>
    <w:rsid w:val="00DE786E"/>
    <w:rsid w:val="00DE7876"/>
    <w:rsid w:val="00DE78E9"/>
    <w:rsid w:val="00DE78EB"/>
    <w:rsid w:val="00DE794C"/>
    <w:rsid w:val="00DE79AD"/>
    <w:rsid w:val="00DE7ADD"/>
    <w:rsid w:val="00DE7AF9"/>
    <w:rsid w:val="00DE7BFA"/>
    <w:rsid w:val="00DE7C11"/>
    <w:rsid w:val="00DE7CA2"/>
    <w:rsid w:val="00DE7D3E"/>
    <w:rsid w:val="00DE7E1F"/>
    <w:rsid w:val="00DE7F35"/>
    <w:rsid w:val="00DE7FB0"/>
    <w:rsid w:val="00DF00D5"/>
    <w:rsid w:val="00DF00F4"/>
    <w:rsid w:val="00DF027E"/>
    <w:rsid w:val="00DF028A"/>
    <w:rsid w:val="00DF052B"/>
    <w:rsid w:val="00DF05AF"/>
    <w:rsid w:val="00DF067C"/>
    <w:rsid w:val="00DF0685"/>
    <w:rsid w:val="00DF0731"/>
    <w:rsid w:val="00DF0744"/>
    <w:rsid w:val="00DF079D"/>
    <w:rsid w:val="00DF080A"/>
    <w:rsid w:val="00DF094C"/>
    <w:rsid w:val="00DF0ACC"/>
    <w:rsid w:val="00DF0AFF"/>
    <w:rsid w:val="00DF0B3C"/>
    <w:rsid w:val="00DF0BB4"/>
    <w:rsid w:val="00DF0C0F"/>
    <w:rsid w:val="00DF0C41"/>
    <w:rsid w:val="00DF0CBF"/>
    <w:rsid w:val="00DF0CCA"/>
    <w:rsid w:val="00DF0D79"/>
    <w:rsid w:val="00DF0D8E"/>
    <w:rsid w:val="00DF0FDB"/>
    <w:rsid w:val="00DF1003"/>
    <w:rsid w:val="00DF101B"/>
    <w:rsid w:val="00DF1057"/>
    <w:rsid w:val="00DF1160"/>
    <w:rsid w:val="00DF135D"/>
    <w:rsid w:val="00DF1465"/>
    <w:rsid w:val="00DF14DE"/>
    <w:rsid w:val="00DF15B2"/>
    <w:rsid w:val="00DF16A3"/>
    <w:rsid w:val="00DF16BA"/>
    <w:rsid w:val="00DF16D1"/>
    <w:rsid w:val="00DF1823"/>
    <w:rsid w:val="00DF1879"/>
    <w:rsid w:val="00DF1937"/>
    <w:rsid w:val="00DF1964"/>
    <w:rsid w:val="00DF1A48"/>
    <w:rsid w:val="00DF1ABA"/>
    <w:rsid w:val="00DF1B07"/>
    <w:rsid w:val="00DF1B2D"/>
    <w:rsid w:val="00DF1B37"/>
    <w:rsid w:val="00DF1B9F"/>
    <w:rsid w:val="00DF1C18"/>
    <w:rsid w:val="00DF1CD1"/>
    <w:rsid w:val="00DF1D23"/>
    <w:rsid w:val="00DF1D7E"/>
    <w:rsid w:val="00DF1E2D"/>
    <w:rsid w:val="00DF1F1B"/>
    <w:rsid w:val="00DF1F28"/>
    <w:rsid w:val="00DF1FA7"/>
    <w:rsid w:val="00DF1FD9"/>
    <w:rsid w:val="00DF208D"/>
    <w:rsid w:val="00DF234A"/>
    <w:rsid w:val="00DF2361"/>
    <w:rsid w:val="00DF23CB"/>
    <w:rsid w:val="00DF23CC"/>
    <w:rsid w:val="00DF24EC"/>
    <w:rsid w:val="00DF2571"/>
    <w:rsid w:val="00DF295E"/>
    <w:rsid w:val="00DF2968"/>
    <w:rsid w:val="00DF2AEA"/>
    <w:rsid w:val="00DF2B57"/>
    <w:rsid w:val="00DF2B69"/>
    <w:rsid w:val="00DF2B6B"/>
    <w:rsid w:val="00DF2BB5"/>
    <w:rsid w:val="00DF2C47"/>
    <w:rsid w:val="00DF2C61"/>
    <w:rsid w:val="00DF2D2C"/>
    <w:rsid w:val="00DF2ECD"/>
    <w:rsid w:val="00DF2F03"/>
    <w:rsid w:val="00DF2F9B"/>
    <w:rsid w:val="00DF310E"/>
    <w:rsid w:val="00DF3156"/>
    <w:rsid w:val="00DF31DB"/>
    <w:rsid w:val="00DF3286"/>
    <w:rsid w:val="00DF3338"/>
    <w:rsid w:val="00DF337C"/>
    <w:rsid w:val="00DF33C4"/>
    <w:rsid w:val="00DF34CC"/>
    <w:rsid w:val="00DF3582"/>
    <w:rsid w:val="00DF3627"/>
    <w:rsid w:val="00DF36A6"/>
    <w:rsid w:val="00DF36B3"/>
    <w:rsid w:val="00DF370C"/>
    <w:rsid w:val="00DF38AA"/>
    <w:rsid w:val="00DF3913"/>
    <w:rsid w:val="00DF3AA2"/>
    <w:rsid w:val="00DF3AF9"/>
    <w:rsid w:val="00DF3B14"/>
    <w:rsid w:val="00DF3B3E"/>
    <w:rsid w:val="00DF3B59"/>
    <w:rsid w:val="00DF3B8E"/>
    <w:rsid w:val="00DF3CB6"/>
    <w:rsid w:val="00DF3D30"/>
    <w:rsid w:val="00DF3D7B"/>
    <w:rsid w:val="00DF4079"/>
    <w:rsid w:val="00DF4172"/>
    <w:rsid w:val="00DF4250"/>
    <w:rsid w:val="00DF4269"/>
    <w:rsid w:val="00DF4292"/>
    <w:rsid w:val="00DF42B2"/>
    <w:rsid w:val="00DF44E9"/>
    <w:rsid w:val="00DF44EF"/>
    <w:rsid w:val="00DF4582"/>
    <w:rsid w:val="00DF458D"/>
    <w:rsid w:val="00DF45AF"/>
    <w:rsid w:val="00DF4619"/>
    <w:rsid w:val="00DF4810"/>
    <w:rsid w:val="00DF481B"/>
    <w:rsid w:val="00DF4905"/>
    <w:rsid w:val="00DF4958"/>
    <w:rsid w:val="00DF496B"/>
    <w:rsid w:val="00DF4B45"/>
    <w:rsid w:val="00DF4D09"/>
    <w:rsid w:val="00DF4D25"/>
    <w:rsid w:val="00DF4D3B"/>
    <w:rsid w:val="00DF4D3E"/>
    <w:rsid w:val="00DF4D53"/>
    <w:rsid w:val="00DF4DCE"/>
    <w:rsid w:val="00DF4E37"/>
    <w:rsid w:val="00DF4E38"/>
    <w:rsid w:val="00DF4E4C"/>
    <w:rsid w:val="00DF4E64"/>
    <w:rsid w:val="00DF4F46"/>
    <w:rsid w:val="00DF4F6F"/>
    <w:rsid w:val="00DF4FB3"/>
    <w:rsid w:val="00DF5162"/>
    <w:rsid w:val="00DF5183"/>
    <w:rsid w:val="00DF51DF"/>
    <w:rsid w:val="00DF52DA"/>
    <w:rsid w:val="00DF5346"/>
    <w:rsid w:val="00DF53B2"/>
    <w:rsid w:val="00DF54D5"/>
    <w:rsid w:val="00DF553D"/>
    <w:rsid w:val="00DF5641"/>
    <w:rsid w:val="00DF566F"/>
    <w:rsid w:val="00DF58D4"/>
    <w:rsid w:val="00DF58E9"/>
    <w:rsid w:val="00DF58FE"/>
    <w:rsid w:val="00DF59FD"/>
    <w:rsid w:val="00DF5A06"/>
    <w:rsid w:val="00DF5B2A"/>
    <w:rsid w:val="00DF5B2F"/>
    <w:rsid w:val="00DF5CCD"/>
    <w:rsid w:val="00DF5EA7"/>
    <w:rsid w:val="00DF5FFB"/>
    <w:rsid w:val="00DF6050"/>
    <w:rsid w:val="00DF6057"/>
    <w:rsid w:val="00DF60AA"/>
    <w:rsid w:val="00DF6414"/>
    <w:rsid w:val="00DF64F1"/>
    <w:rsid w:val="00DF6606"/>
    <w:rsid w:val="00DF680B"/>
    <w:rsid w:val="00DF6846"/>
    <w:rsid w:val="00DF68AB"/>
    <w:rsid w:val="00DF6953"/>
    <w:rsid w:val="00DF6999"/>
    <w:rsid w:val="00DF69CC"/>
    <w:rsid w:val="00DF6A7F"/>
    <w:rsid w:val="00DF6B4A"/>
    <w:rsid w:val="00DF6B5E"/>
    <w:rsid w:val="00DF6C11"/>
    <w:rsid w:val="00DF6C8F"/>
    <w:rsid w:val="00DF6CD4"/>
    <w:rsid w:val="00DF6CF3"/>
    <w:rsid w:val="00DF6D09"/>
    <w:rsid w:val="00DF6DCA"/>
    <w:rsid w:val="00DF6E01"/>
    <w:rsid w:val="00DF6E50"/>
    <w:rsid w:val="00DF6FE9"/>
    <w:rsid w:val="00DF701D"/>
    <w:rsid w:val="00DF7055"/>
    <w:rsid w:val="00DF70CB"/>
    <w:rsid w:val="00DF7176"/>
    <w:rsid w:val="00DF71BD"/>
    <w:rsid w:val="00DF71DD"/>
    <w:rsid w:val="00DF7254"/>
    <w:rsid w:val="00DF72E3"/>
    <w:rsid w:val="00DF7321"/>
    <w:rsid w:val="00DF732F"/>
    <w:rsid w:val="00DF7476"/>
    <w:rsid w:val="00DF748A"/>
    <w:rsid w:val="00DF7533"/>
    <w:rsid w:val="00DF75B0"/>
    <w:rsid w:val="00DF7610"/>
    <w:rsid w:val="00DF765F"/>
    <w:rsid w:val="00DF77A5"/>
    <w:rsid w:val="00DF77F2"/>
    <w:rsid w:val="00DF780D"/>
    <w:rsid w:val="00DF783E"/>
    <w:rsid w:val="00DF7866"/>
    <w:rsid w:val="00DF7868"/>
    <w:rsid w:val="00DF78A7"/>
    <w:rsid w:val="00DF78F3"/>
    <w:rsid w:val="00DF79D6"/>
    <w:rsid w:val="00DF7A10"/>
    <w:rsid w:val="00DF7A75"/>
    <w:rsid w:val="00DF7B37"/>
    <w:rsid w:val="00DF7C9B"/>
    <w:rsid w:val="00DF7CA1"/>
    <w:rsid w:val="00DF7CAF"/>
    <w:rsid w:val="00DF7CDA"/>
    <w:rsid w:val="00DF7D16"/>
    <w:rsid w:val="00DF7D3D"/>
    <w:rsid w:val="00DF7F3D"/>
    <w:rsid w:val="00DF7F72"/>
    <w:rsid w:val="00E0016C"/>
    <w:rsid w:val="00E001E7"/>
    <w:rsid w:val="00E002F6"/>
    <w:rsid w:val="00E00476"/>
    <w:rsid w:val="00E004A8"/>
    <w:rsid w:val="00E004B6"/>
    <w:rsid w:val="00E005E0"/>
    <w:rsid w:val="00E00609"/>
    <w:rsid w:val="00E006D8"/>
    <w:rsid w:val="00E00727"/>
    <w:rsid w:val="00E007D6"/>
    <w:rsid w:val="00E00800"/>
    <w:rsid w:val="00E00968"/>
    <w:rsid w:val="00E00ACF"/>
    <w:rsid w:val="00E00AD7"/>
    <w:rsid w:val="00E00ADB"/>
    <w:rsid w:val="00E00B05"/>
    <w:rsid w:val="00E00BDD"/>
    <w:rsid w:val="00E00C57"/>
    <w:rsid w:val="00E00CEC"/>
    <w:rsid w:val="00E00D0F"/>
    <w:rsid w:val="00E00D8C"/>
    <w:rsid w:val="00E00EBE"/>
    <w:rsid w:val="00E00F9E"/>
    <w:rsid w:val="00E01089"/>
    <w:rsid w:val="00E010CF"/>
    <w:rsid w:val="00E0110E"/>
    <w:rsid w:val="00E011BE"/>
    <w:rsid w:val="00E01243"/>
    <w:rsid w:val="00E01262"/>
    <w:rsid w:val="00E01330"/>
    <w:rsid w:val="00E0137A"/>
    <w:rsid w:val="00E0139A"/>
    <w:rsid w:val="00E013B3"/>
    <w:rsid w:val="00E013C5"/>
    <w:rsid w:val="00E013DF"/>
    <w:rsid w:val="00E015D2"/>
    <w:rsid w:val="00E0162D"/>
    <w:rsid w:val="00E016B6"/>
    <w:rsid w:val="00E016C6"/>
    <w:rsid w:val="00E016F3"/>
    <w:rsid w:val="00E016F7"/>
    <w:rsid w:val="00E0178B"/>
    <w:rsid w:val="00E017A9"/>
    <w:rsid w:val="00E0181D"/>
    <w:rsid w:val="00E018A8"/>
    <w:rsid w:val="00E01930"/>
    <w:rsid w:val="00E019F4"/>
    <w:rsid w:val="00E01C4E"/>
    <w:rsid w:val="00E01CB8"/>
    <w:rsid w:val="00E01CCB"/>
    <w:rsid w:val="00E01DA4"/>
    <w:rsid w:val="00E01E39"/>
    <w:rsid w:val="00E01FAE"/>
    <w:rsid w:val="00E01FCC"/>
    <w:rsid w:val="00E0205F"/>
    <w:rsid w:val="00E0223A"/>
    <w:rsid w:val="00E0227C"/>
    <w:rsid w:val="00E022BA"/>
    <w:rsid w:val="00E0230D"/>
    <w:rsid w:val="00E02376"/>
    <w:rsid w:val="00E023A5"/>
    <w:rsid w:val="00E0244B"/>
    <w:rsid w:val="00E02756"/>
    <w:rsid w:val="00E02769"/>
    <w:rsid w:val="00E02878"/>
    <w:rsid w:val="00E029A1"/>
    <w:rsid w:val="00E029A4"/>
    <w:rsid w:val="00E029E1"/>
    <w:rsid w:val="00E02A0C"/>
    <w:rsid w:val="00E02A87"/>
    <w:rsid w:val="00E02AEF"/>
    <w:rsid w:val="00E02B1A"/>
    <w:rsid w:val="00E02B40"/>
    <w:rsid w:val="00E02BBA"/>
    <w:rsid w:val="00E02C2E"/>
    <w:rsid w:val="00E02E17"/>
    <w:rsid w:val="00E02E6B"/>
    <w:rsid w:val="00E02E8F"/>
    <w:rsid w:val="00E02ED4"/>
    <w:rsid w:val="00E02EDB"/>
    <w:rsid w:val="00E02F43"/>
    <w:rsid w:val="00E02FFC"/>
    <w:rsid w:val="00E03045"/>
    <w:rsid w:val="00E0325E"/>
    <w:rsid w:val="00E0329E"/>
    <w:rsid w:val="00E033E7"/>
    <w:rsid w:val="00E03422"/>
    <w:rsid w:val="00E037A0"/>
    <w:rsid w:val="00E037EC"/>
    <w:rsid w:val="00E03809"/>
    <w:rsid w:val="00E03837"/>
    <w:rsid w:val="00E038A3"/>
    <w:rsid w:val="00E038A8"/>
    <w:rsid w:val="00E038BE"/>
    <w:rsid w:val="00E03A06"/>
    <w:rsid w:val="00E03ACA"/>
    <w:rsid w:val="00E03AFF"/>
    <w:rsid w:val="00E03C57"/>
    <w:rsid w:val="00E03D03"/>
    <w:rsid w:val="00E03E7D"/>
    <w:rsid w:val="00E03E87"/>
    <w:rsid w:val="00E03EA3"/>
    <w:rsid w:val="00E0407A"/>
    <w:rsid w:val="00E04108"/>
    <w:rsid w:val="00E0411B"/>
    <w:rsid w:val="00E04131"/>
    <w:rsid w:val="00E04183"/>
    <w:rsid w:val="00E042C4"/>
    <w:rsid w:val="00E04481"/>
    <w:rsid w:val="00E044EB"/>
    <w:rsid w:val="00E04566"/>
    <w:rsid w:val="00E04585"/>
    <w:rsid w:val="00E0464C"/>
    <w:rsid w:val="00E046DF"/>
    <w:rsid w:val="00E04745"/>
    <w:rsid w:val="00E0478F"/>
    <w:rsid w:val="00E047D4"/>
    <w:rsid w:val="00E047F3"/>
    <w:rsid w:val="00E048DD"/>
    <w:rsid w:val="00E048F2"/>
    <w:rsid w:val="00E0491A"/>
    <w:rsid w:val="00E0497A"/>
    <w:rsid w:val="00E04B9A"/>
    <w:rsid w:val="00E04C36"/>
    <w:rsid w:val="00E04C7B"/>
    <w:rsid w:val="00E04CDA"/>
    <w:rsid w:val="00E04DE7"/>
    <w:rsid w:val="00E04F0A"/>
    <w:rsid w:val="00E04F75"/>
    <w:rsid w:val="00E04F8B"/>
    <w:rsid w:val="00E04FDB"/>
    <w:rsid w:val="00E0503F"/>
    <w:rsid w:val="00E050B7"/>
    <w:rsid w:val="00E050B9"/>
    <w:rsid w:val="00E05205"/>
    <w:rsid w:val="00E05224"/>
    <w:rsid w:val="00E052C5"/>
    <w:rsid w:val="00E052EE"/>
    <w:rsid w:val="00E05350"/>
    <w:rsid w:val="00E05393"/>
    <w:rsid w:val="00E05434"/>
    <w:rsid w:val="00E05449"/>
    <w:rsid w:val="00E0544C"/>
    <w:rsid w:val="00E05497"/>
    <w:rsid w:val="00E054A3"/>
    <w:rsid w:val="00E054E3"/>
    <w:rsid w:val="00E05572"/>
    <w:rsid w:val="00E055A3"/>
    <w:rsid w:val="00E055CE"/>
    <w:rsid w:val="00E055F4"/>
    <w:rsid w:val="00E0562E"/>
    <w:rsid w:val="00E0567B"/>
    <w:rsid w:val="00E056ED"/>
    <w:rsid w:val="00E05705"/>
    <w:rsid w:val="00E05751"/>
    <w:rsid w:val="00E0576B"/>
    <w:rsid w:val="00E057BC"/>
    <w:rsid w:val="00E057E4"/>
    <w:rsid w:val="00E0586D"/>
    <w:rsid w:val="00E05A1A"/>
    <w:rsid w:val="00E05A68"/>
    <w:rsid w:val="00E05AF9"/>
    <w:rsid w:val="00E05C20"/>
    <w:rsid w:val="00E05CBD"/>
    <w:rsid w:val="00E05D7F"/>
    <w:rsid w:val="00E05DE4"/>
    <w:rsid w:val="00E05E1A"/>
    <w:rsid w:val="00E06076"/>
    <w:rsid w:val="00E061F3"/>
    <w:rsid w:val="00E06224"/>
    <w:rsid w:val="00E06402"/>
    <w:rsid w:val="00E06409"/>
    <w:rsid w:val="00E06442"/>
    <w:rsid w:val="00E0649D"/>
    <w:rsid w:val="00E06553"/>
    <w:rsid w:val="00E06616"/>
    <w:rsid w:val="00E0661E"/>
    <w:rsid w:val="00E06750"/>
    <w:rsid w:val="00E06878"/>
    <w:rsid w:val="00E068A9"/>
    <w:rsid w:val="00E06903"/>
    <w:rsid w:val="00E069A2"/>
    <w:rsid w:val="00E06A41"/>
    <w:rsid w:val="00E06A95"/>
    <w:rsid w:val="00E06B09"/>
    <w:rsid w:val="00E06B41"/>
    <w:rsid w:val="00E06C3D"/>
    <w:rsid w:val="00E06CCC"/>
    <w:rsid w:val="00E06F12"/>
    <w:rsid w:val="00E0703D"/>
    <w:rsid w:val="00E0719E"/>
    <w:rsid w:val="00E071A2"/>
    <w:rsid w:val="00E071C9"/>
    <w:rsid w:val="00E071DF"/>
    <w:rsid w:val="00E071EA"/>
    <w:rsid w:val="00E0723E"/>
    <w:rsid w:val="00E07252"/>
    <w:rsid w:val="00E0729F"/>
    <w:rsid w:val="00E07300"/>
    <w:rsid w:val="00E07329"/>
    <w:rsid w:val="00E074A1"/>
    <w:rsid w:val="00E0753C"/>
    <w:rsid w:val="00E07553"/>
    <w:rsid w:val="00E076C5"/>
    <w:rsid w:val="00E07833"/>
    <w:rsid w:val="00E0794B"/>
    <w:rsid w:val="00E0796C"/>
    <w:rsid w:val="00E0799D"/>
    <w:rsid w:val="00E079D3"/>
    <w:rsid w:val="00E07A9C"/>
    <w:rsid w:val="00E07B6D"/>
    <w:rsid w:val="00E07B9C"/>
    <w:rsid w:val="00E07BC9"/>
    <w:rsid w:val="00E07C94"/>
    <w:rsid w:val="00E07D22"/>
    <w:rsid w:val="00E07D23"/>
    <w:rsid w:val="00E07D52"/>
    <w:rsid w:val="00E07E40"/>
    <w:rsid w:val="00E07FCD"/>
    <w:rsid w:val="00E10096"/>
    <w:rsid w:val="00E100BA"/>
    <w:rsid w:val="00E100BC"/>
    <w:rsid w:val="00E10166"/>
    <w:rsid w:val="00E101B8"/>
    <w:rsid w:val="00E1022E"/>
    <w:rsid w:val="00E10248"/>
    <w:rsid w:val="00E1037E"/>
    <w:rsid w:val="00E1048F"/>
    <w:rsid w:val="00E1063F"/>
    <w:rsid w:val="00E10727"/>
    <w:rsid w:val="00E10823"/>
    <w:rsid w:val="00E1095A"/>
    <w:rsid w:val="00E10A59"/>
    <w:rsid w:val="00E10A74"/>
    <w:rsid w:val="00E10A86"/>
    <w:rsid w:val="00E10A95"/>
    <w:rsid w:val="00E10AD5"/>
    <w:rsid w:val="00E10B64"/>
    <w:rsid w:val="00E10B7E"/>
    <w:rsid w:val="00E10BF0"/>
    <w:rsid w:val="00E10C5D"/>
    <w:rsid w:val="00E10C84"/>
    <w:rsid w:val="00E10CA7"/>
    <w:rsid w:val="00E10CB2"/>
    <w:rsid w:val="00E10CD3"/>
    <w:rsid w:val="00E10DEB"/>
    <w:rsid w:val="00E10ED6"/>
    <w:rsid w:val="00E10F16"/>
    <w:rsid w:val="00E10F44"/>
    <w:rsid w:val="00E10F4F"/>
    <w:rsid w:val="00E10F5D"/>
    <w:rsid w:val="00E11102"/>
    <w:rsid w:val="00E112F3"/>
    <w:rsid w:val="00E11361"/>
    <w:rsid w:val="00E115A4"/>
    <w:rsid w:val="00E115A7"/>
    <w:rsid w:val="00E115A9"/>
    <w:rsid w:val="00E11676"/>
    <w:rsid w:val="00E117B9"/>
    <w:rsid w:val="00E117BD"/>
    <w:rsid w:val="00E1193E"/>
    <w:rsid w:val="00E11A2B"/>
    <w:rsid w:val="00E11A9D"/>
    <w:rsid w:val="00E11AD3"/>
    <w:rsid w:val="00E11B91"/>
    <w:rsid w:val="00E11C99"/>
    <w:rsid w:val="00E11D1D"/>
    <w:rsid w:val="00E11D1E"/>
    <w:rsid w:val="00E11DFB"/>
    <w:rsid w:val="00E11E00"/>
    <w:rsid w:val="00E11E95"/>
    <w:rsid w:val="00E1201E"/>
    <w:rsid w:val="00E1207C"/>
    <w:rsid w:val="00E12116"/>
    <w:rsid w:val="00E121D5"/>
    <w:rsid w:val="00E121E8"/>
    <w:rsid w:val="00E121FB"/>
    <w:rsid w:val="00E1220F"/>
    <w:rsid w:val="00E12247"/>
    <w:rsid w:val="00E12275"/>
    <w:rsid w:val="00E12301"/>
    <w:rsid w:val="00E1244D"/>
    <w:rsid w:val="00E12529"/>
    <w:rsid w:val="00E12532"/>
    <w:rsid w:val="00E12606"/>
    <w:rsid w:val="00E1265A"/>
    <w:rsid w:val="00E12721"/>
    <w:rsid w:val="00E12747"/>
    <w:rsid w:val="00E12771"/>
    <w:rsid w:val="00E1280D"/>
    <w:rsid w:val="00E12920"/>
    <w:rsid w:val="00E12B97"/>
    <w:rsid w:val="00E12C30"/>
    <w:rsid w:val="00E12C55"/>
    <w:rsid w:val="00E12CA3"/>
    <w:rsid w:val="00E12CBE"/>
    <w:rsid w:val="00E12D00"/>
    <w:rsid w:val="00E12D1A"/>
    <w:rsid w:val="00E12F67"/>
    <w:rsid w:val="00E12FCA"/>
    <w:rsid w:val="00E12FE0"/>
    <w:rsid w:val="00E13009"/>
    <w:rsid w:val="00E13180"/>
    <w:rsid w:val="00E131F1"/>
    <w:rsid w:val="00E1328B"/>
    <w:rsid w:val="00E133A7"/>
    <w:rsid w:val="00E1350A"/>
    <w:rsid w:val="00E13591"/>
    <w:rsid w:val="00E135B9"/>
    <w:rsid w:val="00E13681"/>
    <w:rsid w:val="00E1379C"/>
    <w:rsid w:val="00E137B8"/>
    <w:rsid w:val="00E137BA"/>
    <w:rsid w:val="00E137E5"/>
    <w:rsid w:val="00E1383A"/>
    <w:rsid w:val="00E13894"/>
    <w:rsid w:val="00E13899"/>
    <w:rsid w:val="00E138F3"/>
    <w:rsid w:val="00E13B2C"/>
    <w:rsid w:val="00E13B6B"/>
    <w:rsid w:val="00E13C19"/>
    <w:rsid w:val="00E13C48"/>
    <w:rsid w:val="00E13C95"/>
    <w:rsid w:val="00E13C96"/>
    <w:rsid w:val="00E13CC9"/>
    <w:rsid w:val="00E13D48"/>
    <w:rsid w:val="00E13E67"/>
    <w:rsid w:val="00E13F0E"/>
    <w:rsid w:val="00E13F56"/>
    <w:rsid w:val="00E13F64"/>
    <w:rsid w:val="00E13FF9"/>
    <w:rsid w:val="00E14075"/>
    <w:rsid w:val="00E1408B"/>
    <w:rsid w:val="00E140C3"/>
    <w:rsid w:val="00E140D6"/>
    <w:rsid w:val="00E1416F"/>
    <w:rsid w:val="00E14224"/>
    <w:rsid w:val="00E14294"/>
    <w:rsid w:val="00E1445F"/>
    <w:rsid w:val="00E1466D"/>
    <w:rsid w:val="00E1470F"/>
    <w:rsid w:val="00E147E2"/>
    <w:rsid w:val="00E147EB"/>
    <w:rsid w:val="00E148C8"/>
    <w:rsid w:val="00E149B3"/>
    <w:rsid w:val="00E14A41"/>
    <w:rsid w:val="00E14A95"/>
    <w:rsid w:val="00E14B8D"/>
    <w:rsid w:val="00E14C7C"/>
    <w:rsid w:val="00E14D12"/>
    <w:rsid w:val="00E14E52"/>
    <w:rsid w:val="00E14E5D"/>
    <w:rsid w:val="00E14FCB"/>
    <w:rsid w:val="00E14FCC"/>
    <w:rsid w:val="00E1501D"/>
    <w:rsid w:val="00E15098"/>
    <w:rsid w:val="00E150F1"/>
    <w:rsid w:val="00E1516E"/>
    <w:rsid w:val="00E15225"/>
    <w:rsid w:val="00E15247"/>
    <w:rsid w:val="00E1527A"/>
    <w:rsid w:val="00E153B4"/>
    <w:rsid w:val="00E15412"/>
    <w:rsid w:val="00E15597"/>
    <w:rsid w:val="00E15664"/>
    <w:rsid w:val="00E156B5"/>
    <w:rsid w:val="00E156E5"/>
    <w:rsid w:val="00E157B2"/>
    <w:rsid w:val="00E157BD"/>
    <w:rsid w:val="00E15808"/>
    <w:rsid w:val="00E15839"/>
    <w:rsid w:val="00E1587B"/>
    <w:rsid w:val="00E159C6"/>
    <w:rsid w:val="00E15A54"/>
    <w:rsid w:val="00E15A8D"/>
    <w:rsid w:val="00E15AB6"/>
    <w:rsid w:val="00E15B2B"/>
    <w:rsid w:val="00E15B8C"/>
    <w:rsid w:val="00E15D8D"/>
    <w:rsid w:val="00E15DC0"/>
    <w:rsid w:val="00E15E7D"/>
    <w:rsid w:val="00E16026"/>
    <w:rsid w:val="00E16049"/>
    <w:rsid w:val="00E16062"/>
    <w:rsid w:val="00E16475"/>
    <w:rsid w:val="00E164A9"/>
    <w:rsid w:val="00E164FA"/>
    <w:rsid w:val="00E1655F"/>
    <w:rsid w:val="00E165F2"/>
    <w:rsid w:val="00E16626"/>
    <w:rsid w:val="00E16629"/>
    <w:rsid w:val="00E1662D"/>
    <w:rsid w:val="00E1663F"/>
    <w:rsid w:val="00E1668A"/>
    <w:rsid w:val="00E166A7"/>
    <w:rsid w:val="00E1682E"/>
    <w:rsid w:val="00E16957"/>
    <w:rsid w:val="00E1699D"/>
    <w:rsid w:val="00E16A25"/>
    <w:rsid w:val="00E16A4A"/>
    <w:rsid w:val="00E16BAE"/>
    <w:rsid w:val="00E16BF0"/>
    <w:rsid w:val="00E16C4F"/>
    <w:rsid w:val="00E16C7D"/>
    <w:rsid w:val="00E16DFA"/>
    <w:rsid w:val="00E16E8E"/>
    <w:rsid w:val="00E16F7B"/>
    <w:rsid w:val="00E16FE8"/>
    <w:rsid w:val="00E1702C"/>
    <w:rsid w:val="00E171BF"/>
    <w:rsid w:val="00E171D1"/>
    <w:rsid w:val="00E17324"/>
    <w:rsid w:val="00E174EC"/>
    <w:rsid w:val="00E175F4"/>
    <w:rsid w:val="00E175FE"/>
    <w:rsid w:val="00E17641"/>
    <w:rsid w:val="00E1769F"/>
    <w:rsid w:val="00E176EB"/>
    <w:rsid w:val="00E1771A"/>
    <w:rsid w:val="00E178DE"/>
    <w:rsid w:val="00E17911"/>
    <w:rsid w:val="00E179DD"/>
    <w:rsid w:val="00E179E5"/>
    <w:rsid w:val="00E17A6F"/>
    <w:rsid w:val="00E17B3D"/>
    <w:rsid w:val="00E17B78"/>
    <w:rsid w:val="00E17BB8"/>
    <w:rsid w:val="00E17BBF"/>
    <w:rsid w:val="00E17BD4"/>
    <w:rsid w:val="00E17CC7"/>
    <w:rsid w:val="00E17D0B"/>
    <w:rsid w:val="00E17E6D"/>
    <w:rsid w:val="00E17E8E"/>
    <w:rsid w:val="00E17E9B"/>
    <w:rsid w:val="00E17EB4"/>
    <w:rsid w:val="00E17ECC"/>
    <w:rsid w:val="00E17F22"/>
    <w:rsid w:val="00E17F61"/>
    <w:rsid w:val="00E20175"/>
    <w:rsid w:val="00E2031A"/>
    <w:rsid w:val="00E203F5"/>
    <w:rsid w:val="00E20412"/>
    <w:rsid w:val="00E2046A"/>
    <w:rsid w:val="00E204A2"/>
    <w:rsid w:val="00E205B7"/>
    <w:rsid w:val="00E20615"/>
    <w:rsid w:val="00E20633"/>
    <w:rsid w:val="00E20755"/>
    <w:rsid w:val="00E2076D"/>
    <w:rsid w:val="00E20781"/>
    <w:rsid w:val="00E207A3"/>
    <w:rsid w:val="00E208A4"/>
    <w:rsid w:val="00E20931"/>
    <w:rsid w:val="00E2096D"/>
    <w:rsid w:val="00E209A1"/>
    <w:rsid w:val="00E209EC"/>
    <w:rsid w:val="00E20AD9"/>
    <w:rsid w:val="00E20D89"/>
    <w:rsid w:val="00E20D96"/>
    <w:rsid w:val="00E20DBD"/>
    <w:rsid w:val="00E20DC8"/>
    <w:rsid w:val="00E20DF2"/>
    <w:rsid w:val="00E20E60"/>
    <w:rsid w:val="00E2101C"/>
    <w:rsid w:val="00E210EE"/>
    <w:rsid w:val="00E210F6"/>
    <w:rsid w:val="00E211B7"/>
    <w:rsid w:val="00E2121C"/>
    <w:rsid w:val="00E212D1"/>
    <w:rsid w:val="00E21380"/>
    <w:rsid w:val="00E21385"/>
    <w:rsid w:val="00E21482"/>
    <w:rsid w:val="00E2167A"/>
    <w:rsid w:val="00E218F5"/>
    <w:rsid w:val="00E2190A"/>
    <w:rsid w:val="00E2192E"/>
    <w:rsid w:val="00E21935"/>
    <w:rsid w:val="00E21A43"/>
    <w:rsid w:val="00E21B80"/>
    <w:rsid w:val="00E21BA6"/>
    <w:rsid w:val="00E21BA9"/>
    <w:rsid w:val="00E21EFE"/>
    <w:rsid w:val="00E21F6B"/>
    <w:rsid w:val="00E220BA"/>
    <w:rsid w:val="00E220C9"/>
    <w:rsid w:val="00E22132"/>
    <w:rsid w:val="00E22257"/>
    <w:rsid w:val="00E22460"/>
    <w:rsid w:val="00E22585"/>
    <w:rsid w:val="00E22588"/>
    <w:rsid w:val="00E22692"/>
    <w:rsid w:val="00E22803"/>
    <w:rsid w:val="00E22882"/>
    <w:rsid w:val="00E228E1"/>
    <w:rsid w:val="00E2295A"/>
    <w:rsid w:val="00E22A44"/>
    <w:rsid w:val="00E22B5F"/>
    <w:rsid w:val="00E22C05"/>
    <w:rsid w:val="00E22C4C"/>
    <w:rsid w:val="00E22E3E"/>
    <w:rsid w:val="00E22E5F"/>
    <w:rsid w:val="00E22E63"/>
    <w:rsid w:val="00E22E6C"/>
    <w:rsid w:val="00E22EA2"/>
    <w:rsid w:val="00E22F68"/>
    <w:rsid w:val="00E22F72"/>
    <w:rsid w:val="00E2311F"/>
    <w:rsid w:val="00E23165"/>
    <w:rsid w:val="00E231E3"/>
    <w:rsid w:val="00E23216"/>
    <w:rsid w:val="00E2321C"/>
    <w:rsid w:val="00E2329B"/>
    <w:rsid w:val="00E232D6"/>
    <w:rsid w:val="00E233F6"/>
    <w:rsid w:val="00E237EB"/>
    <w:rsid w:val="00E23892"/>
    <w:rsid w:val="00E238E3"/>
    <w:rsid w:val="00E2395A"/>
    <w:rsid w:val="00E23AC6"/>
    <w:rsid w:val="00E23B47"/>
    <w:rsid w:val="00E23D28"/>
    <w:rsid w:val="00E23D71"/>
    <w:rsid w:val="00E23EA6"/>
    <w:rsid w:val="00E23F62"/>
    <w:rsid w:val="00E23FCF"/>
    <w:rsid w:val="00E24080"/>
    <w:rsid w:val="00E24158"/>
    <w:rsid w:val="00E241A2"/>
    <w:rsid w:val="00E2422B"/>
    <w:rsid w:val="00E2427B"/>
    <w:rsid w:val="00E242A9"/>
    <w:rsid w:val="00E244D2"/>
    <w:rsid w:val="00E2450D"/>
    <w:rsid w:val="00E246F7"/>
    <w:rsid w:val="00E24786"/>
    <w:rsid w:val="00E24800"/>
    <w:rsid w:val="00E2480A"/>
    <w:rsid w:val="00E248B1"/>
    <w:rsid w:val="00E249FC"/>
    <w:rsid w:val="00E24AB2"/>
    <w:rsid w:val="00E24BCC"/>
    <w:rsid w:val="00E24C28"/>
    <w:rsid w:val="00E24C2F"/>
    <w:rsid w:val="00E24C7C"/>
    <w:rsid w:val="00E24D3B"/>
    <w:rsid w:val="00E24E3D"/>
    <w:rsid w:val="00E24ECF"/>
    <w:rsid w:val="00E24F20"/>
    <w:rsid w:val="00E24F2D"/>
    <w:rsid w:val="00E24FEF"/>
    <w:rsid w:val="00E2510D"/>
    <w:rsid w:val="00E2516A"/>
    <w:rsid w:val="00E251AA"/>
    <w:rsid w:val="00E25231"/>
    <w:rsid w:val="00E252A4"/>
    <w:rsid w:val="00E252CC"/>
    <w:rsid w:val="00E25670"/>
    <w:rsid w:val="00E256CC"/>
    <w:rsid w:val="00E25746"/>
    <w:rsid w:val="00E2578B"/>
    <w:rsid w:val="00E257DA"/>
    <w:rsid w:val="00E257FE"/>
    <w:rsid w:val="00E2594E"/>
    <w:rsid w:val="00E25980"/>
    <w:rsid w:val="00E259AC"/>
    <w:rsid w:val="00E259C0"/>
    <w:rsid w:val="00E25A82"/>
    <w:rsid w:val="00E25B22"/>
    <w:rsid w:val="00E25C27"/>
    <w:rsid w:val="00E25CBD"/>
    <w:rsid w:val="00E25CC0"/>
    <w:rsid w:val="00E25D3B"/>
    <w:rsid w:val="00E25DC7"/>
    <w:rsid w:val="00E25E88"/>
    <w:rsid w:val="00E25E94"/>
    <w:rsid w:val="00E25E9A"/>
    <w:rsid w:val="00E25EBE"/>
    <w:rsid w:val="00E25F0A"/>
    <w:rsid w:val="00E26086"/>
    <w:rsid w:val="00E2608F"/>
    <w:rsid w:val="00E26226"/>
    <w:rsid w:val="00E26283"/>
    <w:rsid w:val="00E262BE"/>
    <w:rsid w:val="00E26338"/>
    <w:rsid w:val="00E26348"/>
    <w:rsid w:val="00E263D4"/>
    <w:rsid w:val="00E264B5"/>
    <w:rsid w:val="00E264C8"/>
    <w:rsid w:val="00E26539"/>
    <w:rsid w:val="00E265BF"/>
    <w:rsid w:val="00E26603"/>
    <w:rsid w:val="00E2665E"/>
    <w:rsid w:val="00E2687A"/>
    <w:rsid w:val="00E268CA"/>
    <w:rsid w:val="00E2697D"/>
    <w:rsid w:val="00E269C8"/>
    <w:rsid w:val="00E26B05"/>
    <w:rsid w:val="00E26B0C"/>
    <w:rsid w:val="00E26B34"/>
    <w:rsid w:val="00E26B37"/>
    <w:rsid w:val="00E26B38"/>
    <w:rsid w:val="00E26B56"/>
    <w:rsid w:val="00E26BC7"/>
    <w:rsid w:val="00E26BDC"/>
    <w:rsid w:val="00E26C1C"/>
    <w:rsid w:val="00E26C59"/>
    <w:rsid w:val="00E26D47"/>
    <w:rsid w:val="00E26DBA"/>
    <w:rsid w:val="00E26ED4"/>
    <w:rsid w:val="00E26F91"/>
    <w:rsid w:val="00E26FA2"/>
    <w:rsid w:val="00E271D6"/>
    <w:rsid w:val="00E2727C"/>
    <w:rsid w:val="00E272C6"/>
    <w:rsid w:val="00E27326"/>
    <w:rsid w:val="00E273E9"/>
    <w:rsid w:val="00E27586"/>
    <w:rsid w:val="00E27678"/>
    <w:rsid w:val="00E276BB"/>
    <w:rsid w:val="00E27725"/>
    <w:rsid w:val="00E277D2"/>
    <w:rsid w:val="00E277FA"/>
    <w:rsid w:val="00E27848"/>
    <w:rsid w:val="00E2791F"/>
    <w:rsid w:val="00E27A9E"/>
    <w:rsid w:val="00E27B21"/>
    <w:rsid w:val="00E27B69"/>
    <w:rsid w:val="00E27BB1"/>
    <w:rsid w:val="00E27C0B"/>
    <w:rsid w:val="00E27C17"/>
    <w:rsid w:val="00E27C3B"/>
    <w:rsid w:val="00E27C42"/>
    <w:rsid w:val="00E27C91"/>
    <w:rsid w:val="00E27CBC"/>
    <w:rsid w:val="00E27D25"/>
    <w:rsid w:val="00E27DBA"/>
    <w:rsid w:val="00E27F47"/>
    <w:rsid w:val="00E3001C"/>
    <w:rsid w:val="00E301C2"/>
    <w:rsid w:val="00E3028A"/>
    <w:rsid w:val="00E3032C"/>
    <w:rsid w:val="00E3032D"/>
    <w:rsid w:val="00E30353"/>
    <w:rsid w:val="00E304D0"/>
    <w:rsid w:val="00E3065F"/>
    <w:rsid w:val="00E306CA"/>
    <w:rsid w:val="00E30789"/>
    <w:rsid w:val="00E30840"/>
    <w:rsid w:val="00E30870"/>
    <w:rsid w:val="00E309E0"/>
    <w:rsid w:val="00E30A0D"/>
    <w:rsid w:val="00E30A77"/>
    <w:rsid w:val="00E30B43"/>
    <w:rsid w:val="00E30CFB"/>
    <w:rsid w:val="00E30D8D"/>
    <w:rsid w:val="00E30E17"/>
    <w:rsid w:val="00E30EE2"/>
    <w:rsid w:val="00E30EEC"/>
    <w:rsid w:val="00E30F29"/>
    <w:rsid w:val="00E30FB7"/>
    <w:rsid w:val="00E30FFB"/>
    <w:rsid w:val="00E3117E"/>
    <w:rsid w:val="00E311C5"/>
    <w:rsid w:val="00E311EF"/>
    <w:rsid w:val="00E312A8"/>
    <w:rsid w:val="00E31437"/>
    <w:rsid w:val="00E3160D"/>
    <w:rsid w:val="00E31660"/>
    <w:rsid w:val="00E317B8"/>
    <w:rsid w:val="00E3188C"/>
    <w:rsid w:val="00E318E0"/>
    <w:rsid w:val="00E318E2"/>
    <w:rsid w:val="00E31A74"/>
    <w:rsid w:val="00E31AD0"/>
    <w:rsid w:val="00E31AE7"/>
    <w:rsid w:val="00E31AF4"/>
    <w:rsid w:val="00E31B48"/>
    <w:rsid w:val="00E31D63"/>
    <w:rsid w:val="00E31DAB"/>
    <w:rsid w:val="00E31DD5"/>
    <w:rsid w:val="00E31E65"/>
    <w:rsid w:val="00E31EAC"/>
    <w:rsid w:val="00E31F65"/>
    <w:rsid w:val="00E32100"/>
    <w:rsid w:val="00E32179"/>
    <w:rsid w:val="00E32182"/>
    <w:rsid w:val="00E322C2"/>
    <w:rsid w:val="00E32391"/>
    <w:rsid w:val="00E323C5"/>
    <w:rsid w:val="00E323E6"/>
    <w:rsid w:val="00E3248C"/>
    <w:rsid w:val="00E324B6"/>
    <w:rsid w:val="00E3255F"/>
    <w:rsid w:val="00E32672"/>
    <w:rsid w:val="00E326BA"/>
    <w:rsid w:val="00E32713"/>
    <w:rsid w:val="00E32736"/>
    <w:rsid w:val="00E32827"/>
    <w:rsid w:val="00E32923"/>
    <w:rsid w:val="00E329B0"/>
    <w:rsid w:val="00E32AF8"/>
    <w:rsid w:val="00E32B39"/>
    <w:rsid w:val="00E32B80"/>
    <w:rsid w:val="00E32D81"/>
    <w:rsid w:val="00E32DB2"/>
    <w:rsid w:val="00E32E5D"/>
    <w:rsid w:val="00E32E82"/>
    <w:rsid w:val="00E32E83"/>
    <w:rsid w:val="00E32EBE"/>
    <w:rsid w:val="00E32F8E"/>
    <w:rsid w:val="00E330CA"/>
    <w:rsid w:val="00E33174"/>
    <w:rsid w:val="00E33183"/>
    <w:rsid w:val="00E332A3"/>
    <w:rsid w:val="00E3330E"/>
    <w:rsid w:val="00E3356D"/>
    <w:rsid w:val="00E3364E"/>
    <w:rsid w:val="00E336E6"/>
    <w:rsid w:val="00E33756"/>
    <w:rsid w:val="00E337F1"/>
    <w:rsid w:val="00E33847"/>
    <w:rsid w:val="00E338EB"/>
    <w:rsid w:val="00E33989"/>
    <w:rsid w:val="00E33A0E"/>
    <w:rsid w:val="00E33B03"/>
    <w:rsid w:val="00E33BB7"/>
    <w:rsid w:val="00E33D6D"/>
    <w:rsid w:val="00E33E1B"/>
    <w:rsid w:val="00E33F43"/>
    <w:rsid w:val="00E33FAF"/>
    <w:rsid w:val="00E340A7"/>
    <w:rsid w:val="00E34105"/>
    <w:rsid w:val="00E341D9"/>
    <w:rsid w:val="00E342E3"/>
    <w:rsid w:val="00E34476"/>
    <w:rsid w:val="00E3459F"/>
    <w:rsid w:val="00E345A5"/>
    <w:rsid w:val="00E346E6"/>
    <w:rsid w:val="00E34872"/>
    <w:rsid w:val="00E34987"/>
    <w:rsid w:val="00E34A65"/>
    <w:rsid w:val="00E34A77"/>
    <w:rsid w:val="00E34B61"/>
    <w:rsid w:val="00E34CB5"/>
    <w:rsid w:val="00E34CC7"/>
    <w:rsid w:val="00E34CFC"/>
    <w:rsid w:val="00E34DD6"/>
    <w:rsid w:val="00E34F43"/>
    <w:rsid w:val="00E34F4F"/>
    <w:rsid w:val="00E34F87"/>
    <w:rsid w:val="00E3504D"/>
    <w:rsid w:val="00E35071"/>
    <w:rsid w:val="00E3507A"/>
    <w:rsid w:val="00E350D5"/>
    <w:rsid w:val="00E3510B"/>
    <w:rsid w:val="00E35141"/>
    <w:rsid w:val="00E351D9"/>
    <w:rsid w:val="00E351F2"/>
    <w:rsid w:val="00E352A6"/>
    <w:rsid w:val="00E352B3"/>
    <w:rsid w:val="00E353DF"/>
    <w:rsid w:val="00E35597"/>
    <w:rsid w:val="00E356ED"/>
    <w:rsid w:val="00E35729"/>
    <w:rsid w:val="00E35738"/>
    <w:rsid w:val="00E35757"/>
    <w:rsid w:val="00E3577F"/>
    <w:rsid w:val="00E3580F"/>
    <w:rsid w:val="00E35832"/>
    <w:rsid w:val="00E3587D"/>
    <w:rsid w:val="00E358B5"/>
    <w:rsid w:val="00E35931"/>
    <w:rsid w:val="00E35999"/>
    <w:rsid w:val="00E35CD2"/>
    <w:rsid w:val="00E35D27"/>
    <w:rsid w:val="00E35D82"/>
    <w:rsid w:val="00E35E1C"/>
    <w:rsid w:val="00E35E8C"/>
    <w:rsid w:val="00E35EBF"/>
    <w:rsid w:val="00E35F3E"/>
    <w:rsid w:val="00E3601C"/>
    <w:rsid w:val="00E360AA"/>
    <w:rsid w:val="00E360C8"/>
    <w:rsid w:val="00E3619F"/>
    <w:rsid w:val="00E3620E"/>
    <w:rsid w:val="00E36219"/>
    <w:rsid w:val="00E36263"/>
    <w:rsid w:val="00E3626B"/>
    <w:rsid w:val="00E36286"/>
    <w:rsid w:val="00E362BD"/>
    <w:rsid w:val="00E363EB"/>
    <w:rsid w:val="00E36585"/>
    <w:rsid w:val="00E36630"/>
    <w:rsid w:val="00E367A0"/>
    <w:rsid w:val="00E367B0"/>
    <w:rsid w:val="00E367B9"/>
    <w:rsid w:val="00E36868"/>
    <w:rsid w:val="00E3689A"/>
    <w:rsid w:val="00E368AC"/>
    <w:rsid w:val="00E36900"/>
    <w:rsid w:val="00E3690F"/>
    <w:rsid w:val="00E3695C"/>
    <w:rsid w:val="00E369D6"/>
    <w:rsid w:val="00E36AA3"/>
    <w:rsid w:val="00E36AB6"/>
    <w:rsid w:val="00E36C2C"/>
    <w:rsid w:val="00E36D12"/>
    <w:rsid w:val="00E36D8F"/>
    <w:rsid w:val="00E36E36"/>
    <w:rsid w:val="00E36F24"/>
    <w:rsid w:val="00E36F45"/>
    <w:rsid w:val="00E36F5C"/>
    <w:rsid w:val="00E36FA8"/>
    <w:rsid w:val="00E36FC0"/>
    <w:rsid w:val="00E37038"/>
    <w:rsid w:val="00E37080"/>
    <w:rsid w:val="00E37211"/>
    <w:rsid w:val="00E37286"/>
    <w:rsid w:val="00E3744C"/>
    <w:rsid w:val="00E375B2"/>
    <w:rsid w:val="00E375B5"/>
    <w:rsid w:val="00E37757"/>
    <w:rsid w:val="00E377A9"/>
    <w:rsid w:val="00E377C1"/>
    <w:rsid w:val="00E3787D"/>
    <w:rsid w:val="00E379EF"/>
    <w:rsid w:val="00E379F8"/>
    <w:rsid w:val="00E37A33"/>
    <w:rsid w:val="00E37A34"/>
    <w:rsid w:val="00E37BBF"/>
    <w:rsid w:val="00E37C18"/>
    <w:rsid w:val="00E37C5C"/>
    <w:rsid w:val="00E37C97"/>
    <w:rsid w:val="00E37CA5"/>
    <w:rsid w:val="00E37CE5"/>
    <w:rsid w:val="00E37D8D"/>
    <w:rsid w:val="00E37F52"/>
    <w:rsid w:val="00E37F59"/>
    <w:rsid w:val="00E401C4"/>
    <w:rsid w:val="00E401FE"/>
    <w:rsid w:val="00E40219"/>
    <w:rsid w:val="00E40312"/>
    <w:rsid w:val="00E40328"/>
    <w:rsid w:val="00E403E9"/>
    <w:rsid w:val="00E405CB"/>
    <w:rsid w:val="00E405F0"/>
    <w:rsid w:val="00E4068D"/>
    <w:rsid w:val="00E40752"/>
    <w:rsid w:val="00E407C7"/>
    <w:rsid w:val="00E40810"/>
    <w:rsid w:val="00E4081B"/>
    <w:rsid w:val="00E409AE"/>
    <w:rsid w:val="00E40A26"/>
    <w:rsid w:val="00E40B2E"/>
    <w:rsid w:val="00E40C0A"/>
    <w:rsid w:val="00E40CCC"/>
    <w:rsid w:val="00E40D0C"/>
    <w:rsid w:val="00E40DBF"/>
    <w:rsid w:val="00E40DFF"/>
    <w:rsid w:val="00E40ECA"/>
    <w:rsid w:val="00E40ED1"/>
    <w:rsid w:val="00E40EEE"/>
    <w:rsid w:val="00E41179"/>
    <w:rsid w:val="00E41199"/>
    <w:rsid w:val="00E411A8"/>
    <w:rsid w:val="00E4134B"/>
    <w:rsid w:val="00E41383"/>
    <w:rsid w:val="00E413AF"/>
    <w:rsid w:val="00E413B1"/>
    <w:rsid w:val="00E41440"/>
    <w:rsid w:val="00E41668"/>
    <w:rsid w:val="00E417D5"/>
    <w:rsid w:val="00E417DB"/>
    <w:rsid w:val="00E417E1"/>
    <w:rsid w:val="00E417E9"/>
    <w:rsid w:val="00E4190F"/>
    <w:rsid w:val="00E41965"/>
    <w:rsid w:val="00E41983"/>
    <w:rsid w:val="00E41998"/>
    <w:rsid w:val="00E419C4"/>
    <w:rsid w:val="00E41AD3"/>
    <w:rsid w:val="00E41AD9"/>
    <w:rsid w:val="00E41B04"/>
    <w:rsid w:val="00E41B13"/>
    <w:rsid w:val="00E41B2E"/>
    <w:rsid w:val="00E41E3F"/>
    <w:rsid w:val="00E41E56"/>
    <w:rsid w:val="00E41E81"/>
    <w:rsid w:val="00E41F5C"/>
    <w:rsid w:val="00E41FF4"/>
    <w:rsid w:val="00E42038"/>
    <w:rsid w:val="00E42143"/>
    <w:rsid w:val="00E42219"/>
    <w:rsid w:val="00E422B5"/>
    <w:rsid w:val="00E423F4"/>
    <w:rsid w:val="00E42412"/>
    <w:rsid w:val="00E4244A"/>
    <w:rsid w:val="00E424BF"/>
    <w:rsid w:val="00E424CA"/>
    <w:rsid w:val="00E42590"/>
    <w:rsid w:val="00E42598"/>
    <w:rsid w:val="00E425FA"/>
    <w:rsid w:val="00E42678"/>
    <w:rsid w:val="00E4267C"/>
    <w:rsid w:val="00E42695"/>
    <w:rsid w:val="00E4274C"/>
    <w:rsid w:val="00E427DD"/>
    <w:rsid w:val="00E428AA"/>
    <w:rsid w:val="00E428BE"/>
    <w:rsid w:val="00E428D7"/>
    <w:rsid w:val="00E429CB"/>
    <w:rsid w:val="00E42A32"/>
    <w:rsid w:val="00E42A50"/>
    <w:rsid w:val="00E42A59"/>
    <w:rsid w:val="00E42A96"/>
    <w:rsid w:val="00E42B15"/>
    <w:rsid w:val="00E42B30"/>
    <w:rsid w:val="00E42B3B"/>
    <w:rsid w:val="00E42B45"/>
    <w:rsid w:val="00E42B5A"/>
    <w:rsid w:val="00E42C08"/>
    <w:rsid w:val="00E42C51"/>
    <w:rsid w:val="00E42D2C"/>
    <w:rsid w:val="00E42D3D"/>
    <w:rsid w:val="00E42D7E"/>
    <w:rsid w:val="00E42FEA"/>
    <w:rsid w:val="00E43051"/>
    <w:rsid w:val="00E4314C"/>
    <w:rsid w:val="00E43187"/>
    <w:rsid w:val="00E431E2"/>
    <w:rsid w:val="00E431FC"/>
    <w:rsid w:val="00E4323C"/>
    <w:rsid w:val="00E432A8"/>
    <w:rsid w:val="00E433F9"/>
    <w:rsid w:val="00E43445"/>
    <w:rsid w:val="00E43478"/>
    <w:rsid w:val="00E434A5"/>
    <w:rsid w:val="00E43505"/>
    <w:rsid w:val="00E4350B"/>
    <w:rsid w:val="00E43776"/>
    <w:rsid w:val="00E43778"/>
    <w:rsid w:val="00E437F9"/>
    <w:rsid w:val="00E43912"/>
    <w:rsid w:val="00E43933"/>
    <w:rsid w:val="00E4397B"/>
    <w:rsid w:val="00E43B2C"/>
    <w:rsid w:val="00E43E04"/>
    <w:rsid w:val="00E43E66"/>
    <w:rsid w:val="00E43EAF"/>
    <w:rsid w:val="00E43F18"/>
    <w:rsid w:val="00E43F39"/>
    <w:rsid w:val="00E43FB1"/>
    <w:rsid w:val="00E44064"/>
    <w:rsid w:val="00E440B5"/>
    <w:rsid w:val="00E440CE"/>
    <w:rsid w:val="00E44183"/>
    <w:rsid w:val="00E441BE"/>
    <w:rsid w:val="00E441EC"/>
    <w:rsid w:val="00E441F7"/>
    <w:rsid w:val="00E44384"/>
    <w:rsid w:val="00E44397"/>
    <w:rsid w:val="00E44454"/>
    <w:rsid w:val="00E44572"/>
    <w:rsid w:val="00E4468B"/>
    <w:rsid w:val="00E446B5"/>
    <w:rsid w:val="00E44721"/>
    <w:rsid w:val="00E4488E"/>
    <w:rsid w:val="00E4496B"/>
    <w:rsid w:val="00E44A15"/>
    <w:rsid w:val="00E44AE8"/>
    <w:rsid w:val="00E44B5C"/>
    <w:rsid w:val="00E44E19"/>
    <w:rsid w:val="00E44EA2"/>
    <w:rsid w:val="00E44F6D"/>
    <w:rsid w:val="00E45073"/>
    <w:rsid w:val="00E45109"/>
    <w:rsid w:val="00E451B8"/>
    <w:rsid w:val="00E45247"/>
    <w:rsid w:val="00E4527A"/>
    <w:rsid w:val="00E45450"/>
    <w:rsid w:val="00E45509"/>
    <w:rsid w:val="00E455DA"/>
    <w:rsid w:val="00E456EA"/>
    <w:rsid w:val="00E457B1"/>
    <w:rsid w:val="00E4583C"/>
    <w:rsid w:val="00E45950"/>
    <w:rsid w:val="00E45A1E"/>
    <w:rsid w:val="00E45A72"/>
    <w:rsid w:val="00E45AB9"/>
    <w:rsid w:val="00E45B2C"/>
    <w:rsid w:val="00E45B8C"/>
    <w:rsid w:val="00E45BCA"/>
    <w:rsid w:val="00E45CB9"/>
    <w:rsid w:val="00E45CD1"/>
    <w:rsid w:val="00E45D49"/>
    <w:rsid w:val="00E45D88"/>
    <w:rsid w:val="00E45DAB"/>
    <w:rsid w:val="00E45E60"/>
    <w:rsid w:val="00E45F0D"/>
    <w:rsid w:val="00E4601A"/>
    <w:rsid w:val="00E460D1"/>
    <w:rsid w:val="00E462D1"/>
    <w:rsid w:val="00E46369"/>
    <w:rsid w:val="00E4636D"/>
    <w:rsid w:val="00E4642E"/>
    <w:rsid w:val="00E46462"/>
    <w:rsid w:val="00E46592"/>
    <w:rsid w:val="00E4659C"/>
    <w:rsid w:val="00E465A0"/>
    <w:rsid w:val="00E465CF"/>
    <w:rsid w:val="00E46618"/>
    <w:rsid w:val="00E466E3"/>
    <w:rsid w:val="00E466E5"/>
    <w:rsid w:val="00E467C2"/>
    <w:rsid w:val="00E46842"/>
    <w:rsid w:val="00E4688E"/>
    <w:rsid w:val="00E4692A"/>
    <w:rsid w:val="00E469A5"/>
    <w:rsid w:val="00E46A52"/>
    <w:rsid w:val="00E46A88"/>
    <w:rsid w:val="00E46A9D"/>
    <w:rsid w:val="00E46AA6"/>
    <w:rsid w:val="00E46AF0"/>
    <w:rsid w:val="00E46B0C"/>
    <w:rsid w:val="00E46B65"/>
    <w:rsid w:val="00E46BF5"/>
    <w:rsid w:val="00E46C6F"/>
    <w:rsid w:val="00E46CD0"/>
    <w:rsid w:val="00E46CE7"/>
    <w:rsid w:val="00E46D7A"/>
    <w:rsid w:val="00E46DFE"/>
    <w:rsid w:val="00E46E1C"/>
    <w:rsid w:val="00E46E77"/>
    <w:rsid w:val="00E46ED0"/>
    <w:rsid w:val="00E46F0B"/>
    <w:rsid w:val="00E46F77"/>
    <w:rsid w:val="00E46FC2"/>
    <w:rsid w:val="00E46FCB"/>
    <w:rsid w:val="00E47183"/>
    <w:rsid w:val="00E4719E"/>
    <w:rsid w:val="00E4736B"/>
    <w:rsid w:val="00E473EF"/>
    <w:rsid w:val="00E474C0"/>
    <w:rsid w:val="00E474C4"/>
    <w:rsid w:val="00E474FC"/>
    <w:rsid w:val="00E47602"/>
    <w:rsid w:val="00E4764A"/>
    <w:rsid w:val="00E47692"/>
    <w:rsid w:val="00E478C0"/>
    <w:rsid w:val="00E478E6"/>
    <w:rsid w:val="00E47904"/>
    <w:rsid w:val="00E47977"/>
    <w:rsid w:val="00E479AE"/>
    <w:rsid w:val="00E47B04"/>
    <w:rsid w:val="00E47C56"/>
    <w:rsid w:val="00E47C76"/>
    <w:rsid w:val="00E47D51"/>
    <w:rsid w:val="00E47DED"/>
    <w:rsid w:val="00E47E92"/>
    <w:rsid w:val="00E47ED9"/>
    <w:rsid w:val="00E50164"/>
    <w:rsid w:val="00E50183"/>
    <w:rsid w:val="00E50454"/>
    <w:rsid w:val="00E50457"/>
    <w:rsid w:val="00E50536"/>
    <w:rsid w:val="00E50561"/>
    <w:rsid w:val="00E505A1"/>
    <w:rsid w:val="00E50689"/>
    <w:rsid w:val="00E506BB"/>
    <w:rsid w:val="00E50721"/>
    <w:rsid w:val="00E50896"/>
    <w:rsid w:val="00E50A47"/>
    <w:rsid w:val="00E50A55"/>
    <w:rsid w:val="00E50A67"/>
    <w:rsid w:val="00E50AA7"/>
    <w:rsid w:val="00E50AFA"/>
    <w:rsid w:val="00E50B0C"/>
    <w:rsid w:val="00E50B6C"/>
    <w:rsid w:val="00E50C47"/>
    <w:rsid w:val="00E50C8B"/>
    <w:rsid w:val="00E50CE0"/>
    <w:rsid w:val="00E50D41"/>
    <w:rsid w:val="00E50D56"/>
    <w:rsid w:val="00E50E49"/>
    <w:rsid w:val="00E50F1F"/>
    <w:rsid w:val="00E50F87"/>
    <w:rsid w:val="00E50FCC"/>
    <w:rsid w:val="00E5100D"/>
    <w:rsid w:val="00E5111A"/>
    <w:rsid w:val="00E512A6"/>
    <w:rsid w:val="00E51317"/>
    <w:rsid w:val="00E513CD"/>
    <w:rsid w:val="00E5145F"/>
    <w:rsid w:val="00E5146B"/>
    <w:rsid w:val="00E5152C"/>
    <w:rsid w:val="00E51544"/>
    <w:rsid w:val="00E5157D"/>
    <w:rsid w:val="00E517A1"/>
    <w:rsid w:val="00E517B5"/>
    <w:rsid w:val="00E518FC"/>
    <w:rsid w:val="00E51925"/>
    <w:rsid w:val="00E51943"/>
    <w:rsid w:val="00E519AC"/>
    <w:rsid w:val="00E519D3"/>
    <w:rsid w:val="00E51A3A"/>
    <w:rsid w:val="00E51BF6"/>
    <w:rsid w:val="00E51C33"/>
    <w:rsid w:val="00E51E29"/>
    <w:rsid w:val="00E51E7A"/>
    <w:rsid w:val="00E5204D"/>
    <w:rsid w:val="00E520CC"/>
    <w:rsid w:val="00E5219E"/>
    <w:rsid w:val="00E522AC"/>
    <w:rsid w:val="00E52787"/>
    <w:rsid w:val="00E528A4"/>
    <w:rsid w:val="00E52DB7"/>
    <w:rsid w:val="00E52E77"/>
    <w:rsid w:val="00E52F2C"/>
    <w:rsid w:val="00E52F74"/>
    <w:rsid w:val="00E52FCE"/>
    <w:rsid w:val="00E530BF"/>
    <w:rsid w:val="00E532AA"/>
    <w:rsid w:val="00E532B6"/>
    <w:rsid w:val="00E533C5"/>
    <w:rsid w:val="00E5349F"/>
    <w:rsid w:val="00E5359D"/>
    <w:rsid w:val="00E535B0"/>
    <w:rsid w:val="00E53601"/>
    <w:rsid w:val="00E5369C"/>
    <w:rsid w:val="00E536CD"/>
    <w:rsid w:val="00E537B1"/>
    <w:rsid w:val="00E537C5"/>
    <w:rsid w:val="00E5387D"/>
    <w:rsid w:val="00E539EF"/>
    <w:rsid w:val="00E53AD8"/>
    <w:rsid w:val="00E53B93"/>
    <w:rsid w:val="00E53BE7"/>
    <w:rsid w:val="00E53C80"/>
    <w:rsid w:val="00E53DD6"/>
    <w:rsid w:val="00E53DF3"/>
    <w:rsid w:val="00E53E74"/>
    <w:rsid w:val="00E53F38"/>
    <w:rsid w:val="00E5410A"/>
    <w:rsid w:val="00E54141"/>
    <w:rsid w:val="00E54161"/>
    <w:rsid w:val="00E54181"/>
    <w:rsid w:val="00E54182"/>
    <w:rsid w:val="00E542F9"/>
    <w:rsid w:val="00E54363"/>
    <w:rsid w:val="00E543B0"/>
    <w:rsid w:val="00E54407"/>
    <w:rsid w:val="00E54691"/>
    <w:rsid w:val="00E5479D"/>
    <w:rsid w:val="00E547BD"/>
    <w:rsid w:val="00E54801"/>
    <w:rsid w:val="00E548C3"/>
    <w:rsid w:val="00E548CA"/>
    <w:rsid w:val="00E548D2"/>
    <w:rsid w:val="00E5495B"/>
    <w:rsid w:val="00E54962"/>
    <w:rsid w:val="00E54A1B"/>
    <w:rsid w:val="00E54B92"/>
    <w:rsid w:val="00E54C23"/>
    <w:rsid w:val="00E54D92"/>
    <w:rsid w:val="00E54E9D"/>
    <w:rsid w:val="00E54F77"/>
    <w:rsid w:val="00E5507C"/>
    <w:rsid w:val="00E5519A"/>
    <w:rsid w:val="00E55279"/>
    <w:rsid w:val="00E552A5"/>
    <w:rsid w:val="00E552D6"/>
    <w:rsid w:val="00E55335"/>
    <w:rsid w:val="00E553CC"/>
    <w:rsid w:val="00E55413"/>
    <w:rsid w:val="00E55437"/>
    <w:rsid w:val="00E55468"/>
    <w:rsid w:val="00E554AF"/>
    <w:rsid w:val="00E5557F"/>
    <w:rsid w:val="00E55610"/>
    <w:rsid w:val="00E55654"/>
    <w:rsid w:val="00E55659"/>
    <w:rsid w:val="00E55B09"/>
    <w:rsid w:val="00E55C18"/>
    <w:rsid w:val="00E55CE7"/>
    <w:rsid w:val="00E55D54"/>
    <w:rsid w:val="00E55E0C"/>
    <w:rsid w:val="00E55E80"/>
    <w:rsid w:val="00E55F17"/>
    <w:rsid w:val="00E55F57"/>
    <w:rsid w:val="00E56038"/>
    <w:rsid w:val="00E5605E"/>
    <w:rsid w:val="00E56080"/>
    <w:rsid w:val="00E5625D"/>
    <w:rsid w:val="00E56308"/>
    <w:rsid w:val="00E56338"/>
    <w:rsid w:val="00E56399"/>
    <w:rsid w:val="00E56452"/>
    <w:rsid w:val="00E5647D"/>
    <w:rsid w:val="00E56522"/>
    <w:rsid w:val="00E5657C"/>
    <w:rsid w:val="00E566EB"/>
    <w:rsid w:val="00E5677A"/>
    <w:rsid w:val="00E567A1"/>
    <w:rsid w:val="00E567C4"/>
    <w:rsid w:val="00E56866"/>
    <w:rsid w:val="00E568E2"/>
    <w:rsid w:val="00E568F5"/>
    <w:rsid w:val="00E56941"/>
    <w:rsid w:val="00E5698E"/>
    <w:rsid w:val="00E569A6"/>
    <w:rsid w:val="00E569D0"/>
    <w:rsid w:val="00E56A45"/>
    <w:rsid w:val="00E56B86"/>
    <w:rsid w:val="00E56BDE"/>
    <w:rsid w:val="00E56C08"/>
    <w:rsid w:val="00E56C17"/>
    <w:rsid w:val="00E56C29"/>
    <w:rsid w:val="00E56CCF"/>
    <w:rsid w:val="00E56D0E"/>
    <w:rsid w:val="00E56DCC"/>
    <w:rsid w:val="00E56DE6"/>
    <w:rsid w:val="00E56E0E"/>
    <w:rsid w:val="00E56E54"/>
    <w:rsid w:val="00E56EB0"/>
    <w:rsid w:val="00E56FF4"/>
    <w:rsid w:val="00E57213"/>
    <w:rsid w:val="00E57251"/>
    <w:rsid w:val="00E57271"/>
    <w:rsid w:val="00E57272"/>
    <w:rsid w:val="00E57277"/>
    <w:rsid w:val="00E57467"/>
    <w:rsid w:val="00E57488"/>
    <w:rsid w:val="00E5755D"/>
    <w:rsid w:val="00E5758C"/>
    <w:rsid w:val="00E575A8"/>
    <w:rsid w:val="00E5786D"/>
    <w:rsid w:val="00E578FB"/>
    <w:rsid w:val="00E57962"/>
    <w:rsid w:val="00E57976"/>
    <w:rsid w:val="00E579A5"/>
    <w:rsid w:val="00E579B6"/>
    <w:rsid w:val="00E57A17"/>
    <w:rsid w:val="00E57A53"/>
    <w:rsid w:val="00E57A68"/>
    <w:rsid w:val="00E57A9C"/>
    <w:rsid w:val="00E57AEB"/>
    <w:rsid w:val="00E57C20"/>
    <w:rsid w:val="00E57C32"/>
    <w:rsid w:val="00E57CAB"/>
    <w:rsid w:val="00E57CE9"/>
    <w:rsid w:val="00E57CEE"/>
    <w:rsid w:val="00E57CF6"/>
    <w:rsid w:val="00E57D64"/>
    <w:rsid w:val="00E57D8B"/>
    <w:rsid w:val="00E57E82"/>
    <w:rsid w:val="00E57EC2"/>
    <w:rsid w:val="00E57EF0"/>
    <w:rsid w:val="00E60012"/>
    <w:rsid w:val="00E600FD"/>
    <w:rsid w:val="00E60166"/>
    <w:rsid w:val="00E601DB"/>
    <w:rsid w:val="00E60216"/>
    <w:rsid w:val="00E602BF"/>
    <w:rsid w:val="00E60483"/>
    <w:rsid w:val="00E604B8"/>
    <w:rsid w:val="00E60508"/>
    <w:rsid w:val="00E6057D"/>
    <w:rsid w:val="00E60603"/>
    <w:rsid w:val="00E60664"/>
    <w:rsid w:val="00E6072C"/>
    <w:rsid w:val="00E60738"/>
    <w:rsid w:val="00E6075D"/>
    <w:rsid w:val="00E6079B"/>
    <w:rsid w:val="00E60910"/>
    <w:rsid w:val="00E609D3"/>
    <w:rsid w:val="00E60A49"/>
    <w:rsid w:val="00E60A60"/>
    <w:rsid w:val="00E60A85"/>
    <w:rsid w:val="00E60AB4"/>
    <w:rsid w:val="00E60B36"/>
    <w:rsid w:val="00E60B6B"/>
    <w:rsid w:val="00E60BCC"/>
    <w:rsid w:val="00E60BF2"/>
    <w:rsid w:val="00E60C29"/>
    <w:rsid w:val="00E60CB7"/>
    <w:rsid w:val="00E60CC7"/>
    <w:rsid w:val="00E60CCD"/>
    <w:rsid w:val="00E60D60"/>
    <w:rsid w:val="00E60D73"/>
    <w:rsid w:val="00E60DDA"/>
    <w:rsid w:val="00E60E70"/>
    <w:rsid w:val="00E60EEA"/>
    <w:rsid w:val="00E60F1C"/>
    <w:rsid w:val="00E60F49"/>
    <w:rsid w:val="00E60F6B"/>
    <w:rsid w:val="00E60F99"/>
    <w:rsid w:val="00E610CE"/>
    <w:rsid w:val="00E6114B"/>
    <w:rsid w:val="00E61205"/>
    <w:rsid w:val="00E612F6"/>
    <w:rsid w:val="00E6133C"/>
    <w:rsid w:val="00E613D9"/>
    <w:rsid w:val="00E6145A"/>
    <w:rsid w:val="00E6147F"/>
    <w:rsid w:val="00E614A8"/>
    <w:rsid w:val="00E61592"/>
    <w:rsid w:val="00E615F1"/>
    <w:rsid w:val="00E616FD"/>
    <w:rsid w:val="00E61712"/>
    <w:rsid w:val="00E61818"/>
    <w:rsid w:val="00E6182F"/>
    <w:rsid w:val="00E619B7"/>
    <w:rsid w:val="00E619D9"/>
    <w:rsid w:val="00E61B89"/>
    <w:rsid w:val="00E61B92"/>
    <w:rsid w:val="00E61BF0"/>
    <w:rsid w:val="00E61C9D"/>
    <w:rsid w:val="00E61CC4"/>
    <w:rsid w:val="00E61D0F"/>
    <w:rsid w:val="00E61DCE"/>
    <w:rsid w:val="00E61E70"/>
    <w:rsid w:val="00E61EB0"/>
    <w:rsid w:val="00E61F8A"/>
    <w:rsid w:val="00E61FDF"/>
    <w:rsid w:val="00E620B7"/>
    <w:rsid w:val="00E62119"/>
    <w:rsid w:val="00E62129"/>
    <w:rsid w:val="00E62152"/>
    <w:rsid w:val="00E6215B"/>
    <w:rsid w:val="00E62337"/>
    <w:rsid w:val="00E62381"/>
    <w:rsid w:val="00E6241B"/>
    <w:rsid w:val="00E624F7"/>
    <w:rsid w:val="00E624FD"/>
    <w:rsid w:val="00E625FB"/>
    <w:rsid w:val="00E626BD"/>
    <w:rsid w:val="00E626C4"/>
    <w:rsid w:val="00E62729"/>
    <w:rsid w:val="00E6285E"/>
    <w:rsid w:val="00E62888"/>
    <w:rsid w:val="00E628AC"/>
    <w:rsid w:val="00E6290E"/>
    <w:rsid w:val="00E6297C"/>
    <w:rsid w:val="00E62A6F"/>
    <w:rsid w:val="00E62ABA"/>
    <w:rsid w:val="00E62AD0"/>
    <w:rsid w:val="00E62CC9"/>
    <w:rsid w:val="00E62CDD"/>
    <w:rsid w:val="00E62D6D"/>
    <w:rsid w:val="00E62EA2"/>
    <w:rsid w:val="00E62EBB"/>
    <w:rsid w:val="00E62ECA"/>
    <w:rsid w:val="00E62F2E"/>
    <w:rsid w:val="00E62F36"/>
    <w:rsid w:val="00E62F45"/>
    <w:rsid w:val="00E62FA0"/>
    <w:rsid w:val="00E62FB1"/>
    <w:rsid w:val="00E62FE7"/>
    <w:rsid w:val="00E63081"/>
    <w:rsid w:val="00E63088"/>
    <w:rsid w:val="00E630C0"/>
    <w:rsid w:val="00E6320A"/>
    <w:rsid w:val="00E63271"/>
    <w:rsid w:val="00E63321"/>
    <w:rsid w:val="00E63330"/>
    <w:rsid w:val="00E633CC"/>
    <w:rsid w:val="00E633EF"/>
    <w:rsid w:val="00E634CE"/>
    <w:rsid w:val="00E63509"/>
    <w:rsid w:val="00E63544"/>
    <w:rsid w:val="00E63577"/>
    <w:rsid w:val="00E63657"/>
    <w:rsid w:val="00E63734"/>
    <w:rsid w:val="00E6373B"/>
    <w:rsid w:val="00E63765"/>
    <w:rsid w:val="00E6387F"/>
    <w:rsid w:val="00E63900"/>
    <w:rsid w:val="00E6397B"/>
    <w:rsid w:val="00E639D9"/>
    <w:rsid w:val="00E639F2"/>
    <w:rsid w:val="00E63A57"/>
    <w:rsid w:val="00E63A59"/>
    <w:rsid w:val="00E63B0E"/>
    <w:rsid w:val="00E63CB9"/>
    <w:rsid w:val="00E63CF6"/>
    <w:rsid w:val="00E63D4C"/>
    <w:rsid w:val="00E63D8A"/>
    <w:rsid w:val="00E63E98"/>
    <w:rsid w:val="00E6407F"/>
    <w:rsid w:val="00E640D3"/>
    <w:rsid w:val="00E64110"/>
    <w:rsid w:val="00E64153"/>
    <w:rsid w:val="00E6429B"/>
    <w:rsid w:val="00E642EF"/>
    <w:rsid w:val="00E6442A"/>
    <w:rsid w:val="00E64505"/>
    <w:rsid w:val="00E6451D"/>
    <w:rsid w:val="00E64614"/>
    <w:rsid w:val="00E646AD"/>
    <w:rsid w:val="00E646FF"/>
    <w:rsid w:val="00E64719"/>
    <w:rsid w:val="00E6472B"/>
    <w:rsid w:val="00E64730"/>
    <w:rsid w:val="00E64806"/>
    <w:rsid w:val="00E64821"/>
    <w:rsid w:val="00E64839"/>
    <w:rsid w:val="00E64843"/>
    <w:rsid w:val="00E64879"/>
    <w:rsid w:val="00E64897"/>
    <w:rsid w:val="00E6490D"/>
    <w:rsid w:val="00E6498A"/>
    <w:rsid w:val="00E64A0E"/>
    <w:rsid w:val="00E64AD1"/>
    <w:rsid w:val="00E64CAB"/>
    <w:rsid w:val="00E64ED2"/>
    <w:rsid w:val="00E64FEB"/>
    <w:rsid w:val="00E65125"/>
    <w:rsid w:val="00E651FB"/>
    <w:rsid w:val="00E65245"/>
    <w:rsid w:val="00E65305"/>
    <w:rsid w:val="00E6537E"/>
    <w:rsid w:val="00E653A8"/>
    <w:rsid w:val="00E653E3"/>
    <w:rsid w:val="00E6550B"/>
    <w:rsid w:val="00E6550E"/>
    <w:rsid w:val="00E65548"/>
    <w:rsid w:val="00E655D3"/>
    <w:rsid w:val="00E65601"/>
    <w:rsid w:val="00E656AE"/>
    <w:rsid w:val="00E6570A"/>
    <w:rsid w:val="00E6582A"/>
    <w:rsid w:val="00E65906"/>
    <w:rsid w:val="00E6592C"/>
    <w:rsid w:val="00E65A0B"/>
    <w:rsid w:val="00E65AD1"/>
    <w:rsid w:val="00E65B1A"/>
    <w:rsid w:val="00E65B27"/>
    <w:rsid w:val="00E65B5D"/>
    <w:rsid w:val="00E65B74"/>
    <w:rsid w:val="00E65BB8"/>
    <w:rsid w:val="00E65C05"/>
    <w:rsid w:val="00E65C15"/>
    <w:rsid w:val="00E65C18"/>
    <w:rsid w:val="00E65CB5"/>
    <w:rsid w:val="00E65E0A"/>
    <w:rsid w:val="00E65E1C"/>
    <w:rsid w:val="00E65E38"/>
    <w:rsid w:val="00E65ED6"/>
    <w:rsid w:val="00E65EE7"/>
    <w:rsid w:val="00E65F82"/>
    <w:rsid w:val="00E65F83"/>
    <w:rsid w:val="00E65FCF"/>
    <w:rsid w:val="00E6602F"/>
    <w:rsid w:val="00E66051"/>
    <w:rsid w:val="00E66089"/>
    <w:rsid w:val="00E660EB"/>
    <w:rsid w:val="00E660F7"/>
    <w:rsid w:val="00E66147"/>
    <w:rsid w:val="00E6620A"/>
    <w:rsid w:val="00E6653A"/>
    <w:rsid w:val="00E6660E"/>
    <w:rsid w:val="00E66747"/>
    <w:rsid w:val="00E66835"/>
    <w:rsid w:val="00E668CB"/>
    <w:rsid w:val="00E6693F"/>
    <w:rsid w:val="00E6696A"/>
    <w:rsid w:val="00E669C6"/>
    <w:rsid w:val="00E66C6E"/>
    <w:rsid w:val="00E66CDE"/>
    <w:rsid w:val="00E66D0F"/>
    <w:rsid w:val="00E66DED"/>
    <w:rsid w:val="00E66E4C"/>
    <w:rsid w:val="00E66E4D"/>
    <w:rsid w:val="00E67066"/>
    <w:rsid w:val="00E670A6"/>
    <w:rsid w:val="00E67115"/>
    <w:rsid w:val="00E6723F"/>
    <w:rsid w:val="00E672D6"/>
    <w:rsid w:val="00E67371"/>
    <w:rsid w:val="00E6744A"/>
    <w:rsid w:val="00E67706"/>
    <w:rsid w:val="00E677C3"/>
    <w:rsid w:val="00E677DB"/>
    <w:rsid w:val="00E678FC"/>
    <w:rsid w:val="00E67933"/>
    <w:rsid w:val="00E679C4"/>
    <w:rsid w:val="00E679DF"/>
    <w:rsid w:val="00E67A31"/>
    <w:rsid w:val="00E67BA7"/>
    <w:rsid w:val="00E67BD4"/>
    <w:rsid w:val="00E67C55"/>
    <w:rsid w:val="00E67CC6"/>
    <w:rsid w:val="00E67EAC"/>
    <w:rsid w:val="00E67F06"/>
    <w:rsid w:val="00E67FB4"/>
    <w:rsid w:val="00E700BB"/>
    <w:rsid w:val="00E7021C"/>
    <w:rsid w:val="00E702CB"/>
    <w:rsid w:val="00E70307"/>
    <w:rsid w:val="00E7030D"/>
    <w:rsid w:val="00E703C1"/>
    <w:rsid w:val="00E704E5"/>
    <w:rsid w:val="00E704EA"/>
    <w:rsid w:val="00E70547"/>
    <w:rsid w:val="00E7065D"/>
    <w:rsid w:val="00E706F8"/>
    <w:rsid w:val="00E70778"/>
    <w:rsid w:val="00E708DD"/>
    <w:rsid w:val="00E7092B"/>
    <w:rsid w:val="00E709BB"/>
    <w:rsid w:val="00E709FB"/>
    <w:rsid w:val="00E70AF9"/>
    <w:rsid w:val="00E70B66"/>
    <w:rsid w:val="00E70B87"/>
    <w:rsid w:val="00E70BE7"/>
    <w:rsid w:val="00E70C48"/>
    <w:rsid w:val="00E70E8F"/>
    <w:rsid w:val="00E70EB9"/>
    <w:rsid w:val="00E70F93"/>
    <w:rsid w:val="00E710C5"/>
    <w:rsid w:val="00E711E3"/>
    <w:rsid w:val="00E711E7"/>
    <w:rsid w:val="00E7127F"/>
    <w:rsid w:val="00E712BC"/>
    <w:rsid w:val="00E712BF"/>
    <w:rsid w:val="00E712C8"/>
    <w:rsid w:val="00E712FE"/>
    <w:rsid w:val="00E71436"/>
    <w:rsid w:val="00E71470"/>
    <w:rsid w:val="00E714AE"/>
    <w:rsid w:val="00E71578"/>
    <w:rsid w:val="00E7164A"/>
    <w:rsid w:val="00E716DE"/>
    <w:rsid w:val="00E716F6"/>
    <w:rsid w:val="00E7179A"/>
    <w:rsid w:val="00E717C8"/>
    <w:rsid w:val="00E71856"/>
    <w:rsid w:val="00E718DF"/>
    <w:rsid w:val="00E71953"/>
    <w:rsid w:val="00E71A55"/>
    <w:rsid w:val="00E71BCD"/>
    <w:rsid w:val="00E71BF2"/>
    <w:rsid w:val="00E71F12"/>
    <w:rsid w:val="00E72050"/>
    <w:rsid w:val="00E72107"/>
    <w:rsid w:val="00E7225E"/>
    <w:rsid w:val="00E722A0"/>
    <w:rsid w:val="00E72325"/>
    <w:rsid w:val="00E72545"/>
    <w:rsid w:val="00E726AC"/>
    <w:rsid w:val="00E7273F"/>
    <w:rsid w:val="00E727D6"/>
    <w:rsid w:val="00E72830"/>
    <w:rsid w:val="00E728B8"/>
    <w:rsid w:val="00E729A2"/>
    <w:rsid w:val="00E729AA"/>
    <w:rsid w:val="00E729F0"/>
    <w:rsid w:val="00E72A2E"/>
    <w:rsid w:val="00E72A86"/>
    <w:rsid w:val="00E72CEC"/>
    <w:rsid w:val="00E72E50"/>
    <w:rsid w:val="00E72EAA"/>
    <w:rsid w:val="00E72EB0"/>
    <w:rsid w:val="00E72ED6"/>
    <w:rsid w:val="00E72F97"/>
    <w:rsid w:val="00E73051"/>
    <w:rsid w:val="00E73064"/>
    <w:rsid w:val="00E730BA"/>
    <w:rsid w:val="00E730D8"/>
    <w:rsid w:val="00E730ED"/>
    <w:rsid w:val="00E7310E"/>
    <w:rsid w:val="00E73124"/>
    <w:rsid w:val="00E731FC"/>
    <w:rsid w:val="00E7321D"/>
    <w:rsid w:val="00E73253"/>
    <w:rsid w:val="00E73341"/>
    <w:rsid w:val="00E7336A"/>
    <w:rsid w:val="00E73404"/>
    <w:rsid w:val="00E734F9"/>
    <w:rsid w:val="00E73574"/>
    <w:rsid w:val="00E7361D"/>
    <w:rsid w:val="00E73674"/>
    <w:rsid w:val="00E7369D"/>
    <w:rsid w:val="00E736DC"/>
    <w:rsid w:val="00E7375E"/>
    <w:rsid w:val="00E737D5"/>
    <w:rsid w:val="00E738BC"/>
    <w:rsid w:val="00E738C4"/>
    <w:rsid w:val="00E738E4"/>
    <w:rsid w:val="00E73912"/>
    <w:rsid w:val="00E73996"/>
    <w:rsid w:val="00E739C1"/>
    <w:rsid w:val="00E739C8"/>
    <w:rsid w:val="00E73A03"/>
    <w:rsid w:val="00E73B01"/>
    <w:rsid w:val="00E73CAA"/>
    <w:rsid w:val="00E73E04"/>
    <w:rsid w:val="00E73E94"/>
    <w:rsid w:val="00E73F57"/>
    <w:rsid w:val="00E73FF0"/>
    <w:rsid w:val="00E73FFE"/>
    <w:rsid w:val="00E740D2"/>
    <w:rsid w:val="00E741C6"/>
    <w:rsid w:val="00E74228"/>
    <w:rsid w:val="00E74253"/>
    <w:rsid w:val="00E74260"/>
    <w:rsid w:val="00E742B4"/>
    <w:rsid w:val="00E742DB"/>
    <w:rsid w:val="00E74333"/>
    <w:rsid w:val="00E743A3"/>
    <w:rsid w:val="00E74452"/>
    <w:rsid w:val="00E744D8"/>
    <w:rsid w:val="00E74515"/>
    <w:rsid w:val="00E74528"/>
    <w:rsid w:val="00E7453C"/>
    <w:rsid w:val="00E7454F"/>
    <w:rsid w:val="00E7457E"/>
    <w:rsid w:val="00E745B9"/>
    <w:rsid w:val="00E746C8"/>
    <w:rsid w:val="00E746FD"/>
    <w:rsid w:val="00E74719"/>
    <w:rsid w:val="00E747DE"/>
    <w:rsid w:val="00E747F1"/>
    <w:rsid w:val="00E747FF"/>
    <w:rsid w:val="00E749CE"/>
    <w:rsid w:val="00E74A14"/>
    <w:rsid w:val="00E74A7E"/>
    <w:rsid w:val="00E74A89"/>
    <w:rsid w:val="00E74AAC"/>
    <w:rsid w:val="00E74C3C"/>
    <w:rsid w:val="00E74CC2"/>
    <w:rsid w:val="00E74CCE"/>
    <w:rsid w:val="00E74CDF"/>
    <w:rsid w:val="00E74D66"/>
    <w:rsid w:val="00E74E2E"/>
    <w:rsid w:val="00E74E9D"/>
    <w:rsid w:val="00E74F09"/>
    <w:rsid w:val="00E74F47"/>
    <w:rsid w:val="00E75086"/>
    <w:rsid w:val="00E750E3"/>
    <w:rsid w:val="00E751A3"/>
    <w:rsid w:val="00E751C2"/>
    <w:rsid w:val="00E751D9"/>
    <w:rsid w:val="00E751E4"/>
    <w:rsid w:val="00E75205"/>
    <w:rsid w:val="00E75221"/>
    <w:rsid w:val="00E752F4"/>
    <w:rsid w:val="00E7534B"/>
    <w:rsid w:val="00E75366"/>
    <w:rsid w:val="00E753AA"/>
    <w:rsid w:val="00E7540A"/>
    <w:rsid w:val="00E7546F"/>
    <w:rsid w:val="00E75493"/>
    <w:rsid w:val="00E754CB"/>
    <w:rsid w:val="00E754E0"/>
    <w:rsid w:val="00E754F3"/>
    <w:rsid w:val="00E75580"/>
    <w:rsid w:val="00E7558E"/>
    <w:rsid w:val="00E755AA"/>
    <w:rsid w:val="00E75742"/>
    <w:rsid w:val="00E7590B"/>
    <w:rsid w:val="00E75AD9"/>
    <w:rsid w:val="00E75B00"/>
    <w:rsid w:val="00E75BBE"/>
    <w:rsid w:val="00E75BD0"/>
    <w:rsid w:val="00E75CBF"/>
    <w:rsid w:val="00E75DC7"/>
    <w:rsid w:val="00E75E48"/>
    <w:rsid w:val="00E75EDC"/>
    <w:rsid w:val="00E75FB4"/>
    <w:rsid w:val="00E76028"/>
    <w:rsid w:val="00E76040"/>
    <w:rsid w:val="00E761C9"/>
    <w:rsid w:val="00E76286"/>
    <w:rsid w:val="00E762BF"/>
    <w:rsid w:val="00E76304"/>
    <w:rsid w:val="00E76311"/>
    <w:rsid w:val="00E76375"/>
    <w:rsid w:val="00E76445"/>
    <w:rsid w:val="00E76648"/>
    <w:rsid w:val="00E7665F"/>
    <w:rsid w:val="00E76662"/>
    <w:rsid w:val="00E76685"/>
    <w:rsid w:val="00E76947"/>
    <w:rsid w:val="00E769E8"/>
    <w:rsid w:val="00E76A70"/>
    <w:rsid w:val="00E76B4E"/>
    <w:rsid w:val="00E76BCE"/>
    <w:rsid w:val="00E76CCE"/>
    <w:rsid w:val="00E76D55"/>
    <w:rsid w:val="00E76F23"/>
    <w:rsid w:val="00E76F61"/>
    <w:rsid w:val="00E77018"/>
    <w:rsid w:val="00E7702A"/>
    <w:rsid w:val="00E7706E"/>
    <w:rsid w:val="00E7707F"/>
    <w:rsid w:val="00E77232"/>
    <w:rsid w:val="00E77467"/>
    <w:rsid w:val="00E7746C"/>
    <w:rsid w:val="00E7749D"/>
    <w:rsid w:val="00E77653"/>
    <w:rsid w:val="00E77698"/>
    <w:rsid w:val="00E776CF"/>
    <w:rsid w:val="00E77706"/>
    <w:rsid w:val="00E777DB"/>
    <w:rsid w:val="00E77851"/>
    <w:rsid w:val="00E77896"/>
    <w:rsid w:val="00E7789C"/>
    <w:rsid w:val="00E7798F"/>
    <w:rsid w:val="00E779DE"/>
    <w:rsid w:val="00E77A4F"/>
    <w:rsid w:val="00E77B0D"/>
    <w:rsid w:val="00E77B6B"/>
    <w:rsid w:val="00E77B80"/>
    <w:rsid w:val="00E77C2D"/>
    <w:rsid w:val="00E77C6E"/>
    <w:rsid w:val="00E77CA8"/>
    <w:rsid w:val="00E77CDB"/>
    <w:rsid w:val="00E77D0B"/>
    <w:rsid w:val="00E77D3D"/>
    <w:rsid w:val="00E77D8C"/>
    <w:rsid w:val="00E77E08"/>
    <w:rsid w:val="00E77E48"/>
    <w:rsid w:val="00E77E85"/>
    <w:rsid w:val="00E8002E"/>
    <w:rsid w:val="00E80289"/>
    <w:rsid w:val="00E802B1"/>
    <w:rsid w:val="00E8035E"/>
    <w:rsid w:val="00E8035F"/>
    <w:rsid w:val="00E804DB"/>
    <w:rsid w:val="00E8068A"/>
    <w:rsid w:val="00E8088C"/>
    <w:rsid w:val="00E808A7"/>
    <w:rsid w:val="00E808D5"/>
    <w:rsid w:val="00E80905"/>
    <w:rsid w:val="00E80941"/>
    <w:rsid w:val="00E8095D"/>
    <w:rsid w:val="00E8099E"/>
    <w:rsid w:val="00E809A0"/>
    <w:rsid w:val="00E809AA"/>
    <w:rsid w:val="00E80AC1"/>
    <w:rsid w:val="00E80BCA"/>
    <w:rsid w:val="00E80BD8"/>
    <w:rsid w:val="00E80C10"/>
    <w:rsid w:val="00E80F9C"/>
    <w:rsid w:val="00E80FAB"/>
    <w:rsid w:val="00E81097"/>
    <w:rsid w:val="00E8111F"/>
    <w:rsid w:val="00E81157"/>
    <w:rsid w:val="00E816A9"/>
    <w:rsid w:val="00E8171A"/>
    <w:rsid w:val="00E81947"/>
    <w:rsid w:val="00E81B93"/>
    <w:rsid w:val="00E81BA6"/>
    <w:rsid w:val="00E81BEF"/>
    <w:rsid w:val="00E81C4F"/>
    <w:rsid w:val="00E81CDD"/>
    <w:rsid w:val="00E81D98"/>
    <w:rsid w:val="00E81DD8"/>
    <w:rsid w:val="00E81E49"/>
    <w:rsid w:val="00E81F26"/>
    <w:rsid w:val="00E8202C"/>
    <w:rsid w:val="00E820D8"/>
    <w:rsid w:val="00E820E1"/>
    <w:rsid w:val="00E8211A"/>
    <w:rsid w:val="00E821CB"/>
    <w:rsid w:val="00E823BB"/>
    <w:rsid w:val="00E8243B"/>
    <w:rsid w:val="00E8249F"/>
    <w:rsid w:val="00E824DA"/>
    <w:rsid w:val="00E82779"/>
    <w:rsid w:val="00E827A7"/>
    <w:rsid w:val="00E827BA"/>
    <w:rsid w:val="00E828E9"/>
    <w:rsid w:val="00E829D1"/>
    <w:rsid w:val="00E82B09"/>
    <w:rsid w:val="00E82B77"/>
    <w:rsid w:val="00E82CED"/>
    <w:rsid w:val="00E82D90"/>
    <w:rsid w:val="00E82DA9"/>
    <w:rsid w:val="00E82FF3"/>
    <w:rsid w:val="00E831FC"/>
    <w:rsid w:val="00E83222"/>
    <w:rsid w:val="00E83317"/>
    <w:rsid w:val="00E83332"/>
    <w:rsid w:val="00E83424"/>
    <w:rsid w:val="00E834C0"/>
    <w:rsid w:val="00E834E2"/>
    <w:rsid w:val="00E835F5"/>
    <w:rsid w:val="00E8371D"/>
    <w:rsid w:val="00E83755"/>
    <w:rsid w:val="00E83A5F"/>
    <w:rsid w:val="00E83A6F"/>
    <w:rsid w:val="00E83AA2"/>
    <w:rsid w:val="00E83ABD"/>
    <w:rsid w:val="00E83B59"/>
    <w:rsid w:val="00E83C95"/>
    <w:rsid w:val="00E83D12"/>
    <w:rsid w:val="00E83D71"/>
    <w:rsid w:val="00E83D8A"/>
    <w:rsid w:val="00E83E04"/>
    <w:rsid w:val="00E83EDE"/>
    <w:rsid w:val="00E83F1B"/>
    <w:rsid w:val="00E8407B"/>
    <w:rsid w:val="00E840B7"/>
    <w:rsid w:val="00E840F4"/>
    <w:rsid w:val="00E841AD"/>
    <w:rsid w:val="00E841B6"/>
    <w:rsid w:val="00E841C1"/>
    <w:rsid w:val="00E842F0"/>
    <w:rsid w:val="00E84374"/>
    <w:rsid w:val="00E8446D"/>
    <w:rsid w:val="00E84589"/>
    <w:rsid w:val="00E845A9"/>
    <w:rsid w:val="00E8461B"/>
    <w:rsid w:val="00E846A4"/>
    <w:rsid w:val="00E846CD"/>
    <w:rsid w:val="00E84736"/>
    <w:rsid w:val="00E84828"/>
    <w:rsid w:val="00E8482D"/>
    <w:rsid w:val="00E84C10"/>
    <w:rsid w:val="00E84C3A"/>
    <w:rsid w:val="00E84CAB"/>
    <w:rsid w:val="00E84CD1"/>
    <w:rsid w:val="00E84CD8"/>
    <w:rsid w:val="00E84CEA"/>
    <w:rsid w:val="00E84D1D"/>
    <w:rsid w:val="00E84E28"/>
    <w:rsid w:val="00E84EB7"/>
    <w:rsid w:val="00E84ED1"/>
    <w:rsid w:val="00E84F55"/>
    <w:rsid w:val="00E85050"/>
    <w:rsid w:val="00E85179"/>
    <w:rsid w:val="00E851C6"/>
    <w:rsid w:val="00E85269"/>
    <w:rsid w:val="00E852CF"/>
    <w:rsid w:val="00E853B8"/>
    <w:rsid w:val="00E853EB"/>
    <w:rsid w:val="00E85435"/>
    <w:rsid w:val="00E85462"/>
    <w:rsid w:val="00E855E6"/>
    <w:rsid w:val="00E85605"/>
    <w:rsid w:val="00E85622"/>
    <w:rsid w:val="00E85625"/>
    <w:rsid w:val="00E85637"/>
    <w:rsid w:val="00E8568E"/>
    <w:rsid w:val="00E85711"/>
    <w:rsid w:val="00E857B0"/>
    <w:rsid w:val="00E85978"/>
    <w:rsid w:val="00E859CB"/>
    <w:rsid w:val="00E85A69"/>
    <w:rsid w:val="00E85AE8"/>
    <w:rsid w:val="00E85AF2"/>
    <w:rsid w:val="00E85BE4"/>
    <w:rsid w:val="00E85C1F"/>
    <w:rsid w:val="00E85C80"/>
    <w:rsid w:val="00E85D98"/>
    <w:rsid w:val="00E85F59"/>
    <w:rsid w:val="00E860A9"/>
    <w:rsid w:val="00E86158"/>
    <w:rsid w:val="00E8616B"/>
    <w:rsid w:val="00E861ED"/>
    <w:rsid w:val="00E86256"/>
    <w:rsid w:val="00E86278"/>
    <w:rsid w:val="00E862E4"/>
    <w:rsid w:val="00E8636C"/>
    <w:rsid w:val="00E8637C"/>
    <w:rsid w:val="00E863CC"/>
    <w:rsid w:val="00E86485"/>
    <w:rsid w:val="00E8652D"/>
    <w:rsid w:val="00E86547"/>
    <w:rsid w:val="00E8676D"/>
    <w:rsid w:val="00E86781"/>
    <w:rsid w:val="00E868C1"/>
    <w:rsid w:val="00E868F0"/>
    <w:rsid w:val="00E86912"/>
    <w:rsid w:val="00E86A44"/>
    <w:rsid w:val="00E86A8B"/>
    <w:rsid w:val="00E86BC5"/>
    <w:rsid w:val="00E86C5D"/>
    <w:rsid w:val="00E86C60"/>
    <w:rsid w:val="00E86CC2"/>
    <w:rsid w:val="00E86DBE"/>
    <w:rsid w:val="00E86EC3"/>
    <w:rsid w:val="00E86EF4"/>
    <w:rsid w:val="00E870C1"/>
    <w:rsid w:val="00E87134"/>
    <w:rsid w:val="00E871AC"/>
    <w:rsid w:val="00E871DA"/>
    <w:rsid w:val="00E87337"/>
    <w:rsid w:val="00E8738C"/>
    <w:rsid w:val="00E87439"/>
    <w:rsid w:val="00E8752C"/>
    <w:rsid w:val="00E87558"/>
    <w:rsid w:val="00E875FB"/>
    <w:rsid w:val="00E87734"/>
    <w:rsid w:val="00E877D9"/>
    <w:rsid w:val="00E87848"/>
    <w:rsid w:val="00E8784A"/>
    <w:rsid w:val="00E87970"/>
    <w:rsid w:val="00E87A32"/>
    <w:rsid w:val="00E87A9B"/>
    <w:rsid w:val="00E87ABF"/>
    <w:rsid w:val="00E87B32"/>
    <w:rsid w:val="00E87B84"/>
    <w:rsid w:val="00E87BBA"/>
    <w:rsid w:val="00E87C89"/>
    <w:rsid w:val="00E87CFD"/>
    <w:rsid w:val="00E87D65"/>
    <w:rsid w:val="00E87D6B"/>
    <w:rsid w:val="00E87DCE"/>
    <w:rsid w:val="00E87E0E"/>
    <w:rsid w:val="00E87F64"/>
    <w:rsid w:val="00E900A1"/>
    <w:rsid w:val="00E90323"/>
    <w:rsid w:val="00E90373"/>
    <w:rsid w:val="00E90462"/>
    <w:rsid w:val="00E90468"/>
    <w:rsid w:val="00E905F3"/>
    <w:rsid w:val="00E9066C"/>
    <w:rsid w:val="00E90675"/>
    <w:rsid w:val="00E906E9"/>
    <w:rsid w:val="00E9071D"/>
    <w:rsid w:val="00E907FF"/>
    <w:rsid w:val="00E9083D"/>
    <w:rsid w:val="00E909D9"/>
    <w:rsid w:val="00E90A5A"/>
    <w:rsid w:val="00E90A8F"/>
    <w:rsid w:val="00E90AF7"/>
    <w:rsid w:val="00E90B04"/>
    <w:rsid w:val="00E90B9B"/>
    <w:rsid w:val="00E90C1E"/>
    <w:rsid w:val="00E90C6C"/>
    <w:rsid w:val="00E90CA6"/>
    <w:rsid w:val="00E90CFF"/>
    <w:rsid w:val="00E90D04"/>
    <w:rsid w:val="00E90D72"/>
    <w:rsid w:val="00E90E71"/>
    <w:rsid w:val="00E90E76"/>
    <w:rsid w:val="00E90F5E"/>
    <w:rsid w:val="00E90FF8"/>
    <w:rsid w:val="00E91160"/>
    <w:rsid w:val="00E91197"/>
    <w:rsid w:val="00E911E1"/>
    <w:rsid w:val="00E91211"/>
    <w:rsid w:val="00E91264"/>
    <w:rsid w:val="00E912D4"/>
    <w:rsid w:val="00E91304"/>
    <w:rsid w:val="00E9146B"/>
    <w:rsid w:val="00E91544"/>
    <w:rsid w:val="00E91559"/>
    <w:rsid w:val="00E915F0"/>
    <w:rsid w:val="00E91653"/>
    <w:rsid w:val="00E91661"/>
    <w:rsid w:val="00E91682"/>
    <w:rsid w:val="00E9178D"/>
    <w:rsid w:val="00E917E9"/>
    <w:rsid w:val="00E91981"/>
    <w:rsid w:val="00E919EA"/>
    <w:rsid w:val="00E91A3C"/>
    <w:rsid w:val="00E91A47"/>
    <w:rsid w:val="00E91A58"/>
    <w:rsid w:val="00E91AD9"/>
    <w:rsid w:val="00E91B1A"/>
    <w:rsid w:val="00E91CA5"/>
    <w:rsid w:val="00E91CF0"/>
    <w:rsid w:val="00E91D2A"/>
    <w:rsid w:val="00E91D41"/>
    <w:rsid w:val="00E91DB1"/>
    <w:rsid w:val="00E91F49"/>
    <w:rsid w:val="00E91FA4"/>
    <w:rsid w:val="00E920A6"/>
    <w:rsid w:val="00E922BE"/>
    <w:rsid w:val="00E923FA"/>
    <w:rsid w:val="00E9241D"/>
    <w:rsid w:val="00E92456"/>
    <w:rsid w:val="00E925F5"/>
    <w:rsid w:val="00E926B2"/>
    <w:rsid w:val="00E9287C"/>
    <w:rsid w:val="00E928EF"/>
    <w:rsid w:val="00E929BA"/>
    <w:rsid w:val="00E92BDB"/>
    <w:rsid w:val="00E92C30"/>
    <w:rsid w:val="00E92D1C"/>
    <w:rsid w:val="00E92DC2"/>
    <w:rsid w:val="00E92E96"/>
    <w:rsid w:val="00E92F86"/>
    <w:rsid w:val="00E92FE7"/>
    <w:rsid w:val="00E93055"/>
    <w:rsid w:val="00E9314B"/>
    <w:rsid w:val="00E931C3"/>
    <w:rsid w:val="00E93291"/>
    <w:rsid w:val="00E9330C"/>
    <w:rsid w:val="00E9331B"/>
    <w:rsid w:val="00E9331F"/>
    <w:rsid w:val="00E933BF"/>
    <w:rsid w:val="00E934D1"/>
    <w:rsid w:val="00E93605"/>
    <w:rsid w:val="00E93739"/>
    <w:rsid w:val="00E937F7"/>
    <w:rsid w:val="00E9392B"/>
    <w:rsid w:val="00E93A08"/>
    <w:rsid w:val="00E93A21"/>
    <w:rsid w:val="00E93A4B"/>
    <w:rsid w:val="00E93B06"/>
    <w:rsid w:val="00E93B59"/>
    <w:rsid w:val="00E93B76"/>
    <w:rsid w:val="00E93C39"/>
    <w:rsid w:val="00E93C9C"/>
    <w:rsid w:val="00E93C9F"/>
    <w:rsid w:val="00E93CAD"/>
    <w:rsid w:val="00E93D19"/>
    <w:rsid w:val="00E93D56"/>
    <w:rsid w:val="00E93EF3"/>
    <w:rsid w:val="00E941E8"/>
    <w:rsid w:val="00E94230"/>
    <w:rsid w:val="00E9428D"/>
    <w:rsid w:val="00E942A7"/>
    <w:rsid w:val="00E942BB"/>
    <w:rsid w:val="00E94519"/>
    <w:rsid w:val="00E9458C"/>
    <w:rsid w:val="00E94597"/>
    <w:rsid w:val="00E94695"/>
    <w:rsid w:val="00E94753"/>
    <w:rsid w:val="00E947FB"/>
    <w:rsid w:val="00E949C6"/>
    <w:rsid w:val="00E94A4F"/>
    <w:rsid w:val="00E94A64"/>
    <w:rsid w:val="00E94AAD"/>
    <w:rsid w:val="00E94B56"/>
    <w:rsid w:val="00E94B65"/>
    <w:rsid w:val="00E94B97"/>
    <w:rsid w:val="00E94C08"/>
    <w:rsid w:val="00E94CA6"/>
    <w:rsid w:val="00E94CF7"/>
    <w:rsid w:val="00E94D25"/>
    <w:rsid w:val="00E94EFC"/>
    <w:rsid w:val="00E95050"/>
    <w:rsid w:val="00E95180"/>
    <w:rsid w:val="00E951A7"/>
    <w:rsid w:val="00E952CE"/>
    <w:rsid w:val="00E95375"/>
    <w:rsid w:val="00E953AB"/>
    <w:rsid w:val="00E95450"/>
    <w:rsid w:val="00E95507"/>
    <w:rsid w:val="00E95591"/>
    <w:rsid w:val="00E956F8"/>
    <w:rsid w:val="00E956FD"/>
    <w:rsid w:val="00E957A0"/>
    <w:rsid w:val="00E959C0"/>
    <w:rsid w:val="00E959EE"/>
    <w:rsid w:val="00E959EF"/>
    <w:rsid w:val="00E95A3F"/>
    <w:rsid w:val="00E95A64"/>
    <w:rsid w:val="00E95A98"/>
    <w:rsid w:val="00E95C5F"/>
    <w:rsid w:val="00E95CD5"/>
    <w:rsid w:val="00E95D74"/>
    <w:rsid w:val="00E95E16"/>
    <w:rsid w:val="00E95EF7"/>
    <w:rsid w:val="00E9605C"/>
    <w:rsid w:val="00E9609E"/>
    <w:rsid w:val="00E960A9"/>
    <w:rsid w:val="00E960ED"/>
    <w:rsid w:val="00E96126"/>
    <w:rsid w:val="00E96231"/>
    <w:rsid w:val="00E9628F"/>
    <w:rsid w:val="00E9638F"/>
    <w:rsid w:val="00E963A0"/>
    <w:rsid w:val="00E96495"/>
    <w:rsid w:val="00E9649F"/>
    <w:rsid w:val="00E964C1"/>
    <w:rsid w:val="00E965B3"/>
    <w:rsid w:val="00E9662D"/>
    <w:rsid w:val="00E9666B"/>
    <w:rsid w:val="00E967D9"/>
    <w:rsid w:val="00E96821"/>
    <w:rsid w:val="00E9685A"/>
    <w:rsid w:val="00E96864"/>
    <w:rsid w:val="00E9691D"/>
    <w:rsid w:val="00E96A64"/>
    <w:rsid w:val="00E96BF5"/>
    <w:rsid w:val="00E96C1B"/>
    <w:rsid w:val="00E96C69"/>
    <w:rsid w:val="00E96D64"/>
    <w:rsid w:val="00E96DCD"/>
    <w:rsid w:val="00E96E79"/>
    <w:rsid w:val="00E96EFB"/>
    <w:rsid w:val="00E97010"/>
    <w:rsid w:val="00E970B5"/>
    <w:rsid w:val="00E970DD"/>
    <w:rsid w:val="00E97140"/>
    <w:rsid w:val="00E971A0"/>
    <w:rsid w:val="00E9720E"/>
    <w:rsid w:val="00E972DF"/>
    <w:rsid w:val="00E97396"/>
    <w:rsid w:val="00E973C4"/>
    <w:rsid w:val="00E9741F"/>
    <w:rsid w:val="00E97516"/>
    <w:rsid w:val="00E975EA"/>
    <w:rsid w:val="00E976B9"/>
    <w:rsid w:val="00E976E7"/>
    <w:rsid w:val="00E976EA"/>
    <w:rsid w:val="00E97712"/>
    <w:rsid w:val="00E9773D"/>
    <w:rsid w:val="00E97740"/>
    <w:rsid w:val="00E977FB"/>
    <w:rsid w:val="00E97811"/>
    <w:rsid w:val="00E97A72"/>
    <w:rsid w:val="00E97A84"/>
    <w:rsid w:val="00E97AF0"/>
    <w:rsid w:val="00E97B07"/>
    <w:rsid w:val="00E97D81"/>
    <w:rsid w:val="00E97D83"/>
    <w:rsid w:val="00E97DB1"/>
    <w:rsid w:val="00E97ECE"/>
    <w:rsid w:val="00E97EE3"/>
    <w:rsid w:val="00E97FE7"/>
    <w:rsid w:val="00EA001F"/>
    <w:rsid w:val="00EA0036"/>
    <w:rsid w:val="00EA0059"/>
    <w:rsid w:val="00EA020B"/>
    <w:rsid w:val="00EA0269"/>
    <w:rsid w:val="00EA04CF"/>
    <w:rsid w:val="00EA06CE"/>
    <w:rsid w:val="00EA06DC"/>
    <w:rsid w:val="00EA076F"/>
    <w:rsid w:val="00EA079B"/>
    <w:rsid w:val="00EA07B0"/>
    <w:rsid w:val="00EA07B3"/>
    <w:rsid w:val="00EA07F9"/>
    <w:rsid w:val="00EA08FC"/>
    <w:rsid w:val="00EA092C"/>
    <w:rsid w:val="00EA0A2E"/>
    <w:rsid w:val="00EA0A44"/>
    <w:rsid w:val="00EA0AE4"/>
    <w:rsid w:val="00EA0B10"/>
    <w:rsid w:val="00EA0B4B"/>
    <w:rsid w:val="00EA0B96"/>
    <w:rsid w:val="00EA0C31"/>
    <w:rsid w:val="00EA0C3C"/>
    <w:rsid w:val="00EA0E05"/>
    <w:rsid w:val="00EA0EC4"/>
    <w:rsid w:val="00EA0ECF"/>
    <w:rsid w:val="00EA0F61"/>
    <w:rsid w:val="00EA0FA3"/>
    <w:rsid w:val="00EA1055"/>
    <w:rsid w:val="00EA1288"/>
    <w:rsid w:val="00EA156C"/>
    <w:rsid w:val="00EA17CB"/>
    <w:rsid w:val="00EA1828"/>
    <w:rsid w:val="00EA192E"/>
    <w:rsid w:val="00EA1AFE"/>
    <w:rsid w:val="00EA1B01"/>
    <w:rsid w:val="00EA1C39"/>
    <w:rsid w:val="00EA1CA7"/>
    <w:rsid w:val="00EA1E16"/>
    <w:rsid w:val="00EA1E46"/>
    <w:rsid w:val="00EA1E5B"/>
    <w:rsid w:val="00EA20F0"/>
    <w:rsid w:val="00EA21BF"/>
    <w:rsid w:val="00EA21CF"/>
    <w:rsid w:val="00EA221A"/>
    <w:rsid w:val="00EA2276"/>
    <w:rsid w:val="00EA2327"/>
    <w:rsid w:val="00EA2374"/>
    <w:rsid w:val="00EA237E"/>
    <w:rsid w:val="00EA2468"/>
    <w:rsid w:val="00EA2491"/>
    <w:rsid w:val="00EA249A"/>
    <w:rsid w:val="00EA2507"/>
    <w:rsid w:val="00EA2511"/>
    <w:rsid w:val="00EA253B"/>
    <w:rsid w:val="00EA25B7"/>
    <w:rsid w:val="00EA25DC"/>
    <w:rsid w:val="00EA263F"/>
    <w:rsid w:val="00EA26CC"/>
    <w:rsid w:val="00EA273C"/>
    <w:rsid w:val="00EA2789"/>
    <w:rsid w:val="00EA287F"/>
    <w:rsid w:val="00EA28A1"/>
    <w:rsid w:val="00EA28BC"/>
    <w:rsid w:val="00EA298C"/>
    <w:rsid w:val="00EA29C3"/>
    <w:rsid w:val="00EA2B2E"/>
    <w:rsid w:val="00EA2D0F"/>
    <w:rsid w:val="00EA2D2E"/>
    <w:rsid w:val="00EA2EA7"/>
    <w:rsid w:val="00EA2F57"/>
    <w:rsid w:val="00EA3172"/>
    <w:rsid w:val="00EA31A5"/>
    <w:rsid w:val="00EA330C"/>
    <w:rsid w:val="00EA33D0"/>
    <w:rsid w:val="00EA3419"/>
    <w:rsid w:val="00EA3441"/>
    <w:rsid w:val="00EA3461"/>
    <w:rsid w:val="00EA36F9"/>
    <w:rsid w:val="00EA38DA"/>
    <w:rsid w:val="00EA3A13"/>
    <w:rsid w:val="00EA3A27"/>
    <w:rsid w:val="00EA3AE1"/>
    <w:rsid w:val="00EA3B0D"/>
    <w:rsid w:val="00EA3B37"/>
    <w:rsid w:val="00EA3CD8"/>
    <w:rsid w:val="00EA3CEB"/>
    <w:rsid w:val="00EA3CEE"/>
    <w:rsid w:val="00EA3DA8"/>
    <w:rsid w:val="00EA3DDC"/>
    <w:rsid w:val="00EA3DFE"/>
    <w:rsid w:val="00EA3E2E"/>
    <w:rsid w:val="00EA3E73"/>
    <w:rsid w:val="00EA3FE2"/>
    <w:rsid w:val="00EA4047"/>
    <w:rsid w:val="00EA40BB"/>
    <w:rsid w:val="00EA4129"/>
    <w:rsid w:val="00EA4162"/>
    <w:rsid w:val="00EA426E"/>
    <w:rsid w:val="00EA42BF"/>
    <w:rsid w:val="00EA4407"/>
    <w:rsid w:val="00EA4469"/>
    <w:rsid w:val="00EA468C"/>
    <w:rsid w:val="00EA4733"/>
    <w:rsid w:val="00EA484D"/>
    <w:rsid w:val="00EA49BE"/>
    <w:rsid w:val="00EA4A66"/>
    <w:rsid w:val="00EA4B31"/>
    <w:rsid w:val="00EA4C18"/>
    <w:rsid w:val="00EA4C3F"/>
    <w:rsid w:val="00EA4C7E"/>
    <w:rsid w:val="00EA4CA3"/>
    <w:rsid w:val="00EA4D95"/>
    <w:rsid w:val="00EA4E04"/>
    <w:rsid w:val="00EA4E2C"/>
    <w:rsid w:val="00EA4EA8"/>
    <w:rsid w:val="00EA4EE5"/>
    <w:rsid w:val="00EA5017"/>
    <w:rsid w:val="00EA50BB"/>
    <w:rsid w:val="00EA5419"/>
    <w:rsid w:val="00EA5521"/>
    <w:rsid w:val="00EA5535"/>
    <w:rsid w:val="00EA55FF"/>
    <w:rsid w:val="00EA56CD"/>
    <w:rsid w:val="00EA570D"/>
    <w:rsid w:val="00EA585B"/>
    <w:rsid w:val="00EA586E"/>
    <w:rsid w:val="00EA596B"/>
    <w:rsid w:val="00EA5A90"/>
    <w:rsid w:val="00EA5B2B"/>
    <w:rsid w:val="00EA5B3B"/>
    <w:rsid w:val="00EA5B4C"/>
    <w:rsid w:val="00EA5BF2"/>
    <w:rsid w:val="00EA5C35"/>
    <w:rsid w:val="00EA5C96"/>
    <w:rsid w:val="00EA5DC1"/>
    <w:rsid w:val="00EA5DE7"/>
    <w:rsid w:val="00EA5E0A"/>
    <w:rsid w:val="00EA5EF2"/>
    <w:rsid w:val="00EA61C4"/>
    <w:rsid w:val="00EA62BE"/>
    <w:rsid w:val="00EA62D6"/>
    <w:rsid w:val="00EA63E3"/>
    <w:rsid w:val="00EA6508"/>
    <w:rsid w:val="00EA65A1"/>
    <w:rsid w:val="00EA660A"/>
    <w:rsid w:val="00EA6644"/>
    <w:rsid w:val="00EA6791"/>
    <w:rsid w:val="00EA67BB"/>
    <w:rsid w:val="00EA6880"/>
    <w:rsid w:val="00EA68E5"/>
    <w:rsid w:val="00EA691B"/>
    <w:rsid w:val="00EA694F"/>
    <w:rsid w:val="00EA69DB"/>
    <w:rsid w:val="00EA6A26"/>
    <w:rsid w:val="00EA6A3A"/>
    <w:rsid w:val="00EA6A59"/>
    <w:rsid w:val="00EA6B43"/>
    <w:rsid w:val="00EA6B8E"/>
    <w:rsid w:val="00EA6BF2"/>
    <w:rsid w:val="00EA6BFD"/>
    <w:rsid w:val="00EA6C7F"/>
    <w:rsid w:val="00EA6CEF"/>
    <w:rsid w:val="00EA6D56"/>
    <w:rsid w:val="00EA6D98"/>
    <w:rsid w:val="00EA6E28"/>
    <w:rsid w:val="00EA701F"/>
    <w:rsid w:val="00EA7138"/>
    <w:rsid w:val="00EA7397"/>
    <w:rsid w:val="00EA73C1"/>
    <w:rsid w:val="00EA740F"/>
    <w:rsid w:val="00EA7534"/>
    <w:rsid w:val="00EA75C0"/>
    <w:rsid w:val="00EA76FB"/>
    <w:rsid w:val="00EA774B"/>
    <w:rsid w:val="00EA7808"/>
    <w:rsid w:val="00EA7850"/>
    <w:rsid w:val="00EA78D8"/>
    <w:rsid w:val="00EA78FC"/>
    <w:rsid w:val="00EA7A6B"/>
    <w:rsid w:val="00EA7B21"/>
    <w:rsid w:val="00EA7BE4"/>
    <w:rsid w:val="00EA7C5C"/>
    <w:rsid w:val="00EA7C95"/>
    <w:rsid w:val="00EA7D12"/>
    <w:rsid w:val="00EA7D59"/>
    <w:rsid w:val="00EA7DCC"/>
    <w:rsid w:val="00EA7E40"/>
    <w:rsid w:val="00EA7F22"/>
    <w:rsid w:val="00EA7FB1"/>
    <w:rsid w:val="00EA7FDE"/>
    <w:rsid w:val="00EB0296"/>
    <w:rsid w:val="00EB057E"/>
    <w:rsid w:val="00EB05C4"/>
    <w:rsid w:val="00EB064D"/>
    <w:rsid w:val="00EB068E"/>
    <w:rsid w:val="00EB0705"/>
    <w:rsid w:val="00EB0708"/>
    <w:rsid w:val="00EB0736"/>
    <w:rsid w:val="00EB0772"/>
    <w:rsid w:val="00EB083F"/>
    <w:rsid w:val="00EB0870"/>
    <w:rsid w:val="00EB08F4"/>
    <w:rsid w:val="00EB091E"/>
    <w:rsid w:val="00EB0950"/>
    <w:rsid w:val="00EB0B23"/>
    <w:rsid w:val="00EB0E57"/>
    <w:rsid w:val="00EB10B6"/>
    <w:rsid w:val="00EB11A2"/>
    <w:rsid w:val="00EB11EC"/>
    <w:rsid w:val="00EB12E7"/>
    <w:rsid w:val="00EB1422"/>
    <w:rsid w:val="00EB144F"/>
    <w:rsid w:val="00EB1456"/>
    <w:rsid w:val="00EB1485"/>
    <w:rsid w:val="00EB158F"/>
    <w:rsid w:val="00EB1598"/>
    <w:rsid w:val="00EB1611"/>
    <w:rsid w:val="00EB17AA"/>
    <w:rsid w:val="00EB17CC"/>
    <w:rsid w:val="00EB17D1"/>
    <w:rsid w:val="00EB17EC"/>
    <w:rsid w:val="00EB18F8"/>
    <w:rsid w:val="00EB1B45"/>
    <w:rsid w:val="00EB1B79"/>
    <w:rsid w:val="00EB1B9D"/>
    <w:rsid w:val="00EB1C82"/>
    <w:rsid w:val="00EB1C90"/>
    <w:rsid w:val="00EB1E0B"/>
    <w:rsid w:val="00EB1F03"/>
    <w:rsid w:val="00EB1F50"/>
    <w:rsid w:val="00EB1F78"/>
    <w:rsid w:val="00EB1FB4"/>
    <w:rsid w:val="00EB1FBD"/>
    <w:rsid w:val="00EB1FE8"/>
    <w:rsid w:val="00EB1FFF"/>
    <w:rsid w:val="00EB2045"/>
    <w:rsid w:val="00EB2101"/>
    <w:rsid w:val="00EB210A"/>
    <w:rsid w:val="00EB2318"/>
    <w:rsid w:val="00EB23A3"/>
    <w:rsid w:val="00EB24CA"/>
    <w:rsid w:val="00EB256C"/>
    <w:rsid w:val="00EB25E1"/>
    <w:rsid w:val="00EB26E6"/>
    <w:rsid w:val="00EB26EC"/>
    <w:rsid w:val="00EB2711"/>
    <w:rsid w:val="00EB2730"/>
    <w:rsid w:val="00EB2778"/>
    <w:rsid w:val="00EB2834"/>
    <w:rsid w:val="00EB287A"/>
    <w:rsid w:val="00EB28E2"/>
    <w:rsid w:val="00EB2A23"/>
    <w:rsid w:val="00EB2A8F"/>
    <w:rsid w:val="00EB2B71"/>
    <w:rsid w:val="00EB2D1C"/>
    <w:rsid w:val="00EB2DD3"/>
    <w:rsid w:val="00EB2E5C"/>
    <w:rsid w:val="00EB2F18"/>
    <w:rsid w:val="00EB2F30"/>
    <w:rsid w:val="00EB303B"/>
    <w:rsid w:val="00EB30A7"/>
    <w:rsid w:val="00EB30BC"/>
    <w:rsid w:val="00EB30DE"/>
    <w:rsid w:val="00EB30FC"/>
    <w:rsid w:val="00EB3252"/>
    <w:rsid w:val="00EB32FC"/>
    <w:rsid w:val="00EB3340"/>
    <w:rsid w:val="00EB3438"/>
    <w:rsid w:val="00EB3455"/>
    <w:rsid w:val="00EB3457"/>
    <w:rsid w:val="00EB34AB"/>
    <w:rsid w:val="00EB34E9"/>
    <w:rsid w:val="00EB3713"/>
    <w:rsid w:val="00EB37E7"/>
    <w:rsid w:val="00EB396E"/>
    <w:rsid w:val="00EB399D"/>
    <w:rsid w:val="00EB3AAB"/>
    <w:rsid w:val="00EB3AAD"/>
    <w:rsid w:val="00EB3AB4"/>
    <w:rsid w:val="00EB3ABB"/>
    <w:rsid w:val="00EB3B23"/>
    <w:rsid w:val="00EB3B45"/>
    <w:rsid w:val="00EB3B66"/>
    <w:rsid w:val="00EB3BD0"/>
    <w:rsid w:val="00EB3BD9"/>
    <w:rsid w:val="00EB3C75"/>
    <w:rsid w:val="00EB3D4D"/>
    <w:rsid w:val="00EB3D63"/>
    <w:rsid w:val="00EB3E1C"/>
    <w:rsid w:val="00EB3EB4"/>
    <w:rsid w:val="00EB3F62"/>
    <w:rsid w:val="00EB3F75"/>
    <w:rsid w:val="00EB3FB7"/>
    <w:rsid w:val="00EB403E"/>
    <w:rsid w:val="00EB41C9"/>
    <w:rsid w:val="00EB41FF"/>
    <w:rsid w:val="00EB4301"/>
    <w:rsid w:val="00EB432B"/>
    <w:rsid w:val="00EB44A8"/>
    <w:rsid w:val="00EB4503"/>
    <w:rsid w:val="00EB4536"/>
    <w:rsid w:val="00EB4546"/>
    <w:rsid w:val="00EB45CE"/>
    <w:rsid w:val="00EB463E"/>
    <w:rsid w:val="00EB46F8"/>
    <w:rsid w:val="00EB4746"/>
    <w:rsid w:val="00EB47C0"/>
    <w:rsid w:val="00EB4850"/>
    <w:rsid w:val="00EB4857"/>
    <w:rsid w:val="00EB48AD"/>
    <w:rsid w:val="00EB4990"/>
    <w:rsid w:val="00EB4AB6"/>
    <w:rsid w:val="00EB4B30"/>
    <w:rsid w:val="00EB4B8F"/>
    <w:rsid w:val="00EB4C7C"/>
    <w:rsid w:val="00EB4CBC"/>
    <w:rsid w:val="00EB50D9"/>
    <w:rsid w:val="00EB50E6"/>
    <w:rsid w:val="00EB5301"/>
    <w:rsid w:val="00EB53A6"/>
    <w:rsid w:val="00EB54F8"/>
    <w:rsid w:val="00EB553F"/>
    <w:rsid w:val="00EB55F2"/>
    <w:rsid w:val="00EB56DF"/>
    <w:rsid w:val="00EB5743"/>
    <w:rsid w:val="00EB57F7"/>
    <w:rsid w:val="00EB5CF9"/>
    <w:rsid w:val="00EB5D8E"/>
    <w:rsid w:val="00EB5DC7"/>
    <w:rsid w:val="00EB5DF1"/>
    <w:rsid w:val="00EB5DF6"/>
    <w:rsid w:val="00EB5E59"/>
    <w:rsid w:val="00EB602C"/>
    <w:rsid w:val="00EB6053"/>
    <w:rsid w:val="00EB60C2"/>
    <w:rsid w:val="00EB6184"/>
    <w:rsid w:val="00EB6215"/>
    <w:rsid w:val="00EB63A6"/>
    <w:rsid w:val="00EB63D1"/>
    <w:rsid w:val="00EB6402"/>
    <w:rsid w:val="00EB6441"/>
    <w:rsid w:val="00EB6504"/>
    <w:rsid w:val="00EB66C8"/>
    <w:rsid w:val="00EB6777"/>
    <w:rsid w:val="00EB6831"/>
    <w:rsid w:val="00EB687A"/>
    <w:rsid w:val="00EB692D"/>
    <w:rsid w:val="00EB6952"/>
    <w:rsid w:val="00EB696E"/>
    <w:rsid w:val="00EB6983"/>
    <w:rsid w:val="00EB69BE"/>
    <w:rsid w:val="00EB69CB"/>
    <w:rsid w:val="00EB6A20"/>
    <w:rsid w:val="00EB6ABB"/>
    <w:rsid w:val="00EB6DAA"/>
    <w:rsid w:val="00EB6DAB"/>
    <w:rsid w:val="00EB6EED"/>
    <w:rsid w:val="00EB703B"/>
    <w:rsid w:val="00EB72E2"/>
    <w:rsid w:val="00EB7354"/>
    <w:rsid w:val="00EB7365"/>
    <w:rsid w:val="00EB738D"/>
    <w:rsid w:val="00EB7403"/>
    <w:rsid w:val="00EB7449"/>
    <w:rsid w:val="00EB7471"/>
    <w:rsid w:val="00EB748F"/>
    <w:rsid w:val="00EB7492"/>
    <w:rsid w:val="00EB74CB"/>
    <w:rsid w:val="00EB74E9"/>
    <w:rsid w:val="00EB776C"/>
    <w:rsid w:val="00EB778A"/>
    <w:rsid w:val="00EB779E"/>
    <w:rsid w:val="00EB78CD"/>
    <w:rsid w:val="00EB78D5"/>
    <w:rsid w:val="00EB78DD"/>
    <w:rsid w:val="00EB7983"/>
    <w:rsid w:val="00EB7A7B"/>
    <w:rsid w:val="00EB7B2A"/>
    <w:rsid w:val="00EB7B93"/>
    <w:rsid w:val="00EB7C30"/>
    <w:rsid w:val="00EB7CD5"/>
    <w:rsid w:val="00EB7F07"/>
    <w:rsid w:val="00EB7FBC"/>
    <w:rsid w:val="00EC0015"/>
    <w:rsid w:val="00EC00AA"/>
    <w:rsid w:val="00EC026C"/>
    <w:rsid w:val="00EC0281"/>
    <w:rsid w:val="00EC036D"/>
    <w:rsid w:val="00EC03A0"/>
    <w:rsid w:val="00EC0409"/>
    <w:rsid w:val="00EC040B"/>
    <w:rsid w:val="00EC045F"/>
    <w:rsid w:val="00EC0482"/>
    <w:rsid w:val="00EC04FD"/>
    <w:rsid w:val="00EC0581"/>
    <w:rsid w:val="00EC05B4"/>
    <w:rsid w:val="00EC06FE"/>
    <w:rsid w:val="00EC07CB"/>
    <w:rsid w:val="00EC07ED"/>
    <w:rsid w:val="00EC08EE"/>
    <w:rsid w:val="00EC09F0"/>
    <w:rsid w:val="00EC0C14"/>
    <w:rsid w:val="00EC0CA0"/>
    <w:rsid w:val="00EC0DAD"/>
    <w:rsid w:val="00EC0EB9"/>
    <w:rsid w:val="00EC0EDA"/>
    <w:rsid w:val="00EC0EE6"/>
    <w:rsid w:val="00EC0FDD"/>
    <w:rsid w:val="00EC0FF2"/>
    <w:rsid w:val="00EC1023"/>
    <w:rsid w:val="00EC1024"/>
    <w:rsid w:val="00EC108C"/>
    <w:rsid w:val="00EC112C"/>
    <w:rsid w:val="00EC126D"/>
    <w:rsid w:val="00EC142D"/>
    <w:rsid w:val="00EC1504"/>
    <w:rsid w:val="00EC15A2"/>
    <w:rsid w:val="00EC1615"/>
    <w:rsid w:val="00EC1675"/>
    <w:rsid w:val="00EC16BC"/>
    <w:rsid w:val="00EC16F2"/>
    <w:rsid w:val="00EC17C8"/>
    <w:rsid w:val="00EC17F2"/>
    <w:rsid w:val="00EC193C"/>
    <w:rsid w:val="00EC1AAE"/>
    <w:rsid w:val="00EC1AC6"/>
    <w:rsid w:val="00EC1B77"/>
    <w:rsid w:val="00EC1BEA"/>
    <w:rsid w:val="00EC1CAA"/>
    <w:rsid w:val="00EC1CBF"/>
    <w:rsid w:val="00EC1DA5"/>
    <w:rsid w:val="00EC1DF0"/>
    <w:rsid w:val="00EC1F0A"/>
    <w:rsid w:val="00EC1F7F"/>
    <w:rsid w:val="00EC1FB9"/>
    <w:rsid w:val="00EC20CE"/>
    <w:rsid w:val="00EC222B"/>
    <w:rsid w:val="00EC22CF"/>
    <w:rsid w:val="00EC232B"/>
    <w:rsid w:val="00EC2339"/>
    <w:rsid w:val="00EC2363"/>
    <w:rsid w:val="00EC2422"/>
    <w:rsid w:val="00EC2527"/>
    <w:rsid w:val="00EC255A"/>
    <w:rsid w:val="00EC263C"/>
    <w:rsid w:val="00EC2711"/>
    <w:rsid w:val="00EC281C"/>
    <w:rsid w:val="00EC284E"/>
    <w:rsid w:val="00EC2876"/>
    <w:rsid w:val="00EC291A"/>
    <w:rsid w:val="00EC292C"/>
    <w:rsid w:val="00EC29B6"/>
    <w:rsid w:val="00EC29E8"/>
    <w:rsid w:val="00EC2A9A"/>
    <w:rsid w:val="00EC2AAF"/>
    <w:rsid w:val="00EC2AF5"/>
    <w:rsid w:val="00EC2BCD"/>
    <w:rsid w:val="00EC2CA1"/>
    <w:rsid w:val="00EC2D37"/>
    <w:rsid w:val="00EC2D8A"/>
    <w:rsid w:val="00EC2DBB"/>
    <w:rsid w:val="00EC2E67"/>
    <w:rsid w:val="00EC2F31"/>
    <w:rsid w:val="00EC2FE6"/>
    <w:rsid w:val="00EC30B4"/>
    <w:rsid w:val="00EC30C6"/>
    <w:rsid w:val="00EC3383"/>
    <w:rsid w:val="00EC339B"/>
    <w:rsid w:val="00EC33D4"/>
    <w:rsid w:val="00EC3414"/>
    <w:rsid w:val="00EC3526"/>
    <w:rsid w:val="00EC354C"/>
    <w:rsid w:val="00EC385B"/>
    <w:rsid w:val="00EC38DD"/>
    <w:rsid w:val="00EC39C5"/>
    <w:rsid w:val="00EC3DC0"/>
    <w:rsid w:val="00EC3DCA"/>
    <w:rsid w:val="00EC3DDF"/>
    <w:rsid w:val="00EC4114"/>
    <w:rsid w:val="00EC4127"/>
    <w:rsid w:val="00EC42BC"/>
    <w:rsid w:val="00EC4484"/>
    <w:rsid w:val="00EC44B3"/>
    <w:rsid w:val="00EC450E"/>
    <w:rsid w:val="00EC45F1"/>
    <w:rsid w:val="00EC45F5"/>
    <w:rsid w:val="00EC461C"/>
    <w:rsid w:val="00EC4622"/>
    <w:rsid w:val="00EC4682"/>
    <w:rsid w:val="00EC4815"/>
    <w:rsid w:val="00EC4893"/>
    <w:rsid w:val="00EC48C2"/>
    <w:rsid w:val="00EC49C8"/>
    <w:rsid w:val="00EC49CC"/>
    <w:rsid w:val="00EC4AF9"/>
    <w:rsid w:val="00EC4B68"/>
    <w:rsid w:val="00EC4B8F"/>
    <w:rsid w:val="00EC4BFC"/>
    <w:rsid w:val="00EC4C47"/>
    <w:rsid w:val="00EC5083"/>
    <w:rsid w:val="00EC50FB"/>
    <w:rsid w:val="00EC51A8"/>
    <w:rsid w:val="00EC51D0"/>
    <w:rsid w:val="00EC51F9"/>
    <w:rsid w:val="00EC52DF"/>
    <w:rsid w:val="00EC5309"/>
    <w:rsid w:val="00EC5334"/>
    <w:rsid w:val="00EC533C"/>
    <w:rsid w:val="00EC53B5"/>
    <w:rsid w:val="00EC53BE"/>
    <w:rsid w:val="00EC542C"/>
    <w:rsid w:val="00EC543E"/>
    <w:rsid w:val="00EC560C"/>
    <w:rsid w:val="00EC56DB"/>
    <w:rsid w:val="00EC5769"/>
    <w:rsid w:val="00EC57BD"/>
    <w:rsid w:val="00EC5810"/>
    <w:rsid w:val="00EC58E8"/>
    <w:rsid w:val="00EC593C"/>
    <w:rsid w:val="00EC5974"/>
    <w:rsid w:val="00EC5AB8"/>
    <w:rsid w:val="00EC5ACA"/>
    <w:rsid w:val="00EC5B93"/>
    <w:rsid w:val="00EC5BEF"/>
    <w:rsid w:val="00EC5C11"/>
    <w:rsid w:val="00EC5CA9"/>
    <w:rsid w:val="00EC5D42"/>
    <w:rsid w:val="00EC5E73"/>
    <w:rsid w:val="00EC5E75"/>
    <w:rsid w:val="00EC5EAC"/>
    <w:rsid w:val="00EC5EE2"/>
    <w:rsid w:val="00EC6086"/>
    <w:rsid w:val="00EC6159"/>
    <w:rsid w:val="00EC6223"/>
    <w:rsid w:val="00EC6323"/>
    <w:rsid w:val="00EC6658"/>
    <w:rsid w:val="00EC669F"/>
    <w:rsid w:val="00EC67BF"/>
    <w:rsid w:val="00EC67C0"/>
    <w:rsid w:val="00EC6976"/>
    <w:rsid w:val="00EC69C3"/>
    <w:rsid w:val="00EC6A85"/>
    <w:rsid w:val="00EC6AC4"/>
    <w:rsid w:val="00EC6ACE"/>
    <w:rsid w:val="00EC6B1D"/>
    <w:rsid w:val="00EC6CC2"/>
    <w:rsid w:val="00EC6EEF"/>
    <w:rsid w:val="00EC6F50"/>
    <w:rsid w:val="00EC7150"/>
    <w:rsid w:val="00EC7191"/>
    <w:rsid w:val="00EC7218"/>
    <w:rsid w:val="00EC72C8"/>
    <w:rsid w:val="00EC739E"/>
    <w:rsid w:val="00EC7571"/>
    <w:rsid w:val="00EC76ED"/>
    <w:rsid w:val="00EC7911"/>
    <w:rsid w:val="00EC7932"/>
    <w:rsid w:val="00EC794E"/>
    <w:rsid w:val="00EC79E0"/>
    <w:rsid w:val="00EC7AB1"/>
    <w:rsid w:val="00EC7AC1"/>
    <w:rsid w:val="00EC7B98"/>
    <w:rsid w:val="00EC7BE3"/>
    <w:rsid w:val="00EC7D3A"/>
    <w:rsid w:val="00EC7D88"/>
    <w:rsid w:val="00EC7ED1"/>
    <w:rsid w:val="00ED0003"/>
    <w:rsid w:val="00ED005E"/>
    <w:rsid w:val="00ED016A"/>
    <w:rsid w:val="00ED02A0"/>
    <w:rsid w:val="00ED02C4"/>
    <w:rsid w:val="00ED039E"/>
    <w:rsid w:val="00ED03FD"/>
    <w:rsid w:val="00ED0545"/>
    <w:rsid w:val="00ED0550"/>
    <w:rsid w:val="00ED0556"/>
    <w:rsid w:val="00ED05B7"/>
    <w:rsid w:val="00ED0603"/>
    <w:rsid w:val="00ED0640"/>
    <w:rsid w:val="00ED069D"/>
    <w:rsid w:val="00ED06B4"/>
    <w:rsid w:val="00ED0820"/>
    <w:rsid w:val="00ED08D4"/>
    <w:rsid w:val="00ED0A55"/>
    <w:rsid w:val="00ED0ADE"/>
    <w:rsid w:val="00ED0B34"/>
    <w:rsid w:val="00ED0CB9"/>
    <w:rsid w:val="00ED0D5C"/>
    <w:rsid w:val="00ED0DA6"/>
    <w:rsid w:val="00ED0E27"/>
    <w:rsid w:val="00ED0E52"/>
    <w:rsid w:val="00ED0F01"/>
    <w:rsid w:val="00ED0F1C"/>
    <w:rsid w:val="00ED101F"/>
    <w:rsid w:val="00ED13AD"/>
    <w:rsid w:val="00ED1492"/>
    <w:rsid w:val="00ED14D4"/>
    <w:rsid w:val="00ED1592"/>
    <w:rsid w:val="00ED1612"/>
    <w:rsid w:val="00ED1751"/>
    <w:rsid w:val="00ED1778"/>
    <w:rsid w:val="00ED17B6"/>
    <w:rsid w:val="00ED17DD"/>
    <w:rsid w:val="00ED17EF"/>
    <w:rsid w:val="00ED1838"/>
    <w:rsid w:val="00ED1850"/>
    <w:rsid w:val="00ED1921"/>
    <w:rsid w:val="00ED1983"/>
    <w:rsid w:val="00ED1A25"/>
    <w:rsid w:val="00ED1A2B"/>
    <w:rsid w:val="00ED1B6E"/>
    <w:rsid w:val="00ED1B7F"/>
    <w:rsid w:val="00ED1BBF"/>
    <w:rsid w:val="00ED1CEB"/>
    <w:rsid w:val="00ED1CF6"/>
    <w:rsid w:val="00ED1D96"/>
    <w:rsid w:val="00ED1E26"/>
    <w:rsid w:val="00ED1E53"/>
    <w:rsid w:val="00ED1EC7"/>
    <w:rsid w:val="00ED1F00"/>
    <w:rsid w:val="00ED1F0B"/>
    <w:rsid w:val="00ED1F1E"/>
    <w:rsid w:val="00ED2086"/>
    <w:rsid w:val="00ED2406"/>
    <w:rsid w:val="00ED243E"/>
    <w:rsid w:val="00ED2468"/>
    <w:rsid w:val="00ED2475"/>
    <w:rsid w:val="00ED24B3"/>
    <w:rsid w:val="00ED2582"/>
    <w:rsid w:val="00ED258C"/>
    <w:rsid w:val="00ED25EE"/>
    <w:rsid w:val="00ED2666"/>
    <w:rsid w:val="00ED2698"/>
    <w:rsid w:val="00ED278C"/>
    <w:rsid w:val="00ED28EE"/>
    <w:rsid w:val="00ED2ADF"/>
    <w:rsid w:val="00ED2B9D"/>
    <w:rsid w:val="00ED2D64"/>
    <w:rsid w:val="00ED2E66"/>
    <w:rsid w:val="00ED2E73"/>
    <w:rsid w:val="00ED310C"/>
    <w:rsid w:val="00ED31FE"/>
    <w:rsid w:val="00ED32A2"/>
    <w:rsid w:val="00ED3308"/>
    <w:rsid w:val="00ED3317"/>
    <w:rsid w:val="00ED3347"/>
    <w:rsid w:val="00ED347E"/>
    <w:rsid w:val="00ED3560"/>
    <w:rsid w:val="00ED368D"/>
    <w:rsid w:val="00ED3720"/>
    <w:rsid w:val="00ED3747"/>
    <w:rsid w:val="00ED374B"/>
    <w:rsid w:val="00ED374F"/>
    <w:rsid w:val="00ED375F"/>
    <w:rsid w:val="00ED3816"/>
    <w:rsid w:val="00ED3906"/>
    <w:rsid w:val="00ED39B1"/>
    <w:rsid w:val="00ED3A1E"/>
    <w:rsid w:val="00ED3AD3"/>
    <w:rsid w:val="00ED3B9F"/>
    <w:rsid w:val="00ED3BE4"/>
    <w:rsid w:val="00ED3ED6"/>
    <w:rsid w:val="00ED3F2A"/>
    <w:rsid w:val="00ED3FEE"/>
    <w:rsid w:val="00ED4052"/>
    <w:rsid w:val="00ED40F5"/>
    <w:rsid w:val="00ED4119"/>
    <w:rsid w:val="00ED431C"/>
    <w:rsid w:val="00ED43EE"/>
    <w:rsid w:val="00ED4545"/>
    <w:rsid w:val="00ED45ED"/>
    <w:rsid w:val="00ED4768"/>
    <w:rsid w:val="00ED4770"/>
    <w:rsid w:val="00ED479C"/>
    <w:rsid w:val="00ED487E"/>
    <w:rsid w:val="00ED48B8"/>
    <w:rsid w:val="00ED4958"/>
    <w:rsid w:val="00ED4A37"/>
    <w:rsid w:val="00ED4A3B"/>
    <w:rsid w:val="00ED4B5A"/>
    <w:rsid w:val="00ED4BB3"/>
    <w:rsid w:val="00ED4D18"/>
    <w:rsid w:val="00ED4D1E"/>
    <w:rsid w:val="00ED4E10"/>
    <w:rsid w:val="00ED4EA0"/>
    <w:rsid w:val="00ED5033"/>
    <w:rsid w:val="00ED5060"/>
    <w:rsid w:val="00ED508E"/>
    <w:rsid w:val="00ED5124"/>
    <w:rsid w:val="00ED514D"/>
    <w:rsid w:val="00ED5237"/>
    <w:rsid w:val="00ED5239"/>
    <w:rsid w:val="00ED52F1"/>
    <w:rsid w:val="00ED5473"/>
    <w:rsid w:val="00ED5492"/>
    <w:rsid w:val="00ED562C"/>
    <w:rsid w:val="00ED563D"/>
    <w:rsid w:val="00ED5681"/>
    <w:rsid w:val="00ED56B9"/>
    <w:rsid w:val="00ED56BB"/>
    <w:rsid w:val="00ED5722"/>
    <w:rsid w:val="00ED5772"/>
    <w:rsid w:val="00ED5787"/>
    <w:rsid w:val="00ED58BD"/>
    <w:rsid w:val="00ED590E"/>
    <w:rsid w:val="00ED59F9"/>
    <w:rsid w:val="00ED5A6F"/>
    <w:rsid w:val="00ED5A7D"/>
    <w:rsid w:val="00ED5B5F"/>
    <w:rsid w:val="00ED5B97"/>
    <w:rsid w:val="00ED5C0D"/>
    <w:rsid w:val="00ED5CE3"/>
    <w:rsid w:val="00ED5D27"/>
    <w:rsid w:val="00ED5D5D"/>
    <w:rsid w:val="00ED5DBB"/>
    <w:rsid w:val="00ED5EC1"/>
    <w:rsid w:val="00ED5F8D"/>
    <w:rsid w:val="00ED60EE"/>
    <w:rsid w:val="00ED6190"/>
    <w:rsid w:val="00ED6217"/>
    <w:rsid w:val="00ED622C"/>
    <w:rsid w:val="00ED625F"/>
    <w:rsid w:val="00ED630D"/>
    <w:rsid w:val="00ED635F"/>
    <w:rsid w:val="00ED63C7"/>
    <w:rsid w:val="00ED63DF"/>
    <w:rsid w:val="00ED643D"/>
    <w:rsid w:val="00ED647E"/>
    <w:rsid w:val="00ED64DE"/>
    <w:rsid w:val="00ED6539"/>
    <w:rsid w:val="00ED656F"/>
    <w:rsid w:val="00ED6658"/>
    <w:rsid w:val="00ED6683"/>
    <w:rsid w:val="00ED6688"/>
    <w:rsid w:val="00ED675F"/>
    <w:rsid w:val="00ED6799"/>
    <w:rsid w:val="00ED683A"/>
    <w:rsid w:val="00ED685C"/>
    <w:rsid w:val="00ED6879"/>
    <w:rsid w:val="00ED6982"/>
    <w:rsid w:val="00ED69D5"/>
    <w:rsid w:val="00ED69E4"/>
    <w:rsid w:val="00ED6A23"/>
    <w:rsid w:val="00ED6A7C"/>
    <w:rsid w:val="00ED6AF4"/>
    <w:rsid w:val="00ED6C80"/>
    <w:rsid w:val="00ED6CA6"/>
    <w:rsid w:val="00ED6E3F"/>
    <w:rsid w:val="00ED7001"/>
    <w:rsid w:val="00ED7039"/>
    <w:rsid w:val="00ED7195"/>
    <w:rsid w:val="00ED71A9"/>
    <w:rsid w:val="00ED71CA"/>
    <w:rsid w:val="00ED7291"/>
    <w:rsid w:val="00ED729F"/>
    <w:rsid w:val="00ED72D4"/>
    <w:rsid w:val="00ED75ED"/>
    <w:rsid w:val="00ED7768"/>
    <w:rsid w:val="00ED7772"/>
    <w:rsid w:val="00ED77F1"/>
    <w:rsid w:val="00ED792A"/>
    <w:rsid w:val="00ED796B"/>
    <w:rsid w:val="00ED7A6E"/>
    <w:rsid w:val="00ED7ABE"/>
    <w:rsid w:val="00ED7AEC"/>
    <w:rsid w:val="00ED7B36"/>
    <w:rsid w:val="00ED7B55"/>
    <w:rsid w:val="00ED7BAC"/>
    <w:rsid w:val="00ED7C3A"/>
    <w:rsid w:val="00ED7CCC"/>
    <w:rsid w:val="00ED7E56"/>
    <w:rsid w:val="00ED7E93"/>
    <w:rsid w:val="00ED7F7D"/>
    <w:rsid w:val="00EE010F"/>
    <w:rsid w:val="00EE020C"/>
    <w:rsid w:val="00EE0270"/>
    <w:rsid w:val="00EE02EB"/>
    <w:rsid w:val="00EE031D"/>
    <w:rsid w:val="00EE034E"/>
    <w:rsid w:val="00EE0385"/>
    <w:rsid w:val="00EE039A"/>
    <w:rsid w:val="00EE0551"/>
    <w:rsid w:val="00EE0622"/>
    <w:rsid w:val="00EE0682"/>
    <w:rsid w:val="00EE06C1"/>
    <w:rsid w:val="00EE07D0"/>
    <w:rsid w:val="00EE0873"/>
    <w:rsid w:val="00EE0883"/>
    <w:rsid w:val="00EE08B5"/>
    <w:rsid w:val="00EE08C1"/>
    <w:rsid w:val="00EE0957"/>
    <w:rsid w:val="00EE0A15"/>
    <w:rsid w:val="00EE0A17"/>
    <w:rsid w:val="00EE0A32"/>
    <w:rsid w:val="00EE0A73"/>
    <w:rsid w:val="00EE0AD4"/>
    <w:rsid w:val="00EE0B0A"/>
    <w:rsid w:val="00EE0B3E"/>
    <w:rsid w:val="00EE0B55"/>
    <w:rsid w:val="00EE0B90"/>
    <w:rsid w:val="00EE0CB9"/>
    <w:rsid w:val="00EE0D7E"/>
    <w:rsid w:val="00EE0DAA"/>
    <w:rsid w:val="00EE0DB9"/>
    <w:rsid w:val="00EE0DE2"/>
    <w:rsid w:val="00EE0E2A"/>
    <w:rsid w:val="00EE0E52"/>
    <w:rsid w:val="00EE0F35"/>
    <w:rsid w:val="00EE0F85"/>
    <w:rsid w:val="00EE11BB"/>
    <w:rsid w:val="00EE1463"/>
    <w:rsid w:val="00EE1508"/>
    <w:rsid w:val="00EE158E"/>
    <w:rsid w:val="00EE159B"/>
    <w:rsid w:val="00EE1670"/>
    <w:rsid w:val="00EE16B8"/>
    <w:rsid w:val="00EE1771"/>
    <w:rsid w:val="00EE17A3"/>
    <w:rsid w:val="00EE18A0"/>
    <w:rsid w:val="00EE18B3"/>
    <w:rsid w:val="00EE197B"/>
    <w:rsid w:val="00EE19BF"/>
    <w:rsid w:val="00EE1AFF"/>
    <w:rsid w:val="00EE1B84"/>
    <w:rsid w:val="00EE1C17"/>
    <w:rsid w:val="00EE1D57"/>
    <w:rsid w:val="00EE1DF1"/>
    <w:rsid w:val="00EE1E3D"/>
    <w:rsid w:val="00EE1E5D"/>
    <w:rsid w:val="00EE1E62"/>
    <w:rsid w:val="00EE1F2E"/>
    <w:rsid w:val="00EE1F62"/>
    <w:rsid w:val="00EE1F6C"/>
    <w:rsid w:val="00EE20CA"/>
    <w:rsid w:val="00EE2217"/>
    <w:rsid w:val="00EE2227"/>
    <w:rsid w:val="00EE227D"/>
    <w:rsid w:val="00EE2396"/>
    <w:rsid w:val="00EE23A6"/>
    <w:rsid w:val="00EE23EA"/>
    <w:rsid w:val="00EE23EE"/>
    <w:rsid w:val="00EE2485"/>
    <w:rsid w:val="00EE2504"/>
    <w:rsid w:val="00EE2546"/>
    <w:rsid w:val="00EE2554"/>
    <w:rsid w:val="00EE260F"/>
    <w:rsid w:val="00EE26DE"/>
    <w:rsid w:val="00EE297D"/>
    <w:rsid w:val="00EE2992"/>
    <w:rsid w:val="00EE2AE7"/>
    <w:rsid w:val="00EE2BB7"/>
    <w:rsid w:val="00EE2C21"/>
    <w:rsid w:val="00EE2CD7"/>
    <w:rsid w:val="00EE2CE7"/>
    <w:rsid w:val="00EE2CE9"/>
    <w:rsid w:val="00EE2D14"/>
    <w:rsid w:val="00EE2D75"/>
    <w:rsid w:val="00EE2EC9"/>
    <w:rsid w:val="00EE2F01"/>
    <w:rsid w:val="00EE2F31"/>
    <w:rsid w:val="00EE2FC4"/>
    <w:rsid w:val="00EE3038"/>
    <w:rsid w:val="00EE32B5"/>
    <w:rsid w:val="00EE32F2"/>
    <w:rsid w:val="00EE335B"/>
    <w:rsid w:val="00EE33A9"/>
    <w:rsid w:val="00EE3456"/>
    <w:rsid w:val="00EE3557"/>
    <w:rsid w:val="00EE3580"/>
    <w:rsid w:val="00EE3591"/>
    <w:rsid w:val="00EE359A"/>
    <w:rsid w:val="00EE37A6"/>
    <w:rsid w:val="00EE3907"/>
    <w:rsid w:val="00EE395D"/>
    <w:rsid w:val="00EE39CF"/>
    <w:rsid w:val="00EE3A8F"/>
    <w:rsid w:val="00EE3C50"/>
    <w:rsid w:val="00EE3DF7"/>
    <w:rsid w:val="00EE3ED9"/>
    <w:rsid w:val="00EE3F68"/>
    <w:rsid w:val="00EE4010"/>
    <w:rsid w:val="00EE403E"/>
    <w:rsid w:val="00EE4097"/>
    <w:rsid w:val="00EE43FB"/>
    <w:rsid w:val="00EE440F"/>
    <w:rsid w:val="00EE4543"/>
    <w:rsid w:val="00EE4733"/>
    <w:rsid w:val="00EE478E"/>
    <w:rsid w:val="00EE4905"/>
    <w:rsid w:val="00EE492C"/>
    <w:rsid w:val="00EE497A"/>
    <w:rsid w:val="00EE4A1A"/>
    <w:rsid w:val="00EE4A1F"/>
    <w:rsid w:val="00EE4ABC"/>
    <w:rsid w:val="00EE4AE3"/>
    <w:rsid w:val="00EE4C00"/>
    <w:rsid w:val="00EE4C83"/>
    <w:rsid w:val="00EE4E36"/>
    <w:rsid w:val="00EE4E53"/>
    <w:rsid w:val="00EE4E56"/>
    <w:rsid w:val="00EE4E65"/>
    <w:rsid w:val="00EE4F2C"/>
    <w:rsid w:val="00EE50A0"/>
    <w:rsid w:val="00EE51FA"/>
    <w:rsid w:val="00EE522D"/>
    <w:rsid w:val="00EE52F5"/>
    <w:rsid w:val="00EE5445"/>
    <w:rsid w:val="00EE5449"/>
    <w:rsid w:val="00EE544A"/>
    <w:rsid w:val="00EE544C"/>
    <w:rsid w:val="00EE54BE"/>
    <w:rsid w:val="00EE5516"/>
    <w:rsid w:val="00EE567F"/>
    <w:rsid w:val="00EE56C0"/>
    <w:rsid w:val="00EE5718"/>
    <w:rsid w:val="00EE578A"/>
    <w:rsid w:val="00EE5804"/>
    <w:rsid w:val="00EE58A0"/>
    <w:rsid w:val="00EE58D7"/>
    <w:rsid w:val="00EE5A26"/>
    <w:rsid w:val="00EE5ACD"/>
    <w:rsid w:val="00EE5B8C"/>
    <w:rsid w:val="00EE5C19"/>
    <w:rsid w:val="00EE5C7A"/>
    <w:rsid w:val="00EE5D76"/>
    <w:rsid w:val="00EE5E0A"/>
    <w:rsid w:val="00EE5E45"/>
    <w:rsid w:val="00EE5EE5"/>
    <w:rsid w:val="00EE5F88"/>
    <w:rsid w:val="00EE5F8B"/>
    <w:rsid w:val="00EE600F"/>
    <w:rsid w:val="00EE6142"/>
    <w:rsid w:val="00EE6331"/>
    <w:rsid w:val="00EE6362"/>
    <w:rsid w:val="00EE640E"/>
    <w:rsid w:val="00EE65AF"/>
    <w:rsid w:val="00EE65B4"/>
    <w:rsid w:val="00EE65D2"/>
    <w:rsid w:val="00EE65D4"/>
    <w:rsid w:val="00EE6617"/>
    <w:rsid w:val="00EE66A9"/>
    <w:rsid w:val="00EE66DC"/>
    <w:rsid w:val="00EE67BF"/>
    <w:rsid w:val="00EE67E3"/>
    <w:rsid w:val="00EE680B"/>
    <w:rsid w:val="00EE6852"/>
    <w:rsid w:val="00EE6855"/>
    <w:rsid w:val="00EE68E6"/>
    <w:rsid w:val="00EE68EB"/>
    <w:rsid w:val="00EE6BCB"/>
    <w:rsid w:val="00EE6C63"/>
    <w:rsid w:val="00EE6C70"/>
    <w:rsid w:val="00EE6C77"/>
    <w:rsid w:val="00EE6E7D"/>
    <w:rsid w:val="00EE6EE9"/>
    <w:rsid w:val="00EE6F58"/>
    <w:rsid w:val="00EE7047"/>
    <w:rsid w:val="00EE7236"/>
    <w:rsid w:val="00EE74FC"/>
    <w:rsid w:val="00EE752E"/>
    <w:rsid w:val="00EE773A"/>
    <w:rsid w:val="00EE7764"/>
    <w:rsid w:val="00EE77A0"/>
    <w:rsid w:val="00EE77AA"/>
    <w:rsid w:val="00EE7849"/>
    <w:rsid w:val="00EE795B"/>
    <w:rsid w:val="00EE79C1"/>
    <w:rsid w:val="00EE7A5B"/>
    <w:rsid w:val="00EE7A6C"/>
    <w:rsid w:val="00EE7AA8"/>
    <w:rsid w:val="00EE7C04"/>
    <w:rsid w:val="00EE7D5C"/>
    <w:rsid w:val="00EE7DBD"/>
    <w:rsid w:val="00EE7DEE"/>
    <w:rsid w:val="00EE7E97"/>
    <w:rsid w:val="00EE7F05"/>
    <w:rsid w:val="00EE7F8C"/>
    <w:rsid w:val="00EE7FE1"/>
    <w:rsid w:val="00EE7FF7"/>
    <w:rsid w:val="00EF01F2"/>
    <w:rsid w:val="00EF05A8"/>
    <w:rsid w:val="00EF05AE"/>
    <w:rsid w:val="00EF0848"/>
    <w:rsid w:val="00EF084A"/>
    <w:rsid w:val="00EF087B"/>
    <w:rsid w:val="00EF0914"/>
    <w:rsid w:val="00EF09DF"/>
    <w:rsid w:val="00EF0A2E"/>
    <w:rsid w:val="00EF0AF3"/>
    <w:rsid w:val="00EF0AFE"/>
    <w:rsid w:val="00EF0B62"/>
    <w:rsid w:val="00EF0B98"/>
    <w:rsid w:val="00EF0D12"/>
    <w:rsid w:val="00EF0E6F"/>
    <w:rsid w:val="00EF0F1B"/>
    <w:rsid w:val="00EF0F24"/>
    <w:rsid w:val="00EF102F"/>
    <w:rsid w:val="00EF106C"/>
    <w:rsid w:val="00EF1186"/>
    <w:rsid w:val="00EF125E"/>
    <w:rsid w:val="00EF12CE"/>
    <w:rsid w:val="00EF13A3"/>
    <w:rsid w:val="00EF1402"/>
    <w:rsid w:val="00EF1449"/>
    <w:rsid w:val="00EF1521"/>
    <w:rsid w:val="00EF15A8"/>
    <w:rsid w:val="00EF1725"/>
    <w:rsid w:val="00EF1782"/>
    <w:rsid w:val="00EF19BE"/>
    <w:rsid w:val="00EF1A91"/>
    <w:rsid w:val="00EF1AB7"/>
    <w:rsid w:val="00EF1BB8"/>
    <w:rsid w:val="00EF1BE1"/>
    <w:rsid w:val="00EF1C87"/>
    <w:rsid w:val="00EF1C99"/>
    <w:rsid w:val="00EF1D6B"/>
    <w:rsid w:val="00EF1DAB"/>
    <w:rsid w:val="00EF1DF7"/>
    <w:rsid w:val="00EF1F0C"/>
    <w:rsid w:val="00EF1F49"/>
    <w:rsid w:val="00EF1F4D"/>
    <w:rsid w:val="00EF1F82"/>
    <w:rsid w:val="00EF1FE5"/>
    <w:rsid w:val="00EF2128"/>
    <w:rsid w:val="00EF22AF"/>
    <w:rsid w:val="00EF232B"/>
    <w:rsid w:val="00EF23DD"/>
    <w:rsid w:val="00EF2482"/>
    <w:rsid w:val="00EF24A4"/>
    <w:rsid w:val="00EF255F"/>
    <w:rsid w:val="00EF2783"/>
    <w:rsid w:val="00EF2801"/>
    <w:rsid w:val="00EF29AA"/>
    <w:rsid w:val="00EF2A3E"/>
    <w:rsid w:val="00EF2BD0"/>
    <w:rsid w:val="00EF2C13"/>
    <w:rsid w:val="00EF2CF2"/>
    <w:rsid w:val="00EF2CF5"/>
    <w:rsid w:val="00EF2D08"/>
    <w:rsid w:val="00EF2DB0"/>
    <w:rsid w:val="00EF2E04"/>
    <w:rsid w:val="00EF2EE6"/>
    <w:rsid w:val="00EF2F03"/>
    <w:rsid w:val="00EF2F5A"/>
    <w:rsid w:val="00EF306F"/>
    <w:rsid w:val="00EF3094"/>
    <w:rsid w:val="00EF3254"/>
    <w:rsid w:val="00EF3262"/>
    <w:rsid w:val="00EF3277"/>
    <w:rsid w:val="00EF328D"/>
    <w:rsid w:val="00EF329E"/>
    <w:rsid w:val="00EF3417"/>
    <w:rsid w:val="00EF35B2"/>
    <w:rsid w:val="00EF35CC"/>
    <w:rsid w:val="00EF35CE"/>
    <w:rsid w:val="00EF3716"/>
    <w:rsid w:val="00EF374E"/>
    <w:rsid w:val="00EF377E"/>
    <w:rsid w:val="00EF37D6"/>
    <w:rsid w:val="00EF39E8"/>
    <w:rsid w:val="00EF3A07"/>
    <w:rsid w:val="00EF3A2E"/>
    <w:rsid w:val="00EF3A7B"/>
    <w:rsid w:val="00EF3BB4"/>
    <w:rsid w:val="00EF3F08"/>
    <w:rsid w:val="00EF3F6E"/>
    <w:rsid w:val="00EF3FE9"/>
    <w:rsid w:val="00EF400B"/>
    <w:rsid w:val="00EF4058"/>
    <w:rsid w:val="00EF4079"/>
    <w:rsid w:val="00EF418B"/>
    <w:rsid w:val="00EF4336"/>
    <w:rsid w:val="00EF4468"/>
    <w:rsid w:val="00EF4558"/>
    <w:rsid w:val="00EF46D0"/>
    <w:rsid w:val="00EF4729"/>
    <w:rsid w:val="00EF4759"/>
    <w:rsid w:val="00EF47F5"/>
    <w:rsid w:val="00EF48F9"/>
    <w:rsid w:val="00EF490D"/>
    <w:rsid w:val="00EF4918"/>
    <w:rsid w:val="00EF4946"/>
    <w:rsid w:val="00EF49F0"/>
    <w:rsid w:val="00EF4AA4"/>
    <w:rsid w:val="00EF4AD3"/>
    <w:rsid w:val="00EF4B6C"/>
    <w:rsid w:val="00EF4BD2"/>
    <w:rsid w:val="00EF4C7F"/>
    <w:rsid w:val="00EF4DC4"/>
    <w:rsid w:val="00EF4DC8"/>
    <w:rsid w:val="00EF4E1C"/>
    <w:rsid w:val="00EF4E36"/>
    <w:rsid w:val="00EF4F22"/>
    <w:rsid w:val="00EF5021"/>
    <w:rsid w:val="00EF5058"/>
    <w:rsid w:val="00EF508E"/>
    <w:rsid w:val="00EF50B7"/>
    <w:rsid w:val="00EF533A"/>
    <w:rsid w:val="00EF5378"/>
    <w:rsid w:val="00EF5459"/>
    <w:rsid w:val="00EF5617"/>
    <w:rsid w:val="00EF56AF"/>
    <w:rsid w:val="00EF578F"/>
    <w:rsid w:val="00EF5795"/>
    <w:rsid w:val="00EF57DA"/>
    <w:rsid w:val="00EF57E1"/>
    <w:rsid w:val="00EF5849"/>
    <w:rsid w:val="00EF585B"/>
    <w:rsid w:val="00EF5942"/>
    <w:rsid w:val="00EF5968"/>
    <w:rsid w:val="00EF5A0A"/>
    <w:rsid w:val="00EF5A65"/>
    <w:rsid w:val="00EF5BBD"/>
    <w:rsid w:val="00EF5D78"/>
    <w:rsid w:val="00EF5E09"/>
    <w:rsid w:val="00EF5E2E"/>
    <w:rsid w:val="00EF5F12"/>
    <w:rsid w:val="00EF5F26"/>
    <w:rsid w:val="00EF5F2B"/>
    <w:rsid w:val="00EF6008"/>
    <w:rsid w:val="00EF6016"/>
    <w:rsid w:val="00EF6115"/>
    <w:rsid w:val="00EF6183"/>
    <w:rsid w:val="00EF6193"/>
    <w:rsid w:val="00EF629B"/>
    <w:rsid w:val="00EF62D3"/>
    <w:rsid w:val="00EF63DA"/>
    <w:rsid w:val="00EF63FA"/>
    <w:rsid w:val="00EF64D7"/>
    <w:rsid w:val="00EF64EF"/>
    <w:rsid w:val="00EF65F4"/>
    <w:rsid w:val="00EF65F9"/>
    <w:rsid w:val="00EF660C"/>
    <w:rsid w:val="00EF66C7"/>
    <w:rsid w:val="00EF66EB"/>
    <w:rsid w:val="00EF676A"/>
    <w:rsid w:val="00EF67BB"/>
    <w:rsid w:val="00EF6A49"/>
    <w:rsid w:val="00EF6A81"/>
    <w:rsid w:val="00EF6B24"/>
    <w:rsid w:val="00EF6B5C"/>
    <w:rsid w:val="00EF6B82"/>
    <w:rsid w:val="00EF6BC9"/>
    <w:rsid w:val="00EF6C2B"/>
    <w:rsid w:val="00EF6CFE"/>
    <w:rsid w:val="00EF6DA1"/>
    <w:rsid w:val="00EF7074"/>
    <w:rsid w:val="00EF707F"/>
    <w:rsid w:val="00EF70A9"/>
    <w:rsid w:val="00EF70F2"/>
    <w:rsid w:val="00EF7179"/>
    <w:rsid w:val="00EF71F2"/>
    <w:rsid w:val="00EF72AE"/>
    <w:rsid w:val="00EF72BE"/>
    <w:rsid w:val="00EF740E"/>
    <w:rsid w:val="00EF74AC"/>
    <w:rsid w:val="00EF74BB"/>
    <w:rsid w:val="00EF754B"/>
    <w:rsid w:val="00EF7552"/>
    <w:rsid w:val="00EF75A8"/>
    <w:rsid w:val="00EF75B7"/>
    <w:rsid w:val="00EF7690"/>
    <w:rsid w:val="00EF76A8"/>
    <w:rsid w:val="00EF76BE"/>
    <w:rsid w:val="00EF779A"/>
    <w:rsid w:val="00EF77B8"/>
    <w:rsid w:val="00EF7844"/>
    <w:rsid w:val="00EF7914"/>
    <w:rsid w:val="00EF79A8"/>
    <w:rsid w:val="00EF79D8"/>
    <w:rsid w:val="00EF7B13"/>
    <w:rsid w:val="00EF7C41"/>
    <w:rsid w:val="00EF7C56"/>
    <w:rsid w:val="00EF7E14"/>
    <w:rsid w:val="00EF7EB2"/>
    <w:rsid w:val="00EF7F1F"/>
    <w:rsid w:val="00EF7F93"/>
    <w:rsid w:val="00EF7FA7"/>
    <w:rsid w:val="00F000C5"/>
    <w:rsid w:val="00F0012A"/>
    <w:rsid w:val="00F00133"/>
    <w:rsid w:val="00F00265"/>
    <w:rsid w:val="00F00289"/>
    <w:rsid w:val="00F002AB"/>
    <w:rsid w:val="00F00357"/>
    <w:rsid w:val="00F00370"/>
    <w:rsid w:val="00F00375"/>
    <w:rsid w:val="00F00384"/>
    <w:rsid w:val="00F004C6"/>
    <w:rsid w:val="00F004F6"/>
    <w:rsid w:val="00F00595"/>
    <w:rsid w:val="00F0063A"/>
    <w:rsid w:val="00F00654"/>
    <w:rsid w:val="00F00680"/>
    <w:rsid w:val="00F0069F"/>
    <w:rsid w:val="00F00815"/>
    <w:rsid w:val="00F00877"/>
    <w:rsid w:val="00F0096B"/>
    <w:rsid w:val="00F00A43"/>
    <w:rsid w:val="00F00A67"/>
    <w:rsid w:val="00F00AF0"/>
    <w:rsid w:val="00F00B40"/>
    <w:rsid w:val="00F00B70"/>
    <w:rsid w:val="00F00BB3"/>
    <w:rsid w:val="00F00C0C"/>
    <w:rsid w:val="00F00C59"/>
    <w:rsid w:val="00F00C5B"/>
    <w:rsid w:val="00F00D41"/>
    <w:rsid w:val="00F00E3A"/>
    <w:rsid w:val="00F00F65"/>
    <w:rsid w:val="00F00FB9"/>
    <w:rsid w:val="00F00FE0"/>
    <w:rsid w:val="00F01059"/>
    <w:rsid w:val="00F01197"/>
    <w:rsid w:val="00F011F7"/>
    <w:rsid w:val="00F01217"/>
    <w:rsid w:val="00F01355"/>
    <w:rsid w:val="00F01593"/>
    <w:rsid w:val="00F015DC"/>
    <w:rsid w:val="00F0161C"/>
    <w:rsid w:val="00F01665"/>
    <w:rsid w:val="00F01674"/>
    <w:rsid w:val="00F016FE"/>
    <w:rsid w:val="00F01756"/>
    <w:rsid w:val="00F0176B"/>
    <w:rsid w:val="00F017D2"/>
    <w:rsid w:val="00F01861"/>
    <w:rsid w:val="00F0188E"/>
    <w:rsid w:val="00F0199B"/>
    <w:rsid w:val="00F019BF"/>
    <w:rsid w:val="00F019D2"/>
    <w:rsid w:val="00F019E2"/>
    <w:rsid w:val="00F01A56"/>
    <w:rsid w:val="00F01B1B"/>
    <w:rsid w:val="00F01C73"/>
    <w:rsid w:val="00F01D1D"/>
    <w:rsid w:val="00F01DB0"/>
    <w:rsid w:val="00F01DFE"/>
    <w:rsid w:val="00F01E4D"/>
    <w:rsid w:val="00F0202B"/>
    <w:rsid w:val="00F0205E"/>
    <w:rsid w:val="00F0209E"/>
    <w:rsid w:val="00F0210A"/>
    <w:rsid w:val="00F02172"/>
    <w:rsid w:val="00F02244"/>
    <w:rsid w:val="00F02269"/>
    <w:rsid w:val="00F022B3"/>
    <w:rsid w:val="00F02314"/>
    <w:rsid w:val="00F02352"/>
    <w:rsid w:val="00F0247C"/>
    <w:rsid w:val="00F024E1"/>
    <w:rsid w:val="00F025B8"/>
    <w:rsid w:val="00F02608"/>
    <w:rsid w:val="00F0260B"/>
    <w:rsid w:val="00F0261B"/>
    <w:rsid w:val="00F0261C"/>
    <w:rsid w:val="00F0263B"/>
    <w:rsid w:val="00F026F3"/>
    <w:rsid w:val="00F0274C"/>
    <w:rsid w:val="00F0277A"/>
    <w:rsid w:val="00F0292D"/>
    <w:rsid w:val="00F0296E"/>
    <w:rsid w:val="00F029CF"/>
    <w:rsid w:val="00F029DA"/>
    <w:rsid w:val="00F029E5"/>
    <w:rsid w:val="00F02AF4"/>
    <w:rsid w:val="00F02B4C"/>
    <w:rsid w:val="00F02C0C"/>
    <w:rsid w:val="00F02D06"/>
    <w:rsid w:val="00F02D9F"/>
    <w:rsid w:val="00F02E49"/>
    <w:rsid w:val="00F02E59"/>
    <w:rsid w:val="00F02E90"/>
    <w:rsid w:val="00F02ED8"/>
    <w:rsid w:val="00F02F92"/>
    <w:rsid w:val="00F02FE8"/>
    <w:rsid w:val="00F03023"/>
    <w:rsid w:val="00F03270"/>
    <w:rsid w:val="00F03297"/>
    <w:rsid w:val="00F032C4"/>
    <w:rsid w:val="00F032C6"/>
    <w:rsid w:val="00F03410"/>
    <w:rsid w:val="00F034CF"/>
    <w:rsid w:val="00F03582"/>
    <w:rsid w:val="00F0359A"/>
    <w:rsid w:val="00F036C2"/>
    <w:rsid w:val="00F037A7"/>
    <w:rsid w:val="00F03833"/>
    <w:rsid w:val="00F03875"/>
    <w:rsid w:val="00F038B5"/>
    <w:rsid w:val="00F038DA"/>
    <w:rsid w:val="00F038EF"/>
    <w:rsid w:val="00F038F7"/>
    <w:rsid w:val="00F0398B"/>
    <w:rsid w:val="00F03A02"/>
    <w:rsid w:val="00F03A51"/>
    <w:rsid w:val="00F03A78"/>
    <w:rsid w:val="00F03B96"/>
    <w:rsid w:val="00F03BFB"/>
    <w:rsid w:val="00F03CE5"/>
    <w:rsid w:val="00F03CEE"/>
    <w:rsid w:val="00F03D9F"/>
    <w:rsid w:val="00F0405F"/>
    <w:rsid w:val="00F04180"/>
    <w:rsid w:val="00F0425F"/>
    <w:rsid w:val="00F04266"/>
    <w:rsid w:val="00F042B2"/>
    <w:rsid w:val="00F04362"/>
    <w:rsid w:val="00F04385"/>
    <w:rsid w:val="00F043A6"/>
    <w:rsid w:val="00F043D7"/>
    <w:rsid w:val="00F044CE"/>
    <w:rsid w:val="00F045F5"/>
    <w:rsid w:val="00F04664"/>
    <w:rsid w:val="00F0468C"/>
    <w:rsid w:val="00F046A7"/>
    <w:rsid w:val="00F0474A"/>
    <w:rsid w:val="00F0474D"/>
    <w:rsid w:val="00F04758"/>
    <w:rsid w:val="00F047EE"/>
    <w:rsid w:val="00F0498D"/>
    <w:rsid w:val="00F049B6"/>
    <w:rsid w:val="00F049D1"/>
    <w:rsid w:val="00F04A1E"/>
    <w:rsid w:val="00F04BDF"/>
    <w:rsid w:val="00F04C28"/>
    <w:rsid w:val="00F04C29"/>
    <w:rsid w:val="00F04C40"/>
    <w:rsid w:val="00F04CC3"/>
    <w:rsid w:val="00F04D58"/>
    <w:rsid w:val="00F04DE4"/>
    <w:rsid w:val="00F04F63"/>
    <w:rsid w:val="00F04FF3"/>
    <w:rsid w:val="00F05026"/>
    <w:rsid w:val="00F05245"/>
    <w:rsid w:val="00F0528E"/>
    <w:rsid w:val="00F0528F"/>
    <w:rsid w:val="00F052E3"/>
    <w:rsid w:val="00F052F3"/>
    <w:rsid w:val="00F0538C"/>
    <w:rsid w:val="00F054D6"/>
    <w:rsid w:val="00F0557E"/>
    <w:rsid w:val="00F055DE"/>
    <w:rsid w:val="00F05614"/>
    <w:rsid w:val="00F0578F"/>
    <w:rsid w:val="00F058E7"/>
    <w:rsid w:val="00F059F9"/>
    <w:rsid w:val="00F05B40"/>
    <w:rsid w:val="00F05B7F"/>
    <w:rsid w:val="00F05BAD"/>
    <w:rsid w:val="00F05BCB"/>
    <w:rsid w:val="00F05C7D"/>
    <w:rsid w:val="00F05F8D"/>
    <w:rsid w:val="00F05FB4"/>
    <w:rsid w:val="00F05FEC"/>
    <w:rsid w:val="00F06137"/>
    <w:rsid w:val="00F061FB"/>
    <w:rsid w:val="00F0621D"/>
    <w:rsid w:val="00F062C7"/>
    <w:rsid w:val="00F06353"/>
    <w:rsid w:val="00F06444"/>
    <w:rsid w:val="00F06530"/>
    <w:rsid w:val="00F0653D"/>
    <w:rsid w:val="00F0654C"/>
    <w:rsid w:val="00F065B2"/>
    <w:rsid w:val="00F0661C"/>
    <w:rsid w:val="00F0687B"/>
    <w:rsid w:val="00F06945"/>
    <w:rsid w:val="00F0696B"/>
    <w:rsid w:val="00F0699E"/>
    <w:rsid w:val="00F06CD2"/>
    <w:rsid w:val="00F06D1F"/>
    <w:rsid w:val="00F06E7B"/>
    <w:rsid w:val="00F06F06"/>
    <w:rsid w:val="00F06F9D"/>
    <w:rsid w:val="00F06FD5"/>
    <w:rsid w:val="00F06FEC"/>
    <w:rsid w:val="00F06FF0"/>
    <w:rsid w:val="00F07239"/>
    <w:rsid w:val="00F0724A"/>
    <w:rsid w:val="00F0724E"/>
    <w:rsid w:val="00F07319"/>
    <w:rsid w:val="00F07325"/>
    <w:rsid w:val="00F07380"/>
    <w:rsid w:val="00F0738C"/>
    <w:rsid w:val="00F07415"/>
    <w:rsid w:val="00F0748B"/>
    <w:rsid w:val="00F075C7"/>
    <w:rsid w:val="00F0767F"/>
    <w:rsid w:val="00F076E2"/>
    <w:rsid w:val="00F077AF"/>
    <w:rsid w:val="00F077E8"/>
    <w:rsid w:val="00F07862"/>
    <w:rsid w:val="00F0796D"/>
    <w:rsid w:val="00F079E9"/>
    <w:rsid w:val="00F07A1F"/>
    <w:rsid w:val="00F07B70"/>
    <w:rsid w:val="00F07B87"/>
    <w:rsid w:val="00F07C2C"/>
    <w:rsid w:val="00F07D3C"/>
    <w:rsid w:val="00F07E31"/>
    <w:rsid w:val="00F07F7F"/>
    <w:rsid w:val="00F10015"/>
    <w:rsid w:val="00F10023"/>
    <w:rsid w:val="00F100D2"/>
    <w:rsid w:val="00F100E0"/>
    <w:rsid w:val="00F10137"/>
    <w:rsid w:val="00F102E6"/>
    <w:rsid w:val="00F102F1"/>
    <w:rsid w:val="00F10331"/>
    <w:rsid w:val="00F10346"/>
    <w:rsid w:val="00F10475"/>
    <w:rsid w:val="00F104D7"/>
    <w:rsid w:val="00F1059B"/>
    <w:rsid w:val="00F1064C"/>
    <w:rsid w:val="00F106D2"/>
    <w:rsid w:val="00F106EA"/>
    <w:rsid w:val="00F1079D"/>
    <w:rsid w:val="00F10885"/>
    <w:rsid w:val="00F109BD"/>
    <w:rsid w:val="00F109D2"/>
    <w:rsid w:val="00F10A53"/>
    <w:rsid w:val="00F10A94"/>
    <w:rsid w:val="00F10B09"/>
    <w:rsid w:val="00F10B8C"/>
    <w:rsid w:val="00F10BA1"/>
    <w:rsid w:val="00F10BFC"/>
    <w:rsid w:val="00F10D8A"/>
    <w:rsid w:val="00F10DBA"/>
    <w:rsid w:val="00F10DE5"/>
    <w:rsid w:val="00F10E24"/>
    <w:rsid w:val="00F10E86"/>
    <w:rsid w:val="00F10EC4"/>
    <w:rsid w:val="00F10F77"/>
    <w:rsid w:val="00F1104F"/>
    <w:rsid w:val="00F11061"/>
    <w:rsid w:val="00F110E9"/>
    <w:rsid w:val="00F1111C"/>
    <w:rsid w:val="00F1112A"/>
    <w:rsid w:val="00F111D3"/>
    <w:rsid w:val="00F11237"/>
    <w:rsid w:val="00F1125E"/>
    <w:rsid w:val="00F1128E"/>
    <w:rsid w:val="00F112B6"/>
    <w:rsid w:val="00F112DD"/>
    <w:rsid w:val="00F11315"/>
    <w:rsid w:val="00F1133C"/>
    <w:rsid w:val="00F11363"/>
    <w:rsid w:val="00F11387"/>
    <w:rsid w:val="00F11700"/>
    <w:rsid w:val="00F11762"/>
    <w:rsid w:val="00F11836"/>
    <w:rsid w:val="00F1188E"/>
    <w:rsid w:val="00F118E4"/>
    <w:rsid w:val="00F1195E"/>
    <w:rsid w:val="00F119C7"/>
    <w:rsid w:val="00F11A4E"/>
    <w:rsid w:val="00F11B9A"/>
    <w:rsid w:val="00F11C20"/>
    <w:rsid w:val="00F11EA4"/>
    <w:rsid w:val="00F11F58"/>
    <w:rsid w:val="00F12072"/>
    <w:rsid w:val="00F121B1"/>
    <w:rsid w:val="00F121B4"/>
    <w:rsid w:val="00F123AD"/>
    <w:rsid w:val="00F12428"/>
    <w:rsid w:val="00F12432"/>
    <w:rsid w:val="00F12479"/>
    <w:rsid w:val="00F12484"/>
    <w:rsid w:val="00F1248A"/>
    <w:rsid w:val="00F12555"/>
    <w:rsid w:val="00F12575"/>
    <w:rsid w:val="00F125D9"/>
    <w:rsid w:val="00F1263F"/>
    <w:rsid w:val="00F126F6"/>
    <w:rsid w:val="00F1273B"/>
    <w:rsid w:val="00F12756"/>
    <w:rsid w:val="00F12A08"/>
    <w:rsid w:val="00F12A3B"/>
    <w:rsid w:val="00F12A83"/>
    <w:rsid w:val="00F12A95"/>
    <w:rsid w:val="00F12AAA"/>
    <w:rsid w:val="00F12AF1"/>
    <w:rsid w:val="00F12B53"/>
    <w:rsid w:val="00F12BC6"/>
    <w:rsid w:val="00F12C70"/>
    <w:rsid w:val="00F12D15"/>
    <w:rsid w:val="00F12DC7"/>
    <w:rsid w:val="00F12DCF"/>
    <w:rsid w:val="00F13084"/>
    <w:rsid w:val="00F130CA"/>
    <w:rsid w:val="00F1310A"/>
    <w:rsid w:val="00F131F7"/>
    <w:rsid w:val="00F132B0"/>
    <w:rsid w:val="00F132C4"/>
    <w:rsid w:val="00F133F2"/>
    <w:rsid w:val="00F134C6"/>
    <w:rsid w:val="00F135CD"/>
    <w:rsid w:val="00F135D7"/>
    <w:rsid w:val="00F136F4"/>
    <w:rsid w:val="00F13768"/>
    <w:rsid w:val="00F1379C"/>
    <w:rsid w:val="00F139C5"/>
    <w:rsid w:val="00F13A13"/>
    <w:rsid w:val="00F13A34"/>
    <w:rsid w:val="00F13A3A"/>
    <w:rsid w:val="00F13A5D"/>
    <w:rsid w:val="00F13C15"/>
    <w:rsid w:val="00F13D53"/>
    <w:rsid w:val="00F13DDF"/>
    <w:rsid w:val="00F13F1C"/>
    <w:rsid w:val="00F1405E"/>
    <w:rsid w:val="00F14091"/>
    <w:rsid w:val="00F14145"/>
    <w:rsid w:val="00F14157"/>
    <w:rsid w:val="00F14158"/>
    <w:rsid w:val="00F1415E"/>
    <w:rsid w:val="00F1417C"/>
    <w:rsid w:val="00F141EF"/>
    <w:rsid w:val="00F1427A"/>
    <w:rsid w:val="00F142A4"/>
    <w:rsid w:val="00F1433F"/>
    <w:rsid w:val="00F1451B"/>
    <w:rsid w:val="00F1451C"/>
    <w:rsid w:val="00F14552"/>
    <w:rsid w:val="00F147B1"/>
    <w:rsid w:val="00F14879"/>
    <w:rsid w:val="00F148D8"/>
    <w:rsid w:val="00F149C4"/>
    <w:rsid w:val="00F14A22"/>
    <w:rsid w:val="00F14B2A"/>
    <w:rsid w:val="00F14BD5"/>
    <w:rsid w:val="00F14C28"/>
    <w:rsid w:val="00F14CA0"/>
    <w:rsid w:val="00F14D02"/>
    <w:rsid w:val="00F14ECC"/>
    <w:rsid w:val="00F14F2C"/>
    <w:rsid w:val="00F15014"/>
    <w:rsid w:val="00F15067"/>
    <w:rsid w:val="00F15093"/>
    <w:rsid w:val="00F150D9"/>
    <w:rsid w:val="00F1514E"/>
    <w:rsid w:val="00F15179"/>
    <w:rsid w:val="00F1518E"/>
    <w:rsid w:val="00F152C2"/>
    <w:rsid w:val="00F153B6"/>
    <w:rsid w:val="00F153C6"/>
    <w:rsid w:val="00F15480"/>
    <w:rsid w:val="00F155BC"/>
    <w:rsid w:val="00F156AD"/>
    <w:rsid w:val="00F15727"/>
    <w:rsid w:val="00F15786"/>
    <w:rsid w:val="00F1578F"/>
    <w:rsid w:val="00F1589C"/>
    <w:rsid w:val="00F158CF"/>
    <w:rsid w:val="00F15991"/>
    <w:rsid w:val="00F15A09"/>
    <w:rsid w:val="00F15BBB"/>
    <w:rsid w:val="00F15C6E"/>
    <w:rsid w:val="00F15CAF"/>
    <w:rsid w:val="00F15CFA"/>
    <w:rsid w:val="00F15DBC"/>
    <w:rsid w:val="00F15DC2"/>
    <w:rsid w:val="00F15DE2"/>
    <w:rsid w:val="00F15E23"/>
    <w:rsid w:val="00F15E2B"/>
    <w:rsid w:val="00F15F08"/>
    <w:rsid w:val="00F16007"/>
    <w:rsid w:val="00F160C1"/>
    <w:rsid w:val="00F16302"/>
    <w:rsid w:val="00F16332"/>
    <w:rsid w:val="00F163FD"/>
    <w:rsid w:val="00F16487"/>
    <w:rsid w:val="00F16555"/>
    <w:rsid w:val="00F16605"/>
    <w:rsid w:val="00F16646"/>
    <w:rsid w:val="00F166A3"/>
    <w:rsid w:val="00F1674A"/>
    <w:rsid w:val="00F16774"/>
    <w:rsid w:val="00F1677E"/>
    <w:rsid w:val="00F167E5"/>
    <w:rsid w:val="00F168AE"/>
    <w:rsid w:val="00F16926"/>
    <w:rsid w:val="00F169B7"/>
    <w:rsid w:val="00F16A55"/>
    <w:rsid w:val="00F16AC0"/>
    <w:rsid w:val="00F16BF1"/>
    <w:rsid w:val="00F16D37"/>
    <w:rsid w:val="00F16D41"/>
    <w:rsid w:val="00F16D44"/>
    <w:rsid w:val="00F16ED9"/>
    <w:rsid w:val="00F16FCA"/>
    <w:rsid w:val="00F170C4"/>
    <w:rsid w:val="00F17104"/>
    <w:rsid w:val="00F171FB"/>
    <w:rsid w:val="00F17225"/>
    <w:rsid w:val="00F17312"/>
    <w:rsid w:val="00F173D0"/>
    <w:rsid w:val="00F17459"/>
    <w:rsid w:val="00F17474"/>
    <w:rsid w:val="00F1747D"/>
    <w:rsid w:val="00F17583"/>
    <w:rsid w:val="00F17728"/>
    <w:rsid w:val="00F17772"/>
    <w:rsid w:val="00F178F8"/>
    <w:rsid w:val="00F17950"/>
    <w:rsid w:val="00F17B1D"/>
    <w:rsid w:val="00F17BBF"/>
    <w:rsid w:val="00F17CDD"/>
    <w:rsid w:val="00F17D0C"/>
    <w:rsid w:val="00F17F47"/>
    <w:rsid w:val="00F17FF8"/>
    <w:rsid w:val="00F20036"/>
    <w:rsid w:val="00F2008F"/>
    <w:rsid w:val="00F200F1"/>
    <w:rsid w:val="00F2012A"/>
    <w:rsid w:val="00F20131"/>
    <w:rsid w:val="00F20135"/>
    <w:rsid w:val="00F201A9"/>
    <w:rsid w:val="00F20214"/>
    <w:rsid w:val="00F20266"/>
    <w:rsid w:val="00F2027A"/>
    <w:rsid w:val="00F20345"/>
    <w:rsid w:val="00F20387"/>
    <w:rsid w:val="00F20439"/>
    <w:rsid w:val="00F20514"/>
    <w:rsid w:val="00F20680"/>
    <w:rsid w:val="00F20750"/>
    <w:rsid w:val="00F207AB"/>
    <w:rsid w:val="00F2087D"/>
    <w:rsid w:val="00F208BF"/>
    <w:rsid w:val="00F20921"/>
    <w:rsid w:val="00F2098B"/>
    <w:rsid w:val="00F20BA5"/>
    <w:rsid w:val="00F20C64"/>
    <w:rsid w:val="00F20D3A"/>
    <w:rsid w:val="00F20E6A"/>
    <w:rsid w:val="00F21031"/>
    <w:rsid w:val="00F2105C"/>
    <w:rsid w:val="00F21142"/>
    <w:rsid w:val="00F211E3"/>
    <w:rsid w:val="00F211F2"/>
    <w:rsid w:val="00F21229"/>
    <w:rsid w:val="00F212D2"/>
    <w:rsid w:val="00F212FA"/>
    <w:rsid w:val="00F212FE"/>
    <w:rsid w:val="00F213B4"/>
    <w:rsid w:val="00F21403"/>
    <w:rsid w:val="00F21439"/>
    <w:rsid w:val="00F21470"/>
    <w:rsid w:val="00F2147E"/>
    <w:rsid w:val="00F214C2"/>
    <w:rsid w:val="00F215B3"/>
    <w:rsid w:val="00F21658"/>
    <w:rsid w:val="00F216A6"/>
    <w:rsid w:val="00F21745"/>
    <w:rsid w:val="00F218F2"/>
    <w:rsid w:val="00F21956"/>
    <w:rsid w:val="00F21964"/>
    <w:rsid w:val="00F219FC"/>
    <w:rsid w:val="00F21A1B"/>
    <w:rsid w:val="00F21C8E"/>
    <w:rsid w:val="00F21E20"/>
    <w:rsid w:val="00F21FE4"/>
    <w:rsid w:val="00F22087"/>
    <w:rsid w:val="00F222E9"/>
    <w:rsid w:val="00F22394"/>
    <w:rsid w:val="00F22471"/>
    <w:rsid w:val="00F22474"/>
    <w:rsid w:val="00F224E2"/>
    <w:rsid w:val="00F224F7"/>
    <w:rsid w:val="00F22501"/>
    <w:rsid w:val="00F22534"/>
    <w:rsid w:val="00F22577"/>
    <w:rsid w:val="00F225E0"/>
    <w:rsid w:val="00F225E9"/>
    <w:rsid w:val="00F22642"/>
    <w:rsid w:val="00F2268C"/>
    <w:rsid w:val="00F226D7"/>
    <w:rsid w:val="00F2277A"/>
    <w:rsid w:val="00F227A3"/>
    <w:rsid w:val="00F22954"/>
    <w:rsid w:val="00F22971"/>
    <w:rsid w:val="00F22A83"/>
    <w:rsid w:val="00F22AA2"/>
    <w:rsid w:val="00F22ABA"/>
    <w:rsid w:val="00F22ADE"/>
    <w:rsid w:val="00F22C23"/>
    <w:rsid w:val="00F22C75"/>
    <w:rsid w:val="00F22CB9"/>
    <w:rsid w:val="00F22D9D"/>
    <w:rsid w:val="00F22E05"/>
    <w:rsid w:val="00F22E22"/>
    <w:rsid w:val="00F22ED9"/>
    <w:rsid w:val="00F23035"/>
    <w:rsid w:val="00F2318F"/>
    <w:rsid w:val="00F231CD"/>
    <w:rsid w:val="00F231E8"/>
    <w:rsid w:val="00F234EC"/>
    <w:rsid w:val="00F2354C"/>
    <w:rsid w:val="00F23648"/>
    <w:rsid w:val="00F2367C"/>
    <w:rsid w:val="00F236F0"/>
    <w:rsid w:val="00F2376E"/>
    <w:rsid w:val="00F2380A"/>
    <w:rsid w:val="00F238FF"/>
    <w:rsid w:val="00F23944"/>
    <w:rsid w:val="00F23A02"/>
    <w:rsid w:val="00F23A26"/>
    <w:rsid w:val="00F23B19"/>
    <w:rsid w:val="00F23BA0"/>
    <w:rsid w:val="00F23BE1"/>
    <w:rsid w:val="00F23D12"/>
    <w:rsid w:val="00F23D26"/>
    <w:rsid w:val="00F23E03"/>
    <w:rsid w:val="00F24076"/>
    <w:rsid w:val="00F2413C"/>
    <w:rsid w:val="00F241B0"/>
    <w:rsid w:val="00F241E4"/>
    <w:rsid w:val="00F24249"/>
    <w:rsid w:val="00F242E6"/>
    <w:rsid w:val="00F243B6"/>
    <w:rsid w:val="00F244A1"/>
    <w:rsid w:val="00F24524"/>
    <w:rsid w:val="00F24526"/>
    <w:rsid w:val="00F245B2"/>
    <w:rsid w:val="00F24602"/>
    <w:rsid w:val="00F246A5"/>
    <w:rsid w:val="00F2473C"/>
    <w:rsid w:val="00F2473F"/>
    <w:rsid w:val="00F24B6E"/>
    <w:rsid w:val="00F24B85"/>
    <w:rsid w:val="00F24C0C"/>
    <w:rsid w:val="00F24C28"/>
    <w:rsid w:val="00F24C30"/>
    <w:rsid w:val="00F24C7D"/>
    <w:rsid w:val="00F24E10"/>
    <w:rsid w:val="00F24E52"/>
    <w:rsid w:val="00F24E70"/>
    <w:rsid w:val="00F24EBA"/>
    <w:rsid w:val="00F24F6F"/>
    <w:rsid w:val="00F25033"/>
    <w:rsid w:val="00F25078"/>
    <w:rsid w:val="00F2511D"/>
    <w:rsid w:val="00F254E9"/>
    <w:rsid w:val="00F25569"/>
    <w:rsid w:val="00F25573"/>
    <w:rsid w:val="00F25615"/>
    <w:rsid w:val="00F25678"/>
    <w:rsid w:val="00F2581A"/>
    <w:rsid w:val="00F258AB"/>
    <w:rsid w:val="00F25964"/>
    <w:rsid w:val="00F259D8"/>
    <w:rsid w:val="00F25A7B"/>
    <w:rsid w:val="00F25AB2"/>
    <w:rsid w:val="00F25B6E"/>
    <w:rsid w:val="00F25D31"/>
    <w:rsid w:val="00F25D36"/>
    <w:rsid w:val="00F25D8F"/>
    <w:rsid w:val="00F25DD7"/>
    <w:rsid w:val="00F25DE7"/>
    <w:rsid w:val="00F25E3C"/>
    <w:rsid w:val="00F25F7A"/>
    <w:rsid w:val="00F25F7E"/>
    <w:rsid w:val="00F25FB3"/>
    <w:rsid w:val="00F25FD6"/>
    <w:rsid w:val="00F25FF2"/>
    <w:rsid w:val="00F2606E"/>
    <w:rsid w:val="00F262A1"/>
    <w:rsid w:val="00F2645D"/>
    <w:rsid w:val="00F26484"/>
    <w:rsid w:val="00F264FE"/>
    <w:rsid w:val="00F265C3"/>
    <w:rsid w:val="00F265F3"/>
    <w:rsid w:val="00F26633"/>
    <w:rsid w:val="00F267CA"/>
    <w:rsid w:val="00F2685E"/>
    <w:rsid w:val="00F26886"/>
    <w:rsid w:val="00F268B6"/>
    <w:rsid w:val="00F26963"/>
    <w:rsid w:val="00F26977"/>
    <w:rsid w:val="00F2699D"/>
    <w:rsid w:val="00F269C2"/>
    <w:rsid w:val="00F269F0"/>
    <w:rsid w:val="00F26A0A"/>
    <w:rsid w:val="00F26C10"/>
    <w:rsid w:val="00F26CCF"/>
    <w:rsid w:val="00F26D49"/>
    <w:rsid w:val="00F26D9B"/>
    <w:rsid w:val="00F26DE0"/>
    <w:rsid w:val="00F26EFB"/>
    <w:rsid w:val="00F26F8E"/>
    <w:rsid w:val="00F27065"/>
    <w:rsid w:val="00F27068"/>
    <w:rsid w:val="00F270FF"/>
    <w:rsid w:val="00F27188"/>
    <w:rsid w:val="00F2721C"/>
    <w:rsid w:val="00F272A9"/>
    <w:rsid w:val="00F272CB"/>
    <w:rsid w:val="00F2734D"/>
    <w:rsid w:val="00F27426"/>
    <w:rsid w:val="00F27490"/>
    <w:rsid w:val="00F2752B"/>
    <w:rsid w:val="00F27600"/>
    <w:rsid w:val="00F2770B"/>
    <w:rsid w:val="00F2783D"/>
    <w:rsid w:val="00F27863"/>
    <w:rsid w:val="00F2787D"/>
    <w:rsid w:val="00F27C50"/>
    <w:rsid w:val="00F27E22"/>
    <w:rsid w:val="00F27E23"/>
    <w:rsid w:val="00F27E34"/>
    <w:rsid w:val="00F27EE7"/>
    <w:rsid w:val="00F27F82"/>
    <w:rsid w:val="00F3003F"/>
    <w:rsid w:val="00F300B7"/>
    <w:rsid w:val="00F301CC"/>
    <w:rsid w:val="00F302BE"/>
    <w:rsid w:val="00F302CE"/>
    <w:rsid w:val="00F3036F"/>
    <w:rsid w:val="00F30450"/>
    <w:rsid w:val="00F30551"/>
    <w:rsid w:val="00F305AF"/>
    <w:rsid w:val="00F305C8"/>
    <w:rsid w:val="00F30691"/>
    <w:rsid w:val="00F306CA"/>
    <w:rsid w:val="00F308A8"/>
    <w:rsid w:val="00F308AB"/>
    <w:rsid w:val="00F3094E"/>
    <w:rsid w:val="00F30978"/>
    <w:rsid w:val="00F309A5"/>
    <w:rsid w:val="00F30B33"/>
    <w:rsid w:val="00F30B38"/>
    <w:rsid w:val="00F30BD0"/>
    <w:rsid w:val="00F30BD2"/>
    <w:rsid w:val="00F30CCA"/>
    <w:rsid w:val="00F30D54"/>
    <w:rsid w:val="00F30D81"/>
    <w:rsid w:val="00F30D9C"/>
    <w:rsid w:val="00F30E71"/>
    <w:rsid w:val="00F30EAE"/>
    <w:rsid w:val="00F30F29"/>
    <w:rsid w:val="00F31042"/>
    <w:rsid w:val="00F31098"/>
    <w:rsid w:val="00F31221"/>
    <w:rsid w:val="00F3124C"/>
    <w:rsid w:val="00F313F9"/>
    <w:rsid w:val="00F31422"/>
    <w:rsid w:val="00F314A3"/>
    <w:rsid w:val="00F314E6"/>
    <w:rsid w:val="00F31551"/>
    <w:rsid w:val="00F3163A"/>
    <w:rsid w:val="00F31702"/>
    <w:rsid w:val="00F31726"/>
    <w:rsid w:val="00F3178E"/>
    <w:rsid w:val="00F317D9"/>
    <w:rsid w:val="00F31826"/>
    <w:rsid w:val="00F3190E"/>
    <w:rsid w:val="00F3194B"/>
    <w:rsid w:val="00F31B11"/>
    <w:rsid w:val="00F31B24"/>
    <w:rsid w:val="00F31B3B"/>
    <w:rsid w:val="00F31C31"/>
    <w:rsid w:val="00F31C3B"/>
    <w:rsid w:val="00F31C4E"/>
    <w:rsid w:val="00F31D37"/>
    <w:rsid w:val="00F31DF9"/>
    <w:rsid w:val="00F31E88"/>
    <w:rsid w:val="00F31F2E"/>
    <w:rsid w:val="00F31F35"/>
    <w:rsid w:val="00F3207F"/>
    <w:rsid w:val="00F32089"/>
    <w:rsid w:val="00F321A2"/>
    <w:rsid w:val="00F32256"/>
    <w:rsid w:val="00F322AF"/>
    <w:rsid w:val="00F322B0"/>
    <w:rsid w:val="00F32319"/>
    <w:rsid w:val="00F3231C"/>
    <w:rsid w:val="00F32324"/>
    <w:rsid w:val="00F32333"/>
    <w:rsid w:val="00F324CF"/>
    <w:rsid w:val="00F32500"/>
    <w:rsid w:val="00F32536"/>
    <w:rsid w:val="00F3292D"/>
    <w:rsid w:val="00F32980"/>
    <w:rsid w:val="00F32B7A"/>
    <w:rsid w:val="00F32B80"/>
    <w:rsid w:val="00F32C28"/>
    <w:rsid w:val="00F32CC9"/>
    <w:rsid w:val="00F32CDB"/>
    <w:rsid w:val="00F32D97"/>
    <w:rsid w:val="00F32DC0"/>
    <w:rsid w:val="00F32E41"/>
    <w:rsid w:val="00F32F19"/>
    <w:rsid w:val="00F32F64"/>
    <w:rsid w:val="00F32F71"/>
    <w:rsid w:val="00F32F75"/>
    <w:rsid w:val="00F33004"/>
    <w:rsid w:val="00F33041"/>
    <w:rsid w:val="00F33086"/>
    <w:rsid w:val="00F33290"/>
    <w:rsid w:val="00F332C2"/>
    <w:rsid w:val="00F3333F"/>
    <w:rsid w:val="00F3335D"/>
    <w:rsid w:val="00F333DB"/>
    <w:rsid w:val="00F33410"/>
    <w:rsid w:val="00F335B4"/>
    <w:rsid w:val="00F335D1"/>
    <w:rsid w:val="00F3374E"/>
    <w:rsid w:val="00F33754"/>
    <w:rsid w:val="00F3383F"/>
    <w:rsid w:val="00F33911"/>
    <w:rsid w:val="00F3397A"/>
    <w:rsid w:val="00F339BB"/>
    <w:rsid w:val="00F33AA0"/>
    <w:rsid w:val="00F33B40"/>
    <w:rsid w:val="00F33C6B"/>
    <w:rsid w:val="00F33EB4"/>
    <w:rsid w:val="00F33F46"/>
    <w:rsid w:val="00F33FD2"/>
    <w:rsid w:val="00F3404C"/>
    <w:rsid w:val="00F34162"/>
    <w:rsid w:val="00F34276"/>
    <w:rsid w:val="00F34298"/>
    <w:rsid w:val="00F342A9"/>
    <w:rsid w:val="00F343AB"/>
    <w:rsid w:val="00F34443"/>
    <w:rsid w:val="00F34453"/>
    <w:rsid w:val="00F3448C"/>
    <w:rsid w:val="00F34508"/>
    <w:rsid w:val="00F34550"/>
    <w:rsid w:val="00F345C2"/>
    <w:rsid w:val="00F34805"/>
    <w:rsid w:val="00F3485D"/>
    <w:rsid w:val="00F34862"/>
    <w:rsid w:val="00F348DB"/>
    <w:rsid w:val="00F34926"/>
    <w:rsid w:val="00F349DE"/>
    <w:rsid w:val="00F349F3"/>
    <w:rsid w:val="00F34A50"/>
    <w:rsid w:val="00F34AA6"/>
    <w:rsid w:val="00F34B58"/>
    <w:rsid w:val="00F34C1E"/>
    <w:rsid w:val="00F34C42"/>
    <w:rsid w:val="00F34D01"/>
    <w:rsid w:val="00F34EFB"/>
    <w:rsid w:val="00F34FD4"/>
    <w:rsid w:val="00F3501E"/>
    <w:rsid w:val="00F35079"/>
    <w:rsid w:val="00F351BA"/>
    <w:rsid w:val="00F352DB"/>
    <w:rsid w:val="00F3531E"/>
    <w:rsid w:val="00F35391"/>
    <w:rsid w:val="00F35412"/>
    <w:rsid w:val="00F3547C"/>
    <w:rsid w:val="00F354D1"/>
    <w:rsid w:val="00F354E1"/>
    <w:rsid w:val="00F354FD"/>
    <w:rsid w:val="00F35500"/>
    <w:rsid w:val="00F35527"/>
    <w:rsid w:val="00F3552B"/>
    <w:rsid w:val="00F3556E"/>
    <w:rsid w:val="00F3557B"/>
    <w:rsid w:val="00F355A4"/>
    <w:rsid w:val="00F35661"/>
    <w:rsid w:val="00F35679"/>
    <w:rsid w:val="00F35683"/>
    <w:rsid w:val="00F356C9"/>
    <w:rsid w:val="00F35743"/>
    <w:rsid w:val="00F358C5"/>
    <w:rsid w:val="00F35A0D"/>
    <w:rsid w:val="00F35A2D"/>
    <w:rsid w:val="00F35B17"/>
    <w:rsid w:val="00F35BD1"/>
    <w:rsid w:val="00F35C7E"/>
    <w:rsid w:val="00F35CDB"/>
    <w:rsid w:val="00F35D8A"/>
    <w:rsid w:val="00F35F6A"/>
    <w:rsid w:val="00F35F81"/>
    <w:rsid w:val="00F360A1"/>
    <w:rsid w:val="00F360AD"/>
    <w:rsid w:val="00F36285"/>
    <w:rsid w:val="00F363BE"/>
    <w:rsid w:val="00F363D5"/>
    <w:rsid w:val="00F36451"/>
    <w:rsid w:val="00F36519"/>
    <w:rsid w:val="00F36565"/>
    <w:rsid w:val="00F365DE"/>
    <w:rsid w:val="00F36661"/>
    <w:rsid w:val="00F3669B"/>
    <w:rsid w:val="00F366A0"/>
    <w:rsid w:val="00F366DE"/>
    <w:rsid w:val="00F36802"/>
    <w:rsid w:val="00F3683B"/>
    <w:rsid w:val="00F369E3"/>
    <w:rsid w:val="00F36A20"/>
    <w:rsid w:val="00F36A37"/>
    <w:rsid w:val="00F36B9E"/>
    <w:rsid w:val="00F36CD7"/>
    <w:rsid w:val="00F36D6F"/>
    <w:rsid w:val="00F36DD4"/>
    <w:rsid w:val="00F36DD8"/>
    <w:rsid w:val="00F36ECD"/>
    <w:rsid w:val="00F36ED6"/>
    <w:rsid w:val="00F36F36"/>
    <w:rsid w:val="00F3706F"/>
    <w:rsid w:val="00F370D5"/>
    <w:rsid w:val="00F371F2"/>
    <w:rsid w:val="00F3732D"/>
    <w:rsid w:val="00F37342"/>
    <w:rsid w:val="00F3735C"/>
    <w:rsid w:val="00F374E2"/>
    <w:rsid w:val="00F37554"/>
    <w:rsid w:val="00F375ED"/>
    <w:rsid w:val="00F3766D"/>
    <w:rsid w:val="00F37717"/>
    <w:rsid w:val="00F377ED"/>
    <w:rsid w:val="00F37877"/>
    <w:rsid w:val="00F37896"/>
    <w:rsid w:val="00F3796A"/>
    <w:rsid w:val="00F37A0F"/>
    <w:rsid w:val="00F37A35"/>
    <w:rsid w:val="00F37A77"/>
    <w:rsid w:val="00F37A82"/>
    <w:rsid w:val="00F37B78"/>
    <w:rsid w:val="00F37C19"/>
    <w:rsid w:val="00F37C28"/>
    <w:rsid w:val="00F37D00"/>
    <w:rsid w:val="00F37DA6"/>
    <w:rsid w:val="00F37DB7"/>
    <w:rsid w:val="00F37E10"/>
    <w:rsid w:val="00F37E15"/>
    <w:rsid w:val="00F37F82"/>
    <w:rsid w:val="00F37FD7"/>
    <w:rsid w:val="00F400FA"/>
    <w:rsid w:val="00F4013A"/>
    <w:rsid w:val="00F4016A"/>
    <w:rsid w:val="00F401C7"/>
    <w:rsid w:val="00F40266"/>
    <w:rsid w:val="00F402B6"/>
    <w:rsid w:val="00F4036C"/>
    <w:rsid w:val="00F40452"/>
    <w:rsid w:val="00F4047A"/>
    <w:rsid w:val="00F405B9"/>
    <w:rsid w:val="00F405BF"/>
    <w:rsid w:val="00F40638"/>
    <w:rsid w:val="00F40655"/>
    <w:rsid w:val="00F406E6"/>
    <w:rsid w:val="00F409F9"/>
    <w:rsid w:val="00F40AF8"/>
    <w:rsid w:val="00F40B79"/>
    <w:rsid w:val="00F40BBF"/>
    <w:rsid w:val="00F40C0B"/>
    <w:rsid w:val="00F40C87"/>
    <w:rsid w:val="00F40D05"/>
    <w:rsid w:val="00F40D9F"/>
    <w:rsid w:val="00F40E0C"/>
    <w:rsid w:val="00F40FB9"/>
    <w:rsid w:val="00F40FBD"/>
    <w:rsid w:val="00F41009"/>
    <w:rsid w:val="00F41041"/>
    <w:rsid w:val="00F41157"/>
    <w:rsid w:val="00F4117F"/>
    <w:rsid w:val="00F4125A"/>
    <w:rsid w:val="00F41301"/>
    <w:rsid w:val="00F4135C"/>
    <w:rsid w:val="00F41417"/>
    <w:rsid w:val="00F41443"/>
    <w:rsid w:val="00F41506"/>
    <w:rsid w:val="00F416E2"/>
    <w:rsid w:val="00F4182A"/>
    <w:rsid w:val="00F41A05"/>
    <w:rsid w:val="00F41A31"/>
    <w:rsid w:val="00F41B6E"/>
    <w:rsid w:val="00F41C80"/>
    <w:rsid w:val="00F41C93"/>
    <w:rsid w:val="00F41D91"/>
    <w:rsid w:val="00F41EB5"/>
    <w:rsid w:val="00F42026"/>
    <w:rsid w:val="00F420E8"/>
    <w:rsid w:val="00F421CB"/>
    <w:rsid w:val="00F4226E"/>
    <w:rsid w:val="00F42304"/>
    <w:rsid w:val="00F42339"/>
    <w:rsid w:val="00F42427"/>
    <w:rsid w:val="00F4254B"/>
    <w:rsid w:val="00F425FC"/>
    <w:rsid w:val="00F4268D"/>
    <w:rsid w:val="00F42823"/>
    <w:rsid w:val="00F428A1"/>
    <w:rsid w:val="00F428AF"/>
    <w:rsid w:val="00F42917"/>
    <w:rsid w:val="00F42960"/>
    <w:rsid w:val="00F42977"/>
    <w:rsid w:val="00F42A92"/>
    <w:rsid w:val="00F42AA6"/>
    <w:rsid w:val="00F42D5A"/>
    <w:rsid w:val="00F42DB6"/>
    <w:rsid w:val="00F42E17"/>
    <w:rsid w:val="00F42E38"/>
    <w:rsid w:val="00F42EBB"/>
    <w:rsid w:val="00F42ECE"/>
    <w:rsid w:val="00F42EEA"/>
    <w:rsid w:val="00F42EFD"/>
    <w:rsid w:val="00F42F11"/>
    <w:rsid w:val="00F42F1F"/>
    <w:rsid w:val="00F4318E"/>
    <w:rsid w:val="00F4321B"/>
    <w:rsid w:val="00F4324A"/>
    <w:rsid w:val="00F43300"/>
    <w:rsid w:val="00F43376"/>
    <w:rsid w:val="00F433AD"/>
    <w:rsid w:val="00F433B6"/>
    <w:rsid w:val="00F433C6"/>
    <w:rsid w:val="00F43425"/>
    <w:rsid w:val="00F43526"/>
    <w:rsid w:val="00F43582"/>
    <w:rsid w:val="00F43706"/>
    <w:rsid w:val="00F437BF"/>
    <w:rsid w:val="00F437F2"/>
    <w:rsid w:val="00F43884"/>
    <w:rsid w:val="00F439AA"/>
    <w:rsid w:val="00F43A23"/>
    <w:rsid w:val="00F43AA3"/>
    <w:rsid w:val="00F43ADC"/>
    <w:rsid w:val="00F43B20"/>
    <w:rsid w:val="00F43C2A"/>
    <w:rsid w:val="00F43C64"/>
    <w:rsid w:val="00F43E2F"/>
    <w:rsid w:val="00F43F14"/>
    <w:rsid w:val="00F43F4D"/>
    <w:rsid w:val="00F43F66"/>
    <w:rsid w:val="00F43F7B"/>
    <w:rsid w:val="00F43F8E"/>
    <w:rsid w:val="00F43FD1"/>
    <w:rsid w:val="00F44069"/>
    <w:rsid w:val="00F44124"/>
    <w:rsid w:val="00F44188"/>
    <w:rsid w:val="00F44287"/>
    <w:rsid w:val="00F442BC"/>
    <w:rsid w:val="00F4434F"/>
    <w:rsid w:val="00F443CF"/>
    <w:rsid w:val="00F4458C"/>
    <w:rsid w:val="00F44718"/>
    <w:rsid w:val="00F44791"/>
    <w:rsid w:val="00F447EA"/>
    <w:rsid w:val="00F44881"/>
    <w:rsid w:val="00F4489B"/>
    <w:rsid w:val="00F448D2"/>
    <w:rsid w:val="00F44934"/>
    <w:rsid w:val="00F449D0"/>
    <w:rsid w:val="00F44A1D"/>
    <w:rsid w:val="00F44BE2"/>
    <w:rsid w:val="00F44CDC"/>
    <w:rsid w:val="00F44F70"/>
    <w:rsid w:val="00F44F87"/>
    <w:rsid w:val="00F45028"/>
    <w:rsid w:val="00F450A8"/>
    <w:rsid w:val="00F4511F"/>
    <w:rsid w:val="00F4513B"/>
    <w:rsid w:val="00F45186"/>
    <w:rsid w:val="00F451A7"/>
    <w:rsid w:val="00F4528A"/>
    <w:rsid w:val="00F4534D"/>
    <w:rsid w:val="00F4552F"/>
    <w:rsid w:val="00F455A8"/>
    <w:rsid w:val="00F4573B"/>
    <w:rsid w:val="00F457ED"/>
    <w:rsid w:val="00F45862"/>
    <w:rsid w:val="00F458CD"/>
    <w:rsid w:val="00F459EE"/>
    <w:rsid w:val="00F45B70"/>
    <w:rsid w:val="00F45C8F"/>
    <w:rsid w:val="00F45C92"/>
    <w:rsid w:val="00F45D8B"/>
    <w:rsid w:val="00F45DF4"/>
    <w:rsid w:val="00F45E2F"/>
    <w:rsid w:val="00F45F20"/>
    <w:rsid w:val="00F4601F"/>
    <w:rsid w:val="00F46108"/>
    <w:rsid w:val="00F4610B"/>
    <w:rsid w:val="00F46125"/>
    <w:rsid w:val="00F4615D"/>
    <w:rsid w:val="00F461A4"/>
    <w:rsid w:val="00F46266"/>
    <w:rsid w:val="00F46271"/>
    <w:rsid w:val="00F46327"/>
    <w:rsid w:val="00F46392"/>
    <w:rsid w:val="00F4644D"/>
    <w:rsid w:val="00F46469"/>
    <w:rsid w:val="00F46492"/>
    <w:rsid w:val="00F46589"/>
    <w:rsid w:val="00F46609"/>
    <w:rsid w:val="00F46830"/>
    <w:rsid w:val="00F469B9"/>
    <w:rsid w:val="00F469F0"/>
    <w:rsid w:val="00F46A50"/>
    <w:rsid w:val="00F46B37"/>
    <w:rsid w:val="00F46BC0"/>
    <w:rsid w:val="00F46C09"/>
    <w:rsid w:val="00F46D09"/>
    <w:rsid w:val="00F46DDE"/>
    <w:rsid w:val="00F46E12"/>
    <w:rsid w:val="00F46E23"/>
    <w:rsid w:val="00F46E2F"/>
    <w:rsid w:val="00F46E79"/>
    <w:rsid w:val="00F46E98"/>
    <w:rsid w:val="00F46F02"/>
    <w:rsid w:val="00F46F50"/>
    <w:rsid w:val="00F470D4"/>
    <w:rsid w:val="00F47196"/>
    <w:rsid w:val="00F4721C"/>
    <w:rsid w:val="00F472F3"/>
    <w:rsid w:val="00F473DA"/>
    <w:rsid w:val="00F47409"/>
    <w:rsid w:val="00F4742D"/>
    <w:rsid w:val="00F4742E"/>
    <w:rsid w:val="00F4749C"/>
    <w:rsid w:val="00F474C7"/>
    <w:rsid w:val="00F47636"/>
    <w:rsid w:val="00F47720"/>
    <w:rsid w:val="00F47818"/>
    <w:rsid w:val="00F47A75"/>
    <w:rsid w:val="00F47A87"/>
    <w:rsid w:val="00F47AF1"/>
    <w:rsid w:val="00F47BEB"/>
    <w:rsid w:val="00F47C37"/>
    <w:rsid w:val="00F47D9C"/>
    <w:rsid w:val="00F47E02"/>
    <w:rsid w:val="00F47E24"/>
    <w:rsid w:val="00F47E95"/>
    <w:rsid w:val="00F47EA2"/>
    <w:rsid w:val="00F47ECD"/>
    <w:rsid w:val="00F47F3B"/>
    <w:rsid w:val="00F47F8E"/>
    <w:rsid w:val="00F47FB8"/>
    <w:rsid w:val="00F50151"/>
    <w:rsid w:val="00F50180"/>
    <w:rsid w:val="00F50242"/>
    <w:rsid w:val="00F50258"/>
    <w:rsid w:val="00F502A3"/>
    <w:rsid w:val="00F5031A"/>
    <w:rsid w:val="00F504A1"/>
    <w:rsid w:val="00F50532"/>
    <w:rsid w:val="00F5064C"/>
    <w:rsid w:val="00F5068F"/>
    <w:rsid w:val="00F506CF"/>
    <w:rsid w:val="00F5071F"/>
    <w:rsid w:val="00F507F9"/>
    <w:rsid w:val="00F509E5"/>
    <w:rsid w:val="00F50A52"/>
    <w:rsid w:val="00F50B0B"/>
    <w:rsid w:val="00F50B75"/>
    <w:rsid w:val="00F50C51"/>
    <w:rsid w:val="00F50C93"/>
    <w:rsid w:val="00F50CF1"/>
    <w:rsid w:val="00F50D61"/>
    <w:rsid w:val="00F50DF2"/>
    <w:rsid w:val="00F50E59"/>
    <w:rsid w:val="00F50FD6"/>
    <w:rsid w:val="00F51073"/>
    <w:rsid w:val="00F51074"/>
    <w:rsid w:val="00F510BD"/>
    <w:rsid w:val="00F5124D"/>
    <w:rsid w:val="00F512AC"/>
    <w:rsid w:val="00F51376"/>
    <w:rsid w:val="00F5145C"/>
    <w:rsid w:val="00F514BD"/>
    <w:rsid w:val="00F5166D"/>
    <w:rsid w:val="00F51727"/>
    <w:rsid w:val="00F517DA"/>
    <w:rsid w:val="00F518CE"/>
    <w:rsid w:val="00F5190C"/>
    <w:rsid w:val="00F519DA"/>
    <w:rsid w:val="00F51C9C"/>
    <w:rsid w:val="00F51D9E"/>
    <w:rsid w:val="00F51E71"/>
    <w:rsid w:val="00F51EC0"/>
    <w:rsid w:val="00F51EC2"/>
    <w:rsid w:val="00F51ED3"/>
    <w:rsid w:val="00F51F67"/>
    <w:rsid w:val="00F52038"/>
    <w:rsid w:val="00F5219D"/>
    <w:rsid w:val="00F521C6"/>
    <w:rsid w:val="00F523F0"/>
    <w:rsid w:val="00F52431"/>
    <w:rsid w:val="00F5276F"/>
    <w:rsid w:val="00F527C4"/>
    <w:rsid w:val="00F528B3"/>
    <w:rsid w:val="00F528C9"/>
    <w:rsid w:val="00F52947"/>
    <w:rsid w:val="00F52B22"/>
    <w:rsid w:val="00F52BE4"/>
    <w:rsid w:val="00F52C10"/>
    <w:rsid w:val="00F52C5B"/>
    <w:rsid w:val="00F52CB1"/>
    <w:rsid w:val="00F52CB3"/>
    <w:rsid w:val="00F52D46"/>
    <w:rsid w:val="00F52D54"/>
    <w:rsid w:val="00F52D57"/>
    <w:rsid w:val="00F52DB3"/>
    <w:rsid w:val="00F52DE8"/>
    <w:rsid w:val="00F52EE7"/>
    <w:rsid w:val="00F52FCD"/>
    <w:rsid w:val="00F53015"/>
    <w:rsid w:val="00F5308A"/>
    <w:rsid w:val="00F53090"/>
    <w:rsid w:val="00F530D1"/>
    <w:rsid w:val="00F530E8"/>
    <w:rsid w:val="00F530FE"/>
    <w:rsid w:val="00F5313C"/>
    <w:rsid w:val="00F5313D"/>
    <w:rsid w:val="00F5314F"/>
    <w:rsid w:val="00F53176"/>
    <w:rsid w:val="00F53185"/>
    <w:rsid w:val="00F531AF"/>
    <w:rsid w:val="00F53215"/>
    <w:rsid w:val="00F5326A"/>
    <w:rsid w:val="00F5334D"/>
    <w:rsid w:val="00F534AD"/>
    <w:rsid w:val="00F5357B"/>
    <w:rsid w:val="00F535AE"/>
    <w:rsid w:val="00F5369F"/>
    <w:rsid w:val="00F5375E"/>
    <w:rsid w:val="00F537D8"/>
    <w:rsid w:val="00F538B0"/>
    <w:rsid w:val="00F5394C"/>
    <w:rsid w:val="00F53970"/>
    <w:rsid w:val="00F53977"/>
    <w:rsid w:val="00F539B6"/>
    <w:rsid w:val="00F539DA"/>
    <w:rsid w:val="00F53B8B"/>
    <w:rsid w:val="00F53BD2"/>
    <w:rsid w:val="00F53C63"/>
    <w:rsid w:val="00F53CE6"/>
    <w:rsid w:val="00F53D03"/>
    <w:rsid w:val="00F53DE2"/>
    <w:rsid w:val="00F53EC6"/>
    <w:rsid w:val="00F53FFC"/>
    <w:rsid w:val="00F54078"/>
    <w:rsid w:val="00F54160"/>
    <w:rsid w:val="00F54165"/>
    <w:rsid w:val="00F54245"/>
    <w:rsid w:val="00F54248"/>
    <w:rsid w:val="00F54477"/>
    <w:rsid w:val="00F545A4"/>
    <w:rsid w:val="00F546A6"/>
    <w:rsid w:val="00F54833"/>
    <w:rsid w:val="00F54861"/>
    <w:rsid w:val="00F548A6"/>
    <w:rsid w:val="00F548C4"/>
    <w:rsid w:val="00F54B34"/>
    <w:rsid w:val="00F54BB3"/>
    <w:rsid w:val="00F54D3C"/>
    <w:rsid w:val="00F54D6E"/>
    <w:rsid w:val="00F54D95"/>
    <w:rsid w:val="00F54DBD"/>
    <w:rsid w:val="00F54E0F"/>
    <w:rsid w:val="00F54F35"/>
    <w:rsid w:val="00F54FF8"/>
    <w:rsid w:val="00F55006"/>
    <w:rsid w:val="00F55027"/>
    <w:rsid w:val="00F55064"/>
    <w:rsid w:val="00F550DD"/>
    <w:rsid w:val="00F55137"/>
    <w:rsid w:val="00F55163"/>
    <w:rsid w:val="00F551A3"/>
    <w:rsid w:val="00F55251"/>
    <w:rsid w:val="00F55254"/>
    <w:rsid w:val="00F5529F"/>
    <w:rsid w:val="00F552A8"/>
    <w:rsid w:val="00F552D1"/>
    <w:rsid w:val="00F55348"/>
    <w:rsid w:val="00F55354"/>
    <w:rsid w:val="00F5544C"/>
    <w:rsid w:val="00F554C6"/>
    <w:rsid w:val="00F5553E"/>
    <w:rsid w:val="00F555A0"/>
    <w:rsid w:val="00F55611"/>
    <w:rsid w:val="00F5564F"/>
    <w:rsid w:val="00F556B5"/>
    <w:rsid w:val="00F558A5"/>
    <w:rsid w:val="00F558B7"/>
    <w:rsid w:val="00F55941"/>
    <w:rsid w:val="00F559B8"/>
    <w:rsid w:val="00F559E2"/>
    <w:rsid w:val="00F55A39"/>
    <w:rsid w:val="00F55AA9"/>
    <w:rsid w:val="00F55ABB"/>
    <w:rsid w:val="00F55AF1"/>
    <w:rsid w:val="00F55B2D"/>
    <w:rsid w:val="00F55B30"/>
    <w:rsid w:val="00F55C17"/>
    <w:rsid w:val="00F55C9D"/>
    <w:rsid w:val="00F55CAE"/>
    <w:rsid w:val="00F55D0D"/>
    <w:rsid w:val="00F55D21"/>
    <w:rsid w:val="00F55E83"/>
    <w:rsid w:val="00F55FCA"/>
    <w:rsid w:val="00F56011"/>
    <w:rsid w:val="00F56013"/>
    <w:rsid w:val="00F56021"/>
    <w:rsid w:val="00F5603D"/>
    <w:rsid w:val="00F560D7"/>
    <w:rsid w:val="00F56110"/>
    <w:rsid w:val="00F56112"/>
    <w:rsid w:val="00F562C4"/>
    <w:rsid w:val="00F563BB"/>
    <w:rsid w:val="00F564A3"/>
    <w:rsid w:val="00F564F6"/>
    <w:rsid w:val="00F5653F"/>
    <w:rsid w:val="00F56574"/>
    <w:rsid w:val="00F56610"/>
    <w:rsid w:val="00F566C1"/>
    <w:rsid w:val="00F56702"/>
    <w:rsid w:val="00F5675C"/>
    <w:rsid w:val="00F56871"/>
    <w:rsid w:val="00F568D5"/>
    <w:rsid w:val="00F5697F"/>
    <w:rsid w:val="00F56A08"/>
    <w:rsid w:val="00F56B0E"/>
    <w:rsid w:val="00F56CA6"/>
    <w:rsid w:val="00F56DF8"/>
    <w:rsid w:val="00F56E5A"/>
    <w:rsid w:val="00F56EA3"/>
    <w:rsid w:val="00F56FBF"/>
    <w:rsid w:val="00F570D6"/>
    <w:rsid w:val="00F57189"/>
    <w:rsid w:val="00F5719B"/>
    <w:rsid w:val="00F571A9"/>
    <w:rsid w:val="00F571FC"/>
    <w:rsid w:val="00F5722B"/>
    <w:rsid w:val="00F57231"/>
    <w:rsid w:val="00F57252"/>
    <w:rsid w:val="00F572D5"/>
    <w:rsid w:val="00F5731D"/>
    <w:rsid w:val="00F5739A"/>
    <w:rsid w:val="00F5743B"/>
    <w:rsid w:val="00F57442"/>
    <w:rsid w:val="00F5747B"/>
    <w:rsid w:val="00F574B9"/>
    <w:rsid w:val="00F57597"/>
    <w:rsid w:val="00F576F8"/>
    <w:rsid w:val="00F57704"/>
    <w:rsid w:val="00F57874"/>
    <w:rsid w:val="00F578DF"/>
    <w:rsid w:val="00F57A1E"/>
    <w:rsid w:val="00F57AF7"/>
    <w:rsid w:val="00F57B1A"/>
    <w:rsid w:val="00F57C33"/>
    <w:rsid w:val="00F57C68"/>
    <w:rsid w:val="00F57CB2"/>
    <w:rsid w:val="00F57CCF"/>
    <w:rsid w:val="00F57D46"/>
    <w:rsid w:val="00F57DCF"/>
    <w:rsid w:val="00F57F16"/>
    <w:rsid w:val="00F57FD3"/>
    <w:rsid w:val="00F57FF7"/>
    <w:rsid w:val="00F60000"/>
    <w:rsid w:val="00F600DC"/>
    <w:rsid w:val="00F600EB"/>
    <w:rsid w:val="00F6017C"/>
    <w:rsid w:val="00F60187"/>
    <w:rsid w:val="00F60189"/>
    <w:rsid w:val="00F601F5"/>
    <w:rsid w:val="00F60202"/>
    <w:rsid w:val="00F6021A"/>
    <w:rsid w:val="00F602AE"/>
    <w:rsid w:val="00F60335"/>
    <w:rsid w:val="00F60359"/>
    <w:rsid w:val="00F6037A"/>
    <w:rsid w:val="00F603AC"/>
    <w:rsid w:val="00F60490"/>
    <w:rsid w:val="00F60517"/>
    <w:rsid w:val="00F605AD"/>
    <w:rsid w:val="00F6064B"/>
    <w:rsid w:val="00F6069E"/>
    <w:rsid w:val="00F607D9"/>
    <w:rsid w:val="00F60978"/>
    <w:rsid w:val="00F60A29"/>
    <w:rsid w:val="00F60C8D"/>
    <w:rsid w:val="00F60CBA"/>
    <w:rsid w:val="00F60DD3"/>
    <w:rsid w:val="00F60E62"/>
    <w:rsid w:val="00F60F9E"/>
    <w:rsid w:val="00F610A3"/>
    <w:rsid w:val="00F610FC"/>
    <w:rsid w:val="00F6124B"/>
    <w:rsid w:val="00F612DA"/>
    <w:rsid w:val="00F61339"/>
    <w:rsid w:val="00F61369"/>
    <w:rsid w:val="00F61395"/>
    <w:rsid w:val="00F613AE"/>
    <w:rsid w:val="00F613B1"/>
    <w:rsid w:val="00F615F3"/>
    <w:rsid w:val="00F616C6"/>
    <w:rsid w:val="00F61793"/>
    <w:rsid w:val="00F6180B"/>
    <w:rsid w:val="00F61863"/>
    <w:rsid w:val="00F618E9"/>
    <w:rsid w:val="00F619A1"/>
    <w:rsid w:val="00F619FA"/>
    <w:rsid w:val="00F61ACC"/>
    <w:rsid w:val="00F61CC2"/>
    <w:rsid w:val="00F61CF7"/>
    <w:rsid w:val="00F61D11"/>
    <w:rsid w:val="00F61DB4"/>
    <w:rsid w:val="00F61DEF"/>
    <w:rsid w:val="00F61FAE"/>
    <w:rsid w:val="00F62023"/>
    <w:rsid w:val="00F62054"/>
    <w:rsid w:val="00F621C7"/>
    <w:rsid w:val="00F6226D"/>
    <w:rsid w:val="00F62340"/>
    <w:rsid w:val="00F62355"/>
    <w:rsid w:val="00F623A1"/>
    <w:rsid w:val="00F62423"/>
    <w:rsid w:val="00F624A8"/>
    <w:rsid w:val="00F624F8"/>
    <w:rsid w:val="00F62506"/>
    <w:rsid w:val="00F62541"/>
    <w:rsid w:val="00F62586"/>
    <w:rsid w:val="00F6260E"/>
    <w:rsid w:val="00F62690"/>
    <w:rsid w:val="00F62887"/>
    <w:rsid w:val="00F62B1A"/>
    <w:rsid w:val="00F62B67"/>
    <w:rsid w:val="00F62B94"/>
    <w:rsid w:val="00F62BBF"/>
    <w:rsid w:val="00F62BC2"/>
    <w:rsid w:val="00F62BE1"/>
    <w:rsid w:val="00F62C1A"/>
    <w:rsid w:val="00F62C6A"/>
    <w:rsid w:val="00F62C92"/>
    <w:rsid w:val="00F62D1E"/>
    <w:rsid w:val="00F62E27"/>
    <w:rsid w:val="00F630A9"/>
    <w:rsid w:val="00F630B8"/>
    <w:rsid w:val="00F631ED"/>
    <w:rsid w:val="00F63297"/>
    <w:rsid w:val="00F632B2"/>
    <w:rsid w:val="00F6342C"/>
    <w:rsid w:val="00F63452"/>
    <w:rsid w:val="00F63612"/>
    <w:rsid w:val="00F63802"/>
    <w:rsid w:val="00F638A3"/>
    <w:rsid w:val="00F638D0"/>
    <w:rsid w:val="00F63A33"/>
    <w:rsid w:val="00F63A7A"/>
    <w:rsid w:val="00F63BBF"/>
    <w:rsid w:val="00F63BCF"/>
    <w:rsid w:val="00F63BDD"/>
    <w:rsid w:val="00F63D7D"/>
    <w:rsid w:val="00F63DD1"/>
    <w:rsid w:val="00F63E19"/>
    <w:rsid w:val="00F63E26"/>
    <w:rsid w:val="00F63E71"/>
    <w:rsid w:val="00F63FF7"/>
    <w:rsid w:val="00F64056"/>
    <w:rsid w:val="00F640EF"/>
    <w:rsid w:val="00F64121"/>
    <w:rsid w:val="00F641AC"/>
    <w:rsid w:val="00F641CD"/>
    <w:rsid w:val="00F6423E"/>
    <w:rsid w:val="00F642F3"/>
    <w:rsid w:val="00F64382"/>
    <w:rsid w:val="00F643DC"/>
    <w:rsid w:val="00F64459"/>
    <w:rsid w:val="00F64489"/>
    <w:rsid w:val="00F644F9"/>
    <w:rsid w:val="00F64507"/>
    <w:rsid w:val="00F64516"/>
    <w:rsid w:val="00F646EE"/>
    <w:rsid w:val="00F64821"/>
    <w:rsid w:val="00F6485D"/>
    <w:rsid w:val="00F6499A"/>
    <w:rsid w:val="00F64A33"/>
    <w:rsid w:val="00F64C28"/>
    <w:rsid w:val="00F64CE5"/>
    <w:rsid w:val="00F64CEC"/>
    <w:rsid w:val="00F64D01"/>
    <w:rsid w:val="00F64E52"/>
    <w:rsid w:val="00F64E6C"/>
    <w:rsid w:val="00F64F6A"/>
    <w:rsid w:val="00F64FB1"/>
    <w:rsid w:val="00F6502D"/>
    <w:rsid w:val="00F650BB"/>
    <w:rsid w:val="00F650D3"/>
    <w:rsid w:val="00F6510F"/>
    <w:rsid w:val="00F65135"/>
    <w:rsid w:val="00F65139"/>
    <w:rsid w:val="00F6513F"/>
    <w:rsid w:val="00F652FB"/>
    <w:rsid w:val="00F653F4"/>
    <w:rsid w:val="00F655AA"/>
    <w:rsid w:val="00F65609"/>
    <w:rsid w:val="00F6560E"/>
    <w:rsid w:val="00F6562A"/>
    <w:rsid w:val="00F6569B"/>
    <w:rsid w:val="00F65A21"/>
    <w:rsid w:val="00F65B32"/>
    <w:rsid w:val="00F65BC8"/>
    <w:rsid w:val="00F65BD9"/>
    <w:rsid w:val="00F65D40"/>
    <w:rsid w:val="00F65EC0"/>
    <w:rsid w:val="00F65F31"/>
    <w:rsid w:val="00F65F47"/>
    <w:rsid w:val="00F66090"/>
    <w:rsid w:val="00F66146"/>
    <w:rsid w:val="00F661E6"/>
    <w:rsid w:val="00F66225"/>
    <w:rsid w:val="00F6623B"/>
    <w:rsid w:val="00F66244"/>
    <w:rsid w:val="00F662F0"/>
    <w:rsid w:val="00F6631C"/>
    <w:rsid w:val="00F66390"/>
    <w:rsid w:val="00F663C8"/>
    <w:rsid w:val="00F664E5"/>
    <w:rsid w:val="00F66656"/>
    <w:rsid w:val="00F6668C"/>
    <w:rsid w:val="00F66718"/>
    <w:rsid w:val="00F6676D"/>
    <w:rsid w:val="00F667A4"/>
    <w:rsid w:val="00F669B5"/>
    <w:rsid w:val="00F669B7"/>
    <w:rsid w:val="00F66AE5"/>
    <w:rsid w:val="00F66B8D"/>
    <w:rsid w:val="00F66C4B"/>
    <w:rsid w:val="00F66C5F"/>
    <w:rsid w:val="00F66C60"/>
    <w:rsid w:val="00F66CC9"/>
    <w:rsid w:val="00F66E45"/>
    <w:rsid w:val="00F66FD6"/>
    <w:rsid w:val="00F671D5"/>
    <w:rsid w:val="00F67221"/>
    <w:rsid w:val="00F67223"/>
    <w:rsid w:val="00F67224"/>
    <w:rsid w:val="00F6722D"/>
    <w:rsid w:val="00F672EE"/>
    <w:rsid w:val="00F672FC"/>
    <w:rsid w:val="00F67318"/>
    <w:rsid w:val="00F67334"/>
    <w:rsid w:val="00F67501"/>
    <w:rsid w:val="00F675AE"/>
    <w:rsid w:val="00F675D8"/>
    <w:rsid w:val="00F6772A"/>
    <w:rsid w:val="00F6779C"/>
    <w:rsid w:val="00F67818"/>
    <w:rsid w:val="00F67C34"/>
    <w:rsid w:val="00F67E5C"/>
    <w:rsid w:val="00F67E7B"/>
    <w:rsid w:val="00F67FCF"/>
    <w:rsid w:val="00F7003B"/>
    <w:rsid w:val="00F700F6"/>
    <w:rsid w:val="00F701BE"/>
    <w:rsid w:val="00F70217"/>
    <w:rsid w:val="00F70242"/>
    <w:rsid w:val="00F70244"/>
    <w:rsid w:val="00F70292"/>
    <w:rsid w:val="00F702D4"/>
    <w:rsid w:val="00F702F2"/>
    <w:rsid w:val="00F703F1"/>
    <w:rsid w:val="00F70424"/>
    <w:rsid w:val="00F704F0"/>
    <w:rsid w:val="00F7058D"/>
    <w:rsid w:val="00F70595"/>
    <w:rsid w:val="00F70665"/>
    <w:rsid w:val="00F706D0"/>
    <w:rsid w:val="00F70700"/>
    <w:rsid w:val="00F70799"/>
    <w:rsid w:val="00F70804"/>
    <w:rsid w:val="00F70871"/>
    <w:rsid w:val="00F70907"/>
    <w:rsid w:val="00F7092A"/>
    <w:rsid w:val="00F709DA"/>
    <w:rsid w:val="00F70BC3"/>
    <w:rsid w:val="00F70D94"/>
    <w:rsid w:val="00F70DE9"/>
    <w:rsid w:val="00F70EEE"/>
    <w:rsid w:val="00F70F46"/>
    <w:rsid w:val="00F70FA5"/>
    <w:rsid w:val="00F70FB7"/>
    <w:rsid w:val="00F7100D"/>
    <w:rsid w:val="00F71016"/>
    <w:rsid w:val="00F7109B"/>
    <w:rsid w:val="00F71153"/>
    <w:rsid w:val="00F71175"/>
    <w:rsid w:val="00F713F5"/>
    <w:rsid w:val="00F71461"/>
    <w:rsid w:val="00F71824"/>
    <w:rsid w:val="00F71A47"/>
    <w:rsid w:val="00F71B10"/>
    <w:rsid w:val="00F71B44"/>
    <w:rsid w:val="00F71B58"/>
    <w:rsid w:val="00F71B5C"/>
    <w:rsid w:val="00F71B89"/>
    <w:rsid w:val="00F71C7D"/>
    <w:rsid w:val="00F71D6D"/>
    <w:rsid w:val="00F71F09"/>
    <w:rsid w:val="00F71F33"/>
    <w:rsid w:val="00F72031"/>
    <w:rsid w:val="00F722B7"/>
    <w:rsid w:val="00F72350"/>
    <w:rsid w:val="00F724AA"/>
    <w:rsid w:val="00F724B4"/>
    <w:rsid w:val="00F7279C"/>
    <w:rsid w:val="00F72931"/>
    <w:rsid w:val="00F72988"/>
    <w:rsid w:val="00F72AB5"/>
    <w:rsid w:val="00F72AFA"/>
    <w:rsid w:val="00F72B0E"/>
    <w:rsid w:val="00F72BD6"/>
    <w:rsid w:val="00F72C6C"/>
    <w:rsid w:val="00F72CD2"/>
    <w:rsid w:val="00F72DBB"/>
    <w:rsid w:val="00F72DF6"/>
    <w:rsid w:val="00F72EB1"/>
    <w:rsid w:val="00F72EFA"/>
    <w:rsid w:val="00F73066"/>
    <w:rsid w:val="00F73241"/>
    <w:rsid w:val="00F7348A"/>
    <w:rsid w:val="00F734CC"/>
    <w:rsid w:val="00F73574"/>
    <w:rsid w:val="00F73626"/>
    <w:rsid w:val="00F7362A"/>
    <w:rsid w:val="00F73699"/>
    <w:rsid w:val="00F736CB"/>
    <w:rsid w:val="00F73760"/>
    <w:rsid w:val="00F737F0"/>
    <w:rsid w:val="00F7383A"/>
    <w:rsid w:val="00F73867"/>
    <w:rsid w:val="00F73B29"/>
    <w:rsid w:val="00F73B5B"/>
    <w:rsid w:val="00F73B69"/>
    <w:rsid w:val="00F73BB3"/>
    <w:rsid w:val="00F73C39"/>
    <w:rsid w:val="00F73C9A"/>
    <w:rsid w:val="00F73CCB"/>
    <w:rsid w:val="00F73D00"/>
    <w:rsid w:val="00F73DE8"/>
    <w:rsid w:val="00F73DF5"/>
    <w:rsid w:val="00F73E1C"/>
    <w:rsid w:val="00F73E26"/>
    <w:rsid w:val="00F73E37"/>
    <w:rsid w:val="00F73FA5"/>
    <w:rsid w:val="00F73FBE"/>
    <w:rsid w:val="00F7400B"/>
    <w:rsid w:val="00F74089"/>
    <w:rsid w:val="00F740C9"/>
    <w:rsid w:val="00F74192"/>
    <w:rsid w:val="00F741C1"/>
    <w:rsid w:val="00F742F9"/>
    <w:rsid w:val="00F7431B"/>
    <w:rsid w:val="00F74385"/>
    <w:rsid w:val="00F74461"/>
    <w:rsid w:val="00F74474"/>
    <w:rsid w:val="00F744B6"/>
    <w:rsid w:val="00F744D3"/>
    <w:rsid w:val="00F744D4"/>
    <w:rsid w:val="00F744DB"/>
    <w:rsid w:val="00F74512"/>
    <w:rsid w:val="00F74622"/>
    <w:rsid w:val="00F74659"/>
    <w:rsid w:val="00F747CE"/>
    <w:rsid w:val="00F747D0"/>
    <w:rsid w:val="00F74817"/>
    <w:rsid w:val="00F74949"/>
    <w:rsid w:val="00F74964"/>
    <w:rsid w:val="00F74A01"/>
    <w:rsid w:val="00F74ACA"/>
    <w:rsid w:val="00F74B3E"/>
    <w:rsid w:val="00F74C05"/>
    <w:rsid w:val="00F74C11"/>
    <w:rsid w:val="00F74F1B"/>
    <w:rsid w:val="00F74F6C"/>
    <w:rsid w:val="00F74F9D"/>
    <w:rsid w:val="00F7505D"/>
    <w:rsid w:val="00F75099"/>
    <w:rsid w:val="00F751AE"/>
    <w:rsid w:val="00F75238"/>
    <w:rsid w:val="00F75273"/>
    <w:rsid w:val="00F75305"/>
    <w:rsid w:val="00F75307"/>
    <w:rsid w:val="00F7531C"/>
    <w:rsid w:val="00F7535A"/>
    <w:rsid w:val="00F75400"/>
    <w:rsid w:val="00F7556B"/>
    <w:rsid w:val="00F7559F"/>
    <w:rsid w:val="00F755D7"/>
    <w:rsid w:val="00F7566B"/>
    <w:rsid w:val="00F75682"/>
    <w:rsid w:val="00F756BF"/>
    <w:rsid w:val="00F757AB"/>
    <w:rsid w:val="00F757D6"/>
    <w:rsid w:val="00F758B8"/>
    <w:rsid w:val="00F75917"/>
    <w:rsid w:val="00F759A3"/>
    <w:rsid w:val="00F759CC"/>
    <w:rsid w:val="00F75A14"/>
    <w:rsid w:val="00F75A3F"/>
    <w:rsid w:val="00F75AB2"/>
    <w:rsid w:val="00F75D97"/>
    <w:rsid w:val="00F75ECA"/>
    <w:rsid w:val="00F75F13"/>
    <w:rsid w:val="00F75FAD"/>
    <w:rsid w:val="00F75FFD"/>
    <w:rsid w:val="00F76112"/>
    <w:rsid w:val="00F76141"/>
    <w:rsid w:val="00F76165"/>
    <w:rsid w:val="00F76181"/>
    <w:rsid w:val="00F761F7"/>
    <w:rsid w:val="00F76294"/>
    <w:rsid w:val="00F7636A"/>
    <w:rsid w:val="00F76808"/>
    <w:rsid w:val="00F76913"/>
    <w:rsid w:val="00F76996"/>
    <w:rsid w:val="00F769D0"/>
    <w:rsid w:val="00F76A00"/>
    <w:rsid w:val="00F76A20"/>
    <w:rsid w:val="00F76A30"/>
    <w:rsid w:val="00F76AA3"/>
    <w:rsid w:val="00F76B02"/>
    <w:rsid w:val="00F76B12"/>
    <w:rsid w:val="00F76C25"/>
    <w:rsid w:val="00F76C88"/>
    <w:rsid w:val="00F76CBA"/>
    <w:rsid w:val="00F76CEF"/>
    <w:rsid w:val="00F76D24"/>
    <w:rsid w:val="00F76DD9"/>
    <w:rsid w:val="00F76E15"/>
    <w:rsid w:val="00F76E34"/>
    <w:rsid w:val="00F76ECB"/>
    <w:rsid w:val="00F76F57"/>
    <w:rsid w:val="00F76FA1"/>
    <w:rsid w:val="00F77035"/>
    <w:rsid w:val="00F77053"/>
    <w:rsid w:val="00F770DC"/>
    <w:rsid w:val="00F77131"/>
    <w:rsid w:val="00F77438"/>
    <w:rsid w:val="00F77445"/>
    <w:rsid w:val="00F77476"/>
    <w:rsid w:val="00F774E3"/>
    <w:rsid w:val="00F7755C"/>
    <w:rsid w:val="00F77647"/>
    <w:rsid w:val="00F776DA"/>
    <w:rsid w:val="00F77751"/>
    <w:rsid w:val="00F777D8"/>
    <w:rsid w:val="00F7794F"/>
    <w:rsid w:val="00F779A4"/>
    <w:rsid w:val="00F779D5"/>
    <w:rsid w:val="00F779F8"/>
    <w:rsid w:val="00F77A3C"/>
    <w:rsid w:val="00F77AEC"/>
    <w:rsid w:val="00F77B33"/>
    <w:rsid w:val="00F77B49"/>
    <w:rsid w:val="00F77B59"/>
    <w:rsid w:val="00F77B82"/>
    <w:rsid w:val="00F77E24"/>
    <w:rsid w:val="00F77F0A"/>
    <w:rsid w:val="00F77F44"/>
    <w:rsid w:val="00F80012"/>
    <w:rsid w:val="00F80199"/>
    <w:rsid w:val="00F801AC"/>
    <w:rsid w:val="00F801AD"/>
    <w:rsid w:val="00F803BD"/>
    <w:rsid w:val="00F80402"/>
    <w:rsid w:val="00F8040E"/>
    <w:rsid w:val="00F80533"/>
    <w:rsid w:val="00F80535"/>
    <w:rsid w:val="00F8069D"/>
    <w:rsid w:val="00F8078F"/>
    <w:rsid w:val="00F807D5"/>
    <w:rsid w:val="00F80849"/>
    <w:rsid w:val="00F8085A"/>
    <w:rsid w:val="00F80887"/>
    <w:rsid w:val="00F8089C"/>
    <w:rsid w:val="00F80910"/>
    <w:rsid w:val="00F8094C"/>
    <w:rsid w:val="00F80990"/>
    <w:rsid w:val="00F809BB"/>
    <w:rsid w:val="00F809BF"/>
    <w:rsid w:val="00F80BD8"/>
    <w:rsid w:val="00F80C4E"/>
    <w:rsid w:val="00F80CE6"/>
    <w:rsid w:val="00F80CE9"/>
    <w:rsid w:val="00F80D1D"/>
    <w:rsid w:val="00F80D37"/>
    <w:rsid w:val="00F80D46"/>
    <w:rsid w:val="00F80EBA"/>
    <w:rsid w:val="00F81028"/>
    <w:rsid w:val="00F810BB"/>
    <w:rsid w:val="00F810F7"/>
    <w:rsid w:val="00F81113"/>
    <w:rsid w:val="00F8116D"/>
    <w:rsid w:val="00F81234"/>
    <w:rsid w:val="00F812C2"/>
    <w:rsid w:val="00F812CD"/>
    <w:rsid w:val="00F814EC"/>
    <w:rsid w:val="00F81535"/>
    <w:rsid w:val="00F8156B"/>
    <w:rsid w:val="00F815BF"/>
    <w:rsid w:val="00F8160E"/>
    <w:rsid w:val="00F8165F"/>
    <w:rsid w:val="00F81741"/>
    <w:rsid w:val="00F8179E"/>
    <w:rsid w:val="00F81947"/>
    <w:rsid w:val="00F819EF"/>
    <w:rsid w:val="00F81A4A"/>
    <w:rsid w:val="00F81A86"/>
    <w:rsid w:val="00F81A95"/>
    <w:rsid w:val="00F81B94"/>
    <w:rsid w:val="00F81BAF"/>
    <w:rsid w:val="00F81C12"/>
    <w:rsid w:val="00F81C32"/>
    <w:rsid w:val="00F81DBC"/>
    <w:rsid w:val="00F81EC2"/>
    <w:rsid w:val="00F81F8B"/>
    <w:rsid w:val="00F8203F"/>
    <w:rsid w:val="00F820AB"/>
    <w:rsid w:val="00F82271"/>
    <w:rsid w:val="00F82305"/>
    <w:rsid w:val="00F8242C"/>
    <w:rsid w:val="00F82438"/>
    <w:rsid w:val="00F82547"/>
    <w:rsid w:val="00F825D0"/>
    <w:rsid w:val="00F8260A"/>
    <w:rsid w:val="00F82686"/>
    <w:rsid w:val="00F8273B"/>
    <w:rsid w:val="00F8273E"/>
    <w:rsid w:val="00F82772"/>
    <w:rsid w:val="00F82853"/>
    <w:rsid w:val="00F82879"/>
    <w:rsid w:val="00F8292A"/>
    <w:rsid w:val="00F829F2"/>
    <w:rsid w:val="00F82AFC"/>
    <w:rsid w:val="00F82DEF"/>
    <w:rsid w:val="00F82E9E"/>
    <w:rsid w:val="00F82EBC"/>
    <w:rsid w:val="00F82F27"/>
    <w:rsid w:val="00F8314F"/>
    <w:rsid w:val="00F83199"/>
    <w:rsid w:val="00F831A4"/>
    <w:rsid w:val="00F832BA"/>
    <w:rsid w:val="00F832E0"/>
    <w:rsid w:val="00F8333F"/>
    <w:rsid w:val="00F83380"/>
    <w:rsid w:val="00F83566"/>
    <w:rsid w:val="00F8363E"/>
    <w:rsid w:val="00F83736"/>
    <w:rsid w:val="00F837F4"/>
    <w:rsid w:val="00F83A0C"/>
    <w:rsid w:val="00F83A1B"/>
    <w:rsid w:val="00F83AD6"/>
    <w:rsid w:val="00F83BB5"/>
    <w:rsid w:val="00F83BDF"/>
    <w:rsid w:val="00F83C5A"/>
    <w:rsid w:val="00F83DC9"/>
    <w:rsid w:val="00F83E0B"/>
    <w:rsid w:val="00F83EB3"/>
    <w:rsid w:val="00F83F95"/>
    <w:rsid w:val="00F83FC7"/>
    <w:rsid w:val="00F8408E"/>
    <w:rsid w:val="00F840D7"/>
    <w:rsid w:val="00F84146"/>
    <w:rsid w:val="00F842B3"/>
    <w:rsid w:val="00F842F6"/>
    <w:rsid w:val="00F84400"/>
    <w:rsid w:val="00F84429"/>
    <w:rsid w:val="00F84433"/>
    <w:rsid w:val="00F844F2"/>
    <w:rsid w:val="00F84548"/>
    <w:rsid w:val="00F845F9"/>
    <w:rsid w:val="00F84692"/>
    <w:rsid w:val="00F846D5"/>
    <w:rsid w:val="00F846EA"/>
    <w:rsid w:val="00F84782"/>
    <w:rsid w:val="00F847FD"/>
    <w:rsid w:val="00F8481B"/>
    <w:rsid w:val="00F848D3"/>
    <w:rsid w:val="00F8494F"/>
    <w:rsid w:val="00F849B3"/>
    <w:rsid w:val="00F849BB"/>
    <w:rsid w:val="00F84A9A"/>
    <w:rsid w:val="00F84AAD"/>
    <w:rsid w:val="00F84DE4"/>
    <w:rsid w:val="00F84E82"/>
    <w:rsid w:val="00F84EBF"/>
    <w:rsid w:val="00F850DE"/>
    <w:rsid w:val="00F8516B"/>
    <w:rsid w:val="00F85196"/>
    <w:rsid w:val="00F851CA"/>
    <w:rsid w:val="00F8522F"/>
    <w:rsid w:val="00F853A6"/>
    <w:rsid w:val="00F8540A"/>
    <w:rsid w:val="00F85540"/>
    <w:rsid w:val="00F855D0"/>
    <w:rsid w:val="00F855EB"/>
    <w:rsid w:val="00F85725"/>
    <w:rsid w:val="00F8573D"/>
    <w:rsid w:val="00F85753"/>
    <w:rsid w:val="00F8578B"/>
    <w:rsid w:val="00F85793"/>
    <w:rsid w:val="00F8586F"/>
    <w:rsid w:val="00F85A1B"/>
    <w:rsid w:val="00F85BF1"/>
    <w:rsid w:val="00F85CAF"/>
    <w:rsid w:val="00F85D66"/>
    <w:rsid w:val="00F85F09"/>
    <w:rsid w:val="00F85FC0"/>
    <w:rsid w:val="00F86121"/>
    <w:rsid w:val="00F86165"/>
    <w:rsid w:val="00F86227"/>
    <w:rsid w:val="00F862BE"/>
    <w:rsid w:val="00F86376"/>
    <w:rsid w:val="00F864F8"/>
    <w:rsid w:val="00F8655A"/>
    <w:rsid w:val="00F86774"/>
    <w:rsid w:val="00F867A2"/>
    <w:rsid w:val="00F867AD"/>
    <w:rsid w:val="00F868D5"/>
    <w:rsid w:val="00F868DC"/>
    <w:rsid w:val="00F868F6"/>
    <w:rsid w:val="00F86931"/>
    <w:rsid w:val="00F86AB6"/>
    <w:rsid w:val="00F86AD5"/>
    <w:rsid w:val="00F86B23"/>
    <w:rsid w:val="00F86C18"/>
    <w:rsid w:val="00F86C51"/>
    <w:rsid w:val="00F86D44"/>
    <w:rsid w:val="00F86D60"/>
    <w:rsid w:val="00F86D7F"/>
    <w:rsid w:val="00F86DBC"/>
    <w:rsid w:val="00F86E73"/>
    <w:rsid w:val="00F87047"/>
    <w:rsid w:val="00F870B2"/>
    <w:rsid w:val="00F87256"/>
    <w:rsid w:val="00F872CE"/>
    <w:rsid w:val="00F872E3"/>
    <w:rsid w:val="00F872FA"/>
    <w:rsid w:val="00F87335"/>
    <w:rsid w:val="00F873D2"/>
    <w:rsid w:val="00F87408"/>
    <w:rsid w:val="00F8747E"/>
    <w:rsid w:val="00F8756B"/>
    <w:rsid w:val="00F876EF"/>
    <w:rsid w:val="00F8771E"/>
    <w:rsid w:val="00F87730"/>
    <w:rsid w:val="00F877F7"/>
    <w:rsid w:val="00F87945"/>
    <w:rsid w:val="00F879A8"/>
    <w:rsid w:val="00F879C7"/>
    <w:rsid w:val="00F87A3D"/>
    <w:rsid w:val="00F87A4A"/>
    <w:rsid w:val="00F87BC4"/>
    <w:rsid w:val="00F87C28"/>
    <w:rsid w:val="00F87DF6"/>
    <w:rsid w:val="00F87F3F"/>
    <w:rsid w:val="00F87F58"/>
    <w:rsid w:val="00F87F97"/>
    <w:rsid w:val="00F9019A"/>
    <w:rsid w:val="00F901CC"/>
    <w:rsid w:val="00F901D5"/>
    <w:rsid w:val="00F90262"/>
    <w:rsid w:val="00F903CF"/>
    <w:rsid w:val="00F90519"/>
    <w:rsid w:val="00F9072B"/>
    <w:rsid w:val="00F9074F"/>
    <w:rsid w:val="00F90751"/>
    <w:rsid w:val="00F9083E"/>
    <w:rsid w:val="00F90843"/>
    <w:rsid w:val="00F909B3"/>
    <w:rsid w:val="00F909FC"/>
    <w:rsid w:val="00F90BAC"/>
    <w:rsid w:val="00F90C3E"/>
    <w:rsid w:val="00F90CC3"/>
    <w:rsid w:val="00F90DBA"/>
    <w:rsid w:val="00F90E5D"/>
    <w:rsid w:val="00F90FBC"/>
    <w:rsid w:val="00F90FEB"/>
    <w:rsid w:val="00F91014"/>
    <w:rsid w:val="00F91026"/>
    <w:rsid w:val="00F91049"/>
    <w:rsid w:val="00F911B5"/>
    <w:rsid w:val="00F91207"/>
    <w:rsid w:val="00F91350"/>
    <w:rsid w:val="00F91388"/>
    <w:rsid w:val="00F9148E"/>
    <w:rsid w:val="00F9149A"/>
    <w:rsid w:val="00F91507"/>
    <w:rsid w:val="00F9158C"/>
    <w:rsid w:val="00F915AA"/>
    <w:rsid w:val="00F915F0"/>
    <w:rsid w:val="00F91701"/>
    <w:rsid w:val="00F9179B"/>
    <w:rsid w:val="00F918A3"/>
    <w:rsid w:val="00F91A30"/>
    <w:rsid w:val="00F91C54"/>
    <w:rsid w:val="00F91D9E"/>
    <w:rsid w:val="00F91E4E"/>
    <w:rsid w:val="00F91E53"/>
    <w:rsid w:val="00F91EC9"/>
    <w:rsid w:val="00F91EDF"/>
    <w:rsid w:val="00F91F46"/>
    <w:rsid w:val="00F91F5B"/>
    <w:rsid w:val="00F92007"/>
    <w:rsid w:val="00F9205A"/>
    <w:rsid w:val="00F92085"/>
    <w:rsid w:val="00F922CF"/>
    <w:rsid w:val="00F92354"/>
    <w:rsid w:val="00F923F9"/>
    <w:rsid w:val="00F92468"/>
    <w:rsid w:val="00F924D0"/>
    <w:rsid w:val="00F924D4"/>
    <w:rsid w:val="00F9258E"/>
    <w:rsid w:val="00F925F0"/>
    <w:rsid w:val="00F9266A"/>
    <w:rsid w:val="00F9267F"/>
    <w:rsid w:val="00F92754"/>
    <w:rsid w:val="00F927AB"/>
    <w:rsid w:val="00F927DD"/>
    <w:rsid w:val="00F92814"/>
    <w:rsid w:val="00F92889"/>
    <w:rsid w:val="00F92939"/>
    <w:rsid w:val="00F92A30"/>
    <w:rsid w:val="00F92B5D"/>
    <w:rsid w:val="00F92B68"/>
    <w:rsid w:val="00F92BDB"/>
    <w:rsid w:val="00F92CED"/>
    <w:rsid w:val="00F92D7C"/>
    <w:rsid w:val="00F92D87"/>
    <w:rsid w:val="00F92D9F"/>
    <w:rsid w:val="00F92EED"/>
    <w:rsid w:val="00F92F68"/>
    <w:rsid w:val="00F9309B"/>
    <w:rsid w:val="00F930B1"/>
    <w:rsid w:val="00F930C9"/>
    <w:rsid w:val="00F93171"/>
    <w:rsid w:val="00F93187"/>
    <w:rsid w:val="00F9320E"/>
    <w:rsid w:val="00F932D0"/>
    <w:rsid w:val="00F932EA"/>
    <w:rsid w:val="00F933C5"/>
    <w:rsid w:val="00F9370B"/>
    <w:rsid w:val="00F93807"/>
    <w:rsid w:val="00F938CF"/>
    <w:rsid w:val="00F938FB"/>
    <w:rsid w:val="00F93967"/>
    <w:rsid w:val="00F939B1"/>
    <w:rsid w:val="00F93AE9"/>
    <w:rsid w:val="00F93BBD"/>
    <w:rsid w:val="00F93BF5"/>
    <w:rsid w:val="00F93C24"/>
    <w:rsid w:val="00F93C9E"/>
    <w:rsid w:val="00F93CD0"/>
    <w:rsid w:val="00F93DB7"/>
    <w:rsid w:val="00F93E62"/>
    <w:rsid w:val="00F93E6C"/>
    <w:rsid w:val="00F93E70"/>
    <w:rsid w:val="00F93EC7"/>
    <w:rsid w:val="00F93ED1"/>
    <w:rsid w:val="00F93FAF"/>
    <w:rsid w:val="00F94025"/>
    <w:rsid w:val="00F94119"/>
    <w:rsid w:val="00F941B5"/>
    <w:rsid w:val="00F942D8"/>
    <w:rsid w:val="00F942E8"/>
    <w:rsid w:val="00F94474"/>
    <w:rsid w:val="00F944BD"/>
    <w:rsid w:val="00F944E6"/>
    <w:rsid w:val="00F9458E"/>
    <w:rsid w:val="00F9464C"/>
    <w:rsid w:val="00F9468B"/>
    <w:rsid w:val="00F946B5"/>
    <w:rsid w:val="00F947A5"/>
    <w:rsid w:val="00F94882"/>
    <w:rsid w:val="00F9489C"/>
    <w:rsid w:val="00F94917"/>
    <w:rsid w:val="00F94943"/>
    <w:rsid w:val="00F949A5"/>
    <w:rsid w:val="00F94A2D"/>
    <w:rsid w:val="00F94A47"/>
    <w:rsid w:val="00F94A4C"/>
    <w:rsid w:val="00F94ACE"/>
    <w:rsid w:val="00F94B09"/>
    <w:rsid w:val="00F94B24"/>
    <w:rsid w:val="00F94B73"/>
    <w:rsid w:val="00F94BB4"/>
    <w:rsid w:val="00F94CDD"/>
    <w:rsid w:val="00F94DCF"/>
    <w:rsid w:val="00F94F35"/>
    <w:rsid w:val="00F94F42"/>
    <w:rsid w:val="00F94FBE"/>
    <w:rsid w:val="00F94FDE"/>
    <w:rsid w:val="00F94FEB"/>
    <w:rsid w:val="00F9501A"/>
    <w:rsid w:val="00F950A1"/>
    <w:rsid w:val="00F950C6"/>
    <w:rsid w:val="00F9511C"/>
    <w:rsid w:val="00F951A1"/>
    <w:rsid w:val="00F951D4"/>
    <w:rsid w:val="00F9521C"/>
    <w:rsid w:val="00F95284"/>
    <w:rsid w:val="00F952F3"/>
    <w:rsid w:val="00F95430"/>
    <w:rsid w:val="00F9544D"/>
    <w:rsid w:val="00F95692"/>
    <w:rsid w:val="00F95758"/>
    <w:rsid w:val="00F95874"/>
    <w:rsid w:val="00F958B5"/>
    <w:rsid w:val="00F958B8"/>
    <w:rsid w:val="00F95913"/>
    <w:rsid w:val="00F95939"/>
    <w:rsid w:val="00F95A25"/>
    <w:rsid w:val="00F95B57"/>
    <w:rsid w:val="00F95B96"/>
    <w:rsid w:val="00F95BB1"/>
    <w:rsid w:val="00F95BCB"/>
    <w:rsid w:val="00F95C61"/>
    <w:rsid w:val="00F95D19"/>
    <w:rsid w:val="00F95F12"/>
    <w:rsid w:val="00F95F9C"/>
    <w:rsid w:val="00F960AA"/>
    <w:rsid w:val="00F960C8"/>
    <w:rsid w:val="00F96334"/>
    <w:rsid w:val="00F96363"/>
    <w:rsid w:val="00F96430"/>
    <w:rsid w:val="00F964AB"/>
    <w:rsid w:val="00F964AF"/>
    <w:rsid w:val="00F96546"/>
    <w:rsid w:val="00F9657E"/>
    <w:rsid w:val="00F965B6"/>
    <w:rsid w:val="00F965D8"/>
    <w:rsid w:val="00F96603"/>
    <w:rsid w:val="00F966A3"/>
    <w:rsid w:val="00F96789"/>
    <w:rsid w:val="00F96813"/>
    <w:rsid w:val="00F96889"/>
    <w:rsid w:val="00F969DE"/>
    <w:rsid w:val="00F969FC"/>
    <w:rsid w:val="00F96A07"/>
    <w:rsid w:val="00F96AAA"/>
    <w:rsid w:val="00F96AC5"/>
    <w:rsid w:val="00F96B28"/>
    <w:rsid w:val="00F96E28"/>
    <w:rsid w:val="00F96E34"/>
    <w:rsid w:val="00F96EC6"/>
    <w:rsid w:val="00F96FED"/>
    <w:rsid w:val="00F97020"/>
    <w:rsid w:val="00F97101"/>
    <w:rsid w:val="00F9713B"/>
    <w:rsid w:val="00F97160"/>
    <w:rsid w:val="00F97163"/>
    <w:rsid w:val="00F971B2"/>
    <w:rsid w:val="00F971EC"/>
    <w:rsid w:val="00F972CD"/>
    <w:rsid w:val="00F972FC"/>
    <w:rsid w:val="00F9731A"/>
    <w:rsid w:val="00F973E4"/>
    <w:rsid w:val="00F9746B"/>
    <w:rsid w:val="00F974EF"/>
    <w:rsid w:val="00F97503"/>
    <w:rsid w:val="00F9758A"/>
    <w:rsid w:val="00F976AD"/>
    <w:rsid w:val="00F97858"/>
    <w:rsid w:val="00F97A56"/>
    <w:rsid w:val="00F97B4D"/>
    <w:rsid w:val="00F97C34"/>
    <w:rsid w:val="00F97CC6"/>
    <w:rsid w:val="00F97CDB"/>
    <w:rsid w:val="00F97D14"/>
    <w:rsid w:val="00F97D72"/>
    <w:rsid w:val="00F97E4F"/>
    <w:rsid w:val="00F97FB4"/>
    <w:rsid w:val="00F97FDD"/>
    <w:rsid w:val="00FA000E"/>
    <w:rsid w:val="00FA01EF"/>
    <w:rsid w:val="00FA01FC"/>
    <w:rsid w:val="00FA032B"/>
    <w:rsid w:val="00FA03E5"/>
    <w:rsid w:val="00FA042C"/>
    <w:rsid w:val="00FA0454"/>
    <w:rsid w:val="00FA0469"/>
    <w:rsid w:val="00FA04FA"/>
    <w:rsid w:val="00FA052E"/>
    <w:rsid w:val="00FA0574"/>
    <w:rsid w:val="00FA05F2"/>
    <w:rsid w:val="00FA062B"/>
    <w:rsid w:val="00FA06F0"/>
    <w:rsid w:val="00FA06FF"/>
    <w:rsid w:val="00FA07E1"/>
    <w:rsid w:val="00FA0800"/>
    <w:rsid w:val="00FA081F"/>
    <w:rsid w:val="00FA0868"/>
    <w:rsid w:val="00FA0A40"/>
    <w:rsid w:val="00FA0A7D"/>
    <w:rsid w:val="00FA0B10"/>
    <w:rsid w:val="00FA0C19"/>
    <w:rsid w:val="00FA0C44"/>
    <w:rsid w:val="00FA0CD7"/>
    <w:rsid w:val="00FA0E4E"/>
    <w:rsid w:val="00FA0F9E"/>
    <w:rsid w:val="00FA0FD2"/>
    <w:rsid w:val="00FA0FF7"/>
    <w:rsid w:val="00FA1006"/>
    <w:rsid w:val="00FA1036"/>
    <w:rsid w:val="00FA1052"/>
    <w:rsid w:val="00FA10A9"/>
    <w:rsid w:val="00FA11A5"/>
    <w:rsid w:val="00FA137A"/>
    <w:rsid w:val="00FA13AB"/>
    <w:rsid w:val="00FA13CE"/>
    <w:rsid w:val="00FA145D"/>
    <w:rsid w:val="00FA14C9"/>
    <w:rsid w:val="00FA167D"/>
    <w:rsid w:val="00FA182E"/>
    <w:rsid w:val="00FA1ABD"/>
    <w:rsid w:val="00FA1B0A"/>
    <w:rsid w:val="00FA1E3B"/>
    <w:rsid w:val="00FA1E8D"/>
    <w:rsid w:val="00FA1EA6"/>
    <w:rsid w:val="00FA1EFA"/>
    <w:rsid w:val="00FA1EFD"/>
    <w:rsid w:val="00FA20E3"/>
    <w:rsid w:val="00FA21AD"/>
    <w:rsid w:val="00FA21CB"/>
    <w:rsid w:val="00FA225F"/>
    <w:rsid w:val="00FA251C"/>
    <w:rsid w:val="00FA254A"/>
    <w:rsid w:val="00FA265D"/>
    <w:rsid w:val="00FA28F6"/>
    <w:rsid w:val="00FA291B"/>
    <w:rsid w:val="00FA29B9"/>
    <w:rsid w:val="00FA2AB1"/>
    <w:rsid w:val="00FA2BE6"/>
    <w:rsid w:val="00FA2D18"/>
    <w:rsid w:val="00FA2DDE"/>
    <w:rsid w:val="00FA2DED"/>
    <w:rsid w:val="00FA2E3F"/>
    <w:rsid w:val="00FA2EBC"/>
    <w:rsid w:val="00FA2F1D"/>
    <w:rsid w:val="00FA2F87"/>
    <w:rsid w:val="00FA2FD1"/>
    <w:rsid w:val="00FA303B"/>
    <w:rsid w:val="00FA3105"/>
    <w:rsid w:val="00FA311A"/>
    <w:rsid w:val="00FA3137"/>
    <w:rsid w:val="00FA31E0"/>
    <w:rsid w:val="00FA34CA"/>
    <w:rsid w:val="00FA3528"/>
    <w:rsid w:val="00FA3552"/>
    <w:rsid w:val="00FA3602"/>
    <w:rsid w:val="00FA3650"/>
    <w:rsid w:val="00FA3691"/>
    <w:rsid w:val="00FA3721"/>
    <w:rsid w:val="00FA394C"/>
    <w:rsid w:val="00FA3A4A"/>
    <w:rsid w:val="00FA3A53"/>
    <w:rsid w:val="00FA3B84"/>
    <w:rsid w:val="00FA3BE6"/>
    <w:rsid w:val="00FA3C81"/>
    <w:rsid w:val="00FA3C91"/>
    <w:rsid w:val="00FA3CCB"/>
    <w:rsid w:val="00FA3DF4"/>
    <w:rsid w:val="00FA3E63"/>
    <w:rsid w:val="00FA40A8"/>
    <w:rsid w:val="00FA4318"/>
    <w:rsid w:val="00FA4387"/>
    <w:rsid w:val="00FA4404"/>
    <w:rsid w:val="00FA4472"/>
    <w:rsid w:val="00FA45B1"/>
    <w:rsid w:val="00FA46D9"/>
    <w:rsid w:val="00FA46F8"/>
    <w:rsid w:val="00FA4719"/>
    <w:rsid w:val="00FA485F"/>
    <w:rsid w:val="00FA48A0"/>
    <w:rsid w:val="00FA48B0"/>
    <w:rsid w:val="00FA48F9"/>
    <w:rsid w:val="00FA496A"/>
    <w:rsid w:val="00FA49CC"/>
    <w:rsid w:val="00FA4A00"/>
    <w:rsid w:val="00FA4A5B"/>
    <w:rsid w:val="00FA4AD9"/>
    <w:rsid w:val="00FA4B20"/>
    <w:rsid w:val="00FA4BEA"/>
    <w:rsid w:val="00FA4CB9"/>
    <w:rsid w:val="00FA4D37"/>
    <w:rsid w:val="00FA4D4C"/>
    <w:rsid w:val="00FA4D51"/>
    <w:rsid w:val="00FA4F4A"/>
    <w:rsid w:val="00FA4F85"/>
    <w:rsid w:val="00FA500C"/>
    <w:rsid w:val="00FA513D"/>
    <w:rsid w:val="00FA538E"/>
    <w:rsid w:val="00FA53C4"/>
    <w:rsid w:val="00FA53D1"/>
    <w:rsid w:val="00FA53E3"/>
    <w:rsid w:val="00FA5494"/>
    <w:rsid w:val="00FA5644"/>
    <w:rsid w:val="00FA57C5"/>
    <w:rsid w:val="00FA583D"/>
    <w:rsid w:val="00FA586F"/>
    <w:rsid w:val="00FA58C3"/>
    <w:rsid w:val="00FA58FC"/>
    <w:rsid w:val="00FA59B1"/>
    <w:rsid w:val="00FA5AB5"/>
    <w:rsid w:val="00FA5AC3"/>
    <w:rsid w:val="00FA5B6C"/>
    <w:rsid w:val="00FA5E61"/>
    <w:rsid w:val="00FA5E6C"/>
    <w:rsid w:val="00FA5EBB"/>
    <w:rsid w:val="00FA5EE1"/>
    <w:rsid w:val="00FA5EFE"/>
    <w:rsid w:val="00FA5F22"/>
    <w:rsid w:val="00FA5F4B"/>
    <w:rsid w:val="00FA6057"/>
    <w:rsid w:val="00FA60A3"/>
    <w:rsid w:val="00FA60A9"/>
    <w:rsid w:val="00FA61DD"/>
    <w:rsid w:val="00FA632A"/>
    <w:rsid w:val="00FA63E0"/>
    <w:rsid w:val="00FA6442"/>
    <w:rsid w:val="00FA64D7"/>
    <w:rsid w:val="00FA6572"/>
    <w:rsid w:val="00FA6603"/>
    <w:rsid w:val="00FA662D"/>
    <w:rsid w:val="00FA666C"/>
    <w:rsid w:val="00FA6742"/>
    <w:rsid w:val="00FA6964"/>
    <w:rsid w:val="00FA69CE"/>
    <w:rsid w:val="00FA6A6E"/>
    <w:rsid w:val="00FA6B33"/>
    <w:rsid w:val="00FA6B75"/>
    <w:rsid w:val="00FA6BB4"/>
    <w:rsid w:val="00FA6BD3"/>
    <w:rsid w:val="00FA6E68"/>
    <w:rsid w:val="00FA6E88"/>
    <w:rsid w:val="00FA6E8E"/>
    <w:rsid w:val="00FA6FEA"/>
    <w:rsid w:val="00FA7197"/>
    <w:rsid w:val="00FA71A7"/>
    <w:rsid w:val="00FA723F"/>
    <w:rsid w:val="00FA7252"/>
    <w:rsid w:val="00FA7345"/>
    <w:rsid w:val="00FA7370"/>
    <w:rsid w:val="00FA73A5"/>
    <w:rsid w:val="00FA73C4"/>
    <w:rsid w:val="00FA7509"/>
    <w:rsid w:val="00FA7576"/>
    <w:rsid w:val="00FA75D1"/>
    <w:rsid w:val="00FA7624"/>
    <w:rsid w:val="00FA766B"/>
    <w:rsid w:val="00FA7670"/>
    <w:rsid w:val="00FA779E"/>
    <w:rsid w:val="00FA77EA"/>
    <w:rsid w:val="00FA780B"/>
    <w:rsid w:val="00FA7817"/>
    <w:rsid w:val="00FA7906"/>
    <w:rsid w:val="00FA794F"/>
    <w:rsid w:val="00FA79CC"/>
    <w:rsid w:val="00FA7A23"/>
    <w:rsid w:val="00FA7C39"/>
    <w:rsid w:val="00FA7C85"/>
    <w:rsid w:val="00FA7C9F"/>
    <w:rsid w:val="00FA7D04"/>
    <w:rsid w:val="00FA7E23"/>
    <w:rsid w:val="00FA7E76"/>
    <w:rsid w:val="00FA7F83"/>
    <w:rsid w:val="00FB012E"/>
    <w:rsid w:val="00FB0144"/>
    <w:rsid w:val="00FB021F"/>
    <w:rsid w:val="00FB0269"/>
    <w:rsid w:val="00FB02BA"/>
    <w:rsid w:val="00FB02C8"/>
    <w:rsid w:val="00FB043D"/>
    <w:rsid w:val="00FB0476"/>
    <w:rsid w:val="00FB059B"/>
    <w:rsid w:val="00FB059F"/>
    <w:rsid w:val="00FB060F"/>
    <w:rsid w:val="00FB062A"/>
    <w:rsid w:val="00FB079F"/>
    <w:rsid w:val="00FB0828"/>
    <w:rsid w:val="00FB0872"/>
    <w:rsid w:val="00FB08A8"/>
    <w:rsid w:val="00FB0945"/>
    <w:rsid w:val="00FB0954"/>
    <w:rsid w:val="00FB099F"/>
    <w:rsid w:val="00FB09C2"/>
    <w:rsid w:val="00FB09C7"/>
    <w:rsid w:val="00FB09F7"/>
    <w:rsid w:val="00FB0A52"/>
    <w:rsid w:val="00FB0AC9"/>
    <w:rsid w:val="00FB0CA6"/>
    <w:rsid w:val="00FB0CCC"/>
    <w:rsid w:val="00FB0D32"/>
    <w:rsid w:val="00FB0EEF"/>
    <w:rsid w:val="00FB0FCF"/>
    <w:rsid w:val="00FB1096"/>
    <w:rsid w:val="00FB1139"/>
    <w:rsid w:val="00FB11DF"/>
    <w:rsid w:val="00FB1269"/>
    <w:rsid w:val="00FB136D"/>
    <w:rsid w:val="00FB14A4"/>
    <w:rsid w:val="00FB14D7"/>
    <w:rsid w:val="00FB14DA"/>
    <w:rsid w:val="00FB1608"/>
    <w:rsid w:val="00FB1709"/>
    <w:rsid w:val="00FB188D"/>
    <w:rsid w:val="00FB18D1"/>
    <w:rsid w:val="00FB18D5"/>
    <w:rsid w:val="00FB18ED"/>
    <w:rsid w:val="00FB1A41"/>
    <w:rsid w:val="00FB1ADC"/>
    <w:rsid w:val="00FB1B67"/>
    <w:rsid w:val="00FB1C48"/>
    <w:rsid w:val="00FB1CC6"/>
    <w:rsid w:val="00FB1CE0"/>
    <w:rsid w:val="00FB1CFE"/>
    <w:rsid w:val="00FB1D53"/>
    <w:rsid w:val="00FB1D8B"/>
    <w:rsid w:val="00FB1E6D"/>
    <w:rsid w:val="00FB1F9F"/>
    <w:rsid w:val="00FB1FB0"/>
    <w:rsid w:val="00FB2161"/>
    <w:rsid w:val="00FB21B3"/>
    <w:rsid w:val="00FB21F1"/>
    <w:rsid w:val="00FB2259"/>
    <w:rsid w:val="00FB22A0"/>
    <w:rsid w:val="00FB22B1"/>
    <w:rsid w:val="00FB22FF"/>
    <w:rsid w:val="00FB2354"/>
    <w:rsid w:val="00FB259A"/>
    <w:rsid w:val="00FB259D"/>
    <w:rsid w:val="00FB26AB"/>
    <w:rsid w:val="00FB26C4"/>
    <w:rsid w:val="00FB26FD"/>
    <w:rsid w:val="00FB27FA"/>
    <w:rsid w:val="00FB2861"/>
    <w:rsid w:val="00FB2A3E"/>
    <w:rsid w:val="00FB2AAF"/>
    <w:rsid w:val="00FB2AF3"/>
    <w:rsid w:val="00FB2B43"/>
    <w:rsid w:val="00FB2C1A"/>
    <w:rsid w:val="00FB2D49"/>
    <w:rsid w:val="00FB2D56"/>
    <w:rsid w:val="00FB2E3C"/>
    <w:rsid w:val="00FB2EB3"/>
    <w:rsid w:val="00FB2F1F"/>
    <w:rsid w:val="00FB31CD"/>
    <w:rsid w:val="00FB3309"/>
    <w:rsid w:val="00FB344A"/>
    <w:rsid w:val="00FB3481"/>
    <w:rsid w:val="00FB35DF"/>
    <w:rsid w:val="00FB3638"/>
    <w:rsid w:val="00FB376B"/>
    <w:rsid w:val="00FB37F9"/>
    <w:rsid w:val="00FB37FB"/>
    <w:rsid w:val="00FB393E"/>
    <w:rsid w:val="00FB396B"/>
    <w:rsid w:val="00FB39E2"/>
    <w:rsid w:val="00FB3A67"/>
    <w:rsid w:val="00FB3A6A"/>
    <w:rsid w:val="00FB3B2F"/>
    <w:rsid w:val="00FB3B3C"/>
    <w:rsid w:val="00FB3C6D"/>
    <w:rsid w:val="00FB3E1E"/>
    <w:rsid w:val="00FB3E2D"/>
    <w:rsid w:val="00FB3E5B"/>
    <w:rsid w:val="00FB3E6A"/>
    <w:rsid w:val="00FB3EA3"/>
    <w:rsid w:val="00FB3EFD"/>
    <w:rsid w:val="00FB3F75"/>
    <w:rsid w:val="00FB4132"/>
    <w:rsid w:val="00FB434E"/>
    <w:rsid w:val="00FB43A3"/>
    <w:rsid w:val="00FB4448"/>
    <w:rsid w:val="00FB44D4"/>
    <w:rsid w:val="00FB4518"/>
    <w:rsid w:val="00FB4580"/>
    <w:rsid w:val="00FB460B"/>
    <w:rsid w:val="00FB4696"/>
    <w:rsid w:val="00FB46AE"/>
    <w:rsid w:val="00FB47F1"/>
    <w:rsid w:val="00FB497B"/>
    <w:rsid w:val="00FB49E1"/>
    <w:rsid w:val="00FB4B01"/>
    <w:rsid w:val="00FB4BA7"/>
    <w:rsid w:val="00FB4C01"/>
    <w:rsid w:val="00FB4C59"/>
    <w:rsid w:val="00FB4CB8"/>
    <w:rsid w:val="00FB4D0F"/>
    <w:rsid w:val="00FB4E0C"/>
    <w:rsid w:val="00FB4E6F"/>
    <w:rsid w:val="00FB4F14"/>
    <w:rsid w:val="00FB50A4"/>
    <w:rsid w:val="00FB50A5"/>
    <w:rsid w:val="00FB50E9"/>
    <w:rsid w:val="00FB51FA"/>
    <w:rsid w:val="00FB5330"/>
    <w:rsid w:val="00FB5345"/>
    <w:rsid w:val="00FB566B"/>
    <w:rsid w:val="00FB57CB"/>
    <w:rsid w:val="00FB57F4"/>
    <w:rsid w:val="00FB583B"/>
    <w:rsid w:val="00FB58C5"/>
    <w:rsid w:val="00FB5932"/>
    <w:rsid w:val="00FB5A52"/>
    <w:rsid w:val="00FB5BFE"/>
    <w:rsid w:val="00FB5C3E"/>
    <w:rsid w:val="00FB5C7A"/>
    <w:rsid w:val="00FB5D23"/>
    <w:rsid w:val="00FB5DC8"/>
    <w:rsid w:val="00FB5EC4"/>
    <w:rsid w:val="00FB5EE3"/>
    <w:rsid w:val="00FB5F24"/>
    <w:rsid w:val="00FB5F40"/>
    <w:rsid w:val="00FB5F5A"/>
    <w:rsid w:val="00FB6026"/>
    <w:rsid w:val="00FB602E"/>
    <w:rsid w:val="00FB6030"/>
    <w:rsid w:val="00FB6043"/>
    <w:rsid w:val="00FB604A"/>
    <w:rsid w:val="00FB610F"/>
    <w:rsid w:val="00FB61ED"/>
    <w:rsid w:val="00FB62A9"/>
    <w:rsid w:val="00FB62FC"/>
    <w:rsid w:val="00FB631B"/>
    <w:rsid w:val="00FB6330"/>
    <w:rsid w:val="00FB6423"/>
    <w:rsid w:val="00FB6440"/>
    <w:rsid w:val="00FB6492"/>
    <w:rsid w:val="00FB657C"/>
    <w:rsid w:val="00FB6815"/>
    <w:rsid w:val="00FB691C"/>
    <w:rsid w:val="00FB6970"/>
    <w:rsid w:val="00FB697D"/>
    <w:rsid w:val="00FB69A5"/>
    <w:rsid w:val="00FB6A08"/>
    <w:rsid w:val="00FB6A9D"/>
    <w:rsid w:val="00FB6AAE"/>
    <w:rsid w:val="00FB6ABF"/>
    <w:rsid w:val="00FB6AD6"/>
    <w:rsid w:val="00FB6B74"/>
    <w:rsid w:val="00FB6C4A"/>
    <w:rsid w:val="00FB6DAD"/>
    <w:rsid w:val="00FB6DE8"/>
    <w:rsid w:val="00FB6E25"/>
    <w:rsid w:val="00FB6E94"/>
    <w:rsid w:val="00FB6FD3"/>
    <w:rsid w:val="00FB6FF5"/>
    <w:rsid w:val="00FB7063"/>
    <w:rsid w:val="00FB709B"/>
    <w:rsid w:val="00FB7156"/>
    <w:rsid w:val="00FB728D"/>
    <w:rsid w:val="00FB72B8"/>
    <w:rsid w:val="00FB73EF"/>
    <w:rsid w:val="00FB74A9"/>
    <w:rsid w:val="00FB74FA"/>
    <w:rsid w:val="00FB7520"/>
    <w:rsid w:val="00FB75E7"/>
    <w:rsid w:val="00FB7672"/>
    <w:rsid w:val="00FB77B2"/>
    <w:rsid w:val="00FB7823"/>
    <w:rsid w:val="00FB78F3"/>
    <w:rsid w:val="00FB790C"/>
    <w:rsid w:val="00FB7999"/>
    <w:rsid w:val="00FB7AC7"/>
    <w:rsid w:val="00FB7B37"/>
    <w:rsid w:val="00FB7B84"/>
    <w:rsid w:val="00FB7BA3"/>
    <w:rsid w:val="00FB7C19"/>
    <w:rsid w:val="00FB7D82"/>
    <w:rsid w:val="00FB7E08"/>
    <w:rsid w:val="00FB7E88"/>
    <w:rsid w:val="00FC0034"/>
    <w:rsid w:val="00FC0116"/>
    <w:rsid w:val="00FC023B"/>
    <w:rsid w:val="00FC0249"/>
    <w:rsid w:val="00FC04A7"/>
    <w:rsid w:val="00FC0702"/>
    <w:rsid w:val="00FC072A"/>
    <w:rsid w:val="00FC078E"/>
    <w:rsid w:val="00FC079A"/>
    <w:rsid w:val="00FC0848"/>
    <w:rsid w:val="00FC0A33"/>
    <w:rsid w:val="00FC0BB1"/>
    <w:rsid w:val="00FC0BF1"/>
    <w:rsid w:val="00FC0CA1"/>
    <w:rsid w:val="00FC0DE4"/>
    <w:rsid w:val="00FC0EBB"/>
    <w:rsid w:val="00FC0F1E"/>
    <w:rsid w:val="00FC1116"/>
    <w:rsid w:val="00FC115E"/>
    <w:rsid w:val="00FC1372"/>
    <w:rsid w:val="00FC13EF"/>
    <w:rsid w:val="00FC145E"/>
    <w:rsid w:val="00FC163F"/>
    <w:rsid w:val="00FC16F4"/>
    <w:rsid w:val="00FC1764"/>
    <w:rsid w:val="00FC1772"/>
    <w:rsid w:val="00FC17BC"/>
    <w:rsid w:val="00FC18A9"/>
    <w:rsid w:val="00FC18B6"/>
    <w:rsid w:val="00FC19EE"/>
    <w:rsid w:val="00FC1A69"/>
    <w:rsid w:val="00FC1AAC"/>
    <w:rsid w:val="00FC1AD5"/>
    <w:rsid w:val="00FC1C9C"/>
    <w:rsid w:val="00FC1D1E"/>
    <w:rsid w:val="00FC1F19"/>
    <w:rsid w:val="00FC1FFA"/>
    <w:rsid w:val="00FC213A"/>
    <w:rsid w:val="00FC21F4"/>
    <w:rsid w:val="00FC22FD"/>
    <w:rsid w:val="00FC23FC"/>
    <w:rsid w:val="00FC2471"/>
    <w:rsid w:val="00FC2489"/>
    <w:rsid w:val="00FC24B2"/>
    <w:rsid w:val="00FC24C4"/>
    <w:rsid w:val="00FC24F2"/>
    <w:rsid w:val="00FC24F4"/>
    <w:rsid w:val="00FC2585"/>
    <w:rsid w:val="00FC25FA"/>
    <w:rsid w:val="00FC2674"/>
    <w:rsid w:val="00FC268B"/>
    <w:rsid w:val="00FC26DD"/>
    <w:rsid w:val="00FC26FB"/>
    <w:rsid w:val="00FC276D"/>
    <w:rsid w:val="00FC277A"/>
    <w:rsid w:val="00FC2860"/>
    <w:rsid w:val="00FC28F2"/>
    <w:rsid w:val="00FC2C33"/>
    <w:rsid w:val="00FC2D23"/>
    <w:rsid w:val="00FC2D98"/>
    <w:rsid w:val="00FC2EFD"/>
    <w:rsid w:val="00FC2FC8"/>
    <w:rsid w:val="00FC329F"/>
    <w:rsid w:val="00FC330C"/>
    <w:rsid w:val="00FC3366"/>
    <w:rsid w:val="00FC336E"/>
    <w:rsid w:val="00FC33A8"/>
    <w:rsid w:val="00FC33CD"/>
    <w:rsid w:val="00FC342C"/>
    <w:rsid w:val="00FC344A"/>
    <w:rsid w:val="00FC3561"/>
    <w:rsid w:val="00FC3588"/>
    <w:rsid w:val="00FC36E4"/>
    <w:rsid w:val="00FC3750"/>
    <w:rsid w:val="00FC37D0"/>
    <w:rsid w:val="00FC3B20"/>
    <w:rsid w:val="00FC3BD7"/>
    <w:rsid w:val="00FC3C4C"/>
    <w:rsid w:val="00FC3C4D"/>
    <w:rsid w:val="00FC3C5B"/>
    <w:rsid w:val="00FC3CA0"/>
    <w:rsid w:val="00FC3DBD"/>
    <w:rsid w:val="00FC3E5A"/>
    <w:rsid w:val="00FC3F15"/>
    <w:rsid w:val="00FC3F28"/>
    <w:rsid w:val="00FC3F8D"/>
    <w:rsid w:val="00FC4099"/>
    <w:rsid w:val="00FC40B0"/>
    <w:rsid w:val="00FC40C9"/>
    <w:rsid w:val="00FC424F"/>
    <w:rsid w:val="00FC4270"/>
    <w:rsid w:val="00FC429C"/>
    <w:rsid w:val="00FC42C3"/>
    <w:rsid w:val="00FC4321"/>
    <w:rsid w:val="00FC43DB"/>
    <w:rsid w:val="00FC4406"/>
    <w:rsid w:val="00FC4408"/>
    <w:rsid w:val="00FC446F"/>
    <w:rsid w:val="00FC4754"/>
    <w:rsid w:val="00FC4771"/>
    <w:rsid w:val="00FC4894"/>
    <w:rsid w:val="00FC4976"/>
    <w:rsid w:val="00FC49E6"/>
    <w:rsid w:val="00FC4A33"/>
    <w:rsid w:val="00FC4A74"/>
    <w:rsid w:val="00FC4A7E"/>
    <w:rsid w:val="00FC4AD5"/>
    <w:rsid w:val="00FC4AFC"/>
    <w:rsid w:val="00FC4C7F"/>
    <w:rsid w:val="00FC4CDF"/>
    <w:rsid w:val="00FC4DB1"/>
    <w:rsid w:val="00FC4DD6"/>
    <w:rsid w:val="00FC4EA5"/>
    <w:rsid w:val="00FC4F2E"/>
    <w:rsid w:val="00FC4FCF"/>
    <w:rsid w:val="00FC5011"/>
    <w:rsid w:val="00FC5096"/>
    <w:rsid w:val="00FC50BC"/>
    <w:rsid w:val="00FC50F1"/>
    <w:rsid w:val="00FC5142"/>
    <w:rsid w:val="00FC51A4"/>
    <w:rsid w:val="00FC520D"/>
    <w:rsid w:val="00FC5490"/>
    <w:rsid w:val="00FC55CA"/>
    <w:rsid w:val="00FC561C"/>
    <w:rsid w:val="00FC564D"/>
    <w:rsid w:val="00FC5744"/>
    <w:rsid w:val="00FC592D"/>
    <w:rsid w:val="00FC598E"/>
    <w:rsid w:val="00FC5A71"/>
    <w:rsid w:val="00FC5A75"/>
    <w:rsid w:val="00FC5BB2"/>
    <w:rsid w:val="00FC5E6A"/>
    <w:rsid w:val="00FC5E6D"/>
    <w:rsid w:val="00FC5ECD"/>
    <w:rsid w:val="00FC5EE4"/>
    <w:rsid w:val="00FC5F98"/>
    <w:rsid w:val="00FC5FCC"/>
    <w:rsid w:val="00FC6000"/>
    <w:rsid w:val="00FC6017"/>
    <w:rsid w:val="00FC601D"/>
    <w:rsid w:val="00FC6070"/>
    <w:rsid w:val="00FC60D1"/>
    <w:rsid w:val="00FC615A"/>
    <w:rsid w:val="00FC61A5"/>
    <w:rsid w:val="00FC6232"/>
    <w:rsid w:val="00FC63BD"/>
    <w:rsid w:val="00FC63C5"/>
    <w:rsid w:val="00FC6471"/>
    <w:rsid w:val="00FC6616"/>
    <w:rsid w:val="00FC669B"/>
    <w:rsid w:val="00FC66F0"/>
    <w:rsid w:val="00FC6758"/>
    <w:rsid w:val="00FC675A"/>
    <w:rsid w:val="00FC6765"/>
    <w:rsid w:val="00FC6963"/>
    <w:rsid w:val="00FC6A98"/>
    <w:rsid w:val="00FC6B40"/>
    <w:rsid w:val="00FC6B75"/>
    <w:rsid w:val="00FC6DD6"/>
    <w:rsid w:val="00FC6DDB"/>
    <w:rsid w:val="00FC6E67"/>
    <w:rsid w:val="00FC6F07"/>
    <w:rsid w:val="00FC6F62"/>
    <w:rsid w:val="00FC7142"/>
    <w:rsid w:val="00FC716C"/>
    <w:rsid w:val="00FC71C6"/>
    <w:rsid w:val="00FC72CE"/>
    <w:rsid w:val="00FC72DD"/>
    <w:rsid w:val="00FC7397"/>
    <w:rsid w:val="00FC73D6"/>
    <w:rsid w:val="00FC74BA"/>
    <w:rsid w:val="00FC7532"/>
    <w:rsid w:val="00FC7625"/>
    <w:rsid w:val="00FC767E"/>
    <w:rsid w:val="00FC768E"/>
    <w:rsid w:val="00FC76D8"/>
    <w:rsid w:val="00FC76E7"/>
    <w:rsid w:val="00FC7717"/>
    <w:rsid w:val="00FC777C"/>
    <w:rsid w:val="00FC7A01"/>
    <w:rsid w:val="00FC7A2D"/>
    <w:rsid w:val="00FC7AEE"/>
    <w:rsid w:val="00FC7DD1"/>
    <w:rsid w:val="00FC7E5A"/>
    <w:rsid w:val="00FC7E9E"/>
    <w:rsid w:val="00FC7F8B"/>
    <w:rsid w:val="00FD0059"/>
    <w:rsid w:val="00FD0163"/>
    <w:rsid w:val="00FD0322"/>
    <w:rsid w:val="00FD035E"/>
    <w:rsid w:val="00FD03DB"/>
    <w:rsid w:val="00FD0584"/>
    <w:rsid w:val="00FD06A7"/>
    <w:rsid w:val="00FD07FD"/>
    <w:rsid w:val="00FD08CE"/>
    <w:rsid w:val="00FD0925"/>
    <w:rsid w:val="00FD096F"/>
    <w:rsid w:val="00FD0A24"/>
    <w:rsid w:val="00FD0A28"/>
    <w:rsid w:val="00FD0A6C"/>
    <w:rsid w:val="00FD0A85"/>
    <w:rsid w:val="00FD0AD8"/>
    <w:rsid w:val="00FD0BC6"/>
    <w:rsid w:val="00FD0CA1"/>
    <w:rsid w:val="00FD0CA8"/>
    <w:rsid w:val="00FD0CBD"/>
    <w:rsid w:val="00FD0E47"/>
    <w:rsid w:val="00FD0EA1"/>
    <w:rsid w:val="00FD0FC9"/>
    <w:rsid w:val="00FD105C"/>
    <w:rsid w:val="00FD1148"/>
    <w:rsid w:val="00FD11FA"/>
    <w:rsid w:val="00FD13F7"/>
    <w:rsid w:val="00FD1556"/>
    <w:rsid w:val="00FD1686"/>
    <w:rsid w:val="00FD1697"/>
    <w:rsid w:val="00FD16CC"/>
    <w:rsid w:val="00FD1853"/>
    <w:rsid w:val="00FD18F7"/>
    <w:rsid w:val="00FD1A34"/>
    <w:rsid w:val="00FD1B01"/>
    <w:rsid w:val="00FD1B95"/>
    <w:rsid w:val="00FD1C73"/>
    <w:rsid w:val="00FD1CCC"/>
    <w:rsid w:val="00FD1D37"/>
    <w:rsid w:val="00FD1DFC"/>
    <w:rsid w:val="00FD1E38"/>
    <w:rsid w:val="00FD1E85"/>
    <w:rsid w:val="00FD1EAA"/>
    <w:rsid w:val="00FD1F7E"/>
    <w:rsid w:val="00FD203D"/>
    <w:rsid w:val="00FD2097"/>
    <w:rsid w:val="00FD2133"/>
    <w:rsid w:val="00FD21A1"/>
    <w:rsid w:val="00FD2298"/>
    <w:rsid w:val="00FD22F5"/>
    <w:rsid w:val="00FD2348"/>
    <w:rsid w:val="00FD237C"/>
    <w:rsid w:val="00FD23A5"/>
    <w:rsid w:val="00FD2427"/>
    <w:rsid w:val="00FD2513"/>
    <w:rsid w:val="00FD2678"/>
    <w:rsid w:val="00FD2704"/>
    <w:rsid w:val="00FD2792"/>
    <w:rsid w:val="00FD28DD"/>
    <w:rsid w:val="00FD2AA3"/>
    <w:rsid w:val="00FD2AD4"/>
    <w:rsid w:val="00FD2AE4"/>
    <w:rsid w:val="00FD2B13"/>
    <w:rsid w:val="00FD2B49"/>
    <w:rsid w:val="00FD2B52"/>
    <w:rsid w:val="00FD2B78"/>
    <w:rsid w:val="00FD2C0B"/>
    <w:rsid w:val="00FD2D0D"/>
    <w:rsid w:val="00FD2D1D"/>
    <w:rsid w:val="00FD2D97"/>
    <w:rsid w:val="00FD30F2"/>
    <w:rsid w:val="00FD3258"/>
    <w:rsid w:val="00FD32A0"/>
    <w:rsid w:val="00FD331C"/>
    <w:rsid w:val="00FD333D"/>
    <w:rsid w:val="00FD336C"/>
    <w:rsid w:val="00FD338F"/>
    <w:rsid w:val="00FD33E2"/>
    <w:rsid w:val="00FD3436"/>
    <w:rsid w:val="00FD34C4"/>
    <w:rsid w:val="00FD34D7"/>
    <w:rsid w:val="00FD37BE"/>
    <w:rsid w:val="00FD383B"/>
    <w:rsid w:val="00FD3872"/>
    <w:rsid w:val="00FD3AC5"/>
    <w:rsid w:val="00FD3B0F"/>
    <w:rsid w:val="00FD3C03"/>
    <w:rsid w:val="00FD3C4E"/>
    <w:rsid w:val="00FD3D14"/>
    <w:rsid w:val="00FD3E16"/>
    <w:rsid w:val="00FD3E84"/>
    <w:rsid w:val="00FD4011"/>
    <w:rsid w:val="00FD4012"/>
    <w:rsid w:val="00FD4155"/>
    <w:rsid w:val="00FD41C5"/>
    <w:rsid w:val="00FD41D5"/>
    <w:rsid w:val="00FD434D"/>
    <w:rsid w:val="00FD4610"/>
    <w:rsid w:val="00FD46C6"/>
    <w:rsid w:val="00FD484C"/>
    <w:rsid w:val="00FD4859"/>
    <w:rsid w:val="00FD486F"/>
    <w:rsid w:val="00FD4881"/>
    <w:rsid w:val="00FD48B7"/>
    <w:rsid w:val="00FD48CF"/>
    <w:rsid w:val="00FD49C5"/>
    <w:rsid w:val="00FD49D5"/>
    <w:rsid w:val="00FD4A35"/>
    <w:rsid w:val="00FD4A4A"/>
    <w:rsid w:val="00FD4A6B"/>
    <w:rsid w:val="00FD4AB5"/>
    <w:rsid w:val="00FD4ADD"/>
    <w:rsid w:val="00FD4BA4"/>
    <w:rsid w:val="00FD4BA9"/>
    <w:rsid w:val="00FD4DFD"/>
    <w:rsid w:val="00FD4EC8"/>
    <w:rsid w:val="00FD4F2A"/>
    <w:rsid w:val="00FD5042"/>
    <w:rsid w:val="00FD5089"/>
    <w:rsid w:val="00FD50DD"/>
    <w:rsid w:val="00FD50F1"/>
    <w:rsid w:val="00FD5104"/>
    <w:rsid w:val="00FD512D"/>
    <w:rsid w:val="00FD5195"/>
    <w:rsid w:val="00FD519C"/>
    <w:rsid w:val="00FD535D"/>
    <w:rsid w:val="00FD53FC"/>
    <w:rsid w:val="00FD5428"/>
    <w:rsid w:val="00FD5442"/>
    <w:rsid w:val="00FD5495"/>
    <w:rsid w:val="00FD569C"/>
    <w:rsid w:val="00FD56B6"/>
    <w:rsid w:val="00FD584E"/>
    <w:rsid w:val="00FD58CB"/>
    <w:rsid w:val="00FD59E2"/>
    <w:rsid w:val="00FD5A1C"/>
    <w:rsid w:val="00FD5B4B"/>
    <w:rsid w:val="00FD5E1E"/>
    <w:rsid w:val="00FD5E83"/>
    <w:rsid w:val="00FD5FBC"/>
    <w:rsid w:val="00FD61CC"/>
    <w:rsid w:val="00FD6261"/>
    <w:rsid w:val="00FD633A"/>
    <w:rsid w:val="00FD6352"/>
    <w:rsid w:val="00FD652C"/>
    <w:rsid w:val="00FD673F"/>
    <w:rsid w:val="00FD67F4"/>
    <w:rsid w:val="00FD6817"/>
    <w:rsid w:val="00FD690F"/>
    <w:rsid w:val="00FD6941"/>
    <w:rsid w:val="00FD696E"/>
    <w:rsid w:val="00FD6991"/>
    <w:rsid w:val="00FD6A5B"/>
    <w:rsid w:val="00FD6A6D"/>
    <w:rsid w:val="00FD6B6A"/>
    <w:rsid w:val="00FD6BA1"/>
    <w:rsid w:val="00FD6BBB"/>
    <w:rsid w:val="00FD6D82"/>
    <w:rsid w:val="00FD6DB2"/>
    <w:rsid w:val="00FD6DC1"/>
    <w:rsid w:val="00FD6DF7"/>
    <w:rsid w:val="00FD6E38"/>
    <w:rsid w:val="00FD6E96"/>
    <w:rsid w:val="00FD6F71"/>
    <w:rsid w:val="00FD6F9B"/>
    <w:rsid w:val="00FD6F9D"/>
    <w:rsid w:val="00FD6FBD"/>
    <w:rsid w:val="00FD7125"/>
    <w:rsid w:val="00FD7213"/>
    <w:rsid w:val="00FD745A"/>
    <w:rsid w:val="00FD747A"/>
    <w:rsid w:val="00FD7555"/>
    <w:rsid w:val="00FD7594"/>
    <w:rsid w:val="00FD7628"/>
    <w:rsid w:val="00FD7640"/>
    <w:rsid w:val="00FD7662"/>
    <w:rsid w:val="00FD76D2"/>
    <w:rsid w:val="00FD76E8"/>
    <w:rsid w:val="00FD76F0"/>
    <w:rsid w:val="00FD7714"/>
    <w:rsid w:val="00FD77DA"/>
    <w:rsid w:val="00FD7893"/>
    <w:rsid w:val="00FD7913"/>
    <w:rsid w:val="00FD7ABE"/>
    <w:rsid w:val="00FD7B89"/>
    <w:rsid w:val="00FD7BA5"/>
    <w:rsid w:val="00FD7C46"/>
    <w:rsid w:val="00FD7C60"/>
    <w:rsid w:val="00FD7D81"/>
    <w:rsid w:val="00FD7DA3"/>
    <w:rsid w:val="00FD7DB3"/>
    <w:rsid w:val="00FD7DB6"/>
    <w:rsid w:val="00FD7DDB"/>
    <w:rsid w:val="00FD7E92"/>
    <w:rsid w:val="00FD7F10"/>
    <w:rsid w:val="00FD7F67"/>
    <w:rsid w:val="00FE0371"/>
    <w:rsid w:val="00FE03DE"/>
    <w:rsid w:val="00FE04E4"/>
    <w:rsid w:val="00FE0514"/>
    <w:rsid w:val="00FE0606"/>
    <w:rsid w:val="00FE0655"/>
    <w:rsid w:val="00FE0660"/>
    <w:rsid w:val="00FE06AF"/>
    <w:rsid w:val="00FE0717"/>
    <w:rsid w:val="00FE07D1"/>
    <w:rsid w:val="00FE0851"/>
    <w:rsid w:val="00FE094D"/>
    <w:rsid w:val="00FE0AC8"/>
    <w:rsid w:val="00FE0B0B"/>
    <w:rsid w:val="00FE0BCC"/>
    <w:rsid w:val="00FE0BE2"/>
    <w:rsid w:val="00FE0C6A"/>
    <w:rsid w:val="00FE101F"/>
    <w:rsid w:val="00FE103C"/>
    <w:rsid w:val="00FE10BD"/>
    <w:rsid w:val="00FE10CB"/>
    <w:rsid w:val="00FE11FC"/>
    <w:rsid w:val="00FE1259"/>
    <w:rsid w:val="00FE140B"/>
    <w:rsid w:val="00FE1418"/>
    <w:rsid w:val="00FE1462"/>
    <w:rsid w:val="00FE14D3"/>
    <w:rsid w:val="00FE15CE"/>
    <w:rsid w:val="00FE1606"/>
    <w:rsid w:val="00FE1654"/>
    <w:rsid w:val="00FE190B"/>
    <w:rsid w:val="00FE1B2E"/>
    <w:rsid w:val="00FE1B7A"/>
    <w:rsid w:val="00FE1D91"/>
    <w:rsid w:val="00FE1EFA"/>
    <w:rsid w:val="00FE1FBF"/>
    <w:rsid w:val="00FE20D2"/>
    <w:rsid w:val="00FE2169"/>
    <w:rsid w:val="00FE21DF"/>
    <w:rsid w:val="00FE2286"/>
    <w:rsid w:val="00FE22B1"/>
    <w:rsid w:val="00FE26CB"/>
    <w:rsid w:val="00FE2856"/>
    <w:rsid w:val="00FE2887"/>
    <w:rsid w:val="00FE293F"/>
    <w:rsid w:val="00FE2A1D"/>
    <w:rsid w:val="00FE2AE8"/>
    <w:rsid w:val="00FE2B19"/>
    <w:rsid w:val="00FE2C59"/>
    <w:rsid w:val="00FE2E44"/>
    <w:rsid w:val="00FE2E82"/>
    <w:rsid w:val="00FE2EAB"/>
    <w:rsid w:val="00FE2EF1"/>
    <w:rsid w:val="00FE2F02"/>
    <w:rsid w:val="00FE2FC3"/>
    <w:rsid w:val="00FE306D"/>
    <w:rsid w:val="00FE30DB"/>
    <w:rsid w:val="00FE312B"/>
    <w:rsid w:val="00FE3159"/>
    <w:rsid w:val="00FE317A"/>
    <w:rsid w:val="00FE3189"/>
    <w:rsid w:val="00FE31A4"/>
    <w:rsid w:val="00FE326C"/>
    <w:rsid w:val="00FE32A5"/>
    <w:rsid w:val="00FE32C8"/>
    <w:rsid w:val="00FE3361"/>
    <w:rsid w:val="00FE3367"/>
    <w:rsid w:val="00FE3528"/>
    <w:rsid w:val="00FE3594"/>
    <w:rsid w:val="00FE35CD"/>
    <w:rsid w:val="00FE35CE"/>
    <w:rsid w:val="00FE35E2"/>
    <w:rsid w:val="00FE36D1"/>
    <w:rsid w:val="00FE373E"/>
    <w:rsid w:val="00FE375D"/>
    <w:rsid w:val="00FE377B"/>
    <w:rsid w:val="00FE37AA"/>
    <w:rsid w:val="00FE381F"/>
    <w:rsid w:val="00FE38CC"/>
    <w:rsid w:val="00FE39E5"/>
    <w:rsid w:val="00FE3A2B"/>
    <w:rsid w:val="00FE3B0D"/>
    <w:rsid w:val="00FE3B61"/>
    <w:rsid w:val="00FE3BA6"/>
    <w:rsid w:val="00FE3BB4"/>
    <w:rsid w:val="00FE3DD9"/>
    <w:rsid w:val="00FE3E43"/>
    <w:rsid w:val="00FE3E84"/>
    <w:rsid w:val="00FE3EBB"/>
    <w:rsid w:val="00FE3EEA"/>
    <w:rsid w:val="00FE3F39"/>
    <w:rsid w:val="00FE4023"/>
    <w:rsid w:val="00FE402B"/>
    <w:rsid w:val="00FE4034"/>
    <w:rsid w:val="00FE40DD"/>
    <w:rsid w:val="00FE4171"/>
    <w:rsid w:val="00FE4282"/>
    <w:rsid w:val="00FE42BB"/>
    <w:rsid w:val="00FE4430"/>
    <w:rsid w:val="00FE447E"/>
    <w:rsid w:val="00FE448A"/>
    <w:rsid w:val="00FE44EB"/>
    <w:rsid w:val="00FE4597"/>
    <w:rsid w:val="00FE461D"/>
    <w:rsid w:val="00FE4678"/>
    <w:rsid w:val="00FE481D"/>
    <w:rsid w:val="00FE4A62"/>
    <w:rsid w:val="00FE4AED"/>
    <w:rsid w:val="00FE4BA7"/>
    <w:rsid w:val="00FE4CFF"/>
    <w:rsid w:val="00FE4EA7"/>
    <w:rsid w:val="00FE4FDF"/>
    <w:rsid w:val="00FE4FE2"/>
    <w:rsid w:val="00FE502C"/>
    <w:rsid w:val="00FE51C3"/>
    <w:rsid w:val="00FE51EB"/>
    <w:rsid w:val="00FE5275"/>
    <w:rsid w:val="00FE5299"/>
    <w:rsid w:val="00FE5400"/>
    <w:rsid w:val="00FE542F"/>
    <w:rsid w:val="00FE54BA"/>
    <w:rsid w:val="00FE5531"/>
    <w:rsid w:val="00FE55AA"/>
    <w:rsid w:val="00FE55D7"/>
    <w:rsid w:val="00FE563B"/>
    <w:rsid w:val="00FE563D"/>
    <w:rsid w:val="00FE564E"/>
    <w:rsid w:val="00FE56D0"/>
    <w:rsid w:val="00FE579C"/>
    <w:rsid w:val="00FE58EB"/>
    <w:rsid w:val="00FE594E"/>
    <w:rsid w:val="00FE5A68"/>
    <w:rsid w:val="00FE5B1C"/>
    <w:rsid w:val="00FE5B39"/>
    <w:rsid w:val="00FE5BEE"/>
    <w:rsid w:val="00FE5CBE"/>
    <w:rsid w:val="00FE5D05"/>
    <w:rsid w:val="00FE5DC1"/>
    <w:rsid w:val="00FE5E28"/>
    <w:rsid w:val="00FE5EA7"/>
    <w:rsid w:val="00FE5F8A"/>
    <w:rsid w:val="00FE607E"/>
    <w:rsid w:val="00FE608B"/>
    <w:rsid w:val="00FE60A2"/>
    <w:rsid w:val="00FE60BE"/>
    <w:rsid w:val="00FE6250"/>
    <w:rsid w:val="00FE6254"/>
    <w:rsid w:val="00FE6288"/>
    <w:rsid w:val="00FE62DE"/>
    <w:rsid w:val="00FE62F6"/>
    <w:rsid w:val="00FE6343"/>
    <w:rsid w:val="00FE6370"/>
    <w:rsid w:val="00FE64D6"/>
    <w:rsid w:val="00FE651B"/>
    <w:rsid w:val="00FE6527"/>
    <w:rsid w:val="00FE652A"/>
    <w:rsid w:val="00FE65BE"/>
    <w:rsid w:val="00FE65F5"/>
    <w:rsid w:val="00FE67F3"/>
    <w:rsid w:val="00FE69A3"/>
    <w:rsid w:val="00FE6B43"/>
    <w:rsid w:val="00FE6B4B"/>
    <w:rsid w:val="00FE6BB7"/>
    <w:rsid w:val="00FE6C81"/>
    <w:rsid w:val="00FE6CC8"/>
    <w:rsid w:val="00FE6CD0"/>
    <w:rsid w:val="00FE6D04"/>
    <w:rsid w:val="00FE6DBB"/>
    <w:rsid w:val="00FE6E05"/>
    <w:rsid w:val="00FE6E19"/>
    <w:rsid w:val="00FE6E50"/>
    <w:rsid w:val="00FE6F0E"/>
    <w:rsid w:val="00FE705C"/>
    <w:rsid w:val="00FE70D8"/>
    <w:rsid w:val="00FE7145"/>
    <w:rsid w:val="00FE7304"/>
    <w:rsid w:val="00FE7391"/>
    <w:rsid w:val="00FE74C5"/>
    <w:rsid w:val="00FE75EB"/>
    <w:rsid w:val="00FE7610"/>
    <w:rsid w:val="00FE7669"/>
    <w:rsid w:val="00FE7890"/>
    <w:rsid w:val="00FE7906"/>
    <w:rsid w:val="00FE79AF"/>
    <w:rsid w:val="00FE79F7"/>
    <w:rsid w:val="00FE79FD"/>
    <w:rsid w:val="00FE7A07"/>
    <w:rsid w:val="00FE7A40"/>
    <w:rsid w:val="00FE7AF0"/>
    <w:rsid w:val="00FE7B84"/>
    <w:rsid w:val="00FE7C9C"/>
    <w:rsid w:val="00FE7D34"/>
    <w:rsid w:val="00FE7DE0"/>
    <w:rsid w:val="00FE7E23"/>
    <w:rsid w:val="00FE7FD6"/>
    <w:rsid w:val="00FF0117"/>
    <w:rsid w:val="00FF0141"/>
    <w:rsid w:val="00FF0251"/>
    <w:rsid w:val="00FF028A"/>
    <w:rsid w:val="00FF0335"/>
    <w:rsid w:val="00FF056D"/>
    <w:rsid w:val="00FF0863"/>
    <w:rsid w:val="00FF0878"/>
    <w:rsid w:val="00FF088B"/>
    <w:rsid w:val="00FF08E7"/>
    <w:rsid w:val="00FF0921"/>
    <w:rsid w:val="00FF0950"/>
    <w:rsid w:val="00FF0987"/>
    <w:rsid w:val="00FF09A6"/>
    <w:rsid w:val="00FF09E8"/>
    <w:rsid w:val="00FF0A68"/>
    <w:rsid w:val="00FF0CBF"/>
    <w:rsid w:val="00FF0E62"/>
    <w:rsid w:val="00FF0F38"/>
    <w:rsid w:val="00FF0F8C"/>
    <w:rsid w:val="00FF1061"/>
    <w:rsid w:val="00FF1076"/>
    <w:rsid w:val="00FF11C9"/>
    <w:rsid w:val="00FF129B"/>
    <w:rsid w:val="00FF129F"/>
    <w:rsid w:val="00FF12E9"/>
    <w:rsid w:val="00FF136E"/>
    <w:rsid w:val="00FF139E"/>
    <w:rsid w:val="00FF1444"/>
    <w:rsid w:val="00FF1472"/>
    <w:rsid w:val="00FF1478"/>
    <w:rsid w:val="00FF148F"/>
    <w:rsid w:val="00FF1501"/>
    <w:rsid w:val="00FF1563"/>
    <w:rsid w:val="00FF159F"/>
    <w:rsid w:val="00FF17D5"/>
    <w:rsid w:val="00FF17DF"/>
    <w:rsid w:val="00FF1807"/>
    <w:rsid w:val="00FF18EE"/>
    <w:rsid w:val="00FF199A"/>
    <w:rsid w:val="00FF1A32"/>
    <w:rsid w:val="00FF1AD2"/>
    <w:rsid w:val="00FF1C26"/>
    <w:rsid w:val="00FF1CE2"/>
    <w:rsid w:val="00FF1E7C"/>
    <w:rsid w:val="00FF1FA1"/>
    <w:rsid w:val="00FF201A"/>
    <w:rsid w:val="00FF20AE"/>
    <w:rsid w:val="00FF20EB"/>
    <w:rsid w:val="00FF2137"/>
    <w:rsid w:val="00FF21E9"/>
    <w:rsid w:val="00FF2425"/>
    <w:rsid w:val="00FF2505"/>
    <w:rsid w:val="00FF2525"/>
    <w:rsid w:val="00FF254D"/>
    <w:rsid w:val="00FF25AF"/>
    <w:rsid w:val="00FF260C"/>
    <w:rsid w:val="00FF2660"/>
    <w:rsid w:val="00FF26B9"/>
    <w:rsid w:val="00FF27CE"/>
    <w:rsid w:val="00FF282C"/>
    <w:rsid w:val="00FF28BC"/>
    <w:rsid w:val="00FF292B"/>
    <w:rsid w:val="00FF298C"/>
    <w:rsid w:val="00FF29D7"/>
    <w:rsid w:val="00FF2A10"/>
    <w:rsid w:val="00FF2A42"/>
    <w:rsid w:val="00FF2AC5"/>
    <w:rsid w:val="00FF2B19"/>
    <w:rsid w:val="00FF2B6A"/>
    <w:rsid w:val="00FF2DFB"/>
    <w:rsid w:val="00FF2F04"/>
    <w:rsid w:val="00FF2F99"/>
    <w:rsid w:val="00FF2FF8"/>
    <w:rsid w:val="00FF3117"/>
    <w:rsid w:val="00FF3260"/>
    <w:rsid w:val="00FF3264"/>
    <w:rsid w:val="00FF3281"/>
    <w:rsid w:val="00FF3292"/>
    <w:rsid w:val="00FF32E7"/>
    <w:rsid w:val="00FF3315"/>
    <w:rsid w:val="00FF3374"/>
    <w:rsid w:val="00FF339F"/>
    <w:rsid w:val="00FF33BE"/>
    <w:rsid w:val="00FF3537"/>
    <w:rsid w:val="00FF35BA"/>
    <w:rsid w:val="00FF367D"/>
    <w:rsid w:val="00FF3685"/>
    <w:rsid w:val="00FF36D5"/>
    <w:rsid w:val="00FF37D9"/>
    <w:rsid w:val="00FF37E7"/>
    <w:rsid w:val="00FF3806"/>
    <w:rsid w:val="00FF386E"/>
    <w:rsid w:val="00FF3951"/>
    <w:rsid w:val="00FF3A08"/>
    <w:rsid w:val="00FF3AB2"/>
    <w:rsid w:val="00FF3AEC"/>
    <w:rsid w:val="00FF3B24"/>
    <w:rsid w:val="00FF3BA1"/>
    <w:rsid w:val="00FF3BBE"/>
    <w:rsid w:val="00FF3C36"/>
    <w:rsid w:val="00FF3C4B"/>
    <w:rsid w:val="00FF3C86"/>
    <w:rsid w:val="00FF3D2E"/>
    <w:rsid w:val="00FF3D3F"/>
    <w:rsid w:val="00FF3D9D"/>
    <w:rsid w:val="00FF3E19"/>
    <w:rsid w:val="00FF3E32"/>
    <w:rsid w:val="00FF3E47"/>
    <w:rsid w:val="00FF3FE2"/>
    <w:rsid w:val="00FF4099"/>
    <w:rsid w:val="00FF40CE"/>
    <w:rsid w:val="00FF4257"/>
    <w:rsid w:val="00FF426E"/>
    <w:rsid w:val="00FF4280"/>
    <w:rsid w:val="00FF4341"/>
    <w:rsid w:val="00FF4346"/>
    <w:rsid w:val="00FF43B2"/>
    <w:rsid w:val="00FF43E4"/>
    <w:rsid w:val="00FF4454"/>
    <w:rsid w:val="00FF448D"/>
    <w:rsid w:val="00FF44E6"/>
    <w:rsid w:val="00FF4530"/>
    <w:rsid w:val="00FF458E"/>
    <w:rsid w:val="00FF4590"/>
    <w:rsid w:val="00FF45F7"/>
    <w:rsid w:val="00FF4732"/>
    <w:rsid w:val="00FF4745"/>
    <w:rsid w:val="00FF482E"/>
    <w:rsid w:val="00FF4864"/>
    <w:rsid w:val="00FF48CD"/>
    <w:rsid w:val="00FF49B4"/>
    <w:rsid w:val="00FF4AB2"/>
    <w:rsid w:val="00FF4B12"/>
    <w:rsid w:val="00FF4B5A"/>
    <w:rsid w:val="00FF4B90"/>
    <w:rsid w:val="00FF4CA2"/>
    <w:rsid w:val="00FF4D1C"/>
    <w:rsid w:val="00FF4DAC"/>
    <w:rsid w:val="00FF4DB6"/>
    <w:rsid w:val="00FF4E45"/>
    <w:rsid w:val="00FF4E80"/>
    <w:rsid w:val="00FF4E91"/>
    <w:rsid w:val="00FF4EAA"/>
    <w:rsid w:val="00FF511B"/>
    <w:rsid w:val="00FF511F"/>
    <w:rsid w:val="00FF5155"/>
    <w:rsid w:val="00FF5262"/>
    <w:rsid w:val="00FF558B"/>
    <w:rsid w:val="00FF55B6"/>
    <w:rsid w:val="00FF5629"/>
    <w:rsid w:val="00FF5786"/>
    <w:rsid w:val="00FF57BE"/>
    <w:rsid w:val="00FF57DB"/>
    <w:rsid w:val="00FF57EE"/>
    <w:rsid w:val="00FF5914"/>
    <w:rsid w:val="00FF5943"/>
    <w:rsid w:val="00FF597C"/>
    <w:rsid w:val="00FF5A1D"/>
    <w:rsid w:val="00FF5A95"/>
    <w:rsid w:val="00FF5CE8"/>
    <w:rsid w:val="00FF5D28"/>
    <w:rsid w:val="00FF5D34"/>
    <w:rsid w:val="00FF5D44"/>
    <w:rsid w:val="00FF5D59"/>
    <w:rsid w:val="00FF5D87"/>
    <w:rsid w:val="00FF5E2E"/>
    <w:rsid w:val="00FF5F9B"/>
    <w:rsid w:val="00FF609E"/>
    <w:rsid w:val="00FF60E1"/>
    <w:rsid w:val="00FF60F0"/>
    <w:rsid w:val="00FF6146"/>
    <w:rsid w:val="00FF6253"/>
    <w:rsid w:val="00FF628A"/>
    <w:rsid w:val="00FF628B"/>
    <w:rsid w:val="00FF6295"/>
    <w:rsid w:val="00FF6413"/>
    <w:rsid w:val="00FF6460"/>
    <w:rsid w:val="00FF6490"/>
    <w:rsid w:val="00FF6498"/>
    <w:rsid w:val="00FF6598"/>
    <w:rsid w:val="00FF65EA"/>
    <w:rsid w:val="00FF6694"/>
    <w:rsid w:val="00FF6695"/>
    <w:rsid w:val="00FF6778"/>
    <w:rsid w:val="00FF6AFB"/>
    <w:rsid w:val="00FF6B05"/>
    <w:rsid w:val="00FF6BA7"/>
    <w:rsid w:val="00FF6D26"/>
    <w:rsid w:val="00FF6DEB"/>
    <w:rsid w:val="00FF6DF6"/>
    <w:rsid w:val="00FF6F4B"/>
    <w:rsid w:val="00FF6FC6"/>
    <w:rsid w:val="00FF70C1"/>
    <w:rsid w:val="00FF710E"/>
    <w:rsid w:val="00FF71AB"/>
    <w:rsid w:val="00FF749F"/>
    <w:rsid w:val="00FF74AA"/>
    <w:rsid w:val="00FF756F"/>
    <w:rsid w:val="00FF75A0"/>
    <w:rsid w:val="00FF75B1"/>
    <w:rsid w:val="00FF76B9"/>
    <w:rsid w:val="00FF76D0"/>
    <w:rsid w:val="00FF76E8"/>
    <w:rsid w:val="00FF7770"/>
    <w:rsid w:val="00FF789C"/>
    <w:rsid w:val="00FF78A3"/>
    <w:rsid w:val="00FF7A7B"/>
    <w:rsid w:val="00FF7B02"/>
    <w:rsid w:val="00FF7B19"/>
    <w:rsid w:val="00FF7B74"/>
    <w:rsid w:val="00FF7C09"/>
    <w:rsid w:val="00FF7CF2"/>
    <w:rsid w:val="00FF7E03"/>
    <w:rsid w:val="00FF7E61"/>
    <w:rsid w:val="00FF7EE5"/>
    <w:rsid w:val="00FF7F72"/>
    <w:rsid w:val="01F4B5EC"/>
    <w:rsid w:val="02290007"/>
    <w:rsid w:val="022FA267"/>
    <w:rsid w:val="02559539"/>
    <w:rsid w:val="02F2D384"/>
    <w:rsid w:val="03085ED7"/>
    <w:rsid w:val="031FE729"/>
    <w:rsid w:val="0414D2DB"/>
    <w:rsid w:val="054703CF"/>
    <w:rsid w:val="05D5B4B7"/>
    <w:rsid w:val="0632336E"/>
    <w:rsid w:val="067BA845"/>
    <w:rsid w:val="06DED5B7"/>
    <w:rsid w:val="07445663"/>
    <w:rsid w:val="07DF4D3A"/>
    <w:rsid w:val="07EFA07D"/>
    <w:rsid w:val="0803FA4C"/>
    <w:rsid w:val="08C1E900"/>
    <w:rsid w:val="09040F1B"/>
    <w:rsid w:val="09644F01"/>
    <w:rsid w:val="0A4872D1"/>
    <w:rsid w:val="0A4C5C4C"/>
    <w:rsid w:val="0AAAC2DA"/>
    <w:rsid w:val="0B895629"/>
    <w:rsid w:val="0BB1921A"/>
    <w:rsid w:val="0C56DC29"/>
    <w:rsid w:val="0D454E5C"/>
    <w:rsid w:val="0E4AEA94"/>
    <w:rsid w:val="0E6616CB"/>
    <w:rsid w:val="0E863155"/>
    <w:rsid w:val="0EBC91A2"/>
    <w:rsid w:val="0FC7DADD"/>
    <w:rsid w:val="1062E421"/>
    <w:rsid w:val="107E3E7D"/>
    <w:rsid w:val="10BB9DD0"/>
    <w:rsid w:val="12A27CBB"/>
    <w:rsid w:val="12B0EEE6"/>
    <w:rsid w:val="12E72850"/>
    <w:rsid w:val="140DB06F"/>
    <w:rsid w:val="142E9FB7"/>
    <w:rsid w:val="143B2C61"/>
    <w:rsid w:val="146BDBF1"/>
    <w:rsid w:val="149F3FD2"/>
    <w:rsid w:val="14AA8011"/>
    <w:rsid w:val="14DF13FF"/>
    <w:rsid w:val="14FC7C4C"/>
    <w:rsid w:val="151B455D"/>
    <w:rsid w:val="156DD682"/>
    <w:rsid w:val="15A36EA2"/>
    <w:rsid w:val="15F7B518"/>
    <w:rsid w:val="16010F67"/>
    <w:rsid w:val="164BFB29"/>
    <w:rsid w:val="168FF478"/>
    <w:rsid w:val="1697B535"/>
    <w:rsid w:val="1711B6F7"/>
    <w:rsid w:val="17938579"/>
    <w:rsid w:val="18567011"/>
    <w:rsid w:val="18D2B3E5"/>
    <w:rsid w:val="1A78900E"/>
    <w:rsid w:val="1ABCFAFA"/>
    <w:rsid w:val="1B31820C"/>
    <w:rsid w:val="1C1F7EB2"/>
    <w:rsid w:val="1C4DC080"/>
    <w:rsid w:val="1C7D04A4"/>
    <w:rsid w:val="1CD621C2"/>
    <w:rsid w:val="1D33F43B"/>
    <w:rsid w:val="1D63DC0E"/>
    <w:rsid w:val="1D8F4045"/>
    <w:rsid w:val="1DD025C9"/>
    <w:rsid w:val="1DD9EF23"/>
    <w:rsid w:val="1E9D3C17"/>
    <w:rsid w:val="1F44DEEA"/>
    <w:rsid w:val="1F4FECFC"/>
    <w:rsid w:val="1F75BF84"/>
    <w:rsid w:val="1FC84C7C"/>
    <w:rsid w:val="205AF450"/>
    <w:rsid w:val="206F35D4"/>
    <w:rsid w:val="20AFFDB9"/>
    <w:rsid w:val="21B98AB1"/>
    <w:rsid w:val="21CBB846"/>
    <w:rsid w:val="22CAFD9A"/>
    <w:rsid w:val="22F4E192"/>
    <w:rsid w:val="230EBAA4"/>
    <w:rsid w:val="23A76DCE"/>
    <w:rsid w:val="23C59A5D"/>
    <w:rsid w:val="2400A5DC"/>
    <w:rsid w:val="240F3133"/>
    <w:rsid w:val="24270898"/>
    <w:rsid w:val="247B73F6"/>
    <w:rsid w:val="2493FA17"/>
    <w:rsid w:val="24C1F0D6"/>
    <w:rsid w:val="24ECD1FE"/>
    <w:rsid w:val="250B92FD"/>
    <w:rsid w:val="2599B0F5"/>
    <w:rsid w:val="25EF0C32"/>
    <w:rsid w:val="26552DB1"/>
    <w:rsid w:val="267434B3"/>
    <w:rsid w:val="26BE8877"/>
    <w:rsid w:val="26DDBF30"/>
    <w:rsid w:val="27019BD5"/>
    <w:rsid w:val="270319C4"/>
    <w:rsid w:val="271972DB"/>
    <w:rsid w:val="278C91D5"/>
    <w:rsid w:val="27CC548B"/>
    <w:rsid w:val="27F0FE12"/>
    <w:rsid w:val="281B9DB4"/>
    <w:rsid w:val="2956F9B1"/>
    <w:rsid w:val="2978FB64"/>
    <w:rsid w:val="2A39B246"/>
    <w:rsid w:val="2A5AF553"/>
    <w:rsid w:val="2AFC9E8A"/>
    <w:rsid w:val="2BAF11ED"/>
    <w:rsid w:val="2BE7B4BA"/>
    <w:rsid w:val="2C21A8F4"/>
    <w:rsid w:val="2C6F45E4"/>
    <w:rsid w:val="2C7C89F2"/>
    <w:rsid w:val="2CA6D16A"/>
    <w:rsid w:val="2D898B67"/>
    <w:rsid w:val="2DFC73E2"/>
    <w:rsid w:val="2E9C1A0F"/>
    <w:rsid w:val="2EDFC1D1"/>
    <w:rsid w:val="2EDFE20E"/>
    <w:rsid w:val="2F3AF755"/>
    <w:rsid w:val="2FD51075"/>
    <w:rsid w:val="3001EE9C"/>
    <w:rsid w:val="326CB5E8"/>
    <w:rsid w:val="32A75432"/>
    <w:rsid w:val="32BEA22D"/>
    <w:rsid w:val="33398F5E"/>
    <w:rsid w:val="3395FBF7"/>
    <w:rsid w:val="34D96CB1"/>
    <w:rsid w:val="352B857F"/>
    <w:rsid w:val="3533E818"/>
    <w:rsid w:val="355A882F"/>
    <w:rsid w:val="35C5C8B3"/>
    <w:rsid w:val="35C922B2"/>
    <w:rsid w:val="361A0533"/>
    <w:rsid w:val="3652291E"/>
    <w:rsid w:val="36B3D4C5"/>
    <w:rsid w:val="37093974"/>
    <w:rsid w:val="37603E40"/>
    <w:rsid w:val="3777940A"/>
    <w:rsid w:val="37AEDD9C"/>
    <w:rsid w:val="3828CF4D"/>
    <w:rsid w:val="39E6C1CD"/>
    <w:rsid w:val="3A293DD6"/>
    <w:rsid w:val="3B8100B2"/>
    <w:rsid w:val="3BCDA7AF"/>
    <w:rsid w:val="3C116FAE"/>
    <w:rsid w:val="3CEDDB94"/>
    <w:rsid w:val="3DEF1B88"/>
    <w:rsid w:val="3E7A3E37"/>
    <w:rsid w:val="3E7A6F84"/>
    <w:rsid w:val="3F668BB5"/>
    <w:rsid w:val="3FA9D60D"/>
    <w:rsid w:val="40046E91"/>
    <w:rsid w:val="413BDF3B"/>
    <w:rsid w:val="41C37F72"/>
    <w:rsid w:val="42015227"/>
    <w:rsid w:val="424E238B"/>
    <w:rsid w:val="428E7D5D"/>
    <w:rsid w:val="4292F094"/>
    <w:rsid w:val="42A900D4"/>
    <w:rsid w:val="42F75653"/>
    <w:rsid w:val="4336DFF6"/>
    <w:rsid w:val="43440F18"/>
    <w:rsid w:val="43A744FA"/>
    <w:rsid w:val="43EAF47A"/>
    <w:rsid w:val="440338A1"/>
    <w:rsid w:val="44364C0E"/>
    <w:rsid w:val="447F2C67"/>
    <w:rsid w:val="44B99538"/>
    <w:rsid w:val="44FB2034"/>
    <w:rsid w:val="4520C874"/>
    <w:rsid w:val="45295BA1"/>
    <w:rsid w:val="4539DCD8"/>
    <w:rsid w:val="45811954"/>
    <w:rsid w:val="45D6C195"/>
    <w:rsid w:val="464F865F"/>
    <w:rsid w:val="46AC14E7"/>
    <w:rsid w:val="46B4026D"/>
    <w:rsid w:val="46D12F00"/>
    <w:rsid w:val="485DD2D2"/>
    <w:rsid w:val="48F72862"/>
    <w:rsid w:val="49F8D8AC"/>
    <w:rsid w:val="4A08C68E"/>
    <w:rsid w:val="4AE73D05"/>
    <w:rsid w:val="4B1C09E9"/>
    <w:rsid w:val="4C5A20A0"/>
    <w:rsid w:val="4D1A12CE"/>
    <w:rsid w:val="4D2B03D9"/>
    <w:rsid w:val="4DFC3388"/>
    <w:rsid w:val="4E609D6D"/>
    <w:rsid w:val="4EBEFEAA"/>
    <w:rsid w:val="4F09A48E"/>
    <w:rsid w:val="4F0C25FF"/>
    <w:rsid w:val="500D2868"/>
    <w:rsid w:val="50414AC1"/>
    <w:rsid w:val="516257BE"/>
    <w:rsid w:val="51A32569"/>
    <w:rsid w:val="51BFDDD1"/>
    <w:rsid w:val="51ECCF50"/>
    <w:rsid w:val="53E57900"/>
    <w:rsid w:val="540A5441"/>
    <w:rsid w:val="5507910B"/>
    <w:rsid w:val="55C1B8C6"/>
    <w:rsid w:val="55C5286D"/>
    <w:rsid w:val="5604F6B8"/>
    <w:rsid w:val="5634E226"/>
    <w:rsid w:val="563C301A"/>
    <w:rsid w:val="563D8DBB"/>
    <w:rsid w:val="57460D02"/>
    <w:rsid w:val="5760F8CE"/>
    <w:rsid w:val="57E68C14"/>
    <w:rsid w:val="580DCBA7"/>
    <w:rsid w:val="582B5067"/>
    <w:rsid w:val="59B63882"/>
    <w:rsid w:val="59FAF19D"/>
    <w:rsid w:val="5B4DD39C"/>
    <w:rsid w:val="5B63BA3E"/>
    <w:rsid w:val="5BD3AADC"/>
    <w:rsid w:val="5BE9D97F"/>
    <w:rsid w:val="5CB1273A"/>
    <w:rsid w:val="5CB1C7F9"/>
    <w:rsid w:val="5D272042"/>
    <w:rsid w:val="5D2F736F"/>
    <w:rsid w:val="5D65E02A"/>
    <w:rsid w:val="5E9D75E0"/>
    <w:rsid w:val="5F5837A4"/>
    <w:rsid w:val="5FEFA0FD"/>
    <w:rsid w:val="5FF8100A"/>
    <w:rsid w:val="604C01BE"/>
    <w:rsid w:val="6078FE91"/>
    <w:rsid w:val="60EF9B6E"/>
    <w:rsid w:val="615EBF43"/>
    <w:rsid w:val="616021BB"/>
    <w:rsid w:val="61703050"/>
    <w:rsid w:val="62CA5163"/>
    <w:rsid w:val="632EAB8D"/>
    <w:rsid w:val="6411D89A"/>
    <w:rsid w:val="642382BF"/>
    <w:rsid w:val="650022BC"/>
    <w:rsid w:val="652B5143"/>
    <w:rsid w:val="65F8820D"/>
    <w:rsid w:val="66ADCAFD"/>
    <w:rsid w:val="67C5AE21"/>
    <w:rsid w:val="680F2956"/>
    <w:rsid w:val="681DB398"/>
    <w:rsid w:val="688EF64F"/>
    <w:rsid w:val="68BEC5D6"/>
    <w:rsid w:val="68F26F89"/>
    <w:rsid w:val="69BE3AAE"/>
    <w:rsid w:val="69DC9D69"/>
    <w:rsid w:val="69E6546F"/>
    <w:rsid w:val="69FF33F2"/>
    <w:rsid w:val="6A6A1ADF"/>
    <w:rsid w:val="6AA66613"/>
    <w:rsid w:val="6B4A25A9"/>
    <w:rsid w:val="6C452982"/>
    <w:rsid w:val="6C56DDE3"/>
    <w:rsid w:val="6C8ED2A1"/>
    <w:rsid w:val="6D272EA3"/>
    <w:rsid w:val="6E260DD6"/>
    <w:rsid w:val="6EA3B4D5"/>
    <w:rsid w:val="6F89683C"/>
    <w:rsid w:val="6F8BA21D"/>
    <w:rsid w:val="70355180"/>
    <w:rsid w:val="709708CA"/>
    <w:rsid w:val="70FECF9D"/>
    <w:rsid w:val="7360B1BC"/>
    <w:rsid w:val="73B35012"/>
    <w:rsid w:val="73B4F8FA"/>
    <w:rsid w:val="7467FE57"/>
    <w:rsid w:val="74803F42"/>
    <w:rsid w:val="7486587C"/>
    <w:rsid w:val="7550D2B4"/>
    <w:rsid w:val="758A4745"/>
    <w:rsid w:val="75C0696B"/>
    <w:rsid w:val="75C5D4F9"/>
    <w:rsid w:val="75E58A78"/>
    <w:rsid w:val="761A1A5D"/>
    <w:rsid w:val="762138D2"/>
    <w:rsid w:val="7627DE38"/>
    <w:rsid w:val="76353C92"/>
    <w:rsid w:val="769C9A88"/>
    <w:rsid w:val="77829165"/>
    <w:rsid w:val="77F22C9C"/>
    <w:rsid w:val="784745D9"/>
    <w:rsid w:val="7868A112"/>
    <w:rsid w:val="78770F09"/>
    <w:rsid w:val="7894E867"/>
    <w:rsid w:val="79315216"/>
    <w:rsid w:val="7953B065"/>
    <w:rsid w:val="796CD8C2"/>
    <w:rsid w:val="797AA4ED"/>
    <w:rsid w:val="799BA995"/>
    <w:rsid w:val="7A0AAC58"/>
    <w:rsid w:val="7AA87F04"/>
    <w:rsid w:val="7AEF80C6"/>
    <w:rsid w:val="7C0B7AC4"/>
    <w:rsid w:val="7DCEAA28"/>
    <w:rsid w:val="7ED71C7C"/>
    <w:rsid w:val="7F300BDE"/>
    <w:rsid w:val="7F3B8698"/>
    <w:rsid w:val="7F6C90BF"/>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854613C"/>
  <w15:docId w15:val="{08792D86-CE23-46B4-B263-BA7DFC378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Yu Mincho Light" w:eastAsia="Yu Mincho Light" w:hAnsi="Yu Mincho Light" w:cs="Yu Mincho Light"/>
        <w:sz w:val="22"/>
        <w:szCs w:val="22"/>
        <w:lang w:val="pt-BR" w:eastAsia="pt-BR"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0" w:unhideWhenUsed="1" w:qFormat="1"/>
    <w:lsdException w:name="heading 5" w:semiHidden="1" w:uiPriority="0" w:unhideWhenUsed="1" w:qFormat="1"/>
    <w:lsdException w:name="heading 6" w:qFormat="1"/>
    <w:lsdException w:name="heading 7" w:semiHidden="1" w:uiPriority="0" w:unhideWhenUsed="1" w:qFormat="1"/>
    <w:lsdException w:name="heading 8" w:qFormat="1"/>
    <w:lsdException w:name="heading 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1"/>
    <w:lsdException w:name="Body Text" w:locked="1" w:semiHidden="1" w:uiPriority="1" w:unhideWhenUsed="1" w:qFormat="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0EBE"/>
    <w:rPr>
      <w:sz w:val="24"/>
      <w:szCs w:val="24"/>
    </w:rPr>
  </w:style>
  <w:style w:type="paragraph" w:styleId="Ttulo1">
    <w:name w:val="heading 1"/>
    <w:basedOn w:val="Normal"/>
    <w:next w:val="Normal"/>
    <w:link w:val="Ttulo1Char1"/>
    <w:autoRedefine/>
    <w:uiPriority w:val="99"/>
    <w:qFormat/>
    <w:rsid w:val="005A596E"/>
    <w:pPr>
      <w:tabs>
        <w:tab w:val="center" w:pos="7285"/>
      </w:tabs>
      <w:spacing w:before="240" w:after="240"/>
      <w:outlineLvl w:val="0"/>
    </w:pPr>
    <w:rPr>
      <w:rFonts w:ascii="CAIXA Std Book" w:hAnsi="CAIXA Std Book" w:cs="Arial"/>
      <w:b/>
      <w:color w:val="005CA9"/>
    </w:rPr>
  </w:style>
  <w:style w:type="paragraph" w:styleId="Ttulo2">
    <w:name w:val="heading 2"/>
    <w:basedOn w:val="Normal"/>
    <w:next w:val="Normal"/>
    <w:link w:val="Ttulo2Char1"/>
    <w:autoRedefine/>
    <w:uiPriority w:val="99"/>
    <w:qFormat/>
    <w:rsid w:val="00883019"/>
    <w:pPr>
      <w:keepNext/>
      <w:suppressAutoHyphens/>
      <w:autoSpaceDE w:val="0"/>
      <w:autoSpaceDN w:val="0"/>
      <w:adjustRightInd w:val="0"/>
      <w:jc w:val="both"/>
      <w:outlineLvl w:val="1"/>
    </w:pPr>
    <w:rPr>
      <w:b/>
      <w:color w:val="1F4E79"/>
      <w:sz w:val="20"/>
      <w:szCs w:val="20"/>
    </w:rPr>
  </w:style>
  <w:style w:type="paragraph" w:styleId="Ttulo3">
    <w:name w:val="heading 3"/>
    <w:basedOn w:val="Normal3"/>
    <w:next w:val="Normal"/>
    <w:link w:val="Ttulo3Char"/>
    <w:autoRedefine/>
    <w:uiPriority w:val="99"/>
    <w:qFormat/>
    <w:rsid w:val="00EF72BE"/>
    <w:pPr>
      <w:keepNext/>
      <w:numPr>
        <w:ilvl w:val="0"/>
        <w:numId w:val="0"/>
      </w:numPr>
      <w:tabs>
        <w:tab w:val="left" w:pos="1276"/>
      </w:tabs>
      <w:spacing w:before="360"/>
      <w:jc w:val="left"/>
    </w:pPr>
    <w:rPr>
      <w:rFonts w:ascii="Cambria" w:hAnsi="Cambria"/>
      <w:bCs/>
      <w:caps w:val="0"/>
      <w:spacing w:val="0"/>
      <w:sz w:val="26"/>
      <w:szCs w:val="26"/>
    </w:rPr>
  </w:style>
  <w:style w:type="paragraph" w:styleId="Ttulo6">
    <w:name w:val="heading 6"/>
    <w:basedOn w:val="Normal"/>
    <w:next w:val="Normal"/>
    <w:link w:val="Ttulo6Char"/>
    <w:uiPriority w:val="99"/>
    <w:qFormat/>
    <w:rsid w:val="001807DB"/>
    <w:pPr>
      <w:spacing w:before="240" w:after="60"/>
      <w:outlineLvl w:val="5"/>
    </w:pPr>
    <w:rPr>
      <w:rFonts w:ascii="Symbol" w:hAnsi="Symbol"/>
      <w:b/>
      <w:bCs/>
      <w:sz w:val="20"/>
      <w:szCs w:val="20"/>
    </w:rPr>
  </w:style>
  <w:style w:type="paragraph" w:styleId="Ttulo8">
    <w:name w:val="heading 8"/>
    <w:basedOn w:val="Normal"/>
    <w:next w:val="Normal"/>
    <w:link w:val="Ttulo8Char"/>
    <w:uiPriority w:val="99"/>
    <w:qFormat/>
    <w:rsid w:val="00117D35"/>
    <w:pPr>
      <w:keepNext/>
      <w:autoSpaceDE w:val="0"/>
      <w:autoSpaceDN w:val="0"/>
      <w:adjustRightInd w:val="0"/>
      <w:ind w:left="720" w:hanging="720"/>
      <w:outlineLvl w:val="7"/>
    </w:pPr>
    <w:rPr>
      <w:rFonts w:ascii="Symbol" w:hAnsi="Symbol"/>
      <w:i/>
      <w:iCs/>
    </w:rPr>
  </w:style>
  <w:style w:type="paragraph" w:styleId="Ttulo9">
    <w:name w:val="heading 9"/>
    <w:basedOn w:val="Normal"/>
    <w:next w:val="Normal"/>
    <w:link w:val="Ttulo9Char"/>
    <w:uiPriority w:val="99"/>
    <w:qFormat/>
    <w:rsid w:val="00117D35"/>
    <w:pPr>
      <w:keepNext/>
      <w:suppressAutoHyphens/>
      <w:autoSpaceDE w:val="0"/>
      <w:autoSpaceDN w:val="0"/>
      <w:adjustRightInd w:val="0"/>
      <w:ind w:left="720" w:hanging="720"/>
      <w:jc w:val="both"/>
      <w:outlineLvl w:val="8"/>
    </w:pPr>
    <w:rPr>
      <w:rFonts w:ascii="Cambria" w:hAnsi="Cambria"/>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1">
    <w:name w:val="Título 1 Char1"/>
    <w:basedOn w:val="Fontepargpadro"/>
    <w:link w:val="Ttulo1"/>
    <w:uiPriority w:val="99"/>
    <w:locked/>
    <w:rsid w:val="005A596E"/>
    <w:rPr>
      <w:rFonts w:ascii="CAIXA Std Book" w:hAnsi="CAIXA Std Book" w:cs="Arial"/>
      <w:b/>
      <w:color w:val="005CA9"/>
      <w:sz w:val="24"/>
      <w:szCs w:val="24"/>
    </w:rPr>
  </w:style>
  <w:style w:type="character" w:customStyle="1" w:styleId="Ttulo2Char1">
    <w:name w:val="Título 2 Char1"/>
    <w:basedOn w:val="Fontepargpadro"/>
    <w:link w:val="Ttulo2"/>
    <w:uiPriority w:val="99"/>
    <w:locked/>
    <w:rsid w:val="00883019"/>
    <w:rPr>
      <w:rFonts w:ascii="Arial" w:hAnsi="Arial" w:cs="Times New Roman"/>
      <w:b/>
      <w:color w:val="1F4E79"/>
    </w:rPr>
  </w:style>
  <w:style w:type="character" w:customStyle="1" w:styleId="Ttulo3Char">
    <w:name w:val="Título 3 Char"/>
    <w:basedOn w:val="Fontepargpadro"/>
    <w:link w:val="Ttulo3"/>
    <w:uiPriority w:val="99"/>
    <w:locked/>
    <w:rsid w:val="00FF4AB2"/>
    <w:rPr>
      <w:rFonts w:ascii="Cambria" w:hAnsi="Cambria" w:cs="Times New Roman"/>
      <w:b/>
      <w:sz w:val="26"/>
    </w:rPr>
  </w:style>
  <w:style w:type="character" w:customStyle="1" w:styleId="Ttulo6Char">
    <w:name w:val="Título 6 Char"/>
    <w:basedOn w:val="Fontepargpadro"/>
    <w:link w:val="Ttulo6"/>
    <w:uiPriority w:val="99"/>
    <w:locked/>
    <w:rsid w:val="00FF4AB2"/>
    <w:rPr>
      <w:rFonts w:ascii="Symbol" w:hAnsi="Symbol"/>
      <w:b/>
      <w:bCs/>
      <w:sz w:val="20"/>
      <w:szCs w:val="20"/>
    </w:rPr>
  </w:style>
  <w:style w:type="character" w:customStyle="1" w:styleId="Ttulo8Char">
    <w:name w:val="Título 8 Char"/>
    <w:basedOn w:val="Fontepargpadro"/>
    <w:link w:val="Ttulo8"/>
    <w:uiPriority w:val="99"/>
    <w:locked/>
    <w:rsid w:val="00FF4AB2"/>
    <w:rPr>
      <w:rFonts w:ascii="Symbol" w:hAnsi="Symbol"/>
      <w:i/>
      <w:iCs/>
      <w:sz w:val="24"/>
      <w:szCs w:val="24"/>
    </w:rPr>
  </w:style>
  <w:style w:type="character" w:customStyle="1" w:styleId="Ttulo9Char">
    <w:name w:val="Título 9 Char"/>
    <w:basedOn w:val="Fontepargpadro"/>
    <w:link w:val="Ttulo9"/>
    <w:uiPriority w:val="99"/>
    <w:locked/>
    <w:rsid w:val="00FF4AB2"/>
    <w:rPr>
      <w:rFonts w:ascii="Cambria" w:hAnsi="Cambria" w:cs="Times New Roman"/>
    </w:rPr>
  </w:style>
  <w:style w:type="paragraph" w:customStyle="1" w:styleId="Normal3">
    <w:name w:val="Normal 3"/>
    <w:basedOn w:val="Normal"/>
    <w:autoRedefine/>
    <w:uiPriority w:val="99"/>
    <w:rsid w:val="00062D27"/>
    <w:pPr>
      <w:keepLines/>
      <w:numPr>
        <w:ilvl w:val="2"/>
        <w:numId w:val="1"/>
      </w:numPr>
      <w:spacing w:before="120"/>
      <w:jc w:val="both"/>
      <w:outlineLvl w:val="2"/>
    </w:pPr>
    <w:rPr>
      <w:b/>
      <w:caps/>
      <w:spacing w:val="10"/>
      <w:sz w:val="18"/>
    </w:rPr>
  </w:style>
  <w:style w:type="paragraph" w:customStyle="1" w:styleId="Normal2">
    <w:name w:val="Normal 2"/>
    <w:basedOn w:val="Normal"/>
    <w:autoRedefine/>
    <w:uiPriority w:val="99"/>
    <w:rsid w:val="00062D27"/>
    <w:pPr>
      <w:keepLines/>
      <w:numPr>
        <w:ilvl w:val="1"/>
        <w:numId w:val="1"/>
      </w:numPr>
      <w:tabs>
        <w:tab w:val="left" w:pos="480"/>
      </w:tabs>
      <w:spacing w:before="120"/>
      <w:jc w:val="both"/>
      <w:outlineLvl w:val="1"/>
    </w:pPr>
    <w:rPr>
      <w:spacing w:val="10"/>
      <w:sz w:val="18"/>
    </w:rPr>
  </w:style>
  <w:style w:type="paragraph" w:customStyle="1" w:styleId="EstiloTtulo3esquerda">
    <w:name w:val="Estilo Título 3 + À esquerda"/>
    <w:basedOn w:val="Ttulo3"/>
    <w:autoRedefine/>
    <w:uiPriority w:val="99"/>
    <w:rsid w:val="00765E13"/>
    <w:pPr>
      <w:keepLines w:val="0"/>
      <w:tabs>
        <w:tab w:val="clear" w:pos="1276"/>
      </w:tabs>
      <w:autoSpaceDE w:val="0"/>
      <w:autoSpaceDN w:val="0"/>
      <w:adjustRightInd w:val="0"/>
      <w:spacing w:before="240" w:after="240"/>
    </w:pPr>
    <w:rPr>
      <w:sz w:val="22"/>
      <w:szCs w:val="22"/>
    </w:rPr>
  </w:style>
  <w:style w:type="paragraph" w:customStyle="1" w:styleId="EstiloEstiloArial11ptNegritoPretoJustificadoAntes12ptDe">
    <w:name w:val="Estilo Estilo Arial 11 pt Negrito Preto Justificado Antes:  12 pt De..."/>
    <w:basedOn w:val="Normal"/>
    <w:autoRedefine/>
    <w:uiPriority w:val="99"/>
    <w:rsid w:val="004337BB"/>
    <w:pPr>
      <w:tabs>
        <w:tab w:val="left" w:pos="992"/>
      </w:tabs>
      <w:spacing w:before="240" w:after="240"/>
      <w:jc w:val="both"/>
    </w:pPr>
    <w:rPr>
      <w:b/>
      <w:iCs/>
      <w:color w:val="000000"/>
      <w:szCs w:val="20"/>
    </w:rPr>
  </w:style>
  <w:style w:type="paragraph" w:customStyle="1" w:styleId="EstiloEstiloEstiloArial11ptNegritoPretoJustificadoAntes1">
    <w:name w:val="Estilo Estilo Estilo Arial 11 pt Negrito Preto Justificado Antes:  1..."/>
    <w:basedOn w:val="EstiloEstiloArial11ptNegritoPretoJustificadoAntes12ptDe"/>
    <w:autoRedefine/>
    <w:uiPriority w:val="99"/>
    <w:rsid w:val="004337BB"/>
  </w:style>
  <w:style w:type="paragraph" w:customStyle="1" w:styleId="Estilo1">
    <w:name w:val="Estilo1"/>
    <w:basedOn w:val="Normal"/>
    <w:autoRedefine/>
    <w:uiPriority w:val="99"/>
    <w:rsid w:val="004337BB"/>
    <w:pPr>
      <w:tabs>
        <w:tab w:val="left" w:pos="992"/>
      </w:tabs>
      <w:spacing w:before="240" w:after="240"/>
    </w:pPr>
    <w:rPr>
      <w:b/>
    </w:rPr>
  </w:style>
  <w:style w:type="paragraph" w:customStyle="1" w:styleId="EstiloArial11ptNegritoJustificado">
    <w:name w:val="Estilo Arial 11 pt Negrito Justificado"/>
    <w:basedOn w:val="Normal"/>
    <w:autoRedefine/>
    <w:uiPriority w:val="99"/>
    <w:rsid w:val="00F96E28"/>
    <w:pPr>
      <w:keepNext/>
      <w:tabs>
        <w:tab w:val="left" w:pos="992"/>
      </w:tabs>
      <w:spacing w:before="240" w:after="240"/>
      <w:jc w:val="both"/>
    </w:pPr>
    <w:rPr>
      <w:b/>
      <w:bCs/>
      <w:szCs w:val="20"/>
    </w:rPr>
  </w:style>
  <w:style w:type="paragraph" w:customStyle="1" w:styleId="EstiloTtulo2NoNegrito">
    <w:name w:val="Estilo Título 2 + Não Negrito"/>
    <w:basedOn w:val="Ttulo2"/>
    <w:next w:val="Ttulo2"/>
    <w:autoRedefine/>
    <w:uiPriority w:val="99"/>
    <w:rsid w:val="00765E13"/>
    <w:rPr>
      <w:bCs/>
      <w:color w:val="000000"/>
      <w:szCs w:val="22"/>
    </w:rPr>
  </w:style>
  <w:style w:type="paragraph" w:customStyle="1" w:styleId="Estilo2">
    <w:name w:val="Estilo2"/>
    <w:basedOn w:val="Numerada"/>
    <w:next w:val="Normal"/>
    <w:autoRedefine/>
    <w:uiPriority w:val="99"/>
    <w:rsid w:val="00765E13"/>
    <w:pPr>
      <w:tabs>
        <w:tab w:val="clear" w:pos="1240"/>
        <w:tab w:val="num" w:pos="992"/>
      </w:tabs>
      <w:spacing w:before="240" w:after="240"/>
      <w:ind w:left="992" w:hanging="992"/>
    </w:pPr>
  </w:style>
  <w:style w:type="paragraph" w:styleId="Numerada">
    <w:name w:val="List Number"/>
    <w:basedOn w:val="Normal"/>
    <w:uiPriority w:val="99"/>
    <w:rsid w:val="00765E13"/>
    <w:pPr>
      <w:tabs>
        <w:tab w:val="num" w:pos="1240"/>
      </w:tabs>
      <w:ind w:left="1240" w:hanging="360"/>
    </w:pPr>
  </w:style>
  <w:style w:type="table" w:styleId="Tabelaemlista1">
    <w:name w:val="Table List 1"/>
    <w:basedOn w:val="Tabelanormal"/>
    <w:uiPriority w:val="99"/>
    <w:rsid w:val="00120464"/>
    <w:pPr>
      <w:keepLines/>
      <w:tabs>
        <w:tab w:val="left" w:pos="992"/>
      </w:tabs>
      <w:ind w:right="113"/>
    </w:pPr>
    <w:rPr>
      <w:rFonts w:ascii="Cambria Math" w:hAnsi="Cambria Math"/>
      <w:sz w:val="20"/>
      <w:szCs w:val="20"/>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rPr>
        <w:rFonts w:ascii="Arial" w:hAnsi="Arial" w:cs="Times New Roman"/>
        <w:b/>
        <w:bCs/>
        <w:i w:val="0"/>
        <w:iCs/>
        <w:color w:val="auto"/>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lastRow">
      <w:rPr>
        <w:rFonts w:cs="Times New Roman"/>
        <w:b/>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EstiloTtulo6esquerda0cmPrimeiralinha0cmEspaame">
    <w:name w:val="Estilo Título 6 + À esquerda:  0 cm Primeira linha:  0 cm Espaçame..."/>
    <w:basedOn w:val="Ttulo6"/>
    <w:autoRedefine/>
    <w:uiPriority w:val="99"/>
    <w:rsid w:val="001807DB"/>
    <w:pPr>
      <w:keepNext/>
      <w:tabs>
        <w:tab w:val="left" w:pos="1134"/>
      </w:tabs>
      <w:autoSpaceDE w:val="0"/>
      <w:autoSpaceDN w:val="0"/>
      <w:adjustRightInd w:val="0"/>
      <w:spacing w:before="0" w:after="0" w:line="280" w:lineRule="atLeast"/>
      <w:jc w:val="both"/>
    </w:pPr>
    <w:rPr>
      <w:rFonts w:ascii="Cambria Math" w:hAnsi="Cambria Math"/>
      <w:sz w:val="24"/>
    </w:rPr>
  </w:style>
  <w:style w:type="paragraph" w:styleId="Cabealho">
    <w:name w:val="header"/>
    <w:basedOn w:val="Normal"/>
    <w:link w:val="CabealhoChar"/>
    <w:rsid w:val="006A1C67"/>
    <w:pPr>
      <w:tabs>
        <w:tab w:val="center" w:pos="4252"/>
        <w:tab w:val="right" w:pos="8504"/>
      </w:tabs>
    </w:pPr>
    <w:rPr>
      <w:szCs w:val="20"/>
    </w:rPr>
  </w:style>
  <w:style w:type="character" w:customStyle="1" w:styleId="CabealhoChar">
    <w:name w:val="Cabeçalho Char"/>
    <w:basedOn w:val="Fontepargpadro"/>
    <w:link w:val="Cabealho"/>
    <w:locked/>
    <w:rsid w:val="00117D35"/>
    <w:rPr>
      <w:rFonts w:ascii="Arial" w:hAnsi="Arial" w:cs="Times New Roman"/>
      <w:sz w:val="22"/>
      <w:lang w:val="pt-BR" w:eastAsia="pt-BR"/>
    </w:rPr>
  </w:style>
  <w:style w:type="paragraph" w:styleId="Rodap">
    <w:name w:val="footer"/>
    <w:basedOn w:val="Normal"/>
    <w:link w:val="RodapChar"/>
    <w:uiPriority w:val="99"/>
    <w:rsid w:val="006A1C67"/>
    <w:pPr>
      <w:tabs>
        <w:tab w:val="center" w:pos="4252"/>
        <w:tab w:val="right" w:pos="8504"/>
      </w:tabs>
    </w:pPr>
  </w:style>
  <w:style w:type="character" w:customStyle="1" w:styleId="RodapChar">
    <w:name w:val="Rodapé Char"/>
    <w:basedOn w:val="Fontepargpadro"/>
    <w:link w:val="Rodap"/>
    <w:uiPriority w:val="99"/>
    <w:locked/>
    <w:rsid w:val="009B5F47"/>
    <w:rPr>
      <w:rFonts w:ascii="Arial" w:hAnsi="Arial" w:cs="Times New Roman"/>
      <w:sz w:val="22"/>
    </w:rPr>
  </w:style>
  <w:style w:type="character" w:customStyle="1" w:styleId="spelle">
    <w:name w:val="spelle"/>
    <w:uiPriority w:val="99"/>
    <w:rsid w:val="006A1C67"/>
  </w:style>
  <w:style w:type="character" w:styleId="Nmerodepgina">
    <w:name w:val="page number"/>
    <w:basedOn w:val="Fontepargpadro"/>
    <w:uiPriority w:val="99"/>
    <w:rsid w:val="009922F1"/>
    <w:rPr>
      <w:rFonts w:cs="Times New Roman"/>
    </w:rPr>
  </w:style>
  <w:style w:type="paragraph" w:customStyle="1" w:styleId="Pa0">
    <w:name w:val="Pa0"/>
    <w:basedOn w:val="Normal"/>
    <w:next w:val="Normal"/>
    <w:uiPriority w:val="99"/>
    <w:rsid w:val="00CC35CA"/>
    <w:pPr>
      <w:autoSpaceDE w:val="0"/>
      <w:autoSpaceDN w:val="0"/>
      <w:adjustRightInd w:val="0"/>
      <w:spacing w:line="241" w:lineRule="atLeast"/>
    </w:pPr>
  </w:style>
  <w:style w:type="character" w:customStyle="1" w:styleId="A6">
    <w:name w:val="A6"/>
    <w:uiPriority w:val="99"/>
    <w:rsid w:val="00CC35CA"/>
    <w:rPr>
      <w:b/>
      <w:color w:val="000000"/>
      <w:sz w:val="16"/>
    </w:rPr>
  </w:style>
  <w:style w:type="paragraph" w:customStyle="1" w:styleId="Pa4">
    <w:name w:val="Pa4"/>
    <w:basedOn w:val="Normal"/>
    <w:next w:val="Normal"/>
    <w:uiPriority w:val="99"/>
    <w:rsid w:val="00CC35CA"/>
    <w:pPr>
      <w:autoSpaceDE w:val="0"/>
      <w:autoSpaceDN w:val="0"/>
      <w:adjustRightInd w:val="0"/>
      <w:spacing w:line="241" w:lineRule="atLeast"/>
    </w:pPr>
  </w:style>
  <w:style w:type="paragraph" w:styleId="Sumrio1">
    <w:name w:val="toc 1"/>
    <w:basedOn w:val="Normal"/>
    <w:next w:val="Normal"/>
    <w:autoRedefine/>
    <w:uiPriority w:val="39"/>
    <w:rsid w:val="008E6C6E"/>
    <w:pPr>
      <w:tabs>
        <w:tab w:val="right" w:pos="990"/>
        <w:tab w:val="left" w:pos="1210"/>
        <w:tab w:val="right" w:leader="dot" w:pos="9639"/>
      </w:tabs>
      <w:spacing w:after="80"/>
    </w:pPr>
    <w:rPr>
      <w:rFonts w:ascii="Courier New" w:hAnsi="Courier New"/>
      <w:noProof/>
      <w:color w:val="1F4E79"/>
      <w:sz w:val="20"/>
      <w:szCs w:val="20"/>
    </w:rPr>
  </w:style>
  <w:style w:type="character" w:styleId="Hyperlink">
    <w:name w:val="Hyperlink"/>
    <w:basedOn w:val="Fontepargpadro"/>
    <w:uiPriority w:val="99"/>
    <w:rsid w:val="006066B4"/>
    <w:rPr>
      <w:rFonts w:cs="Times New Roman"/>
      <w:color w:val="0000FF"/>
      <w:u w:val="single"/>
    </w:rPr>
  </w:style>
  <w:style w:type="table" w:styleId="Tabelacomgrade">
    <w:name w:val="Table Grid"/>
    <w:basedOn w:val="Tabelanormal"/>
    <w:uiPriority w:val="99"/>
    <w:rsid w:val="0096051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basedOn w:val="Fontepargpadro"/>
    <w:uiPriority w:val="99"/>
    <w:rsid w:val="00F55027"/>
    <w:rPr>
      <w:rFonts w:cs="Times New Roman"/>
      <w:color w:val="800080"/>
      <w:u w:val="single"/>
    </w:rPr>
  </w:style>
  <w:style w:type="paragraph" w:customStyle="1" w:styleId="Char1CharChar">
    <w:name w:val="Char1 Char Char"/>
    <w:basedOn w:val="Normal"/>
    <w:uiPriority w:val="99"/>
    <w:semiHidden/>
    <w:rsid w:val="00821EF7"/>
    <w:pPr>
      <w:spacing w:after="160" w:line="240" w:lineRule="exact"/>
    </w:pPr>
    <w:rPr>
      <w:lang w:val="en-US" w:eastAsia="en-US"/>
    </w:rPr>
  </w:style>
  <w:style w:type="paragraph" w:styleId="Corpodetexto">
    <w:name w:val="Body Text"/>
    <w:aliases w:val="bt"/>
    <w:basedOn w:val="Normal"/>
    <w:link w:val="CorpodetextoChar"/>
    <w:uiPriority w:val="1"/>
    <w:qFormat/>
    <w:rsid w:val="00117D35"/>
    <w:pPr>
      <w:suppressAutoHyphens/>
      <w:autoSpaceDE w:val="0"/>
      <w:autoSpaceDN w:val="0"/>
      <w:adjustRightInd w:val="0"/>
      <w:jc w:val="both"/>
    </w:pPr>
    <w:rPr>
      <w:sz w:val="20"/>
      <w:szCs w:val="20"/>
    </w:rPr>
  </w:style>
  <w:style w:type="character" w:customStyle="1" w:styleId="CorpodetextoChar">
    <w:name w:val="Corpo de texto Char"/>
    <w:aliases w:val="bt Char"/>
    <w:basedOn w:val="Fontepargpadro"/>
    <w:link w:val="Corpodetexto"/>
    <w:uiPriority w:val="1"/>
    <w:locked/>
    <w:rsid w:val="00FF4AB2"/>
    <w:rPr>
      <w:rFonts w:ascii="Arial" w:hAnsi="Arial" w:cs="Times New Roman"/>
    </w:rPr>
  </w:style>
  <w:style w:type="paragraph" w:styleId="Recuodecorpodetexto">
    <w:name w:val="Body Text Indent"/>
    <w:basedOn w:val="Normal"/>
    <w:link w:val="RecuodecorpodetextoChar"/>
    <w:uiPriority w:val="99"/>
    <w:rsid w:val="00117D35"/>
    <w:pPr>
      <w:spacing w:line="264" w:lineRule="auto"/>
      <w:ind w:hanging="709"/>
    </w:pPr>
    <w:rPr>
      <w:sz w:val="20"/>
      <w:szCs w:val="20"/>
    </w:rPr>
  </w:style>
  <w:style w:type="character" w:customStyle="1" w:styleId="RecuodecorpodetextoChar">
    <w:name w:val="Recuo de corpo de texto Char"/>
    <w:basedOn w:val="Fontepargpadro"/>
    <w:link w:val="Recuodecorpodetexto"/>
    <w:uiPriority w:val="99"/>
    <w:locked/>
    <w:rsid w:val="00FF4AB2"/>
    <w:rPr>
      <w:rFonts w:ascii="Arial" w:hAnsi="Arial" w:cs="Times New Roman"/>
    </w:rPr>
  </w:style>
  <w:style w:type="paragraph" w:styleId="Corpodetexto2">
    <w:name w:val="Body Text 2"/>
    <w:basedOn w:val="Normal"/>
    <w:link w:val="Corpodetexto2Char"/>
    <w:uiPriority w:val="99"/>
    <w:rsid w:val="00117D35"/>
    <w:pPr>
      <w:autoSpaceDE w:val="0"/>
      <w:autoSpaceDN w:val="0"/>
      <w:adjustRightInd w:val="0"/>
      <w:jc w:val="both"/>
    </w:pPr>
    <w:rPr>
      <w:sz w:val="20"/>
      <w:szCs w:val="20"/>
    </w:rPr>
  </w:style>
  <w:style w:type="character" w:customStyle="1" w:styleId="Corpodetexto2Char">
    <w:name w:val="Corpo de texto 2 Char"/>
    <w:basedOn w:val="Fontepargpadro"/>
    <w:link w:val="Corpodetexto2"/>
    <w:uiPriority w:val="99"/>
    <w:locked/>
    <w:rsid w:val="00FF4AB2"/>
    <w:rPr>
      <w:rFonts w:ascii="Arial" w:hAnsi="Arial" w:cs="Times New Roman"/>
    </w:rPr>
  </w:style>
  <w:style w:type="paragraph" w:customStyle="1" w:styleId="xl31">
    <w:name w:val="xl31"/>
    <w:basedOn w:val="Normal"/>
    <w:uiPriority w:val="99"/>
    <w:rsid w:val="00117D35"/>
    <w:pPr>
      <w:spacing w:before="100" w:beforeAutospacing="1" w:after="100" w:afterAutospacing="1"/>
    </w:pPr>
    <w:rPr>
      <w:rFonts w:eastAsia="Arial Unicode MS"/>
      <w:b/>
      <w:bCs/>
    </w:rPr>
  </w:style>
  <w:style w:type="paragraph" w:styleId="NormalWeb">
    <w:name w:val="Normal (Web)"/>
    <w:basedOn w:val="Normal"/>
    <w:uiPriority w:val="99"/>
    <w:rsid w:val="00117D35"/>
    <w:pPr>
      <w:spacing w:before="100" w:beforeAutospacing="1" w:after="100" w:afterAutospacing="1"/>
    </w:pPr>
    <w:rPr>
      <w:rFonts w:ascii="Arial Unicode MS" w:eastAsia="Arial Unicode MS" w:hAnsi="Arial Unicode MS" w:cs="Arial Unicode MS"/>
    </w:rPr>
  </w:style>
  <w:style w:type="character" w:styleId="Forte">
    <w:name w:val="Strong"/>
    <w:basedOn w:val="Fontepargpadro"/>
    <w:uiPriority w:val="22"/>
    <w:qFormat/>
    <w:rsid w:val="00117D35"/>
    <w:rPr>
      <w:rFonts w:cs="Times New Roman"/>
      <w:b/>
    </w:rPr>
  </w:style>
  <w:style w:type="paragraph" w:styleId="Textodecomentrio">
    <w:name w:val="annotation text"/>
    <w:basedOn w:val="Normal"/>
    <w:link w:val="TextodecomentrioChar"/>
    <w:uiPriority w:val="99"/>
    <w:semiHidden/>
    <w:rsid w:val="00117D35"/>
    <w:rPr>
      <w:sz w:val="20"/>
      <w:szCs w:val="20"/>
    </w:rPr>
  </w:style>
  <w:style w:type="character" w:customStyle="1" w:styleId="TextodecomentrioChar">
    <w:name w:val="Texto de comentário Char"/>
    <w:basedOn w:val="Fontepargpadro"/>
    <w:link w:val="Textodecomentrio"/>
    <w:uiPriority w:val="99"/>
    <w:semiHidden/>
    <w:locked/>
    <w:rsid w:val="00FF4AB2"/>
    <w:rPr>
      <w:rFonts w:ascii="Arial" w:hAnsi="Arial" w:cs="Times New Roman"/>
      <w:sz w:val="20"/>
    </w:rPr>
  </w:style>
  <w:style w:type="paragraph" w:customStyle="1" w:styleId="14Sub-sub-ttulo">
    <w:name w:val="14. Sub-sub-título"/>
    <w:basedOn w:val="Normal"/>
    <w:uiPriority w:val="99"/>
    <w:rsid w:val="00117D35"/>
    <w:pPr>
      <w:spacing w:before="140" w:after="260" w:line="260" w:lineRule="atLeast"/>
      <w:ind w:hanging="720"/>
    </w:pPr>
    <w:rPr>
      <w:b/>
      <w:i/>
      <w:szCs w:val="20"/>
      <w:lang w:val="en-US"/>
    </w:rPr>
  </w:style>
  <w:style w:type="character" w:customStyle="1" w:styleId="grame">
    <w:name w:val="grame"/>
    <w:uiPriority w:val="99"/>
    <w:rsid w:val="00117D35"/>
  </w:style>
  <w:style w:type="paragraph" w:styleId="Recuodecorpodetexto3">
    <w:name w:val="Body Text Indent 3"/>
    <w:basedOn w:val="Normal"/>
    <w:link w:val="Recuodecorpodetexto3Char"/>
    <w:uiPriority w:val="99"/>
    <w:rsid w:val="00117D35"/>
    <w:pPr>
      <w:spacing w:after="120"/>
      <w:ind w:left="283"/>
    </w:pPr>
    <w:rPr>
      <w:sz w:val="16"/>
      <w:szCs w:val="16"/>
    </w:rPr>
  </w:style>
  <w:style w:type="character" w:customStyle="1" w:styleId="Recuodecorpodetexto3Char">
    <w:name w:val="Recuo de corpo de texto 3 Char"/>
    <w:basedOn w:val="Fontepargpadro"/>
    <w:link w:val="Recuodecorpodetexto3"/>
    <w:uiPriority w:val="99"/>
    <w:locked/>
    <w:rsid w:val="00FF4AB2"/>
    <w:rPr>
      <w:rFonts w:ascii="Arial" w:hAnsi="Arial" w:cs="Times New Roman"/>
      <w:sz w:val="16"/>
    </w:rPr>
  </w:style>
  <w:style w:type="paragraph" w:customStyle="1" w:styleId="xl27">
    <w:name w:val="xl27"/>
    <w:basedOn w:val="Normal"/>
    <w:uiPriority w:val="99"/>
    <w:rsid w:val="00117D35"/>
    <w:pPr>
      <w:spacing w:before="100" w:beforeAutospacing="1" w:after="100" w:afterAutospacing="1"/>
    </w:pPr>
    <w:rPr>
      <w:rFonts w:eastAsia="Arial Unicode MS"/>
      <w:b/>
      <w:bCs/>
      <w:sz w:val="28"/>
      <w:szCs w:val="28"/>
    </w:rPr>
  </w:style>
  <w:style w:type="paragraph" w:styleId="Textodebalo">
    <w:name w:val="Balloon Text"/>
    <w:basedOn w:val="Normal"/>
    <w:link w:val="TextodebaloChar"/>
    <w:uiPriority w:val="99"/>
    <w:semiHidden/>
    <w:rsid w:val="00304A4D"/>
    <w:rPr>
      <w:sz w:val="16"/>
      <w:szCs w:val="20"/>
    </w:rPr>
  </w:style>
  <w:style w:type="character" w:customStyle="1" w:styleId="TextodebaloChar">
    <w:name w:val="Texto de balão Char"/>
    <w:basedOn w:val="Fontepargpadro"/>
    <w:link w:val="Textodebalo"/>
    <w:uiPriority w:val="99"/>
    <w:semiHidden/>
    <w:locked/>
    <w:rsid w:val="00304A4D"/>
    <w:rPr>
      <w:sz w:val="16"/>
      <w:szCs w:val="20"/>
    </w:rPr>
  </w:style>
  <w:style w:type="paragraph" w:styleId="Recuodecorpodetexto2">
    <w:name w:val="Body Text Indent 2"/>
    <w:basedOn w:val="Normal"/>
    <w:link w:val="Recuodecorpodetexto2Char"/>
    <w:uiPriority w:val="99"/>
    <w:rsid w:val="00117D35"/>
    <w:pPr>
      <w:spacing w:after="120" w:line="480" w:lineRule="auto"/>
      <w:ind w:left="283"/>
    </w:pPr>
    <w:rPr>
      <w:sz w:val="20"/>
      <w:szCs w:val="20"/>
    </w:rPr>
  </w:style>
  <w:style w:type="character" w:customStyle="1" w:styleId="Recuodecorpodetexto2Char">
    <w:name w:val="Recuo de corpo de texto 2 Char"/>
    <w:basedOn w:val="Fontepargpadro"/>
    <w:link w:val="Recuodecorpodetexto2"/>
    <w:uiPriority w:val="99"/>
    <w:locked/>
    <w:rsid w:val="00FF4AB2"/>
    <w:rPr>
      <w:rFonts w:ascii="Arial" w:hAnsi="Arial" w:cs="Times New Roman"/>
    </w:rPr>
  </w:style>
  <w:style w:type="paragraph" w:styleId="Partesuperior-zdoformulrio">
    <w:name w:val="HTML Top of Form"/>
    <w:basedOn w:val="Normal"/>
    <w:next w:val="Normal"/>
    <w:link w:val="Partesuperior-zdoformulrioChar"/>
    <w:hidden/>
    <w:uiPriority w:val="99"/>
    <w:rsid w:val="00117D35"/>
    <w:pPr>
      <w:pBdr>
        <w:bottom w:val="single" w:sz="6" w:space="1" w:color="auto"/>
      </w:pBdr>
      <w:jc w:val="center"/>
    </w:pPr>
    <w:rPr>
      <w:vanish/>
      <w:sz w:val="16"/>
      <w:szCs w:val="16"/>
    </w:rPr>
  </w:style>
  <w:style w:type="character" w:customStyle="1" w:styleId="Partesuperior-zdoformulrioChar">
    <w:name w:val="Parte superior-z do formulário Char"/>
    <w:basedOn w:val="Fontepargpadro"/>
    <w:link w:val="Partesuperior-zdoformulrio"/>
    <w:uiPriority w:val="99"/>
    <w:locked/>
    <w:rsid w:val="00FF4AB2"/>
    <w:rPr>
      <w:rFonts w:ascii="Arial" w:hAnsi="Arial" w:cs="Times New Roman"/>
      <w:vanish/>
      <w:sz w:val="16"/>
    </w:rPr>
  </w:style>
  <w:style w:type="paragraph" w:styleId="Parteinferiordoformulrio">
    <w:name w:val="HTML Bottom of Form"/>
    <w:basedOn w:val="Normal"/>
    <w:next w:val="Normal"/>
    <w:link w:val="ParteinferiordoformulrioChar"/>
    <w:hidden/>
    <w:uiPriority w:val="99"/>
    <w:rsid w:val="00117D35"/>
    <w:pPr>
      <w:pBdr>
        <w:top w:val="single" w:sz="6" w:space="1" w:color="auto"/>
      </w:pBdr>
      <w:jc w:val="center"/>
    </w:pPr>
    <w:rPr>
      <w:vanish/>
      <w:sz w:val="16"/>
      <w:szCs w:val="16"/>
    </w:rPr>
  </w:style>
  <w:style w:type="character" w:customStyle="1" w:styleId="ParteinferiordoformulrioChar">
    <w:name w:val="Parte inferior do formulário Char"/>
    <w:basedOn w:val="Fontepargpadro"/>
    <w:link w:val="Parteinferiordoformulrio"/>
    <w:uiPriority w:val="99"/>
    <w:locked/>
    <w:rsid w:val="00FF4AB2"/>
    <w:rPr>
      <w:rFonts w:ascii="Arial" w:hAnsi="Arial" w:cs="Times New Roman"/>
      <w:vanish/>
      <w:sz w:val="16"/>
    </w:rPr>
  </w:style>
  <w:style w:type="paragraph" w:customStyle="1" w:styleId="linkazul">
    <w:name w:val="link_azul"/>
    <w:basedOn w:val="Normal"/>
    <w:uiPriority w:val="99"/>
    <w:rsid w:val="00117D35"/>
    <w:pPr>
      <w:spacing w:before="100" w:beforeAutospacing="1" w:after="100" w:afterAutospacing="1"/>
    </w:pPr>
  </w:style>
  <w:style w:type="paragraph" w:customStyle="1" w:styleId="Marcador1">
    <w:name w:val="Marcador 1"/>
    <w:basedOn w:val="Normal"/>
    <w:uiPriority w:val="99"/>
    <w:rsid w:val="00117D35"/>
    <w:pPr>
      <w:numPr>
        <w:numId w:val="3"/>
      </w:numPr>
    </w:pPr>
  </w:style>
  <w:style w:type="character" w:styleId="nfase">
    <w:name w:val="Emphasis"/>
    <w:basedOn w:val="Fontepargpadro"/>
    <w:uiPriority w:val="20"/>
    <w:qFormat/>
    <w:rsid w:val="00117D35"/>
    <w:rPr>
      <w:rFonts w:cs="Times New Roman"/>
      <w:i/>
    </w:rPr>
  </w:style>
  <w:style w:type="character" w:customStyle="1" w:styleId="CAIXA">
    <w:name w:val="CAIXA"/>
    <w:uiPriority w:val="99"/>
    <w:semiHidden/>
    <w:rsid w:val="00117D35"/>
    <w:rPr>
      <w:rFonts w:ascii="Cambria Math" w:hAnsi="Cambria Math"/>
      <w:color w:val="auto"/>
      <w:sz w:val="20"/>
    </w:rPr>
  </w:style>
  <w:style w:type="paragraph" w:customStyle="1" w:styleId="Pa1">
    <w:name w:val="Pa1"/>
    <w:basedOn w:val="Normal"/>
    <w:next w:val="Normal"/>
    <w:uiPriority w:val="99"/>
    <w:rsid w:val="00117D35"/>
    <w:pPr>
      <w:autoSpaceDE w:val="0"/>
      <w:autoSpaceDN w:val="0"/>
      <w:adjustRightInd w:val="0"/>
      <w:spacing w:line="241" w:lineRule="atLeast"/>
    </w:pPr>
  </w:style>
  <w:style w:type="paragraph" w:customStyle="1" w:styleId="ps-021-bullet-a">
    <w:name w:val="ps-021-bullet-a"/>
    <w:basedOn w:val="Normal"/>
    <w:uiPriority w:val="99"/>
    <w:rsid w:val="00117D35"/>
    <w:pPr>
      <w:spacing w:after="120"/>
      <w:ind w:left="1400" w:hanging="640"/>
    </w:pPr>
    <w:rPr>
      <w:rFonts w:ascii="Verdana" w:hAnsi="Verdana"/>
      <w:color w:val="000000"/>
      <w:sz w:val="20"/>
      <w:szCs w:val="20"/>
      <w:lang w:val="en-US" w:eastAsia="en-US"/>
    </w:rPr>
  </w:style>
  <w:style w:type="character" w:customStyle="1" w:styleId="CharChar2">
    <w:name w:val="Char Char2"/>
    <w:uiPriority w:val="99"/>
    <w:rsid w:val="00117D35"/>
    <w:rPr>
      <w:rFonts w:ascii="Cambria Math" w:hAnsi="Cambria Math"/>
      <w:b/>
      <w:sz w:val="24"/>
      <w:lang w:val="pt-BR" w:eastAsia="pt-BR"/>
    </w:rPr>
  </w:style>
  <w:style w:type="character" w:customStyle="1" w:styleId="CharChar1">
    <w:name w:val="Char Char1"/>
    <w:uiPriority w:val="99"/>
    <w:rsid w:val="00117D35"/>
    <w:rPr>
      <w:sz w:val="24"/>
      <w:lang w:val="pt-BR" w:eastAsia="pt-BR"/>
    </w:rPr>
  </w:style>
  <w:style w:type="paragraph" w:customStyle="1" w:styleId="EstiloTtulo112pt">
    <w:name w:val="Estilo Título 1 + 12 pt"/>
    <w:basedOn w:val="Ttulo1"/>
    <w:link w:val="EstiloTtulo112ptChar"/>
    <w:autoRedefine/>
    <w:uiPriority w:val="99"/>
    <w:rsid w:val="007C6E4D"/>
    <w:rPr>
      <w:color w:val="auto"/>
    </w:rPr>
  </w:style>
  <w:style w:type="character" w:customStyle="1" w:styleId="EstiloTtulo112ptChar">
    <w:name w:val="Estilo Título 1 + 12 pt Char"/>
    <w:link w:val="EstiloTtulo112pt"/>
    <w:uiPriority w:val="99"/>
    <w:locked/>
    <w:rsid w:val="007C6E4D"/>
    <w:rPr>
      <w:rFonts w:ascii="Arial" w:hAnsi="Arial"/>
      <w:b/>
      <w:sz w:val="24"/>
      <w:lang w:val="pt-BR" w:eastAsia="pt-BR"/>
    </w:rPr>
  </w:style>
  <w:style w:type="paragraph" w:customStyle="1" w:styleId="EstiloTtulo112pt1">
    <w:name w:val="Estilo Título 1 + 12 pt1"/>
    <w:basedOn w:val="Ttulo1"/>
    <w:link w:val="EstiloTtulo112pt1Char"/>
    <w:autoRedefine/>
    <w:uiPriority w:val="99"/>
    <w:rsid w:val="007C6E4D"/>
    <w:rPr>
      <w:color w:val="auto"/>
    </w:rPr>
  </w:style>
  <w:style w:type="character" w:customStyle="1" w:styleId="EstiloTtulo112pt1Char">
    <w:name w:val="Estilo Título 1 + 12 pt1 Char"/>
    <w:link w:val="EstiloTtulo112pt1"/>
    <w:uiPriority w:val="99"/>
    <w:locked/>
    <w:rsid w:val="007C6E4D"/>
    <w:rPr>
      <w:rFonts w:ascii="Arial" w:hAnsi="Arial"/>
      <w:b/>
      <w:sz w:val="24"/>
      <w:lang w:val="pt-BR" w:eastAsia="pt-BR"/>
    </w:rPr>
  </w:style>
  <w:style w:type="character" w:customStyle="1" w:styleId="Ttulo2Char">
    <w:name w:val="Título 2 Char"/>
    <w:uiPriority w:val="99"/>
    <w:rsid w:val="00C9463D"/>
    <w:rPr>
      <w:rFonts w:ascii="Cambria Math" w:hAnsi="Cambria Math"/>
      <w:b/>
      <w:sz w:val="24"/>
      <w:lang w:val="pt-BR" w:eastAsia="pt-BR"/>
    </w:rPr>
  </w:style>
  <w:style w:type="character" w:customStyle="1" w:styleId="Ttulo1Char">
    <w:name w:val="Título 1 Char"/>
    <w:uiPriority w:val="99"/>
    <w:rsid w:val="00C9463D"/>
    <w:rPr>
      <w:rFonts w:ascii="Cambria Math" w:hAnsi="Cambria Math"/>
      <w:b/>
      <w:sz w:val="24"/>
      <w:lang w:val="pt-BR" w:eastAsia="pt-BR"/>
    </w:rPr>
  </w:style>
  <w:style w:type="paragraph" w:styleId="Legenda">
    <w:name w:val="caption"/>
    <w:basedOn w:val="Normal"/>
    <w:next w:val="Normal"/>
    <w:uiPriority w:val="99"/>
    <w:qFormat/>
    <w:rsid w:val="00E13180"/>
    <w:rPr>
      <w:b/>
      <w:bCs/>
      <w:sz w:val="20"/>
      <w:szCs w:val="20"/>
    </w:rPr>
  </w:style>
  <w:style w:type="paragraph" w:styleId="Reviso">
    <w:name w:val="Revision"/>
    <w:hidden/>
    <w:uiPriority w:val="99"/>
    <w:semiHidden/>
    <w:rsid w:val="00C60FE5"/>
    <w:rPr>
      <w:rFonts w:ascii="Cambria Math" w:hAnsi="Cambria Math" w:cs="Cambria Math"/>
    </w:rPr>
  </w:style>
  <w:style w:type="table" w:styleId="Tabelacontempornea">
    <w:name w:val="Table Contemporary"/>
    <w:basedOn w:val="Tabelanormal"/>
    <w:uiPriority w:val="99"/>
    <w:rsid w:val="00C60FE5"/>
    <w:rPr>
      <w:sz w:val="20"/>
      <w:szCs w:val="20"/>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elaclssica1">
    <w:name w:val="Table Classic 1"/>
    <w:aliases w:val="TABELA BASE"/>
    <w:basedOn w:val="Tabelanormal"/>
    <w:uiPriority w:val="99"/>
    <w:rsid w:val="00970D47"/>
    <w:pPr>
      <w:jc w:val="center"/>
    </w:pPr>
    <w:rPr>
      <w:rFonts w:ascii="Cambria Math" w:hAnsi="Cambria Math"/>
      <w:sz w:val="18"/>
      <w:szCs w:val="20"/>
    </w:rPr>
    <w:tblPr>
      <w:tblStyleRowBandSize w:val="1"/>
      <w:tblBorders>
        <w:top w:val="single" w:sz="12" w:space="0" w:color="000000"/>
        <w:bottom w:val="single" w:sz="12" w:space="0" w:color="000000"/>
        <w:insideV w:val="single" w:sz="2" w:space="0" w:color="BFBFBF"/>
      </w:tblBorders>
      <w:tblCellMar>
        <w:left w:w="28" w:type="dxa"/>
        <w:right w:w="28" w:type="dxa"/>
      </w:tblCellMar>
    </w:tblPr>
    <w:tcPr>
      <w:shd w:val="clear" w:color="auto" w:fill="FFFFFF"/>
    </w:tcPr>
    <w:tblStylePr w:type="firstRow">
      <w:rPr>
        <w:rFonts w:ascii="Arial" w:hAnsi="Arial" w:cs="Times New Roman"/>
        <w:b/>
        <w:i w:val="0"/>
        <w:iCs/>
        <w:sz w:val="18"/>
      </w:rPr>
      <w:tblPr/>
      <w:tcPr>
        <w:tcBorders>
          <w:bottom w:val="nil"/>
          <w:insideH w:val="nil"/>
        </w:tcBorders>
        <w:shd w:val="clear" w:color="auto" w:fill="FFFFFF"/>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pPr>
        <w:jc w:val="left"/>
      </w:pPr>
      <w:rPr>
        <w:rFonts w:cs="Times New Roman"/>
      </w:rPr>
      <w:tblPr/>
      <w:tcPr>
        <w:tcBorders>
          <w:right w:val="single" w:sz="6" w:space="0" w:color="000000"/>
        </w:tcBorders>
      </w:tcPr>
    </w:tblStylePr>
    <w:tblStylePr w:type="band1Horz">
      <w:rPr>
        <w:rFonts w:cs="Times New Roman"/>
      </w:rPr>
      <w:tblPr/>
      <w:tcPr>
        <w:shd w:val="clear" w:color="auto" w:fill="D9D9D9"/>
      </w:tcPr>
    </w:tblStylePr>
    <w:tblStylePr w:type="band2Horz">
      <w:rPr>
        <w:rFonts w:cs="Times New Roman"/>
      </w:rPr>
      <w:tblPr/>
      <w:tcPr>
        <w:shd w:val="clear" w:color="auto" w:fill="FFFFFF"/>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styleId="PargrafodaLista">
    <w:name w:val="List Paragraph"/>
    <w:aliases w:val="Meu,Answer Bullet,Itemização"/>
    <w:basedOn w:val="Normal"/>
    <w:link w:val="PargrafodaListaChar"/>
    <w:uiPriority w:val="1"/>
    <w:qFormat/>
    <w:rsid w:val="00781522"/>
    <w:pPr>
      <w:ind w:left="720"/>
      <w:contextualSpacing/>
    </w:pPr>
  </w:style>
  <w:style w:type="paragraph" w:customStyle="1" w:styleId="PargrafodaLista1">
    <w:name w:val="Parágrafo da Lista1"/>
    <w:basedOn w:val="Normal"/>
    <w:uiPriority w:val="99"/>
    <w:rsid w:val="00DB6D7C"/>
    <w:pPr>
      <w:spacing w:after="200" w:line="276" w:lineRule="auto"/>
      <w:ind w:left="720"/>
      <w:contextualSpacing/>
    </w:pPr>
    <w:rPr>
      <w:rFonts w:ascii="Symbol" w:hAnsi="Symbol"/>
      <w:lang w:eastAsia="en-US"/>
    </w:rPr>
  </w:style>
  <w:style w:type="paragraph" w:customStyle="1" w:styleId="default">
    <w:name w:val="default"/>
    <w:basedOn w:val="Normal"/>
    <w:rsid w:val="00DF6050"/>
    <w:pPr>
      <w:autoSpaceDE w:val="0"/>
      <w:autoSpaceDN w:val="0"/>
    </w:pPr>
    <w:rPr>
      <w:color w:val="000000"/>
    </w:rPr>
  </w:style>
  <w:style w:type="paragraph" w:customStyle="1" w:styleId="PargrafodaLista11">
    <w:name w:val="Parágrafo da Lista11"/>
    <w:basedOn w:val="Normal"/>
    <w:uiPriority w:val="99"/>
    <w:rsid w:val="00CA739A"/>
    <w:pPr>
      <w:spacing w:after="200" w:line="276" w:lineRule="auto"/>
      <w:ind w:left="720"/>
      <w:contextualSpacing/>
    </w:pPr>
    <w:rPr>
      <w:rFonts w:ascii="Symbol" w:hAnsi="Symbol"/>
      <w:lang w:eastAsia="en-US"/>
    </w:rPr>
  </w:style>
  <w:style w:type="character" w:styleId="Refdecomentrio">
    <w:name w:val="annotation reference"/>
    <w:basedOn w:val="Fontepargpadro"/>
    <w:uiPriority w:val="99"/>
    <w:locked/>
    <w:rsid w:val="00E23892"/>
    <w:rPr>
      <w:rFonts w:cs="Times New Roman"/>
      <w:sz w:val="16"/>
      <w:szCs w:val="16"/>
    </w:rPr>
  </w:style>
  <w:style w:type="paragraph" w:styleId="Assuntodocomentrio">
    <w:name w:val="annotation subject"/>
    <w:basedOn w:val="Textodecomentrio"/>
    <w:next w:val="Textodecomentrio"/>
    <w:link w:val="AssuntodocomentrioChar"/>
    <w:uiPriority w:val="99"/>
    <w:semiHidden/>
    <w:locked/>
    <w:rsid w:val="00E23892"/>
    <w:rPr>
      <w:rFonts w:cs="Arial"/>
      <w:b/>
      <w:bCs/>
    </w:rPr>
  </w:style>
  <w:style w:type="character" w:customStyle="1" w:styleId="AssuntodocomentrioChar">
    <w:name w:val="Assunto do comentário Char"/>
    <w:basedOn w:val="TextodecomentrioChar"/>
    <w:link w:val="Assuntodocomentrio"/>
    <w:uiPriority w:val="99"/>
    <w:semiHidden/>
    <w:locked/>
    <w:rsid w:val="00E23892"/>
    <w:rPr>
      <w:rFonts w:ascii="Arial" w:hAnsi="Arial" w:cs="Arial"/>
      <w:b/>
      <w:bCs/>
      <w:sz w:val="20"/>
      <w:szCs w:val="20"/>
    </w:rPr>
  </w:style>
  <w:style w:type="paragraph" w:customStyle="1" w:styleId="Default0">
    <w:name w:val="Default"/>
    <w:rsid w:val="00A569E2"/>
    <w:pPr>
      <w:autoSpaceDE w:val="0"/>
      <w:autoSpaceDN w:val="0"/>
      <w:adjustRightInd w:val="0"/>
    </w:pPr>
    <w:rPr>
      <w:rFonts w:ascii="Cambria Math" w:hAnsi="Cambria Math" w:cs="Cambria Math"/>
      <w:color w:val="000000"/>
      <w:sz w:val="24"/>
      <w:szCs w:val="24"/>
    </w:rPr>
  </w:style>
  <w:style w:type="paragraph" w:customStyle="1" w:styleId="PargrafodaLista2">
    <w:name w:val="Parágrafo da Lista2"/>
    <w:basedOn w:val="Normal"/>
    <w:uiPriority w:val="99"/>
    <w:rsid w:val="00A569E2"/>
    <w:pPr>
      <w:ind w:left="720"/>
      <w:contextualSpacing/>
    </w:pPr>
  </w:style>
  <w:style w:type="paragraph" w:customStyle="1" w:styleId="PargrafodaLista3">
    <w:name w:val="Parágrafo da Lista3"/>
    <w:basedOn w:val="Normal"/>
    <w:uiPriority w:val="99"/>
    <w:rsid w:val="00A569E2"/>
    <w:pPr>
      <w:ind w:left="720"/>
      <w:contextualSpacing/>
    </w:pPr>
  </w:style>
  <w:style w:type="character" w:styleId="nfaseSutil">
    <w:name w:val="Subtle Emphasis"/>
    <w:basedOn w:val="Fontepargpadro"/>
    <w:uiPriority w:val="99"/>
    <w:qFormat/>
    <w:rsid w:val="00A569E2"/>
    <w:rPr>
      <w:rFonts w:cs="Times New Roman"/>
      <w:i/>
      <w:iCs/>
      <w:color w:val="808080"/>
    </w:rPr>
  </w:style>
  <w:style w:type="numbering" w:customStyle="1" w:styleId="Listaatual1">
    <w:name w:val="Lista atual1"/>
    <w:rsid w:val="00E90476"/>
    <w:pPr>
      <w:numPr>
        <w:numId w:val="2"/>
      </w:numPr>
    </w:pPr>
  </w:style>
  <w:style w:type="paragraph" w:customStyle="1" w:styleId="PargrafodaLista4">
    <w:name w:val="Parágrafo da Lista4"/>
    <w:basedOn w:val="Normal"/>
    <w:uiPriority w:val="99"/>
    <w:rsid w:val="00583DDC"/>
    <w:pPr>
      <w:ind w:left="720"/>
      <w:contextualSpacing/>
    </w:pPr>
  </w:style>
  <w:style w:type="paragraph" w:customStyle="1" w:styleId="msolistparagraph0">
    <w:name w:val="msolistparagraph"/>
    <w:basedOn w:val="Normal"/>
    <w:uiPriority w:val="99"/>
    <w:rsid w:val="00B00FCF"/>
    <w:pPr>
      <w:ind w:left="720"/>
    </w:pPr>
  </w:style>
  <w:style w:type="character" w:customStyle="1" w:styleId="st">
    <w:name w:val="st"/>
    <w:basedOn w:val="Fontepargpadro"/>
    <w:rsid w:val="00B00FCF"/>
  </w:style>
  <w:style w:type="paragraph" w:customStyle="1" w:styleId="TableParagraph">
    <w:name w:val="Table Paragraph"/>
    <w:basedOn w:val="Normal"/>
    <w:uiPriority w:val="1"/>
    <w:qFormat/>
    <w:rsid w:val="002F2CAC"/>
    <w:pPr>
      <w:widowControl w:val="0"/>
    </w:pPr>
    <w:rPr>
      <w:rFonts w:asciiTheme="minorHAnsi" w:eastAsiaTheme="minorHAnsi" w:hAnsiTheme="minorHAnsi" w:cstheme="minorBidi"/>
      <w:lang w:val="en-US" w:eastAsia="en-US"/>
    </w:rPr>
  </w:style>
  <w:style w:type="character" w:customStyle="1" w:styleId="apple-converted-space">
    <w:name w:val="apple-converted-space"/>
    <w:basedOn w:val="Fontepargpadro"/>
    <w:rsid w:val="0002288E"/>
  </w:style>
  <w:style w:type="paragraph" w:customStyle="1" w:styleId="CharChar7CharCharCharCharCharCharCharCharCharChar">
    <w:name w:val="Char Char7 Char Char Char Char Char Char Char Char Char Char"/>
    <w:basedOn w:val="Normal"/>
    <w:uiPriority w:val="99"/>
    <w:rsid w:val="0002288E"/>
    <w:pPr>
      <w:spacing w:after="160" w:line="240" w:lineRule="exact"/>
    </w:pPr>
    <w:rPr>
      <w:rFonts w:ascii="Verdana" w:hAnsi="Verdana"/>
      <w:sz w:val="20"/>
      <w:szCs w:val="20"/>
      <w:lang w:val="en-US" w:eastAsia="en-US"/>
    </w:rPr>
  </w:style>
  <w:style w:type="paragraph" w:styleId="SemEspaamento">
    <w:name w:val="No Spacing"/>
    <w:uiPriority w:val="1"/>
    <w:qFormat/>
    <w:rsid w:val="0002288E"/>
    <w:rPr>
      <w:rFonts w:asciiTheme="minorHAnsi" w:eastAsiaTheme="minorHAnsi" w:hAnsiTheme="minorHAnsi" w:cstheme="minorBidi"/>
      <w:lang w:eastAsia="en-US"/>
    </w:rPr>
  </w:style>
  <w:style w:type="paragraph" w:customStyle="1" w:styleId="wordsection1">
    <w:name w:val="wordsection1"/>
    <w:basedOn w:val="Normal"/>
    <w:link w:val="wordsection1Char"/>
    <w:uiPriority w:val="99"/>
    <w:rsid w:val="0007137A"/>
    <w:pPr>
      <w:spacing w:before="100" w:beforeAutospacing="1" w:after="100" w:afterAutospacing="1"/>
    </w:pPr>
    <w:rPr>
      <w:rFonts w:eastAsiaTheme="minorHAnsi"/>
    </w:rPr>
  </w:style>
  <w:style w:type="paragraph" w:customStyle="1" w:styleId="072-Rodapdatabela">
    <w:name w:val="072 - Rodapé da tabela"/>
    <w:basedOn w:val="Normal"/>
    <w:next w:val="Normal"/>
    <w:link w:val="072-RodapdatabelaChar"/>
    <w:qFormat/>
    <w:rsid w:val="00DF23CC"/>
    <w:pPr>
      <w:keepNext/>
      <w:keepLines/>
      <w:tabs>
        <w:tab w:val="left" w:pos="284"/>
      </w:tabs>
      <w:spacing w:before="40"/>
      <w:ind w:left="284" w:hanging="284"/>
      <w:jc w:val="both"/>
    </w:pPr>
    <w:rPr>
      <w:sz w:val="14"/>
      <w:szCs w:val="18"/>
    </w:rPr>
  </w:style>
  <w:style w:type="character" w:customStyle="1" w:styleId="072-RodapdatabelaChar">
    <w:name w:val="072 - Rodapé da tabela Char"/>
    <w:basedOn w:val="Fontepargpadro"/>
    <w:link w:val="072-Rodapdatabela"/>
    <w:rsid w:val="00DF23CC"/>
    <w:rPr>
      <w:rFonts w:ascii="Arial" w:hAnsi="Arial"/>
      <w:sz w:val="14"/>
      <w:szCs w:val="18"/>
    </w:rPr>
  </w:style>
  <w:style w:type="character" w:customStyle="1" w:styleId="st1">
    <w:name w:val="st1"/>
    <w:basedOn w:val="Fontepargpadro"/>
    <w:rsid w:val="00572B9E"/>
  </w:style>
  <w:style w:type="character" w:customStyle="1" w:styleId="wordsection1Char">
    <w:name w:val="wordsection1 Char"/>
    <w:basedOn w:val="Fontepargpadro"/>
    <w:link w:val="wordsection1"/>
    <w:uiPriority w:val="99"/>
    <w:locked/>
    <w:rsid w:val="00CB04D1"/>
    <w:rPr>
      <w:rFonts w:eastAsiaTheme="minorHAnsi"/>
      <w:sz w:val="24"/>
      <w:szCs w:val="24"/>
    </w:rPr>
  </w:style>
  <w:style w:type="character" w:customStyle="1" w:styleId="ilfuvd">
    <w:name w:val="ilfuvd"/>
    <w:basedOn w:val="Fontepargpadro"/>
    <w:rsid w:val="00C645F7"/>
  </w:style>
  <w:style w:type="character" w:customStyle="1" w:styleId="PargrafodaListaChar">
    <w:name w:val="Parágrafo da Lista Char"/>
    <w:aliases w:val="Meu Char,Answer Bullet Char,Itemização Char"/>
    <w:basedOn w:val="Fontepargpadro"/>
    <w:link w:val="PargrafodaLista"/>
    <w:uiPriority w:val="34"/>
    <w:qFormat/>
    <w:rsid w:val="005D278C"/>
    <w:rPr>
      <w:rFonts w:ascii="Arial" w:hAnsi="Arial" w:cs="Arial"/>
    </w:rPr>
  </w:style>
  <w:style w:type="paragraph" w:styleId="Textodenotaderodap">
    <w:name w:val="footnote text"/>
    <w:basedOn w:val="Normal"/>
    <w:link w:val="TextodenotaderodapChar"/>
    <w:uiPriority w:val="99"/>
    <w:semiHidden/>
    <w:unhideWhenUsed/>
    <w:locked/>
    <w:rsid w:val="0019155E"/>
    <w:rPr>
      <w:sz w:val="20"/>
      <w:szCs w:val="20"/>
    </w:rPr>
  </w:style>
  <w:style w:type="character" w:customStyle="1" w:styleId="TextodenotaderodapChar">
    <w:name w:val="Texto de nota de rodapé Char"/>
    <w:basedOn w:val="Fontepargpadro"/>
    <w:link w:val="Textodenotaderodap"/>
    <w:uiPriority w:val="99"/>
    <w:semiHidden/>
    <w:rsid w:val="0019155E"/>
    <w:rPr>
      <w:rFonts w:ascii="Arial" w:hAnsi="Arial" w:cs="Arial"/>
      <w:sz w:val="20"/>
      <w:szCs w:val="20"/>
    </w:rPr>
  </w:style>
  <w:style w:type="character" w:styleId="Refdenotaderodap">
    <w:name w:val="footnote reference"/>
    <w:basedOn w:val="Fontepargpadro"/>
    <w:uiPriority w:val="99"/>
    <w:semiHidden/>
    <w:unhideWhenUsed/>
    <w:locked/>
    <w:rsid w:val="0019155E"/>
    <w:rPr>
      <w:vertAlign w:val="superscript"/>
    </w:rPr>
  </w:style>
  <w:style w:type="paragraph" w:customStyle="1" w:styleId="msonormal0">
    <w:name w:val="msonormal"/>
    <w:basedOn w:val="Normal"/>
    <w:uiPriority w:val="99"/>
    <w:rsid w:val="008C3487"/>
    <w:pPr>
      <w:spacing w:before="100" w:beforeAutospacing="1" w:after="100" w:afterAutospacing="1"/>
    </w:pPr>
    <w:rPr>
      <w:rFonts w:ascii="Arial Unicode MS" w:eastAsia="Arial Unicode MS" w:hAnsi="Arial Unicode MS" w:cs="Arial Unicode MS"/>
    </w:rPr>
  </w:style>
  <w:style w:type="character" w:customStyle="1" w:styleId="CorpodetextoChar1">
    <w:name w:val="Corpo de texto Char1"/>
    <w:aliases w:val="bt Char1"/>
    <w:basedOn w:val="Fontepargpadro"/>
    <w:uiPriority w:val="1"/>
    <w:semiHidden/>
    <w:rsid w:val="008C3487"/>
    <w:rPr>
      <w:rFonts w:ascii="Cambria Math" w:hAnsi="Cambria Math" w:cs="Cambria Math"/>
    </w:rPr>
  </w:style>
  <w:style w:type="character" w:styleId="MenoPendente">
    <w:name w:val="Unresolved Mention"/>
    <w:basedOn w:val="Fontepargpadro"/>
    <w:uiPriority w:val="99"/>
    <w:unhideWhenUsed/>
    <w:rsid w:val="004C1966"/>
    <w:rPr>
      <w:color w:val="605E5C"/>
      <w:shd w:val="clear" w:color="auto" w:fill="E1DFDD"/>
    </w:rPr>
  </w:style>
  <w:style w:type="character" w:customStyle="1" w:styleId="050-TextoPadroChar">
    <w:name w:val="050 - Texto Padrão Char"/>
    <w:basedOn w:val="Fontepargpadro"/>
    <w:link w:val="050-TextoPadro"/>
    <w:locked/>
    <w:rsid w:val="003E10D7"/>
  </w:style>
  <w:style w:type="paragraph" w:customStyle="1" w:styleId="050-TextoPadro">
    <w:name w:val="050 - Texto Padrão"/>
    <w:basedOn w:val="Normal"/>
    <w:link w:val="050-TextoPadroChar"/>
    <w:qFormat/>
    <w:rsid w:val="003E10D7"/>
    <w:pPr>
      <w:keepNext/>
      <w:keepLines/>
      <w:spacing w:before="120" w:after="120" w:line="276" w:lineRule="auto"/>
      <w:jc w:val="both"/>
    </w:pPr>
  </w:style>
  <w:style w:type="character" w:customStyle="1" w:styleId="normaltextrun">
    <w:name w:val="normaltextrun"/>
    <w:basedOn w:val="Fontepargpadro"/>
    <w:rsid w:val="00594BD0"/>
  </w:style>
  <w:style w:type="character" w:customStyle="1" w:styleId="e24kjd">
    <w:name w:val="e24kjd"/>
    <w:basedOn w:val="Fontepargpadro"/>
    <w:rsid w:val="00EC2363"/>
  </w:style>
  <w:style w:type="paragraph" w:styleId="Ttulo">
    <w:name w:val="Title"/>
    <w:basedOn w:val="Normal"/>
    <w:next w:val="Normal"/>
    <w:link w:val="TtuloChar"/>
    <w:qFormat/>
    <w:rsid w:val="00115D09"/>
    <w:pPr>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rsid w:val="00115D09"/>
    <w:rPr>
      <w:rFonts w:asciiTheme="majorHAnsi" w:eastAsiaTheme="majorEastAsia" w:hAnsiTheme="majorHAnsi" w:cstheme="majorBidi"/>
      <w:spacing w:val="-10"/>
      <w:kern w:val="28"/>
      <w:sz w:val="56"/>
      <w:szCs w:val="56"/>
    </w:rPr>
  </w:style>
  <w:style w:type="paragraph" w:customStyle="1" w:styleId="020-TtulodeDocumento">
    <w:name w:val="020 - Título de Documento"/>
    <w:basedOn w:val="050-TextoPadro"/>
    <w:next w:val="050-TextoPadro"/>
    <w:qFormat/>
    <w:rsid w:val="00184030"/>
    <w:pPr>
      <w:spacing w:line="240" w:lineRule="auto"/>
      <w:ind w:left="1440" w:hanging="360"/>
      <w:outlineLvl w:val="1"/>
    </w:pPr>
    <w:rPr>
      <w:rFonts w:ascii="Cambria Math" w:hAnsi="Cambria Math"/>
      <w:b/>
      <w:spacing w:val="-2"/>
      <w:sz w:val="20"/>
      <w:szCs w:val="18"/>
    </w:rPr>
  </w:style>
  <w:style w:type="paragraph" w:customStyle="1" w:styleId="030-SubttulodeDocumento">
    <w:name w:val="030 - Subtítulo de Documento"/>
    <w:basedOn w:val="050-TextoPadro"/>
    <w:next w:val="050-TextoPadro"/>
    <w:link w:val="030-SubttulodeDocumentoChar"/>
    <w:qFormat/>
    <w:rsid w:val="00184030"/>
    <w:pPr>
      <w:spacing w:line="240" w:lineRule="auto"/>
      <w:ind w:left="2160" w:hanging="180"/>
      <w:outlineLvl w:val="2"/>
    </w:pPr>
    <w:rPr>
      <w:rFonts w:ascii="Cambria Math" w:hAnsi="Cambria Math"/>
      <w:b/>
      <w:sz w:val="20"/>
      <w:szCs w:val="18"/>
    </w:rPr>
  </w:style>
  <w:style w:type="paragraph" w:customStyle="1" w:styleId="040-SubttuloEspecial">
    <w:name w:val="040 - Subtítulo Especial"/>
    <w:basedOn w:val="030-SubttulodeDocumento"/>
    <w:next w:val="050-TextoPadro"/>
    <w:qFormat/>
    <w:rsid w:val="00184030"/>
    <w:pPr>
      <w:ind w:left="3600" w:hanging="360"/>
      <w:outlineLvl w:val="4"/>
    </w:pPr>
  </w:style>
  <w:style w:type="paragraph" w:customStyle="1" w:styleId="010-Grupo">
    <w:name w:val="010 - Grupo"/>
    <w:basedOn w:val="Ttulo1"/>
    <w:next w:val="020-TtulodeDocumento"/>
    <w:qFormat/>
    <w:rsid w:val="00184030"/>
    <w:pPr>
      <w:keepNext/>
      <w:keepLines/>
      <w:framePr w:wrap="notBeside" w:vAnchor="page" w:hAnchor="page" w:xAlign="center" w:yAlign="top" w:anchorLock="1"/>
      <w:tabs>
        <w:tab w:val="left" w:pos="0"/>
      </w:tabs>
      <w:suppressAutoHyphens/>
      <w:spacing w:after="0" w:line="276" w:lineRule="auto"/>
      <w:ind w:left="720" w:hanging="360"/>
    </w:pPr>
    <w:rPr>
      <w:rFonts w:ascii="Cambria Math" w:hAnsi="Cambria Math"/>
      <w:color w:val="E3EDF6"/>
      <w:spacing w:val="-2"/>
      <w:sz w:val="12"/>
      <w:szCs w:val="18"/>
      <w14:textFill>
        <w14:solidFill>
          <w14:srgbClr w14:val="E3EDF6">
            <w14:alpha w14:val="100000"/>
          </w14:srgbClr>
        </w14:solidFill>
      </w14:textFill>
    </w:rPr>
  </w:style>
  <w:style w:type="numbering" w:customStyle="1" w:styleId="PubliConLista">
    <w:name w:val="PubliConLista"/>
    <w:uiPriority w:val="99"/>
    <w:rsid w:val="00184030"/>
    <w:pPr>
      <w:numPr>
        <w:numId w:val="22"/>
      </w:numPr>
    </w:pPr>
  </w:style>
  <w:style w:type="paragraph" w:customStyle="1" w:styleId="031-SubttulodeDocumentoLista">
    <w:name w:val="031 - Subtítulo de Documento Lista"/>
    <w:basedOn w:val="030-SubttulodeDocumento"/>
    <w:next w:val="050-TextoPadro"/>
    <w:qFormat/>
    <w:rsid w:val="00184030"/>
    <w:pPr>
      <w:ind w:left="2880" w:hanging="360"/>
      <w:outlineLvl w:val="3"/>
    </w:pPr>
  </w:style>
  <w:style w:type="table" w:customStyle="1" w:styleId="TableNormal1">
    <w:name w:val="Table Normal1"/>
    <w:uiPriority w:val="2"/>
    <w:semiHidden/>
    <w:unhideWhenUsed/>
    <w:qFormat/>
    <w:rsid w:val="005602C1"/>
    <w:pPr>
      <w:widowControl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835AC5"/>
    <w:pPr>
      <w:widowControl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xmsolistparagraph">
    <w:name w:val="x_msolistparagraph"/>
    <w:basedOn w:val="Normal"/>
    <w:rsid w:val="009A31CC"/>
    <w:pPr>
      <w:ind w:left="720"/>
    </w:pPr>
    <w:rPr>
      <w:rFonts w:ascii="Calibri" w:eastAsiaTheme="minorHAnsi" w:hAnsi="Calibri" w:cs="Calibri"/>
    </w:rPr>
  </w:style>
  <w:style w:type="paragraph" w:styleId="Pr-formataoHTML">
    <w:name w:val="HTML Preformatted"/>
    <w:basedOn w:val="Normal"/>
    <w:link w:val="Pr-formataoHTMLChar"/>
    <w:uiPriority w:val="99"/>
    <w:semiHidden/>
    <w:unhideWhenUsed/>
    <w:locked/>
    <w:rsid w:val="00574C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Pr-formataoHTMLChar">
    <w:name w:val="Pré-formatação HTML Char"/>
    <w:basedOn w:val="Fontepargpadro"/>
    <w:link w:val="Pr-formataoHTML"/>
    <w:uiPriority w:val="99"/>
    <w:semiHidden/>
    <w:rsid w:val="00574C13"/>
    <w:rPr>
      <w:rFonts w:ascii="Courier New" w:eastAsia="Times New Roman" w:hAnsi="Courier New" w:cs="Courier New"/>
      <w:sz w:val="20"/>
      <w:szCs w:val="20"/>
    </w:rPr>
  </w:style>
  <w:style w:type="character" w:customStyle="1" w:styleId="y2iqfc">
    <w:name w:val="y2iqfc"/>
    <w:basedOn w:val="Fontepargpadro"/>
    <w:rsid w:val="00574C13"/>
  </w:style>
  <w:style w:type="paragraph" w:customStyle="1" w:styleId="content-textcontainer">
    <w:name w:val="content-text__container"/>
    <w:basedOn w:val="Normal"/>
    <w:rsid w:val="00134B23"/>
    <w:pPr>
      <w:spacing w:before="100" w:beforeAutospacing="1" w:after="100" w:afterAutospacing="1"/>
    </w:pPr>
    <w:rPr>
      <w:rFonts w:ascii="Times New Roman" w:eastAsia="Times New Roman" w:hAnsi="Times New Roman" w:cs="Times New Roman"/>
    </w:rPr>
  </w:style>
  <w:style w:type="character" w:customStyle="1" w:styleId="eop">
    <w:name w:val="eop"/>
    <w:basedOn w:val="Fontepargpadro"/>
    <w:rsid w:val="00292763"/>
  </w:style>
  <w:style w:type="character" w:customStyle="1" w:styleId="ui-provider">
    <w:name w:val="ui-provider"/>
    <w:basedOn w:val="Fontepargpadro"/>
    <w:rsid w:val="004E69EA"/>
  </w:style>
  <w:style w:type="paragraph" w:customStyle="1" w:styleId="paragraph">
    <w:name w:val="paragraph"/>
    <w:basedOn w:val="Normal"/>
    <w:rsid w:val="00DD4890"/>
    <w:pPr>
      <w:spacing w:before="100" w:beforeAutospacing="1" w:after="100" w:afterAutospacing="1"/>
    </w:pPr>
    <w:rPr>
      <w:rFonts w:ascii="Times New Roman" w:eastAsia="Times New Roman" w:hAnsi="Times New Roman" w:cs="Times New Roman"/>
    </w:rPr>
  </w:style>
  <w:style w:type="paragraph" w:customStyle="1" w:styleId="057-Listanrromano">
    <w:name w:val="057 - Lista nr romano"/>
    <w:basedOn w:val="050-TextoPadro"/>
    <w:qFormat/>
    <w:rsid w:val="001F7ECF"/>
    <w:pPr>
      <w:tabs>
        <w:tab w:val="num" w:pos="360"/>
      </w:tabs>
      <w:spacing w:before="0" w:after="0" w:line="240" w:lineRule="auto"/>
    </w:pPr>
    <w:rPr>
      <w:rFonts w:ascii="BancoDoBrasil Textos" w:hAnsi="BancoDoBrasil Textos"/>
      <w:sz w:val="22"/>
      <w:szCs w:val="22"/>
    </w:rPr>
  </w:style>
  <w:style w:type="character" w:customStyle="1" w:styleId="030-SubttulodeDocumentoChar">
    <w:name w:val="030 - Subtítulo de Documento Char"/>
    <w:basedOn w:val="050-TextoPadroChar"/>
    <w:link w:val="030-SubttulodeDocumento"/>
    <w:locked/>
    <w:rsid w:val="001F7ECF"/>
    <w:rPr>
      <w:rFonts w:ascii="Cambria Math" w:hAnsi="Cambria Math"/>
      <w:b/>
      <w:sz w:val="20"/>
      <w:szCs w:val="18"/>
    </w:rPr>
  </w:style>
  <w:style w:type="paragraph" w:customStyle="1" w:styleId="xmsonormal">
    <w:name w:val="x_msonormal"/>
    <w:basedOn w:val="Normal"/>
    <w:rsid w:val="00F2105C"/>
    <w:pPr>
      <w:spacing w:before="100" w:beforeAutospacing="1" w:after="100" w:afterAutospacing="1"/>
    </w:pPr>
    <w:rPr>
      <w:rFonts w:ascii="Calibri" w:eastAsiaTheme="minorHAnsi" w:hAnsi="Calibri" w:cs="Calibri"/>
      <w:sz w:val="22"/>
      <w:szCs w:val="22"/>
    </w:rPr>
  </w:style>
  <w:style w:type="paragraph" w:customStyle="1" w:styleId="Ttulo1Leo">
    <w:name w:val="Título1_Leo"/>
    <w:basedOn w:val="Sumrio1"/>
    <w:qFormat/>
    <w:rsid w:val="008566EF"/>
    <w:pPr>
      <w:widowControl w:val="0"/>
      <w:tabs>
        <w:tab w:val="clear" w:pos="990"/>
        <w:tab w:val="clear" w:pos="1210"/>
        <w:tab w:val="clear" w:pos="9639"/>
      </w:tabs>
      <w:spacing w:before="120" w:after="0"/>
    </w:pPr>
    <w:rPr>
      <w:rFonts w:ascii="Calibri Light" w:eastAsia="Arial" w:hAnsi="Calibri Light" w:cs="Arial"/>
      <w:b/>
      <w:bCs/>
      <w:noProof w:val="0"/>
      <w:color w:val="2F75B5"/>
      <w:sz w:val="28"/>
      <w:lang w:val="en-US" w:eastAsia="en-US"/>
    </w:rPr>
  </w:style>
  <w:style w:type="character" w:styleId="Meno">
    <w:name w:val="Mention"/>
    <w:basedOn w:val="Fontepargpadro"/>
    <w:uiPriority w:val="99"/>
    <w:unhideWhenUsed/>
    <w:rsid w:val="00E90323"/>
    <w:rPr>
      <w:color w:val="2B579A"/>
      <w:shd w:val="clear" w:color="auto" w:fill="E1DFDD"/>
    </w:rPr>
  </w:style>
  <w:style w:type="paragraph" w:customStyle="1" w:styleId="Pargrafobsico">
    <w:name w:val="[Parágrafo básico]"/>
    <w:basedOn w:val="Normal"/>
    <w:uiPriority w:val="99"/>
    <w:rsid w:val="008A627E"/>
    <w:pPr>
      <w:widowControl w:val="0"/>
      <w:spacing w:before="288" w:after="120"/>
      <w:jc w:val="both"/>
    </w:pPr>
    <w:rPr>
      <w:rFonts w:ascii="Futura Std Book" w:eastAsiaTheme="minorHAnsi" w:hAnsi="Futura Std Book" w:cs="Arial"/>
      <w:noProof/>
      <w:color w:val="0066B2"/>
      <w:sz w:val="22"/>
    </w:rPr>
  </w:style>
  <w:style w:type="paragraph" w:customStyle="1" w:styleId="pf0">
    <w:name w:val="pf0"/>
    <w:basedOn w:val="Normal"/>
    <w:rsid w:val="00B37B40"/>
    <w:pPr>
      <w:spacing w:before="100" w:beforeAutospacing="1" w:after="100" w:afterAutospacing="1"/>
    </w:pPr>
    <w:rPr>
      <w:rFonts w:ascii="Times New Roman" w:eastAsia="Times New Roman" w:hAnsi="Times New Roman" w:cs="Times New Roman"/>
    </w:rPr>
  </w:style>
  <w:style w:type="character" w:customStyle="1" w:styleId="cf01">
    <w:name w:val="cf01"/>
    <w:basedOn w:val="Fontepargpadro"/>
    <w:rsid w:val="00B37B40"/>
    <w:rPr>
      <w:rFonts w:ascii="Segoe UI" w:hAnsi="Segoe UI" w:cs="Segoe UI" w:hint="default"/>
      <w:sz w:val="18"/>
      <w:szCs w:val="18"/>
    </w:rPr>
  </w:style>
  <w:style w:type="paragraph" w:customStyle="1" w:styleId="13Subttulo">
    <w:name w:val="13. Subtítulo"/>
    <w:basedOn w:val="Normal"/>
    <w:rsid w:val="00C668B1"/>
    <w:pPr>
      <w:spacing w:before="140" w:after="400" w:line="260" w:lineRule="atLeast"/>
      <w:ind w:hanging="720"/>
    </w:pPr>
    <w:rPr>
      <w:rFonts w:ascii="Times" w:eastAsia="Times New Roman" w:hAnsi="Times" w:cs="Times New Roman"/>
      <w:b/>
      <w:sz w:val="26"/>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7364">
      <w:bodyDiv w:val="1"/>
      <w:marLeft w:val="0"/>
      <w:marRight w:val="0"/>
      <w:marTop w:val="0"/>
      <w:marBottom w:val="0"/>
      <w:divBdr>
        <w:top w:val="none" w:sz="0" w:space="0" w:color="auto"/>
        <w:left w:val="none" w:sz="0" w:space="0" w:color="auto"/>
        <w:bottom w:val="none" w:sz="0" w:space="0" w:color="auto"/>
        <w:right w:val="none" w:sz="0" w:space="0" w:color="auto"/>
      </w:divBdr>
    </w:div>
    <w:div w:id="983087">
      <w:bodyDiv w:val="1"/>
      <w:marLeft w:val="0"/>
      <w:marRight w:val="0"/>
      <w:marTop w:val="0"/>
      <w:marBottom w:val="0"/>
      <w:divBdr>
        <w:top w:val="none" w:sz="0" w:space="0" w:color="auto"/>
        <w:left w:val="none" w:sz="0" w:space="0" w:color="auto"/>
        <w:bottom w:val="none" w:sz="0" w:space="0" w:color="auto"/>
        <w:right w:val="none" w:sz="0" w:space="0" w:color="auto"/>
      </w:divBdr>
    </w:div>
    <w:div w:id="1006828">
      <w:bodyDiv w:val="1"/>
      <w:marLeft w:val="0"/>
      <w:marRight w:val="0"/>
      <w:marTop w:val="0"/>
      <w:marBottom w:val="0"/>
      <w:divBdr>
        <w:top w:val="none" w:sz="0" w:space="0" w:color="auto"/>
        <w:left w:val="none" w:sz="0" w:space="0" w:color="auto"/>
        <w:bottom w:val="none" w:sz="0" w:space="0" w:color="auto"/>
        <w:right w:val="none" w:sz="0" w:space="0" w:color="auto"/>
      </w:divBdr>
    </w:div>
    <w:div w:id="1056009">
      <w:bodyDiv w:val="1"/>
      <w:marLeft w:val="0"/>
      <w:marRight w:val="0"/>
      <w:marTop w:val="0"/>
      <w:marBottom w:val="0"/>
      <w:divBdr>
        <w:top w:val="none" w:sz="0" w:space="0" w:color="auto"/>
        <w:left w:val="none" w:sz="0" w:space="0" w:color="auto"/>
        <w:bottom w:val="none" w:sz="0" w:space="0" w:color="auto"/>
        <w:right w:val="none" w:sz="0" w:space="0" w:color="auto"/>
      </w:divBdr>
    </w:div>
    <w:div w:id="2514528">
      <w:bodyDiv w:val="1"/>
      <w:marLeft w:val="0"/>
      <w:marRight w:val="0"/>
      <w:marTop w:val="0"/>
      <w:marBottom w:val="0"/>
      <w:divBdr>
        <w:top w:val="none" w:sz="0" w:space="0" w:color="auto"/>
        <w:left w:val="none" w:sz="0" w:space="0" w:color="auto"/>
        <w:bottom w:val="none" w:sz="0" w:space="0" w:color="auto"/>
        <w:right w:val="none" w:sz="0" w:space="0" w:color="auto"/>
      </w:divBdr>
      <w:divsChild>
        <w:div w:id="1495028144">
          <w:marLeft w:val="0"/>
          <w:marRight w:val="0"/>
          <w:marTop w:val="0"/>
          <w:marBottom w:val="0"/>
          <w:divBdr>
            <w:top w:val="none" w:sz="0" w:space="0" w:color="auto"/>
            <w:left w:val="none" w:sz="0" w:space="0" w:color="auto"/>
            <w:bottom w:val="none" w:sz="0" w:space="0" w:color="auto"/>
            <w:right w:val="none" w:sz="0" w:space="0" w:color="auto"/>
          </w:divBdr>
        </w:div>
      </w:divsChild>
    </w:div>
    <w:div w:id="2704835">
      <w:bodyDiv w:val="1"/>
      <w:marLeft w:val="0"/>
      <w:marRight w:val="0"/>
      <w:marTop w:val="0"/>
      <w:marBottom w:val="0"/>
      <w:divBdr>
        <w:top w:val="none" w:sz="0" w:space="0" w:color="auto"/>
        <w:left w:val="none" w:sz="0" w:space="0" w:color="auto"/>
        <w:bottom w:val="none" w:sz="0" w:space="0" w:color="auto"/>
        <w:right w:val="none" w:sz="0" w:space="0" w:color="auto"/>
      </w:divBdr>
    </w:div>
    <w:div w:id="3171675">
      <w:bodyDiv w:val="1"/>
      <w:marLeft w:val="0"/>
      <w:marRight w:val="0"/>
      <w:marTop w:val="0"/>
      <w:marBottom w:val="0"/>
      <w:divBdr>
        <w:top w:val="none" w:sz="0" w:space="0" w:color="auto"/>
        <w:left w:val="none" w:sz="0" w:space="0" w:color="auto"/>
        <w:bottom w:val="none" w:sz="0" w:space="0" w:color="auto"/>
        <w:right w:val="none" w:sz="0" w:space="0" w:color="auto"/>
      </w:divBdr>
    </w:div>
    <w:div w:id="4669692">
      <w:bodyDiv w:val="1"/>
      <w:marLeft w:val="0"/>
      <w:marRight w:val="0"/>
      <w:marTop w:val="0"/>
      <w:marBottom w:val="0"/>
      <w:divBdr>
        <w:top w:val="none" w:sz="0" w:space="0" w:color="auto"/>
        <w:left w:val="none" w:sz="0" w:space="0" w:color="auto"/>
        <w:bottom w:val="none" w:sz="0" w:space="0" w:color="auto"/>
        <w:right w:val="none" w:sz="0" w:space="0" w:color="auto"/>
      </w:divBdr>
    </w:div>
    <w:div w:id="5642062">
      <w:bodyDiv w:val="1"/>
      <w:marLeft w:val="0"/>
      <w:marRight w:val="0"/>
      <w:marTop w:val="0"/>
      <w:marBottom w:val="0"/>
      <w:divBdr>
        <w:top w:val="none" w:sz="0" w:space="0" w:color="auto"/>
        <w:left w:val="none" w:sz="0" w:space="0" w:color="auto"/>
        <w:bottom w:val="none" w:sz="0" w:space="0" w:color="auto"/>
        <w:right w:val="none" w:sz="0" w:space="0" w:color="auto"/>
      </w:divBdr>
    </w:div>
    <w:div w:id="6254599">
      <w:bodyDiv w:val="1"/>
      <w:marLeft w:val="0"/>
      <w:marRight w:val="0"/>
      <w:marTop w:val="0"/>
      <w:marBottom w:val="0"/>
      <w:divBdr>
        <w:top w:val="none" w:sz="0" w:space="0" w:color="auto"/>
        <w:left w:val="none" w:sz="0" w:space="0" w:color="auto"/>
        <w:bottom w:val="none" w:sz="0" w:space="0" w:color="auto"/>
        <w:right w:val="none" w:sz="0" w:space="0" w:color="auto"/>
      </w:divBdr>
    </w:div>
    <w:div w:id="6642568">
      <w:bodyDiv w:val="1"/>
      <w:marLeft w:val="0"/>
      <w:marRight w:val="0"/>
      <w:marTop w:val="0"/>
      <w:marBottom w:val="0"/>
      <w:divBdr>
        <w:top w:val="none" w:sz="0" w:space="0" w:color="auto"/>
        <w:left w:val="none" w:sz="0" w:space="0" w:color="auto"/>
        <w:bottom w:val="none" w:sz="0" w:space="0" w:color="auto"/>
        <w:right w:val="none" w:sz="0" w:space="0" w:color="auto"/>
      </w:divBdr>
    </w:div>
    <w:div w:id="7414138">
      <w:bodyDiv w:val="1"/>
      <w:marLeft w:val="0"/>
      <w:marRight w:val="0"/>
      <w:marTop w:val="0"/>
      <w:marBottom w:val="0"/>
      <w:divBdr>
        <w:top w:val="none" w:sz="0" w:space="0" w:color="auto"/>
        <w:left w:val="none" w:sz="0" w:space="0" w:color="auto"/>
        <w:bottom w:val="none" w:sz="0" w:space="0" w:color="auto"/>
        <w:right w:val="none" w:sz="0" w:space="0" w:color="auto"/>
      </w:divBdr>
    </w:div>
    <w:div w:id="8531550">
      <w:bodyDiv w:val="1"/>
      <w:marLeft w:val="0"/>
      <w:marRight w:val="0"/>
      <w:marTop w:val="0"/>
      <w:marBottom w:val="0"/>
      <w:divBdr>
        <w:top w:val="none" w:sz="0" w:space="0" w:color="auto"/>
        <w:left w:val="none" w:sz="0" w:space="0" w:color="auto"/>
        <w:bottom w:val="none" w:sz="0" w:space="0" w:color="auto"/>
        <w:right w:val="none" w:sz="0" w:space="0" w:color="auto"/>
      </w:divBdr>
    </w:div>
    <w:div w:id="8802562">
      <w:bodyDiv w:val="1"/>
      <w:marLeft w:val="0"/>
      <w:marRight w:val="0"/>
      <w:marTop w:val="0"/>
      <w:marBottom w:val="0"/>
      <w:divBdr>
        <w:top w:val="none" w:sz="0" w:space="0" w:color="auto"/>
        <w:left w:val="none" w:sz="0" w:space="0" w:color="auto"/>
        <w:bottom w:val="none" w:sz="0" w:space="0" w:color="auto"/>
        <w:right w:val="none" w:sz="0" w:space="0" w:color="auto"/>
      </w:divBdr>
    </w:div>
    <w:div w:id="9645682">
      <w:bodyDiv w:val="1"/>
      <w:marLeft w:val="0"/>
      <w:marRight w:val="0"/>
      <w:marTop w:val="0"/>
      <w:marBottom w:val="0"/>
      <w:divBdr>
        <w:top w:val="none" w:sz="0" w:space="0" w:color="auto"/>
        <w:left w:val="none" w:sz="0" w:space="0" w:color="auto"/>
        <w:bottom w:val="none" w:sz="0" w:space="0" w:color="auto"/>
        <w:right w:val="none" w:sz="0" w:space="0" w:color="auto"/>
      </w:divBdr>
    </w:div>
    <w:div w:id="12269392">
      <w:bodyDiv w:val="1"/>
      <w:marLeft w:val="0"/>
      <w:marRight w:val="0"/>
      <w:marTop w:val="0"/>
      <w:marBottom w:val="0"/>
      <w:divBdr>
        <w:top w:val="none" w:sz="0" w:space="0" w:color="auto"/>
        <w:left w:val="none" w:sz="0" w:space="0" w:color="auto"/>
        <w:bottom w:val="none" w:sz="0" w:space="0" w:color="auto"/>
        <w:right w:val="none" w:sz="0" w:space="0" w:color="auto"/>
      </w:divBdr>
    </w:div>
    <w:div w:id="12340308">
      <w:bodyDiv w:val="1"/>
      <w:marLeft w:val="0"/>
      <w:marRight w:val="0"/>
      <w:marTop w:val="0"/>
      <w:marBottom w:val="0"/>
      <w:divBdr>
        <w:top w:val="none" w:sz="0" w:space="0" w:color="auto"/>
        <w:left w:val="none" w:sz="0" w:space="0" w:color="auto"/>
        <w:bottom w:val="none" w:sz="0" w:space="0" w:color="auto"/>
        <w:right w:val="none" w:sz="0" w:space="0" w:color="auto"/>
      </w:divBdr>
    </w:div>
    <w:div w:id="12344422">
      <w:bodyDiv w:val="1"/>
      <w:marLeft w:val="0"/>
      <w:marRight w:val="0"/>
      <w:marTop w:val="0"/>
      <w:marBottom w:val="0"/>
      <w:divBdr>
        <w:top w:val="none" w:sz="0" w:space="0" w:color="auto"/>
        <w:left w:val="none" w:sz="0" w:space="0" w:color="auto"/>
        <w:bottom w:val="none" w:sz="0" w:space="0" w:color="auto"/>
        <w:right w:val="none" w:sz="0" w:space="0" w:color="auto"/>
      </w:divBdr>
    </w:div>
    <w:div w:id="12346796">
      <w:bodyDiv w:val="1"/>
      <w:marLeft w:val="0"/>
      <w:marRight w:val="0"/>
      <w:marTop w:val="0"/>
      <w:marBottom w:val="0"/>
      <w:divBdr>
        <w:top w:val="none" w:sz="0" w:space="0" w:color="auto"/>
        <w:left w:val="none" w:sz="0" w:space="0" w:color="auto"/>
        <w:bottom w:val="none" w:sz="0" w:space="0" w:color="auto"/>
        <w:right w:val="none" w:sz="0" w:space="0" w:color="auto"/>
      </w:divBdr>
    </w:div>
    <w:div w:id="12386591">
      <w:bodyDiv w:val="1"/>
      <w:marLeft w:val="0"/>
      <w:marRight w:val="0"/>
      <w:marTop w:val="0"/>
      <w:marBottom w:val="0"/>
      <w:divBdr>
        <w:top w:val="none" w:sz="0" w:space="0" w:color="auto"/>
        <w:left w:val="none" w:sz="0" w:space="0" w:color="auto"/>
        <w:bottom w:val="none" w:sz="0" w:space="0" w:color="auto"/>
        <w:right w:val="none" w:sz="0" w:space="0" w:color="auto"/>
      </w:divBdr>
    </w:div>
    <w:div w:id="12541770">
      <w:bodyDiv w:val="1"/>
      <w:marLeft w:val="0"/>
      <w:marRight w:val="0"/>
      <w:marTop w:val="0"/>
      <w:marBottom w:val="0"/>
      <w:divBdr>
        <w:top w:val="none" w:sz="0" w:space="0" w:color="auto"/>
        <w:left w:val="none" w:sz="0" w:space="0" w:color="auto"/>
        <w:bottom w:val="none" w:sz="0" w:space="0" w:color="auto"/>
        <w:right w:val="none" w:sz="0" w:space="0" w:color="auto"/>
      </w:divBdr>
    </w:div>
    <w:div w:id="12615562">
      <w:bodyDiv w:val="1"/>
      <w:marLeft w:val="0"/>
      <w:marRight w:val="0"/>
      <w:marTop w:val="0"/>
      <w:marBottom w:val="0"/>
      <w:divBdr>
        <w:top w:val="none" w:sz="0" w:space="0" w:color="auto"/>
        <w:left w:val="none" w:sz="0" w:space="0" w:color="auto"/>
        <w:bottom w:val="none" w:sz="0" w:space="0" w:color="auto"/>
        <w:right w:val="none" w:sz="0" w:space="0" w:color="auto"/>
      </w:divBdr>
    </w:div>
    <w:div w:id="12801386">
      <w:bodyDiv w:val="1"/>
      <w:marLeft w:val="0"/>
      <w:marRight w:val="0"/>
      <w:marTop w:val="0"/>
      <w:marBottom w:val="0"/>
      <w:divBdr>
        <w:top w:val="none" w:sz="0" w:space="0" w:color="auto"/>
        <w:left w:val="none" w:sz="0" w:space="0" w:color="auto"/>
        <w:bottom w:val="none" w:sz="0" w:space="0" w:color="auto"/>
        <w:right w:val="none" w:sz="0" w:space="0" w:color="auto"/>
      </w:divBdr>
    </w:div>
    <w:div w:id="13117609">
      <w:bodyDiv w:val="1"/>
      <w:marLeft w:val="0"/>
      <w:marRight w:val="0"/>
      <w:marTop w:val="0"/>
      <w:marBottom w:val="0"/>
      <w:divBdr>
        <w:top w:val="none" w:sz="0" w:space="0" w:color="auto"/>
        <w:left w:val="none" w:sz="0" w:space="0" w:color="auto"/>
        <w:bottom w:val="none" w:sz="0" w:space="0" w:color="auto"/>
        <w:right w:val="none" w:sz="0" w:space="0" w:color="auto"/>
      </w:divBdr>
    </w:div>
    <w:div w:id="13117905">
      <w:bodyDiv w:val="1"/>
      <w:marLeft w:val="0"/>
      <w:marRight w:val="0"/>
      <w:marTop w:val="0"/>
      <w:marBottom w:val="0"/>
      <w:divBdr>
        <w:top w:val="none" w:sz="0" w:space="0" w:color="auto"/>
        <w:left w:val="none" w:sz="0" w:space="0" w:color="auto"/>
        <w:bottom w:val="none" w:sz="0" w:space="0" w:color="auto"/>
        <w:right w:val="none" w:sz="0" w:space="0" w:color="auto"/>
      </w:divBdr>
    </w:div>
    <w:div w:id="13698069">
      <w:bodyDiv w:val="1"/>
      <w:marLeft w:val="0"/>
      <w:marRight w:val="0"/>
      <w:marTop w:val="0"/>
      <w:marBottom w:val="0"/>
      <w:divBdr>
        <w:top w:val="none" w:sz="0" w:space="0" w:color="auto"/>
        <w:left w:val="none" w:sz="0" w:space="0" w:color="auto"/>
        <w:bottom w:val="none" w:sz="0" w:space="0" w:color="auto"/>
        <w:right w:val="none" w:sz="0" w:space="0" w:color="auto"/>
      </w:divBdr>
    </w:div>
    <w:div w:id="13966197">
      <w:bodyDiv w:val="1"/>
      <w:marLeft w:val="0"/>
      <w:marRight w:val="0"/>
      <w:marTop w:val="0"/>
      <w:marBottom w:val="0"/>
      <w:divBdr>
        <w:top w:val="none" w:sz="0" w:space="0" w:color="auto"/>
        <w:left w:val="none" w:sz="0" w:space="0" w:color="auto"/>
        <w:bottom w:val="none" w:sz="0" w:space="0" w:color="auto"/>
        <w:right w:val="none" w:sz="0" w:space="0" w:color="auto"/>
      </w:divBdr>
    </w:div>
    <w:div w:id="15272292">
      <w:bodyDiv w:val="1"/>
      <w:marLeft w:val="0"/>
      <w:marRight w:val="0"/>
      <w:marTop w:val="0"/>
      <w:marBottom w:val="0"/>
      <w:divBdr>
        <w:top w:val="none" w:sz="0" w:space="0" w:color="auto"/>
        <w:left w:val="none" w:sz="0" w:space="0" w:color="auto"/>
        <w:bottom w:val="none" w:sz="0" w:space="0" w:color="auto"/>
        <w:right w:val="none" w:sz="0" w:space="0" w:color="auto"/>
      </w:divBdr>
    </w:div>
    <w:div w:id="15886869">
      <w:bodyDiv w:val="1"/>
      <w:marLeft w:val="0"/>
      <w:marRight w:val="0"/>
      <w:marTop w:val="0"/>
      <w:marBottom w:val="0"/>
      <w:divBdr>
        <w:top w:val="none" w:sz="0" w:space="0" w:color="auto"/>
        <w:left w:val="none" w:sz="0" w:space="0" w:color="auto"/>
        <w:bottom w:val="none" w:sz="0" w:space="0" w:color="auto"/>
        <w:right w:val="none" w:sz="0" w:space="0" w:color="auto"/>
      </w:divBdr>
    </w:div>
    <w:div w:id="17780401">
      <w:bodyDiv w:val="1"/>
      <w:marLeft w:val="0"/>
      <w:marRight w:val="0"/>
      <w:marTop w:val="0"/>
      <w:marBottom w:val="0"/>
      <w:divBdr>
        <w:top w:val="none" w:sz="0" w:space="0" w:color="auto"/>
        <w:left w:val="none" w:sz="0" w:space="0" w:color="auto"/>
        <w:bottom w:val="none" w:sz="0" w:space="0" w:color="auto"/>
        <w:right w:val="none" w:sz="0" w:space="0" w:color="auto"/>
      </w:divBdr>
    </w:div>
    <w:div w:id="18436511">
      <w:bodyDiv w:val="1"/>
      <w:marLeft w:val="0"/>
      <w:marRight w:val="0"/>
      <w:marTop w:val="0"/>
      <w:marBottom w:val="0"/>
      <w:divBdr>
        <w:top w:val="none" w:sz="0" w:space="0" w:color="auto"/>
        <w:left w:val="none" w:sz="0" w:space="0" w:color="auto"/>
        <w:bottom w:val="none" w:sz="0" w:space="0" w:color="auto"/>
        <w:right w:val="none" w:sz="0" w:space="0" w:color="auto"/>
      </w:divBdr>
    </w:div>
    <w:div w:id="18744348">
      <w:bodyDiv w:val="1"/>
      <w:marLeft w:val="0"/>
      <w:marRight w:val="0"/>
      <w:marTop w:val="0"/>
      <w:marBottom w:val="0"/>
      <w:divBdr>
        <w:top w:val="none" w:sz="0" w:space="0" w:color="auto"/>
        <w:left w:val="none" w:sz="0" w:space="0" w:color="auto"/>
        <w:bottom w:val="none" w:sz="0" w:space="0" w:color="auto"/>
        <w:right w:val="none" w:sz="0" w:space="0" w:color="auto"/>
      </w:divBdr>
    </w:div>
    <w:div w:id="19821579">
      <w:bodyDiv w:val="1"/>
      <w:marLeft w:val="0"/>
      <w:marRight w:val="0"/>
      <w:marTop w:val="0"/>
      <w:marBottom w:val="0"/>
      <w:divBdr>
        <w:top w:val="none" w:sz="0" w:space="0" w:color="auto"/>
        <w:left w:val="none" w:sz="0" w:space="0" w:color="auto"/>
        <w:bottom w:val="none" w:sz="0" w:space="0" w:color="auto"/>
        <w:right w:val="none" w:sz="0" w:space="0" w:color="auto"/>
      </w:divBdr>
    </w:div>
    <w:div w:id="20323915">
      <w:bodyDiv w:val="1"/>
      <w:marLeft w:val="0"/>
      <w:marRight w:val="0"/>
      <w:marTop w:val="0"/>
      <w:marBottom w:val="0"/>
      <w:divBdr>
        <w:top w:val="none" w:sz="0" w:space="0" w:color="auto"/>
        <w:left w:val="none" w:sz="0" w:space="0" w:color="auto"/>
        <w:bottom w:val="none" w:sz="0" w:space="0" w:color="auto"/>
        <w:right w:val="none" w:sz="0" w:space="0" w:color="auto"/>
      </w:divBdr>
    </w:div>
    <w:div w:id="22168687">
      <w:bodyDiv w:val="1"/>
      <w:marLeft w:val="0"/>
      <w:marRight w:val="0"/>
      <w:marTop w:val="0"/>
      <w:marBottom w:val="0"/>
      <w:divBdr>
        <w:top w:val="none" w:sz="0" w:space="0" w:color="auto"/>
        <w:left w:val="none" w:sz="0" w:space="0" w:color="auto"/>
        <w:bottom w:val="none" w:sz="0" w:space="0" w:color="auto"/>
        <w:right w:val="none" w:sz="0" w:space="0" w:color="auto"/>
      </w:divBdr>
    </w:div>
    <w:div w:id="22680116">
      <w:bodyDiv w:val="1"/>
      <w:marLeft w:val="0"/>
      <w:marRight w:val="0"/>
      <w:marTop w:val="0"/>
      <w:marBottom w:val="0"/>
      <w:divBdr>
        <w:top w:val="none" w:sz="0" w:space="0" w:color="auto"/>
        <w:left w:val="none" w:sz="0" w:space="0" w:color="auto"/>
        <w:bottom w:val="none" w:sz="0" w:space="0" w:color="auto"/>
        <w:right w:val="none" w:sz="0" w:space="0" w:color="auto"/>
      </w:divBdr>
    </w:div>
    <w:div w:id="23866431">
      <w:bodyDiv w:val="1"/>
      <w:marLeft w:val="0"/>
      <w:marRight w:val="0"/>
      <w:marTop w:val="0"/>
      <w:marBottom w:val="0"/>
      <w:divBdr>
        <w:top w:val="none" w:sz="0" w:space="0" w:color="auto"/>
        <w:left w:val="none" w:sz="0" w:space="0" w:color="auto"/>
        <w:bottom w:val="none" w:sz="0" w:space="0" w:color="auto"/>
        <w:right w:val="none" w:sz="0" w:space="0" w:color="auto"/>
      </w:divBdr>
    </w:div>
    <w:div w:id="23866436">
      <w:bodyDiv w:val="1"/>
      <w:marLeft w:val="0"/>
      <w:marRight w:val="0"/>
      <w:marTop w:val="0"/>
      <w:marBottom w:val="0"/>
      <w:divBdr>
        <w:top w:val="none" w:sz="0" w:space="0" w:color="auto"/>
        <w:left w:val="none" w:sz="0" w:space="0" w:color="auto"/>
        <w:bottom w:val="none" w:sz="0" w:space="0" w:color="auto"/>
        <w:right w:val="none" w:sz="0" w:space="0" w:color="auto"/>
      </w:divBdr>
    </w:div>
    <w:div w:id="24257733">
      <w:bodyDiv w:val="1"/>
      <w:marLeft w:val="0"/>
      <w:marRight w:val="0"/>
      <w:marTop w:val="0"/>
      <w:marBottom w:val="0"/>
      <w:divBdr>
        <w:top w:val="none" w:sz="0" w:space="0" w:color="auto"/>
        <w:left w:val="none" w:sz="0" w:space="0" w:color="auto"/>
        <w:bottom w:val="none" w:sz="0" w:space="0" w:color="auto"/>
        <w:right w:val="none" w:sz="0" w:space="0" w:color="auto"/>
      </w:divBdr>
    </w:div>
    <w:div w:id="24327956">
      <w:bodyDiv w:val="1"/>
      <w:marLeft w:val="0"/>
      <w:marRight w:val="0"/>
      <w:marTop w:val="0"/>
      <w:marBottom w:val="0"/>
      <w:divBdr>
        <w:top w:val="none" w:sz="0" w:space="0" w:color="auto"/>
        <w:left w:val="none" w:sz="0" w:space="0" w:color="auto"/>
        <w:bottom w:val="none" w:sz="0" w:space="0" w:color="auto"/>
        <w:right w:val="none" w:sz="0" w:space="0" w:color="auto"/>
      </w:divBdr>
    </w:div>
    <w:div w:id="25450444">
      <w:bodyDiv w:val="1"/>
      <w:marLeft w:val="0"/>
      <w:marRight w:val="0"/>
      <w:marTop w:val="0"/>
      <w:marBottom w:val="0"/>
      <w:divBdr>
        <w:top w:val="none" w:sz="0" w:space="0" w:color="auto"/>
        <w:left w:val="none" w:sz="0" w:space="0" w:color="auto"/>
        <w:bottom w:val="none" w:sz="0" w:space="0" w:color="auto"/>
        <w:right w:val="none" w:sz="0" w:space="0" w:color="auto"/>
      </w:divBdr>
    </w:div>
    <w:div w:id="25494119">
      <w:bodyDiv w:val="1"/>
      <w:marLeft w:val="0"/>
      <w:marRight w:val="0"/>
      <w:marTop w:val="0"/>
      <w:marBottom w:val="0"/>
      <w:divBdr>
        <w:top w:val="none" w:sz="0" w:space="0" w:color="auto"/>
        <w:left w:val="none" w:sz="0" w:space="0" w:color="auto"/>
        <w:bottom w:val="none" w:sz="0" w:space="0" w:color="auto"/>
        <w:right w:val="none" w:sz="0" w:space="0" w:color="auto"/>
      </w:divBdr>
    </w:div>
    <w:div w:id="25834725">
      <w:bodyDiv w:val="1"/>
      <w:marLeft w:val="0"/>
      <w:marRight w:val="0"/>
      <w:marTop w:val="0"/>
      <w:marBottom w:val="0"/>
      <w:divBdr>
        <w:top w:val="none" w:sz="0" w:space="0" w:color="auto"/>
        <w:left w:val="none" w:sz="0" w:space="0" w:color="auto"/>
        <w:bottom w:val="none" w:sz="0" w:space="0" w:color="auto"/>
        <w:right w:val="none" w:sz="0" w:space="0" w:color="auto"/>
      </w:divBdr>
    </w:div>
    <w:div w:id="26296689">
      <w:bodyDiv w:val="1"/>
      <w:marLeft w:val="0"/>
      <w:marRight w:val="0"/>
      <w:marTop w:val="0"/>
      <w:marBottom w:val="0"/>
      <w:divBdr>
        <w:top w:val="none" w:sz="0" w:space="0" w:color="auto"/>
        <w:left w:val="none" w:sz="0" w:space="0" w:color="auto"/>
        <w:bottom w:val="none" w:sz="0" w:space="0" w:color="auto"/>
        <w:right w:val="none" w:sz="0" w:space="0" w:color="auto"/>
      </w:divBdr>
    </w:div>
    <w:div w:id="26488976">
      <w:bodyDiv w:val="1"/>
      <w:marLeft w:val="0"/>
      <w:marRight w:val="0"/>
      <w:marTop w:val="0"/>
      <w:marBottom w:val="0"/>
      <w:divBdr>
        <w:top w:val="none" w:sz="0" w:space="0" w:color="auto"/>
        <w:left w:val="none" w:sz="0" w:space="0" w:color="auto"/>
        <w:bottom w:val="none" w:sz="0" w:space="0" w:color="auto"/>
        <w:right w:val="none" w:sz="0" w:space="0" w:color="auto"/>
      </w:divBdr>
    </w:div>
    <w:div w:id="27142868">
      <w:bodyDiv w:val="1"/>
      <w:marLeft w:val="0"/>
      <w:marRight w:val="0"/>
      <w:marTop w:val="0"/>
      <w:marBottom w:val="0"/>
      <w:divBdr>
        <w:top w:val="none" w:sz="0" w:space="0" w:color="auto"/>
        <w:left w:val="none" w:sz="0" w:space="0" w:color="auto"/>
        <w:bottom w:val="none" w:sz="0" w:space="0" w:color="auto"/>
        <w:right w:val="none" w:sz="0" w:space="0" w:color="auto"/>
      </w:divBdr>
    </w:div>
    <w:div w:id="28577589">
      <w:bodyDiv w:val="1"/>
      <w:marLeft w:val="0"/>
      <w:marRight w:val="0"/>
      <w:marTop w:val="0"/>
      <w:marBottom w:val="0"/>
      <w:divBdr>
        <w:top w:val="none" w:sz="0" w:space="0" w:color="auto"/>
        <w:left w:val="none" w:sz="0" w:space="0" w:color="auto"/>
        <w:bottom w:val="none" w:sz="0" w:space="0" w:color="auto"/>
        <w:right w:val="none" w:sz="0" w:space="0" w:color="auto"/>
      </w:divBdr>
    </w:div>
    <w:div w:id="29108839">
      <w:bodyDiv w:val="1"/>
      <w:marLeft w:val="0"/>
      <w:marRight w:val="0"/>
      <w:marTop w:val="0"/>
      <w:marBottom w:val="0"/>
      <w:divBdr>
        <w:top w:val="none" w:sz="0" w:space="0" w:color="auto"/>
        <w:left w:val="none" w:sz="0" w:space="0" w:color="auto"/>
        <w:bottom w:val="none" w:sz="0" w:space="0" w:color="auto"/>
        <w:right w:val="none" w:sz="0" w:space="0" w:color="auto"/>
      </w:divBdr>
    </w:div>
    <w:div w:id="29306066">
      <w:bodyDiv w:val="1"/>
      <w:marLeft w:val="0"/>
      <w:marRight w:val="0"/>
      <w:marTop w:val="0"/>
      <w:marBottom w:val="0"/>
      <w:divBdr>
        <w:top w:val="none" w:sz="0" w:space="0" w:color="auto"/>
        <w:left w:val="none" w:sz="0" w:space="0" w:color="auto"/>
        <w:bottom w:val="none" w:sz="0" w:space="0" w:color="auto"/>
        <w:right w:val="none" w:sz="0" w:space="0" w:color="auto"/>
      </w:divBdr>
    </w:div>
    <w:div w:id="31078633">
      <w:bodyDiv w:val="1"/>
      <w:marLeft w:val="0"/>
      <w:marRight w:val="0"/>
      <w:marTop w:val="0"/>
      <w:marBottom w:val="0"/>
      <w:divBdr>
        <w:top w:val="none" w:sz="0" w:space="0" w:color="auto"/>
        <w:left w:val="none" w:sz="0" w:space="0" w:color="auto"/>
        <w:bottom w:val="none" w:sz="0" w:space="0" w:color="auto"/>
        <w:right w:val="none" w:sz="0" w:space="0" w:color="auto"/>
      </w:divBdr>
      <w:divsChild>
        <w:div w:id="24215228">
          <w:marLeft w:val="0"/>
          <w:marRight w:val="0"/>
          <w:marTop w:val="0"/>
          <w:marBottom w:val="0"/>
          <w:divBdr>
            <w:top w:val="none" w:sz="0" w:space="0" w:color="auto"/>
            <w:left w:val="none" w:sz="0" w:space="0" w:color="auto"/>
            <w:bottom w:val="none" w:sz="0" w:space="0" w:color="auto"/>
            <w:right w:val="none" w:sz="0" w:space="0" w:color="auto"/>
          </w:divBdr>
        </w:div>
        <w:div w:id="456680713">
          <w:marLeft w:val="0"/>
          <w:marRight w:val="0"/>
          <w:marTop w:val="0"/>
          <w:marBottom w:val="0"/>
          <w:divBdr>
            <w:top w:val="none" w:sz="0" w:space="0" w:color="auto"/>
            <w:left w:val="none" w:sz="0" w:space="0" w:color="auto"/>
            <w:bottom w:val="none" w:sz="0" w:space="0" w:color="auto"/>
            <w:right w:val="none" w:sz="0" w:space="0" w:color="auto"/>
          </w:divBdr>
        </w:div>
        <w:div w:id="505559292">
          <w:marLeft w:val="0"/>
          <w:marRight w:val="0"/>
          <w:marTop w:val="0"/>
          <w:marBottom w:val="0"/>
          <w:divBdr>
            <w:top w:val="none" w:sz="0" w:space="0" w:color="auto"/>
            <w:left w:val="none" w:sz="0" w:space="0" w:color="auto"/>
            <w:bottom w:val="none" w:sz="0" w:space="0" w:color="auto"/>
            <w:right w:val="none" w:sz="0" w:space="0" w:color="auto"/>
          </w:divBdr>
        </w:div>
        <w:div w:id="626393401">
          <w:marLeft w:val="0"/>
          <w:marRight w:val="0"/>
          <w:marTop w:val="0"/>
          <w:marBottom w:val="0"/>
          <w:divBdr>
            <w:top w:val="none" w:sz="0" w:space="0" w:color="auto"/>
            <w:left w:val="none" w:sz="0" w:space="0" w:color="auto"/>
            <w:bottom w:val="none" w:sz="0" w:space="0" w:color="auto"/>
            <w:right w:val="none" w:sz="0" w:space="0" w:color="auto"/>
          </w:divBdr>
        </w:div>
        <w:div w:id="658198378">
          <w:marLeft w:val="0"/>
          <w:marRight w:val="0"/>
          <w:marTop w:val="0"/>
          <w:marBottom w:val="0"/>
          <w:divBdr>
            <w:top w:val="none" w:sz="0" w:space="0" w:color="auto"/>
            <w:left w:val="none" w:sz="0" w:space="0" w:color="auto"/>
            <w:bottom w:val="none" w:sz="0" w:space="0" w:color="auto"/>
            <w:right w:val="none" w:sz="0" w:space="0" w:color="auto"/>
          </w:divBdr>
        </w:div>
        <w:div w:id="678852459">
          <w:marLeft w:val="0"/>
          <w:marRight w:val="0"/>
          <w:marTop w:val="0"/>
          <w:marBottom w:val="0"/>
          <w:divBdr>
            <w:top w:val="none" w:sz="0" w:space="0" w:color="auto"/>
            <w:left w:val="none" w:sz="0" w:space="0" w:color="auto"/>
            <w:bottom w:val="none" w:sz="0" w:space="0" w:color="auto"/>
            <w:right w:val="none" w:sz="0" w:space="0" w:color="auto"/>
          </w:divBdr>
        </w:div>
        <w:div w:id="954215766">
          <w:marLeft w:val="0"/>
          <w:marRight w:val="0"/>
          <w:marTop w:val="0"/>
          <w:marBottom w:val="0"/>
          <w:divBdr>
            <w:top w:val="none" w:sz="0" w:space="0" w:color="auto"/>
            <w:left w:val="none" w:sz="0" w:space="0" w:color="auto"/>
            <w:bottom w:val="none" w:sz="0" w:space="0" w:color="auto"/>
            <w:right w:val="none" w:sz="0" w:space="0" w:color="auto"/>
          </w:divBdr>
        </w:div>
        <w:div w:id="1014840336">
          <w:marLeft w:val="0"/>
          <w:marRight w:val="0"/>
          <w:marTop w:val="0"/>
          <w:marBottom w:val="0"/>
          <w:divBdr>
            <w:top w:val="none" w:sz="0" w:space="0" w:color="auto"/>
            <w:left w:val="none" w:sz="0" w:space="0" w:color="auto"/>
            <w:bottom w:val="none" w:sz="0" w:space="0" w:color="auto"/>
            <w:right w:val="none" w:sz="0" w:space="0" w:color="auto"/>
          </w:divBdr>
        </w:div>
        <w:div w:id="1015695393">
          <w:marLeft w:val="0"/>
          <w:marRight w:val="0"/>
          <w:marTop w:val="0"/>
          <w:marBottom w:val="0"/>
          <w:divBdr>
            <w:top w:val="none" w:sz="0" w:space="0" w:color="auto"/>
            <w:left w:val="none" w:sz="0" w:space="0" w:color="auto"/>
            <w:bottom w:val="none" w:sz="0" w:space="0" w:color="auto"/>
            <w:right w:val="none" w:sz="0" w:space="0" w:color="auto"/>
          </w:divBdr>
        </w:div>
        <w:div w:id="1132022272">
          <w:marLeft w:val="0"/>
          <w:marRight w:val="0"/>
          <w:marTop w:val="0"/>
          <w:marBottom w:val="0"/>
          <w:divBdr>
            <w:top w:val="none" w:sz="0" w:space="0" w:color="auto"/>
            <w:left w:val="none" w:sz="0" w:space="0" w:color="auto"/>
            <w:bottom w:val="none" w:sz="0" w:space="0" w:color="auto"/>
            <w:right w:val="none" w:sz="0" w:space="0" w:color="auto"/>
          </w:divBdr>
        </w:div>
        <w:div w:id="1355613584">
          <w:marLeft w:val="0"/>
          <w:marRight w:val="0"/>
          <w:marTop w:val="0"/>
          <w:marBottom w:val="0"/>
          <w:divBdr>
            <w:top w:val="none" w:sz="0" w:space="0" w:color="auto"/>
            <w:left w:val="none" w:sz="0" w:space="0" w:color="auto"/>
            <w:bottom w:val="none" w:sz="0" w:space="0" w:color="auto"/>
            <w:right w:val="none" w:sz="0" w:space="0" w:color="auto"/>
          </w:divBdr>
        </w:div>
        <w:div w:id="1627465658">
          <w:marLeft w:val="0"/>
          <w:marRight w:val="0"/>
          <w:marTop w:val="0"/>
          <w:marBottom w:val="0"/>
          <w:divBdr>
            <w:top w:val="none" w:sz="0" w:space="0" w:color="auto"/>
            <w:left w:val="none" w:sz="0" w:space="0" w:color="auto"/>
            <w:bottom w:val="none" w:sz="0" w:space="0" w:color="auto"/>
            <w:right w:val="none" w:sz="0" w:space="0" w:color="auto"/>
          </w:divBdr>
        </w:div>
        <w:div w:id="1778325897">
          <w:marLeft w:val="0"/>
          <w:marRight w:val="0"/>
          <w:marTop w:val="0"/>
          <w:marBottom w:val="0"/>
          <w:divBdr>
            <w:top w:val="none" w:sz="0" w:space="0" w:color="auto"/>
            <w:left w:val="none" w:sz="0" w:space="0" w:color="auto"/>
            <w:bottom w:val="none" w:sz="0" w:space="0" w:color="auto"/>
            <w:right w:val="none" w:sz="0" w:space="0" w:color="auto"/>
          </w:divBdr>
        </w:div>
        <w:div w:id="1860505351">
          <w:marLeft w:val="0"/>
          <w:marRight w:val="0"/>
          <w:marTop w:val="0"/>
          <w:marBottom w:val="0"/>
          <w:divBdr>
            <w:top w:val="none" w:sz="0" w:space="0" w:color="auto"/>
            <w:left w:val="none" w:sz="0" w:space="0" w:color="auto"/>
            <w:bottom w:val="none" w:sz="0" w:space="0" w:color="auto"/>
            <w:right w:val="none" w:sz="0" w:space="0" w:color="auto"/>
          </w:divBdr>
        </w:div>
        <w:div w:id="2059284518">
          <w:marLeft w:val="0"/>
          <w:marRight w:val="0"/>
          <w:marTop w:val="0"/>
          <w:marBottom w:val="0"/>
          <w:divBdr>
            <w:top w:val="none" w:sz="0" w:space="0" w:color="auto"/>
            <w:left w:val="none" w:sz="0" w:space="0" w:color="auto"/>
            <w:bottom w:val="none" w:sz="0" w:space="0" w:color="auto"/>
            <w:right w:val="none" w:sz="0" w:space="0" w:color="auto"/>
          </w:divBdr>
        </w:div>
      </w:divsChild>
    </w:div>
    <w:div w:id="31728991">
      <w:bodyDiv w:val="1"/>
      <w:marLeft w:val="0"/>
      <w:marRight w:val="0"/>
      <w:marTop w:val="0"/>
      <w:marBottom w:val="0"/>
      <w:divBdr>
        <w:top w:val="none" w:sz="0" w:space="0" w:color="auto"/>
        <w:left w:val="none" w:sz="0" w:space="0" w:color="auto"/>
        <w:bottom w:val="none" w:sz="0" w:space="0" w:color="auto"/>
        <w:right w:val="none" w:sz="0" w:space="0" w:color="auto"/>
      </w:divBdr>
    </w:div>
    <w:div w:id="31807933">
      <w:bodyDiv w:val="1"/>
      <w:marLeft w:val="0"/>
      <w:marRight w:val="0"/>
      <w:marTop w:val="0"/>
      <w:marBottom w:val="0"/>
      <w:divBdr>
        <w:top w:val="none" w:sz="0" w:space="0" w:color="auto"/>
        <w:left w:val="none" w:sz="0" w:space="0" w:color="auto"/>
        <w:bottom w:val="none" w:sz="0" w:space="0" w:color="auto"/>
        <w:right w:val="none" w:sz="0" w:space="0" w:color="auto"/>
      </w:divBdr>
    </w:div>
    <w:div w:id="31881695">
      <w:bodyDiv w:val="1"/>
      <w:marLeft w:val="0"/>
      <w:marRight w:val="0"/>
      <w:marTop w:val="0"/>
      <w:marBottom w:val="0"/>
      <w:divBdr>
        <w:top w:val="none" w:sz="0" w:space="0" w:color="auto"/>
        <w:left w:val="none" w:sz="0" w:space="0" w:color="auto"/>
        <w:bottom w:val="none" w:sz="0" w:space="0" w:color="auto"/>
        <w:right w:val="none" w:sz="0" w:space="0" w:color="auto"/>
      </w:divBdr>
    </w:div>
    <w:div w:id="32462782">
      <w:bodyDiv w:val="1"/>
      <w:marLeft w:val="0"/>
      <w:marRight w:val="0"/>
      <w:marTop w:val="0"/>
      <w:marBottom w:val="0"/>
      <w:divBdr>
        <w:top w:val="none" w:sz="0" w:space="0" w:color="auto"/>
        <w:left w:val="none" w:sz="0" w:space="0" w:color="auto"/>
        <w:bottom w:val="none" w:sz="0" w:space="0" w:color="auto"/>
        <w:right w:val="none" w:sz="0" w:space="0" w:color="auto"/>
      </w:divBdr>
    </w:div>
    <w:div w:id="32654114">
      <w:bodyDiv w:val="1"/>
      <w:marLeft w:val="0"/>
      <w:marRight w:val="0"/>
      <w:marTop w:val="0"/>
      <w:marBottom w:val="0"/>
      <w:divBdr>
        <w:top w:val="none" w:sz="0" w:space="0" w:color="auto"/>
        <w:left w:val="none" w:sz="0" w:space="0" w:color="auto"/>
        <w:bottom w:val="none" w:sz="0" w:space="0" w:color="auto"/>
        <w:right w:val="none" w:sz="0" w:space="0" w:color="auto"/>
      </w:divBdr>
    </w:div>
    <w:div w:id="32777573">
      <w:bodyDiv w:val="1"/>
      <w:marLeft w:val="0"/>
      <w:marRight w:val="0"/>
      <w:marTop w:val="0"/>
      <w:marBottom w:val="0"/>
      <w:divBdr>
        <w:top w:val="none" w:sz="0" w:space="0" w:color="auto"/>
        <w:left w:val="none" w:sz="0" w:space="0" w:color="auto"/>
        <w:bottom w:val="none" w:sz="0" w:space="0" w:color="auto"/>
        <w:right w:val="none" w:sz="0" w:space="0" w:color="auto"/>
      </w:divBdr>
    </w:div>
    <w:div w:id="32970770">
      <w:bodyDiv w:val="1"/>
      <w:marLeft w:val="0"/>
      <w:marRight w:val="0"/>
      <w:marTop w:val="0"/>
      <w:marBottom w:val="0"/>
      <w:divBdr>
        <w:top w:val="none" w:sz="0" w:space="0" w:color="auto"/>
        <w:left w:val="none" w:sz="0" w:space="0" w:color="auto"/>
        <w:bottom w:val="none" w:sz="0" w:space="0" w:color="auto"/>
        <w:right w:val="none" w:sz="0" w:space="0" w:color="auto"/>
      </w:divBdr>
    </w:div>
    <w:div w:id="33122453">
      <w:bodyDiv w:val="1"/>
      <w:marLeft w:val="0"/>
      <w:marRight w:val="0"/>
      <w:marTop w:val="0"/>
      <w:marBottom w:val="0"/>
      <w:divBdr>
        <w:top w:val="none" w:sz="0" w:space="0" w:color="auto"/>
        <w:left w:val="none" w:sz="0" w:space="0" w:color="auto"/>
        <w:bottom w:val="none" w:sz="0" w:space="0" w:color="auto"/>
        <w:right w:val="none" w:sz="0" w:space="0" w:color="auto"/>
      </w:divBdr>
    </w:div>
    <w:div w:id="34549158">
      <w:bodyDiv w:val="1"/>
      <w:marLeft w:val="0"/>
      <w:marRight w:val="0"/>
      <w:marTop w:val="0"/>
      <w:marBottom w:val="0"/>
      <w:divBdr>
        <w:top w:val="none" w:sz="0" w:space="0" w:color="auto"/>
        <w:left w:val="none" w:sz="0" w:space="0" w:color="auto"/>
        <w:bottom w:val="none" w:sz="0" w:space="0" w:color="auto"/>
        <w:right w:val="none" w:sz="0" w:space="0" w:color="auto"/>
      </w:divBdr>
    </w:div>
    <w:div w:id="35664479">
      <w:bodyDiv w:val="1"/>
      <w:marLeft w:val="0"/>
      <w:marRight w:val="0"/>
      <w:marTop w:val="0"/>
      <w:marBottom w:val="0"/>
      <w:divBdr>
        <w:top w:val="none" w:sz="0" w:space="0" w:color="auto"/>
        <w:left w:val="none" w:sz="0" w:space="0" w:color="auto"/>
        <w:bottom w:val="none" w:sz="0" w:space="0" w:color="auto"/>
        <w:right w:val="none" w:sz="0" w:space="0" w:color="auto"/>
      </w:divBdr>
    </w:div>
    <w:div w:id="36202063">
      <w:bodyDiv w:val="1"/>
      <w:marLeft w:val="0"/>
      <w:marRight w:val="0"/>
      <w:marTop w:val="0"/>
      <w:marBottom w:val="0"/>
      <w:divBdr>
        <w:top w:val="none" w:sz="0" w:space="0" w:color="auto"/>
        <w:left w:val="none" w:sz="0" w:space="0" w:color="auto"/>
        <w:bottom w:val="none" w:sz="0" w:space="0" w:color="auto"/>
        <w:right w:val="none" w:sz="0" w:space="0" w:color="auto"/>
      </w:divBdr>
    </w:div>
    <w:div w:id="36273018">
      <w:bodyDiv w:val="1"/>
      <w:marLeft w:val="0"/>
      <w:marRight w:val="0"/>
      <w:marTop w:val="0"/>
      <w:marBottom w:val="0"/>
      <w:divBdr>
        <w:top w:val="none" w:sz="0" w:space="0" w:color="auto"/>
        <w:left w:val="none" w:sz="0" w:space="0" w:color="auto"/>
        <w:bottom w:val="none" w:sz="0" w:space="0" w:color="auto"/>
        <w:right w:val="none" w:sz="0" w:space="0" w:color="auto"/>
      </w:divBdr>
    </w:div>
    <w:div w:id="36709475">
      <w:bodyDiv w:val="1"/>
      <w:marLeft w:val="0"/>
      <w:marRight w:val="0"/>
      <w:marTop w:val="0"/>
      <w:marBottom w:val="0"/>
      <w:divBdr>
        <w:top w:val="none" w:sz="0" w:space="0" w:color="auto"/>
        <w:left w:val="none" w:sz="0" w:space="0" w:color="auto"/>
        <w:bottom w:val="none" w:sz="0" w:space="0" w:color="auto"/>
        <w:right w:val="none" w:sz="0" w:space="0" w:color="auto"/>
      </w:divBdr>
    </w:div>
    <w:div w:id="37048841">
      <w:bodyDiv w:val="1"/>
      <w:marLeft w:val="0"/>
      <w:marRight w:val="0"/>
      <w:marTop w:val="0"/>
      <w:marBottom w:val="0"/>
      <w:divBdr>
        <w:top w:val="none" w:sz="0" w:space="0" w:color="auto"/>
        <w:left w:val="none" w:sz="0" w:space="0" w:color="auto"/>
        <w:bottom w:val="none" w:sz="0" w:space="0" w:color="auto"/>
        <w:right w:val="none" w:sz="0" w:space="0" w:color="auto"/>
      </w:divBdr>
    </w:div>
    <w:div w:id="37173541">
      <w:bodyDiv w:val="1"/>
      <w:marLeft w:val="0"/>
      <w:marRight w:val="0"/>
      <w:marTop w:val="0"/>
      <w:marBottom w:val="0"/>
      <w:divBdr>
        <w:top w:val="none" w:sz="0" w:space="0" w:color="auto"/>
        <w:left w:val="none" w:sz="0" w:space="0" w:color="auto"/>
        <w:bottom w:val="none" w:sz="0" w:space="0" w:color="auto"/>
        <w:right w:val="none" w:sz="0" w:space="0" w:color="auto"/>
      </w:divBdr>
    </w:div>
    <w:div w:id="37709286">
      <w:bodyDiv w:val="1"/>
      <w:marLeft w:val="0"/>
      <w:marRight w:val="0"/>
      <w:marTop w:val="0"/>
      <w:marBottom w:val="0"/>
      <w:divBdr>
        <w:top w:val="none" w:sz="0" w:space="0" w:color="auto"/>
        <w:left w:val="none" w:sz="0" w:space="0" w:color="auto"/>
        <w:bottom w:val="none" w:sz="0" w:space="0" w:color="auto"/>
        <w:right w:val="none" w:sz="0" w:space="0" w:color="auto"/>
      </w:divBdr>
      <w:divsChild>
        <w:div w:id="938835954">
          <w:marLeft w:val="0"/>
          <w:marRight w:val="0"/>
          <w:marTop w:val="0"/>
          <w:marBottom w:val="0"/>
          <w:divBdr>
            <w:top w:val="none" w:sz="0" w:space="0" w:color="auto"/>
            <w:left w:val="none" w:sz="0" w:space="0" w:color="auto"/>
            <w:bottom w:val="none" w:sz="0" w:space="0" w:color="auto"/>
            <w:right w:val="none" w:sz="0" w:space="0" w:color="auto"/>
          </w:divBdr>
        </w:div>
      </w:divsChild>
    </w:div>
    <w:div w:id="38551202">
      <w:bodyDiv w:val="1"/>
      <w:marLeft w:val="0"/>
      <w:marRight w:val="0"/>
      <w:marTop w:val="0"/>
      <w:marBottom w:val="0"/>
      <w:divBdr>
        <w:top w:val="none" w:sz="0" w:space="0" w:color="auto"/>
        <w:left w:val="none" w:sz="0" w:space="0" w:color="auto"/>
        <w:bottom w:val="none" w:sz="0" w:space="0" w:color="auto"/>
        <w:right w:val="none" w:sz="0" w:space="0" w:color="auto"/>
      </w:divBdr>
    </w:div>
    <w:div w:id="38863941">
      <w:bodyDiv w:val="1"/>
      <w:marLeft w:val="0"/>
      <w:marRight w:val="0"/>
      <w:marTop w:val="0"/>
      <w:marBottom w:val="0"/>
      <w:divBdr>
        <w:top w:val="none" w:sz="0" w:space="0" w:color="auto"/>
        <w:left w:val="none" w:sz="0" w:space="0" w:color="auto"/>
        <w:bottom w:val="none" w:sz="0" w:space="0" w:color="auto"/>
        <w:right w:val="none" w:sz="0" w:space="0" w:color="auto"/>
      </w:divBdr>
    </w:div>
    <w:div w:id="39671086">
      <w:bodyDiv w:val="1"/>
      <w:marLeft w:val="0"/>
      <w:marRight w:val="0"/>
      <w:marTop w:val="0"/>
      <w:marBottom w:val="0"/>
      <w:divBdr>
        <w:top w:val="none" w:sz="0" w:space="0" w:color="auto"/>
        <w:left w:val="none" w:sz="0" w:space="0" w:color="auto"/>
        <w:bottom w:val="none" w:sz="0" w:space="0" w:color="auto"/>
        <w:right w:val="none" w:sz="0" w:space="0" w:color="auto"/>
      </w:divBdr>
    </w:div>
    <w:div w:id="39941722">
      <w:bodyDiv w:val="1"/>
      <w:marLeft w:val="0"/>
      <w:marRight w:val="0"/>
      <w:marTop w:val="0"/>
      <w:marBottom w:val="0"/>
      <w:divBdr>
        <w:top w:val="none" w:sz="0" w:space="0" w:color="auto"/>
        <w:left w:val="none" w:sz="0" w:space="0" w:color="auto"/>
        <w:bottom w:val="none" w:sz="0" w:space="0" w:color="auto"/>
        <w:right w:val="none" w:sz="0" w:space="0" w:color="auto"/>
      </w:divBdr>
    </w:div>
    <w:div w:id="40908877">
      <w:bodyDiv w:val="1"/>
      <w:marLeft w:val="0"/>
      <w:marRight w:val="0"/>
      <w:marTop w:val="0"/>
      <w:marBottom w:val="0"/>
      <w:divBdr>
        <w:top w:val="none" w:sz="0" w:space="0" w:color="auto"/>
        <w:left w:val="none" w:sz="0" w:space="0" w:color="auto"/>
        <w:bottom w:val="none" w:sz="0" w:space="0" w:color="auto"/>
        <w:right w:val="none" w:sz="0" w:space="0" w:color="auto"/>
      </w:divBdr>
    </w:div>
    <w:div w:id="40982542">
      <w:bodyDiv w:val="1"/>
      <w:marLeft w:val="0"/>
      <w:marRight w:val="0"/>
      <w:marTop w:val="0"/>
      <w:marBottom w:val="0"/>
      <w:divBdr>
        <w:top w:val="none" w:sz="0" w:space="0" w:color="auto"/>
        <w:left w:val="none" w:sz="0" w:space="0" w:color="auto"/>
        <w:bottom w:val="none" w:sz="0" w:space="0" w:color="auto"/>
        <w:right w:val="none" w:sz="0" w:space="0" w:color="auto"/>
      </w:divBdr>
    </w:div>
    <w:div w:id="43021605">
      <w:bodyDiv w:val="1"/>
      <w:marLeft w:val="0"/>
      <w:marRight w:val="0"/>
      <w:marTop w:val="0"/>
      <w:marBottom w:val="0"/>
      <w:divBdr>
        <w:top w:val="none" w:sz="0" w:space="0" w:color="auto"/>
        <w:left w:val="none" w:sz="0" w:space="0" w:color="auto"/>
        <w:bottom w:val="none" w:sz="0" w:space="0" w:color="auto"/>
        <w:right w:val="none" w:sz="0" w:space="0" w:color="auto"/>
      </w:divBdr>
    </w:div>
    <w:div w:id="43524913">
      <w:bodyDiv w:val="1"/>
      <w:marLeft w:val="0"/>
      <w:marRight w:val="0"/>
      <w:marTop w:val="0"/>
      <w:marBottom w:val="0"/>
      <w:divBdr>
        <w:top w:val="none" w:sz="0" w:space="0" w:color="auto"/>
        <w:left w:val="none" w:sz="0" w:space="0" w:color="auto"/>
        <w:bottom w:val="none" w:sz="0" w:space="0" w:color="auto"/>
        <w:right w:val="none" w:sz="0" w:space="0" w:color="auto"/>
      </w:divBdr>
    </w:div>
    <w:div w:id="43528433">
      <w:bodyDiv w:val="1"/>
      <w:marLeft w:val="0"/>
      <w:marRight w:val="0"/>
      <w:marTop w:val="0"/>
      <w:marBottom w:val="0"/>
      <w:divBdr>
        <w:top w:val="none" w:sz="0" w:space="0" w:color="auto"/>
        <w:left w:val="none" w:sz="0" w:space="0" w:color="auto"/>
        <w:bottom w:val="none" w:sz="0" w:space="0" w:color="auto"/>
        <w:right w:val="none" w:sz="0" w:space="0" w:color="auto"/>
      </w:divBdr>
    </w:div>
    <w:div w:id="43720729">
      <w:bodyDiv w:val="1"/>
      <w:marLeft w:val="0"/>
      <w:marRight w:val="0"/>
      <w:marTop w:val="0"/>
      <w:marBottom w:val="0"/>
      <w:divBdr>
        <w:top w:val="none" w:sz="0" w:space="0" w:color="auto"/>
        <w:left w:val="none" w:sz="0" w:space="0" w:color="auto"/>
        <w:bottom w:val="none" w:sz="0" w:space="0" w:color="auto"/>
        <w:right w:val="none" w:sz="0" w:space="0" w:color="auto"/>
      </w:divBdr>
    </w:div>
    <w:div w:id="43800913">
      <w:bodyDiv w:val="1"/>
      <w:marLeft w:val="0"/>
      <w:marRight w:val="0"/>
      <w:marTop w:val="0"/>
      <w:marBottom w:val="0"/>
      <w:divBdr>
        <w:top w:val="none" w:sz="0" w:space="0" w:color="auto"/>
        <w:left w:val="none" w:sz="0" w:space="0" w:color="auto"/>
        <w:bottom w:val="none" w:sz="0" w:space="0" w:color="auto"/>
        <w:right w:val="none" w:sz="0" w:space="0" w:color="auto"/>
      </w:divBdr>
    </w:div>
    <w:div w:id="44184210">
      <w:bodyDiv w:val="1"/>
      <w:marLeft w:val="0"/>
      <w:marRight w:val="0"/>
      <w:marTop w:val="0"/>
      <w:marBottom w:val="0"/>
      <w:divBdr>
        <w:top w:val="none" w:sz="0" w:space="0" w:color="auto"/>
        <w:left w:val="none" w:sz="0" w:space="0" w:color="auto"/>
        <w:bottom w:val="none" w:sz="0" w:space="0" w:color="auto"/>
        <w:right w:val="none" w:sz="0" w:space="0" w:color="auto"/>
      </w:divBdr>
      <w:divsChild>
        <w:div w:id="1690526493">
          <w:marLeft w:val="0"/>
          <w:marRight w:val="0"/>
          <w:marTop w:val="0"/>
          <w:marBottom w:val="0"/>
          <w:divBdr>
            <w:top w:val="none" w:sz="0" w:space="0" w:color="auto"/>
            <w:left w:val="none" w:sz="0" w:space="0" w:color="auto"/>
            <w:bottom w:val="none" w:sz="0" w:space="0" w:color="auto"/>
            <w:right w:val="none" w:sz="0" w:space="0" w:color="auto"/>
          </w:divBdr>
        </w:div>
      </w:divsChild>
    </w:div>
    <w:div w:id="44186008">
      <w:bodyDiv w:val="1"/>
      <w:marLeft w:val="0"/>
      <w:marRight w:val="0"/>
      <w:marTop w:val="0"/>
      <w:marBottom w:val="0"/>
      <w:divBdr>
        <w:top w:val="none" w:sz="0" w:space="0" w:color="auto"/>
        <w:left w:val="none" w:sz="0" w:space="0" w:color="auto"/>
        <w:bottom w:val="none" w:sz="0" w:space="0" w:color="auto"/>
        <w:right w:val="none" w:sz="0" w:space="0" w:color="auto"/>
      </w:divBdr>
    </w:div>
    <w:div w:id="44834752">
      <w:bodyDiv w:val="1"/>
      <w:marLeft w:val="0"/>
      <w:marRight w:val="0"/>
      <w:marTop w:val="0"/>
      <w:marBottom w:val="0"/>
      <w:divBdr>
        <w:top w:val="none" w:sz="0" w:space="0" w:color="auto"/>
        <w:left w:val="none" w:sz="0" w:space="0" w:color="auto"/>
        <w:bottom w:val="none" w:sz="0" w:space="0" w:color="auto"/>
        <w:right w:val="none" w:sz="0" w:space="0" w:color="auto"/>
      </w:divBdr>
    </w:div>
    <w:div w:id="45568382">
      <w:bodyDiv w:val="1"/>
      <w:marLeft w:val="0"/>
      <w:marRight w:val="0"/>
      <w:marTop w:val="0"/>
      <w:marBottom w:val="0"/>
      <w:divBdr>
        <w:top w:val="none" w:sz="0" w:space="0" w:color="auto"/>
        <w:left w:val="none" w:sz="0" w:space="0" w:color="auto"/>
        <w:bottom w:val="none" w:sz="0" w:space="0" w:color="auto"/>
        <w:right w:val="none" w:sz="0" w:space="0" w:color="auto"/>
      </w:divBdr>
    </w:div>
    <w:div w:id="45841191">
      <w:bodyDiv w:val="1"/>
      <w:marLeft w:val="0"/>
      <w:marRight w:val="0"/>
      <w:marTop w:val="0"/>
      <w:marBottom w:val="0"/>
      <w:divBdr>
        <w:top w:val="none" w:sz="0" w:space="0" w:color="auto"/>
        <w:left w:val="none" w:sz="0" w:space="0" w:color="auto"/>
        <w:bottom w:val="none" w:sz="0" w:space="0" w:color="auto"/>
        <w:right w:val="none" w:sz="0" w:space="0" w:color="auto"/>
      </w:divBdr>
    </w:div>
    <w:div w:id="46298492">
      <w:bodyDiv w:val="1"/>
      <w:marLeft w:val="0"/>
      <w:marRight w:val="0"/>
      <w:marTop w:val="0"/>
      <w:marBottom w:val="0"/>
      <w:divBdr>
        <w:top w:val="none" w:sz="0" w:space="0" w:color="auto"/>
        <w:left w:val="none" w:sz="0" w:space="0" w:color="auto"/>
        <w:bottom w:val="none" w:sz="0" w:space="0" w:color="auto"/>
        <w:right w:val="none" w:sz="0" w:space="0" w:color="auto"/>
      </w:divBdr>
    </w:div>
    <w:div w:id="46882448">
      <w:bodyDiv w:val="1"/>
      <w:marLeft w:val="0"/>
      <w:marRight w:val="0"/>
      <w:marTop w:val="0"/>
      <w:marBottom w:val="0"/>
      <w:divBdr>
        <w:top w:val="none" w:sz="0" w:space="0" w:color="auto"/>
        <w:left w:val="none" w:sz="0" w:space="0" w:color="auto"/>
        <w:bottom w:val="none" w:sz="0" w:space="0" w:color="auto"/>
        <w:right w:val="none" w:sz="0" w:space="0" w:color="auto"/>
      </w:divBdr>
    </w:div>
    <w:div w:id="47337851">
      <w:bodyDiv w:val="1"/>
      <w:marLeft w:val="0"/>
      <w:marRight w:val="0"/>
      <w:marTop w:val="0"/>
      <w:marBottom w:val="0"/>
      <w:divBdr>
        <w:top w:val="none" w:sz="0" w:space="0" w:color="auto"/>
        <w:left w:val="none" w:sz="0" w:space="0" w:color="auto"/>
        <w:bottom w:val="none" w:sz="0" w:space="0" w:color="auto"/>
        <w:right w:val="none" w:sz="0" w:space="0" w:color="auto"/>
      </w:divBdr>
    </w:div>
    <w:div w:id="48189892">
      <w:bodyDiv w:val="1"/>
      <w:marLeft w:val="0"/>
      <w:marRight w:val="0"/>
      <w:marTop w:val="0"/>
      <w:marBottom w:val="0"/>
      <w:divBdr>
        <w:top w:val="none" w:sz="0" w:space="0" w:color="auto"/>
        <w:left w:val="none" w:sz="0" w:space="0" w:color="auto"/>
        <w:bottom w:val="none" w:sz="0" w:space="0" w:color="auto"/>
        <w:right w:val="none" w:sz="0" w:space="0" w:color="auto"/>
      </w:divBdr>
    </w:div>
    <w:div w:id="48723670">
      <w:bodyDiv w:val="1"/>
      <w:marLeft w:val="0"/>
      <w:marRight w:val="0"/>
      <w:marTop w:val="0"/>
      <w:marBottom w:val="0"/>
      <w:divBdr>
        <w:top w:val="none" w:sz="0" w:space="0" w:color="auto"/>
        <w:left w:val="none" w:sz="0" w:space="0" w:color="auto"/>
        <w:bottom w:val="none" w:sz="0" w:space="0" w:color="auto"/>
        <w:right w:val="none" w:sz="0" w:space="0" w:color="auto"/>
      </w:divBdr>
    </w:div>
    <w:div w:id="49152208">
      <w:bodyDiv w:val="1"/>
      <w:marLeft w:val="0"/>
      <w:marRight w:val="0"/>
      <w:marTop w:val="0"/>
      <w:marBottom w:val="0"/>
      <w:divBdr>
        <w:top w:val="none" w:sz="0" w:space="0" w:color="auto"/>
        <w:left w:val="none" w:sz="0" w:space="0" w:color="auto"/>
        <w:bottom w:val="none" w:sz="0" w:space="0" w:color="auto"/>
        <w:right w:val="none" w:sz="0" w:space="0" w:color="auto"/>
      </w:divBdr>
      <w:divsChild>
        <w:div w:id="371225344">
          <w:marLeft w:val="0"/>
          <w:marRight w:val="0"/>
          <w:marTop w:val="0"/>
          <w:marBottom w:val="0"/>
          <w:divBdr>
            <w:top w:val="none" w:sz="0" w:space="0" w:color="auto"/>
            <w:left w:val="none" w:sz="0" w:space="0" w:color="auto"/>
            <w:bottom w:val="none" w:sz="0" w:space="0" w:color="auto"/>
            <w:right w:val="none" w:sz="0" w:space="0" w:color="auto"/>
          </w:divBdr>
        </w:div>
      </w:divsChild>
    </w:div>
    <w:div w:id="49623313">
      <w:bodyDiv w:val="1"/>
      <w:marLeft w:val="0"/>
      <w:marRight w:val="0"/>
      <w:marTop w:val="0"/>
      <w:marBottom w:val="0"/>
      <w:divBdr>
        <w:top w:val="none" w:sz="0" w:space="0" w:color="auto"/>
        <w:left w:val="none" w:sz="0" w:space="0" w:color="auto"/>
        <w:bottom w:val="none" w:sz="0" w:space="0" w:color="auto"/>
        <w:right w:val="none" w:sz="0" w:space="0" w:color="auto"/>
      </w:divBdr>
    </w:div>
    <w:div w:id="50157172">
      <w:bodyDiv w:val="1"/>
      <w:marLeft w:val="0"/>
      <w:marRight w:val="0"/>
      <w:marTop w:val="0"/>
      <w:marBottom w:val="0"/>
      <w:divBdr>
        <w:top w:val="none" w:sz="0" w:space="0" w:color="auto"/>
        <w:left w:val="none" w:sz="0" w:space="0" w:color="auto"/>
        <w:bottom w:val="none" w:sz="0" w:space="0" w:color="auto"/>
        <w:right w:val="none" w:sz="0" w:space="0" w:color="auto"/>
      </w:divBdr>
    </w:div>
    <w:div w:id="50469701">
      <w:bodyDiv w:val="1"/>
      <w:marLeft w:val="0"/>
      <w:marRight w:val="0"/>
      <w:marTop w:val="0"/>
      <w:marBottom w:val="0"/>
      <w:divBdr>
        <w:top w:val="none" w:sz="0" w:space="0" w:color="auto"/>
        <w:left w:val="none" w:sz="0" w:space="0" w:color="auto"/>
        <w:bottom w:val="none" w:sz="0" w:space="0" w:color="auto"/>
        <w:right w:val="none" w:sz="0" w:space="0" w:color="auto"/>
      </w:divBdr>
    </w:div>
    <w:div w:id="50691408">
      <w:bodyDiv w:val="1"/>
      <w:marLeft w:val="0"/>
      <w:marRight w:val="0"/>
      <w:marTop w:val="0"/>
      <w:marBottom w:val="0"/>
      <w:divBdr>
        <w:top w:val="none" w:sz="0" w:space="0" w:color="auto"/>
        <w:left w:val="none" w:sz="0" w:space="0" w:color="auto"/>
        <w:bottom w:val="none" w:sz="0" w:space="0" w:color="auto"/>
        <w:right w:val="none" w:sz="0" w:space="0" w:color="auto"/>
      </w:divBdr>
    </w:div>
    <w:div w:id="50735396">
      <w:bodyDiv w:val="1"/>
      <w:marLeft w:val="0"/>
      <w:marRight w:val="0"/>
      <w:marTop w:val="0"/>
      <w:marBottom w:val="0"/>
      <w:divBdr>
        <w:top w:val="none" w:sz="0" w:space="0" w:color="auto"/>
        <w:left w:val="none" w:sz="0" w:space="0" w:color="auto"/>
        <w:bottom w:val="none" w:sz="0" w:space="0" w:color="auto"/>
        <w:right w:val="none" w:sz="0" w:space="0" w:color="auto"/>
      </w:divBdr>
    </w:div>
    <w:div w:id="51657070">
      <w:bodyDiv w:val="1"/>
      <w:marLeft w:val="0"/>
      <w:marRight w:val="0"/>
      <w:marTop w:val="0"/>
      <w:marBottom w:val="0"/>
      <w:divBdr>
        <w:top w:val="none" w:sz="0" w:space="0" w:color="auto"/>
        <w:left w:val="none" w:sz="0" w:space="0" w:color="auto"/>
        <w:bottom w:val="none" w:sz="0" w:space="0" w:color="auto"/>
        <w:right w:val="none" w:sz="0" w:space="0" w:color="auto"/>
      </w:divBdr>
    </w:div>
    <w:div w:id="51851351">
      <w:bodyDiv w:val="1"/>
      <w:marLeft w:val="0"/>
      <w:marRight w:val="0"/>
      <w:marTop w:val="0"/>
      <w:marBottom w:val="0"/>
      <w:divBdr>
        <w:top w:val="none" w:sz="0" w:space="0" w:color="auto"/>
        <w:left w:val="none" w:sz="0" w:space="0" w:color="auto"/>
        <w:bottom w:val="none" w:sz="0" w:space="0" w:color="auto"/>
        <w:right w:val="none" w:sz="0" w:space="0" w:color="auto"/>
      </w:divBdr>
    </w:div>
    <w:div w:id="51932292">
      <w:bodyDiv w:val="1"/>
      <w:marLeft w:val="0"/>
      <w:marRight w:val="0"/>
      <w:marTop w:val="0"/>
      <w:marBottom w:val="0"/>
      <w:divBdr>
        <w:top w:val="none" w:sz="0" w:space="0" w:color="auto"/>
        <w:left w:val="none" w:sz="0" w:space="0" w:color="auto"/>
        <w:bottom w:val="none" w:sz="0" w:space="0" w:color="auto"/>
        <w:right w:val="none" w:sz="0" w:space="0" w:color="auto"/>
      </w:divBdr>
    </w:div>
    <w:div w:id="52392798">
      <w:bodyDiv w:val="1"/>
      <w:marLeft w:val="0"/>
      <w:marRight w:val="0"/>
      <w:marTop w:val="0"/>
      <w:marBottom w:val="0"/>
      <w:divBdr>
        <w:top w:val="none" w:sz="0" w:space="0" w:color="auto"/>
        <w:left w:val="none" w:sz="0" w:space="0" w:color="auto"/>
        <w:bottom w:val="none" w:sz="0" w:space="0" w:color="auto"/>
        <w:right w:val="none" w:sz="0" w:space="0" w:color="auto"/>
      </w:divBdr>
    </w:div>
    <w:div w:id="52824280">
      <w:bodyDiv w:val="1"/>
      <w:marLeft w:val="0"/>
      <w:marRight w:val="0"/>
      <w:marTop w:val="0"/>
      <w:marBottom w:val="0"/>
      <w:divBdr>
        <w:top w:val="none" w:sz="0" w:space="0" w:color="auto"/>
        <w:left w:val="none" w:sz="0" w:space="0" w:color="auto"/>
        <w:bottom w:val="none" w:sz="0" w:space="0" w:color="auto"/>
        <w:right w:val="none" w:sz="0" w:space="0" w:color="auto"/>
      </w:divBdr>
    </w:div>
    <w:div w:id="52890665">
      <w:bodyDiv w:val="1"/>
      <w:marLeft w:val="0"/>
      <w:marRight w:val="0"/>
      <w:marTop w:val="0"/>
      <w:marBottom w:val="0"/>
      <w:divBdr>
        <w:top w:val="none" w:sz="0" w:space="0" w:color="auto"/>
        <w:left w:val="none" w:sz="0" w:space="0" w:color="auto"/>
        <w:bottom w:val="none" w:sz="0" w:space="0" w:color="auto"/>
        <w:right w:val="none" w:sz="0" w:space="0" w:color="auto"/>
      </w:divBdr>
    </w:div>
    <w:div w:id="52897254">
      <w:bodyDiv w:val="1"/>
      <w:marLeft w:val="0"/>
      <w:marRight w:val="0"/>
      <w:marTop w:val="0"/>
      <w:marBottom w:val="0"/>
      <w:divBdr>
        <w:top w:val="none" w:sz="0" w:space="0" w:color="auto"/>
        <w:left w:val="none" w:sz="0" w:space="0" w:color="auto"/>
        <w:bottom w:val="none" w:sz="0" w:space="0" w:color="auto"/>
        <w:right w:val="none" w:sz="0" w:space="0" w:color="auto"/>
      </w:divBdr>
    </w:div>
    <w:div w:id="55007735">
      <w:bodyDiv w:val="1"/>
      <w:marLeft w:val="0"/>
      <w:marRight w:val="0"/>
      <w:marTop w:val="0"/>
      <w:marBottom w:val="0"/>
      <w:divBdr>
        <w:top w:val="none" w:sz="0" w:space="0" w:color="auto"/>
        <w:left w:val="none" w:sz="0" w:space="0" w:color="auto"/>
        <w:bottom w:val="none" w:sz="0" w:space="0" w:color="auto"/>
        <w:right w:val="none" w:sz="0" w:space="0" w:color="auto"/>
      </w:divBdr>
    </w:div>
    <w:div w:id="56167279">
      <w:bodyDiv w:val="1"/>
      <w:marLeft w:val="0"/>
      <w:marRight w:val="0"/>
      <w:marTop w:val="0"/>
      <w:marBottom w:val="0"/>
      <w:divBdr>
        <w:top w:val="none" w:sz="0" w:space="0" w:color="auto"/>
        <w:left w:val="none" w:sz="0" w:space="0" w:color="auto"/>
        <w:bottom w:val="none" w:sz="0" w:space="0" w:color="auto"/>
        <w:right w:val="none" w:sz="0" w:space="0" w:color="auto"/>
      </w:divBdr>
    </w:div>
    <w:div w:id="56244415">
      <w:bodyDiv w:val="1"/>
      <w:marLeft w:val="0"/>
      <w:marRight w:val="0"/>
      <w:marTop w:val="0"/>
      <w:marBottom w:val="0"/>
      <w:divBdr>
        <w:top w:val="none" w:sz="0" w:space="0" w:color="auto"/>
        <w:left w:val="none" w:sz="0" w:space="0" w:color="auto"/>
        <w:bottom w:val="none" w:sz="0" w:space="0" w:color="auto"/>
        <w:right w:val="none" w:sz="0" w:space="0" w:color="auto"/>
      </w:divBdr>
    </w:div>
    <w:div w:id="56822446">
      <w:bodyDiv w:val="1"/>
      <w:marLeft w:val="0"/>
      <w:marRight w:val="0"/>
      <w:marTop w:val="0"/>
      <w:marBottom w:val="0"/>
      <w:divBdr>
        <w:top w:val="none" w:sz="0" w:space="0" w:color="auto"/>
        <w:left w:val="none" w:sz="0" w:space="0" w:color="auto"/>
        <w:bottom w:val="none" w:sz="0" w:space="0" w:color="auto"/>
        <w:right w:val="none" w:sz="0" w:space="0" w:color="auto"/>
      </w:divBdr>
    </w:div>
    <w:div w:id="58948113">
      <w:bodyDiv w:val="1"/>
      <w:marLeft w:val="0"/>
      <w:marRight w:val="0"/>
      <w:marTop w:val="0"/>
      <w:marBottom w:val="0"/>
      <w:divBdr>
        <w:top w:val="none" w:sz="0" w:space="0" w:color="auto"/>
        <w:left w:val="none" w:sz="0" w:space="0" w:color="auto"/>
        <w:bottom w:val="none" w:sz="0" w:space="0" w:color="auto"/>
        <w:right w:val="none" w:sz="0" w:space="0" w:color="auto"/>
      </w:divBdr>
    </w:div>
    <w:div w:id="59792409">
      <w:bodyDiv w:val="1"/>
      <w:marLeft w:val="0"/>
      <w:marRight w:val="0"/>
      <w:marTop w:val="0"/>
      <w:marBottom w:val="0"/>
      <w:divBdr>
        <w:top w:val="none" w:sz="0" w:space="0" w:color="auto"/>
        <w:left w:val="none" w:sz="0" w:space="0" w:color="auto"/>
        <w:bottom w:val="none" w:sz="0" w:space="0" w:color="auto"/>
        <w:right w:val="none" w:sz="0" w:space="0" w:color="auto"/>
      </w:divBdr>
    </w:div>
    <w:div w:id="60761885">
      <w:bodyDiv w:val="1"/>
      <w:marLeft w:val="0"/>
      <w:marRight w:val="0"/>
      <w:marTop w:val="0"/>
      <w:marBottom w:val="0"/>
      <w:divBdr>
        <w:top w:val="none" w:sz="0" w:space="0" w:color="auto"/>
        <w:left w:val="none" w:sz="0" w:space="0" w:color="auto"/>
        <w:bottom w:val="none" w:sz="0" w:space="0" w:color="auto"/>
        <w:right w:val="none" w:sz="0" w:space="0" w:color="auto"/>
      </w:divBdr>
    </w:div>
    <w:div w:id="61490120">
      <w:bodyDiv w:val="1"/>
      <w:marLeft w:val="0"/>
      <w:marRight w:val="0"/>
      <w:marTop w:val="0"/>
      <w:marBottom w:val="0"/>
      <w:divBdr>
        <w:top w:val="none" w:sz="0" w:space="0" w:color="auto"/>
        <w:left w:val="none" w:sz="0" w:space="0" w:color="auto"/>
        <w:bottom w:val="none" w:sz="0" w:space="0" w:color="auto"/>
        <w:right w:val="none" w:sz="0" w:space="0" w:color="auto"/>
      </w:divBdr>
    </w:div>
    <w:div w:id="61565595">
      <w:bodyDiv w:val="1"/>
      <w:marLeft w:val="0"/>
      <w:marRight w:val="0"/>
      <w:marTop w:val="0"/>
      <w:marBottom w:val="0"/>
      <w:divBdr>
        <w:top w:val="none" w:sz="0" w:space="0" w:color="auto"/>
        <w:left w:val="none" w:sz="0" w:space="0" w:color="auto"/>
        <w:bottom w:val="none" w:sz="0" w:space="0" w:color="auto"/>
        <w:right w:val="none" w:sz="0" w:space="0" w:color="auto"/>
      </w:divBdr>
    </w:div>
    <w:div w:id="61609303">
      <w:bodyDiv w:val="1"/>
      <w:marLeft w:val="0"/>
      <w:marRight w:val="0"/>
      <w:marTop w:val="0"/>
      <w:marBottom w:val="0"/>
      <w:divBdr>
        <w:top w:val="none" w:sz="0" w:space="0" w:color="auto"/>
        <w:left w:val="none" w:sz="0" w:space="0" w:color="auto"/>
        <w:bottom w:val="none" w:sz="0" w:space="0" w:color="auto"/>
        <w:right w:val="none" w:sz="0" w:space="0" w:color="auto"/>
      </w:divBdr>
    </w:div>
    <w:div w:id="62027024">
      <w:bodyDiv w:val="1"/>
      <w:marLeft w:val="0"/>
      <w:marRight w:val="0"/>
      <w:marTop w:val="0"/>
      <w:marBottom w:val="0"/>
      <w:divBdr>
        <w:top w:val="none" w:sz="0" w:space="0" w:color="auto"/>
        <w:left w:val="none" w:sz="0" w:space="0" w:color="auto"/>
        <w:bottom w:val="none" w:sz="0" w:space="0" w:color="auto"/>
        <w:right w:val="none" w:sz="0" w:space="0" w:color="auto"/>
      </w:divBdr>
    </w:div>
    <w:div w:id="64381205">
      <w:bodyDiv w:val="1"/>
      <w:marLeft w:val="0"/>
      <w:marRight w:val="0"/>
      <w:marTop w:val="0"/>
      <w:marBottom w:val="0"/>
      <w:divBdr>
        <w:top w:val="none" w:sz="0" w:space="0" w:color="auto"/>
        <w:left w:val="none" w:sz="0" w:space="0" w:color="auto"/>
        <w:bottom w:val="none" w:sz="0" w:space="0" w:color="auto"/>
        <w:right w:val="none" w:sz="0" w:space="0" w:color="auto"/>
      </w:divBdr>
    </w:div>
    <w:div w:id="64649396">
      <w:bodyDiv w:val="1"/>
      <w:marLeft w:val="0"/>
      <w:marRight w:val="0"/>
      <w:marTop w:val="0"/>
      <w:marBottom w:val="0"/>
      <w:divBdr>
        <w:top w:val="none" w:sz="0" w:space="0" w:color="auto"/>
        <w:left w:val="none" w:sz="0" w:space="0" w:color="auto"/>
        <w:bottom w:val="none" w:sz="0" w:space="0" w:color="auto"/>
        <w:right w:val="none" w:sz="0" w:space="0" w:color="auto"/>
      </w:divBdr>
    </w:div>
    <w:div w:id="65341466">
      <w:bodyDiv w:val="1"/>
      <w:marLeft w:val="0"/>
      <w:marRight w:val="0"/>
      <w:marTop w:val="0"/>
      <w:marBottom w:val="0"/>
      <w:divBdr>
        <w:top w:val="none" w:sz="0" w:space="0" w:color="auto"/>
        <w:left w:val="none" w:sz="0" w:space="0" w:color="auto"/>
        <w:bottom w:val="none" w:sz="0" w:space="0" w:color="auto"/>
        <w:right w:val="none" w:sz="0" w:space="0" w:color="auto"/>
      </w:divBdr>
    </w:div>
    <w:div w:id="65761628">
      <w:bodyDiv w:val="1"/>
      <w:marLeft w:val="0"/>
      <w:marRight w:val="0"/>
      <w:marTop w:val="0"/>
      <w:marBottom w:val="0"/>
      <w:divBdr>
        <w:top w:val="none" w:sz="0" w:space="0" w:color="auto"/>
        <w:left w:val="none" w:sz="0" w:space="0" w:color="auto"/>
        <w:bottom w:val="none" w:sz="0" w:space="0" w:color="auto"/>
        <w:right w:val="none" w:sz="0" w:space="0" w:color="auto"/>
      </w:divBdr>
    </w:div>
    <w:div w:id="66079756">
      <w:bodyDiv w:val="1"/>
      <w:marLeft w:val="0"/>
      <w:marRight w:val="0"/>
      <w:marTop w:val="0"/>
      <w:marBottom w:val="0"/>
      <w:divBdr>
        <w:top w:val="none" w:sz="0" w:space="0" w:color="auto"/>
        <w:left w:val="none" w:sz="0" w:space="0" w:color="auto"/>
        <w:bottom w:val="none" w:sz="0" w:space="0" w:color="auto"/>
        <w:right w:val="none" w:sz="0" w:space="0" w:color="auto"/>
      </w:divBdr>
    </w:div>
    <w:div w:id="66466862">
      <w:bodyDiv w:val="1"/>
      <w:marLeft w:val="0"/>
      <w:marRight w:val="0"/>
      <w:marTop w:val="0"/>
      <w:marBottom w:val="0"/>
      <w:divBdr>
        <w:top w:val="none" w:sz="0" w:space="0" w:color="auto"/>
        <w:left w:val="none" w:sz="0" w:space="0" w:color="auto"/>
        <w:bottom w:val="none" w:sz="0" w:space="0" w:color="auto"/>
        <w:right w:val="none" w:sz="0" w:space="0" w:color="auto"/>
      </w:divBdr>
    </w:div>
    <w:div w:id="67657078">
      <w:bodyDiv w:val="1"/>
      <w:marLeft w:val="0"/>
      <w:marRight w:val="0"/>
      <w:marTop w:val="0"/>
      <w:marBottom w:val="0"/>
      <w:divBdr>
        <w:top w:val="none" w:sz="0" w:space="0" w:color="auto"/>
        <w:left w:val="none" w:sz="0" w:space="0" w:color="auto"/>
        <w:bottom w:val="none" w:sz="0" w:space="0" w:color="auto"/>
        <w:right w:val="none" w:sz="0" w:space="0" w:color="auto"/>
      </w:divBdr>
    </w:div>
    <w:div w:id="67776580">
      <w:bodyDiv w:val="1"/>
      <w:marLeft w:val="0"/>
      <w:marRight w:val="0"/>
      <w:marTop w:val="0"/>
      <w:marBottom w:val="0"/>
      <w:divBdr>
        <w:top w:val="none" w:sz="0" w:space="0" w:color="auto"/>
        <w:left w:val="none" w:sz="0" w:space="0" w:color="auto"/>
        <w:bottom w:val="none" w:sz="0" w:space="0" w:color="auto"/>
        <w:right w:val="none" w:sz="0" w:space="0" w:color="auto"/>
      </w:divBdr>
    </w:div>
    <w:div w:id="67925111">
      <w:bodyDiv w:val="1"/>
      <w:marLeft w:val="0"/>
      <w:marRight w:val="0"/>
      <w:marTop w:val="0"/>
      <w:marBottom w:val="0"/>
      <w:divBdr>
        <w:top w:val="none" w:sz="0" w:space="0" w:color="auto"/>
        <w:left w:val="none" w:sz="0" w:space="0" w:color="auto"/>
        <w:bottom w:val="none" w:sz="0" w:space="0" w:color="auto"/>
        <w:right w:val="none" w:sz="0" w:space="0" w:color="auto"/>
      </w:divBdr>
    </w:div>
    <w:div w:id="69861803">
      <w:bodyDiv w:val="1"/>
      <w:marLeft w:val="0"/>
      <w:marRight w:val="0"/>
      <w:marTop w:val="0"/>
      <w:marBottom w:val="0"/>
      <w:divBdr>
        <w:top w:val="none" w:sz="0" w:space="0" w:color="auto"/>
        <w:left w:val="none" w:sz="0" w:space="0" w:color="auto"/>
        <w:bottom w:val="none" w:sz="0" w:space="0" w:color="auto"/>
        <w:right w:val="none" w:sz="0" w:space="0" w:color="auto"/>
      </w:divBdr>
    </w:div>
    <w:div w:id="70590620">
      <w:bodyDiv w:val="1"/>
      <w:marLeft w:val="0"/>
      <w:marRight w:val="0"/>
      <w:marTop w:val="0"/>
      <w:marBottom w:val="0"/>
      <w:divBdr>
        <w:top w:val="none" w:sz="0" w:space="0" w:color="auto"/>
        <w:left w:val="none" w:sz="0" w:space="0" w:color="auto"/>
        <w:bottom w:val="none" w:sz="0" w:space="0" w:color="auto"/>
        <w:right w:val="none" w:sz="0" w:space="0" w:color="auto"/>
      </w:divBdr>
    </w:div>
    <w:div w:id="70784554">
      <w:bodyDiv w:val="1"/>
      <w:marLeft w:val="0"/>
      <w:marRight w:val="0"/>
      <w:marTop w:val="0"/>
      <w:marBottom w:val="0"/>
      <w:divBdr>
        <w:top w:val="none" w:sz="0" w:space="0" w:color="auto"/>
        <w:left w:val="none" w:sz="0" w:space="0" w:color="auto"/>
        <w:bottom w:val="none" w:sz="0" w:space="0" w:color="auto"/>
        <w:right w:val="none" w:sz="0" w:space="0" w:color="auto"/>
      </w:divBdr>
    </w:div>
    <w:div w:id="70856252">
      <w:bodyDiv w:val="1"/>
      <w:marLeft w:val="0"/>
      <w:marRight w:val="0"/>
      <w:marTop w:val="0"/>
      <w:marBottom w:val="0"/>
      <w:divBdr>
        <w:top w:val="none" w:sz="0" w:space="0" w:color="auto"/>
        <w:left w:val="none" w:sz="0" w:space="0" w:color="auto"/>
        <w:bottom w:val="none" w:sz="0" w:space="0" w:color="auto"/>
        <w:right w:val="none" w:sz="0" w:space="0" w:color="auto"/>
      </w:divBdr>
    </w:div>
    <w:div w:id="70932655">
      <w:bodyDiv w:val="1"/>
      <w:marLeft w:val="0"/>
      <w:marRight w:val="0"/>
      <w:marTop w:val="0"/>
      <w:marBottom w:val="0"/>
      <w:divBdr>
        <w:top w:val="none" w:sz="0" w:space="0" w:color="auto"/>
        <w:left w:val="none" w:sz="0" w:space="0" w:color="auto"/>
        <w:bottom w:val="none" w:sz="0" w:space="0" w:color="auto"/>
        <w:right w:val="none" w:sz="0" w:space="0" w:color="auto"/>
      </w:divBdr>
    </w:div>
    <w:div w:id="71048280">
      <w:bodyDiv w:val="1"/>
      <w:marLeft w:val="0"/>
      <w:marRight w:val="0"/>
      <w:marTop w:val="0"/>
      <w:marBottom w:val="0"/>
      <w:divBdr>
        <w:top w:val="none" w:sz="0" w:space="0" w:color="auto"/>
        <w:left w:val="none" w:sz="0" w:space="0" w:color="auto"/>
        <w:bottom w:val="none" w:sz="0" w:space="0" w:color="auto"/>
        <w:right w:val="none" w:sz="0" w:space="0" w:color="auto"/>
      </w:divBdr>
    </w:div>
    <w:div w:id="71127411">
      <w:bodyDiv w:val="1"/>
      <w:marLeft w:val="0"/>
      <w:marRight w:val="0"/>
      <w:marTop w:val="0"/>
      <w:marBottom w:val="0"/>
      <w:divBdr>
        <w:top w:val="none" w:sz="0" w:space="0" w:color="auto"/>
        <w:left w:val="none" w:sz="0" w:space="0" w:color="auto"/>
        <w:bottom w:val="none" w:sz="0" w:space="0" w:color="auto"/>
        <w:right w:val="none" w:sz="0" w:space="0" w:color="auto"/>
      </w:divBdr>
    </w:div>
    <w:div w:id="71588712">
      <w:bodyDiv w:val="1"/>
      <w:marLeft w:val="0"/>
      <w:marRight w:val="0"/>
      <w:marTop w:val="0"/>
      <w:marBottom w:val="0"/>
      <w:divBdr>
        <w:top w:val="none" w:sz="0" w:space="0" w:color="auto"/>
        <w:left w:val="none" w:sz="0" w:space="0" w:color="auto"/>
        <w:bottom w:val="none" w:sz="0" w:space="0" w:color="auto"/>
        <w:right w:val="none" w:sz="0" w:space="0" w:color="auto"/>
      </w:divBdr>
    </w:div>
    <w:div w:id="73401937">
      <w:bodyDiv w:val="1"/>
      <w:marLeft w:val="0"/>
      <w:marRight w:val="0"/>
      <w:marTop w:val="0"/>
      <w:marBottom w:val="0"/>
      <w:divBdr>
        <w:top w:val="none" w:sz="0" w:space="0" w:color="auto"/>
        <w:left w:val="none" w:sz="0" w:space="0" w:color="auto"/>
        <w:bottom w:val="none" w:sz="0" w:space="0" w:color="auto"/>
        <w:right w:val="none" w:sz="0" w:space="0" w:color="auto"/>
      </w:divBdr>
    </w:div>
    <w:div w:id="75827876">
      <w:bodyDiv w:val="1"/>
      <w:marLeft w:val="0"/>
      <w:marRight w:val="0"/>
      <w:marTop w:val="0"/>
      <w:marBottom w:val="0"/>
      <w:divBdr>
        <w:top w:val="none" w:sz="0" w:space="0" w:color="auto"/>
        <w:left w:val="none" w:sz="0" w:space="0" w:color="auto"/>
        <w:bottom w:val="none" w:sz="0" w:space="0" w:color="auto"/>
        <w:right w:val="none" w:sz="0" w:space="0" w:color="auto"/>
      </w:divBdr>
    </w:div>
    <w:div w:id="76023142">
      <w:bodyDiv w:val="1"/>
      <w:marLeft w:val="0"/>
      <w:marRight w:val="0"/>
      <w:marTop w:val="0"/>
      <w:marBottom w:val="0"/>
      <w:divBdr>
        <w:top w:val="none" w:sz="0" w:space="0" w:color="auto"/>
        <w:left w:val="none" w:sz="0" w:space="0" w:color="auto"/>
        <w:bottom w:val="none" w:sz="0" w:space="0" w:color="auto"/>
        <w:right w:val="none" w:sz="0" w:space="0" w:color="auto"/>
      </w:divBdr>
    </w:div>
    <w:div w:id="76874687">
      <w:bodyDiv w:val="1"/>
      <w:marLeft w:val="0"/>
      <w:marRight w:val="0"/>
      <w:marTop w:val="0"/>
      <w:marBottom w:val="0"/>
      <w:divBdr>
        <w:top w:val="none" w:sz="0" w:space="0" w:color="auto"/>
        <w:left w:val="none" w:sz="0" w:space="0" w:color="auto"/>
        <w:bottom w:val="none" w:sz="0" w:space="0" w:color="auto"/>
        <w:right w:val="none" w:sz="0" w:space="0" w:color="auto"/>
      </w:divBdr>
    </w:div>
    <w:div w:id="77217052">
      <w:bodyDiv w:val="1"/>
      <w:marLeft w:val="0"/>
      <w:marRight w:val="0"/>
      <w:marTop w:val="0"/>
      <w:marBottom w:val="0"/>
      <w:divBdr>
        <w:top w:val="none" w:sz="0" w:space="0" w:color="auto"/>
        <w:left w:val="none" w:sz="0" w:space="0" w:color="auto"/>
        <w:bottom w:val="none" w:sz="0" w:space="0" w:color="auto"/>
        <w:right w:val="none" w:sz="0" w:space="0" w:color="auto"/>
      </w:divBdr>
    </w:div>
    <w:div w:id="77411777">
      <w:bodyDiv w:val="1"/>
      <w:marLeft w:val="0"/>
      <w:marRight w:val="0"/>
      <w:marTop w:val="0"/>
      <w:marBottom w:val="0"/>
      <w:divBdr>
        <w:top w:val="none" w:sz="0" w:space="0" w:color="auto"/>
        <w:left w:val="none" w:sz="0" w:space="0" w:color="auto"/>
        <w:bottom w:val="none" w:sz="0" w:space="0" w:color="auto"/>
        <w:right w:val="none" w:sz="0" w:space="0" w:color="auto"/>
      </w:divBdr>
    </w:div>
    <w:div w:id="77945188">
      <w:bodyDiv w:val="1"/>
      <w:marLeft w:val="0"/>
      <w:marRight w:val="0"/>
      <w:marTop w:val="0"/>
      <w:marBottom w:val="0"/>
      <w:divBdr>
        <w:top w:val="none" w:sz="0" w:space="0" w:color="auto"/>
        <w:left w:val="none" w:sz="0" w:space="0" w:color="auto"/>
        <w:bottom w:val="none" w:sz="0" w:space="0" w:color="auto"/>
        <w:right w:val="none" w:sz="0" w:space="0" w:color="auto"/>
      </w:divBdr>
    </w:div>
    <w:div w:id="79067618">
      <w:bodyDiv w:val="1"/>
      <w:marLeft w:val="0"/>
      <w:marRight w:val="0"/>
      <w:marTop w:val="0"/>
      <w:marBottom w:val="0"/>
      <w:divBdr>
        <w:top w:val="none" w:sz="0" w:space="0" w:color="auto"/>
        <w:left w:val="none" w:sz="0" w:space="0" w:color="auto"/>
        <w:bottom w:val="none" w:sz="0" w:space="0" w:color="auto"/>
        <w:right w:val="none" w:sz="0" w:space="0" w:color="auto"/>
      </w:divBdr>
    </w:div>
    <w:div w:id="79134429">
      <w:bodyDiv w:val="1"/>
      <w:marLeft w:val="0"/>
      <w:marRight w:val="0"/>
      <w:marTop w:val="0"/>
      <w:marBottom w:val="0"/>
      <w:divBdr>
        <w:top w:val="none" w:sz="0" w:space="0" w:color="auto"/>
        <w:left w:val="none" w:sz="0" w:space="0" w:color="auto"/>
        <w:bottom w:val="none" w:sz="0" w:space="0" w:color="auto"/>
        <w:right w:val="none" w:sz="0" w:space="0" w:color="auto"/>
      </w:divBdr>
    </w:div>
    <w:div w:id="80489840">
      <w:bodyDiv w:val="1"/>
      <w:marLeft w:val="0"/>
      <w:marRight w:val="0"/>
      <w:marTop w:val="0"/>
      <w:marBottom w:val="0"/>
      <w:divBdr>
        <w:top w:val="none" w:sz="0" w:space="0" w:color="auto"/>
        <w:left w:val="none" w:sz="0" w:space="0" w:color="auto"/>
        <w:bottom w:val="none" w:sz="0" w:space="0" w:color="auto"/>
        <w:right w:val="none" w:sz="0" w:space="0" w:color="auto"/>
      </w:divBdr>
    </w:div>
    <w:div w:id="80491052">
      <w:bodyDiv w:val="1"/>
      <w:marLeft w:val="0"/>
      <w:marRight w:val="0"/>
      <w:marTop w:val="0"/>
      <w:marBottom w:val="0"/>
      <w:divBdr>
        <w:top w:val="none" w:sz="0" w:space="0" w:color="auto"/>
        <w:left w:val="none" w:sz="0" w:space="0" w:color="auto"/>
        <w:bottom w:val="none" w:sz="0" w:space="0" w:color="auto"/>
        <w:right w:val="none" w:sz="0" w:space="0" w:color="auto"/>
      </w:divBdr>
    </w:div>
    <w:div w:id="82192574">
      <w:bodyDiv w:val="1"/>
      <w:marLeft w:val="0"/>
      <w:marRight w:val="0"/>
      <w:marTop w:val="0"/>
      <w:marBottom w:val="0"/>
      <w:divBdr>
        <w:top w:val="none" w:sz="0" w:space="0" w:color="auto"/>
        <w:left w:val="none" w:sz="0" w:space="0" w:color="auto"/>
        <w:bottom w:val="none" w:sz="0" w:space="0" w:color="auto"/>
        <w:right w:val="none" w:sz="0" w:space="0" w:color="auto"/>
      </w:divBdr>
    </w:div>
    <w:div w:id="82576993">
      <w:bodyDiv w:val="1"/>
      <w:marLeft w:val="0"/>
      <w:marRight w:val="0"/>
      <w:marTop w:val="0"/>
      <w:marBottom w:val="0"/>
      <w:divBdr>
        <w:top w:val="none" w:sz="0" w:space="0" w:color="auto"/>
        <w:left w:val="none" w:sz="0" w:space="0" w:color="auto"/>
        <w:bottom w:val="none" w:sz="0" w:space="0" w:color="auto"/>
        <w:right w:val="none" w:sz="0" w:space="0" w:color="auto"/>
      </w:divBdr>
    </w:div>
    <w:div w:id="82996657">
      <w:bodyDiv w:val="1"/>
      <w:marLeft w:val="0"/>
      <w:marRight w:val="0"/>
      <w:marTop w:val="0"/>
      <w:marBottom w:val="0"/>
      <w:divBdr>
        <w:top w:val="none" w:sz="0" w:space="0" w:color="auto"/>
        <w:left w:val="none" w:sz="0" w:space="0" w:color="auto"/>
        <w:bottom w:val="none" w:sz="0" w:space="0" w:color="auto"/>
        <w:right w:val="none" w:sz="0" w:space="0" w:color="auto"/>
      </w:divBdr>
    </w:div>
    <w:div w:id="85002736">
      <w:bodyDiv w:val="1"/>
      <w:marLeft w:val="0"/>
      <w:marRight w:val="0"/>
      <w:marTop w:val="0"/>
      <w:marBottom w:val="0"/>
      <w:divBdr>
        <w:top w:val="none" w:sz="0" w:space="0" w:color="auto"/>
        <w:left w:val="none" w:sz="0" w:space="0" w:color="auto"/>
        <w:bottom w:val="none" w:sz="0" w:space="0" w:color="auto"/>
        <w:right w:val="none" w:sz="0" w:space="0" w:color="auto"/>
      </w:divBdr>
    </w:div>
    <w:div w:id="86077935">
      <w:bodyDiv w:val="1"/>
      <w:marLeft w:val="0"/>
      <w:marRight w:val="0"/>
      <w:marTop w:val="0"/>
      <w:marBottom w:val="0"/>
      <w:divBdr>
        <w:top w:val="none" w:sz="0" w:space="0" w:color="auto"/>
        <w:left w:val="none" w:sz="0" w:space="0" w:color="auto"/>
        <w:bottom w:val="none" w:sz="0" w:space="0" w:color="auto"/>
        <w:right w:val="none" w:sz="0" w:space="0" w:color="auto"/>
      </w:divBdr>
    </w:div>
    <w:div w:id="86394276">
      <w:bodyDiv w:val="1"/>
      <w:marLeft w:val="0"/>
      <w:marRight w:val="0"/>
      <w:marTop w:val="0"/>
      <w:marBottom w:val="0"/>
      <w:divBdr>
        <w:top w:val="none" w:sz="0" w:space="0" w:color="auto"/>
        <w:left w:val="none" w:sz="0" w:space="0" w:color="auto"/>
        <w:bottom w:val="none" w:sz="0" w:space="0" w:color="auto"/>
        <w:right w:val="none" w:sz="0" w:space="0" w:color="auto"/>
      </w:divBdr>
    </w:div>
    <w:div w:id="87505575">
      <w:bodyDiv w:val="1"/>
      <w:marLeft w:val="0"/>
      <w:marRight w:val="0"/>
      <w:marTop w:val="0"/>
      <w:marBottom w:val="0"/>
      <w:divBdr>
        <w:top w:val="none" w:sz="0" w:space="0" w:color="auto"/>
        <w:left w:val="none" w:sz="0" w:space="0" w:color="auto"/>
        <w:bottom w:val="none" w:sz="0" w:space="0" w:color="auto"/>
        <w:right w:val="none" w:sz="0" w:space="0" w:color="auto"/>
      </w:divBdr>
    </w:div>
    <w:div w:id="88551844">
      <w:bodyDiv w:val="1"/>
      <w:marLeft w:val="0"/>
      <w:marRight w:val="0"/>
      <w:marTop w:val="0"/>
      <w:marBottom w:val="0"/>
      <w:divBdr>
        <w:top w:val="none" w:sz="0" w:space="0" w:color="auto"/>
        <w:left w:val="none" w:sz="0" w:space="0" w:color="auto"/>
        <w:bottom w:val="none" w:sz="0" w:space="0" w:color="auto"/>
        <w:right w:val="none" w:sz="0" w:space="0" w:color="auto"/>
      </w:divBdr>
    </w:div>
    <w:div w:id="88819304">
      <w:bodyDiv w:val="1"/>
      <w:marLeft w:val="0"/>
      <w:marRight w:val="0"/>
      <w:marTop w:val="0"/>
      <w:marBottom w:val="0"/>
      <w:divBdr>
        <w:top w:val="none" w:sz="0" w:space="0" w:color="auto"/>
        <w:left w:val="none" w:sz="0" w:space="0" w:color="auto"/>
        <w:bottom w:val="none" w:sz="0" w:space="0" w:color="auto"/>
        <w:right w:val="none" w:sz="0" w:space="0" w:color="auto"/>
      </w:divBdr>
    </w:div>
    <w:div w:id="89930008">
      <w:bodyDiv w:val="1"/>
      <w:marLeft w:val="0"/>
      <w:marRight w:val="0"/>
      <w:marTop w:val="0"/>
      <w:marBottom w:val="0"/>
      <w:divBdr>
        <w:top w:val="none" w:sz="0" w:space="0" w:color="auto"/>
        <w:left w:val="none" w:sz="0" w:space="0" w:color="auto"/>
        <w:bottom w:val="none" w:sz="0" w:space="0" w:color="auto"/>
        <w:right w:val="none" w:sz="0" w:space="0" w:color="auto"/>
      </w:divBdr>
    </w:div>
    <w:div w:id="90589059">
      <w:bodyDiv w:val="1"/>
      <w:marLeft w:val="0"/>
      <w:marRight w:val="0"/>
      <w:marTop w:val="0"/>
      <w:marBottom w:val="0"/>
      <w:divBdr>
        <w:top w:val="none" w:sz="0" w:space="0" w:color="auto"/>
        <w:left w:val="none" w:sz="0" w:space="0" w:color="auto"/>
        <w:bottom w:val="none" w:sz="0" w:space="0" w:color="auto"/>
        <w:right w:val="none" w:sz="0" w:space="0" w:color="auto"/>
      </w:divBdr>
    </w:div>
    <w:div w:id="90783347">
      <w:bodyDiv w:val="1"/>
      <w:marLeft w:val="0"/>
      <w:marRight w:val="0"/>
      <w:marTop w:val="0"/>
      <w:marBottom w:val="0"/>
      <w:divBdr>
        <w:top w:val="none" w:sz="0" w:space="0" w:color="auto"/>
        <w:left w:val="none" w:sz="0" w:space="0" w:color="auto"/>
        <w:bottom w:val="none" w:sz="0" w:space="0" w:color="auto"/>
        <w:right w:val="none" w:sz="0" w:space="0" w:color="auto"/>
      </w:divBdr>
    </w:div>
    <w:div w:id="91166047">
      <w:bodyDiv w:val="1"/>
      <w:marLeft w:val="0"/>
      <w:marRight w:val="0"/>
      <w:marTop w:val="0"/>
      <w:marBottom w:val="0"/>
      <w:divBdr>
        <w:top w:val="none" w:sz="0" w:space="0" w:color="auto"/>
        <w:left w:val="none" w:sz="0" w:space="0" w:color="auto"/>
        <w:bottom w:val="none" w:sz="0" w:space="0" w:color="auto"/>
        <w:right w:val="none" w:sz="0" w:space="0" w:color="auto"/>
      </w:divBdr>
    </w:div>
    <w:div w:id="91753465">
      <w:bodyDiv w:val="1"/>
      <w:marLeft w:val="0"/>
      <w:marRight w:val="0"/>
      <w:marTop w:val="0"/>
      <w:marBottom w:val="0"/>
      <w:divBdr>
        <w:top w:val="none" w:sz="0" w:space="0" w:color="auto"/>
        <w:left w:val="none" w:sz="0" w:space="0" w:color="auto"/>
        <w:bottom w:val="none" w:sz="0" w:space="0" w:color="auto"/>
        <w:right w:val="none" w:sz="0" w:space="0" w:color="auto"/>
      </w:divBdr>
      <w:divsChild>
        <w:div w:id="875196194">
          <w:marLeft w:val="0"/>
          <w:marRight w:val="0"/>
          <w:marTop w:val="0"/>
          <w:marBottom w:val="0"/>
          <w:divBdr>
            <w:top w:val="none" w:sz="0" w:space="0" w:color="auto"/>
            <w:left w:val="none" w:sz="0" w:space="0" w:color="auto"/>
            <w:bottom w:val="none" w:sz="0" w:space="0" w:color="auto"/>
            <w:right w:val="none" w:sz="0" w:space="0" w:color="auto"/>
          </w:divBdr>
        </w:div>
      </w:divsChild>
    </w:div>
    <w:div w:id="92433470">
      <w:bodyDiv w:val="1"/>
      <w:marLeft w:val="0"/>
      <w:marRight w:val="0"/>
      <w:marTop w:val="0"/>
      <w:marBottom w:val="0"/>
      <w:divBdr>
        <w:top w:val="none" w:sz="0" w:space="0" w:color="auto"/>
        <w:left w:val="none" w:sz="0" w:space="0" w:color="auto"/>
        <w:bottom w:val="none" w:sz="0" w:space="0" w:color="auto"/>
        <w:right w:val="none" w:sz="0" w:space="0" w:color="auto"/>
      </w:divBdr>
    </w:div>
    <w:div w:id="92633307">
      <w:bodyDiv w:val="1"/>
      <w:marLeft w:val="0"/>
      <w:marRight w:val="0"/>
      <w:marTop w:val="0"/>
      <w:marBottom w:val="0"/>
      <w:divBdr>
        <w:top w:val="none" w:sz="0" w:space="0" w:color="auto"/>
        <w:left w:val="none" w:sz="0" w:space="0" w:color="auto"/>
        <w:bottom w:val="none" w:sz="0" w:space="0" w:color="auto"/>
        <w:right w:val="none" w:sz="0" w:space="0" w:color="auto"/>
      </w:divBdr>
    </w:div>
    <w:div w:id="92865711">
      <w:bodyDiv w:val="1"/>
      <w:marLeft w:val="0"/>
      <w:marRight w:val="0"/>
      <w:marTop w:val="0"/>
      <w:marBottom w:val="0"/>
      <w:divBdr>
        <w:top w:val="none" w:sz="0" w:space="0" w:color="auto"/>
        <w:left w:val="none" w:sz="0" w:space="0" w:color="auto"/>
        <w:bottom w:val="none" w:sz="0" w:space="0" w:color="auto"/>
        <w:right w:val="none" w:sz="0" w:space="0" w:color="auto"/>
      </w:divBdr>
    </w:div>
    <w:div w:id="92895882">
      <w:bodyDiv w:val="1"/>
      <w:marLeft w:val="0"/>
      <w:marRight w:val="0"/>
      <w:marTop w:val="0"/>
      <w:marBottom w:val="0"/>
      <w:divBdr>
        <w:top w:val="none" w:sz="0" w:space="0" w:color="auto"/>
        <w:left w:val="none" w:sz="0" w:space="0" w:color="auto"/>
        <w:bottom w:val="none" w:sz="0" w:space="0" w:color="auto"/>
        <w:right w:val="none" w:sz="0" w:space="0" w:color="auto"/>
      </w:divBdr>
    </w:div>
    <w:div w:id="93325577">
      <w:bodyDiv w:val="1"/>
      <w:marLeft w:val="0"/>
      <w:marRight w:val="0"/>
      <w:marTop w:val="0"/>
      <w:marBottom w:val="0"/>
      <w:divBdr>
        <w:top w:val="none" w:sz="0" w:space="0" w:color="auto"/>
        <w:left w:val="none" w:sz="0" w:space="0" w:color="auto"/>
        <w:bottom w:val="none" w:sz="0" w:space="0" w:color="auto"/>
        <w:right w:val="none" w:sz="0" w:space="0" w:color="auto"/>
      </w:divBdr>
    </w:div>
    <w:div w:id="93325855">
      <w:bodyDiv w:val="1"/>
      <w:marLeft w:val="0"/>
      <w:marRight w:val="0"/>
      <w:marTop w:val="0"/>
      <w:marBottom w:val="0"/>
      <w:divBdr>
        <w:top w:val="none" w:sz="0" w:space="0" w:color="auto"/>
        <w:left w:val="none" w:sz="0" w:space="0" w:color="auto"/>
        <w:bottom w:val="none" w:sz="0" w:space="0" w:color="auto"/>
        <w:right w:val="none" w:sz="0" w:space="0" w:color="auto"/>
      </w:divBdr>
    </w:div>
    <w:div w:id="94248839">
      <w:bodyDiv w:val="1"/>
      <w:marLeft w:val="0"/>
      <w:marRight w:val="0"/>
      <w:marTop w:val="0"/>
      <w:marBottom w:val="0"/>
      <w:divBdr>
        <w:top w:val="none" w:sz="0" w:space="0" w:color="auto"/>
        <w:left w:val="none" w:sz="0" w:space="0" w:color="auto"/>
        <w:bottom w:val="none" w:sz="0" w:space="0" w:color="auto"/>
        <w:right w:val="none" w:sz="0" w:space="0" w:color="auto"/>
      </w:divBdr>
    </w:div>
    <w:div w:id="95181282">
      <w:bodyDiv w:val="1"/>
      <w:marLeft w:val="0"/>
      <w:marRight w:val="0"/>
      <w:marTop w:val="0"/>
      <w:marBottom w:val="0"/>
      <w:divBdr>
        <w:top w:val="none" w:sz="0" w:space="0" w:color="auto"/>
        <w:left w:val="none" w:sz="0" w:space="0" w:color="auto"/>
        <w:bottom w:val="none" w:sz="0" w:space="0" w:color="auto"/>
        <w:right w:val="none" w:sz="0" w:space="0" w:color="auto"/>
      </w:divBdr>
    </w:div>
    <w:div w:id="95368380">
      <w:bodyDiv w:val="1"/>
      <w:marLeft w:val="0"/>
      <w:marRight w:val="0"/>
      <w:marTop w:val="0"/>
      <w:marBottom w:val="0"/>
      <w:divBdr>
        <w:top w:val="none" w:sz="0" w:space="0" w:color="auto"/>
        <w:left w:val="none" w:sz="0" w:space="0" w:color="auto"/>
        <w:bottom w:val="none" w:sz="0" w:space="0" w:color="auto"/>
        <w:right w:val="none" w:sz="0" w:space="0" w:color="auto"/>
      </w:divBdr>
    </w:div>
    <w:div w:id="96289049">
      <w:bodyDiv w:val="1"/>
      <w:marLeft w:val="0"/>
      <w:marRight w:val="0"/>
      <w:marTop w:val="0"/>
      <w:marBottom w:val="0"/>
      <w:divBdr>
        <w:top w:val="none" w:sz="0" w:space="0" w:color="auto"/>
        <w:left w:val="none" w:sz="0" w:space="0" w:color="auto"/>
        <w:bottom w:val="none" w:sz="0" w:space="0" w:color="auto"/>
        <w:right w:val="none" w:sz="0" w:space="0" w:color="auto"/>
      </w:divBdr>
    </w:div>
    <w:div w:id="96798768">
      <w:bodyDiv w:val="1"/>
      <w:marLeft w:val="0"/>
      <w:marRight w:val="0"/>
      <w:marTop w:val="0"/>
      <w:marBottom w:val="0"/>
      <w:divBdr>
        <w:top w:val="none" w:sz="0" w:space="0" w:color="auto"/>
        <w:left w:val="none" w:sz="0" w:space="0" w:color="auto"/>
        <w:bottom w:val="none" w:sz="0" w:space="0" w:color="auto"/>
        <w:right w:val="none" w:sz="0" w:space="0" w:color="auto"/>
      </w:divBdr>
    </w:div>
    <w:div w:id="96871040">
      <w:bodyDiv w:val="1"/>
      <w:marLeft w:val="0"/>
      <w:marRight w:val="0"/>
      <w:marTop w:val="0"/>
      <w:marBottom w:val="0"/>
      <w:divBdr>
        <w:top w:val="none" w:sz="0" w:space="0" w:color="auto"/>
        <w:left w:val="none" w:sz="0" w:space="0" w:color="auto"/>
        <w:bottom w:val="none" w:sz="0" w:space="0" w:color="auto"/>
        <w:right w:val="none" w:sz="0" w:space="0" w:color="auto"/>
      </w:divBdr>
    </w:div>
    <w:div w:id="97068372">
      <w:bodyDiv w:val="1"/>
      <w:marLeft w:val="0"/>
      <w:marRight w:val="0"/>
      <w:marTop w:val="0"/>
      <w:marBottom w:val="0"/>
      <w:divBdr>
        <w:top w:val="none" w:sz="0" w:space="0" w:color="auto"/>
        <w:left w:val="none" w:sz="0" w:space="0" w:color="auto"/>
        <w:bottom w:val="none" w:sz="0" w:space="0" w:color="auto"/>
        <w:right w:val="none" w:sz="0" w:space="0" w:color="auto"/>
      </w:divBdr>
    </w:div>
    <w:div w:id="97795217">
      <w:bodyDiv w:val="1"/>
      <w:marLeft w:val="0"/>
      <w:marRight w:val="0"/>
      <w:marTop w:val="0"/>
      <w:marBottom w:val="0"/>
      <w:divBdr>
        <w:top w:val="none" w:sz="0" w:space="0" w:color="auto"/>
        <w:left w:val="none" w:sz="0" w:space="0" w:color="auto"/>
        <w:bottom w:val="none" w:sz="0" w:space="0" w:color="auto"/>
        <w:right w:val="none" w:sz="0" w:space="0" w:color="auto"/>
      </w:divBdr>
    </w:div>
    <w:div w:id="98455539">
      <w:bodyDiv w:val="1"/>
      <w:marLeft w:val="0"/>
      <w:marRight w:val="0"/>
      <w:marTop w:val="0"/>
      <w:marBottom w:val="0"/>
      <w:divBdr>
        <w:top w:val="none" w:sz="0" w:space="0" w:color="auto"/>
        <w:left w:val="none" w:sz="0" w:space="0" w:color="auto"/>
        <w:bottom w:val="none" w:sz="0" w:space="0" w:color="auto"/>
        <w:right w:val="none" w:sz="0" w:space="0" w:color="auto"/>
      </w:divBdr>
    </w:div>
    <w:div w:id="98568494">
      <w:bodyDiv w:val="1"/>
      <w:marLeft w:val="0"/>
      <w:marRight w:val="0"/>
      <w:marTop w:val="0"/>
      <w:marBottom w:val="0"/>
      <w:divBdr>
        <w:top w:val="none" w:sz="0" w:space="0" w:color="auto"/>
        <w:left w:val="none" w:sz="0" w:space="0" w:color="auto"/>
        <w:bottom w:val="none" w:sz="0" w:space="0" w:color="auto"/>
        <w:right w:val="none" w:sz="0" w:space="0" w:color="auto"/>
      </w:divBdr>
    </w:div>
    <w:div w:id="99616641">
      <w:bodyDiv w:val="1"/>
      <w:marLeft w:val="0"/>
      <w:marRight w:val="0"/>
      <w:marTop w:val="0"/>
      <w:marBottom w:val="0"/>
      <w:divBdr>
        <w:top w:val="none" w:sz="0" w:space="0" w:color="auto"/>
        <w:left w:val="none" w:sz="0" w:space="0" w:color="auto"/>
        <w:bottom w:val="none" w:sz="0" w:space="0" w:color="auto"/>
        <w:right w:val="none" w:sz="0" w:space="0" w:color="auto"/>
      </w:divBdr>
    </w:div>
    <w:div w:id="99645028">
      <w:bodyDiv w:val="1"/>
      <w:marLeft w:val="0"/>
      <w:marRight w:val="0"/>
      <w:marTop w:val="0"/>
      <w:marBottom w:val="0"/>
      <w:divBdr>
        <w:top w:val="none" w:sz="0" w:space="0" w:color="auto"/>
        <w:left w:val="none" w:sz="0" w:space="0" w:color="auto"/>
        <w:bottom w:val="none" w:sz="0" w:space="0" w:color="auto"/>
        <w:right w:val="none" w:sz="0" w:space="0" w:color="auto"/>
      </w:divBdr>
    </w:div>
    <w:div w:id="100104618">
      <w:bodyDiv w:val="1"/>
      <w:marLeft w:val="0"/>
      <w:marRight w:val="0"/>
      <w:marTop w:val="0"/>
      <w:marBottom w:val="0"/>
      <w:divBdr>
        <w:top w:val="none" w:sz="0" w:space="0" w:color="auto"/>
        <w:left w:val="none" w:sz="0" w:space="0" w:color="auto"/>
        <w:bottom w:val="none" w:sz="0" w:space="0" w:color="auto"/>
        <w:right w:val="none" w:sz="0" w:space="0" w:color="auto"/>
      </w:divBdr>
    </w:div>
    <w:div w:id="101148094">
      <w:bodyDiv w:val="1"/>
      <w:marLeft w:val="0"/>
      <w:marRight w:val="0"/>
      <w:marTop w:val="0"/>
      <w:marBottom w:val="0"/>
      <w:divBdr>
        <w:top w:val="none" w:sz="0" w:space="0" w:color="auto"/>
        <w:left w:val="none" w:sz="0" w:space="0" w:color="auto"/>
        <w:bottom w:val="none" w:sz="0" w:space="0" w:color="auto"/>
        <w:right w:val="none" w:sz="0" w:space="0" w:color="auto"/>
      </w:divBdr>
    </w:div>
    <w:div w:id="101196681">
      <w:bodyDiv w:val="1"/>
      <w:marLeft w:val="0"/>
      <w:marRight w:val="0"/>
      <w:marTop w:val="0"/>
      <w:marBottom w:val="0"/>
      <w:divBdr>
        <w:top w:val="none" w:sz="0" w:space="0" w:color="auto"/>
        <w:left w:val="none" w:sz="0" w:space="0" w:color="auto"/>
        <w:bottom w:val="none" w:sz="0" w:space="0" w:color="auto"/>
        <w:right w:val="none" w:sz="0" w:space="0" w:color="auto"/>
      </w:divBdr>
    </w:div>
    <w:div w:id="101924380">
      <w:bodyDiv w:val="1"/>
      <w:marLeft w:val="0"/>
      <w:marRight w:val="0"/>
      <w:marTop w:val="0"/>
      <w:marBottom w:val="0"/>
      <w:divBdr>
        <w:top w:val="none" w:sz="0" w:space="0" w:color="auto"/>
        <w:left w:val="none" w:sz="0" w:space="0" w:color="auto"/>
        <w:bottom w:val="none" w:sz="0" w:space="0" w:color="auto"/>
        <w:right w:val="none" w:sz="0" w:space="0" w:color="auto"/>
      </w:divBdr>
    </w:div>
    <w:div w:id="102503838">
      <w:bodyDiv w:val="1"/>
      <w:marLeft w:val="0"/>
      <w:marRight w:val="0"/>
      <w:marTop w:val="0"/>
      <w:marBottom w:val="0"/>
      <w:divBdr>
        <w:top w:val="none" w:sz="0" w:space="0" w:color="auto"/>
        <w:left w:val="none" w:sz="0" w:space="0" w:color="auto"/>
        <w:bottom w:val="none" w:sz="0" w:space="0" w:color="auto"/>
        <w:right w:val="none" w:sz="0" w:space="0" w:color="auto"/>
      </w:divBdr>
    </w:div>
    <w:div w:id="102891704">
      <w:bodyDiv w:val="1"/>
      <w:marLeft w:val="0"/>
      <w:marRight w:val="0"/>
      <w:marTop w:val="0"/>
      <w:marBottom w:val="0"/>
      <w:divBdr>
        <w:top w:val="none" w:sz="0" w:space="0" w:color="auto"/>
        <w:left w:val="none" w:sz="0" w:space="0" w:color="auto"/>
        <w:bottom w:val="none" w:sz="0" w:space="0" w:color="auto"/>
        <w:right w:val="none" w:sz="0" w:space="0" w:color="auto"/>
      </w:divBdr>
    </w:div>
    <w:div w:id="103774522">
      <w:bodyDiv w:val="1"/>
      <w:marLeft w:val="0"/>
      <w:marRight w:val="0"/>
      <w:marTop w:val="0"/>
      <w:marBottom w:val="0"/>
      <w:divBdr>
        <w:top w:val="none" w:sz="0" w:space="0" w:color="auto"/>
        <w:left w:val="none" w:sz="0" w:space="0" w:color="auto"/>
        <w:bottom w:val="none" w:sz="0" w:space="0" w:color="auto"/>
        <w:right w:val="none" w:sz="0" w:space="0" w:color="auto"/>
      </w:divBdr>
    </w:div>
    <w:div w:id="104085425">
      <w:bodyDiv w:val="1"/>
      <w:marLeft w:val="0"/>
      <w:marRight w:val="0"/>
      <w:marTop w:val="0"/>
      <w:marBottom w:val="0"/>
      <w:divBdr>
        <w:top w:val="none" w:sz="0" w:space="0" w:color="auto"/>
        <w:left w:val="none" w:sz="0" w:space="0" w:color="auto"/>
        <w:bottom w:val="none" w:sz="0" w:space="0" w:color="auto"/>
        <w:right w:val="none" w:sz="0" w:space="0" w:color="auto"/>
      </w:divBdr>
    </w:div>
    <w:div w:id="104857871">
      <w:bodyDiv w:val="1"/>
      <w:marLeft w:val="0"/>
      <w:marRight w:val="0"/>
      <w:marTop w:val="0"/>
      <w:marBottom w:val="0"/>
      <w:divBdr>
        <w:top w:val="none" w:sz="0" w:space="0" w:color="auto"/>
        <w:left w:val="none" w:sz="0" w:space="0" w:color="auto"/>
        <w:bottom w:val="none" w:sz="0" w:space="0" w:color="auto"/>
        <w:right w:val="none" w:sz="0" w:space="0" w:color="auto"/>
      </w:divBdr>
    </w:div>
    <w:div w:id="105657430">
      <w:bodyDiv w:val="1"/>
      <w:marLeft w:val="0"/>
      <w:marRight w:val="0"/>
      <w:marTop w:val="0"/>
      <w:marBottom w:val="0"/>
      <w:divBdr>
        <w:top w:val="none" w:sz="0" w:space="0" w:color="auto"/>
        <w:left w:val="none" w:sz="0" w:space="0" w:color="auto"/>
        <w:bottom w:val="none" w:sz="0" w:space="0" w:color="auto"/>
        <w:right w:val="none" w:sz="0" w:space="0" w:color="auto"/>
      </w:divBdr>
      <w:divsChild>
        <w:div w:id="1192917918">
          <w:marLeft w:val="0"/>
          <w:marRight w:val="0"/>
          <w:marTop w:val="0"/>
          <w:marBottom w:val="0"/>
          <w:divBdr>
            <w:top w:val="none" w:sz="0" w:space="0" w:color="auto"/>
            <w:left w:val="none" w:sz="0" w:space="0" w:color="auto"/>
            <w:bottom w:val="none" w:sz="0" w:space="0" w:color="auto"/>
            <w:right w:val="none" w:sz="0" w:space="0" w:color="auto"/>
          </w:divBdr>
        </w:div>
      </w:divsChild>
    </w:div>
    <w:div w:id="107360999">
      <w:bodyDiv w:val="1"/>
      <w:marLeft w:val="0"/>
      <w:marRight w:val="0"/>
      <w:marTop w:val="0"/>
      <w:marBottom w:val="0"/>
      <w:divBdr>
        <w:top w:val="none" w:sz="0" w:space="0" w:color="auto"/>
        <w:left w:val="none" w:sz="0" w:space="0" w:color="auto"/>
        <w:bottom w:val="none" w:sz="0" w:space="0" w:color="auto"/>
        <w:right w:val="none" w:sz="0" w:space="0" w:color="auto"/>
      </w:divBdr>
    </w:div>
    <w:div w:id="108355872">
      <w:bodyDiv w:val="1"/>
      <w:marLeft w:val="0"/>
      <w:marRight w:val="0"/>
      <w:marTop w:val="0"/>
      <w:marBottom w:val="0"/>
      <w:divBdr>
        <w:top w:val="none" w:sz="0" w:space="0" w:color="auto"/>
        <w:left w:val="none" w:sz="0" w:space="0" w:color="auto"/>
        <w:bottom w:val="none" w:sz="0" w:space="0" w:color="auto"/>
        <w:right w:val="none" w:sz="0" w:space="0" w:color="auto"/>
      </w:divBdr>
    </w:div>
    <w:div w:id="108547825">
      <w:bodyDiv w:val="1"/>
      <w:marLeft w:val="0"/>
      <w:marRight w:val="0"/>
      <w:marTop w:val="0"/>
      <w:marBottom w:val="0"/>
      <w:divBdr>
        <w:top w:val="none" w:sz="0" w:space="0" w:color="auto"/>
        <w:left w:val="none" w:sz="0" w:space="0" w:color="auto"/>
        <w:bottom w:val="none" w:sz="0" w:space="0" w:color="auto"/>
        <w:right w:val="none" w:sz="0" w:space="0" w:color="auto"/>
      </w:divBdr>
    </w:div>
    <w:div w:id="109322649">
      <w:bodyDiv w:val="1"/>
      <w:marLeft w:val="0"/>
      <w:marRight w:val="0"/>
      <w:marTop w:val="0"/>
      <w:marBottom w:val="0"/>
      <w:divBdr>
        <w:top w:val="none" w:sz="0" w:space="0" w:color="auto"/>
        <w:left w:val="none" w:sz="0" w:space="0" w:color="auto"/>
        <w:bottom w:val="none" w:sz="0" w:space="0" w:color="auto"/>
        <w:right w:val="none" w:sz="0" w:space="0" w:color="auto"/>
      </w:divBdr>
    </w:div>
    <w:div w:id="109514407">
      <w:bodyDiv w:val="1"/>
      <w:marLeft w:val="0"/>
      <w:marRight w:val="0"/>
      <w:marTop w:val="0"/>
      <w:marBottom w:val="0"/>
      <w:divBdr>
        <w:top w:val="none" w:sz="0" w:space="0" w:color="auto"/>
        <w:left w:val="none" w:sz="0" w:space="0" w:color="auto"/>
        <w:bottom w:val="none" w:sz="0" w:space="0" w:color="auto"/>
        <w:right w:val="none" w:sz="0" w:space="0" w:color="auto"/>
      </w:divBdr>
    </w:div>
    <w:div w:id="109861339">
      <w:bodyDiv w:val="1"/>
      <w:marLeft w:val="0"/>
      <w:marRight w:val="0"/>
      <w:marTop w:val="0"/>
      <w:marBottom w:val="0"/>
      <w:divBdr>
        <w:top w:val="none" w:sz="0" w:space="0" w:color="auto"/>
        <w:left w:val="none" w:sz="0" w:space="0" w:color="auto"/>
        <w:bottom w:val="none" w:sz="0" w:space="0" w:color="auto"/>
        <w:right w:val="none" w:sz="0" w:space="0" w:color="auto"/>
      </w:divBdr>
    </w:div>
    <w:div w:id="110364224">
      <w:bodyDiv w:val="1"/>
      <w:marLeft w:val="0"/>
      <w:marRight w:val="0"/>
      <w:marTop w:val="0"/>
      <w:marBottom w:val="0"/>
      <w:divBdr>
        <w:top w:val="none" w:sz="0" w:space="0" w:color="auto"/>
        <w:left w:val="none" w:sz="0" w:space="0" w:color="auto"/>
        <w:bottom w:val="none" w:sz="0" w:space="0" w:color="auto"/>
        <w:right w:val="none" w:sz="0" w:space="0" w:color="auto"/>
      </w:divBdr>
    </w:div>
    <w:div w:id="110711637">
      <w:bodyDiv w:val="1"/>
      <w:marLeft w:val="0"/>
      <w:marRight w:val="0"/>
      <w:marTop w:val="0"/>
      <w:marBottom w:val="0"/>
      <w:divBdr>
        <w:top w:val="none" w:sz="0" w:space="0" w:color="auto"/>
        <w:left w:val="none" w:sz="0" w:space="0" w:color="auto"/>
        <w:bottom w:val="none" w:sz="0" w:space="0" w:color="auto"/>
        <w:right w:val="none" w:sz="0" w:space="0" w:color="auto"/>
      </w:divBdr>
      <w:divsChild>
        <w:div w:id="659313105">
          <w:marLeft w:val="0"/>
          <w:marRight w:val="0"/>
          <w:marTop w:val="0"/>
          <w:marBottom w:val="0"/>
          <w:divBdr>
            <w:top w:val="none" w:sz="0" w:space="0" w:color="auto"/>
            <w:left w:val="none" w:sz="0" w:space="0" w:color="auto"/>
            <w:bottom w:val="none" w:sz="0" w:space="0" w:color="auto"/>
            <w:right w:val="none" w:sz="0" w:space="0" w:color="auto"/>
          </w:divBdr>
          <w:divsChild>
            <w:div w:id="226847458">
              <w:marLeft w:val="0"/>
              <w:marRight w:val="0"/>
              <w:marTop w:val="0"/>
              <w:marBottom w:val="0"/>
              <w:divBdr>
                <w:top w:val="none" w:sz="0" w:space="0" w:color="auto"/>
                <w:left w:val="none" w:sz="0" w:space="0" w:color="auto"/>
                <w:bottom w:val="none" w:sz="0" w:space="0" w:color="auto"/>
                <w:right w:val="none" w:sz="0" w:space="0" w:color="auto"/>
              </w:divBdr>
            </w:div>
            <w:div w:id="827791856">
              <w:marLeft w:val="0"/>
              <w:marRight w:val="0"/>
              <w:marTop w:val="0"/>
              <w:marBottom w:val="0"/>
              <w:divBdr>
                <w:top w:val="none" w:sz="0" w:space="0" w:color="auto"/>
                <w:left w:val="none" w:sz="0" w:space="0" w:color="auto"/>
                <w:bottom w:val="none" w:sz="0" w:space="0" w:color="auto"/>
                <w:right w:val="none" w:sz="0" w:space="0" w:color="auto"/>
              </w:divBdr>
            </w:div>
            <w:div w:id="843206667">
              <w:marLeft w:val="0"/>
              <w:marRight w:val="0"/>
              <w:marTop w:val="0"/>
              <w:marBottom w:val="0"/>
              <w:divBdr>
                <w:top w:val="none" w:sz="0" w:space="0" w:color="auto"/>
                <w:left w:val="none" w:sz="0" w:space="0" w:color="auto"/>
                <w:bottom w:val="none" w:sz="0" w:space="0" w:color="auto"/>
                <w:right w:val="none" w:sz="0" w:space="0" w:color="auto"/>
              </w:divBdr>
            </w:div>
            <w:div w:id="1436823022">
              <w:marLeft w:val="0"/>
              <w:marRight w:val="0"/>
              <w:marTop w:val="0"/>
              <w:marBottom w:val="0"/>
              <w:divBdr>
                <w:top w:val="none" w:sz="0" w:space="0" w:color="auto"/>
                <w:left w:val="none" w:sz="0" w:space="0" w:color="auto"/>
                <w:bottom w:val="none" w:sz="0" w:space="0" w:color="auto"/>
                <w:right w:val="none" w:sz="0" w:space="0" w:color="auto"/>
              </w:divBdr>
            </w:div>
          </w:divsChild>
        </w:div>
        <w:div w:id="2014067536">
          <w:marLeft w:val="0"/>
          <w:marRight w:val="0"/>
          <w:marTop w:val="0"/>
          <w:marBottom w:val="0"/>
          <w:divBdr>
            <w:top w:val="none" w:sz="0" w:space="0" w:color="auto"/>
            <w:left w:val="none" w:sz="0" w:space="0" w:color="auto"/>
            <w:bottom w:val="none" w:sz="0" w:space="0" w:color="auto"/>
            <w:right w:val="none" w:sz="0" w:space="0" w:color="auto"/>
          </w:divBdr>
          <w:divsChild>
            <w:div w:id="62221871">
              <w:marLeft w:val="0"/>
              <w:marRight w:val="0"/>
              <w:marTop w:val="0"/>
              <w:marBottom w:val="0"/>
              <w:divBdr>
                <w:top w:val="none" w:sz="0" w:space="0" w:color="auto"/>
                <w:left w:val="none" w:sz="0" w:space="0" w:color="auto"/>
                <w:bottom w:val="none" w:sz="0" w:space="0" w:color="auto"/>
                <w:right w:val="none" w:sz="0" w:space="0" w:color="auto"/>
              </w:divBdr>
            </w:div>
            <w:div w:id="343479784">
              <w:marLeft w:val="0"/>
              <w:marRight w:val="0"/>
              <w:marTop w:val="0"/>
              <w:marBottom w:val="0"/>
              <w:divBdr>
                <w:top w:val="none" w:sz="0" w:space="0" w:color="auto"/>
                <w:left w:val="none" w:sz="0" w:space="0" w:color="auto"/>
                <w:bottom w:val="none" w:sz="0" w:space="0" w:color="auto"/>
                <w:right w:val="none" w:sz="0" w:space="0" w:color="auto"/>
              </w:divBdr>
            </w:div>
            <w:div w:id="806749791">
              <w:marLeft w:val="0"/>
              <w:marRight w:val="0"/>
              <w:marTop w:val="0"/>
              <w:marBottom w:val="0"/>
              <w:divBdr>
                <w:top w:val="none" w:sz="0" w:space="0" w:color="auto"/>
                <w:left w:val="none" w:sz="0" w:space="0" w:color="auto"/>
                <w:bottom w:val="none" w:sz="0" w:space="0" w:color="auto"/>
                <w:right w:val="none" w:sz="0" w:space="0" w:color="auto"/>
              </w:divBdr>
            </w:div>
            <w:div w:id="205726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86876">
      <w:bodyDiv w:val="1"/>
      <w:marLeft w:val="0"/>
      <w:marRight w:val="0"/>
      <w:marTop w:val="0"/>
      <w:marBottom w:val="0"/>
      <w:divBdr>
        <w:top w:val="none" w:sz="0" w:space="0" w:color="auto"/>
        <w:left w:val="none" w:sz="0" w:space="0" w:color="auto"/>
        <w:bottom w:val="none" w:sz="0" w:space="0" w:color="auto"/>
        <w:right w:val="none" w:sz="0" w:space="0" w:color="auto"/>
      </w:divBdr>
    </w:div>
    <w:div w:id="111440656">
      <w:bodyDiv w:val="1"/>
      <w:marLeft w:val="0"/>
      <w:marRight w:val="0"/>
      <w:marTop w:val="0"/>
      <w:marBottom w:val="0"/>
      <w:divBdr>
        <w:top w:val="none" w:sz="0" w:space="0" w:color="auto"/>
        <w:left w:val="none" w:sz="0" w:space="0" w:color="auto"/>
        <w:bottom w:val="none" w:sz="0" w:space="0" w:color="auto"/>
        <w:right w:val="none" w:sz="0" w:space="0" w:color="auto"/>
      </w:divBdr>
    </w:div>
    <w:div w:id="111825399">
      <w:bodyDiv w:val="1"/>
      <w:marLeft w:val="0"/>
      <w:marRight w:val="0"/>
      <w:marTop w:val="0"/>
      <w:marBottom w:val="0"/>
      <w:divBdr>
        <w:top w:val="none" w:sz="0" w:space="0" w:color="auto"/>
        <w:left w:val="none" w:sz="0" w:space="0" w:color="auto"/>
        <w:bottom w:val="none" w:sz="0" w:space="0" w:color="auto"/>
        <w:right w:val="none" w:sz="0" w:space="0" w:color="auto"/>
      </w:divBdr>
    </w:div>
    <w:div w:id="112067484">
      <w:bodyDiv w:val="1"/>
      <w:marLeft w:val="0"/>
      <w:marRight w:val="0"/>
      <w:marTop w:val="0"/>
      <w:marBottom w:val="0"/>
      <w:divBdr>
        <w:top w:val="none" w:sz="0" w:space="0" w:color="auto"/>
        <w:left w:val="none" w:sz="0" w:space="0" w:color="auto"/>
        <w:bottom w:val="none" w:sz="0" w:space="0" w:color="auto"/>
        <w:right w:val="none" w:sz="0" w:space="0" w:color="auto"/>
      </w:divBdr>
    </w:div>
    <w:div w:id="112797340">
      <w:bodyDiv w:val="1"/>
      <w:marLeft w:val="0"/>
      <w:marRight w:val="0"/>
      <w:marTop w:val="0"/>
      <w:marBottom w:val="0"/>
      <w:divBdr>
        <w:top w:val="none" w:sz="0" w:space="0" w:color="auto"/>
        <w:left w:val="none" w:sz="0" w:space="0" w:color="auto"/>
        <w:bottom w:val="none" w:sz="0" w:space="0" w:color="auto"/>
        <w:right w:val="none" w:sz="0" w:space="0" w:color="auto"/>
      </w:divBdr>
    </w:div>
    <w:div w:id="113720546">
      <w:bodyDiv w:val="1"/>
      <w:marLeft w:val="0"/>
      <w:marRight w:val="0"/>
      <w:marTop w:val="0"/>
      <w:marBottom w:val="0"/>
      <w:divBdr>
        <w:top w:val="none" w:sz="0" w:space="0" w:color="auto"/>
        <w:left w:val="none" w:sz="0" w:space="0" w:color="auto"/>
        <w:bottom w:val="none" w:sz="0" w:space="0" w:color="auto"/>
        <w:right w:val="none" w:sz="0" w:space="0" w:color="auto"/>
      </w:divBdr>
    </w:div>
    <w:div w:id="113912631">
      <w:bodyDiv w:val="1"/>
      <w:marLeft w:val="0"/>
      <w:marRight w:val="0"/>
      <w:marTop w:val="0"/>
      <w:marBottom w:val="0"/>
      <w:divBdr>
        <w:top w:val="none" w:sz="0" w:space="0" w:color="auto"/>
        <w:left w:val="none" w:sz="0" w:space="0" w:color="auto"/>
        <w:bottom w:val="none" w:sz="0" w:space="0" w:color="auto"/>
        <w:right w:val="none" w:sz="0" w:space="0" w:color="auto"/>
      </w:divBdr>
    </w:div>
    <w:div w:id="114299079">
      <w:bodyDiv w:val="1"/>
      <w:marLeft w:val="0"/>
      <w:marRight w:val="0"/>
      <w:marTop w:val="0"/>
      <w:marBottom w:val="0"/>
      <w:divBdr>
        <w:top w:val="none" w:sz="0" w:space="0" w:color="auto"/>
        <w:left w:val="none" w:sz="0" w:space="0" w:color="auto"/>
        <w:bottom w:val="none" w:sz="0" w:space="0" w:color="auto"/>
        <w:right w:val="none" w:sz="0" w:space="0" w:color="auto"/>
      </w:divBdr>
    </w:div>
    <w:div w:id="114832570">
      <w:bodyDiv w:val="1"/>
      <w:marLeft w:val="0"/>
      <w:marRight w:val="0"/>
      <w:marTop w:val="0"/>
      <w:marBottom w:val="0"/>
      <w:divBdr>
        <w:top w:val="none" w:sz="0" w:space="0" w:color="auto"/>
        <w:left w:val="none" w:sz="0" w:space="0" w:color="auto"/>
        <w:bottom w:val="none" w:sz="0" w:space="0" w:color="auto"/>
        <w:right w:val="none" w:sz="0" w:space="0" w:color="auto"/>
      </w:divBdr>
    </w:div>
    <w:div w:id="114836060">
      <w:bodyDiv w:val="1"/>
      <w:marLeft w:val="0"/>
      <w:marRight w:val="0"/>
      <w:marTop w:val="0"/>
      <w:marBottom w:val="0"/>
      <w:divBdr>
        <w:top w:val="none" w:sz="0" w:space="0" w:color="auto"/>
        <w:left w:val="none" w:sz="0" w:space="0" w:color="auto"/>
        <w:bottom w:val="none" w:sz="0" w:space="0" w:color="auto"/>
        <w:right w:val="none" w:sz="0" w:space="0" w:color="auto"/>
      </w:divBdr>
    </w:div>
    <w:div w:id="114912641">
      <w:bodyDiv w:val="1"/>
      <w:marLeft w:val="0"/>
      <w:marRight w:val="0"/>
      <w:marTop w:val="0"/>
      <w:marBottom w:val="0"/>
      <w:divBdr>
        <w:top w:val="none" w:sz="0" w:space="0" w:color="auto"/>
        <w:left w:val="none" w:sz="0" w:space="0" w:color="auto"/>
        <w:bottom w:val="none" w:sz="0" w:space="0" w:color="auto"/>
        <w:right w:val="none" w:sz="0" w:space="0" w:color="auto"/>
      </w:divBdr>
    </w:div>
    <w:div w:id="115025188">
      <w:bodyDiv w:val="1"/>
      <w:marLeft w:val="0"/>
      <w:marRight w:val="0"/>
      <w:marTop w:val="0"/>
      <w:marBottom w:val="0"/>
      <w:divBdr>
        <w:top w:val="none" w:sz="0" w:space="0" w:color="auto"/>
        <w:left w:val="none" w:sz="0" w:space="0" w:color="auto"/>
        <w:bottom w:val="none" w:sz="0" w:space="0" w:color="auto"/>
        <w:right w:val="none" w:sz="0" w:space="0" w:color="auto"/>
      </w:divBdr>
    </w:div>
    <w:div w:id="115147871">
      <w:bodyDiv w:val="1"/>
      <w:marLeft w:val="0"/>
      <w:marRight w:val="0"/>
      <w:marTop w:val="0"/>
      <w:marBottom w:val="0"/>
      <w:divBdr>
        <w:top w:val="none" w:sz="0" w:space="0" w:color="auto"/>
        <w:left w:val="none" w:sz="0" w:space="0" w:color="auto"/>
        <w:bottom w:val="none" w:sz="0" w:space="0" w:color="auto"/>
        <w:right w:val="none" w:sz="0" w:space="0" w:color="auto"/>
      </w:divBdr>
      <w:divsChild>
        <w:div w:id="1625773132">
          <w:marLeft w:val="0"/>
          <w:marRight w:val="0"/>
          <w:marTop w:val="0"/>
          <w:marBottom w:val="0"/>
          <w:divBdr>
            <w:top w:val="none" w:sz="0" w:space="0" w:color="auto"/>
            <w:left w:val="none" w:sz="0" w:space="0" w:color="auto"/>
            <w:bottom w:val="none" w:sz="0" w:space="0" w:color="auto"/>
            <w:right w:val="none" w:sz="0" w:space="0" w:color="auto"/>
          </w:divBdr>
        </w:div>
      </w:divsChild>
    </w:div>
    <w:div w:id="115298978">
      <w:bodyDiv w:val="1"/>
      <w:marLeft w:val="0"/>
      <w:marRight w:val="0"/>
      <w:marTop w:val="0"/>
      <w:marBottom w:val="0"/>
      <w:divBdr>
        <w:top w:val="none" w:sz="0" w:space="0" w:color="auto"/>
        <w:left w:val="none" w:sz="0" w:space="0" w:color="auto"/>
        <w:bottom w:val="none" w:sz="0" w:space="0" w:color="auto"/>
        <w:right w:val="none" w:sz="0" w:space="0" w:color="auto"/>
      </w:divBdr>
    </w:div>
    <w:div w:id="115636922">
      <w:bodyDiv w:val="1"/>
      <w:marLeft w:val="0"/>
      <w:marRight w:val="0"/>
      <w:marTop w:val="0"/>
      <w:marBottom w:val="0"/>
      <w:divBdr>
        <w:top w:val="none" w:sz="0" w:space="0" w:color="auto"/>
        <w:left w:val="none" w:sz="0" w:space="0" w:color="auto"/>
        <w:bottom w:val="none" w:sz="0" w:space="0" w:color="auto"/>
        <w:right w:val="none" w:sz="0" w:space="0" w:color="auto"/>
      </w:divBdr>
    </w:div>
    <w:div w:id="115687422">
      <w:bodyDiv w:val="1"/>
      <w:marLeft w:val="0"/>
      <w:marRight w:val="0"/>
      <w:marTop w:val="0"/>
      <w:marBottom w:val="0"/>
      <w:divBdr>
        <w:top w:val="none" w:sz="0" w:space="0" w:color="auto"/>
        <w:left w:val="none" w:sz="0" w:space="0" w:color="auto"/>
        <w:bottom w:val="none" w:sz="0" w:space="0" w:color="auto"/>
        <w:right w:val="none" w:sz="0" w:space="0" w:color="auto"/>
      </w:divBdr>
    </w:div>
    <w:div w:id="115755212">
      <w:bodyDiv w:val="1"/>
      <w:marLeft w:val="0"/>
      <w:marRight w:val="0"/>
      <w:marTop w:val="0"/>
      <w:marBottom w:val="0"/>
      <w:divBdr>
        <w:top w:val="none" w:sz="0" w:space="0" w:color="auto"/>
        <w:left w:val="none" w:sz="0" w:space="0" w:color="auto"/>
        <w:bottom w:val="none" w:sz="0" w:space="0" w:color="auto"/>
        <w:right w:val="none" w:sz="0" w:space="0" w:color="auto"/>
      </w:divBdr>
    </w:div>
    <w:div w:id="116141020">
      <w:bodyDiv w:val="1"/>
      <w:marLeft w:val="0"/>
      <w:marRight w:val="0"/>
      <w:marTop w:val="0"/>
      <w:marBottom w:val="0"/>
      <w:divBdr>
        <w:top w:val="none" w:sz="0" w:space="0" w:color="auto"/>
        <w:left w:val="none" w:sz="0" w:space="0" w:color="auto"/>
        <w:bottom w:val="none" w:sz="0" w:space="0" w:color="auto"/>
        <w:right w:val="none" w:sz="0" w:space="0" w:color="auto"/>
      </w:divBdr>
    </w:div>
    <w:div w:id="116533931">
      <w:bodyDiv w:val="1"/>
      <w:marLeft w:val="0"/>
      <w:marRight w:val="0"/>
      <w:marTop w:val="0"/>
      <w:marBottom w:val="0"/>
      <w:divBdr>
        <w:top w:val="none" w:sz="0" w:space="0" w:color="auto"/>
        <w:left w:val="none" w:sz="0" w:space="0" w:color="auto"/>
        <w:bottom w:val="none" w:sz="0" w:space="0" w:color="auto"/>
        <w:right w:val="none" w:sz="0" w:space="0" w:color="auto"/>
      </w:divBdr>
    </w:div>
    <w:div w:id="117458143">
      <w:bodyDiv w:val="1"/>
      <w:marLeft w:val="0"/>
      <w:marRight w:val="0"/>
      <w:marTop w:val="0"/>
      <w:marBottom w:val="0"/>
      <w:divBdr>
        <w:top w:val="none" w:sz="0" w:space="0" w:color="auto"/>
        <w:left w:val="none" w:sz="0" w:space="0" w:color="auto"/>
        <w:bottom w:val="none" w:sz="0" w:space="0" w:color="auto"/>
        <w:right w:val="none" w:sz="0" w:space="0" w:color="auto"/>
      </w:divBdr>
    </w:div>
    <w:div w:id="118843154">
      <w:bodyDiv w:val="1"/>
      <w:marLeft w:val="0"/>
      <w:marRight w:val="0"/>
      <w:marTop w:val="0"/>
      <w:marBottom w:val="0"/>
      <w:divBdr>
        <w:top w:val="none" w:sz="0" w:space="0" w:color="auto"/>
        <w:left w:val="none" w:sz="0" w:space="0" w:color="auto"/>
        <w:bottom w:val="none" w:sz="0" w:space="0" w:color="auto"/>
        <w:right w:val="none" w:sz="0" w:space="0" w:color="auto"/>
      </w:divBdr>
    </w:div>
    <w:div w:id="118888917">
      <w:bodyDiv w:val="1"/>
      <w:marLeft w:val="0"/>
      <w:marRight w:val="0"/>
      <w:marTop w:val="0"/>
      <w:marBottom w:val="0"/>
      <w:divBdr>
        <w:top w:val="none" w:sz="0" w:space="0" w:color="auto"/>
        <w:left w:val="none" w:sz="0" w:space="0" w:color="auto"/>
        <w:bottom w:val="none" w:sz="0" w:space="0" w:color="auto"/>
        <w:right w:val="none" w:sz="0" w:space="0" w:color="auto"/>
      </w:divBdr>
    </w:div>
    <w:div w:id="118963897">
      <w:bodyDiv w:val="1"/>
      <w:marLeft w:val="0"/>
      <w:marRight w:val="0"/>
      <w:marTop w:val="0"/>
      <w:marBottom w:val="0"/>
      <w:divBdr>
        <w:top w:val="none" w:sz="0" w:space="0" w:color="auto"/>
        <w:left w:val="none" w:sz="0" w:space="0" w:color="auto"/>
        <w:bottom w:val="none" w:sz="0" w:space="0" w:color="auto"/>
        <w:right w:val="none" w:sz="0" w:space="0" w:color="auto"/>
      </w:divBdr>
    </w:div>
    <w:div w:id="119232647">
      <w:bodyDiv w:val="1"/>
      <w:marLeft w:val="0"/>
      <w:marRight w:val="0"/>
      <w:marTop w:val="0"/>
      <w:marBottom w:val="0"/>
      <w:divBdr>
        <w:top w:val="none" w:sz="0" w:space="0" w:color="auto"/>
        <w:left w:val="none" w:sz="0" w:space="0" w:color="auto"/>
        <w:bottom w:val="none" w:sz="0" w:space="0" w:color="auto"/>
        <w:right w:val="none" w:sz="0" w:space="0" w:color="auto"/>
      </w:divBdr>
    </w:div>
    <w:div w:id="119540660">
      <w:bodyDiv w:val="1"/>
      <w:marLeft w:val="0"/>
      <w:marRight w:val="0"/>
      <w:marTop w:val="0"/>
      <w:marBottom w:val="0"/>
      <w:divBdr>
        <w:top w:val="none" w:sz="0" w:space="0" w:color="auto"/>
        <w:left w:val="none" w:sz="0" w:space="0" w:color="auto"/>
        <w:bottom w:val="none" w:sz="0" w:space="0" w:color="auto"/>
        <w:right w:val="none" w:sz="0" w:space="0" w:color="auto"/>
      </w:divBdr>
    </w:div>
    <w:div w:id="120805836">
      <w:bodyDiv w:val="1"/>
      <w:marLeft w:val="0"/>
      <w:marRight w:val="0"/>
      <w:marTop w:val="0"/>
      <w:marBottom w:val="0"/>
      <w:divBdr>
        <w:top w:val="none" w:sz="0" w:space="0" w:color="auto"/>
        <w:left w:val="none" w:sz="0" w:space="0" w:color="auto"/>
        <w:bottom w:val="none" w:sz="0" w:space="0" w:color="auto"/>
        <w:right w:val="none" w:sz="0" w:space="0" w:color="auto"/>
      </w:divBdr>
    </w:div>
    <w:div w:id="121073107">
      <w:bodyDiv w:val="1"/>
      <w:marLeft w:val="0"/>
      <w:marRight w:val="0"/>
      <w:marTop w:val="0"/>
      <w:marBottom w:val="0"/>
      <w:divBdr>
        <w:top w:val="none" w:sz="0" w:space="0" w:color="auto"/>
        <w:left w:val="none" w:sz="0" w:space="0" w:color="auto"/>
        <w:bottom w:val="none" w:sz="0" w:space="0" w:color="auto"/>
        <w:right w:val="none" w:sz="0" w:space="0" w:color="auto"/>
      </w:divBdr>
    </w:div>
    <w:div w:id="121272529">
      <w:bodyDiv w:val="1"/>
      <w:marLeft w:val="0"/>
      <w:marRight w:val="0"/>
      <w:marTop w:val="0"/>
      <w:marBottom w:val="0"/>
      <w:divBdr>
        <w:top w:val="none" w:sz="0" w:space="0" w:color="auto"/>
        <w:left w:val="none" w:sz="0" w:space="0" w:color="auto"/>
        <w:bottom w:val="none" w:sz="0" w:space="0" w:color="auto"/>
        <w:right w:val="none" w:sz="0" w:space="0" w:color="auto"/>
      </w:divBdr>
    </w:div>
    <w:div w:id="123475353">
      <w:bodyDiv w:val="1"/>
      <w:marLeft w:val="0"/>
      <w:marRight w:val="0"/>
      <w:marTop w:val="0"/>
      <w:marBottom w:val="0"/>
      <w:divBdr>
        <w:top w:val="none" w:sz="0" w:space="0" w:color="auto"/>
        <w:left w:val="none" w:sz="0" w:space="0" w:color="auto"/>
        <w:bottom w:val="none" w:sz="0" w:space="0" w:color="auto"/>
        <w:right w:val="none" w:sz="0" w:space="0" w:color="auto"/>
      </w:divBdr>
    </w:div>
    <w:div w:id="124589323">
      <w:bodyDiv w:val="1"/>
      <w:marLeft w:val="0"/>
      <w:marRight w:val="0"/>
      <w:marTop w:val="0"/>
      <w:marBottom w:val="0"/>
      <w:divBdr>
        <w:top w:val="none" w:sz="0" w:space="0" w:color="auto"/>
        <w:left w:val="none" w:sz="0" w:space="0" w:color="auto"/>
        <w:bottom w:val="none" w:sz="0" w:space="0" w:color="auto"/>
        <w:right w:val="none" w:sz="0" w:space="0" w:color="auto"/>
      </w:divBdr>
    </w:div>
    <w:div w:id="124859100">
      <w:bodyDiv w:val="1"/>
      <w:marLeft w:val="0"/>
      <w:marRight w:val="0"/>
      <w:marTop w:val="0"/>
      <w:marBottom w:val="0"/>
      <w:divBdr>
        <w:top w:val="none" w:sz="0" w:space="0" w:color="auto"/>
        <w:left w:val="none" w:sz="0" w:space="0" w:color="auto"/>
        <w:bottom w:val="none" w:sz="0" w:space="0" w:color="auto"/>
        <w:right w:val="none" w:sz="0" w:space="0" w:color="auto"/>
      </w:divBdr>
    </w:div>
    <w:div w:id="124929179">
      <w:bodyDiv w:val="1"/>
      <w:marLeft w:val="0"/>
      <w:marRight w:val="0"/>
      <w:marTop w:val="0"/>
      <w:marBottom w:val="0"/>
      <w:divBdr>
        <w:top w:val="none" w:sz="0" w:space="0" w:color="auto"/>
        <w:left w:val="none" w:sz="0" w:space="0" w:color="auto"/>
        <w:bottom w:val="none" w:sz="0" w:space="0" w:color="auto"/>
        <w:right w:val="none" w:sz="0" w:space="0" w:color="auto"/>
      </w:divBdr>
    </w:div>
    <w:div w:id="125126491">
      <w:bodyDiv w:val="1"/>
      <w:marLeft w:val="0"/>
      <w:marRight w:val="0"/>
      <w:marTop w:val="0"/>
      <w:marBottom w:val="0"/>
      <w:divBdr>
        <w:top w:val="none" w:sz="0" w:space="0" w:color="auto"/>
        <w:left w:val="none" w:sz="0" w:space="0" w:color="auto"/>
        <w:bottom w:val="none" w:sz="0" w:space="0" w:color="auto"/>
        <w:right w:val="none" w:sz="0" w:space="0" w:color="auto"/>
      </w:divBdr>
    </w:div>
    <w:div w:id="125516801">
      <w:bodyDiv w:val="1"/>
      <w:marLeft w:val="0"/>
      <w:marRight w:val="0"/>
      <w:marTop w:val="0"/>
      <w:marBottom w:val="0"/>
      <w:divBdr>
        <w:top w:val="none" w:sz="0" w:space="0" w:color="auto"/>
        <w:left w:val="none" w:sz="0" w:space="0" w:color="auto"/>
        <w:bottom w:val="none" w:sz="0" w:space="0" w:color="auto"/>
        <w:right w:val="none" w:sz="0" w:space="0" w:color="auto"/>
      </w:divBdr>
    </w:div>
    <w:div w:id="125583396">
      <w:bodyDiv w:val="1"/>
      <w:marLeft w:val="0"/>
      <w:marRight w:val="0"/>
      <w:marTop w:val="0"/>
      <w:marBottom w:val="0"/>
      <w:divBdr>
        <w:top w:val="none" w:sz="0" w:space="0" w:color="auto"/>
        <w:left w:val="none" w:sz="0" w:space="0" w:color="auto"/>
        <w:bottom w:val="none" w:sz="0" w:space="0" w:color="auto"/>
        <w:right w:val="none" w:sz="0" w:space="0" w:color="auto"/>
      </w:divBdr>
    </w:div>
    <w:div w:id="125971870">
      <w:bodyDiv w:val="1"/>
      <w:marLeft w:val="0"/>
      <w:marRight w:val="0"/>
      <w:marTop w:val="0"/>
      <w:marBottom w:val="0"/>
      <w:divBdr>
        <w:top w:val="none" w:sz="0" w:space="0" w:color="auto"/>
        <w:left w:val="none" w:sz="0" w:space="0" w:color="auto"/>
        <w:bottom w:val="none" w:sz="0" w:space="0" w:color="auto"/>
        <w:right w:val="none" w:sz="0" w:space="0" w:color="auto"/>
      </w:divBdr>
    </w:div>
    <w:div w:id="126238239">
      <w:bodyDiv w:val="1"/>
      <w:marLeft w:val="0"/>
      <w:marRight w:val="0"/>
      <w:marTop w:val="0"/>
      <w:marBottom w:val="0"/>
      <w:divBdr>
        <w:top w:val="none" w:sz="0" w:space="0" w:color="auto"/>
        <w:left w:val="none" w:sz="0" w:space="0" w:color="auto"/>
        <w:bottom w:val="none" w:sz="0" w:space="0" w:color="auto"/>
        <w:right w:val="none" w:sz="0" w:space="0" w:color="auto"/>
      </w:divBdr>
    </w:div>
    <w:div w:id="127012707">
      <w:bodyDiv w:val="1"/>
      <w:marLeft w:val="0"/>
      <w:marRight w:val="0"/>
      <w:marTop w:val="0"/>
      <w:marBottom w:val="0"/>
      <w:divBdr>
        <w:top w:val="none" w:sz="0" w:space="0" w:color="auto"/>
        <w:left w:val="none" w:sz="0" w:space="0" w:color="auto"/>
        <w:bottom w:val="none" w:sz="0" w:space="0" w:color="auto"/>
        <w:right w:val="none" w:sz="0" w:space="0" w:color="auto"/>
      </w:divBdr>
    </w:div>
    <w:div w:id="127364611">
      <w:bodyDiv w:val="1"/>
      <w:marLeft w:val="0"/>
      <w:marRight w:val="0"/>
      <w:marTop w:val="0"/>
      <w:marBottom w:val="0"/>
      <w:divBdr>
        <w:top w:val="none" w:sz="0" w:space="0" w:color="auto"/>
        <w:left w:val="none" w:sz="0" w:space="0" w:color="auto"/>
        <w:bottom w:val="none" w:sz="0" w:space="0" w:color="auto"/>
        <w:right w:val="none" w:sz="0" w:space="0" w:color="auto"/>
      </w:divBdr>
    </w:div>
    <w:div w:id="128011819">
      <w:bodyDiv w:val="1"/>
      <w:marLeft w:val="0"/>
      <w:marRight w:val="0"/>
      <w:marTop w:val="0"/>
      <w:marBottom w:val="0"/>
      <w:divBdr>
        <w:top w:val="none" w:sz="0" w:space="0" w:color="auto"/>
        <w:left w:val="none" w:sz="0" w:space="0" w:color="auto"/>
        <w:bottom w:val="none" w:sz="0" w:space="0" w:color="auto"/>
        <w:right w:val="none" w:sz="0" w:space="0" w:color="auto"/>
      </w:divBdr>
    </w:div>
    <w:div w:id="128057572">
      <w:bodyDiv w:val="1"/>
      <w:marLeft w:val="0"/>
      <w:marRight w:val="0"/>
      <w:marTop w:val="0"/>
      <w:marBottom w:val="0"/>
      <w:divBdr>
        <w:top w:val="none" w:sz="0" w:space="0" w:color="auto"/>
        <w:left w:val="none" w:sz="0" w:space="0" w:color="auto"/>
        <w:bottom w:val="none" w:sz="0" w:space="0" w:color="auto"/>
        <w:right w:val="none" w:sz="0" w:space="0" w:color="auto"/>
      </w:divBdr>
    </w:div>
    <w:div w:id="129369552">
      <w:bodyDiv w:val="1"/>
      <w:marLeft w:val="0"/>
      <w:marRight w:val="0"/>
      <w:marTop w:val="0"/>
      <w:marBottom w:val="0"/>
      <w:divBdr>
        <w:top w:val="none" w:sz="0" w:space="0" w:color="auto"/>
        <w:left w:val="none" w:sz="0" w:space="0" w:color="auto"/>
        <w:bottom w:val="none" w:sz="0" w:space="0" w:color="auto"/>
        <w:right w:val="none" w:sz="0" w:space="0" w:color="auto"/>
      </w:divBdr>
    </w:div>
    <w:div w:id="130367846">
      <w:bodyDiv w:val="1"/>
      <w:marLeft w:val="0"/>
      <w:marRight w:val="0"/>
      <w:marTop w:val="0"/>
      <w:marBottom w:val="0"/>
      <w:divBdr>
        <w:top w:val="none" w:sz="0" w:space="0" w:color="auto"/>
        <w:left w:val="none" w:sz="0" w:space="0" w:color="auto"/>
        <w:bottom w:val="none" w:sz="0" w:space="0" w:color="auto"/>
        <w:right w:val="none" w:sz="0" w:space="0" w:color="auto"/>
      </w:divBdr>
    </w:div>
    <w:div w:id="130563219">
      <w:bodyDiv w:val="1"/>
      <w:marLeft w:val="0"/>
      <w:marRight w:val="0"/>
      <w:marTop w:val="0"/>
      <w:marBottom w:val="0"/>
      <w:divBdr>
        <w:top w:val="none" w:sz="0" w:space="0" w:color="auto"/>
        <w:left w:val="none" w:sz="0" w:space="0" w:color="auto"/>
        <w:bottom w:val="none" w:sz="0" w:space="0" w:color="auto"/>
        <w:right w:val="none" w:sz="0" w:space="0" w:color="auto"/>
      </w:divBdr>
    </w:div>
    <w:div w:id="130757913">
      <w:bodyDiv w:val="1"/>
      <w:marLeft w:val="0"/>
      <w:marRight w:val="0"/>
      <w:marTop w:val="0"/>
      <w:marBottom w:val="0"/>
      <w:divBdr>
        <w:top w:val="none" w:sz="0" w:space="0" w:color="auto"/>
        <w:left w:val="none" w:sz="0" w:space="0" w:color="auto"/>
        <w:bottom w:val="none" w:sz="0" w:space="0" w:color="auto"/>
        <w:right w:val="none" w:sz="0" w:space="0" w:color="auto"/>
      </w:divBdr>
    </w:div>
    <w:div w:id="131363111">
      <w:bodyDiv w:val="1"/>
      <w:marLeft w:val="0"/>
      <w:marRight w:val="0"/>
      <w:marTop w:val="0"/>
      <w:marBottom w:val="0"/>
      <w:divBdr>
        <w:top w:val="none" w:sz="0" w:space="0" w:color="auto"/>
        <w:left w:val="none" w:sz="0" w:space="0" w:color="auto"/>
        <w:bottom w:val="none" w:sz="0" w:space="0" w:color="auto"/>
        <w:right w:val="none" w:sz="0" w:space="0" w:color="auto"/>
      </w:divBdr>
    </w:div>
    <w:div w:id="132256656">
      <w:bodyDiv w:val="1"/>
      <w:marLeft w:val="0"/>
      <w:marRight w:val="0"/>
      <w:marTop w:val="0"/>
      <w:marBottom w:val="0"/>
      <w:divBdr>
        <w:top w:val="none" w:sz="0" w:space="0" w:color="auto"/>
        <w:left w:val="none" w:sz="0" w:space="0" w:color="auto"/>
        <w:bottom w:val="none" w:sz="0" w:space="0" w:color="auto"/>
        <w:right w:val="none" w:sz="0" w:space="0" w:color="auto"/>
      </w:divBdr>
    </w:div>
    <w:div w:id="132869588">
      <w:bodyDiv w:val="1"/>
      <w:marLeft w:val="0"/>
      <w:marRight w:val="0"/>
      <w:marTop w:val="0"/>
      <w:marBottom w:val="0"/>
      <w:divBdr>
        <w:top w:val="none" w:sz="0" w:space="0" w:color="auto"/>
        <w:left w:val="none" w:sz="0" w:space="0" w:color="auto"/>
        <w:bottom w:val="none" w:sz="0" w:space="0" w:color="auto"/>
        <w:right w:val="none" w:sz="0" w:space="0" w:color="auto"/>
      </w:divBdr>
    </w:div>
    <w:div w:id="133185507">
      <w:bodyDiv w:val="1"/>
      <w:marLeft w:val="0"/>
      <w:marRight w:val="0"/>
      <w:marTop w:val="0"/>
      <w:marBottom w:val="0"/>
      <w:divBdr>
        <w:top w:val="none" w:sz="0" w:space="0" w:color="auto"/>
        <w:left w:val="none" w:sz="0" w:space="0" w:color="auto"/>
        <w:bottom w:val="none" w:sz="0" w:space="0" w:color="auto"/>
        <w:right w:val="none" w:sz="0" w:space="0" w:color="auto"/>
      </w:divBdr>
    </w:div>
    <w:div w:id="133260628">
      <w:bodyDiv w:val="1"/>
      <w:marLeft w:val="0"/>
      <w:marRight w:val="0"/>
      <w:marTop w:val="0"/>
      <w:marBottom w:val="0"/>
      <w:divBdr>
        <w:top w:val="none" w:sz="0" w:space="0" w:color="auto"/>
        <w:left w:val="none" w:sz="0" w:space="0" w:color="auto"/>
        <w:bottom w:val="none" w:sz="0" w:space="0" w:color="auto"/>
        <w:right w:val="none" w:sz="0" w:space="0" w:color="auto"/>
      </w:divBdr>
    </w:div>
    <w:div w:id="133528552">
      <w:bodyDiv w:val="1"/>
      <w:marLeft w:val="0"/>
      <w:marRight w:val="0"/>
      <w:marTop w:val="0"/>
      <w:marBottom w:val="0"/>
      <w:divBdr>
        <w:top w:val="none" w:sz="0" w:space="0" w:color="auto"/>
        <w:left w:val="none" w:sz="0" w:space="0" w:color="auto"/>
        <w:bottom w:val="none" w:sz="0" w:space="0" w:color="auto"/>
        <w:right w:val="none" w:sz="0" w:space="0" w:color="auto"/>
      </w:divBdr>
    </w:div>
    <w:div w:id="135340892">
      <w:bodyDiv w:val="1"/>
      <w:marLeft w:val="0"/>
      <w:marRight w:val="0"/>
      <w:marTop w:val="0"/>
      <w:marBottom w:val="0"/>
      <w:divBdr>
        <w:top w:val="none" w:sz="0" w:space="0" w:color="auto"/>
        <w:left w:val="none" w:sz="0" w:space="0" w:color="auto"/>
        <w:bottom w:val="none" w:sz="0" w:space="0" w:color="auto"/>
        <w:right w:val="none" w:sz="0" w:space="0" w:color="auto"/>
      </w:divBdr>
    </w:div>
    <w:div w:id="135463387">
      <w:bodyDiv w:val="1"/>
      <w:marLeft w:val="0"/>
      <w:marRight w:val="0"/>
      <w:marTop w:val="0"/>
      <w:marBottom w:val="0"/>
      <w:divBdr>
        <w:top w:val="none" w:sz="0" w:space="0" w:color="auto"/>
        <w:left w:val="none" w:sz="0" w:space="0" w:color="auto"/>
        <w:bottom w:val="none" w:sz="0" w:space="0" w:color="auto"/>
        <w:right w:val="none" w:sz="0" w:space="0" w:color="auto"/>
      </w:divBdr>
    </w:div>
    <w:div w:id="137959672">
      <w:bodyDiv w:val="1"/>
      <w:marLeft w:val="0"/>
      <w:marRight w:val="0"/>
      <w:marTop w:val="0"/>
      <w:marBottom w:val="0"/>
      <w:divBdr>
        <w:top w:val="none" w:sz="0" w:space="0" w:color="auto"/>
        <w:left w:val="none" w:sz="0" w:space="0" w:color="auto"/>
        <w:bottom w:val="none" w:sz="0" w:space="0" w:color="auto"/>
        <w:right w:val="none" w:sz="0" w:space="0" w:color="auto"/>
      </w:divBdr>
    </w:div>
    <w:div w:id="138613660">
      <w:bodyDiv w:val="1"/>
      <w:marLeft w:val="0"/>
      <w:marRight w:val="0"/>
      <w:marTop w:val="0"/>
      <w:marBottom w:val="0"/>
      <w:divBdr>
        <w:top w:val="none" w:sz="0" w:space="0" w:color="auto"/>
        <w:left w:val="none" w:sz="0" w:space="0" w:color="auto"/>
        <w:bottom w:val="none" w:sz="0" w:space="0" w:color="auto"/>
        <w:right w:val="none" w:sz="0" w:space="0" w:color="auto"/>
      </w:divBdr>
    </w:div>
    <w:div w:id="138616201">
      <w:bodyDiv w:val="1"/>
      <w:marLeft w:val="0"/>
      <w:marRight w:val="0"/>
      <w:marTop w:val="0"/>
      <w:marBottom w:val="0"/>
      <w:divBdr>
        <w:top w:val="none" w:sz="0" w:space="0" w:color="auto"/>
        <w:left w:val="none" w:sz="0" w:space="0" w:color="auto"/>
        <w:bottom w:val="none" w:sz="0" w:space="0" w:color="auto"/>
        <w:right w:val="none" w:sz="0" w:space="0" w:color="auto"/>
      </w:divBdr>
    </w:div>
    <w:div w:id="140001931">
      <w:bodyDiv w:val="1"/>
      <w:marLeft w:val="0"/>
      <w:marRight w:val="0"/>
      <w:marTop w:val="0"/>
      <w:marBottom w:val="0"/>
      <w:divBdr>
        <w:top w:val="none" w:sz="0" w:space="0" w:color="auto"/>
        <w:left w:val="none" w:sz="0" w:space="0" w:color="auto"/>
        <w:bottom w:val="none" w:sz="0" w:space="0" w:color="auto"/>
        <w:right w:val="none" w:sz="0" w:space="0" w:color="auto"/>
      </w:divBdr>
    </w:div>
    <w:div w:id="140922544">
      <w:bodyDiv w:val="1"/>
      <w:marLeft w:val="0"/>
      <w:marRight w:val="0"/>
      <w:marTop w:val="0"/>
      <w:marBottom w:val="0"/>
      <w:divBdr>
        <w:top w:val="none" w:sz="0" w:space="0" w:color="auto"/>
        <w:left w:val="none" w:sz="0" w:space="0" w:color="auto"/>
        <w:bottom w:val="none" w:sz="0" w:space="0" w:color="auto"/>
        <w:right w:val="none" w:sz="0" w:space="0" w:color="auto"/>
      </w:divBdr>
    </w:div>
    <w:div w:id="141505522">
      <w:bodyDiv w:val="1"/>
      <w:marLeft w:val="0"/>
      <w:marRight w:val="0"/>
      <w:marTop w:val="0"/>
      <w:marBottom w:val="0"/>
      <w:divBdr>
        <w:top w:val="none" w:sz="0" w:space="0" w:color="auto"/>
        <w:left w:val="none" w:sz="0" w:space="0" w:color="auto"/>
        <w:bottom w:val="none" w:sz="0" w:space="0" w:color="auto"/>
        <w:right w:val="none" w:sz="0" w:space="0" w:color="auto"/>
      </w:divBdr>
    </w:div>
    <w:div w:id="143207407">
      <w:bodyDiv w:val="1"/>
      <w:marLeft w:val="0"/>
      <w:marRight w:val="0"/>
      <w:marTop w:val="0"/>
      <w:marBottom w:val="0"/>
      <w:divBdr>
        <w:top w:val="none" w:sz="0" w:space="0" w:color="auto"/>
        <w:left w:val="none" w:sz="0" w:space="0" w:color="auto"/>
        <w:bottom w:val="none" w:sz="0" w:space="0" w:color="auto"/>
        <w:right w:val="none" w:sz="0" w:space="0" w:color="auto"/>
      </w:divBdr>
    </w:div>
    <w:div w:id="143358240">
      <w:bodyDiv w:val="1"/>
      <w:marLeft w:val="0"/>
      <w:marRight w:val="0"/>
      <w:marTop w:val="0"/>
      <w:marBottom w:val="0"/>
      <w:divBdr>
        <w:top w:val="none" w:sz="0" w:space="0" w:color="auto"/>
        <w:left w:val="none" w:sz="0" w:space="0" w:color="auto"/>
        <w:bottom w:val="none" w:sz="0" w:space="0" w:color="auto"/>
        <w:right w:val="none" w:sz="0" w:space="0" w:color="auto"/>
      </w:divBdr>
    </w:div>
    <w:div w:id="144008591">
      <w:bodyDiv w:val="1"/>
      <w:marLeft w:val="0"/>
      <w:marRight w:val="0"/>
      <w:marTop w:val="0"/>
      <w:marBottom w:val="0"/>
      <w:divBdr>
        <w:top w:val="none" w:sz="0" w:space="0" w:color="auto"/>
        <w:left w:val="none" w:sz="0" w:space="0" w:color="auto"/>
        <w:bottom w:val="none" w:sz="0" w:space="0" w:color="auto"/>
        <w:right w:val="none" w:sz="0" w:space="0" w:color="auto"/>
      </w:divBdr>
    </w:div>
    <w:div w:id="144248474">
      <w:bodyDiv w:val="1"/>
      <w:marLeft w:val="0"/>
      <w:marRight w:val="0"/>
      <w:marTop w:val="0"/>
      <w:marBottom w:val="0"/>
      <w:divBdr>
        <w:top w:val="none" w:sz="0" w:space="0" w:color="auto"/>
        <w:left w:val="none" w:sz="0" w:space="0" w:color="auto"/>
        <w:bottom w:val="none" w:sz="0" w:space="0" w:color="auto"/>
        <w:right w:val="none" w:sz="0" w:space="0" w:color="auto"/>
      </w:divBdr>
    </w:div>
    <w:div w:id="144467999">
      <w:bodyDiv w:val="1"/>
      <w:marLeft w:val="0"/>
      <w:marRight w:val="0"/>
      <w:marTop w:val="0"/>
      <w:marBottom w:val="0"/>
      <w:divBdr>
        <w:top w:val="none" w:sz="0" w:space="0" w:color="auto"/>
        <w:left w:val="none" w:sz="0" w:space="0" w:color="auto"/>
        <w:bottom w:val="none" w:sz="0" w:space="0" w:color="auto"/>
        <w:right w:val="none" w:sz="0" w:space="0" w:color="auto"/>
      </w:divBdr>
    </w:div>
    <w:div w:id="145438263">
      <w:bodyDiv w:val="1"/>
      <w:marLeft w:val="0"/>
      <w:marRight w:val="0"/>
      <w:marTop w:val="0"/>
      <w:marBottom w:val="0"/>
      <w:divBdr>
        <w:top w:val="none" w:sz="0" w:space="0" w:color="auto"/>
        <w:left w:val="none" w:sz="0" w:space="0" w:color="auto"/>
        <w:bottom w:val="none" w:sz="0" w:space="0" w:color="auto"/>
        <w:right w:val="none" w:sz="0" w:space="0" w:color="auto"/>
      </w:divBdr>
    </w:div>
    <w:div w:id="146097963">
      <w:bodyDiv w:val="1"/>
      <w:marLeft w:val="0"/>
      <w:marRight w:val="0"/>
      <w:marTop w:val="0"/>
      <w:marBottom w:val="0"/>
      <w:divBdr>
        <w:top w:val="none" w:sz="0" w:space="0" w:color="auto"/>
        <w:left w:val="none" w:sz="0" w:space="0" w:color="auto"/>
        <w:bottom w:val="none" w:sz="0" w:space="0" w:color="auto"/>
        <w:right w:val="none" w:sz="0" w:space="0" w:color="auto"/>
      </w:divBdr>
    </w:div>
    <w:div w:id="146215511">
      <w:bodyDiv w:val="1"/>
      <w:marLeft w:val="0"/>
      <w:marRight w:val="0"/>
      <w:marTop w:val="0"/>
      <w:marBottom w:val="0"/>
      <w:divBdr>
        <w:top w:val="none" w:sz="0" w:space="0" w:color="auto"/>
        <w:left w:val="none" w:sz="0" w:space="0" w:color="auto"/>
        <w:bottom w:val="none" w:sz="0" w:space="0" w:color="auto"/>
        <w:right w:val="none" w:sz="0" w:space="0" w:color="auto"/>
      </w:divBdr>
    </w:div>
    <w:div w:id="146409458">
      <w:bodyDiv w:val="1"/>
      <w:marLeft w:val="0"/>
      <w:marRight w:val="0"/>
      <w:marTop w:val="0"/>
      <w:marBottom w:val="0"/>
      <w:divBdr>
        <w:top w:val="none" w:sz="0" w:space="0" w:color="auto"/>
        <w:left w:val="none" w:sz="0" w:space="0" w:color="auto"/>
        <w:bottom w:val="none" w:sz="0" w:space="0" w:color="auto"/>
        <w:right w:val="none" w:sz="0" w:space="0" w:color="auto"/>
      </w:divBdr>
    </w:div>
    <w:div w:id="146560884">
      <w:bodyDiv w:val="1"/>
      <w:marLeft w:val="0"/>
      <w:marRight w:val="0"/>
      <w:marTop w:val="0"/>
      <w:marBottom w:val="0"/>
      <w:divBdr>
        <w:top w:val="none" w:sz="0" w:space="0" w:color="auto"/>
        <w:left w:val="none" w:sz="0" w:space="0" w:color="auto"/>
        <w:bottom w:val="none" w:sz="0" w:space="0" w:color="auto"/>
        <w:right w:val="none" w:sz="0" w:space="0" w:color="auto"/>
      </w:divBdr>
    </w:div>
    <w:div w:id="146870742">
      <w:bodyDiv w:val="1"/>
      <w:marLeft w:val="0"/>
      <w:marRight w:val="0"/>
      <w:marTop w:val="0"/>
      <w:marBottom w:val="0"/>
      <w:divBdr>
        <w:top w:val="none" w:sz="0" w:space="0" w:color="auto"/>
        <w:left w:val="none" w:sz="0" w:space="0" w:color="auto"/>
        <w:bottom w:val="none" w:sz="0" w:space="0" w:color="auto"/>
        <w:right w:val="none" w:sz="0" w:space="0" w:color="auto"/>
      </w:divBdr>
    </w:div>
    <w:div w:id="147408153">
      <w:bodyDiv w:val="1"/>
      <w:marLeft w:val="0"/>
      <w:marRight w:val="0"/>
      <w:marTop w:val="0"/>
      <w:marBottom w:val="0"/>
      <w:divBdr>
        <w:top w:val="none" w:sz="0" w:space="0" w:color="auto"/>
        <w:left w:val="none" w:sz="0" w:space="0" w:color="auto"/>
        <w:bottom w:val="none" w:sz="0" w:space="0" w:color="auto"/>
        <w:right w:val="none" w:sz="0" w:space="0" w:color="auto"/>
      </w:divBdr>
    </w:div>
    <w:div w:id="147409010">
      <w:bodyDiv w:val="1"/>
      <w:marLeft w:val="0"/>
      <w:marRight w:val="0"/>
      <w:marTop w:val="0"/>
      <w:marBottom w:val="0"/>
      <w:divBdr>
        <w:top w:val="none" w:sz="0" w:space="0" w:color="auto"/>
        <w:left w:val="none" w:sz="0" w:space="0" w:color="auto"/>
        <w:bottom w:val="none" w:sz="0" w:space="0" w:color="auto"/>
        <w:right w:val="none" w:sz="0" w:space="0" w:color="auto"/>
      </w:divBdr>
    </w:div>
    <w:div w:id="147668778">
      <w:bodyDiv w:val="1"/>
      <w:marLeft w:val="0"/>
      <w:marRight w:val="0"/>
      <w:marTop w:val="0"/>
      <w:marBottom w:val="0"/>
      <w:divBdr>
        <w:top w:val="none" w:sz="0" w:space="0" w:color="auto"/>
        <w:left w:val="none" w:sz="0" w:space="0" w:color="auto"/>
        <w:bottom w:val="none" w:sz="0" w:space="0" w:color="auto"/>
        <w:right w:val="none" w:sz="0" w:space="0" w:color="auto"/>
      </w:divBdr>
    </w:div>
    <w:div w:id="147788636">
      <w:bodyDiv w:val="1"/>
      <w:marLeft w:val="0"/>
      <w:marRight w:val="0"/>
      <w:marTop w:val="0"/>
      <w:marBottom w:val="0"/>
      <w:divBdr>
        <w:top w:val="none" w:sz="0" w:space="0" w:color="auto"/>
        <w:left w:val="none" w:sz="0" w:space="0" w:color="auto"/>
        <w:bottom w:val="none" w:sz="0" w:space="0" w:color="auto"/>
        <w:right w:val="none" w:sz="0" w:space="0" w:color="auto"/>
      </w:divBdr>
    </w:div>
    <w:div w:id="148712031">
      <w:bodyDiv w:val="1"/>
      <w:marLeft w:val="0"/>
      <w:marRight w:val="0"/>
      <w:marTop w:val="0"/>
      <w:marBottom w:val="0"/>
      <w:divBdr>
        <w:top w:val="none" w:sz="0" w:space="0" w:color="auto"/>
        <w:left w:val="none" w:sz="0" w:space="0" w:color="auto"/>
        <w:bottom w:val="none" w:sz="0" w:space="0" w:color="auto"/>
        <w:right w:val="none" w:sz="0" w:space="0" w:color="auto"/>
      </w:divBdr>
    </w:div>
    <w:div w:id="150101812">
      <w:bodyDiv w:val="1"/>
      <w:marLeft w:val="0"/>
      <w:marRight w:val="0"/>
      <w:marTop w:val="0"/>
      <w:marBottom w:val="0"/>
      <w:divBdr>
        <w:top w:val="none" w:sz="0" w:space="0" w:color="auto"/>
        <w:left w:val="none" w:sz="0" w:space="0" w:color="auto"/>
        <w:bottom w:val="none" w:sz="0" w:space="0" w:color="auto"/>
        <w:right w:val="none" w:sz="0" w:space="0" w:color="auto"/>
      </w:divBdr>
    </w:div>
    <w:div w:id="151147710">
      <w:bodyDiv w:val="1"/>
      <w:marLeft w:val="0"/>
      <w:marRight w:val="0"/>
      <w:marTop w:val="0"/>
      <w:marBottom w:val="0"/>
      <w:divBdr>
        <w:top w:val="none" w:sz="0" w:space="0" w:color="auto"/>
        <w:left w:val="none" w:sz="0" w:space="0" w:color="auto"/>
        <w:bottom w:val="none" w:sz="0" w:space="0" w:color="auto"/>
        <w:right w:val="none" w:sz="0" w:space="0" w:color="auto"/>
      </w:divBdr>
    </w:div>
    <w:div w:id="151263549">
      <w:bodyDiv w:val="1"/>
      <w:marLeft w:val="0"/>
      <w:marRight w:val="0"/>
      <w:marTop w:val="0"/>
      <w:marBottom w:val="0"/>
      <w:divBdr>
        <w:top w:val="none" w:sz="0" w:space="0" w:color="auto"/>
        <w:left w:val="none" w:sz="0" w:space="0" w:color="auto"/>
        <w:bottom w:val="none" w:sz="0" w:space="0" w:color="auto"/>
        <w:right w:val="none" w:sz="0" w:space="0" w:color="auto"/>
      </w:divBdr>
    </w:div>
    <w:div w:id="151456280">
      <w:bodyDiv w:val="1"/>
      <w:marLeft w:val="0"/>
      <w:marRight w:val="0"/>
      <w:marTop w:val="0"/>
      <w:marBottom w:val="0"/>
      <w:divBdr>
        <w:top w:val="none" w:sz="0" w:space="0" w:color="auto"/>
        <w:left w:val="none" w:sz="0" w:space="0" w:color="auto"/>
        <w:bottom w:val="none" w:sz="0" w:space="0" w:color="auto"/>
        <w:right w:val="none" w:sz="0" w:space="0" w:color="auto"/>
      </w:divBdr>
    </w:div>
    <w:div w:id="151992421">
      <w:bodyDiv w:val="1"/>
      <w:marLeft w:val="0"/>
      <w:marRight w:val="0"/>
      <w:marTop w:val="0"/>
      <w:marBottom w:val="0"/>
      <w:divBdr>
        <w:top w:val="none" w:sz="0" w:space="0" w:color="auto"/>
        <w:left w:val="none" w:sz="0" w:space="0" w:color="auto"/>
        <w:bottom w:val="none" w:sz="0" w:space="0" w:color="auto"/>
        <w:right w:val="none" w:sz="0" w:space="0" w:color="auto"/>
      </w:divBdr>
    </w:div>
    <w:div w:id="152458000">
      <w:bodyDiv w:val="1"/>
      <w:marLeft w:val="0"/>
      <w:marRight w:val="0"/>
      <w:marTop w:val="0"/>
      <w:marBottom w:val="0"/>
      <w:divBdr>
        <w:top w:val="none" w:sz="0" w:space="0" w:color="auto"/>
        <w:left w:val="none" w:sz="0" w:space="0" w:color="auto"/>
        <w:bottom w:val="none" w:sz="0" w:space="0" w:color="auto"/>
        <w:right w:val="none" w:sz="0" w:space="0" w:color="auto"/>
      </w:divBdr>
    </w:div>
    <w:div w:id="153110621">
      <w:bodyDiv w:val="1"/>
      <w:marLeft w:val="0"/>
      <w:marRight w:val="0"/>
      <w:marTop w:val="0"/>
      <w:marBottom w:val="0"/>
      <w:divBdr>
        <w:top w:val="none" w:sz="0" w:space="0" w:color="auto"/>
        <w:left w:val="none" w:sz="0" w:space="0" w:color="auto"/>
        <w:bottom w:val="none" w:sz="0" w:space="0" w:color="auto"/>
        <w:right w:val="none" w:sz="0" w:space="0" w:color="auto"/>
      </w:divBdr>
    </w:div>
    <w:div w:id="153229634">
      <w:bodyDiv w:val="1"/>
      <w:marLeft w:val="0"/>
      <w:marRight w:val="0"/>
      <w:marTop w:val="0"/>
      <w:marBottom w:val="0"/>
      <w:divBdr>
        <w:top w:val="none" w:sz="0" w:space="0" w:color="auto"/>
        <w:left w:val="none" w:sz="0" w:space="0" w:color="auto"/>
        <w:bottom w:val="none" w:sz="0" w:space="0" w:color="auto"/>
        <w:right w:val="none" w:sz="0" w:space="0" w:color="auto"/>
      </w:divBdr>
    </w:div>
    <w:div w:id="153421149">
      <w:bodyDiv w:val="1"/>
      <w:marLeft w:val="0"/>
      <w:marRight w:val="0"/>
      <w:marTop w:val="0"/>
      <w:marBottom w:val="0"/>
      <w:divBdr>
        <w:top w:val="none" w:sz="0" w:space="0" w:color="auto"/>
        <w:left w:val="none" w:sz="0" w:space="0" w:color="auto"/>
        <w:bottom w:val="none" w:sz="0" w:space="0" w:color="auto"/>
        <w:right w:val="none" w:sz="0" w:space="0" w:color="auto"/>
      </w:divBdr>
    </w:div>
    <w:div w:id="154036692">
      <w:bodyDiv w:val="1"/>
      <w:marLeft w:val="0"/>
      <w:marRight w:val="0"/>
      <w:marTop w:val="0"/>
      <w:marBottom w:val="0"/>
      <w:divBdr>
        <w:top w:val="none" w:sz="0" w:space="0" w:color="auto"/>
        <w:left w:val="none" w:sz="0" w:space="0" w:color="auto"/>
        <w:bottom w:val="none" w:sz="0" w:space="0" w:color="auto"/>
        <w:right w:val="none" w:sz="0" w:space="0" w:color="auto"/>
      </w:divBdr>
      <w:divsChild>
        <w:div w:id="1880896346">
          <w:marLeft w:val="0"/>
          <w:marRight w:val="0"/>
          <w:marTop w:val="0"/>
          <w:marBottom w:val="0"/>
          <w:divBdr>
            <w:top w:val="none" w:sz="0" w:space="0" w:color="auto"/>
            <w:left w:val="none" w:sz="0" w:space="0" w:color="auto"/>
            <w:bottom w:val="none" w:sz="0" w:space="0" w:color="auto"/>
            <w:right w:val="none" w:sz="0" w:space="0" w:color="auto"/>
          </w:divBdr>
          <w:divsChild>
            <w:div w:id="283849455">
              <w:marLeft w:val="0"/>
              <w:marRight w:val="0"/>
              <w:marTop w:val="0"/>
              <w:marBottom w:val="0"/>
              <w:divBdr>
                <w:top w:val="none" w:sz="0" w:space="0" w:color="auto"/>
                <w:left w:val="none" w:sz="0" w:space="0" w:color="auto"/>
                <w:bottom w:val="none" w:sz="0" w:space="0" w:color="auto"/>
                <w:right w:val="none" w:sz="0" w:space="0" w:color="auto"/>
              </w:divBdr>
              <w:divsChild>
                <w:div w:id="330372862">
                  <w:marLeft w:val="0"/>
                  <w:marRight w:val="0"/>
                  <w:marTop w:val="0"/>
                  <w:marBottom w:val="0"/>
                  <w:divBdr>
                    <w:top w:val="none" w:sz="0" w:space="0" w:color="auto"/>
                    <w:left w:val="none" w:sz="0" w:space="0" w:color="auto"/>
                    <w:bottom w:val="none" w:sz="0" w:space="0" w:color="auto"/>
                    <w:right w:val="none" w:sz="0" w:space="0" w:color="auto"/>
                  </w:divBdr>
                  <w:divsChild>
                    <w:div w:id="1308048969">
                      <w:marLeft w:val="0"/>
                      <w:marRight w:val="0"/>
                      <w:marTop w:val="0"/>
                      <w:marBottom w:val="0"/>
                      <w:divBdr>
                        <w:top w:val="none" w:sz="0" w:space="0" w:color="auto"/>
                        <w:left w:val="none" w:sz="0" w:space="0" w:color="auto"/>
                        <w:bottom w:val="none" w:sz="0" w:space="0" w:color="auto"/>
                        <w:right w:val="none" w:sz="0" w:space="0" w:color="auto"/>
                      </w:divBdr>
                      <w:divsChild>
                        <w:div w:id="855196242">
                          <w:marLeft w:val="0"/>
                          <w:marRight w:val="0"/>
                          <w:marTop w:val="0"/>
                          <w:marBottom w:val="0"/>
                          <w:divBdr>
                            <w:top w:val="none" w:sz="0" w:space="0" w:color="auto"/>
                            <w:left w:val="none" w:sz="0" w:space="0" w:color="auto"/>
                            <w:bottom w:val="none" w:sz="0" w:space="0" w:color="auto"/>
                            <w:right w:val="none" w:sz="0" w:space="0" w:color="auto"/>
                          </w:divBdr>
                          <w:divsChild>
                            <w:div w:id="502010165">
                              <w:marLeft w:val="0"/>
                              <w:marRight w:val="0"/>
                              <w:marTop w:val="0"/>
                              <w:marBottom w:val="0"/>
                              <w:divBdr>
                                <w:top w:val="none" w:sz="0" w:space="0" w:color="auto"/>
                                <w:left w:val="none" w:sz="0" w:space="0" w:color="auto"/>
                                <w:bottom w:val="none" w:sz="0" w:space="0" w:color="auto"/>
                                <w:right w:val="none" w:sz="0" w:space="0" w:color="auto"/>
                              </w:divBdr>
                              <w:divsChild>
                                <w:div w:id="1845784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0270276">
              <w:marLeft w:val="0"/>
              <w:marRight w:val="0"/>
              <w:marTop w:val="0"/>
              <w:marBottom w:val="0"/>
              <w:divBdr>
                <w:top w:val="none" w:sz="0" w:space="0" w:color="auto"/>
                <w:left w:val="none" w:sz="0" w:space="0" w:color="auto"/>
                <w:bottom w:val="none" w:sz="0" w:space="0" w:color="auto"/>
                <w:right w:val="none" w:sz="0" w:space="0" w:color="auto"/>
              </w:divBdr>
              <w:divsChild>
                <w:div w:id="170026982">
                  <w:marLeft w:val="0"/>
                  <w:marRight w:val="0"/>
                  <w:marTop w:val="0"/>
                  <w:marBottom w:val="0"/>
                  <w:divBdr>
                    <w:top w:val="none" w:sz="0" w:space="0" w:color="auto"/>
                    <w:left w:val="none" w:sz="0" w:space="0" w:color="auto"/>
                    <w:bottom w:val="none" w:sz="0" w:space="0" w:color="auto"/>
                    <w:right w:val="none" w:sz="0" w:space="0" w:color="auto"/>
                  </w:divBdr>
                  <w:divsChild>
                    <w:div w:id="153420453">
                      <w:marLeft w:val="0"/>
                      <w:marRight w:val="0"/>
                      <w:marTop w:val="0"/>
                      <w:marBottom w:val="0"/>
                      <w:divBdr>
                        <w:top w:val="none" w:sz="0" w:space="0" w:color="auto"/>
                        <w:left w:val="none" w:sz="0" w:space="0" w:color="auto"/>
                        <w:bottom w:val="none" w:sz="0" w:space="0" w:color="auto"/>
                        <w:right w:val="none" w:sz="0" w:space="0" w:color="auto"/>
                      </w:divBdr>
                      <w:divsChild>
                        <w:div w:id="2106608362">
                          <w:marLeft w:val="0"/>
                          <w:marRight w:val="0"/>
                          <w:marTop w:val="0"/>
                          <w:marBottom w:val="0"/>
                          <w:divBdr>
                            <w:top w:val="none" w:sz="0" w:space="0" w:color="auto"/>
                            <w:left w:val="none" w:sz="0" w:space="0" w:color="auto"/>
                            <w:bottom w:val="none" w:sz="0" w:space="0" w:color="auto"/>
                            <w:right w:val="none" w:sz="0" w:space="0" w:color="auto"/>
                          </w:divBdr>
                          <w:divsChild>
                            <w:div w:id="1878005695">
                              <w:marLeft w:val="0"/>
                              <w:marRight w:val="0"/>
                              <w:marTop w:val="0"/>
                              <w:marBottom w:val="0"/>
                              <w:divBdr>
                                <w:top w:val="none" w:sz="0" w:space="0" w:color="auto"/>
                                <w:left w:val="none" w:sz="0" w:space="0" w:color="auto"/>
                                <w:bottom w:val="none" w:sz="0" w:space="0" w:color="auto"/>
                                <w:right w:val="none" w:sz="0" w:space="0" w:color="auto"/>
                              </w:divBdr>
                              <w:divsChild>
                                <w:div w:id="139049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70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48230">
      <w:bodyDiv w:val="1"/>
      <w:marLeft w:val="0"/>
      <w:marRight w:val="0"/>
      <w:marTop w:val="0"/>
      <w:marBottom w:val="0"/>
      <w:divBdr>
        <w:top w:val="none" w:sz="0" w:space="0" w:color="auto"/>
        <w:left w:val="none" w:sz="0" w:space="0" w:color="auto"/>
        <w:bottom w:val="none" w:sz="0" w:space="0" w:color="auto"/>
        <w:right w:val="none" w:sz="0" w:space="0" w:color="auto"/>
      </w:divBdr>
    </w:div>
    <w:div w:id="154762457">
      <w:bodyDiv w:val="1"/>
      <w:marLeft w:val="0"/>
      <w:marRight w:val="0"/>
      <w:marTop w:val="0"/>
      <w:marBottom w:val="0"/>
      <w:divBdr>
        <w:top w:val="none" w:sz="0" w:space="0" w:color="auto"/>
        <w:left w:val="none" w:sz="0" w:space="0" w:color="auto"/>
        <w:bottom w:val="none" w:sz="0" w:space="0" w:color="auto"/>
        <w:right w:val="none" w:sz="0" w:space="0" w:color="auto"/>
      </w:divBdr>
    </w:div>
    <w:div w:id="156507067">
      <w:bodyDiv w:val="1"/>
      <w:marLeft w:val="0"/>
      <w:marRight w:val="0"/>
      <w:marTop w:val="0"/>
      <w:marBottom w:val="0"/>
      <w:divBdr>
        <w:top w:val="none" w:sz="0" w:space="0" w:color="auto"/>
        <w:left w:val="none" w:sz="0" w:space="0" w:color="auto"/>
        <w:bottom w:val="none" w:sz="0" w:space="0" w:color="auto"/>
        <w:right w:val="none" w:sz="0" w:space="0" w:color="auto"/>
      </w:divBdr>
    </w:div>
    <w:div w:id="157690861">
      <w:bodyDiv w:val="1"/>
      <w:marLeft w:val="0"/>
      <w:marRight w:val="0"/>
      <w:marTop w:val="0"/>
      <w:marBottom w:val="0"/>
      <w:divBdr>
        <w:top w:val="none" w:sz="0" w:space="0" w:color="auto"/>
        <w:left w:val="none" w:sz="0" w:space="0" w:color="auto"/>
        <w:bottom w:val="none" w:sz="0" w:space="0" w:color="auto"/>
        <w:right w:val="none" w:sz="0" w:space="0" w:color="auto"/>
      </w:divBdr>
    </w:div>
    <w:div w:id="157693502">
      <w:bodyDiv w:val="1"/>
      <w:marLeft w:val="0"/>
      <w:marRight w:val="0"/>
      <w:marTop w:val="0"/>
      <w:marBottom w:val="0"/>
      <w:divBdr>
        <w:top w:val="none" w:sz="0" w:space="0" w:color="auto"/>
        <w:left w:val="none" w:sz="0" w:space="0" w:color="auto"/>
        <w:bottom w:val="none" w:sz="0" w:space="0" w:color="auto"/>
        <w:right w:val="none" w:sz="0" w:space="0" w:color="auto"/>
      </w:divBdr>
    </w:div>
    <w:div w:id="158078905">
      <w:bodyDiv w:val="1"/>
      <w:marLeft w:val="0"/>
      <w:marRight w:val="0"/>
      <w:marTop w:val="0"/>
      <w:marBottom w:val="0"/>
      <w:divBdr>
        <w:top w:val="none" w:sz="0" w:space="0" w:color="auto"/>
        <w:left w:val="none" w:sz="0" w:space="0" w:color="auto"/>
        <w:bottom w:val="none" w:sz="0" w:space="0" w:color="auto"/>
        <w:right w:val="none" w:sz="0" w:space="0" w:color="auto"/>
      </w:divBdr>
    </w:div>
    <w:div w:id="158738608">
      <w:bodyDiv w:val="1"/>
      <w:marLeft w:val="0"/>
      <w:marRight w:val="0"/>
      <w:marTop w:val="0"/>
      <w:marBottom w:val="0"/>
      <w:divBdr>
        <w:top w:val="none" w:sz="0" w:space="0" w:color="auto"/>
        <w:left w:val="none" w:sz="0" w:space="0" w:color="auto"/>
        <w:bottom w:val="none" w:sz="0" w:space="0" w:color="auto"/>
        <w:right w:val="none" w:sz="0" w:space="0" w:color="auto"/>
      </w:divBdr>
    </w:div>
    <w:div w:id="159274953">
      <w:bodyDiv w:val="1"/>
      <w:marLeft w:val="0"/>
      <w:marRight w:val="0"/>
      <w:marTop w:val="0"/>
      <w:marBottom w:val="0"/>
      <w:divBdr>
        <w:top w:val="none" w:sz="0" w:space="0" w:color="auto"/>
        <w:left w:val="none" w:sz="0" w:space="0" w:color="auto"/>
        <w:bottom w:val="none" w:sz="0" w:space="0" w:color="auto"/>
        <w:right w:val="none" w:sz="0" w:space="0" w:color="auto"/>
      </w:divBdr>
    </w:div>
    <w:div w:id="160850580">
      <w:bodyDiv w:val="1"/>
      <w:marLeft w:val="0"/>
      <w:marRight w:val="0"/>
      <w:marTop w:val="0"/>
      <w:marBottom w:val="0"/>
      <w:divBdr>
        <w:top w:val="none" w:sz="0" w:space="0" w:color="auto"/>
        <w:left w:val="none" w:sz="0" w:space="0" w:color="auto"/>
        <w:bottom w:val="none" w:sz="0" w:space="0" w:color="auto"/>
        <w:right w:val="none" w:sz="0" w:space="0" w:color="auto"/>
      </w:divBdr>
    </w:div>
    <w:div w:id="161162556">
      <w:bodyDiv w:val="1"/>
      <w:marLeft w:val="0"/>
      <w:marRight w:val="0"/>
      <w:marTop w:val="0"/>
      <w:marBottom w:val="0"/>
      <w:divBdr>
        <w:top w:val="none" w:sz="0" w:space="0" w:color="auto"/>
        <w:left w:val="none" w:sz="0" w:space="0" w:color="auto"/>
        <w:bottom w:val="none" w:sz="0" w:space="0" w:color="auto"/>
        <w:right w:val="none" w:sz="0" w:space="0" w:color="auto"/>
      </w:divBdr>
    </w:div>
    <w:div w:id="161167964">
      <w:bodyDiv w:val="1"/>
      <w:marLeft w:val="0"/>
      <w:marRight w:val="0"/>
      <w:marTop w:val="0"/>
      <w:marBottom w:val="0"/>
      <w:divBdr>
        <w:top w:val="none" w:sz="0" w:space="0" w:color="auto"/>
        <w:left w:val="none" w:sz="0" w:space="0" w:color="auto"/>
        <w:bottom w:val="none" w:sz="0" w:space="0" w:color="auto"/>
        <w:right w:val="none" w:sz="0" w:space="0" w:color="auto"/>
      </w:divBdr>
    </w:div>
    <w:div w:id="161548053">
      <w:bodyDiv w:val="1"/>
      <w:marLeft w:val="0"/>
      <w:marRight w:val="0"/>
      <w:marTop w:val="0"/>
      <w:marBottom w:val="0"/>
      <w:divBdr>
        <w:top w:val="none" w:sz="0" w:space="0" w:color="auto"/>
        <w:left w:val="none" w:sz="0" w:space="0" w:color="auto"/>
        <w:bottom w:val="none" w:sz="0" w:space="0" w:color="auto"/>
        <w:right w:val="none" w:sz="0" w:space="0" w:color="auto"/>
      </w:divBdr>
    </w:div>
    <w:div w:id="161555023">
      <w:bodyDiv w:val="1"/>
      <w:marLeft w:val="0"/>
      <w:marRight w:val="0"/>
      <w:marTop w:val="0"/>
      <w:marBottom w:val="0"/>
      <w:divBdr>
        <w:top w:val="none" w:sz="0" w:space="0" w:color="auto"/>
        <w:left w:val="none" w:sz="0" w:space="0" w:color="auto"/>
        <w:bottom w:val="none" w:sz="0" w:space="0" w:color="auto"/>
        <w:right w:val="none" w:sz="0" w:space="0" w:color="auto"/>
      </w:divBdr>
    </w:div>
    <w:div w:id="163017155">
      <w:bodyDiv w:val="1"/>
      <w:marLeft w:val="0"/>
      <w:marRight w:val="0"/>
      <w:marTop w:val="0"/>
      <w:marBottom w:val="0"/>
      <w:divBdr>
        <w:top w:val="none" w:sz="0" w:space="0" w:color="auto"/>
        <w:left w:val="none" w:sz="0" w:space="0" w:color="auto"/>
        <w:bottom w:val="none" w:sz="0" w:space="0" w:color="auto"/>
        <w:right w:val="none" w:sz="0" w:space="0" w:color="auto"/>
      </w:divBdr>
    </w:div>
    <w:div w:id="163018031">
      <w:bodyDiv w:val="1"/>
      <w:marLeft w:val="0"/>
      <w:marRight w:val="0"/>
      <w:marTop w:val="0"/>
      <w:marBottom w:val="0"/>
      <w:divBdr>
        <w:top w:val="none" w:sz="0" w:space="0" w:color="auto"/>
        <w:left w:val="none" w:sz="0" w:space="0" w:color="auto"/>
        <w:bottom w:val="none" w:sz="0" w:space="0" w:color="auto"/>
        <w:right w:val="none" w:sz="0" w:space="0" w:color="auto"/>
      </w:divBdr>
    </w:div>
    <w:div w:id="163521858">
      <w:bodyDiv w:val="1"/>
      <w:marLeft w:val="0"/>
      <w:marRight w:val="0"/>
      <w:marTop w:val="0"/>
      <w:marBottom w:val="0"/>
      <w:divBdr>
        <w:top w:val="none" w:sz="0" w:space="0" w:color="auto"/>
        <w:left w:val="none" w:sz="0" w:space="0" w:color="auto"/>
        <w:bottom w:val="none" w:sz="0" w:space="0" w:color="auto"/>
        <w:right w:val="none" w:sz="0" w:space="0" w:color="auto"/>
      </w:divBdr>
    </w:div>
    <w:div w:id="163711687">
      <w:bodyDiv w:val="1"/>
      <w:marLeft w:val="0"/>
      <w:marRight w:val="0"/>
      <w:marTop w:val="0"/>
      <w:marBottom w:val="0"/>
      <w:divBdr>
        <w:top w:val="none" w:sz="0" w:space="0" w:color="auto"/>
        <w:left w:val="none" w:sz="0" w:space="0" w:color="auto"/>
        <w:bottom w:val="none" w:sz="0" w:space="0" w:color="auto"/>
        <w:right w:val="none" w:sz="0" w:space="0" w:color="auto"/>
      </w:divBdr>
    </w:div>
    <w:div w:id="164051734">
      <w:bodyDiv w:val="1"/>
      <w:marLeft w:val="0"/>
      <w:marRight w:val="0"/>
      <w:marTop w:val="0"/>
      <w:marBottom w:val="0"/>
      <w:divBdr>
        <w:top w:val="none" w:sz="0" w:space="0" w:color="auto"/>
        <w:left w:val="none" w:sz="0" w:space="0" w:color="auto"/>
        <w:bottom w:val="none" w:sz="0" w:space="0" w:color="auto"/>
        <w:right w:val="none" w:sz="0" w:space="0" w:color="auto"/>
      </w:divBdr>
    </w:div>
    <w:div w:id="165101186">
      <w:bodyDiv w:val="1"/>
      <w:marLeft w:val="0"/>
      <w:marRight w:val="0"/>
      <w:marTop w:val="0"/>
      <w:marBottom w:val="0"/>
      <w:divBdr>
        <w:top w:val="none" w:sz="0" w:space="0" w:color="auto"/>
        <w:left w:val="none" w:sz="0" w:space="0" w:color="auto"/>
        <w:bottom w:val="none" w:sz="0" w:space="0" w:color="auto"/>
        <w:right w:val="none" w:sz="0" w:space="0" w:color="auto"/>
      </w:divBdr>
    </w:div>
    <w:div w:id="165488028">
      <w:bodyDiv w:val="1"/>
      <w:marLeft w:val="0"/>
      <w:marRight w:val="0"/>
      <w:marTop w:val="0"/>
      <w:marBottom w:val="0"/>
      <w:divBdr>
        <w:top w:val="none" w:sz="0" w:space="0" w:color="auto"/>
        <w:left w:val="none" w:sz="0" w:space="0" w:color="auto"/>
        <w:bottom w:val="none" w:sz="0" w:space="0" w:color="auto"/>
        <w:right w:val="none" w:sz="0" w:space="0" w:color="auto"/>
      </w:divBdr>
    </w:div>
    <w:div w:id="165680619">
      <w:bodyDiv w:val="1"/>
      <w:marLeft w:val="0"/>
      <w:marRight w:val="0"/>
      <w:marTop w:val="0"/>
      <w:marBottom w:val="0"/>
      <w:divBdr>
        <w:top w:val="none" w:sz="0" w:space="0" w:color="auto"/>
        <w:left w:val="none" w:sz="0" w:space="0" w:color="auto"/>
        <w:bottom w:val="none" w:sz="0" w:space="0" w:color="auto"/>
        <w:right w:val="none" w:sz="0" w:space="0" w:color="auto"/>
      </w:divBdr>
    </w:div>
    <w:div w:id="166022687">
      <w:bodyDiv w:val="1"/>
      <w:marLeft w:val="0"/>
      <w:marRight w:val="0"/>
      <w:marTop w:val="0"/>
      <w:marBottom w:val="0"/>
      <w:divBdr>
        <w:top w:val="none" w:sz="0" w:space="0" w:color="auto"/>
        <w:left w:val="none" w:sz="0" w:space="0" w:color="auto"/>
        <w:bottom w:val="none" w:sz="0" w:space="0" w:color="auto"/>
        <w:right w:val="none" w:sz="0" w:space="0" w:color="auto"/>
      </w:divBdr>
    </w:div>
    <w:div w:id="167451018">
      <w:bodyDiv w:val="1"/>
      <w:marLeft w:val="0"/>
      <w:marRight w:val="0"/>
      <w:marTop w:val="0"/>
      <w:marBottom w:val="0"/>
      <w:divBdr>
        <w:top w:val="none" w:sz="0" w:space="0" w:color="auto"/>
        <w:left w:val="none" w:sz="0" w:space="0" w:color="auto"/>
        <w:bottom w:val="none" w:sz="0" w:space="0" w:color="auto"/>
        <w:right w:val="none" w:sz="0" w:space="0" w:color="auto"/>
      </w:divBdr>
    </w:div>
    <w:div w:id="167789230">
      <w:bodyDiv w:val="1"/>
      <w:marLeft w:val="0"/>
      <w:marRight w:val="0"/>
      <w:marTop w:val="0"/>
      <w:marBottom w:val="0"/>
      <w:divBdr>
        <w:top w:val="none" w:sz="0" w:space="0" w:color="auto"/>
        <w:left w:val="none" w:sz="0" w:space="0" w:color="auto"/>
        <w:bottom w:val="none" w:sz="0" w:space="0" w:color="auto"/>
        <w:right w:val="none" w:sz="0" w:space="0" w:color="auto"/>
      </w:divBdr>
    </w:div>
    <w:div w:id="168838068">
      <w:bodyDiv w:val="1"/>
      <w:marLeft w:val="0"/>
      <w:marRight w:val="0"/>
      <w:marTop w:val="0"/>
      <w:marBottom w:val="0"/>
      <w:divBdr>
        <w:top w:val="none" w:sz="0" w:space="0" w:color="auto"/>
        <w:left w:val="none" w:sz="0" w:space="0" w:color="auto"/>
        <w:bottom w:val="none" w:sz="0" w:space="0" w:color="auto"/>
        <w:right w:val="none" w:sz="0" w:space="0" w:color="auto"/>
      </w:divBdr>
    </w:div>
    <w:div w:id="169104692">
      <w:bodyDiv w:val="1"/>
      <w:marLeft w:val="0"/>
      <w:marRight w:val="0"/>
      <w:marTop w:val="0"/>
      <w:marBottom w:val="0"/>
      <w:divBdr>
        <w:top w:val="none" w:sz="0" w:space="0" w:color="auto"/>
        <w:left w:val="none" w:sz="0" w:space="0" w:color="auto"/>
        <w:bottom w:val="none" w:sz="0" w:space="0" w:color="auto"/>
        <w:right w:val="none" w:sz="0" w:space="0" w:color="auto"/>
      </w:divBdr>
    </w:div>
    <w:div w:id="170679313">
      <w:bodyDiv w:val="1"/>
      <w:marLeft w:val="0"/>
      <w:marRight w:val="0"/>
      <w:marTop w:val="0"/>
      <w:marBottom w:val="0"/>
      <w:divBdr>
        <w:top w:val="none" w:sz="0" w:space="0" w:color="auto"/>
        <w:left w:val="none" w:sz="0" w:space="0" w:color="auto"/>
        <w:bottom w:val="none" w:sz="0" w:space="0" w:color="auto"/>
        <w:right w:val="none" w:sz="0" w:space="0" w:color="auto"/>
      </w:divBdr>
    </w:div>
    <w:div w:id="170803574">
      <w:bodyDiv w:val="1"/>
      <w:marLeft w:val="0"/>
      <w:marRight w:val="0"/>
      <w:marTop w:val="0"/>
      <w:marBottom w:val="0"/>
      <w:divBdr>
        <w:top w:val="none" w:sz="0" w:space="0" w:color="auto"/>
        <w:left w:val="none" w:sz="0" w:space="0" w:color="auto"/>
        <w:bottom w:val="none" w:sz="0" w:space="0" w:color="auto"/>
        <w:right w:val="none" w:sz="0" w:space="0" w:color="auto"/>
      </w:divBdr>
    </w:div>
    <w:div w:id="170881081">
      <w:bodyDiv w:val="1"/>
      <w:marLeft w:val="0"/>
      <w:marRight w:val="0"/>
      <w:marTop w:val="0"/>
      <w:marBottom w:val="0"/>
      <w:divBdr>
        <w:top w:val="none" w:sz="0" w:space="0" w:color="auto"/>
        <w:left w:val="none" w:sz="0" w:space="0" w:color="auto"/>
        <w:bottom w:val="none" w:sz="0" w:space="0" w:color="auto"/>
        <w:right w:val="none" w:sz="0" w:space="0" w:color="auto"/>
      </w:divBdr>
    </w:div>
    <w:div w:id="170992538">
      <w:bodyDiv w:val="1"/>
      <w:marLeft w:val="0"/>
      <w:marRight w:val="0"/>
      <w:marTop w:val="0"/>
      <w:marBottom w:val="0"/>
      <w:divBdr>
        <w:top w:val="none" w:sz="0" w:space="0" w:color="auto"/>
        <w:left w:val="none" w:sz="0" w:space="0" w:color="auto"/>
        <w:bottom w:val="none" w:sz="0" w:space="0" w:color="auto"/>
        <w:right w:val="none" w:sz="0" w:space="0" w:color="auto"/>
      </w:divBdr>
    </w:div>
    <w:div w:id="171536370">
      <w:bodyDiv w:val="1"/>
      <w:marLeft w:val="0"/>
      <w:marRight w:val="0"/>
      <w:marTop w:val="0"/>
      <w:marBottom w:val="0"/>
      <w:divBdr>
        <w:top w:val="none" w:sz="0" w:space="0" w:color="auto"/>
        <w:left w:val="none" w:sz="0" w:space="0" w:color="auto"/>
        <w:bottom w:val="none" w:sz="0" w:space="0" w:color="auto"/>
        <w:right w:val="none" w:sz="0" w:space="0" w:color="auto"/>
      </w:divBdr>
    </w:div>
    <w:div w:id="171800899">
      <w:bodyDiv w:val="1"/>
      <w:marLeft w:val="0"/>
      <w:marRight w:val="0"/>
      <w:marTop w:val="0"/>
      <w:marBottom w:val="0"/>
      <w:divBdr>
        <w:top w:val="none" w:sz="0" w:space="0" w:color="auto"/>
        <w:left w:val="none" w:sz="0" w:space="0" w:color="auto"/>
        <w:bottom w:val="none" w:sz="0" w:space="0" w:color="auto"/>
        <w:right w:val="none" w:sz="0" w:space="0" w:color="auto"/>
      </w:divBdr>
    </w:div>
    <w:div w:id="172378267">
      <w:bodyDiv w:val="1"/>
      <w:marLeft w:val="0"/>
      <w:marRight w:val="0"/>
      <w:marTop w:val="0"/>
      <w:marBottom w:val="0"/>
      <w:divBdr>
        <w:top w:val="none" w:sz="0" w:space="0" w:color="auto"/>
        <w:left w:val="none" w:sz="0" w:space="0" w:color="auto"/>
        <w:bottom w:val="none" w:sz="0" w:space="0" w:color="auto"/>
        <w:right w:val="none" w:sz="0" w:space="0" w:color="auto"/>
      </w:divBdr>
    </w:div>
    <w:div w:id="174075767">
      <w:bodyDiv w:val="1"/>
      <w:marLeft w:val="0"/>
      <w:marRight w:val="0"/>
      <w:marTop w:val="0"/>
      <w:marBottom w:val="0"/>
      <w:divBdr>
        <w:top w:val="none" w:sz="0" w:space="0" w:color="auto"/>
        <w:left w:val="none" w:sz="0" w:space="0" w:color="auto"/>
        <w:bottom w:val="none" w:sz="0" w:space="0" w:color="auto"/>
        <w:right w:val="none" w:sz="0" w:space="0" w:color="auto"/>
      </w:divBdr>
    </w:div>
    <w:div w:id="174269174">
      <w:bodyDiv w:val="1"/>
      <w:marLeft w:val="0"/>
      <w:marRight w:val="0"/>
      <w:marTop w:val="0"/>
      <w:marBottom w:val="0"/>
      <w:divBdr>
        <w:top w:val="none" w:sz="0" w:space="0" w:color="auto"/>
        <w:left w:val="none" w:sz="0" w:space="0" w:color="auto"/>
        <w:bottom w:val="none" w:sz="0" w:space="0" w:color="auto"/>
        <w:right w:val="none" w:sz="0" w:space="0" w:color="auto"/>
      </w:divBdr>
    </w:div>
    <w:div w:id="176846777">
      <w:bodyDiv w:val="1"/>
      <w:marLeft w:val="0"/>
      <w:marRight w:val="0"/>
      <w:marTop w:val="0"/>
      <w:marBottom w:val="0"/>
      <w:divBdr>
        <w:top w:val="none" w:sz="0" w:space="0" w:color="auto"/>
        <w:left w:val="none" w:sz="0" w:space="0" w:color="auto"/>
        <w:bottom w:val="none" w:sz="0" w:space="0" w:color="auto"/>
        <w:right w:val="none" w:sz="0" w:space="0" w:color="auto"/>
      </w:divBdr>
    </w:div>
    <w:div w:id="177743053">
      <w:bodyDiv w:val="1"/>
      <w:marLeft w:val="0"/>
      <w:marRight w:val="0"/>
      <w:marTop w:val="0"/>
      <w:marBottom w:val="0"/>
      <w:divBdr>
        <w:top w:val="none" w:sz="0" w:space="0" w:color="auto"/>
        <w:left w:val="none" w:sz="0" w:space="0" w:color="auto"/>
        <w:bottom w:val="none" w:sz="0" w:space="0" w:color="auto"/>
        <w:right w:val="none" w:sz="0" w:space="0" w:color="auto"/>
      </w:divBdr>
    </w:div>
    <w:div w:id="178474097">
      <w:bodyDiv w:val="1"/>
      <w:marLeft w:val="0"/>
      <w:marRight w:val="0"/>
      <w:marTop w:val="0"/>
      <w:marBottom w:val="0"/>
      <w:divBdr>
        <w:top w:val="none" w:sz="0" w:space="0" w:color="auto"/>
        <w:left w:val="none" w:sz="0" w:space="0" w:color="auto"/>
        <w:bottom w:val="none" w:sz="0" w:space="0" w:color="auto"/>
        <w:right w:val="none" w:sz="0" w:space="0" w:color="auto"/>
      </w:divBdr>
    </w:div>
    <w:div w:id="179052514">
      <w:bodyDiv w:val="1"/>
      <w:marLeft w:val="0"/>
      <w:marRight w:val="0"/>
      <w:marTop w:val="0"/>
      <w:marBottom w:val="0"/>
      <w:divBdr>
        <w:top w:val="none" w:sz="0" w:space="0" w:color="auto"/>
        <w:left w:val="none" w:sz="0" w:space="0" w:color="auto"/>
        <w:bottom w:val="none" w:sz="0" w:space="0" w:color="auto"/>
        <w:right w:val="none" w:sz="0" w:space="0" w:color="auto"/>
      </w:divBdr>
    </w:div>
    <w:div w:id="179660265">
      <w:bodyDiv w:val="1"/>
      <w:marLeft w:val="0"/>
      <w:marRight w:val="0"/>
      <w:marTop w:val="0"/>
      <w:marBottom w:val="0"/>
      <w:divBdr>
        <w:top w:val="none" w:sz="0" w:space="0" w:color="auto"/>
        <w:left w:val="none" w:sz="0" w:space="0" w:color="auto"/>
        <w:bottom w:val="none" w:sz="0" w:space="0" w:color="auto"/>
        <w:right w:val="none" w:sz="0" w:space="0" w:color="auto"/>
      </w:divBdr>
    </w:div>
    <w:div w:id="181208956">
      <w:bodyDiv w:val="1"/>
      <w:marLeft w:val="0"/>
      <w:marRight w:val="0"/>
      <w:marTop w:val="0"/>
      <w:marBottom w:val="0"/>
      <w:divBdr>
        <w:top w:val="none" w:sz="0" w:space="0" w:color="auto"/>
        <w:left w:val="none" w:sz="0" w:space="0" w:color="auto"/>
        <w:bottom w:val="none" w:sz="0" w:space="0" w:color="auto"/>
        <w:right w:val="none" w:sz="0" w:space="0" w:color="auto"/>
      </w:divBdr>
    </w:div>
    <w:div w:id="182013068">
      <w:bodyDiv w:val="1"/>
      <w:marLeft w:val="0"/>
      <w:marRight w:val="0"/>
      <w:marTop w:val="0"/>
      <w:marBottom w:val="0"/>
      <w:divBdr>
        <w:top w:val="none" w:sz="0" w:space="0" w:color="auto"/>
        <w:left w:val="none" w:sz="0" w:space="0" w:color="auto"/>
        <w:bottom w:val="none" w:sz="0" w:space="0" w:color="auto"/>
        <w:right w:val="none" w:sz="0" w:space="0" w:color="auto"/>
      </w:divBdr>
    </w:div>
    <w:div w:id="182675304">
      <w:bodyDiv w:val="1"/>
      <w:marLeft w:val="0"/>
      <w:marRight w:val="0"/>
      <w:marTop w:val="0"/>
      <w:marBottom w:val="0"/>
      <w:divBdr>
        <w:top w:val="none" w:sz="0" w:space="0" w:color="auto"/>
        <w:left w:val="none" w:sz="0" w:space="0" w:color="auto"/>
        <w:bottom w:val="none" w:sz="0" w:space="0" w:color="auto"/>
        <w:right w:val="none" w:sz="0" w:space="0" w:color="auto"/>
      </w:divBdr>
    </w:div>
    <w:div w:id="182718304">
      <w:bodyDiv w:val="1"/>
      <w:marLeft w:val="0"/>
      <w:marRight w:val="0"/>
      <w:marTop w:val="0"/>
      <w:marBottom w:val="0"/>
      <w:divBdr>
        <w:top w:val="none" w:sz="0" w:space="0" w:color="auto"/>
        <w:left w:val="none" w:sz="0" w:space="0" w:color="auto"/>
        <w:bottom w:val="none" w:sz="0" w:space="0" w:color="auto"/>
        <w:right w:val="none" w:sz="0" w:space="0" w:color="auto"/>
      </w:divBdr>
    </w:div>
    <w:div w:id="182861005">
      <w:bodyDiv w:val="1"/>
      <w:marLeft w:val="0"/>
      <w:marRight w:val="0"/>
      <w:marTop w:val="0"/>
      <w:marBottom w:val="0"/>
      <w:divBdr>
        <w:top w:val="none" w:sz="0" w:space="0" w:color="auto"/>
        <w:left w:val="none" w:sz="0" w:space="0" w:color="auto"/>
        <w:bottom w:val="none" w:sz="0" w:space="0" w:color="auto"/>
        <w:right w:val="none" w:sz="0" w:space="0" w:color="auto"/>
      </w:divBdr>
    </w:div>
    <w:div w:id="182942473">
      <w:bodyDiv w:val="1"/>
      <w:marLeft w:val="0"/>
      <w:marRight w:val="0"/>
      <w:marTop w:val="0"/>
      <w:marBottom w:val="0"/>
      <w:divBdr>
        <w:top w:val="none" w:sz="0" w:space="0" w:color="auto"/>
        <w:left w:val="none" w:sz="0" w:space="0" w:color="auto"/>
        <w:bottom w:val="none" w:sz="0" w:space="0" w:color="auto"/>
        <w:right w:val="none" w:sz="0" w:space="0" w:color="auto"/>
      </w:divBdr>
    </w:div>
    <w:div w:id="182982345">
      <w:bodyDiv w:val="1"/>
      <w:marLeft w:val="0"/>
      <w:marRight w:val="0"/>
      <w:marTop w:val="0"/>
      <w:marBottom w:val="0"/>
      <w:divBdr>
        <w:top w:val="none" w:sz="0" w:space="0" w:color="auto"/>
        <w:left w:val="none" w:sz="0" w:space="0" w:color="auto"/>
        <w:bottom w:val="none" w:sz="0" w:space="0" w:color="auto"/>
        <w:right w:val="none" w:sz="0" w:space="0" w:color="auto"/>
      </w:divBdr>
    </w:div>
    <w:div w:id="184446395">
      <w:bodyDiv w:val="1"/>
      <w:marLeft w:val="0"/>
      <w:marRight w:val="0"/>
      <w:marTop w:val="0"/>
      <w:marBottom w:val="0"/>
      <w:divBdr>
        <w:top w:val="none" w:sz="0" w:space="0" w:color="auto"/>
        <w:left w:val="none" w:sz="0" w:space="0" w:color="auto"/>
        <w:bottom w:val="none" w:sz="0" w:space="0" w:color="auto"/>
        <w:right w:val="none" w:sz="0" w:space="0" w:color="auto"/>
      </w:divBdr>
    </w:div>
    <w:div w:id="185215598">
      <w:bodyDiv w:val="1"/>
      <w:marLeft w:val="0"/>
      <w:marRight w:val="0"/>
      <w:marTop w:val="0"/>
      <w:marBottom w:val="0"/>
      <w:divBdr>
        <w:top w:val="none" w:sz="0" w:space="0" w:color="auto"/>
        <w:left w:val="none" w:sz="0" w:space="0" w:color="auto"/>
        <w:bottom w:val="none" w:sz="0" w:space="0" w:color="auto"/>
        <w:right w:val="none" w:sz="0" w:space="0" w:color="auto"/>
      </w:divBdr>
    </w:div>
    <w:div w:id="185759176">
      <w:bodyDiv w:val="1"/>
      <w:marLeft w:val="0"/>
      <w:marRight w:val="0"/>
      <w:marTop w:val="0"/>
      <w:marBottom w:val="0"/>
      <w:divBdr>
        <w:top w:val="none" w:sz="0" w:space="0" w:color="auto"/>
        <w:left w:val="none" w:sz="0" w:space="0" w:color="auto"/>
        <w:bottom w:val="none" w:sz="0" w:space="0" w:color="auto"/>
        <w:right w:val="none" w:sz="0" w:space="0" w:color="auto"/>
      </w:divBdr>
    </w:div>
    <w:div w:id="187527040">
      <w:bodyDiv w:val="1"/>
      <w:marLeft w:val="0"/>
      <w:marRight w:val="0"/>
      <w:marTop w:val="0"/>
      <w:marBottom w:val="0"/>
      <w:divBdr>
        <w:top w:val="none" w:sz="0" w:space="0" w:color="auto"/>
        <w:left w:val="none" w:sz="0" w:space="0" w:color="auto"/>
        <w:bottom w:val="none" w:sz="0" w:space="0" w:color="auto"/>
        <w:right w:val="none" w:sz="0" w:space="0" w:color="auto"/>
      </w:divBdr>
    </w:div>
    <w:div w:id="188641891">
      <w:bodyDiv w:val="1"/>
      <w:marLeft w:val="0"/>
      <w:marRight w:val="0"/>
      <w:marTop w:val="0"/>
      <w:marBottom w:val="0"/>
      <w:divBdr>
        <w:top w:val="none" w:sz="0" w:space="0" w:color="auto"/>
        <w:left w:val="none" w:sz="0" w:space="0" w:color="auto"/>
        <w:bottom w:val="none" w:sz="0" w:space="0" w:color="auto"/>
        <w:right w:val="none" w:sz="0" w:space="0" w:color="auto"/>
      </w:divBdr>
    </w:div>
    <w:div w:id="188688233">
      <w:bodyDiv w:val="1"/>
      <w:marLeft w:val="0"/>
      <w:marRight w:val="0"/>
      <w:marTop w:val="0"/>
      <w:marBottom w:val="0"/>
      <w:divBdr>
        <w:top w:val="none" w:sz="0" w:space="0" w:color="auto"/>
        <w:left w:val="none" w:sz="0" w:space="0" w:color="auto"/>
        <w:bottom w:val="none" w:sz="0" w:space="0" w:color="auto"/>
        <w:right w:val="none" w:sz="0" w:space="0" w:color="auto"/>
      </w:divBdr>
    </w:div>
    <w:div w:id="189925424">
      <w:bodyDiv w:val="1"/>
      <w:marLeft w:val="0"/>
      <w:marRight w:val="0"/>
      <w:marTop w:val="0"/>
      <w:marBottom w:val="0"/>
      <w:divBdr>
        <w:top w:val="none" w:sz="0" w:space="0" w:color="auto"/>
        <w:left w:val="none" w:sz="0" w:space="0" w:color="auto"/>
        <w:bottom w:val="none" w:sz="0" w:space="0" w:color="auto"/>
        <w:right w:val="none" w:sz="0" w:space="0" w:color="auto"/>
      </w:divBdr>
    </w:div>
    <w:div w:id="190340857">
      <w:bodyDiv w:val="1"/>
      <w:marLeft w:val="0"/>
      <w:marRight w:val="0"/>
      <w:marTop w:val="0"/>
      <w:marBottom w:val="0"/>
      <w:divBdr>
        <w:top w:val="none" w:sz="0" w:space="0" w:color="auto"/>
        <w:left w:val="none" w:sz="0" w:space="0" w:color="auto"/>
        <w:bottom w:val="none" w:sz="0" w:space="0" w:color="auto"/>
        <w:right w:val="none" w:sz="0" w:space="0" w:color="auto"/>
      </w:divBdr>
    </w:div>
    <w:div w:id="190531417">
      <w:bodyDiv w:val="1"/>
      <w:marLeft w:val="0"/>
      <w:marRight w:val="0"/>
      <w:marTop w:val="0"/>
      <w:marBottom w:val="0"/>
      <w:divBdr>
        <w:top w:val="none" w:sz="0" w:space="0" w:color="auto"/>
        <w:left w:val="none" w:sz="0" w:space="0" w:color="auto"/>
        <w:bottom w:val="none" w:sz="0" w:space="0" w:color="auto"/>
        <w:right w:val="none" w:sz="0" w:space="0" w:color="auto"/>
      </w:divBdr>
    </w:div>
    <w:div w:id="190800639">
      <w:bodyDiv w:val="1"/>
      <w:marLeft w:val="0"/>
      <w:marRight w:val="0"/>
      <w:marTop w:val="0"/>
      <w:marBottom w:val="0"/>
      <w:divBdr>
        <w:top w:val="none" w:sz="0" w:space="0" w:color="auto"/>
        <w:left w:val="none" w:sz="0" w:space="0" w:color="auto"/>
        <w:bottom w:val="none" w:sz="0" w:space="0" w:color="auto"/>
        <w:right w:val="none" w:sz="0" w:space="0" w:color="auto"/>
      </w:divBdr>
    </w:div>
    <w:div w:id="190920211">
      <w:bodyDiv w:val="1"/>
      <w:marLeft w:val="0"/>
      <w:marRight w:val="0"/>
      <w:marTop w:val="0"/>
      <w:marBottom w:val="0"/>
      <w:divBdr>
        <w:top w:val="none" w:sz="0" w:space="0" w:color="auto"/>
        <w:left w:val="none" w:sz="0" w:space="0" w:color="auto"/>
        <w:bottom w:val="none" w:sz="0" w:space="0" w:color="auto"/>
        <w:right w:val="none" w:sz="0" w:space="0" w:color="auto"/>
      </w:divBdr>
    </w:div>
    <w:div w:id="191767396">
      <w:bodyDiv w:val="1"/>
      <w:marLeft w:val="0"/>
      <w:marRight w:val="0"/>
      <w:marTop w:val="0"/>
      <w:marBottom w:val="0"/>
      <w:divBdr>
        <w:top w:val="none" w:sz="0" w:space="0" w:color="auto"/>
        <w:left w:val="none" w:sz="0" w:space="0" w:color="auto"/>
        <w:bottom w:val="none" w:sz="0" w:space="0" w:color="auto"/>
        <w:right w:val="none" w:sz="0" w:space="0" w:color="auto"/>
      </w:divBdr>
    </w:div>
    <w:div w:id="193545763">
      <w:bodyDiv w:val="1"/>
      <w:marLeft w:val="0"/>
      <w:marRight w:val="0"/>
      <w:marTop w:val="0"/>
      <w:marBottom w:val="0"/>
      <w:divBdr>
        <w:top w:val="none" w:sz="0" w:space="0" w:color="auto"/>
        <w:left w:val="none" w:sz="0" w:space="0" w:color="auto"/>
        <w:bottom w:val="none" w:sz="0" w:space="0" w:color="auto"/>
        <w:right w:val="none" w:sz="0" w:space="0" w:color="auto"/>
      </w:divBdr>
    </w:div>
    <w:div w:id="194850452">
      <w:bodyDiv w:val="1"/>
      <w:marLeft w:val="0"/>
      <w:marRight w:val="0"/>
      <w:marTop w:val="0"/>
      <w:marBottom w:val="0"/>
      <w:divBdr>
        <w:top w:val="none" w:sz="0" w:space="0" w:color="auto"/>
        <w:left w:val="none" w:sz="0" w:space="0" w:color="auto"/>
        <w:bottom w:val="none" w:sz="0" w:space="0" w:color="auto"/>
        <w:right w:val="none" w:sz="0" w:space="0" w:color="auto"/>
      </w:divBdr>
    </w:div>
    <w:div w:id="196090680">
      <w:bodyDiv w:val="1"/>
      <w:marLeft w:val="0"/>
      <w:marRight w:val="0"/>
      <w:marTop w:val="0"/>
      <w:marBottom w:val="0"/>
      <w:divBdr>
        <w:top w:val="none" w:sz="0" w:space="0" w:color="auto"/>
        <w:left w:val="none" w:sz="0" w:space="0" w:color="auto"/>
        <w:bottom w:val="none" w:sz="0" w:space="0" w:color="auto"/>
        <w:right w:val="none" w:sz="0" w:space="0" w:color="auto"/>
      </w:divBdr>
    </w:div>
    <w:div w:id="196506742">
      <w:bodyDiv w:val="1"/>
      <w:marLeft w:val="0"/>
      <w:marRight w:val="0"/>
      <w:marTop w:val="0"/>
      <w:marBottom w:val="0"/>
      <w:divBdr>
        <w:top w:val="none" w:sz="0" w:space="0" w:color="auto"/>
        <w:left w:val="none" w:sz="0" w:space="0" w:color="auto"/>
        <w:bottom w:val="none" w:sz="0" w:space="0" w:color="auto"/>
        <w:right w:val="none" w:sz="0" w:space="0" w:color="auto"/>
      </w:divBdr>
    </w:div>
    <w:div w:id="198860069">
      <w:bodyDiv w:val="1"/>
      <w:marLeft w:val="0"/>
      <w:marRight w:val="0"/>
      <w:marTop w:val="0"/>
      <w:marBottom w:val="0"/>
      <w:divBdr>
        <w:top w:val="none" w:sz="0" w:space="0" w:color="auto"/>
        <w:left w:val="none" w:sz="0" w:space="0" w:color="auto"/>
        <w:bottom w:val="none" w:sz="0" w:space="0" w:color="auto"/>
        <w:right w:val="none" w:sz="0" w:space="0" w:color="auto"/>
      </w:divBdr>
    </w:div>
    <w:div w:id="200023863">
      <w:bodyDiv w:val="1"/>
      <w:marLeft w:val="0"/>
      <w:marRight w:val="0"/>
      <w:marTop w:val="0"/>
      <w:marBottom w:val="0"/>
      <w:divBdr>
        <w:top w:val="none" w:sz="0" w:space="0" w:color="auto"/>
        <w:left w:val="none" w:sz="0" w:space="0" w:color="auto"/>
        <w:bottom w:val="none" w:sz="0" w:space="0" w:color="auto"/>
        <w:right w:val="none" w:sz="0" w:space="0" w:color="auto"/>
      </w:divBdr>
    </w:div>
    <w:div w:id="200285298">
      <w:bodyDiv w:val="1"/>
      <w:marLeft w:val="0"/>
      <w:marRight w:val="0"/>
      <w:marTop w:val="0"/>
      <w:marBottom w:val="0"/>
      <w:divBdr>
        <w:top w:val="none" w:sz="0" w:space="0" w:color="auto"/>
        <w:left w:val="none" w:sz="0" w:space="0" w:color="auto"/>
        <w:bottom w:val="none" w:sz="0" w:space="0" w:color="auto"/>
        <w:right w:val="none" w:sz="0" w:space="0" w:color="auto"/>
      </w:divBdr>
    </w:div>
    <w:div w:id="200553720">
      <w:bodyDiv w:val="1"/>
      <w:marLeft w:val="0"/>
      <w:marRight w:val="0"/>
      <w:marTop w:val="0"/>
      <w:marBottom w:val="0"/>
      <w:divBdr>
        <w:top w:val="none" w:sz="0" w:space="0" w:color="auto"/>
        <w:left w:val="none" w:sz="0" w:space="0" w:color="auto"/>
        <w:bottom w:val="none" w:sz="0" w:space="0" w:color="auto"/>
        <w:right w:val="none" w:sz="0" w:space="0" w:color="auto"/>
      </w:divBdr>
    </w:div>
    <w:div w:id="201094054">
      <w:bodyDiv w:val="1"/>
      <w:marLeft w:val="0"/>
      <w:marRight w:val="0"/>
      <w:marTop w:val="0"/>
      <w:marBottom w:val="0"/>
      <w:divBdr>
        <w:top w:val="none" w:sz="0" w:space="0" w:color="auto"/>
        <w:left w:val="none" w:sz="0" w:space="0" w:color="auto"/>
        <w:bottom w:val="none" w:sz="0" w:space="0" w:color="auto"/>
        <w:right w:val="none" w:sz="0" w:space="0" w:color="auto"/>
      </w:divBdr>
    </w:div>
    <w:div w:id="201327403">
      <w:bodyDiv w:val="1"/>
      <w:marLeft w:val="0"/>
      <w:marRight w:val="0"/>
      <w:marTop w:val="0"/>
      <w:marBottom w:val="0"/>
      <w:divBdr>
        <w:top w:val="none" w:sz="0" w:space="0" w:color="auto"/>
        <w:left w:val="none" w:sz="0" w:space="0" w:color="auto"/>
        <w:bottom w:val="none" w:sz="0" w:space="0" w:color="auto"/>
        <w:right w:val="none" w:sz="0" w:space="0" w:color="auto"/>
      </w:divBdr>
    </w:div>
    <w:div w:id="201329745">
      <w:bodyDiv w:val="1"/>
      <w:marLeft w:val="0"/>
      <w:marRight w:val="0"/>
      <w:marTop w:val="0"/>
      <w:marBottom w:val="0"/>
      <w:divBdr>
        <w:top w:val="none" w:sz="0" w:space="0" w:color="auto"/>
        <w:left w:val="none" w:sz="0" w:space="0" w:color="auto"/>
        <w:bottom w:val="none" w:sz="0" w:space="0" w:color="auto"/>
        <w:right w:val="none" w:sz="0" w:space="0" w:color="auto"/>
      </w:divBdr>
    </w:div>
    <w:div w:id="201676016">
      <w:bodyDiv w:val="1"/>
      <w:marLeft w:val="0"/>
      <w:marRight w:val="0"/>
      <w:marTop w:val="0"/>
      <w:marBottom w:val="0"/>
      <w:divBdr>
        <w:top w:val="none" w:sz="0" w:space="0" w:color="auto"/>
        <w:left w:val="none" w:sz="0" w:space="0" w:color="auto"/>
        <w:bottom w:val="none" w:sz="0" w:space="0" w:color="auto"/>
        <w:right w:val="none" w:sz="0" w:space="0" w:color="auto"/>
      </w:divBdr>
    </w:div>
    <w:div w:id="203098669">
      <w:bodyDiv w:val="1"/>
      <w:marLeft w:val="0"/>
      <w:marRight w:val="0"/>
      <w:marTop w:val="0"/>
      <w:marBottom w:val="0"/>
      <w:divBdr>
        <w:top w:val="none" w:sz="0" w:space="0" w:color="auto"/>
        <w:left w:val="none" w:sz="0" w:space="0" w:color="auto"/>
        <w:bottom w:val="none" w:sz="0" w:space="0" w:color="auto"/>
        <w:right w:val="none" w:sz="0" w:space="0" w:color="auto"/>
      </w:divBdr>
    </w:div>
    <w:div w:id="206141978">
      <w:bodyDiv w:val="1"/>
      <w:marLeft w:val="0"/>
      <w:marRight w:val="0"/>
      <w:marTop w:val="0"/>
      <w:marBottom w:val="0"/>
      <w:divBdr>
        <w:top w:val="none" w:sz="0" w:space="0" w:color="auto"/>
        <w:left w:val="none" w:sz="0" w:space="0" w:color="auto"/>
        <w:bottom w:val="none" w:sz="0" w:space="0" w:color="auto"/>
        <w:right w:val="none" w:sz="0" w:space="0" w:color="auto"/>
      </w:divBdr>
    </w:div>
    <w:div w:id="206380277">
      <w:bodyDiv w:val="1"/>
      <w:marLeft w:val="0"/>
      <w:marRight w:val="0"/>
      <w:marTop w:val="0"/>
      <w:marBottom w:val="0"/>
      <w:divBdr>
        <w:top w:val="none" w:sz="0" w:space="0" w:color="auto"/>
        <w:left w:val="none" w:sz="0" w:space="0" w:color="auto"/>
        <w:bottom w:val="none" w:sz="0" w:space="0" w:color="auto"/>
        <w:right w:val="none" w:sz="0" w:space="0" w:color="auto"/>
      </w:divBdr>
    </w:div>
    <w:div w:id="206919353">
      <w:bodyDiv w:val="1"/>
      <w:marLeft w:val="0"/>
      <w:marRight w:val="0"/>
      <w:marTop w:val="0"/>
      <w:marBottom w:val="0"/>
      <w:divBdr>
        <w:top w:val="none" w:sz="0" w:space="0" w:color="auto"/>
        <w:left w:val="none" w:sz="0" w:space="0" w:color="auto"/>
        <w:bottom w:val="none" w:sz="0" w:space="0" w:color="auto"/>
        <w:right w:val="none" w:sz="0" w:space="0" w:color="auto"/>
      </w:divBdr>
    </w:div>
    <w:div w:id="207229010">
      <w:bodyDiv w:val="1"/>
      <w:marLeft w:val="0"/>
      <w:marRight w:val="0"/>
      <w:marTop w:val="0"/>
      <w:marBottom w:val="0"/>
      <w:divBdr>
        <w:top w:val="none" w:sz="0" w:space="0" w:color="auto"/>
        <w:left w:val="none" w:sz="0" w:space="0" w:color="auto"/>
        <w:bottom w:val="none" w:sz="0" w:space="0" w:color="auto"/>
        <w:right w:val="none" w:sz="0" w:space="0" w:color="auto"/>
      </w:divBdr>
    </w:div>
    <w:div w:id="207959301">
      <w:bodyDiv w:val="1"/>
      <w:marLeft w:val="0"/>
      <w:marRight w:val="0"/>
      <w:marTop w:val="0"/>
      <w:marBottom w:val="0"/>
      <w:divBdr>
        <w:top w:val="none" w:sz="0" w:space="0" w:color="auto"/>
        <w:left w:val="none" w:sz="0" w:space="0" w:color="auto"/>
        <w:bottom w:val="none" w:sz="0" w:space="0" w:color="auto"/>
        <w:right w:val="none" w:sz="0" w:space="0" w:color="auto"/>
      </w:divBdr>
    </w:div>
    <w:div w:id="208033178">
      <w:bodyDiv w:val="1"/>
      <w:marLeft w:val="0"/>
      <w:marRight w:val="0"/>
      <w:marTop w:val="0"/>
      <w:marBottom w:val="0"/>
      <w:divBdr>
        <w:top w:val="none" w:sz="0" w:space="0" w:color="auto"/>
        <w:left w:val="none" w:sz="0" w:space="0" w:color="auto"/>
        <w:bottom w:val="none" w:sz="0" w:space="0" w:color="auto"/>
        <w:right w:val="none" w:sz="0" w:space="0" w:color="auto"/>
      </w:divBdr>
    </w:div>
    <w:div w:id="208418361">
      <w:bodyDiv w:val="1"/>
      <w:marLeft w:val="0"/>
      <w:marRight w:val="0"/>
      <w:marTop w:val="0"/>
      <w:marBottom w:val="0"/>
      <w:divBdr>
        <w:top w:val="none" w:sz="0" w:space="0" w:color="auto"/>
        <w:left w:val="none" w:sz="0" w:space="0" w:color="auto"/>
        <w:bottom w:val="none" w:sz="0" w:space="0" w:color="auto"/>
        <w:right w:val="none" w:sz="0" w:space="0" w:color="auto"/>
      </w:divBdr>
    </w:div>
    <w:div w:id="208496540">
      <w:bodyDiv w:val="1"/>
      <w:marLeft w:val="0"/>
      <w:marRight w:val="0"/>
      <w:marTop w:val="0"/>
      <w:marBottom w:val="0"/>
      <w:divBdr>
        <w:top w:val="none" w:sz="0" w:space="0" w:color="auto"/>
        <w:left w:val="none" w:sz="0" w:space="0" w:color="auto"/>
        <w:bottom w:val="none" w:sz="0" w:space="0" w:color="auto"/>
        <w:right w:val="none" w:sz="0" w:space="0" w:color="auto"/>
      </w:divBdr>
    </w:div>
    <w:div w:id="208958396">
      <w:bodyDiv w:val="1"/>
      <w:marLeft w:val="0"/>
      <w:marRight w:val="0"/>
      <w:marTop w:val="0"/>
      <w:marBottom w:val="0"/>
      <w:divBdr>
        <w:top w:val="none" w:sz="0" w:space="0" w:color="auto"/>
        <w:left w:val="none" w:sz="0" w:space="0" w:color="auto"/>
        <w:bottom w:val="none" w:sz="0" w:space="0" w:color="auto"/>
        <w:right w:val="none" w:sz="0" w:space="0" w:color="auto"/>
      </w:divBdr>
    </w:div>
    <w:div w:id="208960696">
      <w:bodyDiv w:val="1"/>
      <w:marLeft w:val="0"/>
      <w:marRight w:val="0"/>
      <w:marTop w:val="0"/>
      <w:marBottom w:val="0"/>
      <w:divBdr>
        <w:top w:val="none" w:sz="0" w:space="0" w:color="auto"/>
        <w:left w:val="none" w:sz="0" w:space="0" w:color="auto"/>
        <w:bottom w:val="none" w:sz="0" w:space="0" w:color="auto"/>
        <w:right w:val="none" w:sz="0" w:space="0" w:color="auto"/>
      </w:divBdr>
    </w:div>
    <w:div w:id="209539228">
      <w:bodyDiv w:val="1"/>
      <w:marLeft w:val="0"/>
      <w:marRight w:val="0"/>
      <w:marTop w:val="0"/>
      <w:marBottom w:val="0"/>
      <w:divBdr>
        <w:top w:val="none" w:sz="0" w:space="0" w:color="auto"/>
        <w:left w:val="none" w:sz="0" w:space="0" w:color="auto"/>
        <w:bottom w:val="none" w:sz="0" w:space="0" w:color="auto"/>
        <w:right w:val="none" w:sz="0" w:space="0" w:color="auto"/>
      </w:divBdr>
    </w:div>
    <w:div w:id="209735031">
      <w:bodyDiv w:val="1"/>
      <w:marLeft w:val="0"/>
      <w:marRight w:val="0"/>
      <w:marTop w:val="0"/>
      <w:marBottom w:val="0"/>
      <w:divBdr>
        <w:top w:val="none" w:sz="0" w:space="0" w:color="auto"/>
        <w:left w:val="none" w:sz="0" w:space="0" w:color="auto"/>
        <w:bottom w:val="none" w:sz="0" w:space="0" w:color="auto"/>
        <w:right w:val="none" w:sz="0" w:space="0" w:color="auto"/>
      </w:divBdr>
    </w:div>
    <w:div w:id="210460523">
      <w:bodyDiv w:val="1"/>
      <w:marLeft w:val="0"/>
      <w:marRight w:val="0"/>
      <w:marTop w:val="0"/>
      <w:marBottom w:val="0"/>
      <w:divBdr>
        <w:top w:val="none" w:sz="0" w:space="0" w:color="auto"/>
        <w:left w:val="none" w:sz="0" w:space="0" w:color="auto"/>
        <w:bottom w:val="none" w:sz="0" w:space="0" w:color="auto"/>
        <w:right w:val="none" w:sz="0" w:space="0" w:color="auto"/>
      </w:divBdr>
    </w:div>
    <w:div w:id="210657543">
      <w:bodyDiv w:val="1"/>
      <w:marLeft w:val="0"/>
      <w:marRight w:val="0"/>
      <w:marTop w:val="0"/>
      <w:marBottom w:val="0"/>
      <w:divBdr>
        <w:top w:val="none" w:sz="0" w:space="0" w:color="auto"/>
        <w:left w:val="none" w:sz="0" w:space="0" w:color="auto"/>
        <w:bottom w:val="none" w:sz="0" w:space="0" w:color="auto"/>
        <w:right w:val="none" w:sz="0" w:space="0" w:color="auto"/>
      </w:divBdr>
    </w:div>
    <w:div w:id="211577364">
      <w:bodyDiv w:val="1"/>
      <w:marLeft w:val="0"/>
      <w:marRight w:val="0"/>
      <w:marTop w:val="0"/>
      <w:marBottom w:val="0"/>
      <w:divBdr>
        <w:top w:val="none" w:sz="0" w:space="0" w:color="auto"/>
        <w:left w:val="none" w:sz="0" w:space="0" w:color="auto"/>
        <w:bottom w:val="none" w:sz="0" w:space="0" w:color="auto"/>
        <w:right w:val="none" w:sz="0" w:space="0" w:color="auto"/>
      </w:divBdr>
    </w:div>
    <w:div w:id="212276131">
      <w:bodyDiv w:val="1"/>
      <w:marLeft w:val="0"/>
      <w:marRight w:val="0"/>
      <w:marTop w:val="0"/>
      <w:marBottom w:val="0"/>
      <w:divBdr>
        <w:top w:val="none" w:sz="0" w:space="0" w:color="auto"/>
        <w:left w:val="none" w:sz="0" w:space="0" w:color="auto"/>
        <w:bottom w:val="none" w:sz="0" w:space="0" w:color="auto"/>
        <w:right w:val="none" w:sz="0" w:space="0" w:color="auto"/>
      </w:divBdr>
    </w:div>
    <w:div w:id="212927422">
      <w:bodyDiv w:val="1"/>
      <w:marLeft w:val="0"/>
      <w:marRight w:val="0"/>
      <w:marTop w:val="0"/>
      <w:marBottom w:val="0"/>
      <w:divBdr>
        <w:top w:val="none" w:sz="0" w:space="0" w:color="auto"/>
        <w:left w:val="none" w:sz="0" w:space="0" w:color="auto"/>
        <w:bottom w:val="none" w:sz="0" w:space="0" w:color="auto"/>
        <w:right w:val="none" w:sz="0" w:space="0" w:color="auto"/>
      </w:divBdr>
    </w:div>
    <w:div w:id="214510389">
      <w:bodyDiv w:val="1"/>
      <w:marLeft w:val="0"/>
      <w:marRight w:val="0"/>
      <w:marTop w:val="0"/>
      <w:marBottom w:val="0"/>
      <w:divBdr>
        <w:top w:val="none" w:sz="0" w:space="0" w:color="auto"/>
        <w:left w:val="none" w:sz="0" w:space="0" w:color="auto"/>
        <w:bottom w:val="none" w:sz="0" w:space="0" w:color="auto"/>
        <w:right w:val="none" w:sz="0" w:space="0" w:color="auto"/>
      </w:divBdr>
    </w:div>
    <w:div w:id="214511237">
      <w:bodyDiv w:val="1"/>
      <w:marLeft w:val="0"/>
      <w:marRight w:val="0"/>
      <w:marTop w:val="0"/>
      <w:marBottom w:val="0"/>
      <w:divBdr>
        <w:top w:val="none" w:sz="0" w:space="0" w:color="auto"/>
        <w:left w:val="none" w:sz="0" w:space="0" w:color="auto"/>
        <w:bottom w:val="none" w:sz="0" w:space="0" w:color="auto"/>
        <w:right w:val="none" w:sz="0" w:space="0" w:color="auto"/>
      </w:divBdr>
    </w:div>
    <w:div w:id="214632578">
      <w:bodyDiv w:val="1"/>
      <w:marLeft w:val="0"/>
      <w:marRight w:val="0"/>
      <w:marTop w:val="0"/>
      <w:marBottom w:val="0"/>
      <w:divBdr>
        <w:top w:val="none" w:sz="0" w:space="0" w:color="auto"/>
        <w:left w:val="none" w:sz="0" w:space="0" w:color="auto"/>
        <w:bottom w:val="none" w:sz="0" w:space="0" w:color="auto"/>
        <w:right w:val="none" w:sz="0" w:space="0" w:color="auto"/>
      </w:divBdr>
    </w:div>
    <w:div w:id="214852106">
      <w:bodyDiv w:val="1"/>
      <w:marLeft w:val="0"/>
      <w:marRight w:val="0"/>
      <w:marTop w:val="0"/>
      <w:marBottom w:val="0"/>
      <w:divBdr>
        <w:top w:val="none" w:sz="0" w:space="0" w:color="auto"/>
        <w:left w:val="none" w:sz="0" w:space="0" w:color="auto"/>
        <w:bottom w:val="none" w:sz="0" w:space="0" w:color="auto"/>
        <w:right w:val="none" w:sz="0" w:space="0" w:color="auto"/>
      </w:divBdr>
    </w:div>
    <w:div w:id="214857665">
      <w:bodyDiv w:val="1"/>
      <w:marLeft w:val="0"/>
      <w:marRight w:val="0"/>
      <w:marTop w:val="0"/>
      <w:marBottom w:val="0"/>
      <w:divBdr>
        <w:top w:val="none" w:sz="0" w:space="0" w:color="auto"/>
        <w:left w:val="none" w:sz="0" w:space="0" w:color="auto"/>
        <w:bottom w:val="none" w:sz="0" w:space="0" w:color="auto"/>
        <w:right w:val="none" w:sz="0" w:space="0" w:color="auto"/>
      </w:divBdr>
    </w:div>
    <w:div w:id="215433946">
      <w:bodyDiv w:val="1"/>
      <w:marLeft w:val="0"/>
      <w:marRight w:val="0"/>
      <w:marTop w:val="0"/>
      <w:marBottom w:val="0"/>
      <w:divBdr>
        <w:top w:val="none" w:sz="0" w:space="0" w:color="auto"/>
        <w:left w:val="none" w:sz="0" w:space="0" w:color="auto"/>
        <w:bottom w:val="none" w:sz="0" w:space="0" w:color="auto"/>
        <w:right w:val="none" w:sz="0" w:space="0" w:color="auto"/>
      </w:divBdr>
    </w:div>
    <w:div w:id="215551332">
      <w:bodyDiv w:val="1"/>
      <w:marLeft w:val="0"/>
      <w:marRight w:val="0"/>
      <w:marTop w:val="0"/>
      <w:marBottom w:val="0"/>
      <w:divBdr>
        <w:top w:val="none" w:sz="0" w:space="0" w:color="auto"/>
        <w:left w:val="none" w:sz="0" w:space="0" w:color="auto"/>
        <w:bottom w:val="none" w:sz="0" w:space="0" w:color="auto"/>
        <w:right w:val="none" w:sz="0" w:space="0" w:color="auto"/>
      </w:divBdr>
    </w:div>
    <w:div w:id="215699984">
      <w:bodyDiv w:val="1"/>
      <w:marLeft w:val="0"/>
      <w:marRight w:val="0"/>
      <w:marTop w:val="0"/>
      <w:marBottom w:val="0"/>
      <w:divBdr>
        <w:top w:val="none" w:sz="0" w:space="0" w:color="auto"/>
        <w:left w:val="none" w:sz="0" w:space="0" w:color="auto"/>
        <w:bottom w:val="none" w:sz="0" w:space="0" w:color="auto"/>
        <w:right w:val="none" w:sz="0" w:space="0" w:color="auto"/>
      </w:divBdr>
    </w:div>
    <w:div w:id="216088509">
      <w:bodyDiv w:val="1"/>
      <w:marLeft w:val="0"/>
      <w:marRight w:val="0"/>
      <w:marTop w:val="0"/>
      <w:marBottom w:val="0"/>
      <w:divBdr>
        <w:top w:val="none" w:sz="0" w:space="0" w:color="auto"/>
        <w:left w:val="none" w:sz="0" w:space="0" w:color="auto"/>
        <w:bottom w:val="none" w:sz="0" w:space="0" w:color="auto"/>
        <w:right w:val="none" w:sz="0" w:space="0" w:color="auto"/>
      </w:divBdr>
    </w:div>
    <w:div w:id="216479496">
      <w:bodyDiv w:val="1"/>
      <w:marLeft w:val="0"/>
      <w:marRight w:val="0"/>
      <w:marTop w:val="0"/>
      <w:marBottom w:val="0"/>
      <w:divBdr>
        <w:top w:val="none" w:sz="0" w:space="0" w:color="auto"/>
        <w:left w:val="none" w:sz="0" w:space="0" w:color="auto"/>
        <w:bottom w:val="none" w:sz="0" w:space="0" w:color="auto"/>
        <w:right w:val="none" w:sz="0" w:space="0" w:color="auto"/>
      </w:divBdr>
    </w:div>
    <w:div w:id="217206626">
      <w:bodyDiv w:val="1"/>
      <w:marLeft w:val="0"/>
      <w:marRight w:val="0"/>
      <w:marTop w:val="0"/>
      <w:marBottom w:val="0"/>
      <w:divBdr>
        <w:top w:val="none" w:sz="0" w:space="0" w:color="auto"/>
        <w:left w:val="none" w:sz="0" w:space="0" w:color="auto"/>
        <w:bottom w:val="none" w:sz="0" w:space="0" w:color="auto"/>
        <w:right w:val="none" w:sz="0" w:space="0" w:color="auto"/>
      </w:divBdr>
    </w:div>
    <w:div w:id="217740008">
      <w:bodyDiv w:val="1"/>
      <w:marLeft w:val="0"/>
      <w:marRight w:val="0"/>
      <w:marTop w:val="0"/>
      <w:marBottom w:val="0"/>
      <w:divBdr>
        <w:top w:val="none" w:sz="0" w:space="0" w:color="auto"/>
        <w:left w:val="none" w:sz="0" w:space="0" w:color="auto"/>
        <w:bottom w:val="none" w:sz="0" w:space="0" w:color="auto"/>
        <w:right w:val="none" w:sz="0" w:space="0" w:color="auto"/>
      </w:divBdr>
    </w:div>
    <w:div w:id="217858285">
      <w:bodyDiv w:val="1"/>
      <w:marLeft w:val="0"/>
      <w:marRight w:val="0"/>
      <w:marTop w:val="0"/>
      <w:marBottom w:val="0"/>
      <w:divBdr>
        <w:top w:val="none" w:sz="0" w:space="0" w:color="auto"/>
        <w:left w:val="none" w:sz="0" w:space="0" w:color="auto"/>
        <w:bottom w:val="none" w:sz="0" w:space="0" w:color="auto"/>
        <w:right w:val="none" w:sz="0" w:space="0" w:color="auto"/>
      </w:divBdr>
    </w:div>
    <w:div w:id="218439068">
      <w:bodyDiv w:val="1"/>
      <w:marLeft w:val="0"/>
      <w:marRight w:val="0"/>
      <w:marTop w:val="0"/>
      <w:marBottom w:val="0"/>
      <w:divBdr>
        <w:top w:val="none" w:sz="0" w:space="0" w:color="auto"/>
        <w:left w:val="none" w:sz="0" w:space="0" w:color="auto"/>
        <w:bottom w:val="none" w:sz="0" w:space="0" w:color="auto"/>
        <w:right w:val="none" w:sz="0" w:space="0" w:color="auto"/>
      </w:divBdr>
    </w:div>
    <w:div w:id="218513267">
      <w:bodyDiv w:val="1"/>
      <w:marLeft w:val="0"/>
      <w:marRight w:val="0"/>
      <w:marTop w:val="0"/>
      <w:marBottom w:val="0"/>
      <w:divBdr>
        <w:top w:val="none" w:sz="0" w:space="0" w:color="auto"/>
        <w:left w:val="none" w:sz="0" w:space="0" w:color="auto"/>
        <w:bottom w:val="none" w:sz="0" w:space="0" w:color="auto"/>
        <w:right w:val="none" w:sz="0" w:space="0" w:color="auto"/>
      </w:divBdr>
    </w:div>
    <w:div w:id="218826896">
      <w:bodyDiv w:val="1"/>
      <w:marLeft w:val="0"/>
      <w:marRight w:val="0"/>
      <w:marTop w:val="0"/>
      <w:marBottom w:val="0"/>
      <w:divBdr>
        <w:top w:val="none" w:sz="0" w:space="0" w:color="auto"/>
        <w:left w:val="none" w:sz="0" w:space="0" w:color="auto"/>
        <w:bottom w:val="none" w:sz="0" w:space="0" w:color="auto"/>
        <w:right w:val="none" w:sz="0" w:space="0" w:color="auto"/>
      </w:divBdr>
    </w:div>
    <w:div w:id="219446309">
      <w:bodyDiv w:val="1"/>
      <w:marLeft w:val="0"/>
      <w:marRight w:val="0"/>
      <w:marTop w:val="0"/>
      <w:marBottom w:val="0"/>
      <w:divBdr>
        <w:top w:val="none" w:sz="0" w:space="0" w:color="auto"/>
        <w:left w:val="none" w:sz="0" w:space="0" w:color="auto"/>
        <w:bottom w:val="none" w:sz="0" w:space="0" w:color="auto"/>
        <w:right w:val="none" w:sz="0" w:space="0" w:color="auto"/>
      </w:divBdr>
    </w:div>
    <w:div w:id="219945838">
      <w:bodyDiv w:val="1"/>
      <w:marLeft w:val="0"/>
      <w:marRight w:val="0"/>
      <w:marTop w:val="0"/>
      <w:marBottom w:val="0"/>
      <w:divBdr>
        <w:top w:val="none" w:sz="0" w:space="0" w:color="auto"/>
        <w:left w:val="none" w:sz="0" w:space="0" w:color="auto"/>
        <w:bottom w:val="none" w:sz="0" w:space="0" w:color="auto"/>
        <w:right w:val="none" w:sz="0" w:space="0" w:color="auto"/>
      </w:divBdr>
    </w:div>
    <w:div w:id="221141543">
      <w:bodyDiv w:val="1"/>
      <w:marLeft w:val="0"/>
      <w:marRight w:val="0"/>
      <w:marTop w:val="0"/>
      <w:marBottom w:val="0"/>
      <w:divBdr>
        <w:top w:val="none" w:sz="0" w:space="0" w:color="auto"/>
        <w:left w:val="none" w:sz="0" w:space="0" w:color="auto"/>
        <w:bottom w:val="none" w:sz="0" w:space="0" w:color="auto"/>
        <w:right w:val="none" w:sz="0" w:space="0" w:color="auto"/>
      </w:divBdr>
    </w:div>
    <w:div w:id="222105627">
      <w:bodyDiv w:val="1"/>
      <w:marLeft w:val="0"/>
      <w:marRight w:val="0"/>
      <w:marTop w:val="0"/>
      <w:marBottom w:val="0"/>
      <w:divBdr>
        <w:top w:val="none" w:sz="0" w:space="0" w:color="auto"/>
        <w:left w:val="none" w:sz="0" w:space="0" w:color="auto"/>
        <w:bottom w:val="none" w:sz="0" w:space="0" w:color="auto"/>
        <w:right w:val="none" w:sz="0" w:space="0" w:color="auto"/>
      </w:divBdr>
    </w:div>
    <w:div w:id="222642099">
      <w:bodyDiv w:val="1"/>
      <w:marLeft w:val="0"/>
      <w:marRight w:val="0"/>
      <w:marTop w:val="0"/>
      <w:marBottom w:val="0"/>
      <w:divBdr>
        <w:top w:val="none" w:sz="0" w:space="0" w:color="auto"/>
        <w:left w:val="none" w:sz="0" w:space="0" w:color="auto"/>
        <w:bottom w:val="none" w:sz="0" w:space="0" w:color="auto"/>
        <w:right w:val="none" w:sz="0" w:space="0" w:color="auto"/>
      </w:divBdr>
    </w:div>
    <w:div w:id="223682876">
      <w:bodyDiv w:val="1"/>
      <w:marLeft w:val="0"/>
      <w:marRight w:val="0"/>
      <w:marTop w:val="0"/>
      <w:marBottom w:val="0"/>
      <w:divBdr>
        <w:top w:val="none" w:sz="0" w:space="0" w:color="auto"/>
        <w:left w:val="none" w:sz="0" w:space="0" w:color="auto"/>
        <w:bottom w:val="none" w:sz="0" w:space="0" w:color="auto"/>
        <w:right w:val="none" w:sz="0" w:space="0" w:color="auto"/>
      </w:divBdr>
    </w:div>
    <w:div w:id="223756043">
      <w:bodyDiv w:val="1"/>
      <w:marLeft w:val="0"/>
      <w:marRight w:val="0"/>
      <w:marTop w:val="0"/>
      <w:marBottom w:val="0"/>
      <w:divBdr>
        <w:top w:val="none" w:sz="0" w:space="0" w:color="auto"/>
        <w:left w:val="none" w:sz="0" w:space="0" w:color="auto"/>
        <w:bottom w:val="none" w:sz="0" w:space="0" w:color="auto"/>
        <w:right w:val="none" w:sz="0" w:space="0" w:color="auto"/>
      </w:divBdr>
    </w:div>
    <w:div w:id="224029182">
      <w:bodyDiv w:val="1"/>
      <w:marLeft w:val="0"/>
      <w:marRight w:val="0"/>
      <w:marTop w:val="0"/>
      <w:marBottom w:val="0"/>
      <w:divBdr>
        <w:top w:val="none" w:sz="0" w:space="0" w:color="auto"/>
        <w:left w:val="none" w:sz="0" w:space="0" w:color="auto"/>
        <w:bottom w:val="none" w:sz="0" w:space="0" w:color="auto"/>
        <w:right w:val="none" w:sz="0" w:space="0" w:color="auto"/>
      </w:divBdr>
    </w:div>
    <w:div w:id="224266601">
      <w:bodyDiv w:val="1"/>
      <w:marLeft w:val="0"/>
      <w:marRight w:val="0"/>
      <w:marTop w:val="0"/>
      <w:marBottom w:val="0"/>
      <w:divBdr>
        <w:top w:val="none" w:sz="0" w:space="0" w:color="auto"/>
        <w:left w:val="none" w:sz="0" w:space="0" w:color="auto"/>
        <w:bottom w:val="none" w:sz="0" w:space="0" w:color="auto"/>
        <w:right w:val="none" w:sz="0" w:space="0" w:color="auto"/>
      </w:divBdr>
    </w:div>
    <w:div w:id="224269243">
      <w:bodyDiv w:val="1"/>
      <w:marLeft w:val="0"/>
      <w:marRight w:val="0"/>
      <w:marTop w:val="0"/>
      <w:marBottom w:val="0"/>
      <w:divBdr>
        <w:top w:val="none" w:sz="0" w:space="0" w:color="auto"/>
        <w:left w:val="none" w:sz="0" w:space="0" w:color="auto"/>
        <w:bottom w:val="none" w:sz="0" w:space="0" w:color="auto"/>
        <w:right w:val="none" w:sz="0" w:space="0" w:color="auto"/>
      </w:divBdr>
    </w:div>
    <w:div w:id="224296479">
      <w:bodyDiv w:val="1"/>
      <w:marLeft w:val="0"/>
      <w:marRight w:val="0"/>
      <w:marTop w:val="0"/>
      <w:marBottom w:val="0"/>
      <w:divBdr>
        <w:top w:val="none" w:sz="0" w:space="0" w:color="auto"/>
        <w:left w:val="none" w:sz="0" w:space="0" w:color="auto"/>
        <w:bottom w:val="none" w:sz="0" w:space="0" w:color="auto"/>
        <w:right w:val="none" w:sz="0" w:space="0" w:color="auto"/>
      </w:divBdr>
    </w:div>
    <w:div w:id="224684793">
      <w:bodyDiv w:val="1"/>
      <w:marLeft w:val="0"/>
      <w:marRight w:val="0"/>
      <w:marTop w:val="0"/>
      <w:marBottom w:val="0"/>
      <w:divBdr>
        <w:top w:val="none" w:sz="0" w:space="0" w:color="auto"/>
        <w:left w:val="none" w:sz="0" w:space="0" w:color="auto"/>
        <w:bottom w:val="none" w:sz="0" w:space="0" w:color="auto"/>
        <w:right w:val="none" w:sz="0" w:space="0" w:color="auto"/>
      </w:divBdr>
    </w:div>
    <w:div w:id="225579981">
      <w:bodyDiv w:val="1"/>
      <w:marLeft w:val="0"/>
      <w:marRight w:val="0"/>
      <w:marTop w:val="0"/>
      <w:marBottom w:val="0"/>
      <w:divBdr>
        <w:top w:val="none" w:sz="0" w:space="0" w:color="auto"/>
        <w:left w:val="none" w:sz="0" w:space="0" w:color="auto"/>
        <w:bottom w:val="none" w:sz="0" w:space="0" w:color="auto"/>
        <w:right w:val="none" w:sz="0" w:space="0" w:color="auto"/>
      </w:divBdr>
    </w:div>
    <w:div w:id="225652834">
      <w:bodyDiv w:val="1"/>
      <w:marLeft w:val="0"/>
      <w:marRight w:val="0"/>
      <w:marTop w:val="0"/>
      <w:marBottom w:val="0"/>
      <w:divBdr>
        <w:top w:val="none" w:sz="0" w:space="0" w:color="auto"/>
        <w:left w:val="none" w:sz="0" w:space="0" w:color="auto"/>
        <w:bottom w:val="none" w:sz="0" w:space="0" w:color="auto"/>
        <w:right w:val="none" w:sz="0" w:space="0" w:color="auto"/>
      </w:divBdr>
    </w:div>
    <w:div w:id="226232502">
      <w:bodyDiv w:val="1"/>
      <w:marLeft w:val="0"/>
      <w:marRight w:val="0"/>
      <w:marTop w:val="0"/>
      <w:marBottom w:val="0"/>
      <w:divBdr>
        <w:top w:val="none" w:sz="0" w:space="0" w:color="auto"/>
        <w:left w:val="none" w:sz="0" w:space="0" w:color="auto"/>
        <w:bottom w:val="none" w:sz="0" w:space="0" w:color="auto"/>
        <w:right w:val="none" w:sz="0" w:space="0" w:color="auto"/>
      </w:divBdr>
    </w:div>
    <w:div w:id="226261427">
      <w:bodyDiv w:val="1"/>
      <w:marLeft w:val="0"/>
      <w:marRight w:val="0"/>
      <w:marTop w:val="0"/>
      <w:marBottom w:val="0"/>
      <w:divBdr>
        <w:top w:val="none" w:sz="0" w:space="0" w:color="auto"/>
        <w:left w:val="none" w:sz="0" w:space="0" w:color="auto"/>
        <w:bottom w:val="none" w:sz="0" w:space="0" w:color="auto"/>
        <w:right w:val="none" w:sz="0" w:space="0" w:color="auto"/>
      </w:divBdr>
    </w:div>
    <w:div w:id="227349827">
      <w:bodyDiv w:val="1"/>
      <w:marLeft w:val="0"/>
      <w:marRight w:val="0"/>
      <w:marTop w:val="0"/>
      <w:marBottom w:val="0"/>
      <w:divBdr>
        <w:top w:val="none" w:sz="0" w:space="0" w:color="auto"/>
        <w:left w:val="none" w:sz="0" w:space="0" w:color="auto"/>
        <w:bottom w:val="none" w:sz="0" w:space="0" w:color="auto"/>
        <w:right w:val="none" w:sz="0" w:space="0" w:color="auto"/>
      </w:divBdr>
    </w:div>
    <w:div w:id="228275427">
      <w:bodyDiv w:val="1"/>
      <w:marLeft w:val="0"/>
      <w:marRight w:val="0"/>
      <w:marTop w:val="0"/>
      <w:marBottom w:val="0"/>
      <w:divBdr>
        <w:top w:val="none" w:sz="0" w:space="0" w:color="auto"/>
        <w:left w:val="none" w:sz="0" w:space="0" w:color="auto"/>
        <w:bottom w:val="none" w:sz="0" w:space="0" w:color="auto"/>
        <w:right w:val="none" w:sz="0" w:space="0" w:color="auto"/>
      </w:divBdr>
    </w:div>
    <w:div w:id="228536958">
      <w:bodyDiv w:val="1"/>
      <w:marLeft w:val="0"/>
      <w:marRight w:val="0"/>
      <w:marTop w:val="0"/>
      <w:marBottom w:val="0"/>
      <w:divBdr>
        <w:top w:val="none" w:sz="0" w:space="0" w:color="auto"/>
        <w:left w:val="none" w:sz="0" w:space="0" w:color="auto"/>
        <w:bottom w:val="none" w:sz="0" w:space="0" w:color="auto"/>
        <w:right w:val="none" w:sz="0" w:space="0" w:color="auto"/>
      </w:divBdr>
    </w:div>
    <w:div w:id="228544419">
      <w:bodyDiv w:val="1"/>
      <w:marLeft w:val="0"/>
      <w:marRight w:val="0"/>
      <w:marTop w:val="0"/>
      <w:marBottom w:val="0"/>
      <w:divBdr>
        <w:top w:val="none" w:sz="0" w:space="0" w:color="auto"/>
        <w:left w:val="none" w:sz="0" w:space="0" w:color="auto"/>
        <w:bottom w:val="none" w:sz="0" w:space="0" w:color="auto"/>
        <w:right w:val="none" w:sz="0" w:space="0" w:color="auto"/>
      </w:divBdr>
    </w:div>
    <w:div w:id="229970267">
      <w:bodyDiv w:val="1"/>
      <w:marLeft w:val="0"/>
      <w:marRight w:val="0"/>
      <w:marTop w:val="0"/>
      <w:marBottom w:val="0"/>
      <w:divBdr>
        <w:top w:val="none" w:sz="0" w:space="0" w:color="auto"/>
        <w:left w:val="none" w:sz="0" w:space="0" w:color="auto"/>
        <w:bottom w:val="none" w:sz="0" w:space="0" w:color="auto"/>
        <w:right w:val="none" w:sz="0" w:space="0" w:color="auto"/>
      </w:divBdr>
    </w:div>
    <w:div w:id="230581863">
      <w:bodyDiv w:val="1"/>
      <w:marLeft w:val="0"/>
      <w:marRight w:val="0"/>
      <w:marTop w:val="0"/>
      <w:marBottom w:val="0"/>
      <w:divBdr>
        <w:top w:val="none" w:sz="0" w:space="0" w:color="auto"/>
        <w:left w:val="none" w:sz="0" w:space="0" w:color="auto"/>
        <w:bottom w:val="none" w:sz="0" w:space="0" w:color="auto"/>
        <w:right w:val="none" w:sz="0" w:space="0" w:color="auto"/>
      </w:divBdr>
    </w:div>
    <w:div w:id="230887724">
      <w:bodyDiv w:val="1"/>
      <w:marLeft w:val="0"/>
      <w:marRight w:val="0"/>
      <w:marTop w:val="0"/>
      <w:marBottom w:val="0"/>
      <w:divBdr>
        <w:top w:val="none" w:sz="0" w:space="0" w:color="auto"/>
        <w:left w:val="none" w:sz="0" w:space="0" w:color="auto"/>
        <w:bottom w:val="none" w:sz="0" w:space="0" w:color="auto"/>
        <w:right w:val="none" w:sz="0" w:space="0" w:color="auto"/>
      </w:divBdr>
    </w:div>
    <w:div w:id="230887941">
      <w:bodyDiv w:val="1"/>
      <w:marLeft w:val="0"/>
      <w:marRight w:val="0"/>
      <w:marTop w:val="0"/>
      <w:marBottom w:val="0"/>
      <w:divBdr>
        <w:top w:val="none" w:sz="0" w:space="0" w:color="auto"/>
        <w:left w:val="none" w:sz="0" w:space="0" w:color="auto"/>
        <w:bottom w:val="none" w:sz="0" w:space="0" w:color="auto"/>
        <w:right w:val="none" w:sz="0" w:space="0" w:color="auto"/>
      </w:divBdr>
    </w:div>
    <w:div w:id="230963444">
      <w:bodyDiv w:val="1"/>
      <w:marLeft w:val="0"/>
      <w:marRight w:val="0"/>
      <w:marTop w:val="0"/>
      <w:marBottom w:val="0"/>
      <w:divBdr>
        <w:top w:val="none" w:sz="0" w:space="0" w:color="auto"/>
        <w:left w:val="none" w:sz="0" w:space="0" w:color="auto"/>
        <w:bottom w:val="none" w:sz="0" w:space="0" w:color="auto"/>
        <w:right w:val="none" w:sz="0" w:space="0" w:color="auto"/>
      </w:divBdr>
    </w:div>
    <w:div w:id="231082545">
      <w:bodyDiv w:val="1"/>
      <w:marLeft w:val="0"/>
      <w:marRight w:val="0"/>
      <w:marTop w:val="0"/>
      <w:marBottom w:val="0"/>
      <w:divBdr>
        <w:top w:val="none" w:sz="0" w:space="0" w:color="auto"/>
        <w:left w:val="none" w:sz="0" w:space="0" w:color="auto"/>
        <w:bottom w:val="none" w:sz="0" w:space="0" w:color="auto"/>
        <w:right w:val="none" w:sz="0" w:space="0" w:color="auto"/>
      </w:divBdr>
    </w:div>
    <w:div w:id="231359263">
      <w:bodyDiv w:val="1"/>
      <w:marLeft w:val="0"/>
      <w:marRight w:val="0"/>
      <w:marTop w:val="0"/>
      <w:marBottom w:val="0"/>
      <w:divBdr>
        <w:top w:val="none" w:sz="0" w:space="0" w:color="auto"/>
        <w:left w:val="none" w:sz="0" w:space="0" w:color="auto"/>
        <w:bottom w:val="none" w:sz="0" w:space="0" w:color="auto"/>
        <w:right w:val="none" w:sz="0" w:space="0" w:color="auto"/>
      </w:divBdr>
    </w:div>
    <w:div w:id="232547241">
      <w:bodyDiv w:val="1"/>
      <w:marLeft w:val="0"/>
      <w:marRight w:val="0"/>
      <w:marTop w:val="0"/>
      <w:marBottom w:val="0"/>
      <w:divBdr>
        <w:top w:val="none" w:sz="0" w:space="0" w:color="auto"/>
        <w:left w:val="none" w:sz="0" w:space="0" w:color="auto"/>
        <w:bottom w:val="none" w:sz="0" w:space="0" w:color="auto"/>
        <w:right w:val="none" w:sz="0" w:space="0" w:color="auto"/>
      </w:divBdr>
    </w:div>
    <w:div w:id="232933071">
      <w:bodyDiv w:val="1"/>
      <w:marLeft w:val="0"/>
      <w:marRight w:val="0"/>
      <w:marTop w:val="0"/>
      <w:marBottom w:val="0"/>
      <w:divBdr>
        <w:top w:val="none" w:sz="0" w:space="0" w:color="auto"/>
        <w:left w:val="none" w:sz="0" w:space="0" w:color="auto"/>
        <w:bottom w:val="none" w:sz="0" w:space="0" w:color="auto"/>
        <w:right w:val="none" w:sz="0" w:space="0" w:color="auto"/>
      </w:divBdr>
    </w:div>
    <w:div w:id="233244684">
      <w:bodyDiv w:val="1"/>
      <w:marLeft w:val="0"/>
      <w:marRight w:val="0"/>
      <w:marTop w:val="0"/>
      <w:marBottom w:val="0"/>
      <w:divBdr>
        <w:top w:val="none" w:sz="0" w:space="0" w:color="auto"/>
        <w:left w:val="none" w:sz="0" w:space="0" w:color="auto"/>
        <w:bottom w:val="none" w:sz="0" w:space="0" w:color="auto"/>
        <w:right w:val="none" w:sz="0" w:space="0" w:color="auto"/>
      </w:divBdr>
    </w:div>
    <w:div w:id="234122590">
      <w:bodyDiv w:val="1"/>
      <w:marLeft w:val="0"/>
      <w:marRight w:val="0"/>
      <w:marTop w:val="0"/>
      <w:marBottom w:val="0"/>
      <w:divBdr>
        <w:top w:val="none" w:sz="0" w:space="0" w:color="auto"/>
        <w:left w:val="none" w:sz="0" w:space="0" w:color="auto"/>
        <w:bottom w:val="none" w:sz="0" w:space="0" w:color="auto"/>
        <w:right w:val="none" w:sz="0" w:space="0" w:color="auto"/>
      </w:divBdr>
    </w:div>
    <w:div w:id="234440152">
      <w:bodyDiv w:val="1"/>
      <w:marLeft w:val="0"/>
      <w:marRight w:val="0"/>
      <w:marTop w:val="0"/>
      <w:marBottom w:val="0"/>
      <w:divBdr>
        <w:top w:val="none" w:sz="0" w:space="0" w:color="auto"/>
        <w:left w:val="none" w:sz="0" w:space="0" w:color="auto"/>
        <w:bottom w:val="none" w:sz="0" w:space="0" w:color="auto"/>
        <w:right w:val="none" w:sz="0" w:space="0" w:color="auto"/>
      </w:divBdr>
    </w:div>
    <w:div w:id="236717985">
      <w:bodyDiv w:val="1"/>
      <w:marLeft w:val="0"/>
      <w:marRight w:val="0"/>
      <w:marTop w:val="0"/>
      <w:marBottom w:val="0"/>
      <w:divBdr>
        <w:top w:val="none" w:sz="0" w:space="0" w:color="auto"/>
        <w:left w:val="none" w:sz="0" w:space="0" w:color="auto"/>
        <w:bottom w:val="none" w:sz="0" w:space="0" w:color="auto"/>
        <w:right w:val="none" w:sz="0" w:space="0" w:color="auto"/>
      </w:divBdr>
    </w:div>
    <w:div w:id="237179156">
      <w:bodyDiv w:val="1"/>
      <w:marLeft w:val="0"/>
      <w:marRight w:val="0"/>
      <w:marTop w:val="0"/>
      <w:marBottom w:val="0"/>
      <w:divBdr>
        <w:top w:val="none" w:sz="0" w:space="0" w:color="auto"/>
        <w:left w:val="none" w:sz="0" w:space="0" w:color="auto"/>
        <w:bottom w:val="none" w:sz="0" w:space="0" w:color="auto"/>
        <w:right w:val="none" w:sz="0" w:space="0" w:color="auto"/>
      </w:divBdr>
    </w:div>
    <w:div w:id="237516185">
      <w:bodyDiv w:val="1"/>
      <w:marLeft w:val="0"/>
      <w:marRight w:val="0"/>
      <w:marTop w:val="0"/>
      <w:marBottom w:val="0"/>
      <w:divBdr>
        <w:top w:val="none" w:sz="0" w:space="0" w:color="auto"/>
        <w:left w:val="none" w:sz="0" w:space="0" w:color="auto"/>
        <w:bottom w:val="none" w:sz="0" w:space="0" w:color="auto"/>
        <w:right w:val="none" w:sz="0" w:space="0" w:color="auto"/>
      </w:divBdr>
    </w:div>
    <w:div w:id="238057278">
      <w:bodyDiv w:val="1"/>
      <w:marLeft w:val="0"/>
      <w:marRight w:val="0"/>
      <w:marTop w:val="0"/>
      <w:marBottom w:val="0"/>
      <w:divBdr>
        <w:top w:val="none" w:sz="0" w:space="0" w:color="auto"/>
        <w:left w:val="none" w:sz="0" w:space="0" w:color="auto"/>
        <w:bottom w:val="none" w:sz="0" w:space="0" w:color="auto"/>
        <w:right w:val="none" w:sz="0" w:space="0" w:color="auto"/>
      </w:divBdr>
    </w:div>
    <w:div w:id="239679029">
      <w:bodyDiv w:val="1"/>
      <w:marLeft w:val="0"/>
      <w:marRight w:val="0"/>
      <w:marTop w:val="0"/>
      <w:marBottom w:val="0"/>
      <w:divBdr>
        <w:top w:val="none" w:sz="0" w:space="0" w:color="auto"/>
        <w:left w:val="none" w:sz="0" w:space="0" w:color="auto"/>
        <w:bottom w:val="none" w:sz="0" w:space="0" w:color="auto"/>
        <w:right w:val="none" w:sz="0" w:space="0" w:color="auto"/>
      </w:divBdr>
    </w:div>
    <w:div w:id="240530859">
      <w:bodyDiv w:val="1"/>
      <w:marLeft w:val="0"/>
      <w:marRight w:val="0"/>
      <w:marTop w:val="0"/>
      <w:marBottom w:val="0"/>
      <w:divBdr>
        <w:top w:val="none" w:sz="0" w:space="0" w:color="auto"/>
        <w:left w:val="none" w:sz="0" w:space="0" w:color="auto"/>
        <w:bottom w:val="none" w:sz="0" w:space="0" w:color="auto"/>
        <w:right w:val="none" w:sz="0" w:space="0" w:color="auto"/>
      </w:divBdr>
    </w:div>
    <w:div w:id="241523303">
      <w:bodyDiv w:val="1"/>
      <w:marLeft w:val="0"/>
      <w:marRight w:val="0"/>
      <w:marTop w:val="0"/>
      <w:marBottom w:val="0"/>
      <w:divBdr>
        <w:top w:val="none" w:sz="0" w:space="0" w:color="auto"/>
        <w:left w:val="none" w:sz="0" w:space="0" w:color="auto"/>
        <w:bottom w:val="none" w:sz="0" w:space="0" w:color="auto"/>
        <w:right w:val="none" w:sz="0" w:space="0" w:color="auto"/>
      </w:divBdr>
    </w:div>
    <w:div w:id="241986616">
      <w:bodyDiv w:val="1"/>
      <w:marLeft w:val="0"/>
      <w:marRight w:val="0"/>
      <w:marTop w:val="0"/>
      <w:marBottom w:val="0"/>
      <w:divBdr>
        <w:top w:val="none" w:sz="0" w:space="0" w:color="auto"/>
        <w:left w:val="none" w:sz="0" w:space="0" w:color="auto"/>
        <w:bottom w:val="none" w:sz="0" w:space="0" w:color="auto"/>
        <w:right w:val="none" w:sz="0" w:space="0" w:color="auto"/>
      </w:divBdr>
    </w:div>
    <w:div w:id="243999296">
      <w:bodyDiv w:val="1"/>
      <w:marLeft w:val="0"/>
      <w:marRight w:val="0"/>
      <w:marTop w:val="0"/>
      <w:marBottom w:val="0"/>
      <w:divBdr>
        <w:top w:val="none" w:sz="0" w:space="0" w:color="auto"/>
        <w:left w:val="none" w:sz="0" w:space="0" w:color="auto"/>
        <w:bottom w:val="none" w:sz="0" w:space="0" w:color="auto"/>
        <w:right w:val="none" w:sz="0" w:space="0" w:color="auto"/>
      </w:divBdr>
    </w:div>
    <w:div w:id="244385038">
      <w:bodyDiv w:val="1"/>
      <w:marLeft w:val="0"/>
      <w:marRight w:val="0"/>
      <w:marTop w:val="0"/>
      <w:marBottom w:val="0"/>
      <w:divBdr>
        <w:top w:val="none" w:sz="0" w:space="0" w:color="auto"/>
        <w:left w:val="none" w:sz="0" w:space="0" w:color="auto"/>
        <w:bottom w:val="none" w:sz="0" w:space="0" w:color="auto"/>
        <w:right w:val="none" w:sz="0" w:space="0" w:color="auto"/>
      </w:divBdr>
    </w:div>
    <w:div w:id="244653898">
      <w:bodyDiv w:val="1"/>
      <w:marLeft w:val="0"/>
      <w:marRight w:val="0"/>
      <w:marTop w:val="0"/>
      <w:marBottom w:val="0"/>
      <w:divBdr>
        <w:top w:val="none" w:sz="0" w:space="0" w:color="auto"/>
        <w:left w:val="none" w:sz="0" w:space="0" w:color="auto"/>
        <w:bottom w:val="none" w:sz="0" w:space="0" w:color="auto"/>
        <w:right w:val="none" w:sz="0" w:space="0" w:color="auto"/>
      </w:divBdr>
    </w:div>
    <w:div w:id="245186038">
      <w:bodyDiv w:val="1"/>
      <w:marLeft w:val="0"/>
      <w:marRight w:val="0"/>
      <w:marTop w:val="0"/>
      <w:marBottom w:val="0"/>
      <w:divBdr>
        <w:top w:val="none" w:sz="0" w:space="0" w:color="auto"/>
        <w:left w:val="none" w:sz="0" w:space="0" w:color="auto"/>
        <w:bottom w:val="none" w:sz="0" w:space="0" w:color="auto"/>
        <w:right w:val="none" w:sz="0" w:space="0" w:color="auto"/>
      </w:divBdr>
    </w:div>
    <w:div w:id="245581771">
      <w:bodyDiv w:val="1"/>
      <w:marLeft w:val="0"/>
      <w:marRight w:val="0"/>
      <w:marTop w:val="0"/>
      <w:marBottom w:val="0"/>
      <w:divBdr>
        <w:top w:val="none" w:sz="0" w:space="0" w:color="auto"/>
        <w:left w:val="none" w:sz="0" w:space="0" w:color="auto"/>
        <w:bottom w:val="none" w:sz="0" w:space="0" w:color="auto"/>
        <w:right w:val="none" w:sz="0" w:space="0" w:color="auto"/>
      </w:divBdr>
    </w:div>
    <w:div w:id="246231833">
      <w:bodyDiv w:val="1"/>
      <w:marLeft w:val="0"/>
      <w:marRight w:val="0"/>
      <w:marTop w:val="0"/>
      <w:marBottom w:val="0"/>
      <w:divBdr>
        <w:top w:val="none" w:sz="0" w:space="0" w:color="auto"/>
        <w:left w:val="none" w:sz="0" w:space="0" w:color="auto"/>
        <w:bottom w:val="none" w:sz="0" w:space="0" w:color="auto"/>
        <w:right w:val="none" w:sz="0" w:space="0" w:color="auto"/>
      </w:divBdr>
    </w:div>
    <w:div w:id="246812062">
      <w:bodyDiv w:val="1"/>
      <w:marLeft w:val="0"/>
      <w:marRight w:val="0"/>
      <w:marTop w:val="0"/>
      <w:marBottom w:val="0"/>
      <w:divBdr>
        <w:top w:val="none" w:sz="0" w:space="0" w:color="auto"/>
        <w:left w:val="none" w:sz="0" w:space="0" w:color="auto"/>
        <w:bottom w:val="none" w:sz="0" w:space="0" w:color="auto"/>
        <w:right w:val="none" w:sz="0" w:space="0" w:color="auto"/>
      </w:divBdr>
    </w:div>
    <w:div w:id="248469475">
      <w:bodyDiv w:val="1"/>
      <w:marLeft w:val="0"/>
      <w:marRight w:val="0"/>
      <w:marTop w:val="0"/>
      <w:marBottom w:val="0"/>
      <w:divBdr>
        <w:top w:val="none" w:sz="0" w:space="0" w:color="auto"/>
        <w:left w:val="none" w:sz="0" w:space="0" w:color="auto"/>
        <w:bottom w:val="none" w:sz="0" w:space="0" w:color="auto"/>
        <w:right w:val="none" w:sz="0" w:space="0" w:color="auto"/>
      </w:divBdr>
    </w:div>
    <w:div w:id="249317597">
      <w:bodyDiv w:val="1"/>
      <w:marLeft w:val="0"/>
      <w:marRight w:val="0"/>
      <w:marTop w:val="0"/>
      <w:marBottom w:val="0"/>
      <w:divBdr>
        <w:top w:val="none" w:sz="0" w:space="0" w:color="auto"/>
        <w:left w:val="none" w:sz="0" w:space="0" w:color="auto"/>
        <w:bottom w:val="none" w:sz="0" w:space="0" w:color="auto"/>
        <w:right w:val="none" w:sz="0" w:space="0" w:color="auto"/>
      </w:divBdr>
    </w:div>
    <w:div w:id="250817288">
      <w:bodyDiv w:val="1"/>
      <w:marLeft w:val="0"/>
      <w:marRight w:val="0"/>
      <w:marTop w:val="0"/>
      <w:marBottom w:val="0"/>
      <w:divBdr>
        <w:top w:val="none" w:sz="0" w:space="0" w:color="auto"/>
        <w:left w:val="none" w:sz="0" w:space="0" w:color="auto"/>
        <w:bottom w:val="none" w:sz="0" w:space="0" w:color="auto"/>
        <w:right w:val="none" w:sz="0" w:space="0" w:color="auto"/>
      </w:divBdr>
    </w:div>
    <w:div w:id="251014237">
      <w:bodyDiv w:val="1"/>
      <w:marLeft w:val="0"/>
      <w:marRight w:val="0"/>
      <w:marTop w:val="0"/>
      <w:marBottom w:val="0"/>
      <w:divBdr>
        <w:top w:val="none" w:sz="0" w:space="0" w:color="auto"/>
        <w:left w:val="none" w:sz="0" w:space="0" w:color="auto"/>
        <w:bottom w:val="none" w:sz="0" w:space="0" w:color="auto"/>
        <w:right w:val="none" w:sz="0" w:space="0" w:color="auto"/>
      </w:divBdr>
    </w:div>
    <w:div w:id="251281980">
      <w:bodyDiv w:val="1"/>
      <w:marLeft w:val="0"/>
      <w:marRight w:val="0"/>
      <w:marTop w:val="0"/>
      <w:marBottom w:val="0"/>
      <w:divBdr>
        <w:top w:val="none" w:sz="0" w:space="0" w:color="auto"/>
        <w:left w:val="none" w:sz="0" w:space="0" w:color="auto"/>
        <w:bottom w:val="none" w:sz="0" w:space="0" w:color="auto"/>
        <w:right w:val="none" w:sz="0" w:space="0" w:color="auto"/>
      </w:divBdr>
    </w:div>
    <w:div w:id="251624638">
      <w:bodyDiv w:val="1"/>
      <w:marLeft w:val="0"/>
      <w:marRight w:val="0"/>
      <w:marTop w:val="0"/>
      <w:marBottom w:val="0"/>
      <w:divBdr>
        <w:top w:val="none" w:sz="0" w:space="0" w:color="auto"/>
        <w:left w:val="none" w:sz="0" w:space="0" w:color="auto"/>
        <w:bottom w:val="none" w:sz="0" w:space="0" w:color="auto"/>
        <w:right w:val="none" w:sz="0" w:space="0" w:color="auto"/>
      </w:divBdr>
    </w:div>
    <w:div w:id="251859356">
      <w:bodyDiv w:val="1"/>
      <w:marLeft w:val="0"/>
      <w:marRight w:val="0"/>
      <w:marTop w:val="0"/>
      <w:marBottom w:val="0"/>
      <w:divBdr>
        <w:top w:val="none" w:sz="0" w:space="0" w:color="auto"/>
        <w:left w:val="none" w:sz="0" w:space="0" w:color="auto"/>
        <w:bottom w:val="none" w:sz="0" w:space="0" w:color="auto"/>
        <w:right w:val="none" w:sz="0" w:space="0" w:color="auto"/>
      </w:divBdr>
    </w:div>
    <w:div w:id="252865055">
      <w:bodyDiv w:val="1"/>
      <w:marLeft w:val="0"/>
      <w:marRight w:val="0"/>
      <w:marTop w:val="0"/>
      <w:marBottom w:val="0"/>
      <w:divBdr>
        <w:top w:val="none" w:sz="0" w:space="0" w:color="auto"/>
        <w:left w:val="none" w:sz="0" w:space="0" w:color="auto"/>
        <w:bottom w:val="none" w:sz="0" w:space="0" w:color="auto"/>
        <w:right w:val="none" w:sz="0" w:space="0" w:color="auto"/>
      </w:divBdr>
    </w:div>
    <w:div w:id="253052819">
      <w:bodyDiv w:val="1"/>
      <w:marLeft w:val="0"/>
      <w:marRight w:val="0"/>
      <w:marTop w:val="0"/>
      <w:marBottom w:val="0"/>
      <w:divBdr>
        <w:top w:val="none" w:sz="0" w:space="0" w:color="auto"/>
        <w:left w:val="none" w:sz="0" w:space="0" w:color="auto"/>
        <w:bottom w:val="none" w:sz="0" w:space="0" w:color="auto"/>
        <w:right w:val="none" w:sz="0" w:space="0" w:color="auto"/>
      </w:divBdr>
    </w:div>
    <w:div w:id="253591020">
      <w:bodyDiv w:val="1"/>
      <w:marLeft w:val="0"/>
      <w:marRight w:val="0"/>
      <w:marTop w:val="0"/>
      <w:marBottom w:val="0"/>
      <w:divBdr>
        <w:top w:val="none" w:sz="0" w:space="0" w:color="auto"/>
        <w:left w:val="none" w:sz="0" w:space="0" w:color="auto"/>
        <w:bottom w:val="none" w:sz="0" w:space="0" w:color="auto"/>
        <w:right w:val="none" w:sz="0" w:space="0" w:color="auto"/>
      </w:divBdr>
    </w:div>
    <w:div w:id="254749115">
      <w:bodyDiv w:val="1"/>
      <w:marLeft w:val="0"/>
      <w:marRight w:val="0"/>
      <w:marTop w:val="0"/>
      <w:marBottom w:val="0"/>
      <w:divBdr>
        <w:top w:val="none" w:sz="0" w:space="0" w:color="auto"/>
        <w:left w:val="none" w:sz="0" w:space="0" w:color="auto"/>
        <w:bottom w:val="none" w:sz="0" w:space="0" w:color="auto"/>
        <w:right w:val="none" w:sz="0" w:space="0" w:color="auto"/>
      </w:divBdr>
    </w:div>
    <w:div w:id="254751013">
      <w:bodyDiv w:val="1"/>
      <w:marLeft w:val="0"/>
      <w:marRight w:val="0"/>
      <w:marTop w:val="0"/>
      <w:marBottom w:val="0"/>
      <w:divBdr>
        <w:top w:val="none" w:sz="0" w:space="0" w:color="auto"/>
        <w:left w:val="none" w:sz="0" w:space="0" w:color="auto"/>
        <w:bottom w:val="none" w:sz="0" w:space="0" w:color="auto"/>
        <w:right w:val="none" w:sz="0" w:space="0" w:color="auto"/>
      </w:divBdr>
    </w:div>
    <w:div w:id="254829476">
      <w:bodyDiv w:val="1"/>
      <w:marLeft w:val="0"/>
      <w:marRight w:val="0"/>
      <w:marTop w:val="0"/>
      <w:marBottom w:val="0"/>
      <w:divBdr>
        <w:top w:val="none" w:sz="0" w:space="0" w:color="auto"/>
        <w:left w:val="none" w:sz="0" w:space="0" w:color="auto"/>
        <w:bottom w:val="none" w:sz="0" w:space="0" w:color="auto"/>
        <w:right w:val="none" w:sz="0" w:space="0" w:color="auto"/>
      </w:divBdr>
    </w:div>
    <w:div w:id="254948053">
      <w:bodyDiv w:val="1"/>
      <w:marLeft w:val="0"/>
      <w:marRight w:val="0"/>
      <w:marTop w:val="0"/>
      <w:marBottom w:val="0"/>
      <w:divBdr>
        <w:top w:val="none" w:sz="0" w:space="0" w:color="auto"/>
        <w:left w:val="none" w:sz="0" w:space="0" w:color="auto"/>
        <w:bottom w:val="none" w:sz="0" w:space="0" w:color="auto"/>
        <w:right w:val="none" w:sz="0" w:space="0" w:color="auto"/>
      </w:divBdr>
    </w:div>
    <w:div w:id="255411012">
      <w:bodyDiv w:val="1"/>
      <w:marLeft w:val="0"/>
      <w:marRight w:val="0"/>
      <w:marTop w:val="0"/>
      <w:marBottom w:val="0"/>
      <w:divBdr>
        <w:top w:val="none" w:sz="0" w:space="0" w:color="auto"/>
        <w:left w:val="none" w:sz="0" w:space="0" w:color="auto"/>
        <w:bottom w:val="none" w:sz="0" w:space="0" w:color="auto"/>
        <w:right w:val="none" w:sz="0" w:space="0" w:color="auto"/>
      </w:divBdr>
    </w:div>
    <w:div w:id="258174231">
      <w:bodyDiv w:val="1"/>
      <w:marLeft w:val="0"/>
      <w:marRight w:val="0"/>
      <w:marTop w:val="0"/>
      <w:marBottom w:val="0"/>
      <w:divBdr>
        <w:top w:val="none" w:sz="0" w:space="0" w:color="auto"/>
        <w:left w:val="none" w:sz="0" w:space="0" w:color="auto"/>
        <w:bottom w:val="none" w:sz="0" w:space="0" w:color="auto"/>
        <w:right w:val="none" w:sz="0" w:space="0" w:color="auto"/>
      </w:divBdr>
    </w:div>
    <w:div w:id="258178316">
      <w:bodyDiv w:val="1"/>
      <w:marLeft w:val="0"/>
      <w:marRight w:val="0"/>
      <w:marTop w:val="0"/>
      <w:marBottom w:val="0"/>
      <w:divBdr>
        <w:top w:val="none" w:sz="0" w:space="0" w:color="auto"/>
        <w:left w:val="none" w:sz="0" w:space="0" w:color="auto"/>
        <w:bottom w:val="none" w:sz="0" w:space="0" w:color="auto"/>
        <w:right w:val="none" w:sz="0" w:space="0" w:color="auto"/>
      </w:divBdr>
    </w:div>
    <w:div w:id="259610412">
      <w:bodyDiv w:val="1"/>
      <w:marLeft w:val="0"/>
      <w:marRight w:val="0"/>
      <w:marTop w:val="0"/>
      <w:marBottom w:val="0"/>
      <w:divBdr>
        <w:top w:val="none" w:sz="0" w:space="0" w:color="auto"/>
        <w:left w:val="none" w:sz="0" w:space="0" w:color="auto"/>
        <w:bottom w:val="none" w:sz="0" w:space="0" w:color="auto"/>
        <w:right w:val="none" w:sz="0" w:space="0" w:color="auto"/>
      </w:divBdr>
    </w:div>
    <w:div w:id="259720782">
      <w:bodyDiv w:val="1"/>
      <w:marLeft w:val="0"/>
      <w:marRight w:val="0"/>
      <w:marTop w:val="0"/>
      <w:marBottom w:val="0"/>
      <w:divBdr>
        <w:top w:val="none" w:sz="0" w:space="0" w:color="auto"/>
        <w:left w:val="none" w:sz="0" w:space="0" w:color="auto"/>
        <w:bottom w:val="none" w:sz="0" w:space="0" w:color="auto"/>
        <w:right w:val="none" w:sz="0" w:space="0" w:color="auto"/>
      </w:divBdr>
    </w:div>
    <w:div w:id="260651576">
      <w:bodyDiv w:val="1"/>
      <w:marLeft w:val="0"/>
      <w:marRight w:val="0"/>
      <w:marTop w:val="0"/>
      <w:marBottom w:val="0"/>
      <w:divBdr>
        <w:top w:val="none" w:sz="0" w:space="0" w:color="auto"/>
        <w:left w:val="none" w:sz="0" w:space="0" w:color="auto"/>
        <w:bottom w:val="none" w:sz="0" w:space="0" w:color="auto"/>
        <w:right w:val="none" w:sz="0" w:space="0" w:color="auto"/>
      </w:divBdr>
    </w:div>
    <w:div w:id="261306008">
      <w:bodyDiv w:val="1"/>
      <w:marLeft w:val="0"/>
      <w:marRight w:val="0"/>
      <w:marTop w:val="0"/>
      <w:marBottom w:val="0"/>
      <w:divBdr>
        <w:top w:val="none" w:sz="0" w:space="0" w:color="auto"/>
        <w:left w:val="none" w:sz="0" w:space="0" w:color="auto"/>
        <w:bottom w:val="none" w:sz="0" w:space="0" w:color="auto"/>
        <w:right w:val="none" w:sz="0" w:space="0" w:color="auto"/>
      </w:divBdr>
    </w:div>
    <w:div w:id="262762187">
      <w:bodyDiv w:val="1"/>
      <w:marLeft w:val="0"/>
      <w:marRight w:val="0"/>
      <w:marTop w:val="0"/>
      <w:marBottom w:val="0"/>
      <w:divBdr>
        <w:top w:val="none" w:sz="0" w:space="0" w:color="auto"/>
        <w:left w:val="none" w:sz="0" w:space="0" w:color="auto"/>
        <w:bottom w:val="none" w:sz="0" w:space="0" w:color="auto"/>
        <w:right w:val="none" w:sz="0" w:space="0" w:color="auto"/>
      </w:divBdr>
    </w:div>
    <w:div w:id="262765569">
      <w:bodyDiv w:val="1"/>
      <w:marLeft w:val="0"/>
      <w:marRight w:val="0"/>
      <w:marTop w:val="0"/>
      <w:marBottom w:val="0"/>
      <w:divBdr>
        <w:top w:val="none" w:sz="0" w:space="0" w:color="auto"/>
        <w:left w:val="none" w:sz="0" w:space="0" w:color="auto"/>
        <w:bottom w:val="none" w:sz="0" w:space="0" w:color="auto"/>
        <w:right w:val="none" w:sz="0" w:space="0" w:color="auto"/>
      </w:divBdr>
    </w:div>
    <w:div w:id="263537324">
      <w:bodyDiv w:val="1"/>
      <w:marLeft w:val="0"/>
      <w:marRight w:val="0"/>
      <w:marTop w:val="0"/>
      <w:marBottom w:val="0"/>
      <w:divBdr>
        <w:top w:val="none" w:sz="0" w:space="0" w:color="auto"/>
        <w:left w:val="none" w:sz="0" w:space="0" w:color="auto"/>
        <w:bottom w:val="none" w:sz="0" w:space="0" w:color="auto"/>
        <w:right w:val="none" w:sz="0" w:space="0" w:color="auto"/>
      </w:divBdr>
    </w:div>
    <w:div w:id="264700342">
      <w:bodyDiv w:val="1"/>
      <w:marLeft w:val="0"/>
      <w:marRight w:val="0"/>
      <w:marTop w:val="0"/>
      <w:marBottom w:val="0"/>
      <w:divBdr>
        <w:top w:val="none" w:sz="0" w:space="0" w:color="auto"/>
        <w:left w:val="none" w:sz="0" w:space="0" w:color="auto"/>
        <w:bottom w:val="none" w:sz="0" w:space="0" w:color="auto"/>
        <w:right w:val="none" w:sz="0" w:space="0" w:color="auto"/>
      </w:divBdr>
    </w:div>
    <w:div w:id="264847222">
      <w:bodyDiv w:val="1"/>
      <w:marLeft w:val="0"/>
      <w:marRight w:val="0"/>
      <w:marTop w:val="0"/>
      <w:marBottom w:val="0"/>
      <w:divBdr>
        <w:top w:val="none" w:sz="0" w:space="0" w:color="auto"/>
        <w:left w:val="none" w:sz="0" w:space="0" w:color="auto"/>
        <w:bottom w:val="none" w:sz="0" w:space="0" w:color="auto"/>
        <w:right w:val="none" w:sz="0" w:space="0" w:color="auto"/>
      </w:divBdr>
    </w:div>
    <w:div w:id="264925303">
      <w:bodyDiv w:val="1"/>
      <w:marLeft w:val="0"/>
      <w:marRight w:val="0"/>
      <w:marTop w:val="0"/>
      <w:marBottom w:val="0"/>
      <w:divBdr>
        <w:top w:val="none" w:sz="0" w:space="0" w:color="auto"/>
        <w:left w:val="none" w:sz="0" w:space="0" w:color="auto"/>
        <w:bottom w:val="none" w:sz="0" w:space="0" w:color="auto"/>
        <w:right w:val="none" w:sz="0" w:space="0" w:color="auto"/>
      </w:divBdr>
    </w:div>
    <w:div w:id="266815468">
      <w:bodyDiv w:val="1"/>
      <w:marLeft w:val="0"/>
      <w:marRight w:val="0"/>
      <w:marTop w:val="0"/>
      <w:marBottom w:val="0"/>
      <w:divBdr>
        <w:top w:val="none" w:sz="0" w:space="0" w:color="auto"/>
        <w:left w:val="none" w:sz="0" w:space="0" w:color="auto"/>
        <w:bottom w:val="none" w:sz="0" w:space="0" w:color="auto"/>
        <w:right w:val="none" w:sz="0" w:space="0" w:color="auto"/>
      </w:divBdr>
    </w:div>
    <w:div w:id="267348419">
      <w:bodyDiv w:val="1"/>
      <w:marLeft w:val="0"/>
      <w:marRight w:val="0"/>
      <w:marTop w:val="0"/>
      <w:marBottom w:val="0"/>
      <w:divBdr>
        <w:top w:val="none" w:sz="0" w:space="0" w:color="auto"/>
        <w:left w:val="none" w:sz="0" w:space="0" w:color="auto"/>
        <w:bottom w:val="none" w:sz="0" w:space="0" w:color="auto"/>
        <w:right w:val="none" w:sz="0" w:space="0" w:color="auto"/>
      </w:divBdr>
    </w:div>
    <w:div w:id="268048342">
      <w:bodyDiv w:val="1"/>
      <w:marLeft w:val="0"/>
      <w:marRight w:val="0"/>
      <w:marTop w:val="0"/>
      <w:marBottom w:val="0"/>
      <w:divBdr>
        <w:top w:val="none" w:sz="0" w:space="0" w:color="auto"/>
        <w:left w:val="none" w:sz="0" w:space="0" w:color="auto"/>
        <w:bottom w:val="none" w:sz="0" w:space="0" w:color="auto"/>
        <w:right w:val="none" w:sz="0" w:space="0" w:color="auto"/>
      </w:divBdr>
    </w:div>
    <w:div w:id="268241920">
      <w:bodyDiv w:val="1"/>
      <w:marLeft w:val="0"/>
      <w:marRight w:val="0"/>
      <w:marTop w:val="0"/>
      <w:marBottom w:val="0"/>
      <w:divBdr>
        <w:top w:val="none" w:sz="0" w:space="0" w:color="auto"/>
        <w:left w:val="none" w:sz="0" w:space="0" w:color="auto"/>
        <w:bottom w:val="none" w:sz="0" w:space="0" w:color="auto"/>
        <w:right w:val="none" w:sz="0" w:space="0" w:color="auto"/>
      </w:divBdr>
    </w:div>
    <w:div w:id="268703803">
      <w:bodyDiv w:val="1"/>
      <w:marLeft w:val="0"/>
      <w:marRight w:val="0"/>
      <w:marTop w:val="0"/>
      <w:marBottom w:val="0"/>
      <w:divBdr>
        <w:top w:val="none" w:sz="0" w:space="0" w:color="auto"/>
        <w:left w:val="none" w:sz="0" w:space="0" w:color="auto"/>
        <w:bottom w:val="none" w:sz="0" w:space="0" w:color="auto"/>
        <w:right w:val="none" w:sz="0" w:space="0" w:color="auto"/>
      </w:divBdr>
    </w:div>
    <w:div w:id="269699965">
      <w:bodyDiv w:val="1"/>
      <w:marLeft w:val="0"/>
      <w:marRight w:val="0"/>
      <w:marTop w:val="0"/>
      <w:marBottom w:val="0"/>
      <w:divBdr>
        <w:top w:val="none" w:sz="0" w:space="0" w:color="auto"/>
        <w:left w:val="none" w:sz="0" w:space="0" w:color="auto"/>
        <w:bottom w:val="none" w:sz="0" w:space="0" w:color="auto"/>
        <w:right w:val="none" w:sz="0" w:space="0" w:color="auto"/>
      </w:divBdr>
    </w:div>
    <w:div w:id="270669998">
      <w:bodyDiv w:val="1"/>
      <w:marLeft w:val="0"/>
      <w:marRight w:val="0"/>
      <w:marTop w:val="0"/>
      <w:marBottom w:val="0"/>
      <w:divBdr>
        <w:top w:val="none" w:sz="0" w:space="0" w:color="auto"/>
        <w:left w:val="none" w:sz="0" w:space="0" w:color="auto"/>
        <w:bottom w:val="none" w:sz="0" w:space="0" w:color="auto"/>
        <w:right w:val="none" w:sz="0" w:space="0" w:color="auto"/>
      </w:divBdr>
    </w:div>
    <w:div w:id="270943569">
      <w:bodyDiv w:val="1"/>
      <w:marLeft w:val="0"/>
      <w:marRight w:val="0"/>
      <w:marTop w:val="0"/>
      <w:marBottom w:val="0"/>
      <w:divBdr>
        <w:top w:val="none" w:sz="0" w:space="0" w:color="auto"/>
        <w:left w:val="none" w:sz="0" w:space="0" w:color="auto"/>
        <w:bottom w:val="none" w:sz="0" w:space="0" w:color="auto"/>
        <w:right w:val="none" w:sz="0" w:space="0" w:color="auto"/>
      </w:divBdr>
    </w:div>
    <w:div w:id="271017506">
      <w:bodyDiv w:val="1"/>
      <w:marLeft w:val="0"/>
      <w:marRight w:val="0"/>
      <w:marTop w:val="0"/>
      <w:marBottom w:val="0"/>
      <w:divBdr>
        <w:top w:val="none" w:sz="0" w:space="0" w:color="auto"/>
        <w:left w:val="none" w:sz="0" w:space="0" w:color="auto"/>
        <w:bottom w:val="none" w:sz="0" w:space="0" w:color="auto"/>
        <w:right w:val="none" w:sz="0" w:space="0" w:color="auto"/>
      </w:divBdr>
    </w:div>
    <w:div w:id="271977449">
      <w:bodyDiv w:val="1"/>
      <w:marLeft w:val="0"/>
      <w:marRight w:val="0"/>
      <w:marTop w:val="0"/>
      <w:marBottom w:val="0"/>
      <w:divBdr>
        <w:top w:val="none" w:sz="0" w:space="0" w:color="auto"/>
        <w:left w:val="none" w:sz="0" w:space="0" w:color="auto"/>
        <w:bottom w:val="none" w:sz="0" w:space="0" w:color="auto"/>
        <w:right w:val="none" w:sz="0" w:space="0" w:color="auto"/>
      </w:divBdr>
    </w:div>
    <w:div w:id="273365273">
      <w:bodyDiv w:val="1"/>
      <w:marLeft w:val="0"/>
      <w:marRight w:val="0"/>
      <w:marTop w:val="0"/>
      <w:marBottom w:val="0"/>
      <w:divBdr>
        <w:top w:val="none" w:sz="0" w:space="0" w:color="auto"/>
        <w:left w:val="none" w:sz="0" w:space="0" w:color="auto"/>
        <w:bottom w:val="none" w:sz="0" w:space="0" w:color="auto"/>
        <w:right w:val="none" w:sz="0" w:space="0" w:color="auto"/>
      </w:divBdr>
    </w:div>
    <w:div w:id="273444606">
      <w:bodyDiv w:val="1"/>
      <w:marLeft w:val="0"/>
      <w:marRight w:val="0"/>
      <w:marTop w:val="0"/>
      <w:marBottom w:val="0"/>
      <w:divBdr>
        <w:top w:val="none" w:sz="0" w:space="0" w:color="auto"/>
        <w:left w:val="none" w:sz="0" w:space="0" w:color="auto"/>
        <w:bottom w:val="none" w:sz="0" w:space="0" w:color="auto"/>
        <w:right w:val="none" w:sz="0" w:space="0" w:color="auto"/>
      </w:divBdr>
    </w:div>
    <w:div w:id="273562878">
      <w:bodyDiv w:val="1"/>
      <w:marLeft w:val="0"/>
      <w:marRight w:val="0"/>
      <w:marTop w:val="0"/>
      <w:marBottom w:val="0"/>
      <w:divBdr>
        <w:top w:val="none" w:sz="0" w:space="0" w:color="auto"/>
        <w:left w:val="none" w:sz="0" w:space="0" w:color="auto"/>
        <w:bottom w:val="none" w:sz="0" w:space="0" w:color="auto"/>
        <w:right w:val="none" w:sz="0" w:space="0" w:color="auto"/>
      </w:divBdr>
    </w:div>
    <w:div w:id="274946752">
      <w:bodyDiv w:val="1"/>
      <w:marLeft w:val="0"/>
      <w:marRight w:val="0"/>
      <w:marTop w:val="0"/>
      <w:marBottom w:val="0"/>
      <w:divBdr>
        <w:top w:val="none" w:sz="0" w:space="0" w:color="auto"/>
        <w:left w:val="none" w:sz="0" w:space="0" w:color="auto"/>
        <w:bottom w:val="none" w:sz="0" w:space="0" w:color="auto"/>
        <w:right w:val="none" w:sz="0" w:space="0" w:color="auto"/>
      </w:divBdr>
    </w:div>
    <w:div w:id="275060135">
      <w:bodyDiv w:val="1"/>
      <w:marLeft w:val="0"/>
      <w:marRight w:val="0"/>
      <w:marTop w:val="0"/>
      <w:marBottom w:val="0"/>
      <w:divBdr>
        <w:top w:val="none" w:sz="0" w:space="0" w:color="auto"/>
        <w:left w:val="none" w:sz="0" w:space="0" w:color="auto"/>
        <w:bottom w:val="none" w:sz="0" w:space="0" w:color="auto"/>
        <w:right w:val="none" w:sz="0" w:space="0" w:color="auto"/>
      </w:divBdr>
    </w:div>
    <w:div w:id="275261702">
      <w:bodyDiv w:val="1"/>
      <w:marLeft w:val="0"/>
      <w:marRight w:val="0"/>
      <w:marTop w:val="0"/>
      <w:marBottom w:val="0"/>
      <w:divBdr>
        <w:top w:val="none" w:sz="0" w:space="0" w:color="auto"/>
        <w:left w:val="none" w:sz="0" w:space="0" w:color="auto"/>
        <w:bottom w:val="none" w:sz="0" w:space="0" w:color="auto"/>
        <w:right w:val="none" w:sz="0" w:space="0" w:color="auto"/>
      </w:divBdr>
    </w:div>
    <w:div w:id="275721386">
      <w:bodyDiv w:val="1"/>
      <w:marLeft w:val="0"/>
      <w:marRight w:val="0"/>
      <w:marTop w:val="0"/>
      <w:marBottom w:val="0"/>
      <w:divBdr>
        <w:top w:val="none" w:sz="0" w:space="0" w:color="auto"/>
        <w:left w:val="none" w:sz="0" w:space="0" w:color="auto"/>
        <w:bottom w:val="none" w:sz="0" w:space="0" w:color="auto"/>
        <w:right w:val="none" w:sz="0" w:space="0" w:color="auto"/>
      </w:divBdr>
    </w:div>
    <w:div w:id="275910524">
      <w:bodyDiv w:val="1"/>
      <w:marLeft w:val="0"/>
      <w:marRight w:val="0"/>
      <w:marTop w:val="0"/>
      <w:marBottom w:val="0"/>
      <w:divBdr>
        <w:top w:val="none" w:sz="0" w:space="0" w:color="auto"/>
        <w:left w:val="none" w:sz="0" w:space="0" w:color="auto"/>
        <w:bottom w:val="none" w:sz="0" w:space="0" w:color="auto"/>
        <w:right w:val="none" w:sz="0" w:space="0" w:color="auto"/>
      </w:divBdr>
    </w:div>
    <w:div w:id="276909844">
      <w:bodyDiv w:val="1"/>
      <w:marLeft w:val="0"/>
      <w:marRight w:val="0"/>
      <w:marTop w:val="0"/>
      <w:marBottom w:val="0"/>
      <w:divBdr>
        <w:top w:val="none" w:sz="0" w:space="0" w:color="auto"/>
        <w:left w:val="none" w:sz="0" w:space="0" w:color="auto"/>
        <w:bottom w:val="none" w:sz="0" w:space="0" w:color="auto"/>
        <w:right w:val="none" w:sz="0" w:space="0" w:color="auto"/>
      </w:divBdr>
    </w:div>
    <w:div w:id="277228197">
      <w:bodyDiv w:val="1"/>
      <w:marLeft w:val="0"/>
      <w:marRight w:val="0"/>
      <w:marTop w:val="0"/>
      <w:marBottom w:val="0"/>
      <w:divBdr>
        <w:top w:val="none" w:sz="0" w:space="0" w:color="auto"/>
        <w:left w:val="none" w:sz="0" w:space="0" w:color="auto"/>
        <w:bottom w:val="none" w:sz="0" w:space="0" w:color="auto"/>
        <w:right w:val="none" w:sz="0" w:space="0" w:color="auto"/>
      </w:divBdr>
    </w:div>
    <w:div w:id="278877796">
      <w:bodyDiv w:val="1"/>
      <w:marLeft w:val="0"/>
      <w:marRight w:val="0"/>
      <w:marTop w:val="0"/>
      <w:marBottom w:val="0"/>
      <w:divBdr>
        <w:top w:val="none" w:sz="0" w:space="0" w:color="auto"/>
        <w:left w:val="none" w:sz="0" w:space="0" w:color="auto"/>
        <w:bottom w:val="none" w:sz="0" w:space="0" w:color="auto"/>
        <w:right w:val="none" w:sz="0" w:space="0" w:color="auto"/>
      </w:divBdr>
    </w:div>
    <w:div w:id="279915837">
      <w:bodyDiv w:val="1"/>
      <w:marLeft w:val="0"/>
      <w:marRight w:val="0"/>
      <w:marTop w:val="0"/>
      <w:marBottom w:val="0"/>
      <w:divBdr>
        <w:top w:val="none" w:sz="0" w:space="0" w:color="auto"/>
        <w:left w:val="none" w:sz="0" w:space="0" w:color="auto"/>
        <w:bottom w:val="none" w:sz="0" w:space="0" w:color="auto"/>
        <w:right w:val="none" w:sz="0" w:space="0" w:color="auto"/>
      </w:divBdr>
    </w:div>
    <w:div w:id="279918662">
      <w:bodyDiv w:val="1"/>
      <w:marLeft w:val="0"/>
      <w:marRight w:val="0"/>
      <w:marTop w:val="0"/>
      <w:marBottom w:val="0"/>
      <w:divBdr>
        <w:top w:val="none" w:sz="0" w:space="0" w:color="auto"/>
        <w:left w:val="none" w:sz="0" w:space="0" w:color="auto"/>
        <w:bottom w:val="none" w:sz="0" w:space="0" w:color="auto"/>
        <w:right w:val="none" w:sz="0" w:space="0" w:color="auto"/>
      </w:divBdr>
    </w:div>
    <w:div w:id="280111184">
      <w:bodyDiv w:val="1"/>
      <w:marLeft w:val="0"/>
      <w:marRight w:val="0"/>
      <w:marTop w:val="0"/>
      <w:marBottom w:val="0"/>
      <w:divBdr>
        <w:top w:val="none" w:sz="0" w:space="0" w:color="auto"/>
        <w:left w:val="none" w:sz="0" w:space="0" w:color="auto"/>
        <w:bottom w:val="none" w:sz="0" w:space="0" w:color="auto"/>
        <w:right w:val="none" w:sz="0" w:space="0" w:color="auto"/>
      </w:divBdr>
    </w:div>
    <w:div w:id="281034196">
      <w:bodyDiv w:val="1"/>
      <w:marLeft w:val="0"/>
      <w:marRight w:val="0"/>
      <w:marTop w:val="0"/>
      <w:marBottom w:val="0"/>
      <w:divBdr>
        <w:top w:val="none" w:sz="0" w:space="0" w:color="auto"/>
        <w:left w:val="none" w:sz="0" w:space="0" w:color="auto"/>
        <w:bottom w:val="none" w:sz="0" w:space="0" w:color="auto"/>
        <w:right w:val="none" w:sz="0" w:space="0" w:color="auto"/>
      </w:divBdr>
    </w:div>
    <w:div w:id="281420904">
      <w:bodyDiv w:val="1"/>
      <w:marLeft w:val="0"/>
      <w:marRight w:val="0"/>
      <w:marTop w:val="0"/>
      <w:marBottom w:val="0"/>
      <w:divBdr>
        <w:top w:val="none" w:sz="0" w:space="0" w:color="auto"/>
        <w:left w:val="none" w:sz="0" w:space="0" w:color="auto"/>
        <w:bottom w:val="none" w:sz="0" w:space="0" w:color="auto"/>
        <w:right w:val="none" w:sz="0" w:space="0" w:color="auto"/>
      </w:divBdr>
    </w:div>
    <w:div w:id="281808592">
      <w:bodyDiv w:val="1"/>
      <w:marLeft w:val="0"/>
      <w:marRight w:val="0"/>
      <w:marTop w:val="0"/>
      <w:marBottom w:val="0"/>
      <w:divBdr>
        <w:top w:val="none" w:sz="0" w:space="0" w:color="auto"/>
        <w:left w:val="none" w:sz="0" w:space="0" w:color="auto"/>
        <w:bottom w:val="none" w:sz="0" w:space="0" w:color="auto"/>
        <w:right w:val="none" w:sz="0" w:space="0" w:color="auto"/>
      </w:divBdr>
    </w:div>
    <w:div w:id="283394118">
      <w:bodyDiv w:val="1"/>
      <w:marLeft w:val="0"/>
      <w:marRight w:val="0"/>
      <w:marTop w:val="0"/>
      <w:marBottom w:val="0"/>
      <w:divBdr>
        <w:top w:val="none" w:sz="0" w:space="0" w:color="auto"/>
        <w:left w:val="none" w:sz="0" w:space="0" w:color="auto"/>
        <w:bottom w:val="none" w:sz="0" w:space="0" w:color="auto"/>
        <w:right w:val="none" w:sz="0" w:space="0" w:color="auto"/>
      </w:divBdr>
    </w:div>
    <w:div w:id="283854358">
      <w:bodyDiv w:val="1"/>
      <w:marLeft w:val="0"/>
      <w:marRight w:val="0"/>
      <w:marTop w:val="0"/>
      <w:marBottom w:val="0"/>
      <w:divBdr>
        <w:top w:val="none" w:sz="0" w:space="0" w:color="auto"/>
        <w:left w:val="none" w:sz="0" w:space="0" w:color="auto"/>
        <w:bottom w:val="none" w:sz="0" w:space="0" w:color="auto"/>
        <w:right w:val="none" w:sz="0" w:space="0" w:color="auto"/>
      </w:divBdr>
    </w:div>
    <w:div w:id="283923874">
      <w:bodyDiv w:val="1"/>
      <w:marLeft w:val="0"/>
      <w:marRight w:val="0"/>
      <w:marTop w:val="0"/>
      <w:marBottom w:val="0"/>
      <w:divBdr>
        <w:top w:val="none" w:sz="0" w:space="0" w:color="auto"/>
        <w:left w:val="none" w:sz="0" w:space="0" w:color="auto"/>
        <w:bottom w:val="none" w:sz="0" w:space="0" w:color="auto"/>
        <w:right w:val="none" w:sz="0" w:space="0" w:color="auto"/>
      </w:divBdr>
    </w:div>
    <w:div w:id="284849457">
      <w:bodyDiv w:val="1"/>
      <w:marLeft w:val="0"/>
      <w:marRight w:val="0"/>
      <w:marTop w:val="0"/>
      <w:marBottom w:val="0"/>
      <w:divBdr>
        <w:top w:val="none" w:sz="0" w:space="0" w:color="auto"/>
        <w:left w:val="none" w:sz="0" w:space="0" w:color="auto"/>
        <w:bottom w:val="none" w:sz="0" w:space="0" w:color="auto"/>
        <w:right w:val="none" w:sz="0" w:space="0" w:color="auto"/>
      </w:divBdr>
    </w:div>
    <w:div w:id="284890579">
      <w:bodyDiv w:val="1"/>
      <w:marLeft w:val="0"/>
      <w:marRight w:val="0"/>
      <w:marTop w:val="0"/>
      <w:marBottom w:val="0"/>
      <w:divBdr>
        <w:top w:val="none" w:sz="0" w:space="0" w:color="auto"/>
        <w:left w:val="none" w:sz="0" w:space="0" w:color="auto"/>
        <w:bottom w:val="none" w:sz="0" w:space="0" w:color="auto"/>
        <w:right w:val="none" w:sz="0" w:space="0" w:color="auto"/>
      </w:divBdr>
    </w:div>
    <w:div w:id="285161925">
      <w:bodyDiv w:val="1"/>
      <w:marLeft w:val="0"/>
      <w:marRight w:val="0"/>
      <w:marTop w:val="0"/>
      <w:marBottom w:val="0"/>
      <w:divBdr>
        <w:top w:val="none" w:sz="0" w:space="0" w:color="auto"/>
        <w:left w:val="none" w:sz="0" w:space="0" w:color="auto"/>
        <w:bottom w:val="none" w:sz="0" w:space="0" w:color="auto"/>
        <w:right w:val="none" w:sz="0" w:space="0" w:color="auto"/>
      </w:divBdr>
    </w:div>
    <w:div w:id="287011495">
      <w:bodyDiv w:val="1"/>
      <w:marLeft w:val="0"/>
      <w:marRight w:val="0"/>
      <w:marTop w:val="0"/>
      <w:marBottom w:val="0"/>
      <w:divBdr>
        <w:top w:val="none" w:sz="0" w:space="0" w:color="auto"/>
        <w:left w:val="none" w:sz="0" w:space="0" w:color="auto"/>
        <w:bottom w:val="none" w:sz="0" w:space="0" w:color="auto"/>
        <w:right w:val="none" w:sz="0" w:space="0" w:color="auto"/>
      </w:divBdr>
    </w:div>
    <w:div w:id="287198256">
      <w:bodyDiv w:val="1"/>
      <w:marLeft w:val="0"/>
      <w:marRight w:val="0"/>
      <w:marTop w:val="0"/>
      <w:marBottom w:val="0"/>
      <w:divBdr>
        <w:top w:val="none" w:sz="0" w:space="0" w:color="auto"/>
        <w:left w:val="none" w:sz="0" w:space="0" w:color="auto"/>
        <w:bottom w:val="none" w:sz="0" w:space="0" w:color="auto"/>
        <w:right w:val="none" w:sz="0" w:space="0" w:color="auto"/>
      </w:divBdr>
    </w:div>
    <w:div w:id="287247358">
      <w:bodyDiv w:val="1"/>
      <w:marLeft w:val="0"/>
      <w:marRight w:val="0"/>
      <w:marTop w:val="0"/>
      <w:marBottom w:val="0"/>
      <w:divBdr>
        <w:top w:val="none" w:sz="0" w:space="0" w:color="auto"/>
        <w:left w:val="none" w:sz="0" w:space="0" w:color="auto"/>
        <w:bottom w:val="none" w:sz="0" w:space="0" w:color="auto"/>
        <w:right w:val="none" w:sz="0" w:space="0" w:color="auto"/>
      </w:divBdr>
    </w:div>
    <w:div w:id="288046864">
      <w:bodyDiv w:val="1"/>
      <w:marLeft w:val="0"/>
      <w:marRight w:val="0"/>
      <w:marTop w:val="0"/>
      <w:marBottom w:val="0"/>
      <w:divBdr>
        <w:top w:val="none" w:sz="0" w:space="0" w:color="auto"/>
        <w:left w:val="none" w:sz="0" w:space="0" w:color="auto"/>
        <w:bottom w:val="none" w:sz="0" w:space="0" w:color="auto"/>
        <w:right w:val="none" w:sz="0" w:space="0" w:color="auto"/>
      </w:divBdr>
    </w:div>
    <w:div w:id="289173115">
      <w:bodyDiv w:val="1"/>
      <w:marLeft w:val="0"/>
      <w:marRight w:val="0"/>
      <w:marTop w:val="0"/>
      <w:marBottom w:val="0"/>
      <w:divBdr>
        <w:top w:val="none" w:sz="0" w:space="0" w:color="auto"/>
        <w:left w:val="none" w:sz="0" w:space="0" w:color="auto"/>
        <w:bottom w:val="none" w:sz="0" w:space="0" w:color="auto"/>
        <w:right w:val="none" w:sz="0" w:space="0" w:color="auto"/>
      </w:divBdr>
    </w:div>
    <w:div w:id="289866840">
      <w:bodyDiv w:val="1"/>
      <w:marLeft w:val="0"/>
      <w:marRight w:val="0"/>
      <w:marTop w:val="0"/>
      <w:marBottom w:val="0"/>
      <w:divBdr>
        <w:top w:val="none" w:sz="0" w:space="0" w:color="auto"/>
        <w:left w:val="none" w:sz="0" w:space="0" w:color="auto"/>
        <w:bottom w:val="none" w:sz="0" w:space="0" w:color="auto"/>
        <w:right w:val="none" w:sz="0" w:space="0" w:color="auto"/>
      </w:divBdr>
    </w:div>
    <w:div w:id="290133715">
      <w:bodyDiv w:val="1"/>
      <w:marLeft w:val="0"/>
      <w:marRight w:val="0"/>
      <w:marTop w:val="0"/>
      <w:marBottom w:val="0"/>
      <w:divBdr>
        <w:top w:val="none" w:sz="0" w:space="0" w:color="auto"/>
        <w:left w:val="none" w:sz="0" w:space="0" w:color="auto"/>
        <w:bottom w:val="none" w:sz="0" w:space="0" w:color="auto"/>
        <w:right w:val="none" w:sz="0" w:space="0" w:color="auto"/>
      </w:divBdr>
    </w:div>
    <w:div w:id="291247966">
      <w:bodyDiv w:val="1"/>
      <w:marLeft w:val="0"/>
      <w:marRight w:val="0"/>
      <w:marTop w:val="0"/>
      <w:marBottom w:val="0"/>
      <w:divBdr>
        <w:top w:val="none" w:sz="0" w:space="0" w:color="auto"/>
        <w:left w:val="none" w:sz="0" w:space="0" w:color="auto"/>
        <w:bottom w:val="none" w:sz="0" w:space="0" w:color="auto"/>
        <w:right w:val="none" w:sz="0" w:space="0" w:color="auto"/>
      </w:divBdr>
    </w:div>
    <w:div w:id="291444383">
      <w:bodyDiv w:val="1"/>
      <w:marLeft w:val="0"/>
      <w:marRight w:val="0"/>
      <w:marTop w:val="0"/>
      <w:marBottom w:val="0"/>
      <w:divBdr>
        <w:top w:val="none" w:sz="0" w:space="0" w:color="auto"/>
        <w:left w:val="none" w:sz="0" w:space="0" w:color="auto"/>
        <w:bottom w:val="none" w:sz="0" w:space="0" w:color="auto"/>
        <w:right w:val="none" w:sz="0" w:space="0" w:color="auto"/>
      </w:divBdr>
    </w:div>
    <w:div w:id="291712158">
      <w:bodyDiv w:val="1"/>
      <w:marLeft w:val="0"/>
      <w:marRight w:val="0"/>
      <w:marTop w:val="0"/>
      <w:marBottom w:val="0"/>
      <w:divBdr>
        <w:top w:val="none" w:sz="0" w:space="0" w:color="auto"/>
        <w:left w:val="none" w:sz="0" w:space="0" w:color="auto"/>
        <w:bottom w:val="none" w:sz="0" w:space="0" w:color="auto"/>
        <w:right w:val="none" w:sz="0" w:space="0" w:color="auto"/>
      </w:divBdr>
    </w:div>
    <w:div w:id="292176136">
      <w:bodyDiv w:val="1"/>
      <w:marLeft w:val="0"/>
      <w:marRight w:val="0"/>
      <w:marTop w:val="0"/>
      <w:marBottom w:val="0"/>
      <w:divBdr>
        <w:top w:val="none" w:sz="0" w:space="0" w:color="auto"/>
        <w:left w:val="none" w:sz="0" w:space="0" w:color="auto"/>
        <w:bottom w:val="none" w:sz="0" w:space="0" w:color="auto"/>
        <w:right w:val="none" w:sz="0" w:space="0" w:color="auto"/>
      </w:divBdr>
    </w:div>
    <w:div w:id="292907858">
      <w:bodyDiv w:val="1"/>
      <w:marLeft w:val="0"/>
      <w:marRight w:val="0"/>
      <w:marTop w:val="0"/>
      <w:marBottom w:val="0"/>
      <w:divBdr>
        <w:top w:val="none" w:sz="0" w:space="0" w:color="auto"/>
        <w:left w:val="none" w:sz="0" w:space="0" w:color="auto"/>
        <w:bottom w:val="none" w:sz="0" w:space="0" w:color="auto"/>
        <w:right w:val="none" w:sz="0" w:space="0" w:color="auto"/>
      </w:divBdr>
    </w:div>
    <w:div w:id="293295157">
      <w:bodyDiv w:val="1"/>
      <w:marLeft w:val="0"/>
      <w:marRight w:val="0"/>
      <w:marTop w:val="0"/>
      <w:marBottom w:val="0"/>
      <w:divBdr>
        <w:top w:val="none" w:sz="0" w:space="0" w:color="auto"/>
        <w:left w:val="none" w:sz="0" w:space="0" w:color="auto"/>
        <w:bottom w:val="none" w:sz="0" w:space="0" w:color="auto"/>
        <w:right w:val="none" w:sz="0" w:space="0" w:color="auto"/>
      </w:divBdr>
    </w:div>
    <w:div w:id="293410355">
      <w:bodyDiv w:val="1"/>
      <w:marLeft w:val="0"/>
      <w:marRight w:val="0"/>
      <w:marTop w:val="0"/>
      <w:marBottom w:val="0"/>
      <w:divBdr>
        <w:top w:val="none" w:sz="0" w:space="0" w:color="auto"/>
        <w:left w:val="none" w:sz="0" w:space="0" w:color="auto"/>
        <w:bottom w:val="none" w:sz="0" w:space="0" w:color="auto"/>
        <w:right w:val="none" w:sz="0" w:space="0" w:color="auto"/>
      </w:divBdr>
    </w:div>
    <w:div w:id="293602375">
      <w:bodyDiv w:val="1"/>
      <w:marLeft w:val="0"/>
      <w:marRight w:val="0"/>
      <w:marTop w:val="0"/>
      <w:marBottom w:val="0"/>
      <w:divBdr>
        <w:top w:val="none" w:sz="0" w:space="0" w:color="auto"/>
        <w:left w:val="none" w:sz="0" w:space="0" w:color="auto"/>
        <w:bottom w:val="none" w:sz="0" w:space="0" w:color="auto"/>
        <w:right w:val="none" w:sz="0" w:space="0" w:color="auto"/>
      </w:divBdr>
    </w:div>
    <w:div w:id="295914263">
      <w:bodyDiv w:val="1"/>
      <w:marLeft w:val="0"/>
      <w:marRight w:val="0"/>
      <w:marTop w:val="0"/>
      <w:marBottom w:val="0"/>
      <w:divBdr>
        <w:top w:val="none" w:sz="0" w:space="0" w:color="auto"/>
        <w:left w:val="none" w:sz="0" w:space="0" w:color="auto"/>
        <w:bottom w:val="none" w:sz="0" w:space="0" w:color="auto"/>
        <w:right w:val="none" w:sz="0" w:space="0" w:color="auto"/>
      </w:divBdr>
    </w:div>
    <w:div w:id="295985429">
      <w:bodyDiv w:val="1"/>
      <w:marLeft w:val="0"/>
      <w:marRight w:val="0"/>
      <w:marTop w:val="0"/>
      <w:marBottom w:val="0"/>
      <w:divBdr>
        <w:top w:val="none" w:sz="0" w:space="0" w:color="auto"/>
        <w:left w:val="none" w:sz="0" w:space="0" w:color="auto"/>
        <w:bottom w:val="none" w:sz="0" w:space="0" w:color="auto"/>
        <w:right w:val="none" w:sz="0" w:space="0" w:color="auto"/>
      </w:divBdr>
    </w:div>
    <w:div w:id="296112036">
      <w:bodyDiv w:val="1"/>
      <w:marLeft w:val="0"/>
      <w:marRight w:val="0"/>
      <w:marTop w:val="0"/>
      <w:marBottom w:val="0"/>
      <w:divBdr>
        <w:top w:val="none" w:sz="0" w:space="0" w:color="auto"/>
        <w:left w:val="none" w:sz="0" w:space="0" w:color="auto"/>
        <w:bottom w:val="none" w:sz="0" w:space="0" w:color="auto"/>
        <w:right w:val="none" w:sz="0" w:space="0" w:color="auto"/>
      </w:divBdr>
    </w:div>
    <w:div w:id="296303098">
      <w:bodyDiv w:val="1"/>
      <w:marLeft w:val="0"/>
      <w:marRight w:val="0"/>
      <w:marTop w:val="0"/>
      <w:marBottom w:val="0"/>
      <w:divBdr>
        <w:top w:val="none" w:sz="0" w:space="0" w:color="auto"/>
        <w:left w:val="none" w:sz="0" w:space="0" w:color="auto"/>
        <w:bottom w:val="none" w:sz="0" w:space="0" w:color="auto"/>
        <w:right w:val="none" w:sz="0" w:space="0" w:color="auto"/>
      </w:divBdr>
    </w:div>
    <w:div w:id="296376459">
      <w:bodyDiv w:val="1"/>
      <w:marLeft w:val="0"/>
      <w:marRight w:val="0"/>
      <w:marTop w:val="0"/>
      <w:marBottom w:val="0"/>
      <w:divBdr>
        <w:top w:val="none" w:sz="0" w:space="0" w:color="auto"/>
        <w:left w:val="none" w:sz="0" w:space="0" w:color="auto"/>
        <w:bottom w:val="none" w:sz="0" w:space="0" w:color="auto"/>
        <w:right w:val="none" w:sz="0" w:space="0" w:color="auto"/>
      </w:divBdr>
    </w:div>
    <w:div w:id="297415189">
      <w:bodyDiv w:val="1"/>
      <w:marLeft w:val="0"/>
      <w:marRight w:val="0"/>
      <w:marTop w:val="0"/>
      <w:marBottom w:val="0"/>
      <w:divBdr>
        <w:top w:val="none" w:sz="0" w:space="0" w:color="auto"/>
        <w:left w:val="none" w:sz="0" w:space="0" w:color="auto"/>
        <w:bottom w:val="none" w:sz="0" w:space="0" w:color="auto"/>
        <w:right w:val="none" w:sz="0" w:space="0" w:color="auto"/>
      </w:divBdr>
    </w:div>
    <w:div w:id="297418919">
      <w:bodyDiv w:val="1"/>
      <w:marLeft w:val="0"/>
      <w:marRight w:val="0"/>
      <w:marTop w:val="0"/>
      <w:marBottom w:val="0"/>
      <w:divBdr>
        <w:top w:val="none" w:sz="0" w:space="0" w:color="auto"/>
        <w:left w:val="none" w:sz="0" w:space="0" w:color="auto"/>
        <w:bottom w:val="none" w:sz="0" w:space="0" w:color="auto"/>
        <w:right w:val="none" w:sz="0" w:space="0" w:color="auto"/>
      </w:divBdr>
    </w:div>
    <w:div w:id="297957562">
      <w:bodyDiv w:val="1"/>
      <w:marLeft w:val="0"/>
      <w:marRight w:val="0"/>
      <w:marTop w:val="0"/>
      <w:marBottom w:val="0"/>
      <w:divBdr>
        <w:top w:val="none" w:sz="0" w:space="0" w:color="auto"/>
        <w:left w:val="none" w:sz="0" w:space="0" w:color="auto"/>
        <w:bottom w:val="none" w:sz="0" w:space="0" w:color="auto"/>
        <w:right w:val="none" w:sz="0" w:space="0" w:color="auto"/>
      </w:divBdr>
    </w:div>
    <w:div w:id="299461248">
      <w:bodyDiv w:val="1"/>
      <w:marLeft w:val="0"/>
      <w:marRight w:val="0"/>
      <w:marTop w:val="0"/>
      <w:marBottom w:val="0"/>
      <w:divBdr>
        <w:top w:val="none" w:sz="0" w:space="0" w:color="auto"/>
        <w:left w:val="none" w:sz="0" w:space="0" w:color="auto"/>
        <w:bottom w:val="none" w:sz="0" w:space="0" w:color="auto"/>
        <w:right w:val="none" w:sz="0" w:space="0" w:color="auto"/>
      </w:divBdr>
    </w:div>
    <w:div w:id="299532023">
      <w:bodyDiv w:val="1"/>
      <w:marLeft w:val="0"/>
      <w:marRight w:val="0"/>
      <w:marTop w:val="0"/>
      <w:marBottom w:val="0"/>
      <w:divBdr>
        <w:top w:val="none" w:sz="0" w:space="0" w:color="auto"/>
        <w:left w:val="none" w:sz="0" w:space="0" w:color="auto"/>
        <w:bottom w:val="none" w:sz="0" w:space="0" w:color="auto"/>
        <w:right w:val="none" w:sz="0" w:space="0" w:color="auto"/>
      </w:divBdr>
    </w:div>
    <w:div w:id="299698816">
      <w:bodyDiv w:val="1"/>
      <w:marLeft w:val="0"/>
      <w:marRight w:val="0"/>
      <w:marTop w:val="0"/>
      <w:marBottom w:val="0"/>
      <w:divBdr>
        <w:top w:val="none" w:sz="0" w:space="0" w:color="auto"/>
        <w:left w:val="none" w:sz="0" w:space="0" w:color="auto"/>
        <w:bottom w:val="none" w:sz="0" w:space="0" w:color="auto"/>
        <w:right w:val="none" w:sz="0" w:space="0" w:color="auto"/>
      </w:divBdr>
    </w:div>
    <w:div w:id="300042779">
      <w:bodyDiv w:val="1"/>
      <w:marLeft w:val="0"/>
      <w:marRight w:val="0"/>
      <w:marTop w:val="0"/>
      <w:marBottom w:val="0"/>
      <w:divBdr>
        <w:top w:val="none" w:sz="0" w:space="0" w:color="auto"/>
        <w:left w:val="none" w:sz="0" w:space="0" w:color="auto"/>
        <w:bottom w:val="none" w:sz="0" w:space="0" w:color="auto"/>
        <w:right w:val="none" w:sz="0" w:space="0" w:color="auto"/>
      </w:divBdr>
    </w:div>
    <w:div w:id="300426815">
      <w:bodyDiv w:val="1"/>
      <w:marLeft w:val="0"/>
      <w:marRight w:val="0"/>
      <w:marTop w:val="0"/>
      <w:marBottom w:val="0"/>
      <w:divBdr>
        <w:top w:val="none" w:sz="0" w:space="0" w:color="auto"/>
        <w:left w:val="none" w:sz="0" w:space="0" w:color="auto"/>
        <w:bottom w:val="none" w:sz="0" w:space="0" w:color="auto"/>
        <w:right w:val="none" w:sz="0" w:space="0" w:color="auto"/>
      </w:divBdr>
    </w:div>
    <w:div w:id="302396878">
      <w:bodyDiv w:val="1"/>
      <w:marLeft w:val="0"/>
      <w:marRight w:val="0"/>
      <w:marTop w:val="0"/>
      <w:marBottom w:val="0"/>
      <w:divBdr>
        <w:top w:val="none" w:sz="0" w:space="0" w:color="auto"/>
        <w:left w:val="none" w:sz="0" w:space="0" w:color="auto"/>
        <w:bottom w:val="none" w:sz="0" w:space="0" w:color="auto"/>
        <w:right w:val="none" w:sz="0" w:space="0" w:color="auto"/>
      </w:divBdr>
    </w:div>
    <w:div w:id="302581287">
      <w:bodyDiv w:val="1"/>
      <w:marLeft w:val="0"/>
      <w:marRight w:val="0"/>
      <w:marTop w:val="0"/>
      <w:marBottom w:val="0"/>
      <w:divBdr>
        <w:top w:val="none" w:sz="0" w:space="0" w:color="auto"/>
        <w:left w:val="none" w:sz="0" w:space="0" w:color="auto"/>
        <w:bottom w:val="none" w:sz="0" w:space="0" w:color="auto"/>
        <w:right w:val="none" w:sz="0" w:space="0" w:color="auto"/>
      </w:divBdr>
    </w:div>
    <w:div w:id="303853261">
      <w:bodyDiv w:val="1"/>
      <w:marLeft w:val="0"/>
      <w:marRight w:val="0"/>
      <w:marTop w:val="0"/>
      <w:marBottom w:val="0"/>
      <w:divBdr>
        <w:top w:val="none" w:sz="0" w:space="0" w:color="auto"/>
        <w:left w:val="none" w:sz="0" w:space="0" w:color="auto"/>
        <w:bottom w:val="none" w:sz="0" w:space="0" w:color="auto"/>
        <w:right w:val="none" w:sz="0" w:space="0" w:color="auto"/>
      </w:divBdr>
    </w:div>
    <w:div w:id="304051274">
      <w:bodyDiv w:val="1"/>
      <w:marLeft w:val="0"/>
      <w:marRight w:val="0"/>
      <w:marTop w:val="0"/>
      <w:marBottom w:val="0"/>
      <w:divBdr>
        <w:top w:val="none" w:sz="0" w:space="0" w:color="auto"/>
        <w:left w:val="none" w:sz="0" w:space="0" w:color="auto"/>
        <w:bottom w:val="none" w:sz="0" w:space="0" w:color="auto"/>
        <w:right w:val="none" w:sz="0" w:space="0" w:color="auto"/>
      </w:divBdr>
    </w:div>
    <w:div w:id="304892000">
      <w:bodyDiv w:val="1"/>
      <w:marLeft w:val="0"/>
      <w:marRight w:val="0"/>
      <w:marTop w:val="0"/>
      <w:marBottom w:val="0"/>
      <w:divBdr>
        <w:top w:val="none" w:sz="0" w:space="0" w:color="auto"/>
        <w:left w:val="none" w:sz="0" w:space="0" w:color="auto"/>
        <w:bottom w:val="none" w:sz="0" w:space="0" w:color="auto"/>
        <w:right w:val="none" w:sz="0" w:space="0" w:color="auto"/>
      </w:divBdr>
    </w:div>
    <w:div w:id="305283724">
      <w:bodyDiv w:val="1"/>
      <w:marLeft w:val="0"/>
      <w:marRight w:val="0"/>
      <w:marTop w:val="0"/>
      <w:marBottom w:val="0"/>
      <w:divBdr>
        <w:top w:val="none" w:sz="0" w:space="0" w:color="auto"/>
        <w:left w:val="none" w:sz="0" w:space="0" w:color="auto"/>
        <w:bottom w:val="none" w:sz="0" w:space="0" w:color="auto"/>
        <w:right w:val="none" w:sz="0" w:space="0" w:color="auto"/>
      </w:divBdr>
    </w:div>
    <w:div w:id="305399594">
      <w:bodyDiv w:val="1"/>
      <w:marLeft w:val="0"/>
      <w:marRight w:val="0"/>
      <w:marTop w:val="0"/>
      <w:marBottom w:val="0"/>
      <w:divBdr>
        <w:top w:val="none" w:sz="0" w:space="0" w:color="auto"/>
        <w:left w:val="none" w:sz="0" w:space="0" w:color="auto"/>
        <w:bottom w:val="none" w:sz="0" w:space="0" w:color="auto"/>
        <w:right w:val="none" w:sz="0" w:space="0" w:color="auto"/>
      </w:divBdr>
    </w:div>
    <w:div w:id="306280596">
      <w:bodyDiv w:val="1"/>
      <w:marLeft w:val="0"/>
      <w:marRight w:val="0"/>
      <w:marTop w:val="0"/>
      <w:marBottom w:val="0"/>
      <w:divBdr>
        <w:top w:val="none" w:sz="0" w:space="0" w:color="auto"/>
        <w:left w:val="none" w:sz="0" w:space="0" w:color="auto"/>
        <w:bottom w:val="none" w:sz="0" w:space="0" w:color="auto"/>
        <w:right w:val="none" w:sz="0" w:space="0" w:color="auto"/>
      </w:divBdr>
    </w:div>
    <w:div w:id="306713841">
      <w:bodyDiv w:val="1"/>
      <w:marLeft w:val="0"/>
      <w:marRight w:val="0"/>
      <w:marTop w:val="0"/>
      <w:marBottom w:val="0"/>
      <w:divBdr>
        <w:top w:val="none" w:sz="0" w:space="0" w:color="auto"/>
        <w:left w:val="none" w:sz="0" w:space="0" w:color="auto"/>
        <w:bottom w:val="none" w:sz="0" w:space="0" w:color="auto"/>
        <w:right w:val="none" w:sz="0" w:space="0" w:color="auto"/>
      </w:divBdr>
    </w:div>
    <w:div w:id="306905893">
      <w:bodyDiv w:val="1"/>
      <w:marLeft w:val="0"/>
      <w:marRight w:val="0"/>
      <w:marTop w:val="0"/>
      <w:marBottom w:val="0"/>
      <w:divBdr>
        <w:top w:val="none" w:sz="0" w:space="0" w:color="auto"/>
        <w:left w:val="none" w:sz="0" w:space="0" w:color="auto"/>
        <w:bottom w:val="none" w:sz="0" w:space="0" w:color="auto"/>
        <w:right w:val="none" w:sz="0" w:space="0" w:color="auto"/>
      </w:divBdr>
    </w:div>
    <w:div w:id="307829800">
      <w:bodyDiv w:val="1"/>
      <w:marLeft w:val="0"/>
      <w:marRight w:val="0"/>
      <w:marTop w:val="0"/>
      <w:marBottom w:val="0"/>
      <w:divBdr>
        <w:top w:val="none" w:sz="0" w:space="0" w:color="auto"/>
        <w:left w:val="none" w:sz="0" w:space="0" w:color="auto"/>
        <w:bottom w:val="none" w:sz="0" w:space="0" w:color="auto"/>
        <w:right w:val="none" w:sz="0" w:space="0" w:color="auto"/>
      </w:divBdr>
    </w:div>
    <w:div w:id="307976945">
      <w:bodyDiv w:val="1"/>
      <w:marLeft w:val="0"/>
      <w:marRight w:val="0"/>
      <w:marTop w:val="0"/>
      <w:marBottom w:val="0"/>
      <w:divBdr>
        <w:top w:val="none" w:sz="0" w:space="0" w:color="auto"/>
        <w:left w:val="none" w:sz="0" w:space="0" w:color="auto"/>
        <w:bottom w:val="none" w:sz="0" w:space="0" w:color="auto"/>
        <w:right w:val="none" w:sz="0" w:space="0" w:color="auto"/>
      </w:divBdr>
    </w:div>
    <w:div w:id="308022788">
      <w:bodyDiv w:val="1"/>
      <w:marLeft w:val="0"/>
      <w:marRight w:val="0"/>
      <w:marTop w:val="0"/>
      <w:marBottom w:val="0"/>
      <w:divBdr>
        <w:top w:val="none" w:sz="0" w:space="0" w:color="auto"/>
        <w:left w:val="none" w:sz="0" w:space="0" w:color="auto"/>
        <w:bottom w:val="none" w:sz="0" w:space="0" w:color="auto"/>
        <w:right w:val="none" w:sz="0" w:space="0" w:color="auto"/>
      </w:divBdr>
    </w:div>
    <w:div w:id="308558966">
      <w:bodyDiv w:val="1"/>
      <w:marLeft w:val="0"/>
      <w:marRight w:val="0"/>
      <w:marTop w:val="0"/>
      <w:marBottom w:val="0"/>
      <w:divBdr>
        <w:top w:val="none" w:sz="0" w:space="0" w:color="auto"/>
        <w:left w:val="none" w:sz="0" w:space="0" w:color="auto"/>
        <w:bottom w:val="none" w:sz="0" w:space="0" w:color="auto"/>
        <w:right w:val="none" w:sz="0" w:space="0" w:color="auto"/>
      </w:divBdr>
    </w:div>
    <w:div w:id="308897529">
      <w:bodyDiv w:val="1"/>
      <w:marLeft w:val="0"/>
      <w:marRight w:val="0"/>
      <w:marTop w:val="0"/>
      <w:marBottom w:val="0"/>
      <w:divBdr>
        <w:top w:val="none" w:sz="0" w:space="0" w:color="auto"/>
        <w:left w:val="none" w:sz="0" w:space="0" w:color="auto"/>
        <w:bottom w:val="none" w:sz="0" w:space="0" w:color="auto"/>
        <w:right w:val="none" w:sz="0" w:space="0" w:color="auto"/>
      </w:divBdr>
    </w:div>
    <w:div w:id="309361595">
      <w:bodyDiv w:val="1"/>
      <w:marLeft w:val="0"/>
      <w:marRight w:val="0"/>
      <w:marTop w:val="0"/>
      <w:marBottom w:val="0"/>
      <w:divBdr>
        <w:top w:val="none" w:sz="0" w:space="0" w:color="auto"/>
        <w:left w:val="none" w:sz="0" w:space="0" w:color="auto"/>
        <w:bottom w:val="none" w:sz="0" w:space="0" w:color="auto"/>
        <w:right w:val="none" w:sz="0" w:space="0" w:color="auto"/>
      </w:divBdr>
    </w:div>
    <w:div w:id="310988313">
      <w:bodyDiv w:val="1"/>
      <w:marLeft w:val="0"/>
      <w:marRight w:val="0"/>
      <w:marTop w:val="0"/>
      <w:marBottom w:val="0"/>
      <w:divBdr>
        <w:top w:val="none" w:sz="0" w:space="0" w:color="auto"/>
        <w:left w:val="none" w:sz="0" w:space="0" w:color="auto"/>
        <w:bottom w:val="none" w:sz="0" w:space="0" w:color="auto"/>
        <w:right w:val="none" w:sz="0" w:space="0" w:color="auto"/>
      </w:divBdr>
    </w:div>
    <w:div w:id="312030059">
      <w:bodyDiv w:val="1"/>
      <w:marLeft w:val="0"/>
      <w:marRight w:val="0"/>
      <w:marTop w:val="0"/>
      <w:marBottom w:val="0"/>
      <w:divBdr>
        <w:top w:val="none" w:sz="0" w:space="0" w:color="auto"/>
        <w:left w:val="none" w:sz="0" w:space="0" w:color="auto"/>
        <w:bottom w:val="none" w:sz="0" w:space="0" w:color="auto"/>
        <w:right w:val="none" w:sz="0" w:space="0" w:color="auto"/>
      </w:divBdr>
      <w:divsChild>
        <w:div w:id="380859483">
          <w:marLeft w:val="0"/>
          <w:marRight w:val="0"/>
          <w:marTop w:val="0"/>
          <w:marBottom w:val="0"/>
          <w:divBdr>
            <w:top w:val="none" w:sz="0" w:space="0" w:color="auto"/>
            <w:left w:val="none" w:sz="0" w:space="0" w:color="auto"/>
            <w:bottom w:val="none" w:sz="0" w:space="0" w:color="auto"/>
            <w:right w:val="none" w:sz="0" w:space="0" w:color="auto"/>
          </w:divBdr>
        </w:div>
        <w:div w:id="532349072">
          <w:marLeft w:val="0"/>
          <w:marRight w:val="0"/>
          <w:marTop w:val="0"/>
          <w:marBottom w:val="0"/>
          <w:divBdr>
            <w:top w:val="none" w:sz="0" w:space="0" w:color="auto"/>
            <w:left w:val="none" w:sz="0" w:space="0" w:color="auto"/>
            <w:bottom w:val="none" w:sz="0" w:space="0" w:color="auto"/>
            <w:right w:val="none" w:sz="0" w:space="0" w:color="auto"/>
          </w:divBdr>
        </w:div>
        <w:div w:id="991370489">
          <w:marLeft w:val="0"/>
          <w:marRight w:val="0"/>
          <w:marTop w:val="0"/>
          <w:marBottom w:val="0"/>
          <w:divBdr>
            <w:top w:val="none" w:sz="0" w:space="0" w:color="auto"/>
            <w:left w:val="none" w:sz="0" w:space="0" w:color="auto"/>
            <w:bottom w:val="none" w:sz="0" w:space="0" w:color="auto"/>
            <w:right w:val="none" w:sz="0" w:space="0" w:color="auto"/>
          </w:divBdr>
        </w:div>
        <w:div w:id="995962603">
          <w:marLeft w:val="0"/>
          <w:marRight w:val="0"/>
          <w:marTop w:val="0"/>
          <w:marBottom w:val="0"/>
          <w:divBdr>
            <w:top w:val="none" w:sz="0" w:space="0" w:color="auto"/>
            <w:left w:val="none" w:sz="0" w:space="0" w:color="auto"/>
            <w:bottom w:val="none" w:sz="0" w:space="0" w:color="auto"/>
            <w:right w:val="none" w:sz="0" w:space="0" w:color="auto"/>
          </w:divBdr>
        </w:div>
        <w:div w:id="1289387085">
          <w:marLeft w:val="0"/>
          <w:marRight w:val="0"/>
          <w:marTop w:val="0"/>
          <w:marBottom w:val="0"/>
          <w:divBdr>
            <w:top w:val="none" w:sz="0" w:space="0" w:color="auto"/>
            <w:left w:val="none" w:sz="0" w:space="0" w:color="auto"/>
            <w:bottom w:val="none" w:sz="0" w:space="0" w:color="auto"/>
            <w:right w:val="none" w:sz="0" w:space="0" w:color="auto"/>
          </w:divBdr>
        </w:div>
        <w:div w:id="1312901308">
          <w:marLeft w:val="0"/>
          <w:marRight w:val="0"/>
          <w:marTop w:val="0"/>
          <w:marBottom w:val="0"/>
          <w:divBdr>
            <w:top w:val="none" w:sz="0" w:space="0" w:color="auto"/>
            <w:left w:val="none" w:sz="0" w:space="0" w:color="auto"/>
            <w:bottom w:val="none" w:sz="0" w:space="0" w:color="auto"/>
            <w:right w:val="none" w:sz="0" w:space="0" w:color="auto"/>
          </w:divBdr>
        </w:div>
        <w:div w:id="1598828143">
          <w:marLeft w:val="0"/>
          <w:marRight w:val="0"/>
          <w:marTop w:val="0"/>
          <w:marBottom w:val="0"/>
          <w:divBdr>
            <w:top w:val="none" w:sz="0" w:space="0" w:color="auto"/>
            <w:left w:val="none" w:sz="0" w:space="0" w:color="auto"/>
            <w:bottom w:val="none" w:sz="0" w:space="0" w:color="auto"/>
            <w:right w:val="none" w:sz="0" w:space="0" w:color="auto"/>
          </w:divBdr>
        </w:div>
        <w:div w:id="1758481376">
          <w:marLeft w:val="0"/>
          <w:marRight w:val="0"/>
          <w:marTop w:val="0"/>
          <w:marBottom w:val="0"/>
          <w:divBdr>
            <w:top w:val="none" w:sz="0" w:space="0" w:color="auto"/>
            <w:left w:val="none" w:sz="0" w:space="0" w:color="auto"/>
            <w:bottom w:val="none" w:sz="0" w:space="0" w:color="auto"/>
            <w:right w:val="none" w:sz="0" w:space="0" w:color="auto"/>
          </w:divBdr>
        </w:div>
        <w:div w:id="1874074778">
          <w:marLeft w:val="0"/>
          <w:marRight w:val="0"/>
          <w:marTop w:val="0"/>
          <w:marBottom w:val="0"/>
          <w:divBdr>
            <w:top w:val="none" w:sz="0" w:space="0" w:color="auto"/>
            <w:left w:val="none" w:sz="0" w:space="0" w:color="auto"/>
            <w:bottom w:val="none" w:sz="0" w:space="0" w:color="auto"/>
            <w:right w:val="none" w:sz="0" w:space="0" w:color="auto"/>
          </w:divBdr>
        </w:div>
        <w:div w:id="1911960367">
          <w:marLeft w:val="0"/>
          <w:marRight w:val="0"/>
          <w:marTop w:val="0"/>
          <w:marBottom w:val="0"/>
          <w:divBdr>
            <w:top w:val="none" w:sz="0" w:space="0" w:color="auto"/>
            <w:left w:val="none" w:sz="0" w:space="0" w:color="auto"/>
            <w:bottom w:val="none" w:sz="0" w:space="0" w:color="auto"/>
            <w:right w:val="none" w:sz="0" w:space="0" w:color="auto"/>
          </w:divBdr>
        </w:div>
      </w:divsChild>
    </w:div>
    <w:div w:id="312216946">
      <w:bodyDiv w:val="1"/>
      <w:marLeft w:val="0"/>
      <w:marRight w:val="0"/>
      <w:marTop w:val="0"/>
      <w:marBottom w:val="0"/>
      <w:divBdr>
        <w:top w:val="none" w:sz="0" w:space="0" w:color="auto"/>
        <w:left w:val="none" w:sz="0" w:space="0" w:color="auto"/>
        <w:bottom w:val="none" w:sz="0" w:space="0" w:color="auto"/>
        <w:right w:val="none" w:sz="0" w:space="0" w:color="auto"/>
      </w:divBdr>
    </w:div>
    <w:div w:id="314575486">
      <w:bodyDiv w:val="1"/>
      <w:marLeft w:val="0"/>
      <w:marRight w:val="0"/>
      <w:marTop w:val="0"/>
      <w:marBottom w:val="0"/>
      <w:divBdr>
        <w:top w:val="none" w:sz="0" w:space="0" w:color="auto"/>
        <w:left w:val="none" w:sz="0" w:space="0" w:color="auto"/>
        <w:bottom w:val="none" w:sz="0" w:space="0" w:color="auto"/>
        <w:right w:val="none" w:sz="0" w:space="0" w:color="auto"/>
      </w:divBdr>
    </w:div>
    <w:div w:id="315035897">
      <w:bodyDiv w:val="1"/>
      <w:marLeft w:val="0"/>
      <w:marRight w:val="0"/>
      <w:marTop w:val="0"/>
      <w:marBottom w:val="0"/>
      <w:divBdr>
        <w:top w:val="none" w:sz="0" w:space="0" w:color="auto"/>
        <w:left w:val="none" w:sz="0" w:space="0" w:color="auto"/>
        <w:bottom w:val="none" w:sz="0" w:space="0" w:color="auto"/>
        <w:right w:val="none" w:sz="0" w:space="0" w:color="auto"/>
      </w:divBdr>
    </w:div>
    <w:div w:id="316300889">
      <w:bodyDiv w:val="1"/>
      <w:marLeft w:val="0"/>
      <w:marRight w:val="0"/>
      <w:marTop w:val="0"/>
      <w:marBottom w:val="0"/>
      <w:divBdr>
        <w:top w:val="none" w:sz="0" w:space="0" w:color="auto"/>
        <w:left w:val="none" w:sz="0" w:space="0" w:color="auto"/>
        <w:bottom w:val="none" w:sz="0" w:space="0" w:color="auto"/>
        <w:right w:val="none" w:sz="0" w:space="0" w:color="auto"/>
      </w:divBdr>
    </w:div>
    <w:div w:id="316420210">
      <w:bodyDiv w:val="1"/>
      <w:marLeft w:val="0"/>
      <w:marRight w:val="0"/>
      <w:marTop w:val="0"/>
      <w:marBottom w:val="0"/>
      <w:divBdr>
        <w:top w:val="none" w:sz="0" w:space="0" w:color="auto"/>
        <w:left w:val="none" w:sz="0" w:space="0" w:color="auto"/>
        <w:bottom w:val="none" w:sz="0" w:space="0" w:color="auto"/>
        <w:right w:val="none" w:sz="0" w:space="0" w:color="auto"/>
      </w:divBdr>
    </w:div>
    <w:div w:id="317266775">
      <w:bodyDiv w:val="1"/>
      <w:marLeft w:val="0"/>
      <w:marRight w:val="0"/>
      <w:marTop w:val="0"/>
      <w:marBottom w:val="0"/>
      <w:divBdr>
        <w:top w:val="none" w:sz="0" w:space="0" w:color="auto"/>
        <w:left w:val="none" w:sz="0" w:space="0" w:color="auto"/>
        <w:bottom w:val="none" w:sz="0" w:space="0" w:color="auto"/>
        <w:right w:val="none" w:sz="0" w:space="0" w:color="auto"/>
      </w:divBdr>
    </w:div>
    <w:div w:id="317344451">
      <w:bodyDiv w:val="1"/>
      <w:marLeft w:val="0"/>
      <w:marRight w:val="0"/>
      <w:marTop w:val="0"/>
      <w:marBottom w:val="0"/>
      <w:divBdr>
        <w:top w:val="none" w:sz="0" w:space="0" w:color="auto"/>
        <w:left w:val="none" w:sz="0" w:space="0" w:color="auto"/>
        <w:bottom w:val="none" w:sz="0" w:space="0" w:color="auto"/>
        <w:right w:val="none" w:sz="0" w:space="0" w:color="auto"/>
      </w:divBdr>
    </w:div>
    <w:div w:id="318267181">
      <w:bodyDiv w:val="1"/>
      <w:marLeft w:val="0"/>
      <w:marRight w:val="0"/>
      <w:marTop w:val="0"/>
      <w:marBottom w:val="0"/>
      <w:divBdr>
        <w:top w:val="none" w:sz="0" w:space="0" w:color="auto"/>
        <w:left w:val="none" w:sz="0" w:space="0" w:color="auto"/>
        <w:bottom w:val="none" w:sz="0" w:space="0" w:color="auto"/>
        <w:right w:val="none" w:sz="0" w:space="0" w:color="auto"/>
      </w:divBdr>
    </w:div>
    <w:div w:id="318267508">
      <w:bodyDiv w:val="1"/>
      <w:marLeft w:val="0"/>
      <w:marRight w:val="0"/>
      <w:marTop w:val="0"/>
      <w:marBottom w:val="0"/>
      <w:divBdr>
        <w:top w:val="none" w:sz="0" w:space="0" w:color="auto"/>
        <w:left w:val="none" w:sz="0" w:space="0" w:color="auto"/>
        <w:bottom w:val="none" w:sz="0" w:space="0" w:color="auto"/>
        <w:right w:val="none" w:sz="0" w:space="0" w:color="auto"/>
      </w:divBdr>
    </w:div>
    <w:div w:id="318778901">
      <w:bodyDiv w:val="1"/>
      <w:marLeft w:val="0"/>
      <w:marRight w:val="0"/>
      <w:marTop w:val="0"/>
      <w:marBottom w:val="0"/>
      <w:divBdr>
        <w:top w:val="none" w:sz="0" w:space="0" w:color="auto"/>
        <w:left w:val="none" w:sz="0" w:space="0" w:color="auto"/>
        <w:bottom w:val="none" w:sz="0" w:space="0" w:color="auto"/>
        <w:right w:val="none" w:sz="0" w:space="0" w:color="auto"/>
      </w:divBdr>
    </w:div>
    <w:div w:id="319578319">
      <w:bodyDiv w:val="1"/>
      <w:marLeft w:val="0"/>
      <w:marRight w:val="0"/>
      <w:marTop w:val="0"/>
      <w:marBottom w:val="0"/>
      <w:divBdr>
        <w:top w:val="none" w:sz="0" w:space="0" w:color="auto"/>
        <w:left w:val="none" w:sz="0" w:space="0" w:color="auto"/>
        <w:bottom w:val="none" w:sz="0" w:space="0" w:color="auto"/>
        <w:right w:val="none" w:sz="0" w:space="0" w:color="auto"/>
      </w:divBdr>
    </w:div>
    <w:div w:id="320087066">
      <w:bodyDiv w:val="1"/>
      <w:marLeft w:val="0"/>
      <w:marRight w:val="0"/>
      <w:marTop w:val="0"/>
      <w:marBottom w:val="0"/>
      <w:divBdr>
        <w:top w:val="none" w:sz="0" w:space="0" w:color="auto"/>
        <w:left w:val="none" w:sz="0" w:space="0" w:color="auto"/>
        <w:bottom w:val="none" w:sz="0" w:space="0" w:color="auto"/>
        <w:right w:val="none" w:sz="0" w:space="0" w:color="auto"/>
      </w:divBdr>
    </w:div>
    <w:div w:id="320237369">
      <w:bodyDiv w:val="1"/>
      <w:marLeft w:val="0"/>
      <w:marRight w:val="0"/>
      <w:marTop w:val="0"/>
      <w:marBottom w:val="0"/>
      <w:divBdr>
        <w:top w:val="none" w:sz="0" w:space="0" w:color="auto"/>
        <w:left w:val="none" w:sz="0" w:space="0" w:color="auto"/>
        <w:bottom w:val="none" w:sz="0" w:space="0" w:color="auto"/>
        <w:right w:val="none" w:sz="0" w:space="0" w:color="auto"/>
      </w:divBdr>
    </w:div>
    <w:div w:id="320693061">
      <w:bodyDiv w:val="1"/>
      <w:marLeft w:val="0"/>
      <w:marRight w:val="0"/>
      <w:marTop w:val="0"/>
      <w:marBottom w:val="0"/>
      <w:divBdr>
        <w:top w:val="none" w:sz="0" w:space="0" w:color="auto"/>
        <w:left w:val="none" w:sz="0" w:space="0" w:color="auto"/>
        <w:bottom w:val="none" w:sz="0" w:space="0" w:color="auto"/>
        <w:right w:val="none" w:sz="0" w:space="0" w:color="auto"/>
      </w:divBdr>
    </w:div>
    <w:div w:id="321666487">
      <w:bodyDiv w:val="1"/>
      <w:marLeft w:val="0"/>
      <w:marRight w:val="0"/>
      <w:marTop w:val="0"/>
      <w:marBottom w:val="0"/>
      <w:divBdr>
        <w:top w:val="none" w:sz="0" w:space="0" w:color="auto"/>
        <w:left w:val="none" w:sz="0" w:space="0" w:color="auto"/>
        <w:bottom w:val="none" w:sz="0" w:space="0" w:color="auto"/>
        <w:right w:val="none" w:sz="0" w:space="0" w:color="auto"/>
      </w:divBdr>
    </w:div>
    <w:div w:id="322323007">
      <w:bodyDiv w:val="1"/>
      <w:marLeft w:val="0"/>
      <w:marRight w:val="0"/>
      <w:marTop w:val="0"/>
      <w:marBottom w:val="0"/>
      <w:divBdr>
        <w:top w:val="none" w:sz="0" w:space="0" w:color="auto"/>
        <w:left w:val="none" w:sz="0" w:space="0" w:color="auto"/>
        <w:bottom w:val="none" w:sz="0" w:space="0" w:color="auto"/>
        <w:right w:val="none" w:sz="0" w:space="0" w:color="auto"/>
      </w:divBdr>
    </w:div>
    <w:div w:id="323359822">
      <w:bodyDiv w:val="1"/>
      <w:marLeft w:val="0"/>
      <w:marRight w:val="0"/>
      <w:marTop w:val="0"/>
      <w:marBottom w:val="0"/>
      <w:divBdr>
        <w:top w:val="none" w:sz="0" w:space="0" w:color="auto"/>
        <w:left w:val="none" w:sz="0" w:space="0" w:color="auto"/>
        <w:bottom w:val="none" w:sz="0" w:space="0" w:color="auto"/>
        <w:right w:val="none" w:sz="0" w:space="0" w:color="auto"/>
      </w:divBdr>
    </w:div>
    <w:div w:id="324284053">
      <w:bodyDiv w:val="1"/>
      <w:marLeft w:val="0"/>
      <w:marRight w:val="0"/>
      <w:marTop w:val="0"/>
      <w:marBottom w:val="0"/>
      <w:divBdr>
        <w:top w:val="none" w:sz="0" w:space="0" w:color="auto"/>
        <w:left w:val="none" w:sz="0" w:space="0" w:color="auto"/>
        <w:bottom w:val="none" w:sz="0" w:space="0" w:color="auto"/>
        <w:right w:val="none" w:sz="0" w:space="0" w:color="auto"/>
      </w:divBdr>
    </w:div>
    <w:div w:id="324669923">
      <w:bodyDiv w:val="1"/>
      <w:marLeft w:val="0"/>
      <w:marRight w:val="0"/>
      <w:marTop w:val="0"/>
      <w:marBottom w:val="0"/>
      <w:divBdr>
        <w:top w:val="none" w:sz="0" w:space="0" w:color="auto"/>
        <w:left w:val="none" w:sz="0" w:space="0" w:color="auto"/>
        <w:bottom w:val="none" w:sz="0" w:space="0" w:color="auto"/>
        <w:right w:val="none" w:sz="0" w:space="0" w:color="auto"/>
      </w:divBdr>
    </w:div>
    <w:div w:id="325205152">
      <w:bodyDiv w:val="1"/>
      <w:marLeft w:val="0"/>
      <w:marRight w:val="0"/>
      <w:marTop w:val="0"/>
      <w:marBottom w:val="0"/>
      <w:divBdr>
        <w:top w:val="none" w:sz="0" w:space="0" w:color="auto"/>
        <w:left w:val="none" w:sz="0" w:space="0" w:color="auto"/>
        <w:bottom w:val="none" w:sz="0" w:space="0" w:color="auto"/>
        <w:right w:val="none" w:sz="0" w:space="0" w:color="auto"/>
      </w:divBdr>
    </w:div>
    <w:div w:id="325323243">
      <w:bodyDiv w:val="1"/>
      <w:marLeft w:val="0"/>
      <w:marRight w:val="0"/>
      <w:marTop w:val="0"/>
      <w:marBottom w:val="0"/>
      <w:divBdr>
        <w:top w:val="none" w:sz="0" w:space="0" w:color="auto"/>
        <w:left w:val="none" w:sz="0" w:space="0" w:color="auto"/>
        <w:bottom w:val="none" w:sz="0" w:space="0" w:color="auto"/>
        <w:right w:val="none" w:sz="0" w:space="0" w:color="auto"/>
      </w:divBdr>
    </w:div>
    <w:div w:id="325522186">
      <w:bodyDiv w:val="1"/>
      <w:marLeft w:val="0"/>
      <w:marRight w:val="0"/>
      <w:marTop w:val="0"/>
      <w:marBottom w:val="0"/>
      <w:divBdr>
        <w:top w:val="none" w:sz="0" w:space="0" w:color="auto"/>
        <w:left w:val="none" w:sz="0" w:space="0" w:color="auto"/>
        <w:bottom w:val="none" w:sz="0" w:space="0" w:color="auto"/>
        <w:right w:val="none" w:sz="0" w:space="0" w:color="auto"/>
      </w:divBdr>
    </w:div>
    <w:div w:id="325935881">
      <w:bodyDiv w:val="1"/>
      <w:marLeft w:val="0"/>
      <w:marRight w:val="0"/>
      <w:marTop w:val="0"/>
      <w:marBottom w:val="0"/>
      <w:divBdr>
        <w:top w:val="none" w:sz="0" w:space="0" w:color="auto"/>
        <w:left w:val="none" w:sz="0" w:space="0" w:color="auto"/>
        <w:bottom w:val="none" w:sz="0" w:space="0" w:color="auto"/>
        <w:right w:val="none" w:sz="0" w:space="0" w:color="auto"/>
      </w:divBdr>
    </w:div>
    <w:div w:id="326249284">
      <w:bodyDiv w:val="1"/>
      <w:marLeft w:val="0"/>
      <w:marRight w:val="0"/>
      <w:marTop w:val="0"/>
      <w:marBottom w:val="0"/>
      <w:divBdr>
        <w:top w:val="none" w:sz="0" w:space="0" w:color="auto"/>
        <w:left w:val="none" w:sz="0" w:space="0" w:color="auto"/>
        <w:bottom w:val="none" w:sz="0" w:space="0" w:color="auto"/>
        <w:right w:val="none" w:sz="0" w:space="0" w:color="auto"/>
      </w:divBdr>
    </w:div>
    <w:div w:id="328414350">
      <w:bodyDiv w:val="1"/>
      <w:marLeft w:val="0"/>
      <w:marRight w:val="0"/>
      <w:marTop w:val="0"/>
      <w:marBottom w:val="0"/>
      <w:divBdr>
        <w:top w:val="none" w:sz="0" w:space="0" w:color="auto"/>
        <w:left w:val="none" w:sz="0" w:space="0" w:color="auto"/>
        <w:bottom w:val="none" w:sz="0" w:space="0" w:color="auto"/>
        <w:right w:val="none" w:sz="0" w:space="0" w:color="auto"/>
      </w:divBdr>
    </w:div>
    <w:div w:id="328947293">
      <w:bodyDiv w:val="1"/>
      <w:marLeft w:val="0"/>
      <w:marRight w:val="0"/>
      <w:marTop w:val="0"/>
      <w:marBottom w:val="0"/>
      <w:divBdr>
        <w:top w:val="none" w:sz="0" w:space="0" w:color="auto"/>
        <w:left w:val="none" w:sz="0" w:space="0" w:color="auto"/>
        <w:bottom w:val="none" w:sz="0" w:space="0" w:color="auto"/>
        <w:right w:val="none" w:sz="0" w:space="0" w:color="auto"/>
      </w:divBdr>
    </w:div>
    <w:div w:id="329990143">
      <w:bodyDiv w:val="1"/>
      <w:marLeft w:val="0"/>
      <w:marRight w:val="0"/>
      <w:marTop w:val="0"/>
      <w:marBottom w:val="0"/>
      <w:divBdr>
        <w:top w:val="none" w:sz="0" w:space="0" w:color="auto"/>
        <w:left w:val="none" w:sz="0" w:space="0" w:color="auto"/>
        <w:bottom w:val="none" w:sz="0" w:space="0" w:color="auto"/>
        <w:right w:val="none" w:sz="0" w:space="0" w:color="auto"/>
      </w:divBdr>
    </w:div>
    <w:div w:id="332614774">
      <w:bodyDiv w:val="1"/>
      <w:marLeft w:val="0"/>
      <w:marRight w:val="0"/>
      <w:marTop w:val="0"/>
      <w:marBottom w:val="0"/>
      <w:divBdr>
        <w:top w:val="none" w:sz="0" w:space="0" w:color="auto"/>
        <w:left w:val="none" w:sz="0" w:space="0" w:color="auto"/>
        <w:bottom w:val="none" w:sz="0" w:space="0" w:color="auto"/>
        <w:right w:val="none" w:sz="0" w:space="0" w:color="auto"/>
      </w:divBdr>
    </w:div>
    <w:div w:id="332682788">
      <w:bodyDiv w:val="1"/>
      <w:marLeft w:val="0"/>
      <w:marRight w:val="0"/>
      <w:marTop w:val="0"/>
      <w:marBottom w:val="0"/>
      <w:divBdr>
        <w:top w:val="none" w:sz="0" w:space="0" w:color="auto"/>
        <w:left w:val="none" w:sz="0" w:space="0" w:color="auto"/>
        <w:bottom w:val="none" w:sz="0" w:space="0" w:color="auto"/>
        <w:right w:val="none" w:sz="0" w:space="0" w:color="auto"/>
      </w:divBdr>
    </w:div>
    <w:div w:id="332803982">
      <w:bodyDiv w:val="1"/>
      <w:marLeft w:val="0"/>
      <w:marRight w:val="0"/>
      <w:marTop w:val="0"/>
      <w:marBottom w:val="0"/>
      <w:divBdr>
        <w:top w:val="none" w:sz="0" w:space="0" w:color="auto"/>
        <w:left w:val="none" w:sz="0" w:space="0" w:color="auto"/>
        <w:bottom w:val="none" w:sz="0" w:space="0" w:color="auto"/>
        <w:right w:val="none" w:sz="0" w:space="0" w:color="auto"/>
      </w:divBdr>
    </w:div>
    <w:div w:id="332953468">
      <w:bodyDiv w:val="1"/>
      <w:marLeft w:val="0"/>
      <w:marRight w:val="0"/>
      <w:marTop w:val="0"/>
      <w:marBottom w:val="0"/>
      <w:divBdr>
        <w:top w:val="none" w:sz="0" w:space="0" w:color="auto"/>
        <w:left w:val="none" w:sz="0" w:space="0" w:color="auto"/>
        <w:bottom w:val="none" w:sz="0" w:space="0" w:color="auto"/>
        <w:right w:val="none" w:sz="0" w:space="0" w:color="auto"/>
      </w:divBdr>
    </w:div>
    <w:div w:id="333074613">
      <w:bodyDiv w:val="1"/>
      <w:marLeft w:val="0"/>
      <w:marRight w:val="0"/>
      <w:marTop w:val="0"/>
      <w:marBottom w:val="0"/>
      <w:divBdr>
        <w:top w:val="none" w:sz="0" w:space="0" w:color="auto"/>
        <w:left w:val="none" w:sz="0" w:space="0" w:color="auto"/>
        <w:bottom w:val="none" w:sz="0" w:space="0" w:color="auto"/>
        <w:right w:val="none" w:sz="0" w:space="0" w:color="auto"/>
      </w:divBdr>
    </w:div>
    <w:div w:id="333265587">
      <w:bodyDiv w:val="1"/>
      <w:marLeft w:val="0"/>
      <w:marRight w:val="0"/>
      <w:marTop w:val="0"/>
      <w:marBottom w:val="0"/>
      <w:divBdr>
        <w:top w:val="none" w:sz="0" w:space="0" w:color="auto"/>
        <w:left w:val="none" w:sz="0" w:space="0" w:color="auto"/>
        <w:bottom w:val="none" w:sz="0" w:space="0" w:color="auto"/>
        <w:right w:val="none" w:sz="0" w:space="0" w:color="auto"/>
      </w:divBdr>
    </w:div>
    <w:div w:id="333337661">
      <w:bodyDiv w:val="1"/>
      <w:marLeft w:val="0"/>
      <w:marRight w:val="0"/>
      <w:marTop w:val="0"/>
      <w:marBottom w:val="0"/>
      <w:divBdr>
        <w:top w:val="none" w:sz="0" w:space="0" w:color="auto"/>
        <w:left w:val="none" w:sz="0" w:space="0" w:color="auto"/>
        <w:bottom w:val="none" w:sz="0" w:space="0" w:color="auto"/>
        <w:right w:val="none" w:sz="0" w:space="0" w:color="auto"/>
      </w:divBdr>
    </w:div>
    <w:div w:id="333579135">
      <w:bodyDiv w:val="1"/>
      <w:marLeft w:val="0"/>
      <w:marRight w:val="0"/>
      <w:marTop w:val="0"/>
      <w:marBottom w:val="0"/>
      <w:divBdr>
        <w:top w:val="none" w:sz="0" w:space="0" w:color="auto"/>
        <w:left w:val="none" w:sz="0" w:space="0" w:color="auto"/>
        <w:bottom w:val="none" w:sz="0" w:space="0" w:color="auto"/>
        <w:right w:val="none" w:sz="0" w:space="0" w:color="auto"/>
      </w:divBdr>
    </w:div>
    <w:div w:id="334311221">
      <w:bodyDiv w:val="1"/>
      <w:marLeft w:val="0"/>
      <w:marRight w:val="0"/>
      <w:marTop w:val="0"/>
      <w:marBottom w:val="0"/>
      <w:divBdr>
        <w:top w:val="none" w:sz="0" w:space="0" w:color="auto"/>
        <w:left w:val="none" w:sz="0" w:space="0" w:color="auto"/>
        <w:bottom w:val="none" w:sz="0" w:space="0" w:color="auto"/>
        <w:right w:val="none" w:sz="0" w:space="0" w:color="auto"/>
      </w:divBdr>
      <w:divsChild>
        <w:div w:id="86923210">
          <w:marLeft w:val="0"/>
          <w:marRight w:val="0"/>
          <w:marTop w:val="0"/>
          <w:marBottom w:val="0"/>
          <w:divBdr>
            <w:top w:val="none" w:sz="0" w:space="0" w:color="auto"/>
            <w:left w:val="none" w:sz="0" w:space="0" w:color="auto"/>
            <w:bottom w:val="none" w:sz="0" w:space="0" w:color="auto"/>
            <w:right w:val="none" w:sz="0" w:space="0" w:color="auto"/>
          </w:divBdr>
        </w:div>
      </w:divsChild>
    </w:div>
    <w:div w:id="334845260">
      <w:bodyDiv w:val="1"/>
      <w:marLeft w:val="0"/>
      <w:marRight w:val="0"/>
      <w:marTop w:val="0"/>
      <w:marBottom w:val="0"/>
      <w:divBdr>
        <w:top w:val="none" w:sz="0" w:space="0" w:color="auto"/>
        <w:left w:val="none" w:sz="0" w:space="0" w:color="auto"/>
        <w:bottom w:val="none" w:sz="0" w:space="0" w:color="auto"/>
        <w:right w:val="none" w:sz="0" w:space="0" w:color="auto"/>
      </w:divBdr>
    </w:div>
    <w:div w:id="335111527">
      <w:bodyDiv w:val="1"/>
      <w:marLeft w:val="0"/>
      <w:marRight w:val="0"/>
      <w:marTop w:val="0"/>
      <w:marBottom w:val="0"/>
      <w:divBdr>
        <w:top w:val="none" w:sz="0" w:space="0" w:color="auto"/>
        <w:left w:val="none" w:sz="0" w:space="0" w:color="auto"/>
        <w:bottom w:val="none" w:sz="0" w:space="0" w:color="auto"/>
        <w:right w:val="none" w:sz="0" w:space="0" w:color="auto"/>
      </w:divBdr>
    </w:div>
    <w:div w:id="335303919">
      <w:bodyDiv w:val="1"/>
      <w:marLeft w:val="0"/>
      <w:marRight w:val="0"/>
      <w:marTop w:val="0"/>
      <w:marBottom w:val="0"/>
      <w:divBdr>
        <w:top w:val="none" w:sz="0" w:space="0" w:color="auto"/>
        <w:left w:val="none" w:sz="0" w:space="0" w:color="auto"/>
        <w:bottom w:val="none" w:sz="0" w:space="0" w:color="auto"/>
        <w:right w:val="none" w:sz="0" w:space="0" w:color="auto"/>
      </w:divBdr>
    </w:div>
    <w:div w:id="335545779">
      <w:bodyDiv w:val="1"/>
      <w:marLeft w:val="0"/>
      <w:marRight w:val="0"/>
      <w:marTop w:val="0"/>
      <w:marBottom w:val="0"/>
      <w:divBdr>
        <w:top w:val="none" w:sz="0" w:space="0" w:color="auto"/>
        <w:left w:val="none" w:sz="0" w:space="0" w:color="auto"/>
        <w:bottom w:val="none" w:sz="0" w:space="0" w:color="auto"/>
        <w:right w:val="none" w:sz="0" w:space="0" w:color="auto"/>
      </w:divBdr>
    </w:div>
    <w:div w:id="336462214">
      <w:bodyDiv w:val="1"/>
      <w:marLeft w:val="0"/>
      <w:marRight w:val="0"/>
      <w:marTop w:val="0"/>
      <w:marBottom w:val="0"/>
      <w:divBdr>
        <w:top w:val="none" w:sz="0" w:space="0" w:color="auto"/>
        <w:left w:val="none" w:sz="0" w:space="0" w:color="auto"/>
        <w:bottom w:val="none" w:sz="0" w:space="0" w:color="auto"/>
        <w:right w:val="none" w:sz="0" w:space="0" w:color="auto"/>
      </w:divBdr>
    </w:div>
    <w:div w:id="337778685">
      <w:bodyDiv w:val="1"/>
      <w:marLeft w:val="0"/>
      <w:marRight w:val="0"/>
      <w:marTop w:val="0"/>
      <w:marBottom w:val="0"/>
      <w:divBdr>
        <w:top w:val="none" w:sz="0" w:space="0" w:color="auto"/>
        <w:left w:val="none" w:sz="0" w:space="0" w:color="auto"/>
        <w:bottom w:val="none" w:sz="0" w:space="0" w:color="auto"/>
        <w:right w:val="none" w:sz="0" w:space="0" w:color="auto"/>
      </w:divBdr>
    </w:div>
    <w:div w:id="337970549">
      <w:bodyDiv w:val="1"/>
      <w:marLeft w:val="0"/>
      <w:marRight w:val="0"/>
      <w:marTop w:val="0"/>
      <w:marBottom w:val="0"/>
      <w:divBdr>
        <w:top w:val="none" w:sz="0" w:space="0" w:color="auto"/>
        <w:left w:val="none" w:sz="0" w:space="0" w:color="auto"/>
        <w:bottom w:val="none" w:sz="0" w:space="0" w:color="auto"/>
        <w:right w:val="none" w:sz="0" w:space="0" w:color="auto"/>
      </w:divBdr>
    </w:div>
    <w:div w:id="338119931">
      <w:bodyDiv w:val="1"/>
      <w:marLeft w:val="0"/>
      <w:marRight w:val="0"/>
      <w:marTop w:val="0"/>
      <w:marBottom w:val="0"/>
      <w:divBdr>
        <w:top w:val="none" w:sz="0" w:space="0" w:color="auto"/>
        <w:left w:val="none" w:sz="0" w:space="0" w:color="auto"/>
        <w:bottom w:val="none" w:sz="0" w:space="0" w:color="auto"/>
        <w:right w:val="none" w:sz="0" w:space="0" w:color="auto"/>
      </w:divBdr>
    </w:div>
    <w:div w:id="338315066">
      <w:bodyDiv w:val="1"/>
      <w:marLeft w:val="0"/>
      <w:marRight w:val="0"/>
      <w:marTop w:val="0"/>
      <w:marBottom w:val="0"/>
      <w:divBdr>
        <w:top w:val="none" w:sz="0" w:space="0" w:color="auto"/>
        <w:left w:val="none" w:sz="0" w:space="0" w:color="auto"/>
        <w:bottom w:val="none" w:sz="0" w:space="0" w:color="auto"/>
        <w:right w:val="none" w:sz="0" w:space="0" w:color="auto"/>
      </w:divBdr>
    </w:div>
    <w:div w:id="338628520">
      <w:bodyDiv w:val="1"/>
      <w:marLeft w:val="0"/>
      <w:marRight w:val="0"/>
      <w:marTop w:val="0"/>
      <w:marBottom w:val="0"/>
      <w:divBdr>
        <w:top w:val="none" w:sz="0" w:space="0" w:color="auto"/>
        <w:left w:val="none" w:sz="0" w:space="0" w:color="auto"/>
        <w:bottom w:val="none" w:sz="0" w:space="0" w:color="auto"/>
        <w:right w:val="none" w:sz="0" w:space="0" w:color="auto"/>
      </w:divBdr>
    </w:div>
    <w:div w:id="339237390">
      <w:bodyDiv w:val="1"/>
      <w:marLeft w:val="0"/>
      <w:marRight w:val="0"/>
      <w:marTop w:val="0"/>
      <w:marBottom w:val="0"/>
      <w:divBdr>
        <w:top w:val="none" w:sz="0" w:space="0" w:color="auto"/>
        <w:left w:val="none" w:sz="0" w:space="0" w:color="auto"/>
        <w:bottom w:val="none" w:sz="0" w:space="0" w:color="auto"/>
        <w:right w:val="none" w:sz="0" w:space="0" w:color="auto"/>
      </w:divBdr>
    </w:div>
    <w:div w:id="339356571">
      <w:bodyDiv w:val="1"/>
      <w:marLeft w:val="0"/>
      <w:marRight w:val="0"/>
      <w:marTop w:val="0"/>
      <w:marBottom w:val="0"/>
      <w:divBdr>
        <w:top w:val="none" w:sz="0" w:space="0" w:color="auto"/>
        <w:left w:val="none" w:sz="0" w:space="0" w:color="auto"/>
        <w:bottom w:val="none" w:sz="0" w:space="0" w:color="auto"/>
        <w:right w:val="none" w:sz="0" w:space="0" w:color="auto"/>
      </w:divBdr>
    </w:div>
    <w:div w:id="340160036">
      <w:bodyDiv w:val="1"/>
      <w:marLeft w:val="0"/>
      <w:marRight w:val="0"/>
      <w:marTop w:val="0"/>
      <w:marBottom w:val="0"/>
      <w:divBdr>
        <w:top w:val="none" w:sz="0" w:space="0" w:color="auto"/>
        <w:left w:val="none" w:sz="0" w:space="0" w:color="auto"/>
        <w:bottom w:val="none" w:sz="0" w:space="0" w:color="auto"/>
        <w:right w:val="none" w:sz="0" w:space="0" w:color="auto"/>
      </w:divBdr>
    </w:div>
    <w:div w:id="341012073">
      <w:bodyDiv w:val="1"/>
      <w:marLeft w:val="0"/>
      <w:marRight w:val="0"/>
      <w:marTop w:val="0"/>
      <w:marBottom w:val="0"/>
      <w:divBdr>
        <w:top w:val="none" w:sz="0" w:space="0" w:color="auto"/>
        <w:left w:val="none" w:sz="0" w:space="0" w:color="auto"/>
        <w:bottom w:val="none" w:sz="0" w:space="0" w:color="auto"/>
        <w:right w:val="none" w:sz="0" w:space="0" w:color="auto"/>
      </w:divBdr>
    </w:div>
    <w:div w:id="341052652">
      <w:bodyDiv w:val="1"/>
      <w:marLeft w:val="0"/>
      <w:marRight w:val="0"/>
      <w:marTop w:val="0"/>
      <w:marBottom w:val="0"/>
      <w:divBdr>
        <w:top w:val="none" w:sz="0" w:space="0" w:color="auto"/>
        <w:left w:val="none" w:sz="0" w:space="0" w:color="auto"/>
        <w:bottom w:val="none" w:sz="0" w:space="0" w:color="auto"/>
        <w:right w:val="none" w:sz="0" w:space="0" w:color="auto"/>
      </w:divBdr>
    </w:div>
    <w:div w:id="341706724">
      <w:bodyDiv w:val="1"/>
      <w:marLeft w:val="0"/>
      <w:marRight w:val="0"/>
      <w:marTop w:val="0"/>
      <w:marBottom w:val="0"/>
      <w:divBdr>
        <w:top w:val="none" w:sz="0" w:space="0" w:color="auto"/>
        <w:left w:val="none" w:sz="0" w:space="0" w:color="auto"/>
        <w:bottom w:val="none" w:sz="0" w:space="0" w:color="auto"/>
        <w:right w:val="none" w:sz="0" w:space="0" w:color="auto"/>
      </w:divBdr>
    </w:div>
    <w:div w:id="341862243">
      <w:bodyDiv w:val="1"/>
      <w:marLeft w:val="0"/>
      <w:marRight w:val="0"/>
      <w:marTop w:val="0"/>
      <w:marBottom w:val="0"/>
      <w:divBdr>
        <w:top w:val="none" w:sz="0" w:space="0" w:color="auto"/>
        <w:left w:val="none" w:sz="0" w:space="0" w:color="auto"/>
        <w:bottom w:val="none" w:sz="0" w:space="0" w:color="auto"/>
        <w:right w:val="none" w:sz="0" w:space="0" w:color="auto"/>
      </w:divBdr>
    </w:div>
    <w:div w:id="342366780">
      <w:bodyDiv w:val="1"/>
      <w:marLeft w:val="0"/>
      <w:marRight w:val="0"/>
      <w:marTop w:val="0"/>
      <w:marBottom w:val="0"/>
      <w:divBdr>
        <w:top w:val="none" w:sz="0" w:space="0" w:color="auto"/>
        <w:left w:val="none" w:sz="0" w:space="0" w:color="auto"/>
        <w:bottom w:val="none" w:sz="0" w:space="0" w:color="auto"/>
        <w:right w:val="none" w:sz="0" w:space="0" w:color="auto"/>
      </w:divBdr>
    </w:div>
    <w:div w:id="343820995">
      <w:bodyDiv w:val="1"/>
      <w:marLeft w:val="0"/>
      <w:marRight w:val="0"/>
      <w:marTop w:val="0"/>
      <w:marBottom w:val="0"/>
      <w:divBdr>
        <w:top w:val="none" w:sz="0" w:space="0" w:color="auto"/>
        <w:left w:val="none" w:sz="0" w:space="0" w:color="auto"/>
        <w:bottom w:val="none" w:sz="0" w:space="0" w:color="auto"/>
        <w:right w:val="none" w:sz="0" w:space="0" w:color="auto"/>
      </w:divBdr>
    </w:div>
    <w:div w:id="344019652">
      <w:bodyDiv w:val="1"/>
      <w:marLeft w:val="0"/>
      <w:marRight w:val="0"/>
      <w:marTop w:val="0"/>
      <w:marBottom w:val="0"/>
      <w:divBdr>
        <w:top w:val="none" w:sz="0" w:space="0" w:color="auto"/>
        <w:left w:val="none" w:sz="0" w:space="0" w:color="auto"/>
        <w:bottom w:val="none" w:sz="0" w:space="0" w:color="auto"/>
        <w:right w:val="none" w:sz="0" w:space="0" w:color="auto"/>
      </w:divBdr>
    </w:div>
    <w:div w:id="344064182">
      <w:bodyDiv w:val="1"/>
      <w:marLeft w:val="0"/>
      <w:marRight w:val="0"/>
      <w:marTop w:val="0"/>
      <w:marBottom w:val="0"/>
      <w:divBdr>
        <w:top w:val="none" w:sz="0" w:space="0" w:color="auto"/>
        <w:left w:val="none" w:sz="0" w:space="0" w:color="auto"/>
        <w:bottom w:val="none" w:sz="0" w:space="0" w:color="auto"/>
        <w:right w:val="none" w:sz="0" w:space="0" w:color="auto"/>
      </w:divBdr>
    </w:div>
    <w:div w:id="345253081">
      <w:bodyDiv w:val="1"/>
      <w:marLeft w:val="0"/>
      <w:marRight w:val="0"/>
      <w:marTop w:val="0"/>
      <w:marBottom w:val="0"/>
      <w:divBdr>
        <w:top w:val="none" w:sz="0" w:space="0" w:color="auto"/>
        <w:left w:val="none" w:sz="0" w:space="0" w:color="auto"/>
        <w:bottom w:val="none" w:sz="0" w:space="0" w:color="auto"/>
        <w:right w:val="none" w:sz="0" w:space="0" w:color="auto"/>
      </w:divBdr>
    </w:div>
    <w:div w:id="345522582">
      <w:bodyDiv w:val="1"/>
      <w:marLeft w:val="0"/>
      <w:marRight w:val="0"/>
      <w:marTop w:val="0"/>
      <w:marBottom w:val="0"/>
      <w:divBdr>
        <w:top w:val="none" w:sz="0" w:space="0" w:color="auto"/>
        <w:left w:val="none" w:sz="0" w:space="0" w:color="auto"/>
        <w:bottom w:val="none" w:sz="0" w:space="0" w:color="auto"/>
        <w:right w:val="none" w:sz="0" w:space="0" w:color="auto"/>
      </w:divBdr>
    </w:div>
    <w:div w:id="345598391">
      <w:bodyDiv w:val="1"/>
      <w:marLeft w:val="0"/>
      <w:marRight w:val="0"/>
      <w:marTop w:val="0"/>
      <w:marBottom w:val="0"/>
      <w:divBdr>
        <w:top w:val="none" w:sz="0" w:space="0" w:color="auto"/>
        <w:left w:val="none" w:sz="0" w:space="0" w:color="auto"/>
        <w:bottom w:val="none" w:sz="0" w:space="0" w:color="auto"/>
        <w:right w:val="none" w:sz="0" w:space="0" w:color="auto"/>
      </w:divBdr>
    </w:div>
    <w:div w:id="346106665">
      <w:bodyDiv w:val="1"/>
      <w:marLeft w:val="0"/>
      <w:marRight w:val="0"/>
      <w:marTop w:val="0"/>
      <w:marBottom w:val="0"/>
      <w:divBdr>
        <w:top w:val="none" w:sz="0" w:space="0" w:color="auto"/>
        <w:left w:val="none" w:sz="0" w:space="0" w:color="auto"/>
        <w:bottom w:val="none" w:sz="0" w:space="0" w:color="auto"/>
        <w:right w:val="none" w:sz="0" w:space="0" w:color="auto"/>
      </w:divBdr>
    </w:div>
    <w:div w:id="347755583">
      <w:bodyDiv w:val="1"/>
      <w:marLeft w:val="0"/>
      <w:marRight w:val="0"/>
      <w:marTop w:val="0"/>
      <w:marBottom w:val="0"/>
      <w:divBdr>
        <w:top w:val="none" w:sz="0" w:space="0" w:color="auto"/>
        <w:left w:val="none" w:sz="0" w:space="0" w:color="auto"/>
        <w:bottom w:val="none" w:sz="0" w:space="0" w:color="auto"/>
        <w:right w:val="none" w:sz="0" w:space="0" w:color="auto"/>
      </w:divBdr>
    </w:div>
    <w:div w:id="348874179">
      <w:bodyDiv w:val="1"/>
      <w:marLeft w:val="0"/>
      <w:marRight w:val="0"/>
      <w:marTop w:val="0"/>
      <w:marBottom w:val="0"/>
      <w:divBdr>
        <w:top w:val="none" w:sz="0" w:space="0" w:color="auto"/>
        <w:left w:val="none" w:sz="0" w:space="0" w:color="auto"/>
        <w:bottom w:val="none" w:sz="0" w:space="0" w:color="auto"/>
        <w:right w:val="none" w:sz="0" w:space="0" w:color="auto"/>
      </w:divBdr>
    </w:div>
    <w:div w:id="348877998">
      <w:bodyDiv w:val="1"/>
      <w:marLeft w:val="0"/>
      <w:marRight w:val="0"/>
      <w:marTop w:val="0"/>
      <w:marBottom w:val="0"/>
      <w:divBdr>
        <w:top w:val="none" w:sz="0" w:space="0" w:color="auto"/>
        <w:left w:val="none" w:sz="0" w:space="0" w:color="auto"/>
        <w:bottom w:val="none" w:sz="0" w:space="0" w:color="auto"/>
        <w:right w:val="none" w:sz="0" w:space="0" w:color="auto"/>
      </w:divBdr>
    </w:div>
    <w:div w:id="349647151">
      <w:bodyDiv w:val="1"/>
      <w:marLeft w:val="0"/>
      <w:marRight w:val="0"/>
      <w:marTop w:val="0"/>
      <w:marBottom w:val="0"/>
      <w:divBdr>
        <w:top w:val="none" w:sz="0" w:space="0" w:color="auto"/>
        <w:left w:val="none" w:sz="0" w:space="0" w:color="auto"/>
        <w:bottom w:val="none" w:sz="0" w:space="0" w:color="auto"/>
        <w:right w:val="none" w:sz="0" w:space="0" w:color="auto"/>
      </w:divBdr>
    </w:div>
    <w:div w:id="350686375">
      <w:bodyDiv w:val="1"/>
      <w:marLeft w:val="0"/>
      <w:marRight w:val="0"/>
      <w:marTop w:val="0"/>
      <w:marBottom w:val="0"/>
      <w:divBdr>
        <w:top w:val="none" w:sz="0" w:space="0" w:color="auto"/>
        <w:left w:val="none" w:sz="0" w:space="0" w:color="auto"/>
        <w:bottom w:val="none" w:sz="0" w:space="0" w:color="auto"/>
        <w:right w:val="none" w:sz="0" w:space="0" w:color="auto"/>
      </w:divBdr>
    </w:div>
    <w:div w:id="350837272">
      <w:bodyDiv w:val="1"/>
      <w:marLeft w:val="0"/>
      <w:marRight w:val="0"/>
      <w:marTop w:val="0"/>
      <w:marBottom w:val="0"/>
      <w:divBdr>
        <w:top w:val="none" w:sz="0" w:space="0" w:color="auto"/>
        <w:left w:val="none" w:sz="0" w:space="0" w:color="auto"/>
        <w:bottom w:val="none" w:sz="0" w:space="0" w:color="auto"/>
        <w:right w:val="none" w:sz="0" w:space="0" w:color="auto"/>
      </w:divBdr>
    </w:div>
    <w:div w:id="351883626">
      <w:bodyDiv w:val="1"/>
      <w:marLeft w:val="0"/>
      <w:marRight w:val="0"/>
      <w:marTop w:val="0"/>
      <w:marBottom w:val="0"/>
      <w:divBdr>
        <w:top w:val="none" w:sz="0" w:space="0" w:color="auto"/>
        <w:left w:val="none" w:sz="0" w:space="0" w:color="auto"/>
        <w:bottom w:val="none" w:sz="0" w:space="0" w:color="auto"/>
        <w:right w:val="none" w:sz="0" w:space="0" w:color="auto"/>
      </w:divBdr>
    </w:div>
    <w:div w:id="351884232">
      <w:bodyDiv w:val="1"/>
      <w:marLeft w:val="0"/>
      <w:marRight w:val="0"/>
      <w:marTop w:val="0"/>
      <w:marBottom w:val="0"/>
      <w:divBdr>
        <w:top w:val="none" w:sz="0" w:space="0" w:color="auto"/>
        <w:left w:val="none" w:sz="0" w:space="0" w:color="auto"/>
        <w:bottom w:val="none" w:sz="0" w:space="0" w:color="auto"/>
        <w:right w:val="none" w:sz="0" w:space="0" w:color="auto"/>
      </w:divBdr>
    </w:div>
    <w:div w:id="352456751">
      <w:bodyDiv w:val="1"/>
      <w:marLeft w:val="0"/>
      <w:marRight w:val="0"/>
      <w:marTop w:val="0"/>
      <w:marBottom w:val="0"/>
      <w:divBdr>
        <w:top w:val="none" w:sz="0" w:space="0" w:color="auto"/>
        <w:left w:val="none" w:sz="0" w:space="0" w:color="auto"/>
        <w:bottom w:val="none" w:sz="0" w:space="0" w:color="auto"/>
        <w:right w:val="none" w:sz="0" w:space="0" w:color="auto"/>
      </w:divBdr>
    </w:div>
    <w:div w:id="352461602">
      <w:bodyDiv w:val="1"/>
      <w:marLeft w:val="0"/>
      <w:marRight w:val="0"/>
      <w:marTop w:val="0"/>
      <w:marBottom w:val="0"/>
      <w:divBdr>
        <w:top w:val="none" w:sz="0" w:space="0" w:color="auto"/>
        <w:left w:val="none" w:sz="0" w:space="0" w:color="auto"/>
        <w:bottom w:val="none" w:sz="0" w:space="0" w:color="auto"/>
        <w:right w:val="none" w:sz="0" w:space="0" w:color="auto"/>
      </w:divBdr>
    </w:div>
    <w:div w:id="354044898">
      <w:bodyDiv w:val="1"/>
      <w:marLeft w:val="0"/>
      <w:marRight w:val="0"/>
      <w:marTop w:val="0"/>
      <w:marBottom w:val="0"/>
      <w:divBdr>
        <w:top w:val="none" w:sz="0" w:space="0" w:color="auto"/>
        <w:left w:val="none" w:sz="0" w:space="0" w:color="auto"/>
        <w:bottom w:val="none" w:sz="0" w:space="0" w:color="auto"/>
        <w:right w:val="none" w:sz="0" w:space="0" w:color="auto"/>
      </w:divBdr>
    </w:div>
    <w:div w:id="354767856">
      <w:bodyDiv w:val="1"/>
      <w:marLeft w:val="0"/>
      <w:marRight w:val="0"/>
      <w:marTop w:val="0"/>
      <w:marBottom w:val="0"/>
      <w:divBdr>
        <w:top w:val="none" w:sz="0" w:space="0" w:color="auto"/>
        <w:left w:val="none" w:sz="0" w:space="0" w:color="auto"/>
        <w:bottom w:val="none" w:sz="0" w:space="0" w:color="auto"/>
        <w:right w:val="none" w:sz="0" w:space="0" w:color="auto"/>
      </w:divBdr>
    </w:div>
    <w:div w:id="354962593">
      <w:bodyDiv w:val="1"/>
      <w:marLeft w:val="0"/>
      <w:marRight w:val="0"/>
      <w:marTop w:val="0"/>
      <w:marBottom w:val="0"/>
      <w:divBdr>
        <w:top w:val="none" w:sz="0" w:space="0" w:color="auto"/>
        <w:left w:val="none" w:sz="0" w:space="0" w:color="auto"/>
        <w:bottom w:val="none" w:sz="0" w:space="0" w:color="auto"/>
        <w:right w:val="none" w:sz="0" w:space="0" w:color="auto"/>
      </w:divBdr>
    </w:div>
    <w:div w:id="355623624">
      <w:bodyDiv w:val="1"/>
      <w:marLeft w:val="0"/>
      <w:marRight w:val="0"/>
      <w:marTop w:val="0"/>
      <w:marBottom w:val="0"/>
      <w:divBdr>
        <w:top w:val="none" w:sz="0" w:space="0" w:color="auto"/>
        <w:left w:val="none" w:sz="0" w:space="0" w:color="auto"/>
        <w:bottom w:val="none" w:sz="0" w:space="0" w:color="auto"/>
        <w:right w:val="none" w:sz="0" w:space="0" w:color="auto"/>
      </w:divBdr>
    </w:div>
    <w:div w:id="357507896">
      <w:bodyDiv w:val="1"/>
      <w:marLeft w:val="0"/>
      <w:marRight w:val="0"/>
      <w:marTop w:val="0"/>
      <w:marBottom w:val="0"/>
      <w:divBdr>
        <w:top w:val="none" w:sz="0" w:space="0" w:color="auto"/>
        <w:left w:val="none" w:sz="0" w:space="0" w:color="auto"/>
        <w:bottom w:val="none" w:sz="0" w:space="0" w:color="auto"/>
        <w:right w:val="none" w:sz="0" w:space="0" w:color="auto"/>
      </w:divBdr>
    </w:div>
    <w:div w:id="357509823">
      <w:bodyDiv w:val="1"/>
      <w:marLeft w:val="0"/>
      <w:marRight w:val="0"/>
      <w:marTop w:val="0"/>
      <w:marBottom w:val="0"/>
      <w:divBdr>
        <w:top w:val="none" w:sz="0" w:space="0" w:color="auto"/>
        <w:left w:val="none" w:sz="0" w:space="0" w:color="auto"/>
        <w:bottom w:val="none" w:sz="0" w:space="0" w:color="auto"/>
        <w:right w:val="none" w:sz="0" w:space="0" w:color="auto"/>
      </w:divBdr>
    </w:div>
    <w:div w:id="361057765">
      <w:bodyDiv w:val="1"/>
      <w:marLeft w:val="0"/>
      <w:marRight w:val="0"/>
      <w:marTop w:val="0"/>
      <w:marBottom w:val="0"/>
      <w:divBdr>
        <w:top w:val="none" w:sz="0" w:space="0" w:color="auto"/>
        <w:left w:val="none" w:sz="0" w:space="0" w:color="auto"/>
        <w:bottom w:val="none" w:sz="0" w:space="0" w:color="auto"/>
        <w:right w:val="none" w:sz="0" w:space="0" w:color="auto"/>
      </w:divBdr>
    </w:div>
    <w:div w:id="361370231">
      <w:bodyDiv w:val="1"/>
      <w:marLeft w:val="0"/>
      <w:marRight w:val="0"/>
      <w:marTop w:val="0"/>
      <w:marBottom w:val="0"/>
      <w:divBdr>
        <w:top w:val="none" w:sz="0" w:space="0" w:color="auto"/>
        <w:left w:val="none" w:sz="0" w:space="0" w:color="auto"/>
        <w:bottom w:val="none" w:sz="0" w:space="0" w:color="auto"/>
        <w:right w:val="none" w:sz="0" w:space="0" w:color="auto"/>
      </w:divBdr>
    </w:div>
    <w:div w:id="361787167">
      <w:bodyDiv w:val="1"/>
      <w:marLeft w:val="0"/>
      <w:marRight w:val="0"/>
      <w:marTop w:val="0"/>
      <w:marBottom w:val="0"/>
      <w:divBdr>
        <w:top w:val="none" w:sz="0" w:space="0" w:color="auto"/>
        <w:left w:val="none" w:sz="0" w:space="0" w:color="auto"/>
        <w:bottom w:val="none" w:sz="0" w:space="0" w:color="auto"/>
        <w:right w:val="none" w:sz="0" w:space="0" w:color="auto"/>
      </w:divBdr>
    </w:div>
    <w:div w:id="361982912">
      <w:bodyDiv w:val="1"/>
      <w:marLeft w:val="0"/>
      <w:marRight w:val="0"/>
      <w:marTop w:val="0"/>
      <w:marBottom w:val="0"/>
      <w:divBdr>
        <w:top w:val="none" w:sz="0" w:space="0" w:color="auto"/>
        <w:left w:val="none" w:sz="0" w:space="0" w:color="auto"/>
        <w:bottom w:val="none" w:sz="0" w:space="0" w:color="auto"/>
        <w:right w:val="none" w:sz="0" w:space="0" w:color="auto"/>
      </w:divBdr>
    </w:div>
    <w:div w:id="362563127">
      <w:bodyDiv w:val="1"/>
      <w:marLeft w:val="0"/>
      <w:marRight w:val="0"/>
      <w:marTop w:val="0"/>
      <w:marBottom w:val="0"/>
      <w:divBdr>
        <w:top w:val="none" w:sz="0" w:space="0" w:color="auto"/>
        <w:left w:val="none" w:sz="0" w:space="0" w:color="auto"/>
        <w:bottom w:val="none" w:sz="0" w:space="0" w:color="auto"/>
        <w:right w:val="none" w:sz="0" w:space="0" w:color="auto"/>
      </w:divBdr>
    </w:div>
    <w:div w:id="363332165">
      <w:bodyDiv w:val="1"/>
      <w:marLeft w:val="0"/>
      <w:marRight w:val="0"/>
      <w:marTop w:val="0"/>
      <w:marBottom w:val="0"/>
      <w:divBdr>
        <w:top w:val="none" w:sz="0" w:space="0" w:color="auto"/>
        <w:left w:val="none" w:sz="0" w:space="0" w:color="auto"/>
        <w:bottom w:val="none" w:sz="0" w:space="0" w:color="auto"/>
        <w:right w:val="none" w:sz="0" w:space="0" w:color="auto"/>
      </w:divBdr>
    </w:div>
    <w:div w:id="364327752">
      <w:bodyDiv w:val="1"/>
      <w:marLeft w:val="0"/>
      <w:marRight w:val="0"/>
      <w:marTop w:val="0"/>
      <w:marBottom w:val="0"/>
      <w:divBdr>
        <w:top w:val="none" w:sz="0" w:space="0" w:color="auto"/>
        <w:left w:val="none" w:sz="0" w:space="0" w:color="auto"/>
        <w:bottom w:val="none" w:sz="0" w:space="0" w:color="auto"/>
        <w:right w:val="none" w:sz="0" w:space="0" w:color="auto"/>
      </w:divBdr>
    </w:div>
    <w:div w:id="364674651">
      <w:bodyDiv w:val="1"/>
      <w:marLeft w:val="0"/>
      <w:marRight w:val="0"/>
      <w:marTop w:val="0"/>
      <w:marBottom w:val="0"/>
      <w:divBdr>
        <w:top w:val="none" w:sz="0" w:space="0" w:color="auto"/>
        <w:left w:val="none" w:sz="0" w:space="0" w:color="auto"/>
        <w:bottom w:val="none" w:sz="0" w:space="0" w:color="auto"/>
        <w:right w:val="none" w:sz="0" w:space="0" w:color="auto"/>
      </w:divBdr>
    </w:div>
    <w:div w:id="365565488">
      <w:bodyDiv w:val="1"/>
      <w:marLeft w:val="0"/>
      <w:marRight w:val="0"/>
      <w:marTop w:val="0"/>
      <w:marBottom w:val="0"/>
      <w:divBdr>
        <w:top w:val="none" w:sz="0" w:space="0" w:color="auto"/>
        <w:left w:val="none" w:sz="0" w:space="0" w:color="auto"/>
        <w:bottom w:val="none" w:sz="0" w:space="0" w:color="auto"/>
        <w:right w:val="none" w:sz="0" w:space="0" w:color="auto"/>
      </w:divBdr>
    </w:div>
    <w:div w:id="365831798">
      <w:bodyDiv w:val="1"/>
      <w:marLeft w:val="0"/>
      <w:marRight w:val="0"/>
      <w:marTop w:val="0"/>
      <w:marBottom w:val="0"/>
      <w:divBdr>
        <w:top w:val="none" w:sz="0" w:space="0" w:color="auto"/>
        <w:left w:val="none" w:sz="0" w:space="0" w:color="auto"/>
        <w:bottom w:val="none" w:sz="0" w:space="0" w:color="auto"/>
        <w:right w:val="none" w:sz="0" w:space="0" w:color="auto"/>
      </w:divBdr>
    </w:div>
    <w:div w:id="366636592">
      <w:bodyDiv w:val="1"/>
      <w:marLeft w:val="0"/>
      <w:marRight w:val="0"/>
      <w:marTop w:val="0"/>
      <w:marBottom w:val="0"/>
      <w:divBdr>
        <w:top w:val="none" w:sz="0" w:space="0" w:color="auto"/>
        <w:left w:val="none" w:sz="0" w:space="0" w:color="auto"/>
        <w:bottom w:val="none" w:sz="0" w:space="0" w:color="auto"/>
        <w:right w:val="none" w:sz="0" w:space="0" w:color="auto"/>
      </w:divBdr>
    </w:div>
    <w:div w:id="367217429">
      <w:bodyDiv w:val="1"/>
      <w:marLeft w:val="0"/>
      <w:marRight w:val="0"/>
      <w:marTop w:val="0"/>
      <w:marBottom w:val="0"/>
      <w:divBdr>
        <w:top w:val="none" w:sz="0" w:space="0" w:color="auto"/>
        <w:left w:val="none" w:sz="0" w:space="0" w:color="auto"/>
        <w:bottom w:val="none" w:sz="0" w:space="0" w:color="auto"/>
        <w:right w:val="none" w:sz="0" w:space="0" w:color="auto"/>
      </w:divBdr>
    </w:div>
    <w:div w:id="367683083">
      <w:bodyDiv w:val="1"/>
      <w:marLeft w:val="0"/>
      <w:marRight w:val="0"/>
      <w:marTop w:val="0"/>
      <w:marBottom w:val="0"/>
      <w:divBdr>
        <w:top w:val="none" w:sz="0" w:space="0" w:color="auto"/>
        <w:left w:val="none" w:sz="0" w:space="0" w:color="auto"/>
        <w:bottom w:val="none" w:sz="0" w:space="0" w:color="auto"/>
        <w:right w:val="none" w:sz="0" w:space="0" w:color="auto"/>
      </w:divBdr>
    </w:div>
    <w:div w:id="368992322">
      <w:bodyDiv w:val="1"/>
      <w:marLeft w:val="0"/>
      <w:marRight w:val="0"/>
      <w:marTop w:val="0"/>
      <w:marBottom w:val="0"/>
      <w:divBdr>
        <w:top w:val="none" w:sz="0" w:space="0" w:color="auto"/>
        <w:left w:val="none" w:sz="0" w:space="0" w:color="auto"/>
        <w:bottom w:val="none" w:sz="0" w:space="0" w:color="auto"/>
        <w:right w:val="none" w:sz="0" w:space="0" w:color="auto"/>
      </w:divBdr>
    </w:div>
    <w:div w:id="369572799">
      <w:bodyDiv w:val="1"/>
      <w:marLeft w:val="0"/>
      <w:marRight w:val="0"/>
      <w:marTop w:val="0"/>
      <w:marBottom w:val="0"/>
      <w:divBdr>
        <w:top w:val="none" w:sz="0" w:space="0" w:color="auto"/>
        <w:left w:val="none" w:sz="0" w:space="0" w:color="auto"/>
        <w:bottom w:val="none" w:sz="0" w:space="0" w:color="auto"/>
        <w:right w:val="none" w:sz="0" w:space="0" w:color="auto"/>
      </w:divBdr>
    </w:div>
    <w:div w:id="369574952">
      <w:bodyDiv w:val="1"/>
      <w:marLeft w:val="0"/>
      <w:marRight w:val="0"/>
      <w:marTop w:val="0"/>
      <w:marBottom w:val="0"/>
      <w:divBdr>
        <w:top w:val="none" w:sz="0" w:space="0" w:color="auto"/>
        <w:left w:val="none" w:sz="0" w:space="0" w:color="auto"/>
        <w:bottom w:val="none" w:sz="0" w:space="0" w:color="auto"/>
        <w:right w:val="none" w:sz="0" w:space="0" w:color="auto"/>
      </w:divBdr>
    </w:div>
    <w:div w:id="370040103">
      <w:bodyDiv w:val="1"/>
      <w:marLeft w:val="0"/>
      <w:marRight w:val="0"/>
      <w:marTop w:val="0"/>
      <w:marBottom w:val="0"/>
      <w:divBdr>
        <w:top w:val="none" w:sz="0" w:space="0" w:color="auto"/>
        <w:left w:val="none" w:sz="0" w:space="0" w:color="auto"/>
        <w:bottom w:val="none" w:sz="0" w:space="0" w:color="auto"/>
        <w:right w:val="none" w:sz="0" w:space="0" w:color="auto"/>
      </w:divBdr>
    </w:div>
    <w:div w:id="370425131">
      <w:bodyDiv w:val="1"/>
      <w:marLeft w:val="0"/>
      <w:marRight w:val="0"/>
      <w:marTop w:val="0"/>
      <w:marBottom w:val="0"/>
      <w:divBdr>
        <w:top w:val="none" w:sz="0" w:space="0" w:color="auto"/>
        <w:left w:val="none" w:sz="0" w:space="0" w:color="auto"/>
        <w:bottom w:val="none" w:sz="0" w:space="0" w:color="auto"/>
        <w:right w:val="none" w:sz="0" w:space="0" w:color="auto"/>
      </w:divBdr>
    </w:div>
    <w:div w:id="371148236">
      <w:bodyDiv w:val="1"/>
      <w:marLeft w:val="0"/>
      <w:marRight w:val="0"/>
      <w:marTop w:val="0"/>
      <w:marBottom w:val="0"/>
      <w:divBdr>
        <w:top w:val="none" w:sz="0" w:space="0" w:color="auto"/>
        <w:left w:val="none" w:sz="0" w:space="0" w:color="auto"/>
        <w:bottom w:val="none" w:sz="0" w:space="0" w:color="auto"/>
        <w:right w:val="none" w:sz="0" w:space="0" w:color="auto"/>
      </w:divBdr>
    </w:div>
    <w:div w:id="371543591">
      <w:bodyDiv w:val="1"/>
      <w:marLeft w:val="0"/>
      <w:marRight w:val="0"/>
      <w:marTop w:val="0"/>
      <w:marBottom w:val="0"/>
      <w:divBdr>
        <w:top w:val="none" w:sz="0" w:space="0" w:color="auto"/>
        <w:left w:val="none" w:sz="0" w:space="0" w:color="auto"/>
        <w:bottom w:val="none" w:sz="0" w:space="0" w:color="auto"/>
        <w:right w:val="none" w:sz="0" w:space="0" w:color="auto"/>
      </w:divBdr>
    </w:div>
    <w:div w:id="371880333">
      <w:bodyDiv w:val="1"/>
      <w:marLeft w:val="0"/>
      <w:marRight w:val="0"/>
      <w:marTop w:val="0"/>
      <w:marBottom w:val="0"/>
      <w:divBdr>
        <w:top w:val="none" w:sz="0" w:space="0" w:color="auto"/>
        <w:left w:val="none" w:sz="0" w:space="0" w:color="auto"/>
        <w:bottom w:val="none" w:sz="0" w:space="0" w:color="auto"/>
        <w:right w:val="none" w:sz="0" w:space="0" w:color="auto"/>
      </w:divBdr>
    </w:div>
    <w:div w:id="372579517">
      <w:bodyDiv w:val="1"/>
      <w:marLeft w:val="0"/>
      <w:marRight w:val="0"/>
      <w:marTop w:val="0"/>
      <w:marBottom w:val="0"/>
      <w:divBdr>
        <w:top w:val="none" w:sz="0" w:space="0" w:color="auto"/>
        <w:left w:val="none" w:sz="0" w:space="0" w:color="auto"/>
        <w:bottom w:val="none" w:sz="0" w:space="0" w:color="auto"/>
        <w:right w:val="none" w:sz="0" w:space="0" w:color="auto"/>
      </w:divBdr>
    </w:div>
    <w:div w:id="373047167">
      <w:bodyDiv w:val="1"/>
      <w:marLeft w:val="0"/>
      <w:marRight w:val="0"/>
      <w:marTop w:val="0"/>
      <w:marBottom w:val="0"/>
      <w:divBdr>
        <w:top w:val="none" w:sz="0" w:space="0" w:color="auto"/>
        <w:left w:val="none" w:sz="0" w:space="0" w:color="auto"/>
        <w:bottom w:val="none" w:sz="0" w:space="0" w:color="auto"/>
        <w:right w:val="none" w:sz="0" w:space="0" w:color="auto"/>
      </w:divBdr>
    </w:div>
    <w:div w:id="373845217">
      <w:bodyDiv w:val="1"/>
      <w:marLeft w:val="0"/>
      <w:marRight w:val="0"/>
      <w:marTop w:val="0"/>
      <w:marBottom w:val="0"/>
      <w:divBdr>
        <w:top w:val="none" w:sz="0" w:space="0" w:color="auto"/>
        <w:left w:val="none" w:sz="0" w:space="0" w:color="auto"/>
        <w:bottom w:val="none" w:sz="0" w:space="0" w:color="auto"/>
        <w:right w:val="none" w:sz="0" w:space="0" w:color="auto"/>
      </w:divBdr>
    </w:div>
    <w:div w:id="374357116">
      <w:bodyDiv w:val="1"/>
      <w:marLeft w:val="0"/>
      <w:marRight w:val="0"/>
      <w:marTop w:val="0"/>
      <w:marBottom w:val="0"/>
      <w:divBdr>
        <w:top w:val="none" w:sz="0" w:space="0" w:color="auto"/>
        <w:left w:val="none" w:sz="0" w:space="0" w:color="auto"/>
        <w:bottom w:val="none" w:sz="0" w:space="0" w:color="auto"/>
        <w:right w:val="none" w:sz="0" w:space="0" w:color="auto"/>
      </w:divBdr>
    </w:div>
    <w:div w:id="374550986">
      <w:bodyDiv w:val="1"/>
      <w:marLeft w:val="0"/>
      <w:marRight w:val="0"/>
      <w:marTop w:val="0"/>
      <w:marBottom w:val="0"/>
      <w:divBdr>
        <w:top w:val="none" w:sz="0" w:space="0" w:color="auto"/>
        <w:left w:val="none" w:sz="0" w:space="0" w:color="auto"/>
        <w:bottom w:val="none" w:sz="0" w:space="0" w:color="auto"/>
        <w:right w:val="none" w:sz="0" w:space="0" w:color="auto"/>
      </w:divBdr>
    </w:div>
    <w:div w:id="374819591">
      <w:bodyDiv w:val="1"/>
      <w:marLeft w:val="0"/>
      <w:marRight w:val="0"/>
      <w:marTop w:val="0"/>
      <w:marBottom w:val="0"/>
      <w:divBdr>
        <w:top w:val="none" w:sz="0" w:space="0" w:color="auto"/>
        <w:left w:val="none" w:sz="0" w:space="0" w:color="auto"/>
        <w:bottom w:val="none" w:sz="0" w:space="0" w:color="auto"/>
        <w:right w:val="none" w:sz="0" w:space="0" w:color="auto"/>
      </w:divBdr>
    </w:div>
    <w:div w:id="375474804">
      <w:bodyDiv w:val="1"/>
      <w:marLeft w:val="0"/>
      <w:marRight w:val="0"/>
      <w:marTop w:val="0"/>
      <w:marBottom w:val="0"/>
      <w:divBdr>
        <w:top w:val="none" w:sz="0" w:space="0" w:color="auto"/>
        <w:left w:val="none" w:sz="0" w:space="0" w:color="auto"/>
        <w:bottom w:val="none" w:sz="0" w:space="0" w:color="auto"/>
        <w:right w:val="none" w:sz="0" w:space="0" w:color="auto"/>
      </w:divBdr>
    </w:div>
    <w:div w:id="375861376">
      <w:bodyDiv w:val="1"/>
      <w:marLeft w:val="0"/>
      <w:marRight w:val="0"/>
      <w:marTop w:val="0"/>
      <w:marBottom w:val="0"/>
      <w:divBdr>
        <w:top w:val="none" w:sz="0" w:space="0" w:color="auto"/>
        <w:left w:val="none" w:sz="0" w:space="0" w:color="auto"/>
        <w:bottom w:val="none" w:sz="0" w:space="0" w:color="auto"/>
        <w:right w:val="none" w:sz="0" w:space="0" w:color="auto"/>
      </w:divBdr>
    </w:div>
    <w:div w:id="376201354">
      <w:bodyDiv w:val="1"/>
      <w:marLeft w:val="0"/>
      <w:marRight w:val="0"/>
      <w:marTop w:val="0"/>
      <w:marBottom w:val="0"/>
      <w:divBdr>
        <w:top w:val="none" w:sz="0" w:space="0" w:color="auto"/>
        <w:left w:val="none" w:sz="0" w:space="0" w:color="auto"/>
        <w:bottom w:val="none" w:sz="0" w:space="0" w:color="auto"/>
        <w:right w:val="none" w:sz="0" w:space="0" w:color="auto"/>
      </w:divBdr>
    </w:div>
    <w:div w:id="377243186">
      <w:bodyDiv w:val="1"/>
      <w:marLeft w:val="0"/>
      <w:marRight w:val="0"/>
      <w:marTop w:val="0"/>
      <w:marBottom w:val="0"/>
      <w:divBdr>
        <w:top w:val="none" w:sz="0" w:space="0" w:color="auto"/>
        <w:left w:val="none" w:sz="0" w:space="0" w:color="auto"/>
        <w:bottom w:val="none" w:sz="0" w:space="0" w:color="auto"/>
        <w:right w:val="none" w:sz="0" w:space="0" w:color="auto"/>
      </w:divBdr>
    </w:div>
    <w:div w:id="377509136">
      <w:bodyDiv w:val="1"/>
      <w:marLeft w:val="0"/>
      <w:marRight w:val="0"/>
      <w:marTop w:val="0"/>
      <w:marBottom w:val="0"/>
      <w:divBdr>
        <w:top w:val="none" w:sz="0" w:space="0" w:color="auto"/>
        <w:left w:val="none" w:sz="0" w:space="0" w:color="auto"/>
        <w:bottom w:val="none" w:sz="0" w:space="0" w:color="auto"/>
        <w:right w:val="none" w:sz="0" w:space="0" w:color="auto"/>
      </w:divBdr>
    </w:div>
    <w:div w:id="378407550">
      <w:bodyDiv w:val="1"/>
      <w:marLeft w:val="0"/>
      <w:marRight w:val="0"/>
      <w:marTop w:val="0"/>
      <w:marBottom w:val="0"/>
      <w:divBdr>
        <w:top w:val="none" w:sz="0" w:space="0" w:color="auto"/>
        <w:left w:val="none" w:sz="0" w:space="0" w:color="auto"/>
        <w:bottom w:val="none" w:sz="0" w:space="0" w:color="auto"/>
        <w:right w:val="none" w:sz="0" w:space="0" w:color="auto"/>
      </w:divBdr>
    </w:div>
    <w:div w:id="378742677">
      <w:bodyDiv w:val="1"/>
      <w:marLeft w:val="0"/>
      <w:marRight w:val="0"/>
      <w:marTop w:val="0"/>
      <w:marBottom w:val="0"/>
      <w:divBdr>
        <w:top w:val="none" w:sz="0" w:space="0" w:color="auto"/>
        <w:left w:val="none" w:sz="0" w:space="0" w:color="auto"/>
        <w:bottom w:val="none" w:sz="0" w:space="0" w:color="auto"/>
        <w:right w:val="none" w:sz="0" w:space="0" w:color="auto"/>
      </w:divBdr>
    </w:div>
    <w:div w:id="379673571">
      <w:bodyDiv w:val="1"/>
      <w:marLeft w:val="0"/>
      <w:marRight w:val="0"/>
      <w:marTop w:val="0"/>
      <w:marBottom w:val="0"/>
      <w:divBdr>
        <w:top w:val="none" w:sz="0" w:space="0" w:color="auto"/>
        <w:left w:val="none" w:sz="0" w:space="0" w:color="auto"/>
        <w:bottom w:val="none" w:sz="0" w:space="0" w:color="auto"/>
        <w:right w:val="none" w:sz="0" w:space="0" w:color="auto"/>
      </w:divBdr>
    </w:div>
    <w:div w:id="380635267">
      <w:bodyDiv w:val="1"/>
      <w:marLeft w:val="0"/>
      <w:marRight w:val="0"/>
      <w:marTop w:val="0"/>
      <w:marBottom w:val="0"/>
      <w:divBdr>
        <w:top w:val="none" w:sz="0" w:space="0" w:color="auto"/>
        <w:left w:val="none" w:sz="0" w:space="0" w:color="auto"/>
        <w:bottom w:val="none" w:sz="0" w:space="0" w:color="auto"/>
        <w:right w:val="none" w:sz="0" w:space="0" w:color="auto"/>
      </w:divBdr>
    </w:div>
    <w:div w:id="380981428">
      <w:bodyDiv w:val="1"/>
      <w:marLeft w:val="0"/>
      <w:marRight w:val="0"/>
      <w:marTop w:val="0"/>
      <w:marBottom w:val="0"/>
      <w:divBdr>
        <w:top w:val="none" w:sz="0" w:space="0" w:color="auto"/>
        <w:left w:val="none" w:sz="0" w:space="0" w:color="auto"/>
        <w:bottom w:val="none" w:sz="0" w:space="0" w:color="auto"/>
        <w:right w:val="none" w:sz="0" w:space="0" w:color="auto"/>
      </w:divBdr>
    </w:div>
    <w:div w:id="381057967">
      <w:bodyDiv w:val="1"/>
      <w:marLeft w:val="0"/>
      <w:marRight w:val="0"/>
      <w:marTop w:val="0"/>
      <w:marBottom w:val="0"/>
      <w:divBdr>
        <w:top w:val="none" w:sz="0" w:space="0" w:color="auto"/>
        <w:left w:val="none" w:sz="0" w:space="0" w:color="auto"/>
        <w:bottom w:val="none" w:sz="0" w:space="0" w:color="auto"/>
        <w:right w:val="none" w:sz="0" w:space="0" w:color="auto"/>
      </w:divBdr>
    </w:div>
    <w:div w:id="381098778">
      <w:bodyDiv w:val="1"/>
      <w:marLeft w:val="0"/>
      <w:marRight w:val="0"/>
      <w:marTop w:val="0"/>
      <w:marBottom w:val="0"/>
      <w:divBdr>
        <w:top w:val="none" w:sz="0" w:space="0" w:color="auto"/>
        <w:left w:val="none" w:sz="0" w:space="0" w:color="auto"/>
        <w:bottom w:val="none" w:sz="0" w:space="0" w:color="auto"/>
        <w:right w:val="none" w:sz="0" w:space="0" w:color="auto"/>
      </w:divBdr>
    </w:div>
    <w:div w:id="381565369">
      <w:bodyDiv w:val="1"/>
      <w:marLeft w:val="0"/>
      <w:marRight w:val="0"/>
      <w:marTop w:val="0"/>
      <w:marBottom w:val="0"/>
      <w:divBdr>
        <w:top w:val="none" w:sz="0" w:space="0" w:color="auto"/>
        <w:left w:val="none" w:sz="0" w:space="0" w:color="auto"/>
        <w:bottom w:val="none" w:sz="0" w:space="0" w:color="auto"/>
        <w:right w:val="none" w:sz="0" w:space="0" w:color="auto"/>
      </w:divBdr>
    </w:div>
    <w:div w:id="382026899">
      <w:bodyDiv w:val="1"/>
      <w:marLeft w:val="0"/>
      <w:marRight w:val="0"/>
      <w:marTop w:val="0"/>
      <w:marBottom w:val="0"/>
      <w:divBdr>
        <w:top w:val="none" w:sz="0" w:space="0" w:color="auto"/>
        <w:left w:val="none" w:sz="0" w:space="0" w:color="auto"/>
        <w:bottom w:val="none" w:sz="0" w:space="0" w:color="auto"/>
        <w:right w:val="none" w:sz="0" w:space="0" w:color="auto"/>
      </w:divBdr>
    </w:div>
    <w:div w:id="383528212">
      <w:bodyDiv w:val="1"/>
      <w:marLeft w:val="0"/>
      <w:marRight w:val="0"/>
      <w:marTop w:val="0"/>
      <w:marBottom w:val="0"/>
      <w:divBdr>
        <w:top w:val="none" w:sz="0" w:space="0" w:color="auto"/>
        <w:left w:val="none" w:sz="0" w:space="0" w:color="auto"/>
        <w:bottom w:val="none" w:sz="0" w:space="0" w:color="auto"/>
        <w:right w:val="none" w:sz="0" w:space="0" w:color="auto"/>
      </w:divBdr>
    </w:div>
    <w:div w:id="384305192">
      <w:bodyDiv w:val="1"/>
      <w:marLeft w:val="0"/>
      <w:marRight w:val="0"/>
      <w:marTop w:val="0"/>
      <w:marBottom w:val="0"/>
      <w:divBdr>
        <w:top w:val="none" w:sz="0" w:space="0" w:color="auto"/>
        <w:left w:val="none" w:sz="0" w:space="0" w:color="auto"/>
        <w:bottom w:val="none" w:sz="0" w:space="0" w:color="auto"/>
        <w:right w:val="none" w:sz="0" w:space="0" w:color="auto"/>
      </w:divBdr>
    </w:div>
    <w:div w:id="384450671">
      <w:bodyDiv w:val="1"/>
      <w:marLeft w:val="0"/>
      <w:marRight w:val="0"/>
      <w:marTop w:val="0"/>
      <w:marBottom w:val="0"/>
      <w:divBdr>
        <w:top w:val="none" w:sz="0" w:space="0" w:color="auto"/>
        <w:left w:val="none" w:sz="0" w:space="0" w:color="auto"/>
        <w:bottom w:val="none" w:sz="0" w:space="0" w:color="auto"/>
        <w:right w:val="none" w:sz="0" w:space="0" w:color="auto"/>
      </w:divBdr>
    </w:div>
    <w:div w:id="384719129">
      <w:bodyDiv w:val="1"/>
      <w:marLeft w:val="0"/>
      <w:marRight w:val="0"/>
      <w:marTop w:val="0"/>
      <w:marBottom w:val="0"/>
      <w:divBdr>
        <w:top w:val="none" w:sz="0" w:space="0" w:color="auto"/>
        <w:left w:val="none" w:sz="0" w:space="0" w:color="auto"/>
        <w:bottom w:val="none" w:sz="0" w:space="0" w:color="auto"/>
        <w:right w:val="none" w:sz="0" w:space="0" w:color="auto"/>
      </w:divBdr>
    </w:div>
    <w:div w:id="384792429">
      <w:bodyDiv w:val="1"/>
      <w:marLeft w:val="0"/>
      <w:marRight w:val="0"/>
      <w:marTop w:val="0"/>
      <w:marBottom w:val="0"/>
      <w:divBdr>
        <w:top w:val="none" w:sz="0" w:space="0" w:color="auto"/>
        <w:left w:val="none" w:sz="0" w:space="0" w:color="auto"/>
        <w:bottom w:val="none" w:sz="0" w:space="0" w:color="auto"/>
        <w:right w:val="none" w:sz="0" w:space="0" w:color="auto"/>
      </w:divBdr>
    </w:div>
    <w:div w:id="384988687">
      <w:bodyDiv w:val="1"/>
      <w:marLeft w:val="0"/>
      <w:marRight w:val="0"/>
      <w:marTop w:val="0"/>
      <w:marBottom w:val="0"/>
      <w:divBdr>
        <w:top w:val="none" w:sz="0" w:space="0" w:color="auto"/>
        <w:left w:val="none" w:sz="0" w:space="0" w:color="auto"/>
        <w:bottom w:val="none" w:sz="0" w:space="0" w:color="auto"/>
        <w:right w:val="none" w:sz="0" w:space="0" w:color="auto"/>
      </w:divBdr>
    </w:div>
    <w:div w:id="385183193">
      <w:bodyDiv w:val="1"/>
      <w:marLeft w:val="0"/>
      <w:marRight w:val="0"/>
      <w:marTop w:val="0"/>
      <w:marBottom w:val="0"/>
      <w:divBdr>
        <w:top w:val="none" w:sz="0" w:space="0" w:color="auto"/>
        <w:left w:val="none" w:sz="0" w:space="0" w:color="auto"/>
        <w:bottom w:val="none" w:sz="0" w:space="0" w:color="auto"/>
        <w:right w:val="none" w:sz="0" w:space="0" w:color="auto"/>
      </w:divBdr>
    </w:div>
    <w:div w:id="386149244">
      <w:bodyDiv w:val="1"/>
      <w:marLeft w:val="0"/>
      <w:marRight w:val="0"/>
      <w:marTop w:val="0"/>
      <w:marBottom w:val="0"/>
      <w:divBdr>
        <w:top w:val="none" w:sz="0" w:space="0" w:color="auto"/>
        <w:left w:val="none" w:sz="0" w:space="0" w:color="auto"/>
        <w:bottom w:val="none" w:sz="0" w:space="0" w:color="auto"/>
        <w:right w:val="none" w:sz="0" w:space="0" w:color="auto"/>
      </w:divBdr>
    </w:div>
    <w:div w:id="386344344">
      <w:bodyDiv w:val="1"/>
      <w:marLeft w:val="0"/>
      <w:marRight w:val="0"/>
      <w:marTop w:val="0"/>
      <w:marBottom w:val="0"/>
      <w:divBdr>
        <w:top w:val="none" w:sz="0" w:space="0" w:color="auto"/>
        <w:left w:val="none" w:sz="0" w:space="0" w:color="auto"/>
        <w:bottom w:val="none" w:sz="0" w:space="0" w:color="auto"/>
        <w:right w:val="none" w:sz="0" w:space="0" w:color="auto"/>
      </w:divBdr>
    </w:div>
    <w:div w:id="386757937">
      <w:bodyDiv w:val="1"/>
      <w:marLeft w:val="0"/>
      <w:marRight w:val="0"/>
      <w:marTop w:val="0"/>
      <w:marBottom w:val="0"/>
      <w:divBdr>
        <w:top w:val="none" w:sz="0" w:space="0" w:color="auto"/>
        <w:left w:val="none" w:sz="0" w:space="0" w:color="auto"/>
        <w:bottom w:val="none" w:sz="0" w:space="0" w:color="auto"/>
        <w:right w:val="none" w:sz="0" w:space="0" w:color="auto"/>
      </w:divBdr>
    </w:div>
    <w:div w:id="387191214">
      <w:bodyDiv w:val="1"/>
      <w:marLeft w:val="0"/>
      <w:marRight w:val="0"/>
      <w:marTop w:val="0"/>
      <w:marBottom w:val="0"/>
      <w:divBdr>
        <w:top w:val="none" w:sz="0" w:space="0" w:color="auto"/>
        <w:left w:val="none" w:sz="0" w:space="0" w:color="auto"/>
        <w:bottom w:val="none" w:sz="0" w:space="0" w:color="auto"/>
        <w:right w:val="none" w:sz="0" w:space="0" w:color="auto"/>
      </w:divBdr>
    </w:div>
    <w:div w:id="387340771">
      <w:bodyDiv w:val="1"/>
      <w:marLeft w:val="0"/>
      <w:marRight w:val="0"/>
      <w:marTop w:val="0"/>
      <w:marBottom w:val="0"/>
      <w:divBdr>
        <w:top w:val="none" w:sz="0" w:space="0" w:color="auto"/>
        <w:left w:val="none" w:sz="0" w:space="0" w:color="auto"/>
        <w:bottom w:val="none" w:sz="0" w:space="0" w:color="auto"/>
        <w:right w:val="none" w:sz="0" w:space="0" w:color="auto"/>
      </w:divBdr>
    </w:div>
    <w:div w:id="388185902">
      <w:bodyDiv w:val="1"/>
      <w:marLeft w:val="0"/>
      <w:marRight w:val="0"/>
      <w:marTop w:val="0"/>
      <w:marBottom w:val="0"/>
      <w:divBdr>
        <w:top w:val="none" w:sz="0" w:space="0" w:color="auto"/>
        <w:left w:val="none" w:sz="0" w:space="0" w:color="auto"/>
        <w:bottom w:val="none" w:sz="0" w:space="0" w:color="auto"/>
        <w:right w:val="none" w:sz="0" w:space="0" w:color="auto"/>
      </w:divBdr>
    </w:div>
    <w:div w:id="388190859">
      <w:bodyDiv w:val="1"/>
      <w:marLeft w:val="0"/>
      <w:marRight w:val="0"/>
      <w:marTop w:val="0"/>
      <w:marBottom w:val="0"/>
      <w:divBdr>
        <w:top w:val="none" w:sz="0" w:space="0" w:color="auto"/>
        <w:left w:val="none" w:sz="0" w:space="0" w:color="auto"/>
        <w:bottom w:val="none" w:sz="0" w:space="0" w:color="auto"/>
        <w:right w:val="none" w:sz="0" w:space="0" w:color="auto"/>
      </w:divBdr>
    </w:div>
    <w:div w:id="388261883">
      <w:bodyDiv w:val="1"/>
      <w:marLeft w:val="0"/>
      <w:marRight w:val="0"/>
      <w:marTop w:val="0"/>
      <w:marBottom w:val="0"/>
      <w:divBdr>
        <w:top w:val="none" w:sz="0" w:space="0" w:color="auto"/>
        <w:left w:val="none" w:sz="0" w:space="0" w:color="auto"/>
        <w:bottom w:val="none" w:sz="0" w:space="0" w:color="auto"/>
        <w:right w:val="none" w:sz="0" w:space="0" w:color="auto"/>
      </w:divBdr>
    </w:div>
    <w:div w:id="388309342">
      <w:bodyDiv w:val="1"/>
      <w:marLeft w:val="0"/>
      <w:marRight w:val="0"/>
      <w:marTop w:val="0"/>
      <w:marBottom w:val="0"/>
      <w:divBdr>
        <w:top w:val="none" w:sz="0" w:space="0" w:color="auto"/>
        <w:left w:val="none" w:sz="0" w:space="0" w:color="auto"/>
        <w:bottom w:val="none" w:sz="0" w:space="0" w:color="auto"/>
        <w:right w:val="none" w:sz="0" w:space="0" w:color="auto"/>
      </w:divBdr>
    </w:div>
    <w:div w:id="388380161">
      <w:bodyDiv w:val="1"/>
      <w:marLeft w:val="0"/>
      <w:marRight w:val="0"/>
      <w:marTop w:val="0"/>
      <w:marBottom w:val="0"/>
      <w:divBdr>
        <w:top w:val="none" w:sz="0" w:space="0" w:color="auto"/>
        <w:left w:val="none" w:sz="0" w:space="0" w:color="auto"/>
        <w:bottom w:val="none" w:sz="0" w:space="0" w:color="auto"/>
        <w:right w:val="none" w:sz="0" w:space="0" w:color="auto"/>
      </w:divBdr>
    </w:div>
    <w:div w:id="389153214">
      <w:bodyDiv w:val="1"/>
      <w:marLeft w:val="0"/>
      <w:marRight w:val="0"/>
      <w:marTop w:val="0"/>
      <w:marBottom w:val="0"/>
      <w:divBdr>
        <w:top w:val="none" w:sz="0" w:space="0" w:color="auto"/>
        <w:left w:val="none" w:sz="0" w:space="0" w:color="auto"/>
        <w:bottom w:val="none" w:sz="0" w:space="0" w:color="auto"/>
        <w:right w:val="none" w:sz="0" w:space="0" w:color="auto"/>
      </w:divBdr>
    </w:div>
    <w:div w:id="389311543">
      <w:bodyDiv w:val="1"/>
      <w:marLeft w:val="0"/>
      <w:marRight w:val="0"/>
      <w:marTop w:val="0"/>
      <w:marBottom w:val="0"/>
      <w:divBdr>
        <w:top w:val="none" w:sz="0" w:space="0" w:color="auto"/>
        <w:left w:val="none" w:sz="0" w:space="0" w:color="auto"/>
        <w:bottom w:val="none" w:sz="0" w:space="0" w:color="auto"/>
        <w:right w:val="none" w:sz="0" w:space="0" w:color="auto"/>
      </w:divBdr>
    </w:div>
    <w:div w:id="389350262">
      <w:bodyDiv w:val="1"/>
      <w:marLeft w:val="0"/>
      <w:marRight w:val="0"/>
      <w:marTop w:val="0"/>
      <w:marBottom w:val="0"/>
      <w:divBdr>
        <w:top w:val="none" w:sz="0" w:space="0" w:color="auto"/>
        <w:left w:val="none" w:sz="0" w:space="0" w:color="auto"/>
        <w:bottom w:val="none" w:sz="0" w:space="0" w:color="auto"/>
        <w:right w:val="none" w:sz="0" w:space="0" w:color="auto"/>
      </w:divBdr>
    </w:div>
    <w:div w:id="389769181">
      <w:bodyDiv w:val="1"/>
      <w:marLeft w:val="0"/>
      <w:marRight w:val="0"/>
      <w:marTop w:val="0"/>
      <w:marBottom w:val="0"/>
      <w:divBdr>
        <w:top w:val="none" w:sz="0" w:space="0" w:color="auto"/>
        <w:left w:val="none" w:sz="0" w:space="0" w:color="auto"/>
        <w:bottom w:val="none" w:sz="0" w:space="0" w:color="auto"/>
        <w:right w:val="none" w:sz="0" w:space="0" w:color="auto"/>
      </w:divBdr>
    </w:div>
    <w:div w:id="390543528">
      <w:bodyDiv w:val="1"/>
      <w:marLeft w:val="0"/>
      <w:marRight w:val="0"/>
      <w:marTop w:val="0"/>
      <w:marBottom w:val="0"/>
      <w:divBdr>
        <w:top w:val="none" w:sz="0" w:space="0" w:color="auto"/>
        <w:left w:val="none" w:sz="0" w:space="0" w:color="auto"/>
        <w:bottom w:val="none" w:sz="0" w:space="0" w:color="auto"/>
        <w:right w:val="none" w:sz="0" w:space="0" w:color="auto"/>
      </w:divBdr>
    </w:div>
    <w:div w:id="390545587">
      <w:bodyDiv w:val="1"/>
      <w:marLeft w:val="0"/>
      <w:marRight w:val="0"/>
      <w:marTop w:val="0"/>
      <w:marBottom w:val="0"/>
      <w:divBdr>
        <w:top w:val="none" w:sz="0" w:space="0" w:color="auto"/>
        <w:left w:val="none" w:sz="0" w:space="0" w:color="auto"/>
        <w:bottom w:val="none" w:sz="0" w:space="0" w:color="auto"/>
        <w:right w:val="none" w:sz="0" w:space="0" w:color="auto"/>
      </w:divBdr>
    </w:div>
    <w:div w:id="391005862">
      <w:bodyDiv w:val="1"/>
      <w:marLeft w:val="0"/>
      <w:marRight w:val="0"/>
      <w:marTop w:val="0"/>
      <w:marBottom w:val="0"/>
      <w:divBdr>
        <w:top w:val="none" w:sz="0" w:space="0" w:color="auto"/>
        <w:left w:val="none" w:sz="0" w:space="0" w:color="auto"/>
        <w:bottom w:val="none" w:sz="0" w:space="0" w:color="auto"/>
        <w:right w:val="none" w:sz="0" w:space="0" w:color="auto"/>
      </w:divBdr>
    </w:div>
    <w:div w:id="391927692">
      <w:bodyDiv w:val="1"/>
      <w:marLeft w:val="0"/>
      <w:marRight w:val="0"/>
      <w:marTop w:val="0"/>
      <w:marBottom w:val="0"/>
      <w:divBdr>
        <w:top w:val="none" w:sz="0" w:space="0" w:color="auto"/>
        <w:left w:val="none" w:sz="0" w:space="0" w:color="auto"/>
        <w:bottom w:val="none" w:sz="0" w:space="0" w:color="auto"/>
        <w:right w:val="none" w:sz="0" w:space="0" w:color="auto"/>
      </w:divBdr>
    </w:div>
    <w:div w:id="391999992">
      <w:bodyDiv w:val="1"/>
      <w:marLeft w:val="0"/>
      <w:marRight w:val="0"/>
      <w:marTop w:val="0"/>
      <w:marBottom w:val="0"/>
      <w:divBdr>
        <w:top w:val="none" w:sz="0" w:space="0" w:color="auto"/>
        <w:left w:val="none" w:sz="0" w:space="0" w:color="auto"/>
        <w:bottom w:val="none" w:sz="0" w:space="0" w:color="auto"/>
        <w:right w:val="none" w:sz="0" w:space="0" w:color="auto"/>
      </w:divBdr>
    </w:div>
    <w:div w:id="392049257">
      <w:bodyDiv w:val="1"/>
      <w:marLeft w:val="0"/>
      <w:marRight w:val="0"/>
      <w:marTop w:val="0"/>
      <w:marBottom w:val="0"/>
      <w:divBdr>
        <w:top w:val="none" w:sz="0" w:space="0" w:color="auto"/>
        <w:left w:val="none" w:sz="0" w:space="0" w:color="auto"/>
        <w:bottom w:val="none" w:sz="0" w:space="0" w:color="auto"/>
        <w:right w:val="none" w:sz="0" w:space="0" w:color="auto"/>
      </w:divBdr>
    </w:div>
    <w:div w:id="392168194">
      <w:bodyDiv w:val="1"/>
      <w:marLeft w:val="0"/>
      <w:marRight w:val="0"/>
      <w:marTop w:val="0"/>
      <w:marBottom w:val="0"/>
      <w:divBdr>
        <w:top w:val="none" w:sz="0" w:space="0" w:color="auto"/>
        <w:left w:val="none" w:sz="0" w:space="0" w:color="auto"/>
        <w:bottom w:val="none" w:sz="0" w:space="0" w:color="auto"/>
        <w:right w:val="none" w:sz="0" w:space="0" w:color="auto"/>
      </w:divBdr>
    </w:div>
    <w:div w:id="392891232">
      <w:bodyDiv w:val="1"/>
      <w:marLeft w:val="0"/>
      <w:marRight w:val="0"/>
      <w:marTop w:val="0"/>
      <w:marBottom w:val="0"/>
      <w:divBdr>
        <w:top w:val="none" w:sz="0" w:space="0" w:color="auto"/>
        <w:left w:val="none" w:sz="0" w:space="0" w:color="auto"/>
        <w:bottom w:val="none" w:sz="0" w:space="0" w:color="auto"/>
        <w:right w:val="none" w:sz="0" w:space="0" w:color="auto"/>
      </w:divBdr>
    </w:div>
    <w:div w:id="393235948">
      <w:bodyDiv w:val="1"/>
      <w:marLeft w:val="0"/>
      <w:marRight w:val="0"/>
      <w:marTop w:val="0"/>
      <w:marBottom w:val="0"/>
      <w:divBdr>
        <w:top w:val="none" w:sz="0" w:space="0" w:color="auto"/>
        <w:left w:val="none" w:sz="0" w:space="0" w:color="auto"/>
        <w:bottom w:val="none" w:sz="0" w:space="0" w:color="auto"/>
        <w:right w:val="none" w:sz="0" w:space="0" w:color="auto"/>
      </w:divBdr>
    </w:div>
    <w:div w:id="393624612">
      <w:bodyDiv w:val="1"/>
      <w:marLeft w:val="0"/>
      <w:marRight w:val="0"/>
      <w:marTop w:val="0"/>
      <w:marBottom w:val="0"/>
      <w:divBdr>
        <w:top w:val="none" w:sz="0" w:space="0" w:color="auto"/>
        <w:left w:val="none" w:sz="0" w:space="0" w:color="auto"/>
        <w:bottom w:val="none" w:sz="0" w:space="0" w:color="auto"/>
        <w:right w:val="none" w:sz="0" w:space="0" w:color="auto"/>
      </w:divBdr>
    </w:div>
    <w:div w:id="393741796">
      <w:bodyDiv w:val="1"/>
      <w:marLeft w:val="0"/>
      <w:marRight w:val="0"/>
      <w:marTop w:val="0"/>
      <w:marBottom w:val="0"/>
      <w:divBdr>
        <w:top w:val="none" w:sz="0" w:space="0" w:color="auto"/>
        <w:left w:val="none" w:sz="0" w:space="0" w:color="auto"/>
        <w:bottom w:val="none" w:sz="0" w:space="0" w:color="auto"/>
        <w:right w:val="none" w:sz="0" w:space="0" w:color="auto"/>
      </w:divBdr>
    </w:div>
    <w:div w:id="393742364">
      <w:bodyDiv w:val="1"/>
      <w:marLeft w:val="0"/>
      <w:marRight w:val="0"/>
      <w:marTop w:val="0"/>
      <w:marBottom w:val="0"/>
      <w:divBdr>
        <w:top w:val="none" w:sz="0" w:space="0" w:color="auto"/>
        <w:left w:val="none" w:sz="0" w:space="0" w:color="auto"/>
        <w:bottom w:val="none" w:sz="0" w:space="0" w:color="auto"/>
        <w:right w:val="none" w:sz="0" w:space="0" w:color="auto"/>
      </w:divBdr>
    </w:div>
    <w:div w:id="394741715">
      <w:bodyDiv w:val="1"/>
      <w:marLeft w:val="0"/>
      <w:marRight w:val="0"/>
      <w:marTop w:val="0"/>
      <w:marBottom w:val="0"/>
      <w:divBdr>
        <w:top w:val="none" w:sz="0" w:space="0" w:color="auto"/>
        <w:left w:val="none" w:sz="0" w:space="0" w:color="auto"/>
        <w:bottom w:val="none" w:sz="0" w:space="0" w:color="auto"/>
        <w:right w:val="none" w:sz="0" w:space="0" w:color="auto"/>
      </w:divBdr>
    </w:div>
    <w:div w:id="395668779">
      <w:bodyDiv w:val="1"/>
      <w:marLeft w:val="0"/>
      <w:marRight w:val="0"/>
      <w:marTop w:val="0"/>
      <w:marBottom w:val="0"/>
      <w:divBdr>
        <w:top w:val="none" w:sz="0" w:space="0" w:color="auto"/>
        <w:left w:val="none" w:sz="0" w:space="0" w:color="auto"/>
        <w:bottom w:val="none" w:sz="0" w:space="0" w:color="auto"/>
        <w:right w:val="none" w:sz="0" w:space="0" w:color="auto"/>
      </w:divBdr>
    </w:div>
    <w:div w:id="396826129">
      <w:bodyDiv w:val="1"/>
      <w:marLeft w:val="0"/>
      <w:marRight w:val="0"/>
      <w:marTop w:val="0"/>
      <w:marBottom w:val="0"/>
      <w:divBdr>
        <w:top w:val="none" w:sz="0" w:space="0" w:color="auto"/>
        <w:left w:val="none" w:sz="0" w:space="0" w:color="auto"/>
        <w:bottom w:val="none" w:sz="0" w:space="0" w:color="auto"/>
        <w:right w:val="none" w:sz="0" w:space="0" w:color="auto"/>
      </w:divBdr>
    </w:div>
    <w:div w:id="396981385">
      <w:bodyDiv w:val="1"/>
      <w:marLeft w:val="0"/>
      <w:marRight w:val="0"/>
      <w:marTop w:val="0"/>
      <w:marBottom w:val="0"/>
      <w:divBdr>
        <w:top w:val="none" w:sz="0" w:space="0" w:color="auto"/>
        <w:left w:val="none" w:sz="0" w:space="0" w:color="auto"/>
        <w:bottom w:val="none" w:sz="0" w:space="0" w:color="auto"/>
        <w:right w:val="none" w:sz="0" w:space="0" w:color="auto"/>
      </w:divBdr>
    </w:div>
    <w:div w:id="400835357">
      <w:bodyDiv w:val="1"/>
      <w:marLeft w:val="0"/>
      <w:marRight w:val="0"/>
      <w:marTop w:val="0"/>
      <w:marBottom w:val="0"/>
      <w:divBdr>
        <w:top w:val="none" w:sz="0" w:space="0" w:color="auto"/>
        <w:left w:val="none" w:sz="0" w:space="0" w:color="auto"/>
        <w:bottom w:val="none" w:sz="0" w:space="0" w:color="auto"/>
        <w:right w:val="none" w:sz="0" w:space="0" w:color="auto"/>
      </w:divBdr>
    </w:div>
    <w:div w:id="401293534">
      <w:bodyDiv w:val="1"/>
      <w:marLeft w:val="0"/>
      <w:marRight w:val="0"/>
      <w:marTop w:val="0"/>
      <w:marBottom w:val="0"/>
      <w:divBdr>
        <w:top w:val="none" w:sz="0" w:space="0" w:color="auto"/>
        <w:left w:val="none" w:sz="0" w:space="0" w:color="auto"/>
        <w:bottom w:val="none" w:sz="0" w:space="0" w:color="auto"/>
        <w:right w:val="none" w:sz="0" w:space="0" w:color="auto"/>
      </w:divBdr>
      <w:divsChild>
        <w:div w:id="212619854">
          <w:marLeft w:val="0"/>
          <w:marRight w:val="0"/>
          <w:marTop w:val="0"/>
          <w:marBottom w:val="0"/>
          <w:divBdr>
            <w:top w:val="none" w:sz="0" w:space="0" w:color="auto"/>
            <w:left w:val="none" w:sz="0" w:space="0" w:color="auto"/>
            <w:bottom w:val="none" w:sz="0" w:space="0" w:color="auto"/>
            <w:right w:val="none" w:sz="0" w:space="0" w:color="auto"/>
          </w:divBdr>
        </w:div>
      </w:divsChild>
    </w:div>
    <w:div w:id="401412388">
      <w:bodyDiv w:val="1"/>
      <w:marLeft w:val="0"/>
      <w:marRight w:val="0"/>
      <w:marTop w:val="0"/>
      <w:marBottom w:val="0"/>
      <w:divBdr>
        <w:top w:val="none" w:sz="0" w:space="0" w:color="auto"/>
        <w:left w:val="none" w:sz="0" w:space="0" w:color="auto"/>
        <w:bottom w:val="none" w:sz="0" w:space="0" w:color="auto"/>
        <w:right w:val="none" w:sz="0" w:space="0" w:color="auto"/>
      </w:divBdr>
    </w:div>
    <w:div w:id="401833838">
      <w:bodyDiv w:val="1"/>
      <w:marLeft w:val="0"/>
      <w:marRight w:val="0"/>
      <w:marTop w:val="0"/>
      <w:marBottom w:val="0"/>
      <w:divBdr>
        <w:top w:val="none" w:sz="0" w:space="0" w:color="auto"/>
        <w:left w:val="none" w:sz="0" w:space="0" w:color="auto"/>
        <w:bottom w:val="none" w:sz="0" w:space="0" w:color="auto"/>
        <w:right w:val="none" w:sz="0" w:space="0" w:color="auto"/>
      </w:divBdr>
    </w:div>
    <w:div w:id="402022802">
      <w:bodyDiv w:val="1"/>
      <w:marLeft w:val="0"/>
      <w:marRight w:val="0"/>
      <w:marTop w:val="0"/>
      <w:marBottom w:val="0"/>
      <w:divBdr>
        <w:top w:val="none" w:sz="0" w:space="0" w:color="auto"/>
        <w:left w:val="none" w:sz="0" w:space="0" w:color="auto"/>
        <w:bottom w:val="none" w:sz="0" w:space="0" w:color="auto"/>
        <w:right w:val="none" w:sz="0" w:space="0" w:color="auto"/>
      </w:divBdr>
    </w:div>
    <w:div w:id="402718986">
      <w:bodyDiv w:val="1"/>
      <w:marLeft w:val="0"/>
      <w:marRight w:val="0"/>
      <w:marTop w:val="0"/>
      <w:marBottom w:val="0"/>
      <w:divBdr>
        <w:top w:val="none" w:sz="0" w:space="0" w:color="auto"/>
        <w:left w:val="none" w:sz="0" w:space="0" w:color="auto"/>
        <w:bottom w:val="none" w:sz="0" w:space="0" w:color="auto"/>
        <w:right w:val="none" w:sz="0" w:space="0" w:color="auto"/>
      </w:divBdr>
    </w:div>
    <w:div w:id="402988823">
      <w:bodyDiv w:val="1"/>
      <w:marLeft w:val="0"/>
      <w:marRight w:val="0"/>
      <w:marTop w:val="0"/>
      <w:marBottom w:val="0"/>
      <w:divBdr>
        <w:top w:val="none" w:sz="0" w:space="0" w:color="auto"/>
        <w:left w:val="none" w:sz="0" w:space="0" w:color="auto"/>
        <w:bottom w:val="none" w:sz="0" w:space="0" w:color="auto"/>
        <w:right w:val="none" w:sz="0" w:space="0" w:color="auto"/>
      </w:divBdr>
    </w:div>
    <w:div w:id="403768399">
      <w:bodyDiv w:val="1"/>
      <w:marLeft w:val="0"/>
      <w:marRight w:val="0"/>
      <w:marTop w:val="0"/>
      <w:marBottom w:val="0"/>
      <w:divBdr>
        <w:top w:val="none" w:sz="0" w:space="0" w:color="auto"/>
        <w:left w:val="none" w:sz="0" w:space="0" w:color="auto"/>
        <w:bottom w:val="none" w:sz="0" w:space="0" w:color="auto"/>
        <w:right w:val="none" w:sz="0" w:space="0" w:color="auto"/>
      </w:divBdr>
    </w:div>
    <w:div w:id="403913063">
      <w:bodyDiv w:val="1"/>
      <w:marLeft w:val="0"/>
      <w:marRight w:val="0"/>
      <w:marTop w:val="0"/>
      <w:marBottom w:val="0"/>
      <w:divBdr>
        <w:top w:val="none" w:sz="0" w:space="0" w:color="auto"/>
        <w:left w:val="none" w:sz="0" w:space="0" w:color="auto"/>
        <w:bottom w:val="none" w:sz="0" w:space="0" w:color="auto"/>
        <w:right w:val="none" w:sz="0" w:space="0" w:color="auto"/>
      </w:divBdr>
    </w:div>
    <w:div w:id="404570132">
      <w:bodyDiv w:val="1"/>
      <w:marLeft w:val="0"/>
      <w:marRight w:val="0"/>
      <w:marTop w:val="0"/>
      <w:marBottom w:val="0"/>
      <w:divBdr>
        <w:top w:val="none" w:sz="0" w:space="0" w:color="auto"/>
        <w:left w:val="none" w:sz="0" w:space="0" w:color="auto"/>
        <w:bottom w:val="none" w:sz="0" w:space="0" w:color="auto"/>
        <w:right w:val="none" w:sz="0" w:space="0" w:color="auto"/>
      </w:divBdr>
    </w:div>
    <w:div w:id="405415569">
      <w:bodyDiv w:val="1"/>
      <w:marLeft w:val="0"/>
      <w:marRight w:val="0"/>
      <w:marTop w:val="0"/>
      <w:marBottom w:val="0"/>
      <w:divBdr>
        <w:top w:val="none" w:sz="0" w:space="0" w:color="auto"/>
        <w:left w:val="none" w:sz="0" w:space="0" w:color="auto"/>
        <w:bottom w:val="none" w:sz="0" w:space="0" w:color="auto"/>
        <w:right w:val="none" w:sz="0" w:space="0" w:color="auto"/>
      </w:divBdr>
    </w:div>
    <w:div w:id="406000403">
      <w:bodyDiv w:val="1"/>
      <w:marLeft w:val="0"/>
      <w:marRight w:val="0"/>
      <w:marTop w:val="0"/>
      <w:marBottom w:val="0"/>
      <w:divBdr>
        <w:top w:val="none" w:sz="0" w:space="0" w:color="auto"/>
        <w:left w:val="none" w:sz="0" w:space="0" w:color="auto"/>
        <w:bottom w:val="none" w:sz="0" w:space="0" w:color="auto"/>
        <w:right w:val="none" w:sz="0" w:space="0" w:color="auto"/>
      </w:divBdr>
    </w:div>
    <w:div w:id="406416193">
      <w:bodyDiv w:val="1"/>
      <w:marLeft w:val="0"/>
      <w:marRight w:val="0"/>
      <w:marTop w:val="0"/>
      <w:marBottom w:val="0"/>
      <w:divBdr>
        <w:top w:val="none" w:sz="0" w:space="0" w:color="auto"/>
        <w:left w:val="none" w:sz="0" w:space="0" w:color="auto"/>
        <w:bottom w:val="none" w:sz="0" w:space="0" w:color="auto"/>
        <w:right w:val="none" w:sz="0" w:space="0" w:color="auto"/>
      </w:divBdr>
    </w:div>
    <w:div w:id="406418451">
      <w:bodyDiv w:val="1"/>
      <w:marLeft w:val="0"/>
      <w:marRight w:val="0"/>
      <w:marTop w:val="0"/>
      <w:marBottom w:val="0"/>
      <w:divBdr>
        <w:top w:val="none" w:sz="0" w:space="0" w:color="auto"/>
        <w:left w:val="none" w:sz="0" w:space="0" w:color="auto"/>
        <w:bottom w:val="none" w:sz="0" w:space="0" w:color="auto"/>
        <w:right w:val="none" w:sz="0" w:space="0" w:color="auto"/>
      </w:divBdr>
    </w:div>
    <w:div w:id="406541334">
      <w:bodyDiv w:val="1"/>
      <w:marLeft w:val="0"/>
      <w:marRight w:val="0"/>
      <w:marTop w:val="0"/>
      <w:marBottom w:val="0"/>
      <w:divBdr>
        <w:top w:val="none" w:sz="0" w:space="0" w:color="auto"/>
        <w:left w:val="none" w:sz="0" w:space="0" w:color="auto"/>
        <w:bottom w:val="none" w:sz="0" w:space="0" w:color="auto"/>
        <w:right w:val="none" w:sz="0" w:space="0" w:color="auto"/>
      </w:divBdr>
    </w:div>
    <w:div w:id="406851331">
      <w:bodyDiv w:val="1"/>
      <w:marLeft w:val="0"/>
      <w:marRight w:val="0"/>
      <w:marTop w:val="0"/>
      <w:marBottom w:val="0"/>
      <w:divBdr>
        <w:top w:val="none" w:sz="0" w:space="0" w:color="auto"/>
        <w:left w:val="none" w:sz="0" w:space="0" w:color="auto"/>
        <w:bottom w:val="none" w:sz="0" w:space="0" w:color="auto"/>
        <w:right w:val="none" w:sz="0" w:space="0" w:color="auto"/>
      </w:divBdr>
    </w:div>
    <w:div w:id="408113824">
      <w:bodyDiv w:val="1"/>
      <w:marLeft w:val="0"/>
      <w:marRight w:val="0"/>
      <w:marTop w:val="0"/>
      <w:marBottom w:val="0"/>
      <w:divBdr>
        <w:top w:val="none" w:sz="0" w:space="0" w:color="auto"/>
        <w:left w:val="none" w:sz="0" w:space="0" w:color="auto"/>
        <w:bottom w:val="none" w:sz="0" w:space="0" w:color="auto"/>
        <w:right w:val="none" w:sz="0" w:space="0" w:color="auto"/>
      </w:divBdr>
    </w:div>
    <w:div w:id="408425174">
      <w:bodyDiv w:val="1"/>
      <w:marLeft w:val="0"/>
      <w:marRight w:val="0"/>
      <w:marTop w:val="0"/>
      <w:marBottom w:val="0"/>
      <w:divBdr>
        <w:top w:val="none" w:sz="0" w:space="0" w:color="auto"/>
        <w:left w:val="none" w:sz="0" w:space="0" w:color="auto"/>
        <w:bottom w:val="none" w:sz="0" w:space="0" w:color="auto"/>
        <w:right w:val="none" w:sz="0" w:space="0" w:color="auto"/>
      </w:divBdr>
    </w:div>
    <w:div w:id="408427230">
      <w:bodyDiv w:val="1"/>
      <w:marLeft w:val="0"/>
      <w:marRight w:val="0"/>
      <w:marTop w:val="0"/>
      <w:marBottom w:val="0"/>
      <w:divBdr>
        <w:top w:val="none" w:sz="0" w:space="0" w:color="auto"/>
        <w:left w:val="none" w:sz="0" w:space="0" w:color="auto"/>
        <w:bottom w:val="none" w:sz="0" w:space="0" w:color="auto"/>
        <w:right w:val="none" w:sz="0" w:space="0" w:color="auto"/>
      </w:divBdr>
    </w:div>
    <w:div w:id="408693081">
      <w:bodyDiv w:val="1"/>
      <w:marLeft w:val="0"/>
      <w:marRight w:val="0"/>
      <w:marTop w:val="0"/>
      <w:marBottom w:val="0"/>
      <w:divBdr>
        <w:top w:val="none" w:sz="0" w:space="0" w:color="auto"/>
        <w:left w:val="none" w:sz="0" w:space="0" w:color="auto"/>
        <w:bottom w:val="none" w:sz="0" w:space="0" w:color="auto"/>
        <w:right w:val="none" w:sz="0" w:space="0" w:color="auto"/>
      </w:divBdr>
    </w:div>
    <w:div w:id="410003026">
      <w:bodyDiv w:val="1"/>
      <w:marLeft w:val="0"/>
      <w:marRight w:val="0"/>
      <w:marTop w:val="0"/>
      <w:marBottom w:val="0"/>
      <w:divBdr>
        <w:top w:val="none" w:sz="0" w:space="0" w:color="auto"/>
        <w:left w:val="none" w:sz="0" w:space="0" w:color="auto"/>
        <w:bottom w:val="none" w:sz="0" w:space="0" w:color="auto"/>
        <w:right w:val="none" w:sz="0" w:space="0" w:color="auto"/>
      </w:divBdr>
    </w:div>
    <w:div w:id="410155160">
      <w:bodyDiv w:val="1"/>
      <w:marLeft w:val="0"/>
      <w:marRight w:val="0"/>
      <w:marTop w:val="0"/>
      <w:marBottom w:val="0"/>
      <w:divBdr>
        <w:top w:val="none" w:sz="0" w:space="0" w:color="auto"/>
        <w:left w:val="none" w:sz="0" w:space="0" w:color="auto"/>
        <w:bottom w:val="none" w:sz="0" w:space="0" w:color="auto"/>
        <w:right w:val="none" w:sz="0" w:space="0" w:color="auto"/>
      </w:divBdr>
    </w:div>
    <w:div w:id="410810213">
      <w:bodyDiv w:val="1"/>
      <w:marLeft w:val="0"/>
      <w:marRight w:val="0"/>
      <w:marTop w:val="0"/>
      <w:marBottom w:val="0"/>
      <w:divBdr>
        <w:top w:val="none" w:sz="0" w:space="0" w:color="auto"/>
        <w:left w:val="none" w:sz="0" w:space="0" w:color="auto"/>
        <w:bottom w:val="none" w:sz="0" w:space="0" w:color="auto"/>
        <w:right w:val="none" w:sz="0" w:space="0" w:color="auto"/>
      </w:divBdr>
    </w:div>
    <w:div w:id="411390862">
      <w:bodyDiv w:val="1"/>
      <w:marLeft w:val="0"/>
      <w:marRight w:val="0"/>
      <w:marTop w:val="0"/>
      <w:marBottom w:val="0"/>
      <w:divBdr>
        <w:top w:val="none" w:sz="0" w:space="0" w:color="auto"/>
        <w:left w:val="none" w:sz="0" w:space="0" w:color="auto"/>
        <w:bottom w:val="none" w:sz="0" w:space="0" w:color="auto"/>
        <w:right w:val="none" w:sz="0" w:space="0" w:color="auto"/>
      </w:divBdr>
    </w:div>
    <w:div w:id="411776870">
      <w:bodyDiv w:val="1"/>
      <w:marLeft w:val="0"/>
      <w:marRight w:val="0"/>
      <w:marTop w:val="0"/>
      <w:marBottom w:val="0"/>
      <w:divBdr>
        <w:top w:val="none" w:sz="0" w:space="0" w:color="auto"/>
        <w:left w:val="none" w:sz="0" w:space="0" w:color="auto"/>
        <w:bottom w:val="none" w:sz="0" w:space="0" w:color="auto"/>
        <w:right w:val="none" w:sz="0" w:space="0" w:color="auto"/>
      </w:divBdr>
    </w:div>
    <w:div w:id="412045329">
      <w:bodyDiv w:val="1"/>
      <w:marLeft w:val="0"/>
      <w:marRight w:val="0"/>
      <w:marTop w:val="0"/>
      <w:marBottom w:val="0"/>
      <w:divBdr>
        <w:top w:val="none" w:sz="0" w:space="0" w:color="auto"/>
        <w:left w:val="none" w:sz="0" w:space="0" w:color="auto"/>
        <w:bottom w:val="none" w:sz="0" w:space="0" w:color="auto"/>
        <w:right w:val="none" w:sz="0" w:space="0" w:color="auto"/>
      </w:divBdr>
    </w:div>
    <w:div w:id="412897271">
      <w:bodyDiv w:val="1"/>
      <w:marLeft w:val="0"/>
      <w:marRight w:val="0"/>
      <w:marTop w:val="0"/>
      <w:marBottom w:val="0"/>
      <w:divBdr>
        <w:top w:val="none" w:sz="0" w:space="0" w:color="auto"/>
        <w:left w:val="none" w:sz="0" w:space="0" w:color="auto"/>
        <w:bottom w:val="none" w:sz="0" w:space="0" w:color="auto"/>
        <w:right w:val="none" w:sz="0" w:space="0" w:color="auto"/>
      </w:divBdr>
    </w:div>
    <w:div w:id="413624350">
      <w:bodyDiv w:val="1"/>
      <w:marLeft w:val="0"/>
      <w:marRight w:val="0"/>
      <w:marTop w:val="0"/>
      <w:marBottom w:val="0"/>
      <w:divBdr>
        <w:top w:val="none" w:sz="0" w:space="0" w:color="auto"/>
        <w:left w:val="none" w:sz="0" w:space="0" w:color="auto"/>
        <w:bottom w:val="none" w:sz="0" w:space="0" w:color="auto"/>
        <w:right w:val="none" w:sz="0" w:space="0" w:color="auto"/>
      </w:divBdr>
    </w:div>
    <w:div w:id="413746200">
      <w:bodyDiv w:val="1"/>
      <w:marLeft w:val="0"/>
      <w:marRight w:val="0"/>
      <w:marTop w:val="0"/>
      <w:marBottom w:val="0"/>
      <w:divBdr>
        <w:top w:val="none" w:sz="0" w:space="0" w:color="auto"/>
        <w:left w:val="none" w:sz="0" w:space="0" w:color="auto"/>
        <w:bottom w:val="none" w:sz="0" w:space="0" w:color="auto"/>
        <w:right w:val="none" w:sz="0" w:space="0" w:color="auto"/>
      </w:divBdr>
    </w:div>
    <w:div w:id="414087117">
      <w:bodyDiv w:val="1"/>
      <w:marLeft w:val="0"/>
      <w:marRight w:val="0"/>
      <w:marTop w:val="0"/>
      <w:marBottom w:val="0"/>
      <w:divBdr>
        <w:top w:val="none" w:sz="0" w:space="0" w:color="auto"/>
        <w:left w:val="none" w:sz="0" w:space="0" w:color="auto"/>
        <w:bottom w:val="none" w:sz="0" w:space="0" w:color="auto"/>
        <w:right w:val="none" w:sz="0" w:space="0" w:color="auto"/>
      </w:divBdr>
    </w:div>
    <w:div w:id="414281655">
      <w:bodyDiv w:val="1"/>
      <w:marLeft w:val="0"/>
      <w:marRight w:val="0"/>
      <w:marTop w:val="0"/>
      <w:marBottom w:val="0"/>
      <w:divBdr>
        <w:top w:val="none" w:sz="0" w:space="0" w:color="auto"/>
        <w:left w:val="none" w:sz="0" w:space="0" w:color="auto"/>
        <w:bottom w:val="none" w:sz="0" w:space="0" w:color="auto"/>
        <w:right w:val="none" w:sz="0" w:space="0" w:color="auto"/>
      </w:divBdr>
    </w:div>
    <w:div w:id="417139737">
      <w:bodyDiv w:val="1"/>
      <w:marLeft w:val="0"/>
      <w:marRight w:val="0"/>
      <w:marTop w:val="0"/>
      <w:marBottom w:val="0"/>
      <w:divBdr>
        <w:top w:val="none" w:sz="0" w:space="0" w:color="auto"/>
        <w:left w:val="none" w:sz="0" w:space="0" w:color="auto"/>
        <w:bottom w:val="none" w:sz="0" w:space="0" w:color="auto"/>
        <w:right w:val="none" w:sz="0" w:space="0" w:color="auto"/>
      </w:divBdr>
    </w:div>
    <w:div w:id="417143755">
      <w:bodyDiv w:val="1"/>
      <w:marLeft w:val="0"/>
      <w:marRight w:val="0"/>
      <w:marTop w:val="0"/>
      <w:marBottom w:val="0"/>
      <w:divBdr>
        <w:top w:val="none" w:sz="0" w:space="0" w:color="auto"/>
        <w:left w:val="none" w:sz="0" w:space="0" w:color="auto"/>
        <w:bottom w:val="none" w:sz="0" w:space="0" w:color="auto"/>
        <w:right w:val="none" w:sz="0" w:space="0" w:color="auto"/>
      </w:divBdr>
    </w:div>
    <w:div w:id="417287433">
      <w:bodyDiv w:val="1"/>
      <w:marLeft w:val="0"/>
      <w:marRight w:val="0"/>
      <w:marTop w:val="0"/>
      <w:marBottom w:val="0"/>
      <w:divBdr>
        <w:top w:val="none" w:sz="0" w:space="0" w:color="auto"/>
        <w:left w:val="none" w:sz="0" w:space="0" w:color="auto"/>
        <w:bottom w:val="none" w:sz="0" w:space="0" w:color="auto"/>
        <w:right w:val="none" w:sz="0" w:space="0" w:color="auto"/>
      </w:divBdr>
    </w:div>
    <w:div w:id="417410327">
      <w:bodyDiv w:val="1"/>
      <w:marLeft w:val="0"/>
      <w:marRight w:val="0"/>
      <w:marTop w:val="0"/>
      <w:marBottom w:val="0"/>
      <w:divBdr>
        <w:top w:val="none" w:sz="0" w:space="0" w:color="auto"/>
        <w:left w:val="none" w:sz="0" w:space="0" w:color="auto"/>
        <w:bottom w:val="none" w:sz="0" w:space="0" w:color="auto"/>
        <w:right w:val="none" w:sz="0" w:space="0" w:color="auto"/>
      </w:divBdr>
    </w:div>
    <w:div w:id="417750617">
      <w:bodyDiv w:val="1"/>
      <w:marLeft w:val="0"/>
      <w:marRight w:val="0"/>
      <w:marTop w:val="0"/>
      <w:marBottom w:val="0"/>
      <w:divBdr>
        <w:top w:val="none" w:sz="0" w:space="0" w:color="auto"/>
        <w:left w:val="none" w:sz="0" w:space="0" w:color="auto"/>
        <w:bottom w:val="none" w:sz="0" w:space="0" w:color="auto"/>
        <w:right w:val="none" w:sz="0" w:space="0" w:color="auto"/>
      </w:divBdr>
    </w:div>
    <w:div w:id="417990767">
      <w:bodyDiv w:val="1"/>
      <w:marLeft w:val="0"/>
      <w:marRight w:val="0"/>
      <w:marTop w:val="0"/>
      <w:marBottom w:val="0"/>
      <w:divBdr>
        <w:top w:val="none" w:sz="0" w:space="0" w:color="auto"/>
        <w:left w:val="none" w:sz="0" w:space="0" w:color="auto"/>
        <w:bottom w:val="none" w:sz="0" w:space="0" w:color="auto"/>
        <w:right w:val="none" w:sz="0" w:space="0" w:color="auto"/>
      </w:divBdr>
    </w:div>
    <w:div w:id="418646925">
      <w:bodyDiv w:val="1"/>
      <w:marLeft w:val="0"/>
      <w:marRight w:val="0"/>
      <w:marTop w:val="0"/>
      <w:marBottom w:val="0"/>
      <w:divBdr>
        <w:top w:val="none" w:sz="0" w:space="0" w:color="auto"/>
        <w:left w:val="none" w:sz="0" w:space="0" w:color="auto"/>
        <w:bottom w:val="none" w:sz="0" w:space="0" w:color="auto"/>
        <w:right w:val="none" w:sz="0" w:space="0" w:color="auto"/>
      </w:divBdr>
    </w:div>
    <w:div w:id="419445746">
      <w:bodyDiv w:val="1"/>
      <w:marLeft w:val="0"/>
      <w:marRight w:val="0"/>
      <w:marTop w:val="0"/>
      <w:marBottom w:val="0"/>
      <w:divBdr>
        <w:top w:val="none" w:sz="0" w:space="0" w:color="auto"/>
        <w:left w:val="none" w:sz="0" w:space="0" w:color="auto"/>
        <w:bottom w:val="none" w:sz="0" w:space="0" w:color="auto"/>
        <w:right w:val="none" w:sz="0" w:space="0" w:color="auto"/>
      </w:divBdr>
    </w:div>
    <w:div w:id="419765577">
      <w:bodyDiv w:val="1"/>
      <w:marLeft w:val="0"/>
      <w:marRight w:val="0"/>
      <w:marTop w:val="0"/>
      <w:marBottom w:val="0"/>
      <w:divBdr>
        <w:top w:val="none" w:sz="0" w:space="0" w:color="auto"/>
        <w:left w:val="none" w:sz="0" w:space="0" w:color="auto"/>
        <w:bottom w:val="none" w:sz="0" w:space="0" w:color="auto"/>
        <w:right w:val="none" w:sz="0" w:space="0" w:color="auto"/>
      </w:divBdr>
    </w:div>
    <w:div w:id="420102542">
      <w:bodyDiv w:val="1"/>
      <w:marLeft w:val="0"/>
      <w:marRight w:val="0"/>
      <w:marTop w:val="0"/>
      <w:marBottom w:val="0"/>
      <w:divBdr>
        <w:top w:val="none" w:sz="0" w:space="0" w:color="auto"/>
        <w:left w:val="none" w:sz="0" w:space="0" w:color="auto"/>
        <w:bottom w:val="none" w:sz="0" w:space="0" w:color="auto"/>
        <w:right w:val="none" w:sz="0" w:space="0" w:color="auto"/>
      </w:divBdr>
    </w:div>
    <w:div w:id="420879285">
      <w:bodyDiv w:val="1"/>
      <w:marLeft w:val="0"/>
      <w:marRight w:val="0"/>
      <w:marTop w:val="0"/>
      <w:marBottom w:val="0"/>
      <w:divBdr>
        <w:top w:val="none" w:sz="0" w:space="0" w:color="auto"/>
        <w:left w:val="none" w:sz="0" w:space="0" w:color="auto"/>
        <w:bottom w:val="none" w:sz="0" w:space="0" w:color="auto"/>
        <w:right w:val="none" w:sz="0" w:space="0" w:color="auto"/>
      </w:divBdr>
    </w:div>
    <w:div w:id="421529854">
      <w:bodyDiv w:val="1"/>
      <w:marLeft w:val="0"/>
      <w:marRight w:val="0"/>
      <w:marTop w:val="0"/>
      <w:marBottom w:val="0"/>
      <w:divBdr>
        <w:top w:val="none" w:sz="0" w:space="0" w:color="auto"/>
        <w:left w:val="none" w:sz="0" w:space="0" w:color="auto"/>
        <w:bottom w:val="none" w:sz="0" w:space="0" w:color="auto"/>
        <w:right w:val="none" w:sz="0" w:space="0" w:color="auto"/>
      </w:divBdr>
    </w:div>
    <w:div w:id="422846865">
      <w:bodyDiv w:val="1"/>
      <w:marLeft w:val="0"/>
      <w:marRight w:val="0"/>
      <w:marTop w:val="0"/>
      <w:marBottom w:val="0"/>
      <w:divBdr>
        <w:top w:val="none" w:sz="0" w:space="0" w:color="auto"/>
        <w:left w:val="none" w:sz="0" w:space="0" w:color="auto"/>
        <w:bottom w:val="none" w:sz="0" w:space="0" w:color="auto"/>
        <w:right w:val="none" w:sz="0" w:space="0" w:color="auto"/>
      </w:divBdr>
    </w:div>
    <w:div w:id="424762930">
      <w:bodyDiv w:val="1"/>
      <w:marLeft w:val="0"/>
      <w:marRight w:val="0"/>
      <w:marTop w:val="0"/>
      <w:marBottom w:val="0"/>
      <w:divBdr>
        <w:top w:val="none" w:sz="0" w:space="0" w:color="auto"/>
        <w:left w:val="none" w:sz="0" w:space="0" w:color="auto"/>
        <w:bottom w:val="none" w:sz="0" w:space="0" w:color="auto"/>
        <w:right w:val="none" w:sz="0" w:space="0" w:color="auto"/>
      </w:divBdr>
    </w:div>
    <w:div w:id="425810666">
      <w:bodyDiv w:val="1"/>
      <w:marLeft w:val="0"/>
      <w:marRight w:val="0"/>
      <w:marTop w:val="0"/>
      <w:marBottom w:val="0"/>
      <w:divBdr>
        <w:top w:val="none" w:sz="0" w:space="0" w:color="auto"/>
        <w:left w:val="none" w:sz="0" w:space="0" w:color="auto"/>
        <w:bottom w:val="none" w:sz="0" w:space="0" w:color="auto"/>
        <w:right w:val="none" w:sz="0" w:space="0" w:color="auto"/>
      </w:divBdr>
    </w:div>
    <w:div w:id="425854931">
      <w:bodyDiv w:val="1"/>
      <w:marLeft w:val="0"/>
      <w:marRight w:val="0"/>
      <w:marTop w:val="0"/>
      <w:marBottom w:val="0"/>
      <w:divBdr>
        <w:top w:val="none" w:sz="0" w:space="0" w:color="auto"/>
        <w:left w:val="none" w:sz="0" w:space="0" w:color="auto"/>
        <w:bottom w:val="none" w:sz="0" w:space="0" w:color="auto"/>
        <w:right w:val="none" w:sz="0" w:space="0" w:color="auto"/>
      </w:divBdr>
    </w:div>
    <w:div w:id="426269311">
      <w:bodyDiv w:val="1"/>
      <w:marLeft w:val="0"/>
      <w:marRight w:val="0"/>
      <w:marTop w:val="0"/>
      <w:marBottom w:val="0"/>
      <w:divBdr>
        <w:top w:val="none" w:sz="0" w:space="0" w:color="auto"/>
        <w:left w:val="none" w:sz="0" w:space="0" w:color="auto"/>
        <w:bottom w:val="none" w:sz="0" w:space="0" w:color="auto"/>
        <w:right w:val="none" w:sz="0" w:space="0" w:color="auto"/>
      </w:divBdr>
    </w:div>
    <w:div w:id="426735012">
      <w:bodyDiv w:val="1"/>
      <w:marLeft w:val="0"/>
      <w:marRight w:val="0"/>
      <w:marTop w:val="0"/>
      <w:marBottom w:val="0"/>
      <w:divBdr>
        <w:top w:val="none" w:sz="0" w:space="0" w:color="auto"/>
        <w:left w:val="none" w:sz="0" w:space="0" w:color="auto"/>
        <w:bottom w:val="none" w:sz="0" w:space="0" w:color="auto"/>
        <w:right w:val="none" w:sz="0" w:space="0" w:color="auto"/>
      </w:divBdr>
    </w:div>
    <w:div w:id="427116837">
      <w:bodyDiv w:val="1"/>
      <w:marLeft w:val="0"/>
      <w:marRight w:val="0"/>
      <w:marTop w:val="0"/>
      <w:marBottom w:val="0"/>
      <w:divBdr>
        <w:top w:val="none" w:sz="0" w:space="0" w:color="auto"/>
        <w:left w:val="none" w:sz="0" w:space="0" w:color="auto"/>
        <w:bottom w:val="none" w:sz="0" w:space="0" w:color="auto"/>
        <w:right w:val="none" w:sz="0" w:space="0" w:color="auto"/>
      </w:divBdr>
    </w:div>
    <w:div w:id="428693911">
      <w:bodyDiv w:val="1"/>
      <w:marLeft w:val="0"/>
      <w:marRight w:val="0"/>
      <w:marTop w:val="0"/>
      <w:marBottom w:val="0"/>
      <w:divBdr>
        <w:top w:val="none" w:sz="0" w:space="0" w:color="auto"/>
        <w:left w:val="none" w:sz="0" w:space="0" w:color="auto"/>
        <w:bottom w:val="none" w:sz="0" w:space="0" w:color="auto"/>
        <w:right w:val="none" w:sz="0" w:space="0" w:color="auto"/>
      </w:divBdr>
    </w:div>
    <w:div w:id="428817865">
      <w:bodyDiv w:val="1"/>
      <w:marLeft w:val="0"/>
      <w:marRight w:val="0"/>
      <w:marTop w:val="0"/>
      <w:marBottom w:val="0"/>
      <w:divBdr>
        <w:top w:val="none" w:sz="0" w:space="0" w:color="auto"/>
        <w:left w:val="none" w:sz="0" w:space="0" w:color="auto"/>
        <w:bottom w:val="none" w:sz="0" w:space="0" w:color="auto"/>
        <w:right w:val="none" w:sz="0" w:space="0" w:color="auto"/>
      </w:divBdr>
    </w:div>
    <w:div w:id="429156013">
      <w:bodyDiv w:val="1"/>
      <w:marLeft w:val="0"/>
      <w:marRight w:val="0"/>
      <w:marTop w:val="0"/>
      <w:marBottom w:val="0"/>
      <w:divBdr>
        <w:top w:val="none" w:sz="0" w:space="0" w:color="auto"/>
        <w:left w:val="none" w:sz="0" w:space="0" w:color="auto"/>
        <w:bottom w:val="none" w:sz="0" w:space="0" w:color="auto"/>
        <w:right w:val="none" w:sz="0" w:space="0" w:color="auto"/>
      </w:divBdr>
    </w:div>
    <w:div w:id="430467398">
      <w:bodyDiv w:val="1"/>
      <w:marLeft w:val="0"/>
      <w:marRight w:val="0"/>
      <w:marTop w:val="0"/>
      <w:marBottom w:val="0"/>
      <w:divBdr>
        <w:top w:val="none" w:sz="0" w:space="0" w:color="auto"/>
        <w:left w:val="none" w:sz="0" w:space="0" w:color="auto"/>
        <w:bottom w:val="none" w:sz="0" w:space="0" w:color="auto"/>
        <w:right w:val="none" w:sz="0" w:space="0" w:color="auto"/>
      </w:divBdr>
    </w:div>
    <w:div w:id="430518514">
      <w:bodyDiv w:val="1"/>
      <w:marLeft w:val="0"/>
      <w:marRight w:val="0"/>
      <w:marTop w:val="0"/>
      <w:marBottom w:val="0"/>
      <w:divBdr>
        <w:top w:val="none" w:sz="0" w:space="0" w:color="auto"/>
        <w:left w:val="none" w:sz="0" w:space="0" w:color="auto"/>
        <w:bottom w:val="none" w:sz="0" w:space="0" w:color="auto"/>
        <w:right w:val="none" w:sz="0" w:space="0" w:color="auto"/>
      </w:divBdr>
    </w:div>
    <w:div w:id="431554745">
      <w:bodyDiv w:val="1"/>
      <w:marLeft w:val="0"/>
      <w:marRight w:val="0"/>
      <w:marTop w:val="0"/>
      <w:marBottom w:val="0"/>
      <w:divBdr>
        <w:top w:val="none" w:sz="0" w:space="0" w:color="auto"/>
        <w:left w:val="none" w:sz="0" w:space="0" w:color="auto"/>
        <w:bottom w:val="none" w:sz="0" w:space="0" w:color="auto"/>
        <w:right w:val="none" w:sz="0" w:space="0" w:color="auto"/>
      </w:divBdr>
    </w:div>
    <w:div w:id="431753728">
      <w:bodyDiv w:val="1"/>
      <w:marLeft w:val="0"/>
      <w:marRight w:val="0"/>
      <w:marTop w:val="0"/>
      <w:marBottom w:val="0"/>
      <w:divBdr>
        <w:top w:val="none" w:sz="0" w:space="0" w:color="auto"/>
        <w:left w:val="none" w:sz="0" w:space="0" w:color="auto"/>
        <w:bottom w:val="none" w:sz="0" w:space="0" w:color="auto"/>
        <w:right w:val="none" w:sz="0" w:space="0" w:color="auto"/>
      </w:divBdr>
    </w:div>
    <w:div w:id="433749987">
      <w:bodyDiv w:val="1"/>
      <w:marLeft w:val="0"/>
      <w:marRight w:val="0"/>
      <w:marTop w:val="0"/>
      <w:marBottom w:val="0"/>
      <w:divBdr>
        <w:top w:val="none" w:sz="0" w:space="0" w:color="auto"/>
        <w:left w:val="none" w:sz="0" w:space="0" w:color="auto"/>
        <w:bottom w:val="none" w:sz="0" w:space="0" w:color="auto"/>
        <w:right w:val="none" w:sz="0" w:space="0" w:color="auto"/>
      </w:divBdr>
    </w:div>
    <w:div w:id="434635895">
      <w:bodyDiv w:val="1"/>
      <w:marLeft w:val="0"/>
      <w:marRight w:val="0"/>
      <w:marTop w:val="0"/>
      <w:marBottom w:val="0"/>
      <w:divBdr>
        <w:top w:val="none" w:sz="0" w:space="0" w:color="auto"/>
        <w:left w:val="none" w:sz="0" w:space="0" w:color="auto"/>
        <w:bottom w:val="none" w:sz="0" w:space="0" w:color="auto"/>
        <w:right w:val="none" w:sz="0" w:space="0" w:color="auto"/>
      </w:divBdr>
    </w:div>
    <w:div w:id="435251592">
      <w:bodyDiv w:val="1"/>
      <w:marLeft w:val="0"/>
      <w:marRight w:val="0"/>
      <w:marTop w:val="0"/>
      <w:marBottom w:val="0"/>
      <w:divBdr>
        <w:top w:val="none" w:sz="0" w:space="0" w:color="auto"/>
        <w:left w:val="none" w:sz="0" w:space="0" w:color="auto"/>
        <w:bottom w:val="none" w:sz="0" w:space="0" w:color="auto"/>
        <w:right w:val="none" w:sz="0" w:space="0" w:color="auto"/>
      </w:divBdr>
    </w:div>
    <w:div w:id="435636897">
      <w:bodyDiv w:val="1"/>
      <w:marLeft w:val="0"/>
      <w:marRight w:val="0"/>
      <w:marTop w:val="0"/>
      <w:marBottom w:val="0"/>
      <w:divBdr>
        <w:top w:val="none" w:sz="0" w:space="0" w:color="auto"/>
        <w:left w:val="none" w:sz="0" w:space="0" w:color="auto"/>
        <w:bottom w:val="none" w:sz="0" w:space="0" w:color="auto"/>
        <w:right w:val="none" w:sz="0" w:space="0" w:color="auto"/>
      </w:divBdr>
    </w:div>
    <w:div w:id="436871694">
      <w:bodyDiv w:val="1"/>
      <w:marLeft w:val="0"/>
      <w:marRight w:val="0"/>
      <w:marTop w:val="0"/>
      <w:marBottom w:val="0"/>
      <w:divBdr>
        <w:top w:val="none" w:sz="0" w:space="0" w:color="auto"/>
        <w:left w:val="none" w:sz="0" w:space="0" w:color="auto"/>
        <w:bottom w:val="none" w:sz="0" w:space="0" w:color="auto"/>
        <w:right w:val="none" w:sz="0" w:space="0" w:color="auto"/>
      </w:divBdr>
    </w:div>
    <w:div w:id="437523695">
      <w:bodyDiv w:val="1"/>
      <w:marLeft w:val="0"/>
      <w:marRight w:val="0"/>
      <w:marTop w:val="0"/>
      <w:marBottom w:val="0"/>
      <w:divBdr>
        <w:top w:val="none" w:sz="0" w:space="0" w:color="auto"/>
        <w:left w:val="none" w:sz="0" w:space="0" w:color="auto"/>
        <w:bottom w:val="none" w:sz="0" w:space="0" w:color="auto"/>
        <w:right w:val="none" w:sz="0" w:space="0" w:color="auto"/>
      </w:divBdr>
    </w:div>
    <w:div w:id="438379135">
      <w:bodyDiv w:val="1"/>
      <w:marLeft w:val="0"/>
      <w:marRight w:val="0"/>
      <w:marTop w:val="0"/>
      <w:marBottom w:val="0"/>
      <w:divBdr>
        <w:top w:val="none" w:sz="0" w:space="0" w:color="auto"/>
        <w:left w:val="none" w:sz="0" w:space="0" w:color="auto"/>
        <w:bottom w:val="none" w:sz="0" w:space="0" w:color="auto"/>
        <w:right w:val="none" w:sz="0" w:space="0" w:color="auto"/>
      </w:divBdr>
    </w:div>
    <w:div w:id="439372988">
      <w:bodyDiv w:val="1"/>
      <w:marLeft w:val="0"/>
      <w:marRight w:val="0"/>
      <w:marTop w:val="0"/>
      <w:marBottom w:val="0"/>
      <w:divBdr>
        <w:top w:val="none" w:sz="0" w:space="0" w:color="auto"/>
        <w:left w:val="none" w:sz="0" w:space="0" w:color="auto"/>
        <w:bottom w:val="none" w:sz="0" w:space="0" w:color="auto"/>
        <w:right w:val="none" w:sz="0" w:space="0" w:color="auto"/>
      </w:divBdr>
    </w:div>
    <w:div w:id="439690740">
      <w:bodyDiv w:val="1"/>
      <w:marLeft w:val="0"/>
      <w:marRight w:val="0"/>
      <w:marTop w:val="0"/>
      <w:marBottom w:val="0"/>
      <w:divBdr>
        <w:top w:val="none" w:sz="0" w:space="0" w:color="auto"/>
        <w:left w:val="none" w:sz="0" w:space="0" w:color="auto"/>
        <w:bottom w:val="none" w:sz="0" w:space="0" w:color="auto"/>
        <w:right w:val="none" w:sz="0" w:space="0" w:color="auto"/>
      </w:divBdr>
    </w:div>
    <w:div w:id="439953672">
      <w:bodyDiv w:val="1"/>
      <w:marLeft w:val="0"/>
      <w:marRight w:val="0"/>
      <w:marTop w:val="0"/>
      <w:marBottom w:val="0"/>
      <w:divBdr>
        <w:top w:val="none" w:sz="0" w:space="0" w:color="auto"/>
        <w:left w:val="none" w:sz="0" w:space="0" w:color="auto"/>
        <w:bottom w:val="none" w:sz="0" w:space="0" w:color="auto"/>
        <w:right w:val="none" w:sz="0" w:space="0" w:color="auto"/>
      </w:divBdr>
    </w:div>
    <w:div w:id="441002353">
      <w:bodyDiv w:val="1"/>
      <w:marLeft w:val="0"/>
      <w:marRight w:val="0"/>
      <w:marTop w:val="0"/>
      <w:marBottom w:val="0"/>
      <w:divBdr>
        <w:top w:val="none" w:sz="0" w:space="0" w:color="auto"/>
        <w:left w:val="none" w:sz="0" w:space="0" w:color="auto"/>
        <w:bottom w:val="none" w:sz="0" w:space="0" w:color="auto"/>
        <w:right w:val="none" w:sz="0" w:space="0" w:color="auto"/>
      </w:divBdr>
    </w:div>
    <w:div w:id="441653030">
      <w:bodyDiv w:val="1"/>
      <w:marLeft w:val="0"/>
      <w:marRight w:val="0"/>
      <w:marTop w:val="0"/>
      <w:marBottom w:val="0"/>
      <w:divBdr>
        <w:top w:val="none" w:sz="0" w:space="0" w:color="auto"/>
        <w:left w:val="none" w:sz="0" w:space="0" w:color="auto"/>
        <w:bottom w:val="none" w:sz="0" w:space="0" w:color="auto"/>
        <w:right w:val="none" w:sz="0" w:space="0" w:color="auto"/>
      </w:divBdr>
    </w:div>
    <w:div w:id="442649489">
      <w:bodyDiv w:val="1"/>
      <w:marLeft w:val="0"/>
      <w:marRight w:val="0"/>
      <w:marTop w:val="0"/>
      <w:marBottom w:val="0"/>
      <w:divBdr>
        <w:top w:val="none" w:sz="0" w:space="0" w:color="auto"/>
        <w:left w:val="none" w:sz="0" w:space="0" w:color="auto"/>
        <w:bottom w:val="none" w:sz="0" w:space="0" w:color="auto"/>
        <w:right w:val="none" w:sz="0" w:space="0" w:color="auto"/>
      </w:divBdr>
    </w:div>
    <w:div w:id="442650544">
      <w:bodyDiv w:val="1"/>
      <w:marLeft w:val="0"/>
      <w:marRight w:val="0"/>
      <w:marTop w:val="0"/>
      <w:marBottom w:val="0"/>
      <w:divBdr>
        <w:top w:val="none" w:sz="0" w:space="0" w:color="auto"/>
        <w:left w:val="none" w:sz="0" w:space="0" w:color="auto"/>
        <w:bottom w:val="none" w:sz="0" w:space="0" w:color="auto"/>
        <w:right w:val="none" w:sz="0" w:space="0" w:color="auto"/>
      </w:divBdr>
    </w:div>
    <w:div w:id="442965268">
      <w:bodyDiv w:val="1"/>
      <w:marLeft w:val="0"/>
      <w:marRight w:val="0"/>
      <w:marTop w:val="0"/>
      <w:marBottom w:val="0"/>
      <w:divBdr>
        <w:top w:val="none" w:sz="0" w:space="0" w:color="auto"/>
        <w:left w:val="none" w:sz="0" w:space="0" w:color="auto"/>
        <w:bottom w:val="none" w:sz="0" w:space="0" w:color="auto"/>
        <w:right w:val="none" w:sz="0" w:space="0" w:color="auto"/>
      </w:divBdr>
    </w:div>
    <w:div w:id="443498658">
      <w:bodyDiv w:val="1"/>
      <w:marLeft w:val="0"/>
      <w:marRight w:val="0"/>
      <w:marTop w:val="0"/>
      <w:marBottom w:val="0"/>
      <w:divBdr>
        <w:top w:val="none" w:sz="0" w:space="0" w:color="auto"/>
        <w:left w:val="none" w:sz="0" w:space="0" w:color="auto"/>
        <w:bottom w:val="none" w:sz="0" w:space="0" w:color="auto"/>
        <w:right w:val="none" w:sz="0" w:space="0" w:color="auto"/>
      </w:divBdr>
    </w:div>
    <w:div w:id="443840556">
      <w:bodyDiv w:val="1"/>
      <w:marLeft w:val="0"/>
      <w:marRight w:val="0"/>
      <w:marTop w:val="0"/>
      <w:marBottom w:val="0"/>
      <w:divBdr>
        <w:top w:val="none" w:sz="0" w:space="0" w:color="auto"/>
        <w:left w:val="none" w:sz="0" w:space="0" w:color="auto"/>
        <w:bottom w:val="none" w:sz="0" w:space="0" w:color="auto"/>
        <w:right w:val="none" w:sz="0" w:space="0" w:color="auto"/>
      </w:divBdr>
    </w:div>
    <w:div w:id="443966734">
      <w:bodyDiv w:val="1"/>
      <w:marLeft w:val="0"/>
      <w:marRight w:val="0"/>
      <w:marTop w:val="0"/>
      <w:marBottom w:val="0"/>
      <w:divBdr>
        <w:top w:val="none" w:sz="0" w:space="0" w:color="auto"/>
        <w:left w:val="none" w:sz="0" w:space="0" w:color="auto"/>
        <w:bottom w:val="none" w:sz="0" w:space="0" w:color="auto"/>
        <w:right w:val="none" w:sz="0" w:space="0" w:color="auto"/>
      </w:divBdr>
    </w:div>
    <w:div w:id="446314202">
      <w:bodyDiv w:val="1"/>
      <w:marLeft w:val="0"/>
      <w:marRight w:val="0"/>
      <w:marTop w:val="0"/>
      <w:marBottom w:val="0"/>
      <w:divBdr>
        <w:top w:val="none" w:sz="0" w:space="0" w:color="auto"/>
        <w:left w:val="none" w:sz="0" w:space="0" w:color="auto"/>
        <w:bottom w:val="none" w:sz="0" w:space="0" w:color="auto"/>
        <w:right w:val="none" w:sz="0" w:space="0" w:color="auto"/>
      </w:divBdr>
    </w:div>
    <w:div w:id="446967721">
      <w:bodyDiv w:val="1"/>
      <w:marLeft w:val="0"/>
      <w:marRight w:val="0"/>
      <w:marTop w:val="0"/>
      <w:marBottom w:val="0"/>
      <w:divBdr>
        <w:top w:val="none" w:sz="0" w:space="0" w:color="auto"/>
        <w:left w:val="none" w:sz="0" w:space="0" w:color="auto"/>
        <w:bottom w:val="none" w:sz="0" w:space="0" w:color="auto"/>
        <w:right w:val="none" w:sz="0" w:space="0" w:color="auto"/>
      </w:divBdr>
    </w:div>
    <w:div w:id="447241302">
      <w:bodyDiv w:val="1"/>
      <w:marLeft w:val="0"/>
      <w:marRight w:val="0"/>
      <w:marTop w:val="0"/>
      <w:marBottom w:val="0"/>
      <w:divBdr>
        <w:top w:val="none" w:sz="0" w:space="0" w:color="auto"/>
        <w:left w:val="none" w:sz="0" w:space="0" w:color="auto"/>
        <w:bottom w:val="none" w:sz="0" w:space="0" w:color="auto"/>
        <w:right w:val="none" w:sz="0" w:space="0" w:color="auto"/>
      </w:divBdr>
    </w:div>
    <w:div w:id="447435929">
      <w:bodyDiv w:val="1"/>
      <w:marLeft w:val="0"/>
      <w:marRight w:val="0"/>
      <w:marTop w:val="0"/>
      <w:marBottom w:val="0"/>
      <w:divBdr>
        <w:top w:val="none" w:sz="0" w:space="0" w:color="auto"/>
        <w:left w:val="none" w:sz="0" w:space="0" w:color="auto"/>
        <w:bottom w:val="none" w:sz="0" w:space="0" w:color="auto"/>
        <w:right w:val="none" w:sz="0" w:space="0" w:color="auto"/>
      </w:divBdr>
    </w:div>
    <w:div w:id="448475564">
      <w:bodyDiv w:val="1"/>
      <w:marLeft w:val="0"/>
      <w:marRight w:val="0"/>
      <w:marTop w:val="0"/>
      <w:marBottom w:val="0"/>
      <w:divBdr>
        <w:top w:val="none" w:sz="0" w:space="0" w:color="auto"/>
        <w:left w:val="none" w:sz="0" w:space="0" w:color="auto"/>
        <w:bottom w:val="none" w:sz="0" w:space="0" w:color="auto"/>
        <w:right w:val="none" w:sz="0" w:space="0" w:color="auto"/>
      </w:divBdr>
    </w:div>
    <w:div w:id="449084003">
      <w:bodyDiv w:val="1"/>
      <w:marLeft w:val="0"/>
      <w:marRight w:val="0"/>
      <w:marTop w:val="0"/>
      <w:marBottom w:val="0"/>
      <w:divBdr>
        <w:top w:val="none" w:sz="0" w:space="0" w:color="auto"/>
        <w:left w:val="none" w:sz="0" w:space="0" w:color="auto"/>
        <w:bottom w:val="none" w:sz="0" w:space="0" w:color="auto"/>
        <w:right w:val="none" w:sz="0" w:space="0" w:color="auto"/>
      </w:divBdr>
    </w:div>
    <w:div w:id="449395715">
      <w:bodyDiv w:val="1"/>
      <w:marLeft w:val="0"/>
      <w:marRight w:val="0"/>
      <w:marTop w:val="0"/>
      <w:marBottom w:val="0"/>
      <w:divBdr>
        <w:top w:val="none" w:sz="0" w:space="0" w:color="auto"/>
        <w:left w:val="none" w:sz="0" w:space="0" w:color="auto"/>
        <w:bottom w:val="none" w:sz="0" w:space="0" w:color="auto"/>
        <w:right w:val="none" w:sz="0" w:space="0" w:color="auto"/>
      </w:divBdr>
    </w:div>
    <w:div w:id="449403015">
      <w:bodyDiv w:val="1"/>
      <w:marLeft w:val="0"/>
      <w:marRight w:val="0"/>
      <w:marTop w:val="0"/>
      <w:marBottom w:val="0"/>
      <w:divBdr>
        <w:top w:val="none" w:sz="0" w:space="0" w:color="auto"/>
        <w:left w:val="none" w:sz="0" w:space="0" w:color="auto"/>
        <w:bottom w:val="none" w:sz="0" w:space="0" w:color="auto"/>
        <w:right w:val="none" w:sz="0" w:space="0" w:color="auto"/>
      </w:divBdr>
    </w:div>
    <w:div w:id="449514627">
      <w:bodyDiv w:val="1"/>
      <w:marLeft w:val="0"/>
      <w:marRight w:val="0"/>
      <w:marTop w:val="0"/>
      <w:marBottom w:val="0"/>
      <w:divBdr>
        <w:top w:val="none" w:sz="0" w:space="0" w:color="auto"/>
        <w:left w:val="none" w:sz="0" w:space="0" w:color="auto"/>
        <w:bottom w:val="none" w:sz="0" w:space="0" w:color="auto"/>
        <w:right w:val="none" w:sz="0" w:space="0" w:color="auto"/>
      </w:divBdr>
    </w:div>
    <w:div w:id="450169514">
      <w:bodyDiv w:val="1"/>
      <w:marLeft w:val="0"/>
      <w:marRight w:val="0"/>
      <w:marTop w:val="0"/>
      <w:marBottom w:val="0"/>
      <w:divBdr>
        <w:top w:val="none" w:sz="0" w:space="0" w:color="auto"/>
        <w:left w:val="none" w:sz="0" w:space="0" w:color="auto"/>
        <w:bottom w:val="none" w:sz="0" w:space="0" w:color="auto"/>
        <w:right w:val="none" w:sz="0" w:space="0" w:color="auto"/>
      </w:divBdr>
    </w:div>
    <w:div w:id="450442376">
      <w:bodyDiv w:val="1"/>
      <w:marLeft w:val="0"/>
      <w:marRight w:val="0"/>
      <w:marTop w:val="0"/>
      <w:marBottom w:val="0"/>
      <w:divBdr>
        <w:top w:val="none" w:sz="0" w:space="0" w:color="auto"/>
        <w:left w:val="none" w:sz="0" w:space="0" w:color="auto"/>
        <w:bottom w:val="none" w:sz="0" w:space="0" w:color="auto"/>
        <w:right w:val="none" w:sz="0" w:space="0" w:color="auto"/>
      </w:divBdr>
    </w:div>
    <w:div w:id="450513242">
      <w:bodyDiv w:val="1"/>
      <w:marLeft w:val="0"/>
      <w:marRight w:val="0"/>
      <w:marTop w:val="0"/>
      <w:marBottom w:val="0"/>
      <w:divBdr>
        <w:top w:val="none" w:sz="0" w:space="0" w:color="auto"/>
        <w:left w:val="none" w:sz="0" w:space="0" w:color="auto"/>
        <w:bottom w:val="none" w:sz="0" w:space="0" w:color="auto"/>
        <w:right w:val="none" w:sz="0" w:space="0" w:color="auto"/>
      </w:divBdr>
    </w:div>
    <w:div w:id="450901037">
      <w:bodyDiv w:val="1"/>
      <w:marLeft w:val="0"/>
      <w:marRight w:val="0"/>
      <w:marTop w:val="0"/>
      <w:marBottom w:val="0"/>
      <w:divBdr>
        <w:top w:val="none" w:sz="0" w:space="0" w:color="auto"/>
        <w:left w:val="none" w:sz="0" w:space="0" w:color="auto"/>
        <w:bottom w:val="none" w:sz="0" w:space="0" w:color="auto"/>
        <w:right w:val="none" w:sz="0" w:space="0" w:color="auto"/>
      </w:divBdr>
    </w:div>
    <w:div w:id="451554500">
      <w:bodyDiv w:val="1"/>
      <w:marLeft w:val="0"/>
      <w:marRight w:val="0"/>
      <w:marTop w:val="0"/>
      <w:marBottom w:val="0"/>
      <w:divBdr>
        <w:top w:val="none" w:sz="0" w:space="0" w:color="auto"/>
        <w:left w:val="none" w:sz="0" w:space="0" w:color="auto"/>
        <w:bottom w:val="none" w:sz="0" w:space="0" w:color="auto"/>
        <w:right w:val="none" w:sz="0" w:space="0" w:color="auto"/>
      </w:divBdr>
    </w:div>
    <w:div w:id="452023326">
      <w:bodyDiv w:val="1"/>
      <w:marLeft w:val="0"/>
      <w:marRight w:val="0"/>
      <w:marTop w:val="0"/>
      <w:marBottom w:val="0"/>
      <w:divBdr>
        <w:top w:val="none" w:sz="0" w:space="0" w:color="auto"/>
        <w:left w:val="none" w:sz="0" w:space="0" w:color="auto"/>
        <w:bottom w:val="none" w:sz="0" w:space="0" w:color="auto"/>
        <w:right w:val="none" w:sz="0" w:space="0" w:color="auto"/>
      </w:divBdr>
    </w:div>
    <w:div w:id="452402205">
      <w:bodyDiv w:val="1"/>
      <w:marLeft w:val="0"/>
      <w:marRight w:val="0"/>
      <w:marTop w:val="0"/>
      <w:marBottom w:val="0"/>
      <w:divBdr>
        <w:top w:val="none" w:sz="0" w:space="0" w:color="auto"/>
        <w:left w:val="none" w:sz="0" w:space="0" w:color="auto"/>
        <w:bottom w:val="none" w:sz="0" w:space="0" w:color="auto"/>
        <w:right w:val="none" w:sz="0" w:space="0" w:color="auto"/>
      </w:divBdr>
    </w:div>
    <w:div w:id="452408591">
      <w:bodyDiv w:val="1"/>
      <w:marLeft w:val="0"/>
      <w:marRight w:val="0"/>
      <w:marTop w:val="0"/>
      <w:marBottom w:val="0"/>
      <w:divBdr>
        <w:top w:val="none" w:sz="0" w:space="0" w:color="auto"/>
        <w:left w:val="none" w:sz="0" w:space="0" w:color="auto"/>
        <w:bottom w:val="none" w:sz="0" w:space="0" w:color="auto"/>
        <w:right w:val="none" w:sz="0" w:space="0" w:color="auto"/>
      </w:divBdr>
    </w:div>
    <w:div w:id="452676693">
      <w:bodyDiv w:val="1"/>
      <w:marLeft w:val="0"/>
      <w:marRight w:val="0"/>
      <w:marTop w:val="0"/>
      <w:marBottom w:val="0"/>
      <w:divBdr>
        <w:top w:val="none" w:sz="0" w:space="0" w:color="auto"/>
        <w:left w:val="none" w:sz="0" w:space="0" w:color="auto"/>
        <w:bottom w:val="none" w:sz="0" w:space="0" w:color="auto"/>
        <w:right w:val="none" w:sz="0" w:space="0" w:color="auto"/>
      </w:divBdr>
    </w:div>
    <w:div w:id="452944669">
      <w:bodyDiv w:val="1"/>
      <w:marLeft w:val="0"/>
      <w:marRight w:val="0"/>
      <w:marTop w:val="0"/>
      <w:marBottom w:val="0"/>
      <w:divBdr>
        <w:top w:val="none" w:sz="0" w:space="0" w:color="auto"/>
        <w:left w:val="none" w:sz="0" w:space="0" w:color="auto"/>
        <w:bottom w:val="none" w:sz="0" w:space="0" w:color="auto"/>
        <w:right w:val="none" w:sz="0" w:space="0" w:color="auto"/>
      </w:divBdr>
    </w:div>
    <w:div w:id="453333782">
      <w:bodyDiv w:val="1"/>
      <w:marLeft w:val="0"/>
      <w:marRight w:val="0"/>
      <w:marTop w:val="0"/>
      <w:marBottom w:val="0"/>
      <w:divBdr>
        <w:top w:val="none" w:sz="0" w:space="0" w:color="auto"/>
        <w:left w:val="none" w:sz="0" w:space="0" w:color="auto"/>
        <w:bottom w:val="none" w:sz="0" w:space="0" w:color="auto"/>
        <w:right w:val="none" w:sz="0" w:space="0" w:color="auto"/>
      </w:divBdr>
    </w:div>
    <w:div w:id="454061277">
      <w:bodyDiv w:val="1"/>
      <w:marLeft w:val="0"/>
      <w:marRight w:val="0"/>
      <w:marTop w:val="0"/>
      <w:marBottom w:val="0"/>
      <w:divBdr>
        <w:top w:val="none" w:sz="0" w:space="0" w:color="auto"/>
        <w:left w:val="none" w:sz="0" w:space="0" w:color="auto"/>
        <w:bottom w:val="none" w:sz="0" w:space="0" w:color="auto"/>
        <w:right w:val="none" w:sz="0" w:space="0" w:color="auto"/>
      </w:divBdr>
    </w:div>
    <w:div w:id="455105311">
      <w:bodyDiv w:val="1"/>
      <w:marLeft w:val="0"/>
      <w:marRight w:val="0"/>
      <w:marTop w:val="0"/>
      <w:marBottom w:val="0"/>
      <w:divBdr>
        <w:top w:val="none" w:sz="0" w:space="0" w:color="auto"/>
        <w:left w:val="none" w:sz="0" w:space="0" w:color="auto"/>
        <w:bottom w:val="none" w:sz="0" w:space="0" w:color="auto"/>
        <w:right w:val="none" w:sz="0" w:space="0" w:color="auto"/>
      </w:divBdr>
    </w:div>
    <w:div w:id="455296739">
      <w:bodyDiv w:val="1"/>
      <w:marLeft w:val="0"/>
      <w:marRight w:val="0"/>
      <w:marTop w:val="0"/>
      <w:marBottom w:val="0"/>
      <w:divBdr>
        <w:top w:val="none" w:sz="0" w:space="0" w:color="auto"/>
        <w:left w:val="none" w:sz="0" w:space="0" w:color="auto"/>
        <w:bottom w:val="none" w:sz="0" w:space="0" w:color="auto"/>
        <w:right w:val="none" w:sz="0" w:space="0" w:color="auto"/>
      </w:divBdr>
    </w:div>
    <w:div w:id="456148966">
      <w:bodyDiv w:val="1"/>
      <w:marLeft w:val="0"/>
      <w:marRight w:val="0"/>
      <w:marTop w:val="0"/>
      <w:marBottom w:val="0"/>
      <w:divBdr>
        <w:top w:val="none" w:sz="0" w:space="0" w:color="auto"/>
        <w:left w:val="none" w:sz="0" w:space="0" w:color="auto"/>
        <w:bottom w:val="none" w:sz="0" w:space="0" w:color="auto"/>
        <w:right w:val="none" w:sz="0" w:space="0" w:color="auto"/>
      </w:divBdr>
      <w:divsChild>
        <w:div w:id="1649632467">
          <w:marLeft w:val="0"/>
          <w:marRight w:val="0"/>
          <w:marTop w:val="0"/>
          <w:marBottom w:val="0"/>
          <w:divBdr>
            <w:top w:val="none" w:sz="0" w:space="0" w:color="auto"/>
            <w:left w:val="none" w:sz="0" w:space="0" w:color="auto"/>
            <w:bottom w:val="none" w:sz="0" w:space="0" w:color="auto"/>
            <w:right w:val="none" w:sz="0" w:space="0" w:color="auto"/>
          </w:divBdr>
        </w:div>
      </w:divsChild>
    </w:div>
    <w:div w:id="457185427">
      <w:bodyDiv w:val="1"/>
      <w:marLeft w:val="0"/>
      <w:marRight w:val="0"/>
      <w:marTop w:val="0"/>
      <w:marBottom w:val="0"/>
      <w:divBdr>
        <w:top w:val="none" w:sz="0" w:space="0" w:color="auto"/>
        <w:left w:val="none" w:sz="0" w:space="0" w:color="auto"/>
        <w:bottom w:val="none" w:sz="0" w:space="0" w:color="auto"/>
        <w:right w:val="none" w:sz="0" w:space="0" w:color="auto"/>
      </w:divBdr>
    </w:div>
    <w:div w:id="457384577">
      <w:bodyDiv w:val="1"/>
      <w:marLeft w:val="0"/>
      <w:marRight w:val="0"/>
      <w:marTop w:val="0"/>
      <w:marBottom w:val="0"/>
      <w:divBdr>
        <w:top w:val="none" w:sz="0" w:space="0" w:color="auto"/>
        <w:left w:val="none" w:sz="0" w:space="0" w:color="auto"/>
        <w:bottom w:val="none" w:sz="0" w:space="0" w:color="auto"/>
        <w:right w:val="none" w:sz="0" w:space="0" w:color="auto"/>
      </w:divBdr>
    </w:div>
    <w:div w:id="457721826">
      <w:bodyDiv w:val="1"/>
      <w:marLeft w:val="0"/>
      <w:marRight w:val="0"/>
      <w:marTop w:val="0"/>
      <w:marBottom w:val="0"/>
      <w:divBdr>
        <w:top w:val="none" w:sz="0" w:space="0" w:color="auto"/>
        <w:left w:val="none" w:sz="0" w:space="0" w:color="auto"/>
        <w:bottom w:val="none" w:sz="0" w:space="0" w:color="auto"/>
        <w:right w:val="none" w:sz="0" w:space="0" w:color="auto"/>
      </w:divBdr>
    </w:div>
    <w:div w:id="457799140">
      <w:bodyDiv w:val="1"/>
      <w:marLeft w:val="0"/>
      <w:marRight w:val="0"/>
      <w:marTop w:val="0"/>
      <w:marBottom w:val="0"/>
      <w:divBdr>
        <w:top w:val="none" w:sz="0" w:space="0" w:color="auto"/>
        <w:left w:val="none" w:sz="0" w:space="0" w:color="auto"/>
        <w:bottom w:val="none" w:sz="0" w:space="0" w:color="auto"/>
        <w:right w:val="none" w:sz="0" w:space="0" w:color="auto"/>
      </w:divBdr>
    </w:div>
    <w:div w:id="458300881">
      <w:bodyDiv w:val="1"/>
      <w:marLeft w:val="0"/>
      <w:marRight w:val="0"/>
      <w:marTop w:val="0"/>
      <w:marBottom w:val="0"/>
      <w:divBdr>
        <w:top w:val="none" w:sz="0" w:space="0" w:color="auto"/>
        <w:left w:val="none" w:sz="0" w:space="0" w:color="auto"/>
        <w:bottom w:val="none" w:sz="0" w:space="0" w:color="auto"/>
        <w:right w:val="none" w:sz="0" w:space="0" w:color="auto"/>
      </w:divBdr>
    </w:div>
    <w:div w:id="458886980">
      <w:bodyDiv w:val="1"/>
      <w:marLeft w:val="0"/>
      <w:marRight w:val="0"/>
      <w:marTop w:val="0"/>
      <w:marBottom w:val="0"/>
      <w:divBdr>
        <w:top w:val="none" w:sz="0" w:space="0" w:color="auto"/>
        <w:left w:val="none" w:sz="0" w:space="0" w:color="auto"/>
        <w:bottom w:val="none" w:sz="0" w:space="0" w:color="auto"/>
        <w:right w:val="none" w:sz="0" w:space="0" w:color="auto"/>
      </w:divBdr>
    </w:div>
    <w:div w:id="459346331">
      <w:bodyDiv w:val="1"/>
      <w:marLeft w:val="0"/>
      <w:marRight w:val="0"/>
      <w:marTop w:val="0"/>
      <w:marBottom w:val="0"/>
      <w:divBdr>
        <w:top w:val="none" w:sz="0" w:space="0" w:color="auto"/>
        <w:left w:val="none" w:sz="0" w:space="0" w:color="auto"/>
        <w:bottom w:val="none" w:sz="0" w:space="0" w:color="auto"/>
        <w:right w:val="none" w:sz="0" w:space="0" w:color="auto"/>
      </w:divBdr>
    </w:div>
    <w:div w:id="460080575">
      <w:bodyDiv w:val="1"/>
      <w:marLeft w:val="0"/>
      <w:marRight w:val="0"/>
      <w:marTop w:val="0"/>
      <w:marBottom w:val="0"/>
      <w:divBdr>
        <w:top w:val="none" w:sz="0" w:space="0" w:color="auto"/>
        <w:left w:val="none" w:sz="0" w:space="0" w:color="auto"/>
        <w:bottom w:val="none" w:sz="0" w:space="0" w:color="auto"/>
        <w:right w:val="none" w:sz="0" w:space="0" w:color="auto"/>
      </w:divBdr>
    </w:div>
    <w:div w:id="460880804">
      <w:bodyDiv w:val="1"/>
      <w:marLeft w:val="0"/>
      <w:marRight w:val="0"/>
      <w:marTop w:val="0"/>
      <w:marBottom w:val="0"/>
      <w:divBdr>
        <w:top w:val="none" w:sz="0" w:space="0" w:color="auto"/>
        <w:left w:val="none" w:sz="0" w:space="0" w:color="auto"/>
        <w:bottom w:val="none" w:sz="0" w:space="0" w:color="auto"/>
        <w:right w:val="none" w:sz="0" w:space="0" w:color="auto"/>
      </w:divBdr>
    </w:div>
    <w:div w:id="461191321">
      <w:bodyDiv w:val="1"/>
      <w:marLeft w:val="0"/>
      <w:marRight w:val="0"/>
      <w:marTop w:val="0"/>
      <w:marBottom w:val="0"/>
      <w:divBdr>
        <w:top w:val="none" w:sz="0" w:space="0" w:color="auto"/>
        <w:left w:val="none" w:sz="0" w:space="0" w:color="auto"/>
        <w:bottom w:val="none" w:sz="0" w:space="0" w:color="auto"/>
        <w:right w:val="none" w:sz="0" w:space="0" w:color="auto"/>
      </w:divBdr>
    </w:div>
    <w:div w:id="461264961">
      <w:bodyDiv w:val="1"/>
      <w:marLeft w:val="0"/>
      <w:marRight w:val="0"/>
      <w:marTop w:val="0"/>
      <w:marBottom w:val="0"/>
      <w:divBdr>
        <w:top w:val="none" w:sz="0" w:space="0" w:color="auto"/>
        <w:left w:val="none" w:sz="0" w:space="0" w:color="auto"/>
        <w:bottom w:val="none" w:sz="0" w:space="0" w:color="auto"/>
        <w:right w:val="none" w:sz="0" w:space="0" w:color="auto"/>
      </w:divBdr>
    </w:div>
    <w:div w:id="461384239">
      <w:bodyDiv w:val="1"/>
      <w:marLeft w:val="0"/>
      <w:marRight w:val="0"/>
      <w:marTop w:val="0"/>
      <w:marBottom w:val="0"/>
      <w:divBdr>
        <w:top w:val="none" w:sz="0" w:space="0" w:color="auto"/>
        <w:left w:val="none" w:sz="0" w:space="0" w:color="auto"/>
        <w:bottom w:val="none" w:sz="0" w:space="0" w:color="auto"/>
        <w:right w:val="none" w:sz="0" w:space="0" w:color="auto"/>
      </w:divBdr>
    </w:div>
    <w:div w:id="461927106">
      <w:bodyDiv w:val="1"/>
      <w:marLeft w:val="0"/>
      <w:marRight w:val="0"/>
      <w:marTop w:val="0"/>
      <w:marBottom w:val="0"/>
      <w:divBdr>
        <w:top w:val="none" w:sz="0" w:space="0" w:color="auto"/>
        <w:left w:val="none" w:sz="0" w:space="0" w:color="auto"/>
        <w:bottom w:val="none" w:sz="0" w:space="0" w:color="auto"/>
        <w:right w:val="none" w:sz="0" w:space="0" w:color="auto"/>
      </w:divBdr>
    </w:div>
    <w:div w:id="462967312">
      <w:bodyDiv w:val="1"/>
      <w:marLeft w:val="0"/>
      <w:marRight w:val="0"/>
      <w:marTop w:val="0"/>
      <w:marBottom w:val="0"/>
      <w:divBdr>
        <w:top w:val="none" w:sz="0" w:space="0" w:color="auto"/>
        <w:left w:val="none" w:sz="0" w:space="0" w:color="auto"/>
        <w:bottom w:val="none" w:sz="0" w:space="0" w:color="auto"/>
        <w:right w:val="none" w:sz="0" w:space="0" w:color="auto"/>
      </w:divBdr>
    </w:div>
    <w:div w:id="464010792">
      <w:bodyDiv w:val="1"/>
      <w:marLeft w:val="0"/>
      <w:marRight w:val="0"/>
      <w:marTop w:val="0"/>
      <w:marBottom w:val="0"/>
      <w:divBdr>
        <w:top w:val="none" w:sz="0" w:space="0" w:color="auto"/>
        <w:left w:val="none" w:sz="0" w:space="0" w:color="auto"/>
        <w:bottom w:val="none" w:sz="0" w:space="0" w:color="auto"/>
        <w:right w:val="none" w:sz="0" w:space="0" w:color="auto"/>
      </w:divBdr>
    </w:div>
    <w:div w:id="464279813">
      <w:bodyDiv w:val="1"/>
      <w:marLeft w:val="0"/>
      <w:marRight w:val="0"/>
      <w:marTop w:val="0"/>
      <w:marBottom w:val="0"/>
      <w:divBdr>
        <w:top w:val="none" w:sz="0" w:space="0" w:color="auto"/>
        <w:left w:val="none" w:sz="0" w:space="0" w:color="auto"/>
        <w:bottom w:val="none" w:sz="0" w:space="0" w:color="auto"/>
        <w:right w:val="none" w:sz="0" w:space="0" w:color="auto"/>
      </w:divBdr>
    </w:div>
    <w:div w:id="464349927">
      <w:bodyDiv w:val="1"/>
      <w:marLeft w:val="0"/>
      <w:marRight w:val="0"/>
      <w:marTop w:val="0"/>
      <w:marBottom w:val="0"/>
      <w:divBdr>
        <w:top w:val="none" w:sz="0" w:space="0" w:color="auto"/>
        <w:left w:val="none" w:sz="0" w:space="0" w:color="auto"/>
        <w:bottom w:val="none" w:sz="0" w:space="0" w:color="auto"/>
        <w:right w:val="none" w:sz="0" w:space="0" w:color="auto"/>
      </w:divBdr>
    </w:div>
    <w:div w:id="464540277">
      <w:bodyDiv w:val="1"/>
      <w:marLeft w:val="0"/>
      <w:marRight w:val="0"/>
      <w:marTop w:val="0"/>
      <w:marBottom w:val="0"/>
      <w:divBdr>
        <w:top w:val="none" w:sz="0" w:space="0" w:color="auto"/>
        <w:left w:val="none" w:sz="0" w:space="0" w:color="auto"/>
        <w:bottom w:val="none" w:sz="0" w:space="0" w:color="auto"/>
        <w:right w:val="none" w:sz="0" w:space="0" w:color="auto"/>
      </w:divBdr>
    </w:div>
    <w:div w:id="464615655">
      <w:bodyDiv w:val="1"/>
      <w:marLeft w:val="0"/>
      <w:marRight w:val="0"/>
      <w:marTop w:val="0"/>
      <w:marBottom w:val="0"/>
      <w:divBdr>
        <w:top w:val="none" w:sz="0" w:space="0" w:color="auto"/>
        <w:left w:val="none" w:sz="0" w:space="0" w:color="auto"/>
        <w:bottom w:val="none" w:sz="0" w:space="0" w:color="auto"/>
        <w:right w:val="none" w:sz="0" w:space="0" w:color="auto"/>
      </w:divBdr>
    </w:div>
    <w:div w:id="465247875">
      <w:bodyDiv w:val="1"/>
      <w:marLeft w:val="0"/>
      <w:marRight w:val="0"/>
      <w:marTop w:val="0"/>
      <w:marBottom w:val="0"/>
      <w:divBdr>
        <w:top w:val="none" w:sz="0" w:space="0" w:color="auto"/>
        <w:left w:val="none" w:sz="0" w:space="0" w:color="auto"/>
        <w:bottom w:val="none" w:sz="0" w:space="0" w:color="auto"/>
        <w:right w:val="none" w:sz="0" w:space="0" w:color="auto"/>
      </w:divBdr>
    </w:div>
    <w:div w:id="465397638">
      <w:bodyDiv w:val="1"/>
      <w:marLeft w:val="0"/>
      <w:marRight w:val="0"/>
      <w:marTop w:val="0"/>
      <w:marBottom w:val="0"/>
      <w:divBdr>
        <w:top w:val="none" w:sz="0" w:space="0" w:color="auto"/>
        <w:left w:val="none" w:sz="0" w:space="0" w:color="auto"/>
        <w:bottom w:val="none" w:sz="0" w:space="0" w:color="auto"/>
        <w:right w:val="none" w:sz="0" w:space="0" w:color="auto"/>
      </w:divBdr>
    </w:div>
    <w:div w:id="466170298">
      <w:bodyDiv w:val="1"/>
      <w:marLeft w:val="0"/>
      <w:marRight w:val="0"/>
      <w:marTop w:val="0"/>
      <w:marBottom w:val="0"/>
      <w:divBdr>
        <w:top w:val="none" w:sz="0" w:space="0" w:color="auto"/>
        <w:left w:val="none" w:sz="0" w:space="0" w:color="auto"/>
        <w:bottom w:val="none" w:sz="0" w:space="0" w:color="auto"/>
        <w:right w:val="none" w:sz="0" w:space="0" w:color="auto"/>
      </w:divBdr>
    </w:div>
    <w:div w:id="466316406">
      <w:bodyDiv w:val="1"/>
      <w:marLeft w:val="0"/>
      <w:marRight w:val="0"/>
      <w:marTop w:val="0"/>
      <w:marBottom w:val="0"/>
      <w:divBdr>
        <w:top w:val="none" w:sz="0" w:space="0" w:color="auto"/>
        <w:left w:val="none" w:sz="0" w:space="0" w:color="auto"/>
        <w:bottom w:val="none" w:sz="0" w:space="0" w:color="auto"/>
        <w:right w:val="none" w:sz="0" w:space="0" w:color="auto"/>
      </w:divBdr>
    </w:div>
    <w:div w:id="466819039">
      <w:bodyDiv w:val="1"/>
      <w:marLeft w:val="0"/>
      <w:marRight w:val="0"/>
      <w:marTop w:val="0"/>
      <w:marBottom w:val="0"/>
      <w:divBdr>
        <w:top w:val="none" w:sz="0" w:space="0" w:color="auto"/>
        <w:left w:val="none" w:sz="0" w:space="0" w:color="auto"/>
        <w:bottom w:val="none" w:sz="0" w:space="0" w:color="auto"/>
        <w:right w:val="none" w:sz="0" w:space="0" w:color="auto"/>
      </w:divBdr>
    </w:div>
    <w:div w:id="467017810">
      <w:bodyDiv w:val="1"/>
      <w:marLeft w:val="0"/>
      <w:marRight w:val="0"/>
      <w:marTop w:val="0"/>
      <w:marBottom w:val="0"/>
      <w:divBdr>
        <w:top w:val="none" w:sz="0" w:space="0" w:color="auto"/>
        <w:left w:val="none" w:sz="0" w:space="0" w:color="auto"/>
        <w:bottom w:val="none" w:sz="0" w:space="0" w:color="auto"/>
        <w:right w:val="none" w:sz="0" w:space="0" w:color="auto"/>
      </w:divBdr>
    </w:div>
    <w:div w:id="467208257">
      <w:bodyDiv w:val="1"/>
      <w:marLeft w:val="0"/>
      <w:marRight w:val="0"/>
      <w:marTop w:val="0"/>
      <w:marBottom w:val="0"/>
      <w:divBdr>
        <w:top w:val="none" w:sz="0" w:space="0" w:color="auto"/>
        <w:left w:val="none" w:sz="0" w:space="0" w:color="auto"/>
        <w:bottom w:val="none" w:sz="0" w:space="0" w:color="auto"/>
        <w:right w:val="none" w:sz="0" w:space="0" w:color="auto"/>
      </w:divBdr>
    </w:div>
    <w:div w:id="467668741">
      <w:bodyDiv w:val="1"/>
      <w:marLeft w:val="0"/>
      <w:marRight w:val="0"/>
      <w:marTop w:val="0"/>
      <w:marBottom w:val="0"/>
      <w:divBdr>
        <w:top w:val="none" w:sz="0" w:space="0" w:color="auto"/>
        <w:left w:val="none" w:sz="0" w:space="0" w:color="auto"/>
        <w:bottom w:val="none" w:sz="0" w:space="0" w:color="auto"/>
        <w:right w:val="none" w:sz="0" w:space="0" w:color="auto"/>
      </w:divBdr>
    </w:div>
    <w:div w:id="467674202">
      <w:bodyDiv w:val="1"/>
      <w:marLeft w:val="0"/>
      <w:marRight w:val="0"/>
      <w:marTop w:val="0"/>
      <w:marBottom w:val="0"/>
      <w:divBdr>
        <w:top w:val="none" w:sz="0" w:space="0" w:color="auto"/>
        <w:left w:val="none" w:sz="0" w:space="0" w:color="auto"/>
        <w:bottom w:val="none" w:sz="0" w:space="0" w:color="auto"/>
        <w:right w:val="none" w:sz="0" w:space="0" w:color="auto"/>
      </w:divBdr>
    </w:div>
    <w:div w:id="468128711">
      <w:bodyDiv w:val="1"/>
      <w:marLeft w:val="0"/>
      <w:marRight w:val="0"/>
      <w:marTop w:val="0"/>
      <w:marBottom w:val="0"/>
      <w:divBdr>
        <w:top w:val="none" w:sz="0" w:space="0" w:color="auto"/>
        <w:left w:val="none" w:sz="0" w:space="0" w:color="auto"/>
        <w:bottom w:val="none" w:sz="0" w:space="0" w:color="auto"/>
        <w:right w:val="none" w:sz="0" w:space="0" w:color="auto"/>
      </w:divBdr>
    </w:div>
    <w:div w:id="468477294">
      <w:bodyDiv w:val="1"/>
      <w:marLeft w:val="0"/>
      <w:marRight w:val="0"/>
      <w:marTop w:val="0"/>
      <w:marBottom w:val="0"/>
      <w:divBdr>
        <w:top w:val="none" w:sz="0" w:space="0" w:color="auto"/>
        <w:left w:val="none" w:sz="0" w:space="0" w:color="auto"/>
        <w:bottom w:val="none" w:sz="0" w:space="0" w:color="auto"/>
        <w:right w:val="none" w:sz="0" w:space="0" w:color="auto"/>
      </w:divBdr>
    </w:div>
    <w:div w:id="468981114">
      <w:bodyDiv w:val="1"/>
      <w:marLeft w:val="0"/>
      <w:marRight w:val="0"/>
      <w:marTop w:val="0"/>
      <w:marBottom w:val="0"/>
      <w:divBdr>
        <w:top w:val="none" w:sz="0" w:space="0" w:color="auto"/>
        <w:left w:val="none" w:sz="0" w:space="0" w:color="auto"/>
        <w:bottom w:val="none" w:sz="0" w:space="0" w:color="auto"/>
        <w:right w:val="none" w:sz="0" w:space="0" w:color="auto"/>
      </w:divBdr>
    </w:div>
    <w:div w:id="468982018">
      <w:bodyDiv w:val="1"/>
      <w:marLeft w:val="0"/>
      <w:marRight w:val="0"/>
      <w:marTop w:val="0"/>
      <w:marBottom w:val="0"/>
      <w:divBdr>
        <w:top w:val="none" w:sz="0" w:space="0" w:color="auto"/>
        <w:left w:val="none" w:sz="0" w:space="0" w:color="auto"/>
        <w:bottom w:val="none" w:sz="0" w:space="0" w:color="auto"/>
        <w:right w:val="none" w:sz="0" w:space="0" w:color="auto"/>
      </w:divBdr>
    </w:div>
    <w:div w:id="470756566">
      <w:bodyDiv w:val="1"/>
      <w:marLeft w:val="0"/>
      <w:marRight w:val="0"/>
      <w:marTop w:val="0"/>
      <w:marBottom w:val="0"/>
      <w:divBdr>
        <w:top w:val="none" w:sz="0" w:space="0" w:color="auto"/>
        <w:left w:val="none" w:sz="0" w:space="0" w:color="auto"/>
        <w:bottom w:val="none" w:sz="0" w:space="0" w:color="auto"/>
        <w:right w:val="none" w:sz="0" w:space="0" w:color="auto"/>
      </w:divBdr>
    </w:div>
    <w:div w:id="471797472">
      <w:bodyDiv w:val="1"/>
      <w:marLeft w:val="0"/>
      <w:marRight w:val="0"/>
      <w:marTop w:val="0"/>
      <w:marBottom w:val="0"/>
      <w:divBdr>
        <w:top w:val="none" w:sz="0" w:space="0" w:color="auto"/>
        <w:left w:val="none" w:sz="0" w:space="0" w:color="auto"/>
        <w:bottom w:val="none" w:sz="0" w:space="0" w:color="auto"/>
        <w:right w:val="none" w:sz="0" w:space="0" w:color="auto"/>
      </w:divBdr>
    </w:div>
    <w:div w:id="472211981">
      <w:bodyDiv w:val="1"/>
      <w:marLeft w:val="0"/>
      <w:marRight w:val="0"/>
      <w:marTop w:val="0"/>
      <w:marBottom w:val="0"/>
      <w:divBdr>
        <w:top w:val="none" w:sz="0" w:space="0" w:color="auto"/>
        <w:left w:val="none" w:sz="0" w:space="0" w:color="auto"/>
        <w:bottom w:val="none" w:sz="0" w:space="0" w:color="auto"/>
        <w:right w:val="none" w:sz="0" w:space="0" w:color="auto"/>
      </w:divBdr>
    </w:div>
    <w:div w:id="472599235">
      <w:bodyDiv w:val="1"/>
      <w:marLeft w:val="0"/>
      <w:marRight w:val="0"/>
      <w:marTop w:val="0"/>
      <w:marBottom w:val="0"/>
      <w:divBdr>
        <w:top w:val="none" w:sz="0" w:space="0" w:color="auto"/>
        <w:left w:val="none" w:sz="0" w:space="0" w:color="auto"/>
        <w:bottom w:val="none" w:sz="0" w:space="0" w:color="auto"/>
        <w:right w:val="none" w:sz="0" w:space="0" w:color="auto"/>
      </w:divBdr>
    </w:div>
    <w:div w:id="472721548">
      <w:bodyDiv w:val="1"/>
      <w:marLeft w:val="0"/>
      <w:marRight w:val="0"/>
      <w:marTop w:val="0"/>
      <w:marBottom w:val="0"/>
      <w:divBdr>
        <w:top w:val="none" w:sz="0" w:space="0" w:color="auto"/>
        <w:left w:val="none" w:sz="0" w:space="0" w:color="auto"/>
        <w:bottom w:val="none" w:sz="0" w:space="0" w:color="auto"/>
        <w:right w:val="none" w:sz="0" w:space="0" w:color="auto"/>
      </w:divBdr>
    </w:div>
    <w:div w:id="472794937">
      <w:bodyDiv w:val="1"/>
      <w:marLeft w:val="0"/>
      <w:marRight w:val="0"/>
      <w:marTop w:val="0"/>
      <w:marBottom w:val="0"/>
      <w:divBdr>
        <w:top w:val="none" w:sz="0" w:space="0" w:color="auto"/>
        <w:left w:val="none" w:sz="0" w:space="0" w:color="auto"/>
        <w:bottom w:val="none" w:sz="0" w:space="0" w:color="auto"/>
        <w:right w:val="none" w:sz="0" w:space="0" w:color="auto"/>
      </w:divBdr>
    </w:div>
    <w:div w:id="472915315">
      <w:bodyDiv w:val="1"/>
      <w:marLeft w:val="0"/>
      <w:marRight w:val="0"/>
      <w:marTop w:val="0"/>
      <w:marBottom w:val="0"/>
      <w:divBdr>
        <w:top w:val="none" w:sz="0" w:space="0" w:color="auto"/>
        <w:left w:val="none" w:sz="0" w:space="0" w:color="auto"/>
        <w:bottom w:val="none" w:sz="0" w:space="0" w:color="auto"/>
        <w:right w:val="none" w:sz="0" w:space="0" w:color="auto"/>
      </w:divBdr>
    </w:div>
    <w:div w:id="473376764">
      <w:bodyDiv w:val="1"/>
      <w:marLeft w:val="0"/>
      <w:marRight w:val="0"/>
      <w:marTop w:val="0"/>
      <w:marBottom w:val="0"/>
      <w:divBdr>
        <w:top w:val="none" w:sz="0" w:space="0" w:color="auto"/>
        <w:left w:val="none" w:sz="0" w:space="0" w:color="auto"/>
        <w:bottom w:val="none" w:sz="0" w:space="0" w:color="auto"/>
        <w:right w:val="none" w:sz="0" w:space="0" w:color="auto"/>
      </w:divBdr>
    </w:div>
    <w:div w:id="473766302">
      <w:bodyDiv w:val="1"/>
      <w:marLeft w:val="0"/>
      <w:marRight w:val="0"/>
      <w:marTop w:val="0"/>
      <w:marBottom w:val="0"/>
      <w:divBdr>
        <w:top w:val="none" w:sz="0" w:space="0" w:color="auto"/>
        <w:left w:val="none" w:sz="0" w:space="0" w:color="auto"/>
        <w:bottom w:val="none" w:sz="0" w:space="0" w:color="auto"/>
        <w:right w:val="none" w:sz="0" w:space="0" w:color="auto"/>
      </w:divBdr>
    </w:div>
    <w:div w:id="474026547">
      <w:bodyDiv w:val="1"/>
      <w:marLeft w:val="0"/>
      <w:marRight w:val="0"/>
      <w:marTop w:val="0"/>
      <w:marBottom w:val="0"/>
      <w:divBdr>
        <w:top w:val="none" w:sz="0" w:space="0" w:color="auto"/>
        <w:left w:val="none" w:sz="0" w:space="0" w:color="auto"/>
        <w:bottom w:val="none" w:sz="0" w:space="0" w:color="auto"/>
        <w:right w:val="none" w:sz="0" w:space="0" w:color="auto"/>
      </w:divBdr>
    </w:div>
    <w:div w:id="475877429">
      <w:bodyDiv w:val="1"/>
      <w:marLeft w:val="0"/>
      <w:marRight w:val="0"/>
      <w:marTop w:val="0"/>
      <w:marBottom w:val="0"/>
      <w:divBdr>
        <w:top w:val="none" w:sz="0" w:space="0" w:color="auto"/>
        <w:left w:val="none" w:sz="0" w:space="0" w:color="auto"/>
        <w:bottom w:val="none" w:sz="0" w:space="0" w:color="auto"/>
        <w:right w:val="none" w:sz="0" w:space="0" w:color="auto"/>
      </w:divBdr>
    </w:div>
    <w:div w:id="476261758">
      <w:bodyDiv w:val="1"/>
      <w:marLeft w:val="0"/>
      <w:marRight w:val="0"/>
      <w:marTop w:val="0"/>
      <w:marBottom w:val="0"/>
      <w:divBdr>
        <w:top w:val="none" w:sz="0" w:space="0" w:color="auto"/>
        <w:left w:val="none" w:sz="0" w:space="0" w:color="auto"/>
        <w:bottom w:val="none" w:sz="0" w:space="0" w:color="auto"/>
        <w:right w:val="none" w:sz="0" w:space="0" w:color="auto"/>
      </w:divBdr>
    </w:div>
    <w:div w:id="477500183">
      <w:bodyDiv w:val="1"/>
      <w:marLeft w:val="0"/>
      <w:marRight w:val="0"/>
      <w:marTop w:val="0"/>
      <w:marBottom w:val="0"/>
      <w:divBdr>
        <w:top w:val="none" w:sz="0" w:space="0" w:color="auto"/>
        <w:left w:val="none" w:sz="0" w:space="0" w:color="auto"/>
        <w:bottom w:val="none" w:sz="0" w:space="0" w:color="auto"/>
        <w:right w:val="none" w:sz="0" w:space="0" w:color="auto"/>
      </w:divBdr>
    </w:div>
    <w:div w:id="477766536">
      <w:bodyDiv w:val="1"/>
      <w:marLeft w:val="0"/>
      <w:marRight w:val="0"/>
      <w:marTop w:val="0"/>
      <w:marBottom w:val="0"/>
      <w:divBdr>
        <w:top w:val="none" w:sz="0" w:space="0" w:color="auto"/>
        <w:left w:val="none" w:sz="0" w:space="0" w:color="auto"/>
        <w:bottom w:val="none" w:sz="0" w:space="0" w:color="auto"/>
        <w:right w:val="none" w:sz="0" w:space="0" w:color="auto"/>
      </w:divBdr>
    </w:div>
    <w:div w:id="477917605">
      <w:bodyDiv w:val="1"/>
      <w:marLeft w:val="0"/>
      <w:marRight w:val="0"/>
      <w:marTop w:val="0"/>
      <w:marBottom w:val="0"/>
      <w:divBdr>
        <w:top w:val="none" w:sz="0" w:space="0" w:color="auto"/>
        <w:left w:val="none" w:sz="0" w:space="0" w:color="auto"/>
        <w:bottom w:val="none" w:sz="0" w:space="0" w:color="auto"/>
        <w:right w:val="none" w:sz="0" w:space="0" w:color="auto"/>
      </w:divBdr>
    </w:div>
    <w:div w:id="478152752">
      <w:bodyDiv w:val="1"/>
      <w:marLeft w:val="0"/>
      <w:marRight w:val="0"/>
      <w:marTop w:val="0"/>
      <w:marBottom w:val="0"/>
      <w:divBdr>
        <w:top w:val="none" w:sz="0" w:space="0" w:color="auto"/>
        <w:left w:val="none" w:sz="0" w:space="0" w:color="auto"/>
        <w:bottom w:val="none" w:sz="0" w:space="0" w:color="auto"/>
        <w:right w:val="none" w:sz="0" w:space="0" w:color="auto"/>
      </w:divBdr>
    </w:div>
    <w:div w:id="478771239">
      <w:bodyDiv w:val="1"/>
      <w:marLeft w:val="0"/>
      <w:marRight w:val="0"/>
      <w:marTop w:val="0"/>
      <w:marBottom w:val="0"/>
      <w:divBdr>
        <w:top w:val="none" w:sz="0" w:space="0" w:color="auto"/>
        <w:left w:val="none" w:sz="0" w:space="0" w:color="auto"/>
        <w:bottom w:val="none" w:sz="0" w:space="0" w:color="auto"/>
        <w:right w:val="none" w:sz="0" w:space="0" w:color="auto"/>
      </w:divBdr>
    </w:div>
    <w:div w:id="478965074">
      <w:bodyDiv w:val="1"/>
      <w:marLeft w:val="0"/>
      <w:marRight w:val="0"/>
      <w:marTop w:val="0"/>
      <w:marBottom w:val="0"/>
      <w:divBdr>
        <w:top w:val="none" w:sz="0" w:space="0" w:color="auto"/>
        <w:left w:val="none" w:sz="0" w:space="0" w:color="auto"/>
        <w:bottom w:val="none" w:sz="0" w:space="0" w:color="auto"/>
        <w:right w:val="none" w:sz="0" w:space="0" w:color="auto"/>
      </w:divBdr>
    </w:div>
    <w:div w:id="480271596">
      <w:bodyDiv w:val="1"/>
      <w:marLeft w:val="0"/>
      <w:marRight w:val="0"/>
      <w:marTop w:val="0"/>
      <w:marBottom w:val="0"/>
      <w:divBdr>
        <w:top w:val="none" w:sz="0" w:space="0" w:color="auto"/>
        <w:left w:val="none" w:sz="0" w:space="0" w:color="auto"/>
        <w:bottom w:val="none" w:sz="0" w:space="0" w:color="auto"/>
        <w:right w:val="none" w:sz="0" w:space="0" w:color="auto"/>
      </w:divBdr>
    </w:div>
    <w:div w:id="480656073">
      <w:bodyDiv w:val="1"/>
      <w:marLeft w:val="0"/>
      <w:marRight w:val="0"/>
      <w:marTop w:val="0"/>
      <w:marBottom w:val="0"/>
      <w:divBdr>
        <w:top w:val="none" w:sz="0" w:space="0" w:color="auto"/>
        <w:left w:val="none" w:sz="0" w:space="0" w:color="auto"/>
        <w:bottom w:val="none" w:sz="0" w:space="0" w:color="auto"/>
        <w:right w:val="none" w:sz="0" w:space="0" w:color="auto"/>
      </w:divBdr>
    </w:div>
    <w:div w:id="480972038">
      <w:bodyDiv w:val="1"/>
      <w:marLeft w:val="0"/>
      <w:marRight w:val="0"/>
      <w:marTop w:val="0"/>
      <w:marBottom w:val="0"/>
      <w:divBdr>
        <w:top w:val="none" w:sz="0" w:space="0" w:color="auto"/>
        <w:left w:val="none" w:sz="0" w:space="0" w:color="auto"/>
        <w:bottom w:val="none" w:sz="0" w:space="0" w:color="auto"/>
        <w:right w:val="none" w:sz="0" w:space="0" w:color="auto"/>
      </w:divBdr>
    </w:div>
    <w:div w:id="482351118">
      <w:bodyDiv w:val="1"/>
      <w:marLeft w:val="0"/>
      <w:marRight w:val="0"/>
      <w:marTop w:val="0"/>
      <w:marBottom w:val="0"/>
      <w:divBdr>
        <w:top w:val="none" w:sz="0" w:space="0" w:color="auto"/>
        <w:left w:val="none" w:sz="0" w:space="0" w:color="auto"/>
        <w:bottom w:val="none" w:sz="0" w:space="0" w:color="auto"/>
        <w:right w:val="none" w:sz="0" w:space="0" w:color="auto"/>
      </w:divBdr>
    </w:div>
    <w:div w:id="482352196">
      <w:bodyDiv w:val="1"/>
      <w:marLeft w:val="0"/>
      <w:marRight w:val="0"/>
      <w:marTop w:val="0"/>
      <w:marBottom w:val="0"/>
      <w:divBdr>
        <w:top w:val="none" w:sz="0" w:space="0" w:color="auto"/>
        <w:left w:val="none" w:sz="0" w:space="0" w:color="auto"/>
        <w:bottom w:val="none" w:sz="0" w:space="0" w:color="auto"/>
        <w:right w:val="none" w:sz="0" w:space="0" w:color="auto"/>
      </w:divBdr>
    </w:div>
    <w:div w:id="482354948">
      <w:bodyDiv w:val="1"/>
      <w:marLeft w:val="0"/>
      <w:marRight w:val="0"/>
      <w:marTop w:val="0"/>
      <w:marBottom w:val="0"/>
      <w:divBdr>
        <w:top w:val="none" w:sz="0" w:space="0" w:color="auto"/>
        <w:left w:val="none" w:sz="0" w:space="0" w:color="auto"/>
        <w:bottom w:val="none" w:sz="0" w:space="0" w:color="auto"/>
        <w:right w:val="none" w:sz="0" w:space="0" w:color="auto"/>
      </w:divBdr>
    </w:div>
    <w:div w:id="484661708">
      <w:bodyDiv w:val="1"/>
      <w:marLeft w:val="0"/>
      <w:marRight w:val="0"/>
      <w:marTop w:val="0"/>
      <w:marBottom w:val="0"/>
      <w:divBdr>
        <w:top w:val="none" w:sz="0" w:space="0" w:color="auto"/>
        <w:left w:val="none" w:sz="0" w:space="0" w:color="auto"/>
        <w:bottom w:val="none" w:sz="0" w:space="0" w:color="auto"/>
        <w:right w:val="none" w:sz="0" w:space="0" w:color="auto"/>
      </w:divBdr>
    </w:div>
    <w:div w:id="485510266">
      <w:bodyDiv w:val="1"/>
      <w:marLeft w:val="0"/>
      <w:marRight w:val="0"/>
      <w:marTop w:val="0"/>
      <w:marBottom w:val="0"/>
      <w:divBdr>
        <w:top w:val="none" w:sz="0" w:space="0" w:color="auto"/>
        <w:left w:val="none" w:sz="0" w:space="0" w:color="auto"/>
        <w:bottom w:val="none" w:sz="0" w:space="0" w:color="auto"/>
        <w:right w:val="none" w:sz="0" w:space="0" w:color="auto"/>
      </w:divBdr>
    </w:div>
    <w:div w:id="485586448">
      <w:bodyDiv w:val="1"/>
      <w:marLeft w:val="0"/>
      <w:marRight w:val="0"/>
      <w:marTop w:val="0"/>
      <w:marBottom w:val="0"/>
      <w:divBdr>
        <w:top w:val="none" w:sz="0" w:space="0" w:color="auto"/>
        <w:left w:val="none" w:sz="0" w:space="0" w:color="auto"/>
        <w:bottom w:val="none" w:sz="0" w:space="0" w:color="auto"/>
        <w:right w:val="none" w:sz="0" w:space="0" w:color="auto"/>
      </w:divBdr>
    </w:div>
    <w:div w:id="485897797">
      <w:bodyDiv w:val="1"/>
      <w:marLeft w:val="0"/>
      <w:marRight w:val="0"/>
      <w:marTop w:val="0"/>
      <w:marBottom w:val="0"/>
      <w:divBdr>
        <w:top w:val="none" w:sz="0" w:space="0" w:color="auto"/>
        <w:left w:val="none" w:sz="0" w:space="0" w:color="auto"/>
        <w:bottom w:val="none" w:sz="0" w:space="0" w:color="auto"/>
        <w:right w:val="none" w:sz="0" w:space="0" w:color="auto"/>
      </w:divBdr>
    </w:div>
    <w:div w:id="486167852">
      <w:bodyDiv w:val="1"/>
      <w:marLeft w:val="0"/>
      <w:marRight w:val="0"/>
      <w:marTop w:val="0"/>
      <w:marBottom w:val="0"/>
      <w:divBdr>
        <w:top w:val="none" w:sz="0" w:space="0" w:color="auto"/>
        <w:left w:val="none" w:sz="0" w:space="0" w:color="auto"/>
        <w:bottom w:val="none" w:sz="0" w:space="0" w:color="auto"/>
        <w:right w:val="none" w:sz="0" w:space="0" w:color="auto"/>
      </w:divBdr>
      <w:divsChild>
        <w:div w:id="26025525">
          <w:marLeft w:val="0"/>
          <w:marRight w:val="0"/>
          <w:marTop w:val="0"/>
          <w:marBottom w:val="0"/>
          <w:divBdr>
            <w:top w:val="none" w:sz="0" w:space="0" w:color="auto"/>
            <w:left w:val="none" w:sz="0" w:space="0" w:color="auto"/>
            <w:bottom w:val="none" w:sz="0" w:space="0" w:color="auto"/>
            <w:right w:val="none" w:sz="0" w:space="0" w:color="auto"/>
          </w:divBdr>
        </w:div>
        <w:div w:id="66460838">
          <w:marLeft w:val="0"/>
          <w:marRight w:val="0"/>
          <w:marTop w:val="0"/>
          <w:marBottom w:val="0"/>
          <w:divBdr>
            <w:top w:val="none" w:sz="0" w:space="0" w:color="auto"/>
            <w:left w:val="none" w:sz="0" w:space="0" w:color="auto"/>
            <w:bottom w:val="none" w:sz="0" w:space="0" w:color="auto"/>
            <w:right w:val="none" w:sz="0" w:space="0" w:color="auto"/>
          </w:divBdr>
        </w:div>
        <w:div w:id="71127910">
          <w:marLeft w:val="0"/>
          <w:marRight w:val="0"/>
          <w:marTop w:val="0"/>
          <w:marBottom w:val="0"/>
          <w:divBdr>
            <w:top w:val="none" w:sz="0" w:space="0" w:color="auto"/>
            <w:left w:val="none" w:sz="0" w:space="0" w:color="auto"/>
            <w:bottom w:val="none" w:sz="0" w:space="0" w:color="auto"/>
            <w:right w:val="none" w:sz="0" w:space="0" w:color="auto"/>
          </w:divBdr>
        </w:div>
        <w:div w:id="192574085">
          <w:marLeft w:val="0"/>
          <w:marRight w:val="0"/>
          <w:marTop w:val="0"/>
          <w:marBottom w:val="0"/>
          <w:divBdr>
            <w:top w:val="none" w:sz="0" w:space="0" w:color="auto"/>
            <w:left w:val="none" w:sz="0" w:space="0" w:color="auto"/>
            <w:bottom w:val="none" w:sz="0" w:space="0" w:color="auto"/>
            <w:right w:val="none" w:sz="0" w:space="0" w:color="auto"/>
          </w:divBdr>
        </w:div>
        <w:div w:id="281302073">
          <w:marLeft w:val="0"/>
          <w:marRight w:val="0"/>
          <w:marTop w:val="0"/>
          <w:marBottom w:val="0"/>
          <w:divBdr>
            <w:top w:val="none" w:sz="0" w:space="0" w:color="auto"/>
            <w:left w:val="none" w:sz="0" w:space="0" w:color="auto"/>
            <w:bottom w:val="none" w:sz="0" w:space="0" w:color="auto"/>
            <w:right w:val="none" w:sz="0" w:space="0" w:color="auto"/>
          </w:divBdr>
        </w:div>
        <w:div w:id="310869083">
          <w:marLeft w:val="0"/>
          <w:marRight w:val="0"/>
          <w:marTop w:val="0"/>
          <w:marBottom w:val="0"/>
          <w:divBdr>
            <w:top w:val="none" w:sz="0" w:space="0" w:color="auto"/>
            <w:left w:val="none" w:sz="0" w:space="0" w:color="auto"/>
            <w:bottom w:val="none" w:sz="0" w:space="0" w:color="auto"/>
            <w:right w:val="none" w:sz="0" w:space="0" w:color="auto"/>
          </w:divBdr>
        </w:div>
        <w:div w:id="506217707">
          <w:marLeft w:val="0"/>
          <w:marRight w:val="0"/>
          <w:marTop w:val="0"/>
          <w:marBottom w:val="0"/>
          <w:divBdr>
            <w:top w:val="none" w:sz="0" w:space="0" w:color="auto"/>
            <w:left w:val="none" w:sz="0" w:space="0" w:color="auto"/>
            <w:bottom w:val="none" w:sz="0" w:space="0" w:color="auto"/>
            <w:right w:val="none" w:sz="0" w:space="0" w:color="auto"/>
          </w:divBdr>
        </w:div>
        <w:div w:id="871842349">
          <w:marLeft w:val="0"/>
          <w:marRight w:val="0"/>
          <w:marTop w:val="0"/>
          <w:marBottom w:val="0"/>
          <w:divBdr>
            <w:top w:val="none" w:sz="0" w:space="0" w:color="auto"/>
            <w:left w:val="none" w:sz="0" w:space="0" w:color="auto"/>
            <w:bottom w:val="none" w:sz="0" w:space="0" w:color="auto"/>
            <w:right w:val="none" w:sz="0" w:space="0" w:color="auto"/>
          </w:divBdr>
        </w:div>
        <w:div w:id="1060403447">
          <w:marLeft w:val="0"/>
          <w:marRight w:val="0"/>
          <w:marTop w:val="0"/>
          <w:marBottom w:val="0"/>
          <w:divBdr>
            <w:top w:val="none" w:sz="0" w:space="0" w:color="auto"/>
            <w:left w:val="none" w:sz="0" w:space="0" w:color="auto"/>
            <w:bottom w:val="none" w:sz="0" w:space="0" w:color="auto"/>
            <w:right w:val="none" w:sz="0" w:space="0" w:color="auto"/>
          </w:divBdr>
        </w:div>
        <w:div w:id="1120607005">
          <w:marLeft w:val="0"/>
          <w:marRight w:val="0"/>
          <w:marTop w:val="0"/>
          <w:marBottom w:val="0"/>
          <w:divBdr>
            <w:top w:val="none" w:sz="0" w:space="0" w:color="auto"/>
            <w:left w:val="none" w:sz="0" w:space="0" w:color="auto"/>
            <w:bottom w:val="none" w:sz="0" w:space="0" w:color="auto"/>
            <w:right w:val="none" w:sz="0" w:space="0" w:color="auto"/>
          </w:divBdr>
        </w:div>
        <w:div w:id="1309626583">
          <w:marLeft w:val="0"/>
          <w:marRight w:val="0"/>
          <w:marTop w:val="0"/>
          <w:marBottom w:val="0"/>
          <w:divBdr>
            <w:top w:val="none" w:sz="0" w:space="0" w:color="auto"/>
            <w:left w:val="none" w:sz="0" w:space="0" w:color="auto"/>
            <w:bottom w:val="none" w:sz="0" w:space="0" w:color="auto"/>
            <w:right w:val="none" w:sz="0" w:space="0" w:color="auto"/>
          </w:divBdr>
        </w:div>
        <w:div w:id="1541670582">
          <w:marLeft w:val="0"/>
          <w:marRight w:val="0"/>
          <w:marTop w:val="0"/>
          <w:marBottom w:val="0"/>
          <w:divBdr>
            <w:top w:val="none" w:sz="0" w:space="0" w:color="auto"/>
            <w:left w:val="none" w:sz="0" w:space="0" w:color="auto"/>
            <w:bottom w:val="none" w:sz="0" w:space="0" w:color="auto"/>
            <w:right w:val="none" w:sz="0" w:space="0" w:color="auto"/>
          </w:divBdr>
        </w:div>
        <w:div w:id="1618021138">
          <w:marLeft w:val="0"/>
          <w:marRight w:val="0"/>
          <w:marTop w:val="0"/>
          <w:marBottom w:val="0"/>
          <w:divBdr>
            <w:top w:val="none" w:sz="0" w:space="0" w:color="auto"/>
            <w:left w:val="none" w:sz="0" w:space="0" w:color="auto"/>
            <w:bottom w:val="none" w:sz="0" w:space="0" w:color="auto"/>
            <w:right w:val="none" w:sz="0" w:space="0" w:color="auto"/>
          </w:divBdr>
        </w:div>
        <w:div w:id="1633826612">
          <w:marLeft w:val="0"/>
          <w:marRight w:val="0"/>
          <w:marTop w:val="0"/>
          <w:marBottom w:val="0"/>
          <w:divBdr>
            <w:top w:val="none" w:sz="0" w:space="0" w:color="auto"/>
            <w:left w:val="none" w:sz="0" w:space="0" w:color="auto"/>
            <w:bottom w:val="none" w:sz="0" w:space="0" w:color="auto"/>
            <w:right w:val="none" w:sz="0" w:space="0" w:color="auto"/>
          </w:divBdr>
        </w:div>
        <w:div w:id="1964995269">
          <w:marLeft w:val="0"/>
          <w:marRight w:val="0"/>
          <w:marTop w:val="0"/>
          <w:marBottom w:val="0"/>
          <w:divBdr>
            <w:top w:val="none" w:sz="0" w:space="0" w:color="auto"/>
            <w:left w:val="none" w:sz="0" w:space="0" w:color="auto"/>
            <w:bottom w:val="none" w:sz="0" w:space="0" w:color="auto"/>
            <w:right w:val="none" w:sz="0" w:space="0" w:color="auto"/>
          </w:divBdr>
        </w:div>
      </w:divsChild>
    </w:div>
    <w:div w:id="486750593">
      <w:bodyDiv w:val="1"/>
      <w:marLeft w:val="0"/>
      <w:marRight w:val="0"/>
      <w:marTop w:val="0"/>
      <w:marBottom w:val="0"/>
      <w:divBdr>
        <w:top w:val="none" w:sz="0" w:space="0" w:color="auto"/>
        <w:left w:val="none" w:sz="0" w:space="0" w:color="auto"/>
        <w:bottom w:val="none" w:sz="0" w:space="0" w:color="auto"/>
        <w:right w:val="none" w:sz="0" w:space="0" w:color="auto"/>
      </w:divBdr>
    </w:div>
    <w:div w:id="487063908">
      <w:bodyDiv w:val="1"/>
      <w:marLeft w:val="0"/>
      <w:marRight w:val="0"/>
      <w:marTop w:val="0"/>
      <w:marBottom w:val="0"/>
      <w:divBdr>
        <w:top w:val="none" w:sz="0" w:space="0" w:color="auto"/>
        <w:left w:val="none" w:sz="0" w:space="0" w:color="auto"/>
        <w:bottom w:val="none" w:sz="0" w:space="0" w:color="auto"/>
        <w:right w:val="none" w:sz="0" w:space="0" w:color="auto"/>
      </w:divBdr>
    </w:div>
    <w:div w:id="487668834">
      <w:bodyDiv w:val="1"/>
      <w:marLeft w:val="0"/>
      <w:marRight w:val="0"/>
      <w:marTop w:val="0"/>
      <w:marBottom w:val="0"/>
      <w:divBdr>
        <w:top w:val="none" w:sz="0" w:space="0" w:color="auto"/>
        <w:left w:val="none" w:sz="0" w:space="0" w:color="auto"/>
        <w:bottom w:val="none" w:sz="0" w:space="0" w:color="auto"/>
        <w:right w:val="none" w:sz="0" w:space="0" w:color="auto"/>
      </w:divBdr>
    </w:div>
    <w:div w:id="487748615">
      <w:bodyDiv w:val="1"/>
      <w:marLeft w:val="0"/>
      <w:marRight w:val="0"/>
      <w:marTop w:val="0"/>
      <w:marBottom w:val="0"/>
      <w:divBdr>
        <w:top w:val="none" w:sz="0" w:space="0" w:color="auto"/>
        <w:left w:val="none" w:sz="0" w:space="0" w:color="auto"/>
        <w:bottom w:val="none" w:sz="0" w:space="0" w:color="auto"/>
        <w:right w:val="none" w:sz="0" w:space="0" w:color="auto"/>
      </w:divBdr>
    </w:div>
    <w:div w:id="487790809">
      <w:bodyDiv w:val="1"/>
      <w:marLeft w:val="0"/>
      <w:marRight w:val="0"/>
      <w:marTop w:val="0"/>
      <w:marBottom w:val="0"/>
      <w:divBdr>
        <w:top w:val="none" w:sz="0" w:space="0" w:color="auto"/>
        <w:left w:val="none" w:sz="0" w:space="0" w:color="auto"/>
        <w:bottom w:val="none" w:sz="0" w:space="0" w:color="auto"/>
        <w:right w:val="none" w:sz="0" w:space="0" w:color="auto"/>
      </w:divBdr>
    </w:div>
    <w:div w:id="487939070">
      <w:bodyDiv w:val="1"/>
      <w:marLeft w:val="0"/>
      <w:marRight w:val="0"/>
      <w:marTop w:val="0"/>
      <w:marBottom w:val="0"/>
      <w:divBdr>
        <w:top w:val="none" w:sz="0" w:space="0" w:color="auto"/>
        <w:left w:val="none" w:sz="0" w:space="0" w:color="auto"/>
        <w:bottom w:val="none" w:sz="0" w:space="0" w:color="auto"/>
        <w:right w:val="none" w:sz="0" w:space="0" w:color="auto"/>
      </w:divBdr>
    </w:div>
    <w:div w:id="488329271">
      <w:bodyDiv w:val="1"/>
      <w:marLeft w:val="0"/>
      <w:marRight w:val="0"/>
      <w:marTop w:val="0"/>
      <w:marBottom w:val="0"/>
      <w:divBdr>
        <w:top w:val="none" w:sz="0" w:space="0" w:color="auto"/>
        <w:left w:val="none" w:sz="0" w:space="0" w:color="auto"/>
        <w:bottom w:val="none" w:sz="0" w:space="0" w:color="auto"/>
        <w:right w:val="none" w:sz="0" w:space="0" w:color="auto"/>
      </w:divBdr>
    </w:div>
    <w:div w:id="488331756">
      <w:bodyDiv w:val="1"/>
      <w:marLeft w:val="0"/>
      <w:marRight w:val="0"/>
      <w:marTop w:val="0"/>
      <w:marBottom w:val="0"/>
      <w:divBdr>
        <w:top w:val="none" w:sz="0" w:space="0" w:color="auto"/>
        <w:left w:val="none" w:sz="0" w:space="0" w:color="auto"/>
        <w:bottom w:val="none" w:sz="0" w:space="0" w:color="auto"/>
        <w:right w:val="none" w:sz="0" w:space="0" w:color="auto"/>
      </w:divBdr>
    </w:div>
    <w:div w:id="489054733">
      <w:bodyDiv w:val="1"/>
      <w:marLeft w:val="0"/>
      <w:marRight w:val="0"/>
      <w:marTop w:val="0"/>
      <w:marBottom w:val="0"/>
      <w:divBdr>
        <w:top w:val="none" w:sz="0" w:space="0" w:color="auto"/>
        <w:left w:val="none" w:sz="0" w:space="0" w:color="auto"/>
        <w:bottom w:val="none" w:sz="0" w:space="0" w:color="auto"/>
        <w:right w:val="none" w:sz="0" w:space="0" w:color="auto"/>
      </w:divBdr>
    </w:div>
    <w:div w:id="489365543">
      <w:bodyDiv w:val="1"/>
      <w:marLeft w:val="0"/>
      <w:marRight w:val="0"/>
      <w:marTop w:val="0"/>
      <w:marBottom w:val="0"/>
      <w:divBdr>
        <w:top w:val="none" w:sz="0" w:space="0" w:color="auto"/>
        <w:left w:val="none" w:sz="0" w:space="0" w:color="auto"/>
        <w:bottom w:val="none" w:sz="0" w:space="0" w:color="auto"/>
        <w:right w:val="none" w:sz="0" w:space="0" w:color="auto"/>
      </w:divBdr>
    </w:div>
    <w:div w:id="489443803">
      <w:bodyDiv w:val="1"/>
      <w:marLeft w:val="0"/>
      <w:marRight w:val="0"/>
      <w:marTop w:val="0"/>
      <w:marBottom w:val="0"/>
      <w:divBdr>
        <w:top w:val="none" w:sz="0" w:space="0" w:color="auto"/>
        <w:left w:val="none" w:sz="0" w:space="0" w:color="auto"/>
        <w:bottom w:val="none" w:sz="0" w:space="0" w:color="auto"/>
        <w:right w:val="none" w:sz="0" w:space="0" w:color="auto"/>
      </w:divBdr>
    </w:div>
    <w:div w:id="489518915">
      <w:bodyDiv w:val="1"/>
      <w:marLeft w:val="0"/>
      <w:marRight w:val="0"/>
      <w:marTop w:val="0"/>
      <w:marBottom w:val="0"/>
      <w:divBdr>
        <w:top w:val="none" w:sz="0" w:space="0" w:color="auto"/>
        <w:left w:val="none" w:sz="0" w:space="0" w:color="auto"/>
        <w:bottom w:val="none" w:sz="0" w:space="0" w:color="auto"/>
        <w:right w:val="none" w:sz="0" w:space="0" w:color="auto"/>
      </w:divBdr>
    </w:div>
    <w:div w:id="490025825">
      <w:bodyDiv w:val="1"/>
      <w:marLeft w:val="0"/>
      <w:marRight w:val="0"/>
      <w:marTop w:val="0"/>
      <w:marBottom w:val="0"/>
      <w:divBdr>
        <w:top w:val="none" w:sz="0" w:space="0" w:color="auto"/>
        <w:left w:val="none" w:sz="0" w:space="0" w:color="auto"/>
        <w:bottom w:val="none" w:sz="0" w:space="0" w:color="auto"/>
        <w:right w:val="none" w:sz="0" w:space="0" w:color="auto"/>
      </w:divBdr>
    </w:div>
    <w:div w:id="490214717">
      <w:bodyDiv w:val="1"/>
      <w:marLeft w:val="0"/>
      <w:marRight w:val="0"/>
      <w:marTop w:val="0"/>
      <w:marBottom w:val="0"/>
      <w:divBdr>
        <w:top w:val="none" w:sz="0" w:space="0" w:color="auto"/>
        <w:left w:val="none" w:sz="0" w:space="0" w:color="auto"/>
        <w:bottom w:val="none" w:sz="0" w:space="0" w:color="auto"/>
        <w:right w:val="none" w:sz="0" w:space="0" w:color="auto"/>
      </w:divBdr>
    </w:div>
    <w:div w:id="491991718">
      <w:bodyDiv w:val="1"/>
      <w:marLeft w:val="0"/>
      <w:marRight w:val="0"/>
      <w:marTop w:val="0"/>
      <w:marBottom w:val="0"/>
      <w:divBdr>
        <w:top w:val="none" w:sz="0" w:space="0" w:color="auto"/>
        <w:left w:val="none" w:sz="0" w:space="0" w:color="auto"/>
        <w:bottom w:val="none" w:sz="0" w:space="0" w:color="auto"/>
        <w:right w:val="none" w:sz="0" w:space="0" w:color="auto"/>
      </w:divBdr>
    </w:div>
    <w:div w:id="493109500">
      <w:bodyDiv w:val="1"/>
      <w:marLeft w:val="0"/>
      <w:marRight w:val="0"/>
      <w:marTop w:val="0"/>
      <w:marBottom w:val="0"/>
      <w:divBdr>
        <w:top w:val="none" w:sz="0" w:space="0" w:color="auto"/>
        <w:left w:val="none" w:sz="0" w:space="0" w:color="auto"/>
        <w:bottom w:val="none" w:sz="0" w:space="0" w:color="auto"/>
        <w:right w:val="none" w:sz="0" w:space="0" w:color="auto"/>
      </w:divBdr>
      <w:divsChild>
        <w:div w:id="148833584">
          <w:marLeft w:val="0"/>
          <w:marRight w:val="0"/>
          <w:marTop w:val="0"/>
          <w:marBottom w:val="0"/>
          <w:divBdr>
            <w:top w:val="none" w:sz="0" w:space="0" w:color="auto"/>
            <w:left w:val="none" w:sz="0" w:space="0" w:color="auto"/>
            <w:bottom w:val="none" w:sz="0" w:space="0" w:color="auto"/>
            <w:right w:val="none" w:sz="0" w:space="0" w:color="auto"/>
          </w:divBdr>
        </w:div>
      </w:divsChild>
    </w:div>
    <w:div w:id="494732133">
      <w:bodyDiv w:val="1"/>
      <w:marLeft w:val="0"/>
      <w:marRight w:val="0"/>
      <w:marTop w:val="0"/>
      <w:marBottom w:val="0"/>
      <w:divBdr>
        <w:top w:val="none" w:sz="0" w:space="0" w:color="auto"/>
        <w:left w:val="none" w:sz="0" w:space="0" w:color="auto"/>
        <w:bottom w:val="none" w:sz="0" w:space="0" w:color="auto"/>
        <w:right w:val="none" w:sz="0" w:space="0" w:color="auto"/>
      </w:divBdr>
    </w:div>
    <w:div w:id="496384341">
      <w:bodyDiv w:val="1"/>
      <w:marLeft w:val="0"/>
      <w:marRight w:val="0"/>
      <w:marTop w:val="0"/>
      <w:marBottom w:val="0"/>
      <w:divBdr>
        <w:top w:val="none" w:sz="0" w:space="0" w:color="auto"/>
        <w:left w:val="none" w:sz="0" w:space="0" w:color="auto"/>
        <w:bottom w:val="none" w:sz="0" w:space="0" w:color="auto"/>
        <w:right w:val="none" w:sz="0" w:space="0" w:color="auto"/>
      </w:divBdr>
    </w:div>
    <w:div w:id="497162277">
      <w:bodyDiv w:val="1"/>
      <w:marLeft w:val="0"/>
      <w:marRight w:val="0"/>
      <w:marTop w:val="0"/>
      <w:marBottom w:val="0"/>
      <w:divBdr>
        <w:top w:val="none" w:sz="0" w:space="0" w:color="auto"/>
        <w:left w:val="none" w:sz="0" w:space="0" w:color="auto"/>
        <w:bottom w:val="none" w:sz="0" w:space="0" w:color="auto"/>
        <w:right w:val="none" w:sz="0" w:space="0" w:color="auto"/>
      </w:divBdr>
    </w:div>
    <w:div w:id="497305223">
      <w:bodyDiv w:val="1"/>
      <w:marLeft w:val="0"/>
      <w:marRight w:val="0"/>
      <w:marTop w:val="0"/>
      <w:marBottom w:val="0"/>
      <w:divBdr>
        <w:top w:val="none" w:sz="0" w:space="0" w:color="auto"/>
        <w:left w:val="none" w:sz="0" w:space="0" w:color="auto"/>
        <w:bottom w:val="none" w:sz="0" w:space="0" w:color="auto"/>
        <w:right w:val="none" w:sz="0" w:space="0" w:color="auto"/>
      </w:divBdr>
    </w:div>
    <w:div w:id="498618573">
      <w:bodyDiv w:val="1"/>
      <w:marLeft w:val="0"/>
      <w:marRight w:val="0"/>
      <w:marTop w:val="0"/>
      <w:marBottom w:val="0"/>
      <w:divBdr>
        <w:top w:val="none" w:sz="0" w:space="0" w:color="auto"/>
        <w:left w:val="none" w:sz="0" w:space="0" w:color="auto"/>
        <w:bottom w:val="none" w:sz="0" w:space="0" w:color="auto"/>
        <w:right w:val="none" w:sz="0" w:space="0" w:color="auto"/>
      </w:divBdr>
    </w:div>
    <w:div w:id="498623787">
      <w:bodyDiv w:val="1"/>
      <w:marLeft w:val="0"/>
      <w:marRight w:val="0"/>
      <w:marTop w:val="0"/>
      <w:marBottom w:val="0"/>
      <w:divBdr>
        <w:top w:val="none" w:sz="0" w:space="0" w:color="auto"/>
        <w:left w:val="none" w:sz="0" w:space="0" w:color="auto"/>
        <w:bottom w:val="none" w:sz="0" w:space="0" w:color="auto"/>
        <w:right w:val="none" w:sz="0" w:space="0" w:color="auto"/>
      </w:divBdr>
    </w:div>
    <w:div w:id="498929531">
      <w:bodyDiv w:val="1"/>
      <w:marLeft w:val="0"/>
      <w:marRight w:val="0"/>
      <w:marTop w:val="0"/>
      <w:marBottom w:val="0"/>
      <w:divBdr>
        <w:top w:val="none" w:sz="0" w:space="0" w:color="auto"/>
        <w:left w:val="none" w:sz="0" w:space="0" w:color="auto"/>
        <w:bottom w:val="none" w:sz="0" w:space="0" w:color="auto"/>
        <w:right w:val="none" w:sz="0" w:space="0" w:color="auto"/>
      </w:divBdr>
    </w:div>
    <w:div w:id="499539860">
      <w:bodyDiv w:val="1"/>
      <w:marLeft w:val="0"/>
      <w:marRight w:val="0"/>
      <w:marTop w:val="0"/>
      <w:marBottom w:val="0"/>
      <w:divBdr>
        <w:top w:val="none" w:sz="0" w:space="0" w:color="auto"/>
        <w:left w:val="none" w:sz="0" w:space="0" w:color="auto"/>
        <w:bottom w:val="none" w:sz="0" w:space="0" w:color="auto"/>
        <w:right w:val="none" w:sz="0" w:space="0" w:color="auto"/>
      </w:divBdr>
    </w:div>
    <w:div w:id="499659876">
      <w:bodyDiv w:val="1"/>
      <w:marLeft w:val="0"/>
      <w:marRight w:val="0"/>
      <w:marTop w:val="0"/>
      <w:marBottom w:val="0"/>
      <w:divBdr>
        <w:top w:val="none" w:sz="0" w:space="0" w:color="auto"/>
        <w:left w:val="none" w:sz="0" w:space="0" w:color="auto"/>
        <w:bottom w:val="none" w:sz="0" w:space="0" w:color="auto"/>
        <w:right w:val="none" w:sz="0" w:space="0" w:color="auto"/>
      </w:divBdr>
    </w:div>
    <w:div w:id="499976767">
      <w:bodyDiv w:val="1"/>
      <w:marLeft w:val="0"/>
      <w:marRight w:val="0"/>
      <w:marTop w:val="0"/>
      <w:marBottom w:val="0"/>
      <w:divBdr>
        <w:top w:val="none" w:sz="0" w:space="0" w:color="auto"/>
        <w:left w:val="none" w:sz="0" w:space="0" w:color="auto"/>
        <w:bottom w:val="none" w:sz="0" w:space="0" w:color="auto"/>
        <w:right w:val="none" w:sz="0" w:space="0" w:color="auto"/>
      </w:divBdr>
    </w:div>
    <w:div w:id="500858274">
      <w:bodyDiv w:val="1"/>
      <w:marLeft w:val="0"/>
      <w:marRight w:val="0"/>
      <w:marTop w:val="0"/>
      <w:marBottom w:val="0"/>
      <w:divBdr>
        <w:top w:val="none" w:sz="0" w:space="0" w:color="auto"/>
        <w:left w:val="none" w:sz="0" w:space="0" w:color="auto"/>
        <w:bottom w:val="none" w:sz="0" w:space="0" w:color="auto"/>
        <w:right w:val="none" w:sz="0" w:space="0" w:color="auto"/>
      </w:divBdr>
    </w:div>
    <w:div w:id="503013818">
      <w:bodyDiv w:val="1"/>
      <w:marLeft w:val="0"/>
      <w:marRight w:val="0"/>
      <w:marTop w:val="0"/>
      <w:marBottom w:val="0"/>
      <w:divBdr>
        <w:top w:val="none" w:sz="0" w:space="0" w:color="auto"/>
        <w:left w:val="none" w:sz="0" w:space="0" w:color="auto"/>
        <w:bottom w:val="none" w:sz="0" w:space="0" w:color="auto"/>
        <w:right w:val="none" w:sz="0" w:space="0" w:color="auto"/>
      </w:divBdr>
    </w:div>
    <w:div w:id="504322039">
      <w:bodyDiv w:val="1"/>
      <w:marLeft w:val="0"/>
      <w:marRight w:val="0"/>
      <w:marTop w:val="0"/>
      <w:marBottom w:val="0"/>
      <w:divBdr>
        <w:top w:val="none" w:sz="0" w:space="0" w:color="auto"/>
        <w:left w:val="none" w:sz="0" w:space="0" w:color="auto"/>
        <w:bottom w:val="none" w:sz="0" w:space="0" w:color="auto"/>
        <w:right w:val="none" w:sz="0" w:space="0" w:color="auto"/>
      </w:divBdr>
    </w:div>
    <w:div w:id="504395194">
      <w:bodyDiv w:val="1"/>
      <w:marLeft w:val="0"/>
      <w:marRight w:val="0"/>
      <w:marTop w:val="0"/>
      <w:marBottom w:val="0"/>
      <w:divBdr>
        <w:top w:val="none" w:sz="0" w:space="0" w:color="auto"/>
        <w:left w:val="none" w:sz="0" w:space="0" w:color="auto"/>
        <w:bottom w:val="none" w:sz="0" w:space="0" w:color="auto"/>
        <w:right w:val="none" w:sz="0" w:space="0" w:color="auto"/>
      </w:divBdr>
    </w:div>
    <w:div w:id="504784291">
      <w:bodyDiv w:val="1"/>
      <w:marLeft w:val="0"/>
      <w:marRight w:val="0"/>
      <w:marTop w:val="0"/>
      <w:marBottom w:val="0"/>
      <w:divBdr>
        <w:top w:val="none" w:sz="0" w:space="0" w:color="auto"/>
        <w:left w:val="none" w:sz="0" w:space="0" w:color="auto"/>
        <w:bottom w:val="none" w:sz="0" w:space="0" w:color="auto"/>
        <w:right w:val="none" w:sz="0" w:space="0" w:color="auto"/>
      </w:divBdr>
    </w:div>
    <w:div w:id="505095218">
      <w:bodyDiv w:val="1"/>
      <w:marLeft w:val="0"/>
      <w:marRight w:val="0"/>
      <w:marTop w:val="0"/>
      <w:marBottom w:val="0"/>
      <w:divBdr>
        <w:top w:val="none" w:sz="0" w:space="0" w:color="auto"/>
        <w:left w:val="none" w:sz="0" w:space="0" w:color="auto"/>
        <w:bottom w:val="none" w:sz="0" w:space="0" w:color="auto"/>
        <w:right w:val="none" w:sz="0" w:space="0" w:color="auto"/>
      </w:divBdr>
    </w:div>
    <w:div w:id="507017134">
      <w:bodyDiv w:val="1"/>
      <w:marLeft w:val="0"/>
      <w:marRight w:val="0"/>
      <w:marTop w:val="0"/>
      <w:marBottom w:val="0"/>
      <w:divBdr>
        <w:top w:val="none" w:sz="0" w:space="0" w:color="auto"/>
        <w:left w:val="none" w:sz="0" w:space="0" w:color="auto"/>
        <w:bottom w:val="none" w:sz="0" w:space="0" w:color="auto"/>
        <w:right w:val="none" w:sz="0" w:space="0" w:color="auto"/>
      </w:divBdr>
    </w:div>
    <w:div w:id="508714709">
      <w:bodyDiv w:val="1"/>
      <w:marLeft w:val="0"/>
      <w:marRight w:val="0"/>
      <w:marTop w:val="0"/>
      <w:marBottom w:val="0"/>
      <w:divBdr>
        <w:top w:val="none" w:sz="0" w:space="0" w:color="auto"/>
        <w:left w:val="none" w:sz="0" w:space="0" w:color="auto"/>
        <w:bottom w:val="none" w:sz="0" w:space="0" w:color="auto"/>
        <w:right w:val="none" w:sz="0" w:space="0" w:color="auto"/>
      </w:divBdr>
    </w:div>
    <w:div w:id="509374360">
      <w:bodyDiv w:val="1"/>
      <w:marLeft w:val="0"/>
      <w:marRight w:val="0"/>
      <w:marTop w:val="0"/>
      <w:marBottom w:val="0"/>
      <w:divBdr>
        <w:top w:val="none" w:sz="0" w:space="0" w:color="auto"/>
        <w:left w:val="none" w:sz="0" w:space="0" w:color="auto"/>
        <w:bottom w:val="none" w:sz="0" w:space="0" w:color="auto"/>
        <w:right w:val="none" w:sz="0" w:space="0" w:color="auto"/>
      </w:divBdr>
    </w:div>
    <w:div w:id="509608799">
      <w:bodyDiv w:val="1"/>
      <w:marLeft w:val="0"/>
      <w:marRight w:val="0"/>
      <w:marTop w:val="0"/>
      <w:marBottom w:val="0"/>
      <w:divBdr>
        <w:top w:val="none" w:sz="0" w:space="0" w:color="auto"/>
        <w:left w:val="none" w:sz="0" w:space="0" w:color="auto"/>
        <w:bottom w:val="none" w:sz="0" w:space="0" w:color="auto"/>
        <w:right w:val="none" w:sz="0" w:space="0" w:color="auto"/>
      </w:divBdr>
    </w:div>
    <w:div w:id="511261026">
      <w:bodyDiv w:val="1"/>
      <w:marLeft w:val="0"/>
      <w:marRight w:val="0"/>
      <w:marTop w:val="0"/>
      <w:marBottom w:val="0"/>
      <w:divBdr>
        <w:top w:val="none" w:sz="0" w:space="0" w:color="auto"/>
        <w:left w:val="none" w:sz="0" w:space="0" w:color="auto"/>
        <w:bottom w:val="none" w:sz="0" w:space="0" w:color="auto"/>
        <w:right w:val="none" w:sz="0" w:space="0" w:color="auto"/>
      </w:divBdr>
    </w:div>
    <w:div w:id="511526839">
      <w:bodyDiv w:val="1"/>
      <w:marLeft w:val="0"/>
      <w:marRight w:val="0"/>
      <w:marTop w:val="0"/>
      <w:marBottom w:val="0"/>
      <w:divBdr>
        <w:top w:val="none" w:sz="0" w:space="0" w:color="auto"/>
        <w:left w:val="none" w:sz="0" w:space="0" w:color="auto"/>
        <w:bottom w:val="none" w:sz="0" w:space="0" w:color="auto"/>
        <w:right w:val="none" w:sz="0" w:space="0" w:color="auto"/>
      </w:divBdr>
    </w:div>
    <w:div w:id="512493630">
      <w:bodyDiv w:val="1"/>
      <w:marLeft w:val="0"/>
      <w:marRight w:val="0"/>
      <w:marTop w:val="0"/>
      <w:marBottom w:val="0"/>
      <w:divBdr>
        <w:top w:val="none" w:sz="0" w:space="0" w:color="auto"/>
        <w:left w:val="none" w:sz="0" w:space="0" w:color="auto"/>
        <w:bottom w:val="none" w:sz="0" w:space="0" w:color="auto"/>
        <w:right w:val="none" w:sz="0" w:space="0" w:color="auto"/>
      </w:divBdr>
    </w:div>
    <w:div w:id="512762107">
      <w:bodyDiv w:val="1"/>
      <w:marLeft w:val="0"/>
      <w:marRight w:val="0"/>
      <w:marTop w:val="0"/>
      <w:marBottom w:val="0"/>
      <w:divBdr>
        <w:top w:val="none" w:sz="0" w:space="0" w:color="auto"/>
        <w:left w:val="none" w:sz="0" w:space="0" w:color="auto"/>
        <w:bottom w:val="none" w:sz="0" w:space="0" w:color="auto"/>
        <w:right w:val="none" w:sz="0" w:space="0" w:color="auto"/>
      </w:divBdr>
    </w:div>
    <w:div w:id="512885692">
      <w:bodyDiv w:val="1"/>
      <w:marLeft w:val="0"/>
      <w:marRight w:val="0"/>
      <w:marTop w:val="0"/>
      <w:marBottom w:val="0"/>
      <w:divBdr>
        <w:top w:val="none" w:sz="0" w:space="0" w:color="auto"/>
        <w:left w:val="none" w:sz="0" w:space="0" w:color="auto"/>
        <w:bottom w:val="none" w:sz="0" w:space="0" w:color="auto"/>
        <w:right w:val="none" w:sz="0" w:space="0" w:color="auto"/>
      </w:divBdr>
    </w:div>
    <w:div w:id="513612300">
      <w:bodyDiv w:val="1"/>
      <w:marLeft w:val="0"/>
      <w:marRight w:val="0"/>
      <w:marTop w:val="0"/>
      <w:marBottom w:val="0"/>
      <w:divBdr>
        <w:top w:val="none" w:sz="0" w:space="0" w:color="auto"/>
        <w:left w:val="none" w:sz="0" w:space="0" w:color="auto"/>
        <w:bottom w:val="none" w:sz="0" w:space="0" w:color="auto"/>
        <w:right w:val="none" w:sz="0" w:space="0" w:color="auto"/>
      </w:divBdr>
    </w:div>
    <w:div w:id="513618960">
      <w:bodyDiv w:val="1"/>
      <w:marLeft w:val="0"/>
      <w:marRight w:val="0"/>
      <w:marTop w:val="0"/>
      <w:marBottom w:val="0"/>
      <w:divBdr>
        <w:top w:val="none" w:sz="0" w:space="0" w:color="auto"/>
        <w:left w:val="none" w:sz="0" w:space="0" w:color="auto"/>
        <w:bottom w:val="none" w:sz="0" w:space="0" w:color="auto"/>
        <w:right w:val="none" w:sz="0" w:space="0" w:color="auto"/>
      </w:divBdr>
    </w:div>
    <w:div w:id="515266820">
      <w:bodyDiv w:val="1"/>
      <w:marLeft w:val="0"/>
      <w:marRight w:val="0"/>
      <w:marTop w:val="0"/>
      <w:marBottom w:val="0"/>
      <w:divBdr>
        <w:top w:val="none" w:sz="0" w:space="0" w:color="auto"/>
        <w:left w:val="none" w:sz="0" w:space="0" w:color="auto"/>
        <w:bottom w:val="none" w:sz="0" w:space="0" w:color="auto"/>
        <w:right w:val="none" w:sz="0" w:space="0" w:color="auto"/>
      </w:divBdr>
    </w:div>
    <w:div w:id="515538164">
      <w:bodyDiv w:val="1"/>
      <w:marLeft w:val="0"/>
      <w:marRight w:val="0"/>
      <w:marTop w:val="0"/>
      <w:marBottom w:val="0"/>
      <w:divBdr>
        <w:top w:val="none" w:sz="0" w:space="0" w:color="auto"/>
        <w:left w:val="none" w:sz="0" w:space="0" w:color="auto"/>
        <w:bottom w:val="none" w:sz="0" w:space="0" w:color="auto"/>
        <w:right w:val="none" w:sz="0" w:space="0" w:color="auto"/>
      </w:divBdr>
    </w:div>
    <w:div w:id="516433217">
      <w:bodyDiv w:val="1"/>
      <w:marLeft w:val="0"/>
      <w:marRight w:val="0"/>
      <w:marTop w:val="0"/>
      <w:marBottom w:val="0"/>
      <w:divBdr>
        <w:top w:val="none" w:sz="0" w:space="0" w:color="auto"/>
        <w:left w:val="none" w:sz="0" w:space="0" w:color="auto"/>
        <w:bottom w:val="none" w:sz="0" w:space="0" w:color="auto"/>
        <w:right w:val="none" w:sz="0" w:space="0" w:color="auto"/>
      </w:divBdr>
    </w:div>
    <w:div w:id="516626171">
      <w:bodyDiv w:val="1"/>
      <w:marLeft w:val="0"/>
      <w:marRight w:val="0"/>
      <w:marTop w:val="0"/>
      <w:marBottom w:val="0"/>
      <w:divBdr>
        <w:top w:val="none" w:sz="0" w:space="0" w:color="auto"/>
        <w:left w:val="none" w:sz="0" w:space="0" w:color="auto"/>
        <w:bottom w:val="none" w:sz="0" w:space="0" w:color="auto"/>
        <w:right w:val="none" w:sz="0" w:space="0" w:color="auto"/>
      </w:divBdr>
    </w:div>
    <w:div w:id="516627231">
      <w:bodyDiv w:val="1"/>
      <w:marLeft w:val="0"/>
      <w:marRight w:val="0"/>
      <w:marTop w:val="0"/>
      <w:marBottom w:val="0"/>
      <w:divBdr>
        <w:top w:val="none" w:sz="0" w:space="0" w:color="auto"/>
        <w:left w:val="none" w:sz="0" w:space="0" w:color="auto"/>
        <w:bottom w:val="none" w:sz="0" w:space="0" w:color="auto"/>
        <w:right w:val="none" w:sz="0" w:space="0" w:color="auto"/>
      </w:divBdr>
    </w:div>
    <w:div w:id="517084730">
      <w:bodyDiv w:val="1"/>
      <w:marLeft w:val="0"/>
      <w:marRight w:val="0"/>
      <w:marTop w:val="0"/>
      <w:marBottom w:val="0"/>
      <w:divBdr>
        <w:top w:val="none" w:sz="0" w:space="0" w:color="auto"/>
        <w:left w:val="none" w:sz="0" w:space="0" w:color="auto"/>
        <w:bottom w:val="none" w:sz="0" w:space="0" w:color="auto"/>
        <w:right w:val="none" w:sz="0" w:space="0" w:color="auto"/>
      </w:divBdr>
    </w:div>
    <w:div w:id="517354909">
      <w:bodyDiv w:val="1"/>
      <w:marLeft w:val="0"/>
      <w:marRight w:val="0"/>
      <w:marTop w:val="0"/>
      <w:marBottom w:val="0"/>
      <w:divBdr>
        <w:top w:val="none" w:sz="0" w:space="0" w:color="auto"/>
        <w:left w:val="none" w:sz="0" w:space="0" w:color="auto"/>
        <w:bottom w:val="none" w:sz="0" w:space="0" w:color="auto"/>
        <w:right w:val="none" w:sz="0" w:space="0" w:color="auto"/>
      </w:divBdr>
    </w:div>
    <w:div w:id="517810690">
      <w:bodyDiv w:val="1"/>
      <w:marLeft w:val="0"/>
      <w:marRight w:val="0"/>
      <w:marTop w:val="0"/>
      <w:marBottom w:val="0"/>
      <w:divBdr>
        <w:top w:val="none" w:sz="0" w:space="0" w:color="auto"/>
        <w:left w:val="none" w:sz="0" w:space="0" w:color="auto"/>
        <w:bottom w:val="none" w:sz="0" w:space="0" w:color="auto"/>
        <w:right w:val="none" w:sz="0" w:space="0" w:color="auto"/>
      </w:divBdr>
    </w:div>
    <w:div w:id="518591920">
      <w:bodyDiv w:val="1"/>
      <w:marLeft w:val="0"/>
      <w:marRight w:val="0"/>
      <w:marTop w:val="0"/>
      <w:marBottom w:val="0"/>
      <w:divBdr>
        <w:top w:val="none" w:sz="0" w:space="0" w:color="auto"/>
        <w:left w:val="none" w:sz="0" w:space="0" w:color="auto"/>
        <w:bottom w:val="none" w:sz="0" w:space="0" w:color="auto"/>
        <w:right w:val="none" w:sz="0" w:space="0" w:color="auto"/>
      </w:divBdr>
    </w:div>
    <w:div w:id="518855573">
      <w:bodyDiv w:val="1"/>
      <w:marLeft w:val="0"/>
      <w:marRight w:val="0"/>
      <w:marTop w:val="0"/>
      <w:marBottom w:val="0"/>
      <w:divBdr>
        <w:top w:val="none" w:sz="0" w:space="0" w:color="auto"/>
        <w:left w:val="none" w:sz="0" w:space="0" w:color="auto"/>
        <w:bottom w:val="none" w:sz="0" w:space="0" w:color="auto"/>
        <w:right w:val="none" w:sz="0" w:space="0" w:color="auto"/>
      </w:divBdr>
    </w:div>
    <w:div w:id="518861507">
      <w:bodyDiv w:val="1"/>
      <w:marLeft w:val="0"/>
      <w:marRight w:val="0"/>
      <w:marTop w:val="0"/>
      <w:marBottom w:val="0"/>
      <w:divBdr>
        <w:top w:val="none" w:sz="0" w:space="0" w:color="auto"/>
        <w:left w:val="none" w:sz="0" w:space="0" w:color="auto"/>
        <w:bottom w:val="none" w:sz="0" w:space="0" w:color="auto"/>
        <w:right w:val="none" w:sz="0" w:space="0" w:color="auto"/>
      </w:divBdr>
    </w:div>
    <w:div w:id="519046709">
      <w:bodyDiv w:val="1"/>
      <w:marLeft w:val="0"/>
      <w:marRight w:val="0"/>
      <w:marTop w:val="0"/>
      <w:marBottom w:val="0"/>
      <w:divBdr>
        <w:top w:val="none" w:sz="0" w:space="0" w:color="auto"/>
        <w:left w:val="none" w:sz="0" w:space="0" w:color="auto"/>
        <w:bottom w:val="none" w:sz="0" w:space="0" w:color="auto"/>
        <w:right w:val="none" w:sz="0" w:space="0" w:color="auto"/>
      </w:divBdr>
    </w:div>
    <w:div w:id="519125700">
      <w:bodyDiv w:val="1"/>
      <w:marLeft w:val="0"/>
      <w:marRight w:val="0"/>
      <w:marTop w:val="0"/>
      <w:marBottom w:val="0"/>
      <w:divBdr>
        <w:top w:val="none" w:sz="0" w:space="0" w:color="auto"/>
        <w:left w:val="none" w:sz="0" w:space="0" w:color="auto"/>
        <w:bottom w:val="none" w:sz="0" w:space="0" w:color="auto"/>
        <w:right w:val="none" w:sz="0" w:space="0" w:color="auto"/>
      </w:divBdr>
    </w:div>
    <w:div w:id="519857431">
      <w:bodyDiv w:val="1"/>
      <w:marLeft w:val="0"/>
      <w:marRight w:val="0"/>
      <w:marTop w:val="0"/>
      <w:marBottom w:val="0"/>
      <w:divBdr>
        <w:top w:val="none" w:sz="0" w:space="0" w:color="auto"/>
        <w:left w:val="none" w:sz="0" w:space="0" w:color="auto"/>
        <w:bottom w:val="none" w:sz="0" w:space="0" w:color="auto"/>
        <w:right w:val="none" w:sz="0" w:space="0" w:color="auto"/>
      </w:divBdr>
    </w:div>
    <w:div w:id="520242153">
      <w:bodyDiv w:val="1"/>
      <w:marLeft w:val="0"/>
      <w:marRight w:val="0"/>
      <w:marTop w:val="0"/>
      <w:marBottom w:val="0"/>
      <w:divBdr>
        <w:top w:val="none" w:sz="0" w:space="0" w:color="auto"/>
        <w:left w:val="none" w:sz="0" w:space="0" w:color="auto"/>
        <w:bottom w:val="none" w:sz="0" w:space="0" w:color="auto"/>
        <w:right w:val="none" w:sz="0" w:space="0" w:color="auto"/>
      </w:divBdr>
    </w:div>
    <w:div w:id="525102861">
      <w:bodyDiv w:val="1"/>
      <w:marLeft w:val="0"/>
      <w:marRight w:val="0"/>
      <w:marTop w:val="0"/>
      <w:marBottom w:val="0"/>
      <w:divBdr>
        <w:top w:val="none" w:sz="0" w:space="0" w:color="auto"/>
        <w:left w:val="none" w:sz="0" w:space="0" w:color="auto"/>
        <w:bottom w:val="none" w:sz="0" w:space="0" w:color="auto"/>
        <w:right w:val="none" w:sz="0" w:space="0" w:color="auto"/>
      </w:divBdr>
    </w:div>
    <w:div w:id="525557463">
      <w:bodyDiv w:val="1"/>
      <w:marLeft w:val="0"/>
      <w:marRight w:val="0"/>
      <w:marTop w:val="0"/>
      <w:marBottom w:val="0"/>
      <w:divBdr>
        <w:top w:val="none" w:sz="0" w:space="0" w:color="auto"/>
        <w:left w:val="none" w:sz="0" w:space="0" w:color="auto"/>
        <w:bottom w:val="none" w:sz="0" w:space="0" w:color="auto"/>
        <w:right w:val="none" w:sz="0" w:space="0" w:color="auto"/>
      </w:divBdr>
    </w:div>
    <w:div w:id="526522558">
      <w:bodyDiv w:val="1"/>
      <w:marLeft w:val="0"/>
      <w:marRight w:val="0"/>
      <w:marTop w:val="0"/>
      <w:marBottom w:val="0"/>
      <w:divBdr>
        <w:top w:val="none" w:sz="0" w:space="0" w:color="auto"/>
        <w:left w:val="none" w:sz="0" w:space="0" w:color="auto"/>
        <w:bottom w:val="none" w:sz="0" w:space="0" w:color="auto"/>
        <w:right w:val="none" w:sz="0" w:space="0" w:color="auto"/>
      </w:divBdr>
    </w:div>
    <w:div w:id="526913534">
      <w:bodyDiv w:val="1"/>
      <w:marLeft w:val="0"/>
      <w:marRight w:val="0"/>
      <w:marTop w:val="0"/>
      <w:marBottom w:val="0"/>
      <w:divBdr>
        <w:top w:val="none" w:sz="0" w:space="0" w:color="auto"/>
        <w:left w:val="none" w:sz="0" w:space="0" w:color="auto"/>
        <w:bottom w:val="none" w:sz="0" w:space="0" w:color="auto"/>
        <w:right w:val="none" w:sz="0" w:space="0" w:color="auto"/>
      </w:divBdr>
    </w:div>
    <w:div w:id="527063328">
      <w:bodyDiv w:val="1"/>
      <w:marLeft w:val="0"/>
      <w:marRight w:val="0"/>
      <w:marTop w:val="0"/>
      <w:marBottom w:val="0"/>
      <w:divBdr>
        <w:top w:val="none" w:sz="0" w:space="0" w:color="auto"/>
        <w:left w:val="none" w:sz="0" w:space="0" w:color="auto"/>
        <w:bottom w:val="none" w:sz="0" w:space="0" w:color="auto"/>
        <w:right w:val="none" w:sz="0" w:space="0" w:color="auto"/>
      </w:divBdr>
    </w:div>
    <w:div w:id="528300320">
      <w:bodyDiv w:val="1"/>
      <w:marLeft w:val="0"/>
      <w:marRight w:val="0"/>
      <w:marTop w:val="0"/>
      <w:marBottom w:val="0"/>
      <w:divBdr>
        <w:top w:val="none" w:sz="0" w:space="0" w:color="auto"/>
        <w:left w:val="none" w:sz="0" w:space="0" w:color="auto"/>
        <w:bottom w:val="none" w:sz="0" w:space="0" w:color="auto"/>
        <w:right w:val="none" w:sz="0" w:space="0" w:color="auto"/>
      </w:divBdr>
    </w:div>
    <w:div w:id="528876518">
      <w:bodyDiv w:val="1"/>
      <w:marLeft w:val="0"/>
      <w:marRight w:val="0"/>
      <w:marTop w:val="0"/>
      <w:marBottom w:val="0"/>
      <w:divBdr>
        <w:top w:val="none" w:sz="0" w:space="0" w:color="auto"/>
        <w:left w:val="none" w:sz="0" w:space="0" w:color="auto"/>
        <w:bottom w:val="none" w:sz="0" w:space="0" w:color="auto"/>
        <w:right w:val="none" w:sz="0" w:space="0" w:color="auto"/>
      </w:divBdr>
    </w:div>
    <w:div w:id="529299859">
      <w:bodyDiv w:val="1"/>
      <w:marLeft w:val="0"/>
      <w:marRight w:val="0"/>
      <w:marTop w:val="0"/>
      <w:marBottom w:val="0"/>
      <w:divBdr>
        <w:top w:val="none" w:sz="0" w:space="0" w:color="auto"/>
        <w:left w:val="none" w:sz="0" w:space="0" w:color="auto"/>
        <w:bottom w:val="none" w:sz="0" w:space="0" w:color="auto"/>
        <w:right w:val="none" w:sz="0" w:space="0" w:color="auto"/>
      </w:divBdr>
    </w:div>
    <w:div w:id="529415531">
      <w:bodyDiv w:val="1"/>
      <w:marLeft w:val="0"/>
      <w:marRight w:val="0"/>
      <w:marTop w:val="0"/>
      <w:marBottom w:val="0"/>
      <w:divBdr>
        <w:top w:val="none" w:sz="0" w:space="0" w:color="auto"/>
        <w:left w:val="none" w:sz="0" w:space="0" w:color="auto"/>
        <w:bottom w:val="none" w:sz="0" w:space="0" w:color="auto"/>
        <w:right w:val="none" w:sz="0" w:space="0" w:color="auto"/>
      </w:divBdr>
    </w:div>
    <w:div w:id="529998369">
      <w:bodyDiv w:val="1"/>
      <w:marLeft w:val="0"/>
      <w:marRight w:val="0"/>
      <w:marTop w:val="0"/>
      <w:marBottom w:val="0"/>
      <w:divBdr>
        <w:top w:val="none" w:sz="0" w:space="0" w:color="auto"/>
        <w:left w:val="none" w:sz="0" w:space="0" w:color="auto"/>
        <w:bottom w:val="none" w:sz="0" w:space="0" w:color="auto"/>
        <w:right w:val="none" w:sz="0" w:space="0" w:color="auto"/>
      </w:divBdr>
    </w:div>
    <w:div w:id="530263911">
      <w:bodyDiv w:val="1"/>
      <w:marLeft w:val="0"/>
      <w:marRight w:val="0"/>
      <w:marTop w:val="0"/>
      <w:marBottom w:val="0"/>
      <w:divBdr>
        <w:top w:val="none" w:sz="0" w:space="0" w:color="auto"/>
        <w:left w:val="none" w:sz="0" w:space="0" w:color="auto"/>
        <w:bottom w:val="none" w:sz="0" w:space="0" w:color="auto"/>
        <w:right w:val="none" w:sz="0" w:space="0" w:color="auto"/>
      </w:divBdr>
    </w:div>
    <w:div w:id="530999478">
      <w:bodyDiv w:val="1"/>
      <w:marLeft w:val="0"/>
      <w:marRight w:val="0"/>
      <w:marTop w:val="0"/>
      <w:marBottom w:val="0"/>
      <w:divBdr>
        <w:top w:val="none" w:sz="0" w:space="0" w:color="auto"/>
        <w:left w:val="none" w:sz="0" w:space="0" w:color="auto"/>
        <w:bottom w:val="none" w:sz="0" w:space="0" w:color="auto"/>
        <w:right w:val="none" w:sz="0" w:space="0" w:color="auto"/>
      </w:divBdr>
    </w:div>
    <w:div w:id="531266548">
      <w:bodyDiv w:val="1"/>
      <w:marLeft w:val="0"/>
      <w:marRight w:val="0"/>
      <w:marTop w:val="0"/>
      <w:marBottom w:val="0"/>
      <w:divBdr>
        <w:top w:val="none" w:sz="0" w:space="0" w:color="auto"/>
        <w:left w:val="none" w:sz="0" w:space="0" w:color="auto"/>
        <w:bottom w:val="none" w:sz="0" w:space="0" w:color="auto"/>
        <w:right w:val="none" w:sz="0" w:space="0" w:color="auto"/>
      </w:divBdr>
    </w:div>
    <w:div w:id="531501892">
      <w:bodyDiv w:val="1"/>
      <w:marLeft w:val="0"/>
      <w:marRight w:val="0"/>
      <w:marTop w:val="0"/>
      <w:marBottom w:val="0"/>
      <w:divBdr>
        <w:top w:val="none" w:sz="0" w:space="0" w:color="auto"/>
        <w:left w:val="none" w:sz="0" w:space="0" w:color="auto"/>
        <w:bottom w:val="none" w:sz="0" w:space="0" w:color="auto"/>
        <w:right w:val="none" w:sz="0" w:space="0" w:color="auto"/>
      </w:divBdr>
    </w:div>
    <w:div w:id="531505179">
      <w:bodyDiv w:val="1"/>
      <w:marLeft w:val="0"/>
      <w:marRight w:val="0"/>
      <w:marTop w:val="0"/>
      <w:marBottom w:val="0"/>
      <w:divBdr>
        <w:top w:val="none" w:sz="0" w:space="0" w:color="auto"/>
        <w:left w:val="none" w:sz="0" w:space="0" w:color="auto"/>
        <w:bottom w:val="none" w:sz="0" w:space="0" w:color="auto"/>
        <w:right w:val="none" w:sz="0" w:space="0" w:color="auto"/>
      </w:divBdr>
    </w:div>
    <w:div w:id="531722303">
      <w:bodyDiv w:val="1"/>
      <w:marLeft w:val="0"/>
      <w:marRight w:val="0"/>
      <w:marTop w:val="0"/>
      <w:marBottom w:val="0"/>
      <w:divBdr>
        <w:top w:val="none" w:sz="0" w:space="0" w:color="auto"/>
        <w:left w:val="none" w:sz="0" w:space="0" w:color="auto"/>
        <w:bottom w:val="none" w:sz="0" w:space="0" w:color="auto"/>
        <w:right w:val="none" w:sz="0" w:space="0" w:color="auto"/>
      </w:divBdr>
    </w:div>
    <w:div w:id="531920648">
      <w:bodyDiv w:val="1"/>
      <w:marLeft w:val="0"/>
      <w:marRight w:val="0"/>
      <w:marTop w:val="0"/>
      <w:marBottom w:val="0"/>
      <w:divBdr>
        <w:top w:val="none" w:sz="0" w:space="0" w:color="auto"/>
        <w:left w:val="none" w:sz="0" w:space="0" w:color="auto"/>
        <w:bottom w:val="none" w:sz="0" w:space="0" w:color="auto"/>
        <w:right w:val="none" w:sz="0" w:space="0" w:color="auto"/>
      </w:divBdr>
    </w:div>
    <w:div w:id="532039966">
      <w:bodyDiv w:val="1"/>
      <w:marLeft w:val="0"/>
      <w:marRight w:val="0"/>
      <w:marTop w:val="0"/>
      <w:marBottom w:val="0"/>
      <w:divBdr>
        <w:top w:val="none" w:sz="0" w:space="0" w:color="auto"/>
        <w:left w:val="none" w:sz="0" w:space="0" w:color="auto"/>
        <w:bottom w:val="none" w:sz="0" w:space="0" w:color="auto"/>
        <w:right w:val="none" w:sz="0" w:space="0" w:color="auto"/>
      </w:divBdr>
    </w:div>
    <w:div w:id="532768064">
      <w:bodyDiv w:val="1"/>
      <w:marLeft w:val="0"/>
      <w:marRight w:val="0"/>
      <w:marTop w:val="0"/>
      <w:marBottom w:val="0"/>
      <w:divBdr>
        <w:top w:val="none" w:sz="0" w:space="0" w:color="auto"/>
        <w:left w:val="none" w:sz="0" w:space="0" w:color="auto"/>
        <w:bottom w:val="none" w:sz="0" w:space="0" w:color="auto"/>
        <w:right w:val="none" w:sz="0" w:space="0" w:color="auto"/>
      </w:divBdr>
    </w:div>
    <w:div w:id="533617696">
      <w:bodyDiv w:val="1"/>
      <w:marLeft w:val="0"/>
      <w:marRight w:val="0"/>
      <w:marTop w:val="0"/>
      <w:marBottom w:val="0"/>
      <w:divBdr>
        <w:top w:val="none" w:sz="0" w:space="0" w:color="auto"/>
        <w:left w:val="none" w:sz="0" w:space="0" w:color="auto"/>
        <w:bottom w:val="none" w:sz="0" w:space="0" w:color="auto"/>
        <w:right w:val="none" w:sz="0" w:space="0" w:color="auto"/>
      </w:divBdr>
    </w:div>
    <w:div w:id="533805792">
      <w:bodyDiv w:val="1"/>
      <w:marLeft w:val="0"/>
      <w:marRight w:val="0"/>
      <w:marTop w:val="0"/>
      <w:marBottom w:val="0"/>
      <w:divBdr>
        <w:top w:val="none" w:sz="0" w:space="0" w:color="auto"/>
        <w:left w:val="none" w:sz="0" w:space="0" w:color="auto"/>
        <w:bottom w:val="none" w:sz="0" w:space="0" w:color="auto"/>
        <w:right w:val="none" w:sz="0" w:space="0" w:color="auto"/>
      </w:divBdr>
    </w:div>
    <w:div w:id="534196691">
      <w:bodyDiv w:val="1"/>
      <w:marLeft w:val="0"/>
      <w:marRight w:val="0"/>
      <w:marTop w:val="0"/>
      <w:marBottom w:val="0"/>
      <w:divBdr>
        <w:top w:val="none" w:sz="0" w:space="0" w:color="auto"/>
        <w:left w:val="none" w:sz="0" w:space="0" w:color="auto"/>
        <w:bottom w:val="none" w:sz="0" w:space="0" w:color="auto"/>
        <w:right w:val="none" w:sz="0" w:space="0" w:color="auto"/>
      </w:divBdr>
    </w:div>
    <w:div w:id="535503558">
      <w:bodyDiv w:val="1"/>
      <w:marLeft w:val="0"/>
      <w:marRight w:val="0"/>
      <w:marTop w:val="0"/>
      <w:marBottom w:val="0"/>
      <w:divBdr>
        <w:top w:val="none" w:sz="0" w:space="0" w:color="auto"/>
        <w:left w:val="none" w:sz="0" w:space="0" w:color="auto"/>
        <w:bottom w:val="none" w:sz="0" w:space="0" w:color="auto"/>
        <w:right w:val="none" w:sz="0" w:space="0" w:color="auto"/>
      </w:divBdr>
    </w:div>
    <w:div w:id="536242488">
      <w:bodyDiv w:val="1"/>
      <w:marLeft w:val="0"/>
      <w:marRight w:val="0"/>
      <w:marTop w:val="0"/>
      <w:marBottom w:val="0"/>
      <w:divBdr>
        <w:top w:val="none" w:sz="0" w:space="0" w:color="auto"/>
        <w:left w:val="none" w:sz="0" w:space="0" w:color="auto"/>
        <w:bottom w:val="none" w:sz="0" w:space="0" w:color="auto"/>
        <w:right w:val="none" w:sz="0" w:space="0" w:color="auto"/>
      </w:divBdr>
    </w:div>
    <w:div w:id="536548159">
      <w:bodyDiv w:val="1"/>
      <w:marLeft w:val="0"/>
      <w:marRight w:val="0"/>
      <w:marTop w:val="0"/>
      <w:marBottom w:val="0"/>
      <w:divBdr>
        <w:top w:val="none" w:sz="0" w:space="0" w:color="auto"/>
        <w:left w:val="none" w:sz="0" w:space="0" w:color="auto"/>
        <w:bottom w:val="none" w:sz="0" w:space="0" w:color="auto"/>
        <w:right w:val="none" w:sz="0" w:space="0" w:color="auto"/>
      </w:divBdr>
    </w:div>
    <w:div w:id="537165420">
      <w:bodyDiv w:val="1"/>
      <w:marLeft w:val="0"/>
      <w:marRight w:val="0"/>
      <w:marTop w:val="0"/>
      <w:marBottom w:val="0"/>
      <w:divBdr>
        <w:top w:val="none" w:sz="0" w:space="0" w:color="auto"/>
        <w:left w:val="none" w:sz="0" w:space="0" w:color="auto"/>
        <w:bottom w:val="none" w:sz="0" w:space="0" w:color="auto"/>
        <w:right w:val="none" w:sz="0" w:space="0" w:color="auto"/>
      </w:divBdr>
    </w:div>
    <w:div w:id="537208340">
      <w:bodyDiv w:val="1"/>
      <w:marLeft w:val="0"/>
      <w:marRight w:val="0"/>
      <w:marTop w:val="0"/>
      <w:marBottom w:val="0"/>
      <w:divBdr>
        <w:top w:val="none" w:sz="0" w:space="0" w:color="auto"/>
        <w:left w:val="none" w:sz="0" w:space="0" w:color="auto"/>
        <w:bottom w:val="none" w:sz="0" w:space="0" w:color="auto"/>
        <w:right w:val="none" w:sz="0" w:space="0" w:color="auto"/>
      </w:divBdr>
    </w:div>
    <w:div w:id="538470715">
      <w:bodyDiv w:val="1"/>
      <w:marLeft w:val="0"/>
      <w:marRight w:val="0"/>
      <w:marTop w:val="0"/>
      <w:marBottom w:val="0"/>
      <w:divBdr>
        <w:top w:val="none" w:sz="0" w:space="0" w:color="auto"/>
        <w:left w:val="none" w:sz="0" w:space="0" w:color="auto"/>
        <w:bottom w:val="none" w:sz="0" w:space="0" w:color="auto"/>
        <w:right w:val="none" w:sz="0" w:space="0" w:color="auto"/>
      </w:divBdr>
    </w:div>
    <w:div w:id="539439819">
      <w:bodyDiv w:val="1"/>
      <w:marLeft w:val="0"/>
      <w:marRight w:val="0"/>
      <w:marTop w:val="0"/>
      <w:marBottom w:val="0"/>
      <w:divBdr>
        <w:top w:val="none" w:sz="0" w:space="0" w:color="auto"/>
        <w:left w:val="none" w:sz="0" w:space="0" w:color="auto"/>
        <w:bottom w:val="none" w:sz="0" w:space="0" w:color="auto"/>
        <w:right w:val="none" w:sz="0" w:space="0" w:color="auto"/>
      </w:divBdr>
    </w:div>
    <w:div w:id="539779275">
      <w:bodyDiv w:val="1"/>
      <w:marLeft w:val="0"/>
      <w:marRight w:val="0"/>
      <w:marTop w:val="0"/>
      <w:marBottom w:val="0"/>
      <w:divBdr>
        <w:top w:val="none" w:sz="0" w:space="0" w:color="auto"/>
        <w:left w:val="none" w:sz="0" w:space="0" w:color="auto"/>
        <w:bottom w:val="none" w:sz="0" w:space="0" w:color="auto"/>
        <w:right w:val="none" w:sz="0" w:space="0" w:color="auto"/>
      </w:divBdr>
    </w:div>
    <w:div w:id="540048561">
      <w:bodyDiv w:val="1"/>
      <w:marLeft w:val="0"/>
      <w:marRight w:val="0"/>
      <w:marTop w:val="0"/>
      <w:marBottom w:val="0"/>
      <w:divBdr>
        <w:top w:val="none" w:sz="0" w:space="0" w:color="auto"/>
        <w:left w:val="none" w:sz="0" w:space="0" w:color="auto"/>
        <w:bottom w:val="none" w:sz="0" w:space="0" w:color="auto"/>
        <w:right w:val="none" w:sz="0" w:space="0" w:color="auto"/>
      </w:divBdr>
    </w:div>
    <w:div w:id="540634380">
      <w:bodyDiv w:val="1"/>
      <w:marLeft w:val="0"/>
      <w:marRight w:val="0"/>
      <w:marTop w:val="0"/>
      <w:marBottom w:val="0"/>
      <w:divBdr>
        <w:top w:val="none" w:sz="0" w:space="0" w:color="auto"/>
        <w:left w:val="none" w:sz="0" w:space="0" w:color="auto"/>
        <w:bottom w:val="none" w:sz="0" w:space="0" w:color="auto"/>
        <w:right w:val="none" w:sz="0" w:space="0" w:color="auto"/>
      </w:divBdr>
    </w:div>
    <w:div w:id="541093837">
      <w:bodyDiv w:val="1"/>
      <w:marLeft w:val="0"/>
      <w:marRight w:val="0"/>
      <w:marTop w:val="0"/>
      <w:marBottom w:val="0"/>
      <w:divBdr>
        <w:top w:val="none" w:sz="0" w:space="0" w:color="auto"/>
        <w:left w:val="none" w:sz="0" w:space="0" w:color="auto"/>
        <w:bottom w:val="none" w:sz="0" w:space="0" w:color="auto"/>
        <w:right w:val="none" w:sz="0" w:space="0" w:color="auto"/>
      </w:divBdr>
    </w:div>
    <w:div w:id="541329524">
      <w:bodyDiv w:val="1"/>
      <w:marLeft w:val="0"/>
      <w:marRight w:val="0"/>
      <w:marTop w:val="0"/>
      <w:marBottom w:val="0"/>
      <w:divBdr>
        <w:top w:val="none" w:sz="0" w:space="0" w:color="auto"/>
        <w:left w:val="none" w:sz="0" w:space="0" w:color="auto"/>
        <w:bottom w:val="none" w:sz="0" w:space="0" w:color="auto"/>
        <w:right w:val="none" w:sz="0" w:space="0" w:color="auto"/>
      </w:divBdr>
    </w:div>
    <w:div w:id="541406509">
      <w:bodyDiv w:val="1"/>
      <w:marLeft w:val="0"/>
      <w:marRight w:val="0"/>
      <w:marTop w:val="0"/>
      <w:marBottom w:val="0"/>
      <w:divBdr>
        <w:top w:val="none" w:sz="0" w:space="0" w:color="auto"/>
        <w:left w:val="none" w:sz="0" w:space="0" w:color="auto"/>
        <w:bottom w:val="none" w:sz="0" w:space="0" w:color="auto"/>
        <w:right w:val="none" w:sz="0" w:space="0" w:color="auto"/>
      </w:divBdr>
    </w:div>
    <w:div w:id="541598268">
      <w:bodyDiv w:val="1"/>
      <w:marLeft w:val="0"/>
      <w:marRight w:val="0"/>
      <w:marTop w:val="0"/>
      <w:marBottom w:val="0"/>
      <w:divBdr>
        <w:top w:val="none" w:sz="0" w:space="0" w:color="auto"/>
        <w:left w:val="none" w:sz="0" w:space="0" w:color="auto"/>
        <w:bottom w:val="none" w:sz="0" w:space="0" w:color="auto"/>
        <w:right w:val="none" w:sz="0" w:space="0" w:color="auto"/>
      </w:divBdr>
    </w:div>
    <w:div w:id="542443341">
      <w:bodyDiv w:val="1"/>
      <w:marLeft w:val="0"/>
      <w:marRight w:val="0"/>
      <w:marTop w:val="0"/>
      <w:marBottom w:val="0"/>
      <w:divBdr>
        <w:top w:val="none" w:sz="0" w:space="0" w:color="auto"/>
        <w:left w:val="none" w:sz="0" w:space="0" w:color="auto"/>
        <w:bottom w:val="none" w:sz="0" w:space="0" w:color="auto"/>
        <w:right w:val="none" w:sz="0" w:space="0" w:color="auto"/>
      </w:divBdr>
    </w:div>
    <w:div w:id="542787750">
      <w:bodyDiv w:val="1"/>
      <w:marLeft w:val="0"/>
      <w:marRight w:val="0"/>
      <w:marTop w:val="0"/>
      <w:marBottom w:val="0"/>
      <w:divBdr>
        <w:top w:val="none" w:sz="0" w:space="0" w:color="auto"/>
        <w:left w:val="none" w:sz="0" w:space="0" w:color="auto"/>
        <w:bottom w:val="none" w:sz="0" w:space="0" w:color="auto"/>
        <w:right w:val="none" w:sz="0" w:space="0" w:color="auto"/>
      </w:divBdr>
    </w:div>
    <w:div w:id="543951074">
      <w:bodyDiv w:val="1"/>
      <w:marLeft w:val="0"/>
      <w:marRight w:val="0"/>
      <w:marTop w:val="0"/>
      <w:marBottom w:val="0"/>
      <w:divBdr>
        <w:top w:val="none" w:sz="0" w:space="0" w:color="auto"/>
        <w:left w:val="none" w:sz="0" w:space="0" w:color="auto"/>
        <w:bottom w:val="none" w:sz="0" w:space="0" w:color="auto"/>
        <w:right w:val="none" w:sz="0" w:space="0" w:color="auto"/>
      </w:divBdr>
    </w:div>
    <w:div w:id="543978820">
      <w:bodyDiv w:val="1"/>
      <w:marLeft w:val="0"/>
      <w:marRight w:val="0"/>
      <w:marTop w:val="0"/>
      <w:marBottom w:val="0"/>
      <w:divBdr>
        <w:top w:val="none" w:sz="0" w:space="0" w:color="auto"/>
        <w:left w:val="none" w:sz="0" w:space="0" w:color="auto"/>
        <w:bottom w:val="none" w:sz="0" w:space="0" w:color="auto"/>
        <w:right w:val="none" w:sz="0" w:space="0" w:color="auto"/>
      </w:divBdr>
    </w:div>
    <w:div w:id="544103286">
      <w:bodyDiv w:val="1"/>
      <w:marLeft w:val="0"/>
      <w:marRight w:val="0"/>
      <w:marTop w:val="0"/>
      <w:marBottom w:val="0"/>
      <w:divBdr>
        <w:top w:val="none" w:sz="0" w:space="0" w:color="auto"/>
        <w:left w:val="none" w:sz="0" w:space="0" w:color="auto"/>
        <w:bottom w:val="none" w:sz="0" w:space="0" w:color="auto"/>
        <w:right w:val="none" w:sz="0" w:space="0" w:color="auto"/>
      </w:divBdr>
    </w:div>
    <w:div w:id="544415891">
      <w:bodyDiv w:val="1"/>
      <w:marLeft w:val="0"/>
      <w:marRight w:val="0"/>
      <w:marTop w:val="0"/>
      <w:marBottom w:val="0"/>
      <w:divBdr>
        <w:top w:val="none" w:sz="0" w:space="0" w:color="auto"/>
        <w:left w:val="none" w:sz="0" w:space="0" w:color="auto"/>
        <w:bottom w:val="none" w:sz="0" w:space="0" w:color="auto"/>
        <w:right w:val="none" w:sz="0" w:space="0" w:color="auto"/>
      </w:divBdr>
    </w:div>
    <w:div w:id="545794305">
      <w:bodyDiv w:val="1"/>
      <w:marLeft w:val="0"/>
      <w:marRight w:val="0"/>
      <w:marTop w:val="0"/>
      <w:marBottom w:val="0"/>
      <w:divBdr>
        <w:top w:val="none" w:sz="0" w:space="0" w:color="auto"/>
        <w:left w:val="none" w:sz="0" w:space="0" w:color="auto"/>
        <w:bottom w:val="none" w:sz="0" w:space="0" w:color="auto"/>
        <w:right w:val="none" w:sz="0" w:space="0" w:color="auto"/>
      </w:divBdr>
    </w:div>
    <w:div w:id="545875264">
      <w:bodyDiv w:val="1"/>
      <w:marLeft w:val="0"/>
      <w:marRight w:val="0"/>
      <w:marTop w:val="0"/>
      <w:marBottom w:val="0"/>
      <w:divBdr>
        <w:top w:val="none" w:sz="0" w:space="0" w:color="auto"/>
        <w:left w:val="none" w:sz="0" w:space="0" w:color="auto"/>
        <w:bottom w:val="none" w:sz="0" w:space="0" w:color="auto"/>
        <w:right w:val="none" w:sz="0" w:space="0" w:color="auto"/>
      </w:divBdr>
    </w:div>
    <w:div w:id="545875807">
      <w:bodyDiv w:val="1"/>
      <w:marLeft w:val="0"/>
      <w:marRight w:val="0"/>
      <w:marTop w:val="0"/>
      <w:marBottom w:val="0"/>
      <w:divBdr>
        <w:top w:val="none" w:sz="0" w:space="0" w:color="auto"/>
        <w:left w:val="none" w:sz="0" w:space="0" w:color="auto"/>
        <w:bottom w:val="none" w:sz="0" w:space="0" w:color="auto"/>
        <w:right w:val="none" w:sz="0" w:space="0" w:color="auto"/>
      </w:divBdr>
    </w:div>
    <w:div w:id="546066915">
      <w:bodyDiv w:val="1"/>
      <w:marLeft w:val="0"/>
      <w:marRight w:val="0"/>
      <w:marTop w:val="0"/>
      <w:marBottom w:val="0"/>
      <w:divBdr>
        <w:top w:val="none" w:sz="0" w:space="0" w:color="auto"/>
        <w:left w:val="none" w:sz="0" w:space="0" w:color="auto"/>
        <w:bottom w:val="none" w:sz="0" w:space="0" w:color="auto"/>
        <w:right w:val="none" w:sz="0" w:space="0" w:color="auto"/>
      </w:divBdr>
    </w:div>
    <w:div w:id="546338890">
      <w:bodyDiv w:val="1"/>
      <w:marLeft w:val="0"/>
      <w:marRight w:val="0"/>
      <w:marTop w:val="0"/>
      <w:marBottom w:val="0"/>
      <w:divBdr>
        <w:top w:val="none" w:sz="0" w:space="0" w:color="auto"/>
        <w:left w:val="none" w:sz="0" w:space="0" w:color="auto"/>
        <w:bottom w:val="none" w:sz="0" w:space="0" w:color="auto"/>
        <w:right w:val="none" w:sz="0" w:space="0" w:color="auto"/>
      </w:divBdr>
    </w:div>
    <w:div w:id="546456268">
      <w:bodyDiv w:val="1"/>
      <w:marLeft w:val="0"/>
      <w:marRight w:val="0"/>
      <w:marTop w:val="0"/>
      <w:marBottom w:val="0"/>
      <w:divBdr>
        <w:top w:val="none" w:sz="0" w:space="0" w:color="auto"/>
        <w:left w:val="none" w:sz="0" w:space="0" w:color="auto"/>
        <w:bottom w:val="none" w:sz="0" w:space="0" w:color="auto"/>
        <w:right w:val="none" w:sz="0" w:space="0" w:color="auto"/>
      </w:divBdr>
    </w:div>
    <w:div w:id="546527049">
      <w:bodyDiv w:val="1"/>
      <w:marLeft w:val="0"/>
      <w:marRight w:val="0"/>
      <w:marTop w:val="0"/>
      <w:marBottom w:val="0"/>
      <w:divBdr>
        <w:top w:val="none" w:sz="0" w:space="0" w:color="auto"/>
        <w:left w:val="none" w:sz="0" w:space="0" w:color="auto"/>
        <w:bottom w:val="none" w:sz="0" w:space="0" w:color="auto"/>
        <w:right w:val="none" w:sz="0" w:space="0" w:color="auto"/>
      </w:divBdr>
    </w:div>
    <w:div w:id="547568073">
      <w:bodyDiv w:val="1"/>
      <w:marLeft w:val="0"/>
      <w:marRight w:val="0"/>
      <w:marTop w:val="0"/>
      <w:marBottom w:val="0"/>
      <w:divBdr>
        <w:top w:val="none" w:sz="0" w:space="0" w:color="auto"/>
        <w:left w:val="none" w:sz="0" w:space="0" w:color="auto"/>
        <w:bottom w:val="none" w:sz="0" w:space="0" w:color="auto"/>
        <w:right w:val="none" w:sz="0" w:space="0" w:color="auto"/>
      </w:divBdr>
    </w:div>
    <w:div w:id="547839714">
      <w:bodyDiv w:val="1"/>
      <w:marLeft w:val="0"/>
      <w:marRight w:val="0"/>
      <w:marTop w:val="0"/>
      <w:marBottom w:val="0"/>
      <w:divBdr>
        <w:top w:val="none" w:sz="0" w:space="0" w:color="auto"/>
        <w:left w:val="none" w:sz="0" w:space="0" w:color="auto"/>
        <w:bottom w:val="none" w:sz="0" w:space="0" w:color="auto"/>
        <w:right w:val="none" w:sz="0" w:space="0" w:color="auto"/>
      </w:divBdr>
    </w:div>
    <w:div w:id="547960547">
      <w:bodyDiv w:val="1"/>
      <w:marLeft w:val="0"/>
      <w:marRight w:val="0"/>
      <w:marTop w:val="0"/>
      <w:marBottom w:val="0"/>
      <w:divBdr>
        <w:top w:val="none" w:sz="0" w:space="0" w:color="auto"/>
        <w:left w:val="none" w:sz="0" w:space="0" w:color="auto"/>
        <w:bottom w:val="none" w:sz="0" w:space="0" w:color="auto"/>
        <w:right w:val="none" w:sz="0" w:space="0" w:color="auto"/>
      </w:divBdr>
    </w:div>
    <w:div w:id="548610766">
      <w:bodyDiv w:val="1"/>
      <w:marLeft w:val="0"/>
      <w:marRight w:val="0"/>
      <w:marTop w:val="0"/>
      <w:marBottom w:val="0"/>
      <w:divBdr>
        <w:top w:val="none" w:sz="0" w:space="0" w:color="auto"/>
        <w:left w:val="none" w:sz="0" w:space="0" w:color="auto"/>
        <w:bottom w:val="none" w:sz="0" w:space="0" w:color="auto"/>
        <w:right w:val="none" w:sz="0" w:space="0" w:color="auto"/>
      </w:divBdr>
    </w:div>
    <w:div w:id="549078312">
      <w:bodyDiv w:val="1"/>
      <w:marLeft w:val="0"/>
      <w:marRight w:val="0"/>
      <w:marTop w:val="0"/>
      <w:marBottom w:val="0"/>
      <w:divBdr>
        <w:top w:val="none" w:sz="0" w:space="0" w:color="auto"/>
        <w:left w:val="none" w:sz="0" w:space="0" w:color="auto"/>
        <w:bottom w:val="none" w:sz="0" w:space="0" w:color="auto"/>
        <w:right w:val="none" w:sz="0" w:space="0" w:color="auto"/>
      </w:divBdr>
    </w:div>
    <w:div w:id="549535756">
      <w:bodyDiv w:val="1"/>
      <w:marLeft w:val="0"/>
      <w:marRight w:val="0"/>
      <w:marTop w:val="0"/>
      <w:marBottom w:val="0"/>
      <w:divBdr>
        <w:top w:val="none" w:sz="0" w:space="0" w:color="auto"/>
        <w:left w:val="none" w:sz="0" w:space="0" w:color="auto"/>
        <w:bottom w:val="none" w:sz="0" w:space="0" w:color="auto"/>
        <w:right w:val="none" w:sz="0" w:space="0" w:color="auto"/>
      </w:divBdr>
    </w:div>
    <w:div w:id="549616821">
      <w:bodyDiv w:val="1"/>
      <w:marLeft w:val="0"/>
      <w:marRight w:val="0"/>
      <w:marTop w:val="0"/>
      <w:marBottom w:val="0"/>
      <w:divBdr>
        <w:top w:val="none" w:sz="0" w:space="0" w:color="auto"/>
        <w:left w:val="none" w:sz="0" w:space="0" w:color="auto"/>
        <w:bottom w:val="none" w:sz="0" w:space="0" w:color="auto"/>
        <w:right w:val="none" w:sz="0" w:space="0" w:color="auto"/>
      </w:divBdr>
    </w:div>
    <w:div w:id="549851623">
      <w:bodyDiv w:val="1"/>
      <w:marLeft w:val="0"/>
      <w:marRight w:val="0"/>
      <w:marTop w:val="0"/>
      <w:marBottom w:val="0"/>
      <w:divBdr>
        <w:top w:val="none" w:sz="0" w:space="0" w:color="auto"/>
        <w:left w:val="none" w:sz="0" w:space="0" w:color="auto"/>
        <w:bottom w:val="none" w:sz="0" w:space="0" w:color="auto"/>
        <w:right w:val="none" w:sz="0" w:space="0" w:color="auto"/>
      </w:divBdr>
    </w:div>
    <w:div w:id="550189751">
      <w:bodyDiv w:val="1"/>
      <w:marLeft w:val="0"/>
      <w:marRight w:val="0"/>
      <w:marTop w:val="0"/>
      <w:marBottom w:val="0"/>
      <w:divBdr>
        <w:top w:val="none" w:sz="0" w:space="0" w:color="auto"/>
        <w:left w:val="none" w:sz="0" w:space="0" w:color="auto"/>
        <w:bottom w:val="none" w:sz="0" w:space="0" w:color="auto"/>
        <w:right w:val="none" w:sz="0" w:space="0" w:color="auto"/>
      </w:divBdr>
    </w:div>
    <w:div w:id="550964600">
      <w:bodyDiv w:val="1"/>
      <w:marLeft w:val="0"/>
      <w:marRight w:val="0"/>
      <w:marTop w:val="0"/>
      <w:marBottom w:val="0"/>
      <w:divBdr>
        <w:top w:val="none" w:sz="0" w:space="0" w:color="auto"/>
        <w:left w:val="none" w:sz="0" w:space="0" w:color="auto"/>
        <w:bottom w:val="none" w:sz="0" w:space="0" w:color="auto"/>
        <w:right w:val="none" w:sz="0" w:space="0" w:color="auto"/>
      </w:divBdr>
    </w:div>
    <w:div w:id="551501972">
      <w:bodyDiv w:val="1"/>
      <w:marLeft w:val="0"/>
      <w:marRight w:val="0"/>
      <w:marTop w:val="0"/>
      <w:marBottom w:val="0"/>
      <w:divBdr>
        <w:top w:val="none" w:sz="0" w:space="0" w:color="auto"/>
        <w:left w:val="none" w:sz="0" w:space="0" w:color="auto"/>
        <w:bottom w:val="none" w:sz="0" w:space="0" w:color="auto"/>
        <w:right w:val="none" w:sz="0" w:space="0" w:color="auto"/>
      </w:divBdr>
    </w:div>
    <w:div w:id="551578029">
      <w:bodyDiv w:val="1"/>
      <w:marLeft w:val="0"/>
      <w:marRight w:val="0"/>
      <w:marTop w:val="0"/>
      <w:marBottom w:val="0"/>
      <w:divBdr>
        <w:top w:val="none" w:sz="0" w:space="0" w:color="auto"/>
        <w:left w:val="none" w:sz="0" w:space="0" w:color="auto"/>
        <w:bottom w:val="none" w:sz="0" w:space="0" w:color="auto"/>
        <w:right w:val="none" w:sz="0" w:space="0" w:color="auto"/>
      </w:divBdr>
    </w:div>
    <w:div w:id="552232886">
      <w:bodyDiv w:val="1"/>
      <w:marLeft w:val="0"/>
      <w:marRight w:val="0"/>
      <w:marTop w:val="0"/>
      <w:marBottom w:val="0"/>
      <w:divBdr>
        <w:top w:val="none" w:sz="0" w:space="0" w:color="auto"/>
        <w:left w:val="none" w:sz="0" w:space="0" w:color="auto"/>
        <w:bottom w:val="none" w:sz="0" w:space="0" w:color="auto"/>
        <w:right w:val="none" w:sz="0" w:space="0" w:color="auto"/>
      </w:divBdr>
    </w:div>
    <w:div w:id="552622355">
      <w:bodyDiv w:val="1"/>
      <w:marLeft w:val="0"/>
      <w:marRight w:val="0"/>
      <w:marTop w:val="0"/>
      <w:marBottom w:val="0"/>
      <w:divBdr>
        <w:top w:val="none" w:sz="0" w:space="0" w:color="auto"/>
        <w:left w:val="none" w:sz="0" w:space="0" w:color="auto"/>
        <w:bottom w:val="none" w:sz="0" w:space="0" w:color="auto"/>
        <w:right w:val="none" w:sz="0" w:space="0" w:color="auto"/>
      </w:divBdr>
    </w:div>
    <w:div w:id="553078656">
      <w:bodyDiv w:val="1"/>
      <w:marLeft w:val="0"/>
      <w:marRight w:val="0"/>
      <w:marTop w:val="0"/>
      <w:marBottom w:val="0"/>
      <w:divBdr>
        <w:top w:val="none" w:sz="0" w:space="0" w:color="auto"/>
        <w:left w:val="none" w:sz="0" w:space="0" w:color="auto"/>
        <w:bottom w:val="none" w:sz="0" w:space="0" w:color="auto"/>
        <w:right w:val="none" w:sz="0" w:space="0" w:color="auto"/>
      </w:divBdr>
    </w:div>
    <w:div w:id="553739541">
      <w:bodyDiv w:val="1"/>
      <w:marLeft w:val="0"/>
      <w:marRight w:val="0"/>
      <w:marTop w:val="0"/>
      <w:marBottom w:val="0"/>
      <w:divBdr>
        <w:top w:val="none" w:sz="0" w:space="0" w:color="auto"/>
        <w:left w:val="none" w:sz="0" w:space="0" w:color="auto"/>
        <w:bottom w:val="none" w:sz="0" w:space="0" w:color="auto"/>
        <w:right w:val="none" w:sz="0" w:space="0" w:color="auto"/>
      </w:divBdr>
    </w:div>
    <w:div w:id="556160806">
      <w:bodyDiv w:val="1"/>
      <w:marLeft w:val="0"/>
      <w:marRight w:val="0"/>
      <w:marTop w:val="0"/>
      <w:marBottom w:val="0"/>
      <w:divBdr>
        <w:top w:val="none" w:sz="0" w:space="0" w:color="auto"/>
        <w:left w:val="none" w:sz="0" w:space="0" w:color="auto"/>
        <w:bottom w:val="none" w:sz="0" w:space="0" w:color="auto"/>
        <w:right w:val="none" w:sz="0" w:space="0" w:color="auto"/>
      </w:divBdr>
      <w:divsChild>
        <w:div w:id="136267498">
          <w:marLeft w:val="0"/>
          <w:marRight w:val="0"/>
          <w:marTop w:val="0"/>
          <w:marBottom w:val="0"/>
          <w:divBdr>
            <w:top w:val="none" w:sz="0" w:space="0" w:color="auto"/>
            <w:left w:val="none" w:sz="0" w:space="0" w:color="auto"/>
            <w:bottom w:val="none" w:sz="0" w:space="0" w:color="auto"/>
            <w:right w:val="none" w:sz="0" w:space="0" w:color="auto"/>
          </w:divBdr>
        </w:div>
      </w:divsChild>
    </w:div>
    <w:div w:id="556160902">
      <w:bodyDiv w:val="1"/>
      <w:marLeft w:val="0"/>
      <w:marRight w:val="0"/>
      <w:marTop w:val="0"/>
      <w:marBottom w:val="0"/>
      <w:divBdr>
        <w:top w:val="none" w:sz="0" w:space="0" w:color="auto"/>
        <w:left w:val="none" w:sz="0" w:space="0" w:color="auto"/>
        <w:bottom w:val="none" w:sz="0" w:space="0" w:color="auto"/>
        <w:right w:val="none" w:sz="0" w:space="0" w:color="auto"/>
      </w:divBdr>
    </w:div>
    <w:div w:id="557282963">
      <w:bodyDiv w:val="1"/>
      <w:marLeft w:val="0"/>
      <w:marRight w:val="0"/>
      <w:marTop w:val="0"/>
      <w:marBottom w:val="0"/>
      <w:divBdr>
        <w:top w:val="none" w:sz="0" w:space="0" w:color="auto"/>
        <w:left w:val="none" w:sz="0" w:space="0" w:color="auto"/>
        <w:bottom w:val="none" w:sz="0" w:space="0" w:color="auto"/>
        <w:right w:val="none" w:sz="0" w:space="0" w:color="auto"/>
      </w:divBdr>
    </w:div>
    <w:div w:id="558057465">
      <w:bodyDiv w:val="1"/>
      <w:marLeft w:val="0"/>
      <w:marRight w:val="0"/>
      <w:marTop w:val="0"/>
      <w:marBottom w:val="0"/>
      <w:divBdr>
        <w:top w:val="none" w:sz="0" w:space="0" w:color="auto"/>
        <w:left w:val="none" w:sz="0" w:space="0" w:color="auto"/>
        <w:bottom w:val="none" w:sz="0" w:space="0" w:color="auto"/>
        <w:right w:val="none" w:sz="0" w:space="0" w:color="auto"/>
      </w:divBdr>
    </w:div>
    <w:div w:id="558512585">
      <w:bodyDiv w:val="1"/>
      <w:marLeft w:val="0"/>
      <w:marRight w:val="0"/>
      <w:marTop w:val="0"/>
      <w:marBottom w:val="0"/>
      <w:divBdr>
        <w:top w:val="none" w:sz="0" w:space="0" w:color="auto"/>
        <w:left w:val="none" w:sz="0" w:space="0" w:color="auto"/>
        <w:bottom w:val="none" w:sz="0" w:space="0" w:color="auto"/>
        <w:right w:val="none" w:sz="0" w:space="0" w:color="auto"/>
      </w:divBdr>
    </w:div>
    <w:div w:id="559828734">
      <w:bodyDiv w:val="1"/>
      <w:marLeft w:val="0"/>
      <w:marRight w:val="0"/>
      <w:marTop w:val="0"/>
      <w:marBottom w:val="0"/>
      <w:divBdr>
        <w:top w:val="none" w:sz="0" w:space="0" w:color="auto"/>
        <w:left w:val="none" w:sz="0" w:space="0" w:color="auto"/>
        <w:bottom w:val="none" w:sz="0" w:space="0" w:color="auto"/>
        <w:right w:val="none" w:sz="0" w:space="0" w:color="auto"/>
      </w:divBdr>
    </w:div>
    <w:div w:id="560604961">
      <w:bodyDiv w:val="1"/>
      <w:marLeft w:val="0"/>
      <w:marRight w:val="0"/>
      <w:marTop w:val="0"/>
      <w:marBottom w:val="0"/>
      <w:divBdr>
        <w:top w:val="none" w:sz="0" w:space="0" w:color="auto"/>
        <w:left w:val="none" w:sz="0" w:space="0" w:color="auto"/>
        <w:bottom w:val="none" w:sz="0" w:space="0" w:color="auto"/>
        <w:right w:val="none" w:sz="0" w:space="0" w:color="auto"/>
      </w:divBdr>
    </w:div>
    <w:div w:id="560944085">
      <w:bodyDiv w:val="1"/>
      <w:marLeft w:val="0"/>
      <w:marRight w:val="0"/>
      <w:marTop w:val="0"/>
      <w:marBottom w:val="0"/>
      <w:divBdr>
        <w:top w:val="none" w:sz="0" w:space="0" w:color="auto"/>
        <w:left w:val="none" w:sz="0" w:space="0" w:color="auto"/>
        <w:bottom w:val="none" w:sz="0" w:space="0" w:color="auto"/>
        <w:right w:val="none" w:sz="0" w:space="0" w:color="auto"/>
      </w:divBdr>
    </w:div>
    <w:div w:id="561214429">
      <w:bodyDiv w:val="1"/>
      <w:marLeft w:val="0"/>
      <w:marRight w:val="0"/>
      <w:marTop w:val="0"/>
      <w:marBottom w:val="0"/>
      <w:divBdr>
        <w:top w:val="none" w:sz="0" w:space="0" w:color="auto"/>
        <w:left w:val="none" w:sz="0" w:space="0" w:color="auto"/>
        <w:bottom w:val="none" w:sz="0" w:space="0" w:color="auto"/>
        <w:right w:val="none" w:sz="0" w:space="0" w:color="auto"/>
      </w:divBdr>
    </w:div>
    <w:div w:id="562908966">
      <w:bodyDiv w:val="1"/>
      <w:marLeft w:val="0"/>
      <w:marRight w:val="0"/>
      <w:marTop w:val="0"/>
      <w:marBottom w:val="0"/>
      <w:divBdr>
        <w:top w:val="none" w:sz="0" w:space="0" w:color="auto"/>
        <w:left w:val="none" w:sz="0" w:space="0" w:color="auto"/>
        <w:bottom w:val="none" w:sz="0" w:space="0" w:color="auto"/>
        <w:right w:val="none" w:sz="0" w:space="0" w:color="auto"/>
      </w:divBdr>
    </w:div>
    <w:div w:id="563375870">
      <w:bodyDiv w:val="1"/>
      <w:marLeft w:val="0"/>
      <w:marRight w:val="0"/>
      <w:marTop w:val="0"/>
      <w:marBottom w:val="0"/>
      <w:divBdr>
        <w:top w:val="none" w:sz="0" w:space="0" w:color="auto"/>
        <w:left w:val="none" w:sz="0" w:space="0" w:color="auto"/>
        <w:bottom w:val="none" w:sz="0" w:space="0" w:color="auto"/>
        <w:right w:val="none" w:sz="0" w:space="0" w:color="auto"/>
      </w:divBdr>
    </w:div>
    <w:div w:id="564074151">
      <w:bodyDiv w:val="1"/>
      <w:marLeft w:val="0"/>
      <w:marRight w:val="0"/>
      <w:marTop w:val="0"/>
      <w:marBottom w:val="0"/>
      <w:divBdr>
        <w:top w:val="none" w:sz="0" w:space="0" w:color="auto"/>
        <w:left w:val="none" w:sz="0" w:space="0" w:color="auto"/>
        <w:bottom w:val="none" w:sz="0" w:space="0" w:color="auto"/>
        <w:right w:val="none" w:sz="0" w:space="0" w:color="auto"/>
      </w:divBdr>
    </w:div>
    <w:div w:id="564292279">
      <w:bodyDiv w:val="1"/>
      <w:marLeft w:val="0"/>
      <w:marRight w:val="0"/>
      <w:marTop w:val="0"/>
      <w:marBottom w:val="0"/>
      <w:divBdr>
        <w:top w:val="none" w:sz="0" w:space="0" w:color="auto"/>
        <w:left w:val="none" w:sz="0" w:space="0" w:color="auto"/>
        <w:bottom w:val="none" w:sz="0" w:space="0" w:color="auto"/>
        <w:right w:val="none" w:sz="0" w:space="0" w:color="auto"/>
      </w:divBdr>
    </w:div>
    <w:div w:id="564337282">
      <w:bodyDiv w:val="1"/>
      <w:marLeft w:val="0"/>
      <w:marRight w:val="0"/>
      <w:marTop w:val="0"/>
      <w:marBottom w:val="0"/>
      <w:divBdr>
        <w:top w:val="none" w:sz="0" w:space="0" w:color="auto"/>
        <w:left w:val="none" w:sz="0" w:space="0" w:color="auto"/>
        <w:bottom w:val="none" w:sz="0" w:space="0" w:color="auto"/>
        <w:right w:val="none" w:sz="0" w:space="0" w:color="auto"/>
      </w:divBdr>
    </w:div>
    <w:div w:id="565334052">
      <w:bodyDiv w:val="1"/>
      <w:marLeft w:val="0"/>
      <w:marRight w:val="0"/>
      <w:marTop w:val="0"/>
      <w:marBottom w:val="0"/>
      <w:divBdr>
        <w:top w:val="none" w:sz="0" w:space="0" w:color="auto"/>
        <w:left w:val="none" w:sz="0" w:space="0" w:color="auto"/>
        <w:bottom w:val="none" w:sz="0" w:space="0" w:color="auto"/>
        <w:right w:val="none" w:sz="0" w:space="0" w:color="auto"/>
      </w:divBdr>
    </w:div>
    <w:div w:id="565451906">
      <w:bodyDiv w:val="1"/>
      <w:marLeft w:val="0"/>
      <w:marRight w:val="0"/>
      <w:marTop w:val="0"/>
      <w:marBottom w:val="0"/>
      <w:divBdr>
        <w:top w:val="none" w:sz="0" w:space="0" w:color="auto"/>
        <w:left w:val="none" w:sz="0" w:space="0" w:color="auto"/>
        <w:bottom w:val="none" w:sz="0" w:space="0" w:color="auto"/>
        <w:right w:val="none" w:sz="0" w:space="0" w:color="auto"/>
      </w:divBdr>
    </w:div>
    <w:div w:id="566648332">
      <w:bodyDiv w:val="1"/>
      <w:marLeft w:val="0"/>
      <w:marRight w:val="0"/>
      <w:marTop w:val="0"/>
      <w:marBottom w:val="0"/>
      <w:divBdr>
        <w:top w:val="none" w:sz="0" w:space="0" w:color="auto"/>
        <w:left w:val="none" w:sz="0" w:space="0" w:color="auto"/>
        <w:bottom w:val="none" w:sz="0" w:space="0" w:color="auto"/>
        <w:right w:val="none" w:sz="0" w:space="0" w:color="auto"/>
      </w:divBdr>
    </w:div>
    <w:div w:id="566916162">
      <w:bodyDiv w:val="1"/>
      <w:marLeft w:val="0"/>
      <w:marRight w:val="0"/>
      <w:marTop w:val="0"/>
      <w:marBottom w:val="0"/>
      <w:divBdr>
        <w:top w:val="none" w:sz="0" w:space="0" w:color="auto"/>
        <w:left w:val="none" w:sz="0" w:space="0" w:color="auto"/>
        <w:bottom w:val="none" w:sz="0" w:space="0" w:color="auto"/>
        <w:right w:val="none" w:sz="0" w:space="0" w:color="auto"/>
      </w:divBdr>
    </w:div>
    <w:div w:id="567568362">
      <w:bodyDiv w:val="1"/>
      <w:marLeft w:val="0"/>
      <w:marRight w:val="0"/>
      <w:marTop w:val="0"/>
      <w:marBottom w:val="0"/>
      <w:divBdr>
        <w:top w:val="none" w:sz="0" w:space="0" w:color="auto"/>
        <w:left w:val="none" w:sz="0" w:space="0" w:color="auto"/>
        <w:bottom w:val="none" w:sz="0" w:space="0" w:color="auto"/>
        <w:right w:val="none" w:sz="0" w:space="0" w:color="auto"/>
      </w:divBdr>
    </w:div>
    <w:div w:id="567804566">
      <w:bodyDiv w:val="1"/>
      <w:marLeft w:val="0"/>
      <w:marRight w:val="0"/>
      <w:marTop w:val="0"/>
      <w:marBottom w:val="0"/>
      <w:divBdr>
        <w:top w:val="none" w:sz="0" w:space="0" w:color="auto"/>
        <w:left w:val="none" w:sz="0" w:space="0" w:color="auto"/>
        <w:bottom w:val="none" w:sz="0" w:space="0" w:color="auto"/>
        <w:right w:val="none" w:sz="0" w:space="0" w:color="auto"/>
      </w:divBdr>
    </w:div>
    <w:div w:id="570042961">
      <w:bodyDiv w:val="1"/>
      <w:marLeft w:val="0"/>
      <w:marRight w:val="0"/>
      <w:marTop w:val="0"/>
      <w:marBottom w:val="0"/>
      <w:divBdr>
        <w:top w:val="none" w:sz="0" w:space="0" w:color="auto"/>
        <w:left w:val="none" w:sz="0" w:space="0" w:color="auto"/>
        <w:bottom w:val="none" w:sz="0" w:space="0" w:color="auto"/>
        <w:right w:val="none" w:sz="0" w:space="0" w:color="auto"/>
      </w:divBdr>
    </w:div>
    <w:div w:id="570115128">
      <w:bodyDiv w:val="1"/>
      <w:marLeft w:val="0"/>
      <w:marRight w:val="0"/>
      <w:marTop w:val="0"/>
      <w:marBottom w:val="0"/>
      <w:divBdr>
        <w:top w:val="none" w:sz="0" w:space="0" w:color="auto"/>
        <w:left w:val="none" w:sz="0" w:space="0" w:color="auto"/>
        <w:bottom w:val="none" w:sz="0" w:space="0" w:color="auto"/>
        <w:right w:val="none" w:sz="0" w:space="0" w:color="auto"/>
      </w:divBdr>
    </w:div>
    <w:div w:id="570164129">
      <w:bodyDiv w:val="1"/>
      <w:marLeft w:val="0"/>
      <w:marRight w:val="0"/>
      <w:marTop w:val="0"/>
      <w:marBottom w:val="0"/>
      <w:divBdr>
        <w:top w:val="none" w:sz="0" w:space="0" w:color="auto"/>
        <w:left w:val="none" w:sz="0" w:space="0" w:color="auto"/>
        <w:bottom w:val="none" w:sz="0" w:space="0" w:color="auto"/>
        <w:right w:val="none" w:sz="0" w:space="0" w:color="auto"/>
      </w:divBdr>
    </w:div>
    <w:div w:id="571352667">
      <w:bodyDiv w:val="1"/>
      <w:marLeft w:val="0"/>
      <w:marRight w:val="0"/>
      <w:marTop w:val="0"/>
      <w:marBottom w:val="0"/>
      <w:divBdr>
        <w:top w:val="none" w:sz="0" w:space="0" w:color="auto"/>
        <w:left w:val="none" w:sz="0" w:space="0" w:color="auto"/>
        <w:bottom w:val="none" w:sz="0" w:space="0" w:color="auto"/>
        <w:right w:val="none" w:sz="0" w:space="0" w:color="auto"/>
      </w:divBdr>
    </w:div>
    <w:div w:id="571544521">
      <w:bodyDiv w:val="1"/>
      <w:marLeft w:val="0"/>
      <w:marRight w:val="0"/>
      <w:marTop w:val="0"/>
      <w:marBottom w:val="0"/>
      <w:divBdr>
        <w:top w:val="none" w:sz="0" w:space="0" w:color="auto"/>
        <w:left w:val="none" w:sz="0" w:space="0" w:color="auto"/>
        <w:bottom w:val="none" w:sz="0" w:space="0" w:color="auto"/>
        <w:right w:val="none" w:sz="0" w:space="0" w:color="auto"/>
      </w:divBdr>
    </w:div>
    <w:div w:id="572006928">
      <w:bodyDiv w:val="1"/>
      <w:marLeft w:val="0"/>
      <w:marRight w:val="0"/>
      <w:marTop w:val="0"/>
      <w:marBottom w:val="0"/>
      <w:divBdr>
        <w:top w:val="none" w:sz="0" w:space="0" w:color="auto"/>
        <w:left w:val="none" w:sz="0" w:space="0" w:color="auto"/>
        <w:bottom w:val="none" w:sz="0" w:space="0" w:color="auto"/>
        <w:right w:val="none" w:sz="0" w:space="0" w:color="auto"/>
      </w:divBdr>
    </w:div>
    <w:div w:id="572010938">
      <w:bodyDiv w:val="1"/>
      <w:marLeft w:val="0"/>
      <w:marRight w:val="0"/>
      <w:marTop w:val="0"/>
      <w:marBottom w:val="0"/>
      <w:divBdr>
        <w:top w:val="none" w:sz="0" w:space="0" w:color="auto"/>
        <w:left w:val="none" w:sz="0" w:space="0" w:color="auto"/>
        <w:bottom w:val="none" w:sz="0" w:space="0" w:color="auto"/>
        <w:right w:val="none" w:sz="0" w:space="0" w:color="auto"/>
      </w:divBdr>
    </w:div>
    <w:div w:id="572274521">
      <w:bodyDiv w:val="1"/>
      <w:marLeft w:val="0"/>
      <w:marRight w:val="0"/>
      <w:marTop w:val="0"/>
      <w:marBottom w:val="0"/>
      <w:divBdr>
        <w:top w:val="none" w:sz="0" w:space="0" w:color="auto"/>
        <w:left w:val="none" w:sz="0" w:space="0" w:color="auto"/>
        <w:bottom w:val="none" w:sz="0" w:space="0" w:color="auto"/>
        <w:right w:val="none" w:sz="0" w:space="0" w:color="auto"/>
      </w:divBdr>
    </w:div>
    <w:div w:id="572546486">
      <w:bodyDiv w:val="1"/>
      <w:marLeft w:val="0"/>
      <w:marRight w:val="0"/>
      <w:marTop w:val="0"/>
      <w:marBottom w:val="0"/>
      <w:divBdr>
        <w:top w:val="none" w:sz="0" w:space="0" w:color="auto"/>
        <w:left w:val="none" w:sz="0" w:space="0" w:color="auto"/>
        <w:bottom w:val="none" w:sz="0" w:space="0" w:color="auto"/>
        <w:right w:val="none" w:sz="0" w:space="0" w:color="auto"/>
      </w:divBdr>
    </w:div>
    <w:div w:id="572667949">
      <w:bodyDiv w:val="1"/>
      <w:marLeft w:val="0"/>
      <w:marRight w:val="0"/>
      <w:marTop w:val="0"/>
      <w:marBottom w:val="0"/>
      <w:divBdr>
        <w:top w:val="none" w:sz="0" w:space="0" w:color="auto"/>
        <w:left w:val="none" w:sz="0" w:space="0" w:color="auto"/>
        <w:bottom w:val="none" w:sz="0" w:space="0" w:color="auto"/>
        <w:right w:val="none" w:sz="0" w:space="0" w:color="auto"/>
      </w:divBdr>
    </w:div>
    <w:div w:id="572736290">
      <w:bodyDiv w:val="1"/>
      <w:marLeft w:val="0"/>
      <w:marRight w:val="0"/>
      <w:marTop w:val="0"/>
      <w:marBottom w:val="0"/>
      <w:divBdr>
        <w:top w:val="none" w:sz="0" w:space="0" w:color="auto"/>
        <w:left w:val="none" w:sz="0" w:space="0" w:color="auto"/>
        <w:bottom w:val="none" w:sz="0" w:space="0" w:color="auto"/>
        <w:right w:val="none" w:sz="0" w:space="0" w:color="auto"/>
      </w:divBdr>
    </w:div>
    <w:div w:id="572930726">
      <w:bodyDiv w:val="1"/>
      <w:marLeft w:val="0"/>
      <w:marRight w:val="0"/>
      <w:marTop w:val="0"/>
      <w:marBottom w:val="0"/>
      <w:divBdr>
        <w:top w:val="none" w:sz="0" w:space="0" w:color="auto"/>
        <w:left w:val="none" w:sz="0" w:space="0" w:color="auto"/>
        <w:bottom w:val="none" w:sz="0" w:space="0" w:color="auto"/>
        <w:right w:val="none" w:sz="0" w:space="0" w:color="auto"/>
      </w:divBdr>
    </w:div>
    <w:div w:id="572931045">
      <w:bodyDiv w:val="1"/>
      <w:marLeft w:val="0"/>
      <w:marRight w:val="0"/>
      <w:marTop w:val="0"/>
      <w:marBottom w:val="0"/>
      <w:divBdr>
        <w:top w:val="none" w:sz="0" w:space="0" w:color="auto"/>
        <w:left w:val="none" w:sz="0" w:space="0" w:color="auto"/>
        <w:bottom w:val="none" w:sz="0" w:space="0" w:color="auto"/>
        <w:right w:val="none" w:sz="0" w:space="0" w:color="auto"/>
      </w:divBdr>
    </w:div>
    <w:div w:id="574361759">
      <w:bodyDiv w:val="1"/>
      <w:marLeft w:val="0"/>
      <w:marRight w:val="0"/>
      <w:marTop w:val="0"/>
      <w:marBottom w:val="0"/>
      <w:divBdr>
        <w:top w:val="none" w:sz="0" w:space="0" w:color="auto"/>
        <w:left w:val="none" w:sz="0" w:space="0" w:color="auto"/>
        <w:bottom w:val="none" w:sz="0" w:space="0" w:color="auto"/>
        <w:right w:val="none" w:sz="0" w:space="0" w:color="auto"/>
      </w:divBdr>
    </w:div>
    <w:div w:id="574777716">
      <w:bodyDiv w:val="1"/>
      <w:marLeft w:val="0"/>
      <w:marRight w:val="0"/>
      <w:marTop w:val="0"/>
      <w:marBottom w:val="0"/>
      <w:divBdr>
        <w:top w:val="none" w:sz="0" w:space="0" w:color="auto"/>
        <w:left w:val="none" w:sz="0" w:space="0" w:color="auto"/>
        <w:bottom w:val="none" w:sz="0" w:space="0" w:color="auto"/>
        <w:right w:val="none" w:sz="0" w:space="0" w:color="auto"/>
      </w:divBdr>
    </w:div>
    <w:div w:id="575171255">
      <w:bodyDiv w:val="1"/>
      <w:marLeft w:val="0"/>
      <w:marRight w:val="0"/>
      <w:marTop w:val="0"/>
      <w:marBottom w:val="0"/>
      <w:divBdr>
        <w:top w:val="none" w:sz="0" w:space="0" w:color="auto"/>
        <w:left w:val="none" w:sz="0" w:space="0" w:color="auto"/>
        <w:bottom w:val="none" w:sz="0" w:space="0" w:color="auto"/>
        <w:right w:val="none" w:sz="0" w:space="0" w:color="auto"/>
      </w:divBdr>
    </w:div>
    <w:div w:id="575634008">
      <w:bodyDiv w:val="1"/>
      <w:marLeft w:val="0"/>
      <w:marRight w:val="0"/>
      <w:marTop w:val="0"/>
      <w:marBottom w:val="0"/>
      <w:divBdr>
        <w:top w:val="none" w:sz="0" w:space="0" w:color="auto"/>
        <w:left w:val="none" w:sz="0" w:space="0" w:color="auto"/>
        <w:bottom w:val="none" w:sz="0" w:space="0" w:color="auto"/>
        <w:right w:val="none" w:sz="0" w:space="0" w:color="auto"/>
      </w:divBdr>
    </w:div>
    <w:div w:id="576481207">
      <w:bodyDiv w:val="1"/>
      <w:marLeft w:val="0"/>
      <w:marRight w:val="0"/>
      <w:marTop w:val="0"/>
      <w:marBottom w:val="0"/>
      <w:divBdr>
        <w:top w:val="none" w:sz="0" w:space="0" w:color="auto"/>
        <w:left w:val="none" w:sz="0" w:space="0" w:color="auto"/>
        <w:bottom w:val="none" w:sz="0" w:space="0" w:color="auto"/>
        <w:right w:val="none" w:sz="0" w:space="0" w:color="auto"/>
      </w:divBdr>
    </w:div>
    <w:div w:id="577206035">
      <w:bodyDiv w:val="1"/>
      <w:marLeft w:val="0"/>
      <w:marRight w:val="0"/>
      <w:marTop w:val="0"/>
      <w:marBottom w:val="0"/>
      <w:divBdr>
        <w:top w:val="none" w:sz="0" w:space="0" w:color="auto"/>
        <w:left w:val="none" w:sz="0" w:space="0" w:color="auto"/>
        <w:bottom w:val="none" w:sz="0" w:space="0" w:color="auto"/>
        <w:right w:val="none" w:sz="0" w:space="0" w:color="auto"/>
      </w:divBdr>
    </w:div>
    <w:div w:id="578635504">
      <w:bodyDiv w:val="1"/>
      <w:marLeft w:val="0"/>
      <w:marRight w:val="0"/>
      <w:marTop w:val="0"/>
      <w:marBottom w:val="0"/>
      <w:divBdr>
        <w:top w:val="none" w:sz="0" w:space="0" w:color="auto"/>
        <w:left w:val="none" w:sz="0" w:space="0" w:color="auto"/>
        <w:bottom w:val="none" w:sz="0" w:space="0" w:color="auto"/>
        <w:right w:val="none" w:sz="0" w:space="0" w:color="auto"/>
      </w:divBdr>
    </w:div>
    <w:div w:id="579098804">
      <w:bodyDiv w:val="1"/>
      <w:marLeft w:val="0"/>
      <w:marRight w:val="0"/>
      <w:marTop w:val="0"/>
      <w:marBottom w:val="0"/>
      <w:divBdr>
        <w:top w:val="none" w:sz="0" w:space="0" w:color="auto"/>
        <w:left w:val="none" w:sz="0" w:space="0" w:color="auto"/>
        <w:bottom w:val="none" w:sz="0" w:space="0" w:color="auto"/>
        <w:right w:val="none" w:sz="0" w:space="0" w:color="auto"/>
      </w:divBdr>
    </w:div>
    <w:div w:id="579214370">
      <w:bodyDiv w:val="1"/>
      <w:marLeft w:val="0"/>
      <w:marRight w:val="0"/>
      <w:marTop w:val="0"/>
      <w:marBottom w:val="0"/>
      <w:divBdr>
        <w:top w:val="none" w:sz="0" w:space="0" w:color="auto"/>
        <w:left w:val="none" w:sz="0" w:space="0" w:color="auto"/>
        <w:bottom w:val="none" w:sz="0" w:space="0" w:color="auto"/>
        <w:right w:val="none" w:sz="0" w:space="0" w:color="auto"/>
      </w:divBdr>
    </w:div>
    <w:div w:id="580482465">
      <w:bodyDiv w:val="1"/>
      <w:marLeft w:val="0"/>
      <w:marRight w:val="0"/>
      <w:marTop w:val="0"/>
      <w:marBottom w:val="0"/>
      <w:divBdr>
        <w:top w:val="none" w:sz="0" w:space="0" w:color="auto"/>
        <w:left w:val="none" w:sz="0" w:space="0" w:color="auto"/>
        <w:bottom w:val="none" w:sz="0" w:space="0" w:color="auto"/>
        <w:right w:val="none" w:sz="0" w:space="0" w:color="auto"/>
      </w:divBdr>
    </w:div>
    <w:div w:id="580792350">
      <w:bodyDiv w:val="1"/>
      <w:marLeft w:val="0"/>
      <w:marRight w:val="0"/>
      <w:marTop w:val="0"/>
      <w:marBottom w:val="0"/>
      <w:divBdr>
        <w:top w:val="none" w:sz="0" w:space="0" w:color="auto"/>
        <w:left w:val="none" w:sz="0" w:space="0" w:color="auto"/>
        <w:bottom w:val="none" w:sz="0" w:space="0" w:color="auto"/>
        <w:right w:val="none" w:sz="0" w:space="0" w:color="auto"/>
      </w:divBdr>
    </w:div>
    <w:div w:id="580985470">
      <w:bodyDiv w:val="1"/>
      <w:marLeft w:val="0"/>
      <w:marRight w:val="0"/>
      <w:marTop w:val="0"/>
      <w:marBottom w:val="0"/>
      <w:divBdr>
        <w:top w:val="none" w:sz="0" w:space="0" w:color="auto"/>
        <w:left w:val="none" w:sz="0" w:space="0" w:color="auto"/>
        <w:bottom w:val="none" w:sz="0" w:space="0" w:color="auto"/>
        <w:right w:val="none" w:sz="0" w:space="0" w:color="auto"/>
      </w:divBdr>
    </w:div>
    <w:div w:id="581841069">
      <w:bodyDiv w:val="1"/>
      <w:marLeft w:val="0"/>
      <w:marRight w:val="0"/>
      <w:marTop w:val="0"/>
      <w:marBottom w:val="0"/>
      <w:divBdr>
        <w:top w:val="none" w:sz="0" w:space="0" w:color="auto"/>
        <w:left w:val="none" w:sz="0" w:space="0" w:color="auto"/>
        <w:bottom w:val="none" w:sz="0" w:space="0" w:color="auto"/>
        <w:right w:val="none" w:sz="0" w:space="0" w:color="auto"/>
      </w:divBdr>
    </w:div>
    <w:div w:id="582226385">
      <w:bodyDiv w:val="1"/>
      <w:marLeft w:val="0"/>
      <w:marRight w:val="0"/>
      <w:marTop w:val="0"/>
      <w:marBottom w:val="0"/>
      <w:divBdr>
        <w:top w:val="none" w:sz="0" w:space="0" w:color="auto"/>
        <w:left w:val="none" w:sz="0" w:space="0" w:color="auto"/>
        <w:bottom w:val="none" w:sz="0" w:space="0" w:color="auto"/>
        <w:right w:val="none" w:sz="0" w:space="0" w:color="auto"/>
      </w:divBdr>
    </w:div>
    <w:div w:id="582295882">
      <w:bodyDiv w:val="1"/>
      <w:marLeft w:val="0"/>
      <w:marRight w:val="0"/>
      <w:marTop w:val="0"/>
      <w:marBottom w:val="0"/>
      <w:divBdr>
        <w:top w:val="none" w:sz="0" w:space="0" w:color="auto"/>
        <w:left w:val="none" w:sz="0" w:space="0" w:color="auto"/>
        <w:bottom w:val="none" w:sz="0" w:space="0" w:color="auto"/>
        <w:right w:val="none" w:sz="0" w:space="0" w:color="auto"/>
      </w:divBdr>
    </w:div>
    <w:div w:id="583146307">
      <w:bodyDiv w:val="1"/>
      <w:marLeft w:val="0"/>
      <w:marRight w:val="0"/>
      <w:marTop w:val="0"/>
      <w:marBottom w:val="0"/>
      <w:divBdr>
        <w:top w:val="none" w:sz="0" w:space="0" w:color="auto"/>
        <w:left w:val="none" w:sz="0" w:space="0" w:color="auto"/>
        <w:bottom w:val="none" w:sz="0" w:space="0" w:color="auto"/>
        <w:right w:val="none" w:sz="0" w:space="0" w:color="auto"/>
      </w:divBdr>
    </w:div>
    <w:div w:id="584072207">
      <w:bodyDiv w:val="1"/>
      <w:marLeft w:val="0"/>
      <w:marRight w:val="0"/>
      <w:marTop w:val="0"/>
      <w:marBottom w:val="0"/>
      <w:divBdr>
        <w:top w:val="none" w:sz="0" w:space="0" w:color="auto"/>
        <w:left w:val="none" w:sz="0" w:space="0" w:color="auto"/>
        <w:bottom w:val="none" w:sz="0" w:space="0" w:color="auto"/>
        <w:right w:val="none" w:sz="0" w:space="0" w:color="auto"/>
      </w:divBdr>
    </w:div>
    <w:div w:id="586111432">
      <w:bodyDiv w:val="1"/>
      <w:marLeft w:val="0"/>
      <w:marRight w:val="0"/>
      <w:marTop w:val="0"/>
      <w:marBottom w:val="0"/>
      <w:divBdr>
        <w:top w:val="none" w:sz="0" w:space="0" w:color="auto"/>
        <w:left w:val="none" w:sz="0" w:space="0" w:color="auto"/>
        <w:bottom w:val="none" w:sz="0" w:space="0" w:color="auto"/>
        <w:right w:val="none" w:sz="0" w:space="0" w:color="auto"/>
      </w:divBdr>
    </w:div>
    <w:div w:id="586118337">
      <w:bodyDiv w:val="1"/>
      <w:marLeft w:val="0"/>
      <w:marRight w:val="0"/>
      <w:marTop w:val="0"/>
      <w:marBottom w:val="0"/>
      <w:divBdr>
        <w:top w:val="none" w:sz="0" w:space="0" w:color="auto"/>
        <w:left w:val="none" w:sz="0" w:space="0" w:color="auto"/>
        <w:bottom w:val="none" w:sz="0" w:space="0" w:color="auto"/>
        <w:right w:val="none" w:sz="0" w:space="0" w:color="auto"/>
      </w:divBdr>
    </w:div>
    <w:div w:id="587663169">
      <w:bodyDiv w:val="1"/>
      <w:marLeft w:val="0"/>
      <w:marRight w:val="0"/>
      <w:marTop w:val="0"/>
      <w:marBottom w:val="0"/>
      <w:divBdr>
        <w:top w:val="none" w:sz="0" w:space="0" w:color="auto"/>
        <w:left w:val="none" w:sz="0" w:space="0" w:color="auto"/>
        <w:bottom w:val="none" w:sz="0" w:space="0" w:color="auto"/>
        <w:right w:val="none" w:sz="0" w:space="0" w:color="auto"/>
      </w:divBdr>
    </w:div>
    <w:div w:id="589513012">
      <w:bodyDiv w:val="1"/>
      <w:marLeft w:val="0"/>
      <w:marRight w:val="0"/>
      <w:marTop w:val="0"/>
      <w:marBottom w:val="0"/>
      <w:divBdr>
        <w:top w:val="none" w:sz="0" w:space="0" w:color="auto"/>
        <w:left w:val="none" w:sz="0" w:space="0" w:color="auto"/>
        <w:bottom w:val="none" w:sz="0" w:space="0" w:color="auto"/>
        <w:right w:val="none" w:sz="0" w:space="0" w:color="auto"/>
      </w:divBdr>
    </w:div>
    <w:div w:id="590699520">
      <w:bodyDiv w:val="1"/>
      <w:marLeft w:val="0"/>
      <w:marRight w:val="0"/>
      <w:marTop w:val="0"/>
      <w:marBottom w:val="0"/>
      <w:divBdr>
        <w:top w:val="none" w:sz="0" w:space="0" w:color="auto"/>
        <w:left w:val="none" w:sz="0" w:space="0" w:color="auto"/>
        <w:bottom w:val="none" w:sz="0" w:space="0" w:color="auto"/>
        <w:right w:val="none" w:sz="0" w:space="0" w:color="auto"/>
      </w:divBdr>
    </w:div>
    <w:div w:id="592856020">
      <w:bodyDiv w:val="1"/>
      <w:marLeft w:val="0"/>
      <w:marRight w:val="0"/>
      <w:marTop w:val="0"/>
      <w:marBottom w:val="0"/>
      <w:divBdr>
        <w:top w:val="none" w:sz="0" w:space="0" w:color="auto"/>
        <w:left w:val="none" w:sz="0" w:space="0" w:color="auto"/>
        <w:bottom w:val="none" w:sz="0" w:space="0" w:color="auto"/>
        <w:right w:val="none" w:sz="0" w:space="0" w:color="auto"/>
      </w:divBdr>
    </w:div>
    <w:div w:id="593710173">
      <w:bodyDiv w:val="1"/>
      <w:marLeft w:val="0"/>
      <w:marRight w:val="0"/>
      <w:marTop w:val="0"/>
      <w:marBottom w:val="0"/>
      <w:divBdr>
        <w:top w:val="none" w:sz="0" w:space="0" w:color="auto"/>
        <w:left w:val="none" w:sz="0" w:space="0" w:color="auto"/>
        <w:bottom w:val="none" w:sz="0" w:space="0" w:color="auto"/>
        <w:right w:val="none" w:sz="0" w:space="0" w:color="auto"/>
      </w:divBdr>
    </w:div>
    <w:div w:id="596985181">
      <w:bodyDiv w:val="1"/>
      <w:marLeft w:val="0"/>
      <w:marRight w:val="0"/>
      <w:marTop w:val="0"/>
      <w:marBottom w:val="0"/>
      <w:divBdr>
        <w:top w:val="none" w:sz="0" w:space="0" w:color="auto"/>
        <w:left w:val="none" w:sz="0" w:space="0" w:color="auto"/>
        <w:bottom w:val="none" w:sz="0" w:space="0" w:color="auto"/>
        <w:right w:val="none" w:sz="0" w:space="0" w:color="auto"/>
      </w:divBdr>
    </w:div>
    <w:div w:id="597296922">
      <w:bodyDiv w:val="1"/>
      <w:marLeft w:val="0"/>
      <w:marRight w:val="0"/>
      <w:marTop w:val="0"/>
      <w:marBottom w:val="0"/>
      <w:divBdr>
        <w:top w:val="none" w:sz="0" w:space="0" w:color="auto"/>
        <w:left w:val="none" w:sz="0" w:space="0" w:color="auto"/>
        <w:bottom w:val="none" w:sz="0" w:space="0" w:color="auto"/>
        <w:right w:val="none" w:sz="0" w:space="0" w:color="auto"/>
      </w:divBdr>
    </w:div>
    <w:div w:id="597448175">
      <w:bodyDiv w:val="1"/>
      <w:marLeft w:val="0"/>
      <w:marRight w:val="0"/>
      <w:marTop w:val="0"/>
      <w:marBottom w:val="0"/>
      <w:divBdr>
        <w:top w:val="none" w:sz="0" w:space="0" w:color="auto"/>
        <w:left w:val="none" w:sz="0" w:space="0" w:color="auto"/>
        <w:bottom w:val="none" w:sz="0" w:space="0" w:color="auto"/>
        <w:right w:val="none" w:sz="0" w:space="0" w:color="auto"/>
      </w:divBdr>
    </w:div>
    <w:div w:id="597519843">
      <w:bodyDiv w:val="1"/>
      <w:marLeft w:val="0"/>
      <w:marRight w:val="0"/>
      <w:marTop w:val="0"/>
      <w:marBottom w:val="0"/>
      <w:divBdr>
        <w:top w:val="none" w:sz="0" w:space="0" w:color="auto"/>
        <w:left w:val="none" w:sz="0" w:space="0" w:color="auto"/>
        <w:bottom w:val="none" w:sz="0" w:space="0" w:color="auto"/>
        <w:right w:val="none" w:sz="0" w:space="0" w:color="auto"/>
      </w:divBdr>
    </w:div>
    <w:div w:id="597760848">
      <w:bodyDiv w:val="1"/>
      <w:marLeft w:val="0"/>
      <w:marRight w:val="0"/>
      <w:marTop w:val="0"/>
      <w:marBottom w:val="0"/>
      <w:divBdr>
        <w:top w:val="none" w:sz="0" w:space="0" w:color="auto"/>
        <w:left w:val="none" w:sz="0" w:space="0" w:color="auto"/>
        <w:bottom w:val="none" w:sz="0" w:space="0" w:color="auto"/>
        <w:right w:val="none" w:sz="0" w:space="0" w:color="auto"/>
      </w:divBdr>
    </w:div>
    <w:div w:id="598219121">
      <w:bodyDiv w:val="1"/>
      <w:marLeft w:val="0"/>
      <w:marRight w:val="0"/>
      <w:marTop w:val="0"/>
      <w:marBottom w:val="0"/>
      <w:divBdr>
        <w:top w:val="none" w:sz="0" w:space="0" w:color="auto"/>
        <w:left w:val="none" w:sz="0" w:space="0" w:color="auto"/>
        <w:bottom w:val="none" w:sz="0" w:space="0" w:color="auto"/>
        <w:right w:val="none" w:sz="0" w:space="0" w:color="auto"/>
      </w:divBdr>
    </w:div>
    <w:div w:id="599335272">
      <w:bodyDiv w:val="1"/>
      <w:marLeft w:val="0"/>
      <w:marRight w:val="0"/>
      <w:marTop w:val="0"/>
      <w:marBottom w:val="0"/>
      <w:divBdr>
        <w:top w:val="none" w:sz="0" w:space="0" w:color="auto"/>
        <w:left w:val="none" w:sz="0" w:space="0" w:color="auto"/>
        <w:bottom w:val="none" w:sz="0" w:space="0" w:color="auto"/>
        <w:right w:val="none" w:sz="0" w:space="0" w:color="auto"/>
      </w:divBdr>
    </w:div>
    <w:div w:id="599721182">
      <w:bodyDiv w:val="1"/>
      <w:marLeft w:val="0"/>
      <w:marRight w:val="0"/>
      <w:marTop w:val="0"/>
      <w:marBottom w:val="0"/>
      <w:divBdr>
        <w:top w:val="none" w:sz="0" w:space="0" w:color="auto"/>
        <w:left w:val="none" w:sz="0" w:space="0" w:color="auto"/>
        <w:bottom w:val="none" w:sz="0" w:space="0" w:color="auto"/>
        <w:right w:val="none" w:sz="0" w:space="0" w:color="auto"/>
      </w:divBdr>
    </w:div>
    <w:div w:id="600182581">
      <w:bodyDiv w:val="1"/>
      <w:marLeft w:val="0"/>
      <w:marRight w:val="0"/>
      <w:marTop w:val="0"/>
      <w:marBottom w:val="0"/>
      <w:divBdr>
        <w:top w:val="none" w:sz="0" w:space="0" w:color="auto"/>
        <w:left w:val="none" w:sz="0" w:space="0" w:color="auto"/>
        <w:bottom w:val="none" w:sz="0" w:space="0" w:color="auto"/>
        <w:right w:val="none" w:sz="0" w:space="0" w:color="auto"/>
      </w:divBdr>
    </w:div>
    <w:div w:id="600264520">
      <w:bodyDiv w:val="1"/>
      <w:marLeft w:val="0"/>
      <w:marRight w:val="0"/>
      <w:marTop w:val="0"/>
      <w:marBottom w:val="0"/>
      <w:divBdr>
        <w:top w:val="none" w:sz="0" w:space="0" w:color="auto"/>
        <w:left w:val="none" w:sz="0" w:space="0" w:color="auto"/>
        <w:bottom w:val="none" w:sz="0" w:space="0" w:color="auto"/>
        <w:right w:val="none" w:sz="0" w:space="0" w:color="auto"/>
      </w:divBdr>
    </w:div>
    <w:div w:id="600378847">
      <w:bodyDiv w:val="1"/>
      <w:marLeft w:val="0"/>
      <w:marRight w:val="0"/>
      <w:marTop w:val="0"/>
      <w:marBottom w:val="0"/>
      <w:divBdr>
        <w:top w:val="none" w:sz="0" w:space="0" w:color="auto"/>
        <w:left w:val="none" w:sz="0" w:space="0" w:color="auto"/>
        <w:bottom w:val="none" w:sz="0" w:space="0" w:color="auto"/>
        <w:right w:val="none" w:sz="0" w:space="0" w:color="auto"/>
      </w:divBdr>
    </w:div>
    <w:div w:id="601185012">
      <w:bodyDiv w:val="1"/>
      <w:marLeft w:val="0"/>
      <w:marRight w:val="0"/>
      <w:marTop w:val="0"/>
      <w:marBottom w:val="0"/>
      <w:divBdr>
        <w:top w:val="none" w:sz="0" w:space="0" w:color="auto"/>
        <w:left w:val="none" w:sz="0" w:space="0" w:color="auto"/>
        <w:bottom w:val="none" w:sz="0" w:space="0" w:color="auto"/>
        <w:right w:val="none" w:sz="0" w:space="0" w:color="auto"/>
      </w:divBdr>
    </w:div>
    <w:div w:id="601186478">
      <w:bodyDiv w:val="1"/>
      <w:marLeft w:val="0"/>
      <w:marRight w:val="0"/>
      <w:marTop w:val="0"/>
      <w:marBottom w:val="0"/>
      <w:divBdr>
        <w:top w:val="none" w:sz="0" w:space="0" w:color="auto"/>
        <w:left w:val="none" w:sz="0" w:space="0" w:color="auto"/>
        <w:bottom w:val="none" w:sz="0" w:space="0" w:color="auto"/>
        <w:right w:val="none" w:sz="0" w:space="0" w:color="auto"/>
      </w:divBdr>
    </w:div>
    <w:div w:id="601650488">
      <w:bodyDiv w:val="1"/>
      <w:marLeft w:val="0"/>
      <w:marRight w:val="0"/>
      <w:marTop w:val="0"/>
      <w:marBottom w:val="0"/>
      <w:divBdr>
        <w:top w:val="none" w:sz="0" w:space="0" w:color="auto"/>
        <w:left w:val="none" w:sz="0" w:space="0" w:color="auto"/>
        <w:bottom w:val="none" w:sz="0" w:space="0" w:color="auto"/>
        <w:right w:val="none" w:sz="0" w:space="0" w:color="auto"/>
      </w:divBdr>
    </w:div>
    <w:div w:id="603878480">
      <w:bodyDiv w:val="1"/>
      <w:marLeft w:val="0"/>
      <w:marRight w:val="0"/>
      <w:marTop w:val="0"/>
      <w:marBottom w:val="0"/>
      <w:divBdr>
        <w:top w:val="none" w:sz="0" w:space="0" w:color="auto"/>
        <w:left w:val="none" w:sz="0" w:space="0" w:color="auto"/>
        <w:bottom w:val="none" w:sz="0" w:space="0" w:color="auto"/>
        <w:right w:val="none" w:sz="0" w:space="0" w:color="auto"/>
      </w:divBdr>
    </w:div>
    <w:div w:id="604117664">
      <w:bodyDiv w:val="1"/>
      <w:marLeft w:val="0"/>
      <w:marRight w:val="0"/>
      <w:marTop w:val="0"/>
      <w:marBottom w:val="0"/>
      <w:divBdr>
        <w:top w:val="none" w:sz="0" w:space="0" w:color="auto"/>
        <w:left w:val="none" w:sz="0" w:space="0" w:color="auto"/>
        <w:bottom w:val="none" w:sz="0" w:space="0" w:color="auto"/>
        <w:right w:val="none" w:sz="0" w:space="0" w:color="auto"/>
      </w:divBdr>
    </w:div>
    <w:div w:id="604121797">
      <w:bodyDiv w:val="1"/>
      <w:marLeft w:val="0"/>
      <w:marRight w:val="0"/>
      <w:marTop w:val="0"/>
      <w:marBottom w:val="0"/>
      <w:divBdr>
        <w:top w:val="none" w:sz="0" w:space="0" w:color="auto"/>
        <w:left w:val="none" w:sz="0" w:space="0" w:color="auto"/>
        <w:bottom w:val="none" w:sz="0" w:space="0" w:color="auto"/>
        <w:right w:val="none" w:sz="0" w:space="0" w:color="auto"/>
      </w:divBdr>
    </w:div>
    <w:div w:id="604387034">
      <w:bodyDiv w:val="1"/>
      <w:marLeft w:val="0"/>
      <w:marRight w:val="0"/>
      <w:marTop w:val="0"/>
      <w:marBottom w:val="0"/>
      <w:divBdr>
        <w:top w:val="none" w:sz="0" w:space="0" w:color="auto"/>
        <w:left w:val="none" w:sz="0" w:space="0" w:color="auto"/>
        <w:bottom w:val="none" w:sz="0" w:space="0" w:color="auto"/>
        <w:right w:val="none" w:sz="0" w:space="0" w:color="auto"/>
      </w:divBdr>
    </w:div>
    <w:div w:id="604390064">
      <w:bodyDiv w:val="1"/>
      <w:marLeft w:val="0"/>
      <w:marRight w:val="0"/>
      <w:marTop w:val="0"/>
      <w:marBottom w:val="0"/>
      <w:divBdr>
        <w:top w:val="none" w:sz="0" w:space="0" w:color="auto"/>
        <w:left w:val="none" w:sz="0" w:space="0" w:color="auto"/>
        <w:bottom w:val="none" w:sz="0" w:space="0" w:color="auto"/>
        <w:right w:val="none" w:sz="0" w:space="0" w:color="auto"/>
      </w:divBdr>
    </w:div>
    <w:div w:id="604731065">
      <w:bodyDiv w:val="1"/>
      <w:marLeft w:val="0"/>
      <w:marRight w:val="0"/>
      <w:marTop w:val="0"/>
      <w:marBottom w:val="0"/>
      <w:divBdr>
        <w:top w:val="none" w:sz="0" w:space="0" w:color="auto"/>
        <w:left w:val="none" w:sz="0" w:space="0" w:color="auto"/>
        <w:bottom w:val="none" w:sz="0" w:space="0" w:color="auto"/>
        <w:right w:val="none" w:sz="0" w:space="0" w:color="auto"/>
      </w:divBdr>
    </w:div>
    <w:div w:id="606037300">
      <w:bodyDiv w:val="1"/>
      <w:marLeft w:val="0"/>
      <w:marRight w:val="0"/>
      <w:marTop w:val="0"/>
      <w:marBottom w:val="0"/>
      <w:divBdr>
        <w:top w:val="none" w:sz="0" w:space="0" w:color="auto"/>
        <w:left w:val="none" w:sz="0" w:space="0" w:color="auto"/>
        <w:bottom w:val="none" w:sz="0" w:space="0" w:color="auto"/>
        <w:right w:val="none" w:sz="0" w:space="0" w:color="auto"/>
      </w:divBdr>
    </w:div>
    <w:div w:id="606815446">
      <w:bodyDiv w:val="1"/>
      <w:marLeft w:val="0"/>
      <w:marRight w:val="0"/>
      <w:marTop w:val="0"/>
      <w:marBottom w:val="0"/>
      <w:divBdr>
        <w:top w:val="none" w:sz="0" w:space="0" w:color="auto"/>
        <w:left w:val="none" w:sz="0" w:space="0" w:color="auto"/>
        <w:bottom w:val="none" w:sz="0" w:space="0" w:color="auto"/>
        <w:right w:val="none" w:sz="0" w:space="0" w:color="auto"/>
      </w:divBdr>
    </w:div>
    <w:div w:id="606817172">
      <w:bodyDiv w:val="1"/>
      <w:marLeft w:val="0"/>
      <w:marRight w:val="0"/>
      <w:marTop w:val="0"/>
      <w:marBottom w:val="0"/>
      <w:divBdr>
        <w:top w:val="none" w:sz="0" w:space="0" w:color="auto"/>
        <w:left w:val="none" w:sz="0" w:space="0" w:color="auto"/>
        <w:bottom w:val="none" w:sz="0" w:space="0" w:color="auto"/>
        <w:right w:val="none" w:sz="0" w:space="0" w:color="auto"/>
      </w:divBdr>
    </w:div>
    <w:div w:id="607737866">
      <w:bodyDiv w:val="1"/>
      <w:marLeft w:val="0"/>
      <w:marRight w:val="0"/>
      <w:marTop w:val="0"/>
      <w:marBottom w:val="0"/>
      <w:divBdr>
        <w:top w:val="none" w:sz="0" w:space="0" w:color="auto"/>
        <w:left w:val="none" w:sz="0" w:space="0" w:color="auto"/>
        <w:bottom w:val="none" w:sz="0" w:space="0" w:color="auto"/>
        <w:right w:val="none" w:sz="0" w:space="0" w:color="auto"/>
      </w:divBdr>
    </w:div>
    <w:div w:id="607859000">
      <w:bodyDiv w:val="1"/>
      <w:marLeft w:val="0"/>
      <w:marRight w:val="0"/>
      <w:marTop w:val="0"/>
      <w:marBottom w:val="0"/>
      <w:divBdr>
        <w:top w:val="none" w:sz="0" w:space="0" w:color="auto"/>
        <w:left w:val="none" w:sz="0" w:space="0" w:color="auto"/>
        <w:bottom w:val="none" w:sz="0" w:space="0" w:color="auto"/>
        <w:right w:val="none" w:sz="0" w:space="0" w:color="auto"/>
      </w:divBdr>
    </w:div>
    <w:div w:id="608590707">
      <w:bodyDiv w:val="1"/>
      <w:marLeft w:val="0"/>
      <w:marRight w:val="0"/>
      <w:marTop w:val="0"/>
      <w:marBottom w:val="0"/>
      <w:divBdr>
        <w:top w:val="none" w:sz="0" w:space="0" w:color="auto"/>
        <w:left w:val="none" w:sz="0" w:space="0" w:color="auto"/>
        <w:bottom w:val="none" w:sz="0" w:space="0" w:color="auto"/>
        <w:right w:val="none" w:sz="0" w:space="0" w:color="auto"/>
      </w:divBdr>
    </w:div>
    <w:div w:id="609554804">
      <w:bodyDiv w:val="1"/>
      <w:marLeft w:val="0"/>
      <w:marRight w:val="0"/>
      <w:marTop w:val="0"/>
      <w:marBottom w:val="0"/>
      <w:divBdr>
        <w:top w:val="none" w:sz="0" w:space="0" w:color="auto"/>
        <w:left w:val="none" w:sz="0" w:space="0" w:color="auto"/>
        <w:bottom w:val="none" w:sz="0" w:space="0" w:color="auto"/>
        <w:right w:val="none" w:sz="0" w:space="0" w:color="auto"/>
      </w:divBdr>
    </w:div>
    <w:div w:id="610013306">
      <w:bodyDiv w:val="1"/>
      <w:marLeft w:val="0"/>
      <w:marRight w:val="0"/>
      <w:marTop w:val="0"/>
      <w:marBottom w:val="0"/>
      <w:divBdr>
        <w:top w:val="none" w:sz="0" w:space="0" w:color="auto"/>
        <w:left w:val="none" w:sz="0" w:space="0" w:color="auto"/>
        <w:bottom w:val="none" w:sz="0" w:space="0" w:color="auto"/>
        <w:right w:val="none" w:sz="0" w:space="0" w:color="auto"/>
      </w:divBdr>
    </w:div>
    <w:div w:id="610552655">
      <w:bodyDiv w:val="1"/>
      <w:marLeft w:val="0"/>
      <w:marRight w:val="0"/>
      <w:marTop w:val="0"/>
      <w:marBottom w:val="0"/>
      <w:divBdr>
        <w:top w:val="none" w:sz="0" w:space="0" w:color="auto"/>
        <w:left w:val="none" w:sz="0" w:space="0" w:color="auto"/>
        <w:bottom w:val="none" w:sz="0" w:space="0" w:color="auto"/>
        <w:right w:val="none" w:sz="0" w:space="0" w:color="auto"/>
      </w:divBdr>
    </w:div>
    <w:div w:id="610628863">
      <w:bodyDiv w:val="1"/>
      <w:marLeft w:val="0"/>
      <w:marRight w:val="0"/>
      <w:marTop w:val="0"/>
      <w:marBottom w:val="0"/>
      <w:divBdr>
        <w:top w:val="none" w:sz="0" w:space="0" w:color="auto"/>
        <w:left w:val="none" w:sz="0" w:space="0" w:color="auto"/>
        <w:bottom w:val="none" w:sz="0" w:space="0" w:color="auto"/>
        <w:right w:val="none" w:sz="0" w:space="0" w:color="auto"/>
      </w:divBdr>
    </w:div>
    <w:div w:id="610745959">
      <w:bodyDiv w:val="1"/>
      <w:marLeft w:val="0"/>
      <w:marRight w:val="0"/>
      <w:marTop w:val="0"/>
      <w:marBottom w:val="0"/>
      <w:divBdr>
        <w:top w:val="none" w:sz="0" w:space="0" w:color="auto"/>
        <w:left w:val="none" w:sz="0" w:space="0" w:color="auto"/>
        <w:bottom w:val="none" w:sz="0" w:space="0" w:color="auto"/>
        <w:right w:val="none" w:sz="0" w:space="0" w:color="auto"/>
      </w:divBdr>
    </w:div>
    <w:div w:id="611058279">
      <w:bodyDiv w:val="1"/>
      <w:marLeft w:val="0"/>
      <w:marRight w:val="0"/>
      <w:marTop w:val="0"/>
      <w:marBottom w:val="0"/>
      <w:divBdr>
        <w:top w:val="none" w:sz="0" w:space="0" w:color="auto"/>
        <w:left w:val="none" w:sz="0" w:space="0" w:color="auto"/>
        <w:bottom w:val="none" w:sz="0" w:space="0" w:color="auto"/>
        <w:right w:val="none" w:sz="0" w:space="0" w:color="auto"/>
      </w:divBdr>
    </w:div>
    <w:div w:id="611285116">
      <w:bodyDiv w:val="1"/>
      <w:marLeft w:val="0"/>
      <w:marRight w:val="0"/>
      <w:marTop w:val="0"/>
      <w:marBottom w:val="0"/>
      <w:divBdr>
        <w:top w:val="none" w:sz="0" w:space="0" w:color="auto"/>
        <w:left w:val="none" w:sz="0" w:space="0" w:color="auto"/>
        <w:bottom w:val="none" w:sz="0" w:space="0" w:color="auto"/>
        <w:right w:val="none" w:sz="0" w:space="0" w:color="auto"/>
      </w:divBdr>
    </w:div>
    <w:div w:id="611402620">
      <w:bodyDiv w:val="1"/>
      <w:marLeft w:val="0"/>
      <w:marRight w:val="0"/>
      <w:marTop w:val="0"/>
      <w:marBottom w:val="0"/>
      <w:divBdr>
        <w:top w:val="none" w:sz="0" w:space="0" w:color="auto"/>
        <w:left w:val="none" w:sz="0" w:space="0" w:color="auto"/>
        <w:bottom w:val="none" w:sz="0" w:space="0" w:color="auto"/>
        <w:right w:val="none" w:sz="0" w:space="0" w:color="auto"/>
      </w:divBdr>
    </w:div>
    <w:div w:id="611786921">
      <w:bodyDiv w:val="1"/>
      <w:marLeft w:val="0"/>
      <w:marRight w:val="0"/>
      <w:marTop w:val="0"/>
      <w:marBottom w:val="0"/>
      <w:divBdr>
        <w:top w:val="none" w:sz="0" w:space="0" w:color="auto"/>
        <w:left w:val="none" w:sz="0" w:space="0" w:color="auto"/>
        <w:bottom w:val="none" w:sz="0" w:space="0" w:color="auto"/>
        <w:right w:val="none" w:sz="0" w:space="0" w:color="auto"/>
      </w:divBdr>
    </w:div>
    <w:div w:id="612908143">
      <w:bodyDiv w:val="1"/>
      <w:marLeft w:val="0"/>
      <w:marRight w:val="0"/>
      <w:marTop w:val="0"/>
      <w:marBottom w:val="0"/>
      <w:divBdr>
        <w:top w:val="none" w:sz="0" w:space="0" w:color="auto"/>
        <w:left w:val="none" w:sz="0" w:space="0" w:color="auto"/>
        <w:bottom w:val="none" w:sz="0" w:space="0" w:color="auto"/>
        <w:right w:val="none" w:sz="0" w:space="0" w:color="auto"/>
      </w:divBdr>
    </w:div>
    <w:div w:id="613901372">
      <w:bodyDiv w:val="1"/>
      <w:marLeft w:val="0"/>
      <w:marRight w:val="0"/>
      <w:marTop w:val="0"/>
      <w:marBottom w:val="0"/>
      <w:divBdr>
        <w:top w:val="none" w:sz="0" w:space="0" w:color="auto"/>
        <w:left w:val="none" w:sz="0" w:space="0" w:color="auto"/>
        <w:bottom w:val="none" w:sz="0" w:space="0" w:color="auto"/>
        <w:right w:val="none" w:sz="0" w:space="0" w:color="auto"/>
      </w:divBdr>
    </w:div>
    <w:div w:id="614096616">
      <w:bodyDiv w:val="1"/>
      <w:marLeft w:val="0"/>
      <w:marRight w:val="0"/>
      <w:marTop w:val="0"/>
      <w:marBottom w:val="0"/>
      <w:divBdr>
        <w:top w:val="none" w:sz="0" w:space="0" w:color="auto"/>
        <w:left w:val="none" w:sz="0" w:space="0" w:color="auto"/>
        <w:bottom w:val="none" w:sz="0" w:space="0" w:color="auto"/>
        <w:right w:val="none" w:sz="0" w:space="0" w:color="auto"/>
      </w:divBdr>
    </w:div>
    <w:div w:id="616566521">
      <w:bodyDiv w:val="1"/>
      <w:marLeft w:val="0"/>
      <w:marRight w:val="0"/>
      <w:marTop w:val="0"/>
      <w:marBottom w:val="0"/>
      <w:divBdr>
        <w:top w:val="none" w:sz="0" w:space="0" w:color="auto"/>
        <w:left w:val="none" w:sz="0" w:space="0" w:color="auto"/>
        <w:bottom w:val="none" w:sz="0" w:space="0" w:color="auto"/>
        <w:right w:val="none" w:sz="0" w:space="0" w:color="auto"/>
      </w:divBdr>
    </w:div>
    <w:div w:id="616837791">
      <w:bodyDiv w:val="1"/>
      <w:marLeft w:val="0"/>
      <w:marRight w:val="0"/>
      <w:marTop w:val="0"/>
      <w:marBottom w:val="0"/>
      <w:divBdr>
        <w:top w:val="none" w:sz="0" w:space="0" w:color="auto"/>
        <w:left w:val="none" w:sz="0" w:space="0" w:color="auto"/>
        <w:bottom w:val="none" w:sz="0" w:space="0" w:color="auto"/>
        <w:right w:val="none" w:sz="0" w:space="0" w:color="auto"/>
      </w:divBdr>
    </w:div>
    <w:div w:id="617218548">
      <w:bodyDiv w:val="1"/>
      <w:marLeft w:val="0"/>
      <w:marRight w:val="0"/>
      <w:marTop w:val="0"/>
      <w:marBottom w:val="0"/>
      <w:divBdr>
        <w:top w:val="none" w:sz="0" w:space="0" w:color="auto"/>
        <w:left w:val="none" w:sz="0" w:space="0" w:color="auto"/>
        <w:bottom w:val="none" w:sz="0" w:space="0" w:color="auto"/>
        <w:right w:val="none" w:sz="0" w:space="0" w:color="auto"/>
      </w:divBdr>
    </w:div>
    <w:div w:id="618149296">
      <w:bodyDiv w:val="1"/>
      <w:marLeft w:val="0"/>
      <w:marRight w:val="0"/>
      <w:marTop w:val="0"/>
      <w:marBottom w:val="0"/>
      <w:divBdr>
        <w:top w:val="none" w:sz="0" w:space="0" w:color="auto"/>
        <w:left w:val="none" w:sz="0" w:space="0" w:color="auto"/>
        <w:bottom w:val="none" w:sz="0" w:space="0" w:color="auto"/>
        <w:right w:val="none" w:sz="0" w:space="0" w:color="auto"/>
      </w:divBdr>
    </w:div>
    <w:div w:id="618217540">
      <w:bodyDiv w:val="1"/>
      <w:marLeft w:val="0"/>
      <w:marRight w:val="0"/>
      <w:marTop w:val="0"/>
      <w:marBottom w:val="0"/>
      <w:divBdr>
        <w:top w:val="none" w:sz="0" w:space="0" w:color="auto"/>
        <w:left w:val="none" w:sz="0" w:space="0" w:color="auto"/>
        <w:bottom w:val="none" w:sz="0" w:space="0" w:color="auto"/>
        <w:right w:val="none" w:sz="0" w:space="0" w:color="auto"/>
      </w:divBdr>
    </w:div>
    <w:div w:id="618613579">
      <w:bodyDiv w:val="1"/>
      <w:marLeft w:val="0"/>
      <w:marRight w:val="0"/>
      <w:marTop w:val="0"/>
      <w:marBottom w:val="0"/>
      <w:divBdr>
        <w:top w:val="none" w:sz="0" w:space="0" w:color="auto"/>
        <w:left w:val="none" w:sz="0" w:space="0" w:color="auto"/>
        <w:bottom w:val="none" w:sz="0" w:space="0" w:color="auto"/>
        <w:right w:val="none" w:sz="0" w:space="0" w:color="auto"/>
      </w:divBdr>
    </w:div>
    <w:div w:id="619191057">
      <w:bodyDiv w:val="1"/>
      <w:marLeft w:val="0"/>
      <w:marRight w:val="0"/>
      <w:marTop w:val="0"/>
      <w:marBottom w:val="0"/>
      <w:divBdr>
        <w:top w:val="none" w:sz="0" w:space="0" w:color="auto"/>
        <w:left w:val="none" w:sz="0" w:space="0" w:color="auto"/>
        <w:bottom w:val="none" w:sz="0" w:space="0" w:color="auto"/>
        <w:right w:val="none" w:sz="0" w:space="0" w:color="auto"/>
      </w:divBdr>
    </w:div>
    <w:div w:id="619412431">
      <w:bodyDiv w:val="1"/>
      <w:marLeft w:val="0"/>
      <w:marRight w:val="0"/>
      <w:marTop w:val="0"/>
      <w:marBottom w:val="0"/>
      <w:divBdr>
        <w:top w:val="none" w:sz="0" w:space="0" w:color="auto"/>
        <w:left w:val="none" w:sz="0" w:space="0" w:color="auto"/>
        <w:bottom w:val="none" w:sz="0" w:space="0" w:color="auto"/>
        <w:right w:val="none" w:sz="0" w:space="0" w:color="auto"/>
      </w:divBdr>
    </w:div>
    <w:div w:id="619653987">
      <w:bodyDiv w:val="1"/>
      <w:marLeft w:val="0"/>
      <w:marRight w:val="0"/>
      <w:marTop w:val="0"/>
      <w:marBottom w:val="0"/>
      <w:divBdr>
        <w:top w:val="none" w:sz="0" w:space="0" w:color="auto"/>
        <w:left w:val="none" w:sz="0" w:space="0" w:color="auto"/>
        <w:bottom w:val="none" w:sz="0" w:space="0" w:color="auto"/>
        <w:right w:val="none" w:sz="0" w:space="0" w:color="auto"/>
      </w:divBdr>
    </w:div>
    <w:div w:id="619917606">
      <w:bodyDiv w:val="1"/>
      <w:marLeft w:val="0"/>
      <w:marRight w:val="0"/>
      <w:marTop w:val="0"/>
      <w:marBottom w:val="0"/>
      <w:divBdr>
        <w:top w:val="none" w:sz="0" w:space="0" w:color="auto"/>
        <w:left w:val="none" w:sz="0" w:space="0" w:color="auto"/>
        <w:bottom w:val="none" w:sz="0" w:space="0" w:color="auto"/>
        <w:right w:val="none" w:sz="0" w:space="0" w:color="auto"/>
      </w:divBdr>
    </w:div>
    <w:div w:id="619922672">
      <w:bodyDiv w:val="1"/>
      <w:marLeft w:val="0"/>
      <w:marRight w:val="0"/>
      <w:marTop w:val="0"/>
      <w:marBottom w:val="0"/>
      <w:divBdr>
        <w:top w:val="none" w:sz="0" w:space="0" w:color="auto"/>
        <w:left w:val="none" w:sz="0" w:space="0" w:color="auto"/>
        <w:bottom w:val="none" w:sz="0" w:space="0" w:color="auto"/>
        <w:right w:val="none" w:sz="0" w:space="0" w:color="auto"/>
      </w:divBdr>
    </w:div>
    <w:div w:id="621347676">
      <w:bodyDiv w:val="1"/>
      <w:marLeft w:val="0"/>
      <w:marRight w:val="0"/>
      <w:marTop w:val="0"/>
      <w:marBottom w:val="0"/>
      <w:divBdr>
        <w:top w:val="none" w:sz="0" w:space="0" w:color="auto"/>
        <w:left w:val="none" w:sz="0" w:space="0" w:color="auto"/>
        <w:bottom w:val="none" w:sz="0" w:space="0" w:color="auto"/>
        <w:right w:val="none" w:sz="0" w:space="0" w:color="auto"/>
      </w:divBdr>
    </w:div>
    <w:div w:id="621498549">
      <w:bodyDiv w:val="1"/>
      <w:marLeft w:val="0"/>
      <w:marRight w:val="0"/>
      <w:marTop w:val="0"/>
      <w:marBottom w:val="0"/>
      <w:divBdr>
        <w:top w:val="none" w:sz="0" w:space="0" w:color="auto"/>
        <w:left w:val="none" w:sz="0" w:space="0" w:color="auto"/>
        <w:bottom w:val="none" w:sz="0" w:space="0" w:color="auto"/>
        <w:right w:val="none" w:sz="0" w:space="0" w:color="auto"/>
      </w:divBdr>
    </w:div>
    <w:div w:id="621769290">
      <w:bodyDiv w:val="1"/>
      <w:marLeft w:val="0"/>
      <w:marRight w:val="0"/>
      <w:marTop w:val="0"/>
      <w:marBottom w:val="0"/>
      <w:divBdr>
        <w:top w:val="none" w:sz="0" w:space="0" w:color="auto"/>
        <w:left w:val="none" w:sz="0" w:space="0" w:color="auto"/>
        <w:bottom w:val="none" w:sz="0" w:space="0" w:color="auto"/>
        <w:right w:val="none" w:sz="0" w:space="0" w:color="auto"/>
      </w:divBdr>
    </w:div>
    <w:div w:id="622275188">
      <w:bodyDiv w:val="1"/>
      <w:marLeft w:val="0"/>
      <w:marRight w:val="0"/>
      <w:marTop w:val="0"/>
      <w:marBottom w:val="0"/>
      <w:divBdr>
        <w:top w:val="none" w:sz="0" w:space="0" w:color="auto"/>
        <w:left w:val="none" w:sz="0" w:space="0" w:color="auto"/>
        <w:bottom w:val="none" w:sz="0" w:space="0" w:color="auto"/>
        <w:right w:val="none" w:sz="0" w:space="0" w:color="auto"/>
      </w:divBdr>
    </w:div>
    <w:div w:id="622687572">
      <w:bodyDiv w:val="1"/>
      <w:marLeft w:val="0"/>
      <w:marRight w:val="0"/>
      <w:marTop w:val="0"/>
      <w:marBottom w:val="0"/>
      <w:divBdr>
        <w:top w:val="none" w:sz="0" w:space="0" w:color="auto"/>
        <w:left w:val="none" w:sz="0" w:space="0" w:color="auto"/>
        <w:bottom w:val="none" w:sz="0" w:space="0" w:color="auto"/>
        <w:right w:val="none" w:sz="0" w:space="0" w:color="auto"/>
      </w:divBdr>
    </w:div>
    <w:div w:id="623074769">
      <w:bodyDiv w:val="1"/>
      <w:marLeft w:val="0"/>
      <w:marRight w:val="0"/>
      <w:marTop w:val="0"/>
      <w:marBottom w:val="0"/>
      <w:divBdr>
        <w:top w:val="none" w:sz="0" w:space="0" w:color="auto"/>
        <w:left w:val="none" w:sz="0" w:space="0" w:color="auto"/>
        <w:bottom w:val="none" w:sz="0" w:space="0" w:color="auto"/>
        <w:right w:val="none" w:sz="0" w:space="0" w:color="auto"/>
      </w:divBdr>
    </w:div>
    <w:div w:id="623542163">
      <w:bodyDiv w:val="1"/>
      <w:marLeft w:val="0"/>
      <w:marRight w:val="0"/>
      <w:marTop w:val="0"/>
      <w:marBottom w:val="0"/>
      <w:divBdr>
        <w:top w:val="none" w:sz="0" w:space="0" w:color="auto"/>
        <w:left w:val="none" w:sz="0" w:space="0" w:color="auto"/>
        <w:bottom w:val="none" w:sz="0" w:space="0" w:color="auto"/>
        <w:right w:val="none" w:sz="0" w:space="0" w:color="auto"/>
      </w:divBdr>
    </w:div>
    <w:div w:id="624042597">
      <w:bodyDiv w:val="1"/>
      <w:marLeft w:val="0"/>
      <w:marRight w:val="0"/>
      <w:marTop w:val="0"/>
      <w:marBottom w:val="0"/>
      <w:divBdr>
        <w:top w:val="none" w:sz="0" w:space="0" w:color="auto"/>
        <w:left w:val="none" w:sz="0" w:space="0" w:color="auto"/>
        <w:bottom w:val="none" w:sz="0" w:space="0" w:color="auto"/>
        <w:right w:val="none" w:sz="0" w:space="0" w:color="auto"/>
      </w:divBdr>
    </w:div>
    <w:div w:id="624121868">
      <w:bodyDiv w:val="1"/>
      <w:marLeft w:val="0"/>
      <w:marRight w:val="0"/>
      <w:marTop w:val="0"/>
      <w:marBottom w:val="0"/>
      <w:divBdr>
        <w:top w:val="none" w:sz="0" w:space="0" w:color="auto"/>
        <w:left w:val="none" w:sz="0" w:space="0" w:color="auto"/>
        <w:bottom w:val="none" w:sz="0" w:space="0" w:color="auto"/>
        <w:right w:val="none" w:sz="0" w:space="0" w:color="auto"/>
      </w:divBdr>
    </w:div>
    <w:div w:id="624502427">
      <w:bodyDiv w:val="1"/>
      <w:marLeft w:val="0"/>
      <w:marRight w:val="0"/>
      <w:marTop w:val="0"/>
      <w:marBottom w:val="0"/>
      <w:divBdr>
        <w:top w:val="none" w:sz="0" w:space="0" w:color="auto"/>
        <w:left w:val="none" w:sz="0" w:space="0" w:color="auto"/>
        <w:bottom w:val="none" w:sz="0" w:space="0" w:color="auto"/>
        <w:right w:val="none" w:sz="0" w:space="0" w:color="auto"/>
      </w:divBdr>
    </w:div>
    <w:div w:id="625549384">
      <w:bodyDiv w:val="1"/>
      <w:marLeft w:val="0"/>
      <w:marRight w:val="0"/>
      <w:marTop w:val="0"/>
      <w:marBottom w:val="0"/>
      <w:divBdr>
        <w:top w:val="none" w:sz="0" w:space="0" w:color="auto"/>
        <w:left w:val="none" w:sz="0" w:space="0" w:color="auto"/>
        <w:bottom w:val="none" w:sz="0" w:space="0" w:color="auto"/>
        <w:right w:val="none" w:sz="0" w:space="0" w:color="auto"/>
      </w:divBdr>
    </w:div>
    <w:div w:id="626934517">
      <w:bodyDiv w:val="1"/>
      <w:marLeft w:val="0"/>
      <w:marRight w:val="0"/>
      <w:marTop w:val="0"/>
      <w:marBottom w:val="0"/>
      <w:divBdr>
        <w:top w:val="none" w:sz="0" w:space="0" w:color="auto"/>
        <w:left w:val="none" w:sz="0" w:space="0" w:color="auto"/>
        <w:bottom w:val="none" w:sz="0" w:space="0" w:color="auto"/>
        <w:right w:val="none" w:sz="0" w:space="0" w:color="auto"/>
      </w:divBdr>
    </w:div>
    <w:div w:id="627128155">
      <w:bodyDiv w:val="1"/>
      <w:marLeft w:val="0"/>
      <w:marRight w:val="0"/>
      <w:marTop w:val="0"/>
      <w:marBottom w:val="0"/>
      <w:divBdr>
        <w:top w:val="none" w:sz="0" w:space="0" w:color="auto"/>
        <w:left w:val="none" w:sz="0" w:space="0" w:color="auto"/>
        <w:bottom w:val="none" w:sz="0" w:space="0" w:color="auto"/>
        <w:right w:val="none" w:sz="0" w:space="0" w:color="auto"/>
      </w:divBdr>
    </w:div>
    <w:div w:id="627979274">
      <w:bodyDiv w:val="1"/>
      <w:marLeft w:val="0"/>
      <w:marRight w:val="0"/>
      <w:marTop w:val="0"/>
      <w:marBottom w:val="0"/>
      <w:divBdr>
        <w:top w:val="none" w:sz="0" w:space="0" w:color="auto"/>
        <w:left w:val="none" w:sz="0" w:space="0" w:color="auto"/>
        <w:bottom w:val="none" w:sz="0" w:space="0" w:color="auto"/>
        <w:right w:val="none" w:sz="0" w:space="0" w:color="auto"/>
      </w:divBdr>
    </w:div>
    <w:div w:id="628510612">
      <w:bodyDiv w:val="1"/>
      <w:marLeft w:val="0"/>
      <w:marRight w:val="0"/>
      <w:marTop w:val="0"/>
      <w:marBottom w:val="0"/>
      <w:divBdr>
        <w:top w:val="none" w:sz="0" w:space="0" w:color="auto"/>
        <w:left w:val="none" w:sz="0" w:space="0" w:color="auto"/>
        <w:bottom w:val="none" w:sz="0" w:space="0" w:color="auto"/>
        <w:right w:val="none" w:sz="0" w:space="0" w:color="auto"/>
      </w:divBdr>
    </w:div>
    <w:div w:id="629670046">
      <w:bodyDiv w:val="1"/>
      <w:marLeft w:val="0"/>
      <w:marRight w:val="0"/>
      <w:marTop w:val="0"/>
      <w:marBottom w:val="0"/>
      <w:divBdr>
        <w:top w:val="none" w:sz="0" w:space="0" w:color="auto"/>
        <w:left w:val="none" w:sz="0" w:space="0" w:color="auto"/>
        <w:bottom w:val="none" w:sz="0" w:space="0" w:color="auto"/>
        <w:right w:val="none" w:sz="0" w:space="0" w:color="auto"/>
      </w:divBdr>
    </w:div>
    <w:div w:id="630012417">
      <w:bodyDiv w:val="1"/>
      <w:marLeft w:val="0"/>
      <w:marRight w:val="0"/>
      <w:marTop w:val="0"/>
      <w:marBottom w:val="0"/>
      <w:divBdr>
        <w:top w:val="none" w:sz="0" w:space="0" w:color="auto"/>
        <w:left w:val="none" w:sz="0" w:space="0" w:color="auto"/>
        <w:bottom w:val="none" w:sz="0" w:space="0" w:color="auto"/>
        <w:right w:val="none" w:sz="0" w:space="0" w:color="auto"/>
      </w:divBdr>
    </w:div>
    <w:div w:id="630404272">
      <w:bodyDiv w:val="1"/>
      <w:marLeft w:val="0"/>
      <w:marRight w:val="0"/>
      <w:marTop w:val="0"/>
      <w:marBottom w:val="0"/>
      <w:divBdr>
        <w:top w:val="none" w:sz="0" w:space="0" w:color="auto"/>
        <w:left w:val="none" w:sz="0" w:space="0" w:color="auto"/>
        <w:bottom w:val="none" w:sz="0" w:space="0" w:color="auto"/>
        <w:right w:val="none" w:sz="0" w:space="0" w:color="auto"/>
      </w:divBdr>
    </w:div>
    <w:div w:id="631325750">
      <w:bodyDiv w:val="1"/>
      <w:marLeft w:val="0"/>
      <w:marRight w:val="0"/>
      <w:marTop w:val="0"/>
      <w:marBottom w:val="0"/>
      <w:divBdr>
        <w:top w:val="none" w:sz="0" w:space="0" w:color="auto"/>
        <w:left w:val="none" w:sz="0" w:space="0" w:color="auto"/>
        <w:bottom w:val="none" w:sz="0" w:space="0" w:color="auto"/>
        <w:right w:val="none" w:sz="0" w:space="0" w:color="auto"/>
      </w:divBdr>
    </w:div>
    <w:div w:id="631666902">
      <w:bodyDiv w:val="1"/>
      <w:marLeft w:val="0"/>
      <w:marRight w:val="0"/>
      <w:marTop w:val="0"/>
      <w:marBottom w:val="0"/>
      <w:divBdr>
        <w:top w:val="none" w:sz="0" w:space="0" w:color="auto"/>
        <w:left w:val="none" w:sz="0" w:space="0" w:color="auto"/>
        <w:bottom w:val="none" w:sz="0" w:space="0" w:color="auto"/>
        <w:right w:val="none" w:sz="0" w:space="0" w:color="auto"/>
      </w:divBdr>
    </w:div>
    <w:div w:id="631904192">
      <w:bodyDiv w:val="1"/>
      <w:marLeft w:val="0"/>
      <w:marRight w:val="0"/>
      <w:marTop w:val="0"/>
      <w:marBottom w:val="0"/>
      <w:divBdr>
        <w:top w:val="none" w:sz="0" w:space="0" w:color="auto"/>
        <w:left w:val="none" w:sz="0" w:space="0" w:color="auto"/>
        <w:bottom w:val="none" w:sz="0" w:space="0" w:color="auto"/>
        <w:right w:val="none" w:sz="0" w:space="0" w:color="auto"/>
      </w:divBdr>
    </w:div>
    <w:div w:id="632098676">
      <w:bodyDiv w:val="1"/>
      <w:marLeft w:val="0"/>
      <w:marRight w:val="0"/>
      <w:marTop w:val="0"/>
      <w:marBottom w:val="0"/>
      <w:divBdr>
        <w:top w:val="none" w:sz="0" w:space="0" w:color="auto"/>
        <w:left w:val="none" w:sz="0" w:space="0" w:color="auto"/>
        <w:bottom w:val="none" w:sz="0" w:space="0" w:color="auto"/>
        <w:right w:val="none" w:sz="0" w:space="0" w:color="auto"/>
      </w:divBdr>
    </w:div>
    <w:div w:id="632369581">
      <w:bodyDiv w:val="1"/>
      <w:marLeft w:val="0"/>
      <w:marRight w:val="0"/>
      <w:marTop w:val="0"/>
      <w:marBottom w:val="0"/>
      <w:divBdr>
        <w:top w:val="none" w:sz="0" w:space="0" w:color="auto"/>
        <w:left w:val="none" w:sz="0" w:space="0" w:color="auto"/>
        <w:bottom w:val="none" w:sz="0" w:space="0" w:color="auto"/>
        <w:right w:val="none" w:sz="0" w:space="0" w:color="auto"/>
      </w:divBdr>
    </w:div>
    <w:div w:id="632759706">
      <w:bodyDiv w:val="1"/>
      <w:marLeft w:val="0"/>
      <w:marRight w:val="0"/>
      <w:marTop w:val="0"/>
      <w:marBottom w:val="0"/>
      <w:divBdr>
        <w:top w:val="none" w:sz="0" w:space="0" w:color="auto"/>
        <w:left w:val="none" w:sz="0" w:space="0" w:color="auto"/>
        <w:bottom w:val="none" w:sz="0" w:space="0" w:color="auto"/>
        <w:right w:val="none" w:sz="0" w:space="0" w:color="auto"/>
      </w:divBdr>
    </w:div>
    <w:div w:id="633028581">
      <w:bodyDiv w:val="1"/>
      <w:marLeft w:val="0"/>
      <w:marRight w:val="0"/>
      <w:marTop w:val="0"/>
      <w:marBottom w:val="0"/>
      <w:divBdr>
        <w:top w:val="none" w:sz="0" w:space="0" w:color="auto"/>
        <w:left w:val="none" w:sz="0" w:space="0" w:color="auto"/>
        <w:bottom w:val="none" w:sz="0" w:space="0" w:color="auto"/>
        <w:right w:val="none" w:sz="0" w:space="0" w:color="auto"/>
      </w:divBdr>
    </w:div>
    <w:div w:id="633214736">
      <w:bodyDiv w:val="1"/>
      <w:marLeft w:val="0"/>
      <w:marRight w:val="0"/>
      <w:marTop w:val="0"/>
      <w:marBottom w:val="0"/>
      <w:divBdr>
        <w:top w:val="none" w:sz="0" w:space="0" w:color="auto"/>
        <w:left w:val="none" w:sz="0" w:space="0" w:color="auto"/>
        <w:bottom w:val="none" w:sz="0" w:space="0" w:color="auto"/>
        <w:right w:val="none" w:sz="0" w:space="0" w:color="auto"/>
      </w:divBdr>
    </w:div>
    <w:div w:id="633607418">
      <w:bodyDiv w:val="1"/>
      <w:marLeft w:val="0"/>
      <w:marRight w:val="0"/>
      <w:marTop w:val="0"/>
      <w:marBottom w:val="0"/>
      <w:divBdr>
        <w:top w:val="none" w:sz="0" w:space="0" w:color="auto"/>
        <w:left w:val="none" w:sz="0" w:space="0" w:color="auto"/>
        <w:bottom w:val="none" w:sz="0" w:space="0" w:color="auto"/>
        <w:right w:val="none" w:sz="0" w:space="0" w:color="auto"/>
      </w:divBdr>
    </w:div>
    <w:div w:id="634405925">
      <w:bodyDiv w:val="1"/>
      <w:marLeft w:val="0"/>
      <w:marRight w:val="0"/>
      <w:marTop w:val="0"/>
      <w:marBottom w:val="0"/>
      <w:divBdr>
        <w:top w:val="none" w:sz="0" w:space="0" w:color="auto"/>
        <w:left w:val="none" w:sz="0" w:space="0" w:color="auto"/>
        <w:bottom w:val="none" w:sz="0" w:space="0" w:color="auto"/>
        <w:right w:val="none" w:sz="0" w:space="0" w:color="auto"/>
      </w:divBdr>
    </w:div>
    <w:div w:id="634987653">
      <w:bodyDiv w:val="1"/>
      <w:marLeft w:val="0"/>
      <w:marRight w:val="0"/>
      <w:marTop w:val="0"/>
      <w:marBottom w:val="0"/>
      <w:divBdr>
        <w:top w:val="none" w:sz="0" w:space="0" w:color="auto"/>
        <w:left w:val="none" w:sz="0" w:space="0" w:color="auto"/>
        <w:bottom w:val="none" w:sz="0" w:space="0" w:color="auto"/>
        <w:right w:val="none" w:sz="0" w:space="0" w:color="auto"/>
      </w:divBdr>
    </w:div>
    <w:div w:id="635720703">
      <w:bodyDiv w:val="1"/>
      <w:marLeft w:val="0"/>
      <w:marRight w:val="0"/>
      <w:marTop w:val="0"/>
      <w:marBottom w:val="0"/>
      <w:divBdr>
        <w:top w:val="none" w:sz="0" w:space="0" w:color="auto"/>
        <w:left w:val="none" w:sz="0" w:space="0" w:color="auto"/>
        <w:bottom w:val="none" w:sz="0" w:space="0" w:color="auto"/>
        <w:right w:val="none" w:sz="0" w:space="0" w:color="auto"/>
      </w:divBdr>
    </w:div>
    <w:div w:id="635990398">
      <w:bodyDiv w:val="1"/>
      <w:marLeft w:val="0"/>
      <w:marRight w:val="0"/>
      <w:marTop w:val="0"/>
      <w:marBottom w:val="0"/>
      <w:divBdr>
        <w:top w:val="none" w:sz="0" w:space="0" w:color="auto"/>
        <w:left w:val="none" w:sz="0" w:space="0" w:color="auto"/>
        <w:bottom w:val="none" w:sz="0" w:space="0" w:color="auto"/>
        <w:right w:val="none" w:sz="0" w:space="0" w:color="auto"/>
      </w:divBdr>
    </w:div>
    <w:div w:id="637026975">
      <w:bodyDiv w:val="1"/>
      <w:marLeft w:val="0"/>
      <w:marRight w:val="0"/>
      <w:marTop w:val="0"/>
      <w:marBottom w:val="0"/>
      <w:divBdr>
        <w:top w:val="none" w:sz="0" w:space="0" w:color="auto"/>
        <w:left w:val="none" w:sz="0" w:space="0" w:color="auto"/>
        <w:bottom w:val="none" w:sz="0" w:space="0" w:color="auto"/>
        <w:right w:val="none" w:sz="0" w:space="0" w:color="auto"/>
      </w:divBdr>
    </w:div>
    <w:div w:id="637301112">
      <w:bodyDiv w:val="1"/>
      <w:marLeft w:val="0"/>
      <w:marRight w:val="0"/>
      <w:marTop w:val="0"/>
      <w:marBottom w:val="0"/>
      <w:divBdr>
        <w:top w:val="none" w:sz="0" w:space="0" w:color="auto"/>
        <w:left w:val="none" w:sz="0" w:space="0" w:color="auto"/>
        <w:bottom w:val="none" w:sz="0" w:space="0" w:color="auto"/>
        <w:right w:val="none" w:sz="0" w:space="0" w:color="auto"/>
      </w:divBdr>
    </w:div>
    <w:div w:id="638221382">
      <w:bodyDiv w:val="1"/>
      <w:marLeft w:val="0"/>
      <w:marRight w:val="0"/>
      <w:marTop w:val="0"/>
      <w:marBottom w:val="0"/>
      <w:divBdr>
        <w:top w:val="none" w:sz="0" w:space="0" w:color="auto"/>
        <w:left w:val="none" w:sz="0" w:space="0" w:color="auto"/>
        <w:bottom w:val="none" w:sz="0" w:space="0" w:color="auto"/>
        <w:right w:val="none" w:sz="0" w:space="0" w:color="auto"/>
      </w:divBdr>
    </w:div>
    <w:div w:id="638649816">
      <w:bodyDiv w:val="1"/>
      <w:marLeft w:val="0"/>
      <w:marRight w:val="0"/>
      <w:marTop w:val="0"/>
      <w:marBottom w:val="0"/>
      <w:divBdr>
        <w:top w:val="none" w:sz="0" w:space="0" w:color="auto"/>
        <w:left w:val="none" w:sz="0" w:space="0" w:color="auto"/>
        <w:bottom w:val="none" w:sz="0" w:space="0" w:color="auto"/>
        <w:right w:val="none" w:sz="0" w:space="0" w:color="auto"/>
      </w:divBdr>
    </w:div>
    <w:div w:id="638650593">
      <w:bodyDiv w:val="1"/>
      <w:marLeft w:val="0"/>
      <w:marRight w:val="0"/>
      <w:marTop w:val="0"/>
      <w:marBottom w:val="0"/>
      <w:divBdr>
        <w:top w:val="none" w:sz="0" w:space="0" w:color="auto"/>
        <w:left w:val="none" w:sz="0" w:space="0" w:color="auto"/>
        <w:bottom w:val="none" w:sz="0" w:space="0" w:color="auto"/>
        <w:right w:val="none" w:sz="0" w:space="0" w:color="auto"/>
      </w:divBdr>
    </w:div>
    <w:div w:id="639189321">
      <w:bodyDiv w:val="1"/>
      <w:marLeft w:val="0"/>
      <w:marRight w:val="0"/>
      <w:marTop w:val="0"/>
      <w:marBottom w:val="0"/>
      <w:divBdr>
        <w:top w:val="none" w:sz="0" w:space="0" w:color="auto"/>
        <w:left w:val="none" w:sz="0" w:space="0" w:color="auto"/>
        <w:bottom w:val="none" w:sz="0" w:space="0" w:color="auto"/>
        <w:right w:val="none" w:sz="0" w:space="0" w:color="auto"/>
      </w:divBdr>
    </w:div>
    <w:div w:id="640772304">
      <w:bodyDiv w:val="1"/>
      <w:marLeft w:val="0"/>
      <w:marRight w:val="0"/>
      <w:marTop w:val="0"/>
      <w:marBottom w:val="0"/>
      <w:divBdr>
        <w:top w:val="none" w:sz="0" w:space="0" w:color="auto"/>
        <w:left w:val="none" w:sz="0" w:space="0" w:color="auto"/>
        <w:bottom w:val="none" w:sz="0" w:space="0" w:color="auto"/>
        <w:right w:val="none" w:sz="0" w:space="0" w:color="auto"/>
      </w:divBdr>
    </w:div>
    <w:div w:id="641811533">
      <w:bodyDiv w:val="1"/>
      <w:marLeft w:val="0"/>
      <w:marRight w:val="0"/>
      <w:marTop w:val="0"/>
      <w:marBottom w:val="0"/>
      <w:divBdr>
        <w:top w:val="none" w:sz="0" w:space="0" w:color="auto"/>
        <w:left w:val="none" w:sz="0" w:space="0" w:color="auto"/>
        <w:bottom w:val="none" w:sz="0" w:space="0" w:color="auto"/>
        <w:right w:val="none" w:sz="0" w:space="0" w:color="auto"/>
      </w:divBdr>
    </w:div>
    <w:div w:id="641925615">
      <w:bodyDiv w:val="1"/>
      <w:marLeft w:val="0"/>
      <w:marRight w:val="0"/>
      <w:marTop w:val="0"/>
      <w:marBottom w:val="0"/>
      <w:divBdr>
        <w:top w:val="none" w:sz="0" w:space="0" w:color="auto"/>
        <w:left w:val="none" w:sz="0" w:space="0" w:color="auto"/>
        <w:bottom w:val="none" w:sz="0" w:space="0" w:color="auto"/>
        <w:right w:val="none" w:sz="0" w:space="0" w:color="auto"/>
      </w:divBdr>
    </w:div>
    <w:div w:id="643969895">
      <w:bodyDiv w:val="1"/>
      <w:marLeft w:val="0"/>
      <w:marRight w:val="0"/>
      <w:marTop w:val="0"/>
      <w:marBottom w:val="0"/>
      <w:divBdr>
        <w:top w:val="none" w:sz="0" w:space="0" w:color="auto"/>
        <w:left w:val="none" w:sz="0" w:space="0" w:color="auto"/>
        <w:bottom w:val="none" w:sz="0" w:space="0" w:color="auto"/>
        <w:right w:val="none" w:sz="0" w:space="0" w:color="auto"/>
      </w:divBdr>
    </w:div>
    <w:div w:id="644161397">
      <w:bodyDiv w:val="1"/>
      <w:marLeft w:val="0"/>
      <w:marRight w:val="0"/>
      <w:marTop w:val="0"/>
      <w:marBottom w:val="0"/>
      <w:divBdr>
        <w:top w:val="none" w:sz="0" w:space="0" w:color="auto"/>
        <w:left w:val="none" w:sz="0" w:space="0" w:color="auto"/>
        <w:bottom w:val="none" w:sz="0" w:space="0" w:color="auto"/>
        <w:right w:val="none" w:sz="0" w:space="0" w:color="auto"/>
      </w:divBdr>
    </w:div>
    <w:div w:id="644358203">
      <w:bodyDiv w:val="1"/>
      <w:marLeft w:val="0"/>
      <w:marRight w:val="0"/>
      <w:marTop w:val="0"/>
      <w:marBottom w:val="0"/>
      <w:divBdr>
        <w:top w:val="none" w:sz="0" w:space="0" w:color="auto"/>
        <w:left w:val="none" w:sz="0" w:space="0" w:color="auto"/>
        <w:bottom w:val="none" w:sz="0" w:space="0" w:color="auto"/>
        <w:right w:val="none" w:sz="0" w:space="0" w:color="auto"/>
      </w:divBdr>
    </w:div>
    <w:div w:id="646058473">
      <w:bodyDiv w:val="1"/>
      <w:marLeft w:val="0"/>
      <w:marRight w:val="0"/>
      <w:marTop w:val="0"/>
      <w:marBottom w:val="0"/>
      <w:divBdr>
        <w:top w:val="none" w:sz="0" w:space="0" w:color="auto"/>
        <w:left w:val="none" w:sz="0" w:space="0" w:color="auto"/>
        <w:bottom w:val="none" w:sz="0" w:space="0" w:color="auto"/>
        <w:right w:val="none" w:sz="0" w:space="0" w:color="auto"/>
      </w:divBdr>
    </w:div>
    <w:div w:id="646473831">
      <w:bodyDiv w:val="1"/>
      <w:marLeft w:val="0"/>
      <w:marRight w:val="0"/>
      <w:marTop w:val="0"/>
      <w:marBottom w:val="0"/>
      <w:divBdr>
        <w:top w:val="none" w:sz="0" w:space="0" w:color="auto"/>
        <w:left w:val="none" w:sz="0" w:space="0" w:color="auto"/>
        <w:bottom w:val="none" w:sz="0" w:space="0" w:color="auto"/>
        <w:right w:val="none" w:sz="0" w:space="0" w:color="auto"/>
      </w:divBdr>
    </w:div>
    <w:div w:id="647367570">
      <w:bodyDiv w:val="1"/>
      <w:marLeft w:val="0"/>
      <w:marRight w:val="0"/>
      <w:marTop w:val="0"/>
      <w:marBottom w:val="0"/>
      <w:divBdr>
        <w:top w:val="none" w:sz="0" w:space="0" w:color="auto"/>
        <w:left w:val="none" w:sz="0" w:space="0" w:color="auto"/>
        <w:bottom w:val="none" w:sz="0" w:space="0" w:color="auto"/>
        <w:right w:val="none" w:sz="0" w:space="0" w:color="auto"/>
      </w:divBdr>
    </w:div>
    <w:div w:id="647519661">
      <w:bodyDiv w:val="1"/>
      <w:marLeft w:val="0"/>
      <w:marRight w:val="0"/>
      <w:marTop w:val="0"/>
      <w:marBottom w:val="0"/>
      <w:divBdr>
        <w:top w:val="none" w:sz="0" w:space="0" w:color="auto"/>
        <w:left w:val="none" w:sz="0" w:space="0" w:color="auto"/>
        <w:bottom w:val="none" w:sz="0" w:space="0" w:color="auto"/>
        <w:right w:val="none" w:sz="0" w:space="0" w:color="auto"/>
      </w:divBdr>
    </w:div>
    <w:div w:id="648553125">
      <w:bodyDiv w:val="1"/>
      <w:marLeft w:val="0"/>
      <w:marRight w:val="0"/>
      <w:marTop w:val="0"/>
      <w:marBottom w:val="0"/>
      <w:divBdr>
        <w:top w:val="none" w:sz="0" w:space="0" w:color="auto"/>
        <w:left w:val="none" w:sz="0" w:space="0" w:color="auto"/>
        <w:bottom w:val="none" w:sz="0" w:space="0" w:color="auto"/>
        <w:right w:val="none" w:sz="0" w:space="0" w:color="auto"/>
      </w:divBdr>
    </w:div>
    <w:div w:id="648631424">
      <w:bodyDiv w:val="1"/>
      <w:marLeft w:val="0"/>
      <w:marRight w:val="0"/>
      <w:marTop w:val="0"/>
      <w:marBottom w:val="0"/>
      <w:divBdr>
        <w:top w:val="none" w:sz="0" w:space="0" w:color="auto"/>
        <w:left w:val="none" w:sz="0" w:space="0" w:color="auto"/>
        <w:bottom w:val="none" w:sz="0" w:space="0" w:color="auto"/>
        <w:right w:val="none" w:sz="0" w:space="0" w:color="auto"/>
      </w:divBdr>
    </w:div>
    <w:div w:id="648941657">
      <w:bodyDiv w:val="1"/>
      <w:marLeft w:val="0"/>
      <w:marRight w:val="0"/>
      <w:marTop w:val="0"/>
      <w:marBottom w:val="0"/>
      <w:divBdr>
        <w:top w:val="none" w:sz="0" w:space="0" w:color="auto"/>
        <w:left w:val="none" w:sz="0" w:space="0" w:color="auto"/>
        <w:bottom w:val="none" w:sz="0" w:space="0" w:color="auto"/>
        <w:right w:val="none" w:sz="0" w:space="0" w:color="auto"/>
      </w:divBdr>
    </w:div>
    <w:div w:id="650138607">
      <w:bodyDiv w:val="1"/>
      <w:marLeft w:val="0"/>
      <w:marRight w:val="0"/>
      <w:marTop w:val="0"/>
      <w:marBottom w:val="0"/>
      <w:divBdr>
        <w:top w:val="none" w:sz="0" w:space="0" w:color="auto"/>
        <w:left w:val="none" w:sz="0" w:space="0" w:color="auto"/>
        <w:bottom w:val="none" w:sz="0" w:space="0" w:color="auto"/>
        <w:right w:val="none" w:sz="0" w:space="0" w:color="auto"/>
      </w:divBdr>
    </w:div>
    <w:div w:id="650989994">
      <w:bodyDiv w:val="1"/>
      <w:marLeft w:val="0"/>
      <w:marRight w:val="0"/>
      <w:marTop w:val="0"/>
      <w:marBottom w:val="0"/>
      <w:divBdr>
        <w:top w:val="none" w:sz="0" w:space="0" w:color="auto"/>
        <w:left w:val="none" w:sz="0" w:space="0" w:color="auto"/>
        <w:bottom w:val="none" w:sz="0" w:space="0" w:color="auto"/>
        <w:right w:val="none" w:sz="0" w:space="0" w:color="auto"/>
      </w:divBdr>
    </w:div>
    <w:div w:id="652173491">
      <w:bodyDiv w:val="1"/>
      <w:marLeft w:val="0"/>
      <w:marRight w:val="0"/>
      <w:marTop w:val="0"/>
      <w:marBottom w:val="0"/>
      <w:divBdr>
        <w:top w:val="none" w:sz="0" w:space="0" w:color="auto"/>
        <w:left w:val="none" w:sz="0" w:space="0" w:color="auto"/>
        <w:bottom w:val="none" w:sz="0" w:space="0" w:color="auto"/>
        <w:right w:val="none" w:sz="0" w:space="0" w:color="auto"/>
      </w:divBdr>
    </w:div>
    <w:div w:id="652224612">
      <w:bodyDiv w:val="1"/>
      <w:marLeft w:val="0"/>
      <w:marRight w:val="0"/>
      <w:marTop w:val="0"/>
      <w:marBottom w:val="0"/>
      <w:divBdr>
        <w:top w:val="none" w:sz="0" w:space="0" w:color="auto"/>
        <w:left w:val="none" w:sz="0" w:space="0" w:color="auto"/>
        <w:bottom w:val="none" w:sz="0" w:space="0" w:color="auto"/>
        <w:right w:val="none" w:sz="0" w:space="0" w:color="auto"/>
      </w:divBdr>
    </w:div>
    <w:div w:id="653920838">
      <w:bodyDiv w:val="1"/>
      <w:marLeft w:val="0"/>
      <w:marRight w:val="0"/>
      <w:marTop w:val="0"/>
      <w:marBottom w:val="0"/>
      <w:divBdr>
        <w:top w:val="none" w:sz="0" w:space="0" w:color="auto"/>
        <w:left w:val="none" w:sz="0" w:space="0" w:color="auto"/>
        <w:bottom w:val="none" w:sz="0" w:space="0" w:color="auto"/>
        <w:right w:val="none" w:sz="0" w:space="0" w:color="auto"/>
      </w:divBdr>
    </w:div>
    <w:div w:id="655035296">
      <w:bodyDiv w:val="1"/>
      <w:marLeft w:val="0"/>
      <w:marRight w:val="0"/>
      <w:marTop w:val="0"/>
      <w:marBottom w:val="0"/>
      <w:divBdr>
        <w:top w:val="none" w:sz="0" w:space="0" w:color="auto"/>
        <w:left w:val="none" w:sz="0" w:space="0" w:color="auto"/>
        <w:bottom w:val="none" w:sz="0" w:space="0" w:color="auto"/>
        <w:right w:val="none" w:sz="0" w:space="0" w:color="auto"/>
      </w:divBdr>
    </w:div>
    <w:div w:id="657001478">
      <w:bodyDiv w:val="1"/>
      <w:marLeft w:val="0"/>
      <w:marRight w:val="0"/>
      <w:marTop w:val="0"/>
      <w:marBottom w:val="0"/>
      <w:divBdr>
        <w:top w:val="none" w:sz="0" w:space="0" w:color="auto"/>
        <w:left w:val="none" w:sz="0" w:space="0" w:color="auto"/>
        <w:bottom w:val="none" w:sz="0" w:space="0" w:color="auto"/>
        <w:right w:val="none" w:sz="0" w:space="0" w:color="auto"/>
      </w:divBdr>
    </w:div>
    <w:div w:id="657002516">
      <w:bodyDiv w:val="1"/>
      <w:marLeft w:val="0"/>
      <w:marRight w:val="0"/>
      <w:marTop w:val="0"/>
      <w:marBottom w:val="0"/>
      <w:divBdr>
        <w:top w:val="none" w:sz="0" w:space="0" w:color="auto"/>
        <w:left w:val="none" w:sz="0" w:space="0" w:color="auto"/>
        <w:bottom w:val="none" w:sz="0" w:space="0" w:color="auto"/>
        <w:right w:val="none" w:sz="0" w:space="0" w:color="auto"/>
      </w:divBdr>
    </w:div>
    <w:div w:id="657074868">
      <w:bodyDiv w:val="1"/>
      <w:marLeft w:val="0"/>
      <w:marRight w:val="0"/>
      <w:marTop w:val="0"/>
      <w:marBottom w:val="0"/>
      <w:divBdr>
        <w:top w:val="none" w:sz="0" w:space="0" w:color="auto"/>
        <w:left w:val="none" w:sz="0" w:space="0" w:color="auto"/>
        <w:bottom w:val="none" w:sz="0" w:space="0" w:color="auto"/>
        <w:right w:val="none" w:sz="0" w:space="0" w:color="auto"/>
      </w:divBdr>
    </w:div>
    <w:div w:id="658121302">
      <w:bodyDiv w:val="1"/>
      <w:marLeft w:val="0"/>
      <w:marRight w:val="0"/>
      <w:marTop w:val="0"/>
      <w:marBottom w:val="0"/>
      <w:divBdr>
        <w:top w:val="none" w:sz="0" w:space="0" w:color="auto"/>
        <w:left w:val="none" w:sz="0" w:space="0" w:color="auto"/>
        <w:bottom w:val="none" w:sz="0" w:space="0" w:color="auto"/>
        <w:right w:val="none" w:sz="0" w:space="0" w:color="auto"/>
      </w:divBdr>
    </w:div>
    <w:div w:id="658386008">
      <w:bodyDiv w:val="1"/>
      <w:marLeft w:val="0"/>
      <w:marRight w:val="0"/>
      <w:marTop w:val="0"/>
      <w:marBottom w:val="0"/>
      <w:divBdr>
        <w:top w:val="none" w:sz="0" w:space="0" w:color="auto"/>
        <w:left w:val="none" w:sz="0" w:space="0" w:color="auto"/>
        <w:bottom w:val="none" w:sz="0" w:space="0" w:color="auto"/>
        <w:right w:val="none" w:sz="0" w:space="0" w:color="auto"/>
      </w:divBdr>
    </w:div>
    <w:div w:id="658725976">
      <w:bodyDiv w:val="1"/>
      <w:marLeft w:val="0"/>
      <w:marRight w:val="0"/>
      <w:marTop w:val="0"/>
      <w:marBottom w:val="0"/>
      <w:divBdr>
        <w:top w:val="none" w:sz="0" w:space="0" w:color="auto"/>
        <w:left w:val="none" w:sz="0" w:space="0" w:color="auto"/>
        <w:bottom w:val="none" w:sz="0" w:space="0" w:color="auto"/>
        <w:right w:val="none" w:sz="0" w:space="0" w:color="auto"/>
      </w:divBdr>
    </w:div>
    <w:div w:id="658969649">
      <w:bodyDiv w:val="1"/>
      <w:marLeft w:val="0"/>
      <w:marRight w:val="0"/>
      <w:marTop w:val="0"/>
      <w:marBottom w:val="0"/>
      <w:divBdr>
        <w:top w:val="none" w:sz="0" w:space="0" w:color="auto"/>
        <w:left w:val="none" w:sz="0" w:space="0" w:color="auto"/>
        <w:bottom w:val="none" w:sz="0" w:space="0" w:color="auto"/>
        <w:right w:val="none" w:sz="0" w:space="0" w:color="auto"/>
      </w:divBdr>
    </w:div>
    <w:div w:id="661081414">
      <w:bodyDiv w:val="1"/>
      <w:marLeft w:val="0"/>
      <w:marRight w:val="0"/>
      <w:marTop w:val="0"/>
      <w:marBottom w:val="0"/>
      <w:divBdr>
        <w:top w:val="none" w:sz="0" w:space="0" w:color="auto"/>
        <w:left w:val="none" w:sz="0" w:space="0" w:color="auto"/>
        <w:bottom w:val="none" w:sz="0" w:space="0" w:color="auto"/>
        <w:right w:val="none" w:sz="0" w:space="0" w:color="auto"/>
      </w:divBdr>
    </w:div>
    <w:div w:id="661353349">
      <w:bodyDiv w:val="1"/>
      <w:marLeft w:val="0"/>
      <w:marRight w:val="0"/>
      <w:marTop w:val="0"/>
      <w:marBottom w:val="0"/>
      <w:divBdr>
        <w:top w:val="none" w:sz="0" w:space="0" w:color="auto"/>
        <w:left w:val="none" w:sz="0" w:space="0" w:color="auto"/>
        <w:bottom w:val="none" w:sz="0" w:space="0" w:color="auto"/>
        <w:right w:val="none" w:sz="0" w:space="0" w:color="auto"/>
      </w:divBdr>
    </w:div>
    <w:div w:id="661809767">
      <w:bodyDiv w:val="1"/>
      <w:marLeft w:val="0"/>
      <w:marRight w:val="0"/>
      <w:marTop w:val="0"/>
      <w:marBottom w:val="0"/>
      <w:divBdr>
        <w:top w:val="none" w:sz="0" w:space="0" w:color="auto"/>
        <w:left w:val="none" w:sz="0" w:space="0" w:color="auto"/>
        <w:bottom w:val="none" w:sz="0" w:space="0" w:color="auto"/>
        <w:right w:val="none" w:sz="0" w:space="0" w:color="auto"/>
      </w:divBdr>
    </w:div>
    <w:div w:id="661860122">
      <w:bodyDiv w:val="1"/>
      <w:marLeft w:val="0"/>
      <w:marRight w:val="0"/>
      <w:marTop w:val="0"/>
      <w:marBottom w:val="0"/>
      <w:divBdr>
        <w:top w:val="none" w:sz="0" w:space="0" w:color="auto"/>
        <w:left w:val="none" w:sz="0" w:space="0" w:color="auto"/>
        <w:bottom w:val="none" w:sz="0" w:space="0" w:color="auto"/>
        <w:right w:val="none" w:sz="0" w:space="0" w:color="auto"/>
      </w:divBdr>
    </w:div>
    <w:div w:id="663357451">
      <w:bodyDiv w:val="1"/>
      <w:marLeft w:val="0"/>
      <w:marRight w:val="0"/>
      <w:marTop w:val="0"/>
      <w:marBottom w:val="0"/>
      <w:divBdr>
        <w:top w:val="none" w:sz="0" w:space="0" w:color="auto"/>
        <w:left w:val="none" w:sz="0" w:space="0" w:color="auto"/>
        <w:bottom w:val="none" w:sz="0" w:space="0" w:color="auto"/>
        <w:right w:val="none" w:sz="0" w:space="0" w:color="auto"/>
      </w:divBdr>
    </w:div>
    <w:div w:id="663437160">
      <w:bodyDiv w:val="1"/>
      <w:marLeft w:val="0"/>
      <w:marRight w:val="0"/>
      <w:marTop w:val="0"/>
      <w:marBottom w:val="0"/>
      <w:divBdr>
        <w:top w:val="none" w:sz="0" w:space="0" w:color="auto"/>
        <w:left w:val="none" w:sz="0" w:space="0" w:color="auto"/>
        <w:bottom w:val="none" w:sz="0" w:space="0" w:color="auto"/>
        <w:right w:val="none" w:sz="0" w:space="0" w:color="auto"/>
      </w:divBdr>
    </w:div>
    <w:div w:id="663778334">
      <w:bodyDiv w:val="1"/>
      <w:marLeft w:val="0"/>
      <w:marRight w:val="0"/>
      <w:marTop w:val="0"/>
      <w:marBottom w:val="0"/>
      <w:divBdr>
        <w:top w:val="none" w:sz="0" w:space="0" w:color="auto"/>
        <w:left w:val="none" w:sz="0" w:space="0" w:color="auto"/>
        <w:bottom w:val="none" w:sz="0" w:space="0" w:color="auto"/>
        <w:right w:val="none" w:sz="0" w:space="0" w:color="auto"/>
      </w:divBdr>
    </w:div>
    <w:div w:id="663893450">
      <w:bodyDiv w:val="1"/>
      <w:marLeft w:val="0"/>
      <w:marRight w:val="0"/>
      <w:marTop w:val="0"/>
      <w:marBottom w:val="0"/>
      <w:divBdr>
        <w:top w:val="none" w:sz="0" w:space="0" w:color="auto"/>
        <w:left w:val="none" w:sz="0" w:space="0" w:color="auto"/>
        <w:bottom w:val="none" w:sz="0" w:space="0" w:color="auto"/>
        <w:right w:val="none" w:sz="0" w:space="0" w:color="auto"/>
      </w:divBdr>
    </w:div>
    <w:div w:id="666447767">
      <w:bodyDiv w:val="1"/>
      <w:marLeft w:val="0"/>
      <w:marRight w:val="0"/>
      <w:marTop w:val="0"/>
      <w:marBottom w:val="0"/>
      <w:divBdr>
        <w:top w:val="none" w:sz="0" w:space="0" w:color="auto"/>
        <w:left w:val="none" w:sz="0" w:space="0" w:color="auto"/>
        <w:bottom w:val="none" w:sz="0" w:space="0" w:color="auto"/>
        <w:right w:val="none" w:sz="0" w:space="0" w:color="auto"/>
      </w:divBdr>
    </w:div>
    <w:div w:id="667094408">
      <w:bodyDiv w:val="1"/>
      <w:marLeft w:val="0"/>
      <w:marRight w:val="0"/>
      <w:marTop w:val="0"/>
      <w:marBottom w:val="0"/>
      <w:divBdr>
        <w:top w:val="none" w:sz="0" w:space="0" w:color="auto"/>
        <w:left w:val="none" w:sz="0" w:space="0" w:color="auto"/>
        <w:bottom w:val="none" w:sz="0" w:space="0" w:color="auto"/>
        <w:right w:val="none" w:sz="0" w:space="0" w:color="auto"/>
      </w:divBdr>
    </w:div>
    <w:div w:id="667562007">
      <w:bodyDiv w:val="1"/>
      <w:marLeft w:val="0"/>
      <w:marRight w:val="0"/>
      <w:marTop w:val="0"/>
      <w:marBottom w:val="0"/>
      <w:divBdr>
        <w:top w:val="none" w:sz="0" w:space="0" w:color="auto"/>
        <w:left w:val="none" w:sz="0" w:space="0" w:color="auto"/>
        <w:bottom w:val="none" w:sz="0" w:space="0" w:color="auto"/>
        <w:right w:val="none" w:sz="0" w:space="0" w:color="auto"/>
      </w:divBdr>
    </w:div>
    <w:div w:id="667565164">
      <w:bodyDiv w:val="1"/>
      <w:marLeft w:val="0"/>
      <w:marRight w:val="0"/>
      <w:marTop w:val="0"/>
      <w:marBottom w:val="0"/>
      <w:divBdr>
        <w:top w:val="none" w:sz="0" w:space="0" w:color="auto"/>
        <w:left w:val="none" w:sz="0" w:space="0" w:color="auto"/>
        <w:bottom w:val="none" w:sz="0" w:space="0" w:color="auto"/>
        <w:right w:val="none" w:sz="0" w:space="0" w:color="auto"/>
      </w:divBdr>
    </w:div>
    <w:div w:id="667634690">
      <w:bodyDiv w:val="1"/>
      <w:marLeft w:val="0"/>
      <w:marRight w:val="0"/>
      <w:marTop w:val="0"/>
      <w:marBottom w:val="0"/>
      <w:divBdr>
        <w:top w:val="none" w:sz="0" w:space="0" w:color="auto"/>
        <w:left w:val="none" w:sz="0" w:space="0" w:color="auto"/>
        <w:bottom w:val="none" w:sz="0" w:space="0" w:color="auto"/>
        <w:right w:val="none" w:sz="0" w:space="0" w:color="auto"/>
      </w:divBdr>
    </w:div>
    <w:div w:id="668338142">
      <w:bodyDiv w:val="1"/>
      <w:marLeft w:val="0"/>
      <w:marRight w:val="0"/>
      <w:marTop w:val="0"/>
      <w:marBottom w:val="0"/>
      <w:divBdr>
        <w:top w:val="none" w:sz="0" w:space="0" w:color="auto"/>
        <w:left w:val="none" w:sz="0" w:space="0" w:color="auto"/>
        <w:bottom w:val="none" w:sz="0" w:space="0" w:color="auto"/>
        <w:right w:val="none" w:sz="0" w:space="0" w:color="auto"/>
      </w:divBdr>
    </w:div>
    <w:div w:id="669022245">
      <w:bodyDiv w:val="1"/>
      <w:marLeft w:val="0"/>
      <w:marRight w:val="0"/>
      <w:marTop w:val="0"/>
      <w:marBottom w:val="0"/>
      <w:divBdr>
        <w:top w:val="none" w:sz="0" w:space="0" w:color="auto"/>
        <w:left w:val="none" w:sz="0" w:space="0" w:color="auto"/>
        <w:bottom w:val="none" w:sz="0" w:space="0" w:color="auto"/>
        <w:right w:val="none" w:sz="0" w:space="0" w:color="auto"/>
      </w:divBdr>
    </w:div>
    <w:div w:id="669796736">
      <w:bodyDiv w:val="1"/>
      <w:marLeft w:val="0"/>
      <w:marRight w:val="0"/>
      <w:marTop w:val="0"/>
      <w:marBottom w:val="0"/>
      <w:divBdr>
        <w:top w:val="none" w:sz="0" w:space="0" w:color="auto"/>
        <w:left w:val="none" w:sz="0" w:space="0" w:color="auto"/>
        <w:bottom w:val="none" w:sz="0" w:space="0" w:color="auto"/>
        <w:right w:val="none" w:sz="0" w:space="0" w:color="auto"/>
      </w:divBdr>
    </w:div>
    <w:div w:id="670186336">
      <w:bodyDiv w:val="1"/>
      <w:marLeft w:val="0"/>
      <w:marRight w:val="0"/>
      <w:marTop w:val="0"/>
      <w:marBottom w:val="0"/>
      <w:divBdr>
        <w:top w:val="none" w:sz="0" w:space="0" w:color="auto"/>
        <w:left w:val="none" w:sz="0" w:space="0" w:color="auto"/>
        <w:bottom w:val="none" w:sz="0" w:space="0" w:color="auto"/>
        <w:right w:val="none" w:sz="0" w:space="0" w:color="auto"/>
      </w:divBdr>
    </w:div>
    <w:div w:id="670303626">
      <w:bodyDiv w:val="1"/>
      <w:marLeft w:val="0"/>
      <w:marRight w:val="0"/>
      <w:marTop w:val="0"/>
      <w:marBottom w:val="0"/>
      <w:divBdr>
        <w:top w:val="none" w:sz="0" w:space="0" w:color="auto"/>
        <w:left w:val="none" w:sz="0" w:space="0" w:color="auto"/>
        <w:bottom w:val="none" w:sz="0" w:space="0" w:color="auto"/>
        <w:right w:val="none" w:sz="0" w:space="0" w:color="auto"/>
      </w:divBdr>
    </w:div>
    <w:div w:id="670911886">
      <w:bodyDiv w:val="1"/>
      <w:marLeft w:val="0"/>
      <w:marRight w:val="0"/>
      <w:marTop w:val="0"/>
      <w:marBottom w:val="0"/>
      <w:divBdr>
        <w:top w:val="none" w:sz="0" w:space="0" w:color="auto"/>
        <w:left w:val="none" w:sz="0" w:space="0" w:color="auto"/>
        <w:bottom w:val="none" w:sz="0" w:space="0" w:color="auto"/>
        <w:right w:val="none" w:sz="0" w:space="0" w:color="auto"/>
      </w:divBdr>
    </w:div>
    <w:div w:id="673722467">
      <w:bodyDiv w:val="1"/>
      <w:marLeft w:val="0"/>
      <w:marRight w:val="0"/>
      <w:marTop w:val="0"/>
      <w:marBottom w:val="0"/>
      <w:divBdr>
        <w:top w:val="none" w:sz="0" w:space="0" w:color="auto"/>
        <w:left w:val="none" w:sz="0" w:space="0" w:color="auto"/>
        <w:bottom w:val="none" w:sz="0" w:space="0" w:color="auto"/>
        <w:right w:val="none" w:sz="0" w:space="0" w:color="auto"/>
      </w:divBdr>
    </w:div>
    <w:div w:id="673803182">
      <w:bodyDiv w:val="1"/>
      <w:marLeft w:val="0"/>
      <w:marRight w:val="0"/>
      <w:marTop w:val="0"/>
      <w:marBottom w:val="0"/>
      <w:divBdr>
        <w:top w:val="none" w:sz="0" w:space="0" w:color="auto"/>
        <w:left w:val="none" w:sz="0" w:space="0" w:color="auto"/>
        <w:bottom w:val="none" w:sz="0" w:space="0" w:color="auto"/>
        <w:right w:val="none" w:sz="0" w:space="0" w:color="auto"/>
      </w:divBdr>
    </w:div>
    <w:div w:id="675153370">
      <w:bodyDiv w:val="1"/>
      <w:marLeft w:val="0"/>
      <w:marRight w:val="0"/>
      <w:marTop w:val="0"/>
      <w:marBottom w:val="0"/>
      <w:divBdr>
        <w:top w:val="none" w:sz="0" w:space="0" w:color="auto"/>
        <w:left w:val="none" w:sz="0" w:space="0" w:color="auto"/>
        <w:bottom w:val="none" w:sz="0" w:space="0" w:color="auto"/>
        <w:right w:val="none" w:sz="0" w:space="0" w:color="auto"/>
      </w:divBdr>
    </w:div>
    <w:div w:id="675379213">
      <w:bodyDiv w:val="1"/>
      <w:marLeft w:val="0"/>
      <w:marRight w:val="0"/>
      <w:marTop w:val="0"/>
      <w:marBottom w:val="0"/>
      <w:divBdr>
        <w:top w:val="none" w:sz="0" w:space="0" w:color="auto"/>
        <w:left w:val="none" w:sz="0" w:space="0" w:color="auto"/>
        <w:bottom w:val="none" w:sz="0" w:space="0" w:color="auto"/>
        <w:right w:val="none" w:sz="0" w:space="0" w:color="auto"/>
      </w:divBdr>
    </w:div>
    <w:div w:id="675693564">
      <w:bodyDiv w:val="1"/>
      <w:marLeft w:val="0"/>
      <w:marRight w:val="0"/>
      <w:marTop w:val="0"/>
      <w:marBottom w:val="0"/>
      <w:divBdr>
        <w:top w:val="none" w:sz="0" w:space="0" w:color="auto"/>
        <w:left w:val="none" w:sz="0" w:space="0" w:color="auto"/>
        <w:bottom w:val="none" w:sz="0" w:space="0" w:color="auto"/>
        <w:right w:val="none" w:sz="0" w:space="0" w:color="auto"/>
      </w:divBdr>
    </w:div>
    <w:div w:id="676274661">
      <w:bodyDiv w:val="1"/>
      <w:marLeft w:val="0"/>
      <w:marRight w:val="0"/>
      <w:marTop w:val="0"/>
      <w:marBottom w:val="0"/>
      <w:divBdr>
        <w:top w:val="none" w:sz="0" w:space="0" w:color="auto"/>
        <w:left w:val="none" w:sz="0" w:space="0" w:color="auto"/>
        <w:bottom w:val="none" w:sz="0" w:space="0" w:color="auto"/>
        <w:right w:val="none" w:sz="0" w:space="0" w:color="auto"/>
      </w:divBdr>
    </w:div>
    <w:div w:id="676536430">
      <w:bodyDiv w:val="1"/>
      <w:marLeft w:val="0"/>
      <w:marRight w:val="0"/>
      <w:marTop w:val="0"/>
      <w:marBottom w:val="0"/>
      <w:divBdr>
        <w:top w:val="none" w:sz="0" w:space="0" w:color="auto"/>
        <w:left w:val="none" w:sz="0" w:space="0" w:color="auto"/>
        <w:bottom w:val="none" w:sz="0" w:space="0" w:color="auto"/>
        <w:right w:val="none" w:sz="0" w:space="0" w:color="auto"/>
      </w:divBdr>
    </w:div>
    <w:div w:id="676611568">
      <w:bodyDiv w:val="1"/>
      <w:marLeft w:val="0"/>
      <w:marRight w:val="0"/>
      <w:marTop w:val="0"/>
      <w:marBottom w:val="0"/>
      <w:divBdr>
        <w:top w:val="none" w:sz="0" w:space="0" w:color="auto"/>
        <w:left w:val="none" w:sz="0" w:space="0" w:color="auto"/>
        <w:bottom w:val="none" w:sz="0" w:space="0" w:color="auto"/>
        <w:right w:val="none" w:sz="0" w:space="0" w:color="auto"/>
      </w:divBdr>
    </w:div>
    <w:div w:id="676807390">
      <w:bodyDiv w:val="1"/>
      <w:marLeft w:val="0"/>
      <w:marRight w:val="0"/>
      <w:marTop w:val="0"/>
      <w:marBottom w:val="0"/>
      <w:divBdr>
        <w:top w:val="none" w:sz="0" w:space="0" w:color="auto"/>
        <w:left w:val="none" w:sz="0" w:space="0" w:color="auto"/>
        <w:bottom w:val="none" w:sz="0" w:space="0" w:color="auto"/>
        <w:right w:val="none" w:sz="0" w:space="0" w:color="auto"/>
      </w:divBdr>
    </w:div>
    <w:div w:id="677654406">
      <w:bodyDiv w:val="1"/>
      <w:marLeft w:val="0"/>
      <w:marRight w:val="0"/>
      <w:marTop w:val="0"/>
      <w:marBottom w:val="0"/>
      <w:divBdr>
        <w:top w:val="none" w:sz="0" w:space="0" w:color="auto"/>
        <w:left w:val="none" w:sz="0" w:space="0" w:color="auto"/>
        <w:bottom w:val="none" w:sz="0" w:space="0" w:color="auto"/>
        <w:right w:val="none" w:sz="0" w:space="0" w:color="auto"/>
      </w:divBdr>
    </w:div>
    <w:div w:id="677656206">
      <w:bodyDiv w:val="1"/>
      <w:marLeft w:val="0"/>
      <w:marRight w:val="0"/>
      <w:marTop w:val="0"/>
      <w:marBottom w:val="0"/>
      <w:divBdr>
        <w:top w:val="none" w:sz="0" w:space="0" w:color="auto"/>
        <w:left w:val="none" w:sz="0" w:space="0" w:color="auto"/>
        <w:bottom w:val="none" w:sz="0" w:space="0" w:color="auto"/>
        <w:right w:val="none" w:sz="0" w:space="0" w:color="auto"/>
      </w:divBdr>
    </w:div>
    <w:div w:id="677774559">
      <w:bodyDiv w:val="1"/>
      <w:marLeft w:val="0"/>
      <w:marRight w:val="0"/>
      <w:marTop w:val="0"/>
      <w:marBottom w:val="0"/>
      <w:divBdr>
        <w:top w:val="none" w:sz="0" w:space="0" w:color="auto"/>
        <w:left w:val="none" w:sz="0" w:space="0" w:color="auto"/>
        <w:bottom w:val="none" w:sz="0" w:space="0" w:color="auto"/>
        <w:right w:val="none" w:sz="0" w:space="0" w:color="auto"/>
      </w:divBdr>
    </w:div>
    <w:div w:id="678585499">
      <w:bodyDiv w:val="1"/>
      <w:marLeft w:val="0"/>
      <w:marRight w:val="0"/>
      <w:marTop w:val="0"/>
      <w:marBottom w:val="0"/>
      <w:divBdr>
        <w:top w:val="none" w:sz="0" w:space="0" w:color="auto"/>
        <w:left w:val="none" w:sz="0" w:space="0" w:color="auto"/>
        <w:bottom w:val="none" w:sz="0" w:space="0" w:color="auto"/>
        <w:right w:val="none" w:sz="0" w:space="0" w:color="auto"/>
      </w:divBdr>
    </w:div>
    <w:div w:id="678655745">
      <w:bodyDiv w:val="1"/>
      <w:marLeft w:val="0"/>
      <w:marRight w:val="0"/>
      <w:marTop w:val="0"/>
      <w:marBottom w:val="0"/>
      <w:divBdr>
        <w:top w:val="none" w:sz="0" w:space="0" w:color="auto"/>
        <w:left w:val="none" w:sz="0" w:space="0" w:color="auto"/>
        <w:bottom w:val="none" w:sz="0" w:space="0" w:color="auto"/>
        <w:right w:val="none" w:sz="0" w:space="0" w:color="auto"/>
      </w:divBdr>
    </w:div>
    <w:div w:id="678848965">
      <w:bodyDiv w:val="1"/>
      <w:marLeft w:val="0"/>
      <w:marRight w:val="0"/>
      <w:marTop w:val="0"/>
      <w:marBottom w:val="0"/>
      <w:divBdr>
        <w:top w:val="none" w:sz="0" w:space="0" w:color="auto"/>
        <w:left w:val="none" w:sz="0" w:space="0" w:color="auto"/>
        <w:bottom w:val="none" w:sz="0" w:space="0" w:color="auto"/>
        <w:right w:val="none" w:sz="0" w:space="0" w:color="auto"/>
      </w:divBdr>
    </w:div>
    <w:div w:id="678967877">
      <w:bodyDiv w:val="1"/>
      <w:marLeft w:val="0"/>
      <w:marRight w:val="0"/>
      <w:marTop w:val="0"/>
      <w:marBottom w:val="0"/>
      <w:divBdr>
        <w:top w:val="none" w:sz="0" w:space="0" w:color="auto"/>
        <w:left w:val="none" w:sz="0" w:space="0" w:color="auto"/>
        <w:bottom w:val="none" w:sz="0" w:space="0" w:color="auto"/>
        <w:right w:val="none" w:sz="0" w:space="0" w:color="auto"/>
      </w:divBdr>
    </w:div>
    <w:div w:id="679352773">
      <w:bodyDiv w:val="1"/>
      <w:marLeft w:val="0"/>
      <w:marRight w:val="0"/>
      <w:marTop w:val="0"/>
      <w:marBottom w:val="0"/>
      <w:divBdr>
        <w:top w:val="none" w:sz="0" w:space="0" w:color="auto"/>
        <w:left w:val="none" w:sz="0" w:space="0" w:color="auto"/>
        <w:bottom w:val="none" w:sz="0" w:space="0" w:color="auto"/>
        <w:right w:val="none" w:sz="0" w:space="0" w:color="auto"/>
      </w:divBdr>
    </w:div>
    <w:div w:id="681783753">
      <w:bodyDiv w:val="1"/>
      <w:marLeft w:val="0"/>
      <w:marRight w:val="0"/>
      <w:marTop w:val="0"/>
      <w:marBottom w:val="0"/>
      <w:divBdr>
        <w:top w:val="none" w:sz="0" w:space="0" w:color="auto"/>
        <w:left w:val="none" w:sz="0" w:space="0" w:color="auto"/>
        <w:bottom w:val="none" w:sz="0" w:space="0" w:color="auto"/>
        <w:right w:val="none" w:sz="0" w:space="0" w:color="auto"/>
      </w:divBdr>
    </w:div>
    <w:div w:id="681933557">
      <w:bodyDiv w:val="1"/>
      <w:marLeft w:val="0"/>
      <w:marRight w:val="0"/>
      <w:marTop w:val="0"/>
      <w:marBottom w:val="0"/>
      <w:divBdr>
        <w:top w:val="none" w:sz="0" w:space="0" w:color="auto"/>
        <w:left w:val="none" w:sz="0" w:space="0" w:color="auto"/>
        <w:bottom w:val="none" w:sz="0" w:space="0" w:color="auto"/>
        <w:right w:val="none" w:sz="0" w:space="0" w:color="auto"/>
      </w:divBdr>
    </w:div>
    <w:div w:id="682166409">
      <w:bodyDiv w:val="1"/>
      <w:marLeft w:val="0"/>
      <w:marRight w:val="0"/>
      <w:marTop w:val="0"/>
      <w:marBottom w:val="0"/>
      <w:divBdr>
        <w:top w:val="none" w:sz="0" w:space="0" w:color="auto"/>
        <w:left w:val="none" w:sz="0" w:space="0" w:color="auto"/>
        <w:bottom w:val="none" w:sz="0" w:space="0" w:color="auto"/>
        <w:right w:val="none" w:sz="0" w:space="0" w:color="auto"/>
      </w:divBdr>
    </w:div>
    <w:div w:id="682167681">
      <w:bodyDiv w:val="1"/>
      <w:marLeft w:val="0"/>
      <w:marRight w:val="0"/>
      <w:marTop w:val="0"/>
      <w:marBottom w:val="0"/>
      <w:divBdr>
        <w:top w:val="none" w:sz="0" w:space="0" w:color="auto"/>
        <w:left w:val="none" w:sz="0" w:space="0" w:color="auto"/>
        <w:bottom w:val="none" w:sz="0" w:space="0" w:color="auto"/>
        <w:right w:val="none" w:sz="0" w:space="0" w:color="auto"/>
      </w:divBdr>
    </w:div>
    <w:div w:id="682433652">
      <w:bodyDiv w:val="1"/>
      <w:marLeft w:val="0"/>
      <w:marRight w:val="0"/>
      <w:marTop w:val="0"/>
      <w:marBottom w:val="0"/>
      <w:divBdr>
        <w:top w:val="none" w:sz="0" w:space="0" w:color="auto"/>
        <w:left w:val="none" w:sz="0" w:space="0" w:color="auto"/>
        <w:bottom w:val="none" w:sz="0" w:space="0" w:color="auto"/>
        <w:right w:val="none" w:sz="0" w:space="0" w:color="auto"/>
      </w:divBdr>
    </w:div>
    <w:div w:id="682631230">
      <w:bodyDiv w:val="1"/>
      <w:marLeft w:val="0"/>
      <w:marRight w:val="0"/>
      <w:marTop w:val="0"/>
      <w:marBottom w:val="0"/>
      <w:divBdr>
        <w:top w:val="none" w:sz="0" w:space="0" w:color="auto"/>
        <w:left w:val="none" w:sz="0" w:space="0" w:color="auto"/>
        <w:bottom w:val="none" w:sz="0" w:space="0" w:color="auto"/>
        <w:right w:val="none" w:sz="0" w:space="0" w:color="auto"/>
      </w:divBdr>
    </w:div>
    <w:div w:id="683559050">
      <w:bodyDiv w:val="1"/>
      <w:marLeft w:val="0"/>
      <w:marRight w:val="0"/>
      <w:marTop w:val="0"/>
      <w:marBottom w:val="0"/>
      <w:divBdr>
        <w:top w:val="none" w:sz="0" w:space="0" w:color="auto"/>
        <w:left w:val="none" w:sz="0" w:space="0" w:color="auto"/>
        <w:bottom w:val="none" w:sz="0" w:space="0" w:color="auto"/>
        <w:right w:val="none" w:sz="0" w:space="0" w:color="auto"/>
      </w:divBdr>
    </w:div>
    <w:div w:id="683751756">
      <w:bodyDiv w:val="1"/>
      <w:marLeft w:val="0"/>
      <w:marRight w:val="0"/>
      <w:marTop w:val="0"/>
      <w:marBottom w:val="0"/>
      <w:divBdr>
        <w:top w:val="none" w:sz="0" w:space="0" w:color="auto"/>
        <w:left w:val="none" w:sz="0" w:space="0" w:color="auto"/>
        <w:bottom w:val="none" w:sz="0" w:space="0" w:color="auto"/>
        <w:right w:val="none" w:sz="0" w:space="0" w:color="auto"/>
      </w:divBdr>
    </w:div>
    <w:div w:id="685987913">
      <w:bodyDiv w:val="1"/>
      <w:marLeft w:val="0"/>
      <w:marRight w:val="0"/>
      <w:marTop w:val="0"/>
      <w:marBottom w:val="0"/>
      <w:divBdr>
        <w:top w:val="none" w:sz="0" w:space="0" w:color="auto"/>
        <w:left w:val="none" w:sz="0" w:space="0" w:color="auto"/>
        <w:bottom w:val="none" w:sz="0" w:space="0" w:color="auto"/>
        <w:right w:val="none" w:sz="0" w:space="0" w:color="auto"/>
      </w:divBdr>
    </w:div>
    <w:div w:id="686180458">
      <w:bodyDiv w:val="1"/>
      <w:marLeft w:val="0"/>
      <w:marRight w:val="0"/>
      <w:marTop w:val="0"/>
      <w:marBottom w:val="0"/>
      <w:divBdr>
        <w:top w:val="none" w:sz="0" w:space="0" w:color="auto"/>
        <w:left w:val="none" w:sz="0" w:space="0" w:color="auto"/>
        <w:bottom w:val="none" w:sz="0" w:space="0" w:color="auto"/>
        <w:right w:val="none" w:sz="0" w:space="0" w:color="auto"/>
      </w:divBdr>
    </w:div>
    <w:div w:id="686296560">
      <w:bodyDiv w:val="1"/>
      <w:marLeft w:val="0"/>
      <w:marRight w:val="0"/>
      <w:marTop w:val="0"/>
      <w:marBottom w:val="0"/>
      <w:divBdr>
        <w:top w:val="none" w:sz="0" w:space="0" w:color="auto"/>
        <w:left w:val="none" w:sz="0" w:space="0" w:color="auto"/>
        <w:bottom w:val="none" w:sz="0" w:space="0" w:color="auto"/>
        <w:right w:val="none" w:sz="0" w:space="0" w:color="auto"/>
      </w:divBdr>
    </w:div>
    <w:div w:id="686911859">
      <w:bodyDiv w:val="1"/>
      <w:marLeft w:val="0"/>
      <w:marRight w:val="0"/>
      <w:marTop w:val="0"/>
      <w:marBottom w:val="0"/>
      <w:divBdr>
        <w:top w:val="none" w:sz="0" w:space="0" w:color="auto"/>
        <w:left w:val="none" w:sz="0" w:space="0" w:color="auto"/>
        <w:bottom w:val="none" w:sz="0" w:space="0" w:color="auto"/>
        <w:right w:val="none" w:sz="0" w:space="0" w:color="auto"/>
      </w:divBdr>
    </w:div>
    <w:div w:id="686950164">
      <w:bodyDiv w:val="1"/>
      <w:marLeft w:val="0"/>
      <w:marRight w:val="0"/>
      <w:marTop w:val="0"/>
      <w:marBottom w:val="0"/>
      <w:divBdr>
        <w:top w:val="none" w:sz="0" w:space="0" w:color="auto"/>
        <w:left w:val="none" w:sz="0" w:space="0" w:color="auto"/>
        <w:bottom w:val="none" w:sz="0" w:space="0" w:color="auto"/>
        <w:right w:val="none" w:sz="0" w:space="0" w:color="auto"/>
      </w:divBdr>
    </w:div>
    <w:div w:id="687219384">
      <w:bodyDiv w:val="1"/>
      <w:marLeft w:val="0"/>
      <w:marRight w:val="0"/>
      <w:marTop w:val="0"/>
      <w:marBottom w:val="0"/>
      <w:divBdr>
        <w:top w:val="none" w:sz="0" w:space="0" w:color="auto"/>
        <w:left w:val="none" w:sz="0" w:space="0" w:color="auto"/>
        <w:bottom w:val="none" w:sz="0" w:space="0" w:color="auto"/>
        <w:right w:val="none" w:sz="0" w:space="0" w:color="auto"/>
      </w:divBdr>
    </w:div>
    <w:div w:id="687560934">
      <w:bodyDiv w:val="1"/>
      <w:marLeft w:val="0"/>
      <w:marRight w:val="0"/>
      <w:marTop w:val="0"/>
      <w:marBottom w:val="0"/>
      <w:divBdr>
        <w:top w:val="none" w:sz="0" w:space="0" w:color="auto"/>
        <w:left w:val="none" w:sz="0" w:space="0" w:color="auto"/>
        <w:bottom w:val="none" w:sz="0" w:space="0" w:color="auto"/>
        <w:right w:val="none" w:sz="0" w:space="0" w:color="auto"/>
      </w:divBdr>
    </w:div>
    <w:div w:id="687607912">
      <w:bodyDiv w:val="1"/>
      <w:marLeft w:val="0"/>
      <w:marRight w:val="0"/>
      <w:marTop w:val="0"/>
      <w:marBottom w:val="0"/>
      <w:divBdr>
        <w:top w:val="none" w:sz="0" w:space="0" w:color="auto"/>
        <w:left w:val="none" w:sz="0" w:space="0" w:color="auto"/>
        <w:bottom w:val="none" w:sz="0" w:space="0" w:color="auto"/>
        <w:right w:val="none" w:sz="0" w:space="0" w:color="auto"/>
      </w:divBdr>
    </w:div>
    <w:div w:id="689716977">
      <w:bodyDiv w:val="1"/>
      <w:marLeft w:val="0"/>
      <w:marRight w:val="0"/>
      <w:marTop w:val="0"/>
      <w:marBottom w:val="0"/>
      <w:divBdr>
        <w:top w:val="none" w:sz="0" w:space="0" w:color="auto"/>
        <w:left w:val="none" w:sz="0" w:space="0" w:color="auto"/>
        <w:bottom w:val="none" w:sz="0" w:space="0" w:color="auto"/>
        <w:right w:val="none" w:sz="0" w:space="0" w:color="auto"/>
      </w:divBdr>
    </w:div>
    <w:div w:id="690030673">
      <w:bodyDiv w:val="1"/>
      <w:marLeft w:val="0"/>
      <w:marRight w:val="0"/>
      <w:marTop w:val="0"/>
      <w:marBottom w:val="0"/>
      <w:divBdr>
        <w:top w:val="none" w:sz="0" w:space="0" w:color="auto"/>
        <w:left w:val="none" w:sz="0" w:space="0" w:color="auto"/>
        <w:bottom w:val="none" w:sz="0" w:space="0" w:color="auto"/>
        <w:right w:val="none" w:sz="0" w:space="0" w:color="auto"/>
      </w:divBdr>
    </w:div>
    <w:div w:id="690254453">
      <w:bodyDiv w:val="1"/>
      <w:marLeft w:val="0"/>
      <w:marRight w:val="0"/>
      <w:marTop w:val="0"/>
      <w:marBottom w:val="0"/>
      <w:divBdr>
        <w:top w:val="none" w:sz="0" w:space="0" w:color="auto"/>
        <w:left w:val="none" w:sz="0" w:space="0" w:color="auto"/>
        <w:bottom w:val="none" w:sz="0" w:space="0" w:color="auto"/>
        <w:right w:val="none" w:sz="0" w:space="0" w:color="auto"/>
      </w:divBdr>
    </w:div>
    <w:div w:id="690684744">
      <w:bodyDiv w:val="1"/>
      <w:marLeft w:val="0"/>
      <w:marRight w:val="0"/>
      <w:marTop w:val="0"/>
      <w:marBottom w:val="0"/>
      <w:divBdr>
        <w:top w:val="none" w:sz="0" w:space="0" w:color="auto"/>
        <w:left w:val="none" w:sz="0" w:space="0" w:color="auto"/>
        <w:bottom w:val="none" w:sz="0" w:space="0" w:color="auto"/>
        <w:right w:val="none" w:sz="0" w:space="0" w:color="auto"/>
      </w:divBdr>
    </w:div>
    <w:div w:id="691808557">
      <w:bodyDiv w:val="1"/>
      <w:marLeft w:val="0"/>
      <w:marRight w:val="0"/>
      <w:marTop w:val="0"/>
      <w:marBottom w:val="0"/>
      <w:divBdr>
        <w:top w:val="none" w:sz="0" w:space="0" w:color="auto"/>
        <w:left w:val="none" w:sz="0" w:space="0" w:color="auto"/>
        <w:bottom w:val="none" w:sz="0" w:space="0" w:color="auto"/>
        <w:right w:val="none" w:sz="0" w:space="0" w:color="auto"/>
      </w:divBdr>
    </w:div>
    <w:div w:id="692344016">
      <w:bodyDiv w:val="1"/>
      <w:marLeft w:val="0"/>
      <w:marRight w:val="0"/>
      <w:marTop w:val="0"/>
      <w:marBottom w:val="0"/>
      <w:divBdr>
        <w:top w:val="none" w:sz="0" w:space="0" w:color="auto"/>
        <w:left w:val="none" w:sz="0" w:space="0" w:color="auto"/>
        <w:bottom w:val="none" w:sz="0" w:space="0" w:color="auto"/>
        <w:right w:val="none" w:sz="0" w:space="0" w:color="auto"/>
      </w:divBdr>
    </w:div>
    <w:div w:id="692532534">
      <w:bodyDiv w:val="1"/>
      <w:marLeft w:val="0"/>
      <w:marRight w:val="0"/>
      <w:marTop w:val="0"/>
      <w:marBottom w:val="0"/>
      <w:divBdr>
        <w:top w:val="none" w:sz="0" w:space="0" w:color="auto"/>
        <w:left w:val="none" w:sz="0" w:space="0" w:color="auto"/>
        <w:bottom w:val="none" w:sz="0" w:space="0" w:color="auto"/>
        <w:right w:val="none" w:sz="0" w:space="0" w:color="auto"/>
      </w:divBdr>
    </w:div>
    <w:div w:id="692732690">
      <w:bodyDiv w:val="1"/>
      <w:marLeft w:val="0"/>
      <w:marRight w:val="0"/>
      <w:marTop w:val="0"/>
      <w:marBottom w:val="0"/>
      <w:divBdr>
        <w:top w:val="none" w:sz="0" w:space="0" w:color="auto"/>
        <w:left w:val="none" w:sz="0" w:space="0" w:color="auto"/>
        <w:bottom w:val="none" w:sz="0" w:space="0" w:color="auto"/>
        <w:right w:val="none" w:sz="0" w:space="0" w:color="auto"/>
      </w:divBdr>
    </w:div>
    <w:div w:id="693579727">
      <w:bodyDiv w:val="1"/>
      <w:marLeft w:val="0"/>
      <w:marRight w:val="0"/>
      <w:marTop w:val="0"/>
      <w:marBottom w:val="0"/>
      <w:divBdr>
        <w:top w:val="none" w:sz="0" w:space="0" w:color="auto"/>
        <w:left w:val="none" w:sz="0" w:space="0" w:color="auto"/>
        <w:bottom w:val="none" w:sz="0" w:space="0" w:color="auto"/>
        <w:right w:val="none" w:sz="0" w:space="0" w:color="auto"/>
      </w:divBdr>
    </w:div>
    <w:div w:id="694424679">
      <w:bodyDiv w:val="1"/>
      <w:marLeft w:val="0"/>
      <w:marRight w:val="0"/>
      <w:marTop w:val="0"/>
      <w:marBottom w:val="0"/>
      <w:divBdr>
        <w:top w:val="none" w:sz="0" w:space="0" w:color="auto"/>
        <w:left w:val="none" w:sz="0" w:space="0" w:color="auto"/>
        <w:bottom w:val="none" w:sz="0" w:space="0" w:color="auto"/>
        <w:right w:val="none" w:sz="0" w:space="0" w:color="auto"/>
      </w:divBdr>
    </w:div>
    <w:div w:id="694575096">
      <w:bodyDiv w:val="1"/>
      <w:marLeft w:val="0"/>
      <w:marRight w:val="0"/>
      <w:marTop w:val="0"/>
      <w:marBottom w:val="0"/>
      <w:divBdr>
        <w:top w:val="none" w:sz="0" w:space="0" w:color="auto"/>
        <w:left w:val="none" w:sz="0" w:space="0" w:color="auto"/>
        <w:bottom w:val="none" w:sz="0" w:space="0" w:color="auto"/>
        <w:right w:val="none" w:sz="0" w:space="0" w:color="auto"/>
      </w:divBdr>
    </w:div>
    <w:div w:id="696738966">
      <w:bodyDiv w:val="1"/>
      <w:marLeft w:val="0"/>
      <w:marRight w:val="0"/>
      <w:marTop w:val="0"/>
      <w:marBottom w:val="0"/>
      <w:divBdr>
        <w:top w:val="none" w:sz="0" w:space="0" w:color="auto"/>
        <w:left w:val="none" w:sz="0" w:space="0" w:color="auto"/>
        <w:bottom w:val="none" w:sz="0" w:space="0" w:color="auto"/>
        <w:right w:val="none" w:sz="0" w:space="0" w:color="auto"/>
      </w:divBdr>
    </w:div>
    <w:div w:id="696810828">
      <w:bodyDiv w:val="1"/>
      <w:marLeft w:val="0"/>
      <w:marRight w:val="0"/>
      <w:marTop w:val="0"/>
      <w:marBottom w:val="0"/>
      <w:divBdr>
        <w:top w:val="none" w:sz="0" w:space="0" w:color="auto"/>
        <w:left w:val="none" w:sz="0" w:space="0" w:color="auto"/>
        <w:bottom w:val="none" w:sz="0" w:space="0" w:color="auto"/>
        <w:right w:val="none" w:sz="0" w:space="0" w:color="auto"/>
      </w:divBdr>
    </w:div>
    <w:div w:id="696976121">
      <w:bodyDiv w:val="1"/>
      <w:marLeft w:val="0"/>
      <w:marRight w:val="0"/>
      <w:marTop w:val="0"/>
      <w:marBottom w:val="0"/>
      <w:divBdr>
        <w:top w:val="none" w:sz="0" w:space="0" w:color="auto"/>
        <w:left w:val="none" w:sz="0" w:space="0" w:color="auto"/>
        <w:bottom w:val="none" w:sz="0" w:space="0" w:color="auto"/>
        <w:right w:val="none" w:sz="0" w:space="0" w:color="auto"/>
      </w:divBdr>
    </w:div>
    <w:div w:id="697199397">
      <w:bodyDiv w:val="1"/>
      <w:marLeft w:val="0"/>
      <w:marRight w:val="0"/>
      <w:marTop w:val="0"/>
      <w:marBottom w:val="0"/>
      <w:divBdr>
        <w:top w:val="none" w:sz="0" w:space="0" w:color="auto"/>
        <w:left w:val="none" w:sz="0" w:space="0" w:color="auto"/>
        <w:bottom w:val="none" w:sz="0" w:space="0" w:color="auto"/>
        <w:right w:val="none" w:sz="0" w:space="0" w:color="auto"/>
      </w:divBdr>
    </w:div>
    <w:div w:id="697705467">
      <w:bodyDiv w:val="1"/>
      <w:marLeft w:val="0"/>
      <w:marRight w:val="0"/>
      <w:marTop w:val="0"/>
      <w:marBottom w:val="0"/>
      <w:divBdr>
        <w:top w:val="none" w:sz="0" w:space="0" w:color="auto"/>
        <w:left w:val="none" w:sz="0" w:space="0" w:color="auto"/>
        <w:bottom w:val="none" w:sz="0" w:space="0" w:color="auto"/>
        <w:right w:val="none" w:sz="0" w:space="0" w:color="auto"/>
      </w:divBdr>
    </w:div>
    <w:div w:id="698314178">
      <w:bodyDiv w:val="1"/>
      <w:marLeft w:val="0"/>
      <w:marRight w:val="0"/>
      <w:marTop w:val="0"/>
      <w:marBottom w:val="0"/>
      <w:divBdr>
        <w:top w:val="none" w:sz="0" w:space="0" w:color="auto"/>
        <w:left w:val="none" w:sz="0" w:space="0" w:color="auto"/>
        <w:bottom w:val="none" w:sz="0" w:space="0" w:color="auto"/>
        <w:right w:val="none" w:sz="0" w:space="0" w:color="auto"/>
      </w:divBdr>
    </w:div>
    <w:div w:id="698969081">
      <w:bodyDiv w:val="1"/>
      <w:marLeft w:val="0"/>
      <w:marRight w:val="0"/>
      <w:marTop w:val="0"/>
      <w:marBottom w:val="0"/>
      <w:divBdr>
        <w:top w:val="none" w:sz="0" w:space="0" w:color="auto"/>
        <w:left w:val="none" w:sz="0" w:space="0" w:color="auto"/>
        <w:bottom w:val="none" w:sz="0" w:space="0" w:color="auto"/>
        <w:right w:val="none" w:sz="0" w:space="0" w:color="auto"/>
      </w:divBdr>
    </w:div>
    <w:div w:id="700324182">
      <w:bodyDiv w:val="1"/>
      <w:marLeft w:val="0"/>
      <w:marRight w:val="0"/>
      <w:marTop w:val="0"/>
      <w:marBottom w:val="0"/>
      <w:divBdr>
        <w:top w:val="none" w:sz="0" w:space="0" w:color="auto"/>
        <w:left w:val="none" w:sz="0" w:space="0" w:color="auto"/>
        <w:bottom w:val="none" w:sz="0" w:space="0" w:color="auto"/>
        <w:right w:val="none" w:sz="0" w:space="0" w:color="auto"/>
      </w:divBdr>
    </w:div>
    <w:div w:id="701436730">
      <w:bodyDiv w:val="1"/>
      <w:marLeft w:val="0"/>
      <w:marRight w:val="0"/>
      <w:marTop w:val="0"/>
      <w:marBottom w:val="0"/>
      <w:divBdr>
        <w:top w:val="none" w:sz="0" w:space="0" w:color="auto"/>
        <w:left w:val="none" w:sz="0" w:space="0" w:color="auto"/>
        <w:bottom w:val="none" w:sz="0" w:space="0" w:color="auto"/>
        <w:right w:val="none" w:sz="0" w:space="0" w:color="auto"/>
      </w:divBdr>
    </w:div>
    <w:div w:id="701444271">
      <w:bodyDiv w:val="1"/>
      <w:marLeft w:val="0"/>
      <w:marRight w:val="0"/>
      <w:marTop w:val="0"/>
      <w:marBottom w:val="0"/>
      <w:divBdr>
        <w:top w:val="none" w:sz="0" w:space="0" w:color="auto"/>
        <w:left w:val="none" w:sz="0" w:space="0" w:color="auto"/>
        <w:bottom w:val="none" w:sz="0" w:space="0" w:color="auto"/>
        <w:right w:val="none" w:sz="0" w:space="0" w:color="auto"/>
      </w:divBdr>
    </w:div>
    <w:div w:id="701974672">
      <w:bodyDiv w:val="1"/>
      <w:marLeft w:val="0"/>
      <w:marRight w:val="0"/>
      <w:marTop w:val="0"/>
      <w:marBottom w:val="0"/>
      <w:divBdr>
        <w:top w:val="none" w:sz="0" w:space="0" w:color="auto"/>
        <w:left w:val="none" w:sz="0" w:space="0" w:color="auto"/>
        <w:bottom w:val="none" w:sz="0" w:space="0" w:color="auto"/>
        <w:right w:val="none" w:sz="0" w:space="0" w:color="auto"/>
      </w:divBdr>
    </w:div>
    <w:div w:id="702944263">
      <w:bodyDiv w:val="1"/>
      <w:marLeft w:val="0"/>
      <w:marRight w:val="0"/>
      <w:marTop w:val="0"/>
      <w:marBottom w:val="0"/>
      <w:divBdr>
        <w:top w:val="none" w:sz="0" w:space="0" w:color="auto"/>
        <w:left w:val="none" w:sz="0" w:space="0" w:color="auto"/>
        <w:bottom w:val="none" w:sz="0" w:space="0" w:color="auto"/>
        <w:right w:val="none" w:sz="0" w:space="0" w:color="auto"/>
      </w:divBdr>
    </w:div>
    <w:div w:id="702945941">
      <w:bodyDiv w:val="1"/>
      <w:marLeft w:val="0"/>
      <w:marRight w:val="0"/>
      <w:marTop w:val="0"/>
      <w:marBottom w:val="0"/>
      <w:divBdr>
        <w:top w:val="none" w:sz="0" w:space="0" w:color="auto"/>
        <w:left w:val="none" w:sz="0" w:space="0" w:color="auto"/>
        <w:bottom w:val="none" w:sz="0" w:space="0" w:color="auto"/>
        <w:right w:val="none" w:sz="0" w:space="0" w:color="auto"/>
      </w:divBdr>
    </w:div>
    <w:div w:id="704210143">
      <w:bodyDiv w:val="1"/>
      <w:marLeft w:val="0"/>
      <w:marRight w:val="0"/>
      <w:marTop w:val="0"/>
      <w:marBottom w:val="0"/>
      <w:divBdr>
        <w:top w:val="none" w:sz="0" w:space="0" w:color="auto"/>
        <w:left w:val="none" w:sz="0" w:space="0" w:color="auto"/>
        <w:bottom w:val="none" w:sz="0" w:space="0" w:color="auto"/>
        <w:right w:val="none" w:sz="0" w:space="0" w:color="auto"/>
      </w:divBdr>
    </w:div>
    <w:div w:id="704477879">
      <w:bodyDiv w:val="1"/>
      <w:marLeft w:val="0"/>
      <w:marRight w:val="0"/>
      <w:marTop w:val="0"/>
      <w:marBottom w:val="0"/>
      <w:divBdr>
        <w:top w:val="none" w:sz="0" w:space="0" w:color="auto"/>
        <w:left w:val="none" w:sz="0" w:space="0" w:color="auto"/>
        <w:bottom w:val="none" w:sz="0" w:space="0" w:color="auto"/>
        <w:right w:val="none" w:sz="0" w:space="0" w:color="auto"/>
      </w:divBdr>
    </w:div>
    <w:div w:id="704595088">
      <w:bodyDiv w:val="1"/>
      <w:marLeft w:val="0"/>
      <w:marRight w:val="0"/>
      <w:marTop w:val="0"/>
      <w:marBottom w:val="0"/>
      <w:divBdr>
        <w:top w:val="none" w:sz="0" w:space="0" w:color="auto"/>
        <w:left w:val="none" w:sz="0" w:space="0" w:color="auto"/>
        <w:bottom w:val="none" w:sz="0" w:space="0" w:color="auto"/>
        <w:right w:val="none" w:sz="0" w:space="0" w:color="auto"/>
      </w:divBdr>
    </w:div>
    <w:div w:id="705060281">
      <w:bodyDiv w:val="1"/>
      <w:marLeft w:val="0"/>
      <w:marRight w:val="0"/>
      <w:marTop w:val="0"/>
      <w:marBottom w:val="0"/>
      <w:divBdr>
        <w:top w:val="none" w:sz="0" w:space="0" w:color="auto"/>
        <w:left w:val="none" w:sz="0" w:space="0" w:color="auto"/>
        <w:bottom w:val="none" w:sz="0" w:space="0" w:color="auto"/>
        <w:right w:val="none" w:sz="0" w:space="0" w:color="auto"/>
      </w:divBdr>
    </w:div>
    <w:div w:id="705175257">
      <w:bodyDiv w:val="1"/>
      <w:marLeft w:val="0"/>
      <w:marRight w:val="0"/>
      <w:marTop w:val="0"/>
      <w:marBottom w:val="0"/>
      <w:divBdr>
        <w:top w:val="none" w:sz="0" w:space="0" w:color="auto"/>
        <w:left w:val="none" w:sz="0" w:space="0" w:color="auto"/>
        <w:bottom w:val="none" w:sz="0" w:space="0" w:color="auto"/>
        <w:right w:val="none" w:sz="0" w:space="0" w:color="auto"/>
      </w:divBdr>
    </w:div>
    <w:div w:id="705495296">
      <w:bodyDiv w:val="1"/>
      <w:marLeft w:val="0"/>
      <w:marRight w:val="0"/>
      <w:marTop w:val="0"/>
      <w:marBottom w:val="0"/>
      <w:divBdr>
        <w:top w:val="none" w:sz="0" w:space="0" w:color="auto"/>
        <w:left w:val="none" w:sz="0" w:space="0" w:color="auto"/>
        <w:bottom w:val="none" w:sz="0" w:space="0" w:color="auto"/>
        <w:right w:val="none" w:sz="0" w:space="0" w:color="auto"/>
      </w:divBdr>
    </w:div>
    <w:div w:id="705831381">
      <w:bodyDiv w:val="1"/>
      <w:marLeft w:val="0"/>
      <w:marRight w:val="0"/>
      <w:marTop w:val="0"/>
      <w:marBottom w:val="0"/>
      <w:divBdr>
        <w:top w:val="none" w:sz="0" w:space="0" w:color="auto"/>
        <w:left w:val="none" w:sz="0" w:space="0" w:color="auto"/>
        <w:bottom w:val="none" w:sz="0" w:space="0" w:color="auto"/>
        <w:right w:val="none" w:sz="0" w:space="0" w:color="auto"/>
      </w:divBdr>
    </w:div>
    <w:div w:id="705914937">
      <w:bodyDiv w:val="1"/>
      <w:marLeft w:val="0"/>
      <w:marRight w:val="0"/>
      <w:marTop w:val="0"/>
      <w:marBottom w:val="0"/>
      <w:divBdr>
        <w:top w:val="none" w:sz="0" w:space="0" w:color="auto"/>
        <w:left w:val="none" w:sz="0" w:space="0" w:color="auto"/>
        <w:bottom w:val="none" w:sz="0" w:space="0" w:color="auto"/>
        <w:right w:val="none" w:sz="0" w:space="0" w:color="auto"/>
      </w:divBdr>
    </w:div>
    <w:div w:id="705957014">
      <w:bodyDiv w:val="1"/>
      <w:marLeft w:val="0"/>
      <w:marRight w:val="0"/>
      <w:marTop w:val="0"/>
      <w:marBottom w:val="0"/>
      <w:divBdr>
        <w:top w:val="none" w:sz="0" w:space="0" w:color="auto"/>
        <w:left w:val="none" w:sz="0" w:space="0" w:color="auto"/>
        <w:bottom w:val="none" w:sz="0" w:space="0" w:color="auto"/>
        <w:right w:val="none" w:sz="0" w:space="0" w:color="auto"/>
      </w:divBdr>
    </w:div>
    <w:div w:id="706178323">
      <w:bodyDiv w:val="1"/>
      <w:marLeft w:val="0"/>
      <w:marRight w:val="0"/>
      <w:marTop w:val="0"/>
      <w:marBottom w:val="0"/>
      <w:divBdr>
        <w:top w:val="none" w:sz="0" w:space="0" w:color="auto"/>
        <w:left w:val="none" w:sz="0" w:space="0" w:color="auto"/>
        <w:bottom w:val="none" w:sz="0" w:space="0" w:color="auto"/>
        <w:right w:val="none" w:sz="0" w:space="0" w:color="auto"/>
      </w:divBdr>
    </w:div>
    <w:div w:id="707536308">
      <w:bodyDiv w:val="1"/>
      <w:marLeft w:val="0"/>
      <w:marRight w:val="0"/>
      <w:marTop w:val="0"/>
      <w:marBottom w:val="0"/>
      <w:divBdr>
        <w:top w:val="none" w:sz="0" w:space="0" w:color="auto"/>
        <w:left w:val="none" w:sz="0" w:space="0" w:color="auto"/>
        <w:bottom w:val="none" w:sz="0" w:space="0" w:color="auto"/>
        <w:right w:val="none" w:sz="0" w:space="0" w:color="auto"/>
      </w:divBdr>
      <w:divsChild>
        <w:div w:id="1735618108">
          <w:marLeft w:val="0"/>
          <w:marRight w:val="0"/>
          <w:marTop w:val="0"/>
          <w:marBottom w:val="0"/>
          <w:divBdr>
            <w:top w:val="none" w:sz="0" w:space="0" w:color="auto"/>
            <w:left w:val="none" w:sz="0" w:space="0" w:color="auto"/>
            <w:bottom w:val="none" w:sz="0" w:space="0" w:color="auto"/>
            <w:right w:val="none" w:sz="0" w:space="0" w:color="auto"/>
          </w:divBdr>
        </w:div>
      </w:divsChild>
    </w:div>
    <w:div w:id="707877923">
      <w:bodyDiv w:val="1"/>
      <w:marLeft w:val="0"/>
      <w:marRight w:val="0"/>
      <w:marTop w:val="0"/>
      <w:marBottom w:val="0"/>
      <w:divBdr>
        <w:top w:val="none" w:sz="0" w:space="0" w:color="auto"/>
        <w:left w:val="none" w:sz="0" w:space="0" w:color="auto"/>
        <w:bottom w:val="none" w:sz="0" w:space="0" w:color="auto"/>
        <w:right w:val="none" w:sz="0" w:space="0" w:color="auto"/>
      </w:divBdr>
    </w:div>
    <w:div w:id="708804272">
      <w:bodyDiv w:val="1"/>
      <w:marLeft w:val="0"/>
      <w:marRight w:val="0"/>
      <w:marTop w:val="0"/>
      <w:marBottom w:val="0"/>
      <w:divBdr>
        <w:top w:val="none" w:sz="0" w:space="0" w:color="auto"/>
        <w:left w:val="none" w:sz="0" w:space="0" w:color="auto"/>
        <w:bottom w:val="none" w:sz="0" w:space="0" w:color="auto"/>
        <w:right w:val="none" w:sz="0" w:space="0" w:color="auto"/>
      </w:divBdr>
    </w:div>
    <w:div w:id="708841842">
      <w:bodyDiv w:val="1"/>
      <w:marLeft w:val="0"/>
      <w:marRight w:val="0"/>
      <w:marTop w:val="0"/>
      <w:marBottom w:val="0"/>
      <w:divBdr>
        <w:top w:val="none" w:sz="0" w:space="0" w:color="auto"/>
        <w:left w:val="none" w:sz="0" w:space="0" w:color="auto"/>
        <w:bottom w:val="none" w:sz="0" w:space="0" w:color="auto"/>
        <w:right w:val="none" w:sz="0" w:space="0" w:color="auto"/>
      </w:divBdr>
    </w:div>
    <w:div w:id="710304930">
      <w:bodyDiv w:val="1"/>
      <w:marLeft w:val="0"/>
      <w:marRight w:val="0"/>
      <w:marTop w:val="0"/>
      <w:marBottom w:val="0"/>
      <w:divBdr>
        <w:top w:val="none" w:sz="0" w:space="0" w:color="auto"/>
        <w:left w:val="none" w:sz="0" w:space="0" w:color="auto"/>
        <w:bottom w:val="none" w:sz="0" w:space="0" w:color="auto"/>
        <w:right w:val="none" w:sz="0" w:space="0" w:color="auto"/>
      </w:divBdr>
    </w:div>
    <w:div w:id="711003072">
      <w:bodyDiv w:val="1"/>
      <w:marLeft w:val="0"/>
      <w:marRight w:val="0"/>
      <w:marTop w:val="0"/>
      <w:marBottom w:val="0"/>
      <w:divBdr>
        <w:top w:val="none" w:sz="0" w:space="0" w:color="auto"/>
        <w:left w:val="none" w:sz="0" w:space="0" w:color="auto"/>
        <w:bottom w:val="none" w:sz="0" w:space="0" w:color="auto"/>
        <w:right w:val="none" w:sz="0" w:space="0" w:color="auto"/>
      </w:divBdr>
    </w:div>
    <w:div w:id="711730884">
      <w:bodyDiv w:val="1"/>
      <w:marLeft w:val="0"/>
      <w:marRight w:val="0"/>
      <w:marTop w:val="0"/>
      <w:marBottom w:val="0"/>
      <w:divBdr>
        <w:top w:val="none" w:sz="0" w:space="0" w:color="auto"/>
        <w:left w:val="none" w:sz="0" w:space="0" w:color="auto"/>
        <w:bottom w:val="none" w:sz="0" w:space="0" w:color="auto"/>
        <w:right w:val="none" w:sz="0" w:space="0" w:color="auto"/>
      </w:divBdr>
    </w:div>
    <w:div w:id="711999949">
      <w:bodyDiv w:val="1"/>
      <w:marLeft w:val="0"/>
      <w:marRight w:val="0"/>
      <w:marTop w:val="0"/>
      <w:marBottom w:val="0"/>
      <w:divBdr>
        <w:top w:val="none" w:sz="0" w:space="0" w:color="auto"/>
        <w:left w:val="none" w:sz="0" w:space="0" w:color="auto"/>
        <w:bottom w:val="none" w:sz="0" w:space="0" w:color="auto"/>
        <w:right w:val="none" w:sz="0" w:space="0" w:color="auto"/>
      </w:divBdr>
    </w:div>
    <w:div w:id="712002656">
      <w:bodyDiv w:val="1"/>
      <w:marLeft w:val="0"/>
      <w:marRight w:val="0"/>
      <w:marTop w:val="0"/>
      <w:marBottom w:val="0"/>
      <w:divBdr>
        <w:top w:val="none" w:sz="0" w:space="0" w:color="auto"/>
        <w:left w:val="none" w:sz="0" w:space="0" w:color="auto"/>
        <w:bottom w:val="none" w:sz="0" w:space="0" w:color="auto"/>
        <w:right w:val="none" w:sz="0" w:space="0" w:color="auto"/>
      </w:divBdr>
    </w:div>
    <w:div w:id="712266094">
      <w:bodyDiv w:val="1"/>
      <w:marLeft w:val="0"/>
      <w:marRight w:val="0"/>
      <w:marTop w:val="0"/>
      <w:marBottom w:val="0"/>
      <w:divBdr>
        <w:top w:val="none" w:sz="0" w:space="0" w:color="auto"/>
        <w:left w:val="none" w:sz="0" w:space="0" w:color="auto"/>
        <w:bottom w:val="none" w:sz="0" w:space="0" w:color="auto"/>
        <w:right w:val="none" w:sz="0" w:space="0" w:color="auto"/>
      </w:divBdr>
    </w:div>
    <w:div w:id="714425347">
      <w:bodyDiv w:val="1"/>
      <w:marLeft w:val="0"/>
      <w:marRight w:val="0"/>
      <w:marTop w:val="0"/>
      <w:marBottom w:val="0"/>
      <w:divBdr>
        <w:top w:val="none" w:sz="0" w:space="0" w:color="auto"/>
        <w:left w:val="none" w:sz="0" w:space="0" w:color="auto"/>
        <w:bottom w:val="none" w:sz="0" w:space="0" w:color="auto"/>
        <w:right w:val="none" w:sz="0" w:space="0" w:color="auto"/>
      </w:divBdr>
    </w:div>
    <w:div w:id="714811821">
      <w:bodyDiv w:val="1"/>
      <w:marLeft w:val="0"/>
      <w:marRight w:val="0"/>
      <w:marTop w:val="0"/>
      <w:marBottom w:val="0"/>
      <w:divBdr>
        <w:top w:val="none" w:sz="0" w:space="0" w:color="auto"/>
        <w:left w:val="none" w:sz="0" w:space="0" w:color="auto"/>
        <w:bottom w:val="none" w:sz="0" w:space="0" w:color="auto"/>
        <w:right w:val="none" w:sz="0" w:space="0" w:color="auto"/>
      </w:divBdr>
    </w:div>
    <w:div w:id="714886825">
      <w:bodyDiv w:val="1"/>
      <w:marLeft w:val="0"/>
      <w:marRight w:val="0"/>
      <w:marTop w:val="0"/>
      <w:marBottom w:val="0"/>
      <w:divBdr>
        <w:top w:val="none" w:sz="0" w:space="0" w:color="auto"/>
        <w:left w:val="none" w:sz="0" w:space="0" w:color="auto"/>
        <w:bottom w:val="none" w:sz="0" w:space="0" w:color="auto"/>
        <w:right w:val="none" w:sz="0" w:space="0" w:color="auto"/>
      </w:divBdr>
    </w:div>
    <w:div w:id="715275053">
      <w:bodyDiv w:val="1"/>
      <w:marLeft w:val="0"/>
      <w:marRight w:val="0"/>
      <w:marTop w:val="0"/>
      <w:marBottom w:val="0"/>
      <w:divBdr>
        <w:top w:val="none" w:sz="0" w:space="0" w:color="auto"/>
        <w:left w:val="none" w:sz="0" w:space="0" w:color="auto"/>
        <w:bottom w:val="none" w:sz="0" w:space="0" w:color="auto"/>
        <w:right w:val="none" w:sz="0" w:space="0" w:color="auto"/>
      </w:divBdr>
    </w:div>
    <w:div w:id="716046477">
      <w:bodyDiv w:val="1"/>
      <w:marLeft w:val="0"/>
      <w:marRight w:val="0"/>
      <w:marTop w:val="0"/>
      <w:marBottom w:val="0"/>
      <w:divBdr>
        <w:top w:val="none" w:sz="0" w:space="0" w:color="auto"/>
        <w:left w:val="none" w:sz="0" w:space="0" w:color="auto"/>
        <w:bottom w:val="none" w:sz="0" w:space="0" w:color="auto"/>
        <w:right w:val="none" w:sz="0" w:space="0" w:color="auto"/>
      </w:divBdr>
    </w:div>
    <w:div w:id="716316676">
      <w:bodyDiv w:val="1"/>
      <w:marLeft w:val="0"/>
      <w:marRight w:val="0"/>
      <w:marTop w:val="0"/>
      <w:marBottom w:val="0"/>
      <w:divBdr>
        <w:top w:val="none" w:sz="0" w:space="0" w:color="auto"/>
        <w:left w:val="none" w:sz="0" w:space="0" w:color="auto"/>
        <w:bottom w:val="none" w:sz="0" w:space="0" w:color="auto"/>
        <w:right w:val="none" w:sz="0" w:space="0" w:color="auto"/>
      </w:divBdr>
      <w:divsChild>
        <w:div w:id="1833569822">
          <w:marLeft w:val="0"/>
          <w:marRight w:val="0"/>
          <w:marTop w:val="0"/>
          <w:marBottom w:val="0"/>
          <w:divBdr>
            <w:top w:val="none" w:sz="0" w:space="0" w:color="auto"/>
            <w:left w:val="none" w:sz="0" w:space="0" w:color="auto"/>
            <w:bottom w:val="none" w:sz="0" w:space="0" w:color="auto"/>
            <w:right w:val="none" w:sz="0" w:space="0" w:color="auto"/>
          </w:divBdr>
          <w:divsChild>
            <w:div w:id="2027369869">
              <w:marLeft w:val="0"/>
              <w:marRight w:val="0"/>
              <w:marTop w:val="0"/>
              <w:marBottom w:val="0"/>
              <w:divBdr>
                <w:top w:val="none" w:sz="0" w:space="0" w:color="auto"/>
                <w:left w:val="none" w:sz="0" w:space="0" w:color="auto"/>
                <w:bottom w:val="none" w:sz="0" w:space="0" w:color="auto"/>
                <w:right w:val="none" w:sz="0" w:space="0" w:color="auto"/>
              </w:divBdr>
              <w:divsChild>
                <w:div w:id="745492088">
                  <w:marLeft w:val="0"/>
                  <w:marRight w:val="0"/>
                  <w:marTop w:val="0"/>
                  <w:marBottom w:val="0"/>
                  <w:divBdr>
                    <w:top w:val="none" w:sz="0" w:space="0" w:color="auto"/>
                    <w:left w:val="none" w:sz="0" w:space="0" w:color="auto"/>
                    <w:bottom w:val="none" w:sz="0" w:space="0" w:color="auto"/>
                    <w:right w:val="none" w:sz="0" w:space="0" w:color="auto"/>
                  </w:divBdr>
                  <w:divsChild>
                    <w:div w:id="436609057">
                      <w:marLeft w:val="0"/>
                      <w:marRight w:val="0"/>
                      <w:marTop w:val="0"/>
                      <w:marBottom w:val="0"/>
                      <w:divBdr>
                        <w:top w:val="none" w:sz="0" w:space="0" w:color="auto"/>
                        <w:left w:val="none" w:sz="0" w:space="0" w:color="auto"/>
                        <w:bottom w:val="none" w:sz="0" w:space="0" w:color="auto"/>
                        <w:right w:val="none" w:sz="0" w:space="0" w:color="auto"/>
                      </w:divBdr>
                      <w:divsChild>
                        <w:div w:id="1082262405">
                          <w:marLeft w:val="0"/>
                          <w:marRight w:val="0"/>
                          <w:marTop w:val="0"/>
                          <w:marBottom w:val="0"/>
                          <w:divBdr>
                            <w:top w:val="none" w:sz="0" w:space="0" w:color="auto"/>
                            <w:left w:val="none" w:sz="0" w:space="0" w:color="auto"/>
                            <w:bottom w:val="none" w:sz="0" w:space="0" w:color="auto"/>
                            <w:right w:val="none" w:sz="0" w:space="0" w:color="auto"/>
                          </w:divBdr>
                          <w:divsChild>
                            <w:div w:id="708802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6466302">
      <w:bodyDiv w:val="1"/>
      <w:marLeft w:val="0"/>
      <w:marRight w:val="0"/>
      <w:marTop w:val="0"/>
      <w:marBottom w:val="0"/>
      <w:divBdr>
        <w:top w:val="none" w:sz="0" w:space="0" w:color="auto"/>
        <w:left w:val="none" w:sz="0" w:space="0" w:color="auto"/>
        <w:bottom w:val="none" w:sz="0" w:space="0" w:color="auto"/>
        <w:right w:val="none" w:sz="0" w:space="0" w:color="auto"/>
      </w:divBdr>
    </w:div>
    <w:div w:id="716582956">
      <w:bodyDiv w:val="1"/>
      <w:marLeft w:val="0"/>
      <w:marRight w:val="0"/>
      <w:marTop w:val="0"/>
      <w:marBottom w:val="0"/>
      <w:divBdr>
        <w:top w:val="none" w:sz="0" w:space="0" w:color="auto"/>
        <w:left w:val="none" w:sz="0" w:space="0" w:color="auto"/>
        <w:bottom w:val="none" w:sz="0" w:space="0" w:color="auto"/>
        <w:right w:val="none" w:sz="0" w:space="0" w:color="auto"/>
      </w:divBdr>
    </w:div>
    <w:div w:id="716592228">
      <w:bodyDiv w:val="1"/>
      <w:marLeft w:val="0"/>
      <w:marRight w:val="0"/>
      <w:marTop w:val="0"/>
      <w:marBottom w:val="0"/>
      <w:divBdr>
        <w:top w:val="none" w:sz="0" w:space="0" w:color="auto"/>
        <w:left w:val="none" w:sz="0" w:space="0" w:color="auto"/>
        <w:bottom w:val="none" w:sz="0" w:space="0" w:color="auto"/>
        <w:right w:val="none" w:sz="0" w:space="0" w:color="auto"/>
      </w:divBdr>
    </w:div>
    <w:div w:id="718020291">
      <w:bodyDiv w:val="1"/>
      <w:marLeft w:val="0"/>
      <w:marRight w:val="0"/>
      <w:marTop w:val="0"/>
      <w:marBottom w:val="0"/>
      <w:divBdr>
        <w:top w:val="none" w:sz="0" w:space="0" w:color="auto"/>
        <w:left w:val="none" w:sz="0" w:space="0" w:color="auto"/>
        <w:bottom w:val="none" w:sz="0" w:space="0" w:color="auto"/>
        <w:right w:val="none" w:sz="0" w:space="0" w:color="auto"/>
      </w:divBdr>
    </w:div>
    <w:div w:id="718407323">
      <w:bodyDiv w:val="1"/>
      <w:marLeft w:val="0"/>
      <w:marRight w:val="0"/>
      <w:marTop w:val="0"/>
      <w:marBottom w:val="0"/>
      <w:divBdr>
        <w:top w:val="none" w:sz="0" w:space="0" w:color="auto"/>
        <w:left w:val="none" w:sz="0" w:space="0" w:color="auto"/>
        <w:bottom w:val="none" w:sz="0" w:space="0" w:color="auto"/>
        <w:right w:val="none" w:sz="0" w:space="0" w:color="auto"/>
      </w:divBdr>
    </w:div>
    <w:div w:id="718939723">
      <w:bodyDiv w:val="1"/>
      <w:marLeft w:val="0"/>
      <w:marRight w:val="0"/>
      <w:marTop w:val="0"/>
      <w:marBottom w:val="0"/>
      <w:divBdr>
        <w:top w:val="none" w:sz="0" w:space="0" w:color="auto"/>
        <w:left w:val="none" w:sz="0" w:space="0" w:color="auto"/>
        <w:bottom w:val="none" w:sz="0" w:space="0" w:color="auto"/>
        <w:right w:val="none" w:sz="0" w:space="0" w:color="auto"/>
      </w:divBdr>
    </w:div>
    <w:div w:id="718943557">
      <w:bodyDiv w:val="1"/>
      <w:marLeft w:val="0"/>
      <w:marRight w:val="0"/>
      <w:marTop w:val="0"/>
      <w:marBottom w:val="0"/>
      <w:divBdr>
        <w:top w:val="none" w:sz="0" w:space="0" w:color="auto"/>
        <w:left w:val="none" w:sz="0" w:space="0" w:color="auto"/>
        <w:bottom w:val="none" w:sz="0" w:space="0" w:color="auto"/>
        <w:right w:val="none" w:sz="0" w:space="0" w:color="auto"/>
      </w:divBdr>
    </w:div>
    <w:div w:id="720328261">
      <w:bodyDiv w:val="1"/>
      <w:marLeft w:val="0"/>
      <w:marRight w:val="0"/>
      <w:marTop w:val="0"/>
      <w:marBottom w:val="0"/>
      <w:divBdr>
        <w:top w:val="none" w:sz="0" w:space="0" w:color="auto"/>
        <w:left w:val="none" w:sz="0" w:space="0" w:color="auto"/>
        <w:bottom w:val="none" w:sz="0" w:space="0" w:color="auto"/>
        <w:right w:val="none" w:sz="0" w:space="0" w:color="auto"/>
      </w:divBdr>
      <w:divsChild>
        <w:div w:id="63994907">
          <w:marLeft w:val="0"/>
          <w:marRight w:val="0"/>
          <w:marTop w:val="0"/>
          <w:marBottom w:val="0"/>
          <w:divBdr>
            <w:top w:val="none" w:sz="0" w:space="0" w:color="auto"/>
            <w:left w:val="none" w:sz="0" w:space="0" w:color="auto"/>
            <w:bottom w:val="none" w:sz="0" w:space="0" w:color="auto"/>
            <w:right w:val="none" w:sz="0" w:space="0" w:color="auto"/>
          </w:divBdr>
        </w:div>
        <w:div w:id="76363212">
          <w:marLeft w:val="0"/>
          <w:marRight w:val="0"/>
          <w:marTop w:val="0"/>
          <w:marBottom w:val="0"/>
          <w:divBdr>
            <w:top w:val="none" w:sz="0" w:space="0" w:color="auto"/>
            <w:left w:val="none" w:sz="0" w:space="0" w:color="auto"/>
            <w:bottom w:val="none" w:sz="0" w:space="0" w:color="auto"/>
            <w:right w:val="none" w:sz="0" w:space="0" w:color="auto"/>
          </w:divBdr>
        </w:div>
        <w:div w:id="96868815">
          <w:marLeft w:val="0"/>
          <w:marRight w:val="0"/>
          <w:marTop w:val="0"/>
          <w:marBottom w:val="0"/>
          <w:divBdr>
            <w:top w:val="none" w:sz="0" w:space="0" w:color="auto"/>
            <w:left w:val="none" w:sz="0" w:space="0" w:color="auto"/>
            <w:bottom w:val="none" w:sz="0" w:space="0" w:color="auto"/>
            <w:right w:val="none" w:sz="0" w:space="0" w:color="auto"/>
          </w:divBdr>
        </w:div>
        <w:div w:id="98725097">
          <w:marLeft w:val="0"/>
          <w:marRight w:val="0"/>
          <w:marTop w:val="0"/>
          <w:marBottom w:val="0"/>
          <w:divBdr>
            <w:top w:val="none" w:sz="0" w:space="0" w:color="auto"/>
            <w:left w:val="none" w:sz="0" w:space="0" w:color="auto"/>
            <w:bottom w:val="none" w:sz="0" w:space="0" w:color="auto"/>
            <w:right w:val="none" w:sz="0" w:space="0" w:color="auto"/>
          </w:divBdr>
        </w:div>
        <w:div w:id="112604909">
          <w:marLeft w:val="0"/>
          <w:marRight w:val="0"/>
          <w:marTop w:val="0"/>
          <w:marBottom w:val="0"/>
          <w:divBdr>
            <w:top w:val="none" w:sz="0" w:space="0" w:color="auto"/>
            <w:left w:val="none" w:sz="0" w:space="0" w:color="auto"/>
            <w:bottom w:val="none" w:sz="0" w:space="0" w:color="auto"/>
            <w:right w:val="none" w:sz="0" w:space="0" w:color="auto"/>
          </w:divBdr>
        </w:div>
        <w:div w:id="127818201">
          <w:marLeft w:val="0"/>
          <w:marRight w:val="0"/>
          <w:marTop w:val="0"/>
          <w:marBottom w:val="0"/>
          <w:divBdr>
            <w:top w:val="none" w:sz="0" w:space="0" w:color="auto"/>
            <w:left w:val="none" w:sz="0" w:space="0" w:color="auto"/>
            <w:bottom w:val="none" w:sz="0" w:space="0" w:color="auto"/>
            <w:right w:val="none" w:sz="0" w:space="0" w:color="auto"/>
          </w:divBdr>
        </w:div>
        <w:div w:id="151682320">
          <w:marLeft w:val="0"/>
          <w:marRight w:val="0"/>
          <w:marTop w:val="0"/>
          <w:marBottom w:val="0"/>
          <w:divBdr>
            <w:top w:val="none" w:sz="0" w:space="0" w:color="auto"/>
            <w:left w:val="none" w:sz="0" w:space="0" w:color="auto"/>
            <w:bottom w:val="none" w:sz="0" w:space="0" w:color="auto"/>
            <w:right w:val="none" w:sz="0" w:space="0" w:color="auto"/>
          </w:divBdr>
        </w:div>
        <w:div w:id="207959719">
          <w:marLeft w:val="0"/>
          <w:marRight w:val="0"/>
          <w:marTop w:val="0"/>
          <w:marBottom w:val="0"/>
          <w:divBdr>
            <w:top w:val="none" w:sz="0" w:space="0" w:color="auto"/>
            <w:left w:val="none" w:sz="0" w:space="0" w:color="auto"/>
            <w:bottom w:val="none" w:sz="0" w:space="0" w:color="auto"/>
            <w:right w:val="none" w:sz="0" w:space="0" w:color="auto"/>
          </w:divBdr>
        </w:div>
        <w:div w:id="241836232">
          <w:marLeft w:val="0"/>
          <w:marRight w:val="0"/>
          <w:marTop w:val="0"/>
          <w:marBottom w:val="0"/>
          <w:divBdr>
            <w:top w:val="none" w:sz="0" w:space="0" w:color="auto"/>
            <w:left w:val="none" w:sz="0" w:space="0" w:color="auto"/>
            <w:bottom w:val="none" w:sz="0" w:space="0" w:color="auto"/>
            <w:right w:val="none" w:sz="0" w:space="0" w:color="auto"/>
          </w:divBdr>
        </w:div>
        <w:div w:id="425342530">
          <w:marLeft w:val="0"/>
          <w:marRight w:val="0"/>
          <w:marTop w:val="0"/>
          <w:marBottom w:val="0"/>
          <w:divBdr>
            <w:top w:val="none" w:sz="0" w:space="0" w:color="auto"/>
            <w:left w:val="none" w:sz="0" w:space="0" w:color="auto"/>
            <w:bottom w:val="none" w:sz="0" w:space="0" w:color="auto"/>
            <w:right w:val="none" w:sz="0" w:space="0" w:color="auto"/>
          </w:divBdr>
        </w:div>
        <w:div w:id="507257035">
          <w:marLeft w:val="0"/>
          <w:marRight w:val="0"/>
          <w:marTop w:val="0"/>
          <w:marBottom w:val="0"/>
          <w:divBdr>
            <w:top w:val="none" w:sz="0" w:space="0" w:color="auto"/>
            <w:left w:val="none" w:sz="0" w:space="0" w:color="auto"/>
            <w:bottom w:val="none" w:sz="0" w:space="0" w:color="auto"/>
            <w:right w:val="none" w:sz="0" w:space="0" w:color="auto"/>
          </w:divBdr>
        </w:div>
        <w:div w:id="625281935">
          <w:marLeft w:val="0"/>
          <w:marRight w:val="0"/>
          <w:marTop w:val="0"/>
          <w:marBottom w:val="0"/>
          <w:divBdr>
            <w:top w:val="none" w:sz="0" w:space="0" w:color="auto"/>
            <w:left w:val="none" w:sz="0" w:space="0" w:color="auto"/>
            <w:bottom w:val="none" w:sz="0" w:space="0" w:color="auto"/>
            <w:right w:val="none" w:sz="0" w:space="0" w:color="auto"/>
          </w:divBdr>
        </w:div>
        <w:div w:id="652873839">
          <w:marLeft w:val="0"/>
          <w:marRight w:val="0"/>
          <w:marTop w:val="0"/>
          <w:marBottom w:val="0"/>
          <w:divBdr>
            <w:top w:val="none" w:sz="0" w:space="0" w:color="auto"/>
            <w:left w:val="none" w:sz="0" w:space="0" w:color="auto"/>
            <w:bottom w:val="none" w:sz="0" w:space="0" w:color="auto"/>
            <w:right w:val="none" w:sz="0" w:space="0" w:color="auto"/>
          </w:divBdr>
        </w:div>
        <w:div w:id="689797203">
          <w:marLeft w:val="0"/>
          <w:marRight w:val="0"/>
          <w:marTop w:val="0"/>
          <w:marBottom w:val="0"/>
          <w:divBdr>
            <w:top w:val="none" w:sz="0" w:space="0" w:color="auto"/>
            <w:left w:val="none" w:sz="0" w:space="0" w:color="auto"/>
            <w:bottom w:val="none" w:sz="0" w:space="0" w:color="auto"/>
            <w:right w:val="none" w:sz="0" w:space="0" w:color="auto"/>
          </w:divBdr>
        </w:div>
        <w:div w:id="725646679">
          <w:marLeft w:val="0"/>
          <w:marRight w:val="0"/>
          <w:marTop w:val="0"/>
          <w:marBottom w:val="0"/>
          <w:divBdr>
            <w:top w:val="none" w:sz="0" w:space="0" w:color="auto"/>
            <w:left w:val="none" w:sz="0" w:space="0" w:color="auto"/>
            <w:bottom w:val="none" w:sz="0" w:space="0" w:color="auto"/>
            <w:right w:val="none" w:sz="0" w:space="0" w:color="auto"/>
          </w:divBdr>
        </w:div>
        <w:div w:id="781925405">
          <w:marLeft w:val="0"/>
          <w:marRight w:val="0"/>
          <w:marTop w:val="0"/>
          <w:marBottom w:val="0"/>
          <w:divBdr>
            <w:top w:val="none" w:sz="0" w:space="0" w:color="auto"/>
            <w:left w:val="none" w:sz="0" w:space="0" w:color="auto"/>
            <w:bottom w:val="none" w:sz="0" w:space="0" w:color="auto"/>
            <w:right w:val="none" w:sz="0" w:space="0" w:color="auto"/>
          </w:divBdr>
        </w:div>
        <w:div w:id="786852360">
          <w:marLeft w:val="0"/>
          <w:marRight w:val="0"/>
          <w:marTop w:val="0"/>
          <w:marBottom w:val="0"/>
          <w:divBdr>
            <w:top w:val="none" w:sz="0" w:space="0" w:color="auto"/>
            <w:left w:val="none" w:sz="0" w:space="0" w:color="auto"/>
            <w:bottom w:val="none" w:sz="0" w:space="0" w:color="auto"/>
            <w:right w:val="none" w:sz="0" w:space="0" w:color="auto"/>
          </w:divBdr>
        </w:div>
        <w:div w:id="794256719">
          <w:marLeft w:val="0"/>
          <w:marRight w:val="0"/>
          <w:marTop w:val="0"/>
          <w:marBottom w:val="0"/>
          <w:divBdr>
            <w:top w:val="none" w:sz="0" w:space="0" w:color="auto"/>
            <w:left w:val="none" w:sz="0" w:space="0" w:color="auto"/>
            <w:bottom w:val="none" w:sz="0" w:space="0" w:color="auto"/>
            <w:right w:val="none" w:sz="0" w:space="0" w:color="auto"/>
          </w:divBdr>
        </w:div>
        <w:div w:id="801269989">
          <w:marLeft w:val="0"/>
          <w:marRight w:val="0"/>
          <w:marTop w:val="0"/>
          <w:marBottom w:val="0"/>
          <w:divBdr>
            <w:top w:val="none" w:sz="0" w:space="0" w:color="auto"/>
            <w:left w:val="none" w:sz="0" w:space="0" w:color="auto"/>
            <w:bottom w:val="none" w:sz="0" w:space="0" w:color="auto"/>
            <w:right w:val="none" w:sz="0" w:space="0" w:color="auto"/>
          </w:divBdr>
        </w:div>
        <w:div w:id="853347719">
          <w:marLeft w:val="0"/>
          <w:marRight w:val="0"/>
          <w:marTop w:val="0"/>
          <w:marBottom w:val="0"/>
          <w:divBdr>
            <w:top w:val="none" w:sz="0" w:space="0" w:color="auto"/>
            <w:left w:val="none" w:sz="0" w:space="0" w:color="auto"/>
            <w:bottom w:val="none" w:sz="0" w:space="0" w:color="auto"/>
            <w:right w:val="none" w:sz="0" w:space="0" w:color="auto"/>
          </w:divBdr>
        </w:div>
        <w:div w:id="886645187">
          <w:marLeft w:val="0"/>
          <w:marRight w:val="0"/>
          <w:marTop w:val="0"/>
          <w:marBottom w:val="0"/>
          <w:divBdr>
            <w:top w:val="none" w:sz="0" w:space="0" w:color="auto"/>
            <w:left w:val="none" w:sz="0" w:space="0" w:color="auto"/>
            <w:bottom w:val="none" w:sz="0" w:space="0" w:color="auto"/>
            <w:right w:val="none" w:sz="0" w:space="0" w:color="auto"/>
          </w:divBdr>
        </w:div>
        <w:div w:id="910505236">
          <w:marLeft w:val="0"/>
          <w:marRight w:val="0"/>
          <w:marTop w:val="0"/>
          <w:marBottom w:val="0"/>
          <w:divBdr>
            <w:top w:val="none" w:sz="0" w:space="0" w:color="auto"/>
            <w:left w:val="none" w:sz="0" w:space="0" w:color="auto"/>
            <w:bottom w:val="none" w:sz="0" w:space="0" w:color="auto"/>
            <w:right w:val="none" w:sz="0" w:space="0" w:color="auto"/>
          </w:divBdr>
        </w:div>
        <w:div w:id="919099855">
          <w:marLeft w:val="0"/>
          <w:marRight w:val="0"/>
          <w:marTop w:val="0"/>
          <w:marBottom w:val="0"/>
          <w:divBdr>
            <w:top w:val="none" w:sz="0" w:space="0" w:color="auto"/>
            <w:left w:val="none" w:sz="0" w:space="0" w:color="auto"/>
            <w:bottom w:val="none" w:sz="0" w:space="0" w:color="auto"/>
            <w:right w:val="none" w:sz="0" w:space="0" w:color="auto"/>
          </w:divBdr>
        </w:div>
        <w:div w:id="954598590">
          <w:marLeft w:val="0"/>
          <w:marRight w:val="0"/>
          <w:marTop w:val="0"/>
          <w:marBottom w:val="0"/>
          <w:divBdr>
            <w:top w:val="none" w:sz="0" w:space="0" w:color="auto"/>
            <w:left w:val="none" w:sz="0" w:space="0" w:color="auto"/>
            <w:bottom w:val="none" w:sz="0" w:space="0" w:color="auto"/>
            <w:right w:val="none" w:sz="0" w:space="0" w:color="auto"/>
          </w:divBdr>
        </w:div>
        <w:div w:id="1101145012">
          <w:marLeft w:val="0"/>
          <w:marRight w:val="0"/>
          <w:marTop w:val="0"/>
          <w:marBottom w:val="0"/>
          <w:divBdr>
            <w:top w:val="none" w:sz="0" w:space="0" w:color="auto"/>
            <w:left w:val="none" w:sz="0" w:space="0" w:color="auto"/>
            <w:bottom w:val="none" w:sz="0" w:space="0" w:color="auto"/>
            <w:right w:val="none" w:sz="0" w:space="0" w:color="auto"/>
          </w:divBdr>
        </w:div>
        <w:div w:id="1104493139">
          <w:marLeft w:val="0"/>
          <w:marRight w:val="0"/>
          <w:marTop w:val="0"/>
          <w:marBottom w:val="0"/>
          <w:divBdr>
            <w:top w:val="none" w:sz="0" w:space="0" w:color="auto"/>
            <w:left w:val="none" w:sz="0" w:space="0" w:color="auto"/>
            <w:bottom w:val="none" w:sz="0" w:space="0" w:color="auto"/>
            <w:right w:val="none" w:sz="0" w:space="0" w:color="auto"/>
          </w:divBdr>
        </w:div>
        <w:div w:id="1109739998">
          <w:marLeft w:val="0"/>
          <w:marRight w:val="0"/>
          <w:marTop w:val="0"/>
          <w:marBottom w:val="0"/>
          <w:divBdr>
            <w:top w:val="none" w:sz="0" w:space="0" w:color="auto"/>
            <w:left w:val="none" w:sz="0" w:space="0" w:color="auto"/>
            <w:bottom w:val="none" w:sz="0" w:space="0" w:color="auto"/>
            <w:right w:val="none" w:sz="0" w:space="0" w:color="auto"/>
          </w:divBdr>
        </w:div>
        <w:div w:id="1190680083">
          <w:marLeft w:val="0"/>
          <w:marRight w:val="0"/>
          <w:marTop w:val="0"/>
          <w:marBottom w:val="0"/>
          <w:divBdr>
            <w:top w:val="none" w:sz="0" w:space="0" w:color="auto"/>
            <w:left w:val="none" w:sz="0" w:space="0" w:color="auto"/>
            <w:bottom w:val="none" w:sz="0" w:space="0" w:color="auto"/>
            <w:right w:val="none" w:sz="0" w:space="0" w:color="auto"/>
          </w:divBdr>
        </w:div>
        <w:div w:id="1194076071">
          <w:marLeft w:val="0"/>
          <w:marRight w:val="0"/>
          <w:marTop w:val="0"/>
          <w:marBottom w:val="0"/>
          <w:divBdr>
            <w:top w:val="none" w:sz="0" w:space="0" w:color="auto"/>
            <w:left w:val="none" w:sz="0" w:space="0" w:color="auto"/>
            <w:bottom w:val="none" w:sz="0" w:space="0" w:color="auto"/>
            <w:right w:val="none" w:sz="0" w:space="0" w:color="auto"/>
          </w:divBdr>
        </w:div>
        <w:div w:id="1215002236">
          <w:marLeft w:val="0"/>
          <w:marRight w:val="0"/>
          <w:marTop w:val="0"/>
          <w:marBottom w:val="0"/>
          <w:divBdr>
            <w:top w:val="none" w:sz="0" w:space="0" w:color="auto"/>
            <w:left w:val="none" w:sz="0" w:space="0" w:color="auto"/>
            <w:bottom w:val="none" w:sz="0" w:space="0" w:color="auto"/>
            <w:right w:val="none" w:sz="0" w:space="0" w:color="auto"/>
          </w:divBdr>
        </w:div>
        <w:div w:id="1217352466">
          <w:marLeft w:val="0"/>
          <w:marRight w:val="0"/>
          <w:marTop w:val="0"/>
          <w:marBottom w:val="0"/>
          <w:divBdr>
            <w:top w:val="none" w:sz="0" w:space="0" w:color="auto"/>
            <w:left w:val="none" w:sz="0" w:space="0" w:color="auto"/>
            <w:bottom w:val="none" w:sz="0" w:space="0" w:color="auto"/>
            <w:right w:val="none" w:sz="0" w:space="0" w:color="auto"/>
          </w:divBdr>
        </w:div>
        <w:div w:id="1294214699">
          <w:marLeft w:val="0"/>
          <w:marRight w:val="0"/>
          <w:marTop w:val="0"/>
          <w:marBottom w:val="0"/>
          <w:divBdr>
            <w:top w:val="none" w:sz="0" w:space="0" w:color="auto"/>
            <w:left w:val="none" w:sz="0" w:space="0" w:color="auto"/>
            <w:bottom w:val="none" w:sz="0" w:space="0" w:color="auto"/>
            <w:right w:val="none" w:sz="0" w:space="0" w:color="auto"/>
          </w:divBdr>
        </w:div>
        <w:div w:id="1349141252">
          <w:marLeft w:val="0"/>
          <w:marRight w:val="0"/>
          <w:marTop w:val="0"/>
          <w:marBottom w:val="0"/>
          <w:divBdr>
            <w:top w:val="none" w:sz="0" w:space="0" w:color="auto"/>
            <w:left w:val="none" w:sz="0" w:space="0" w:color="auto"/>
            <w:bottom w:val="none" w:sz="0" w:space="0" w:color="auto"/>
            <w:right w:val="none" w:sz="0" w:space="0" w:color="auto"/>
          </w:divBdr>
        </w:div>
        <w:div w:id="1432774306">
          <w:marLeft w:val="0"/>
          <w:marRight w:val="0"/>
          <w:marTop w:val="0"/>
          <w:marBottom w:val="0"/>
          <w:divBdr>
            <w:top w:val="none" w:sz="0" w:space="0" w:color="auto"/>
            <w:left w:val="none" w:sz="0" w:space="0" w:color="auto"/>
            <w:bottom w:val="none" w:sz="0" w:space="0" w:color="auto"/>
            <w:right w:val="none" w:sz="0" w:space="0" w:color="auto"/>
          </w:divBdr>
        </w:div>
        <w:div w:id="1446924505">
          <w:marLeft w:val="0"/>
          <w:marRight w:val="0"/>
          <w:marTop w:val="0"/>
          <w:marBottom w:val="0"/>
          <w:divBdr>
            <w:top w:val="none" w:sz="0" w:space="0" w:color="auto"/>
            <w:left w:val="none" w:sz="0" w:space="0" w:color="auto"/>
            <w:bottom w:val="none" w:sz="0" w:space="0" w:color="auto"/>
            <w:right w:val="none" w:sz="0" w:space="0" w:color="auto"/>
          </w:divBdr>
        </w:div>
        <w:div w:id="1460341289">
          <w:marLeft w:val="0"/>
          <w:marRight w:val="0"/>
          <w:marTop w:val="0"/>
          <w:marBottom w:val="0"/>
          <w:divBdr>
            <w:top w:val="none" w:sz="0" w:space="0" w:color="auto"/>
            <w:left w:val="none" w:sz="0" w:space="0" w:color="auto"/>
            <w:bottom w:val="none" w:sz="0" w:space="0" w:color="auto"/>
            <w:right w:val="none" w:sz="0" w:space="0" w:color="auto"/>
          </w:divBdr>
        </w:div>
        <w:div w:id="1509753556">
          <w:marLeft w:val="0"/>
          <w:marRight w:val="0"/>
          <w:marTop w:val="0"/>
          <w:marBottom w:val="0"/>
          <w:divBdr>
            <w:top w:val="none" w:sz="0" w:space="0" w:color="auto"/>
            <w:left w:val="none" w:sz="0" w:space="0" w:color="auto"/>
            <w:bottom w:val="none" w:sz="0" w:space="0" w:color="auto"/>
            <w:right w:val="none" w:sz="0" w:space="0" w:color="auto"/>
          </w:divBdr>
        </w:div>
        <w:div w:id="1630745188">
          <w:marLeft w:val="0"/>
          <w:marRight w:val="0"/>
          <w:marTop w:val="0"/>
          <w:marBottom w:val="0"/>
          <w:divBdr>
            <w:top w:val="none" w:sz="0" w:space="0" w:color="auto"/>
            <w:left w:val="none" w:sz="0" w:space="0" w:color="auto"/>
            <w:bottom w:val="none" w:sz="0" w:space="0" w:color="auto"/>
            <w:right w:val="none" w:sz="0" w:space="0" w:color="auto"/>
          </w:divBdr>
        </w:div>
        <w:div w:id="1709144389">
          <w:marLeft w:val="0"/>
          <w:marRight w:val="0"/>
          <w:marTop w:val="0"/>
          <w:marBottom w:val="0"/>
          <w:divBdr>
            <w:top w:val="none" w:sz="0" w:space="0" w:color="auto"/>
            <w:left w:val="none" w:sz="0" w:space="0" w:color="auto"/>
            <w:bottom w:val="none" w:sz="0" w:space="0" w:color="auto"/>
            <w:right w:val="none" w:sz="0" w:space="0" w:color="auto"/>
          </w:divBdr>
        </w:div>
        <w:div w:id="1909917124">
          <w:marLeft w:val="0"/>
          <w:marRight w:val="0"/>
          <w:marTop w:val="0"/>
          <w:marBottom w:val="0"/>
          <w:divBdr>
            <w:top w:val="none" w:sz="0" w:space="0" w:color="auto"/>
            <w:left w:val="none" w:sz="0" w:space="0" w:color="auto"/>
            <w:bottom w:val="none" w:sz="0" w:space="0" w:color="auto"/>
            <w:right w:val="none" w:sz="0" w:space="0" w:color="auto"/>
          </w:divBdr>
        </w:div>
        <w:div w:id="1956017009">
          <w:marLeft w:val="0"/>
          <w:marRight w:val="0"/>
          <w:marTop w:val="0"/>
          <w:marBottom w:val="0"/>
          <w:divBdr>
            <w:top w:val="none" w:sz="0" w:space="0" w:color="auto"/>
            <w:left w:val="none" w:sz="0" w:space="0" w:color="auto"/>
            <w:bottom w:val="none" w:sz="0" w:space="0" w:color="auto"/>
            <w:right w:val="none" w:sz="0" w:space="0" w:color="auto"/>
          </w:divBdr>
        </w:div>
        <w:div w:id="2057728794">
          <w:marLeft w:val="0"/>
          <w:marRight w:val="0"/>
          <w:marTop w:val="0"/>
          <w:marBottom w:val="0"/>
          <w:divBdr>
            <w:top w:val="none" w:sz="0" w:space="0" w:color="auto"/>
            <w:left w:val="none" w:sz="0" w:space="0" w:color="auto"/>
            <w:bottom w:val="none" w:sz="0" w:space="0" w:color="auto"/>
            <w:right w:val="none" w:sz="0" w:space="0" w:color="auto"/>
          </w:divBdr>
        </w:div>
        <w:div w:id="2082756102">
          <w:marLeft w:val="0"/>
          <w:marRight w:val="0"/>
          <w:marTop w:val="0"/>
          <w:marBottom w:val="0"/>
          <w:divBdr>
            <w:top w:val="none" w:sz="0" w:space="0" w:color="auto"/>
            <w:left w:val="none" w:sz="0" w:space="0" w:color="auto"/>
            <w:bottom w:val="none" w:sz="0" w:space="0" w:color="auto"/>
            <w:right w:val="none" w:sz="0" w:space="0" w:color="auto"/>
          </w:divBdr>
        </w:div>
        <w:div w:id="2136946620">
          <w:marLeft w:val="0"/>
          <w:marRight w:val="0"/>
          <w:marTop w:val="0"/>
          <w:marBottom w:val="0"/>
          <w:divBdr>
            <w:top w:val="none" w:sz="0" w:space="0" w:color="auto"/>
            <w:left w:val="none" w:sz="0" w:space="0" w:color="auto"/>
            <w:bottom w:val="none" w:sz="0" w:space="0" w:color="auto"/>
            <w:right w:val="none" w:sz="0" w:space="0" w:color="auto"/>
          </w:divBdr>
        </w:div>
      </w:divsChild>
    </w:div>
    <w:div w:id="721636959">
      <w:bodyDiv w:val="1"/>
      <w:marLeft w:val="0"/>
      <w:marRight w:val="0"/>
      <w:marTop w:val="0"/>
      <w:marBottom w:val="0"/>
      <w:divBdr>
        <w:top w:val="none" w:sz="0" w:space="0" w:color="auto"/>
        <w:left w:val="none" w:sz="0" w:space="0" w:color="auto"/>
        <w:bottom w:val="none" w:sz="0" w:space="0" w:color="auto"/>
        <w:right w:val="none" w:sz="0" w:space="0" w:color="auto"/>
      </w:divBdr>
    </w:div>
    <w:div w:id="722631602">
      <w:bodyDiv w:val="1"/>
      <w:marLeft w:val="0"/>
      <w:marRight w:val="0"/>
      <w:marTop w:val="0"/>
      <w:marBottom w:val="0"/>
      <w:divBdr>
        <w:top w:val="none" w:sz="0" w:space="0" w:color="auto"/>
        <w:left w:val="none" w:sz="0" w:space="0" w:color="auto"/>
        <w:bottom w:val="none" w:sz="0" w:space="0" w:color="auto"/>
        <w:right w:val="none" w:sz="0" w:space="0" w:color="auto"/>
      </w:divBdr>
    </w:div>
    <w:div w:id="723142474">
      <w:bodyDiv w:val="1"/>
      <w:marLeft w:val="0"/>
      <w:marRight w:val="0"/>
      <w:marTop w:val="0"/>
      <w:marBottom w:val="0"/>
      <w:divBdr>
        <w:top w:val="none" w:sz="0" w:space="0" w:color="auto"/>
        <w:left w:val="none" w:sz="0" w:space="0" w:color="auto"/>
        <w:bottom w:val="none" w:sz="0" w:space="0" w:color="auto"/>
        <w:right w:val="none" w:sz="0" w:space="0" w:color="auto"/>
      </w:divBdr>
    </w:div>
    <w:div w:id="723287590">
      <w:bodyDiv w:val="1"/>
      <w:marLeft w:val="0"/>
      <w:marRight w:val="0"/>
      <w:marTop w:val="0"/>
      <w:marBottom w:val="0"/>
      <w:divBdr>
        <w:top w:val="none" w:sz="0" w:space="0" w:color="auto"/>
        <w:left w:val="none" w:sz="0" w:space="0" w:color="auto"/>
        <w:bottom w:val="none" w:sz="0" w:space="0" w:color="auto"/>
        <w:right w:val="none" w:sz="0" w:space="0" w:color="auto"/>
      </w:divBdr>
    </w:div>
    <w:div w:id="724253287">
      <w:bodyDiv w:val="1"/>
      <w:marLeft w:val="0"/>
      <w:marRight w:val="0"/>
      <w:marTop w:val="0"/>
      <w:marBottom w:val="0"/>
      <w:divBdr>
        <w:top w:val="none" w:sz="0" w:space="0" w:color="auto"/>
        <w:left w:val="none" w:sz="0" w:space="0" w:color="auto"/>
        <w:bottom w:val="none" w:sz="0" w:space="0" w:color="auto"/>
        <w:right w:val="none" w:sz="0" w:space="0" w:color="auto"/>
      </w:divBdr>
    </w:div>
    <w:div w:id="725420643">
      <w:bodyDiv w:val="1"/>
      <w:marLeft w:val="0"/>
      <w:marRight w:val="0"/>
      <w:marTop w:val="0"/>
      <w:marBottom w:val="0"/>
      <w:divBdr>
        <w:top w:val="none" w:sz="0" w:space="0" w:color="auto"/>
        <w:left w:val="none" w:sz="0" w:space="0" w:color="auto"/>
        <w:bottom w:val="none" w:sz="0" w:space="0" w:color="auto"/>
        <w:right w:val="none" w:sz="0" w:space="0" w:color="auto"/>
      </w:divBdr>
    </w:div>
    <w:div w:id="726150550">
      <w:bodyDiv w:val="1"/>
      <w:marLeft w:val="0"/>
      <w:marRight w:val="0"/>
      <w:marTop w:val="0"/>
      <w:marBottom w:val="0"/>
      <w:divBdr>
        <w:top w:val="none" w:sz="0" w:space="0" w:color="auto"/>
        <w:left w:val="none" w:sz="0" w:space="0" w:color="auto"/>
        <w:bottom w:val="none" w:sz="0" w:space="0" w:color="auto"/>
        <w:right w:val="none" w:sz="0" w:space="0" w:color="auto"/>
      </w:divBdr>
    </w:div>
    <w:div w:id="726417231">
      <w:bodyDiv w:val="1"/>
      <w:marLeft w:val="0"/>
      <w:marRight w:val="0"/>
      <w:marTop w:val="0"/>
      <w:marBottom w:val="0"/>
      <w:divBdr>
        <w:top w:val="none" w:sz="0" w:space="0" w:color="auto"/>
        <w:left w:val="none" w:sz="0" w:space="0" w:color="auto"/>
        <w:bottom w:val="none" w:sz="0" w:space="0" w:color="auto"/>
        <w:right w:val="none" w:sz="0" w:space="0" w:color="auto"/>
      </w:divBdr>
    </w:div>
    <w:div w:id="726417937">
      <w:bodyDiv w:val="1"/>
      <w:marLeft w:val="0"/>
      <w:marRight w:val="0"/>
      <w:marTop w:val="0"/>
      <w:marBottom w:val="0"/>
      <w:divBdr>
        <w:top w:val="none" w:sz="0" w:space="0" w:color="auto"/>
        <w:left w:val="none" w:sz="0" w:space="0" w:color="auto"/>
        <w:bottom w:val="none" w:sz="0" w:space="0" w:color="auto"/>
        <w:right w:val="none" w:sz="0" w:space="0" w:color="auto"/>
      </w:divBdr>
    </w:div>
    <w:div w:id="727462238">
      <w:bodyDiv w:val="1"/>
      <w:marLeft w:val="0"/>
      <w:marRight w:val="0"/>
      <w:marTop w:val="0"/>
      <w:marBottom w:val="0"/>
      <w:divBdr>
        <w:top w:val="none" w:sz="0" w:space="0" w:color="auto"/>
        <w:left w:val="none" w:sz="0" w:space="0" w:color="auto"/>
        <w:bottom w:val="none" w:sz="0" w:space="0" w:color="auto"/>
        <w:right w:val="none" w:sz="0" w:space="0" w:color="auto"/>
      </w:divBdr>
    </w:div>
    <w:div w:id="728387203">
      <w:bodyDiv w:val="1"/>
      <w:marLeft w:val="0"/>
      <w:marRight w:val="0"/>
      <w:marTop w:val="0"/>
      <w:marBottom w:val="0"/>
      <w:divBdr>
        <w:top w:val="none" w:sz="0" w:space="0" w:color="auto"/>
        <w:left w:val="none" w:sz="0" w:space="0" w:color="auto"/>
        <w:bottom w:val="none" w:sz="0" w:space="0" w:color="auto"/>
        <w:right w:val="none" w:sz="0" w:space="0" w:color="auto"/>
      </w:divBdr>
    </w:div>
    <w:div w:id="728958963">
      <w:bodyDiv w:val="1"/>
      <w:marLeft w:val="0"/>
      <w:marRight w:val="0"/>
      <w:marTop w:val="0"/>
      <w:marBottom w:val="0"/>
      <w:divBdr>
        <w:top w:val="none" w:sz="0" w:space="0" w:color="auto"/>
        <w:left w:val="none" w:sz="0" w:space="0" w:color="auto"/>
        <w:bottom w:val="none" w:sz="0" w:space="0" w:color="auto"/>
        <w:right w:val="none" w:sz="0" w:space="0" w:color="auto"/>
      </w:divBdr>
    </w:div>
    <w:div w:id="729036068">
      <w:bodyDiv w:val="1"/>
      <w:marLeft w:val="0"/>
      <w:marRight w:val="0"/>
      <w:marTop w:val="0"/>
      <w:marBottom w:val="0"/>
      <w:divBdr>
        <w:top w:val="none" w:sz="0" w:space="0" w:color="auto"/>
        <w:left w:val="none" w:sz="0" w:space="0" w:color="auto"/>
        <w:bottom w:val="none" w:sz="0" w:space="0" w:color="auto"/>
        <w:right w:val="none" w:sz="0" w:space="0" w:color="auto"/>
      </w:divBdr>
    </w:div>
    <w:div w:id="729500082">
      <w:bodyDiv w:val="1"/>
      <w:marLeft w:val="0"/>
      <w:marRight w:val="0"/>
      <w:marTop w:val="0"/>
      <w:marBottom w:val="0"/>
      <w:divBdr>
        <w:top w:val="none" w:sz="0" w:space="0" w:color="auto"/>
        <w:left w:val="none" w:sz="0" w:space="0" w:color="auto"/>
        <w:bottom w:val="none" w:sz="0" w:space="0" w:color="auto"/>
        <w:right w:val="none" w:sz="0" w:space="0" w:color="auto"/>
      </w:divBdr>
    </w:div>
    <w:div w:id="730275864">
      <w:bodyDiv w:val="1"/>
      <w:marLeft w:val="0"/>
      <w:marRight w:val="0"/>
      <w:marTop w:val="0"/>
      <w:marBottom w:val="0"/>
      <w:divBdr>
        <w:top w:val="none" w:sz="0" w:space="0" w:color="auto"/>
        <w:left w:val="none" w:sz="0" w:space="0" w:color="auto"/>
        <w:bottom w:val="none" w:sz="0" w:space="0" w:color="auto"/>
        <w:right w:val="none" w:sz="0" w:space="0" w:color="auto"/>
      </w:divBdr>
    </w:div>
    <w:div w:id="731275508">
      <w:bodyDiv w:val="1"/>
      <w:marLeft w:val="0"/>
      <w:marRight w:val="0"/>
      <w:marTop w:val="0"/>
      <w:marBottom w:val="0"/>
      <w:divBdr>
        <w:top w:val="none" w:sz="0" w:space="0" w:color="auto"/>
        <w:left w:val="none" w:sz="0" w:space="0" w:color="auto"/>
        <w:bottom w:val="none" w:sz="0" w:space="0" w:color="auto"/>
        <w:right w:val="none" w:sz="0" w:space="0" w:color="auto"/>
      </w:divBdr>
    </w:div>
    <w:div w:id="731342972">
      <w:bodyDiv w:val="1"/>
      <w:marLeft w:val="0"/>
      <w:marRight w:val="0"/>
      <w:marTop w:val="0"/>
      <w:marBottom w:val="0"/>
      <w:divBdr>
        <w:top w:val="none" w:sz="0" w:space="0" w:color="auto"/>
        <w:left w:val="none" w:sz="0" w:space="0" w:color="auto"/>
        <w:bottom w:val="none" w:sz="0" w:space="0" w:color="auto"/>
        <w:right w:val="none" w:sz="0" w:space="0" w:color="auto"/>
      </w:divBdr>
    </w:div>
    <w:div w:id="731393682">
      <w:bodyDiv w:val="1"/>
      <w:marLeft w:val="0"/>
      <w:marRight w:val="0"/>
      <w:marTop w:val="0"/>
      <w:marBottom w:val="0"/>
      <w:divBdr>
        <w:top w:val="none" w:sz="0" w:space="0" w:color="auto"/>
        <w:left w:val="none" w:sz="0" w:space="0" w:color="auto"/>
        <w:bottom w:val="none" w:sz="0" w:space="0" w:color="auto"/>
        <w:right w:val="none" w:sz="0" w:space="0" w:color="auto"/>
      </w:divBdr>
    </w:div>
    <w:div w:id="731925857">
      <w:bodyDiv w:val="1"/>
      <w:marLeft w:val="0"/>
      <w:marRight w:val="0"/>
      <w:marTop w:val="0"/>
      <w:marBottom w:val="0"/>
      <w:divBdr>
        <w:top w:val="none" w:sz="0" w:space="0" w:color="auto"/>
        <w:left w:val="none" w:sz="0" w:space="0" w:color="auto"/>
        <w:bottom w:val="none" w:sz="0" w:space="0" w:color="auto"/>
        <w:right w:val="none" w:sz="0" w:space="0" w:color="auto"/>
      </w:divBdr>
    </w:div>
    <w:div w:id="731999215">
      <w:bodyDiv w:val="1"/>
      <w:marLeft w:val="0"/>
      <w:marRight w:val="0"/>
      <w:marTop w:val="0"/>
      <w:marBottom w:val="0"/>
      <w:divBdr>
        <w:top w:val="none" w:sz="0" w:space="0" w:color="auto"/>
        <w:left w:val="none" w:sz="0" w:space="0" w:color="auto"/>
        <w:bottom w:val="none" w:sz="0" w:space="0" w:color="auto"/>
        <w:right w:val="none" w:sz="0" w:space="0" w:color="auto"/>
      </w:divBdr>
    </w:div>
    <w:div w:id="733241287">
      <w:bodyDiv w:val="1"/>
      <w:marLeft w:val="0"/>
      <w:marRight w:val="0"/>
      <w:marTop w:val="0"/>
      <w:marBottom w:val="0"/>
      <w:divBdr>
        <w:top w:val="none" w:sz="0" w:space="0" w:color="auto"/>
        <w:left w:val="none" w:sz="0" w:space="0" w:color="auto"/>
        <w:bottom w:val="none" w:sz="0" w:space="0" w:color="auto"/>
        <w:right w:val="none" w:sz="0" w:space="0" w:color="auto"/>
      </w:divBdr>
    </w:div>
    <w:div w:id="734205374">
      <w:bodyDiv w:val="1"/>
      <w:marLeft w:val="0"/>
      <w:marRight w:val="0"/>
      <w:marTop w:val="0"/>
      <w:marBottom w:val="0"/>
      <w:divBdr>
        <w:top w:val="none" w:sz="0" w:space="0" w:color="auto"/>
        <w:left w:val="none" w:sz="0" w:space="0" w:color="auto"/>
        <w:bottom w:val="none" w:sz="0" w:space="0" w:color="auto"/>
        <w:right w:val="none" w:sz="0" w:space="0" w:color="auto"/>
      </w:divBdr>
    </w:div>
    <w:div w:id="734738906">
      <w:bodyDiv w:val="1"/>
      <w:marLeft w:val="0"/>
      <w:marRight w:val="0"/>
      <w:marTop w:val="0"/>
      <w:marBottom w:val="0"/>
      <w:divBdr>
        <w:top w:val="none" w:sz="0" w:space="0" w:color="auto"/>
        <w:left w:val="none" w:sz="0" w:space="0" w:color="auto"/>
        <w:bottom w:val="none" w:sz="0" w:space="0" w:color="auto"/>
        <w:right w:val="none" w:sz="0" w:space="0" w:color="auto"/>
      </w:divBdr>
    </w:div>
    <w:div w:id="735009330">
      <w:bodyDiv w:val="1"/>
      <w:marLeft w:val="0"/>
      <w:marRight w:val="0"/>
      <w:marTop w:val="0"/>
      <w:marBottom w:val="0"/>
      <w:divBdr>
        <w:top w:val="none" w:sz="0" w:space="0" w:color="auto"/>
        <w:left w:val="none" w:sz="0" w:space="0" w:color="auto"/>
        <w:bottom w:val="none" w:sz="0" w:space="0" w:color="auto"/>
        <w:right w:val="none" w:sz="0" w:space="0" w:color="auto"/>
      </w:divBdr>
    </w:div>
    <w:div w:id="735128769">
      <w:bodyDiv w:val="1"/>
      <w:marLeft w:val="0"/>
      <w:marRight w:val="0"/>
      <w:marTop w:val="0"/>
      <w:marBottom w:val="0"/>
      <w:divBdr>
        <w:top w:val="none" w:sz="0" w:space="0" w:color="auto"/>
        <w:left w:val="none" w:sz="0" w:space="0" w:color="auto"/>
        <w:bottom w:val="none" w:sz="0" w:space="0" w:color="auto"/>
        <w:right w:val="none" w:sz="0" w:space="0" w:color="auto"/>
      </w:divBdr>
    </w:div>
    <w:div w:id="735320832">
      <w:bodyDiv w:val="1"/>
      <w:marLeft w:val="0"/>
      <w:marRight w:val="0"/>
      <w:marTop w:val="0"/>
      <w:marBottom w:val="0"/>
      <w:divBdr>
        <w:top w:val="none" w:sz="0" w:space="0" w:color="auto"/>
        <w:left w:val="none" w:sz="0" w:space="0" w:color="auto"/>
        <w:bottom w:val="none" w:sz="0" w:space="0" w:color="auto"/>
        <w:right w:val="none" w:sz="0" w:space="0" w:color="auto"/>
      </w:divBdr>
    </w:div>
    <w:div w:id="735785457">
      <w:bodyDiv w:val="1"/>
      <w:marLeft w:val="0"/>
      <w:marRight w:val="0"/>
      <w:marTop w:val="0"/>
      <w:marBottom w:val="0"/>
      <w:divBdr>
        <w:top w:val="none" w:sz="0" w:space="0" w:color="auto"/>
        <w:left w:val="none" w:sz="0" w:space="0" w:color="auto"/>
        <w:bottom w:val="none" w:sz="0" w:space="0" w:color="auto"/>
        <w:right w:val="none" w:sz="0" w:space="0" w:color="auto"/>
      </w:divBdr>
    </w:div>
    <w:div w:id="735933975">
      <w:bodyDiv w:val="1"/>
      <w:marLeft w:val="0"/>
      <w:marRight w:val="0"/>
      <w:marTop w:val="0"/>
      <w:marBottom w:val="0"/>
      <w:divBdr>
        <w:top w:val="none" w:sz="0" w:space="0" w:color="auto"/>
        <w:left w:val="none" w:sz="0" w:space="0" w:color="auto"/>
        <w:bottom w:val="none" w:sz="0" w:space="0" w:color="auto"/>
        <w:right w:val="none" w:sz="0" w:space="0" w:color="auto"/>
      </w:divBdr>
    </w:div>
    <w:div w:id="738289116">
      <w:bodyDiv w:val="1"/>
      <w:marLeft w:val="0"/>
      <w:marRight w:val="0"/>
      <w:marTop w:val="0"/>
      <w:marBottom w:val="0"/>
      <w:divBdr>
        <w:top w:val="none" w:sz="0" w:space="0" w:color="auto"/>
        <w:left w:val="none" w:sz="0" w:space="0" w:color="auto"/>
        <w:bottom w:val="none" w:sz="0" w:space="0" w:color="auto"/>
        <w:right w:val="none" w:sz="0" w:space="0" w:color="auto"/>
      </w:divBdr>
    </w:div>
    <w:div w:id="740559944">
      <w:bodyDiv w:val="1"/>
      <w:marLeft w:val="0"/>
      <w:marRight w:val="0"/>
      <w:marTop w:val="0"/>
      <w:marBottom w:val="0"/>
      <w:divBdr>
        <w:top w:val="none" w:sz="0" w:space="0" w:color="auto"/>
        <w:left w:val="none" w:sz="0" w:space="0" w:color="auto"/>
        <w:bottom w:val="none" w:sz="0" w:space="0" w:color="auto"/>
        <w:right w:val="none" w:sz="0" w:space="0" w:color="auto"/>
      </w:divBdr>
    </w:div>
    <w:div w:id="740566302">
      <w:bodyDiv w:val="1"/>
      <w:marLeft w:val="0"/>
      <w:marRight w:val="0"/>
      <w:marTop w:val="0"/>
      <w:marBottom w:val="0"/>
      <w:divBdr>
        <w:top w:val="none" w:sz="0" w:space="0" w:color="auto"/>
        <w:left w:val="none" w:sz="0" w:space="0" w:color="auto"/>
        <w:bottom w:val="none" w:sz="0" w:space="0" w:color="auto"/>
        <w:right w:val="none" w:sz="0" w:space="0" w:color="auto"/>
      </w:divBdr>
    </w:div>
    <w:div w:id="741291109">
      <w:bodyDiv w:val="1"/>
      <w:marLeft w:val="0"/>
      <w:marRight w:val="0"/>
      <w:marTop w:val="0"/>
      <w:marBottom w:val="0"/>
      <w:divBdr>
        <w:top w:val="none" w:sz="0" w:space="0" w:color="auto"/>
        <w:left w:val="none" w:sz="0" w:space="0" w:color="auto"/>
        <w:bottom w:val="none" w:sz="0" w:space="0" w:color="auto"/>
        <w:right w:val="none" w:sz="0" w:space="0" w:color="auto"/>
      </w:divBdr>
    </w:div>
    <w:div w:id="741489298">
      <w:bodyDiv w:val="1"/>
      <w:marLeft w:val="0"/>
      <w:marRight w:val="0"/>
      <w:marTop w:val="0"/>
      <w:marBottom w:val="0"/>
      <w:divBdr>
        <w:top w:val="none" w:sz="0" w:space="0" w:color="auto"/>
        <w:left w:val="none" w:sz="0" w:space="0" w:color="auto"/>
        <w:bottom w:val="none" w:sz="0" w:space="0" w:color="auto"/>
        <w:right w:val="none" w:sz="0" w:space="0" w:color="auto"/>
      </w:divBdr>
    </w:div>
    <w:div w:id="742946024">
      <w:bodyDiv w:val="1"/>
      <w:marLeft w:val="0"/>
      <w:marRight w:val="0"/>
      <w:marTop w:val="0"/>
      <w:marBottom w:val="0"/>
      <w:divBdr>
        <w:top w:val="none" w:sz="0" w:space="0" w:color="auto"/>
        <w:left w:val="none" w:sz="0" w:space="0" w:color="auto"/>
        <w:bottom w:val="none" w:sz="0" w:space="0" w:color="auto"/>
        <w:right w:val="none" w:sz="0" w:space="0" w:color="auto"/>
      </w:divBdr>
    </w:div>
    <w:div w:id="743844631">
      <w:bodyDiv w:val="1"/>
      <w:marLeft w:val="0"/>
      <w:marRight w:val="0"/>
      <w:marTop w:val="0"/>
      <w:marBottom w:val="0"/>
      <w:divBdr>
        <w:top w:val="none" w:sz="0" w:space="0" w:color="auto"/>
        <w:left w:val="none" w:sz="0" w:space="0" w:color="auto"/>
        <w:bottom w:val="none" w:sz="0" w:space="0" w:color="auto"/>
        <w:right w:val="none" w:sz="0" w:space="0" w:color="auto"/>
      </w:divBdr>
    </w:div>
    <w:div w:id="744302102">
      <w:bodyDiv w:val="1"/>
      <w:marLeft w:val="0"/>
      <w:marRight w:val="0"/>
      <w:marTop w:val="0"/>
      <w:marBottom w:val="0"/>
      <w:divBdr>
        <w:top w:val="none" w:sz="0" w:space="0" w:color="auto"/>
        <w:left w:val="none" w:sz="0" w:space="0" w:color="auto"/>
        <w:bottom w:val="none" w:sz="0" w:space="0" w:color="auto"/>
        <w:right w:val="none" w:sz="0" w:space="0" w:color="auto"/>
      </w:divBdr>
    </w:div>
    <w:div w:id="744885372">
      <w:bodyDiv w:val="1"/>
      <w:marLeft w:val="0"/>
      <w:marRight w:val="0"/>
      <w:marTop w:val="0"/>
      <w:marBottom w:val="0"/>
      <w:divBdr>
        <w:top w:val="none" w:sz="0" w:space="0" w:color="auto"/>
        <w:left w:val="none" w:sz="0" w:space="0" w:color="auto"/>
        <w:bottom w:val="none" w:sz="0" w:space="0" w:color="auto"/>
        <w:right w:val="none" w:sz="0" w:space="0" w:color="auto"/>
      </w:divBdr>
    </w:div>
    <w:div w:id="745153382">
      <w:bodyDiv w:val="1"/>
      <w:marLeft w:val="0"/>
      <w:marRight w:val="0"/>
      <w:marTop w:val="0"/>
      <w:marBottom w:val="0"/>
      <w:divBdr>
        <w:top w:val="none" w:sz="0" w:space="0" w:color="auto"/>
        <w:left w:val="none" w:sz="0" w:space="0" w:color="auto"/>
        <w:bottom w:val="none" w:sz="0" w:space="0" w:color="auto"/>
        <w:right w:val="none" w:sz="0" w:space="0" w:color="auto"/>
      </w:divBdr>
    </w:div>
    <w:div w:id="745422882">
      <w:bodyDiv w:val="1"/>
      <w:marLeft w:val="0"/>
      <w:marRight w:val="0"/>
      <w:marTop w:val="0"/>
      <w:marBottom w:val="0"/>
      <w:divBdr>
        <w:top w:val="none" w:sz="0" w:space="0" w:color="auto"/>
        <w:left w:val="none" w:sz="0" w:space="0" w:color="auto"/>
        <w:bottom w:val="none" w:sz="0" w:space="0" w:color="auto"/>
        <w:right w:val="none" w:sz="0" w:space="0" w:color="auto"/>
      </w:divBdr>
    </w:div>
    <w:div w:id="745495885">
      <w:bodyDiv w:val="1"/>
      <w:marLeft w:val="0"/>
      <w:marRight w:val="0"/>
      <w:marTop w:val="0"/>
      <w:marBottom w:val="0"/>
      <w:divBdr>
        <w:top w:val="none" w:sz="0" w:space="0" w:color="auto"/>
        <w:left w:val="none" w:sz="0" w:space="0" w:color="auto"/>
        <w:bottom w:val="none" w:sz="0" w:space="0" w:color="auto"/>
        <w:right w:val="none" w:sz="0" w:space="0" w:color="auto"/>
      </w:divBdr>
    </w:div>
    <w:div w:id="745613444">
      <w:bodyDiv w:val="1"/>
      <w:marLeft w:val="0"/>
      <w:marRight w:val="0"/>
      <w:marTop w:val="0"/>
      <w:marBottom w:val="0"/>
      <w:divBdr>
        <w:top w:val="none" w:sz="0" w:space="0" w:color="auto"/>
        <w:left w:val="none" w:sz="0" w:space="0" w:color="auto"/>
        <w:bottom w:val="none" w:sz="0" w:space="0" w:color="auto"/>
        <w:right w:val="none" w:sz="0" w:space="0" w:color="auto"/>
      </w:divBdr>
    </w:div>
    <w:div w:id="745614750">
      <w:bodyDiv w:val="1"/>
      <w:marLeft w:val="0"/>
      <w:marRight w:val="0"/>
      <w:marTop w:val="0"/>
      <w:marBottom w:val="0"/>
      <w:divBdr>
        <w:top w:val="none" w:sz="0" w:space="0" w:color="auto"/>
        <w:left w:val="none" w:sz="0" w:space="0" w:color="auto"/>
        <w:bottom w:val="none" w:sz="0" w:space="0" w:color="auto"/>
        <w:right w:val="none" w:sz="0" w:space="0" w:color="auto"/>
      </w:divBdr>
    </w:div>
    <w:div w:id="746532577">
      <w:bodyDiv w:val="1"/>
      <w:marLeft w:val="0"/>
      <w:marRight w:val="0"/>
      <w:marTop w:val="0"/>
      <w:marBottom w:val="0"/>
      <w:divBdr>
        <w:top w:val="none" w:sz="0" w:space="0" w:color="auto"/>
        <w:left w:val="none" w:sz="0" w:space="0" w:color="auto"/>
        <w:bottom w:val="none" w:sz="0" w:space="0" w:color="auto"/>
        <w:right w:val="none" w:sz="0" w:space="0" w:color="auto"/>
      </w:divBdr>
    </w:div>
    <w:div w:id="746877972">
      <w:bodyDiv w:val="1"/>
      <w:marLeft w:val="0"/>
      <w:marRight w:val="0"/>
      <w:marTop w:val="0"/>
      <w:marBottom w:val="0"/>
      <w:divBdr>
        <w:top w:val="none" w:sz="0" w:space="0" w:color="auto"/>
        <w:left w:val="none" w:sz="0" w:space="0" w:color="auto"/>
        <w:bottom w:val="none" w:sz="0" w:space="0" w:color="auto"/>
        <w:right w:val="none" w:sz="0" w:space="0" w:color="auto"/>
      </w:divBdr>
    </w:div>
    <w:div w:id="747071315">
      <w:bodyDiv w:val="1"/>
      <w:marLeft w:val="0"/>
      <w:marRight w:val="0"/>
      <w:marTop w:val="0"/>
      <w:marBottom w:val="0"/>
      <w:divBdr>
        <w:top w:val="none" w:sz="0" w:space="0" w:color="auto"/>
        <w:left w:val="none" w:sz="0" w:space="0" w:color="auto"/>
        <w:bottom w:val="none" w:sz="0" w:space="0" w:color="auto"/>
        <w:right w:val="none" w:sz="0" w:space="0" w:color="auto"/>
      </w:divBdr>
    </w:div>
    <w:div w:id="747383786">
      <w:bodyDiv w:val="1"/>
      <w:marLeft w:val="0"/>
      <w:marRight w:val="0"/>
      <w:marTop w:val="0"/>
      <w:marBottom w:val="0"/>
      <w:divBdr>
        <w:top w:val="none" w:sz="0" w:space="0" w:color="auto"/>
        <w:left w:val="none" w:sz="0" w:space="0" w:color="auto"/>
        <w:bottom w:val="none" w:sz="0" w:space="0" w:color="auto"/>
        <w:right w:val="none" w:sz="0" w:space="0" w:color="auto"/>
      </w:divBdr>
    </w:div>
    <w:div w:id="747507540">
      <w:bodyDiv w:val="1"/>
      <w:marLeft w:val="0"/>
      <w:marRight w:val="0"/>
      <w:marTop w:val="0"/>
      <w:marBottom w:val="0"/>
      <w:divBdr>
        <w:top w:val="none" w:sz="0" w:space="0" w:color="auto"/>
        <w:left w:val="none" w:sz="0" w:space="0" w:color="auto"/>
        <w:bottom w:val="none" w:sz="0" w:space="0" w:color="auto"/>
        <w:right w:val="none" w:sz="0" w:space="0" w:color="auto"/>
      </w:divBdr>
    </w:div>
    <w:div w:id="747579234">
      <w:bodyDiv w:val="1"/>
      <w:marLeft w:val="0"/>
      <w:marRight w:val="0"/>
      <w:marTop w:val="0"/>
      <w:marBottom w:val="0"/>
      <w:divBdr>
        <w:top w:val="none" w:sz="0" w:space="0" w:color="auto"/>
        <w:left w:val="none" w:sz="0" w:space="0" w:color="auto"/>
        <w:bottom w:val="none" w:sz="0" w:space="0" w:color="auto"/>
        <w:right w:val="none" w:sz="0" w:space="0" w:color="auto"/>
      </w:divBdr>
    </w:div>
    <w:div w:id="747650170">
      <w:bodyDiv w:val="1"/>
      <w:marLeft w:val="0"/>
      <w:marRight w:val="0"/>
      <w:marTop w:val="0"/>
      <w:marBottom w:val="0"/>
      <w:divBdr>
        <w:top w:val="none" w:sz="0" w:space="0" w:color="auto"/>
        <w:left w:val="none" w:sz="0" w:space="0" w:color="auto"/>
        <w:bottom w:val="none" w:sz="0" w:space="0" w:color="auto"/>
        <w:right w:val="none" w:sz="0" w:space="0" w:color="auto"/>
      </w:divBdr>
    </w:div>
    <w:div w:id="747774708">
      <w:bodyDiv w:val="1"/>
      <w:marLeft w:val="0"/>
      <w:marRight w:val="0"/>
      <w:marTop w:val="0"/>
      <w:marBottom w:val="0"/>
      <w:divBdr>
        <w:top w:val="none" w:sz="0" w:space="0" w:color="auto"/>
        <w:left w:val="none" w:sz="0" w:space="0" w:color="auto"/>
        <w:bottom w:val="none" w:sz="0" w:space="0" w:color="auto"/>
        <w:right w:val="none" w:sz="0" w:space="0" w:color="auto"/>
      </w:divBdr>
    </w:div>
    <w:div w:id="748694045">
      <w:bodyDiv w:val="1"/>
      <w:marLeft w:val="0"/>
      <w:marRight w:val="0"/>
      <w:marTop w:val="0"/>
      <w:marBottom w:val="0"/>
      <w:divBdr>
        <w:top w:val="none" w:sz="0" w:space="0" w:color="auto"/>
        <w:left w:val="none" w:sz="0" w:space="0" w:color="auto"/>
        <w:bottom w:val="none" w:sz="0" w:space="0" w:color="auto"/>
        <w:right w:val="none" w:sz="0" w:space="0" w:color="auto"/>
      </w:divBdr>
    </w:div>
    <w:div w:id="749162311">
      <w:bodyDiv w:val="1"/>
      <w:marLeft w:val="0"/>
      <w:marRight w:val="0"/>
      <w:marTop w:val="0"/>
      <w:marBottom w:val="0"/>
      <w:divBdr>
        <w:top w:val="none" w:sz="0" w:space="0" w:color="auto"/>
        <w:left w:val="none" w:sz="0" w:space="0" w:color="auto"/>
        <w:bottom w:val="none" w:sz="0" w:space="0" w:color="auto"/>
        <w:right w:val="none" w:sz="0" w:space="0" w:color="auto"/>
      </w:divBdr>
    </w:div>
    <w:div w:id="749618113">
      <w:bodyDiv w:val="1"/>
      <w:marLeft w:val="0"/>
      <w:marRight w:val="0"/>
      <w:marTop w:val="0"/>
      <w:marBottom w:val="0"/>
      <w:divBdr>
        <w:top w:val="none" w:sz="0" w:space="0" w:color="auto"/>
        <w:left w:val="none" w:sz="0" w:space="0" w:color="auto"/>
        <w:bottom w:val="none" w:sz="0" w:space="0" w:color="auto"/>
        <w:right w:val="none" w:sz="0" w:space="0" w:color="auto"/>
      </w:divBdr>
    </w:div>
    <w:div w:id="750738731">
      <w:bodyDiv w:val="1"/>
      <w:marLeft w:val="0"/>
      <w:marRight w:val="0"/>
      <w:marTop w:val="0"/>
      <w:marBottom w:val="0"/>
      <w:divBdr>
        <w:top w:val="none" w:sz="0" w:space="0" w:color="auto"/>
        <w:left w:val="none" w:sz="0" w:space="0" w:color="auto"/>
        <w:bottom w:val="none" w:sz="0" w:space="0" w:color="auto"/>
        <w:right w:val="none" w:sz="0" w:space="0" w:color="auto"/>
      </w:divBdr>
    </w:div>
    <w:div w:id="751505849">
      <w:bodyDiv w:val="1"/>
      <w:marLeft w:val="0"/>
      <w:marRight w:val="0"/>
      <w:marTop w:val="0"/>
      <w:marBottom w:val="0"/>
      <w:divBdr>
        <w:top w:val="none" w:sz="0" w:space="0" w:color="auto"/>
        <w:left w:val="none" w:sz="0" w:space="0" w:color="auto"/>
        <w:bottom w:val="none" w:sz="0" w:space="0" w:color="auto"/>
        <w:right w:val="none" w:sz="0" w:space="0" w:color="auto"/>
      </w:divBdr>
    </w:div>
    <w:div w:id="752900272">
      <w:bodyDiv w:val="1"/>
      <w:marLeft w:val="0"/>
      <w:marRight w:val="0"/>
      <w:marTop w:val="0"/>
      <w:marBottom w:val="0"/>
      <w:divBdr>
        <w:top w:val="none" w:sz="0" w:space="0" w:color="auto"/>
        <w:left w:val="none" w:sz="0" w:space="0" w:color="auto"/>
        <w:bottom w:val="none" w:sz="0" w:space="0" w:color="auto"/>
        <w:right w:val="none" w:sz="0" w:space="0" w:color="auto"/>
      </w:divBdr>
    </w:div>
    <w:div w:id="753472281">
      <w:bodyDiv w:val="1"/>
      <w:marLeft w:val="0"/>
      <w:marRight w:val="0"/>
      <w:marTop w:val="0"/>
      <w:marBottom w:val="0"/>
      <w:divBdr>
        <w:top w:val="none" w:sz="0" w:space="0" w:color="auto"/>
        <w:left w:val="none" w:sz="0" w:space="0" w:color="auto"/>
        <w:bottom w:val="none" w:sz="0" w:space="0" w:color="auto"/>
        <w:right w:val="none" w:sz="0" w:space="0" w:color="auto"/>
      </w:divBdr>
    </w:div>
    <w:div w:id="753547229">
      <w:bodyDiv w:val="1"/>
      <w:marLeft w:val="0"/>
      <w:marRight w:val="0"/>
      <w:marTop w:val="0"/>
      <w:marBottom w:val="0"/>
      <w:divBdr>
        <w:top w:val="none" w:sz="0" w:space="0" w:color="auto"/>
        <w:left w:val="none" w:sz="0" w:space="0" w:color="auto"/>
        <w:bottom w:val="none" w:sz="0" w:space="0" w:color="auto"/>
        <w:right w:val="none" w:sz="0" w:space="0" w:color="auto"/>
      </w:divBdr>
    </w:div>
    <w:div w:id="754327582">
      <w:bodyDiv w:val="1"/>
      <w:marLeft w:val="0"/>
      <w:marRight w:val="0"/>
      <w:marTop w:val="0"/>
      <w:marBottom w:val="0"/>
      <w:divBdr>
        <w:top w:val="none" w:sz="0" w:space="0" w:color="auto"/>
        <w:left w:val="none" w:sz="0" w:space="0" w:color="auto"/>
        <w:bottom w:val="none" w:sz="0" w:space="0" w:color="auto"/>
        <w:right w:val="none" w:sz="0" w:space="0" w:color="auto"/>
      </w:divBdr>
    </w:div>
    <w:div w:id="754328750">
      <w:bodyDiv w:val="1"/>
      <w:marLeft w:val="0"/>
      <w:marRight w:val="0"/>
      <w:marTop w:val="0"/>
      <w:marBottom w:val="0"/>
      <w:divBdr>
        <w:top w:val="none" w:sz="0" w:space="0" w:color="auto"/>
        <w:left w:val="none" w:sz="0" w:space="0" w:color="auto"/>
        <w:bottom w:val="none" w:sz="0" w:space="0" w:color="auto"/>
        <w:right w:val="none" w:sz="0" w:space="0" w:color="auto"/>
      </w:divBdr>
    </w:div>
    <w:div w:id="755244711">
      <w:bodyDiv w:val="1"/>
      <w:marLeft w:val="0"/>
      <w:marRight w:val="0"/>
      <w:marTop w:val="0"/>
      <w:marBottom w:val="0"/>
      <w:divBdr>
        <w:top w:val="none" w:sz="0" w:space="0" w:color="auto"/>
        <w:left w:val="none" w:sz="0" w:space="0" w:color="auto"/>
        <w:bottom w:val="none" w:sz="0" w:space="0" w:color="auto"/>
        <w:right w:val="none" w:sz="0" w:space="0" w:color="auto"/>
      </w:divBdr>
    </w:div>
    <w:div w:id="755444523">
      <w:bodyDiv w:val="1"/>
      <w:marLeft w:val="0"/>
      <w:marRight w:val="0"/>
      <w:marTop w:val="0"/>
      <w:marBottom w:val="0"/>
      <w:divBdr>
        <w:top w:val="none" w:sz="0" w:space="0" w:color="auto"/>
        <w:left w:val="none" w:sz="0" w:space="0" w:color="auto"/>
        <w:bottom w:val="none" w:sz="0" w:space="0" w:color="auto"/>
        <w:right w:val="none" w:sz="0" w:space="0" w:color="auto"/>
      </w:divBdr>
    </w:div>
    <w:div w:id="755444919">
      <w:bodyDiv w:val="1"/>
      <w:marLeft w:val="0"/>
      <w:marRight w:val="0"/>
      <w:marTop w:val="0"/>
      <w:marBottom w:val="0"/>
      <w:divBdr>
        <w:top w:val="none" w:sz="0" w:space="0" w:color="auto"/>
        <w:left w:val="none" w:sz="0" w:space="0" w:color="auto"/>
        <w:bottom w:val="none" w:sz="0" w:space="0" w:color="auto"/>
        <w:right w:val="none" w:sz="0" w:space="0" w:color="auto"/>
      </w:divBdr>
    </w:div>
    <w:div w:id="755784989">
      <w:bodyDiv w:val="1"/>
      <w:marLeft w:val="0"/>
      <w:marRight w:val="0"/>
      <w:marTop w:val="0"/>
      <w:marBottom w:val="0"/>
      <w:divBdr>
        <w:top w:val="none" w:sz="0" w:space="0" w:color="auto"/>
        <w:left w:val="none" w:sz="0" w:space="0" w:color="auto"/>
        <w:bottom w:val="none" w:sz="0" w:space="0" w:color="auto"/>
        <w:right w:val="none" w:sz="0" w:space="0" w:color="auto"/>
      </w:divBdr>
    </w:div>
    <w:div w:id="756173166">
      <w:bodyDiv w:val="1"/>
      <w:marLeft w:val="0"/>
      <w:marRight w:val="0"/>
      <w:marTop w:val="0"/>
      <w:marBottom w:val="0"/>
      <w:divBdr>
        <w:top w:val="none" w:sz="0" w:space="0" w:color="auto"/>
        <w:left w:val="none" w:sz="0" w:space="0" w:color="auto"/>
        <w:bottom w:val="none" w:sz="0" w:space="0" w:color="auto"/>
        <w:right w:val="none" w:sz="0" w:space="0" w:color="auto"/>
      </w:divBdr>
    </w:div>
    <w:div w:id="756513764">
      <w:bodyDiv w:val="1"/>
      <w:marLeft w:val="0"/>
      <w:marRight w:val="0"/>
      <w:marTop w:val="0"/>
      <w:marBottom w:val="0"/>
      <w:divBdr>
        <w:top w:val="none" w:sz="0" w:space="0" w:color="auto"/>
        <w:left w:val="none" w:sz="0" w:space="0" w:color="auto"/>
        <w:bottom w:val="none" w:sz="0" w:space="0" w:color="auto"/>
        <w:right w:val="none" w:sz="0" w:space="0" w:color="auto"/>
      </w:divBdr>
    </w:div>
    <w:div w:id="756559171">
      <w:bodyDiv w:val="1"/>
      <w:marLeft w:val="0"/>
      <w:marRight w:val="0"/>
      <w:marTop w:val="0"/>
      <w:marBottom w:val="0"/>
      <w:divBdr>
        <w:top w:val="none" w:sz="0" w:space="0" w:color="auto"/>
        <w:left w:val="none" w:sz="0" w:space="0" w:color="auto"/>
        <w:bottom w:val="none" w:sz="0" w:space="0" w:color="auto"/>
        <w:right w:val="none" w:sz="0" w:space="0" w:color="auto"/>
      </w:divBdr>
    </w:div>
    <w:div w:id="757099371">
      <w:bodyDiv w:val="1"/>
      <w:marLeft w:val="0"/>
      <w:marRight w:val="0"/>
      <w:marTop w:val="0"/>
      <w:marBottom w:val="0"/>
      <w:divBdr>
        <w:top w:val="none" w:sz="0" w:space="0" w:color="auto"/>
        <w:left w:val="none" w:sz="0" w:space="0" w:color="auto"/>
        <w:bottom w:val="none" w:sz="0" w:space="0" w:color="auto"/>
        <w:right w:val="none" w:sz="0" w:space="0" w:color="auto"/>
      </w:divBdr>
    </w:div>
    <w:div w:id="758603120">
      <w:bodyDiv w:val="1"/>
      <w:marLeft w:val="0"/>
      <w:marRight w:val="0"/>
      <w:marTop w:val="0"/>
      <w:marBottom w:val="0"/>
      <w:divBdr>
        <w:top w:val="none" w:sz="0" w:space="0" w:color="auto"/>
        <w:left w:val="none" w:sz="0" w:space="0" w:color="auto"/>
        <w:bottom w:val="none" w:sz="0" w:space="0" w:color="auto"/>
        <w:right w:val="none" w:sz="0" w:space="0" w:color="auto"/>
      </w:divBdr>
    </w:div>
    <w:div w:id="759259213">
      <w:bodyDiv w:val="1"/>
      <w:marLeft w:val="0"/>
      <w:marRight w:val="0"/>
      <w:marTop w:val="0"/>
      <w:marBottom w:val="0"/>
      <w:divBdr>
        <w:top w:val="none" w:sz="0" w:space="0" w:color="auto"/>
        <w:left w:val="none" w:sz="0" w:space="0" w:color="auto"/>
        <w:bottom w:val="none" w:sz="0" w:space="0" w:color="auto"/>
        <w:right w:val="none" w:sz="0" w:space="0" w:color="auto"/>
      </w:divBdr>
    </w:div>
    <w:div w:id="760414876">
      <w:bodyDiv w:val="1"/>
      <w:marLeft w:val="0"/>
      <w:marRight w:val="0"/>
      <w:marTop w:val="0"/>
      <w:marBottom w:val="0"/>
      <w:divBdr>
        <w:top w:val="none" w:sz="0" w:space="0" w:color="auto"/>
        <w:left w:val="none" w:sz="0" w:space="0" w:color="auto"/>
        <w:bottom w:val="none" w:sz="0" w:space="0" w:color="auto"/>
        <w:right w:val="none" w:sz="0" w:space="0" w:color="auto"/>
      </w:divBdr>
    </w:div>
    <w:div w:id="761099219">
      <w:bodyDiv w:val="1"/>
      <w:marLeft w:val="0"/>
      <w:marRight w:val="0"/>
      <w:marTop w:val="0"/>
      <w:marBottom w:val="0"/>
      <w:divBdr>
        <w:top w:val="none" w:sz="0" w:space="0" w:color="auto"/>
        <w:left w:val="none" w:sz="0" w:space="0" w:color="auto"/>
        <w:bottom w:val="none" w:sz="0" w:space="0" w:color="auto"/>
        <w:right w:val="none" w:sz="0" w:space="0" w:color="auto"/>
      </w:divBdr>
    </w:div>
    <w:div w:id="762216045">
      <w:bodyDiv w:val="1"/>
      <w:marLeft w:val="0"/>
      <w:marRight w:val="0"/>
      <w:marTop w:val="0"/>
      <w:marBottom w:val="0"/>
      <w:divBdr>
        <w:top w:val="none" w:sz="0" w:space="0" w:color="auto"/>
        <w:left w:val="none" w:sz="0" w:space="0" w:color="auto"/>
        <w:bottom w:val="none" w:sz="0" w:space="0" w:color="auto"/>
        <w:right w:val="none" w:sz="0" w:space="0" w:color="auto"/>
      </w:divBdr>
    </w:div>
    <w:div w:id="762722686">
      <w:bodyDiv w:val="1"/>
      <w:marLeft w:val="0"/>
      <w:marRight w:val="0"/>
      <w:marTop w:val="0"/>
      <w:marBottom w:val="0"/>
      <w:divBdr>
        <w:top w:val="none" w:sz="0" w:space="0" w:color="auto"/>
        <w:left w:val="none" w:sz="0" w:space="0" w:color="auto"/>
        <w:bottom w:val="none" w:sz="0" w:space="0" w:color="auto"/>
        <w:right w:val="none" w:sz="0" w:space="0" w:color="auto"/>
      </w:divBdr>
    </w:div>
    <w:div w:id="763116080">
      <w:bodyDiv w:val="1"/>
      <w:marLeft w:val="0"/>
      <w:marRight w:val="0"/>
      <w:marTop w:val="0"/>
      <w:marBottom w:val="0"/>
      <w:divBdr>
        <w:top w:val="none" w:sz="0" w:space="0" w:color="auto"/>
        <w:left w:val="none" w:sz="0" w:space="0" w:color="auto"/>
        <w:bottom w:val="none" w:sz="0" w:space="0" w:color="auto"/>
        <w:right w:val="none" w:sz="0" w:space="0" w:color="auto"/>
      </w:divBdr>
    </w:div>
    <w:div w:id="763720668">
      <w:bodyDiv w:val="1"/>
      <w:marLeft w:val="0"/>
      <w:marRight w:val="0"/>
      <w:marTop w:val="0"/>
      <w:marBottom w:val="0"/>
      <w:divBdr>
        <w:top w:val="none" w:sz="0" w:space="0" w:color="auto"/>
        <w:left w:val="none" w:sz="0" w:space="0" w:color="auto"/>
        <w:bottom w:val="none" w:sz="0" w:space="0" w:color="auto"/>
        <w:right w:val="none" w:sz="0" w:space="0" w:color="auto"/>
      </w:divBdr>
    </w:div>
    <w:div w:id="764231314">
      <w:bodyDiv w:val="1"/>
      <w:marLeft w:val="0"/>
      <w:marRight w:val="0"/>
      <w:marTop w:val="0"/>
      <w:marBottom w:val="0"/>
      <w:divBdr>
        <w:top w:val="none" w:sz="0" w:space="0" w:color="auto"/>
        <w:left w:val="none" w:sz="0" w:space="0" w:color="auto"/>
        <w:bottom w:val="none" w:sz="0" w:space="0" w:color="auto"/>
        <w:right w:val="none" w:sz="0" w:space="0" w:color="auto"/>
      </w:divBdr>
    </w:div>
    <w:div w:id="764695545">
      <w:bodyDiv w:val="1"/>
      <w:marLeft w:val="0"/>
      <w:marRight w:val="0"/>
      <w:marTop w:val="0"/>
      <w:marBottom w:val="0"/>
      <w:divBdr>
        <w:top w:val="none" w:sz="0" w:space="0" w:color="auto"/>
        <w:left w:val="none" w:sz="0" w:space="0" w:color="auto"/>
        <w:bottom w:val="none" w:sz="0" w:space="0" w:color="auto"/>
        <w:right w:val="none" w:sz="0" w:space="0" w:color="auto"/>
      </w:divBdr>
    </w:div>
    <w:div w:id="764957757">
      <w:bodyDiv w:val="1"/>
      <w:marLeft w:val="0"/>
      <w:marRight w:val="0"/>
      <w:marTop w:val="0"/>
      <w:marBottom w:val="0"/>
      <w:divBdr>
        <w:top w:val="none" w:sz="0" w:space="0" w:color="auto"/>
        <w:left w:val="none" w:sz="0" w:space="0" w:color="auto"/>
        <w:bottom w:val="none" w:sz="0" w:space="0" w:color="auto"/>
        <w:right w:val="none" w:sz="0" w:space="0" w:color="auto"/>
      </w:divBdr>
    </w:div>
    <w:div w:id="765148623">
      <w:bodyDiv w:val="1"/>
      <w:marLeft w:val="0"/>
      <w:marRight w:val="0"/>
      <w:marTop w:val="0"/>
      <w:marBottom w:val="0"/>
      <w:divBdr>
        <w:top w:val="none" w:sz="0" w:space="0" w:color="auto"/>
        <w:left w:val="none" w:sz="0" w:space="0" w:color="auto"/>
        <w:bottom w:val="none" w:sz="0" w:space="0" w:color="auto"/>
        <w:right w:val="none" w:sz="0" w:space="0" w:color="auto"/>
      </w:divBdr>
    </w:div>
    <w:div w:id="766468398">
      <w:bodyDiv w:val="1"/>
      <w:marLeft w:val="0"/>
      <w:marRight w:val="0"/>
      <w:marTop w:val="0"/>
      <w:marBottom w:val="0"/>
      <w:divBdr>
        <w:top w:val="none" w:sz="0" w:space="0" w:color="auto"/>
        <w:left w:val="none" w:sz="0" w:space="0" w:color="auto"/>
        <w:bottom w:val="none" w:sz="0" w:space="0" w:color="auto"/>
        <w:right w:val="none" w:sz="0" w:space="0" w:color="auto"/>
      </w:divBdr>
    </w:div>
    <w:div w:id="768281695">
      <w:bodyDiv w:val="1"/>
      <w:marLeft w:val="0"/>
      <w:marRight w:val="0"/>
      <w:marTop w:val="0"/>
      <w:marBottom w:val="0"/>
      <w:divBdr>
        <w:top w:val="none" w:sz="0" w:space="0" w:color="auto"/>
        <w:left w:val="none" w:sz="0" w:space="0" w:color="auto"/>
        <w:bottom w:val="none" w:sz="0" w:space="0" w:color="auto"/>
        <w:right w:val="none" w:sz="0" w:space="0" w:color="auto"/>
      </w:divBdr>
    </w:div>
    <w:div w:id="768623464">
      <w:bodyDiv w:val="1"/>
      <w:marLeft w:val="0"/>
      <w:marRight w:val="0"/>
      <w:marTop w:val="0"/>
      <w:marBottom w:val="0"/>
      <w:divBdr>
        <w:top w:val="none" w:sz="0" w:space="0" w:color="auto"/>
        <w:left w:val="none" w:sz="0" w:space="0" w:color="auto"/>
        <w:bottom w:val="none" w:sz="0" w:space="0" w:color="auto"/>
        <w:right w:val="none" w:sz="0" w:space="0" w:color="auto"/>
      </w:divBdr>
    </w:div>
    <w:div w:id="768700799">
      <w:bodyDiv w:val="1"/>
      <w:marLeft w:val="0"/>
      <w:marRight w:val="0"/>
      <w:marTop w:val="0"/>
      <w:marBottom w:val="0"/>
      <w:divBdr>
        <w:top w:val="none" w:sz="0" w:space="0" w:color="auto"/>
        <w:left w:val="none" w:sz="0" w:space="0" w:color="auto"/>
        <w:bottom w:val="none" w:sz="0" w:space="0" w:color="auto"/>
        <w:right w:val="none" w:sz="0" w:space="0" w:color="auto"/>
      </w:divBdr>
    </w:div>
    <w:div w:id="768768695">
      <w:bodyDiv w:val="1"/>
      <w:marLeft w:val="0"/>
      <w:marRight w:val="0"/>
      <w:marTop w:val="0"/>
      <w:marBottom w:val="0"/>
      <w:divBdr>
        <w:top w:val="none" w:sz="0" w:space="0" w:color="auto"/>
        <w:left w:val="none" w:sz="0" w:space="0" w:color="auto"/>
        <w:bottom w:val="none" w:sz="0" w:space="0" w:color="auto"/>
        <w:right w:val="none" w:sz="0" w:space="0" w:color="auto"/>
      </w:divBdr>
    </w:div>
    <w:div w:id="768936870">
      <w:bodyDiv w:val="1"/>
      <w:marLeft w:val="0"/>
      <w:marRight w:val="0"/>
      <w:marTop w:val="0"/>
      <w:marBottom w:val="0"/>
      <w:divBdr>
        <w:top w:val="none" w:sz="0" w:space="0" w:color="auto"/>
        <w:left w:val="none" w:sz="0" w:space="0" w:color="auto"/>
        <w:bottom w:val="none" w:sz="0" w:space="0" w:color="auto"/>
        <w:right w:val="none" w:sz="0" w:space="0" w:color="auto"/>
      </w:divBdr>
    </w:div>
    <w:div w:id="769084470">
      <w:bodyDiv w:val="1"/>
      <w:marLeft w:val="0"/>
      <w:marRight w:val="0"/>
      <w:marTop w:val="0"/>
      <w:marBottom w:val="0"/>
      <w:divBdr>
        <w:top w:val="none" w:sz="0" w:space="0" w:color="auto"/>
        <w:left w:val="none" w:sz="0" w:space="0" w:color="auto"/>
        <w:bottom w:val="none" w:sz="0" w:space="0" w:color="auto"/>
        <w:right w:val="none" w:sz="0" w:space="0" w:color="auto"/>
      </w:divBdr>
    </w:div>
    <w:div w:id="769130704">
      <w:bodyDiv w:val="1"/>
      <w:marLeft w:val="0"/>
      <w:marRight w:val="0"/>
      <w:marTop w:val="0"/>
      <w:marBottom w:val="0"/>
      <w:divBdr>
        <w:top w:val="none" w:sz="0" w:space="0" w:color="auto"/>
        <w:left w:val="none" w:sz="0" w:space="0" w:color="auto"/>
        <w:bottom w:val="none" w:sz="0" w:space="0" w:color="auto"/>
        <w:right w:val="none" w:sz="0" w:space="0" w:color="auto"/>
      </w:divBdr>
    </w:div>
    <w:div w:id="769666029">
      <w:bodyDiv w:val="1"/>
      <w:marLeft w:val="0"/>
      <w:marRight w:val="0"/>
      <w:marTop w:val="0"/>
      <w:marBottom w:val="0"/>
      <w:divBdr>
        <w:top w:val="none" w:sz="0" w:space="0" w:color="auto"/>
        <w:left w:val="none" w:sz="0" w:space="0" w:color="auto"/>
        <w:bottom w:val="none" w:sz="0" w:space="0" w:color="auto"/>
        <w:right w:val="none" w:sz="0" w:space="0" w:color="auto"/>
      </w:divBdr>
    </w:div>
    <w:div w:id="770124469">
      <w:bodyDiv w:val="1"/>
      <w:marLeft w:val="0"/>
      <w:marRight w:val="0"/>
      <w:marTop w:val="0"/>
      <w:marBottom w:val="0"/>
      <w:divBdr>
        <w:top w:val="none" w:sz="0" w:space="0" w:color="auto"/>
        <w:left w:val="none" w:sz="0" w:space="0" w:color="auto"/>
        <w:bottom w:val="none" w:sz="0" w:space="0" w:color="auto"/>
        <w:right w:val="none" w:sz="0" w:space="0" w:color="auto"/>
      </w:divBdr>
    </w:div>
    <w:div w:id="770127524">
      <w:bodyDiv w:val="1"/>
      <w:marLeft w:val="0"/>
      <w:marRight w:val="0"/>
      <w:marTop w:val="0"/>
      <w:marBottom w:val="0"/>
      <w:divBdr>
        <w:top w:val="none" w:sz="0" w:space="0" w:color="auto"/>
        <w:left w:val="none" w:sz="0" w:space="0" w:color="auto"/>
        <w:bottom w:val="none" w:sz="0" w:space="0" w:color="auto"/>
        <w:right w:val="none" w:sz="0" w:space="0" w:color="auto"/>
      </w:divBdr>
    </w:div>
    <w:div w:id="770201730">
      <w:bodyDiv w:val="1"/>
      <w:marLeft w:val="0"/>
      <w:marRight w:val="0"/>
      <w:marTop w:val="0"/>
      <w:marBottom w:val="0"/>
      <w:divBdr>
        <w:top w:val="none" w:sz="0" w:space="0" w:color="auto"/>
        <w:left w:val="none" w:sz="0" w:space="0" w:color="auto"/>
        <w:bottom w:val="none" w:sz="0" w:space="0" w:color="auto"/>
        <w:right w:val="none" w:sz="0" w:space="0" w:color="auto"/>
      </w:divBdr>
    </w:div>
    <w:div w:id="771322945">
      <w:bodyDiv w:val="1"/>
      <w:marLeft w:val="0"/>
      <w:marRight w:val="0"/>
      <w:marTop w:val="0"/>
      <w:marBottom w:val="0"/>
      <w:divBdr>
        <w:top w:val="none" w:sz="0" w:space="0" w:color="auto"/>
        <w:left w:val="none" w:sz="0" w:space="0" w:color="auto"/>
        <w:bottom w:val="none" w:sz="0" w:space="0" w:color="auto"/>
        <w:right w:val="none" w:sz="0" w:space="0" w:color="auto"/>
      </w:divBdr>
    </w:div>
    <w:div w:id="771556712">
      <w:bodyDiv w:val="1"/>
      <w:marLeft w:val="0"/>
      <w:marRight w:val="0"/>
      <w:marTop w:val="0"/>
      <w:marBottom w:val="0"/>
      <w:divBdr>
        <w:top w:val="none" w:sz="0" w:space="0" w:color="auto"/>
        <w:left w:val="none" w:sz="0" w:space="0" w:color="auto"/>
        <w:bottom w:val="none" w:sz="0" w:space="0" w:color="auto"/>
        <w:right w:val="none" w:sz="0" w:space="0" w:color="auto"/>
      </w:divBdr>
    </w:div>
    <w:div w:id="771705374">
      <w:bodyDiv w:val="1"/>
      <w:marLeft w:val="0"/>
      <w:marRight w:val="0"/>
      <w:marTop w:val="0"/>
      <w:marBottom w:val="0"/>
      <w:divBdr>
        <w:top w:val="none" w:sz="0" w:space="0" w:color="auto"/>
        <w:left w:val="none" w:sz="0" w:space="0" w:color="auto"/>
        <w:bottom w:val="none" w:sz="0" w:space="0" w:color="auto"/>
        <w:right w:val="none" w:sz="0" w:space="0" w:color="auto"/>
      </w:divBdr>
    </w:div>
    <w:div w:id="771708209">
      <w:bodyDiv w:val="1"/>
      <w:marLeft w:val="0"/>
      <w:marRight w:val="0"/>
      <w:marTop w:val="0"/>
      <w:marBottom w:val="0"/>
      <w:divBdr>
        <w:top w:val="none" w:sz="0" w:space="0" w:color="auto"/>
        <w:left w:val="none" w:sz="0" w:space="0" w:color="auto"/>
        <w:bottom w:val="none" w:sz="0" w:space="0" w:color="auto"/>
        <w:right w:val="none" w:sz="0" w:space="0" w:color="auto"/>
      </w:divBdr>
    </w:div>
    <w:div w:id="772172307">
      <w:bodyDiv w:val="1"/>
      <w:marLeft w:val="0"/>
      <w:marRight w:val="0"/>
      <w:marTop w:val="0"/>
      <w:marBottom w:val="0"/>
      <w:divBdr>
        <w:top w:val="none" w:sz="0" w:space="0" w:color="auto"/>
        <w:left w:val="none" w:sz="0" w:space="0" w:color="auto"/>
        <w:bottom w:val="none" w:sz="0" w:space="0" w:color="auto"/>
        <w:right w:val="none" w:sz="0" w:space="0" w:color="auto"/>
      </w:divBdr>
    </w:div>
    <w:div w:id="772360221">
      <w:bodyDiv w:val="1"/>
      <w:marLeft w:val="0"/>
      <w:marRight w:val="0"/>
      <w:marTop w:val="0"/>
      <w:marBottom w:val="0"/>
      <w:divBdr>
        <w:top w:val="none" w:sz="0" w:space="0" w:color="auto"/>
        <w:left w:val="none" w:sz="0" w:space="0" w:color="auto"/>
        <w:bottom w:val="none" w:sz="0" w:space="0" w:color="auto"/>
        <w:right w:val="none" w:sz="0" w:space="0" w:color="auto"/>
      </w:divBdr>
    </w:div>
    <w:div w:id="773136471">
      <w:bodyDiv w:val="1"/>
      <w:marLeft w:val="0"/>
      <w:marRight w:val="0"/>
      <w:marTop w:val="0"/>
      <w:marBottom w:val="0"/>
      <w:divBdr>
        <w:top w:val="none" w:sz="0" w:space="0" w:color="auto"/>
        <w:left w:val="none" w:sz="0" w:space="0" w:color="auto"/>
        <w:bottom w:val="none" w:sz="0" w:space="0" w:color="auto"/>
        <w:right w:val="none" w:sz="0" w:space="0" w:color="auto"/>
      </w:divBdr>
    </w:div>
    <w:div w:id="774129603">
      <w:bodyDiv w:val="1"/>
      <w:marLeft w:val="0"/>
      <w:marRight w:val="0"/>
      <w:marTop w:val="0"/>
      <w:marBottom w:val="0"/>
      <w:divBdr>
        <w:top w:val="none" w:sz="0" w:space="0" w:color="auto"/>
        <w:left w:val="none" w:sz="0" w:space="0" w:color="auto"/>
        <w:bottom w:val="none" w:sz="0" w:space="0" w:color="auto"/>
        <w:right w:val="none" w:sz="0" w:space="0" w:color="auto"/>
      </w:divBdr>
    </w:div>
    <w:div w:id="774322869">
      <w:bodyDiv w:val="1"/>
      <w:marLeft w:val="0"/>
      <w:marRight w:val="0"/>
      <w:marTop w:val="0"/>
      <w:marBottom w:val="0"/>
      <w:divBdr>
        <w:top w:val="none" w:sz="0" w:space="0" w:color="auto"/>
        <w:left w:val="none" w:sz="0" w:space="0" w:color="auto"/>
        <w:bottom w:val="none" w:sz="0" w:space="0" w:color="auto"/>
        <w:right w:val="none" w:sz="0" w:space="0" w:color="auto"/>
      </w:divBdr>
    </w:div>
    <w:div w:id="774637174">
      <w:bodyDiv w:val="1"/>
      <w:marLeft w:val="0"/>
      <w:marRight w:val="0"/>
      <w:marTop w:val="0"/>
      <w:marBottom w:val="0"/>
      <w:divBdr>
        <w:top w:val="none" w:sz="0" w:space="0" w:color="auto"/>
        <w:left w:val="none" w:sz="0" w:space="0" w:color="auto"/>
        <w:bottom w:val="none" w:sz="0" w:space="0" w:color="auto"/>
        <w:right w:val="none" w:sz="0" w:space="0" w:color="auto"/>
      </w:divBdr>
    </w:div>
    <w:div w:id="775096477">
      <w:bodyDiv w:val="1"/>
      <w:marLeft w:val="0"/>
      <w:marRight w:val="0"/>
      <w:marTop w:val="0"/>
      <w:marBottom w:val="0"/>
      <w:divBdr>
        <w:top w:val="none" w:sz="0" w:space="0" w:color="auto"/>
        <w:left w:val="none" w:sz="0" w:space="0" w:color="auto"/>
        <w:bottom w:val="none" w:sz="0" w:space="0" w:color="auto"/>
        <w:right w:val="none" w:sz="0" w:space="0" w:color="auto"/>
      </w:divBdr>
    </w:div>
    <w:div w:id="775488193">
      <w:bodyDiv w:val="1"/>
      <w:marLeft w:val="0"/>
      <w:marRight w:val="0"/>
      <w:marTop w:val="0"/>
      <w:marBottom w:val="0"/>
      <w:divBdr>
        <w:top w:val="none" w:sz="0" w:space="0" w:color="auto"/>
        <w:left w:val="none" w:sz="0" w:space="0" w:color="auto"/>
        <w:bottom w:val="none" w:sz="0" w:space="0" w:color="auto"/>
        <w:right w:val="none" w:sz="0" w:space="0" w:color="auto"/>
      </w:divBdr>
    </w:div>
    <w:div w:id="775516568">
      <w:bodyDiv w:val="1"/>
      <w:marLeft w:val="0"/>
      <w:marRight w:val="0"/>
      <w:marTop w:val="0"/>
      <w:marBottom w:val="0"/>
      <w:divBdr>
        <w:top w:val="none" w:sz="0" w:space="0" w:color="auto"/>
        <w:left w:val="none" w:sz="0" w:space="0" w:color="auto"/>
        <w:bottom w:val="none" w:sz="0" w:space="0" w:color="auto"/>
        <w:right w:val="none" w:sz="0" w:space="0" w:color="auto"/>
      </w:divBdr>
    </w:div>
    <w:div w:id="775902850">
      <w:bodyDiv w:val="1"/>
      <w:marLeft w:val="0"/>
      <w:marRight w:val="0"/>
      <w:marTop w:val="0"/>
      <w:marBottom w:val="0"/>
      <w:divBdr>
        <w:top w:val="none" w:sz="0" w:space="0" w:color="auto"/>
        <w:left w:val="none" w:sz="0" w:space="0" w:color="auto"/>
        <w:bottom w:val="none" w:sz="0" w:space="0" w:color="auto"/>
        <w:right w:val="none" w:sz="0" w:space="0" w:color="auto"/>
      </w:divBdr>
    </w:div>
    <w:div w:id="775946679">
      <w:bodyDiv w:val="1"/>
      <w:marLeft w:val="0"/>
      <w:marRight w:val="0"/>
      <w:marTop w:val="0"/>
      <w:marBottom w:val="0"/>
      <w:divBdr>
        <w:top w:val="none" w:sz="0" w:space="0" w:color="auto"/>
        <w:left w:val="none" w:sz="0" w:space="0" w:color="auto"/>
        <w:bottom w:val="none" w:sz="0" w:space="0" w:color="auto"/>
        <w:right w:val="none" w:sz="0" w:space="0" w:color="auto"/>
      </w:divBdr>
    </w:div>
    <w:div w:id="777723367">
      <w:bodyDiv w:val="1"/>
      <w:marLeft w:val="0"/>
      <w:marRight w:val="0"/>
      <w:marTop w:val="0"/>
      <w:marBottom w:val="0"/>
      <w:divBdr>
        <w:top w:val="none" w:sz="0" w:space="0" w:color="auto"/>
        <w:left w:val="none" w:sz="0" w:space="0" w:color="auto"/>
        <w:bottom w:val="none" w:sz="0" w:space="0" w:color="auto"/>
        <w:right w:val="none" w:sz="0" w:space="0" w:color="auto"/>
      </w:divBdr>
    </w:div>
    <w:div w:id="777944497">
      <w:bodyDiv w:val="1"/>
      <w:marLeft w:val="0"/>
      <w:marRight w:val="0"/>
      <w:marTop w:val="0"/>
      <w:marBottom w:val="0"/>
      <w:divBdr>
        <w:top w:val="none" w:sz="0" w:space="0" w:color="auto"/>
        <w:left w:val="none" w:sz="0" w:space="0" w:color="auto"/>
        <w:bottom w:val="none" w:sz="0" w:space="0" w:color="auto"/>
        <w:right w:val="none" w:sz="0" w:space="0" w:color="auto"/>
      </w:divBdr>
    </w:div>
    <w:div w:id="777990885">
      <w:bodyDiv w:val="1"/>
      <w:marLeft w:val="0"/>
      <w:marRight w:val="0"/>
      <w:marTop w:val="0"/>
      <w:marBottom w:val="0"/>
      <w:divBdr>
        <w:top w:val="none" w:sz="0" w:space="0" w:color="auto"/>
        <w:left w:val="none" w:sz="0" w:space="0" w:color="auto"/>
        <w:bottom w:val="none" w:sz="0" w:space="0" w:color="auto"/>
        <w:right w:val="none" w:sz="0" w:space="0" w:color="auto"/>
      </w:divBdr>
    </w:div>
    <w:div w:id="778372853">
      <w:bodyDiv w:val="1"/>
      <w:marLeft w:val="0"/>
      <w:marRight w:val="0"/>
      <w:marTop w:val="0"/>
      <w:marBottom w:val="0"/>
      <w:divBdr>
        <w:top w:val="none" w:sz="0" w:space="0" w:color="auto"/>
        <w:left w:val="none" w:sz="0" w:space="0" w:color="auto"/>
        <w:bottom w:val="none" w:sz="0" w:space="0" w:color="auto"/>
        <w:right w:val="none" w:sz="0" w:space="0" w:color="auto"/>
      </w:divBdr>
    </w:div>
    <w:div w:id="778378994">
      <w:bodyDiv w:val="1"/>
      <w:marLeft w:val="0"/>
      <w:marRight w:val="0"/>
      <w:marTop w:val="0"/>
      <w:marBottom w:val="0"/>
      <w:divBdr>
        <w:top w:val="none" w:sz="0" w:space="0" w:color="auto"/>
        <w:left w:val="none" w:sz="0" w:space="0" w:color="auto"/>
        <w:bottom w:val="none" w:sz="0" w:space="0" w:color="auto"/>
        <w:right w:val="none" w:sz="0" w:space="0" w:color="auto"/>
      </w:divBdr>
    </w:div>
    <w:div w:id="778716557">
      <w:bodyDiv w:val="1"/>
      <w:marLeft w:val="0"/>
      <w:marRight w:val="0"/>
      <w:marTop w:val="0"/>
      <w:marBottom w:val="0"/>
      <w:divBdr>
        <w:top w:val="none" w:sz="0" w:space="0" w:color="auto"/>
        <w:left w:val="none" w:sz="0" w:space="0" w:color="auto"/>
        <w:bottom w:val="none" w:sz="0" w:space="0" w:color="auto"/>
        <w:right w:val="none" w:sz="0" w:space="0" w:color="auto"/>
      </w:divBdr>
    </w:div>
    <w:div w:id="779223635">
      <w:bodyDiv w:val="1"/>
      <w:marLeft w:val="0"/>
      <w:marRight w:val="0"/>
      <w:marTop w:val="0"/>
      <w:marBottom w:val="0"/>
      <w:divBdr>
        <w:top w:val="none" w:sz="0" w:space="0" w:color="auto"/>
        <w:left w:val="none" w:sz="0" w:space="0" w:color="auto"/>
        <w:bottom w:val="none" w:sz="0" w:space="0" w:color="auto"/>
        <w:right w:val="none" w:sz="0" w:space="0" w:color="auto"/>
      </w:divBdr>
    </w:div>
    <w:div w:id="779646613">
      <w:bodyDiv w:val="1"/>
      <w:marLeft w:val="0"/>
      <w:marRight w:val="0"/>
      <w:marTop w:val="0"/>
      <w:marBottom w:val="0"/>
      <w:divBdr>
        <w:top w:val="none" w:sz="0" w:space="0" w:color="auto"/>
        <w:left w:val="none" w:sz="0" w:space="0" w:color="auto"/>
        <w:bottom w:val="none" w:sz="0" w:space="0" w:color="auto"/>
        <w:right w:val="none" w:sz="0" w:space="0" w:color="auto"/>
      </w:divBdr>
    </w:div>
    <w:div w:id="779883351">
      <w:bodyDiv w:val="1"/>
      <w:marLeft w:val="0"/>
      <w:marRight w:val="0"/>
      <w:marTop w:val="0"/>
      <w:marBottom w:val="0"/>
      <w:divBdr>
        <w:top w:val="none" w:sz="0" w:space="0" w:color="auto"/>
        <w:left w:val="none" w:sz="0" w:space="0" w:color="auto"/>
        <w:bottom w:val="none" w:sz="0" w:space="0" w:color="auto"/>
        <w:right w:val="none" w:sz="0" w:space="0" w:color="auto"/>
      </w:divBdr>
    </w:div>
    <w:div w:id="780102778">
      <w:bodyDiv w:val="1"/>
      <w:marLeft w:val="0"/>
      <w:marRight w:val="0"/>
      <w:marTop w:val="0"/>
      <w:marBottom w:val="0"/>
      <w:divBdr>
        <w:top w:val="none" w:sz="0" w:space="0" w:color="auto"/>
        <w:left w:val="none" w:sz="0" w:space="0" w:color="auto"/>
        <w:bottom w:val="none" w:sz="0" w:space="0" w:color="auto"/>
        <w:right w:val="none" w:sz="0" w:space="0" w:color="auto"/>
      </w:divBdr>
    </w:div>
    <w:div w:id="781073575">
      <w:bodyDiv w:val="1"/>
      <w:marLeft w:val="0"/>
      <w:marRight w:val="0"/>
      <w:marTop w:val="0"/>
      <w:marBottom w:val="0"/>
      <w:divBdr>
        <w:top w:val="none" w:sz="0" w:space="0" w:color="auto"/>
        <w:left w:val="none" w:sz="0" w:space="0" w:color="auto"/>
        <w:bottom w:val="none" w:sz="0" w:space="0" w:color="auto"/>
        <w:right w:val="none" w:sz="0" w:space="0" w:color="auto"/>
      </w:divBdr>
    </w:div>
    <w:div w:id="781534507">
      <w:bodyDiv w:val="1"/>
      <w:marLeft w:val="0"/>
      <w:marRight w:val="0"/>
      <w:marTop w:val="0"/>
      <w:marBottom w:val="0"/>
      <w:divBdr>
        <w:top w:val="none" w:sz="0" w:space="0" w:color="auto"/>
        <w:left w:val="none" w:sz="0" w:space="0" w:color="auto"/>
        <w:bottom w:val="none" w:sz="0" w:space="0" w:color="auto"/>
        <w:right w:val="none" w:sz="0" w:space="0" w:color="auto"/>
      </w:divBdr>
    </w:div>
    <w:div w:id="782188386">
      <w:bodyDiv w:val="1"/>
      <w:marLeft w:val="0"/>
      <w:marRight w:val="0"/>
      <w:marTop w:val="0"/>
      <w:marBottom w:val="0"/>
      <w:divBdr>
        <w:top w:val="none" w:sz="0" w:space="0" w:color="auto"/>
        <w:left w:val="none" w:sz="0" w:space="0" w:color="auto"/>
        <w:bottom w:val="none" w:sz="0" w:space="0" w:color="auto"/>
        <w:right w:val="none" w:sz="0" w:space="0" w:color="auto"/>
      </w:divBdr>
    </w:div>
    <w:div w:id="782262798">
      <w:bodyDiv w:val="1"/>
      <w:marLeft w:val="0"/>
      <w:marRight w:val="0"/>
      <w:marTop w:val="0"/>
      <w:marBottom w:val="0"/>
      <w:divBdr>
        <w:top w:val="none" w:sz="0" w:space="0" w:color="auto"/>
        <w:left w:val="none" w:sz="0" w:space="0" w:color="auto"/>
        <w:bottom w:val="none" w:sz="0" w:space="0" w:color="auto"/>
        <w:right w:val="none" w:sz="0" w:space="0" w:color="auto"/>
      </w:divBdr>
    </w:div>
    <w:div w:id="782384468">
      <w:bodyDiv w:val="1"/>
      <w:marLeft w:val="0"/>
      <w:marRight w:val="0"/>
      <w:marTop w:val="0"/>
      <w:marBottom w:val="0"/>
      <w:divBdr>
        <w:top w:val="none" w:sz="0" w:space="0" w:color="auto"/>
        <w:left w:val="none" w:sz="0" w:space="0" w:color="auto"/>
        <w:bottom w:val="none" w:sz="0" w:space="0" w:color="auto"/>
        <w:right w:val="none" w:sz="0" w:space="0" w:color="auto"/>
      </w:divBdr>
    </w:div>
    <w:div w:id="783379150">
      <w:bodyDiv w:val="1"/>
      <w:marLeft w:val="0"/>
      <w:marRight w:val="0"/>
      <w:marTop w:val="0"/>
      <w:marBottom w:val="0"/>
      <w:divBdr>
        <w:top w:val="none" w:sz="0" w:space="0" w:color="auto"/>
        <w:left w:val="none" w:sz="0" w:space="0" w:color="auto"/>
        <w:bottom w:val="none" w:sz="0" w:space="0" w:color="auto"/>
        <w:right w:val="none" w:sz="0" w:space="0" w:color="auto"/>
      </w:divBdr>
    </w:div>
    <w:div w:id="784540029">
      <w:bodyDiv w:val="1"/>
      <w:marLeft w:val="0"/>
      <w:marRight w:val="0"/>
      <w:marTop w:val="0"/>
      <w:marBottom w:val="0"/>
      <w:divBdr>
        <w:top w:val="none" w:sz="0" w:space="0" w:color="auto"/>
        <w:left w:val="none" w:sz="0" w:space="0" w:color="auto"/>
        <w:bottom w:val="none" w:sz="0" w:space="0" w:color="auto"/>
        <w:right w:val="none" w:sz="0" w:space="0" w:color="auto"/>
      </w:divBdr>
    </w:div>
    <w:div w:id="784809441">
      <w:bodyDiv w:val="1"/>
      <w:marLeft w:val="0"/>
      <w:marRight w:val="0"/>
      <w:marTop w:val="0"/>
      <w:marBottom w:val="0"/>
      <w:divBdr>
        <w:top w:val="none" w:sz="0" w:space="0" w:color="auto"/>
        <w:left w:val="none" w:sz="0" w:space="0" w:color="auto"/>
        <w:bottom w:val="none" w:sz="0" w:space="0" w:color="auto"/>
        <w:right w:val="none" w:sz="0" w:space="0" w:color="auto"/>
      </w:divBdr>
    </w:div>
    <w:div w:id="784886245">
      <w:bodyDiv w:val="1"/>
      <w:marLeft w:val="0"/>
      <w:marRight w:val="0"/>
      <w:marTop w:val="0"/>
      <w:marBottom w:val="0"/>
      <w:divBdr>
        <w:top w:val="none" w:sz="0" w:space="0" w:color="auto"/>
        <w:left w:val="none" w:sz="0" w:space="0" w:color="auto"/>
        <w:bottom w:val="none" w:sz="0" w:space="0" w:color="auto"/>
        <w:right w:val="none" w:sz="0" w:space="0" w:color="auto"/>
      </w:divBdr>
    </w:div>
    <w:div w:id="785808900">
      <w:bodyDiv w:val="1"/>
      <w:marLeft w:val="0"/>
      <w:marRight w:val="0"/>
      <w:marTop w:val="0"/>
      <w:marBottom w:val="0"/>
      <w:divBdr>
        <w:top w:val="none" w:sz="0" w:space="0" w:color="auto"/>
        <w:left w:val="none" w:sz="0" w:space="0" w:color="auto"/>
        <w:bottom w:val="none" w:sz="0" w:space="0" w:color="auto"/>
        <w:right w:val="none" w:sz="0" w:space="0" w:color="auto"/>
      </w:divBdr>
    </w:div>
    <w:div w:id="787743538">
      <w:bodyDiv w:val="1"/>
      <w:marLeft w:val="0"/>
      <w:marRight w:val="0"/>
      <w:marTop w:val="0"/>
      <w:marBottom w:val="0"/>
      <w:divBdr>
        <w:top w:val="none" w:sz="0" w:space="0" w:color="auto"/>
        <w:left w:val="none" w:sz="0" w:space="0" w:color="auto"/>
        <w:bottom w:val="none" w:sz="0" w:space="0" w:color="auto"/>
        <w:right w:val="none" w:sz="0" w:space="0" w:color="auto"/>
      </w:divBdr>
    </w:div>
    <w:div w:id="787893972">
      <w:bodyDiv w:val="1"/>
      <w:marLeft w:val="0"/>
      <w:marRight w:val="0"/>
      <w:marTop w:val="0"/>
      <w:marBottom w:val="0"/>
      <w:divBdr>
        <w:top w:val="none" w:sz="0" w:space="0" w:color="auto"/>
        <w:left w:val="none" w:sz="0" w:space="0" w:color="auto"/>
        <w:bottom w:val="none" w:sz="0" w:space="0" w:color="auto"/>
        <w:right w:val="none" w:sz="0" w:space="0" w:color="auto"/>
      </w:divBdr>
    </w:div>
    <w:div w:id="787971765">
      <w:bodyDiv w:val="1"/>
      <w:marLeft w:val="0"/>
      <w:marRight w:val="0"/>
      <w:marTop w:val="0"/>
      <w:marBottom w:val="0"/>
      <w:divBdr>
        <w:top w:val="none" w:sz="0" w:space="0" w:color="auto"/>
        <w:left w:val="none" w:sz="0" w:space="0" w:color="auto"/>
        <w:bottom w:val="none" w:sz="0" w:space="0" w:color="auto"/>
        <w:right w:val="none" w:sz="0" w:space="0" w:color="auto"/>
      </w:divBdr>
    </w:div>
    <w:div w:id="788202295">
      <w:bodyDiv w:val="1"/>
      <w:marLeft w:val="0"/>
      <w:marRight w:val="0"/>
      <w:marTop w:val="0"/>
      <w:marBottom w:val="0"/>
      <w:divBdr>
        <w:top w:val="none" w:sz="0" w:space="0" w:color="auto"/>
        <w:left w:val="none" w:sz="0" w:space="0" w:color="auto"/>
        <w:bottom w:val="none" w:sz="0" w:space="0" w:color="auto"/>
        <w:right w:val="none" w:sz="0" w:space="0" w:color="auto"/>
      </w:divBdr>
    </w:div>
    <w:div w:id="788816195">
      <w:bodyDiv w:val="1"/>
      <w:marLeft w:val="0"/>
      <w:marRight w:val="0"/>
      <w:marTop w:val="0"/>
      <w:marBottom w:val="0"/>
      <w:divBdr>
        <w:top w:val="none" w:sz="0" w:space="0" w:color="auto"/>
        <w:left w:val="none" w:sz="0" w:space="0" w:color="auto"/>
        <w:bottom w:val="none" w:sz="0" w:space="0" w:color="auto"/>
        <w:right w:val="none" w:sz="0" w:space="0" w:color="auto"/>
      </w:divBdr>
    </w:div>
    <w:div w:id="789978480">
      <w:bodyDiv w:val="1"/>
      <w:marLeft w:val="0"/>
      <w:marRight w:val="0"/>
      <w:marTop w:val="0"/>
      <w:marBottom w:val="0"/>
      <w:divBdr>
        <w:top w:val="none" w:sz="0" w:space="0" w:color="auto"/>
        <w:left w:val="none" w:sz="0" w:space="0" w:color="auto"/>
        <w:bottom w:val="none" w:sz="0" w:space="0" w:color="auto"/>
        <w:right w:val="none" w:sz="0" w:space="0" w:color="auto"/>
      </w:divBdr>
    </w:div>
    <w:div w:id="790518041">
      <w:bodyDiv w:val="1"/>
      <w:marLeft w:val="0"/>
      <w:marRight w:val="0"/>
      <w:marTop w:val="0"/>
      <w:marBottom w:val="0"/>
      <w:divBdr>
        <w:top w:val="none" w:sz="0" w:space="0" w:color="auto"/>
        <w:left w:val="none" w:sz="0" w:space="0" w:color="auto"/>
        <w:bottom w:val="none" w:sz="0" w:space="0" w:color="auto"/>
        <w:right w:val="none" w:sz="0" w:space="0" w:color="auto"/>
      </w:divBdr>
    </w:div>
    <w:div w:id="790632238">
      <w:bodyDiv w:val="1"/>
      <w:marLeft w:val="0"/>
      <w:marRight w:val="0"/>
      <w:marTop w:val="0"/>
      <w:marBottom w:val="0"/>
      <w:divBdr>
        <w:top w:val="none" w:sz="0" w:space="0" w:color="auto"/>
        <w:left w:val="none" w:sz="0" w:space="0" w:color="auto"/>
        <w:bottom w:val="none" w:sz="0" w:space="0" w:color="auto"/>
        <w:right w:val="none" w:sz="0" w:space="0" w:color="auto"/>
      </w:divBdr>
    </w:div>
    <w:div w:id="791098989">
      <w:bodyDiv w:val="1"/>
      <w:marLeft w:val="0"/>
      <w:marRight w:val="0"/>
      <w:marTop w:val="0"/>
      <w:marBottom w:val="0"/>
      <w:divBdr>
        <w:top w:val="none" w:sz="0" w:space="0" w:color="auto"/>
        <w:left w:val="none" w:sz="0" w:space="0" w:color="auto"/>
        <w:bottom w:val="none" w:sz="0" w:space="0" w:color="auto"/>
        <w:right w:val="none" w:sz="0" w:space="0" w:color="auto"/>
      </w:divBdr>
    </w:div>
    <w:div w:id="791557190">
      <w:bodyDiv w:val="1"/>
      <w:marLeft w:val="0"/>
      <w:marRight w:val="0"/>
      <w:marTop w:val="0"/>
      <w:marBottom w:val="0"/>
      <w:divBdr>
        <w:top w:val="none" w:sz="0" w:space="0" w:color="auto"/>
        <w:left w:val="none" w:sz="0" w:space="0" w:color="auto"/>
        <w:bottom w:val="none" w:sz="0" w:space="0" w:color="auto"/>
        <w:right w:val="none" w:sz="0" w:space="0" w:color="auto"/>
      </w:divBdr>
    </w:div>
    <w:div w:id="791941417">
      <w:bodyDiv w:val="1"/>
      <w:marLeft w:val="0"/>
      <w:marRight w:val="0"/>
      <w:marTop w:val="0"/>
      <w:marBottom w:val="0"/>
      <w:divBdr>
        <w:top w:val="none" w:sz="0" w:space="0" w:color="auto"/>
        <w:left w:val="none" w:sz="0" w:space="0" w:color="auto"/>
        <w:bottom w:val="none" w:sz="0" w:space="0" w:color="auto"/>
        <w:right w:val="none" w:sz="0" w:space="0" w:color="auto"/>
      </w:divBdr>
    </w:div>
    <w:div w:id="792797051">
      <w:bodyDiv w:val="1"/>
      <w:marLeft w:val="0"/>
      <w:marRight w:val="0"/>
      <w:marTop w:val="0"/>
      <w:marBottom w:val="0"/>
      <w:divBdr>
        <w:top w:val="none" w:sz="0" w:space="0" w:color="auto"/>
        <w:left w:val="none" w:sz="0" w:space="0" w:color="auto"/>
        <w:bottom w:val="none" w:sz="0" w:space="0" w:color="auto"/>
        <w:right w:val="none" w:sz="0" w:space="0" w:color="auto"/>
      </w:divBdr>
    </w:div>
    <w:div w:id="794909179">
      <w:bodyDiv w:val="1"/>
      <w:marLeft w:val="0"/>
      <w:marRight w:val="0"/>
      <w:marTop w:val="0"/>
      <w:marBottom w:val="0"/>
      <w:divBdr>
        <w:top w:val="none" w:sz="0" w:space="0" w:color="auto"/>
        <w:left w:val="none" w:sz="0" w:space="0" w:color="auto"/>
        <w:bottom w:val="none" w:sz="0" w:space="0" w:color="auto"/>
        <w:right w:val="none" w:sz="0" w:space="0" w:color="auto"/>
      </w:divBdr>
    </w:div>
    <w:div w:id="796024698">
      <w:bodyDiv w:val="1"/>
      <w:marLeft w:val="0"/>
      <w:marRight w:val="0"/>
      <w:marTop w:val="0"/>
      <w:marBottom w:val="0"/>
      <w:divBdr>
        <w:top w:val="none" w:sz="0" w:space="0" w:color="auto"/>
        <w:left w:val="none" w:sz="0" w:space="0" w:color="auto"/>
        <w:bottom w:val="none" w:sz="0" w:space="0" w:color="auto"/>
        <w:right w:val="none" w:sz="0" w:space="0" w:color="auto"/>
      </w:divBdr>
    </w:div>
    <w:div w:id="797331963">
      <w:bodyDiv w:val="1"/>
      <w:marLeft w:val="0"/>
      <w:marRight w:val="0"/>
      <w:marTop w:val="0"/>
      <w:marBottom w:val="0"/>
      <w:divBdr>
        <w:top w:val="none" w:sz="0" w:space="0" w:color="auto"/>
        <w:left w:val="none" w:sz="0" w:space="0" w:color="auto"/>
        <w:bottom w:val="none" w:sz="0" w:space="0" w:color="auto"/>
        <w:right w:val="none" w:sz="0" w:space="0" w:color="auto"/>
      </w:divBdr>
    </w:div>
    <w:div w:id="798910945">
      <w:bodyDiv w:val="1"/>
      <w:marLeft w:val="0"/>
      <w:marRight w:val="0"/>
      <w:marTop w:val="0"/>
      <w:marBottom w:val="0"/>
      <w:divBdr>
        <w:top w:val="none" w:sz="0" w:space="0" w:color="auto"/>
        <w:left w:val="none" w:sz="0" w:space="0" w:color="auto"/>
        <w:bottom w:val="none" w:sz="0" w:space="0" w:color="auto"/>
        <w:right w:val="none" w:sz="0" w:space="0" w:color="auto"/>
      </w:divBdr>
    </w:div>
    <w:div w:id="799152752">
      <w:bodyDiv w:val="1"/>
      <w:marLeft w:val="0"/>
      <w:marRight w:val="0"/>
      <w:marTop w:val="0"/>
      <w:marBottom w:val="0"/>
      <w:divBdr>
        <w:top w:val="none" w:sz="0" w:space="0" w:color="auto"/>
        <w:left w:val="none" w:sz="0" w:space="0" w:color="auto"/>
        <w:bottom w:val="none" w:sz="0" w:space="0" w:color="auto"/>
        <w:right w:val="none" w:sz="0" w:space="0" w:color="auto"/>
      </w:divBdr>
    </w:div>
    <w:div w:id="800612562">
      <w:bodyDiv w:val="1"/>
      <w:marLeft w:val="0"/>
      <w:marRight w:val="0"/>
      <w:marTop w:val="0"/>
      <w:marBottom w:val="0"/>
      <w:divBdr>
        <w:top w:val="none" w:sz="0" w:space="0" w:color="auto"/>
        <w:left w:val="none" w:sz="0" w:space="0" w:color="auto"/>
        <w:bottom w:val="none" w:sz="0" w:space="0" w:color="auto"/>
        <w:right w:val="none" w:sz="0" w:space="0" w:color="auto"/>
      </w:divBdr>
    </w:div>
    <w:div w:id="800923462">
      <w:bodyDiv w:val="1"/>
      <w:marLeft w:val="0"/>
      <w:marRight w:val="0"/>
      <w:marTop w:val="0"/>
      <w:marBottom w:val="0"/>
      <w:divBdr>
        <w:top w:val="none" w:sz="0" w:space="0" w:color="auto"/>
        <w:left w:val="none" w:sz="0" w:space="0" w:color="auto"/>
        <w:bottom w:val="none" w:sz="0" w:space="0" w:color="auto"/>
        <w:right w:val="none" w:sz="0" w:space="0" w:color="auto"/>
      </w:divBdr>
      <w:divsChild>
        <w:div w:id="1410158025">
          <w:marLeft w:val="0"/>
          <w:marRight w:val="0"/>
          <w:marTop w:val="0"/>
          <w:marBottom w:val="0"/>
          <w:divBdr>
            <w:top w:val="none" w:sz="0" w:space="0" w:color="auto"/>
            <w:left w:val="none" w:sz="0" w:space="0" w:color="auto"/>
            <w:bottom w:val="none" w:sz="0" w:space="0" w:color="auto"/>
            <w:right w:val="none" w:sz="0" w:space="0" w:color="auto"/>
          </w:divBdr>
          <w:divsChild>
            <w:div w:id="41775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9619">
      <w:bodyDiv w:val="1"/>
      <w:marLeft w:val="0"/>
      <w:marRight w:val="0"/>
      <w:marTop w:val="0"/>
      <w:marBottom w:val="0"/>
      <w:divBdr>
        <w:top w:val="none" w:sz="0" w:space="0" w:color="auto"/>
        <w:left w:val="none" w:sz="0" w:space="0" w:color="auto"/>
        <w:bottom w:val="none" w:sz="0" w:space="0" w:color="auto"/>
        <w:right w:val="none" w:sz="0" w:space="0" w:color="auto"/>
      </w:divBdr>
    </w:div>
    <w:div w:id="801994392">
      <w:bodyDiv w:val="1"/>
      <w:marLeft w:val="0"/>
      <w:marRight w:val="0"/>
      <w:marTop w:val="0"/>
      <w:marBottom w:val="0"/>
      <w:divBdr>
        <w:top w:val="none" w:sz="0" w:space="0" w:color="auto"/>
        <w:left w:val="none" w:sz="0" w:space="0" w:color="auto"/>
        <w:bottom w:val="none" w:sz="0" w:space="0" w:color="auto"/>
        <w:right w:val="none" w:sz="0" w:space="0" w:color="auto"/>
      </w:divBdr>
    </w:div>
    <w:div w:id="802502444">
      <w:bodyDiv w:val="1"/>
      <w:marLeft w:val="0"/>
      <w:marRight w:val="0"/>
      <w:marTop w:val="0"/>
      <w:marBottom w:val="0"/>
      <w:divBdr>
        <w:top w:val="none" w:sz="0" w:space="0" w:color="auto"/>
        <w:left w:val="none" w:sz="0" w:space="0" w:color="auto"/>
        <w:bottom w:val="none" w:sz="0" w:space="0" w:color="auto"/>
        <w:right w:val="none" w:sz="0" w:space="0" w:color="auto"/>
      </w:divBdr>
    </w:div>
    <w:div w:id="802699865">
      <w:bodyDiv w:val="1"/>
      <w:marLeft w:val="0"/>
      <w:marRight w:val="0"/>
      <w:marTop w:val="0"/>
      <w:marBottom w:val="0"/>
      <w:divBdr>
        <w:top w:val="none" w:sz="0" w:space="0" w:color="auto"/>
        <w:left w:val="none" w:sz="0" w:space="0" w:color="auto"/>
        <w:bottom w:val="none" w:sz="0" w:space="0" w:color="auto"/>
        <w:right w:val="none" w:sz="0" w:space="0" w:color="auto"/>
      </w:divBdr>
    </w:div>
    <w:div w:id="802967908">
      <w:bodyDiv w:val="1"/>
      <w:marLeft w:val="0"/>
      <w:marRight w:val="0"/>
      <w:marTop w:val="0"/>
      <w:marBottom w:val="0"/>
      <w:divBdr>
        <w:top w:val="none" w:sz="0" w:space="0" w:color="auto"/>
        <w:left w:val="none" w:sz="0" w:space="0" w:color="auto"/>
        <w:bottom w:val="none" w:sz="0" w:space="0" w:color="auto"/>
        <w:right w:val="none" w:sz="0" w:space="0" w:color="auto"/>
      </w:divBdr>
    </w:div>
    <w:div w:id="803039872">
      <w:bodyDiv w:val="1"/>
      <w:marLeft w:val="0"/>
      <w:marRight w:val="0"/>
      <w:marTop w:val="0"/>
      <w:marBottom w:val="0"/>
      <w:divBdr>
        <w:top w:val="none" w:sz="0" w:space="0" w:color="auto"/>
        <w:left w:val="none" w:sz="0" w:space="0" w:color="auto"/>
        <w:bottom w:val="none" w:sz="0" w:space="0" w:color="auto"/>
        <w:right w:val="none" w:sz="0" w:space="0" w:color="auto"/>
      </w:divBdr>
    </w:div>
    <w:div w:id="803355407">
      <w:bodyDiv w:val="1"/>
      <w:marLeft w:val="0"/>
      <w:marRight w:val="0"/>
      <w:marTop w:val="0"/>
      <w:marBottom w:val="0"/>
      <w:divBdr>
        <w:top w:val="none" w:sz="0" w:space="0" w:color="auto"/>
        <w:left w:val="none" w:sz="0" w:space="0" w:color="auto"/>
        <w:bottom w:val="none" w:sz="0" w:space="0" w:color="auto"/>
        <w:right w:val="none" w:sz="0" w:space="0" w:color="auto"/>
      </w:divBdr>
    </w:div>
    <w:div w:id="804664075">
      <w:bodyDiv w:val="1"/>
      <w:marLeft w:val="0"/>
      <w:marRight w:val="0"/>
      <w:marTop w:val="0"/>
      <w:marBottom w:val="0"/>
      <w:divBdr>
        <w:top w:val="none" w:sz="0" w:space="0" w:color="auto"/>
        <w:left w:val="none" w:sz="0" w:space="0" w:color="auto"/>
        <w:bottom w:val="none" w:sz="0" w:space="0" w:color="auto"/>
        <w:right w:val="none" w:sz="0" w:space="0" w:color="auto"/>
      </w:divBdr>
    </w:div>
    <w:div w:id="805045388">
      <w:bodyDiv w:val="1"/>
      <w:marLeft w:val="0"/>
      <w:marRight w:val="0"/>
      <w:marTop w:val="0"/>
      <w:marBottom w:val="0"/>
      <w:divBdr>
        <w:top w:val="none" w:sz="0" w:space="0" w:color="auto"/>
        <w:left w:val="none" w:sz="0" w:space="0" w:color="auto"/>
        <w:bottom w:val="none" w:sz="0" w:space="0" w:color="auto"/>
        <w:right w:val="none" w:sz="0" w:space="0" w:color="auto"/>
      </w:divBdr>
    </w:div>
    <w:div w:id="806044269">
      <w:bodyDiv w:val="1"/>
      <w:marLeft w:val="0"/>
      <w:marRight w:val="0"/>
      <w:marTop w:val="0"/>
      <w:marBottom w:val="0"/>
      <w:divBdr>
        <w:top w:val="none" w:sz="0" w:space="0" w:color="auto"/>
        <w:left w:val="none" w:sz="0" w:space="0" w:color="auto"/>
        <w:bottom w:val="none" w:sz="0" w:space="0" w:color="auto"/>
        <w:right w:val="none" w:sz="0" w:space="0" w:color="auto"/>
      </w:divBdr>
    </w:div>
    <w:div w:id="807208550">
      <w:bodyDiv w:val="1"/>
      <w:marLeft w:val="0"/>
      <w:marRight w:val="0"/>
      <w:marTop w:val="0"/>
      <w:marBottom w:val="0"/>
      <w:divBdr>
        <w:top w:val="none" w:sz="0" w:space="0" w:color="auto"/>
        <w:left w:val="none" w:sz="0" w:space="0" w:color="auto"/>
        <w:bottom w:val="none" w:sz="0" w:space="0" w:color="auto"/>
        <w:right w:val="none" w:sz="0" w:space="0" w:color="auto"/>
      </w:divBdr>
    </w:div>
    <w:div w:id="807555197">
      <w:bodyDiv w:val="1"/>
      <w:marLeft w:val="0"/>
      <w:marRight w:val="0"/>
      <w:marTop w:val="0"/>
      <w:marBottom w:val="0"/>
      <w:divBdr>
        <w:top w:val="none" w:sz="0" w:space="0" w:color="auto"/>
        <w:left w:val="none" w:sz="0" w:space="0" w:color="auto"/>
        <w:bottom w:val="none" w:sz="0" w:space="0" w:color="auto"/>
        <w:right w:val="none" w:sz="0" w:space="0" w:color="auto"/>
      </w:divBdr>
    </w:div>
    <w:div w:id="807556024">
      <w:bodyDiv w:val="1"/>
      <w:marLeft w:val="0"/>
      <w:marRight w:val="0"/>
      <w:marTop w:val="0"/>
      <w:marBottom w:val="0"/>
      <w:divBdr>
        <w:top w:val="none" w:sz="0" w:space="0" w:color="auto"/>
        <w:left w:val="none" w:sz="0" w:space="0" w:color="auto"/>
        <w:bottom w:val="none" w:sz="0" w:space="0" w:color="auto"/>
        <w:right w:val="none" w:sz="0" w:space="0" w:color="auto"/>
      </w:divBdr>
    </w:div>
    <w:div w:id="808210360">
      <w:bodyDiv w:val="1"/>
      <w:marLeft w:val="0"/>
      <w:marRight w:val="0"/>
      <w:marTop w:val="0"/>
      <w:marBottom w:val="0"/>
      <w:divBdr>
        <w:top w:val="none" w:sz="0" w:space="0" w:color="auto"/>
        <w:left w:val="none" w:sz="0" w:space="0" w:color="auto"/>
        <w:bottom w:val="none" w:sz="0" w:space="0" w:color="auto"/>
        <w:right w:val="none" w:sz="0" w:space="0" w:color="auto"/>
      </w:divBdr>
    </w:div>
    <w:div w:id="808788162">
      <w:bodyDiv w:val="1"/>
      <w:marLeft w:val="0"/>
      <w:marRight w:val="0"/>
      <w:marTop w:val="0"/>
      <w:marBottom w:val="0"/>
      <w:divBdr>
        <w:top w:val="none" w:sz="0" w:space="0" w:color="auto"/>
        <w:left w:val="none" w:sz="0" w:space="0" w:color="auto"/>
        <w:bottom w:val="none" w:sz="0" w:space="0" w:color="auto"/>
        <w:right w:val="none" w:sz="0" w:space="0" w:color="auto"/>
      </w:divBdr>
    </w:div>
    <w:div w:id="809057687">
      <w:bodyDiv w:val="1"/>
      <w:marLeft w:val="0"/>
      <w:marRight w:val="0"/>
      <w:marTop w:val="0"/>
      <w:marBottom w:val="0"/>
      <w:divBdr>
        <w:top w:val="none" w:sz="0" w:space="0" w:color="auto"/>
        <w:left w:val="none" w:sz="0" w:space="0" w:color="auto"/>
        <w:bottom w:val="none" w:sz="0" w:space="0" w:color="auto"/>
        <w:right w:val="none" w:sz="0" w:space="0" w:color="auto"/>
      </w:divBdr>
    </w:div>
    <w:div w:id="809329444">
      <w:bodyDiv w:val="1"/>
      <w:marLeft w:val="0"/>
      <w:marRight w:val="0"/>
      <w:marTop w:val="0"/>
      <w:marBottom w:val="0"/>
      <w:divBdr>
        <w:top w:val="none" w:sz="0" w:space="0" w:color="auto"/>
        <w:left w:val="none" w:sz="0" w:space="0" w:color="auto"/>
        <w:bottom w:val="none" w:sz="0" w:space="0" w:color="auto"/>
        <w:right w:val="none" w:sz="0" w:space="0" w:color="auto"/>
      </w:divBdr>
    </w:div>
    <w:div w:id="809597416">
      <w:bodyDiv w:val="1"/>
      <w:marLeft w:val="0"/>
      <w:marRight w:val="0"/>
      <w:marTop w:val="0"/>
      <w:marBottom w:val="0"/>
      <w:divBdr>
        <w:top w:val="none" w:sz="0" w:space="0" w:color="auto"/>
        <w:left w:val="none" w:sz="0" w:space="0" w:color="auto"/>
        <w:bottom w:val="none" w:sz="0" w:space="0" w:color="auto"/>
        <w:right w:val="none" w:sz="0" w:space="0" w:color="auto"/>
      </w:divBdr>
    </w:div>
    <w:div w:id="809598317">
      <w:bodyDiv w:val="1"/>
      <w:marLeft w:val="0"/>
      <w:marRight w:val="0"/>
      <w:marTop w:val="0"/>
      <w:marBottom w:val="0"/>
      <w:divBdr>
        <w:top w:val="none" w:sz="0" w:space="0" w:color="auto"/>
        <w:left w:val="none" w:sz="0" w:space="0" w:color="auto"/>
        <w:bottom w:val="none" w:sz="0" w:space="0" w:color="auto"/>
        <w:right w:val="none" w:sz="0" w:space="0" w:color="auto"/>
      </w:divBdr>
    </w:div>
    <w:div w:id="809633738">
      <w:bodyDiv w:val="1"/>
      <w:marLeft w:val="0"/>
      <w:marRight w:val="0"/>
      <w:marTop w:val="0"/>
      <w:marBottom w:val="0"/>
      <w:divBdr>
        <w:top w:val="none" w:sz="0" w:space="0" w:color="auto"/>
        <w:left w:val="none" w:sz="0" w:space="0" w:color="auto"/>
        <w:bottom w:val="none" w:sz="0" w:space="0" w:color="auto"/>
        <w:right w:val="none" w:sz="0" w:space="0" w:color="auto"/>
      </w:divBdr>
    </w:div>
    <w:div w:id="809982512">
      <w:bodyDiv w:val="1"/>
      <w:marLeft w:val="0"/>
      <w:marRight w:val="0"/>
      <w:marTop w:val="0"/>
      <w:marBottom w:val="0"/>
      <w:divBdr>
        <w:top w:val="none" w:sz="0" w:space="0" w:color="auto"/>
        <w:left w:val="none" w:sz="0" w:space="0" w:color="auto"/>
        <w:bottom w:val="none" w:sz="0" w:space="0" w:color="auto"/>
        <w:right w:val="none" w:sz="0" w:space="0" w:color="auto"/>
      </w:divBdr>
    </w:div>
    <w:div w:id="810052210">
      <w:bodyDiv w:val="1"/>
      <w:marLeft w:val="0"/>
      <w:marRight w:val="0"/>
      <w:marTop w:val="0"/>
      <w:marBottom w:val="0"/>
      <w:divBdr>
        <w:top w:val="none" w:sz="0" w:space="0" w:color="auto"/>
        <w:left w:val="none" w:sz="0" w:space="0" w:color="auto"/>
        <w:bottom w:val="none" w:sz="0" w:space="0" w:color="auto"/>
        <w:right w:val="none" w:sz="0" w:space="0" w:color="auto"/>
      </w:divBdr>
    </w:div>
    <w:div w:id="810098181">
      <w:bodyDiv w:val="1"/>
      <w:marLeft w:val="0"/>
      <w:marRight w:val="0"/>
      <w:marTop w:val="0"/>
      <w:marBottom w:val="0"/>
      <w:divBdr>
        <w:top w:val="none" w:sz="0" w:space="0" w:color="auto"/>
        <w:left w:val="none" w:sz="0" w:space="0" w:color="auto"/>
        <w:bottom w:val="none" w:sz="0" w:space="0" w:color="auto"/>
        <w:right w:val="none" w:sz="0" w:space="0" w:color="auto"/>
      </w:divBdr>
    </w:div>
    <w:div w:id="810173628">
      <w:bodyDiv w:val="1"/>
      <w:marLeft w:val="0"/>
      <w:marRight w:val="0"/>
      <w:marTop w:val="0"/>
      <w:marBottom w:val="0"/>
      <w:divBdr>
        <w:top w:val="none" w:sz="0" w:space="0" w:color="auto"/>
        <w:left w:val="none" w:sz="0" w:space="0" w:color="auto"/>
        <w:bottom w:val="none" w:sz="0" w:space="0" w:color="auto"/>
        <w:right w:val="none" w:sz="0" w:space="0" w:color="auto"/>
      </w:divBdr>
    </w:div>
    <w:div w:id="811753317">
      <w:bodyDiv w:val="1"/>
      <w:marLeft w:val="0"/>
      <w:marRight w:val="0"/>
      <w:marTop w:val="0"/>
      <w:marBottom w:val="0"/>
      <w:divBdr>
        <w:top w:val="none" w:sz="0" w:space="0" w:color="auto"/>
        <w:left w:val="none" w:sz="0" w:space="0" w:color="auto"/>
        <w:bottom w:val="none" w:sz="0" w:space="0" w:color="auto"/>
        <w:right w:val="none" w:sz="0" w:space="0" w:color="auto"/>
      </w:divBdr>
    </w:div>
    <w:div w:id="811825414">
      <w:bodyDiv w:val="1"/>
      <w:marLeft w:val="0"/>
      <w:marRight w:val="0"/>
      <w:marTop w:val="0"/>
      <w:marBottom w:val="0"/>
      <w:divBdr>
        <w:top w:val="none" w:sz="0" w:space="0" w:color="auto"/>
        <w:left w:val="none" w:sz="0" w:space="0" w:color="auto"/>
        <w:bottom w:val="none" w:sz="0" w:space="0" w:color="auto"/>
        <w:right w:val="none" w:sz="0" w:space="0" w:color="auto"/>
      </w:divBdr>
    </w:div>
    <w:div w:id="812798048">
      <w:bodyDiv w:val="1"/>
      <w:marLeft w:val="0"/>
      <w:marRight w:val="0"/>
      <w:marTop w:val="0"/>
      <w:marBottom w:val="0"/>
      <w:divBdr>
        <w:top w:val="none" w:sz="0" w:space="0" w:color="auto"/>
        <w:left w:val="none" w:sz="0" w:space="0" w:color="auto"/>
        <w:bottom w:val="none" w:sz="0" w:space="0" w:color="auto"/>
        <w:right w:val="none" w:sz="0" w:space="0" w:color="auto"/>
      </w:divBdr>
    </w:div>
    <w:div w:id="812916782">
      <w:bodyDiv w:val="1"/>
      <w:marLeft w:val="0"/>
      <w:marRight w:val="0"/>
      <w:marTop w:val="0"/>
      <w:marBottom w:val="0"/>
      <w:divBdr>
        <w:top w:val="none" w:sz="0" w:space="0" w:color="auto"/>
        <w:left w:val="none" w:sz="0" w:space="0" w:color="auto"/>
        <w:bottom w:val="none" w:sz="0" w:space="0" w:color="auto"/>
        <w:right w:val="none" w:sz="0" w:space="0" w:color="auto"/>
      </w:divBdr>
    </w:div>
    <w:div w:id="813372356">
      <w:bodyDiv w:val="1"/>
      <w:marLeft w:val="0"/>
      <w:marRight w:val="0"/>
      <w:marTop w:val="0"/>
      <w:marBottom w:val="0"/>
      <w:divBdr>
        <w:top w:val="none" w:sz="0" w:space="0" w:color="auto"/>
        <w:left w:val="none" w:sz="0" w:space="0" w:color="auto"/>
        <w:bottom w:val="none" w:sz="0" w:space="0" w:color="auto"/>
        <w:right w:val="none" w:sz="0" w:space="0" w:color="auto"/>
      </w:divBdr>
    </w:div>
    <w:div w:id="814251973">
      <w:bodyDiv w:val="1"/>
      <w:marLeft w:val="0"/>
      <w:marRight w:val="0"/>
      <w:marTop w:val="0"/>
      <w:marBottom w:val="0"/>
      <w:divBdr>
        <w:top w:val="none" w:sz="0" w:space="0" w:color="auto"/>
        <w:left w:val="none" w:sz="0" w:space="0" w:color="auto"/>
        <w:bottom w:val="none" w:sz="0" w:space="0" w:color="auto"/>
        <w:right w:val="none" w:sz="0" w:space="0" w:color="auto"/>
      </w:divBdr>
    </w:div>
    <w:div w:id="815226664">
      <w:bodyDiv w:val="1"/>
      <w:marLeft w:val="0"/>
      <w:marRight w:val="0"/>
      <w:marTop w:val="0"/>
      <w:marBottom w:val="0"/>
      <w:divBdr>
        <w:top w:val="none" w:sz="0" w:space="0" w:color="auto"/>
        <w:left w:val="none" w:sz="0" w:space="0" w:color="auto"/>
        <w:bottom w:val="none" w:sz="0" w:space="0" w:color="auto"/>
        <w:right w:val="none" w:sz="0" w:space="0" w:color="auto"/>
      </w:divBdr>
    </w:div>
    <w:div w:id="817189349">
      <w:bodyDiv w:val="1"/>
      <w:marLeft w:val="0"/>
      <w:marRight w:val="0"/>
      <w:marTop w:val="0"/>
      <w:marBottom w:val="0"/>
      <w:divBdr>
        <w:top w:val="none" w:sz="0" w:space="0" w:color="auto"/>
        <w:left w:val="none" w:sz="0" w:space="0" w:color="auto"/>
        <w:bottom w:val="none" w:sz="0" w:space="0" w:color="auto"/>
        <w:right w:val="none" w:sz="0" w:space="0" w:color="auto"/>
      </w:divBdr>
    </w:div>
    <w:div w:id="817838762">
      <w:bodyDiv w:val="1"/>
      <w:marLeft w:val="0"/>
      <w:marRight w:val="0"/>
      <w:marTop w:val="0"/>
      <w:marBottom w:val="0"/>
      <w:divBdr>
        <w:top w:val="none" w:sz="0" w:space="0" w:color="auto"/>
        <w:left w:val="none" w:sz="0" w:space="0" w:color="auto"/>
        <w:bottom w:val="none" w:sz="0" w:space="0" w:color="auto"/>
        <w:right w:val="none" w:sz="0" w:space="0" w:color="auto"/>
      </w:divBdr>
    </w:div>
    <w:div w:id="818376260">
      <w:bodyDiv w:val="1"/>
      <w:marLeft w:val="0"/>
      <w:marRight w:val="0"/>
      <w:marTop w:val="0"/>
      <w:marBottom w:val="0"/>
      <w:divBdr>
        <w:top w:val="none" w:sz="0" w:space="0" w:color="auto"/>
        <w:left w:val="none" w:sz="0" w:space="0" w:color="auto"/>
        <w:bottom w:val="none" w:sz="0" w:space="0" w:color="auto"/>
        <w:right w:val="none" w:sz="0" w:space="0" w:color="auto"/>
      </w:divBdr>
    </w:div>
    <w:div w:id="819538650">
      <w:bodyDiv w:val="1"/>
      <w:marLeft w:val="0"/>
      <w:marRight w:val="0"/>
      <w:marTop w:val="0"/>
      <w:marBottom w:val="0"/>
      <w:divBdr>
        <w:top w:val="none" w:sz="0" w:space="0" w:color="auto"/>
        <w:left w:val="none" w:sz="0" w:space="0" w:color="auto"/>
        <w:bottom w:val="none" w:sz="0" w:space="0" w:color="auto"/>
        <w:right w:val="none" w:sz="0" w:space="0" w:color="auto"/>
      </w:divBdr>
    </w:div>
    <w:div w:id="820073146">
      <w:bodyDiv w:val="1"/>
      <w:marLeft w:val="0"/>
      <w:marRight w:val="0"/>
      <w:marTop w:val="0"/>
      <w:marBottom w:val="0"/>
      <w:divBdr>
        <w:top w:val="none" w:sz="0" w:space="0" w:color="auto"/>
        <w:left w:val="none" w:sz="0" w:space="0" w:color="auto"/>
        <w:bottom w:val="none" w:sz="0" w:space="0" w:color="auto"/>
        <w:right w:val="none" w:sz="0" w:space="0" w:color="auto"/>
      </w:divBdr>
    </w:div>
    <w:div w:id="820148274">
      <w:bodyDiv w:val="1"/>
      <w:marLeft w:val="0"/>
      <w:marRight w:val="0"/>
      <w:marTop w:val="0"/>
      <w:marBottom w:val="0"/>
      <w:divBdr>
        <w:top w:val="none" w:sz="0" w:space="0" w:color="auto"/>
        <w:left w:val="none" w:sz="0" w:space="0" w:color="auto"/>
        <w:bottom w:val="none" w:sz="0" w:space="0" w:color="auto"/>
        <w:right w:val="none" w:sz="0" w:space="0" w:color="auto"/>
      </w:divBdr>
    </w:div>
    <w:div w:id="821197574">
      <w:bodyDiv w:val="1"/>
      <w:marLeft w:val="0"/>
      <w:marRight w:val="0"/>
      <w:marTop w:val="0"/>
      <w:marBottom w:val="0"/>
      <w:divBdr>
        <w:top w:val="none" w:sz="0" w:space="0" w:color="auto"/>
        <w:left w:val="none" w:sz="0" w:space="0" w:color="auto"/>
        <w:bottom w:val="none" w:sz="0" w:space="0" w:color="auto"/>
        <w:right w:val="none" w:sz="0" w:space="0" w:color="auto"/>
      </w:divBdr>
    </w:div>
    <w:div w:id="823279733">
      <w:bodyDiv w:val="1"/>
      <w:marLeft w:val="0"/>
      <w:marRight w:val="0"/>
      <w:marTop w:val="0"/>
      <w:marBottom w:val="0"/>
      <w:divBdr>
        <w:top w:val="none" w:sz="0" w:space="0" w:color="auto"/>
        <w:left w:val="none" w:sz="0" w:space="0" w:color="auto"/>
        <w:bottom w:val="none" w:sz="0" w:space="0" w:color="auto"/>
        <w:right w:val="none" w:sz="0" w:space="0" w:color="auto"/>
      </w:divBdr>
    </w:div>
    <w:div w:id="824200072">
      <w:bodyDiv w:val="1"/>
      <w:marLeft w:val="0"/>
      <w:marRight w:val="0"/>
      <w:marTop w:val="0"/>
      <w:marBottom w:val="0"/>
      <w:divBdr>
        <w:top w:val="none" w:sz="0" w:space="0" w:color="auto"/>
        <w:left w:val="none" w:sz="0" w:space="0" w:color="auto"/>
        <w:bottom w:val="none" w:sz="0" w:space="0" w:color="auto"/>
        <w:right w:val="none" w:sz="0" w:space="0" w:color="auto"/>
      </w:divBdr>
    </w:div>
    <w:div w:id="824323588">
      <w:bodyDiv w:val="1"/>
      <w:marLeft w:val="0"/>
      <w:marRight w:val="0"/>
      <w:marTop w:val="0"/>
      <w:marBottom w:val="0"/>
      <w:divBdr>
        <w:top w:val="none" w:sz="0" w:space="0" w:color="auto"/>
        <w:left w:val="none" w:sz="0" w:space="0" w:color="auto"/>
        <w:bottom w:val="none" w:sz="0" w:space="0" w:color="auto"/>
        <w:right w:val="none" w:sz="0" w:space="0" w:color="auto"/>
      </w:divBdr>
    </w:div>
    <w:div w:id="824780244">
      <w:bodyDiv w:val="1"/>
      <w:marLeft w:val="0"/>
      <w:marRight w:val="0"/>
      <w:marTop w:val="0"/>
      <w:marBottom w:val="0"/>
      <w:divBdr>
        <w:top w:val="none" w:sz="0" w:space="0" w:color="auto"/>
        <w:left w:val="none" w:sz="0" w:space="0" w:color="auto"/>
        <w:bottom w:val="none" w:sz="0" w:space="0" w:color="auto"/>
        <w:right w:val="none" w:sz="0" w:space="0" w:color="auto"/>
      </w:divBdr>
    </w:div>
    <w:div w:id="825628111">
      <w:bodyDiv w:val="1"/>
      <w:marLeft w:val="0"/>
      <w:marRight w:val="0"/>
      <w:marTop w:val="0"/>
      <w:marBottom w:val="0"/>
      <w:divBdr>
        <w:top w:val="none" w:sz="0" w:space="0" w:color="auto"/>
        <w:left w:val="none" w:sz="0" w:space="0" w:color="auto"/>
        <w:bottom w:val="none" w:sz="0" w:space="0" w:color="auto"/>
        <w:right w:val="none" w:sz="0" w:space="0" w:color="auto"/>
      </w:divBdr>
    </w:div>
    <w:div w:id="826168900">
      <w:bodyDiv w:val="1"/>
      <w:marLeft w:val="0"/>
      <w:marRight w:val="0"/>
      <w:marTop w:val="0"/>
      <w:marBottom w:val="0"/>
      <w:divBdr>
        <w:top w:val="none" w:sz="0" w:space="0" w:color="auto"/>
        <w:left w:val="none" w:sz="0" w:space="0" w:color="auto"/>
        <w:bottom w:val="none" w:sz="0" w:space="0" w:color="auto"/>
        <w:right w:val="none" w:sz="0" w:space="0" w:color="auto"/>
      </w:divBdr>
    </w:div>
    <w:div w:id="826290758">
      <w:bodyDiv w:val="1"/>
      <w:marLeft w:val="0"/>
      <w:marRight w:val="0"/>
      <w:marTop w:val="0"/>
      <w:marBottom w:val="0"/>
      <w:divBdr>
        <w:top w:val="none" w:sz="0" w:space="0" w:color="auto"/>
        <w:left w:val="none" w:sz="0" w:space="0" w:color="auto"/>
        <w:bottom w:val="none" w:sz="0" w:space="0" w:color="auto"/>
        <w:right w:val="none" w:sz="0" w:space="0" w:color="auto"/>
      </w:divBdr>
    </w:div>
    <w:div w:id="827675193">
      <w:bodyDiv w:val="1"/>
      <w:marLeft w:val="0"/>
      <w:marRight w:val="0"/>
      <w:marTop w:val="0"/>
      <w:marBottom w:val="0"/>
      <w:divBdr>
        <w:top w:val="none" w:sz="0" w:space="0" w:color="auto"/>
        <w:left w:val="none" w:sz="0" w:space="0" w:color="auto"/>
        <w:bottom w:val="none" w:sz="0" w:space="0" w:color="auto"/>
        <w:right w:val="none" w:sz="0" w:space="0" w:color="auto"/>
      </w:divBdr>
    </w:div>
    <w:div w:id="827752231">
      <w:bodyDiv w:val="1"/>
      <w:marLeft w:val="0"/>
      <w:marRight w:val="0"/>
      <w:marTop w:val="0"/>
      <w:marBottom w:val="0"/>
      <w:divBdr>
        <w:top w:val="none" w:sz="0" w:space="0" w:color="auto"/>
        <w:left w:val="none" w:sz="0" w:space="0" w:color="auto"/>
        <w:bottom w:val="none" w:sz="0" w:space="0" w:color="auto"/>
        <w:right w:val="none" w:sz="0" w:space="0" w:color="auto"/>
      </w:divBdr>
    </w:div>
    <w:div w:id="827942414">
      <w:bodyDiv w:val="1"/>
      <w:marLeft w:val="0"/>
      <w:marRight w:val="0"/>
      <w:marTop w:val="0"/>
      <w:marBottom w:val="0"/>
      <w:divBdr>
        <w:top w:val="none" w:sz="0" w:space="0" w:color="auto"/>
        <w:left w:val="none" w:sz="0" w:space="0" w:color="auto"/>
        <w:bottom w:val="none" w:sz="0" w:space="0" w:color="auto"/>
        <w:right w:val="none" w:sz="0" w:space="0" w:color="auto"/>
      </w:divBdr>
    </w:div>
    <w:div w:id="828787953">
      <w:bodyDiv w:val="1"/>
      <w:marLeft w:val="0"/>
      <w:marRight w:val="0"/>
      <w:marTop w:val="0"/>
      <w:marBottom w:val="0"/>
      <w:divBdr>
        <w:top w:val="none" w:sz="0" w:space="0" w:color="auto"/>
        <w:left w:val="none" w:sz="0" w:space="0" w:color="auto"/>
        <w:bottom w:val="none" w:sz="0" w:space="0" w:color="auto"/>
        <w:right w:val="none" w:sz="0" w:space="0" w:color="auto"/>
      </w:divBdr>
    </w:div>
    <w:div w:id="829253552">
      <w:bodyDiv w:val="1"/>
      <w:marLeft w:val="0"/>
      <w:marRight w:val="0"/>
      <w:marTop w:val="0"/>
      <w:marBottom w:val="0"/>
      <w:divBdr>
        <w:top w:val="none" w:sz="0" w:space="0" w:color="auto"/>
        <w:left w:val="none" w:sz="0" w:space="0" w:color="auto"/>
        <w:bottom w:val="none" w:sz="0" w:space="0" w:color="auto"/>
        <w:right w:val="none" w:sz="0" w:space="0" w:color="auto"/>
      </w:divBdr>
    </w:div>
    <w:div w:id="829373586">
      <w:bodyDiv w:val="1"/>
      <w:marLeft w:val="0"/>
      <w:marRight w:val="0"/>
      <w:marTop w:val="0"/>
      <w:marBottom w:val="0"/>
      <w:divBdr>
        <w:top w:val="none" w:sz="0" w:space="0" w:color="auto"/>
        <w:left w:val="none" w:sz="0" w:space="0" w:color="auto"/>
        <w:bottom w:val="none" w:sz="0" w:space="0" w:color="auto"/>
        <w:right w:val="none" w:sz="0" w:space="0" w:color="auto"/>
      </w:divBdr>
    </w:div>
    <w:div w:id="830411213">
      <w:bodyDiv w:val="1"/>
      <w:marLeft w:val="0"/>
      <w:marRight w:val="0"/>
      <w:marTop w:val="0"/>
      <w:marBottom w:val="0"/>
      <w:divBdr>
        <w:top w:val="none" w:sz="0" w:space="0" w:color="auto"/>
        <w:left w:val="none" w:sz="0" w:space="0" w:color="auto"/>
        <w:bottom w:val="none" w:sz="0" w:space="0" w:color="auto"/>
        <w:right w:val="none" w:sz="0" w:space="0" w:color="auto"/>
      </w:divBdr>
    </w:div>
    <w:div w:id="832768225">
      <w:bodyDiv w:val="1"/>
      <w:marLeft w:val="0"/>
      <w:marRight w:val="0"/>
      <w:marTop w:val="0"/>
      <w:marBottom w:val="0"/>
      <w:divBdr>
        <w:top w:val="none" w:sz="0" w:space="0" w:color="auto"/>
        <w:left w:val="none" w:sz="0" w:space="0" w:color="auto"/>
        <w:bottom w:val="none" w:sz="0" w:space="0" w:color="auto"/>
        <w:right w:val="none" w:sz="0" w:space="0" w:color="auto"/>
      </w:divBdr>
    </w:div>
    <w:div w:id="832915211">
      <w:bodyDiv w:val="1"/>
      <w:marLeft w:val="0"/>
      <w:marRight w:val="0"/>
      <w:marTop w:val="0"/>
      <w:marBottom w:val="0"/>
      <w:divBdr>
        <w:top w:val="none" w:sz="0" w:space="0" w:color="auto"/>
        <w:left w:val="none" w:sz="0" w:space="0" w:color="auto"/>
        <w:bottom w:val="none" w:sz="0" w:space="0" w:color="auto"/>
        <w:right w:val="none" w:sz="0" w:space="0" w:color="auto"/>
      </w:divBdr>
    </w:div>
    <w:div w:id="833186248">
      <w:bodyDiv w:val="1"/>
      <w:marLeft w:val="0"/>
      <w:marRight w:val="0"/>
      <w:marTop w:val="0"/>
      <w:marBottom w:val="0"/>
      <w:divBdr>
        <w:top w:val="none" w:sz="0" w:space="0" w:color="auto"/>
        <w:left w:val="none" w:sz="0" w:space="0" w:color="auto"/>
        <w:bottom w:val="none" w:sz="0" w:space="0" w:color="auto"/>
        <w:right w:val="none" w:sz="0" w:space="0" w:color="auto"/>
      </w:divBdr>
    </w:div>
    <w:div w:id="834951064">
      <w:bodyDiv w:val="1"/>
      <w:marLeft w:val="0"/>
      <w:marRight w:val="0"/>
      <w:marTop w:val="0"/>
      <w:marBottom w:val="0"/>
      <w:divBdr>
        <w:top w:val="none" w:sz="0" w:space="0" w:color="auto"/>
        <w:left w:val="none" w:sz="0" w:space="0" w:color="auto"/>
        <w:bottom w:val="none" w:sz="0" w:space="0" w:color="auto"/>
        <w:right w:val="none" w:sz="0" w:space="0" w:color="auto"/>
      </w:divBdr>
    </w:div>
    <w:div w:id="836068267">
      <w:bodyDiv w:val="1"/>
      <w:marLeft w:val="0"/>
      <w:marRight w:val="0"/>
      <w:marTop w:val="0"/>
      <w:marBottom w:val="0"/>
      <w:divBdr>
        <w:top w:val="none" w:sz="0" w:space="0" w:color="auto"/>
        <w:left w:val="none" w:sz="0" w:space="0" w:color="auto"/>
        <w:bottom w:val="none" w:sz="0" w:space="0" w:color="auto"/>
        <w:right w:val="none" w:sz="0" w:space="0" w:color="auto"/>
      </w:divBdr>
    </w:div>
    <w:div w:id="836533240">
      <w:bodyDiv w:val="1"/>
      <w:marLeft w:val="0"/>
      <w:marRight w:val="0"/>
      <w:marTop w:val="0"/>
      <w:marBottom w:val="0"/>
      <w:divBdr>
        <w:top w:val="none" w:sz="0" w:space="0" w:color="auto"/>
        <w:left w:val="none" w:sz="0" w:space="0" w:color="auto"/>
        <w:bottom w:val="none" w:sz="0" w:space="0" w:color="auto"/>
        <w:right w:val="none" w:sz="0" w:space="0" w:color="auto"/>
      </w:divBdr>
    </w:div>
    <w:div w:id="836575377">
      <w:bodyDiv w:val="1"/>
      <w:marLeft w:val="0"/>
      <w:marRight w:val="0"/>
      <w:marTop w:val="0"/>
      <w:marBottom w:val="0"/>
      <w:divBdr>
        <w:top w:val="none" w:sz="0" w:space="0" w:color="auto"/>
        <w:left w:val="none" w:sz="0" w:space="0" w:color="auto"/>
        <w:bottom w:val="none" w:sz="0" w:space="0" w:color="auto"/>
        <w:right w:val="none" w:sz="0" w:space="0" w:color="auto"/>
      </w:divBdr>
    </w:div>
    <w:div w:id="837428597">
      <w:bodyDiv w:val="1"/>
      <w:marLeft w:val="0"/>
      <w:marRight w:val="0"/>
      <w:marTop w:val="0"/>
      <w:marBottom w:val="0"/>
      <w:divBdr>
        <w:top w:val="none" w:sz="0" w:space="0" w:color="auto"/>
        <w:left w:val="none" w:sz="0" w:space="0" w:color="auto"/>
        <w:bottom w:val="none" w:sz="0" w:space="0" w:color="auto"/>
        <w:right w:val="none" w:sz="0" w:space="0" w:color="auto"/>
      </w:divBdr>
    </w:div>
    <w:div w:id="837497545">
      <w:bodyDiv w:val="1"/>
      <w:marLeft w:val="0"/>
      <w:marRight w:val="0"/>
      <w:marTop w:val="0"/>
      <w:marBottom w:val="0"/>
      <w:divBdr>
        <w:top w:val="none" w:sz="0" w:space="0" w:color="auto"/>
        <w:left w:val="none" w:sz="0" w:space="0" w:color="auto"/>
        <w:bottom w:val="none" w:sz="0" w:space="0" w:color="auto"/>
        <w:right w:val="none" w:sz="0" w:space="0" w:color="auto"/>
      </w:divBdr>
    </w:div>
    <w:div w:id="837616238">
      <w:bodyDiv w:val="1"/>
      <w:marLeft w:val="0"/>
      <w:marRight w:val="0"/>
      <w:marTop w:val="0"/>
      <w:marBottom w:val="0"/>
      <w:divBdr>
        <w:top w:val="none" w:sz="0" w:space="0" w:color="auto"/>
        <w:left w:val="none" w:sz="0" w:space="0" w:color="auto"/>
        <w:bottom w:val="none" w:sz="0" w:space="0" w:color="auto"/>
        <w:right w:val="none" w:sz="0" w:space="0" w:color="auto"/>
      </w:divBdr>
    </w:div>
    <w:div w:id="838038051">
      <w:bodyDiv w:val="1"/>
      <w:marLeft w:val="0"/>
      <w:marRight w:val="0"/>
      <w:marTop w:val="0"/>
      <w:marBottom w:val="0"/>
      <w:divBdr>
        <w:top w:val="none" w:sz="0" w:space="0" w:color="auto"/>
        <w:left w:val="none" w:sz="0" w:space="0" w:color="auto"/>
        <w:bottom w:val="none" w:sz="0" w:space="0" w:color="auto"/>
        <w:right w:val="none" w:sz="0" w:space="0" w:color="auto"/>
      </w:divBdr>
    </w:div>
    <w:div w:id="838076627">
      <w:bodyDiv w:val="1"/>
      <w:marLeft w:val="0"/>
      <w:marRight w:val="0"/>
      <w:marTop w:val="0"/>
      <w:marBottom w:val="0"/>
      <w:divBdr>
        <w:top w:val="none" w:sz="0" w:space="0" w:color="auto"/>
        <w:left w:val="none" w:sz="0" w:space="0" w:color="auto"/>
        <w:bottom w:val="none" w:sz="0" w:space="0" w:color="auto"/>
        <w:right w:val="none" w:sz="0" w:space="0" w:color="auto"/>
      </w:divBdr>
    </w:div>
    <w:div w:id="839269475">
      <w:bodyDiv w:val="1"/>
      <w:marLeft w:val="0"/>
      <w:marRight w:val="0"/>
      <w:marTop w:val="0"/>
      <w:marBottom w:val="0"/>
      <w:divBdr>
        <w:top w:val="none" w:sz="0" w:space="0" w:color="auto"/>
        <w:left w:val="none" w:sz="0" w:space="0" w:color="auto"/>
        <w:bottom w:val="none" w:sz="0" w:space="0" w:color="auto"/>
        <w:right w:val="none" w:sz="0" w:space="0" w:color="auto"/>
      </w:divBdr>
    </w:div>
    <w:div w:id="840244954">
      <w:bodyDiv w:val="1"/>
      <w:marLeft w:val="0"/>
      <w:marRight w:val="0"/>
      <w:marTop w:val="0"/>
      <w:marBottom w:val="0"/>
      <w:divBdr>
        <w:top w:val="none" w:sz="0" w:space="0" w:color="auto"/>
        <w:left w:val="none" w:sz="0" w:space="0" w:color="auto"/>
        <w:bottom w:val="none" w:sz="0" w:space="0" w:color="auto"/>
        <w:right w:val="none" w:sz="0" w:space="0" w:color="auto"/>
      </w:divBdr>
    </w:div>
    <w:div w:id="840463120">
      <w:bodyDiv w:val="1"/>
      <w:marLeft w:val="0"/>
      <w:marRight w:val="0"/>
      <w:marTop w:val="0"/>
      <w:marBottom w:val="0"/>
      <w:divBdr>
        <w:top w:val="none" w:sz="0" w:space="0" w:color="auto"/>
        <w:left w:val="none" w:sz="0" w:space="0" w:color="auto"/>
        <w:bottom w:val="none" w:sz="0" w:space="0" w:color="auto"/>
        <w:right w:val="none" w:sz="0" w:space="0" w:color="auto"/>
      </w:divBdr>
    </w:div>
    <w:div w:id="840706594">
      <w:bodyDiv w:val="1"/>
      <w:marLeft w:val="0"/>
      <w:marRight w:val="0"/>
      <w:marTop w:val="0"/>
      <w:marBottom w:val="0"/>
      <w:divBdr>
        <w:top w:val="none" w:sz="0" w:space="0" w:color="auto"/>
        <w:left w:val="none" w:sz="0" w:space="0" w:color="auto"/>
        <w:bottom w:val="none" w:sz="0" w:space="0" w:color="auto"/>
        <w:right w:val="none" w:sz="0" w:space="0" w:color="auto"/>
      </w:divBdr>
    </w:div>
    <w:div w:id="841049640">
      <w:bodyDiv w:val="1"/>
      <w:marLeft w:val="0"/>
      <w:marRight w:val="0"/>
      <w:marTop w:val="0"/>
      <w:marBottom w:val="0"/>
      <w:divBdr>
        <w:top w:val="none" w:sz="0" w:space="0" w:color="auto"/>
        <w:left w:val="none" w:sz="0" w:space="0" w:color="auto"/>
        <w:bottom w:val="none" w:sz="0" w:space="0" w:color="auto"/>
        <w:right w:val="none" w:sz="0" w:space="0" w:color="auto"/>
      </w:divBdr>
    </w:div>
    <w:div w:id="841941818">
      <w:bodyDiv w:val="1"/>
      <w:marLeft w:val="0"/>
      <w:marRight w:val="0"/>
      <w:marTop w:val="0"/>
      <w:marBottom w:val="0"/>
      <w:divBdr>
        <w:top w:val="none" w:sz="0" w:space="0" w:color="auto"/>
        <w:left w:val="none" w:sz="0" w:space="0" w:color="auto"/>
        <w:bottom w:val="none" w:sz="0" w:space="0" w:color="auto"/>
        <w:right w:val="none" w:sz="0" w:space="0" w:color="auto"/>
      </w:divBdr>
    </w:div>
    <w:div w:id="842165501">
      <w:bodyDiv w:val="1"/>
      <w:marLeft w:val="0"/>
      <w:marRight w:val="0"/>
      <w:marTop w:val="0"/>
      <w:marBottom w:val="0"/>
      <w:divBdr>
        <w:top w:val="none" w:sz="0" w:space="0" w:color="auto"/>
        <w:left w:val="none" w:sz="0" w:space="0" w:color="auto"/>
        <w:bottom w:val="none" w:sz="0" w:space="0" w:color="auto"/>
        <w:right w:val="none" w:sz="0" w:space="0" w:color="auto"/>
      </w:divBdr>
    </w:div>
    <w:div w:id="843133665">
      <w:bodyDiv w:val="1"/>
      <w:marLeft w:val="0"/>
      <w:marRight w:val="0"/>
      <w:marTop w:val="0"/>
      <w:marBottom w:val="0"/>
      <w:divBdr>
        <w:top w:val="none" w:sz="0" w:space="0" w:color="auto"/>
        <w:left w:val="none" w:sz="0" w:space="0" w:color="auto"/>
        <w:bottom w:val="none" w:sz="0" w:space="0" w:color="auto"/>
        <w:right w:val="none" w:sz="0" w:space="0" w:color="auto"/>
      </w:divBdr>
    </w:div>
    <w:div w:id="843325791">
      <w:bodyDiv w:val="1"/>
      <w:marLeft w:val="0"/>
      <w:marRight w:val="0"/>
      <w:marTop w:val="0"/>
      <w:marBottom w:val="0"/>
      <w:divBdr>
        <w:top w:val="none" w:sz="0" w:space="0" w:color="auto"/>
        <w:left w:val="none" w:sz="0" w:space="0" w:color="auto"/>
        <w:bottom w:val="none" w:sz="0" w:space="0" w:color="auto"/>
        <w:right w:val="none" w:sz="0" w:space="0" w:color="auto"/>
      </w:divBdr>
    </w:div>
    <w:div w:id="843596353">
      <w:bodyDiv w:val="1"/>
      <w:marLeft w:val="0"/>
      <w:marRight w:val="0"/>
      <w:marTop w:val="0"/>
      <w:marBottom w:val="0"/>
      <w:divBdr>
        <w:top w:val="none" w:sz="0" w:space="0" w:color="auto"/>
        <w:left w:val="none" w:sz="0" w:space="0" w:color="auto"/>
        <w:bottom w:val="none" w:sz="0" w:space="0" w:color="auto"/>
        <w:right w:val="none" w:sz="0" w:space="0" w:color="auto"/>
      </w:divBdr>
    </w:div>
    <w:div w:id="844246396">
      <w:bodyDiv w:val="1"/>
      <w:marLeft w:val="0"/>
      <w:marRight w:val="0"/>
      <w:marTop w:val="0"/>
      <w:marBottom w:val="0"/>
      <w:divBdr>
        <w:top w:val="none" w:sz="0" w:space="0" w:color="auto"/>
        <w:left w:val="none" w:sz="0" w:space="0" w:color="auto"/>
        <w:bottom w:val="none" w:sz="0" w:space="0" w:color="auto"/>
        <w:right w:val="none" w:sz="0" w:space="0" w:color="auto"/>
      </w:divBdr>
    </w:div>
    <w:div w:id="844518703">
      <w:bodyDiv w:val="1"/>
      <w:marLeft w:val="0"/>
      <w:marRight w:val="0"/>
      <w:marTop w:val="0"/>
      <w:marBottom w:val="0"/>
      <w:divBdr>
        <w:top w:val="none" w:sz="0" w:space="0" w:color="auto"/>
        <w:left w:val="none" w:sz="0" w:space="0" w:color="auto"/>
        <w:bottom w:val="none" w:sz="0" w:space="0" w:color="auto"/>
        <w:right w:val="none" w:sz="0" w:space="0" w:color="auto"/>
      </w:divBdr>
    </w:div>
    <w:div w:id="844779739">
      <w:bodyDiv w:val="1"/>
      <w:marLeft w:val="0"/>
      <w:marRight w:val="0"/>
      <w:marTop w:val="0"/>
      <w:marBottom w:val="0"/>
      <w:divBdr>
        <w:top w:val="none" w:sz="0" w:space="0" w:color="auto"/>
        <w:left w:val="none" w:sz="0" w:space="0" w:color="auto"/>
        <w:bottom w:val="none" w:sz="0" w:space="0" w:color="auto"/>
        <w:right w:val="none" w:sz="0" w:space="0" w:color="auto"/>
      </w:divBdr>
    </w:div>
    <w:div w:id="845244795">
      <w:bodyDiv w:val="1"/>
      <w:marLeft w:val="0"/>
      <w:marRight w:val="0"/>
      <w:marTop w:val="0"/>
      <w:marBottom w:val="0"/>
      <w:divBdr>
        <w:top w:val="none" w:sz="0" w:space="0" w:color="auto"/>
        <w:left w:val="none" w:sz="0" w:space="0" w:color="auto"/>
        <w:bottom w:val="none" w:sz="0" w:space="0" w:color="auto"/>
        <w:right w:val="none" w:sz="0" w:space="0" w:color="auto"/>
      </w:divBdr>
    </w:div>
    <w:div w:id="846021080">
      <w:bodyDiv w:val="1"/>
      <w:marLeft w:val="0"/>
      <w:marRight w:val="0"/>
      <w:marTop w:val="0"/>
      <w:marBottom w:val="0"/>
      <w:divBdr>
        <w:top w:val="none" w:sz="0" w:space="0" w:color="auto"/>
        <w:left w:val="none" w:sz="0" w:space="0" w:color="auto"/>
        <w:bottom w:val="none" w:sz="0" w:space="0" w:color="auto"/>
        <w:right w:val="none" w:sz="0" w:space="0" w:color="auto"/>
      </w:divBdr>
    </w:div>
    <w:div w:id="846090489">
      <w:bodyDiv w:val="1"/>
      <w:marLeft w:val="0"/>
      <w:marRight w:val="0"/>
      <w:marTop w:val="0"/>
      <w:marBottom w:val="0"/>
      <w:divBdr>
        <w:top w:val="none" w:sz="0" w:space="0" w:color="auto"/>
        <w:left w:val="none" w:sz="0" w:space="0" w:color="auto"/>
        <w:bottom w:val="none" w:sz="0" w:space="0" w:color="auto"/>
        <w:right w:val="none" w:sz="0" w:space="0" w:color="auto"/>
      </w:divBdr>
    </w:div>
    <w:div w:id="846404411">
      <w:bodyDiv w:val="1"/>
      <w:marLeft w:val="0"/>
      <w:marRight w:val="0"/>
      <w:marTop w:val="0"/>
      <w:marBottom w:val="0"/>
      <w:divBdr>
        <w:top w:val="none" w:sz="0" w:space="0" w:color="auto"/>
        <w:left w:val="none" w:sz="0" w:space="0" w:color="auto"/>
        <w:bottom w:val="none" w:sz="0" w:space="0" w:color="auto"/>
        <w:right w:val="none" w:sz="0" w:space="0" w:color="auto"/>
      </w:divBdr>
    </w:div>
    <w:div w:id="846556944">
      <w:bodyDiv w:val="1"/>
      <w:marLeft w:val="0"/>
      <w:marRight w:val="0"/>
      <w:marTop w:val="0"/>
      <w:marBottom w:val="0"/>
      <w:divBdr>
        <w:top w:val="none" w:sz="0" w:space="0" w:color="auto"/>
        <w:left w:val="none" w:sz="0" w:space="0" w:color="auto"/>
        <w:bottom w:val="none" w:sz="0" w:space="0" w:color="auto"/>
        <w:right w:val="none" w:sz="0" w:space="0" w:color="auto"/>
      </w:divBdr>
    </w:div>
    <w:div w:id="846939802">
      <w:bodyDiv w:val="1"/>
      <w:marLeft w:val="0"/>
      <w:marRight w:val="0"/>
      <w:marTop w:val="0"/>
      <w:marBottom w:val="0"/>
      <w:divBdr>
        <w:top w:val="none" w:sz="0" w:space="0" w:color="auto"/>
        <w:left w:val="none" w:sz="0" w:space="0" w:color="auto"/>
        <w:bottom w:val="none" w:sz="0" w:space="0" w:color="auto"/>
        <w:right w:val="none" w:sz="0" w:space="0" w:color="auto"/>
      </w:divBdr>
    </w:div>
    <w:div w:id="847672821">
      <w:bodyDiv w:val="1"/>
      <w:marLeft w:val="0"/>
      <w:marRight w:val="0"/>
      <w:marTop w:val="0"/>
      <w:marBottom w:val="0"/>
      <w:divBdr>
        <w:top w:val="none" w:sz="0" w:space="0" w:color="auto"/>
        <w:left w:val="none" w:sz="0" w:space="0" w:color="auto"/>
        <w:bottom w:val="none" w:sz="0" w:space="0" w:color="auto"/>
        <w:right w:val="none" w:sz="0" w:space="0" w:color="auto"/>
      </w:divBdr>
    </w:div>
    <w:div w:id="848639719">
      <w:bodyDiv w:val="1"/>
      <w:marLeft w:val="0"/>
      <w:marRight w:val="0"/>
      <w:marTop w:val="0"/>
      <w:marBottom w:val="0"/>
      <w:divBdr>
        <w:top w:val="none" w:sz="0" w:space="0" w:color="auto"/>
        <w:left w:val="none" w:sz="0" w:space="0" w:color="auto"/>
        <w:bottom w:val="none" w:sz="0" w:space="0" w:color="auto"/>
        <w:right w:val="none" w:sz="0" w:space="0" w:color="auto"/>
      </w:divBdr>
    </w:div>
    <w:div w:id="848838357">
      <w:bodyDiv w:val="1"/>
      <w:marLeft w:val="0"/>
      <w:marRight w:val="0"/>
      <w:marTop w:val="0"/>
      <w:marBottom w:val="0"/>
      <w:divBdr>
        <w:top w:val="none" w:sz="0" w:space="0" w:color="auto"/>
        <w:left w:val="none" w:sz="0" w:space="0" w:color="auto"/>
        <w:bottom w:val="none" w:sz="0" w:space="0" w:color="auto"/>
        <w:right w:val="none" w:sz="0" w:space="0" w:color="auto"/>
      </w:divBdr>
    </w:div>
    <w:div w:id="849025653">
      <w:bodyDiv w:val="1"/>
      <w:marLeft w:val="0"/>
      <w:marRight w:val="0"/>
      <w:marTop w:val="0"/>
      <w:marBottom w:val="0"/>
      <w:divBdr>
        <w:top w:val="none" w:sz="0" w:space="0" w:color="auto"/>
        <w:left w:val="none" w:sz="0" w:space="0" w:color="auto"/>
        <w:bottom w:val="none" w:sz="0" w:space="0" w:color="auto"/>
        <w:right w:val="none" w:sz="0" w:space="0" w:color="auto"/>
      </w:divBdr>
      <w:divsChild>
        <w:div w:id="222102436">
          <w:marLeft w:val="0"/>
          <w:marRight w:val="0"/>
          <w:marTop w:val="0"/>
          <w:marBottom w:val="0"/>
          <w:divBdr>
            <w:top w:val="none" w:sz="0" w:space="0" w:color="auto"/>
            <w:left w:val="none" w:sz="0" w:space="0" w:color="auto"/>
            <w:bottom w:val="none" w:sz="0" w:space="0" w:color="auto"/>
            <w:right w:val="none" w:sz="0" w:space="0" w:color="auto"/>
          </w:divBdr>
        </w:div>
      </w:divsChild>
    </w:div>
    <w:div w:id="849175986">
      <w:bodyDiv w:val="1"/>
      <w:marLeft w:val="0"/>
      <w:marRight w:val="0"/>
      <w:marTop w:val="0"/>
      <w:marBottom w:val="0"/>
      <w:divBdr>
        <w:top w:val="none" w:sz="0" w:space="0" w:color="auto"/>
        <w:left w:val="none" w:sz="0" w:space="0" w:color="auto"/>
        <w:bottom w:val="none" w:sz="0" w:space="0" w:color="auto"/>
        <w:right w:val="none" w:sz="0" w:space="0" w:color="auto"/>
      </w:divBdr>
    </w:div>
    <w:div w:id="850680796">
      <w:bodyDiv w:val="1"/>
      <w:marLeft w:val="0"/>
      <w:marRight w:val="0"/>
      <w:marTop w:val="0"/>
      <w:marBottom w:val="0"/>
      <w:divBdr>
        <w:top w:val="none" w:sz="0" w:space="0" w:color="auto"/>
        <w:left w:val="none" w:sz="0" w:space="0" w:color="auto"/>
        <w:bottom w:val="none" w:sz="0" w:space="0" w:color="auto"/>
        <w:right w:val="none" w:sz="0" w:space="0" w:color="auto"/>
      </w:divBdr>
    </w:div>
    <w:div w:id="851992305">
      <w:bodyDiv w:val="1"/>
      <w:marLeft w:val="0"/>
      <w:marRight w:val="0"/>
      <w:marTop w:val="0"/>
      <w:marBottom w:val="0"/>
      <w:divBdr>
        <w:top w:val="none" w:sz="0" w:space="0" w:color="auto"/>
        <w:left w:val="none" w:sz="0" w:space="0" w:color="auto"/>
        <w:bottom w:val="none" w:sz="0" w:space="0" w:color="auto"/>
        <w:right w:val="none" w:sz="0" w:space="0" w:color="auto"/>
      </w:divBdr>
    </w:div>
    <w:div w:id="852258767">
      <w:bodyDiv w:val="1"/>
      <w:marLeft w:val="0"/>
      <w:marRight w:val="0"/>
      <w:marTop w:val="0"/>
      <w:marBottom w:val="0"/>
      <w:divBdr>
        <w:top w:val="none" w:sz="0" w:space="0" w:color="auto"/>
        <w:left w:val="none" w:sz="0" w:space="0" w:color="auto"/>
        <w:bottom w:val="none" w:sz="0" w:space="0" w:color="auto"/>
        <w:right w:val="none" w:sz="0" w:space="0" w:color="auto"/>
      </w:divBdr>
    </w:div>
    <w:div w:id="854810460">
      <w:bodyDiv w:val="1"/>
      <w:marLeft w:val="0"/>
      <w:marRight w:val="0"/>
      <w:marTop w:val="0"/>
      <w:marBottom w:val="0"/>
      <w:divBdr>
        <w:top w:val="none" w:sz="0" w:space="0" w:color="auto"/>
        <w:left w:val="none" w:sz="0" w:space="0" w:color="auto"/>
        <w:bottom w:val="none" w:sz="0" w:space="0" w:color="auto"/>
        <w:right w:val="none" w:sz="0" w:space="0" w:color="auto"/>
      </w:divBdr>
    </w:div>
    <w:div w:id="855579208">
      <w:bodyDiv w:val="1"/>
      <w:marLeft w:val="0"/>
      <w:marRight w:val="0"/>
      <w:marTop w:val="0"/>
      <w:marBottom w:val="0"/>
      <w:divBdr>
        <w:top w:val="none" w:sz="0" w:space="0" w:color="auto"/>
        <w:left w:val="none" w:sz="0" w:space="0" w:color="auto"/>
        <w:bottom w:val="none" w:sz="0" w:space="0" w:color="auto"/>
        <w:right w:val="none" w:sz="0" w:space="0" w:color="auto"/>
      </w:divBdr>
    </w:div>
    <w:div w:id="855774116">
      <w:bodyDiv w:val="1"/>
      <w:marLeft w:val="0"/>
      <w:marRight w:val="0"/>
      <w:marTop w:val="0"/>
      <w:marBottom w:val="0"/>
      <w:divBdr>
        <w:top w:val="none" w:sz="0" w:space="0" w:color="auto"/>
        <w:left w:val="none" w:sz="0" w:space="0" w:color="auto"/>
        <w:bottom w:val="none" w:sz="0" w:space="0" w:color="auto"/>
        <w:right w:val="none" w:sz="0" w:space="0" w:color="auto"/>
      </w:divBdr>
    </w:div>
    <w:div w:id="856117982">
      <w:bodyDiv w:val="1"/>
      <w:marLeft w:val="0"/>
      <w:marRight w:val="0"/>
      <w:marTop w:val="0"/>
      <w:marBottom w:val="0"/>
      <w:divBdr>
        <w:top w:val="none" w:sz="0" w:space="0" w:color="auto"/>
        <w:left w:val="none" w:sz="0" w:space="0" w:color="auto"/>
        <w:bottom w:val="none" w:sz="0" w:space="0" w:color="auto"/>
        <w:right w:val="none" w:sz="0" w:space="0" w:color="auto"/>
      </w:divBdr>
    </w:div>
    <w:div w:id="856389893">
      <w:bodyDiv w:val="1"/>
      <w:marLeft w:val="0"/>
      <w:marRight w:val="0"/>
      <w:marTop w:val="0"/>
      <w:marBottom w:val="0"/>
      <w:divBdr>
        <w:top w:val="none" w:sz="0" w:space="0" w:color="auto"/>
        <w:left w:val="none" w:sz="0" w:space="0" w:color="auto"/>
        <w:bottom w:val="none" w:sz="0" w:space="0" w:color="auto"/>
        <w:right w:val="none" w:sz="0" w:space="0" w:color="auto"/>
      </w:divBdr>
    </w:div>
    <w:div w:id="856848320">
      <w:bodyDiv w:val="1"/>
      <w:marLeft w:val="0"/>
      <w:marRight w:val="0"/>
      <w:marTop w:val="0"/>
      <w:marBottom w:val="0"/>
      <w:divBdr>
        <w:top w:val="none" w:sz="0" w:space="0" w:color="auto"/>
        <w:left w:val="none" w:sz="0" w:space="0" w:color="auto"/>
        <w:bottom w:val="none" w:sz="0" w:space="0" w:color="auto"/>
        <w:right w:val="none" w:sz="0" w:space="0" w:color="auto"/>
      </w:divBdr>
    </w:div>
    <w:div w:id="858082327">
      <w:bodyDiv w:val="1"/>
      <w:marLeft w:val="0"/>
      <w:marRight w:val="0"/>
      <w:marTop w:val="0"/>
      <w:marBottom w:val="0"/>
      <w:divBdr>
        <w:top w:val="none" w:sz="0" w:space="0" w:color="auto"/>
        <w:left w:val="none" w:sz="0" w:space="0" w:color="auto"/>
        <w:bottom w:val="none" w:sz="0" w:space="0" w:color="auto"/>
        <w:right w:val="none" w:sz="0" w:space="0" w:color="auto"/>
      </w:divBdr>
    </w:div>
    <w:div w:id="858592489">
      <w:bodyDiv w:val="1"/>
      <w:marLeft w:val="0"/>
      <w:marRight w:val="0"/>
      <w:marTop w:val="0"/>
      <w:marBottom w:val="0"/>
      <w:divBdr>
        <w:top w:val="none" w:sz="0" w:space="0" w:color="auto"/>
        <w:left w:val="none" w:sz="0" w:space="0" w:color="auto"/>
        <w:bottom w:val="none" w:sz="0" w:space="0" w:color="auto"/>
        <w:right w:val="none" w:sz="0" w:space="0" w:color="auto"/>
      </w:divBdr>
    </w:div>
    <w:div w:id="858932608">
      <w:bodyDiv w:val="1"/>
      <w:marLeft w:val="0"/>
      <w:marRight w:val="0"/>
      <w:marTop w:val="0"/>
      <w:marBottom w:val="0"/>
      <w:divBdr>
        <w:top w:val="none" w:sz="0" w:space="0" w:color="auto"/>
        <w:left w:val="none" w:sz="0" w:space="0" w:color="auto"/>
        <w:bottom w:val="none" w:sz="0" w:space="0" w:color="auto"/>
        <w:right w:val="none" w:sz="0" w:space="0" w:color="auto"/>
      </w:divBdr>
    </w:div>
    <w:div w:id="860166984">
      <w:bodyDiv w:val="1"/>
      <w:marLeft w:val="0"/>
      <w:marRight w:val="0"/>
      <w:marTop w:val="0"/>
      <w:marBottom w:val="0"/>
      <w:divBdr>
        <w:top w:val="none" w:sz="0" w:space="0" w:color="auto"/>
        <w:left w:val="none" w:sz="0" w:space="0" w:color="auto"/>
        <w:bottom w:val="none" w:sz="0" w:space="0" w:color="auto"/>
        <w:right w:val="none" w:sz="0" w:space="0" w:color="auto"/>
      </w:divBdr>
    </w:div>
    <w:div w:id="860364953">
      <w:bodyDiv w:val="1"/>
      <w:marLeft w:val="0"/>
      <w:marRight w:val="0"/>
      <w:marTop w:val="0"/>
      <w:marBottom w:val="0"/>
      <w:divBdr>
        <w:top w:val="none" w:sz="0" w:space="0" w:color="auto"/>
        <w:left w:val="none" w:sz="0" w:space="0" w:color="auto"/>
        <w:bottom w:val="none" w:sz="0" w:space="0" w:color="auto"/>
        <w:right w:val="none" w:sz="0" w:space="0" w:color="auto"/>
      </w:divBdr>
    </w:div>
    <w:div w:id="861283871">
      <w:bodyDiv w:val="1"/>
      <w:marLeft w:val="0"/>
      <w:marRight w:val="0"/>
      <w:marTop w:val="0"/>
      <w:marBottom w:val="0"/>
      <w:divBdr>
        <w:top w:val="none" w:sz="0" w:space="0" w:color="auto"/>
        <w:left w:val="none" w:sz="0" w:space="0" w:color="auto"/>
        <w:bottom w:val="none" w:sz="0" w:space="0" w:color="auto"/>
        <w:right w:val="none" w:sz="0" w:space="0" w:color="auto"/>
      </w:divBdr>
    </w:div>
    <w:div w:id="861355512">
      <w:bodyDiv w:val="1"/>
      <w:marLeft w:val="0"/>
      <w:marRight w:val="0"/>
      <w:marTop w:val="0"/>
      <w:marBottom w:val="0"/>
      <w:divBdr>
        <w:top w:val="none" w:sz="0" w:space="0" w:color="auto"/>
        <w:left w:val="none" w:sz="0" w:space="0" w:color="auto"/>
        <w:bottom w:val="none" w:sz="0" w:space="0" w:color="auto"/>
        <w:right w:val="none" w:sz="0" w:space="0" w:color="auto"/>
      </w:divBdr>
    </w:div>
    <w:div w:id="861667640">
      <w:bodyDiv w:val="1"/>
      <w:marLeft w:val="0"/>
      <w:marRight w:val="0"/>
      <w:marTop w:val="0"/>
      <w:marBottom w:val="0"/>
      <w:divBdr>
        <w:top w:val="none" w:sz="0" w:space="0" w:color="auto"/>
        <w:left w:val="none" w:sz="0" w:space="0" w:color="auto"/>
        <w:bottom w:val="none" w:sz="0" w:space="0" w:color="auto"/>
        <w:right w:val="none" w:sz="0" w:space="0" w:color="auto"/>
      </w:divBdr>
    </w:div>
    <w:div w:id="861937690">
      <w:bodyDiv w:val="1"/>
      <w:marLeft w:val="0"/>
      <w:marRight w:val="0"/>
      <w:marTop w:val="0"/>
      <w:marBottom w:val="0"/>
      <w:divBdr>
        <w:top w:val="none" w:sz="0" w:space="0" w:color="auto"/>
        <w:left w:val="none" w:sz="0" w:space="0" w:color="auto"/>
        <w:bottom w:val="none" w:sz="0" w:space="0" w:color="auto"/>
        <w:right w:val="none" w:sz="0" w:space="0" w:color="auto"/>
      </w:divBdr>
    </w:div>
    <w:div w:id="862397838">
      <w:bodyDiv w:val="1"/>
      <w:marLeft w:val="0"/>
      <w:marRight w:val="0"/>
      <w:marTop w:val="0"/>
      <w:marBottom w:val="0"/>
      <w:divBdr>
        <w:top w:val="none" w:sz="0" w:space="0" w:color="auto"/>
        <w:left w:val="none" w:sz="0" w:space="0" w:color="auto"/>
        <w:bottom w:val="none" w:sz="0" w:space="0" w:color="auto"/>
        <w:right w:val="none" w:sz="0" w:space="0" w:color="auto"/>
      </w:divBdr>
    </w:div>
    <w:div w:id="862748508">
      <w:bodyDiv w:val="1"/>
      <w:marLeft w:val="0"/>
      <w:marRight w:val="0"/>
      <w:marTop w:val="0"/>
      <w:marBottom w:val="0"/>
      <w:divBdr>
        <w:top w:val="none" w:sz="0" w:space="0" w:color="auto"/>
        <w:left w:val="none" w:sz="0" w:space="0" w:color="auto"/>
        <w:bottom w:val="none" w:sz="0" w:space="0" w:color="auto"/>
        <w:right w:val="none" w:sz="0" w:space="0" w:color="auto"/>
      </w:divBdr>
    </w:div>
    <w:div w:id="863788819">
      <w:bodyDiv w:val="1"/>
      <w:marLeft w:val="0"/>
      <w:marRight w:val="0"/>
      <w:marTop w:val="0"/>
      <w:marBottom w:val="0"/>
      <w:divBdr>
        <w:top w:val="none" w:sz="0" w:space="0" w:color="auto"/>
        <w:left w:val="none" w:sz="0" w:space="0" w:color="auto"/>
        <w:bottom w:val="none" w:sz="0" w:space="0" w:color="auto"/>
        <w:right w:val="none" w:sz="0" w:space="0" w:color="auto"/>
      </w:divBdr>
    </w:div>
    <w:div w:id="864028117">
      <w:bodyDiv w:val="1"/>
      <w:marLeft w:val="0"/>
      <w:marRight w:val="0"/>
      <w:marTop w:val="0"/>
      <w:marBottom w:val="0"/>
      <w:divBdr>
        <w:top w:val="none" w:sz="0" w:space="0" w:color="auto"/>
        <w:left w:val="none" w:sz="0" w:space="0" w:color="auto"/>
        <w:bottom w:val="none" w:sz="0" w:space="0" w:color="auto"/>
        <w:right w:val="none" w:sz="0" w:space="0" w:color="auto"/>
      </w:divBdr>
    </w:div>
    <w:div w:id="864094870">
      <w:bodyDiv w:val="1"/>
      <w:marLeft w:val="0"/>
      <w:marRight w:val="0"/>
      <w:marTop w:val="0"/>
      <w:marBottom w:val="0"/>
      <w:divBdr>
        <w:top w:val="none" w:sz="0" w:space="0" w:color="auto"/>
        <w:left w:val="none" w:sz="0" w:space="0" w:color="auto"/>
        <w:bottom w:val="none" w:sz="0" w:space="0" w:color="auto"/>
        <w:right w:val="none" w:sz="0" w:space="0" w:color="auto"/>
      </w:divBdr>
    </w:div>
    <w:div w:id="865286891">
      <w:bodyDiv w:val="1"/>
      <w:marLeft w:val="0"/>
      <w:marRight w:val="0"/>
      <w:marTop w:val="0"/>
      <w:marBottom w:val="0"/>
      <w:divBdr>
        <w:top w:val="none" w:sz="0" w:space="0" w:color="auto"/>
        <w:left w:val="none" w:sz="0" w:space="0" w:color="auto"/>
        <w:bottom w:val="none" w:sz="0" w:space="0" w:color="auto"/>
        <w:right w:val="none" w:sz="0" w:space="0" w:color="auto"/>
      </w:divBdr>
    </w:div>
    <w:div w:id="867061993">
      <w:bodyDiv w:val="1"/>
      <w:marLeft w:val="0"/>
      <w:marRight w:val="0"/>
      <w:marTop w:val="0"/>
      <w:marBottom w:val="0"/>
      <w:divBdr>
        <w:top w:val="none" w:sz="0" w:space="0" w:color="auto"/>
        <w:left w:val="none" w:sz="0" w:space="0" w:color="auto"/>
        <w:bottom w:val="none" w:sz="0" w:space="0" w:color="auto"/>
        <w:right w:val="none" w:sz="0" w:space="0" w:color="auto"/>
      </w:divBdr>
    </w:div>
    <w:div w:id="867910329">
      <w:bodyDiv w:val="1"/>
      <w:marLeft w:val="0"/>
      <w:marRight w:val="0"/>
      <w:marTop w:val="0"/>
      <w:marBottom w:val="0"/>
      <w:divBdr>
        <w:top w:val="none" w:sz="0" w:space="0" w:color="auto"/>
        <w:left w:val="none" w:sz="0" w:space="0" w:color="auto"/>
        <w:bottom w:val="none" w:sz="0" w:space="0" w:color="auto"/>
        <w:right w:val="none" w:sz="0" w:space="0" w:color="auto"/>
      </w:divBdr>
    </w:div>
    <w:div w:id="869143937">
      <w:bodyDiv w:val="1"/>
      <w:marLeft w:val="0"/>
      <w:marRight w:val="0"/>
      <w:marTop w:val="0"/>
      <w:marBottom w:val="0"/>
      <w:divBdr>
        <w:top w:val="none" w:sz="0" w:space="0" w:color="auto"/>
        <w:left w:val="none" w:sz="0" w:space="0" w:color="auto"/>
        <w:bottom w:val="none" w:sz="0" w:space="0" w:color="auto"/>
        <w:right w:val="none" w:sz="0" w:space="0" w:color="auto"/>
      </w:divBdr>
    </w:div>
    <w:div w:id="869149545">
      <w:bodyDiv w:val="1"/>
      <w:marLeft w:val="0"/>
      <w:marRight w:val="0"/>
      <w:marTop w:val="0"/>
      <w:marBottom w:val="0"/>
      <w:divBdr>
        <w:top w:val="none" w:sz="0" w:space="0" w:color="auto"/>
        <w:left w:val="none" w:sz="0" w:space="0" w:color="auto"/>
        <w:bottom w:val="none" w:sz="0" w:space="0" w:color="auto"/>
        <w:right w:val="none" w:sz="0" w:space="0" w:color="auto"/>
      </w:divBdr>
    </w:div>
    <w:div w:id="869610287">
      <w:bodyDiv w:val="1"/>
      <w:marLeft w:val="0"/>
      <w:marRight w:val="0"/>
      <w:marTop w:val="0"/>
      <w:marBottom w:val="0"/>
      <w:divBdr>
        <w:top w:val="none" w:sz="0" w:space="0" w:color="auto"/>
        <w:left w:val="none" w:sz="0" w:space="0" w:color="auto"/>
        <w:bottom w:val="none" w:sz="0" w:space="0" w:color="auto"/>
        <w:right w:val="none" w:sz="0" w:space="0" w:color="auto"/>
      </w:divBdr>
    </w:div>
    <w:div w:id="870190837">
      <w:bodyDiv w:val="1"/>
      <w:marLeft w:val="0"/>
      <w:marRight w:val="0"/>
      <w:marTop w:val="0"/>
      <w:marBottom w:val="0"/>
      <w:divBdr>
        <w:top w:val="none" w:sz="0" w:space="0" w:color="auto"/>
        <w:left w:val="none" w:sz="0" w:space="0" w:color="auto"/>
        <w:bottom w:val="none" w:sz="0" w:space="0" w:color="auto"/>
        <w:right w:val="none" w:sz="0" w:space="0" w:color="auto"/>
      </w:divBdr>
    </w:div>
    <w:div w:id="874926962">
      <w:bodyDiv w:val="1"/>
      <w:marLeft w:val="0"/>
      <w:marRight w:val="0"/>
      <w:marTop w:val="0"/>
      <w:marBottom w:val="0"/>
      <w:divBdr>
        <w:top w:val="none" w:sz="0" w:space="0" w:color="auto"/>
        <w:left w:val="none" w:sz="0" w:space="0" w:color="auto"/>
        <w:bottom w:val="none" w:sz="0" w:space="0" w:color="auto"/>
        <w:right w:val="none" w:sz="0" w:space="0" w:color="auto"/>
      </w:divBdr>
    </w:div>
    <w:div w:id="875504309">
      <w:bodyDiv w:val="1"/>
      <w:marLeft w:val="0"/>
      <w:marRight w:val="0"/>
      <w:marTop w:val="0"/>
      <w:marBottom w:val="0"/>
      <w:divBdr>
        <w:top w:val="none" w:sz="0" w:space="0" w:color="auto"/>
        <w:left w:val="none" w:sz="0" w:space="0" w:color="auto"/>
        <w:bottom w:val="none" w:sz="0" w:space="0" w:color="auto"/>
        <w:right w:val="none" w:sz="0" w:space="0" w:color="auto"/>
      </w:divBdr>
    </w:div>
    <w:div w:id="875655929">
      <w:bodyDiv w:val="1"/>
      <w:marLeft w:val="0"/>
      <w:marRight w:val="0"/>
      <w:marTop w:val="0"/>
      <w:marBottom w:val="0"/>
      <w:divBdr>
        <w:top w:val="none" w:sz="0" w:space="0" w:color="auto"/>
        <w:left w:val="none" w:sz="0" w:space="0" w:color="auto"/>
        <w:bottom w:val="none" w:sz="0" w:space="0" w:color="auto"/>
        <w:right w:val="none" w:sz="0" w:space="0" w:color="auto"/>
      </w:divBdr>
    </w:div>
    <w:div w:id="877205391">
      <w:bodyDiv w:val="1"/>
      <w:marLeft w:val="0"/>
      <w:marRight w:val="0"/>
      <w:marTop w:val="0"/>
      <w:marBottom w:val="0"/>
      <w:divBdr>
        <w:top w:val="none" w:sz="0" w:space="0" w:color="auto"/>
        <w:left w:val="none" w:sz="0" w:space="0" w:color="auto"/>
        <w:bottom w:val="none" w:sz="0" w:space="0" w:color="auto"/>
        <w:right w:val="none" w:sz="0" w:space="0" w:color="auto"/>
      </w:divBdr>
    </w:div>
    <w:div w:id="878585351">
      <w:bodyDiv w:val="1"/>
      <w:marLeft w:val="0"/>
      <w:marRight w:val="0"/>
      <w:marTop w:val="0"/>
      <w:marBottom w:val="0"/>
      <w:divBdr>
        <w:top w:val="none" w:sz="0" w:space="0" w:color="auto"/>
        <w:left w:val="none" w:sz="0" w:space="0" w:color="auto"/>
        <w:bottom w:val="none" w:sz="0" w:space="0" w:color="auto"/>
        <w:right w:val="none" w:sz="0" w:space="0" w:color="auto"/>
      </w:divBdr>
    </w:div>
    <w:div w:id="878981440">
      <w:bodyDiv w:val="1"/>
      <w:marLeft w:val="0"/>
      <w:marRight w:val="0"/>
      <w:marTop w:val="0"/>
      <w:marBottom w:val="0"/>
      <w:divBdr>
        <w:top w:val="none" w:sz="0" w:space="0" w:color="auto"/>
        <w:left w:val="none" w:sz="0" w:space="0" w:color="auto"/>
        <w:bottom w:val="none" w:sz="0" w:space="0" w:color="auto"/>
        <w:right w:val="none" w:sz="0" w:space="0" w:color="auto"/>
      </w:divBdr>
    </w:div>
    <w:div w:id="879245520">
      <w:bodyDiv w:val="1"/>
      <w:marLeft w:val="0"/>
      <w:marRight w:val="0"/>
      <w:marTop w:val="0"/>
      <w:marBottom w:val="0"/>
      <w:divBdr>
        <w:top w:val="none" w:sz="0" w:space="0" w:color="auto"/>
        <w:left w:val="none" w:sz="0" w:space="0" w:color="auto"/>
        <w:bottom w:val="none" w:sz="0" w:space="0" w:color="auto"/>
        <w:right w:val="none" w:sz="0" w:space="0" w:color="auto"/>
      </w:divBdr>
    </w:div>
    <w:div w:id="879319651">
      <w:bodyDiv w:val="1"/>
      <w:marLeft w:val="0"/>
      <w:marRight w:val="0"/>
      <w:marTop w:val="0"/>
      <w:marBottom w:val="0"/>
      <w:divBdr>
        <w:top w:val="none" w:sz="0" w:space="0" w:color="auto"/>
        <w:left w:val="none" w:sz="0" w:space="0" w:color="auto"/>
        <w:bottom w:val="none" w:sz="0" w:space="0" w:color="auto"/>
        <w:right w:val="none" w:sz="0" w:space="0" w:color="auto"/>
      </w:divBdr>
    </w:div>
    <w:div w:id="879511091">
      <w:bodyDiv w:val="1"/>
      <w:marLeft w:val="0"/>
      <w:marRight w:val="0"/>
      <w:marTop w:val="0"/>
      <w:marBottom w:val="0"/>
      <w:divBdr>
        <w:top w:val="none" w:sz="0" w:space="0" w:color="auto"/>
        <w:left w:val="none" w:sz="0" w:space="0" w:color="auto"/>
        <w:bottom w:val="none" w:sz="0" w:space="0" w:color="auto"/>
        <w:right w:val="none" w:sz="0" w:space="0" w:color="auto"/>
      </w:divBdr>
    </w:div>
    <w:div w:id="879516939">
      <w:bodyDiv w:val="1"/>
      <w:marLeft w:val="0"/>
      <w:marRight w:val="0"/>
      <w:marTop w:val="0"/>
      <w:marBottom w:val="0"/>
      <w:divBdr>
        <w:top w:val="none" w:sz="0" w:space="0" w:color="auto"/>
        <w:left w:val="none" w:sz="0" w:space="0" w:color="auto"/>
        <w:bottom w:val="none" w:sz="0" w:space="0" w:color="auto"/>
        <w:right w:val="none" w:sz="0" w:space="0" w:color="auto"/>
      </w:divBdr>
    </w:div>
    <w:div w:id="879778186">
      <w:bodyDiv w:val="1"/>
      <w:marLeft w:val="0"/>
      <w:marRight w:val="0"/>
      <w:marTop w:val="0"/>
      <w:marBottom w:val="0"/>
      <w:divBdr>
        <w:top w:val="none" w:sz="0" w:space="0" w:color="auto"/>
        <w:left w:val="none" w:sz="0" w:space="0" w:color="auto"/>
        <w:bottom w:val="none" w:sz="0" w:space="0" w:color="auto"/>
        <w:right w:val="none" w:sz="0" w:space="0" w:color="auto"/>
      </w:divBdr>
    </w:div>
    <w:div w:id="881139588">
      <w:bodyDiv w:val="1"/>
      <w:marLeft w:val="0"/>
      <w:marRight w:val="0"/>
      <w:marTop w:val="0"/>
      <w:marBottom w:val="0"/>
      <w:divBdr>
        <w:top w:val="none" w:sz="0" w:space="0" w:color="auto"/>
        <w:left w:val="none" w:sz="0" w:space="0" w:color="auto"/>
        <w:bottom w:val="none" w:sz="0" w:space="0" w:color="auto"/>
        <w:right w:val="none" w:sz="0" w:space="0" w:color="auto"/>
      </w:divBdr>
    </w:div>
    <w:div w:id="883833175">
      <w:bodyDiv w:val="1"/>
      <w:marLeft w:val="0"/>
      <w:marRight w:val="0"/>
      <w:marTop w:val="0"/>
      <w:marBottom w:val="0"/>
      <w:divBdr>
        <w:top w:val="none" w:sz="0" w:space="0" w:color="auto"/>
        <w:left w:val="none" w:sz="0" w:space="0" w:color="auto"/>
        <w:bottom w:val="none" w:sz="0" w:space="0" w:color="auto"/>
        <w:right w:val="none" w:sz="0" w:space="0" w:color="auto"/>
      </w:divBdr>
    </w:div>
    <w:div w:id="884029692">
      <w:bodyDiv w:val="1"/>
      <w:marLeft w:val="0"/>
      <w:marRight w:val="0"/>
      <w:marTop w:val="0"/>
      <w:marBottom w:val="0"/>
      <w:divBdr>
        <w:top w:val="none" w:sz="0" w:space="0" w:color="auto"/>
        <w:left w:val="none" w:sz="0" w:space="0" w:color="auto"/>
        <w:bottom w:val="none" w:sz="0" w:space="0" w:color="auto"/>
        <w:right w:val="none" w:sz="0" w:space="0" w:color="auto"/>
      </w:divBdr>
    </w:div>
    <w:div w:id="884103460">
      <w:bodyDiv w:val="1"/>
      <w:marLeft w:val="0"/>
      <w:marRight w:val="0"/>
      <w:marTop w:val="0"/>
      <w:marBottom w:val="0"/>
      <w:divBdr>
        <w:top w:val="none" w:sz="0" w:space="0" w:color="auto"/>
        <w:left w:val="none" w:sz="0" w:space="0" w:color="auto"/>
        <w:bottom w:val="none" w:sz="0" w:space="0" w:color="auto"/>
        <w:right w:val="none" w:sz="0" w:space="0" w:color="auto"/>
      </w:divBdr>
    </w:div>
    <w:div w:id="885720090">
      <w:bodyDiv w:val="1"/>
      <w:marLeft w:val="0"/>
      <w:marRight w:val="0"/>
      <w:marTop w:val="0"/>
      <w:marBottom w:val="0"/>
      <w:divBdr>
        <w:top w:val="none" w:sz="0" w:space="0" w:color="auto"/>
        <w:left w:val="none" w:sz="0" w:space="0" w:color="auto"/>
        <w:bottom w:val="none" w:sz="0" w:space="0" w:color="auto"/>
        <w:right w:val="none" w:sz="0" w:space="0" w:color="auto"/>
      </w:divBdr>
    </w:div>
    <w:div w:id="886718650">
      <w:bodyDiv w:val="1"/>
      <w:marLeft w:val="0"/>
      <w:marRight w:val="0"/>
      <w:marTop w:val="0"/>
      <w:marBottom w:val="0"/>
      <w:divBdr>
        <w:top w:val="none" w:sz="0" w:space="0" w:color="auto"/>
        <w:left w:val="none" w:sz="0" w:space="0" w:color="auto"/>
        <w:bottom w:val="none" w:sz="0" w:space="0" w:color="auto"/>
        <w:right w:val="none" w:sz="0" w:space="0" w:color="auto"/>
      </w:divBdr>
    </w:div>
    <w:div w:id="888537336">
      <w:bodyDiv w:val="1"/>
      <w:marLeft w:val="0"/>
      <w:marRight w:val="0"/>
      <w:marTop w:val="0"/>
      <w:marBottom w:val="0"/>
      <w:divBdr>
        <w:top w:val="none" w:sz="0" w:space="0" w:color="auto"/>
        <w:left w:val="none" w:sz="0" w:space="0" w:color="auto"/>
        <w:bottom w:val="none" w:sz="0" w:space="0" w:color="auto"/>
        <w:right w:val="none" w:sz="0" w:space="0" w:color="auto"/>
      </w:divBdr>
    </w:div>
    <w:div w:id="889683426">
      <w:bodyDiv w:val="1"/>
      <w:marLeft w:val="0"/>
      <w:marRight w:val="0"/>
      <w:marTop w:val="0"/>
      <w:marBottom w:val="0"/>
      <w:divBdr>
        <w:top w:val="none" w:sz="0" w:space="0" w:color="auto"/>
        <w:left w:val="none" w:sz="0" w:space="0" w:color="auto"/>
        <w:bottom w:val="none" w:sz="0" w:space="0" w:color="auto"/>
        <w:right w:val="none" w:sz="0" w:space="0" w:color="auto"/>
      </w:divBdr>
    </w:div>
    <w:div w:id="890653404">
      <w:bodyDiv w:val="1"/>
      <w:marLeft w:val="0"/>
      <w:marRight w:val="0"/>
      <w:marTop w:val="0"/>
      <w:marBottom w:val="0"/>
      <w:divBdr>
        <w:top w:val="none" w:sz="0" w:space="0" w:color="auto"/>
        <w:left w:val="none" w:sz="0" w:space="0" w:color="auto"/>
        <w:bottom w:val="none" w:sz="0" w:space="0" w:color="auto"/>
        <w:right w:val="none" w:sz="0" w:space="0" w:color="auto"/>
      </w:divBdr>
    </w:div>
    <w:div w:id="890847522">
      <w:bodyDiv w:val="1"/>
      <w:marLeft w:val="0"/>
      <w:marRight w:val="0"/>
      <w:marTop w:val="0"/>
      <w:marBottom w:val="0"/>
      <w:divBdr>
        <w:top w:val="none" w:sz="0" w:space="0" w:color="auto"/>
        <w:left w:val="none" w:sz="0" w:space="0" w:color="auto"/>
        <w:bottom w:val="none" w:sz="0" w:space="0" w:color="auto"/>
        <w:right w:val="none" w:sz="0" w:space="0" w:color="auto"/>
      </w:divBdr>
    </w:div>
    <w:div w:id="890849331">
      <w:bodyDiv w:val="1"/>
      <w:marLeft w:val="0"/>
      <w:marRight w:val="0"/>
      <w:marTop w:val="0"/>
      <w:marBottom w:val="0"/>
      <w:divBdr>
        <w:top w:val="none" w:sz="0" w:space="0" w:color="auto"/>
        <w:left w:val="none" w:sz="0" w:space="0" w:color="auto"/>
        <w:bottom w:val="none" w:sz="0" w:space="0" w:color="auto"/>
        <w:right w:val="none" w:sz="0" w:space="0" w:color="auto"/>
      </w:divBdr>
    </w:div>
    <w:div w:id="890919984">
      <w:bodyDiv w:val="1"/>
      <w:marLeft w:val="0"/>
      <w:marRight w:val="0"/>
      <w:marTop w:val="0"/>
      <w:marBottom w:val="0"/>
      <w:divBdr>
        <w:top w:val="none" w:sz="0" w:space="0" w:color="auto"/>
        <w:left w:val="none" w:sz="0" w:space="0" w:color="auto"/>
        <w:bottom w:val="none" w:sz="0" w:space="0" w:color="auto"/>
        <w:right w:val="none" w:sz="0" w:space="0" w:color="auto"/>
      </w:divBdr>
    </w:div>
    <w:div w:id="891380931">
      <w:bodyDiv w:val="1"/>
      <w:marLeft w:val="0"/>
      <w:marRight w:val="0"/>
      <w:marTop w:val="0"/>
      <w:marBottom w:val="0"/>
      <w:divBdr>
        <w:top w:val="none" w:sz="0" w:space="0" w:color="auto"/>
        <w:left w:val="none" w:sz="0" w:space="0" w:color="auto"/>
        <w:bottom w:val="none" w:sz="0" w:space="0" w:color="auto"/>
        <w:right w:val="none" w:sz="0" w:space="0" w:color="auto"/>
      </w:divBdr>
    </w:div>
    <w:div w:id="892156177">
      <w:bodyDiv w:val="1"/>
      <w:marLeft w:val="0"/>
      <w:marRight w:val="0"/>
      <w:marTop w:val="0"/>
      <w:marBottom w:val="0"/>
      <w:divBdr>
        <w:top w:val="none" w:sz="0" w:space="0" w:color="auto"/>
        <w:left w:val="none" w:sz="0" w:space="0" w:color="auto"/>
        <w:bottom w:val="none" w:sz="0" w:space="0" w:color="auto"/>
        <w:right w:val="none" w:sz="0" w:space="0" w:color="auto"/>
      </w:divBdr>
    </w:div>
    <w:div w:id="892422934">
      <w:bodyDiv w:val="1"/>
      <w:marLeft w:val="0"/>
      <w:marRight w:val="0"/>
      <w:marTop w:val="0"/>
      <w:marBottom w:val="0"/>
      <w:divBdr>
        <w:top w:val="none" w:sz="0" w:space="0" w:color="auto"/>
        <w:left w:val="none" w:sz="0" w:space="0" w:color="auto"/>
        <w:bottom w:val="none" w:sz="0" w:space="0" w:color="auto"/>
        <w:right w:val="none" w:sz="0" w:space="0" w:color="auto"/>
      </w:divBdr>
    </w:div>
    <w:div w:id="892499554">
      <w:bodyDiv w:val="1"/>
      <w:marLeft w:val="0"/>
      <w:marRight w:val="0"/>
      <w:marTop w:val="0"/>
      <w:marBottom w:val="0"/>
      <w:divBdr>
        <w:top w:val="none" w:sz="0" w:space="0" w:color="auto"/>
        <w:left w:val="none" w:sz="0" w:space="0" w:color="auto"/>
        <w:bottom w:val="none" w:sz="0" w:space="0" w:color="auto"/>
        <w:right w:val="none" w:sz="0" w:space="0" w:color="auto"/>
      </w:divBdr>
    </w:div>
    <w:div w:id="893152544">
      <w:bodyDiv w:val="1"/>
      <w:marLeft w:val="0"/>
      <w:marRight w:val="0"/>
      <w:marTop w:val="0"/>
      <w:marBottom w:val="0"/>
      <w:divBdr>
        <w:top w:val="none" w:sz="0" w:space="0" w:color="auto"/>
        <w:left w:val="none" w:sz="0" w:space="0" w:color="auto"/>
        <w:bottom w:val="none" w:sz="0" w:space="0" w:color="auto"/>
        <w:right w:val="none" w:sz="0" w:space="0" w:color="auto"/>
      </w:divBdr>
    </w:div>
    <w:div w:id="893928384">
      <w:bodyDiv w:val="1"/>
      <w:marLeft w:val="0"/>
      <w:marRight w:val="0"/>
      <w:marTop w:val="0"/>
      <w:marBottom w:val="0"/>
      <w:divBdr>
        <w:top w:val="none" w:sz="0" w:space="0" w:color="auto"/>
        <w:left w:val="none" w:sz="0" w:space="0" w:color="auto"/>
        <w:bottom w:val="none" w:sz="0" w:space="0" w:color="auto"/>
        <w:right w:val="none" w:sz="0" w:space="0" w:color="auto"/>
      </w:divBdr>
    </w:div>
    <w:div w:id="894006026">
      <w:bodyDiv w:val="1"/>
      <w:marLeft w:val="0"/>
      <w:marRight w:val="0"/>
      <w:marTop w:val="0"/>
      <w:marBottom w:val="0"/>
      <w:divBdr>
        <w:top w:val="none" w:sz="0" w:space="0" w:color="auto"/>
        <w:left w:val="none" w:sz="0" w:space="0" w:color="auto"/>
        <w:bottom w:val="none" w:sz="0" w:space="0" w:color="auto"/>
        <w:right w:val="none" w:sz="0" w:space="0" w:color="auto"/>
      </w:divBdr>
    </w:div>
    <w:div w:id="894698267">
      <w:bodyDiv w:val="1"/>
      <w:marLeft w:val="0"/>
      <w:marRight w:val="0"/>
      <w:marTop w:val="0"/>
      <w:marBottom w:val="0"/>
      <w:divBdr>
        <w:top w:val="none" w:sz="0" w:space="0" w:color="auto"/>
        <w:left w:val="none" w:sz="0" w:space="0" w:color="auto"/>
        <w:bottom w:val="none" w:sz="0" w:space="0" w:color="auto"/>
        <w:right w:val="none" w:sz="0" w:space="0" w:color="auto"/>
      </w:divBdr>
    </w:div>
    <w:div w:id="894899565">
      <w:bodyDiv w:val="1"/>
      <w:marLeft w:val="0"/>
      <w:marRight w:val="0"/>
      <w:marTop w:val="0"/>
      <w:marBottom w:val="0"/>
      <w:divBdr>
        <w:top w:val="none" w:sz="0" w:space="0" w:color="auto"/>
        <w:left w:val="none" w:sz="0" w:space="0" w:color="auto"/>
        <w:bottom w:val="none" w:sz="0" w:space="0" w:color="auto"/>
        <w:right w:val="none" w:sz="0" w:space="0" w:color="auto"/>
      </w:divBdr>
    </w:div>
    <w:div w:id="894970948">
      <w:bodyDiv w:val="1"/>
      <w:marLeft w:val="0"/>
      <w:marRight w:val="0"/>
      <w:marTop w:val="0"/>
      <w:marBottom w:val="0"/>
      <w:divBdr>
        <w:top w:val="none" w:sz="0" w:space="0" w:color="auto"/>
        <w:left w:val="none" w:sz="0" w:space="0" w:color="auto"/>
        <w:bottom w:val="none" w:sz="0" w:space="0" w:color="auto"/>
        <w:right w:val="none" w:sz="0" w:space="0" w:color="auto"/>
      </w:divBdr>
    </w:div>
    <w:div w:id="896548076">
      <w:bodyDiv w:val="1"/>
      <w:marLeft w:val="0"/>
      <w:marRight w:val="0"/>
      <w:marTop w:val="0"/>
      <w:marBottom w:val="0"/>
      <w:divBdr>
        <w:top w:val="none" w:sz="0" w:space="0" w:color="auto"/>
        <w:left w:val="none" w:sz="0" w:space="0" w:color="auto"/>
        <w:bottom w:val="none" w:sz="0" w:space="0" w:color="auto"/>
        <w:right w:val="none" w:sz="0" w:space="0" w:color="auto"/>
      </w:divBdr>
    </w:div>
    <w:div w:id="896817675">
      <w:bodyDiv w:val="1"/>
      <w:marLeft w:val="0"/>
      <w:marRight w:val="0"/>
      <w:marTop w:val="0"/>
      <w:marBottom w:val="0"/>
      <w:divBdr>
        <w:top w:val="none" w:sz="0" w:space="0" w:color="auto"/>
        <w:left w:val="none" w:sz="0" w:space="0" w:color="auto"/>
        <w:bottom w:val="none" w:sz="0" w:space="0" w:color="auto"/>
        <w:right w:val="none" w:sz="0" w:space="0" w:color="auto"/>
      </w:divBdr>
    </w:div>
    <w:div w:id="897130100">
      <w:bodyDiv w:val="1"/>
      <w:marLeft w:val="0"/>
      <w:marRight w:val="0"/>
      <w:marTop w:val="0"/>
      <w:marBottom w:val="0"/>
      <w:divBdr>
        <w:top w:val="none" w:sz="0" w:space="0" w:color="auto"/>
        <w:left w:val="none" w:sz="0" w:space="0" w:color="auto"/>
        <w:bottom w:val="none" w:sz="0" w:space="0" w:color="auto"/>
        <w:right w:val="none" w:sz="0" w:space="0" w:color="auto"/>
      </w:divBdr>
    </w:div>
    <w:div w:id="897284822">
      <w:bodyDiv w:val="1"/>
      <w:marLeft w:val="0"/>
      <w:marRight w:val="0"/>
      <w:marTop w:val="0"/>
      <w:marBottom w:val="0"/>
      <w:divBdr>
        <w:top w:val="none" w:sz="0" w:space="0" w:color="auto"/>
        <w:left w:val="none" w:sz="0" w:space="0" w:color="auto"/>
        <w:bottom w:val="none" w:sz="0" w:space="0" w:color="auto"/>
        <w:right w:val="none" w:sz="0" w:space="0" w:color="auto"/>
      </w:divBdr>
    </w:div>
    <w:div w:id="897744790">
      <w:bodyDiv w:val="1"/>
      <w:marLeft w:val="0"/>
      <w:marRight w:val="0"/>
      <w:marTop w:val="0"/>
      <w:marBottom w:val="0"/>
      <w:divBdr>
        <w:top w:val="none" w:sz="0" w:space="0" w:color="auto"/>
        <w:left w:val="none" w:sz="0" w:space="0" w:color="auto"/>
        <w:bottom w:val="none" w:sz="0" w:space="0" w:color="auto"/>
        <w:right w:val="none" w:sz="0" w:space="0" w:color="auto"/>
      </w:divBdr>
    </w:div>
    <w:div w:id="899445473">
      <w:bodyDiv w:val="1"/>
      <w:marLeft w:val="0"/>
      <w:marRight w:val="0"/>
      <w:marTop w:val="0"/>
      <w:marBottom w:val="0"/>
      <w:divBdr>
        <w:top w:val="none" w:sz="0" w:space="0" w:color="auto"/>
        <w:left w:val="none" w:sz="0" w:space="0" w:color="auto"/>
        <w:bottom w:val="none" w:sz="0" w:space="0" w:color="auto"/>
        <w:right w:val="none" w:sz="0" w:space="0" w:color="auto"/>
      </w:divBdr>
    </w:div>
    <w:div w:id="899511563">
      <w:bodyDiv w:val="1"/>
      <w:marLeft w:val="0"/>
      <w:marRight w:val="0"/>
      <w:marTop w:val="0"/>
      <w:marBottom w:val="0"/>
      <w:divBdr>
        <w:top w:val="none" w:sz="0" w:space="0" w:color="auto"/>
        <w:left w:val="none" w:sz="0" w:space="0" w:color="auto"/>
        <w:bottom w:val="none" w:sz="0" w:space="0" w:color="auto"/>
        <w:right w:val="none" w:sz="0" w:space="0" w:color="auto"/>
      </w:divBdr>
    </w:div>
    <w:div w:id="904218199">
      <w:bodyDiv w:val="1"/>
      <w:marLeft w:val="0"/>
      <w:marRight w:val="0"/>
      <w:marTop w:val="0"/>
      <w:marBottom w:val="0"/>
      <w:divBdr>
        <w:top w:val="none" w:sz="0" w:space="0" w:color="auto"/>
        <w:left w:val="none" w:sz="0" w:space="0" w:color="auto"/>
        <w:bottom w:val="none" w:sz="0" w:space="0" w:color="auto"/>
        <w:right w:val="none" w:sz="0" w:space="0" w:color="auto"/>
      </w:divBdr>
    </w:div>
    <w:div w:id="904338186">
      <w:bodyDiv w:val="1"/>
      <w:marLeft w:val="0"/>
      <w:marRight w:val="0"/>
      <w:marTop w:val="0"/>
      <w:marBottom w:val="0"/>
      <w:divBdr>
        <w:top w:val="none" w:sz="0" w:space="0" w:color="auto"/>
        <w:left w:val="none" w:sz="0" w:space="0" w:color="auto"/>
        <w:bottom w:val="none" w:sz="0" w:space="0" w:color="auto"/>
        <w:right w:val="none" w:sz="0" w:space="0" w:color="auto"/>
      </w:divBdr>
    </w:div>
    <w:div w:id="904953450">
      <w:bodyDiv w:val="1"/>
      <w:marLeft w:val="0"/>
      <w:marRight w:val="0"/>
      <w:marTop w:val="0"/>
      <w:marBottom w:val="0"/>
      <w:divBdr>
        <w:top w:val="none" w:sz="0" w:space="0" w:color="auto"/>
        <w:left w:val="none" w:sz="0" w:space="0" w:color="auto"/>
        <w:bottom w:val="none" w:sz="0" w:space="0" w:color="auto"/>
        <w:right w:val="none" w:sz="0" w:space="0" w:color="auto"/>
      </w:divBdr>
    </w:div>
    <w:div w:id="905147472">
      <w:bodyDiv w:val="1"/>
      <w:marLeft w:val="0"/>
      <w:marRight w:val="0"/>
      <w:marTop w:val="0"/>
      <w:marBottom w:val="0"/>
      <w:divBdr>
        <w:top w:val="none" w:sz="0" w:space="0" w:color="auto"/>
        <w:left w:val="none" w:sz="0" w:space="0" w:color="auto"/>
        <w:bottom w:val="none" w:sz="0" w:space="0" w:color="auto"/>
        <w:right w:val="none" w:sz="0" w:space="0" w:color="auto"/>
      </w:divBdr>
    </w:div>
    <w:div w:id="905459494">
      <w:bodyDiv w:val="1"/>
      <w:marLeft w:val="0"/>
      <w:marRight w:val="0"/>
      <w:marTop w:val="0"/>
      <w:marBottom w:val="0"/>
      <w:divBdr>
        <w:top w:val="none" w:sz="0" w:space="0" w:color="auto"/>
        <w:left w:val="none" w:sz="0" w:space="0" w:color="auto"/>
        <w:bottom w:val="none" w:sz="0" w:space="0" w:color="auto"/>
        <w:right w:val="none" w:sz="0" w:space="0" w:color="auto"/>
      </w:divBdr>
    </w:div>
    <w:div w:id="905647190">
      <w:bodyDiv w:val="1"/>
      <w:marLeft w:val="0"/>
      <w:marRight w:val="0"/>
      <w:marTop w:val="0"/>
      <w:marBottom w:val="0"/>
      <w:divBdr>
        <w:top w:val="none" w:sz="0" w:space="0" w:color="auto"/>
        <w:left w:val="none" w:sz="0" w:space="0" w:color="auto"/>
        <w:bottom w:val="none" w:sz="0" w:space="0" w:color="auto"/>
        <w:right w:val="none" w:sz="0" w:space="0" w:color="auto"/>
      </w:divBdr>
    </w:div>
    <w:div w:id="905651102">
      <w:bodyDiv w:val="1"/>
      <w:marLeft w:val="0"/>
      <w:marRight w:val="0"/>
      <w:marTop w:val="0"/>
      <w:marBottom w:val="0"/>
      <w:divBdr>
        <w:top w:val="none" w:sz="0" w:space="0" w:color="auto"/>
        <w:left w:val="none" w:sz="0" w:space="0" w:color="auto"/>
        <w:bottom w:val="none" w:sz="0" w:space="0" w:color="auto"/>
        <w:right w:val="none" w:sz="0" w:space="0" w:color="auto"/>
      </w:divBdr>
    </w:div>
    <w:div w:id="906694784">
      <w:bodyDiv w:val="1"/>
      <w:marLeft w:val="0"/>
      <w:marRight w:val="0"/>
      <w:marTop w:val="0"/>
      <w:marBottom w:val="0"/>
      <w:divBdr>
        <w:top w:val="none" w:sz="0" w:space="0" w:color="auto"/>
        <w:left w:val="none" w:sz="0" w:space="0" w:color="auto"/>
        <w:bottom w:val="none" w:sz="0" w:space="0" w:color="auto"/>
        <w:right w:val="none" w:sz="0" w:space="0" w:color="auto"/>
      </w:divBdr>
    </w:div>
    <w:div w:id="906768621">
      <w:bodyDiv w:val="1"/>
      <w:marLeft w:val="0"/>
      <w:marRight w:val="0"/>
      <w:marTop w:val="0"/>
      <w:marBottom w:val="0"/>
      <w:divBdr>
        <w:top w:val="none" w:sz="0" w:space="0" w:color="auto"/>
        <w:left w:val="none" w:sz="0" w:space="0" w:color="auto"/>
        <w:bottom w:val="none" w:sz="0" w:space="0" w:color="auto"/>
        <w:right w:val="none" w:sz="0" w:space="0" w:color="auto"/>
      </w:divBdr>
    </w:div>
    <w:div w:id="908151836">
      <w:bodyDiv w:val="1"/>
      <w:marLeft w:val="0"/>
      <w:marRight w:val="0"/>
      <w:marTop w:val="0"/>
      <w:marBottom w:val="0"/>
      <w:divBdr>
        <w:top w:val="none" w:sz="0" w:space="0" w:color="auto"/>
        <w:left w:val="none" w:sz="0" w:space="0" w:color="auto"/>
        <w:bottom w:val="none" w:sz="0" w:space="0" w:color="auto"/>
        <w:right w:val="none" w:sz="0" w:space="0" w:color="auto"/>
      </w:divBdr>
    </w:div>
    <w:div w:id="908420767">
      <w:bodyDiv w:val="1"/>
      <w:marLeft w:val="0"/>
      <w:marRight w:val="0"/>
      <w:marTop w:val="0"/>
      <w:marBottom w:val="0"/>
      <w:divBdr>
        <w:top w:val="none" w:sz="0" w:space="0" w:color="auto"/>
        <w:left w:val="none" w:sz="0" w:space="0" w:color="auto"/>
        <w:bottom w:val="none" w:sz="0" w:space="0" w:color="auto"/>
        <w:right w:val="none" w:sz="0" w:space="0" w:color="auto"/>
      </w:divBdr>
    </w:div>
    <w:div w:id="908660099">
      <w:bodyDiv w:val="1"/>
      <w:marLeft w:val="0"/>
      <w:marRight w:val="0"/>
      <w:marTop w:val="0"/>
      <w:marBottom w:val="0"/>
      <w:divBdr>
        <w:top w:val="none" w:sz="0" w:space="0" w:color="auto"/>
        <w:left w:val="none" w:sz="0" w:space="0" w:color="auto"/>
        <w:bottom w:val="none" w:sz="0" w:space="0" w:color="auto"/>
        <w:right w:val="none" w:sz="0" w:space="0" w:color="auto"/>
      </w:divBdr>
    </w:div>
    <w:div w:id="909078774">
      <w:bodyDiv w:val="1"/>
      <w:marLeft w:val="0"/>
      <w:marRight w:val="0"/>
      <w:marTop w:val="0"/>
      <w:marBottom w:val="0"/>
      <w:divBdr>
        <w:top w:val="none" w:sz="0" w:space="0" w:color="auto"/>
        <w:left w:val="none" w:sz="0" w:space="0" w:color="auto"/>
        <w:bottom w:val="none" w:sz="0" w:space="0" w:color="auto"/>
        <w:right w:val="none" w:sz="0" w:space="0" w:color="auto"/>
      </w:divBdr>
    </w:div>
    <w:div w:id="910850692">
      <w:bodyDiv w:val="1"/>
      <w:marLeft w:val="0"/>
      <w:marRight w:val="0"/>
      <w:marTop w:val="0"/>
      <w:marBottom w:val="0"/>
      <w:divBdr>
        <w:top w:val="none" w:sz="0" w:space="0" w:color="auto"/>
        <w:left w:val="none" w:sz="0" w:space="0" w:color="auto"/>
        <w:bottom w:val="none" w:sz="0" w:space="0" w:color="auto"/>
        <w:right w:val="none" w:sz="0" w:space="0" w:color="auto"/>
      </w:divBdr>
    </w:div>
    <w:div w:id="911113806">
      <w:bodyDiv w:val="1"/>
      <w:marLeft w:val="0"/>
      <w:marRight w:val="0"/>
      <w:marTop w:val="0"/>
      <w:marBottom w:val="0"/>
      <w:divBdr>
        <w:top w:val="none" w:sz="0" w:space="0" w:color="auto"/>
        <w:left w:val="none" w:sz="0" w:space="0" w:color="auto"/>
        <w:bottom w:val="none" w:sz="0" w:space="0" w:color="auto"/>
        <w:right w:val="none" w:sz="0" w:space="0" w:color="auto"/>
      </w:divBdr>
    </w:div>
    <w:div w:id="915162477">
      <w:bodyDiv w:val="1"/>
      <w:marLeft w:val="0"/>
      <w:marRight w:val="0"/>
      <w:marTop w:val="0"/>
      <w:marBottom w:val="0"/>
      <w:divBdr>
        <w:top w:val="none" w:sz="0" w:space="0" w:color="auto"/>
        <w:left w:val="none" w:sz="0" w:space="0" w:color="auto"/>
        <w:bottom w:val="none" w:sz="0" w:space="0" w:color="auto"/>
        <w:right w:val="none" w:sz="0" w:space="0" w:color="auto"/>
      </w:divBdr>
    </w:div>
    <w:div w:id="915940152">
      <w:bodyDiv w:val="1"/>
      <w:marLeft w:val="0"/>
      <w:marRight w:val="0"/>
      <w:marTop w:val="0"/>
      <w:marBottom w:val="0"/>
      <w:divBdr>
        <w:top w:val="none" w:sz="0" w:space="0" w:color="auto"/>
        <w:left w:val="none" w:sz="0" w:space="0" w:color="auto"/>
        <w:bottom w:val="none" w:sz="0" w:space="0" w:color="auto"/>
        <w:right w:val="none" w:sz="0" w:space="0" w:color="auto"/>
      </w:divBdr>
    </w:div>
    <w:div w:id="916092113">
      <w:bodyDiv w:val="1"/>
      <w:marLeft w:val="0"/>
      <w:marRight w:val="0"/>
      <w:marTop w:val="0"/>
      <w:marBottom w:val="0"/>
      <w:divBdr>
        <w:top w:val="none" w:sz="0" w:space="0" w:color="auto"/>
        <w:left w:val="none" w:sz="0" w:space="0" w:color="auto"/>
        <w:bottom w:val="none" w:sz="0" w:space="0" w:color="auto"/>
        <w:right w:val="none" w:sz="0" w:space="0" w:color="auto"/>
      </w:divBdr>
    </w:div>
    <w:div w:id="916476525">
      <w:bodyDiv w:val="1"/>
      <w:marLeft w:val="0"/>
      <w:marRight w:val="0"/>
      <w:marTop w:val="0"/>
      <w:marBottom w:val="0"/>
      <w:divBdr>
        <w:top w:val="none" w:sz="0" w:space="0" w:color="auto"/>
        <w:left w:val="none" w:sz="0" w:space="0" w:color="auto"/>
        <w:bottom w:val="none" w:sz="0" w:space="0" w:color="auto"/>
        <w:right w:val="none" w:sz="0" w:space="0" w:color="auto"/>
      </w:divBdr>
    </w:div>
    <w:div w:id="917329393">
      <w:bodyDiv w:val="1"/>
      <w:marLeft w:val="0"/>
      <w:marRight w:val="0"/>
      <w:marTop w:val="0"/>
      <w:marBottom w:val="0"/>
      <w:divBdr>
        <w:top w:val="none" w:sz="0" w:space="0" w:color="auto"/>
        <w:left w:val="none" w:sz="0" w:space="0" w:color="auto"/>
        <w:bottom w:val="none" w:sz="0" w:space="0" w:color="auto"/>
        <w:right w:val="none" w:sz="0" w:space="0" w:color="auto"/>
      </w:divBdr>
    </w:div>
    <w:div w:id="917596612">
      <w:bodyDiv w:val="1"/>
      <w:marLeft w:val="0"/>
      <w:marRight w:val="0"/>
      <w:marTop w:val="0"/>
      <w:marBottom w:val="0"/>
      <w:divBdr>
        <w:top w:val="none" w:sz="0" w:space="0" w:color="auto"/>
        <w:left w:val="none" w:sz="0" w:space="0" w:color="auto"/>
        <w:bottom w:val="none" w:sz="0" w:space="0" w:color="auto"/>
        <w:right w:val="none" w:sz="0" w:space="0" w:color="auto"/>
      </w:divBdr>
    </w:div>
    <w:div w:id="917982256">
      <w:bodyDiv w:val="1"/>
      <w:marLeft w:val="0"/>
      <w:marRight w:val="0"/>
      <w:marTop w:val="0"/>
      <w:marBottom w:val="0"/>
      <w:divBdr>
        <w:top w:val="none" w:sz="0" w:space="0" w:color="auto"/>
        <w:left w:val="none" w:sz="0" w:space="0" w:color="auto"/>
        <w:bottom w:val="none" w:sz="0" w:space="0" w:color="auto"/>
        <w:right w:val="none" w:sz="0" w:space="0" w:color="auto"/>
      </w:divBdr>
    </w:div>
    <w:div w:id="918056960">
      <w:bodyDiv w:val="1"/>
      <w:marLeft w:val="0"/>
      <w:marRight w:val="0"/>
      <w:marTop w:val="0"/>
      <w:marBottom w:val="0"/>
      <w:divBdr>
        <w:top w:val="none" w:sz="0" w:space="0" w:color="auto"/>
        <w:left w:val="none" w:sz="0" w:space="0" w:color="auto"/>
        <w:bottom w:val="none" w:sz="0" w:space="0" w:color="auto"/>
        <w:right w:val="none" w:sz="0" w:space="0" w:color="auto"/>
      </w:divBdr>
    </w:div>
    <w:div w:id="919097412">
      <w:bodyDiv w:val="1"/>
      <w:marLeft w:val="0"/>
      <w:marRight w:val="0"/>
      <w:marTop w:val="0"/>
      <w:marBottom w:val="0"/>
      <w:divBdr>
        <w:top w:val="none" w:sz="0" w:space="0" w:color="auto"/>
        <w:left w:val="none" w:sz="0" w:space="0" w:color="auto"/>
        <w:bottom w:val="none" w:sz="0" w:space="0" w:color="auto"/>
        <w:right w:val="none" w:sz="0" w:space="0" w:color="auto"/>
      </w:divBdr>
    </w:div>
    <w:div w:id="920411328">
      <w:bodyDiv w:val="1"/>
      <w:marLeft w:val="0"/>
      <w:marRight w:val="0"/>
      <w:marTop w:val="0"/>
      <w:marBottom w:val="0"/>
      <w:divBdr>
        <w:top w:val="none" w:sz="0" w:space="0" w:color="auto"/>
        <w:left w:val="none" w:sz="0" w:space="0" w:color="auto"/>
        <w:bottom w:val="none" w:sz="0" w:space="0" w:color="auto"/>
        <w:right w:val="none" w:sz="0" w:space="0" w:color="auto"/>
      </w:divBdr>
    </w:div>
    <w:div w:id="920993307">
      <w:bodyDiv w:val="1"/>
      <w:marLeft w:val="0"/>
      <w:marRight w:val="0"/>
      <w:marTop w:val="0"/>
      <w:marBottom w:val="0"/>
      <w:divBdr>
        <w:top w:val="none" w:sz="0" w:space="0" w:color="auto"/>
        <w:left w:val="none" w:sz="0" w:space="0" w:color="auto"/>
        <w:bottom w:val="none" w:sz="0" w:space="0" w:color="auto"/>
        <w:right w:val="none" w:sz="0" w:space="0" w:color="auto"/>
      </w:divBdr>
    </w:div>
    <w:div w:id="921572343">
      <w:bodyDiv w:val="1"/>
      <w:marLeft w:val="0"/>
      <w:marRight w:val="0"/>
      <w:marTop w:val="0"/>
      <w:marBottom w:val="0"/>
      <w:divBdr>
        <w:top w:val="none" w:sz="0" w:space="0" w:color="auto"/>
        <w:left w:val="none" w:sz="0" w:space="0" w:color="auto"/>
        <w:bottom w:val="none" w:sz="0" w:space="0" w:color="auto"/>
        <w:right w:val="none" w:sz="0" w:space="0" w:color="auto"/>
      </w:divBdr>
    </w:div>
    <w:div w:id="921763879">
      <w:bodyDiv w:val="1"/>
      <w:marLeft w:val="0"/>
      <w:marRight w:val="0"/>
      <w:marTop w:val="0"/>
      <w:marBottom w:val="0"/>
      <w:divBdr>
        <w:top w:val="none" w:sz="0" w:space="0" w:color="auto"/>
        <w:left w:val="none" w:sz="0" w:space="0" w:color="auto"/>
        <w:bottom w:val="none" w:sz="0" w:space="0" w:color="auto"/>
        <w:right w:val="none" w:sz="0" w:space="0" w:color="auto"/>
      </w:divBdr>
    </w:div>
    <w:div w:id="922177702">
      <w:bodyDiv w:val="1"/>
      <w:marLeft w:val="0"/>
      <w:marRight w:val="0"/>
      <w:marTop w:val="0"/>
      <w:marBottom w:val="0"/>
      <w:divBdr>
        <w:top w:val="none" w:sz="0" w:space="0" w:color="auto"/>
        <w:left w:val="none" w:sz="0" w:space="0" w:color="auto"/>
        <w:bottom w:val="none" w:sz="0" w:space="0" w:color="auto"/>
        <w:right w:val="none" w:sz="0" w:space="0" w:color="auto"/>
      </w:divBdr>
    </w:div>
    <w:div w:id="922184416">
      <w:bodyDiv w:val="1"/>
      <w:marLeft w:val="0"/>
      <w:marRight w:val="0"/>
      <w:marTop w:val="0"/>
      <w:marBottom w:val="0"/>
      <w:divBdr>
        <w:top w:val="none" w:sz="0" w:space="0" w:color="auto"/>
        <w:left w:val="none" w:sz="0" w:space="0" w:color="auto"/>
        <w:bottom w:val="none" w:sz="0" w:space="0" w:color="auto"/>
        <w:right w:val="none" w:sz="0" w:space="0" w:color="auto"/>
      </w:divBdr>
    </w:div>
    <w:div w:id="923152057">
      <w:bodyDiv w:val="1"/>
      <w:marLeft w:val="0"/>
      <w:marRight w:val="0"/>
      <w:marTop w:val="0"/>
      <w:marBottom w:val="0"/>
      <w:divBdr>
        <w:top w:val="none" w:sz="0" w:space="0" w:color="auto"/>
        <w:left w:val="none" w:sz="0" w:space="0" w:color="auto"/>
        <w:bottom w:val="none" w:sz="0" w:space="0" w:color="auto"/>
        <w:right w:val="none" w:sz="0" w:space="0" w:color="auto"/>
      </w:divBdr>
    </w:div>
    <w:div w:id="924456737">
      <w:bodyDiv w:val="1"/>
      <w:marLeft w:val="0"/>
      <w:marRight w:val="0"/>
      <w:marTop w:val="0"/>
      <w:marBottom w:val="0"/>
      <w:divBdr>
        <w:top w:val="none" w:sz="0" w:space="0" w:color="auto"/>
        <w:left w:val="none" w:sz="0" w:space="0" w:color="auto"/>
        <w:bottom w:val="none" w:sz="0" w:space="0" w:color="auto"/>
        <w:right w:val="none" w:sz="0" w:space="0" w:color="auto"/>
      </w:divBdr>
    </w:div>
    <w:div w:id="925267794">
      <w:bodyDiv w:val="1"/>
      <w:marLeft w:val="0"/>
      <w:marRight w:val="0"/>
      <w:marTop w:val="0"/>
      <w:marBottom w:val="0"/>
      <w:divBdr>
        <w:top w:val="none" w:sz="0" w:space="0" w:color="auto"/>
        <w:left w:val="none" w:sz="0" w:space="0" w:color="auto"/>
        <w:bottom w:val="none" w:sz="0" w:space="0" w:color="auto"/>
        <w:right w:val="none" w:sz="0" w:space="0" w:color="auto"/>
      </w:divBdr>
    </w:div>
    <w:div w:id="925765376">
      <w:bodyDiv w:val="1"/>
      <w:marLeft w:val="0"/>
      <w:marRight w:val="0"/>
      <w:marTop w:val="0"/>
      <w:marBottom w:val="0"/>
      <w:divBdr>
        <w:top w:val="none" w:sz="0" w:space="0" w:color="auto"/>
        <w:left w:val="none" w:sz="0" w:space="0" w:color="auto"/>
        <w:bottom w:val="none" w:sz="0" w:space="0" w:color="auto"/>
        <w:right w:val="none" w:sz="0" w:space="0" w:color="auto"/>
      </w:divBdr>
    </w:div>
    <w:div w:id="927230607">
      <w:bodyDiv w:val="1"/>
      <w:marLeft w:val="0"/>
      <w:marRight w:val="0"/>
      <w:marTop w:val="0"/>
      <w:marBottom w:val="0"/>
      <w:divBdr>
        <w:top w:val="none" w:sz="0" w:space="0" w:color="auto"/>
        <w:left w:val="none" w:sz="0" w:space="0" w:color="auto"/>
        <w:bottom w:val="none" w:sz="0" w:space="0" w:color="auto"/>
        <w:right w:val="none" w:sz="0" w:space="0" w:color="auto"/>
      </w:divBdr>
    </w:div>
    <w:div w:id="927419515">
      <w:bodyDiv w:val="1"/>
      <w:marLeft w:val="0"/>
      <w:marRight w:val="0"/>
      <w:marTop w:val="0"/>
      <w:marBottom w:val="0"/>
      <w:divBdr>
        <w:top w:val="none" w:sz="0" w:space="0" w:color="auto"/>
        <w:left w:val="none" w:sz="0" w:space="0" w:color="auto"/>
        <w:bottom w:val="none" w:sz="0" w:space="0" w:color="auto"/>
        <w:right w:val="none" w:sz="0" w:space="0" w:color="auto"/>
      </w:divBdr>
    </w:div>
    <w:div w:id="928196584">
      <w:bodyDiv w:val="1"/>
      <w:marLeft w:val="0"/>
      <w:marRight w:val="0"/>
      <w:marTop w:val="0"/>
      <w:marBottom w:val="0"/>
      <w:divBdr>
        <w:top w:val="none" w:sz="0" w:space="0" w:color="auto"/>
        <w:left w:val="none" w:sz="0" w:space="0" w:color="auto"/>
        <w:bottom w:val="none" w:sz="0" w:space="0" w:color="auto"/>
        <w:right w:val="none" w:sz="0" w:space="0" w:color="auto"/>
      </w:divBdr>
    </w:div>
    <w:div w:id="929315324">
      <w:bodyDiv w:val="1"/>
      <w:marLeft w:val="0"/>
      <w:marRight w:val="0"/>
      <w:marTop w:val="0"/>
      <w:marBottom w:val="0"/>
      <w:divBdr>
        <w:top w:val="none" w:sz="0" w:space="0" w:color="auto"/>
        <w:left w:val="none" w:sz="0" w:space="0" w:color="auto"/>
        <w:bottom w:val="none" w:sz="0" w:space="0" w:color="auto"/>
        <w:right w:val="none" w:sz="0" w:space="0" w:color="auto"/>
      </w:divBdr>
    </w:div>
    <w:div w:id="929508411">
      <w:bodyDiv w:val="1"/>
      <w:marLeft w:val="0"/>
      <w:marRight w:val="0"/>
      <w:marTop w:val="0"/>
      <w:marBottom w:val="0"/>
      <w:divBdr>
        <w:top w:val="none" w:sz="0" w:space="0" w:color="auto"/>
        <w:left w:val="none" w:sz="0" w:space="0" w:color="auto"/>
        <w:bottom w:val="none" w:sz="0" w:space="0" w:color="auto"/>
        <w:right w:val="none" w:sz="0" w:space="0" w:color="auto"/>
      </w:divBdr>
    </w:div>
    <w:div w:id="930508456">
      <w:bodyDiv w:val="1"/>
      <w:marLeft w:val="0"/>
      <w:marRight w:val="0"/>
      <w:marTop w:val="0"/>
      <w:marBottom w:val="0"/>
      <w:divBdr>
        <w:top w:val="none" w:sz="0" w:space="0" w:color="auto"/>
        <w:left w:val="none" w:sz="0" w:space="0" w:color="auto"/>
        <w:bottom w:val="none" w:sz="0" w:space="0" w:color="auto"/>
        <w:right w:val="none" w:sz="0" w:space="0" w:color="auto"/>
      </w:divBdr>
    </w:div>
    <w:div w:id="931160900">
      <w:bodyDiv w:val="1"/>
      <w:marLeft w:val="0"/>
      <w:marRight w:val="0"/>
      <w:marTop w:val="0"/>
      <w:marBottom w:val="0"/>
      <w:divBdr>
        <w:top w:val="none" w:sz="0" w:space="0" w:color="auto"/>
        <w:left w:val="none" w:sz="0" w:space="0" w:color="auto"/>
        <w:bottom w:val="none" w:sz="0" w:space="0" w:color="auto"/>
        <w:right w:val="none" w:sz="0" w:space="0" w:color="auto"/>
      </w:divBdr>
    </w:div>
    <w:div w:id="931595777">
      <w:bodyDiv w:val="1"/>
      <w:marLeft w:val="0"/>
      <w:marRight w:val="0"/>
      <w:marTop w:val="0"/>
      <w:marBottom w:val="0"/>
      <w:divBdr>
        <w:top w:val="none" w:sz="0" w:space="0" w:color="auto"/>
        <w:left w:val="none" w:sz="0" w:space="0" w:color="auto"/>
        <w:bottom w:val="none" w:sz="0" w:space="0" w:color="auto"/>
        <w:right w:val="none" w:sz="0" w:space="0" w:color="auto"/>
      </w:divBdr>
    </w:div>
    <w:div w:id="931596103">
      <w:bodyDiv w:val="1"/>
      <w:marLeft w:val="0"/>
      <w:marRight w:val="0"/>
      <w:marTop w:val="0"/>
      <w:marBottom w:val="0"/>
      <w:divBdr>
        <w:top w:val="none" w:sz="0" w:space="0" w:color="auto"/>
        <w:left w:val="none" w:sz="0" w:space="0" w:color="auto"/>
        <w:bottom w:val="none" w:sz="0" w:space="0" w:color="auto"/>
        <w:right w:val="none" w:sz="0" w:space="0" w:color="auto"/>
      </w:divBdr>
    </w:div>
    <w:div w:id="931934595">
      <w:bodyDiv w:val="1"/>
      <w:marLeft w:val="0"/>
      <w:marRight w:val="0"/>
      <w:marTop w:val="0"/>
      <w:marBottom w:val="0"/>
      <w:divBdr>
        <w:top w:val="none" w:sz="0" w:space="0" w:color="auto"/>
        <w:left w:val="none" w:sz="0" w:space="0" w:color="auto"/>
        <w:bottom w:val="none" w:sz="0" w:space="0" w:color="auto"/>
        <w:right w:val="none" w:sz="0" w:space="0" w:color="auto"/>
      </w:divBdr>
    </w:div>
    <w:div w:id="931936275">
      <w:bodyDiv w:val="1"/>
      <w:marLeft w:val="0"/>
      <w:marRight w:val="0"/>
      <w:marTop w:val="0"/>
      <w:marBottom w:val="0"/>
      <w:divBdr>
        <w:top w:val="none" w:sz="0" w:space="0" w:color="auto"/>
        <w:left w:val="none" w:sz="0" w:space="0" w:color="auto"/>
        <w:bottom w:val="none" w:sz="0" w:space="0" w:color="auto"/>
        <w:right w:val="none" w:sz="0" w:space="0" w:color="auto"/>
      </w:divBdr>
    </w:div>
    <w:div w:id="933981390">
      <w:bodyDiv w:val="1"/>
      <w:marLeft w:val="0"/>
      <w:marRight w:val="0"/>
      <w:marTop w:val="0"/>
      <w:marBottom w:val="0"/>
      <w:divBdr>
        <w:top w:val="none" w:sz="0" w:space="0" w:color="auto"/>
        <w:left w:val="none" w:sz="0" w:space="0" w:color="auto"/>
        <w:bottom w:val="none" w:sz="0" w:space="0" w:color="auto"/>
        <w:right w:val="none" w:sz="0" w:space="0" w:color="auto"/>
      </w:divBdr>
    </w:div>
    <w:div w:id="934636699">
      <w:bodyDiv w:val="1"/>
      <w:marLeft w:val="0"/>
      <w:marRight w:val="0"/>
      <w:marTop w:val="0"/>
      <w:marBottom w:val="0"/>
      <w:divBdr>
        <w:top w:val="none" w:sz="0" w:space="0" w:color="auto"/>
        <w:left w:val="none" w:sz="0" w:space="0" w:color="auto"/>
        <w:bottom w:val="none" w:sz="0" w:space="0" w:color="auto"/>
        <w:right w:val="none" w:sz="0" w:space="0" w:color="auto"/>
      </w:divBdr>
    </w:div>
    <w:div w:id="935554059">
      <w:bodyDiv w:val="1"/>
      <w:marLeft w:val="0"/>
      <w:marRight w:val="0"/>
      <w:marTop w:val="0"/>
      <w:marBottom w:val="0"/>
      <w:divBdr>
        <w:top w:val="none" w:sz="0" w:space="0" w:color="auto"/>
        <w:left w:val="none" w:sz="0" w:space="0" w:color="auto"/>
        <w:bottom w:val="none" w:sz="0" w:space="0" w:color="auto"/>
        <w:right w:val="none" w:sz="0" w:space="0" w:color="auto"/>
      </w:divBdr>
    </w:div>
    <w:div w:id="935747990">
      <w:bodyDiv w:val="1"/>
      <w:marLeft w:val="0"/>
      <w:marRight w:val="0"/>
      <w:marTop w:val="0"/>
      <w:marBottom w:val="0"/>
      <w:divBdr>
        <w:top w:val="none" w:sz="0" w:space="0" w:color="auto"/>
        <w:left w:val="none" w:sz="0" w:space="0" w:color="auto"/>
        <w:bottom w:val="none" w:sz="0" w:space="0" w:color="auto"/>
        <w:right w:val="none" w:sz="0" w:space="0" w:color="auto"/>
      </w:divBdr>
    </w:div>
    <w:div w:id="935749964">
      <w:bodyDiv w:val="1"/>
      <w:marLeft w:val="0"/>
      <w:marRight w:val="0"/>
      <w:marTop w:val="0"/>
      <w:marBottom w:val="0"/>
      <w:divBdr>
        <w:top w:val="none" w:sz="0" w:space="0" w:color="auto"/>
        <w:left w:val="none" w:sz="0" w:space="0" w:color="auto"/>
        <w:bottom w:val="none" w:sz="0" w:space="0" w:color="auto"/>
        <w:right w:val="none" w:sz="0" w:space="0" w:color="auto"/>
      </w:divBdr>
    </w:div>
    <w:div w:id="939989184">
      <w:bodyDiv w:val="1"/>
      <w:marLeft w:val="0"/>
      <w:marRight w:val="0"/>
      <w:marTop w:val="0"/>
      <w:marBottom w:val="0"/>
      <w:divBdr>
        <w:top w:val="none" w:sz="0" w:space="0" w:color="auto"/>
        <w:left w:val="none" w:sz="0" w:space="0" w:color="auto"/>
        <w:bottom w:val="none" w:sz="0" w:space="0" w:color="auto"/>
        <w:right w:val="none" w:sz="0" w:space="0" w:color="auto"/>
      </w:divBdr>
    </w:div>
    <w:div w:id="940720725">
      <w:bodyDiv w:val="1"/>
      <w:marLeft w:val="0"/>
      <w:marRight w:val="0"/>
      <w:marTop w:val="0"/>
      <w:marBottom w:val="0"/>
      <w:divBdr>
        <w:top w:val="none" w:sz="0" w:space="0" w:color="auto"/>
        <w:left w:val="none" w:sz="0" w:space="0" w:color="auto"/>
        <w:bottom w:val="none" w:sz="0" w:space="0" w:color="auto"/>
        <w:right w:val="none" w:sz="0" w:space="0" w:color="auto"/>
      </w:divBdr>
    </w:div>
    <w:div w:id="941687231">
      <w:bodyDiv w:val="1"/>
      <w:marLeft w:val="0"/>
      <w:marRight w:val="0"/>
      <w:marTop w:val="0"/>
      <w:marBottom w:val="0"/>
      <w:divBdr>
        <w:top w:val="none" w:sz="0" w:space="0" w:color="auto"/>
        <w:left w:val="none" w:sz="0" w:space="0" w:color="auto"/>
        <w:bottom w:val="none" w:sz="0" w:space="0" w:color="auto"/>
        <w:right w:val="none" w:sz="0" w:space="0" w:color="auto"/>
      </w:divBdr>
    </w:div>
    <w:div w:id="942106664">
      <w:bodyDiv w:val="1"/>
      <w:marLeft w:val="0"/>
      <w:marRight w:val="0"/>
      <w:marTop w:val="0"/>
      <w:marBottom w:val="0"/>
      <w:divBdr>
        <w:top w:val="none" w:sz="0" w:space="0" w:color="auto"/>
        <w:left w:val="none" w:sz="0" w:space="0" w:color="auto"/>
        <w:bottom w:val="none" w:sz="0" w:space="0" w:color="auto"/>
        <w:right w:val="none" w:sz="0" w:space="0" w:color="auto"/>
      </w:divBdr>
    </w:div>
    <w:div w:id="942877083">
      <w:bodyDiv w:val="1"/>
      <w:marLeft w:val="0"/>
      <w:marRight w:val="0"/>
      <w:marTop w:val="0"/>
      <w:marBottom w:val="0"/>
      <w:divBdr>
        <w:top w:val="none" w:sz="0" w:space="0" w:color="auto"/>
        <w:left w:val="none" w:sz="0" w:space="0" w:color="auto"/>
        <w:bottom w:val="none" w:sz="0" w:space="0" w:color="auto"/>
        <w:right w:val="none" w:sz="0" w:space="0" w:color="auto"/>
      </w:divBdr>
    </w:div>
    <w:div w:id="942884793">
      <w:bodyDiv w:val="1"/>
      <w:marLeft w:val="0"/>
      <w:marRight w:val="0"/>
      <w:marTop w:val="0"/>
      <w:marBottom w:val="0"/>
      <w:divBdr>
        <w:top w:val="none" w:sz="0" w:space="0" w:color="auto"/>
        <w:left w:val="none" w:sz="0" w:space="0" w:color="auto"/>
        <w:bottom w:val="none" w:sz="0" w:space="0" w:color="auto"/>
        <w:right w:val="none" w:sz="0" w:space="0" w:color="auto"/>
      </w:divBdr>
    </w:div>
    <w:div w:id="942952855">
      <w:bodyDiv w:val="1"/>
      <w:marLeft w:val="0"/>
      <w:marRight w:val="0"/>
      <w:marTop w:val="0"/>
      <w:marBottom w:val="0"/>
      <w:divBdr>
        <w:top w:val="none" w:sz="0" w:space="0" w:color="auto"/>
        <w:left w:val="none" w:sz="0" w:space="0" w:color="auto"/>
        <w:bottom w:val="none" w:sz="0" w:space="0" w:color="auto"/>
        <w:right w:val="none" w:sz="0" w:space="0" w:color="auto"/>
      </w:divBdr>
    </w:div>
    <w:div w:id="943153091">
      <w:bodyDiv w:val="1"/>
      <w:marLeft w:val="0"/>
      <w:marRight w:val="0"/>
      <w:marTop w:val="0"/>
      <w:marBottom w:val="0"/>
      <w:divBdr>
        <w:top w:val="none" w:sz="0" w:space="0" w:color="auto"/>
        <w:left w:val="none" w:sz="0" w:space="0" w:color="auto"/>
        <w:bottom w:val="none" w:sz="0" w:space="0" w:color="auto"/>
        <w:right w:val="none" w:sz="0" w:space="0" w:color="auto"/>
      </w:divBdr>
    </w:div>
    <w:div w:id="944389503">
      <w:bodyDiv w:val="1"/>
      <w:marLeft w:val="0"/>
      <w:marRight w:val="0"/>
      <w:marTop w:val="0"/>
      <w:marBottom w:val="0"/>
      <w:divBdr>
        <w:top w:val="none" w:sz="0" w:space="0" w:color="auto"/>
        <w:left w:val="none" w:sz="0" w:space="0" w:color="auto"/>
        <w:bottom w:val="none" w:sz="0" w:space="0" w:color="auto"/>
        <w:right w:val="none" w:sz="0" w:space="0" w:color="auto"/>
      </w:divBdr>
    </w:div>
    <w:div w:id="944767640">
      <w:bodyDiv w:val="1"/>
      <w:marLeft w:val="0"/>
      <w:marRight w:val="0"/>
      <w:marTop w:val="0"/>
      <w:marBottom w:val="0"/>
      <w:divBdr>
        <w:top w:val="none" w:sz="0" w:space="0" w:color="auto"/>
        <w:left w:val="none" w:sz="0" w:space="0" w:color="auto"/>
        <w:bottom w:val="none" w:sz="0" w:space="0" w:color="auto"/>
        <w:right w:val="none" w:sz="0" w:space="0" w:color="auto"/>
      </w:divBdr>
    </w:div>
    <w:div w:id="945160838">
      <w:bodyDiv w:val="1"/>
      <w:marLeft w:val="0"/>
      <w:marRight w:val="0"/>
      <w:marTop w:val="0"/>
      <w:marBottom w:val="0"/>
      <w:divBdr>
        <w:top w:val="none" w:sz="0" w:space="0" w:color="auto"/>
        <w:left w:val="none" w:sz="0" w:space="0" w:color="auto"/>
        <w:bottom w:val="none" w:sz="0" w:space="0" w:color="auto"/>
        <w:right w:val="none" w:sz="0" w:space="0" w:color="auto"/>
      </w:divBdr>
    </w:div>
    <w:div w:id="945498046">
      <w:bodyDiv w:val="1"/>
      <w:marLeft w:val="0"/>
      <w:marRight w:val="0"/>
      <w:marTop w:val="0"/>
      <w:marBottom w:val="0"/>
      <w:divBdr>
        <w:top w:val="none" w:sz="0" w:space="0" w:color="auto"/>
        <w:left w:val="none" w:sz="0" w:space="0" w:color="auto"/>
        <w:bottom w:val="none" w:sz="0" w:space="0" w:color="auto"/>
        <w:right w:val="none" w:sz="0" w:space="0" w:color="auto"/>
      </w:divBdr>
    </w:div>
    <w:div w:id="945581242">
      <w:bodyDiv w:val="1"/>
      <w:marLeft w:val="0"/>
      <w:marRight w:val="0"/>
      <w:marTop w:val="0"/>
      <w:marBottom w:val="0"/>
      <w:divBdr>
        <w:top w:val="none" w:sz="0" w:space="0" w:color="auto"/>
        <w:left w:val="none" w:sz="0" w:space="0" w:color="auto"/>
        <w:bottom w:val="none" w:sz="0" w:space="0" w:color="auto"/>
        <w:right w:val="none" w:sz="0" w:space="0" w:color="auto"/>
      </w:divBdr>
    </w:div>
    <w:div w:id="945696162">
      <w:bodyDiv w:val="1"/>
      <w:marLeft w:val="0"/>
      <w:marRight w:val="0"/>
      <w:marTop w:val="0"/>
      <w:marBottom w:val="0"/>
      <w:divBdr>
        <w:top w:val="none" w:sz="0" w:space="0" w:color="auto"/>
        <w:left w:val="none" w:sz="0" w:space="0" w:color="auto"/>
        <w:bottom w:val="none" w:sz="0" w:space="0" w:color="auto"/>
        <w:right w:val="none" w:sz="0" w:space="0" w:color="auto"/>
      </w:divBdr>
    </w:div>
    <w:div w:id="947083234">
      <w:bodyDiv w:val="1"/>
      <w:marLeft w:val="0"/>
      <w:marRight w:val="0"/>
      <w:marTop w:val="0"/>
      <w:marBottom w:val="0"/>
      <w:divBdr>
        <w:top w:val="none" w:sz="0" w:space="0" w:color="auto"/>
        <w:left w:val="none" w:sz="0" w:space="0" w:color="auto"/>
        <w:bottom w:val="none" w:sz="0" w:space="0" w:color="auto"/>
        <w:right w:val="none" w:sz="0" w:space="0" w:color="auto"/>
      </w:divBdr>
    </w:div>
    <w:div w:id="947086828">
      <w:bodyDiv w:val="1"/>
      <w:marLeft w:val="0"/>
      <w:marRight w:val="0"/>
      <w:marTop w:val="0"/>
      <w:marBottom w:val="0"/>
      <w:divBdr>
        <w:top w:val="none" w:sz="0" w:space="0" w:color="auto"/>
        <w:left w:val="none" w:sz="0" w:space="0" w:color="auto"/>
        <w:bottom w:val="none" w:sz="0" w:space="0" w:color="auto"/>
        <w:right w:val="none" w:sz="0" w:space="0" w:color="auto"/>
      </w:divBdr>
    </w:div>
    <w:div w:id="947391151">
      <w:bodyDiv w:val="1"/>
      <w:marLeft w:val="0"/>
      <w:marRight w:val="0"/>
      <w:marTop w:val="0"/>
      <w:marBottom w:val="0"/>
      <w:divBdr>
        <w:top w:val="none" w:sz="0" w:space="0" w:color="auto"/>
        <w:left w:val="none" w:sz="0" w:space="0" w:color="auto"/>
        <w:bottom w:val="none" w:sz="0" w:space="0" w:color="auto"/>
        <w:right w:val="none" w:sz="0" w:space="0" w:color="auto"/>
      </w:divBdr>
    </w:div>
    <w:div w:id="947468081">
      <w:bodyDiv w:val="1"/>
      <w:marLeft w:val="0"/>
      <w:marRight w:val="0"/>
      <w:marTop w:val="0"/>
      <w:marBottom w:val="0"/>
      <w:divBdr>
        <w:top w:val="none" w:sz="0" w:space="0" w:color="auto"/>
        <w:left w:val="none" w:sz="0" w:space="0" w:color="auto"/>
        <w:bottom w:val="none" w:sz="0" w:space="0" w:color="auto"/>
        <w:right w:val="none" w:sz="0" w:space="0" w:color="auto"/>
      </w:divBdr>
    </w:div>
    <w:div w:id="947658634">
      <w:bodyDiv w:val="1"/>
      <w:marLeft w:val="0"/>
      <w:marRight w:val="0"/>
      <w:marTop w:val="0"/>
      <w:marBottom w:val="0"/>
      <w:divBdr>
        <w:top w:val="none" w:sz="0" w:space="0" w:color="auto"/>
        <w:left w:val="none" w:sz="0" w:space="0" w:color="auto"/>
        <w:bottom w:val="none" w:sz="0" w:space="0" w:color="auto"/>
        <w:right w:val="none" w:sz="0" w:space="0" w:color="auto"/>
      </w:divBdr>
    </w:div>
    <w:div w:id="947810468">
      <w:bodyDiv w:val="1"/>
      <w:marLeft w:val="0"/>
      <w:marRight w:val="0"/>
      <w:marTop w:val="0"/>
      <w:marBottom w:val="0"/>
      <w:divBdr>
        <w:top w:val="none" w:sz="0" w:space="0" w:color="auto"/>
        <w:left w:val="none" w:sz="0" w:space="0" w:color="auto"/>
        <w:bottom w:val="none" w:sz="0" w:space="0" w:color="auto"/>
        <w:right w:val="none" w:sz="0" w:space="0" w:color="auto"/>
      </w:divBdr>
    </w:div>
    <w:div w:id="948010018">
      <w:bodyDiv w:val="1"/>
      <w:marLeft w:val="0"/>
      <w:marRight w:val="0"/>
      <w:marTop w:val="0"/>
      <w:marBottom w:val="0"/>
      <w:divBdr>
        <w:top w:val="none" w:sz="0" w:space="0" w:color="auto"/>
        <w:left w:val="none" w:sz="0" w:space="0" w:color="auto"/>
        <w:bottom w:val="none" w:sz="0" w:space="0" w:color="auto"/>
        <w:right w:val="none" w:sz="0" w:space="0" w:color="auto"/>
      </w:divBdr>
    </w:div>
    <w:div w:id="948468602">
      <w:bodyDiv w:val="1"/>
      <w:marLeft w:val="0"/>
      <w:marRight w:val="0"/>
      <w:marTop w:val="0"/>
      <w:marBottom w:val="0"/>
      <w:divBdr>
        <w:top w:val="none" w:sz="0" w:space="0" w:color="auto"/>
        <w:left w:val="none" w:sz="0" w:space="0" w:color="auto"/>
        <w:bottom w:val="none" w:sz="0" w:space="0" w:color="auto"/>
        <w:right w:val="none" w:sz="0" w:space="0" w:color="auto"/>
      </w:divBdr>
      <w:divsChild>
        <w:div w:id="1819030837">
          <w:marLeft w:val="0"/>
          <w:marRight w:val="0"/>
          <w:marTop w:val="0"/>
          <w:marBottom w:val="0"/>
          <w:divBdr>
            <w:top w:val="none" w:sz="0" w:space="0" w:color="auto"/>
            <w:left w:val="none" w:sz="0" w:space="0" w:color="auto"/>
            <w:bottom w:val="none" w:sz="0" w:space="0" w:color="auto"/>
            <w:right w:val="none" w:sz="0" w:space="0" w:color="auto"/>
          </w:divBdr>
        </w:div>
      </w:divsChild>
    </w:div>
    <w:div w:id="949430563">
      <w:bodyDiv w:val="1"/>
      <w:marLeft w:val="0"/>
      <w:marRight w:val="0"/>
      <w:marTop w:val="0"/>
      <w:marBottom w:val="0"/>
      <w:divBdr>
        <w:top w:val="none" w:sz="0" w:space="0" w:color="auto"/>
        <w:left w:val="none" w:sz="0" w:space="0" w:color="auto"/>
        <w:bottom w:val="none" w:sz="0" w:space="0" w:color="auto"/>
        <w:right w:val="none" w:sz="0" w:space="0" w:color="auto"/>
      </w:divBdr>
    </w:div>
    <w:div w:id="950820521">
      <w:bodyDiv w:val="1"/>
      <w:marLeft w:val="0"/>
      <w:marRight w:val="0"/>
      <w:marTop w:val="0"/>
      <w:marBottom w:val="0"/>
      <w:divBdr>
        <w:top w:val="none" w:sz="0" w:space="0" w:color="auto"/>
        <w:left w:val="none" w:sz="0" w:space="0" w:color="auto"/>
        <w:bottom w:val="none" w:sz="0" w:space="0" w:color="auto"/>
        <w:right w:val="none" w:sz="0" w:space="0" w:color="auto"/>
      </w:divBdr>
    </w:div>
    <w:div w:id="951017999">
      <w:bodyDiv w:val="1"/>
      <w:marLeft w:val="0"/>
      <w:marRight w:val="0"/>
      <w:marTop w:val="0"/>
      <w:marBottom w:val="0"/>
      <w:divBdr>
        <w:top w:val="none" w:sz="0" w:space="0" w:color="auto"/>
        <w:left w:val="none" w:sz="0" w:space="0" w:color="auto"/>
        <w:bottom w:val="none" w:sz="0" w:space="0" w:color="auto"/>
        <w:right w:val="none" w:sz="0" w:space="0" w:color="auto"/>
      </w:divBdr>
    </w:div>
    <w:div w:id="952135460">
      <w:bodyDiv w:val="1"/>
      <w:marLeft w:val="0"/>
      <w:marRight w:val="0"/>
      <w:marTop w:val="0"/>
      <w:marBottom w:val="0"/>
      <w:divBdr>
        <w:top w:val="none" w:sz="0" w:space="0" w:color="auto"/>
        <w:left w:val="none" w:sz="0" w:space="0" w:color="auto"/>
        <w:bottom w:val="none" w:sz="0" w:space="0" w:color="auto"/>
        <w:right w:val="none" w:sz="0" w:space="0" w:color="auto"/>
      </w:divBdr>
    </w:div>
    <w:div w:id="955521777">
      <w:bodyDiv w:val="1"/>
      <w:marLeft w:val="0"/>
      <w:marRight w:val="0"/>
      <w:marTop w:val="0"/>
      <w:marBottom w:val="0"/>
      <w:divBdr>
        <w:top w:val="none" w:sz="0" w:space="0" w:color="auto"/>
        <w:left w:val="none" w:sz="0" w:space="0" w:color="auto"/>
        <w:bottom w:val="none" w:sz="0" w:space="0" w:color="auto"/>
        <w:right w:val="none" w:sz="0" w:space="0" w:color="auto"/>
      </w:divBdr>
    </w:div>
    <w:div w:id="955596396">
      <w:bodyDiv w:val="1"/>
      <w:marLeft w:val="0"/>
      <w:marRight w:val="0"/>
      <w:marTop w:val="0"/>
      <w:marBottom w:val="0"/>
      <w:divBdr>
        <w:top w:val="none" w:sz="0" w:space="0" w:color="auto"/>
        <w:left w:val="none" w:sz="0" w:space="0" w:color="auto"/>
        <w:bottom w:val="none" w:sz="0" w:space="0" w:color="auto"/>
        <w:right w:val="none" w:sz="0" w:space="0" w:color="auto"/>
      </w:divBdr>
    </w:div>
    <w:div w:id="956445028">
      <w:bodyDiv w:val="1"/>
      <w:marLeft w:val="0"/>
      <w:marRight w:val="0"/>
      <w:marTop w:val="0"/>
      <w:marBottom w:val="0"/>
      <w:divBdr>
        <w:top w:val="none" w:sz="0" w:space="0" w:color="auto"/>
        <w:left w:val="none" w:sz="0" w:space="0" w:color="auto"/>
        <w:bottom w:val="none" w:sz="0" w:space="0" w:color="auto"/>
        <w:right w:val="none" w:sz="0" w:space="0" w:color="auto"/>
      </w:divBdr>
    </w:div>
    <w:div w:id="956644566">
      <w:bodyDiv w:val="1"/>
      <w:marLeft w:val="0"/>
      <w:marRight w:val="0"/>
      <w:marTop w:val="0"/>
      <w:marBottom w:val="0"/>
      <w:divBdr>
        <w:top w:val="none" w:sz="0" w:space="0" w:color="auto"/>
        <w:left w:val="none" w:sz="0" w:space="0" w:color="auto"/>
        <w:bottom w:val="none" w:sz="0" w:space="0" w:color="auto"/>
        <w:right w:val="none" w:sz="0" w:space="0" w:color="auto"/>
      </w:divBdr>
    </w:div>
    <w:div w:id="958801214">
      <w:bodyDiv w:val="1"/>
      <w:marLeft w:val="0"/>
      <w:marRight w:val="0"/>
      <w:marTop w:val="0"/>
      <w:marBottom w:val="0"/>
      <w:divBdr>
        <w:top w:val="none" w:sz="0" w:space="0" w:color="auto"/>
        <w:left w:val="none" w:sz="0" w:space="0" w:color="auto"/>
        <w:bottom w:val="none" w:sz="0" w:space="0" w:color="auto"/>
        <w:right w:val="none" w:sz="0" w:space="0" w:color="auto"/>
      </w:divBdr>
    </w:div>
    <w:div w:id="960112355">
      <w:bodyDiv w:val="1"/>
      <w:marLeft w:val="0"/>
      <w:marRight w:val="0"/>
      <w:marTop w:val="0"/>
      <w:marBottom w:val="0"/>
      <w:divBdr>
        <w:top w:val="none" w:sz="0" w:space="0" w:color="auto"/>
        <w:left w:val="none" w:sz="0" w:space="0" w:color="auto"/>
        <w:bottom w:val="none" w:sz="0" w:space="0" w:color="auto"/>
        <w:right w:val="none" w:sz="0" w:space="0" w:color="auto"/>
      </w:divBdr>
    </w:div>
    <w:div w:id="960380518">
      <w:bodyDiv w:val="1"/>
      <w:marLeft w:val="0"/>
      <w:marRight w:val="0"/>
      <w:marTop w:val="0"/>
      <w:marBottom w:val="0"/>
      <w:divBdr>
        <w:top w:val="none" w:sz="0" w:space="0" w:color="auto"/>
        <w:left w:val="none" w:sz="0" w:space="0" w:color="auto"/>
        <w:bottom w:val="none" w:sz="0" w:space="0" w:color="auto"/>
        <w:right w:val="none" w:sz="0" w:space="0" w:color="auto"/>
      </w:divBdr>
    </w:div>
    <w:div w:id="960955880">
      <w:bodyDiv w:val="1"/>
      <w:marLeft w:val="0"/>
      <w:marRight w:val="0"/>
      <w:marTop w:val="0"/>
      <w:marBottom w:val="0"/>
      <w:divBdr>
        <w:top w:val="none" w:sz="0" w:space="0" w:color="auto"/>
        <w:left w:val="none" w:sz="0" w:space="0" w:color="auto"/>
        <w:bottom w:val="none" w:sz="0" w:space="0" w:color="auto"/>
        <w:right w:val="none" w:sz="0" w:space="0" w:color="auto"/>
      </w:divBdr>
    </w:div>
    <w:div w:id="960962178">
      <w:bodyDiv w:val="1"/>
      <w:marLeft w:val="0"/>
      <w:marRight w:val="0"/>
      <w:marTop w:val="0"/>
      <w:marBottom w:val="0"/>
      <w:divBdr>
        <w:top w:val="none" w:sz="0" w:space="0" w:color="auto"/>
        <w:left w:val="none" w:sz="0" w:space="0" w:color="auto"/>
        <w:bottom w:val="none" w:sz="0" w:space="0" w:color="auto"/>
        <w:right w:val="none" w:sz="0" w:space="0" w:color="auto"/>
      </w:divBdr>
    </w:div>
    <w:div w:id="961427032">
      <w:bodyDiv w:val="1"/>
      <w:marLeft w:val="0"/>
      <w:marRight w:val="0"/>
      <w:marTop w:val="0"/>
      <w:marBottom w:val="0"/>
      <w:divBdr>
        <w:top w:val="none" w:sz="0" w:space="0" w:color="auto"/>
        <w:left w:val="none" w:sz="0" w:space="0" w:color="auto"/>
        <w:bottom w:val="none" w:sz="0" w:space="0" w:color="auto"/>
        <w:right w:val="none" w:sz="0" w:space="0" w:color="auto"/>
      </w:divBdr>
    </w:div>
    <w:div w:id="961544600">
      <w:bodyDiv w:val="1"/>
      <w:marLeft w:val="0"/>
      <w:marRight w:val="0"/>
      <w:marTop w:val="0"/>
      <w:marBottom w:val="0"/>
      <w:divBdr>
        <w:top w:val="none" w:sz="0" w:space="0" w:color="auto"/>
        <w:left w:val="none" w:sz="0" w:space="0" w:color="auto"/>
        <w:bottom w:val="none" w:sz="0" w:space="0" w:color="auto"/>
        <w:right w:val="none" w:sz="0" w:space="0" w:color="auto"/>
      </w:divBdr>
    </w:div>
    <w:div w:id="962269885">
      <w:bodyDiv w:val="1"/>
      <w:marLeft w:val="0"/>
      <w:marRight w:val="0"/>
      <w:marTop w:val="0"/>
      <w:marBottom w:val="0"/>
      <w:divBdr>
        <w:top w:val="none" w:sz="0" w:space="0" w:color="auto"/>
        <w:left w:val="none" w:sz="0" w:space="0" w:color="auto"/>
        <w:bottom w:val="none" w:sz="0" w:space="0" w:color="auto"/>
        <w:right w:val="none" w:sz="0" w:space="0" w:color="auto"/>
      </w:divBdr>
    </w:div>
    <w:div w:id="962619491">
      <w:bodyDiv w:val="1"/>
      <w:marLeft w:val="0"/>
      <w:marRight w:val="0"/>
      <w:marTop w:val="0"/>
      <w:marBottom w:val="0"/>
      <w:divBdr>
        <w:top w:val="none" w:sz="0" w:space="0" w:color="auto"/>
        <w:left w:val="none" w:sz="0" w:space="0" w:color="auto"/>
        <w:bottom w:val="none" w:sz="0" w:space="0" w:color="auto"/>
        <w:right w:val="none" w:sz="0" w:space="0" w:color="auto"/>
      </w:divBdr>
    </w:div>
    <w:div w:id="962811280">
      <w:bodyDiv w:val="1"/>
      <w:marLeft w:val="0"/>
      <w:marRight w:val="0"/>
      <w:marTop w:val="0"/>
      <w:marBottom w:val="0"/>
      <w:divBdr>
        <w:top w:val="none" w:sz="0" w:space="0" w:color="auto"/>
        <w:left w:val="none" w:sz="0" w:space="0" w:color="auto"/>
        <w:bottom w:val="none" w:sz="0" w:space="0" w:color="auto"/>
        <w:right w:val="none" w:sz="0" w:space="0" w:color="auto"/>
      </w:divBdr>
    </w:div>
    <w:div w:id="963005416">
      <w:bodyDiv w:val="1"/>
      <w:marLeft w:val="0"/>
      <w:marRight w:val="0"/>
      <w:marTop w:val="0"/>
      <w:marBottom w:val="0"/>
      <w:divBdr>
        <w:top w:val="none" w:sz="0" w:space="0" w:color="auto"/>
        <w:left w:val="none" w:sz="0" w:space="0" w:color="auto"/>
        <w:bottom w:val="none" w:sz="0" w:space="0" w:color="auto"/>
        <w:right w:val="none" w:sz="0" w:space="0" w:color="auto"/>
      </w:divBdr>
    </w:div>
    <w:div w:id="963923762">
      <w:bodyDiv w:val="1"/>
      <w:marLeft w:val="0"/>
      <w:marRight w:val="0"/>
      <w:marTop w:val="0"/>
      <w:marBottom w:val="0"/>
      <w:divBdr>
        <w:top w:val="none" w:sz="0" w:space="0" w:color="auto"/>
        <w:left w:val="none" w:sz="0" w:space="0" w:color="auto"/>
        <w:bottom w:val="none" w:sz="0" w:space="0" w:color="auto"/>
        <w:right w:val="none" w:sz="0" w:space="0" w:color="auto"/>
      </w:divBdr>
    </w:div>
    <w:div w:id="964122765">
      <w:bodyDiv w:val="1"/>
      <w:marLeft w:val="0"/>
      <w:marRight w:val="0"/>
      <w:marTop w:val="0"/>
      <w:marBottom w:val="0"/>
      <w:divBdr>
        <w:top w:val="none" w:sz="0" w:space="0" w:color="auto"/>
        <w:left w:val="none" w:sz="0" w:space="0" w:color="auto"/>
        <w:bottom w:val="none" w:sz="0" w:space="0" w:color="auto"/>
        <w:right w:val="none" w:sz="0" w:space="0" w:color="auto"/>
      </w:divBdr>
    </w:div>
    <w:div w:id="965501782">
      <w:bodyDiv w:val="1"/>
      <w:marLeft w:val="0"/>
      <w:marRight w:val="0"/>
      <w:marTop w:val="0"/>
      <w:marBottom w:val="0"/>
      <w:divBdr>
        <w:top w:val="none" w:sz="0" w:space="0" w:color="auto"/>
        <w:left w:val="none" w:sz="0" w:space="0" w:color="auto"/>
        <w:bottom w:val="none" w:sz="0" w:space="0" w:color="auto"/>
        <w:right w:val="none" w:sz="0" w:space="0" w:color="auto"/>
      </w:divBdr>
    </w:div>
    <w:div w:id="966278721">
      <w:bodyDiv w:val="1"/>
      <w:marLeft w:val="0"/>
      <w:marRight w:val="0"/>
      <w:marTop w:val="0"/>
      <w:marBottom w:val="0"/>
      <w:divBdr>
        <w:top w:val="none" w:sz="0" w:space="0" w:color="auto"/>
        <w:left w:val="none" w:sz="0" w:space="0" w:color="auto"/>
        <w:bottom w:val="none" w:sz="0" w:space="0" w:color="auto"/>
        <w:right w:val="none" w:sz="0" w:space="0" w:color="auto"/>
      </w:divBdr>
    </w:div>
    <w:div w:id="966856341">
      <w:bodyDiv w:val="1"/>
      <w:marLeft w:val="0"/>
      <w:marRight w:val="0"/>
      <w:marTop w:val="0"/>
      <w:marBottom w:val="0"/>
      <w:divBdr>
        <w:top w:val="none" w:sz="0" w:space="0" w:color="auto"/>
        <w:left w:val="none" w:sz="0" w:space="0" w:color="auto"/>
        <w:bottom w:val="none" w:sz="0" w:space="0" w:color="auto"/>
        <w:right w:val="none" w:sz="0" w:space="0" w:color="auto"/>
      </w:divBdr>
    </w:div>
    <w:div w:id="967470905">
      <w:bodyDiv w:val="1"/>
      <w:marLeft w:val="0"/>
      <w:marRight w:val="0"/>
      <w:marTop w:val="0"/>
      <w:marBottom w:val="0"/>
      <w:divBdr>
        <w:top w:val="none" w:sz="0" w:space="0" w:color="auto"/>
        <w:left w:val="none" w:sz="0" w:space="0" w:color="auto"/>
        <w:bottom w:val="none" w:sz="0" w:space="0" w:color="auto"/>
        <w:right w:val="none" w:sz="0" w:space="0" w:color="auto"/>
      </w:divBdr>
    </w:div>
    <w:div w:id="967706866">
      <w:bodyDiv w:val="1"/>
      <w:marLeft w:val="0"/>
      <w:marRight w:val="0"/>
      <w:marTop w:val="0"/>
      <w:marBottom w:val="0"/>
      <w:divBdr>
        <w:top w:val="none" w:sz="0" w:space="0" w:color="auto"/>
        <w:left w:val="none" w:sz="0" w:space="0" w:color="auto"/>
        <w:bottom w:val="none" w:sz="0" w:space="0" w:color="auto"/>
        <w:right w:val="none" w:sz="0" w:space="0" w:color="auto"/>
      </w:divBdr>
    </w:div>
    <w:div w:id="970789844">
      <w:bodyDiv w:val="1"/>
      <w:marLeft w:val="0"/>
      <w:marRight w:val="0"/>
      <w:marTop w:val="0"/>
      <w:marBottom w:val="0"/>
      <w:divBdr>
        <w:top w:val="none" w:sz="0" w:space="0" w:color="auto"/>
        <w:left w:val="none" w:sz="0" w:space="0" w:color="auto"/>
        <w:bottom w:val="none" w:sz="0" w:space="0" w:color="auto"/>
        <w:right w:val="none" w:sz="0" w:space="0" w:color="auto"/>
      </w:divBdr>
    </w:div>
    <w:div w:id="970868989">
      <w:bodyDiv w:val="1"/>
      <w:marLeft w:val="0"/>
      <w:marRight w:val="0"/>
      <w:marTop w:val="0"/>
      <w:marBottom w:val="0"/>
      <w:divBdr>
        <w:top w:val="none" w:sz="0" w:space="0" w:color="auto"/>
        <w:left w:val="none" w:sz="0" w:space="0" w:color="auto"/>
        <w:bottom w:val="none" w:sz="0" w:space="0" w:color="auto"/>
        <w:right w:val="none" w:sz="0" w:space="0" w:color="auto"/>
      </w:divBdr>
    </w:div>
    <w:div w:id="971136722">
      <w:bodyDiv w:val="1"/>
      <w:marLeft w:val="0"/>
      <w:marRight w:val="0"/>
      <w:marTop w:val="0"/>
      <w:marBottom w:val="0"/>
      <w:divBdr>
        <w:top w:val="none" w:sz="0" w:space="0" w:color="auto"/>
        <w:left w:val="none" w:sz="0" w:space="0" w:color="auto"/>
        <w:bottom w:val="none" w:sz="0" w:space="0" w:color="auto"/>
        <w:right w:val="none" w:sz="0" w:space="0" w:color="auto"/>
      </w:divBdr>
    </w:div>
    <w:div w:id="971137918">
      <w:bodyDiv w:val="1"/>
      <w:marLeft w:val="0"/>
      <w:marRight w:val="0"/>
      <w:marTop w:val="0"/>
      <w:marBottom w:val="0"/>
      <w:divBdr>
        <w:top w:val="none" w:sz="0" w:space="0" w:color="auto"/>
        <w:left w:val="none" w:sz="0" w:space="0" w:color="auto"/>
        <w:bottom w:val="none" w:sz="0" w:space="0" w:color="auto"/>
        <w:right w:val="none" w:sz="0" w:space="0" w:color="auto"/>
      </w:divBdr>
    </w:div>
    <w:div w:id="971901926">
      <w:bodyDiv w:val="1"/>
      <w:marLeft w:val="0"/>
      <w:marRight w:val="0"/>
      <w:marTop w:val="0"/>
      <w:marBottom w:val="0"/>
      <w:divBdr>
        <w:top w:val="none" w:sz="0" w:space="0" w:color="auto"/>
        <w:left w:val="none" w:sz="0" w:space="0" w:color="auto"/>
        <w:bottom w:val="none" w:sz="0" w:space="0" w:color="auto"/>
        <w:right w:val="none" w:sz="0" w:space="0" w:color="auto"/>
      </w:divBdr>
    </w:div>
    <w:div w:id="971980084">
      <w:bodyDiv w:val="1"/>
      <w:marLeft w:val="0"/>
      <w:marRight w:val="0"/>
      <w:marTop w:val="0"/>
      <w:marBottom w:val="0"/>
      <w:divBdr>
        <w:top w:val="none" w:sz="0" w:space="0" w:color="auto"/>
        <w:left w:val="none" w:sz="0" w:space="0" w:color="auto"/>
        <w:bottom w:val="none" w:sz="0" w:space="0" w:color="auto"/>
        <w:right w:val="none" w:sz="0" w:space="0" w:color="auto"/>
      </w:divBdr>
    </w:div>
    <w:div w:id="973104026">
      <w:bodyDiv w:val="1"/>
      <w:marLeft w:val="0"/>
      <w:marRight w:val="0"/>
      <w:marTop w:val="0"/>
      <w:marBottom w:val="0"/>
      <w:divBdr>
        <w:top w:val="none" w:sz="0" w:space="0" w:color="auto"/>
        <w:left w:val="none" w:sz="0" w:space="0" w:color="auto"/>
        <w:bottom w:val="none" w:sz="0" w:space="0" w:color="auto"/>
        <w:right w:val="none" w:sz="0" w:space="0" w:color="auto"/>
      </w:divBdr>
    </w:div>
    <w:div w:id="973218401">
      <w:bodyDiv w:val="1"/>
      <w:marLeft w:val="0"/>
      <w:marRight w:val="0"/>
      <w:marTop w:val="0"/>
      <w:marBottom w:val="0"/>
      <w:divBdr>
        <w:top w:val="none" w:sz="0" w:space="0" w:color="auto"/>
        <w:left w:val="none" w:sz="0" w:space="0" w:color="auto"/>
        <w:bottom w:val="none" w:sz="0" w:space="0" w:color="auto"/>
        <w:right w:val="none" w:sz="0" w:space="0" w:color="auto"/>
      </w:divBdr>
    </w:div>
    <w:div w:id="973483343">
      <w:bodyDiv w:val="1"/>
      <w:marLeft w:val="0"/>
      <w:marRight w:val="0"/>
      <w:marTop w:val="0"/>
      <w:marBottom w:val="0"/>
      <w:divBdr>
        <w:top w:val="none" w:sz="0" w:space="0" w:color="auto"/>
        <w:left w:val="none" w:sz="0" w:space="0" w:color="auto"/>
        <w:bottom w:val="none" w:sz="0" w:space="0" w:color="auto"/>
        <w:right w:val="none" w:sz="0" w:space="0" w:color="auto"/>
      </w:divBdr>
    </w:div>
    <w:div w:id="974144386">
      <w:bodyDiv w:val="1"/>
      <w:marLeft w:val="0"/>
      <w:marRight w:val="0"/>
      <w:marTop w:val="0"/>
      <w:marBottom w:val="0"/>
      <w:divBdr>
        <w:top w:val="none" w:sz="0" w:space="0" w:color="auto"/>
        <w:left w:val="none" w:sz="0" w:space="0" w:color="auto"/>
        <w:bottom w:val="none" w:sz="0" w:space="0" w:color="auto"/>
        <w:right w:val="none" w:sz="0" w:space="0" w:color="auto"/>
      </w:divBdr>
    </w:div>
    <w:div w:id="975061535">
      <w:bodyDiv w:val="1"/>
      <w:marLeft w:val="0"/>
      <w:marRight w:val="0"/>
      <w:marTop w:val="0"/>
      <w:marBottom w:val="0"/>
      <w:divBdr>
        <w:top w:val="none" w:sz="0" w:space="0" w:color="auto"/>
        <w:left w:val="none" w:sz="0" w:space="0" w:color="auto"/>
        <w:bottom w:val="none" w:sz="0" w:space="0" w:color="auto"/>
        <w:right w:val="none" w:sz="0" w:space="0" w:color="auto"/>
      </w:divBdr>
    </w:div>
    <w:div w:id="975067167">
      <w:bodyDiv w:val="1"/>
      <w:marLeft w:val="0"/>
      <w:marRight w:val="0"/>
      <w:marTop w:val="0"/>
      <w:marBottom w:val="0"/>
      <w:divBdr>
        <w:top w:val="none" w:sz="0" w:space="0" w:color="auto"/>
        <w:left w:val="none" w:sz="0" w:space="0" w:color="auto"/>
        <w:bottom w:val="none" w:sz="0" w:space="0" w:color="auto"/>
        <w:right w:val="none" w:sz="0" w:space="0" w:color="auto"/>
      </w:divBdr>
    </w:div>
    <w:div w:id="975179560">
      <w:bodyDiv w:val="1"/>
      <w:marLeft w:val="0"/>
      <w:marRight w:val="0"/>
      <w:marTop w:val="0"/>
      <w:marBottom w:val="0"/>
      <w:divBdr>
        <w:top w:val="none" w:sz="0" w:space="0" w:color="auto"/>
        <w:left w:val="none" w:sz="0" w:space="0" w:color="auto"/>
        <w:bottom w:val="none" w:sz="0" w:space="0" w:color="auto"/>
        <w:right w:val="none" w:sz="0" w:space="0" w:color="auto"/>
      </w:divBdr>
    </w:div>
    <w:div w:id="975642570">
      <w:bodyDiv w:val="1"/>
      <w:marLeft w:val="0"/>
      <w:marRight w:val="0"/>
      <w:marTop w:val="0"/>
      <w:marBottom w:val="0"/>
      <w:divBdr>
        <w:top w:val="none" w:sz="0" w:space="0" w:color="auto"/>
        <w:left w:val="none" w:sz="0" w:space="0" w:color="auto"/>
        <w:bottom w:val="none" w:sz="0" w:space="0" w:color="auto"/>
        <w:right w:val="none" w:sz="0" w:space="0" w:color="auto"/>
      </w:divBdr>
    </w:div>
    <w:div w:id="976225666">
      <w:bodyDiv w:val="1"/>
      <w:marLeft w:val="0"/>
      <w:marRight w:val="0"/>
      <w:marTop w:val="0"/>
      <w:marBottom w:val="0"/>
      <w:divBdr>
        <w:top w:val="none" w:sz="0" w:space="0" w:color="auto"/>
        <w:left w:val="none" w:sz="0" w:space="0" w:color="auto"/>
        <w:bottom w:val="none" w:sz="0" w:space="0" w:color="auto"/>
        <w:right w:val="none" w:sz="0" w:space="0" w:color="auto"/>
      </w:divBdr>
    </w:div>
    <w:div w:id="976568920">
      <w:bodyDiv w:val="1"/>
      <w:marLeft w:val="0"/>
      <w:marRight w:val="0"/>
      <w:marTop w:val="0"/>
      <w:marBottom w:val="0"/>
      <w:divBdr>
        <w:top w:val="none" w:sz="0" w:space="0" w:color="auto"/>
        <w:left w:val="none" w:sz="0" w:space="0" w:color="auto"/>
        <w:bottom w:val="none" w:sz="0" w:space="0" w:color="auto"/>
        <w:right w:val="none" w:sz="0" w:space="0" w:color="auto"/>
      </w:divBdr>
    </w:div>
    <w:div w:id="977027781">
      <w:bodyDiv w:val="1"/>
      <w:marLeft w:val="0"/>
      <w:marRight w:val="0"/>
      <w:marTop w:val="0"/>
      <w:marBottom w:val="0"/>
      <w:divBdr>
        <w:top w:val="none" w:sz="0" w:space="0" w:color="auto"/>
        <w:left w:val="none" w:sz="0" w:space="0" w:color="auto"/>
        <w:bottom w:val="none" w:sz="0" w:space="0" w:color="auto"/>
        <w:right w:val="none" w:sz="0" w:space="0" w:color="auto"/>
      </w:divBdr>
    </w:div>
    <w:div w:id="977227004">
      <w:bodyDiv w:val="1"/>
      <w:marLeft w:val="0"/>
      <w:marRight w:val="0"/>
      <w:marTop w:val="0"/>
      <w:marBottom w:val="0"/>
      <w:divBdr>
        <w:top w:val="none" w:sz="0" w:space="0" w:color="auto"/>
        <w:left w:val="none" w:sz="0" w:space="0" w:color="auto"/>
        <w:bottom w:val="none" w:sz="0" w:space="0" w:color="auto"/>
        <w:right w:val="none" w:sz="0" w:space="0" w:color="auto"/>
      </w:divBdr>
    </w:div>
    <w:div w:id="977689771">
      <w:bodyDiv w:val="1"/>
      <w:marLeft w:val="0"/>
      <w:marRight w:val="0"/>
      <w:marTop w:val="0"/>
      <w:marBottom w:val="0"/>
      <w:divBdr>
        <w:top w:val="none" w:sz="0" w:space="0" w:color="auto"/>
        <w:left w:val="none" w:sz="0" w:space="0" w:color="auto"/>
        <w:bottom w:val="none" w:sz="0" w:space="0" w:color="auto"/>
        <w:right w:val="none" w:sz="0" w:space="0" w:color="auto"/>
      </w:divBdr>
    </w:div>
    <w:div w:id="978337719">
      <w:bodyDiv w:val="1"/>
      <w:marLeft w:val="0"/>
      <w:marRight w:val="0"/>
      <w:marTop w:val="0"/>
      <w:marBottom w:val="0"/>
      <w:divBdr>
        <w:top w:val="none" w:sz="0" w:space="0" w:color="auto"/>
        <w:left w:val="none" w:sz="0" w:space="0" w:color="auto"/>
        <w:bottom w:val="none" w:sz="0" w:space="0" w:color="auto"/>
        <w:right w:val="none" w:sz="0" w:space="0" w:color="auto"/>
      </w:divBdr>
    </w:div>
    <w:div w:id="979336915">
      <w:bodyDiv w:val="1"/>
      <w:marLeft w:val="0"/>
      <w:marRight w:val="0"/>
      <w:marTop w:val="0"/>
      <w:marBottom w:val="0"/>
      <w:divBdr>
        <w:top w:val="none" w:sz="0" w:space="0" w:color="auto"/>
        <w:left w:val="none" w:sz="0" w:space="0" w:color="auto"/>
        <w:bottom w:val="none" w:sz="0" w:space="0" w:color="auto"/>
        <w:right w:val="none" w:sz="0" w:space="0" w:color="auto"/>
      </w:divBdr>
    </w:div>
    <w:div w:id="980886435">
      <w:bodyDiv w:val="1"/>
      <w:marLeft w:val="0"/>
      <w:marRight w:val="0"/>
      <w:marTop w:val="0"/>
      <w:marBottom w:val="0"/>
      <w:divBdr>
        <w:top w:val="none" w:sz="0" w:space="0" w:color="auto"/>
        <w:left w:val="none" w:sz="0" w:space="0" w:color="auto"/>
        <w:bottom w:val="none" w:sz="0" w:space="0" w:color="auto"/>
        <w:right w:val="none" w:sz="0" w:space="0" w:color="auto"/>
      </w:divBdr>
    </w:div>
    <w:div w:id="981036442">
      <w:bodyDiv w:val="1"/>
      <w:marLeft w:val="0"/>
      <w:marRight w:val="0"/>
      <w:marTop w:val="0"/>
      <w:marBottom w:val="0"/>
      <w:divBdr>
        <w:top w:val="none" w:sz="0" w:space="0" w:color="auto"/>
        <w:left w:val="none" w:sz="0" w:space="0" w:color="auto"/>
        <w:bottom w:val="none" w:sz="0" w:space="0" w:color="auto"/>
        <w:right w:val="none" w:sz="0" w:space="0" w:color="auto"/>
      </w:divBdr>
    </w:div>
    <w:div w:id="981159424">
      <w:bodyDiv w:val="1"/>
      <w:marLeft w:val="0"/>
      <w:marRight w:val="0"/>
      <w:marTop w:val="0"/>
      <w:marBottom w:val="0"/>
      <w:divBdr>
        <w:top w:val="none" w:sz="0" w:space="0" w:color="auto"/>
        <w:left w:val="none" w:sz="0" w:space="0" w:color="auto"/>
        <w:bottom w:val="none" w:sz="0" w:space="0" w:color="auto"/>
        <w:right w:val="none" w:sz="0" w:space="0" w:color="auto"/>
      </w:divBdr>
    </w:div>
    <w:div w:id="982193948">
      <w:bodyDiv w:val="1"/>
      <w:marLeft w:val="0"/>
      <w:marRight w:val="0"/>
      <w:marTop w:val="0"/>
      <w:marBottom w:val="0"/>
      <w:divBdr>
        <w:top w:val="none" w:sz="0" w:space="0" w:color="auto"/>
        <w:left w:val="none" w:sz="0" w:space="0" w:color="auto"/>
        <w:bottom w:val="none" w:sz="0" w:space="0" w:color="auto"/>
        <w:right w:val="none" w:sz="0" w:space="0" w:color="auto"/>
      </w:divBdr>
    </w:div>
    <w:div w:id="982349672">
      <w:bodyDiv w:val="1"/>
      <w:marLeft w:val="0"/>
      <w:marRight w:val="0"/>
      <w:marTop w:val="0"/>
      <w:marBottom w:val="0"/>
      <w:divBdr>
        <w:top w:val="none" w:sz="0" w:space="0" w:color="auto"/>
        <w:left w:val="none" w:sz="0" w:space="0" w:color="auto"/>
        <w:bottom w:val="none" w:sz="0" w:space="0" w:color="auto"/>
        <w:right w:val="none" w:sz="0" w:space="0" w:color="auto"/>
      </w:divBdr>
    </w:div>
    <w:div w:id="982854935">
      <w:bodyDiv w:val="1"/>
      <w:marLeft w:val="0"/>
      <w:marRight w:val="0"/>
      <w:marTop w:val="0"/>
      <w:marBottom w:val="0"/>
      <w:divBdr>
        <w:top w:val="none" w:sz="0" w:space="0" w:color="auto"/>
        <w:left w:val="none" w:sz="0" w:space="0" w:color="auto"/>
        <w:bottom w:val="none" w:sz="0" w:space="0" w:color="auto"/>
        <w:right w:val="none" w:sz="0" w:space="0" w:color="auto"/>
      </w:divBdr>
    </w:div>
    <w:div w:id="983237250">
      <w:bodyDiv w:val="1"/>
      <w:marLeft w:val="0"/>
      <w:marRight w:val="0"/>
      <w:marTop w:val="0"/>
      <w:marBottom w:val="0"/>
      <w:divBdr>
        <w:top w:val="none" w:sz="0" w:space="0" w:color="auto"/>
        <w:left w:val="none" w:sz="0" w:space="0" w:color="auto"/>
        <w:bottom w:val="none" w:sz="0" w:space="0" w:color="auto"/>
        <w:right w:val="none" w:sz="0" w:space="0" w:color="auto"/>
      </w:divBdr>
    </w:div>
    <w:div w:id="984166407">
      <w:bodyDiv w:val="1"/>
      <w:marLeft w:val="0"/>
      <w:marRight w:val="0"/>
      <w:marTop w:val="0"/>
      <w:marBottom w:val="0"/>
      <w:divBdr>
        <w:top w:val="none" w:sz="0" w:space="0" w:color="auto"/>
        <w:left w:val="none" w:sz="0" w:space="0" w:color="auto"/>
        <w:bottom w:val="none" w:sz="0" w:space="0" w:color="auto"/>
        <w:right w:val="none" w:sz="0" w:space="0" w:color="auto"/>
      </w:divBdr>
    </w:div>
    <w:div w:id="985355252">
      <w:bodyDiv w:val="1"/>
      <w:marLeft w:val="0"/>
      <w:marRight w:val="0"/>
      <w:marTop w:val="0"/>
      <w:marBottom w:val="0"/>
      <w:divBdr>
        <w:top w:val="none" w:sz="0" w:space="0" w:color="auto"/>
        <w:left w:val="none" w:sz="0" w:space="0" w:color="auto"/>
        <w:bottom w:val="none" w:sz="0" w:space="0" w:color="auto"/>
        <w:right w:val="none" w:sz="0" w:space="0" w:color="auto"/>
      </w:divBdr>
    </w:div>
    <w:div w:id="985623604">
      <w:bodyDiv w:val="1"/>
      <w:marLeft w:val="0"/>
      <w:marRight w:val="0"/>
      <w:marTop w:val="0"/>
      <w:marBottom w:val="0"/>
      <w:divBdr>
        <w:top w:val="none" w:sz="0" w:space="0" w:color="auto"/>
        <w:left w:val="none" w:sz="0" w:space="0" w:color="auto"/>
        <w:bottom w:val="none" w:sz="0" w:space="0" w:color="auto"/>
        <w:right w:val="none" w:sz="0" w:space="0" w:color="auto"/>
      </w:divBdr>
    </w:div>
    <w:div w:id="986127396">
      <w:bodyDiv w:val="1"/>
      <w:marLeft w:val="0"/>
      <w:marRight w:val="0"/>
      <w:marTop w:val="0"/>
      <w:marBottom w:val="0"/>
      <w:divBdr>
        <w:top w:val="none" w:sz="0" w:space="0" w:color="auto"/>
        <w:left w:val="none" w:sz="0" w:space="0" w:color="auto"/>
        <w:bottom w:val="none" w:sz="0" w:space="0" w:color="auto"/>
        <w:right w:val="none" w:sz="0" w:space="0" w:color="auto"/>
      </w:divBdr>
    </w:div>
    <w:div w:id="986788366">
      <w:bodyDiv w:val="1"/>
      <w:marLeft w:val="0"/>
      <w:marRight w:val="0"/>
      <w:marTop w:val="0"/>
      <w:marBottom w:val="0"/>
      <w:divBdr>
        <w:top w:val="none" w:sz="0" w:space="0" w:color="auto"/>
        <w:left w:val="none" w:sz="0" w:space="0" w:color="auto"/>
        <w:bottom w:val="none" w:sz="0" w:space="0" w:color="auto"/>
        <w:right w:val="none" w:sz="0" w:space="0" w:color="auto"/>
      </w:divBdr>
    </w:div>
    <w:div w:id="986861546">
      <w:bodyDiv w:val="1"/>
      <w:marLeft w:val="0"/>
      <w:marRight w:val="0"/>
      <w:marTop w:val="0"/>
      <w:marBottom w:val="0"/>
      <w:divBdr>
        <w:top w:val="none" w:sz="0" w:space="0" w:color="auto"/>
        <w:left w:val="none" w:sz="0" w:space="0" w:color="auto"/>
        <w:bottom w:val="none" w:sz="0" w:space="0" w:color="auto"/>
        <w:right w:val="none" w:sz="0" w:space="0" w:color="auto"/>
      </w:divBdr>
    </w:div>
    <w:div w:id="987129510">
      <w:bodyDiv w:val="1"/>
      <w:marLeft w:val="0"/>
      <w:marRight w:val="0"/>
      <w:marTop w:val="0"/>
      <w:marBottom w:val="0"/>
      <w:divBdr>
        <w:top w:val="none" w:sz="0" w:space="0" w:color="auto"/>
        <w:left w:val="none" w:sz="0" w:space="0" w:color="auto"/>
        <w:bottom w:val="none" w:sz="0" w:space="0" w:color="auto"/>
        <w:right w:val="none" w:sz="0" w:space="0" w:color="auto"/>
      </w:divBdr>
    </w:div>
    <w:div w:id="990600426">
      <w:bodyDiv w:val="1"/>
      <w:marLeft w:val="0"/>
      <w:marRight w:val="0"/>
      <w:marTop w:val="0"/>
      <w:marBottom w:val="0"/>
      <w:divBdr>
        <w:top w:val="none" w:sz="0" w:space="0" w:color="auto"/>
        <w:left w:val="none" w:sz="0" w:space="0" w:color="auto"/>
        <w:bottom w:val="none" w:sz="0" w:space="0" w:color="auto"/>
        <w:right w:val="none" w:sz="0" w:space="0" w:color="auto"/>
      </w:divBdr>
    </w:div>
    <w:div w:id="990864368">
      <w:bodyDiv w:val="1"/>
      <w:marLeft w:val="0"/>
      <w:marRight w:val="0"/>
      <w:marTop w:val="0"/>
      <w:marBottom w:val="0"/>
      <w:divBdr>
        <w:top w:val="none" w:sz="0" w:space="0" w:color="auto"/>
        <w:left w:val="none" w:sz="0" w:space="0" w:color="auto"/>
        <w:bottom w:val="none" w:sz="0" w:space="0" w:color="auto"/>
        <w:right w:val="none" w:sz="0" w:space="0" w:color="auto"/>
      </w:divBdr>
    </w:div>
    <w:div w:id="991254316">
      <w:bodyDiv w:val="1"/>
      <w:marLeft w:val="0"/>
      <w:marRight w:val="0"/>
      <w:marTop w:val="0"/>
      <w:marBottom w:val="0"/>
      <w:divBdr>
        <w:top w:val="none" w:sz="0" w:space="0" w:color="auto"/>
        <w:left w:val="none" w:sz="0" w:space="0" w:color="auto"/>
        <w:bottom w:val="none" w:sz="0" w:space="0" w:color="auto"/>
        <w:right w:val="none" w:sz="0" w:space="0" w:color="auto"/>
      </w:divBdr>
    </w:div>
    <w:div w:id="991448742">
      <w:bodyDiv w:val="1"/>
      <w:marLeft w:val="0"/>
      <w:marRight w:val="0"/>
      <w:marTop w:val="0"/>
      <w:marBottom w:val="0"/>
      <w:divBdr>
        <w:top w:val="none" w:sz="0" w:space="0" w:color="auto"/>
        <w:left w:val="none" w:sz="0" w:space="0" w:color="auto"/>
        <w:bottom w:val="none" w:sz="0" w:space="0" w:color="auto"/>
        <w:right w:val="none" w:sz="0" w:space="0" w:color="auto"/>
      </w:divBdr>
    </w:div>
    <w:div w:id="991522622">
      <w:bodyDiv w:val="1"/>
      <w:marLeft w:val="0"/>
      <w:marRight w:val="0"/>
      <w:marTop w:val="0"/>
      <w:marBottom w:val="0"/>
      <w:divBdr>
        <w:top w:val="none" w:sz="0" w:space="0" w:color="auto"/>
        <w:left w:val="none" w:sz="0" w:space="0" w:color="auto"/>
        <w:bottom w:val="none" w:sz="0" w:space="0" w:color="auto"/>
        <w:right w:val="none" w:sz="0" w:space="0" w:color="auto"/>
      </w:divBdr>
    </w:div>
    <w:div w:id="991760930">
      <w:bodyDiv w:val="1"/>
      <w:marLeft w:val="0"/>
      <w:marRight w:val="0"/>
      <w:marTop w:val="0"/>
      <w:marBottom w:val="0"/>
      <w:divBdr>
        <w:top w:val="none" w:sz="0" w:space="0" w:color="auto"/>
        <w:left w:val="none" w:sz="0" w:space="0" w:color="auto"/>
        <w:bottom w:val="none" w:sz="0" w:space="0" w:color="auto"/>
        <w:right w:val="none" w:sz="0" w:space="0" w:color="auto"/>
      </w:divBdr>
    </w:div>
    <w:div w:id="991788954">
      <w:bodyDiv w:val="1"/>
      <w:marLeft w:val="0"/>
      <w:marRight w:val="0"/>
      <w:marTop w:val="0"/>
      <w:marBottom w:val="0"/>
      <w:divBdr>
        <w:top w:val="none" w:sz="0" w:space="0" w:color="auto"/>
        <w:left w:val="none" w:sz="0" w:space="0" w:color="auto"/>
        <w:bottom w:val="none" w:sz="0" w:space="0" w:color="auto"/>
        <w:right w:val="none" w:sz="0" w:space="0" w:color="auto"/>
      </w:divBdr>
    </w:div>
    <w:div w:id="991905480">
      <w:bodyDiv w:val="1"/>
      <w:marLeft w:val="0"/>
      <w:marRight w:val="0"/>
      <w:marTop w:val="0"/>
      <w:marBottom w:val="0"/>
      <w:divBdr>
        <w:top w:val="none" w:sz="0" w:space="0" w:color="auto"/>
        <w:left w:val="none" w:sz="0" w:space="0" w:color="auto"/>
        <w:bottom w:val="none" w:sz="0" w:space="0" w:color="auto"/>
        <w:right w:val="none" w:sz="0" w:space="0" w:color="auto"/>
      </w:divBdr>
    </w:div>
    <w:div w:id="992022059">
      <w:bodyDiv w:val="1"/>
      <w:marLeft w:val="0"/>
      <w:marRight w:val="0"/>
      <w:marTop w:val="0"/>
      <w:marBottom w:val="0"/>
      <w:divBdr>
        <w:top w:val="none" w:sz="0" w:space="0" w:color="auto"/>
        <w:left w:val="none" w:sz="0" w:space="0" w:color="auto"/>
        <w:bottom w:val="none" w:sz="0" w:space="0" w:color="auto"/>
        <w:right w:val="none" w:sz="0" w:space="0" w:color="auto"/>
      </w:divBdr>
    </w:div>
    <w:div w:id="992484140">
      <w:bodyDiv w:val="1"/>
      <w:marLeft w:val="0"/>
      <w:marRight w:val="0"/>
      <w:marTop w:val="0"/>
      <w:marBottom w:val="0"/>
      <w:divBdr>
        <w:top w:val="none" w:sz="0" w:space="0" w:color="auto"/>
        <w:left w:val="none" w:sz="0" w:space="0" w:color="auto"/>
        <w:bottom w:val="none" w:sz="0" w:space="0" w:color="auto"/>
        <w:right w:val="none" w:sz="0" w:space="0" w:color="auto"/>
      </w:divBdr>
    </w:div>
    <w:div w:id="994643318">
      <w:bodyDiv w:val="1"/>
      <w:marLeft w:val="0"/>
      <w:marRight w:val="0"/>
      <w:marTop w:val="0"/>
      <w:marBottom w:val="0"/>
      <w:divBdr>
        <w:top w:val="none" w:sz="0" w:space="0" w:color="auto"/>
        <w:left w:val="none" w:sz="0" w:space="0" w:color="auto"/>
        <w:bottom w:val="none" w:sz="0" w:space="0" w:color="auto"/>
        <w:right w:val="none" w:sz="0" w:space="0" w:color="auto"/>
      </w:divBdr>
    </w:div>
    <w:div w:id="995914180">
      <w:bodyDiv w:val="1"/>
      <w:marLeft w:val="0"/>
      <w:marRight w:val="0"/>
      <w:marTop w:val="0"/>
      <w:marBottom w:val="0"/>
      <w:divBdr>
        <w:top w:val="none" w:sz="0" w:space="0" w:color="auto"/>
        <w:left w:val="none" w:sz="0" w:space="0" w:color="auto"/>
        <w:bottom w:val="none" w:sz="0" w:space="0" w:color="auto"/>
        <w:right w:val="none" w:sz="0" w:space="0" w:color="auto"/>
      </w:divBdr>
    </w:div>
    <w:div w:id="996693261">
      <w:bodyDiv w:val="1"/>
      <w:marLeft w:val="0"/>
      <w:marRight w:val="0"/>
      <w:marTop w:val="0"/>
      <w:marBottom w:val="0"/>
      <w:divBdr>
        <w:top w:val="none" w:sz="0" w:space="0" w:color="auto"/>
        <w:left w:val="none" w:sz="0" w:space="0" w:color="auto"/>
        <w:bottom w:val="none" w:sz="0" w:space="0" w:color="auto"/>
        <w:right w:val="none" w:sz="0" w:space="0" w:color="auto"/>
      </w:divBdr>
    </w:div>
    <w:div w:id="996961420">
      <w:bodyDiv w:val="1"/>
      <w:marLeft w:val="0"/>
      <w:marRight w:val="0"/>
      <w:marTop w:val="0"/>
      <w:marBottom w:val="0"/>
      <w:divBdr>
        <w:top w:val="none" w:sz="0" w:space="0" w:color="auto"/>
        <w:left w:val="none" w:sz="0" w:space="0" w:color="auto"/>
        <w:bottom w:val="none" w:sz="0" w:space="0" w:color="auto"/>
        <w:right w:val="none" w:sz="0" w:space="0" w:color="auto"/>
      </w:divBdr>
    </w:div>
    <w:div w:id="997266666">
      <w:bodyDiv w:val="1"/>
      <w:marLeft w:val="0"/>
      <w:marRight w:val="0"/>
      <w:marTop w:val="0"/>
      <w:marBottom w:val="0"/>
      <w:divBdr>
        <w:top w:val="none" w:sz="0" w:space="0" w:color="auto"/>
        <w:left w:val="none" w:sz="0" w:space="0" w:color="auto"/>
        <w:bottom w:val="none" w:sz="0" w:space="0" w:color="auto"/>
        <w:right w:val="none" w:sz="0" w:space="0" w:color="auto"/>
      </w:divBdr>
    </w:div>
    <w:div w:id="997536911">
      <w:bodyDiv w:val="1"/>
      <w:marLeft w:val="0"/>
      <w:marRight w:val="0"/>
      <w:marTop w:val="0"/>
      <w:marBottom w:val="0"/>
      <w:divBdr>
        <w:top w:val="none" w:sz="0" w:space="0" w:color="auto"/>
        <w:left w:val="none" w:sz="0" w:space="0" w:color="auto"/>
        <w:bottom w:val="none" w:sz="0" w:space="0" w:color="auto"/>
        <w:right w:val="none" w:sz="0" w:space="0" w:color="auto"/>
      </w:divBdr>
    </w:div>
    <w:div w:id="998390155">
      <w:bodyDiv w:val="1"/>
      <w:marLeft w:val="0"/>
      <w:marRight w:val="0"/>
      <w:marTop w:val="0"/>
      <w:marBottom w:val="0"/>
      <w:divBdr>
        <w:top w:val="none" w:sz="0" w:space="0" w:color="auto"/>
        <w:left w:val="none" w:sz="0" w:space="0" w:color="auto"/>
        <w:bottom w:val="none" w:sz="0" w:space="0" w:color="auto"/>
        <w:right w:val="none" w:sz="0" w:space="0" w:color="auto"/>
      </w:divBdr>
    </w:div>
    <w:div w:id="999506773">
      <w:bodyDiv w:val="1"/>
      <w:marLeft w:val="0"/>
      <w:marRight w:val="0"/>
      <w:marTop w:val="0"/>
      <w:marBottom w:val="0"/>
      <w:divBdr>
        <w:top w:val="none" w:sz="0" w:space="0" w:color="auto"/>
        <w:left w:val="none" w:sz="0" w:space="0" w:color="auto"/>
        <w:bottom w:val="none" w:sz="0" w:space="0" w:color="auto"/>
        <w:right w:val="none" w:sz="0" w:space="0" w:color="auto"/>
      </w:divBdr>
    </w:div>
    <w:div w:id="1000426007">
      <w:bodyDiv w:val="1"/>
      <w:marLeft w:val="0"/>
      <w:marRight w:val="0"/>
      <w:marTop w:val="0"/>
      <w:marBottom w:val="0"/>
      <w:divBdr>
        <w:top w:val="none" w:sz="0" w:space="0" w:color="auto"/>
        <w:left w:val="none" w:sz="0" w:space="0" w:color="auto"/>
        <w:bottom w:val="none" w:sz="0" w:space="0" w:color="auto"/>
        <w:right w:val="none" w:sz="0" w:space="0" w:color="auto"/>
      </w:divBdr>
    </w:div>
    <w:div w:id="1001153488">
      <w:bodyDiv w:val="1"/>
      <w:marLeft w:val="0"/>
      <w:marRight w:val="0"/>
      <w:marTop w:val="0"/>
      <w:marBottom w:val="0"/>
      <w:divBdr>
        <w:top w:val="none" w:sz="0" w:space="0" w:color="auto"/>
        <w:left w:val="none" w:sz="0" w:space="0" w:color="auto"/>
        <w:bottom w:val="none" w:sz="0" w:space="0" w:color="auto"/>
        <w:right w:val="none" w:sz="0" w:space="0" w:color="auto"/>
      </w:divBdr>
    </w:div>
    <w:div w:id="1001733458">
      <w:bodyDiv w:val="1"/>
      <w:marLeft w:val="0"/>
      <w:marRight w:val="0"/>
      <w:marTop w:val="0"/>
      <w:marBottom w:val="0"/>
      <w:divBdr>
        <w:top w:val="none" w:sz="0" w:space="0" w:color="auto"/>
        <w:left w:val="none" w:sz="0" w:space="0" w:color="auto"/>
        <w:bottom w:val="none" w:sz="0" w:space="0" w:color="auto"/>
        <w:right w:val="none" w:sz="0" w:space="0" w:color="auto"/>
      </w:divBdr>
    </w:div>
    <w:div w:id="1002388618">
      <w:bodyDiv w:val="1"/>
      <w:marLeft w:val="0"/>
      <w:marRight w:val="0"/>
      <w:marTop w:val="0"/>
      <w:marBottom w:val="0"/>
      <w:divBdr>
        <w:top w:val="none" w:sz="0" w:space="0" w:color="auto"/>
        <w:left w:val="none" w:sz="0" w:space="0" w:color="auto"/>
        <w:bottom w:val="none" w:sz="0" w:space="0" w:color="auto"/>
        <w:right w:val="none" w:sz="0" w:space="0" w:color="auto"/>
      </w:divBdr>
    </w:div>
    <w:div w:id="1002397634">
      <w:bodyDiv w:val="1"/>
      <w:marLeft w:val="0"/>
      <w:marRight w:val="0"/>
      <w:marTop w:val="0"/>
      <w:marBottom w:val="0"/>
      <w:divBdr>
        <w:top w:val="none" w:sz="0" w:space="0" w:color="auto"/>
        <w:left w:val="none" w:sz="0" w:space="0" w:color="auto"/>
        <w:bottom w:val="none" w:sz="0" w:space="0" w:color="auto"/>
        <w:right w:val="none" w:sz="0" w:space="0" w:color="auto"/>
      </w:divBdr>
    </w:div>
    <w:div w:id="1003161939">
      <w:bodyDiv w:val="1"/>
      <w:marLeft w:val="0"/>
      <w:marRight w:val="0"/>
      <w:marTop w:val="0"/>
      <w:marBottom w:val="0"/>
      <w:divBdr>
        <w:top w:val="none" w:sz="0" w:space="0" w:color="auto"/>
        <w:left w:val="none" w:sz="0" w:space="0" w:color="auto"/>
        <w:bottom w:val="none" w:sz="0" w:space="0" w:color="auto"/>
        <w:right w:val="none" w:sz="0" w:space="0" w:color="auto"/>
      </w:divBdr>
    </w:div>
    <w:div w:id="1003166543">
      <w:bodyDiv w:val="1"/>
      <w:marLeft w:val="0"/>
      <w:marRight w:val="0"/>
      <w:marTop w:val="0"/>
      <w:marBottom w:val="0"/>
      <w:divBdr>
        <w:top w:val="none" w:sz="0" w:space="0" w:color="auto"/>
        <w:left w:val="none" w:sz="0" w:space="0" w:color="auto"/>
        <w:bottom w:val="none" w:sz="0" w:space="0" w:color="auto"/>
        <w:right w:val="none" w:sz="0" w:space="0" w:color="auto"/>
      </w:divBdr>
    </w:div>
    <w:div w:id="1003894470">
      <w:bodyDiv w:val="1"/>
      <w:marLeft w:val="0"/>
      <w:marRight w:val="0"/>
      <w:marTop w:val="0"/>
      <w:marBottom w:val="0"/>
      <w:divBdr>
        <w:top w:val="none" w:sz="0" w:space="0" w:color="auto"/>
        <w:left w:val="none" w:sz="0" w:space="0" w:color="auto"/>
        <w:bottom w:val="none" w:sz="0" w:space="0" w:color="auto"/>
        <w:right w:val="none" w:sz="0" w:space="0" w:color="auto"/>
      </w:divBdr>
    </w:div>
    <w:div w:id="1004086997">
      <w:bodyDiv w:val="1"/>
      <w:marLeft w:val="0"/>
      <w:marRight w:val="0"/>
      <w:marTop w:val="0"/>
      <w:marBottom w:val="0"/>
      <w:divBdr>
        <w:top w:val="none" w:sz="0" w:space="0" w:color="auto"/>
        <w:left w:val="none" w:sz="0" w:space="0" w:color="auto"/>
        <w:bottom w:val="none" w:sz="0" w:space="0" w:color="auto"/>
        <w:right w:val="none" w:sz="0" w:space="0" w:color="auto"/>
      </w:divBdr>
    </w:div>
    <w:div w:id="1004238299">
      <w:bodyDiv w:val="1"/>
      <w:marLeft w:val="0"/>
      <w:marRight w:val="0"/>
      <w:marTop w:val="0"/>
      <w:marBottom w:val="0"/>
      <w:divBdr>
        <w:top w:val="none" w:sz="0" w:space="0" w:color="auto"/>
        <w:left w:val="none" w:sz="0" w:space="0" w:color="auto"/>
        <w:bottom w:val="none" w:sz="0" w:space="0" w:color="auto"/>
        <w:right w:val="none" w:sz="0" w:space="0" w:color="auto"/>
      </w:divBdr>
    </w:div>
    <w:div w:id="1004363587">
      <w:bodyDiv w:val="1"/>
      <w:marLeft w:val="0"/>
      <w:marRight w:val="0"/>
      <w:marTop w:val="0"/>
      <w:marBottom w:val="0"/>
      <w:divBdr>
        <w:top w:val="none" w:sz="0" w:space="0" w:color="auto"/>
        <w:left w:val="none" w:sz="0" w:space="0" w:color="auto"/>
        <w:bottom w:val="none" w:sz="0" w:space="0" w:color="auto"/>
        <w:right w:val="none" w:sz="0" w:space="0" w:color="auto"/>
      </w:divBdr>
    </w:div>
    <w:div w:id="1005404839">
      <w:bodyDiv w:val="1"/>
      <w:marLeft w:val="0"/>
      <w:marRight w:val="0"/>
      <w:marTop w:val="0"/>
      <w:marBottom w:val="0"/>
      <w:divBdr>
        <w:top w:val="none" w:sz="0" w:space="0" w:color="auto"/>
        <w:left w:val="none" w:sz="0" w:space="0" w:color="auto"/>
        <w:bottom w:val="none" w:sz="0" w:space="0" w:color="auto"/>
        <w:right w:val="none" w:sz="0" w:space="0" w:color="auto"/>
      </w:divBdr>
    </w:div>
    <w:div w:id="1005665570">
      <w:bodyDiv w:val="1"/>
      <w:marLeft w:val="0"/>
      <w:marRight w:val="0"/>
      <w:marTop w:val="0"/>
      <w:marBottom w:val="0"/>
      <w:divBdr>
        <w:top w:val="none" w:sz="0" w:space="0" w:color="auto"/>
        <w:left w:val="none" w:sz="0" w:space="0" w:color="auto"/>
        <w:bottom w:val="none" w:sz="0" w:space="0" w:color="auto"/>
        <w:right w:val="none" w:sz="0" w:space="0" w:color="auto"/>
      </w:divBdr>
    </w:div>
    <w:div w:id="1006054771">
      <w:bodyDiv w:val="1"/>
      <w:marLeft w:val="0"/>
      <w:marRight w:val="0"/>
      <w:marTop w:val="0"/>
      <w:marBottom w:val="0"/>
      <w:divBdr>
        <w:top w:val="none" w:sz="0" w:space="0" w:color="auto"/>
        <w:left w:val="none" w:sz="0" w:space="0" w:color="auto"/>
        <w:bottom w:val="none" w:sz="0" w:space="0" w:color="auto"/>
        <w:right w:val="none" w:sz="0" w:space="0" w:color="auto"/>
      </w:divBdr>
    </w:div>
    <w:div w:id="1006441334">
      <w:bodyDiv w:val="1"/>
      <w:marLeft w:val="0"/>
      <w:marRight w:val="0"/>
      <w:marTop w:val="0"/>
      <w:marBottom w:val="0"/>
      <w:divBdr>
        <w:top w:val="none" w:sz="0" w:space="0" w:color="auto"/>
        <w:left w:val="none" w:sz="0" w:space="0" w:color="auto"/>
        <w:bottom w:val="none" w:sz="0" w:space="0" w:color="auto"/>
        <w:right w:val="none" w:sz="0" w:space="0" w:color="auto"/>
      </w:divBdr>
    </w:div>
    <w:div w:id="1006635488">
      <w:bodyDiv w:val="1"/>
      <w:marLeft w:val="0"/>
      <w:marRight w:val="0"/>
      <w:marTop w:val="0"/>
      <w:marBottom w:val="0"/>
      <w:divBdr>
        <w:top w:val="none" w:sz="0" w:space="0" w:color="auto"/>
        <w:left w:val="none" w:sz="0" w:space="0" w:color="auto"/>
        <w:bottom w:val="none" w:sz="0" w:space="0" w:color="auto"/>
        <w:right w:val="none" w:sz="0" w:space="0" w:color="auto"/>
      </w:divBdr>
      <w:divsChild>
        <w:div w:id="160850805">
          <w:marLeft w:val="0"/>
          <w:marRight w:val="0"/>
          <w:marTop w:val="0"/>
          <w:marBottom w:val="0"/>
          <w:divBdr>
            <w:top w:val="none" w:sz="0" w:space="0" w:color="auto"/>
            <w:left w:val="none" w:sz="0" w:space="0" w:color="auto"/>
            <w:bottom w:val="none" w:sz="0" w:space="0" w:color="auto"/>
            <w:right w:val="none" w:sz="0" w:space="0" w:color="auto"/>
          </w:divBdr>
        </w:div>
        <w:div w:id="169032755">
          <w:marLeft w:val="0"/>
          <w:marRight w:val="0"/>
          <w:marTop w:val="0"/>
          <w:marBottom w:val="0"/>
          <w:divBdr>
            <w:top w:val="none" w:sz="0" w:space="0" w:color="auto"/>
            <w:left w:val="none" w:sz="0" w:space="0" w:color="auto"/>
            <w:bottom w:val="none" w:sz="0" w:space="0" w:color="auto"/>
            <w:right w:val="none" w:sz="0" w:space="0" w:color="auto"/>
          </w:divBdr>
        </w:div>
        <w:div w:id="292374328">
          <w:marLeft w:val="0"/>
          <w:marRight w:val="0"/>
          <w:marTop w:val="0"/>
          <w:marBottom w:val="0"/>
          <w:divBdr>
            <w:top w:val="none" w:sz="0" w:space="0" w:color="auto"/>
            <w:left w:val="none" w:sz="0" w:space="0" w:color="auto"/>
            <w:bottom w:val="none" w:sz="0" w:space="0" w:color="auto"/>
            <w:right w:val="none" w:sz="0" w:space="0" w:color="auto"/>
          </w:divBdr>
        </w:div>
        <w:div w:id="345404125">
          <w:marLeft w:val="0"/>
          <w:marRight w:val="0"/>
          <w:marTop w:val="0"/>
          <w:marBottom w:val="0"/>
          <w:divBdr>
            <w:top w:val="none" w:sz="0" w:space="0" w:color="auto"/>
            <w:left w:val="none" w:sz="0" w:space="0" w:color="auto"/>
            <w:bottom w:val="none" w:sz="0" w:space="0" w:color="auto"/>
            <w:right w:val="none" w:sz="0" w:space="0" w:color="auto"/>
          </w:divBdr>
        </w:div>
        <w:div w:id="383220504">
          <w:marLeft w:val="0"/>
          <w:marRight w:val="0"/>
          <w:marTop w:val="0"/>
          <w:marBottom w:val="0"/>
          <w:divBdr>
            <w:top w:val="none" w:sz="0" w:space="0" w:color="auto"/>
            <w:left w:val="none" w:sz="0" w:space="0" w:color="auto"/>
            <w:bottom w:val="none" w:sz="0" w:space="0" w:color="auto"/>
            <w:right w:val="none" w:sz="0" w:space="0" w:color="auto"/>
          </w:divBdr>
        </w:div>
        <w:div w:id="541021732">
          <w:marLeft w:val="0"/>
          <w:marRight w:val="0"/>
          <w:marTop w:val="0"/>
          <w:marBottom w:val="0"/>
          <w:divBdr>
            <w:top w:val="none" w:sz="0" w:space="0" w:color="auto"/>
            <w:left w:val="none" w:sz="0" w:space="0" w:color="auto"/>
            <w:bottom w:val="none" w:sz="0" w:space="0" w:color="auto"/>
            <w:right w:val="none" w:sz="0" w:space="0" w:color="auto"/>
          </w:divBdr>
        </w:div>
        <w:div w:id="946698059">
          <w:marLeft w:val="0"/>
          <w:marRight w:val="0"/>
          <w:marTop w:val="0"/>
          <w:marBottom w:val="0"/>
          <w:divBdr>
            <w:top w:val="none" w:sz="0" w:space="0" w:color="auto"/>
            <w:left w:val="none" w:sz="0" w:space="0" w:color="auto"/>
            <w:bottom w:val="none" w:sz="0" w:space="0" w:color="auto"/>
            <w:right w:val="none" w:sz="0" w:space="0" w:color="auto"/>
          </w:divBdr>
        </w:div>
        <w:div w:id="1134253966">
          <w:marLeft w:val="0"/>
          <w:marRight w:val="0"/>
          <w:marTop w:val="0"/>
          <w:marBottom w:val="0"/>
          <w:divBdr>
            <w:top w:val="none" w:sz="0" w:space="0" w:color="auto"/>
            <w:left w:val="none" w:sz="0" w:space="0" w:color="auto"/>
            <w:bottom w:val="none" w:sz="0" w:space="0" w:color="auto"/>
            <w:right w:val="none" w:sz="0" w:space="0" w:color="auto"/>
          </w:divBdr>
        </w:div>
        <w:div w:id="1712071180">
          <w:marLeft w:val="0"/>
          <w:marRight w:val="0"/>
          <w:marTop w:val="0"/>
          <w:marBottom w:val="0"/>
          <w:divBdr>
            <w:top w:val="none" w:sz="0" w:space="0" w:color="auto"/>
            <w:left w:val="none" w:sz="0" w:space="0" w:color="auto"/>
            <w:bottom w:val="none" w:sz="0" w:space="0" w:color="auto"/>
            <w:right w:val="none" w:sz="0" w:space="0" w:color="auto"/>
          </w:divBdr>
        </w:div>
        <w:div w:id="2058122938">
          <w:marLeft w:val="0"/>
          <w:marRight w:val="0"/>
          <w:marTop w:val="0"/>
          <w:marBottom w:val="0"/>
          <w:divBdr>
            <w:top w:val="none" w:sz="0" w:space="0" w:color="auto"/>
            <w:left w:val="none" w:sz="0" w:space="0" w:color="auto"/>
            <w:bottom w:val="none" w:sz="0" w:space="0" w:color="auto"/>
            <w:right w:val="none" w:sz="0" w:space="0" w:color="auto"/>
          </w:divBdr>
        </w:div>
      </w:divsChild>
    </w:div>
    <w:div w:id="1006906312">
      <w:bodyDiv w:val="1"/>
      <w:marLeft w:val="0"/>
      <w:marRight w:val="0"/>
      <w:marTop w:val="0"/>
      <w:marBottom w:val="0"/>
      <w:divBdr>
        <w:top w:val="none" w:sz="0" w:space="0" w:color="auto"/>
        <w:left w:val="none" w:sz="0" w:space="0" w:color="auto"/>
        <w:bottom w:val="none" w:sz="0" w:space="0" w:color="auto"/>
        <w:right w:val="none" w:sz="0" w:space="0" w:color="auto"/>
      </w:divBdr>
    </w:div>
    <w:div w:id="1007758135">
      <w:bodyDiv w:val="1"/>
      <w:marLeft w:val="0"/>
      <w:marRight w:val="0"/>
      <w:marTop w:val="0"/>
      <w:marBottom w:val="0"/>
      <w:divBdr>
        <w:top w:val="none" w:sz="0" w:space="0" w:color="auto"/>
        <w:left w:val="none" w:sz="0" w:space="0" w:color="auto"/>
        <w:bottom w:val="none" w:sz="0" w:space="0" w:color="auto"/>
        <w:right w:val="none" w:sz="0" w:space="0" w:color="auto"/>
      </w:divBdr>
    </w:div>
    <w:div w:id="1008871155">
      <w:bodyDiv w:val="1"/>
      <w:marLeft w:val="0"/>
      <w:marRight w:val="0"/>
      <w:marTop w:val="0"/>
      <w:marBottom w:val="0"/>
      <w:divBdr>
        <w:top w:val="none" w:sz="0" w:space="0" w:color="auto"/>
        <w:left w:val="none" w:sz="0" w:space="0" w:color="auto"/>
        <w:bottom w:val="none" w:sz="0" w:space="0" w:color="auto"/>
        <w:right w:val="none" w:sz="0" w:space="0" w:color="auto"/>
      </w:divBdr>
    </w:div>
    <w:div w:id="1009478824">
      <w:bodyDiv w:val="1"/>
      <w:marLeft w:val="0"/>
      <w:marRight w:val="0"/>
      <w:marTop w:val="0"/>
      <w:marBottom w:val="0"/>
      <w:divBdr>
        <w:top w:val="none" w:sz="0" w:space="0" w:color="auto"/>
        <w:left w:val="none" w:sz="0" w:space="0" w:color="auto"/>
        <w:bottom w:val="none" w:sz="0" w:space="0" w:color="auto"/>
        <w:right w:val="none" w:sz="0" w:space="0" w:color="auto"/>
      </w:divBdr>
    </w:div>
    <w:div w:id="1010986146">
      <w:bodyDiv w:val="1"/>
      <w:marLeft w:val="0"/>
      <w:marRight w:val="0"/>
      <w:marTop w:val="0"/>
      <w:marBottom w:val="0"/>
      <w:divBdr>
        <w:top w:val="none" w:sz="0" w:space="0" w:color="auto"/>
        <w:left w:val="none" w:sz="0" w:space="0" w:color="auto"/>
        <w:bottom w:val="none" w:sz="0" w:space="0" w:color="auto"/>
        <w:right w:val="none" w:sz="0" w:space="0" w:color="auto"/>
      </w:divBdr>
    </w:div>
    <w:div w:id="1011680456">
      <w:bodyDiv w:val="1"/>
      <w:marLeft w:val="0"/>
      <w:marRight w:val="0"/>
      <w:marTop w:val="0"/>
      <w:marBottom w:val="0"/>
      <w:divBdr>
        <w:top w:val="none" w:sz="0" w:space="0" w:color="auto"/>
        <w:left w:val="none" w:sz="0" w:space="0" w:color="auto"/>
        <w:bottom w:val="none" w:sz="0" w:space="0" w:color="auto"/>
        <w:right w:val="none" w:sz="0" w:space="0" w:color="auto"/>
      </w:divBdr>
    </w:div>
    <w:div w:id="1011876981">
      <w:bodyDiv w:val="1"/>
      <w:marLeft w:val="0"/>
      <w:marRight w:val="0"/>
      <w:marTop w:val="0"/>
      <w:marBottom w:val="0"/>
      <w:divBdr>
        <w:top w:val="none" w:sz="0" w:space="0" w:color="auto"/>
        <w:left w:val="none" w:sz="0" w:space="0" w:color="auto"/>
        <w:bottom w:val="none" w:sz="0" w:space="0" w:color="auto"/>
        <w:right w:val="none" w:sz="0" w:space="0" w:color="auto"/>
      </w:divBdr>
    </w:div>
    <w:div w:id="1012563301">
      <w:bodyDiv w:val="1"/>
      <w:marLeft w:val="0"/>
      <w:marRight w:val="0"/>
      <w:marTop w:val="0"/>
      <w:marBottom w:val="0"/>
      <w:divBdr>
        <w:top w:val="none" w:sz="0" w:space="0" w:color="auto"/>
        <w:left w:val="none" w:sz="0" w:space="0" w:color="auto"/>
        <w:bottom w:val="none" w:sz="0" w:space="0" w:color="auto"/>
        <w:right w:val="none" w:sz="0" w:space="0" w:color="auto"/>
      </w:divBdr>
    </w:div>
    <w:div w:id="1013608111">
      <w:bodyDiv w:val="1"/>
      <w:marLeft w:val="0"/>
      <w:marRight w:val="0"/>
      <w:marTop w:val="0"/>
      <w:marBottom w:val="0"/>
      <w:divBdr>
        <w:top w:val="none" w:sz="0" w:space="0" w:color="auto"/>
        <w:left w:val="none" w:sz="0" w:space="0" w:color="auto"/>
        <w:bottom w:val="none" w:sz="0" w:space="0" w:color="auto"/>
        <w:right w:val="none" w:sz="0" w:space="0" w:color="auto"/>
      </w:divBdr>
    </w:div>
    <w:div w:id="1015423972">
      <w:bodyDiv w:val="1"/>
      <w:marLeft w:val="0"/>
      <w:marRight w:val="0"/>
      <w:marTop w:val="0"/>
      <w:marBottom w:val="0"/>
      <w:divBdr>
        <w:top w:val="none" w:sz="0" w:space="0" w:color="auto"/>
        <w:left w:val="none" w:sz="0" w:space="0" w:color="auto"/>
        <w:bottom w:val="none" w:sz="0" w:space="0" w:color="auto"/>
        <w:right w:val="none" w:sz="0" w:space="0" w:color="auto"/>
      </w:divBdr>
    </w:div>
    <w:div w:id="1016881327">
      <w:bodyDiv w:val="1"/>
      <w:marLeft w:val="0"/>
      <w:marRight w:val="0"/>
      <w:marTop w:val="0"/>
      <w:marBottom w:val="0"/>
      <w:divBdr>
        <w:top w:val="none" w:sz="0" w:space="0" w:color="auto"/>
        <w:left w:val="none" w:sz="0" w:space="0" w:color="auto"/>
        <w:bottom w:val="none" w:sz="0" w:space="0" w:color="auto"/>
        <w:right w:val="none" w:sz="0" w:space="0" w:color="auto"/>
      </w:divBdr>
    </w:div>
    <w:div w:id="1016930866">
      <w:bodyDiv w:val="1"/>
      <w:marLeft w:val="0"/>
      <w:marRight w:val="0"/>
      <w:marTop w:val="0"/>
      <w:marBottom w:val="0"/>
      <w:divBdr>
        <w:top w:val="none" w:sz="0" w:space="0" w:color="auto"/>
        <w:left w:val="none" w:sz="0" w:space="0" w:color="auto"/>
        <w:bottom w:val="none" w:sz="0" w:space="0" w:color="auto"/>
        <w:right w:val="none" w:sz="0" w:space="0" w:color="auto"/>
      </w:divBdr>
    </w:div>
    <w:div w:id="1017393003">
      <w:bodyDiv w:val="1"/>
      <w:marLeft w:val="0"/>
      <w:marRight w:val="0"/>
      <w:marTop w:val="0"/>
      <w:marBottom w:val="0"/>
      <w:divBdr>
        <w:top w:val="none" w:sz="0" w:space="0" w:color="auto"/>
        <w:left w:val="none" w:sz="0" w:space="0" w:color="auto"/>
        <w:bottom w:val="none" w:sz="0" w:space="0" w:color="auto"/>
        <w:right w:val="none" w:sz="0" w:space="0" w:color="auto"/>
      </w:divBdr>
    </w:div>
    <w:div w:id="1018117367">
      <w:bodyDiv w:val="1"/>
      <w:marLeft w:val="0"/>
      <w:marRight w:val="0"/>
      <w:marTop w:val="0"/>
      <w:marBottom w:val="0"/>
      <w:divBdr>
        <w:top w:val="none" w:sz="0" w:space="0" w:color="auto"/>
        <w:left w:val="none" w:sz="0" w:space="0" w:color="auto"/>
        <w:bottom w:val="none" w:sz="0" w:space="0" w:color="auto"/>
        <w:right w:val="none" w:sz="0" w:space="0" w:color="auto"/>
      </w:divBdr>
    </w:div>
    <w:div w:id="1020400410">
      <w:bodyDiv w:val="1"/>
      <w:marLeft w:val="0"/>
      <w:marRight w:val="0"/>
      <w:marTop w:val="0"/>
      <w:marBottom w:val="0"/>
      <w:divBdr>
        <w:top w:val="none" w:sz="0" w:space="0" w:color="auto"/>
        <w:left w:val="none" w:sz="0" w:space="0" w:color="auto"/>
        <w:bottom w:val="none" w:sz="0" w:space="0" w:color="auto"/>
        <w:right w:val="none" w:sz="0" w:space="0" w:color="auto"/>
      </w:divBdr>
    </w:div>
    <w:div w:id="1020474787">
      <w:bodyDiv w:val="1"/>
      <w:marLeft w:val="0"/>
      <w:marRight w:val="0"/>
      <w:marTop w:val="0"/>
      <w:marBottom w:val="0"/>
      <w:divBdr>
        <w:top w:val="none" w:sz="0" w:space="0" w:color="auto"/>
        <w:left w:val="none" w:sz="0" w:space="0" w:color="auto"/>
        <w:bottom w:val="none" w:sz="0" w:space="0" w:color="auto"/>
        <w:right w:val="none" w:sz="0" w:space="0" w:color="auto"/>
      </w:divBdr>
    </w:div>
    <w:div w:id="1020935530">
      <w:bodyDiv w:val="1"/>
      <w:marLeft w:val="0"/>
      <w:marRight w:val="0"/>
      <w:marTop w:val="0"/>
      <w:marBottom w:val="0"/>
      <w:divBdr>
        <w:top w:val="none" w:sz="0" w:space="0" w:color="auto"/>
        <w:left w:val="none" w:sz="0" w:space="0" w:color="auto"/>
        <w:bottom w:val="none" w:sz="0" w:space="0" w:color="auto"/>
        <w:right w:val="none" w:sz="0" w:space="0" w:color="auto"/>
      </w:divBdr>
    </w:div>
    <w:div w:id="1021081396">
      <w:bodyDiv w:val="1"/>
      <w:marLeft w:val="0"/>
      <w:marRight w:val="0"/>
      <w:marTop w:val="0"/>
      <w:marBottom w:val="0"/>
      <w:divBdr>
        <w:top w:val="none" w:sz="0" w:space="0" w:color="auto"/>
        <w:left w:val="none" w:sz="0" w:space="0" w:color="auto"/>
        <w:bottom w:val="none" w:sz="0" w:space="0" w:color="auto"/>
        <w:right w:val="none" w:sz="0" w:space="0" w:color="auto"/>
      </w:divBdr>
    </w:div>
    <w:div w:id="1021396608">
      <w:bodyDiv w:val="1"/>
      <w:marLeft w:val="0"/>
      <w:marRight w:val="0"/>
      <w:marTop w:val="0"/>
      <w:marBottom w:val="0"/>
      <w:divBdr>
        <w:top w:val="none" w:sz="0" w:space="0" w:color="auto"/>
        <w:left w:val="none" w:sz="0" w:space="0" w:color="auto"/>
        <w:bottom w:val="none" w:sz="0" w:space="0" w:color="auto"/>
        <w:right w:val="none" w:sz="0" w:space="0" w:color="auto"/>
      </w:divBdr>
    </w:div>
    <w:div w:id="1021399266">
      <w:bodyDiv w:val="1"/>
      <w:marLeft w:val="0"/>
      <w:marRight w:val="0"/>
      <w:marTop w:val="0"/>
      <w:marBottom w:val="0"/>
      <w:divBdr>
        <w:top w:val="none" w:sz="0" w:space="0" w:color="auto"/>
        <w:left w:val="none" w:sz="0" w:space="0" w:color="auto"/>
        <w:bottom w:val="none" w:sz="0" w:space="0" w:color="auto"/>
        <w:right w:val="none" w:sz="0" w:space="0" w:color="auto"/>
      </w:divBdr>
    </w:div>
    <w:div w:id="1021474282">
      <w:bodyDiv w:val="1"/>
      <w:marLeft w:val="0"/>
      <w:marRight w:val="0"/>
      <w:marTop w:val="0"/>
      <w:marBottom w:val="0"/>
      <w:divBdr>
        <w:top w:val="none" w:sz="0" w:space="0" w:color="auto"/>
        <w:left w:val="none" w:sz="0" w:space="0" w:color="auto"/>
        <w:bottom w:val="none" w:sz="0" w:space="0" w:color="auto"/>
        <w:right w:val="none" w:sz="0" w:space="0" w:color="auto"/>
      </w:divBdr>
    </w:div>
    <w:div w:id="1021513457">
      <w:bodyDiv w:val="1"/>
      <w:marLeft w:val="0"/>
      <w:marRight w:val="0"/>
      <w:marTop w:val="0"/>
      <w:marBottom w:val="0"/>
      <w:divBdr>
        <w:top w:val="none" w:sz="0" w:space="0" w:color="auto"/>
        <w:left w:val="none" w:sz="0" w:space="0" w:color="auto"/>
        <w:bottom w:val="none" w:sz="0" w:space="0" w:color="auto"/>
        <w:right w:val="none" w:sz="0" w:space="0" w:color="auto"/>
      </w:divBdr>
    </w:div>
    <w:div w:id="1022171802">
      <w:bodyDiv w:val="1"/>
      <w:marLeft w:val="0"/>
      <w:marRight w:val="0"/>
      <w:marTop w:val="0"/>
      <w:marBottom w:val="0"/>
      <w:divBdr>
        <w:top w:val="none" w:sz="0" w:space="0" w:color="auto"/>
        <w:left w:val="none" w:sz="0" w:space="0" w:color="auto"/>
        <w:bottom w:val="none" w:sz="0" w:space="0" w:color="auto"/>
        <w:right w:val="none" w:sz="0" w:space="0" w:color="auto"/>
      </w:divBdr>
    </w:div>
    <w:div w:id="1023482664">
      <w:bodyDiv w:val="1"/>
      <w:marLeft w:val="0"/>
      <w:marRight w:val="0"/>
      <w:marTop w:val="0"/>
      <w:marBottom w:val="0"/>
      <w:divBdr>
        <w:top w:val="none" w:sz="0" w:space="0" w:color="auto"/>
        <w:left w:val="none" w:sz="0" w:space="0" w:color="auto"/>
        <w:bottom w:val="none" w:sz="0" w:space="0" w:color="auto"/>
        <w:right w:val="none" w:sz="0" w:space="0" w:color="auto"/>
      </w:divBdr>
    </w:div>
    <w:div w:id="1024404398">
      <w:bodyDiv w:val="1"/>
      <w:marLeft w:val="0"/>
      <w:marRight w:val="0"/>
      <w:marTop w:val="0"/>
      <w:marBottom w:val="0"/>
      <w:divBdr>
        <w:top w:val="none" w:sz="0" w:space="0" w:color="auto"/>
        <w:left w:val="none" w:sz="0" w:space="0" w:color="auto"/>
        <w:bottom w:val="none" w:sz="0" w:space="0" w:color="auto"/>
        <w:right w:val="none" w:sz="0" w:space="0" w:color="auto"/>
      </w:divBdr>
    </w:div>
    <w:div w:id="1024550353">
      <w:bodyDiv w:val="1"/>
      <w:marLeft w:val="0"/>
      <w:marRight w:val="0"/>
      <w:marTop w:val="0"/>
      <w:marBottom w:val="0"/>
      <w:divBdr>
        <w:top w:val="none" w:sz="0" w:space="0" w:color="auto"/>
        <w:left w:val="none" w:sz="0" w:space="0" w:color="auto"/>
        <w:bottom w:val="none" w:sz="0" w:space="0" w:color="auto"/>
        <w:right w:val="none" w:sz="0" w:space="0" w:color="auto"/>
      </w:divBdr>
    </w:div>
    <w:div w:id="1025836258">
      <w:bodyDiv w:val="1"/>
      <w:marLeft w:val="0"/>
      <w:marRight w:val="0"/>
      <w:marTop w:val="0"/>
      <w:marBottom w:val="0"/>
      <w:divBdr>
        <w:top w:val="none" w:sz="0" w:space="0" w:color="auto"/>
        <w:left w:val="none" w:sz="0" w:space="0" w:color="auto"/>
        <w:bottom w:val="none" w:sz="0" w:space="0" w:color="auto"/>
        <w:right w:val="none" w:sz="0" w:space="0" w:color="auto"/>
      </w:divBdr>
    </w:div>
    <w:div w:id="1026561279">
      <w:bodyDiv w:val="1"/>
      <w:marLeft w:val="0"/>
      <w:marRight w:val="0"/>
      <w:marTop w:val="0"/>
      <w:marBottom w:val="0"/>
      <w:divBdr>
        <w:top w:val="none" w:sz="0" w:space="0" w:color="auto"/>
        <w:left w:val="none" w:sz="0" w:space="0" w:color="auto"/>
        <w:bottom w:val="none" w:sz="0" w:space="0" w:color="auto"/>
        <w:right w:val="none" w:sz="0" w:space="0" w:color="auto"/>
      </w:divBdr>
    </w:div>
    <w:div w:id="1027291150">
      <w:bodyDiv w:val="1"/>
      <w:marLeft w:val="0"/>
      <w:marRight w:val="0"/>
      <w:marTop w:val="0"/>
      <w:marBottom w:val="0"/>
      <w:divBdr>
        <w:top w:val="none" w:sz="0" w:space="0" w:color="auto"/>
        <w:left w:val="none" w:sz="0" w:space="0" w:color="auto"/>
        <w:bottom w:val="none" w:sz="0" w:space="0" w:color="auto"/>
        <w:right w:val="none" w:sz="0" w:space="0" w:color="auto"/>
      </w:divBdr>
    </w:div>
    <w:div w:id="1027366081">
      <w:bodyDiv w:val="1"/>
      <w:marLeft w:val="0"/>
      <w:marRight w:val="0"/>
      <w:marTop w:val="0"/>
      <w:marBottom w:val="0"/>
      <w:divBdr>
        <w:top w:val="none" w:sz="0" w:space="0" w:color="auto"/>
        <w:left w:val="none" w:sz="0" w:space="0" w:color="auto"/>
        <w:bottom w:val="none" w:sz="0" w:space="0" w:color="auto"/>
        <w:right w:val="none" w:sz="0" w:space="0" w:color="auto"/>
      </w:divBdr>
    </w:div>
    <w:div w:id="1027562694">
      <w:bodyDiv w:val="1"/>
      <w:marLeft w:val="0"/>
      <w:marRight w:val="0"/>
      <w:marTop w:val="0"/>
      <w:marBottom w:val="0"/>
      <w:divBdr>
        <w:top w:val="none" w:sz="0" w:space="0" w:color="auto"/>
        <w:left w:val="none" w:sz="0" w:space="0" w:color="auto"/>
        <w:bottom w:val="none" w:sz="0" w:space="0" w:color="auto"/>
        <w:right w:val="none" w:sz="0" w:space="0" w:color="auto"/>
      </w:divBdr>
    </w:div>
    <w:div w:id="1027874581">
      <w:bodyDiv w:val="1"/>
      <w:marLeft w:val="0"/>
      <w:marRight w:val="0"/>
      <w:marTop w:val="0"/>
      <w:marBottom w:val="0"/>
      <w:divBdr>
        <w:top w:val="none" w:sz="0" w:space="0" w:color="auto"/>
        <w:left w:val="none" w:sz="0" w:space="0" w:color="auto"/>
        <w:bottom w:val="none" w:sz="0" w:space="0" w:color="auto"/>
        <w:right w:val="none" w:sz="0" w:space="0" w:color="auto"/>
      </w:divBdr>
    </w:div>
    <w:div w:id="1027876727">
      <w:bodyDiv w:val="1"/>
      <w:marLeft w:val="0"/>
      <w:marRight w:val="0"/>
      <w:marTop w:val="0"/>
      <w:marBottom w:val="0"/>
      <w:divBdr>
        <w:top w:val="none" w:sz="0" w:space="0" w:color="auto"/>
        <w:left w:val="none" w:sz="0" w:space="0" w:color="auto"/>
        <w:bottom w:val="none" w:sz="0" w:space="0" w:color="auto"/>
        <w:right w:val="none" w:sz="0" w:space="0" w:color="auto"/>
      </w:divBdr>
    </w:div>
    <w:div w:id="1029257255">
      <w:bodyDiv w:val="1"/>
      <w:marLeft w:val="0"/>
      <w:marRight w:val="0"/>
      <w:marTop w:val="0"/>
      <w:marBottom w:val="0"/>
      <w:divBdr>
        <w:top w:val="none" w:sz="0" w:space="0" w:color="auto"/>
        <w:left w:val="none" w:sz="0" w:space="0" w:color="auto"/>
        <w:bottom w:val="none" w:sz="0" w:space="0" w:color="auto"/>
        <w:right w:val="none" w:sz="0" w:space="0" w:color="auto"/>
      </w:divBdr>
    </w:div>
    <w:div w:id="1030303487">
      <w:bodyDiv w:val="1"/>
      <w:marLeft w:val="0"/>
      <w:marRight w:val="0"/>
      <w:marTop w:val="0"/>
      <w:marBottom w:val="0"/>
      <w:divBdr>
        <w:top w:val="none" w:sz="0" w:space="0" w:color="auto"/>
        <w:left w:val="none" w:sz="0" w:space="0" w:color="auto"/>
        <w:bottom w:val="none" w:sz="0" w:space="0" w:color="auto"/>
        <w:right w:val="none" w:sz="0" w:space="0" w:color="auto"/>
      </w:divBdr>
    </w:div>
    <w:div w:id="1031078142">
      <w:bodyDiv w:val="1"/>
      <w:marLeft w:val="0"/>
      <w:marRight w:val="0"/>
      <w:marTop w:val="0"/>
      <w:marBottom w:val="0"/>
      <w:divBdr>
        <w:top w:val="none" w:sz="0" w:space="0" w:color="auto"/>
        <w:left w:val="none" w:sz="0" w:space="0" w:color="auto"/>
        <w:bottom w:val="none" w:sz="0" w:space="0" w:color="auto"/>
        <w:right w:val="none" w:sz="0" w:space="0" w:color="auto"/>
      </w:divBdr>
    </w:div>
    <w:div w:id="1031420340">
      <w:bodyDiv w:val="1"/>
      <w:marLeft w:val="0"/>
      <w:marRight w:val="0"/>
      <w:marTop w:val="0"/>
      <w:marBottom w:val="0"/>
      <w:divBdr>
        <w:top w:val="none" w:sz="0" w:space="0" w:color="auto"/>
        <w:left w:val="none" w:sz="0" w:space="0" w:color="auto"/>
        <w:bottom w:val="none" w:sz="0" w:space="0" w:color="auto"/>
        <w:right w:val="none" w:sz="0" w:space="0" w:color="auto"/>
      </w:divBdr>
    </w:div>
    <w:div w:id="1031608009">
      <w:bodyDiv w:val="1"/>
      <w:marLeft w:val="0"/>
      <w:marRight w:val="0"/>
      <w:marTop w:val="0"/>
      <w:marBottom w:val="0"/>
      <w:divBdr>
        <w:top w:val="none" w:sz="0" w:space="0" w:color="auto"/>
        <w:left w:val="none" w:sz="0" w:space="0" w:color="auto"/>
        <w:bottom w:val="none" w:sz="0" w:space="0" w:color="auto"/>
        <w:right w:val="none" w:sz="0" w:space="0" w:color="auto"/>
      </w:divBdr>
    </w:div>
    <w:div w:id="1032026151">
      <w:bodyDiv w:val="1"/>
      <w:marLeft w:val="0"/>
      <w:marRight w:val="0"/>
      <w:marTop w:val="0"/>
      <w:marBottom w:val="0"/>
      <w:divBdr>
        <w:top w:val="none" w:sz="0" w:space="0" w:color="auto"/>
        <w:left w:val="none" w:sz="0" w:space="0" w:color="auto"/>
        <w:bottom w:val="none" w:sz="0" w:space="0" w:color="auto"/>
        <w:right w:val="none" w:sz="0" w:space="0" w:color="auto"/>
      </w:divBdr>
    </w:div>
    <w:div w:id="1032077617">
      <w:bodyDiv w:val="1"/>
      <w:marLeft w:val="0"/>
      <w:marRight w:val="0"/>
      <w:marTop w:val="0"/>
      <w:marBottom w:val="0"/>
      <w:divBdr>
        <w:top w:val="none" w:sz="0" w:space="0" w:color="auto"/>
        <w:left w:val="none" w:sz="0" w:space="0" w:color="auto"/>
        <w:bottom w:val="none" w:sz="0" w:space="0" w:color="auto"/>
        <w:right w:val="none" w:sz="0" w:space="0" w:color="auto"/>
      </w:divBdr>
    </w:div>
    <w:div w:id="1032535777">
      <w:bodyDiv w:val="1"/>
      <w:marLeft w:val="0"/>
      <w:marRight w:val="0"/>
      <w:marTop w:val="0"/>
      <w:marBottom w:val="0"/>
      <w:divBdr>
        <w:top w:val="none" w:sz="0" w:space="0" w:color="auto"/>
        <w:left w:val="none" w:sz="0" w:space="0" w:color="auto"/>
        <w:bottom w:val="none" w:sz="0" w:space="0" w:color="auto"/>
        <w:right w:val="none" w:sz="0" w:space="0" w:color="auto"/>
      </w:divBdr>
    </w:div>
    <w:div w:id="1032926630">
      <w:bodyDiv w:val="1"/>
      <w:marLeft w:val="0"/>
      <w:marRight w:val="0"/>
      <w:marTop w:val="0"/>
      <w:marBottom w:val="0"/>
      <w:divBdr>
        <w:top w:val="none" w:sz="0" w:space="0" w:color="auto"/>
        <w:left w:val="none" w:sz="0" w:space="0" w:color="auto"/>
        <w:bottom w:val="none" w:sz="0" w:space="0" w:color="auto"/>
        <w:right w:val="none" w:sz="0" w:space="0" w:color="auto"/>
      </w:divBdr>
    </w:div>
    <w:div w:id="1034429668">
      <w:bodyDiv w:val="1"/>
      <w:marLeft w:val="0"/>
      <w:marRight w:val="0"/>
      <w:marTop w:val="0"/>
      <w:marBottom w:val="0"/>
      <w:divBdr>
        <w:top w:val="none" w:sz="0" w:space="0" w:color="auto"/>
        <w:left w:val="none" w:sz="0" w:space="0" w:color="auto"/>
        <w:bottom w:val="none" w:sz="0" w:space="0" w:color="auto"/>
        <w:right w:val="none" w:sz="0" w:space="0" w:color="auto"/>
      </w:divBdr>
    </w:div>
    <w:div w:id="1035345372">
      <w:bodyDiv w:val="1"/>
      <w:marLeft w:val="0"/>
      <w:marRight w:val="0"/>
      <w:marTop w:val="0"/>
      <w:marBottom w:val="0"/>
      <w:divBdr>
        <w:top w:val="none" w:sz="0" w:space="0" w:color="auto"/>
        <w:left w:val="none" w:sz="0" w:space="0" w:color="auto"/>
        <w:bottom w:val="none" w:sz="0" w:space="0" w:color="auto"/>
        <w:right w:val="none" w:sz="0" w:space="0" w:color="auto"/>
      </w:divBdr>
    </w:div>
    <w:div w:id="1035429436">
      <w:bodyDiv w:val="1"/>
      <w:marLeft w:val="0"/>
      <w:marRight w:val="0"/>
      <w:marTop w:val="0"/>
      <w:marBottom w:val="0"/>
      <w:divBdr>
        <w:top w:val="none" w:sz="0" w:space="0" w:color="auto"/>
        <w:left w:val="none" w:sz="0" w:space="0" w:color="auto"/>
        <w:bottom w:val="none" w:sz="0" w:space="0" w:color="auto"/>
        <w:right w:val="none" w:sz="0" w:space="0" w:color="auto"/>
      </w:divBdr>
    </w:div>
    <w:div w:id="1036858579">
      <w:bodyDiv w:val="1"/>
      <w:marLeft w:val="0"/>
      <w:marRight w:val="0"/>
      <w:marTop w:val="0"/>
      <w:marBottom w:val="0"/>
      <w:divBdr>
        <w:top w:val="none" w:sz="0" w:space="0" w:color="auto"/>
        <w:left w:val="none" w:sz="0" w:space="0" w:color="auto"/>
        <w:bottom w:val="none" w:sz="0" w:space="0" w:color="auto"/>
        <w:right w:val="none" w:sz="0" w:space="0" w:color="auto"/>
      </w:divBdr>
    </w:div>
    <w:div w:id="1036932926">
      <w:bodyDiv w:val="1"/>
      <w:marLeft w:val="0"/>
      <w:marRight w:val="0"/>
      <w:marTop w:val="0"/>
      <w:marBottom w:val="0"/>
      <w:divBdr>
        <w:top w:val="none" w:sz="0" w:space="0" w:color="auto"/>
        <w:left w:val="none" w:sz="0" w:space="0" w:color="auto"/>
        <w:bottom w:val="none" w:sz="0" w:space="0" w:color="auto"/>
        <w:right w:val="none" w:sz="0" w:space="0" w:color="auto"/>
      </w:divBdr>
    </w:div>
    <w:div w:id="1037388650">
      <w:bodyDiv w:val="1"/>
      <w:marLeft w:val="0"/>
      <w:marRight w:val="0"/>
      <w:marTop w:val="0"/>
      <w:marBottom w:val="0"/>
      <w:divBdr>
        <w:top w:val="none" w:sz="0" w:space="0" w:color="auto"/>
        <w:left w:val="none" w:sz="0" w:space="0" w:color="auto"/>
        <w:bottom w:val="none" w:sz="0" w:space="0" w:color="auto"/>
        <w:right w:val="none" w:sz="0" w:space="0" w:color="auto"/>
      </w:divBdr>
    </w:div>
    <w:div w:id="1038168060">
      <w:bodyDiv w:val="1"/>
      <w:marLeft w:val="0"/>
      <w:marRight w:val="0"/>
      <w:marTop w:val="0"/>
      <w:marBottom w:val="0"/>
      <w:divBdr>
        <w:top w:val="none" w:sz="0" w:space="0" w:color="auto"/>
        <w:left w:val="none" w:sz="0" w:space="0" w:color="auto"/>
        <w:bottom w:val="none" w:sz="0" w:space="0" w:color="auto"/>
        <w:right w:val="none" w:sz="0" w:space="0" w:color="auto"/>
      </w:divBdr>
    </w:div>
    <w:div w:id="1039017363">
      <w:bodyDiv w:val="1"/>
      <w:marLeft w:val="0"/>
      <w:marRight w:val="0"/>
      <w:marTop w:val="0"/>
      <w:marBottom w:val="0"/>
      <w:divBdr>
        <w:top w:val="none" w:sz="0" w:space="0" w:color="auto"/>
        <w:left w:val="none" w:sz="0" w:space="0" w:color="auto"/>
        <w:bottom w:val="none" w:sz="0" w:space="0" w:color="auto"/>
        <w:right w:val="none" w:sz="0" w:space="0" w:color="auto"/>
      </w:divBdr>
    </w:div>
    <w:div w:id="1039548086">
      <w:bodyDiv w:val="1"/>
      <w:marLeft w:val="0"/>
      <w:marRight w:val="0"/>
      <w:marTop w:val="0"/>
      <w:marBottom w:val="0"/>
      <w:divBdr>
        <w:top w:val="none" w:sz="0" w:space="0" w:color="auto"/>
        <w:left w:val="none" w:sz="0" w:space="0" w:color="auto"/>
        <w:bottom w:val="none" w:sz="0" w:space="0" w:color="auto"/>
        <w:right w:val="none" w:sz="0" w:space="0" w:color="auto"/>
      </w:divBdr>
    </w:div>
    <w:div w:id="1039741691">
      <w:bodyDiv w:val="1"/>
      <w:marLeft w:val="0"/>
      <w:marRight w:val="0"/>
      <w:marTop w:val="0"/>
      <w:marBottom w:val="0"/>
      <w:divBdr>
        <w:top w:val="none" w:sz="0" w:space="0" w:color="auto"/>
        <w:left w:val="none" w:sz="0" w:space="0" w:color="auto"/>
        <w:bottom w:val="none" w:sz="0" w:space="0" w:color="auto"/>
        <w:right w:val="none" w:sz="0" w:space="0" w:color="auto"/>
      </w:divBdr>
    </w:div>
    <w:div w:id="1041127081">
      <w:bodyDiv w:val="1"/>
      <w:marLeft w:val="0"/>
      <w:marRight w:val="0"/>
      <w:marTop w:val="0"/>
      <w:marBottom w:val="0"/>
      <w:divBdr>
        <w:top w:val="none" w:sz="0" w:space="0" w:color="auto"/>
        <w:left w:val="none" w:sz="0" w:space="0" w:color="auto"/>
        <w:bottom w:val="none" w:sz="0" w:space="0" w:color="auto"/>
        <w:right w:val="none" w:sz="0" w:space="0" w:color="auto"/>
      </w:divBdr>
    </w:div>
    <w:div w:id="1041174505">
      <w:bodyDiv w:val="1"/>
      <w:marLeft w:val="0"/>
      <w:marRight w:val="0"/>
      <w:marTop w:val="0"/>
      <w:marBottom w:val="0"/>
      <w:divBdr>
        <w:top w:val="none" w:sz="0" w:space="0" w:color="auto"/>
        <w:left w:val="none" w:sz="0" w:space="0" w:color="auto"/>
        <w:bottom w:val="none" w:sz="0" w:space="0" w:color="auto"/>
        <w:right w:val="none" w:sz="0" w:space="0" w:color="auto"/>
      </w:divBdr>
    </w:div>
    <w:div w:id="1041784524">
      <w:bodyDiv w:val="1"/>
      <w:marLeft w:val="0"/>
      <w:marRight w:val="0"/>
      <w:marTop w:val="0"/>
      <w:marBottom w:val="0"/>
      <w:divBdr>
        <w:top w:val="none" w:sz="0" w:space="0" w:color="auto"/>
        <w:left w:val="none" w:sz="0" w:space="0" w:color="auto"/>
        <w:bottom w:val="none" w:sz="0" w:space="0" w:color="auto"/>
        <w:right w:val="none" w:sz="0" w:space="0" w:color="auto"/>
      </w:divBdr>
    </w:div>
    <w:div w:id="1041906790">
      <w:bodyDiv w:val="1"/>
      <w:marLeft w:val="0"/>
      <w:marRight w:val="0"/>
      <w:marTop w:val="0"/>
      <w:marBottom w:val="0"/>
      <w:divBdr>
        <w:top w:val="none" w:sz="0" w:space="0" w:color="auto"/>
        <w:left w:val="none" w:sz="0" w:space="0" w:color="auto"/>
        <w:bottom w:val="none" w:sz="0" w:space="0" w:color="auto"/>
        <w:right w:val="none" w:sz="0" w:space="0" w:color="auto"/>
      </w:divBdr>
    </w:div>
    <w:div w:id="1042362777">
      <w:bodyDiv w:val="1"/>
      <w:marLeft w:val="0"/>
      <w:marRight w:val="0"/>
      <w:marTop w:val="0"/>
      <w:marBottom w:val="0"/>
      <w:divBdr>
        <w:top w:val="none" w:sz="0" w:space="0" w:color="auto"/>
        <w:left w:val="none" w:sz="0" w:space="0" w:color="auto"/>
        <w:bottom w:val="none" w:sz="0" w:space="0" w:color="auto"/>
        <w:right w:val="none" w:sz="0" w:space="0" w:color="auto"/>
      </w:divBdr>
    </w:div>
    <w:div w:id="1043139105">
      <w:bodyDiv w:val="1"/>
      <w:marLeft w:val="0"/>
      <w:marRight w:val="0"/>
      <w:marTop w:val="0"/>
      <w:marBottom w:val="0"/>
      <w:divBdr>
        <w:top w:val="none" w:sz="0" w:space="0" w:color="auto"/>
        <w:left w:val="none" w:sz="0" w:space="0" w:color="auto"/>
        <w:bottom w:val="none" w:sz="0" w:space="0" w:color="auto"/>
        <w:right w:val="none" w:sz="0" w:space="0" w:color="auto"/>
      </w:divBdr>
    </w:div>
    <w:div w:id="1043216443">
      <w:bodyDiv w:val="1"/>
      <w:marLeft w:val="0"/>
      <w:marRight w:val="0"/>
      <w:marTop w:val="0"/>
      <w:marBottom w:val="0"/>
      <w:divBdr>
        <w:top w:val="none" w:sz="0" w:space="0" w:color="auto"/>
        <w:left w:val="none" w:sz="0" w:space="0" w:color="auto"/>
        <w:bottom w:val="none" w:sz="0" w:space="0" w:color="auto"/>
        <w:right w:val="none" w:sz="0" w:space="0" w:color="auto"/>
      </w:divBdr>
    </w:div>
    <w:div w:id="1043483614">
      <w:bodyDiv w:val="1"/>
      <w:marLeft w:val="0"/>
      <w:marRight w:val="0"/>
      <w:marTop w:val="0"/>
      <w:marBottom w:val="0"/>
      <w:divBdr>
        <w:top w:val="none" w:sz="0" w:space="0" w:color="auto"/>
        <w:left w:val="none" w:sz="0" w:space="0" w:color="auto"/>
        <w:bottom w:val="none" w:sz="0" w:space="0" w:color="auto"/>
        <w:right w:val="none" w:sz="0" w:space="0" w:color="auto"/>
      </w:divBdr>
    </w:div>
    <w:div w:id="1043562066">
      <w:bodyDiv w:val="1"/>
      <w:marLeft w:val="0"/>
      <w:marRight w:val="0"/>
      <w:marTop w:val="0"/>
      <w:marBottom w:val="0"/>
      <w:divBdr>
        <w:top w:val="none" w:sz="0" w:space="0" w:color="auto"/>
        <w:left w:val="none" w:sz="0" w:space="0" w:color="auto"/>
        <w:bottom w:val="none" w:sz="0" w:space="0" w:color="auto"/>
        <w:right w:val="none" w:sz="0" w:space="0" w:color="auto"/>
      </w:divBdr>
    </w:div>
    <w:div w:id="1045065146">
      <w:bodyDiv w:val="1"/>
      <w:marLeft w:val="0"/>
      <w:marRight w:val="0"/>
      <w:marTop w:val="0"/>
      <w:marBottom w:val="0"/>
      <w:divBdr>
        <w:top w:val="none" w:sz="0" w:space="0" w:color="auto"/>
        <w:left w:val="none" w:sz="0" w:space="0" w:color="auto"/>
        <w:bottom w:val="none" w:sz="0" w:space="0" w:color="auto"/>
        <w:right w:val="none" w:sz="0" w:space="0" w:color="auto"/>
      </w:divBdr>
    </w:div>
    <w:div w:id="1045443490">
      <w:bodyDiv w:val="1"/>
      <w:marLeft w:val="0"/>
      <w:marRight w:val="0"/>
      <w:marTop w:val="0"/>
      <w:marBottom w:val="0"/>
      <w:divBdr>
        <w:top w:val="none" w:sz="0" w:space="0" w:color="auto"/>
        <w:left w:val="none" w:sz="0" w:space="0" w:color="auto"/>
        <w:bottom w:val="none" w:sz="0" w:space="0" w:color="auto"/>
        <w:right w:val="none" w:sz="0" w:space="0" w:color="auto"/>
      </w:divBdr>
    </w:div>
    <w:div w:id="1045451341">
      <w:bodyDiv w:val="1"/>
      <w:marLeft w:val="0"/>
      <w:marRight w:val="0"/>
      <w:marTop w:val="0"/>
      <w:marBottom w:val="0"/>
      <w:divBdr>
        <w:top w:val="none" w:sz="0" w:space="0" w:color="auto"/>
        <w:left w:val="none" w:sz="0" w:space="0" w:color="auto"/>
        <w:bottom w:val="none" w:sz="0" w:space="0" w:color="auto"/>
        <w:right w:val="none" w:sz="0" w:space="0" w:color="auto"/>
      </w:divBdr>
    </w:div>
    <w:div w:id="1045762694">
      <w:bodyDiv w:val="1"/>
      <w:marLeft w:val="0"/>
      <w:marRight w:val="0"/>
      <w:marTop w:val="0"/>
      <w:marBottom w:val="0"/>
      <w:divBdr>
        <w:top w:val="none" w:sz="0" w:space="0" w:color="auto"/>
        <w:left w:val="none" w:sz="0" w:space="0" w:color="auto"/>
        <w:bottom w:val="none" w:sz="0" w:space="0" w:color="auto"/>
        <w:right w:val="none" w:sz="0" w:space="0" w:color="auto"/>
      </w:divBdr>
    </w:div>
    <w:div w:id="1046180433">
      <w:bodyDiv w:val="1"/>
      <w:marLeft w:val="0"/>
      <w:marRight w:val="0"/>
      <w:marTop w:val="0"/>
      <w:marBottom w:val="0"/>
      <w:divBdr>
        <w:top w:val="none" w:sz="0" w:space="0" w:color="auto"/>
        <w:left w:val="none" w:sz="0" w:space="0" w:color="auto"/>
        <w:bottom w:val="none" w:sz="0" w:space="0" w:color="auto"/>
        <w:right w:val="none" w:sz="0" w:space="0" w:color="auto"/>
      </w:divBdr>
    </w:div>
    <w:div w:id="1046300869">
      <w:bodyDiv w:val="1"/>
      <w:marLeft w:val="0"/>
      <w:marRight w:val="0"/>
      <w:marTop w:val="0"/>
      <w:marBottom w:val="0"/>
      <w:divBdr>
        <w:top w:val="none" w:sz="0" w:space="0" w:color="auto"/>
        <w:left w:val="none" w:sz="0" w:space="0" w:color="auto"/>
        <w:bottom w:val="none" w:sz="0" w:space="0" w:color="auto"/>
        <w:right w:val="none" w:sz="0" w:space="0" w:color="auto"/>
      </w:divBdr>
    </w:div>
    <w:div w:id="1046370162">
      <w:bodyDiv w:val="1"/>
      <w:marLeft w:val="0"/>
      <w:marRight w:val="0"/>
      <w:marTop w:val="0"/>
      <w:marBottom w:val="0"/>
      <w:divBdr>
        <w:top w:val="none" w:sz="0" w:space="0" w:color="auto"/>
        <w:left w:val="none" w:sz="0" w:space="0" w:color="auto"/>
        <w:bottom w:val="none" w:sz="0" w:space="0" w:color="auto"/>
        <w:right w:val="none" w:sz="0" w:space="0" w:color="auto"/>
      </w:divBdr>
    </w:div>
    <w:div w:id="1046880121">
      <w:bodyDiv w:val="1"/>
      <w:marLeft w:val="0"/>
      <w:marRight w:val="0"/>
      <w:marTop w:val="0"/>
      <w:marBottom w:val="0"/>
      <w:divBdr>
        <w:top w:val="none" w:sz="0" w:space="0" w:color="auto"/>
        <w:left w:val="none" w:sz="0" w:space="0" w:color="auto"/>
        <w:bottom w:val="none" w:sz="0" w:space="0" w:color="auto"/>
        <w:right w:val="none" w:sz="0" w:space="0" w:color="auto"/>
      </w:divBdr>
    </w:div>
    <w:div w:id="1047025430">
      <w:bodyDiv w:val="1"/>
      <w:marLeft w:val="0"/>
      <w:marRight w:val="0"/>
      <w:marTop w:val="0"/>
      <w:marBottom w:val="0"/>
      <w:divBdr>
        <w:top w:val="none" w:sz="0" w:space="0" w:color="auto"/>
        <w:left w:val="none" w:sz="0" w:space="0" w:color="auto"/>
        <w:bottom w:val="none" w:sz="0" w:space="0" w:color="auto"/>
        <w:right w:val="none" w:sz="0" w:space="0" w:color="auto"/>
      </w:divBdr>
    </w:div>
    <w:div w:id="1047221689">
      <w:bodyDiv w:val="1"/>
      <w:marLeft w:val="0"/>
      <w:marRight w:val="0"/>
      <w:marTop w:val="0"/>
      <w:marBottom w:val="0"/>
      <w:divBdr>
        <w:top w:val="none" w:sz="0" w:space="0" w:color="auto"/>
        <w:left w:val="none" w:sz="0" w:space="0" w:color="auto"/>
        <w:bottom w:val="none" w:sz="0" w:space="0" w:color="auto"/>
        <w:right w:val="none" w:sz="0" w:space="0" w:color="auto"/>
      </w:divBdr>
    </w:div>
    <w:div w:id="1048653475">
      <w:bodyDiv w:val="1"/>
      <w:marLeft w:val="0"/>
      <w:marRight w:val="0"/>
      <w:marTop w:val="0"/>
      <w:marBottom w:val="0"/>
      <w:divBdr>
        <w:top w:val="none" w:sz="0" w:space="0" w:color="auto"/>
        <w:left w:val="none" w:sz="0" w:space="0" w:color="auto"/>
        <w:bottom w:val="none" w:sz="0" w:space="0" w:color="auto"/>
        <w:right w:val="none" w:sz="0" w:space="0" w:color="auto"/>
      </w:divBdr>
    </w:div>
    <w:div w:id="1049112722">
      <w:bodyDiv w:val="1"/>
      <w:marLeft w:val="0"/>
      <w:marRight w:val="0"/>
      <w:marTop w:val="0"/>
      <w:marBottom w:val="0"/>
      <w:divBdr>
        <w:top w:val="none" w:sz="0" w:space="0" w:color="auto"/>
        <w:left w:val="none" w:sz="0" w:space="0" w:color="auto"/>
        <w:bottom w:val="none" w:sz="0" w:space="0" w:color="auto"/>
        <w:right w:val="none" w:sz="0" w:space="0" w:color="auto"/>
      </w:divBdr>
    </w:div>
    <w:div w:id="1050303386">
      <w:bodyDiv w:val="1"/>
      <w:marLeft w:val="0"/>
      <w:marRight w:val="0"/>
      <w:marTop w:val="0"/>
      <w:marBottom w:val="0"/>
      <w:divBdr>
        <w:top w:val="none" w:sz="0" w:space="0" w:color="auto"/>
        <w:left w:val="none" w:sz="0" w:space="0" w:color="auto"/>
        <w:bottom w:val="none" w:sz="0" w:space="0" w:color="auto"/>
        <w:right w:val="none" w:sz="0" w:space="0" w:color="auto"/>
      </w:divBdr>
    </w:div>
    <w:div w:id="1050574390">
      <w:bodyDiv w:val="1"/>
      <w:marLeft w:val="0"/>
      <w:marRight w:val="0"/>
      <w:marTop w:val="0"/>
      <w:marBottom w:val="0"/>
      <w:divBdr>
        <w:top w:val="none" w:sz="0" w:space="0" w:color="auto"/>
        <w:left w:val="none" w:sz="0" w:space="0" w:color="auto"/>
        <w:bottom w:val="none" w:sz="0" w:space="0" w:color="auto"/>
        <w:right w:val="none" w:sz="0" w:space="0" w:color="auto"/>
      </w:divBdr>
    </w:div>
    <w:div w:id="1050960387">
      <w:bodyDiv w:val="1"/>
      <w:marLeft w:val="0"/>
      <w:marRight w:val="0"/>
      <w:marTop w:val="0"/>
      <w:marBottom w:val="0"/>
      <w:divBdr>
        <w:top w:val="none" w:sz="0" w:space="0" w:color="auto"/>
        <w:left w:val="none" w:sz="0" w:space="0" w:color="auto"/>
        <w:bottom w:val="none" w:sz="0" w:space="0" w:color="auto"/>
        <w:right w:val="none" w:sz="0" w:space="0" w:color="auto"/>
      </w:divBdr>
    </w:div>
    <w:div w:id="1051341416">
      <w:bodyDiv w:val="1"/>
      <w:marLeft w:val="0"/>
      <w:marRight w:val="0"/>
      <w:marTop w:val="0"/>
      <w:marBottom w:val="0"/>
      <w:divBdr>
        <w:top w:val="none" w:sz="0" w:space="0" w:color="auto"/>
        <w:left w:val="none" w:sz="0" w:space="0" w:color="auto"/>
        <w:bottom w:val="none" w:sz="0" w:space="0" w:color="auto"/>
        <w:right w:val="none" w:sz="0" w:space="0" w:color="auto"/>
      </w:divBdr>
    </w:div>
    <w:div w:id="1051542300">
      <w:bodyDiv w:val="1"/>
      <w:marLeft w:val="0"/>
      <w:marRight w:val="0"/>
      <w:marTop w:val="0"/>
      <w:marBottom w:val="0"/>
      <w:divBdr>
        <w:top w:val="none" w:sz="0" w:space="0" w:color="auto"/>
        <w:left w:val="none" w:sz="0" w:space="0" w:color="auto"/>
        <w:bottom w:val="none" w:sz="0" w:space="0" w:color="auto"/>
        <w:right w:val="none" w:sz="0" w:space="0" w:color="auto"/>
      </w:divBdr>
    </w:div>
    <w:div w:id="1052196279">
      <w:bodyDiv w:val="1"/>
      <w:marLeft w:val="0"/>
      <w:marRight w:val="0"/>
      <w:marTop w:val="0"/>
      <w:marBottom w:val="0"/>
      <w:divBdr>
        <w:top w:val="none" w:sz="0" w:space="0" w:color="auto"/>
        <w:left w:val="none" w:sz="0" w:space="0" w:color="auto"/>
        <w:bottom w:val="none" w:sz="0" w:space="0" w:color="auto"/>
        <w:right w:val="none" w:sz="0" w:space="0" w:color="auto"/>
      </w:divBdr>
    </w:div>
    <w:div w:id="1052197370">
      <w:bodyDiv w:val="1"/>
      <w:marLeft w:val="0"/>
      <w:marRight w:val="0"/>
      <w:marTop w:val="0"/>
      <w:marBottom w:val="0"/>
      <w:divBdr>
        <w:top w:val="none" w:sz="0" w:space="0" w:color="auto"/>
        <w:left w:val="none" w:sz="0" w:space="0" w:color="auto"/>
        <w:bottom w:val="none" w:sz="0" w:space="0" w:color="auto"/>
        <w:right w:val="none" w:sz="0" w:space="0" w:color="auto"/>
      </w:divBdr>
    </w:div>
    <w:div w:id="1052266648">
      <w:bodyDiv w:val="1"/>
      <w:marLeft w:val="0"/>
      <w:marRight w:val="0"/>
      <w:marTop w:val="0"/>
      <w:marBottom w:val="0"/>
      <w:divBdr>
        <w:top w:val="none" w:sz="0" w:space="0" w:color="auto"/>
        <w:left w:val="none" w:sz="0" w:space="0" w:color="auto"/>
        <w:bottom w:val="none" w:sz="0" w:space="0" w:color="auto"/>
        <w:right w:val="none" w:sz="0" w:space="0" w:color="auto"/>
      </w:divBdr>
    </w:div>
    <w:div w:id="1052269168">
      <w:bodyDiv w:val="1"/>
      <w:marLeft w:val="0"/>
      <w:marRight w:val="0"/>
      <w:marTop w:val="0"/>
      <w:marBottom w:val="0"/>
      <w:divBdr>
        <w:top w:val="none" w:sz="0" w:space="0" w:color="auto"/>
        <w:left w:val="none" w:sz="0" w:space="0" w:color="auto"/>
        <w:bottom w:val="none" w:sz="0" w:space="0" w:color="auto"/>
        <w:right w:val="none" w:sz="0" w:space="0" w:color="auto"/>
      </w:divBdr>
    </w:div>
    <w:div w:id="1052342741">
      <w:bodyDiv w:val="1"/>
      <w:marLeft w:val="0"/>
      <w:marRight w:val="0"/>
      <w:marTop w:val="0"/>
      <w:marBottom w:val="0"/>
      <w:divBdr>
        <w:top w:val="none" w:sz="0" w:space="0" w:color="auto"/>
        <w:left w:val="none" w:sz="0" w:space="0" w:color="auto"/>
        <w:bottom w:val="none" w:sz="0" w:space="0" w:color="auto"/>
        <w:right w:val="none" w:sz="0" w:space="0" w:color="auto"/>
      </w:divBdr>
    </w:div>
    <w:div w:id="1052849437">
      <w:bodyDiv w:val="1"/>
      <w:marLeft w:val="0"/>
      <w:marRight w:val="0"/>
      <w:marTop w:val="0"/>
      <w:marBottom w:val="0"/>
      <w:divBdr>
        <w:top w:val="none" w:sz="0" w:space="0" w:color="auto"/>
        <w:left w:val="none" w:sz="0" w:space="0" w:color="auto"/>
        <w:bottom w:val="none" w:sz="0" w:space="0" w:color="auto"/>
        <w:right w:val="none" w:sz="0" w:space="0" w:color="auto"/>
      </w:divBdr>
    </w:div>
    <w:div w:id="1053428153">
      <w:bodyDiv w:val="1"/>
      <w:marLeft w:val="0"/>
      <w:marRight w:val="0"/>
      <w:marTop w:val="0"/>
      <w:marBottom w:val="0"/>
      <w:divBdr>
        <w:top w:val="none" w:sz="0" w:space="0" w:color="auto"/>
        <w:left w:val="none" w:sz="0" w:space="0" w:color="auto"/>
        <w:bottom w:val="none" w:sz="0" w:space="0" w:color="auto"/>
        <w:right w:val="none" w:sz="0" w:space="0" w:color="auto"/>
      </w:divBdr>
    </w:div>
    <w:div w:id="1053579623">
      <w:bodyDiv w:val="1"/>
      <w:marLeft w:val="0"/>
      <w:marRight w:val="0"/>
      <w:marTop w:val="0"/>
      <w:marBottom w:val="0"/>
      <w:divBdr>
        <w:top w:val="none" w:sz="0" w:space="0" w:color="auto"/>
        <w:left w:val="none" w:sz="0" w:space="0" w:color="auto"/>
        <w:bottom w:val="none" w:sz="0" w:space="0" w:color="auto"/>
        <w:right w:val="none" w:sz="0" w:space="0" w:color="auto"/>
      </w:divBdr>
    </w:div>
    <w:div w:id="1053966685">
      <w:bodyDiv w:val="1"/>
      <w:marLeft w:val="0"/>
      <w:marRight w:val="0"/>
      <w:marTop w:val="0"/>
      <w:marBottom w:val="0"/>
      <w:divBdr>
        <w:top w:val="none" w:sz="0" w:space="0" w:color="auto"/>
        <w:left w:val="none" w:sz="0" w:space="0" w:color="auto"/>
        <w:bottom w:val="none" w:sz="0" w:space="0" w:color="auto"/>
        <w:right w:val="none" w:sz="0" w:space="0" w:color="auto"/>
      </w:divBdr>
    </w:div>
    <w:div w:id="1055350364">
      <w:bodyDiv w:val="1"/>
      <w:marLeft w:val="0"/>
      <w:marRight w:val="0"/>
      <w:marTop w:val="0"/>
      <w:marBottom w:val="0"/>
      <w:divBdr>
        <w:top w:val="none" w:sz="0" w:space="0" w:color="auto"/>
        <w:left w:val="none" w:sz="0" w:space="0" w:color="auto"/>
        <w:bottom w:val="none" w:sz="0" w:space="0" w:color="auto"/>
        <w:right w:val="none" w:sz="0" w:space="0" w:color="auto"/>
      </w:divBdr>
    </w:div>
    <w:div w:id="1055661237">
      <w:bodyDiv w:val="1"/>
      <w:marLeft w:val="0"/>
      <w:marRight w:val="0"/>
      <w:marTop w:val="0"/>
      <w:marBottom w:val="0"/>
      <w:divBdr>
        <w:top w:val="none" w:sz="0" w:space="0" w:color="auto"/>
        <w:left w:val="none" w:sz="0" w:space="0" w:color="auto"/>
        <w:bottom w:val="none" w:sz="0" w:space="0" w:color="auto"/>
        <w:right w:val="none" w:sz="0" w:space="0" w:color="auto"/>
      </w:divBdr>
    </w:div>
    <w:div w:id="1058282850">
      <w:bodyDiv w:val="1"/>
      <w:marLeft w:val="0"/>
      <w:marRight w:val="0"/>
      <w:marTop w:val="0"/>
      <w:marBottom w:val="0"/>
      <w:divBdr>
        <w:top w:val="none" w:sz="0" w:space="0" w:color="auto"/>
        <w:left w:val="none" w:sz="0" w:space="0" w:color="auto"/>
        <w:bottom w:val="none" w:sz="0" w:space="0" w:color="auto"/>
        <w:right w:val="none" w:sz="0" w:space="0" w:color="auto"/>
      </w:divBdr>
    </w:div>
    <w:div w:id="1060708814">
      <w:bodyDiv w:val="1"/>
      <w:marLeft w:val="0"/>
      <w:marRight w:val="0"/>
      <w:marTop w:val="0"/>
      <w:marBottom w:val="0"/>
      <w:divBdr>
        <w:top w:val="none" w:sz="0" w:space="0" w:color="auto"/>
        <w:left w:val="none" w:sz="0" w:space="0" w:color="auto"/>
        <w:bottom w:val="none" w:sz="0" w:space="0" w:color="auto"/>
        <w:right w:val="none" w:sz="0" w:space="0" w:color="auto"/>
      </w:divBdr>
    </w:div>
    <w:div w:id="1061444994">
      <w:bodyDiv w:val="1"/>
      <w:marLeft w:val="0"/>
      <w:marRight w:val="0"/>
      <w:marTop w:val="0"/>
      <w:marBottom w:val="0"/>
      <w:divBdr>
        <w:top w:val="none" w:sz="0" w:space="0" w:color="auto"/>
        <w:left w:val="none" w:sz="0" w:space="0" w:color="auto"/>
        <w:bottom w:val="none" w:sz="0" w:space="0" w:color="auto"/>
        <w:right w:val="none" w:sz="0" w:space="0" w:color="auto"/>
      </w:divBdr>
    </w:div>
    <w:div w:id="1061636376">
      <w:bodyDiv w:val="1"/>
      <w:marLeft w:val="0"/>
      <w:marRight w:val="0"/>
      <w:marTop w:val="0"/>
      <w:marBottom w:val="0"/>
      <w:divBdr>
        <w:top w:val="none" w:sz="0" w:space="0" w:color="auto"/>
        <w:left w:val="none" w:sz="0" w:space="0" w:color="auto"/>
        <w:bottom w:val="none" w:sz="0" w:space="0" w:color="auto"/>
        <w:right w:val="none" w:sz="0" w:space="0" w:color="auto"/>
      </w:divBdr>
    </w:div>
    <w:div w:id="1062094669">
      <w:bodyDiv w:val="1"/>
      <w:marLeft w:val="0"/>
      <w:marRight w:val="0"/>
      <w:marTop w:val="0"/>
      <w:marBottom w:val="0"/>
      <w:divBdr>
        <w:top w:val="none" w:sz="0" w:space="0" w:color="auto"/>
        <w:left w:val="none" w:sz="0" w:space="0" w:color="auto"/>
        <w:bottom w:val="none" w:sz="0" w:space="0" w:color="auto"/>
        <w:right w:val="none" w:sz="0" w:space="0" w:color="auto"/>
      </w:divBdr>
    </w:div>
    <w:div w:id="1063722072">
      <w:bodyDiv w:val="1"/>
      <w:marLeft w:val="0"/>
      <w:marRight w:val="0"/>
      <w:marTop w:val="0"/>
      <w:marBottom w:val="0"/>
      <w:divBdr>
        <w:top w:val="none" w:sz="0" w:space="0" w:color="auto"/>
        <w:left w:val="none" w:sz="0" w:space="0" w:color="auto"/>
        <w:bottom w:val="none" w:sz="0" w:space="0" w:color="auto"/>
        <w:right w:val="none" w:sz="0" w:space="0" w:color="auto"/>
      </w:divBdr>
    </w:div>
    <w:div w:id="1064137502">
      <w:bodyDiv w:val="1"/>
      <w:marLeft w:val="0"/>
      <w:marRight w:val="0"/>
      <w:marTop w:val="0"/>
      <w:marBottom w:val="0"/>
      <w:divBdr>
        <w:top w:val="none" w:sz="0" w:space="0" w:color="auto"/>
        <w:left w:val="none" w:sz="0" w:space="0" w:color="auto"/>
        <w:bottom w:val="none" w:sz="0" w:space="0" w:color="auto"/>
        <w:right w:val="none" w:sz="0" w:space="0" w:color="auto"/>
      </w:divBdr>
    </w:div>
    <w:div w:id="1064260536">
      <w:bodyDiv w:val="1"/>
      <w:marLeft w:val="0"/>
      <w:marRight w:val="0"/>
      <w:marTop w:val="0"/>
      <w:marBottom w:val="0"/>
      <w:divBdr>
        <w:top w:val="none" w:sz="0" w:space="0" w:color="auto"/>
        <w:left w:val="none" w:sz="0" w:space="0" w:color="auto"/>
        <w:bottom w:val="none" w:sz="0" w:space="0" w:color="auto"/>
        <w:right w:val="none" w:sz="0" w:space="0" w:color="auto"/>
      </w:divBdr>
    </w:div>
    <w:div w:id="1064640024">
      <w:bodyDiv w:val="1"/>
      <w:marLeft w:val="0"/>
      <w:marRight w:val="0"/>
      <w:marTop w:val="0"/>
      <w:marBottom w:val="0"/>
      <w:divBdr>
        <w:top w:val="none" w:sz="0" w:space="0" w:color="auto"/>
        <w:left w:val="none" w:sz="0" w:space="0" w:color="auto"/>
        <w:bottom w:val="none" w:sz="0" w:space="0" w:color="auto"/>
        <w:right w:val="none" w:sz="0" w:space="0" w:color="auto"/>
      </w:divBdr>
    </w:div>
    <w:div w:id="1064765045">
      <w:bodyDiv w:val="1"/>
      <w:marLeft w:val="0"/>
      <w:marRight w:val="0"/>
      <w:marTop w:val="0"/>
      <w:marBottom w:val="0"/>
      <w:divBdr>
        <w:top w:val="none" w:sz="0" w:space="0" w:color="auto"/>
        <w:left w:val="none" w:sz="0" w:space="0" w:color="auto"/>
        <w:bottom w:val="none" w:sz="0" w:space="0" w:color="auto"/>
        <w:right w:val="none" w:sz="0" w:space="0" w:color="auto"/>
      </w:divBdr>
    </w:div>
    <w:div w:id="1066029663">
      <w:bodyDiv w:val="1"/>
      <w:marLeft w:val="0"/>
      <w:marRight w:val="0"/>
      <w:marTop w:val="0"/>
      <w:marBottom w:val="0"/>
      <w:divBdr>
        <w:top w:val="none" w:sz="0" w:space="0" w:color="auto"/>
        <w:left w:val="none" w:sz="0" w:space="0" w:color="auto"/>
        <w:bottom w:val="none" w:sz="0" w:space="0" w:color="auto"/>
        <w:right w:val="none" w:sz="0" w:space="0" w:color="auto"/>
      </w:divBdr>
    </w:div>
    <w:div w:id="1066949769">
      <w:bodyDiv w:val="1"/>
      <w:marLeft w:val="0"/>
      <w:marRight w:val="0"/>
      <w:marTop w:val="0"/>
      <w:marBottom w:val="0"/>
      <w:divBdr>
        <w:top w:val="none" w:sz="0" w:space="0" w:color="auto"/>
        <w:left w:val="none" w:sz="0" w:space="0" w:color="auto"/>
        <w:bottom w:val="none" w:sz="0" w:space="0" w:color="auto"/>
        <w:right w:val="none" w:sz="0" w:space="0" w:color="auto"/>
      </w:divBdr>
    </w:div>
    <w:div w:id="1067189555">
      <w:bodyDiv w:val="1"/>
      <w:marLeft w:val="0"/>
      <w:marRight w:val="0"/>
      <w:marTop w:val="0"/>
      <w:marBottom w:val="0"/>
      <w:divBdr>
        <w:top w:val="none" w:sz="0" w:space="0" w:color="auto"/>
        <w:left w:val="none" w:sz="0" w:space="0" w:color="auto"/>
        <w:bottom w:val="none" w:sz="0" w:space="0" w:color="auto"/>
        <w:right w:val="none" w:sz="0" w:space="0" w:color="auto"/>
      </w:divBdr>
    </w:div>
    <w:div w:id="1067264592">
      <w:bodyDiv w:val="1"/>
      <w:marLeft w:val="0"/>
      <w:marRight w:val="0"/>
      <w:marTop w:val="0"/>
      <w:marBottom w:val="0"/>
      <w:divBdr>
        <w:top w:val="none" w:sz="0" w:space="0" w:color="auto"/>
        <w:left w:val="none" w:sz="0" w:space="0" w:color="auto"/>
        <w:bottom w:val="none" w:sz="0" w:space="0" w:color="auto"/>
        <w:right w:val="none" w:sz="0" w:space="0" w:color="auto"/>
      </w:divBdr>
    </w:div>
    <w:div w:id="1068305330">
      <w:bodyDiv w:val="1"/>
      <w:marLeft w:val="0"/>
      <w:marRight w:val="0"/>
      <w:marTop w:val="0"/>
      <w:marBottom w:val="0"/>
      <w:divBdr>
        <w:top w:val="none" w:sz="0" w:space="0" w:color="auto"/>
        <w:left w:val="none" w:sz="0" w:space="0" w:color="auto"/>
        <w:bottom w:val="none" w:sz="0" w:space="0" w:color="auto"/>
        <w:right w:val="none" w:sz="0" w:space="0" w:color="auto"/>
      </w:divBdr>
    </w:div>
    <w:div w:id="1068916683">
      <w:bodyDiv w:val="1"/>
      <w:marLeft w:val="0"/>
      <w:marRight w:val="0"/>
      <w:marTop w:val="0"/>
      <w:marBottom w:val="0"/>
      <w:divBdr>
        <w:top w:val="none" w:sz="0" w:space="0" w:color="auto"/>
        <w:left w:val="none" w:sz="0" w:space="0" w:color="auto"/>
        <w:bottom w:val="none" w:sz="0" w:space="0" w:color="auto"/>
        <w:right w:val="none" w:sz="0" w:space="0" w:color="auto"/>
      </w:divBdr>
    </w:div>
    <w:div w:id="1069769002">
      <w:bodyDiv w:val="1"/>
      <w:marLeft w:val="0"/>
      <w:marRight w:val="0"/>
      <w:marTop w:val="0"/>
      <w:marBottom w:val="0"/>
      <w:divBdr>
        <w:top w:val="none" w:sz="0" w:space="0" w:color="auto"/>
        <w:left w:val="none" w:sz="0" w:space="0" w:color="auto"/>
        <w:bottom w:val="none" w:sz="0" w:space="0" w:color="auto"/>
        <w:right w:val="none" w:sz="0" w:space="0" w:color="auto"/>
      </w:divBdr>
    </w:div>
    <w:div w:id="1070539228">
      <w:bodyDiv w:val="1"/>
      <w:marLeft w:val="0"/>
      <w:marRight w:val="0"/>
      <w:marTop w:val="0"/>
      <w:marBottom w:val="0"/>
      <w:divBdr>
        <w:top w:val="none" w:sz="0" w:space="0" w:color="auto"/>
        <w:left w:val="none" w:sz="0" w:space="0" w:color="auto"/>
        <w:bottom w:val="none" w:sz="0" w:space="0" w:color="auto"/>
        <w:right w:val="none" w:sz="0" w:space="0" w:color="auto"/>
      </w:divBdr>
    </w:div>
    <w:div w:id="1070928645">
      <w:bodyDiv w:val="1"/>
      <w:marLeft w:val="0"/>
      <w:marRight w:val="0"/>
      <w:marTop w:val="0"/>
      <w:marBottom w:val="0"/>
      <w:divBdr>
        <w:top w:val="none" w:sz="0" w:space="0" w:color="auto"/>
        <w:left w:val="none" w:sz="0" w:space="0" w:color="auto"/>
        <w:bottom w:val="none" w:sz="0" w:space="0" w:color="auto"/>
        <w:right w:val="none" w:sz="0" w:space="0" w:color="auto"/>
      </w:divBdr>
    </w:div>
    <w:div w:id="1071198188">
      <w:bodyDiv w:val="1"/>
      <w:marLeft w:val="0"/>
      <w:marRight w:val="0"/>
      <w:marTop w:val="0"/>
      <w:marBottom w:val="0"/>
      <w:divBdr>
        <w:top w:val="none" w:sz="0" w:space="0" w:color="auto"/>
        <w:left w:val="none" w:sz="0" w:space="0" w:color="auto"/>
        <w:bottom w:val="none" w:sz="0" w:space="0" w:color="auto"/>
        <w:right w:val="none" w:sz="0" w:space="0" w:color="auto"/>
      </w:divBdr>
    </w:div>
    <w:div w:id="1072000612">
      <w:bodyDiv w:val="1"/>
      <w:marLeft w:val="0"/>
      <w:marRight w:val="0"/>
      <w:marTop w:val="0"/>
      <w:marBottom w:val="0"/>
      <w:divBdr>
        <w:top w:val="none" w:sz="0" w:space="0" w:color="auto"/>
        <w:left w:val="none" w:sz="0" w:space="0" w:color="auto"/>
        <w:bottom w:val="none" w:sz="0" w:space="0" w:color="auto"/>
        <w:right w:val="none" w:sz="0" w:space="0" w:color="auto"/>
      </w:divBdr>
    </w:div>
    <w:div w:id="1072509789">
      <w:bodyDiv w:val="1"/>
      <w:marLeft w:val="0"/>
      <w:marRight w:val="0"/>
      <w:marTop w:val="0"/>
      <w:marBottom w:val="0"/>
      <w:divBdr>
        <w:top w:val="none" w:sz="0" w:space="0" w:color="auto"/>
        <w:left w:val="none" w:sz="0" w:space="0" w:color="auto"/>
        <w:bottom w:val="none" w:sz="0" w:space="0" w:color="auto"/>
        <w:right w:val="none" w:sz="0" w:space="0" w:color="auto"/>
      </w:divBdr>
    </w:div>
    <w:div w:id="1073505840">
      <w:bodyDiv w:val="1"/>
      <w:marLeft w:val="0"/>
      <w:marRight w:val="0"/>
      <w:marTop w:val="0"/>
      <w:marBottom w:val="0"/>
      <w:divBdr>
        <w:top w:val="none" w:sz="0" w:space="0" w:color="auto"/>
        <w:left w:val="none" w:sz="0" w:space="0" w:color="auto"/>
        <w:bottom w:val="none" w:sz="0" w:space="0" w:color="auto"/>
        <w:right w:val="none" w:sz="0" w:space="0" w:color="auto"/>
      </w:divBdr>
    </w:div>
    <w:div w:id="1074006839">
      <w:bodyDiv w:val="1"/>
      <w:marLeft w:val="0"/>
      <w:marRight w:val="0"/>
      <w:marTop w:val="0"/>
      <w:marBottom w:val="0"/>
      <w:divBdr>
        <w:top w:val="none" w:sz="0" w:space="0" w:color="auto"/>
        <w:left w:val="none" w:sz="0" w:space="0" w:color="auto"/>
        <w:bottom w:val="none" w:sz="0" w:space="0" w:color="auto"/>
        <w:right w:val="none" w:sz="0" w:space="0" w:color="auto"/>
      </w:divBdr>
    </w:div>
    <w:div w:id="1074669987">
      <w:bodyDiv w:val="1"/>
      <w:marLeft w:val="0"/>
      <w:marRight w:val="0"/>
      <w:marTop w:val="0"/>
      <w:marBottom w:val="0"/>
      <w:divBdr>
        <w:top w:val="none" w:sz="0" w:space="0" w:color="auto"/>
        <w:left w:val="none" w:sz="0" w:space="0" w:color="auto"/>
        <w:bottom w:val="none" w:sz="0" w:space="0" w:color="auto"/>
        <w:right w:val="none" w:sz="0" w:space="0" w:color="auto"/>
      </w:divBdr>
    </w:div>
    <w:div w:id="1074861605">
      <w:bodyDiv w:val="1"/>
      <w:marLeft w:val="0"/>
      <w:marRight w:val="0"/>
      <w:marTop w:val="0"/>
      <w:marBottom w:val="0"/>
      <w:divBdr>
        <w:top w:val="none" w:sz="0" w:space="0" w:color="auto"/>
        <w:left w:val="none" w:sz="0" w:space="0" w:color="auto"/>
        <w:bottom w:val="none" w:sz="0" w:space="0" w:color="auto"/>
        <w:right w:val="none" w:sz="0" w:space="0" w:color="auto"/>
      </w:divBdr>
    </w:div>
    <w:div w:id="1075858774">
      <w:bodyDiv w:val="1"/>
      <w:marLeft w:val="0"/>
      <w:marRight w:val="0"/>
      <w:marTop w:val="0"/>
      <w:marBottom w:val="0"/>
      <w:divBdr>
        <w:top w:val="none" w:sz="0" w:space="0" w:color="auto"/>
        <w:left w:val="none" w:sz="0" w:space="0" w:color="auto"/>
        <w:bottom w:val="none" w:sz="0" w:space="0" w:color="auto"/>
        <w:right w:val="none" w:sz="0" w:space="0" w:color="auto"/>
      </w:divBdr>
    </w:div>
    <w:div w:id="1076170693">
      <w:bodyDiv w:val="1"/>
      <w:marLeft w:val="0"/>
      <w:marRight w:val="0"/>
      <w:marTop w:val="0"/>
      <w:marBottom w:val="0"/>
      <w:divBdr>
        <w:top w:val="none" w:sz="0" w:space="0" w:color="auto"/>
        <w:left w:val="none" w:sz="0" w:space="0" w:color="auto"/>
        <w:bottom w:val="none" w:sz="0" w:space="0" w:color="auto"/>
        <w:right w:val="none" w:sz="0" w:space="0" w:color="auto"/>
      </w:divBdr>
    </w:div>
    <w:div w:id="1077049694">
      <w:bodyDiv w:val="1"/>
      <w:marLeft w:val="0"/>
      <w:marRight w:val="0"/>
      <w:marTop w:val="0"/>
      <w:marBottom w:val="0"/>
      <w:divBdr>
        <w:top w:val="none" w:sz="0" w:space="0" w:color="auto"/>
        <w:left w:val="none" w:sz="0" w:space="0" w:color="auto"/>
        <w:bottom w:val="none" w:sz="0" w:space="0" w:color="auto"/>
        <w:right w:val="none" w:sz="0" w:space="0" w:color="auto"/>
      </w:divBdr>
    </w:div>
    <w:div w:id="1077821172">
      <w:bodyDiv w:val="1"/>
      <w:marLeft w:val="0"/>
      <w:marRight w:val="0"/>
      <w:marTop w:val="0"/>
      <w:marBottom w:val="0"/>
      <w:divBdr>
        <w:top w:val="none" w:sz="0" w:space="0" w:color="auto"/>
        <w:left w:val="none" w:sz="0" w:space="0" w:color="auto"/>
        <w:bottom w:val="none" w:sz="0" w:space="0" w:color="auto"/>
        <w:right w:val="none" w:sz="0" w:space="0" w:color="auto"/>
      </w:divBdr>
    </w:div>
    <w:div w:id="1078088376">
      <w:bodyDiv w:val="1"/>
      <w:marLeft w:val="0"/>
      <w:marRight w:val="0"/>
      <w:marTop w:val="0"/>
      <w:marBottom w:val="0"/>
      <w:divBdr>
        <w:top w:val="none" w:sz="0" w:space="0" w:color="auto"/>
        <w:left w:val="none" w:sz="0" w:space="0" w:color="auto"/>
        <w:bottom w:val="none" w:sz="0" w:space="0" w:color="auto"/>
        <w:right w:val="none" w:sz="0" w:space="0" w:color="auto"/>
      </w:divBdr>
    </w:div>
    <w:div w:id="1078476023">
      <w:bodyDiv w:val="1"/>
      <w:marLeft w:val="0"/>
      <w:marRight w:val="0"/>
      <w:marTop w:val="0"/>
      <w:marBottom w:val="0"/>
      <w:divBdr>
        <w:top w:val="none" w:sz="0" w:space="0" w:color="auto"/>
        <w:left w:val="none" w:sz="0" w:space="0" w:color="auto"/>
        <w:bottom w:val="none" w:sz="0" w:space="0" w:color="auto"/>
        <w:right w:val="none" w:sz="0" w:space="0" w:color="auto"/>
      </w:divBdr>
    </w:div>
    <w:div w:id="1078595843">
      <w:bodyDiv w:val="1"/>
      <w:marLeft w:val="0"/>
      <w:marRight w:val="0"/>
      <w:marTop w:val="0"/>
      <w:marBottom w:val="0"/>
      <w:divBdr>
        <w:top w:val="none" w:sz="0" w:space="0" w:color="auto"/>
        <w:left w:val="none" w:sz="0" w:space="0" w:color="auto"/>
        <w:bottom w:val="none" w:sz="0" w:space="0" w:color="auto"/>
        <w:right w:val="none" w:sz="0" w:space="0" w:color="auto"/>
      </w:divBdr>
    </w:div>
    <w:div w:id="1079060397">
      <w:bodyDiv w:val="1"/>
      <w:marLeft w:val="0"/>
      <w:marRight w:val="0"/>
      <w:marTop w:val="0"/>
      <w:marBottom w:val="0"/>
      <w:divBdr>
        <w:top w:val="none" w:sz="0" w:space="0" w:color="auto"/>
        <w:left w:val="none" w:sz="0" w:space="0" w:color="auto"/>
        <w:bottom w:val="none" w:sz="0" w:space="0" w:color="auto"/>
        <w:right w:val="none" w:sz="0" w:space="0" w:color="auto"/>
      </w:divBdr>
    </w:div>
    <w:div w:id="1079593187">
      <w:bodyDiv w:val="1"/>
      <w:marLeft w:val="0"/>
      <w:marRight w:val="0"/>
      <w:marTop w:val="0"/>
      <w:marBottom w:val="0"/>
      <w:divBdr>
        <w:top w:val="none" w:sz="0" w:space="0" w:color="auto"/>
        <w:left w:val="none" w:sz="0" w:space="0" w:color="auto"/>
        <w:bottom w:val="none" w:sz="0" w:space="0" w:color="auto"/>
        <w:right w:val="none" w:sz="0" w:space="0" w:color="auto"/>
      </w:divBdr>
    </w:div>
    <w:div w:id="1079670867">
      <w:bodyDiv w:val="1"/>
      <w:marLeft w:val="0"/>
      <w:marRight w:val="0"/>
      <w:marTop w:val="0"/>
      <w:marBottom w:val="0"/>
      <w:divBdr>
        <w:top w:val="none" w:sz="0" w:space="0" w:color="auto"/>
        <w:left w:val="none" w:sz="0" w:space="0" w:color="auto"/>
        <w:bottom w:val="none" w:sz="0" w:space="0" w:color="auto"/>
        <w:right w:val="none" w:sz="0" w:space="0" w:color="auto"/>
      </w:divBdr>
    </w:div>
    <w:div w:id="1080953133">
      <w:bodyDiv w:val="1"/>
      <w:marLeft w:val="0"/>
      <w:marRight w:val="0"/>
      <w:marTop w:val="0"/>
      <w:marBottom w:val="0"/>
      <w:divBdr>
        <w:top w:val="none" w:sz="0" w:space="0" w:color="auto"/>
        <w:left w:val="none" w:sz="0" w:space="0" w:color="auto"/>
        <w:bottom w:val="none" w:sz="0" w:space="0" w:color="auto"/>
        <w:right w:val="none" w:sz="0" w:space="0" w:color="auto"/>
      </w:divBdr>
    </w:div>
    <w:div w:id="1082066399">
      <w:bodyDiv w:val="1"/>
      <w:marLeft w:val="0"/>
      <w:marRight w:val="0"/>
      <w:marTop w:val="0"/>
      <w:marBottom w:val="0"/>
      <w:divBdr>
        <w:top w:val="none" w:sz="0" w:space="0" w:color="auto"/>
        <w:left w:val="none" w:sz="0" w:space="0" w:color="auto"/>
        <w:bottom w:val="none" w:sz="0" w:space="0" w:color="auto"/>
        <w:right w:val="none" w:sz="0" w:space="0" w:color="auto"/>
      </w:divBdr>
    </w:div>
    <w:div w:id="1082332193">
      <w:bodyDiv w:val="1"/>
      <w:marLeft w:val="0"/>
      <w:marRight w:val="0"/>
      <w:marTop w:val="0"/>
      <w:marBottom w:val="0"/>
      <w:divBdr>
        <w:top w:val="none" w:sz="0" w:space="0" w:color="auto"/>
        <w:left w:val="none" w:sz="0" w:space="0" w:color="auto"/>
        <w:bottom w:val="none" w:sz="0" w:space="0" w:color="auto"/>
        <w:right w:val="none" w:sz="0" w:space="0" w:color="auto"/>
      </w:divBdr>
    </w:div>
    <w:div w:id="1082988495">
      <w:bodyDiv w:val="1"/>
      <w:marLeft w:val="0"/>
      <w:marRight w:val="0"/>
      <w:marTop w:val="0"/>
      <w:marBottom w:val="0"/>
      <w:divBdr>
        <w:top w:val="none" w:sz="0" w:space="0" w:color="auto"/>
        <w:left w:val="none" w:sz="0" w:space="0" w:color="auto"/>
        <w:bottom w:val="none" w:sz="0" w:space="0" w:color="auto"/>
        <w:right w:val="none" w:sz="0" w:space="0" w:color="auto"/>
      </w:divBdr>
    </w:div>
    <w:div w:id="1083182126">
      <w:bodyDiv w:val="1"/>
      <w:marLeft w:val="0"/>
      <w:marRight w:val="0"/>
      <w:marTop w:val="0"/>
      <w:marBottom w:val="0"/>
      <w:divBdr>
        <w:top w:val="none" w:sz="0" w:space="0" w:color="auto"/>
        <w:left w:val="none" w:sz="0" w:space="0" w:color="auto"/>
        <w:bottom w:val="none" w:sz="0" w:space="0" w:color="auto"/>
        <w:right w:val="none" w:sz="0" w:space="0" w:color="auto"/>
      </w:divBdr>
    </w:div>
    <w:div w:id="1083262879">
      <w:bodyDiv w:val="1"/>
      <w:marLeft w:val="0"/>
      <w:marRight w:val="0"/>
      <w:marTop w:val="0"/>
      <w:marBottom w:val="0"/>
      <w:divBdr>
        <w:top w:val="none" w:sz="0" w:space="0" w:color="auto"/>
        <w:left w:val="none" w:sz="0" w:space="0" w:color="auto"/>
        <w:bottom w:val="none" w:sz="0" w:space="0" w:color="auto"/>
        <w:right w:val="none" w:sz="0" w:space="0" w:color="auto"/>
      </w:divBdr>
    </w:div>
    <w:div w:id="1083264788">
      <w:bodyDiv w:val="1"/>
      <w:marLeft w:val="0"/>
      <w:marRight w:val="0"/>
      <w:marTop w:val="0"/>
      <w:marBottom w:val="0"/>
      <w:divBdr>
        <w:top w:val="none" w:sz="0" w:space="0" w:color="auto"/>
        <w:left w:val="none" w:sz="0" w:space="0" w:color="auto"/>
        <w:bottom w:val="none" w:sz="0" w:space="0" w:color="auto"/>
        <w:right w:val="none" w:sz="0" w:space="0" w:color="auto"/>
      </w:divBdr>
      <w:divsChild>
        <w:div w:id="1354310009">
          <w:marLeft w:val="0"/>
          <w:marRight w:val="0"/>
          <w:marTop w:val="0"/>
          <w:marBottom w:val="0"/>
          <w:divBdr>
            <w:top w:val="none" w:sz="0" w:space="0" w:color="auto"/>
            <w:left w:val="none" w:sz="0" w:space="0" w:color="auto"/>
            <w:bottom w:val="none" w:sz="0" w:space="0" w:color="auto"/>
            <w:right w:val="none" w:sz="0" w:space="0" w:color="auto"/>
          </w:divBdr>
        </w:div>
      </w:divsChild>
    </w:div>
    <w:div w:id="1083406687">
      <w:bodyDiv w:val="1"/>
      <w:marLeft w:val="0"/>
      <w:marRight w:val="0"/>
      <w:marTop w:val="0"/>
      <w:marBottom w:val="0"/>
      <w:divBdr>
        <w:top w:val="none" w:sz="0" w:space="0" w:color="auto"/>
        <w:left w:val="none" w:sz="0" w:space="0" w:color="auto"/>
        <w:bottom w:val="none" w:sz="0" w:space="0" w:color="auto"/>
        <w:right w:val="none" w:sz="0" w:space="0" w:color="auto"/>
      </w:divBdr>
    </w:div>
    <w:div w:id="1085304459">
      <w:bodyDiv w:val="1"/>
      <w:marLeft w:val="0"/>
      <w:marRight w:val="0"/>
      <w:marTop w:val="0"/>
      <w:marBottom w:val="0"/>
      <w:divBdr>
        <w:top w:val="none" w:sz="0" w:space="0" w:color="auto"/>
        <w:left w:val="none" w:sz="0" w:space="0" w:color="auto"/>
        <w:bottom w:val="none" w:sz="0" w:space="0" w:color="auto"/>
        <w:right w:val="none" w:sz="0" w:space="0" w:color="auto"/>
      </w:divBdr>
    </w:div>
    <w:div w:id="1085373557">
      <w:bodyDiv w:val="1"/>
      <w:marLeft w:val="0"/>
      <w:marRight w:val="0"/>
      <w:marTop w:val="0"/>
      <w:marBottom w:val="0"/>
      <w:divBdr>
        <w:top w:val="none" w:sz="0" w:space="0" w:color="auto"/>
        <w:left w:val="none" w:sz="0" w:space="0" w:color="auto"/>
        <w:bottom w:val="none" w:sz="0" w:space="0" w:color="auto"/>
        <w:right w:val="none" w:sz="0" w:space="0" w:color="auto"/>
      </w:divBdr>
    </w:div>
    <w:div w:id="1085804012">
      <w:bodyDiv w:val="1"/>
      <w:marLeft w:val="0"/>
      <w:marRight w:val="0"/>
      <w:marTop w:val="0"/>
      <w:marBottom w:val="0"/>
      <w:divBdr>
        <w:top w:val="none" w:sz="0" w:space="0" w:color="auto"/>
        <w:left w:val="none" w:sz="0" w:space="0" w:color="auto"/>
        <w:bottom w:val="none" w:sz="0" w:space="0" w:color="auto"/>
        <w:right w:val="none" w:sz="0" w:space="0" w:color="auto"/>
      </w:divBdr>
    </w:div>
    <w:div w:id="1085884300">
      <w:bodyDiv w:val="1"/>
      <w:marLeft w:val="0"/>
      <w:marRight w:val="0"/>
      <w:marTop w:val="0"/>
      <w:marBottom w:val="0"/>
      <w:divBdr>
        <w:top w:val="none" w:sz="0" w:space="0" w:color="auto"/>
        <w:left w:val="none" w:sz="0" w:space="0" w:color="auto"/>
        <w:bottom w:val="none" w:sz="0" w:space="0" w:color="auto"/>
        <w:right w:val="none" w:sz="0" w:space="0" w:color="auto"/>
      </w:divBdr>
    </w:div>
    <w:div w:id="1086997018">
      <w:bodyDiv w:val="1"/>
      <w:marLeft w:val="0"/>
      <w:marRight w:val="0"/>
      <w:marTop w:val="0"/>
      <w:marBottom w:val="0"/>
      <w:divBdr>
        <w:top w:val="none" w:sz="0" w:space="0" w:color="auto"/>
        <w:left w:val="none" w:sz="0" w:space="0" w:color="auto"/>
        <w:bottom w:val="none" w:sz="0" w:space="0" w:color="auto"/>
        <w:right w:val="none" w:sz="0" w:space="0" w:color="auto"/>
      </w:divBdr>
    </w:div>
    <w:div w:id="1088576853">
      <w:bodyDiv w:val="1"/>
      <w:marLeft w:val="0"/>
      <w:marRight w:val="0"/>
      <w:marTop w:val="0"/>
      <w:marBottom w:val="0"/>
      <w:divBdr>
        <w:top w:val="none" w:sz="0" w:space="0" w:color="auto"/>
        <w:left w:val="none" w:sz="0" w:space="0" w:color="auto"/>
        <w:bottom w:val="none" w:sz="0" w:space="0" w:color="auto"/>
        <w:right w:val="none" w:sz="0" w:space="0" w:color="auto"/>
      </w:divBdr>
    </w:div>
    <w:div w:id="1088693714">
      <w:bodyDiv w:val="1"/>
      <w:marLeft w:val="0"/>
      <w:marRight w:val="0"/>
      <w:marTop w:val="0"/>
      <w:marBottom w:val="0"/>
      <w:divBdr>
        <w:top w:val="none" w:sz="0" w:space="0" w:color="auto"/>
        <w:left w:val="none" w:sz="0" w:space="0" w:color="auto"/>
        <w:bottom w:val="none" w:sz="0" w:space="0" w:color="auto"/>
        <w:right w:val="none" w:sz="0" w:space="0" w:color="auto"/>
      </w:divBdr>
    </w:div>
    <w:div w:id="1089156921">
      <w:bodyDiv w:val="1"/>
      <w:marLeft w:val="0"/>
      <w:marRight w:val="0"/>
      <w:marTop w:val="0"/>
      <w:marBottom w:val="0"/>
      <w:divBdr>
        <w:top w:val="none" w:sz="0" w:space="0" w:color="auto"/>
        <w:left w:val="none" w:sz="0" w:space="0" w:color="auto"/>
        <w:bottom w:val="none" w:sz="0" w:space="0" w:color="auto"/>
        <w:right w:val="none" w:sz="0" w:space="0" w:color="auto"/>
      </w:divBdr>
    </w:div>
    <w:div w:id="1090002987">
      <w:bodyDiv w:val="1"/>
      <w:marLeft w:val="0"/>
      <w:marRight w:val="0"/>
      <w:marTop w:val="0"/>
      <w:marBottom w:val="0"/>
      <w:divBdr>
        <w:top w:val="none" w:sz="0" w:space="0" w:color="auto"/>
        <w:left w:val="none" w:sz="0" w:space="0" w:color="auto"/>
        <w:bottom w:val="none" w:sz="0" w:space="0" w:color="auto"/>
        <w:right w:val="none" w:sz="0" w:space="0" w:color="auto"/>
      </w:divBdr>
    </w:div>
    <w:div w:id="1090395046">
      <w:bodyDiv w:val="1"/>
      <w:marLeft w:val="0"/>
      <w:marRight w:val="0"/>
      <w:marTop w:val="0"/>
      <w:marBottom w:val="0"/>
      <w:divBdr>
        <w:top w:val="none" w:sz="0" w:space="0" w:color="auto"/>
        <w:left w:val="none" w:sz="0" w:space="0" w:color="auto"/>
        <w:bottom w:val="none" w:sz="0" w:space="0" w:color="auto"/>
        <w:right w:val="none" w:sz="0" w:space="0" w:color="auto"/>
      </w:divBdr>
    </w:div>
    <w:div w:id="1092044043">
      <w:bodyDiv w:val="1"/>
      <w:marLeft w:val="0"/>
      <w:marRight w:val="0"/>
      <w:marTop w:val="0"/>
      <w:marBottom w:val="0"/>
      <w:divBdr>
        <w:top w:val="none" w:sz="0" w:space="0" w:color="auto"/>
        <w:left w:val="none" w:sz="0" w:space="0" w:color="auto"/>
        <w:bottom w:val="none" w:sz="0" w:space="0" w:color="auto"/>
        <w:right w:val="none" w:sz="0" w:space="0" w:color="auto"/>
      </w:divBdr>
    </w:div>
    <w:div w:id="1094130988">
      <w:bodyDiv w:val="1"/>
      <w:marLeft w:val="0"/>
      <w:marRight w:val="0"/>
      <w:marTop w:val="0"/>
      <w:marBottom w:val="0"/>
      <w:divBdr>
        <w:top w:val="none" w:sz="0" w:space="0" w:color="auto"/>
        <w:left w:val="none" w:sz="0" w:space="0" w:color="auto"/>
        <w:bottom w:val="none" w:sz="0" w:space="0" w:color="auto"/>
        <w:right w:val="none" w:sz="0" w:space="0" w:color="auto"/>
      </w:divBdr>
    </w:div>
    <w:div w:id="1094283697">
      <w:bodyDiv w:val="1"/>
      <w:marLeft w:val="0"/>
      <w:marRight w:val="0"/>
      <w:marTop w:val="0"/>
      <w:marBottom w:val="0"/>
      <w:divBdr>
        <w:top w:val="none" w:sz="0" w:space="0" w:color="auto"/>
        <w:left w:val="none" w:sz="0" w:space="0" w:color="auto"/>
        <w:bottom w:val="none" w:sz="0" w:space="0" w:color="auto"/>
        <w:right w:val="none" w:sz="0" w:space="0" w:color="auto"/>
      </w:divBdr>
    </w:div>
    <w:div w:id="1094745105">
      <w:bodyDiv w:val="1"/>
      <w:marLeft w:val="0"/>
      <w:marRight w:val="0"/>
      <w:marTop w:val="0"/>
      <w:marBottom w:val="0"/>
      <w:divBdr>
        <w:top w:val="none" w:sz="0" w:space="0" w:color="auto"/>
        <w:left w:val="none" w:sz="0" w:space="0" w:color="auto"/>
        <w:bottom w:val="none" w:sz="0" w:space="0" w:color="auto"/>
        <w:right w:val="none" w:sz="0" w:space="0" w:color="auto"/>
      </w:divBdr>
    </w:div>
    <w:div w:id="1094788749">
      <w:bodyDiv w:val="1"/>
      <w:marLeft w:val="0"/>
      <w:marRight w:val="0"/>
      <w:marTop w:val="0"/>
      <w:marBottom w:val="0"/>
      <w:divBdr>
        <w:top w:val="none" w:sz="0" w:space="0" w:color="auto"/>
        <w:left w:val="none" w:sz="0" w:space="0" w:color="auto"/>
        <w:bottom w:val="none" w:sz="0" w:space="0" w:color="auto"/>
        <w:right w:val="none" w:sz="0" w:space="0" w:color="auto"/>
      </w:divBdr>
    </w:div>
    <w:div w:id="1096092321">
      <w:bodyDiv w:val="1"/>
      <w:marLeft w:val="0"/>
      <w:marRight w:val="0"/>
      <w:marTop w:val="0"/>
      <w:marBottom w:val="0"/>
      <w:divBdr>
        <w:top w:val="none" w:sz="0" w:space="0" w:color="auto"/>
        <w:left w:val="none" w:sz="0" w:space="0" w:color="auto"/>
        <w:bottom w:val="none" w:sz="0" w:space="0" w:color="auto"/>
        <w:right w:val="none" w:sz="0" w:space="0" w:color="auto"/>
      </w:divBdr>
    </w:div>
    <w:div w:id="1096751435">
      <w:bodyDiv w:val="1"/>
      <w:marLeft w:val="0"/>
      <w:marRight w:val="0"/>
      <w:marTop w:val="0"/>
      <w:marBottom w:val="0"/>
      <w:divBdr>
        <w:top w:val="none" w:sz="0" w:space="0" w:color="auto"/>
        <w:left w:val="none" w:sz="0" w:space="0" w:color="auto"/>
        <w:bottom w:val="none" w:sz="0" w:space="0" w:color="auto"/>
        <w:right w:val="none" w:sz="0" w:space="0" w:color="auto"/>
      </w:divBdr>
    </w:div>
    <w:div w:id="1097214142">
      <w:bodyDiv w:val="1"/>
      <w:marLeft w:val="0"/>
      <w:marRight w:val="0"/>
      <w:marTop w:val="0"/>
      <w:marBottom w:val="0"/>
      <w:divBdr>
        <w:top w:val="none" w:sz="0" w:space="0" w:color="auto"/>
        <w:left w:val="none" w:sz="0" w:space="0" w:color="auto"/>
        <w:bottom w:val="none" w:sz="0" w:space="0" w:color="auto"/>
        <w:right w:val="none" w:sz="0" w:space="0" w:color="auto"/>
      </w:divBdr>
    </w:div>
    <w:div w:id="1098067250">
      <w:bodyDiv w:val="1"/>
      <w:marLeft w:val="0"/>
      <w:marRight w:val="0"/>
      <w:marTop w:val="0"/>
      <w:marBottom w:val="0"/>
      <w:divBdr>
        <w:top w:val="none" w:sz="0" w:space="0" w:color="auto"/>
        <w:left w:val="none" w:sz="0" w:space="0" w:color="auto"/>
        <w:bottom w:val="none" w:sz="0" w:space="0" w:color="auto"/>
        <w:right w:val="none" w:sz="0" w:space="0" w:color="auto"/>
      </w:divBdr>
      <w:divsChild>
        <w:div w:id="313487623">
          <w:marLeft w:val="0"/>
          <w:marRight w:val="0"/>
          <w:marTop w:val="0"/>
          <w:marBottom w:val="0"/>
          <w:divBdr>
            <w:top w:val="none" w:sz="0" w:space="0" w:color="auto"/>
            <w:left w:val="none" w:sz="0" w:space="0" w:color="auto"/>
            <w:bottom w:val="none" w:sz="0" w:space="0" w:color="auto"/>
            <w:right w:val="none" w:sz="0" w:space="0" w:color="auto"/>
          </w:divBdr>
        </w:div>
      </w:divsChild>
    </w:div>
    <w:div w:id="1100683432">
      <w:bodyDiv w:val="1"/>
      <w:marLeft w:val="0"/>
      <w:marRight w:val="0"/>
      <w:marTop w:val="0"/>
      <w:marBottom w:val="0"/>
      <w:divBdr>
        <w:top w:val="none" w:sz="0" w:space="0" w:color="auto"/>
        <w:left w:val="none" w:sz="0" w:space="0" w:color="auto"/>
        <w:bottom w:val="none" w:sz="0" w:space="0" w:color="auto"/>
        <w:right w:val="none" w:sz="0" w:space="0" w:color="auto"/>
      </w:divBdr>
    </w:div>
    <w:div w:id="1101025045">
      <w:bodyDiv w:val="1"/>
      <w:marLeft w:val="0"/>
      <w:marRight w:val="0"/>
      <w:marTop w:val="0"/>
      <w:marBottom w:val="0"/>
      <w:divBdr>
        <w:top w:val="none" w:sz="0" w:space="0" w:color="auto"/>
        <w:left w:val="none" w:sz="0" w:space="0" w:color="auto"/>
        <w:bottom w:val="none" w:sz="0" w:space="0" w:color="auto"/>
        <w:right w:val="none" w:sz="0" w:space="0" w:color="auto"/>
      </w:divBdr>
    </w:div>
    <w:div w:id="1101267990">
      <w:bodyDiv w:val="1"/>
      <w:marLeft w:val="0"/>
      <w:marRight w:val="0"/>
      <w:marTop w:val="0"/>
      <w:marBottom w:val="0"/>
      <w:divBdr>
        <w:top w:val="none" w:sz="0" w:space="0" w:color="auto"/>
        <w:left w:val="none" w:sz="0" w:space="0" w:color="auto"/>
        <w:bottom w:val="none" w:sz="0" w:space="0" w:color="auto"/>
        <w:right w:val="none" w:sz="0" w:space="0" w:color="auto"/>
      </w:divBdr>
    </w:div>
    <w:div w:id="1102186449">
      <w:bodyDiv w:val="1"/>
      <w:marLeft w:val="0"/>
      <w:marRight w:val="0"/>
      <w:marTop w:val="0"/>
      <w:marBottom w:val="0"/>
      <w:divBdr>
        <w:top w:val="none" w:sz="0" w:space="0" w:color="auto"/>
        <w:left w:val="none" w:sz="0" w:space="0" w:color="auto"/>
        <w:bottom w:val="none" w:sz="0" w:space="0" w:color="auto"/>
        <w:right w:val="none" w:sz="0" w:space="0" w:color="auto"/>
      </w:divBdr>
    </w:div>
    <w:div w:id="1103115486">
      <w:bodyDiv w:val="1"/>
      <w:marLeft w:val="0"/>
      <w:marRight w:val="0"/>
      <w:marTop w:val="0"/>
      <w:marBottom w:val="0"/>
      <w:divBdr>
        <w:top w:val="none" w:sz="0" w:space="0" w:color="auto"/>
        <w:left w:val="none" w:sz="0" w:space="0" w:color="auto"/>
        <w:bottom w:val="none" w:sz="0" w:space="0" w:color="auto"/>
        <w:right w:val="none" w:sz="0" w:space="0" w:color="auto"/>
      </w:divBdr>
    </w:div>
    <w:div w:id="1103383578">
      <w:bodyDiv w:val="1"/>
      <w:marLeft w:val="0"/>
      <w:marRight w:val="0"/>
      <w:marTop w:val="0"/>
      <w:marBottom w:val="0"/>
      <w:divBdr>
        <w:top w:val="none" w:sz="0" w:space="0" w:color="auto"/>
        <w:left w:val="none" w:sz="0" w:space="0" w:color="auto"/>
        <w:bottom w:val="none" w:sz="0" w:space="0" w:color="auto"/>
        <w:right w:val="none" w:sz="0" w:space="0" w:color="auto"/>
      </w:divBdr>
    </w:div>
    <w:div w:id="1103652211">
      <w:bodyDiv w:val="1"/>
      <w:marLeft w:val="0"/>
      <w:marRight w:val="0"/>
      <w:marTop w:val="0"/>
      <w:marBottom w:val="0"/>
      <w:divBdr>
        <w:top w:val="none" w:sz="0" w:space="0" w:color="auto"/>
        <w:left w:val="none" w:sz="0" w:space="0" w:color="auto"/>
        <w:bottom w:val="none" w:sz="0" w:space="0" w:color="auto"/>
        <w:right w:val="none" w:sz="0" w:space="0" w:color="auto"/>
      </w:divBdr>
    </w:div>
    <w:div w:id="1104496204">
      <w:bodyDiv w:val="1"/>
      <w:marLeft w:val="0"/>
      <w:marRight w:val="0"/>
      <w:marTop w:val="0"/>
      <w:marBottom w:val="0"/>
      <w:divBdr>
        <w:top w:val="none" w:sz="0" w:space="0" w:color="auto"/>
        <w:left w:val="none" w:sz="0" w:space="0" w:color="auto"/>
        <w:bottom w:val="none" w:sz="0" w:space="0" w:color="auto"/>
        <w:right w:val="none" w:sz="0" w:space="0" w:color="auto"/>
      </w:divBdr>
    </w:div>
    <w:div w:id="1104812523">
      <w:bodyDiv w:val="1"/>
      <w:marLeft w:val="0"/>
      <w:marRight w:val="0"/>
      <w:marTop w:val="0"/>
      <w:marBottom w:val="0"/>
      <w:divBdr>
        <w:top w:val="none" w:sz="0" w:space="0" w:color="auto"/>
        <w:left w:val="none" w:sz="0" w:space="0" w:color="auto"/>
        <w:bottom w:val="none" w:sz="0" w:space="0" w:color="auto"/>
        <w:right w:val="none" w:sz="0" w:space="0" w:color="auto"/>
      </w:divBdr>
    </w:div>
    <w:div w:id="1104883248">
      <w:bodyDiv w:val="1"/>
      <w:marLeft w:val="0"/>
      <w:marRight w:val="0"/>
      <w:marTop w:val="0"/>
      <w:marBottom w:val="0"/>
      <w:divBdr>
        <w:top w:val="none" w:sz="0" w:space="0" w:color="auto"/>
        <w:left w:val="none" w:sz="0" w:space="0" w:color="auto"/>
        <w:bottom w:val="none" w:sz="0" w:space="0" w:color="auto"/>
        <w:right w:val="none" w:sz="0" w:space="0" w:color="auto"/>
      </w:divBdr>
    </w:div>
    <w:div w:id="1105687952">
      <w:bodyDiv w:val="1"/>
      <w:marLeft w:val="0"/>
      <w:marRight w:val="0"/>
      <w:marTop w:val="0"/>
      <w:marBottom w:val="0"/>
      <w:divBdr>
        <w:top w:val="none" w:sz="0" w:space="0" w:color="auto"/>
        <w:left w:val="none" w:sz="0" w:space="0" w:color="auto"/>
        <w:bottom w:val="none" w:sz="0" w:space="0" w:color="auto"/>
        <w:right w:val="none" w:sz="0" w:space="0" w:color="auto"/>
      </w:divBdr>
    </w:div>
    <w:div w:id="1105883193">
      <w:bodyDiv w:val="1"/>
      <w:marLeft w:val="0"/>
      <w:marRight w:val="0"/>
      <w:marTop w:val="0"/>
      <w:marBottom w:val="0"/>
      <w:divBdr>
        <w:top w:val="none" w:sz="0" w:space="0" w:color="auto"/>
        <w:left w:val="none" w:sz="0" w:space="0" w:color="auto"/>
        <w:bottom w:val="none" w:sz="0" w:space="0" w:color="auto"/>
        <w:right w:val="none" w:sz="0" w:space="0" w:color="auto"/>
      </w:divBdr>
    </w:div>
    <w:div w:id="1109736238">
      <w:bodyDiv w:val="1"/>
      <w:marLeft w:val="0"/>
      <w:marRight w:val="0"/>
      <w:marTop w:val="0"/>
      <w:marBottom w:val="0"/>
      <w:divBdr>
        <w:top w:val="none" w:sz="0" w:space="0" w:color="auto"/>
        <w:left w:val="none" w:sz="0" w:space="0" w:color="auto"/>
        <w:bottom w:val="none" w:sz="0" w:space="0" w:color="auto"/>
        <w:right w:val="none" w:sz="0" w:space="0" w:color="auto"/>
      </w:divBdr>
    </w:div>
    <w:div w:id="1112285837">
      <w:bodyDiv w:val="1"/>
      <w:marLeft w:val="0"/>
      <w:marRight w:val="0"/>
      <w:marTop w:val="0"/>
      <w:marBottom w:val="0"/>
      <w:divBdr>
        <w:top w:val="none" w:sz="0" w:space="0" w:color="auto"/>
        <w:left w:val="none" w:sz="0" w:space="0" w:color="auto"/>
        <w:bottom w:val="none" w:sz="0" w:space="0" w:color="auto"/>
        <w:right w:val="none" w:sz="0" w:space="0" w:color="auto"/>
      </w:divBdr>
    </w:div>
    <w:div w:id="1113206144">
      <w:bodyDiv w:val="1"/>
      <w:marLeft w:val="0"/>
      <w:marRight w:val="0"/>
      <w:marTop w:val="0"/>
      <w:marBottom w:val="0"/>
      <w:divBdr>
        <w:top w:val="none" w:sz="0" w:space="0" w:color="auto"/>
        <w:left w:val="none" w:sz="0" w:space="0" w:color="auto"/>
        <w:bottom w:val="none" w:sz="0" w:space="0" w:color="auto"/>
        <w:right w:val="none" w:sz="0" w:space="0" w:color="auto"/>
      </w:divBdr>
    </w:div>
    <w:div w:id="1113478346">
      <w:bodyDiv w:val="1"/>
      <w:marLeft w:val="0"/>
      <w:marRight w:val="0"/>
      <w:marTop w:val="0"/>
      <w:marBottom w:val="0"/>
      <w:divBdr>
        <w:top w:val="none" w:sz="0" w:space="0" w:color="auto"/>
        <w:left w:val="none" w:sz="0" w:space="0" w:color="auto"/>
        <w:bottom w:val="none" w:sz="0" w:space="0" w:color="auto"/>
        <w:right w:val="none" w:sz="0" w:space="0" w:color="auto"/>
      </w:divBdr>
    </w:div>
    <w:div w:id="1114325953">
      <w:bodyDiv w:val="1"/>
      <w:marLeft w:val="0"/>
      <w:marRight w:val="0"/>
      <w:marTop w:val="0"/>
      <w:marBottom w:val="0"/>
      <w:divBdr>
        <w:top w:val="none" w:sz="0" w:space="0" w:color="auto"/>
        <w:left w:val="none" w:sz="0" w:space="0" w:color="auto"/>
        <w:bottom w:val="none" w:sz="0" w:space="0" w:color="auto"/>
        <w:right w:val="none" w:sz="0" w:space="0" w:color="auto"/>
      </w:divBdr>
    </w:div>
    <w:div w:id="1114329694">
      <w:bodyDiv w:val="1"/>
      <w:marLeft w:val="0"/>
      <w:marRight w:val="0"/>
      <w:marTop w:val="0"/>
      <w:marBottom w:val="0"/>
      <w:divBdr>
        <w:top w:val="none" w:sz="0" w:space="0" w:color="auto"/>
        <w:left w:val="none" w:sz="0" w:space="0" w:color="auto"/>
        <w:bottom w:val="none" w:sz="0" w:space="0" w:color="auto"/>
        <w:right w:val="none" w:sz="0" w:space="0" w:color="auto"/>
      </w:divBdr>
    </w:div>
    <w:div w:id="1114910156">
      <w:bodyDiv w:val="1"/>
      <w:marLeft w:val="0"/>
      <w:marRight w:val="0"/>
      <w:marTop w:val="0"/>
      <w:marBottom w:val="0"/>
      <w:divBdr>
        <w:top w:val="none" w:sz="0" w:space="0" w:color="auto"/>
        <w:left w:val="none" w:sz="0" w:space="0" w:color="auto"/>
        <w:bottom w:val="none" w:sz="0" w:space="0" w:color="auto"/>
        <w:right w:val="none" w:sz="0" w:space="0" w:color="auto"/>
      </w:divBdr>
    </w:div>
    <w:div w:id="1114979036">
      <w:bodyDiv w:val="1"/>
      <w:marLeft w:val="0"/>
      <w:marRight w:val="0"/>
      <w:marTop w:val="0"/>
      <w:marBottom w:val="0"/>
      <w:divBdr>
        <w:top w:val="none" w:sz="0" w:space="0" w:color="auto"/>
        <w:left w:val="none" w:sz="0" w:space="0" w:color="auto"/>
        <w:bottom w:val="none" w:sz="0" w:space="0" w:color="auto"/>
        <w:right w:val="none" w:sz="0" w:space="0" w:color="auto"/>
      </w:divBdr>
    </w:div>
    <w:div w:id="1115516806">
      <w:bodyDiv w:val="1"/>
      <w:marLeft w:val="0"/>
      <w:marRight w:val="0"/>
      <w:marTop w:val="0"/>
      <w:marBottom w:val="0"/>
      <w:divBdr>
        <w:top w:val="none" w:sz="0" w:space="0" w:color="auto"/>
        <w:left w:val="none" w:sz="0" w:space="0" w:color="auto"/>
        <w:bottom w:val="none" w:sz="0" w:space="0" w:color="auto"/>
        <w:right w:val="none" w:sz="0" w:space="0" w:color="auto"/>
      </w:divBdr>
    </w:div>
    <w:div w:id="1115833459">
      <w:bodyDiv w:val="1"/>
      <w:marLeft w:val="0"/>
      <w:marRight w:val="0"/>
      <w:marTop w:val="0"/>
      <w:marBottom w:val="0"/>
      <w:divBdr>
        <w:top w:val="none" w:sz="0" w:space="0" w:color="auto"/>
        <w:left w:val="none" w:sz="0" w:space="0" w:color="auto"/>
        <w:bottom w:val="none" w:sz="0" w:space="0" w:color="auto"/>
        <w:right w:val="none" w:sz="0" w:space="0" w:color="auto"/>
      </w:divBdr>
    </w:div>
    <w:div w:id="1115834452">
      <w:bodyDiv w:val="1"/>
      <w:marLeft w:val="0"/>
      <w:marRight w:val="0"/>
      <w:marTop w:val="0"/>
      <w:marBottom w:val="0"/>
      <w:divBdr>
        <w:top w:val="none" w:sz="0" w:space="0" w:color="auto"/>
        <w:left w:val="none" w:sz="0" w:space="0" w:color="auto"/>
        <w:bottom w:val="none" w:sz="0" w:space="0" w:color="auto"/>
        <w:right w:val="none" w:sz="0" w:space="0" w:color="auto"/>
      </w:divBdr>
    </w:div>
    <w:div w:id="1116021056">
      <w:bodyDiv w:val="1"/>
      <w:marLeft w:val="0"/>
      <w:marRight w:val="0"/>
      <w:marTop w:val="0"/>
      <w:marBottom w:val="0"/>
      <w:divBdr>
        <w:top w:val="none" w:sz="0" w:space="0" w:color="auto"/>
        <w:left w:val="none" w:sz="0" w:space="0" w:color="auto"/>
        <w:bottom w:val="none" w:sz="0" w:space="0" w:color="auto"/>
        <w:right w:val="none" w:sz="0" w:space="0" w:color="auto"/>
      </w:divBdr>
    </w:div>
    <w:div w:id="1116027235">
      <w:bodyDiv w:val="1"/>
      <w:marLeft w:val="0"/>
      <w:marRight w:val="0"/>
      <w:marTop w:val="0"/>
      <w:marBottom w:val="0"/>
      <w:divBdr>
        <w:top w:val="none" w:sz="0" w:space="0" w:color="auto"/>
        <w:left w:val="none" w:sz="0" w:space="0" w:color="auto"/>
        <w:bottom w:val="none" w:sz="0" w:space="0" w:color="auto"/>
        <w:right w:val="none" w:sz="0" w:space="0" w:color="auto"/>
      </w:divBdr>
    </w:div>
    <w:div w:id="1116172755">
      <w:bodyDiv w:val="1"/>
      <w:marLeft w:val="0"/>
      <w:marRight w:val="0"/>
      <w:marTop w:val="0"/>
      <w:marBottom w:val="0"/>
      <w:divBdr>
        <w:top w:val="none" w:sz="0" w:space="0" w:color="auto"/>
        <w:left w:val="none" w:sz="0" w:space="0" w:color="auto"/>
        <w:bottom w:val="none" w:sz="0" w:space="0" w:color="auto"/>
        <w:right w:val="none" w:sz="0" w:space="0" w:color="auto"/>
      </w:divBdr>
    </w:div>
    <w:div w:id="1116365343">
      <w:bodyDiv w:val="1"/>
      <w:marLeft w:val="0"/>
      <w:marRight w:val="0"/>
      <w:marTop w:val="0"/>
      <w:marBottom w:val="0"/>
      <w:divBdr>
        <w:top w:val="none" w:sz="0" w:space="0" w:color="auto"/>
        <w:left w:val="none" w:sz="0" w:space="0" w:color="auto"/>
        <w:bottom w:val="none" w:sz="0" w:space="0" w:color="auto"/>
        <w:right w:val="none" w:sz="0" w:space="0" w:color="auto"/>
      </w:divBdr>
    </w:div>
    <w:div w:id="1116564504">
      <w:bodyDiv w:val="1"/>
      <w:marLeft w:val="0"/>
      <w:marRight w:val="0"/>
      <w:marTop w:val="0"/>
      <w:marBottom w:val="0"/>
      <w:divBdr>
        <w:top w:val="none" w:sz="0" w:space="0" w:color="auto"/>
        <w:left w:val="none" w:sz="0" w:space="0" w:color="auto"/>
        <w:bottom w:val="none" w:sz="0" w:space="0" w:color="auto"/>
        <w:right w:val="none" w:sz="0" w:space="0" w:color="auto"/>
      </w:divBdr>
    </w:div>
    <w:div w:id="1116870517">
      <w:bodyDiv w:val="1"/>
      <w:marLeft w:val="0"/>
      <w:marRight w:val="0"/>
      <w:marTop w:val="0"/>
      <w:marBottom w:val="0"/>
      <w:divBdr>
        <w:top w:val="none" w:sz="0" w:space="0" w:color="auto"/>
        <w:left w:val="none" w:sz="0" w:space="0" w:color="auto"/>
        <w:bottom w:val="none" w:sz="0" w:space="0" w:color="auto"/>
        <w:right w:val="none" w:sz="0" w:space="0" w:color="auto"/>
      </w:divBdr>
    </w:div>
    <w:div w:id="1117984614">
      <w:bodyDiv w:val="1"/>
      <w:marLeft w:val="0"/>
      <w:marRight w:val="0"/>
      <w:marTop w:val="0"/>
      <w:marBottom w:val="0"/>
      <w:divBdr>
        <w:top w:val="none" w:sz="0" w:space="0" w:color="auto"/>
        <w:left w:val="none" w:sz="0" w:space="0" w:color="auto"/>
        <w:bottom w:val="none" w:sz="0" w:space="0" w:color="auto"/>
        <w:right w:val="none" w:sz="0" w:space="0" w:color="auto"/>
      </w:divBdr>
    </w:div>
    <w:div w:id="1121533790">
      <w:bodyDiv w:val="1"/>
      <w:marLeft w:val="0"/>
      <w:marRight w:val="0"/>
      <w:marTop w:val="0"/>
      <w:marBottom w:val="0"/>
      <w:divBdr>
        <w:top w:val="none" w:sz="0" w:space="0" w:color="auto"/>
        <w:left w:val="none" w:sz="0" w:space="0" w:color="auto"/>
        <w:bottom w:val="none" w:sz="0" w:space="0" w:color="auto"/>
        <w:right w:val="none" w:sz="0" w:space="0" w:color="auto"/>
      </w:divBdr>
    </w:div>
    <w:div w:id="1121536039">
      <w:bodyDiv w:val="1"/>
      <w:marLeft w:val="0"/>
      <w:marRight w:val="0"/>
      <w:marTop w:val="0"/>
      <w:marBottom w:val="0"/>
      <w:divBdr>
        <w:top w:val="none" w:sz="0" w:space="0" w:color="auto"/>
        <w:left w:val="none" w:sz="0" w:space="0" w:color="auto"/>
        <w:bottom w:val="none" w:sz="0" w:space="0" w:color="auto"/>
        <w:right w:val="none" w:sz="0" w:space="0" w:color="auto"/>
      </w:divBdr>
    </w:div>
    <w:div w:id="1122114194">
      <w:bodyDiv w:val="1"/>
      <w:marLeft w:val="0"/>
      <w:marRight w:val="0"/>
      <w:marTop w:val="0"/>
      <w:marBottom w:val="0"/>
      <w:divBdr>
        <w:top w:val="none" w:sz="0" w:space="0" w:color="auto"/>
        <w:left w:val="none" w:sz="0" w:space="0" w:color="auto"/>
        <w:bottom w:val="none" w:sz="0" w:space="0" w:color="auto"/>
        <w:right w:val="none" w:sz="0" w:space="0" w:color="auto"/>
      </w:divBdr>
    </w:div>
    <w:div w:id="1124424918">
      <w:bodyDiv w:val="1"/>
      <w:marLeft w:val="0"/>
      <w:marRight w:val="0"/>
      <w:marTop w:val="0"/>
      <w:marBottom w:val="0"/>
      <w:divBdr>
        <w:top w:val="none" w:sz="0" w:space="0" w:color="auto"/>
        <w:left w:val="none" w:sz="0" w:space="0" w:color="auto"/>
        <w:bottom w:val="none" w:sz="0" w:space="0" w:color="auto"/>
        <w:right w:val="none" w:sz="0" w:space="0" w:color="auto"/>
      </w:divBdr>
    </w:div>
    <w:div w:id="1125928138">
      <w:bodyDiv w:val="1"/>
      <w:marLeft w:val="0"/>
      <w:marRight w:val="0"/>
      <w:marTop w:val="0"/>
      <w:marBottom w:val="0"/>
      <w:divBdr>
        <w:top w:val="none" w:sz="0" w:space="0" w:color="auto"/>
        <w:left w:val="none" w:sz="0" w:space="0" w:color="auto"/>
        <w:bottom w:val="none" w:sz="0" w:space="0" w:color="auto"/>
        <w:right w:val="none" w:sz="0" w:space="0" w:color="auto"/>
      </w:divBdr>
    </w:div>
    <w:div w:id="1126393063">
      <w:bodyDiv w:val="1"/>
      <w:marLeft w:val="0"/>
      <w:marRight w:val="0"/>
      <w:marTop w:val="0"/>
      <w:marBottom w:val="0"/>
      <w:divBdr>
        <w:top w:val="none" w:sz="0" w:space="0" w:color="auto"/>
        <w:left w:val="none" w:sz="0" w:space="0" w:color="auto"/>
        <w:bottom w:val="none" w:sz="0" w:space="0" w:color="auto"/>
        <w:right w:val="none" w:sz="0" w:space="0" w:color="auto"/>
      </w:divBdr>
    </w:div>
    <w:div w:id="1126966775">
      <w:bodyDiv w:val="1"/>
      <w:marLeft w:val="0"/>
      <w:marRight w:val="0"/>
      <w:marTop w:val="0"/>
      <w:marBottom w:val="0"/>
      <w:divBdr>
        <w:top w:val="none" w:sz="0" w:space="0" w:color="auto"/>
        <w:left w:val="none" w:sz="0" w:space="0" w:color="auto"/>
        <w:bottom w:val="none" w:sz="0" w:space="0" w:color="auto"/>
        <w:right w:val="none" w:sz="0" w:space="0" w:color="auto"/>
      </w:divBdr>
    </w:div>
    <w:div w:id="1127158790">
      <w:bodyDiv w:val="1"/>
      <w:marLeft w:val="0"/>
      <w:marRight w:val="0"/>
      <w:marTop w:val="0"/>
      <w:marBottom w:val="0"/>
      <w:divBdr>
        <w:top w:val="none" w:sz="0" w:space="0" w:color="auto"/>
        <w:left w:val="none" w:sz="0" w:space="0" w:color="auto"/>
        <w:bottom w:val="none" w:sz="0" w:space="0" w:color="auto"/>
        <w:right w:val="none" w:sz="0" w:space="0" w:color="auto"/>
      </w:divBdr>
    </w:div>
    <w:div w:id="1127703213">
      <w:bodyDiv w:val="1"/>
      <w:marLeft w:val="0"/>
      <w:marRight w:val="0"/>
      <w:marTop w:val="0"/>
      <w:marBottom w:val="0"/>
      <w:divBdr>
        <w:top w:val="none" w:sz="0" w:space="0" w:color="auto"/>
        <w:left w:val="none" w:sz="0" w:space="0" w:color="auto"/>
        <w:bottom w:val="none" w:sz="0" w:space="0" w:color="auto"/>
        <w:right w:val="none" w:sz="0" w:space="0" w:color="auto"/>
      </w:divBdr>
    </w:div>
    <w:div w:id="1127818525">
      <w:bodyDiv w:val="1"/>
      <w:marLeft w:val="0"/>
      <w:marRight w:val="0"/>
      <w:marTop w:val="0"/>
      <w:marBottom w:val="0"/>
      <w:divBdr>
        <w:top w:val="none" w:sz="0" w:space="0" w:color="auto"/>
        <w:left w:val="none" w:sz="0" w:space="0" w:color="auto"/>
        <w:bottom w:val="none" w:sz="0" w:space="0" w:color="auto"/>
        <w:right w:val="none" w:sz="0" w:space="0" w:color="auto"/>
      </w:divBdr>
    </w:div>
    <w:div w:id="1128473095">
      <w:bodyDiv w:val="1"/>
      <w:marLeft w:val="0"/>
      <w:marRight w:val="0"/>
      <w:marTop w:val="0"/>
      <w:marBottom w:val="0"/>
      <w:divBdr>
        <w:top w:val="none" w:sz="0" w:space="0" w:color="auto"/>
        <w:left w:val="none" w:sz="0" w:space="0" w:color="auto"/>
        <w:bottom w:val="none" w:sz="0" w:space="0" w:color="auto"/>
        <w:right w:val="none" w:sz="0" w:space="0" w:color="auto"/>
      </w:divBdr>
    </w:div>
    <w:div w:id="1128746558">
      <w:bodyDiv w:val="1"/>
      <w:marLeft w:val="0"/>
      <w:marRight w:val="0"/>
      <w:marTop w:val="0"/>
      <w:marBottom w:val="0"/>
      <w:divBdr>
        <w:top w:val="none" w:sz="0" w:space="0" w:color="auto"/>
        <w:left w:val="none" w:sz="0" w:space="0" w:color="auto"/>
        <w:bottom w:val="none" w:sz="0" w:space="0" w:color="auto"/>
        <w:right w:val="none" w:sz="0" w:space="0" w:color="auto"/>
      </w:divBdr>
    </w:div>
    <w:div w:id="1129081995">
      <w:bodyDiv w:val="1"/>
      <w:marLeft w:val="0"/>
      <w:marRight w:val="0"/>
      <w:marTop w:val="0"/>
      <w:marBottom w:val="0"/>
      <w:divBdr>
        <w:top w:val="none" w:sz="0" w:space="0" w:color="auto"/>
        <w:left w:val="none" w:sz="0" w:space="0" w:color="auto"/>
        <w:bottom w:val="none" w:sz="0" w:space="0" w:color="auto"/>
        <w:right w:val="none" w:sz="0" w:space="0" w:color="auto"/>
      </w:divBdr>
    </w:div>
    <w:div w:id="1129203936">
      <w:bodyDiv w:val="1"/>
      <w:marLeft w:val="0"/>
      <w:marRight w:val="0"/>
      <w:marTop w:val="0"/>
      <w:marBottom w:val="0"/>
      <w:divBdr>
        <w:top w:val="none" w:sz="0" w:space="0" w:color="auto"/>
        <w:left w:val="none" w:sz="0" w:space="0" w:color="auto"/>
        <w:bottom w:val="none" w:sz="0" w:space="0" w:color="auto"/>
        <w:right w:val="none" w:sz="0" w:space="0" w:color="auto"/>
      </w:divBdr>
    </w:div>
    <w:div w:id="1129518202">
      <w:bodyDiv w:val="1"/>
      <w:marLeft w:val="0"/>
      <w:marRight w:val="0"/>
      <w:marTop w:val="0"/>
      <w:marBottom w:val="0"/>
      <w:divBdr>
        <w:top w:val="none" w:sz="0" w:space="0" w:color="auto"/>
        <w:left w:val="none" w:sz="0" w:space="0" w:color="auto"/>
        <w:bottom w:val="none" w:sz="0" w:space="0" w:color="auto"/>
        <w:right w:val="none" w:sz="0" w:space="0" w:color="auto"/>
      </w:divBdr>
    </w:div>
    <w:div w:id="1129859288">
      <w:bodyDiv w:val="1"/>
      <w:marLeft w:val="0"/>
      <w:marRight w:val="0"/>
      <w:marTop w:val="0"/>
      <w:marBottom w:val="0"/>
      <w:divBdr>
        <w:top w:val="none" w:sz="0" w:space="0" w:color="auto"/>
        <w:left w:val="none" w:sz="0" w:space="0" w:color="auto"/>
        <w:bottom w:val="none" w:sz="0" w:space="0" w:color="auto"/>
        <w:right w:val="none" w:sz="0" w:space="0" w:color="auto"/>
      </w:divBdr>
      <w:divsChild>
        <w:div w:id="963075581">
          <w:marLeft w:val="0"/>
          <w:marRight w:val="0"/>
          <w:marTop w:val="0"/>
          <w:marBottom w:val="0"/>
          <w:divBdr>
            <w:top w:val="none" w:sz="0" w:space="0" w:color="auto"/>
            <w:left w:val="none" w:sz="0" w:space="0" w:color="auto"/>
            <w:bottom w:val="none" w:sz="0" w:space="0" w:color="auto"/>
            <w:right w:val="none" w:sz="0" w:space="0" w:color="auto"/>
          </w:divBdr>
        </w:div>
        <w:div w:id="971788672">
          <w:marLeft w:val="0"/>
          <w:marRight w:val="0"/>
          <w:marTop w:val="0"/>
          <w:marBottom w:val="0"/>
          <w:divBdr>
            <w:top w:val="none" w:sz="0" w:space="0" w:color="auto"/>
            <w:left w:val="none" w:sz="0" w:space="0" w:color="auto"/>
            <w:bottom w:val="none" w:sz="0" w:space="0" w:color="auto"/>
            <w:right w:val="none" w:sz="0" w:space="0" w:color="auto"/>
          </w:divBdr>
        </w:div>
        <w:div w:id="1306623026">
          <w:marLeft w:val="0"/>
          <w:marRight w:val="0"/>
          <w:marTop w:val="0"/>
          <w:marBottom w:val="0"/>
          <w:divBdr>
            <w:top w:val="none" w:sz="0" w:space="0" w:color="auto"/>
            <w:left w:val="none" w:sz="0" w:space="0" w:color="auto"/>
            <w:bottom w:val="none" w:sz="0" w:space="0" w:color="auto"/>
            <w:right w:val="none" w:sz="0" w:space="0" w:color="auto"/>
          </w:divBdr>
        </w:div>
        <w:div w:id="1337659561">
          <w:marLeft w:val="0"/>
          <w:marRight w:val="0"/>
          <w:marTop w:val="0"/>
          <w:marBottom w:val="0"/>
          <w:divBdr>
            <w:top w:val="none" w:sz="0" w:space="0" w:color="auto"/>
            <w:left w:val="none" w:sz="0" w:space="0" w:color="auto"/>
            <w:bottom w:val="none" w:sz="0" w:space="0" w:color="auto"/>
            <w:right w:val="none" w:sz="0" w:space="0" w:color="auto"/>
          </w:divBdr>
        </w:div>
        <w:div w:id="1979996028">
          <w:marLeft w:val="0"/>
          <w:marRight w:val="0"/>
          <w:marTop w:val="0"/>
          <w:marBottom w:val="0"/>
          <w:divBdr>
            <w:top w:val="none" w:sz="0" w:space="0" w:color="auto"/>
            <w:left w:val="none" w:sz="0" w:space="0" w:color="auto"/>
            <w:bottom w:val="none" w:sz="0" w:space="0" w:color="auto"/>
            <w:right w:val="none" w:sz="0" w:space="0" w:color="auto"/>
          </w:divBdr>
        </w:div>
      </w:divsChild>
    </w:div>
    <w:div w:id="1131365125">
      <w:bodyDiv w:val="1"/>
      <w:marLeft w:val="0"/>
      <w:marRight w:val="0"/>
      <w:marTop w:val="0"/>
      <w:marBottom w:val="0"/>
      <w:divBdr>
        <w:top w:val="none" w:sz="0" w:space="0" w:color="auto"/>
        <w:left w:val="none" w:sz="0" w:space="0" w:color="auto"/>
        <w:bottom w:val="none" w:sz="0" w:space="0" w:color="auto"/>
        <w:right w:val="none" w:sz="0" w:space="0" w:color="auto"/>
      </w:divBdr>
    </w:div>
    <w:div w:id="1131704175">
      <w:bodyDiv w:val="1"/>
      <w:marLeft w:val="0"/>
      <w:marRight w:val="0"/>
      <w:marTop w:val="0"/>
      <w:marBottom w:val="0"/>
      <w:divBdr>
        <w:top w:val="none" w:sz="0" w:space="0" w:color="auto"/>
        <w:left w:val="none" w:sz="0" w:space="0" w:color="auto"/>
        <w:bottom w:val="none" w:sz="0" w:space="0" w:color="auto"/>
        <w:right w:val="none" w:sz="0" w:space="0" w:color="auto"/>
      </w:divBdr>
    </w:div>
    <w:div w:id="1132137160">
      <w:bodyDiv w:val="1"/>
      <w:marLeft w:val="0"/>
      <w:marRight w:val="0"/>
      <w:marTop w:val="0"/>
      <w:marBottom w:val="0"/>
      <w:divBdr>
        <w:top w:val="none" w:sz="0" w:space="0" w:color="auto"/>
        <w:left w:val="none" w:sz="0" w:space="0" w:color="auto"/>
        <w:bottom w:val="none" w:sz="0" w:space="0" w:color="auto"/>
        <w:right w:val="none" w:sz="0" w:space="0" w:color="auto"/>
      </w:divBdr>
    </w:div>
    <w:div w:id="1132527757">
      <w:bodyDiv w:val="1"/>
      <w:marLeft w:val="0"/>
      <w:marRight w:val="0"/>
      <w:marTop w:val="0"/>
      <w:marBottom w:val="0"/>
      <w:divBdr>
        <w:top w:val="none" w:sz="0" w:space="0" w:color="auto"/>
        <w:left w:val="none" w:sz="0" w:space="0" w:color="auto"/>
        <w:bottom w:val="none" w:sz="0" w:space="0" w:color="auto"/>
        <w:right w:val="none" w:sz="0" w:space="0" w:color="auto"/>
      </w:divBdr>
    </w:div>
    <w:div w:id="1132790811">
      <w:bodyDiv w:val="1"/>
      <w:marLeft w:val="0"/>
      <w:marRight w:val="0"/>
      <w:marTop w:val="0"/>
      <w:marBottom w:val="0"/>
      <w:divBdr>
        <w:top w:val="none" w:sz="0" w:space="0" w:color="auto"/>
        <w:left w:val="none" w:sz="0" w:space="0" w:color="auto"/>
        <w:bottom w:val="none" w:sz="0" w:space="0" w:color="auto"/>
        <w:right w:val="none" w:sz="0" w:space="0" w:color="auto"/>
      </w:divBdr>
    </w:div>
    <w:div w:id="1133713455">
      <w:bodyDiv w:val="1"/>
      <w:marLeft w:val="0"/>
      <w:marRight w:val="0"/>
      <w:marTop w:val="0"/>
      <w:marBottom w:val="0"/>
      <w:divBdr>
        <w:top w:val="none" w:sz="0" w:space="0" w:color="auto"/>
        <w:left w:val="none" w:sz="0" w:space="0" w:color="auto"/>
        <w:bottom w:val="none" w:sz="0" w:space="0" w:color="auto"/>
        <w:right w:val="none" w:sz="0" w:space="0" w:color="auto"/>
      </w:divBdr>
    </w:div>
    <w:div w:id="1134323818">
      <w:bodyDiv w:val="1"/>
      <w:marLeft w:val="0"/>
      <w:marRight w:val="0"/>
      <w:marTop w:val="0"/>
      <w:marBottom w:val="0"/>
      <w:divBdr>
        <w:top w:val="none" w:sz="0" w:space="0" w:color="auto"/>
        <w:left w:val="none" w:sz="0" w:space="0" w:color="auto"/>
        <w:bottom w:val="none" w:sz="0" w:space="0" w:color="auto"/>
        <w:right w:val="none" w:sz="0" w:space="0" w:color="auto"/>
      </w:divBdr>
    </w:div>
    <w:div w:id="1134327728">
      <w:bodyDiv w:val="1"/>
      <w:marLeft w:val="0"/>
      <w:marRight w:val="0"/>
      <w:marTop w:val="0"/>
      <w:marBottom w:val="0"/>
      <w:divBdr>
        <w:top w:val="none" w:sz="0" w:space="0" w:color="auto"/>
        <w:left w:val="none" w:sz="0" w:space="0" w:color="auto"/>
        <w:bottom w:val="none" w:sz="0" w:space="0" w:color="auto"/>
        <w:right w:val="none" w:sz="0" w:space="0" w:color="auto"/>
      </w:divBdr>
    </w:div>
    <w:div w:id="1135296492">
      <w:bodyDiv w:val="1"/>
      <w:marLeft w:val="0"/>
      <w:marRight w:val="0"/>
      <w:marTop w:val="0"/>
      <w:marBottom w:val="0"/>
      <w:divBdr>
        <w:top w:val="none" w:sz="0" w:space="0" w:color="auto"/>
        <w:left w:val="none" w:sz="0" w:space="0" w:color="auto"/>
        <w:bottom w:val="none" w:sz="0" w:space="0" w:color="auto"/>
        <w:right w:val="none" w:sz="0" w:space="0" w:color="auto"/>
      </w:divBdr>
    </w:div>
    <w:div w:id="1135488332">
      <w:bodyDiv w:val="1"/>
      <w:marLeft w:val="0"/>
      <w:marRight w:val="0"/>
      <w:marTop w:val="0"/>
      <w:marBottom w:val="0"/>
      <w:divBdr>
        <w:top w:val="none" w:sz="0" w:space="0" w:color="auto"/>
        <w:left w:val="none" w:sz="0" w:space="0" w:color="auto"/>
        <w:bottom w:val="none" w:sz="0" w:space="0" w:color="auto"/>
        <w:right w:val="none" w:sz="0" w:space="0" w:color="auto"/>
      </w:divBdr>
    </w:div>
    <w:div w:id="1136216929">
      <w:bodyDiv w:val="1"/>
      <w:marLeft w:val="0"/>
      <w:marRight w:val="0"/>
      <w:marTop w:val="0"/>
      <w:marBottom w:val="0"/>
      <w:divBdr>
        <w:top w:val="none" w:sz="0" w:space="0" w:color="auto"/>
        <w:left w:val="none" w:sz="0" w:space="0" w:color="auto"/>
        <w:bottom w:val="none" w:sz="0" w:space="0" w:color="auto"/>
        <w:right w:val="none" w:sz="0" w:space="0" w:color="auto"/>
      </w:divBdr>
    </w:div>
    <w:div w:id="1136292251">
      <w:bodyDiv w:val="1"/>
      <w:marLeft w:val="0"/>
      <w:marRight w:val="0"/>
      <w:marTop w:val="0"/>
      <w:marBottom w:val="0"/>
      <w:divBdr>
        <w:top w:val="none" w:sz="0" w:space="0" w:color="auto"/>
        <w:left w:val="none" w:sz="0" w:space="0" w:color="auto"/>
        <w:bottom w:val="none" w:sz="0" w:space="0" w:color="auto"/>
        <w:right w:val="none" w:sz="0" w:space="0" w:color="auto"/>
      </w:divBdr>
    </w:div>
    <w:div w:id="1138304651">
      <w:bodyDiv w:val="1"/>
      <w:marLeft w:val="0"/>
      <w:marRight w:val="0"/>
      <w:marTop w:val="0"/>
      <w:marBottom w:val="0"/>
      <w:divBdr>
        <w:top w:val="none" w:sz="0" w:space="0" w:color="auto"/>
        <w:left w:val="none" w:sz="0" w:space="0" w:color="auto"/>
        <w:bottom w:val="none" w:sz="0" w:space="0" w:color="auto"/>
        <w:right w:val="none" w:sz="0" w:space="0" w:color="auto"/>
      </w:divBdr>
    </w:div>
    <w:div w:id="1139885534">
      <w:bodyDiv w:val="1"/>
      <w:marLeft w:val="0"/>
      <w:marRight w:val="0"/>
      <w:marTop w:val="0"/>
      <w:marBottom w:val="0"/>
      <w:divBdr>
        <w:top w:val="none" w:sz="0" w:space="0" w:color="auto"/>
        <w:left w:val="none" w:sz="0" w:space="0" w:color="auto"/>
        <w:bottom w:val="none" w:sz="0" w:space="0" w:color="auto"/>
        <w:right w:val="none" w:sz="0" w:space="0" w:color="auto"/>
      </w:divBdr>
    </w:div>
    <w:div w:id="1141457407">
      <w:bodyDiv w:val="1"/>
      <w:marLeft w:val="0"/>
      <w:marRight w:val="0"/>
      <w:marTop w:val="0"/>
      <w:marBottom w:val="0"/>
      <w:divBdr>
        <w:top w:val="none" w:sz="0" w:space="0" w:color="auto"/>
        <w:left w:val="none" w:sz="0" w:space="0" w:color="auto"/>
        <w:bottom w:val="none" w:sz="0" w:space="0" w:color="auto"/>
        <w:right w:val="none" w:sz="0" w:space="0" w:color="auto"/>
      </w:divBdr>
    </w:div>
    <w:div w:id="1141537438">
      <w:bodyDiv w:val="1"/>
      <w:marLeft w:val="0"/>
      <w:marRight w:val="0"/>
      <w:marTop w:val="0"/>
      <w:marBottom w:val="0"/>
      <w:divBdr>
        <w:top w:val="none" w:sz="0" w:space="0" w:color="auto"/>
        <w:left w:val="none" w:sz="0" w:space="0" w:color="auto"/>
        <w:bottom w:val="none" w:sz="0" w:space="0" w:color="auto"/>
        <w:right w:val="none" w:sz="0" w:space="0" w:color="auto"/>
      </w:divBdr>
    </w:div>
    <w:div w:id="1143038475">
      <w:bodyDiv w:val="1"/>
      <w:marLeft w:val="0"/>
      <w:marRight w:val="0"/>
      <w:marTop w:val="0"/>
      <w:marBottom w:val="0"/>
      <w:divBdr>
        <w:top w:val="none" w:sz="0" w:space="0" w:color="auto"/>
        <w:left w:val="none" w:sz="0" w:space="0" w:color="auto"/>
        <w:bottom w:val="none" w:sz="0" w:space="0" w:color="auto"/>
        <w:right w:val="none" w:sz="0" w:space="0" w:color="auto"/>
      </w:divBdr>
    </w:div>
    <w:div w:id="1143159977">
      <w:bodyDiv w:val="1"/>
      <w:marLeft w:val="0"/>
      <w:marRight w:val="0"/>
      <w:marTop w:val="0"/>
      <w:marBottom w:val="0"/>
      <w:divBdr>
        <w:top w:val="none" w:sz="0" w:space="0" w:color="auto"/>
        <w:left w:val="none" w:sz="0" w:space="0" w:color="auto"/>
        <w:bottom w:val="none" w:sz="0" w:space="0" w:color="auto"/>
        <w:right w:val="none" w:sz="0" w:space="0" w:color="auto"/>
      </w:divBdr>
    </w:div>
    <w:div w:id="1143279625">
      <w:bodyDiv w:val="1"/>
      <w:marLeft w:val="0"/>
      <w:marRight w:val="0"/>
      <w:marTop w:val="0"/>
      <w:marBottom w:val="0"/>
      <w:divBdr>
        <w:top w:val="none" w:sz="0" w:space="0" w:color="auto"/>
        <w:left w:val="none" w:sz="0" w:space="0" w:color="auto"/>
        <w:bottom w:val="none" w:sz="0" w:space="0" w:color="auto"/>
        <w:right w:val="none" w:sz="0" w:space="0" w:color="auto"/>
      </w:divBdr>
    </w:div>
    <w:div w:id="1144203807">
      <w:bodyDiv w:val="1"/>
      <w:marLeft w:val="0"/>
      <w:marRight w:val="0"/>
      <w:marTop w:val="0"/>
      <w:marBottom w:val="0"/>
      <w:divBdr>
        <w:top w:val="none" w:sz="0" w:space="0" w:color="auto"/>
        <w:left w:val="none" w:sz="0" w:space="0" w:color="auto"/>
        <w:bottom w:val="none" w:sz="0" w:space="0" w:color="auto"/>
        <w:right w:val="none" w:sz="0" w:space="0" w:color="auto"/>
      </w:divBdr>
    </w:div>
    <w:div w:id="1145274287">
      <w:bodyDiv w:val="1"/>
      <w:marLeft w:val="0"/>
      <w:marRight w:val="0"/>
      <w:marTop w:val="0"/>
      <w:marBottom w:val="0"/>
      <w:divBdr>
        <w:top w:val="none" w:sz="0" w:space="0" w:color="auto"/>
        <w:left w:val="none" w:sz="0" w:space="0" w:color="auto"/>
        <w:bottom w:val="none" w:sz="0" w:space="0" w:color="auto"/>
        <w:right w:val="none" w:sz="0" w:space="0" w:color="auto"/>
      </w:divBdr>
    </w:div>
    <w:div w:id="1146437829">
      <w:bodyDiv w:val="1"/>
      <w:marLeft w:val="0"/>
      <w:marRight w:val="0"/>
      <w:marTop w:val="0"/>
      <w:marBottom w:val="0"/>
      <w:divBdr>
        <w:top w:val="none" w:sz="0" w:space="0" w:color="auto"/>
        <w:left w:val="none" w:sz="0" w:space="0" w:color="auto"/>
        <w:bottom w:val="none" w:sz="0" w:space="0" w:color="auto"/>
        <w:right w:val="none" w:sz="0" w:space="0" w:color="auto"/>
      </w:divBdr>
    </w:div>
    <w:div w:id="1146704976">
      <w:bodyDiv w:val="1"/>
      <w:marLeft w:val="0"/>
      <w:marRight w:val="0"/>
      <w:marTop w:val="0"/>
      <w:marBottom w:val="0"/>
      <w:divBdr>
        <w:top w:val="none" w:sz="0" w:space="0" w:color="auto"/>
        <w:left w:val="none" w:sz="0" w:space="0" w:color="auto"/>
        <w:bottom w:val="none" w:sz="0" w:space="0" w:color="auto"/>
        <w:right w:val="none" w:sz="0" w:space="0" w:color="auto"/>
      </w:divBdr>
    </w:div>
    <w:div w:id="1147166062">
      <w:bodyDiv w:val="1"/>
      <w:marLeft w:val="0"/>
      <w:marRight w:val="0"/>
      <w:marTop w:val="0"/>
      <w:marBottom w:val="0"/>
      <w:divBdr>
        <w:top w:val="none" w:sz="0" w:space="0" w:color="auto"/>
        <w:left w:val="none" w:sz="0" w:space="0" w:color="auto"/>
        <w:bottom w:val="none" w:sz="0" w:space="0" w:color="auto"/>
        <w:right w:val="none" w:sz="0" w:space="0" w:color="auto"/>
      </w:divBdr>
    </w:div>
    <w:div w:id="1147354232">
      <w:bodyDiv w:val="1"/>
      <w:marLeft w:val="0"/>
      <w:marRight w:val="0"/>
      <w:marTop w:val="0"/>
      <w:marBottom w:val="0"/>
      <w:divBdr>
        <w:top w:val="none" w:sz="0" w:space="0" w:color="auto"/>
        <w:left w:val="none" w:sz="0" w:space="0" w:color="auto"/>
        <w:bottom w:val="none" w:sz="0" w:space="0" w:color="auto"/>
        <w:right w:val="none" w:sz="0" w:space="0" w:color="auto"/>
      </w:divBdr>
    </w:div>
    <w:div w:id="1147430118">
      <w:bodyDiv w:val="1"/>
      <w:marLeft w:val="0"/>
      <w:marRight w:val="0"/>
      <w:marTop w:val="0"/>
      <w:marBottom w:val="0"/>
      <w:divBdr>
        <w:top w:val="none" w:sz="0" w:space="0" w:color="auto"/>
        <w:left w:val="none" w:sz="0" w:space="0" w:color="auto"/>
        <w:bottom w:val="none" w:sz="0" w:space="0" w:color="auto"/>
        <w:right w:val="none" w:sz="0" w:space="0" w:color="auto"/>
      </w:divBdr>
    </w:div>
    <w:div w:id="1148127313">
      <w:bodyDiv w:val="1"/>
      <w:marLeft w:val="0"/>
      <w:marRight w:val="0"/>
      <w:marTop w:val="0"/>
      <w:marBottom w:val="0"/>
      <w:divBdr>
        <w:top w:val="none" w:sz="0" w:space="0" w:color="auto"/>
        <w:left w:val="none" w:sz="0" w:space="0" w:color="auto"/>
        <w:bottom w:val="none" w:sz="0" w:space="0" w:color="auto"/>
        <w:right w:val="none" w:sz="0" w:space="0" w:color="auto"/>
      </w:divBdr>
    </w:div>
    <w:div w:id="1148287066">
      <w:bodyDiv w:val="1"/>
      <w:marLeft w:val="0"/>
      <w:marRight w:val="0"/>
      <w:marTop w:val="0"/>
      <w:marBottom w:val="0"/>
      <w:divBdr>
        <w:top w:val="none" w:sz="0" w:space="0" w:color="auto"/>
        <w:left w:val="none" w:sz="0" w:space="0" w:color="auto"/>
        <w:bottom w:val="none" w:sz="0" w:space="0" w:color="auto"/>
        <w:right w:val="none" w:sz="0" w:space="0" w:color="auto"/>
      </w:divBdr>
    </w:div>
    <w:div w:id="1149440112">
      <w:bodyDiv w:val="1"/>
      <w:marLeft w:val="0"/>
      <w:marRight w:val="0"/>
      <w:marTop w:val="0"/>
      <w:marBottom w:val="0"/>
      <w:divBdr>
        <w:top w:val="none" w:sz="0" w:space="0" w:color="auto"/>
        <w:left w:val="none" w:sz="0" w:space="0" w:color="auto"/>
        <w:bottom w:val="none" w:sz="0" w:space="0" w:color="auto"/>
        <w:right w:val="none" w:sz="0" w:space="0" w:color="auto"/>
      </w:divBdr>
    </w:div>
    <w:div w:id="1150098705">
      <w:bodyDiv w:val="1"/>
      <w:marLeft w:val="0"/>
      <w:marRight w:val="0"/>
      <w:marTop w:val="0"/>
      <w:marBottom w:val="0"/>
      <w:divBdr>
        <w:top w:val="none" w:sz="0" w:space="0" w:color="auto"/>
        <w:left w:val="none" w:sz="0" w:space="0" w:color="auto"/>
        <w:bottom w:val="none" w:sz="0" w:space="0" w:color="auto"/>
        <w:right w:val="none" w:sz="0" w:space="0" w:color="auto"/>
      </w:divBdr>
    </w:div>
    <w:div w:id="1150293792">
      <w:bodyDiv w:val="1"/>
      <w:marLeft w:val="0"/>
      <w:marRight w:val="0"/>
      <w:marTop w:val="0"/>
      <w:marBottom w:val="0"/>
      <w:divBdr>
        <w:top w:val="none" w:sz="0" w:space="0" w:color="auto"/>
        <w:left w:val="none" w:sz="0" w:space="0" w:color="auto"/>
        <w:bottom w:val="none" w:sz="0" w:space="0" w:color="auto"/>
        <w:right w:val="none" w:sz="0" w:space="0" w:color="auto"/>
      </w:divBdr>
    </w:div>
    <w:div w:id="1151605526">
      <w:bodyDiv w:val="1"/>
      <w:marLeft w:val="0"/>
      <w:marRight w:val="0"/>
      <w:marTop w:val="0"/>
      <w:marBottom w:val="0"/>
      <w:divBdr>
        <w:top w:val="none" w:sz="0" w:space="0" w:color="auto"/>
        <w:left w:val="none" w:sz="0" w:space="0" w:color="auto"/>
        <w:bottom w:val="none" w:sz="0" w:space="0" w:color="auto"/>
        <w:right w:val="none" w:sz="0" w:space="0" w:color="auto"/>
      </w:divBdr>
    </w:div>
    <w:div w:id="1152257933">
      <w:bodyDiv w:val="1"/>
      <w:marLeft w:val="0"/>
      <w:marRight w:val="0"/>
      <w:marTop w:val="0"/>
      <w:marBottom w:val="0"/>
      <w:divBdr>
        <w:top w:val="none" w:sz="0" w:space="0" w:color="auto"/>
        <w:left w:val="none" w:sz="0" w:space="0" w:color="auto"/>
        <w:bottom w:val="none" w:sz="0" w:space="0" w:color="auto"/>
        <w:right w:val="none" w:sz="0" w:space="0" w:color="auto"/>
      </w:divBdr>
    </w:div>
    <w:div w:id="1153060999">
      <w:bodyDiv w:val="1"/>
      <w:marLeft w:val="0"/>
      <w:marRight w:val="0"/>
      <w:marTop w:val="0"/>
      <w:marBottom w:val="0"/>
      <w:divBdr>
        <w:top w:val="none" w:sz="0" w:space="0" w:color="auto"/>
        <w:left w:val="none" w:sz="0" w:space="0" w:color="auto"/>
        <w:bottom w:val="none" w:sz="0" w:space="0" w:color="auto"/>
        <w:right w:val="none" w:sz="0" w:space="0" w:color="auto"/>
      </w:divBdr>
    </w:div>
    <w:div w:id="1154686771">
      <w:bodyDiv w:val="1"/>
      <w:marLeft w:val="0"/>
      <w:marRight w:val="0"/>
      <w:marTop w:val="0"/>
      <w:marBottom w:val="0"/>
      <w:divBdr>
        <w:top w:val="none" w:sz="0" w:space="0" w:color="auto"/>
        <w:left w:val="none" w:sz="0" w:space="0" w:color="auto"/>
        <w:bottom w:val="none" w:sz="0" w:space="0" w:color="auto"/>
        <w:right w:val="none" w:sz="0" w:space="0" w:color="auto"/>
      </w:divBdr>
    </w:div>
    <w:div w:id="1155755049">
      <w:bodyDiv w:val="1"/>
      <w:marLeft w:val="0"/>
      <w:marRight w:val="0"/>
      <w:marTop w:val="0"/>
      <w:marBottom w:val="0"/>
      <w:divBdr>
        <w:top w:val="none" w:sz="0" w:space="0" w:color="auto"/>
        <w:left w:val="none" w:sz="0" w:space="0" w:color="auto"/>
        <w:bottom w:val="none" w:sz="0" w:space="0" w:color="auto"/>
        <w:right w:val="none" w:sz="0" w:space="0" w:color="auto"/>
      </w:divBdr>
    </w:div>
    <w:div w:id="1156260689">
      <w:bodyDiv w:val="1"/>
      <w:marLeft w:val="0"/>
      <w:marRight w:val="0"/>
      <w:marTop w:val="0"/>
      <w:marBottom w:val="0"/>
      <w:divBdr>
        <w:top w:val="none" w:sz="0" w:space="0" w:color="auto"/>
        <w:left w:val="none" w:sz="0" w:space="0" w:color="auto"/>
        <w:bottom w:val="none" w:sz="0" w:space="0" w:color="auto"/>
        <w:right w:val="none" w:sz="0" w:space="0" w:color="auto"/>
      </w:divBdr>
    </w:div>
    <w:div w:id="1156726497">
      <w:bodyDiv w:val="1"/>
      <w:marLeft w:val="0"/>
      <w:marRight w:val="0"/>
      <w:marTop w:val="0"/>
      <w:marBottom w:val="0"/>
      <w:divBdr>
        <w:top w:val="none" w:sz="0" w:space="0" w:color="auto"/>
        <w:left w:val="none" w:sz="0" w:space="0" w:color="auto"/>
        <w:bottom w:val="none" w:sz="0" w:space="0" w:color="auto"/>
        <w:right w:val="none" w:sz="0" w:space="0" w:color="auto"/>
      </w:divBdr>
    </w:div>
    <w:div w:id="1158614729">
      <w:bodyDiv w:val="1"/>
      <w:marLeft w:val="0"/>
      <w:marRight w:val="0"/>
      <w:marTop w:val="0"/>
      <w:marBottom w:val="0"/>
      <w:divBdr>
        <w:top w:val="none" w:sz="0" w:space="0" w:color="auto"/>
        <w:left w:val="none" w:sz="0" w:space="0" w:color="auto"/>
        <w:bottom w:val="none" w:sz="0" w:space="0" w:color="auto"/>
        <w:right w:val="none" w:sz="0" w:space="0" w:color="auto"/>
      </w:divBdr>
    </w:div>
    <w:div w:id="1158886068">
      <w:bodyDiv w:val="1"/>
      <w:marLeft w:val="0"/>
      <w:marRight w:val="0"/>
      <w:marTop w:val="0"/>
      <w:marBottom w:val="0"/>
      <w:divBdr>
        <w:top w:val="none" w:sz="0" w:space="0" w:color="auto"/>
        <w:left w:val="none" w:sz="0" w:space="0" w:color="auto"/>
        <w:bottom w:val="none" w:sz="0" w:space="0" w:color="auto"/>
        <w:right w:val="none" w:sz="0" w:space="0" w:color="auto"/>
      </w:divBdr>
    </w:div>
    <w:div w:id="1159425266">
      <w:bodyDiv w:val="1"/>
      <w:marLeft w:val="0"/>
      <w:marRight w:val="0"/>
      <w:marTop w:val="0"/>
      <w:marBottom w:val="0"/>
      <w:divBdr>
        <w:top w:val="none" w:sz="0" w:space="0" w:color="auto"/>
        <w:left w:val="none" w:sz="0" w:space="0" w:color="auto"/>
        <w:bottom w:val="none" w:sz="0" w:space="0" w:color="auto"/>
        <w:right w:val="none" w:sz="0" w:space="0" w:color="auto"/>
      </w:divBdr>
    </w:div>
    <w:div w:id="1160079950">
      <w:bodyDiv w:val="1"/>
      <w:marLeft w:val="0"/>
      <w:marRight w:val="0"/>
      <w:marTop w:val="0"/>
      <w:marBottom w:val="0"/>
      <w:divBdr>
        <w:top w:val="none" w:sz="0" w:space="0" w:color="auto"/>
        <w:left w:val="none" w:sz="0" w:space="0" w:color="auto"/>
        <w:bottom w:val="none" w:sz="0" w:space="0" w:color="auto"/>
        <w:right w:val="none" w:sz="0" w:space="0" w:color="auto"/>
      </w:divBdr>
    </w:div>
    <w:div w:id="1160582965">
      <w:bodyDiv w:val="1"/>
      <w:marLeft w:val="0"/>
      <w:marRight w:val="0"/>
      <w:marTop w:val="0"/>
      <w:marBottom w:val="0"/>
      <w:divBdr>
        <w:top w:val="none" w:sz="0" w:space="0" w:color="auto"/>
        <w:left w:val="none" w:sz="0" w:space="0" w:color="auto"/>
        <w:bottom w:val="none" w:sz="0" w:space="0" w:color="auto"/>
        <w:right w:val="none" w:sz="0" w:space="0" w:color="auto"/>
      </w:divBdr>
    </w:div>
    <w:div w:id="1160850286">
      <w:bodyDiv w:val="1"/>
      <w:marLeft w:val="0"/>
      <w:marRight w:val="0"/>
      <w:marTop w:val="0"/>
      <w:marBottom w:val="0"/>
      <w:divBdr>
        <w:top w:val="none" w:sz="0" w:space="0" w:color="auto"/>
        <w:left w:val="none" w:sz="0" w:space="0" w:color="auto"/>
        <w:bottom w:val="none" w:sz="0" w:space="0" w:color="auto"/>
        <w:right w:val="none" w:sz="0" w:space="0" w:color="auto"/>
      </w:divBdr>
    </w:div>
    <w:div w:id="1162693561">
      <w:bodyDiv w:val="1"/>
      <w:marLeft w:val="0"/>
      <w:marRight w:val="0"/>
      <w:marTop w:val="0"/>
      <w:marBottom w:val="0"/>
      <w:divBdr>
        <w:top w:val="none" w:sz="0" w:space="0" w:color="auto"/>
        <w:left w:val="none" w:sz="0" w:space="0" w:color="auto"/>
        <w:bottom w:val="none" w:sz="0" w:space="0" w:color="auto"/>
        <w:right w:val="none" w:sz="0" w:space="0" w:color="auto"/>
      </w:divBdr>
    </w:div>
    <w:div w:id="1162811468">
      <w:bodyDiv w:val="1"/>
      <w:marLeft w:val="0"/>
      <w:marRight w:val="0"/>
      <w:marTop w:val="0"/>
      <w:marBottom w:val="0"/>
      <w:divBdr>
        <w:top w:val="none" w:sz="0" w:space="0" w:color="auto"/>
        <w:left w:val="none" w:sz="0" w:space="0" w:color="auto"/>
        <w:bottom w:val="none" w:sz="0" w:space="0" w:color="auto"/>
        <w:right w:val="none" w:sz="0" w:space="0" w:color="auto"/>
      </w:divBdr>
    </w:div>
    <w:div w:id="1163277520">
      <w:bodyDiv w:val="1"/>
      <w:marLeft w:val="0"/>
      <w:marRight w:val="0"/>
      <w:marTop w:val="0"/>
      <w:marBottom w:val="0"/>
      <w:divBdr>
        <w:top w:val="none" w:sz="0" w:space="0" w:color="auto"/>
        <w:left w:val="none" w:sz="0" w:space="0" w:color="auto"/>
        <w:bottom w:val="none" w:sz="0" w:space="0" w:color="auto"/>
        <w:right w:val="none" w:sz="0" w:space="0" w:color="auto"/>
      </w:divBdr>
    </w:div>
    <w:div w:id="1163622873">
      <w:bodyDiv w:val="1"/>
      <w:marLeft w:val="0"/>
      <w:marRight w:val="0"/>
      <w:marTop w:val="0"/>
      <w:marBottom w:val="0"/>
      <w:divBdr>
        <w:top w:val="none" w:sz="0" w:space="0" w:color="auto"/>
        <w:left w:val="none" w:sz="0" w:space="0" w:color="auto"/>
        <w:bottom w:val="none" w:sz="0" w:space="0" w:color="auto"/>
        <w:right w:val="none" w:sz="0" w:space="0" w:color="auto"/>
      </w:divBdr>
    </w:div>
    <w:div w:id="1164126811">
      <w:bodyDiv w:val="1"/>
      <w:marLeft w:val="0"/>
      <w:marRight w:val="0"/>
      <w:marTop w:val="0"/>
      <w:marBottom w:val="0"/>
      <w:divBdr>
        <w:top w:val="none" w:sz="0" w:space="0" w:color="auto"/>
        <w:left w:val="none" w:sz="0" w:space="0" w:color="auto"/>
        <w:bottom w:val="none" w:sz="0" w:space="0" w:color="auto"/>
        <w:right w:val="none" w:sz="0" w:space="0" w:color="auto"/>
      </w:divBdr>
    </w:div>
    <w:div w:id="1164197434">
      <w:bodyDiv w:val="1"/>
      <w:marLeft w:val="0"/>
      <w:marRight w:val="0"/>
      <w:marTop w:val="0"/>
      <w:marBottom w:val="0"/>
      <w:divBdr>
        <w:top w:val="none" w:sz="0" w:space="0" w:color="auto"/>
        <w:left w:val="none" w:sz="0" w:space="0" w:color="auto"/>
        <w:bottom w:val="none" w:sz="0" w:space="0" w:color="auto"/>
        <w:right w:val="none" w:sz="0" w:space="0" w:color="auto"/>
      </w:divBdr>
    </w:div>
    <w:div w:id="1164736073">
      <w:bodyDiv w:val="1"/>
      <w:marLeft w:val="0"/>
      <w:marRight w:val="0"/>
      <w:marTop w:val="0"/>
      <w:marBottom w:val="0"/>
      <w:divBdr>
        <w:top w:val="none" w:sz="0" w:space="0" w:color="auto"/>
        <w:left w:val="none" w:sz="0" w:space="0" w:color="auto"/>
        <w:bottom w:val="none" w:sz="0" w:space="0" w:color="auto"/>
        <w:right w:val="none" w:sz="0" w:space="0" w:color="auto"/>
      </w:divBdr>
    </w:div>
    <w:div w:id="1165168797">
      <w:bodyDiv w:val="1"/>
      <w:marLeft w:val="0"/>
      <w:marRight w:val="0"/>
      <w:marTop w:val="0"/>
      <w:marBottom w:val="0"/>
      <w:divBdr>
        <w:top w:val="none" w:sz="0" w:space="0" w:color="auto"/>
        <w:left w:val="none" w:sz="0" w:space="0" w:color="auto"/>
        <w:bottom w:val="none" w:sz="0" w:space="0" w:color="auto"/>
        <w:right w:val="none" w:sz="0" w:space="0" w:color="auto"/>
      </w:divBdr>
    </w:div>
    <w:div w:id="1166019698">
      <w:bodyDiv w:val="1"/>
      <w:marLeft w:val="0"/>
      <w:marRight w:val="0"/>
      <w:marTop w:val="0"/>
      <w:marBottom w:val="0"/>
      <w:divBdr>
        <w:top w:val="none" w:sz="0" w:space="0" w:color="auto"/>
        <w:left w:val="none" w:sz="0" w:space="0" w:color="auto"/>
        <w:bottom w:val="none" w:sz="0" w:space="0" w:color="auto"/>
        <w:right w:val="none" w:sz="0" w:space="0" w:color="auto"/>
      </w:divBdr>
    </w:div>
    <w:div w:id="1166628188">
      <w:bodyDiv w:val="1"/>
      <w:marLeft w:val="0"/>
      <w:marRight w:val="0"/>
      <w:marTop w:val="0"/>
      <w:marBottom w:val="0"/>
      <w:divBdr>
        <w:top w:val="none" w:sz="0" w:space="0" w:color="auto"/>
        <w:left w:val="none" w:sz="0" w:space="0" w:color="auto"/>
        <w:bottom w:val="none" w:sz="0" w:space="0" w:color="auto"/>
        <w:right w:val="none" w:sz="0" w:space="0" w:color="auto"/>
      </w:divBdr>
    </w:div>
    <w:div w:id="1167132386">
      <w:bodyDiv w:val="1"/>
      <w:marLeft w:val="0"/>
      <w:marRight w:val="0"/>
      <w:marTop w:val="0"/>
      <w:marBottom w:val="0"/>
      <w:divBdr>
        <w:top w:val="none" w:sz="0" w:space="0" w:color="auto"/>
        <w:left w:val="none" w:sz="0" w:space="0" w:color="auto"/>
        <w:bottom w:val="none" w:sz="0" w:space="0" w:color="auto"/>
        <w:right w:val="none" w:sz="0" w:space="0" w:color="auto"/>
      </w:divBdr>
    </w:div>
    <w:div w:id="1167359543">
      <w:bodyDiv w:val="1"/>
      <w:marLeft w:val="0"/>
      <w:marRight w:val="0"/>
      <w:marTop w:val="0"/>
      <w:marBottom w:val="0"/>
      <w:divBdr>
        <w:top w:val="none" w:sz="0" w:space="0" w:color="auto"/>
        <w:left w:val="none" w:sz="0" w:space="0" w:color="auto"/>
        <w:bottom w:val="none" w:sz="0" w:space="0" w:color="auto"/>
        <w:right w:val="none" w:sz="0" w:space="0" w:color="auto"/>
      </w:divBdr>
    </w:div>
    <w:div w:id="1167786826">
      <w:bodyDiv w:val="1"/>
      <w:marLeft w:val="0"/>
      <w:marRight w:val="0"/>
      <w:marTop w:val="0"/>
      <w:marBottom w:val="0"/>
      <w:divBdr>
        <w:top w:val="none" w:sz="0" w:space="0" w:color="auto"/>
        <w:left w:val="none" w:sz="0" w:space="0" w:color="auto"/>
        <w:bottom w:val="none" w:sz="0" w:space="0" w:color="auto"/>
        <w:right w:val="none" w:sz="0" w:space="0" w:color="auto"/>
      </w:divBdr>
    </w:div>
    <w:div w:id="1167794325">
      <w:bodyDiv w:val="1"/>
      <w:marLeft w:val="0"/>
      <w:marRight w:val="0"/>
      <w:marTop w:val="0"/>
      <w:marBottom w:val="0"/>
      <w:divBdr>
        <w:top w:val="none" w:sz="0" w:space="0" w:color="auto"/>
        <w:left w:val="none" w:sz="0" w:space="0" w:color="auto"/>
        <w:bottom w:val="none" w:sz="0" w:space="0" w:color="auto"/>
        <w:right w:val="none" w:sz="0" w:space="0" w:color="auto"/>
      </w:divBdr>
    </w:div>
    <w:div w:id="1167984302">
      <w:bodyDiv w:val="1"/>
      <w:marLeft w:val="0"/>
      <w:marRight w:val="0"/>
      <w:marTop w:val="0"/>
      <w:marBottom w:val="0"/>
      <w:divBdr>
        <w:top w:val="none" w:sz="0" w:space="0" w:color="auto"/>
        <w:left w:val="none" w:sz="0" w:space="0" w:color="auto"/>
        <w:bottom w:val="none" w:sz="0" w:space="0" w:color="auto"/>
        <w:right w:val="none" w:sz="0" w:space="0" w:color="auto"/>
      </w:divBdr>
    </w:div>
    <w:div w:id="1168255906">
      <w:bodyDiv w:val="1"/>
      <w:marLeft w:val="0"/>
      <w:marRight w:val="0"/>
      <w:marTop w:val="0"/>
      <w:marBottom w:val="0"/>
      <w:divBdr>
        <w:top w:val="none" w:sz="0" w:space="0" w:color="auto"/>
        <w:left w:val="none" w:sz="0" w:space="0" w:color="auto"/>
        <w:bottom w:val="none" w:sz="0" w:space="0" w:color="auto"/>
        <w:right w:val="none" w:sz="0" w:space="0" w:color="auto"/>
      </w:divBdr>
    </w:div>
    <w:div w:id="1169828660">
      <w:bodyDiv w:val="1"/>
      <w:marLeft w:val="0"/>
      <w:marRight w:val="0"/>
      <w:marTop w:val="0"/>
      <w:marBottom w:val="0"/>
      <w:divBdr>
        <w:top w:val="none" w:sz="0" w:space="0" w:color="auto"/>
        <w:left w:val="none" w:sz="0" w:space="0" w:color="auto"/>
        <w:bottom w:val="none" w:sz="0" w:space="0" w:color="auto"/>
        <w:right w:val="none" w:sz="0" w:space="0" w:color="auto"/>
      </w:divBdr>
    </w:div>
    <w:div w:id="1171799666">
      <w:bodyDiv w:val="1"/>
      <w:marLeft w:val="0"/>
      <w:marRight w:val="0"/>
      <w:marTop w:val="0"/>
      <w:marBottom w:val="0"/>
      <w:divBdr>
        <w:top w:val="none" w:sz="0" w:space="0" w:color="auto"/>
        <w:left w:val="none" w:sz="0" w:space="0" w:color="auto"/>
        <w:bottom w:val="none" w:sz="0" w:space="0" w:color="auto"/>
        <w:right w:val="none" w:sz="0" w:space="0" w:color="auto"/>
      </w:divBdr>
    </w:div>
    <w:div w:id="1172258940">
      <w:bodyDiv w:val="1"/>
      <w:marLeft w:val="0"/>
      <w:marRight w:val="0"/>
      <w:marTop w:val="0"/>
      <w:marBottom w:val="0"/>
      <w:divBdr>
        <w:top w:val="none" w:sz="0" w:space="0" w:color="auto"/>
        <w:left w:val="none" w:sz="0" w:space="0" w:color="auto"/>
        <w:bottom w:val="none" w:sz="0" w:space="0" w:color="auto"/>
        <w:right w:val="none" w:sz="0" w:space="0" w:color="auto"/>
      </w:divBdr>
    </w:div>
    <w:div w:id="1172911454">
      <w:bodyDiv w:val="1"/>
      <w:marLeft w:val="0"/>
      <w:marRight w:val="0"/>
      <w:marTop w:val="0"/>
      <w:marBottom w:val="0"/>
      <w:divBdr>
        <w:top w:val="none" w:sz="0" w:space="0" w:color="auto"/>
        <w:left w:val="none" w:sz="0" w:space="0" w:color="auto"/>
        <w:bottom w:val="none" w:sz="0" w:space="0" w:color="auto"/>
        <w:right w:val="none" w:sz="0" w:space="0" w:color="auto"/>
      </w:divBdr>
    </w:div>
    <w:div w:id="1174606693">
      <w:bodyDiv w:val="1"/>
      <w:marLeft w:val="0"/>
      <w:marRight w:val="0"/>
      <w:marTop w:val="0"/>
      <w:marBottom w:val="0"/>
      <w:divBdr>
        <w:top w:val="none" w:sz="0" w:space="0" w:color="auto"/>
        <w:left w:val="none" w:sz="0" w:space="0" w:color="auto"/>
        <w:bottom w:val="none" w:sz="0" w:space="0" w:color="auto"/>
        <w:right w:val="none" w:sz="0" w:space="0" w:color="auto"/>
      </w:divBdr>
    </w:div>
    <w:div w:id="1175265990">
      <w:bodyDiv w:val="1"/>
      <w:marLeft w:val="0"/>
      <w:marRight w:val="0"/>
      <w:marTop w:val="0"/>
      <w:marBottom w:val="0"/>
      <w:divBdr>
        <w:top w:val="none" w:sz="0" w:space="0" w:color="auto"/>
        <w:left w:val="none" w:sz="0" w:space="0" w:color="auto"/>
        <w:bottom w:val="none" w:sz="0" w:space="0" w:color="auto"/>
        <w:right w:val="none" w:sz="0" w:space="0" w:color="auto"/>
      </w:divBdr>
    </w:div>
    <w:div w:id="1175805658">
      <w:bodyDiv w:val="1"/>
      <w:marLeft w:val="0"/>
      <w:marRight w:val="0"/>
      <w:marTop w:val="0"/>
      <w:marBottom w:val="0"/>
      <w:divBdr>
        <w:top w:val="none" w:sz="0" w:space="0" w:color="auto"/>
        <w:left w:val="none" w:sz="0" w:space="0" w:color="auto"/>
        <w:bottom w:val="none" w:sz="0" w:space="0" w:color="auto"/>
        <w:right w:val="none" w:sz="0" w:space="0" w:color="auto"/>
      </w:divBdr>
    </w:div>
    <w:div w:id="1177308349">
      <w:bodyDiv w:val="1"/>
      <w:marLeft w:val="0"/>
      <w:marRight w:val="0"/>
      <w:marTop w:val="0"/>
      <w:marBottom w:val="0"/>
      <w:divBdr>
        <w:top w:val="none" w:sz="0" w:space="0" w:color="auto"/>
        <w:left w:val="none" w:sz="0" w:space="0" w:color="auto"/>
        <w:bottom w:val="none" w:sz="0" w:space="0" w:color="auto"/>
        <w:right w:val="none" w:sz="0" w:space="0" w:color="auto"/>
      </w:divBdr>
    </w:div>
    <w:div w:id="1178235703">
      <w:bodyDiv w:val="1"/>
      <w:marLeft w:val="0"/>
      <w:marRight w:val="0"/>
      <w:marTop w:val="0"/>
      <w:marBottom w:val="0"/>
      <w:divBdr>
        <w:top w:val="none" w:sz="0" w:space="0" w:color="auto"/>
        <w:left w:val="none" w:sz="0" w:space="0" w:color="auto"/>
        <w:bottom w:val="none" w:sz="0" w:space="0" w:color="auto"/>
        <w:right w:val="none" w:sz="0" w:space="0" w:color="auto"/>
      </w:divBdr>
    </w:div>
    <w:div w:id="1178546430">
      <w:bodyDiv w:val="1"/>
      <w:marLeft w:val="0"/>
      <w:marRight w:val="0"/>
      <w:marTop w:val="0"/>
      <w:marBottom w:val="0"/>
      <w:divBdr>
        <w:top w:val="none" w:sz="0" w:space="0" w:color="auto"/>
        <w:left w:val="none" w:sz="0" w:space="0" w:color="auto"/>
        <w:bottom w:val="none" w:sz="0" w:space="0" w:color="auto"/>
        <w:right w:val="none" w:sz="0" w:space="0" w:color="auto"/>
      </w:divBdr>
    </w:div>
    <w:div w:id="1178618653">
      <w:bodyDiv w:val="1"/>
      <w:marLeft w:val="0"/>
      <w:marRight w:val="0"/>
      <w:marTop w:val="0"/>
      <w:marBottom w:val="0"/>
      <w:divBdr>
        <w:top w:val="none" w:sz="0" w:space="0" w:color="auto"/>
        <w:left w:val="none" w:sz="0" w:space="0" w:color="auto"/>
        <w:bottom w:val="none" w:sz="0" w:space="0" w:color="auto"/>
        <w:right w:val="none" w:sz="0" w:space="0" w:color="auto"/>
      </w:divBdr>
    </w:div>
    <w:div w:id="1179614909">
      <w:bodyDiv w:val="1"/>
      <w:marLeft w:val="0"/>
      <w:marRight w:val="0"/>
      <w:marTop w:val="0"/>
      <w:marBottom w:val="0"/>
      <w:divBdr>
        <w:top w:val="none" w:sz="0" w:space="0" w:color="auto"/>
        <w:left w:val="none" w:sz="0" w:space="0" w:color="auto"/>
        <w:bottom w:val="none" w:sz="0" w:space="0" w:color="auto"/>
        <w:right w:val="none" w:sz="0" w:space="0" w:color="auto"/>
      </w:divBdr>
    </w:div>
    <w:div w:id="1180125535">
      <w:bodyDiv w:val="1"/>
      <w:marLeft w:val="0"/>
      <w:marRight w:val="0"/>
      <w:marTop w:val="0"/>
      <w:marBottom w:val="0"/>
      <w:divBdr>
        <w:top w:val="none" w:sz="0" w:space="0" w:color="auto"/>
        <w:left w:val="none" w:sz="0" w:space="0" w:color="auto"/>
        <w:bottom w:val="none" w:sz="0" w:space="0" w:color="auto"/>
        <w:right w:val="none" w:sz="0" w:space="0" w:color="auto"/>
      </w:divBdr>
    </w:div>
    <w:div w:id="1180781433">
      <w:bodyDiv w:val="1"/>
      <w:marLeft w:val="0"/>
      <w:marRight w:val="0"/>
      <w:marTop w:val="0"/>
      <w:marBottom w:val="0"/>
      <w:divBdr>
        <w:top w:val="none" w:sz="0" w:space="0" w:color="auto"/>
        <w:left w:val="none" w:sz="0" w:space="0" w:color="auto"/>
        <w:bottom w:val="none" w:sz="0" w:space="0" w:color="auto"/>
        <w:right w:val="none" w:sz="0" w:space="0" w:color="auto"/>
      </w:divBdr>
    </w:div>
    <w:div w:id="1180970001">
      <w:bodyDiv w:val="1"/>
      <w:marLeft w:val="0"/>
      <w:marRight w:val="0"/>
      <w:marTop w:val="0"/>
      <w:marBottom w:val="0"/>
      <w:divBdr>
        <w:top w:val="none" w:sz="0" w:space="0" w:color="auto"/>
        <w:left w:val="none" w:sz="0" w:space="0" w:color="auto"/>
        <w:bottom w:val="none" w:sz="0" w:space="0" w:color="auto"/>
        <w:right w:val="none" w:sz="0" w:space="0" w:color="auto"/>
      </w:divBdr>
    </w:div>
    <w:div w:id="1181238983">
      <w:bodyDiv w:val="1"/>
      <w:marLeft w:val="0"/>
      <w:marRight w:val="0"/>
      <w:marTop w:val="0"/>
      <w:marBottom w:val="0"/>
      <w:divBdr>
        <w:top w:val="none" w:sz="0" w:space="0" w:color="auto"/>
        <w:left w:val="none" w:sz="0" w:space="0" w:color="auto"/>
        <w:bottom w:val="none" w:sz="0" w:space="0" w:color="auto"/>
        <w:right w:val="none" w:sz="0" w:space="0" w:color="auto"/>
      </w:divBdr>
    </w:div>
    <w:div w:id="1181243441">
      <w:bodyDiv w:val="1"/>
      <w:marLeft w:val="0"/>
      <w:marRight w:val="0"/>
      <w:marTop w:val="0"/>
      <w:marBottom w:val="0"/>
      <w:divBdr>
        <w:top w:val="none" w:sz="0" w:space="0" w:color="auto"/>
        <w:left w:val="none" w:sz="0" w:space="0" w:color="auto"/>
        <w:bottom w:val="none" w:sz="0" w:space="0" w:color="auto"/>
        <w:right w:val="none" w:sz="0" w:space="0" w:color="auto"/>
      </w:divBdr>
    </w:div>
    <w:div w:id="1181628784">
      <w:bodyDiv w:val="1"/>
      <w:marLeft w:val="0"/>
      <w:marRight w:val="0"/>
      <w:marTop w:val="0"/>
      <w:marBottom w:val="0"/>
      <w:divBdr>
        <w:top w:val="none" w:sz="0" w:space="0" w:color="auto"/>
        <w:left w:val="none" w:sz="0" w:space="0" w:color="auto"/>
        <w:bottom w:val="none" w:sz="0" w:space="0" w:color="auto"/>
        <w:right w:val="none" w:sz="0" w:space="0" w:color="auto"/>
      </w:divBdr>
    </w:div>
    <w:div w:id="1182663481">
      <w:bodyDiv w:val="1"/>
      <w:marLeft w:val="0"/>
      <w:marRight w:val="0"/>
      <w:marTop w:val="0"/>
      <w:marBottom w:val="0"/>
      <w:divBdr>
        <w:top w:val="none" w:sz="0" w:space="0" w:color="auto"/>
        <w:left w:val="none" w:sz="0" w:space="0" w:color="auto"/>
        <w:bottom w:val="none" w:sz="0" w:space="0" w:color="auto"/>
        <w:right w:val="none" w:sz="0" w:space="0" w:color="auto"/>
      </w:divBdr>
    </w:div>
    <w:div w:id="1183856138">
      <w:bodyDiv w:val="1"/>
      <w:marLeft w:val="0"/>
      <w:marRight w:val="0"/>
      <w:marTop w:val="0"/>
      <w:marBottom w:val="0"/>
      <w:divBdr>
        <w:top w:val="none" w:sz="0" w:space="0" w:color="auto"/>
        <w:left w:val="none" w:sz="0" w:space="0" w:color="auto"/>
        <w:bottom w:val="none" w:sz="0" w:space="0" w:color="auto"/>
        <w:right w:val="none" w:sz="0" w:space="0" w:color="auto"/>
      </w:divBdr>
    </w:div>
    <w:div w:id="1184246079">
      <w:bodyDiv w:val="1"/>
      <w:marLeft w:val="0"/>
      <w:marRight w:val="0"/>
      <w:marTop w:val="0"/>
      <w:marBottom w:val="0"/>
      <w:divBdr>
        <w:top w:val="none" w:sz="0" w:space="0" w:color="auto"/>
        <w:left w:val="none" w:sz="0" w:space="0" w:color="auto"/>
        <w:bottom w:val="none" w:sz="0" w:space="0" w:color="auto"/>
        <w:right w:val="none" w:sz="0" w:space="0" w:color="auto"/>
      </w:divBdr>
    </w:div>
    <w:div w:id="1184712567">
      <w:bodyDiv w:val="1"/>
      <w:marLeft w:val="0"/>
      <w:marRight w:val="0"/>
      <w:marTop w:val="0"/>
      <w:marBottom w:val="0"/>
      <w:divBdr>
        <w:top w:val="none" w:sz="0" w:space="0" w:color="auto"/>
        <w:left w:val="none" w:sz="0" w:space="0" w:color="auto"/>
        <w:bottom w:val="none" w:sz="0" w:space="0" w:color="auto"/>
        <w:right w:val="none" w:sz="0" w:space="0" w:color="auto"/>
      </w:divBdr>
    </w:div>
    <w:div w:id="1185556461">
      <w:bodyDiv w:val="1"/>
      <w:marLeft w:val="0"/>
      <w:marRight w:val="0"/>
      <w:marTop w:val="0"/>
      <w:marBottom w:val="0"/>
      <w:divBdr>
        <w:top w:val="none" w:sz="0" w:space="0" w:color="auto"/>
        <w:left w:val="none" w:sz="0" w:space="0" w:color="auto"/>
        <w:bottom w:val="none" w:sz="0" w:space="0" w:color="auto"/>
        <w:right w:val="none" w:sz="0" w:space="0" w:color="auto"/>
      </w:divBdr>
    </w:div>
    <w:div w:id="1185752991">
      <w:bodyDiv w:val="1"/>
      <w:marLeft w:val="0"/>
      <w:marRight w:val="0"/>
      <w:marTop w:val="0"/>
      <w:marBottom w:val="0"/>
      <w:divBdr>
        <w:top w:val="none" w:sz="0" w:space="0" w:color="auto"/>
        <w:left w:val="none" w:sz="0" w:space="0" w:color="auto"/>
        <w:bottom w:val="none" w:sz="0" w:space="0" w:color="auto"/>
        <w:right w:val="none" w:sz="0" w:space="0" w:color="auto"/>
      </w:divBdr>
    </w:div>
    <w:div w:id="1188786681">
      <w:bodyDiv w:val="1"/>
      <w:marLeft w:val="0"/>
      <w:marRight w:val="0"/>
      <w:marTop w:val="0"/>
      <w:marBottom w:val="0"/>
      <w:divBdr>
        <w:top w:val="none" w:sz="0" w:space="0" w:color="auto"/>
        <w:left w:val="none" w:sz="0" w:space="0" w:color="auto"/>
        <w:bottom w:val="none" w:sz="0" w:space="0" w:color="auto"/>
        <w:right w:val="none" w:sz="0" w:space="0" w:color="auto"/>
      </w:divBdr>
    </w:div>
    <w:div w:id="1189178983">
      <w:bodyDiv w:val="1"/>
      <w:marLeft w:val="0"/>
      <w:marRight w:val="0"/>
      <w:marTop w:val="0"/>
      <w:marBottom w:val="0"/>
      <w:divBdr>
        <w:top w:val="none" w:sz="0" w:space="0" w:color="auto"/>
        <w:left w:val="none" w:sz="0" w:space="0" w:color="auto"/>
        <w:bottom w:val="none" w:sz="0" w:space="0" w:color="auto"/>
        <w:right w:val="none" w:sz="0" w:space="0" w:color="auto"/>
      </w:divBdr>
    </w:div>
    <w:div w:id="1190295507">
      <w:bodyDiv w:val="1"/>
      <w:marLeft w:val="0"/>
      <w:marRight w:val="0"/>
      <w:marTop w:val="0"/>
      <w:marBottom w:val="0"/>
      <w:divBdr>
        <w:top w:val="none" w:sz="0" w:space="0" w:color="auto"/>
        <w:left w:val="none" w:sz="0" w:space="0" w:color="auto"/>
        <w:bottom w:val="none" w:sz="0" w:space="0" w:color="auto"/>
        <w:right w:val="none" w:sz="0" w:space="0" w:color="auto"/>
      </w:divBdr>
    </w:div>
    <w:div w:id="1190727081">
      <w:bodyDiv w:val="1"/>
      <w:marLeft w:val="0"/>
      <w:marRight w:val="0"/>
      <w:marTop w:val="0"/>
      <w:marBottom w:val="0"/>
      <w:divBdr>
        <w:top w:val="none" w:sz="0" w:space="0" w:color="auto"/>
        <w:left w:val="none" w:sz="0" w:space="0" w:color="auto"/>
        <w:bottom w:val="none" w:sz="0" w:space="0" w:color="auto"/>
        <w:right w:val="none" w:sz="0" w:space="0" w:color="auto"/>
      </w:divBdr>
    </w:div>
    <w:div w:id="1190989963">
      <w:bodyDiv w:val="1"/>
      <w:marLeft w:val="0"/>
      <w:marRight w:val="0"/>
      <w:marTop w:val="0"/>
      <w:marBottom w:val="0"/>
      <w:divBdr>
        <w:top w:val="none" w:sz="0" w:space="0" w:color="auto"/>
        <w:left w:val="none" w:sz="0" w:space="0" w:color="auto"/>
        <w:bottom w:val="none" w:sz="0" w:space="0" w:color="auto"/>
        <w:right w:val="none" w:sz="0" w:space="0" w:color="auto"/>
      </w:divBdr>
    </w:div>
    <w:div w:id="1191528232">
      <w:bodyDiv w:val="1"/>
      <w:marLeft w:val="0"/>
      <w:marRight w:val="0"/>
      <w:marTop w:val="0"/>
      <w:marBottom w:val="0"/>
      <w:divBdr>
        <w:top w:val="none" w:sz="0" w:space="0" w:color="auto"/>
        <w:left w:val="none" w:sz="0" w:space="0" w:color="auto"/>
        <w:bottom w:val="none" w:sz="0" w:space="0" w:color="auto"/>
        <w:right w:val="none" w:sz="0" w:space="0" w:color="auto"/>
      </w:divBdr>
    </w:div>
    <w:div w:id="1192063439">
      <w:bodyDiv w:val="1"/>
      <w:marLeft w:val="0"/>
      <w:marRight w:val="0"/>
      <w:marTop w:val="0"/>
      <w:marBottom w:val="0"/>
      <w:divBdr>
        <w:top w:val="none" w:sz="0" w:space="0" w:color="auto"/>
        <w:left w:val="none" w:sz="0" w:space="0" w:color="auto"/>
        <w:bottom w:val="none" w:sz="0" w:space="0" w:color="auto"/>
        <w:right w:val="none" w:sz="0" w:space="0" w:color="auto"/>
      </w:divBdr>
    </w:div>
    <w:div w:id="1192838194">
      <w:bodyDiv w:val="1"/>
      <w:marLeft w:val="0"/>
      <w:marRight w:val="0"/>
      <w:marTop w:val="0"/>
      <w:marBottom w:val="0"/>
      <w:divBdr>
        <w:top w:val="none" w:sz="0" w:space="0" w:color="auto"/>
        <w:left w:val="none" w:sz="0" w:space="0" w:color="auto"/>
        <w:bottom w:val="none" w:sz="0" w:space="0" w:color="auto"/>
        <w:right w:val="none" w:sz="0" w:space="0" w:color="auto"/>
      </w:divBdr>
    </w:div>
    <w:div w:id="1193155768">
      <w:bodyDiv w:val="1"/>
      <w:marLeft w:val="0"/>
      <w:marRight w:val="0"/>
      <w:marTop w:val="0"/>
      <w:marBottom w:val="0"/>
      <w:divBdr>
        <w:top w:val="none" w:sz="0" w:space="0" w:color="auto"/>
        <w:left w:val="none" w:sz="0" w:space="0" w:color="auto"/>
        <w:bottom w:val="none" w:sz="0" w:space="0" w:color="auto"/>
        <w:right w:val="none" w:sz="0" w:space="0" w:color="auto"/>
      </w:divBdr>
    </w:div>
    <w:div w:id="1193299899">
      <w:bodyDiv w:val="1"/>
      <w:marLeft w:val="0"/>
      <w:marRight w:val="0"/>
      <w:marTop w:val="0"/>
      <w:marBottom w:val="0"/>
      <w:divBdr>
        <w:top w:val="none" w:sz="0" w:space="0" w:color="auto"/>
        <w:left w:val="none" w:sz="0" w:space="0" w:color="auto"/>
        <w:bottom w:val="none" w:sz="0" w:space="0" w:color="auto"/>
        <w:right w:val="none" w:sz="0" w:space="0" w:color="auto"/>
      </w:divBdr>
    </w:div>
    <w:div w:id="1193424305">
      <w:bodyDiv w:val="1"/>
      <w:marLeft w:val="0"/>
      <w:marRight w:val="0"/>
      <w:marTop w:val="0"/>
      <w:marBottom w:val="0"/>
      <w:divBdr>
        <w:top w:val="none" w:sz="0" w:space="0" w:color="auto"/>
        <w:left w:val="none" w:sz="0" w:space="0" w:color="auto"/>
        <w:bottom w:val="none" w:sz="0" w:space="0" w:color="auto"/>
        <w:right w:val="none" w:sz="0" w:space="0" w:color="auto"/>
      </w:divBdr>
    </w:div>
    <w:div w:id="1193618684">
      <w:bodyDiv w:val="1"/>
      <w:marLeft w:val="0"/>
      <w:marRight w:val="0"/>
      <w:marTop w:val="0"/>
      <w:marBottom w:val="0"/>
      <w:divBdr>
        <w:top w:val="none" w:sz="0" w:space="0" w:color="auto"/>
        <w:left w:val="none" w:sz="0" w:space="0" w:color="auto"/>
        <w:bottom w:val="none" w:sz="0" w:space="0" w:color="auto"/>
        <w:right w:val="none" w:sz="0" w:space="0" w:color="auto"/>
      </w:divBdr>
    </w:div>
    <w:div w:id="1194029109">
      <w:bodyDiv w:val="1"/>
      <w:marLeft w:val="0"/>
      <w:marRight w:val="0"/>
      <w:marTop w:val="0"/>
      <w:marBottom w:val="0"/>
      <w:divBdr>
        <w:top w:val="none" w:sz="0" w:space="0" w:color="auto"/>
        <w:left w:val="none" w:sz="0" w:space="0" w:color="auto"/>
        <w:bottom w:val="none" w:sz="0" w:space="0" w:color="auto"/>
        <w:right w:val="none" w:sz="0" w:space="0" w:color="auto"/>
      </w:divBdr>
      <w:divsChild>
        <w:div w:id="737899359">
          <w:marLeft w:val="0"/>
          <w:marRight w:val="0"/>
          <w:marTop w:val="0"/>
          <w:marBottom w:val="0"/>
          <w:divBdr>
            <w:top w:val="none" w:sz="0" w:space="0" w:color="auto"/>
            <w:left w:val="none" w:sz="0" w:space="0" w:color="auto"/>
            <w:bottom w:val="none" w:sz="0" w:space="0" w:color="auto"/>
            <w:right w:val="none" w:sz="0" w:space="0" w:color="auto"/>
          </w:divBdr>
        </w:div>
        <w:div w:id="903296159">
          <w:marLeft w:val="0"/>
          <w:marRight w:val="0"/>
          <w:marTop w:val="0"/>
          <w:marBottom w:val="0"/>
          <w:divBdr>
            <w:top w:val="none" w:sz="0" w:space="0" w:color="auto"/>
            <w:left w:val="none" w:sz="0" w:space="0" w:color="auto"/>
            <w:bottom w:val="none" w:sz="0" w:space="0" w:color="auto"/>
            <w:right w:val="none" w:sz="0" w:space="0" w:color="auto"/>
          </w:divBdr>
        </w:div>
        <w:div w:id="1934898164">
          <w:marLeft w:val="0"/>
          <w:marRight w:val="0"/>
          <w:marTop w:val="0"/>
          <w:marBottom w:val="0"/>
          <w:divBdr>
            <w:top w:val="none" w:sz="0" w:space="0" w:color="auto"/>
            <w:left w:val="none" w:sz="0" w:space="0" w:color="auto"/>
            <w:bottom w:val="none" w:sz="0" w:space="0" w:color="auto"/>
            <w:right w:val="none" w:sz="0" w:space="0" w:color="auto"/>
          </w:divBdr>
        </w:div>
      </w:divsChild>
    </w:div>
    <w:div w:id="1194462263">
      <w:bodyDiv w:val="1"/>
      <w:marLeft w:val="0"/>
      <w:marRight w:val="0"/>
      <w:marTop w:val="0"/>
      <w:marBottom w:val="0"/>
      <w:divBdr>
        <w:top w:val="none" w:sz="0" w:space="0" w:color="auto"/>
        <w:left w:val="none" w:sz="0" w:space="0" w:color="auto"/>
        <w:bottom w:val="none" w:sz="0" w:space="0" w:color="auto"/>
        <w:right w:val="none" w:sz="0" w:space="0" w:color="auto"/>
      </w:divBdr>
    </w:div>
    <w:div w:id="1196506064">
      <w:bodyDiv w:val="1"/>
      <w:marLeft w:val="0"/>
      <w:marRight w:val="0"/>
      <w:marTop w:val="0"/>
      <w:marBottom w:val="0"/>
      <w:divBdr>
        <w:top w:val="none" w:sz="0" w:space="0" w:color="auto"/>
        <w:left w:val="none" w:sz="0" w:space="0" w:color="auto"/>
        <w:bottom w:val="none" w:sz="0" w:space="0" w:color="auto"/>
        <w:right w:val="none" w:sz="0" w:space="0" w:color="auto"/>
      </w:divBdr>
    </w:div>
    <w:div w:id="1197307961">
      <w:bodyDiv w:val="1"/>
      <w:marLeft w:val="0"/>
      <w:marRight w:val="0"/>
      <w:marTop w:val="0"/>
      <w:marBottom w:val="0"/>
      <w:divBdr>
        <w:top w:val="none" w:sz="0" w:space="0" w:color="auto"/>
        <w:left w:val="none" w:sz="0" w:space="0" w:color="auto"/>
        <w:bottom w:val="none" w:sz="0" w:space="0" w:color="auto"/>
        <w:right w:val="none" w:sz="0" w:space="0" w:color="auto"/>
      </w:divBdr>
    </w:div>
    <w:div w:id="1197893314">
      <w:bodyDiv w:val="1"/>
      <w:marLeft w:val="0"/>
      <w:marRight w:val="0"/>
      <w:marTop w:val="0"/>
      <w:marBottom w:val="0"/>
      <w:divBdr>
        <w:top w:val="none" w:sz="0" w:space="0" w:color="auto"/>
        <w:left w:val="none" w:sz="0" w:space="0" w:color="auto"/>
        <w:bottom w:val="none" w:sz="0" w:space="0" w:color="auto"/>
        <w:right w:val="none" w:sz="0" w:space="0" w:color="auto"/>
      </w:divBdr>
    </w:div>
    <w:div w:id="1198280301">
      <w:bodyDiv w:val="1"/>
      <w:marLeft w:val="0"/>
      <w:marRight w:val="0"/>
      <w:marTop w:val="0"/>
      <w:marBottom w:val="0"/>
      <w:divBdr>
        <w:top w:val="none" w:sz="0" w:space="0" w:color="auto"/>
        <w:left w:val="none" w:sz="0" w:space="0" w:color="auto"/>
        <w:bottom w:val="none" w:sz="0" w:space="0" w:color="auto"/>
        <w:right w:val="none" w:sz="0" w:space="0" w:color="auto"/>
      </w:divBdr>
    </w:div>
    <w:div w:id="1198423435">
      <w:bodyDiv w:val="1"/>
      <w:marLeft w:val="0"/>
      <w:marRight w:val="0"/>
      <w:marTop w:val="0"/>
      <w:marBottom w:val="0"/>
      <w:divBdr>
        <w:top w:val="none" w:sz="0" w:space="0" w:color="auto"/>
        <w:left w:val="none" w:sz="0" w:space="0" w:color="auto"/>
        <w:bottom w:val="none" w:sz="0" w:space="0" w:color="auto"/>
        <w:right w:val="none" w:sz="0" w:space="0" w:color="auto"/>
      </w:divBdr>
    </w:div>
    <w:div w:id="1198927197">
      <w:bodyDiv w:val="1"/>
      <w:marLeft w:val="0"/>
      <w:marRight w:val="0"/>
      <w:marTop w:val="0"/>
      <w:marBottom w:val="0"/>
      <w:divBdr>
        <w:top w:val="none" w:sz="0" w:space="0" w:color="auto"/>
        <w:left w:val="none" w:sz="0" w:space="0" w:color="auto"/>
        <w:bottom w:val="none" w:sz="0" w:space="0" w:color="auto"/>
        <w:right w:val="none" w:sz="0" w:space="0" w:color="auto"/>
      </w:divBdr>
    </w:div>
    <w:div w:id="1199468254">
      <w:bodyDiv w:val="1"/>
      <w:marLeft w:val="0"/>
      <w:marRight w:val="0"/>
      <w:marTop w:val="0"/>
      <w:marBottom w:val="0"/>
      <w:divBdr>
        <w:top w:val="none" w:sz="0" w:space="0" w:color="auto"/>
        <w:left w:val="none" w:sz="0" w:space="0" w:color="auto"/>
        <w:bottom w:val="none" w:sz="0" w:space="0" w:color="auto"/>
        <w:right w:val="none" w:sz="0" w:space="0" w:color="auto"/>
      </w:divBdr>
    </w:div>
    <w:div w:id="1199515932">
      <w:bodyDiv w:val="1"/>
      <w:marLeft w:val="0"/>
      <w:marRight w:val="0"/>
      <w:marTop w:val="0"/>
      <w:marBottom w:val="0"/>
      <w:divBdr>
        <w:top w:val="none" w:sz="0" w:space="0" w:color="auto"/>
        <w:left w:val="none" w:sz="0" w:space="0" w:color="auto"/>
        <w:bottom w:val="none" w:sz="0" w:space="0" w:color="auto"/>
        <w:right w:val="none" w:sz="0" w:space="0" w:color="auto"/>
      </w:divBdr>
    </w:div>
    <w:div w:id="1200045659">
      <w:bodyDiv w:val="1"/>
      <w:marLeft w:val="0"/>
      <w:marRight w:val="0"/>
      <w:marTop w:val="0"/>
      <w:marBottom w:val="0"/>
      <w:divBdr>
        <w:top w:val="none" w:sz="0" w:space="0" w:color="auto"/>
        <w:left w:val="none" w:sz="0" w:space="0" w:color="auto"/>
        <w:bottom w:val="none" w:sz="0" w:space="0" w:color="auto"/>
        <w:right w:val="none" w:sz="0" w:space="0" w:color="auto"/>
      </w:divBdr>
    </w:div>
    <w:div w:id="1200238906">
      <w:bodyDiv w:val="1"/>
      <w:marLeft w:val="0"/>
      <w:marRight w:val="0"/>
      <w:marTop w:val="0"/>
      <w:marBottom w:val="0"/>
      <w:divBdr>
        <w:top w:val="none" w:sz="0" w:space="0" w:color="auto"/>
        <w:left w:val="none" w:sz="0" w:space="0" w:color="auto"/>
        <w:bottom w:val="none" w:sz="0" w:space="0" w:color="auto"/>
        <w:right w:val="none" w:sz="0" w:space="0" w:color="auto"/>
      </w:divBdr>
    </w:div>
    <w:div w:id="1201165405">
      <w:bodyDiv w:val="1"/>
      <w:marLeft w:val="0"/>
      <w:marRight w:val="0"/>
      <w:marTop w:val="0"/>
      <w:marBottom w:val="0"/>
      <w:divBdr>
        <w:top w:val="none" w:sz="0" w:space="0" w:color="auto"/>
        <w:left w:val="none" w:sz="0" w:space="0" w:color="auto"/>
        <w:bottom w:val="none" w:sz="0" w:space="0" w:color="auto"/>
        <w:right w:val="none" w:sz="0" w:space="0" w:color="auto"/>
      </w:divBdr>
    </w:div>
    <w:div w:id="1201699599">
      <w:bodyDiv w:val="1"/>
      <w:marLeft w:val="0"/>
      <w:marRight w:val="0"/>
      <w:marTop w:val="0"/>
      <w:marBottom w:val="0"/>
      <w:divBdr>
        <w:top w:val="none" w:sz="0" w:space="0" w:color="auto"/>
        <w:left w:val="none" w:sz="0" w:space="0" w:color="auto"/>
        <w:bottom w:val="none" w:sz="0" w:space="0" w:color="auto"/>
        <w:right w:val="none" w:sz="0" w:space="0" w:color="auto"/>
      </w:divBdr>
    </w:div>
    <w:div w:id="1202282358">
      <w:bodyDiv w:val="1"/>
      <w:marLeft w:val="0"/>
      <w:marRight w:val="0"/>
      <w:marTop w:val="0"/>
      <w:marBottom w:val="0"/>
      <w:divBdr>
        <w:top w:val="none" w:sz="0" w:space="0" w:color="auto"/>
        <w:left w:val="none" w:sz="0" w:space="0" w:color="auto"/>
        <w:bottom w:val="none" w:sz="0" w:space="0" w:color="auto"/>
        <w:right w:val="none" w:sz="0" w:space="0" w:color="auto"/>
      </w:divBdr>
    </w:div>
    <w:div w:id="1203206565">
      <w:bodyDiv w:val="1"/>
      <w:marLeft w:val="0"/>
      <w:marRight w:val="0"/>
      <w:marTop w:val="0"/>
      <w:marBottom w:val="0"/>
      <w:divBdr>
        <w:top w:val="none" w:sz="0" w:space="0" w:color="auto"/>
        <w:left w:val="none" w:sz="0" w:space="0" w:color="auto"/>
        <w:bottom w:val="none" w:sz="0" w:space="0" w:color="auto"/>
        <w:right w:val="none" w:sz="0" w:space="0" w:color="auto"/>
      </w:divBdr>
    </w:div>
    <w:div w:id="1204290010">
      <w:bodyDiv w:val="1"/>
      <w:marLeft w:val="0"/>
      <w:marRight w:val="0"/>
      <w:marTop w:val="0"/>
      <w:marBottom w:val="0"/>
      <w:divBdr>
        <w:top w:val="none" w:sz="0" w:space="0" w:color="auto"/>
        <w:left w:val="none" w:sz="0" w:space="0" w:color="auto"/>
        <w:bottom w:val="none" w:sz="0" w:space="0" w:color="auto"/>
        <w:right w:val="none" w:sz="0" w:space="0" w:color="auto"/>
      </w:divBdr>
    </w:div>
    <w:div w:id="1204322116">
      <w:bodyDiv w:val="1"/>
      <w:marLeft w:val="0"/>
      <w:marRight w:val="0"/>
      <w:marTop w:val="0"/>
      <w:marBottom w:val="0"/>
      <w:divBdr>
        <w:top w:val="none" w:sz="0" w:space="0" w:color="auto"/>
        <w:left w:val="none" w:sz="0" w:space="0" w:color="auto"/>
        <w:bottom w:val="none" w:sz="0" w:space="0" w:color="auto"/>
        <w:right w:val="none" w:sz="0" w:space="0" w:color="auto"/>
      </w:divBdr>
    </w:div>
    <w:div w:id="1204947837">
      <w:bodyDiv w:val="1"/>
      <w:marLeft w:val="0"/>
      <w:marRight w:val="0"/>
      <w:marTop w:val="0"/>
      <w:marBottom w:val="0"/>
      <w:divBdr>
        <w:top w:val="none" w:sz="0" w:space="0" w:color="auto"/>
        <w:left w:val="none" w:sz="0" w:space="0" w:color="auto"/>
        <w:bottom w:val="none" w:sz="0" w:space="0" w:color="auto"/>
        <w:right w:val="none" w:sz="0" w:space="0" w:color="auto"/>
      </w:divBdr>
    </w:div>
    <w:div w:id="1205173440">
      <w:bodyDiv w:val="1"/>
      <w:marLeft w:val="0"/>
      <w:marRight w:val="0"/>
      <w:marTop w:val="0"/>
      <w:marBottom w:val="0"/>
      <w:divBdr>
        <w:top w:val="none" w:sz="0" w:space="0" w:color="auto"/>
        <w:left w:val="none" w:sz="0" w:space="0" w:color="auto"/>
        <w:bottom w:val="none" w:sz="0" w:space="0" w:color="auto"/>
        <w:right w:val="none" w:sz="0" w:space="0" w:color="auto"/>
      </w:divBdr>
    </w:div>
    <w:div w:id="1207526442">
      <w:bodyDiv w:val="1"/>
      <w:marLeft w:val="0"/>
      <w:marRight w:val="0"/>
      <w:marTop w:val="0"/>
      <w:marBottom w:val="0"/>
      <w:divBdr>
        <w:top w:val="none" w:sz="0" w:space="0" w:color="auto"/>
        <w:left w:val="none" w:sz="0" w:space="0" w:color="auto"/>
        <w:bottom w:val="none" w:sz="0" w:space="0" w:color="auto"/>
        <w:right w:val="none" w:sz="0" w:space="0" w:color="auto"/>
      </w:divBdr>
    </w:div>
    <w:div w:id="1207645681">
      <w:bodyDiv w:val="1"/>
      <w:marLeft w:val="0"/>
      <w:marRight w:val="0"/>
      <w:marTop w:val="0"/>
      <w:marBottom w:val="0"/>
      <w:divBdr>
        <w:top w:val="none" w:sz="0" w:space="0" w:color="auto"/>
        <w:left w:val="none" w:sz="0" w:space="0" w:color="auto"/>
        <w:bottom w:val="none" w:sz="0" w:space="0" w:color="auto"/>
        <w:right w:val="none" w:sz="0" w:space="0" w:color="auto"/>
      </w:divBdr>
    </w:div>
    <w:div w:id="1207833430">
      <w:bodyDiv w:val="1"/>
      <w:marLeft w:val="0"/>
      <w:marRight w:val="0"/>
      <w:marTop w:val="0"/>
      <w:marBottom w:val="0"/>
      <w:divBdr>
        <w:top w:val="none" w:sz="0" w:space="0" w:color="auto"/>
        <w:left w:val="none" w:sz="0" w:space="0" w:color="auto"/>
        <w:bottom w:val="none" w:sz="0" w:space="0" w:color="auto"/>
        <w:right w:val="none" w:sz="0" w:space="0" w:color="auto"/>
      </w:divBdr>
    </w:div>
    <w:div w:id="1208882314">
      <w:bodyDiv w:val="1"/>
      <w:marLeft w:val="0"/>
      <w:marRight w:val="0"/>
      <w:marTop w:val="0"/>
      <w:marBottom w:val="0"/>
      <w:divBdr>
        <w:top w:val="none" w:sz="0" w:space="0" w:color="auto"/>
        <w:left w:val="none" w:sz="0" w:space="0" w:color="auto"/>
        <w:bottom w:val="none" w:sz="0" w:space="0" w:color="auto"/>
        <w:right w:val="none" w:sz="0" w:space="0" w:color="auto"/>
      </w:divBdr>
    </w:div>
    <w:div w:id="1209301918">
      <w:bodyDiv w:val="1"/>
      <w:marLeft w:val="0"/>
      <w:marRight w:val="0"/>
      <w:marTop w:val="0"/>
      <w:marBottom w:val="0"/>
      <w:divBdr>
        <w:top w:val="none" w:sz="0" w:space="0" w:color="auto"/>
        <w:left w:val="none" w:sz="0" w:space="0" w:color="auto"/>
        <w:bottom w:val="none" w:sz="0" w:space="0" w:color="auto"/>
        <w:right w:val="none" w:sz="0" w:space="0" w:color="auto"/>
      </w:divBdr>
    </w:div>
    <w:div w:id="1209341349">
      <w:bodyDiv w:val="1"/>
      <w:marLeft w:val="0"/>
      <w:marRight w:val="0"/>
      <w:marTop w:val="0"/>
      <w:marBottom w:val="0"/>
      <w:divBdr>
        <w:top w:val="none" w:sz="0" w:space="0" w:color="auto"/>
        <w:left w:val="none" w:sz="0" w:space="0" w:color="auto"/>
        <w:bottom w:val="none" w:sz="0" w:space="0" w:color="auto"/>
        <w:right w:val="none" w:sz="0" w:space="0" w:color="auto"/>
      </w:divBdr>
    </w:div>
    <w:div w:id="1209800238">
      <w:bodyDiv w:val="1"/>
      <w:marLeft w:val="0"/>
      <w:marRight w:val="0"/>
      <w:marTop w:val="0"/>
      <w:marBottom w:val="0"/>
      <w:divBdr>
        <w:top w:val="none" w:sz="0" w:space="0" w:color="auto"/>
        <w:left w:val="none" w:sz="0" w:space="0" w:color="auto"/>
        <w:bottom w:val="none" w:sz="0" w:space="0" w:color="auto"/>
        <w:right w:val="none" w:sz="0" w:space="0" w:color="auto"/>
      </w:divBdr>
    </w:div>
    <w:div w:id="1209875176">
      <w:bodyDiv w:val="1"/>
      <w:marLeft w:val="0"/>
      <w:marRight w:val="0"/>
      <w:marTop w:val="0"/>
      <w:marBottom w:val="0"/>
      <w:divBdr>
        <w:top w:val="none" w:sz="0" w:space="0" w:color="auto"/>
        <w:left w:val="none" w:sz="0" w:space="0" w:color="auto"/>
        <w:bottom w:val="none" w:sz="0" w:space="0" w:color="auto"/>
        <w:right w:val="none" w:sz="0" w:space="0" w:color="auto"/>
      </w:divBdr>
    </w:div>
    <w:div w:id="1210453453">
      <w:bodyDiv w:val="1"/>
      <w:marLeft w:val="0"/>
      <w:marRight w:val="0"/>
      <w:marTop w:val="0"/>
      <w:marBottom w:val="0"/>
      <w:divBdr>
        <w:top w:val="none" w:sz="0" w:space="0" w:color="auto"/>
        <w:left w:val="none" w:sz="0" w:space="0" w:color="auto"/>
        <w:bottom w:val="none" w:sz="0" w:space="0" w:color="auto"/>
        <w:right w:val="none" w:sz="0" w:space="0" w:color="auto"/>
      </w:divBdr>
    </w:div>
    <w:div w:id="1210605198">
      <w:bodyDiv w:val="1"/>
      <w:marLeft w:val="0"/>
      <w:marRight w:val="0"/>
      <w:marTop w:val="0"/>
      <w:marBottom w:val="0"/>
      <w:divBdr>
        <w:top w:val="none" w:sz="0" w:space="0" w:color="auto"/>
        <w:left w:val="none" w:sz="0" w:space="0" w:color="auto"/>
        <w:bottom w:val="none" w:sz="0" w:space="0" w:color="auto"/>
        <w:right w:val="none" w:sz="0" w:space="0" w:color="auto"/>
      </w:divBdr>
    </w:div>
    <w:div w:id="1211649347">
      <w:bodyDiv w:val="1"/>
      <w:marLeft w:val="0"/>
      <w:marRight w:val="0"/>
      <w:marTop w:val="0"/>
      <w:marBottom w:val="0"/>
      <w:divBdr>
        <w:top w:val="none" w:sz="0" w:space="0" w:color="auto"/>
        <w:left w:val="none" w:sz="0" w:space="0" w:color="auto"/>
        <w:bottom w:val="none" w:sz="0" w:space="0" w:color="auto"/>
        <w:right w:val="none" w:sz="0" w:space="0" w:color="auto"/>
      </w:divBdr>
    </w:div>
    <w:div w:id="1212616458">
      <w:bodyDiv w:val="1"/>
      <w:marLeft w:val="0"/>
      <w:marRight w:val="0"/>
      <w:marTop w:val="0"/>
      <w:marBottom w:val="0"/>
      <w:divBdr>
        <w:top w:val="none" w:sz="0" w:space="0" w:color="auto"/>
        <w:left w:val="none" w:sz="0" w:space="0" w:color="auto"/>
        <w:bottom w:val="none" w:sz="0" w:space="0" w:color="auto"/>
        <w:right w:val="none" w:sz="0" w:space="0" w:color="auto"/>
      </w:divBdr>
    </w:div>
    <w:div w:id="1212694634">
      <w:bodyDiv w:val="1"/>
      <w:marLeft w:val="0"/>
      <w:marRight w:val="0"/>
      <w:marTop w:val="0"/>
      <w:marBottom w:val="0"/>
      <w:divBdr>
        <w:top w:val="none" w:sz="0" w:space="0" w:color="auto"/>
        <w:left w:val="none" w:sz="0" w:space="0" w:color="auto"/>
        <w:bottom w:val="none" w:sz="0" w:space="0" w:color="auto"/>
        <w:right w:val="none" w:sz="0" w:space="0" w:color="auto"/>
      </w:divBdr>
    </w:div>
    <w:div w:id="1213225779">
      <w:bodyDiv w:val="1"/>
      <w:marLeft w:val="0"/>
      <w:marRight w:val="0"/>
      <w:marTop w:val="0"/>
      <w:marBottom w:val="0"/>
      <w:divBdr>
        <w:top w:val="none" w:sz="0" w:space="0" w:color="auto"/>
        <w:left w:val="none" w:sz="0" w:space="0" w:color="auto"/>
        <w:bottom w:val="none" w:sz="0" w:space="0" w:color="auto"/>
        <w:right w:val="none" w:sz="0" w:space="0" w:color="auto"/>
      </w:divBdr>
    </w:div>
    <w:div w:id="1213544347">
      <w:bodyDiv w:val="1"/>
      <w:marLeft w:val="0"/>
      <w:marRight w:val="0"/>
      <w:marTop w:val="0"/>
      <w:marBottom w:val="0"/>
      <w:divBdr>
        <w:top w:val="none" w:sz="0" w:space="0" w:color="auto"/>
        <w:left w:val="none" w:sz="0" w:space="0" w:color="auto"/>
        <w:bottom w:val="none" w:sz="0" w:space="0" w:color="auto"/>
        <w:right w:val="none" w:sz="0" w:space="0" w:color="auto"/>
      </w:divBdr>
    </w:div>
    <w:div w:id="1215124623">
      <w:bodyDiv w:val="1"/>
      <w:marLeft w:val="0"/>
      <w:marRight w:val="0"/>
      <w:marTop w:val="0"/>
      <w:marBottom w:val="0"/>
      <w:divBdr>
        <w:top w:val="none" w:sz="0" w:space="0" w:color="auto"/>
        <w:left w:val="none" w:sz="0" w:space="0" w:color="auto"/>
        <w:bottom w:val="none" w:sz="0" w:space="0" w:color="auto"/>
        <w:right w:val="none" w:sz="0" w:space="0" w:color="auto"/>
      </w:divBdr>
    </w:div>
    <w:div w:id="1215893213">
      <w:bodyDiv w:val="1"/>
      <w:marLeft w:val="0"/>
      <w:marRight w:val="0"/>
      <w:marTop w:val="0"/>
      <w:marBottom w:val="0"/>
      <w:divBdr>
        <w:top w:val="none" w:sz="0" w:space="0" w:color="auto"/>
        <w:left w:val="none" w:sz="0" w:space="0" w:color="auto"/>
        <w:bottom w:val="none" w:sz="0" w:space="0" w:color="auto"/>
        <w:right w:val="none" w:sz="0" w:space="0" w:color="auto"/>
      </w:divBdr>
    </w:div>
    <w:div w:id="1215973105">
      <w:bodyDiv w:val="1"/>
      <w:marLeft w:val="0"/>
      <w:marRight w:val="0"/>
      <w:marTop w:val="0"/>
      <w:marBottom w:val="0"/>
      <w:divBdr>
        <w:top w:val="none" w:sz="0" w:space="0" w:color="auto"/>
        <w:left w:val="none" w:sz="0" w:space="0" w:color="auto"/>
        <w:bottom w:val="none" w:sz="0" w:space="0" w:color="auto"/>
        <w:right w:val="none" w:sz="0" w:space="0" w:color="auto"/>
      </w:divBdr>
    </w:div>
    <w:div w:id="1216770688">
      <w:bodyDiv w:val="1"/>
      <w:marLeft w:val="0"/>
      <w:marRight w:val="0"/>
      <w:marTop w:val="0"/>
      <w:marBottom w:val="0"/>
      <w:divBdr>
        <w:top w:val="none" w:sz="0" w:space="0" w:color="auto"/>
        <w:left w:val="none" w:sz="0" w:space="0" w:color="auto"/>
        <w:bottom w:val="none" w:sz="0" w:space="0" w:color="auto"/>
        <w:right w:val="none" w:sz="0" w:space="0" w:color="auto"/>
      </w:divBdr>
    </w:div>
    <w:div w:id="1217206472">
      <w:bodyDiv w:val="1"/>
      <w:marLeft w:val="0"/>
      <w:marRight w:val="0"/>
      <w:marTop w:val="0"/>
      <w:marBottom w:val="0"/>
      <w:divBdr>
        <w:top w:val="none" w:sz="0" w:space="0" w:color="auto"/>
        <w:left w:val="none" w:sz="0" w:space="0" w:color="auto"/>
        <w:bottom w:val="none" w:sz="0" w:space="0" w:color="auto"/>
        <w:right w:val="none" w:sz="0" w:space="0" w:color="auto"/>
      </w:divBdr>
    </w:div>
    <w:div w:id="1217357593">
      <w:bodyDiv w:val="1"/>
      <w:marLeft w:val="0"/>
      <w:marRight w:val="0"/>
      <w:marTop w:val="0"/>
      <w:marBottom w:val="0"/>
      <w:divBdr>
        <w:top w:val="none" w:sz="0" w:space="0" w:color="auto"/>
        <w:left w:val="none" w:sz="0" w:space="0" w:color="auto"/>
        <w:bottom w:val="none" w:sz="0" w:space="0" w:color="auto"/>
        <w:right w:val="none" w:sz="0" w:space="0" w:color="auto"/>
      </w:divBdr>
    </w:div>
    <w:div w:id="1217861204">
      <w:bodyDiv w:val="1"/>
      <w:marLeft w:val="0"/>
      <w:marRight w:val="0"/>
      <w:marTop w:val="0"/>
      <w:marBottom w:val="0"/>
      <w:divBdr>
        <w:top w:val="none" w:sz="0" w:space="0" w:color="auto"/>
        <w:left w:val="none" w:sz="0" w:space="0" w:color="auto"/>
        <w:bottom w:val="none" w:sz="0" w:space="0" w:color="auto"/>
        <w:right w:val="none" w:sz="0" w:space="0" w:color="auto"/>
      </w:divBdr>
    </w:div>
    <w:div w:id="1218130054">
      <w:bodyDiv w:val="1"/>
      <w:marLeft w:val="0"/>
      <w:marRight w:val="0"/>
      <w:marTop w:val="0"/>
      <w:marBottom w:val="0"/>
      <w:divBdr>
        <w:top w:val="none" w:sz="0" w:space="0" w:color="auto"/>
        <w:left w:val="none" w:sz="0" w:space="0" w:color="auto"/>
        <w:bottom w:val="none" w:sz="0" w:space="0" w:color="auto"/>
        <w:right w:val="none" w:sz="0" w:space="0" w:color="auto"/>
      </w:divBdr>
    </w:div>
    <w:div w:id="1218274423">
      <w:bodyDiv w:val="1"/>
      <w:marLeft w:val="0"/>
      <w:marRight w:val="0"/>
      <w:marTop w:val="0"/>
      <w:marBottom w:val="0"/>
      <w:divBdr>
        <w:top w:val="none" w:sz="0" w:space="0" w:color="auto"/>
        <w:left w:val="none" w:sz="0" w:space="0" w:color="auto"/>
        <w:bottom w:val="none" w:sz="0" w:space="0" w:color="auto"/>
        <w:right w:val="none" w:sz="0" w:space="0" w:color="auto"/>
      </w:divBdr>
    </w:div>
    <w:div w:id="1218280463">
      <w:bodyDiv w:val="1"/>
      <w:marLeft w:val="0"/>
      <w:marRight w:val="0"/>
      <w:marTop w:val="0"/>
      <w:marBottom w:val="0"/>
      <w:divBdr>
        <w:top w:val="none" w:sz="0" w:space="0" w:color="auto"/>
        <w:left w:val="none" w:sz="0" w:space="0" w:color="auto"/>
        <w:bottom w:val="none" w:sz="0" w:space="0" w:color="auto"/>
        <w:right w:val="none" w:sz="0" w:space="0" w:color="auto"/>
      </w:divBdr>
    </w:div>
    <w:div w:id="1218510993">
      <w:bodyDiv w:val="1"/>
      <w:marLeft w:val="0"/>
      <w:marRight w:val="0"/>
      <w:marTop w:val="0"/>
      <w:marBottom w:val="0"/>
      <w:divBdr>
        <w:top w:val="none" w:sz="0" w:space="0" w:color="auto"/>
        <w:left w:val="none" w:sz="0" w:space="0" w:color="auto"/>
        <w:bottom w:val="none" w:sz="0" w:space="0" w:color="auto"/>
        <w:right w:val="none" w:sz="0" w:space="0" w:color="auto"/>
      </w:divBdr>
    </w:div>
    <w:div w:id="1219510909">
      <w:bodyDiv w:val="1"/>
      <w:marLeft w:val="0"/>
      <w:marRight w:val="0"/>
      <w:marTop w:val="0"/>
      <w:marBottom w:val="0"/>
      <w:divBdr>
        <w:top w:val="none" w:sz="0" w:space="0" w:color="auto"/>
        <w:left w:val="none" w:sz="0" w:space="0" w:color="auto"/>
        <w:bottom w:val="none" w:sz="0" w:space="0" w:color="auto"/>
        <w:right w:val="none" w:sz="0" w:space="0" w:color="auto"/>
      </w:divBdr>
    </w:div>
    <w:div w:id="1219779722">
      <w:bodyDiv w:val="1"/>
      <w:marLeft w:val="0"/>
      <w:marRight w:val="0"/>
      <w:marTop w:val="0"/>
      <w:marBottom w:val="0"/>
      <w:divBdr>
        <w:top w:val="none" w:sz="0" w:space="0" w:color="auto"/>
        <w:left w:val="none" w:sz="0" w:space="0" w:color="auto"/>
        <w:bottom w:val="none" w:sz="0" w:space="0" w:color="auto"/>
        <w:right w:val="none" w:sz="0" w:space="0" w:color="auto"/>
      </w:divBdr>
    </w:div>
    <w:div w:id="1219971481">
      <w:bodyDiv w:val="1"/>
      <w:marLeft w:val="0"/>
      <w:marRight w:val="0"/>
      <w:marTop w:val="0"/>
      <w:marBottom w:val="0"/>
      <w:divBdr>
        <w:top w:val="none" w:sz="0" w:space="0" w:color="auto"/>
        <w:left w:val="none" w:sz="0" w:space="0" w:color="auto"/>
        <w:bottom w:val="none" w:sz="0" w:space="0" w:color="auto"/>
        <w:right w:val="none" w:sz="0" w:space="0" w:color="auto"/>
      </w:divBdr>
    </w:div>
    <w:div w:id="1220705088">
      <w:bodyDiv w:val="1"/>
      <w:marLeft w:val="0"/>
      <w:marRight w:val="0"/>
      <w:marTop w:val="0"/>
      <w:marBottom w:val="0"/>
      <w:divBdr>
        <w:top w:val="none" w:sz="0" w:space="0" w:color="auto"/>
        <w:left w:val="none" w:sz="0" w:space="0" w:color="auto"/>
        <w:bottom w:val="none" w:sz="0" w:space="0" w:color="auto"/>
        <w:right w:val="none" w:sz="0" w:space="0" w:color="auto"/>
      </w:divBdr>
    </w:div>
    <w:div w:id="1221333211">
      <w:bodyDiv w:val="1"/>
      <w:marLeft w:val="0"/>
      <w:marRight w:val="0"/>
      <w:marTop w:val="0"/>
      <w:marBottom w:val="0"/>
      <w:divBdr>
        <w:top w:val="none" w:sz="0" w:space="0" w:color="auto"/>
        <w:left w:val="none" w:sz="0" w:space="0" w:color="auto"/>
        <w:bottom w:val="none" w:sz="0" w:space="0" w:color="auto"/>
        <w:right w:val="none" w:sz="0" w:space="0" w:color="auto"/>
      </w:divBdr>
    </w:div>
    <w:div w:id="1221474403">
      <w:bodyDiv w:val="1"/>
      <w:marLeft w:val="0"/>
      <w:marRight w:val="0"/>
      <w:marTop w:val="0"/>
      <w:marBottom w:val="0"/>
      <w:divBdr>
        <w:top w:val="none" w:sz="0" w:space="0" w:color="auto"/>
        <w:left w:val="none" w:sz="0" w:space="0" w:color="auto"/>
        <w:bottom w:val="none" w:sz="0" w:space="0" w:color="auto"/>
        <w:right w:val="none" w:sz="0" w:space="0" w:color="auto"/>
      </w:divBdr>
    </w:div>
    <w:div w:id="1221479844">
      <w:bodyDiv w:val="1"/>
      <w:marLeft w:val="0"/>
      <w:marRight w:val="0"/>
      <w:marTop w:val="0"/>
      <w:marBottom w:val="0"/>
      <w:divBdr>
        <w:top w:val="none" w:sz="0" w:space="0" w:color="auto"/>
        <w:left w:val="none" w:sz="0" w:space="0" w:color="auto"/>
        <w:bottom w:val="none" w:sz="0" w:space="0" w:color="auto"/>
        <w:right w:val="none" w:sz="0" w:space="0" w:color="auto"/>
      </w:divBdr>
    </w:div>
    <w:div w:id="1222787274">
      <w:bodyDiv w:val="1"/>
      <w:marLeft w:val="0"/>
      <w:marRight w:val="0"/>
      <w:marTop w:val="0"/>
      <w:marBottom w:val="0"/>
      <w:divBdr>
        <w:top w:val="none" w:sz="0" w:space="0" w:color="auto"/>
        <w:left w:val="none" w:sz="0" w:space="0" w:color="auto"/>
        <w:bottom w:val="none" w:sz="0" w:space="0" w:color="auto"/>
        <w:right w:val="none" w:sz="0" w:space="0" w:color="auto"/>
      </w:divBdr>
    </w:div>
    <w:div w:id="1223248853">
      <w:bodyDiv w:val="1"/>
      <w:marLeft w:val="0"/>
      <w:marRight w:val="0"/>
      <w:marTop w:val="0"/>
      <w:marBottom w:val="0"/>
      <w:divBdr>
        <w:top w:val="none" w:sz="0" w:space="0" w:color="auto"/>
        <w:left w:val="none" w:sz="0" w:space="0" w:color="auto"/>
        <w:bottom w:val="none" w:sz="0" w:space="0" w:color="auto"/>
        <w:right w:val="none" w:sz="0" w:space="0" w:color="auto"/>
      </w:divBdr>
    </w:div>
    <w:div w:id="1223911764">
      <w:bodyDiv w:val="1"/>
      <w:marLeft w:val="0"/>
      <w:marRight w:val="0"/>
      <w:marTop w:val="0"/>
      <w:marBottom w:val="0"/>
      <w:divBdr>
        <w:top w:val="none" w:sz="0" w:space="0" w:color="auto"/>
        <w:left w:val="none" w:sz="0" w:space="0" w:color="auto"/>
        <w:bottom w:val="none" w:sz="0" w:space="0" w:color="auto"/>
        <w:right w:val="none" w:sz="0" w:space="0" w:color="auto"/>
      </w:divBdr>
    </w:div>
    <w:div w:id="1224371238">
      <w:bodyDiv w:val="1"/>
      <w:marLeft w:val="0"/>
      <w:marRight w:val="0"/>
      <w:marTop w:val="0"/>
      <w:marBottom w:val="0"/>
      <w:divBdr>
        <w:top w:val="none" w:sz="0" w:space="0" w:color="auto"/>
        <w:left w:val="none" w:sz="0" w:space="0" w:color="auto"/>
        <w:bottom w:val="none" w:sz="0" w:space="0" w:color="auto"/>
        <w:right w:val="none" w:sz="0" w:space="0" w:color="auto"/>
      </w:divBdr>
    </w:div>
    <w:div w:id="1224753465">
      <w:bodyDiv w:val="1"/>
      <w:marLeft w:val="0"/>
      <w:marRight w:val="0"/>
      <w:marTop w:val="0"/>
      <w:marBottom w:val="0"/>
      <w:divBdr>
        <w:top w:val="none" w:sz="0" w:space="0" w:color="auto"/>
        <w:left w:val="none" w:sz="0" w:space="0" w:color="auto"/>
        <w:bottom w:val="none" w:sz="0" w:space="0" w:color="auto"/>
        <w:right w:val="none" w:sz="0" w:space="0" w:color="auto"/>
      </w:divBdr>
    </w:div>
    <w:div w:id="1225604070">
      <w:bodyDiv w:val="1"/>
      <w:marLeft w:val="0"/>
      <w:marRight w:val="0"/>
      <w:marTop w:val="0"/>
      <w:marBottom w:val="0"/>
      <w:divBdr>
        <w:top w:val="none" w:sz="0" w:space="0" w:color="auto"/>
        <w:left w:val="none" w:sz="0" w:space="0" w:color="auto"/>
        <w:bottom w:val="none" w:sz="0" w:space="0" w:color="auto"/>
        <w:right w:val="none" w:sz="0" w:space="0" w:color="auto"/>
      </w:divBdr>
    </w:div>
    <w:div w:id="1226642784">
      <w:bodyDiv w:val="1"/>
      <w:marLeft w:val="0"/>
      <w:marRight w:val="0"/>
      <w:marTop w:val="0"/>
      <w:marBottom w:val="0"/>
      <w:divBdr>
        <w:top w:val="none" w:sz="0" w:space="0" w:color="auto"/>
        <w:left w:val="none" w:sz="0" w:space="0" w:color="auto"/>
        <w:bottom w:val="none" w:sz="0" w:space="0" w:color="auto"/>
        <w:right w:val="none" w:sz="0" w:space="0" w:color="auto"/>
      </w:divBdr>
    </w:div>
    <w:div w:id="1226725047">
      <w:bodyDiv w:val="1"/>
      <w:marLeft w:val="0"/>
      <w:marRight w:val="0"/>
      <w:marTop w:val="0"/>
      <w:marBottom w:val="0"/>
      <w:divBdr>
        <w:top w:val="none" w:sz="0" w:space="0" w:color="auto"/>
        <w:left w:val="none" w:sz="0" w:space="0" w:color="auto"/>
        <w:bottom w:val="none" w:sz="0" w:space="0" w:color="auto"/>
        <w:right w:val="none" w:sz="0" w:space="0" w:color="auto"/>
      </w:divBdr>
    </w:div>
    <w:div w:id="1226842547">
      <w:bodyDiv w:val="1"/>
      <w:marLeft w:val="0"/>
      <w:marRight w:val="0"/>
      <w:marTop w:val="0"/>
      <w:marBottom w:val="0"/>
      <w:divBdr>
        <w:top w:val="none" w:sz="0" w:space="0" w:color="auto"/>
        <w:left w:val="none" w:sz="0" w:space="0" w:color="auto"/>
        <w:bottom w:val="none" w:sz="0" w:space="0" w:color="auto"/>
        <w:right w:val="none" w:sz="0" w:space="0" w:color="auto"/>
      </w:divBdr>
    </w:div>
    <w:div w:id="1226844082">
      <w:bodyDiv w:val="1"/>
      <w:marLeft w:val="0"/>
      <w:marRight w:val="0"/>
      <w:marTop w:val="0"/>
      <w:marBottom w:val="0"/>
      <w:divBdr>
        <w:top w:val="none" w:sz="0" w:space="0" w:color="auto"/>
        <w:left w:val="none" w:sz="0" w:space="0" w:color="auto"/>
        <w:bottom w:val="none" w:sz="0" w:space="0" w:color="auto"/>
        <w:right w:val="none" w:sz="0" w:space="0" w:color="auto"/>
      </w:divBdr>
    </w:div>
    <w:div w:id="1227912282">
      <w:bodyDiv w:val="1"/>
      <w:marLeft w:val="0"/>
      <w:marRight w:val="0"/>
      <w:marTop w:val="0"/>
      <w:marBottom w:val="0"/>
      <w:divBdr>
        <w:top w:val="none" w:sz="0" w:space="0" w:color="auto"/>
        <w:left w:val="none" w:sz="0" w:space="0" w:color="auto"/>
        <w:bottom w:val="none" w:sz="0" w:space="0" w:color="auto"/>
        <w:right w:val="none" w:sz="0" w:space="0" w:color="auto"/>
      </w:divBdr>
    </w:div>
    <w:div w:id="1228228596">
      <w:bodyDiv w:val="1"/>
      <w:marLeft w:val="0"/>
      <w:marRight w:val="0"/>
      <w:marTop w:val="0"/>
      <w:marBottom w:val="0"/>
      <w:divBdr>
        <w:top w:val="none" w:sz="0" w:space="0" w:color="auto"/>
        <w:left w:val="none" w:sz="0" w:space="0" w:color="auto"/>
        <w:bottom w:val="none" w:sz="0" w:space="0" w:color="auto"/>
        <w:right w:val="none" w:sz="0" w:space="0" w:color="auto"/>
      </w:divBdr>
    </w:div>
    <w:div w:id="1229460042">
      <w:bodyDiv w:val="1"/>
      <w:marLeft w:val="0"/>
      <w:marRight w:val="0"/>
      <w:marTop w:val="0"/>
      <w:marBottom w:val="0"/>
      <w:divBdr>
        <w:top w:val="none" w:sz="0" w:space="0" w:color="auto"/>
        <w:left w:val="none" w:sz="0" w:space="0" w:color="auto"/>
        <w:bottom w:val="none" w:sz="0" w:space="0" w:color="auto"/>
        <w:right w:val="none" w:sz="0" w:space="0" w:color="auto"/>
      </w:divBdr>
      <w:divsChild>
        <w:div w:id="910307560">
          <w:marLeft w:val="0"/>
          <w:marRight w:val="0"/>
          <w:marTop w:val="0"/>
          <w:marBottom w:val="0"/>
          <w:divBdr>
            <w:top w:val="none" w:sz="0" w:space="0" w:color="auto"/>
            <w:left w:val="none" w:sz="0" w:space="0" w:color="auto"/>
            <w:bottom w:val="none" w:sz="0" w:space="0" w:color="auto"/>
            <w:right w:val="none" w:sz="0" w:space="0" w:color="auto"/>
          </w:divBdr>
        </w:div>
      </w:divsChild>
    </w:div>
    <w:div w:id="1229462504">
      <w:bodyDiv w:val="1"/>
      <w:marLeft w:val="0"/>
      <w:marRight w:val="0"/>
      <w:marTop w:val="0"/>
      <w:marBottom w:val="0"/>
      <w:divBdr>
        <w:top w:val="none" w:sz="0" w:space="0" w:color="auto"/>
        <w:left w:val="none" w:sz="0" w:space="0" w:color="auto"/>
        <w:bottom w:val="none" w:sz="0" w:space="0" w:color="auto"/>
        <w:right w:val="none" w:sz="0" w:space="0" w:color="auto"/>
      </w:divBdr>
    </w:div>
    <w:div w:id="1229531757">
      <w:bodyDiv w:val="1"/>
      <w:marLeft w:val="0"/>
      <w:marRight w:val="0"/>
      <w:marTop w:val="0"/>
      <w:marBottom w:val="0"/>
      <w:divBdr>
        <w:top w:val="none" w:sz="0" w:space="0" w:color="auto"/>
        <w:left w:val="none" w:sz="0" w:space="0" w:color="auto"/>
        <w:bottom w:val="none" w:sz="0" w:space="0" w:color="auto"/>
        <w:right w:val="none" w:sz="0" w:space="0" w:color="auto"/>
      </w:divBdr>
    </w:div>
    <w:div w:id="1230262140">
      <w:bodyDiv w:val="1"/>
      <w:marLeft w:val="0"/>
      <w:marRight w:val="0"/>
      <w:marTop w:val="0"/>
      <w:marBottom w:val="0"/>
      <w:divBdr>
        <w:top w:val="none" w:sz="0" w:space="0" w:color="auto"/>
        <w:left w:val="none" w:sz="0" w:space="0" w:color="auto"/>
        <w:bottom w:val="none" w:sz="0" w:space="0" w:color="auto"/>
        <w:right w:val="none" w:sz="0" w:space="0" w:color="auto"/>
      </w:divBdr>
    </w:div>
    <w:div w:id="1231387286">
      <w:bodyDiv w:val="1"/>
      <w:marLeft w:val="0"/>
      <w:marRight w:val="0"/>
      <w:marTop w:val="0"/>
      <w:marBottom w:val="0"/>
      <w:divBdr>
        <w:top w:val="none" w:sz="0" w:space="0" w:color="auto"/>
        <w:left w:val="none" w:sz="0" w:space="0" w:color="auto"/>
        <w:bottom w:val="none" w:sz="0" w:space="0" w:color="auto"/>
        <w:right w:val="none" w:sz="0" w:space="0" w:color="auto"/>
      </w:divBdr>
    </w:div>
    <w:div w:id="1231430921">
      <w:bodyDiv w:val="1"/>
      <w:marLeft w:val="0"/>
      <w:marRight w:val="0"/>
      <w:marTop w:val="0"/>
      <w:marBottom w:val="0"/>
      <w:divBdr>
        <w:top w:val="none" w:sz="0" w:space="0" w:color="auto"/>
        <w:left w:val="none" w:sz="0" w:space="0" w:color="auto"/>
        <w:bottom w:val="none" w:sz="0" w:space="0" w:color="auto"/>
        <w:right w:val="none" w:sz="0" w:space="0" w:color="auto"/>
      </w:divBdr>
    </w:div>
    <w:div w:id="1231504142">
      <w:bodyDiv w:val="1"/>
      <w:marLeft w:val="0"/>
      <w:marRight w:val="0"/>
      <w:marTop w:val="0"/>
      <w:marBottom w:val="0"/>
      <w:divBdr>
        <w:top w:val="none" w:sz="0" w:space="0" w:color="auto"/>
        <w:left w:val="none" w:sz="0" w:space="0" w:color="auto"/>
        <w:bottom w:val="none" w:sz="0" w:space="0" w:color="auto"/>
        <w:right w:val="none" w:sz="0" w:space="0" w:color="auto"/>
      </w:divBdr>
    </w:div>
    <w:div w:id="1232156468">
      <w:bodyDiv w:val="1"/>
      <w:marLeft w:val="0"/>
      <w:marRight w:val="0"/>
      <w:marTop w:val="0"/>
      <w:marBottom w:val="0"/>
      <w:divBdr>
        <w:top w:val="none" w:sz="0" w:space="0" w:color="auto"/>
        <w:left w:val="none" w:sz="0" w:space="0" w:color="auto"/>
        <w:bottom w:val="none" w:sz="0" w:space="0" w:color="auto"/>
        <w:right w:val="none" w:sz="0" w:space="0" w:color="auto"/>
      </w:divBdr>
    </w:div>
    <w:div w:id="1233391126">
      <w:bodyDiv w:val="1"/>
      <w:marLeft w:val="0"/>
      <w:marRight w:val="0"/>
      <w:marTop w:val="0"/>
      <w:marBottom w:val="0"/>
      <w:divBdr>
        <w:top w:val="none" w:sz="0" w:space="0" w:color="auto"/>
        <w:left w:val="none" w:sz="0" w:space="0" w:color="auto"/>
        <w:bottom w:val="none" w:sz="0" w:space="0" w:color="auto"/>
        <w:right w:val="none" w:sz="0" w:space="0" w:color="auto"/>
      </w:divBdr>
    </w:div>
    <w:div w:id="1233463818">
      <w:bodyDiv w:val="1"/>
      <w:marLeft w:val="0"/>
      <w:marRight w:val="0"/>
      <w:marTop w:val="0"/>
      <w:marBottom w:val="0"/>
      <w:divBdr>
        <w:top w:val="none" w:sz="0" w:space="0" w:color="auto"/>
        <w:left w:val="none" w:sz="0" w:space="0" w:color="auto"/>
        <w:bottom w:val="none" w:sz="0" w:space="0" w:color="auto"/>
        <w:right w:val="none" w:sz="0" w:space="0" w:color="auto"/>
      </w:divBdr>
    </w:div>
    <w:div w:id="1233738387">
      <w:bodyDiv w:val="1"/>
      <w:marLeft w:val="0"/>
      <w:marRight w:val="0"/>
      <w:marTop w:val="0"/>
      <w:marBottom w:val="0"/>
      <w:divBdr>
        <w:top w:val="none" w:sz="0" w:space="0" w:color="auto"/>
        <w:left w:val="none" w:sz="0" w:space="0" w:color="auto"/>
        <w:bottom w:val="none" w:sz="0" w:space="0" w:color="auto"/>
        <w:right w:val="none" w:sz="0" w:space="0" w:color="auto"/>
      </w:divBdr>
    </w:div>
    <w:div w:id="1233931378">
      <w:bodyDiv w:val="1"/>
      <w:marLeft w:val="0"/>
      <w:marRight w:val="0"/>
      <w:marTop w:val="0"/>
      <w:marBottom w:val="0"/>
      <w:divBdr>
        <w:top w:val="none" w:sz="0" w:space="0" w:color="auto"/>
        <w:left w:val="none" w:sz="0" w:space="0" w:color="auto"/>
        <w:bottom w:val="none" w:sz="0" w:space="0" w:color="auto"/>
        <w:right w:val="none" w:sz="0" w:space="0" w:color="auto"/>
      </w:divBdr>
    </w:div>
    <w:div w:id="1234314773">
      <w:bodyDiv w:val="1"/>
      <w:marLeft w:val="0"/>
      <w:marRight w:val="0"/>
      <w:marTop w:val="0"/>
      <w:marBottom w:val="0"/>
      <w:divBdr>
        <w:top w:val="none" w:sz="0" w:space="0" w:color="auto"/>
        <w:left w:val="none" w:sz="0" w:space="0" w:color="auto"/>
        <w:bottom w:val="none" w:sz="0" w:space="0" w:color="auto"/>
        <w:right w:val="none" w:sz="0" w:space="0" w:color="auto"/>
      </w:divBdr>
    </w:div>
    <w:div w:id="1234589403">
      <w:bodyDiv w:val="1"/>
      <w:marLeft w:val="0"/>
      <w:marRight w:val="0"/>
      <w:marTop w:val="0"/>
      <w:marBottom w:val="0"/>
      <w:divBdr>
        <w:top w:val="none" w:sz="0" w:space="0" w:color="auto"/>
        <w:left w:val="none" w:sz="0" w:space="0" w:color="auto"/>
        <w:bottom w:val="none" w:sz="0" w:space="0" w:color="auto"/>
        <w:right w:val="none" w:sz="0" w:space="0" w:color="auto"/>
      </w:divBdr>
    </w:div>
    <w:div w:id="1234703448">
      <w:bodyDiv w:val="1"/>
      <w:marLeft w:val="0"/>
      <w:marRight w:val="0"/>
      <w:marTop w:val="0"/>
      <w:marBottom w:val="0"/>
      <w:divBdr>
        <w:top w:val="none" w:sz="0" w:space="0" w:color="auto"/>
        <w:left w:val="none" w:sz="0" w:space="0" w:color="auto"/>
        <w:bottom w:val="none" w:sz="0" w:space="0" w:color="auto"/>
        <w:right w:val="none" w:sz="0" w:space="0" w:color="auto"/>
      </w:divBdr>
    </w:div>
    <w:div w:id="1235117843">
      <w:bodyDiv w:val="1"/>
      <w:marLeft w:val="0"/>
      <w:marRight w:val="0"/>
      <w:marTop w:val="0"/>
      <w:marBottom w:val="0"/>
      <w:divBdr>
        <w:top w:val="none" w:sz="0" w:space="0" w:color="auto"/>
        <w:left w:val="none" w:sz="0" w:space="0" w:color="auto"/>
        <w:bottom w:val="none" w:sz="0" w:space="0" w:color="auto"/>
        <w:right w:val="none" w:sz="0" w:space="0" w:color="auto"/>
      </w:divBdr>
    </w:div>
    <w:div w:id="1235629827">
      <w:bodyDiv w:val="1"/>
      <w:marLeft w:val="0"/>
      <w:marRight w:val="0"/>
      <w:marTop w:val="0"/>
      <w:marBottom w:val="0"/>
      <w:divBdr>
        <w:top w:val="none" w:sz="0" w:space="0" w:color="auto"/>
        <w:left w:val="none" w:sz="0" w:space="0" w:color="auto"/>
        <w:bottom w:val="none" w:sz="0" w:space="0" w:color="auto"/>
        <w:right w:val="none" w:sz="0" w:space="0" w:color="auto"/>
      </w:divBdr>
    </w:div>
    <w:div w:id="1235972944">
      <w:bodyDiv w:val="1"/>
      <w:marLeft w:val="0"/>
      <w:marRight w:val="0"/>
      <w:marTop w:val="0"/>
      <w:marBottom w:val="0"/>
      <w:divBdr>
        <w:top w:val="none" w:sz="0" w:space="0" w:color="auto"/>
        <w:left w:val="none" w:sz="0" w:space="0" w:color="auto"/>
        <w:bottom w:val="none" w:sz="0" w:space="0" w:color="auto"/>
        <w:right w:val="none" w:sz="0" w:space="0" w:color="auto"/>
      </w:divBdr>
      <w:divsChild>
        <w:div w:id="1561482568">
          <w:marLeft w:val="0"/>
          <w:marRight w:val="0"/>
          <w:marTop w:val="0"/>
          <w:marBottom w:val="0"/>
          <w:divBdr>
            <w:top w:val="none" w:sz="0" w:space="0" w:color="auto"/>
            <w:left w:val="none" w:sz="0" w:space="0" w:color="auto"/>
            <w:bottom w:val="none" w:sz="0" w:space="0" w:color="auto"/>
            <w:right w:val="none" w:sz="0" w:space="0" w:color="auto"/>
          </w:divBdr>
        </w:div>
      </w:divsChild>
    </w:div>
    <w:div w:id="1236621686">
      <w:bodyDiv w:val="1"/>
      <w:marLeft w:val="0"/>
      <w:marRight w:val="0"/>
      <w:marTop w:val="0"/>
      <w:marBottom w:val="0"/>
      <w:divBdr>
        <w:top w:val="none" w:sz="0" w:space="0" w:color="auto"/>
        <w:left w:val="none" w:sz="0" w:space="0" w:color="auto"/>
        <w:bottom w:val="none" w:sz="0" w:space="0" w:color="auto"/>
        <w:right w:val="none" w:sz="0" w:space="0" w:color="auto"/>
      </w:divBdr>
    </w:div>
    <w:div w:id="1236743147">
      <w:bodyDiv w:val="1"/>
      <w:marLeft w:val="0"/>
      <w:marRight w:val="0"/>
      <w:marTop w:val="0"/>
      <w:marBottom w:val="0"/>
      <w:divBdr>
        <w:top w:val="none" w:sz="0" w:space="0" w:color="auto"/>
        <w:left w:val="none" w:sz="0" w:space="0" w:color="auto"/>
        <w:bottom w:val="none" w:sz="0" w:space="0" w:color="auto"/>
        <w:right w:val="none" w:sz="0" w:space="0" w:color="auto"/>
      </w:divBdr>
    </w:div>
    <w:div w:id="1237401559">
      <w:bodyDiv w:val="1"/>
      <w:marLeft w:val="0"/>
      <w:marRight w:val="0"/>
      <w:marTop w:val="0"/>
      <w:marBottom w:val="0"/>
      <w:divBdr>
        <w:top w:val="none" w:sz="0" w:space="0" w:color="auto"/>
        <w:left w:val="none" w:sz="0" w:space="0" w:color="auto"/>
        <w:bottom w:val="none" w:sz="0" w:space="0" w:color="auto"/>
        <w:right w:val="none" w:sz="0" w:space="0" w:color="auto"/>
      </w:divBdr>
    </w:div>
    <w:div w:id="1238126532">
      <w:bodyDiv w:val="1"/>
      <w:marLeft w:val="0"/>
      <w:marRight w:val="0"/>
      <w:marTop w:val="0"/>
      <w:marBottom w:val="0"/>
      <w:divBdr>
        <w:top w:val="none" w:sz="0" w:space="0" w:color="auto"/>
        <w:left w:val="none" w:sz="0" w:space="0" w:color="auto"/>
        <w:bottom w:val="none" w:sz="0" w:space="0" w:color="auto"/>
        <w:right w:val="none" w:sz="0" w:space="0" w:color="auto"/>
      </w:divBdr>
    </w:div>
    <w:div w:id="1238829035">
      <w:bodyDiv w:val="1"/>
      <w:marLeft w:val="0"/>
      <w:marRight w:val="0"/>
      <w:marTop w:val="0"/>
      <w:marBottom w:val="0"/>
      <w:divBdr>
        <w:top w:val="none" w:sz="0" w:space="0" w:color="auto"/>
        <w:left w:val="none" w:sz="0" w:space="0" w:color="auto"/>
        <w:bottom w:val="none" w:sz="0" w:space="0" w:color="auto"/>
        <w:right w:val="none" w:sz="0" w:space="0" w:color="auto"/>
      </w:divBdr>
    </w:div>
    <w:div w:id="1239098294">
      <w:bodyDiv w:val="1"/>
      <w:marLeft w:val="0"/>
      <w:marRight w:val="0"/>
      <w:marTop w:val="0"/>
      <w:marBottom w:val="0"/>
      <w:divBdr>
        <w:top w:val="none" w:sz="0" w:space="0" w:color="auto"/>
        <w:left w:val="none" w:sz="0" w:space="0" w:color="auto"/>
        <w:bottom w:val="none" w:sz="0" w:space="0" w:color="auto"/>
        <w:right w:val="none" w:sz="0" w:space="0" w:color="auto"/>
      </w:divBdr>
      <w:divsChild>
        <w:div w:id="544223934">
          <w:marLeft w:val="0"/>
          <w:marRight w:val="0"/>
          <w:marTop w:val="0"/>
          <w:marBottom w:val="0"/>
          <w:divBdr>
            <w:top w:val="none" w:sz="0" w:space="0" w:color="auto"/>
            <w:left w:val="none" w:sz="0" w:space="0" w:color="auto"/>
            <w:bottom w:val="none" w:sz="0" w:space="0" w:color="auto"/>
            <w:right w:val="none" w:sz="0" w:space="0" w:color="auto"/>
          </w:divBdr>
        </w:div>
      </w:divsChild>
    </w:div>
    <w:div w:id="1239248803">
      <w:bodyDiv w:val="1"/>
      <w:marLeft w:val="0"/>
      <w:marRight w:val="0"/>
      <w:marTop w:val="0"/>
      <w:marBottom w:val="0"/>
      <w:divBdr>
        <w:top w:val="none" w:sz="0" w:space="0" w:color="auto"/>
        <w:left w:val="none" w:sz="0" w:space="0" w:color="auto"/>
        <w:bottom w:val="none" w:sz="0" w:space="0" w:color="auto"/>
        <w:right w:val="none" w:sz="0" w:space="0" w:color="auto"/>
      </w:divBdr>
    </w:div>
    <w:div w:id="1240017523">
      <w:bodyDiv w:val="1"/>
      <w:marLeft w:val="0"/>
      <w:marRight w:val="0"/>
      <w:marTop w:val="0"/>
      <w:marBottom w:val="0"/>
      <w:divBdr>
        <w:top w:val="none" w:sz="0" w:space="0" w:color="auto"/>
        <w:left w:val="none" w:sz="0" w:space="0" w:color="auto"/>
        <w:bottom w:val="none" w:sz="0" w:space="0" w:color="auto"/>
        <w:right w:val="none" w:sz="0" w:space="0" w:color="auto"/>
      </w:divBdr>
    </w:div>
    <w:div w:id="1240678537">
      <w:bodyDiv w:val="1"/>
      <w:marLeft w:val="0"/>
      <w:marRight w:val="0"/>
      <w:marTop w:val="0"/>
      <w:marBottom w:val="0"/>
      <w:divBdr>
        <w:top w:val="none" w:sz="0" w:space="0" w:color="auto"/>
        <w:left w:val="none" w:sz="0" w:space="0" w:color="auto"/>
        <w:bottom w:val="none" w:sz="0" w:space="0" w:color="auto"/>
        <w:right w:val="none" w:sz="0" w:space="0" w:color="auto"/>
      </w:divBdr>
    </w:div>
    <w:div w:id="1240870346">
      <w:bodyDiv w:val="1"/>
      <w:marLeft w:val="0"/>
      <w:marRight w:val="0"/>
      <w:marTop w:val="0"/>
      <w:marBottom w:val="0"/>
      <w:divBdr>
        <w:top w:val="none" w:sz="0" w:space="0" w:color="auto"/>
        <w:left w:val="none" w:sz="0" w:space="0" w:color="auto"/>
        <w:bottom w:val="none" w:sz="0" w:space="0" w:color="auto"/>
        <w:right w:val="none" w:sz="0" w:space="0" w:color="auto"/>
      </w:divBdr>
    </w:div>
    <w:div w:id="1242565960">
      <w:bodyDiv w:val="1"/>
      <w:marLeft w:val="0"/>
      <w:marRight w:val="0"/>
      <w:marTop w:val="0"/>
      <w:marBottom w:val="0"/>
      <w:divBdr>
        <w:top w:val="none" w:sz="0" w:space="0" w:color="auto"/>
        <w:left w:val="none" w:sz="0" w:space="0" w:color="auto"/>
        <w:bottom w:val="none" w:sz="0" w:space="0" w:color="auto"/>
        <w:right w:val="none" w:sz="0" w:space="0" w:color="auto"/>
      </w:divBdr>
    </w:div>
    <w:div w:id="1243029426">
      <w:bodyDiv w:val="1"/>
      <w:marLeft w:val="0"/>
      <w:marRight w:val="0"/>
      <w:marTop w:val="0"/>
      <w:marBottom w:val="0"/>
      <w:divBdr>
        <w:top w:val="none" w:sz="0" w:space="0" w:color="auto"/>
        <w:left w:val="none" w:sz="0" w:space="0" w:color="auto"/>
        <w:bottom w:val="none" w:sz="0" w:space="0" w:color="auto"/>
        <w:right w:val="none" w:sz="0" w:space="0" w:color="auto"/>
      </w:divBdr>
    </w:div>
    <w:div w:id="1243299495">
      <w:bodyDiv w:val="1"/>
      <w:marLeft w:val="0"/>
      <w:marRight w:val="0"/>
      <w:marTop w:val="0"/>
      <w:marBottom w:val="0"/>
      <w:divBdr>
        <w:top w:val="none" w:sz="0" w:space="0" w:color="auto"/>
        <w:left w:val="none" w:sz="0" w:space="0" w:color="auto"/>
        <w:bottom w:val="none" w:sz="0" w:space="0" w:color="auto"/>
        <w:right w:val="none" w:sz="0" w:space="0" w:color="auto"/>
      </w:divBdr>
    </w:div>
    <w:div w:id="1244099794">
      <w:bodyDiv w:val="1"/>
      <w:marLeft w:val="0"/>
      <w:marRight w:val="0"/>
      <w:marTop w:val="0"/>
      <w:marBottom w:val="0"/>
      <w:divBdr>
        <w:top w:val="none" w:sz="0" w:space="0" w:color="auto"/>
        <w:left w:val="none" w:sz="0" w:space="0" w:color="auto"/>
        <w:bottom w:val="none" w:sz="0" w:space="0" w:color="auto"/>
        <w:right w:val="none" w:sz="0" w:space="0" w:color="auto"/>
      </w:divBdr>
    </w:div>
    <w:div w:id="1244876596">
      <w:bodyDiv w:val="1"/>
      <w:marLeft w:val="0"/>
      <w:marRight w:val="0"/>
      <w:marTop w:val="0"/>
      <w:marBottom w:val="0"/>
      <w:divBdr>
        <w:top w:val="none" w:sz="0" w:space="0" w:color="auto"/>
        <w:left w:val="none" w:sz="0" w:space="0" w:color="auto"/>
        <w:bottom w:val="none" w:sz="0" w:space="0" w:color="auto"/>
        <w:right w:val="none" w:sz="0" w:space="0" w:color="auto"/>
      </w:divBdr>
    </w:div>
    <w:div w:id="1245144213">
      <w:bodyDiv w:val="1"/>
      <w:marLeft w:val="0"/>
      <w:marRight w:val="0"/>
      <w:marTop w:val="0"/>
      <w:marBottom w:val="0"/>
      <w:divBdr>
        <w:top w:val="none" w:sz="0" w:space="0" w:color="auto"/>
        <w:left w:val="none" w:sz="0" w:space="0" w:color="auto"/>
        <w:bottom w:val="none" w:sz="0" w:space="0" w:color="auto"/>
        <w:right w:val="none" w:sz="0" w:space="0" w:color="auto"/>
      </w:divBdr>
    </w:div>
    <w:div w:id="1245409468">
      <w:bodyDiv w:val="1"/>
      <w:marLeft w:val="0"/>
      <w:marRight w:val="0"/>
      <w:marTop w:val="0"/>
      <w:marBottom w:val="0"/>
      <w:divBdr>
        <w:top w:val="none" w:sz="0" w:space="0" w:color="auto"/>
        <w:left w:val="none" w:sz="0" w:space="0" w:color="auto"/>
        <w:bottom w:val="none" w:sz="0" w:space="0" w:color="auto"/>
        <w:right w:val="none" w:sz="0" w:space="0" w:color="auto"/>
      </w:divBdr>
    </w:div>
    <w:div w:id="1246063410">
      <w:bodyDiv w:val="1"/>
      <w:marLeft w:val="0"/>
      <w:marRight w:val="0"/>
      <w:marTop w:val="0"/>
      <w:marBottom w:val="0"/>
      <w:divBdr>
        <w:top w:val="none" w:sz="0" w:space="0" w:color="auto"/>
        <w:left w:val="none" w:sz="0" w:space="0" w:color="auto"/>
        <w:bottom w:val="none" w:sz="0" w:space="0" w:color="auto"/>
        <w:right w:val="none" w:sz="0" w:space="0" w:color="auto"/>
      </w:divBdr>
    </w:div>
    <w:div w:id="1246299185">
      <w:bodyDiv w:val="1"/>
      <w:marLeft w:val="0"/>
      <w:marRight w:val="0"/>
      <w:marTop w:val="0"/>
      <w:marBottom w:val="0"/>
      <w:divBdr>
        <w:top w:val="none" w:sz="0" w:space="0" w:color="auto"/>
        <w:left w:val="none" w:sz="0" w:space="0" w:color="auto"/>
        <w:bottom w:val="none" w:sz="0" w:space="0" w:color="auto"/>
        <w:right w:val="none" w:sz="0" w:space="0" w:color="auto"/>
      </w:divBdr>
    </w:div>
    <w:div w:id="1246383399">
      <w:bodyDiv w:val="1"/>
      <w:marLeft w:val="0"/>
      <w:marRight w:val="0"/>
      <w:marTop w:val="0"/>
      <w:marBottom w:val="0"/>
      <w:divBdr>
        <w:top w:val="none" w:sz="0" w:space="0" w:color="auto"/>
        <w:left w:val="none" w:sz="0" w:space="0" w:color="auto"/>
        <w:bottom w:val="none" w:sz="0" w:space="0" w:color="auto"/>
        <w:right w:val="none" w:sz="0" w:space="0" w:color="auto"/>
      </w:divBdr>
    </w:div>
    <w:div w:id="1248030704">
      <w:bodyDiv w:val="1"/>
      <w:marLeft w:val="0"/>
      <w:marRight w:val="0"/>
      <w:marTop w:val="0"/>
      <w:marBottom w:val="0"/>
      <w:divBdr>
        <w:top w:val="none" w:sz="0" w:space="0" w:color="auto"/>
        <w:left w:val="none" w:sz="0" w:space="0" w:color="auto"/>
        <w:bottom w:val="none" w:sz="0" w:space="0" w:color="auto"/>
        <w:right w:val="none" w:sz="0" w:space="0" w:color="auto"/>
      </w:divBdr>
    </w:div>
    <w:div w:id="1249123258">
      <w:bodyDiv w:val="1"/>
      <w:marLeft w:val="0"/>
      <w:marRight w:val="0"/>
      <w:marTop w:val="0"/>
      <w:marBottom w:val="0"/>
      <w:divBdr>
        <w:top w:val="none" w:sz="0" w:space="0" w:color="auto"/>
        <w:left w:val="none" w:sz="0" w:space="0" w:color="auto"/>
        <w:bottom w:val="none" w:sz="0" w:space="0" w:color="auto"/>
        <w:right w:val="none" w:sz="0" w:space="0" w:color="auto"/>
      </w:divBdr>
    </w:div>
    <w:div w:id="1249391440">
      <w:bodyDiv w:val="1"/>
      <w:marLeft w:val="0"/>
      <w:marRight w:val="0"/>
      <w:marTop w:val="0"/>
      <w:marBottom w:val="0"/>
      <w:divBdr>
        <w:top w:val="none" w:sz="0" w:space="0" w:color="auto"/>
        <w:left w:val="none" w:sz="0" w:space="0" w:color="auto"/>
        <w:bottom w:val="none" w:sz="0" w:space="0" w:color="auto"/>
        <w:right w:val="none" w:sz="0" w:space="0" w:color="auto"/>
      </w:divBdr>
    </w:div>
    <w:div w:id="1249852263">
      <w:bodyDiv w:val="1"/>
      <w:marLeft w:val="0"/>
      <w:marRight w:val="0"/>
      <w:marTop w:val="0"/>
      <w:marBottom w:val="0"/>
      <w:divBdr>
        <w:top w:val="none" w:sz="0" w:space="0" w:color="auto"/>
        <w:left w:val="none" w:sz="0" w:space="0" w:color="auto"/>
        <w:bottom w:val="none" w:sz="0" w:space="0" w:color="auto"/>
        <w:right w:val="none" w:sz="0" w:space="0" w:color="auto"/>
      </w:divBdr>
    </w:div>
    <w:div w:id="1250238780">
      <w:bodyDiv w:val="1"/>
      <w:marLeft w:val="0"/>
      <w:marRight w:val="0"/>
      <w:marTop w:val="0"/>
      <w:marBottom w:val="0"/>
      <w:divBdr>
        <w:top w:val="none" w:sz="0" w:space="0" w:color="auto"/>
        <w:left w:val="none" w:sz="0" w:space="0" w:color="auto"/>
        <w:bottom w:val="none" w:sz="0" w:space="0" w:color="auto"/>
        <w:right w:val="none" w:sz="0" w:space="0" w:color="auto"/>
      </w:divBdr>
    </w:div>
    <w:div w:id="1250309035">
      <w:bodyDiv w:val="1"/>
      <w:marLeft w:val="0"/>
      <w:marRight w:val="0"/>
      <w:marTop w:val="0"/>
      <w:marBottom w:val="0"/>
      <w:divBdr>
        <w:top w:val="none" w:sz="0" w:space="0" w:color="auto"/>
        <w:left w:val="none" w:sz="0" w:space="0" w:color="auto"/>
        <w:bottom w:val="none" w:sz="0" w:space="0" w:color="auto"/>
        <w:right w:val="none" w:sz="0" w:space="0" w:color="auto"/>
      </w:divBdr>
    </w:div>
    <w:div w:id="1250575473">
      <w:bodyDiv w:val="1"/>
      <w:marLeft w:val="0"/>
      <w:marRight w:val="0"/>
      <w:marTop w:val="0"/>
      <w:marBottom w:val="0"/>
      <w:divBdr>
        <w:top w:val="none" w:sz="0" w:space="0" w:color="auto"/>
        <w:left w:val="none" w:sz="0" w:space="0" w:color="auto"/>
        <w:bottom w:val="none" w:sz="0" w:space="0" w:color="auto"/>
        <w:right w:val="none" w:sz="0" w:space="0" w:color="auto"/>
      </w:divBdr>
    </w:div>
    <w:div w:id="1250623551">
      <w:bodyDiv w:val="1"/>
      <w:marLeft w:val="0"/>
      <w:marRight w:val="0"/>
      <w:marTop w:val="0"/>
      <w:marBottom w:val="0"/>
      <w:divBdr>
        <w:top w:val="none" w:sz="0" w:space="0" w:color="auto"/>
        <w:left w:val="none" w:sz="0" w:space="0" w:color="auto"/>
        <w:bottom w:val="none" w:sz="0" w:space="0" w:color="auto"/>
        <w:right w:val="none" w:sz="0" w:space="0" w:color="auto"/>
      </w:divBdr>
    </w:div>
    <w:div w:id="1252348387">
      <w:bodyDiv w:val="1"/>
      <w:marLeft w:val="0"/>
      <w:marRight w:val="0"/>
      <w:marTop w:val="0"/>
      <w:marBottom w:val="0"/>
      <w:divBdr>
        <w:top w:val="none" w:sz="0" w:space="0" w:color="auto"/>
        <w:left w:val="none" w:sz="0" w:space="0" w:color="auto"/>
        <w:bottom w:val="none" w:sz="0" w:space="0" w:color="auto"/>
        <w:right w:val="none" w:sz="0" w:space="0" w:color="auto"/>
      </w:divBdr>
    </w:div>
    <w:div w:id="1252742805">
      <w:bodyDiv w:val="1"/>
      <w:marLeft w:val="0"/>
      <w:marRight w:val="0"/>
      <w:marTop w:val="0"/>
      <w:marBottom w:val="0"/>
      <w:divBdr>
        <w:top w:val="none" w:sz="0" w:space="0" w:color="auto"/>
        <w:left w:val="none" w:sz="0" w:space="0" w:color="auto"/>
        <w:bottom w:val="none" w:sz="0" w:space="0" w:color="auto"/>
        <w:right w:val="none" w:sz="0" w:space="0" w:color="auto"/>
      </w:divBdr>
    </w:div>
    <w:div w:id="1252931452">
      <w:bodyDiv w:val="1"/>
      <w:marLeft w:val="0"/>
      <w:marRight w:val="0"/>
      <w:marTop w:val="0"/>
      <w:marBottom w:val="0"/>
      <w:divBdr>
        <w:top w:val="none" w:sz="0" w:space="0" w:color="auto"/>
        <w:left w:val="none" w:sz="0" w:space="0" w:color="auto"/>
        <w:bottom w:val="none" w:sz="0" w:space="0" w:color="auto"/>
        <w:right w:val="none" w:sz="0" w:space="0" w:color="auto"/>
      </w:divBdr>
    </w:div>
    <w:div w:id="1254162936">
      <w:bodyDiv w:val="1"/>
      <w:marLeft w:val="0"/>
      <w:marRight w:val="0"/>
      <w:marTop w:val="0"/>
      <w:marBottom w:val="0"/>
      <w:divBdr>
        <w:top w:val="none" w:sz="0" w:space="0" w:color="auto"/>
        <w:left w:val="none" w:sz="0" w:space="0" w:color="auto"/>
        <w:bottom w:val="none" w:sz="0" w:space="0" w:color="auto"/>
        <w:right w:val="none" w:sz="0" w:space="0" w:color="auto"/>
      </w:divBdr>
    </w:div>
    <w:div w:id="1254709228">
      <w:bodyDiv w:val="1"/>
      <w:marLeft w:val="0"/>
      <w:marRight w:val="0"/>
      <w:marTop w:val="0"/>
      <w:marBottom w:val="0"/>
      <w:divBdr>
        <w:top w:val="none" w:sz="0" w:space="0" w:color="auto"/>
        <w:left w:val="none" w:sz="0" w:space="0" w:color="auto"/>
        <w:bottom w:val="none" w:sz="0" w:space="0" w:color="auto"/>
        <w:right w:val="none" w:sz="0" w:space="0" w:color="auto"/>
      </w:divBdr>
    </w:div>
    <w:div w:id="1255238377">
      <w:bodyDiv w:val="1"/>
      <w:marLeft w:val="0"/>
      <w:marRight w:val="0"/>
      <w:marTop w:val="0"/>
      <w:marBottom w:val="0"/>
      <w:divBdr>
        <w:top w:val="none" w:sz="0" w:space="0" w:color="auto"/>
        <w:left w:val="none" w:sz="0" w:space="0" w:color="auto"/>
        <w:bottom w:val="none" w:sz="0" w:space="0" w:color="auto"/>
        <w:right w:val="none" w:sz="0" w:space="0" w:color="auto"/>
      </w:divBdr>
    </w:div>
    <w:div w:id="1256548565">
      <w:bodyDiv w:val="1"/>
      <w:marLeft w:val="0"/>
      <w:marRight w:val="0"/>
      <w:marTop w:val="0"/>
      <w:marBottom w:val="0"/>
      <w:divBdr>
        <w:top w:val="none" w:sz="0" w:space="0" w:color="auto"/>
        <w:left w:val="none" w:sz="0" w:space="0" w:color="auto"/>
        <w:bottom w:val="none" w:sz="0" w:space="0" w:color="auto"/>
        <w:right w:val="none" w:sz="0" w:space="0" w:color="auto"/>
      </w:divBdr>
    </w:div>
    <w:div w:id="1256791921">
      <w:bodyDiv w:val="1"/>
      <w:marLeft w:val="0"/>
      <w:marRight w:val="0"/>
      <w:marTop w:val="0"/>
      <w:marBottom w:val="0"/>
      <w:divBdr>
        <w:top w:val="none" w:sz="0" w:space="0" w:color="auto"/>
        <w:left w:val="none" w:sz="0" w:space="0" w:color="auto"/>
        <w:bottom w:val="none" w:sz="0" w:space="0" w:color="auto"/>
        <w:right w:val="none" w:sz="0" w:space="0" w:color="auto"/>
      </w:divBdr>
    </w:div>
    <w:div w:id="1256938737">
      <w:bodyDiv w:val="1"/>
      <w:marLeft w:val="0"/>
      <w:marRight w:val="0"/>
      <w:marTop w:val="0"/>
      <w:marBottom w:val="0"/>
      <w:divBdr>
        <w:top w:val="none" w:sz="0" w:space="0" w:color="auto"/>
        <w:left w:val="none" w:sz="0" w:space="0" w:color="auto"/>
        <w:bottom w:val="none" w:sz="0" w:space="0" w:color="auto"/>
        <w:right w:val="none" w:sz="0" w:space="0" w:color="auto"/>
      </w:divBdr>
    </w:div>
    <w:div w:id="1257980313">
      <w:bodyDiv w:val="1"/>
      <w:marLeft w:val="0"/>
      <w:marRight w:val="0"/>
      <w:marTop w:val="0"/>
      <w:marBottom w:val="0"/>
      <w:divBdr>
        <w:top w:val="none" w:sz="0" w:space="0" w:color="auto"/>
        <w:left w:val="none" w:sz="0" w:space="0" w:color="auto"/>
        <w:bottom w:val="none" w:sz="0" w:space="0" w:color="auto"/>
        <w:right w:val="none" w:sz="0" w:space="0" w:color="auto"/>
      </w:divBdr>
    </w:div>
    <w:div w:id="1258437983">
      <w:bodyDiv w:val="1"/>
      <w:marLeft w:val="0"/>
      <w:marRight w:val="0"/>
      <w:marTop w:val="0"/>
      <w:marBottom w:val="0"/>
      <w:divBdr>
        <w:top w:val="none" w:sz="0" w:space="0" w:color="auto"/>
        <w:left w:val="none" w:sz="0" w:space="0" w:color="auto"/>
        <w:bottom w:val="none" w:sz="0" w:space="0" w:color="auto"/>
        <w:right w:val="none" w:sz="0" w:space="0" w:color="auto"/>
      </w:divBdr>
    </w:div>
    <w:div w:id="1259101947">
      <w:bodyDiv w:val="1"/>
      <w:marLeft w:val="0"/>
      <w:marRight w:val="0"/>
      <w:marTop w:val="0"/>
      <w:marBottom w:val="0"/>
      <w:divBdr>
        <w:top w:val="none" w:sz="0" w:space="0" w:color="auto"/>
        <w:left w:val="none" w:sz="0" w:space="0" w:color="auto"/>
        <w:bottom w:val="none" w:sz="0" w:space="0" w:color="auto"/>
        <w:right w:val="none" w:sz="0" w:space="0" w:color="auto"/>
      </w:divBdr>
    </w:div>
    <w:div w:id="1261644604">
      <w:bodyDiv w:val="1"/>
      <w:marLeft w:val="0"/>
      <w:marRight w:val="0"/>
      <w:marTop w:val="0"/>
      <w:marBottom w:val="0"/>
      <w:divBdr>
        <w:top w:val="none" w:sz="0" w:space="0" w:color="auto"/>
        <w:left w:val="none" w:sz="0" w:space="0" w:color="auto"/>
        <w:bottom w:val="none" w:sz="0" w:space="0" w:color="auto"/>
        <w:right w:val="none" w:sz="0" w:space="0" w:color="auto"/>
      </w:divBdr>
    </w:div>
    <w:div w:id="1261913447">
      <w:bodyDiv w:val="1"/>
      <w:marLeft w:val="0"/>
      <w:marRight w:val="0"/>
      <w:marTop w:val="0"/>
      <w:marBottom w:val="0"/>
      <w:divBdr>
        <w:top w:val="none" w:sz="0" w:space="0" w:color="auto"/>
        <w:left w:val="none" w:sz="0" w:space="0" w:color="auto"/>
        <w:bottom w:val="none" w:sz="0" w:space="0" w:color="auto"/>
        <w:right w:val="none" w:sz="0" w:space="0" w:color="auto"/>
      </w:divBdr>
      <w:divsChild>
        <w:div w:id="136724103">
          <w:marLeft w:val="0"/>
          <w:marRight w:val="0"/>
          <w:marTop w:val="0"/>
          <w:marBottom w:val="0"/>
          <w:divBdr>
            <w:top w:val="none" w:sz="0" w:space="0" w:color="auto"/>
            <w:left w:val="none" w:sz="0" w:space="0" w:color="auto"/>
            <w:bottom w:val="none" w:sz="0" w:space="0" w:color="auto"/>
            <w:right w:val="none" w:sz="0" w:space="0" w:color="auto"/>
          </w:divBdr>
        </w:div>
      </w:divsChild>
    </w:div>
    <w:div w:id="1262180360">
      <w:bodyDiv w:val="1"/>
      <w:marLeft w:val="0"/>
      <w:marRight w:val="0"/>
      <w:marTop w:val="0"/>
      <w:marBottom w:val="0"/>
      <w:divBdr>
        <w:top w:val="none" w:sz="0" w:space="0" w:color="auto"/>
        <w:left w:val="none" w:sz="0" w:space="0" w:color="auto"/>
        <w:bottom w:val="none" w:sz="0" w:space="0" w:color="auto"/>
        <w:right w:val="none" w:sz="0" w:space="0" w:color="auto"/>
      </w:divBdr>
    </w:div>
    <w:div w:id="1263413678">
      <w:bodyDiv w:val="1"/>
      <w:marLeft w:val="0"/>
      <w:marRight w:val="0"/>
      <w:marTop w:val="0"/>
      <w:marBottom w:val="0"/>
      <w:divBdr>
        <w:top w:val="none" w:sz="0" w:space="0" w:color="auto"/>
        <w:left w:val="none" w:sz="0" w:space="0" w:color="auto"/>
        <w:bottom w:val="none" w:sz="0" w:space="0" w:color="auto"/>
        <w:right w:val="none" w:sz="0" w:space="0" w:color="auto"/>
      </w:divBdr>
    </w:div>
    <w:div w:id="1263881585">
      <w:bodyDiv w:val="1"/>
      <w:marLeft w:val="0"/>
      <w:marRight w:val="0"/>
      <w:marTop w:val="0"/>
      <w:marBottom w:val="0"/>
      <w:divBdr>
        <w:top w:val="none" w:sz="0" w:space="0" w:color="auto"/>
        <w:left w:val="none" w:sz="0" w:space="0" w:color="auto"/>
        <w:bottom w:val="none" w:sz="0" w:space="0" w:color="auto"/>
        <w:right w:val="none" w:sz="0" w:space="0" w:color="auto"/>
      </w:divBdr>
    </w:div>
    <w:div w:id="1263952691">
      <w:bodyDiv w:val="1"/>
      <w:marLeft w:val="0"/>
      <w:marRight w:val="0"/>
      <w:marTop w:val="0"/>
      <w:marBottom w:val="0"/>
      <w:divBdr>
        <w:top w:val="none" w:sz="0" w:space="0" w:color="auto"/>
        <w:left w:val="none" w:sz="0" w:space="0" w:color="auto"/>
        <w:bottom w:val="none" w:sz="0" w:space="0" w:color="auto"/>
        <w:right w:val="none" w:sz="0" w:space="0" w:color="auto"/>
      </w:divBdr>
    </w:div>
    <w:div w:id="1264218062">
      <w:bodyDiv w:val="1"/>
      <w:marLeft w:val="0"/>
      <w:marRight w:val="0"/>
      <w:marTop w:val="0"/>
      <w:marBottom w:val="0"/>
      <w:divBdr>
        <w:top w:val="none" w:sz="0" w:space="0" w:color="auto"/>
        <w:left w:val="none" w:sz="0" w:space="0" w:color="auto"/>
        <w:bottom w:val="none" w:sz="0" w:space="0" w:color="auto"/>
        <w:right w:val="none" w:sz="0" w:space="0" w:color="auto"/>
      </w:divBdr>
    </w:div>
    <w:div w:id="1264457148">
      <w:bodyDiv w:val="1"/>
      <w:marLeft w:val="0"/>
      <w:marRight w:val="0"/>
      <w:marTop w:val="0"/>
      <w:marBottom w:val="0"/>
      <w:divBdr>
        <w:top w:val="none" w:sz="0" w:space="0" w:color="auto"/>
        <w:left w:val="none" w:sz="0" w:space="0" w:color="auto"/>
        <w:bottom w:val="none" w:sz="0" w:space="0" w:color="auto"/>
        <w:right w:val="none" w:sz="0" w:space="0" w:color="auto"/>
      </w:divBdr>
    </w:div>
    <w:div w:id="1264921871">
      <w:bodyDiv w:val="1"/>
      <w:marLeft w:val="0"/>
      <w:marRight w:val="0"/>
      <w:marTop w:val="0"/>
      <w:marBottom w:val="0"/>
      <w:divBdr>
        <w:top w:val="none" w:sz="0" w:space="0" w:color="auto"/>
        <w:left w:val="none" w:sz="0" w:space="0" w:color="auto"/>
        <w:bottom w:val="none" w:sz="0" w:space="0" w:color="auto"/>
        <w:right w:val="none" w:sz="0" w:space="0" w:color="auto"/>
      </w:divBdr>
    </w:div>
    <w:div w:id="1266304739">
      <w:bodyDiv w:val="1"/>
      <w:marLeft w:val="0"/>
      <w:marRight w:val="0"/>
      <w:marTop w:val="0"/>
      <w:marBottom w:val="0"/>
      <w:divBdr>
        <w:top w:val="none" w:sz="0" w:space="0" w:color="auto"/>
        <w:left w:val="none" w:sz="0" w:space="0" w:color="auto"/>
        <w:bottom w:val="none" w:sz="0" w:space="0" w:color="auto"/>
        <w:right w:val="none" w:sz="0" w:space="0" w:color="auto"/>
      </w:divBdr>
    </w:div>
    <w:div w:id="1266307255">
      <w:bodyDiv w:val="1"/>
      <w:marLeft w:val="0"/>
      <w:marRight w:val="0"/>
      <w:marTop w:val="0"/>
      <w:marBottom w:val="0"/>
      <w:divBdr>
        <w:top w:val="none" w:sz="0" w:space="0" w:color="auto"/>
        <w:left w:val="none" w:sz="0" w:space="0" w:color="auto"/>
        <w:bottom w:val="none" w:sz="0" w:space="0" w:color="auto"/>
        <w:right w:val="none" w:sz="0" w:space="0" w:color="auto"/>
      </w:divBdr>
    </w:div>
    <w:div w:id="1266958928">
      <w:bodyDiv w:val="1"/>
      <w:marLeft w:val="0"/>
      <w:marRight w:val="0"/>
      <w:marTop w:val="0"/>
      <w:marBottom w:val="0"/>
      <w:divBdr>
        <w:top w:val="none" w:sz="0" w:space="0" w:color="auto"/>
        <w:left w:val="none" w:sz="0" w:space="0" w:color="auto"/>
        <w:bottom w:val="none" w:sz="0" w:space="0" w:color="auto"/>
        <w:right w:val="none" w:sz="0" w:space="0" w:color="auto"/>
      </w:divBdr>
    </w:div>
    <w:div w:id="1267350276">
      <w:bodyDiv w:val="1"/>
      <w:marLeft w:val="0"/>
      <w:marRight w:val="0"/>
      <w:marTop w:val="0"/>
      <w:marBottom w:val="0"/>
      <w:divBdr>
        <w:top w:val="none" w:sz="0" w:space="0" w:color="auto"/>
        <w:left w:val="none" w:sz="0" w:space="0" w:color="auto"/>
        <w:bottom w:val="none" w:sz="0" w:space="0" w:color="auto"/>
        <w:right w:val="none" w:sz="0" w:space="0" w:color="auto"/>
      </w:divBdr>
    </w:div>
    <w:div w:id="1267617613">
      <w:bodyDiv w:val="1"/>
      <w:marLeft w:val="0"/>
      <w:marRight w:val="0"/>
      <w:marTop w:val="0"/>
      <w:marBottom w:val="0"/>
      <w:divBdr>
        <w:top w:val="none" w:sz="0" w:space="0" w:color="auto"/>
        <w:left w:val="none" w:sz="0" w:space="0" w:color="auto"/>
        <w:bottom w:val="none" w:sz="0" w:space="0" w:color="auto"/>
        <w:right w:val="none" w:sz="0" w:space="0" w:color="auto"/>
      </w:divBdr>
    </w:div>
    <w:div w:id="1269005642">
      <w:bodyDiv w:val="1"/>
      <w:marLeft w:val="0"/>
      <w:marRight w:val="0"/>
      <w:marTop w:val="0"/>
      <w:marBottom w:val="0"/>
      <w:divBdr>
        <w:top w:val="none" w:sz="0" w:space="0" w:color="auto"/>
        <w:left w:val="none" w:sz="0" w:space="0" w:color="auto"/>
        <w:bottom w:val="none" w:sz="0" w:space="0" w:color="auto"/>
        <w:right w:val="none" w:sz="0" w:space="0" w:color="auto"/>
      </w:divBdr>
    </w:div>
    <w:div w:id="1269659612">
      <w:bodyDiv w:val="1"/>
      <w:marLeft w:val="0"/>
      <w:marRight w:val="0"/>
      <w:marTop w:val="0"/>
      <w:marBottom w:val="0"/>
      <w:divBdr>
        <w:top w:val="none" w:sz="0" w:space="0" w:color="auto"/>
        <w:left w:val="none" w:sz="0" w:space="0" w:color="auto"/>
        <w:bottom w:val="none" w:sz="0" w:space="0" w:color="auto"/>
        <w:right w:val="none" w:sz="0" w:space="0" w:color="auto"/>
      </w:divBdr>
    </w:div>
    <w:div w:id="1270311670">
      <w:bodyDiv w:val="1"/>
      <w:marLeft w:val="0"/>
      <w:marRight w:val="0"/>
      <w:marTop w:val="0"/>
      <w:marBottom w:val="0"/>
      <w:divBdr>
        <w:top w:val="none" w:sz="0" w:space="0" w:color="auto"/>
        <w:left w:val="none" w:sz="0" w:space="0" w:color="auto"/>
        <w:bottom w:val="none" w:sz="0" w:space="0" w:color="auto"/>
        <w:right w:val="none" w:sz="0" w:space="0" w:color="auto"/>
      </w:divBdr>
    </w:div>
    <w:div w:id="1270624957">
      <w:bodyDiv w:val="1"/>
      <w:marLeft w:val="0"/>
      <w:marRight w:val="0"/>
      <w:marTop w:val="0"/>
      <w:marBottom w:val="0"/>
      <w:divBdr>
        <w:top w:val="none" w:sz="0" w:space="0" w:color="auto"/>
        <w:left w:val="none" w:sz="0" w:space="0" w:color="auto"/>
        <w:bottom w:val="none" w:sz="0" w:space="0" w:color="auto"/>
        <w:right w:val="none" w:sz="0" w:space="0" w:color="auto"/>
      </w:divBdr>
    </w:div>
    <w:div w:id="1271013547">
      <w:bodyDiv w:val="1"/>
      <w:marLeft w:val="0"/>
      <w:marRight w:val="0"/>
      <w:marTop w:val="0"/>
      <w:marBottom w:val="0"/>
      <w:divBdr>
        <w:top w:val="none" w:sz="0" w:space="0" w:color="auto"/>
        <w:left w:val="none" w:sz="0" w:space="0" w:color="auto"/>
        <w:bottom w:val="none" w:sz="0" w:space="0" w:color="auto"/>
        <w:right w:val="none" w:sz="0" w:space="0" w:color="auto"/>
      </w:divBdr>
    </w:div>
    <w:div w:id="1271552016">
      <w:bodyDiv w:val="1"/>
      <w:marLeft w:val="0"/>
      <w:marRight w:val="0"/>
      <w:marTop w:val="0"/>
      <w:marBottom w:val="0"/>
      <w:divBdr>
        <w:top w:val="none" w:sz="0" w:space="0" w:color="auto"/>
        <w:left w:val="none" w:sz="0" w:space="0" w:color="auto"/>
        <w:bottom w:val="none" w:sz="0" w:space="0" w:color="auto"/>
        <w:right w:val="none" w:sz="0" w:space="0" w:color="auto"/>
      </w:divBdr>
    </w:div>
    <w:div w:id="1272592809">
      <w:bodyDiv w:val="1"/>
      <w:marLeft w:val="0"/>
      <w:marRight w:val="0"/>
      <w:marTop w:val="0"/>
      <w:marBottom w:val="0"/>
      <w:divBdr>
        <w:top w:val="none" w:sz="0" w:space="0" w:color="auto"/>
        <w:left w:val="none" w:sz="0" w:space="0" w:color="auto"/>
        <w:bottom w:val="none" w:sz="0" w:space="0" w:color="auto"/>
        <w:right w:val="none" w:sz="0" w:space="0" w:color="auto"/>
      </w:divBdr>
    </w:div>
    <w:div w:id="1272737767">
      <w:bodyDiv w:val="1"/>
      <w:marLeft w:val="0"/>
      <w:marRight w:val="0"/>
      <w:marTop w:val="0"/>
      <w:marBottom w:val="0"/>
      <w:divBdr>
        <w:top w:val="none" w:sz="0" w:space="0" w:color="auto"/>
        <w:left w:val="none" w:sz="0" w:space="0" w:color="auto"/>
        <w:bottom w:val="none" w:sz="0" w:space="0" w:color="auto"/>
        <w:right w:val="none" w:sz="0" w:space="0" w:color="auto"/>
      </w:divBdr>
    </w:div>
    <w:div w:id="1273511867">
      <w:bodyDiv w:val="1"/>
      <w:marLeft w:val="0"/>
      <w:marRight w:val="0"/>
      <w:marTop w:val="0"/>
      <w:marBottom w:val="0"/>
      <w:divBdr>
        <w:top w:val="none" w:sz="0" w:space="0" w:color="auto"/>
        <w:left w:val="none" w:sz="0" w:space="0" w:color="auto"/>
        <w:bottom w:val="none" w:sz="0" w:space="0" w:color="auto"/>
        <w:right w:val="none" w:sz="0" w:space="0" w:color="auto"/>
      </w:divBdr>
    </w:div>
    <w:div w:id="1273593124">
      <w:bodyDiv w:val="1"/>
      <w:marLeft w:val="0"/>
      <w:marRight w:val="0"/>
      <w:marTop w:val="0"/>
      <w:marBottom w:val="0"/>
      <w:divBdr>
        <w:top w:val="none" w:sz="0" w:space="0" w:color="auto"/>
        <w:left w:val="none" w:sz="0" w:space="0" w:color="auto"/>
        <w:bottom w:val="none" w:sz="0" w:space="0" w:color="auto"/>
        <w:right w:val="none" w:sz="0" w:space="0" w:color="auto"/>
      </w:divBdr>
    </w:div>
    <w:div w:id="1273785440">
      <w:bodyDiv w:val="1"/>
      <w:marLeft w:val="0"/>
      <w:marRight w:val="0"/>
      <w:marTop w:val="0"/>
      <w:marBottom w:val="0"/>
      <w:divBdr>
        <w:top w:val="none" w:sz="0" w:space="0" w:color="auto"/>
        <w:left w:val="none" w:sz="0" w:space="0" w:color="auto"/>
        <w:bottom w:val="none" w:sz="0" w:space="0" w:color="auto"/>
        <w:right w:val="none" w:sz="0" w:space="0" w:color="auto"/>
      </w:divBdr>
    </w:div>
    <w:div w:id="1274172201">
      <w:bodyDiv w:val="1"/>
      <w:marLeft w:val="0"/>
      <w:marRight w:val="0"/>
      <w:marTop w:val="0"/>
      <w:marBottom w:val="0"/>
      <w:divBdr>
        <w:top w:val="none" w:sz="0" w:space="0" w:color="auto"/>
        <w:left w:val="none" w:sz="0" w:space="0" w:color="auto"/>
        <w:bottom w:val="none" w:sz="0" w:space="0" w:color="auto"/>
        <w:right w:val="none" w:sz="0" w:space="0" w:color="auto"/>
      </w:divBdr>
    </w:div>
    <w:div w:id="1274749647">
      <w:bodyDiv w:val="1"/>
      <w:marLeft w:val="0"/>
      <w:marRight w:val="0"/>
      <w:marTop w:val="0"/>
      <w:marBottom w:val="0"/>
      <w:divBdr>
        <w:top w:val="none" w:sz="0" w:space="0" w:color="auto"/>
        <w:left w:val="none" w:sz="0" w:space="0" w:color="auto"/>
        <w:bottom w:val="none" w:sz="0" w:space="0" w:color="auto"/>
        <w:right w:val="none" w:sz="0" w:space="0" w:color="auto"/>
      </w:divBdr>
    </w:div>
    <w:div w:id="1275795738">
      <w:bodyDiv w:val="1"/>
      <w:marLeft w:val="0"/>
      <w:marRight w:val="0"/>
      <w:marTop w:val="0"/>
      <w:marBottom w:val="0"/>
      <w:divBdr>
        <w:top w:val="none" w:sz="0" w:space="0" w:color="auto"/>
        <w:left w:val="none" w:sz="0" w:space="0" w:color="auto"/>
        <w:bottom w:val="none" w:sz="0" w:space="0" w:color="auto"/>
        <w:right w:val="none" w:sz="0" w:space="0" w:color="auto"/>
      </w:divBdr>
    </w:div>
    <w:div w:id="1276601026">
      <w:bodyDiv w:val="1"/>
      <w:marLeft w:val="0"/>
      <w:marRight w:val="0"/>
      <w:marTop w:val="0"/>
      <w:marBottom w:val="0"/>
      <w:divBdr>
        <w:top w:val="none" w:sz="0" w:space="0" w:color="auto"/>
        <w:left w:val="none" w:sz="0" w:space="0" w:color="auto"/>
        <w:bottom w:val="none" w:sz="0" w:space="0" w:color="auto"/>
        <w:right w:val="none" w:sz="0" w:space="0" w:color="auto"/>
      </w:divBdr>
    </w:div>
    <w:div w:id="1277712571">
      <w:bodyDiv w:val="1"/>
      <w:marLeft w:val="0"/>
      <w:marRight w:val="0"/>
      <w:marTop w:val="0"/>
      <w:marBottom w:val="0"/>
      <w:divBdr>
        <w:top w:val="none" w:sz="0" w:space="0" w:color="auto"/>
        <w:left w:val="none" w:sz="0" w:space="0" w:color="auto"/>
        <w:bottom w:val="none" w:sz="0" w:space="0" w:color="auto"/>
        <w:right w:val="none" w:sz="0" w:space="0" w:color="auto"/>
      </w:divBdr>
    </w:div>
    <w:div w:id="1279990945">
      <w:bodyDiv w:val="1"/>
      <w:marLeft w:val="0"/>
      <w:marRight w:val="0"/>
      <w:marTop w:val="0"/>
      <w:marBottom w:val="0"/>
      <w:divBdr>
        <w:top w:val="none" w:sz="0" w:space="0" w:color="auto"/>
        <w:left w:val="none" w:sz="0" w:space="0" w:color="auto"/>
        <w:bottom w:val="none" w:sz="0" w:space="0" w:color="auto"/>
        <w:right w:val="none" w:sz="0" w:space="0" w:color="auto"/>
      </w:divBdr>
    </w:div>
    <w:div w:id="1280338687">
      <w:bodyDiv w:val="1"/>
      <w:marLeft w:val="0"/>
      <w:marRight w:val="0"/>
      <w:marTop w:val="0"/>
      <w:marBottom w:val="0"/>
      <w:divBdr>
        <w:top w:val="none" w:sz="0" w:space="0" w:color="auto"/>
        <w:left w:val="none" w:sz="0" w:space="0" w:color="auto"/>
        <w:bottom w:val="none" w:sz="0" w:space="0" w:color="auto"/>
        <w:right w:val="none" w:sz="0" w:space="0" w:color="auto"/>
      </w:divBdr>
    </w:div>
    <w:div w:id="1281106316">
      <w:bodyDiv w:val="1"/>
      <w:marLeft w:val="0"/>
      <w:marRight w:val="0"/>
      <w:marTop w:val="0"/>
      <w:marBottom w:val="0"/>
      <w:divBdr>
        <w:top w:val="none" w:sz="0" w:space="0" w:color="auto"/>
        <w:left w:val="none" w:sz="0" w:space="0" w:color="auto"/>
        <w:bottom w:val="none" w:sz="0" w:space="0" w:color="auto"/>
        <w:right w:val="none" w:sz="0" w:space="0" w:color="auto"/>
      </w:divBdr>
    </w:div>
    <w:div w:id="1281107869">
      <w:bodyDiv w:val="1"/>
      <w:marLeft w:val="0"/>
      <w:marRight w:val="0"/>
      <w:marTop w:val="0"/>
      <w:marBottom w:val="0"/>
      <w:divBdr>
        <w:top w:val="none" w:sz="0" w:space="0" w:color="auto"/>
        <w:left w:val="none" w:sz="0" w:space="0" w:color="auto"/>
        <w:bottom w:val="none" w:sz="0" w:space="0" w:color="auto"/>
        <w:right w:val="none" w:sz="0" w:space="0" w:color="auto"/>
      </w:divBdr>
    </w:div>
    <w:div w:id="1281763112">
      <w:bodyDiv w:val="1"/>
      <w:marLeft w:val="0"/>
      <w:marRight w:val="0"/>
      <w:marTop w:val="0"/>
      <w:marBottom w:val="0"/>
      <w:divBdr>
        <w:top w:val="none" w:sz="0" w:space="0" w:color="auto"/>
        <w:left w:val="none" w:sz="0" w:space="0" w:color="auto"/>
        <w:bottom w:val="none" w:sz="0" w:space="0" w:color="auto"/>
        <w:right w:val="none" w:sz="0" w:space="0" w:color="auto"/>
      </w:divBdr>
    </w:div>
    <w:div w:id="1282689970">
      <w:bodyDiv w:val="1"/>
      <w:marLeft w:val="0"/>
      <w:marRight w:val="0"/>
      <w:marTop w:val="0"/>
      <w:marBottom w:val="0"/>
      <w:divBdr>
        <w:top w:val="none" w:sz="0" w:space="0" w:color="auto"/>
        <w:left w:val="none" w:sz="0" w:space="0" w:color="auto"/>
        <w:bottom w:val="none" w:sz="0" w:space="0" w:color="auto"/>
        <w:right w:val="none" w:sz="0" w:space="0" w:color="auto"/>
      </w:divBdr>
    </w:div>
    <w:div w:id="1282810375">
      <w:bodyDiv w:val="1"/>
      <w:marLeft w:val="0"/>
      <w:marRight w:val="0"/>
      <w:marTop w:val="0"/>
      <w:marBottom w:val="0"/>
      <w:divBdr>
        <w:top w:val="none" w:sz="0" w:space="0" w:color="auto"/>
        <w:left w:val="none" w:sz="0" w:space="0" w:color="auto"/>
        <w:bottom w:val="none" w:sz="0" w:space="0" w:color="auto"/>
        <w:right w:val="none" w:sz="0" w:space="0" w:color="auto"/>
      </w:divBdr>
    </w:div>
    <w:div w:id="1284505846">
      <w:bodyDiv w:val="1"/>
      <w:marLeft w:val="0"/>
      <w:marRight w:val="0"/>
      <w:marTop w:val="0"/>
      <w:marBottom w:val="0"/>
      <w:divBdr>
        <w:top w:val="none" w:sz="0" w:space="0" w:color="auto"/>
        <w:left w:val="none" w:sz="0" w:space="0" w:color="auto"/>
        <w:bottom w:val="none" w:sz="0" w:space="0" w:color="auto"/>
        <w:right w:val="none" w:sz="0" w:space="0" w:color="auto"/>
      </w:divBdr>
    </w:div>
    <w:div w:id="1284534268">
      <w:bodyDiv w:val="1"/>
      <w:marLeft w:val="0"/>
      <w:marRight w:val="0"/>
      <w:marTop w:val="0"/>
      <w:marBottom w:val="0"/>
      <w:divBdr>
        <w:top w:val="none" w:sz="0" w:space="0" w:color="auto"/>
        <w:left w:val="none" w:sz="0" w:space="0" w:color="auto"/>
        <w:bottom w:val="none" w:sz="0" w:space="0" w:color="auto"/>
        <w:right w:val="none" w:sz="0" w:space="0" w:color="auto"/>
      </w:divBdr>
    </w:div>
    <w:div w:id="1284921282">
      <w:bodyDiv w:val="1"/>
      <w:marLeft w:val="0"/>
      <w:marRight w:val="0"/>
      <w:marTop w:val="0"/>
      <w:marBottom w:val="0"/>
      <w:divBdr>
        <w:top w:val="none" w:sz="0" w:space="0" w:color="auto"/>
        <w:left w:val="none" w:sz="0" w:space="0" w:color="auto"/>
        <w:bottom w:val="none" w:sz="0" w:space="0" w:color="auto"/>
        <w:right w:val="none" w:sz="0" w:space="0" w:color="auto"/>
      </w:divBdr>
    </w:div>
    <w:div w:id="1285229561">
      <w:bodyDiv w:val="1"/>
      <w:marLeft w:val="0"/>
      <w:marRight w:val="0"/>
      <w:marTop w:val="0"/>
      <w:marBottom w:val="0"/>
      <w:divBdr>
        <w:top w:val="none" w:sz="0" w:space="0" w:color="auto"/>
        <w:left w:val="none" w:sz="0" w:space="0" w:color="auto"/>
        <w:bottom w:val="none" w:sz="0" w:space="0" w:color="auto"/>
        <w:right w:val="none" w:sz="0" w:space="0" w:color="auto"/>
      </w:divBdr>
    </w:div>
    <w:div w:id="1286037705">
      <w:bodyDiv w:val="1"/>
      <w:marLeft w:val="0"/>
      <w:marRight w:val="0"/>
      <w:marTop w:val="0"/>
      <w:marBottom w:val="0"/>
      <w:divBdr>
        <w:top w:val="none" w:sz="0" w:space="0" w:color="auto"/>
        <w:left w:val="none" w:sz="0" w:space="0" w:color="auto"/>
        <w:bottom w:val="none" w:sz="0" w:space="0" w:color="auto"/>
        <w:right w:val="none" w:sz="0" w:space="0" w:color="auto"/>
      </w:divBdr>
    </w:div>
    <w:div w:id="1286810016">
      <w:bodyDiv w:val="1"/>
      <w:marLeft w:val="0"/>
      <w:marRight w:val="0"/>
      <w:marTop w:val="0"/>
      <w:marBottom w:val="0"/>
      <w:divBdr>
        <w:top w:val="none" w:sz="0" w:space="0" w:color="auto"/>
        <w:left w:val="none" w:sz="0" w:space="0" w:color="auto"/>
        <w:bottom w:val="none" w:sz="0" w:space="0" w:color="auto"/>
        <w:right w:val="none" w:sz="0" w:space="0" w:color="auto"/>
      </w:divBdr>
    </w:div>
    <w:div w:id="1287005364">
      <w:bodyDiv w:val="1"/>
      <w:marLeft w:val="0"/>
      <w:marRight w:val="0"/>
      <w:marTop w:val="0"/>
      <w:marBottom w:val="0"/>
      <w:divBdr>
        <w:top w:val="none" w:sz="0" w:space="0" w:color="auto"/>
        <w:left w:val="none" w:sz="0" w:space="0" w:color="auto"/>
        <w:bottom w:val="none" w:sz="0" w:space="0" w:color="auto"/>
        <w:right w:val="none" w:sz="0" w:space="0" w:color="auto"/>
      </w:divBdr>
    </w:div>
    <w:div w:id="1287278301">
      <w:bodyDiv w:val="1"/>
      <w:marLeft w:val="0"/>
      <w:marRight w:val="0"/>
      <w:marTop w:val="0"/>
      <w:marBottom w:val="0"/>
      <w:divBdr>
        <w:top w:val="none" w:sz="0" w:space="0" w:color="auto"/>
        <w:left w:val="none" w:sz="0" w:space="0" w:color="auto"/>
        <w:bottom w:val="none" w:sz="0" w:space="0" w:color="auto"/>
        <w:right w:val="none" w:sz="0" w:space="0" w:color="auto"/>
      </w:divBdr>
    </w:div>
    <w:div w:id="1287931440">
      <w:bodyDiv w:val="1"/>
      <w:marLeft w:val="0"/>
      <w:marRight w:val="0"/>
      <w:marTop w:val="0"/>
      <w:marBottom w:val="0"/>
      <w:divBdr>
        <w:top w:val="none" w:sz="0" w:space="0" w:color="auto"/>
        <w:left w:val="none" w:sz="0" w:space="0" w:color="auto"/>
        <w:bottom w:val="none" w:sz="0" w:space="0" w:color="auto"/>
        <w:right w:val="none" w:sz="0" w:space="0" w:color="auto"/>
      </w:divBdr>
    </w:div>
    <w:div w:id="1288466195">
      <w:bodyDiv w:val="1"/>
      <w:marLeft w:val="0"/>
      <w:marRight w:val="0"/>
      <w:marTop w:val="0"/>
      <w:marBottom w:val="0"/>
      <w:divBdr>
        <w:top w:val="none" w:sz="0" w:space="0" w:color="auto"/>
        <w:left w:val="none" w:sz="0" w:space="0" w:color="auto"/>
        <w:bottom w:val="none" w:sz="0" w:space="0" w:color="auto"/>
        <w:right w:val="none" w:sz="0" w:space="0" w:color="auto"/>
      </w:divBdr>
    </w:div>
    <w:div w:id="1288585806">
      <w:bodyDiv w:val="1"/>
      <w:marLeft w:val="0"/>
      <w:marRight w:val="0"/>
      <w:marTop w:val="0"/>
      <w:marBottom w:val="0"/>
      <w:divBdr>
        <w:top w:val="none" w:sz="0" w:space="0" w:color="auto"/>
        <w:left w:val="none" w:sz="0" w:space="0" w:color="auto"/>
        <w:bottom w:val="none" w:sz="0" w:space="0" w:color="auto"/>
        <w:right w:val="none" w:sz="0" w:space="0" w:color="auto"/>
      </w:divBdr>
    </w:div>
    <w:div w:id="1290746285">
      <w:bodyDiv w:val="1"/>
      <w:marLeft w:val="0"/>
      <w:marRight w:val="0"/>
      <w:marTop w:val="0"/>
      <w:marBottom w:val="0"/>
      <w:divBdr>
        <w:top w:val="none" w:sz="0" w:space="0" w:color="auto"/>
        <w:left w:val="none" w:sz="0" w:space="0" w:color="auto"/>
        <w:bottom w:val="none" w:sz="0" w:space="0" w:color="auto"/>
        <w:right w:val="none" w:sz="0" w:space="0" w:color="auto"/>
      </w:divBdr>
    </w:div>
    <w:div w:id="1290820486">
      <w:bodyDiv w:val="1"/>
      <w:marLeft w:val="0"/>
      <w:marRight w:val="0"/>
      <w:marTop w:val="0"/>
      <w:marBottom w:val="0"/>
      <w:divBdr>
        <w:top w:val="none" w:sz="0" w:space="0" w:color="auto"/>
        <w:left w:val="none" w:sz="0" w:space="0" w:color="auto"/>
        <w:bottom w:val="none" w:sz="0" w:space="0" w:color="auto"/>
        <w:right w:val="none" w:sz="0" w:space="0" w:color="auto"/>
      </w:divBdr>
    </w:div>
    <w:div w:id="1292399432">
      <w:bodyDiv w:val="1"/>
      <w:marLeft w:val="0"/>
      <w:marRight w:val="0"/>
      <w:marTop w:val="0"/>
      <w:marBottom w:val="0"/>
      <w:divBdr>
        <w:top w:val="none" w:sz="0" w:space="0" w:color="auto"/>
        <w:left w:val="none" w:sz="0" w:space="0" w:color="auto"/>
        <w:bottom w:val="none" w:sz="0" w:space="0" w:color="auto"/>
        <w:right w:val="none" w:sz="0" w:space="0" w:color="auto"/>
      </w:divBdr>
    </w:div>
    <w:div w:id="1292709956">
      <w:bodyDiv w:val="1"/>
      <w:marLeft w:val="0"/>
      <w:marRight w:val="0"/>
      <w:marTop w:val="0"/>
      <w:marBottom w:val="0"/>
      <w:divBdr>
        <w:top w:val="none" w:sz="0" w:space="0" w:color="auto"/>
        <w:left w:val="none" w:sz="0" w:space="0" w:color="auto"/>
        <w:bottom w:val="none" w:sz="0" w:space="0" w:color="auto"/>
        <w:right w:val="none" w:sz="0" w:space="0" w:color="auto"/>
      </w:divBdr>
    </w:div>
    <w:div w:id="1293707687">
      <w:bodyDiv w:val="1"/>
      <w:marLeft w:val="0"/>
      <w:marRight w:val="0"/>
      <w:marTop w:val="0"/>
      <w:marBottom w:val="0"/>
      <w:divBdr>
        <w:top w:val="none" w:sz="0" w:space="0" w:color="auto"/>
        <w:left w:val="none" w:sz="0" w:space="0" w:color="auto"/>
        <w:bottom w:val="none" w:sz="0" w:space="0" w:color="auto"/>
        <w:right w:val="none" w:sz="0" w:space="0" w:color="auto"/>
      </w:divBdr>
    </w:div>
    <w:div w:id="1293749895">
      <w:bodyDiv w:val="1"/>
      <w:marLeft w:val="0"/>
      <w:marRight w:val="0"/>
      <w:marTop w:val="0"/>
      <w:marBottom w:val="0"/>
      <w:divBdr>
        <w:top w:val="none" w:sz="0" w:space="0" w:color="auto"/>
        <w:left w:val="none" w:sz="0" w:space="0" w:color="auto"/>
        <w:bottom w:val="none" w:sz="0" w:space="0" w:color="auto"/>
        <w:right w:val="none" w:sz="0" w:space="0" w:color="auto"/>
      </w:divBdr>
    </w:div>
    <w:div w:id="1293753112">
      <w:bodyDiv w:val="1"/>
      <w:marLeft w:val="0"/>
      <w:marRight w:val="0"/>
      <w:marTop w:val="0"/>
      <w:marBottom w:val="0"/>
      <w:divBdr>
        <w:top w:val="none" w:sz="0" w:space="0" w:color="auto"/>
        <w:left w:val="none" w:sz="0" w:space="0" w:color="auto"/>
        <w:bottom w:val="none" w:sz="0" w:space="0" w:color="auto"/>
        <w:right w:val="none" w:sz="0" w:space="0" w:color="auto"/>
      </w:divBdr>
    </w:div>
    <w:div w:id="1295721835">
      <w:bodyDiv w:val="1"/>
      <w:marLeft w:val="0"/>
      <w:marRight w:val="0"/>
      <w:marTop w:val="0"/>
      <w:marBottom w:val="0"/>
      <w:divBdr>
        <w:top w:val="none" w:sz="0" w:space="0" w:color="auto"/>
        <w:left w:val="none" w:sz="0" w:space="0" w:color="auto"/>
        <w:bottom w:val="none" w:sz="0" w:space="0" w:color="auto"/>
        <w:right w:val="none" w:sz="0" w:space="0" w:color="auto"/>
      </w:divBdr>
    </w:div>
    <w:div w:id="1295797123">
      <w:bodyDiv w:val="1"/>
      <w:marLeft w:val="0"/>
      <w:marRight w:val="0"/>
      <w:marTop w:val="0"/>
      <w:marBottom w:val="0"/>
      <w:divBdr>
        <w:top w:val="none" w:sz="0" w:space="0" w:color="auto"/>
        <w:left w:val="none" w:sz="0" w:space="0" w:color="auto"/>
        <w:bottom w:val="none" w:sz="0" w:space="0" w:color="auto"/>
        <w:right w:val="none" w:sz="0" w:space="0" w:color="auto"/>
      </w:divBdr>
    </w:div>
    <w:div w:id="1296061819">
      <w:bodyDiv w:val="1"/>
      <w:marLeft w:val="0"/>
      <w:marRight w:val="0"/>
      <w:marTop w:val="0"/>
      <w:marBottom w:val="0"/>
      <w:divBdr>
        <w:top w:val="none" w:sz="0" w:space="0" w:color="auto"/>
        <w:left w:val="none" w:sz="0" w:space="0" w:color="auto"/>
        <w:bottom w:val="none" w:sz="0" w:space="0" w:color="auto"/>
        <w:right w:val="none" w:sz="0" w:space="0" w:color="auto"/>
      </w:divBdr>
    </w:div>
    <w:div w:id="1296912588">
      <w:bodyDiv w:val="1"/>
      <w:marLeft w:val="0"/>
      <w:marRight w:val="0"/>
      <w:marTop w:val="0"/>
      <w:marBottom w:val="0"/>
      <w:divBdr>
        <w:top w:val="none" w:sz="0" w:space="0" w:color="auto"/>
        <w:left w:val="none" w:sz="0" w:space="0" w:color="auto"/>
        <w:bottom w:val="none" w:sz="0" w:space="0" w:color="auto"/>
        <w:right w:val="none" w:sz="0" w:space="0" w:color="auto"/>
      </w:divBdr>
    </w:div>
    <w:div w:id="1296986274">
      <w:bodyDiv w:val="1"/>
      <w:marLeft w:val="0"/>
      <w:marRight w:val="0"/>
      <w:marTop w:val="0"/>
      <w:marBottom w:val="0"/>
      <w:divBdr>
        <w:top w:val="none" w:sz="0" w:space="0" w:color="auto"/>
        <w:left w:val="none" w:sz="0" w:space="0" w:color="auto"/>
        <w:bottom w:val="none" w:sz="0" w:space="0" w:color="auto"/>
        <w:right w:val="none" w:sz="0" w:space="0" w:color="auto"/>
      </w:divBdr>
    </w:div>
    <w:div w:id="1296986506">
      <w:bodyDiv w:val="1"/>
      <w:marLeft w:val="0"/>
      <w:marRight w:val="0"/>
      <w:marTop w:val="0"/>
      <w:marBottom w:val="0"/>
      <w:divBdr>
        <w:top w:val="none" w:sz="0" w:space="0" w:color="auto"/>
        <w:left w:val="none" w:sz="0" w:space="0" w:color="auto"/>
        <w:bottom w:val="none" w:sz="0" w:space="0" w:color="auto"/>
        <w:right w:val="none" w:sz="0" w:space="0" w:color="auto"/>
      </w:divBdr>
    </w:div>
    <w:div w:id="1297367827">
      <w:bodyDiv w:val="1"/>
      <w:marLeft w:val="0"/>
      <w:marRight w:val="0"/>
      <w:marTop w:val="0"/>
      <w:marBottom w:val="0"/>
      <w:divBdr>
        <w:top w:val="none" w:sz="0" w:space="0" w:color="auto"/>
        <w:left w:val="none" w:sz="0" w:space="0" w:color="auto"/>
        <w:bottom w:val="none" w:sz="0" w:space="0" w:color="auto"/>
        <w:right w:val="none" w:sz="0" w:space="0" w:color="auto"/>
      </w:divBdr>
    </w:div>
    <w:div w:id="1297950541">
      <w:bodyDiv w:val="1"/>
      <w:marLeft w:val="0"/>
      <w:marRight w:val="0"/>
      <w:marTop w:val="0"/>
      <w:marBottom w:val="0"/>
      <w:divBdr>
        <w:top w:val="none" w:sz="0" w:space="0" w:color="auto"/>
        <w:left w:val="none" w:sz="0" w:space="0" w:color="auto"/>
        <w:bottom w:val="none" w:sz="0" w:space="0" w:color="auto"/>
        <w:right w:val="none" w:sz="0" w:space="0" w:color="auto"/>
      </w:divBdr>
    </w:div>
    <w:div w:id="1298027377">
      <w:bodyDiv w:val="1"/>
      <w:marLeft w:val="0"/>
      <w:marRight w:val="0"/>
      <w:marTop w:val="0"/>
      <w:marBottom w:val="0"/>
      <w:divBdr>
        <w:top w:val="none" w:sz="0" w:space="0" w:color="auto"/>
        <w:left w:val="none" w:sz="0" w:space="0" w:color="auto"/>
        <w:bottom w:val="none" w:sz="0" w:space="0" w:color="auto"/>
        <w:right w:val="none" w:sz="0" w:space="0" w:color="auto"/>
      </w:divBdr>
    </w:div>
    <w:div w:id="1298340463">
      <w:bodyDiv w:val="1"/>
      <w:marLeft w:val="0"/>
      <w:marRight w:val="0"/>
      <w:marTop w:val="0"/>
      <w:marBottom w:val="0"/>
      <w:divBdr>
        <w:top w:val="none" w:sz="0" w:space="0" w:color="auto"/>
        <w:left w:val="none" w:sz="0" w:space="0" w:color="auto"/>
        <w:bottom w:val="none" w:sz="0" w:space="0" w:color="auto"/>
        <w:right w:val="none" w:sz="0" w:space="0" w:color="auto"/>
      </w:divBdr>
    </w:div>
    <w:div w:id="1299535680">
      <w:bodyDiv w:val="1"/>
      <w:marLeft w:val="0"/>
      <w:marRight w:val="0"/>
      <w:marTop w:val="0"/>
      <w:marBottom w:val="0"/>
      <w:divBdr>
        <w:top w:val="none" w:sz="0" w:space="0" w:color="auto"/>
        <w:left w:val="none" w:sz="0" w:space="0" w:color="auto"/>
        <w:bottom w:val="none" w:sz="0" w:space="0" w:color="auto"/>
        <w:right w:val="none" w:sz="0" w:space="0" w:color="auto"/>
      </w:divBdr>
    </w:div>
    <w:div w:id="1299921366">
      <w:bodyDiv w:val="1"/>
      <w:marLeft w:val="0"/>
      <w:marRight w:val="0"/>
      <w:marTop w:val="0"/>
      <w:marBottom w:val="0"/>
      <w:divBdr>
        <w:top w:val="none" w:sz="0" w:space="0" w:color="auto"/>
        <w:left w:val="none" w:sz="0" w:space="0" w:color="auto"/>
        <w:bottom w:val="none" w:sz="0" w:space="0" w:color="auto"/>
        <w:right w:val="none" w:sz="0" w:space="0" w:color="auto"/>
      </w:divBdr>
    </w:div>
    <w:div w:id="1300722051">
      <w:bodyDiv w:val="1"/>
      <w:marLeft w:val="0"/>
      <w:marRight w:val="0"/>
      <w:marTop w:val="0"/>
      <w:marBottom w:val="0"/>
      <w:divBdr>
        <w:top w:val="none" w:sz="0" w:space="0" w:color="auto"/>
        <w:left w:val="none" w:sz="0" w:space="0" w:color="auto"/>
        <w:bottom w:val="none" w:sz="0" w:space="0" w:color="auto"/>
        <w:right w:val="none" w:sz="0" w:space="0" w:color="auto"/>
      </w:divBdr>
    </w:div>
    <w:div w:id="1301419693">
      <w:bodyDiv w:val="1"/>
      <w:marLeft w:val="0"/>
      <w:marRight w:val="0"/>
      <w:marTop w:val="0"/>
      <w:marBottom w:val="0"/>
      <w:divBdr>
        <w:top w:val="none" w:sz="0" w:space="0" w:color="auto"/>
        <w:left w:val="none" w:sz="0" w:space="0" w:color="auto"/>
        <w:bottom w:val="none" w:sz="0" w:space="0" w:color="auto"/>
        <w:right w:val="none" w:sz="0" w:space="0" w:color="auto"/>
      </w:divBdr>
    </w:div>
    <w:div w:id="1301685831">
      <w:bodyDiv w:val="1"/>
      <w:marLeft w:val="0"/>
      <w:marRight w:val="0"/>
      <w:marTop w:val="0"/>
      <w:marBottom w:val="0"/>
      <w:divBdr>
        <w:top w:val="none" w:sz="0" w:space="0" w:color="auto"/>
        <w:left w:val="none" w:sz="0" w:space="0" w:color="auto"/>
        <w:bottom w:val="none" w:sz="0" w:space="0" w:color="auto"/>
        <w:right w:val="none" w:sz="0" w:space="0" w:color="auto"/>
      </w:divBdr>
    </w:div>
    <w:div w:id="1302610383">
      <w:bodyDiv w:val="1"/>
      <w:marLeft w:val="0"/>
      <w:marRight w:val="0"/>
      <w:marTop w:val="0"/>
      <w:marBottom w:val="0"/>
      <w:divBdr>
        <w:top w:val="none" w:sz="0" w:space="0" w:color="auto"/>
        <w:left w:val="none" w:sz="0" w:space="0" w:color="auto"/>
        <w:bottom w:val="none" w:sz="0" w:space="0" w:color="auto"/>
        <w:right w:val="none" w:sz="0" w:space="0" w:color="auto"/>
      </w:divBdr>
    </w:div>
    <w:div w:id="1302922933">
      <w:bodyDiv w:val="1"/>
      <w:marLeft w:val="0"/>
      <w:marRight w:val="0"/>
      <w:marTop w:val="0"/>
      <w:marBottom w:val="0"/>
      <w:divBdr>
        <w:top w:val="none" w:sz="0" w:space="0" w:color="auto"/>
        <w:left w:val="none" w:sz="0" w:space="0" w:color="auto"/>
        <w:bottom w:val="none" w:sz="0" w:space="0" w:color="auto"/>
        <w:right w:val="none" w:sz="0" w:space="0" w:color="auto"/>
      </w:divBdr>
    </w:div>
    <w:div w:id="1303072169">
      <w:bodyDiv w:val="1"/>
      <w:marLeft w:val="0"/>
      <w:marRight w:val="0"/>
      <w:marTop w:val="0"/>
      <w:marBottom w:val="0"/>
      <w:divBdr>
        <w:top w:val="none" w:sz="0" w:space="0" w:color="auto"/>
        <w:left w:val="none" w:sz="0" w:space="0" w:color="auto"/>
        <w:bottom w:val="none" w:sz="0" w:space="0" w:color="auto"/>
        <w:right w:val="none" w:sz="0" w:space="0" w:color="auto"/>
      </w:divBdr>
    </w:div>
    <w:div w:id="1304503188">
      <w:bodyDiv w:val="1"/>
      <w:marLeft w:val="0"/>
      <w:marRight w:val="0"/>
      <w:marTop w:val="0"/>
      <w:marBottom w:val="0"/>
      <w:divBdr>
        <w:top w:val="none" w:sz="0" w:space="0" w:color="auto"/>
        <w:left w:val="none" w:sz="0" w:space="0" w:color="auto"/>
        <w:bottom w:val="none" w:sz="0" w:space="0" w:color="auto"/>
        <w:right w:val="none" w:sz="0" w:space="0" w:color="auto"/>
      </w:divBdr>
    </w:div>
    <w:div w:id="1304919745">
      <w:bodyDiv w:val="1"/>
      <w:marLeft w:val="0"/>
      <w:marRight w:val="0"/>
      <w:marTop w:val="0"/>
      <w:marBottom w:val="0"/>
      <w:divBdr>
        <w:top w:val="none" w:sz="0" w:space="0" w:color="auto"/>
        <w:left w:val="none" w:sz="0" w:space="0" w:color="auto"/>
        <w:bottom w:val="none" w:sz="0" w:space="0" w:color="auto"/>
        <w:right w:val="none" w:sz="0" w:space="0" w:color="auto"/>
      </w:divBdr>
    </w:div>
    <w:div w:id="1305350797">
      <w:bodyDiv w:val="1"/>
      <w:marLeft w:val="0"/>
      <w:marRight w:val="0"/>
      <w:marTop w:val="0"/>
      <w:marBottom w:val="0"/>
      <w:divBdr>
        <w:top w:val="none" w:sz="0" w:space="0" w:color="auto"/>
        <w:left w:val="none" w:sz="0" w:space="0" w:color="auto"/>
        <w:bottom w:val="none" w:sz="0" w:space="0" w:color="auto"/>
        <w:right w:val="none" w:sz="0" w:space="0" w:color="auto"/>
      </w:divBdr>
    </w:div>
    <w:div w:id="1305433467">
      <w:bodyDiv w:val="1"/>
      <w:marLeft w:val="0"/>
      <w:marRight w:val="0"/>
      <w:marTop w:val="0"/>
      <w:marBottom w:val="0"/>
      <w:divBdr>
        <w:top w:val="none" w:sz="0" w:space="0" w:color="auto"/>
        <w:left w:val="none" w:sz="0" w:space="0" w:color="auto"/>
        <w:bottom w:val="none" w:sz="0" w:space="0" w:color="auto"/>
        <w:right w:val="none" w:sz="0" w:space="0" w:color="auto"/>
      </w:divBdr>
    </w:div>
    <w:div w:id="1305618795">
      <w:bodyDiv w:val="1"/>
      <w:marLeft w:val="0"/>
      <w:marRight w:val="0"/>
      <w:marTop w:val="0"/>
      <w:marBottom w:val="0"/>
      <w:divBdr>
        <w:top w:val="none" w:sz="0" w:space="0" w:color="auto"/>
        <w:left w:val="none" w:sz="0" w:space="0" w:color="auto"/>
        <w:bottom w:val="none" w:sz="0" w:space="0" w:color="auto"/>
        <w:right w:val="none" w:sz="0" w:space="0" w:color="auto"/>
      </w:divBdr>
    </w:div>
    <w:div w:id="1306473403">
      <w:bodyDiv w:val="1"/>
      <w:marLeft w:val="0"/>
      <w:marRight w:val="0"/>
      <w:marTop w:val="0"/>
      <w:marBottom w:val="0"/>
      <w:divBdr>
        <w:top w:val="none" w:sz="0" w:space="0" w:color="auto"/>
        <w:left w:val="none" w:sz="0" w:space="0" w:color="auto"/>
        <w:bottom w:val="none" w:sz="0" w:space="0" w:color="auto"/>
        <w:right w:val="none" w:sz="0" w:space="0" w:color="auto"/>
      </w:divBdr>
    </w:div>
    <w:div w:id="1307275247">
      <w:bodyDiv w:val="1"/>
      <w:marLeft w:val="0"/>
      <w:marRight w:val="0"/>
      <w:marTop w:val="0"/>
      <w:marBottom w:val="0"/>
      <w:divBdr>
        <w:top w:val="none" w:sz="0" w:space="0" w:color="auto"/>
        <w:left w:val="none" w:sz="0" w:space="0" w:color="auto"/>
        <w:bottom w:val="none" w:sz="0" w:space="0" w:color="auto"/>
        <w:right w:val="none" w:sz="0" w:space="0" w:color="auto"/>
      </w:divBdr>
    </w:div>
    <w:div w:id="1307474532">
      <w:bodyDiv w:val="1"/>
      <w:marLeft w:val="0"/>
      <w:marRight w:val="0"/>
      <w:marTop w:val="0"/>
      <w:marBottom w:val="0"/>
      <w:divBdr>
        <w:top w:val="none" w:sz="0" w:space="0" w:color="auto"/>
        <w:left w:val="none" w:sz="0" w:space="0" w:color="auto"/>
        <w:bottom w:val="none" w:sz="0" w:space="0" w:color="auto"/>
        <w:right w:val="none" w:sz="0" w:space="0" w:color="auto"/>
      </w:divBdr>
    </w:div>
    <w:div w:id="1307933240">
      <w:bodyDiv w:val="1"/>
      <w:marLeft w:val="0"/>
      <w:marRight w:val="0"/>
      <w:marTop w:val="0"/>
      <w:marBottom w:val="0"/>
      <w:divBdr>
        <w:top w:val="none" w:sz="0" w:space="0" w:color="auto"/>
        <w:left w:val="none" w:sz="0" w:space="0" w:color="auto"/>
        <w:bottom w:val="none" w:sz="0" w:space="0" w:color="auto"/>
        <w:right w:val="none" w:sz="0" w:space="0" w:color="auto"/>
      </w:divBdr>
    </w:div>
    <w:div w:id="1308123544">
      <w:bodyDiv w:val="1"/>
      <w:marLeft w:val="0"/>
      <w:marRight w:val="0"/>
      <w:marTop w:val="0"/>
      <w:marBottom w:val="0"/>
      <w:divBdr>
        <w:top w:val="none" w:sz="0" w:space="0" w:color="auto"/>
        <w:left w:val="none" w:sz="0" w:space="0" w:color="auto"/>
        <w:bottom w:val="none" w:sz="0" w:space="0" w:color="auto"/>
        <w:right w:val="none" w:sz="0" w:space="0" w:color="auto"/>
      </w:divBdr>
    </w:div>
    <w:div w:id="1308436891">
      <w:bodyDiv w:val="1"/>
      <w:marLeft w:val="0"/>
      <w:marRight w:val="0"/>
      <w:marTop w:val="0"/>
      <w:marBottom w:val="0"/>
      <w:divBdr>
        <w:top w:val="none" w:sz="0" w:space="0" w:color="auto"/>
        <w:left w:val="none" w:sz="0" w:space="0" w:color="auto"/>
        <w:bottom w:val="none" w:sz="0" w:space="0" w:color="auto"/>
        <w:right w:val="none" w:sz="0" w:space="0" w:color="auto"/>
      </w:divBdr>
    </w:div>
    <w:div w:id="1308438827">
      <w:bodyDiv w:val="1"/>
      <w:marLeft w:val="0"/>
      <w:marRight w:val="0"/>
      <w:marTop w:val="0"/>
      <w:marBottom w:val="0"/>
      <w:divBdr>
        <w:top w:val="none" w:sz="0" w:space="0" w:color="auto"/>
        <w:left w:val="none" w:sz="0" w:space="0" w:color="auto"/>
        <w:bottom w:val="none" w:sz="0" w:space="0" w:color="auto"/>
        <w:right w:val="none" w:sz="0" w:space="0" w:color="auto"/>
      </w:divBdr>
    </w:div>
    <w:div w:id="1308510442">
      <w:bodyDiv w:val="1"/>
      <w:marLeft w:val="0"/>
      <w:marRight w:val="0"/>
      <w:marTop w:val="0"/>
      <w:marBottom w:val="0"/>
      <w:divBdr>
        <w:top w:val="none" w:sz="0" w:space="0" w:color="auto"/>
        <w:left w:val="none" w:sz="0" w:space="0" w:color="auto"/>
        <w:bottom w:val="none" w:sz="0" w:space="0" w:color="auto"/>
        <w:right w:val="none" w:sz="0" w:space="0" w:color="auto"/>
      </w:divBdr>
    </w:div>
    <w:div w:id="1308708421">
      <w:bodyDiv w:val="1"/>
      <w:marLeft w:val="0"/>
      <w:marRight w:val="0"/>
      <w:marTop w:val="0"/>
      <w:marBottom w:val="0"/>
      <w:divBdr>
        <w:top w:val="none" w:sz="0" w:space="0" w:color="auto"/>
        <w:left w:val="none" w:sz="0" w:space="0" w:color="auto"/>
        <w:bottom w:val="none" w:sz="0" w:space="0" w:color="auto"/>
        <w:right w:val="none" w:sz="0" w:space="0" w:color="auto"/>
      </w:divBdr>
    </w:div>
    <w:div w:id="1309172014">
      <w:bodyDiv w:val="1"/>
      <w:marLeft w:val="0"/>
      <w:marRight w:val="0"/>
      <w:marTop w:val="0"/>
      <w:marBottom w:val="0"/>
      <w:divBdr>
        <w:top w:val="none" w:sz="0" w:space="0" w:color="auto"/>
        <w:left w:val="none" w:sz="0" w:space="0" w:color="auto"/>
        <w:bottom w:val="none" w:sz="0" w:space="0" w:color="auto"/>
        <w:right w:val="none" w:sz="0" w:space="0" w:color="auto"/>
      </w:divBdr>
    </w:div>
    <w:div w:id="1309557593">
      <w:bodyDiv w:val="1"/>
      <w:marLeft w:val="0"/>
      <w:marRight w:val="0"/>
      <w:marTop w:val="0"/>
      <w:marBottom w:val="0"/>
      <w:divBdr>
        <w:top w:val="none" w:sz="0" w:space="0" w:color="auto"/>
        <w:left w:val="none" w:sz="0" w:space="0" w:color="auto"/>
        <w:bottom w:val="none" w:sz="0" w:space="0" w:color="auto"/>
        <w:right w:val="none" w:sz="0" w:space="0" w:color="auto"/>
      </w:divBdr>
    </w:div>
    <w:div w:id="1309701335">
      <w:bodyDiv w:val="1"/>
      <w:marLeft w:val="0"/>
      <w:marRight w:val="0"/>
      <w:marTop w:val="0"/>
      <w:marBottom w:val="0"/>
      <w:divBdr>
        <w:top w:val="none" w:sz="0" w:space="0" w:color="auto"/>
        <w:left w:val="none" w:sz="0" w:space="0" w:color="auto"/>
        <w:bottom w:val="none" w:sz="0" w:space="0" w:color="auto"/>
        <w:right w:val="none" w:sz="0" w:space="0" w:color="auto"/>
      </w:divBdr>
    </w:div>
    <w:div w:id="1310282398">
      <w:bodyDiv w:val="1"/>
      <w:marLeft w:val="0"/>
      <w:marRight w:val="0"/>
      <w:marTop w:val="0"/>
      <w:marBottom w:val="0"/>
      <w:divBdr>
        <w:top w:val="none" w:sz="0" w:space="0" w:color="auto"/>
        <w:left w:val="none" w:sz="0" w:space="0" w:color="auto"/>
        <w:bottom w:val="none" w:sz="0" w:space="0" w:color="auto"/>
        <w:right w:val="none" w:sz="0" w:space="0" w:color="auto"/>
      </w:divBdr>
    </w:div>
    <w:div w:id="1310675496">
      <w:bodyDiv w:val="1"/>
      <w:marLeft w:val="0"/>
      <w:marRight w:val="0"/>
      <w:marTop w:val="0"/>
      <w:marBottom w:val="0"/>
      <w:divBdr>
        <w:top w:val="none" w:sz="0" w:space="0" w:color="auto"/>
        <w:left w:val="none" w:sz="0" w:space="0" w:color="auto"/>
        <w:bottom w:val="none" w:sz="0" w:space="0" w:color="auto"/>
        <w:right w:val="none" w:sz="0" w:space="0" w:color="auto"/>
      </w:divBdr>
    </w:div>
    <w:div w:id="1311058443">
      <w:bodyDiv w:val="1"/>
      <w:marLeft w:val="0"/>
      <w:marRight w:val="0"/>
      <w:marTop w:val="0"/>
      <w:marBottom w:val="0"/>
      <w:divBdr>
        <w:top w:val="none" w:sz="0" w:space="0" w:color="auto"/>
        <w:left w:val="none" w:sz="0" w:space="0" w:color="auto"/>
        <w:bottom w:val="none" w:sz="0" w:space="0" w:color="auto"/>
        <w:right w:val="none" w:sz="0" w:space="0" w:color="auto"/>
      </w:divBdr>
    </w:div>
    <w:div w:id="1311250131">
      <w:bodyDiv w:val="1"/>
      <w:marLeft w:val="0"/>
      <w:marRight w:val="0"/>
      <w:marTop w:val="0"/>
      <w:marBottom w:val="0"/>
      <w:divBdr>
        <w:top w:val="none" w:sz="0" w:space="0" w:color="auto"/>
        <w:left w:val="none" w:sz="0" w:space="0" w:color="auto"/>
        <w:bottom w:val="none" w:sz="0" w:space="0" w:color="auto"/>
        <w:right w:val="none" w:sz="0" w:space="0" w:color="auto"/>
      </w:divBdr>
    </w:div>
    <w:div w:id="1311327360">
      <w:bodyDiv w:val="1"/>
      <w:marLeft w:val="0"/>
      <w:marRight w:val="0"/>
      <w:marTop w:val="0"/>
      <w:marBottom w:val="0"/>
      <w:divBdr>
        <w:top w:val="none" w:sz="0" w:space="0" w:color="auto"/>
        <w:left w:val="none" w:sz="0" w:space="0" w:color="auto"/>
        <w:bottom w:val="none" w:sz="0" w:space="0" w:color="auto"/>
        <w:right w:val="none" w:sz="0" w:space="0" w:color="auto"/>
      </w:divBdr>
    </w:div>
    <w:div w:id="1311792434">
      <w:bodyDiv w:val="1"/>
      <w:marLeft w:val="0"/>
      <w:marRight w:val="0"/>
      <w:marTop w:val="0"/>
      <w:marBottom w:val="0"/>
      <w:divBdr>
        <w:top w:val="none" w:sz="0" w:space="0" w:color="auto"/>
        <w:left w:val="none" w:sz="0" w:space="0" w:color="auto"/>
        <w:bottom w:val="none" w:sz="0" w:space="0" w:color="auto"/>
        <w:right w:val="none" w:sz="0" w:space="0" w:color="auto"/>
      </w:divBdr>
    </w:div>
    <w:div w:id="1312103659">
      <w:bodyDiv w:val="1"/>
      <w:marLeft w:val="0"/>
      <w:marRight w:val="0"/>
      <w:marTop w:val="0"/>
      <w:marBottom w:val="0"/>
      <w:divBdr>
        <w:top w:val="none" w:sz="0" w:space="0" w:color="auto"/>
        <w:left w:val="none" w:sz="0" w:space="0" w:color="auto"/>
        <w:bottom w:val="none" w:sz="0" w:space="0" w:color="auto"/>
        <w:right w:val="none" w:sz="0" w:space="0" w:color="auto"/>
      </w:divBdr>
    </w:div>
    <w:div w:id="1315330545">
      <w:bodyDiv w:val="1"/>
      <w:marLeft w:val="0"/>
      <w:marRight w:val="0"/>
      <w:marTop w:val="0"/>
      <w:marBottom w:val="0"/>
      <w:divBdr>
        <w:top w:val="none" w:sz="0" w:space="0" w:color="auto"/>
        <w:left w:val="none" w:sz="0" w:space="0" w:color="auto"/>
        <w:bottom w:val="none" w:sz="0" w:space="0" w:color="auto"/>
        <w:right w:val="none" w:sz="0" w:space="0" w:color="auto"/>
      </w:divBdr>
    </w:div>
    <w:div w:id="1316759951">
      <w:bodyDiv w:val="1"/>
      <w:marLeft w:val="0"/>
      <w:marRight w:val="0"/>
      <w:marTop w:val="0"/>
      <w:marBottom w:val="0"/>
      <w:divBdr>
        <w:top w:val="none" w:sz="0" w:space="0" w:color="auto"/>
        <w:left w:val="none" w:sz="0" w:space="0" w:color="auto"/>
        <w:bottom w:val="none" w:sz="0" w:space="0" w:color="auto"/>
        <w:right w:val="none" w:sz="0" w:space="0" w:color="auto"/>
      </w:divBdr>
    </w:div>
    <w:div w:id="1317107782">
      <w:bodyDiv w:val="1"/>
      <w:marLeft w:val="0"/>
      <w:marRight w:val="0"/>
      <w:marTop w:val="0"/>
      <w:marBottom w:val="0"/>
      <w:divBdr>
        <w:top w:val="none" w:sz="0" w:space="0" w:color="auto"/>
        <w:left w:val="none" w:sz="0" w:space="0" w:color="auto"/>
        <w:bottom w:val="none" w:sz="0" w:space="0" w:color="auto"/>
        <w:right w:val="none" w:sz="0" w:space="0" w:color="auto"/>
      </w:divBdr>
    </w:div>
    <w:div w:id="1317608478">
      <w:bodyDiv w:val="1"/>
      <w:marLeft w:val="0"/>
      <w:marRight w:val="0"/>
      <w:marTop w:val="0"/>
      <w:marBottom w:val="0"/>
      <w:divBdr>
        <w:top w:val="none" w:sz="0" w:space="0" w:color="auto"/>
        <w:left w:val="none" w:sz="0" w:space="0" w:color="auto"/>
        <w:bottom w:val="none" w:sz="0" w:space="0" w:color="auto"/>
        <w:right w:val="none" w:sz="0" w:space="0" w:color="auto"/>
      </w:divBdr>
    </w:div>
    <w:div w:id="1318848347">
      <w:bodyDiv w:val="1"/>
      <w:marLeft w:val="0"/>
      <w:marRight w:val="0"/>
      <w:marTop w:val="0"/>
      <w:marBottom w:val="0"/>
      <w:divBdr>
        <w:top w:val="none" w:sz="0" w:space="0" w:color="auto"/>
        <w:left w:val="none" w:sz="0" w:space="0" w:color="auto"/>
        <w:bottom w:val="none" w:sz="0" w:space="0" w:color="auto"/>
        <w:right w:val="none" w:sz="0" w:space="0" w:color="auto"/>
      </w:divBdr>
    </w:div>
    <w:div w:id="1319502313">
      <w:bodyDiv w:val="1"/>
      <w:marLeft w:val="0"/>
      <w:marRight w:val="0"/>
      <w:marTop w:val="0"/>
      <w:marBottom w:val="0"/>
      <w:divBdr>
        <w:top w:val="none" w:sz="0" w:space="0" w:color="auto"/>
        <w:left w:val="none" w:sz="0" w:space="0" w:color="auto"/>
        <w:bottom w:val="none" w:sz="0" w:space="0" w:color="auto"/>
        <w:right w:val="none" w:sz="0" w:space="0" w:color="auto"/>
      </w:divBdr>
    </w:div>
    <w:div w:id="1319840900">
      <w:bodyDiv w:val="1"/>
      <w:marLeft w:val="0"/>
      <w:marRight w:val="0"/>
      <w:marTop w:val="0"/>
      <w:marBottom w:val="0"/>
      <w:divBdr>
        <w:top w:val="none" w:sz="0" w:space="0" w:color="auto"/>
        <w:left w:val="none" w:sz="0" w:space="0" w:color="auto"/>
        <w:bottom w:val="none" w:sz="0" w:space="0" w:color="auto"/>
        <w:right w:val="none" w:sz="0" w:space="0" w:color="auto"/>
      </w:divBdr>
    </w:div>
    <w:div w:id="1319841296">
      <w:bodyDiv w:val="1"/>
      <w:marLeft w:val="0"/>
      <w:marRight w:val="0"/>
      <w:marTop w:val="0"/>
      <w:marBottom w:val="0"/>
      <w:divBdr>
        <w:top w:val="none" w:sz="0" w:space="0" w:color="auto"/>
        <w:left w:val="none" w:sz="0" w:space="0" w:color="auto"/>
        <w:bottom w:val="none" w:sz="0" w:space="0" w:color="auto"/>
        <w:right w:val="none" w:sz="0" w:space="0" w:color="auto"/>
      </w:divBdr>
    </w:div>
    <w:div w:id="1319847921">
      <w:bodyDiv w:val="1"/>
      <w:marLeft w:val="0"/>
      <w:marRight w:val="0"/>
      <w:marTop w:val="0"/>
      <w:marBottom w:val="0"/>
      <w:divBdr>
        <w:top w:val="none" w:sz="0" w:space="0" w:color="auto"/>
        <w:left w:val="none" w:sz="0" w:space="0" w:color="auto"/>
        <w:bottom w:val="none" w:sz="0" w:space="0" w:color="auto"/>
        <w:right w:val="none" w:sz="0" w:space="0" w:color="auto"/>
      </w:divBdr>
    </w:div>
    <w:div w:id="1319916809">
      <w:bodyDiv w:val="1"/>
      <w:marLeft w:val="0"/>
      <w:marRight w:val="0"/>
      <w:marTop w:val="0"/>
      <w:marBottom w:val="0"/>
      <w:divBdr>
        <w:top w:val="none" w:sz="0" w:space="0" w:color="auto"/>
        <w:left w:val="none" w:sz="0" w:space="0" w:color="auto"/>
        <w:bottom w:val="none" w:sz="0" w:space="0" w:color="auto"/>
        <w:right w:val="none" w:sz="0" w:space="0" w:color="auto"/>
      </w:divBdr>
    </w:div>
    <w:div w:id="1320109713">
      <w:bodyDiv w:val="1"/>
      <w:marLeft w:val="0"/>
      <w:marRight w:val="0"/>
      <w:marTop w:val="0"/>
      <w:marBottom w:val="0"/>
      <w:divBdr>
        <w:top w:val="none" w:sz="0" w:space="0" w:color="auto"/>
        <w:left w:val="none" w:sz="0" w:space="0" w:color="auto"/>
        <w:bottom w:val="none" w:sz="0" w:space="0" w:color="auto"/>
        <w:right w:val="none" w:sz="0" w:space="0" w:color="auto"/>
      </w:divBdr>
    </w:div>
    <w:div w:id="1320502703">
      <w:bodyDiv w:val="1"/>
      <w:marLeft w:val="0"/>
      <w:marRight w:val="0"/>
      <w:marTop w:val="0"/>
      <w:marBottom w:val="0"/>
      <w:divBdr>
        <w:top w:val="none" w:sz="0" w:space="0" w:color="auto"/>
        <w:left w:val="none" w:sz="0" w:space="0" w:color="auto"/>
        <w:bottom w:val="none" w:sz="0" w:space="0" w:color="auto"/>
        <w:right w:val="none" w:sz="0" w:space="0" w:color="auto"/>
      </w:divBdr>
    </w:div>
    <w:div w:id="1320891573">
      <w:bodyDiv w:val="1"/>
      <w:marLeft w:val="0"/>
      <w:marRight w:val="0"/>
      <w:marTop w:val="0"/>
      <w:marBottom w:val="0"/>
      <w:divBdr>
        <w:top w:val="none" w:sz="0" w:space="0" w:color="auto"/>
        <w:left w:val="none" w:sz="0" w:space="0" w:color="auto"/>
        <w:bottom w:val="none" w:sz="0" w:space="0" w:color="auto"/>
        <w:right w:val="none" w:sz="0" w:space="0" w:color="auto"/>
      </w:divBdr>
    </w:div>
    <w:div w:id="1321084387">
      <w:bodyDiv w:val="1"/>
      <w:marLeft w:val="0"/>
      <w:marRight w:val="0"/>
      <w:marTop w:val="0"/>
      <w:marBottom w:val="0"/>
      <w:divBdr>
        <w:top w:val="none" w:sz="0" w:space="0" w:color="auto"/>
        <w:left w:val="none" w:sz="0" w:space="0" w:color="auto"/>
        <w:bottom w:val="none" w:sz="0" w:space="0" w:color="auto"/>
        <w:right w:val="none" w:sz="0" w:space="0" w:color="auto"/>
      </w:divBdr>
    </w:div>
    <w:div w:id="1322152523">
      <w:bodyDiv w:val="1"/>
      <w:marLeft w:val="0"/>
      <w:marRight w:val="0"/>
      <w:marTop w:val="0"/>
      <w:marBottom w:val="0"/>
      <w:divBdr>
        <w:top w:val="none" w:sz="0" w:space="0" w:color="auto"/>
        <w:left w:val="none" w:sz="0" w:space="0" w:color="auto"/>
        <w:bottom w:val="none" w:sz="0" w:space="0" w:color="auto"/>
        <w:right w:val="none" w:sz="0" w:space="0" w:color="auto"/>
      </w:divBdr>
    </w:div>
    <w:div w:id="1322393578">
      <w:bodyDiv w:val="1"/>
      <w:marLeft w:val="0"/>
      <w:marRight w:val="0"/>
      <w:marTop w:val="0"/>
      <w:marBottom w:val="0"/>
      <w:divBdr>
        <w:top w:val="none" w:sz="0" w:space="0" w:color="auto"/>
        <w:left w:val="none" w:sz="0" w:space="0" w:color="auto"/>
        <w:bottom w:val="none" w:sz="0" w:space="0" w:color="auto"/>
        <w:right w:val="none" w:sz="0" w:space="0" w:color="auto"/>
      </w:divBdr>
    </w:div>
    <w:div w:id="1322662947">
      <w:bodyDiv w:val="1"/>
      <w:marLeft w:val="0"/>
      <w:marRight w:val="0"/>
      <w:marTop w:val="0"/>
      <w:marBottom w:val="0"/>
      <w:divBdr>
        <w:top w:val="none" w:sz="0" w:space="0" w:color="auto"/>
        <w:left w:val="none" w:sz="0" w:space="0" w:color="auto"/>
        <w:bottom w:val="none" w:sz="0" w:space="0" w:color="auto"/>
        <w:right w:val="none" w:sz="0" w:space="0" w:color="auto"/>
      </w:divBdr>
    </w:div>
    <w:div w:id="1323195700">
      <w:bodyDiv w:val="1"/>
      <w:marLeft w:val="0"/>
      <w:marRight w:val="0"/>
      <w:marTop w:val="0"/>
      <w:marBottom w:val="0"/>
      <w:divBdr>
        <w:top w:val="none" w:sz="0" w:space="0" w:color="auto"/>
        <w:left w:val="none" w:sz="0" w:space="0" w:color="auto"/>
        <w:bottom w:val="none" w:sz="0" w:space="0" w:color="auto"/>
        <w:right w:val="none" w:sz="0" w:space="0" w:color="auto"/>
      </w:divBdr>
    </w:div>
    <w:div w:id="1324316867">
      <w:bodyDiv w:val="1"/>
      <w:marLeft w:val="0"/>
      <w:marRight w:val="0"/>
      <w:marTop w:val="0"/>
      <w:marBottom w:val="0"/>
      <w:divBdr>
        <w:top w:val="none" w:sz="0" w:space="0" w:color="auto"/>
        <w:left w:val="none" w:sz="0" w:space="0" w:color="auto"/>
        <w:bottom w:val="none" w:sz="0" w:space="0" w:color="auto"/>
        <w:right w:val="none" w:sz="0" w:space="0" w:color="auto"/>
      </w:divBdr>
    </w:div>
    <w:div w:id="1324358677">
      <w:bodyDiv w:val="1"/>
      <w:marLeft w:val="0"/>
      <w:marRight w:val="0"/>
      <w:marTop w:val="0"/>
      <w:marBottom w:val="0"/>
      <w:divBdr>
        <w:top w:val="none" w:sz="0" w:space="0" w:color="auto"/>
        <w:left w:val="none" w:sz="0" w:space="0" w:color="auto"/>
        <w:bottom w:val="none" w:sz="0" w:space="0" w:color="auto"/>
        <w:right w:val="none" w:sz="0" w:space="0" w:color="auto"/>
      </w:divBdr>
    </w:div>
    <w:div w:id="1324427703">
      <w:bodyDiv w:val="1"/>
      <w:marLeft w:val="0"/>
      <w:marRight w:val="0"/>
      <w:marTop w:val="0"/>
      <w:marBottom w:val="0"/>
      <w:divBdr>
        <w:top w:val="none" w:sz="0" w:space="0" w:color="auto"/>
        <w:left w:val="none" w:sz="0" w:space="0" w:color="auto"/>
        <w:bottom w:val="none" w:sz="0" w:space="0" w:color="auto"/>
        <w:right w:val="none" w:sz="0" w:space="0" w:color="auto"/>
      </w:divBdr>
    </w:div>
    <w:div w:id="1325284339">
      <w:bodyDiv w:val="1"/>
      <w:marLeft w:val="0"/>
      <w:marRight w:val="0"/>
      <w:marTop w:val="0"/>
      <w:marBottom w:val="0"/>
      <w:divBdr>
        <w:top w:val="none" w:sz="0" w:space="0" w:color="auto"/>
        <w:left w:val="none" w:sz="0" w:space="0" w:color="auto"/>
        <w:bottom w:val="none" w:sz="0" w:space="0" w:color="auto"/>
        <w:right w:val="none" w:sz="0" w:space="0" w:color="auto"/>
      </w:divBdr>
    </w:div>
    <w:div w:id="1325428294">
      <w:bodyDiv w:val="1"/>
      <w:marLeft w:val="0"/>
      <w:marRight w:val="0"/>
      <w:marTop w:val="0"/>
      <w:marBottom w:val="0"/>
      <w:divBdr>
        <w:top w:val="none" w:sz="0" w:space="0" w:color="auto"/>
        <w:left w:val="none" w:sz="0" w:space="0" w:color="auto"/>
        <w:bottom w:val="none" w:sz="0" w:space="0" w:color="auto"/>
        <w:right w:val="none" w:sz="0" w:space="0" w:color="auto"/>
      </w:divBdr>
    </w:div>
    <w:div w:id="1326319071">
      <w:bodyDiv w:val="1"/>
      <w:marLeft w:val="0"/>
      <w:marRight w:val="0"/>
      <w:marTop w:val="0"/>
      <w:marBottom w:val="0"/>
      <w:divBdr>
        <w:top w:val="none" w:sz="0" w:space="0" w:color="auto"/>
        <w:left w:val="none" w:sz="0" w:space="0" w:color="auto"/>
        <w:bottom w:val="none" w:sz="0" w:space="0" w:color="auto"/>
        <w:right w:val="none" w:sz="0" w:space="0" w:color="auto"/>
      </w:divBdr>
    </w:div>
    <w:div w:id="1326323276">
      <w:bodyDiv w:val="1"/>
      <w:marLeft w:val="0"/>
      <w:marRight w:val="0"/>
      <w:marTop w:val="0"/>
      <w:marBottom w:val="0"/>
      <w:divBdr>
        <w:top w:val="none" w:sz="0" w:space="0" w:color="auto"/>
        <w:left w:val="none" w:sz="0" w:space="0" w:color="auto"/>
        <w:bottom w:val="none" w:sz="0" w:space="0" w:color="auto"/>
        <w:right w:val="none" w:sz="0" w:space="0" w:color="auto"/>
      </w:divBdr>
    </w:div>
    <w:div w:id="1326473303">
      <w:bodyDiv w:val="1"/>
      <w:marLeft w:val="0"/>
      <w:marRight w:val="0"/>
      <w:marTop w:val="0"/>
      <w:marBottom w:val="0"/>
      <w:divBdr>
        <w:top w:val="none" w:sz="0" w:space="0" w:color="auto"/>
        <w:left w:val="none" w:sz="0" w:space="0" w:color="auto"/>
        <w:bottom w:val="none" w:sz="0" w:space="0" w:color="auto"/>
        <w:right w:val="none" w:sz="0" w:space="0" w:color="auto"/>
      </w:divBdr>
    </w:div>
    <w:div w:id="1326782882">
      <w:bodyDiv w:val="1"/>
      <w:marLeft w:val="0"/>
      <w:marRight w:val="0"/>
      <w:marTop w:val="0"/>
      <w:marBottom w:val="0"/>
      <w:divBdr>
        <w:top w:val="none" w:sz="0" w:space="0" w:color="auto"/>
        <w:left w:val="none" w:sz="0" w:space="0" w:color="auto"/>
        <w:bottom w:val="none" w:sz="0" w:space="0" w:color="auto"/>
        <w:right w:val="none" w:sz="0" w:space="0" w:color="auto"/>
      </w:divBdr>
    </w:div>
    <w:div w:id="1328440758">
      <w:bodyDiv w:val="1"/>
      <w:marLeft w:val="0"/>
      <w:marRight w:val="0"/>
      <w:marTop w:val="0"/>
      <w:marBottom w:val="0"/>
      <w:divBdr>
        <w:top w:val="none" w:sz="0" w:space="0" w:color="auto"/>
        <w:left w:val="none" w:sz="0" w:space="0" w:color="auto"/>
        <w:bottom w:val="none" w:sz="0" w:space="0" w:color="auto"/>
        <w:right w:val="none" w:sz="0" w:space="0" w:color="auto"/>
      </w:divBdr>
    </w:div>
    <w:div w:id="1328902963">
      <w:bodyDiv w:val="1"/>
      <w:marLeft w:val="0"/>
      <w:marRight w:val="0"/>
      <w:marTop w:val="0"/>
      <w:marBottom w:val="0"/>
      <w:divBdr>
        <w:top w:val="none" w:sz="0" w:space="0" w:color="auto"/>
        <w:left w:val="none" w:sz="0" w:space="0" w:color="auto"/>
        <w:bottom w:val="none" w:sz="0" w:space="0" w:color="auto"/>
        <w:right w:val="none" w:sz="0" w:space="0" w:color="auto"/>
      </w:divBdr>
    </w:div>
    <w:div w:id="1329167238">
      <w:bodyDiv w:val="1"/>
      <w:marLeft w:val="0"/>
      <w:marRight w:val="0"/>
      <w:marTop w:val="0"/>
      <w:marBottom w:val="0"/>
      <w:divBdr>
        <w:top w:val="none" w:sz="0" w:space="0" w:color="auto"/>
        <w:left w:val="none" w:sz="0" w:space="0" w:color="auto"/>
        <w:bottom w:val="none" w:sz="0" w:space="0" w:color="auto"/>
        <w:right w:val="none" w:sz="0" w:space="0" w:color="auto"/>
      </w:divBdr>
    </w:div>
    <w:div w:id="1329167443">
      <w:bodyDiv w:val="1"/>
      <w:marLeft w:val="0"/>
      <w:marRight w:val="0"/>
      <w:marTop w:val="0"/>
      <w:marBottom w:val="0"/>
      <w:divBdr>
        <w:top w:val="none" w:sz="0" w:space="0" w:color="auto"/>
        <w:left w:val="none" w:sz="0" w:space="0" w:color="auto"/>
        <w:bottom w:val="none" w:sz="0" w:space="0" w:color="auto"/>
        <w:right w:val="none" w:sz="0" w:space="0" w:color="auto"/>
      </w:divBdr>
    </w:div>
    <w:div w:id="1329167615">
      <w:bodyDiv w:val="1"/>
      <w:marLeft w:val="0"/>
      <w:marRight w:val="0"/>
      <w:marTop w:val="0"/>
      <w:marBottom w:val="0"/>
      <w:divBdr>
        <w:top w:val="none" w:sz="0" w:space="0" w:color="auto"/>
        <w:left w:val="none" w:sz="0" w:space="0" w:color="auto"/>
        <w:bottom w:val="none" w:sz="0" w:space="0" w:color="auto"/>
        <w:right w:val="none" w:sz="0" w:space="0" w:color="auto"/>
      </w:divBdr>
    </w:div>
    <w:div w:id="1329752768">
      <w:bodyDiv w:val="1"/>
      <w:marLeft w:val="0"/>
      <w:marRight w:val="0"/>
      <w:marTop w:val="0"/>
      <w:marBottom w:val="0"/>
      <w:divBdr>
        <w:top w:val="none" w:sz="0" w:space="0" w:color="auto"/>
        <w:left w:val="none" w:sz="0" w:space="0" w:color="auto"/>
        <w:bottom w:val="none" w:sz="0" w:space="0" w:color="auto"/>
        <w:right w:val="none" w:sz="0" w:space="0" w:color="auto"/>
      </w:divBdr>
    </w:div>
    <w:div w:id="1329753988">
      <w:bodyDiv w:val="1"/>
      <w:marLeft w:val="0"/>
      <w:marRight w:val="0"/>
      <w:marTop w:val="0"/>
      <w:marBottom w:val="0"/>
      <w:divBdr>
        <w:top w:val="none" w:sz="0" w:space="0" w:color="auto"/>
        <w:left w:val="none" w:sz="0" w:space="0" w:color="auto"/>
        <w:bottom w:val="none" w:sz="0" w:space="0" w:color="auto"/>
        <w:right w:val="none" w:sz="0" w:space="0" w:color="auto"/>
      </w:divBdr>
    </w:div>
    <w:div w:id="1330138020">
      <w:bodyDiv w:val="1"/>
      <w:marLeft w:val="0"/>
      <w:marRight w:val="0"/>
      <w:marTop w:val="0"/>
      <w:marBottom w:val="0"/>
      <w:divBdr>
        <w:top w:val="none" w:sz="0" w:space="0" w:color="auto"/>
        <w:left w:val="none" w:sz="0" w:space="0" w:color="auto"/>
        <w:bottom w:val="none" w:sz="0" w:space="0" w:color="auto"/>
        <w:right w:val="none" w:sz="0" w:space="0" w:color="auto"/>
      </w:divBdr>
    </w:div>
    <w:div w:id="1330675172">
      <w:bodyDiv w:val="1"/>
      <w:marLeft w:val="0"/>
      <w:marRight w:val="0"/>
      <w:marTop w:val="0"/>
      <w:marBottom w:val="0"/>
      <w:divBdr>
        <w:top w:val="none" w:sz="0" w:space="0" w:color="auto"/>
        <w:left w:val="none" w:sz="0" w:space="0" w:color="auto"/>
        <w:bottom w:val="none" w:sz="0" w:space="0" w:color="auto"/>
        <w:right w:val="none" w:sz="0" w:space="0" w:color="auto"/>
      </w:divBdr>
    </w:div>
    <w:div w:id="1330714091">
      <w:bodyDiv w:val="1"/>
      <w:marLeft w:val="0"/>
      <w:marRight w:val="0"/>
      <w:marTop w:val="0"/>
      <w:marBottom w:val="0"/>
      <w:divBdr>
        <w:top w:val="none" w:sz="0" w:space="0" w:color="auto"/>
        <w:left w:val="none" w:sz="0" w:space="0" w:color="auto"/>
        <w:bottom w:val="none" w:sz="0" w:space="0" w:color="auto"/>
        <w:right w:val="none" w:sz="0" w:space="0" w:color="auto"/>
      </w:divBdr>
      <w:divsChild>
        <w:div w:id="275064420">
          <w:marLeft w:val="0"/>
          <w:marRight w:val="0"/>
          <w:marTop w:val="0"/>
          <w:marBottom w:val="0"/>
          <w:divBdr>
            <w:top w:val="none" w:sz="0" w:space="0" w:color="auto"/>
            <w:left w:val="none" w:sz="0" w:space="0" w:color="auto"/>
            <w:bottom w:val="none" w:sz="0" w:space="0" w:color="auto"/>
            <w:right w:val="none" w:sz="0" w:space="0" w:color="auto"/>
          </w:divBdr>
          <w:divsChild>
            <w:div w:id="193619619">
              <w:marLeft w:val="0"/>
              <w:marRight w:val="0"/>
              <w:marTop w:val="0"/>
              <w:marBottom w:val="0"/>
              <w:divBdr>
                <w:top w:val="none" w:sz="0" w:space="0" w:color="auto"/>
                <w:left w:val="none" w:sz="0" w:space="0" w:color="auto"/>
                <w:bottom w:val="none" w:sz="0" w:space="0" w:color="auto"/>
                <w:right w:val="none" w:sz="0" w:space="0" w:color="auto"/>
              </w:divBdr>
            </w:div>
          </w:divsChild>
        </w:div>
        <w:div w:id="825709968">
          <w:marLeft w:val="0"/>
          <w:marRight w:val="0"/>
          <w:marTop w:val="0"/>
          <w:marBottom w:val="0"/>
          <w:divBdr>
            <w:top w:val="none" w:sz="0" w:space="0" w:color="auto"/>
            <w:left w:val="none" w:sz="0" w:space="0" w:color="auto"/>
            <w:bottom w:val="none" w:sz="0" w:space="0" w:color="auto"/>
            <w:right w:val="none" w:sz="0" w:space="0" w:color="auto"/>
          </w:divBdr>
          <w:divsChild>
            <w:div w:id="1939866555">
              <w:marLeft w:val="0"/>
              <w:marRight w:val="0"/>
              <w:marTop w:val="0"/>
              <w:marBottom w:val="0"/>
              <w:divBdr>
                <w:top w:val="none" w:sz="0" w:space="0" w:color="auto"/>
                <w:left w:val="none" w:sz="0" w:space="0" w:color="auto"/>
                <w:bottom w:val="none" w:sz="0" w:space="0" w:color="auto"/>
                <w:right w:val="none" w:sz="0" w:space="0" w:color="auto"/>
              </w:divBdr>
            </w:div>
          </w:divsChild>
        </w:div>
        <w:div w:id="1673601863">
          <w:marLeft w:val="0"/>
          <w:marRight w:val="0"/>
          <w:marTop w:val="0"/>
          <w:marBottom w:val="0"/>
          <w:divBdr>
            <w:top w:val="none" w:sz="0" w:space="0" w:color="auto"/>
            <w:left w:val="none" w:sz="0" w:space="0" w:color="auto"/>
            <w:bottom w:val="none" w:sz="0" w:space="0" w:color="auto"/>
            <w:right w:val="none" w:sz="0" w:space="0" w:color="auto"/>
          </w:divBdr>
          <w:divsChild>
            <w:div w:id="104039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985215">
      <w:bodyDiv w:val="1"/>
      <w:marLeft w:val="0"/>
      <w:marRight w:val="0"/>
      <w:marTop w:val="0"/>
      <w:marBottom w:val="0"/>
      <w:divBdr>
        <w:top w:val="none" w:sz="0" w:space="0" w:color="auto"/>
        <w:left w:val="none" w:sz="0" w:space="0" w:color="auto"/>
        <w:bottom w:val="none" w:sz="0" w:space="0" w:color="auto"/>
        <w:right w:val="none" w:sz="0" w:space="0" w:color="auto"/>
      </w:divBdr>
    </w:div>
    <w:div w:id="1330987041">
      <w:bodyDiv w:val="1"/>
      <w:marLeft w:val="0"/>
      <w:marRight w:val="0"/>
      <w:marTop w:val="0"/>
      <w:marBottom w:val="0"/>
      <w:divBdr>
        <w:top w:val="none" w:sz="0" w:space="0" w:color="auto"/>
        <w:left w:val="none" w:sz="0" w:space="0" w:color="auto"/>
        <w:bottom w:val="none" w:sz="0" w:space="0" w:color="auto"/>
        <w:right w:val="none" w:sz="0" w:space="0" w:color="auto"/>
      </w:divBdr>
    </w:div>
    <w:div w:id="1331181314">
      <w:bodyDiv w:val="1"/>
      <w:marLeft w:val="0"/>
      <w:marRight w:val="0"/>
      <w:marTop w:val="0"/>
      <w:marBottom w:val="0"/>
      <w:divBdr>
        <w:top w:val="none" w:sz="0" w:space="0" w:color="auto"/>
        <w:left w:val="none" w:sz="0" w:space="0" w:color="auto"/>
        <w:bottom w:val="none" w:sz="0" w:space="0" w:color="auto"/>
        <w:right w:val="none" w:sz="0" w:space="0" w:color="auto"/>
      </w:divBdr>
    </w:div>
    <w:div w:id="1331639243">
      <w:bodyDiv w:val="1"/>
      <w:marLeft w:val="0"/>
      <w:marRight w:val="0"/>
      <w:marTop w:val="0"/>
      <w:marBottom w:val="0"/>
      <w:divBdr>
        <w:top w:val="none" w:sz="0" w:space="0" w:color="auto"/>
        <w:left w:val="none" w:sz="0" w:space="0" w:color="auto"/>
        <w:bottom w:val="none" w:sz="0" w:space="0" w:color="auto"/>
        <w:right w:val="none" w:sz="0" w:space="0" w:color="auto"/>
      </w:divBdr>
    </w:div>
    <w:div w:id="1332102660">
      <w:bodyDiv w:val="1"/>
      <w:marLeft w:val="0"/>
      <w:marRight w:val="0"/>
      <w:marTop w:val="0"/>
      <w:marBottom w:val="0"/>
      <w:divBdr>
        <w:top w:val="none" w:sz="0" w:space="0" w:color="auto"/>
        <w:left w:val="none" w:sz="0" w:space="0" w:color="auto"/>
        <w:bottom w:val="none" w:sz="0" w:space="0" w:color="auto"/>
        <w:right w:val="none" w:sz="0" w:space="0" w:color="auto"/>
      </w:divBdr>
    </w:div>
    <w:div w:id="1332295210">
      <w:bodyDiv w:val="1"/>
      <w:marLeft w:val="0"/>
      <w:marRight w:val="0"/>
      <w:marTop w:val="0"/>
      <w:marBottom w:val="0"/>
      <w:divBdr>
        <w:top w:val="none" w:sz="0" w:space="0" w:color="auto"/>
        <w:left w:val="none" w:sz="0" w:space="0" w:color="auto"/>
        <w:bottom w:val="none" w:sz="0" w:space="0" w:color="auto"/>
        <w:right w:val="none" w:sz="0" w:space="0" w:color="auto"/>
      </w:divBdr>
    </w:div>
    <w:div w:id="1332679803">
      <w:bodyDiv w:val="1"/>
      <w:marLeft w:val="0"/>
      <w:marRight w:val="0"/>
      <w:marTop w:val="0"/>
      <w:marBottom w:val="0"/>
      <w:divBdr>
        <w:top w:val="none" w:sz="0" w:space="0" w:color="auto"/>
        <w:left w:val="none" w:sz="0" w:space="0" w:color="auto"/>
        <w:bottom w:val="none" w:sz="0" w:space="0" w:color="auto"/>
        <w:right w:val="none" w:sz="0" w:space="0" w:color="auto"/>
      </w:divBdr>
    </w:div>
    <w:div w:id="1334335921">
      <w:bodyDiv w:val="1"/>
      <w:marLeft w:val="0"/>
      <w:marRight w:val="0"/>
      <w:marTop w:val="0"/>
      <w:marBottom w:val="0"/>
      <w:divBdr>
        <w:top w:val="none" w:sz="0" w:space="0" w:color="auto"/>
        <w:left w:val="none" w:sz="0" w:space="0" w:color="auto"/>
        <w:bottom w:val="none" w:sz="0" w:space="0" w:color="auto"/>
        <w:right w:val="none" w:sz="0" w:space="0" w:color="auto"/>
      </w:divBdr>
    </w:div>
    <w:div w:id="1334793463">
      <w:bodyDiv w:val="1"/>
      <w:marLeft w:val="0"/>
      <w:marRight w:val="0"/>
      <w:marTop w:val="0"/>
      <w:marBottom w:val="0"/>
      <w:divBdr>
        <w:top w:val="none" w:sz="0" w:space="0" w:color="auto"/>
        <w:left w:val="none" w:sz="0" w:space="0" w:color="auto"/>
        <w:bottom w:val="none" w:sz="0" w:space="0" w:color="auto"/>
        <w:right w:val="none" w:sz="0" w:space="0" w:color="auto"/>
      </w:divBdr>
    </w:div>
    <w:div w:id="1335693448">
      <w:bodyDiv w:val="1"/>
      <w:marLeft w:val="0"/>
      <w:marRight w:val="0"/>
      <w:marTop w:val="0"/>
      <w:marBottom w:val="0"/>
      <w:divBdr>
        <w:top w:val="none" w:sz="0" w:space="0" w:color="auto"/>
        <w:left w:val="none" w:sz="0" w:space="0" w:color="auto"/>
        <w:bottom w:val="none" w:sz="0" w:space="0" w:color="auto"/>
        <w:right w:val="none" w:sz="0" w:space="0" w:color="auto"/>
      </w:divBdr>
    </w:div>
    <w:div w:id="1338537412">
      <w:bodyDiv w:val="1"/>
      <w:marLeft w:val="0"/>
      <w:marRight w:val="0"/>
      <w:marTop w:val="0"/>
      <w:marBottom w:val="0"/>
      <w:divBdr>
        <w:top w:val="none" w:sz="0" w:space="0" w:color="auto"/>
        <w:left w:val="none" w:sz="0" w:space="0" w:color="auto"/>
        <w:bottom w:val="none" w:sz="0" w:space="0" w:color="auto"/>
        <w:right w:val="none" w:sz="0" w:space="0" w:color="auto"/>
      </w:divBdr>
    </w:div>
    <w:div w:id="1338655178">
      <w:bodyDiv w:val="1"/>
      <w:marLeft w:val="0"/>
      <w:marRight w:val="0"/>
      <w:marTop w:val="0"/>
      <w:marBottom w:val="0"/>
      <w:divBdr>
        <w:top w:val="none" w:sz="0" w:space="0" w:color="auto"/>
        <w:left w:val="none" w:sz="0" w:space="0" w:color="auto"/>
        <w:bottom w:val="none" w:sz="0" w:space="0" w:color="auto"/>
        <w:right w:val="none" w:sz="0" w:space="0" w:color="auto"/>
      </w:divBdr>
    </w:div>
    <w:div w:id="1338727406">
      <w:bodyDiv w:val="1"/>
      <w:marLeft w:val="0"/>
      <w:marRight w:val="0"/>
      <w:marTop w:val="0"/>
      <w:marBottom w:val="0"/>
      <w:divBdr>
        <w:top w:val="none" w:sz="0" w:space="0" w:color="auto"/>
        <w:left w:val="none" w:sz="0" w:space="0" w:color="auto"/>
        <w:bottom w:val="none" w:sz="0" w:space="0" w:color="auto"/>
        <w:right w:val="none" w:sz="0" w:space="0" w:color="auto"/>
      </w:divBdr>
    </w:div>
    <w:div w:id="1340742800">
      <w:bodyDiv w:val="1"/>
      <w:marLeft w:val="0"/>
      <w:marRight w:val="0"/>
      <w:marTop w:val="0"/>
      <w:marBottom w:val="0"/>
      <w:divBdr>
        <w:top w:val="none" w:sz="0" w:space="0" w:color="auto"/>
        <w:left w:val="none" w:sz="0" w:space="0" w:color="auto"/>
        <w:bottom w:val="none" w:sz="0" w:space="0" w:color="auto"/>
        <w:right w:val="none" w:sz="0" w:space="0" w:color="auto"/>
      </w:divBdr>
    </w:div>
    <w:div w:id="1340961721">
      <w:bodyDiv w:val="1"/>
      <w:marLeft w:val="0"/>
      <w:marRight w:val="0"/>
      <w:marTop w:val="0"/>
      <w:marBottom w:val="0"/>
      <w:divBdr>
        <w:top w:val="none" w:sz="0" w:space="0" w:color="auto"/>
        <w:left w:val="none" w:sz="0" w:space="0" w:color="auto"/>
        <w:bottom w:val="none" w:sz="0" w:space="0" w:color="auto"/>
        <w:right w:val="none" w:sz="0" w:space="0" w:color="auto"/>
      </w:divBdr>
    </w:div>
    <w:div w:id="1341855797">
      <w:bodyDiv w:val="1"/>
      <w:marLeft w:val="0"/>
      <w:marRight w:val="0"/>
      <w:marTop w:val="0"/>
      <w:marBottom w:val="0"/>
      <w:divBdr>
        <w:top w:val="none" w:sz="0" w:space="0" w:color="auto"/>
        <w:left w:val="none" w:sz="0" w:space="0" w:color="auto"/>
        <w:bottom w:val="none" w:sz="0" w:space="0" w:color="auto"/>
        <w:right w:val="none" w:sz="0" w:space="0" w:color="auto"/>
      </w:divBdr>
    </w:div>
    <w:div w:id="1342202788">
      <w:bodyDiv w:val="1"/>
      <w:marLeft w:val="0"/>
      <w:marRight w:val="0"/>
      <w:marTop w:val="0"/>
      <w:marBottom w:val="0"/>
      <w:divBdr>
        <w:top w:val="none" w:sz="0" w:space="0" w:color="auto"/>
        <w:left w:val="none" w:sz="0" w:space="0" w:color="auto"/>
        <w:bottom w:val="none" w:sz="0" w:space="0" w:color="auto"/>
        <w:right w:val="none" w:sz="0" w:space="0" w:color="auto"/>
      </w:divBdr>
    </w:div>
    <w:div w:id="1342586558">
      <w:bodyDiv w:val="1"/>
      <w:marLeft w:val="0"/>
      <w:marRight w:val="0"/>
      <w:marTop w:val="0"/>
      <w:marBottom w:val="0"/>
      <w:divBdr>
        <w:top w:val="none" w:sz="0" w:space="0" w:color="auto"/>
        <w:left w:val="none" w:sz="0" w:space="0" w:color="auto"/>
        <w:bottom w:val="none" w:sz="0" w:space="0" w:color="auto"/>
        <w:right w:val="none" w:sz="0" w:space="0" w:color="auto"/>
      </w:divBdr>
    </w:div>
    <w:div w:id="1342851798">
      <w:bodyDiv w:val="1"/>
      <w:marLeft w:val="0"/>
      <w:marRight w:val="0"/>
      <w:marTop w:val="0"/>
      <w:marBottom w:val="0"/>
      <w:divBdr>
        <w:top w:val="none" w:sz="0" w:space="0" w:color="auto"/>
        <w:left w:val="none" w:sz="0" w:space="0" w:color="auto"/>
        <w:bottom w:val="none" w:sz="0" w:space="0" w:color="auto"/>
        <w:right w:val="none" w:sz="0" w:space="0" w:color="auto"/>
      </w:divBdr>
    </w:div>
    <w:div w:id="1342901936">
      <w:bodyDiv w:val="1"/>
      <w:marLeft w:val="0"/>
      <w:marRight w:val="0"/>
      <w:marTop w:val="0"/>
      <w:marBottom w:val="0"/>
      <w:divBdr>
        <w:top w:val="none" w:sz="0" w:space="0" w:color="auto"/>
        <w:left w:val="none" w:sz="0" w:space="0" w:color="auto"/>
        <w:bottom w:val="none" w:sz="0" w:space="0" w:color="auto"/>
        <w:right w:val="none" w:sz="0" w:space="0" w:color="auto"/>
      </w:divBdr>
    </w:div>
    <w:div w:id="1343817627">
      <w:bodyDiv w:val="1"/>
      <w:marLeft w:val="0"/>
      <w:marRight w:val="0"/>
      <w:marTop w:val="0"/>
      <w:marBottom w:val="0"/>
      <w:divBdr>
        <w:top w:val="none" w:sz="0" w:space="0" w:color="auto"/>
        <w:left w:val="none" w:sz="0" w:space="0" w:color="auto"/>
        <w:bottom w:val="none" w:sz="0" w:space="0" w:color="auto"/>
        <w:right w:val="none" w:sz="0" w:space="0" w:color="auto"/>
      </w:divBdr>
    </w:div>
    <w:div w:id="1344864290">
      <w:bodyDiv w:val="1"/>
      <w:marLeft w:val="0"/>
      <w:marRight w:val="0"/>
      <w:marTop w:val="0"/>
      <w:marBottom w:val="0"/>
      <w:divBdr>
        <w:top w:val="none" w:sz="0" w:space="0" w:color="auto"/>
        <w:left w:val="none" w:sz="0" w:space="0" w:color="auto"/>
        <w:bottom w:val="none" w:sz="0" w:space="0" w:color="auto"/>
        <w:right w:val="none" w:sz="0" w:space="0" w:color="auto"/>
      </w:divBdr>
    </w:div>
    <w:div w:id="1345940158">
      <w:bodyDiv w:val="1"/>
      <w:marLeft w:val="0"/>
      <w:marRight w:val="0"/>
      <w:marTop w:val="0"/>
      <w:marBottom w:val="0"/>
      <w:divBdr>
        <w:top w:val="none" w:sz="0" w:space="0" w:color="auto"/>
        <w:left w:val="none" w:sz="0" w:space="0" w:color="auto"/>
        <w:bottom w:val="none" w:sz="0" w:space="0" w:color="auto"/>
        <w:right w:val="none" w:sz="0" w:space="0" w:color="auto"/>
      </w:divBdr>
    </w:div>
    <w:div w:id="1346981153">
      <w:bodyDiv w:val="1"/>
      <w:marLeft w:val="0"/>
      <w:marRight w:val="0"/>
      <w:marTop w:val="0"/>
      <w:marBottom w:val="0"/>
      <w:divBdr>
        <w:top w:val="none" w:sz="0" w:space="0" w:color="auto"/>
        <w:left w:val="none" w:sz="0" w:space="0" w:color="auto"/>
        <w:bottom w:val="none" w:sz="0" w:space="0" w:color="auto"/>
        <w:right w:val="none" w:sz="0" w:space="0" w:color="auto"/>
      </w:divBdr>
    </w:div>
    <w:div w:id="1347247997">
      <w:bodyDiv w:val="1"/>
      <w:marLeft w:val="0"/>
      <w:marRight w:val="0"/>
      <w:marTop w:val="0"/>
      <w:marBottom w:val="0"/>
      <w:divBdr>
        <w:top w:val="none" w:sz="0" w:space="0" w:color="auto"/>
        <w:left w:val="none" w:sz="0" w:space="0" w:color="auto"/>
        <w:bottom w:val="none" w:sz="0" w:space="0" w:color="auto"/>
        <w:right w:val="none" w:sz="0" w:space="0" w:color="auto"/>
      </w:divBdr>
    </w:div>
    <w:div w:id="1347294229">
      <w:bodyDiv w:val="1"/>
      <w:marLeft w:val="0"/>
      <w:marRight w:val="0"/>
      <w:marTop w:val="0"/>
      <w:marBottom w:val="0"/>
      <w:divBdr>
        <w:top w:val="none" w:sz="0" w:space="0" w:color="auto"/>
        <w:left w:val="none" w:sz="0" w:space="0" w:color="auto"/>
        <w:bottom w:val="none" w:sz="0" w:space="0" w:color="auto"/>
        <w:right w:val="none" w:sz="0" w:space="0" w:color="auto"/>
      </w:divBdr>
    </w:div>
    <w:div w:id="1347944568">
      <w:bodyDiv w:val="1"/>
      <w:marLeft w:val="0"/>
      <w:marRight w:val="0"/>
      <w:marTop w:val="0"/>
      <w:marBottom w:val="0"/>
      <w:divBdr>
        <w:top w:val="none" w:sz="0" w:space="0" w:color="auto"/>
        <w:left w:val="none" w:sz="0" w:space="0" w:color="auto"/>
        <w:bottom w:val="none" w:sz="0" w:space="0" w:color="auto"/>
        <w:right w:val="none" w:sz="0" w:space="0" w:color="auto"/>
      </w:divBdr>
    </w:div>
    <w:div w:id="1347948850">
      <w:bodyDiv w:val="1"/>
      <w:marLeft w:val="0"/>
      <w:marRight w:val="0"/>
      <w:marTop w:val="0"/>
      <w:marBottom w:val="0"/>
      <w:divBdr>
        <w:top w:val="none" w:sz="0" w:space="0" w:color="auto"/>
        <w:left w:val="none" w:sz="0" w:space="0" w:color="auto"/>
        <w:bottom w:val="none" w:sz="0" w:space="0" w:color="auto"/>
        <w:right w:val="none" w:sz="0" w:space="0" w:color="auto"/>
      </w:divBdr>
    </w:div>
    <w:div w:id="1348217739">
      <w:bodyDiv w:val="1"/>
      <w:marLeft w:val="0"/>
      <w:marRight w:val="0"/>
      <w:marTop w:val="0"/>
      <w:marBottom w:val="0"/>
      <w:divBdr>
        <w:top w:val="none" w:sz="0" w:space="0" w:color="auto"/>
        <w:left w:val="none" w:sz="0" w:space="0" w:color="auto"/>
        <w:bottom w:val="none" w:sz="0" w:space="0" w:color="auto"/>
        <w:right w:val="none" w:sz="0" w:space="0" w:color="auto"/>
      </w:divBdr>
    </w:div>
    <w:div w:id="1348361381">
      <w:bodyDiv w:val="1"/>
      <w:marLeft w:val="0"/>
      <w:marRight w:val="0"/>
      <w:marTop w:val="0"/>
      <w:marBottom w:val="0"/>
      <w:divBdr>
        <w:top w:val="none" w:sz="0" w:space="0" w:color="auto"/>
        <w:left w:val="none" w:sz="0" w:space="0" w:color="auto"/>
        <w:bottom w:val="none" w:sz="0" w:space="0" w:color="auto"/>
        <w:right w:val="none" w:sz="0" w:space="0" w:color="auto"/>
      </w:divBdr>
    </w:div>
    <w:div w:id="1348363893">
      <w:bodyDiv w:val="1"/>
      <w:marLeft w:val="0"/>
      <w:marRight w:val="0"/>
      <w:marTop w:val="0"/>
      <w:marBottom w:val="0"/>
      <w:divBdr>
        <w:top w:val="none" w:sz="0" w:space="0" w:color="auto"/>
        <w:left w:val="none" w:sz="0" w:space="0" w:color="auto"/>
        <w:bottom w:val="none" w:sz="0" w:space="0" w:color="auto"/>
        <w:right w:val="none" w:sz="0" w:space="0" w:color="auto"/>
      </w:divBdr>
    </w:div>
    <w:div w:id="1349676613">
      <w:bodyDiv w:val="1"/>
      <w:marLeft w:val="0"/>
      <w:marRight w:val="0"/>
      <w:marTop w:val="0"/>
      <w:marBottom w:val="0"/>
      <w:divBdr>
        <w:top w:val="none" w:sz="0" w:space="0" w:color="auto"/>
        <w:left w:val="none" w:sz="0" w:space="0" w:color="auto"/>
        <w:bottom w:val="none" w:sz="0" w:space="0" w:color="auto"/>
        <w:right w:val="none" w:sz="0" w:space="0" w:color="auto"/>
      </w:divBdr>
    </w:div>
    <w:div w:id="1349795129">
      <w:bodyDiv w:val="1"/>
      <w:marLeft w:val="0"/>
      <w:marRight w:val="0"/>
      <w:marTop w:val="0"/>
      <w:marBottom w:val="0"/>
      <w:divBdr>
        <w:top w:val="none" w:sz="0" w:space="0" w:color="auto"/>
        <w:left w:val="none" w:sz="0" w:space="0" w:color="auto"/>
        <w:bottom w:val="none" w:sz="0" w:space="0" w:color="auto"/>
        <w:right w:val="none" w:sz="0" w:space="0" w:color="auto"/>
      </w:divBdr>
    </w:div>
    <w:div w:id="1351957253">
      <w:bodyDiv w:val="1"/>
      <w:marLeft w:val="0"/>
      <w:marRight w:val="0"/>
      <w:marTop w:val="0"/>
      <w:marBottom w:val="0"/>
      <w:divBdr>
        <w:top w:val="none" w:sz="0" w:space="0" w:color="auto"/>
        <w:left w:val="none" w:sz="0" w:space="0" w:color="auto"/>
        <w:bottom w:val="none" w:sz="0" w:space="0" w:color="auto"/>
        <w:right w:val="none" w:sz="0" w:space="0" w:color="auto"/>
      </w:divBdr>
    </w:div>
    <w:div w:id="1352074121">
      <w:bodyDiv w:val="1"/>
      <w:marLeft w:val="0"/>
      <w:marRight w:val="0"/>
      <w:marTop w:val="0"/>
      <w:marBottom w:val="0"/>
      <w:divBdr>
        <w:top w:val="none" w:sz="0" w:space="0" w:color="auto"/>
        <w:left w:val="none" w:sz="0" w:space="0" w:color="auto"/>
        <w:bottom w:val="none" w:sz="0" w:space="0" w:color="auto"/>
        <w:right w:val="none" w:sz="0" w:space="0" w:color="auto"/>
      </w:divBdr>
    </w:div>
    <w:div w:id="1352486755">
      <w:bodyDiv w:val="1"/>
      <w:marLeft w:val="0"/>
      <w:marRight w:val="0"/>
      <w:marTop w:val="0"/>
      <w:marBottom w:val="0"/>
      <w:divBdr>
        <w:top w:val="none" w:sz="0" w:space="0" w:color="auto"/>
        <w:left w:val="none" w:sz="0" w:space="0" w:color="auto"/>
        <w:bottom w:val="none" w:sz="0" w:space="0" w:color="auto"/>
        <w:right w:val="none" w:sz="0" w:space="0" w:color="auto"/>
      </w:divBdr>
    </w:div>
    <w:div w:id="1352494469">
      <w:bodyDiv w:val="1"/>
      <w:marLeft w:val="0"/>
      <w:marRight w:val="0"/>
      <w:marTop w:val="0"/>
      <w:marBottom w:val="0"/>
      <w:divBdr>
        <w:top w:val="none" w:sz="0" w:space="0" w:color="auto"/>
        <w:left w:val="none" w:sz="0" w:space="0" w:color="auto"/>
        <w:bottom w:val="none" w:sz="0" w:space="0" w:color="auto"/>
        <w:right w:val="none" w:sz="0" w:space="0" w:color="auto"/>
      </w:divBdr>
    </w:div>
    <w:div w:id="1353141352">
      <w:bodyDiv w:val="1"/>
      <w:marLeft w:val="0"/>
      <w:marRight w:val="0"/>
      <w:marTop w:val="0"/>
      <w:marBottom w:val="0"/>
      <w:divBdr>
        <w:top w:val="none" w:sz="0" w:space="0" w:color="auto"/>
        <w:left w:val="none" w:sz="0" w:space="0" w:color="auto"/>
        <w:bottom w:val="none" w:sz="0" w:space="0" w:color="auto"/>
        <w:right w:val="none" w:sz="0" w:space="0" w:color="auto"/>
      </w:divBdr>
    </w:div>
    <w:div w:id="1353536391">
      <w:bodyDiv w:val="1"/>
      <w:marLeft w:val="0"/>
      <w:marRight w:val="0"/>
      <w:marTop w:val="0"/>
      <w:marBottom w:val="0"/>
      <w:divBdr>
        <w:top w:val="none" w:sz="0" w:space="0" w:color="auto"/>
        <w:left w:val="none" w:sz="0" w:space="0" w:color="auto"/>
        <w:bottom w:val="none" w:sz="0" w:space="0" w:color="auto"/>
        <w:right w:val="none" w:sz="0" w:space="0" w:color="auto"/>
      </w:divBdr>
    </w:div>
    <w:div w:id="1353652099">
      <w:bodyDiv w:val="1"/>
      <w:marLeft w:val="0"/>
      <w:marRight w:val="0"/>
      <w:marTop w:val="0"/>
      <w:marBottom w:val="0"/>
      <w:divBdr>
        <w:top w:val="none" w:sz="0" w:space="0" w:color="auto"/>
        <w:left w:val="none" w:sz="0" w:space="0" w:color="auto"/>
        <w:bottom w:val="none" w:sz="0" w:space="0" w:color="auto"/>
        <w:right w:val="none" w:sz="0" w:space="0" w:color="auto"/>
      </w:divBdr>
    </w:div>
    <w:div w:id="1354528405">
      <w:bodyDiv w:val="1"/>
      <w:marLeft w:val="0"/>
      <w:marRight w:val="0"/>
      <w:marTop w:val="0"/>
      <w:marBottom w:val="0"/>
      <w:divBdr>
        <w:top w:val="none" w:sz="0" w:space="0" w:color="auto"/>
        <w:left w:val="none" w:sz="0" w:space="0" w:color="auto"/>
        <w:bottom w:val="none" w:sz="0" w:space="0" w:color="auto"/>
        <w:right w:val="none" w:sz="0" w:space="0" w:color="auto"/>
      </w:divBdr>
    </w:div>
    <w:div w:id="1354764088">
      <w:bodyDiv w:val="1"/>
      <w:marLeft w:val="0"/>
      <w:marRight w:val="0"/>
      <w:marTop w:val="0"/>
      <w:marBottom w:val="0"/>
      <w:divBdr>
        <w:top w:val="none" w:sz="0" w:space="0" w:color="auto"/>
        <w:left w:val="none" w:sz="0" w:space="0" w:color="auto"/>
        <w:bottom w:val="none" w:sz="0" w:space="0" w:color="auto"/>
        <w:right w:val="none" w:sz="0" w:space="0" w:color="auto"/>
      </w:divBdr>
    </w:div>
    <w:div w:id="1354765789">
      <w:bodyDiv w:val="1"/>
      <w:marLeft w:val="0"/>
      <w:marRight w:val="0"/>
      <w:marTop w:val="0"/>
      <w:marBottom w:val="0"/>
      <w:divBdr>
        <w:top w:val="none" w:sz="0" w:space="0" w:color="auto"/>
        <w:left w:val="none" w:sz="0" w:space="0" w:color="auto"/>
        <w:bottom w:val="none" w:sz="0" w:space="0" w:color="auto"/>
        <w:right w:val="none" w:sz="0" w:space="0" w:color="auto"/>
      </w:divBdr>
    </w:div>
    <w:div w:id="1354838627">
      <w:bodyDiv w:val="1"/>
      <w:marLeft w:val="0"/>
      <w:marRight w:val="0"/>
      <w:marTop w:val="0"/>
      <w:marBottom w:val="0"/>
      <w:divBdr>
        <w:top w:val="none" w:sz="0" w:space="0" w:color="auto"/>
        <w:left w:val="none" w:sz="0" w:space="0" w:color="auto"/>
        <w:bottom w:val="none" w:sz="0" w:space="0" w:color="auto"/>
        <w:right w:val="none" w:sz="0" w:space="0" w:color="auto"/>
      </w:divBdr>
    </w:div>
    <w:div w:id="1355186105">
      <w:bodyDiv w:val="1"/>
      <w:marLeft w:val="0"/>
      <w:marRight w:val="0"/>
      <w:marTop w:val="0"/>
      <w:marBottom w:val="0"/>
      <w:divBdr>
        <w:top w:val="none" w:sz="0" w:space="0" w:color="auto"/>
        <w:left w:val="none" w:sz="0" w:space="0" w:color="auto"/>
        <w:bottom w:val="none" w:sz="0" w:space="0" w:color="auto"/>
        <w:right w:val="none" w:sz="0" w:space="0" w:color="auto"/>
      </w:divBdr>
    </w:div>
    <w:div w:id="1358193541">
      <w:bodyDiv w:val="1"/>
      <w:marLeft w:val="0"/>
      <w:marRight w:val="0"/>
      <w:marTop w:val="0"/>
      <w:marBottom w:val="0"/>
      <w:divBdr>
        <w:top w:val="none" w:sz="0" w:space="0" w:color="auto"/>
        <w:left w:val="none" w:sz="0" w:space="0" w:color="auto"/>
        <w:bottom w:val="none" w:sz="0" w:space="0" w:color="auto"/>
        <w:right w:val="none" w:sz="0" w:space="0" w:color="auto"/>
      </w:divBdr>
    </w:div>
    <w:div w:id="1358504399">
      <w:bodyDiv w:val="1"/>
      <w:marLeft w:val="0"/>
      <w:marRight w:val="0"/>
      <w:marTop w:val="0"/>
      <w:marBottom w:val="0"/>
      <w:divBdr>
        <w:top w:val="none" w:sz="0" w:space="0" w:color="auto"/>
        <w:left w:val="none" w:sz="0" w:space="0" w:color="auto"/>
        <w:bottom w:val="none" w:sz="0" w:space="0" w:color="auto"/>
        <w:right w:val="none" w:sz="0" w:space="0" w:color="auto"/>
      </w:divBdr>
    </w:div>
    <w:div w:id="1358582218">
      <w:bodyDiv w:val="1"/>
      <w:marLeft w:val="0"/>
      <w:marRight w:val="0"/>
      <w:marTop w:val="0"/>
      <w:marBottom w:val="0"/>
      <w:divBdr>
        <w:top w:val="none" w:sz="0" w:space="0" w:color="auto"/>
        <w:left w:val="none" w:sz="0" w:space="0" w:color="auto"/>
        <w:bottom w:val="none" w:sz="0" w:space="0" w:color="auto"/>
        <w:right w:val="none" w:sz="0" w:space="0" w:color="auto"/>
      </w:divBdr>
    </w:div>
    <w:div w:id="1358964626">
      <w:bodyDiv w:val="1"/>
      <w:marLeft w:val="0"/>
      <w:marRight w:val="0"/>
      <w:marTop w:val="0"/>
      <w:marBottom w:val="0"/>
      <w:divBdr>
        <w:top w:val="none" w:sz="0" w:space="0" w:color="auto"/>
        <w:left w:val="none" w:sz="0" w:space="0" w:color="auto"/>
        <w:bottom w:val="none" w:sz="0" w:space="0" w:color="auto"/>
        <w:right w:val="none" w:sz="0" w:space="0" w:color="auto"/>
      </w:divBdr>
    </w:div>
    <w:div w:id="1359089152">
      <w:bodyDiv w:val="1"/>
      <w:marLeft w:val="0"/>
      <w:marRight w:val="0"/>
      <w:marTop w:val="0"/>
      <w:marBottom w:val="0"/>
      <w:divBdr>
        <w:top w:val="none" w:sz="0" w:space="0" w:color="auto"/>
        <w:left w:val="none" w:sz="0" w:space="0" w:color="auto"/>
        <w:bottom w:val="none" w:sz="0" w:space="0" w:color="auto"/>
        <w:right w:val="none" w:sz="0" w:space="0" w:color="auto"/>
      </w:divBdr>
    </w:div>
    <w:div w:id="1360206788">
      <w:bodyDiv w:val="1"/>
      <w:marLeft w:val="0"/>
      <w:marRight w:val="0"/>
      <w:marTop w:val="0"/>
      <w:marBottom w:val="0"/>
      <w:divBdr>
        <w:top w:val="none" w:sz="0" w:space="0" w:color="auto"/>
        <w:left w:val="none" w:sz="0" w:space="0" w:color="auto"/>
        <w:bottom w:val="none" w:sz="0" w:space="0" w:color="auto"/>
        <w:right w:val="none" w:sz="0" w:space="0" w:color="auto"/>
      </w:divBdr>
    </w:div>
    <w:div w:id="1360351714">
      <w:bodyDiv w:val="1"/>
      <w:marLeft w:val="0"/>
      <w:marRight w:val="0"/>
      <w:marTop w:val="0"/>
      <w:marBottom w:val="0"/>
      <w:divBdr>
        <w:top w:val="none" w:sz="0" w:space="0" w:color="auto"/>
        <w:left w:val="none" w:sz="0" w:space="0" w:color="auto"/>
        <w:bottom w:val="none" w:sz="0" w:space="0" w:color="auto"/>
        <w:right w:val="none" w:sz="0" w:space="0" w:color="auto"/>
      </w:divBdr>
    </w:div>
    <w:div w:id="1361735704">
      <w:bodyDiv w:val="1"/>
      <w:marLeft w:val="0"/>
      <w:marRight w:val="0"/>
      <w:marTop w:val="0"/>
      <w:marBottom w:val="0"/>
      <w:divBdr>
        <w:top w:val="none" w:sz="0" w:space="0" w:color="auto"/>
        <w:left w:val="none" w:sz="0" w:space="0" w:color="auto"/>
        <w:bottom w:val="none" w:sz="0" w:space="0" w:color="auto"/>
        <w:right w:val="none" w:sz="0" w:space="0" w:color="auto"/>
      </w:divBdr>
    </w:div>
    <w:div w:id="1362167693">
      <w:bodyDiv w:val="1"/>
      <w:marLeft w:val="0"/>
      <w:marRight w:val="0"/>
      <w:marTop w:val="0"/>
      <w:marBottom w:val="0"/>
      <w:divBdr>
        <w:top w:val="none" w:sz="0" w:space="0" w:color="auto"/>
        <w:left w:val="none" w:sz="0" w:space="0" w:color="auto"/>
        <w:bottom w:val="none" w:sz="0" w:space="0" w:color="auto"/>
        <w:right w:val="none" w:sz="0" w:space="0" w:color="auto"/>
      </w:divBdr>
    </w:div>
    <w:div w:id="1362709915">
      <w:bodyDiv w:val="1"/>
      <w:marLeft w:val="0"/>
      <w:marRight w:val="0"/>
      <w:marTop w:val="0"/>
      <w:marBottom w:val="0"/>
      <w:divBdr>
        <w:top w:val="none" w:sz="0" w:space="0" w:color="auto"/>
        <w:left w:val="none" w:sz="0" w:space="0" w:color="auto"/>
        <w:bottom w:val="none" w:sz="0" w:space="0" w:color="auto"/>
        <w:right w:val="none" w:sz="0" w:space="0" w:color="auto"/>
      </w:divBdr>
    </w:div>
    <w:div w:id="1362826948">
      <w:bodyDiv w:val="1"/>
      <w:marLeft w:val="0"/>
      <w:marRight w:val="0"/>
      <w:marTop w:val="0"/>
      <w:marBottom w:val="0"/>
      <w:divBdr>
        <w:top w:val="none" w:sz="0" w:space="0" w:color="auto"/>
        <w:left w:val="none" w:sz="0" w:space="0" w:color="auto"/>
        <w:bottom w:val="none" w:sz="0" w:space="0" w:color="auto"/>
        <w:right w:val="none" w:sz="0" w:space="0" w:color="auto"/>
      </w:divBdr>
    </w:div>
    <w:div w:id="1363238942">
      <w:bodyDiv w:val="1"/>
      <w:marLeft w:val="0"/>
      <w:marRight w:val="0"/>
      <w:marTop w:val="0"/>
      <w:marBottom w:val="0"/>
      <w:divBdr>
        <w:top w:val="none" w:sz="0" w:space="0" w:color="auto"/>
        <w:left w:val="none" w:sz="0" w:space="0" w:color="auto"/>
        <w:bottom w:val="none" w:sz="0" w:space="0" w:color="auto"/>
        <w:right w:val="none" w:sz="0" w:space="0" w:color="auto"/>
      </w:divBdr>
    </w:div>
    <w:div w:id="1363289953">
      <w:bodyDiv w:val="1"/>
      <w:marLeft w:val="0"/>
      <w:marRight w:val="0"/>
      <w:marTop w:val="0"/>
      <w:marBottom w:val="0"/>
      <w:divBdr>
        <w:top w:val="none" w:sz="0" w:space="0" w:color="auto"/>
        <w:left w:val="none" w:sz="0" w:space="0" w:color="auto"/>
        <w:bottom w:val="none" w:sz="0" w:space="0" w:color="auto"/>
        <w:right w:val="none" w:sz="0" w:space="0" w:color="auto"/>
      </w:divBdr>
    </w:div>
    <w:div w:id="1363432875">
      <w:bodyDiv w:val="1"/>
      <w:marLeft w:val="0"/>
      <w:marRight w:val="0"/>
      <w:marTop w:val="0"/>
      <w:marBottom w:val="0"/>
      <w:divBdr>
        <w:top w:val="none" w:sz="0" w:space="0" w:color="auto"/>
        <w:left w:val="none" w:sz="0" w:space="0" w:color="auto"/>
        <w:bottom w:val="none" w:sz="0" w:space="0" w:color="auto"/>
        <w:right w:val="none" w:sz="0" w:space="0" w:color="auto"/>
      </w:divBdr>
    </w:div>
    <w:div w:id="1363937256">
      <w:bodyDiv w:val="1"/>
      <w:marLeft w:val="0"/>
      <w:marRight w:val="0"/>
      <w:marTop w:val="0"/>
      <w:marBottom w:val="0"/>
      <w:divBdr>
        <w:top w:val="none" w:sz="0" w:space="0" w:color="auto"/>
        <w:left w:val="none" w:sz="0" w:space="0" w:color="auto"/>
        <w:bottom w:val="none" w:sz="0" w:space="0" w:color="auto"/>
        <w:right w:val="none" w:sz="0" w:space="0" w:color="auto"/>
      </w:divBdr>
    </w:div>
    <w:div w:id="1364090810">
      <w:bodyDiv w:val="1"/>
      <w:marLeft w:val="0"/>
      <w:marRight w:val="0"/>
      <w:marTop w:val="0"/>
      <w:marBottom w:val="0"/>
      <w:divBdr>
        <w:top w:val="none" w:sz="0" w:space="0" w:color="auto"/>
        <w:left w:val="none" w:sz="0" w:space="0" w:color="auto"/>
        <w:bottom w:val="none" w:sz="0" w:space="0" w:color="auto"/>
        <w:right w:val="none" w:sz="0" w:space="0" w:color="auto"/>
      </w:divBdr>
    </w:div>
    <w:div w:id="1364399831">
      <w:bodyDiv w:val="1"/>
      <w:marLeft w:val="0"/>
      <w:marRight w:val="0"/>
      <w:marTop w:val="0"/>
      <w:marBottom w:val="0"/>
      <w:divBdr>
        <w:top w:val="none" w:sz="0" w:space="0" w:color="auto"/>
        <w:left w:val="none" w:sz="0" w:space="0" w:color="auto"/>
        <w:bottom w:val="none" w:sz="0" w:space="0" w:color="auto"/>
        <w:right w:val="none" w:sz="0" w:space="0" w:color="auto"/>
      </w:divBdr>
    </w:div>
    <w:div w:id="1364940310">
      <w:bodyDiv w:val="1"/>
      <w:marLeft w:val="0"/>
      <w:marRight w:val="0"/>
      <w:marTop w:val="0"/>
      <w:marBottom w:val="0"/>
      <w:divBdr>
        <w:top w:val="none" w:sz="0" w:space="0" w:color="auto"/>
        <w:left w:val="none" w:sz="0" w:space="0" w:color="auto"/>
        <w:bottom w:val="none" w:sz="0" w:space="0" w:color="auto"/>
        <w:right w:val="none" w:sz="0" w:space="0" w:color="auto"/>
      </w:divBdr>
    </w:div>
    <w:div w:id="1366296082">
      <w:bodyDiv w:val="1"/>
      <w:marLeft w:val="0"/>
      <w:marRight w:val="0"/>
      <w:marTop w:val="0"/>
      <w:marBottom w:val="0"/>
      <w:divBdr>
        <w:top w:val="none" w:sz="0" w:space="0" w:color="auto"/>
        <w:left w:val="none" w:sz="0" w:space="0" w:color="auto"/>
        <w:bottom w:val="none" w:sz="0" w:space="0" w:color="auto"/>
        <w:right w:val="none" w:sz="0" w:space="0" w:color="auto"/>
      </w:divBdr>
    </w:div>
    <w:div w:id="1367633047">
      <w:bodyDiv w:val="1"/>
      <w:marLeft w:val="0"/>
      <w:marRight w:val="0"/>
      <w:marTop w:val="0"/>
      <w:marBottom w:val="0"/>
      <w:divBdr>
        <w:top w:val="none" w:sz="0" w:space="0" w:color="auto"/>
        <w:left w:val="none" w:sz="0" w:space="0" w:color="auto"/>
        <w:bottom w:val="none" w:sz="0" w:space="0" w:color="auto"/>
        <w:right w:val="none" w:sz="0" w:space="0" w:color="auto"/>
      </w:divBdr>
    </w:div>
    <w:div w:id="1367867939">
      <w:bodyDiv w:val="1"/>
      <w:marLeft w:val="0"/>
      <w:marRight w:val="0"/>
      <w:marTop w:val="0"/>
      <w:marBottom w:val="0"/>
      <w:divBdr>
        <w:top w:val="none" w:sz="0" w:space="0" w:color="auto"/>
        <w:left w:val="none" w:sz="0" w:space="0" w:color="auto"/>
        <w:bottom w:val="none" w:sz="0" w:space="0" w:color="auto"/>
        <w:right w:val="none" w:sz="0" w:space="0" w:color="auto"/>
      </w:divBdr>
    </w:div>
    <w:div w:id="1367951159">
      <w:bodyDiv w:val="1"/>
      <w:marLeft w:val="0"/>
      <w:marRight w:val="0"/>
      <w:marTop w:val="0"/>
      <w:marBottom w:val="0"/>
      <w:divBdr>
        <w:top w:val="none" w:sz="0" w:space="0" w:color="auto"/>
        <w:left w:val="none" w:sz="0" w:space="0" w:color="auto"/>
        <w:bottom w:val="none" w:sz="0" w:space="0" w:color="auto"/>
        <w:right w:val="none" w:sz="0" w:space="0" w:color="auto"/>
      </w:divBdr>
    </w:div>
    <w:div w:id="1369188146">
      <w:bodyDiv w:val="1"/>
      <w:marLeft w:val="0"/>
      <w:marRight w:val="0"/>
      <w:marTop w:val="0"/>
      <w:marBottom w:val="0"/>
      <w:divBdr>
        <w:top w:val="none" w:sz="0" w:space="0" w:color="auto"/>
        <w:left w:val="none" w:sz="0" w:space="0" w:color="auto"/>
        <w:bottom w:val="none" w:sz="0" w:space="0" w:color="auto"/>
        <w:right w:val="none" w:sz="0" w:space="0" w:color="auto"/>
      </w:divBdr>
    </w:div>
    <w:div w:id="1369336074">
      <w:bodyDiv w:val="1"/>
      <w:marLeft w:val="0"/>
      <w:marRight w:val="0"/>
      <w:marTop w:val="0"/>
      <w:marBottom w:val="0"/>
      <w:divBdr>
        <w:top w:val="none" w:sz="0" w:space="0" w:color="auto"/>
        <w:left w:val="none" w:sz="0" w:space="0" w:color="auto"/>
        <w:bottom w:val="none" w:sz="0" w:space="0" w:color="auto"/>
        <w:right w:val="none" w:sz="0" w:space="0" w:color="auto"/>
      </w:divBdr>
    </w:div>
    <w:div w:id="1369454883">
      <w:bodyDiv w:val="1"/>
      <w:marLeft w:val="0"/>
      <w:marRight w:val="0"/>
      <w:marTop w:val="0"/>
      <w:marBottom w:val="0"/>
      <w:divBdr>
        <w:top w:val="none" w:sz="0" w:space="0" w:color="auto"/>
        <w:left w:val="none" w:sz="0" w:space="0" w:color="auto"/>
        <w:bottom w:val="none" w:sz="0" w:space="0" w:color="auto"/>
        <w:right w:val="none" w:sz="0" w:space="0" w:color="auto"/>
      </w:divBdr>
    </w:div>
    <w:div w:id="1370760430">
      <w:bodyDiv w:val="1"/>
      <w:marLeft w:val="0"/>
      <w:marRight w:val="0"/>
      <w:marTop w:val="0"/>
      <w:marBottom w:val="0"/>
      <w:divBdr>
        <w:top w:val="none" w:sz="0" w:space="0" w:color="auto"/>
        <w:left w:val="none" w:sz="0" w:space="0" w:color="auto"/>
        <w:bottom w:val="none" w:sz="0" w:space="0" w:color="auto"/>
        <w:right w:val="none" w:sz="0" w:space="0" w:color="auto"/>
      </w:divBdr>
    </w:div>
    <w:div w:id="1372345239">
      <w:bodyDiv w:val="1"/>
      <w:marLeft w:val="0"/>
      <w:marRight w:val="0"/>
      <w:marTop w:val="0"/>
      <w:marBottom w:val="0"/>
      <w:divBdr>
        <w:top w:val="none" w:sz="0" w:space="0" w:color="auto"/>
        <w:left w:val="none" w:sz="0" w:space="0" w:color="auto"/>
        <w:bottom w:val="none" w:sz="0" w:space="0" w:color="auto"/>
        <w:right w:val="none" w:sz="0" w:space="0" w:color="auto"/>
      </w:divBdr>
    </w:div>
    <w:div w:id="1373647860">
      <w:bodyDiv w:val="1"/>
      <w:marLeft w:val="0"/>
      <w:marRight w:val="0"/>
      <w:marTop w:val="0"/>
      <w:marBottom w:val="0"/>
      <w:divBdr>
        <w:top w:val="none" w:sz="0" w:space="0" w:color="auto"/>
        <w:left w:val="none" w:sz="0" w:space="0" w:color="auto"/>
        <w:bottom w:val="none" w:sz="0" w:space="0" w:color="auto"/>
        <w:right w:val="none" w:sz="0" w:space="0" w:color="auto"/>
      </w:divBdr>
    </w:div>
    <w:div w:id="1374690668">
      <w:bodyDiv w:val="1"/>
      <w:marLeft w:val="0"/>
      <w:marRight w:val="0"/>
      <w:marTop w:val="0"/>
      <w:marBottom w:val="0"/>
      <w:divBdr>
        <w:top w:val="none" w:sz="0" w:space="0" w:color="auto"/>
        <w:left w:val="none" w:sz="0" w:space="0" w:color="auto"/>
        <w:bottom w:val="none" w:sz="0" w:space="0" w:color="auto"/>
        <w:right w:val="none" w:sz="0" w:space="0" w:color="auto"/>
      </w:divBdr>
    </w:div>
    <w:div w:id="1374889263">
      <w:bodyDiv w:val="1"/>
      <w:marLeft w:val="0"/>
      <w:marRight w:val="0"/>
      <w:marTop w:val="0"/>
      <w:marBottom w:val="0"/>
      <w:divBdr>
        <w:top w:val="none" w:sz="0" w:space="0" w:color="auto"/>
        <w:left w:val="none" w:sz="0" w:space="0" w:color="auto"/>
        <w:bottom w:val="none" w:sz="0" w:space="0" w:color="auto"/>
        <w:right w:val="none" w:sz="0" w:space="0" w:color="auto"/>
      </w:divBdr>
    </w:div>
    <w:div w:id="1375688576">
      <w:bodyDiv w:val="1"/>
      <w:marLeft w:val="0"/>
      <w:marRight w:val="0"/>
      <w:marTop w:val="0"/>
      <w:marBottom w:val="0"/>
      <w:divBdr>
        <w:top w:val="none" w:sz="0" w:space="0" w:color="auto"/>
        <w:left w:val="none" w:sz="0" w:space="0" w:color="auto"/>
        <w:bottom w:val="none" w:sz="0" w:space="0" w:color="auto"/>
        <w:right w:val="none" w:sz="0" w:space="0" w:color="auto"/>
      </w:divBdr>
    </w:div>
    <w:div w:id="1375929524">
      <w:bodyDiv w:val="1"/>
      <w:marLeft w:val="0"/>
      <w:marRight w:val="0"/>
      <w:marTop w:val="0"/>
      <w:marBottom w:val="0"/>
      <w:divBdr>
        <w:top w:val="none" w:sz="0" w:space="0" w:color="auto"/>
        <w:left w:val="none" w:sz="0" w:space="0" w:color="auto"/>
        <w:bottom w:val="none" w:sz="0" w:space="0" w:color="auto"/>
        <w:right w:val="none" w:sz="0" w:space="0" w:color="auto"/>
      </w:divBdr>
    </w:div>
    <w:div w:id="1376151869">
      <w:bodyDiv w:val="1"/>
      <w:marLeft w:val="0"/>
      <w:marRight w:val="0"/>
      <w:marTop w:val="0"/>
      <w:marBottom w:val="0"/>
      <w:divBdr>
        <w:top w:val="none" w:sz="0" w:space="0" w:color="auto"/>
        <w:left w:val="none" w:sz="0" w:space="0" w:color="auto"/>
        <w:bottom w:val="none" w:sz="0" w:space="0" w:color="auto"/>
        <w:right w:val="none" w:sz="0" w:space="0" w:color="auto"/>
      </w:divBdr>
    </w:div>
    <w:div w:id="1376390298">
      <w:bodyDiv w:val="1"/>
      <w:marLeft w:val="0"/>
      <w:marRight w:val="0"/>
      <w:marTop w:val="0"/>
      <w:marBottom w:val="0"/>
      <w:divBdr>
        <w:top w:val="none" w:sz="0" w:space="0" w:color="auto"/>
        <w:left w:val="none" w:sz="0" w:space="0" w:color="auto"/>
        <w:bottom w:val="none" w:sz="0" w:space="0" w:color="auto"/>
        <w:right w:val="none" w:sz="0" w:space="0" w:color="auto"/>
      </w:divBdr>
    </w:div>
    <w:div w:id="1376924633">
      <w:bodyDiv w:val="1"/>
      <w:marLeft w:val="0"/>
      <w:marRight w:val="0"/>
      <w:marTop w:val="0"/>
      <w:marBottom w:val="0"/>
      <w:divBdr>
        <w:top w:val="none" w:sz="0" w:space="0" w:color="auto"/>
        <w:left w:val="none" w:sz="0" w:space="0" w:color="auto"/>
        <w:bottom w:val="none" w:sz="0" w:space="0" w:color="auto"/>
        <w:right w:val="none" w:sz="0" w:space="0" w:color="auto"/>
      </w:divBdr>
    </w:div>
    <w:div w:id="1377121453">
      <w:bodyDiv w:val="1"/>
      <w:marLeft w:val="0"/>
      <w:marRight w:val="0"/>
      <w:marTop w:val="0"/>
      <w:marBottom w:val="0"/>
      <w:divBdr>
        <w:top w:val="none" w:sz="0" w:space="0" w:color="auto"/>
        <w:left w:val="none" w:sz="0" w:space="0" w:color="auto"/>
        <w:bottom w:val="none" w:sz="0" w:space="0" w:color="auto"/>
        <w:right w:val="none" w:sz="0" w:space="0" w:color="auto"/>
      </w:divBdr>
    </w:div>
    <w:div w:id="1377394124">
      <w:bodyDiv w:val="1"/>
      <w:marLeft w:val="0"/>
      <w:marRight w:val="0"/>
      <w:marTop w:val="0"/>
      <w:marBottom w:val="0"/>
      <w:divBdr>
        <w:top w:val="none" w:sz="0" w:space="0" w:color="auto"/>
        <w:left w:val="none" w:sz="0" w:space="0" w:color="auto"/>
        <w:bottom w:val="none" w:sz="0" w:space="0" w:color="auto"/>
        <w:right w:val="none" w:sz="0" w:space="0" w:color="auto"/>
      </w:divBdr>
    </w:div>
    <w:div w:id="1378356201">
      <w:bodyDiv w:val="1"/>
      <w:marLeft w:val="0"/>
      <w:marRight w:val="0"/>
      <w:marTop w:val="0"/>
      <w:marBottom w:val="0"/>
      <w:divBdr>
        <w:top w:val="none" w:sz="0" w:space="0" w:color="auto"/>
        <w:left w:val="none" w:sz="0" w:space="0" w:color="auto"/>
        <w:bottom w:val="none" w:sz="0" w:space="0" w:color="auto"/>
        <w:right w:val="none" w:sz="0" w:space="0" w:color="auto"/>
      </w:divBdr>
    </w:div>
    <w:div w:id="1378552289">
      <w:bodyDiv w:val="1"/>
      <w:marLeft w:val="0"/>
      <w:marRight w:val="0"/>
      <w:marTop w:val="0"/>
      <w:marBottom w:val="0"/>
      <w:divBdr>
        <w:top w:val="none" w:sz="0" w:space="0" w:color="auto"/>
        <w:left w:val="none" w:sz="0" w:space="0" w:color="auto"/>
        <w:bottom w:val="none" w:sz="0" w:space="0" w:color="auto"/>
        <w:right w:val="none" w:sz="0" w:space="0" w:color="auto"/>
      </w:divBdr>
    </w:div>
    <w:div w:id="1378970853">
      <w:bodyDiv w:val="1"/>
      <w:marLeft w:val="0"/>
      <w:marRight w:val="0"/>
      <w:marTop w:val="0"/>
      <w:marBottom w:val="0"/>
      <w:divBdr>
        <w:top w:val="none" w:sz="0" w:space="0" w:color="auto"/>
        <w:left w:val="none" w:sz="0" w:space="0" w:color="auto"/>
        <w:bottom w:val="none" w:sz="0" w:space="0" w:color="auto"/>
        <w:right w:val="none" w:sz="0" w:space="0" w:color="auto"/>
      </w:divBdr>
    </w:div>
    <w:div w:id="1380324039">
      <w:bodyDiv w:val="1"/>
      <w:marLeft w:val="0"/>
      <w:marRight w:val="0"/>
      <w:marTop w:val="0"/>
      <w:marBottom w:val="0"/>
      <w:divBdr>
        <w:top w:val="none" w:sz="0" w:space="0" w:color="auto"/>
        <w:left w:val="none" w:sz="0" w:space="0" w:color="auto"/>
        <w:bottom w:val="none" w:sz="0" w:space="0" w:color="auto"/>
        <w:right w:val="none" w:sz="0" w:space="0" w:color="auto"/>
      </w:divBdr>
    </w:div>
    <w:div w:id="1380398309">
      <w:bodyDiv w:val="1"/>
      <w:marLeft w:val="0"/>
      <w:marRight w:val="0"/>
      <w:marTop w:val="0"/>
      <w:marBottom w:val="0"/>
      <w:divBdr>
        <w:top w:val="none" w:sz="0" w:space="0" w:color="auto"/>
        <w:left w:val="none" w:sz="0" w:space="0" w:color="auto"/>
        <w:bottom w:val="none" w:sz="0" w:space="0" w:color="auto"/>
        <w:right w:val="none" w:sz="0" w:space="0" w:color="auto"/>
      </w:divBdr>
    </w:div>
    <w:div w:id="1380788243">
      <w:bodyDiv w:val="1"/>
      <w:marLeft w:val="0"/>
      <w:marRight w:val="0"/>
      <w:marTop w:val="0"/>
      <w:marBottom w:val="0"/>
      <w:divBdr>
        <w:top w:val="none" w:sz="0" w:space="0" w:color="auto"/>
        <w:left w:val="none" w:sz="0" w:space="0" w:color="auto"/>
        <w:bottom w:val="none" w:sz="0" w:space="0" w:color="auto"/>
        <w:right w:val="none" w:sz="0" w:space="0" w:color="auto"/>
      </w:divBdr>
    </w:div>
    <w:div w:id="1380981163">
      <w:bodyDiv w:val="1"/>
      <w:marLeft w:val="0"/>
      <w:marRight w:val="0"/>
      <w:marTop w:val="0"/>
      <w:marBottom w:val="0"/>
      <w:divBdr>
        <w:top w:val="none" w:sz="0" w:space="0" w:color="auto"/>
        <w:left w:val="none" w:sz="0" w:space="0" w:color="auto"/>
        <w:bottom w:val="none" w:sz="0" w:space="0" w:color="auto"/>
        <w:right w:val="none" w:sz="0" w:space="0" w:color="auto"/>
      </w:divBdr>
    </w:div>
    <w:div w:id="1381439881">
      <w:bodyDiv w:val="1"/>
      <w:marLeft w:val="0"/>
      <w:marRight w:val="0"/>
      <w:marTop w:val="0"/>
      <w:marBottom w:val="0"/>
      <w:divBdr>
        <w:top w:val="none" w:sz="0" w:space="0" w:color="auto"/>
        <w:left w:val="none" w:sz="0" w:space="0" w:color="auto"/>
        <w:bottom w:val="none" w:sz="0" w:space="0" w:color="auto"/>
        <w:right w:val="none" w:sz="0" w:space="0" w:color="auto"/>
      </w:divBdr>
    </w:div>
    <w:div w:id="1381513584">
      <w:bodyDiv w:val="1"/>
      <w:marLeft w:val="0"/>
      <w:marRight w:val="0"/>
      <w:marTop w:val="0"/>
      <w:marBottom w:val="0"/>
      <w:divBdr>
        <w:top w:val="none" w:sz="0" w:space="0" w:color="auto"/>
        <w:left w:val="none" w:sz="0" w:space="0" w:color="auto"/>
        <w:bottom w:val="none" w:sz="0" w:space="0" w:color="auto"/>
        <w:right w:val="none" w:sz="0" w:space="0" w:color="auto"/>
      </w:divBdr>
    </w:div>
    <w:div w:id="1381519671">
      <w:bodyDiv w:val="1"/>
      <w:marLeft w:val="0"/>
      <w:marRight w:val="0"/>
      <w:marTop w:val="0"/>
      <w:marBottom w:val="0"/>
      <w:divBdr>
        <w:top w:val="none" w:sz="0" w:space="0" w:color="auto"/>
        <w:left w:val="none" w:sz="0" w:space="0" w:color="auto"/>
        <w:bottom w:val="none" w:sz="0" w:space="0" w:color="auto"/>
        <w:right w:val="none" w:sz="0" w:space="0" w:color="auto"/>
      </w:divBdr>
    </w:div>
    <w:div w:id="1382748125">
      <w:bodyDiv w:val="1"/>
      <w:marLeft w:val="0"/>
      <w:marRight w:val="0"/>
      <w:marTop w:val="0"/>
      <w:marBottom w:val="0"/>
      <w:divBdr>
        <w:top w:val="none" w:sz="0" w:space="0" w:color="auto"/>
        <w:left w:val="none" w:sz="0" w:space="0" w:color="auto"/>
        <w:bottom w:val="none" w:sz="0" w:space="0" w:color="auto"/>
        <w:right w:val="none" w:sz="0" w:space="0" w:color="auto"/>
      </w:divBdr>
    </w:div>
    <w:div w:id="1383092697">
      <w:bodyDiv w:val="1"/>
      <w:marLeft w:val="0"/>
      <w:marRight w:val="0"/>
      <w:marTop w:val="0"/>
      <w:marBottom w:val="0"/>
      <w:divBdr>
        <w:top w:val="none" w:sz="0" w:space="0" w:color="auto"/>
        <w:left w:val="none" w:sz="0" w:space="0" w:color="auto"/>
        <w:bottom w:val="none" w:sz="0" w:space="0" w:color="auto"/>
        <w:right w:val="none" w:sz="0" w:space="0" w:color="auto"/>
      </w:divBdr>
    </w:div>
    <w:div w:id="1384407817">
      <w:bodyDiv w:val="1"/>
      <w:marLeft w:val="0"/>
      <w:marRight w:val="0"/>
      <w:marTop w:val="0"/>
      <w:marBottom w:val="0"/>
      <w:divBdr>
        <w:top w:val="none" w:sz="0" w:space="0" w:color="auto"/>
        <w:left w:val="none" w:sz="0" w:space="0" w:color="auto"/>
        <w:bottom w:val="none" w:sz="0" w:space="0" w:color="auto"/>
        <w:right w:val="none" w:sz="0" w:space="0" w:color="auto"/>
      </w:divBdr>
    </w:div>
    <w:div w:id="1385104966">
      <w:bodyDiv w:val="1"/>
      <w:marLeft w:val="0"/>
      <w:marRight w:val="0"/>
      <w:marTop w:val="0"/>
      <w:marBottom w:val="0"/>
      <w:divBdr>
        <w:top w:val="none" w:sz="0" w:space="0" w:color="auto"/>
        <w:left w:val="none" w:sz="0" w:space="0" w:color="auto"/>
        <w:bottom w:val="none" w:sz="0" w:space="0" w:color="auto"/>
        <w:right w:val="none" w:sz="0" w:space="0" w:color="auto"/>
      </w:divBdr>
    </w:div>
    <w:div w:id="1385642152">
      <w:bodyDiv w:val="1"/>
      <w:marLeft w:val="0"/>
      <w:marRight w:val="0"/>
      <w:marTop w:val="0"/>
      <w:marBottom w:val="0"/>
      <w:divBdr>
        <w:top w:val="none" w:sz="0" w:space="0" w:color="auto"/>
        <w:left w:val="none" w:sz="0" w:space="0" w:color="auto"/>
        <w:bottom w:val="none" w:sz="0" w:space="0" w:color="auto"/>
        <w:right w:val="none" w:sz="0" w:space="0" w:color="auto"/>
      </w:divBdr>
    </w:div>
    <w:div w:id="1386026050">
      <w:bodyDiv w:val="1"/>
      <w:marLeft w:val="0"/>
      <w:marRight w:val="0"/>
      <w:marTop w:val="0"/>
      <w:marBottom w:val="0"/>
      <w:divBdr>
        <w:top w:val="none" w:sz="0" w:space="0" w:color="auto"/>
        <w:left w:val="none" w:sz="0" w:space="0" w:color="auto"/>
        <w:bottom w:val="none" w:sz="0" w:space="0" w:color="auto"/>
        <w:right w:val="none" w:sz="0" w:space="0" w:color="auto"/>
      </w:divBdr>
    </w:div>
    <w:div w:id="1386103773">
      <w:bodyDiv w:val="1"/>
      <w:marLeft w:val="0"/>
      <w:marRight w:val="0"/>
      <w:marTop w:val="0"/>
      <w:marBottom w:val="0"/>
      <w:divBdr>
        <w:top w:val="none" w:sz="0" w:space="0" w:color="auto"/>
        <w:left w:val="none" w:sz="0" w:space="0" w:color="auto"/>
        <w:bottom w:val="none" w:sz="0" w:space="0" w:color="auto"/>
        <w:right w:val="none" w:sz="0" w:space="0" w:color="auto"/>
      </w:divBdr>
    </w:div>
    <w:div w:id="1386414477">
      <w:bodyDiv w:val="1"/>
      <w:marLeft w:val="0"/>
      <w:marRight w:val="0"/>
      <w:marTop w:val="0"/>
      <w:marBottom w:val="0"/>
      <w:divBdr>
        <w:top w:val="none" w:sz="0" w:space="0" w:color="auto"/>
        <w:left w:val="none" w:sz="0" w:space="0" w:color="auto"/>
        <w:bottom w:val="none" w:sz="0" w:space="0" w:color="auto"/>
        <w:right w:val="none" w:sz="0" w:space="0" w:color="auto"/>
      </w:divBdr>
    </w:div>
    <w:div w:id="1387071167">
      <w:bodyDiv w:val="1"/>
      <w:marLeft w:val="0"/>
      <w:marRight w:val="0"/>
      <w:marTop w:val="0"/>
      <w:marBottom w:val="0"/>
      <w:divBdr>
        <w:top w:val="none" w:sz="0" w:space="0" w:color="auto"/>
        <w:left w:val="none" w:sz="0" w:space="0" w:color="auto"/>
        <w:bottom w:val="none" w:sz="0" w:space="0" w:color="auto"/>
        <w:right w:val="none" w:sz="0" w:space="0" w:color="auto"/>
      </w:divBdr>
    </w:div>
    <w:div w:id="1387601463">
      <w:bodyDiv w:val="1"/>
      <w:marLeft w:val="0"/>
      <w:marRight w:val="0"/>
      <w:marTop w:val="0"/>
      <w:marBottom w:val="0"/>
      <w:divBdr>
        <w:top w:val="none" w:sz="0" w:space="0" w:color="auto"/>
        <w:left w:val="none" w:sz="0" w:space="0" w:color="auto"/>
        <w:bottom w:val="none" w:sz="0" w:space="0" w:color="auto"/>
        <w:right w:val="none" w:sz="0" w:space="0" w:color="auto"/>
      </w:divBdr>
    </w:div>
    <w:div w:id="1387795331">
      <w:bodyDiv w:val="1"/>
      <w:marLeft w:val="0"/>
      <w:marRight w:val="0"/>
      <w:marTop w:val="0"/>
      <w:marBottom w:val="0"/>
      <w:divBdr>
        <w:top w:val="none" w:sz="0" w:space="0" w:color="auto"/>
        <w:left w:val="none" w:sz="0" w:space="0" w:color="auto"/>
        <w:bottom w:val="none" w:sz="0" w:space="0" w:color="auto"/>
        <w:right w:val="none" w:sz="0" w:space="0" w:color="auto"/>
      </w:divBdr>
    </w:div>
    <w:div w:id="1388724410">
      <w:bodyDiv w:val="1"/>
      <w:marLeft w:val="0"/>
      <w:marRight w:val="0"/>
      <w:marTop w:val="0"/>
      <w:marBottom w:val="0"/>
      <w:divBdr>
        <w:top w:val="none" w:sz="0" w:space="0" w:color="auto"/>
        <w:left w:val="none" w:sz="0" w:space="0" w:color="auto"/>
        <w:bottom w:val="none" w:sz="0" w:space="0" w:color="auto"/>
        <w:right w:val="none" w:sz="0" w:space="0" w:color="auto"/>
      </w:divBdr>
    </w:div>
    <w:div w:id="1389257556">
      <w:bodyDiv w:val="1"/>
      <w:marLeft w:val="0"/>
      <w:marRight w:val="0"/>
      <w:marTop w:val="0"/>
      <w:marBottom w:val="0"/>
      <w:divBdr>
        <w:top w:val="none" w:sz="0" w:space="0" w:color="auto"/>
        <w:left w:val="none" w:sz="0" w:space="0" w:color="auto"/>
        <w:bottom w:val="none" w:sz="0" w:space="0" w:color="auto"/>
        <w:right w:val="none" w:sz="0" w:space="0" w:color="auto"/>
      </w:divBdr>
    </w:div>
    <w:div w:id="1390037279">
      <w:bodyDiv w:val="1"/>
      <w:marLeft w:val="0"/>
      <w:marRight w:val="0"/>
      <w:marTop w:val="0"/>
      <w:marBottom w:val="0"/>
      <w:divBdr>
        <w:top w:val="none" w:sz="0" w:space="0" w:color="auto"/>
        <w:left w:val="none" w:sz="0" w:space="0" w:color="auto"/>
        <w:bottom w:val="none" w:sz="0" w:space="0" w:color="auto"/>
        <w:right w:val="none" w:sz="0" w:space="0" w:color="auto"/>
      </w:divBdr>
    </w:div>
    <w:div w:id="1390225766">
      <w:bodyDiv w:val="1"/>
      <w:marLeft w:val="0"/>
      <w:marRight w:val="0"/>
      <w:marTop w:val="0"/>
      <w:marBottom w:val="0"/>
      <w:divBdr>
        <w:top w:val="none" w:sz="0" w:space="0" w:color="auto"/>
        <w:left w:val="none" w:sz="0" w:space="0" w:color="auto"/>
        <w:bottom w:val="none" w:sz="0" w:space="0" w:color="auto"/>
        <w:right w:val="none" w:sz="0" w:space="0" w:color="auto"/>
      </w:divBdr>
    </w:div>
    <w:div w:id="1390228407">
      <w:bodyDiv w:val="1"/>
      <w:marLeft w:val="0"/>
      <w:marRight w:val="0"/>
      <w:marTop w:val="0"/>
      <w:marBottom w:val="0"/>
      <w:divBdr>
        <w:top w:val="none" w:sz="0" w:space="0" w:color="auto"/>
        <w:left w:val="none" w:sz="0" w:space="0" w:color="auto"/>
        <w:bottom w:val="none" w:sz="0" w:space="0" w:color="auto"/>
        <w:right w:val="none" w:sz="0" w:space="0" w:color="auto"/>
      </w:divBdr>
    </w:div>
    <w:div w:id="1392461264">
      <w:bodyDiv w:val="1"/>
      <w:marLeft w:val="0"/>
      <w:marRight w:val="0"/>
      <w:marTop w:val="0"/>
      <w:marBottom w:val="0"/>
      <w:divBdr>
        <w:top w:val="none" w:sz="0" w:space="0" w:color="auto"/>
        <w:left w:val="none" w:sz="0" w:space="0" w:color="auto"/>
        <w:bottom w:val="none" w:sz="0" w:space="0" w:color="auto"/>
        <w:right w:val="none" w:sz="0" w:space="0" w:color="auto"/>
      </w:divBdr>
    </w:div>
    <w:div w:id="1393193940">
      <w:bodyDiv w:val="1"/>
      <w:marLeft w:val="0"/>
      <w:marRight w:val="0"/>
      <w:marTop w:val="0"/>
      <w:marBottom w:val="0"/>
      <w:divBdr>
        <w:top w:val="none" w:sz="0" w:space="0" w:color="auto"/>
        <w:left w:val="none" w:sz="0" w:space="0" w:color="auto"/>
        <w:bottom w:val="none" w:sz="0" w:space="0" w:color="auto"/>
        <w:right w:val="none" w:sz="0" w:space="0" w:color="auto"/>
      </w:divBdr>
    </w:div>
    <w:div w:id="1393775208">
      <w:bodyDiv w:val="1"/>
      <w:marLeft w:val="0"/>
      <w:marRight w:val="0"/>
      <w:marTop w:val="0"/>
      <w:marBottom w:val="0"/>
      <w:divBdr>
        <w:top w:val="none" w:sz="0" w:space="0" w:color="auto"/>
        <w:left w:val="none" w:sz="0" w:space="0" w:color="auto"/>
        <w:bottom w:val="none" w:sz="0" w:space="0" w:color="auto"/>
        <w:right w:val="none" w:sz="0" w:space="0" w:color="auto"/>
      </w:divBdr>
    </w:div>
    <w:div w:id="1394306149">
      <w:bodyDiv w:val="1"/>
      <w:marLeft w:val="0"/>
      <w:marRight w:val="0"/>
      <w:marTop w:val="0"/>
      <w:marBottom w:val="0"/>
      <w:divBdr>
        <w:top w:val="none" w:sz="0" w:space="0" w:color="auto"/>
        <w:left w:val="none" w:sz="0" w:space="0" w:color="auto"/>
        <w:bottom w:val="none" w:sz="0" w:space="0" w:color="auto"/>
        <w:right w:val="none" w:sz="0" w:space="0" w:color="auto"/>
      </w:divBdr>
    </w:div>
    <w:div w:id="1394547769">
      <w:bodyDiv w:val="1"/>
      <w:marLeft w:val="0"/>
      <w:marRight w:val="0"/>
      <w:marTop w:val="0"/>
      <w:marBottom w:val="0"/>
      <w:divBdr>
        <w:top w:val="none" w:sz="0" w:space="0" w:color="auto"/>
        <w:left w:val="none" w:sz="0" w:space="0" w:color="auto"/>
        <w:bottom w:val="none" w:sz="0" w:space="0" w:color="auto"/>
        <w:right w:val="none" w:sz="0" w:space="0" w:color="auto"/>
      </w:divBdr>
    </w:div>
    <w:div w:id="1395005091">
      <w:bodyDiv w:val="1"/>
      <w:marLeft w:val="0"/>
      <w:marRight w:val="0"/>
      <w:marTop w:val="0"/>
      <w:marBottom w:val="0"/>
      <w:divBdr>
        <w:top w:val="none" w:sz="0" w:space="0" w:color="auto"/>
        <w:left w:val="none" w:sz="0" w:space="0" w:color="auto"/>
        <w:bottom w:val="none" w:sz="0" w:space="0" w:color="auto"/>
        <w:right w:val="none" w:sz="0" w:space="0" w:color="auto"/>
      </w:divBdr>
    </w:div>
    <w:div w:id="1395393302">
      <w:bodyDiv w:val="1"/>
      <w:marLeft w:val="0"/>
      <w:marRight w:val="0"/>
      <w:marTop w:val="0"/>
      <w:marBottom w:val="0"/>
      <w:divBdr>
        <w:top w:val="none" w:sz="0" w:space="0" w:color="auto"/>
        <w:left w:val="none" w:sz="0" w:space="0" w:color="auto"/>
        <w:bottom w:val="none" w:sz="0" w:space="0" w:color="auto"/>
        <w:right w:val="none" w:sz="0" w:space="0" w:color="auto"/>
      </w:divBdr>
    </w:div>
    <w:div w:id="1395735473">
      <w:bodyDiv w:val="1"/>
      <w:marLeft w:val="0"/>
      <w:marRight w:val="0"/>
      <w:marTop w:val="0"/>
      <w:marBottom w:val="0"/>
      <w:divBdr>
        <w:top w:val="none" w:sz="0" w:space="0" w:color="auto"/>
        <w:left w:val="none" w:sz="0" w:space="0" w:color="auto"/>
        <w:bottom w:val="none" w:sz="0" w:space="0" w:color="auto"/>
        <w:right w:val="none" w:sz="0" w:space="0" w:color="auto"/>
      </w:divBdr>
    </w:div>
    <w:div w:id="1396245260">
      <w:bodyDiv w:val="1"/>
      <w:marLeft w:val="0"/>
      <w:marRight w:val="0"/>
      <w:marTop w:val="0"/>
      <w:marBottom w:val="0"/>
      <w:divBdr>
        <w:top w:val="none" w:sz="0" w:space="0" w:color="auto"/>
        <w:left w:val="none" w:sz="0" w:space="0" w:color="auto"/>
        <w:bottom w:val="none" w:sz="0" w:space="0" w:color="auto"/>
        <w:right w:val="none" w:sz="0" w:space="0" w:color="auto"/>
      </w:divBdr>
    </w:div>
    <w:div w:id="1397555733">
      <w:bodyDiv w:val="1"/>
      <w:marLeft w:val="0"/>
      <w:marRight w:val="0"/>
      <w:marTop w:val="0"/>
      <w:marBottom w:val="0"/>
      <w:divBdr>
        <w:top w:val="none" w:sz="0" w:space="0" w:color="auto"/>
        <w:left w:val="none" w:sz="0" w:space="0" w:color="auto"/>
        <w:bottom w:val="none" w:sz="0" w:space="0" w:color="auto"/>
        <w:right w:val="none" w:sz="0" w:space="0" w:color="auto"/>
      </w:divBdr>
    </w:div>
    <w:div w:id="1397968059">
      <w:bodyDiv w:val="1"/>
      <w:marLeft w:val="0"/>
      <w:marRight w:val="0"/>
      <w:marTop w:val="0"/>
      <w:marBottom w:val="0"/>
      <w:divBdr>
        <w:top w:val="none" w:sz="0" w:space="0" w:color="auto"/>
        <w:left w:val="none" w:sz="0" w:space="0" w:color="auto"/>
        <w:bottom w:val="none" w:sz="0" w:space="0" w:color="auto"/>
        <w:right w:val="none" w:sz="0" w:space="0" w:color="auto"/>
      </w:divBdr>
    </w:div>
    <w:div w:id="1399984778">
      <w:bodyDiv w:val="1"/>
      <w:marLeft w:val="0"/>
      <w:marRight w:val="0"/>
      <w:marTop w:val="0"/>
      <w:marBottom w:val="0"/>
      <w:divBdr>
        <w:top w:val="none" w:sz="0" w:space="0" w:color="auto"/>
        <w:left w:val="none" w:sz="0" w:space="0" w:color="auto"/>
        <w:bottom w:val="none" w:sz="0" w:space="0" w:color="auto"/>
        <w:right w:val="none" w:sz="0" w:space="0" w:color="auto"/>
      </w:divBdr>
    </w:div>
    <w:div w:id="1400248037">
      <w:bodyDiv w:val="1"/>
      <w:marLeft w:val="0"/>
      <w:marRight w:val="0"/>
      <w:marTop w:val="0"/>
      <w:marBottom w:val="0"/>
      <w:divBdr>
        <w:top w:val="none" w:sz="0" w:space="0" w:color="auto"/>
        <w:left w:val="none" w:sz="0" w:space="0" w:color="auto"/>
        <w:bottom w:val="none" w:sz="0" w:space="0" w:color="auto"/>
        <w:right w:val="none" w:sz="0" w:space="0" w:color="auto"/>
      </w:divBdr>
    </w:div>
    <w:div w:id="1400714270">
      <w:bodyDiv w:val="1"/>
      <w:marLeft w:val="0"/>
      <w:marRight w:val="0"/>
      <w:marTop w:val="0"/>
      <w:marBottom w:val="0"/>
      <w:divBdr>
        <w:top w:val="none" w:sz="0" w:space="0" w:color="auto"/>
        <w:left w:val="none" w:sz="0" w:space="0" w:color="auto"/>
        <w:bottom w:val="none" w:sz="0" w:space="0" w:color="auto"/>
        <w:right w:val="none" w:sz="0" w:space="0" w:color="auto"/>
      </w:divBdr>
    </w:div>
    <w:div w:id="1402603388">
      <w:bodyDiv w:val="1"/>
      <w:marLeft w:val="0"/>
      <w:marRight w:val="0"/>
      <w:marTop w:val="0"/>
      <w:marBottom w:val="0"/>
      <w:divBdr>
        <w:top w:val="none" w:sz="0" w:space="0" w:color="auto"/>
        <w:left w:val="none" w:sz="0" w:space="0" w:color="auto"/>
        <w:bottom w:val="none" w:sz="0" w:space="0" w:color="auto"/>
        <w:right w:val="none" w:sz="0" w:space="0" w:color="auto"/>
      </w:divBdr>
    </w:div>
    <w:div w:id="1402630108">
      <w:bodyDiv w:val="1"/>
      <w:marLeft w:val="0"/>
      <w:marRight w:val="0"/>
      <w:marTop w:val="0"/>
      <w:marBottom w:val="0"/>
      <w:divBdr>
        <w:top w:val="none" w:sz="0" w:space="0" w:color="auto"/>
        <w:left w:val="none" w:sz="0" w:space="0" w:color="auto"/>
        <w:bottom w:val="none" w:sz="0" w:space="0" w:color="auto"/>
        <w:right w:val="none" w:sz="0" w:space="0" w:color="auto"/>
      </w:divBdr>
    </w:div>
    <w:div w:id="1403022049">
      <w:bodyDiv w:val="1"/>
      <w:marLeft w:val="0"/>
      <w:marRight w:val="0"/>
      <w:marTop w:val="0"/>
      <w:marBottom w:val="0"/>
      <w:divBdr>
        <w:top w:val="none" w:sz="0" w:space="0" w:color="auto"/>
        <w:left w:val="none" w:sz="0" w:space="0" w:color="auto"/>
        <w:bottom w:val="none" w:sz="0" w:space="0" w:color="auto"/>
        <w:right w:val="none" w:sz="0" w:space="0" w:color="auto"/>
      </w:divBdr>
    </w:div>
    <w:div w:id="1403135989">
      <w:bodyDiv w:val="1"/>
      <w:marLeft w:val="0"/>
      <w:marRight w:val="0"/>
      <w:marTop w:val="0"/>
      <w:marBottom w:val="0"/>
      <w:divBdr>
        <w:top w:val="none" w:sz="0" w:space="0" w:color="auto"/>
        <w:left w:val="none" w:sz="0" w:space="0" w:color="auto"/>
        <w:bottom w:val="none" w:sz="0" w:space="0" w:color="auto"/>
        <w:right w:val="none" w:sz="0" w:space="0" w:color="auto"/>
      </w:divBdr>
    </w:div>
    <w:div w:id="1403455510">
      <w:bodyDiv w:val="1"/>
      <w:marLeft w:val="0"/>
      <w:marRight w:val="0"/>
      <w:marTop w:val="0"/>
      <w:marBottom w:val="0"/>
      <w:divBdr>
        <w:top w:val="none" w:sz="0" w:space="0" w:color="auto"/>
        <w:left w:val="none" w:sz="0" w:space="0" w:color="auto"/>
        <w:bottom w:val="none" w:sz="0" w:space="0" w:color="auto"/>
        <w:right w:val="none" w:sz="0" w:space="0" w:color="auto"/>
      </w:divBdr>
    </w:div>
    <w:div w:id="1404259959">
      <w:bodyDiv w:val="1"/>
      <w:marLeft w:val="0"/>
      <w:marRight w:val="0"/>
      <w:marTop w:val="0"/>
      <w:marBottom w:val="0"/>
      <w:divBdr>
        <w:top w:val="none" w:sz="0" w:space="0" w:color="auto"/>
        <w:left w:val="none" w:sz="0" w:space="0" w:color="auto"/>
        <w:bottom w:val="none" w:sz="0" w:space="0" w:color="auto"/>
        <w:right w:val="none" w:sz="0" w:space="0" w:color="auto"/>
      </w:divBdr>
    </w:div>
    <w:div w:id="1404717780">
      <w:bodyDiv w:val="1"/>
      <w:marLeft w:val="0"/>
      <w:marRight w:val="0"/>
      <w:marTop w:val="0"/>
      <w:marBottom w:val="0"/>
      <w:divBdr>
        <w:top w:val="none" w:sz="0" w:space="0" w:color="auto"/>
        <w:left w:val="none" w:sz="0" w:space="0" w:color="auto"/>
        <w:bottom w:val="none" w:sz="0" w:space="0" w:color="auto"/>
        <w:right w:val="none" w:sz="0" w:space="0" w:color="auto"/>
      </w:divBdr>
    </w:div>
    <w:div w:id="1405907089">
      <w:bodyDiv w:val="1"/>
      <w:marLeft w:val="0"/>
      <w:marRight w:val="0"/>
      <w:marTop w:val="0"/>
      <w:marBottom w:val="0"/>
      <w:divBdr>
        <w:top w:val="none" w:sz="0" w:space="0" w:color="auto"/>
        <w:left w:val="none" w:sz="0" w:space="0" w:color="auto"/>
        <w:bottom w:val="none" w:sz="0" w:space="0" w:color="auto"/>
        <w:right w:val="none" w:sz="0" w:space="0" w:color="auto"/>
      </w:divBdr>
    </w:div>
    <w:div w:id="1405949433">
      <w:bodyDiv w:val="1"/>
      <w:marLeft w:val="0"/>
      <w:marRight w:val="0"/>
      <w:marTop w:val="0"/>
      <w:marBottom w:val="0"/>
      <w:divBdr>
        <w:top w:val="none" w:sz="0" w:space="0" w:color="auto"/>
        <w:left w:val="none" w:sz="0" w:space="0" w:color="auto"/>
        <w:bottom w:val="none" w:sz="0" w:space="0" w:color="auto"/>
        <w:right w:val="none" w:sz="0" w:space="0" w:color="auto"/>
      </w:divBdr>
    </w:div>
    <w:div w:id="1405954846">
      <w:bodyDiv w:val="1"/>
      <w:marLeft w:val="0"/>
      <w:marRight w:val="0"/>
      <w:marTop w:val="0"/>
      <w:marBottom w:val="0"/>
      <w:divBdr>
        <w:top w:val="none" w:sz="0" w:space="0" w:color="auto"/>
        <w:left w:val="none" w:sz="0" w:space="0" w:color="auto"/>
        <w:bottom w:val="none" w:sz="0" w:space="0" w:color="auto"/>
        <w:right w:val="none" w:sz="0" w:space="0" w:color="auto"/>
      </w:divBdr>
    </w:div>
    <w:div w:id="1406683740">
      <w:bodyDiv w:val="1"/>
      <w:marLeft w:val="0"/>
      <w:marRight w:val="0"/>
      <w:marTop w:val="0"/>
      <w:marBottom w:val="0"/>
      <w:divBdr>
        <w:top w:val="none" w:sz="0" w:space="0" w:color="auto"/>
        <w:left w:val="none" w:sz="0" w:space="0" w:color="auto"/>
        <w:bottom w:val="none" w:sz="0" w:space="0" w:color="auto"/>
        <w:right w:val="none" w:sz="0" w:space="0" w:color="auto"/>
      </w:divBdr>
    </w:div>
    <w:div w:id="1407611038">
      <w:bodyDiv w:val="1"/>
      <w:marLeft w:val="0"/>
      <w:marRight w:val="0"/>
      <w:marTop w:val="0"/>
      <w:marBottom w:val="0"/>
      <w:divBdr>
        <w:top w:val="none" w:sz="0" w:space="0" w:color="auto"/>
        <w:left w:val="none" w:sz="0" w:space="0" w:color="auto"/>
        <w:bottom w:val="none" w:sz="0" w:space="0" w:color="auto"/>
        <w:right w:val="none" w:sz="0" w:space="0" w:color="auto"/>
      </w:divBdr>
    </w:div>
    <w:div w:id="1408068198">
      <w:bodyDiv w:val="1"/>
      <w:marLeft w:val="0"/>
      <w:marRight w:val="0"/>
      <w:marTop w:val="0"/>
      <w:marBottom w:val="0"/>
      <w:divBdr>
        <w:top w:val="none" w:sz="0" w:space="0" w:color="auto"/>
        <w:left w:val="none" w:sz="0" w:space="0" w:color="auto"/>
        <w:bottom w:val="none" w:sz="0" w:space="0" w:color="auto"/>
        <w:right w:val="none" w:sz="0" w:space="0" w:color="auto"/>
      </w:divBdr>
    </w:div>
    <w:div w:id="1408453990">
      <w:bodyDiv w:val="1"/>
      <w:marLeft w:val="0"/>
      <w:marRight w:val="0"/>
      <w:marTop w:val="0"/>
      <w:marBottom w:val="0"/>
      <w:divBdr>
        <w:top w:val="none" w:sz="0" w:space="0" w:color="auto"/>
        <w:left w:val="none" w:sz="0" w:space="0" w:color="auto"/>
        <w:bottom w:val="none" w:sz="0" w:space="0" w:color="auto"/>
        <w:right w:val="none" w:sz="0" w:space="0" w:color="auto"/>
      </w:divBdr>
    </w:div>
    <w:div w:id="1408574716">
      <w:bodyDiv w:val="1"/>
      <w:marLeft w:val="0"/>
      <w:marRight w:val="0"/>
      <w:marTop w:val="0"/>
      <w:marBottom w:val="0"/>
      <w:divBdr>
        <w:top w:val="none" w:sz="0" w:space="0" w:color="auto"/>
        <w:left w:val="none" w:sz="0" w:space="0" w:color="auto"/>
        <w:bottom w:val="none" w:sz="0" w:space="0" w:color="auto"/>
        <w:right w:val="none" w:sz="0" w:space="0" w:color="auto"/>
      </w:divBdr>
    </w:div>
    <w:div w:id="1409226455">
      <w:bodyDiv w:val="1"/>
      <w:marLeft w:val="0"/>
      <w:marRight w:val="0"/>
      <w:marTop w:val="0"/>
      <w:marBottom w:val="0"/>
      <w:divBdr>
        <w:top w:val="none" w:sz="0" w:space="0" w:color="auto"/>
        <w:left w:val="none" w:sz="0" w:space="0" w:color="auto"/>
        <w:bottom w:val="none" w:sz="0" w:space="0" w:color="auto"/>
        <w:right w:val="none" w:sz="0" w:space="0" w:color="auto"/>
      </w:divBdr>
    </w:div>
    <w:div w:id="1409233726">
      <w:bodyDiv w:val="1"/>
      <w:marLeft w:val="0"/>
      <w:marRight w:val="0"/>
      <w:marTop w:val="0"/>
      <w:marBottom w:val="0"/>
      <w:divBdr>
        <w:top w:val="none" w:sz="0" w:space="0" w:color="auto"/>
        <w:left w:val="none" w:sz="0" w:space="0" w:color="auto"/>
        <w:bottom w:val="none" w:sz="0" w:space="0" w:color="auto"/>
        <w:right w:val="none" w:sz="0" w:space="0" w:color="auto"/>
      </w:divBdr>
    </w:div>
    <w:div w:id="1411150968">
      <w:bodyDiv w:val="1"/>
      <w:marLeft w:val="0"/>
      <w:marRight w:val="0"/>
      <w:marTop w:val="0"/>
      <w:marBottom w:val="0"/>
      <w:divBdr>
        <w:top w:val="none" w:sz="0" w:space="0" w:color="auto"/>
        <w:left w:val="none" w:sz="0" w:space="0" w:color="auto"/>
        <w:bottom w:val="none" w:sz="0" w:space="0" w:color="auto"/>
        <w:right w:val="none" w:sz="0" w:space="0" w:color="auto"/>
      </w:divBdr>
    </w:div>
    <w:div w:id="1411468001">
      <w:bodyDiv w:val="1"/>
      <w:marLeft w:val="0"/>
      <w:marRight w:val="0"/>
      <w:marTop w:val="0"/>
      <w:marBottom w:val="0"/>
      <w:divBdr>
        <w:top w:val="none" w:sz="0" w:space="0" w:color="auto"/>
        <w:left w:val="none" w:sz="0" w:space="0" w:color="auto"/>
        <w:bottom w:val="none" w:sz="0" w:space="0" w:color="auto"/>
        <w:right w:val="none" w:sz="0" w:space="0" w:color="auto"/>
      </w:divBdr>
    </w:div>
    <w:div w:id="1413236684">
      <w:bodyDiv w:val="1"/>
      <w:marLeft w:val="0"/>
      <w:marRight w:val="0"/>
      <w:marTop w:val="0"/>
      <w:marBottom w:val="0"/>
      <w:divBdr>
        <w:top w:val="none" w:sz="0" w:space="0" w:color="auto"/>
        <w:left w:val="none" w:sz="0" w:space="0" w:color="auto"/>
        <w:bottom w:val="none" w:sz="0" w:space="0" w:color="auto"/>
        <w:right w:val="none" w:sz="0" w:space="0" w:color="auto"/>
      </w:divBdr>
    </w:div>
    <w:div w:id="1415738037">
      <w:bodyDiv w:val="1"/>
      <w:marLeft w:val="0"/>
      <w:marRight w:val="0"/>
      <w:marTop w:val="0"/>
      <w:marBottom w:val="0"/>
      <w:divBdr>
        <w:top w:val="none" w:sz="0" w:space="0" w:color="auto"/>
        <w:left w:val="none" w:sz="0" w:space="0" w:color="auto"/>
        <w:bottom w:val="none" w:sz="0" w:space="0" w:color="auto"/>
        <w:right w:val="none" w:sz="0" w:space="0" w:color="auto"/>
      </w:divBdr>
    </w:div>
    <w:div w:id="1416054622">
      <w:bodyDiv w:val="1"/>
      <w:marLeft w:val="0"/>
      <w:marRight w:val="0"/>
      <w:marTop w:val="0"/>
      <w:marBottom w:val="0"/>
      <w:divBdr>
        <w:top w:val="none" w:sz="0" w:space="0" w:color="auto"/>
        <w:left w:val="none" w:sz="0" w:space="0" w:color="auto"/>
        <w:bottom w:val="none" w:sz="0" w:space="0" w:color="auto"/>
        <w:right w:val="none" w:sz="0" w:space="0" w:color="auto"/>
      </w:divBdr>
    </w:div>
    <w:div w:id="1416320043">
      <w:bodyDiv w:val="1"/>
      <w:marLeft w:val="0"/>
      <w:marRight w:val="0"/>
      <w:marTop w:val="0"/>
      <w:marBottom w:val="0"/>
      <w:divBdr>
        <w:top w:val="none" w:sz="0" w:space="0" w:color="auto"/>
        <w:left w:val="none" w:sz="0" w:space="0" w:color="auto"/>
        <w:bottom w:val="none" w:sz="0" w:space="0" w:color="auto"/>
        <w:right w:val="none" w:sz="0" w:space="0" w:color="auto"/>
      </w:divBdr>
    </w:div>
    <w:div w:id="1416635365">
      <w:bodyDiv w:val="1"/>
      <w:marLeft w:val="0"/>
      <w:marRight w:val="0"/>
      <w:marTop w:val="0"/>
      <w:marBottom w:val="0"/>
      <w:divBdr>
        <w:top w:val="none" w:sz="0" w:space="0" w:color="auto"/>
        <w:left w:val="none" w:sz="0" w:space="0" w:color="auto"/>
        <w:bottom w:val="none" w:sz="0" w:space="0" w:color="auto"/>
        <w:right w:val="none" w:sz="0" w:space="0" w:color="auto"/>
      </w:divBdr>
    </w:div>
    <w:div w:id="1416825276">
      <w:bodyDiv w:val="1"/>
      <w:marLeft w:val="0"/>
      <w:marRight w:val="0"/>
      <w:marTop w:val="0"/>
      <w:marBottom w:val="0"/>
      <w:divBdr>
        <w:top w:val="none" w:sz="0" w:space="0" w:color="auto"/>
        <w:left w:val="none" w:sz="0" w:space="0" w:color="auto"/>
        <w:bottom w:val="none" w:sz="0" w:space="0" w:color="auto"/>
        <w:right w:val="none" w:sz="0" w:space="0" w:color="auto"/>
      </w:divBdr>
    </w:div>
    <w:div w:id="1416980105">
      <w:bodyDiv w:val="1"/>
      <w:marLeft w:val="0"/>
      <w:marRight w:val="0"/>
      <w:marTop w:val="0"/>
      <w:marBottom w:val="0"/>
      <w:divBdr>
        <w:top w:val="none" w:sz="0" w:space="0" w:color="auto"/>
        <w:left w:val="none" w:sz="0" w:space="0" w:color="auto"/>
        <w:bottom w:val="none" w:sz="0" w:space="0" w:color="auto"/>
        <w:right w:val="none" w:sz="0" w:space="0" w:color="auto"/>
      </w:divBdr>
    </w:div>
    <w:div w:id="1417047027">
      <w:bodyDiv w:val="1"/>
      <w:marLeft w:val="0"/>
      <w:marRight w:val="0"/>
      <w:marTop w:val="0"/>
      <w:marBottom w:val="0"/>
      <w:divBdr>
        <w:top w:val="none" w:sz="0" w:space="0" w:color="auto"/>
        <w:left w:val="none" w:sz="0" w:space="0" w:color="auto"/>
        <w:bottom w:val="none" w:sz="0" w:space="0" w:color="auto"/>
        <w:right w:val="none" w:sz="0" w:space="0" w:color="auto"/>
      </w:divBdr>
    </w:div>
    <w:div w:id="1417089810">
      <w:bodyDiv w:val="1"/>
      <w:marLeft w:val="0"/>
      <w:marRight w:val="0"/>
      <w:marTop w:val="0"/>
      <w:marBottom w:val="0"/>
      <w:divBdr>
        <w:top w:val="none" w:sz="0" w:space="0" w:color="auto"/>
        <w:left w:val="none" w:sz="0" w:space="0" w:color="auto"/>
        <w:bottom w:val="none" w:sz="0" w:space="0" w:color="auto"/>
        <w:right w:val="none" w:sz="0" w:space="0" w:color="auto"/>
      </w:divBdr>
    </w:div>
    <w:div w:id="1418937438">
      <w:bodyDiv w:val="1"/>
      <w:marLeft w:val="0"/>
      <w:marRight w:val="0"/>
      <w:marTop w:val="0"/>
      <w:marBottom w:val="0"/>
      <w:divBdr>
        <w:top w:val="none" w:sz="0" w:space="0" w:color="auto"/>
        <w:left w:val="none" w:sz="0" w:space="0" w:color="auto"/>
        <w:bottom w:val="none" w:sz="0" w:space="0" w:color="auto"/>
        <w:right w:val="none" w:sz="0" w:space="0" w:color="auto"/>
      </w:divBdr>
    </w:div>
    <w:div w:id="1418940503">
      <w:bodyDiv w:val="1"/>
      <w:marLeft w:val="0"/>
      <w:marRight w:val="0"/>
      <w:marTop w:val="0"/>
      <w:marBottom w:val="0"/>
      <w:divBdr>
        <w:top w:val="none" w:sz="0" w:space="0" w:color="auto"/>
        <w:left w:val="none" w:sz="0" w:space="0" w:color="auto"/>
        <w:bottom w:val="none" w:sz="0" w:space="0" w:color="auto"/>
        <w:right w:val="none" w:sz="0" w:space="0" w:color="auto"/>
      </w:divBdr>
    </w:div>
    <w:div w:id="1419519176">
      <w:bodyDiv w:val="1"/>
      <w:marLeft w:val="0"/>
      <w:marRight w:val="0"/>
      <w:marTop w:val="0"/>
      <w:marBottom w:val="0"/>
      <w:divBdr>
        <w:top w:val="none" w:sz="0" w:space="0" w:color="auto"/>
        <w:left w:val="none" w:sz="0" w:space="0" w:color="auto"/>
        <w:bottom w:val="none" w:sz="0" w:space="0" w:color="auto"/>
        <w:right w:val="none" w:sz="0" w:space="0" w:color="auto"/>
      </w:divBdr>
    </w:div>
    <w:div w:id="1420521974">
      <w:bodyDiv w:val="1"/>
      <w:marLeft w:val="0"/>
      <w:marRight w:val="0"/>
      <w:marTop w:val="0"/>
      <w:marBottom w:val="0"/>
      <w:divBdr>
        <w:top w:val="none" w:sz="0" w:space="0" w:color="auto"/>
        <w:left w:val="none" w:sz="0" w:space="0" w:color="auto"/>
        <w:bottom w:val="none" w:sz="0" w:space="0" w:color="auto"/>
        <w:right w:val="none" w:sz="0" w:space="0" w:color="auto"/>
      </w:divBdr>
    </w:div>
    <w:div w:id="1420952503">
      <w:bodyDiv w:val="1"/>
      <w:marLeft w:val="0"/>
      <w:marRight w:val="0"/>
      <w:marTop w:val="0"/>
      <w:marBottom w:val="0"/>
      <w:divBdr>
        <w:top w:val="none" w:sz="0" w:space="0" w:color="auto"/>
        <w:left w:val="none" w:sz="0" w:space="0" w:color="auto"/>
        <w:bottom w:val="none" w:sz="0" w:space="0" w:color="auto"/>
        <w:right w:val="none" w:sz="0" w:space="0" w:color="auto"/>
      </w:divBdr>
    </w:div>
    <w:div w:id="1421633382">
      <w:bodyDiv w:val="1"/>
      <w:marLeft w:val="0"/>
      <w:marRight w:val="0"/>
      <w:marTop w:val="0"/>
      <w:marBottom w:val="0"/>
      <w:divBdr>
        <w:top w:val="none" w:sz="0" w:space="0" w:color="auto"/>
        <w:left w:val="none" w:sz="0" w:space="0" w:color="auto"/>
        <w:bottom w:val="none" w:sz="0" w:space="0" w:color="auto"/>
        <w:right w:val="none" w:sz="0" w:space="0" w:color="auto"/>
      </w:divBdr>
    </w:div>
    <w:div w:id="1423524969">
      <w:bodyDiv w:val="1"/>
      <w:marLeft w:val="0"/>
      <w:marRight w:val="0"/>
      <w:marTop w:val="0"/>
      <w:marBottom w:val="0"/>
      <w:divBdr>
        <w:top w:val="none" w:sz="0" w:space="0" w:color="auto"/>
        <w:left w:val="none" w:sz="0" w:space="0" w:color="auto"/>
        <w:bottom w:val="none" w:sz="0" w:space="0" w:color="auto"/>
        <w:right w:val="none" w:sz="0" w:space="0" w:color="auto"/>
      </w:divBdr>
    </w:div>
    <w:div w:id="1423917631">
      <w:bodyDiv w:val="1"/>
      <w:marLeft w:val="0"/>
      <w:marRight w:val="0"/>
      <w:marTop w:val="0"/>
      <w:marBottom w:val="0"/>
      <w:divBdr>
        <w:top w:val="none" w:sz="0" w:space="0" w:color="auto"/>
        <w:left w:val="none" w:sz="0" w:space="0" w:color="auto"/>
        <w:bottom w:val="none" w:sz="0" w:space="0" w:color="auto"/>
        <w:right w:val="none" w:sz="0" w:space="0" w:color="auto"/>
      </w:divBdr>
    </w:div>
    <w:div w:id="1424301909">
      <w:bodyDiv w:val="1"/>
      <w:marLeft w:val="0"/>
      <w:marRight w:val="0"/>
      <w:marTop w:val="0"/>
      <w:marBottom w:val="0"/>
      <w:divBdr>
        <w:top w:val="none" w:sz="0" w:space="0" w:color="auto"/>
        <w:left w:val="none" w:sz="0" w:space="0" w:color="auto"/>
        <w:bottom w:val="none" w:sz="0" w:space="0" w:color="auto"/>
        <w:right w:val="none" w:sz="0" w:space="0" w:color="auto"/>
      </w:divBdr>
    </w:div>
    <w:div w:id="1424447398">
      <w:bodyDiv w:val="1"/>
      <w:marLeft w:val="0"/>
      <w:marRight w:val="0"/>
      <w:marTop w:val="0"/>
      <w:marBottom w:val="0"/>
      <w:divBdr>
        <w:top w:val="none" w:sz="0" w:space="0" w:color="auto"/>
        <w:left w:val="none" w:sz="0" w:space="0" w:color="auto"/>
        <w:bottom w:val="none" w:sz="0" w:space="0" w:color="auto"/>
        <w:right w:val="none" w:sz="0" w:space="0" w:color="auto"/>
      </w:divBdr>
    </w:div>
    <w:div w:id="1424884109">
      <w:bodyDiv w:val="1"/>
      <w:marLeft w:val="0"/>
      <w:marRight w:val="0"/>
      <w:marTop w:val="0"/>
      <w:marBottom w:val="0"/>
      <w:divBdr>
        <w:top w:val="none" w:sz="0" w:space="0" w:color="auto"/>
        <w:left w:val="none" w:sz="0" w:space="0" w:color="auto"/>
        <w:bottom w:val="none" w:sz="0" w:space="0" w:color="auto"/>
        <w:right w:val="none" w:sz="0" w:space="0" w:color="auto"/>
      </w:divBdr>
    </w:div>
    <w:div w:id="1425106019">
      <w:bodyDiv w:val="1"/>
      <w:marLeft w:val="0"/>
      <w:marRight w:val="0"/>
      <w:marTop w:val="0"/>
      <w:marBottom w:val="0"/>
      <w:divBdr>
        <w:top w:val="none" w:sz="0" w:space="0" w:color="auto"/>
        <w:left w:val="none" w:sz="0" w:space="0" w:color="auto"/>
        <w:bottom w:val="none" w:sz="0" w:space="0" w:color="auto"/>
        <w:right w:val="none" w:sz="0" w:space="0" w:color="auto"/>
      </w:divBdr>
    </w:div>
    <w:div w:id="1425491247">
      <w:bodyDiv w:val="1"/>
      <w:marLeft w:val="0"/>
      <w:marRight w:val="0"/>
      <w:marTop w:val="0"/>
      <w:marBottom w:val="0"/>
      <w:divBdr>
        <w:top w:val="none" w:sz="0" w:space="0" w:color="auto"/>
        <w:left w:val="none" w:sz="0" w:space="0" w:color="auto"/>
        <w:bottom w:val="none" w:sz="0" w:space="0" w:color="auto"/>
        <w:right w:val="none" w:sz="0" w:space="0" w:color="auto"/>
      </w:divBdr>
    </w:div>
    <w:div w:id="1427262503">
      <w:bodyDiv w:val="1"/>
      <w:marLeft w:val="0"/>
      <w:marRight w:val="0"/>
      <w:marTop w:val="0"/>
      <w:marBottom w:val="0"/>
      <w:divBdr>
        <w:top w:val="none" w:sz="0" w:space="0" w:color="auto"/>
        <w:left w:val="none" w:sz="0" w:space="0" w:color="auto"/>
        <w:bottom w:val="none" w:sz="0" w:space="0" w:color="auto"/>
        <w:right w:val="none" w:sz="0" w:space="0" w:color="auto"/>
      </w:divBdr>
    </w:div>
    <w:div w:id="1427313326">
      <w:bodyDiv w:val="1"/>
      <w:marLeft w:val="0"/>
      <w:marRight w:val="0"/>
      <w:marTop w:val="0"/>
      <w:marBottom w:val="0"/>
      <w:divBdr>
        <w:top w:val="none" w:sz="0" w:space="0" w:color="auto"/>
        <w:left w:val="none" w:sz="0" w:space="0" w:color="auto"/>
        <w:bottom w:val="none" w:sz="0" w:space="0" w:color="auto"/>
        <w:right w:val="none" w:sz="0" w:space="0" w:color="auto"/>
      </w:divBdr>
    </w:div>
    <w:div w:id="1427536187">
      <w:bodyDiv w:val="1"/>
      <w:marLeft w:val="0"/>
      <w:marRight w:val="0"/>
      <w:marTop w:val="0"/>
      <w:marBottom w:val="0"/>
      <w:divBdr>
        <w:top w:val="none" w:sz="0" w:space="0" w:color="auto"/>
        <w:left w:val="none" w:sz="0" w:space="0" w:color="auto"/>
        <w:bottom w:val="none" w:sz="0" w:space="0" w:color="auto"/>
        <w:right w:val="none" w:sz="0" w:space="0" w:color="auto"/>
      </w:divBdr>
    </w:div>
    <w:div w:id="1428039649">
      <w:bodyDiv w:val="1"/>
      <w:marLeft w:val="0"/>
      <w:marRight w:val="0"/>
      <w:marTop w:val="0"/>
      <w:marBottom w:val="0"/>
      <w:divBdr>
        <w:top w:val="none" w:sz="0" w:space="0" w:color="auto"/>
        <w:left w:val="none" w:sz="0" w:space="0" w:color="auto"/>
        <w:bottom w:val="none" w:sz="0" w:space="0" w:color="auto"/>
        <w:right w:val="none" w:sz="0" w:space="0" w:color="auto"/>
      </w:divBdr>
    </w:div>
    <w:div w:id="1428112091">
      <w:bodyDiv w:val="1"/>
      <w:marLeft w:val="0"/>
      <w:marRight w:val="0"/>
      <w:marTop w:val="0"/>
      <w:marBottom w:val="0"/>
      <w:divBdr>
        <w:top w:val="none" w:sz="0" w:space="0" w:color="auto"/>
        <w:left w:val="none" w:sz="0" w:space="0" w:color="auto"/>
        <w:bottom w:val="none" w:sz="0" w:space="0" w:color="auto"/>
        <w:right w:val="none" w:sz="0" w:space="0" w:color="auto"/>
      </w:divBdr>
    </w:div>
    <w:div w:id="1430278239">
      <w:bodyDiv w:val="1"/>
      <w:marLeft w:val="0"/>
      <w:marRight w:val="0"/>
      <w:marTop w:val="0"/>
      <w:marBottom w:val="0"/>
      <w:divBdr>
        <w:top w:val="none" w:sz="0" w:space="0" w:color="auto"/>
        <w:left w:val="none" w:sz="0" w:space="0" w:color="auto"/>
        <w:bottom w:val="none" w:sz="0" w:space="0" w:color="auto"/>
        <w:right w:val="none" w:sz="0" w:space="0" w:color="auto"/>
      </w:divBdr>
    </w:div>
    <w:div w:id="1430465856">
      <w:bodyDiv w:val="1"/>
      <w:marLeft w:val="0"/>
      <w:marRight w:val="0"/>
      <w:marTop w:val="0"/>
      <w:marBottom w:val="0"/>
      <w:divBdr>
        <w:top w:val="none" w:sz="0" w:space="0" w:color="auto"/>
        <w:left w:val="none" w:sz="0" w:space="0" w:color="auto"/>
        <w:bottom w:val="none" w:sz="0" w:space="0" w:color="auto"/>
        <w:right w:val="none" w:sz="0" w:space="0" w:color="auto"/>
      </w:divBdr>
    </w:div>
    <w:div w:id="1431044361">
      <w:bodyDiv w:val="1"/>
      <w:marLeft w:val="0"/>
      <w:marRight w:val="0"/>
      <w:marTop w:val="0"/>
      <w:marBottom w:val="0"/>
      <w:divBdr>
        <w:top w:val="none" w:sz="0" w:space="0" w:color="auto"/>
        <w:left w:val="none" w:sz="0" w:space="0" w:color="auto"/>
        <w:bottom w:val="none" w:sz="0" w:space="0" w:color="auto"/>
        <w:right w:val="none" w:sz="0" w:space="0" w:color="auto"/>
      </w:divBdr>
    </w:div>
    <w:div w:id="1431270352">
      <w:bodyDiv w:val="1"/>
      <w:marLeft w:val="0"/>
      <w:marRight w:val="0"/>
      <w:marTop w:val="0"/>
      <w:marBottom w:val="0"/>
      <w:divBdr>
        <w:top w:val="none" w:sz="0" w:space="0" w:color="auto"/>
        <w:left w:val="none" w:sz="0" w:space="0" w:color="auto"/>
        <w:bottom w:val="none" w:sz="0" w:space="0" w:color="auto"/>
        <w:right w:val="none" w:sz="0" w:space="0" w:color="auto"/>
      </w:divBdr>
    </w:div>
    <w:div w:id="1431465464">
      <w:bodyDiv w:val="1"/>
      <w:marLeft w:val="0"/>
      <w:marRight w:val="0"/>
      <w:marTop w:val="0"/>
      <w:marBottom w:val="0"/>
      <w:divBdr>
        <w:top w:val="none" w:sz="0" w:space="0" w:color="auto"/>
        <w:left w:val="none" w:sz="0" w:space="0" w:color="auto"/>
        <w:bottom w:val="none" w:sz="0" w:space="0" w:color="auto"/>
        <w:right w:val="none" w:sz="0" w:space="0" w:color="auto"/>
      </w:divBdr>
      <w:divsChild>
        <w:div w:id="51314997">
          <w:marLeft w:val="0"/>
          <w:marRight w:val="0"/>
          <w:marTop w:val="0"/>
          <w:marBottom w:val="0"/>
          <w:divBdr>
            <w:top w:val="none" w:sz="0" w:space="0" w:color="auto"/>
            <w:left w:val="none" w:sz="0" w:space="0" w:color="auto"/>
            <w:bottom w:val="none" w:sz="0" w:space="0" w:color="auto"/>
            <w:right w:val="none" w:sz="0" w:space="0" w:color="auto"/>
          </w:divBdr>
        </w:div>
        <w:div w:id="165554597">
          <w:marLeft w:val="0"/>
          <w:marRight w:val="0"/>
          <w:marTop w:val="0"/>
          <w:marBottom w:val="0"/>
          <w:divBdr>
            <w:top w:val="none" w:sz="0" w:space="0" w:color="auto"/>
            <w:left w:val="none" w:sz="0" w:space="0" w:color="auto"/>
            <w:bottom w:val="none" w:sz="0" w:space="0" w:color="auto"/>
            <w:right w:val="none" w:sz="0" w:space="0" w:color="auto"/>
          </w:divBdr>
        </w:div>
        <w:div w:id="169419066">
          <w:marLeft w:val="0"/>
          <w:marRight w:val="0"/>
          <w:marTop w:val="0"/>
          <w:marBottom w:val="0"/>
          <w:divBdr>
            <w:top w:val="none" w:sz="0" w:space="0" w:color="auto"/>
            <w:left w:val="none" w:sz="0" w:space="0" w:color="auto"/>
            <w:bottom w:val="none" w:sz="0" w:space="0" w:color="auto"/>
            <w:right w:val="none" w:sz="0" w:space="0" w:color="auto"/>
          </w:divBdr>
        </w:div>
        <w:div w:id="259149371">
          <w:marLeft w:val="0"/>
          <w:marRight w:val="0"/>
          <w:marTop w:val="0"/>
          <w:marBottom w:val="0"/>
          <w:divBdr>
            <w:top w:val="none" w:sz="0" w:space="0" w:color="auto"/>
            <w:left w:val="none" w:sz="0" w:space="0" w:color="auto"/>
            <w:bottom w:val="none" w:sz="0" w:space="0" w:color="auto"/>
            <w:right w:val="none" w:sz="0" w:space="0" w:color="auto"/>
          </w:divBdr>
        </w:div>
        <w:div w:id="345256716">
          <w:marLeft w:val="0"/>
          <w:marRight w:val="0"/>
          <w:marTop w:val="0"/>
          <w:marBottom w:val="0"/>
          <w:divBdr>
            <w:top w:val="none" w:sz="0" w:space="0" w:color="auto"/>
            <w:left w:val="none" w:sz="0" w:space="0" w:color="auto"/>
            <w:bottom w:val="none" w:sz="0" w:space="0" w:color="auto"/>
            <w:right w:val="none" w:sz="0" w:space="0" w:color="auto"/>
          </w:divBdr>
        </w:div>
        <w:div w:id="361442461">
          <w:marLeft w:val="0"/>
          <w:marRight w:val="0"/>
          <w:marTop w:val="0"/>
          <w:marBottom w:val="0"/>
          <w:divBdr>
            <w:top w:val="none" w:sz="0" w:space="0" w:color="auto"/>
            <w:left w:val="none" w:sz="0" w:space="0" w:color="auto"/>
            <w:bottom w:val="none" w:sz="0" w:space="0" w:color="auto"/>
            <w:right w:val="none" w:sz="0" w:space="0" w:color="auto"/>
          </w:divBdr>
        </w:div>
        <w:div w:id="423846850">
          <w:marLeft w:val="0"/>
          <w:marRight w:val="0"/>
          <w:marTop w:val="0"/>
          <w:marBottom w:val="0"/>
          <w:divBdr>
            <w:top w:val="none" w:sz="0" w:space="0" w:color="auto"/>
            <w:left w:val="none" w:sz="0" w:space="0" w:color="auto"/>
            <w:bottom w:val="none" w:sz="0" w:space="0" w:color="auto"/>
            <w:right w:val="none" w:sz="0" w:space="0" w:color="auto"/>
          </w:divBdr>
        </w:div>
        <w:div w:id="448818958">
          <w:marLeft w:val="0"/>
          <w:marRight w:val="0"/>
          <w:marTop w:val="0"/>
          <w:marBottom w:val="0"/>
          <w:divBdr>
            <w:top w:val="none" w:sz="0" w:space="0" w:color="auto"/>
            <w:left w:val="none" w:sz="0" w:space="0" w:color="auto"/>
            <w:bottom w:val="none" w:sz="0" w:space="0" w:color="auto"/>
            <w:right w:val="none" w:sz="0" w:space="0" w:color="auto"/>
          </w:divBdr>
        </w:div>
        <w:div w:id="510603965">
          <w:marLeft w:val="0"/>
          <w:marRight w:val="0"/>
          <w:marTop w:val="0"/>
          <w:marBottom w:val="0"/>
          <w:divBdr>
            <w:top w:val="none" w:sz="0" w:space="0" w:color="auto"/>
            <w:left w:val="none" w:sz="0" w:space="0" w:color="auto"/>
            <w:bottom w:val="none" w:sz="0" w:space="0" w:color="auto"/>
            <w:right w:val="none" w:sz="0" w:space="0" w:color="auto"/>
          </w:divBdr>
        </w:div>
        <w:div w:id="562369521">
          <w:marLeft w:val="0"/>
          <w:marRight w:val="0"/>
          <w:marTop w:val="0"/>
          <w:marBottom w:val="0"/>
          <w:divBdr>
            <w:top w:val="none" w:sz="0" w:space="0" w:color="auto"/>
            <w:left w:val="none" w:sz="0" w:space="0" w:color="auto"/>
            <w:bottom w:val="none" w:sz="0" w:space="0" w:color="auto"/>
            <w:right w:val="none" w:sz="0" w:space="0" w:color="auto"/>
          </w:divBdr>
        </w:div>
        <w:div w:id="590433365">
          <w:marLeft w:val="0"/>
          <w:marRight w:val="0"/>
          <w:marTop w:val="0"/>
          <w:marBottom w:val="0"/>
          <w:divBdr>
            <w:top w:val="none" w:sz="0" w:space="0" w:color="auto"/>
            <w:left w:val="none" w:sz="0" w:space="0" w:color="auto"/>
            <w:bottom w:val="none" w:sz="0" w:space="0" w:color="auto"/>
            <w:right w:val="none" w:sz="0" w:space="0" w:color="auto"/>
          </w:divBdr>
        </w:div>
        <w:div w:id="954870676">
          <w:marLeft w:val="0"/>
          <w:marRight w:val="0"/>
          <w:marTop w:val="0"/>
          <w:marBottom w:val="0"/>
          <w:divBdr>
            <w:top w:val="none" w:sz="0" w:space="0" w:color="auto"/>
            <w:left w:val="none" w:sz="0" w:space="0" w:color="auto"/>
            <w:bottom w:val="none" w:sz="0" w:space="0" w:color="auto"/>
            <w:right w:val="none" w:sz="0" w:space="0" w:color="auto"/>
          </w:divBdr>
        </w:div>
        <w:div w:id="975525290">
          <w:marLeft w:val="0"/>
          <w:marRight w:val="0"/>
          <w:marTop w:val="0"/>
          <w:marBottom w:val="0"/>
          <w:divBdr>
            <w:top w:val="none" w:sz="0" w:space="0" w:color="auto"/>
            <w:left w:val="none" w:sz="0" w:space="0" w:color="auto"/>
            <w:bottom w:val="none" w:sz="0" w:space="0" w:color="auto"/>
            <w:right w:val="none" w:sz="0" w:space="0" w:color="auto"/>
          </w:divBdr>
        </w:div>
        <w:div w:id="978878310">
          <w:marLeft w:val="0"/>
          <w:marRight w:val="0"/>
          <w:marTop w:val="0"/>
          <w:marBottom w:val="0"/>
          <w:divBdr>
            <w:top w:val="none" w:sz="0" w:space="0" w:color="auto"/>
            <w:left w:val="none" w:sz="0" w:space="0" w:color="auto"/>
            <w:bottom w:val="none" w:sz="0" w:space="0" w:color="auto"/>
            <w:right w:val="none" w:sz="0" w:space="0" w:color="auto"/>
          </w:divBdr>
        </w:div>
        <w:div w:id="1018197246">
          <w:marLeft w:val="0"/>
          <w:marRight w:val="0"/>
          <w:marTop w:val="0"/>
          <w:marBottom w:val="0"/>
          <w:divBdr>
            <w:top w:val="none" w:sz="0" w:space="0" w:color="auto"/>
            <w:left w:val="none" w:sz="0" w:space="0" w:color="auto"/>
            <w:bottom w:val="none" w:sz="0" w:space="0" w:color="auto"/>
            <w:right w:val="none" w:sz="0" w:space="0" w:color="auto"/>
          </w:divBdr>
        </w:div>
        <w:div w:id="1065447284">
          <w:marLeft w:val="0"/>
          <w:marRight w:val="0"/>
          <w:marTop w:val="0"/>
          <w:marBottom w:val="0"/>
          <w:divBdr>
            <w:top w:val="none" w:sz="0" w:space="0" w:color="auto"/>
            <w:left w:val="none" w:sz="0" w:space="0" w:color="auto"/>
            <w:bottom w:val="none" w:sz="0" w:space="0" w:color="auto"/>
            <w:right w:val="none" w:sz="0" w:space="0" w:color="auto"/>
          </w:divBdr>
        </w:div>
        <w:div w:id="1208759976">
          <w:marLeft w:val="0"/>
          <w:marRight w:val="0"/>
          <w:marTop w:val="0"/>
          <w:marBottom w:val="0"/>
          <w:divBdr>
            <w:top w:val="none" w:sz="0" w:space="0" w:color="auto"/>
            <w:left w:val="none" w:sz="0" w:space="0" w:color="auto"/>
            <w:bottom w:val="none" w:sz="0" w:space="0" w:color="auto"/>
            <w:right w:val="none" w:sz="0" w:space="0" w:color="auto"/>
          </w:divBdr>
        </w:div>
        <w:div w:id="1294822769">
          <w:marLeft w:val="0"/>
          <w:marRight w:val="0"/>
          <w:marTop w:val="0"/>
          <w:marBottom w:val="0"/>
          <w:divBdr>
            <w:top w:val="none" w:sz="0" w:space="0" w:color="auto"/>
            <w:left w:val="none" w:sz="0" w:space="0" w:color="auto"/>
            <w:bottom w:val="none" w:sz="0" w:space="0" w:color="auto"/>
            <w:right w:val="none" w:sz="0" w:space="0" w:color="auto"/>
          </w:divBdr>
        </w:div>
        <w:div w:id="1319647201">
          <w:marLeft w:val="0"/>
          <w:marRight w:val="0"/>
          <w:marTop w:val="0"/>
          <w:marBottom w:val="0"/>
          <w:divBdr>
            <w:top w:val="none" w:sz="0" w:space="0" w:color="auto"/>
            <w:left w:val="none" w:sz="0" w:space="0" w:color="auto"/>
            <w:bottom w:val="none" w:sz="0" w:space="0" w:color="auto"/>
            <w:right w:val="none" w:sz="0" w:space="0" w:color="auto"/>
          </w:divBdr>
        </w:div>
        <w:div w:id="1412503031">
          <w:marLeft w:val="0"/>
          <w:marRight w:val="0"/>
          <w:marTop w:val="0"/>
          <w:marBottom w:val="0"/>
          <w:divBdr>
            <w:top w:val="none" w:sz="0" w:space="0" w:color="auto"/>
            <w:left w:val="none" w:sz="0" w:space="0" w:color="auto"/>
            <w:bottom w:val="none" w:sz="0" w:space="0" w:color="auto"/>
            <w:right w:val="none" w:sz="0" w:space="0" w:color="auto"/>
          </w:divBdr>
        </w:div>
        <w:div w:id="1494174860">
          <w:marLeft w:val="0"/>
          <w:marRight w:val="0"/>
          <w:marTop w:val="0"/>
          <w:marBottom w:val="0"/>
          <w:divBdr>
            <w:top w:val="none" w:sz="0" w:space="0" w:color="auto"/>
            <w:left w:val="none" w:sz="0" w:space="0" w:color="auto"/>
            <w:bottom w:val="none" w:sz="0" w:space="0" w:color="auto"/>
            <w:right w:val="none" w:sz="0" w:space="0" w:color="auto"/>
          </w:divBdr>
        </w:div>
        <w:div w:id="1590503707">
          <w:marLeft w:val="0"/>
          <w:marRight w:val="0"/>
          <w:marTop w:val="0"/>
          <w:marBottom w:val="0"/>
          <w:divBdr>
            <w:top w:val="none" w:sz="0" w:space="0" w:color="auto"/>
            <w:left w:val="none" w:sz="0" w:space="0" w:color="auto"/>
            <w:bottom w:val="none" w:sz="0" w:space="0" w:color="auto"/>
            <w:right w:val="none" w:sz="0" w:space="0" w:color="auto"/>
          </w:divBdr>
        </w:div>
        <w:div w:id="1672953327">
          <w:marLeft w:val="0"/>
          <w:marRight w:val="0"/>
          <w:marTop w:val="0"/>
          <w:marBottom w:val="0"/>
          <w:divBdr>
            <w:top w:val="none" w:sz="0" w:space="0" w:color="auto"/>
            <w:left w:val="none" w:sz="0" w:space="0" w:color="auto"/>
            <w:bottom w:val="none" w:sz="0" w:space="0" w:color="auto"/>
            <w:right w:val="none" w:sz="0" w:space="0" w:color="auto"/>
          </w:divBdr>
        </w:div>
        <w:div w:id="1715764269">
          <w:marLeft w:val="0"/>
          <w:marRight w:val="0"/>
          <w:marTop w:val="0"/>
          <w:marBottom w:val="0"/>
          <w:divBdr>
            <w:top w:val="none" w:sz="0" w:space="0" w:color="auto"/>
            <w:left w:val="none" w:sz="0" w:space="0" w:color="auto"/>
            <w:bottom w:val="none" w:sz="0" w:space="0" w:color="auto"/>
            <w:right w:val="none" w:sz="0" w:space="0" w:color="auto"/>
          </w:divBdr>
        </w:div>
        <w:div w:id="1856071148">
          <w:marLeft w:val="0"/>
          <w:marRight w:val="0"/>
          <w:marTop w:val="0"/>
          <w:marBottom w:val="0"/>
          <w:divBdr>
            <w:top w:val="none" w:sz="0" w:space="0" w:color="auto"/>
            <w:left w:val="none" w:sz="0" w:space="0" w:color="auto"/>
            <w:bottom w:val="none" w:sz="0" w:space="0" w:color="auto"/>
            <w:right w:val="none" w:sz="0" w:space="0" w:color="auto"/>
          </w:divBdr>
        </w:div>
        <w:div w:id="2008946110">
          <w:marLeft w:val="0"/>
          <w:marRight w:val="0"/>
          <w:marTop w:val="0"/>
          <w:marBottom w:val="0"/>
          <w:divBdr>
            <w:top w:val="none" w:sz="0" w:space="0" w:color="auto"/>
            <w:left w:val="none" w:sz="0" w:space="0" w:color="auto"/>
            <w:bottom w:val="none" w:sz="0" w:space="0" w:color="auto"/>
            <w:right w:val="none" w:sz="0" w:space="0" w:color="auto"/>
          </w:divBdr>
        </w:div>
        <w:div w:id="2062361227">
          <w:marLeft w:val="0"/>
          <w:marRight w:val="0"/>
          <w:marTop w:val="0"/>
          <w:marBottom w:val="0"/>
          <w:divBdr>
            <w:top w:val="none" w:sz="0" w:space="0" w:color="auto"/>
            <w:left w:val="none" w:sz="0" w:space="0" w:color="auto"/>
            <w:bottom w:val="none" w:sz="0" w:space="0" w:color="auto"/>
            <w:right w:val="none" w:sz="0" w:space="0" w:color="auto"/>
          </w:divBdr>
        </w:div>
      </w:divsChild>
    </w:div>
    <w:div w:id="1431926386">
      <w:bodyDiv w:val="1"/>
      <w:marLeft w:val="0"/>
      <w:marRight w:val="0"/>
      <w:marTop w:val="0"/>
      <w:marBottom w:val="0"/>
      <w:divBdr>
        <w:top w:val="none" w:sz="0" w:space="0" w:color="auto"/>
        <w:left w:val="none" w:sz="0" w:space="0" w:color="auto"/>
        <w:bottom w:val="none" w:sz="0" w:space="0" w:color="auto"/>
        <w:right w:val="none" w:sz="0" w:space="0" w:color="auto"/>
      </w:divBdr>
    </w:div>
    <w:div w:id="1432117467">
      <w:bodyDiv w:val="1"/>
      <w:marLeft w:val="0"/>
      <w:marRight w:val="0"/>
      <w:marTop w:val="0"/>
      <w:marBottom w:val="0"/>
      <w:divBdr>
        <w:top w:val="none" w:sz="0" w:space="0" w:color="auto"/>
        <w:left w:val="none" w:sz="0" w:space="0" w:color="auto"/>
        <w:bottom w:val="none" w:sz="0" w:space="0" w:color="auto"/>
        <w:right w:val="none" w:sz="0" w:space="0" w:color="auto"/>
      </w:divBdr>
    </w:div>
    <w:div w:id="1432120203">
      <w:bodyDiv w:val="1"/>
      <w:marLeft w:val="0"/>
      <w:marRight w:val="0"/>
      <w:marTop w:val="0"/>
      <w:marBottom w:val="0"/>
      <w:divBdr>
        <w:top w:val="none" w:sz="0" w:space="0" w:color="auto"/>
        <w:left w:val="none" w:sz="0" w:space="0" w:color="auto"/>
        <w:bottom w:val="none" w:sz="0" w:space="0" w:color="auto"/>
        <w:right w:val="none" w:sz="0" w:space="0" w:color="auto"/>
      </w:divBdr>
    </w:div>
    <w:div w:id="1433084875">
      <w:bodyDiv w:val="1"/>
      <w:marLeft w:val="0"/>
      <w:marRight w:val="0"/>
      <w:marTop w:val="0"/>
      <w:marBottom w:val="0"/>
      <w:divBdr>
        <w:top w:val="none" w:sz="0" w:space="0" w:color="auto"/>
        <w:left w:val="none" w:sz="0" w:space="0" w:color="auto"/>
        <w:bottom w:val="none" w:sz="0" w:space="0" w:color="auto"/>
        <w:right w:val="none" w:sz="0" w:space="0" w:color="auto"/>
      </w:divBdr>
    </w:div>
    <w:div w:id="1433088288">
      <w:bodyDiv w:val="1"/>
      <w:marLeft w:val="0"/>
      <w:marRight w:val="0"/>
      <w:marTop w:val="0"/>
      <w:marBottom w:val="0"/>
      <w:divBdr>
        <w:top w:val="none" w:sz="0" w:space="0" w:color="auto"/>
        <w:left w:val="none" w:sz="0" w:space="0" w:color="auto"/>
        <w:bottom w:val="none" w:sz="0" w:space="0" w:color="auto"/>
        <w:right w:val="none" w:sz="0" w:space="0" w:color="auto"/>
      </w:divBdr>
    </w:div>
    <w:div w:id="1433431466">
      <w:bodyDiv w:val="1"/>
      <w:marLeft w:val="0"/>
      <w:marRight w:val="0"/>
      <w:marTop w:val="0"/>
      <w:marBottom w:val="0"/>
      <w:divBdr>
        <w:top w:val="none" w:sz="0" w:space="0" w:color="auto"/>
        <w:left w:val="none" w:sz="0" w:space="0" w:color="auto"/>
        <w:bottom w:val="none" w:sz="0" w:space="0" w:color="auto"/>
        <w:right w:val="none" w:sz="0" w:space="0" w:color="auto"/>
      </w:divBdr>
    </w:div>
    <w:div w:id="1433668829">
      <w:bodyDiv w:val="1"/>
      <w:marLeft w:val="0"/>
      <w:marRight w:val="0"/>
      <w:marTop w:val="0"/>
      <w:marBottom w:val="0"/>
      <w:divBdr>
        <w:top w:val="none" w:sz="0" w:space="0" w:color="auto"/>
        <w:left w:val="none" w:sz="0" w:space="0" w:color="auto"/>
        <w:bottom w:val="none" w:sz="0" w:space="0" w:color="auto"/>
        <w:right w:val="none" w:sz="0" w:space="0" w:color="auto"/>
      </w:divBdr>
    </w:div>
    <w:div w:id="1434281169">
      <w:bodyDiv w:val="1"/>
      <w:marLeft w:val="0"/>
      <w:marRight w:val="0"/>
      <w:marTop w:val="0"/>
      <w:marBottom w:val="0"/>
      <w:divBdr>
        <w:top w:val="none" w:sz="0" w:space="0" w:color="auto"/>
        <w:left w:val="none" w:sz="0" w:space="0" w:color="auto"/>
        <w:bottom w:val="none" w:sz="0" w:space="0" w:color="auto"/>
        <w:right w:val="none" w:sz="0" w:space="0" w:color="auto"/>
      </w:divBdr>
    </w:div>
    <w:div w:id="1434327398">
      <w:bodyDiv w:val="1"/>
      <w:marLeft w:val="0"/>
      <w:marRight w:val="0"/>
      <w:marTop w:val="0"/>
      <w:marBottom w:val="0"/>
      <w:divBdr>
        <w:top w:val="none" w:sz="0" w:space="0" w:color="auto"/>
        <w:left w:val="none" w:sz="0" w:space="0" w:color="auto"/>
        <w:bottom w:val="none" w:sz="0" w:space="0" w:color="auto"/>
        <w:right w:val="none" w:sz="0" w:space="0" w:color="auto"/>
      </w:divBdr>
    </w:div>
    <w:div w:id="1434396497">
      <w:bodyDiv w:val="1"/>
      <w:marLeft w:val="0"/>
      <w:marRight w:val="0"/>
      <w:marTop w:val="0"/>
      <w:marBottom w:val="0"/>
      <w:divBdr>
        <w:top w:val="none" w:sz="0" w:space="0" w:color="auto"/>
        <w:left w:val="none" w:sz="0" w:space="0" w:color="auto"/>
        <w:bottom w:val="none" w:sz="0" w:space="0" w:color="auto"/>
        <w:right w:val="none" w:sz="0" w:space="0" w:color="auto"/>
      </w:divBdr>
    </w:div>
    <w:div w:id="1435402087">
      <w:bodyDiv w:val="1"/>
      <w:marLeft w:val="0"/>
      <w:marRight w:val="0"/>
      <w:marTop w:val="0"/>
      <w:marBottom w:val="0"/>
      <w:divBdr>
        <w:top w:val="none" w:sz="0" w:space="0" w:color="auto"/>
        <w:left w:val="none" w:sz="0" w:space="0" w:color="auto"/>
        <w:bottom w:val="none" w:sz="0" w:space="0" w:color="auto"/>
        <w:right w:val="none" w:sz="0" w:space="0" w:color="auto"/>
      </w:divBdr>
    </w:div>
    <w:div w:id="1437411389">
      <w:bodyDiv w:val="1"/>
      <w:marLeft w:val="0"/>
      <w:marRight w:val="0"/>
      <w:marTop w:val="0"/>
      <w:marBottom w:val="0"/>
      <w:divBdr>
        <w:top w:val="none" w:sz="0" w:space="0" w:color="auto"/>
        <w:left w:val="none" w:sz="0" w:space="0" w:color="auto"/>
        <w:bottom w:val="none" w:sz="0" w:space="0" w:color="auto"/>
        <w:right w:val="none" w:sz="0" w:space="0" w:color="auto"/>
      </w:divBdr>
    </w:div>
    <w:div w:id="1437486634">
      <w:bodyDiv w:val="1"/>
      <w:marLeft w:val="0"/>
      <w:marRight w:val="0"/>
      <w:marTop w:val="0"/>
      <w:marBottom w:val="0"/>
      <w:divBdr>
        <w:top w:val="none" w:sz="0" w:space="0" w:color="auto"/>
        <w:left w:val="none" w:sz="0" w:space="0" w:color="auto"/>
        <w:bottom w:val="none" w:sz="0" w:space="0" w:color="auto"/>
        <w:right w:val="none" w:sz="0" w:space="0" w:color="auto"/>
      </w:divBdr>
    </w:div>
    <w:div w:id="1438021256">
      <w:bodyDiv w:val="1"/>
      <w:marLeft w:val="0"/>
      <w:marRight w:val="0"/>
      <w:marTop w:val="0"/>
      <w:marBottom w:val="0"/>
      <w:divBdr>
        <w:top w:val="none" w:sz="0" w:space="0" w:color="auto"/>
        <w:left w:val="none" w:sz="0" w:space="0" w:color="auto"/>
        <w:bottom w:val="none" w:sz="0" w:space="0" w:color="auto"/>
        <w:right w:val="none" w:sz="0" w:space="0" w:color="auto"/>
      </w:divBdr>
    </w:div>
    <w:div w:id="1438595698">
      <w:bodyDiv w:val="1"/>
      <w:marLeft w:val="0"/>
      <w:marRight w:val="0"/>
      <w:marTop w:val="0"/>
      <w:marBottom w:val="0"/>
      <w:divBdr>
        <w:top w:val="none" w:sz="0" w:space="0" w:color="auto"/>
        <w:left w:val="none" w:sz="0" w:space="0" w:color="auto"/>
        <w:bottom w:val="none" w:sz="0" w:space="0" w:color="auto"/>
        <w:right w:val="none" w:sz="0" w:space="0" w:color="auto"/>
      </w:divBdr>
    </w:div>
    <w:div w:id="1439565851">
      <w:bodyDiv w:val="1"/>
      <w:marLeft w:val="0"/>
      <w:marRight w:val="0"/>
      <w:marTop w:val="0"/>
      <w:marBottom w:val="0"/>
      <w:divBdr>
        <w:top w:val="none" w:sz="0" w:space="0" w:color="auto"/>
        <w:left w:val="none" w:sz="0" w:space="0" w:color="auto"/>
        <w:bottom w:val="none" w:sz="0" w:space="0" w:color="auto"/>
        <w:right w:val="none" w:sz="0" w:space="0" w:color="auto"/>
      </w:divBdr>
    </w:div>
    <w:div w:id="1440102906">
      <w:bodyDiv w:val="1"/>
      <w:marLeft w:val="0"/>
      <w:marRight w:val="0"/>
      <w:marTop w:val="0"/>
      <w:marBottom w:val="0"/>
      <w:divBdr>
        <w:top w:val="none" w:sz="0" w:space="0" w:color="auto"/>
        <w:left w:val="none" w:sz="0" w:space="0" w:color="auto"/>
        <w:bottom w:val="none" w:sz="0" w:space="0" w:color="auto"/>
        <w:right w:val="none" w:sz="0" w:space="0" w:color="auto"/>
      </w:divBdr>
    </w:div>
    <w:div w:id="1440371417">
      <w:bodyDiv w:val="1"/>
      <w:marLeft w:val="0"/>
      <w:marRight w:val="0"/>
      <w:marTop w:val="0"/>
      <w:marBottom w:val="0"/>
      <w:divBdr>
        <w:top w:val="none" w:sz="0" w:space="0" w:color="auto"/>
        <w:left w:val="none" w:sz="0" w:space="0" w:color="auto"/>
        <w:bottom w:val="none" w:sz="0" w:space="0" w:color="auto"/>
        <w:right w:val="none" w:sz="0" w:space="0" w:color="auto"/>
      </w:divBdr>
    </w:div>
    <w:div w:id="1441411942">
      <w:bodyDiv w:val="1"/>
      <w:marLeft w:val="0"/>
      <w:marRight w:val="0"/>
      <w:marTop w:val="0"/>
      <w:marBottom w:val="0"/>
      <w:divBdr>
        <w:top w:val="none" w:sz="0" w:space="0" w:color="auto"/>
        <w:left w:val="none" w:sz="0" w:space="0" w:color="auto"/>
        <w:bottom w:val="none" w:sz="0" w:space="0" w:color="auto"/>
        <w:right w:val="none" w:sz="0" w:space="0" w:color="auto"/>
      </w:divBdr>
    </w:div>
    <w:div w:id="1441685740">
      <w:bodyDiv w:val="1"/>
      <w:marLeft w:val="0"/>
      <w:marRight w:val="0"/>
      <w:marTop w:val="0"/>
      <w:marBottom w:val="0"/>
      <w:divBdr>
        <w:top w:val="none" w:sz="0" w:space="0" w:color="auto"/>
        <w:left w:val="none" w:sz="0" w:space="0" w:color="auto"/>
        <w:bottom w:val="none" w:sz="0" w:space="0" w:color="auto"/>
        <w:right w:val="none" w:sz="0" w:space="0" w:color="auto"/>
      </w:divBdr>
    </w:div>
    <w:div w:id="1442535402">
      <w:bodyDiv w:val="1"/>
      <w:marLeft w:val="0"/>
      <w:marRight w:val="0"/>
      <w:marTop w:val="0"/>
      <w:marBottom w:val="0"/>
      <w:divBdr>
        <w:top w:val="none" w:sz="0" w:space="0" w:color="auto"/>
        <w:left w:val="none" w:sz="0" w:space="0" w:color="auto"/>
        <w:bottom w:val="none" w:sz="0" w:space="0" w:color="auto"/>
        <w:right w:val="none" w:sz="0" w:space="0" w:color="auto"/>
      </w:divBdr>
    </w:div>
    <w:div w:id="1442719343">
      <w:bodyDiv w:val="1"/>
      <w:marLeft w:val="0"/>
      <w:marRight w:val="0"/>
      <w:marTop w:val="0"/>
      <w:marBottom w:val="0"/>
      <w:divBdr>
        <w:top w:val="none" w:sz="0" w:space="0" w:color="auto"/>
        <w:left w:val="none" w:sz="0" w:space="0" w:color="auto"/>
        <w:bottom w:val="none" w:sz="0" w:space="0" w:color="auto"/>
        <w:right w:val="none" w:sz="0" w:space="0" w:color="auto"/>
      </w:divBdr>
    </w:div>
    <w:div w:id="1443766149">
      <w:bodyDiv w:val="1"/>
      <w:marLeft w:val="0"/>
      <w:marRight w:val="0"/>
      <w:marTop w:val="0"/>
      <w:marBottom w:val="0"/>
      <w:divBdr>
        <w:top w:val="none" w:sz="0" w:space="0" w:color="auto"/>
        <w:left w:val="none" w:sz="0" w:space="0" w:color="auto"/>
        <w:bottom w:val="none" w:sz="0" w:space="0" w:color="auto"/>
        <w:right w:val="none" w:sz="0" w:space="0" w:color="auto"/>
      </w:divBdr>
    </w:div>
    <w:div w:id="1443921587">
      <w:bodyDiv w:val="1"/>
      <w:marLeft w:val="0"/>
      <w:marRight w:val="0"/>
      <w:marTop w:val="0"/>
      <w:marBottom w:val="0"/>
      <w:divBdr>
        <w:top w:val="none" w:sz="0" w:space="0" w:color="auto"/>
        <w:left w:val="none" w:sz="0" w:space="0" w:color="auto"/>
        <w:bottom w:val="none" w:sz="0" w:space="0" w:color="auto"/>
        <w:right w:val="none" w:sz="0" w:space="0" w:color="auto"/>
      </w:divBdr>
    </w:div>
    <w:div w:id="1444031810">
      <w:bodyDiv w:val="1"/>
      <w:marLeft w:val="0"/>
      <w:marRight w:val="0"/>
      <w:marTop w:val="0"/>
      <w:marBottom w:val="0"/>
      <w:divBdr>
        <w:top w:val="none" w:sz="0" w:space="0" w:color="auto"/>
        <w:left w:val="none" w:sz="0" w:space="0" w:color="auto"/>
        <w:bottom w:val="none" w:sz="0" w:space="0" w:color="auto"/>
        <w:right w:val="none" w:sz="0" w:space="0" w:color="auto"/>
      </w:divBdr>
    </w:div>
    <w:div w:id="1444155948">
      <w:bodyDiv w:val="1"/>
      <w:marLeft w:val="0"/>
      <w:marRight w:val="0"/>
      <w:marTop w:val="0"/>
      <w:marBottom w:val="0"/>
      <w:divBdr>
        <w:top w:val="none" w:sz="0" w:space="0" w:color="auto"/>
        <w:left w:val="none" w:sz="0" w:space="0" w:color="auto"/>
        <w:bottom w:val="none" w:sz="0" w:space="0" w:color="auto"/>
        <w:right w:val="none" w:sz="0" w:space="0" w:color="auto"/>
      </w:divBdr>
    </w:div>
    <w:div w:id="1444230135">
      <w:bodyDiv w:val="1"/>
      <w:marLeft w:val="0"/>
      <w:marRight w:val="0"/>
      <w:marTop w:val="0"/>
      <w:marBottom w:val="0"/>
      <w:divBdr>
        <w:top w:val="none" w:sz="0" w:space="0" w:color="auto"/>
        <w:left w:val="none" w:sz="0" w:space="0" w:color="auto"/>
        <w:bottom w:val="none" w:sz="0" w:space="0" w:color="auto"/>
        <w:right w:val="none" w:sz="0" w:space="0" w:color="auto"/>
      </w:divBdr>
    </w:div>
    <w:div w:id="1444837735">
      <w:bodyDiv w:val="1"/>
      <w:marLeft w:val="0"/>
      <w:marRight w:val="0"/>
      <w:marTop w:val="0"/>
      <w:marBottom w:val="0"/>
      <w:divBdr>
        <w:top w:val="none" w:sz="0" w:space="0" w:color="auto"/>
        <w:left w:val="none" w:sz="0" w:space="0" w:color="auto"/>
        <w:bottom w:val="none" w:sz="0" w:space="0" w:color="auto"/>
        <w:right w:val="none" w:sz="0" w:space="0" w:color="auto"/>
      </w:divBdr>
    </w:div>
    <w:div w:id="1445420951">
      <w:bodyDiv w:val="1"/>
      <w:marLeft w:val="0"/>
      <w:marRight w:val="0"/>
      <w:marTop w:val="0"/>
      <w:marBottom w:val="0"/>
      <w:divBdr>
        <w:top w:val="none" w:sz="0" w:space="0" w:color="auto"/>
        <w:left w:val="none" w:sz="0" w:space="0" w:color="auto"/>
        <w:bottom w:val="none" w:sz="0" w:space="0" w:color="auto"/>
        <w:right w:val="none" w:sz="0" w:space="0" w:color="auto"/>
      </w:divBdr>
    </w:div>
    <w:div w:id="1445732767">
      <w:bodyDiv w:val="1"/>
      <w:marLeft w:val="0"/>
      <w:marRight w:val="0"/>
      <w:marTop w:val="0"/>
      <w:marBottom w:val="0"/>
      <w:divBdr>
        <w:top w:val="none" w:sz="0" w:space="0" w:color="auto"/>
        <w:left w:val="none" w:sz="0" w:space="0" w:color="auto"/>
        <w:bottom w:val="none" w:sz="0" w:space="0" w:color="auto"/>
        <w:right w:val="none" w:sz="0" w:space="0" w:color="auto"/>
      </w:divBdr>
    </w:div>
    <w:div w:id="1445735507">
      <w:bodyDiv w:val="1"/>
      <w:marLeft w:val="0"/>
      <w:marRight w:val="0"/>
      <w:marTop w:val="0"/>
      <w:marBottom w:val="0"/>
      <w:divBdr>
        <w:top w:val="none" w:sz="0" w:space="0" w:color="auto"/>
        <w:left w:val="none" w:sz="0" w:space="0" w:color="auto"/>
        <w:bottom w:val="none" w:sz="0" w:space="0" w:color="auto"/>
        <w:right w:val="none" w:sz="0" w:space="0" w:color="auto"/>
      </w:divBdr>
    </w:div>
    <w:div w:id="1446189809">
      <w:bodyDiv w:val="1"/>
      <w:marLeft w:val="0"/>
      <w:marRight w:val="0"/>
      <w:marTop w:val="0"/>
      <w:marBottom w:val="0"/>
      <w:divBdr>
        <w:top w:val="none" w:sz="0" w:space="0" w:color="auto"/>
        <w:left w:val="none" w:sz="0" w:space="0" w:color="auto"/>
        <w:bottom w:val="none" w:sz="0" w:space="0" w:color="auto"/>
        <w:right w:val="none" w:sz="0" w:space="0" w:color="auto"/>
      </w:divBdr>
    </w:div>
    <w:div w:id="1446460348">
      <w:bodyDiv w:val="1"/>
      <w:marLeft w:val="0"/>
      <w:marRight w:val="0"/>
      <w:marTop w:val="0"/>
      <w:marBottom w:val="0"/>
      <w:divBdr>
        <w:top w:val="none" w:sz="0" w:space="0" w:color="auto"/>
        <w:left w:val="none" w:sz="0" w:space="0" w:color="auto"/>
        <w:bottom w:val="none" w:sz="0" w:space="0" w:color="auto"/>
        <w:right w:val="none" w:sz="0" w:space="0" w:color="auto"/>
      </w:divBdr>
    </w:div>
    <w:div w:id="1446535877">
      <w:bodyDiv w:val="1"/>
      <w:marLeft w:val="0"/>
      <w:marRight w:val="0"/>
      <w:marTop w:val="0"/>
      <w:marBottom w:val="0"/>
      <w:divBdr>
        <w:top w:val="none" w:sz="0" w:space="0" w:color="auto"/>
        <w:left w:val="none" w:sz="0" w:space="0" w:color="auto"/>
        <w:bottom w:val="none" w:sz="0" w:space="0" w:color="auto"/>
        <w:right w:val="none" w:sz="0" w:space="0" w:color="auto"/>
      </w:divBdr>
    </w:div>
    <w:div w:id="1446845885">
      <w:bodyDiv w:val="1"/>
      <w:marLeft w:val="0"/>
      <w:marRight w:val="0"/>
      <w:marTop w:val="0"/>
      <w:marBottom w:val="0"/>
      <w:divBdr>
        <w:top w:val="none" w:sz="0" w:space="0" w:color="auto"/>
        <w:left w:val="none" w:sz="0" w:space="0" w:color="auto"/>
        <w:bottom w:val="none" w:sz="0" w:space="0" w:color="auto"/>
        <w:right w:val="none" w:sz="0" w:space="0" w:color="auto"/>
      </w:divBdr>
    </w:div>
    <w:div w:id="1446926160">
      <w:bodyDiv w:val="1"/>
      <w:marLeft w:val="0"/>
      <w:marRight w:val="0"/>
      <w:marTop w:val="0"/>
      <w:marBottom w:val="0"/>
      <w:divBdr>
        <w:top w:val="none" w:sz="0" w:space="0" w:color="auto"/>
        <w:left w:val="none" w:sz="0" w:space="0" w:color="auto"/>
        <w:bottom w:val="none" w:sz="0" w:space="0" w:color="auto"/>
        <w:right w:val="none" w:sz="0" w:space="0" w:color="auto"/>
      </w:divBdr>
    </w:div>
    <w:div w:id="1446996720">
      <w:bodyDiv w:val="1"/>
      <w:marLeft w:val="0"/>
      <w:marRight w:val="0"/>
      <w:marTop w:val="0"/>
      <w:marBottom w:val="0"/>
      <w:divBdr>
        <w:top w:val="none" w:sz="0" w:space="0" w:color="auto"/>
        <w:left w:val="none" w:sz="0" w:space="0" w:color="auto"/>
        <w:bottom w:val="none" w:sz="0" w:space="0" w:color="auto"/>
        <w:right w:val="none" w:sz="0" w:space="0" w:color="auto"/>
      </w:divBdr>
    </w:div>
    <w:div w:id="1447196407">
      <w:bodyDiv w:val="1"/>
      <w:marLeft w:val="0"/>
      <w:marRight w:val="0"/>
      <w:marTop w:val="0"/>
      <w:marBottom w:val="0"/>
      <w:divBdr>
        <w:top w:val="none" w:sz="0" w:space="0" w:color="auto"/>
        <w:left w:val="none" w:sz="0" w:space="0" w:color="auto"/>
        <w:bottom w:val="none" w:sz="0" w:space="0" w:color="auto"/>
        <w:right w:val="none" w:sz="0" w:space="0" w:color="auto"/>
      </w:divBdr>
    </w:div>
    <w:div w:id="1447386680">
      <w:bodyDiv w:val="1"/>
      <w:marLeft w:val="0"/>
      <w:marRight w:val="0"/>
      <w:marTop w:val="0"/>
      <w:marBottom w:val="0"/>
      <w:divBdr>
        <w:top w:val="none" w:sz="0" w:space="0" w:color="auto"/>
        <w:left w:val="none" w:sz="0" w:space="0" w:color="auto"/>
        <w:bottom w:val="none" w:sz="0" w:space="0" w:color="auto"/>
        <w:right w:val="none" w:sz="0" w:space="0" w:color="auto"/>
      </w:divBdr>
    </w:div>
    <w:div w:id="1447460054">
      <w:bodyDiv w:val="1"/>
      <w:marLeft w:val="0"/>
      <w:marRight w:val="0"/>
      <w:marTop w:val="0"/>
      <w:marBottom w:val="0"/>
      <w:divBdr>
        <w:top w:val="none" w:sz="0" w:space="0" w:color="auto"/>
        <w:left w:val="none" w:sz="0" w:space="0" w:color="auto"/>
        <w:bottom w:val="none" w:sz="0" w:space="0" w:color="auto"/>
        <w:right w:val="none" w:sz="0" w:space="0" w:color="auto"/>
      </w:divBdr>
    </w:div>
    <w:div w:id="1447654840">
      <w:bodyDiv w:val="1"/>
      <w:marLeft w:val="0"/>
      <w:marRight w:val="0"/>
      <w:marTop w:val="0"/>
      <w:marBottom w:val="0"/>
      <w:divBdr>
        <w:top w:val="none" w:sz="0" w:space="0" w:color="auto"/>
        <w:left w:val="none" w:sz="0" w:space="0" w:color="auto"/>
        <w:bottom w:val="none" w:sz="0" w:space="0" w:color="auto"/>
        <w:right w:val="none" w:sz="0" w:space="0" w:color="auto"/>
      </w:divBdr>
    </w:div>
    <w:div w:id="1449399644">
      <w:bodyDiv w:val="1"/>
      <w:marLeft w:val="0"/>
      <w:marRight w:val="0"/>
      <w:marTop w:val="0"/>
      <w:marBottom w:val="0"/>
      <w:divBdr>
        <w:top w:val="none" w:sz="0" w:space="0" w:color="auto"/>
        <w:left w:val="none" w:sz="0" w:space="0" w:color="auto"/>
        <w:bottom w:val="none" w:sz="0" w:space="0" w:color="auto"/>
        <w:right w:val="none" w:sz="0" w:space="0" w:color="auto"/>
      </w:divBdr>
    </w:div>
    <w:div w:id="1449424356">
      <w:bodyDiv w:val="1"/>
      <w:marLeft w:val="0"/>
      <w:marRight w:val="0"/>
      <w:marTop w:val="0"/>
      <w:marBottom w:val="0"/>
      <w:divBdr>
        <w:top w:val="none" w:sz="0" w:space="0" w:color="auto"/>
        <w:left w:val="none" w:sz="0" w:space="0" w:color="auto"/>
        <w:bottom w:val="none" w:sz="0" w:space="0" w:color="auto"/>
        <w:right w:val="none" w:sz="0" w:space="0" w:color="auto"/>
      </w:divBdr>
    </w:div>
    <w:div w:id="1449659803">
      <w:bodyDiv w:val="1"/>
      <w:marLeft w:val="0"/>
      <w:marRight w:val="0"/>
      <w:marTop w:val="0"/>
      <w:marBottom w:val="0"/>
      <w:divBdr>
        <w:top w:val="none" w:sz="0" w:space="0" w:color="auto"/>
        <w:left w:val="none" w:sz="0" w:space="0" w:color="auto"/>
        <w:bottom w:val="none" w:sz="0" w:space="0" w:color="auto"/>
        <w:right w:val="none" w:sz="0" w:space="0" w:color="auto"/>
      </w:divBdr>
    </w:div>
    <w:div w:id="1449932331">
      <w:bodyDiv w:val="1"/>
      <w:marLeft w:val="0"/>
      <w:marRight w:val="0"/>
      <w:marTop w:val="0"/>
      <w:marBottom w:val="0"/>
      <w:divBdr>
        <w:top w:val="none" w:sz="0" w:space="0" w:color="auto"/>
        <w:left w:val="none" w:sz="0" w:space="0" w:color="auto"/>
        <w:bottom w:val="none" w:sz="0" w:space="0" w:color="auto"/>
        <w:right w:val="none" w:sz="0" w:space="0" w:color="auto"/>
      </w:divBdr>
    </w:div>
    <w:div w:id="1450706076">
      <w:bodyDiv w:val="1"/>
      <w:marLeft w:val="0"/>
      <w:marRight w:val="0"/>
      <w:marTop w:val="0"/>
      <w:marBottom w:val="0"/>
      <w:divBdr>
        <w:top w:val="none" w:sz="0" w:space="0" w:color="auto"/>
        <w:left w:val="none" w:sz="0" w:space="0" w:color="auto"/>
        <w:bottom w:val="none" w:sz="0" w:space="0" w:color="auto"/>
        <w:right w:val="none" w:sz="0" w:space="0" w:color="auto"/>
      </w:divBdr>
    </w:div>
    <w:div w:id="1451432766">
      <w:bodyDiv w:val="1"/>
      <w:marLeft w:val="0"/>
      <w:marRight w:val="0"/>
      <w:marTop w:val="0"/>
      <w:marBottom w:val="0"/>
      <w:divBdr>
        <w:top w:val="none" w:sz="0" w:space="0" w:color="auto"/>
        <w:left w:val="none" w:sz="0" w:space="0" w:color="auto"/>
        <w:bottom w:val="none" w:sz="0" w:space="0" w:color="auto"/>
        <w:right w:val="none" w:sz="0" w:space="0" w:color="auto"/>
      </w:divBdr>
    </w:div>
    <w:div w:id="1451508436">
      <w:bodyDiv w:val="1"/>
      <w:marLeft w:val="0"/>
      <w:marRight w:val="0"/>
      <w:marTop w:val="0"/>
      <w:marBottom w:val="0"/>
      <w:divBdr>
        <w:top w:val="none" w:sz="0" w:space="0" w:color="auto"/>
        <w:left w:val="none" w:sz="0" w:space="0" w:color="auto"/>
        <w:bottom w:val="none" w:sz="0" w:space="0" w:color="auto"/>
        <w:right w:val="none" w:sz="0" w:space="0" w:color="auto"/>
      </w:divBdr>
    </w:div>
    <w:div w:id="1453397432">
      <w:bodyDiv w:val="1"/>
      <w:marLeft w:val="0"/>
      <w:marRight w:val="0"/>
      <w:marTop w:val="0"/>
      <w:marBottom w:val="0"/>
      <w:divBdr>
        <w:top w:val="none" w:sz="0" w:space="0" w:color="auto"/>
        <w:left w:val="none" w:sz="0" w:space="0" w:color="auto"/>
        <w:bottom w:val="none" w:sz="0" w:space="0" w:color="auto"/>
        <w:right w:val="none" w:sz="0" w:space="0" w:color="auto"/>
      </w:divBdr>
    </w:div>
    <w:div w:id="1454518921">
      <w:bodyDiv w:val="1"/>
      <w:marLeft w:val="0"/>
      <w:marRight w:val="0"/>
      <w:marTop w:val="0"/>
      <w:marBottom w:val="0"/>
      <w:divBdr>
        <w:top w:val="none" w:sz="0" w:space="0" w:color="auto"/>
        <w:left w:val="none" w:sz="0" w:space="0" w:color="auto"/>
        <w:bottom w:val="none" w:sz="0" w:space="0" w:color="auto"/>
        <w:right w:val="none" w:sz="0" w:space="0" w:color="auto"/>
      </w:divBdr>
    </w:div>
    <w:div w:id="1456293954">
      <w:bodyDiv w:val="1"/>
      <w:marLeft w:val="0"/>
      <w:marRight w:val="0"/>
      <w:marTop w:val="0"/>
      <w:marBottom w:val="0"/>
      <w:divBdr>
        <w:top w:val="none" w:sz="0" w:space="0" w:color="auto"/>
        <w:left w:val="none" w:sz="0" w:space="0" w:color="auto"/>
        <w:bottom w:val="none" w:sz="0" w:space="0" w:color="auto"/>
        <w:right w:val="none" w:sz="0" w:space="0" w:color="auto"/>
      </w:divBdr>
    </w:div>
    <w:div w:id="1456564818">
      <w:bodyDiv w:val="1"/>
      <w:marLeft w:val="0"/>
      <w:marRight w:val="0"/>
      <w:marTop w:val="0"/>
      <w:marBottom w:val="0"/>
      <w:divBdr>
        <w:top w:val="none" w:sz="0" w:space="0" w:color="auto"/>
        <w:left w:val="none" w:sz="0" w:space="0" w:color="auto"/>
        <w:bottom w:val="none" w:sz="0" w:space="0" w:color="auto"/>
        <w:right w:val="none" w:sz="0" w:space="0" w:color="auto"/>
      </w:divBdr>
    </w:div>
    <w:div w:id="1457792399">
      <w:bodyDiv w:val="1"/>
      <w:marLeft w:val="0"/>
      <w:marRight w:val="0"/>
      <w:marTop w:val="0"/>
      <w:marBottom w:val="0"/>
      <w:divBdr>
        <w:top w:val="none" w:sz="0" w:space="0" w:color="auto"/>
        <w:left w:val="none" w:sz="0" w:space="0" w:color="auto"/>
        <w:bottom w:val="none" w:sz="0" w:space="0" w:color="auto"/>
        <w:right w:val="none" w:sz="0" w:space="0" w:color="auto"/>
      </w:divBdr>
    </w:div>
    <w:div w:id="1459256503">
      <w:bodyDiv w:val="1"/>
      <w:marLeft w:val="0"/>
      <w:marRight w:val="0"/>
      <w:marTop w:val="0"/>
      <w:marBottom w:val="0"/>
      <w:divBdr>
        <w:top w:val="none" w:sz="0" w:space="0" w:color="auto"/>
        <w:left w:val="none" w:sz="0" w:space="0" w:color="auto"/>
        <w:bottom w:val="none" w:sz="0" w:space="0" w:color="auto"/>
        <w:right w:val="none" w:sz="0" w:space="0" w:color="auto"/>
      </w:divBdr>
    </w:div>
    <w:div w:id="1460107351">
      <w:bodyDiv w:val="1"/>
      <w:marLeft w:val="0"/>
      <w:marRight w:val="0"/>
      <w:marTop w:val="0"/>
      <w:marBottom w:val="0"/>
      <w:divBdr>
        <w:top w:val="none" w:sz="0" w:space="0" w:color="auto"/>
        <w:left w:val="none" w:sz="0" w:space="0" w:color="auto"/>
        <w:bottom w:val="none" w:sz="0" w:space="0" w:color="auto"/>
        <w:right w:val="none" w:sz="0" w:space="0" w:color="auto"/>
      </w:divBdr>
    </w:div>
    <w:div w:id="1460146665">
      <w:bodyDiv w:val="1"/>
      <w:marLeft w:val="0"/>
      <w:marRight w:val="0"/>
      <w:marTop w:val="0"/>
      <w:marBottom w:val="0"/>
      <w:divBdr>
        <w:top w:val="none" w:sz="0" w:space="0" w:color="auto"/>
        <w:left w:val="none" w:sz="0" w:space="0" w:color="auto"/>
        <w:bottom w:val="none" w:sz="0" w:space="0" w:color="auto"/>
        <w:right w:val="none" w:sz="0" w:space="0" w:color="auto"/>
      </w:divBdr>
    </w:div>
    <w:div w:id="1460489129">
      <w:bodyDiv w:val="1"/>
      <w:marLeft w:val="0"/>
      <w:marRight w:val="0"/>
      <w:marTop w:val="0"/>
      <w:marBottom w:val="0"/>
      <w:divBdr>
        <w:top w:val="none" w:sz="0" w:space="0" w:color="auto"/>
        <w:left w:val="none" w:sz="0" w:space="0" w:color="auto"/>
        <w:bottom w:val="none" w:sz="0" w:space="0" w:color="auto"/>
        <w:right w:val="none" w:sz="0" w:space="0" w:color="auto"/>
      </w:divBdr>
    </w:div>
    <w:div w:id="1461000252">
      <w:bodyDiv w:val="1"/>
      <w:marLeft w:val="0"/>
      <w:marRight w:val="0"/>
      <w:marTop w:val="0"/>
      <w:marBottom w:val="0"/>
      <w:divBdr>
        <w:top w:val="none" w:sz="0" w:space="0" w:color="auto"/>
        <w:left w:val="none" w:sz="0" w:space="0" w:color="auto"/>
        <w:bottom w:val="none" w:sz="0" w:space="0" w:color="auto"/>
        <w:right w:val="none" w:sz="0" w:space="0" w:color="auto"/>
      </w:divBdr>
    </w:div>
    <w:div w:id="1461608489">
      <w:bodyDiv w:val="1"/>
      <w:marLeft w:val="0"/>
      <w:marRight w:val="0"/>
      <w:marTop w:val="0"/>
      <w:marBottom w:val="0"/>
      <w:divBdr>
        <w:top w:val="none" w:sz="0" w:space="0" w:color="auto"/>
        <w:left w:val="none" w:sz="0" w:space="0" w:color="auto"/>
        <w:bottom w:val="none" w:sz="0" w:space="0" w:color="auto"/>
        <w:right w:val="none" w:sz="0" w:space="0" w:color="auto"/>
      </w:divBdr>
    </w:div>
    <w:div w:id="1463040285">
      <w:bodyDiv w:val="1"/>
      <w:marLeft w:val="0"/>
      <w:marRight w:val="0"/>
      <w:marTop w:val="0"/>
      <w:marBottom w:val="0"/>
      <w:divBdr>
        <w:top w:val="none" w:sz="0" w:space="0" w:color="auto"/>
        <w:left w:val="none" w:sz="0" w:space="0" w:color="auto"/>
        <w:bottom w:val="none" w:sz="0" w:space="0" w:color="auto"/>
        <w:right w:val="none" w:sz="0" w:space="0" w:color="auto"/>
      </w:divBdr>
    </w:div>
    <w:div w:id="1463501040">
      <w:bodyDiv w:val="1"/>
      <w:marLeft w:val="0"/>
      <w:marRight w:val="0"/>
      <w:marTop w:val="0"/>
      <w:marBottom w:val="0"/>
      <w:divBdr>
        <w:top w:val="none" w:sz="0" w:space="0" w:color="auto"/>
        <w:left w:val="none" w:sz="0" w:space="0" w:color="auto"/>
        <w:bottom w:val="none" w:sz="0" w:space="0" w:color="auto"/>
        <w:right w:val="none" w:sz="0" w:space="0" w:color="auto"/>
      </w:divBdr>
      <w:divsChild>
        <w:div w:id="1563901662">
          <w:marLeft w:val="0"/>
          <w:marRight w:val="0"/>
          <w:marTop w:val="0"/>
          <w:marBottom w:val="0"/>
          <w:divBdr>
            <w:top w:val="none" w:sz="0" w:space="0" w:color="auto"/>
            <w:left w:val="none" w:sz="0" w:space="0" w:color="auto"/>
            <w:bottom w:val="none" w:sz="0" w:space="0" w:color="auto"/>
            <w:right w:val="none" w:sz="0" w:space="0" w:color="auto"/>
          </w:divBdr>
        </w:div>
      </w:divsChild>
    </w:div>
    <w:div w:id="1463813442">
      <w:bodyDiv w:val="1"/>
      <w:marLeft w:val="0"/>
      <w:marRight w:val="0"/>
      <w:marTop w:val="0"/>
      <w:marBottom w:val="0"/>
      <w:divBdr>
        <w:top w:val="none" w:sz="0" w:space="0" w:color="auto"/>
        <w:left w:val="none" w:sz="0" w:space="0" w:color="auto"/>
        <w:bottom w:val="none" w:sz="0" w:space="0" w:color="auto"/>
        <w:right w:val="none" w:sz="0" w:space="0" w:color="auto"/>
      </w:divBdr>
    </w:div>
    <w:div w:id="1463838629">
      <w:bodyDiv w:val="1"/>
      <w:marLeft w:val="0"/>
      <w:marRight w:val="0"/>
      <w:marTop w:val="0"/>
      <w:marBottom w:val="0"/>
      <w:divBdr>
        <w:top w:val="none" w:sz="0" w:space="0" w:color="auto"/>
        <w:left w:val="none" w:sz="0" w:space="0" w:color="auto"/>
        <w:bottom w:val="none" w:sz="0" w:space="0" w:color="auto"/>
        <w:right w:val="none" w:sz="0" w:space="0" w:color="auto"/>
      </w:divBdr>
    </w:div>
    <w:div w:id="1464544625">
      <w:bodyDiv w:val="1"/>
      <w:marLeft w:val="0"/>
      <w:marRight w:val="0"/>
      <w:marTop w:val="0"/>
      <w:marBottom w:val="0"/>
      <w:divBdr>
        <w:top w:val="none" w:sz="0" w:space="0" w:color="auto"/>
        <w:left w:val="none" w:sz="0" w:space="0" w:color="auto"/>
        <w:bottom w:val="none" w:sz="0" w:space="0" w:color="auto"/>
        <w:right w:val="none" w:sz="0" w:space="0" w:color="auto"/>
      </w:divBdr>
    </w:div>
    <w:div w:id="1464688570">
      <w:bodyDiv w:val="1"/>
      <w:marLeft w:val="0"/>
      <w:marRight w:val="0"/>
      <w:marTop w:val="0"/>
      <w:marBottom w:val="0"/>
      <w:divBdr>
        <w:top w:val="none" w:sz="0" w:space="0" w:color="auto"/>
        <w:left w:val="none" w:sz="0" w:space="0" w:color="auto"/>
        <w:bottom w:val="none" w:sz="0" w:space="0" w:color="auto"/>
        <w:right w:val="none" w:sz="0" w:space="0" w:color="auto"/>
      </w:divBdr>
    </w:div>
    <w:div w:id="1464885496">
      <w:bodyDiv w:val="1"/>
      <w:marLeft w:val="0"/>
      <w:marRight w:val="0"/>
      <w:marTop w:val="0"/>
      <w:marBottom w:val="0"/>
      <w:divBdr>
        <w:top w:val="none" w:sz="0" w:space="0" w:color="auto"/>
        <w:left w:val="none" w:sz="0" w:space="0" w:color="auto"/>
        <w:bottom w:val="none" w:sz="0" w:space="0" w:color="auto"/>
        <w:right w:val="none" w:sz="0" w:space="0" w:color="auto"/>
      </w:divBdr>
    </w:div>
    <w:div w:id="1465150437">
      <w:bodyDiv w:val="1"/>
      <w:marLeft w:val="0"/>
      <w:marRight w:val="0"/>
      <w:marTop w:val="0"/>
      <w:marBottom w:val="0"/>
      <w:divBdr>
        <w:top w:val="none" w:sz="0" w:space="0" w:color="auto"/>
        <w:left w:val="none" w:sz="0" w:space="0" w:color="auto"/>
        <w:bottom w:val="none" w:sz="0" w:space="0" w:color="auto"/>
        <w:right w:val="none" w:sz="0" w:space="0" w:color="auto"/>
      </w:divBdr>
    </w:div>
    <w:div w:id="1466653818">
      <w:bodyDiv w:val="1"/>
      <w:marLeft w:val="0"/>
      <w:marRight w:val="0"/>
      <w:marTop w:val="0"/>
      <w:marBottom w:val="0"/>
      <w:divBdr>
        <w:top w:val="none" w:sz="0" w:space="0" w:color="auto"/>
        <w:left w:val="none" w:sz="0" w:space="0" w:color="auto"/>
        <w:bottom w:val="none" w:sz="0" w:space="0" w:color="auto"/>
        <w:right w:val="none" w:sz="0" w:space="0" w:color="auto"/>
      </w:divBdr>
    </w:div>
    <w:div w:id="1469084253">
      <w:bodyDiv w:val="1"/>
      <w:marLeft w:val="0"/>
      <w:marRight w:val="0"/>
      <w:marTop w:val="0"/>
      <w:marBottom w:val="0"/>
      <w:divBdr>
        <w:top w:val="none" w:sz="0" w:space="0" w:color="auto"/>
        <w:left w:val="none" w:sz="0" w:space="0" w:color="auto"/>
        <w:bottom w:val="none" w:sz="0" w:space="0" w:color="auto"/>
        <w:right w:val="none" w:sz="0" w:space="0" w:color="auto"/>
      </w:divBdr>
    </w:div>
    <w:div w:id="1469199159">
      <w:bodyDiv w:val="1"/>
      <w:marLeft w:val="0"/>
      <w:marRight w:val="0"/>
      <w:marTop w:val="0"/>
      <w:marBottom w:val="0"/>
      <w:divBdr>
        <w:top w:val="none" w:sz="0" w:space="0" w:color="auto"/>
        <w:left w:val="none" w:sz="0" w:space="0" w:color="auto"/>
        <w:bottom w:val="none" w:sz="0" w:space="0" w:color="auto"/>
        <w:right w:val="none" w:sz="0" w:space="0" w:color="auto"/>
      </w:divBdr>
    </w:div>
    <w:div w:id="1469544622">
      <w:bodyDiv w:val="1"/>
      <w:marLeft w:val="0"/>
      <w:marRight w:val="0"/>
      <w:marTop w:val="0"/>
      <w:marBottom w:val="0"/>
      <w:divBdr>
        <w:top w:val="none" w:sz="0" w:space="0" w:color="auto"/>
        <w:left w:val="none" w:sz="0" w:space="0" w:color="auto"/>
        <w:bottom w:val="none" w:sz="0" w:space="0" w:color="auto"/>
        <w:right w:val="none" w:sz="0" w:space="0" w:color="auto"/>
      </w:divBdr>
    </w:div>
    <w:div w:id="1469977605">
      <w:bodyDiv w:val="1"/>
      <w:marLeft w:val="0"/>
      <w:marRight w:val="0"/>
      <w:marTop w:val="0"/>
      <w:marBottom w:val="0"/>
      <w:divBdr>
        <w:top w:val="none" w:sz="0" w:space="0" w:color="auto"/>
        <w:left w:val="none" w:sz="0" w:space="0" w:color="auto"/>
        <w:bottom w:val="none" w:sz="0" w:space="0" w:color="auto"/>
        <w:right w:val="none" w:sz="0" w:space="0" w:color="auto"/>
      </w:divBdr>
    </w:div>
    <w:div w:id="1470053103">
      <w:bodyDiv w:val="1"/>
      <w:marLeft w:val="0"/>
      <w:marRight w:val="0"/>
      <w:marTop w:val="0"/>
      <w:marBottom w:val="0"/>
      <w:divBdr>
        <w:top w:val="none" w:sz="0" w:space="0" w:color="auto"/>
        <w:left w:val="none" w:sz="0" w:space="0" w:color="auto"/>
        <w:bottom w:val="none" w:sz="0" w:space="0" w:color="auto"/>
        <w:right w:val="none" w:sz="0" w:space="0" w:color="auto"/>
      </w:divBdr>
    </w:div>
    <w:div w:id="1471900495">
      <w:bodyDiv w:val="1"/>
      <w:marLeft w:val="0"/>
      <w:marRight w:val="0"/>
      <w:marTop w:val="0"/>
      <w:marBottom w:val="0"/>
      <w:divBdr>
        <w:top w:val="none" w:sz="0" w:space="0" w:color="auto"/>
        <w:left w:val="none" w:sz="0" w:space="0" w:color="auto"/>
        <w:bottom w:val="none" w:sz="0" w:space="0" w:color="auto"/>
        <w:right w:val="none" w:sz="0" w:space="0" w:color="auto"/>
      </w:divBdr>
    </w:div>
    <w:div w:id="1472209679">
      <w:bodyDiv w:val="1"/>
      <w:marLeft w:val="0"/>
      <w:marRight w:val="0"/>
      <w:marTop w:val="0"/>
      <w:marBottom w:val="0"/>
      <w:divBdr>
        <w:top w:val="none" w:sz="0" w:space="0" w:color="auto"/>
        <w:left w:val="none" w:sz="0" w:space="0" w:color="auto"/>
        <w:bottom w:val="none" w:sz="0" w:space="0" w:color="auto"/>
        <w:right w:val="none" w:sz="0" w:space="0" w:color="auto"/>
      </w:divBdr>
    </w:div>
    <w:div w:id="1472987604">
      <w:bodyDiv w:val="1"/>
      <w:marLeft w:val="0"/>
      <w:marRight w:val="0"/>
      <w:marTop w:val="0"/>
      <w:marBottom w:val="0"/>
      <w:divBdr>
        <w:top w:val="none" w:sz="0" w:space="0" w:color="auto"/>
        <w:left w:val="none" w:sz="0" w:space="0" w:color="auto"/>
        <w:bottom w:val="none" w:sz="0" w:space="0" w:color="auto"/>
        <w:right w:val="none" w:sz="0" w:space="0" w:color="auto"/>
      </w:divBdr>
    </w:div>
    <w:div w:id="1473136842">
      <w:bodyDiv w:val="1"/>
      <w:marLeft w:val="0"/>
      <w:marRight w:val="0"/>
      <w:marTop w:val="0"/>
      <w:marBottom w:val="0"/>
      <w:divBdr>
        <w:top w:val="none" w:sz="0" w:space="0" w:color="auto"/>
        <w:left w:val="none" w:sz="0" w:space="0" w:color="auto"/>
        <w:bottom w:val="none" w:sz="0" w:space="0" w:color="auto"/>
        <w:right w:val="none" w:sz="0" w:space="0" w:color="auto"/>
      </w:divBdr>
    </w:div>
    <w:div w:id="1474104344">
      <w:bodyDiv w:val="1"/>
      <w:marLeft w:val="0"/>
      <w:marRight w:val="0"/>
      <w:marTop w:val="0"/>
      <w:marBottom w:val="0"/>
      <w:divBdr>
        <w:top w:val="none" w:sz="0" w:space="0" w:color="auto"/>
        <w:left w:val="none" w:sz="0" w:space="0" w:color="auto"/>
        <w:bottom w:val="none" w:sz="0" w:space="0" w:color="auto"/>
        <w:right w:val="none" w:sz="0" w:space="0" w:color="auto"/>
      </w:divBdr>
    </w:div>
    <w:div w:id="1474249068">
      <w:bodyDiv w:val="1"/>
      <w:marLeft w:val="0"/>
      <w:marRight w:val="0"/>
      <w:marTop w:val="0"/>
      <w:marBottom w:val="0"/>
      <w:divBdr>
        <w:top w:val="none" w:sz="0" w:space="0" w:color="auto"/>
        <w:left w:val="none" w:sz="0" w:space="0" w:color="auto"/>
        <w:bottom w:val="none" w:sz="0" w:space="0" w:color="auto"/>
        <w:right w:val="none" w:sz="0" w:space="0" w:color="auto"/>
      </w:divBdr>
    </w:div>
    <w:div w:id="1476290139">
      <w:bodyDiv w:val="1"/>
      <w:marLeft w:val="0"/>
      <w:marRight w:val="0"/>
      <w:marTop w:val="0"/>
      <w:marBottom w:val="0"/>
      <w:divBdr>
        <w:top w:val="none" w:sz="0" w:space="0" w:color="auto"/>
        <w:left w:val="none" w:sz="0" w:space="0" w:color="auto"/>
        <w:bottom w:val="none" w:sz="0" w:space="0" w:color="auto"/>
        <w:right w:val="none" w:sz="0" w:space="0" w:color="auto"/>
      </w:divBdr>
    </w:div>
    <w:div w:id="1476724184">
      <w:bodyDiv w:val="1"/>
      <w:marLeft w:val="0"/>
      <w:marRight w:val="0"/>
      <w:marTop w:val="0"/>
      <w:marBottom w:val="0"/>
      <w:divBdr>
        <w:top w:val="none" w:sz="0" w:space="0" w:color="auto"/>
        <w:left w:val="none" w:sz="0" w:space="0" w:color="auto"/>
        <w:bottom w:val="none" w:sz="0" w:space="0" w:color="auto"/>
        <w:right w:val="none" w:sz="0" w:space="0" w:color="auto"/>
      </w:divBdr>
    </w:div>
    <w:div w:id="1476951951">
      <w:bodyDiv w:val="1"/>
      <w:marLeft w:val="0"/>
      <w:marRight w:val="0"/>
      <w:marTop w:val="0"/>
      <w:marBottom w:val="0"/>
      <w:divBdr>
        <w:top w:val="none" w:sz="0" w:space="0" w:color="auto"/>
        <w:left w:val="none" w:sz="0" w:space="0" w:color="auto"/>
        <w:bottom w:val="none" w:sz="0" w:space="0" w:color="auto"/>
        <w:right w:val="none" w:sz="0" w:space="0" w:color="auto"/>
      </w:divBdr>
    </w:div>
    <w:div w:id="1478567171">
      <w:bodyDiv w:val="1"/>
      <w:marLeft w:val="0"/>
      <w:marRight w:val="0"/>
      <w:marTop w:val="0"/>
      <w:marBottom w:val="0"/>
      <w:divBdr>
        <w:top w:val="none" w:sz="0" w:space="0" w:color="auto"/>
        <w:left w:val="none" w:sz="0" w:space="0" w:color="auto"/>
        <w:bottom w:val="none" w:sz="0" w:space="0" w:color="auto"/>
        <w:right w:val="none" w:sz="0" w:space="0" w:color="auto"/>
      </w:divBdr>
    </w:div>
    <w:div w:id="1478568957">
      <w:bodyDiv w:val="1"/>
      <w:marLeft w:val="0"/>
      <w:marRight w:val="0"/>
      <w:marTop w:val="0"/>
      <w:marBottom w:val="0"/>
      <w:divBdr>
        <w:top w:val="none" w:sz="0" w:space="0" w:color="auto"/>
        <w:left w:val="none" w:sz="0" w:space="0" w:color="auto"/>
        <w:bottom w:val="none" w:sz="0" w:space="0" w:color="auto"/>
        <w:right w:val="none" w:sz="0" w:space="0" w:color="auto"/>
      </w:divBdr>
    </w:div>
    <w:div w:id="1479036664">
      <w:bodyDiv w:val="1"/>
      <w:marLeft w:val="0"/>
      <w:marRight w:val="0"/>
      <w:marTop w:val="0"/>
      <w:marBottom w:val="0"/>
      <w:divBdr>
        <w:top w:val="none" w:sz="0" w:space="0" w:color="auto"/>
        <w:left w:val="none" w:sz="0" w:space="0" w:color="auto"/>
        <w:bottom w:val="none" w:sz="0" w:space="0" w:color="auto"/>
        <w:right w:val="none" w:sz="0" w:space="0" w:color="auto"/>
      </w:divBdr>
    </w:div>
    <w:div w:id="1479297572">
      <w:bodyDiv w:val="1"/>
      <w:marLeft w:val="0"/>
      <w:marRight w:val="0"/>
      <w:marTop w:val="0"/>
      <w:marBottom w:val="0"/>
      <w:divBdr>
        <w:top w:val="none" w:sz="0" w:space="0" w:color="auto"/>
        <w:left w:val="none" w:sz="0" w:space="0" w:color="auto"/>
        <w:bottom w:val="none" w:sz="0" w:space="0" w:color="auto"/>
        <w:right w:val="none" w:sz="0" w:space="0" w:color="auto"/>
      </w:divBdr>
    </w:div>
    <w:div w:id="1479373901">
      <w:bodyDiv w:val="1"/>
      <w:marLeft w:val="0"/>
      <w:marRight w:val="0"/>
      <w:marTop w:val="0"/>
      <w:marBottom w:val="0"/>
      <w:divBdr>
        <w:top w:val="none" w:sz="0" w:space="0" w:color="auto"/>
        <w:left w:val="none" w:sz="0" w:space="0" w:color="auto"/>
        <w:bottom w:val="none" w:sz="0" w:space="0" w:color="auto"/>
        <w:right w:val="none" w:sz="0" w:space="0" w:color="auto"/>
      </w:divBdr>
    </w:div>
    <w:div w:id="1481921146">
      <w:bodyDiv w:val="1"/>
      <w:marLeft w:val="0"/>
      <w:marRight w:val="0"/>
      <w:marTop w:val="0"/>
      <w:marBottom w:val="0"/>
      <w:divBdr>
        <w:top w:val="none" w:sz="0" w:space="0" w:color="auto"/>
        <w:left w:val="none" w:sz="0" w:space="0" w:color="auto"/>
        <w:bottom w:val="none" w:sz="0" w:space="0" w:color="auto"/>
        <w:right w:val="none" w:sz="0" w:space="0" w:color="auto"/>
      </w:divBdr>
    </w:div>
    <w:div w:id="1484159456">
      <w:bodyDiv w:val="1"/>
      <w:marLeft w:val="0"/>
      <w:marRight w:val="0"/>
      <w:marTop w:val="0"/>
      <w:marBottom w:val="0"/>
      <w:divBdr>
        <w:top w:val="none" w:sz="0" w:space="0" w:color="auto"/>
        <w:left w:val="none" w:sz="0" w:space="0" w:color="auto"/>
        <w:bottom w:val="none" w:sz="0" w:space="0" w:color="auto"/>
        <w:right w:val="none" w:sz="0" w:space="0" w:color="auto"/>
      </w:divBdr>
    </w:div>
    <w:div w:id="1484471544">
      <w:bodyDiv w:val="1"/>
      <w:marLeft w:val="0"/>
      <w:marRight w:val="0"/>
      <w:marTop w:val="0"/>
      <w:marBottom w:val="0"/>
      <w:divBdr>
        <w:top w:val="none" w:sz="0" w:space="0" w:color="auto"/>
        <w:left w:val="none" w:sz="0" w:space="0" w:color="auto"/>
        <w:bottom w:val="none" w:sz="0" w:space="0" w:color="auto"/>
        <w:right w:val="none" w:sz="0" w:space="0" w:color="auto"/>
      </w:divBdr>
    </w:div>
    <w:div w:id="1484928372">
      <w:bodyDiv w:val="1"/>
      <w:marLeft w:val="0"/>
      <w:marRight w:val="0"/>
      <w:marTop w:val="0"/>
      <w:marBottom w:val="0"/>
      <w:divBdr>
        <w:top w:val="none" w:sz="0" w:space="0" w:color="auto"/>
        <w:left w:val="none" w:sz="0" w:space="0" w:color="auto"/>
        <w:bottom w:val="none" w:sz="0" w:space="0" w:color="auto"/>
        <w:right w:val="none" w:sz="0" w:space="0" w:color="auto"/>
      </w:divBdr>
    </w:div>
    <w:div w:id="1485315041">
      <w:bodyDiv w:val="1"/>
      <w:marLeft w:val="0"/>
      <w:marRight w:val="0"/>
      <w:marTop w:val="0"/>
      <w:marBottom w:val="0"/>
      <w:divBdr>
        <w:top w:val="none" w:sz="0" w:space="0" w:color="auto"/>
        <w:left w:val="none" w:sz="0" w:space="0" w:color="auto"/>
        <w:bottom w:val="none" w:sz="0" w:space="0" w:color="auto"/>
        <w:right w:val="none" w:sz="0" w:space="0" w:color="auto"/>
      </w:divBdr>
    </w:div>
    <w:div w:id="1485510283">
      <w:bodyDiv w:val="1"/>
      <w:marLeft w:val="0"/>
      <w:marRight w:val="0"/>
      <w:marTop w:val="0"/>
      <w:marBottom w:val="0"/>
      <w:divBdr>
        <w:top w:val="none" w:sz="0" w:space="0" w:color="auto"/>
        <w:left w:val="none" w:sz="0" w:space="0" w:color="auto"/>
        <w:bottom w:val="none" w:sz="0" w:space="0" w:color="auto"/>
        <w:right w:val="none" w:sz="0" w:space="0" w:color="auto"/>
      </w:divBdr>
    </w:div>
    <w:div w:id="1487622421">
      <w:bodyDiv w:val="1"/>
      <w:marLeft w:val="0"/>
      <w:marRight w:val="0"/>
      <w:marTop w:val="0"/>
      <w:marBottom w:val="0"/>
      <w:divBdr>
        <w:top w:val="none" w:sz="0" w:space="0" w:color="auto"/>
        <w:left w:val="none" w:sz="0" w:space="0" w:color="auto"/>
        <w:bottom w:val="none" w:sz="0" w:space="0" w:color="auto"/>
        <w:right w:val="none" w:sz="0" w:space="0" w:color="auto"/>
      </w:divBdr>
    </w:div>
    <w:div w:id="1487939749">
      <w:bodyDiv w:val="1"/>
      <w:marLeft w:val="0"/>
      <w:marRight w:val="0"/>
      <w:marTop w:val="0"/>
      <w:marBottom w:val="0"/>
      <w:divBdr>
        <w:top w:val="none" w:sz="0" w:space="0" w:color="auto"/>
        <w:left w:val="none" w:sz="0" w:space="0" w:color="auto"/>
        <w:bottom w:val="none" w:sz="0" w:space="0" w:color="auto"/>
        <w:right w:val="none" w:sz="0" w:space="0" w:color="auto"/>
      </w:divBdr>
    </w:div>
    <w:div w:id="1488208208">
      <w:bodyDiv w:val="1"/>
      <w:marLeft w:val="0"/>
      <w:marRight w:val="0"/>
      <w:marTop w:val="0"/>
      <w:marBottom w:val="0"/>
      <w:divBdr>
        <w:top w:val="none" w:sz="0" w:space="0" w:color="auto"/>
        <w:left w:val="none" w:sz="0" w:space="0" w:color="auto"/>
        <w:bottom w:val="none" w:sz="0" w:space="0" w:color="auto"/>
        <w:right w:val="none" w:sz="0" w:space="0" w:color="auto"/>
      </w:divBdr>
    </w:div>
    <w:div w:id="1488279718">
      <w:bodyDiv w:val="1"/>
      <w:marLeft w:val="0"/>
      <w:marRight w:val="0"/>
      <w:marTop w:val="0"/>
      <w:marBottom w:val="0"/>
      <w:divBdr>
        <w:top w:val="none" w:sz="0" w:space="0" w:color="auto"/>
        <w:left w:val="none" w:sz="0" w:space="0" w:color="auto"/>
        <w:bottom w:val="none" w:sz="0" w:space="0" w:color="auto"/>
        <w:right w:val="none" w:sz="0" w:space="0" w:color="auto"/>
      </w:divBdr>
    </w:div>
    <w:div w:id="1488669038">
      <w:bodyDiv w:val="1"/>
      <w:marLeft w:val="0"/>
      <w:marRight w:val="0"/>
      <w:marTop w:val="0"/>
      <w:marBottom w:val="0"/>
      <w:divBdr>
        <w:top w:val="none" w:sz="0" w:space="0" w:color="auto"/>
        <w:left w:val="none" w:sz="0" w:space="0" w:color="auto"/>
        <w:bottom w:val="none" w:sz="0" w:space="0" w:color="auto"/>
        <w:right w:val="none" w:sz="0" w:space="0" w:color="auto"/>
      </w:divBdr>
    </w:div>
    <w:div w:id="1490243780">
      <w:bodyDiv w:val="1"/>
      <w:marLeft w:val="0"/>
      <w:marRight w:val="0"/>
      <w:marTop w:val="0"/>
      <w:marBottom w:val="0"/>
      <w:divBdr>
        <w:top w:val="none" w:sz="0" w:space="0" w:color="auto"/>
        <w:left w:val="none" w:sz="0" w:space="0" w:color="auto"/>
        <w:bottom w:val="none" w:sz="0" w:space="0" w:color="auto"/>
        <w:right w:val="none" w:sz="0" w:space="0" w:color="auto"/>
      </w:divBdr>
    </w:div>
    <w:div w:id="1491600663">
      <w:bodyDiv w:val="1"/>
      <w:marLeft w:val="0"/>
      <w:marRight w:val="0"/>
      <w:marTop w:val="0"/>
      <w:marBottom w:val="0"/>
      <w:divBdr>
        <w:top w:val="none" w:sz="0" w:space="0" w:color="auto"/>
        <w:left w:val="none" w:sz="0" w:space="0" w:color="auto"/>
        <w:bottom w:val="none" w:sz="0" w:space="0" w:color="auto"/>
        <w:right w:val="none" w:sz="0" w:space="0" w:color="auto"/>
      </w:divBdr>
    </w:div>
    <w:div w:id="1492210550">
      <w:bodyDiv w:val="1"/>
      <w:marLeft w:val="0"/>
      <w:marRight w:val="0"/>
      <w:marTop w:val="0"/>
      <w:marBottom w:val="0"/>
      <w:divBdr>
        <w:top w:val="none" w:sz="0" w:space="0" w:color="auto"/>
        <w:left w:val="none" w:sz="0" w:space="0" w:color="auto"/>
        <w:bottom w:val="none" w:sz="0" w:space="0" w:color="auto"/>
        <w:right w:val="none" w:sz="0" w:space="0" w:color="auto"/>
      </w:divBdr>
    </w:div>
    <w:div w:id="1492409269">
      <w:bodyDiv w:val="1"/>
      <w:marLeft w:val="0"/>
      <w:marRight w:val="0"/>
      <w:marTop w:val="0"/>
      <w:marBottom w:val="0"/>
      <w:divBdr>
        <w:top w:val="none" w:sz="0" w:space="0" w:color="auto"/>
        <w:left w:val="none" w:sz="0" w:space="0" w:color="auto"/>
        <w:bottom w:val="none" w:sz="0" w:space="0" w:color="auto"/>
        <w:right w:val="none" w:sz="0" w:space="0" w:color="auto"/>
      </w:divBdr>
    </w:div>
    <w:div w:id="1493373511">
      <w:bodyDiv w:val="1"/>
      <w:marLeft w:val="0"/>
      <w:marRight w:val="0"/>
      <w:marTop w:val="0"/>
      <w:marBottom w:val="0"/>
      <w:divBdr>
        <w:top w:val="none" w:sz="0" w:space="0" w:color="auto"/>
        <w:left w:val="none" w:sz="0" w:space="0" w:color="auto"/>
        <w:bottom w:val="none" w:sz="0" w:space="0" w:color="auto"/>
        <w:right w:val="none" w:sz="0" w:space="0" w:color="auto"/>
      </w:divBdr>
    </w:div>
    <w:div w:id="1494221635">
      <w:bodyDiv w:val="1"/>
      <w:marLeft w:val="0"/>
      <w:marRight w:val="0"/>
      <w:marTop w:val="0"/>
      <w:marBottom w:val="0"/>
      <w:divBdr>
        <w:top w:val="none" w:sz="0" w:space="0" w:color="auto"/>
        <w:left w:val="none" w:sz="0" w:space="0" w:color="auto"/>
        <w:bottom w:val="none" w:sz="0" w:space="0" w:color="auto"/>
        <w:right w:val="none" w:sz="0" w:space="0" w:color="auto"/>
      </w:divBdr>
    </w:div>
    <w:div w:id="1494950083">
      <w:bodyDiv w:val="1"/>
      <w:marLeft w:val="0"/>
      <w:marRight w:val="0"/>
      <w:marTop w:val="0"/>
      <w:marBottom w:val="0"/>
      <w:divBdr>
        <w:top w:val="none" w:sz="0" w:space="0" w:color="auto"/>
        <w:left w:val="none" w:sz="0" w:space="0" w:color="auto"/>
        <w:bottom w:val="none" w:sz="0" w:space="0" w:color="auto"/>
        <w:right w:val="none" w:sz="0" w:space="0" w:color="auto"/>
      </w:divBdr>
    </w:div>
    <w:div w:id="1495533192">
      <w:bodyDiv w:val="1"/>
      <w:marLeft w:val="0"/>
      <w:marRight w:val="0"/>
      <w:marTop w:val="0"/>
      <w:marBottom w:val="0"/>
      <w:divBdr>
        <w:top w:val="none" w:sz="0" w:space="0" w:color="auto"/>
        <w:left w:val="none" w:sz="0" w:space="0" w:color="auto"/>
        <w:bottom w:val="none" w:sz="0" w:space="0" w:color="auto"/>
        <w:right w:val="none" w:sz="0" w:space="0" w:color="auto"/>
      </w:divBdr>
    </w:div>
    <w:div w:id="1496074286">
      <w:bodyDiv w:val="1"/>
      <w:marLeft w:val="0"/>
      <w:marRight w:val="0"/>
      <w:marTop w:val="0"/>
      <w:marBottom w:val="0"/>
      <w:divBdr>
        <w:top w:val="none" w:sz="0" w:space="0" w:color="auto"/>
        <w:left w:val="none" w:sz="0" w:space="0" w:color="auto"/>
        <w:bottom w:val="none" w:sz="0" w:space="0" w:color="auto"/>
        <w:right w:val="none" w:sz="0" w:space="0" w:color="auto"/>
      </w:divBdr>
    </w:div>
    <w:div w:id="1498501137">
      <w:bodyDiv w:val="1"/>
      <w:marLeft w:val="0"/>
      <w:marRight w:val="0"/>
      <w:marTop w:val="0"/>
      <w:marBottom w:val="0"/>
      <w:divBdr>
        <w:top w:val="none" w:sz="0" w:space="0" w:color="auto"/>
        <w:left w:val="none" w:sz="0" w:space="0" w:color="auto"/>
        <w:bottom w:val="none" w:sz="0" w:space="0" w:color="auto"/>
        <w:right w:val="none" w:sz="0" w:space="0" w:color="auto"/>
      </w:divBdr>
    </w:div>
    <w:div w:id="1498569768">
      <w:bodyDiv w:val="1"/>
      <w:marLeft w:val="0"/>
      <w:marRight w:val="0"/>
      <w:marTop w:val="0"/>
      <w:marBottom w:val="0"/>
      <w:divBdr>
        <w:top w:val="none" w:sz="0" w:space="0" w:color="auto"/>
        <w:left w:val="none" w:sz="0" w:space="0" w:color="auto"/>
        <w:bottom w:val="none" w:sz="0" w:space="0" w:color="auto"/>
        <w:right w:val="none" w:sz="0" w:space="0" w:color="auto"/>
      </w:divBdr>
    </w:div>
    <w:div w:id="1498687775">
      <w:bodyDiv w:val="1"/>
      <w:marLeft w:val="0"/>
      <w:marRight w:val="0"/>
      <w:marTop w:val="0"/>
      <w:marBottom w:val="0"/>
      <w:divBdr>
        <w:top w:val="none" w:sz="0" w:space="0" w:color="auto"/>
        <w:left w:val="none" w:sz="0" w:space="0" w:color="auto"/>
        <w:bottom w:val="none" w:sz="0" w:space="0" w:color="auto"/>
        <w:right w:val="none" w:sz="0" w:space="0" w:color="auto"/>
      </w:divBdr>
    </w:div>
    <w:div w:id="1499034816">
      <w:bodyDiv w:val="1"/>
      <w:marLeft w:val="0"/>
      <w:marRight w:val="0"/>
      <w:marTop w:val="0"/>
      <w:marBottom w:val="0"/>
      <w:divBdr>
        <w:top w:val="none" w:sz="0" w:space="0" w:color="auto"/>
        <w:left w:val="none" w:sz="0" w:space="0" w:color="auto"/>
        <w:bottom w:val="none" w:sz="0" w:space="0" w:color="auto"/>
        <w:right w:val="none" w:sz="0" w:space="0" w:color="auto"/>
      </w:divBdr>
    </w:div>
    <w:div w:id="1500388380">
      <w:bodyDiv w:val="1"/>
      <w:marLeft w:val="0"/>
      <w:marRight w:val="0"/>
      <w:marTop w:val="0"/>
      <w:marBottom w:val="0"/>
      <w:divBdr>
        <w:top w:val="none" w:sz="0" w:space="0" w:color="auto"/>
        <w:left w:val="none" w:sz="0" w:space="0" w:color="auto"/>
        <w:bottom w:val="none" w:sz="0" w:space="0" w:color="auto"/>
        <w:right w:val="none" w:sz="0" w:space="0" w:color="auto"/>
      </w:divBdr>
    </w:div>
    <w:div w:id="1500462647">
      <w:bodyDiv w:val="1"/>
      <w:marLeft w:val="0"/>
      <w:marRight w:val="0"/>
      <w:marTop w:val="0"/>
      <w:marBottom w:val="0"/>
      <w:divBdr>
        <w:top w:val="none" w:sz="0" w:space="0" w:color="auto"/>
        <w:left w:val="none" w:sz="0" w:space="0" w:color="auto"/>
        <w:bottom w:val="none" w:sz="0" w:space="0" w:color="auto"/>
        <w:right w:val="none" w:sz="0" w:space="0" w:color="auto"/>
      </w:divBdr>
    </w:div>
    <w:div w:id="1500729432">
      <w:bodyDiv w:val="1"/>
      <w:marLeft w:val="0"/>
      <w:marRight w:val="0"/>
      <w:marTop w:val="0"/>
      <w:marBottom w:val="0"/>
      <w:divBdr>
        <w:top w:val="none" w:sz="0" w:space="0" w:color="auto"/>
        <w:left w:val="none" w:sz="0" w:space="0" w:color="auto"/>
        <w:bottom w:val="none" w:sz="0" w:space="0" w:color="auto"/>
        <w:right w:val="none" w:sz="0" w:space="0" w:color="auto"/>
      </w:divBdr>
    </w:div>
    <w:div w:id="1500730787">
      <w:bodyDiv w:val="1"/>
      <w:marLeft w:val="0"/>
      <w:marRight w:val="0"/>
      <w:marTop w:val="0"/>
      <w:marBottom w:val="0"/>
      <w:divBdr>
        <w:top w:val="none" w:sz="0" w:space="0" w:color="auto"/>
        <w:left w:val="none" w:sz="0" w:space="0" w:color="auto"/>
        <w:bottom w:val="none" w:sz="0" w:space="0" w:color="auto"/>
        <w:right w:val="none" w:sz="0" w:space="0" w:color="auto"/>
      </w:divBdr>
    </w:div>
    <w:div w:id="1501120614">
      <w:bodyDiv w:val="1"/>
      <w:marLeft w:val="0"/>
      <w:marRight w:val="0"/>
      <w:marTop w:val="0"/>
      <w:marBottom w:val="0"/>
      <w:divBdr>
        <w:top w:val="none" w:sz="0" w:space="0" w:color="auto"/>
        <w:left w:val="none" w:sz="0" w:space="0" w:color="auto"/>
        <w:bottom w:val="none" w:sz="0" w:space="0" w:color="auto"/>
        <w:right w:val="none" w:sz="0" w:space="0" w:color="auto"/>
      </w:divBdr>
    </w:div>
    <w:div w:id="1502937521">
      <w:bodyDiv w:val="1"/>
      <w:marLeft w:val="0"/>
      <w:marRight w:val="0"/>
      <w:marTop w:val="0"/>
      <w:marBottom w:val="0"/>
      <w:divBdr>
        <w:top w:val="none" w:sz="0" w:space="0" w:color="auto"/>
        <w:left w:val="none" w:sz="0" w:space="0" w:color="auto"/>
        <w:bottom w:val="none" w:sz="0" w:space="0" w:color="auto"/>
        <w:right w:val="none" w:sz="0" w:space="0" w:color="auto"/>
      </w:divBdr>
    </w:div>
    <w:div w:id="1503662413">
      <w:bodyDiv w:val="1"/>
      <w:marLeft w:val="0"/>
      <w:marRight w:val="0"/>
      <w:marTop w:val="0"/>
      <w:marBottom w:val="0"/>
      <w:divBdr>
        <w:top w:val="none" w:sz="0" w:space="0" w:color="auto"/>
        <w:left w:val="none" w:sz="0" w:space="0" w:color="auto"/>
        <w:bottom w:val="none" w:sz="0" w:space="0" w:color="auto"/>
        <w:right w:val="none" w:sz="0" w:space="0" w:color="auto"/>
      </w:divBdr>
    </w:div>
    <w:div w:id="1504276451">
      <w:bodyDiv w:val="1"/>
      <w:marLeft w:val="0"/>
      <w:marRight w:val="0"/>
      <w:marTop w:val="0"/>
      <w:marBottom w:val="0"/>
      <w:divBdr>
        <w:top w:val="none" w:sz="0" w:space="0" w:color="auto"/>
        <w:left w:val="none" w:sz="0" w:space="0" w:color="auto"/>
        <w:bottom w:val="none" w:sz="0" w:space="0" w:color="auto"/>
        <w:right w:val="none" w:sz="0" w:space="0" w:color="auto"/>
      </w:divBdr>
    </w:div>
    <w:div w:id="1505240054">
      <w:bodyDiv w:val="1"/>
      <w:marLeft w:val="0"/>
      <w:marRight w:val="0"/>
      <w:marTop w:val="0"/>
      <w:marBottom w:val="0"/>
      <w:divBdr>
        <w:top w:val="none" w:sz="0" w:space="0" w:color="auto"/>
        <w:left w:val="none" w:sz="0" w:space="0" w:color="auto"/>
        <w:bottom w:val="none" w:sz="0" w:space="0" w:color="auto"/>
        <w:right w:val="none" w:sz="0" w:space="0" w:color="auto"/>
      </w:divBdr>
    </w:div>
    <w:div w:id="1505514914">
      <w:bodyDiv w:val="1"/>
      <w:marLeft w:val="0"/>
      <w:marRight w:val="0"/>
      <w:marTop w:val="0"/>
      <w:marBottom w:val="0"/>
      <w:divBdr>
        <w:top w:val="none" w:sz="0" w:space="0" w:color="auto"/>
        <w:left w:val="none" w:sz="0" w:space="0" w:color="auto"/>
        <w:bottom w:val="none" w:sz="0" w:space="0" w:color="auto"/>
        <w:right w:val="none" w:sz="0" w:space="0" w:color="auto"/>
      </w:divBdr>
    </w:div>
    <w:div w:id="1506893640">
      <w:bodyDiv w:val="1"/>
      <w:marLeft w:val="0"/>
      <w:marRight w:val="0"/>
      <w:marTop w:val="0"/>
      <w:marBottom w:val="0"/>
      <w:divBdr>
        <w:top w:val="none" w:sz="0" w:space="0" w:color="auto"/>
        <w:left w:val="none" w:sz="0" w:space="0" w:color="auto"/>
        <w:bottom w:val="none" w:sz="0" w:space="0" w:color="auto"/>
        <w:right w:val="none" w:sz="0" w:space="0" w:color="auto"/>
      </w:divBdr>
    </w:div>
    <w:div w:id="1507086786">
      <w:bodyDiv w:val="1"/>
      <w:marLeft w:val="0"/>
      <w:marRight w:val="0"/>
      <w:marTop w:val="0"/>
      <w:marBottom w:val="0"/>
      <w:divBdr>
        <w:top w:val="none" w:sz="0" w:space="0" w:color="auto"/>
        <w:left w:val="none" w:sz="0" w:space="0" w:color="auto"/>
        <w:bottom w:val="none" w:sz="0" w:space="0" w:color="auto"/>
        <w:right w:val="none" w:sz="0" w:space="0" w:color="auto"/>
      </w:divBdr>
    </w:div>
    <w:div w:id="1507213682">
      <w:bodyDiv w:val="1"/>
      <w:marLeft w:val="0"/>
      <w:marRight w:val="0"/>
      <w:marTop w:val="0"/>
      <w:marBottom w:val="0"/>
      <w:divBdr>
        <w:top w:val="none" w:sz="0" w:space="0" w:color="auto"/>
        <w:left w:val="none" w:sz="0" w:space="0" w:color="auto"/>
        <w:bottom w:val="none" w:sz="0" w:space="0" w:color="auto"/>
        <w:right w:val="none" w:sz="0" w:space="0" w:color="auto"/>
      </w:divBdr>
    </w:div>
    <w:div w:id="1508710425">
      <w:bodyDiv w:val="1"/>
      <w:marLeft w:val="0"/>
      <w:marRight w:val="0"/>
      <w:marTop w:val="0"/>
      <w:marBottom w:val="0"/>
      <w:divBdr>
        <w:top w:val="none" w:sz="0" w:space="0" w:color="auto"/>
        <w:left w:val="none" w:sz="0" w:space="0" w:color="auto"/>
        <w:bottom w:val="none" w:sz="0" w:space="0" w:color="auto"/>
        <w:right w:val="none" w:sz="0" w:space="0" w:color="auto"/>
      </w:divBdr>
    </w:div>
    <w:div w:id="1508982257">
      <w:bodyDiv w:val="1"/>
      <w:marLeft w:val="0"/>
      <w:marRight w:val="0"/>
      <w:marTop w:val="0"/>
      <w:marBottom w:val="0"/>
      <w:divBdr>
        <w:top w:val="none" w:sz="0" w:space="0" w:color="auto"/>
        <w:left w:val="none" w:sz="0" w:space="0" w:color="auto"/>
        <w:bottom w:val="none" w:sz="0" w:space="0" w:color="auto"/>
        <w:right w:val="none" w:sz="0" w:space="0" w:color="auto"/>
      </w:divBdr>
    </w:div>
    <w:div w:id="1509438914">
      <w:bodyDiv w:val="1"/>
      <w:marLeft w:val="0"/>
      <w:marRight w:val="0"/>
      <w:marTop w:val="0"/>
      <w:marBottom w:val="0"/>
      <w:divBdr>
        <w:top w:val="none" w:sz="0" w:space="0" w:color="auto"/>
        <w:left w:val="none" w:sz="0" w:space="0" w:color="auto"/>
        <w:bottom w:val="none" w:sz="0" w:space="0" w:color="auto"/>
        <w:right w:val="none" w:sz="0" w:space="0" w:color="auto"/>
      </w:divBdr>
    </w:div>
    <w:div w:id="1510098389">
      <w:bodyDiv w:val="1"/>
      <w:marLeft w:val="0"/>
      <w:marRight w:val="0"/>
      <w:marTop w:val="0"/>
      <w:marBottom w:val="0"/>
      <w:divBdr>
        <w:top w:val="none" w:sz="0" w:space="0" w:color="auto"/>
        <w:left w:val="none" w:sz="0" w:space="0" w:color="auto"/>
        <w:bottom w:val="none" w:sz="0" w:space="0" w:color="auto"/>
        <w:right w:val="none" w:sz="0" w:space="0" w:color="auto"/>
      </w:divBdr>
    </w:div>
    <w:div w:id="1510101166">
      <w:bodyDiv w:val="1"/>
      <w:marLeft w:val="0"/>
      <w:marRight w:val="0"/>
      <w:marTop w:val="0"/>
      <w:marBottom w:val="0"/>
      <w:divBdr>
        <w:top w:val="none" w:sz="0" w:space="0" w:color="auto"/>
        <w:left w:val="none" w:sz="0" w:space="0" w:color="auto"/>
        <w:bottom w:val="none" w:sz="0" w:space="0" w:color="auto"/>
        <w:right w:val="none" w:sz="0" w:space="0" w:color="auto"/>
      </w:divBdr>
    </w:div>
    <w:div w:id="1510366067">
      <w:bodyDiv w:val="1"/>
      <w:marLeft w:val="0"/>
      <w:marRight w:val="0"/>
      <w:marTop w:val="0"/>
      <w:marBottom w:val="0"/>
      <w:divBdr>
        <w:top w:val="none" w:sz="0" w:space="0" w:color="auto"/>
        <w:left w:val="none" w:sz="0" w:space="0" w:color="auto"/>
        <w:bottom w:val="none" w:sz="0" w:space="0" w:color="auto"/>
        <w:right w:val="none" w:sz="0" w:space="0" w:color="auto"/>
      </w:divBdr>
    </w:div>
    <w:div w:id="1510482030">
      <w:bodyDiv w:val="1"/>
      <w:marLeft w:val="0"/>
      <w:marRight w:val="0"/>
      <w:marTop w:val="0"/>
      <w:marBottom w:val="0"/>
      <w:divBdr>
        <w:top w:val="none" w:sz="0" w:space="0" w:color="auto"/>
        <w:left w:val="none" w:sz="0" w:space="0" w:color="auto"/>
        <w:bottom w:val="none" w:sz="0" w:space="0" w:color="auto"/>
        <w:right w:val="none" w:sz="0" w:space="0" w:color="auto"/>
      </w:divBdr>
    </w:div>
    <w:div w:id="1510754937">
      <w:bodyDiv w:val="1"/>
      <w:marLeft w:val="0"/>
      <w:marRight w:val="0"/>
      <w:marTop w:val="0"/>
      <w:marBottom w:val="0"/>
      <w:divBdr>
        <w:top w:val="none" w:sz="0" w:space="0" w:color="auto"/>
        <w:left w:val="none" w:sz="0" w:space="0" w:color="auto"/>
        <w:bottom w:val="none" w:sz="0" w:space="0" w:color="auto"/>
        <w:right w:val="none" w:sz="0" w:space="0" w:color="auto"/>
      </w:divBdr>
    </w:div>
    <w:div w:id="1511143473">
      <w:bodyDiv w:val="1"/>
      <w:marLeft w:val="0"/>
      <w:marRight w:val="0"/>
      <w:marTop w:val="0"/>
      <w:marBottom w:val="0"/>
      <w:divBdr>
        <w:top w:val="none" w:sz="0" w:space="0" w:color="auto"/>
        <w:left w:val="none" w:sz="0" w:space="0" w:color="auto"/>
        <w:bottom w:val="none" w:sz="0" w:space="0" w:color="auto"/>
        <w:right w:val="none" w:sz="0" w:space="0" w:color="auto"/>
      </w:divBdr>
    </w:div>
    <w:div w:id="1512182342">
      <w:bodyDiv w:val="1"/>
      <w:marLeft w:val="0"/>
      <w:marRight w:val="0"/>
      <w:marTop w:val="0"/>
      <w:marBottom w:val="0"/>
      <w:divBdr>
        <w:top w:val="none" w:sz="0" w:space="0" w:color="auto"/>
        <w:left w:val="none" w:sz="0" w:space="0" w:color="auto"/>
        <w:bottom w:val="none" w:sz="0" w:space="0" w:color="auto"/>
        <w:right w:val="none" w:sz="0" w:space="0" w:color="auto"/>
      </w:divBdr>
    </w:div>
    <w:div w:id="1512837754">
      <w:bodyDiv w:val="1"/>
      <w:marLeft w:val="0"/>
      <w:marRight w:val="0"/>
      <w:marTop w:val="0"/>
      <w:marBottom w:val="0"/>
      <w:divBdr>
        <w:top w:val="none" w:sz="0" w:space="0" w:color="auto"/>
        <w:left w:val="none" w:sz="0" w:space="0" w:color="auto"/>
        <w:bottom w:val="none" w:sz="0" w:space="0" w:color="auto"/>
        <w:right w:val="none" w:sz="0" w:space="0" w:color="auto"/>
      </w:divBdr>
    </w:div>
    <w:div w:id="1513376378">
      <w:bodyDiv w:val="1"/>
      <w:marLeft w:val="0"/>
      <w:marRight w:val="0"/>
      <w:marTop w:val="0"/>
      <w:marBottom w:val="0"/>
      <w:divBdr>
        <w:top w:val="none" w:sz="0" w:space="0" w:color="auto"/>
        <w:left w:val="none" w:sz="0" w:space="0" w:color="auto"/>
        <w:bottom w:val="none" w:sz="0" w:space="0" w:color="auto"/>
        <w:right w:val="none" w:sz="0" w:space="0" w:color="auto"/>
      </w:divBdr>
    </w:div>
    <w:div w:id="1513447450">
      <w:bodyDiv w:val="1"/>
      <w:marLeft w:val="0"/>
      <w:marRight w:val="0"/>
      <w:marTop w:val="0"/>
      <w:marBottom w:val="0"/>
      <w:divBdr>
        <w:top w:val="none" w:sz="0" w:space="0" w:color="auto"/>
        <w:left w:val="none" w:sz="0" w:space="0" w:color="auto"/>
        <w:bottom w:val="none" w:sz="0" w:space="0" w:color="auto"/>
        <w:right w:val="none" w:sz="0" w:space="0" w:color="auto"/>
      </w:divBdr>
    </w:div>
    <w:div w:id="1513837024">
      <w:bodyDiv w:val="1"/>
      <w:marLeft w:val="0"/>
      <w:marRight w:val="0"/>
      <w:marTop w:val="0"/>
      <w:marBottom w:val="0"/>
      <w:divBdr>
        <w:top w:val="none" w:sz="0" w:space="0" w:color="auto"/>
        <w:left w:val="none" w:sz="0" w:space="0" w:color="auto"/>
        <w:bottom w:val="none" w:sz="0" w:space="0" w:color="auto"/>
        <w:right w:val="none" w:sz="0" w:space="0" w:color="auto"/>
      </w:divBdr>
    </w:div>
    <w:div w:id="1514342592">
      <w:bodyDiv w:val="1"/>
      <w:marLeft w:val="0"/>
      <w:marRight w:val="0"/>
      <w:marTop w:val="0"/>
      <w:marBottom w:val="0"/>
      <w:divBdr>
        <w:top w:val="none" w:sz="0" w:space="0" w:color="auto"/>
        <w:left w:val="none" w:sz="0" w:space="0" w:color="auto"/>
        <w:bottom w:val="none" w:sz="0" w:space="0" w:color="auto"/>
        <w:right w:val="none" w:sz="0" w:space="0" w:color="auto"/>
      </w:divBdr>
    </w:div>
    <w:div w:id="1514343431">
      <w:bodyDiv w:val="1"/>
      <w:marLeft w:val="0"/>
      <w:marRight w:val="0"/>
      <w:marTop w:val="0"/>
      <w:marBottom w:val="0"/>
      <w:divBdr>
        <w:top w:val="none" w:sz="0" w:space="0" w:color="auto"/>
        <w:left w:val="none" w:sz="0" w:space="0" w:color="auto"/>
        <w:bottom w:val="none" w:sz="0" w:space="0" w:color="auto"/>
        <w:right w:val="none" w:sz="0" w:space="0" w:color="auto"/>
      </w:divBdr>
    </w:div>
    <w:div w:id="1514539882">
      <w:bodyDiv w:val="1"/>
      <w:marLeft w:val="0"/>
      <w:marRight w:val="0"/>
      <w:marTop w:val="0"/>
      <w:marBottom w:val="0"/>
      <w:divBdr>
        <w:top w:val="none" w:sz="0" w:space="0" w:color="auto"/>
        <w:left w:val="none" w:sz="0" w:space="0" w:color="auto"/>
        <w:bottom w:val="none" w:sz="0" w:space="0" w:color="auto"/>
        <w:right w:val="none" w:sz="0" w:space="0" w:color="auto"/>
      </w:divBdr>
    </w:div>
    <w:div w:id="1514567776">
      <w:bodyDiv w:val="1"/>
      <w:marLeft w:val="0"/>
      <w:marRight w:val="0"/>
      <w:marTop w:val="0"/>
      <w:marBottom w:val="0"/>
      <w:divBdr>
        <w:top w:val="none" w:sz="0" w:space="0" w:color="auto"/>
        <w:left w:val="none" w:sz="0" w:space="0" w:color="auto"/>
        <w:bottom w:val="none" w:sz="0" w:space="0" w:color="auto"/>
        <w:right w:val="none" w:sz="0" w:space="0" w:color="auto"/>
      </w:divBdr>
    </w:div>
    <w:div w:id="1515532502">
      <w:bodyDiv w:val="1"/>
      <w:marLeft w:val="0"/>
      <w:marRight w:val="0"/>
      <w:marTop w:val="0"/>
      <w:marBottom w:val="0"/>
      <w:divBdr>
        <w:top w:val="none" w:sz="0" w:space="0" w:color="auto"/>
        <w:left w:val="none" w:sz="0" w:space="0" w:color="auto"/>
        <w:bottom w:val="none" w:sz="0" w:space="0" w:color="auto"/>
        <w:right w:val="none" w:sz="0" w:space="0" w:color="auto"/>
      </w:divBdr>
    </w:div>
    <w:div w:id="1515802260">
      <w:bodyDiv w:val="1"/>
      <w:marLeft w:val="0"/>
      <w:marRight w:val="0"/>
      <w:marTop w:val="0"/>
      <w:marBottom w:val="0"/>
      <w:divBdr>
        <w:top w:val="none" w:sz="0" w:space="0" w:color="auto"/>
        <w:left w:val="none" w:sz="0" w:space="0" w:color="auto"/>
        <w:bottom w:val="none" w:sz="0" w:space="0" w:color="auto"/>
        <w:right w:val="none" w:sz="0" w:space="0" w:color="auto"/>
      </w:divBdr>
    </w:div>
    <w:div w:id="1516845804">
      <w:bodyDiv w:val="1"/>
      <w:marLeft w:val="0"/>
      <w:marRight w:val="0"/>
      <w:marTop w:val="0"/>
      <w:marBottom w:val="0"/>
      <w:divBdr>
        <w:top w:val="none" w:sz="0" w:space="0" w:color="auto"/>
        <w:left w:val="none" w:sz="0" w:space="0" w:color="auto"/>
        <w:bottom w:val="none" w:sz="0" w:space="0" w:color="auto"/>
        <w:right w:val="none" w:sz="0" w:space="0" w:color="auto"/>
      </w:divBdr>
    </w:div>
    <w:div w:id="1517378293">
      <w:bodyDiv w:val="1"/>
      <w:marLeft w:val="0"/>
      <w:marRight w:val="0"/>
      <w:marTop w:val="0"/>
      <w:marBottom w:val="0"/>
      <w:divBdr>
        <w:top w:val="none" w:sz="0" w:space="0" w:color="auto"/>
        <w:left w:val="none" w:sz="0" w:space="0" w:color="auto"/>
        <w:bottom w:val="none" w:sz="0" w:space="0" w:color="auto"/>
        <w:right w:val="none" w:sz="0" w:space="0" w:color="auto"/>
      </w:divBdr>
    </w:div>
    <w:div w:id="1518539771">
      <w:bodyDiv w:val="1"/>
      <w:marLeft w:val="0"/>
      <w:marRight w:val="0"/>
      <w:marTop w:val="0"/>
      <w:marBottom w:val="0"/>
      <w:divBdr>
        <w:top w:val="none" w:sz="0" w:space="0" w:color="auto"/>
        <w:left w:val="none" w:sz="0" w:space="0" w:color="auto"/>
        <w:bottom w:val="none" w:sz="0" w:space="0" w:color="auto"/>
        <w:right w:val="none" w:sz="0" w:space="0" w:color="auto"/>
      </w:divBdr>
    </w:div>
    <w:div w:id="1519077430">
      <w:bodyDiv w:val="1"/>
      <w:marLeft w:val="0"/>
      <w:marRight w:val="0"/>
      <w:marTop w:val="0"/>
      <w:marBottom w:val="0"/>
      <w:divBdr>
        <w:top w:val="none" w:sz="0" w:space="0" w:color="auto"/>
        <w:left w:val="none" w:sz="0" w:space="0" w:color="auto"/>
        <w:bottom w:val="none" w:sz="0" w:space="0" w:color="auto"/>
        <w:right w:val="none" w:sz="0" w:space="0" w:color="auto"/>
      </w:divBdr>
    </w:div>
    <w:div w:id="1520504597">
      <w:bodyDiv w:val="1"/>
      <w:marLeft w:val="0"/>
      <w:marRight w:val="0"/>
      <w:marTop w:val="0"/>
      <w:marBottom w:val="0"/>
      <w:divBdr>
        <w:top w:val="none" w:sz="0" w:space="0" w:color="auto"/>
        <w:left w:val="none" w:sz="0" w:space="0" w:color="auto"/>
        <w:bottom w:val="none" w:sz="0" w:space="0" w:color="auto"/>
        <w:right w:val="none" w:sz="0" w:space="0" w:color="auto"/>
      </w:divBdr>
    </w:div>
    <w:div w:id="1520511390">
      <w:bodyDiv w:val="1"/>
      <w:marLeft w:val="0"/>
      <w:marRight w:val="0"/>
      <w:marTop w:val="0"/>
      <w:marBottom w:val="0"/>
      <w:divBdr>
        <w:top w:val="none" w:sz="0" w:space="0" w:color="auto"/>
        <w:left w:val="none" w:sz="0" w:space="0" w:color="auto"/>
        <w:bottom w:val="none" w:sz="0" w:space="0" w:color="auto"/>
        <w:right w:val="none" w:sz="0" w:space="0" w:color="auto"/>
      </w:divBdr>
    </w:div>
    <w:div w:id="1521354150">
      <w:bodyDiv w:val="1"/>
      <w:marLeft w:val="0"/>
      <w:marRight w:val="0"/>
      <w:marTop w:val="0"/>
      <w:marBottom w:val="0"/>
      <w:divBdr>
        <w:top w:val="none" w:sz="0" w:space="0" w:color="auto"/>
        <w:left w:val="none" w:sz="0" w:space="0" w:color="auto"/>
        <w:bottom w:val="none" w:sz="0" w:space="0" w:color="auto"/>
        <w:right w:val="none" w:sz="0" w:space="0" w:color="auto"/>
      </w:divBdr>
    </w:div>
    <w:div w:id="1521357451">
      <w:bodyDiv w:val="1"/>
      <w:marLeft w:val="0"/>
      <w:marRight w:val="0"/>
      <w:marTop w:val="0"/>
      <w:marBottom w:val="0"/>
      <w:divBdr>
        <w:top w:val="none" w:sz="0" w:space="0" w:color="auto"/>
        <w:left w:val="none" w:sz="0" w:space="0" w:color="auto"/>
        <w:bottom w:val="none" w:sz="0" w:space="0" w:color="auto"/>
        <w:right w:val="none" w:sz="0" w:space="0" w:color="auto"/>
      </w:divBdr>
    </w:div>
    <w:div w:id="1521777773">
      <w:bodyDiv w:val="1"/>
      <w:marLeft w:val="0"/>
      <w:marRight w:val="0"/>
      <w:marTop w:val="0"/>
      <w:marBottom w:val="0"/>
      <w:divBdr>
        <w:top w:val="none" w:sz="0" w:space="0" w:color="auto"/>
        <w:left w:val="none" w:sz="0" w:space="0" w:color="auto"/>
        <w:bottom w:val="none" w:sz="0" w:space="0" w:color="auto"/>
        <w:right w:val="none" w:sz="0" w:space="0" w:color="auto"/>
      </w:divBdr>
    </w:div>
    <w:div w:id="1522431314">
      <w:bodyDiv w:val="1"/>
      <w:marLeft w:val="0"/>
      <w:marRight w:val="0"/>
      <w:marTop w:val="0"/>
      <w:marBottom w:val="0"/>
      <w:divBdr>
        <w:top w:val="none" w:sz="0" w:space="0" w:color="auto"/>
        <w:left w:val="none" w:sz="0" w:space="0" w:color="auto"/>
        <w:bottom w:val="none" w:sz="0" w:space="0" w:color="auto"/>
        <w:right w:val="none" w:sz="0" w:space="0" w:color="auto"/>
      </w:divBdr>
    </w:div>
    <w:div w:id="1523009149">
      <w:bodyDiv w:val="1"/>
      <w:marLeft w:val="0"/>
      <w:marRight w:val="0"/>
      <w:marTop w:val="0"/>
      <w:marBottom w:val="0"/>
      <w:divBdr>
        <w:top w:val="none" w:sz="0" w:space="0" w:color="auto"/>
        <w:left w:val="none" w:sz="0" w:space="0" w:color="auto"/>
        <w:bottom w:val="none" w:sz="0" w:space="0" w:color="auto"/>
        <w:right w:val="none" w:sz="0" w:space="0" w:color="auto"/>
      </w:divBdr>
    </w:div>
    <w:div w:id="1524057026">
      <w:bodyDiv w:val="1"/>
      <w:marLeft w:val="0"/>
      <w:marRight w:val="0"/>
      <w:marTop w:val="0"/>
      <w:marBottom w:val="0"/>
      <w:divBdr>
        <w:top w:val="none" w:sz="0" w:space="0" w:color="auto"/>
        <w:left w:val="none" w:sz="0" w:space="0" w:color="auto"/>
        <w:bottom w:val="none" w:sz="0" w:space="0" w:color="auto"/>
        <w:right w:val="none" w:sz="0" w:space="0" w:color="auto"/>
      </w:divBdr>
    </w:div>
    <w:div w:id="1524321430">
      <w:bodyDiv w:val="1"/>
      <w:marLeft w:val="0"/>
      <w:marRight w:val="0"/>
      <w:marTop w:val="0"/>
      <w:marBottom w:val="0"/>
      <w:divBdr>
        <w:top w:val="none" w:sz="0" w:space="0" w:color="auto"/>
        <w:left w:val="none" w:sz="0" w:space="0" w:color="auto"/>
        <w:bottom w:val="none" w:sz="0" w:space="0" w:color="auto"/>
        <w:right w:val="none" w:sz="0" w:space="0" w:color="auto"/>
      </w:divBdr>
    </w:div>
    <w:div w:id="1525172164">
      <w:bodyDiv w:val="1"/>
      <w:marLeft w:val="0"/>
      <w:marRight w:val="0"/>
      <w:marTop w:val="0"/>
      <w:marBottom w:val="0"/>
      <w:divBdr>
        <w:top w:val="none" w:sz="0" w:space="0" w:color="auto"/>
        <w:left w:val="none" w:sz="0" w:space="0" w:color="auto"/>
        <w:bottom w:val="none" w:sz="0" w:space="0" w:color="auto"/>
        <w:right w:val="none" w:sz="0" w:space="0" w:color="auto"/>
      </w:divBdr>
    </w:div>
    <w:div w:id="1525246139">
      <w:bodyDiv w:val="1"/>
      <w:marLeft w:val="0"/>
      <w:marRight w:val="0"/>
      <w:marTop w:val="0"/>
      <w:marBottom w:val="0"/>
      <w:divBdr>
        <w:top w:val="none" w:sz="0" w:space="0" w:color="auto"/>
        <w:left w:val="none" w:sz="0" w:space="0" w:color="auto"/>
        <w:bottom w:val="none" w:sz="0" w:space="0" w:color="auto"/>
        <w:right w:val="none" w:sz="0" w:space="0" w:color="auto"/>
      </w:divBdr>
    </w:div>
    <w:div w:id="1525362822">
      <w:bodyDiv w:val="1"/>
      <w:marLeft w:val="0"/>
      <w:marRight w:val="0"/>
      <w:marTop w:val="0"/>
      <w:marBottom w:val="0"/>
      <w:divBdr>
        <w:top w:val="none" w:sz="0" w:space="0" w:color="auto"/>
        <w:left w:val="none" w:sz="0" w:space="0" w:color="auto"/>
        <w:bottom w:val="none" w:sz="0" w:space="0" w:color="auto"/>
        <w:right w:val="none" w:sz="0" w:space="0" w:color="auto"/>
      </w:divBdr>
    </w:div>
    <w:div w:id="1525442155">
      <w:bodyDiv w:val="1"/>
      <w:marLeft w:val="0"/>
      <w:marRight w:val="0"/>
      <w:marTop w:val="0"/>
      <w:marBottom w:val="0"/>
      <w:divBdr>
        <w:top w:val="none" w:sz="0" w:space="0" w:color="auto"/>
        <w:left w:val="none" w:sz="0" w:space="0" w:color="auto"/>
        <w:bottom w:val="none" w:sz="0" w:space="0" w:color="auto"/>
        <w:right w:val="none" w:sz="0" w:space="0" w:color="auto"/>
      </w:divBdr>
    </w:div>
    <w:div w:id="1525745473">
      <w:bodyDiv w:val="1"/>
      <w:marLeft w:val="0"/>
      <w:marRight w:val="0"/>
      <w:marTop w:val="0"/>
      <w:marBottom w:val="0"/>
      <w:divBdr>
        <w:top w:val="none" w:sz="0" w:space="0" w:color="auto"/>
        <w:left w:val="none" w:sz="0" w:space="0" w:color="auto"/>
        <w:bottom w:val="none" w:sz="0" w:space="0" w:color="auto"/>
        <w:right w:val="none" w:sz="0" w:space="0" w:color="auto"/>
      </w:divBdr>
    </w:div>
    <w:div w:id="1525822109">
      <w:bodyDiv w:val="1"/>
      <w:marLeft w:val="0"/>
      <w:marRight w:val="0"/>
      <w:marTop w:val="0"/>
      <w:marBottom w:val="0"/>
      <w:divBdr>
        <w:top w:val="none" w:sz="0" w:space="0" w:color="auto"/>
        <w:left w:val="none" w:sz="0" w:space="0" w:color="auto"/>
        <w:bottom w:val="none" w:sz="0" w:space="0" w:color="auto"/>
        <w:right w:val="none" w:sz="0" w:space="0" w:color="auto"/>
      </w:divBdr>
    </w:div>
    <w:div w:id="1526095859">
      <w:bodyDiv w:val="1"/>
      <w:marLeft w:val="0"/>
      <w:marRight w:val="0"/>
      <w:marTop w:val="0"/>
      <w:marBottom w:val="0"/>
      <w:divBdr>
        <w:top w:val="none" w:sz="0" w:space="0" w:color="auto"/>
        <w:left w:val="none" w:sz="0" w:space="0" w:color="auto"/>
        <w:bottom w:val="none" w:sz="0" w:space="0" w:color="auto"/>
        <w:right w:val="none" w:sz="0" w:space="0" w:color="auto"/>
      </w:divBdr>
    </w:div>
    <w:div w:id="1526626686">
      <w:bodyDiv w:val="1"/>
      <w:marLeft w:val="0"/>
      <w:marRight w:val="0"/>
      <w:marTop w:val="0"/>
      <w:marBottom w:val="0"/>
      <w:divBdr>
        <w:top w:val="none" w:sz="0" w:space="0" w:color="auto"/>
        <w:left w:val="none" w:sz="0" w:space="0" w:color="auto"/>
        <w:bottom w:val="none" w:sz="0" w:space="0" w:color="auto"/>
        <w:right w:val="none" w:sz="0" w:space="0" w:color="auto"/>
      </w:divBdr>
    </w:div>
    <w:div w:id="1527871348">
      <w:bodyDiv w:val="1"/>
      <w:marLeft w:val="0"/>
      <w:marRight w:val="0"/>
      <w:marTop w:val="0"/>
      <w:marBottom w:val="0"/>
      <w:divBdr>
        <w:top w:val="none" w:sz="0" w:space="0" w:color="auto"/>
        <w:left w:val="none" w:sz="0" w:space="0" w:color="auto"/>
        <w:bottom w:val="none" w:sz="0" w:space="0" w:color="auto"/>
        <w:right w:val="none" w:sz="0" w:space="0" w:color="auto"/>
      </w:divBdr>
    </w:div>
    <w:div w:id="1528442684">
      <w:bodyDiv w:val="1"/>
      <w:marLeft w:val="0"/>
      <w:marRight w:val="0"/>
      <w:marTop w:val="0"/>
      <w:marBottom w:val="0"/>
      <w:divBdr>
        <w:top w:val="none" w:sz="0" w:space="0" w:color="auto"/>
        <w:left w:val="none" w:sz="0" w:space="0" w:color="auto"/>
        <w:bottom w:val="none" w:sz="0" w:space="0" w:color="auto"/>
        <w:right w:val="none" w:sz="0" w:space="0" w:color="auto"/>
      </w:divBdr>
    </w:div>
    <w:div w:id="1528715483">
      <w:bodyDiv w:val="1"/>
      <w:marLeft w:val="0"/>
      <w:marRight w:val="0"/>
      <w:marTop w:val="0"/>
      <w:marBottom w:val="0"/>
      <w:divBdr>
        <w:top w:val="none" w:sz="0" w:space="0" w:color="auto"/>
        <w:left w:val="none" w:sz="0" w:space="0" w:color="auto"/>
        <w:bottom w:val="none" w:sz="0" w:space="0" w:color="auto"/>
        <w:right w:val="none" w:sz="0" w:space="0" w:color="auto"/>
      </w:divBdr>
    </w:div>
    <w:div w:id="1528789784">
      <w:bodyDiv w:val="1"/>
      <w:marLeft w:val="0"/>
      <w:marRight w:val="0"/>
      <w:marTop w:val="0"/>
      <w:marBottom w:val="0"/>
      <w:divBdr>
        <w:top w:val="none" w:sz="0" w:space="0" w:color="auto"/>
        <w:left w:val="none" w:sz="0" w:space="0" w:color="auto"/>
        <w:bottom w:val="none" w:sz="0" w:space="0" w:color="auto"/>
        <w:right w:val="none" w:sz="0" w:space="0" w:color="auto"/>
      </w:divBdr>
    </w:div>
    <w:div w:id="1528911041">
      <w:bodyDiv w:val="1"/>
      <w:marLeft w:val="0"/>
      <w:marRight w:val="0"/>
      <w:marTop w:val="0"/>
      <w:marBottom w:val="0"/>
      <w:divBdr>
        <w:top w:val="none" w:sz="0" w:space="0" w:color="auto"/>
        <w:left w:val="none" w:sz="0" w:space="0" w:color="auto"/>
        <w:bottom w:val="none" w:sz="0" w:space="0" w:color="auto"/>
        <w:right w:val="none" w:sz="0" w:space="0" w:color="auto"/>
      </w:divBdr>
    </w:div>
    <w:div w:id="1529180377">
      <w:bodyDiv w:val="1"/>
      <w:marLeft w:val="0"/>
      <w:marRight w:val="0"/>
      <w:marTop w:val="0"/>
      <w:marBottom w:val="0"/>
      <w:divBdr>
        <w:top w:val="none" w:sz="0" w:space="0" w:color="auto"/>
        <w:left w:val="none" w:sz="0" w:space="0" w:color="auto"/>
        <w:bottom w:val="none" w:sz="0" w:space="0" w:color="auto"/>
        <w:right w:val="none" w:sz="0" w:space="0" w:color="auto"/>
      </w:divBdr>
    </w:div>
    <w:div w:id="1529371458">
      <w:bodyDiv w:val="1"/>
      <w:marLeft w:val="0"/>
      <w:marRight w:val="0"/>
      <w:marTop w:val="0"/>
      <w:marBottom w:val="0"/>
      <w:divBdr>
        <w:top w:val="none" w:sz="0" w:space="0" w:color="auto"/>
        <w:left w:val="none" w:sz="0" w:space="0" w:color="auto"/>
        <w:bottom w:val="none" w:sz="0" w:space="0" w:color="auto"/>
        <w:right w:val="none" w:sz="0" w:space="0" w:color="auto"/>
      </w:divBdr>
    </w:div>
    <w:div w:id="1529567193">
      <w:bodyDiv w:val="1"/>
      <w:marLeft w:val="0"/>
      <w:marRight w:val="0"/>
      <w:marTop w:val="0"/>
      <w:marBottom w:val="0"/>
      <w:divBdr>
        <w:top w:val="none" w:sz="0" w:space="0" w:color="auto"/>
        <w:left w:val="none" w:sz="0" w:space="0" w:color="auto"/>
        <w:bottom w:val="none" w:sz="0" w:space="0" w:color="auto"/>
        <w:right w:val="none" w:sz="0" w:space="0" w:color="auto"/>
      </w:divBdr>
    </w:div>
    <w:div w:id="1529948829">
      <w:bodyDiv w:val="1"/>
      <w:marLeft w:val="0"/>
      <w:marRight w:val="0"/>
      <w:marTop w:val="0"/>
      <w:marBottom w:val="0"/>
      <w:divBdr>
        <w:top w:val="none" w:sz="0" w:space="0" w:color="auto"/>
        <w:left w:val="none" w:sz="0" w:space="0" w:color="auto"/>
        <w:bottom w:val="none" w:sz="0" w:space="0" w:color="auto"/>
        <w:right w:val="none" w:sz="0" w:space="0" w:color="auto"/>
      </w:divBdr>
    </w:div>
    <w:div w:id="1531601834">
      <w:bodyDiv w:val="1"/>
      <w:marLeft w:val="0"/>
      <w:marRight w:val="0"/>
      <w:marTop w:val="0"/>
      <w:marBottom w:val="0"/>
      <w:divBdr>
        <w:top w:val="none" w:sz="0" w:space="0" w:color="auto"/>
        <w:left w:val="none" w:sz="0" w:space="0" w:color="auto"/>
        <w:bottom w:val="none" w:sz="0" w:space="0" w:color="auto"/>
        <w:right w:val="none" w:sz="0" w:space="0" w:color="auto"/>
      </w:divBdr>
    </w:div>
    <w:div w:id="1531725164">
      <w:bodyDiv w:val="1"/>
      <w:marLeft w:val="0"/>
      <w:marRight w:val="0"/>
      <w:marTop w:val="0"/>
      <w:marBottom w:val="0"/>
      <w:divBdr>
        <w:top w:val="none" w:sz="0" w:space="0" w:color="auto"/>
        <w:left w:val="none" w:sz="0" w:space="0" w:color="auto"/>
        <w:bottom w:val="none" w:sz="0" w:space="0" w:color="auto"/>
        <w:right w:val="none" w:sz="0" w:space="0" w:color="auto"/>
      </w:divBdr>
    </w:div>
    <w:div w:id="1532185332">
      <w:bodyDiv w:val="1"/>
      <w:marLeft w:val="0"/>
      <w:marRight w:val="0"/>
      <w:marTop w:val="0"/>
      <w:marBottom w:val="0"/>
      <w:divBdr>
        <w:top w:val="none" w:sz="0" w:space="0" w:color="auto"/>
        <w:left w:val="none" w:sz="0" w:space="0" w:color="auto"/>
        <w:bottom w:val="none" w:sz="0" w:space="0" w:color="auto"/>
        <w:right w:val="none" w:sz="0" w:space="0" w:color="auto"/>
      </w:divBdr>
    </w:div>
    <w:div w:id="1532256010">
      <w:bodyDiv w:val="1"/>
      <w:marLeft w:val="0"/>
      <w:marRight w:val="0"/>
      <w:marTop w:val="0"/>
      <w:marBottom w:val="0"/>
      <w:divBdr>
        <w:top w:val="none" w:sz="0" w:space="0" w:color="auto"/>
        <w:left w:val="none" w:sz="0" w:space="0" w:color="auto"/>
        <w:bottom w:val="none" w:sz="0" w:space="0" w:color="auto"/>
        <w:right w:val="none" w:sz="0" w:space="0" w:color="auto"/>
      </w:divBdr>
    </w:div>
    <w:div w:id="1532648065">
      <w:bodyDiv w:val="1"/>
      <w:marLeft w:val="0"/>
      <w:marRight w:val="0"/>
      <w:marTop w:val="0"/>
      <w:marBottom w:val="0"/>
      <w:divBdr>
        <w:top w:val="none" w:sz="0" w:space="0" w:color="auto"/>
        <w:left w:val="none" w:sz="0" w:space="0" w:color="auto"/>
        <w:bottom w:val="none" w:sz="0" w:space="0" w:color="auto"/>
        <w:right w:val="none" w:sz="0" w:space="0" w:color="auto"/>
      </w:divBdr>
    </w:div>
    <w:div w:id="1533032408">
      <w:bodyDiv w:val="1"/>
      <w:marLeft w:val="0"/>
      <w:marRight w:val="0"/>
      <w:marTop w:val="0"/>
      <w:marBottom w:val="0"/>
      <w:divBdr>
        <w:top w:val="none" w:sz="0" w:space="0" w:color="auto"/>
        <w:left w:val="none" w:sz="0" w:space="0" w:color="auto"/>
        <w:bottom w:val="none" w:sz="0" w:space="0" w:color="auto"/>
        <w:right w:val="none" w:sz="0" w:space="0" w:color="auto"/>
      </w:divBdr>
    </w:div>
    <w:div w:id="1533759385">
      <w:bodyDiv w:val="1"/>
      <w:marLeft w:val="0"/>
      <w:marRight w:val="0"/>
      <w:marTop w:val="0"/>
      <w:marBottom w:val="0"/>
      <w:divBdr>
        <w:top w:val="none" w:sz="0" w:space="0" w:color="auto"/>
        <w:left w:val="none" w:sz="0" w:space="0" w:color="auto"/>
        <w:bottom w:val="none" w:sz="0" w:space="0" w:color="auto"/>
        <w:right w:val="none" w:sz="0" w:space="0" w:color="auto"/>
      </w:divBdr>
    </w:div>
    <w:div w:id="1535118455">
      <w:bodyDiv w:val="1"/>
      <w:marLeft w:val="0"/>
      <w:marRight w:val="0"/>
      <w:marTop w:val="0"/>
      <w:marBottom w:val="0"/>
      <w:divBdr>
        <w:top w:val="none" w:sz="0" w:space="0" w:color="auto"/>
        <w:left w:val="none" w:sz="0" w:space="0" w:color="auto"/>
        <w:bottom w:val="none" w:sz="0" w:space="0" w:color="auto"/>
        <w:right w:val="none" w:sz="0" w:space="0" w:color="auto"/>
      </w:divBdr>
    </w:div>
    <w:div w:id="1535386641">
      <w:bodyDiv w:val="1"/>
      <w:marLeft w:val="0"/>
      <w:marRight w:val="0"/>
      <w:marTop w:val="0"/>
      <w:marBottom w:val="0"/>
      <w:divBdr>
        <w:top w:val="none" w:sz="0" w:space="0" w:color="auto"/>
        <w:left w:val="none" w:sz="0" w:space="0" w:color="auto"/>
        <w:bottom w:val="none" w:sz="0" w:space="0" w:color="auto"/>
        <w:right w:val="none" w:sz="0" w:space="0" w:color="auto"/>
      </w:divBdr>
    </w:div>
    <w:div w:id="1535581067">
      <w:bodyDiv w:val="1"/>
      <w:marLeft w:val="0"/>
      <w:marRight w:val="0"/>
      <w:marTop w:val="0"/>
      <w:marBottom w:val="0"/>
      <w:divBdr>
        <w:top w:val="none" w:sz="0" w:space="0" w:color="auto"/>
        <w:left w:val="none" w:sz="0" w:space="0" w:color="auto"/>
        <w:bottom w:val="none" w:sz="0" w:space="0" w:color="auto"/>
        <w:right w:val="none" w:sz="0" w:space="0" w:color="auto"/>
      </w:divBdr>
    </w:div>
    <w:div w:id="1535652744">
      <w:bodyDiv w:val="1"/>
      <w:marLeft w:val="0"/>
      <w:marRight w:val="0"/>
      <w:marTop w:val="0"/>
      <w:marBottom w:val="0"/>
      <w:divBdr>
        <w:top w:val="none" w:sz="0" w:space="0" w:color="auto"/>
        <w:left w:val="none" w:sz="0" w:space="0" w:color="auto"/>
        <w:bottom w:val="none" w:sz="0" w:space="0" w:color="auto"/>
        <w:right w:val="none" w:sz="0" w:space="0" w:color="auto"/>
      </w:divBdr>
    </w:div>
    <w:div w:id="1536190975">
      <w:bodyDiv w:val="1"/>
      <w:marLeft w:val="0"/>
      <w:marRight w:val="0"/>
      <w:marTop w:val="0"/>
      <w:marBottom w:val="0"/>
      <w:divBdr>
        <w:top w:val="none" w:sz="0" w:space="0" w:color="auto"/>
        <w:left w:val="none" w:sz="0" w:space="0" w:color="auto"/>
        <w:bottom w:val="none" w:sz="0" w:space="0" w:color="auto"/>
        <w:right w:val="none" w:sz="0" w:space="0" w:color="auto"/>
      </w:divBdr>
    </w:div>
    <w:div w:id="1536312949">
      <w:bodyDiv w:val="1"/>
      <w:marLeft w:val="0"/>
      <w:marRight w:val="0"/>
      <w:marTop w:val="0"/>
      <w:marBottom w:val="0"/>
      <w:divBdr>
        <w:top w:val="none" w:sz="0" w:space="0" w:color="auto"/>
        <w:left w:val="none" w:sz="0" w:space="0" w:color="auto"/>
        <w:bottom w:val="none" w:sz="0" w:space="0" w:color="auto"/>
        <w:right w:val="none" w:sz="0" w:space="0" w:color="auto"/>
      </w:divBdr>
    </w:div>
    <w:div w:id="1538278771">
      <w:bodyDiv w:val="1"/>
      <w:marLeft w:val="0"/>
      <w:marRight w:val="0"/>
      <w:marTop w:val="0"/>
      <w:marBottom w:val="0"/>
      <w:divBdr>
        <w:top w:val="none" w:sz="0" w:space="0" w:color="auto"/>
        <w:left w:val="none" w:sz="0" w:space="0" w:color="auto"/>
        <w:bottom w:val="none" w:sz="0" w:space="0" w:color="auto"/>
        <w:right w:val="none" w:sz="0" w:space="0" w:color="auto"/>
      </w:divBdr>
    </w:div>
    <w:div w:id="1539583968">
      <w:bodyDiv w:val="1"/>
      <w:marLeft w:val="0"/>
      <w:marRight w:val="0"/>
      <w:marTop w:val="0"/>
      <w:marBottom w:val="0"/>
      <w:divBdr>
        <w:top w:val="none" w:sz="0" w:space="0" w:color="auto"/>
        <w:left w:val="none" w:sz="0" w:space="0" w:color="auto"/>
        <w:bottom w:val="none" w:sz="0" w:space="0" w:color="auto"/>
        <w:right w:val="none" w:sz="0" w:space="0" w:color="auto"/>
      </w:divBdr>
    </w:div>
    <w:div w:id="1539929606">
      <w:bodyDiv w:val="1"/>
      <w:marLeft w:val="0"/>
      <w:marRight w:val="0"/>
      <w:marTop w:val="0"/>
      <w:marBottom w:val="0"/>
      <w:divBdr>
        <w:top w:val="none" w:sz="0" w:space="0" w:color="auto"/>
        <w:left w:val="none" w:sz="0" w:space="0" w:color="auto"/>
        <w:bottom w:val="none" w:sz="0" w:space="0" w:color="auto"/>
        <w:right w:val="none" w:sz="0" w:space="0" w:color="auto"/>
      </w:divBdr>
    </w:div>
    <w:div w:id="1539976916">
      <w:bodyDiv w:val="1"/>
      <w:marLeft w:val="0"/>
      <w:marRight w:val="0"/>
      <w:marTop w:val="0"/>
      <w:marBottom w:val="0"/>
      <w:divBdr>
        <w:top w:val="none" w:sz="0" w:space="0" w:color="auto"/>
        <w:left w:val="none" w:sz="0" w:space="0" w:color="auto"/>
        <w:bottom w:val="none" w:sz="0" w:space="0" w:color="auto"/>
        <w:right w:val="none" w:sz="0" w:space="0" w:color="auto"/>
      </w:divBdr>
    </w:div>
    <w:div w:id="1540240156">
      <w:bodyDiv w:val="1"/>
      <w:marLeft w:val="0"/>
      <w:marRight w:val="0"/>
      <w:marTop w:val="0"/>
      <w:marBottom w:val="0"/>
      <w:divBdr>
        <w:top w:val="none" w:sz="0" w:space="0" w:color="auto"/>
        <w:left w:val="none" w:sz="0" w:space="0" w:color="auto"/>
        <w:bottom w:val="none" w:sz="0" w:space="0" w:color="auto"/>
        <w:right w:val="none" w:sz="0" w:space="0" w:color="auto"/>
      </w:divBdr>
    </w:div>
    <w:div w:id="1542668400">
      <w:bodyDiv w:val="1"/>
      <w:marLeft w:val="0"/>
      <w:marRight w:val="0"/>
      <w:marTop w:val="0"/>
      <w:marBottom w:val="0"/>
      <w:divBdr>
        <w:top w:val="none" w:sz="0" w:space="0" w:color="auto"/>
        <w:left w:val="none" w:sz="0" w:space="0" w:color="auto"/>
        <w:bottom w:val="none" w:sz="0" w:space="0" w:color="auto"/>
        <w:right w:val="none" w:sz="0" w:space="0" w:color="auto"/>
      </w:divBdr>
    </w:div>
    <w:div w:id="1543126491">
      <w:bodyDiv w:val="1"/>
      <w:marLeft w:val="0"/>
      <w:marRight w:val="0"/>
      <w:marTop w:val="0"/>
      <w:marBottom w:val="0"/>
      <w:divBdr>
        <w:top w:val="none" w:sz="0" w:space="0" w:color="auto"/>
        <w:left w:val="none" w:sz="0" w:space="0" w:color="auto"/>
        <w:bottom w:val="none" w:sz="0" w:space="0" w:color="auto"/>
        <w:right w:val="none" w:sz="0" w:space="0" w:color="auto"/>
      </w:divBdr>
    </w:div>
    <w:div w:id="1543707565">
      <w:bodyDiv w:val="1"/>
      <w:marLeft w:val="0"/>
      <w:marRight w:val="0"/>
      <w:marTop w:val="0"/>
      <w:marBottom w:val="0"/>
      <w:divBdr>
        <w:top w:val="none" w:sz="0" w:space="0" w:color="auto"/>
        <w:left w:val="none" w:sz="0" w:space="0" w:color="auto"/>
        <w:bottom w:val="none" w:sz="0" w:space="0" w:color="auto"/>
        <w:right w:val="none" w:sz="0" w:space="0" w:color="auto"/>
      </w:divBdr>
    </w:div>
    <w:div w:id="1544177759">
      <w:bodyDiv w:val="1"/>
      <w:marLeft w:val="0"/>
      <w:marRight w:val="0"/>
      <w:marTop w:val="0"/>
      <w:marBottom w:val="0"/>
      <w:divBdr>
        <w:top w:val="none" w:sz="0" w:space="0" w:color="auto"/>
        <w:left w:val="none" w:sz="0" w:space="0" w:color="auto"/>
        <w:bottom w:val="none" w:sz="0" w:space="0" w:color="auto"/>
        <w:right w:val="none" w:sz="0" w:space="0" w:color="auto"/>
      </w:divBdr>
    </w:div>
    <w:div w:id="1544368288">
      <w:bodyDiv w:val="1"/>
      <w:marLeft w:val="0"/>
      <w:marRight w:val="0"/>
      <w:marTop w:val="0"/>
      <w:marBottom w:val="0"/>
      <w:divBdr>
        <w:top w:val="none" w:sz="0" w:space="0" w:color="auto"/>
        <w:left w:val="none" w:sz="0" w:space="0" w:color="auto"/>
        <w:bottom w:val="none" w:sz="0" w:space="0" w:color="auto"/>
        <w:right w:val="none" w:sz="0" w:space="0" w:color="auto"/>
      </w:divBdr>
    </w:div>
    <w:div w:id="1547181556">
      <w:bodyDiv w:val="1"/>
      <w:marLeft w:val="0"/>
      <w:marRight w:val="0"/>
      <w:marTop w:val="0"/>
      <w:marBottom w:val="0"/>
      <w:divBdr>
        <w:top w:val="none" w:sz="0" w:space="0" w:color="auto"/>
        <w:left w:val="none" w:sz="0" w:space="0" w:color="auto"/>
        <w:bottom w:val="none" w:sz="0" w:space="0" w:color="auto"/>
        <w:right w:val="none" w:sz="0" w:space="0" w:color="auto"/>
      </w:divBdr>
    </w:div>
    <w:div w:id="1548178434">
      <w:bodyDiv w:val="1"/>
      <w:marLeft w:val="0"/>
      <w:marRight w:val="0"/>
      <w:marTop w:val="0"/>
      <w:marBottom w:val="0"/>
      <w:divBdr>
        <w:top w:val="none" w:sz="0" w:space="0" w:color="auto"/>
        <w:left w:val="none" w:sz="0" w:space="0" w:color="auto"/>
        <w:bottom w:val="none" w:sz="0" w:space="0" w:color="auto"/>
        <w:right w:val="none" w:sz="0" w:space="0" w:color="auto"/>
      </w:divBdr>
    </w:div>
    <w:div w:id="1548373153">
      <w:bodyDiv w:val="1"/>
      <w:marLeft w:val="0"/>
      <w:marRight w:val="0"/>
      <w:marTop w:val="0"/>
      <w:marBottom w:val="0"/>
      <w:divBdr>
        <w:top w:val="none" w:sz="0" w:space="0" w:color="auto"/>
        <w:left w:val="none" w:sz="0" w:space="0" w:color="auto"/>
        <w:bottom w:val="none" w:sz="0" w:space="0" w:color="auto"/>
        <w:right w:val="none" w:sz="0" w:space="0" w:color="auto"/>
      </w:divBdr>
    </w:div>
    <w:div w:id="1548446662">
      <w:bodyDiv w:val="1"/>
      <w:marLeft w:val="0"/>
      <w:marRight w:val="0"/>
      <w:marTop w:val="0"/>
      <w:marBottom w:val="0"/>
      <w:divBdr>
        <w:top w:val="none" w:sz="0" w:space="0" w:color="auto"/>
        <w:left w:val="none" w:sz="0" w:space="0" w:color="auto"/>
        <w:bottom w:val="none" w:sz="0" w:space="0" w:color="auto"/>
        <w:right w:val="none" w:sz="0" w:space="0" w:color="auto"/>
      </w:divBdr>
    </w:div>
    <w:div w:id="1549730850">
      <w:bodyDiv w:val="1"/>
      <w:marLeft w:val="0"/>
      <w:marRight w:val="0"/>
      <w:marTop w:val="0"/>
      <w:marBottom w:val="0"/>
      <w:divBdr>
        <w:top w:val="none" w:sz="0" w:space="0" w:color="auto"/>
        <w:left w:val="none" w:sz="0" w:space="0" w:color="auto"/>
        <w:bottom w:val="none" w:sz="0" w:space="0" w:color="auto"/>
        <w:right w:val="none" w:sz="0" w:space="0" w:color="auto"/>
      </w:divBdr>
    </w:div>
    <w:div w:id="1552039672">
      <w:bodyDiv w:val="1"/>
      <w:marLeft w:val="0"/>
      <w:marRight w:val="0"/>
      <w:marTop w:val="0"/>
      <w:marBottom w:val="0"/>
      <w:divBdr>
        <w:top w:val="none" w:sz="0" w:space="0" w:color="auto"/>
        <w:left w:val="none" w:sz="0" w:space="0" w:color="auto"/>
        <w:bottom w:val="none" w:sz="0" w:space="0" w:color="auto"/>
        <w:right w:val="none" w:sz="0" w:space="0" w:color="auto"/>
      </w:divBdr>
    </w:div>
    <w:div w:id="1552495758">
      <w:bodyDiv w:val="1"/>
      <w:marLeft w:val="0"/>
      <w:marRight w:val="0"/>
      <w:marTop w:val="0"/>
      <w:marBottom w:val="0"/>
      <w:divBdr>
        <w:top w:val="none" w:sz="0" w:space="0" w:color="auto"/>
        <w:left w:val="none" w:sz="0" w:space="0" w:color="auto"/>
        <w:bottom w:val="none" w:sz="0" w:space="0" w:color="auto"/>
        <w:right w:val="none" w:sz="0" w:space="0" w:color="auto"/>
      </w:divBdr>
    </w:div>
    <w:div w:id="1553152993">
      <w:bodyDiv w:val="1"/>
      <w:marLeft w:val="0"/>
      <w:marRight w:val="0"/>
      <w:marTop w:val="0"/>
      <w:marBottom w:val="0"/>
      <w:divBdr>
        <w:top w:val="none" w:sz="0" w:space="0" w:color="auto"/>
        <w:left w:val="none" w:sz="0" w:space="0" w:color="auto"/>
        <w:bottom w:val="none" w:sz="0" w:space="0" w:color="auto"/>
        <w:right w:val="none" w:sz="0" w:space="0" w:color="auto"/>
      </w:divBdr>
    </w:div>
    <w:div w:id="1554386646">
      <w:bodyDiv w:val="1"/>
      <w:marLeft w:val="0"/>
      <w:marRight w:val="0"/>
      <w:marTop w:val="0"/>
      <w:marBottom w:val="0"/>
      <w:divBdr>
        <w:top w:val="none" w:sz="0" w:space="0" w:color="auto"/>
        <w:left w:val="none" w:sz="0" w:space="0" w:color="auto"/>
        <w:bottom w:val="none" w:sz="0" w:space="0" w:color="auto"/>
        <w:right w:val="none" w:sz="0" w:space="0" w:color="auto"/>
      </w:divBdr>
    </w:div>
    <w:div w:id="1555965199">
      <w:bodyDiv w:val="1"/>
      <w:marLeft w:val="0"/>
      <w:marRight w:val="0"/>
      <w:marTop w:val="0"/>
      <w:marBottom w:val="0"/>
      <w:divBdr>
        <w:top w:val="none" w:sz="0" w:space="0" w:color="auto"/>
        <w:left w:val="none" w:sz="0" w:space="0" w:color="auto"/>
        <w:bottom w:val="none" w:sz="0" w:space="0" w:color="auto"/>
        <w:right w:val="none" w:sz="0" w:space="0" w:color="auto"/>
      </w:divBdr>
    </w:div>
    <w:div w:id="1556770678">
      <w:bodyDiv w:val="1"/>
      <w:marLeft w:val="0"/>
      <w:marRight w:val="0"/>
      <w:marTop w:val="0"/>
      <w:marBottom w:val="0"/>
      <w:divBdr>
        <w:top w:val="none" w:sz="0" w:space="0" w:color="auto"/>
        <w:left w:val="none" w:sz="0" w:space="0" w:color="auto"/>
        <w:bottom w:val="none" w:sz="0" w:space="0" w:color="auto"/>
        <w:right w:val="none" w:sz="0" w:space="0" w:color="auto"/>
      </w:divBdr>
    </w:div>
    <w:div w:id="1558515328">
      <w:bodyDiv w:val="1"/>
      <w:marLeft w:val="0"/>
      <w:marRight w:val="0"/>
      <w:marTop w:val="0"/>
      <w:marBottom w:val="0"/>
      <w:divBdr>
        <w:top w:val="none" w:sz="0" w:space="0" w:color="auto"/>
        <w:left w:val="none" w:sz="0" w:space="0" w:color="auto"/>
        <w:bottom w:val="none" w:sz="0" w:space="0" w:color="auto"/>
        <w:right w:val="none" w:sz="0" w:space="0" w:color="auto"/>
      </w:divBdr>
    </w:div>
    <w:div w:id="1559239231">
      <w:bodyDiv w:val="1"/>
      <w:marLeft w:val="0"/>
      <w:marRight w:val="0"/>
      <w:marTop w:val="0"/>
      <w:marBottom w:val="0"/>
      <w:divBdr>
        <w:top w:val="none" w:sz="0" w:space="0" w:color="auto"/>
        <w:left w:val="none" w:sz="0" w:space="0" w:color="auto"/>
        <w:bottom w:val="none" w:sz="0" w:space="0" w:color="auto"/>
        <w:right w:val="none" w:sz="0" w:space="0" w:color="auto"/>
      </w:divBdr>
    </w:div>
    <w:div w:id="1559321059">
      <w:bodyDiv w:val="1"/>
      <w:marLeft w:val="0"/>
      <w:marRight w:val="0"/>
      <w:marTop w:val="0"/>
      <w:marBottom w:val="0"/>
      <w:divBdr>
        <w:top w:val="none" w:sz="0" w:space="0" w:color="auto"/>
        <w:left w:val="none" w:sz="0" w:space="0" w:color="auto"/>
        <w:bottom w:val="none" w:sz="0" w:space="0" w:color="auto"/>
        <w:right w:val="none" w:sz="0" w:space="0" w:color="auto"/>
      </w:divBdr>
    </w:div>
    <w:div w:id="1559441488">
      <w:bodyDiv w:val="1"/>
      <w:marLeft w:val="0"/>
      <w:marRight w:val="0"/>
      <w:marTop w:val="0"/>
      <w:marBottom w:val="0"/>
      <w:divBdr>
        <w:top w:val="none" w:sz="0" w:space="0" w:color="auto"/>
        <w:left w:val="none" w:sz="0" w:space="0" w:color="auto"/>
        <w:bottom w:val="none" w:sz="0" w:space="0" w:color="auto"/>
        <w:right w:val="none" w:sz="0" w:space="0" w:color="auto"/>
      </w:divBdr>
    </w:div>
    <w:div w:id="1559972629">
      <w:bodyDiv w:val="1"/>
      <w:marLeft w:val="0"/>
      <w:marRight w:val="0"/>
      <w:marTop w:val="0"/>
      <w:marBottom w:val="0"/>
      <w:divBdr>
        <w:top w:val="none" w:sz="0" w:space="0" w:color="auto"/>
        <w:left w:val="none" w:sz="0" w:space="0" w:color="auto"/>
        <w:bottom w:val="none" w:sz="0" w:space="0" w:color="auto"/>
        <w:right w:val="none" w:sz="0" w:space="0" w:color="auto"/>
      </w:divBdr>
    </w:div>
    <w:div w:id="1559977189">
      <w:bodyDiv w:val="1"/>
      <w:marLeft w:val="0"/>
      <w:marRight w:val="0"/>
      <w:marTop w:val="0"/>
      <w:marBottom w:val="0"/>
      <w:divBdr>
        <w:top w:val="none" w:sz="0" w:space="0" w:color="auto"/>
        <w:left w:val="none" w:sz="0" w:space="0" w:color="auto"/>
        <w:bottom w:val="none" w:sz="0" w:space="0" w:color="auto"/>
        <w:right w:val="none" w:sz="0" w:space="0" w:color="auto"/>
      </w:divBdr>
    </w:div>
    <w:div w:id="1560281748">
      <w:bodyDiv w:val="1"/>
      <w:marLeft w:val="0"/>
      <w:marRight w:val="0"/>
      <w:marTop w:val="0"/>
      <w:marBottom w:val="0"/>
      <w:divBdr>
        <w:top w:val="none" w:sz="0" w:space="0" w:color="auto"/>
        <w:left w:val="none" w:sz="0" w:space="0" w:color="auto"/>
        <w:bottom w:val="none" w:sz="0" w:space="0" w:color="auto"/>
        <w:right w:val="none" w:sz="0" w:space="0" w:color="auto"/>
      </w:divBdr>
    </w:div>
    <w:div w:id="1560282877">
      <w:bodyDiv w:val="1"/>
      <w:marLeft w:val="0"/>
      <w:marRight w:val="0"/>
      <w:marTop w:val="0"/>
      <w:marBottom w:val="0"/>
      <w:divBdr>
        <w:top w:val="none" w:sz="0" w:space="0" w:color="auto"/>
        <w:left w:val="none" w:sz="0" w:space="0" w:color="auto"/>
        <w:bottom w:val="none" w:sz="0" w:space="0" w:color="auto"/>
        <w:right w:val="none" w:sz="0" w:space="0" w:color="auto"/>
      </w:divBdr>
    </w:div>
    <w:div w:id="1560480720">
      <w:bodyDiv w:val="1"/>
      <w:marLeft w:val="0"/>
      <w:marRight w:val="0"/>
      <w:marTop w:val="0"/>
      <w:marBottom w:val="0"/>
      <w:divBdr>
        <w:top w:val="none" w:sz="0" w:space="0" w:color="auto"/>
        <w:left w:val="none" w:sz="0" w:space="0" w:color="auto"/>
        <w:bottom w:val="none" w:sz="0" w:space="0" w:color="auto"/>
        <w:right w:val="none" w:sz="0" w:space="0" w:color="auto"/>
      </w:divBdr>
    </w:div>
    <w:div w:id="1560705547">
      <w:bodyDiv w:val="1"/>
      <w:marLeft w:val="0"/>
      <w:marRight w:val="0"/>
      <w:marTop w:val="0"/>
      <w:marBottom w:val="0"/>
      <w:divBdr>
        <w:top w:val="none" w:sz="0" w:space="0" w:color="auto"/>
        <w:left w:val="none" w:sz="0" w:space="0" w:color="auto"/>
        <w:bottom w:val="none" w:sz="0" w:space="0" w:color="auto"/>
        <w:right w:val="none" w:sz="0" w:space="0" w:color="auto"/>
      </w:divBdr>
    </w:div>
    <w:div w:id="1561094044">
      <w:bodyDiv w:val="1"/>
      <w:marLeft w:val="0"/>
      <w:marRight w:val="0"/>
      <w:marTop w:val="0"/>
      <w:marBottom w:val="0"/>
      <w:divBdr>
        <w:top w:val="none" w:sz="0" w:space="0" w:color="auto"/>
        <w:left w:val="none" w:sz="0" w:space="0" w:color="auto"/>
        <w:bottom w:val="none" w:sz="0" w:space="0" w:color="auto"/>
        <w:right w:val="none" w:sz="0" w:space="0" w:color="auto"/>
      </w:divBdr>
    </w:div>
    <w:div w:id="1561358719">
      <w:bodyDiv w:val="1"/>
      <w:marLeft w:val="0"/>
      <w:marRight w:val="0"/>
      <w:marTop w:val="0"/>
      <w:marBottom w:val="0"/>
      <w:divBdr>
        <w:top w:val="none" w:sz="0" w:space="0" w:color="auto"/>
        <w:left w:val="none" w:sz="0" w:space="0" w:color="auto"/>
        <w:bottom w:val="none" w:sz="0" w:space="0" w:color="auto"/>
        <w:right w:val="none" w:sz="0" w:space="0" w:color="auto"/>
      </w:divBdr>
    </w:div>
    <w:div w:id="1562443893">
      <w:bodyDiv w:val="1"/>
      <w:marLeft w:val="0"/>
      <w:marRight w:val="0"/>
      <w:marTop w:val="0"/>
      <w:marBottom w:val="0"/>
      <w:divBdr>
        <w:top w:val="none" w:sz="0" w:space="0" w:color="auto"/>
        <w:left w:val="none" w:sz="0" w:space="0" w:color="auto"/>
        <w:bottom w:val="none" w:sz="0" w:space="0" w:color="auto"/>
        <w:right w:val="none" w:sz="0" w:space="0" w:color="auto"/>
      </w:divBdr>
    </w:div>
    <w:div w:id="1562860285">
      <w:bodyDiv w:val="1"/>
      <w:marLeft w:val="0"/>
      <w:marRight w:val="0"/>
      <w:marTop w:val="0"/>
      <w:marBottom w:val="0"/>
      <w:divBdr>
        <w:top w:val="none" w:sz="0" w:space="0" w:color="auto"/>
        <w:left w:val="none" w:sz="0" w:space="0" w:color="auto"/>
        <w:bottom w:val="none" w:sz="0" w:space="0" w:color="auto"/>
        <w:right w:val="none" w:sz="0" w:space="0" w:color="auto"/>
      </w:divBdr>
    </w:div>
    <w:div w:id="1563516589">
      <w:bodyDiv w:val="1"/>
      <w:marLeft w:val="0"/>
      <w:marRight w:val="0"/>
      <w:marTop w:val="0"/>
      <w:marBottom w:val="0"/>
      <w:divBdr>
        <w:top w:val="none" w:sz="0" w:space="0" w:color="auto"/>
        <w:left w:val="none" w:sz="0" w:space="0" w:color="auto"/>
        <w:bottom w:val="none" w:sz="0" w:space="0" w:color="auto"/>
        <w:right w:val="none" w:sz="0" w:space="0" w:color="auto"/>
      </w:divBdr>
    </w:div>
    <w:div w:id="1564293918">
      <w:bodyDiv w:val="1"/>
      <w:marLeft w:val="0"/>
      <w:marRight w:val="0"/>
      <w:marTop w:val="0"/>
      <w:marBottom w:val="0"/>
      <w:divBdr>
        <w:top w:val="none" w:sz="0" w:space="0" w:color="auto"/>
        <w:left w:val="none" w:sz="0" w:space="0" w:color="auto"/>
        <w:bottom w:val="none" w:sz="0" w:space="0" w:color="auto"/>
        <w:right w:val="none" w:sz="0" w:space="0" w:color="auto"/>
      </w:divBdr>
    </w:div>
    <w:div w:id="1564297607">
      <w:bodyDiv w:val="1"/>
      <w:marLeft w:val="0"/>
      <w:marRight w:val="0"/>
      <w:marTop w:val="0"/>
      <w:marBottom w:val="0"/>
      <w:divBdr>
        <w:top w:val="none" w:sz="0" w:space="0" w:color="auto"/>
        <w:left w:val="none" w:sz="0" w:space="0" w:color="auto"/>
        <w:bottom w:val="none" w:sz="0" w:space="0" w:color="auto"/>
        <w:right w:val="none" w:sz="0" w:space="0" w:color="auto"/>
      </w:divBdr>
    </w:div>
    <w:div w:id="1564756007">
      <w:bodyDiv w:val="1"/>
      <w:marLeft w:val="0"/>
      <w:marRight w:val="0"/>
      <w:marTop w:val="0"/>
      <w:marBottom w:val="0"/>
      <w:divBdr>
        <w:top w:val="none" w:sz="0" w:space="0" w:color="auto"/>
        <w:left w:val="none" w:sz="0" w:space="0" w:color="auto"/>
        <w:bottom w:val="none" w:sz="0" w:space="0" w:color="auto"/>
        <w:right w:val="none" w:sz="0" w:space="0" w:color="auto"/>
      </w:divBdr>
    </w:div>
    <w:div w:id="1566144176">
      <w:bodyDiv w:val="1"/>
      <w:marLeft w:val="0"/>
      <w:marRight w:val="0"/>
      <w:marTop w:val="0"/>
      <w:marBottom w:val="0"/>
      <w:divBdr>
        <w:top w:val="none" w:sz="0" w:space="0" w:color="auto"/>
        <w:left w:val="none" w:sz="0" w:space="0" w:color="auto"/>
        <w:bottom w:val="none" w:sz="0" w:space="0" w:color="auto"/>
        <w:right w:val="none" w:sz="0" w:space="0" w:color="auto"/>
      </w:divBdr>
    </w:div>
    <w:div w:id="1566918344">
      <w:bodyDiv w:val="1"/>
      <w:marLeft w:val="0"/>
      <w:marRight w:val="0"/>
      <w:marTop w:val="0"/>
      <w:marBottom w:val="0"/>
      <w:divBdr>
        <w:top w:val="none" w:sz="0" w:space="0" w:color="auto"/>
        <w:left w:val="none" w:sz="0" w:space="0" w:color="auto"/>
        <w:bottom w:val="none" w:sz="0" w:space="0" w:color="auto"/>
        <w:right w:val="none" w:sz="0" w:space="0" w:color="auto"/>
      </w:divBdr>
    </w:div>
    <w:div w:id="1567912592">
      <w:bodyDiv w:val="1"/>
      <w:marLeft w:val="0"/>
      <w:marRight w:val="0"/>
      <w:marTop w:val="0"/>
      <w:marBottom w:val="0"/>
      <w:divBdr>
        <w:top w:val="none" w:sz="0" w:space="0" w:color="auto"/>
        <w:left w:val="none" w:sz="0" w:space="0" w:color="auto"/>
        <w:bottom w:val="none" w:sz="0" w:space="0" w:color="auto"/>
        <w:right w:val="none" w:sz="0" w:space="0" w:color="auto"/>
      </w:divBdr>
    </w:div>
    <w:div w:id="1568417905">
      <w:bodyDiv w:val="1"/>
      <w:marLeft w:val="0"/>
      <w:marRight w:val="0"/>
      <w:marTop w:val="0"/>
      <w:marBottom w:val="0"/>
      <w:divBdr>
        <w:top w:val="none" w:sz="0" w:space="0" w:color="auto"/>
        <w:left w:val="none" w:sz="0" w:space="0" w:color="auto"/>
        <w:bottom w:val="none" w:sz="0" w:space="0" w:color="auto"/>
        <w:right w:val="none" w:sz="0" w:space="0" w:color="auto"/>
      </w:divBdr>
    </w:div>
    <w:div w:id="1568690975">
      <w:bodyDiv w:val="1"/>
      <w:marLeft w:val="0"/>
      <w:marRight w:val="0"/>
      <w:marTop w:val="0"/>
      <w:marBottom w:val="0"/>
      <w:divBdr>
        <w:top w:val="none" w:sz="0" w:space="0" w:color="auto"/>
        <w:left w:val="none" w:sz="0" w:space="0" w:color="auto"/>
        <w:bottom w:val="none" w:sz="0" w:space="0" w:color="auto"/>
        <w:right w:val="none" w:sz="0" w:space="0" w:color="auto"/>
      </w:divBdr>
    </w:div>
    <w:div w:id="1568803580">
      <w:bodyDiv w:val="1"/>
      <w:marLeft w:val="0"/>
      <w:marRight w:val="0"/>
      <w:marTop w:val="0"/>
      <w:marBottom w:val="0"/>
      <w:divBdr>
        <w:top w:val="none" w:sz="0" w:space="0" w:color="auto"/>
        <w:left w:val="none" w:sz="0" w:space="0" w:color="auto"/>
        <w:bottom w:val="none" w:sz="0" w:space="0" w:color="auto"/>
        <w:right w:val="none" w:sz="0" w:space="0" w:color="auto"/>
      </w:divBdr>
    </w:div>
    <w:div w:id="1570115426">
      <w:bodyDiv w:val="1"/>
      <w:marLeft w:val="0"/>
      <w:marRight w:val="0"/>
      <w:marTop w:val="0"/>
      <w:marBottom w:val="0"/>
      <w:divBdr>
        <w:top w:val="none" w:sz="0" w:space="0" w:color="auto"/>
        <w:left w:val="none" w:sz="0" w:space="0" w:color="auto"/>
        <w:bottom w:val="none" w:sz="0" w:space="0" w:color="auto"/>
        <w:right w:val="none" w:sz="0" w:space="0" w:color="auto"/>
      </w:divBdr>
    </w:div>
    <w:div w:id="1570187174">
      <w:bodyDiv w:val="1"/>
      <w:marLeft w:val="0"/>
      <w:marRight w:val="0"/>
      <w:marTop w:val="0"/>
      <w:marBottom w:val="0"/>
      <w:divBdr>
        <w:top w:val="none" w:sz="0" w:space="0" w:color="auto"/>
        <w:left w:val="none" w:sz="0" w:space="0" w:color="auto"/>
        <w:bottom w:val="none" w:sz="0" w:space="0" w:color="auto"/>
        <w:right w:val="none" w:sz="0" w:space="0" w:color="auto"/>
      </w:divBdr>
    </w:div>
    <w:div w:id="1570799242">
      <w:bodyDiv w:val="1"/>
      <w:marLeft w:val="0"/>
      <w:marRight w:val="0"/>
      <w:marTop w:val="0"/>
      <w:marBottom w:val="0"/>
      <w:divBdr>
        <w:top w:val="none" w:sz="0" w:space="0" w:color="auto"/>
        <w:left w:val="none" w:sz="0" w:space="0" w:color="auto"/>
        <w:bottom w:val="none" w:sz="0" w:space="0" w:color="auto"/>
        <w:right w:val="none" w:sz="0" w:space="0" w:color="auto"/>
      </w:divBdr>
    </w:div>
    <w:div w:id="1572152320">
      <w:bodyDiv w:val="1"/>
      <w:marLeft w:val="0"/>
      <w:marRight w:val="0"/>
      <w:marTop w:val="0"/>
      <w:marBottom w:val="0"/>
      <w:divBdr>
        <w:top w:val="none" w:sz="0" w:space="0" w:color="auto"/>
        <w:left w:val="none" w:sz="0" w:space="0" w:color="auto"/>
        <w:bottom w:val="none" w:sz="0" w:space="0" w:color="auto"/>
        <w:right w:val="none" w:sz="0" w:space="0" w:color="auto"/>
      </w:divBdr>
    </w:div>
    <w:div w:id="1572304819">
      <w:bodyDiv w:val="1"/>
      <w:marLeft w:val="0"/>
      <w:marRight w:val="0"/>
      <w:marTop w:val="0"/>
      <w:marBottom w:val="0"/>
      <w:divBdr>
        <w:top w:val="none" w:sz="0" w:space="0" w:color="auto"/>
        <w:left w:val="none" w:sz="0" w:space="0" w:color="auto"/>
        <w:bottom w:val="none" w:sz="0" w:space="0" w:color="auto"/>
        <w:right w:val="none" w:sz="0" w:space="0" w:color="auto"/>
      </w:divBdr>
    </w:div>
    <w:div w:id="1573350282">
      <w:bodyDiv w:val="1"/>
      <w:marLeft w:val="0"/>
      <w:marRight w:val="0"/>
      <w:marTop w:val="0"/>
      <w:marBottom w:val="0"/>
      <w:divBdr>
        <w:top w:val="none" w:sz="0" w:space="0" w:color="auto"/>
        <w:left w:val="none" w:sz="0" w:space="0" w:color="auto"/>
        <w:bottom w:val="none" w:sz="0" w:space="0" w:color="auto"/>
        <w:right w:val="none" w:sz="0" w:space="0" w:color="auto"/>
      </w:divBdr>
    </w:div>
    <w:div w:id="1573660495">
      <w:bodyDiv w:val="1"/>
      <w:marLeft w:val="0"/>
      <w:marRight w:val="0"/>
      <w:marTop w:val="0"/>
      <w:marBottom w:val="0"/>
      <w:divBdr>
        <w:top w:val="none" w:sz="0" w:space="0" w:color="auto"/>
        <w:left w:val="none" w:sz="0" w:space="0" w:color="auto"/>
        <w:bottom w:val="none" w:sz="0" w:space="0" w:color="auto"/>
        <w:right w:val="none" w:sz="0" w:space="0" w:color="auto"/>
      </w:divBdr>
    </w:div>
    <w:div w:id="1573812247">
      <w:bodyDiv w:val="1"/>
      <w:marLeft w:val="0"/>
      <w:marRight w:val="0"/>
      <w:marTop w:val="0"/>
      <w:marBottom w:val="0"/>
      <w:divBdr>
        <w:top w:val="none" w:sz="0" w:space="0" w:color="auto"/>
        <w:left w:val="none" w:sz="0" w:space="0" w:color="auto"/>
        <w:bottom w:val="none" w:sz="0" w:space="0" w:color="auto"/>
        <w:right w:val="none" w:sz="0" w:space="0" w:color="auto"/>
      </w:divBdr>
    </w:div>
    <w:div w:id="1574043865">
      <w:bodyDiv w:val="1"/>
      <w:marLeft w:val="0"/>
      <w:marRight w:val="0"/>
      <w:marTop w:val="0"/>
      <w:marBottom w:val="0"/>
      <w:divBdr>
        <w:top w:val="none" w:sz="0" w:space="0" w:color="auto"/>
        <w:left w:val="none" w:sz="0" w:space="0" w:color="auto"/>
        <w:bottom w:val="none" w:sz="0" w:space="0" w:color="auto"/>
        <w:right w:val="none" w:sz="0" w:space="0" w:color="auto"/>
      </w:divBdr>
    </w:div>
    <w:div w:id="1574047617">
      <w:bodyDiv w:val="1"/>
      <w:marLeft w:val="0"/>
      <w:marRight w:val="0"/>
      <w:marTop w:val="0"/>
      <w:marBottom w:val="0"/>
      <w:divBdr>
        <w:top w:val="none" w:sz="0" w:space="0" w:color="auto"/>
        <w:left w:val="none" w:sz="0" w:space="0" w:color="auto"/>
        <w:bottom w:val="none" w:sz="0" w:space="0" w:color="auto"/>
        <w:right w:val="none" w:sz="0" w:space="0" w:color="auto"/>
      </w:divBdr>
    </w:div>
    <w:div w:id="1575117632">
      <w:bodyDiv w:val="1"/>
      <w:marLeft w:val="0"/>
      <w:marRight w:val="0"/>
      <w:marTop w:val="0"/>
      <w:marBottom w:val="0"/>
      <w:divBdr>
        <w:top w:val="none" w:sz="0" w:space="0" w:color="auto"/>
        <w:left w:val="none" w:sz="0" w:space="0" w:color="auto"/>
        <w:bottom w:val="none" w:sz="0" w:space="0" w:color="auto"/>
        <w:right w:val="none" w:sz="0" w:space="0" w:color="auto"/>
      </w:divBdr>
    </w:div>
    <w:div w:id="1575816174">
      <w:bodyDiv w:val="1"/>
      <w:marLeft w:val="0"/>
      <w:marRight w:val="0"/>
      <w:marTop w:val="0"/>
      <w:marBottom w:val="0"/>
      <w:divBdr>
        <w:top w:val="none" w:sz="0" w:space="0" w:color="auto"/>
        <w:left w:val="none" w:sz="0" w:space="0" w:color="auto"/>
        <w:bottom w:val="none" w:sz="0" w:space="0" w:color="auto"/>
        <w:right w:val="none" w:sz="0" w:space="0" w:color="auto"/>
      </w:divBdr>
    </w:div>
    <w:div w:id="1578050174">
      <w:bodyDiv w:val="1"/>
      <w:marLeft w:val="0"/>
      <w:marRight w:val="0"/>
      <w:marTop w:val="0"/>
      <w:marBottom w:val="0"/>
      <w:divBdr>
        <w:top w:val="none" w:sz="0" w:space="0" w:color="auto"/>
        <w:left w:val="none" w:sz="0" w:space="0" w:color="auto"/>
        <w:bottom w:val="none" w:sz="0" w:space="0" w:color="auto"/>
        <w:right w:val="none" w:sz="0" w:space="0" w:color="auto"/>
      </w:divBdr>
    </w:div>
    <w:div w:id="1579365908">
      <w:bodyDiv w:val="1"/>
      <w:marLeft w:val="0"/>
      <w:marRight w:val="0"/>
      <w:marTop w:val="0"/>
      <w:marBottom w:val="0"/>
      <w:divBdr>
        <w:top w:val="none" w:sz="0" w:space="0" w:color="auto"/>
        <w:left w:val="none" w:sz="0" w:space="0" w:color="auto"/>
        <w:bottom w:val="none" w:sz="0" w:space="0" w:color="auto"/>
        <w:right w:val="none" w:sz="0" w:space="0" w:color="auto"/>
      </w:divBdr>
    </w:div>
    <w:div w:id="1580406160">
      <w:bodyDiv w:val="1"/>
      <w:marLeft w:val="0"/>
      <w:marRight w:val="0"/>
      <w:marTop w:val="0"/>
      <w:marBottom w:val="0"/>
      <w:divBdr>
        <w:top w:val="none" w:sz="0" w:space="0" w:color="auto"/>
        <w:left w:val="none" w:sz="0" w:space="0" w:color="auto"/>
        <w:bottom w:val="none" w:sz="0" w:space="0" w:color="auto"/>
        <w:right w:val="none" w:sz="0" w:space="0" w:color="auto"/>
      </w:divBdr>
    </w:div>
    <w:div w:id="1580558384">
      <w:bodyDiv w:val="1"/>
      <w:marLeft w:val="0"/>
      <w:marRight w:val="0"/>
      <w:marTop w:val="0"/>
      <w:marBottom w:val="0"/>
      <w:divBdr>
        <w:top w:val="none" w:sz="0" w:space="0" w:color="auto"/>
        <w:left w:val="none" w:sz="0" w:space="0" w:color="auto"/>
        <w:bottom w:val="none" w:sz="0" w:space="0" w:color="auto"/>
        <w:right w:val="none" w:sz="0" w:space="0" w:color="auto"/>
      </w:divBdr>
    </w:div>
    <w:div w:id="1581716235">
      <w:bodyDiv w:val="1"/>
      <w:marLeft w:val="0"/>
      <w:marRight w:val="0"/>
      <w:marTop w:val="0"/>
      <w:marBottom w:val="0"/>
      <w:divBdr>
        <w:top w:val="none" w:sz="0" w:space="0" w:color="auto"/>
        <w:left w:val="none" w:sz="0" w:space="0" w:color="auto"/>
        <w:bottom w:val="none" w:sz="0" w:space="0" w:color="auto"/>
        <w:right w:val="none" w:sz="0" w:space="0" w:color="auto"/>
      </w:divBdr>
    </w:div>
    <w:div w:id="1581720393">
      <w:bodyDiv w:val="1"/>
      <w:marLeft w:val="0"/>
      <w:marRight w:val="0"/>
      <w:marTop w:val="0"/>
      <w:marBottom w:val="0"/>
      <w:divBdr>
        <w:top w:val="none" w:sz="0" w:space="0" w:color="auto"/>
        <w:left w:val="none" w:sz="0" w:space="0" w:color="auto"/>
        <w:bottom w:val="none" w:sz="0" w:space="0" w:color="auto"/>
        <w:right w:val="none" w:sz="0" w:space="0" w:color="auto"/>
      </w:divBdr>
    </w:div>
    <w:div w:id="1583101722">
      <w:bodyDiv w:val="1"/>
      <w:marLeft w:val="0"/>
      <w:marRight w:val="0"/>
      <w:marTop w:val="0"/>
      <w:marBottom w:val="0"/>
      <w:divBdr>
        <w:top w:val="none" w:sz="0" w:space="0" w:color="auto"/>
        <w:left w:val="none" w:sz="0" w:space="0" w:color="auto"/>
        <w:bottom w:val="none" w:sz="0" w:space="0" w:color="auto"/>
        <w:right w:val="none" w:sz="0" w:space="0" w:color="auto"/>
      </w:divBdr>
    </w:div>
    <w:div w:id="1583221601">
      <w:bodyDiv w:val="1"/>
      <w:marLeft w:val="0"/>
      <w:marRight w:val="0"/>
      <w:marTop w:val="0"/>
      <w:marBottom w:val="0"/>
      <w:divBdr>
        <w:top w:val="none" w:sz="0" w:space="0" w:color="auto"/>
        <w:left w:val="none" w:sz="0" w:space="0" w:color="auto"/>
        <w:bottom w:val="none" w:sz="0" w:space="0" w:color="auto"/>
        <w:right w:val="none" w:sz="0" w:space="0" w:color="auto"/>
      </w:divBdr>
    </w:div>
    <w:div w:id="1583636388">
      <w:bodyDiv w:val="1"/>
      <w:marLeft w:val="0"/>
      <w:marRight w:val="0"/>
      <w:marTop w:val="0"/>
      <w:marBottom w:val="0"/>
      <w:divBdr>
        <w:top w:val="none" w:sz="0" w:space="0" w:color="auto"/>
        <w:left w:val="none" w:sz="0" w:space="0" w:color="auto"/>
        <w:bottom w:val="none" w:sz="0" w:space="0" w:color="auto"/>
        <w:right w:val="none" w:sz="0" w:space="0" w:color="auto"/>
      </w:divBdr>
    </w:div>
    <w:div w:id="1584949632">
      <w:bodyDiv w:val="1"/>
      <w:marLeft w:val="0"/>
      <w:marRight w:val="0"/>
      <w:marTop w:val="0"/>
      <w:marBottom w:val="0"/>
      <w:divBdr>
        <w:top w:val="none" w:sz="0" w:space="0" w:color="auto"/>
        <w:left w:val="none" w:sz="0" w:space="0" w:color="auto"/>
        <w:bottom w:val="none" w:sz="0" w:space="0" w:color="auto"/>
        <w:right w:val="none" w:sz="0" w:space="0" w:color="auto"/>
      </w:divBdr>
    </w:div>
    <w:div w:id="1584989998">
      <w:bodyDiv w:val="1"/>
      <w:marLeft w:val="0"/>
      <w:marRight w:val="0"/>
      <w:marTop w:val="0"/>
      <w:marBottom w:val="0"/>
      <w:divBdr>
        <w:top w:val="none" w:sz="0" w:space="0" w:color="auto"/>
        <w:left w:val="none" w:sz="0" w:space="0" w:color="auto"/>
        <w:bottom w:val="none" w:sz="0" w:space="0" w:color="auto"/>
        <w:right w:val="none" w:sz="0" w:space="0" w:color="auto"/>
      </w:divBdr>
    </w:div>
    <w:div w:id="1584996040">
      <w:bodyDiv w:val="1"/>
      <w:marLeft w:val="0"/>
      <w:marRight w:val="0"/>
      <w:marTop w:val="0"/>
      <w:marBottom w:val="0"/>
      <w:divBdr>
        <w:top w:val="none" w:sz="0" w:space="0" w:color="auto"/>
        <w:left w:val="none" w:sz="0" w:space="0" w:color="auto"/>
        <w:bottom w:val="none" w:sz="0" w:space="0" w:color="auto"/>
        <w:right w:val="none" w:sz="0" w:space="0" w:color="auto"/>
      </w:divBdr>
    </w:div>
    <w:div w:id="1585453759">
      <w:bodyDiv w:val="1"/>
      <w:marLeft w:val="0"/>
      <w:marRight w:val="0"/>
      <w:marTop w:val="0"/>
      <w:marBottom w:val="0"/>
      <w:divBdr>
        <w:top w:val="none" w:sz="0" w:space="0" w:color="auto"/>
        <w:left w:val="none" w:sz="0" w:space="0" w:color="auto"/>
        <w:bottom w:val="none" w:sz="0" w:space="0" w:color="auto"/>
        <w:right w:val="none" w:sz="0" w:space="0" w:color="auto"/>
      </w:divBdr>
    </w:div>
    <w:div w:id="1585841759">
      <w:bodyDiv w:val="1"/>
      <w:marLeft w:val="0"/>
      <w:marRight w:val="0"/>
      <w:marTop w:val="0"/>
      <w:marBottom w:val="0"/>
      <w:divBdr>
        <w:top w:val="none" w:sz="0" w:space="0" w:color="auto"/>
        <w:left w:val="none" w:sz="0" w:space="0" w:color="auto"/>
        <w:bottom w:val="none" w:sz="0" w:space="0" w:color="auto"/>
        <w:right w:val="none" w:sz="0" w:space="0" w:color="auto"/>
      </w:divBdr>
    </w:div>
    <w:div w:id="1588073106">
      <w:bodyDiv w:val="1"/>
      <w:marLeft w:val="0"/>
      <w:marRight w:val="0"/>
      <w:marTop w:val="0"/>
      <w:marBottom w:val="0"/>
      <w:divBdr>
        <w:top w:val="none" w:sz="0" w:space="0" w:color="auto"/>
        <w:left w:val="none" w:sz="0" w:space="0" w:color="auto"/>
        <w:bottom w:val="none" w:sz="0" w:space="0" w:color="auto"/>
        <w:right w:val="none" w:sz="0" w:space="0" w:color="auto"/>
      </w:divBdr>
    </w:div>
    <w:div w:id="1588999211">
      <w:bodyDiv w:val="1"/>
      <w:marLeft w:val="0"/>
      <w:marRight w:val="0"/>
      <w:marTop w:val="0"/>
      <w:marBottom w:val="0"/>
      <w:divBdr>
        <w:top w:val="none" w:sz="0" w:space="0" w:color="auto"/>
        <w:left w:val="none" w:sz="0" w:space="0" w:color="auto"/>
        <w:bottom w:val="none" w:sz="0" w:space="0" w:color="auto"/>
        <w:right w:val="none" w:sz="0" w:space="0" w:color="auto"/>
      </w:divBdr>
    </w:div>
    <w:div w:id="1590117362">
      <w:bodyDiv w:val="1"/>
      <w:marLeft w:val="0"/>
      <w:marRight w:val="0"/>
      <w:marTop w:val="0"/>
      <w:marBottom w:val="0"/>
      <w:divBdr>
        <w:top w:val="none" w:sz="0" w:space="0" w:color="auto"/>
        <w:left w:val="none" w:sz="0" w:space="0" w:color="auto"/>
        <w:bottom w:val="none" w:sz="0" w:space="0" w:color="auto"/>
        <w:right w:val="none" w:sz="0" w:space="0" w:color="auto"/>
      </w:divBdr>
    </w:div>
    <w:div w:id="1590500894">
      <w:bodyDiv w:val="1"/>
      <w:marLeft w:val="0"/>
      <w:marRight w:val="0"/>
      <w:marTop w:val="0"/>
      <w:marBottom w:val="0"/>
      <w:divBdr>
        <w:top w:val="none" w:sz="0" w:space="0" w:color="auto"/>
        <w:left w:val="none" w:sz="0" w:space="0" w:color="auto"/>
        <w:bottom w:val="none" w:sz="0" w:space="0" w:color="auto"/>
        <w:right w:val="none" w:sz="0" w:space="0" w:color="auto"/>
      </w:divBdr>
    </w:div>
    <w:div w:id="1592008984">
      <w:bodyDiv w:val="1"/>
      <w:marLeft w:val="0"/>
      <w:marRight w:val="0"/>
      <w:marTop w:val="0"/>
      <w:marBottom w:val="0"/>
      <w:divBdr>
        <w:top w:val="none" w:sz="0" w:space="0" w:color="auto"/>
        <w:left w:val="none" w:sz="0" w:space="0" w:color="auto"/>
        <w:bottom w:val="none" w:sz="0" w:space="0" w:color="auto"/>
        <w:right w:val="none" w:sz="0" w:space="0" w:color="auto"/>
      </w:divBdr>
    </w:div>
    <w:div w:id="1592812920">
      <w:bodyDiv w:val="1"/>
      <w:marLeft w:val="0"/>
      <w:marRight w:val="0"/>
      <w:marTop w:val="0"/>
      <w:marBottom w:val="0"/>
      <w:divBdr>
        <w:top w:val="none" w:sz="0" w:space="0" w:color="auto"/>
        <w:left w:val="none" w:sz="0" w:space="0" w:color="auto"/>
        <w:bottom w:val="none" w:sz="0" w:space="0" w:color="auto"/>
        <w:right w:val="none" w:sz="0" w:space="0" w:color="auto"/>
      </w:divBdr>
    </w:div>
    <w:div w:id="1593008939">
      <w:bodyDiv w:val="1"/>
      <w:marLeft w:val="0"/>
      <w:marRight w:val="0"/>
      <w:marTop w:val="0"/>
      <w:marBottom w:val="0"/>
      <w:divBdr>
        <w:top w:val="none" w:sz="0" w:space="0" w:color="auto"/>
        <w:left w:val="none" w:sz="0" w:space="0" w:color="auto"/>
        <w:bottom w:val="none" w:sz="0" w:space="0" w:color="auto"/>
        <w:right w:val="none" w:sz="0" w:space="0" w:color="auto"/>
      </w:divBdr>
    </w:div>
    <w:div w:id="1593779657">
      <w:bodyDiv w:val="1"/>
      <w:marLeft w:val="0"/>
      <w:marRight w:val="0"/>
      <w:marTop w:val="0"/>
      <w:marBottom w:val="0"/>
      <w:divBdr>
        <w:top w:val="none" w:sz="0" w:space="0" w:color="auto"/>
        <w:left w:val="none" w:sz="0" w:space="0" w:color="auto"/>
        <w:bottom w:val="none" w:sz="0" w:space="0" w:color="auto"/>
        <w:right w:val="none" w:sz="0" w:space="0" w:color="auto"/>
      </w:divBdr>
    </w:div>
    <w:div w:id="1594126310">
      <w:bodyDiv w:val="1"/>
      <w:marLeft w:val="0"/>
      <w:marRight w:val="0"/>
      <w:marTop w:val="0"/>
      <w:marBottom w:val="0"/>
      <w:divBdr>
        <w:top w:val="none" w:sz="0" w:space="0" w:color="auto"/>
        <w:left w:val="none" w:sz="0" w:space="0" w:color="auto"/>
        <w:bottom w:val="none" w:sz="0" w:space="0" w:color="auto"/>
        <w:right w:val="none" w:sz="0" w:space="0" w:color="auto"/>
      </w:divBdr>
    </w:div>
    <w:div w:id="1594313627">
      <w:bodyDiv w:val="1"/>
      <w:marLeft w:val="0"/>
      <w:marRight w:val="0"/>
      <w:marTop w:val="0"/>
      <w:marBottom w:val="0"/>
      <w:divBdr>
        <w:top w:val="none" w:sz="0" w:space="0" w:color="auto"/>
        <w:left w:val="none" w:sz="0" w:space="0" w:color="auto"/>
        <w:bottom w:val="none" w:sz="0" w:space="0" w:color="auto"/>
        <w:right w:val="none" w:sz="0" w:space="0" w:color="auto"/>
      </w:divBdr>
    </w:div>
    <w:div w:id="1594628891">
      <w:bodyDiv w:val="1"/>
      <w:marLeft w:val="0"/>
      <w:marRight w:val="0"/>
      <w:marTop w:val="0"/>
      <w:marBottom w:val="0"/>
      <w:divBdr>
        <w:top w:val="none" w:sz="0" w:space="0" w:color="auto"/>
        <w:left w:val="none" w:sz="0" w:space="0" w:color="auto"/>
        <w:bottom w:val="none" w:sz="0" w:space="0" w:color="auto"/>
        <w:right w:val="none" w:sz="0" w:space="0" w:color="auto"/>
      </w:divBdr>
    </w:div>
    <w:div w:id="1594777993">
      <w:bodyDiv w:val="1"/>
      <w:marLeft w:val="0"/>
      <w:marRight w:val="0"/>
      <w:marTop w:val="0"/>
      <w:marBottom w:val="0"/>
      <w:divBdr>
        <w:top w:val="none" w:sz="0" w:space="0" w:color="auto"/>
        <w:left w:val="none" w:sz="0" w:space="0" w:color="auto"/>
        <w:bottom w:val="none" w:sz="0" w:space="0" w:color="auto"/>
        <w:right w:val="none" w:sz="0" w:space="0" w:color="auto"/>
      </w:divBdr>
    </w:div>
    <w:div w:id="1595043837">
      <w:bodyDiv w:val="1"/>
      <w:marLeft w:val="0"/>
      <w:marRight w:val="0"/>
      <w:marTop w:val="0"/>
      <w:marBottom w:val="0"/>
      <w:divBdr>
        <w:top w:val="none" w:sz="0" w:space="0" w:color="auto"/>
        <w:left w:val="none" w:sz="0" w:space="0" w:color="auto"/>
        <w:bottom w:val="none" w:sz="0" w:space="0" w:color="auto"/>
        <w:right w:val="none" w:sz="0" w:space="0" w:color="auto"/>
      </w:divBdr>
    </w:div>
    <w:div w:id="1595170708">
      <w:bodyDiv w:val="1"/>
      <w:marLeft w:val="0"/>
      <w:marRight w:val="0"/>
      <w:marTop w:val="0"/>
      <w:marBottom w:val="0"/>
      <w:divBdr>
        <w:top w:val="none" w:sz="0" w:space="0" w:color="auto"/>
        <w:left w:val="none" w:sz="0" w:space="0" w:color="auto"/>
        <w:bottom w:val="none" w:sz="0" w:space="0" w:color="auto"/>
        <w:right w:val="none" w:sz="0" w:space="0" w:color="auto"/>
      </w:divBdr>
    </w:div>
    <w:div w:id="1595359707">
      <w:bodyDiv w:val="1"/>
      <w:marLeft w:val="0"/>
      <w:marRight w:val="0"/>
      <w:marTop w:val="0"/>
      <w:marBottom w:val="0"/>
      <w:divBdr>
        <w:top w:val="none" w:sz="0" w:space="0" w:color="auto"/>
        <w:left w:val="none" w:sz="0" w:space="0" w:color="auto"/>
        <w:bottom w:val="none" w:sz="0" w:space="0" w:color="auto"/>
        <w:right w:val="none" w:sz="0" w:space="0" w:color="auto"/>
      </w:divBdr>
    </w:div>
    <w:div w:id="1595943612">
      <w:bodyDiv w:val="1"/>
      <w:marLeft w:val="0"/>
      <w:marRight w:val="0"/>
      <w:marTop w:val="0"/>
      <w:marBottom w:val="0"/>
      <w:divBdr>
        <w:top w:val="none" w:sz="0" w:space="0" w:color="auto"/>
        <w:left w:val="none" w:sz="0" w:space="0" w:color="auto"/>
        <w:bottom w:val="none" w:sz="0" w:space="0" w:color="auto"/>
        <w:right w:val="none" w:sz="0" w:space="0" w:color="auto"/>
      </w:divBdr>
    </w:div>
    <w:div w:id="1597057282">
      <w:bodyDiv w:val="1"/>
      <w:marLeft w:val="0"/>
      <w:marRight w:val="0"/>
      <w:marTop w:val="0"/>
      <w:marBottom w:val="0"/>
      <w:divBdr>
        <w:top w:val="none" w:sz="0" w:space="0" w:color="auto"/>
        <w:left w:val="none" w:sz="0" w:space="0" w:color="auto"/>
        <w:bottom w:val="none" w:sz="0" w:space="0" w:color="auto"/>
        <w:right w:val="none" w:sz="0" w:space="0" w:color="auto"/>
      </w:divBdr>
    </w:div>
    <w:div w:id="1597324690">
      <w:bodyDiv w:val="1"/>
      <w:marLeft w:val="0"/>
      <w:marRight w:val="0"/>
      <w:marTop w:val="0"/>
      <w:marBottom w:val="0"/>
      <w:divBdr>
        <w:top w:val="none" w:sz="0" w:space="0" w:color="auto"/>
        <w:left w:val="none" w:sz="0" w:space="0" w:color="auto"/>
        <w:bottom w:val="none" w:sz="0" w:space="0" w:color="auto"/>
        <w:right w:val="none" w:sz="0" w:space="0" w:color="auto"/>
      </w:divBdr>
    </w:div>
    <w:div w:id="1597596360">
      <w:bodyDiv w:val="1"/>
      <w:marLeft w:val="0"/>
      <w:marRight w:val="0"/>
      <w:marTop w:val="0"/>
      <w:marBottom w:val="0"/>
      <w:divBdr>
        <w:top w:val="none" w:sz="0" w:space="0" w:color="auto"/>
        <w:left w:val="none" w:sz="0" w:space="0" w:color="auto"/>
        <w:bottom w:val="none" w:sz="0" w:space="0" w:color="auto"/>
        <w:right w:val="none" w:sz="0" w:space="0" w:color="auto"/>
      </w:divBdr>
    </w:div>
    <w:div w:id="1597975498">
      <w:bodyDiv w:val="1"/>
      <w:marLeft w:val="0"/>
      <w:marRight w:val="0"/>
      <w:marTop w:val="0"/>
      <w:marBottom w:val="0"/>
      <w:divBdr>
        <w:top w:val="none" w:sz="0" w:space="0" w:color="auto"/>
        <w:left w:val="none" w:sz="0" w:space="0" w:color="auto"/>
        <w:bottom w:val="none" w:sz="0" w:space="0" w:color="auto"/>
        <w:right w:val="none" w:sz="0" w:space="0" w:color="auto"/>
      </w:divBdr>
    </w:div>
    <w:div w:id="1598175530">
      <w:bodyDiv w:val="1"/>
      <w:marLeft w:val="0"/>
      <w:marRight w:val="0"/>
      <w:marTop w:val="0"/>
      <w:marBottom w:val="0"/>
      <w:divBdr>
        <w:top w:val="none" w:sz="0" w:space="0" w:color="auto"/>
        <w:left w:val="none" w:sz="0" w:space="0" w:color="auto"/>
        <w:bottom w:val="none" w:sz="0" w:space="0" w:color="auto"/>
        <w:right w:val="none" w:sz="0" w:space="0" w:color="auto"/>
      </w:divBdr>
    </w:div>
    <w:div w:id="1599018232">
      <w:bodyDiv w:val="1"/>
      <w:marLeft w:val="0"/>
      <w:marRight w:val="0"/>
      <w:marTop w:val="0"/>
      <w:marBottom w:val="0"/>
      <w:divBdr>
        <w:top w:val="none" w:sz="0" w:space="0" w:color="auto"/>
        <w:left w:val="none" w:sz="0" w:space="0" w:color="auto"/>
        <w:bottom w:val="none" w:sz="0" w:space="0" w:color="auto"/>
        <w:right w:val="none" w:sz="0" w:space="0" w:color="auto"/>
      </w:divBdr>
    </w:div>
    <w:div w:id="1599562828">
      <w:bodyDiv w:val="1"/>
      <w:marLeft w:val="0"/>
      <w:marRight w:val="0"/>
      <w:marTop w:val="0"/>
      <w:marBottom w:val="0"/>
      <w:divBdr>
        <w:top w:val="none" w:sz="0" w:space="0" w:color="auto"/>
        <w:left w:val="none" w:sz="0" w:space="0" w:color="auto"/>
        <w:bottom w:val="none" w:sz="0" w:space="0" w:color="auto"/>
        <w:right w:val="none" w:sz="0" w:space="0" w:color="auto"/>
      </w:divBdr>
    </w:div>
    <w:div w:id="1601110618">
      <w:bodyDiv w:val="1"/>
      <w:marLeft w:val="0"/>
      <w:marRight w:val="0"/>
      <w:marTop w:val="0"/>
      <w:marBottom w:val="0"/>
      <w:divBdr>
        <w:top w:val="none" w:sz="0" w:space="0" w:color="auto"/>
        <w:left w:val="none" w:sz="0" w:space="0" w:color="auto"/>
        <w:bottom w:val="none" w:sz="0" w:space="0" w:color="auto"/>
        <w:right w:val="none" w:sz="0" w:space="0" w:color="auto"/>
      </w:divBdr>
    </w:div>
    <w:div w:id="1603221453">
      <w:bodyDiv w:val="1"/>
      <w:marLeft w:val="0"/>
      <w:marRight w:val="0"/>
      <w:marTop w:val="0"/>
      <w:marBottom w:val="0"/>
      <w:divBdr>
        <w:top w:val="none" w:sz="0" w:space="0" w:color="auto"/>
        <w:left w:val="none" w:sz="0" w:space="0" w:color="auto"/>
        <w:bottom w:val="none" w:sz="0" w:space="0" w:color="auto"/>
        <w:right w:val="none" w:sz="0" w:space="0" w:color="auto"/>
      </w:divBdr>
      <w:divsChild>
        <w:div w:id="1915773137">
          <w:marLeft w:val="0"/>
          <w:marRight w:val="0"/>
          <w:marTop w:val="0"/>
          <w:marBottom w:val="0"/>
          <w:divBdr>
            <w:top w:val="none" w:sz="0" w:space="0" w:color="auto"/>
            <w:left w:val="none" w:sz="0" w:space="0" w:color="auto"/>
            <w:bottom w:val="none" w:sz="0" w:space="0" w:color="auto"/>
            <w:right w:val="none" w:sz="0" w:space="0" w:color="auto"/>
          </w:divBdr>
        </w:div>
      </w:divsChild>
    </w:div>
    <w:div w:id="1603223574">
      <w:bodyDiv w:val="1"/>
      <w:marLeft w:val="0"/>
      <w:marRight w:val="0"/>
      <w:marTop w:val="0"/>
      <w:marBottom w:val="0"/>
      <w:divBdr>
        <w:top w:val="none" w:sz="0" w:space="0" w:color="auto"/>
        <w:left w:val="none" w:sz="0" w:space="0" w:color="auto"/>
        <w:bottom w:val="none" w:sz="0" w:space="0" w:color="auto"/>
        <w:right w:val="none" w:sz="0" w:space="0" w:color="auto"/>
      </w:divBdr>
    </w:div>
    <w:div w:id="1603606264">
      <w:bodyDiv w:val="1"/>
      <w:marLeft w:val="0"/>
      <w:marRight w:val="0"/>
      <w:marTop w:val="0"/>
      <w:marBottom w:val="0"/>
      <w:divBdr>
        <w:top w:val="none" w:sz="0" w:space="0" w:color="auto"/>
        <w:left w:val="none" w:sz="0" w:space="0" w:color="auto"/>
        <w:bottom w:val="none" w:sz="0" w:space="0" w:color="auto"/>
        <w:right w:val="none" w:sz="0" w:space="0" w:color="auto"/>
      </w:divBdr>
    </w:div>
    <w:div w:id="1604268228">
      <w:bodyDiv w:val="1"/>
      <w:marLeft w:val="0"/>
      <w:marRight w:val="0"/>
      <w:marTop w:val="0"/>
      <w:marBottom w:val="0"/>
      <w:divBdr>
        <w:top w:val="none" w:sz="0" w:space="0" w:color="auto"/>
        <w:left w:val="none" w:sz="0" w:space="0" w:color="auto"/>
        <w:bottom w:val="none" w:sz="0" w:space="0" w:color="auto"/>
        <w:right w:val="none" w:sz="0" w:space="0" w:color="auto"/>
      </w:divBdr>
    </w:div>
    <w:div w:id="1605766760">
      <w:bodyDiv w:val="1"/>
      <w:marLeft w:val="0"/>
      <w:marRight w:val="0"/>
      <w:marTop w:val="0"/>
      <w:marBottom w:val="0"/>
      <w:divBdr>
        <w:top w:val="none" w:sz="0" w:space="0" w:color="auto"/>
        <w:left w:val="none" w:sz="0" w:space="0" w:color="auto"/>
        <w:bottom w:val="none" w:sz="0" w:space="0" w:color="auto"/>
        <w:right w:val="none" w:sz="0" w:space="0" w:color="auto"/>
      </w:divBdr>
    </w:div>
    <w:div w:id="1609119082">
      <w:bodyDiv w:val="1"/>
      <w:marLeft w:val="0"/>
      <w:marRight w:val="0"/>
      <w:marTop w:val="0"/>
      <w:marBottom w:val="0"/>
      <w:divBdr>
        <w:top w:val="none" w:sz="0" w:space="0" w:color="auto"/>
        <w:left w:val="none" w:sz="0" w:space="0" w:color="auto"/>
        <w:bottom w:val="none" w:sz="0" w:space="0" w:color="auto"/>
        <w:right w:val="none" w:sz="0" w:space="0" w:color="auto"/>
      </w:divBdr>
    </w:div>
    <w:div w:id="1609847318">
      <w:bodyDiv w:val="1"/>
      <w:marLeft w:val="0"/>
      <w:marRight w:val="0"/>
      <w:marTop w:val="0"/>
      <w:marBottom w:val="0"/>
      <w:divBdr>
        <w:top w:val="none" w:sz="0" w:space="0" w:color="auto"/>
        <w:left w:val="none" w:sz="0" w:space="0" w:color="auto"/>
        <w:bottom w:val="none" w:sz="0" w:space="0" w:color="auto"/>
        <w:right w:val="none" w:sz="0" w:space="0" w:color="auto"/>
      </w:divBdr>
      <w:divsChild>
        <w:div w:id="934898231">
          <w:marLeft w:val="0"/>
          <w:marRight w:val="0"/>
          <w:marTop w:val="0"/>
          <w:marBottom w:val="0"/>
          <w:divBdr>
            <w:top w:val="none" w:sz="0" w:space="0" w:color="auto"/>
            <w:left w:val="none" w:sz="0" w:space="0" w:color="auto"/>
            <w:bottom w:val="none" w:sz="0" w:space="0" w:color="auto"/>
            <w:right w:val="none" w:sz="0" w:space="0" w:color="auto"/>
          </w:divBdr>
        </w:div>
      </w:divsChild>
    </w:div>
    <w:div w:id="1611233957">
      <w:bodyDiv w:val="1"/>
      <w:marLeft w:val="0"/>
      <w:marRight w:val="0"/>
      <w:marTop w:val="0"/>
      <w:marBottom w:val="0"/>
      <w:divBdr>
        <w:top w:val="none" w:sz="0" w:space="0" w:color="auto"/>
        <w:left w:val="none" w:sz="0" w:space="0" w:color="auto"/>
        <w:bottom w:val="none" w:sz="0" w:space="0" w:color="auto"/>
        <w:right w:val="none" w:sz="0" w:space="0" w:color="auto"/>
      </w:divBdr>
    </w:div>
    <w:div w:id="1612391549">
      <w:bodyDiv w:val="1"/>
      <w:marLeft w:val="0"/>
      <w:marRight w:val="0"/>
      <w:marTop w:val="0"/>
      <w:marBottom w:val="0"/>
      <w:divBdr>
        <w:top w:val="none" w:sz="0" w:space="0" w:color="auto"/>
        <w:left w:val="none" w:sz="0" w:space="0" w:color="auto"/>
        <w:bottom w:val="none" w:sz="0" w:space="0" w:color="auto"/>
        <w:right w:val="none" w:sz="0" w:space="0" w:color="auto"/>
      </w:divBdr>
    </w:div>
    <w:div w:id="1612400936">
      <w:bodyDiv w:val="1"/>
      <w:marLeft w:val="0"/>
      <w:marRight w:val="0"/>
      <w:marTop w:val="0"/>
      <w:marBottom w:val="0"/>
      <w:divBdr>
        <w:top w:val="none" w:sz="0" w:space="0" w:color="auto"/>
        <w:left w:val="none" w:sz="0" w:space="0" w:color="auto"/>
        <w:bottom w:val="none" w:sz="0" w:space="0" w:color="auto"/>
        <w:right w:val="none" w:sz="0" w:space="0" w:color="auto"/>
      </w:divBdr>
    </w:div>
    <w:div w:id="1613124106">
      <w:bodyDiv w:val="1"/>
      <w:marLeft w:val="0"/>
      <w:marRight w:val="0"/>
      <w:marTop w:val="0"/>
      <w:marBottom w:val="0"/>
      <w:divBdr>
        <w:top w:val="none" w:sz="0" w:space="0" w:color="auto"/>
        <w:left w:val="none" w:sz="0" w:space="0" w:color="auto"/>
        <w:bottom w:val="none" w:sz="0" w:space="0" w:color="auto"/>
        <w:right w:val="none" w:sz="0" w:space="0" w:color="auto"/>
      </w:divBdr>
    </w:div>
    <w:div w:id="1613125153">
      <w:bodyDiv w:val="1"/>
      <w:marLeft w:val="0"/>
      <w:marRight w:val="0"/>
      <w:marTop w:val="0"/>
      <w:marBottom w:val="0"/>
      <w:divBdr>
        <w:top w:val="none" w:sz="0" w:space="0" w:color="auto"/>
        <w:left w:val="none" w:sz="0" w:space="0" w:color="auto"/>
        <w:bottom w:val="none" w:sz="0" w:space="0" w:color="auto"/>
        <w:right w:val="none" w:sz="0" w:space="0" w:color="auto"/>
      </w:divBdr>
    </w:div>
    <w:div w:id="1613240698">
      <w:bodyDiv w:val="1"/>
      <w:marLeft w:val="0"/>
      <w:marRight w:val="0"/>
      <w:marTop w:val="0"/>
      <w:marBottom w:val="0"/>
      <w:divBdr>
        <w:top w:val="none" w:sz="0" w:space="0" w:color="auto"/>
        <w:left w:val="none" w:sz="0" w:space="0" w:color="auto"/>
        <w:bottom w:val="none" w:sz="0" w:space="0" w:color="auto"/>
        <w:right w:val="none" w:sz="0" w:space="0" w:color="auto"/>
      </w:divBdr>
    </w:div>
    <w:div w:id="1613781797">
      <w:bodyDiv w:val="1"/>
      <w:marLeft w:val="0"/>
      <w:marRight w:val="0"/>
      <w:marTop w:val="0"/>
      <w:marBottom w:val="0"/>
      <w:divBdr>
        <w:top w:val="none" w:sz="0" w:space="0" w:color="auto"/>
        <w:left w:val="none" w:sz="0" w:space="0" w:color="auto"/>
        <w:bottom w:val="none" w:sz="0" w:space="0" w:color="auto"/>
        <w:right w:val="none" w:sz="0" w:space="0" w:color="auto"/>
      </w:divBdr>
    </w:div>
    <w:div w:id="1613975822">
      <w:bodyDiv w:val="1"/>
      <w:marLeft w:val="0"/>
      <w:marRight w:val="0"/>
      <w:marTop w:val="0"/>
      <w:marBottom w:val="0"/>
      <w:divBdr>
        <w:top w:val="none" w:sz="0" w:space="0" w:color="auto"/>
        <w:left w:val="none" w:sz="0" w:space="0" w:color="auto"/>
        <w:bottom w:val="none" w:sz="0" w:space="0" w:color="auto"/>
        <w:right w:val="none" w:sz="0" w:space="0" w:color="auto"/>
      </w:divBdr>
    </w:div>
    <w:div w:id="1615400749">
      <w:bodyDiv w:val="1"/>
      <w:marLeft w:val="0"/>
      <w:marRight w:val="0"/>
      <w:marTop w:val="0"/>
      <w:marBottom w:val="0"/>
      <w:divBdr>
        <w:top w:val="none" w:sz="0" w:space="0" w:color="auto"/>
        <w:left w:val="none" w:sz="0" w:space="0" w:color="auto"/>
        <w:bottom w:val="none" w:sz="0" w:space="0" w:color="auto"/>
        <w:right w:val="none" w:sz="0" w:space="0" w:color="auto"/>
      </w:divBdr>
    </w:div>
    <w:div w:id="1615474882">
      <w:bodyDiv w:val="1"/>
      <w:marLeft w:val="0"/>
      <w:marRight w:val="0"/>
      <w:marTop w:val="0"/>
      <w:marBottom w:val="0"/>
      <w:divBdr>
        <w:top w:val="none" w:sz="0" w:space="0" w:color="auto"/>
        <w:left w:val="none" w:sz="0" w:space="0" w:color="auto"/>
        <w:bottom w:val="none" w:sz="0" w:space="0" w:color="auto"/>
        <w:right w:val="none" w:sz="0" w:space="0" w:color="auto"/>
      </w:divBdr>
    </w:div>
    <w:div w:id="1615480020">
      <w:bodyDiv w:val="1"/>
      <w:marLeft w:val="0"/>
      <w:marRight w:val="0"/>
      <w:marTop w:val="0"/>
      <w:marBottom w:val="0"/>
      <w:divBdr>
        <w:top w:val="none" w:sz="0" w:space="0" w:color="auto"/>
        <w:left w:val="none" w:sz="0" w:space="0" w:color="auto"/>
        <w:bottom w:val="none" w:sz="0" w:space="0" w:color="auto"/>
        <w:right w:val="none" w:sz="0" w:space="0" w:color="auto"/>
      </w:divBdr>
    </w:div>
    <w:div w:id="1615743983">
      <w:bodyDiv w:val="1"/>
      <w:marLeft w:val="0"/>
      <w:marRight w:val="0"/>
      <w:marTop w:val="0"/>
      <w:marBottom w:val="0"/>
      <w:divBdr>
        <w:top w:val="none" w:sz="0" w:space="0" w:color="auto"/>
        <w:left w:val="none" w:sz="0" w:space="0" w:color="auto"/>
        <w:bottom w:val="none" w:sz="0" w:space="0" w:color="auto"/>
        <w:right w:val="none" w:sz="0" w:space="0" w:color="auto"/>
      </w:divBdr>
    </w:div>
    <w:div w:id="1615792196">
      <w:bodyDiv w:val="1"/>
      <w:marLeft w:val="0"/>
      <w:marRight w:val="0"/>
      <w:marTop w:val="0"/>
      <w:marBottom w:val="0"/>
      <w:divBdr>
        <w:top w:val="none" w:sz="0" w:space="0" w:color="auto"/>
        <w:left w:val="none" w:sz="0" w:space="0" w:color="auto"/>
        <w:bottom w:val="none" w:sz="0" w:space="0" w:color="auto"/>
        <w:right w:val="none" w:sz="0" w:space="0" w:color="auto"/>
      </w:divBdr>
    </w:div>
    <w:div w:id="1616250019">
      <w:bodyDiv w:val="1"/>
      <w:marLeft w:val="0"/>
      <w:marRight w:val="0"/>
      <w:marTop w:val="0"/>
      <w:marBottom w:val="0"/>
      <w:divBdr>
        <w:top w:val="none" w:sz="0" w:space="0" w:color="auto"/>
        <w:left w:val="none" w:sz="0" w:space="0" w:color="auto"/>
        <w:bottom w:val="none" w:sz="0" w:space="0" w:color="auto"/>
        <w:right w:val="none" w:sz="0" w:space="0" w:color="auto"/>
      </w:divBdr>
    </w:div>
    <w:div w:id="1616794593">
      <w:bodyDiv w:val="1"/>
      <w:marLeft w:val="0"/>
      <w:marRight w:val="0"/>
      <w:marTop w:val="0"/>
      <w:marBottom w:val="0"/>
      <w:divBdr>
        <w:top w:val="none" w:sz="0" w:space="0" w:color="auto"/>
        <w:left w:val="none" w:sz="0" w:space="0" w:color="auto"/>
        <w:bottom w:val="none" w:sz="0" w:space="0" w:color="auto"/>
        <w:right w:val="none" w:sz="0" w:space="0" w:color="auto"/>
      </w:divBdr>
    </w:div>
    <w:div w:id="1616904839">
      <w:bodyDiv w:val="1"/>
      <w:marLeft w:val="0"/>
      <w:marRight w:val="0"/>
      <w:marTop w:val="0"/>
      <w:marBottom w:val="0"/>
      <w:divBdr>
        <w:top w:val="none" w:sz="0" w:space="0" w:color="auto"/>
        <w:left w:val="none" w:sz="0" w:space="0" w:color="auto"/>
        <w:bottom w:val="none" w:sz="0" w:space="0" w:color="auto"/>
        <w:right w:val="none" w:sz="0" w:space="0" w:color="auto"/>
      </w:divBdr>
    </w:div>
    <w:div w:id="1617252533">
      <w:bodyDiv w:val="1"/>
      <w:marLeft w:val="0"/>
      <w:marRight w:val="0"/>
      <w:marTop w:val="0"/>
      <w:marBottom w:val="0"/>
      <w:divBdr>
        <w:top w:val="none" w:sz="0" w:space="0" w:color="auto"/>
        <w:left w:val="none" w:sz="0" w:space="0" w:color="auto"/>
        <w:bottom w:val="none" w:sz="0" w:space="0" w:color="auto"/>
        <w:right w:val="none" w:sz="0" w:space="0" w:color="auto"/>
      </w:divBdr>
    </w:div>
    <w:div w:id="1617447674">
      <w:bodyDiv w:val="1"/>
      <w:marLeft w:val="0"/>
      <w:marRight w:val="0"/>
      <w:marTop w:val="0"/>
      <w:marBottom w:val="0"/>
      <w:divBdr>
        <w:top w:val="none" w:sz="0" w:space="0" w:color="auto"/>
        <w:left w:val="none" w:sz="0" w:space="0" w:color="auto"/>
        <w:bottom w:val="none" w:sz="0" w:space="0" w:color="auto"/>
        <w:right w:val="none" w:sz="0" w:space="0" w:color="auto"/>
      </w:divBdr>
    </w:div>
    <w:div w:id="1618024341">
      <w:bodyDiv w:val="1"/>
      <w:marLeft w:val="0"/>
      <w:marRight w:val="0"/>
      <w:marTop w:val="0"/>
      <w:marBottom w:val="0"/>
      <w:divBdr>
        <w:top w:val="none" w:sz="0" w:space="0" w:color="auto"/>
        <w:left w:val="none" w:sz="0" w:space="0" w:color="auto"/>
        <w:bottom w:val="none" w:sz="0" w:space="0" w:color="auto"/>
        <w:right w:val="none" w:sz="0" w:space="0" w:color="auto"/>
      </w:divBdr>
    </w:div>
    <w:div w:id="1618100974">
      <w:bodyDiv w:val="1"/>
      <w:marLeft w:val="0"/>
      <w:marRight w:val="0"/>
      <w:marTop w:val="0"/>
      <w:marBottom w:val="0"/>
      <w:divBdr>
        <w:top w:val="none" w:sz="0" w:space="0" w:color="auto"/>
        <w:left w:val="none" w:sz="0" w:space="0" w:color="auto"/>
        <w:bottom w:val="none" w:sz="0" w:space="0" w:color="auto"/>
        <w:right w:val="none" w:sz="0" w:space="0" w:color="auto"/>
      </w:divBdr>
    </w:div>
    <w:div w:id="1619138723">
      <w:bodyDiv w:val="1"/>
      <w:marLeft w:val="0"/>
      <w:marRight w:val="0"/>
      <w:marTop w:val="0"/>
      <w:marBottom w:val="0"/>
      <w:divBdr>
        <w:top w:val="none" w:sz="0" w:space="0" w:color="auto"/>
        <w:left w:val="none" w:sz="0" w:space="0" w:color="auto"/>
        <w:bottom w:val="none" w:sz="0" w:space="0" w:color="auto"/>
        <w:right w:val="none" w:sz="0" w:space="0" w:color="auto"/>
      </w:divBdr>
    </w:div>
    <w:div w:id="1619294858">
      <w:bodyDiv w:val="1"/>
      <w:marLeft w:val="0"/>
      <w:marRight w:val="0"/>
      <w:marTop w:val="0"/>
      <w:marBottom w:val="0"/>
      <w:divBdr>
        <w:top w:val="none" w:sz="0" w:space="0" w:color="auto"/>
        <w:left w:val="none" w:sz="0" w:space="0" w:color="auto"/>
        <w:bottom w:val="none" w:sz="0" w:space="0" w:color="auto"/>
        <w:right w:val="none" w:sz="0" w:space="0" w:color="auto"/>
      </w:divBdr>
    </w:div>
    <w:div w:id="1620526778">
      <w:bodyDiv w:val="1"/>
      <w:marLeft w:val="0"/>
      <w:marRight w:val="0"/>
      <w:marTop w:val="0"/>
      <w:marBottom w:val="0"/>
      <w:divBdr>
        <w:top w:val="none" w:sz="0" w:space="0" w:color="auto"/>
        <w:left w:val="none" w:sz="0" w:space="0" w:color="auto"/>
        <w:bottom w:val="none" w:sz="0" w:space="0" w:color="auto"/>
        <w:right w:val="none" w:sz="0" w:space="0" w:color="auto"/>
      </w:divBdr>
    </w:div>
    <w:div w:id="1621960175">
      <w:bodyDiv w:val="1"/>
      <w:marLeft w:val="0"/>
      <w:marRight w:val="0"/>
      <w:marTop w:val="0"/>
      <w:marBottom w:val="0"/>
      <w:divBdr>
        <w:top w:val="none" w:sz="0" w:space="0" w:color="auto"/>
        <w:left w:val="none" w:sz="0" w:space="0" w:color="auto"/>
        <w:bottom w:val="none" w:sz="0" w:space="0" w:color="auto"/>
        <w:right w:val="none" w:sz="0" w:space="0" w:color="auto"/>
      </w:divBdr>
    </w:div>
    <w:div w:id="1624189415">
      <w:bodyDiv w:val="1"/>
      <w:marLeft w:val="0"/>
      <w:marRight w:val="0"/>
      <w:marTop w:val="0"/>
      <w:marBottom w:val="0"/>
      <w:divBdr>
        <w:top w:val="none" w:sz="0" w:space="0" w:color="auto"/>
        <w:left w:val="none" w:sz="0" w:space="0" w:color="auto"/>
        <w:bottom w:val="none" w:sz="0" w:space="0" w:color="auto"/>
        <w:right w:val="none" w:sz="0" w:space="0" w:color="auto"/>
      </w:divBdr>
    </w:div>
    <w:div w:id="1624194129">
      <w:marLeft w:val="0"/>
      <w:marRight w:val="0"/>
      <w:marTop w:val="0"/>
      <w:marBottom w:val="0"/>
      <w:divBdr>
        <w:top w:val="none" w:sz="0" w:space="0" w:color="auto"/>
        <w:left w:val="none" w:sz="0" w:space="0" w:color="auto"/>
        <w:bottom w:val="none" w:sz="0" w:space="0" w:color="auto"/>
        <w:right w:val="none" w:sz="0" w:space="0" w:color="auto"/>
      </w:divBdr>
    </w:div>
    <w:div w:id="1624194130">
      <w:marLeft w:val="0"/>
      <w:marRight w:val="0"/>
      <w:marTop w:val="0"/>
      <w:marBottom w:val="0"/>
      <w:divBdr>
        <w:top w:val="none" w:sz="0" w:space="0" w:color="auto"/>
        <w:left w:val="none" w:sz="0" w:space="0" w:color="auto"/>
        <w:bottom w:val="none" w:sz="0" w:space="0" w:color="auto"/>
        <w:right w:val="none" w:sz="0" w:space="0" w:color="auto"/>
      </w:divBdr>
    </w:div>
    <w:div w:id="1624194131">
      <w:marLeft w:val="0"/>
      <w:marRight w:val="0"/>
      <w:marTop w:val="0"/>
      <w:marBottom w:val="0"/>
      <w:divBdr>
        <w:top w:val="none" w:sz="0" w:space="0" w:color="auto"/>
        <w:left w:val="none" w:sz="0" w:space="0" w:color="auto"/>
        <w:bottom w:val="none" w:sz="0" w:space="0" w:color="auto"/>
        <w:right w:val="none" w:sz="0" w:space="0" w:color="auto"/>
      </w:divBdr>
    </w:div>
    <w:div w:id="1624194132">
      <w:marLeft w:val="0"/>
      <w:marRight w:val="0"/>
      <w:marTop w:val="0"/>
      <w:marBottom w:val="0"/>
      <w:divBdr>
        <w:top w:val="none" w:sz="0" w:space="0" w:color="auto"/>
        <w:left w:val="none" w:sz="0" w:space="0" w:color="auto"/>
        <w:bottom w:val="none" w:sz="0" w:space="0" w:color="auto"/>
        <w:right w:val="none" w:sz="0" w:space="0" w:color="auto"/>
      </w:divBdr>
    </w:div>
    <w:div w:id="1624194133">
      <w:marLeft w:val="0"/>
      <w:marRight w:val="0"/>
      <w:marTop w:val="0"/>
      <w:marBottom w:val="0"/>
      <w:divBdr>
        <w:top w:val="none" w:sz="0" w:space="0" w:color="auto"/>
        <w:left w:val="none" w:sz="0" w:space="0" w:color="auto"/>
        <w:bottom w:val="none" w:sz="0" w:space="0" w:color="auto"/>
        <w:right w:val="none" w:sz="0" w:space="0" w:color="auto"/>
      </w:divBdr>
    </w:div>
    <w:div w:id="1624194134">
      <w:marLeft w:val="0"/>
      <w:marRight w:val="0"/>
      <w:marTop w:val="0"/>
      <w:marBottom w:val="0"/>
      <w:divBdr>
        <w:top w:val="none" w:sz="0" w:space="0" w:color="auto"/>
        <w:left w:val="none" w:sz="0" w:space="0" w:color="auto"/>
        <w:bottom w:val="none" w:sz="0" w:space="0" w:color="auto"/>
        <w:right w:val="none" w:sz="0" w:space="0" w:color="auto"/>
      </w:divBdr>
    </w:div>
    <w:div w:id="1624194135">
      <w:marLeft w:val="0"/>
      <w:marRight w:val="0"/>
      <w:marTop w:val="0"/>
      <w:marBottom w:val="0"/>
      <w:divBdr>
        <w:top w:val="none" w:sz="0" w:space="0" w:color="auto"/>
        <w:left w:val="none" w:sz="0" w:space="0" w:color="auto"/>
        <w:bottom w:val="none" w:sz="0" w:space="0" w:color="auto"/>
        <w:right w:val="none" w:sz="0" w:space="0" w:color="auto"/>
      </w:divBdr>
    </w:div>
    <w:div w:id="1624194136">
      <w:marLeft w:val="0"/>
      <w:marRight w:val="0"/>
      <w:marTop w:val="0"/>
      <w:marBottom w:val="0"/>
      <w:divBdr>
        <w:top w:val="none" w:sz="0" w:space="0" w:color="auto"/>
        <w:left w:val="none" w:sz="0" w:space="0" w:color="auto"/>
        <w:bottom w:val="none" w:sz="0" w:space="0" w:color="auto"/>
        <w:right w:val="none" w:sz="0" w:space="0" w:color="auto"/>
      </w:divBdr>
    </w:div>
    <w:div w:id="1624194137">
      <w:marLeft w:val="0"/>
      <w:marRight w:val="0"/>
      <w:marTop w:val="0"/>
      <w:marBottom w:val="0"/>
      <w:divBdr>
        <w:top w:val="none" w:sz="0" w:space="0" w:color="auto"/>
        <w:left w:val="none" w:sz="0" w:space="0" w:color="auto"/>
        <w:bottom w:val="none" w:sz="0" w:space="0" w:color="auto"/>
        <w:right w:val="none" w:sz="0" w:space="0" w:color="auto"/>
      </w:divBdr>
    </w:div>
    <w:div w:id="1624194138">
      <w:marLeft w:val="0"/>
      <w:marRight w:val="0"/>
      <w:marTop w:val="0"/>
      <w:marBottom w:val="0"/>
      <w:divBdr>
        <w:top w:val="none" w:sz="0" w:space="0" w:color="auto"/>
        <w:left w:val="none" w:sz="0" w:space="0" w:color="auto"/>
        <w:bottom w:val="none" w:sz="0" w:space="0" w:color="auto"/>
        <w:right w:val="none" w:sz="0" w:space="0" w:color="auto"/>
      </w:divBdr>
    </w:div>
    <w:div w:id="1624194139">
      <w:marLeft w:val="0"/>
      <w:marRight w:val="0"/>
      <w:marTop w:val="0"/>
      <w:marBottom w:val="0"/>
      <w:divBdr>
        <w:top w:val="none" w:sz="0" w:space="0" w:color="auto"/>
        <w:left w:val="none" w:sz="0" w:space="0" w:color="auto"/>
        <w:bottom w:val="none" w:sz="0" w:space="0" w:color="auto"/>
        <w:right w:val="none" w:sz="0" w:space="0" w:color="auto"/>
      </w:divBdr>
    </w:div>
    <w:div w:id="1624194140">
      <w:marLeft w:val="0"/>
      <w:marRight w:val="0"/>
      <w:marTop w:val="0"/>
      <w:marBottom w:val="0"/>
      <w:divBdr>
        <w:top w:val="none" w:sz="0" w:space="0" w:color="auto"/>
        <w:left w:val="none" w:sz="0" w:space="0" w:color="auto"/>
        <w:bottom w:val="none" w:sz="0" w:space="0" w:color="auto"/>
        <w:right w:val="none" w:sz="0" w:space="0" w:color="auto"/>
      </w:divBdr>
    </w:div>
    <w:div w:id="1624194141">
      <w:marLeft w:val="0"/>
      <w:marRight w:val="0"/>
      <w:marTop w:val="0"/>
      <w:marBottom w:val="0"/>
      <w:divBdr>
        <w:top w:val="none" w:sz="0" w:space="0" w:color="auto"/>
        <w:left w:val="none" w:sz="0" w:space="0" w:color="auto"/>
        <w:bottom w:val="none" w:sz="0" w:space="0" w:color="auto"/>
        <w:right w:val="none" w:sz="0" w:space="0" w:color="auto"/>
      </w:divBdr>
    </w:div>
    <w:div w:id="1624194142">
      <w:marLeft w:val="0"/>
      <w:marRight w:val="0"/>
      <w:marTop w:val="0"/>
      <w:marBottom w:val="0"/>
      <w:divBdr>
        <w:top w:val="none" w:sz="0" w:space="0" w:color="auto"/>
        <w:left w:val="none" w:sz="0" w:space="0" w:color="auto"/>
        <w:bottom w:val="none" w:sz="0" w:space="0" w:color="auto"/>
        <w:right w:val="none" w:sz="0" w:space="0" w:color="auto"/>
      </w:divBdr>
    </w:div>
    <w:div w:id="1624194143">
      <w:marLeft w:val="0"/>
      <w:marRight w:val="0"/>
      <w:marTop w:val="0"/>
      <w:marBottom w:val="0"/>
      <w:divBdr>
        <w:top w:val="none" w:sz="0" w:space="0" w:color="auto"/>
        <w:left w:val="none" w:sz="0" w:space="0" w:color="auto"/>
        <w:bottom w:val="none" w:sz="0" w:space="0" w:color="auto"/>
        <w:right w:val="none" w:sz="0" w:space="0" w:color="auto"/>
      </w:divBdr>
    </w:div>
    <w:div w:id="1624194144">
      <w:marLeft w:val="0"/>
      <w:marRight w:val="0"/>
      <w:marTop w:val="0"/>
      <w:marBottom w:val="0"/>
      <w:divBdr>
        <w:top w:val="none" w:sz="0" w:space="0" w:color="auto"/>
        <w:left w:val="none" w:sz="0" w:space="0" w:color="auto"/>
        <w:bottom w:val="none" w:sz="0" w:space="0" w:color="auto"/>
        <w:right w:val="none" w:sz="0" w:space="0" w:color="auto"/>
      </w:divBdr>
    </w:div>
    <w:div w:id="1624194145">
      <w:marLeft w:val="0"/>
      <w:marRight w:val="0"/>
      <w:marTop w:val="0"/>
      <w:marBottom w:val="0"/>
      <w:divBdr>
        <w:top w:val="none" w:sz="0" w:space="0" w:color="auto"/>
        <w:left w:val="none" w:sz="0" w:space="0" w:color="auto"/>
        <w:bottom w:val="none" w:sz="0" w:space="0" w:color="auto"/>
        <w:right w:val="none" w:sz="0" w:space="0" w:color="auto"/>
      </w:divBdr>
    </w:div>
    <w:div w:id="1624194146">
      <w:marLeft w:val="0"/>
      <w:marRight w:val="0"/>
      <w:marTop w:val="0"/>
      <w:marBottom w:val="0"/>
      <w:divBdr>
        <w:top w:val="none" w:sz="0" w:space="0" w:color="auto"/>
        <w:left w:val="none" w:sz="0" w:space="0" w:color="auto"/>
        <w:bottom w:val="none" w:sz="0" w:space="0" w:color="auto"/>
        <w:right w:val="none" w:sz="0" w:space="0" w:color="auto"/>
      </w:divBdr>
    </w:div>
    <w:div w:id="1624194147">
      <w:marLeft w:val="0"/>
      <w:marRight w:val="0"/>
      <w:marTop w:val="0"/>
      <w:marBottom w:val="0"/>
      <w:divBdr>
        <w:top w:val="none" w:sz="0" w:space="0" w:color="auto"/>
        <w:left w:val="none" w:sz="0" w:space="0" w:color="auto"/>
        <w:bottom w:val="none" w:sz="0" w:space="0" w:color="auto"/>
        <w:right w:val="none" w:sz="0" w:space="0" w:color="auto"/>
      </w:divBdr>
    </w:div>
    <w:div w:id="1624194148">
      <w:marLeft w:val="0"/>
      <w:marRight w:val="0"/>
      <w:marTop w:val="0"/>
      <w:marBottom w:val="0"/>
      <w:divBdr>
        <w:top w:val="none" w:sz="0" w:space="0" w:color="auto"/>
        <w:left w:val="none" w:sz="0" w:space="0" w:color="auto"/>
        <w:bottom w:val="none" w:sz="0" w:space="0" w:color="auto"/>
        <w:right w:val="none" w:sz="0" w:space="0" w:color="auto"/>
      </w:divBdr>
    </w:div>
    <w:div w:id="1624194149">
      <w:marLeft w:val="0"/>
      <w:marRight w:val="0"/>
      <w:marTop w:val="0"/>
      <w:marBottom w:val="0"/>
      <w:divBdr>
        <w:top w:val="none" w:sz="0" w:space="0" w:color="auto"/>
        <w:left w:val="none" w:sz="0" w:space="0" w:color="auto"/>
        <w:bottom w:val="none" w:sz="0" w:space="0" w:color="auto"/>
        <w:right w:val="none" w:sz="0" w:space="0" w:color="auto"/>
      </w:divBdr>
    </w:div>
    <w:div w:id="1624194150">
      <w:marLeft w:val="0"/>
      <w:marRight w:val="0"/>
      <w:marTop w:val="0"/>
      <w:marBottom w:val="0"/>
      <w:divBdr>
        <w:top w:val="none" w:sz="0" w:space="0" w:color="auto"/>
        <w:left w:val="none" w:sz="0" w:space="0" w:color="auto"/>
        <w:bottom w:val="none" w:sz="0" w:space="0" w:color="auto"/>
        <w:right w:val="none" w:sz="0" w:space="0" w:color="auto"/>
      </w:divBdr>
    </w:div>
    <w:div w:id="1624194151">
      <w:marLeft w:val="0"/>
      <w:marRight w:val="0"/>
      <w:marTop w:val="0"/>
      <w:marBottom w:val="0"/>
      <w:divBdr>
        <w:top w:val="none" w:sz="0" w:space="0" w:color="auto"/>
        <w:left w:val="none" w:sz="0" w:space="0" w:color="auto"/>
        <w:bottom w:val="none" w:sz="0" w:space="0" w:color="auto"/>
        <w:right w:val="none" w:sz="0" w:space="0" w:color="auto"/>
      </w:divBdr>
    </w:div>
    <w:div w:id="1624194152">
      <w:marLeft w:val="0"/>
      <w:marRight w:val="0"/>
      <w:marTop w:val="0"/>
      <w:marBottom w:val="0"/>
      <w:divBdr>
        <w:top w:val="none" w:sz="0" w:space="0" w:color="auto"/>
        <w:left w:val="none" w:sz="0" w:space="0" w:color="auto"/>
        <w:bottom w:val="none" w:sz="0" w:space="0" w:color="auto"/>
        <w:right w:val="none" w:sz="0" w:space="0" w:color="auto"/>
      </w:divBdr>
    </w:div>
    <w:div w:id="1624194153">
      <w:marLeft w:val="0"/>
      <w:marRight w:val="0"/>
      <w:marTop w:val="0"/>
      <w:marBottom w:val="0"/>
      <w:divBdr>
        <w:top w:val="none" w:sz="0" w:space="0" w:color="auto"/>
        <w:left w:val="none" w:sz="0" w:space="0" w:color="auto"/>
        <w:bottom w:val="none" w:sz="0" w:space="0" w:color="auto"/>
        <w:right w:val="none" w:sz="0" w:space="0" w:color="auto"/>
      </w:divBdr>
    </w:div>
    <w:div w:id="1624194154">
      <w:marLeft w:val="0"/>
      <w:marRight w:val="0"/>
      <w:marTop w:val="0"/>
      <w:marBottom w:val="0"/>
      <w:divBdr>
        <w:top w:val="none" w:sz="0" w:space="0" w:color="auto"/>
        <w:left w:val="none" w:sz="0" w:space="0" w:color="auto"/>
        <w:bottom w:val="none" w:sz="0" w:space="0" w:color="auto"/>
        <w:right w:val="none" w:sz="0" w:space="0" w:color="auto"/>
      </w:divBdr>
    </w:div>
    <w:div w:id="1624194155">
      <w:marLeft w:val="0"/>
      <w:marRight w:val="0"/>
      <w:marTop w:val="0"/>
      <w:marBottom w:val="0"/>
      <w:divBdr>
        <w:top w:val="none" w:sz="0" w:space="0" w:color="auto"/>
        <w:left w:val="none" w:sz="0" w:space="0" w:color="auto"/>
        <w:bottom w:val="none" w:sz="0" w:space="0" w:color="auto"/>
        <w:right w:val="none" w:sz="0" w:space="0" w:color="auto"/>
      </w:divBdr>
    </w:div>
    <w:div w:id="1624194156">
      <w:marLeft w:val="0"/>
      <w:marRight w:val="0"/>
      <w:marTop w:val="0"/>
      <w:marBottom w:val="0"/>
      <w:divBdr>
        <w:top w:val="none" w:sz="0" w:space="0" w:color="auto"/>
        <w:left w:val="none" w:sz="0" w:space="0" w:color="auto"/>
        <w:bottom w:val="none" w:sz="0" w:space="0" w:color="auto"/>
        <w:right w:val="none" w:sz="0" w:space="0" w:color="auto"/>
      </w:divBdr>
    </w:div>
    <w:div w:id="1624194157">
      <w:marLeft w:val="0"/>
      <w:marRight w:val="0"/>
      <w:marTop w:val="0"/>
      <w:marBottom w:val="0"/>
      <w:divBdr>
        <w:top w:val="none" w:sz="0" w:space="0" w:color="auto"/>
        <w:left w:val="none" w:sz="0" w:space="0" w:color="auto"/>
        <w:bottom w:val="none" w:sz="0" w:space="0" w:color="auto"/>
        <w:right w:val="none" w:sz="0" w:space="0" w:color="auto"/>
      </w:divBdr>
    </w:div>
    <w:div w:id="1624194158">
      <w:marLeft w:val="0"/>
      <w:marRight w:val="0"/>
      <w:marTop w:val="0"/>
      <w:marBottom w:val="0"/>
      <w:divBdr>
        <w:top w:val="none" w:sz="0" w:space="0" w:color="auto"/>
        <w:left w:val="none" w:sz="0" w:space="0" w:color="auto"/>
        <w:bottom w:val="none" w:sz="0" w:space="0" w:color="auto"/>
        <w:right w:val="none" w:sz="0" w:space="0" w:color="auto"/>
      </w:divBdr>
    </w:div>
    <w:div w:id="1624194159">
      <w:marLeft w:val="0"/>
      <w:marRight w:val="0"/>
      <w:marTop w:val="0"/>
      <w:marBottom w:val="0"/>
      <w:divBdr>
        <w:top w:val="none" w:sz="0" w:space="0" w:color="auto"/>
        <w:left w:val="none" w:sz="0" w:space="0" w:color="auto"/>
        <w:bottom w:val="none" w:sz="0" w:space="0" w:color="auto"/>
        <w:right w:val="none" w:sz="0" w:space="0" w:color="auto"/>
      </w:divBdr>
    </w:div>
    <w:div w:id="1624194160">
      <w:marLeft w:val="0"/>
      <w:marRight w:val="0"/>
      <w:marTop w:val="0"/>
      <w:marBottom w:val="0"/>
      <w:divBdr>
        <w:top w:val="none" w:sz="0" w:space="0" w:color="auto"/>
        <w:left w:val="none" w:sz="0" w:space="0" w:color="auto"/>
        <w:bottom w:val="none" w:sz="0" w:space="0" w:color="auto"/>
        <w:right w:val="none" w:sz="0" w:space="0" w:color="auto"/>
      </w:divBdr>
    </w:div>
    <w:div w:id="1624194161">
      <w:marLeft w:val="0"/>
      <w:marRight w:val="0"/>
      <w:marTop w:val="0"/>
      <w:marBottom w:val="0"/>
      <w:divBdr>
        <w:top w:val="none" w:sz="0" w:space="0" w:color="auto"/>
        <w:left w:val="none" w:sz="0" w:space="0" w:color="auto"/>
        <w:bottom w:val="none" w:sz="0" w:space="0" w:color="auto"/>
        <w:right w:val="none" w:sz="0" w:space="0" w:color="auto"/>
      </w:divBdr>
    </w:div>
    <w:div w:id="1624194162">
      <w:marLeft w:val="0"/>
      <w:marRight w:val="0"/>
      <w:marTop w:val="0"/>
      <w:marBottom w:val="0"/>
      <w:divBdr>
        <w:top w:val="none" w:sz="0" w:space="0" w:color="auto"/>
        <w:left w:val="none" w:sz="0" w:space="0" w:color="auto"/>
        <w:bottom w:val="none" w:sz="0" w:space="0" w:color="auto"/>
        <w:right w:val="none" w:sz="0" w:space="0" w:color="auto"/>
      </w:divBdr>
    </w:div>
    <w:div w:id="1624194163">
      <w:marLeft w:val="0"/>
      <w:marRight w:val="0"/>
      <w:marTop w:val="0"/>
      <w:marBottom w:val="0"/>
      <w:divBdr>
        <w:top w:val="none" w:sz="0" w:space="0" w:color="auto"/>
        <w:left w:val="none" w:sz="0" w:space="0" w:color="auto"/>
        <w:bottom w:val="none" w:sz="0" w:space="0" w:color="auto"/>
        <w:right w:val="none" w:sz="0" w:space="0" w:color="auto"/>
      </w:divBdr>
    </w:div>
    <w:div w:id="1624194164">
      <w:marLeft w:val="0"/>
      <w:marRight w:val="0"/>
      <w:marTop w:val="0"/>
      <w:marBottom w:val="0"/>
      <w:divBdr>
        <w:top w:val="none" w:sz="0" w:space="0" w:color="auto"/>
        <w:left w:val="none" w:sz="0" w:space="0" w:color="auto"/>
        <w:bottom w:val="none" w:sz="0" w:space="0" w:color="auto"/>
        <w:right w:val="none" w:sz="0" w:space="0" w:color="auto"/>
      </w:divBdr>
    </w:div>
    <w:div w:id="1624194165">
      <w:marLeft w:val="0"/>
      <w:marRight w:val="0"/>
      <w:marTop w:val="0"/>
      <w:marBottom w:val="0"/>
      <w:divBdr>
        <w:top w:val="none" w:sz="0" w:space="0" w:color="auto"/>
        <w:left w:val="none" w:sz="0" w:space="0" w:color="auto"/>
        <w:bottom w:val="none" w:sz="0" w:space="0" w:color="auto"/>
        <w:right w:val="none" w:sz="0" w:space="0" w:color="auto"/>
      </w:divBdr>
    </w:div>
    <w:div w:id="1624194166">
      <w:marLeft w:val="0"/>
      <w:marRight w:val="0"/>
      <w:marTop w:val="0"/>
      <w:marBottom w:val="0"/>
      <w:divBdr>
        <w:top w:val="none" w:sz="0" w:space="0" w:color="auto"/>
        <w:left w:val="none" w:sz="0" w:space="0" w:color="auto"/>
        <w:bottom w:val="none" w:sz="0" w:space="0" w:color="auto"/>
        <w:right w:val="none" w:sz="0" w:space="0" w:color="auto"/>
      </w:divBdr>
    </w:div>
    <w:div w:id="1624194167">
      <w:marLeft w:val="0"/>
      <w:marRight w:val="0"/>
      <w:marTop w:val="0"/>
      <w:marBottom w:val="0"/>
      <w:divBdr>
        <w:top w:val="none" w:sz="0" w:space="0" w:color="auto"/>
        <w:left w:val="none" w:sz="0" w:space="0" w:color="auto"/>
        <w:bottom w:val="none" w:sz="0" w:space="0" w:color="auto"/>
        <w:right w:val="none" w:sz="0" w:space="0" w:color="auto"/>
      </w:divBdr>
    </w:div>
    <w:div w:id="1624194168">
      <w:marLeft w:val="0"/>
      <w:marRight w:val="0"/>
      <w:marTop w:val="0"/>
      <w:marBottom w:val="0"/>
      <w:divBdr>
        <w:top w:val="none" w:sz="0" w:space="0" w:color="auto"/>
        <w:left w:val="none" w:sz="0" w:space="0" w:color="auto"/>
        <w:bottom w:val="none" w:sz="0" w:space="0" w:color="auto"/>
        <w:right w:val="none" w:sz="0" w:space="0" w:color="auto"/>
      </w:divBdr>
    </w:div>
    <w:div w:id="1624194169">
      <w:marLeft w:val="0"/>
      <w:marRight w:val="0"/>
      <w:marTop w:val="0"/>
      <w:marBottom w:val="0"/>
      <w:divBdr>
        <w:top w:val="none" w:sz="0" w:space="0" w:color="auto"/>
        <w:left w:val="none" w:sz="0" w:space="0" w:color="auto"/>
        <w:bottom w:val="none" w:sz="0" w:space="0" w:color="auto"/>
        <w:right w:val="none" w:sz="0" w:space="0" w:color="auto"/>
      </w:divBdr>
    </w:div>
    <w:div w:id="1624194170">
      <w:marLeft w:val="0"/>
      <w:marRight w:val="0"/>
      <w:marTop w:val="0"/>
      <w:marBottom w:val="0"/>
      <w:divBdr>
        <w:top w:val="none" w:sz="0" w:space="0" w:color="auto"/>
        <w:left w:val="none" w:sz="0" w:space="0" w:color="auto"/>
        <w:bottom w:val="none" w:sz="0" w:space="0" w:color="auto"/>
        <w:right w:val="none" w:sz="0" w:space="0" w:color="auto"/>
      </w:divBdr>
    </w:div>
    <w:div w:id="1624194171">
      <w:marLeft w:val="0"/>
      <w:marRight w:val="0"/>
      <w:marTop w:val="0"/>
      <w:marBottom w:val="0"/>
      <w:divBdr>
        <w:top w:val="none" w:sz="0" w:space="0" w:color="auto"/>
        <w:left w:val="none" w:sz="0" w:space="0" w:color="auto"/>
        <w:bottom w:val="none" w:sz="0" w:space="0" w:color="auto"/>
        <w:right w:val="none" w:sz="0" w:space="0" w:color="auto"/>
      </w:divBdr>
    </w:div>
    <w:div w:id="1624194172">
      <w:marLeft w:val="0"/>
      <w:marRight w:val="0"/>
      <w:marTop w:val="0"/>
      <w:marBottom w:val="0"/>
      <w:divBdr>
        <w:top w:val="none" w:sz="0" w:space="0" w:color="auto"/>
        <w:left w:val="none" w:sz="0" w:space="0" w:color="auto"/>
        <w:bottom w:val="none" w:sz="0" w:space="0" w:color="auto"/>
        <w:right w:val="none" w:sz="0" w:space="0" w:color="auto"/>
      </w:divBdr>
    </w:div>
    <w:div w:id="1624194173">
      <w:marLeft w:val="0"/>
      <w:marRight w:val="0"/>
      <w:marTop w:val="0"/>
      <w:marBottom w:val="0"/>
      <w:divBdr>
        <w:top w:val="none" w:sz="0" w:space="0" w:color="auto"/>
        <w:left w:val="none" w:sz="0" w:space="0" w:color="auto"/>
        <w:bottom w:val="none" w:sz="0" w:space="0" w:color="auto"/>
        <w:right w:val="none" w:sz="0" w:space="0" w:color="auto"/>
      </w:divBdr>
    </w:div>
    <w:div w:id="1624194174">
      <w:marLeft w:val="0"/>
      <w:marRight w:val="0"/>
      <w:marTop w:val="0"/>
      <w:marBottom w:val="0"/>
      <w:divBdr>
        <w:top w:val="none" w:sz="0" w:space="0" w:color="auto"/>
        <w:left w:val="none" w:sz="0" w:space="0" w:color="auto"/>
        <w:bottom w:val="none" w:sz="0" w:space="0" w:color="auto"/>
        <w:right w:val="none" w:sz="0" w:space="0" w:color="auto"/>
      </w:divBdr>
    </w:div>
    <w:div w:id="1624194175">
      <w:marLeft w:val="0"/>
      <w:marRight w:val="0"/>
      <w:marTop w:val="0"/>
      <w:marBottom w:val="0"/>
      <w:divBdr>
        <w:top w:val="none" w:sz="0" w:space="0" w:color="auto"/>
        <w:left w:val="none" w:sz="0" w:space="0" w:color="auto"/>
        <w:bottom w:val="none" w:sz="0" w:space="0" w:color="auto"/>
        <w:right w:val="none" w:sz="0" w:space="0" w:color="auto"/>
      </w:divBdr>
    </w:div>
    <w:div w:id="1624194176">
      <w:marLeft w:val="0"/>
      <w:marRight w:val="0"/>
      <w:marTop w:val="0"/>
      <w:marBottom w:val="0"/>
      <w:divBdr>
        <w:top w:val="none" w:sz="0" w:space="0" w:color="auto"/>
        <w:left w:val="none" w:sz="0" w:space="0" w:color="auto"/>
        <w:bottom w:val="none" w:sz="0" w:space="0" w:color="auto"/>
        <w:right w:val="none" w:sz="0" w:space="0" w:color="auto"/>
      </w:divBdr>
    </w:div>
    <w:div w:id="1624194177">
      <w:marLeft w:val="0"/>
      <w:marRight w:val="0"/>
      <w:marTop w:val="0"/>
      <w:marBottom w:val="0"/>
      <w:divBdr>
        <w:top w:val="none" w:sz="0" w:space="0" w:color="auto"/>
        <w:left w:val="none" w:sz="0" w:space="0" w:color="auto"/>
        <w:bottom w:val="none" w:sz="0" w:space="0" w:color="auto"/>
        <w:right w:val="none" w:sz="0" w:space="0" w:color="auto"/>
      </w:divBdr>
    </w:div>
    <w:div w:id="1624194178">
      <w:marLeft w:val="0"/>
      <w:marRight w:val="0"/>
      <w:marTop w:val="0"/>
      <w:marBottom w:val="0"/>
      <w:divBdr>
        <w:top w:val="none" w:sz="0" w:space="0" w:color="auto"/>
        <w:left w:val="none" w:sz="0" w:space="0" w:color="auto"/>
        <w:bottom w:val="none" w:sz="0" w:space="0" w:color="auto"/>
        <w:right w:val="none" w:sz="0" w:space="0" w:color="auto"/>
      </w:divBdr>
    </w:div>
    <w:div w:id="1624194179">
      <w:marLeft w:val="0"/>
      <w:marRight w:val="0"/>
      <w:marTop w:val="0"/>
      <w:marBottom w:val="0"/>
      <w:divBdr>
        <w:top w:val="none" w:sz="0" w:space="0" w:color="auto"/>
        <w:left w:val="none" w:sz="0" w:space="0" w:color="auto"/>
        <w:bottom w:val="none" w:sz="0" w:space="0" w:color="auto"/>
        <w:right w:val="none" w:sz="0" w:space="0" w:color="auto"/>
      </w:divBdr>
    </w:div>
    <w:div w:id="1624194180">
      <w:marLeft w:val="0"/>
      <w:marRight w:val="0"/>
      <w:marTop w:val="0"/>
      <w:marBottom w:val="0"/>
      <w:divBdr>
        <w:top w:val="none" w:sz="0" w:space="0" w:color="auto"/>
        <w:left w:val="none" w:sz="0" w:space="0" w:color="auto"/>
        <w:bottom w:val="none" w:sz="0" w:space="0" w:color="auto"/>
        <w:right w:val="none" w:sz="0" w:space="0" w:color="auto"/>
      </w:divBdr>
    </w:div>
    <w:div w:id="1624194181">
      <w:marLeft w:val="0"/>
      <w:marRight w:val="0"/>
      <w:marTop w:val="0"/>
      <w:marBottom w:val="0"/>
      <w:divBdr>
        <w:top w:val="none" w:sz="0" w:space="0" w:color="auto"/>
        <w:left w:val="none" w:sz="0" w:space="0" w:color="auto"/>
        <w:bottom w:val="none" w:sz="0" w:space="0" w:color="auto"/>
        <w:right w:val="none" w:sz="0" w:space="0" w:color="auto"/>
      </w:divBdr>
    </w:div>
    <w:div w:id="1624194182">
      <w:marLeft w:val="0"/>
      <w:marRight w:val="0"/>
      <w:marTop w:val="0"/>
      <w:marBottom w:val="0"/>
      <w:divBdr>
        <w:top w:val="none" w:sz="0" w:space="0" w:color="auto"/>
        <w:left w:val="none" w:sz="0" w:space="0" w:color="auto"/>
        <w:bottom w:val="none" w:sz="0" w:space="0" w:color="auto"/>
        <w:right w:val="none" w:sz="0" w:space="0" w:color="auto"/>
      </w:divBdr>
    </w:div>
    <w:div w:id="1624194183">
      <w:marLeft w:val="0"/>
      <w:marRight w:val="0"/>
      <w:marTop w:val="0"/>
      <w:marBottom w:val="0"/>
      <w:divBdr>
        <w:top w:val="none" w:sz="0" w:space="0" w:color="auto"/>
        <w:left w:val="none" w:sz="0" w:space="0" w:color="auto"/>
        <w:bottom w:val="none" w:sz="0" w:space="0" w:color="auto"/>
        <w:right w:val="none" w:sz="0" w:space="0" w:color="auto"/>
      </w:divBdr>
    </w:div>
    <w:div w:id="1624194184">
      <w:marLeft w:val="0"/>
      <w:marRight w:val="0"/>
      <w:marTop w:val="0"/>
      <w:marBottom w:val="0"/>
      <w:divBdr>
        <w:top w:val="none" w:sz="0" w:space="0" w:color="auto"/>
        <w:left w:val="none" w:sz="0" w:space="0" w:color="auto"/>
        <w:bottom w:val="none" w:sz="0" w:space="0" w:color="auto"/>
        <w:right w:val="none" w:sz="0" w:space="0" w:color="auto"/>
      </w:divBdr>
    </w:div>
    <w:div w:id="1624194185">
      <w:marLeft w:val="0"/>
      <w:marRight w:val="0"/>
      <w:marTop w:val="0"/>
      <w:marBottom w:val="0"/>
      <w:divBdr>
        <w:top w:val="none" w:sz="0" w:space="0" w:color="auto"/>
        <w:left w:val="none" w:sz="0" w:space="0" w:color="auto"/>
        <w:bottom w:val="none" w:sz="0" w:space="0" w:color="auto"/>
        <w:right w:val="none" w:sz="0" w:space="0" w:color="auto"/>
      </w:divBdr>
    </w:div>
    <w:div w:id="1624194186">
      <w:marLeft w:val="0"/>
      <w:marRight w:val="0"/>
      <w:marTop w:val="0"/>
      <w:marBottom w:val="0"/>
      <w:divBdr>
        <w:top w:val="none" w:sz="0" w:space="0" w:color="auto"/>
        <w:left w:val="none" w:sz="0" w:space="0" w:color="auto"/>
        <w:bottom w:val="none" w:sz="0" w:space="0" w:color="auto"/>
        <w:right w:val="none" w:sz="0" w:space="0" w:color="auto"/>
      </w:divBdr>
    </w:div>
    <w:div w:id="1624194187">
      <w:marLeft w:val="0"/>
      <w:marRight w:val="0"/>
      <w:marTop w:val="0"/>
      <w:marBottom w:val="0"/>
      <w:divBdr>
        <w:top w:val="none" w:sz="0" w:space="0" w:color="auto"/>
        <w:left w:val="none" w:sz="0" w:space="0" w:color="auto"/>
        <w:bottom w:val="none" w:sz="0" w:space="0" w:color="auto"/>
        <w:right w:val="none" w:sz="0" w:space="0" w:color="auto"/>
      </w:divBdr>
    </w:div>
    <w:div w:id="1624194188">
      <w:marLeft w:val="0"/>
      <w:marRight w:val="0"/>
      <w:marTop w:val="0"/>
      <w:marBottom w:val="0"/>
      <w:divBdr>
        <w:top w:val="none" w:sz="0" w:space="0" w:color="auto"/>
        <w:left w:val="none" w:sz="0" w:space="0" w:color="auto"/>
        <w:bottom w:val="none" w:sz="0" w:space="0" w:color="auto"/>
        <w:right w:val="none" w:sz="0" w:space="0" w:color="auto"/>
      </w:divBdr>
    </w:div>
    <w:div w:id="1624194189">
      <w:marLeft w:val="0"/>
      <w:marRight w:val="0"/>
      <w:marTop w:val="0"/>
      <w:marBottom w:val="0"/>
      <w:divBdr>
        <w:top w:val="none" w:sz="0" w:space="0" w:color="auto"/>
        <w:left w:val="none" w:sz="0" w:space="0" w:color="auto"/>
        <w:bottom w:val="none" w:sz="0" w:space="0" w:color="auto"/>
        <w:right w:val="none" w:sz="0" w:space="0" w:color="auto"/>
      </w:divBdr>
    </w:div>
    <w:div w:id="1624194190">
      <w:marLeft w:val="0"/>
      <w:marRight w:val="0"/>
      <w:marTop w:val="0"/>
      <w:marBottom w:val="0"/>
      <w:divBdr>
        <w:top w:val="none" w:sz="0" w:space="0" w:color="auto"/>
        <w:left w:val="none" w:sz="0" w:space="0" w:color="auto"/>
        <w:bottom w:val="none" w:sz="0" w:space="0" w:color="auto"/>
        <w:right w:val="none" w:sz="0" w:space="0" w:color="auto"/>
      </w:divBdr>
    </w:div>
    <w:div w:id="1624194191">
      <w:marLeft w:val="0"/>
      <w:marRight w:val="0"/>
      <w:marTop w:val="0"/>
      <w:marBottom w:val="0"/>
      <w:divBdr>
        <w:top w:val="none" w:sz="0" w:space="0" w:color="auto"/>
        <w:left w:val="none" w:sz="0" w:space="0" w:color="auto"/>
        <w:bottom w:val="none" w:sz="0" w:space="0" w:color="auto"/>
        <w:right w:val="none" w:sz="0" w:space="0" w:color="auto"/>
      </w:divBdr>
    </w:div>
    <w:div w:id="1624194192">
      <w:marLeft w:val="0"/>
      <w:marRight w:val="0"/>
      <w:marTop w:val="0"/>
      <w:marBottom w:val="0"/>
      <w:divBdr>
        <w:top w:val="none" w:sz="0" w:space="0" w:color="auto"/>
        <w:left w:val="none" w:sz="0" w:space="0" w:color="auto"/>
        <w:bottom w:val="none" w:sz="0" w:space="0" w:color="auto"/>
        <w:right w:val="none" w:sz="0" w:space="0" w:color="auto"/>
      </w:divBdr>
    </w:div>
    <w:div w:id="1624194193">
      <w:marLeft w:val="0"/>
      <w:marRight w:val="0"/>
      <w:marTop w:val="0"/>
      <w:marBottom w:val="0"/>
      <w:divBdr>
        <w:top w:val="none" w:sz="0" w:space="0" w:color="auto"/>
        <w:left w:val="none" w:sz="0" w:space="0" w:color="auto"/>
        <w:bottom w:val="none" w:sz="0" w:space="0" w:color="auto"/>
        <w:right w:val="none" w:sz="0" w:space="0" w:color="auto"/>
      </w:divBdr>
    </w:div>
    <w:div w:id="1624194194">
      <w:marLeft w:val="0"/>
      <w:marRight w:val="0"/>
      <w:marTop w:val="0"/>
      <w:marBottom w:val="0"/>
      <w:divBdr>
        <w:top w:val="none" w:sz="0" w:space="0" w:color="auto"/>
        <w:left w:val="none" w:sz="0" w:space="0" w:color="auto"/>
        <w:bottom w:val="none" w:sz="0" w:space="0" w:color="auto"/>
        <w:right w:val="none" w:sz="0" w:space="0" w:color="auto"/>
      </w:divBdr>
    </w:div>
    <w:div w:id="1624194195">
      <w:marLeft w:val="0"/>
      <w:marRight w:val="0"/>
      <w:marTop w:val="0"/>
      <w:marBottom w:val="0"/>
      <w:divBdr>
        <w:top w:val="none" w:sz="0" w:space="0" w:color="auto"/>
        <w:left w:val="none" w:sz="0" w:space="0" w:color="auto"/>
        <w:bottom w:val="none" w:sz="0" w:space="0" w:color="auto"/>
        <w:right w:val="none" w:sz="0" w:space="0" w:color="auto"/>
      </w:divBdr>
    </w:div>
    <w:div w:id="1624194196">
      <w:marLeft w:val="0"/>
      <w:marRight w:val="0"/>
      <w:marTop w:val="0"/>
      <w:marBottom w:val="0"/>
      <w:divBdr>
        <w:top w:val="none" w:sz="0" w:space="0" w:color="auto"/>
        <w:left w:val="none" w:sz="0" w:space="0" w:color="auto"/>
        <w:bottom w:val="none" w:sz="0" w:space="0" w:color="auto"/>
        <w:right w:val="none" w:sz="0" w:space="0" w:color="auto"/>
      </w:divBdr>
    </w:div>
    <w:div w:id="1624194197">
      <w:marLeft w:val="0"/>
      <w:marRight w:val="0"/>
      <w:marTop w:val="0"/>
      <w:marBottom w:val="0"/>
      <w:divBdr>
        <w:top w:val="none" w:sz="0" w:space="0" w:color="auto"/>
        <w:left w:val="none" w:sz="0" w:space="0" w:color="auto"/>
        <w:bottom w:val="none" w:sz="0" w:space="0" w:color="auto"/>
        <w:right w:val="none" w:sz="0" w:space="0" w:color="auto"/>
      </w:divBdr>
    </w:div>
    <w:div w:id="1624194198">
      <w:marLeft w:val="0"/>
      <w:marRight w:val="0"/>
      <w:marTop w:val="0"/>
      <w:marBottom w:val="0"/>
      <w:divBdr>
        <w:top w:val="none" w:sz="0" w:space="0" w:color="auto"/>
        <w:left w:val="none" w:sz="0" w:space="0" w:color="auto"/>
        <w:bottom w:val="none" w:sz="0" w:space="0" w:color="auto"/>
        <w:right w:val="none" w:sz="0" w:space="0" w:color="auto"/>
      </w:divBdr>
    </w:div>
    <w:div w:id="1624194199">
      <w:marLeft w:val="0"/>
      <w:marRight w:val="0"/>
      <w:marTop w:val="0"/>
      <w:marBottom w:val="0"/>
      <w:divBdr>
        <w:top w:val="none" w:sz="0" w:space="0" w:color="auto"/>
        <w:left w:val="none" w:sz="0" w:space="0" w:color="auto"/>
        <w:bottom w:val="none" w:sz="0" w:space="0" w:color="auto"/>
        <w:right w:val="none" w:sz="0" w:space="0" w:color="auto"/>
      </w:divBdr>
    </w:div>
    <w:div w:id="1624194200">
      <w:marLeft w:val="0"/>
      <w:marRight w:val="0"/>
      <w:marTop w:val="0"/>
      <w:marBottom w:val="0"/>
      <w:divBdr>
        <w:top w:val="none" w:sz="0" w:space="0" w:color="auto"/>
        <w:left w:val="none" w:sz="0" w:space="0" w:color="auto"/>
        <w:bottom w:val="none" w:sz="0" w:space="0" w:color="auto"/>
        <w:right w:val="none" w:sz="0" w:space="0" w:color="auto"/>
      </w:divBdr>
    </w:div>
    <w:div w:id="1624194201">
      <w:marLeft w:val="0"/>
      <w:marRight w:val="0"/>
      <w:marTop w:val="0"/>
      <w:marBottom w:val="0"/>
      <w:divBdr>
        <w:top w:val="none" w:sz="0" w:space="0" w:color="auto"/>
        <w:left w:val="none" w:sz="0" w:space="0" w:color="auto"/>
        <w:bottom w:val="none" w:sz="0" w:space="0" w:color="auto"/>
        <w:right w:val="none" w:sz="0" w:space="0" w:color="auto"/>
      </w:divBdr>
    </w:div>
    <w:div w:id="1624194202">
      <w:marLeft w:val="0"/>
      <w:marRight w:val="0"/>
      <w:marTop w:val="0"/>
      <w:marBottom w:val="0"/>
      <w:divBdr>
        <w:top w:val="none" w:sz="0" w:space="0" w:color="auto"/>
        <w:left w:val="none" w:sz="0" w:space="0" w:color="auto"/>
        <w:bottom w:val="none" w:sz="0" w:space="0" w:color="auto"/>
        <w:right w:val="none" w:sz="0" w:space="0" w:color="auto"/>
      </w:divBdr>
    </w:div>
    <w:div w:id="1624194203">
      <w:marLeft w:val="0"/>
      <w:marRight w:val="0"/>
      <w:marTop w:val="0"/>
      <w:marBottom w:val="0"/>
      <w:divBdr>
        <w:top w:val="none" w:sz="0" w:space="0" w:color="auto"/>
        <w:left w:val="none" w:sz="0" w:space="0" w:color="auto"/>
        <w:bottom w:val="none" w:sz="0" w:space="0" w:color="auto"/>
        <w:right w:val="none" w:sz="0" w:space="0" w:color="auto"/>
      </w:divBdr>
    </w:div>
    <w:div w:id="1624194204">
      <w:marLeft w:val="0"/>
      <w:marRight w:val="0"/>
      <w:marTop w:val="0"/>
      <w:marBottom w:val="0"/>
      <w:divBdr>
        <w:top w:val="none" w:sz="0" w:space="0" w:color="auto"/>
        <w:left w:val="none" w:sz="0" w:space="0" w:color="auto"/>
        <w:bottom w:val="none" w:sz="0" w:space="0" w:color="auto"/>
        <w:right w:val="none" w:sz="0" w:space="0" w:color="auto"/>
      </w:divBdr>
    </w:div>
    <w:div w:id="1624194205">
      <w:marLeft w:val="0"/>
      <w:marRight w:val="0"/>
      <w:marTop w:val="0"/>
      <w:marBottom w:val="0"/>
      <w:divBdr>
        <w:top w:val="none" w:sz="0" w:space="0" w:color="auto"/>
        <w:left w:val="none" w:sz="0" w:space="0" w:color="auto"/>
        <w:bottom w:val="none" w:sz="0" w:space="0" w:color="auto"/>
        <w:right w:val="none" w:sz="0" w:space="0" w:color="auto"/>
      </w:divBdr>
    </w:div>
    <w:div w:id="1624194206">
      <w:marLeft w:val="0"/>
      <w:marRight w:val="0"/>
      <w:marTop w:val="0"/>
      <w:marBottom w:val="0"/>
      <w:divBdr>
        <w:top w:val="none" w:sz="0" w:space="0" w:color="auto"/>
        <w:left w:val="none" w:sz="0" w:space="0" w:color="auto"/>
        <w:bottom w:val="none" w:sz="0" w:space="0" w:color="auto"/>
        <w:right w:val="none" w:sz="0" w:space="0" w:color="auto"/>
      </w:divBdr>
    </w:div>
    <w:div w:id="1624194207">
      <w:marLeft w:val="0"/>
      <w:marRight w:val="0"/>
      <w:marTop w:val="0"/>
      <w:marBottom w:val="0"/>
      <w:divBdr>
        <w:top w:val="none" w:sz="0" w:space="0" w:color="auto"/>
        <w:left w:val="none" w:sz="0" w:space="0" w:color="auto"/>
        <w:bottom w:val="none" w:sz="0" w:space="0" w:color="auto"/>
        <w:right w:val="none" w:sz="0" w:space="0" w:color="auto"/>
      </w:divBdr>
    </w:div>
    <w:div w:id="1624194208">
      <w:marLeft w:val="0"/>
      <w:marRight w:val="0"/>
      <w:marTop w:val="0"/>
      <w:marBottom w:val="0"/>
      <w:divBdr>
        <w:top w:val="none" w:sz="0" w:space="0" w:color="auto"/>
        <w:left w:val="none" w:sz="0" w:space="0" w:color="auto"/>
        <w:bottom w:val="none" w:sz="0" w:space="0" w:color="auto"/>
        <w:right w:val="none" w:sz="0" w:space="0" w:color="auto"/>
      </w:divBdr>
    </w:div>
    <w:div w:id="1624194209">
      <w:marLeft w:val="0"/>
      <w:marRight w:val="0"/>
      <w:marTop w:val="0"/>
      <w:marBottom w:val="0"/>
      <w:divBdr>
        <w:top w:val="none" w:sz="0" w:space="0" w:color="auto"/>
        <w:left w:val="none" w:sz="0" w:space="0" w:color="auto"/>
        <w:bottom w:val="none" w:sz="0" w:space="0" w:color="auto"/>
        <w:right w:val="none" w:sz="0" w:space="0" w:color="auto"/>
      </w:divBdr>
    </w:div>
    <w:div w:id="1624194210">
      <w:marLeft w:val="0"/>
      <w:marRight w:val="0"/>
      <w:marTop w:val="0"/>
      <w:marBottom w:val="0"/>
      <w:divBdr>
        <w:top w:val="none" w:sz="0" w:space="0" w:color="auto"/>
        <w:left w:val="none" w:sz="0" w:space="0" w:color="auto"/>
        <w:bottom w:val="none" w:sz="0" w:space="0" w:color="auto"/>
        <w:right w:val="none" w:sz="0" w:space="0" w:color="auto"/>
      </w:divBdr>
    </w:div>
    <w:div w:id="1624194211">
      <w:marLeft w:val="0"/>
      <w:marRight w:val="0"/>
      <w:marTop w:val="0"/>
      <w:marBottom w:val="0"/>
      <w:divBdr>
        <w:top w:val="none" w:sz="0" w:space="0" w:color="auto"/>
        <w:left w:val="none" w:sz="0" w:space="0" w:color="auto"/>
        <w:bottom w:val="none" w:sz="0" w:space="0" w:color="auto"/>
        <w:right w:val="none" w:sz="0" w:space="0" w:color="auto"/>
      </w:divBdr>
    </w:div>
    <w:div w:id="1624194212">
      <w:marLeft w:val="0"/>
      <w:marRight w:val="0"/>
      <w:marTop w:val="0"/>
      <w:marBottom w:val="0"/>
      <w:divBdr>
        <w:top w:val="none" w:sz="0" w:space="0" w:color="auto"/>
        <w:left w:val="none" w:sz="0" w:space="0" w:color="auto"/>
        <w:bottom w:val="none" w:sz="0" w:space="0" w:color="auto"/>
        <w:right w:val="none" w:sz="0" w:space="0" w:color="auto"/>
      </w:divBdr>
    </w:div>
    <w:div w:id="1624194213">
      <w:marLeft w:val="0"/>
      <w:marRight w:val="0"/>
      <w:marTop w:val="0"/>
      <w:marBottom w:val="0"/>
      <w:divBdr>
        <w:top w:val="none" w:sz="0" w:space="0" w:color="auto"/>
        <w:left w:val="none" w:sz="0" w:space="0" w:color="auto"/>
        <w:bottom w:val="none" w:sz="0" w:space="0" w:color="auto"/>
        <w:right w:val="none" w:sz="0" w:space="0" w:color="auto"/>
      </w:divBdr>
    </w:div>
    <w:div w:id="1624194214">
      <w:marLeft w:val="0"/>
      <w:marRight w:val="0"/>
      <w:marTop w:val="0"/>
      <w:marBottom w:val="0"/>
      <w:divBdr>
        <w:top w:val="none" w:sz="0" w:space="0" w:color="auto"/>
        <w:left w:val="none" w:sz="0" w:space="0" w:color="auto"/>
        <w:bottom w:val="none" w:sz="0" w:space="0" w:color="auto"/>
        <w:right w:val="none" w:sz="0" w:space="0" w:color="auto"/>
      </w:divBdr>
    </w:div>
    <w:div w:id="1624194215">
      <w:marLeft w:val="0"/>
      <w:marRight w:val="0"/>
      <w:marTop w:val="0"/>
      <w:marBottom w:val="0"/>
      <w:divBdr>
        <w:top w:val="none" w:sz="0" w:space="0" w:color="auto"/>
        <w:left w:val="none" w:sz="0" w:space="0" w:color="auto"/>
        <w:bottom w:val="none" w:sz="0" w:space="0" w:color="auto"/>
        <w:right w:val="none" w:sz="0" w:space="0" w:color="auto"/>
      </w:divBdr>
    </w:div>
    <w:div w:id="1624194216">
      <w:marLeft w:val="0"/>
      <w:marRight w:val="0"/>
      <w:marTop w:val="0"/>
      <w:marBottom w:val="0"/>
      <w:divBdr>
        <w:top w:val="none" w:sz="0" w:space="0" w:color="auto"/>
        <w:left w:val="none" w:sz="0" w:space="0" w:color="auto"/>
        <w:bottom w:val="none" w:sz="0" w:space="0" w:color="auto"/>
        <w:right w:val="none" w:sz="0" w:space="0" w:color="auto"/>
      </w:divBdr>
    </w:div>
    <w:div w:id="1624194217">
      <w:marLeft w:val="0"/>
      <w:marRight w:val="0"/>
      <w:marTop w:val="0"/>
      <w:marBottom w:val="0"/>
      <w:divBdr>
        <w:top w:val="none" w:sz="0" w:space="0" w:color="auto"/>
        <w:left w:val="none" w:sz="0" w:space="0" w:color="auto"/>
        <w:bottom w:val="none" w:sz="0" w:space="0" w:color="auto"/>
        <w:right w:val="none" w:sz="0" w:space="0" w:color="auto"/>
      </w:divBdr>
    </w:div>
    <w:div w:id="1624194218">
      <w:marLeft w:val="0"/>
      <w:marRight w:val="0"/>
      <w:marTop w:val="0"/>
      <w:marBottom w:val="0"/>
      <w:divBdr>
        <w:top w:val="none" w:sz="0" w:space="0" w:color="auto"/>
        <w:left w:val="none" w:sz="0" w:space="0" w:color="auto"/>
        <w:bottom w:val="none" w:sz="0" w:space="0" w:color="auto"/>
        <w:right w:val="none" w:sz="0" w:space="0" w:color="auto"/>
      </w:divBdr>
    </w:div>
    <w:div w:id="1624194219">
      <w:marLeft w:val="0"/>
      <w:marRight w:val="0"/>
      <w:marTop w:val="0"/>
      <w:marBottom w:val="0"/>
      <w:divBdr>
        <w:top w:val="none" w:sz="0" w:space="0" w:color="auto"/>
        <w:left w:val="none" w:sz="0" w:space="0" w:color="auto"/>
        <w:bottom w:val="none" w:sz="0" w:space="0" w:color="auto"/>
        <w:right w:val="none" w:sz="0" w:space="0" w:color="auto"/>
      </w:divBdr>
    </w:div>
    <w:div w:id="1624194220">
      <w:marLeft w:val="0"/>
      <w:marRight w:val="0"/>
      <w:marTop w:val="0"/>
      <w:marBottom w:val="0"/>
      <w:divBdr>
        <w:top w:val="none" w:sz="0" w:space="0" w:color="auto"/>
        <w:left w:val="none" w:sz="0" w:space="0" w:color="auto"/>
        <w:bottom w:val="none" w:sz="0" w:space="0" w:color="auto"/>
        <w:right w:val="none" w:sz="0" w:space="0" w:color="auto"/>
      </w:divBdr>
    </w:div>
    <w:div w:id="1624194221">
      <w:marLeft w:val="0"/>
      <w:marRight w:val="0"/>
      <w:marTop w:val="0"/>
      <w:marBottom w:val="0"/>
      <w:divBdr>
        <w:top w:val="none" w:sz="0" w:space="0" w:color="auto"/>
        <w:left w:val="none" w:sz="0" w:space="0" w:color="auto"/>
        <w:bottom w:val="none" w:sz="0" w:space="0" w:color="auto"/>
        <w:right w:val="none" w:sz="0" w:space="0" w:color="auto"/>
      </w:divBdr>
    </w:div>
    <w:div w:id="1624194222">
      <w:marLeft w:val="0"/>
      <w:marRight w:val="0"/>
      <w:marTop w:val="0"/>
      <w:marBottom w:val="0"/>
      <w:divBdr>
        <w:top w:val="none" w:sz="0" w:space="0" w:color="auto"/>
        <w:left w:val="none" w:sz="0" w:space="0" w:color="auto"/>
        <w:bottom w:val="none" w:sz="0" w:space="0" w:color="auto"/>
        <w:right w:val="none" w:sz="0" w:space="0" w:color="auto"/>
      </w:divBdr>
    </w:div>
    <w:div w:id="1624194223">
      <w:marLeft w:val="0"/>
      <w:marRight w:val="0"/>
      <w:marTop w:val="0"/>
      <w:marBottom w:val="0"/>
      <w:divBdr>
        <w:top w:val="none" w:sz="0" w:space="0" w:color="auto"/>
        <w:left w:val="none" w:sz="0" w:space="0" w:color="auto"/>
        <w:bottom w:val="none" w:sz="0" w:space="0" w:color="auto"/>
        <w:right w:val="none" w:sz="0" w:space="0" w:color="auto"/>
      </w:divBdr>
    </w:div>
    <w:div w:id="1624194224">
      <w:marLeft w:val="0"/>
      <w:marRight w:val="0"/>
      <w:marTop w:val="0"/>
      <w:marBottom w:val="0"/>
      <w:divBdr>
        <w:top w:val="none" w:sz="0" w:space="0" w:color="auto"/>
        <w:left w:val="none" w:sz="0" w:space="0" w:color="auto"/>
        <w:bottom w:val="none" w:sz="0" w:space="0" w:color="auto"/>
        <w:right w:val="none" w:sz="0" w:space="0" w:color="auto"/>
      </w:divBdr>
    </w:div>
    <w:div w:id="1624194225">
      <w:marLeft w:val="0"/>
      <w:marRight w:val="0"/>
      <w:marTop w:val="0"/>
      <w:marBottom w:val="0"/>
      <w:divBdr>
        <w:top w:val="none" w:sz="0" w:space="0" w:color="auto"/>
        <w:left w:val="none" w:sz="0" w:space="0" w:color="auto"/>
        <w:bottom w:val="none" w:sz="0" w:space="0" w:color="auto"/>
        <w:right w:val="none" w:sz="0" w:space="0" w:color="auto"/>
      </w:divBdr>
    </w:div>
    <w:div w:id="1624194226">
      <w:marLeft w:val="0"/>
      <w:marRight w:val="0"/>
      <w:marTop w:val="0"/>
      <w:marBottom w:val="0"/>
      <w:divBdr>
        <w:top w:val="none" w:sz="0" w:space="0" w:color="auto"/>
        <w:left w:val="none" w:sz="0" w:space="0" w:color="auto"/>
        <w:bottom w:val="none" w:sz="0" w:space="0" w:color="auto"/>
        <w:right w:val="none" w:sz="0" w:space="0" w:color="auto"/>
      </w:divBdr>
    </w:div>
    <w:div w:id="1624194227">
      <w:marLeft w:val="0"/>
      <w:marRight w:val="0"/>
      <w:marTop w:val="0"/>
      <w:marBottom w:val="0"/>
      <w:divBdr>
        <w:top w:val="none" w:sz="0" w:space="0" w:color="auto"/>
        <w:left w:val="none" w:sz="0" w:space="0" w:color="auto"/>
        <w:bottom w:val="none" w:sz="0" w:space="0" w:color="auto"/>
        <w:right w:val="none" w:sz="0" w:space="0" w:color="auto"/>
      </w:divBdr>
    </w:div>
    <w:div w:id="1624194228">
      <w:marLeft w:val="0"/>
      <w:marRight w:val="0"/>
      <w:marTop w:val="0"/>
      <w:marBottom w:val="0"/>
      <w:divBdr>
        <w:top w:val="none" w:sz="0" w:space="0" w:color="auto"/>
        <w:left w:val="none" w:sz="0" w:space="0" w:color="auto"/>
        <w:bottom w:val="none" w:sz="0" w:space="0" w:color="auto"/>
        <w:right w:val="none" w:sz="0" w:space="0" w:color="auto"/>
      </w:divBdr>
    </w:div>
    <w:div w:id="1624194229">
      <w:marLeft w:val="0"/>
      <w:marRight w:val="0"/>
      <w:marTop w:val="0"/>
      <w:marBottom w:val="0"/>
      <w:divBdr>
        <w:top w:val="none" w:sz="0" w:space="0" w:color="auto"/>
        <w:left w:val="none" w:sz="0" w:space="0" w:color="auto"/>
        <w:bottom w:val="none" w:sz="0" w:space="0" w:color="auto"/>
        <w:right w:val="none" w:sz="0" w:space="0" w:color="auto"/>
      </w:divBdr>
    </w:div>
    <w:div w:id="1624194230">
      <w:marLeft w:val="0"/>
      <w:marRight w:val="0"/>
      <w:marTop w:val="0"/>
      <w:marBottom w:val="0"/>
      <w:divBdr>
        <w:top w:val="none" w:sz="0" w:space="0" w:color="auto"/>
        <w:left w:val="none" w:sz="0" w:space="0" w:color="auto"/>
        <w:bottom w:val="none" w:sz="0" w:space="0" w:color="auto"/>
        <w:right w:val="none" w:sz="0" w:space="0" w:color="auto"/>
      </w:divBdr>
    </w:div>
    <w:div w:id="1624194231">
      <w:marLeft w:val="0"/>
      <w:marRight w:val="0"/>
      <w:marTop w:val="0"/>
      <w:marBottom w:val="0"/>
      <w:divBdr>
        <w:top w:val="none" w:sz="0" w:space="0" w:color="auto"/>
        <w:left w:val="none" w:sz="0" w:space="0" w:color="auto"/>
        <w:bottom w:val="none" w:sz="0" w:space="0" w:color="auto"/>
        <w:right w:val="none" w:sz="0" w:space="0" w:color="auto"/>
      </w:divBdr>
    </w:div>
    <w:div w:id="1624194232">
      <w:marLeft w:val="0"/>
      <w:marRight w:val="0"/>
      <w:marTop w:val="0"/>
      <w:marBottom w:val="0"/>
      <w:divBdr>
        <w:top w:val="none" w:sz="0" w:space="0" w:color="auto"/>
        <w:left w:val="none" w:sz="0" w:space="0" w:color="auto"/>
        <w:bottom w:val="none" w:sz="0" w:space="0" w:color="auto"/>
        <w:right w:val="none" w:sz="0" w:space="0" w:color="auto"/>
      </w:divBdr>
    </w:div>
    <w:div w:id="1624194233">
      <w:marLeft w:val="0"/>
      <w:marRight w:val="0"/>
      <w:marTop w:val="0"/>
      <w:marBottom w:val="0"/>
      <w:divBdr>
        <w:top w:val="none" w:sz="0" w:space="0" w:color="auto"/>
        <w:left w:val="none" w:sz="0" w:space="0" w:color="auto"/>
        <w:bottom w:val="none" w:sz="0" w:space="0" w:color="auto"/>
        <w:right w:val="none" w:sz="0" w:space="0" w:color="auto"/>
      </w:divBdr>
    </w:div>
    <w:div w:id="1624194234">
      <w:marLeft w:val="0"/>
      <w:marRight w:val="0"/>
      <w:marTop w:val="0"/>
      <w:marBottom w:val="0"/>
      <w:divBdr>
        <w:top w:val="none" w:sz="0" w:space="0" w:color="auto"/>
        <w:left w:val="none" w:sz="0" w:space="0" w:color="auto"/>
        <w:bottom w:val="none" w:sz="0" w:space="0" w:color="auto"/>
        <w:right w:val="none" w:sz="0" w:space="0" w:color="auto"/>
      </w:divBdr>
    </w:div>
    <w:div w:id="1624194235">
      <w:marLeft w:val="0"/>
      <w:marRight w:val="0"/>
      <w:marTop w:val="0"/>
      <w:marBottom w:val="0"/>
      <w:divBdr>
        <w:top w:val="none" w:sz="0" w:space="0" w:color="auto"/>
        <w:left w:val="none" w:sz="0" w:space="0" w:color="auto"/>
        <w:bottom w:val="none" w:sz="0" w:space="0" w:color="auto"/>
        <w:right w:val="none" w:sz="0" w:space="0" w:color="auto"/>
      </w:divBdr>
    </w:div>
    <w:div w:id="1624194236">
      <w:marLeft w:val="0"/>
      <w:marRight w:val="0"/>
      <w:marTop w:val="0"/>
      <w:marBottom w:val="0"/>
      <w:divBdr>
        <w:top w:val="none" w:sz="0" w:space="0" w:color="auto"/>
        <w:left w:val="none" w:sz="0" w:space="0" w:color="auto"/>
        <w:bottom w:val="none" w:sz="0" w:space="0" w:color="auto"/>
        <w:right w:val="none" w:sz="0" w:space="0" w:color="auto"/>
      </w:divBdr>
    </w:div>
    <w:div w:id="1624194237">
      <w:marLeft w:val="0"/>
      <w:marRight w:val="0"/>
      <w:marTop w:val="0"/>
      <w:marBottom w:val="0"/>
      <w:divBdr>
        <w:top w:val="none" w:sz="0" w:space="0" w:color="auto"/>
        <w:left w:val="none" w:sz="0" w:space="0" w:color="auto"/>
        <w:bottom w:val="none" w:sz="0" w:space="0" w:color="auto"/>
        <w:right w:val="none" w:sz="0" w:space="0" w:color="auto"/>
      </w:divBdr>
    </w:div>
    <w:div w:id="1624194238">
      <w:marLeft w:val="0"/>
      <w:marRight w:val="0"/>
      <w:marTop w:val="0"/>
      <w:marBottom w:val="0"/>
      <w:divBdr>
        <w:top w:val="none" w:sz="0" w:space="0" w:color="auto"/>
        <w:left w:val="none" w:sz="0" w:space="0" w:color="auto"/>
        <w:bottom w:val="none" w:sz="0" w:space="0" w:color="auto"/>
        <w:right w:val="none" w:sz="0" w:space="0" w:color="auto"/>
      </w:divBdr>
    </w:div>
    <w:div w:id="1624194239">
      <w:marLeft w:val="0"/>
      <w:marRight w:val="0"/>
      <w:marTop w:val="0"/>
      <w:marBottom w:val="0"/>
      <w:divBdr>
        <w:top w:val="none" w:sz="0" w:space="0" w:color="auto"/>
        <w:left w:val="none" w:sz="0" w:space="0" w:color="auto"/>
        <w:bottom w:val="none" w:sz="0" w:space="0" w:color="auto"/>
        <w:right w:val="none" w:sz="0" w:space="0" w:color="auto"/>
      </w:divBdr>
    </w:div>
    <w:div w:id="1624194240">
      <w:marLeft w:val="0"/>
      <w:marRight w:val="0"/>
      <w:marTop w:val="0"/>
      <w:marBottom w:val="0"/>
      <w:divBdr>
        <w:top w:val="none" w:sz="0" w:space="0" w:color="auto"/>
        <w:left w:val="none" w:sz="0" w:space="0" w:color="auto"/>
        <w:bottom w:val="none" w:sz="0" w:space="0" w:color="auto"/>
        <w:right w:val="none" w:sz="0" w:space="0" w:color="auto"/>
      </w:divBdr>
    </w:div>
    <w:div w:id="1624194241">
      <w:marLeft w:val="0"/>
      <w:marRight w:val="0"/>
      <w:marTop w:val="0"/>
      <w:marBottom w:val="0"/>
      <w:divBdr>
        <w:top w:val="none" w:sz="0" w:space="0" w:color="auto"/>
        <w:left w:val="none" w:sz="0" w:space="0" w:color="auto"/>
        <w:bottom w:val="none" w:sz="0" w:space="0" w:color="auto"/>
        <w:right w:val="none" w:sz="0" w:space="0" w:color="auto"/>
      </w:divBdr>
    </w:div>
    <w:div w:id="1624194242">
      <w:marLeft w:val="0"/>
      <w:marRight w:val="0"/>
      <w:marTop w:val="0"/>
      <w:marBottom w:val="0"/>
      <w:divBdr>
        <w:top w:val="none" w:sz="0" w:space="0" w:color="auto"/>
        <w:left w:val="none" w:sz="0" w:space="0" w:color="auto"/>
        <w:bottom w:val="none" w:sz="0" w:space="0" w:color="auto"/>
        <w:right w:val="none" w:sz="0" w:space="0" w:color="auto"/>
      </w:divBdr>
    </w:div>
    <w:div w:id="1624194243">
      <w:marLeft w:val="0"/>
      <w:marRight w:val="0"/>
      <w:marTop w:val="0"/>
      <w:marBottom w:val="0"/>
      <w:divBdr>
        <w:top w:val="none" w:sz="0" w:space="0" w:color="auto"/>
        <w:left w:val="none" w:sz="0" w:space="0" w:color="auto"/>
        <w:bottom w:val="none" w:sz="0" w:space="0" w:color="auto"/>
        <w:right w:val="none" w:sz="0" w:space="0" w:color="auto"/>
      </w:divBdr>
    </w:div>
    <w:div w:id="1624194244">
      <w:marLeft w:val="0"/>
      <w:marRight w:val="0"/>
      <w:marTop w:val="0"/>
      <w:marBottom w:val="0"/>
      <w:divBdr>
        <w:top w:val="none" w:sz="0" w:space="0" w:color="auto"/>
        <w:left w:val="none" w:sz="0" w:space="0" w:color="auto"/>
        <w:bottom w:val="none" w:sz="0" w:space="0" w:color="auto"/>
        <w:right w:val="none" w:sz="0" w:space="0" w:color="auto"/>
      </w:divBdr>
    </w:div>
    <w:div w:id="1624194245">
      <w:marLeft w:val="0"/>
      <w:marRight w:val="0"/>
      <w:marTop w:val="0"/>
      <w:marBottom w:val="0"/>
      <w:divBdr>
        <w:top w:val="none" w:sz="0" w:space="0" w:color="auto"/>
        <w:left w:val="none" w:sz="0" w:space="0" w:color="auto"/>
        <w:bottom w:val="none" w:sz="0" w:space="0" w:color="auto"/>
        <w:right w:val="none" w:sz="0" w:space="0" w:color="auto"/>
      </w:divBdr>
    </w:div>
    <w:div w:id="1624194246">
      <w:marLeft w:val="0"/>
      <w:marRight w:val="0"/>
      <w:marTop w:val="0"/>
      <w:marBottom w:val="0"/>
      <w:divBdr>
        <w:top w:val="none" w:sz="0" w:space="0" w:color="auto"/>
        <w:left w:val="none" w:sz="0" w:space="0" w:color="auto"/>
        <w:bottom w:val="none" w:sz="0" w:space="0" w:color="auto"/>
        <w:right w:val="none" w:sz="0" w:space="0" w:color="auto"/>
      </w:divBdr>
    </w:div>
    <w:div w:id="1624194247">
      <w:marLeft w:val="0"/>
      <w:marRight w:val="0"/>
      <w:marTop w:val="0"/>
      <w:marBottom w:val="0"/>
      <w:divBdr>
        <w:top w:val="none" w:sz="0" w:space="0" w:color="auto"/>
        <w:left w:val="none" w:sz="0" w:space="0" w:color="auto"/>
        <w:bottom w:val="none" w:sz="0" w:space="0" w:color="auto"/>
        <w:right w:val="none" w:sz="0" w:space="0" w:color="auto"/>
      </w:divBdr>
    </w:div>
    <w:div w:id="1624194248">
      <w:marLeft w:val="0"/>
      <w:marRight w:val="0"/>
      <w:marTop w:val="0"/>
      <w:marBottom w:val="0"/>
      <w:divBdr>
        <w:top w:val="none" w:sz="0" w:space="0" w:color="auto"/>
        <w:left w:val="none" w:sz="0" w:space="0" w:color="auto"/>
        <w:bottom w:val="none" w:sz="0" w:space="0" w:color="auto"/>
        <w:right w:val="none" w:sz="0" w:space="0" w:color="auto"/>
      </w:divBdr>
    </w:div>
    <w:div w:id="1624194249">
      <w:marLeft w:val="0"/>
      <w:marRight w:val="0"/>
      <w:marTop w:val="0"/>
      <w:marBottom w:val="0"/>
      <w:divBdr>
        <w:top w:val="none" w:sz="0" w:space="0" w:color="auto"/>
        <w:left w:val="none" w:sz="0" w:space="0" w:color="auto"/>
        <w:bottom w:val="none" w:sz="0" w:space="0" w:color="auto"/>
        <w:right w:val="none" w:sz="0" w:space="0" w:color="auto"/>
      </w:divBdr>
    </w:div>
    <w:div w:id="1624194250">
      <w:marLeft w:val="0"/>
      <w:marRight w:val="0"/>
      <w:marTop w:val="0"/>
      <w:marBottom w:val="0"/>
      <w:divBdr>
        <w:top w:val="none" w:sz="0" w:space="0" w:color="auto"/>
        <w:left w:val="none" w:sz="0" w:space="0" w:color="auto"/>
        <w:bottom w:val="none" w:sz="0" w:space="0" w:color="auto"/>
        <w:right w:val="none" w:sz="0" w:space="0" w:color="auto"/>
      </w:divBdr>
    </w:div>
    <w:div w:id="1624194251">
      <w:marLeft w:val="0"/>
      <w:marRight w:val="0"/>
      <w:marTop w:val="0"/>
      <w:marBottom w:val="0"/>
      <w:divBdr>
        <w:top w:val="none" w:sz="0" w:space="0" w:color="auto"/>
        <w:left w:val="none" w:sz="0" w:space="0" w:color="auto"/>
        <w:bottom w:val="none" w:sz="0" w:space="0" w:color="auto"/>
        <w:right w:val="none" w:sz="0" w:space="0" w:color="auto"/>
      </w:divBdr>
    </w:div>
    <w:div w:id="1624194252">
      <w:marLeft w:val="0"/>
      <w:marRight w:val="0"/>
      <w:marTop w:val="0"/>
      <w:marBottom w:val="0"/>
      <w:divBdr>
        <w:top w:val="none" w:sz="0" w:space="0" w:color="auto"/>
        <w:left w:val="none" w:sz="0" w:space="0" w:color="auto"/>
        <w:bottom w:val="none" w:sz="0" w:space="0" w:color="auto"/>
        <w:right w:val="none" w:sz="0" w:space="0" w:color="auto"/>
      </w:divBdr>
    </w:div>
    <w:div w:id="1624194253">
      <w:marLeft w:val="0"/>
      <w:marRight w:val="0"/>
      <w:marTop w:val="0"/>
      <w:marBottom w:val="0"/>
      <w:divBdr>
        <w:top w:val="none" w:sz="0" w:space="0" w:color="auto"/>
        <w:left w:val="none" w:sz="0" w:space="0" w:color="auto"/>
        <w:bottom w:val="none" w:sz="0" w:space="0" w:color="auto"/>
        <w:right w:val="none" w:sz="0" w:space="0" w:color="auto"/>
      </w:divBdr>
    </w:div>
    <w:div w:id="1624194254">
      <w:marLeft w:val="0"/>
      <w:marRight w:val="0"/>
      <w:marTop w:val="0"/>
      <w:marBottom w:val="0"/>
      <w:divBdr>
        <w:top w:val="none" w:sz="0" w:space="0" w:color="auto"/>
        <w:left w:val="none" w:sz="0" w:space="0" w:color="auto"/>
        <w:bottom w:val="none" w:sz="0" w:space="0" w:color="auto"/>
        <w:right w:val="none" w:sz="0" w:space="0" w:color="auto"/>
      </w:divBdr>
    </w:div>
    <w:div w:id="1624194255">
      <w:marLeft w:val="0"/>
      <w:marRight w:val="0"/>
      <w:marTop w:val="0"/>
      <w:marBottom w:val="0"/>
      <w:divBdr>
        <w:top w:val="none" w:sz="0" w:space="0" w:color="auto"/>
        <w:left w:val="none" w:sz="0" w:space="0" w:color="auto"/>
        <w:bottom w:val="none" w:sz="0" w:space="0" w:color="auto"/>
        <w:right w:val="none" w:sz="0" w:space="0" w:color="auto"/>
      </w:divBdr>
    </w:div>
    <w:div w:id="1624194256">
      <w:marLeft w:val="0"/>
      <w:marRight w:val="0"/>
      <w:marTop w:val="0"/>
      <w:marBottom w:val="0"/>
      <w:divBdr>
        <w:top w:val="none" w:sz="0" w:space="0" w:color="auto"/>
        <w:left w:val="none" w:sz="0" w:space="0" w:color="auto"/>
        <w:bottom w:val="none" w:sz="0" w:space="0" w:color="auto"/>
        <w:right w:val="none" w:sz="0" w:space="0" w:color="auto"/>
      </w:divBdr>
    </w:div>
    <w:div w:id="1624194257">
      <w:marLeft w:val="0"/>
      <w:marRight w:val="0"/>
      <w:marTop w:val="0"/>
      <w:marBottom w:val="0"/>
      <w:divBdr>
        <w:top w:val="none" w:sz="0" w:space="0" w:color="auto"/>
        <w:left w:val="none" w:sz="0" w:space="0" w:color="auto"/>
        <w:bottom w:val="none" w:sz="0" w:space="0" w:color="auto"/>
        <w:right w:val="none" w:sz="0" w:space="0" w:color="auto"/>
      </w:divBdr>
    </w:div>
    <w:div w:id="1624194258">
      <w:marLeft w:val="0"/>
      <w:marRight w:val="0"/>
      <w:marTop w:val="0"/>
      <w:marBottom w:val="0"/>
      <w:divBdr>
        <w:top w:val="none" w:sz="0" w:space="0" w:color="auto"/>
        <w:left w:val="none" w:sz="0" w:space="0" w:color="auto"/>
        <w:bottom w:val="none" w:sz="0" w:space="0" w:color="auto"/>
        <w:right w:val="none" w:sz="0" w:space="0" w:color="auto"/>
      </w:divBdr>
    </w:div>
    <w:div w:id="1624194259">
      <w:marLeft w:val="0"/>
      <w:marRight w:val="0"/>
      <w:marTop w:val="0"/>
      <w:marBottom w:val="0"/>
      <w:divBdr>
        <w:top w:val="none" w:sz="0" w:space="0" w:color="auto"/>
        <w:left w:val="none" w:sz="0" w:space="0" w:color="auto"/>
        <w:bottom w:val="none" w:sz="0" w:space="0" w:color="auto"/>
        <w:right w:val="none" w:sz="0" w:space="0" w:color="auto"/>
      </w:divBdr>
    </w:div>
    <w:div w:id="1624194260">
      <w:marLeft w:val="0"/>
      <w:marRight w:val="0"/>
      <w:marTop w:val="0"/>
      <w:marBottom w:val="0"/>
      <w:divBdr>
        <w:top w:val="none" w:sz="0" w:space="0" w:color="auto"/>
        <w:left w:val="none" w:sz="0" w:space="0" w:color="auto"/>
        <w:bottom w:val="none" w:sz="0" w:space="0" w:color="auto"/>
        <w:right w:val="none" w:sz="0" w:space="0" w:color="auto"/>
      </w:divBdr>
    </w:div>
    <w:div w:id="1624194261">
      <w:marLeft w:val="0"/>
      <w:marRight w:val="0"/>
      <w:marTop w:val="0"/>
      <w:marBottom w:val="0"/>
      <w:divBdr>
        <w:top w:val="none" w:sz="0" w:space="0" w:color="auto"/>
        <w:left w:val="none" w:sz="0" w:space="0" w:color="auto"/>
        <w:bottom w:val="none" w:sz="0" w:space="0" w:color="auto"/>
        <w:right w:val="none" w:sz="0" w:space="0" w:color="auto"/>
      </w:divBdr>
    </w:div>
    <w:div w:id="1624194262">
      <w:marLeft w:val="0"/>
      <w:marRight w:val="0"/>
      <w:marTop w:val="0"/>
      <w:marBottom w:val="0"/>
      <w:divBdr>
        <w:top w:val="none" w:sz="0" w:space="0" w:color="auto"/>
        <w:left w:val="none" w:sz="0" w:space="0" w:color="auto"/>
        <w:bottom w:val="none" w:sz="0" w:space="0" w:color="auto"/>
        <w:right w:val="none" w:sz="0" w:space="0" w:color="auto"/>
      </w:divBdr>
    </w:div>
    <w:div w:id="1624194263">
      <w:marLeft w:val="0"/>
      <w:marRight w:val="0"/>
      <w:marTop w:val="0"/>
      <w:marBottom w:val="0"/>
      <w:divBdr>
        <w:top w:val="none" w:sz="0" w:space="0" w:color="auto"/>
        <w:left w:val="none" w:sz="0" w:space="0" w:color="auto"/>
        <w:bottom w:val="none" w:sz="0" w:space="0" w:color="auto"/>
        <w:right w:val="none" w:sz="0" w:space="0" w:color="auto"/>
      </w:divBdr>
    </w:div>
    <w:div w:id="1624194264">
      <w:marLeft w:val="0"/>
      <w:marRight w:val="0"/>
      <w:marTop w:val="0"/>
      <w:marBottom w:val="0"/>
      <w:divBdr>
        <w:top w:val="none" w:sz="0" w:space="0" w:color="auto"/>
        <w:left w:val="none" w:sz="0" w:space="0" w:color="auto"/>
        <w:bottom w:val="none" w:sz="0" w:space="0" w:color="auto"/>
        <w:right w:val="none" w:sz="0" w:space="0" w:color="auto"/>
      </w:divBdr>
    </w:div>
    <w:div w:id="1624194265">
      <w:marLeft w:val="0"/>
      <w:marRight w:val="0"/>
      <w:marTop w:val="0"/>
      <w:marBottom w:val="0"/>
      <w:divBdr>
        <w:top w:val="none" w:sz="0" w:space="0" w:color="auto"/>
        <w:left w:val="none" w:sz="0" w:space="0" w:color="auto"/>
        <w:bottom w:val="none" w:sz="0" w:space="0" w:color="auto"/>
        <w:right w:val="none" w:sz="0" w:space="0" w:color="auto"/>
      </w:divBdr>
    </w:div>
    <w:div w:id="1624194266">
      <w:marLeft w:val="0"/>
      <w:marRight w:val="0"/>
      <w:marTop w:val="0"/>
      <w:marBottom w:val="0"/>
      <w:divBdr>
        <w:top w:val="none" w:sz="0" w:space="0" w:color="auto"/>
        <w:left w:val="none" w:sz="0" w:space="0" w:color="auto"/>
        <w:bottom w:val="none" w:sz="0" w:space="0" w:color="auto"/>
        <w:right w:val="none" w:sz="0" w:space="0" w:color="auto"/>
      </w:divBdr>
    </w:div>
    <w:div w:id="1624194267">
      <w:marLeft w:val="0"/>
      <w:marRight w:val="0"/>
      <w:marTop w:val="0"/>
      <w:marBottom w:val="0"/>
      <w:divBdr>
        <w:top w:val="none" w:sz="0" w:space="0" w:color="auto"/>
        <w:left w:val="none" w:sz="0" w:space="0" w:color="auto"/>
        <w:bottom w:val="none" w:sz="0" w:space="0" w:color="auto"/>
        <w:right w:val="none" w:sz="0" w:space="0" w:color="auto"/>
      </w:divBdr>
    </w:div>
    <w:div w:id="1624194268">
      <w:marLeft w:val="0"/>
      <w:marRight w:val="0"/>
      <w:marTop w:val="0"/>
      <w:marBottom w:val="0"/>
      <w:divBdr>
        <w:top w:val="none" w:sz="0" w:space="0" w:color="auto"/>
        <w:left w:val="none" w:sz="0" w:space="0" w:color="auto"/>
        <w:bottom w:val="none" w:sz="0" w:space="0" w:color="auto"/>
        <w:right w:val="none" w:sz="0" w:space="0" w:color="auto"/>
      </w:divBdr>
    </w:div>
    <w:div w:id="1624194269">
      <w:marLeft w:val="0"/>
      <w:marRight w:val="0"/>
      <w:marTop w:val="0"/>
      <w:marBottom w:val="0"/>
      <w:divBdr>
        <w:top w:val="none" w:sz="0" w:space="0" w:color="auto"/>
        <w:left w:val="none" w:sz="0" w:space="0" w:color="auto"/>
        <w:bottom w:val="none" w:sz="0" w:space="0" w:color="auto"/>
        <w:right w:val="none" w:sz="0" w:space="0" w:color="auto"/>
      </w:divBdr>
    </w:div>
    <w:div w:id="1624194270">
      <w:marLeft w:val="0"/>
      <w:marRight w:val="0"/>
      <w:marTop w:val="0"/>
      <w:marBottom w:val="0"/>
      <w:divBdr>
        <w:top w:val="none" w:sz="0" w:space="0" w:color="auto"/>
        <w:left w:val="none" w:sz="0" w:space="0" w:color="auto"/>
        <w:bottom w:val="none" w:sz="0" w:space="0" w:color="auto"/>
        <w:right w:val="none" w:sz="0" w:space="0" w:color="auto"/>
      </w:divBdr>
    </w:div>
    <w:div w:id="1624194271">
      <w:marLeft w:val="0"/>
      <w:marRight w:val="0"/>
      <w:marTop w:val="0"/>
      <w:marBottom w:val="0"/>
      <w:divBdr>
        <w:top w:val="none" w:sz="0" w:space="0" w:color="auto"/>
        <w:left w:val="none" w:sz="0" w:space="0" w:color="auto"/>
        <w:bottom w:val="none" w:sz="0" w:space="0" w:color="auto"/>
        <w:right w:val="none" w:sz="0" w:space="0" w:color="auto"/>
      </w:divBdr>
    </w:div>
    <w:div w:id="1624194272">
      <w:marLeft w:val="0"/>
      <w:marRight w:val="0"/>
      <w:marTop w:val="0"/>
      <w:marBottom w:val="0"/>
      <w:divBdr>
        <w:top w:val="none" w:sz="0" w:space="0" w:color="auto"/>
        <w:left w:val="none" w:sz="0" w:space="0" w:color="auto"/>
        <w:bottom w:val="none" w:sz="0" w:space="0" w:color="auto"/>
        <w:right w:val="none" w:sz="0" w:space="0" w:color="auto"/>
      </w:divBdr>
    </w:div>
    <w:div w:id="1624194273">
      <w:marLeft w:val="0"/>
      <w:marRight w:val="0"/>
      <w:marTop w:val="0"/>
      <w:marBottom w:val="0"/>
      <w:divBdr>
        <w:top w:val="none" w:sz="0" w:space="0" w:color="auto"/>
        <w:left w:val="none" w:sz="0" w:space="0" w:color="auto"/>
        <w:bottom w:val="none" w:sz="0" w:space="0" w:color="auto"/>
        <w:right w:val="none" w:sz="0" w:space="0" w:color="auto"/>
      </w:divBdr>
    </w:div>
    <w:div w:id="1624194274">
      <w:marLeft w:val="0"/>
      <w:marRight w:val="0"/>
      <w:marTop w:val="0"/>
      <w:marBottom w:val="0"/>
      <w:divBdr>
        <w:top w:val="none" w:sz="0" w:space="0" w:color="auto"/>
        <w:left w:val="none" w:sz="0" w:space="0" w:color="auto"/>
        <w:bottom w:val="none" w:sz="0" w:space="0" w:color="auto"/>
        <w:right w:val="none" w:sz="0" w:space="0" w:color="auto"/>
      </w:divBdr>
    </w:div>
    <w:div w:id="1624194275">
      <w:marLeft w:val="0"/>
      <w:marRight w:val="0"/>
      <w:marTop w:val="0"/>
      <w:marBottom w:val="0"/>
      <w:divBdr>
        <w:top w:val="none" w:sz="0" w:space="0" w:color="auto"/>
        <w:left w:val="none" w:sz="0" w:space="0" w:color="auto"/>
        <w:bottom w:val="none" w:sz="0" w:space="0" w:color="auto"/>
        <w:right w:val="none" w:sz="0" w:space="0" w:color="auto"/>
      </w:divBdr>
    </w:div>
    <w:div w:id="1624194276">
      <w:marLeft w:val="0"/>
      <w:marRight w:val="0"/>
      <w:marTop w:val="0"/>
      <w:marBottom w:val="0"/>
      <w:divBdr>
        <w:top w:val="none" w:sz="0" w:space="0" w:color="auto"/>
        <w:left w:val="none" w:sz="0" w:space="0" w:color="auto"/>
        <w:bottom w:val="none" w:sz="0" w:space="0" w:color="auto"/>
        <w:right w:val="none" w:sz="0" w:space="0" w:color="auto"/>
      </w:divBdr>
    </w:div>
    <w:div w:id="1624194277">
      <w:marLeft w:val="0"/>
      <w:marRight w:val="0"/>
      <w:marTop w:val="0"/>
      <w:marBottom w:val="0"/>
      <w:divBdr>
        <w:top w:val="none" w:sz="0" w:space="0" w:color="auto"/>
        <w:left w:val="none" w:sz="0" w:space="0" w:color="auto"/>
        <w:bottom w:val="none" w:sz="0" w:space="0" w:color="auto"/>
        <w:right w:val="none" w:sz="0" w:space="0" w:color="auto"/>
      </w:divBdr>
    </w:div>
    <w:div w:id="1624194278">
      <w:marLeft w:val="0"/>
      <w:marRight w:val="0"/>
      <w:marTop w:val="0"/>
      <w:marBottom w:val="0"/>
      <w:divBdr>
        <w:top w:val="none" w:sz="0" w:space="0" w:color="auto"/>
        <w:left w:val="none" w:sz="0" w:space="0" w:color="auto"/>
        <w:bottom w:val="none" w:sz="0" w:space="0" w:color="auto"/>
        <w:right w:val="none" w:sz="0" w:space="0" w:color="auto"/>
      </w:divBdr>
    </w:div>
    <w:div w:id="1624194279">
      <w:marLeft w:val="0"/>
      <w:marRight w:val="0"/>
      <w:marTop w:val="0"/>
      <w:marBottom w:val="0"/>
      <w:divBdr>
        <w:top w:val="none" w:sz="0" w:space="0" w:color="auto"/>
        <w:left w:val="none" w:sz="0" w:space="0" w:color="auto"/>
        <w:bottom w:val="none" w:sz="0" w:space="0" w:color="auto"/>
        <w:right w:val="none" w:sz="0" w:space="0" w:color="auto"/>
      </w:divBdr>
    </w:div>
    <w:div w:id="1624194280">
      <w:marLeft w:val="0"/>
      <w:marRight w:val="0"/>
      <w:marTop w:val="0"/>
      <w:marBottom w:val="0"/>
      <w:divBdr>
        <w:top w:val="none" w:sz="0" w:space="0" w:color="auto"/>
        <w:left w:val="none" w:sz="0" w:space="0" w:color="auto"/>
        <w:bottom w:val="none" w:sz="0" w:space="0" w:color="auto"/>
        <w:right w:val="none" w:sz="0" w:space="0" w:color="auto"/>
      </w:divBdr>
    </w:div>
    <w:div w:id="1624194281">
      <w:marLeft w:val="0"/>
      <w:marRight w:val="0"/>
      <w:marTop w:val="0"/>
      <w:marBottom w:val="0"/>
      <w:divBdr>
        <w:top w:val="none" w:sz="0" w:space="0" w:color="auto"/>
        <w:left w:val="none" w:sz="0" w:space="0" w:color="auto"/>
        <w:bottom w:val="none" w:sz="0" w:space="0" w:color="auto"/>
        <w:right w:val="none" w:sz="0" w:space="0" w:color="auto"/>
      </w:divBdr>
    </w:div>
    <w:div w:id="1624194282">
      <w:marLeft w:val="0"/>
      <w:marRight w:val="0"/>
      <w:marTop w:val="0"/>
      <w:marBottom w:val="0"/>
      <w:divBdr>
        <w:top w:val="none" w:sz="0" w:space="0" w:color="auto"/>
        <w:left w:val="none" w:sz="0" w:space="0" w:color="auto"/>
        <w:bottom w:val="none" w:sz="0" w:space="0" w:color="auto"/>
        <w:right w:val="none" w:sz="0" w:space="0" w:color="auto"/>
      </w:divBdr>
    </w:div>
    <w:div w:id="1624194283">
      <w:marLeft w:val="0"/>
      <w:marRight w:val="0"/>
      <w:marTop w:val="0"/>
      <w:marBottom w:val="0"/>
      <w:divBdr>
        <w:top w:val="none" w:sz="0" w:space="0" w:color="auto"/>
        <w:left w:val="none" w:sz="0" w:space="0" w:color="auto"/>
        <w:bottom w:val="none" w:sz="0" w:space="0" w:color="auto"/>
        <w:right w:val="none" w:sz="0" w:space="0" w:color="auto"/>
      </w:divBdr>
    </w:div>
    <w:div w:id="1624194284">
      <w:marLeft w:val="0"/>
      <w:marRight w:val="0"/>
      <w:marTop w:val="0"/>
      <w:marBottom w:val="0"/>
      <w:divBdr>
        <w:top w:val="none" w:sz="0" w:space="0" w:color="auto"/>
        <w:left w:val="none" w:sz="0" w:space="0" w:color="auto"/>
        <w:bottom w:val="none" w:sz="0" w:space="0" w:color="auto"/>
        <w:right w:val="none" w:sz="0" w:space="0" w:color="auto"/>
      </w:divBdr>
    </w:div>
    <w:div w:id="1624194285">
      <w:marLeft w:val="0"/>
      <w:marRight w:val="0"/>
      <w:marTop w:val="0"/>
      <w:marBottom w:val="0"/>
      <w:divBdr>
        <w:top w:val="none" w:sz="0" w:space="0" w:color="auto"/>
        <w:left w:val="none" w:sz="0" w:space="0" w:color="auto"/>
        <w:bottom w:val="none" w:sz="0" w:space="0" w:color="auto"/>
        <w:right w:val="none" w:sz="0" w:space="0" w:color="auto"/>
      </w:divBdr>
    </w:div>
    <w:div w:id="1624194286">
      <w:marLeft w:val="0"/>
      <w:marRight w:val="0"/>
      <w:marTop w:val="0"/>
      <w:marBottom w:val="0"/>
      <w:divBdr>
        <w:top w:val="none" w:sz="0" w:space="0" w:color="auto"/>
        <w:left w:val="none" w:sz="0" w:space="0" w:color="auto"/>
        <w:bottom w:val="none" w:sz="0" w:space="0" w:color="auto"/>
        <w:right w:val="none" w:sz="0" w:space="0" w:color="auto"/>
      </w:divBdr>
    </w:div>
    <w:div w:id="1624194287">
      <w:marLeft w:val="0"/>
      <w:marRight w:val="0"/>
      <w:marTop w:val="0"/>
      <w:marBottom w:val="0"/>
      <w:divBdr>
        <w:top w:val="none" w:sz="0" w:space="0" w:color="auto"/>
        <w:left w:val="none" w:sz="0" w:space="0" w:color="auto"/>
        <w:bottom w:val="none" w:sz="0" w:space="0" w:color="auto"/>
        <w:right w:val="none" w:sz="0" w:space="0" w:color="auto"/>
      </w:divBdr>
    </w:div>
    <w:div w:id="1624194288">
      <w:marLeft w:val="0"/>
      <w:marRight w:val="0"/>
      <w:marTop w:val="0"/>
      <w:marBottom w:val="0"/>
      <w:divBdr>
        <w:top w:val="none" w:sz="0" w:space="0" w:color="auto"/>
        <w:left w:val="none" w:sz="0" w:space="0" w:color="auto"/>
        <w:bottom w:val="none" w:sz="0" w:space="0" w:color="auto"/>
        <w:right w:val="none" w:sz="0" w:space="0" w:color="auto"/>
      </w:divBdr>
    </w:div>
    <w:div w:id="1624194289">
      <w:marLeft w:val="0"/>
      <w:marRight w:val="0"/>
      <w:marTop w:val="0"/>
      <w:marBottom w:val="0"/>
      <w:divBdr>
        <w:top w:val="none" w:sz="0" w:space="0" w:color="auto"/>
        <w:left w:val="none" w:sz="0" w:space="0" w:color="auto"/>
        <w:bottom w:val="none" w:sz="0" w:space="0" w:color="auto"/>
        <w:right w:val="none" w:sz="0" w:space="0" w:color="auto"/>
      </w:divBdr>
    </w:div>
    <w:div w:id="1624194290">
      <w:marLeft w:val="0"/>
      <w:marRight w:val="0"/>
      <w:marTop w:val="0"/>
      <w:marBottom w:val="0"/>
      <w:divBdr>
        <w:top w:val="none" w:sz="0" w:space="0" w:color="auto"/>
        <w:left w:val="none" w:sz="0" w:space="0" w:color="auto"/>
        <w:bottom w:val="none" w:sz="0" w:space="0" w:color="auto"/>
        <w:right w:val="none" w:sz="0" w:space="0" w:color="auto"/>
      </w:divBdr>
    </w:div>
    <w:div w:id="1624194291">
      <w:marLeft w:val="0"/>
      <w:marRight w:val="0"/>
      <w:marTop w:val="0"/>
      <w:marBottom w:val="0"/>
      <w:divBdr>
        <w:top w:val="none" w:sz="0" w:space="0" w:color="auto"/>
        <w:left w:val="none" w:sz="0" w:space="0" w:color="auto"/>
        <w:bottom w:val="none" w:sz="0" w:space="0" w:color="auto"/>
        <w:right w:val="none" w:sz="0" w:space="0" w:color="auto"/>
      </w:divBdr>
    </w:div>
    <w:div w:id="1624194292">
      <w:marLeft w:val="0"/>
      <w:marRight w:val="0"/>
      <w:marTop w:val="0"/>
      <w:marBottom w:val="0"/>
      <w:divBdr>
        <w:top w:val="none" w:sz="0" w:space="0" w:color="auto"/>
        <w:left w:val="none" w:sz="0" w:space="0" w:color="auto"/>
        <w:bottom w:val="none" w:sz="0" w:space="0" w:color="auto"/>
        <w:right w:val="none" w:sz="0" w:space="0" w:color="auto"/>
      </w:divBdr>
    </w:div>
    <w:div w:id="1624194293">
      <w:marLeft w:val="0"/>
      <w:marRight w:val="0"/>
      <w:marTop w:val="0"/>
      <w:marBottom w:val="0"/>
      <w:divBdr>
        <w:top w:val="none" w:sz="0" w:space="0" w:color="auto"/>
        <w:left w:val="none" w:sz="0" w:space="0" w:color="auto"/>
        <w:bottom w:val="none" w:sz="0" w:space="0" w:color="auto"/>
        <w:right w:val="none" w:sz="0" w:space="0" w:color="auto"/>
      </w:divBdr>
    </w:div>
    <w:div w:id="1624194294">
      <w:marLeft w:val="0"/>
      <w:marRight w:val="0"/>
      <w:marTop w:val="0"/>
      <w:marBottom w:val="0"/>
      <w:divBdr>
        <w:top w:val="none" w:sz="0" w:space="0" w:color="auto"/>
        <w:left w:val="none" w:sz="0" w:space="0" w:color="auto"/>
        <w:bottom w:val="none" w:sz="0" w:space="0" w:color="auto"/>
        <w:right w:val="none" w:sz="0" w:space="0" w:color="auto"/>
      </w:divBdr>
    </w:div>
    <w:div w:id="1624194295">
      <w:marLeft w:val="0"/>
      <w:marRight w:val="0"/>
      <w:marTop w:val="0"/>
      <w:marBottom w:val="0"/>
      <w:divBdr>
        <w:top w:val="none" w:sz="0" w:space="0" w:color="auto"/>
        <w:left w:val="none" w:sz="0" w:space="0" w:color="auto"/>
        <w:bottom w:val="none" w:sz="0" w:space="0" w:color="auto"/>
        <w:right w:val="none" w:sz="0" w:space="0" w:color="auto"/>
      </w:divBdr>
    </w:div>
    <w:div w:id="1624194296">
      <w:marLeft w:val="0"/>
      <w:marRight w:val="0"/>
      <w:marTop w:val="0"/>
      <w:marBottom w:val="0"/>
      <w:divBdr>
        <w:top w:val="none" w:sz="0" w:space="0" w:color="auto"/>
        <w:left w:val="none" w:sz="0" w:space="0" w:color="auto"/>
        <w:bottom w:val="none" w:sz="0" w:space="0" w:color="auto"/>
        <w:right w:val="none" w:sz="0" w:space="0" w:color="auto"/>
      </w:divBdr>
    </w:div>
    <w:div w:id="1624194297">
      <w:marLeft w:val="0"/>
      <w:marRight w:val="0"/>
      <w:marTop w:val="0"/>
      <w:marBottom w:val="0"/>
      <w:divBdr>
        <w:top w:val="none" w:sz="0" w:space="0" w:color="auto"/>
        <w:left w:val="none" w:sz="0" w:space="0" w:color="auto"/>
        <w:bottom w:val="none" w:sz="0" w:space="0" w:color="auto"/>
        <w:right w:val="none" w:sz="0" w:space="0" w:color="auto"/>
      </w:divBdr>
    </w:div>
    <w:div w:id="1624194298">
      <w:marLeft w:val="0"/>
      <w:marRight w:val="0"/>
      <w:marTop w:val="0"/>
      <w:marBottom w:val="0"/>
      <w:divBdr>
        <w:top w:val="none" w:sz="0" w:space="0" w:color="auto"/>
        <w:left w:val="none" w:sz="0" w:space="0" w:color="auto"/>
        <w:bottom w:val="none" w:sz="0" w:space="0" w:color="auto"/>
        <w:right w:val="none" w:sz="0" w:space="0" w:color="auto"/>
      </w:divBdr>
    </w:div>
    <w:div w:id="1624194299">
      <w:marLeft w:val="0"/>
      <w:marRight w:val="0"/>
      <w:marTop w:val="0"/>
      <w:marBottom w:val="0"/>
      <w:divBdr>
        <w:top w:val="none" w:sz="0" w:space="0" w:color="auto"/>
        <w:left w:val="none" w:sz="0" w:space="0" w:color="auto"/>
        <w:bottom w:val="none" w:sz="0" w:space="0" w:color="auto"/>
        <w:right w:val="none" w:sz="0" w:space="0" w:color="auto"/>
      </w:divBdr>
    </w:div>
    <w:div w:id="1624194300">
      <w:marLeft w:val="0"/>
      <w:marRight w:val="0"/>
      <w:marTop w:val="0"/>
      <w:marBottom w:val="0"/>
      <w:divBdr>
        <w:top w:val="none" w:sz="0" w:space="0" w:color="auto"/>
        <w:left w:val="none" w:sz="0" w:space="0" w:color="auto"/>
        <w:bottom w:val="none" w:sz="0" w:space="0" w:color="auto"/>
        <w:right w:val="none" w:sz="0" w:space="0" w:color="auto"/>
      </w:divBdr>
    </w:div>
    <w:div w:id="1624194301">
      <w:marLeft w:val="0"/>
      <w:marRight w:val="0"/>
      <w:marTop w:val="0"/>
      <w:marBottom w:val="0"/>
      <w:divBdr>
        <w:top w:val="none" w:sz="0" w:space="0" w:color="auto"/>
        <w:left w:val="none" w:sz="0" w:space="0" w:color="auto"/>
        <w:bottom w:val="none" w:sz="0" w:space="0" w:color="auto"/>
        <w:right w:val="none" w:sz="0" w:space="0" w:color="auto"/>
      </w:divBdr>
    </w:div>
    <w:div w:id="1624194302">
      <w:marLeft w:val="0"/>
      <w:marRight w:val="0"/>
      <w:marTop w:val="0"/>
      <w:marBottom w:val="0"/>
      <w:divBdr>
        <w:top w:val="none" w:sz="0" w:space="0" w:color="auto"/>
        <w:left w:val="none" w:sz="0" w:space="0" w:color="auto"/>
        <w:bottom w:val="none" w:sz="0" w:space="0" w:color="auto"/>
        <w:right w:val="none" w:sz="0" w:space="0" w:color="auto"/>
      </w:divBdr>
    </w:div>
    <w:div w:id="1624194303">
      <w:marLeft w:val="0"/>
      <w:marRight w:val="0"/>
      <w:marTop w:val="0"/>
      <w:marBottom w:val="0"/>
      <w:divBdr>
        <w:top w:val="none" w:sz="0" w:space="0" w:color="auto"/>
        <w:left w:val="none" w:sz="0" w:space="0" w:color="auto"/>
        <w:bottom w:val="none" w:sz="0" w:space="0" w:color="auto"/>
        <w:right w:val="none" w:sz="0" w:space="0" w:color="auto"/>
      </w:divBdr>
    </w:div>
    <w:div w:id="1624194304">
      <w:marLeft w:val="0"/>
      <w:marRight w:val="0"/>
      <w:marTop w:val="0"/>
      <w:marBottom w:val="0"/>
      <w:divBdr>
        <w:top w:val="none" w:sz="0" w:space="0" w:color="auto"/>
        <w:left w:val="none" w:sz="0" w:space="0" w:color="auto"/>
        <w:bottom w:val="none" w:sz="0" w:space="0" w:color="auto"/>
        <w:right w:val="none" w:sz="0" w:space="0" w:color="auto"/>
      </w:divBdr>
    </w:div>
    <w:div w:id="1624194305">
      <w:marLeft w:val="0"/>
      <w:marRight w:val="0"/>
      <w:marTop w:val="0"/>
      <w:marBottom w:val="0"/>
      <w:divBdr>
        <w:top w:val="none" w:sz="0" w:space="0" w:color="auto"/>
        <w:left w:val="none" w:sz="0" w:space="0" w:color="auto"/>
        <w:bottom w:val="none" w:sz="0" w:space="0" w:color="auto"/>
        <w:right w:val="none" w:sz="0" w:space="0" w:color="auto"/>
      </w:divBdr>
    </w:div>
    <w:div w:id="1624194306">
      <w:marLeft w:val="0"/>
      <w:marRight w:val="0"/>
      <w:marTop w:val="0"/>
      <w:marBottom w:val="0"/>
      <w:divBdr>
        <w:top w:val="none" w:sz="0" w:space="0" w:color="auto"/>
        <w:left w:val="none" w:sz="0" w:space="0" w:color="auto"/>
        <w:bottom w:val="none" w:sz="0" w:space="0" w:color="auto"/>
        <w:right w:val="none" w:sz="0" w:space="0" w:color="auto"/>
      </w:divBdr>
    </w:div>
    <w:div w:id="1624194307">
      <w:marLeft w:val="0"/>
      <w:marRight w:val="0"/>
      <w:marTop w:val="0"/>
      <w:marBottom w:val="0"/>
      <w:divBdr>
        <w:top w:val="none" w:sz="0" w:space="0" w:color="auto"/>
        <w:left w:val="none" w:sz="0" w:space="0" w:color="auto"/>
        <w:bottom w:val="none" w:sz="0" w:space="0" w:color="auto"/>
        <w:right w:val="none" w:sz="0" w:space="0" w:color="auto"/>
      </w:divBdr>
    </w:div>
    <w:div w:id="1624194308">
      <w:marLeft w:val="0"/>
      <w:marRight w:val="0"/>
      <w:marTop w:val="0"/>
      <w:marBottom w:val="0"/>
      <w:divBdr>
        <w:top w:val="none" w:sz="0" w:space="0" w:color="auto"/>
        <w:left w:val="none" w:sz="0" w:space="0" w:color="auto"/>
        <w:bottom w:val="none" w:sz="0" w:space="0" w:color="auto"/>
        <w:right w:val="none" w:sz="0" w:space="0" w:color="auto"/>
      </w:divBdr>
    </w:div>
    <w:div w:id="1624194309">
      <w:marLeft w:val="0"/>
      <w:marRight w:val="0"/>
      <w:marTop w:val="0"/>
      <w:marBottom w:val="0"/>
      <w:divBdr>
        <w:top w:val="none" w:sz="0" w:space="0" w:color="auto"/>
        <w:left w:val="none" w:sz="0" w:space="0" w:color="auto"/>
        <w:bottom w:val="none" w:sz="0" w:space="0" w:color="auto"/>
        <w:right w:val="none" w:sz="0" w:space="0" w:color="auto"/>
      </w:divBdr>
    </w:div>
    <w:div w:id="1624194310">
      <w:marLeft w:val="0"/>
      <w:marRight w:val="0"/>
      <w:marTop w:val="0"/>
      <w:marBottom w:val="0"/>
      <w:divBdr>
        <w:top w:val="none" w:sz="0" w:space="0" w:color="auto"/>
        <w:left w:val="none" w:sz="0" w:space="0" w:color="auto"/>
        <w:bottom w:val="none" w:sz="0" w:space="0" w:color="auto"/>
        <w:right w:val="none" w:sz="0" w:space="0" w:color="auto"/>
      </w:divBdr>
    </w:div>
    <w:div w:id="1624194311">
      <w:marLeft w:val="0"/>
      <w:marRight w:val="0"/>
      <w:marTop w:val="0"/>
      <w:marBottom w:val="0"/>
      <w:divBdr>
        <w:top w:val="none" w:sz="0" w:space="0" w:color="auto"/>
        <w:left w:val="none" w:sz="0" w:space="0" w:color="auto"/>
        <w:bottom w:val="none" w:sz="0" w:space="0" w:color="auto"/>
        <w:right w:val="none" w:sz="0" w:space="0" w:color="auto"/>
      </w:divBdr>
    </w:div>
    <w:div w:id="1624194312">
      <w:marLeft w:val="0"/>
      <w:marRight w:val="0"/>
      <w:marTop w:val="0"/>
      <w:marBottom w:val="0"/>
      <w:divBdr>
        <w:top w:val="none" w:sz="0" w:space="0" w:color="auto"/>
        <w:left w:val="none" w:sz="0" w:space="0" w:color="auto"/>
        <w:bottom w:val="none" w:sz="0" w:space="0" w:color="auto"/>
        <w:right w:val="none" w:sz="0" w:space="0" w:color="auto"/>
      </w:divBdr>
    </w:div>
    <w:div w:id="1624194313">
      <w:marLeft w:val="0"/>
      <w:marRight w:val="0"/>
      <w:marTop w:val="0"/>
      <w:marBottom w:val="0"/>
      <w:divBdr>
        <w:top w:val="none" w:sz="0" w:space="0" w:color="auto"/>
        <w:left w:val="none" w:sz="0" w:space="0" w:color="auto"/>
        <w:bottom w:val="none" w:sz="0" w:space="0" w:color="auto"/>
        <w:right w:val="none" w:sz="0" w:space="0" w:color="auto"/>
      </w:divBdr>
    </w:div>
    <w:div w:id="1624194314">
      <w:marLeft w:val="0"/>
      <w:marRight w:val="0"/>
      <w:marTop w:val="0"/>
      <w:marBottom w:val="0"/>
      <w:divBdr>
        <w:top w:val="none" w:sz="0" w:space="0" w:color="auto"/>
        <w:left w:val="none" w:sz="0" w:space="0" w:color="auto"/>
        <w:bottom w:val="none" w:sz="0" w:space="0" w:color="auto"/>
        <w:right w:val="none" w:sz="0" w:space="0" w:color="auto"/>
      </w:divBdr>
    </w:div>
    <w:div w:id="1624194315">
      <w:marLeft w:val="0"/>
      <w:marRight w:val="0"/>
      <w:marTop w:val="0"/>
      <w:marBottom w:val="0"/>
      <w:divBdr>
        <w:top w:val="none" w:sz="0" w:space="0" w:color="auto"/>
        <w:left w:val="none" w:sz="0" w:space="0" w:color="auto"/>
        <w:bottom w:val="none" w:sz="0" w:space="0" w:color="auto"/>
        <w:right w:val="none" w:sz="0" w:space="0" w:color="auto"/>
      </w:divBdr>
    </w:div>
    <w:div w:id="1624194316">
      <w:marLeft w:val="0"/>
      <w:marRight w:val="0"/>
      <w:marTop w:val="0"/>
      <w:marBottom w:val="0"/>
      <w:divBdr>
        <w:top w:val="none" w:sz="0" w:space="0" w:color="auto"/>
        <w:left w:val="none" w:sz="0" w:space="0" w:color="auto"/>
        <w:bottom w:val="none" w:sz="0" w:space="0" w:color="auto"/>
        <w:right w:val="none" w:sz="0" w:space="0" w:color="auto"/>
      </w:divBdr>
    </w:div>
    <w:div w:id="1624194317">
      <w:marLeft w:val="0"/>
      <w:marRight w:val="0"/>
      <w:marTop w:val="0"/>
      <w:marBottom w:val="0"/>
      <w:divBdr>
        <w:top w:val="none" w:sz="0" w:space="0" w:color="auto"/>
        <w:left w:val="none" w:sz="0" w:space="0" w:color="auto"/>
        <w:bottom w:val="none" w:sz="0" w:space="0" w:color="auto"/>
        <w:right w:val="none" w:sz="0" w:space="0" w:color="auto"/>
      </w:divBdr>
    </w:div>
    <w:div w:id="1624194318">
      <w:marLeft w:val="0"/>
      <w:marRight w:val="0"/>
      <w:marTop w:val="0"/>
      <w:marBottom w:val="0"/>
      <w:divBdr>
        <w:top w:val="none" w:sz="0" w:space="0" w:color="auto"/>
        <w:left w:val="none" w:sz="0" w:space="0" w:color="auto"/>
        <w:bottom w:val="none" w:sz="0" w:space="0" w:color="auto"/>
        <w:right w:val="none" w:sz="0" w:space="0" w:color="auto"/>
      </w:divBdr>
    </w:div>
    <w:div w:id="1624194319">
      <w:marLeft w:val="0"/>
      <w:marRight w:val="0"/>
      <w:marTop w:val="0"/>
      <w:marBottom w:val="0"/>
      <w:divBdr>
        <w:top w:val="none" w:sz="0" w:space="0" w:color="auto"/>
        <w:left w:val="none" w:sz="0" w:space="0" w:color="auto"/>
        <w:bottom w:val="none" w:sz="0" w:space="0" w:color="auto"/>
        <w:right w:val="none" w:sz="0" w:space="0" w:color="auto"/>
      </w:divBdr>
    </w:div>
    <w:div w:id="1624194320">
      <w:marLeft w:val="0"/>
      <w:marRight w:val="0"/>
      <w:marTop w:val="0"/>
      <w:marBottom w:val="0"/>
      <w:divBdr>
        <w:top w:val="none" w:sz="0" w:space="0" w:color="auto"/>
        <w:left w:val="none" w:sz="0" w:space="0" w:color="auto"/>
        <w:bottom w:val="none" w:sz="0" w:space="0" w:color="auto"/>
        <w:right w:val="none" w:sz="0" w:space="0" w:color="auto"/>
      </w:divBdr>
    </w:div>
    <w:div w:id="1624194321">
      <w:marLeft w:val="0"/>
      <w:marRight w:val="0"/>
      <w:marTop w:val="0"/>
      <w:marBottom w:val="0"/>
      <w:divBdr>
        <w:top w:val="none" w:sz="0" w:space="0" w:color="auto"/>
        <w:left w:val="none" w:sz="0" w:space="0" w:color="auto"/>
        <w:bottom w:val="none" w:sz="0" w:space="0" w:color="auto"/>
        <w:right w:val="none" w:sz="0" w:space="0" w:color="auto"/>
      </w:divBdr>
    </w:div>
    <w:div w:id="1624194322">
      <w:marLeft w:val="0"/>
      <w:marRight w:val="0"/>
      <w:marTop w:val="0"/>
      <w:marBottom w:val="0"/>
      <w:divBdr>
        <w:top w:val="none" w:sz="0" w:space="0" w:color="auto"/>
        <w:left w:val="none" w:sz="0" w:space="0" w:color="auto"/>
        <w:bottom w:val="none" w:sz="0" w:space="0" w:color="auto"/>
        <w:right w:val="none" w:sz="0" w:space="0" w:color="auto"/>
      </w:divBdr>
    </w:div>
    <w:div w:id="1624194323">
      <w:marLeft w:val="0"/>
      <w:marRight w:val="0"/>
      <w:marTop w:val="0"/>
      <w:marBottom w:val="0"/>
      <w:divBdr>
        <w:top w:val="none" w:sz="0" w:space="0" w:color="auto"/>
        <w:left w:val="none" w:sz="0" w:space="0" w:color="auto"/>
        <w:bottom w:val="none" w:sz="0" w:space="0" w:color="auto"/>
        <w:right w:val="none" w:sz="0" w:space="0" w:color="auto"/>
      </w:divBdr>
    </w:div>
    <w:div w:id="1624194324">
      <w:marLeft w:val="0"/>
      <w:marRight w:val="0"/>
      <w:marTop w:val="0"/>
      <w:marBottom w:val="0"/>
      <w:divBdr>
        <w:top w:val="none" w:sz="0" w:space="0" w:color="auto"/>
        <w:left w:val="none" w:sz="0" w:space="0" w:color="auto"/>
        <w:bottom w:val="none" w:sz="0" w:space="0" w:color="auto"/>
        <w:right w:val="none" w:sz="0" w:space="0" w:color="auto"/>
      </w:divBdr>
    </w:div>
    <w:div w:id="1624194325">
      <w:marLeft w:val="0"/>
      <w:marRight w:val="0"/>
      <w:marTop w:val="0"/>
      <w:marBottom w:val="0"/>
      <w:divBdr>
        <w:top w:val="none" w:sz="0" w:space="0" w:color="auto"/>
        <w:left w:val="none" w:sz="0" w:space="0" w:color="auto"/>
        <w:bottom w:val="none" w:sz="0" w:space="0" w:color="auto"/>
        <w:right w:val="none" w:sz="0" w:space="0" w:color="auto"/>
      </w:divBdr>
    </w:div>
    <w:div w:id="1624194326">
      <w:marLeft w:val="0"/>
      <w:marRight w:val="0"/>
      <w:marTop w:val="0"/>
      <w:marBottom w:val="0"/>
      <w:divBdr>
        <w:top w:val="none" w:sz="0" w:space="0" w:color="auto"/>
        <w:left w:val="none" w:sz="0" w:space="0" w:color="auto"/>
        <w:bottom w:val="none" w:sz="0" w:space="0" w:color="auto"/>
        <w:right w:val="none" w:sz="0" w:space="0" w:color="auto"/>
      </w:divBdr>
    </w:div>
    <w:div w:id="1624194327">
      <w:marLeft w:val="0"/>
      <w:marRight w:val="0"/>
      <w:marTop w:val="0"/>
      <w:marBottom w:val="0"/>
      <w:divBdr>
        <w:top w:val="none" w:sz="0" w:space="0" w:color="auto"/>
        <w:left w:val="none" w:sz="0" w:space="0" w:color="auto"/>
        <w:bottom w:val="none" w:sz="0" w:space="0" w:color="auto"/>
        <w:right w:val="none" w:sz="0" w:space="0" w:color="auto"/>
      </w:divBdr>
    </w:div>
    <w:div w:id="1624194328">
      <w:marLeft w:val="0"/>
      <w:marRight w:val="0"/>
      <w:marTop w:val="0"/>
      <w:marBottom w:val="0"/>
      <w:divBdr>
        <w:top w:val="none" w:sz="0" w:space="0" w:color="auto"/>
        <w:left w:val="none" w:sz="0" w:space="0" w:color="auto"/>
        <w:bottom w:val="none" w:sz="0" w:space="0" w:color="auto"/>
        <w:right w:val="none" w:sz="0" w:space="0" w:color="auto"/>
      </w:divBdr>
    </w:div>
    <w:div w:id="1624194329">
      <w:marLeft w:val="0"/>
      <w:marRight w:val="0"/>
      <w:marTop w:val="0"/>
      <w:marBottom w:val="0"/>
      <w:divBdr>
        <w:top w:val="none" w:sz="0" w:space="0" w:color="auto"/>
        <w:left w:val="none" w:sz="0" w:space="0" w:color="auto"/>
        <w:bottom w:val="none" w:sz="0" w:space="0" w:color="auto"/>
        <w:right w:val="none" w:sz="0" w:space="0" w:color="auto"/>
      </w:divBdr>
    </w:div>
    <w:div w:id="1624194330">
      <w:marLeft w:val="0"/>
      <w:marRight w:val="0"/>
      <w:marTop w:val="0"/>
      <w:marBottom w:val="0"/>
      <w:divBdr>
        <w:top w:val="none" w:sz="0" w:space="0" w:color="auto"/>
        <w:left w:val="none" w:sz="0" w:space="0" w:color="auto"/>
        <w:bottom w:val="none" w:sz="0" w:space="0" w:color="auto"/>
        <w:right w:val="none" w:sz="0" w:space="0" w:color="auto"/>
      </w:divBdr>
    </w:div>
    <w:div w:id="1624194331">
      <w:marLeft w:val="0"/>
      <w:marRight w:val="0"/>
      <w:marTop w:val="0"/>
      <w:marBottom w:val="0"/>
      <w:divBdr>
        <w:top w:val="none" w:sz="0" w:space="0" w:color="auto"/>
        <w:left w:val="none" w:sz="0" w:space="0" w:color="auto"/>
        <w:bottom w:val="none" w:sz="0" w:space="0" w:color="auto"/>
        <w:right w:val="none" w:sz="0" w:space="0" w:color="auto"/>
      </w:divBdr>
    </w:div>
    <w:div w:id="1624194332">
      <w:marLeft w:val="0"/>
      <w:marRight w:val="0"/>
      <w:marTop w:val="0"/>
      <w:marBottom w:val="0"/>
      <w:divBdr>
        <w:top w:val="none" w:sz="0" w:space="0" w:color="auto"/>
        <w:left w:val="none" w:sz="0" w:space="0" w:color="auto"/>
        <w:bottom w:val="none" w:sz="0" w:space="0" w:color="auto"/>
        <w:right w:val="none" w:sz="0" w:space="0" w:color="auto"/>
      </w:divBdr>
    </w:div>
    <w:div w:id="1624194333">
      <w:marLeft w:val="0"/>
      <w:marRight w:val="0"/>
      <w:marTop w:val="0"/>
      <w:marBottom w:val="0"/>
      <w:divBdr>
        <w:top w:val="none" w:sz="0" w:space="0" w:color="auto"/>
        <w:left w:val="none" w:sz="0" w:space="0" w:color="auto"/>
        <w:bottom w:val="none" w:sz="0" w:space="0" w:color="auto"/>
        <w:right w:val="none" w:sz="0" w:space="0" w:color="auto"/>
      </w:divBdr>
    </w:div>
    <w:div w:id="1624194334">
      <w:marLeft w:val="0"/>
      <w:marRight w:val="0"/>
      <w:marTop w:val="0"/>
      <w:marBottom w:val="0"/>
      <w:divBdr>
        <w:top w:val="none" w:sz="0" w:space="0" w:color="auto"/>
        <w:left w:val="none" w:sz="0" w:space="0" w:color="auto"/>
        <w:bottom w:val="none" w:sz="0" w:space="0" w:color="auto"/>
        <w:right w:val="none" w:sz="0" w:space="0" w:color="auto"/>
      </w:divBdr>
    </w:div>
    <w:div w:id="1624194335">
      <w:marLeft w:val="0"/>
      <w:marRight w:val="0"/>
      <w:marTop w:val="0"/>
      <w:marBottom w:val="0"/>
      <w:divBdr>
        <w:top w:val="none" w:sz="0" w:space="0" w:color="auto"/>
        <w:left w:val="none" w:sz="0" w:space="0" w:color="auto"/>
        <w:bottom w:val="none" w:sz="0" w:space="0" w:color="auto"/>
        <w:right w:val="none" w:sz="0" w:space="0" w:color="auto"/>
      </w:divBdr>
    </w:div>
    <w:div w:id="1624194336">
      <w:marLeft w:val="0"/>
      <w:marRight w:val="0"/>
      <w:marTop w:val="0"/>
      <w:marBottom w:val="0"/>
      <w:divBdr>
        <w:top w:val="none" w:sz="0" w:space="0" w:color="auto"/>
        <w:left w:val="none" w:sz="0" w:space="0" w:color="auto"/>
        <w:bottom w:val="none" w:sz="0" w:space="0" w:color="auto"/>
        <w:right w:val="none" w:sz="0" w:space="0" w:color="auto"/>
      </w:divBdr>
    </w:div>
    <w:div w:id="1624194337">
      <w:marLeft w:val="0"/>
      <w:marRight w:val="0"/>
      <w:marTop w:val="0"/>
      <w:marBottom w:val="0"/>
      <w:divBdr>
        <w:top w:val="none" w:sz="0" w:space="0" w:color="auto"/>
        <w:left w:val="none" w:sz="0" w:space="0" w:color="auto"/>
        <w:bottom w:val="none" w:sz="0" w:space="0" w:color="auto"/>
        <w:right w:val="none" w:sz="0" w:space="0" w:color="auto"/>
      </w:divBdr>
    </w:div>
    <w:div w:id="1624194338">
      <w:marLeft w:val="0"/>
      <w:marRight w:val="0"/>
      <w:marTop w:val="0"/>
      <w:marBottom w:val="0"/>
      <w:divBdr>
        <w:top w:val="none" w:sz="0" w:space="0" w:color="auto"/>
        <w:left w:val="none" w:sz="0" w:space="0" w:color="auto"/>
        <w:bottom w:val="none" w:sz="0" w:space="0" w:color="auto"/>
        <w:right w:val="none" w:sz="0" w:space="0" w:color="auto"/>
      </w:divBdr>
    </w:div>
    <w:div w:id="1624194339">
      <w:marLeft w:val="0"/>
      <w:marRight w:val="0"/>
      <w:marTop w:val="0"/>
      <w:marBottom w:val="0"/>
      <w:divBdr>
        <w:top w:val="none" w:sz="0" w:space="0" w:color="auto"/>
        <w:left w:val="none" w:sz="0" w:space="0" w:color="auto"/>
        <w:bottom w:val="none" w:sz="0" w:space="0" w:color="auto"/>
        <w:right w:val="none" w:sz="0" w:space="0" w:color="auto"/>
      </w:divBdr>
    </w:div>
    <w:div w:id="1624194340">
      <w:marLeft w:val="0"/>
      <w:marRight w:val="0"/>
      <w:marTop w:val="0"/>
      <w:marBottom w:val="0"/>
      <w:divBdr>
        <w:top w:val="none" w:sz="0" w:space="0" w:color="auto"/>
        <w:left w:val="none" w:sz="0" w:space="0" w:color="auto"/>
        <w:bottom w:val="none" w:sz="0" w:space="0" w:color="auto"/>
        <w:right w:val="none" w:sz="0" w:space="0" w:color="auto"/>
      </w:divBdr>
    </w:div>
    <w:div w:id="1624194341">
      <w:marLeft w:val="0"/>
      <w:marRight w:val="0"/>
      <w:marTop w:val="0"/>
      <w:marBottom w:val="0"/>
      <w:divBdr>
        <w:top w:val="none" w:sz="0" w:space="0" w:color="auto"/>
        <w:left w:val="none" w:sz="0" w:space="0" w:color="auto"/>
        <w:bottom w:val="none" w:sz="0" w:space="0" w:color="auto"/>
        <w:right w:val="none" w:sz="0" w:space="0" w:color="auto"/>
      </w:divBdr>
    </w:div>
    <w:div w:id="1624194342">
      <w:marLeft w:val="0"/>
      <w:marRight w:val="0"/>
      <w:marTop w:val="0"/>
      <w:marBottom w:val="0"/>
      <w:divBdr>
        <w:top w:val="none" w:sz="0" w:space="0" w:color="auto"/>
        <w:left w:val="none" w:sz="0" w:space="0" w:color="auto"/>
        <w:bottom w:val="none" w:sz="0" w:space="0" w:color="auto"/>
        <w:right w:val="none" w:sz="0" w:space="0" w:color="auto"/>
      </w:divBdr>
    </w:div>
    <w:div w:id="1624194343">
      <w:marLeft w:val="0"/>
      <w:marRight w:val="0"/>
      <w:marTop w:val="0"/>
      <w:marBottom w:val="0"/>
      <w:divBdr>
        <w:top w:val="none" w:sz="0" w:space="0" w:color="auto"/>
        <w:left w:val="none" w:sz="0" w:space="0" w:color="auto"/>
        <w:bottom w:val="none" w:sz="0" w:space="0" w:color="auto"/>
        <w:right w:val="none" w:sz="0" w:space="0" w:color="auto"/>
      </w:divBdr>
    </w:div>
    <w:div w:id="1624194344">
      <w:marLeft w:val="0"/>
      <w:marRight w:val="0"/>
      <w:marTop w:val="0"/>
      <w:marBottom w:val="0"/>
      <w:divBdr>
        <w:top w:val="none" w:sz="0" w:space="0" w:color="auto"/>
        <w:left w:val="none" w:sz="0" w:space="0" w:color="auto"/>
        <w:bottom w:val="none" w:sz="0" w:space="0" w:color="auto"/>
        <w:right w:val="none" w:sz="0" w:space="0" w:color="auto"/>
      </w:divBdr>
    </w:div>
    <w:div w:id="1624194345">
      <w:marLeft w:val="0"/>
      <w:marRight w:val="0"/>
      <w:marTop w:val="0"/>
      <w:marBottom w:val="0"/>
      <w:divBdr>
        <w:top w:val="none" w:sz="0" w:space="0" w:color="auto"/>
        <w:left w:val="none" w:sz="0" w:space="0" w:color="auto"/>
        <w:bottom w:val="none" w:sz="0" w:space="0" w:color="auto"/>
        <w:right w:val="none" w:sz="0" w:space="0" w:color="auto"/>
      </w:divBdr>
    </w:div>
    <w:div w:id="1624194346">
      <w:marLeft w:val="0"/>
      <w:marRight w:val="0"/>
      <w:marTop w:val="0"/>
      <w:marBottom w:val="0"/>
      <w:divBdr>
        <w:top w:val="none" w:sz="0" w:space="0" w:color="auto"/>
        <w:left w:val="none" w:sz="0" w:space="0" w:color="auto"/>
        <w:bottom w:val="none" w:sz="0" w:space="0" w:color="auto"/>
        <w:right w:val="none" w:sz="0" w:space="0" w:color="auto"/>
      </w:divBdr>
    </w:div>
    <w:div w:id="1624194347">
      <w:marLeft w:val="0"/>
      <w:marRight w:val="0"/>
      <w:marTop w:val="0"/>
      <w:marBottom w:val="0"/>
      <w:divBdr>
        <w:top w:val="none" w:sz="0" w:space="0" w:color="auto"/>
        <w:left w:val="none" w:sz="0" w:space="0" w:color="auto"/>
        <w:bottom w:val="none" w:sz="0" w:space="0" w:color="auto"/>
        <w:right w:val="none" w:sz="0" w:space="0" w:color="auto"/>
      </w:divBdr>
    </w:div>
    <w:div w:id="1624194348">
      <w:marLeft w:val="0"/>
      <w:marRight w:val="0"/>
      <w:marTop w:val="0"/>
      <w:marBottom w:val="0"/>
      <w:divBdr>
        <w:top w:val="none" w:sz="0" w:space="0" w:color="auto"/>
        <w:left w:val="none" w:sz="0" w:space="0" w:color="auto"/>
        <w:bottom w:val="none" w:sz="0" w:space="0" w:color="auto"/>
        <w:right w:val="none" w:sz="0" w:space="0" w:color="auto"/>
      </w:divBdr>
    </w:div>
    <w:div w:id="1624194349">
      <w:marLeft w:val="0"/>
      <w:marRight w:val="0"/>
      <w:marTop w:val="0"/>
      <w:marBottom w:val="0"/>
      <w:divBdr>
        <w:top w:val="none" w:sz="0" w:space="0" w:color="auto"/>
        <w:left w:val="none" w:sz="0" w:space="0" w:color="auto"/>
        <w:bottom w:val="none" w:sz="0" w:space="0" w:color="auto"/>
        <w:right w:val="none" w:sz="0" w:space="0" w:color="auto"/>
      </w:divBdr>
    </w:div>
    <w:div w:id="1624194350">
      <w:marLeft w:val="0"/>
      <w:marRight w:val="0"/>
      <w:marTop w:val="0"/>
      <w:marBottom w:val="0"/>
      <w:divBdr>
        <w:top w:val="none" w:sz="0" w:space="0" w:color="auto"/>
        <w:left w:val="none" w:sz="0" w:space="0" w:color="auto"/>
        <w:bottom w:val="none" w:sz="0" w:space="0" w:color="auto"/>
        <w:right w:val="none" w:sz="0" w:space="0" w:color="auto"/>
      </w:divBdr>
    </w:div>
    <w:div w:id="1624194351">
      <w:marLeft w:val="0"/>
      <w:marRight w:val="0"/>
      <w:marTop w:val="0"/>
      <w:marBottom w:val="0"/>
      <w:divBdr>
        <w:top w:val="none" w:sz="0" w:space="0" w:color="auto"/>
        <w:left w:val="none" w:sz="0" w:space="0" w:color="auto"/>
        <w:bottom w:val="none" w:sz="0" w:space="0" w:color="auto"/>
        <w:right w:val="none" w:sz="0" w:space="0" w:color="auto"/>
      </w:divBdr>
    </w:div>
    <w:div w:id="1624194352">
      <w:marLeft w:val="0"/>
      <w:marRight w:val="0"/>
      <w:marTop w:val="0"/>
      <w:marBottom w:val="0"/>
      <w:divBdr>
        <w:top w:val="none" w:sz="0" w:space="0" w:color="auto"/>
        <w:left w:val="none" w:sz="0" w:space="0" w:color="auto"/>
        <w:bottom w:val="none" w:sz="0" w:space="0" w:color="auto"/>
        <w:right w:val="none" w:sz="0" w:space="0" w:color="auto"/>
      </w:divBdr>
    </w:div>
    <w:div w:id="1624194353">
      <w:marLeft w:val="0"/>
      <w:marRight w:val="0"/>
      <w:marTop w:val="0"/>
      <w:marBottom w:val="0"/>
      <w:divBdr>
        <w:top w:val="none" w:sz="0" w:space="0" w:color="auto"/>
        <w:left w:val="none" w:sz="0" w:space="0" w:color="auto"/>
        <w:bottom w:val="none" w:sz="0" w:space="0" w:color="auto"/>
        <w:right w:val="none" w:sz="0" w:space="0" w:color="auto"/>
      </w:divBdr>
    </w:div>
    <w:div w:id="1624194354">
      <w:marLeft w:val="0"/>
      <w:marRight w:val="0"/>
      <w:marTop w:val="0"/>
      <w:marBottom w:val="0"/>
      <w:divBdr>
        <w:top w:val="none" w:sz="0" w:space="0" w:color="auto"/>
        <w:left w:val="none" w:sz="0" w:space="0" w:color="auto"/>
        <w:bottom w:val="none" w:sz="0" w:space="0" w:color="auto"/>
        <w:right w:val="none" w:sz="0" w:space="0" w:color="auto"/>
      </w:divBdr>
    </w:div>
    <w:div w:id="1624194355">
      <w:marLeft w:val="0"/>
      <w:marRight w:val="0"/>
      <w:marTop w:val="0"/>
      <w:marBottom w:val="0"/>
      <w:divBdr>
        <w:top w:val="none" w:sz="0" w:space="0" w:color="auto"/>
        <w:left w:val="none" w:sz="0" w:space="0" w:color="auto"/>
        <w:bottom w:val="none" w:sz="0" w:space="0" w:color="auto"/>
        <w:right w:val="none" w:sz="0" w:space="0" w:color="auto"/>
      </w:divBdr>
    </w:div>
    <w:div w:id="1624194356">
      <w:marLeft w:val="0"/>
      <w:marRight w:val="0"/>
      <w:marTop w:val="0"/>
      <w:marBottom w:val="0"/>
      <w:divBdr>
        <w:top w:val="none" w:sz="0" w:space="0" w:color="auto"/>
        <w:left w:val="none" w:sz="0" w:space="0" w:color="auto"/>
        <w:bottom w:val="none" w:sz="0" w:space="0" w:color="auto"/>
        <w:right w:val="none" w:sz="0" w:space="0" w:color="auto"/>
      </w:divBdr>
    </w:div>
    <w:div w:id="1624194357">
      <w:marLeft w:val="0"/>
      <w:marRight w:val="0"/>
      <w:marTop w:val="0"/>
      <w:marBottom w:val="0"/>
      <w:divBdr>
        <w:top w:val="none" w:sz="0" w:space="0" w:color="auto"/>
        <w:left w:val="none" w:sz="0" w:space="0" w:color="auto"/>
        <w:bottom w:val="none" w:sz="0" w:space="0" w:color="auto"/>
        <w:right w:val="none" w:sz="0" w:space="0" w:color="auto"/>
      </w:divBdr>
    </w:div>
    <w:div w:id="1624194358">
      <w:marLeft w:val="0"/>
      <w:marRight w:val="0"/>
      <w:marTop w:val="0"/>
      <w:marBottom w:val="0"/>
      <w:divBdr>
        <w:top w:val="none" w:sz="0" w:space="0" w:color="auto"/>
        <w:left w:val="none" w:sz="0" w:space="0" w:color="auto"/>
        <w:bottom w:val="none" w:sz="0" w:space="0" w:color="auto"/>
        <w:right w:val="none" w:sz="0" w:space="0" w:color="auto"/>
      </w:divBdr>
    </w:div>
    <w:div w:id="1624194359">
      <w:marLeft w:val="0"/>
      <w:marRight w:val="0"/>
      <w:marTop w:val="0"/>
      <w:marBottom w:val="0"/>
      <w:divBdr>
        <w:top w:val="none" w:sz="0" w:space="0" w:color="auto"/>
        <w:left w:val="none" w:sz="0" w:space="0" w:color="auto"/>
        <w:bottom w:val="none" w:sz="0" w:space="0" w:color="auto"/>
        <w:right w:val="none" w:sz="0" w:space="0" w:color="auto"/>
      </w:divBdr>
    </w:div>
    <w:div w:id="1624194360">
      <w:marLeft w:val="0"/>
      <w:marRight w:val="0"/>
      <w:marTop w:val="0"/>
      <w:marBottom w:val="0"/>
      <w:divBdr>
        <w:top w:val="none" w:sz="0" w:space="0" w:color="auto"/>
        <w:left w:val="none" w:sz="0" w:space="0" w:color="auto"/>
        <w:bottom w:val="none" w:sz="0" w:space="0" w:color="auto"/>
        <w:right w:val="none" w:sz="0" w:space="0" w:color="auto"/>
      </w:divBdr>
    </w:div>
    <w:div w:id="1624194361">
      <w:marLeft w:val="0"/>
      <w:marRight w:val="0"/>
      <w:marTop w:val="0"/>
      <w:marBottom w:val="0"/>
      <w:divBdr>
        <w:top w:val="none" w:sz="0" w:space="0" w:color="auto"/>
        <w:left w:val="none" w:sz="0" w:space="0" w:color="auto"/>
        <w:bottom w:val="none" w:sz="0" w:space="0" w:color="auto"/>
        <w:right w:val="none" w:sz="0" w:space="0" w:color="auto"/>
      </w:divBdr>
    </w:div>
    <w:div w:id="1624194362">
      <w:marLeft w:val="0"/>
      <w:marRight w:val="0"/>
      <w:marTop w:val="0"/>
      <w:marBottom w:val="0"/>
      <w:divBdr>
        <w:top w:val="none" w:sz="0" w:space="0" w:color="auto"/>
        <w:left w:val="none" w:sz="0" w:space="0" w:color="auto"/>
        <w:bottom w:val="none" w:sz="0" w:space="0" w:color="auto"/>
        <w:right w:val="none" w:sz="0" w:space="0" w:color="auto"/>
      </w:divBdr>
    </w:div>
    <w:div w:id="1624194363">
      <w:marLeft w:val="0"/>
      <w:marRight w:val="0"/>
      <w:marTop w:val="0"/>
      <w:marBottom w:val="0"/>
      <w:divBdr>
        <w:top w:val="none" w:sz="0" w:space="0" w:color="auto"/>
        <w:left w:val="none" w:sz="0" w:space="0" w:color="auto"/>
        <w:bottom w:val="none" w:sz="0" w:space="0" w:color="auto"/>
        <w:right w:val="none" w:sz="0" w:space="0" w:color="auto"/>
      </w:divBdr>
    </w:div>
    <w:div w:id="1624194364">
      <w:marLeft w:val="0"/>
      <w:marRight w:val="0"/>
      <w:marTop w:val="0"/>
      <w:marBottom w:val="0"/>
      <w:divBdr>
        <w:top w:val="none" w:sz="0" w:space="0" w:color="auto"/>
        <w:left w:val="none" w:sz="0" w:space="0" w:color="auto"/>
        <w:bottom w:val="none" w:sz="0" w:space="0" w:color="auto"/>
        <w:right w:val="none" w:sz="0" w:space="0" w:color="auto"/>
      </w:divBdr>
    </w:div>
    <w:div w:id="1624194365">
      <w:marLeft w:val="0"/>
      <w:marRight w:val="0"/>
      <w:marTop w:val="0"/>
      <w:marBottom w:val="0"/>
      <w:divBdr>
        <w:top w:val="none" w:sz="0" w:space="0" w:color="auto"/>
        <w:left w:val="none" w:sz="0" w:space="0" w:color="auto"/>
        <w:bottom w:val="none" w:sz="0" w:space="0" w:color="auto"/>
        <w:right w:val="none" w:sz="0" w:space="0" w:color="auto"/>
      </w:divBdr>
    </w:div>
    <w:div w:id="1624194366">
      <w:marLeft w:val="0"/>
      <w:marRight w:val="0"/>
      <w:marTop w:val="0"/>
      <w:marBottom w:val="0"/>
      <w:divBdr>
        <w:top w:val="none" w:sz="0" w:space="0" w:color="auto"/>
        <w:left w:val="none" w:sz="0" w:space="0" w:color="auto"/>
        <w:bottom w:val="none" w:sz="0" w:space="0" w:color="auto"/>
        <w:right w:val="none" w:sz="0" w:space="0" w:color="auto"/>
      </w:divBdr>
    </w:div>
    <w:div w:id="1624194367">
      <w:marLeft w:val="0"/>
      <w:marRight w:val="0"/>
      <w:marTop w:val="0"/>
      <w:marBottom w:val="0"/>
      <w:divBdr>
        <w:top w:val="none" w:sz="0" w:space="0" w:color="auto"/>
        <w:left w:val="none" w:sz="0" w:space="0" w:color="auto"/>
        <w:bottom w:val="none" w:sz="0" w:space="0" w:color="auto"/>
        <w:right w:val="none" w:sz="0" w:space="0" w:color="auto"/>
      </w:divBdr>
    </w:div>
    <w:div w:id="1624194368">
      <w:marLeft w:val="0"/>
      <w:marRight w:val="0"/>
      <w:marTop w:val="0"/>
      <w:marBottom w:val="0"/>
      <w:divBdr>
        <w:top w:val="none" w:sz="0" w:space="0" w:color="auto"/>
        <w:left w:val="none" w:sz="0" w:space="0" w:color="auto"/>
        <w:bottom w:val="none" w:sz="0" w:space="0" w:color="auto"/>
        <w:right w:val="none" w:sz="0" w:space="0" w:color="auto"/>
      </w:divBdr>
    </w:div>
    <w:div w:id="1624194369">
      <w:marLeft w:val="0"/>
      <w:marRight w:val="0"/>
      <w:marTop w:val="0"/>
      <w:marBottom w:val="0"/>
      <w:divBdr>
        <w:top w:val="none" w:sz="0" w:space="0" w:color="auto"/>
        <w:left w:val="none" w:sz="0" w:space="0" w:color="auto"/>
        <w:bottom w:val="none" w:sz="0" w:space="0" w:color="auto"/>
        <w:right w:val="none" w:sz="0" w:space="0" w:color="auto"/>
      </w:divBdr>
    </w:div>
    <w:div w:id="1624194370">
      <w:marLeft w:val="0"/>
      <w:marRight w:val="0"/>
      <w:marTop w:val="0"/>
      <w:marBottom w:val="0"/>
      <w:divBdr>
        <w:top w:val="none" w:sz="0" w:space="0" w:color="auto"/>
        <w:left w:val="none" w:sz="0" w:space="0" w:color="auto"/>
        <w:bottom w:val="none" w:sz="0" w:space="0" w:color="auto"/>
        <w:right w:val="none" w:sz="0" w:space="0" w:color="auto"/>
      </w:divBdr>
    </w:div>
    <w:div w:id="1624194371">
      <w:marLeft w:val="0"/>
      <w:marRight w:val="0"/>
      <w:marTop w:val="0"/>
      <w:marBottom w:val="0"/>
      <w:divBdr>
        <w:top w:val="none" w:sz="0" w:space="0" w:color="auto"/>
        <w:left w:val="none" w:sz="0" w:space="0" w:color="auto"/>
        <w:bottom w:val="none" w:sz="0" w:space="0" w:color="auto"/>
        <w:right w:val="none" w:sz="0" w:space="0" w:color="auto"/>
      </w:divBdr>
    </w:div>
    <w:div w:id="1624194372">
      <w:marLeft w:val="0"/>
      <w:marRight w:val="0"/>
      <w:marTop w:val="0"/>
      <w:marBottom w:val="0"/>
      <w:divBdr>
        <w:top w:val="none" w:sz="0" w:space="0" w:color="auto"/>
        <w:left w:val="none" w:sz="0" w:space="0" w:color="auto"/>
        <w:bottom w:val="none" w:sz="0" w:space="0" w:color="auto"/>
        <w:right w:val="none" w:sz="0" w:space="0" w:color="auto"/>
      </w:divBdr>
    </w:div>
    <w:div w:id="1624194373">
      <w:marLeft w:val="0"/>
      <w:marRight w:val="0"/>
      <w:marTop w:val="0"/>
      <w:marBottom w:val="0"/>
      <w:divBdr>
        <w:top w:val="none" w:sz="0" w:space="0" w:color="auto"/>
        <w:left w:val="none" w:sz="0" w:space="0" w:color="auto"/>
        <w:bottom w:val="none" w:sz="0" w:space="0" w:color="auto"/>
        <w:right w:val="none" w:sz="0" w:space="0" w:color="auto"/>
      </w:divBdr>
    </w:div>
    <w:div w:id="1624194374">
      <w:marLeft w:val="0"/>
      <w:marRight w:val="0"/>
      <w:marTop w:val="0"/>
      <w:marBottom w:val="0"/>
      <w:divBdr>
        <w:top w:val="none" w:sz="0" w:space="0" w:color="auto"/>
        <w:left w:val="none" w:sz="0" w:space="0" w:color="auto"/>
        <w:bottom w:val="none" w:sz="0" w:space="0" w:color="auto"/>
        <w:right w:val="none" w:sz="0" w:space="0" w:color="auto"/>
      </w:divBdr>
    </w:div>
    <w:div w:id="1624194375">
      <w:marLeft w:val="0"/>
      <w:marRight w:val="0"/>
      <w:marTop w:val="0"/>
      <w:marBottom w:val="0"/>
      <w:divBdr>
        <w:top w:val="none" w:sz="0" w:space="0" w:color="auto"/>
        <w:left w:val="none" w:sz="0" w:space="0" w:color="auto"/>
        <w:bottom w:val="none" w:sz="0" w:space="0" w:color="auto"/>
        <w:right w:val="none" w:sz="0" w:space="0" w:color="auto"/>
      </w:divBdr>
    </w:div>
    <w:div w:id="1624194376">
      <w:marLeft w:val="0"/>
      <w:marRight w:val="0"/>
      <w:marTop w:val="0"/>
      <w:marBottom w:val="0"/>
      <w:divBdr>
        <w:top w:val="none" w:sz="0" w:space="0" w:color="auto"/>
        <w:left w:val="none" w:sz="0" w:space="0" w:color="auto"/>
        <w:bottom w:val="none" w:sz="0" w:space="0" w:color="auto"/>
        <w:right w:val="none" w:sz="0" w:space="0" w:color="auto"/>
      </w:divBdr>
    </w:div>
    <w:div w:id="1624194377">
      <w:marLeft w:val="0"/>
      <w:marRight w:val="0"/>
      <w:marTop w:val="0"/>
      <w:marBottom w:val="0"/>
      <w:divBdr>
        <w:top w:val="none" w:sz="0" w:space="0" w:color="auto"/>
        <w:left w:val="none" w:sz="0" w:space="0" w:color="auto"/>
        <w:bottom w:val="none" w:sz="0" w:space="0" w:color="auto"/>
        <w:right w:val="none" w:sz="0" w:space="0" w:color="auto"/>
      </w:divBdr>
    </w:div>
    <w:div w:id="1624194378">
      <w:marLeft w:val="0"/>
      <w:marRight w:val="0"/>
      <w:marTop w:val="0"/>
      <w:marBottom w:val="0"/>
      <w:divBdr>
        <w:top w:val="none" w:sz="0" w:space="0" w:color="auto"/>
        <w:left w:val="none" w:sz="0" w:space="0" w:color="auto"/>
        <w:bottom w:val="none" w:sz="0" w:space="0" w:color="auto"/>
        <w:right w:val="none" w:sz="0" w:space="0" w:color="auto"/>
      </w:divBdr>
    </w:div>
    <w:div w:id="1624194379">
      <w:marLeft w:val="0"/>
      <w:marRight w:val="0"/>
      <w:marTop w:val="0"/>
      <w:marBottom w:val="0"/>
      <w:divBdr>
        <w:top w:val="none" w:sz="0" w:space="0" w:color="auto"/>
        <w:left w:val="none" w:sz="0" w:space="0" w:color="auto"/>
        <w:bottom w:val="none" w:sz="0" w:space="0" w:color="auto"/>
        <w:right w:val="none" w:sz="0" w:space="0" w:color="auto"/>
      </w:divBdr>
    </w:div>
    <w:div w:id="1624194380">
      <w:marLeft w:val="0"/>
      <w:marRight w:val="0"/>
      <w:marTop w:val="0"/>
      <w:marBottom w:val="0"/>
      <w:divBdr>
        <w:top w:val="none" w:sz="0" w:space="0" w:color="auto"/>
        <w:left w:val="none" w:sz="0" w:space="0" w:color="auto"/>
        <w:bottom w:val="none" w:sz="0" w:space="0" w:color="auto"/>
        <w:right w:val="none" w:sz="0" w:space="0" w:color="auto"/>
      </w:divBdr>
    </w:div>
    <w:div w:id="1624194381">
      <w:marLeft w:val="0"/>
      <w:marRight w:val="0"/>
      <w:marTop w:val="0"/>
      <w:marBottom w:val="0"/>
      <w:divBdr>
        <w:top w:val="none" w:sz="0" w:space="0" w:color="auto"/>
        <w:left w:val="none" w:sz="0" w:space="0" w:color="auto"/>
        <w:bottom w:val="none" w:sz="0" w:space="0" w:color="auto"/>
        <w:right w:val="none" w:sz="0" w:space="0" w:color="auto"/>
      </w:divBdr>
    </w:div>
    <w:div w:id="1624194382">
      <w:marLeft w:val="0"/>
      <w:marRight w:val="0"/>
      <w:marTop w:val="0"/>
      <w:marBottom w:val="0"/>
      <w:divBdr>
        <w:top w:val="none" w:sz="0" w:space="0" w:color="auto"/>
        <w:left w:val="none" w:sz="0" w:space="0" w:color="auto"/>
        <w:bottom w:val="none" w:sz="0" w:space="0" w:color="auto"/>
        <w:right w:val="none" w:sz="0" w:space="0" w:color="auto"/>
      </w:divBdr>
    </w:div>
    <w:div w:id="1624194383">
      <w:marLeft w:val="0"/>
      <w:marRight w:val="0"/>
      <w:marTop w:val="0"/>
      <w:marBottom w:val="0"/>
      <w:divBdr>
        <w:top w:val="none" w:sz="0" w:space="0" w:color="auto"/>
        <w:left w:val="none" w:sz="0" w:space="0" w:color="auto"/>
        <w:bottom w:val="none" w:sz="0" w:space="0" w:color="auto"/>
        <w:right w:val="none" w:sz="0" w:space="0" w:color="auto"/>
      </w:divBdr>
    </w:div>
    <w:div w:id="1624194384">
      <w:marLeft w:val="0"/>
      <w:marRight w:val="0"/>
      <w:marTop w:val="0"/>
      <w:marBottom w:val="0"/>
      <w:divBdr>
        <w:top w:val="none" w:sz="0" w:space="0" w:color="auto"/>
        <w:left w:val="none" w:sz="0" w:space="0" w:color="auto"/>
        <w:bottom w:val="none" w:sz="0" w:space="0" w:color="auto"/>
        <w:right w:val="none" w:sz="0" w:space="0" w:color="auto"/>
      </w:divBdr>
    </w:div>
    <w:div w:id="1624194385">
      <w:marLeft w:val="0"/>
      <w:marRight w:val="0"/>
      <w:marTop w:val="0"/>
      <w:marBottom w:val="0"/>
      <w:divBdr>
        <w:top w:val="none" w:sz="0" w:space="0" w:color="auto"/>
        <w:left w:val="none" w:sz="0" w:space="0" w:color="auto"/>
        <w:bottom w:val="none" w:sz="0" w:space="0" w:color="auto"/>
        <w:right w:val="none" w:sz="0" w:space="0" w:color="auto"/>
      </w:divBdr>
    </w:div>
    <w:div w:id="1624194386">
      <w:marLeft w:val="0"/>
      <w:marRight w:val="0"/>
      <w:marTop w:val="0"/>
      <w:marBottom w:val="0"/>
      <w:divBdr>
        <w:top w:val="none" w:sz="0" w:space="0" w:color="auto"/>
        <w:left w:val="none" w:sz="0" w:space="0" w:color="auto"/>
        <w:bottom w:val="none" w:sz="0" w:space="0" w:color="auto"/>
        <w:right w:val="none" w:sz="0" w:space="0" w:color="auto"/>
      </w:divBdr>
    </w:div>
    <w:div w:id="1624194387">
      <w:marLeft w:val="0"/>
      <w:marRight w:val="0"/>
      <w:marTop w:val="0"/>
      <w:marBottom w:val="0"/>
      <w:divBdr>
        <w:top w:val="none" w:sz="0" w:space="0" w:color="auto"/>
        <w:left w:val="none" w:sz="0" w:space="0" w:color="auto"/>
        <w:bottom w:val="none" w:sz="0" w:space="0" w:color="auto"/>
        <w:right w:val="none" w:sz="0" w:space="0" w:color="auto"/>
      </w:divBdr>
    </w:div>
    <w:div w:id="1624194388">
      <w:marLeft w:val="0"/>
      <w:marRight w:val="0"/>
      <w:marTop w:val="0"/>
      <w:marBottom w:val="0"/>
      <w:divBdr>
        <w:top w:val="none" w:sz="0" w:space="0" w:color="auto"/>
        <w:left w:val="none" w:sz="0" w:space="0" w:color="auto"/>
        <w:bottom w:val="none" w:sz="0" w:space="0" w:color="auto"/>
        <w:right w:val="none" w:sz="0" w:space="0" w:color="auto"/>
      </w:divBdr>
    </w:div>
    <w:div w:id="1624194389">
      <w:marLeft w:val="0"/>
      <w:marRight w:val="0"/>
      <w:marTop w:val="0"/>
      <w:marBottom w:val="0"/>
      <w:divBdr>
        <w:top w:val="none" w:sz="0" w:space="0" w:color="auto"/>
        <w:left w:val="none" w:sz="0" w:space="0" w:color="auto"/>
        <w:bottom w:val="none" w:sz="0" w:space="0" w:color="auto"/>
        <w:right w:val="none" w:sz="0" w:space="0" w:color="auto"/>
      </w:divBdr>
    </w:div>
    <w:div w:id="1624194390">
      <w:marLeft w:val="0"/>
      <w:marRight w:val="0"/>
      <w:marTop w:val="0"/>
      <w:marBottom w:val="0"/>
      <w:divBdr>
        <w:top w:val="none" w:sz="0" w:space="0" w:color="auto"/>
        <w:left w:val="none" w:sz="0" w:space="0" w:color="auto"/>
        <w:bottom w:val="none" w:sz="0" w:space="0" w:color="auto"/>
        <w:right w:val="none" w:sz="0" w:space="0" w:color="auto"/>
      </w:divBdr>
    </w:div>
    <w:div w:id="1624194391">
      <w:marLeft w:val="0"/>
      <w:marRight w:val="0"/>
      <w:marTop w:val="0"/>
      <w:marBottom w:val="0"/>
      <w:divBdr>
        <w:top w:val="none" w:sz="0" w:space="0" w:color="auto"/>
        <w:left w:val="none" w:sz="0" w:space="0" w:color="auto"/>
        <w:bottom w:val="none" w:sz="0" w:space="0" w:color="auto"/>
        <w:right w:val="none" w:sz="0" w:space="0" w:color="auto"/>
      </w:divBdr>
    </w:div>
    <w:div w:id="1624194392">
      <w:marLeft w:val="0"/>
      <w:marRight w:val="0"/>
      <w:marTop w:val="0"/>
      <w:marBottom w:val="0"/>
      <w:divBdr>
        <w:top w:val="none" w:sz="0" w:space="0" w:color="auto"/>
        <w:left w:val="none" w:sz="0" w:space="0" w:color="auto"/>
        <w:bottom w:val="none" w:sz="0" w:space="0" w:color="auto"/>
        <w:right w:val="none" w:sz="0" w:space="0" w:color="auto"/>
      </w:divBdr>
    </w:div>
    <w:div w:id="1624194393">
      <w:marLeft w:val="0"/>
      <w:marRight w:val="0"/>
      <w:marTop w:val="0"/>
      <w:marBottom w:val="0"/>
      <w:divBdr>
        <w:top w:val="none" w:sz="0" w:space="0" w:color="auto"/>
        <w:left w:val="none" w:sz="0" w:space="0" w:color="auto"/>
        <w:bottom w:val="none" w:sz="0" w:space="0" w:color="auto"/>
        <w:right w:val="none" w:sz="0" w:space="0" w:color="auto"/>
      </w:divBdr>
    </w:div>
    <w:div w:id="1624194394">
      <w:marLeft w:val="0"/>
      <w:marRight w:val="0"/>
      <w:marTop w:val="0"/>
      <w:marBottom w:val="0"/>
      <w:divBdr>
        <w:top w:val="none" w:sz="0" w:space="0" w:color="auto"/>
        <w:left w:val="none" w:sz="0" w:space="0" w:color="auto"/>
        <w:bottom w:val="none" w:sz="0" w:space="0" w:color="auto"/>
        <w:right w:val="none" w:sz="0" w:space="0" w:color="auto"/>
      </w:divBdr>
    </w:div>
    <w:div w:id="1624194395">
      <w:marLeft w:val="0"/>
      <w:marRight w:val="0"/>
      <w:marTop w:val="0"/>
      <w:marBottom w:val="0"/>
      <w:divBdr>
        <w:top w:val="none" w:sz="0" w:space="0" w:color="auto"/>
        <w:left w:val="none" w:sz="0" w:space="0" w:color="auto"/>
        <w:bottom w:val="none" w:sz="0" w:space="0" w:color="auto"/>
        <w:right w:val="none" w:sz="0" w:space="0" w:color="auto"/>
      </w:divBdr>
    </w:div>
    <w:div w:id="1624194396">
      <w:marLeft w:val="0"/>
      <w:marRight w:val="0"/>
      <w:marTop w:val="0"/>
      <w:marBottom w:val="0"/>
      <w:divBdr>
        <w:top w:val="none" w:sz="0" w:space="0" w:color="auto"/>
        <w:left w:val="none" w:sz="0" w:space="0" w:color="auto"/>
        <w:bottom w:val="none" w:sz="0" w:space="0" w:color="auto"/>
        <w:right w:val="none" w:sz="0" w:space="0" w:color="auto"/>
      </w:divBdr>
    </w:div>
    <w:div w:id="1624194397">
      <w:marLeft w:val="0"/>
      <w:marRight w:val="0"/>
      <w:marTop w:val="0"/>
      <w:marBottom w:val="0"/>
      <w:divBdr>
        <w:top w:val="none" w:sz="0" w:space="0" w:color="auto"/>
        <w:left w:val="none" w:sz="0" w:space="0" w:color="auto"/>
        <w:bottom w:val="none" w:sz="0" w:space="0" w:color="auto"/>
        <w:right w:val="none" w:sz="0" w:space="0" w:color="auto"/>
      </w:divBdr>
    </w:div>
    <w:div w:id="1624194398">
      <w:marLeft w:val="0"/>
      <w:marRight w:val="0"/>
      <w:marTop w:val="0"/>
      <w:marBottom w:val="0"/>
      <w:divBdr>
        <w:top w:val="none" w:sz="0" w:space="0" w:color="auto"/>
        <w:left w:val="none" w:sz="0" w:space="0" w:color="auto"/>
        <w:bottom w:val="none" w:sz="0" w:space="0" w:color="auto"/>
        <w:right w:val="none" w:sz="0" w:space="0" w:color="auto"/>
      </w:divBdr>
    </w:div>
    <w:div w:id="1624194399">
      <w:marLeft w:val="0"/>
      <w:marRight w:val="0"/>
      <w:marTop w:val="0"/>
      <w:marBottom w:val="0"/>
      <w:divBdr>
        <w:top w:val="none" w:sz="0" w:space="0" w:color="auto"/>
        <w:left w:val="none" w:sz="0" w:space="0" w:color="auto"/>
        <w:bottom w:val="none" w:sz="0" w:space="0" w:color="auto"/>
        <w:right w:val="none" w:sz="0" w:space="0" w:color="auto"/>
      </w:divBdr>
    </w:div>
    <w:div w:id="1624194400">
      <w:marLeft w:val="0"/>
      <w:marRight w:val="0"/>
      <w:marTop w:val="0"/>
      <w:marBottom w:val="0"/>
      <w:divBdr>
        <w:top w:val="none" w:sz="0" w:space="0" w:color="auto"/>
        <w:left w:val="none" w:sz="0" w:space="0" w:color="auto"/>
        <w:bottom w:val="none" w:sz="0" w:space="0" w:color="auto"/>
        <w:right w:val="none" w:sz="0" w:space="0" w:color="auto"/>
      </w:divBdr>
    </w:div>
    <w:div w:id="1624194401">
      <w:marLeft w:val="0"/>
      <w:marRight w:val="0"/>
      <w:marTop w:val="0"/>
      <w:marBottom w:val="0"/>
      <w:divBdr>
        <w:top w:val="none" w:sz="0" w:space="0" w:color="auto"/>
        <w:left w:val="none" w:sz="0" w:space="0" w:color="auto"/>
        <w:bottom w:val="none" w:sz="0" w:space="0" w:color="auto"/>
        <w:right w:val="none" w:sz="0" w:space="0" w:color="auto"/>
      </w:divBdr>
    </w:div>
    <w:div w:id="1624194402">
      <w:marLeft w:val="0"/>
      <w:marRight w:val="0"/>
      <w:marTop w:val="0"/>
      <w:marBottom w:val="0"/>
      <w:divBdr>
        <w:top w:val="none" w:sz="0" w:space="0" w:color="auto"/>
        <w:left w:val="none" w:sz="0" w:space="0" w:color="auto"/>
        <w:bottom w:val="none" w:sz="0" w:space="0" w:color="auto"/>
        <w:right w:val="none" w:sz="0" w:space="0" w:color="auto"/>
      </w:divBdr>
    </w:div>
    <w:div w:id="1624194403">
      <w:marLeft w:val="0"/>
      <w:marRight w:val="0"/>
      <w:marTop w:val="0"/>
      <w:marBottom w:val="0"/>
      <w:divBdr>
        <w:top w:val="none" w:sz="0" w:space="0" w:color="auto"/>
        <w:left w:val="none" w:sz="0" w:space="0" w:color="auto"/>
        <w:bottom w:val="none" w:sz="0" w:space="0" w:color="auto"/>
        <w:right w:val="none" w:sz="0" w:space="0" w:color="auto"/>
      </w:divBdr>
    </w:div>
    <w:div w:id="1624194404">
      <w:marLeft w:val="0"/>
      <w:marRight w:val="0"/>
      <w:marTop w:val="0"/>
      <w:marBottom w:val="0"/>
      <w:divBdr>
        <w:top w:val="none" w:sz="0" w:space="0" w:color="auto"/>
        <w:left w:val="none" w:sz="0" w:space="0" w:color="auto"/>
        <w:bottom w:val="none" w:sz="0" w:space="0" w:color="auto"/>
        <w:right w:val="none" w:sz="0" w:space="0" w:color="auto"/>
      </w:divBdr>
    </w:div>
    <w:div w:id="1624194405">
      <w:marLeft w:val="0"/>
      <w:marRight w:val="0"/>
      <w:marTop w:val="0"/>
      <w:marBottom w:val="0"/>
      <w:divBdr>
        <w:top w:val="none" w:sz="0" w:space="0" w:color="auto"/>
        <w:left w:val="none" w:sz="0" w:space="0" w:color="auto"/>
        <w:bottom w:val="none" w:sz="0" w:space="0" w:color="auto"/>
        <w:right w:val="none" w:sz="0" w:space="0" w:color="auto"/>
      </w:divBdr>
    </w:div>
    <w:div w:id="1624194406">
      <w:marLeft w:val="0"/>
      <w:marRight w:val="0"/>
      <w:marTop w:val="0"/>
      <w:marBottom w:val="0"/>
      <w:divBdr>
        <w:top w:val="none" w:sz="0" w:space="0" w:color="auto"/>
        <w:left w:val="none" w:sz="0" w:space="0" w:color="auto"/>
        <w:bottom w:val="none" w:sz="0" w:space="0" w:color="auto"/>
        <w:right w:val="none" w:sz="0" w:space="0" w:color="auto"/>
      </w:divBdr>
    </w:div>
    <w:div w:id="1624194407">
      <w:marLeft w:val="0"/>
      <w:marRight w:val="0"/>
      <w:marTop w:val="0"/>
      <w:marBottom w:val="0"/>
      <w:divBdr>
        <w:top w:val="none" w:sz="0" w:space="0" w:color="auto"/>
        <w:left w:val="none" w:sz="0" w:space="0" w:color="auto"/>
        <w:bottom w:val="none" w:sz="0" w:space="0" w:color="auto"/>
        <w:right w:val="none" w:sz="0" w:space="0" w:color="auto"/>
      </w:divBdr>
    </w:div>
    <w:div w:id="1624194408">
      <w:marLeft w:val="0"/>
      <w:marRight w:val="0"/>
      <w:marTop w:val="0"/>
      <w:marBottom w:val="0"/>
      <w:divBdr>
        <w:top w:val="none" w:sz="0" w:space="0" w:color="auto"/>
        <w:left w:val="none" w:sz="0" w:space="0" w:color="auto"/>
        <w:bottom w:val="none" w:sz="0" w:space="0" w:color="auto"/>
        <w:right w:val="none" w:sz="0" w:space="0" w:color="auto"/>
      </w:divBdr>
    </w:div>
    <w:div w:id="1624194409">
      <w:marLeft w:val="0"/>
      <w:marRight w:val="0"/>
      <w:marTop w:val="0"/>
      <w:marBottom w:val="0"/>
      <w:divBdr>
        <w:top w:val="none" w:sz="0" w:space="0" w:color="auto"/>
        <w:left w:val="none" w:sz="0" w:space="0" w:color="auto"/>
        <w:bottom w:val="none" w:sz="0" w:space="0" w:color="auto"/>
        <w:right w:val="none" w:sz="0" w:space="0" w:color="auto"/>
      </w:divBdr>
    </w:div>
    <w:div w:id="1624194410">
      <w:marLeft w:val="0"/>
      <w:marRight w:val="0"/>
      <w:marTop w:val="0"/>
      <w:marBottom w:val="0"/>
      <w:divBdr>
        <w:top w:val="none" w:sz="0" w:space="0" w:color="auto"/>
        <w:left w:val="none" w:sz="0" w:space="0" w:color="auto"/>
        <w:bottom w:val="none" w:sz="0" w:space="0" w:color="auto"/>
        <w:right w:val="none" w:sz="0" w:space="0" w:color="auto"/>
      </w:divBdr>
    </w:div>
    <w:div w:id="1624194411">
      <w:marLeft w:val="0"/>
      <w:marRight w:val="0"/>
      <w:marTop w:val="0"/>
      <w:marBottom w:val="0"/>
      <w:divBdr>
        <w:top w:val="none" w:sz="0" w:space="0" w:color="auto"/>
        <w:left w:val="none" w:sz="0" w:space="0" w:color="auto"/>
        <w:bottom w:val="none" w:sz="0" w:space="0" w:color="auto"/>
        <w:right w:val="none" w:sz="0" w:space="0" w:color="auto"/>
      </w:divBdr>
    </w:div>
    <w:div w:id="1624194412">
      <w:marLeft w:val="0"/>
      <w:marRight w:val="0"/>
      <w:marTop w:val="0"/>
      <w:marBottom w:val="0"/>
      <w:divBdr>
        <w:top w:val="none" w:sz="0" w:space="0" w:color="auto"/>
        <w:left w:val="none" w:sz="0" w:space="0" w:color="auto"/>
        <w:bottom w:val="none" w:sz="0" w:space="0" w:color="auto"/>
        <w:right w:val="none" w:sz="0" w:space="0" w:color="auto"/>
      </w:divBdr>
    </w:div>
    <w:div w:id="1624194413">
      <w:marLeft w:val="0"/>
      <w:marRight w:val="0"/>
      <w:marTop w:val="0"/>
      <w:marBottom w:val="0"/>
      <w:divBdr>
        <w:top w:val="none" w:sz="0" w:space="0" w:color="auto"/>
        <w:left w:val="none" w:sz="0" w:space="0" w:color="auto"/>
        <w:bottom w:val="none" w:sz="0" w:space="0" w:color="auto"/>
        <w:right w:val="none" w:sz="0" w:space="0" w:color="auto"/>
      </w:divBdr>
    </w:div>
    <w:div w:id="1624194414">
      <w:marLeft w:val="0"/>
      <w:marRight w:val="0"/>
      <w:marTop w:val="0"/>
      <w:marBottom w:val="0"/>
      <w:divBdr>
        <w:top w:val="none" w:sz="0" w:space="0" w:color="auto"/>
        <w:left w:val="none" w:sz="0" w:space="0" w:color="auto"/>
        <w:bottom w:val="none" w:sz="0" w:space="0" w:color="auto"/>
        <w:right w:val="none" w:sz="0" w:space="0" w:color="auto"/>
      </w:divBdr>
    </w:div>
    <w:div w:id="1624194415">
      <w:marLeft w:val="0"/>
      <w:marRight w:val="0"/>
      <w:marTop w:val="0"/>
      <w:marBottom w:val="0"/>
      <w:divBdr>
        <w:top w:val="none" w:sz="0" w:space="0" w:color="auto"/>
        <w:left w:val="none" w:sz="0" w:space="0" w:color="auto"/>
        <w:bottom w:val="none" w:sz="0" w:space="0" w:color="auto"/>
        <w:right w:val="none" w:sz="0" w:space="0" w:color="auto"/>
      </w:divBdr>
    </w:div>
    <w:div w:id="1624194416">
      <w:marLeft w:val="0"/>
      <w:marRight w:val="0"/>
      <w:marTop w:val="0"/>
      <w:marBottom w:val="0"/>
      <w:divBdr>
        <w:top w:val="none" w:sz="0" w:space="0" w:color="auto"/>
        <w:left w:val="none" w:sz="0" w:space="0" w:color="auto"/>
        <w:bottom w:val="none" w:sz="0" w:space="0" w:color="auto"/>
        <w:right w:val="none" w:sz="0" w:space="0" w:color="auto"/>
      </w:divBdr>
    </w:div>
    <w:div w:id="1624194417">
      <w:marLeft w:val="0"/>
      <w:marRight w:val="0"/>
      <w:marTop w:val="0"/>
      <w:marBottom w:val="0"/>
      <w:divBdr>
        <w:top w:val="none" w:sz="0" w:space="0" w:color="auto"/>
        <w:left w:val="none" w:sz="0" w:space="0" w:color="auto"/>
        <w:bottom w:val="none" w:sz="0" w:space="0" w:color="auto"/>
        <w:right w:val="none" w:sz="0" w:space="0" w:color="auto"/>
      </w:divBdr>
    </w:div>
    <w:div w:id="1624194418">
      <w:marLeft w:val="0"/>
      <w:marRight w:val="0"/>
      <w:marTop w:val="0"/>
      <w:marBottom w:val="0"/>
      <w:divBdr>
        <w:top w:val="none" w:sz="0" w:space="0" w:color="auto"/>
        <w:left w:val="none" w:sz="0" w:space="0" w:color="auto"/>
        <w:bottom w:val="none" w:sz="0" w:space="0" w:color="auto"/>
        <w:right w:val="none" w:sz="0" w:space="0" w:color="auto"/>
      </w:divBdr>
    </w:div>
    <w:div w:id="1624194419">
      <w:marLeft w:val="0"/>
      <w:marRight w:val="0"/>
      <w:marTop w:val="0"/>
      <w:marBottom w:val="0"/>
      <w:divBdr>
        <w:top w:val="none" w:sz="0" w:space="0" w:color="auto"/>
        <w:left w:val="none" w:sz="0" w:space="0" w:color="auto"/>
        <w:bottom w:val="none" w:sz="0" w:space="0" w:color="auto"/>
        <w:right w:val="none" w:sz="0" w:space="0" w:color="auto"/>
      </w:divBdr>
    </w:div>
    <w:div w:id="1624194420">
      <w:marLeft w:val="0"/>
      <w:marRight w:val="0"/>
      <w:marTop w:val="0"/>
      <w:marBottom w:val="0"/>
      <w:divBdr>
        <w:top w:val="none" w:sz="0" w:space="0" w:color="auto"/>
        <w:left w:val="none" w:sz="0" w:space="0" w:color="auto"/>
        <w:bottom w:val="none" w:sz="0" w:space="0" w:color="auto"/>
        <w:right w:val="none" w:sz="0" w:space="0" w:color="auto"/>
      </w:divBdr>
    </w:div>
    <w:div w:id="1624194421">
      <w:marLeft w:val="0"/>
      <w:marRight w:val="0"/>
      <w:marTop w:val="0"/>
      <w:marBottom w:val="0"/>
      <w:divBdr>
        <w:top w:val="none" w:sz="0" w:space="0" w:color="auto"/>
        <w:left w:val="none" w:sz="0" w:space="0" w:color="auto"/>
        <w:bottom w:val="none" w:sz="0" w:space="0" w:color="auto"/>
        <w:right w:val="none" w:sz="0" w:space="0" w:color="auto"/>
      </w:divBdr>
    </w:div>
    <w:div w:id="1624194422">
      <w:marLeft w:val="0"/>
      <w:marRight w:val="0"/>
      <w:marTop w:val="0"/>
      <w:marBottom w:val="0"/>
      <w:divBdr>
        <w:top w:val="none" w:sz="0" w:space="0" w:color="auto"/>
        <w:left w:val="none" w:sz="0" w:space="0" w:color="auto"/>
        <w:bottom w:val="none" w:sz="0" w:space="0" w:color="auto"/>
        <w:right w:val="none" w:sz="0" w:space="0" w:color="auto"/>
      </w:divBdr>
    </w:div>
    <w:div w:id="1624194423">
      <w:marLeft w:val="0"/>
      <w:marRight w:val="0"/>
      <w:marTop w:val="0"/>
      <w:marBottom w:val="0"/>
      <w:divBdr>
        <w:top w:val="none" w:sz="0" w:space="0" w:color="auto"/>
        <w:left w:val="none" w:sz="0" w:space="0" w:color="auto"/>
        <w:bottom w:val="none" w:sz="0" w:space="0" w:color="auto"/>
        <w:right w:val="none" w:sz="0" w:space="0" w:color="auto"/>
      </w:divBdr>
    </w:div>
    <w:div w:id="1624194424">
      <w:marLeft w:val="0"/>
      <w:marRight w:val="0"/>
      <w:marTop w:val="0"/>
      <w:marBottom w:val="0"/>
      <w:divBdr>
        <w:top w:val="none" w:sz="0" w:space="0" w:color="auto"/>
        <w:left w:val="none" w:sz="0" w:space="0" w:color="auto"/>
        <w:bottom w:val="none" w:sz="0" w:space="0" w:color="auto"/>
        <w:right w:val="none" w:sz="0" w:space="0" w:color="auto"/>
      </w:divBdr>
    </w:div>
    <w:div w:id="1624194425">
      <w:marLeft w:val="0"/>
      <w:marRight w:val="0"/>
      <w:marTop w:val="0"/>
      <w:marBottom w:val="0"/>
      <w:divBdr>
        <w:top w:val="none" w:sz="0" w:space="0" w:color="auto"/>
        <w:left w:val="none" w:sz="0" w:space="0" w:color="auto"/>
        <w:bottom w:val="none" w:sz="0" w:space="0" w:color="auto"/>
        <w:right w:val="none" w:sz="0" w:space="0" w:color="auto"/>
      </w:divBdr>
    </w:div>
    <w:div w:id="1624194426">
      <w:marLeft w:val="0"/>
      <w:marRight w:val="0"/>
      <w:marTop w:val="0"/>
      <w:marBottom w:val="0"/>
      <w:divBdr>
        <w:top w:val="none" w:sz="0" w:space="0" w:color="auto"/>
        <w:left w:val="none" w:sz="0" w:space="0" w:color="auto"/>
        <w:bottom w:val="none" w:sz="0" w:space="0" w:color="auto"/>
        <w:right w:val="none" w:sz="0" w:space="0" w:color="auto"/>
      </w:divBdr>
    </w:div>
    <w:div w:id="1624194427">
      <w:marLeft w:val="0"/>
      <w:marRight w:val="0"/>
      <w:marTop w:val="0"/>
      <w:marBottom w:val="0"/>
      <w:divBdr>
        <w:top w:val="none" w:sz="0" w:space="0" w:color="auto"/>
        <w:left w:val="none" w:sz="0" w:space="0" w:color="auto"/>
        <w:bottom w:val="none" w:sz="0" w:space="0" w:color="auto"/>
        <w:right w:val="none" w:sz="0" w:space="0" w:color="auto"/>
      </w:divBdr>
    </w:div>
    <w:div w:id="1624194428">
      <w:marLeft w:val="0"/>
      <w:marRight w:val="0"/>
      <w:marTop w:val="0"/>
      <w:marBottom w:val="0"/>
      <w:divBdr>
        <w:top w:val="none" w:sz="0" w:space="0" w:color="auto"/>
        <w:left w:val="none" w:sz="0" w:space="0" w:color="auto"/>
        <w:bottom w:val="none" w:sz="0" w:space="0" w:color="auto"/>
        <w:right w:val="none" w:sz="0" w:space="0" w:color="auto"/>
      </w:divBdr>
    </w:div>
    <w:div w:id="1624194429">
      <w:marLeft w:val="0"/>
      <w:marRight w:val="0"/>
      <w:marTop w:val="0"/>
      <w:marBottom w:val="0"/>
      <w:divBdr>
        <w:top w:val="none" w:sz="0" w:space="0" w:color="auto"/>
        <w:left w:val="none" w:sz="0" w:space="0" w:color="auto"/>
        <w:bottom w:val="none" w:sz="0" w:space="0" w:color="auto"/>
        <w:right w:val="none" w:sz="0" w:space="0" w:color="auto"/>
      </w:divBdr>
    </w:div>
    <w:div w:id="1624194430">
      <w:marLeft w:val="0"/>
      <w:marRight w:val="0"/>
      <w:marTop w:val="0"/>
      <w:marBottom w:val="0"/>
      <w:divBdr>
        <w:top w:val="none" w:sz="0" w:space="0" w:color="auto"/>
        <w:left w:val="none" w:sz="0" w:space="0" w:color="auto"/>
        <w:bottom w:val="none" w:sz="0" w:space="0" w:color="auto"/>
        <w:right w:val="none" w:sz="0" w:space="0" w:color="auto"/>
      </w:divBdr>
    </w:div>
    <w:div w:id="1624194431">
      <w:marLeft w:val="0"/>
      <w:marRight w:val="0"/>
      <w:marTop w:val="0"/>
      <w:marBottom w:val="0"/>
      <w:divBdr>
        <w:top w:val="none" w:sz="0" w:space="0" w:color="auto"/>
        <w:left w:val="none" w:sz="0" w:space="0" w:color="auto"/>
        <w:bottom w:val="none" w:sz="0" w:space="0" w:color="auto"/>
        <w:right w:val="none" w:sz="0" w:space="0" w:color="auto"/>
      </w:divBdr>
    </w:div>
    <w:div w:id="1624194432">
      <w:marLeft w:val="0"/>
      <w:marRight w:val="0"/>
      <w:marTop w:val="0"/>
      <w:marBottom w:val="0"/>
      <w:divBdr>
        <w:top w:val="none" w:sz="0" w:space="0" w:color="auto"/>
        <w:left w:val="none" w:sz="0" w:space="0" w:color="auto"/>
        <w:bottom w:val="none" w:sz="0" w:space="0" w:color="auto"/>
        <w:right w:val="none" w:sz="0" w:space="0" w:color="auto"/>
      </w:divBdr>
    </w:div>
    <w:div w:id="1624194433">
      <w:marLeft w:val="0"/>
      <w:marRight w:val="0"/>
      <w:marTop w:val="0"/>
      <w:marBottom w:val="0"/>
      <w:divBdr>
        <w:top w:val="none" w:sz="0" w:space="0" w:color="auto"/>
        <w:left w:val="none" w:sz="0" w:space="0" w:color="auto"/>
        <w:bottom w:val="none" w:sz="0" w:space="0" w:color="auto"/>
        <w:right w:val="none" w:sz="0" w:space="0" w:color="auto"/>
      </w:divBdr>
    </w:div>
    <w:div w:id="1624194434">
      <w:marLeft w:val="0"/>
      <w:marRight w:val="0"/>
      <w:marTop w:val="0"/>
      <w:marBottom w:val="0"/>
      <w:divBdr>
        <w:top w:val="none" w:sz="0" w:space="0" w:color="auto"/>
        <w:left w:val="none" w:sz="0" w:space="0" w:color="auto"/>
        <w:bottom w:val="none" w:sz="0" w:space="0" w:color="auto"/>
        <w:right w:val="none" w:sz="0" w:space="0" w:color="auto"/>
      </w:divBdr>
    </w:div>
    <w:div w:id="1624194435">
      <w:marLeft w:val="0"/>
      <w:marRight w:val="0"/>
      <w:marTop w:val="0"/>
      <w:marBottom w:val="0"/>
      <w:divBdr>
        <w:top w:val="none" w:sz="0" w:space="0" w:color="auto"/>
        <w:left w:val="none" w:sz="0" w:space="0" w:color="auto"/>
        <w:bottom w:val="none" w:sz="0" w:space="0" w:color="auto"/>
        <w:right w:val="none" w:sz="0" w:space="0" w:color="auto"/>
      </w:divBdr>
    </w:div>
    <w:div w:id="1624194436">
      <w:marLeft w:val="0"/>
      <w:marRight w:val="0"/>
      <w:marTop w:val="0"/>
      <w:marBottom w:val="0"/>
      <w:divBdr>
        <w:top w:val="none" w:sz="0" w:space="0" w:color="auto"/>
        <w:left w:val="none" w:sz="0" w:space="0" w:color="auto"/>
        <w:bottom w:val="none" w:sz="0" w:space="0" w:color="auto"/>
        <w:right w:val="none" w:sz="0" w:space="0" w:color="auto"/>
      </w:divBdr>
    </w:div>
    <w:div w:id="1624194437">
      <w:marLeft w:val="0"/>
      <w:marRight w:val="0"/>
      <w:marTop w:val="0"/>
      <w:marBottom w:val="0"/>
      <w:divBdr>
        <w:top w:val="none" w:sz="0" w:space="0" w:color="auto"/>
        <w:left w:val="none" w:sz="0" w:space="0" w:color="auto"/>
        <w:bottom w:val="none" w:sz="0" w:space="0" w:color="auto"/>
        <w:right w:val="none" w:sz="0" w:space="0" w:color="auto"/>
      </w:divBdr>
    </w:div>
    <w:div w:id="1624194438">
      <w:marLeft w:val="0"/>
      <w:marRight w:val="0"/>
      <w:marTop w:val="0"/>
      <w:marBottom w:val="0"/>
      <w:divBdr>
        <w:top w:val="none" w:sz="0" w:space="0" w:color="auto"/>
        <w:left w:val="none" w:sz="0" w:space="0" w:color="auto"/>
        <w:bottom w:val="none" w:sz="0" w:space="0" w:color="auto"/>
        <w:right w:val="none" w:sz="0" w:space="0" w:color="auto"/>
      </w:divBdr>
    </w:div>
    <w:div w:id="1624194439">
      <w:marLeft w:val="0"/>
      <w:marRight w:val="0"/>
      <w:marTop w:val="0"/>
      <w:marBottom w:val="0"/>
      <w:divBdr>
        <w:top w:val="none" w:sz="0" w:space="0" w:color="auto"/>
        <w:left w:val="none" w:sz="0" w:space="0" w:color="auto"/>
        <w:bottom w:val="none" w:sz="0" w:space="0" w:color="auto"/>
        <w:right w:val="none" w:sz="0" w:space="0" w:color="auto"/>
      </w:divBdr>
    </w:div>
    <w:div w:id="1624194440">
      <w:marLeft w:val="0"/>
      <w:marRight w:val="0"/>
      <w:marTop w:val="0"/>
      <w:marBottom w:val="0"/>
      <w:divBdr>
        <w:top w:val="none" w:sz="0" w:space="0" w:color="auto"/>
        <w:left w:val="none" w:sz="0" w:space="0" w:color="auto"/>
        <w:bottom w:val="none" w:sz="0" w:space="0" w:color="auto"/>
        <w:right w:val="none" w:sz="0" w:space="0" w:color="auto"/>
      </w:divBdr>
    </w:div>
    <w:div w:id="1624194441">
      <w:marLeft w:val="0"/>
      <w:marRight w:val="0"/>
      <w:marTop w:val="0"/>
      <w:marBottom w:val="0"/>
      <w:divBdr>
        <w:top w:val="none" w:sz="0" w:space="0" w:color="auto"/>
        <w:left w:val="none" w:sz="0" w:space="0" w:color="auto"/>
        <w:bottom w:val="none" w:sz="0" w:space="0" w:color="auto"/>
        <w:right w:val="none" w:sz="0" w:space="0" w:color="auto"/>
      </w:divBdr>
    </w:div>
    <w:div w:id="1624194442">
      <w:marLeft w:val="0"/>
      <w:marRight w:val="0"/>
      <w:marTop w:val="0"/>
      <w:marBottom w:val="0"/>
      <w:divBdr>
        <w:top w:val="none" w:sz="0" w:space="0" w:color="auto"/>
        <w:left w:val="none" w:sz="0" w:space="0" w:color="auto"/>
        <w:bottom w:val="none" w:sz="0" w:space="0" w:color="auto"/>
        <w:right w:val="none" w:sz="0" w:space="0" w:color="auto"/>
      </w:divBdr>
    </w:div>
    <w:div w:id="1624194443">
      <w:marLeft w:val="0"/>
      <w:marRight w:val="0"/>
      <w:marTop w:val="0"/>
      <w:marBottom w:val="0"/>
      <w:divBdr>
        <w:top w:val="none" w:sz="0" w:space="0" w:color="auto"/>
        <w:left w:val="none" w:sz="0" w:space="0" w:color="auto"/>
        <w:bottom w:val="none" w:sz="0" w:space="0" w:color="auto"/>
        <w:right w:val="none" w:sz="0" w:space="0" w:color="auto"/>
      </w:divBdr>
    </w:div>
    <w:div w:id="1624194444">
      <w:marLeft w:val="0"/>
      <w:marRight w:val="0"/>
      <w:marTop w:val="0"/>
      <w:marBottom w:val="0"/>
      <w:divBdr>
        <w:top w:val="none" w:sz="0" w:space="0" w:color="auto"/>
        <w:left w:val="none" w:sz="0" w:space="0" w:color="auto"/>
        <w:bottom w:val="none" w:sz="0" w:space="0" w:color="auto"/>
        <w:right w:val="none" w:sz="0" w:space="0" w:color="auto"/>
      </w:divBdr>
    </w:div>
    <w:div w:id="1624194445">
      <w:marLeft w:val="0"/>
      <w:marRight w:val="0"/>
      <w:marTop w:val="0"/>
      <w:marBottom w:val="0"/>
      <w:divBdr>
        <w:top w:val="none" w:sz="0" w:space="0" w:color="auto"/>
        <w:left w:val="none" w:sz="0" w:space="0" w:color="auto"/>
        <w:bottom w:val="none" w:sz="0" w:space="0" w:color="auto"/>
        <w:right w:val="none" w:sz="0" w:space="0" w:color="auto"/>
      </w:divBdr>
    </w:div>
    <w:div w:id="1624194446">
      <w:marLeft w:val="0"/>
      <w:marRight w:val="0"/>
      <w:marTop w:val="0"/>
      <w:marBottom w:val="0"/>
      <w:divBdr>
        <w:top w:val="none" w:sz="0" w:space="0" w:color="auto"/>
        <w:left w:val="none" w:sz="0" w:space="0" w:color="auto"/>
        <w:bottom w:val="none" w:sz="0" w:space="0" w:color="auto"/>
        <w:right w:val="none" w:sz="0" w:space="0" w:color="auto"/>
      </w:divBdr>
    </w:div>
    <w:div w:id="1624194447">
      <w:marLeft w:val="0"/>
      <w:marRight w:val="0"/>
      <w:marTop w:val="0"/>
      <w:marBottom w:val="0"/>
      <w:divBdr>
        <w:top w:val="none" w:sz="0" w:space="0" w:color="auto"/>
        <w:left w:val="none" w:sz="0" w:space="0" w:color="auto"/>
        <w:bottom w:val="none" w:sz="0" w:space="0" w:color="auto"/>
        <w:right w:val="none" w:sz="0" w:space="0" w:color="auto"/>
      </w:divBdr>
    </w:div>
    <w:div w:id="1624194448">
      <w:marLeft w:val="0"/>
      <w:marRight w:val="0"/>
      <w:marTop w:val="0"/>
      <w:marBottom w:val="0"/>
      <w:divBdr>
        <w:top w:val="none" w:sz="0" w:space="0" w:color="auto"/>
        <w:left w:val="none" w:sz="0" w:space="0" w:color="auto"/>
        <w:bottom w:val="none" w:sz="0" w:space="0" w:color="auto"/>
        <w:right w:val="none" w:sz="0" w:space="0" w:color="auto"/>
      </w:divBdr>
    </w:div>
    <w:div w:id="1624194449">
      <w:marLeft w:val="0"/>
      <w:marRight w:val="0"/>
      <w:marTop w:val="0"/>
      <w:marBottom w:val="0"/>
      <w:divBdr>
        <w:top w:val="none" w:sz="0" w:space="0" w:color="auto"/>
        <w:left w:val="none" w:sz="0" w:space="0" w:color="auto"/>
        <w:bottom w:val="none" w:sz="0" w:space="0" w:color="auto"/>
        <w:right w:val="none" w:sz="0" w:space="0" w:color="auto"/>
      </w:divBdr>
    </w:div>
    <w:div w:id="1624194450">
      <w:marLeft w:val="0"/>
      <w:marRight w:val="0"/>
      <w:marTop w:val="0"/>
      <w:marBottom w:val="0"/>
      <w:divBdr>
        <w:top w:val="none" w:sz="0" w:space="0" w:color="auto"/>
        <w:left w:val="none" w:sz="0" w:space="0" w:color="auto"/>
        <w:bottom w:val="none" w:sz="0" w:space="0" w:color="auto"/>
        <w:right w:val="none" w:sz="0" w:space="0" w:color="auto"/>
      </w:divBdr>
    </w:div>
    <w:div w:id="1624194451">
      <w:marLeft w:val="0"/>
      <w:marRight w:val="0"/>
      <w:marTop w:val="0"/>
      <w:marBottom w:val="0"/>
      <w:divBdr>
        <w:top w:val="none" w:sz="0" w:space="0" w:color="auto"/>
        <w:left w:val="none" w:sz="0" w:space="0" w:color="auto"/>
        <w:bottom w:val="none" w:sz="0" w:space="0" w:color="auto"/>
        <w:right w:val="none" w:sz="0" w:space="0" w:color="auto"/>
      </w:divBdr>
    </w:div>
    <w:div w:id="1624194452">
      <w:marLeft w:val="0"/>
      <w:marRight w:val="0"/>
      <w:marTop w:val="0"/>
      <w:marBottom w:val="0"/>
      <w:divBdr>
        <w:top w:val="none" w:sz="0" w:space="0" w:color="auto"/>
        <w:left w:val="none" w:sz="0" w:space="0" w:color="auto"/>
        <w:bottom w:val="none" w:sz="0" w:space="0" w:color="auto"/>
        <w:right w:val="none" w:sz="0" w:space="0" w:color="auto"/>
      </w:divBdr>
    </w:div>
    <w:div w:id="1624194453">
      <w:marLeft w:val="0"/>
      <w:marRight w:val="0"/>
      <w:marTop w:val="0"/>
      <w:marBottom w:val="0"/>
      <w:divBdr>
        <w:top w:val="none" w:sz="0" w:space="0" w:color="auto"/>
        <w:left w:val="none" w:sz="0" w:space="0" w:color="auto"/>
        <w:bottom w:val="none" w:sz="0" w:space="0" w:color="auto"/>
        <w:right w:val="none" w:sz="0" w:space="0" w:color="auto"/>
      </w:divBdr>
    </w:div>
    <w:div w:id="1624194454">
      <w:marLeft w:val="0"/>
      <w:marRight w:val="0"/>
      <w:marTop w:val="0"/>
      <w:marBottom w:val="0"/>
      <w:divBdr>
        <w:top w:val="none" w:sz="0" w:space="0" w:color="auto"/>
        <w:left w:val="none" w:sz="0" w:space="0" w:color="auto"/>
        <w:bottom w:val="none" w:sz="0" w:space="0" w:color="auto"/>
        <w:right w:val="none" w:sz="0" w:space="0" w:color="auto"/>
      </w:divBdr>
    </w:div>
    <w:div w:id="1624194455">
      <w:marLeft w:val="0"/>
      <w:marRight w:val="0"/>
      <w:marTop w:val="0"/>
      <w:marBottom w:val="0"/>
      <w:divBdr>
        <w:top w:val="none" w:sz="0" w:space="0" w:color="auto"/>
        <w:left w:val="none" w:sz="0" w:space="0" w:color="auto"/>
        <w:bottom w:val="none" w:sz="0" w:space="0" w:color="auto"/>
        <w:right w:val="none" w:sz="0" w:space="0" w:color="auto"/>
      </w:divBdr>
    </w:div>
    <w:div w:id="1624194456">
      <w:marLeft w:val="0"/>
      <w:marRight w:val="0"/>
      <w:marTop w:val="0"/>
      <w:marBottom w:val="0"/>
      <w:divBdr>
        <w:top w:val="none" w:sz="0" w:space="0" w:color="auto"/>
        <w:left w:val="none" w:sz="0" w:space="0" w:color="auto"/>
        <w:bottom w:val="none" w:sz="0" w:space="0" w:color="auto"/>
        <w:right w:val="none" w:sz="0" w:space="0" w:color="auto"/>
      </w:divBdr>
    </w:div>
    <w:div w:id="1624194457">
      <w:marLeft w:val="0"/>
      <w:marRight w:val="0"/>
      <w:marTop w:val="0"/>
      <w:marBottom w:val="0"/>
      <w:divBdr>
        <w:top w:val="none" w:sz="0" w:space="0" w:color="auto"/>
        <w:left w:val="none" w:sz="0" w:space="0" w:color="auto"/>
        <w:bottom w:val="none" w:sz="0" w:space="0" w:color="auto"/>
        <w:right w:val="none" w:sz="0" w:space="0" w:color="auto"/>
      </w:divBdr>
    </w:div>
    <w:div w:id="1624194458">
      <w:marLeft w:val="0"/>
      <w:marRight w:val="0"/>
      <w:marTop w:val="0"/>
      <w:marBottom w:val="0"/>
      <w:divBdr>
        <w:top w:val="none" w:sz="0" w:space="0" w:color="auto"/>
        <w:left w:val="none" w:sz="0" w:space="0" w:color="auto"/>
        <w:bottom w:val="none" w:sz="0" w:space="0" w:color="auto"/>
        <w:right w:val="none" w:sz="0" w:space="0" w:color="auto"/>
      </w:divBdr>
    </w:div>
    <w:div w:id="1624194459">
      <w:marLeft w:val="0"/>
      <w:marRight w:val="0"/>
      <w:marTop w:val="0"/>
      <w:marBottom w:val="0"/>
      <w:divBdr>
        <w:top w:val="none" w:sz="0" w:space="0" w:color="auto"/>
        <w:left w:val="none" w:sz="0" w:space="0" w:color="auto"/>
        <w:bottom w:val="none" w:sz="0" w:space="0" w:color="auto"/>
        <w:right w:val="none" w:sz="0" w:space="0" w:color="auto"/>
      </w:divBdr>
    </w:div>
    <w:div w:id="1624194460">
      <w:marLeft w:val="0"/>
      <w:marRight w:val="0"/>
      <w:marTop w:val="0"/>
      <w:marBottom w:val="0"/>
      <w:divBdr>
        <w:top w:val="none" w:sz="0" w:space="0" w:color="auto"/>
        <w:left w:val="none" w:sz="0" w:space="0" w:color="auto"/>
        <w:bottom w:val="none" w:sz="0" w:space="0" w:color="auto"/>
        <w:right w:val="none" w:sz="0" w:space="0" w:color="auto"/>
      </w:divBdr>
    </w:div>
    <w:div w:id="1624194461">
      <w:marLeft w:val="0"/>
      <w:marRight w:val="0"/>
      <w:marTop w:val="0"/>
      <w:marBottom w:val="0"/>
      <w:divBdr>
        <w:top w:val="none" w:sz="0" w:space="0" w:color="auto"/>
        <w:left w:val="none" w:sz="0" w:space="0" w:color="auto"/>
        <w:bottom w:val="none" w:sz="0" w:space="0" w:color="auto"/>
        <w:right w:val="none" w:sz="0" w:space="0" w:color="auto"/>
      </w:divBdr>
    </w:div>
    <w:div w:id="1624194462">
      <w:marLeft w:val="0"/>
      <w:marRight w:val="0"/>
      <w:marTop w:val="0"/>
      <w:marBottom w:val="0"/>
      <w:divBdr>
        <w:top w:val="none" w:sz="0" w:space="0" w:color="auto"/>
        <w:left w:val="none" w:sz="0" w:space="0" w:color="auto"/>
        <w:bottom w:val="none" w:sz="0" w:space="0" w:color="auto"/>
        <w:right w:val="none" w:sz="0" w:space="0" w:color="auto"/>
      </w:divBdr>
    </w:div>
    <w:div w:id="1624194463">
      <w:marLeft w:val="0"/>
      <w:marRight w:val="0"/>
      <w:marTop w:val="0"/>
      <w:marBottom w:val="0"/>
      <w:divBdr>
        <w:top w:val="none" w:sz="0" w:space="0" w:color="auto"/>
        <w:left w:val="none" w:sz="0" w:space="0" w:color="auto"/>
        <w:bottom w:val="none" w:sz="0" w:space="0" w:color="auto"/>
        <w:right w:val="none" w:sz="0" w:space="0" w:color="auto"/>
      </w:divBdr>
    </w:div>
    <w:div w:id="1624194464">
      <w:marLeft w:val="0"/>
      <w:marRight w:val="0"/>
      <w:marTop w:val="0"/>
      <w:marBottom w:val="0"/>
      <w:divBdr>
        <w:top w:val="none" w:sz="0" w:space="0" w:color="auto"/>
        <w:left w:val="none" w:sz="0" w:space="0" w:color="auto"/>
        <w:bottom w:val="none" w:sz="0" w:space="0" w:color="auto"/>
        <w:right w:val="none" w:sz="0" w:space="0" w:color="auto"/>
      </w:divBdr>
    </w:div>
    <w:div w:id="1624194465">
      <w:marLeft w:val="0"/>
      <w:marRight w:val="0"/>
      <w:marTop w:val="0"/>
      <w:marBottom w:val="0"/>
      <w:divBdr>
        <w:top w:val="none" w:sz="0" w:space="0" w:color="auto"/>
        <w:left w:val="none" w:sz="0" w:space="0" w:color="auto"/>
        <w:bottom w:val="none" w:sz="0" w:space="0" w:color="auto"/>
        <w:right w:val="none" w:sz="0" w:space="0" w:color="auto"/>
      </w:divBdr>
    </w:div>
    <w:div w:id="1624194466">
      <w:marLeft w:val="0"/>
      <w:marRight w:val="0"/>
      <w:marTop w:val="0"/>
      <w:marBottom w:val="0"/>
      <w:divBdr>
        <w:top w:val="none" w:sz="0" w:space="0" w:color="auto"/>
        <w:left w:val="none" w:sz="0" w:space="0" w:color="auto"/>
        <w:bottom w:val="none" w:sz="0" w:space="0" w:color="auto"/>
        <w:right w:val="none" w:sz="0" w:space="0" w:color="auto"/>
      </w:divBdr>
    </w:div>
    <w:div w:id="1624194467">
      <w:marLeft w:val="0"/>
      <w:marRight w:val="0"/>
      <w:marTop w:val="0"/>
      <w:marBottom w:val="0"/>
      <w:divBdr>
        <w:top w:val="none" w:sz="0" w:space="0" w:color="auto"/>
        <w:left w:val="none" w:sz="0" w:space="0" w:color="auto"/>
        <w:bottom w:val="none" w:sz="0" w:space="0" w:color="auto"/>
        <w:right w:val="none" w:sz="0" w:space="0" w:color="auto"/>
      </w:divBdr>
    </w:div>
    <w:div w:id="1624194468">
      <w:marLeft w:val="0"/>
      <w:marRight w:val="0"/>
      <w:marTop w:val="0"/>
      <w:marBottom w:val="0"/>
      <w:divBdr>
        <w:top w:val="none" w:sz="0" w:space="0" w:color="auto"/>
        <w:left w:val="none" w:sz="0" w:space="0" w:color="auto"/>
        <w:bottom w:val="none" w:sz="0" w:space="0" w:color="auto"/>
        <w:right w:val="none" w:sz="0" w:space="0" w:color="auto"/>
      </w:divBdr>
    </w:div>
    <w:div w:id="1624194469">
      <w:marLeft w:val="0"/>
      <w:marRight w:val="0"/>
      <w:marTop w:val="0"/>
      <w:marBottom w:val="0"/>
      <w:divBdr>
        <w:top w:val="none" w:sz="0" w:space="0" w:color="auto"/>
        <w:left w:val="none" w:sz="0" w:space="0" w:color="auto"/>
        <w:bottom w:val="none" w:sz="0" w:space="0" w:color="auto"/>
        <w:right w:val="none" w:sz="0" w:space="0" w:color="auto"/>
      </w:divBdr>
    </w:div>
    <w:div w:id="1624194470">
      <w:marLeft w:val="0"/>
      <w:marRight w:val="0"/>
      <w:marTop w:val="0"/>
      <w:marBottom w:val="0"/>
      <w:divBdr>
        <w:top w:val="none" w:sz="0" w:space="0" w:color="auto"/>
        <w:left w:val="none" w:sz="0" w:space="0" w:color="auto"/>
        <w:bottom w:val="none" w:sz="0" w:space="0" w:color="auto"/>
        <w:right w:val="none" w:sz="0" w:space="0" w:color="auto"/>
      </w:divBdr>
    </w:div>
    <w:div w:id="1624194471">
      <w:marLeft w:val="0"/>
      <w:marRight w:val="0"/>
      <w:marTop w:val="0"/>
      <w:marBottom w:val="0"/>
      <w:divBdr>
        <w:top w:val="none" w:sz="0" w:space="0" w:color="auto"/>
        <w:left w:val="none" w:sz="0" w:space="0" w:color="auto"/>
        <w:bottom w:val="none" w:sz="0" w:space="0" w:color="auto"/>
        <w:right w:val="none" w:sz="0" w:space="0" w:color="auto"/>
      </w:divBdr>
    </w:div>
    <w:div w:id="1624194472">
      <w:marLeft w:val="0"/>
      <w:marRight w:val="0"/>
      <w:marTop w:val="0"/>
      <w:marBottom w:val="0"/>
      <w:divBdr>
        <w:top w:val="none" w:sz="0" w:space="0" w:color="auto"/>
        <w:left w:val="none" w:sz="0" w:space="0" w:color="auto"/>
        <w:bottom w:val="none" w:sz="0" w:space="0" w:color="auto"/>
        <w:right w:val="none" w:sz="0" w:space="0" w:color="auto"/>
      </w:divBdr>
    </w:div>
    <w:div w:id="1624194473">
      <w:marLeft w:val="0"/>
      <w:marRight w:val="0"/>
      <w:marTop w:val="0"/>
      <w:marBottom w:val="0"/>
      <w:divBdr>
        <w:top w:val="none" w:sz="0" w:space="0" w:color="auto"/>
        <w:left w:val="none" w:sz="0" w:space="0" w:color="auto"/>
        <w:bottom w:val="none" w:sz="0" w:space="0" w:color="auto"/>
        <w:right w:val="none" w:sz="0" w:space="0" w:color="auto"/>
      </w:divBdr>
    </w:div>
    <w:div w:id="1624194474">
      <w:marLeft w:val="0"/>
      <w:marRight w:val="0"/>
      <w:marTop w:val="0"/>
      <w:marBottom w:val="0"/>
      <w:divBdr>
        <w:top w:val="none" w:sz="0" w:space="0" w:color="auto"/>
        <w:left w:val="none" w:sz="0" w:space="0" w:color="auto"/>
        <w:bottom w:val="none" w:sz="0" w:space="0" w:color="auto"/>
        <w:right w:val="none" w:sz="0" w:space="0" w:color="auto"/>
      </w:divBdr>
    </w:div>
    <w:div w:id="1624194475">
      <w:marLeft w:val="0"/>
      <w:marRight w:val="0"/>
      <w:marTop w:val="0"/>
      <w:marBottom w:val="0"/>
      <w:divBdr>
        <w:top w:val="none" w:sz="0" w:space="0" w:color="auto"/>
        <w:left w:val="none" w:sz="0" w:space="0" w:color="auto"/>
        <w:bottom w:val="none" w:sz="0" w:space="0" w:color="auto"/>
        <w:right w:val="none" w:sz="0" w:space="0" w:color="auto"/>
      </w:divBdr>
    </w:div>
    <w:div w:id="1624194476">
      <w:marLeft w:val="0"/>
      <w:marRight w:val="0"/>
      <w:marTop w:val="0"/>
      <w:marBottom w:val="0"/>
      <w:divBdr>
        <w:top w:val="none" w:sz="0" w:space="0" w:color="auto"/>
        <w:left w:val="none" w:sz="0" w:space="0" w:color="auto"/>
        <w:bottom w:val="none" w:sz="0" w:space="0" w:color="auto"/>
        <w:right w:val="none" w:sz="0" w:space="0" w:color="auto"/>
      </w:divBdr>
    </w:div>
    <w:div w:id="1624194477">
      <w:marLeft w:val="0"/>
      <w:marRight w:val="0"/>
      <w:marTop w:val="0"/>
      <w:marBottom w:val="0"/>
      <w:divBdr>
        <w:top w:val="none" w:sz="0" w:space="0" w:color="auto"/>
        <w:left w:val="none" w:sz="0" w:space="0" w:color="auto"/>
        <w:bottom w:val="none" w:sz="0" w:space="0" w:color="auto"/>
        <w:right w:val="none" w:sz="0" w:space="0" w:color="auto"/>
      </w:divBdr>
    </w:div>
    <w:div w:id="1624194478">
      <w:marLeft w:val="0"/>
      <w:marRight w:val="0"/>
      <w:marTop w:val="0"/>
      <w:marBottom w:val="0"/>
      <w:divBdr>
        <w:top w:val="none" w:sz="0" w:space="0" w:color="auto"/>
        <w:left w:val="none" w:sz="0" w:space="0" w:color="auto"/>
        <w:bottom w:val="none" w:sz="0" w:space="0" w:color="auto"/>
        <w:right w:val="none" w:sz="0" w:space="0" w:color="auto"/>
      </w:divBdr>
    </w:div>
    <w:div w:id="1624194479">
      <w:marLeft w:val="0"/>
      <w:marRight w:val="0"/>
      <w:marTop w:val="0"/>
      <w:marBottom w:val="0"/>
      <w:divBdr>
        <w:top w:val="none" w:sz="0" w:space="0" w:color="auto"/>
        <w:left w:val="none" w:sz="0" w:space="0" w:color="auto"/>
        <w:bottom w:val="none" w:sz="0" w:space="0" w:color="auto"/>
        <w:right w:val="none" w:sz="0" w:space="0" w:color="auto"/>
      </w:divBdr>
    </w:div>
    <w:div w:id="1624194480">
      <w:marLeft w:val="0"/>
      <w:marRight w:val="0"/>
      <w:marTop w:val="0"/>
      <w:marBottom w:val="0"/>
      <w:divBdr>
        <w:top w:val="none" w:sz="0" w:space="0" w:color="auto"/>
        <w:left w:val="none" w:sz="0" w:space="0" w:color="auto"/>
        <w:bottom w:val="none" w:sz="0" w:space="0" w:color="auto"/>
        <w:right w:val="none" w:sz="0" w:space="0" w:color="auto"/>
      </w:divBdr>
    </w:div>
    <w:div w:id="1624194481">
      <w:marLeft w:val="0"/>
      <w:marRight w:val="0"/>
      <w:marTop w:val="0"/>
      <w:marBottom w:val="0"/>
      <w:divBdr>
        <w:top w:val="none" w:sz="0" w:space="0" w:color="auto"/>
        <w:left w:val="none" w:sz="0" w:space="0" w:color="auto"/>
        <w:bottom w:val="none" w:sz="0" w:space="0" w:color="auto"/>
        <w:right w:val="none" w:sz="0" w:space="0" w:color="auto"/>
      </w:divBdr>
    </w:div>
    <w:div w:id="1624194482">
      <w:marLeft w:val="0"/>
      <w:marRight w:val="0"/>
      <w:marTop w:val="0"/>
      <w:marBottom w:val="0"/>
      <w:divBdr>
        <w:top w:val="none" w:sz="0" w:space="0" w:color="auto"/>
        <w:left w:val="none" w:sz="0" w:space="0" w:color="auto"/>
        <w:bottom w:val="none" w:sz="0" w:space="0" w:color="auto"/>
        <w:right w:val="none" w:sz="0" w:space="0" w:color="auto"/>
      </w:divBdr>
    </w:div>
    <w:div w:id="1624194483">
      <w:marLeft w:val="0"/>
      <w:marRight w:val="0"/>
      <w:marTop w:val="0"/>
      <w:marBottom w:val="0"/>
      <w:divBdr>
        <w:top w:val="none" w:sz="0" w:space="0" w:color="auto"/>
        <w:left w:val="none" w:sz="0" w:space="0" w:color="auto"/>
        <w:bottom w:val="none" w:sz="0" w:space="0" w:color="auto"/>
        <w:right w:val="none" w:sz="0" w:space="0" w:color="auto"/>
      </w:divBdr>
    </w:div>
    <w:div w:id="1624194484">
      <w:marLeft w:val="0"/>
      <w:marRight w:val="0"/>
      <w:marTop w:val="0"/>
      <w:marBottom w:val="0"/>
      <w:divBdr>
        <w:top w:val="none" w:sz="0" w:space="0" w:color="auto"/>
        <w:left w:val="none" w:sz="0" w:space="0" w:color="auto"/>
        <w:bottom w:val="none" w:sz="0" w:space="0" w:color="auto"/>
        <w:right w:val="none" w:sz="0" w:space="0" w:color="auto"/>
      </w:divBdr>
    </w:div>
    <w:div w:id="1624194485">
      <w:marLeft w:val="0"/>
      <w:marRight w:val="0"/>
      <w:marTop w:val="0"/>
      <w:marBottom w:val="0"/>
      <w:divBdr>
        <w:top w:val="none" w:sz="0" w:space="0" w:color="auto"/>
        <w:left w:val="none" w:sz="0" w:space="0" w:color="auto"/>
        <w:bottom w:val="none" w:sz="0" w:space="0" w:color="auto"/>
        <w:right w:val="none" w:sz="0" w:space="0" w:color="auto"/>
      </w:divBdr>
    </w:div>
    <w:div w:id="1624194486">
      <w:marLeft w:val="0"/>
      <w:marRight w:val="0"/>
      <w:marTop w:val="0"/>
      <w:marBottom w:val="0"/>
      <w:divBdr>
        <w:top w:val="none" w:sz="0" w:space="0" w:color="auto"/>
        <w:left w:val="none" w:sz="0" w:space="0" w:color="auto"/>
        <w:bottom w:val="none" w:sz="0" w:space="0" w:color="auto"/>
        <w:right w:val="none" w:sz="0" w:space="0" w:color="auto"/>
      </w:divBdr>
    </w:div>
    <w:div w:id="1624194487">
      <w:marLeft w:val="0"/>
      <w:marRight w:val="0"/>
      <w:marTop w:val="0"/>
      <w:marBottom w:val="0"/>
      <w:divBdr>
        <w:top w:val="none" w:sz="0" w:space="0" w:color="auto"/>
        <w:left w:val="none" w:sz="0" w:space="0" w:color="auto"/>
        <w:bottom w:val="none" w:sz="0" w:space="0" w:color="auto"/>
        <w:right w:val="none" w:sz="0" w:space="0" w:color="auto"/>
      </w:divBdr>
    </w:div>
    <w:div w:id="1624194488">
      <w:marLeft w:val="0"/>
      <w:marRight w:val="0"/>
      <w:marTop w:val="0"/>
      <w:marBottom w:val="0"/>
      <w:divBdr>
        <w:top w:val="none" w:sz="0" w:space="0" w:color="auto"/>
        <w:left w:val="none" w:sz="0" w:space="0" w:color="auto"/>
        <w:bottom w:val="none" w:sz="0" w:space="0" w:color="auto"/>
        <w:right w:val="none" w:sz="0" w:space="0" w:color="auto"/>
      </w:divBdr>
    </w:div>
    <w:div w:id="1624194489">
      <w:marLeft w:val="0"/>
      <w:marRight w:val="0"/>
      <w:marTop w:val="0"/>
      <w:marBottom w:val="0"/>
      <w:divBdr>
        <w:top w:val="none" w:sz="0" w:space="0" w:color="auto"/>
        <w:left w:val="none" w:sz="0" w:space="0" w:color="auto"/>
        <w:bottom w:val="none" w:sz="0" w:space="0" w:color="auto"/>
        <w:right w:val="none" w:sz="0" w:space="0" w:color="auto"/>
      </w:divBdr>
    </w:div>
    <w:div w:id="1624194490">
      <w:marLeft w:val="0"/>
      <w:marRight w:val="0"/>
      <w:marTop w:val="0"/>
      <w:marBottom w:val="0"/>
      <w:divBdr>
        <w:top w:val="none" w:sz="0" w:space="0" w:color="auto"/>
        <w:left w:val="none" w:sz="0" w:space="0" w:color="auto"/>
        <w:bottom w:val="none" w:sz="0" w:space="0" w:color="auto"/>
        <w:right w:val="none" w:sz="0" w:space="0" w:color="auto"/>
      </w:divBdr>
    </w:div>
    <w:div w:id="1624194491">
      <w:marLeft w:val="0"/>
      <w:marRight w:val="0"/>
      <w:marTop w:val="0"/>
      <w:marBottom w:val="0"/>
      <w:divBdr>
        <w:top w:val="none" w:sz="0" w:space="0" w:color="auto"/>
        <w:left w:val="none" w:sz="0" w:space="0" w:color="auto"/>
        <w:bottom w:val="none" w:sz="0" w:space="0" w:color="auto"/>
        <w:right w:val="none" w:sz="0" w:space="0" w:color="auto"/>
      </w:divBdr>
    </w:div>
    <w:div w:id="1624194492">
      <w:marLeft w:val="0"/>
      <w:marRight w:val="0"/>
      <w:marTop w:val="0"/>
      <w:marBottom w:val="0"/>
      <w:divBdr>
        <w:top w:val="none" w:sz="0" w:space="0" w:color="auto"/>
        <w:left w:val="none" w:sz="0" w:space="0" w:color="auto"/>
        <w:bottom w:val="none" w:sz="0" w:space="0" w:color="auto"/>
        <w:right w:val="none" w:sz="0" w:space="0" w:color="auto"/>
      </w:divBdr>
    </w:div>
    <w:div w:id="1624194493">
      <w:marLeft w:val="0"/>
      <w:marRight w:val="0"/>
      <w:marTop w:val="0"/>
      <w:marBottom w:val="0"/>
      <w:divBdr>
        <w:top w:val="none" w:sz="0" w:space="0" w:color="auto"/>
        <w:left w:val="none" w:sz="0" w:space="0" w:color="auto"/>
        <w:bottom w:val="none" w:sz="0" w:space="0" w:color="auto"/>
        <w:right w:val="none" w:sz="0" w:space="0" w:color="auto"/>
      </w:divBdr>
    </w:div>
    <w:div w:id="1624194494">
      <w:marLeft w:val="0"/>
      <w:marRight w:val="0"/>
      <w:marTop w:val="0"/>
      <w:marBottom w:val="0"/>
      <w:divBdr>
        <w:top w:val="none" w:sz="0" w:space="0" w:color="auto"/>
        <w:left w:val="none" w:sz="0" w:space="0" w:color="auto"/>
        <w:bottom w:val="none" w:sz="0" w:space="0" w:color="auto"/>
        <w:right w:val="none" w:sz="0" w:space="0" w:color="auto"/>
      </w:divBdr>
    </w:div>
    <w:div w:id="1624194495">
      <w:marLeft w:val="0"/>
      <w:marRight w:val="0"/>
      <w:marTop w:val="0"/>
      <w:marBottom w:val="0"/>
      <w:divBdr>
        <w:top w:val="none" w:sz="0" w:space="0" w:color="auto"/>
        <w:left w:val="none" w:sz="0" w:space="0" w:color="auto"/>
        <w:bottom w:val="none" w:sz="0" w:space="0" w:color="auto"/>
        <w:right w:val="none" w:sz="0" w:space="0" w:color="auto"/>
      </w:divBdr>
    </w:div>
    <w:div w:id="1624194496">
      <w:marLeft w:val="0"/>
      <w:marRight w:val="0"/>
      <w:marTop w:val="0"/>
      <w:marBottom w:val="0"/>
      <w:divBdr>
        <w:top w:val="none" w:sz="0" w:space="0" w:color="auto"/>
        <w:left w:val="none" w:sz="0" w:space="0" w:color="auto"/>
        <w:bottom w:val="none" w:sz="0" w:space="0" w:color="auto"/>
        <w:right w:val="none" w:sz="0" w:space="0" w:color="auto"/>
      </w:divBdr>
    </w:div>
    <w:div w:id="1624194497">
      <w:marLeft w:val="0"/>
      <w:marRight w:val="0"/>
      <w:marTop w:val="0"/>
      <w:marBottom w:val="0"/>
      <w:divBdr>
        <w:top w:val="none" w:sz="0" w:space="0" w:color="auto"/>
        <w:left w:val="none" w:sz="0" w:space="0" w:color="auto"/>
        <w:bottom w:val="none" w:sz="0" w:space="0" w:color="auto"/>
        <w:right w:val="none" w:sz="0" w:space="0" w:color="auto"/>
      </w:divBdr>
    </w:div>
    <w:div w:id="1624194498">
      <w:marLeft w:val="0"/>
      <w:marRight w:val="0"/>
      <w:marTop w:val="0"/>
      <w:marBottom w:val="0"/>
      <w:divBdr>
        <w:top w:val="none" w:sz="0" w:space="0" w:color="auto"/>
        <w:left w:val="none" w:sz="0" w:space="0" w:color="auto"/>
        <w:bottom w:val="none" w:sz="0" w:space="0" w:color="auto"/>
        <w:right w:val="none" w:sz="0" w:space="0" w:color="auto"/>
      </w:divBdr>
    </w:div>
    <w:div w:id="1624194499">
      <w:marLeft w:val="0"/>
      <w:marRight w:val="0"/>
      <w:marTop w:val="0"/>
      <w:marBottom w:val="0"/>
      <w:divBdr>
        <w:top w:val="none" w:sz="0" w:space="0" w:color="auto"/>
        <w:left w:val="none" w:sz="0" w:space="0" w:color="auto"/>
        <w:bottom w:val="none" w:sz="0" w:space="0" w:color="auto"/>
        <w:right w:val="none" w:sz="0" w:space="0" w:color="auto"/>
      </w:divBdr>
    </w:div>
    <w:div w:id="1624194500">
      <w:marLeft w:val="0"/>
      <w:marRight w:val="0"/>
      <w:marTop w:val="0"/>
      <w:marBottom w:val="0"/>
      <w:divBdr>
        <w:top w:val="none" w:sz="0" w:space="0" w:color="auto"/>
        <w:left w:val="none" w:sz="0" w:space="0" w:color="auto"/>
        <w:bottom w:val="none" w:sz="0" w:space="0" w:color="auto"/>
        <w:right w:val="none" w:sz="0" w:space="0" w:color="auto"/>
      </w:divBdr>
    </w:div>
    <w:div w:id="1624194501">
      <w:marLeft w:val="0"/>
      <w:marRight w:val="0"/>
      <w:marTop w:val="0"/>
      <w:marBottom w:val="0"/>
      <w:divBdr>
        <w:top w:val="none" w:sz="0" w:space="0" w:color="auto"/>
        <w:left w:val="none" w:sz="0" w:space="0" w:color="auto"/>
        <w:bottom w:val="none" w:sz="0" w:space="0" w:color="auto"/>
        <w:right w:val="none" w:sz="0" w:space="0" w:color="auto"/>
      </w:divBdr>
    </w:div>
    <w:div w:id="1624194502">
      <w:marLeft w:val="0"/>
      <w:marRight w:val="0"/>
      <w:marTop w:val="0"/>
      <w:marBottom w:val="0"/>
      <w:divBdr>
        <w:top w:val="none" w:sz="0" w:space="0" w:color="auto"/>
        <w:left w:val="none" w:sz="0" w:space="0" w:color="auto"/>
        <w:bottom w:val="none" w:sz="0" w:space="0" w:color="auto"/>
        <w:right w:val="none" w:sz="0" w:space="0" w:color="auto"/>
      </w:divBdr>
    </w:div>
    <w:div w:id="1624194503">
      <w:marLeft w:val="0"/>
      <w:marRight w:val="0"/>
      <w:marTop w:val="0"/>
      <w:marBottom w:val="0"/>
      <w:divBdr>
        <w:top w:val="none" w:sz="0" w:space="0" w:color="auto"/>
        <w:left w:val="none" w:sz="0" w:space="0" w:color="auto"/>
        <w:bottom w:val="none" w:sz="0" w:space="0" w:color="auto"/>
        <w:right w:val="none" w:sz="0" w:space="0" w:color="auto"/>
      </w:divBdr>
    </w:div>
    <w:div w:id="1624194504">
      <w:marLeft w:val="0"/>
      <w:marRight w:val="0"/>
      <w:marTop w:val="0"/>
      <w:marBottom w:val="0"/>
      <w:divBdr>
        <w:top w:val="none" w:sz="0" w:space="0" w:color="auto"/>
        <w:left w:val="none" w:sz="0" w:space="0" w:color="auto"/>
        <w:bottom w:val="none" w:sz="0" w:space="0" w:color="auto"/>
        <w:right w:val="none" w:sz="0" w:space="0" w:color="auto"/>
      </w:divBdr>
    </w:div>
    <w:div w:id="1624194505">
      <w:marLeft w:val="0"/>
      <w:marRight w:val="0"/>
      <w:marTop w:val="0"/>
      <w:marBottom w:val="0"/>
      <w:divBdr>
        <w:top w:val="none" w:sz="0" w:space="0" w:color="auto"/>
        <w:left w:val="none" w:sz="0" w:space="0" w:color="auto"/>
        <w:bottom w:val="none" w:sz="0" w:space="0" w:color="auto"/>
        <w:right w:val="none" w:sz="0" w:space="0" w:color="auto"/>
      </w:divBdr>
    </w:div>
    <w:div w:id="1624194506">
      <w:marLeft w:val="0"/>
      <w:marRight w:val="0"/>
      <w:marTop w:val="0"/>
      <w:marBottom w:val="0"/>
      <w:divBdr>
        <w:top w:val="none" w:sz="0" w:space="0" w:color="auto"/>
        <w:left w:val="none" w:sz="0" w:space="0" w:color="auto"/>
        <w:bottom w:val="none" w:sz="0" w:space="0" w:color="auto"/>
        <w:right w:val="none" w:sz="0" w:space="0" w:color="auto"/>
      </w:divBdr>
    </w:div>
    <w:div w:id="1624194507">
      <w:marLeft w:val="0"/>
      <w:marRight w:val="0"/>
      <w:marTop w:val="0"/>
      <w:marBottom w:val="0"/>
      <w:divBdr>
        <w:top w:val="none" w:sz="0" w:space="0" w:color="auto"/>
        <w:left w:val="none" w:sz="0" w:space="0" w:color="auto"/>
        <w:bottom w:val="none" w:sz="0" w:space="0" w:color="auto"/>
        <w:right w:val="none" w:sz="0" w:space="0" w:color="auto"/>
      </w:divBdr>
    </w:div>
    <w:div w:id="1624194508">
      <w:marLeft w:val="0"/>
      <w:marRight w:val="0"/>
      <w:marTop w:val="0"/>
      <w:marBottom w:val="0"/>
      <w:divBdr>
        <w:top w:val="none" w:sz="0" w:space="0" w:color="auto"/>
        <w:left w:val="none" w:sz="0" w:space="0" w:color="auto"/>
        <w:bottom w:val="none" w:sz="0" w:space="0" w:color="auto"/>
        <w:right w:val="none" w:sz="0" w:space="0" w:color="auto"/>
      </w:divBdr>
    </w:div>
    <w:div w:id="1624194509">
      <w:marLeft w:val="0"/>
      <w:marRight w:val="0"/>
      <w:marTop w:val="0"/>
      <w:marBottom w:val="0"/>
      <w:divBdr>
        <w:top w:val="none" w:sz="0" w:space="0" w:color="auto"/>
        <w:left w:val="none" w:sz="0" w:space="0" w:color="auto"/>
        <w:bottom w:val="none" w:sz="0" w:space="0" w:color="auto"/>
        <w:right w:val="none" w:sz="0" w:space="0" w:color="auto"/>
      </w:divBdr>
    </w:div>
    <w:div w:id="1624194510">
      <w:marLeft w:val="0"/>
      <w:marRight w:val="0"/>
      <w:marTop w:val="0"/>
      <w:marBottom w:val="0"/>
      <w:divBdr>
        <w:top w:val="none" w:sz="0" w:space="0" w:color="auto"/>
        <w:left w:val="none" w:sz="0" w:space="0" w:color="auto"/>
        <w:bottom w:val="none" w:sz="0" w:space="0" w:color="auto"/>
        <w:right w:val="none" w:sz="0" w:space="0" w:color="auto"/>
      </w:divBdr>
    </w:div>
    <w:div w:id="1624194511">
      <w:marLeft w:val="0"/>
      <w:marRight w:val="0"/>
      <w:marTop w:val="0"/>
      <w:marBottom w:val="0"/>
      <w:divBdr>
        <w:top w:val="none" w:sz="0" w:space="0" w:color="auto"/>
        <w:left w:val="none" w:sz="0" w:space="0" w:color="auto"/>
        <w:bottom w:val="none" w:sz="0" w:space="0" w:color="auto"/>
        <w:right w:val="none" w:sz="0" w:space="0" w:color="auto"/>
      </w:divBdr>
    </w:div>
    <w:div w:id="1624194512">
      <w:marLeft w:val="0"/>
      <w:marRight w:val="0"/>
      <w:marTop w:val="0"/>
      <w:marBottom w:val="0"/>
      <w:divBdr>
        <w:top w:val="none" w:sz="0" w:space="0" w:color="auto"/>
        <w:left w:val="none" w:sz="0" w:space="0" w:color="auto"/>
        <w:bottom w:val="none" w:sz="0" w:space="0" w:color="auto"/>
        <w:right w:val="none" w:sz="0" w:space="0" w:color="auto"/>
      </w:divBdr>
    </w:div>
    <w:div w:id="1624194513">
      <w:marLeft w:val="0"/>
      <w:marRight w:val="0"/>
      <w:marTop w:val="0"/>
      <w:marBottom w:val="0"/>
      <w:divBdr>
        <w:top w:val="none" w:sz="0" w:space="0" w:color="auto"/>
        <w:left w:val="none" w:sz="0" w:space="0" w:color="auto"/>
        <w:bottom w:val="none" w:sz="0" w:space="0" w:color="auto"/>
        <w:right w:val="none" w:sz="0" w:space="0" w:color="auto"/>
      </w:divBdr>
    </w:div>
    <w:div w:id="1624194514">
      <w:marLeft w:val="0"/>
      <w:marRight w:val="0"/>
      <w:marTop w:val="0"/>
      <w:marBottom w:val="0"/>
      <w:divBdr>
        <w:top w:val="none" w:sz="0" w:space="0" w:color="auto"/>
        <w:left w:val="none" w:sz="0" w:space="0" w:color="auto"/>
        <w:bottom w:val="none" w:sz="0" w:space="0" w:color="auto"/>
        <w:right w:val="none" w:sz="0" w:space="0" w:color="auto"/>
      </w:divBdr>
    </w:div>
    <w:div w:id="1624194515">
      <w:marLeft w:val="0"/>
      <w:marRight w:val="0"/>
      <w:marTop w:val="0"/>
      <w:marBottom w:val="0"/>
      <w:divBdr>
        <w:top w:val="none" w:sz="0" w:space="0" w:color="auto"/>
        <w:left w:val="none" w:sz="0" w:space="0" w:color="auto"/>
        <w:bottom w:val="none" w:sz="0" w:space="0" w:color="auto"/>
        <w:right w:val="none" w:sz="0" w:space="0" w:color="auto"/>
      </w:divBdr>
    </w:div>
    <w:div w:id="1624194516">
      <w:marLeft w:val="0"/>
      <w:marRight w:val="0"/>
      <w:marTop w:val="0"/>
      <w:marBottom w:val="0"/>
      <w:divBdr>
        <w:top w:val="none" w:sz="0" w:space="0" w:color="auto"/>
        <w:left w:val="none" w:sz="0" w:space="0" w:color="auto"/>
        <w:bottom w:val="none" w:sz="0" w:space="0" w:color="auto"/>
        <w:right w:val="none" w:sz="0" w:space="0" w:color="auto"/>
      </w:divBdr>
    </w:div>
    <w:div w:id="1624194517">
      <w:marLeft w:val="0"/>
      <w:marRight w:val="0"/>
      <w:marTop w:val="0"/>
      <w:marBottom w:val="0"/>
      <w:divBdr>
        <w:top w:val="none" w:sz="0" w:space="0" w:color="auto"/>
        <w:left w:val="none" w:sz="0" w:space="0" w:color="auto"/>
        <w:bottom w:val="none" w:sz="0" w:space="0" w:color="auto"/>
        <w:right w:val="none" w:sz="0" w:space="0" w:color="auto"/>
      </w:divBdr>
    </w:div>
    <w:div w:id="1624194518">
      <w:marLeft w:val="0"/>
      <w:marRight w:val="0"/>
      <w:marTop w:val="0"/>
      <w:marBottom w:val="0"/>
      <w:divBdr>
        <w:top w:val="none" w:sz="0" w:space="0" w:color="auto"/>
        <w:left w:val="none" w:sz="0" w:space="0" w:color="auto"/>
        <w:bottom w:val="none" w:sz="0" w:space="0" w:color="auto"/>
        <w:right w:val="none" w:sz="0" w:space="0" w:color="auto"/>
      </w:divBdr>
    </w:div>
    <w:div w:id="1624194519">
      <w:marLeft w:val="0"/>
      <w:marRight w:val="0"/>
      <w:marTop w:val="0"/>
      <w:marBottom w:val="0"/>
      <w:divBdr>
        <w:top w:val="none" w:sz="0" w:space="0" w:color="auto"/>
        <w:left w:val="none" w:sz="0" w:space="0" w:color="auto"/>
        <w:bottom w:val="none" w:sz="0" w:space="0" w:color="auto"/>
        <w:right w:val="none" w:sz="0" w:space="0" w:color="auto"/>
      </w:divBdr>
    </w:div>
    <w:div w:id="1624194520">
      <w:marLeft w:val="0"/>
      <w:marRight w:val="0"/>
      <w:marTop w:val="0"/>
      <w:marBottom w:val="0"/>
      <w:divBdr>
        <w:top w:val="none" w:sz="0" w:space="0" w:color="auto"/>
        <w:left w:val="none" w:sz="0" w:space="0" w:color="auto"/>
        <w:bottom w:val="none" w:sz="0" w:space="0" w:color="auto"/>
        <w:right w:val="none" w:sz="0" w:space="0" w:color="auto"/>
      </w:divBdr>
    </w:div>
    <w:div w:id="1624194521">
      <w:marLeft w:val="0"/>
      <w:marRight w:val="0"/>
      <w:marTop w:val="0"/>
      <w:marBottom w:val="0"/>
      <w:divBdr>
        <w:top w:val="none" w:sz="0" w:space="0" w:color="auto"/>
        <w:left w:val="none" w:sz="0" w:space="0" w:color="auto"/>
        <w:bottom w:val="none" w:sz="0" w:space="0" w:color="auto"/>
        <w:right w:val="none" w:sz="0" w:space="0" w:color="auto"/>
      </w:divBdr>
    </w:div>
    <w:div w:id="1624194522">
      <w:marLeft w:val="0"/>
      <w:marRight w:val="0"/>
      <w:marTop w:val="0"/>
      <w:marBottom w:val="0"/>
      <w:divBdr>
        <w:top w:val="none" w:sz="0" w:space="0" w:color="auto"/>
        <w:left w:val="none" w:sz="0" w:space="0" w:color="auto"/>
        <w:bottom w:val="none" w:sz="0" w:space="0" w:color="auto"/>
        <w:right w:val="none" w:sz="0" w:space="0" w:color="auto"/>
      </w:divBdr>
    </w:div>
    <w:div w:id="1624194523">
      <w:marLeft w:val="0"/>
      <w:marRight w:val="0"/>
      <w:marTop w:val="0"/>
      <w:marBottom w:val="0"/>
      <w:divBdr>
        <w:top w:val="none" w:sz="0" w:space="0" w:color="auto"/>
        <w:left w:val="none" w:sz="0" w:space="0" w:color="auto"/>
        <w:bottom w:val="none" w:sz="0" w:space="0" w:color="auto"/>
        <w:right w:val="none" w:sz="0" w:space="0" w:color="auto"/>
      </w:divBdr>
    </w:div>
    <w:div w:id="1624194524">
      <w:marLeft w:val="0"/>
      <w:marRight w:val="0"/>
      <w:marTop w:val="0"/>
      <w:marBottom w:val="0"/>
      <w:divBdr>
        <w:top w:val="none" w:sz="0" w:space="0" w:color="auto"/>
        <w:left w:val="none" w:sz="0" w:space="0" w:color="auto"/>
        <w:bottom w:val="none" w:sz="0" w:space="0" w:color="auto"/>
        <w:right w:val="none" w:sz="0" w:space="0" w:color="auto"/>
      </w:divBdr>
    </w:div>
    <w:div w:id="1624194525">
      <w:marLeft w:val="0"/>
      <w:marRight w:val="0"/>
      <w:marTop w:val="0"/>
      <w:marBottom w:val="0"/>
      <w:divBdr>
        <w:top w:val="none" w:sz="0" w:space="0" w:color="auto"/>
        <w:left w:val="none" w:sz="0" w:space="0" w:color="auto"/>
        <w:bottom w:val="none" w:sz="0" w:space="0" w:color="auto"/>
        <w:right w:val="none" w:sz="0" w:space="0" w:color="auto"/>
      </w:divBdr>
    </w:div>
    <w:div w:id="1624194526">
      <w:marLeft w:val="0"/>
      <w:marRight w:val="0"/>
      <w:marTop w:val="0"/>
      <w:marBottom w:val="0"/>
      <w:divBdr>
        <w:top w:val="none" w:sz="0" w:space="0" w:color="auto"/>
        <w:left w:val="none" w:sz="0" w:space="0" w:color="auto"/>
        <w:bottom w:val="none" w:sz="0" w:space="0" w:color="auto"/>
        <w:right w:val="none" w:sz="0" w:space="0" w:color="auto"/>
      </w:divBdr>
    </w:div>
    <w:div w:id="1624194527">
      <w:marLeft w:val="0"/>
      <w:marRight w:val="0"/>
      <w:marTop w:val="0"/>
      <w:marBottom w:val="0"/>
      <w:divBdr>
        <w:top w:val="none" w:sz="0" w:space="0" w:color="auto"/>
        <w:left w:val="none" w:sz="0" w:space="0" w:color="auto"/>
        <w:bottom w:val="none" w:sz="0" w:space="0" w:color="auto"/>
        <w:right w:val="none" w:sz="0" w:space="0" w:color="auto"/>
      </w:divBdr>
    </w:div>
    <w:div w:id="1624194528">
      <w:marLeft w:val="0"/>
      <w:marRight w:val="0"/>
      <w:marTop w:val="0"/>
      <w:marBottom w:val="0"/>
      <w:divBdr>
        <w:top w:val="none" w:sz="0" w:space="0" w:color="auto"/>
        <w:left w:val="none" w:sz="0" w:space="0" w:color="auto"/>
        <w:bottom w:val="none" w:sz="0" w:space="0" w:color="auto"/>
        <w:right w:val="none" w:sz="0" w:space="0" w:color="auto"/>
      </w:divBdr>
    </w:div>
    <w:div w:id="1624194529">
      <w:marLeft w:val="0"/>
      <w:marRight w:val="0"/>
      <w:marTop w:val="0"/>
      <w:marBottom w:val="0"/>
      <w:divBdr>
        <w:top w:val="none" w:sz="0" w:space="0" w:color="auto"/>
        <w:left w:val="none" w:sz="0" w:space="0" w:color="auto"/>
        <w:bottom w:val="none" w:sz="0" w:space="0" w:color="auto"/>
        <w:right w:val="none" w:sz="0" w:space="0" w:color="auto"/>
      </w:divBdr>
    </w:div>
    <w:div w:id="1624194530">
      <w:marLeft w:val="0"/>
      <w:marRight w:val="0"/>
      <w:marTop w:val="0"/>
      <w:marBottom w:val="0"/>
      <w:divBdr>
        <w:top w:val="none" w:sz="0" w:space="0" w:color="auto"/>
        <w:left w:val="none" w:sz="0" w:space="0" w:color="auto"/>
        <w:bottom w:val="none" w:sz="0" w:space="0" w:color="auto"/>
        <w:right w:val="none" w:sz="0" w:space="0" w:color="auto"/>
      </w:divBdr>
    </w:div>
    <w:div w:id="1624194531">
      <w:marLeft w:val="0"/>
      <w:marRight w:val="0"/>
      <w:marTop w:val="0"/>
      <w:marBottom w:val="0"/>
      <w:divBdr>
        <w:top w:val="none" w:sz="0" w:space="0" w:color="auto"/>
        <w:left w:val="none" w:sz="0" w:space="0" w:color="auto"/>
        <w:bottom w:val="none" w:sz="0" w:space="0" w:color="auto"/>
        <w:right w:val="none" w:sz="0" w:space="0" w:color="auto"/>
      </w:divBdr>
    </w:div>
    <w:div w:id="1624194532">
      <w:marLeft w:val="0"/>
      <w:marRight w:val="0"/>
      <w:marTop w:val="0"/>
      <w:marBottom w:val="0"/>
      <w:divBdr>
        <w:top w:val="none" w:sz="0" w:space="0" w:color="auto"/>
        <w:left w:val="none" w:sz="0" w:space="0" w:color="auto"/>
        <w:bottom w:val="none" w:sz="0" w:space="0" w:color="auto"/>
        <w:right w:val="none" w:sz="0" w:space="0" w:color="auto"/>
      </w:divBdr>
    </w:div>
    <w:div w:id="1624194533">
      <w:marLeft w:val="0"/>
      <w:marRight w:val="0"/>
      <w:marTop w:val="0"/>
      <w:marBottom w:val="0"/>
      <w:divBdr>
        <w:top w:val="none" w:sz="0" w:space="0" w:color="auto"/>
        <w:left w:val="none" w:sz="0" w:space="0" w:color="auto"/>
        <w:bottom w:val="none" w:sz="0" w:space="0" w:color="auto"/>
        <w:right w:val="none" w:sz="0" w:space="0" w:color="auto"/>
      </w:divBdr>
    </w:div>
    <w:div w:id="1624194534">
      <w:marLeft w:val="0"/>
      <w:marRight w:val="0"/>
      <w:marTop w:val="0"/>
      <w:marBottom w:val="0"/>
      <w:divBdr>
        <w:top w:val="none" w:sz="0" w:space="0" w:color="auto"/>
        <w:left w:val="none" w:sz="0" w:space="0" w:color="auto"/>
        <w:bottom w:val="none" w:sz="0" w:space="0" w:color="auto"/>
        <w:right w:val="none" w:sz="0" w:space="0" w:color="auto"/>
      </w:divBdr>
    </w:div>
    <w:div w:id="1624194535">
      <w:marLeft w:val="0"/>
      <w:marRight w:val="0"/>
      <w:marTop w:val="0"/>
      <w:marBottom w:val="0"/>
      <w:divBdr>
        <w:top w:val="none" w:sz="0" w:space="0" w:color="auto"/>
        <w:left w:val="none" w:sz="0" w:space="0" w:color="auto"/>
        <w:bottom w:val="none" w:sz="0" w:space="0" w:color="auto"/>
        <w:right w:val="none" w:sz="0" w:space="0" w:color="auto"/>
      </w:divBdr>
    </w:div>
    <w:div w:id="1624194536">
      <w:marLeft w:val="0"/>
      <w:marRight w:val="0"/>
      <w:marTop w:val="0"/>
      <w:marBottom w:val="0"/>
      <w:divBdr>
        <w:top w:val="none" w:sz="0" w:space="0" w:color="auto"/>
        <w:left w:val="none" w:sz="0" w:space="0" w:color="auto"/>
        <w:bottom w:val="none" w:sz="0" w:space="0" w:color="auto"/>
        <w:right w:val="none" w:sz="0" w:space="0" w:color="auto"/>
      </w:divBdr>
    </w:div>
    <w:div w:id="1624194537">
      <w:marLeft w:val="0"/>
      <w:marRight w:val="0"/>
      <w:marTop w:val="0"/>
      <w:marBottom w:val="0"/>
      <w:divBdr>
        <w:top w:val="none" w:sz="0" w:space="0" w:color="auto"/>
        <w:left w:val="none" w:sz="0" w:space="0" w:color="auto"/>
        <w:bottom w:val="none" w:sz="0" w:space="0" w:color="auto"/>
        <w:right w:val="none" w:sz="0" w:space="0" w:color="auto"/>
      </w:divBdr>
    </w:div>
    <w:div w:id="1624194538">
      <w:marLeft w:val="0"/>
      <w:marRight w:val="0"/>
      <w:marTop w:val="0"/>
      <w:marBottom w:val="0"/>
      <w:divBdr>
        <w:top w:val="none" w:sz="0" w:space="0" w:color="auto"/>
        <w:left w:val="none" w:sz="0" w:space="0" w:color="auto"/>
        <w:bottom w:val="none" w:sz="0" w:space="0" w:color="auto"/>
        <w:right w:val="none" w:sz="0" w:space="0" w:color="auto"/>
      </w:divBdr>
    </w:div>
    <w:div w:id="1624194539">
      <w:marLeft w:val="0"/>
      <w:marRight w:val="0"/>
      <w:marTop w:val="0"/>
      <w:marBottom w:val="0"/>
      <w:divBdr>
        <w:top w:val="none" w:sz="0" w:space="0" w:color="auto"/>
        <w:left w:val="none" w:sz="0" w:space="0" w:color="auto"/>
        <w:bottom w:val="none" w:sz="0" w:space="0" w:color="auto"/>
        <w:right w:val="none" w:sz="0" w:space="0" w:color="auto"/>
      </w:divBdr>
    </w:div>
    <w:div w:id="1624194540">
      <w:marLeft w:val="0"/>
      <w:marRight w:val="0"/>
      <w:marTop w:val="0"/>
      <w:marBottom w:val="0"/>
      <w:divBdr>
        <w:top w:val="none" w:sz="0" w:space="0" w:color="auto"/>
        <w:left w:val="none" w:sz="0" w:space="0" w:color="auto"/>
        <w:bottom w:val="none" w:sz="0" w:space="0" w:color="auto"/>
        <w:right w:val="none" w:sz="0" w:space="0" w:color="auto"/>
      </w:divBdr>
    </w:div>
    <w:div w:id="1624194541">
      <w:marLeft w:val="0"/>
      <w:marRight w:val="0"/>
      <w:marTop w:val="0"/>
      <w:marBottom w:val="0"/>
      <w:divBdr>
        <w:top w:val="none" w:sz="0" w:space="0" w:color="auto"/>
        <w:left w:val="none" w:sz="0" w:space="0" w:color="auto"/>
        <w:bottom w:val="none" w:sz="0" w:space="0" w:color="auto"/>
        <w:right w:val="none" w:sz="0" w:space="0" w:color="auto"/>
      </w:divBdr>
    </w:div>
    <w:div w:id="1624194542">
      <w:marLeft w:val="0"/>
      <w:marRight w:val="0"/>
      <w:marTop w:val="0"/>
      <w:marBottom w:val="0"/>
      <w:divBdr>
        <w:top w:val="none" w:sz="0" w:space="0" w:color="auto"/>
        <w:left w:val="none" w:sz="0" w:space="0" w:color="auto"/>
        <w:bottom w:val="none" w:sz="0" w:space="0" w:color="auto"/>
        <w:right w:val="none" w:sz="0" w:space="0" w:color="auto"/>
      </w:divBdr>
    </w:div>
    <w:div w:id="1624194543">
      <w:marLeft w:val="0"/>
      <w:marRight w:val="0"/>
      <w:marTop w:val="0"/>
      <w:marBottom w:val="0"/>
      <w:divBdr>
        <w:top w:val="none" w:sz="0" w:space="0" w:color="auto"/>
        <w:left w:val="none" w:sz="0" w:space="0" w:color="auto"/>
        <w:bottom w:val="none" w:sz="0" w:space="0" w:color="auto"/>
        <w:right w:val="none" w:sz="0" w:space="0" w:color="auto"/>
      </w:divBdr>
    </w:div>
    <w:div w:id="1624194544">
      <w:marLeft w:val="0"/>
      <w:marRight w:val="0"/>
      <w:marTop w:val="0"/>
      <w:marBottom w:val="0"/>
      <w:divBdr>
        <w:top w:val="none" w:sz="0" w:space="0" w:color="auto"/>
        <w:left w:val="none" w:sz="0" w:space="0" w:color="auto"/>
        <w:bottom w:val="none" w:sz="0" w:space="0" w:color="auto"/>
        <w:right w:val="none" w:sz="0" w:space="0" w:color="auto"/>
      </w:divBdr>
    </w:div>
    <w:div w:id="1624194545">
      <w:marLeft w:val="0"/>
      <w:marRight w:val="0"/>
      <w:marTop w:val="0"/>
      <w:marBottom w:val="0"/>
      <w:divBdr>
        <w:top w:val="none" w:sz="0" w:space="0" w:color="auto"/>
        <w:left w:val="none" w:sz="0" w:space="0" w:color="auto"/>
        <w:bottom w:val="none" w:sz="0" w:space="0" w:color="auto"/>
        <w:right w:val="none" w:sz="0" w:space="0" w:color="auto"/>
      </w:divBdr>
    </w:div>
    <w:div w:id="1624194546">
      <w:marLeft w:val="0"/>
      <w:marRight w:val="0"/>
      <w:marTop w:val="0"/>
      <w:marBottom w:val="0"/>
      <w:divBdr>
        <w:top w:val="none" w:sz="0" w:space="0" w:color="auto"/>
        <w:left w:val="none" w:sz="0" w:space="0" w:color="auto"/>
        <w:bottom w:val="none" w:sz="0" w:space="0" w:color="auto"/>
        <w:right w:val="none" w:sz="0" w:space="0" w:color="auto"/>
      </w:divBdr>
    </w:div>
    <w:div w:id="1624194547">
      <w:marLeft w:val="0"/>
      <w:marRight w:val="0"/>
      <w:marTop w:val="0"/>
      <w:marBottom w:val="0"/>
      <w:divBdr>
        <w:top w:val="none" w:sz="0" w:space="0" w:color="auto"/>
        <w:left w:val="none" w:sz="0" w:space="0" w:color="auto"/>
        <w:bottom w:val="none" w:sz="0" w:space="0" w:color="auto"/>
        <w:right w:val="none" w:sz="0" w:space="0" w:color="auto"/>
      </w:divBdr>
    </w:div>
    <w:div w:id="1624194548">
      <w:marLeft w:val="0"/>
      <w:marRight w:val="0"/>
      <w:marTop w:val="0"/>
      <w:marBottom w:val="0"/>
      <w:divBdr>
        <w:top w:val="none" w:sz="0" w:space="0" w:color="auto"/>
        <w:left w:val="none" w:sz="0" w:space="0" w:color="auto"/>
        <w:bottom w:val="none" w:sz="0" w:space="0" w:color="auto"/>
        <w:right w:val="none" w:sz="0" w:space="0" w:color="auto"/>
      </w:divBdr>
    </w:div>
    <w:div w:id="1624194549">
      <w:marLeft w:val="0"/>
      <w:marRight w:val="0"/>
      <w:marTop w:val="0"/>
      <w:marBottom w:val="0"/>
      <w:divBdr>
        <w:top w:val="none" w:sz="0" w:space="0" w:color="auto"/>
        <w:left w:val="none" w:sz="0" w:space="0" w:color="auto"/>
        <w:bottom w:val="none" w:sz="0" w:space="0" w:color="auto"/>
        <w:right w:val="none" w:sz="0" w:space="0" w:color="auto"/>
      </w:divBdr>
    </w:div>
    <w:div w:id="1624194550">
      <w:marLeft w:val="0"/>
      <w:marRight w:val="0"/>
      <w:marTop w:val="0"/>
      <w:marBottom w:val="0"/>
      <w:divBdr>
        <w:top w:val="none" w:sz="0" w:space="0" w:color="auto"/>
        <w:left w:val="none" w:sz="0" w:space="0" w:color="auto"/>
        <w:bottom w:val="none" w:sz="0" w:space="0" w:color="auto"/>
        <w:right w:val="none" w:sz="0" w:space="0" w:color="auto"/>
      </w:divBdr>
    </w:div>
    <w:div w:id="1624194551">
      <w:marLeft w:val="0"/>
      <w:marRight w:val="0"/>
      <w:marTop w:val="0"/>
      <w:marBottom w:val="0"/>
      <w:divBdr>
        <w:top w:val="none" w:sz="0" w:space="0" w:color="auto"/>
        <w:left w:val="none" w:sz="0" w:space="0" w:color="auto"/>
        <w:bottom w:val="none" w:sz="0" w:space="0" w:color="auto"/>
        <w:right w:val="none" w:sz="0" w:space="0" w:color="auto"/>
      </w:divBdr>
    </w:div>
    <w:div w:id="1624194552">
      <w:marLeft w:val="0"/>
      <w:marRight w:val="0"/>
      <w:marTop w:val="0"/>
      <w:marBottom w:val="0"/>
      <w:divBdr>
        <w:top w:val="none" w:sz="0" w:space="0" w:color="auto"/>
        <w:left w:val="none" w:sz="0" w:space="0" w:color="auto"/>
        <w:bottom w:val="none" w:sz="0" w:space="0" w:color="auto"/>
        <w:right w:val="none" w:sz="0" w:space="0" w:color="auto"/>
      </w:divBdr>
    </w:div>
    <w:div w:id="1624194553">
      <w:marLeft w:val="0"/>
      <w:marRight w:val="0"/>
      <w:marTop w:val="0"/>
      <w:marBottom w:val="0"/>
      <w:divBdr>
        <w:top w:val="none" w:sz="0" w:space="0" w:color="auto"/>
        <w:left w:val="none" w:sz="0" w:space="0" w:color="auto"/>
        <w:bottom w:val="none" w:sz="0" w:space="0" w:color="auto"/>
        <w:right w:val="none" w:sz="0" w:space="0" w:color="auto"/>
      </w:divBdr>
    </w:div>
    <w:div w:id="1624194554">
      <w:marLeft w:val="0"/>
      <w:marRight w:val="0"/>
      <w:marTop w:val="0"/>
      <w:marBottom w:val="0"/>
      <w:divBdr>
        <w:top w:val="none" w:sz="0" w:space="0" w:color="auto"/>
        <w:left w:val="none" w:sz="0" w:space="0" w:color="auto"/>
        <w:bottom w:val="none" w:sz="0" w:space="0" w:color="auto"/>
        <w:right w:val="none" w:sz="0" w:space="0" w:color="auto"/>
      </w:divBdr>
    </w:div>
    <w:div w:id="1624194555">
      <w:marLeft w:val="0"/>
      <w:marRight w:val="0"/>
      <w:marTop w:val="0"/>
      <w:marBottom w:val="0"/>
      <w:divBdr>
        <w:top w:val="none" w:sz="0" w:space="0" w:color="auto"/>
        <w:left w:val="none" w:sz="0" w:space="0" w:color="auto"/>
        <w:bottom w:val="none" w:sz="0" w:space="0" w:color="auto"/>
        <w:right w:val="none" w:sz="0" w:space="0" w:color="auto"/>
      </w:divBdr>
    </w:div>
    <w:div w:id="1624194556">
      <w:marLeft w:val="0"/>
      <w:marRight w:val="0"/>
      <w:marTop w:val="0"/>
      <w:marBottom w:val="0"/>
      <w:divBdr>
        <w:top w:val="none" w:sz="0" w:space="0" w:color="auto"/>
        <w:left w:val="none" w:sz="0" w:space="0" w:color="auto"/>
        <w:bottom w:val="none" w:sz="0" w:space="0" w:color="auto"/>
        <w:right w:val="none" w:sz="0" w:space="0" w:color="auto"/>
      </w:divBdr>
    </w:div>
    <w:div w:id="1624194557">
      <w:marLeft w:val="0"/>
      <w:marRight w:val="0"/>
      <w:marTop w:val="0"/>
      <w:marBottom w:val="0"/>
      <w:divBdr>
        <w:top w:val="none" w:sz="0" w:space="0" w:color="auto"/>
        <w:left w:val="none" w:sz="0" w:space="0" w:color="auto"/>
        <w:bottom w:val="none" w:sz="0" w:space="0" w:color="auto"/>
        <w:right w:val="none" w:sz="0" w:space="0" w:color="auto"/>
      </w:divBdr>
    </w:div>
    <w:div w:id="1624194558">
      <w:marLeft w:val="0"/>
      <w:marRight w:val="0"/>
      <w:marTop w:val="0"/>
      <w:marBottom w:val="0"/>
      <w:divBdr>
        <w:top w:val="none" w:sz="0" w:space="0" w:color="auto"/>
        <w:left w:val="none" w:sz="0" w:space="0" w:color="auto"/>
        <w:bottom w:val="none" w:sz="0" w:space="0" w:color="auto"/>
        <w:right w:val="none" w:sz="0" w:space="0" w:color="auto"/>
      </w:divBdr>
    </w:div>
    <w:div w:id="1624194559">
      <w:marLeft w:val="0"/>
      <w:marRight w:val="0"/>
      <w:marTop w:val="0"/>
      <w:marBottom w:val="0"/>
      <w:divBdr>
        <w:top w:val="none" w:sz="0" w:space="0" w:color="auto"/>
        <w:left w:val="none" w:sz="0" w:space="0" w:color="auto"/>
        <w:bottom w:val="none" w:sz="0" w:space="0" w:color="auto"/>
        <w:right w:val="none" w:sz="0" w:space="0" w:color="auto"/>
      </w:divBdr>
    </w:div>
    <w:div w:id="1624194560">
      <w:marLeft w:val="0"/>
      <w:marRight w:val="0"/>
      <w:marTop w:val="0"/>
      <w:marBottom w:val="0"/>
      <w:divBdr>
        <w:top w:val="none" w:sz="0" w:space="0" w:color="auto"/>
        <w:left w:val="none" w:sz="0" w:space="0" w:color="auto"/>
        <w:bottom w:val="none" w:sz="0" w:space="0" w:color="auto"/>
        <w:right w:val="none" w:sz="0" w:space="0" w:color="auto"/>
      </w:divBdr>
    </w:div>
    <w:div w:id="1624194561">
      <w:marLeft w:val="0"/>
      <w:marRight w:val="0"/>
      <w:marTop w:val="0"/>
      <w:marBottom w:val="0"/>
      <w:divBdr>
        <w:top w:val="none" w:sz="0" w:space="0" w:color="auto"/>
        <w:left w:val="none" w:sz="0" w:space="0" w:color="auto"/>
        <w:bottom w:val="none" w:sz="0" w:space="0" w:color="auto"/>
        <w:right w:val="none" w:sz="0" w:space="0" w:color="auto"/>
      </w:divBdr>
    </w:div>
    <w:div w:id="1624194562">
      <w:marLeft w:val="0"/>
      <w:marRight w:val="0"/>
      <w:marTop w:val="0"/>
      <w:marBottom w:val="0"/>
      <w:divBdr>
        <w:top w:val="none" w:sz="0" w:space="0" w:color="auto"/>
        <w:left w:val="none" w:sz="0" w:space="0" w:color="auto"/>
        <w:bottom w:val="none" w:sz="0" w:space="0" w:color="auto"/>
        <w:right w:val="none" w:sz="0" w:space="0" w:color="auto"/>
      </w:divBdr>
    </w:div>
    <w:div w:id="1624194563">
      <w:marLeft w:val="0"/>
      <w:marRight w:val="0"/>
      <w:marTop w:val="0"/>
      <w:marBottom w:val="0"/>
      <w:divBdr>
        <w:top w:val="none" w:sz="0" w:space="0" w:color="auto"/>
        <w:left w:val="none" w:sz="0" w:space="0" w:color="auto"/>
        <w:bottom w:val="none" w:sz="0" w:space="0" w:color="auto"/>
        <w:right w:val="none" w:sz="0" w:space="0" w:color="auto"/>
      </w:divBdr>
    </w:div>
    <w:div w:id="1624194564">
      <w:marLeft w:val="0"/>
      <w:marRight w:val="0"/>
      <w:marTop w:val="0"/>
      <w:marBottom w:val="0"/>
      <w:divBdr>
        <w:top w:val="none" w:sz="0" w:space="0" w:color="auto"/>
        <w:left w:val="none" w:sz="0" w:space="0" w:color="auto"/>
        <w:bottom w:val="none" w:sz="0" w:space="0" w:color="auto"/>
        <w:right w:val="none" w:sz="0" w:space="0" w:color="auto"/>
      </w:divBdr>
    </w:div>
    <w:div w:id="1624194565">
      <w:marLeft w:val="0"/>
      <w:marRight w:val="0"/>
      <w:marTop w:val="0"/>
      <w:marBottom w:val="0"/>
      <w:divBdr>
        <w:top w:val="none" w:sz="0" w:space="0" w:color="auto"/>
        <w:left w:val="none" w:sz="0" w:space="0" w:color="auto"/>
        <w:bottom w:val="none" w:sz="0" w:space="0" w:color="auto"/>
        <w:right w:val="none" w:sz="0" w:space="0" w:color="auto"/>
      </w:divBdr>
    </w:div>
    <w:div w:id="1624194566">
      <w:marLeft w:val="0"/>
      <w:marRight w:val="0"/>
      <w:marTop w:val="0"/>
      <w:marBottom w:val="0"/>
      <w:divBdr>
        <w:top w:val="none" w:sz="0" w:space="0" w:color="auto"/>
        <w:left w:val="none" w:sz="0" w:space="0" w:color="auto"/>
        <w:bottom w:val="none" w:sz="0" w:space="0" w:color="auto"/>
        <w:right w:val="none" w:sz="0" w:space="0" w:color="auto"/>
      </w:divBdr>
    </w:div>
    <w:div w:id="1624194567">
      <w:marLeft w:val="0"/>
      <w:marRight w:val="0"/>
      <w:marTop w:val="0"/>
      <w:marBottom w:val="0"/>
      <w:divBdr>
        <w:top w:val="none" w:sz="0" w:space="0" w:color="auto"/>
        <w:left w:val="none" w:sz="0" w:space="0" w:color="auto"/>
        <w:bottom w:val="none" w:sz="0" w:space="0" w:color="auto"/>
        <w:right w:val="none" w:sz="0" w:space="0" w:color="auto"/>
      </w:divBdr>
    </w:div>
    <w:div w:id="1624194568">
      <w:marLeft w:val="0"/>
      <w:marRight w:val="0"/>
      <w:marTop w:val="0"/>
      <w:marBottom w:val="0"/>
      <w:divBdr>
        <w:top w:val="none" w:sz="0" w:space="0" w:color="auto"/>
        <w:left w:val="none" w:sz="0" w:space="0" w:color="auto"/>
        <w:bottom w:val="none" w:sz="0" w:space="0" w:color="auto"/>
        <w:right w:val="none" w:sz="0" w:space="0" w:color="auto"/>
      </w:divBdr>
    </w:div>
    <w:div w:id="1624194569">
      <w:marLeft w:val="0"/>
      <w:marRight w:val="0"/>
      <w:marTop w:val="0"/>
      <w:marBottom w:val="0"/>
      <w:divBdr>
        <w:top w:val="none" w:sz="0" w:space="0" w:color="auto"/>
        <w:left w:val="none" w:sz="0" w:space="0" w:color="auto"/>
        <w:bottom w:val="none" w:sz="0" w:space="0" w:color="auto"/>
        <w:right w:val="none" w:sz="0" w:space="0" w:color="auto"/>
      </w:divBdr>
    </w:div>
    <w:div w:id="1624194570">
      <w:marLeft w:val="0"/>
      <w:marRight w:val="0"/>
      <w:marTop w:val="0"/>
      <w:marBottom w:val="0"/>
      <w:divBdr>
        <w:top w:val="none" w:sz="0" w:space="0" w:color="auto"/>
        <w:left w:val="none" w:sz="0" w:space="0" w:color="auto"/>
        <w:bottom w:val="none" w:sz="0" w:space="0" w:color="auto"/>
        <w:right w:val="none" w:sz="0" w:space="0" w:color="auto"/>
      </w:divBdr>
    </w:div>
    <w:div w:id="1624194571">
      <w:marLeft w:val="0"/>
      <w:marRight w:val="0"/>
      <w:marTop w:val="0"/>
      <w:marBottom w:val="0"/>
      <w:divBdr>
        <w:top w:val="none" w:sz="0" w:space="0" w:color="auto"/>
        <w:left w:val="none" w:sz="0" w:space="0" w:color="auto"/>
        <w:bottom w:val="none" w:sz="0" w:space="0" w:color="auto"/>
        <w:right w:val="none" w:sz="0" w:space="0" w:color="auto"/>
      </w:divBdr>
    </w:div>
    <w:div w:id="1624194572">
      <w:marLeft w:val="0"/>
      <w:marRight w:val="0"/>
      <w:marTop w:val="0"/>
      <w:marBottom w:val="0"/>
      <w:divBdr>
        <w:top w:val="none" w:sz="0" w:space="0" w:color="auto"/>
        <w:left w:val="none" w:sz="0" w:space="0" w:color="auto"/>
        <w:bottom w:val="none" w:sz="0" w:space="0" w:color="auto"/>
        <w:right w:val="none" w:sz="0" w:space="0" w:color="auto"/>
      </w:divBdr>
    </w:div>
    <w:div w:id="1624194573">
      <w:marLeft w:val="0"/>
      <w:marRight w:val="0"/>
      <w:marTop w:val="0"/>
      <w:marBottom w:val="0"/>
      <w:divBdr>
        <w:top w:val="none" w:sz="0" w:space="0" w:color="auto"/>
        <w:left w:val="none" w:sz="0" w:space="0" w:color="auto"/>
        <w:bottom w:val="none" w:sz="0" w:space="0" w:color="auto"/>
        <w:right w:val="none" w:sz="0" w:space="0" w:color="auto"/>
      </w:divBdr>
    </w:div>
    <w:div w:id="1624194574">
      <w:marLeft w:val="0"/>
      <w:marRight w:val="0"/>
      <w:marTop w:val="0"/>
      <w:marBottom w:val="0"/>
      <w:divBdr>
        <w:top w:val="none" w:sz="0" w:space="0" w:color="auto"/>
        <w:left w:val="none" w:sz="0" w:space="0" w:color="auto"/>
        <w:bottom w:val="none" w:sz="0" w:space="0" w:color="auto"/>
        <w:right w:val="none" w:sz="0" w:space="0" w:color="auto"/>
      </w:divBdr>
    </w:div>
    <w:div w:id="1624194575">
      <w:marLeft w:val="0"/>
      <w:marRight w:val="0"/>
      <w:marTop w:val="0"/>
      <w:marBottom w:val="0"/>
      <w:divBdr>
        <w:top w:val="none" w:sz="0" w:space="0" w:color="auto"/>
        <w:left w:val="none" w:sz="0" w:space="0" w:color="auto"/>
        <w:bottom w:val="none" w:sz="0" w:space="0" w:color="auto"/>
        <w:right w:val="none" w:sz="0" w:space="0" w:color="auto"/>
      </w:divBdr>
    </w:div>
    <w:div w:id="1624194576">
      <w:marLeft w:val="0"/>
      <w:marRight w:val="0"/>
      <w:marTop w:val="0"/>
      <w:marBottom w:val="0"/>
      <w:divBdr>
        <w:top w:val="none" w:sz="0" w:space="0" w:color="auto"/>
        <w:left w:val="none" w:sz="0" w:space="0" w:color="auto"/>
        <w:bottom w:val="none" w:sz="0" w:space="0" w:color="auto"/>
        <w:right w:val="none" w:sz="0" w:space="0" w:color="auto"/>
      </w:divBdr>
    </w:div>
    <w:div w:id="1624194577">
      <w:marLeft w:val="0"/>
      <w:marRight w:val="0"/>
      <w:marTop w:val="0"/>
      <w:marBottom w:val="0"/>
      <w:divBdr>
        <w:top w:val="none" w:sz="0" w:space="0" w:color="auto"/>
        <w:left w:val="none" w:sz="0" w:space="0" w:color="auto"/>
        <w:bottom w:val="none" w:sz="0" w:space="0" w:color="auto"/>
        <w:right w:val="none" w:sz="0" w:space="0" w:color="auto"/>
      </w:divBdr>
    </w:div>
    <w:div w:id="1624194578">
      <w:marLeft w:val="0"/>
      <w:marRight w:val="0"/>
      <w:marTop w:val="0"/>
      <w:marBottom w:val="0"/>
      <w:divBdr>
        <w:top w:val="none" w:sz="0" w:space="0" w:color="auto"/>
        <w:left w:val="none" w:sz="0" w:space="0" w:color="auto"/>
        <w:bottom w:val="none" w:sz="0" w:space="0" w:color="auto"/>
        <w:right w:val="none" w:sz="0" w:space="0" w:color="auto"/>
      </w:divBdr>
    </w:div>
    <w:div w:id="1624194579">
      <w:marLeft w:val="0"/>
      <w:marRight w:val="0"/>
      <w:marTop w:val="0"/>
      <w:marBottom w:val="0"/>
      <w:divBdr>
        <w:top w:val="none" w:sz="0" w:space="0" w:color="auto"/>
        <w:left w:val="none" w:sz="0" w:space="0" w:color="auto"/>
        <w:bottom w:val="none" w:sz="0" w:space="0" w:color="auto"/>
        <w:right w:val="none" w:sz="0" w:space="0" w:color="auto"/>
      </w:divBdr>
    </w:div>
    <w:div w:id="1624194580">
      <w:marLeft w:val="0"/>
      <w:marRight w:val="0"/>
      <w:marTop w:val="0"/>
      <w:marBottom w:val="0"/>
      <w:divBdr>
        <w:top w:val="none" w:sz="0" w:space="0" w:color="auto"/>
        <w:left w:val="none" w:sz="0" w:space="0" w:color="auto"/>
        <w:bottom w:val="none" w:sz="0" w:space="0" w:color="auto"/>
        <w:right w:val="none" w:sz="0" w:space="0" w:color="auto"/>
      </w:divBdr>
    </w:div>
    <w:div w:id="1624194581">
      <w:marLeft w:val="0"/>
      <w:marRight w:val="0"/>
      <w:marTop w:val="0"/>
      <w:marBottom w:val="0"/>
      <w:divBdr>
        <w:top w:val="none" w:sz="0" w:space="0" w:color="auto"/>
        <w:left w:val="none" w:sz="0" w:space="0" w:color="auto"/>
        <w:bottom w:val="none" w:sz="0" w:space="0" w:color="auto"/>
        <w:right w:val="none" w:sz="0" w:space="0" w:color="auto"/>
      </w:divBdr>
    </w:div>
    <w:div w:id="1624194582">
      <w:marLeft w:val="0"/>
      <w:marRight w:val="0"/>
      <w:marTop w:val="0"/>
      <w:marBottom w:val="0"/>
      <w:divBdr>
        <w:top w:val="none" w:sz="0" w:space="0" w:color="auto"/>
        <w:left w:val="none" w:sz="0" w:space="0" w:color="auto"/>
        <w:bottom w:val="none" w:sz="0" w:space="0" w:color="auto"/>
        <w:right w:val="none" w:sz="0" w:space="0" w:color="auto"/>
      </w:divBdr>
    </w:div>
    <w:div w:id="1624194583">
      <w:marLeft w:val="0"/>
      <w:marRight w:val="0"/>
      <w:marTop w:val="0"/>
      <w:marBottom w:val="0"/>
      <w:divBdr>
        <w:top w:val="none" w:sz="0" w:space="0" w:color="auto"/>
        <w:left w:val="none" w:sz="0" w:space="0" w:color="auto"/>
        <w:bottom w:val="none" w:sz="0" w:space="0" w:color="auto"/>
        <w:right w:val="none" w:sz="0" w:space="0" w:color="auto"/>
      </w:divBdr>
    </w:div>
    <w:div w:id="1624194584">
      <w:marLeft w:val="0"/>
      <w:marRight w:val="0"/>
      <w:marTop w:val="0"/>
      <w:marBottom w:val="0"/>
      <w:divBdr>
        <w:top w:val="none" w:sz="0" w:space="0" w:color="auto"/>
        <w:left w:val="none" w:sz="0" w:space="0" w:color="auto"/>
        <w:bottom w:val="none" w:sz="0" w:space="0" w:color="auto"/>
        <w:right w:val="none" w:sz="0" w:space="0" w:color="auto"/>
      </w:divBdr>
    </w:div>
    <w:div w:id="1624194585">
      <w:marLeft w:val="0"/>
      <w:marRight w:val="0"/>
      <w:marTop w:val="0"/>
      <w:marBottom w:val="0"/>
      <w:divBdr>
        <w:top w:val="none" w:sz="0" w:space="0" w:color="auto"/>
        <w:left w:val="none" w:sz="0" w:space="0" w:color="auto"/>
        <w:bottom w:val="none" w:sz="0" w:space="0" w:color="auto"/>
        <w:right w:val="none" w:sz="0" w:space="0" w:color="auto"/>
      </w:divBdr>
    </w:div>
    <w:div w:id="1624194586">
      <w:marLeft w:val="0"/>
      <w:marRight w:val="0"/>
      <w:marTop w:val="0"/>
      <w:marBottom w:val="0"/>
      <w:divBdr>
        <w:top w:val="none" w:sz="0" w:space="0" w:color="auto"/>
        <w:left w:val="none" w:sz="0" w:space="0" w:color="auto"/>
        <w:bottom w:val="none" w:sz="0" w:space="0" w:color="auto"/>
        <w:right w:val="none" w:sz="0" w:space="0" w:color="auto"/>
      </w:divBdr>
    </w:div>
    <w:div w:id="1624194587">
      <w:marLeft w:val="0"/>
      <w:marRight w:val="0"/>
      <w:marTop w:val="0"/>
      <w:marBottom w:val="0"/>
      <w:divBdr>
        <w:top w:val="none" w:sz="0" w:space="0" w:color="auto"/>
        <w:left w:val="none" w:sz="0" w:space="0" w:color="auto"/>
        <w:bottom w:val="none" w:sz="0" w:space="0" w:color="auto"/>
        <w:right w:val="none" w:sz="0" w:space="0" w:color="auto"/>
      </w:divBdr>
    </w:div>
    <w:div w:id="1624194588">
      <w:marLeft w:val="0"/>
      <w:marRight w:val="0"/>
      <w:marTop w:val="0"/>
      <w:marBottom w:val="0"/>
      <w:divBdr>
        <w:top w:val="none" w:sz="0" w:space="0" w:color="auto"/>
        <w:left w:val="none" w:sz="0" w:space="0" w:color="auto"/>
        <w:bottom w:val="none" w:sz="0" w:space="0" w:color="auto"/>
        <w:right w:val="none" w:sz="0" w:space="0" w:color="auto"/>
      </w:divBdr>
    </w:div>
    <w:div w:id="1624194589">
      <w:marLeft w:val="0"/>
      <w:marRight w:val="0"/>
      <w:marTop w:val="0"/>
      <w:marBottom w:val="0"/>
      <w:divBdr>
        <w:top w:val="none" w:sz="0" w:space="0" w:color="auto"/>
        <w:left w:val="none" w:sz="0" w:space="0" w:color="auto"/>
        <w:bottom w:val="none" w:sz="0" w:space="0" w:color="auto"/>
        <w:right w:val="none" w:sz="0" w:space="0" w:color="auto"/>
      </w:divBdr>
    </w:div>
    <w:div w:id="1624194590">
      <w:marLeft w:val="0"/>
      <w:marRight w:val="0"/>
      <w:marTop w:val="0"/>
      <w:marBottom w:val="0"/>
      <w:divBdr>
        <w:top w:val="none" w:sz="0" w:space="0" w:color="auto"/>
        <w:left w:val="none" w:sz="0" w:space="0" w:color="auto"/>
        <w:bottom w:val="none" w:sz="0" w:space="0" w:color="auto"/>
        <w:right w:val="none" w:sz="0" w:space="0" w:color="auto"/>
      </w:divBdr>
    </w:div>
    <w:div w:id="1624194591">
      <w:marLeft w:val="0"/>
      <w:marRight w:val="0"/>
      <w:marTop w:val="0"/>
      <w:marBottom w:val="0"/>
      <w:divBdr>
        <w:top w:val="none" w:sz="0" w:space="0" w:color="auto"/>
        <w:left w:val="none" w:sz="0" w:space="0" w:color="auto"/>
        <w:bottom w:val="none" w:sz="0" w:space="0" w:color="auto"/>
        <w:right w:val="none" w:sz="0" w:space="0" w:color="auto"/>
      </w:divBdr>
    </w:div>
    <w:div w:id="1624194592">
      <w:marLeft w:val="0"/>
      <w:marRight w:val="0"/>
      <w:marTop w:val="0"/>
      <w:marBottom w:val="0"/>
      <w:divBdr>
        <w:top w:val="none" w:sz="0" w:space="0" w:color="auto"/>
        <w:left w:val="none" w:sz="0" w:space="0" w:color="auto"/>
        <w:bottom w:val="none" w:sz="0" w:space="0" w:color="auto"/>
        <w:right w:val="none" w:sz="0" w:space="0" w:color="auto"/>
      </w:divBdr>
    </w:div>
    <w:div w:id="1624194593">
      <w:marLeft w:val="0"/>
      <w:marRight w:val="0"/>
      <w:marTop w:val="0"/>
      <w:marBottom w:val="0"/>
      <w:divBdr>
        <w:top w:val="none" w:sz="0" w:space="0" w:color="auto"/>
        <w:left w:val="none" w:sz="0" w:space="0" w:color="auto"/>
        <w:bottom w:val="none" w:sz="0" w:space="0" w:color="auto"/>
        <w:right w:val="none" w:sz="0" w:space="0" w:color="auto"/>
      </w:divBdr>
    </w:div>
    <w:div w:id="1624194594">
      <w:marLeft w:val="0"/>
      <w:marRight w:val="0"/>
      <w:marTop w:val="0"/>
      <w:marBottom w:val="0"/>
      <w:divBdr>
        <w:top w:val="none" w:sz="0" w:space="0" w:color="auto"/>
        <w:left w:val="none" w:sz="0" w:space="0" w:color="auto"/>
        <w:bottom w:val="none" w:sz="0" w:space="0" w:color="auto"/>
        <w:right w:val="none" w:sz="0" w:space="0" w:color="auto"/>
      </w:divBdr>
    </w:div>
    <w:div w:id="1624194595">
      <w:marLeft w:val="0"/>
      <w:marRight w:val="0"/>
      <w:marTop w:val="0"/>
      <w:marBottom w:val="0"/>
      <w:divBdr>
        <w:top w:val="none" w:sz="0" w:space="0" w:color="auto"/>
        <w:left w:val="none" w:sz="0" w:space="0" w:color="auto"/>
        <w:bottom w:val="none" w:sz="0" w:space="0" w:color="auto"/>
        <w:right w:val="none" w:sz="0" w:space="0" w:color="auto"/>
      </w:divBdr>
    </w:div>
    <w:div w:id="1624194596">
      <w:marLeft w:val="0"/>
      <w:marRight w:val="0"/>
      <w:marTop w:val="0"/>
      <w:marBottom w:val="0"/>
      <w:divBdr>
        <w:top w:val="none" w:sz="0" w:space="0" w:color="auto"/>
        <w:left w:val="none" w:sz="0" w:space="0" w:color="auto"/>
        <w:bottom w:val="none" w:sz="0" w:space="0" w:color="auto"/>
        <w:right w:val="none" w:sz="0" w:space="0" w:color="auto"/>
      </w:divBdr>
    </w:div>
    <w:div w:id="1624194597">
      <w:marLeft w:val="0"/>
      <w:marRight w:val="0"/>
      <w:marTop w:val="0"/>
      <w:marBottom w:val="0"/>
      <w:divBdr>
        <w:top w:val="none" w:sz="0" w:space="0" w:color="auto"/>
        <w:left w:val="none" w:sz="0" w:space="0" w:color="auto"/>
        <w:bottom w:val="none" w:sz="0" w:space="0" w:color="auto"/>
        <w:right w:val="none" w:sz="0" w:space="0" w:color="auto"/>
      </w:divBdr>
    </w:div>
    <w:div w:id="1624194598">
      <w:marLeft w:val="0"/>
      <w:marRight w:val="0"/>
      <w:marTop w:val="0"/>
      <w:marBottom w:val="0"/>
      <w:divBdr>
        <w:top w:val="none" w:sz="0" w:space="0" w:color="auto"/>
        <w:left w:val="none" w:sz="0" w:space="0" w:color="auto"/>
        <w:bottom w:val="none" w:sz="0" w:space="0" w:color="auto"/>
        <w:right w:val="none" w:sz="0" w:space="0" w:color="auto"/>
      </w:divBdr>
    </w:div>
    <w:div w:id="1624194599">
      <w:marLeft w:val="0"/>
      <w:marRight w:val="0"/>
      <w:marTop w:val="0"/>
      <w:marBottom w:val="0"/>
      <w:divBdr>
        <w:top w:val="none" w:sz="0" w:space="0" w:color="auto"/>
        <w:left w:val="none" w:sz="0" w:space="0" w:color="auto"/>
        <w:bottom w:val="none" w:sz="0" w:space="0" w:color="auto"/>
        <w:right w:val="none" w:sz="0" w:space="0" w:color="auto"/>
      </w:divBdr>
    </w:div>
    <w:div w:id="1624194600">
      <w:marLeft w:val="0"/>
      <w:marRight w:val="0"/>
      <w:marTop w:val="0"/>
      <w:marBottom w:val="0"/>
      <w:divBdr>
        <w:top w:val="none" w:sz="0" w:space="0" w:color="auto"/>
        <w:left w:val="none" w:sz="0" w:space="0" w:color="auto"/>
        <w:bottom w:val="none" w:sz="0" w:space="0" w:color="auto"/>
        <w:right w:val="none" w:sz="0" w:space="0" w:color="auto"/>
      </w:divBdr>
    </w:div>
    <w:div w:id="1624194601">
      <w:marLeft w:val="0"/>
      <w:marRight w:val="0"/>
      <w:marTop w:val="0"/>
      <w:marBottom w:val="0"/>
      <w:divBdr>
        <w:top w:val="none" w:sz="0" w:space="0" w:color="auto"/>
        <w:left w:val="none" w:sz="0" w:space="0" w:color="auto"/>
        <w:bottom w:val="none" w:sz="0" w:space="0" w:color="auto"/>
        <w:right w:val="none" w:sz="0" w:space="0" w:color="auto"/>
      </w:divBdr>
    </w:div>
    <w:div w:id="1624194602">
      <w:marLeft w:val="0"/>
      <w:marRight w:val="0"/>
      <w:marTop w:val="0"/>
      <w:marBottom w:val="0"/>
      <w:divBdr>
        <w:top w:val="none" w:sz="0" w:space="0" w:color="auto"/>
        <w:left w:val="none" w:sz="0" w:space="0" w:color="auto"/>
        <w:bottom w:val="none" w:sz="0" w:space="0" w:color="auto"/>
        <w:right w:val="none" w:sz="0" w:space="0" w:color="auto"/>
      </w:divBdr>
    </w:div>
    <w:div w:id="1624194603">
      <w:marLeft w:val="0"/>
      <w:marRight w:val="0"/>
      <w:marTop w:val="0"/>
      <w:marBottom w:val="0"/>
      <w:divBdr>
        <w:top w:val="none" w:sz="0" w:space="0" w:color="auto"/>
        <w:left w:val="none" w:sz="0" w:space="0" w:color="auto"/>
        <w:bottom w:val="none" w:sz="0" w:space="0" w:color="auto"/>
        <w:right w:val="none" w:sz="0" w:space="0" w:color="auto"/>
      </w:divBdr>
    </w:div>
    <w:div w:id="1624194604">
      <w:marLeft w:val="0"/>
      <w:marRight w:val="0"/>
      <w:marTop w:val="0"/>
      <w:marBottom w:val="0"/>
      <w:divBdr>
        <w:top w:val="none" w:sz="0" w:space="0" w:color="auto"/>
        <w:left w:val="none" w:sz="0" w:space="0" w:color="auto"/>
        <w:bottom w:val="none" w:sz="0" w:space="0" w:color="auto"/>
        <w:right w:val="none" w:sz="0" w:space="0" w:color="auto"/>
      </w:divBdr>
    </w:div>
    <w:div w:id="1624194605">
      <w:marLeft w:val="0"/>
      <w:marRight w:val="0"/>
      <w:marTop w:val="0"/>
      <w:marBottom w:val="0"/>
      <w:divBdr>
        <w:top w:val="none" w:sz="0" w:space="0" w:color="auto"/>
        <w:left w:val="none" w:sz="0" w:space="0" w:color="auto"/>
        <w:bottom w:val="none" w:sz="0" w:space="0" w:color="auto"/>
        <w:right w:val="none" w:sz="0" w:space="0" w:color="auto"/>
      </w:divBdr>
    </w:div>
    <w:div w:id="1624194606">
      <w:marLeft w:val="0"/>
      <w:marRight w:val="0"/>
      <w:marTop w:val="0"/>
      <w:marBottom w:val="0"/>
      <w:divBdr>
        <w:top w:val="none" w:sz="0" w:space="0" w:color="auto"/>
        <w:left w:val="none" w:sz="0" w:space="0" w:color="auto"/>
        <w:bottom w:val="none" w:sz="0" w:space="0" w:color="auto"/>
        <w:right w:val="none" w:sz="0" w:space="0" w:color="auto"/>
      </w:divBdr>
    </w:div>
    <w:div w:id="1624194607">
      <w:marLeft w:val="0"/>
      <w:marRight w:val="0"/>
      <w:marTop w:val="0"/>
      <w:marBottom w:val="0"/>
      <w:divBdr>
        <w:top w:val="none" w:sz="0" w:space="0" w:color="auto"/>
        <w:left w:val="none" w:sz="0" w:space="0" w:color="auto"/>
        <w:bottom w:val="none" w:sz="0" w:space="0" w:color="auto"/>
        <w:right w:val="none" w:sz="0" w:space="0" w:color="auto"/>
      </w:divBdr>
    </w:div>
    <w:div w:id="1624194608">
      <w:marLeft w:val="0"/>
      <w:marRight w:val="0"/>
      <w:marTop w:val="0"/>
      <w:marBottom w:val="0"/>
      <w:divBdr>
        <w:top w:val="none" w:sz="0" w:space="0" w:color="auto"/>
        <w:left w:val="none" w:sz="0" w:space="0" w:color="auto"/>
        <w:bottom w:val="none" w:sz="0" w:space="0" w:color="auto"/>
        <w:right w:val="none" w:sz="0" w:space="0" w:color="auto"/>
      </w:divBdr>
    </w:div>
    <w:div w:id="1624194609">
      <w:marLeft w:val="0"/>
      <w:marRight w:val="0"/>
      <w:marTop w:val="0"/>
      <w:marBottom w:val="0"/>
      <w:divBdr>
        <w:top w:val="none" w:sz="0" w:space="0" w:color="auto"/>
        <w:left w:val="none" w:sz="0" w:space="0" w:color="auto"/>
        <w:bottom w:val="none" w:sz="0" w:space="0" w:color="auto"/>
        <w:right w:val="none" w:sz="0" w:space="0" w:color="auto"/>
      </w:divBdr>
    </w:div>
    <w:div w:id="1624194610">
      <w:marLeft w:val="0"/>
      <w:marRight w:val="0"/>
      <w:marTop w:val="0"/>
      <w:marBottom w:val="0"/>
      <w:divBdr>
        <w:top w:val="none" w:sz="0" w:space="0" w:color="auto"/>
        <w:left w:val="none" w:sz="0" w:space="0" w:color="auto"/>
        <w:bottom w:val="none" w:sz="0" w:space="0" w:color="auto"/>
        <w:right w:val="none" w:sz="0" w:space="0" w:color="auto"/>
      </w:divBdr>
    </w:div>
    <w:div w:id="1624194611">
      <w:marLeft w:val="0"/>
      <w:marRight w:val="0"/>
      <w:marTop w:val="0"/>
      <w:marBottom w:val="0"/>
      <w:divBdr>
        <w:top w:val="none" w:sz="0" w:space="0" w:color="auto"/>
        <w:left w:val="none" w:sz="0" w:space="0" w:color="auto"/>
        <w:bottom w:val="none" w:sz="0" w:space="0" w:color="auto"/>
        <w:right w:val="none" w:sz="0" w:space="0" w:color="auto"/>
      </w:divBdr>
    </w:div>
    <w:div w:id="1624194612">
      <w:marLeft w:val="0"/>
      <w:marRight w:val="0"/>
      <w:marTop w:val="0"/>
      <w:marBottom w:val="0"/>
      <w:divBdr>
        <w:top w:val="none" w:sz="0" w:space="0" w:color="auto"/>
        <w:left w:val="none" w:sz="0" w:space="0" w:color="auto"/>
        <w:bottom w:val="none" w:sz="0" w:space="0" w:color="auto"/>
        <w:right w:val="none" w:sz="0" w:space="0" w:color="auto"/>
      </w:divBdr>
    </w:div>
    <w:div w:id="1624194613">
      <w:marLeft w:val="0"/>
      <w:marRight w:val="0"/>
      <w:marTop w:val="0"/>
      <w:marBottom w:val="0"/>
      <w:divBdr>
        <w:top w:val="none" w:sz="0" w:space="0" w:color="auto"/>
        <w:left w:val="none" w:sz="0" w:space="0" w:color="auto"/>
        <w:bottom w:val="none" w:sz="0" w:space="0" w:color="auto"/>
        <w:right w:val="none" w:sz="0" w:space="0" w:color="auto"/>
      </w:divBdr>
    </w:div>
    <w:div w:id="1624194614">
      <w:marLeft w:val="0"/>
      <w:marRight w:val="0"/>
      <w:marTop w:val="0"/>
      <w:marBottom w:val="0"/>
      <w:divBdr>
        <w:top w:val="none" w:sz="0" w:space="0" w:color="auto"/>
        <w:left w:val="none" w:sz="0" w:space="0" w:color="auto"/>
        <w:bottom w:val="none" w:sz="0" w:space="0" w:color="auto"/>
        <w:right w:val="none" w:sz="0" w:space="0" w:color="auto"/>
      </w:divBdr>
    </w:div>
    <w:div w:id="1624194615">
      <w:marLeft w:val="0"/>
      <w:marRight w:val="0"/>
      <w:marTop w:val="0"/>
      <w:marBottom w:val="0"/>
      <w:divBdr>
        <w:top w:val="none" w:sz="0" w:space="0" w:color="auto"/>
        <w:left w:val="none" w:sz="0" w:space="0" w:color="auto"/>
        <w:bottom w:val="none" w:sz="0" w:space="0" w:color="auto"/>
        <w:right w:val="none" w:sz="0" w:space="0" w:color="auto"/>
      </w:divBdr>
    </w:div>
    <w:div w:id="1624194616">
      <w:marLeft w:val="0"/>
      <w:marRight w:val="0"/>
      <w:marTop w:val="0"/>
      <w:marBottom w:val="0"/>
      <w:divBdr>
        <w:top w:val="none" w:sz="0" w:space="0" w:color="auto"/>
        <w:left w:val="none" w:sz="0" w:space="0" w:color="auto"/>
        <w:bottom w:val="none" w:sz="0" w:space="0" w:color="auto"/>
        <w:right w:val="none" w:sz="0" w:space="0" w:color="auto"/>
      </w:divBdr>
    </w:div>
    <w:div w:id="1624194617">
      <w:marLeft w:val="0"/>
      <w:marRight w:val="0"/>
      <w:marTop w:val="0"/>
      <w:marBottom w:val="0"/>
      <w:divBdr>
        <w:top w:val="none" w:sz="0" w:space="0" w:color="auto"/>
        <w:left w:val="none" w:sz="0" w:space="0" w:color="auto"/>
        <w:bottom w:val="none" w:sz="0" w:space="0" w:color="auto"/>
        <w:right w:val="none" w:sz="0" w:space="0" w:color="auto"/>
      </w:divBdr>
    </w:div>
    <w:div w:id="1624194618">
      <w:marLeft w:val="0"/>
      <w:marRight w:val="0"/>
      <w:marTop w:val="0"/>
      <w:marBottom w:val="0"/>
      <w:divBdr>
        <w:top w:val="none" w:sz="0" w:space="0" w:color="auto"/>
        <w:left w:val="none" w:sz="0" w:space="0" w:color="auto"/>
        <w:bottom w:val="none" w:sz="0" w:space="0" w:color="auto"/>
        <w:right w:val="none" w:sz="0" w:space="0" w:color="auto"/>
      </w:divBdr>
    </w:div>
    <w:div w:id="1624194619">
      <w:marLeft w:val="0"/>
      <w:marRight w:val="0"/>
      <w:marTop w:val="0"/>
      <w:marBottom w:val="0"/>
      <w:divBdr>
        <w:top w:val="none" w:sz="0" w:space="0" w:color="auto"/>
        <w:left w:val="none" w:sz="0" w:space="0" w:color="auto"/>
        <w:bottom w:val="none" w:sz="0" w:space="0" w:color="auto"/>
        <w:right w:val="none" w:sz="0" w:space="0" w:color="auto"/>
      </w:divBdr>
    </w:div>
    <w:div w:id="1624194620">
      <w:marLeft w:val="0"/>
      <w:marRight w:val="0"/>
      <w:marTop w:val="0"/>
      <w:marBottom w:val="0"/>
      <w:divBdr>
        <w:top w:val="none" w:sz="0" w:space="0" w:color="auto"/>
        <w:left w:val="none" w:sz="0" w:space="0" w:color="auto"/>
        <w:bottom w:val="none" w:sz="0" w:space="0" w:color="auto"/>
        <w:right w:val="none" w:sz="0" w:space="0" w:color="auto"/>
      </w:divBdr>
    </w:div>
    <w:div w:id="1624194621">
      <w:marLeft w:val="0"/>
      <w:marRight w:val="0"/>
      <w:marTop w:val="0"/>
      <w:marBottom w:val="0"/>
      <w:divBdr>
        <w:top w:val="none" w:sz="0" w:space="0" w:color="auto"/>
        <w:left w:val="none" w:sz="0" w:space="0" w:color="auto"/>
        <w:bottom w:val="none" w:sz="0" w:space="0" w:color="auto"/>
        <w:right w:val="none" w:sz="0" w:space="0" w:color="auto"/>
      </w:divBdr>
    </w:div>
    <w:div w:id="1624194622">
      <w:marLeft w:val="0"/>
      <w:marRight w:val="0"/>
      <w:marTop w:val="0"/>
      <w:marBottom w:val="0"/>
      <w:divBdr>
        <w:top w:val="none" w:sz="0" w:space="0" w:color="auto"/>
        <w:left w:val="none" w:sz="0" w:space="0" w:color="auto"/>
        <w:bottom w:val="none" w:sz="0" w:space="0" w:color="auto"/>
        <w:right w:val="none" w:sz="0" w:space="0" w:color="auto"/>
      </w:divBdr>
    </w:div>
    <w:div w:id="1624194623">
      <w:marLeft w:val="0"/>
      <w:marRight w:val="0"/>
      <w:marTop w:val="0"/>
      <w:marBottom w:val="0"/>
      <w:divBdr>
        <w:top w:val="none" w:sz="0" w:space="0" w:color="auto"/>
        <w:left w:val="none" w:sz="0" w:space="0" w:color="auto"/>
        <w:bottom w:val="none" w:sz="0" w:space="0" w:color="auto"/>
        <w:right w:val="none" w:sz="0" w:space="0" w:color="auto"/>
      </w:divBdr>
    </w:div>
    <w:div w:id="1624194624">
      <w:marLeft w:val="0"/>
      <w:marRight w:val="0"/>
      <w:marTop w:val="0"/>
      <w:marBottom w:val="0"/>
      <w:divBdr>
        <w:top w:val="none" w:sz="0" w:space="0" w:color="auto"/>
        <w:left w:val="none" w:sz="0" w:space="0" w:color="auto"/>
        <w:bottom w:val="none" w:sz="0" w:space="0" w:color="auto"/>
        <w:right w:val="none" w:sz="0" w:space="0" w:color="auto"/>
      </w:divBdr>
    </w:div>
    <w:div w:id="1624194625">
      <w:marLeft w:val="0"/>
      <w:marRight w:val="0"/>
      <w:marTop w:val="0"/>
      <w:marBottom w:val="0"/>
      <w:divBdr>
        <w:top w:val="none" w:sz="0" w:space="0" w:color="auto"/>
        <w:left w:val="none" w:sz="0" w:space="0" w:color="auto"/>
        <w:bottom w:val="none" w:sz="0" w:space="0" w:color="auto"/>
        <w:right w:val="none" w:sz="0" w:space="0" w:color="auto"/>
      </w:divBdr>
    </w:div>
    <w:div w:id="1624194626">
      <w:marLeft w:val="0"/>
      <w:marRight w:val="0"/>
      <w:marTop w:val="0"/>
      <w:marBottom w:val="0"/>
      <w:divBdr>
        <w:top w:val="none" w:sz="0" w:space="0" w:color="auto"/>
        <w:left w:val="none" w:sz="0" w:space="0" w:color="auto"/>
        <w:bottom w:val="none" w:sz="0" w:space="0" w:color="auto"/>
        <w:right w:val="none" w:sz="0" w:space="0" w:color="auto"/>
      </w:divBdr>
    </w:div>
    <w:div w:id="1624194627">
      <w:marLeft w:val="0"/>
      <w:marRight w:val="0"/>
      <w:marTop w:val="0"/>
      <w:marBottom w:val="0"/>
      <w:divBdr>
        <w:top w:val="none" w:sz="0" w:space="0" w:color="auto"/>
        <w:left w:val="none" w:sz="0" w:space="0" w:color="auto"/>
        <w:bottom w:val="none" w:sz="0" w:space="0" w:color="auto"/>
        <w:right w:val="none" w:sz="0" w:space="0" w:color="auto"/>
      </w:divBdr>
    </w:div>
    <w:div w:id="1624194628">
      <w:marLeft w:val="0"/>
      <w:marRight w:val="0"/>
      <w:marTop w:val="0"/>
      <w:marBottom w:val="0"/>
      <w:divBdr>
        <w:top w:val="none" w:sz="0" w:space="0" w:color="auto"/>
        <w:left w:val="none" w:sz="0" w:space="0" w:color="auto"/>
        <w:bottom w:val="none" w:sz="0" w:space="0" w:color="auto"/>
        <w:right w:val="none" w:sz="0" w:space="0" w:color="auto"/>
      </w:divBdr>
    </w:div>
    <w:div w:id="1624194629">
      <w:marLeft w:val="0"/>
      <w:marRight w:val="0"/>
      <w:marTop w:val="0"/>
      <w:marBottom w:val="0"/>
      <w:divBdr>
        <w:top w:val="none" w:sz="0" w:space="0" w:color="auto"/>
        <w:left w:val="none" w:sz="0" w:space="0" w:color="auto"/>
        <w:bottom w:val="none" w:sz="0" w:space="0" w:color="auto"/>
        <w:right w:val="none" w:sz="0" w:space="0" w:color="auto"/>
      </w:divBdr>
    </w:div>
    <w:div w:id="1624194630">
      <w:marLeft w:val="0"/>
      <w:marRight w:val="0"/>
      <w:marTop w:val="0"/>
      <w:marBottom w:val="0"/>
      <w:divBdr>
        <w:top w:val="none" w:sz="0" w:space="0" w:color="auto"/>
        <w:left w:val="none" w:sz="0" w:space="0" w:color="auto"/>
        <w:bottom w:val="none" w:sz="0" w:space="0" w:color="auto"/>
        <w:right w:val="none" w:sz="0" w:space="0" w:color="auto"/>
      </w:divBdr>
    </w:div>
    <w:div w:id="1624194631">
      <w:marLeft w:val="0"/>
      <w:marRight w:val="0"/>
      <w:marTop w:val="0"/>
      <w:marBottom w:val="0"/>
      <w:divBdr>
        <w:top w:val="none" w:sz="0" w:space="0" w:color="auto"/>
        <w:left w:val="none" w:sz="0" w:space="0" w:color="auto"/>
        <w:bottom w:val="none" w:sz="0" w:space="0" w:color="auto"/>
        <w:right w:val="none" w:sz="0" w:space="0" w:color="auto"/>
      </w:divBdr>
    </w:div>
    <w:div w:id="1624194632">
      <w:marLeft w:val="0"/>
      <w:marRight w:val="0"/>
      <w:marTop w:val="0"/>
      <w:marBottom w:val="0"/>
      <w:divBdr>
        <w:top w:val="none" w:sz="0" w:space="0" w:color="auto"/>
        <w:left w:val="none" w:sz="0" w:space="0" w:color="auto"/>
        <w:bottom w:val="none" w:sz="0" w:space="0" w:color="auto"/>
        <w:right w:val="none" w:sz="0" w:space="0" w:color="auto"/>
      </w:divBdr>
    </w:div>
    <w:div w:id="1624194633">
      <w:marLeft w:val="0"/>
      <w:marRight w:val="0"/>
      <w:marTop w:val="0"/>
      <w:marBottom w:val="0"/>
      <w:divBdr>
        <w:top w:val="none" w:sz="0" w:space="0" w:color="auto"/>
        <w:left w:val="none" w:sz="0" w:space="0" w:color="auto"/>
        <w:bottom w:val="none" w:sz="0" w:space="0" w:color="auto"/>
        <w:right w:val="none" w:sz="0" w:space="0" w:color="auto"/>
      </w:divBdr>
    </w:div>
    <w:div w:id="1624194634">
      <w:marLeft w:val="0"/>
      <w:marRight w:val="0"/>
      <w:marTop w:val="0"/>
      <w:marBottom w:val="0"/>
      <w:divBdr>
        <w:top w:val="none" w:sz="0" w:space="0" w:color="auto"/>
        <w:left w:val="none" w:sz="0" w:space="0" w:color="auto"/>
        <w:bottom w:val="none" w:sz="0" w:space="0" w:color="auto"/>
        <w:right w:val="none" w:sz="0" w:space="0" w:color="auto"/>
      </w:divBdr>
    </w:div>
    <w:div w:id="1624194635">
      <w:marLeft w:val="0"/>
      <w:marRight w:val="0"/>
      <w:marTop w:val="0"/>
      <w:marBottom w:val="0"/>
      <w:divBdr>
        <w:top w:val="none" w:sz="0" w:space="0" w:color="auto"/>
        <w:left w:val="none" w:sz="0" w:space="0" w:color="auto"/>
        <w:bottom w:val="none" w:sz="0" w:space="0" w:color="auto"/>
        <w:right w:val="none" w:sz="0" w:space="0" w:color="auto"/>
      </w:divBdr>
    </w:div>
    <w:div w:id="1624194636">
      <w:marLeft w:val="0"/>
      <w:marRight w:val="0"/>
      <w:marTop w:val="0"/>
      <w:marBottom w:val="0"/>
      <w:divBdr>
        <w:top w:val="none" w:sz="0" w:space="0" w:color="auto"/>
        <w:left w:val="none" w:sz="0" w:space="0" w:color="auto"/>
        <w:bottom w:val="none" w:sz="0" w:space="0" w:color="auto"/>
        <w:right w:val="none" w:sz="0" w:space="0" w:color="auto"/>
      </w:divBdr>
    </w:div>
    <w:div w:id="1624194637">
      <w:marLeft w:val="0"/>
      <w:marRight w:val="0"/>
      <w:marTop w:val="0"/>
      <w:marBottom w:val="0"/>
      <w:divBdr>
        <w:top w:val="none" w:sz="0" w:space="0" w:color="auto"/>
        <w:left w:val="none" w:sz="0" w:space="0" w:color="auto"/>
        <w:bottom w:val="none" w:sz="0" w:space="0" w:color="auto"/>
        <w:right w:val="none" w:sz="0" w:space="0" w:color="auto"/>
      </w:divBdr>
    </w:div>
    <w:div w:id="1624194638">
      <w:marLeft w:val="0"/>
      <w:marRight w:val="0"/>
      <w:marTop w:val="0"/>
      <w:marBottom w:val="0"/>
      <w:divBdr>
        <w:top w:val="none" w:sz="0" w:space="0" w:color="auto"/>
        <w:left w:val="none" w:sz="0" w:space="0" w:color="auto"/>
        <w:bottom w:val="none" w:sz="0" w:space="0" w:color="auto"/>
        <w:right w:val="none" w:sz="0" w:space="0" w:color="auto"/>
      </w:divBdr>
    </w:div>
    <w:div w:id="1624194639">
      <w:marLeft w:val="0"/>
      <w:marRight w:val="0"/>
      <w:marTop w:val="0"/>
      <w:marBottom w:val="0"/>
      <w:divBdr>
        <w:top w:val="none" w:sz="0" w:space="0" w:color="auto"/>
        <w:left w:val="none" w:sz="0" w:space="0" w:color="auto"/>
        <w:bottom w:val="none" w:sz="0" w:space="0" w:color="auto"/>
        <w:right w:val="none" w:sz="0" w:space="0" w:color="auto"/>
      </w:divBdr>
    </w:div>
    <w:div w:id="1624194640">
      <w:marLeft w:val="0"/>
      <w:marRight w:val="0"/>
      <w:marTop w:val="0"/>
      <w:marBottom w:val="0"/>
      <w:divBdr>
        <w:top w:val="none" w:sz="0" w:space="0" w:color="auto"/>
        <w:left w:val="none" w:sz="0" w:space="0" w:color="auto"/>
        <w:bottom w:val="none" w:sz="0" w:space="0" w:color="auto"/>
        <w:right w:val="none" w:sz="0" w:space="0" w:color="auto"/>
      </w:divBdr>
    </w:div>
    <w:div w:id="1624194641">
      <w:marLeft w:val="0"/>
      <w:marRight w:val="0"/>
      <w:marTop w:val="0"/>
      <w:marBottom w:val="0"/>
      <w:divBdr>
        <w:top w:val="none" w:sz="0" w:space="0" w:color="auto"/>
        <w:left w:val="none" w:sz="0" w:space="0" w:color="auto"/>
        <w:bottom w:val="none" w:sz="0" w:space="0" w:color="auto"/>
        <w:right w:val="none" w:sz="0" w:space="0" w:color="auto"/>
      </w:divBdr>
    </w:div>
    <w:div w:id="1624194642">
      <w:marLeft w:val="0"/>
      <w:marRight w:val="0"/>
      <w:marTop w:val="0"/>
      <w:marBottom w:val="0"/>
      <w:divBdr>
        <w:top w:val="none" w:sz="0" w:space="0" w:color="auto"/>
        <w:left w:val="none" w:sz="0" w:space="0" w:color="auto"/>
        <w:bottom w:val="none" w:sz="0" w:space="0" w:color="auto"/>
        <w:right w:val="none" w:sz="0" w:space="0" w:color="auto"/>
      </w:divBdr>
    </w:div>
    <w:div w:id="1624194643">
      <w:marLeft w:val="0"/>
      <w:marRight w:val="0"/>
      <w:marTop w:val="0"/>
      <w:marBottom w:val="0"/>
      <w:divBdr>
        <w:top w:val="none" w:sz="0" w:space="0" w:color="auto"/>
        <w:left w:val="none" w:sz="0" w:space="0" w:color="auto"/>
        <w:bottom w:val="none" w:sz="0" w:space="0" w:color="auto"/>
        <w:right w:val="none" w:sz="0" w:space="0" w:color="auto"/>
      </w:divBdr>
    </w:div>
    <w:div w:id="1624194644">
      <w:marLeft w:val="0"/>
      <w:marRight w:val="0"/>
      <w:marTop w:val="0"/>
      <w:marBottom w:val="0"/>
      <w:divBdr>
        <w:top w:val="none" w:sz="0" w:space="0" w:color="auto"/>
        <w:left w:val="none" w:sz="0" w:space="0" w:color="auto"/>
        <w:bottom w:val="none" w:sz="0" w:space="0" w:color="auto"/>
        <w:right w:val="none" w:sz="0" w:space="0" w:color="auto"/>
      </w:divBdr>
    </w:div>
    <w:div w:id="1624194645">
      <w:marLeft w:val="0"/>
      <w:marRight w:val="0"/>
      <w:marTop w:val="0"/>
      <w:marBottom w:val="0"/>
      <w:divBdr>
        <w:top w:val="none" w:sz="0" w:space="0" w:color="auto"/>
        <w:left w:val="none" w:sz="0" w:space="0" w:color="auto"/>
        <w:bottom w:val="none" w:sz="0" w:space="0" w:color="auto"/>
        <w:right w:val="none" w:sz="0" w:space="0" w:color="auto"/>
      </w:divBdr>
    </w:div>
    <w:div w:id="1624194646">
      <w:marLeft w:val="0"/>
      <w:marRight w:val="0"/>
      <w:marTop w:val="0"/>
      <w:marBottom w:val="0"/>
      <w:divBdr>
        <w:top w:val="none" w:sz="0" w:space="0" w:color="auto"/>
        <w:left w:val="none" w:sz="0" w:space="0" w:color="auto"/>
        <w:bottom w:val="none" w:sz="0" w:space="0" w:color="auto"/>
        <w:right w:val="none" w:sz="0" w:space="0" w:color="auto"/>
      </w:divBdr>
    </w:div>
    <w:div w:id="1624194647">
      <w:marLeft w:val="0"/>
      <w:marRight w:val="0"/>
      <w:marTop w:val="0"/>
      <w:marBottom w:val="0"/>
      <w:divBdr>
        <w:top w:val="none" w:sz="0" w:space="0" w:color="auto"/>
        <w:left w:val="none" w:sz="0" w:space="0" w:color="auto"/>
        <w:bottom w:val="none" w:sz="0" w:space="0" w:color="auto"/>
        <w:right w:val="none" w:sz="0" w:space="0" w:color="auto"/>
      </w:divBdr>
    </w:div>
    <w:div w:id="1624194648">
      <w:marLeft w:val="0"/>
      <w:marRight w:val="0"/>
      <w:marTop w:val="0"/>
      <w:marBottom w:val="0"/>
      <w:divBdr>
        <w:top w:val="none" w:sz="0" w:space="0" w:color="auto"/>
        <w:left w:val="none" w:sz="0" w:space="0" w:color="auto"/>
        <w:bottom w:val="none" w:sz="0" w:space="0" w:color="auto"/>
        <w:right w:val="none" w:sz="0" w:space="0" w:color="auto"/>
      </w:divBdr>
    </w:div>
    <w:div w:id="1624194649">
      <w:marLeft w:val="0"/>
      <w:marRight w:val="0"/>
      <w:marTop w:val="0"/>
      <w:marBottom w:val="0"/>
      <w:divBdr>
        <w:top w:val="none" w:sz="0" w:space="0" w:color="auto"/>
        <w:left w:val="none" w:sz="0" w:space="0" w:color="auto"/>
        <w:bottom w:val="none" w:sz="0" w:space="0" w:color="auto"/>
        <w:right w:val="none" w:sz="0" w:space="0" w:color="auto"/>
      </w:divBdr>
    </w:div>
    <w:div w:id="1624194650">
      <w:marLeft w:val="0"/>
      <w:marRight w:val="0"/>
      <w:marTop w:val="0"/>
      <w:marBottom w:val="0"/>
      <w:divBdr>
        <w:top w:val="none" w:sz="0" w:space="0" w:color="auto"/>
        <w:left w:val="none" w:sz="0" w:space="0" w:color="auto"/>
        <w:bottom w:val="none" w:sz="0" w:space="0" w:color="auto"/>
        <w:right w:val="none" w:sz="0" w:space="0" w:color="auto"/>
      </w:divBdr>
    </w:div>
    <w:div w:id="1624194651">
      <w:marLeft w:val="0"/>
      <w:marRight w:val="0"/>
      <w:marTop w:val="0"/>
      <w:marBottom w:val="0"/>
      <w:divBdr>
        <w:top w:val="none" w:sz="0" w:space="0" w:color="auto"/>
        <w:left w:val="none" w:sz="0" w:space="0" w:color="auto"/>
        <w:bottom w:val="none" w:sz="0" w:space="0" w:color="auto"/>
        <w:right w:val="none" w:sz="0" w:space="0" w:color="auto"/>
      </w:divBdr>
    </w:div>
    <w:div w:id="1624194652">
      <w:marLeft w:val="0"/>
      <w:marRight w:val="0"/>
      <w:marTop w:val="0"/>
      <w:marBottom w:val="0"/>
      <w:divBdr>
        <w:top w:val="none" w:sz="0" w:space="0" w:color="auto"/>
        <w:left w:val="none" w:sz="0" w:space="0" w:color="auto"/>
        <w:bottom w:val="none" w:sz="0" w:space="0" w:color="auto"/>
        <w:right w:val="none" w:sz="0" w:space="0" w:color="auto"/>
      </w:divBdr>
    </w:div>
    <w:div w:id="1624194653">
      <w:marLeft w:val="0"/>
      <w:marRight w:val="0"/>
      <w:marTop w:val="0"/>
      <w:marBottom w:val="0"/>
      <w:divBdr>
        <w:top w:val="none" w:sz="0" w:space="0" w:color="auto"/>
        <w:left w:val="none" w:sz="0" w:space="0" w:color="auto"/>
        <w:bottom w:val="none" w:sz="0" w:space="0" w:color="auto"/>
        <w:right w:val="none" w:sz="0" w:space="0" w:color="auto"/>
      </w:divBdr>
    </w:div>
    <w:div w:id="1624194654">
      <w:marLeft w:val="0"/>
      <w:marRight w:val="0"/>
      <w:marTop w:val="0"/>
      <w:marBottom w:val="0"/>
      <w:divBdr>
        <w:top w:val="none" w:sz="0" w:space="0" w:color="auto"/>
        <w:left w:val="none" w:sz="0" w:space="0" w:color="auto"/>
        <w:bottom w:val="none" w:sz="0" w:space="0" w:color="auto"/>
        <w:right w:val="none" w:sz="0" w:space="0" w:color="auto"/>
      </w:divBdr>
    </w:div>
    <w:div w:id="1624194655">
      <w:marLeft w:val="0"/>
      <w:marRight w:val="0"/>
      <w:marTop w:val="0"/>
      <w:marBottom w:val="0"/>
      <w:divBdr>
        <w:top w:val="none" w:sz="0" w:space="0" w:color="auto"/>
        <w:left w:val="none" w:sz="0" w:space="0" w:color="auto"/>
        <w:bottom w:val="none" w:sz="0" w:space="0" w:color="auto"/>
        <w:right w:val="none" w:sz="0" w:space="0" w:color="auto"/>
      </w:divBdr>
    </w:div>
    <w:div w:id="1624194656">
      <w:marLeft w:val="0"/>
      <w:marRight w:val="0"/>
      <w:marTop w:val="0"/>
      <w:marBottom w:val="0"/>
      <w:divBdr>
        <w:top w:val="none" w:sz="0" w:space="0" w:color="auto"/>
        <w:left w:val="none" w:sz="0" w:space="0" w:color="auto"/>
        <w:bottom w:val="none" w:sz="0" w:space="0" w:color="auto"/>
        <w:right w:val="none" w:sz="0" w:space="0" w:color="auto"/>
      </w:divBdr>
    </w:div>
    <w:div w:id="1624194657">
      <w:marLeft w:val="0"/>
      <w:marRight w:val="0"/>
      <w:marTop w:val="0"/>
      <w:marBottom w:val="0"/>
      <w:divBdr>
        <w:top w:val="none" w:sz="0" w:space="0" w:color="auto"/>
        <w:left w:val="none" w:sz="0" w:space="0" w:color="auto"/>
        <w:bottom w:val="none" w:sz="0" w:space="0" w:color="auto"/>
        <w:right w:val="none" w:sz="0" w:space="0" w:color="auto"/>
      </w:divBdr>
    </w:div>
    <w:div w:id="1624194658">
      <w:marLeft w:val="0"/>
      <w:marRight w:val="0"/>
      <w:marTop w:val="0"/>
      <w:marBottom w:val="0"/>
      <w:divBdr>
        <w:top w:val="none" w:sz="0" w:space="0" w:color="auto"/>
        <w:left w:val="none" w:sz="0" w:space="0" w:color="auto"/>
        <w:bottom w:val="none" w:sz="0" w:space="0" w:color="auto"/>
        <w:right w:val="none" w:sz="0" w:space="0" w:color="auto"/>
      </w:divBdr>
    </w:div>
    <w:div w:id="1624194659">
      <w:marLeft w:val="0"/>
      <w:marRight w:val="0"/>
      <w:marTop w:val="0"/>
      <w:marBottom w:val="0"/>
      <w:divBdr>
        <w:top w:val="none" w:sz="0" w:space="0" w:color="auto"/>
        <w:left w:val="none" w:sz="0" w:space="0" w:color="auto"/>
        <w:bottom w:val="none" w:sz="0" w:space="0" w:color="auto"/>
        <w:right w:val="none" w:sz="0" w:space="0" w:color="auto"/>
      </w:divBdr>
    </w:div>
    <w:div w:id="1624194660">
      <w:marLeft w:val="0"/>
      <w:marRight w:val="0"/>
      <w:marTop w:val="0"/>
      <w:marBottom w:val="0"/>
      <w:divBdr>
        <w:top w:val="none" w:sz="0" w:space="0" w:color="auto"/>
        <w:left w:val="none" w:sz="0" w:space="0" w:color="auto"/>
        <w:bottom w:val="none" w:sz="0" w:space="0" w:color="auto"/>
        <w:right w:val="none" w:sz="0" w:space="0" w:color="auto"/>
      </w:divBdr>
    </w:div>
    <w:div w:id="1624194661">
      <w:marLeft w:val="0"/>
      <w:marRight w:val="0"/>
      <w:marTop w:val="0"/>
      <w:marBottom w:val="0"/>
      <w:divBdr>
        <w:top w:val="none" w:sz="0" w:space="0" w:color="auto"/>
        <w:left w:val="none" w:sz="0" w:space="0" w:color="auto"/>
        <w:bottom w:val="none" w:sz="0" w:space="0" w:color="auto"/>
        <w:right w:val="none" w:sz="0" w:space="0" w:color="auto"/>
      </w:divBdr>
    </w:div>
    <w:div w:id="1624194662">
      <w:marLeft w:val="0"/>
      <w:marRight w:val="0"/>
      <w:marTop w:val="0"/>
      <w:marBottom w:val="0"/>
      <w:divBdr>
        <w:top w:val="none" w:sz="0" w:space="0" w:color="auto"/>
        <w:left w:val="none" w:sz="0" w:space="0" w:color="auto"/>
        <w:bottom w:val="none" w:sz="0" w:space="0" w:color="auto"/>
        <w:right w:val="none" w:sz="0" w:space="0" w:color="auto"/>
      </w:divBdr>
    </w:div>
    <w:div w:id="1624194663">
      <w:marLeft w:val="0"/>
      <w:marRight w:val="0"/>
      <w:marTop w:val="0"/>
      <w:marBottom w:val="0"/>
      <w:divBdr>
        <w:top w:val="none" w:sz="0" w:space="0" w:color="auto"/>
        <w:left w:val="none" w:sz="0" w:space="0" w:color="auto"/>
        <w:bottom w:val="none" w:sz="0" w:space="0" w:color="auto"/>
        <w:right w:val="none" w:sz="0" w:space="0" w:color="auto"/>
      </w:divBdr>
    </w:div>
    <w:div w:id="1624194664">
      <w:marLeft w:val="0"/>
      <w:marRight w:val="0"/>
      <w:marTop w:val="0"/>
      <w:marBottom w:val="0"/>
      <w:divBdr>
        <w:top w:val="none" w:sz="0" w:space="0" w:color="auto"/>
        <w:left w:val="none" w:sz="0" w:space="0" w:color="auto"/>
        <w:bottom w:val="none" w:sz="0" w:space="0" w:color="auto"/>
        <w:right w:val="none" w:sz="0" w:space="0" w:color="auto"/>
      </w:divBdr>
    </w:div>
    <w:div w:id="1624194665">
      <w:marLeft w:val="0"/>
      <w:marRight w:val="0"/>
      <w:marTop w:val="0"/>
      <w:marBottom w:val="0"/>
      <w:divBdr>
        <w:top w:val="none" w:sz="0" w:space="0" w:color="auto"/>
        <w:left w:val="none" w:sz="0" w:space="0" w:color="auto"/>
        <w:bottom w:val="none" w:sz="0" w:space="0" w:color="auto"/>
        <w:right w:val="none" w:sz="0" w:space="0" w:color="auto"/>
      </w:divBdr>
    </w:div>
    <w:div w:id="1624194666">
      <w:marLeft w:val="0"/>
      <w:marRight w:val="0"/>
      <w:marTop w:val="0"/>
      <w:marBottom w:val="0"/>
      <w:divBdr>
        <w:top w:val="none" w:sz="0" w:space="0" w:color="auto"/>
        <w:left w:val="none" w:sz="0" w:space="0" w:color="auto"/>
        <w:bottom w:val="none" w:sz="0" w:space="0" w:color="auto"/>
        <w:right w:val="none" w:sz="0" w:space="0" w:color="auto"/>
      </w:divBdr>
    </w:div>
    <w:div w:id="1624194667">
      <w:marLeft w:val="0"/>
      <w:marRight w:val="0"/>
      <w:marTop w:val="0"/>
      <w:marBottom w:val="0"/>
      <w:divBdr>
        <w:top w:val="none" w:sz="0" w:space="0" w:color="auto"/>
        <w:left w:val="none" w:sz="0" w:space="0" w:color="auto"/>
        <w:bottom w:val="none" w:sz="0" w:space="0" w:color="auto"/>
        <w:right w:val="none" w:sz="0" w:space="0" w:color="auto"/>
      </w:divBdr>
    </w:div>
    <w:div w:id="1624194668">
      <w:marLeft w:val="0"/>
      <w:marRight w:val="0"/>
      <w:marTop w:val="0"/>
      <w:marBottom w:val="0"/>
      <w:divBdr>
        <w:top w:val="none" w:sz="0" w:space="0" w:color="auto"/>
        <w:left w:val="none" w:sz="0" w:space="0" w:color="auto"/>
        <w:bottom w:val="none" w:sz="0" w:space="0" w:color="auto"/>
        <w:right w:val="none" w:sz="0" w:space="0" w:color="auto"/>
      </w:divBdr>
    </w:div>
    <w:div w:id="1624194669">
      <w:marLeft w:val="0"/>
      <w:marRight w:val="0"/>
      <w:marTop w:val="0"/>
      <w:marBottom w:val="0"/>
      <w:divBdr>
        <w:top w:val="none" w:sz="0" w:space="0" w:color="auto"/>
        <w:left w:val="none" w:sz="0" w:space="0" w:color="auto"/>
        <w:bottom w:val="none" w:sz="0" w:space="0" w:color="auto"/>
        <w:right w:val="none" w:sz="0" w:space="0" w:color="auto"/>
      </w:divBdr>
    </w:div>
    <w:div w:id="1624194670">
      <w:marLeft w:val="0"/>
      <w:marRight w:val="0"/>
      <w:marTop w:val="0"/>
      <w:marBottom w:val="0"/>
      <w:divBdr>
        <w:top w:val="none" w:sz="0" w:space="0" w:color="auto"/>
        <w:left w:val="none" w:sz="0" w:space="0" w:color="auto"/>
        <w:bottom w:val="none" w:sz="0" w:space="0" w:color="auto"/>
        <w:right w:val="none" w:sz="0" w:space="0" w:color="auto"/>
      </w:divBdr>
    </w:div>
    <w:div w:id="1624194671">
      <w:marLeft w:val="0"/>
      <w:marRight w:val="0"/>
      <w:marTop w:val="0"/>
      <w:marBottom w:val="0"/>
      <w:divBdr>
        <w:top w:val="none" w:sz="0" w:space="0" w:color="auto"/>
        <w:left w:val="none" w:sz="0" w:space="0" w:color="auto"/>
        <w:bottom w:val="none" w:sz="0" w:space="0" w:color="auto"/>
        <w:right w:val="none" w:sz="0" w:space="0" w:color="auto"/>
      </w:divBdr>
    </w:div>
    <w:div w:id="1624194672">
      <w:marLeft w:val="0"/>
      <w:marRight w:val="0"/>
      <w:marTop w:val="0"/>
      <w:marBottom w:val="0"/>
      <w:divBdr>
        <w:top w:val="none" w:sz="0" w:space="0" w:color="auto"/>
        <w:left w:val="none" w:sz="0" w:space="0" w:color="auto"/>
        <w:bottom w:val="none" w:sz="0" w:space="0" w:color="auto"/>
        <w:right w:val="none" w:sz="0" w:space="0" w:color="auto"/>
      </w:divBdr>
    </w:div>
    <w:div w:id="1624194673">
      <w:marLeft w:val="0"/>
      <w:marRight w:val="0"/>
      <w:marTop w:val="0"/>
      <w:marBottom w:val="0"/>
      <w:divBdr>
        <w:top w:val="none" w:sz="0" w:space="0" w:color="auto"/>
        <w:left w:val="none" w:sz="0" w:space="0" w:color="auto"/>
        <w:bottom w:val="none" w:sz="0" w:space="0" w:color="auto"/>
        <w:right w:val="none" w:sz="0" w:space="0" w:color="auto"/>
      </w:divBdr>
    </w:div>
    <w:div w:id="1624194674">
      <w:marLeft w:val="0"/>
      <w:marRight w:val="0"/>
      <w:marTop w:val="0"/>
      <w:marBottom w:val="0"/>
      <w:divBdr>
        <w:top w:val="none" w:sz="0" w:space="0" w:color="auto"/>
        <w:left w:val="none" w:sz="0" w:space="0" w:color="auto"/>
        <w:bottom w:val="none" w:sz="0" w:space="0" w:color="auto"/>
        <w:right w:val="none" w:sz="0" w:space="0" w:color="auto"/>
      </w:divBdr>
    </w:div>
    <w:div w:id="1624194675">
      <w:marLeft w:val="0"/>
      <w:marRight w:val="0"/>
      <w:marTop w:val="0"/>
      <w:marBottom w:val="0"/>
      <w:divBdr>
        <w:top w:val="none" w:sz="0" w:space="0" w:color="auto"/>
        <w:left w:val="none" w:sz="0" w:space="0" w:color="auto"/>
        <w:bottom w:val="none" w:sz="0" w:space="0" w:color="auto"/>
        <w:right w:val="none" w:sz="0" w:space="0" w:color="auto"/>
      </w:divBdr>
    </w:div>
    <w:div w:id="1624194676">
      <w:marLeft w:val="0"/>
      <w:marRight w:val="0"/>
      <w:marTop w:val="0"/>
      <w:marBottom w:val="0"/>
      <w:divBdr>
        <w:top w:val="none" w:sz="0" w:space="0" w:color="auto"/>
        <w:left w:val="none" w:sz="0" w:space="0" w:color="auto"/>
        <w:bottom w:val="none" w:sz="0" w:space="0" w:color="auto"/>
        <w:right w:val="none" w:sz="0" w:space="0" w:color="auto"/>
      </w:divBdr>
    </w:div>
    <w:div w:id="1624194677">
      <w:marLeft w:val="0"/>
      <w:marRight w:val="0"/>
      <w:marTop w:val="0"/>
      <w:marBottom w:val="0"/>
      <w:divBdr>
        <w:top w:val="none" w:sz="0" w:space="0" w:color="auto"/>
        <w:left w:val="none" w:sz="0" w:space="0" w:color="auto"/>
        <w:bottom w:val="none" w:sz="0" w:space="0" w:color="auto"/>
        <w:right w:val="none" w:sz="0" w:space="0" w:color="auto"/>
      </w:divBdr>
    </w:div>
    <w:div w:id="1624194678">
      <w:marLeft w:val="0"/>
      <w:marRight w:val="0"/>
      <w:marTop w:val="0"/>
      <w:marBottom w:val="0"/>
      <w:divBdr>
        <w:top w:val="none" w:sz="0" w:space="0" w:color="auto"/>
        <w:left w:val="none" w:sz="0" w:space="0" w:color="auto"/>
        <w:bottom w:val="none" w:sz="0" w:space="0" w:color="auto"/>
        <w:right w:val="none" w:sz="0" w:space="0" w:color="auto"/>
      </w:divBdr>
    </w:div>
    <w:div w:id="1624194679">
      <w:marLeft w:val="0"/>
      <w:marRight w:val="0"/>
      <w:marTop w:val="0"/>
      <w:marBottom w:val="0"/>
      <w:divBdr>
        <w:top w:val="none" w:sz="0" w:space="0" w:color="auto"/>
        <w:left w:val="none" w:sz="0" w:space="0" w:color="auto"/>
        <w:bottom w:val="none" w:sz="0" w:space="0" w:color="auto"/>
        <w:right w:val="none" w:sz="0" w:space="0" w:color="auto"/>
      </w:divBdr>
    </w:div>
    <w:div w:id="1624194680">
      <w:marLeft w:val="0"/>
      <w:marRight w:val="0"/>
      <w:marTop w:val="0"/>
      <w:marBottom w:val="0"/>
      <w:divBdr>
        <w:top w:val="none" w:sz="0" w:space="0" w:color="auto"/>
        <w:left w:val="none" w:sz="0" w:space="0" w:color="auto"/>
        <w:bottom w:val="none" w:sz="0" w:space="0" w:color="auto"/>
        <w:right w:val="none" w:sz="0" w:space="0" w:color="auto"/>
      </w:divBdr>
    </w:div>
    <w:div w:id="1624194681">
      <w:marLeft w:val="0"/>
      <w:marRight w:val="0"/>
      <w:marTop w:val="0"/>
      <w:marBottom w:val="0"/>
      <w:divBdr>
        <w:top w:val="none" w:sz="0" w:space="0" w:color="auto"/>
        <w:left w:val="none" w:sz="0" w:space="0" w:color="auto"/>
        <w:bottom w:val="none" w:sz="0" w:space="0" w:color="auto"/>
        <w:right w:val="none" w:sz="0" w:space="0" w:color="auto"/>
      </w:divBdr>
    </w:div>
    <w:div w:id="1624194682">
      <w:marLeft w:val="0"/>
      <w:marRight w:val="0"/>
      <w:marTop w:val="0"/>
      <w:marBottom w:val="0"/>
      <w:divBdr>
        <w:top w:val="none" w:sz="0" w:space="0" w:color="auto"/>
        <w:left w:val="none" w:sz="0" w:space="0" w:color="auto"/>
        <w:bottom w:val="none" w:sz="0" w:space="0" w:color="auto"/>
        <w:right w:val="none" w:sz="0" w:space="0" w:color="auto"/>
      </w:divBdr>
    </w:div>
    <w:div w:id="1624194683">
      <w:marLeft w:val="0"/>
      <w:marRight w:val="0"/>
      <w:marTop w:val="0"/>
      <w:marBottom w:val="0"/>
      <w:divBdr>
        <w:top w:val="none" w:sz="0" w:space="0" w:color="auto"/>
        <w:left w:val="none" w:sz="0" w:space="0" w:color="auto"/>
        <w:bottom w:val="none" w:sz="0" w:space="0" w:color="auto"/>
        <w:right w:val="none" w:sz="0" w:space="0" w:color="auto"/>
      </w:divBdr>
    </w:div>
    <w:div w:id="1624194684">
      <w:marLeft w:val="0"/>
      <w:marRight w:val="0"/>
      <w:marTop w:val="0"/>
      <w:marBottom w:val="0"/>
      <w:divBdr>
        <w:top w:val="none" w:sz="0" w:space="0" w:color="auto"/>
        <w:left w:val="none" w:sz="0" w:space="0" w:color="auto"/>
        <w:bottom w:val="none" w:sz="0" w:space="0" w:color="auto"/>
        <w:right w:val="none" w:sz="0" w:space="0" w:color="auto"/>
      </w:divBdr>
    </w:div>
    <w:div w:id="1624194685">
      <w:marLeft w:val="0"/>
      <w:marRight w:val="0"/>
      <w:marTop w:val="0"/>
      <w:marBottom w:val="0"/>
      <w:divBdr>
        <w:top w:val="none" w:sz="0" w:space="0" w:color="auto"/>
        <w:left w:val="none" w:sz="0" w:space="0" w:color="auto"/>
        <w:bottom w:val="none" w:sz="0" w:space="0" w:color="auto"/>
        <w:right w:val="none" w:sz="0" w:space="0" w:color="auto"/>
      </w:divBdr>
    </w:div>
    <w:div w:id="1624194686">
      <w:marLeft w:val="0"/>
      <w:marRight w:val="0"/>
      <w:marTop w:val="0"/>
      <w:marBottom w:val="0"/>
      <w:divBdr>
        <w:top w:val="none" w:sz="0" w:space="0" w:color="auto"/>
        <w:left w:val="none" w:sz="0" w:space="0" w:color="auto"/>
        <w:bottom w:val="none" w:sz="0" w:space="0" w:color="auto"/>
        <w:right w:val="none" w:sz="0" w:space="0" w:color="auto"/>
      </w:divBdr>
    </w:div>
    <w:div w:id="1624194687">
      <w:marLeft w:val="0"/>
      <w:marRight w:val="0"/>
      <w:marTop w:val="0"/>
      <w:marBottom w:val="0"/>
      <w:divBdr>
        <w:top w:val="none" w:sz="0" w:space="0" w:color="auto"/>
        <w:left w:val="none" w:sz="0" w:space="0" w:color="auto"/>
        <w:bottom w:val="none" w:sz="0" w:space="0" w:color="auto"/>
        <w:right w:val="none" w:sz="0" w:space="0" w:color="auto"/>
      </w:divBdr>
    </w:div>
    <w:div w:id="1624194688">
      <w:marLeft w:val="0"/>
      <w:marRight w:val="0"/>
      <w:marTop w:val="0"/>
      <w:marBottom w:val="0"/>
      <w:divBdr>
        <w:top w:val="none" w:sz="0" w:space="0" w:color="auto"/>
        <w:left w:val="none" w:sz="0" w:space="0" w:color="auto"/>
        <w:bottom w:val="none" w:sz="0" w:space="0" w:color="auto"/>
        <w:right w:val="none" w:sz="0" w:space="0" w:color="auto"/>
      </w:divBdr>
    </w:div>
    <w:div w:id="1624194689">
      <w:marLeft w:val="0"/>
      <w:marRight w:val="0"/>
      <w:marTop w:val="0"/>
      <w:marBottom w:val="0"/>
      <w:divBdr>
        <w:top w:val="none" w:sz="0" w:space="0" w:color="auto"/>
        <w:left w:val="none" w:sz="0" w:space="0" w:color="auto"/>
        <w:bottom w:val="none" w:sz="0" w:space="0" w:color="auto"/>
        <w:right w:val="none" w:sz="0" w:space="0" w:color="auto"/>
      </w:divBdr>
    </w:div>
    <w:div w:id="1624194690">
      <w:marLeft w:val="0"/>
      <w:marRight w:val="0"/>
      <w:marTop w:val="0"/>
      <w:marBottom w:val="0"/>
      <w:divBdr>
        <w:top w:val="none" w:sz="0" w:space="0" w:color="auto"/>
        <w:left w:val="none" w:sz="0" w:space="0" w:color="auto"/>
        <w:bottom w:val="none" w:sz="0" w:space="0" w:color="auto"/>
        <w:right w:val="none" w:sz="0" w:space="0" w:color="auto"/>
      </w:divBdr>
    </w:div>
    <w:div w:id="1624194691">
      <w:marLeft w:val="0"/>
      <w:marRight w:val="0"/>
      <w:marTop w:val="0"/>
      <w:marBottom w:val="0"/>
      <w:divBdr>
        <w:top w:val="none" w:sz="0" w:space="0" w:color="auto"/>
        <w:left w:val="none" w:sz="0" w:space="0" w:color="auto"/>
        <w:bottom w:val="none" w:sz="0" w:space="0" w:color="auto"/>
        <w:right w:val="none" w:sz="0" w:space="0" w:color="auto"/>
      </w:divBdr>
    </w:div>
    <w:div w:id="1624194692">
      <w:marLeft w:val="0"/>
      <w:marRight w:val="0"/>
      <w:marTop w:val="0"/>
      <w:marBottom w:val="0"/>
      <w:divBdr>
        <w:top w:val="none" w:sz="0" w:space="0" w:color="auto"/>
        <w:left w:val="none" w:sz="0" w:space="0" w:color="auto"/>
        <w:bottom w:val="none" w:sz="0" w:space="0" w:color="auto"/>
        <w:right w:val="none" w:sz="0" w:space="0" w:color="auto"/>
      </w:divBdr>
    </w:div>
    <w:div w:id="1624194693">
      <w:marLeft w:val="0"/>
      <w:marRight w:val="0"/>
      <w:marTop w:val="0"/>
      <w:marBottom w:val="0"/>
      <w:divBdr>
        <w:top w:val="none" w:sz="0" w:space="0" w:color="auto"/>
        <w:left w:val="none" w:sz="0" w:space="0" w:color="auto"/>
        <w:bottom w:val="none" w:sz="0" w:space="0" w:color="auto"/>
        <w:right w:val="none" w:sz="0" w:space="0" w:color="auto"/>
      </w:divBdr>
    </w:div>
    <w:div w:id="1624194694">
      <w:marLeft w:val="0"/>
      <w:marRight w:val="0"/>
      <w:marTop w:val="0"/>
      <w:marBottom w:val="0"/>
      <w:divBdr>
        <w:top w:val="none" w:sz="0" w:space="0" w:color="auto"/>
        <w:left w:val="none" w:sz="0" w:space="0" w:color="auto"/>
        <w:bottom w:val="none" w:sz="0" w:space="0" w:color="auto"/>
        <w:right w:val="none" w:sz="0" w:space="0" w:color="auto"/>
      </w:divBdr>
    </w:div>
    <w:div w:id="1624194695">
      <w:marLeft w:val="0"/>
      <w:marRight w:val="0"/>
      <w:marTop w:val="0"/>
      <w:marBottom w:val="0"/>
      <w:divBdr>
        <w:top w:val="none" w:sz="0" w:space="0" w:color="auto"/>
        <w:left w:val="none" w:sz="0" w:space="0" w:color="auto"/>
        <w:bottom w:val="none" w:sz="0" w:space="0" w:color="auto"/>
        <w:right w:val="none" w:sz="0" w:space="0" w:color="auto"/>
      </w:divBdr>
    </w:div>
    <w:div w:id="1624194696">
      <w:marLeft w:val="0"/>
      <w:marRight w:val="0"/>
      <w:marTop w:val="0"/>
      <w:marBottom w:val="0"/>
      <w:divBdr>
        <w:top w:val="none" w:sz="0" w:space="0" w:color="auto"/>
        <w:left w:val="none" w:sz="0" w:space="0" w:color="auto"/>
        <w:bottom w:val="none" w:sz="0" w:space="0" w:color="auto"/>
        <w:right w:val="none" w:sz="0" w:space="0" w:color="auto"/>
      </w:divBdr>
    </w:div>
    <w:div w:id="1624194697">
      <w:marLeft w:val="0"/>
      <w:marRight w:val="0"/>
      <w:marTop w:val="0"/>
      <w:marBottom w:val="0"/>
      <w:divBdr>
        <w:top w:val="none" w:sz="0" w:space="0" w:color="auto"/>
        <w:left w:val="none" w:sz="0" w:space="0" w:color="auto"/>
        <w:bottom w:val="none" w:sz="0" w:space="0" w:color="auto"/>
        <w:right w:val="none" w:sz="0" w:space="0" w:color="auto"/>
      </w:divBdr>
    </w:div>
    <w:div w:id="1624194698">
      <w:marLeft w:val="0"/>
      <w:marRight w:val="0"/>
      <w:marTop w:val="0"/>
      <w:marBottom w:val="0"/>
      <w:divBdr>
        <w:top w:val="none" w:sz="0" w:space="0" w:color="auto"/>
        <w:left w:val="none" w:sz="0" w:space="0" w:color="auto"/>
        <w:bottom w:val="none" w:sz="0" w:space="0" w:color="auto"/>
        <w:right w:val="none" w:sz="0" w:space="0" w:color="auto"/>
      </w:divBdr>
    </w:div>
    <w:div w:id="1624194699">
      <w:marLeft w:val="0"/>
      <w:marRight w:val="0"/>
      <w:marTop w:val="0"/>
      <w:marBottom w:val="0"/>
      <w:divBdr>
        <w:top w:val="none" w:sz="0" w:space="0" w:color="auto"/>
        <w:left w:val="none" w:sz="0" w:space="0" w:color="auto"/>
        <w:bottom w:val="none" w:sz="0" w:space="0" w:color="auto"/>
        <w:right w:val="none" w:sz="0" w:space="0" w:color="auto"/>
      </w:divBdr>
    </w:div>
    <w:div w:id="1624194700">
      <w:marLeft w:val="0"/>
      <w:marRight w:val="0"/>
      <w:marTop w:val="0"/>
      <w:marBottom w:val="0"/>
      <w:divBdr>
        <w:top w:val="none" w:sz="0" w:space="0" w:color="auto"/>
        <w:left w:val="none" w:sz="0" w:space="0" w:color="auto"/>
        <w:bottom w:val="none" w:sz="0" w:space="0" w:color="auto"/>
        <w:right w:val="none" w:sz="0" w:space="0" w:color="auto"/>
      </w:divBdr>
    </w:div>
    <w:div w:id="1624194701">
      <w:marLeft w:val="0"/>
      <w:marRight w:val="0"/>
      <w:marTop w:val="0"/>
      <w:marBottom w:val="0"/>
      <w:divBdr>
        <w:top w:val="none" w:sz="0" w:space="0" w:color="auto"/>
        <w:left w:val="none" w:sz="0" w:space="0" w:color="auto"/>
        <w:bottom w:val="none" w:sz="0" w:space="0" w:color="auto"/>
        <w:right w:val="none" w:sz="0" w:space="0" w:color="auto"/>
      </w:divBdr>
    </w:div>
    <w:div w:id="1624194702">
      <w:marLeft w:val="0"/>
      <w:marRight w:val="0"/>
      <w:marTop w:val="0"/>
      <w:marBottom w:val="0"/>
      <w:divBdr>
        <w:top w:val="none" w:sz="0" w:space="0" w:color="auto"/>
        <w:left w:val="none" w:sz="0" w:space="0" w:color="auto"/>
        <w:bottom w:val="none" w:sz="0" w:space="0" w:color="auto"/>
        <w:right w:val="none" w:sz="0" w:space="0" w:color="auto"/>
      </w:divBdr>
    </w:div>
    <w:div w:id="1624194703">
      <w:marLeft w:val="0"/>
      <w:marRight w:val="0"/>
      <w:marTop w:val="0"/>
      <w:marBottom w:val="0"/>
      <w:divBdr>
        <w:top w:val="none" w:sz="0" w:space="0" w:color="auto"/>
        <w:left w:val="none" w:sz="0" w:space="0" w:color="auto"/>
        <w:bottom w:val="none" w:sz="0" w:space="0" w:color="auto"/>
        <w:right w:val="none" w:sz="0" w:space="0" w:color="auto"/>
      </w:divBdr>
    </w:div>
    <w:div w:id="1624194704">
      <w:marLeft w:val="0"/>
      <w:marRight w:val="0"/>
      <w:marTop w:val="0"/>
      <w:marBottom w:val="0"/>
      <w:divBdr>
        <w:top w:val="none" w:sz="0" w:space="0" w:color="auto"/>
        <w:left w:val="none" w:sz="0" w:space="0" w:color="auto"/>
        <w:bottom w:val="none" w:sz="0" w:space="0" w:color="auto"/>
        <w:right w:val="none" w:sz="0" w:space="0" w:color="auto"/>
      </w:divBdr>
    </w:div>
    <w:div w:id="1624194705">
      <w:marLeft w:val="0"/>
      <w:marRight w:val="0"/>
      <w:marTop w:val="0"/>
      <w:marBottom w:val="0"/>
      <w:divBdr>
        <w:top w:val="none" w:sz="0" w:space="0" w:color="auto"/>
        <w:left w:val="none" w:sz="0" w:space="0" w:color="auto"/>
        <w:bottom w:val="none" w:sz="0" w:space="0" w:color="auto"/>
        <w:right w:val="none" w:sz="0" w:space="0" w:color="auto"/>
      </w:divBdr>
    </w:div>
    <w:div w:id="1624194706">
      <w:marLeft w:val="0"/>
      <w:marRight w:val="0"/>
      <w:marTop w:val="0"/>
      <w:marBottom w:val="0"/>
      <w:divBdr>
        <w:top w:val="none" w:sz="0" w:space="0" w:color="auto"/>
        <w:left w:val="none" w:sz="0" w:space="0" w:color="auto"/>
        <w:bottom w:val="none" w:sz="0" w:space="0" w:color="auto"/>
        <w:right w:val="none" w:sz="0" w:space="0" w:color="auto"/>
      </w:divBdr>
    </w:div>
    <w:div w:id="1624194707">
      <w:marLeft w:val="0"/>
      <w:marRight w:val="0"/>
      <w:marTop w:val="0"/>
      <w:marBottom w:val="0"/>
      <w:divBdr>
        <w:top w:val="none" w:sz="0" w:space="0" w:color="auto"/>
        <w:left w:val="none" w:sz="0" w:space="0" w:color="auto"/>
        <w:bottom w:val="none" w:sz="0" w:space="0" w:color="auto"/>
        <w:right w:val="none" w:sz="0" w:space="0" w:color="auto"/>
      </w:divBdr>
    </w:div>
    <w:div w:id="1624194708">
      <w:marLeft w:val="0"/>
      <w:marRight w:val="0"/>
      <w:marTop w:val="0"/>
      <w:marBottom w:val="0"/>
      <w:divBdr>
        <w:top w:val="none" w:sz="0" w:space="0" w:color="auto"/>
        <w:left w:val="none" w:sz="0" w:space="0" w:color="auto"/>
        <w:bottom w:val="none" w:sz="0" w:space="0" w:color="auto"/>
        <w:right w:val="none" w:sz="0" w:space="0" w:color="auto"/>
      </w:divBdr>
    </w:div>
    <w:div w:id="1624194709">
      <w:marLeft w:val="0"/>
      <w:marRight w:val="0"/>
      <w:marTop w:val="0"/>
      <w:marBottom w:val="0"/>
      <w:divBdr>
        <w:top w:val="none" w:sz="0" w:space="0" w:color="auto"/>
        <w:left w:val="none" w:sz="0" w:space="0" w:color="auto"/>
        <w:bottom w:val="none" w:sz="0" w:space="0" w:color="auto"/>
        <w:right w:val="none" w:sz="0" w:space="0" w:color="auto"/>
      </w:divBdr>
    </w:div>
    <w:div w:id="1624194710">
      <w:marLeft w:val="0"/>
      <w:marRight w:val="0"/>
      <w:marTop w:val="0"/>
      <w:marBottom w:val="0"/>
      <w:divBdr>
        <w:top w:val="none" w:sz="0" w:space="0" w:color="auto"/>
        <w:left w:val="none" w:sz="0" w:space="0" w:color="auto"/>
        <w:bottom w:val="none" w:sz="0" w:space="0" w:color="auto"/>
        <w:right w:val="none" w:sz="0" w:space="0" w:color="auto"/>
      </w:divBdr>
    </w:div>
    <w:div w:id="1624194711">
      <w:marLeft w:val="0"/>
      <w:marRight w:val="0"/>
      <w:marTop w:val="0"/>
      <w:marBottom w:val="0"/>
      <w:divBdr>
        <w:top w:val="none" w:sz="0" w:space="0" w:color="auto"/>
        <w:left w:val="none" w:sz="0" w:space="0" w:color="auto"/>
        <w:bottom w:val="none" w:sz="0" w:space="0" w:color="auto"/>
        <w:right w:val="none" w:sz="0" w:space="0" w:color="auto"/>
      </w:divBdr>
    </w:div>
    <w:div w:id="1624194712">
      <w:marLeft w:val="0"/>
      <w:marRight w:val="0"/>
      <w:marTop w:val="0"/>
      <w:marBottom w:val="0"/>
      <w:divBdr>
        <w:top w:val="none" w:sz="0" w:space="0" w:color="auto"/>
        <w:left w:val="none" w:sz="0" w:space="0" w:color="auto"/>
        <w:bottom w:val="none" w:sz="0" w:space="0" w:color="auto"/>
        <w:right w:val="none" w:sz="0" w:space="0" w:color="auto"/>
      </w:divBdr>
    </w:div>
    <w:div w:id="1624194713">
      <w:marLeft w:val="0"/>
      <w:marRight w:val="0"/>
      <w:marTop w:val="0"/>
      <w:marBottom w:val="0"/>
      <w:divBdr>
        <w:top w:val="none" w:sz="0" w:space="0" w:color="auto"/>
        <w:left w:val="none" w:sz="0" w:space="0" w:color="auto"/>
        <w:bottom w:val="none" w:sz="0" w:space="0" w:color="auto"/>
        <w:right w:val="none" w:sz="0" w:space="0" w:color="auto"/>
      </w:divBdr>
    </w:div>
    <w:div w:id="1624194714">
      <w:marLeft w:val="0"/>
      <w:marRight w:val="0"/>
      <w:marTop w:val="0"/>
      <w:marBottom w:val="0"/>
      <w:divBdr>
        <w:top w:val="none" w:sz="0" w:space="0" w:color="auto"/>
        <w:left w:val="none" w:sz="0" w:space="0" w:color="auto"/>
        <w:bottom w:val="none" w:sz="0" w:space="0" w:color="auto"/>
        <w:right w:val="none" w:sz="0" w:space="0" w:color="auto"/>
      </w:divBdr>
    </w:div>
    <w:div w:id="1624194715">
      <w:marLeft w:val="0"/>
      <w:marRight w:val="0"/>
      <w:marTop w:val="0"/>
      <w:marBottom w:val="0"/>
      <w:divBdr>
        <w:top w:val="none" w:sz="0" w:space="0" w:color="auto"/>
        <w:left w:val="none" w:sz="0" w:space="0" w:color="auto"/>
        <w:bottom w:val="none" w:sz="0" w:space="0" w:color="auto"/>
        <w:right w:val="none" w:sz="0" w:space="0" w:color="auto"/>
      </w:divBdr>
    </w:div>
    <w:div w:id="1624194716">
      <w:marLeft w:val="0"/>
      <w:marRight w:val="0"/>
      <w:marTop w:val="0"/>
      <w:marBottom w:val="0"/>
      <w:divBdr>
        <w:top w:val="none" w:sz="0" w:space="0" w:color="auto"/>
        <w:left w:val="none" w:sz="0" w:space="0" w:color="auto"/>
        <w:bottom w:val="none" w:sz="0" w:space="0" w:color="auto"/>
        <w:right w:val="none" w:sz="0" w:space="0" w:color="auto"/>
      </w:divBdr>
    </w:div>
    <w:div w:id="1624194717">
      <w:marLeft w:val="0"/>
      <w:marRight w:val="0"/>
      <w:marTop w:val="0"/>
      <w:marBottom w:val="0"/>
      <w:divBdr>
        <w:top w:val="none" w:sz="0" w:space="0" w:color="auto"/>
        <w:left w:val="none" w:sz="0" w:space="0" w:color="auto"/>
        <w:bottom w:val="none" w:sz="0" w:space="0" w:color="auto"/>
        <w:right w:val="none" w:sz="0" w:space="0" w:color="auto"/>
      </w:divBdr>
    </w:div>
    <w:div w:id="1624194718">
      <w:marLeft w:val="0"/>
      <w:marRight w:val="0"/>
      <w:marTop w:val="0"/>
      <w:marBottom w:val="0"/>
      <w:divBdr>
        <w:top w:val="none" w:sz="0" w:space="0" w:color="auto"/>
        <w:left w:val="none" w:sz="0" w:space="0" w:color="auto"/>
        <w:bottom w:val="none" w:sz="0" w:space="0" w:color="auto"/>
        <w:right w:val="none" w:sz="0" w:space="0" w:color="auto"/>
      </w:divBdr>
    </w:div>
    <w:div w:id="1624194719">
      <w:marLeft w:val="0"/>
      <w:marRight w:val="0"/>
      <w:marTop w:val="0"/>
      <w:marBottom w:val="0"/>
      <w:divBdr>
        <w:top w:val="none" w:sz="0" w:space="0" w:color="auto"/>
        <w:left w:val="none" w:sz="0" w:space="0" w:color="auto"/>
        <w:bottom w:val="none" w:sz="0" w:space="0" w:color="auto"/>
        <w:right w:val="none" w:sz="0" w:space="0" w:color="auto"/>
      </w:divBdr>
    </w:div>
    <w:div w:id="1624194720">
      <w:marLeft w:val="0"/>
      <w:marRight w:val="0"/>
      <w:marTop w:val="0"/>
      <w:marBottom w:val="0"/>
      <w:divBdr>
        <w:top w:val="none" w:sz="0" w:space="0" w:color="auto"/>
        <w:left w:val="none" w:sz="0" w:space="0" w:color="auto"/>
        <w:bottom w:val="none" w:sz="0" w:space="0" w:color="auto"/>
        <w:right w:val="none" w:sz="0" w:space="0" w:color="auto"/>
      </w:divBdr>
    </w:div>
    <w:div w:id="1624194721">
      <w:marLeft w:val="0"/>
      <w:marRight w:val="0"/>
      <w:marTop w:val="0"/>
      <w:marBottom w:val="0"/>
      <w:divBdr>
        <w:top w:val="none" w:sz="0" w:space="0" w:color="auto"/>
        <w:left w:val="none" w:sz="0" w:space="0" w:color="auto"/>
        <w:bottom w:val="none" w:sz="0" w:space="0" w:color="auto"/>
        <w:right w:val="none" w:sz="0" w:space="0" w:color="auto"/>
      </w:divBdr>
    </w:div>
    <w:div w:id="1624194722">
      <w:marLeft w:val="0"/>
      <w:marRight w:val="0"/>
      <w:marTop w:val="0"/>
      <w:marBottom w:val="0"/>
      <w:divBdr>
        <w:top w:val="none" w:sz="0" w:space="0" w:color="auto"/>
        <w:left w:val="none" w:sz="0" w:space="0" w:color="auto"/>
        <w:bottom w:val="none" w:sz="0" w:space="0" w:color="auto"/>
        <w:right w:val="none" w:sz="0" w:space="0" w:color="auto"/>
      </w:divBdr>
    </w:div>
    <w:div w:id="1624194723">
      <w:marLeft w:val="0"/>
      <w:marRight w:val="0"/>
      <w:marTop w:val="0"/>
      <w:marBottom w:val="0"/>
      <w:divBdr>
        <w:top w:val="none" w:sz="0" w:space="0" w:color="auto"/>
        <w:left w:val="none" w:sz="0" w:space="0" w:color="auto"/>
        <w:bottom w:val="none" w:sz="0" w:space="0" w:color="auto"/>
        <w:right w:val="none" w:sz="0" w:space="0" w:color="auto"/>
      </w:divBdr>
    </w:div>
    <w:div w:id="1624194724">
      <w:marLeft w:val="0"/>
      <w:marRight w:val="0"/>
      <w:marTop w:val="0"/>
      <w:marBottom w:val="0"/>
      <w:divBdr>
        <w:top w:val="none" w:sz="0" w:space="0" w:color="auto"/>
        <w:left w:val="none" w:sz="0" w:space="0" w:color="auto"/>
        <w:bottom w:val="none" w:sz="0" w:space="0" w:color="auto"/>
        <w:right w:val="none" w:sz="0" w:space="0" w:color="auto"/>
      </w:divBdr>
    </w:div>
    <w:div w:id="1624194725">
      <w:marLeft w:val="0"/>
      <w:marRight w:val="0"/>
      <w:marTop w:val="0"/>
      <w:marBottom w:val="0"/>
      <w:divBdr>
        <w:top w:val="none" w:sz="0" w:space="0" w:color="auto"/>
        <w:left w:val="none" w:sz="0" w:space="0" w:color="auto"/>
        <w:bottom w:val="none" w:sz="0" w:space="0" w:color="auto"/>
        <w:right w:val="none" w:sz="0" w:space="0" w:color="auto"/>
      </w:divBdr>
    </w:div>
    <w:div w:id="1624194726">
      <w:marLeft w:val="0"/>
      <w:marRight w:val="0"/>
      <w:marTop w:val="0"/>
      <w:marBottom w:val="0"/>
      <w:divBdr>
        <w:top w:val="none" w:sz="0" w:space="0" w:color="auto"/>
        <w:left w:val="none" w:sz="0" w:space="0" w:color="auto"/>
        <w:bottom w:val="none" w:sz="0" w:space="0" w:color="auto"/>
        <w:right w:val="none" w:sz="0" w:space="0" w:color="auto"/>
      </w:divBdr>
    </w:div>
    <w:div w:id="1624194727">
      <w:marLeft w:val="0"/>
      <w:marRight w:val="0"/>
      <w:marTop w:val="0"/>
      <w:marBottom w:val="0"/>
      <w:divBdr>
        <w:top w:val="none" w:sz="0" w:space="0" w:color="auto"/>
        <w:left w:val="none" w:sz="0" w:space="0" w:color="auto"/>
        <w:bottom w:val="none" w:sz="0" w:space="0" w:color="auto"/>
        <w:right w:val="none" w:sz="0" w:space="0" w:color="auto"/>
      </w:divBdr>
    </w:div>
    <w:div w:id="1624194728">
      <w:marLeft w:val="0"/>
      <w:marRight w:val="0"/>
      <w:marTop w:val="0"/>
      <w:marBottom w:val="0"/>
      <w:divBdr>
        <w:top w:val="none" w:sz="0" w:space="0" w:color="auto"/>
        <w:left w:val="none" w:sz="0" w:space="0" w:color="auto"/>
        <w:bottom w:val="none" w:sz="0" w:space="0" w:color="auto"/>
        <w:right w:val="none" w:sz="0" w:space="0" w:color="auto"/>
      </w:divBdr>
    </w:div>
    <w:div w:id="1624194729">
      <w:marLeft w:val="0"/>
      <w:marRight w:val="0"/>
      <w:marTop w:val="0"/>
      <w:marBottom w:val="0"/>
      <w:divBdr>
        <w:top w:val="none" w:sz="0" w:space="0" w:color="auto"/>
        <w:left w:val="none" w:sz="0" w:space="0" w:color="auto"/>
        <w:bottom w:val="none" w:sz="0" w:space="0" w:color="auto"/>
        <w:right w:val="none" w:sz="0" w:space="0" w:color="auto"/>
      </w:divBdr>
    </w:div>
    <w:div w:id="1624194730">
      <w:marLeft w:val="0"/>
      <w:marRight w:val="0"/>
      <w:marTop w:val="0"/>
      <w:marBottom w:val="0"/>
      <w:divBdr>
        <w:top w:val="none" w:sz="0" w:space="0" w:color="auto"/>
        <w:left w:val="none" w:sz="0" w:space="0" w:color="auto"/>
        <w:bottom w:val="none" w:sz="0" w:space="0" w:color="auto"/>
        <w:right w:val="none" w:sz="0" w:space="0" w:color="auto"/>
      </w:divBdr>
    </w:div>
    <w:div w:id="1624194731">
      <w:marLeft w:val="0"/>
      <w:marRight w:val="0"/>
      <w:marTop w:val="0"/>
      <w:marBottom w:val="0"/>
      <w:divBdr>
        <w:top w:val="none" w:sz="0" w:space="0" w:color="auto"/>
        <w:left w:val="none" w:sz="0" w:space="0" w:color="auto"/>
        <w:bottom w:val="none" w:sz="0" w:space="0" w:color="auto"/>
        <w:right w:val="none" w:sz="0" w:space="0" w:color="auto"/>
      </w:divBdr>
    </w:div>
    <w:div w:id="1624194732">
      <w:marLeft w:val="0"/>
      <w:marRight w:val="0"/>
      <w:marTop w:val="0"/>
      <w:marBottom w:val="0"/>
      <w:divBdr>
        <w:top w:val="none" w:sz="0" w:space="0" w:color="auto"/>
        <w:left w:val="none" w:sz="0" w:space="0" w:color="auto"/>
        <w:bottom w:val="none" w:sz="0" w:space="0" w:color="auto"/>
        <w:right w:val="none" w:sz="0" w:space="0" w:color="auto"/>
      </w:divBdr>
    </w:div>
    <w:div w:id="1624194733">
      <w:marLeft w:val="0"/>
      <w:marRight w:val="0"/>
      <w:marTop w:val="0"/>
      <w:marBottom w:val="0"/>
      <w:divBdr>
        <w:top w:val="none" w:sz="0" w:space="0" w:color="auto"/>
        <w:left w:val="none" w:sz="0" w:space="0" w:color="auto"/>
        <w:bottom w:val="none" w:sz="0" w:space="0" w:color="auto"/>
        <w:right w:val="none" w:sz="0" w:space="0" w:color="auto"/>
      </w:divBdr>
    </w:div>
    <w:div w:id="1624194734">
      <w:marLeft w:val="0"/>
      <w:marRight w:val="0"/>
      <w:marTop w:val="0"/>
      <w:marBottom w:val="0"/>
      <w:divBdr>
        <w:top w:val="none" w:sz="0" w:space="0" w:color="auto"/>
        <w:left w:val="none" w:sz="0" w:space="0" w:color="auto"/>
        <w:bottom w:val="none" w:sz="0" w:space="0" w:color="auto"/>
        <w:right w:val="none" w:sz="0" w:space="0" w:color="auto"/>
      </w:divBdr>
    </w:div>
    <w:div w:id="1624194735">
      <w:marLeft w:val="0"/>
      <w:marRight w:val="0"/>
      <w:marTop w:val="0"/>
      <w:marBottom w:val="0"/>
      <w:divBdr>
        <w:top w:val="none" w:sz="0" w:space="0" w:color="auto"/>
        <w:left w:val="none" w:sz="0" w:space="0" w:color="auto"/>
        <w:bottom w:val="none" w:sz="0" w:space="0" w:color="auto"/>
        <w:right w:val="none" w:sz="0" w:space="0" w:color="auto"/>
      </w:divBdr>
    </w:div>
    <w:div w:id="1624194736">
      <w:marLeft w:val="0"/>
      <w:marRight w:val="0"/>
      <w:marTop w:val="0"/>
      <w:marBottom w:val="0"/>
      <w:divBdr>
        <w:top w:val="none" w:sz="0" w:space="0" w:color="auto"/>
        <w:left w:val="none" w:sz="0" w:space="0" w:color="auto"/>
        <w:bottom w:val="none" w:sz="0" w:space="0" w:color="auto"/>
        <w:right w:val="none" w:sz="0" w:space="0" w:color="auto"/>
      </w:divBdr>
    </w:div>
    <w:div w:id="1624194737">
      <w:marLeft w:val="0"/>
      <w:marRight w:val="0"/>
      <w:marTop w:val="0"/>
      <w:marBottom w:val="0"/>
      <w:divBdr>
        <w:top w:val="none" w:sz="0" w:space="0" w:color="auto"/>
        <w:left w:val="none" w:sz="0" w:space="0" w:color="auto"/>
        <w:bottom w:val="none" w:sz="0" w:space="0" w:color="auto"/>
        <w:right w:val="none" w:sz="0" w:space="0" w:color="auto"/>
      </w:divBdr>
    </w:div>
    <w:div w:id="1624194738">
      <w:marLeft w:val="0"/>
      <w:marRight w:val="0"/>
      <w:marTop w:val="0"/>
      <w:marBottom w:val="0"/>
      <w:divBdr>
        <w:top w:val="none" w:sz="0" w:space="0" w:color="auto"/>
        <w:left w:val="none" w:sz="0" w:space="0" w:color="auto"/>
        <w:bottom w:val="none" w:sz="0" w:space="0" w:color="auto"/>
        <w:right w:val="none" w:sz="0" w:space="0" w:color="auto"/>
      </w:divBdr>
    </w:div>
    <w:div w:id="1624194739">
      <w:marLeft w:val="0"/>
      <w:marRight w:val="0"/>
      <w:marTop w:val="0"/>
      <w:marBottom w:val="0"/>
      <w:divBdr>
        <w:top w:val="none" w:sz="0" w:space="0" w:color="auto"/>
        <w:left w:val="none" w:sz="0" w:space="0" w:color="auto"/>
        <w:bottom w:val="none" w:sz="0" w:space="0" w:color="auto"/>
        <w:right w:val="none" w:sz="0" w:space="0" w:color="auto"/>
      </w:divBdr>
    </w:div>
    <w:div w:id="1624194740">
      <w:marLeft w:val="0"/>
      <w:marRight w:val="0"/>
      <w:marTop w:val="0"/>
      <w:marBottom w:val="0"/>
      <w:divBdr>
        <w:top w:val="none" w:sz="0" w:space="0" w:color="auto"/>
        <w:left w:val="none" w:sz="0" w:space="0" w:color="auto"/>
        <w:bottom w:val="none" w:sz="0" w:space="0" w:color="auto"/>
        <w:right w:val="none" w:sz="0" w:space="0" w:color="auto"/>
      </w:divBdr>
    </w:div>
    <w:div w:id="1624194741">
      <w:marLeft w:val="0"/>
      <w:marRight w:val="0"/>
      <w:marTop w:val="0"/>
      <w:marBottom w:val="0"/>
      <w:divBdr>
        <w:top w:val="none" w:sz="0" w:space="0" w:color="auto"/>
        <w:left w:val="none" w:sz="0" w:space="0" w:color="auto"/>
        <w:bottom w:val="none" w:sz="0" w:space="0" w:color="auto"/>
        <w:right w:val="none" w:sz="0" w:space="0" w:color="auto"/>
      </w:divBdr>
    </w:div>
    <w:div w:id="1624194742">
      <w:marLeft w:val="0"/>
      <w:marRight w:val="0"/>
      <w:marTop w:val="0"/>
      <w:marBottom w:val="0"/>
      <w:divBdr>
        <w:top w:val="none" w:sz="0" w:space="0" w:color="auto"/>
        <w:left w:val="none" w:sz="0" w:space="0" w:color="auto"/>
        <w:bottom w:val="none" w:sz="0" w:space="0" w:color="auto"/>
        <w:right w:val="none" w:sz="0" w:space="0" w:color="auto"/>
      </w:divBdr>
    </w:div>
    <w:div w:id="1624194743">
      <w:marLeft w:val="0"/>
      <w:marRight w:val="0"/>
      <w:marTop w:val="0"/>
      <w:marBottom w:val="0"/>
      <w:divBdr>
        <w:top w:val="none" w:sz="0" w:space="0" w:color="auto"/>
        <w:left w:val="none" w:sz="0" w:space="0" w:color="auto"/>
        <w:bottom w:val="none" w:sz="0" w:space="0" w:color="auto"/>
        <w:right w:val="none" w:sz="0" w:space="0" w:color="auto"/>
      </w:divBdr>
    </w:div>
    <w:div w:id="1624194744">
      <w:marLeft w:val="0"/>
      <w:marRight w:val="0"/>
      <w:marTop w:val="0"/>
      <w:marBottom w:val="0"/>
      <w:divBdr>
        <w:top w:val="none" w:sz="0" w:space="0" w:color="auto"/>
        <w:left w:val="none" w:sz="0" w:space="0" w:color="auto"/>
        <w:bottom w:val="none" w:sz="0" w:space="0" w:color="auto"/>
        <w:right w:val="none" w:sz="0" w:space="0" w:color="auto"/>
      </w:divBdr>
    </w:div>
    <w:div w:id="1624194745">
      <w:marLeft w:val="0"/>
      <w:marRight w:val="0"/>
      <w:marTop w:val="0"/>
      <w:marBottom w:val="0"/>
      <w:divBdr>
        <w:top w:val="none" w:sz="0" w:space="0" w:color="auto"/>
        <w:left w:val="none" w:sz="0" w:space="0" w:color="auto"/>
        <w:bottom w:val="none" w:sz="0" w:space="0" w:color="auto"/>
        <w:right w:val="none" w:sz="0" w:space="0" w:color="auto"/>
      </w:divBdr>
    </w:div>
    <w:div w:id="1624194746">
      <w:marLeft w:val="0"/>
      <w:marRight w:val="0"/>
      <w:marTop w:val="0"/>
      <w:marBottom w:val="0"/>
      <w:divBdr>
        <w:top w:val="none" w:sz="0" w:space="0" w:color="auto"/>
        <w:left w:val="none" w:sz="0" w:space="0" w:color="auto"/>
        <w:bottom w:val="none" w:sz="0" w:space="0" w:color="auto"/>
        <w:right w:val="none" w:sz="0" w:space="0" w:color="auto"/>
      </w:divBdr>
    </w:div>
    <w:div w:id="1624194747">
      <w:marLeft w:val="0"/>
      <w:marRight w:val="0"/>
      <w:marTop w:val="0"/>
      <w:marBottom w:val="0"/>
      <w:divBdr>
        <w:top w:val="none" w:sz="0" w:space="0" w:color="auto"/>
        <w:left w:val="none" w:sz="0" w:space="0" w:color="auto"/>
        <w:bottom w:val="none" w:sz="0" w:space="0" w:color="auto"/>
        <w:right w:val="none" w:sz="0" w:space="0" w:color="auto"/>
      </w:divBdr>
    </w:div>
    <w:div w:id="1624194748">
      <w:marLeft w:val="0"/>
      <w:marRight w:val="0"/>
      <w:marTop w:val="0"/>
      <w:marBottom w:val="0"/>
      <w:divBdr>
        <w:top w:val="none" w:sz="0" w:space="0" w:color="auto"/>
        <w:left w:val="none" w:sz="0" w:space="0" w:color="auto"/>
        <w:bottom w:val="none" w:sz="0" w:space="0" w:color="auto"/>
        <w:right w:val="none" w:sz="0" w:space="0" w:color="auto"/>
      </w:divBdr>
    </w:div>
    <w:div w:id="1624194749">
      <w:marLeft w:val="0"/>
      <w:marRight w:val="0"/>
      <w:marTop w:val="0"/>
      <w:marBottom w:val="0"/>
      <w:divBdr>
        <w:top w:val="none" w:sz="0" w:space="0" w:color="auto"/>
        <w:left w:val="none" w:sz="0" w:space="0" w:color="auto"/>
        <w:bottom w:val="none" w:sz="0" w:space="0" w:color="auto"/>
        <w:right w:val="none" w:sz="0" w:space="0" w:color="auto"/>
      </w:divBdr>
    </w:div>
    <w:div w:id="1624194750">
      <w:marLeft w:val="0"/>
      <w:marRight w:val="0"/>
      <w:marTop w:val="0"/>
      <w:marBottom w:val="0"/>
      <w:divBdr>
        <w:top w:val="none" w:sz="0" w:space="0" w:color="auto"/>
        <w:left w:val="none" w:sz="0" w:space="0" w:color="auto"/>
        <w:bottom w:val="none" w:sz="0" w:space="0" w:color="auto"/>
        <w:right w:val="none" w:sz="0" w:space="0" w:color="auto"/>
      </w:divBdr>
    </w:div>
    <w:div w:id="1624194751">
      <w:marLeft w:val="0"/>
      <w:marRight w:val="0"/>
      <w:marTop w:val="0"/>
      <w:marBottom w:val="0"/>
      <w:divBdr>
        <w:top w:val="none" w:sz="0" w:space="0" w:color="auto"/>
        <w:left w:val="none" w:sz="0" w:space="0" w:color="auto"/>
        <w:bottom w:val="none" w:sz="0" w:space="0" w:color="auto"/>
        <w:right w:val="none" w:sz="0" w:space="0" w:color="auto"/>
      </w:divBdr>
    </w:div>
    <w:div w:id="1624194752">
      <w:marLeft w:val="0"/>
      <w:marRight w:val="0"/>
      <w:marTop w:val="0"/>
      <w:marBottom w:val="0"/>
      <w:divBdr>
        <w:top w:val="none" w:sz="0" w:space="0" w:color="auto"/>
        <w:left w:val="none" w:sz="0" w:space="0" w:color="auto"/>
        <w:bottom w:val="none" w:sz="0" w:space="0" w:color="auto"/>
        <w:right w:val="none" w:sz="0" w:space="0" w:color="auto"/>
      </w:divBdr>
    </w:div>
    <w:div w:id="1624194753">
      <w:marLeft w:val="0"/>
      <w:marRight w:val="0"/>
      <w:marTop w:val="0"/>
      <w:marBottom w:val="0"/>
      <w:divBdr>
        <w:top w:val="none" w:sz="0" w:space="0" w:color="auto"/>
        <w:left w:val="none" w:sz="0" w:space="0" w:color="auto"/>
        <w:bottom w:val="none" w:sz="0" w:space="0" w:color="auto"/>
        <w:right w:val="none" w:sz="0" w:space="0" w:color="auto"/>
      </w:divBdr>
    </w:div>
    <w:div w:id="1624194754">
      <w:marLeft w:val="0"/>
      <w:marRight w:val="0"/>
      <w:marTop w:val="0"/>
      <w:marBottom w:val="0"/>
      <w:divBdr>
        <w:top w:val="none" w:sz="0" w:space="0" w:color="auto"/>
        <w:left w:val="none" w:sz="0" w:space="0" w:color="auto"/>
        <w:bottom w:val="none" w:sz="0" w:space="0" w:color="auto"/>
        <w:right w:val="none" w:sz="0" w:space="0" w:color="auto"/>
      </w:divBdr>
    </w:div>
    <w:div w:id="1624194755">
      <w:marLeft w:val="0"/>
      <w:marRight w:val="0"/>
      <w:marTop w:val="0"/>
      <w:marBottom w:val="0"/>
      <w:divBdr>
        <w:top w:val="none" w:sz="0" w:space="0" w:color="auto"/>
        <w:left w:val="none" w:sz="0" w:space="0" w:color="auto"/>
        <w:bottom w:val="none" w:sz="0" w:space="0" w:color="auto"/>
        <w:right w:val="none" w:sz="0" w:space="0" w:color="auto"/>
      </w:divBdr>
    </w:div>
    <w:div w:id="1624194756">
      <w:marLeft w:val="0"/>
      <w:marRight w:val="0"/>
      <w:marTop w:val="0"/>
      <w:marBottom w:val="0"/>
      <w:divBdr>
        <w:top w:val="none" w:sz="0" w:space="0" w:color="auto"/>
        <w:left w:val="none" w:sz="0" w:space="0" w:color="auto"/>
        <w:bottom w:val="none" w:sz="0" w:space="0" w:color="auto"/>
        <w:right w:val="none" w:sz="0" w:space="0" w:color="auto"/>
      </w:divBdr>
    </w:div>
    <w:div w:id="1624194757">
      <w:marLeft w:val="0"/>
      <w:marRight w:val="0"/>
      <w:marTop w:val="0"/>
      <w:marBottom w:val="0"/>
      <w:divBdr>
        <w:top w:val="none" w:sz="0" w:space="0" w:color="auto"/>
        <w:left w:val="none" w:sz="0" w:space="0" w:color="auto"/>
        <w:bottom w:val="none" w:sz="0" w:space="0" w:color="auto"/>
        <w:right w:val="none" w:sz="0" w:space="0" w:color="auto"/>
      </w:divBdr>
    </w:div>
    <w:div w:id="1626882754">
      <w:bodyDiv w:val="1"/>
      <w:marLeft w:val="0"/>
      <w:marRight w:val="0"/>
      <w:marTop w:val="0"/>
      <w:marBottom w:val="0"/>
      <w:divBdr>
        <w:top w:val="none" w:sz="0" w:space="0" w:color="auto"/>
        <w:left w:val="none" w:sz="0" w:space="0" w:color="auto"/>
        <w:bottom w:val="none" w:sz="0" w:space="0" w:color="auto"/>
        <w:right w:val="none" w:sz="0" w:space="0" w:color="auto"/>
      </w:divBdr>
    </w:div>
    <w:div w:id="1627615000">
      <w:bodyDiv w:val="1"/>
      <w:marLeft w:val="0"/>
      <w:marRight w:val="0"/>
      <w:marTop w:val="0"/>
      <w:marBottom w:val="0"/>
      <w:divBdr>
        <w:top w:val="none" w:sz="0" w:space="0" w:color="auto"/>
        <w:left w:val="none" w:sz="0" w:space="0" w:color="auto"/>
        <w:bottom w:val="none" w:sz="0" w:space="0" w:color="auto"/>
        <w:right w:val="none" w:sz="0" w:space="0" w:color="auto"/>
      </w:divBdr>
    </w:div>
    <w:div w:id="1628003367">
      <w:bodyDiv w:val="1"/>
      <w:marLeft w:val="0"/>
      <w:marRight w:val="0"/>
      <w:marTop w:val="0"/>
      <w:marBottom w:val="0"/>
      <w:divBdr>
        <w:top w:val="none" w:sz="0" w:space="0" w:color="auto"/>
        <w:left w:val="none" w:sz="0" w:space="0" w:color="auto"/>
        <w:bottom w:val="none" w:sz="0" w:space="0" w:color="auto"/>
        <w:right w:val="none" w:sz="0" w:space="0" w:color="auto"/>
      </w:divBdr>
    </w:div>
    <w:div w:id="1628045684">
      <w:bodyDiv w:val="1"/>
      <w:marLeft w:val="0"/>
      <w:marRight w:val="0"/>
      <w:marTop w:val="0"/>
      <w:marBottom w:val="0"/>
      <w:divBdr>
        <w:top w:val="none" w:sz="0" w:space="0" w:color="auto"/>
        <w:left w:val="none" w:sz="0" w:space="0" w:color="auto"/>
        <w:bottom w:val="none" w:sz="0" w:space="0" w:color="auto"/>
        <w:right w:val="none" w:sz="0" w:space="0" w:color="auto"/>
      </w:divBdr>
    </w:div>
    <w:div w:id="1628470017">
      <w:bodyDiv w:val="1"/>
      <w:marLeft w:val="0"/>
      <w:marRight w:val="0"/>
      <w:marTop w:val="0"/>
      <w:marBottom w:val="0"/>
      <w:divBdr>
        <w:top w:val="none" w:sz="0" w:space="0" w:color="auto"/>
        <w:left w:val="none" w:sz="0" w:space="0" w:color="auto"/>
        <w:bottom w:val="none" w:sz="0" w:space="0" w:color="auto"/>
        <w:right w:val="none" w:sz="0" w:space="0" w:color="auto"/>
      </w:divBdr>
    </w:div>
    <w:div w:id="1629167033">
      <w:bodyDiv w:val="1"/>
      <w:marLeft w:val="0"/>
      <w:marRight w:val="0"/>
      <w:marTop w:val="0"/>
      <w:marBottom w:val="0"/>
      <w:divBdr>
        <w:top w:val="none" w:sz="0" w:space="0" w:color="auto"/>
        <w:left w:val="none" w:sz="0" w:space="0" w:color="auto"/>
        <w:bottom w:val="none" w:sz="0" w:space="0" w:color="auto"/>
        <w:right w:val="none" w:sz="0" w:space="0" w:color="auto"/>
      </w:divBdr>
    </w:div>
    <w:div w:id="1629242531">
      <w:bodyDiv w:val="1"/>
      <w:marLeft w:val="0"/>
      <w:marRight w:val="0"/>
      <w:marTop w:val="0"/>
      <w:marBottom w:val="0"/>
      <w:divBdr>
        <w:top w:val="none" w:sz="0" w:space="0" w:color="auto"/>
        <w:left w:val="none" w:sz="0" w:space="0" w:color="auto"/>
        <w:bottom w:val="none" w:sz="0" w:space="0" w:color="auto"/>
        <w:right w:val="none" w:sz="0" w:space="0" w:color="auto"/>
      </w:divBdr>
    </w:div>
    <w:div w:id="1629435179">
      <w:bodyDiv w:val="1"/>
      <w:marLeft w:val="0"/>
      <w:marRight w:val="0"/>
      <w:marTop w:val="0"/>
      <w:marBottom w:val="0"/>
      <w:divBdr>
        <w:top w:val="none" w:sz="0" w:space="0" w:color="auto"/>
        <w:left w:val="none" w:sz="0" w:space="0" w:color="auto"/>
        <w:bottom w:val="none" w:sz="0" w:space="0" w:color="auto"/>
        <w:right w:val="none" w:sz="0" w:space="0" w:color="auto"/>
      </w:divBdr>
    </w:div>
    <w:div w:id="1629773361">
      <w:bodyDiv w:val="1"/>
      <w:marLeft w:val="0"/>
      <w:marRight w:val="0"/>
      <w:marTop w:val="0"/>
      <w:marBottom w:val="0"/>
      <w:divBdr>
        <w:top w:val="none" w:sz="0" w:space="0" w:color="auto"/>
        <w:left w:val="none" w:sz="0" w:space="0" w:color="auto"/>
        <w:bottom w:val="none" w:sz="0" w:space="0" w:color="auto"/>
        <w:right w:val="none" w:sz="0" w:space="0" w:color="auto"/>
      </w:divBdr>
    </w:div>
    <w:div w:id="1629818662">
      <w:bodyDiv w:val="1"/>
      <w:marLeft w:val="0"/>
      <w:marRight w:val="0"/>
      <w:marTop w:val="0"/>
      <w:marBottom w:val="0"/>
      <w:divBdr>
        <w:top w:val="none" w:sz="0" w:space="0" w:color="auto"/>
        <w:left w:val="none" w:sz="0" w:space="0" w:color="auto"/>
        <w:bottom w:val="none" w:sz="0" w:space="0" w:color="auto"/>
        <w:right w:val="none" w:sz="0" w:space="0" w:color="auto"/>
      </w:divBdr>
    </w:div>
    <w:div w:id="1634746218">
      <w:bodyDiv w:val="1"/>
      <w:marLeft w:val="0"/>
      <w:marRight w:val="0"/>
      <w:marTop w:val="0"/>
      <w:marBottom w:val="0"/>
      <w:divBdr>
        <w:top w:val="none" w:sz="0" w:space="0" w:color="auto"/>
        <w:left w:val="none" w:sz="0" w:space="0" w:color="auto"/>
        <w:bottom w:val="none" w:sz="0" w:space="0" w:color="auto"/>
        <w:right w:val="none" w:sz="0" w:space="0" w:color="auto"/>
      </w:divBdr>
    </w:div>
    <w:div w:id="1635483198">
      <w:bodyDiv w:val="1"/>
      <w:marLeft w:val="0"/>
      <w:marRight w:val="0"/>
      <w:marTop w:val="0"/>
      <w:marBottom w:val="0"/>
      <w:divBdr>
        <w:top w:val="none" w:sz="0" w:space="0" w:color="auto"/>
        <w:left w:val="none" w:sz="0" w:space="0" w:color="auto"/>
        <w:bottom w:val="none" w:sz="0" w:space="0" w:color="auto"/>
        <w:right w:val="none" w:sz="0" w:space="0" w:color="auto"/>
      </w:divBdr>
    </w:div>
    <w:div w:id="1635911210">
      <w:bodyDiv w:val="1"/>
      <w:marLeft w:val="0"/>
      <w:marRight w:val="0"/>
      <w:marTop w:val="0"/>
      <w:marBottom w:val="0"/>
      <w:divBdr>
        <w:top w:val="none" w:sz="0" w:space="0" w:color="auto"/>
        <w:left w:val="none" w:sz="0" w:space="0" w:color="auto"/>
        <w:bottom w:val="none" w:sz="0" w:space="0" w:color="auto"/>
        <w:right w:val="none" w:sz="0" w:space="0" w:color="auto"/>
      </w:divBdr>
    </w:div>
    <w:div w:id="1637031422">
      <w:bodyDiv w:val="1"/>
      <w:marLeft w:val="0"/>
      <w:marRight w:val="0"/>
      <w:marTop w:val="0"/>
      <w:marBottom w:val="0"/>
      <w:divBdr>
        <w:top w:val="none" w:sz="0" w:space="0" w:color="auto"/>
        <w:left w:val="none" w:sz="0" w:space="0" w:color="auto"/>
        <w:bottom w:val="none" w:sz="0" w:space="0" w:color="auto"/>
        <w:right w:val="none" w:sz="0" w:space="0" w:color="auto"/>
      </w:divBdr>
    </w:div>
    <w:div w:id="1637371943">
      <w:bodyDiv w:val="1"/>
      <w:marLeft w:val="0"/>
      <w:marRight w:val="0"/>
      <w:marTop w:val="0"/>
      <w:marBottom w:val="0"/>
      <w:divBdr>
        <w:top w:val="none" w:sz="0" w:space="0" w:color="auto"/>
        <w:left w:val="none" w:sz="0" w:space="0" w:color="auto"/>
        <w:bottom w:val="none" w:sz="0" w:space="0" w:color="auto"/>
        <w:right w:val="none" w:sz="0" w:space="0" w:color="auto"/>
      </w:divBdr>
    </w:div>
    <w:div w:id="1637445728">
      <w:bodyDiv w:val="1"/>
      <w:marLeft w:val="0"/>
      <w:marRight w:val="0"/>
      <w:marTop w:val="0"/>
      <w:marBottom w:val="0"/>
      <w:divBdr>
        <w:top w:val="none" w:sz="0" w:space="0" w:color="auto"/>
        <w:left w:val="none" w:sz="0" w:space="0" w:color="auto"/>
        <w:bottom w:val="none" w:sz="0" w:space="0" w:color="auto"/>
        <w:right w:val="none" w:sz="0" w:space="0" w:color="auto"/>
      </w:divBdr>
    </w:div>
    <w:div w:id="1638028407">
      <w:bodyDiv w:val="1"/>
      <w:marLeft w:val="0"/>
      <w:marRight w:val="0"/>
      <w:marTop w:val="0"/>
      <w:marBottom w:val="0"/>
      <w:divBdr>
        <w:top w:val="none" w:sz="0" w:space="0" w:color="auto"/>
        <w:left w:val="none" w:sz="0" w:space="0" w:color="auto"/>
        <w:bottom w:val="none" w:sz="0" w:space="0" w:color="auto"/>
        <w:right w:val="none" w:sz="0" w:space="0" w:color="auto"/>
      </w:divBdr>
    </w:div>
    <w:div w:id="1638488777">
      <w:bodyDiv w:val="1"/>
      <w:marLeft w:val="0"/>
      <w:marRight w:val="0"/>
      <w:marTop w:val="0"/>
      <w:marBottom w:val="0"/>
      <w:divBdr>
        <w:top w:val="none" w:sz="0" w:space="0" w:color="auto"/>
        <w:left w:val="none" w:sz="0" w:space="0" w:color="auto"/>
        <w:bottom w:val="none" w:sz="0" w:space="0" w:color="auto"/>
        <w:right w:val="none" w:sz="0" w:space="0" w:color="auto"/>
      </w:divBdr>
    </w:div>
    <w:div w:id="1639411775">
      <w:bodyDiv w:val="1"/>
      <w:marLeft w:val="0"/>
      <w:marRight w:val="0"/>
      <w:marTop w:val="0"/>
      <w:marBottom w:val="0"/>
      <w:divBdr>
        <w:top w:val="none" w:sz="0" w:space="0" w:color="auto"/>
        <w:left w:val="none" w:sz="0" w:space="0" w:color="auto"/>
        <w:bottom w:val="none" w:sz="0" w:space="0" w:color="auto"/>
        <w:right w:val="none" w:sz="0" w:space="0" w:color="auto"/>
      </w:divBdr>
    </w:div>
    <w:div w:id="1639646887">
      <w:bodyDiv w:val="1"/>
      <w:marLeft w:val="0"/>
      <w:marRight w:val="0"/>
      <w:marTop w:val="0"/>
      <w:marBottom w:val="0"/>
      <w:divBdr>
        <w:top w:val="none" w:sz="0" w:space="0" w:color="auto"/>
        <w:left w:val="none" w:sz="0" w:space="0" w:color="auto"/>
        <w:bottom w:val="none" w:sz="0" w:space="0" w:color="auto"/>
        <w:right w:val="none" w:sz="0" w:space="0" w:color="auto"/>
      </w:divBdr>
    </w:div>
    <w:div w:id="1640332365">
      <w:bodyDiv w:val="1"/>
      <w:marLeft w:val="0"/>
      <w:marRight w:val="0"/>
      <w:marTop w:val="0"/>
      <w:marBottom w:val="0"/>
      <w:divBdr>
        <w:top w:val="none" w:sz="0" w:space="0" w:color="auto"/>
        <w:left w:val="none" w:sz="0" w:space="0" w:color="auto"/>
        <w:bottom w:val="none" w:sz="0" w:space="0" w:color="auto"/>
        <w:right w:val="none" w:sz="0" w:space="0" w:color="auto"/>
      </w:divBdr>
    </w:div>
    <w:div w:id="1640454575">
      <w:bodyDiv w:val="1"/>
      <w:marLeft w:val="0"/>
      <w:marRight w:val="0"/>
      <w:marTop w:val="0"/>
      <w:marBottom w:val="0"/>
      <w:divBdr>
        <w:top w:val="none" w:sz="0" w:space="0" w:color="auto"/>
        <w:left w:val="none" w:sz="0" w:space="0" w:color="auto"/>
        <w:bottom w:val="none" w:sz="0" w:space="0" w:color="auto"/>
        <w:right w:val="none" w:sz="0" w:space="0" w:color="auto"/>
      </w:divBdr>
    </w:div>
    <w:div w:id="1641036545">
      <w:bodyDiv w:val="1"/>
      <w:marLeft w:val="0"/>
      <w:marRight w:val="0"/>
      <w:marTop w:val="0"/>
      <w:marBottom w:val="0"/>
      <w:divBdr>
        <w:top w:val="none" w:sz="0" w:space="0" w:color="auto"/>
        <w:left w:val="none" w:sz="0" w:space="0" w:color="auto"/>
        <w:bottom w:val="none" w:sz="0" w:space="0" w:color="auto"/>
        <w:right w:val="none" w:sz="0" w:space="0" w:color="auto"/>
      </w:divBdr>
    </w:div>
    <w:div w:id="1641642722">
      <w:bodyDiv w:val="1"/>
      <w:marLeft w:val="0"/>
      <w:marRight w:val="0"/>
      <w:marTop w:val="0"/>
      <w:marBottom w:val="0"/>
      <w:divBdr>
        <w:top w:val="none" w:sz="0" w:space="0" w:color="auto"/>
        <w:left w:val="none" w:sz="0" w:space="0" w:color="auto"/>
        <w:bottom w:val="none" w:sz="0" w:space="0" w:color="auto"/>
        <w:right w:val="none" w:sz="0" w:space="0" w:color="auto"/>
      </w:divBdr>
    </w:div>
    <w:div w:id="1642077233">
      <w:bodyDiv w:val="1"/>
      <w:marLeft w:val="0"/>
      <w:marRight w:val="0"/>
      <w:marTop w:val="0"/>
      <w:marBottom w:val="0"/>
      <w:divBdr>
        <w:top w:val="none" w:sz="0" w:space="0" w:color="auto"/>
        <w:left w:val="none" w:sz="0" w:space="0" w:color="auto"/>
        <w:bottom w:val="none" w:sz="0" w:space="0" w:color="auto"/>
        <w:right w:val="none" w:sz="0" w:space="0" w:color="auto"/>
      </w:divBdr>
    </w:div>
    <w:div w:id="1643266543">
      <w:bodyDiv w:val="1"/>
      <w:marLeft w:val="0"/>
      <w:marRight w:val="0"/>
      <w:marTop w:val="0"/>
      <w:marBottom w:val="0"/>
      <w:divBdr>
        <w:top w:val="none" w:sz="0" w:space="0" w:color="auto"/>
        <w:left w:val="none" w:sz="0" w:space="0" w:color="auto"/>
        <w:bottom w:val="none" w:sz="0" w:space="0" w:color="auto"/>
        <w:right w:val="none" w:sz="0" w:space="0" w:color="auto"/>
      </w:divBdr>
    </w:div>
    <w:div w:id="1644307185">
      <w:bodyDiv w:val="1"/>
      <w:marLeft w:val="0"/>
      <w:marRight w:val="0"/>
      <w:marTop w:val="0"/>
      <w:marBottom w:val="0"/>
      <w:divBdr>
        <w:top w:val="none" w:sz="0" w:space="0" w:color="auto"/>
        <w:left w:val="none" w:sz="0" w:space="0" w:color="auto"/>
        <w:bottom w:val="none" w:sz="0" w:space="0" w:color="auto"/>
        <w:right w:val="none" w:sz="0" w:space="0" w:color="auto"/>
      </w:divBdr>
    </w:div>
    <w:div w:id="1644852810">
      <w:bodyDiv w:val="1"/>
      <w:marLeft w:val="0"/>
      <w:marRight w:val="0"/>
      <w:marTop w:val="0"/>
      <w:marBottom w:val="0"/>
      <w:divBdr>
        <w:top w:val="none" w:sz="0" w:space="0" w:color="auto"/>
        <w:left w:val="none" w:sz="0" w:space="0" w:color="auto"/>
        <w:bottom w:val="none" w:sz="0" w:space="0" w:color="auto"/>
        <w:right w:val="none" w:sz="0" w:space="0" w:color="auto"/>
      </w:divBdr>
    </w:div>
    <w:div w:id="1645238876">
      <w:bodyDiv w:val="1"/>
      <w:marLeft w:val="0"/>
      <w:marRight w:val="0"/>
      <w:marTop w:val="0"/>
      <w:marBottom w:val="0"/>
      <w:divBdr>
        <w:top w:val="none" w:sz="0" w:space="0" w:color="auto"/>
        <w:left w:val="none" w:sz="0" w:space="0" w:color="auto"/>
        <w:bottom w:val="none" w:sz="0" w:space="0" w:color="auto"/>
        <w:right w:val="none" w:sz="0" w:space="0" w:color="auto"/>
      </w:divBdr>
    </w:div>
    <w:div w:id="1645357491">
      <w:bodyDiv w:val="1"/>
      <w:marLeft w:val="0"/>
      <w:marRight w:val="0"/>
      <w:marTop w:val="0"/>
      <w:marBottom w:val="0"/>
      <w:divBdr>
        <w:top w:val="none" w:sz="0" w:space="0" w:color="auto"/>
        <w:left w:val="none" w:sz="0" w:space="0" w:color="auto"/>
        <w:bottom w:val="none" w:sz="0" w:space="0" w:color="auto"/>
        <w:right w:val="none" w:sz="0" w:space="0" w:color="auto"/>
      </w:divBdr>
    </w:div>
    <w:div w:id="1646353362">
      <w:bodyDiv w:val="1"/>
      <w:marLeft w:val="0"/>
      <w:marRight w:val="0"/>
      <w:marTop w:val="0"/>
      <w:marBottom w:val="0"/>
      <w:divBdr>
        <w:top w:val="none" w:sz="0" w:space="0" w:color="auto"/>
        <w:left w:val="none" w:sz="0" w:space="0" w:color="auto"/>
        <w:bottom w:val="none" w:sz="0" w:space="0" w:color="auto"/>
        <w:right w:val="none" w:sz="0" w:space="0" w:color="auto"/>
      </w:divBdr>
    </w:div>
    <w:div w:id="1646667084">
      <w:bodyDiv w:val="1"/>
      <w:marLeft w:val="0"/>
      <w:marRight w:val="0"/>
      <w:marTop w:val="0"/>
      <w:marBottom w:val="0"/>
      <w:divBdr>
        <w:top w:val="none" w:sz="0" w:space="0" w:color="auto"/>
        <w:left w:val="none" w:sz="0" w:space="0" w:color="auto"/>
        <w:bottom w:val="none" w:sz="0" w:space="0" w:color="auto"/>
        <w:right w:val="none" w:sz="0" w:space="0" w:color="auto"/>
      </w:divBdr>
    </w:div>
    <w:div w:id="1646743803">
      <w:bodyDiv w:val="1"/>
      <w:marLeft w:val="0"/>
      <w:marRight w:val="0"/>
      <w:marTop w:val="0"/>
      <w:marBottom w:val="0"/>
      <w:divBdr>
        <w:top w:val="none" w:sz="0" w:space="0" w:color="auto"/>
        <w:left w:val="none" w:sz="0" w:space="0" w:color="auto"/>
        <w:bottom w:val="none" w:sz="0" w:space="0" w:color="auto"/>
        <w:right w:val="none" w:sz="0" w:space="0" w:color="auto"/>
      </w:divBdr>
    </w:div>
    <w:div w:id="1646858023">
      <w:bodyDiv w:val="1"/>
      <w:marLeft w:val="0"/>
      <w:marRight w:val="0"/>
      <w:marTop w:val="0"/>
      <w:marBottom w:val="0"/>
      <w:divBdr>
        <w:top w:val="none" w:sz="0" w:space="0" w:color="auto"/>
        <w:left w:val="none" w:sz="0" w:space="0" w:color="auto"/>
        <w:bottom w:val="none" w:sz="0" w:space="0" w:color="auto"/>
        <w:right w:val="none" w:sz="0" w:space="0" w:color="auto"/>
      </w:divBdr>
    </w:div>
    <w:div w:id="1648513256">
      <w:bodyDiv w:val="1"/>
      <w:marLeft w:val="0"/>
      <w:marRight w:val="0"/>
      <w:marTop w:val="0"/>
      <w:marBottom w:val="0"/>
      <w:divBdr>
        <w:top w:val="none" w:sz="0" w:space="0" w:color="auto"/>
        <w:left w:val="none" w:sz="0" w:space="0" w:color="auto"/>
        <w:bottom w:val="none" w:sz="0" w:space="0" w:color="auto"/>
        <w:right w:val="none" w:sz="0" w:space="0" w:color="auto"/>
      </w:divBdr>
    </w:div>
    <w:div w:id="1648823444">
      <w:bodyDiv w:val="1"/>
      <w:marLeft w:val="0"/>
      <w:marRight w:val="0"/>
      <w:marTop w:val="0"/>
      <w:marBottom w:val="0"/>
      <w:divBdr>
        <w:top w:val="none" w:sz="0" w:space="0" w:color="auto"/>
        <w:left w:val="none" w:sz="0" w:space="0" w:color="auto"/>
        <w:bottom w:val="none" w:sz="0" w:space="0" w:color="auto"/>
        <w:right w:val="none" w:sz="0" w:space="0" w:color="auto"/>
      </w:divBdr>
    </w:div>
    <w:div w:id="1649743739">
      <w:bodyDiv w:val="1"/>
      <w:marLeft w:val="0"/>
      <w:marRight w:val="0"/>
      <w:marTop w:val="0"/>
      <w:marBottom w:val="0"/>
      <w:divBdr>
        <w:top w:val="none" w:sz="0" w:space="0" w:color="auto"/>
        <w:left w:val="none" w:sz="0" w:space="0" w:color="auto"/>
        <w:bottom w:val="none" w:sz="0" w:space="0" w:color="auto"/>
        <w:right w:val="none" w:sz="0" w:space="0" w:color="auto"/>
      </w:divBdr>
    </w:div>
    <w:div w:id="1650938103">
      <w:bodyDiv w:val="1"/>
      <w:marLeft w:val="0"/>
      <w:marRight w:val="0"/>
      <w:marTop w:val="0"/>
      <w:marBottom w:val="0"/>
      <w:divBdr>
        <w:top w:val="none" w:sz="0" w:space="0" w:color="auto"/>
        <w:left w:val="none" w:sz="0" w:space="0" w:color="auto"/>
        <w:bottom w:val="none" w:sz="0" w:space="0" w:color="auto"/>
        <w:right w:val="none" w:sz="0" w:space="0" w:color="auto"/>
      </w:divBdr>
    </w:div>
    <w:div w:id="1651254918">
      <w:bodyDiv w:val="1"/>
      <w:marLeft w:val="0"/>
      <w:marRight w:val="0"/>
      <w:marTop w:val="0"/>
      <w:marBottom w:val="0"/>
      <w:divBdr>
        <w:top w:val="none" w:sz="0" w:space="0" w:color="auto"/>
        <w:left w:val="none" w:sz="0" w:space="0" w:color="auto"/>
        <w:bottom w:val="none" w:sz="0" w:space="0" w:color="auto"/>
        <w:right w:val="none" w:sz="0" w:space="0" w:color="auto"/>
      </w:divBdr>
    </w:div>
    <w:div w:id="1651399768">
      <w:bodyDiv w:val="1"/>
      <w:marLeft w:val="0"/>
      <w:marRight w:val="0"/>
      <w:marTop w:val="0"/>
      <w:marBottom w:val="0"/>
      <w:divBdr>
        <w:top w:val="none" w:sz="0" w:space="0" w:color="auto"/>
        <w:left w:val="none" w:sz="0" w:space="0" w:color="auto"/>
        <w:bottom w:val="none" w:sz="0" w:space="0" w:color="auto"/>
        <w:right w:val="none" w:sz="0" w:space="0" w:color="auto"/>
      </w:divBdr>
    </w:div>
    <w:div w:id="1651443164">
      <w:bodyDiv w:val="1"/>
      <w:marLeft w:val="0"/>
      <w:marRight w:val="0"/>
      <w:marTop w:val="0"/>
      <w:marBottom w:val="0"/>
      <w:divBdr>
        <w:top w:val="none" w:sz="0" w:space="0" w:color="auto"/>
        <w:left w:val="none" w:sz="0" w:space="0" w:color="auto"/>
        <w:bottom w:val="none" w:sz="0" w:space="0" w:color="auto"/>
        <w:right w:val="none" w:sz="0" w:space="0" w:color="auto"/>
      </w:divBdr>
    </w:div>
    <w:div w:id="1651713560">
      <w:bodyDiv w:val="1"/>
      <w:marLeft w:val="0"/>
      <w:marRight w:val="0"/>
      <w:marTop w:val="0"/>
      <w:marBottom w:val="0"/>
      <w:divBdr>
        <w:top w:val="none" w:sz="0" w:space="0" w:color="auto"/>
        <w:left w:val="none" w:sz="0" w:space="0" w:color="auto"/>
        <w:bottom w:val="none" w:sz="0" w:space="0" w:color="auto"/>
        <w:right w:val="none" w:sz="0" w:space="0" w:color="auto"/>
      </w:divBdr>
    </w:div>
    <w:div w:id="1652293831">
      <w:bodyDiv w:val="1"/>
      <w:marLeft w:val="0"/>
      <w:marRight w:val="0"/>
      <w:marTop w:val="0"/>
      <w:marBottom w:val="0"/>
      <w:divBdr>
        <w:top w:val="none" w:sz="0" w:space="0" w:color="auto"/>
        <w:left w:val="none" w:sz="0" w:space="0" w:color="auto"/>
        <w:bottom w:val="none" w:sz="0" w:space="0" w:color="auto"/>
        <w:right w:val="none" w:sz="0" w:space="0" w:color="auto"/>
      </w:divBdr>
    </w:div>
    <w:div w:id="1652364234">
      <w:bodyDiv w:val="1"/>
      <w:marLeft w:val="0"/>
      <w:marRight w:val="0"/>
      <w:marTop w:val="0"/>
      <w:marBottom w:val="0"/>
      <w:divBdr>
        <w:top w:val="none" w:sz="0" w:space="0" w:color="auto"/>
        <w:left w:val="none" w:sz="0" w:space="0" w:color="auto"/>
        <w:bottom w:val="none" w:sz="0" w:space="0" w:color="auto"/>
        <w:right w:val="none" w:sz="0" w:space="0" w:color="auto"/>
      </w:divBdr>
    </w:div>
    <w:div w:id="1652522402">
      <w:bodyDiv w:val="1"/>
      <w:marLeft w:val="0"/>
      <w:marRight w:val="0"/>
      <w:marTop w:val="0"/>
      <w:marBottom w:val="0"/>
      <w:divBdr>
        <w:top w:val="none" w:sz="0" w:space="0" w:color="auto"/>
        <w:left w:val="none" w:sz="0" w:space="0" w:color="auto"/>
        <w:bottom w:val="none" w:sz="0" w:space="0" w:color="auto"/>
        <w:right w:val="none" w:sz="0" w:space="0" w:color="auto"/>
      </w:divBdr>
    </w:div>
    <w:div w:id="1652638695">
      <w:bodyDiv w:val="1"/>
      <w:marLeft w:val="0"/>
      <w:marRight w:val="0"/>
      <w:marTop w:val="0"/>
      <w:marBottom w:val="0"/>
      <w:divBdr>
        <w:top w:val="none" w:sz="0" w:space="0" w:color="auto"/>
        <w:left w:val="none" w:sz="0" w:space="0" w:color="auto"/>
        <w:bottom w:val="none" w:sz="0" w:space="0" w:color="auto"/>
        <w:right w:val="none" w:sz="0" w:space="0" w:color="auto"/>
      </w:divBdr>
    </w:div>
    <w:div w:id="1652949258">
      <w:bodyDiv w:val="1"/>
      <w:marLeft w:val="0"/>
      <w:marRight w:val="0"/>
      <w:marTop w:val="0"/>
      <w:marBottom w:val="0"/>
      <w:divBdr>
        <w:top w:val="none" w:sz="0" w:space="0" w:color="auto"/>
        <w:left w:val="none" w:sz="0" w:space="0" w:color="auto"/>
        <w:bottom w:val="none" w:sz="0" w:space="0" w:color="auto"/>
        <w:right w:val="none" w:sz="0" w:space="0" w:color="auto"/>
      </w:divBdr>
    </w:div>
    <w:div w:id="1652978115">
      <w:bodyDiv w:val="1"/>
      <w:marLeft w:val="0"/>
      <w:marRight w:val="0"/>
      <w:marTop w:val="0"/>
      <w:marBottom w:val="0"/>
      <w:divBdr>
        <w:top w:val="none" w:sz="0" w:space="0" w:color="auto"/>
        <w:left w:val="none" w:sz="0" w:space="0" w:color="auto"/>
        <w:bottom w:val="none" w:sz="0" w:space="0" w:color="auto"/>
        <w:right w:val="none" w:sz="0" w:space="0" w:color="auto"/>
      </w:divBdr>
    </w:div>
    <w:div w:id="1653607609">
      <w:bodyDiv w:val="1"/>
      <w:marLeft w:val="0"/>
      <w:marRight w:val="0"/>
      <w:marTop w:val="0"/>
      <w:marBottom w:val="0"/>
      <w:divBdr>
        <w:top w:val="none" w:sz="0" w:space="0" w:color="auto"/>
        <w:left w:val="none" w:sz="0" w:space="0" w:color="auto"/>
        <w:bottom w:val="none" w:sz="0" w:space="0" w:color="auto"/>
        <w:right w:val="none" w:sz="0" w:space="0" w:color="auto"/>
      </w:divBdr>
    </w:div>
    <w:div w:id="1654092791">
      <w:bodyDiv w:val="1"/>
      <w:marLeft w:val="0"/>
      <w:marRight w:val="0"/>
      <w:marTop w:val="0"/>
      <w:marBottom w:val="0"/>
      <w:divBdr>
        <w:top w:val="none" w:sz="0" w:space="0" w:color="auto"/>
        <w:left w:val="none" w:sz="0" w:space="0" w:color="auto"/>
        <w:bottom w:val="none" w:sz="0" w:space="0" w:color="auto"/>
        <w:right w:val="none" w:sz="0" w:space="0" w:color="auto"/>
      </w:divBdr>
    </w:div>
    <w:div w:id="1654286248">
      <w:bodyDiv w:val="1"/>
      <w:marLeft w:val="0"/>
      <w:marRight w:val="0"/>
      <w:marTop w:val="0"/>
      <w:marBottom w:val="0"/>
      <w:divBdr>
        <w:top w:val="none" w:sz="0" w:space="0" w:color="auto"/>
        <w:left w:val="none" w:sz="0" w:space="0" w:color="auto"/>
        <w:bottom w:val="none" w:sz="0" w:space="0" w:color="auto"/>
        <w:right w:val="none" w:sz="0" w:space="0" w:color="auto"/>
      </w:divBdr>
    </w:div>
    <w:div w:id="1655332233">
      <w:bodyDiv w:val="1"/>
      <w:marLeft w:val="0"/>
      <w:marRight w:val="0"/>
      <w:marTop w:val="0"/>
      <w:marBottom w:val="0"/>
      <w:divBdr>
        <w:top w:val="none" w:sz="0" w:space="0" w:color="auto"/>
        <w:left w:val="none" w:sz="0" w:space="0" w:color="auto"/>
        <w:bottom w:val="none" w:sz="0" w:space="0" w:color="auto"/>
        <w:right w:val="none" w:sz="0" w:space="0" w:color="auto"/>
      </w:divBdr>
    </w:div>
    <w:div w:id="1655983282">
      <w:bodyDiv w:val="1"/>
      <w:marLeft w:val="0"/>
      <w:marRight w:val="0"/>
      <w:marTop w:val="0"/>
      <w:marBottom w:val="0"/>
      <w:divBdr>
        <w:top w:val="none" w:sz="0" w:space="0" w:color="auto"/>
        <w:left w:val="none" w:sz="0" w:space="0" w:color="auto"/>
        <w:bottom w:val="none" w:sz="0" w:space="0" w:color="auto"/>
        <w:right w:val="none" w:sz="0" w:space="0" w:color="auto"/>
      </w:divBdr>
    </w:div>
    <w:div w:id="1655989486">
      <w:bodyDiv w:val="1"/>
      <w:marLeft w:val="0"/>
      <w:marRight w:val="0"/>
      <w:marTop w:val="0"/>
      <w:marBottom w:val="0"/>
      <w:divBdr>
        <w:top w:val="none" w:sz="0" w:space="0" w:color="auto"/>
        <w:left w:val="none" w:sz="0" w:space="0" w:color="auto"/>
        <w:bottom w:val="none" w:sz="0" w:space="0" w:color="auto"/>
        <w:right w:val="none" w:sz="0" w:space="0" w:color="auto"/>
      </w:divBdr>
    </w:div>
    <w:div w:id="1656912313">
      <w:bodyDiv w:val="1"/>
      <w:marLeft w:val="0"/>
      <w:marRight w:val="0"/>
      <w:marTop w:val="0"/>
      <w:marBottom w:val="0"/>
      <w:divBdr>
        <w:top w:val="none" w:sz="0" w:space="0" w:color="auto"/>
        <w:left w:val="none" w:sz="0" w:space="0" w:color="auto"/>
        <w:bottom w:val="none" w:sz="0" w:space="0" w:color="auto"/>
        <w:right w:val="none" w:sz="0" w:space="0" w:color="auto"/>
      </w:divBdr>
    </w:div>
    <w:div w:id="1657372493">
      <w:bodyDiv w:val="1"/>
      <w:marLeft w:val="0"/>
      <w:marRight w:val="0"/>
      <w:marTop w:val="0"/>
      <w:marBottom w:val="0"/>
      <w:divBdr>
        <w:top w:val="none" w:sz="0" w:space="0" w:color="auto"/>
        <w:left w:val="none" w:sz="0" w:space="0" w:color="auto"/>
        <w:bottom w:val="none" w:sz="0" w:space="0" w:color="auto"/>
        <w:right w:val="none" w:sz="0" w:space="0" w:color="auto"/>
      </w:divBdr>
    </w:div>
    <w:div w:id="1657880780">
      <w:bodyDiv w:val="1"/>
      <w:marLeft w:val="0"/>
      <w:marRight w:val="0"/>
      <w:marTop w:val="0"/>
      <w:marBottom w:val="0"/>
      <w:divBdr>
        <w:top w:val="none" w:sz="0" w:space="0" w:color="auto"/>
        <w:left w:val="none" w:sz="0" w:space="0" w:color="auto"/>
        <w:bottom w:val="none" w:sz="0" w:space="0" w:color="auto"/>
        <w:right w:val="none" w:sz="0" w:space="0" w:color="auto"/>
      </w:divBdr>
    </w:div>
    <w:div w:id="1658339757">
      <w:bodyDiv w:val="1"/>
      <w:marLeft w:val="0"/>
      <w:marRight w:val="0"/>
      <w:marTop w:val="0"/>
      <w:marBottom w:val="0"/>
      <w:divBdr>
        <w:top w:val="none" w:sz="0" w:space="0" w:color="auto"/>
        <w:left w:val="none" w:sz="0" w:space="0" w:color="auto"/>
        <w:bottom w:val="none" w:sz="0" w:space="0" w:color="auto"/>
        <w:right w:val="none" w:sz="0" w:space="0" w:color="auto"/>
      </w:divBdr>
    </w:div>
    <w:div w:id="1661226115">
      <w:bodyDiv w:val="1"/>
      <w:marLeft w:val="0"/>
      <w:marRight w:val="0"/>
      <w:marTop w:val="0"/>
      <w:marBottom w:val="0"/>
      <w:divBdr>
        <w:top w:val="none" w:sz="0" w:space="0" w:color="auto"/>
        <w:left w:val="none" w:sz="0" w:space="0" w:color="auto"/>
        <w:bottom w:val="none" w:sz="0" w:space="0" w:color="auto"/>
        <w:right w:val="none" w:sz="0" w:space="0" w:color="auto"/>
      </w:divBdr>
    </w:div>
    <w:div w:id="1661228670">
      <w:bodyDiv w:val="1"/>
      <w:marLeft w:val="0"/>
      <w:marRight w:val="0"/>
      <w:marTop w:val="0"/>
      <w:marBottom w:val="0"/>
      <w:divBdr>
        <w:top w:val="none" w:sz="0" w:space="0" w:color="auto"/>
        <w:left w:val="none" w:sz="0" w:space="0" w:color="auto"/>
        <w:bottom w:val="none" w:sz="0" w:space="0" w:color="auto"/>
        <w:right w:val="none" w:sz="0" w:space="0" w:color="auto"/>
      </w:divBdr>
    </w:div>
    <w:div w:id="1661887778">
      <w:bodyDiv w:val="1"/>
      <w:marLeft w:val="0"/>
      <w:marRight w:val="0"/>
      <w:marTop w:val="0"/>
      <w:marBottom w:val="0"/>
      <w:divBdr>
        <w:top w:val="none" w:sz="0" w:space="0" w:color="auto"/>
        <w:left w:val="none" w:sz="0" w:space="0" w:color="auto"/>
        <w:bottom w:val="none" w:sz="0" w:space="0" w:color="auto"/>
        <w:right w:val="none" w:sz="0" w:space="0" w:color="auto"/>
      </w:divBdr>
    </w:div>
    <w:div w:id="1662195254">
      <w:bodyDiv w:val="1"/>
      <w:marLeft w:val="0"/>
      <w:marRight w:val="0"/>
      <w:marTop w:val="0"/>
      <w:marBottom w:val="0"/>
      <w:divBdr>
        <w:top w:val="none" w:sz="0" w:space="0" w:color="auto"/>
        <w:left w:val="none" w:sz="0" w:space="0" w:color="auto"/>
        <w:bottom w:val="none" w:sz="0" w:space="0" w:color="auto"/>
        <w:right w:val="none" w:sz="0" w:space="0" w:color="auto"/>
      </w:divBdr>
    </w:div>
    <w:div w:id="1662543626">
      <w:bodyDiv w:val="1"/>
      <w:marLeft w:val="0"/>
      <w:marRight w:val="0"/>
      <w:marTop w:val="0"/>
      <w:marBottom w:val="0"/>
      <w:divBdr>
        <w:top w:val="none" w:sz="0" w:space="0" w:color="auto"/>
        <w:left w:val="none" w:sz="0" w:space="0" w:color="auto"/>
        <w:bottom w:val="none" w:sz="0" w:space="0" w:color="auto"/>
        <w:right w:val="none" w:sz="0" w:space="0" w:color="auto"/>
      </w:divBdr>
    </w:div>
    <w:div w:id="1663968328">
      <w:bodyDiv w:val="1"/>
      <w:marLeft w:val="0"/>
      <w:marRight w:val="0"/>
      <w:marTop w:val="0"/>
      <w:marBottom w:val="0"/>
      <w:divBdr>
        <w:top w:val="none" w:sz="0" w:space="0" w:color="auto"/>
        <w:left w:val="none" w:sz="0" w:space="0" w:color="auto"/>
        <w:bottom w:val="none" w:sz="0" w:space="0" w:color="auto"/>
        <w:right w:val="none" w:sz="0" w:space="0" w:color="auto"/>
      </w:divBdr>
    </w:div>
    <w:div w:id="1664166383">
      <w:bodyDiv w:val="1"/>
      <w:marLeft w:val="0"/>
      <w:marRight w:val="0"/>
      <w:marTop w:val="0"/>
      <w:marBottom w:val="0"/>
      <w:divBdr>
        <w:top w:val="none" w:sz="0" w:space="0" w:color="auto"/>
        <w:left w:val="none" w:sz="0" w:space="0" w:color="auto"/>
        <w:bottom w:val="none" w:sz="0" w:space="0" w:color="auto"/>
        <w:right w:val="none" w:sz="0" w:space="0" w:color="auto"/>
      </w:divBdr>
    </w:div>
    <w:div w:id="1666283737">
      <w:bodyDiv w:val="1"/>
      <w:marLeft w:val="0"/>
      <w:marRight w:val="0"/>
      <w:marTop w:val="0"/>
      <w:marBottom w:val="0"/>
      <w:divBdr>
        <w:top w:val="none" w:sz="0" w:space="0" w:color="auto"/>
        <w:left w:val="none" w:sz="0" w:space="0" w:color="auto"/>
        <w:bottom w:val="none" w:sz="0" w:space="0" w:color="auto"/>
        <w:right w:val="none" w:sz="0" w:space="0" w:color="auto"/>
      </w:divBdr>
    </w:div>
    <w:div w:id="1666665731">
      <w:bodyDiv w:val="1"/>
      <w:marLeft w:val="0"/>
      <w:marRight w:val="0"/>
      <w:marTop w:val="0"/>
      <w:marBottom w:val="0"/>
      <w:divBdr>
        <w:top w:val="none" w:sz="0" w:space="0" w:color="auto"/>
        <w:left w:val="none" w:sz="0" w:space="0" w:color="auto"/>
        <w:bottom w:val="none" w:sz="0" w:space="0" w:color="auto"/>
        <w:right w:val="none" w:sz="0" w:space="0" w:color="auto"/>
      </w:divBdr>
    </w:div>
    <w:div w:id="1666668807">
      <w:bodyDiv w:val="1"/>
      <w:marLeft w:val="0"/>
      <w:marRight w:val="0"/>
      <w:marTop w:val="0"/>
      <w:marBottom w:val="0"/>
      <w:divBdr>
        <w:top w:val="none" w:sz="0" w:space="0" w:color="auto"/>
        <w:left w:val="none" w:sz="0" w:space="0" w:color="auto"/>
        <w:bottom w:val="none" w:sz="0" w:space="0" w:color="auto"/>
        <w:right w:val="none" w:sz="0" w:space="0" w:color="auto"/>
      </w:divBdr>
    </w:div>
    <w:div w:id="1668288327">
      <w:bodyDiv w:val="1"/>
      <w:marLeft w:val="0"/>
      <w:marRight w:val="0"/>
      <w:marTop w:val="0"/>
      <w:marBottom w:val="0"/>
      <w:divBdr>
        <w:top w:val="none" w:sz="0" w:space="0" w:color="auto"/>
        <w:left w:val="none" w:sz="0" w:space="0" w:color="auto"/>
        <w:bottom w:val="none" w:sz="0" w:space="0" w:color="auto"/>
        <w:right w:val="none" w:sz="0" w:space="0" w:color="auto"/>
      </w:divBdr>
    </w:div>
    <w:div w:id="1668827974">
      <w:bodyDiv w:val="1"/>
      <w:marLeft w:val="0"/>
      <w:marRight w:val="0"/>
      <w:marTop w:val="0"/>
      <w:marBottom w:val="0"/>
      <w:divBdr>
        <w:top w:val="none" w:sz="0" w:space="0" w:color="auto"/>
        <w:left w:val="none" w:sz="0" w:space="0" w:color="auto"/>
        <w:bottom w:val="none" w:sz="0" w:space="0" w:color="auto"/>
        <w:right w:val="none" w:sz="0" w:space="0" w:color="auto"/>
      </w:divBdr>
    </w:div>
    <w:div w:id="1669137273">
      <w:bodyDiv w:val="1"/>
      <w:marLeft w:val="0"/>
      <w:marRight w:val="0"/>
      <w:marTop w:val="0"/>
      <w:marBottom w:val="0"/>
      <w:divBdr>
        <w:top w:val="none" w:sz="0" w:space="0" w:color="auto"/>
        <w:left w:val="none" w:sz="0" w:space="0" w:color="auto"/>
        <w:bottom w:val="none" w:sz="0" w:space="0" w:color="auto"/>
        <w:right w:val="none" w:sz="0" w:space="0" w:color="auto"/>
      </w:divBdr>
    </w:div>
    <w:div w:id="1670937392">
      <w:bodyDiv w:val="1"/>
      <w:marLeft w:val="0"/>
      <w:marRight w:val="0"/>
      <w:marTop w:val="0"/>
      <w:marBottom w:val="0"/>
      <w:divBdr>
        <w:top w:val="none" w:sz="0" w:space="0" w:color="auto"/>
        <w:left w:val="none" w:sz="0" w:space="0" w:color="auto"/>
        <w:bottom w:val="none" w:sz="0" w:space="0" w:color="auto"/>
        <w:right w:val="none" w:sz="0" w:space="0" w:color="auto"/>
      </w:divBdr>
    </w:div>
    <w:div w:id="1671130153">
      <w:bodyDiv w:val="1"/>
      <w:marLeft w:val="0"/>
      <w:marRight w:val="0"/>
      <w:marTop w:val="0"/>
      <w:marBottom w:val="0"/>
      <w:divBdr>
        <w:top w:val="none" w:sz="0" w:space="0" w:color="auto"/>
        <w:left w:val="none" w:sz="0" w:space="0" w:color="auto"/>
        <w:bottom w:val="none" w:sz="0" w:space="0" w:color="auto"/>
        <w:right w:val="none" w:sz="0" w:space="0" w:color="auto"/>
      </w:divBdr>
    </w:div>
    <w:div w:id="1671525208">
      <w:bodyDiv w:val="1"/>
      <w:marLeft w:val="0"/>
      <w:marRight w:val="0"/>
      <w:marTop w:val="0"/>
      <w:marBottom w:val="0"/>
      <w:divBdr>
        <w:top w:val="none" w:sz="0" w:space="0" w:color="auto"/>
        <w:left w:val="none" w:sz="0" w:space="0" w:color="auto"/>
        <w:bottom w:val="none" w:sz="0" w:space="0" w:color="auto"/>
        <w:right w:val="none" w:sz="0" w:space="0" w:color="auto"/>
      </w:divBdr>
    </w:div>
    <w:div w:id="1671634244">
      <w:bodyDiv w:val="1"/>
      <w:marLeft w:val="0"/>
      <w:marRight w:val="0"/>
      <w:marTop w:val="0"/>
      <w:marBottom w:val="0"/>
      <w:divBdr>
        <w:top w:val="none" w:sz="0" w:space="0" w:color="auto"/>
        <w:left w:val="none" w:sz="0" w:space="0" w:color="auto"/>
        <w:bottom w:val="none" w:sz="0" w:space="0" w:color="auto"/>
        <w:right w:val="none" w:sz="0" w:space="0" w:color="auto"/>
      </w:divBdr>
    </w:div>
    <w:div w:id="1671638910">
      <w:bodyDiv w:val="1"/>
      <w:marLeft w:val="0"/>
      <w:marRight w:val="0"/>
      <w:marTop w:val="0"/>
      <w:marBottom w:val="0"/>
      <w:divBdr>
        <w:top w:val="none" w:sz="0" w:space="0" w:color="auto"/>
        <w:left w:val="none" w:sz="0" w:space="0" w:color="auto"/>
        <w:bottom w:val="none" w:sz="0" w:space="0" w:color="auto"/>
        <w:right w:val="none" w:sz="0" w:space="0" w:color="auto"/>
      </w:divBdr>
    </w:div>
    <w:div w:id="1673290491">
      <w:bodyDiv w:val="1"/>
      <w:marLeft w:val="0"/>
      <w:marRight w:val="0"/>
      <w:marTop w:val="0"/>
      <w:marBottom w:val="0"/>
      <w:divBdr>
        <w:top w:val="none" w:sz="0" w:space="0" w:color="auto"/>
        <w:left w:val="none" w:sz="0" w:space="0" w:color="auto"/>
        <w:bottom w:val="none" w:sz="0" w:space="0" w:color="auto"/>
        <w:right w:val="none" w:sz="0" w:space="0" w:color="auto"/>
      </w:divBdr>
    </w:div>
    <w:div w:id="1675188014">
      <w:bodyDiv w:val="1"/>
      <w:marLeft w:val="0"/>
      <w:marRight w:val="0"/>
      <w:marTop w:val="0"/>
      <w:marBottom w:val="0"/>
      <w:divBdr>
        <w:top w:val="none" w:sz="0" w:space="0" w:color="auto"/>
        <w:left w:val="none" w:sz="0" w:space="0" w:color="auto"/>
        <w:bottom w:val="none" w:sz="0" w:space="0" w:color="auto"/>
        <w:right w:val="none" w:sz="0" w:space="0" w:color="auto"/>
      </w:divBdr>
    </w:div>
    <w:div w:id="1675648994">
      <w:bodyDiv w:val="1"/>
      <w:marLeft w:val="0"/>
      <w:marRight w:val="0"/>
      <w:marTop w:val="0"/>
      <w:marBottom w:val="0"/>
      <w:divBdr>
        <w:top w:val="none" w:sz="0" w:space="0" w:color="auto"/>
        <w:left w:val="none" w:sz="0" w:space="0" w:color="auto"/>
        <w:bottom w:val="none" w:sz="0" w:space="0" w:color="auto"/>
        <w:right w:val="none" w:sz="0" w:space="0" w:color="auto"/>
      </w:divBdr>
    </w:div>
    <w:div w:id="1675837557">
      <w:bodyDiv w:val="1"/>
      <w:marLeft w:val="0"/>
      <w:marRight w:val="0"/>
      <w:marTop w:val="0"/>
      <w:marBottom w:val="0"/>
      <w:divBdr>
        <w:top w:val="none" w:sz="0" w:space="0" w:color="auto"/>
        <w:left w:val="none" w:sz="0" w:space="0" w:color="auto"/>
        <w:bottom w:val="none" w:sz="0" w:space="0" w:color="auto"/>
        <w:right w:val="none" w:sz="0" w:space="0" w:color="auto"/>
      </w:divBdr>
    </w:div>
    <w:div w:id="1675914940">
      <w:bodyDiv w:val="1"/>
      <w:marLeft w:val="0"/>
      <w:marRight w:val="0"/>
      <w:marTop w:val="0"/>
      <w:marBottom w:val="0"/>
      <w:divBdr>
        <w:top w:val="none" w:sz="0" w:space="0" w:color="auto"/>
        <w:left w:val="none" w:sz="0" w:space="0" w:color="auto"/>
        <w:bottom w:val="none" w:sz="0" w:space="0" w:color="auto"/>
        <w:right w:val="none" w:sz="0" w:space="0" w:color="auto"/>
      </w:divBdr>
    </w:div>
    <w:div w:id="1676154871">
      <w:bodyDiv w:val="1"/>
      <w:marLeft w:val="0"/>
      <w:marRight w:val="0"/>
      <w:marTop w:val="0"/>
      <w:marBottom w:val="0"/>
      <w:divBdr>
        <w:top w:val="none" w:sz="0" w:space="0" w:color="auto"/>
        <w:left w:val="none" w:sz="0" w:space="0" w:color="auto"/>
        <w:bottom w:val="none" w:sz="0" w:space="0" w:color="auto"/>
        <w:right w:val="none" w:sz="0" w:space="0" w:color="auto"/>
      </w:divBdr>
    </w:div>
    <w:div w:id="1677419288">
      <w:bodyDiv w:val="1"/>
      <w:marLeft w:val="0"/>
      <w:marRight w:val="0"/>
      <w:marTop w:val="0"/>
      <w:marBottom w:val="0"/>
      <w:divBdr>
        <w:top w:val="none" w:sz="0" w:space="0" w:color="auto"/>
        <w:left w:val="none" w:sz="0" w:space="0" w:color="auto"/>
        <w:bottom w:val="none" w:sz="0" w:space="0" w:color="auto"/>
        <w:right w:val="none" w:sz="0" w:space="0" w:color="auto"/>
      </w:divBdr>
    </w:div>
    <w:div w:id="1678116944">
      <w:bodyDiv w:val="1"/>
      <w:marLeft w:val="0"/>
      <w:marRight w:val="0"/>
      <w:marTop w:val="0"/>
      <w:marBottom w:val="0"/>
      <w:divBdr>
        <w:top w:val="none" w:sz="0" w:space="0" w:color="auto"/>
        <w:left w:val="none" w:sz="0" w:space="0" w:color="auto"/>
        <w:bottom w:val="none" w:sz="0" w:space="0" w:color="auto"/>
        <w:right w:val="none" w:sz="0" w:space="0" w:color="auto"/>
      </w:divBdr>
    </w:div>
    <w:div w:id="1678459684">
      <w:bodyDiv w:val="1"/>
      <w:marLeft w:val="0"/>
      <w:marRight w:val="0"/>
      <w:marTop w:val="0"/>
      <w:marBottom w:val="0"/>
      <w:divBdr>
        <w:top w:val="none" w:sz="0" w:space="0" w:color="auto"/>
        <w:left w:val="none" w:sz="0" w:space="0" w:color="auto"/>
        <w:bottom w:val="none" w:sz="0" w:space="0" w:color="auto"/>
        <w:right w:val="none" w:sz="0" w:space="0" w:color="auto"/>
      </w:divBdr>
    </w:div>
    <w:div w:id="1679038030">
      <w:bodyDiv w:val="1"/>
      <w:marLeft w:val="0"/>
      <w:marRight w:val="0"/>
      <w:marTop w:val="0"/>
      <w:marBottom w:val="0"/>
      <w:divBdr>
        <w:top w:val="none" w:sz="0" w:space="0" w:color="auto"/>
        <w:left w:val="none" w:sz="0" w:space="0" w:color="auto"/>
        <w:bottom w:val="none" w:sz="0" w:space="0" w:color="auto"/>
        <w:right w:val="none" w:sz="0" w:space="0" w:color="auto"/>
      </w:divBdr>
    </w:div>
    <w:div w:id="1679386512">
      <w:bodyDiv w:val="1"/>
      <w:marLeft w:val="0"/>
      <w:marRight w:val="0"/>
      <w:marTop w:val="0"/>
      <w:marBottom w:val="0"/>
      <w:divBdr>
        <w:top w:val="none" w:sz="0" w:space="0" w:color="auto"/>
        <w:left w:val="none" w:sz="0" w:space="0" w:color="auto"/>
        <w:bottom w:val="none" w:sz="0" w:space="0" w:color="auto"/>
        <w:right w:val="none" w:sz="0" w:space="0" w:color="auto"/>
      </w:divBdr>
    </w:div>
    <w:div w:id="1679498217">
      <w:bodyDiv w:val="1"/>
      <w:marLeft w:val="0"/>
      <w:marRight w:val="0"/>
      <w:marTop w:val="0"/>
      <w:marBottom w:val="0"/>
      <w:divBdr>
        <w:top w:val="none" w:sz="0" w:space="0" w:color="auto"/>
        <w:left w:val="none" w:sz="0" w:space="0" w:color="auto"/>
        <w:bottom w:val="none" w:sz="0" w:space="0" w:color="auto"/>
        <w:right w:val="none" w:sz="0" w:space="0" w:color="auto"/>
      </w:divBdr>
    </w:div>
    <w:div w:id="1679499981">
      <w:bodyDiv w:val="1"/>
      <w:marLeft w:val="0"/>
      <w:marRight w:val="0"/>
      <w:marTop w:val="0"/>
      <w:marBottom w:val="0"/>
      <w:divBdr>
        <w:top w:val="none" w:sz="0" w:space="0" w:color="auto"/>
        <w:left w:val="none" w:sz="0" w:space="0" w:color="auto"/>
        <w:bottom w:val="none" w:sz="0" w:space="0" w:color="auto"/>
        <w:right w:val="none" w:sz="0" w:space="0" w:color="auto"/>
      </w:divBdr>
    </w:div>
    <w:div w:id="1680695950">
      <w:bodyDiv w:val="1"/>
      <w:marLeft w:val="0"/>
      <w:marRight w:val="0"/>
      <w:marTop w:val="0"/>
      <w:marBottom w:val="0"/>
      <w:divBdr>
        <w:top w:val="none" w:sz="0" w:space="0" w:color="auto"/>
        <w:left w:val="none" w:sz="0" w:space="0" w:color="auto"/>
        <w:bottom w:val="none" w:sz="0" w:space="0" w:color="auto"/>
        <w:right w:val="none" w:sz="0" w:space="0" w:color="auto"/>
      </w:divBdr>
    </w:div>
    <w:div w:id="1680933034">
      <w:bodyDiv w:val="1"/>
      <w:marLeft w:val="0"/>
      <w:marRight w:val="0"/>
      <w:marTop w:val="0"/>
      <w:marBottom w:val="0"/>
      <w:divBdr>
        <w:top w:val="none" w:sz="0" w:space="0" w:color="auto"/>
        <w:left w:val="none" w:sz="0" w:space="0" w:color="auto"/>
        <w:bottom w:val="none" w:sz="0" w:space="0" w:color="auto"/>
        <w:right w:val="none" w:sz="0" w:space="0" w:color="auto"/>
      </w:divBdr>
    </w:div>
    <w:div w:id="1681197671">
      <w:bodyDiv w:val="1"/>
      <w:marLeft w:val="0"/>
      <w:marRight w:val="0"/>
      <w:marTop w:val="0"/>
      <w:marBottom w:val="0"/>
      <w:divBdr>
        <w:top w:val="none" w:sz="0" w:space="0" w:color="auto"/>
        <w:left w:val="none" w:sz="0" w:space="0" w:color="auto"/>
        <w:bottom w:val="none" w:sz="0" w:space="0" w:color="auto"/>
        <w:right w:val="none" w:sz="0" w:space="0" w:color="auto"/>
      </w:divBdr>
    </w:div>
    <w:div w:id="1682077619">
      <w:bodyDiv w:val="1"/>
      <w:marLeft w:val="0"/>
      <w:marRight w:val="0"/>
      <w:marTop w:val="0"/>
      <w:marBottom w:val="0"/>
      <w:divBdr>
        <w:top w:val="none" w:sz="0" w:space="0" w:color="auto"/>
        <w:left w:val="none" w:sz="0" w:space="0" w:color="auto"/>
        <w:bottom w:val="none" w:sz="0" w:space="0" w:color="auto"/>
        <w:right w:val="none" w:sz="0" w:space="0" w:color="auto"/>
      </w:divBdr>
    </w:div>
    <w:div w:id="1682707740">
      <w:bodyDiv w:val="1"/>
      <w:marLeft w:val="0"/>
      <w:marRight w:val="0"/>
      <w:marTop w:val="0"/>
      <w:marBottom w:val="0"/>
      <w:divBdr>
        <w:top w:val="none" w:sz="0" w:space="0" w:color="auto"/>
        <w:left w:val="none" w:sz="0" w:space="0" w:color="auto"/>
        <w:bottom w:val="none" w:sz="0" w:space="0" w:color="auto"/>
        <w:right w:val="none" w:sz="0" w:space="0" w:color="auto"/>
      </w:divBdr>
    </w:div>
    <w:div w:id="1682732710">
      <w:bodyDiv w:val="1"/>
      <w:marLeft w:val="0"/>
      <w:marRight w:val="0"/>
      <w:marTop w:val="0"/>
      <w:marBottom w:val="0"/>
      <w:divBdr>
        <w:top w:val="none" w:sz="0" w:space="0" w:color="auto"/>
        <w:left w:val="none" w:sz="0" w:space="0" w:color="auto"/>
        <w:bottom w:val="none" w:sz="0" w:space="0" w:color="auto"/>
        <w:right w:val="none" w:sz="0" w:space="0" w:color="auto"/>
      </w:divBdr>
    </w:div>
    <w:div w:id="1683313999">
      <w:bodyDiv w:val="1"/>
      <w:marLeft w:val="0"/>
      <w:marRight w:val="0"/>
      <w:marTop w:val="0"/>
      <w:marBottom w:val="0"/>
      <w:divBdr>
        <w:top w:val="none" w:sz="0" w:space="0" w:color="auto"/>
        <w:left w:val="none" w:sz="0" w:space="0" w:color="auto"/>
        <w:bottom w:val="none" w:sz="0" w:space="0" w:color="auto"/>
        <w:right w:val="none" w:sz="0" w:space="0" w:color="auto"/>
      </w:divBdr>
    </w:div>
    <w:div w:id="1685132363">
      <w:bodyDiv w:val="1"/>
      <w:marLeft w:val="0"/>
      <w:marRight w:val="0"/>
      <w:marTop w:val="0"/>
      <w:marBottom w:val="0"/>
      <w:divBdr>
        <w:top w:val="none" w:sz="0" w:space="0" w:color="auto"/>
        <w:left w:val="none" w:sz="0" w:space="0" w:color="auto"/>
        <w:bottom w:val="none" w:sz="0" w:space="0" w:color="auto"/>
        <w:right w:val="none" w:sz="0" w:space="0" w:color="auto"/>
      </w:divBdr>
    </w:div>
    <w:div w:id="1685789116">
      <w:bodyDiv w:val="1"/>
      <w:marLeft w:val="0"/>
      <w:marRight w:val="0"/>
      <w:marTop w:val="0"/>
      <w:marBottom w:val="0"/>
      <w:divBdr>
        <w:top w:val="none" w:sz="0" w:space="0" w:color="auto"/>
        <w:left w:val="none" w:sz="0" w:space="0" w:color="auto"/>
        <w:bottom w:val="none" w:sz="0" w:space="0" w:color="auto"/>
        <w:right w:val="none" w:sz="0" w:space="0" w:color="auto"/>
      </w:divBdr>
    </w:div>
    <w:div w:id="1688484741">
      <w:bodyDiv w:val="1"/>
      <w:marLeft w:val="0"/>
      <w:marRight w:val="0"/>
      <w:marTop w:val="0"/>
      <w:marBottom w:val="0"/>
      <w:divBdr>
        <w:top w:val="none" w:sz="0" w:space="0" w:color="auto"/>
        <w:left w:val="none" w:sz="0" w:space="0" w:color="auto"/>
        <w:bottom w:val="none" w:sz="0" w:space="0" w:color="auto"/>
        <w:right w:val="none" w:sz="0" w:space="0" w:color="auto"/>
      </w:divBdr>
    </w:div>
    <w:div w:id="1688602971">
      <w:bodyDiv w:val="1"/>
      <w:marLeft w:val="0"/>
      <w:marRight w:val="0"/>
      <w:marTop w:val="0"/>
      <w:marBottom w:val="0"/>
      <w:divBdr>
        <w:top w:val="none" w:sz="0" w:space="0" w:color="auto"/>
        <w:left w:val="none" w:sz="0" w:space="0" w:color="auto"/>
        <w:bottom w:val="none" w:sz="0" w:space="0" w:color="auto"/>
        <w:right w:val="none" w:sz="0" w:space="0" w:color="auto"/>
      </w:divBdr>
    </w:div>
    <w:div w:id="1688824650">
      <w:bodyDiv w:val="1"/>
      <w:marLeft w:val="0"/>
      <w:marRight w:val="0"/>
      <w:marTop w:val="0"/>
      <w:marBottom w:val="0"/>
      <w:divBdr>
        <w:top w:val="none" w:sz="0" w:space="0" w:color="auto"/>
        <w:left w:val="none" w:sz="0" w:space="0" w:color="auto"/>
        <w:bottom w:val="none" w:sz="0" w:space="0" w:color="auto"/>
        <w:right w:val="none" w:sz="0" w:space="0" w:color="auto"/>
      </w:divBdr>
    </w:div>
    <w:div w:id="1689403861">
      <w:bodyDiv w:val="1"/>
      <w:marLeft w:val="0"/>
      <w:marRight w:val="0"/>
      <w:marTop w:val="0"/>
      <w:marBottom w:val="0"/>
      <w:divBdr>
        <w:top w:val="none" w:sz="0" w:space="0" w:color="auto"/>
        <w:left w:val="none" w:sz="0" w:space="0" w:color="auto"/>
        <w:bottom w:val="none" w:sz="0" w:space="0" w:color="auto"/>
        <w:right w:val="none" w:sz="0" w:space="0" w:color="auto"/>
      </w:divBdr>
    </w:div>
    <w:div w:id="1690645847">
      <w:bodyDiv w:val="1"/>
      <w:marLeft w:val="0"/>
      <w:marRight w:val="0"/>
      <w:marTop w:val="0"/>
      <w:marBottom w:val="0"/>
      <w:divBdr>
        <w:top w:val="none" w:sz="0" w:space="0" w:color="auto"/>
        <w:left w:val="none" w:sz="0" w:space="0" w:color="auto"/>
        <w:bottom w:val="none" w:sz="0" w:space="0" w:color="auto"/>
        <w:right w:val="none" w:sz="0" w:space="0" w:color="auto"/>
      </w:divBdr>
    </w:div>
    <w:div w:id="1691760945">
      <w:bodyDiv w:val="1"/>
      <w:marLeft w:val="0"/>
      <w:marRight w:val="0"/>
      <w:marTop w:val="0"/>
      <w:marBottom w:val="0"/>
      <w:divBdr>
        <w:top w:val="none" w:sz="0" w:space="0" w:color="auto"/>
        <w:left w:val="none" w:sz="0" w:space="0" w:color="auto"/>
        <w:bottom w:val="none" w:sz="0" w:space="0" w:color="auto"/>
        <w:right w:val="none" w:sz="0" w:space="0" w:color="auto"/>
      </w:divBdr>
    </w:div>
    <w:div w:id="1692141083">
      <w:bodyDiv w:val="1"/>
      <w:marLeft w:val="0"/>
      <w:marRight w:val="0"/>
      <w:marTop w:val="0"/>
      <w:marBottom w:val="0"/>
      <w:divBdr>
        <w:top w:val="none" w:sz="0" w:space="0" w:color="auto"/>
        <w:left w:val="none" w:sz="0" w:space="0" w:color="auto"/>
        <w:bottom w:val="none" w:sz="0" w:space="0" w:color="auto"/>
        <w:right w:val="none" w:sz="0" w:space="0" w:color="auto"/>
      </w:divBdr>
    </w:div>
    <w:div w:id="1692417953">
      <w:bodyDiv w:val="1"/>
      <w:marLeft w:val="0"/>
      <w:marRight w:val="0"/>
      <w:marTop w:val="0"/>
      <w:marBottom w:val="0"/>
      <w:divBdr>
        <w:top w:val="none" w:sz="0" w:space="0" w:color="auto"/>
        <w:left w:val="none" w:sz="0" w:space="0" w:color="auto"/>
        <w:bottom w:val="none" w:sz="0" w:space="0" w:color="auto"/>
        <w:right w:val="none" w:sz="0" w:space="0" w:color="auto"/>
      </w:divBdr>
    </w:div>
    <w:div w:id="1692754815">
      <w:bodyDiv w:val="1"/>
      <w:marLeft w:val="0"/>
      <w:marRight w:val="0"/>
      <w:marTop w:val="0"/>
      <w:marBottom w:val="0"/>
      <w:divBdr>
        <w:top w:val="none" w:sz="0" w:space="0" w:color="auto"/>
        <w:left w:val="none" w:sz="0" w:space="0" w:color="auto"/>
        <w:bottom w:val="none" w:sz="0" w:space="0" w:color="auto"/>
        <w:right w:val="none" w:sz="0" w:space="0" w:color="auto"/>
      </w:divBdr>
    </w:div>
    <w:div w:id="1693023028">
      <w:bodyDiv w:val="1"/>
      <w:marLeft w:val="0"/>
      <w:marRight w:val="0"/>
      <w:marTop w:val="0"/>
      <w:marBottom w:val="0"/>
      <w:divBdr>
        <w:top w:val="none" w:sz="0" w:space="0" w:color="auto"/>
        <w:left w:val="none" w:sz="0" w:space="0" w:color="auto"/>
        <w:bottom w:val="none" w:sz="0" w:space="0" w:color="auto"/>
        <w:right w:val="none" w:sz="0" w:space="0" w:color="auto"/>
      </w:divBdr>
    </w:div>
    <w:div w:id="1693259991">
      <w:bodyDiv w:val="1"/>
      <w:marLeft w:val="0"/>
      <w:marRight w:val="0"/>
      <w:marTop w:val="0"/>
      <w:marBottom w:val="0"/>
      <w:divBdr>
        <w:top w:val="none" w:sz="0" w:space="0" w:color="auto"/>
        <w:left w:val="none" w:sz="0" w:space="0" w:color="auto"/>
        <w:bottom w:val="none" w:sz="0" w:space="0" w:color="auto"/>
        <w:right w:val="none" w:sz="0" w:space="0" w:color="auto"/>
      </w:divBdr>
    </w:div>
    <w:div w:id="1694187986">
      <w:bodyDiv w:val="1"/>
      <w:marLeft w:val="0"/>
      <w:marRight w:val="0"/>
      <w:marTop w:val="0"/>
      <w:marBottom w:val="0"/>
      <w:divBdr>
        <w:top w:val="none" w:sz="0" w:space="0" w:color="auto"/>
        <w:left w:val="none" w:sz="0" w:space="0" w:color="auto"/>
        <w:bottom w:val="none" w:sz="0" w:space="0" w:color="auto"/>
        <w:right w:val="none" w:sz="0" w:space="0" w:color="auto"/>
      </w:divBdr>
    </w:div>
    <w:div w:id="1694264889">
      <w:bodyDiv w:val="1"/>
      <w:marLeft w:val="0"/>
      <w:marRight w:val="0"/>
      <w:marTop w:val="0"/>
      <w:marBottom w:val="0"/>
      <w:divBdr>
        <w:top w:val="none" w:sz="0" w:space="0" w:color="auto"/>
        <w:left w:val="none" w:sz="0" w:space="0" w:color="auto"/>
        <w:bottom w:val="none" w:sz="0" w:space="0" w:color="auto"/>
        <w:right w:val="none" w:sz="0" w:space="0" w:color="auto"/>
      </w:divBdr>
    </w:div>
    <w:div w:id="1694728026">
      <w:bodyDiv w:val="1"/>
      <w:marLeft w:val="0"/>
      <w:marRight w:val="0"/>
      <w:marTop w:val="0"/>
      <w:marBottom w:val="0"/>
      <w:divBdr>
        <w:top w:val="none" w:sz="0" w:space="0" w:color="auto"/>
        <w:left w:val="none" w:sz="0" w:space="0" w:color="auto"/>
        <w:bottom w:val="none" w:sz="0" w:space="0" w:color="auto"/>
        <w:right w:val="none" w:sz="0" w:space="0" w:color="auto"/>
      </w:divBdr>
    </w:div>
    <w:div w:id="1695425503">
      <w:bodyDiv w:val="1"/>
      <w:marLeft w:val="0"/>
      <w:marRight w:val="0"/>
      <w:marTop w:val="0"/>
      <w:marBottom w:val="0"/>
      <w:divBdr>
        <w:top w:val="none" w:sz="0" w:space="0" w:color="auto"/>
        <w:left w:val="none" w:sz="0" w:space="0" w:color="auto"/>
        <w:bottom w:val="none" w:sz="0" w:space="0" w:color="auto"/>
        <w:right w:val="none" w:sz="0" w:space="0" w:color="auto"/>
      </w:divBdr>
    </w:div>
    <w:div w:id="1695618534">
      <w:bodyDiv w:val="1"/>
      <w:marLeft w:val="0"/>
      <w:marRight w:val="0"/>
      <w:marTop w:val="0"/>
      <w:marBottom w:val="0"/>
      <w:divBdr>
        <w:top w:val="none" w:sz="0" w:space="0" w:color="auto"/>
        <w:left w:val="none" w:sz="0" w:space="0" w:color="auto"/>
        <w:bottom w:val="none" w:sz="0" w:space="0" w:color="auto"/>
        <w:right w:val="none" w:sz="0" w:space="0" w:color="auto"/>
      </w:divBdr>
    </w:div>
    <w:div w:id="1696148996">
      <w:bodyDiv w:val="1"/>
      <w:marLeft w:val="0"/>
      <w:marRight w:val="0"/>
      <w:marTop w:val="0"/>
      <w:marBottom w:val="0"/>
      <w:divBdr>
        <w:top w:val="none" w:sz="0" w:space="0" w:color="auto"/>
        <w:left w:val="none" w:sz="0" w:space="0" w:color="auto"/>
        <w:bottom w:val="none" w:sz="0" w:space="0" w:color="auto"/>
        <w:right w:val="none" w:sz="0" w:space="0" w:color="auto"/>
      </w:divBdr>
    </w:div>
    <w:div w:id="1696151214">
      <w:bodyDiv w:val="1"/>
      <w:marLeft w:val="0"/>
      <w:marRight w:val="0"/>
      <w:marTop w:val="0"/>
      <w:marBottom w:val="0"/>
      <w:divBdr>
        <w:top w:val="none" w:sz="0" w:space="0" w:color="auto"/>
        <w:left w:val="none" w:sz="0" w:space="0" w:color="auto"/>
        <w:bottom w:val="none" w:sz="0" w:space="0" w:color="auto"/>
        <w:right w:val="none" w:sz="0" w:space="0" w:color="auto"/>
      </w:divBdr>
    </w:div>
    <w:div w:id="1697384596">
      <w:bodyDiv w:val="1"/>
      <w:marLeft w:val="0"/>
      <w:marRight w:val="0"/>
      <w:marTop w:val="0"/>
      <w:marBottom w:val="0"/>
      <w:divBdr>
        <w:top w:val="none" w:sz="0" w:space="0" w:color="auto"/>
        <w:left w:val="none" w:sz="0" w:space="0" w:color="auto"/>
        <w:bottom w:val="none" w:sz="0" w:space="0" w:color="auto"/>
        <w:right w:val="none" w:sz="0" w:space="0" w:color="auto"/>
      </w:divBdr>
    </w:div>
    <w:div w:id="1698774001">
      <w:bodyDiv w:val="1"/>
      <w:marLeft w:val="0"/>
      <w:marRight w:val="0"/>
      <w:marTop w:val="0"/>
      <w:marBottom w:val="0"/>
      <w:divBdr>
        <w:top w:val="none" w:sz="0" w:space="0" w:color="auto"/>
        <w:left w:val="none" w:sz="0" w:space="0" w:color="auto"/>
        <w:bottom w:val="none" w:sz="0" w:space="0" w:color="auto"/>
        <w:right w:val="none" w:sz="0" w:space="0" w:color="auto"/>
      </w:divBdr>
    </w:div>
    <w:div w:id="1699089559">
      <w:bodyDiv w:val="1"/>
      <w:marLeft w:val="0"/>
      <w:marRight w:val="0"/>
      <w:marTop w:val="0"/>
      <w:marBottom w:val="0"/>
      <w:divBdr>
        <w:top w:val="none" w:sz="0" w:space="0" w:color="auto"/>
        <w:left w:val="none" w:sz="0" w:space="0" w:color="auto"/>
        <w:bottom w:val="none" w:sz="0" w:space="0" w:color="auto"/>
        <w:right w:val="none" w:sz="0" w:space="0" w:color="auto"/>
      </w:divBdr>
    </w:div>
    <w:div w:id="1699164394">
      <w:bodyDiv w:val="1"/>
      <w:marLeft w:val="0"/>
      <w:marRight w:val="0"/>
      <w:marTop w:val="0"/>
      <w:marBottom w:val="0"/>
      <w:divBdr>
        <w:top w:val="none" w:sz="0" w:space="0" w:color="auto"/>
        <w:left w:val="none" w:sz="0" w:space="0" w:color="auto"/>
        <w:bottom w:val="none" w:sz="0" w:space="0" w:color="auto"/>
        <w:right w:val="none" w:sz="0" w:space="0" w:color="auto"/>
      </w:divBdr>
    </w:div>
    <w:div w:id="1699315609">
      <w:bodyDiv w:val="1"/>
      <w:marLeft w:val="0"/>
      <w:marRight w:val="0"/>
      <w:marTop w:val="0"/>
      <w:marBottom w:val="0"/>
      <w:divBdr>
        <w:top w:val="none" w:sz="0" w:space="0" w:color="auto"/>
        <w:left w:val="none" w:sz="0" w:space="0" w:color="auto"/>
        <w:bottom w:val="none" w:sz="0" w:space="0" w:color="auto"/>
        <w:right w:val="none" w:sz="0" w:space="0" w:color="auto"/>
      </w:divBdr>
    </w:div>
    <w:div w:id="1701324417">
      <w:bodyDiv w:val="1"/>
      <w:marLeft w:val="0"/>
      <w:marRight w:val="0"/>
      <w:marTop w:val="0"/>
      <w:marBottom w:val="0"/>
      <w:divBdr>
        <w:top w:val="none" w:sz="0" w:space="0" w:color="auto"/>
        <w:left w:val="none" w:sz="0" w:space="0" w:color="auto"/>
        <w:bottom w:val="none" w:sz="0" w:space="0" w:color="auto"/>
        <w:right w:val="none" w:sz="0" w:space="0" w:color="auto"/>
      </w:divBdr>
    </w:div>
    <w:div w:id="1701975267">
      <w:bodyDiv w:val="1"/>
      <w:marLeft w:val="0"/>
      <w:marRight w:val="0"/>
      <w:marTop w:val="0"/>
      <w:marBottom w:val="0"/>
      <w:divBdr>
        <w:top w:val="none" w:sz="0" w:space="0" w:color="auto"/>
        <w:left w:val="none" w:sz="0" w:space="0" w:color="auto"/>
        <w:bottom w:val="none" w:sz="0" w:space="0" w:color="auto"/>
        <w:right w:val="none" w:sz="0" w:space="0" w:color="auto"/>
      </w:divBdr>
    </w:div>
    <w:div w:id="1702050505">
      <w:bodyDiv w:val="1"/>
      <w:marLeft w:val="0"/>
      <w:marRight w:val="0"/>
      <w:marTop w:val="0"/>
      <w:marBottom w:val="0"/>
      <w:divBdr>
        <w:top w:val="none" w:sz="0" w:space="0" w:color="auto"/>
        <w:left w:val="none" w:sz="0" w:space="0" w:color="auto"/>
        <w:bottom w:val="none" w:sz="0" w:space="0" w:color="auto"/>
        <w:right w:val="none" w:sz="0" w:space="0" w:color="auto"/>
      </w:divBdr>
    </w:div>
    <w:div w:id="1703706522">
      <w:bodyDiv w:val="1"/>
      <w:marLeft w:val="0"/>
      <w:marRight w:val="0"/>
      <w:marTop w:val="0"/>
      <w:marBottom w:val="0"/>
      <w:divBdr>
        <w:top w:val="none" w:sz="0" w:space="0" w:color="auto"/>
        <w:left w:val="none" w:sz="0" w:space="0" w:color="auto"/>
        <w:bottom w:val="none" w:sz="0" w:space="0" w:color="auto"/>
        <w:right w:val="none" w:sz="0" w:space="0" w:color="auto"/>
      </w:divBdr>
    </w:div>
    <w:div w:id="1704750428">
      <w:bodyDiv w:val="1"/>
      <w:marLeft w:val="0"/>
      <w:marRight w:val="0"/>
      <w:marTop w:val="0"/>
      <w:marBottom w:val="0"/>
      <w:divBdr>
        <w:top w:val="none" w:sz="0" w:space="0" w:color="auto"/>
        <w:left w:val="none" w:sz="0" w:space="0" w:color="auto"/>
        <w:bottom w:val="none" w:sz="0" w:space="0" w:color="auto"/>
        <w:right w:val="none" w:sz="0" w:space="0" w:color="auto"/>
      </w:divBdr>
    </w:div>
    <w:div w:id="1705517828">
      <w:bodyDiv w:val="1"/>
      <w:marLeft w:val="0"/>
      <w:marRight w:val="0"/>
      <w:marTop w:val="0"/>
      <w:marBottom w:val="0"/>
      <w:divBdr>
        <w:top w:val="none" w:sz="0" w:space="0" w:color="auto"/>
        <w:left w:val="none" w:sz="0" w:space="0" w:color="auto"/>
        <w:bottom w:val="none" w:sz="0" w:space="0" w:color="auto"/>
        <w:right w:val="none" w:sz="0" w:space="0" w:color="auto"/>
      </w:divBdr>
    </w:div>
    <w:div w:id="1705908639">
      <w:bodyDiv w:val="1"/>
      <w:marLeft w:val="0"/>
      <w:marRight w:val="0"/>
      <w:marTop w:val="0"/>
      <w:marBottom w:val="0"/>
      <w:divBdr>
        <w:top w:val="none" w:sz="0" w:space="0" w:color="auto"/>
        <w:left w:val="none" w:sz="0" w:space="0" w:color="auto"/>
        <w:bottom w:val="none" w:sz="0" w:space="0" w:color="auto"/>
        <w:right w:val="none" w:sz="0" w:space="0" w:color="auto"/>
      </w:divBdr>
    </w:div>
    <w:div w:id="1707482737">
      <w:bodyDiv w:val="1"/>
      <w:marLeft w:val="0"/>
      <w:marRight w:val="0"/>
      <w:marTop w:val="0"/>
      <w:marBottom w:val="0"/>
      <w:divBdr>
        <w:top w:val="none" w:sz="0" w:space="0" w:color="auto"/>
        <w:left w:val="none" w:sz="0" w:space="0" w:color="auto"/>
        <w:bottom w:val="none" w:sz="0" w:space="0" w:color="auto"/>
        <w:right w:val="none" w:sz="0" w:space="0" w:color="auto"/>
      </w:divBdr>
    </w:div>
    <w:div w:id="1707758841">
      <w:bodyDiv w:val="1"/>
      <w:marLeft w:val="0"/>
      <w:marRight w:val="0"/>
      <w:marTop w:val="0"/>
      <w:marBottom w:val="0"/>
      <w:divBdr>
        <w:top w:val="none" w:sz="0" w:space="0" w:color="auto"/>
        <w:left w:val="none" w:sz="0" w:space="0" w:color="auto"/>
        <w:bottom w:val="none" w:sz="0" w:space="0" w:color="auto"/>
        <w:right w:val="none" w:sz="0" w:space="0" w:color="auto"/>
      </w:divBdr>
    </w:div>
    <w:div w:id="1708986210">
      <w:bodyDiv w:val="1"/>
      <w:marLeft w:val="0"/>
      <w:marRight w:val="0"/>
      <w:marTop w:val="0"/>
      <w:marBottom w:val="0"/>
      <w:divBdr>
        <w:top w:val="none" w:sz="0" w:space="0" w:color="auto"/>
        <w:left w:val="none" w:sz="0" w:space="0" w:color="auto"/>
        <w:bottom w:val="none" w:sz="0" w:space="0" w:color="auto"/>
        <w:right w:val="none" w:sz="0" w:space="0" w:color="auto"/>
      </w:divBdr>
    </w:div>
    <w:div w:id="1709603219">
      <w:bodyDiv w:val="1"/>
      <w:marLeft w:val="0"/>
      <w:marRight w:val="0"/>
      <w:marTop w:val="0"/>
      <w:marBottom w:val="0"/>
      <w:divBdr>
        <w:top w:val="none" w:sz="0" w:space="0" w:color="auto"/>
        <w:left w:val="none" w:sz="0" w:space="0" w:color="auto"/>
        <w:bottom w:val="none" w:sz="0" w:space="0" w:color="auto"/>
        <w:right w:val="none" w:sz="0" w:space="0" w:color="auto"/>
      </w:divBdr>
    </w:div>
    <w:div w:id="1710033809">
      <w:bodyDiv w:val="1"/>
      <w:marLeft w:val="0"/>
      <w:marRight w:val="0"/>
      <w:marTop w:val="0"/>
      <w:marBottom w:val="0"/>
      <w:divBdr>
        <w:top w:val="none" w:sz="0" w:space="0" w:color="auto"/>
        <w:left w:val="none" w:sz="0" w:space="0" w:color="auto"/>
        <w:bottom w:val="none" w:sz="0" w:space="0" w:color="auto"/>
        <w:right w:val="none" w:sz="0" w:space="0" w:color="auto"/>
      </w:divBdr>
    </w:div>
    <w:div w:id="1711033803">
      <w:bodyDiv w:val="1"/>
      <w:marLeft w:val="0"/>
      <w:marRight w:val="0"/>
      <w:marTop w:val="0"/>
      <w:marBottom w:val="0"/>
      <w:divBdr>
        <w:top w:val="none" w:sz="0" w:space="0" w:color="auto"/>
        <w:left w:val="none" w:sz="0" w:space="0" w:color="auto"/>
        <w:bottom w:val="none" w:sz="0" w:space="0" w:color="auto"/>
        <w:right w:val="none" w:sz="0" w:space="0" w:color="auto"/>
      </w:divBdr>
    </w:div>
    <w:div w:id="1711219689">
      <w:bodyDiv w:val="1"/>
      <w:marLeft w:val="0"/>
      <w:marRight w:val="0"/>
      <w:marTop w:val="0"/>
      <w:marBottom w:val="0"/>
      <w:divBdr>
        <w:top w:val="none" w:sz="0" w:space="0" w:color="auto"/>
        <w:left w:val="none" w:sz="0" w:space="0" w:color="auto"/>
        <w:bottom w:val="none" w:sz="0" w:space="0" w:color="auto"/>
        <w:right w:val="none" w:sz="0" w:space="0" w:color="auto"/>
      </w:divBdr>
    </w:div>
    <w:div w:id="1713115668">
      <w:bodyDiv w:val="1"/>
      <w:marLeft w:val="0"/>
      <w:marRight w:val="0"/>
      <w:marTop w:val="0"/>
      <w:marBottom w:val="0"/>
      <w:divBdr>
        <w:top w:val="none" w:sz="0" w:space="0" w:color="auto"/>
        <w:left w:val="none" w:sz="0" w:space="0" w:color="auto"/>
        <w:bottom w:val="none" w:sz="0" w:space="0" w:color="auto"/>
        <w:right w:val="none" w:sz="0" w:space="0" w:color="auto"/>
      </w:divBdr>
    </w:div>
    <w:div w:id="1714425639">
      <w:bodyDiv w:val="1"/>
      <w:marLeft w:val="0"/>
      <w:marRight w:val="0"/>
      <w:marTop w:val="0"/>
      <w:marBottom w:val="0"/>
      <w:divBdr>
        <w:top w:val="none" w:sz="0" w:space="0" w:color="auto"/>
        <w:left w:val="none" w:sz="0" w:space="0" w:color="auto"/>
        <w:bottom w:val="none" w:sz="0" w:space="0" w:color="auto"/>
        <w:right w:val="none" w:sz="0" w:space="0" w:color="auto"/>
      </w:divBdr>
    </w:div>
    <w:div w:id="1714499950">
      <w:bodyDiv w:val="1"/>
      <w:marLeft w:val="0"/>
      <w:marRight w:val="0"/>
      <w:marTop w:val="0"/>
      <w:marBottom w:val="0"/>
      <w:divBdr>
        <w:top w:val="none" w:sz="0" w:space="0" w:color="auto"/>
        <w:left w:val="none" w:sz="0" w:space="0" w:color="auto"/>
        <w:bottom w:val="none" w:sz="0" w:space="0" w:color="auto"/>
        <w:right w:val="none" w:sz="0" w:space="0" w:color="auto"/>
      </w:divBdr>
    </w:div>
    <w:div w:id="1715033488">
      <w:bodyDiv w:val="1"/>
      <w:marLeft w:val="0"/>
      <w:marRight w:val="0"/>
      <w:marTop w:val="0"/>
      <w:marBottom w:val="0"/>
      <w:divBdr>
        <w:top w:val="none" w:sz="0" w:space="0" w:color="auto"/>
        <w:left w:val="none" w:sz="0" w:space="0" w:color="auto"/>
        <w:bottom w:val="none" w:sz="0" w:space="0" w:color="auto"/>
        <w:right w:val="none" w:sz="0" w:space="0" w:color="auto"/>
      </w:divBdr>
    </w:div>
    <w:div w:id="1715151144">
      <w:bodyDiv w:val="1"/>
      <w:marLeft w:val="0"/>
      <w:marRight w:val="0"/>
      <w:marTop w:val="0"/>
      <w:marBottom w:val="0"/>
      <w:divBdr>
        <w:top w:val="none" w:sz="0" w:space="0" w:color="auto"/>
        <w:left w:val="none" w:sz="0" w:space="0" w:color="auto"/>
        <w:bottom w:val="none" w:sz="0" w:space="0" w:color="auto"/>
        <w:right w:val="none" w:sz="0" w:space="0" w:color="auto"/>
      </w:divBdr>
    </w:div>
    <w:div w:id="1715277205">
      <w:bodyDiv w:val="1"/>
      <w:marLeft w:val="0"/>
      <w:marRight w:val="0"/>
      <w:marTop w:val="0"/>
      <w:marBottom w:val="0"/>
      <w:divBdr>
        <w:top w:val="none" w:sz="0" w:space="0" w:color="auto"/>
        <w:left w:val="none" w:sz="0" w:space="0" w:color="auto"/>
        <w:bottom w:val="none" w:sz="0" w:space="0" w:color="auto"/>
        <w:right w:val="none" w:sz="0" w:space="0" w:color="auto"/>
      </w:divBdr>
    </w:div>
    <w:div w:id="1716153392">
      <w:bodyDiv w:val="1"/>
      <w:marLeft w:val="0"/>
      <w:marRight w:val="0"/>
      <w:marTop w:val="0"/>
      <w:marBottom w:val="0"/>
      <w:divBdr>
        <w:top w:val="none" w:sz="0" w:space="0" w:color="auto"/>
        <w:left w:val="none" w:sz="0" w:space="0" w:color="auto"/>
        <w:bottom w:val="none" w:sz="0" w:space="0" w:color="auto"/>
        <w:right w:val="none" w:sz="0" w:space="0" w:color="auto"/>
      </w:divBdr>
    </w:div>
    <w:div w:id="1716197154">
      <w:bodyDiv w:val="1"/>
      <w:marLeft w:val="0"/>
      <w:marRight w:val="0"/>
      <w:marTop w:val="0"/>
      <w:marBottom w:val="0"/>
      <w:divBdr>
        <w:top w:val="none" w:sz="0" w:space="0" w:color="auto"/>
        <w:left w:val="none" w:sz="0" w:space="0" w:color="auto"/>
        <w:bottom w:val="none" w:sz="0" w:space="0" w:color="auto"/>
        <w:right w:val="none" w:sz="0" w:space="0" w:color="auto"/>
      </w:divBdr>
    </w:div>
    <w:div w:id="1716660136">
      <w:bodyDiv w:val="1"/>
      <w:marLeft w:val="0"/>
      <w:marRight w:val="0"/>
      <w:marTop w:val="0"/>
      <w:marBottom w:val="0"/>
      <w:divBdr>
        <w:top w:val="none" w:sz="0" w:space="0" w:color="auto"/>
        <w:left w:val="none" w:sz="0" w:space="0" w:color="auto"/>
        <w:bottom w:val="none" w:sz="0" w:space="0" w:color="auto"/>
        <w:right w:val="none" w:sz="0" w:space="0" w:color="auto"/>
      </w:divBdr>
    </w:div>
    <w:div w:id="1718120153">
      <w:bodyDiv w:val="1"/>
      <w:marLeft w:val="0"/>
      <w:marRight w:val="0"/>
      <w:marTop w:val="0"/>
      <w:marBottom w:val="0"/>
      <w:divBdr>
        <w:top w:val="none" w:sz="0" w:space="0" w:color="auto"/>
        <w:left w:val="none" w:sz="0" w:space="0" w:color="auto"/>
        <w:bottom w:val="none" w:sz="0" w:space="0" w:color="auto"/>
        <w:right w:val="none" w:sz="0" w:space="0" w:color="auto"/>
      </w:divBdr>
    </w:div>
    <w:div w:id="1718163421">
      <w:bodyDiv w:val="1"/>
      <w:marLeft w:val="0"/>
      <w:marRight w:val="0"/>
      <w:marTop w:val="0"/>
      <w:marBottom w:val="0"/>
      <w:divBdr>
        <w:top w:val="none" w:sz="0" w:space="0" w:color="auto"/>
        <w:left w:val="none" w:sz="0" w:space="0" w:color="auto"/>
        <w:bottom w:val="none" w:sz="0" w:space="0" w:color="auto"/>
        <w:right w:val="none" w:sz="0" w:space="0" w:color="auto"/>
      </w:divBdr>
    </w:div>
    <w:div w:id="1718889079">
      <w:bodyDiv w:val="1"/>
      <w:marLeft w:val="0"/>
      <w:marRight w:val="0"/>
      <w:marTop w:val="0"/>
      <w:marBottom w:val="0"/>
      <w:divBdr>
        <w:top w:val="none" w:sz="0" w:space="0" w:color="auto"/>
        <w:left w:val="none" w:sz="0" w:space="0" w:color="auto"/>
        <w:bottom w:val="none" w:sz="0" w:space="0" w:color="auto"/>
        <w:right w:val="none" w:sz="0" w:space="0" w:color="auto"/>
      </w:divBdr>
    </w:div>
    <w:div w:id="1718969518">
      <w:bodyDiv w:val="1"/>
      <w:marLeft w:val="0"/>
      <w:marRight w:val="0"/>
      <w:marTop w:val="0"/>
      <w:marBottom w:val="0"/>
      <w:divBdr>
        <w:top w:val="none" w:sz="0" w:space="0" w:color="auto"/>
        <w:left w:val="none" w:sz="0" w:space="0" w:color="auto"/>
        <w:bottom w:val="none" w:sz="0" w:space="0" w:color="auto"/>
        <w:right w:val="none" w:sz="0" w:space="0" w:color="auto"/>
      </w:divBdr>
    </w:div>
    <w:div w:id="1720086132">
      <w:bodyDiv w:val="1"/>
      <w:marLeft w:val="0"/>
      <w:marRight w:val="0"/>
      <w:marTop w:val="0"/>
      <w:marBottom w:val="0"/>
      <w:divBdr>
        <w:top w:val="none" w:sz="0" w:space="0" w:color="auto"/>
        <w:left w:val="none" w:sz="0" w:space="0" w:color="auto"/>
        <w:bottom w:val="none" w:sz="0" w:space="0" w:color="auto"/>
        <w:right w:val="none" w:sz="0" w:space="0" w:color="auto"/>
      </w:divBdr>
    </w:div>
    <w:div w:id="1720545500">
      <w:bodyDiv w:val="1"/>
      <w:marLeft w:val="0"/>
      <w:marRight w:val="0"/>
      <w:marTop w:val="0"/>
      <w:marBottom w:val="0"/>
      <w:divBdr>
        <w:top w:val="none" w:sz="0" w:space="0" w:color="auto"/>
        <w:left w:val="none" w:sz="0" w:space="0" w:color="auto"/>
        <w:bottom w:val="none" w:sz="0" w:space="0" w:color="auto"/>
        <w:right w:val="none" w:sz="0" w:space="0" w:color="auto"/>
      </w:divBdr>
    </w:div>
    <w:div w:id="1720664988">
      <w:bodyDiv w:val="1"/>
      <w:marLeft w:val="0"/>
      <w:marRight w:val="0"/>
      <w:marTop w:val="0"/>
      <w:marBottom w:val="0"/>
      <w:divBdr>
        <w:top w:val="none" w:sz="0" w:space="0" w:color="auto"/>
        <w:left w:val="none" w:sz="0" w:space="0" w:color="auto"/>
        <w:bottom w:val="none" w:sz="0" w:space="0" w:color="auto"/>
        <w:right w:val="none" w:sz="0" w:space="0" w:color="auto"/>
      </w:divBdr>
    </w:div>
    <w:div w:id="1723141248">
      <w:bodyDiv w:val="1"/>
      <w:marLeft w:val="0"/>
      <w:marRight w:val="0"/>
      <w:marTop w:val="0"/>
      <w:marBottom w:val="0"/>
      <w:divBdr>
        <w:top w:val="none" w:sz="0" w:space="0" w:color="auto"/>
        <w:left w:val="none" w:sz="0" w:space="0" w:color="auto"/>
        <w:bottom w:val="none" w:sz="0" w:space="0" w:color="auto"/>
        <w:right w:val="none" w:sz="0" w:space="0" w:color="auto"/>
      </w:divBdr>
    </w:div>
    <w:div w:id="1723747583">
      <w:bodyDiv w:val="1"/>
      <w:marLeft w:val="0"/>
      <w:marRight w:val="0"/>
      <w:marTop w:val="0"/>
      <w:marBottom w:val="0"/>
      <w:divBdr>
        <w:top w:val="none" w:sz="0" w:space="0" w:color="auto"/>
        <w:left w:val="none" w:sz="0" w:space="0" w:color="auto"/>
        <w:bottom w:val="none" w:sz="0" w:space="0" w:color="auto"/>
        <w:right w:val="none" w:sz="0" w:space="0" w:color="auto"/>
      </w:divBdr>
    </w:div>
    <w:div w:id="1725325260">
      <w:bodyDiv w:val="1"/>
      <w:marLeft w:val="0"/>
      <w:marRight w:val="0"/>
      <w:marTop w:val="0"/>
      <w:marBottom w:val="0"/>
      <w:divBdr>
        <w:top w:val="none" w:sz="0" w:space="0" w:color="auto"/>
        <w:left w:val="none" w:sz="0" w:space="0" w:color="auto"/>
        <w:bottom w:val="none" w:sz="0" w:space="0" w:color="auto"/>
        <w:right w:val="none" w:sz="0" w:space="0" w:color="auto"/>
      </w:divBdr>
    </w:div>
    <w:div w:id="1725451325">
      <w:bodyDiv w:val="1"/>
      <w:marLeft w:val="0"/>
      <w:marRight w:val="0"/>
      <w:marTop w:val="0"/>
      <w:marBottom w:val="0"/>
      <w:divBdr>
        <w:top w:val="none" w:sz="0" w:space="0" w:color="auto"/>
        <w:left w:val="none" w:sz="0" w:space="0" w:color="auto"/>
        <w:bottom w:val="none" w:sz="0" w:space="0" w:color="auto"/>
        <w:right w:val="none" w:sz="0" w:space="0" w:color="auto"/>
      </w:divBdr>
    </w:div>
    <w:div w:id="1725523570">
      <w:bodyDiv w:val="1"/>
      <w:marLeft w:val="0"/>
      <w:marRight w:val="0"/>
      <w:marTop w:val="0"/>
      <w:marBottom w:val="0"/>
      <w:divBdr>
        <w:top w:val="none" w:sz="0" w:space="0" w:color="auto"/>
        <w:left w:val="none" w:sz="0" w:space="0" w:color="auto"/>
        <w:bottom w:val="none" w:sz="0" w:space="0" w:color="auto"/>
        <w:right w:val="none" w:sz="0" w:space="0" w:color="auto"/>
      </w:divBdr>
    </w:div>
    <w:div w:id="1727024182">
      <w:bodyDiv w:val="1"/>
      <w:marLeft w:val="0"/>
      <w:marRight w:val="0"/>
      <w:marTop w:val="0"/>
      <w:marBottom w:val="0"/>
      <w:divBdr>
        <w:top w:val="none" w:sz="0" w:space="0" w:color="auto"/>
        <w:left w:val="none" w:sz="0" w:space="0" w:color="auto"/>
        <w:bottom w:val="none" w:sz="0" w:space="0" w:color="auto"/>
        <w:right w:val="none" w:sz="0" w:space="0" w:color="auto"/>
      </w:divBdr>
    </w:div>
    <w:div w:id="1727098679">
      <w:bodyDiv w:val="1"/>
      <w:marLeft w:val="0"/>
      <w:marRight w:val="0"/>
      <w:marTop w:val="0"/>
      <w:marBottom w:val="0"/>
      <w:divBdr>
        <w:top w:val="none" w:sz="0" w:space="0" w:color="auto"/>
        <w:left w:val="none" w:sz="0" w:space="0" w:color="auto"/>
        <w:bottom w:val="none" w:sz="0" w:space="0" w:color="auto"/>
        <w:right w:val="none" w:sz="0" w:space="0" w:color="auto"/>
      </w:divBdr>
    </w:div>
    <w:div w:id="1728412577">
      <w:bodyDiv w:val="1"/>
      <w:marLeft w:val="0"/>
      <w:marRight w:val="0"/>
      <w:marTop w:val="0"/>
      <w:marBottom w:val="0"/>
      <w:divBdr>
        <w:top w:val="none" w:sz="0" w:space="0" w:color="auto"/>
        <w:left w:val="none" w:sz="0" w:space="0" w:color="auto"/>
        <w:bottom w:val="none" w:sz="0" w:space="0" w:color="auto"/>
        <w:right w:val="none" w:sz="0" w:space="0" w:color="auto"/>
      </w:divBdr>
    </w:div>
    <w:div w:id="1728607166">
      <w:bodyDiv w:val="1"/>
      <w:marLeft w:val="0"/>
      <w:marRight w:val="0"/>
      <w:marTop w:val="0"/>
      <w:marBottom w:val="0"/>
      <w:divBdr>
        <w:top w:val="none" w:sz="0" w:space="0" w:color="auto"/>
        <w:left w:val="none" w:sz="0" w:space="0" w:color="auto"/>
        <w:bottom w:val="none" w:sz="0" w:space="0" w:color="auto"/>
        <w:right w:val="none" w:sz="0" w:space="0" w:color="auto"/>
      </w:divBdr>
    </w:div>
    <w:div w:id="1728797624">
      <w:bodyDiv w:val="1"/>
      <w:marLeft w:val="0"/>
      <w:marRight w:val="0"/>
      <w:marTop w:val="0"/>
      <w:marBottom w:val="0"/>
      <w:divBdr>
        <w:top w:val="none" w:sz="0" w:space="0" w:color="auto"/>
        <w:left w:val="none" w:sz="0" w:space="0" w:color="auto"/>
        <w:bottom w:val="none" w:sz="0" w:space="0" w:color="auto"/>
        <w:right w:val="none" w:sz="0" w:space="0" w:color="auto"/>
      </w:divBdr>
    </w:div>
    <w:div w:id="1729648091">
      <w:bodyDiv w:val="1"/>
      <w:marLeft w:val="0"/>
      <w:marRight w:val="0"/>
      <w:marTop w:val="0"/>
      <w:marBottom w:val="0"/>
      <w:divBdr>
        <w:top w:val="none" w:sz="0" w:space="0" w:color="auto"/>
        <w:left w:val="none" w:sz="0" w:space="0" w:color="auto"/>
        <w:bottom w:val="none" w:sz="0" w:space="0" w:color="auto"/>
        <w:right w:val="none" w:sz="0" w:space="0" w:color="auto"/>
      </w:divBdr>
    </w:div>
    <w:div w:id="1730421338">
      <w:bodyDiv w:val="1"/>
      <w:marLeft w:val="0"/>
      <w:marRight w:val="0"/>
      <w:marTop w:val="0"/>
      <w:marBottom w:val="0"/>
      <w:divBdr>
        <w:top w:val="none" w:sz="0" w:space="0" w:color="auto"/>
        <w:left w:val="none" w:sz="0" w:space="0" w:color="auto"/>
        <w:bottom w:val="none" w:sz="0" w:space="0" w:color="auto"/>
        <w:right w:val="none" w:sz="0" w:space="0" w:color="auto"/>
      </w:divBdr>
    </w:div>
    <w:div w:id="1731419319">
      <w:bodyDiv w:val="1"/>
      <w:marLeft w:val="0"/>
      <w:marRight w:val="0"/>
      <w:marTop w:val="0"/>
      <w:marBottom w:val="0"/>
      <w:divBdr>
        <w:top w:val="none" w:sz="0" w:space="0" w:color="auto"/>
        <w:left w:val="none" w:sz="0" w:space="0" w:color="auto"/>
        <w:bottom w:val="none" w:sz="0" w:space="0" w:color="auto"/>
        <w:right w:val="none" w:sz="0" w:space="0" w:color="auto"/>
      </w:divBdr>
    </w:div>
    <w:div w:id="1732531909">
      <w:bodyDiv w:val="1"/>
      <w:marLeft w:val="0"/>
      <w:marRight w:val="0"/>
      <w:marTop w:val="0"/>
      <w:marBottom w:val="0"/>
      <w:divBdr>
        <w:top w:val="none" w:sz="0" w:space="0" w:color="auto"/>
        <w:left w:val="none" w:sz="0" w:space="0" w:color="auto"/>
        <w:bottom w:val="none" w:sz="0" w:space="0" w:color="auto"/>
        <w:right w:val="none" w:sz="0" w:space="0" w:color="auto"/>
      </w:divBdr>
    </w:div>
    <w:div w:id="1732607253">
      <w:bodyDiv w:val="1"/>
      <w:marLeft w:val="0"/>
      <w:marRight w:val="0"/>
      <w:marTop w:val="0"/>
      <w:marBottom w:val="0"/>
      <w:divBdr>
        <w:top w:val="none" w:sz="0" w:space="0" w:color="auto"/>
        <w:left w:val="none" w:sz="0" w:space="0" w:color="auto"/>
        <w:bottom w:val="none" w:sz="0" w:space="0" w:color="auto"/>
        <w:right w:val="none" w:sz="0" w:space="0" w:color="auto"/>
      </w:divBdr>
    </w:div>
    <w:div w:id="1733429644">
      <w:bodyDiv w:val="1"/>
      <w:marLeft w:val="0"/>
      <w:marRight w:val="0"/>
      <w:marTop w:val="0"/>
      <w:marBottom w:val="0"/>
      <w:divBdr>
        <w:top w:val="none" w:sz="0" w:space="0" w:color="auto"/>
        <w:left w:val="none" w:sz="0" w:space="0" w:color="auto"/>
        <w:bottom w:val="none" w:sz="0" w:space="0" w:color="auto"/>
        <w:right w:val="none" w:sz="0" w:space="0" w:color="auto"/>
      </w:divBdr>
    </w:div>
    <w:div w:id="1733430042">
      <w:bodyDiv w:val="1"/>
      <w:marLeft w:val="0"/>
      <w:marRight w:val="0"/>
      <w:marTop w:val="0"/>
      <w:marBottom w:val="0"/>
      <w:divBdr>
        <w:top w:val="none" w:sz="0" w:space="0" w:color="auto"/>
        <w:left w:val="none" w:sz="0" w:space="0" w:color="auto"/>
        <w:bottom w:val="none" w:sz="0" w:space="0" w:color="auto"/>
        <w:right w:val="none" w:sz="0" w:space="0" w:color="auto"/>
      </w:divBdr>
    </w:div>
    <w:div w:id="1733697662">
      <w:bodyDiv w:val="1"/>
      <w:marLeft w:val="0"/>
      <w:marRight w:val="0"/>
      <w:marTop w:val="0"/>
      <w:marBottom w:val="0"/>
      <w:divBdr>
        <w:top w:val="none" w:sz="0" w:space="0" w:color="auto"/>
        <w:left w:val="none" w:sz="0" w:space="0" w:color="auto"/>
        <w:bottom w:val="none" w:sz="0" w:space="0" w:color="auto"/>
        <w:right w:val="none" w:sz="0" w:space="0" w:color="auto"/>
      </w:divBdr>
    </w:div>
    <w:div w:id="1734700538">
      <w:bodyDiv w:val="1"/>
      <w:marLeft w:val="0"/>
      <w:marRight w:val="0"/>
      <w:marTop w:val="0"/>
      <w:marBottom w:val="0"/>
      <w:divBdr>
        <w:top w:val="none" w:sz="0" w:space="0" w:color="auto"/>
        <w:left w:val="none" w:sz="0" w:space="0" w:color="auto"/>
        <w:bottom w:val="none" w:sz="0" w:space="0" w:color="auto"/>
        <w:right w:val="none" w:sz="0" w:space="0" w:color="auto"/>
      </w:divBdr>
    </w:div>
    <w:div w:id="1734812027">
      <w:bodyDiv w:val="1"/>
      <w:marLeft w:val="0"/>
      <w:marRight w:val="0"/>
      <w:marTop w:val="0"/>
      <w:marBottom w:val="0"/>
      <w:divBdr>
        <w:top w:val="none" w:sz="0" w:space="0" w:color="auto"/>
        <w:left w:val="none" w:sz="0" w:space="0" w:color="auto"/>
        <w:bottom w:val="none" w:sz="0" w:space="0" w:color="auto"/>
        <w:right w:val="none" w:sz="0" w:space="0" w:color="auto"/>
      </w:divBdr>
    </w:div>
    <w:div w:id="1735200180">
      <w:bodyDiv w:val="1"/>
      <w:marLeft w:val="0"/>
      <w:marRight w:val="0"/>
      <w:marTop w:val="0"/>
      <w:marBottom w:val="0"/>
      <w:divBdr>
        <w:top w:val="none" w:sz="0" w:space="0" w:color="auto"/>
        <w:left w:val="none" w:sz="0" w:space="0" w:color="auto"/>
        <w:bottom w:val="none" w:sz="0" w:space="0" w:color="auto"/>
        <w:right w:val="none" w:sz="0" w:space="0" w:color="auto"/>
      </w:divBdr>
    </w:div>
    <w:div w:id="1736051623">
      <w:bodyDiv w:val="1"/>
      <w:marLeft w:val="0"/>
      <w:marRight w:val="0"/>
      <w:marTop w:val="0"/>
      <w:marBottom w:val="0"/>
      <w:divBdr>
        <w:top w:val="none" w:sz="0" w:space="0" w:color="auto"/>
        <w:left w:val="none" w:sz="0" w:space="0" w:color="auto"/>
        <w:bottom w:val="none" w:sz="0" w:space="0" w:color="auto"/>
        <w:right w:val="none" w:sz="0" w:space="0" w:color="auto"/>
      </w:divBdr>
    </w:div>
    <w:div w:id="1736052905">
      <w:bodyDiv w:val="1"/>
      <w:marLeft w:val="0"/>
      <w:marRight w:val="0"/>
      <w:marTop w:val="0"/>
      <w:marBottom w:val="0"/>
      <w:divBdr>
        <w:top w:val="none" w:sz="0" w:space="0" w:color="auto"/>
        <w:left w:val="none" w:sz="0" w:space="0" w:color="auto"/>
        <w:bottom w:val="none" w:sz="0" w:space="0" w:color="auto"/>
        <w:right w:val="none" w:sz="0" w:space="0" w:color="auto"/>
      </w:divBdr>
    </w:div>
    <w:div w:id="1736320168">
      <w:bodyDiv w:val="1"/>
      <w:marLeft w:val="0"/>
      <w:marRight w:val="0"/>
      <w:marTop w:val="0"/>
      <w:marBottom w:val="0"/>
      <w:divBdr>
        <w:top w:val="none" w:sz="0" w:space="0" w:color="auto"/>
        <w:left w:val="none" w:sz="0" w:space="0" w:color="auto"/>
        <w:bottom w:val="none" w:sz="0" w:space="0" w:color="auto"/>
        <w:right w:val="none" w:sz="0" w:space="0" w:color="auto"/>
      </w:divBdr>
    </w:div>
    <w:div w:id="1736852405">
      <w:bodyDiv w:val="1"/>
      <w:marLeft w:val="0"/>
      <w:marRight w:val="0"/>
      <w:marTop w:val="0"/>
      <w:marBottom w:val="0"/>
      <w:divBdr>
        <w:top w:val="none" w:sz="0" w:space="0" w:color="auto"/>
        <w:left w:val="none" w:sz="0" w:space="0" w:color="auto"/>
        <w:bottom w:val="none" w:sz="0" w:space="0" w:color="auto"/>
        <w:right w:val="none" w:sz="0" w:space="0" w:color="auto"/>
      </w:divBdr>
    </w:div>
    <w:div w:id="1738625458">
      <w:bodyDiv w:val="1"/>
      <w:marLeft w:val="0"/>
      <w:marRight w:val="0"/>
      <w:marTop w:val="0"/>
      <w:marBottom w:val="0"/>
      <w:divBdr>
        <w:top w:val="none" w:sz="0" w:space="0" w:color="auto"/>
        <w:left w:val="none" w:sz="0" w:space="0" w:color="auto"/>
        <w:bottom w:val="none" w:sz="0" w:space="0" w:color="auto"/>
        <w:right w:val="none" w:sz="0" w:space="0" w:color="auto"/>
      </w:divBdr>
    </w:div>
    <w:div w:id="1739278414">
      <w:bodyDiv w:val="1"/>
      <w:marLeft w:val="0"/>
      <w:marRight w:val="0"/>
      <w:marTop w:val="0"/>
      <w:marBottom w:val="0"/>
      <w:divBdr>
        <w:top w:val="none" w:sz="0" w:space="0" w:color="auto"/>
        <w:left w:val="none" w:sz="0" w:space="0" w:color="auto"/>
        <w:bottom w:val="none" w:sz="0" w:space="0" w:color="auto"/>
        <w:right w:val="none" w:sz="0" w:space="0" w:color="auto"/>
      </w:divBdr>
    </w:div>
    <w:div w:id="1740246024">
      <w:bodyDiv w:val="1"/>
      <w:marLeft w:val="0"/>
      <w:marRight w:val="0"/>
      <w:marTop w:val="0"/>
      <w:marBottom w:val="0"/>
      <w:divBdr>
        <w:top w:val="none" w:sz="0" w:space="0" w:color="auto"/>
        <w:left w:val="none" w:sz="0" w:space="0" w:color="auto"/>
        <w:bottom w:val="none" w:sz="0" w:space="0" w:color="auto"/>
        <w:right w:val="none" w:sz="0" w:space="0" w:color="auto"/>
      </w:divBdr>
    </w:div>
    <w:div w:id="1740319794">
      <w:bodyDiv w:val="1"/>
      <w:marLeft w:val="0"/>
      <w:marRight w:val="0"/>
      <w:marTop w:val="0"/>
      <w:marBottom w:val="0"/>
      <w:divBdr>
        <w:top w:val="none" w:sz="0" w:space="0" w:color="auto"/>
        <w:left w:val="none" w:sz="0" w:space="0" w:color="auto"/>
        <w:bottom w:val="none" w:sz="0" w:space="0" w:color="auto"/>
        <w:right w:val="none" w:sz="0" w:space="0" w:color="auto"/>
      </w:divBdr>
    </w:div>
    <w:div w:id="1740781861">
      <w:bodyDiv w:val="1"/>
      <w:marLeft w:val="0"/>
      <w:marRight w:val="0"/>
      <w:marTop w:val="0"/>
      <w:marBottom w:val="0"/>
      <w:divBdr>
        <w:top w:val="none" w:sz="0" w:space="0" w:color="auto"/>
        <w:left w:val="none" w:sz="0" w:space="0" w:color="auto"/>
        <w:bottom w:val="none" w:sz="0" w:space="0" w:color="auto"/>
        <w:right w:val="none" w:sz="0" w:space="0" w:color="auto"/>
      </w:divBdr>
    </w:div>
    <w:div w:id="1742024683">
      <w:bodyDiv w:val="1"/>
      <w:marLeft w:val="0"/>
      <w:marRight w:val="0"/>
      <w:marTop w:val="0"/>
      <w:marBottom w:val="0"/>
      <w:divBdr>
        <w:top w:val="none" w:sz="0" w:space="0" w:color="auto"/>
        <w:left w:val="none" w:sz="0" w:space="0" w:color="auto"/>
        <w:bottom w:val="none" w:sz="0" w:space="0" w:color="auto"/>
        <w:right w:val="none" w:sz="0" w:space="0" w:color="auto"/>
      </w:divBdr>
    </w:div>
    <w:div w:id="1743600258">
      <w:bodyDiv w:val="1"/>
      <w:marLeft w:val="0"/>
      <w:marRight w:val="0"/>
      <w:marTop w:val="0"/>
      <w:marBottom w:val="0"/>
      <w:divBdr>
        <w:top w:val="none" w:sz="0" w:space="0" w:color="auto"/>
        <w:left w:val="none" w:sz="0" w:space="0" w:color="auto"/>
        <w:bottom w:val="none" w:sz="0" w:space="0" w:color="auto"/>
        <w:right w:val="none" w:sz="0" w:space="0" w:color="auto"/>
      </w:divBdr>
    </w:div>
    <w:div w:id="1743719190">
      <w:bodyDiv w:val="1"/>
      <w:marLeft w:val="0"/>
      <w:marRight w:val="0"/>
      <w:marTop w:val="0"/>
      <w:marBottom w:val="0"/>
      <w:divBdr>
        <w:top w:val="none" w:sz="0" w:space="0" w:color="auto"/>
        <w:left w:val="none" w:sz="0" w:space="0" w:color="auto"/>
        <w:bottom w:val="none" w:sz="0" w:space="0" w:color="auto"/>
        <w:right w:val="none" w:sz="0" w:space="0" w:color="auto"/>
      </w:divBdr>
    </w:div>
    <w:div w:id="1743985672">
      <w:bodyDiv w:val="1"/>
      <w:marLeft w:val="0"/>
      <w:marRight w:val="0"/>
      <w:marTop w:val="0"/>
      <w:marBottom w:val="0"/>
      <w:divBdr>
        <w:top w:val="none" w:sz="0" w:space="0" w:color="auto"/>
        <w:left w:val="none" w:sz="0" w:space="0" w:color="auto"/>
        <w:bottom w:val="none" w:sz="0" w:space="0" w:color="auto"/>
        <w:right w:val="none" w:sz="0" w:space="0" w:color="auto"/>
      </w:divBdr>
    </w:div>
    <w:div w:id="1745687799">
      <w:bodyDiv w:val="1"/>
      <w:marLeft w:val="0"/>
      <w:marRight w:val="0"/>
      <w:marTop w:val="0"/>
      <w:marBottom w:val="0"/>
      <w:divBdr>
        <w:top w:val="none" w:sz="0" w:space="0" w:color="auto"/>
        <w:left w:val="none" w:sz="0" w:space="0" w:color="auto"/>
        <w:bottom w:val="none" w:sz="0" w:space="0" w:color="auto"/>
        <w:right w:val="none" w:sz="0" w:space="0" w:color="auto"/>
      </w:divBdr>
    </w:div>
    <w:div w:id="1746150715">
      <w:bodyDiv w:val="1"/>
      <w:marLeft w:val="0"/>
      <w:marRight w:val="0"/>
      <w:marTop w:val="0"/>
      <w:marBottom w:val="0"/>
      <w:divBdr>
        <w:top w:val="none" w:sz="0" w:space="0" w:color="auto"/>
        <w:left w:val="none" w:sz="0" w:space="0" w:color="auto"/>
        <w:bottom w:val="none" w:sz="0" w:space="0" w:color="auto"/>
        <w:right w:val="none" w:sz="0" w:space="0" w:color="auto"/>
      </w:divBdr>
    </w:div>
    <w:div w:id="1746225778">
      <w:bodyDiv w:val="1"/>
      <w:marLeft w:val="0"/>
      <w:marRight w:val="0"/>
      <w:marTop w:val="0"/>
      <w:marBottom w:val="0"/>
      <w:divBdr>
        <w:top w:val="none" w:sz="0" w:space="0" w:color="auto"/>
        <w:left w:val="none" w:sz="0" w:space="0" w:color="auto"/>
        <w:bottom w:val="none" w:sz="0" w:space="0" w:color="auto"/>
        <w:right w:val="none" w:sz="0" w:space="0" w:color="auto"/>
      </w:divBdr>
    </w:div>
    <w:div w:id="1746759418">
      <w:bodyDiv w:val="1"/>
      <w:marLeft w:val="0"/>
      <w:marRight w:val="0"/>
      <w:marTop w:val="0"/>
      <w:marBottom w:val="0"/>
      <w:divBdr>
        <w:top w:val="none" w:sz="0" w:space="0" w:color="auto"/>
        <w:left w:val="none" w:sz="0" w:space="0" w:color="auto"/>
        <w:bottom w:val="none" w:sz="0" w:space="0" w:color="auto"/>
        <w:right w:val="none" w:sz="0" w:space="0" w:color="auto"/>
      </w:divBdr>
    </w:div>
    <w:div w:id="1748577114">
      <w:bodyDiv w:val="1"/>
      <w:marLeft w:val="0"/>
      <w:marRight w:val="0"/>
      <w:marTop w:val="0"/>
      <w:marBottom w:val="0"/>
      <w:divBdr>
        <w:top w:val="none" w:sz="0" w:space="0" w:color="auto"/>
        <w:left w:val="none" w:sz="0" w:space="0" w:color="auto"/>
        <w:bottom w:val="none" w:sz="0" w:space="0" w:color="auto"/>
        <w:right w:val="none" w:sz="0" w:space="0" w:color="auto"/>
      </w:divBdr>
    </w:div>
    <w:div w:id="1749840071">
      <w:bodyDiv w:val="1"/>
      <w:marLeft w:val="0"/>
      <w:marRight w:val="0"/>
      <w:marTop w:val="0"/>
      <w:marBottom w:val="0"/>
      <w:divBdr>
        <w:top w:val="none" w:sz="0" w:space="0" w:color="auto"/>
        <w:left w:val="none" w:sz="0" w:space="0" w:color="auto"/>
        <w:bottom w:val="none" w:sz="0" w:space="0" w:color="auto"/>
        <w:right w:val="none" w:sz="0" w:space="0" w:color="auto"/>
      </w:divBdr>
    </w:div>
    <w:div w:id="1751149591">
      <w:bodyDiv w:val="1"/>
      <w:marLeft w:val="0"/>
      <w:marRight w:val="0"/>
      <w:marTop w:val="0"/>
      <w:marBottom w:val="0"/>
      <w:divBdr>
        <w:top w:val="none" w:sz="0" w:space="0" w:color="auto"/>
        <w:left w:val="none" w:sz="0" w:space="0" w:color="auto"/>
        <w:bottom w:val="none" w:sz="0" w:space="0" w:color="auto"/>
        <w:right w:val="none" w:sz="0" w:space="0" w:color="auto"/>
      </w:divBdr>
    </w:div>
    <w:div w:id="1752583818">
      <w:bodyDiv w:val="1"/>
      <w:marLeft w:val="0"/>
      <w:marRight w:val="0"/>
      <w:marTop w:val="0"/>
      <w:marBottom w:val="0"/>
      <w:divBdr>
        <w:top w:val="none" w:sz="0" w:space="0" w:color="auto"/>
        <w:left w:val="none" w:sz="0" w:space="0" w:color="auto"/>
        <w:bottom w:val="none" w:sz="0" w:space="0" w:color="auto"/>
        <w:right w:val="none" w:sz="0" w:space="0" w:color="auto"/>
      </w:divBdr>
    </w:div>
    <w:div w:id="1753238544">
      <w:bodyDiv w:val="1"/>
      <w:marLeft w:val="0"/>
      <w:marRight w:val="0"/>
      <w:marTop w:val="0"/>
      <w:marBottom w:val="0"/>
      <w:divBdr>
        <w:top w:val="none" w:sz="0" w:space="0" w:color="auto"/>
        <w:left w:val="none" w:sz="0" w:space="0" w:color="auto"/>
        <w:bottom w:val="none" w:sz="0" w:space="0" w:color="auto"/>
        <w:right w:val="none" w:sz="0" w:space="0" w:color="auto"/>
      </w:divBdr>
    </w:div>
    <w:div w:id="1753316613">
      <w:bodyDiv w:val="1"/>
      <w:marLeft w:val="0"/>
      <w:marRight w:val="0"/>
      <w:marTop w:val="0"/>
      <w:marBottom w:val="0"/>
      <w:divBdr>
        <w:top w:val="none" w:sz="0" w:space="0" w:color="auto"/>
        <w:left w:val="none" w:sz="0" w:space="0" w:color="auto"/>
        <w:bottom w:val="none" w:sz="0" w:space="0" w:color="auto"/>
        <w:right w:val="none" w:sz="0" w:space="0" w:color="auto"/>
      </w:divBdr>
    </w:div>
    <w:div w:id="1754234775">
      <w:bodyDiv w:val="1"/>
      <w:marLeft w:val="0"/>
      <w:marRight w:val="0"/>
      <w:marTop w:val="0"/>
      <w:marBottom w:val="0"/>
      <w:divBdr>
        <w:top w:val="none" w:sz="0" w:space="0" w:color="auto"/>
        <w:left w:val="none" w:sz="0" w:space="0" w:color="auto"/>
        <w:bottom w:val="none" w:sz="0" w:space="0" w:color="auto"/>
        <w:right w:val="none" w:sz="0" w:space="0" w:color="auto"/>
      </w:divBdr>
    </w:div>
    <w:div w:id="1754276011">
      <w:bodyDiv w:val="1"/>
      <w:marLeft w:val="0"/>
      <w:marRight w:val="0"/>
      <w:marTop w:val="0"/>
      <w:marBottom w:val="0"/>
      <w:divBdr>
        <w:top w:val="none" w:sz="0" w:space="0" w:color="auto"/>
        <w:left w:val="none" w:sz="0" w:space="0" w:color="auto"/>
        <w:bottom w:val="none" w:sz="0" w:space="0" w:color="auto"/>
        <w:right w:val="none" w:sz="0" w:space="0" w:color="auto"/>
      </w:divBdr>
    </w:div>
    <w:div w:id="1755542535">
      <w:bodyDiv w:val="1"/>
      <w:marLeft w:val="0"/>
      <w:marRight w:val="0"/>
      <w:marTop w:val="0"/>
      <w:marBottom w:val="0"/>
      <w:divBdr>
        <w:top w:val="none" w:sz="0" w:space="0" w:color="auto"/>
        <w:left w:val="none" w:sz="0" w:space="0" w:color="auto"/>
        <w:bottom w:val="none" w:sz="0" w:space="0" w:color="auto"/>
        <w:right w:val="none" w:sz="0" w:space="0" w:color="auto"/>
      </w:divBdr>
    </w:div>
    <w:div w:id="1757171510">
      <w:bodyDiv w:val="1"/>
      <w:marLeft w:val="0"/>
      <w:marRight w:val="0"/>
      <w:marTop w:val="0"/>
      <w:marBottom w:val="0"/>
      <w:divBdr>
        <w:top w:val="none" w:sz="0" w:space="0" w:color="auto"/>
        <w:left w:val="none" w:sz="0" w:space="0" w:color="auto"/>
        <w:bottom w:val="none" w:sz="0" w:space="0" w:color="auto"/>
        <w:right w:val="none" w:sz="0" w:space="0" w:color="auto"/>
      </w:divBdr>
    </w:div>
    <w:div w:id="1757441490">
      <w:bodyDiv w:val="1"/>
      <w:marLeft w:val="0"/>
      <w:marRight w:val="0"/>
      <w:marTop w:val="0"/>
      <w:marBottom w:val="0"/>
      <w:divBdr>
        <w:top w:val="none" w:sz="0" w:space="0" w:color="auto"/>
        <w:left w:val="none" w:sz="0" w:space="0" w:color="auto"/>
        <w:bottom w:val="none" w:sz="0" w:space="0" w:color="auto"/>
        <w:right w:val="none" w:sz="0" w:space="0" w:color="auto"/>
      </w:divBdr>
    </w:div>
    <w:div w:id="1757824945">
      <w:bodyDiv w:val="1"/>
      <w:marLeft w:val="0"/>
      <w:marRight w:val="0"/>
      <w:marTop w:val="0"/>
      <w:marBottom w:val="0"/>
      <w:divBdr>
        <w:top w:val="none" w:sz="0" w:space="0" w:color="auto"/>
        <w:left w:val="none" w:sz="0" w:space="0" w:color="auto"/>
        <w:bottom w:val="none" w:sz="0" w:space="0" w:color="auto"/>
        <w:right w:val="none" w:sz="0" w:space="0" w:color="auto"/>
      </w:divBdr>
    </w:div>
    <w:div w:id="1759477647">
      <w:bodyDiv w:val="1"/>
      <w:marLeft w:val="0"/>
      <w:marRight w:val="0"/>
      <w:marTop w:val="0"/>
      <w:marBottom w:val="0"/>
      <w:divBdr>
        <w:top w:val="none" w:sz="0" w:space="0" w:color="auto"/>
        <w:left w:val="none" w:sz="0" w:space="0" w:color="auto"/>
        <w:bottom w:val="none" w:sz="0" w:space="0" w:color="auto"/>
        <w:right w:val="none" w:sz="0" w:space="0" w:color="auto"/>
      </w:divBdr>
    </w:div>
    <w:div w:id="1759642862">
      <w:bodyDiv w:val="1"/>
      <w:marLeft w:val="0"/>
      <w:marRight w:val="0"/>
      <w:marTop w:val="0"/>
      <w:marBottom w:val="0"/>
      <w:divBdr>
        <w:top w:val="none" w:sz="0" w:space="0" w:color="auto"/>
        <w:left w:val="none" w:sz="0" w:space="0" w:color="auto"/>
        <w:bottom w:val="none" w:sz="0" w:space="0" w:color="auto"/>
        <w:right w:val="none" w:sz="0" w:space="0" w:color="auto"/>
      </w:divBdr>
    </w:div>
    <w:div w:id="1760101346">
      <w:bodyDiv w:val="1"/>
      <w:marLeft w:val="0"/>
      <w:marRight w:val="0"/>
      <w:marTop w:val="0"/>
      <w:marBottom w:val="0"/>
      <w:divBdr>
        <w:top w:val="none" w:sz="0" w:space="0" w:color="auto"/>
        <w:left w:val="none" w:sz="0" w:space="0" w:color="auto"/>
        <w:bottom w:val="none" w:sz="0" w:space="0" w:color="auto"/>
        <w:right w:val="none" w:sz="0" w:space="0" w:color="auto"/>
      </w:divBdr>
    </w:div>
    <w:div w:id="1760518117">
      <w:bodyDiv w:val="1"/>
      <w:marLeft w:val="0"/>
      <w:marRight w:val="0"/>
      <w:marTop w:val="0"/>
      <w:marBottom w:val="0"/>
      <w:divBdr>
        <w:top w:val="none" w:sz="0" w:space="0" w:color="auto"/>
        <w:left w:val="none" w:sz="0" w:space="0" w:color="auto"/>
        <w:bottom w:val="none" w:sz="0" w:space="0" w:color="auto"/>
        <w:right w:val="none" w:sz="0" w:space="0" w:color="auto"/>
      </w:divBdr>
    </w:div>
    <w:div w:id="1760565356">
      <w:bodyDiv w:val="1"/>
      <w:marLeft w:val="0"/>
      <w:marRight w:val="0"/>
      <w:marTop w:val="0"/>
      <w:marBottom w:val="0"/>
      <w:divBdr>
        <w:top w:val="none" w:sz="0" w:space="0" w:color="auto"/>
        <w:left w:val="none" w:sz="0" w:space="0" w:color="auto"/>
        <w:bottom w:val="none" w:sz="0" w:space="0" w:color="auto"/>
        <w:right w:val="none" w:sz="0" w:space="0" w:color="auto"/>
      </w:divBdr>
    </w:div>
    <w:div w:id="1761178864">
      <w:bodyDiv w:val="1"/>
      <w:marLeft w:val="0"/>
      <w:marRight w:val="0"/>
      <w:marTop w:val="0"/>
      <w:marBottom w:val="0"/>
      <w:divBdr>
        <w:top w:val="none" w:sz="0" w:space="0" w:color="auto"/>
        <w:left w:val="none" w:sz="0" w:space="0" w:color="auto"/>
        <w:bottom w:val="none" w:sz="0" w:space="0" w:color="auto"/>
        <w:right w:val="none" w:sz="0" w:space="0" w:color="auto"/>
      </w:divBdr>
    </w:div>
    <w:div w:id="1761676303">
      <w:bodyDiv w:val="1"/>
      <w:marLeft w:val="0"/>
      <w:marRight w:val="0"/>
      <w:marTop w:val="0"/>
      <w:marBottom w:val="0"/>
      <w:divBdr>
        <w:top w:val="none" w:sz="0" w:space="0" w:color="auto"/>
        <w:left w:val="none" w:sz="0" w:space="0" w:color="auto"/>
        <w:bottom w:val="none" w:sz="0" w:space="0" w:color="auto"/>
        <w:right w:val="none" w:sz="0" w:space="0" w:color="auto"/>
      </w:divBdr>
    </w:div>
    <w:div w:id="1762144820">
      <w:bodyDiv w:val="1"/>
      <w:marLeft w:val="0"/>
      <w:marRight w:val="0"/>
      <w:marTop w:val="0"/>
      <w:marBottom w:val="0"/>
      <w:divBdr>
        <w:top w:val="none" w:sz="0" w:space="0" w:color="auto"/>
        <w:left w:val="none" w:sz="0" w:space="0" w:color="auto"/>
        <w:bottom w:val="none" w:sz="0" w:space="0" w:color="auto"/>
        <w:right w:val="none" w:sz="0" w:space="0" w:color="auto"/>
      </w:divBdr>
    </w:div>
    <w:div w:id="1764449888">
      <w:bodyDiv w:val="1"/>
      <w:marLeft w:val="0"/>
      <w:marRight w:val="0"/>
      <w:marTop w:val="0"/>
      <w:marBottom w:val="0"/>
      <w:divBdr>
        <w:top w:val="none" w:sz="0" w:space="0" w:color="auto"/>
        <w:left w:val="none" w:sz="0" w:space="0" w:color="auto"/>
        <w:bottom w:val="none" w:sz="0" w:space="0" w:color="auto"/>
        <w:right w:val="none" w:sz="0" w:space="0" w:color="auto"/>
      </w:divBdr>
    </w:div>
    <w:div w:id="1764691870">
      <w:bodyDiv w:val="1"/>
      <w:marLeft w:val="0"/>
      <w:marRight w:val="0"/>
      <w:marTop w:val="0"/>
      <w:marBottom w:val="0"/>
      <w:divBdr>
        <w:top w:val="none" w:sz="0" w:space="0" w:color="auto"/>
        <w:left w:val="none" w:sz="0" w:space="0" w:color="auto"/>
        <w:bottom w:val="none" w:sz="0" w:space="0" w:color="auto"/>
        <w:right w:val="none" w:sz="0" w:space="0" w:color="auto"/>
      </w:divBdr>
    </w:div>
    <w:div w:id="1764719111">
      <w:bodyDiv w:val="1"/>
      <w:marLeft w:val="0"/>
      <w:marRight w:val="0"/>
      <w:marTop w:val="0"/>
      <w:marBottom w:val="0"/>
      <w:divBdr>
        <w:top w:val="none" w:sz="0" w:space="0" w:color="auto"/>
        <w:left w:val="none" w:sz="0" w:space="0" w:color="auto"/>
        <w:bottom w:val="none" w:sz="0" w:space="0" w:color="auto"/>
        <w:right w:val="none" w:sz="0" w:space="0" w:color="auto"/>
      </w:divBdr>
    </w:div>
    <w:div w:id="1765417526">
      <w:bodyDiv w:val="1"/>
      <w:marLeft w:val="0"/>
      <w:marRight w:val="0"/>
      <w:marTop w:val="0"/>
      <w:marBottom w:val="0"/>
      <w:divBdr>
        <w:top w:val="none" w:sz="0" w:space="0" w:color="auto"/>
        <w:left w:val="none" w:sz="0" w:space="0" w:color="auto"/>
        <w:bottom w:val="none" w:sz="0" w:space="0" w:color="auto"/>
        <w:right w:val="none" w:sz="0" w:space="0" w:color="auto"/>
      </w:divBdr>
    </w:div>
    <w:div w:id="1767118654">
      <w:bodyDiv w:val="1"/>
      <w:marLeft w:val="0"/>
      <w:marRight w:val="0"/>
      <w:marTop w:val="0"/>
      <w:marBottom w:val="0"/>
      <w:divBdr>
        <w:top w:val="none" w:sz="0" w:space="0" w:color="auto"/>
        <w:left w:val="none" w:sz="0" w:space="0" w:color="auto"/>
        <w:bottom w:val="none" w:sz="0" w:space="0" w:color="auto"/>
        <w:right w:val="none" w:sz="0" w:space="0" w:color="auto"/>
      </w:divBdr>
    </w:div>
    <w:div w:id="1767145029">
      <w:bodyDiv w:val="1"/>
      <w:marLeft w:val="0"/>
      <w:marRight w:val="0"/>
      <w:marTop w:val="0"/>
      <w:marBottom w:val="0"/>
      <w:divBdr>
        <w:top w:val="none" w:sz="0" w:space="0" w:color="auto"/>
        <w:left w:val="none" w:sz="0" w:space="0" w:color="auto"/>
        <w:bottom w:val="none" w:sz="0" w:space="0" w:color="auto"/>
        <w:right w:val="none" w:sz="0" w:space="0" w:color="auto"/>
      </w:divBdr>
    </w:div>
    <w:div w:id="1767312255">
      <w:bodyDiv w:val="1"/>
      <w:marLeft w:val="0"/>
      <w:marRight w:val="0"/>
      <w:marTop w:val="0"/>
      <w:marBottom w:val="0"/>
      <w:divBdr>
        <w:top w:val="none" w:sz="0" w:space="0" w:color="auto"/>
        <w:left w:val="none" w:sz="0" w:space="0" w:color="auto"/>
        <w:bottom w:val="none" w:sz="0" w:space="0" w:color="auto"/>
        <w:right w:val="none" w:sz="0" w:space="0" w:color="auto"/>
      </w:divBdr>
    </w:div>
    <w:div w:id="1767537869">
      <w:bodyDiv w:val="1"/>
      <w:marLeft w:val="0"/>
      <w:marRight w:val="0"/>
      <w:marTop w:val="0"/>
      <w:marBottom w:val="0"/>
      <w:divBdr>
        <w:top w:val="none" w:sz="0" w:space="0" w:color="auto"/>
        <w:left w:val="none" w:sz="0" w:space="0" w:color="auto"/>
        <w:bottom w:val="none" w:sz="0" w:space="0" w:color="auto"/>
        <w:right w:val="none" w:sz="0" w:space="0" w:color="auto"/>
      </w:divBdr>
    </w:div>
    <w:div w:id="1767799185">
      <w:bodyDiv w:val="1"/>
      <w:marLeft w:val="0"/>
      <w:marRight w:val="0"/>
      <w:marTop w:val="0"/>
      <w:marBottom w:val="0"/>
      <w:divBdr>
        <w:top w:val="none" w:sz="0" w:space="0" w:color="auto"/>
        <w:left w:val="none" w:sz="0" w:space="0" w:color="auto"/>
        <w:bottom w:val="none" w:sz="0" w:space="0" w:color="auto"/>
        <w:right w:val="none" w:sz="0" w:space="0" w:color="auto"/>
      </w:divBdr>
    </w:div>
    <w:div w:id="1768623824">
      <w:bodyDiv w:val="1"/>
      <w:marLeft w:val="0"/>
      <w:marRight w:val="0"/>
      <w:marTop w:val="0"/>
      <w:marBottom w:val="0"/>
      <w:divBdr>
        <w:top w:val="none" w:sz="0" w:space="0" w:color="auto"/>
        <w:left w:val="none" w:sz="0" w:space="0" w:color="auto"/>
        <w:bottom w:val="none" w:sz="0" w:space="0" w:color="auto"/>
        <w:right w:val="none" w:sz="0" w:space="0" w:color="auto"/>
      </w:divBdr>
    </w:div>
    <w:div w:id="1769504757">
      <w:bodyDiv w:val="1"/>
      <w:marLeft w:val="0"/>
      <w:marRight w:val="0"/>
      <w:marTop w:val="0"/>
      <w:marBottom w:val="0"/>
      <w:divBdr>
        <w:top w:val="none" w:sz="0" w:space="0" w:color="auto"/>
        <w:left w:val="none" w:sz="0" w:space="0" w:color="auto"/>
        <w:bottom w:val="none" w:sz="0" w:space="0" w:color="auto"/>
        <w:right w:val="none" w:sz="0" w:space="0" w:color="auto"/>
      </w:divBdr>
    </w:div>
    <w:div w:id="1769734924">
      <w:bodyDiv w:val="1"/>
      <w:marLeft w:val="0"/>
      <w:marRight w:val="0"/>
      <w:marTop w:val="0"/>
      <w:marBottom w:val="0"/>
      <w:divBdr>
        <w:top w:val="none" w:sz="0" w:space="0" w:color="auto"/>
        <w:left w:val="none" w:sz="0" w:space="0" w:color="auto"/>
        <w:bottom w:val="none" w:sz="0" w:space="0" w:color="auto"/>
        <w:right w:val="none" w:sz="0" w:space="0" w:color="auto"/>
      </w:divBdr>
    </w:div>
    <w:div w:id="1769882725">
      <w:bodyDiv w:val="1"/>
      <w:marLeft w:val="0"/>
      <w:marRight w:val="0"/>
      <w:marTop w:val="0"/>
      <w:marBottom w:val="0"/>
      <w:divBdr>
        <w:top w:val="none" w:sz="0" w:space="0" w:color="auto"/>
        <w:left w:val="none" w:sz="0" w:space="0" w:color="auto"/>
        <w:bottom w:val="none" w:sz="0" w:space="0" w:color="auto"/>
        <w:right w:val="none" w:sz="0" w:space="0" w:color="auto"/>
      </w:divBdr>
    </w:div>
    <w:div w:id="1769960205">
      <w:bodyDiv w:val="1"/>
      <w:marLeft w:val="0"/>
      <w:marRight w:val="0"/>
      <w:marTop w:val="0"/>
      <w:marBottom w:val="0"/>
      <w:divBdr>
        <w:top w:val="none" w:sz="0" w:space="0" w:color="auto"/>
        <w:left w:val="none" w:sz="0" w:space="0" w:color="auto"/>
        <w:bottom w:val="none" w:sz="0" w:space="0" w:color="auto"/>
        <w:right w:val="none" w:sz="0" w:space="0" w:color="auto"/>
      </w:divBdr>
    </w:div>
    <w:div w:id="1770157549">
      <w:bodyDiv w:val="1"/>
      <w:marLeft w:val="0"/>
      <w:marRight w:val="0"/>
      <w:marTop w:val="0"/>
      <w:marBottom w:val="0"/>
      <w:divBdr>
        <w:top w:val="none" w:sz="0" w:space="0" w:color="auto"/>
        <w:left w:val="none" w:sz="0" w:space="0" w:color="auto"/>
        <w:bottom w:val="none" w:sz="0" w:space="0" w:color="auto"/>
        <w:right w:val="none" w:sz="0" w:space="0" w:color="auto"/>
      </w:divBdr>
    </w:div>
    <w:div w:id="1771198619">
      <w:bodyDiv w:val="1"/>
      <w:marLeft w:val="0"/>
      <w:marRight w:val="0"/>
      <w:marTop w:val="0"/>
      <w:marBottom w:val="0"/>
      <w:divBdr>
        <w:top w:val="none" w:sz="0" w:space="0" w:color="auto"/>
        <w:left w:val="none" w:sz="0" w:space="0" w:color="auto"/>
        <w:bottom w:val="none" w:sz="0" w:space="0" w:color="auto"/>
        <w:right w:val="none" w:sz="0" w:space="0" w:color="auto"/>
      </w:divBdr>
    </w:div>
    <w:div w:id="1771271749">
      <w:bodyDiv w:val="1"/>
      <w:marLeft w:val="0"/>
      <w:marRight w:val="0"/>
      <w:marTop w:val="0"/>
      <w:marBottom w:val="0"/>
      <w:divBdr>
        <w:top w:val="none" w:sz="0" w:space="0" w:color="auto"/>
        <w:left w:val="none" w:sz="0" w:space="0" w:color="auto"/>
        <w:bottom w:val="none" w:sz="0" w:space="0" w:color="auto"/>
        <w:right w:val="none" w:sz="0" w:space="0" w:color="auto"/>
      </w:divBdr>
    </w:div>
    <w:div w:id="1771968385">
      <w:bodyDiv w:val="1"/>
      <w:marLeft w:val="0"/>
      <w:marRight w:val="0"/>
      <w:marTop w:val="0"/>
      <w:marBottom w:val="0"/>
      <w:divBdr>
        <w:top w:val="none" w:sz="0" w:space="0" w:color="auto"/>
        <w:left w:val="none" w:sz="0" w:space="0" w:color="auto"/>
        <w:bottom w:val="none" w:sz="0" w:space="0" w:color="auto"/>
        <w:right w:val="none" w:sz="0" w:space="0" w:color="auto"/>
      </w:divBdr>
    </w:div>
    <w:div w:id="1772582835">
      <w:bodyDiv w:val="1"/>
      <w:marLeft w:val="0"/>
      <w:marRight w:val="0"/>
      <w:marTop w:val="0"/>
      <w:marBottom w:val="0"/>
      <w:divBdr>
        <w:top w:val="none" w:sz="0" w:space="0" w:color="auto"/>
        <w:left w:val="none" w:sz="0" w:space="0" w:color="auto"/>
        <w:bottom w:val="none" w:sz="0" w:space="0" w:color="auto"/>
        <w:right w:val="none" w:sz="0" w:space="0" w:color="auto"/>
      </w:divBdr>
    </w:div>
    <w:div w:id="1773165399">
      <w:bodyDiv w:val="1"/>
      <w:marLeft w:val="0"/>
      <w:marRight w:val="0"/>
      <w:marTop w:val="0"/>
      <w:marBottom w:val="0"/>
      <w:divBdr>
        <w:top w:val="none" w:sz="0" w:space="0" w:color="auto"/>
        <w:left w:val="none" w:sz="0" w:space="0" w:color="auto"/>
        <w:bottom w:val="none" w:sz="0" w:space="0" w:color="auto"/>
        <w:right w:val="none" w:sz="0" w:space="0" w:color="auto"/>
      </w:divBdr>
    </w:div>
    <w:div w:id="1774014573">
      <w:bodyDiv w:val="1"/>
      <w:marLeft w:val="0"/>
      <w:marRight w:val="0"/>
      <w:marTop w:val="0"/>
      <w:marBottom w:val="0"/>
      <w:divBdr>
        <w:top w:val="none" w:sz="0" w:space="0" w:color="auto"/>
        <w:left w:val="none" w:sz="0" w:space="0" w:color="auto"/>
        <w:bottom w:val="none" w:sz="0" w:space="0" w:color="auto"/>
        <w:right w:val="none" w:sz="0" w:space="0" w:color="auto"/>
      </w:divBdr>
    </w:div>
    <w:div w:id="1774325696">
      <w:bodyDiv w:val="1"/>
      <w:marLeft w:val="0"/>
      <w:marRight w:val="0"/>
      <w:marTop w:val="0"/>
      <w:marBottom w:val="0"/>
      <w:divBdr>
        <w:top w:val="none" w:sz="0" w:space="0" w:color="auto"/>
        <w:left w:val="none" w:sz="0" w:space="0" w:color="auto"/>
        <w:bottom w:val="none" w:sz="0" w:space="0" w:color="auto"/>
        <w:right w:val="none" w:sz="0" w:space="0" w:color="auto"/>
      </w:divBdr>
    </w:div>
    <w:div w:id="1774544233">
      <w:bodyDiv w:val="1"/>
      <w:marLeft w:val="0"/>
      <w:marRight w:val="0"/>
      <w:marTop w:val="0"/>
      <w:marBottom w:val="0"/>
      <w:divBdr>
        <w:top w:val="none" w:sz="0" w:space="0" w:color="auto"/>
        <w:left w:val="none" w:sz="0" w:space="0" w:color="auto"/>
        <w:bottom w:val="none" w:sz="0" w:space="0" w:color="auto"/>
        <w:right w:val="none" w:sz="0" w:space="0" w:color="auto"/>
      </w:divBdr>
    </w:div>
    <w:div w:id="1774544719">
      <w:bodyDiv w:val="1"/>
      <w:marLeft w:val="0"/>
      <w:marRight w:val="0"/>
      <w:marTop w:val="0"/>
      <w:marBottom w:val="0"/>
      <w:divBdr>
        <w:top w:val="none" w:sz="0" w:space="0" w:color="auto"/>
        <w:left w:val="none" w:sz="0" w:space="0" w:color="auto"/>
        <w:bottom w:val="none" w:sz="0" w:space="0" w:color="auto"/>
        <w:right w:val="none" w:sz="0" w:space="0" w:color="auto"/>
      </w:divBdr>
    </w:div>
    <w:div w:id="1774743215">
      <w:bodyDiv w:val="1"/>
      <w:marLeft w:val="0"/>
      <w:marRight w:val="0"/>
      <w:marTop w:val="0"/>
      <w:marBottom w:val="0"/>
      <w:divBdr>
        <w:top w:val="none" w:sz="0" w:space="0" w:color="auto"/>
        <w:left w:val="none" w:sz="0" w:space="0" w:color="auto"/>
        <w:bottom w:val="none" w:sz="0" w:space="0" w:color="auto"/>
        <w:right w:val="none" w:sz="0" w:space="0" w:color="auto"/>
      </w:divBdr>
    </w:div>
    <w:div w:id="1775133689">
      <w:bodyDiv w:val="1"/>
      <w:marLeft w:val="0"/>
      <w:marRight w:val="0"/>
      <w:marTop w:val="0"/>
      <w:marBottom w:val="0"/>
      <w:divBdr>
        <w:top w:val="none" w:sz="0" w:space="0" w:color="auto"/>
        <w:left w:val="none" w:sz="0" w:space="0" w:color="auto"/>
        <w:bottom w:val="none" w:sz="0" w:space="0" w:color="auto"/>
        <w:right w:val="none" w:sz="0" w:space="0" w:color="auto"/>
      </w:divBdr>
    </w:div>
    <w:div w:id="1775325622">
      <w:bodyDiv w:val="1"/>
      <w:marLeft w:val="0"/>
      <w:marRight w:val="0"/>
      <w:marTop w:val="0"/>
      <w:marBottom w:val="0"/>
      <w:divBdr>
        <w:top w:val="none" w:sz="0" w:space="0" w:color="auto"/>
        <w:left w:val="none" w:sz="0" w:space="0" w:color="auto"/>
        <w:bottom w:val="none" w:sz="0" w:space="0" w:color="auto"/>
        <w:right w:val="none" w:sz="0" w:space="0" w:color="auto"/>
      </w:divBdr>
    </w:div>
    <w:div w:id="1775855184">
      <w:bodyDiv w:val="1"/>
      <w:marLeft w:val="0"/>
      <w:marRight w:val="0"/>
      <w:marTop w:val="0"/>
      <w:marBottom w:val="0"/>
      <w:divBdr>
        <w:top w:val="none" w:sz="0" w:space="0" w:color="auto"/>
        <w:left w:val="none" w:sz="0" w:space="0" w:color="auto"/>
        <w:bottom w:val="none" w:sz="0" w:space="0" w:color="auto"/>
        <w:right w:val="none" w:sz="0" w:space="0" w:color="auto"/>
      </w:divBdr>
    </w:div>
    <w:div w:id="1776712268">
      <w:bodyDiv w:val="1"/>
      <w:marLeft w:val="0"/>
      <w:marRight w:val="0"/>
      <w:marTop w:val="0"/>
      <w:marBottom w:val="0"/>
      <w:divBdr>
        <w:top w:val="none" w:sz="0" w:space="0" w:color="auto"/>
        <w:left w:val="none" w:sz="0" w:space="0" w:color="auto"/>
        <w:bottom w:val="none" w:sz="0" w:space="0" w:color="auto"/>
        <w:right w:val="none" w:sz="0" w:space="0" w:color="auto"/>
      </w:divBdr>
    </w:div>
    <w:div w:id="1778059764">
      <w:bodyDiv w:val="1"/>
      <w:marLeft w:val="0"/>
      <w:marRight w:val="0"/>
      <w:marTop w:val="0"/>
      <w:marBottom w:val="0"/>
      <w:divBdr>
        <w:top w:val="none" w:sz="0" w:space="0" w:color="auto"/>
        <w:left w:val="none" w:sz="0" w:space="0" w:color="auto"/>
        <w:bottom w:val="none" w:sz="0" w:space="0" w:color="auto"/>
        <w:right w:val="none" w:sz="0" w:space="0" w:color="auto"/>
      </w:divBdr>
    </w:div>
    <w:div w:id="1778329157">
      <w:bodyDiv w:val="1"/>
      <w:marLeft w:val="0"/>
      <w:marRight w:val="0"/>
      <w:marTop w:val="0"/>
      <w:marBottom w:val="0"/>
      <w:divBdr>
        <w:top w:val="none" w:sz="0" w:space="0" w:color="auto"/>
        <w:left w:val="none" w:sz="0" w:space="0" w:color="auto"/>
        <w:bottom w:val="none" w:sz="0" w:space="0" w:color="auto"/>
        <w:right w:val="none" w:sz="0" w:space="0" w:color="auto"/>
      </w:divBdr>
    </w:div>
    <w:div w:id="1778914637">
      <w:bodyDiv w:val="1"/>
      <w:marLeft w:val="0"/>
      <w:marRight w:val="0"/>
      <w:marTop w:val="0"/>
      <w:marBottom w:val="0"/>
      <w:divBdr>
        <w:top w:val="none" w:sz="0" w:space="0" w:color="auto"/>
        <w:left w:val="none" w:sz="0" w:space="0" w:color="auto"/>
        <w:bottom w:val="none" w:sz="0" w:space="0" w:color="auto"/>
        <w:right w:val="none" w:sz="0" w:space="0" w:color="auto"/>
      </w:divBdr>
    </w:div>
    <w:div w:id="1779063146">
      <w:bodyDiv w:val="1"/>
      <w:marLeft w:val="0"/>
      <w:marRight w:val="0"/>
      <w:marTop w:val="0"/>
      <w:marBottom w:val="0"/>
      <w:divBdr>
        <w:top w:val="none" w:sz="0" w:space="0" w:color="auto"/>
        <w:left w:val="none" w:sz="0" w:space="0" w:color="auto"/>
        <w:bottom w:val="none" w:sz="0" w:space="0" w:color="auto"/>
        <w:right w:val="none" w:sz="0" w:space="0" w:color="auto"/>
      </w:divBdr>
    </w:div>
    <w:div w:id="1780368421">
      <w:bodyDiv w:val="1"/>
      <w:marLeft w:val="0"/>
      <w:marRight w:val="0"/>
      <w:marTop w:val="0"/>
      <w:marBottom w:val="0"/>
      <w:divBdr>
        <w:top w:val="none" w:sz="0" w:space="0" w:color="auto"/>
        <w:left w:val="none" w:sz="0" w:space="0" w:color="auto"/>
        <w:bottom w:val="none" w:sz="0" w:space="0" w:color="auto"/>
        <w:right w:val="none" w:sz="0" w:space="0" w:color="auto"/>
      </w:divBdr>
    </w:div>
    <w:div w:id="1780569066">
      <w:bodyDiv w:val="1"/>
      <w:marLeft w:val="0"/>
      <w:marRight w:val="0"/>
      <w:marTop w:val="0"/>
      <w:marBottom w:val="0"/>
      <w:divBdr>
        <w:top w:val="none" w:sz="0" w:space="0" w:color="auto"/>
        <w:left w:val="none" w:sz="0" w:space="0" w:color="auto"/>
        <w:bottom w:val="none" w:sz="0" w:space="0" w:color="auto"/>
        <w:right w:val="none" w:sz="0" w:space="0" w:color="auto"/>
      </w:divBdr>
    </w:div>
    <w:div w:id="1781148238">
      <w:bodyDiv w:val="1"/>
      <w:marLeft w:val="0"/>
      <w:marRight w:val="0"/>
      <w:marTop w:val="0"/>
      <w:marBottom w:val="0"/>
      <w:divBdr>
        <w:top w:val="none" w:sz="0" w:space="0" w:color="auto"/>
        <w:left w:val="none" w:sz="0" w:space="0" w:color="auto"/>
        <w:bottom w:val="none" w:sz="0" w:space="0" w:color="auto"/>
        <w:right w:val="none" w:sz="0" w:space="0" w:color="auto"/>
      </w:divBdr>
    </w:div>
    <w:div w:id="1782650215">
      <w:bodyDiv w:val="1"/>
      <w:marLeft w:val="0"/>
      <w:marRight w:val="0"/>
      <w:marTop w:val="0"/>
      <w:marBottom w:val="0"/>
      <w:divBdr>
        <w:top w:val="none" w:sz="0" w:space="0" w:color="auto"/>
        <w:left w:val="none" w:sz="0" w:space="0" w:color="auto"/>
        <w:bottom w:val="none" w:sz="0" w:space="0" w:color="auto"/>
        <w:right w:val="none" w:sz="0" w:space="0" w:color="auto"/>
      </w:divBdr>
    </w:div>
    <w:div w:id="1783070126">
      <w:bodyDiv w:val="1"/>
      <w:marLeft w:val="0"/>
      <w:marRight w:val="0"/>
      <w:marTop w:val="0"/>
      <w:marBottom w:val="0"/>
      <w:divBdr>
        <w:top w:val="none" w:sz="0" w:space="0" w:color="auto"/>
        <w:left w:val="none" w:sz="0" w:space="0" w:color="auto"/>
        <w:bottom w:val="none" w:sz="0" w:space="0" w:color="auto"/>
        <w:right w:val="none" w:sz="0" w:space="0" w:color="auto"/>
      </w:divBdr>
    </w:div>
    <w:div w:id="1783260725">
      <w:bodyDiv w:val="1"/>
      <w:marLeft w:val="0"/>
      <w:marRight w:val="0"/>
      <w:marTop w:val="0"/>
      <w:marBottom w:val="0"/>
      <w:divBdr>
        <w:top w:val="none" w:sz="0" w:space="0" w:color="auto"/>
        <w:left w:val="none" w:sz="0" w:space="0" w:color="auto"/>
        <w:bottom w:val="none" w:sz="0" w:space="0" w:color="auto"/>
        <w:right w:val="none" w:sz="0" w:space="0" w:color="auto"/>
      </w:divBdr>
    </w:div>
    <w:div w:id="1784614213">
      <w:bodyDiv w:val="1"/>
      <w:marLeft w:val="0"/>
      <w:marRight w:val="0"/>
      <w:marTop w:val="0"/>
      <w:marBottom w:val="0"/>
      <w:divBdr>
        <w:top w:val="none" w:sz="0" w:space="0" w:color="auto"/>
        <w:left w:val="none" w:sz="0" w:space="0" w:color="auto"/>
        <w:bottom w:val="none" w:sz="0" w:space="0" w:color="auto"/>
        <w:right w:val="none" w:sz="0" w:space="0" w:color="auto"/>
      </w:divBdr>
    </w:div>
    <w:div w:id="1784837169">
      <w:bodyDiv w:val="1"/>
      <w:marLeft w:val="0"/>
      <w:marRight w:val="0"/>
      <w:marTop w:val="0"/>
      <w:marBottom w:val="0"/>
      <w:divBdr>
        <w:top w:val="none" w:sz="0" w:space="0" w:color="auto"/>
        <w:left w:val="none" w:sz="0" w:space="0" w:color="auto"/>
        <w:bottom w:val="none" w:sz="0" w:space="0" w:color="auto"/>
        <w:right w:val="none" w:sz="0" w:space="0" w:color="auto"/>
      </w:divBdr>
    </w:div>
    <w:div w:id="1785880756">
      <w:bodyDiv w:val="1"/>
      <w:marLeft w:val="0"/>
      <w:marRight w:val="0"/>
      <w:marTop w:val="0"/>
      <w:marBottom w:val="0"/>
      <w:divBdr>
        <w:top w:val="none" w:sz="0" w:space="0" w:color="auto"/>
        <w:left w:val="none" w:sz="0" w:space="0" w:color="auto"/>
        <w:bottom w:val="none" w:sz="0" w:space="0" w:color="auto"/>
        <w:right w:val="none" w:sz="0" w:space="0" w:color="auto"/>
      </w:divBdr>
    </w:div>
    <w:div w:id="1787193776">
      <w:bodyDiv w:val="1"/>
      <w:marLeft w:val="0"/>
      <w:marRight w:val="0"/>
      <w:marTop w:val="0"/>
      <w:marBottom w:val="0"/>
      <w:divBdr>
        <w:top w:val="none" w:sz="0" w:space="0" w:color="auto"/>
        <w:left w:val="none" w:sz="0" w:space="0" w:color="auto"/>
        <w:bottom w:val="none" w:sz="0" w:space="0" w:color="auto"/>
        <w:right w:val="none" w:sz="0" w:space="0" w:color="auto"/>
      </w:divBdr>
    </w:div>
    <w:div w:id="1788696814">
      <w:bodyDiv w:val="1"/>
      <w:marLeft w:val="0"/>
      <w:marRight w:val="0"/>
      <w:marTop w:val="0"/>
      <w:marBottom w:val="0"/>
      <w:divBdr>
        <w:top w:val="none" w:sz="0" w:space="0" w:color="auto"/>
        <w:left w:val="none" w:sz="0" w:space="0" w:color="auto"/>
        <w:bottom w:val="none" w:sz="0" w:space="0" w:color="auto"/>
        <w:right w:val="none" w:sz="0" w:space="0" w:color="auto"/>
      </w:divBdr>
    </w:div>
    <w:div w:id="1790050305">
      <w:bodyDiv w:val="1"/>
      <w:marLeft w:val="0"/>
      <w:marRight w:val="0"/>
      <w:marTop w:val="0"/>
      <w:marBottom w:val="0"/>
      <w:divBdr>
        <w:top w:val="none" w:sz="0" w:space="0" w:color="auto"/>
        <w:left w:val="none" w:sz="0" w:space="0" w:color="auto"/>
        <w:bottom w:val="none" w:sz="0" w:space="0" w:color="auto"/>
        <w:right w:val="none" w:sz="0" w:space="0" w:color="auto"/>
      </w:divBdr>
    </w:div>
    <w:div w:id="1791362868">
      <w:bodyDiv w:val="1"/>
      <w:marLeft w:val="0"/>
      <w:marRight w:val="0"/>
      <w:marTop w:val="0"/>
      <w:marBottom w:val="0"/>
      <w:divBdr>
        <w:top w:val="none" w:sz="0" w:space="0" w:color="auto"/>
        <w:left w:val="none" w:sz="0" w:space="0" w:color="auto"/>
        <w:bottom w:val="none" w:sz="0" w:space="0" w:color="auto"/>
        <w:right w:val="none" w:sz="0" w:space="0" w:color="auto"/>
      </w:divBdr>
    </w:div>
    <w:div w:id="1791774902">
      <w:bodyDiv w:val="1"/>
      <w:marLeft w:val="0"/>
      <w:marRight w:val="0"/>
      <w:marTop w:val="0"/>
      <w:marBottom w:val="0"/>
      <w:divBdr>
        <w:top w:val="none" w:sz="0" w:space="0" w:color="auto"/>
        <w:left w:val="none" w:sz="0" w:space="0" w:color="auto"/>
        <w:bottom w:val="none" w:sz="0" w:space="0" w:color="auto"/>
        <w:right w:val="none" w:sz="0" w:space="0" w:color="auto"/>
      </w:divBdr>
    </w:div>
    <w:div w:id="1791778431">
      <w:bodyDiv w:val="1"/>
      <w:marLeft w:val="0"/>
      <w:marRight w:val="0"/>
      <w:marTop w:val="0"/>
      <w:marBottom w:val="0"/>
      <w:divBdr>
        <w:top w:val="none" w:sz="0" w:space="0" w:color="auto"/>
        <w:left w:val="none" w:sz="0" w:space="0" w:color="auto"/>
        <w:bottom w:val="none" w:sz="0" w:space="0" w:color="auto"/>
        <w:right w:val="none" w:sz="0" w:space="0" w:color="auto"/>
      </w:divBdr>
    </w:div>
    <w:div w:id="1792354948">
      <w:bodyDiv w:val="1"/>
      <w:marLeft w:val="0"/>
      <w:marRight w:val="0"/>
      <w:marTop w:val="0"/>
      <w:marBottom w:val="0"/>
      <w:divBdr>
        <w:top w:val="none" w:sz="0" w:space="0" w:color="auto"/>
        <w:left w:val="none" w:sz="0" w:space="0" w:color="auto"/>
        <w:bottom w:val="none" w:sz="0" w:space="0" w:color="auto"/>
        <w:right w:val="none" w:sz="0" w:space="0" w:color="auto"/>
      </w:divBdr>
    </w:div>
    <w:div w:id="1792627625">
      <w:bodyDiv w:val="1"/>
      <w:marLeft w:val="0"/>
      <w:marRight w:val="0"/>
      <w:marTop w:val="0"/>
      <w:marBottom w:val="0"/>
      <w:divBdr>
        <w:top w:val="none" w:sz="0" w:space="0" w:color="auto"/>
        <w:left w:val="none" w:sz="0" w:space="0" w:color="auto"/>
        <w:bottom w:val="none" w:sz="0" w:space="0" w:color="auto"/>
        <w:right w:val="none" w:sz="0" w:space="0" w:color="auto"/>
      </w:divBdr>
    </w:div>
    <w:div w:id="1793397128">
      <w:bodyDiv w:val="1"/>
      <w:marLeft w:val="0"/>
      <w:marRight w:val="0"/>
      <w:marTop w:val="0"/>
      <w:marBottom w:val="0"/>
      <w:divBdr>
        <w:top w:val="none" w:sz="0" w:space="0" w:color="auto"/>
        <w:left w:val="none" w:sz="0" w:space="0" w:color="auto"/>
        <w:bottom w:val="none" w:sz="0" w:space="0" w:color="auto"/>
        <w:right w:val="none" w:sz="0" w:space="0" w:color="auto"/>
      </w:divBdr>
    </w:div>
    <w:div w:id="1793861368">
      <w:bodyDiv w:val="1"/>
      <w:marLeft w:val="0"/>
      <w:marRight w:val="0"/>
      <w:marTop w:val="0"/>
      <w:marBottom w:val="0"/>
      <w:divBdr>
        <w:top w:val="none" w:sz="0" w:space="0" w:color="auto"/>
        <w:left w:val="none" w:sz="0" w:space="0" w:color="auto"/>
        <w:bottom w:val="none" w:sz="0" w:space="0" w:color="auto"/>
        <w:right w:val="none" w:sz="0" w:space="0" w:color="auto"/>
      </w:divBdr>
    </w:div>
    <w:div w:id="1794059941">
      <w:bodyDiv w:val="1"/>
      <w:marLeft w:val="0"/>
      <w:marRight w:val="0"/>
      <w:marTop w:val="0"/>
      <w:marBottom w:val="0"/>
      <w:divBdr>
        <w:top w:val="none" w:sz="0" w:space="0" w:color="auto"/>
        <w:left w:val="none" w:sz="0" w:space="0" w:color="auto"/>
        <w:bottom w:val="none" w:sz="0" w:space="0" w:color="auto"/>
        <w:right w:val="none" w:sz="0" w:space="0" w:color="auto"/>
      </w:divBdr>
    </w:div>
    <w:div w:id="1794206767">
      <w:bodyDiv w:val="1"/>
      <w:marLeft w:val="0"/>
      <w:marRight w:val="0"/>
      <w:marTop w:val="0"/>
      <w:marBottom w:val="0"/>
      <w:divBdr>
        <w:top w:val="none" w:sz="0" w:space="0" w:color="auto"/>
        <w:left w:val="none" w:sz="0" w:space="0" w:color="auto"/>
        <w:bottom w:val="none" w:sz="0" w:space="0" w:color="auto"/>
        <w:right w:val="none" w:sz="0" w:space="0" w:color="auto"/>
      </w:divBdr>
    </w:div>
    <w:div w:id="1794395805">
      <w:bodyDiv w:val="1"/>
      <w:marLeft w:val="0"/>
      <w:marRight w:val="0"/>
      <w:marTop w:val="0"/>
      <w:marBottom w:val="0"/>
      <w:divBdr>
        <w:top w:val="none" w:sz="0" w:space="0" w:color="auto"/>
        <w:left w:val="none" w:sz="0" w:space="0" w:color="auto"/>
        <w:bottom w:val="none" w:sz="0" w:space="0" w:color="auto"/>
        <w:right w:val="none" w:sz="0" w:space="0" w:color="auto"/>
      </w:divBdr>
    </w:div>
    <w:div w:id="1795826655">
      <w:bodyDiv w:val="1"/>
      <w:marLeft w:val="0"/>
      <w:marRight w:val="0"/>
      <w:marTop w:val="0"/>
      <w:marBottom w:val="0"/>
      <w:divBdr>
        <w:top w:val="none" w:sz="0" w:space="0" w:color="auto"/>
        <w:left w:val="none" w:sz="0" w:space="0" w:color="auto"/>
        <w:bottom w:val="none" w:sz="0" w:space="0" w:color="auto"/>
        <w:right w:val="none" w:sz="0" w:space="0" w:color="auto"/>
      </w:divBdr>
    </w:div>
    <w:div w:id="1796019459">
      <w:bodyDiv w:val="1"/>
      <w:marLeft w:val="0"/>
      <w:marRight w:val="0"/>
      <w:marTop w:val="0"/>
      <w:marBottom w:val="0"/>
      <w:divBdr>
        <w:top w:val="none" w:sz="0" w:space="0" w:color="auto"/>
        <w:left w:val="none" w:sz="0" w:space="0" w:color="auto"/>
        <w:bottom w:val="none" w:sz="0" w:space="0" w:color="auto"/>
        <w:right w:val="none" w:sz="0" w:space="0" w:color="auto"/>
      </w:divBdr>
    </w:div>
    <w:div w:id="1796364098">
      <w:bodyDiv w:val="1"/>
      <w:marLeft w:val="0"/>
      <w:marRight w:val="0"/>
      <w:marTop w:val="0"/>
      <w:marBottom w:val="0"/>
      <w:divBdr>
        <w:top w:val="none" w:sz="0" w:space="0" w:color="auto"/>
        <w:left w:val="none" w:sz="0" w:space="0" w:color="auto"/>
        <w:bottom w:val="none" w:sz="0" w:space="0" w:color="auto"/>
        <w:right w:val="none" w:sz="0" w:space="0" w:color="auto"/>
      </w:divBdr>
    </w:div>
    <w:div w:id="1796604733">
      <w:bodyDiv w:val="1"/>
      <w:marLeft w:val="0"/>
      <w:marRight w:val="0"/>
      <w:marTop w:val="0"/>
      <w:marBottom w:val="0"/>
      <w:divBdr>
        <w:top w:val="none" w:sz="0" w:space="0" w:color="auto"/>
        <w:left w:val="none" w:sz="0" w:space="0" w:color="auto"/>
        <w:bottom w:val="none" w:sz="0" w:space="0" w:color="auto"/>
        <w:right w:val="none" w:sz="0" w:space="0" w:color="auto"/>
      </w:divBdr>
    </w:div>
    <w:div w:id="1797212579">
      <w:bodyDiv w:val="1"/>
      <w:marLeft w:val="0"/>
      <w:marRight w:val="0"/>
      <w:marTop w:val="0"/>
      <w:marBottom w:val="0"/>
      <w:divBdr>
        <w:top w:val="none" w:sz="0" w:space="0" w:color="auto"/>
        <w:left w:val="none" w:sz="0" w:space="0" w:color="auto"/>
        <w:bottom w:val="none" w:sz="0" w:space="0" w:color="auto"/>
        <w:right w:val="none" w:sz="0" w:space="0" w:color="auto"/>
      </w:divBdr>
    </w:div>
    <w:div w:id="1797790800">
      <w:bodyDiv w:val="1"/>
      <w:marLeft w:val="0"/>
      <w:marRight w:val="0"/>
      <w:marTop w:val="0"/>
      <w:marBottom w:val="0"/>
      <w:divBdr>
        <w:top w:val="none" w:sz="0" w:space="0" w:color="auto"/>
        <w:left w:val="none" w:sz="0" w:space="0" w:color="auto"/>
        <w:bottom w:val="none" w:sz="0" w:space="0" w:color="auto"/>
        <w:right w:val="none" w:sz="0" w:space="0" w:color="auto"/>
      </w:divBdr>
    </w:div>
    <w:div w:id="1797985923">
      <w:bodyDiv w:val="1"/>
      <w:marLeft w:val="0"/>
      <w:marRight w:val="0"/>
      <w:marTop w:val="0"/>
      <w:marBottom w:val="0"/>
      <w:divBdr>
        <w:top w:val="none" w:sz="0" w:space="0" w:color="auto"/>
        <w:left w:val="none" w:sz="0" w:space="0" w:color="auto"/>
        <w:bottom w:val="none" w:sz="0" w:space="0" w:color="auto"/>
        <w:right w:val="none" w:sz="0" w:space="0" w:color="auto"/>
      </w:divBdr>
    </w:div>
    <w:div w:id="1798404695">
      <w:bodyDiv w:val="1"/>
      <w:marLeft w:val="0"/>
      <w:marRight w:val="0"/>
      <w:marTop w:val="0"/>
      <w:marBottom w:val="0"/>
      <w:divBdr>
        <w:top w:val="none" w:sz="0" w:space="0" w:color="auto"/>
        <w:left w:val="none" w:sz="0" w:space="0" w:color="auto"/>
        <w:bottom w:val="none" w:sz="0" w:space="0" w:color="auto"/>
        <w:right w:val="none" w:sz="0" w:space="0" w:color="auto"/>
      </w:divBdr>
    </w:div>
    <w:div w:id="1798447545">
      <w:bodyDiv w:val="1"/>
      <w:marLeft w:val="0"/>
      <w:marRight w:val="0"/>
      <w:marTop w:val="0"/>
      <w:marBottom w:val="0"/>
      <w:divBdr>
        <w:top w:val="none" w:sz="0" w:space="0" w:color="auto"/>
        <w:left w:val="none" w:sz="0" w:space="0" w:color="auto"/>
        <w:bottom w:val="none" w:sz="0" w:space="0" w:color="auto"/>
        <w:right w:val="none" w:sz="0" w:space="0" w:color="auto"/>
      </w:divBdr>
    </w:div>
    <w:div w:id="1799185267">
      <w:bodyDiv w:val="1"/>
      <w:marLeft w:val="0"/>
      <w:marRight w:val="0"/>
      <w:marTop w:val="0"/>
      <w:marBottom w:val="0"/>
      <w:divBdr>
        <w:top w:val="none" w:sz="0" w:space="0" w:color="auto"/>
        <w:left w:val="none" w:sz="0" w:space="0" w:color="auto"/>
        <w:bottom w:val="none" w:sz="0" w:space="0" w:color="auto"/>
        <w:right w:val="none" w:sz="0" w:space="0" w:color="auto"/>
      </w:divBdr>
    </w:div>
    <w:div w:id="1800563463">
      <w:bodyDiv w:val="1"/>
      <w:marLeft w:val="0"/>
      <w:marRight w:val="0"/>
      <w:marTop w:val="0"/>
      <w:marBottom w:val="0"/>
      <w:divBdr>
        <w:top w:val="none" w:sz="0" w:space="0" w:color="auto"/>
        <w:left w:val="none" w:sz="0" w:space="0" w:color="auto"/>
        <w:bottom w:val="none" w:sz="0" w:space="0" w:color="auto"/>
        <w:right w:val="none" w:sz="0" w:space="0" w:color="auto"/>
      </w:divBdr>
    </w:div>
    <w:div w:id="1800568466">
      <w:bodyDiv w:val="1"/>
      <w:marLeft w:val="0"/>
      <w:marRight w:val="0"/>
      <w:marTop w:val="0"/>
      <w:marBottom w:val="0"/>
      <w:divBdr>
        <w:top w:val="none" w:sz="0" w:space="0" w:color="auto"/>
        <w:left w:val="none" w:sz="0" w:space="0" w:color="auto"/>
        <w:bottom w:val="none" w:sz="0" w:space="0" w:color="auto"/>
        <w:right w:val="none" w:sz="0" w:space="0" w:color="auto"/>
      </w:divBdr>
    </w:div>
    <w:div w:id="1800683381">
      <w:bodyDiv w:val="1"/>
      <w:marLeft w:val="0"/>
      <w:marRight w:val="0"/>
      <w:marTop w:val="0"/>
      <w:marBottom w:val="0"/>
      <w:divBdr>
        <w:top w:val="none" w:sz="0" w:space="0" w:color="auto"/>
        <w:left w:val="none" w:sz="0" w:space="0" w:color="auto"/>
        <w:bottom w:val="none" w:sz="0" w:space="0" w:color="auto"/>
        <w:right w:val="none" w:sz="0" w:space="0" w:color="auto"/>
      </w:divBdr>
    </w:div>
    <w:div w:id="1801532937">
      <w:bodyDiv w:val="1"/>
      <w:marLeft w:val="0"/>
      <w:marRight w:val="0"/>
      <w:marTop w:val="0"/>
      <w:marBottom w:val="0"/>
      <w:divBdr>
        <w:top w:val="none" w:sz="0" w:space="0" w:color="auto"/>
        <w:left w:val="none" w:sz="0" w:space="0" w:color="auto"/>
        <w:bottom w:val="none" w:sz="0" w:space="0" w:color="auto"/>
        <w:right w:val="none" w:sz="0" w:space="0" w:color="auto"/>
      </w:divBdr>
    </w:div>
    <w:div w:id="1801608850">
      <w:bodyDiv w:val="1"/>
      <w:marLeft w:val="0"/>
      <w:marRight w:val="0"/>
      <w:marTop w:val="0"/>
      <w:marBottom w:val="0"/>
      <w:divBdr>
        <w:top w:val="none" w:sz="0" w:space="0" w:color="auto"/>
        <w:left w:val="none" w:sz="0" w:space="0" w:color="auto"/>
        <w:bottom w:val="none" w:sz="0" w:space="0" w:color="auto"/>
        <w:right w:val="none" w:sz="0" w:space="0" w:color="auto"/>
      </w:divBdr>
    </w:div>
    <w:div w:id="1802260080">
      <w:bodyDiv w:val="1"/>
      <w:marLeft w:val="0"/>
      <w:marRight w:val="0"/>
      <w:marTop w:val="0"/>
      <w:marBottom w:val="0"/>
      <w:divBdr>
        <w:top w:val="none" w:sz="0" w:space="0" w:color="auto"/>
        <w:left w:val="none" w:sz="0" w:space="0" w:color="auto"/>
        <w:bottom w:val="none" w:sz="0" w:space="0" w:color="auto"/>
        <w:right w:val="none" w:sz="0" w:space="0" w:color="auto"/>
      </w:divBdr>
    </w:div>
    <w:div w:id="1802574047">
      <w:bodyDiv w:val="1"/>
      <w:marLeft w:val="0"/>
      <w:marRight w:val="0"/>
      <w:marTop w:val="0"/>
      <w:marBottom w:val="0"/>
      <w:divBdr>
        <w:top w:val="none" w:sz="0" w:space="0" w:color="auto"/>
        <w:left w:val="none" w:sz="0" w:space="0" w:color="auto"/>
        <w:bottom w:val="none" w:sz="0" w:space="0" w:color="auto"/>
        <w:right w:val="none" w:sz="0" w:space="0" w:color="auto"/>
      </w:divBdr>
    </w:div>
    <w:div w:id="1803302839">
      <w:bodyDiv w:val="1"/>
      <w:marLeft w:val="0"/>
      <w:marRight w:val="0"/>
      <w:marTop w:val="0"/>
      <w:marBottom w:val="0"/>
      <w:divBdr>
        <w:top w:val="none" w:sz="0" w:space="0" w:color="auto"/>
        <w:left w:val="none" w:sz="0" w:space="0" w:color="auto"/>
        <w:bottom w:val="none" w:sz="0" w:space="0" w:color="auto"/>
        <w:right w:val="none" w:sz="0" w:space="0" w:color="auto"/>
      </w:divBdr>
    </w:div>
    <w:div w:id="1803497758">
      <w:bodyDiv w:val="1"/>
      <w:marLeft w:val="0"/>
      <w:marRight w:val="0"/>
      <w:marTop w:val="0"/>
      <w:marBottom w:val="0"/>
      <w:divBdr>
        <w:top w:val="none" w:sz="0" w:space="0" w:color="auto"/>
        <w:left w:val="none" w:sz="0" w:space="0" w:color="auto"/>
        <w:bottom w:val="none" w:sz="0" w:space="0" w:color="auto"/>
        <w:right w:val="none" w:sz="0" w:space="0" w:color="auto"/>
      </w:divBdr>
    </w:div>
    <w:div w:id="1803693488">
      <w:bodyDiv w:val="1"/>
      <w:marLeft w:val="0"/>
      <w:marRight w:val="0"/>
      <w:marTop w:val="0"/>
      <w:marBottom w:val="0"/>
      <w:divBdr>
        <w:top w:val="none" w:sz="0" w:space="0" w:color="auto"/>
        <w:left w:val="none" w:sz="0" w:space="0" w:color="auto"/>
        <w:bottom w:val="none" w:sz="0" w:space="0" w:color="auto"/>
        <w:right w:val="none" w:sz="0" w:space="0" w:color="auto"/>
      </w:divBdr>
    </w:div>
    <w:div w:id="1803961309">
      <w:bodyDiv w:val="1"/>
      <w:marLeft w:val="0"/>
      <w:marRight w:val="0"/>
      <w:marTop w:val="0"/>
      <w:marBottom w:val="0"/>
      <w:divBdr>
        <w:top w:val="none" w:sz="0" w:space="0" w:color="auto"/>
        <w:left w:val="none" w:sz="0" w:space="0" w:color="auto"/>
        <w:bottom w:val="none" w:sz="0" w:space="0" w:color="auto"/>
        <w:right w:val="none" w:sz="0" w:space="0" w:color="auto"/>
      </w:divBdr>
    </w:div>
    <w:div w:id="1804470199">
      <w:bodyDiv w:val="1"/>
      <w:marLeft w:val="0"/>
      <w:marRight w:val="0"/>
      <w:marTop w:val="0"/>
      <w:marBottom w:val="0"/>
      <w:divBdr>
        <w:top w:val="none" w:sz="0" w:space="0" w:color="auto"/>
        <w:left w:val="none" w:sz="0" w:space="0" w:color="auto"/>
        <w:bottom w:val="none" w:sz="0" w:space="0" w:color="auto"/>
        <w:right w:val="none" w:sz="0" w:space="0" w:color="auto"/>
      </w:divBdr>
    </w:div>
    <w:div w:id="1804494663">
      <w:bodyDiv w:val="1"/>
      <w:marLeft w:val="0"/>
      <w:marRight w:val="0"/>
      <w:marTop w:val="0"/>
      <w:marBottom w:val="0"/>
      <w:divBdr>
        <w:top w:val="none" w:sz="0" w:space="0" w:color="auto"/>
        <w:left w:val="none" w:sz="0" w:space="0" w:color="auto"/>
        <w:bottom w:val="none" w:sz="0" w:space="0" w:color="auto"/>
        <w:right w:val="none" w:sz="0" w:space="0" w:color="auto"/>
      </w:divBdr>
    </w:div>
    <w:div w:id="1805417323">
      <w:bodyDiv w:val="1"/>
      <w:marLeft w:val="0"/>
      <w:marRight w:val="0"/>
      <w:marTop w:val="0"/>
      <w:marBottom w:val="0"/>
      <w:divBdr>
        <w:top w:val="none" w:sz="0" w:space="0" w:color="auto"/>
        <w:left w:val="none" w:sz="0" w:space="0" w:color="auto"/>
        <w:bottom w:val="none" w:sz="0" w:space="0" w:color="auto"/>
        <w:right w:val="none" w:sz="0" w:space="0" w:color="auto"/>
      </w:divBdr>
    </w:div>
    <w:div w:id="1807315914">
      <w:bodyDiv w:val="1"/>
      <w:marLeft w:val="0"/>
      <w:marRight w:val="0"/>
      <w:marTop w:val="0"/>
      <w:marBottom w:val="0"/>
      <w:divBdr>
        <w:top w:val="none" w:sz="0" w:space="0" w:color="auto"/>
        <w:left w:val="none" w:sz="0" w:space="0" w:color="auto"/>
        <w:bottom w:val="none" w:sz="0" w:space="0" w:color="auto"/>
        <w:right w:val="none" w:sz="0" w:space="0" w:color="auto"/>
      </w:divBdr>
    </w:div>
    <w:div w:id="1807358145">
      <w:bodyDiv w:val="1"/>
      <w:marLeft w:val="0"/>
      <w:marRight w:val="0"/>
      <w:marTop w:val="0"/>
      <w:marBottom w:val="0"/>
      <w:divBdr>
        <w:top w:val="none" w:sz="0" w:space="0" w:color="auto"/>
        <w:left w:val="none" w:sz="0" w:space="0" w:color="auto"/>
        <w:bottom w:val="none" w:sz="0" w:space="0" w:color="auto"/>
        <w:right w:val="none" w:sz="0" w:space="0" w:color="auto"/>
      </w:divBdr>
    </w:div>
    <w:div w:id="1807628347">
      <w:bodyDiv w:val="1"/>
      <w:marLeft w:val="0"/>
      <w:marRight w:val="0"/>
      <w:marTop w:val="0"/>
      <w:marBottom w:val="0"/>
      <w:divBdr>
        <w:top w:val="none" w:sz="0" w:space="0" w:color="auto"/>
        <w:left w:val="none" w:sz="0" w:space="0" w:color="auto"/>
        <w:bottom w:val="none" w:sz="0" w:space="0" w:color="auto"/>
        <w:right w:val="none" w:sz="0" w:space="0" w:color="auto"/>
      </w:divBdr>
    </w:div>
    <w:div w:id="1808208611">
      <w:bodyDiv w:val="1"/>
      <w:marLeft w:val="0"/>
      <w:marRight w:val="0"/>
      <w:marTop w:val="0"/>
      <w:marBottom w:val="0"/>
      <w:divBdr>
        <w:top w:val="none" w:sz="0" w:space="0" w:color="auto"/>
        <w:left w:val="none" w:sz="0" w:space="0" w:color="auto"/>
        <w:bottom w:val="none" w:sz="0" w:space="0" w:color="auto"/>
        <w:right w:val="none" w:sz="0" w:space="0" w:color="auto"/>
      </w:divBdr>
    </w:div>
    <w:div w:id="1808467969">
      <w:bodyDiv w:val="1"/>
      <w:marLeft w:val="0"/>
      <w:marRight w:val="0"/>
      <w:marTop w:val="0"/>
      <w:marBottom w:val="0"/>
      <w:divBdr>
        <w:top w:val="none" w:sz="0" w:space="0" w:color="auto"/>
        <w:left w:val="none" w:sz="0" w:space="0" w:color="auto"/>
        <w:bottom w:val="none" w:sz="0" w:space="0" w:color="auto"/>
        <w:right w:val="none" w:sz="0" w:space="0" w:color="auto"/>
      </w:divBdr>
    </w:div>
    <w:div w:id="1808468505">
      <w:bodyDiv w:val="1"/>
      <w:marLeft w:val="0"/>
      <w:marRight w:val="0"/>
      <w:marTop w:val="0"/>
      <w:marBottom w:val="0"/>
      <w:divBdr>
        <w:top w:val="none" w:sz="0" w:space="0" w:color="auto"/>
        <w:left w:val="none" w:sz="0" w:space="0" w:color="auto"/>
        <w:bottom w:val="none" w:sz="0" w:space="0" w:color="auto"/>
        <w:right w:val="none" w:sz="0" w:space="0" w:color="auto"/>
      </w:divBdr>
    </w:div>
    <w:div w:id="1808548809">
      <w:bodyDiv w:val="1"/>
      <w:marLeft w:val="0"/>
      <w:marRight w:val="0"/>
      <w:marTop w:val="0"/>
      <w:marBottom w:val="0"/>
      <w:divBdr>
        <w:top w:val="none" w:sz="0" w:space="0" w:color="auto"/>
        <w:left w:val="none" w:sz="0" w:space="0" w:color="auto"/>
        <w:bottom w:val="none" w:sz="0" w:space="0" w:color="auto"/>
        <w:right w:val="none" w:sz="0" w:space="0" w:color="auto"/>
      </w:divBdr>
    </w:div>
    <w:div w:id="1810244622">
      <w:bodyDiv w:val="1"/>
      <w:marLeft w:val="0"/>
      <w:marRight w:val="0"/>
      <w:marTop w:val="0"/>
      <w:marBottom w:val="0"/>
      <w:divBdr>
        <w:top w:val="none" w:sz="0" w:space="0" w:color="auto"/>
        <w:left w:val="none" w:sz="0" w:space="0" w:color="auto"/>
        <w:bottom w:val="none" w:sz="0" w:space="0" w:color="auto"/>
        <w:right w:val="none" w:sz="0" w:space="0" w:color="auto"/>
      </w:divBdr>
    </w:div>
    <w:div w:id="1813012091">
      <w:bodyDiv w:val="1"/>
      <w:marLeft w:val="0"/>
      <w:marRight w:val="0"/>
      <w:marTop w:val="0"/>
      <w:marBottom w:val="0"/>
      <w:divBdr>
        <w:top w:val="none" w:sz="0" w:space="0" w:color="auto"/>
        <w:left w:val="none" w:sz="0" w:space="0" w:color="auto"/>
        <w:bottom w:val="none" w:sz="0" w:space="0" w:color="auto"/>
        <w:right w:val="none" w:sz="0" w:space="0" w:color="auto"/>
      </w:divBdr>
    </w:div>
    <w:div w:id="1815096104">
      <w:bodyDiv w:val="1"/>
      <w:marLeft w:val="0"/>
      <w:marRight w:val="0"/>
      <w:marTop w:val="0"/>
      <w:marBottom w:val="0"/>
      <w:divBdr>
        <w:top w:val="none" w:sz="0" w:space="0" w:color="auto"/>
        <w:left w:val="none" w:sz="0" w:space="0" w:color="auto"/>
        <w:bottom w:val="none" w:sz="0" w:space="0" w:color="auto"/>
        <w:right w:val="none" w:sz="0" w:space="0" w:color="auto"/>
      </w:divBdr>
    </w:div>
    <w:div w:id="1815220001">
      <w:bodyDiv w:val="1"/>
      <w:marLeft w:val="0"/>
      <w:marRight w:val="0"/>
      <w:marTop w:val="0"/>
      <w:marBottom w:val="0"/>
      <w:divBdr>
        <w:top w:val="none" w:sz="0" w:space="0" w:color="auto"/>
        <w:left w:val="none" w:sz="0" w:space="0" w:color="auto"/>
        <w:bottom w:val="none" w:sz="0" w:space="0" w:color="auto"/>
        <w:right w:val="none" w:sz="0" w:space="0" w:color="auto"/>
      </w:divBdr>
    </w:div>
    <w:div w:id="1815369921">
      <w:bodyDiv w:val="1"/>
      <w:marLeft w:val="0"/>
      <w:marRight w:val="0"/>
      <w:marTop w:val="0"/>
      <w:marBottom w:val="0"/>
      <w:divBdr>
        <w:top w:val="none" w:sz="0" w:space="0" w:color="auto"/>
        <w:left w:val="none" w:sz="0" w:space="0" w:color="auto"/>
        <w:bottom w:val="none" w:sz="0" w:space="0" w:color="auto"/>
        <w:right w:val="none" w:sz="0" w:space="0" w:color="auto"/>
      </w:divBdr>
    </w:div>
    <w:div w:id="1816026458">
      <w:bodyDiv w:val="1"/>
      <w:marLeft w:val="0"/>
      <w:marRight w:val="0"/>
      <w:marTop w:val="0"/>
      <w:marBottom w:val="0"/>
      <w:divBdr>
        <w:top w:val="none" w:sz="0" w:space="0" w:color="auto"/>
        <w:left w:val="none" w:sz="0" w:space="0" w:color="auto"/>
        <w:bottom w:val="none" w:sz="0" w:space="0" w:color="auto"/>
        <w:right w:val="none" w:sz="0" w:space="0" w:color="auto"/>
      </w:divBdr>
    </w:div>
    <w:div w:id="1817138054">
      <w:bodyDiv w:val="1"/>
      <w:marLeft w:val="0"/>
      <w:marRight w:val="0"/>
      <w:marTop w:val="0"/>
      <w:marBottom w:val="0"/>
      <w:divBdr>
        <w:top w:val="none" w:sz="0" w:space="0" w:color="auto"/>
        <w:left w:val="none" w:sz="0" w:space="0" w:color="auto"/>
        <w:bottom w:val="none" w:sz="0" w:space="0" w:color="auto"/>
        <w:right w:val="none" w:sz="0" w:space="0" w:color="auto"/>
      </w:divBdr>
    </w:div>
    <w:div w:id="1818958404">
      <w:bodyDiv w:val="1"/>
      <w:marLeft w:val="0"/>
      <w:marRight w:val="0"/>
      <w:marTop w:val="0"/>
      <w:marBottom w:val="0"/>
      <w:divBdr>
        <w:top w:val="none" w:sz="0" w:space="0" w:color="auto"/>
        <w:left w:val="none" w:sz="0" w:space="0" w:color="auto"/>
        <w:bottom w:val="none" w:sz="0" w:space="0" w:color="auto"/>
        <w:right w:val="none" w:sz="0" w:space="0" w:color="auto"/>
      </w:divBdr>
    </w:div>
    <w:div w:id="1822232067">
      <w:bodyDiv w:val="1"/>
      <w:marLeft w:val="0"/>
      <w:marRight w:val="0"/>
      <w:marTop w:val="0"/>
      <w:marBottom w:val="0"/>
      <w:divBdr>
        <w:top w:val="none" w:sz="0" w:space="0" w:color="auto"/>
        <w:left w:val="none" w:sz="0" w:space="0" w:color="auto"/>
        <w:bottom w:val="none" w:sz="0" w:space="0" w:color="auto"/>
        <w:right w:val="none" w:sz="0" w:space="0" w:color="auto"/>
      </w:divBdr>
    </w:div>
    <w:div w:id="1822502185">
      <w:bodyDiv w:val="1"/>
      <w:marLeft w:val="0"/>
      <w:marRight w:val="0"/>
      <w:marTop w:val="0"/>
      <w:marBottom w:val="0"/>
      <w:divBdr>
        <w:top w:val="none" w:sz="0" w:space="0" w:color="auto"/>
        <w:left w:val="none" w:sz="0" w:space="0" w:color="auto"/>
        <w:bottom w:val="none" w:sz="0" w:space="0" w:color="auto"/>
        <w:right w:val="none" w:sz="0" w:space="0" w:color="auto"/>
      </w:divBdr>
    </w:div>
    <w:div w:id="1823304937">
      <w:bodyDiv w:val="1"/>
      <w:marLeft w:val="0"/>
      <w:marRight w:val="0"/>
      <w:marTop w:val="0"/>
      <w:marBottom w:val="0"/>
      <w:divBdr>
        <w:top w:val="none" w:sz="0" w:space="0" w:color="auto"/>
        <w:left w:val="none" w:sz="0" w:space="0" w:color="auto"/>
        <w:bottom w:val="none" w:sz="0" w:space="0" w:color="auto"/>
        <w:right w:val="none" w:sz="0" w:space="0" w:color="auto"/>
      </w:divBdr>
    </w:div>
    <w:div w:id="1823545617">
      <w:bodyDiv w:val="1"/>
      <w:marLeft w:val="0"/>
      <w:marRight w:val="0"/>
      <w:marTop w:val="0"/>
      <w:marBottom w:val="0"/>
      <w:divBdr>
        <w:top w:val="none" w:sz="0" w:space="0" w:color="auto"/>
        <w:left w:val="none" w:sz="0" w:space="0" w:color="auto"/>
        <w:bottom w:val="none" w:sz="0" w:space="0" w:color="auto"/>
        <w:right w:val="none" w:sz="0" w:space="0" w:color="auto"/>
      </w:divBdr>
    </w:div>
    <w:div w:id="1823738635">
      <w:bodyDiv w:val="1"/>
      <w:marLeft w:val="0"/>
      <w:marRight w:val="0"/>
      <w:marTop w:val="0"/>
      <w:marBottom w:val="0"/>
      <w:divBdr>
        <w:top w:val="none" w:sz="0" w:space="0" w:color="auto"/>
        <w:left w:val="none" w:sz="0" w:space="0" w:color="auto"/>
        <w:bottom w:val="none" w:sz="0" w:space="0" w:color="auto"/>
        <w:right w:val="none" w:sz="0" w:space="0" w:color="auto"/>
      </w:divBdr>
    </w:div>
    <w:div w:id="1823886218">
      <w:bodyDiv w:val="1"/>
      <w:marLeft w:val="0"/>
      <w:marRight w:val="0"/>
      <w:marTop w:val="0"/>
      <w:marBottom w:val="0"/>
      <w:divBdr>
        <w:top w:val="none" w:sz="0" w:space="0" w:color="auto"/>
        <w:left w:val="none" w:sz="0" w:space="0" w:color="auto"/>
        <w:bottom w:val="none" w:sz="0" w:space="0" w:color="auto"/>
        <w:right w:val="none" w:sz="0" w:space="0" w:color="auto"/>
      </w:divBdr>
    </w:div>
    <w:div w:id="1824857651">
      <w:bodyDiv w:val="1"/>
      <w:marLeft w:val="0"/>
      <w:marRight w:val="0"/>
      <w:marTop w:val="0"/>
      <w:marBottom w:val="0"/>
      <w:divBdr>
        <w:top w:val="none" w:sz="0" w:space="0" w:color="auto"/>
        <w:left w:val="none" w:sz="0" w:space="0" w:color="auto"/>
        <w:bottom w:val="none" w:sz="0" w:space="0" w:color="auto"/>
        <w:right w:val="none" w:sz="0" w:space="0" w:color="auto"/>
      </w:divBdr>
    </w:div>
    <w:div w:id="1825123504">
      <w:bodyDiv w:val="1"/>
      <w:marLeft w:val="0"/>
      <w:marRight w:val="0"/>
      <w:marTop w:val="0"/>
      <w:marBottom w:val="0"/>
      <w:divBdr>
        <w:top w:val="none" w:sz="0" w:space="0" w:color="auto"/>
        <w:left w:val="none" w:sz="0" w:space="0" w:color="auto"/>
        <w:bottom w:val="none" w:sz="0" w:space="0" w:color="auto"/>
        <w:right w:val="none" w:sz="0" w:space="0" w:color="auto"/>
      </w:divBdr>
    </w:div>
    <w:div w:id="1825511676">
      <w:bodyDiv w:val="1"/>
      <w:marLeft w:val="0"/>
      <w:marRight w:val="0"/>
      <w:marTop w:val="0"/>
      <w:marBottom w:val="0"/>
      <w:divBdr>
        <w:top w:val="none" w:sz="0" w:space="0" w:color="auto"/>
        <w:left w:val="none" w:sz="0" w:space="0" w:color="auto"/>
        <w:bottom w:val="none" w:sz="0" w:space="0" w:color="auto"/>
        <w:right w:val="none" w:sz="0" w:space="0" w:color="auto"/>
      </w:divBdr>
    </w:div>
    <w:div w:id="1826705569">
      <w:bodyDiv w:val="1"/>
      <w:marLeft w:val="0"/>
      <w:marRight w:val="0"/>
      <w:marTop w:val="0"/>
      <w:marBottom w:val="0"/>
      <w:divBdr>
        <w:top w:val="none" w:sz="0" w:space="0" w:color="auto"/>
        <w:left w:val="none" w:sz="0" w:space="0" w:color="auto"/>
        <w:bottom w:val="none" w:sz="0" w:space="0" w:color="auto"/>
        <w:right w:val="none" w:sz="0" w:space="0" w:color="auto"/>
      </w:divBdr>
    </w:div>
    <w:div w:id="1827545906">
      <w:bodyDiv w:val="1"/>
      <w:marLeft w:val="0"/>
      <w:marRight w:val="0"/>
      <w:marTop w:val="0"/>
      <w:marBottom w:val="0"/>
      <w:divBdr>
        <w:top w:val="none" w:sz="0" w:space="0" w:color="auto"/>
        <w:left w:val="none" w:sz="0" w:space="0" w:color="auto"/>
        <w:bottom w:val="none" w:sz="0" w:space="0" w:color="auto"/>
        <w:right w:val="none" w:sz="0" w:space="0" w:color="auto"/>
      </w:divBdr>
    </w:div>
    <w:div w:id="1827816605">
      <w:bodyDiv w:val="1"/>
      <w:marLeft w:val="0"/>
      <w:marRight w:val="0"/>
      <w:marTop w:val="0"/>
      <w:marBottom w:val="0"/>
      <w:divBdr>
        <w:top w:val="none" w:sz="0" w:space="0" w:color="auto"/>
        <w:left w:val="none" w:sz="0" w:space="0" w:color="auto"/>
        <w:bottom w:val="none" w:sz="0" w:space="0" w:color="auto"/>
        <w:right w:val="none" w:sz="0" w:space="0" w:color="auto"/>
      </w:divBdr>
    </w:div>
    <w:div w:id="1828590649">
      <w:bodyDiv w:val="1"/>
      <w:marLeft w:val="0"/>
      <w:marRight w:val="0"/>
      <w:marTop w:val="0"/>
      <w:marBottom w:val="0"/>
      <w:divBdr>
        <w:top w:val="none" w:sz="0" w:space="0" w:color="auto"/>
        <w:left w:val="none" w:sz="0" w:space="0" w:color="auto"/>
        <w:bottom w:val="none" w:sz="0" w:space="0" w:color="auto"/>
        <w:right w:val="none" w:sz="0" w:space="0" w:color="auto"/>
      </w:divBdr>
    </w:div>
    <w:div w:id="1829058837">
      <w:bodyDiv w:val="1"/>
      <w:marLeft w:val="0"/>
      <w:marRight w:val="0"/>
      <w:marTop w:val="0"/>
      <w:marBottom w:val="0"/>
      <w:divBdr>
        <w:top w:val="none" w:sz="0" w:space="0" w:color="auto"/>
        <w:left w:val="none" w:sz="0" w:space="0" w:color="auto"/>
        <w:bottom w:val="none" w:sz="0" w:space="0" w:color="auto"/>
        <w:right w:val="none" w:sz="0" w:space="0" w:color="auto"/>
      </w:divBdr>
    </w:div>
    <w:div w:id="1829319062">
      <w:bodyDiv w:val="1"/>
      <w:marLeft w:val="0"/>
      <w:marRight w:val="0"/>
      <w:marTop w:val="0"/>
      <w:marBottom w:val="0"/>
      <w:divBdr>
        <w:top w:val="none" w:sz="0" w:space="0" w:color="auto"/>
        <w:left w:val="none" w:sz="0" w:space="0" w:color="auto"/>
        <w:bottom w:val="none" w:sz="0" w:space="0" w:color="auto"/>
        <w:right w:val="none" w:sz="0" w:space="0" w:color="auto"/>
      </w:divBdr>
    </w:div>
    <w:div w:id="1829664999">
      <w:bodyDiv w:val="1"/>
      <w:marLeft w:val="0"/>
      <w:marRight w:val="0"/>
      <w:marTop w:val="0"/>
      <w:marBottom w:val="0"/>
      <w:divBdr>
        <w:top w:val="none" w:sz="0" w:space="0" w:color="auto"/>
        <w:left w:val="none" w:sz="0" w:space="0" w:color="auto"/>
        <w:bottom w:val="none" w:sz="0" w:space="0" w:color="auto"/>
        <w:right w:val="none" w:sz="0" w:space="0" w:color="auto"/>
      </w:divBdr>
    </w:div>
    <w:div w:id="1830100613">
      <w:bodyDiv w:val="1"/>
      <w:marLeft w:val="0"/>
      <w:marRight w:val="0"/>
      <w:marTop w:val="0"/>
      <w:marBottom w:val="0"/>
      <w:divBdr>
        <w:top w:val="none" w:sz="0" w:space="0" w:color="auto"/>
        <w:left w:val="none" w:sz="0" w:space="0" w:color="auto"/>
        <w:bottom w:val="none" w:sz="0" w:space="0" w:color="auto"/>
        <w:right w:val="none" w:sz="0" w:space="0" w:color="auto"/>
      </w:divBdr>
    </w:div>
    <w:div w:id="1830170011">
      <w:bodyDiv w:val="1"/>
      <w:marLeft w:val="0"/>
      <w:marRight w:val="0"/>
      <w:marTop w:val="0"/>
      <w:marBottom w:val="0"/>
      <w:divBdr>
        <w:top w:val="none" w:sz="0" w:space="0" w:color="auto"/>
        <w:left w:val="none" w:sz="0" w:space="0" w:color="auto"/>
        <w:bottom w:val="none" w:sz="0" w:space="0" w:color="auto"/>
        <w:right w:val="none" w:sz="0" w:space="0" w:color="auto"/>
      </w:divBdr>
    </w:div>
    <w:div w:id="1830368055">
      <w:bodyDiv w:val="1"/>
      <w:marLeft w:val="0"/>
      <w:marRight w:val="0"/>
      <w:marTop w:val="0"/>
      <w:marBottom w:val="0"/>
      <w:divBdr>
        <w:top w:val="none" w:sz="0" w:space="0" w:color="auto"/>
        <w:left w:val="none" w:sz="0" w:space="0" w:color="auto"/>
        <w:bottom w:val="none" w:sz="0" w:space="0" w:color="auto"/>
        <w:right w:val="none" w:sz="0" w:space="0" w:color="auto"/>
      </w:divBdr>
    </w:div>
    <w:div w:id="1830906845">
      <w:bodyDiv w:val="1"/>
      <w:marLeft w:val="0"/>
      <w:marRight w:val="0"/>
      <w:marTop w:val="0"/>
      <w:marBottom w:val="0"/>
      <w:divBdr>
        <w:top w:val="none" w:sz="0" w:space="0" w:color="auto"/>
        <w:left w:val="none" w:sz="0" w:space="0" w:color="auto"/>
        <w:bottom w:val="none" w:sz="0" w:space="0" w:color="auto"/>
        <w:right w:val="none" w:sz="0" w:space="0" w:color="auto"/>
      </w:divBdr>
    </w:div>
    <w:div w:id="1831601049">
      <w:bodyDiv w:val="1"/>
      <w:marLeft w:val="0"/>
      <w:marRight w:val="0"/>
      <w:marTop w:val="0"/>
      <w:marBottom w:val="0"/>
      <w:divBdr>
        <w:top w:val="none" w:sz="0" w:space="0" w:color="auto"/>
        <w:left w:val="none" w:sz="0" w:space="0" w:color="auto"/>
        <w:bottom w:val="none" w:sz="0" w:space="0" w:color="auto"/>
        <w:right w:val="none" w:sz="0" w:space="0" w:color="auto"/>
      </w:divBdr>
    </w:div>
    <w:div w:id="1833794845">
      <w:bodyDiv w:val="1"/>
      <w:marLeft w:val="0"/>
      <w:marRight w:val="0"/>
      <w:marTop w:val="0"/>
      <w:marBottom w:val="0"/>
      <w:divBdr>
        <w:top w:val="none" w:sz="0" w:space="0" w:color="auto"/>
        <w:left w:val="none" w:sz="0" w:space="0" w:color="auto"/>
        <w:bottom w:val="none" w:sz="0" w:space="0" w:color="auto"/>
        <w:right w:val="none" w:sz="0" w:space="0" w:color="auto"/>
      </w:divBdr>
    </w:div>
    <w:div w:id="1833836781">
      <w:bodyDiv w:val="1"/>
      <w:marLeft w:val="0"/>
      <w:marRight w:val="0"/>
      <w:marTop w:val="0"/>
      <w:marBottom w:val="0"/>
      <w:divBdr>
        <w:top w:val="none" w:sz="0" w:space="0" w:color="auto"/>
        <w:left w:val="none" w:sz="0" w:space="0" w:color="auto"/>
        <w:bottom w:val="none" w:sz="0" w:space="0" w:color="auto"/>
        <w:right w:val="none" w:sz="0" w:space="0" w:color="auto"/>
      </w:divBdr>
    </w:div>
    <w:div w:id="1834175389">
      <w:bodyDiv w:val="1"/>
      <w:marLeft w:val="0"/>
      <w:marRight w:val="0"/>
      <w:marTop w:val="0"/>
      <w:marBottom w:val="0"/>
      <w:divBdr>
        <w:top w:val="none" w:sz="0" w:space="0" w:color="auto"/>
        <w:left w:val="none" w:sz="0" w:space="0" w:color="auto"/>
        <w:bottom w:val="none" w:sz="0" w:space="0" w:color="auto"/>
        <w:right w:val="none" w:sz="0" w:space="0" w:color="auto"/>
      </w:divBdr>
    </w:div>
    <w:div w:id="1835758051">
      <w:bodyDiv w:val="1"/>
      <w:marLeft w:val="0"/>
      <w:marRight w:val="0"/>
      <w:marTop w:val="0"/>
      <w:marBottom w:val="0"/>
      <w:divBdr>
        <w:top w:val="none" w:sz="0" w:space="0" w:color="auto"/>
        <w:left w:val="none" w:sz="0" w:space="0" w:color="auto"/>
        <w:bottom w:val="none" w:sz="0" w:space="0" w:color="auto"/>
        <w:right w:val="none" w:sz="0" w:space="0" w:color="auto"/>
      </w:divBdr>
    </w:div>
    <w:div w:id="1836216650">
      <w:bodyDiv w:val="1"/>
      <w:marLeft w:val="0"/>
      <w:marRight w:val="0"/>
      <w:marTop w:val="0"/>
      <w:marBottom w:val="0"/>
      <w:divBdr>
        <w:top w:val="none" w:sz="0" w:space="0" w:color="auto"/>
        <w:left w:val="none" w:sz="0" w:space="0" w:color="auto"/>
        <w:bottom w:val="none" w:sz="0" w:space="0" w:color="auto"/>
        <w:right w:val="none" w:sz="0" w:space="0" w:color="auto"/>
      </w:divBdr>
    </w:div>
    <w:div w:id="1836334664">
      <w:bodyDiv w:val="1"/>
      <w:marLeft w:val="0"/>
      <w:marRight w:val="0"/>
      <w:marTop w:val="0"/>
      <w:marBottom w:val="0"/>
      <w:divBdr>
        <w:top w:val="none" w:sz="0" w:space="0" w:color="auto"/>
        <w:left w:val="none" w:sz="0" w:space="0" w:color="auto"/>
        <w:bottom w:val="none" w:sz="0" w:space="0" w:color="auto"/>
        <w:right w:val="none" w:sz="0" w:space="0" w:color="auto"/>
      </w:divBdr>
    </w:div>
    <w:div w:id="1837381909">
      <w:bodyDiv w:val="1"/>
      <w:marLeft w:val="0"/>
      <w:marRight w:val="0"/>
      <w:marTop w:val="0"/>
      <w:marBottom w:val="0"/>
      <w:divBdr>
        <w:top w:val="none" w:sz="0" w:space="0" w:color="auto"/>
        <w:left w:val="none" w:sz="0" w:space="0" w:color="auto"/>
        <w:bottom w:val="none" w:sz="0" w:space="0" w:color="auto"/>
        <w:right w:val="none" w:sz="0" w:space="0" w:color="auto"/>
      </w:divBdr>
    </w:div>
    <w:div w:id="1838110065">
      <w:bodyDiv w:val="1"/>
      <w:marLeft w:val="0"/>
      <w:marRight w:val="0"/>
      <w:marTop w:val="0"/>
      <w:marBottom w:val="0"/>
      <w:divBdr>
        <w:top w:val="none" w:sz="0" w:space="0" w:color="auto"/>
        <w:left w:val="none" w:sz="0" w:space="0" w:color="auto"/>
        <w:bottom w:val="none" w:sz="0" w:space="0" w:color="auto"/>
        <w:right w:val="none" w:sz="0" w:space="0" w:color="auto"/>
      </w:divBdr>
    </w:div>
    <w:div w:id="1839466268">
      <w:bodyDiv w:val="1"/>
      <w:marLeft w:val="0"/>
      <w:marRight w:val="0"/>
      <w:marTop w:val="0"/>
      <w:marBottom w:val="0"/>
      <w:divBdr>
        <w:top w:val="none" w:sz="0" w:space="0" w:color="auto"/>
        <w:left w:val="none" w:sz="0" w:space="0" w:color="auto"/>
        <w:bottom w:val="none" w:sz="0" w:space="0" w:color="auto"/>
        <w:right w:val="none" w:sz="0" w:space="0" w:color="auto"/>
      </w:divBdr>
      <w:divsChild>
        <w:div w:id="1976452003">
          <w:marLeft w:val="0"/>
          <w:marRight w:val="0"/>
          <w:marTop w:val="0"/>
          <w:marBottom w:val="0"/>
          <w:divBdr>
            <w:top w:val="none" w:sz="0" w:space="0" w:color="auto"/>
            <w:left w:val="none" w:sz="0" w:space="0" w:color="auto"/>
            <w:bottom w:val="none" w:sz="0" w:space="0" w:color="auto"/>
            <w:right w:val="none" w:sz="0" w:space="0" w:color="auto"/>
          </w:divBdr>
        </w:div>
      </w:divsChild>
    </w:div>
    <w:div w:id="1840533239">
      <w:bodyDiv w:val="1"/>
      <w:marLeft w:val="0"/>
      <w:marRight w:val="0"/>
      <w:marTop w:val="0"/>
      <w:marBottom w:val="0"/>
      <w:divBdr>
        <w:top w:val="none" w:sz="0" w:space="0" w:color="auto"/>
        <w:left w:val="none" w:sz="0" w:space="0" w:color="auto"/>
        <w:bottom w:val="none" w:sz="0" w:space="0" w:color="auto"/>
        <w:right w:val="none" w:sz="0" w:space="0" w:color="auto"/>
      </w:divBdr>
    </w:div>
    <w:div w:id="1840540595">
      <w:bodyDiv w:val="1"/>
      <w:marLeft w:val="0"/>
      <w:marRight w:val="0"/>
      <w:marTop w:val="0"/>
      <w:marBottom w:val="0"/>
      <w:divBdr>
        <w:top w:val="none" w:sz="0" w:space="0" w:color="auto"/>
        <w:left w:val="none" w:sz="0" w:space="0" w:color="auto"/>
        <w:bottom w:val="none" w:sz="0" w:space="0" w:color="auto"/>
        <w:right w:val="none" w:sz="0" w:space="0" w:color="auto"/>
      </w:divBdr>
    </w:div>
    <w:div w:id="1842231715">
      <w:bodyDiv w:val="1"/>
      <w:marLeft w:val="0"/>
      <w:marRight w:val="0"/>
      <w:marTop w:val="0"/>
      <w:marBottom w:val="0"/>
      <w:divBdr>
        <w:top w:val="none" w:sz="0" w:space="0" w:color="auto"/>
        <w:left w:val="none" w:sz="0" w:space="0" w:color="auto"/>
        <w:bottom w:val="none" w:sz="0" w:space="0" w:color="auto"/>
        <w:right w:val="none" w:sz="0" w:space="0" w:color="auto"/>
      </w:divBdr>
    </w:div>
    <w:div w:id="1843545918">
      <w:bodyDiv w:val="1"/>
      <w:marLeft w:val="0"/>
      <w:marRight w:val="0"/>
      <w:marTop w:val="0"/>
      <w:marBottom w:val="0"/>
      <w:divBdr>
        <w:top w:val="none" w:sz="0" w:space="0" w:color="auto"/>
        <w:left w:val="none" w:sz="0" w:space="0" w:color="auto"/>
        <w:bottom w:val="none" w:sz="0" w:space="0" w:color="auto"/>
        <w:right w:val="none" w:sz="0" w:space="0" w:color="auto"/>
      </w:divBdr>
    </w:div>
    <w:div w:id="1843625287">
      <w:bodyDiv w:val="1"/>
      <w:marLeft w:val="0"/>
      <w:marRight w:val="0"/>
      <w:marTop w:val="0"/>
      <w:marBottom w:val="0"/>
      <w:divBdr>
        <w:top w:val="none" w:sz="0" w:space="0" w:color="auto"/>
        <w:left w:val="none" w:sz="0" w:space="0" w:color="auto"/>
        <w:bottom w:val="none" w:sz="0" w:space="0" w:color="auto"/>
        <w:right w:val="none" w:sz="0" w:space="0" w:color="auto"/>
      </w:divBdr>
    </w:div>
    <w:div w:id="1844317137">
      <w:bodyDiv w:val="1"/>
      <w:marLeft w:val="0"/>
      <w:marRight w:val="0"/>
      <w:marTop w:val="0"/>
      <w:marBottom w:val="0"/>
      <w:divBdr>
        <w:top w:val="none" w:sz="0" w:space="0" w:color="auto"/>
        <w:left w:val="none" w:sz="0" w:space="0" w:color="auto"/>
        <w:bottom w:val="none" w:sz="0" w:space="0" w:color="auto"/>
        <w:right w:val="none" w:sz="0" w:space="0" w:color="auto"/>
      </w:divBdr>
    </w:div>
    <w:div w:id="1844658559">
      <w:bodyDiv w:val="1"/>
      <w:marLeft w:val="0"/>
      <w:marRight w:val="0"/>
      <w:marTop w:val="0"/>
      <w:marBottom w:val="0"/>
      <w:divBdr>
        <w:top w:val="none" w:sz="0" w:space="0" w:color="auto"/>
        <w:left w:val="none" w:sz="0" w:space="0" w:color="auto"/>
        <w:bottom w:val="none" w:sz="0" w:space="0" w:color="auto"/>
        <w:right w:val="none" w:sz="0" w:space="0" w:color="auto"/>
      </w:divBdr>
    </w:div>
    <w:div w:id="1845316708">
      <w:bodyDiv w:val="1"/>
      <w:marLeft w:val="0"/>
      <w:marRight w:val="0"/>
      <w:marTop w:val="0"/>
      <w:marBottom w:val="0"/>
      <w:divBdr>
        <w:top w:val="none" w:sz="0" w:space="0" w:color="auto"/>
        <w:left w:val="none" w:sz="0" w:space="0" w:color="auto"/>
        <w:bottom w:val="none" w:sz="0" w:space="0" w:color="auto"/>
        <w:right w:val="none" w:sz="0" w:space="0" w:color="auto"/>
      </w:divBdr>
    </w:div>
    <w:div w:id="1846509512">
      <w:bodyDiv w:val="1"/>
      <w:marLeft w:val="0"/>
      <w:marRight w:val="0"/>
      <w:marTop w:val="0"/>
      <w:marBottom w:val="0"/>
      <w:divBdr>
        <w:top w:val="none" w:sz="0" w:space="0" w:color="auto"/>
        <w:left w:val="none" w:sz="0" w:space="0" w:color="auto"/>
        <w:bottom w:val="none" w:sz="0" w:space="0" w:color="auto"/>
        <w:right w:val="none" w:sz="0" w:space="0" w:color="auto"/>
      </w:divBdr>
    </w:div>
    <w:div w:id="1847750420">
      <w:bodyDiv w:val="1"/>
      <w:marLeft w:val="0"/>
      <w:marRight w:val="0"/>
      <w:marTop w:val="0"/>
      <w:marBottom w:val="0"/>
      <w:divBdr>
        <w:top w:val="none" w:sz="0" w:space="0" w:color="auto"/>
        <w:left w:val="none" w:sz="0" w:space="0" w:color="auto"/>
        <w:bottom w:val="none" w:sz="0" w:space="0" w:color="auto"/>
        <w:right w:val="none" w:sz="0" w:space="0" w:color="auto"/>
      </w:divBdr>
    </w:div>
    <w:div w:id="1847816855">
      <w:bodyDiv w:val="1"/>
      <w:marLeft w:val="0"/>
      <w:marRight w:val="0"/>
      <w:marTop w:val="0"/>
      <w:marBottom w:val="0"/>
      <w:divBdr>
        <w:top w:val="none" w:sz="0" w:space="0" w:color="auto"/>
        <w:left w:val="none" w:sz="0" w:space="0" w:color="auto"/>
        <w:bottom w:val="none" w:sz="0" w:space="0" w:color="auto"/>
        <w:right w:val="none" w:sz="0" w:space="0" w:color="auto"/>
      </w:divBdr>
    </w:div>
    <w:div w:id="1848444813">
      <w:bodyDiv w:val="1"/>
      <w:marLeft w:val="0"/>
      <w:marRight w:val="0"/>
      <w:marTop w:val="0"/>
      <w:marBottom w:val="0"/>
      <w:divBdr>
        <w:top w:val="none" w:sz="0" w:space="0" w:color="auto"/>
        <w:left w:val="none" w:sz="0" w:space="0" w:color="auto"/>
        <w:bottom w:val="none" w:sz="0" w:space="0" w:color="auto"/>
        <w:right w:val="none" w:sz="0" w:space="0" w:color="auto"/>
      </w:divBdr>
    </w:div>
    <w:div w:id="1849129715">
      <w:bodyDiv w:val="1"/>
      <w:marLeft w:val="0"/>
      <w:marRight w:val="0"/>
      <w:marTop w:val="0"/>
      <w:marBottom w:val="0"/>
      <w:divBdr>
        <w:top w:val="none" w:sz="0" w:space="0" w:color="auto"/>
        <w:left w:val="none" w:sz="0" w:space="0" w:color="auto"/>
        <w:bottom w:val="none" w:sz="0" w:space="0" w:color="auto"/>
        <w:right w:val="none" w:sz="0" w:space="0" w:color="auto"/>
      </w:divBdr>
    </w:div>
    <w:div w:id="1849173778">
      <w:bodyDiv w:val="1"/>
      <w:marLeft w:val="0"/>
      <w:marRight w:val="0"/>
      <w:marTop w:val="0"/>
      <w:marBottom w:val="0"/>
      <w:divBdr>
        <w:top w:val="none" w:sz="0" w:space="0" w:color="auto"/>
        <w:left w:val="none" w:sz="0" w:space="0" w:color="auto"/>
        <w:bottom w:val="none" w:sz="0" w:space="0" w:color="auto"/>
        <w:right w:val="none" w:sz="0" w:space="0" w:color="auto"/>
      </w:divBdr>
    </w:div>
    <w:div w:id="1850833275">
      <w:bodyDiv w:val="1"/>
      <w:marLeft w:val="0"/>
      <w:marRight w:val="0"/>
      <w:marTop w:val="0"/>
      <w:marBottom w:val="0"/>
      <w:divBdr>
        <w:top w:val="none" w:sz="0" w:space="0" w:color="auto"/>
        <w:left w:val="none" w:sz="0" w:space="0" w:color="auto"/>
        <w:bottom w:val="none" w:sz="0" w:space="0" w:color="auto"/>
        <w:right w:val="none" w:sz="0" w:space="0" w:color="auto"/>
      </w:divBdr>
    </w:div>
    <w:div w:id="1852144324">
      <w:bodyDiv w:val="1"/>
      <w:marLeft w:val="0"/>
      <w:marRight w:val="0"/>
      <w:marTop w:val="0"/>
      <w:marBottom w:val="0"/>
      <w:divBdr>
        <w:top w:val="none" w:sz="0" w:space="0" w:color="auto"/>
        <w:left w:val="none" w:sz="0" w:space="0" w:color="auto"/>
        <w:bottom w:val="none" w:sz="0" w:space="0" w:color="auto"/>
        <w:right w:val="none" w:sz="0" w:space="0" w:color="auto"/>
      </w:divBdr>
    </w:div>
    <w:div w:id="1852449882">
      <w:bodyDiv w:val="1"/>
      <w:marLeft w:val="0"/>
      <w:marRight w:val="0"/>
      <w:marTop w:val="0"/>
      <w:marBottom w:val="0"/>
      <w:divBdr>
        <w:top w:val="none" w:sz="0" w:space="0" w:color="auto"/>
        <w:left w:val="none" w:sz="0" w:space="0" w:color="auto"/>
        <w:bottom w:val="none" w:sz="0" w:space="0" w:color="auto"/>
        <w:right w:val="none" w:sz="0" w:space="0" w:color="auto"/>
      </w:divBdr>
    </w:div>
    <w:div w:id="1852530117">
      <w:bodyDiv w:val="1"/>
      <w:marLeft w:val="0"/>
      <w:marRight w:val="0"/>
      <w:marTop w:val="0"/>
      <w:marBottom w:val="0"/>
      <w:divBdr>
        <w:top w:val="none" w:sz="0" w:space="0" w:color="auto"/>
        <w:left w:val="none" w:sz="0" w:space="0" w:color="auto"/>
        <w:bottom w:val="none" w:sz="0" w:space="0" w:color="auto"/>
        <w:right w:val="none" w:sz="0" w:space="0" w:color="auto"/>
      </w:divBdr>
    </w:div>
    <w:div w:id="1852716587">
      <w:bodyDiv w:val="1"/>
      <w:marLeft w:val="0"/>
      <w:marRight w:val="0"/>
      <w:marTop w:val="0"/>
      <w:marBottom w:val="0"/>
      <w:divBdr>
        <w:top w:val="none" w:sz="0" w:space="0" w:color="auto"/>
        <w:left w:val="none" w:sz="0" w:space="0" w:color="auto"/>
        <w:bottom w:val="none" w:sz="0" w:space="0" w:color="auto"/>
        <w:right w:val="none" w:sz="0" w:space="0" w:color="auto"/>
      </w:divBdr>
      <w:divsChild>
        <w:div w:id="144594307">
          <w:marLeft w:val="0"/>
          <w:marRight w:val="0"/>
          <w:marTop w:val="0"/>
          <w:marBottom w:val="0"/>
          <w:divBdr>
            <w:top w:val="none" w:sz="0" w:space="0" w:color="auto"/>
            <w:left w:val="none" w:sz="0" w:space="0" w:color="auto"/>
            <w:bottom w:val="none" w:sz="0" w:space="0" w:color="auto"/>
            <w:right w:val="none" w:sz="0" w:space="0" w:color="auto"/>
          </w:divBdr>
        </w:div>
        <w:div w:id="147988446">
          <w:marLeft w:val="0"/>
          <w:marRight w:val="0"/>
          <w:marTop w:val="0"/>
          <w:marBottom w:val="0"/>
          <w:divBdr>
            <w:top w:val="none" w:sz="0" w:space="0" w:color="auto"/>
            <w:left w:val="none" w:sz="0" w:space="0" w:color="auto"/>
            <w:bottom w:val="none" w:sz="0" w:space="0" w:color="auto"/>
            <w:right w:val="none" w:sz="0" w:space="0" w:color="auto"/>
          </w:divBdr>
        </w:div>
        <w:div w:id="605621141">
          <w:marLeft w:val="0"/>
          <w:marRight w:val="0"/>
          <w:marTop w:val="0"/>
          <w:marBottom w:val="0"/>
          <w:divBdr>
            <w:top w:val="none" w:sz="0" w:space="0" w:color="auto"/>
            <w:left w:val="none" w:sz="0" w:space="0" w:color="auto"/>
            <w:bottom w:val="none" w:sz="0" w:space="0" w:color="auto"/>
            <w:right w:val="none" w:sz="0" w:space="0" w:color="auto"/>
          </w:divBdr>
        </w:div>
        <w:div w:id="627510063">
          <w:marLeft w:val="0"/>
          <w:marRight w:val="0"/>
          <w:marTop w:val="0"/>
          <w:marBottom w:val="0"/>
          <w:divBdr>
            <w:top w:val="none" w:sz="0" w:space="0" w:color="auto"/>
            <w:left w:val="none" w:sz="0" w:space="0" w:color="auto"/>
            <w:bottom w:val="none" w:sz="0" w:space="0" w:color="auto"/>
            <w:right w:val="none" w:sz="0" w:space="0" w:color="auto"/>
          </w:divBdr>
        </w:div>
        <w:div w:id="905411969">
          <w:marLeft w:val="0"/>
          <w:marRight w:val="0"/>
          <w:marTop w:val="0"/>
          <w:marBottom w:val="0"/>
          <w:divBdr>
            <w:top w:val="none" w:sz="0" w:space="0" w:color="auto"/>
            <w:left w:val="none" w:sz="0" w:space="0" w:color="auto"/>
            <w:bottom w:val="none" w:sz="0" w:space="0" w:color="auto"/>
            <w:right w:val="none" w:sz="0" w:space="0" w:color="auto"/>
          </w:divBdr>
        </w:div>
        <w:div w:id="1895658868">
          <w:marLeft w:val="0"/>
          <w:marRight w:val="0"/>
          <w:marTop w:val="0"/>
          <w:marBottom w:val="0"/>
          <w:divBdr>
            <w:top w:val="none" w:sz="0" w:space="0" w:color="auto"/>
            <w:left w:val="none" w:sz="0" w:space="0" w:color="auto"/>
            <w:bottom w:val="none" w:sz="0" w:space="0" w:color="auto"/>
            <w:right w:val="none" w:sz="0" w:space="0" w:color="auto"/>
          </w:divBdr>
        </w:div>
      </w:divsChild>
    </w:div>
    <w:div w:id="1853379134">
      <w:bodyDiv w:val="1"/>
      <w:marLeft w:val="0"/>
      <w:marRight w:val="0"/>
      <w:marTop w:val="0"/>
      <w:marBottom w:val="0"/>
      <w:divBdr>
        <w:top w:val="none" w:sz="0" w:space="0" w:color="auto"/>
        <w:left w:val="none" w:sz="0" w:space="0" w:color="auto"/>
        <w:bottom w:val="none" w:sz="0" w:space="0" w:color="auto"/>
        <w:right w:val="none" w:sz="0" w:space="0" w:color="auto"/>
      </w:divBdr>
    </w:div>
    <w:div w:id="1853688360">
      <w:bodyDiv w:val="1"/>
      <w:marLeft w:val="0"/>
      <w:marRight w:val="0"/>
      <w:marTop w:val="0"/>
      <w:marBottom w:val="0"/>
      <w:divBdr>
        <w:top w:val="none" w:sz="0" w:space="0" w:color="auto"/>
        <w:left w:val="none" w:sz="0" w:space="0" w:color="auto"/>
        <w:bottom w:val="none" w:sz="0" w:space="0" w:color="auto"/>
        <w:right w:val="none" w:sz="0" w:space="0" w:color="auto"/>
      </w:divBdr>
    </w:div>
    <w:div w:id="1853759999">
      <w:bodyDiv w:val="1"/>
      <w:marLeft w:val="0"/>
      <w:marRight w:val="0"/>
      <w:marTop w:val="0"/>
      <w:marBottom w:val="0"/>
      <w:divBdr>
        <w:top w:val="none" w:sz="0" w:space="0" w:color="auto"/>
        <w:left w:val="none" w:sz="0" w:space="0" w:color="auto"/>
        <w:bottom w:val="none" w:sz="0" w:space="0" w:color="auto"/>
        <w:right w:val="none" w:sz="0" w:space="0" w:color="auto"/>
      </w:divBdr>
    </w:div>
    <w:div w:id="1854027535">
      <w:bodyDiv w:val="1"/>
      <w:marLeft w:val="0"/>
      <w:marRight w:val="0"/>
      <w:marTop w:val="0"/>
      <w:marBottom w:val="0"/>
      <w:divBdr>
        <w:top w:val="none" w:sz="0" w:space="0" w:color="auto"/>
        <w:left w:val="none" w:sz="0" w:space="0" w:color="auto"/>
        <w:bottom w:val="none" w:sz="0" w:space="0" w:color="auto"/>
        <w:right w:val="none" w:sz="0" w:space="0" w:color="auto"/>
      </w:divBdr>
    </w:div>
    <w:div w:id="1854487199">
      <w:bodyDiv w:val="1"/>
      <w:marLeft w:val="0"/>
      <w:marRight w:val="0"/>
      <w:marTop w:val="0"/>
      <w:marBottom w:val="0"/>
      <w:divBdr>
        <w:top w:val="none" w:sz="0" w:space="0" w:color="auto"/>
        <w:left w:val="none" w:sz="0" w:space="0" w:color="auto"/>
        <w:bottom w:val="none" w:sz="0" w:space="0" w:color="auto"/>
        <w:right w:val="none" w:sz="0" w:space="0" w:color="auto"/>
      </w:divBdr>
    </w:div>
    <w:div w:id="1855723011">
      <w:bodyDiv w:val="1"/>
      <w:marLeft w:val="0"/>
      <w:marRight w:val="0"/>
      <w:marTop w:val="0"/>
      <w:marBottom w:val="0"/>
      <w:divBdr>
        <w:top w:val="none" w:sz="0" w:space="0" w:color="auto"/>
        <w:left w:val="none" w:sz="0" w:space="0" w:color="auto"/>
        <w:bottom w:val="none" w:sz="0" w:space="0" w:color="auto"/>
        <w:right w:val="none" w:sz="0" w:space="0" w:color="auto"/>
      </w:divBdr>
    </w:div>
    <w:div w:id="1856267077">
      <w:bodyDiv w:val="1"/>
      <w:marLeft w:val="0"/>
      <w:marRight w:val="0"/>
      <w:marTop w:val="0"/>
      <w:marBottom w:val="0"/>
      <w:divBdr>
        <w:top w:val="none" w:sz="0" w:space="0" w:color="auto"/>
        <w:left w:val="none" w:sz="0" w:space="0" w:color="auto"/>
        <w:bottom w:val="none" w:sz="0" w:space="0" w:color="auto"/>
        <w:right w:val="none" w:sz="0" w:space="0" w:color="auto"/>
      </w:divBdr>
    </w:div>
    <w:div w:id="1856964659">
      <w:bodyDiv w:val="1"/>
      <w:marLeft w:val="0"/>
      <w:marRight w:val="0"/>
      <w:marTop w:val="0"/>
      <w:marBottom w:val="0"/>
      <w:divBdr>
        <w:top w:val="none" w:sz="0" w:space="0" w:color="auto"/>
        <w:left w:val="none" w:sz="0" w:space="0" w:color="auto"/>
        <w:bottom w:val="none" w:sz="0" w:space="0" w:color="auto"/>
        <w:right w:val="none" w:sz="0" w:space="0" w:color="auto"/>
      </w:divBdr>
    </w:div>
    <w:div w:id="1857037991">
      <w:bodyDiv w:val="1"/>
      <w:marLeft w:val="0"/>
      <w:marRight w:val="0"/>
      <w:marTop w:val="0"/>
      <w:marBottom w:val="0"/>
      <w:divBdr>
        <w:top w:val="none" w:sz="0" w:space="0" w:color="auto"/>
        <w:left w:val="none" w:sz="0" w:space="0" w:color="auto"/>
        <w:bottom w:val="none" w:sz="0" w:space="0" w:color="auto"/>
        <w:right w:val="none" w:sz="0" w:space="0" w:color="auto"/>
      </w:divBdr>
    </w:div>
    <w:div w:id="1857501775">
      <w:bodyDiv w:val="1"/>
      <w:marLeft w:val="0"/>
      <w:marRight w:val="0"/>
      <w:marTop w:val="0"/>
      <w:marBottom w:val="0"/>
      <w:divBdr>
        <w:top w:val="none" w:sz="0" w:space="0" w:color="auto"/>
        <w:left w:val="none" w:sz="0" w:space="0" w:color="auto"/>
        <w:bottom w:val="none" w:sz="0" w:space="0" w:color="auto"/>
        <w:right w:val="none" w:sz="0" w:space="0" w:color="auto"/>
      </w:divBdr>
    </w:div>
    <w:div w:id="1857886666">
      <w:bodyDiv w:val="1"/>
      <w:marLeft w:val="0"/>
      <w:marRight w:val="0"/>
      <w:marTop w:val="0"/>
      <w:marBottom w:val="0"/>
      <w:divBdr>
        <w:top w:val="none" w:sz="0" w:space="0" w:color="auto"/>
        <w:left w:val="none" w:sz="0" w:space="0" w:color="auto"/>
        <w:bottom w:val="none" w:sz="0" w:space="0" w:color="auto"/>
        <w:right w:val="none" w:sz="0" w:space="0" w:color="auto"/>
      </w:divBdr>
    </w:div>
    <w:div w:id="1858156456">
      <w:bodyDiv w:val="1"/>
      <w:marLeft w:val="0"/>
      <w:marRight w:val="0"/>
      <w:marTop w:val="0"/>
      <w:marBottom w:val="0"/>
      <w:divBdr>
        <w:top w:val="none" w:sz="0" w:space="0" w:color="auto"/>
        <w:left w:val="none" w:sz="0" w:space="0" w:color="auto"/>
        <w:bottom w:val="none" w:sz="0" w:space="0" w:color="auto"/>
        <w:right w:val="none" w:sz="0" w:space="0" w:color="auto"/>
      </w:divBdr>
    </w:div>
    <w:div w:id="1858736917">
      <w:bodyDiv w:val="1"/>
      <w:marLeft w:val="0"/>
      <w:marRight w:val="0"/>
      <w:marTop w:val="0"/>
      <w:marBottom w:val="0"/>
      <w:divBdr>
        <w:top w:val="none" w:sz="0" w:space="0" w:color="auto"/>
        <w:left w:val="none" w:sz="0" w:space="0" w:color="auto"/>
        <w:bottom w:val="none" w:sz="0" w:space="0" w:color="auto"/>
        <w:right w:val="none" w:sz="0" w:space="0" w:color="auto"/>
      </w:divBdr>
    </w:div>
    <w:div w:id="1858809456">
      <w:bodyDiv w:val="1"/>
      <w:marLeft w:val="0"/>
      <w:marRight w:val="0"/>
      <w:marTop w:val="0"/>
      <w:marBottom w:val="0"/>
      <w:divBdr>
        <w:top w:val="none" w:sz="0" w:space="0" w:color="auto"/>
        <w:left w:val="none" w:sz="0" w:space="0" w:color="auto"/>
        <w:bottom w:val="none" w:sz="0" w:space="0" w:color="auto"/>
        <w:right w:val="none" w:sz="0" w:space="0" w:color="auto"/>
      </w:divBdr>
    </w:div>
    <w:div w:id="1862358557">
      <w:bodyDiv w:val="1"/>
      <w:marLeft w:val="0"/>
      <w:marRight w:val="0"/>
      <w:marTop w:val="0"/>
      <w:marBottom w:val="0"/>
      <w:divBdr>
        <w:top w:val="none" w:sz="0" w:space="0" w:color="auto"/>
        <w:left w:val="none" w:sz="0" w:space="0" w:color="auto"/>
        <w:bottom w:val="none" w:sz="0" w:space="0" w:color="auto"/>
        <w:right w:val="none" w:sz="0" w:space="0" w:color="auto"/>
      </w:divBdr>
    </w:div>
    <w:div w:id="1862431221">
      <w:bodyDiv w:val="1"/>
      <w:marLeft w:val="0"/>
      <w:marRight w:val="0"/>
      <w:marTop w:val="0"/>
      <w:marBottom w:val="0"/>
      <w:divBdr>
        <w:top w:val="none" w:sz="0" w:space="0" w:color="auto"/>
        <w:left w:val="none" w:sz="0" w:space="0" w:color="auto"/>
        <w:bottom w:val="none" w:sz="0" w:space="0" w:color="auto"/>
        <w:right w:val="none" w:sz="0" w:space="0" w:color="auto"/>
      </w:divBdr>
    </w:div>
    <w:div w:id="1864006403">
      <w:bodyDiv w:val="1"/>
      <w:marLeft w:val="0"/>
      <w:marRight w:val="0"/>
      <w:marTop w:val="0"/>
      <w:marBottom w:val="0"/>
      <w:divBdr>
        <w:top w:val="none" w:sz="0" w:space="0" w:color="auto"/>
        <w:left w:val="none" w:sz="0" w:space="0" w:color="auto"/>
        <w:bottom w:val="none" w:sz="0" w:space="0" w:color="auto"/>
        <w:right w:val="none" w:sz="0" w:space="0" w:color="auto"/>
      </w:divBdr>
    </w:div>
    <w:div w:id="1864243054">
      <w:bodyDiv w:val="1"/>
      <w:marLeft w:val="0"/>
      <w:marRight w:val="0"/>
      <w:marTop w:val="0"/>
      <w:marBottom w:val="0"/>
      <w:divBdr>
        <w:top w:val="none" w:sz="0" w:space="0" w:color="auto"/>
        <w:left w:val="none" w:sz="0" w:space="0" w:color="auto"/>
        <w:bottom w:val="none" w:sz="0" w:space="0" w:color="auto"/>
        <w:right w:val="none" w:sz="0" w:space="0" w:color="auto"/>
      </w:divBdr>
    </w:div>
    <w:div w:id="1865288446">
      <w:bodyDiv w:val="1"/>
      <w:marLeft w:val="0"/>
      <w:marRight w:val="0"/>
      <w:marTop w:val="0"/>
      <w:marBottom w:val="0"/>
      <w:divBdr>
        <w:top w:val="none" w:sz="0" w:space="0" w:color="auto"/>
        <w:left w:val="none" w:sz="0" w:space="0" w:color="auto"/>
        <w:bottom w:val="none" w:sz="0" w:space="0" w:color="auto"/>
        <w:right w:val="none" w:sz="0" w:space="0" w:color="auto"/>
      </w:divBdr>
    </w:div>
    <w:div w:id="1865359634">
      <w:bodyDiv w:val="1"/>
      <w:marLeft w:val="0"/>
      <w:marRight w:val="0"/>
      <w:marTop w:val="0"/>
      <w:marBottom w:val="0"/>
      <w:divBdr>
        <w:top w:val="none" w:sz="0" w:space="0" w:color="auto"/>
        <w:left w:val="none" w:sz="0" w:space="0" w:color="auto"/>
        <w:bottom w:val="none" w:sz="0" w:space="0" w:color="auto"/>
        <w:right w:val="none" w:sz="0" w:space="0" w:color="auto"/>
      </w:divBdr>
    </w:div>
    <w:div w:id="1866362944">
      <w:bodyDiv w:val="1"/>
      <w:marLeft w:val="0"/>
      <w:marRight w:val="0"/>
      <w:marTop w:val="0"/>
      <w:marBottom w:val="0"/>
      <w:divBdr>
        <w:top w:val="none" w:sz="0" w:space="0" w:color="auto"/>
        <w:left w:val="none" w:sz="0" w:space="0" w:color="auto"/>
        <w:bottom w:val="none" w:sz="0" w:space="0" w:color="auto"/>
        <w:right w:val="none" w:sz="0" w:space="0" w:color="auto"/>
      </w:divBdr>
    </w:div>
    <w:div w:id="1866552949">
      <w:bodyDiv w:val="1"/>
      <w:marLeft w:val="0"/>
      <w:marRight w:val="0"/>
      <w:marTop w:val="0"/>
      <w:marBottom w:val="0"/>
      <w:divBdr>
        <w:top w:val="none" w:sz="0" w:space="0" w:color="auto"/>
        <w:left w:val="none" w:sz="0" w:space="0" w:color="auto"/>
        <w:bottom w:val="none" w:sz="0" w:space="0" w:color="auto"/>
        <w:right w:val="none" w:sz="0" w:space="0" w:color="auto"/>
      </w:divBdr>
    </w:div>
    <w:div w:id="1866822574">
      <w:bodyDiv w:val="1"/>
      <w:marLeft w:val="0"/>
      <w:marRight w:val="0"/>
      <w:marTop w:val="0"/>
      <w:marBottom w:val="0"/>
      <w:divBdr>
        <w:top w:val="none" w:sz="0" w:space="0" w:color="auto"/>
        <w:left w:val="none" w:sz="0" w:space="0" w:color="auto"/>
        <w:bottom w:val="none" w:sz="0" w:space="0" w:color="auto"/>
        <w:right w:val="none" w:sz="0" w:space="0" w:color="auto"/>
      </w:divBdr>
    </w:div>
    <w:div w:id="1866864964">
      <w:bodyDiv w:val="1"/>
      <w:marLeft w:val="0"/>
      <w:marRight w:val="0"/>
      <w:marTop w:val="0"/>
      <w:marBottom w:val="0"/>
      <w:divBdr>
        <w:top w:val="none" w:sz="0" w:space="0" w:color="auto"/>
        <w:left w:val="none" w:sz="0" w:space="0" w:color="auto"/>
        <w:bottom w:val="none" w:sz="0" w:space="0" w:color="auto"/>
        <w:right w:val="none" w:sz="0" w:space="0" w:color="auto"/>
      </w:divBdr>
    </w:div>
    <w:div w:id="1867786433">
      <w:bodyDiv w:val="1"/>
      <w:marLeft w:val="0"/>
      <w:marRight w:val="0"/>
      <w:marTop w:val="0"/>
      <w:marBottom w:val="0"/>
      <w:divBdr>
        <w:top w:val="none" w:sz="0" w:space="0" w:color="auto"/>
        <w:left w:val="none" w:sz="0" w:space="0" w:color="auto"/>
        <w:bottom w:val="none" w:sz="0" w:space="0" w:color="auto"/>
        <w:right w:val="none" w:sz="0" w:space="0" w:color="auto"/>
      </w:divBdr>
    </w:div>
    <w:div w:id="1869021818">
      <w:bodyDiv w:val="1"/>
      <w:marLeft w:val="0"/>
      <w:marRight w:val="0"/>
      <w:marTop w:val="0"/>
      <w:marBottom w:val="0"/>
      <w:divBdr>
        <w:top w:val="none" w:sz="0" w:space="0" w:color="auto"/>
        <w:left w:val="none" w:sz="0" w:space="0" w:color="auto"/>
        <w:bottom w:val="none" w:sz="0" w:space="0" w:color="auto"/>
        <w:right w:val="none" w:sz="0" w:space="0" w:color="auto"/>
      </w:divBdr>
    </w:div>
    <w:div w:id="1869097836">
      <w:bodyDiv w:val="1"/>
      <w:marLeft w:val="0"/>
      <w:marRight w:val="0"/>
      <w:marTop w:val="0"/>
      <w:marBottom w:val="0"/>
      <w:divBdr>
        <w:top w:val="none" w:sz="0" w:space="0" w:color="auto"/>
        <w:left w:val="none" w:sz="0" w:space="0" w:color="auto"/>
        <w:bottom w:val="none" w:sz="0" w:space="0" w:color="auto"/>
        <w:right w:val="none" w:sz="0" w:space="0" w:color="auto"/>
      </w:divBdr>
    </w:div>
    <w:div w:id="1869293278">
      <w:bodyDiv w:val="1"/>
      <w:marLeft w:val="0"/>
      <w:marRight w:val="0"/>
      <w:marTop w:val="0"/>
      <w:marBottom w:val="0"/>
      <w:divBdr>
        <w:top w:val="none" w:sz="0" w:space="0" w:color="auto"/>
        <w:left w:val="none" w:sz="0" w:space="0" w:color="auto"/>
        <w:bottom w:val="none" w:sz="0" w:space="0" w:color="auto"/>
        <w:right w:val="none" w:sz="0" w:space="0" w:color="auto"/>
      </w:divBdr>
    </w:div>
    <w:div w:id="1869367468">
      <w:bodyDiv w:val="1"/>
      <w:marLeft w:val="0"/>
      <w:marRight w:val="0"/>
      <w:marTop w:val="0"/>
      <w:marBottom w:val="0"/>
      <w:divBdr>
        <w:top w:val="none" w:sz="0" w:space="0" w:color="auto"/>
        <w:left w:val="none" w:sz="0" w:space="0" w:color="auto"/>
        <w:bottom w:val="none" w:sz="0" w:space="0" w:color="auto"/>
        <w:right w:val="none" w:sz="0" w:space="0" w:color="auto"/>
      </w:divBdr>
    </w:div>
    <w:div w:id="1869685250">
      <w:bodyDiv w:val="1"/>
      <w:marLeft w:val="0"/>
      <w:marRight w:val="0"/>
      <w:marTop w:val="0"/>
      <w:marBottom w:val="0"/>
      <w:divBdr>
        <w:top w:val="none" w:sz="0" w:space="0" w:color="auto"/>
        <w:left w:val="none" w:sz="0" w:space="0" w:color="auto"/>
        <w:bottom w:val="none" w:sz="0" w:space="0" w:color="auto"/>
        <w:right w:val="none" w:sz="0" w:space="0" w:color="auto"/>
      </w:divBdr>
    </w:div>
    <w:div w:id="1869951553">
      <w:bodyDiv w:val="1"/>
      <w:marLeft w:val="0"/>
      <w:marRight w:val="0"/>
      <w:marTop w:val="0"/>
      <w:marBottom w:val="0"/>
      <w:divBdr>
        <w:top w:val="none" w:sz="0" w:space="0" w:color="auto"/>
        <w:left w:val="none" w:sz="0" w:space="0" w:color="auto"/>
        <w:bottom w:val="none" w:sz="0" w:space="0" w:color="auto"/>
        <w:right w:val="none" w:sz="0" w:space="0" w:color="auto"/>
      </w:divBdr>
    </w:div>
    <w:div w:id="1873029121">
      <w:bodyDiv w:val="1"/>
      <w:marLeft w:val="0"/>
      <w:marRight w:val="0"/>
      <w:marTop w:val="0"/>
      <w:marBottom w:val="0"/>
      <w:divBdr>
        <w:top w:val="none" w:sz="0" w:space="0" w:color="auto"/>
        <w:left w:val="none" w:sz="0" w:space="0" w:color="auto"/>
        <w:bottom w:val="none" w:sz="0" w:space="0" w:color="auto"/>
        <w:right w:val="none" w:sz="0" w:space="0" w:color="auto"/>
      </w:divBdr>
    </w:div>
    <w:div w:id="1873492792">
      <w:bodyDiv w:val="1"/>
      <w:marLeft w:val="0"/>
      <w:marRight w:val="0"/>
      <w:marTop w:val="0"/>
      <w:marBottom w:val="0"/>
      <w:divBdr>
        <w:top w:val="none" w:sz="0" w:space="0" w:color="auto"/>
        <w:left w:val="none" w:sz="0" w:space="0" w:color="auto"/>
        <w:bottom w:val="none" w:sz="0" w:space="0" w:color="auto"/>
        <w:right w:val="none" w:sz="0" w:space="0" w:color="auto"/>
      </w:divBdr>
    </w:div>
    <w:div w:id="1873767138">
      <w:bodyDiv w:val="1"/>
      <w:marLeft w:val="0"/>
      <w:marRight w:val="0"/>
      <w:marTop w:val="0"/>
      <w:marBottom w:val="0"/>
      <w:divBdr>
        <w:top w:val="none" w:sz="0" w:space="0" w:color="auto"/>
        <w:left w:val="none" w:sz="0" w:space="0" w:color="auto"/>
        <w:bottom w:val="none" w:sz="0" w:space="0" w:color="auto"/>
        <w:right w:val="none" w:sz="0" w:space="0" w:color="auto"/>
      </w:divBdr>
    </w:div>
    <w:div w:id="1873836764">
      <w:bodyDiv w:val="1"/>
      <w:marLeft w:val="0"/>
      <w:marRight w:val="0"/>
      <w:marTop w:val="0"/>
      <w:marBottom w:val="0"/>
      <w:divBdr>
        <w:top w:val="none" w:sz="0" w:space="0" w:color="auto"/>
        <w:left w:val="none" w:sz="0" w:space="0" w:color="auto"/>
        <w:bottom w:val="none" w:sz="0" w:space="0" w:color="auto"/>
        <w:right w:val="none" w:sz="0" w:space="0" w:color="auto"/>
      </w:divBdr>
    </w:div>
    <w:div w:id="1874733030">
      <w:bodyDiv w:val="1"/>
      <w:marLeft w:val="0"/>
      <w:marRight w:val="0"/>
      <w:marTop w:val="0"/>
      <w:marBottom w:val="0"/>
      <w:divBdr>
        <w:top w:val="none" w:sz="0" w:space="0" w:color="auto"/>
        <w:left w:val="none" w:sz="0" w:space="0" w:color="auto"/>
        <w:bottom w:val="none" w:sz="0" w:space="0" w:color="auto"/>
        <w:right w:val="none" w:sz="0" w:space="0" w:color="auto"/>
      </w:divBdr>
    </w:div>
    <w:div w:id="1875003153">
      <w:bodyDiv w:val="1"/>
      <w:marLeft w:val="0"/>
      <w:marRight w:val="0"/>
      <w:marTop w:val="0"/>
      <w:marBottom w:val="0"/>
      <w:divBdr>
        <w:top w:val="none" w:sz="0" w:space="0" w:color="auto"/>
        <w:left w:val="none" w:sz="0" w:space="0" w:color="auto"/>
        <w:bottom w:val="none" w:sz="0" w:space="0" w:color="auto"/>
        <w:right w:val="none" w:sz="0" w:space="0" w:color="auto"/>
      </w:divBdr>
    </w:div>
    <w:div w:id="1875191382">
      <w:bodyDiv w:val="1"/>
      <w:marLeft w:val="0"/>
      <w:marRight w:val="0"/>
      <w:marTop w:val="0"/>
      <w:marBottom w:val="0"/>
      <w:divBdr>
        <w:top w:val="none" w:sz="0" w:space="0" w:color="auto"/>
        <w:left w:val="none" w:sz="0" w:space="0" w:color="auto"/>
        <w:bottom w:val="none" w:sz="0" w:space="0" w:color="auto"/>
        <w:right w:val="none" w:sz="0" w:space="0" w:color="auto"/>
      </w:divBdr>
    </w:div>
    <w:div w:id="1875383066">
      <w:bodyDiv w:val="1"/>
      <w:marLeft w:val="0"/>
      <w:marRight w:val="0"/>
      <w:marTop w:val="0"/>
      <w:marBottom w:val="0"/>
      <w:divBdr>
        <w:top w:val="none" w:sz="0" w:space="0" w:color="auto"/>
        <w:left w:val="none" w:sz="0" w:space="0" w:color="auto"/>
        <w:bottom w:val="none" w:sz="0" w:space="0" w:color="auto"/>
        <w:right w:val="none" w:sz="0" w:space="0" w:color="auto"/>
      </w:divBdr>
    </w:div>
    <w:div w:id="1875651796">
      <w:bodyDiv w:val="1"/>
      <w:marLeft w:val="0"/>
      <w:marRight w:val="0"/>
      <w:marTop w:val="0"/>
      <w:marBottom w:val="0"/>
      <w:divBdr>
        <w:top w:val="none" w:sz="0" w:space="0" w:color="auto"/>
        <w:left w:val="none" w:sz="0" w:space="0" w:color="auto"/>
        <w:bottom w:val="none" w:sz="0" w:space="0" w:color="auto"/>
        <w:right w:val="none" w:sz="0" w:space="0" w:color="auto"/>
      </w:divBdr>
    </w:div>
    <w:div w:id="1875776436">
      <w:bodyDiv w:val="1"/>
      <w:marLeft w:val="0"/>
      <w:marRight w:val="0"/>
      <w:marTop w:val="0"/>
      <w:marBottom w:val="0"/>
      <w:divBdr>
        <w:top w:val="none" w:sz="0" w:space="0" w:color="auto"/>
        <w:left w:val="none" w:sz="0" w:space="0" w:color="auto"/>
        <w:bottom w:val="none" w:sz="0" w:space="0" w:color="auto"/>
        <w:right w:val="none" w:sz="0" w:space="0" w:color="auto"/>
      </w:divBdr>
    </w:div>
    <w:div w:id="1876389100">
      <w:bodyDiv w:val="1"/>
      <w:marLeft w:val="0"/>
      <w:marRight w:val="0"/>
      <w:marTop w:val="0"/>
      <w:marBottom w:val="0"/>
      <w:divBdr>
        <w:top w:val="none" w:sz="0" w:space="0" w:color="auto"/>
        <w:left w:val="none" w:sz="0" w:space="0" w:color="auto"/>
        <w:bottom w:val="none" w:sz="0" w:space="0" w:color="auto"/>
        <w:right w:val="none" w:sz="0" w:space="0" w:color="auto"/>
      </w:divBdr>
    </w:div>
    <w:div w:id="1876960176">
      <w:bodyDiv w:val="1"/>
      <w:marLeft w:val="0"/>
      <w:marRight w:val="0"/>
      <w:marTop w:val="0"/>
      <w:marBottom w:val="0"/>
      <w:divBdr>
        <w:top w:val="none" w:sz="0" w:space="0" w:color="auto"/>
        <w:left w:val="none" w:sz="0" w:space="0" w:color="auto"/>
        <w:bottom w:val="none" w:sz="0" w:space="0" w:color="auto"/>
        <w:right w:val="none" w:sz="0" w:space="0" w:color="auto"/>
      </w:divBdr>
    </w:div>
    <w:div w:id="1877506434">
      <w:bodyDiv w:val="1"/>
      <w:marLeft w:val="0"/>
      <w:marRight w:val="0"/>
      <w:marTop w:val="0"/>
      <w:marBottom w:val="0"/>
      <w:divBdr>
        <w:top w:val="none" w:sz="0" w:space="0" w:color="auto"/>
        <w:left w:val="none" w:sz="0" w:space="0" w:color="auto"/>
        <w:bottom w:val="none" w:sz="0" w:space="0" w:color="auto"/>
        <w:right w:val="none" w:sz="0" w:space="0" w:color="auto"/>
      </w:divBdr>
    </w:div>
    <w:div w:id="1878620656">
      <w:bodyDiv w:val="1"/>
      <w:marLeft w:val="0"/>
      <w:marRight w:val="0"/>
      <w:marTop w:val="0"/>
      <w:marBottom w:val="0"/>
      <w:divBdr>
        <w:top w:val="none" w:sz="0" w:space="0" w:color="auto"/>
        <w:left w:val="none" w:sz="0" w:space="0" w:color="auto"/>
        <w:bottom w:val="none" w:sz="0" w:space="0" w:color="auto"/>
        <w:right w:val="none" w:sz="0" w:space="0" w:color="auto"/>
      </w:divBdr>
    </w:div>
    <w:div w:id="1878814863">
      <w:bodyDiv w:val="1"/>
      <w:marLeft w:val="0"/>
      <w:marRight w:val="0"/>
      <w:marTop w:val="0"/>
      <w:marBottom w:val="0"/>
      <w:divBdr>
        <w:top w:val="none" w:sz="0" w:space="0" w:color="auto"/>
        <w:left w:val="none" w:sz="0" w:space="0" w:color="auto"/>
        <w:bottom w:val="none" w:sz="0" w:space="0" w:color="auto"/>
        <w:right w:val="none" w:sz="0" w:space="0" w:color="auto"/>
      </w:divBdr>
    </w:div>
    <w:div w:id="1879588551">
      <w:bodyDiv w:val="1"/>
      <w:marLeft w:val="0"/>
      <w:marRight w:val="0"/>
      <w:marTop w:val="0"/>
      <w:marBottom w:val="0"/>
      <w:divBdr>
        <w:top w:val="none" w:sz="0" w:space="0" w:color="auto"/>
        <w:left w:val="none" w:sz="0" w:space="0" w:color="auto"/>
        <w:bottom w:val="none" w:sz="0" w:space="0" w:color="auto"/>
        <w:right w:val="none" w:sz="0" w:space="0" w:color="auto"/>
      </w:divBdr>
    </w:div>
    <w:div w:id="1879925387">
      <w:bodyDiv w:val="1"/>
      <w:marLeft w:val="0"/>
      <w:marRight w:val="0"/>
      <w:marTop w:val="0"/>
      <w:marBottom w:val="0"/>
      <w:divBdr>
        <w:top w:val="none" w:sz="0" w:space="0" w:color="auto"/>
        <w:left w:val="none" w:sz="0" w:space="0" w:color="auto"/>
        <w:bottom w:val="none" w:sz="0" w:space="0" w:color="auto"/>
        <w:right w:val="none" w:sz="0" w:space="0" w:color="auto"/>
      </w:divBdr>
    </w:div>
    <w:div w:id="1882090269">
      <w:bodyDiv w:val="1"/>
      <w:marLeft w:val="0"/>
      <w:marRight w:val="0"/>
      <w:marTop w:val="0"/>
      <w:marBottom w:val="0"/>
      <w:divBdr>
        <w:top w:val="none" w:sz="0" w:space="0" w:color="auto"/>
        <w:left w:val="none" w:sz="0" w:space="0" w:color="auto"/>
        <w:bottom w:val="none" w:sz="0" w:space="0" w:color="auto"/>
        <w:right w:val="none" w:sz="0" w:space="0" w:color="auto"/>
      </w:divBdr>
    </w:div>
    <w:div w:id="1882472629">
      <w:bodyDiv w:val="1"/>
      <w:marLeft w:val="0"/>
      <w:marRight w:val="0"/>
      <w:marTop w:val="0"/>
      <w:marBottom w:val="0"/>
      <w:divBdr>
        <w:top w:val="none" w:sz="0" w:space="0" w:color="auto"/>
        <w:left w:val="none" w:sz="0" w:space="0" w:color="auto"/>
        <w:bottom w:val="none" w:sz="0" w:space="0" w:color="auto"/>
        <w:right w:val="none" w:sz="0" w:space="0" w:color="auto"/>
      </w:divBdr>
    </w:div>
    <w:div w:id="1882665150">
      <w:bodyDiv w:val="1"/>
      <w:marLeft w:val="0"/>
      <w:marRight w:val="0"/>
      <w:marTop w:val="0"/>
      <w:marBottom w:val="0"/>
      <w:divBdr>
        <w:top w:val="none" w:sz="0" w:space="0" w:color="auto"/>
        <w:left w:val="none" w:sz="0" w:space="0" w:color="auto"/>
        <w:bottom w:val="none" w:sz="0" w:space="0" w:color="auto"/>
        <w:right w:val="none" w:sz="0" w:space="0" w:color="auto"/>
      </w:divBdr>
    </w:div>
    <w:div w:id="1883054197">
      <w:bodyDiv w:val="1"/>
      <w:marLeft w:val="0"/>
      <w:marRight w:val="0"/>
      <w:marTop w:val="0"/>
      <w:marBottom w:val="0"/>
      <w:divBdr>
        <w:top w:val="none" w:sz="0" w:space="0" w:color="auto"/>
        <w:left w:val="none" w:sz="0" w:space="0" w:color="auto"/>
        <w:bottom w:val="none" w:sz="0" w:space="0" w:color="auto"/>
        <w:right w:val="none" w:sz="0" w:space="0" w:color="auto"/>
      </w:divBdr>
    </w:div>
    <w:div w:id="1883243513">
      <w:bodyDiv w:val="1"/>
      <w:marLeft w:val="0"/>
      <w:marRight w:val="0"/>
      <w:marTop w:val="0"/>
      <w:marBottom w:val="0"/>
      <w:divBdr>
        <w:top w:val="none" w:sz="0" w:space="0" w:color="auto"/>
        <w:left w:val="none" w:sz="0" w:space="0" w:color="auto"/>
        <w:bottom w:val="none" w:sz="0" w:space="0" w:color="auto"/>
        <w:right w:val="none" w:sz="0" w:space="0" w:color="auto"/>
      </w:divBdr>
    </w:div>
    <w:div w:id="1884562702">
      <w:bodyDiv w:val="1"/>
      <w:marLeft w:val="0"/>
      <w:marRight w:val="0"/>
      <w:marTop w:val="0"/>
      <w:marBottom w:val="0"/>
      <w:divBdr>
        <w:top w:val="none" w:sz="0" w:space="0" w:color="auto"/>
        <w:left w:val="none" w:sz="0" w:space="0" w:color="auto"/>
        <w:bottom w:val="none" w:sz="0" w:space="0" w:color="auto"/>
        <w:right w:val="none" w:sz="0" w:space="0" w:color="auto"/>
      </w:divBdr>
    </w:div>
    <w:div w:id="1884824223">
      <w:bodyDiv w:val="1"/>
      <w:marLeft w:val="0"/>
      <w:marRight w:val="0"/>
      <w:marTop w:val="0"/>
      <w:marBottom w:val="0"/>
      <w:divBdr>
        <w:top w:val="none" w:sz="0" w:space="0" w:color="auto"/>
        <w:left w:val="none" w:sz="0" w:space="0" w:color="auto"/>
        <w:bottom w:val="none" w:sz="0" w:space="0" w:color="auto"/>
        <w:right w:val="none" w:sz="0" w:space="0" w:color="auto"/>
      </w:divBdr>
    </w:div>
    <w:div w:id="1887907971">
      <w:bodyDiv w:val="1"/>
      <w:marLeft w:val="0"/>
      <w:marRight w:val="0"/>
      <w:marTop w:val="0"/>
      <w:marBottom w:val="0"/>
      <w:divBdr>
        <w:top w:val="none" w:sz="0" w:space="0" w:color="auto"/>
        <w:left w:val="none" w:sz="0" w:space="0" w:color="auto"/>
        <w:bottom w:val="none" w:sz="0" w:space="0" w:color="auto"/>
        <w:right w:val="none" w:sz="0" w:space="0" w:color="auto"/>
      </w:divBdr>
    </w:div>
    <w:div w:id="1888644600">
      <w:bodyDiv w:val="1"/>
      <w:marLeft w:val="0"/>
      <w:marRight w:val="0"/>
      <w:marTop w:val="0"/>
      <w:marBottom w:val="0"/>
      <w:divBdr>
        <w:top w:val="none" w:sz="0" w:space="0" w:color="auto"/>
        <w:left w:val="none" w:sz="0" w:space="0" w:color="auto"/>
        <w:bottom w:val="none" w:sz="0" w:space="0" w:color="auto"/>
        <w:right w:val="none" w:sz="0" w:space="0" w:color="auto"/>
      </w:divBdr>
    </w:div>
    <w:div w:id="1889218725">
      <w:bodyDiv w:val="1"/>
      <w:marLeft w:val="0"/>
      <w:marRight w:val="0"/>
      <w:marTop w:val="0"/>
      <w:marBottom w:val="0"/>
      <w:divBdr>
        <w:top w:val="none" w:sz="0" w:space="0" w:color="auto"/>
        <w:left w:val="none" w:sz="0" w:space="0" w:color="auto"/>
        <w:bottom w:val="none" w:sz="0" w:space="0" w:color="auto"/>
        <w:right w:val="none" w:sz="0" w:space="0" w:color="auto"/>
      </w:divBdr>
    </w:div>
    <w:div w:id="1889292320">
      <w:bodyDiv w:val="1"/>
      <w:marLeft w:val="0"/>
      <w:marRight w:val="0"/>
      <w:marTop w:val="0"/>
      <w:marBottom w:val="0"/>
      <w:divBdr>
        <w:top w:val="none" w:sz="0" w:space="0" w:color="auto"/>
        <w:left w:val="none" w:sz="0" w:space="0" w:color="auto"/>
        <w:bottom w:val="none" w:sz="0" w:space="0" w:color="auto"/>
        <w:right w:val="none" w:sz="0" w:space="0" w:color="auto"/>
      </w:divBdr>
    </w:div>
    <w:div w:id="1890454638">
      <w:bodyDiv w:val="1"/>
      <w:marLeft w:val="0"/>
      <w:marRight w:val="0"/>
      <w:marTop w:val="0"/>
      <w:marBottom w:val="0"/>
      <w:divBdr>
        <w:top w:val="none" w:sz="0" w:space="0" w:color="auto"/>
        <w:left w:val="none" w:sz="0" w:space="0" w:color="auto"/>
        <w:bottom w:val="none" w:sz="0" w:space="0" w:color="auto"/>
        <w:right w:val="none" w:sz="0" w:space="0" w:color="auto"/>
      </w:divBdr>
    </w:div>
    <w:div w:id="1891070879">
      <w:bodyDiv w:val="1"/>
      <w:marLeft w:val="0"/>
      <w:marRight w:val="0"/>
      <w:marTop w:val="0"/>
      <w:marBottom w:val="0"/>
      <w:divBdr>
        <w:top w:val="none" w:sz="0" w:space="0" w:color="auto"/>
        <w:left w:val="none" w:sz="0" w:space="0" w:color="auto"/>
        <w:bottom w:val="none" w:sz="0" w:space="0" w:color="auto"/>
        <w:right w:val="none" w:sz="0" w:space="0" w:color="auto"/>
      </w:divBdr>
    </w:div>
    <w:div w:id="1891960114">
      <w:bodyDiv w:val="1"/>
      <w:marLeft w:val="0"/>
      <w:marRight w:val="0"/>
      <w:marTop w:val="0"/>
      <w:marBottom w:val="0"/>
      <w:divBdr>
        <w:top w:val="none" w:sz="0" w:space="0" w:color="auto"/>
        <w:left w:val="none" w:sz="0" w:space="0" w:color="auto"/>
        <w:bottom w:val="none" w:sz="0" w:space="0" w:color="auto"/>
        <w:right w:val="none" w:sz="0" w:space="0" w:color="auto"/>
      </w:divBdr>
    </w:div>
    <w:div w:id="1892837818">
      <w:bodyDiv w:val="1"/>
      <w:marLeft w:val="0"/>
      <w:marRight w:val="0"/>
      <w:marTop w:val="0"/>
      <w:marBottom w:val="0"/>
      <w:divBdr>
        <w:top w:val="none" w:sz="0" w:space="0" w:color="auto"/>
        <w:left w:val="none" w:sz="0" w:space="0" w:color="auto"/>
        <w:bottom w:val="none" w:sz="0" w:space="0" w:color="auto"/>
        <w:right w:val="none" w:sz="0" w:space="0" w:color="auto"/>
      </w:divBdr>
    </w:div>
    <w:div w:id="1894653386">
      <w:bodyDiv w:val="1"/>
      <w:marLeft w:val="0"/>
      <w:marRight w:val="0"/>
      <w:marTop w:val="0"/>
      <w:marBottom w:val="0"/>
      <w:divBdr>
        <w:top w:val="none" w:sz="0" w:space="0" w:color="auto"/>
        <w:left w:val="none" w:sz="0" w:space="0" w:color="auto"/>
        <w:bottom w:val="none" w:sz="0" w:space="0" w:color="auto"/>
        <w:right w:val="none" w:sz="0" w:space="0" w:color="auto"/>
      </w:divBdr>
    </w:div>
    <w:div w:id="1895778240">
      <w:bodyDiv w:val="1"/>
      <w:marLeft w:val="0"/>
      <w:marRight w:val="0"/>
      <w:marTop w:val="0"/>
      <w:marBottom w:val="0"/>
      <w:divBdr>
        <w:top w:val="none" w:sz="0" w:space="0" w:color="auto"/>
        <w:left w:val="none" w:sz="0" w:space="0" w:color="auto"/>
        <w:bottom w:val="none" w:sz="0" w:space="0" w:color="auto"/>
        <w:right w:val="none" w:sz="0" w:space="0" w:color="auto"/>
      </w:divBdr>
    </w:div>
    <w:div w:id="1895970870">
      <w:bodyDiv w:val="1"/>
      <w:marLeft w:val="0"/>
      <w:marRight w:val="0"/>
      <w:marTop w:val="0"/>
      <w:marBottom w:val="0"/>
      <w:divBdr>
        <w:top w:val="none" w:sz="0" w:space="0" w:color="auto"/>
        <w:left w:val="none" w:sz="0" w:space="0" w:color="auto"/>
        <w:bottom w:val="none" w:sz="0" w:space="0" w:color="auto"/>
        <w:right w:val="none" w:sz="0" w:space="0" w:color="auto"/>
      </w:divBdr>
    </w:div>
    <w:div w:id="1896619979">
      <w:bodyDiv w:val="1"/>
      <w:marLeft w:val="0"/>
      <w:marRight w:val="0"/>
      <w:marTop w:val="0"/>
      <w:marBottom w:val="0"/>
      <w:divBdr>
        <w:top w:val="none" w:sz="0" w:space="0" w:color="auto"/>
        <w:left w:val="none" w:sz="0" w:space="0" w:color="auto"/>
        <w:bottom w:val="none" w:sz="0" w:space="0" w:color="auto"/>
        <w:right w:val="none" w:sz="0" w:space="0" w:color="auto"/>
      </w:divBdr>
    </w:div>
    <w:div w:id="1897425127">
      <w:bodyDiv w:val="1"/>
      <w:marLeft w:val="0"/>
      <w:marRight w:val="0"/>
      <w:marTop w:val="0"/>
      <w:marBottom w:val="0"/>
      <w:divBdr>
        <w:top w:val="none" w:sz="0" w:space="0" w:color="auto"/>
        <w:left w:val="none" w:sz="0" w:space="0" w:color="auto"/>
        <w:bottom w:val="none" w:sz="0" w:space="0" w:color="auto"/>
        <w:right w:val="none" w:sz="0" w:space="0" w:color="auto"/>
      </w:divBdr>
    </w:div>
    <w:div w:id="1897819270">
      <w:bodyDiv w:val="1"/>
      <w:marLeft w:val="0"/>
      <w:marRight w:val="0"/>
      <w:marTop w:val="0"/>
      <w:marBottom w:val="0"/>
      <w:divBdr>
        <w:top w:val="none" w:sz="0" w:space="0" w:color="auto"/>
        <w:left w:val="none" w:sz="0" w:space="0" w:color="auto"/>
        <w:bottom w:val="none" w:sz="0" w:space="0" w:color="auto"/>
        <w:right w:val="none" w:sz="0" w:space="0" w:color="auto"/>
      </w:divBdr>
    </w:div>
    <w:div w:id="1898273420">
      <w:bodyDiv w:val="1"/>
      <w:marLeft w:val="0"/>
      <w:marRight w:val="0"/>
      <w:marTop w:val="0"/>
      <w:marBottom w:val="0"/>
      <w:divBdr>
        <w:top w:val="none" w:sz="0" w:space="0" w:color="auto"/>
        <w:left w:val="none" w:sz="0" w:space="0" w:color="auto"/>
        <w:bottom w:val="none" w:sz="0" w:space="0" w:color="auto"/>
        <w:right w:val="none" w:sz="0" w:space="0" w:color="auto"/>
      </w:divBdr>
    </w:div>
    <w:div w:id="1898276232">
      <w:bodyDiv w:val="1"/>
      <w:marLeft w:val="0"/>
      <w:marRight w:val="0"/>
      <w:marTop w:val="0"/>
      <w:marBottom w:val="0"/>
      <w:divBdr>
        <w:top w:val="none" w:sz="0" w:space="0" w:color="auto"/>
        <w:left w:val="none" w:sz="0" w:space="0" w:color="auto"/>
        <w:bottom w:val="none" w:sz="0" w:space="0" w:color="auto"/>
        <w:right w:val="none" w:sz="0" w:space="0" w:color="auto"/>
      </w:divBdr>
    </w:div>
    <w:div w:id="1900162749">
      <w:bodyDiv w:val="1"/>
      <w:marLeft w:val="0"/>
      <w:marRight w:val="0"/>
      <w:marTop w:val="0"/>
      <w:marBottom w:val="0"/>
      <w:divBdr>
        <w:top w:val="none" w:sz="0" w:space="0" w:color="auto"/>
        <w:left w:val="none" w:sz="0" w:space="0" w:color="auto"/>
        <w:bottom w:val="none" w:sz="0" w:space="0" w:color="auto"/>
        <w:right w:val="none" w:sz="0" w:space="0" w:color="auto"/>
      </w:divBdr>
    </w:div>
    <w:div w:id="1903053668">
      <w:bodyDiv w:val="1"/>
      <w:marLeft w:val="0"/>
      <w:marRight w:val="0"/>
      <w:marTop w:val="0"/>
      <w:marBottom w:val="0"/>
      <w:divBdr>
        <w:top w:val="none" w:sz="0" w:space="0" w:color="auto"/>
        <w:left w:val="none" w:sz="0" w:space="0" w:color="auto"/>
        <w:bottom w:val="none" w:sz="0" w:space="0" w:color="auto"/>
        <w:right w:val="none" w:sz="0" w:space="0" w:color="auto"/>
      </w:divBdr>
    </w:div>
    <w:div w:id="1903906569">
      <w:bodyDiv w:val="1"/>
      <w:marLeft w:val="0"/>
      <w:marRight w:val="0"/>
      <w:marTop w:val="0"/>
      <w:marBottom w:val="0"/>
      <w:divBdr>
        <w:top w:val="none" w:sz="0" w:space="0" w:color="auto"/>
        <w:left w:val="none" w:sz="0" w:space="0" w:color="auto"/>
        <w:bottom w:val="none" w:sz="0" w:space="0" w:color="auto"/>
        <w:right w:val="none" w:sz="0" w:space="0" w:color="auto"/>
      </w:divBdr>
    </w:div>
    <w:div w:id="1904413192">
      <w:bodyDiv w:val="1"/>
      <w:marLeft w:val="0"/>
      <w:marRight w:val="0"/>
      <w:marTop w:val="0"/>
      <w:marBottom w:val="0"/>
      <w:divBdr>
        <w:top w:val="none" w:sz="0" w:space="0" w:color="auto"/>
        <w:left w:val="none" w:sz="0" w:space="0" w:color="auto"/>
        <w:bottom w:val="none" w:sz="0" w:space="0" w:color="auto"/>
        <w:right w:val="none" w:sz="0" w:space="0" w:color="auto"/>
      </w:divBdr>
    </w:div>
    <w:div w:id="1904754257">
      <w:bodyDiv w:val="1"/>
      <w:marLeft w:val="0"/>
      <w:marRight w:val="0"/>
      <w:marTop w:val="0"/>
      <w:marBottom w:val="0"/>
      <w:divBdr>
        <w:top w:val="none" w:sz="0" w:space="0" w:color="auto"/>
        <w:left w:val="none" w:sz="0" w:space="0" w:color="auto"/>
        <w:bottom w:val="none" w:sz="0" w:space="0" w:color="auto"/>
        <w:right w:val="none" w:sz="0" w:space="0" w:color="auto"/>
      </w:divBdr>
    </w:div>
    <w:div w:id="1904757867">
      <w:bodyDiv w:val="1"/>
      <w:marLeft w:val="0"/>
      <w:marRight w:val="0"/>
      <w:marTop w:val="0"/>
      <w:marBottom w:val="0"/>
      <w:divBdr>
        <w:top w:val="none" w:sz="0" w:space="0" w:color="auto"/>
        <w:left w:val="none" w:sz="0" w:space="0" w:color="auto"/>
        <w:bottom w:val="none" w:sz="0" w:space="0" w:color="auto"/>
        <w:right w:val="none" w:sz="0" w:space="0" w:color="auto"/>
      </w:divBdr>
    </w:div>
    <w:div w:id="1904832176">
      <w:bodyDiv w:val="1"/>
      <w:marLeft w:val="0"/>
      <w:marRight w:val="0"/>
      <w:marTop w:val="0"/>
      <w:marBottom w:val="0"/>
      <w:divBdr>
        <w:top w:val="none" w:sz="0" w:space="0" w:color="auto"/>
        <w:left w:val="none" w:sz="0" w:space="0" w:color="auto"/>
        <w:bottom w:val="none" w:sz="0" w:space="0" w:color="auto"/>
        <w:right w:val="none" w:sz="0" w:space="0" w:color="auto"/>
      </w:divBdr>
    </w:div>
    <w:div w:id="1905795051">
      <w:bodyDiv w:val="1"/>
      <w:marLeft w:val="0"/>
      <w:marRight w:val="0"/>
      <w:marTop w:val="0"/>
      <w:marBottom w:val="0"/>
      <w:divBdr>
        <w:top w:val="none" w:sz="0" w:space="0" w:color="auto"/>
        <w:left w:val="none" w:sz="0" w:space="0" w:color="auto"/>
        <w:bottom w:val="none" w:sz="0" w:space="0" w:color="auto"/>
        <w:right w:val="none" w:sz="0" w:space="0" w:color="auto"/>
      </w:divBdr>
    </w:div>
    <w:div w:id="1905946192">
      <w:bodyDiv w:val="1"/>
      <w:marLeft w:val="0"/>
      <w:marRight w:val="0"/>
      <w:marTop w:val="0"/>
      <w:marBottom w:val="0"/>
      <w:divBdr>
        <w:top w:val="none" w:sz="0" w:space="0" w:color="auto"/>
        <w:left w:val="none" w:sz="0" w:space="0" w:color="auto"/>
        <w:bottom w:val="none" w:sz="0" w:space="0" w:color="auto"/>
        <w:right w:val="none" w:sz="0" w:space="0" w:color="auto"/>
      </w:divBdr>
    </w:div>
    <w:div w:id="1906990370">
      <w:bodyDiv w:val="1"/>
      <w:marLeft w:val="0"/>
      <w:marRight w:val="0"/>
      <w:marTop w:val="0"/>
      <w:marBottom w:val="0"/>
      <w:divBdr>
        <w:top w:val="none" w:sz="0" w:space="0" w:color="auto"/>
        <w:left w:val="none" w:sz="0" w:space="0" w:color="auto"/>
        <w:bottom w:val="none" w:sz="0" w:space="0" w:color="auto"/>
        <w:right w:val="none" w:sz="0" w:space="0" w:color="auto"/>
      </w:divBdr>
    </w:div>
    <w:div w:id="1907449156">
      <w:bodyDiv w:val="1"/>
      <w:marLeft w:val="0"/>
      <w:marRight w:val="0"/>
      <w:marTop w:val="0"/>
      <w:marBottom w:val="0"/>
      <w:divBdr>
        <w:top w:val="none" w:sz="0" w:space="0" w:color="auto"/>
        <w:left w:val="none" w:sz="0" w:space="0" w:color="auto"/>
        <w:bottom w:val="none" w:sz="0" w:space="0" w:color="auto"/>
        <w:right w:val="none" w:sz="0" w:space="0" w:color="auto"/>
      </w:divBdr>
    </w:div>
    <w:div w:id="1907957455">
      <w:bodyDiv w:val="1"/>
      <w:marLeft w:val="0"/>
      <w:marRight w:val="0"/>
      <w:marTop w:val="0"/>
      <w:marBottom w:val="0"/>
      <w:divBdr>
        <w:top w:val="none" w:sz="0" w:space="0" w:color="auto"/>
        <w:left w:val="none" w:sz="0" w:space="0" w:color="auto"/>
        <w:bottom w:val="none" w:sz="0" w:space="0" w:color="auto"/>
        <w:right w:val="none" w:sz="0" w:space="0" w:color="auto"/>
      </w:divBdr>
    </w:div>
    <w:div w:id="1908805167">
      <w:bodyDiv w:val="1"/>
      <w:marLeft w:val="0"/>
      <w:marRight w:val="0"/>
      <w:marTop w:val="0"/>
      <w:marBottom w:val="0"/>
      <w:divBdr>
        <w:top w:val="none" w:sz="0" w:space="0" w:color="auto"/>
        <w:left w:val="none" w:sz="0" w:space="0" w:color="auto"/>
        <w:bottom w:val="none" w:sz="0" w:space="0" w:color="auto"/>
        <w:right w:val="none" w:sz="0" w:space="0" w:color="auto"/>
      </w:divBdr>
    </w:div>
    <w:div w:id="1909221788">
      <w:bodyDiv w:val="1"/>
      <w:marLeft w:val="0"/>
      <w:marRight w:val="0"/>
      <w:marTop w:val="0"/>
      <w:marBottom w:val="0"/>
      <w:divBdr>
        <w:top w:val="none" w:sz="0" w:space="0" w:color="auto"/>
        <w:left w:val="none" w:sz="0" w:space="0" w:color="auto"/>
        <w:bottom w:val="none" w:sz="0" w:space="0" w:color="auto"/>
        <w:right w:val="none" w:sz="0" w:space="0" w:color="auto"/>
      </w:divBdr>
    </w:div>
    <w:div w:id="1909881601">
      <w:bodyDiv w:val="1"/>
      <w:marLeft w:val="0"/>
      <w:marRight w:val="0"/>
      <w:marTop w:val="0"/>
      <w:marBottom w:val="0"/>
      <w:divBdr>
        <w:top w:val="none" w:sz="0" w:space="0" w:color="auto"/>
        <w:left w:val="none" w:sz="0" w:space="0" w:color="auto"/>
        <w:bottom w:val="none" w:sz="0" w:space="0" w:color="auto"/>
        <w:right w:val="none" w:sz="0" w:space="0" w:color="auto"/>
      </w:divBdr>
    </w:div>
    <w:div w:id="1912546413">
      <w:bodyDiv w:val="1"/>
      <w:marLeft w:val="0"/>
      <w:marRight w:val="0"/>
      <w:marTop w:val="0"/>
      <w:marBottom w:val="0"/>
      <w:divBdr>
        <w:top w:val="none" w:sz="0" w:space="0" w:color="auto"/>
        <w:left w:val="none" w:sz="0" w:space="0" w:color="auto"/>
        <w:bottom w:val="none" w:sz="0" w:space="0" w:color="auto"/>
        <w:right w:val="none" w:sz="0" w:space="0" w:color="auto"/>
      </w:divBdr>
    </w:div>
    <w:div w:id="1913814946">
      <w:bodyDiv w:val="1"/>
      <w:marLeft w:val="0"/>
      <w:marRight w:val="0"/>
      <w:marTop w:val="0"/>
      <w:marBottom w:val="0"/>
      <w:divBdr>
        <w:top w:val="none" w:sz="0" w:space="0" w:color="auto"/>
        <w:left w:val="none" w:sz="0" w:space="0" w:color="auto"/>
        <w:bottom w:val="none" w:sz="0" w:space="0" w:color="auto"/>
        <w:right w:val="none" w:sz="0" w:space="0" w:color="auto"/>
      </w:divBdr>
    </w:div>
    <w:div w:id="1914196448">
      <w:bodyDiv w:val="1"/>
      <w:marLeft w:val="0"/>
      <w:marRight w:val="0"/>
      <w:marTop w:val="0"/>
      <w:marBottom w:val="0"/>
      <w:divBdr>
        <w:top w:val="none" w:sz="0" w:space="0" w:color="auto"/>
        <w:left w:val="none" w:sz="0" w:space="0" w:color="auto"/>
        <w:bottom w:val="none" w:sz="0" w:space="0" w:color="auto"/>
        <w:right w:val="none" w:sz="0" w:space="0" w:color="auto"/>
      </w:divBdr>
      <w:divsChild>
        <w:div w:id="1699161704">
          <w:marLeft w:val="0"/>
          <w:marRight w:val="0"/>
          <w:marTop w:val="0"/>
          <w:marBottom w:val="0"/>
          <w:divBdr>
            <w:top w:val="none" w:sz="0" w:space="0" w:color="auto"/>
            <w:left w:val="none" w:sz="0" w:space="0" w:color="auto"/>
            <w:bottom w:val="none" w:sz="0" w:space="0" w:color="auto"/>
            <w:right w:val="none" w:sz="0" w:space="0" w:color="auto"/>
          </w:divBdr>
        </w:div>
      </w:divsChild>
    </w:div>
    <w:div w:id="1914314596">
      <w:bodyDiv w:val="1"/>
      <w:marLeft w:val="0"/>
      <w:marRight w:val="0"/>
      <w:marTop w:val="0"/>
      <w:marBottom w:val="0"/>
      <w:divBdr>
        <w:top w:val="none" w:sz="0" w:space="0" w:color="auto"/>
        <w:left w:val="none" w:sz="0" w:space="0" w:color="auto"/>
        <w:bottom w:val="none" w:sz="0" w:space="0" w:color="auto"/>
        <w:right w:val="none" w:sz="0" w:space="0" w:color="auto"/>
      </w:divBdr>
    </w:div>
    <w:div w:id="1915163139">
      <w:bodyDiv w:val="1"/>
      <w:marLeft w:val="0"/>
      <w:marRight w:val="0"/>
      <w:marTop w:val="0"/>
      <w:marBottom w:val="0"/>
      <w:divBdr>
        <w:top w:val="none" w:sz="0" w:space="0" w:color="auto"/>
        <w:left w:val="none" w:sz="0" w:space="0" w:color="auto"/>
        <w:bottom w:val="none" w:sz="0" w:space="0" w:color="auto"/>
        <w:right w:val="none" w:sz="0" w:space="0" w:color="auto"/>
      </w:divBdr>
    </w:div>
    <w:div w:id="1915504999">
      <w:bodyDiv w:val="1"/>
      <w:marLeft w:val="0"/>
      <w:marRight w:val="0"/>
      <w:marTop w:val="0"/>
      <w:marBottom w:val="0"/>
      <w:divBdr>
        <w:top w:val="none" w:sz="0" w:space="0" w:color="auto"/>
        <w:left w:val="none" w:sz="0" w:space="0" w:color="auto"/>
        <w:bottom w:val="none" w:sz="0" w:space="0" w:color="auto"/>
        <w:right w:val="none" w:sz="0" w:space="0" w:color="auto"/>
      </w:divBdr>
    </w:div>
    <w:div w:id="1915772394">
      <w:bodyDiv w:val="1"/>
      <w:marLeft w:val="0"/>
      <w:marRight w:val="0"/>
      <w:marTop w:val="0"/>
      <w:marBottom w:val="0"/>
      <w:divBdr>
        <w:top w:val="none" w:sz="0" w:space="0" w:color="auto"/>
        <w:left w:val="none" w:sz="0" w:space="0" w:color="auto"/>
        <w:bottom w:val="none" w:sz="0" w:space="0" w:color="auto"/>
        <w:right w:val="none" w:sz="0" w:space="0" w:color="auto"/>
      </w:divBdr>
    </w:div>
    <w:div w:id="1916091788">
      <w:bodyDiv w:val="1"/>
      <w:marLeft w:val="0"/>
      <w:marRight w:val="0"/>
      <w:marTop w:val="0"/>
      <w:marBottom w:val="0"/>
      <w:divBdr>
        <w:top w:val="none" w:sz="0" w:space="0" w:color="auto"/>
        <w:left w:val="none" w:sz="0" w:space="0" w:color="auto"/>
        <w:bottom w:val="none" w:sz="0" w:space="0" w:color="auto"/>
        <w:right w:val="none" w:sz="0" w:space="0" w:color="auto"/>
      </w:divBdr>
    </w:div>
    <w:div w:id="1916428100">
      <w:bodyDiv w:val="1"/>
      <w:marLeft w:val="0"/>
      <w:marRight w:val="0"/>
      <w:marTop w:val="0"/>
      <w:marBottom w:val="0"/>
      <w:divBdr>
        <w:top w:val="none" w:sz="0" w:space="0" w:color="auto"/>
        <w:left w:val="none" w:sz="0" w:space="0" w:color="auto"/>
        <w:bottom w:val="none" w:sz="0" w:space="0" w:color="auto"/>
        <w:right w:val="none" w:sz="0" w:space="0" w:color="auto"/>
      </w:divBdr>
    </w:div>
    <w:div w:id="1916473422">
      <w:bodyDiv w:val="1"/>
      <w:marLeft w:val="0"/>
      <w:marRight w:val="0"/>
      <w:marTop w:val="0"/>
      <w:marBottom w:val="0"/>
      <w:divBdr>
        <w:top w:val="none" w:sz="0" w:space="0" w:color="auto"/>
        <w:left w:val="none" w:sz="0" w:space="0" w:color="auto"/>
        <w:bottom w:val="none" w:sz="0" w:space="0" w:color="auto"/>
        <w:right w:val="none" w:sz="0" w:space="0" w:color="auto"/>
      </w:divBdr>
    </w:div>
    <w:div w:id="1916740156">
      <w:bodyDiv w:val="1"/>
      <w:marLeft w:val="0"/>
      <w:marRight w:val="0"/>
      <w:marTop w:val="0"/>
      <w:marBottom w:val="0"/>
      <w:divBdr>
        <w:top w:val="none" w:sz="0" w:space="0" w:color="auto"/>
        <w:left w:val="none" w:sz="0" w:space="0" w:color="auto"/>
        <w:bottom w:val="none" w:sz="0" w:space="0" w:color="auto"/>
        <w:right w:val="none" w:sz="0" w:space="0" w:color="auto"/>
      </w:divBdr>
    </w:div>
    <w:div w:id="1916742320">
      <w:bodyDiv w:val="1"/>
      <w:marLeft w:val="0"/>
      <w:marRight w:val="0"/>
      <w:marTop w:val="0"/>
      <w:marBottom w:val="0"/>
      <w:divBdr>
        <w:top w:val="none" w:sz="0" w:space="0" w:color="auto"/>
        <w:left w:val="none" w:sz="0" w:space="0" w:color="auto"/>
        <w:bottom w:val="none" w:sz="0" w:space="0" w:color="auto"/>
        <w:right w:val="none" w:sz="0" w:space="0" w:color="auto"/>
      </w:divBdr>
    </w:div>
    <w:div w:id="1918245907">
      <w:bodyDiv w:val="1"/>
      <w:marLeft w:val="0"/>
      <w:marRight w:val="0"/>
      <w:marTop w:val="0"/>
      <w:marBottom w:val="0"/>
      <w:divBdr>
        <w:top w:val="none" w:sz="0" w:space="0" w:color="auto"/>
        <w:left w:val="none" w:sz="0" w:space="0" w:color="auto"/>
        <w:bottom w:val="none" w:sz="0" w:space="0" w:color="auto"/>
        <w:right w:val="none" w:sz="0" w:space="0" w:color="auto"/>
      </w:divBdr>
    </w:div>
    <w:div w:id="1918436263">
      <w:bodyDiv w:val="1"/>
      <w:marLeft w:val="0"/>
      <w:marRight w:val="0"/>
      <w:marTop w:val="0"/>
      <w:marBottom w:val="0"/>
      <w:divBdr>
        <w:top w:val="none" w:sz="0" w:space="0" w:color="auto"/>
        <w:left w:val="none" w:sz="0" w:space="0" w:color="auto"/>
        <w:bottom w:val="none" w:sz="0" w:space="0" w:color="auto"/>
        <w:right w:val="none" w:sz="0" w:space="0" w:color="auto"/>
      </w:divBdr>
    </w:div>
    <w:div w:id="1918636570">
      <w:bodyDiv w:val="1"/>
      <w:marLeft w:val="0"/>
      <w:marRight w:val="0"/>
      <w:marTop w:val="0"/>
      <w:marBottom w:val="0"/>
      <w:divBdr>
        <w:top w:val="none" w:sz="0" w:space="0" w:color="auto"/>
        <w:left w:val="none" w:sz="0" w:space="0" w:color="auto"/>
        <w:bottom w:val="none" w:sz="0" w:space="0" w:color="auto"/>
        <w:right w:val="none" w:sz="0" w:space="0" w:color="auto"/>
      </w:divBdr>
    </w:div>
    <w:div w:id="1919824247">
      <w:bodyDiv w:val="1"/>
      <w:marLeft w:val="0"/>
      <w:marRight w:val="0"/>
      <w:marTop w:val="0"/>
      <w:marBottom w:val="0"/>
      <w:divBdr>
        <w:top w:val="none" w:sz="0" w:space="0" w:color="auto"/>
        <w:left w:val="none" w:sz="0" w:space="0" w:color="auto"/>
        <w:bottom w:val="none" w:sz="0" w:space="0" w:color="auto"/>
        <w:right w:val="none" w:sz="0" w:space="0" w:color="auto"/>
      </w:divBdr>
    </w:div>
    <w:div w:id="1920212445">
      <w:bodyDiv w:val="1"/>
      <w:marLeft w:val="0"/>
      <w:marRight w:val="0"/>
      <w:marTop w:val="0"/>
      <w:marBottom w:val="0"/>
      <w:divBdr>
        <w:top w:val="none" w:sz="0" w:space="0" w:color="auto"/>
        <w:left w:val="none" w:sz="0" w:space="0" w:color="auto"/>
        <w:bottom w:val="none" w:sz="0" w:space="0" w:color="auto"/>
        <w:right w:val="none" w:sz="0" w:space="0" w:color="auto"/>
      </w:divBdr>
    </w:div>
    <w:div w:id="1920824815">
      <w:bodyDiv w:val="1"/>
      <w:marLeft w:val="0"/>
      <w:marRight w:val="0"/>
      <w:marTop w:val="0"/>
      <w:marBottom w:val="0"/>
      <w:divBdr>
        <w:top w:val="none" w:sz="0" w:space="0" w:color="auto"/>
        <w:left w:val="none" w:sz="0" w:space="0" w:color="auto"/>
        <w:bottom w:val="none" w:sz="0" w:space="0" w:color="auto"/>
        <w:right w:val="none" w:sz="0" w:space="0" w:color="auto"/>
      </w:divBdr>
    </w:div>
    <w:div w:id="1920943947">
      <w:bodyDiv w:val="1"/>
      <w:marLeft w:val="0"/>
      <w:marRight w:val="0"/>
      <w:marTop w:val="0"/>
      <w:marBottom w:val="0"/>
      <w:divBdr>
        <w:top w:val="none" w:sz="0" w:space="0" w:color="auto"/>
        <w:left w:val="none" w:sz="0" w:space="0" w:color="auto"/>
        <w:bottom w:val="none" w:sz="0" w:space="0" w:color="auto"/>
        <w:right w:val="none" w:sz="0" w:space="0" w:color="auto"/>
      </w:divBdr>
    </w:div>
    <w:div w:id="1920947525">
      <w:bodyDiv w:val="1"/>
      <w:marLeft w:val="0"/>
      <w:marRight w:val="0"/>
      <w:marTop w:val="0"/>
      <w:marBottom w:val="0"/>
      <w:divBdr>
        <w:top w:val="none" w:sz="0" w:space="0" w:color="auto"/>
        <w:left w:val="none" w:sz="0" w:space="0" w:color="auto"/>
        <w:bottom w:val="none" w:sz="0" w:space="0" w:color="auto"/>
        <w:right w:val="none" w:sz="0" w:space="0" w:color="auto"/>
      </w:divBdr>
    </w:div>
    <w:div w:id="1921061764">
      <w:bodyDiv w:val="1"/>
      <w:marLeft w:val="0"/>
      <w:marRight w:val="0"/>
      <w:marTop w:val="0"/>
      <w:marBottom w:val="0"/>
      <w:divBdr>
        <w:top w:val="none" w:sz="0" w:space="0" w:color="auto"/>
        <w:left w:val="none" w:sz="0" w:space="0" w:color="auto"/>
        <w:bottom w:val="none" w:sz="0" w:space="0" w:color="auto"/>
        <w:right w:val="none" w:sz="0" w:space="0" w:color="auto"/>
      </w:divBdr>
    </w:div>
    <w:div w:id="1921131779">
      <w:bodyDiv w:val="1"/>
      <w:marLeft w:val="0"/>
      <w:marRight w:val="0"/>
      <w:marTop w:val="0"/>
      <w:marBottom w:val="0"/>
      <w:divBdr>
        <w:top w:val="none" w:sz="0" w:space="0" w:color="auto"/>
        <w:left w:val="none" w:sz="0" w:space="0" w:color="auto"/>
        <w:bottom w:val="none" w:sz="0" w:space="0" w:color="auto"/>
        <w:right w:val="none" w:sz="0" w:space="0" w:color="auto"/>
      </w:divBdr>
    </w:div>
    <w:div w:id="1921408431">
      <w:bodyDiv w:val="1"/>
      <w:marLeft w:val="0"/>
      <w:marRight w:val="0"/>
      <w:marTop w:val="0"/>
      <w:marBottom w:val="0"/>
      <w:divBdr>
        <w:top w:val="none" w:sz="0" w:space="0" w:color="auto"/>
        <w:left w:val="none" w:sz="0" w:space="0" w:color="auto"/>
        <w:bottom w:val="none" w:sz="0" w:space="0" w:color="auto"/>
        <w:right w:val="none" w:sz="0" w:space="0" w:color="auto"/>
      </w:divBdr>
    </w:div>
    <w:div w:id="1921599892">
      <w:bodyDiv w:val="1"/>
      <w:marLeft w:val="0"/>
      <w:marRight w:val="0"/>
      <w:marTop w:val="0"/>
      <w:marBottom w:val="0"/>
      <w:divBdr>
        <w:top w:val="none" w:sz="0" w:space="0" w:color="auto"/>
        <w:left w:val="none" w:sz="0" w:space="0" w:color="auto"/>
        <w:bottom w:val="none" w:sz="0" w:space="0" w:color="auto"/>
        <w:right w:val="none" w:sz="0" w:space="0" w:color="auto"/>
      </w:divBdr>
    </w:div>
    <w:div w:id="1921865103">
      <w:bodyDiv w:val="1"/>
      <w:marLeft w:val="0"/>
      <w:marRight w:val="0"/>
      <w:marTop w:val="0"/>
      <w:marBottom w:val="0"/>
      <w:divBdr>
        <w:top w:val="none" w:sz="0" w:space="0" w:color="auto"/>
        <w:left w:val="none" w:sz="0" w:space="0" w:color="auto"/>
        <w:bottom w:val="none" w:sz="0" w:space="0" w:color="auto"/>
        <w:right w:val="none" w:sz="0" w:space="0" w:color="auto"/>
      </w:divBdr>
    </w:div>
    <w:div w:id="1922449406">
      <w:bodyDiv w:val="1"/>
      <w:marLeft w:val="0"/>
      <w:marRight w:val="0"/>
      <w:marTop w:val="0"/>
      <w:marBottom w:val="0"/>
      <w:divBdr>
        <w:top w:val="none" w:sz="0" w:space="0" w:color="auto"/>
        <w:left w:val="none" w:sz="0" w:space="0" w:color="auto"/>
        <w:bottom w:val="none" w:sz="0" w:space="0" w:color="auto"/>
        <w:right w:val="none" w:sz="0" w:space="0" w:color="auto"/>
      </w:divBdr>
    </w:div>
    <w:div w:id="1922788866">
      <w:bodyDiv w:val="1"/>
      <w:marLeft w:val="0"/>
      <w:marRight w:val="0"/>
      <w:marTop w:val="0"/>
      <w:marBottom w:val="0"/>
      <w:divBdr>
        <w:top w:val="none" w:sz="0" w:space="0" w:color="auto"/>
        <w:left w:val="none" w:sz="0" w:space="0" w:color="auto"/>
        <w:bottom w:val="none" w:sz="0" w:space="0" w:color="auto"/>
        <w:right w:val="none" w:sz="0" w:space="0" w:color="auto"/>
      </w:divBdr>
    </w:div>
    <w:div w:id="1923447784">
      <w:bodyDiv w:val="1"/>
      <w:marLeft w:val="0"/>
      <w:marRight w:val="0"/>
      <w:marTop w:val="0"/>
      <w:marBottom w:val="0"/>
      <w:divBdr>
        <w:top w:val="none" w:sz="0" w:space="0" w:color="auto"/>
        <w:left w:val="none" w:sz="0" w:space="0" w:color="auto"/>
        <w:bottom w:val="none" w:sz="0" w:space="0" w:color="auto"/>
        <w:right w:val="none" w:sz="0" w:space="0" w:color="auto"/>
      </w:divBdr>
    </w:div>
    <w:div w:id="1923484805">
      <w:bodyDiv w:val="1"/>
      <w:marLeft w:val="0"/>
      <w:marRight w:val="0"/>
      <w:marTop w:val="0"/>
      <w:marBottom w:val="0"/>
      <w:divBdr>
        <w:top w:val="none" w:sz="0" w:space="0" w:color="auto"/>
        <w:left w:val="none" w:sz="0" w:space="0" w:color="auto"/>
        <w:bottom w:val="none" w:sz="0" w:space="0" w:color="auto"/>
        <w:right w:val="none" w:sz="0" w:space="0" w:color="auto"/>
      </w:divBdr>
    </w:div>
    <w:div w:id="1923753244">
      <w:bodyDiv w:val="1"/>
      <w:marLeft w:val="0"/>
      <w:marRight w:val="0"/>
      <w:marTop w:val="0"/>
      <w:marBottom w:val="0"/>
      <w:divBdr>
        <w:top w:val="none" w:sz="0" w:space="0" w:color="auto"/>
        <w:left w:val="none" w:sz="0" w:space="0" w:color="auto"/>
        <w:bottom w:val="none" w:sz="0" w:space="0" w:color="auto"/>
        <w:right w:val="none" w:sz="0" w:space="0" w:color="auto"/>
      </w:divBdr>
    </w:div>
    <w:div w:id="1924219258">
      <w:bodyDiv w:val="1"/>
      <w:marLeft w:val="0"/>
      <w:marRight w:val="0"/>
      <w:marTop w:val="0"/>
      <w:marBottom w:val="0"/>
      <w:divBdr>
        <w:top w:val="none" w:sz="0" w:space="0" w:color="auto"/>
        <w:left w:val="none" w:sz="0" w:space="0" w:color="auto"/>
        <w:bottom w:val="none" w:sz="0" w:space="0" w:color="auto"/>
        <w:right w:val="none" w:sz="0" w:space="0" w:color="auto"/>
      </w:divBdr>
    </w:div>
    <w:div w:id="1925262914">
      <w:bodyDiv w:val="1"/>
      <w:marLeft w:val="0"/>
      <w:marRight w:val="0"/>
      <w:marTop w:val="0"/>
      <w:marBottom w:val="0"/>
      <w:divBdr>
        <w:top w:val="none" w:sz="0" w:space="0" w:color="auto"/>
        <w:left w:val="none" w:sz="0" w:space="0" w:color="auto"/>
        <w:bottom w:val="none" w:sz="0" w:space="0" w:color="auto"/>
        <w:right w:val="none" w:sz="0" w:space="0" w:color="auto"/>
      </w:divBdr>
    </w:div>
    <w:div w:id="1925609206">
      <w:bodyDiv w:val="1"/>
      <w:marLeft w:val="0"/>
      <w:marRight w:val="0"/>
      <w:marTop w:val="0"/>
      <w:marBottom w:val="0"/>
      <w:divBdr>
        <w:top w:val="none" w:sz="0" w:space="0" w:color="auto"/>
        <w:left w:val="none" w:sz="0" w:space="0" w:color="auto"/>
        <w:bottom w:val="none" w:sz="0" w:space="0" w:color="auto"/>
        <w:right w:val="none" w:sz="0" w:space="0" w:color="auto"/>
      </w:divBdr>
    </w:div>
    <w:div w:id="1925842482">
      <w:bodyDiv w:val="1"/>
      <w:marLeft w:val="0"/>
      <w:marRight w:val="0"/>
      <w:marTop w:val="0"/>
      <w:marBottom w:val="0"/>
      <w:divBdr>
        <w:top w:val="none" w:sz="0" w:space="0" w:color="auto"/>
        <w:left w:val="none" w:sz="0" w:space="0" w:color="auto"/>
        <w:bottom w:val="none" w:sz="0" w:space="0" w:color="auto"/>
        <w:right w:val="none" w:sz="0" w:space="0" w:color="auto"/>
      </w:divBdr>
    </w:div>
    <w:div w:id="1925871481">
      <w:bodyDiv w:val="1"/>
      <w:marLeft w:val="0"/>
      <w:marRight w:val="0"/>
      <w:marTop w:val="0"/>
      <w:marBottom w:val="0"/>
      <w:divBdr>
        <w:top w:val="none" w:sz="0" w:space="0" w:color="auto"/>
        <w:left w:val="none" w:sz="0" w:space="0" w:color="auto"/>
        <w:bottom w:val="none" w:sz="0" w:space="0" w:color="auto"/>
        <w:right w:val="none" w:sz="0" w:space="0" w:color="auto"/>
      </w:divBdr>
    </w:div>
    <w:div w:id="1927036907">
      <w:bodyDiv w:val="1"/>
      <w:marLeft w:val="0"/>
      <w:marRight w:val="0"/>
      <w:marTop w:val="0"/>
      <w:marBottom w:val="0"/>
      <w:divBdr>
        <w:top w:val="none" w:sz="0" w:space="0" w:color="auto"/>
        <w:left w:val="none" w:sz="0" w:space="0" w:color="auto"/>
        <w:bottom w:val="none" w:sz="0" w:space="0" w:color="auto"/>
        <w:right w:val="none" w:sz="0" w:space="0" w:color="auto"/>
      </w:divBdr>
    </w:div>
    <w:div w:id="1927154449">
      <w:bodyDiv w:val="1"/>
      <w:marLeft w:val="0"/>
      <w:marRight w:val="0"/>
      <w:marTop w:val="0"/>
      <w:marBottom w:val="0"/>
      <w:divBdr>
        <w:top w:val="none" w:sz="0" w:space="0" w:color="auto"/>
        <w:left w:val="none" w:sz="0" w:space="0" w:color="auto"/>
        <w:bottom w:val="none" w:sz="0" w:space="0" w:color="auto"/>
        <w:right w:val="none" w:sz="0" w:space="0" w:color="auto"/>
      </w:divBdr>
    </w:div>
    <w:div w:id="1927303957">
      <w:bodyDiv w:val="1"/>
      <w:marLeft w:val="0"/>
      <w:marRight w:val="0"/>
      <w:marTop w:val="0"/>
      <w:marBottom w:val="0"/>
      <w:divBdr>
        <w:top w:val="none" w:sz="0" w:space="0" w:color="auto"/>
        <w:left w:val="none" w:sz="0" w:space="0" w:color="auto"/>
        <w:bottom w:val="none" w:sz="0" w:space="0" w:color="auto"/>
        <w:right w:val="none" w:sz="0" w:space="0" w:color="auto"/>
      </w:divBdr>
    </w:div>
    <w:div w:id="1927416913">
      <w:bodyDiv w:val="1"/>
      <w:marLeft w:val="0"/>
      <w:marRight w:val="0"/>
      <w:marTop w:val="0"/>
      <w:marBottom w:val="0"/>
      <w:divBdr>
        <w:top w:val="none" w:sz="0" w:space="0" w:color="auto"/>
        <w:left w:val="none" w:sz="0" w:space="0" w:color="auto"/>
        <w:bottom w:val="none" w:sz="0" w:space="0" w:color="auto"/>
        <w:right w:val="none" w:sz="0" w:space="0" w:color="auto"/>
      </w:divBdr>
    </w:div>
    <w:div w:id="1927417200">
      <w:bodyDiv w:val="1"/>
      <w:marLeft w:val="0"/>
      <w:marRight w:val="0"/>
      <w:marTop w:val="0"/>
      <w:marBottom w:val="0"/>
      <w:divBdr>
        <w:top w:val="none" w:sz="0" w:space="0" w:color="auto"/>
        <w:left w:val="none" w:sz="0" w:space="0" w:color="auto"/>
        <w:bottom w:val="none" w:sz="0" w:space="0" w:color="auto"/>
        <w:right w:val="none" w:sz="0" w:space="0" w:color="auto"/>
      </w:divBdr>
    </w:div>
    <w:div w:id="1927493485">
      <w:bodyDiv w:val="1"/>
      <w:marLeft w:val="0"/>
      <w:marRight w:val="0"/>
      <w:marTop w:val="0"/>
      <w:marBottom w:val="0"/>
      <w:divBdr>
        <w:top w:val="none" w:sz="0" w:space="0" w:color="auto"/>
        <w:left w:val="none" w:sz="0" w:space="0" w:color="auto"/>
        <w:bottom w:val="none" w:sz="0" w:space="0" w:color="auto"/>
        <w:right w:val="none" w:sz="0" w:space="0" w:color="auto"/>
      </w:divBdr>
    </w:div>
    <w:div w:id="1927878524">
      <w:bodyDiv w:val="1"/>
      <w:marLeft w:val="0"/>
      <w:marRight w:val="0"/>
      <w:marTop w:val="0"/>
      <w:marBottom w:val="0"/>
      <w:divBdr>
        <w:top w:val="none" w:sz="0" w:space="0" w:color="auto"/>
        <w:left w:val="none" w:sz="0" w:space="0" w:color="auto"/>
        <w:bottom w:val="none" w:sz="0" w:space="0" w:color="auto"/>
        <w:right w:val="none" w:sz="0" w:space="0" w:color="auto"/>
      </w:divBdr>
    </w:div>
    <w:div w:id="1928034228">
      <w:bodyDiv w:val="1"/>
      <w:marLeft w:val="0"/>
      <w:marRight w:val="0"/>
      <w:marTop w:val="0"/>
      <w:marBottom w:val="0"/>
      <w:divBdr>
        <w:top w:val="none" w:sz="0" w:space="0" w:color="auto"/>
        <w:left w:val="none" w:sz="0" w:space="0" w:color="auto"/>
        <w:bottom w:val="none" w:sz="0" w:space="0" w:color="auto"/>
        <w:right w:val="none" w:sz="0" w:space="0" w:color="auto"/>
      </w:divBdr>
    </w:div>
    <w:div w:id="1928802642">
      <w:bodyDiv w:val="1"/>
      <w:marLeft w:val="0"/>
      <w:marRight w:val="0"/>
      <w:marTop w:val="0"/>
      <w:marBottom w:val="0"/>
      <w:divBdr>
        <w:top w:val="none" w:sz="0" w:space="0" w:color="auto"/>
        <w:left w:val="none" w:sz="0" w:space="0" w:color="auto"/>
        <w:bottom w:val="none" w:sz="0" w:space="0" w:color="auto"/>
        <w:right w:val="none" w:sz="0" w:space="0" w:color="auto"/>
      </w:divBdr>
    </w:div>
    <w:div w:id="1928881719">
      <w:bodyDiv w:val="1"/>
      <w:marLeft w:val="0"/>
      <w:marRight w:val="0"/>
      <w:marTop w:val="0"/>
      <w:marBottom w:val="0"/>
      <w:divBdr>
        <w:top w:val="none" w:sz="0" w:space="0" w:color="auto"/>
        <w:left w:val="none" w:sz="0" w:space="0" w:color="auto"/>
        <w:bottom w:val="none" w:sz="0" w:space="0" w:color="auto"/>
        <w:right w:val="none" w:sz="0" w:space="0" w:color="auto"/>
      </w:divBdr>
    </w:div>
    <w:div w:id="1928927782">
      <w:bodyDiv w:val="1"/>
      <w:marLeft w:val="0"/>
      <w:marRight w:val="0"/>
      <w:marTop w:val="0"/>
      <w:marBottom w:val="0"/>
      <w:divBdr>
        <w:top w:val="none" w:sz="0" w:space="0" w:color="auto"/>
        <w:left w:val="none" w:sz="0" w:space="0" w:color="auto"/>
        <w:bottom w:val="none" w:sz="0" w:space="0" w:color="auto"/>
        <w:right w:val="none" w:sz="0" w:space="0" w:color="auto"/>
      </w:divBdr>
    </w:div>
    <w:div w:id="1929846640">
      <w:bodyDiv w:val="1"/>
      <w:marLeft w:val="0"/>
      <w:marRight w:val="0"/>
      <w:marTop w:val="0"/>
      <w:marBottom w:val="0"/>
      <w:divBdr>
        <w:top w:val="none" w:sz="0" w:space="0" w:color="auto"/>
        <w:left w:val="none" w:sz="0" w:space="0" w:color="auto"/>
        <w:bottom w:val="none" w:sz="0" w:space="0" w:color="auto"/>
        <w:right w:val="none" w:sz="0" w:space="0" w:color="auto"/>
      </w:divBdr>
    </w:div>
    <w:div w:id="1930969664">
      <w:bodyDiv w:val="1"/>
      <w:marLeft w:val="0"/>
      <w:marRight w:val="0"/>
      <w:marTop w:val="0"/>
      <w:marBottom w:val="0"/>
      <w:divBdr>
        <w:top w:val="none" w:sz="0" w:space="0" w:color="auto"/>
        <w:left w:val="none" w:sz="0" w:space="0" w:color="auto"/>
        <w:bottom w:val="none" w:sz="0" w:space="0" w:color="auto"/>
        <w:right w:val="none" w:sz="0" w:space="0" w:color="auto"/>
      </w:divBdr>
    </w:div>
    <w:div w:id="1931280820">
      <w:bodyDiv w:val="1"/>
      <w:marLeft w:val="0"/>
      <w:marRight w:val="0"/>
      <w:marTop w:val="0"/>
      <w:marBottom w:val="0"/>
      <w:divBdr>
        <w:top w:val="none" w:sz="0" w:space="0" w:color="auto"/>
        <w:left w:val="none" w:sz="0" w:space="0" w:color="auto"/>
        <w:bottom w:val="none" w:sz="0" w:space="0" w:color="auto"/>
        <w:right w:val="none" w:sz="0" w:space="0" w:color="auto"/>
      </w:divBdr>
    </w:div>
    <w:div w:id="1931499213">
      <w:bodyDiv w:val="1"/>
      <w:marLeft w:val="0"/>
      <w:marRight w:val="0"/>
      <w:marTop w:val="0"/>
      <w:marBottom w:val="0"/>
      <w:divBdr>
        <w:top w:val="none" w:sz="0" w:space="0" w:color="auto"/>
        <w:left w:val="none" w:sz="0" w:space="0" w:color="auto"/>
        <w:bottom w:val="none" w:sz="0" w:space="0" w:color="auto"/>
        <w:right w:val="none" w:sz="0" w:space="0" w:color="auto"/>
      </w:divBdr>
    </w:div>
    <w:div w:id="1932161456">
      <w:bodyDiv w:val="1"/>
      <w:marLeft w:val="0"/>
      <w:marRight w:val="0"/>
      <w:marTop w:val="0"/>
      <w:marBottom w:val="0"/>
      <w:divBdr>
        <w:top w:val="none" w:sz="0" w:space="0" w:color="auto"/>
        <w:left w:val="none" w:sz="0" w:space="0" w:color="auto"/>
        <w:bottom w:val="none" w:sz="0" w:space="0" w:color="auto"/>
        <w:right w:val="none" w:sz="0" w:space="0" w:color="auto"/>
      </w:divBdr>
    </w:div>
    <w:div w:id="1932200739">
      <w:bodyDiv w:val="1"/>
      <w:marLeft w:val="0"/>
      <w:marRight w:val="0"/>
      <w:marTop w:val="0"/>
      <w:marBottom w:val="0"/>
      <w:divBdr>
        <w:top w:val="none" w:sz="0" w:space="0" w:color="auto"/>
        <w:left w:val="none" w:sz="0" w:space="0" w:color="auto"/>
        <w:bottom w:val="none" w:sz="0" w:space="0" w:color="auto"/>
        <w:right w:val="none" w:sz="0" w:space="0" w:color="auto"/>
      </w:divBdr>
    </w:div>
    <w:div w:id="1932857897">
      <w:bodyDiv w:val="1"/>
      <w:marLeft w:val="0"/>
      <w:marRight w:val="0"/>
      <w:marTop w:val="0"/>
      <w:marBottom w:val="0"/>
      <w:divBdr>
        <w:top w:val="none" w:sz="0" w:space="0" w:color="auto"/>
        <w:left w:val="none" w:sz="0" w:space="0" w:color="auto"/>
        <w:bottom w:val="none" w:sz="0" w:space="0" w:color="auto"/>
        <w:right w:val="none" w:sz="0" w:space="0" w:color="auto"/>
      </w:divBdr>
    </w:div>
    <w:div w:id="1934121502">
      <w:bodyDiv w:val="1"/>
      <w:marLeft w:val="0"/>
      <w:marRight w:val="0"/>
      <w:marTop w:val="0"/>
      <w:marBottom w:val="0"/>
      <w:divBdr>
        <w:top w:val="none" w:sz="0" w:space="0" w:color="auto"/>
        <w:left w:val="none" w:sz="0" w:space="0" w:color="auto"/>
        <w:bottom w:val="none" w:sz="0" w:space="0" w:color="auto"/>
        <w:right w:val="none" w:sz="0" w:space="0" w:color="auto"/>
      </w:divBdr>
    </w:div>
    <w:div w:id="1934698523">
      <w:bodyDiv w:val="1"/>
      <w:marLeft w:val="0"/>
      <w:marRight w:val="0"/>
      <w:marTop w:val="0"/>
      <w:marBottom w:val="0"/>
      <w:divBdr>
        <w:top w:val="none" w:sz="0" w:space="0" w:color="auto"/>
        <w:left w:val="none" w:sz="0" w:space="0" w:color="auto"/>
        <w:bottom w:val="none" w:sz="0" w:space="0" w:color="auto"/>
        <w:right w:val="none" w:sz="0" w:space="0" w:color="auto"/>
      </w:divBdr>
    </w:div>
    <w:div w:id="1935434174">
      <w:bodyDiv w:val="1"/>
      <w:marLeft w:val="0"/>
      <w:marRight w:val="0"/>
      <w:marTop w:val="0"/>
      <w:marBottom w:val="0"/>
      <w:divBdr>
        <w:top w:val="none" w:sz="0" w:space="0" w:color="auto"/>
        <w:left w:val="none" w:sz="0" w:space="0" w:color="auto"/>
        <w:bottom w:val="none" w:sz="0" w:space="0" w:color="auto"/>
        <w:right w:val="none" w:sz="0" w:space="0" w:color="auto"/>
      </w:divBdr>
    </w:div>
    <w:div w:id="1935703878">
      <w:bodyDiv w:val="1"/>
      <w:marLeft w:val="0"/>
      <w:marRight w:val="0"/>
      <w:marTop w:val="0"/>
      <w:marBottom w:val="0"/>
      <w:divBdr>
        <w:top w:val="none" w:sz="0" w:space="0" w:color="auto"/>
        <w:left w:val="none" w:sz="0" w:space="0" w:color="auto"/>
        <w:bottom w:val="none" w:sz="0" w:space="0" w:color="auto"/>
        <w:right w:val="none" w:sz="0" w:space="0" w:color="auto"/>
      </w:divBdr>
    </w:div>
    <w:div w:id="1936136414">
      <w:bodyDiv w:val="1"/>
      <w:marLeft w:val="0"/>
      <w:marRight w:val="0"/>
      <w:marTop w:val="0"/>
      <w:marBottom w:val="0"/>
      <w:divBdr>
        <w:top w:val="none" w:sz="0" w:space="0" w:color="auto"/>
        <w:left w:val="none" w:sz="0" w:space="0" w:color="auto"/>
        <w:bottom w:val="none" w:sz="0" w:space="0" w:color="auto"/>
        <w:right w:val="none" w:sz="0" w:space="0" w:color="auto"/>
      </w:divBdr>
    </w:div>
    <w:div w:id="1937715770">
      <w:bodyDiv w:val="1"/>
      <w:marLeft w:val="0"/>
      <w:marRight w:val="0"/>
      <w:marTop w:val="0"/>
      <w:marBottom w:val="0"/>
      <w:divBdr>
        <w:top w:val="none" w:sz="0" w:space="0" w:color="auto"/>
        <w:left w:val="none" w:sz="0" w:space="0" w:color="auto"/>
        <w:bottom w:val="none" w:sz="0" w:space="0" w:color="auto"/>
        <w:right w:val="none" w:sz="0" w:space="0" w:color="auto"/>
      </w:divBdr>
    </w:div>
    <w:div w:id="1938174323">
      <w:bodyDiv w:val="1"/>
      <w:marLeft w:val="0"/>
      <w:marRight w:val="0"/>
      <w:marTop w:val="0"/>
      <w:marBottom w:val="0"/>
      <w:divBdr>
        <w:top w:val="none" w:sz="0" w:space="0" w:color="auto"/>
        <w:left w:val="none" w:sz="0" w:space="0" w:color="auto"/>
        <w:bottom w:val="none" w:sz="0" w:space="0" w:color="auto"/>
        <w:right w:val="none" w:sz="0" w:space="0" w:color="auto"/>
      </w:divBdr>
    </w:div>
    <w:div w:id="1938245673">
      <w:bodyDiv w:val="1"/>
      <w:marLeft w:val="0"/>
      <w:marRight w:val="0"/>
      <w:marTop w:val="0"/>
      <w:marBottom w:val="0"/>
      <w:divBdr>
        <w:top w:val="none" w:sz="0" w:space="0" w:color="auto"/>
        <w:left w:val="none" w:sz="0" w:space="0" w:color="auto"/>
        <w:bottom w:val="none" w:sz="0" w:space="0" w:color="auto"/>
        <w:right w:val="none" w:sz="0" w:space="0" w:color="auto"/>
      </w:divBdr>
    </w:div>
    <w:div w:id="1938521438">
      <w:bodyDiv w:val="1"/>
      <w:marLeft w:val="0"/>
      <w:marRight w:val="0"/>
      <w:marTop w:val="0"/>
      <w:marBottom w:val="0"/>
      <w:divBdr>
        <w:top w:val="none" w:sz="0" w:space="0" w:color="auto"/>
        <w:left w:val="none" w:sz="0" w:space="0" w:color="auto"/>
        <w:bottom w:val="none" w:sz="0" w:space="0" w:color="auto"/>
        <w:right w:val="none" w:sz="0" w:space="0" w:color="auto"/>
      </w:divBdr>
    </w:div>
    <w:div w:id="1938752622">
      <w:bodyDiv w:val="1"/>
      <w:marLeft w:val="0"/>
      <w:marRight w:val="0"/>
      <w:marTop w:val="0"/>
      <w:marBottom w:val="0"/>
      <w:divBdr>
        <w:top w:val="none" w:sz="0" w:space="0" w:color="auto"/>
        <w:left w:val="none" w:sz="0" w:space="0" w:color="auto"/>
        <w:bottom w:val="none" w:sz="0" w:space="0" w:color="auto"/>
        <w:right w:val="none" w:sz="0" w:space="0" w:color="auto"/>
      </w:divBdr>
    </w:div>
    <w:div w:id="1939211521">
      <w:bodyDiv w:val="1"/>
      <w:marLeft w:val="0"/>
      <w:marRight w:val="0"/>
      <w:marTop w:val="0"/>
      <w:marBottom w:val="0"/>
      <w:divBdr>
        <w:top w:val="none" w:sz="0" w:space="0" w:color="auto"/>
        <w:left w:val="none" w:sz="0" w:space="0" w:color="auto"/>
        <w:bottom w:val="none" w:sz="0" w:space="0" w:color="auto"/>
        <w:right w:val="none" w:sz="0" w:space="0" w:color="auto"/>
      </w:divBdr>
    </w:div>
    <w:div w:id="1940093541">
      <w:bodyDiv w:val="1"/>
      <w:marLeft w:val="0"/>
      <w:marRight w:val="0"/>
      <w:marTop w:val="0"/>
      <w:marBottom w:val="0"/>
      <w:divBdr>
        <w:top w:val="none" w:sz="0" w:space="0" w:color="auto"/>
        <w:left w:val="none" w:sz="0" w:space="0" w:color="auto"/>
        <w:bottom w:val="none" w:sz="0" w:space="0" w:color="auto"/>
        <w:right w:val="none" w:sz="0" w:space="0" w:color="auto"/>
      </w:divBdr>
    </w:div>
    <w:div w:id="1940093649">
      <w:bodyDiv w:val="1"/>
      <w:marLeft w:val="0"/>
      <w:marRight w:val="0"/>
      <w:marTop w:val="0"/>
      <w:marBottom w:val="0"/>
      <w:divBdr>
        <w:top w:val="none" w:sz="0" w:space="0" w:color="auto"/>
        <w:left w:val="none" w:sz="0" w:space="0" w:color="auto"/>
        <w:bottom w:val="none" w:sz="0" w:space="0" w:color="auto"/>
        <w:right w:val="none" w:sz="0" w:space="0" w:color="auto"/>
      </w:divBdr>
    </w:div>
    <w:div w:id="1941252410">
      <w:bodyDiv w:val="1"/>
      <w:marLeft w:val="0"/>
      <w:marRight w:val="0"/>
      <w:marTop w:val="0"/>
      <w:marBottom w:val="0"/>
      <w:divBdr>
        <w:top w:val="none" w:sz="0" w:space="0" w:color="auto"/>
        <w:left w:val="none" w:sz="0" w:space="0" w:color="auto"/>
        <w:bottom w:val="none" w:sz="0" w:space="0" w:color="auto"/>
        <w:right w:val="none" w:sz="0" w:space="0" w:color="auto"/>
      </w:divBdr>
    </w:div>
    <w:div w:id="1941256453">
      <w:bodyDiv w:val="1"/>
      <w:marLeft w:val="0"/>
      <w:marRight w:val="0"/>
      <w:marTop w:val="0"/>
      <w:marBottom w:val="0"/>
      <w:divBdr>
        <w:top w:val="none" w:sz="0" w:space="0" w:color="auto"/>
        <w:left w:val="none" w:sz="0" w:space="0" w:color="auto"/>
        <w:bottom w:val="none" w:sz="0" w:space="0" w:color="auto"/>
        <w:right w:val="none" w:sz="0" w:space="0" w:color="auto"/>
      </w:divBdr>
    </w:div>
    <w:div w:id="1941642596">
      <w:bodyDiv w:val="1"/>
      <w:marLeft w:val="0"/>
      <w:marRight w:val="0"/>
      <w:marTop w:val="0"/>
      <w:marBottom w:val="0"/>
      <w:divBdr>
        <w:top w:val="none" w:sz="0" w:space="0" w:color="auto"/>
        <w:left w:val="none" w:sz="0" w:space="0" w:color="auto"/>
        <w:bottom w:val="none" w:sz="0" w:space="0" w:color="auto"/>
        <w:right w:val="none" w:sz="0" w:space="0" w:color="auto"/>
      </w:divBdr>
    </w:div>
    <w:div w:id="1942103009">
      <w:bodyDiv w:val="1"/>
      <w:marLeft w:val="0"/>
      <w:marRight w:val="0"/>
      <w:marTop w:val="0"/>
      <w:marBottom w:val="0"/>
      <w:divBdr>
        <w:top w:val="none" w:sz="0" w:space="0" w:color="auto"/>
        <w:left w:val="none" w:sz="0" w:space="0" w:color="auto"/>
        <w:bottom w:val="none" w:sz="0" w:space="0" w:color="auto"/>
        <w:right w:val="none" w:sz="0" w:space="0" w:color="auto"/>
      </w:divBdr>
    </w:div>
    <w:div w:id="1942955837">
      <w:bodyDiv w:val="1"/>
      <w:marLeft w:val="0"/>
      <w:marRight w:val="0"/>
      <w:marTop w:val="0"/>
      <w:marBottom w:val="0"/>
      <w:divBdr>
        <w:top w:val="none" w:sz="0" w:space="0" w:color="auto"/>
        <w:left w:val="none" w:sz="0" w:space="0" w:color="auto"/>
        <w:bottom w:val="none" w:sz="0" w:space="0" w:color="auto"/>
        <w:right w:val="none" w:sz="0" w:space="0" w:color="auto"/>
      </w:divBdr>
    </w:div>
    <w:div w:id="1943610419">
      <w:bodyDiv w:val="1"/>
      <w:marLeft w:val="0"/>
      <w:marRight w:val="0"/>
      <w:marTop w:val="0"/>
      <w:marBottom w:val="0"/>
      <w:divBdr>
        <w:top w:val="none" w:sz="0" w:space="0" w:color="auto"/>
        <w:left w:val="none" w:sz="0" w:space="0" w:color="auto"/>
        <w:bottom w:val="none" w:sz="0" w:space="0" w:color="auto"/>
        <w:right w:val="none" w:sz="0" w:space="0" w:color="auto"/>
      </w:divBdr>
    </w:div>
    <w:div w:id="1943949309">
      <w:bodyDiv w:val="1"/>
      <w:marLeft w:val="0"/>
      <w:marRight w:val="0"/>
      <w:marTop w:val="0"/>
      <w:marBottom w:val="0"/>
      <w:divBdr>
        <w:top w:val="none" w:sz="0" w:space="0" w:color="auto"/>
        <w:left w:val="none" w:sz="0" w:space="0" w:color="auto"/>
        <w:bottom w:val="none" w:sz="0" w:space="0" w:color="auto"/>
        <w:right w:val="none" w:sz="0" w:space="0" w:color="auto"/>
      </w:divBdr>
    </w:div>
    <w:div w:id="1945112253">
      <w:bodyDiv w:val="1"/>
      <w:marLeft w:val="0"/>
      <w:marRight w:val="0"/>
      <w:marTop w:val="0"/>
      <w:marBottom w:val="0"/>
      <w:divBdr>
        <w:top w:val="none" w:sz="0" w:space="0" w:color="auto"/>
        <w:left w:val="none" w:sz="0" w:space="0" w:color="auto"/>
        <w:bottom w:val="none" w:sz="0" w:space="0" w:color="auto"/>
        <w:right w:val="none" w:sz="0" w:space="0" w:color="auto"/>
      </w:divBdr>
    </w:div>
    <w:div w:id="1945454505">
      <w:bodyDiv w:val="1"/>
      <w:marLeft w:val="0"/>
      <w:marRight w:val="0"/>
      <w:marTop w:val="0"/>
      <w:marBottom w:val="0"/>
      <w:divBdr>
        <w:top w:val="none" w:sz="0" w:space="0" w:color="auto"/>
        <w:left w:val="none" w:sz="0" w:space="0" w:color="auto"/>
        <w:bottom w:val="none" w:sz="0" w:space="0" w:color="auto"/>
        <w:right w:val="none" w:sz="0" w:space="0" w:color="auto"/>
      </w:divBdr>
    </w:div>
    <w:div w:id="1946766382">
      <w:bodyDiv w:val="1"/>
      <w:marLeft w:val="0"/>
      <w:marRight w:val="0"/>
      <w:marTop w:val="0"/>
      <w:marBottom w:val="0"/>
      <w:divBdr>
        <w:top w:val="none" w:sz="0" w:space="0" w:color="auto"/>
        <w:left w:val="none" w:sz="0" w:space="0" w:color="auto"/>
        <w:bottom w:val="none" w:sz="0" w:space="0" w:color="auto"/>
        <w:right w:val="none" w:sz="0" w:space="0" w:color="auto"/>
      </w:divBdr>
    </w:div>
    <w:div w:id="1947079159">
      <w:bodyDiv w:val="1"/>
      <w:marLeft w:val="0"/>
      <w:marRight w:val="0"/>
      <w:marTop w:val="0"/>
      <w:marBottom w:val="0"/>
      <w:divBdr>
        <w:top w:val="none" w:sz="0" w:space="0" w:color="auto"/>
        <w:left w:val="none" w:sz="0" w:space="0" w:color="auto"/>
        <w:bottom w:val="none" w:sz="0" w:space="0" w:color="auto"/>
        <w:right w:val="none" w:sz="0" w:space="0" w:color="auto"/>
      </w:divBdr>
    </w:div>
    <w:div w:id="1947150640">
      <w:bodyDiv w:val="1"/>
      <w:marLeft w:val="0"/>
      <w:marRight w:val="0"/>
      <w:marTop w:val="0"/>
      <w:marBottom w:val="0"/>
      <w:divBdr>
        <w:top w:val="none" w:sz="0" w:space="0" w:color="auto"/>
        <w:left w:val="none" w:sz="0" w:space="0" w:color="auto"/>
        <w:bottom w:val="none" w:sz="0" w:space="0" w:color="auto"/>
        <w:right w:val="none" w:sz="0" w:space="0" w:color="auto"/>
      </w:divBdr>
    </w:div>
    <w:div w:id="1947420123">
      <w:bodyDiv w:val="1"/>
      <w:marLeft w:val="0"/>
      <w:marRight w:val="0"/>
      <w:marTop w:val="0"/>
      <w:marBottom w:val="0"/>
      <w:divBdr>
        <w:top w:val="none" w:sz="0" w:space="0" w:color="auto"/>
        <w:left w:val="none" w:sz="0" w:space="0" w:color="auto"/>
        <w:bottom w:val="none" w:sz="0" w:space="0" w:color="auto"/>
        <w:right w:val="none" w:sz="0" w:space="0" w:color="auto"/>
      </w:divBdr>
    </w:div>
    <w:div w:id="1948540343">
      <w:bodyDiv w:val="1"/>
      <w:marLeft w:val="0"/>
      <w:marRight w:val="0"/>
      <w:marTop w:val="0"/>
      <w:marBottom w:val="0"/>
      <w:divBdr>
        <w:top w:val="none" w:sz="0" w:space="0" w:color="auto"/>
        <w:left w:val="none" w:sz="0" w:space="0" w:color="auto"/>
        <w:bottom w:val="none" w:sz="0" w:space="0" w:color="auto"/>
        <w:right w:val="none" w:sz="0" w:space="0" w:color="auto"/>
      </w:divBdr>
    </w:div>
    <w:div w:id="1948658865">
      <w:bodyDiv w:val="1"/>
      <w:marLeft w:val="0"/>
      <w:marRight w:val="0"/>
      <w:marTop w:val="0"/>
      <w:marBottom w:val="0"/>
      <w:divBdr>
        <w:top w:val="none" w:sz="0" w:space="0" w:color="auto"/>
        <w:left w:val="none" w:sz="0" w:space="0" w:color="auto"/>
        <w:bottom w:val="none" w:sz="0" w:space="0" w:color="auto"/>
        <w:right w:val="none" w:sz="0" w:space="0" w:color="auto"/>
      </w:divBdr>
    </w:div>
    <w:div w:id="1948848258">
      <w:bodyDiv w:val="1"/>
      <w:marLeft w:val="0"/>
      <w:marRight w:val="0"/>
      <w:marTop w:val="0"/>
      <w:marBottom w:val="0"/>
      <w:divBdr>
        <w:top w:val="none" w:sz="0" w:space="0" w:color="auto"/>
        <w:left w:val="none" w:sz="0" w:space="0" w:color="auto"/>
        <w:bottom w:val="none" w:sz="0" w:space="0" w:color="auto"/>
        <w:right w:val="none" w:sz="0" w:space="0" w:color="auto"/>
      </w:divBdr>
    </w:div>
    <w:div w:id="1948925415">
      <w:bodyDiv w:val="1"/>
      <w:marLeft w:val="0"/>
      <w:marRight w:val="0"/>
      <w:marTop w:val="0"/>
      <w:marBottom w:val="0"/>
      <w:divBdr>
        <w:top w:val="none" w:sz="0" w:space="0" w:color="auto"/>
        <w:left w:val="none" w:sz="0" w:space="0" w:color="auto"/>
        <w:bottom w:val="none" w:sz="0" w:space="0" w:color="auto"/>
        <w:right w:val="none" w:sz="0" w:space="0" w:color="auto"/>
      </w:divBdr>
    </w:div>
    <w:div w:id="1949388889">
      <w:bodyDiv w:val="1"/>
      <w:marLeft w:val="0"/>
      <w:marRight w:val="0"/>
      <w:marTop w:val="0"/>
      <w:marBottom w:val="0"/>
      <w:divBdr>
        <w:top w:val="none" w:sz="0" w:space="0" w:color="auto"/>
        <w:left w:val="none" w:sz="0" w:space="0" w:color="auto"/>
        <w:bottom w:val="none" w:sz="0" w:space="0" w:color="auto"/>
        <w:right w:val="none" w:sz="0" w:space="0" w:color="auto"/>
      </w:divBdr>
    </w:div>
    <w:div w:id="1949696045">
      <w:bodyDiv w:val="1"/>
      <w:marLeft w:val="0"/>
      <w:marRight w:val="0"/>
      <w:marTop w:val="0"/>
      <w:marBottom w:val="0"/>
      <w:divBdr>
        <w:top w:val="none" w:sz="0" w:space="0" w:color="auto"/>
        <w:left w:val="none" w:sz="0" w:space="0" w:color="auto"/>
        <w:bottom w:val="none" w:sz="0" w:space="0" w:color="auto"/>
        <w:right w:val="none" w:sz="0" w:space="0" w:color="auto"/>
      </w:divBdr>
    </w:div>
    <w:div w:id="1949774340">
      <w:bodyDiv w:val="1"/>
      <w:marLeft w:val="0"/>
      <w:marRight w:val="0"/>
      <w:marTop w:val="0"/>
      <w:marBottom w:val="0"/>
      <w:divBdr>
        <w:top w:val="none" w:sz="0" w:space="0" w:color="auto"/>
        <w:left w:val="none" w:sz="0" w:space="0" w:color="auto"/>
        <w:bottom w:val="none" w:sz="0" w:space="0" w:color="auto"/>
        <w:right w:val="none" w:sz="0" w:space="0" w:color="auto"/>
      </w:divBdr>
    </w:div>
    <w:div w:id="1950502773">
      <w:bodyDiv w:val="1"/>
      <w:marLeft w:val="0"/>
      <w:marRight w:val="0"/>
      <w:marTop w:val="0"/>
      <w:marBottom w:val="0"/>
      <w:divBdr>
        <w:top w:val="none" w:sz="0" w:space="0" w:color="auto"/>
        <w:left w:val="none" w:sz="0" w:space="0" w:color="auto"/>
        <w:bottom w:val="none" w:sz="0" w:space="0" w:color="auto"/>
        <w:right w:val="none" w:sz="0" w:space="0" w:color="auto"/>
      </w:divBdr>
    </w:div>
    <w:div w:id="1951081638">
      <w:bodyDiv w:val="1"/>
      <w:marLeft w:val="0"/>
      <w:marRight w:val="0"/>
      <w:marTop w:val="0"/>
      <w:marBottom w:val="0"/>
      <w:divBdr>
        <w:top w:val="none" w:sz="0" w:space="0" w:color="auto"/>
        <w:left w:val="none" w:sz="0" w:space="0" w:color="auto"/>
        <w:bottom w:val="none" w:sz="0" w:space="0" w:color="auto"/>
        <w:right w:val="none" w:sz="0" w:space="0" w:color="auto"/>
      </w:divBdr>
    </w:div>
    <w:div w:id="1952398364">
      <w:bodyDiv w:val="1"/>
      <w:marLeft w:val="0"/>
      <w:marRight w:val="0"/>
      <w:marTop w:val="0"/>
      <w:marBottom w:val="0"/>
      <w:divBdr>
        <w:top w:val="none" w:sz="0" w:space="0" w:color="auto"/>
        <w:left w:val="none" w:sz="0" w:space="0" w:color="auto"/>
        <w:bottom w:val="none" w:sz="0" w:space="0" w:color="auto"/>
        <w:right w:val="none" w:sz="0" w:space="0" w:color="auto"/>
      </w:divBdr>
    </w:div>
    <w:div w:id="1952853518">
      <w:bodyDiv w:val="1"/>
      <w:marLeft w:val="0"/>
      <w:marRight w:val="0"/>
      <w:marTop w:val="0"/>
      <w:marBottom w:val="0"/>
      <w:divBdr>
        <w:top w:val="none" w:sz="0" w:space="0" w:color="auto"/>
        <w:left w:val="none" w:sz="0" w:space="0" w:color="auto"/>
        <w:bottom w:val="none" w:sz="0" w:space="0" w:color="auto"/>
        <w:right w:val="none" w:sz="0" w:space="0" w:color="auto"/>
      </w:divBdr>
    </w:div>
    <w:div w:id="1953434875">
      <w:bodyDiv w:val="1"/>
      <w:marLeft w:val="0"/>
      <w:marRight w:val="0"/>
      <w:marTop w:val="0"/>
      <w:marBottom w:val="0"/>
      <w:divBdr>
        <w:top w:val="none" w:sz="0" w:space="0" w:color="auto"/>
        <w:left w:val="none" w:sz="0" w:space="0" w:color="auto"/>
        <w:bottom w:val="none" w:sz="0" w:space="0" w:color="auto"/>
        <w:right w:val="none" w:sz="0" w:space="0" w:color="auto"/>
      </w:divBdr>
    </w:div>
    <w:div w:id="1953972128">
      <w:bodyDiv w:val="1"/>
      <w:marLeft w:val="0"/>
      <w:marRight w:val="0"/>
      <w:marTop w:val="0"/>
      <w:marBottom w:val="0"/>
      <w:divBdr>
        <w:top w:val="none" w:sz="0" w:space="0" w:color="auto"/>
        <w:left w:val="none" w:sz="0" w:space="0" w:color="auto"/>
        <w:bottom w:val="none" w:sz="0" w:space="0" w:color="auto"/>
        <w:right w:val="none" w:sz="0" w:space="0" w:color="auto"/>
      </w:divBdr>
    </w:div>
    <w:div w:id="1954511880">
      <w:bodyDiv w:val="1"/>
      <w:marLeft w:val="0"/>
      <w:marRight w:val="0"/>
      <w:marTop w:val="0"/>
      <w:marBottom w:val="0"/>
      <w:divBdr>
        <w:top w:val="none" w:sz="0" w:space="0" w:color="auto"/>
        <w:left w:val="none" w:sz="0" w:space="0" w:color="auto"/>
        <w:bottom w:val="none" w:sz="0" w:space="0" w:color="auto"/>
        <w:right w:val="none" w:sz="0" w:space="0" w:color="auto"/>
      </w:divBdr>
    </w:div>
    <w:div w:id="1954628008">
      <w:bodyDiv w:val="1"/>
      <w:marLeft w:val="0"/>
      <w:marRight w:val="0"/>
      <w:marTop w:val="0"/>
      <w:marBottom w:val="0"/>
      <w:divBdr>
        <w:top w:val="none" w:sz="0" w:space="0" w:color="auto"/>
        <w:left w:val="none" w:sz="0" w:space="0" w:color="auto"/>
        <w:bottom w:val="none" w:sz="0" w:space="0" w:color="auto"/>
        <w:right w:val="none" w:sz="0" w:space="0" w:color="auto"/>
      </w:divBdr>
    </w:div>
    <w:div w:id="1954820774">
      <w:bodyDiv w:val="1"/>
      <w:marLeft w:val="0"/>
      <w:marRight w:val="0"/>
      <w:marTop w:val="0"/>
      <w:marBottom w:val="0"/>
      <w:divBdr>
        <w:top w:val="none" w:sz="0" w:space="0" w:color="auto"/>
        <w:left w:val="none" w:sz="0" w:space="0" w:color="auto"/>
        <w:bottom w:val="none" w:sz="0" w:space="0" w:color="auto"/>
        <w:right w:val="none" w:sz="0" w:space="0" w:color="auto"/>
      </w:divBdr>
    </w:div>
    <w:div w:id="1955214182">
      <w:bodyDiv w:val="1"/>
      <w:marLeft w:val="0"/>
      <w:marRight w:val="0"/>
      <w:marTop w:val="0"/>
      <w:marBottom w:val="0"/>
      <w:divBdr>
        <w:top w:val="none" w:sz="0" w:space="0" w:color="auto"/>
        <w:left w:val="none" w:sz="0" w:space="0" w:color="auto"/>
        <w:bottom w:val="none" w:sz="0" w:space="0" w:color="auto"/>
        <w:right w:val="none" w:sz="0" w:space="0" w:color="auto"/>
      </w:divBdr>
    </w:div>
    <w:div w:id="1957515160">
      <w:bodyDiv w:val="1"/>
      <w:marLeft w:val="0"/>
      <w:marRight w:val="0"/>
      <w:marTop w:val="0"/>
      <w:marBottom w:val="0"/>
      <w:divBdr>
        <w:top w:val="none" w:sz="0" w:space="0" w:color="auto"/>
        <w:left w:val="none" w:sz="0" w:space="0" w:color="auto"/>
        <w:bottom w:val="none" w:sz="0" w:space="0" w:color="auto"/>
        <w:right w:val="none" w:sz="0" w:space="0" w:color="auto"/>
      </w:divBdr>
    </w:div>
    <w:div w:id="1957560686">
      <w:bodyDiv w:val="1"/>
      <w:marLeft w:val="0"/>
      <w:marRight w:val="0"/>
      <w:marTop w:val="0"/>
      <w:marBottom w:val="0"/>
      <w:divBdr>
        <w:top w:val="none" w:sz="0" w:space="0" w:color="auto"/>
        <w:left w:val="none" w:sz="0" w:space="0" w:color="auto"/>
        <w:bottom w:val="none" w:sz="0" w:space="0" w:color="auto"/>
        <w:right w:val="none" w:sz="0" w:space="0" w:color="auto"/>
      </w:divBdr>
    </w:div>
    <w:div w:id="1957982481">
      <w:bodyDiv w:val="1"/>
      <w:marLeft w:val="0"/>
      <w:marRight w:val="0"/>
      <w:marTop w:val="0"/>
      <w:marBottom w:val="0"/>
      <w:divBdr>
        <w:top w:val="none" w:sz="0" w:space="0" w:color="auto"/>
        <w:left w:val="none" w:sz="0" w:space="0" w:color="auto"/>
        <w:bottom w:val="none" w:sz="0" w:space="0" w:color="auto"/>
        <w:right w:val="none" w:sz="0" w:space="0" w:color="auto"/>
      </w:divBdr>
    </w:div>
    <w:div w:id="1960070117">
      <w:bodyDiv w:val="1"/>
      <w:marLeft w:val="0"/>
      <w:marRight w:val="0"/>
      <w:marTop w:val="0"/>
      <w:marBottom w:val="0"/>
      <w:divBdr>
        <w:top w:val="none" w:sz="0" w:space="0" w:color="auto"/>
        <w:left w:val="none" w:sz="0" w:space="0" w:color="auto"/>
        <w:bottom w:val="none" w:sz="0" w:space="0" w:color="auto"/>
        <w:right w:val="none" w:sz="0" w:space="0" w:color="auto"/>
      </w:divBdr>
    </w:div>
    <w:div w:id="1960338749">
      <w:bodyDiv w:val="1"/>
      <w:marLeft w:val="0"/>
      <w:marRight w:val="0"/>
      <w:marTop w:val="0"/>
      <w:marBottom w:val="0"/>
      <w:divBdr>
        <w:top w:val="none" w:sz="0" w:space="0" w:color="auto"/>
        <w:left w:val="none" w:sz="0" w:space="0" w:color="auto"/>
        <w:bottom w:val="none" w:sz="0" w:space="0" w:color="auto"/>
        <w:right w:val="none" w:sz="0" w:space="0" w:color="auto"/>
      </w:divBdr>
    </w:div>
    <w:div w:id="1960838077">
      <w:bodyDiv w:val="1"/>
      <w:marLeft w:val="0"/>
      <w:marRight w:val="0"/>
      <w:marTop w:val="0"/>
      <w:marBottom w:val="0"/>
      <w:divBdr>
        <w:top w:val="none" w:sz="0" w:space="0" w:color="auto"/>
        <w:left w:val="none" w:sz="0" w:space="0" w:color="auto"/>
        <w:bottom w:val="none" w:sz="0" w:space="0" w:color="auto"/>
        <w:right w:val="none" w:sz="0" w:space="0" w:color="auto"/>
      </w:divBdr>
    </w:div>
    <w:div w:id="1961036954">
      <w:bodyDiv w:val="1"/>
      <w:marLeft w:val="0"/>
      <w:marRight w:val="0"/>
      <w:marTop w:val="0"/>
      <w:marBottom w:val="0"/>
      <w:divBdr>
        <w:top w:val="none" w:sz="0" w:space="0" w:color="auto"/>
        <w:left w:val="none" w:sz="0" w:space="0" w:color="auto"/>
        <w:bottom w:val="none" w:sz="0" w:space="0" w:color="auto"/>
        <w:right w:val="none" w:sz="0" w:space="0" w:color="auto"/>
      </w:divBdr>
    </w:div>
    <w:div w:id="1961183755">
      <w:bodyDiv w:val="1"/>
      <w:marLeft w:val="0"/>
      <w:marRight w:val="0"/>
      <w:marTop w:val="0"/>
      <w:marBottom w:val="0"/>
      <w:divBdr>
        <w:top w:val="none" w:sz="0" w:space="0" w:color="auto"/>
        <w:left w:val="none" w:sz="0" w:space="0" w:color="auto"/>
        <w:bottom w:val="none" w:sz="0" w:space="0" w:color="auto"/>
        <w:right w:val="none" w:sz="0" w:space="0" w:color="auto"/>
      </w:divBdr>
    </w:div>
    <w:div w:id="1963077289">
      <w:bodyDiv w:val="1"/>
      <w:marLeft w:val="0"/>
      <w:marRight w:val="0"/>
      <w:marTop w:val="0"/>
      <w:marBottom w:val="0"/>
      <w:divBdr>
        <w:top w:val="none" w:sz="0" w:space="0" w:color="auto"/>
        <w:left w:val="none" w:sz="0" w:space="0" w:color="auto"/>
        <w:bottom w:val="none" w:sz="0" w:space="0" w:color="auto"/>
        <w:right w:val="none" w:sz="0" w:space="0" w:color="auto"/>
      </w:divBdr>
    </w:div>
    <w:div w:id="1963488240">
      <w:bodyDiv w:val="1"/>
      <w:marLeft w:val="0"/>
      <w:marRight w:val="0"/>
      <w:marTop w:val="0"/>
      <w:marBottom w:val="0"/>
      <w:divBdr>
        <w:top w:val="none" w:sz="0" w:space="0" w:color="auto"/>
        <w:left w:val="none" w:sz="0" w:space="0" w:color="auto"/>
        <w:bottom w:val="none" w:sz="0" w:space="0" w:color="auto"/>
        <w:right w:val="none" w:sz="0" w:space="0" w:color="auto"/>
      </w:divBdr>
    </w:div>
    <w:div w:id="1963994225">
      <w:bodyDiv w:val="1"/>
      <w:marLeft w:val="0"/>
      <w:marRight w:val="0"/>
      <w:marTop w:val="0"/>
      <w:marBottom w:val="0"/>
      <w:divBdr>
        <w:top w:val="none" w:sz="0" w:space="0" w:color="auto"/>
        <w:left w:val="none" w:sz="0" w:space="0" w:color="auto"/>
        <w:bottom w:val="none" w:sz="0" w:space="0" w:color="auto"/>
        <w:right w:val="none" w:sz="0" w:space="0" w:color="auto"/>
      </w:divBdr>
    </w:div>
    <w:div w:id="1964342086">
      <w:bodyDiv w:val="1"/>
      <w:marLeft w:val="0"/>
      <w:marRight w:val="0"/>
      <w:marTop w:val="0"/>
      <w:marBottom w:val="0"/>
      <w:divBdr>
        <w:top w:val="none" w:sz="0" w:space="0" w:color="auto"/>
        <w:left w:val="none" w:sz="0" w:space="0" w:color="auto"/>
        <w:bottom w:val="none" w:sz="0" w:space="0" w:color="auto"/>
        <w:right w:val="none" w:sz="0" w:space="0" w:color="auto"/>
      </w:divBdr>
    </w:div>
    <w:div w:id="1964917110">
      <w:bodyDiv w:val="1"/>
      <w:marLeft w:val="0"/>
      <w:marRight w:val="0"/>
      <w:marTop w:val="0"/>
      <w:marBottom w:val="0"/>
      <w:divBdr>
        <w:top w:val="none" w:sz="0" w:space="0" w:color="auto"/>
        <w:left w:val="none" w:sz="0" w:space="0" w:color="auto"/>
        <w:bottom w:val="none" w:sz="0" w:space="0" w:color="auto"/>
        <w:right w:val="none" w:sz="0" w:space="0" w:color="auto"/>
      </w:divBdr>
    </w:div>
    <w:div w:id="1965841032">
      <w:bodyDiv w:val="1"/>
      <w:marLeft w:val="0"/>
      <w:marRight w:val="0"/>
      <w:marTop w:val="0"/>
      <w:marBottom w:val="0"/>
      <w:divBdr>
        <w:top w:val="none" w:sz="0" w:space="0" w:color="auto"/>
        <w:left w:val="none" w:sz="0" w:space="0" w:color="auto"/>
        <w:bottom w:val="none" w:sz="0" w:space="0" w:color="auto"/>
        <w:right w:val="none" w:sz="0" w:space="0" w:color="auto"/>
      </w:divBdr>
    </w:div>
    <w:div w:id="1967351889">
      <w:bodyDiv w:val="1"/>
      <w:marLeft w:val="0"/>
      <w:marRight w:val="0"/>
      <w:marTop w:val="0"/>
      <w:marBottom w:val="0"/>
      <w:divBdr>
        <w:top w:val="none" w:sz="0" w:space="0" w:color="auto"/>
        <w:left w:val="none" w:sz="0" w:space="0" w:color="auto"/>
        <w:bottom w:val="none" w:sz="0" w:space="0" w:color="auto"/>
        <w:right w:val="none" w:sz="0" w:space="0" w:color="auto"/>
      </w:divBdr>
    </w:div>
    <w:div w:id="1967806808">
      <w:bodyDiv w:val="1"/>
      <w:marLeft w:val="0"/>
      <w:marRight w:val="0"/>
      <w:marTop w:val="0"/>
      <w:marBottom w:val="0"/>
      <w:divBdr>
        <w:top w:val="none" w:sz="0" w:space="0" w:color="auto"/>
        <w:left w:val="none" w:sz="0" w:space="0" w:color="auto"/>
        <w:bottom w:val="none" w:sz="0" w:space="0" w:color="auto"/>
        <w:right w:val="none" w:sz="0" w:space="0" w:color="auto"/>
      </w:divBdr>
    </w:div>
    <w:div w:id="1968311650">
      <w:bodyDiv w:val="1"/>
      <w:marLeft w:val="0"/>
      <w:marRight w:val="0"/>
      <w:marTop w:val="0"/>
      <w:marBottom w:val="0"/>
      <w:divBdr>
        <w:top w:val="none" w:sz="0" w:space="0" w:color="auto"/>
        <w:left w:val="none" w:sz="0" w:space="0" w:color="auto"/>
        <w:bottom w:val="none" w:sz="0" w:space="0" w:color="auto"/>
        <w:right w:val="none" w:sz="0" w:space="0" w:color="auto"/>
      </w:divBdr>
    </w:div>
    <w:div w:id="1968581122">
      <w:bodyDiv w:val="1"/>
      <w:marLeft w:val="0"/>
      <w:marRight w:val="0"/>
      <w:marTop w:val="0"/>
      <w:marBottom w:val="0"/>
      <w:divBdr>
        <w:top w:val="none" w:sz="0" w:space="0" w:color="auto"/>
        <w:left w:val="none" w:sz="0" w:space="0" w:color="auto"/>
        <w:bottom w:val="none" w:sz="0" w:space="0" w:color="auto"/>
        <w:right w:val="none" w:sz="0" w:space="0" w:color="auto"/>
      </w:divBdr>
    </w:div>
    <w:div w:id="1968581740">
      <w:bodyDiv w:val="1"/>
      <w:marLeft w:val="0"/>
      <w:marRight w:val="0"/>
      <w:marTop w:val="0"/>
      <w:marBottom w:val="0"/>
      <w:divBdr>
        <w:top w:val="none" w:sz="0" w:space="0" w:color="auto"/>
        <w:left w:val="none" w:sz="0" w:space="0" w:color="auto"/>
        <w:bottom w:val="none" w:sz="0" w:space="0" w:color="auto"/>
        <w:right w:val="none" w:sz="0" w:space="0" w:color="auto"/>
      </w:divBdr>
    </w:div>
    <w:div w:id="1969050128">
      <w:bodyDiv w:val="1"/>
      <w:marLeft w:val="0"/>
      <w:marRight w:val="0"/>
      <w:marTop w:val="0"/>
      <w:marBottom w:val="0"/>
      <w:divBdr>
        <w:top w:val="none" w:sz="0" w:space="0" w:color="auto"/>
        <w:left w:val="none" w:sz="0" w:space="0" w:color="auto"/>
        <w:bottom w:val="none" w:sz="0" w:space="0" w:color="auto"/>
        <w:right w:val="none" w:sz="0" w:space="0" w:color="auto"/>
      </w:divBdr>
    </w:div>
    <w:div w:id="1969119243">
      <w:bodyDiv w:val="1"/>
      <w:marLeft w:val="0"/>
      <w:marRight w:val="0"/>
      <w:marTop w:val="0"/>
      <w:marBottom w:val="0"/>
      <w:divBdr>
        <w:top w:val="none" w:sz="0" w:space="0" w:color="auto"/>
        <w:left w:val="none" w:sz="0" w:space="0" w:color="auto"/>
        <w:bottom w:val="none" w:sz="0" w:space="0" w:color="auto"/>
        <w:right w:val="none" w:sz="0" w:space="0" w:color="auto"/>
      </w:divBdr>
    </w:div>
    <w:div w:id="1969167562">
      <w:bodyDiv w:val="1"/>
      <w:marLeft w:val="0"/>
      <w:marRight w:val="0"/>
      <w:marTop w:val="0"/>
      <w:marBottom w:val="0"/>
      <w:divBdr>
        <w:top w:val="none" w:sz="0" w:space="0" w:color="auto"/>
        <w:left w:val="none" w:sz="0" w:space="0" w:color="auto"/>
        <w:bottom w:val="none" w:sz="0" w:space="0" w:color="auto"/>
        <w:right w:val="none" w:sz="0" w:space="0" w:color="auto"/>
      </w:divBdr>
    </w:div>
    <w:div w:id="1969167581">
      <w:bodyDiv w:val="1"/>
      <w:marLeft w:val="0"/>
      <w:marRight w:val="0"/>
      <w:marTop w:val="0"/>
      <w:marBottom w:val="0"/>
      <w:divBdr>
        <w:top w:val="none" w:sz="0" w:space="0" w:color="auto"/>
        <w:left w:val="none" w:sz="0" w:space="0" w:color="auto"/>
        <w:bottom w:val="none" w:sz="0" w:space="0" w:color="auto"/>
        <w:right w:val="none" w:sz="0" w:space="0" w:color="auto"/>
      </w:divBdr>
    </w:div>
    <w:div w:id="1969360543">
      <w:bodyDiv w:val="1"/>
      <w:marLeft w:val="0"/>
      <w:marRight w:val="0"/>
      <w:marTop w:val="0"/>
      <w:marBottom w:val="0"/>
      <w:divBdr>
        <w:top w:val="none" w:sz="0" w:space="0" w:color="auto"/>
        <w:left w:val="none" w:sz="0" w:space="0" w:color="auto"/>
        <w:bottom w:val="none" w:sz="0" w:space="0" w:color="auto"/>
        <w:right w:val="none" w:sz="0" w:space="0" w:color="auto"/>
      </w:divBdr>
    </w:div>
    <w:div w:id="1971200680">
      <w:bodyDiv w:val="1"/>
      <w:marLeft w:val="0"/>
      <w:marRight w:val="0"/>
      <w:marTop w:val="0"/>
      <w:marBottom w:val="0"/>
      <w:divBdr>
        <w:top w:val="none" w:sz="0" w:space="0" w:color="auto"/>
        <w:left w:val="none" w:sz="0" w:space="0" w:color="auto"/>
        <w:bottom w:val="none" w:sz="0" w:space="0" w:color="auto"/>
        <w:right w:val="none" w:sz="0" w:space="0" w:color="auto"/>
      </w:divBdr>
    </w:div>
    <w:div w:id="1971474942">
      <w:bodyDiv w:val="1"/>
      <w:marLeft w:val="0"/>
      <w:marRight w:val="0"/>
      <w:marTop w:val="0"/>
      <w:marBottom w:val="0"/>
      <w:divBdr>
        <w:top w:val="none" w:sz="0" w:space="0" w:color="auto"/>
        <w:left w:val="none" w:sz="0" w:space="0" w:color="auto"/>
        <w:bottom w:val="none" w:sz="0" w:space="0" w:color="auto"/>
        <w:right w:val="none" w:sz="0" w:space="0" w:color="auto"/>
      </w:divBdr>
    </w:div>
    <w:div w:id="1972635136">
      <w:bodyDiv w:val="1"/>
      <w:marLeft w:val="0"/>
      <w:marRight w:val="0"/>
      <w:marTop w:val="0"/>
      <w:marBottom w:val="0"/>
      <w:divBdr>
        <w:top w:val="none" w:sz="0" w:space="0" w:color="auto"/>
        <w:left w:val="none" w:sz="0" w:space="0" w:color="auto"/>
        <w:bottom w:val="none" w:sz="0" w:space="0" w:color="auto"/>
        <w:right w:val="none" w:sz="0" w:space="0" w:color="auto"/>
      </w:divBdr>
    </w:div>
    <w:div w:id="1973822358">
      <w:bodyDiv w:val="1"/>
      <w:marLeft w:val="0"/>
      <w:marRight w:val="0"/>
      <w:marTop w:val="0"/>
      <w:marBottom w:val="0"/>
      <w:divBdr>
        <w:top w:val="none" w:sz="0" w:space="0" w:color="auto"/>
        <w:left w:val="none" w:sz="0" w:space="0" w:color="auto"/>
        <w:bottom w:val="none" w:sz="0" w:space="0" w:color="auto"/>
        <w:right w:val="none" w:sz="0" w:space="0" w:color="auto"/>
      </w:divBdr>
      <w:divsChild>
        <w:div w:id="756827644">
          <w:marLeft w:val="0"/>
          <w:marRight w:val="0"/>
          <w:marTop w:val="0"/>
          <w:marBottom w:val="0"/>
          <w:divBdr>
            <w:top w:val="none" w:sz="0" w:space="0" w:color="auto"/>
            <w:left w:val="none" w:sz="0" w:space="0" w:color="auto"/>
            <w:bottom w:val="none" w:sz="0" w:space="0" w:color="auto"/>
            <w:right w:val="none" w:sz="0" w:space="0" w:color="auto"/>
          </w:divBdr>
        </w:div>
      </w:divsChild>
    </w:div>
    <w:div w:id="1973898805">
      <w:bodyDiv w:val="1"/>
      <w:marLeft w:val="0"/>
      <w:marRight w:val="0"/>
      <w:marTop w:val="0"/>
      <w:marBottom w:val="0"/>
      <w:divBdr>
        <w:top w:val="none" w:sz="0" w:space="0" w:color="auto"/>
        <w:left w:val="none" w:sz="0" w:space="0" w:color="auto"/>
        <w:bottom w:val="none" w:sz="0" w:space="0" w:color="auto"/>
        <w:right w:val="none" w:sz="0" w:space="0" w:color="auto"/>
      </w:divBdr>
    </w:div>
    <w:div w:id="1973972321">
      <w:bodyDiv w:val="1"/>
      <w:marLeft w:val="0"/>
      <w:marRight w:val="0"/>
      <w:marTop w:val="0"/>
      <w:marBottom w:val="0"/>
      <w:divBdr>
        <w:top w:val="none" w:sz="0" w:space="0" w:color="auto"/>
        <w:left w:val="none" w:sz="0" w:space="0" w:color="auto"/>
        <w:bottom w:val="none" w:sz="0" w:space="0" w:color="auto"/>
        <w:right w:val="none" w:sz="0" w:space="0" w:color="auto"/>
      </w:divBdr>
    </w:div>
    <w:div w:id="1975089725">
      <w:bodyDiv w:val="1"/>
      <w:marLeft w:val="0"/>
      <w:marRight w:val="0"/>
      <w:marTop w:val="0"/>
      <w:marBottom w:val="0"/>
      <w:divBdr>
        <w:top w:val="none" w:sz="0" w:space="0" w:color="auto"/>
        <w:left w:val="none" w:sz="0" w:space="0" w:color="auto"/>
        <w:bottom w:val="none" w:sz="0" w:space="0" w:color="auto"/>
        <w:right w:val="none" w:sz="0" w:space="0" w:color="auto"/>
      </w:divBdr>
    </w:div>
    <w:div w:id="1975401455">
      <w:bodyDiv w:val="1"/>
      <w:marLeft w:val="0"/>
      <w:marRight w:val="0"/>
      <w:marTop w:val="0"/>
      <w:marBottom w:val="0"/>
      <w:divBdr>
        <w:top w:val="none" w:sz="0" w:space="0" w:color="auto"/>
        <w:left w:val="none" w:sz="0" w:space="0" w:color="auto"/>
        <w:bottom w:val="none" w:sz="0" w:space="0" w:color="auto"/>
        <w:right w:val="none" w:sz="0" w:space="0" w:color="auto"/>
      </w:divBdr>
    </w:div>
    <w:div w:id="1975403396">
      <w:bodyDiv w:val="1"/>
      <w:marLeft w:val="0"/>
      <w:marRight w:val="0"/>
      <w:marTop w:val="0"/>
      <w:marBottom w:val="0"/>
      <w:divBdr>
        <w:top w:val="none" w:sz="0" w:space="0" w:color="auto"/>
        <w:left w:val="none" w:sz="0" w:space="0" w:color="auto"/>
        <w:bottom w:val="none" w:sz="0" w:space="0" w:color="auto"/>
        <w:right w:val="none" w:sz="0" w:space="0" w:color="auto"/>
      </w:divBdr>
    </w:div>
    <w:div w:id="1975985927">
      <w:bodyDiv w:val="1"/>
      <w:marLeft w:val="0"/>
      <w:marRight w:val="0"/>
      <w:marTop w:val="0"/>
      <w:marBottom w:val="0"/>
      <w:divBdr>
        <w:top w:val="none" w:sz="0" w:space="0" w:color="auto"/>
        <w:left w:val="none" w:sz="0" w:space="0" w:color="auto"/>
        <w:bottom w:val="none" w:sz="0" w:space="0" w:color="auto"/>
        <w:right w:val="none" w:sz="0" w:space="0" w:color="auto"/>
      </w:divBdr>
    </w:div>
    <w:div w:id="1977055224">
      <w:bodyDiv w:val="1"/>
      <w:marLeft w:val="0"/>
      <w:marRight w:val="0"/>
      <w:marTop w:val="0"/>
      <w:marBottom w:val="0"/>
      <w:divBdr>
        <w:top w:val="none" w:sz="0" w:space="0" w:color="auto"/>
        <w:left w:val="none" w:sz="0" w:space="0" w:color="auto"/>
        <w:bottom w:val="none" w:sz="0" w:space="0" w:color="auto"/>
        <w:right w:val="none" w:sz="0" w:space="0" w:color="auto"/>
      </w:divBdr>
    </w:div>
    <w:div w:id="1977178796">
      <w:bodyDiv w:val="1"/>
      <w:marLeft w:val="0"/>
      <w:marRight w:val="0"/>
      <w:marTop w:val="0"/>
      <w:marBottom w:val="0"/>
      <w:divBdr>
        <w:top w:val="none" w:sz="0" w:space="0" w:color="auto"/>
        <w:left w:val="none" w:sz="0" w:space="0" w:color="auto"/>
        <w:bottom w:val="none" w:sz="0" w:space="0" w:color="auto"/>
        <w:right w:val="none" w:sz="0" w:space="0" w:color="auto"/>
      </w:divBdr>
    </w:div>
    <w:div w:id="1977568571">
      <w:bodyDiv w:val="1"/>
      <w:marLeft w:val="0"/>
      <w:marRight w:val="0"/>
      <w:marTop w:val="0"/>
      <w:marBottom w:val="0"/>
      <w:divBdr>
        <w:top w:val="none" w:sz="0" w:space="0" w:color="auto"/>
        <w:left w:val="none" w:sz="0" w:space="0" w:color="auto"/>
        <w:bottom w:val="none" w:sz="0" w:space="0" w:color="auto"/>
        <w:right w:val="none" w:sz="0" w:space="0" w:color="auto"/>
      </w:divBdr>
    </w:div>
    <w:div w:id="1977830925">
      <w:bodyDiv w:val="1"/>
      <w:marLeft w:val="0"/>
      <w:marRight w:val="0"/>
      <w:marTop w:val="0"/>
      <w:marBottom w:val="0"/>
      <w:divBdr>
        <w:top w:val="none" w:sz="0" w:space="0" w:color="auto"/>
        <w:left w:val="none" w:sz="0" w:space="0" w:color="auto"/>
        <w:bottom w:val="none" w:sz="0" w:space="0" w:color="auto"/>
        <w:right w:val="none" w:sz="0" w:space="0" w:color="auto"/>
      </w:divBdr>
    </w:div>
    <w:div w:id="1977908588">
      <w:bodyDiv w:val="1"/>
      <w:marLeft w:val="0"/>
      <w:marRight w:val="0"/>
      <w:marTop w:val="0"/>
      <w:marBottom w:val="0"/>
      <w:divBdr>
        <w:top w:val="none" w:sz="0" w:space="0" w:color="auto"/>
        <w:left w:val="none" w:sz="0" w:space="0" w:color="auto"/>
        <w:bottom w:val="none" w:sz="0" w:space="0" w:color="auto"/>
        <w:right w:val="none" w:sz="0" w:space="0" w:color="auto"/>
      </w:divBdr>
    </w:div>
    <w:div w:id="1978685397">
      <w:bodyDiv w:val="1"/>
      <w:marLeft w:val="0"/>
      <w:marRight w:val="0"/>
      <w:marTop w:val="0"/>
      <w:marBottom w:val="0"/>
      <w:divBdr>
        <w:top w:val="none" w:sz="0" w:space="0" w:color="auto"/>
        <w:left w:val="none" w:sz="0" w:space="0" w:color="auto"/>
        <w:bottom w:val="none" w:sz="0" w:space="0" w:color="auto"/>
        <w:right w:val="none" w:sz="0" w:space="0" w:color="auto"/>
      </w:divBdr>
    </w:div>
    <w:div w:id="1979451274">
      <w:bodyDiv w:val="1"/>
      <w:marLeft w:val="0"/>
      <w:marRight w:val="0"/>
      <w:marTop w:val="0"/>
      <w:marBottom w:val="0"/>
      <w:divBdr>
        <w:top w:val="none" w:sz="0" w:space="0" w:color="auto"/>
        <w:left w:val="none" w:sz="0" w:space="0" w:color="auto"/>
        <w:bottom w:val="none" w:sz="0" w:space="0" w:color="auto"/>
        <w:right w:val="none" w:sz="0" w:space="0" w:color="auto"/>
      </w:divBdr>
    </w:div>
    <w:div w:id="1979870712">
      <w:bodyDiv w:val="1"/>
      <w:marLeft w:val="0"/>
      <w:marRight w:val="0"/>
      <w:marTop w:val="0"/>
      <w:marBottom w:val="0"/>
      <w:divBdr>
        <w:top w:val="none" w:sz="0" w:space="0" w:color="auto"/>
        <w:left w:val="none" w:sz="0" w:space="0" w:color="auto"/>
        <w:bottom w:val="none" w:sz="0" w:space="0" w:color="auto"/>
        <w:right w:val="none" w:sz="0" w:space="0" w:color="auto"/>
      </w:divBdr>
    </w:div>
    <w:div w:id="1981569336">
      <w:bodyDiv w:val="1"/>
      <w:marLeft w:val="0"/>
      <w:marRight w:val="0"/>
      <w:marTop w:val="0"/>
      <w:marBottom w:val="0"/>
      <w:divBdr>
        <w:top w:val="none" w:sz="0" w:space="0" w:color="auto"/>
        <w:left w:val="none" w:sz="0" w:space="0" w:color="auto"/>
        <w:bottom w:val="none" w:sz="0" w:space="0" w:color="auto"/>
        <w:right w:val="none" w:sz="0" w:space="0" w:color="auto"/>
      </w:divBdr>
    </w:div>
    <w:div w:id="1982005581">
      <w:bodyDiv w:val="1"/>
      <w:marLeft w:val="0"/>
      <w:marRight w:val="0"/>
      <w:marTop w:val="0"/>
      <w:marBottom w:val="0"/>
      <w:divBdr>
        <w:top w:val="none" w:sz="0" w:space="0" w:color="auto"/>
        <w:left w:val="none" w:sz="0" w:space="0" w:color="auto"/>
        <w:bottom w:val="none" w:sz="0" w:space="0" w:color="auto"/>
        <w:right w:val="none" w:sz="0" w:space="0" w:color="auto"/>
      </w:divBdr>
    </w:div>
    <w:div w:id="1983923212">
      <w:bodyDiv w:val="1"/>
      <w:marLeft w:val="0"/>
      <w:marRight w:val="0"/>
      <w:marTop w:val="0"/>
      <w:marBottom w:val="0"/>
      <w:divBdr>
        <w:top w:val="none" w:sz="0" w:space="0" w:color="auto"/>
        <w:left w:val="none" w:sz="0" w:space="0" w:color="auto"/>
        <w:bottom w:val="none" w:sz="0" w:space="0" w:color="auto"/>
        <w:right w:val="none" w:sz="0" w:space="0" w:color="auto"/>
      </w:divBdr>
    </w:div>
    <w:div w:id="1984966453">
      <w:bodyDiv w:val="1"/>
      <w:marLeft w:val="0"/>
      <w:marRight w:val="0"/>
      <w:marTop w:val="0"/>
      <w:marBottom w:val="0"/>
      <w:divBdr>
        <w:top w:val="none" w:sz="0" w:space="0" w:color="auto"/>
        <w:left w:val="none" w:sz="0" w:space="0" w:color="auto"/>
        <w:bottom w:val="none" w:sz="0" w:space="0" w:color="auto"/>
        <w:right w:val="none" w:sz="0" w:space="0" w:color="auto"/>
      </w:divBdr>
    </w:div>
    <w:div w:id="1986006800">
      <w:bodyDiv w:val="1"/>
      <w:marLeft w:val="0"/>
      <w:marRight w:val="0"/>
      <w:marTop w:val="0"/>
      <w:marBottom w:val="0"/>
      <w:divBdr>
        <w:top w:val="none" w:sz="0" w:space="0" w:color="auto"/>
        <w:left w:val="none" w:sz="0" w:space="0" w:color="auto"/>
        <w:bottom w:val="none" w:sz="0" w:space="0" w:color="auto"/>
        <w:right w:val="none" w:sz="0" w:space="0" w:color="auto"/>
      </w:divBdr>
    </w:div>
    <w:div w:id="1986085919">
      <w:bodyDiv w:val="1"/>
      <w:marLeft w:val="0"/>
      <w:marRight w:val="0"/>
      <w:marTop w:val="0"/>
      <w:marBottom w:val="0"/>
      <w:divBdr>
        <w:top w:val="none" w:sz="0" w:space="0" w:color="auto"/>
        <w:left w:val="none" w:sz="0" w:space="0" w:color="auto"/>
        <w:bottom w:val="none" w:sz="0" w:space="0" w:color="auto"/>
        <w:right w:val="none" w:sz="0" w:space="0" w:color="auto"/>
      </w:divBdr>
    </w:div>
    <w:div w:id="1987513262">
      <w:bodyDiv w:val="1"/>
      <w:marLeft w:val="0"/>
      <w:marRight w:val="0"/>
      <w:marTop w:val="0"/>
      <w:marBottom w:val="0"/>
      <w:divBdr>
        <w:top w:val="none" w:sz="0" w:space="0" w:color="auto"/>
        <w:left w:val="none" w:sz="0" w:space="0" w:color="auto"/>
        <w:bottom w:val="none" w:sz="0" w:space="0" w:color="auto"/>
        <w:right w:val="none" w:sz="0" w:space="0" w:color="auto"/>
      </w:divBdr>
    </w:div>
    <w:div w:id="1988316396">
      <w:bodyDiv w:val="1"/>
      <w:marLeft w:val="0"/>
      <w:marRight w:val="0"/>
      <w:marTop w:val="0"/>
      <w:marBottom w:val="0"/>
      <w:divBdr>
        <w:top w:val="none" w:sz="0" w:space="0" w:color="auto"/>
        <w:left w:val="none" w:sz="0" w:space="0" w:color="auto"/>
        <w:bottom w:val="none" w:sz="0" w:space="0" w:color="auto"/>
        <w:right w:val="none" w:sz="0" w:space="0" w:color="auto"/>
      </w:divBdr>
    </w:div>
    <w:div w:id="1990595451">
      <w:bodyDiv w:val="1"/>
      <w:marLeft w:val="0"/>
      <w:marRight w:val="0"/>
      <w:marTop w:val="0"/>
      <w:marBottom w:val="0"/>
      <w:divBdr>
        <w:top w:val="none" w:sz="0" w:space="0" w:color="auto"/>
        <w:left w:val="none" w:sz="0" w:space="0" w:color="auto"/>
        <w:bottom w:val="none" w:sz="0" w:space="0" w:color="auto"/>
        <w:right w:val="none" w:sz="0" w:space="0" w:color="auto"/>
      </w:divBdr>
    </w:div>
    <w:div w:id="1991443695">
      <w:bodyDiv w:val="1"/>
      <w:marLeft w:val="0"/>
      <w:marRight w:val="0"/>
      <w:marTop w:val="0"/>
      <w:marBottom w:val="0"/>
      <w:divBdr>
        <w:top w:val="none" w:sz="0" w:space="0" w:color="auto"/>
        <w:left w:val="none" w:sz="0" w:space="0" w:color="auto"/>
        <w:bottom w:val="none" w:sz="0" w:space="0" w:color="auto"/>
        <w:right w:val="none" w:sz="0" w:space="0" w:color="auto"/>
      </w:divBdr>
    </w:div>
    <w:div w:id="1992828946">
      <w:bodyDiv w:val="1"/>
      <w:marLeft w:val="0"/>
      <w:marRight w:val="0"/>
      <w:marTop w:val="0"/>
      <w:marBottom w:val="0"/>
      <w:divBdr>
        <w:top w:val="none" w:sz="0" w:space="0" w:color="auto"/>
        <w:left w:val="none" w:sz="0" w:space="0" w:color="auto"/>
        <w:bottom w:val="none" w:sz="0" w:space="0" w:color="auto"/>
        <w:right w:val="none" w:sz="0" w:space="0" w:color="auto"/>
      </w:divBdr>
    </w:div>
    <w:div w:id="1993094391">
      <w:bodyDiv w:val="1"/>
      <w:marLeft w:val="0"/>
      <w:marRight w:val="0"/>
      <w:marTop w:val="0"/>
      <w:marBottom w:val="0"/>
      <w:divBdr>
        <w:top w:val="none" w:sz="0" w:space="0" w:color="auto"/>
        <w:left w:val="none" w:sz="0" w:space="0" w:color="auto"/>
        <w:bottom w:val="none" w:sz="0" w:space="0" w:color="auto"/>
        <w:right w:val="none" w:sz="0" w:space="0" w:color="auto"/>
      </w:divBdr>
    </w:div>
    <w:div w:id="1993899000">
      <w:bodyDiv w:val="1"/>
      <w:marLeft w:val="0"/>
      <w:marRight w:val="0"/>
      <w:marTop w:val="0"/>
      <w:marBottom w:val="0"/>
      <w:divBdr>
        <w:top w:val="none" w:sz="0" w:space="0" w:color="auto"/>
        <w:left w:val="none" w:sz="0" w:space="0" w:color="auto"/>
        <w:bottom w:val="none" w:sz="0" w:space="0" w:color="auto"/>
        <w:right w:val="none" w:sz="0" w:space="0" w:color="auto"/>
      </w:divBdr>
    </w:div>
    <w:div w:id="1994488366">
      <w:bodyDiv w:val="1"/>
      <w:marLeft w:val="0"/>
      <w:marRight w:val="0"/>
      <w:marTop w:val="0"/>
      <w:marBottom w:val="0"/>
      <w:divBdr>
        <w:top w:val="none" w:sz="0" w:space="0" w:color="auto"/>
        <w:left w:val="none" w:sz="0" w:space="0" w:color="auto"/>
        <w:bottom w:val="none" w:sz="0" w:space="0" w:color="auto"/>
        <w:right w:val="none" w:sz="0" w:space="0" w:color="auto"/>
      </w:divBdr>
    </w:div>
    <w:div w:id="1994915875">
      <w:bodyDiv w:val="1"/>
      <w:marLeft w:val="0"/>
      <w:marRight w:val="0"/>
      <w:marTop w:val="0"/>
      <w:marBottom w:val="0"/>
      <w:divBdr>
        <w:top w:val="none" w:sz="0" w:space="0" w:color="auto"/>
        <w:left w:val="none" w:sz="0" w:space="0" w:color="auto"/>
        <w:bottom w:val="none" w:sz="0" w:space="0" w:color="auto"/>
        <w:right w:val="none" w:sz="0" w:space="0" w:color="auto"/>
      </w:divBdr>
    </w:div>
    <w:div w:id="1995838070">
      <w:bodyDiv w:val="1"/>
      <w:marLeft w:val="0"/>
      <w:marRight w:val="0"/>
      <w:marTop w:val="0"/>
      <w:marBottom w:val="0"/>
      <w:divBdr>
        <w:top w:val="none" w:sz="0" w:space="0" w:color="auto"/>
        <w:left w:val="none" w:sz="0" w:space="0" w:color="auto"/>
        <w:bottom w:val="none" w:sz="0" w:space="0" w:color="auto"/>
        <w:right w:val="none" w:sz="0" w:space="0" w:color="auto"/>
      </w:divBdr>
    </w:div>
    <w:div w:id="1996453177">
      <w:bodyDiv w:val="1"/>
      <w:marLeft w:val="0"/>
      <w:marRight w:val="0"/>
      <w:marTop w:val="0"/>
      <w:marBottom w:val="0"/>
      <w:divBdr>
        <w:top w:val="none" w:sz="0" w:space="0" w:color="auto"/>
        <w:left w:val="none" w:sz="0" w:space="0" w:color="auto"/>
        <w:bottom w:val="none" w:sz="0" w:space="0" w:color="auto"/>
        <w:right w:val="none" w:sz="0" w:space="0" w:color="auto"/>
      </w:divBdr>
    </w:div>
    <w:div w:id="1997611284">
      <w:bodyDiv w:val="1"/>
      <w:marLeft w:val="0"/>
      <w:marRight w:val="0"/>
      <w:marTop w:val="0"/>
      <w:marBottom w:val="0"/>
      <w:divBdr>
        <w:top w:val="none" w:sz="0" w:space="0" w:color="auto"/>
        <w:left w:val="none" w:sz="0" w:space="0" w:color="auto"/>
        <w:bottom w:val="none" w:sz="0" w:space="0" w:color="auto"/>
        <w:right w:val="none" w:sz="0" w:space="0" w:color="auto"/>
      </w:divBdr>
    </w:div>
    <w:div w:id="1997760789">
      <w:bodyDiv w:val="1"/>
      <w:marLeft w:val="0"/>
      <w:marRight w:val="0"/>
      <w:marTop w:val="0"/>
      <w:marBottom w:val="0"/>
      <w:divBdr>
        <w:top w:val="none" w:sz="0" w:space="0" w:color="auto"/>
        <w:left w:val="none" w:sz="0" w:space="0" w:color="auto"/>
        <w:bottom w:val="none" w:sz="0" w:space="0" w:color="auto"/>
        <w:right w:val="none" w:sz="0" w:space="0" w:color="auto"/>
      </w:divBdr>
    </w:div>
    <w:div w:id="1999191396">
      <w:bodyDiv w:val="1"/>
      <w:marLeft w:val="0"/>
      <w:marRight w:val="0"/>
      <w:marTop w:val="0"/>
      <w:marBottom w:val="0"/>
      <w:divBdr>
        <w:top w:val="none" w:sz="0" w:space="0" w:color="auto"/>
        <w:left w:val="none" w:sz="0" w:space="0" w:color="auto"/>
        <w:bottom w:val="none" w:sz="0" w:space="0" w:color="auto"/>
        <w:right w:val="none" w:sz="0" w:space="0" w:color="auto"/>
      </w:divBdr>
    </w:div>
    <w:div w:id="1999725775">
      <w:bodyDiv w:val="1"/>
      <w:marLeft w:val="0"/>
      <w:marRight w:val="0"/>
      <w:marTop w:val="0"/>
      <w:marBottom w:val="0"/>
      <w:divBdr>
        <w:top w:val="none" w:sz="0" w:space="0" w:color="auto"/>
        <w:left w:val="none" w:sz="0" w:space="0" w:color="auto"/>
        <w:bottom w:val="none" w:sz="0" w:space="0" w:color="auto"/>
        <w:right w:val="none" w:sz="0" w:space="0" w:color="auto"/>
      </w:divBdr>
    </w:div>
    <w:div w:id="1999840758">
      <w:bodyDiv w:val="1"/>
      <w:marLeft w:val="0"/>
      <w:marRight w:val="0"/>
      <w:marTop w:val="0"/>
      <w:marBottom w:val="0"/>
      <w:divBdr>
        <w:top w:val="none" w:sz="0" w:space="0" w:color="auto"/>
        <w:left w:val="none" w:sz="0" w:space="0" w:color="auto"/>
        <w:bottom w:val="none" w:sz="0" w:space="0" w:color="auto"/>
        <w:right w:val="none" w:sz="0" w:space="0" w:color="auto"/>
      </w:divBdr>
    </w:div>
    <w:div w:id="2000495994">
      <w:bodyDiv w:val="1"/>
      <w:marLeft w:val="0"/>
      <w:marRight w:val="0"/>
      <w:marTop w:val="0"/>
      <w:marBottom w:val="0"/>
      <w:divBdr>
        <w:top w:val="none" w:sz="0" w:space="0" w:color="auto"/>
        <w:left w:val="none" w:sz="0" w:space="0" w:color="auto"/>
        <w:bottom w:val="none" w:sz="0" w:space="0" w:color="auto"/>
        <w:right w:val="none" w:sz="0" w:space="0" w:color="auto"/>
      </w:divBdr>
    </w:div>
    <w:div w:id="2000960267">
      <w:bodyDiv w:val="1"/>
      <w:marLeft w:val="0"/>
      <w:marRight w:val="0"/>
      <w:marTop w:val="0"/>
      <w:marBottom w:val="0"/>
      <w:divBdr>
        <w:top w:val="none" w:sz="0" w:space="0" w:color="auto"/>
        <w:left w:val="none" w:sz="0" w:space="0" w:color="auto"/>
        <w:bottom w:val="none" w:sz="0" w:space="0" w:color="auto"/>
        <w:right w:val="none" w:sz="0" w:space="0" w:color="auto"/>
      </w:divBdr>
    </w:div>
    <w:div w:id="2001040151">
      <w:bodyDiv w:val="1"/>
      <w:marLeft w:val="0"/>
      <w:marRight w:val="0"/>
      <w:marTop w:val="0"/>
      <w:marBottom w:val="0"/>
      <w:divBdr>
        <w:top w:val="none" w:sz="0" w:space="0" w:color="auto"/>
        <w:left w:val="none" w:sz="0" w:space="0" w:color="auto"/>
        <w:bottom w:val="none" w:sz="0" w:space="0" w:color="auto"/>
        <w:right w:val="none" w:sz="0" w:space="0" w:color="auto"/>
      </w:divBdr>
    </w:div>
    <w:div w:id="2005356220">
      <w:bodyDiv w:val="1"/>
      <w:marLeft w:val="0"/>
      <w:marRight w:val="0"/>
      <w:marTop w:val="0"/>
      <w:marBottom w:val="0"/>
      <w:divBdr>
        <w:top w:val="none" w:sz="0" w:space="0" w:color="auto"/>
        <w:left w:val="none" w:sz="0" w:space="0" w:color="auto"/>
        <w:bottom w:val="none" w:sz="0" w:space="0" w:color="auto"/>
        <w:right w:val="none" w:sz="0" w:space="0" w:color="auto"/>
      </w:divBdr>
    </w:div>
    <w:div w:id="2005625372">
      <w:bodyDiv w:val="1"/>
      <w:marLeft w:val="0"/>
      <w:marRight w:val="0"/>
      <w:marTop w:val="0"/>
      <w:marBottom w:val="0"/>
      <w:divBdr>
        <w:top w:val="none" w:sz="0" w:space="0" w:color="auto"/>
        <w:left w:val="none" w:sz="0" w:space="0" w:color="auto"/>
        <w:bottom w:val="none" w:sz="0" w:space="0" w:color="auto"/>
        <w:right w:val="none" w:sz="0" w:space="0" w:color="auto"/>
      </w:divBdr>
    </w:div>
    <w:div w:id="2005814218">
      <w:bodyDiv w:val="1"/>
      <w:marLeft w:val="0"/>
      <w:marRight w:val="0"/>
      <w:marTop w:val="0"/>
      <w:marBottom w:val="0"/>
      <w:divBdr>
        <w:top w:val="none" w:sz="0" w:space="0" w:color="auto"/>
        <w:left w:val="none" w:sz="0" w:space="0" w:color="auto"/>
        <w:bottom w:val="none" w:sz="0" w:space="0" w:color="auto"/>
        <w:right w:val="none" w:sz="0" w:space="0" w:color="auto"/>
      </w:divBdr>
    </w:div>
    <w:div w:id="2005820981">
      <w:bodyDiv w:val="1"/>
      <w:marLeft w:val="0"/>
      <w:marRight w:val="0"/>
      <w:marTop w:val="0"/>
      <w:marBottom w:val="0"/>
      <w:divBdr>
        <w:top w:val="none" w:sz="0" w:space="0" w:color="auto"/>
        <w:left w:val="none" w:sz="0" w:space="0" w:color="auto"/>
        <w:bottom w:val="none" w:sz="0" w:space="0" w:color="auto"/>
        <w:right w:val="none" w:sz="0" w:space="0" w:color="auto"/>
      </w:divBdr>
    </w:div>
    <w:div w:id="2006200759">
      <w:bodyDiv w:val="1"/>
      <w:marLeft w:val="0"/>
      <w:marRight w:val="0"/>
      <w:marTop w:val="0"/>
      <w:marBottom w:val="0"/>
      <w:divBdr>
        <w:top w:val="none" w:sz="0" w:space="0" w:color="auto"/>
        <w:left w:val="none" w:sz="0" w:space="0" w:color="auto"/>
        <w:bottom w:val="none" w:sz="0" w:space="0" w:color="auto"/>
        <w:right w:val="none" w:sz="0" w:space="0" w:color="auto"/>
      </w:divBdr>
    </w:div>
    <w:div w:id="2006323724">
      <w:bodyDiv w:val="1"/>
      <w:marLeft w:val="0"/>
      <w:marRight w:val="0"/>
      <w:marTop w:val="0"/>
      <w:marBottom w:val="0"/>
      <w:divBdr>
        <w:top w:val="none" w:sz="0" w:space="0" w:color="auto"/>
        <w:left w:val="none" w:sz="0" w:space="0" w:color="auto"/>
        <w:bottom w:val="none" w:sz="0" w:space="0" w:color="auto"/>
        <w:right w:val="none" w:sz="0" w:space="0" w:color="auto"/>
      </w:divBdr>
    </w:div>
    <w:div w:id="2006585224">
      <w:bodyDiv w:val="1"/>
      <w:marLeft w:val="0"/>
      <w:marRight w:val="0"/>
      <w:marTop w:val="0"/>
      <w:marBottom w:val="0"/>
      <w:divBdr>
        <w:top w:val="none" w:sz="0" w:space="0" w:color="auto"/>
        <w:left w:val="none" w:sz="0" w:space="0" w:color="auto"/>
        <w:bottom w:val="none" w:sz="0" w:space="0" w:color="auto"/>
        <w:right w:val="none" w:sz="0" w:space="0" w:color="auto"/>
      </w:divBdr>
    </w:div>
    <w:div w:id="2006664914">
      <w:bodyDiv w:val="1"/>
      <w:marLeft w:val="0"/>
      <w:marRight w:val="0"/>
      <w:marTop w:val="0"/>
      <w:marBottom w:val="0"/>
      <w:divBdr>
        <w:top w:val="none" w:sz="0" w:space="0" w:color="auto"/>
        <w:left w:val="none" w:sz="0" w:space="0" w:color="auto"/>
        <w:bottom w:val="none" w:sz="0" w:space="0" w:color="auto"/>
        <w:right w:val="none" w:sz="0" w:space="0" w:color="auto"/>
      </w:divBdr>
    </w:div>
    <w:div w:id="2010060909">
      <w:bodyDiv w:val="1"/>
      <w:marLeft w:val="0"/>
      <w:marRight w:val="0"/>
      <w:marTop w:val="0"/>
      <w:marBottom w:val="0"/>
      <w:divBdr>
        <w:top w:val="none" w:sz="0" w:space="0" w:color="auto"/>
        <w:left w:val="none" w:sz="0" w:space="0" w:color="auto"/>
        <w:bottom w:val="none" w:sz="0" w:space="0" w:color="auto"/>
        <w:right w:val="none" w:sz="0" w:space="0" w:color="auto"/>
      </w:divBdr>
    </w:div>
    <w:div w:id="2010061558">
      <w:bodyDiv w:val="1"/>
      <w:marLeft w:val="0"/>
      <w:marRight w:val="0"/>
      <w:marTop w:val="0"/>
      <w:marBottom w:val="0"/>
      <w:divBdr>
        <w:top w:val="none" w:sz="0" w:space="0" w:color="auto"/>
        <w:left w:val="none" w:sz="0" w:space="0" w:color="auto"/>
        <w:bottom w:val="none" w:sz="0" w:space="0" w:color="auto"/>
        <w:right w:val="none" w:sz="0" w:space="0" w:color="auto"/>
      </w:divBdr>
    </w:div>
    <w:div w:id="2010211715">
      <w:bodyDiv w:val="1"/>
      <w:marLeft w:val="0"/>
      <w:marRight w:val="0"/>
      <w:marTop w:val="0"/>
      <w:marBottom w:val="0"/>
      <w:divBdr>
        <w:top w:val="none" w:sz="0" w:space="0" w:color="auto"/>
        <w:left w:val="none" w:sz="0" w:space="0" w:color="auto"/>
        <w:bottom w:val="none" w:sz="0" w:space="0" w:color="auto"/>
        <w:right w:val="none" w:sz="0" w:space="0" w:color="auto"/>
      </w:divBdr>
    </w:div>
    <w:div w:id="2010326639">
      <w:bodyDiv w:val="1"/>
      <w:marLeft w:val="0"/>
      <w:marRight w:val="0"/>
      <w:marTop w:val="0"/>
      <w:marBottom w:val="0"/>
      <w:divBdr>
        <w:top w:val="none" w:sz="0" w:space="0" w:color="auto"/>
        <w:left w:val="none" w:sz="0" w:space="0" w:color="auto"/>
        <w:bottom w:val="none" w:sz="0" w:space="0" w:color="auto"/>
        <w:right w:val="none" w:sz="0" w:space="0" w:color="auto"/>
      </w:divBdr>
    </w:div>
    <w:div w:id="2010792148">
      <w:bodyDiv w:val="1"/>
      <w:marLeft w:val="0"/>
      <w:marRight w:val="0"/>
      <w:marTop w:val="0"/>
      <w:marBottom w:val="0"/>
      <w:divBdr>
        <w:top w:val="none" w:sz="0" w:space="0" w:color="auto"/>
        <w:left w:val="none" w:sz="0" w:space="0" w:color="auto"/>
        <w:bottom w:val="none" w:sz="0" w:space="0" w:color="auto"/>
        <w:right w:val="none" w:sz="0" w:space="0" w:color="auto"/>
      </w:divBdr>
    </w:div>
    <w:div w:id="2010867412">
      <w:bodyDiv w:val="1"/>
      <w:marLeft w:val="0"/>
      <w:marRight w:val="0"/>
      <w:marTop w:val="0"/>
      <w:marBottom w:val="0"/>
      <w:divBdr>
        <w:top w:val="none" w:sz="0" w:space="0" w:color="auto"/>
        <w:left w:val="none" w:sz="0" w:space="0" w:color="auto"/>
        <w:bottom w:val="none" w:sz="0" w:space="0" w:color="auto"/>
        <w:right w:val="none" w:sz="0" w:space="0" w:color="auto"/>
      </w:divBdr>
    </w:div>
    <w:div w:id="2011254459">
      <w:bodyDiv w:val="1"/>
      <w:marLeft w:val="0"/>
      <w:marRight w:val="0"/>
      <w:marTop w:val="0"/>
      <w:marBottom w:val="0"/>
      <w:divBdr>
        <w:top w:val="none" w:sz="0" w:space="0" w:color="auto"/>
        <w:left w:val="none" w:sz="0" w:space="0" w:color="auto"/>
        <w:bottom w:val="none" w:sz="0" w:space="0" w:color="auto"/>
        <w:right w:val="none" w:sz="0" w:space="0" w:color="auto"/>
      </w:divBdr>
    </w:div>
    <w:div w:id="2011716271">
      <w:bodyDiv w:val="1"/>
      <w:marLeft w:val="0"/>
      <w:marRight w:val="0"/>
      <w:marTop w:val="0"/>
      <w:marBottom w:val="0"/>
      <w:divBdr>
        <w:top w:val="none" w:sz="0" w:space="0" w:color="auto"/>
        <w:left w:val="none" w:sz="0" w:space="0" w:color="auto"/>
        <w:bottom w:val="none" w:sz="0" w:space="0" w:color="auto"/>
        <w:right w:val="none" w:sz="0" w:space="0" w:color="auto"/>
      </w:divBdr>
    </w:div>
    <w:div w:id="2012221509">
      <w:bodyDiv w:val="1"/>
      <w:marLeft w:val="0"/>
      <w:marRight w:val="0"/>
      <w:marTop w:val="0"/>
      <w:marBottom w:val="0"/>
      <w:divBdr>
        <w:top w:val="none" w:sz="0" w:space="0" w:color="auto"/>
        <w:left w:val="none" w:sz="0" w:space="0" w:color="auto"/>
        <w:bottom w:val="none" w:sz="0" w:space="0" w:color="auto"/>
        <w:right w:val="none" w:sz="0" w:space="0" w:color="auto"/>
      </w:divBdr>
    </w:div>
    <w:div w:id="2013025377">
      <w:bodyDiv w:val="1"/>
      <w:marLeft w:val="0"/>
      <w:marRight w:val="0"/>
      <w:marTop w:val="0"/>
      <w:marBottom w:val="0"/>
      <w:divBdr>
        <w:top w:val="none" w:sz="0" w:space="0" w:color="auto"/>
        <w:left w:val="none" w:sz="0" w:space="0" w:color="auto"/>
        <w:bottom w:val="none" w:sz="0" w:space="0" w:color="auto"/>
        <w:right w:val="none" w:sz="0" w:space="0" w:color="auto"/>
      </w:divBdr>
    </w:div>
    <w:div w:id="2013337057">
      <w:bodyDiv w:val="1"/>
      <w:marLeft w:val="0"/>
      <w:marRight w:val="0"/>
      <w:marTop w:val="0"/>
      <w:marBottom w:val="0"/>
      <w:divBdr>
        <w:top w:val="none" w:sz="0" w:space="0" w:color="auto"/>
        <w:left w:val="none" w:sz="0" w:space="0" w:color="auto"/>
        <w:bottom w:val="none" w:sz="0" w:space="0" w:color="auto"/>
        <w:right w:val="none" w:sz="0" w:space="0" w:color="auto"/>
      </w:divBdr>
    </w:div>
    <w:div w:id="2013601639">
      <w:bodyDiv w:val="1"/>
      <w:marLeft w:val="0"/>
      <w:marRight w:val="0"/>
      <w:marTop w:val="0"/>
      <w:marBottom w:val="0"/>
      <w:divBdr>
        <w:top w:val="none" w:sz="0" w:space="0" w:color="auto"/>
        <w:left w:val="none" w:sz="0" w:space="0" w:color="auto"/>
        <w:bottom w:val="none" w:sz="0" w:space="0" w:color="auto"/>
        <w:right w:val="none" w:sz="0" w:space="0" w:color="auto"/>
      </w:divBdr>
    </w:div>
    <w:div w:id="2013754415">
      <w:bodyDiv w:val="1"/>
      <w:marLeft w:val="0"/>
      <w:marRight w:val="0"/>
      <w:marTop w:val="0"/>
      <w:marBottom w:val="0"/>
      <w:divBdr>
        <w:top w:val="none" w:sz="0" w:space="0" w:color="auto"/>
        <w:left w:val="none" w:sz="0" w:space="0" w:color="auto"/>
        <w:bottom w:val="none" w:sz="0" w:space="0" w:color="auto"/>
        <w:right w:val="none" w:sz="0" w:space="0" w:color="auto"/>
      </w:divBdr>
    </w:div>
    <w:div w:id="2013946418">
      <w:bodyDiv w:val="1"/>
      <w:marLeft w:val="0"/>
      <w:marRight w:val="0"/>
      <w:marTop w:val="0"/>
      <w:marBottom w:val="0"/>
      <w:divBdr>
        <w:top w:val="none" w:sz="0" w:space="0" w:color="auto"/>
        <w:left w:val="none" w:sz="0" w:space="0" w:color="auto"/>
        <w:bottom w:val="none" w:sz="0" w:space="0" w:color="auto"/>
        <w:right w:val="none" w:sz="0" w:space="0" w:color="auto"/>
      </w:divBdr>
    </w:div>
    <w:div w:id="2014523729">
      <w:bodyDiv w:val="1"/>
      <w:marLeft w:val="0"/>
      <w:marRight w:val="0"/>
      <w:marTop w:val="0"/>
      <w:marBottom w:val="0"/>
      <w:divBdr>
        <w:top w:val="none" w:sz="0" w:space="0" w:color="auto"/>
        <w:left w:val="none" w:sz="0" w:space="0" w:color="auto"/>
        <w:bottom w:val="none" w:sz="0" w:space="0" w:color="auto"/>
        <w:right w:val="none" w:sz="0" w:space="0" w:color="auto"/>
      </w:divBdr>
    </w:div>
    <w:div w:id="2015106132">
      <w:bodyDiv w:val="1"/>
      <w:marLeft w:val="0"/>
      <w:marRight w:val="0"/>
      <w:marTop w:val="0"/>
      <w:marBottom w:val="0"/>
      <w:divBdr>
        <w:top w:val="none" w:sz="0" w:space="0" w:color="auto"/>
        <w:left w:val="none" w:sz="0" w:space="0" w:color="auto"/>
        <w:bottom w:val="none" w:sz="0" w:space="0" w:color="auto"/>
        <w:right w:val="none" w:sz="0" w:space="0" w:color="auto"/>
      </w:divBdr>
    </w:div>
    <w:div w:id="2015259889">
      <w:bodyDiv w:val="1"/>
      <w:marLeft w:val="0"/>
      <w:marRight w:val="0"/>
      <w:marTop w:val="0"/>
      <w:marBottom w:val="0"/>
      <w:divBdr>
        <w:top w:val="none" w:sz="0" w:space="0" w:color="auto"/>
        <w:left w:val="none" w:sz="0" w:space="0" w:color="auto"/>
        <w:bottom w:val="none" w:sz="0" w:space="0" w:color="auto"/>
        <w:right w:val="none" w:sz="0" w:space="0" w:color="auto"/>
      </w:divBdr>
    </w:div>
    <w:div w:id="2015452932">
      <w:bodyDiv w:val="1"/>
      <w:marLeft w:val="0"/>
      <w:marRight w:val="0"/>
      <w:marTop w:val="0"/>
      <w:marBottom w:val="0"/>
      <w:divBdr>
        <w:top w:val="none" w:sz="0" w:space="0" w:color="auto"/>
        <w:left w:val="none" w:sz="0" w:space="0" w:color="auto"/>
        <w:bottom w:val="none" w:sz="0" w:space="0" w:color="auto"/>
        <w:right w:val="none" w:sz="0" w:space="0" w:color="auto"/>
      </w:divBdr>
    </w:div>
    <w:div w:id="2015954061">
      <w:bodyDiv w:val="1"/>
      <w:marLeft w:val="0"/>
      <w:marRight w:val="0"/>
      <w:marTop w:val="0"/>
      <w:marBottom w:val="0"/>
      <w:divBdr>
        <w:top w:val="none" w:sz="0" w:space="0" w:color="auto"/>
        <w:left w:val="none" w:sz="0" w:space="0" w:color="auto"/>
        <w:bottom w:val="none" w:sz="0" w:space="0" w:color="auto"/>
        <w:right w:val="none" w:sz="0" w:space="0" w:color="auto"/>
      </w:divBdr>
    </w:div>
    <w:div w:id="2016296793">
      <w:bodyDiv w:val="1"/>
      <w:marLeft w:val="0"/>
      <w:marRight w:val="0"/>
      <w:marTop w:val="0"/>
      <w:marBottom w:val="0"/>
      <w:divBdr>
        <w:top w:val="none" w:sz="0" w:space="0" w:color="auto"/>
        <w:left w:val="none" w:sz="0" w:space="0" w:color="auto"/>
        <w:bottom w:val="none" w:sz="0" w:space="0" w:color="auto"/>
        <w:right w:val="none" w:sz="0" w:space="0" w:color="auto"/>
      </w:divBdr>
    </w:div>
    <w:div w:id="2016418393">
      <w:bodyDiv w:val="1"/>
      <w:marLeft w:val="0"/>
      <w:marRight w:val="0"/>
      <w:marTop w:val="0"/>
      <w:marBottom w:val="0"/>
      <w:divBdr>
        <w:top w:val="none" w:sz="0" w:space="0" w:color="auto"/>
        <w:left w:val="none" w:sz="0" w:space="0" w:color="auto"/>
        <w:bottom w:val="none" w:sz="0" w:space="0" w:color="auto"/>
        <w:right w:val="none" w:sz="0" w:space="0" w:color="auto"/>
      </w:divBdr>
    </w:div>
    <w:div w:id="2017610223">
      <w:bodyDiv w:val="1"/>
      <w:marLeft w:val="0"/>
      <w:marRight w:val="0"/>
      <w:marTop w:val="0"/>
      <w:marBottom w:val="0"/>
      <w:divBdr>
        <w:top w:val="none" w:sz="0" w:space="0" w:color="auto"/>
        <w:left w:val="none" w:sz="0" w:space="0" w:color="auto"/>
        <w:bottom w:val="none" w:sz="0" w:space="0" w:color="auto"/>
        <w:right w:val="none" w:sz="0" w:space="0" w:color="auto"/>
      </w:divBdr>
    </w:div>
    <w:div w:id="2017882985">
      <w:bodyDiv w:val="1"/>
      <w:marLeft w:val="0"/>
      <w:marRight w:val="0"/>
      <w:marTop w:val="0"/>
      <w:marBottom w:val="0"/>
      <w:divBdr>
        <w:top w:val="none" w:sz="0" w:space="0" w:color="auto"/>
        <w:left w:val="none" w:sz="0" w:space="0" w:color="auto"/>
        <w:bottom w:val="none" w:sz="0" w:space="0" w:color="auto"/>
        <w:right w:val="none" w:sz="0" w:space="0" w:color="auto"/>
      </w:divBdr>
    </w:div>
    <w:div w:id="2018539414">
      <w:bodyDiv w:val="1"/>
      <w:marLeft w:val="0"/>
      <w:marRight w:val="0"/>
      <w:marTop w:val="0"/>
      <w:marBottom w:val="0"/>
      <w:divBdr>
        <w:top w:val="none" w:sz="0" w:space="0" w:color="auto"/>
        <w:left w:val="none" w:sz="0" w:space="0" w:color="auto"/>
        <w:bottom w:val="none" w:sz="0" w:space="0" w:color="auto"/>
        <w:right w:val="none" w:sz="0" w:space="0" w:color="auto"/>
      </w:divBdr>
    </w:div>
    <w:div w:id="2019115850">
      <w:bodyDiv w:val="1"/>
      <w:marLeft w:val="0"/>
      <w:marRight w:val="0"/>
      <w:marTop w:val="0"/>
      <w:marBottom w:val="0"/>
      <w:divBdr>
        <w:top w:val="none" w:sz="0" w:space="0" w:color="auto"/>
        <w:left w:val="none" w:sz="0" w:space="0" w:color="auto"/>
        <w:bottom w:val="none" w:sz="0" w:space="0" w:color="auto"/>
        <w:right w:val="none" w:sz="0" w:space="0" w:color="auto"/>
      </w:divBdr>
    </w:div>
    <w:div w:id="2019847766">
      <w:bodyDiv w:val="1"/>
      <w:marLeft w:val="0"/>
      <w:marRight w:val="0"/>
      <w:marTop w:val="0"/>
      <w:marBottom w:val="0"/>
      <w:divBdr>
        <w:top w:val="none" w:sz="0" w:space="0" w:color="auto"/>
        <w:left w:val="none" w:sz="0" w:space="0" w:color="auto"/>
        <w:bottom w:val="none" w:sz="0" w:space="0" w:color="auto"/>
        <w:right w:val="none" w:sz="0" w:space="0" w:color="auto"/>
      </w:divBdr>
    </w:div>
    <w:div w:id="2019890871">
      <w:bodyDiv w:val="1"/>
      <w:marLeft w:val="0"/>
      <w:marRight w:val="0"/>
      <w:marTop w:val="0"/>
      <w:marBottom w:val="0"/>
      <w:divBdr>
        <w:top w:val="none" w:sz="0" w:space="0" w:color="auto"/>
        <w:left w:val="none" w:sz="0" w:space="0" w:color="auto"/>
        <w:bottom w:val="none" w:sz="0" w:space="0" w:color="auto"/>
        <w:right w:val="none" w:sz="0" w:space="0" w:color="auto"/>
      </w:divBdr>
    </w:div>
    <w:div w:id="2020113262">
      <w:bodyDiv w:val="1"/>
      <w:marLeft w:val="0"/>
      <w:marRight w:val="0"/>
      <w:marTop w:val="0"/>
      <w:marBottom w:val="0"/>
      <w:divBdr>
        <w:top w:val="none" w:sz="0" w:space="0" w:color="auto"/>
        <w:left w:val="none" w:sz="0" w:space="0" w:color="auto"/>
        <w:bottom w:val="none" w:sz="0" w:space="0" w:color="auto"/>
        <w:right w:val="none" w:sz="0" w:space="0" w:color="auto"/>
      </w:divBdr>
    </w:div>
    <w:div w:id="2020349005">
      <w:bodyDiv w:val="1"/>
      <w:marLeft w:val="0"/>
      <w:marRight w:val="0"/>
      <w:marTop w:val="0"/>
      <w:marBottom w:val="0"/>
      <w:divBdr>
        <w:top w:val="none" w:sz="0" w:space="0" w:color="auto"/>
        <w:left w:val="none" w:sz="0" w:space="0" w:color="auto"/>
        <w:bottom w:val="none" w:sz="0" w:space="0" w:color="auto"/>
        <w:right w:val="none" w:sz="0" w:space="0" w:color="auto"/>
      </w:divBdr>
    </w:div>
    <w:div w:id="2022195395">
      <w:bodyDiv w:val="1"/>
      <w:marLeft w:val="0"/>
      <w:marRight w:val="0"/>
      <w:marTop w:val="0"/>
      <w:marBottom w:val="0"/>
      <w:divBdr>
        <w:top w:val="none" w:sz="0" w:space="0" w:color="auto"/>
        <w:left w:val="none" w:sz="0" w:space="0" w:color="auto"/>
        <w:bottom w:val="none" w:sz="0" w:space="0" w:color="auto"/>
        <w:right w:val="none" w:sz="0" w:space="0" w:color="auto"/>
      </w:divBdr>
    </w:div>
    <w:div w:id="2022584461">
      <w:bodyDiv w:val="1"/>
      <w:marLeft w:val="0"/>
      <w:marRight w:val="0"/>
      <w:marTop w:val="0"/>
      <w:marBottom w:val="0"/>
      <w:divBdr>
        <w:top w:val="none" w:sz="0" w:space="0" w:color="auto"/>
        <w:left w:val="none" w:sz="0" w:space="0" w:color="auto"/>
        <w:bottom w:val="none" w:sz="0" w:space="0" w:color="auto"/>
        <w:right w:val="none" w:sz="0" w:space="0" w:color="auto"/>
      </w:divBdr>
    </w:div>
    <w:div w:id="2022930827">
      <w:bodyDiv w:val="1"/>
      <w:marLeft w:val="0"/>
      <w:marRight w:val="0"/>
      <w:marTop w:val="0"/>
      <w:marBottom w:val="0"/>
      <w:divBdr>
        <w:top w:val="none" w:sz="0" w:space="0" w:color="auto"/>
        <w:left w:val="none" w:sz="0" w:space="0" w:color="auto"/>
        <w:bottom w:val="none" w:sz="0" w:space="0" w:color="auto"/>
        <w:right w:val="none" w:sz="0" w:space="0" w:color="auto"/>
      </w:divBdr>
    </w:div>
    <w:div w:id="2023050775">
      <w:bodyDiv w:val="1"/>
      <w:marLeft w:val="0"/>
      <w:marRight w:val="0"/>
      <w:marTop w:val="0"/>
      <w:marBottom w:val="0"/>
      <w:divBdr>
        <w:top w:val="none" w:sz="0" w:space="0" w:color="auto"/>
        <w:left w:val="none" w:sz="0" w:space="0" w:color="auto"/>
        <w:bottom w:val="none" w:sz="0" w:space="0" w:color="auto"/>
        <w:right w:val="none" w:sz="0" w:space="0" w:color="auto"/>
      </w:divBdr>
    </w:div>
    <w:div w:id="2024894638">
      <w:bodyDiv w:val="1"/>
      <w:marLeft w:val="0"/>
      <w:marRight w:val="0"/>
      <w:marTop w:val="0"/>
      <w:marBottom w:val="0"/>
      <w:divBdr>
        <w:top w:val="none" w:sz="0" w:space="0" w:color="auto"/>
        <w:left w:val="none" w:sz="0" w:space="0" w:color="auto"/>
        <w:bottom w:val="none" w:sz="0" w:space="0" w:color="auto"/>
        <w:right w:val="none" w:sz="0" w:space="0" w:color="auto"/>
      </w:divBdr>
    </w:div>
    <w:div w:id="2025013255">
      <w:bodyDiv w:val="1"/>
      <w:marLeft w:val="0"/>
      <w:marRight w:val="0"/>
      <w:marTop w:val="0"/>
      <w:marBottom w:val="0"/>
      <w:divBdr>
        <w:top w:val="none" w:sz="0" w:space="0" w:color="auto"/>
        <w:left w:val="none" w:sz="0" w:space="0" w:color="auto"/>
        <w:bottom w:val="none" w:sz="0" w:space="0" w:color="auto"/>
        <w:right w:val="none" w:sz="0" w:space="0" w:color="auto"/>
      </w:divBdr>
    </w:div>
    <w:div w:id="2025160226">
      <w:bodyDiv w:val="1"/>
      <w:marLeft w:val="0"/>
      <w:marRight w:val="0"/>
      <w:marTop w:val="0"/>
      <w:marBottom w:val="0"/>
      <w:divBdr>
        <w:top w:val="none" w:sz="0" w:space="0" w:color="auto"/>
        <w:left w:val="none" w:sz="0" w:space="0" w:color="auto"/>
        <w:bottom w:val="none" w:sz="0" w:space="0" w:color="auto"/>
        <w:right w:val="none" w:sz="0" w:space="0" w:color="auto"/>
      </w:divBdr>
    </w:div>
    <w:div w:id="2025276946">
      <w:bodyDiv w:val="1"/>
      <w:marLeft w:val="0"/>
      <w:marRight w:val="0"/>
      <w:marTop w:val="0"/>
      <w:marBottom w:val="0"/>
      <w:divBdr>
        <w:top w:val="none" w:sz="0" w:space="0" w:color="auto"/>
        <w:left w:val="none" w:sz="0" w:space="0" w:color="auto"/>
        <w:bottom w:val="none" w:sz="0" w:space="0" w:color="auto"/>
        <w:right w:val="none" w:sz="0" w:space="0" w:color="auto"/>
      </w:divBdr>
    </w:div>
    <w:div w:id="2025282785">
      <w:bodyDiv w:val="1"/>
      <w:marLeft w:val="0"/>
      <w:marRight w:val="0"/>
      <w:marTop w:val="0"/>
      <w:marBottom w:val="0"/>
      <w:divBdr>
        <w:top w:val="none" w:sz="0" w:space="0" w:color="auto"/>
        <w:left w:val="none" w:sz="0" w:space="0" w:color="auto"/>
        <w:bottom w:val="none" w:sz="0" w:space="0" w:color="auto"/>
        <w:right w:val="none" w:sz="0" w:space="0" w:color="auto"/>
      </w:divBdr>
      <w:divsChild>
        <w:div w:id="128860841">
          <w:marLeft w:val="0"/>
          <w:marRight w:val="0"/>
          <w:marTop w:val="0"/>
          <w:marBottom w:val="0"/>
          <w:divBdr>
            <w:top w:val="none" w:sz="0" w:space="0" w:color="auto"/>
            <w:left w:val="none" w:sz="0" w:space="0" w:color="auto"/>
            <w:bottom w:val="none" w:sz="0" w:space="0" w:color="auto"/>
            <w:right w:val="none" w:sz="0" w:space="0" w:color="auto"/>
          </w:divBdr>
        </w:div>
        <w:div w:id="371926083">
          <w:marLeft w:val="0"/>
          <w:marRight w:val="0"/>
          <w:marTop w:val="0"/>
          <w:marBottom w:val="0"/>
          <w:divBdr>
            <w:top w:val="none" w:sz="0" w:space="0" w:color="auto"/>
            <w:left w:val="none" w:sz="0" w:space="0" w:color="auto"/>
            <w:bottom w:val="none" w:sz="0" w:space="0" w:color="auto"/>
            <w:right w:val="none" w:sz="0" w:space="0" w:color="auto"/>
          </w:divBdr>
        </w:div>
        <w:div w:id="623315867">
          <w:marLeft w:val="0"/>
          <w:marRight w:val="0"/>
          <w:marTop w:val="0"/>
          <w:marBottom w:val="0"/>
          <w:divBdr>
            <w:top w:val="none" w:sz="0" w:space="0" w:color="auto"/>
            <w:left w:val="none" w:sz="0" w:space="0" w:color="auto"/>
            <w:bottom w:val="none" w:sz="0" w:space="0" w:color="auto"/>
            <w:right w:val="none" w:sz="0" w:space="0" w:color="auto"/>
          </w:divBdr>
        </w:div>
        <w:div w:id="627198581">
          <w:marLeft w:val="0"/>
          <w:marRight w:val="0"/>
          <w:marTop w:val="0"/>
          <w:marBottom w:val="0"/>
          <w:divBdr>
            <w:top w:val="none" w:sz="0" w:space="0" w:color="auto"/>
            <w:left w:val="none" w:sz="0" w:space="0" w:color="auto"/>
            <w:bottom w:val="none" w:sz="0" w:space="0" w:color="auto"/>
            <w:right w:val="none" w:sz="0" w:space="0" w:color="auto"/>
          </w:divBdr>
        </w:div>
        <w:div w:id="635598938">
          <w:marLeft w:val="0"/>
          <w:marRight w:val="0"/>
          <w:marTop w:val="0"/>
          <w:marBottom w:val="0"/>
          <w:divBdr>
            <w:top w:val="none" w:sz="0" w:space="0" w:color="auto"/>
            <w:left w:val="none" w:sz="0" w:space="0" w:color="auto"/>
            <w:bottom w:val="none" w:sz="0" w:space="0" w:color="auto"/>
            <w:right w:val="none" w:sz="0" w:space="0" w:color="auto"/>
          </w:divBdr>
        </w:div>
        <w:div w:id="1040664266">
          <w:marLeft w:val="0"/>
          <w:marRight w:val="0"/>
          <w:marTop w:val="0"/>
          <w:marBottom w:val="0"/>
          <w:divBdr>
            <w:top w:val="none" w:sz="0" w:space="0" w:color="auto"/>
            <w:left w:val="none" w:sz="0" w:space="0" w:color="auto"/>
            <w:bottom w:val="none" w:sz="0" w:space="0" w:color="auto"/>
            <w:right w:val="none" w:sz="0" w:space="0" w:color="auto"/>
          </w:divBdr>
        </w:div>
        <w:div w:id="1183668487">
          <w:marLeft w:val="0"/>
          <w:marRight w:val="0"/>
          <w:marTop w:val="0"/>
          <w:marBottom w:val="0"/>
          <w:divBdr>
            <w:top w:val="none" w:sz="0" w:space="0" w:color="auto"/>
            <w:left w:val="none" w:sz="0" w:space="0" w:color="auto"/>
            <w:bottom w:val="none" w:sz="0" w:space="0" w:color="auto"/>
            <w:right w:val="none" w:sz="0" w:space="0" w:color="auto"/>
          </w:divBdr>
        </w:div>
        <w:div w:id="1212423758">
          <w:marLeft w:val="0"/>
          <w:marRight w:val="0"/>
          <w:marTop w:val="0"/>
          <w:marBottom w:val="0"/>
          <w:divBdr>
            <w:top w:val="none" w:sz="0" w:space="0" w:color="auto"/>
            <w:left w:val="none" w:sz="0" w:space="0" w:color="auto"/>
            <w:bottom w:val="none" w:sz="0" w:space="0" w:color="auto"/>
            <w:right w:val="none" w:sz="0" w:space="0" w:color="auto"/>
          </w:divBdr>
        </w:div>
        <w:div w:id="1231889015">
          <w:marLeft w:val="0"/>
          <w:marRight w:val="0"/>
          <w:marTop w:val="0"/>
          <w:marBottom w:val="0"/>
          <w:divBdr>
            <w:top w:val="none" w:sz="0" w:space="0" w:color="auto"/>
            <w:left w:val="none" w:sz="0" w:space="0" w:color="auto"/>
            <w:bottom w:val="none" w:sz="0" w:space="0" w:color="auto"/>
            <w:right w:val="none" w:sz="0" w:space="0" w:color="auto"/>
          </w:divBdr>
        </w:div>
        <w:div w:id="1831753791">
          <w:marLeft w:val="0"/>
          <w:marRight w:val="0"/>
          <w:marTop w:val="0"/>
          <w:marBottom w:val="0"/>
          <w:divBdr>
            <w:top w:val="none" w:sz="0" w:space="0" w:color="auto"/>
            <w:left w:val="none" w:sz="0" w:space="0" w:color="auto"/>
            <w:bottom w:val="none" w:sz="0" w:space="0" w:color="auto"/>
            <w:right w:val="none" w:sz="0" w:space="0" w:color="auto"/>
          </w:divBdr>
        </w:div>
      </w:divsChild>
    </w:div>
    <w:div w:id="2025981383">
      <w:bodyDiv w:val="1"/>
      <w:marLeft w:val="0"/>
      <w:marRight w:val="0"/>
      <w:marTop w:val="0"/>
      <w:marBottom w:val="0"/>
      <w:divBdr>
        <w:top w:val="none" w:sz="0" w:space="0" w:color="auto"/>
        <w:left w:val="none" w:sz="0" w:space="0" w:color="auto"/>
        <w:bottom w:val="none" w:sz="0" w:space="0" w:color="auto"/>
        <w:right w:val="none" w:sz="0" w:space="0" w:color="auto"/>
      </w:divBdr>
    </w:div>
    <w:div w:id="2026590993">
      <w:bodyDiv w:val="1"/>
      <w:marLeft w:val="0"/>
      <w:marRight w:val="0"/>
      <w:marTop w:val="0"/>
      <w:marBottom w:val="0"/>
      <w:divBdr>
        <w:top w:val="none" w:sz="0" w:space="0" w:color="auto"/>
        <w:left w:val="none" w:sz="0" w:space="0" w:color="auto"/>
        <w:bottom w:val="none" w:sz="0" w:space="0" w:color="auto"/>
        <w:right w:val="none" w:sz="0" w:space="0" w:color="auto"/>
      </w:divBdr>
    </w:div>
    <w:div w:id="2026861824">
      <w:bodyDiv w:val="1"/>
      <w:marLeft w:val="0"/>
      <w:marRight w:val="0"/>
      <w:marTop w:val="0"/>
      <w:marBottom w:val="0"/>
      <w:divBdr>
        <w:top w:val="none" w:sz="0" w:space="0" w:color="auto"/>
        <w:left w:val="none" w:sz="0" w:space="0" w:color="auto"/>
        <w:bottom w:val="none" w:sz="0" w:space="0" w:color="auto"/>
        <w:right w:val="none" w:sz="0" w:space="0" w:color="auto"/>
      </w:divBdr>
    </w:div>
    <w:div w:id="2027317916">
      <w:bodyDiv w:val="1"/>
      <w:marLeft w:val="0"/>
      <w:marRight w:val="0"/>
      <w:marTop w:val="0"/>
      <w:marBottom w:val="0"/>
      <w:divBdr>
        <w:top w:val="none" w:sz="0" w:space="0" w:color="auto"/>
        <w:left w:val="none" w:sz="0" w:space="0" w:color="auto"/>
        <w:bottom w:val="none" w:sz="0" w:space="0" w:color="auto"/>
        <w:right w:val="none" w:sz="0" w:space="0" w:color="auto"/>
      </w:divBdr>
    </w:div>
    <w:div w:id="2028830152">
      <w:bodyDiv w:val="1"/>
      <w:marLeft w:val="0"/>
      <w:marRight w:val="0"/>
      <w:marTop w:val="0"/>
      <w:marBottom w:val="0"/>
      <w:divBdr>
        <w:top w:val="none" w:sz="0" w:space="0" w:color="auto"/>
        <w:left w:val="none" w:sz="0" w:space="0" w:color="auto"/>
        <w:bottom w:val="none" w:sz="0" w:space="0" w:color="auto"/>
        <w:right w:val="none" w:sz="0" w:space="0" w:color="auto"/>
      </w:divBdr>
    </w:div>
    <w:div w:id="2030447606">
      <w:bodyDiv w:val="1"/>
      <w:marLeft w:val="0"/>
      <w:marRight w:val="0"/>
      <w:marTop w:val="0"/>
      <w:marBottom w:val="0"/>
      <w:divBdr>
        <w:top w:val="none" w:sz="0" w:space="0" w:color="auto"/>
        <w:left w:val="none" w:sz="0" w:space="0" w:color="auto"/>
        <w:bottom w:val="none" w:sz="0" w:space="0" w:color="auto"/>
        <w:right w:val="none" w:sz="0" w:space="0" w:color="auto"/>
      </w:divBdr>
    </w:div>
    <w:div w:id="2030595750">
      <w:bodyDiv w:val="1"/>
      <w:marLeft w:val="0"/>
      <w:marRight w:val="0"/>
      <w:marTop w:val="0"/>
      <w:marBottom w:val="0"/>
      <w:divBdr>
        <w:top w:val="none" w:sz="0" w:space="0" w:color="auto"/>
        <w:left w:val="none" w:sz="0" w:space="0" w:color="auto"/>
        <w:bottom w:val="none" w:sz="0" w:space="0" w:color="auto"/>
        <w:right w:val="none" w:sz="0" w:space="0" w:color="auto"/>
      </w:divBdr>
    </w:div>
    <w:div w:id="2031565035">
      <w:bodyDiv w:val="1"/>
      <w:marLeft w:val="0"/>
      <w:marRight w:val="0"/>
      <w:marTop w:val="0"/>
      <w:marBottom w:val="0"/>
      <w:divBdr>
        <w:top w:val="none" w:sz="0" w:space="0" w:color="auto"/>
        <w:left w:val="none" w:sz="0" w:space="0" w:color="auto"/>
        <w:bottom w:val="none" w:sz="0" w:space="0" w:color="auto"/>
        <w:right w:val="none" w:sz="0" w:space="0" w:color="auto"/>
      </w:divBdr>
    </w:div>
    <w:div w:id="2032487617">
      <w:bodyDiv w:val="1"/>
      <w:marLeft w:val="0"/>
      <w:marRight w:val="0"/>
      <w:marTop w:val="0"/>
      <w:marBottom w:val="0"/>
      <w:divBdr>
        <w:top w:val="none" w:sz="0" w:space="0" w:color="auto"/>
        <w:left w:val="none" w:sz="0" w:space="0" w:color="auto"/>
        <w:bottom w:val="none" w:sz="0" w:space="0" w:color="auto"/>
        <w:right w:val="none" w:sz="0" w:space="0" w:color="auto"/>
      </w:divBdr>
    </w:div>
    <w:div w:id="2032761723">
      <w:bodyDiv w:val="1"/>
      <w:marLeft w:val="0"/>
      <w:marRight w:val="0"/>
      <w:marTop w:val="0"/>
      <w:marBottom w:val="0"/>
      <w:divBdr>
        <w:top w:val="none" w:sz="0" w:space="0" w:color="auto"/>
        <w:left w:val="none" w:sz="0" w:space="0" w:color="auto"/>
        <w:bottom w:val="none" w:sz="0" w:space="0" w:color="auto"/>
        <w:right w:val="none" w:sz="0" w:space="0" w:color="auto"/>
      </w:divBdr>
    </w:div>
    <w:div w:id="2033411730">
      <w:bodyDiv w:val="1"/>
      <w:marLeft w:val="0"/>
      <w:marRight w:val="0"/>
      <w:marTop w:val="0"/>
      <w:marBottom w:val="0"/>
      <w:divBdr>
        <w:top w:val="none" w:sz="0" w:space="0" w:color="auto"/>
        <w:left w:val="none" w:sz="0" w:space="0" w:color="auto"/>
        <w:bottom w:val="none" w:sz="0" w:space="0" w:color="auto"/>
        <w:right w:val="none" w:sz="0" w:space="0" w:color="auto"/>
      </w:divBdr>
    </w:div>
    <w:div w:id="2033723757">
      <w:bodyDiv w:val="1"/>
      <w:marLeft w:val="0"/>
      <w:marRight w:val="0"/>
      <w:marTop w:val="0"/>
      <w:marBottom w:val="0"/>
      <w:divBdr>
        <w:top w:val="none" w:sz="0" w:space="0" w:color="auto"/>
        <w:left w:val="none" w:sz="0" w:space="0" w:color="auto"/>
        <w:bottom w:val="none" w:sz="0" w:space="0" w:color="auto"/>
        <w:right w:val="none" w:sz="0" w:space="0" w:color="auto"/>
      </w:divBdr>
    </w:div>
    <w:div w:id="2033803188">
      <w:bodyDiv w:val="1"/>
      <w:marLeft w:val="0"/>
      <w:marRight w:val="0"/>
      <w:marTop w:val="0"/>
      <w:marBottom w:val="0"/>
      <w:divBdr>
        <w:top w:val="none" w:sz="0" w:space="0" w:color="auto"/>
        <w:left w:val="none" w:sz="0" w:space="0" w:color="auto"/>
        <w:bottom w:val="none" w:sz="0" w:space="0" w:color="auto"/>
        <w:right w:val="none" w:sz="0" w:space="0" w:color="auto"/>
      </w:divBdr>
    </w:div>
    <w:div w:id="2033914923">
      <w:bodyDiv w:val="1"/>
      <w:marLeft w:val="0"/>
      <w:marRight w:val="0"/>
      <w:marTop w:val="0"/>
      <w:marBottom w:val="0"/>
      <w:divBdr>
        <w:top w:val="none" w:sz="0" w:space="0" w:color="auto"/>
        <w:left w:val="none" w:sz="0" w:space="0" w:color="auto"/>
        <w:bottom w:val="none" w:sz="0" w:space="0" w:color="auto"/>
        <w:right w:val="none" w:sz="0" w:space="0" w:color="auto"/>
      </w:divBdr>
    </w:div>
    <w:div w:id="2034070908">
      <w:bodyDiv w:val="1"/>
      <w:marLeft w:val="0"/>
      <w:marRight w:val="0"/>
      <w:marTop w:val="0"/>
      <w:marBottom w:val="0"/>
      <w:divBdr>
        <w:top w:val="none" w:sz="0" w:space="0" w:color="auto"/>
        <w:left w:val="none" w:sz="0" w:space="0" w:color="auto"/>
        <w:bottom w:val="none" w:sz="0" w:space="0" w:color="auto"/>
        <w:right w:val="none" w:sz="0" w:space="0" w:color="auto"/>
      </w:divBdr>
    </w:div>
    <w:div w:id="2034721079">
      <w:bodyDiv w:val="1"/>
      <w:marLeft w:val="0"/>
      <w:marRight w:val="0"/>
      <w:marTop w:val="0"/>
      <w:marBottom w:val="0"/>
      <w:divBdr>
        <w:top w:val="none" w:sz="0" w:space="0" w:color="auto"/>
        <w:left w:val="none" w:sz="0" w:space="0" w:color="auto"/>
        <w:bottom w:val="none" w:sz="0" w:space="0" w:color="auto"/>
        <w:right w:val="none" w:sz="0" w:space="0" w:color="auto"/>
      </w:divBdr>
    </w:div>
    <w:div w:id="2034960658">
      <w:bodyDiv w:val="1"/>
      <w:marLeft w:val="0"/>
      <w:marRight w:val="0"/>
      <w:marTop w:val="0"/>
      <w:marBottom w:val="0"/>
      <w:divBdr>
        <w:top w:val="none" w:sz="0" w:space="0" w:color="auto"/>
        <w:left w:val="none" w:sz="0" w:space="0" w:color="auto"/>
        <w:bottom w:val="none" w:sz="0" w:space="0" w:color="auto"/>
        <w:right w:val="none" w:sz="0" w:space="0" w:color="auto"/>
      </w:divBdr>
      <w:divsChild>
        <w:div w:id="1455366760">
          <w:marLeft w:val="0"/>
          <w:marRight w:val="0"/>
          <w:marTop w:val="0"/>
          <w:marBottom w:val="0"/>
          <w:divBdr>
            <w:top w:val="none" w:sz="0" w:space="0" w:color="auto"/>
            <w:left w:val="none" w:sz="0" w:space="0" w:color="auto"/>
            <w:bottom w:val="none" w:sz="0" w:space="0" w:color="auto"/>
            <w:right w:val="none" w:sz="0" w:space="0" w:color="auto"/>
          </w:divBdr>
          <w:divsChild>
            <w:div w:id="53359456">
              <w:marLeft w:val="0"/>
              <w:marRight w:val="0"/>
              <w:marTop w:val="0"/>
              <w:marBottom w:val="0"/>
              <w:divBdr>
                <w:top w:val="none" w:sz="0" w:space="0" w:color="auto"/>
                <w:left w:val="none" w:sz="0" w:space="0" w:color="auto"/>
                <w:bottom w:val="none" w:sz="0" w:space="0" w:color="auto"/>
                <w:right w:val="none" w:sz="0" w:space="0" w:color="auto"/>
              </w:divBdr>
            </w:div>
            <w:div w:id="80837957">
              <w:marLeft w:val="0"/>
              <w:marRight w:val="0"/>
              <w:marTop w:val="0"/>
              <w:marBottom w:val="0"/>
              <w:divBdr>
                <w:top w:val="none" w:sz="0" w:space="0" w:color="auto"/>
                <w:left w:val="none" w:sz="0" w:space="0" w:color="auto"/>
                <w:bottom w:val="none" w:sz="0" w:space="0" w:color="auto"/>
                <w:right w:val="none" w:sz="0" w:space="0" w:color="auto"/>
              </w:divBdr>
            </w:div>
            <w:div w:id="211578141">
              <w:marLeft w:val="0"/>
              <w:marRight w:val="0"/>
              <w:marTop w:val="0"/>
              <w:marBottom w:val="0"/>
              <w:divBdr>
                <w:top w:val="none" w:sz="0" w:space="0" w:color="auto"/>
                <w:left w:val="none" w:sz="0" w:space="0" w:color="auto"/>
                <w:bottom w:val="none" w:sz="0" w:space="0" w:color="auto"/>
                <w:right w:val="none" w:sz="0" w:space="0" w:color="auto"/>
              </w:divBdr>
            </w:div>
            <w:div w:id="393116788">
              <w:marLeft w:val="0"/>
              <w:marRight w:val="0"/>
              <w:marTop w:val="0"/>
              <w:marBottom w:val="0"/>
              <w:divBdr>
                <w:top w:val="none" w:sz="0" w:space="0" w:color="auto"/>
                <w:left w:val="none" w:sz="0" w:space="0" w:color="auto"/>
                <w:bottom w:val="none" w:sz="0" w:space="0" w:color="auto"/>
                <w:right w:val="none" w:sz="0" w:space="0" w:color="auto"/>
              </w:divBdr>
            </w:div>
            <w:div w:id="452484678">
              <w:marLeft w:val="0"/>
              <w:marRight w:val="0"/>
              <w:marTop w:val="0"/>
              <w:marBottom w:val="0"/>
              <w:divBdr>
                <w:top w:val="none" w:sz="0" w:space="0" w:color="auto"/>
                <w:left w:val="none" w:sz="0" w:space="0" w:color="auto"/>
                <w:bottom w:val="none" w:sz="0" w:space="0" w:color="auto"/>
                <w:right w:val="none" w:sz="0" w:space="0" w:color="auto"/>
              </w:divBdr>
            </w:div>
            <w:div w:id="573974548">
              <w:marLeft w:val="0"/>
              <w:marRight w:val="0"/>
              <w:marTop w:val="0"/>
              <w:marBottom w:val="0"/>
              <w:divBdr>
                <w:top w:val="none" w:sz="0" w:space="0" w:color="auto"/>
                <w:left w:val="none" w:sz="0" w:space="0" w:color="auto"/>
                <w:bottom w:val="none" w:sz="0" w:space="0" w:color="auto"/>
                <w:right w:val="none" w:sz="0" w:space="0" w:color="auto"/>
              </w:divBdr>
            </w:div>
            <w:div w:id="588539198">
              <w:marLeft w:val="0"/>
              <w:marRight w:val="0"/>
              <w:marTop w:val="0"/>
              <w:marBottom w:val="0"/>
              <w:divBdr>
                <w:top w:val="none" w:sz="0" w:space="0" w:color="auto"/>
                <w:left w:val="none" w:sz="0" w:space="0" w:color="auto"/>
                <w:bottom w:val="none" w:sz="0" w:space="0" w:color="auto"/>
                <w:right w:val="none" w:sz="0" w:space="0" w:color="auto"/>
              </w:divBdr>
            </w:div>
            <w:div w:id="653023143">
              <w:marLeft w:val="0"/>
              <w:marRight w:val="0"/>
              <w:marTop w:val="0"/>
              <w:marBottom w:val="0"/>
              <w:divBdr>
                <w:top w:val="none" w:sz="0" w:space="0" w:color="auto"/>
                <w:left w:val="none" w:sz="0" w:space="0" w:color="auto"/>
                <w:bottom w:val="none" w:sz="0" w:space="0" w:color="auto"/>
                <w:right w:val="none" w:sz="0" w:space="0" w:color="auto"/>
              </w:divBdr>
            </w:div>
            <w:div w:id="1237322162">
              <w:marLeft w:val="0"/>
              <w:marRight w:val="0"/>
              <w:marTop w:val="0"/>
              <w:marBottom w:val="0"/>
              <w:divBdr>
                <w:top w:val="none" w:sz="0" w:space="0" w:color="auto"/>
                <w:left w:val="none" w:sz="0" w:space="0" w:color="auto"/>
                <w:bottom w:val="none" w:sz="0" w:space="0" w:color="auto"/>
                <w:right w:val="none" w:sz="0" w:space="0" w:color="auto"/>
              </w:divBdr>
            </w:div>
            <w:div w:id="1307780389">
              <w:marLeft w:val="0"/>
              <w:marRight w:val="0"/>
              <w:marTop w:val="0"/>
              <w:marBottom w:val="0"/>
              <w:divBdr>
                <w:top w:val="none" w:sz="0" w:space="0" w:color="auto"/>
                <w:left w:val="none" w:sz="0" w:space="0" w:color="auto"/>
                <w:bottom w:val="none" w:sz="0" w:space="0" w:color="auto"/>
                <w:right w:val="none" w:sz="0" w:space="0" w:color="auto"/>
              </w:divBdr>
            </w:div>
            <w:div w:id="1817263072">
              <w:marLeft w:val="0"/>
              <w:marRight w:val="0"/>
              <w:marTop w:val="0"/>
              <w:marBottom w:val="0"/>
              <w:divBdr>
                <w:top w:val="none" w:sz="0" w:space="0" w:color="auto"/>
                <w:left w:val="none" w:sz="0" w:space="0" w:color="auto"/>
                <w:bottom w:val="none" w:sz="0" w:space="0" w:color="auto"/>
                <w:right w:val="none" w:sz="0" w:space="0" w:color="auto"/>
              </w:divBdr>
            </w:div>
            <w:div w:id="1895503620">
              <w:marLeft w:val="0"/>
              <w:marRight w:val="0"/>
              <w:marTop w:val="0"/>
              <w:marBottom w:val="0"/>
              <w:divBdr>
                <w:top w:val="none" w:sz="0" w:space="0" w:color="auto"/>
                <w:left w:val="none" w:sz="0" w:space="0" w:color="auto"/>
                <w:bottom w:val="none" w:sz="0" w:space="0" w:color="auto"/>
                <w:right w:val="none" w:sz="0" w:space="0" w:color="auto"/>
              </w:divBdr>
            </w:div>
            <w:div w:id="194426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99259">
      <w:bodyDiv w:val="1"/>
      <w:marLeft w:val="0"/>
      <w:marRight w:val="0"/>
      <w:marTop w:val="0"/>
      <w:marBottom w:val="0"/>
      <w:divBdr>
        <w:top w:val="none" w:sz="0" w:space="0" w:color="auto"/>
        <w:left w:val="none" w:sz="0" w:space="0" w:color="auto"/>
        <w:bottom w:val="none" w:sz="0" w:space="0" w:color="auto"/>
        <w:right w:val="none" w:sz="0" w:space="0" w:color="auto"/>
      </w:divBdr>
    </w:div>
    <w:div w:id="2035419139">
      <w:bodyDiv w:val="1"/>
      <w:marLeft w:val="0"/>
      <w:marRight w:val="0"/>
      <w:marTop w:val="0"/>
      <w:marBottom w:val="0"/>
      <w:divBdr>
        <w:top w:val="none" w:sz="0" w:space="0" w:color="auto"/>
        <w:left w:val="none" w:sz="0" w:space="0" w:color="auto"/>
        <w:bottom w:val="none" w:sz="0" w:space="0" w:color="auto"/>
        <w:right w:val="none" w:sz="0" w:space="0" w:color="auto"/>
      </w:divBdr>
    </w:div>
    <w:div w:id="2035616813">
      <w:bodyDiv w:val="1"/>
      <w:marLeft w:val="0"/>
      <w:marRight w:val="0"/>
      <w:marTop w:val="0"/>
      <w:marBottom w:val="0"/>
      <w:divBdr>
        <w:top w:val="none" w:sz="0" w:space="0" w:color="auto"/>
        <w:left w:val="none" w:sz="0" w:space="0" w:color="auto"/>
        <w:bottom w:val="none" w:sz="0" w:space="0" w:color="auto"/>
        <w:right w:val="none" w:sz="0" w:space="0" w:color="auto"/>
      </w:divBdr>
    </w:div>
    <w:div w:id="2035761960">
      <w:bodyDiv w:val="1"/>
      <w:marLeft w:val="0"/>
      <w:marRight w:val="0"/>
      <w:marTop w:val="0"/>
      <w:marBottom w:val="0"/>
      <w:divBdr>
        <w:top w:val="none" w:sz="0" w:space="0" w:color="auto"/>
        <w:left w:val="none" w:sz="0" w:space="0" w:color="auto"/>
        <w:bottom w:val="none" w:sz="0" w:space="0" w:color="auto"/>
        <w:right w:val="none" w:sz="0" w:space="0" w:color="auto"/>
      </w:divBdr>
    </w:div>
    <w:div w:id="2035836188">
      <w:bodyDiv w:val="1"/>
      <w:marLeft w:val="0"/>
      <w:marRight w:val="0"/>
      <w:marTop w:val="0"/>
      <w:marBottom w:val="0"/>
      <w:divBdr>
        <w:top w:val="none" w:sz="0" w:space="0" w:color="auto"/>
        <w:left w:val="none" w:sz="0" w:space="0" w:color="auto"/>
        <w:bottom w:val="none" w:sz="0" w:space="0" w:color="auto"/>
        <w:right w:val="none" w:sz="0" w:space="0" w:color="auto"/>
      </w:divBdr>
    </w:div>
    <w:div w:id="2036618986">
      <w:bodyDiv w:val="1"/>
      <w:marLeft w:val="0"/>
      <w:marRight w:val="0"/>
      <w:marTop w:val="0"/>
      <w:marBottom w:val="0"/>
      <w:divBdr>
        <w:top w:val="none" w:sz="0" w:space="0" w:color="auto"/>
        <w:left w:val="none" w:sz="0" w:space="0" w:color="auto"/>
        <w:bottom w:val="none" w:sz="0" w:space="0" w:color="auto"/>
        <w:right w:val="none" w:sz="0" w:space="0" w:color="auto"/>
      </w:divBdr>
    </w:div>
    <w:div w:id="2037194761">
      <w:bodyDiv w:val="1"/>
      <w:marLeft w:val="0"/>
      <w:marRight w:val="0"/>
      <w:marTop w:val="0"/>
      <w:marBottom w:val="0"/>
      <w:divBdr>
        <w:top w:val="none" w:sz="0" w:space="0" w:color="auto"/>
        <w:left w:val="none" w:sz="0" w:space="0" w:color="auto"/>
        <w:bottom w:val="none" w:sz="0" w:space="0" w:color="auto"/>
        <w:right w:val="none" w:sz="0" w:space="0" w:color="auto"/>
      </w:divBdr>
    </w:div>
    <w:div w:id="2037927596">
      <w:bodyDiv w:val="1"/>
      <w:marLeft w:val="0"/>
      <w:marRight w:val="0"/>
      <w:marTop w:val="0"/>
      <w:marBottom w:val="0"/>
      <w:divBdr>
        <w:top w:val="none" w:sz="0" w:space="0" w:color="auto"/>
        <w:left w:val="none" w:sz="0" w:space="0" w:color="auto"/>
        <w:bottom w:val="none" w:sz="0" w:space="0" w:color="auto"/>
        <w:right w:val="none" w:sz="0" w:space="0" w:color="auto"/>
      </w:divBdr>
    </w:div>
    <w:div w:id="2038264035">
      <w:bodyDiv w:val="1"/>
      <w:marLeft w:val="0"/>
      <w:marRight w:val="0"/>
      <w:marTop w:val="0"/>
      <w:marBottom w:val="0"/>
      <w:divBdr>
        <w:top w:val="none" w:sz="0" w:space="0" w:color="auto"/>
        <w:left w:val="none" w:sz="0" w:space="0" w:color="auto"/>
        <w:bottom w:val="none" w:sz="0" w:space="0" w:color="auto"/>
        <w:right w:val="none" w:sz="0" w:space="0" w:color="auto"/>
      </w:divBdr>
    </w:div>
    <w:div w:id="2038577876">
      <w:bodyDiv w:val="1"/>
      <w:marLeft w:val="0"/>
      <w:marRight w:val="0"/>
      <w:marTop w:val="0"/>
      <w:marBottom w:val="0"/>
      <w:divBdr>
        <w:top w:val="none" w:sz="0" w:space="0" w:color="auto"/>
        <w:left w:val="none" w:sz="0" w:space="0" w:color="auto"/>
        <w:bottom w:val="none" w:sz="0" w:space="0" w:color="auto"/>
        <w:right w:val="none" w:sz="0" w:space="0" w:color="auto"/>
      </w:divBdr>
    </w:div>
    <w:div w:id="2039620633">
      <w:bodyDiv w:val="1"/>
      <w:marLeft w:val="0"/>
      <w:marRight w:val="0"/>
      <w:marTop w:val="0"/>
      <w:marBottom w:val="0"/>
      <w:divBdr>
        <w:top w:val="none" w:sz="0" w:space="0" w:color="auto"/>
        <w:left w:val="none" w:sz="0" w:space="0" w:color="auto"/>
        <w:bottom w:val="none" w:sz="0" w:space="0" w:color="auto"/>
        <w:right w:val="none" w:sz="0" w:space="0" w:color="auto"/>
      </w:divBdr>
    </w:div>
    <w:div w:id="2039887334">
      <w:bodyDiv w:val="1"/>
      <w:marLeft w:val="0"/>
      <w:marRight w:val="0"/>
      <w:marTop w:val="0"/>
      <w:marBottom w:val="0"/>
      <w:divBdr>
        <w:top w:val="none" w:sz="0" w:space="0" w:color="auto"/>
        <w:left w:val="none" w:sz="0" w:space="0" w:color="auto"/>
        <w:bottom w:val="none" w:sz="0" w:space="0" w:color="auto"/>
        <w:right w:val="none" w:sz="0" w:space="0" w:color="auto"/>
      </w:divBdr>
    </w:div>
    <w:div w:id="2042394709">
      <w:bodyDiv w:val="1"/>
      <w:marLeft w:val="0"/>
      <w:marRight w:val="0"/>
      <w:marTop w:val="0"/>
      <w:marBottom w:val="0"/>
      <w:divBdr>
        <w:top w:val="none" w:sz="0" w:space="0" w:color="auto"/>
        <w:left w:val="none" w:sz="0" w:space="0" w:color="auto"/>
        <w:bottom w:val="none" w:sz="0" w:space="0" w:color="auto"/>
        <w:right w:val="none" w:sz="0" w:space="0" w:color="auto"/>
      </w:divBdr>
    </w:div>
    <w:div w:id="2042970484">
      <w:bodyDiv w:val="1"/>
      <w:marLeft w:val="0"/>
      <w:marRight w:val="0"/>
      <w:marTop w:val="0"/>
      <w:marBottom w:val="0"/>
      <w:divBdr>
        <w:top w:val="none" w:sz="0" w:space="0" w:color="auto"/>
        <w:left w:val="none" w:sz="0" w:space="0" w:color="auto"/>
        <w:bottom w:val="none" w:sz="0" w:space="0" w:color="auto"/>
        <w:right w:val="none" w:sz="0" w:space="0" w:color="auto"/>
      </w:divBdr>
    </w:div>
    <w:div w:id="2043630342">
      <w:bodyDiv w:val="1"/>
      <w:marLeft w:val="0"/>
      <w:marRight w:val="0"/>
      <w:marTop w:val="0"/>
      <w:marBottom w:val="0"/>
      <w:divBdr>
        <w:top w:val="none" w:sz="0" w:space="0" w:color="auto"/>
        <w:left w:val="none" w:sz="0" w:space="0" w:color="auto"/>
        <w:bottom w:val="none" w:sz="0" w:space="0" w:color="auto"/>
        <w:right w:val="none" w:sz="0" w:space="0" w:color="auto"/>
      </w:divBdr>
    </w:div>
    <w:div w:id="2043674652">
      <w:bodyDiv w:val="1"/>
      <w:marLeft w:val="0"/>
      <w:marRight w:val="0"/>
      <w:marTop w:val="0"/>
      <w:marBottom w:val="0"/>
      <w:divBdr>
        <w:top w:val="none" w:sz="0" w:space="0" w:color="auto"/>
        <w:left w:val="none" w:sz="0" w:space="0" w:color="auto"/>
        <w:bottom w:val="none" w:sz="0" w:space="0" w:color="auto"/>
        <w:right w:val="none" w:sz="0" w:space="0" w:color="auto"/>
      </w:divBdr>
    </w:div>
    <w:div w:id="2043823153">
      <w:bodyDiv w:val="1"/>
      <w:marLeft w:val="0"/>
      <w:marRight w:val="0"/>
      <w:marTop w:val="0"/>
      <w:marBottom w:val="0"/>
      <w:divBdr>
        <w:top w:val="none" w:sz="0" w:space="0" w:color="auto"/>
        <w:left w:val="none" w:sz="0" w:space="0" w:color="auto"/>
        <w:bottom w:val="none" w:sz="0" w:space="0" w:color="auto"/>
        <w:right w:val="none" w:sz="0" w:space="0" w:color="auto"/>
      </w:divBdr>
    </w:div>
    <w:div w:id="2045207568">
      <w:bodyDiv w:val="1"/>
      <w:marLeft w:val="0"/>
      <w:marRight w:val="0"/>
      <w:marTop w:val="0"/>
      <w:marBottom w:val="0"/>
      <w:divBdr>
        <w:top w:val="none" w:sz="0" w:space="0" w:color="auto"/>
        <w:left w:val="none" w:sz="0" w:space="0" w:color="auto"/>
        <w:bottom w:val="none" w:sz="0" w:space="0" w:color="auto"/>
        <w:right w:val="none" w:sz="0" w:space="0" w:color="auto"/>
      </w:divBdr>
    </w:div>
    <w:div w:id="2045710048">
      <w:bodyDiv w:val="1"/>
      <w:marLeft w:val="0"/>
      <w:marRight w:val="0"/>
      <w:marTop w:val="0"/>
      <w:marBottom w:val="0"/>
      <w:divBdr>
        <w:top w:val="none" w:sz="0" w:space="0" w:color="auto"/>
        <w:left w:val="none" w:sz="0" w:space="0" w:color="auto"/>
        <w:bottom w:val="none" w:sz="0" w:space="0" w:color="auto"/>
        <w:right w:val="none" w:sz="0" w:space="0" w:color="auto"/>
      </w:divBdr>
    </w:div>
    <w:div w:id="2045858746">
      <w:bodyDiv w:val="1"/>
      <w:marLeft w:val="0"/>
      <w:marRight w:val="0"/>
      <w:marTop w:val="0"/>
      <w:marBottom w:val="0"/>
      <w:divBdr>
        <w:top w:val="none" w:sz="0" w:space="0" w:color="auto"/>
        <w:left w:val="none" w:sz="0" w:space="0" w:color="auto"/>
        <w:bottom w:val="none" w:sz="0" w:space="0" w:color="auto"/>
        <w:right w:val="none" w:sz="0" w:space="0" w:color="auto"/>
      </w:divBdr>
    </w:div>
    <w:div w:id="2046368448">
      <w:bodyDiv w:val="1"/>
      <w:marLeft w:val="0"/>
      <w:marRight w:val="0"/>
      <w:marTop w:val="0"/>
      <w:marBottom w:val="0"/>
      <w:divBdr>
        <w:top w:val="none" w:sz="0" w:space="0" w:color="auto"/>
        <w:left w:val="none" w:sz="0" w:space="0" w:color="auto"/>
        <w:bottom w:val="none" w:sz="0" w:space="0" w:color="auto"/>
        <w:right w:val="none" w:sz="0" w:space="0" w:color="auto"/>
      </w:divBdr>
    </w:div>
    <w:div w:id="2046786636">
      <w:bodyDiv w:val="1"/>
      <w:marLeft w:val="0"/>
      <w:marRight w:val="0"/>
      <w:marTop w:val="0"/>
      <w:marBottom w:val="0"/>
      <w:divBdr>
        <w:top w:val="none" w:sz="0" w:space="0" w:color="auto"/>
        <w:left w:val="none" w:sz="0" w:space="0" w:color="auto"/>
        <w:bottom w:val="none" w:sz="0" w:space="0" w:color="auto"/>
        <w:right w:val="none" w:sz="0" w:space="0" w:color="auto"/>
      </w:divBdr>
    </w:div>
    <w:div w:id="2047220759">
      <w:bodyDiv w:val="1"/>
      <w:marLeft w:val="0"/>
      <w:marRight w:val="0"/>
      <w:marTop w:val="0"/>
      <w:marBottom w:val="0"/>
      <w:divBdr>
        <w:top w:val="none" w:sz="0" w:space="0" w:color="auto"/>
        <w:left w:val="none" w:sz="0" w:space="0" w:color="auto"/>
        <w:bottom w:val="none" w:sz="0" w:space="0" w:color="auto"/>
        <w:right w:val="none" w:sz="0" w:space="0" w:color="auto"/>
      </w:divBdr>
    </w:div>
    <w:div w:id="2048412239">
      <w:bodyDiv w:val="1"/>
      <w:marLeft w:val="0"/>
      <w:marRight w:val="0"/>
      <w:marTop w:val="0"/>
      <w:marBottom w:val="0"/>
      <w:divBdr>
        <w:top w:val="none" w:sz="0" w:space="0" w:color="auto"/>
        <w:left w:val="none" w:sz="0" w:space="0" w:color="auto"/>
        <w:bottom w:val="none" w:sz="0" w:space="0" w:color="auto"/>
        <w:right w:val="none" w:sz="0" w:space="0" w:color="auto"/>
      </w:divBdr>
    </w:div>
    <w:div w:id="2048600901">
      <w:bodyDiv w:val="1"/>
      <w:marLeft w:val="0"/>
      <w:marRight w:val="0"/>
      <w:marTop w:val="0"/>
      <w:marBottom w:val="0"/>
      <w:divBdr>
        <w:top w:val="none" w:sz="0" w:space="0" w:color="auto"/>
        <w:left w:val="none" w:sz="0" w:space="0" w:color="auto"/>
        <w:bottom w:val="none" w:sz="0" w:space="0" w:color="auto"/>
        <w:right w:val="none" w:sz="0" w:space="0" w:color="auto"/>
      </w:divBdr>
    </w:div>
    <w:div w:id="2049329819">
      <w:bodyDiv w:val="1"/>
      <w:marLeft w:val="0"/>
      <w:marRight w:val="0"/>
      <w:marTop w:val="0"/>
      <w:marBottom w:val="0"/>
      <w:divBdr>
        <w:top w:val="none" w:sz="0" w:space="0" w:color="auto"/>
        <w:left w:val="none" w:sz="0" w:space="0" w:color="auto"/>
        <w:bottom w:val="none" w:sz="0" w:space="0" w:color="auto"/>
        <w:right w:val="none" w:sz="0" w:space="0" w:color="auto"/>
      </w:divBdr>
    </w:div>
    <w:div w:id="2049984889">
      <w:bodyDiv w:val="1"/>
      <w:marLeft w:val="0"/>
      <w:marRight w:val="0"/>
      <w:marTop w:val="0"/>
      <w:marBottom w:val="0"/>
      <w:divBdr>
        <w:top w:val="none" w:sz="0" w:space="0" w:color="auto"/>
        <w:left w:val="none" w:sz="0" w:space="0" w:color="auto"/>
        <w:bottom w:val="none" w:sz="0" w:space="0" w:color="auto"/>
        <w:right w:val="none" w:sz="0" w:space="0" w:color="auto"/>
      </w:divBdr>
    </w:div>
    <w:div w:id="2051146903">
      <w:bodyDiv w:val="1"/>
      <w:marLeft w:val="0"/>
      <w:marRight w:val="0"/>
      <w:marTop w:val="0"/>
      <w:marBottom w:val="0"/>
      <w:divBdr>
        <w:top w:val="none" w:sz="0" w:space="0" w:color="auto"/>
        <w:left w:val="none" w:sz="0" w:space="0" w:color="auto"/>
        <w:bottom w:val="none" w:sz="0" w:space="0" w:color="auto"/>
        <w:right w:val="none" w:sz="0" w:space="0" w:color="auto"/>
      </w:divBdr>
    </w:div>
    <w:div w:id="2052151901">
      <w:bodyDiv w:val="1"/>
      <w:marLeft w:val="0"/>
      <w:marRight w:val="0"/>
      <w:marTop w:val="0"/>
      <w:marBottom w:val="0"/>
      <w:divBdr>
        <w:top w:val="none" w:sz="0" w:space="0" w:color="auto"/>
        <w:left w:val="none" w:sz="0" w:space="0" w:color="auto"/>
        <w:bottom w:val="none" w:sz="0" w:space="0" w:color="auto"/>
        <w:right w:val="none" w:sz="0" w:space="0" w:color="auto"/>
      </w:divBdr>
    </w:div>
    <w:div w:id="2052880348">
      <w:bodyDiv w:val="1"/>
      <w:marLeft w:val="0"/>
      <w:marRight w:val="0"/>
      <w:marTop w:val="0"/>
      <w:marBottom w:val="0"/>
      <w:divBdr>
        <w:top w:val="none" w:sz="0" w:space="0" w:color="auto"/>
        <w:left w:val="none" w:sz="0" w:space="0" w:color="auto"/>
        <w:bottom w:val="none" w:sz="0" w:space="0" w:color="auto"/>
        <w:right w:val="none" w:sz="0" w:space="0" w:color="auto"/>
      </w:divBdr>
    </w:div>
    <w:div w:id="2053384493">
      <w:bodyDiv w:val="1"/>
      <w:marLeft w:val="0"/>
      <w:marRight w:val="0"/>
      <w:marTop w:val="0"/>
      <w:marBottom w:val="0"/>
      <w:divBdr>
        <w:top w:val="none" w:sz="0" w:space="0" w:color="auto"/>
        <w:left w:val="none" w:sz="0" w:space="0" w:color="auto"/>
        <w:bottom w:val="none" w:sz="0" w:space="0" w:color="auto"/>
        <w:right w:val="none" w:sz="0" w:space="0" w:color="auto"/>
      </w:divBdr>
    </w:div>
    <w:div w:id="2053767779">
      <w:bodyDiv w:val="1"/>
      <w:marLeft w:val="0"/>
      <w:marRight w:val="0"/>
      <w:marTop w:val="0"/>
      <w:marBottom w:val="0"/>
      <w:divBdr>
        <w:top w:val="none" w:sz="0" w:space="0" w:color="auto"/>
        <w:left w:val="none" w:sz="0" w:space="0" w:color="auto"/>
        <w:bottom w:val="none" w:sz="0" w:space="0" w:color="auto"/>
        <w:right w:val="none" w:sz="0" w:space="0" w:color="auto"/>
      </w:divBdr>
    </w:div>
    <w:div w:id="2054228243">
      <w:bodyDiv w:val="1"/>
      <w:marLeft w:val="0"/>
      <w:marRight w:val="0"/>
      <w:marTop w:val="0"/>
      <w:marBottom w:val="0"/>
      <w:divBdr>
        <w:top w:val="none" w:sz="0" w:space="0" w:color="auto"/>
        <w:left w:val="none" w:sz="0" w:space="0" w:color="auto"/>
        <w:bottom w:val="none" w:sz="0" w:space="0" w:color="auto"/>
        <w:right w:val="none" w:sz="0" w:space="0" w:color="auto"/>
      </w:divBdr>
    </w:div>
    <w:div w:id="2054847642">
      <w:bodyDiv w:val="1"/>
      <w:marLeft w:val="0"/>
      <w:marRight w:val="0"/>
      <w:marTop w:val="0"/>
      <w:marBottom w:val="0"/>
      <w:divBdr>
        <w:top w:val="none" w:sz="0" w:space="0" w:color="auto"/>
        <w:left w:val="none" w:sz="0" w:space="0" w:color="auto"/>
        <w:bottom w:val="none" w:sz="0" w:space="0" w:color="auto"/>
        <w:right w:val="none" w:sz="0" w:space="0" w:color="auto"/>
      </w:divBdr>
    </w:div>
    <w:div w:id="2056003701">
      <w:bodyDiv w:val="1"/>
      <w:marLeft w:val="0"/>
      <w:marRight w:val="0"/>
      <w:marTop w:val="0"/>
      <w:marBottom w:val="0"/>
      <w:divBdr>
        <w:top w:val="none" w:sz="0" w:space="0" w:color="auto"/>
        <w:left w:val="none" w:sz="0" w:space="0" w:color="auto"/>
        <w:bottom w:val="none" w:sz="0" w:space="0" w:color="auto"/>
        <w:right w:val="none" w:sz="0" w:space="0" w:color="auto"/>
      </w:divBdr>
    </w:div>
    <w:div w:id="2056467610">
      <w:bodyDiv w:val="1"/>
      <w:marLeft w:val="0"/>
      <w:marRight w:val="0"/>
      <w:marTop w:val="0"/>
      <w:marBottom w:val="0"/>
      <w:divBdr>
        <w:top w:val="none" w:sz="0" w:space="0" w:color="auto"/>
        <w:left w:val="none" w:sz="0" w:space="0" w:color="auto"/>
        <w:bottom w:val="none" w:sz="0" w:space="0" w:color="auto"/>
        <w:right w:val="none" w:sz="0" w:space="0" w:color="auto"/>
      </w:divBdr>
    </w:div>
    <w:div w:id="2056537688">
      <w:bodyDiv w:val="1"/>
      <w:marLeft w:val="0"/>
      <w:marRight w:val="0"/>
      <w:marTop w:val="0"/>
      <w:marBottom w:val="0"/>
      <w:divBdr>
        <w:top w:val="none" w:sz="0" w:space="0" w:color="auto"/>
        <w:left w:val="none" w:sz="0" w:space="0" w:color="auto"/>
        <w:bottom w:val="none" w:sz="0" w:space="0" w:color="auto"/>
        <w:right w:val="none" w:sz="0" w:space="0" w:color="auto"/>
      </w:divBdr>
    </w:div>
    <w:div w:id="2056613517">
      <w:bodyDiv w:val="1"/>
      <w:marLeft w:val="0"/>
      <w:marRight w:val="0"/>
      <w:marTop w:val="0"/>
      <w:marBottom w:val="0"/>
      <w:divBdr>
        <w:top w:val="none" w:sz="0" w:space="0" w:color="auto"/>
        <w:left w:val="none" w:sz="0" w:space="0" w:color="auto"/>
        <w:bottom w:val="none" w:sz="0" w:space="0" w:color="auto"/>
        <w:right w:val="none" w:sz="0" w:space="0" w:color="auto"/>
      </w:divBdr>
    </w:div>
    <w:div w:id="2056848605">
      <w:bodyDiv w:val="1"/>
      <w:marLeft w:val="0"/>
      <w:marRight w:val="0"/>
      <w:marTop w:val="0"/>
      <w:marBottom w:val="0"/>
      <w:divBdr>
        <w:top w:val="none" w:sz="0" w:space="0" w:color="auto"/>
        <w:left w:val="none" w:sz="0" w:space="0" w:color="auto"/>
        <w:bottom w:val="none" w:sz="0" w:space="0" w:color="auto"/>
        <w:right w:val="none" w:sz="0" w:space="0" w:color="auto"/>
      </w:divBdr>
    </w:div>
    <w:div w:id="2057192943">
      <w:bodyDiv w:val="1"/>
      <w:marLeft w:val="0"/>
      <w:marRight w:val="0"/>
      <w:marTop w:val="0"/>
      <w:marBottom w:val="0"/>
      <w:divBdr>
        <w:top w:val="none" w:sz="0" w:space="0" w:color="auto"/>
        <w:left w:val="none" w:sz="0" w:space="0" w:color="auto"/>
        <w:bottom w:val="none" w:sz="0" w:space="0" w:color="auto"/>
        <w:right w:val="none" w:sz="0" w:space="0" w:color="auto"/>
      </w:divBdr>
    </w:div>
    <w:div w:id="2057461596">
      <w:bodyDiv w:val="1"/>
      <w:marLeft w:val="0"/>
      <w:marRight w:val="0"/>
      <w:marTop w:val="0"/>
      <w:marBottom w:val="0"/>
      <w:divBdr>
        <w:top w:val="none" w:sz="0" w:space="0" w:color="auto"/>
        <w:left w:val="none" w:sz="0" w:space="0" w:color="auto"/>
        <w:bottom w:val="none" w:sz="0" w:space="0" w:color="auto"/>
        <w:right w:val="none" w:sz="0" w:space="0" w:color="auto"/>
      </w:divBdr>
    </w:div>
    <w:div w:id="2057583597">
      <w:bodyDiv w:val="1"/>
      <w:marLeft w:val="0"/>
      <w:marRight w:val="0"/>
      <w:marTop w:val="0"/>
      <w:marBottom w:val="0"/>
      <w:divBdr>
        <w:top w:val="none" w:sz="0" w:space="0" w:color="auto"/>
        <w:left w:val="none" w:sz="0" w:space="0" w:color="auto"/>
        <w:bottom w:val="none" w:sz="0" w:space="0" w:color="auto"/>
        <w:right w:val="none" w:sz="0" w:space="0" w:color="auto"/>
      </w:divBdr>
    </w:div>
    <w:div w:id="2057777214">
      <w:bodyDiv w:val="1"/>
      <w:marLeft w:val="0"/>
      <w:marRight w:val="0"/>
      <w:marTop w:val="0"/>
      <w:marBottom w:val="0"/>
      <w:divBdr>
        <w:top w:val="none" w:sz="0" w:space="0" w:color="auto"/>
        <w:left w:val="none" w:sz="0" w:space="0" w:color="auto"/>
        <w:bottom w:val="none" w:sz="0" w:space="0" w:color="auto"/>
        <w:right w:val="none" w:sz="0" w:space="0" w:color="auto"/>
      </w:divBdr>
    </w:div>
    <w:div w:id="2058889055">
      <w:bodyDiv w:val="1"/>
      <w:marLeft w:val="0"/>
      <w:marRight w:val="0"/>
      <w:marTop w:val="0"/>
      <w:marBottom w:val="0"/>
      <w:divBdr>
        <w:top w:val="none" w:sz="0" w:space="0" w:color="auto"/>
        <w:left w:val="none" w:sz="0" w:space="0" w:color="auto"/>
        <w:bottom w:val="none" w:sz="0" w:space="0" w:color="auto"/>
        <w:right w:val="none" w:sz="0" w:space="0" w:color="auto"/>
      </w:divBdr>
    </w:div>
    <w:div w:id="2059090147">
      <w:bodyDiv w:val="1"/>
      <w:marLeft w:val="0"/>
      <w:marRight w:val="0"/>
      <w:marTop w:val="0"/>
      <w:marBottom w:val="0"/>
      <w:divBdr>
        <w:top w:val="none" w:sz="0" w:space="0" w:color="auto"/>
        <w:left w:val="none" w:sz="0" w:space="0" w:color="auto"/>
        <w:bottom w:val="none" w:sz="0" w:space="0" w:color="auto"/>
        <w:right w:val="none" w:sz="0" w:space="0" w:color="auto"/>
      </w:divBdr>
    </w:div>
    <w:div w:id="2059234673">
      <w:bodyDiv w:val="1"/>
      <w:marLeft w:val="0"/>
      <w:marRight w:val="0"/>
      <w:marTop w:val="0"/>
      <w:marBottom w:val="0"/>
      <w:divBdr>
        <w:top w:val="none" w:sz="0" w:space="0" w:color="auto"/>
        <w:left w:val="none" w:sz="0" w:space="0" w:color="auto"/>
        <w:bottom w:val="none" w:sz="0" w:space="0" w:color="auto"/>
        <w:right w:val="none" w:sz="0" w:space="0" w:color="auto"/>
      </w:divBdr>
    </w:div>
    <w:div w:id="2059552722">
      <w:bodyDiv w:val="1"/>
      <w:marLeft w:val="0"/>
      <w:marRight w:val="0"/>
      <w:marTop w:val="0"/>
      <w:marBottom w:val="0"/>
      <w:divBdr>
        <w:top w:val="none" w:sz="0" w:space="0" w:color="auto"/>
        <w:left w:val="none" w:sz="0" w:space="0" w:color="auto"/>
        <w:bottom w:val="none" w:sz="0" w:space="0" w:color="auto"/>
        <w:right w:val="none" w:sz="0" w:space="0" w:color="auto"/>
      </w:divBdr>
    </w:div>
    <w:div w:id="2061051230">
      <w:bodyDiv w:val="1"/>
      <w:marLeft w:val="0"/>
      <w:marRight w:val="0"/>
      <w:marTop w:val="0"/>
      <w:marBottom w:val="0"/>
      <w:divBdr>
        <w:top w:val="none" w:sz="0" w:space="0" w:color="auto"/>
        <w:left w:val="none" w:sz="0" w:space="0" w:color="auto"/>
        <w:bottom w:val="none" w:sz="0" w:space="0" w:color="auto"/>
        <w:right w:val="none" w:sz="0" w:space="0" w:color="auto"/>
      </w:divBdr>
    </w:div>
    <w:div w:id="2061053882">
      <w:bodyDiv w:val="1"/>
      <w:marLeft w:val="0"/>
      <w:marRight w:val="0"/>
      <w:marTop w:val="0"/>
      <w:marBottom w:val="0"/>
      <w:divBdr>
        <w:top w:val="none" w:sz="0" w:space="0" w:color="auto"/>
        <w:left w:val="none" w:sz="0" w:space="0" w:color="auto"/>
        <w:bottom w:val="none" w:sz="0" w:space="0" w:color="auto"/>
        <w:right w:val="none" w:sz="0" w:space="0" w:color="auto"/>
      </w:divBdr>
    </w:div>
    <w:div w:id="2061129675">
      <w:bodyDiv w:val="1"/>
      <w:marLeft w:val="0"/>
      <w:marRight w:val="0"/>
      <w:marTop w:val="0"/>
      <w:marBottom w:val="0"/>
      <w:divBdr>
        <w:top w:val="none" w:sz="0" w:space="0" w:color="auto"/>
        <w:left w:val="none" w:sz="0" w:space="0" w:color="auto"/>
        <w:bottom w:val="none" w:sz="0" w:space="0" w:color="auto"/>
        <w:right w:val="none" w:sz="0" w:space="0" w:color="auto"/>
      </w:divBdr>
    </w:div>
    <w:div w:id="2061202342">
      <w:bodyDiv w:val="1"/>
      <w:marLeft w:val="0"/>
      <w:marRight w:val="0"/>
      <w:marTop w:val="0"/>
      <w:marBottom w:val="0"/>
      <w:divBdr>
        <w:top w:val="none" w:sz="0" w:space="0" w:color="auto"/>
        <w:left w:val="none" w:sz="0" w:space="0" w:color="auto"/>
        <w:bottom w:val="none" w:sz="0" w:space="0" w:color="auto"/>
        <w:right w:val="none" w:sz="0" w:space="0" w:color="auto"/>
      </w:divBdr>
      <w:divsChild>
        <w:div w:id="1477339006">
          <w:marLeft w:val="0"/>
          <w:marRight w:val="0"/>
          <w:marTop w:val="0"/>
          <w:marBottom w:val="0"/>
          <w:divBdr>
            <w:top w:val="none" w:sz="0" w:space="0" w:color="auto"/>
            <w:left w:val="none" w:sz="0" w:space="0" w:color="auto"/>
            <w:bottom w:val="none" w:sz="0" w:space="0" w:color="auto"/>
            <w:right w:val="none" w:sz="0" w:space="0" w:color="auto"/>
          </w:divBdr>
        </w:div>
      </w:divsChild>
    </w:div>
    <w:div w:id="2062173971">
      <w:bodyDiv w:val="1"/>
      <w:marLeft w:val="0"/>
      <w:marRight w:val="0"/>
      <w:marTop w:val="0"/>
      <w:marBottom w:val="0"/>
      <w:divBdr>
        <w:top w:val="none" w:sz="0" w:space="0" w:color="auto"/>
        <w:left w:val="none" w:sz="0" w:space="0" w:color="auto"/>
        <w:bottom w:val="none" w:sz="0" w:space="0" w:color="auto"/>
        <w:right w:val="none" w:sz="0" w:space="0" w:color="auto"/>
      </w:divBdr>
    </w:div>
    <w:div w:id="2062709918">
      <w:bodyDiv w:val="1"/>
      <w:marLeft w:val="0"/>
      <w:marRight w:val="0"/>
      <w:marTop w:val="0"/>
      <w:marBottom w:val="0"/>
      <w:divBdr>
        <w:top w:val="none" w:sz="0" w:space="0" w:color="auto"/>
        <w:left w:val="none" w:sz="0" w:space="0" w:color="auto"/>
        <w:bottom w:val="none" w:sz="0" w:space="0" w:color="auto"/>
        <w:right w:val="none" w:sz="0" w:space="0" w:color="auto"/>
      </w:divBdr>
    </w:div>
    <w:div w:id="2063093060">
      <w:bodyDiv w:val="1"/>
      <w:marLeft w:val="0"/>
      <w:marRight w:val="0"/>
      <w:marTop w:val="0"/>
      <w:marBottom w:val="0"/>
      <w:divBdr>
        <w:top w:val="none" w:sz="0" w:space="0" w:color="auto"/>
        <w:left w:val="none" w:sz="0" w:space="0" w:color="auto"/>
        <w:bottom w:val="none" w:sz="0" w:space="0" w:color="auto"/>
        <w:right w:val="none" w:sz="0" w:space="0" w:color="auto"/>
      </w:divBdr>
    </w:div>
    <w:div w:id="2063166145">
      <w:bodyDiv w:val="1"/>
      <w:marLeft w:val="0"/>
      <w:marRight w:val="0"/>
      <w:marTop w:val="0"/>
      <w:marBottom w:val="0"/>
      <w:divBdr>
        <w:top w:val="none" w:sz="0" w:space="0" w:color="auto"/>
        <w:left w:val="none" w:sz="0" w:space="0" w:color="auto"/>
        <w:bottom w:val="none" w:sz="0" w:space="0" w:color="auto"/>
        <w:right w:val="none" w:sz="0" w:space="0" w:color="auto"/>
      </w:divBdr>
    </w:div>
    <w:div w:id="2063211174">
      <w:bodyDiv w:val="1"/>
      <w:marLeft w:val="0"/>
      <w:marRight w:val="0"/>
      <w:marTop w:val="0"/>
      <w:marBottom w:val="0"/>
      <w:divBdr>
        <w:top w:val="none" w:sz="0" w:space="0" w:color="auto"/>
        <w:left w:val="none" w:sz="0" w:space="0" w:color="auto"/>
        <w:bottom w:val="none" w:sz="0" w:space="0" w:color="auto"/>
        <w:right w:val="none" w:sz="0" w:space="0" w:color="auto"/>
      </w:divBdr>
    </w:div>
    <w:div w:id="2063748934">
      <w:bodyDiv w:val="1"/>
      <w:marLeft w:val="0"/>
      <w:marRight w:val="0"/>
      <w:marTop w:val="0"/>
      <w:marBottom w:val="0"/>
      <w:divBdr>
        <w:top w:val="none" w:sz="0" w:space="0" w:color="auto"/>
        <w:left w:val="none" w:sz="0" w:space="0" w:color="auto"/>
        <w:bottom w:val="none" w:sz="0" w:space="0" w:color="auto"/>
        <w:right w:val="none" w:sz="0" w:space="0" w:color="auto"/>
      </w:divBdr>
    </w:div>
    <w:div w:id="2064139716">
      <w:bodyDiv w:val="1"/>
      <w:marLeft w:val="0"/>
      <w:marRight w:val="0"/>
      <w:marTop w:val="0"/>
      <w:marBottom w:val="0"/>
      <w:divBdr>
        <w:top w:val="none" w:sz="0" w:space="0" w:color="auto"/>
        <w:left w:val="none" w:sz="0" w:space="0" w:color="auto"/>
        <w:bottom w:val="none" w:sz="0" w:space="0" w:color="auto"/>
        <w:right w:val="none" w:sz="0" w:space="0" w:color="auto"/>
      </w:divBdr>
    </w:div>
    <w:div w:id="2065831686">
      <w:bodyDiv w:val="1"/>
      <w:marLeft w:val="0"/>
      <w:marRight w:val="0"/>
      <w:marTop w:val="0"/>
      <w:marBottom w:val="0"/>
      <w:divBdr>
        <w:top w:val="none" w:sz="0" w:space="0" w:color="auto"/>
        <w:left w:val="none" w:sz="0" w:space="0" w:color="auto"/>
        <w:bottom w:val="none" w:sz="0" w:space="0" w:color="auto"/>
        <w:right w:val="none" w:sz="0" w:space="0" w:color="auto"/>
      </w:divBdr>
    </w:div>
    <w:div w:id="2066247515">
      <w:bodyDiv w:val="1"/>
      <w:marLeft w:val="0"/>
      <w:marRight w:val="0"/>
      <w:marTop w:val="0"/>
      <w:marBottom w:val="0"/>
      <w:divBdr>
        <w:top w:val="none" w:sz="0" w:space="0" w:color="auto"/>
        <w:left w:val="none" w:sz="0" w:space="0" w:color="auto"/>
        <w:bottom w:val="none" w:sz="0" w:space="0" w:color="auto"/>
        <w:right w:val="none" w:sz="0" w:space="0" w:color="auto"/>
      </w:divBdr>
    </w:div>
    <w:div w:id="2066876418">
      <w:bodyDiv w:val="1"/>
      <w:marLeft w:val="0"/>
      <w:marRight w:val="0"/>
      <w:marTop w:val="0"/>
      <w:marBottom w:val="0"/>
      <w:divBdr>
        <w:top w:val="none" w:sz="0" w:space="0" w:color="auto"/>
        <w:left w:val="none" w:sz="0" w:space="0" w:color="auto"/>
        <w:bottom w:val="none" w:sz="0" w:space="0" w:color="auto"/>
        <w:right w:val="none" w:sz="0" w:space="0" w:color="auto"/>
      </w:divBdr>
    </w:div>
    <w:div w:id="2067020918">
      <w:bodyDiv w:val="1"/>
      <w:marLeft w:val="0"/>
      <w:marRight w:val="0"/>
      <w:marTop w:val="0"/>
      <w:marBottom w:val="0"/>
      <w:divBdr>
        <w:top w:val="none" w:sz="0" w:space="0" w:color="auto"/>
        <w:left w:val="none" w:sz="0" w:space="0" w:color="auto"/>
        <w:bottom w:val="none" w:sz="0" w:space="0" w:color="auto"/>
        <w:right w:val="none" w:sz="0" w:space="0" w:color="auto"/>
      </w:divBdr>
    </w:div>
    <w:div w:id="2067296068">
      <w:bodyDiv w:val="1"/>
      <w:marLeft w:val="0"/>
      <w:marRight w:val="0"/>
      <w:marTop w:val="0"/>
      <w:marBottom w:val="0"/>
      <w:divBdr>
        <w:top w:val="none" w:sz="0" w:space="0" w:color="auto"/>
        <w:left w:val="none" w:sz="0" w:space="0" w:color="auto"/>
        <w:bottom w:val="none" w:sz="0" w:space="0" w:color="auto"/>
        <w:right w:val="none" w:sz="0" w:space="0" w:color="auto"/>
      </w:divBdr>
    </w:div>
    <w:div w:id="2067953841">
      <w:bodyDiv w:val="1"/>
      <w:marLeft w:val="0"/>
      <w:marRight w:val="0"/>
      <w:marTop w:val="0"/>
      <w:marBottom w:val="0"/>
      <w:divBdr>
        <w:top w:val="none" w:sz="0" w:space="0" w:color="auto"/>
        <w:left w:val="none" w:sz="0" w:space="0" w:color="auto"/>
        <w:bottom w:val="none" w:sz="0" w:space="0" w:color="auto"/>
        <w:right w:val="none" w:sz="0" w:space="0" w:color="auto"/>
      </w:divBdr>
    </w:div>
    <w:div w:id="2068409082">
      <w:bodyDiv w:val="1"/>
      <w:marLeft w:val="0"/>
      <w:marRight w:val="0"/>
      <w:marTop w:val="0"/>
      <w:marBottom w:val="0"/>
      <w:divBdr>
        <w:top w:val="none" w:sz="0" w:space="0" w:color="auto"/>
        <w:left w:val="none" w:sz="0" w:space="0" w:color="auto"/>
        <w:bottom w:val="none" w:sz="0" w:space="0" w:color="auto"/>
        <w:right w:val="none" w:sz="0" w:space="0" w:color="auto"/>
      </w:divBdr>
    </w:div>
    <w:div w:id="2068409792">
      <w:bodyDiv w:val="1"/>
      <w:marLeft w:val="0"/>
      <w:marRight w:val="0"/>
      <w:marTop w:val="0"/>
      <w:marBottom w:val="0"/>
      <w:divBdr>
        <w:top w:val="none" w:sz="0" w:space="0" w:color="auto"/>
        <w:left w:val="none" w:sz="0" w:space="0" w:color="auto"/>
        <w:bottom w:val="none" w:sz="0" w:space="0" w:color="auto"/>
        <w:right w:val="none" w:sz="0" w:space="0" w:color="auto"/>
      </w:divBdr>
    </w:div>
    <w:div w:id="2068449811">
      <w:bodyDiv w:val="1"/>
      <w:marLeft w:val="0"/>
      <w:marRight w:val="0"/>
      <w:marTop w:val="0"/>
      <w:marBottom w:val="0"/>
      <w:divBdr>
        <w:top w:val="none" w:sz="0" w:space="0" w:color="auto"/>
        <w:left w:val="none" w:sz="0" w:space="0" w:color="auto"/>
        <w:bottom w:val="none" w:sz="0" w:space="0" w:color="auto"/>
        <w:right w:val="none" w:sz="0" w:space="0" w:color="auto"/>
      </w:divBdr>
    </w:div>
    <w:div w:id="2068842360">
      <w:bodyDiv w:val="1"/>
      <w:marLeft w:val="0"/>
      <w:marRight w:val="0"/>
      <w:marTop w:val="0"/>
      <w:marBottom w:val="0"/>
      <w:divBdr>
        <w:top w:val="none" w:sz="0" w:space="0" w:color="auto"/>
        <w:left w:val="none" w:sz="0" w:space="0" w:color="auto"/>
        <w:bottom w:val="none" w:sz="0" w:space="0" w:color="auto"/>
        <w:right w:val="none" w:sz="0" w:space="0" w:color="auto"/>
      </w:divBdr>
    </w:div>
    <w:div w:id="2069500117">
      <w:bodyDiv w:val="1"/>
      <w:marLeft w:val="0"/>
      <w:marRight w:val="0"/>
      <w:marTop w:val="0"/>
      <w:marBottom w:val="0"/>
      <w:divBdr>
        <w:top w:val="none" w:sz="0" w:space="0" w:color="auto"/>
        <w:left w:val="none" w:sz="0" w:space="0" w:color="auto"/>
        <w:bottom w:val="none" w:sz="0" w:space="0" w:color="auto"/>
        <w:right w:val="none" w:sz="0" w:space="0" w:color="auto"/>
      </w:divBdr>
    </w:div>
    <w:div w:id="2069643223">
      <w:bodyDiv w:val="1"/>
      <w:marLeft w:val="0"/>
      <w:marRight w:val="0"/>
      <w:marTop w:val="0"/>
      <w:marBottom w:val="0"/>
      <w:divBdr>
        <w:top w:val="none" w:sz="0" w:space="0" w:color="auto"/>
        <w:left w:val="none" w:sz="0" w:space="0" w:color="auto"/>
        <w:bottom w:val="none" w:sz="0" w:space="0" w:color="auto"/>
        <w:right w:val="none" w:sz="0" w:space="0" w:color="auto"/>
      </w:divBdr>
    </w:div>
    <w:div w:id="2069646067">
      <w:bodyDiv w:val="1"/>
      <w:marLeft w:val="0"/>
      <w:marRight w:val="0"/>
      <w:marTop w:val="0"/>
      <w:marBottom w:val="0"/>
      <w:divBdr>
        <w:top w:val="none" w:sz="0" w:space="0" w:color="auto"/>
        <w:left w:val="none" w:sz="0" w:space="0" w:color="auto"/>
        <w:bottom w:val="none" w:sz="0" w:space="0" w:color="auto"/>
        <w:right w:val="none" w:sz="0" w:space="0" w:color="auto"/>
      </w:divBdr>
    </w:div>
    <w:div w:id="2069840516">
      <w:bodyDiv w:val="1"/>
      <w:marLeft w:val="0"/>
      <w:marRight w:val="0"/>
      <w:marTop w:val="0"/>
      <w:marBottom w:val="0"/>
      <w:divBdr>
        <w:top w:val="none" w:sz="0" w:space="0" w:color="auto"/>
        <w:left w:val="none" w:sz="0" w:space="0" w:color="auto"/>
        <w:bottom w:val="none" w:sz="0" w:space="0" w:color="auto"/>
        <w:right w:val="none" w:sz="0" w:space="0" w:color="auto"/>
      </w:divBdr>
    </w:div>
    <w:div w:id="2070152733">
      <w:bodyDiv w:val="1"/>
      <w:marLeft w:val="0"/>
      <w:marRight w:val="0"/>
      <w:marTop w:val="0"/>
      <w:marBottom w:val="0"/>
      <w:divBdr>
        <w:top w:val="none" w:sz="0" w:space="0" w:color="auto"/>
        <w:left w:val="none" w:sz="0" w:space="0" w:color="auto"/>
        <w:bottom w:val="none" w:sz="0" w:space="0" w:color="auto"/>
        <w:right w:val="none" w:sz="0" w:space="0" w:color="auto"/>
      </w:divBdr>
    </w:div>
    <w:div w:id="2070959331">
      <w:bodyDiv w:val="1"/>
      <w:marLeft w:val="0"/>
      <w:marRight w:val="0"/>
      <w:marTop w:val="0"/>
      <w:marBottom w:val="0"/>
      <w:divBdr>
        <w:top w:val="none" w:sz="0" w:space="0" w:color="auto"/>
        <w:left w:val="none" w:sz="0" w:space="0" w:color="auto"/>
        <w:bottom w:val="none" w:sz="0" w:space="0" w:color="auto"/>
        <w:right w:val="none" w:sz="0" w:space="0" w:color="auto"/>
      </w:divBdr>
    </w:div>
    <w:div w:id="2072076615">
      <w:bodyDiv w:val="1"/>
      <w:marLeft w:val="0"/>
      <w:marRight w:val="0"/>
      <w:marTop w:val="0"/>
      <w:marBottom w:val="0"/>
      <w:divBdr>
        <w:top w:val="none" w:sz="0" w:space="0" w:color="auto"/>
        <w:left w:val="none" w:sz="0" w:space="0" w:color="auto"/>
        <w:bottom w:val="none" w:sz="0" w:space="0" w:color="auto"/>
        <w:right w:val="none" w:sz="0" w:space="0" w:color="auto"/>
      </w:divBdr>
    </w:div>
    <w:div w:id="2072922059">
      <w:bodyDiv w:val="1"/>
      <w:marLeft w:val="0"/>
      <w:marRight w:val="0"/>
      <w:marTop w:val="0"/>
      <w:marBottom w:val="0"/>
      <w:divBdr>
        <w:top w:val="none" w:sz="0" w:space="0" w:color="auto"/>
        <w:left w:val="none" w:sz="0" w:space="0" w:color="auto"/>
        <w:bottom w:val="none" w:sz="0" w:space="0" w:color="auto"/>
        <w:right w:val="none" w:sz="0" w:space="0" w:color="auto"/>
      </w:divBdr>
    </w:div>
    <w:div w:id="2073457408">
      <w:bodyDiv w:val="1"/>
      <w:marLeft w:val="0"/>
      <w:marRight w:val="0"/>
      <w:marTop w:val="0"/>
      <w:marBottom w:val="0"/>
      <w:divBdr>
        <w:top w:val="none" w:sz="0" w:space="0" w:color="auto"/>
        <w:left w:val="none" w:sz="0" w:space="0" w:color="auto"/>
        <w:bottom w:val="none" w:sz="0" w:space="0" w:color="auto"/>
        <w:right w:val="none" w:sz="0" w:space="0" w:color="auto"/>
      </w:divBdr>
    </w:div>
    <w:div w:id="2075927579">
      <w:bodyDiv w:val="1"/>
      <w:marLeft w:val="0"/>
      <w:marRight w:val="0"/>
      <w:marTop w:val="0"/>
      <w:marBottom w:val="0"/>
      <w:divBdr>
        <w:top w:val="none" w:sz="0" w:space="0" w:color="auto"/>
        <w:left w:val="none" w:sz="0" w:space="0" w:color="auto"/>
        <w:bottom w:val="none" w:sz="0" w:space="0" w:color="auto"/>
        <w:right w:val="none" w:sz="0" w:space="0" w:color="auto"/>
      </w:divBdr>
    </w:div>
    <w:div w:id="2077127692">
      <w:bodyDiv w:val="1"/>
      <w:marLeft w:val="0"/>
      <w:marRight w:val="0"/>
      <w:marTop w:val="0"/>
      <w:marBottom w:val="0"/>
      <w:divBdr>
        <w:top w:val="none" w:sz="0" w:space="0" w:color="auto"/>
        <w:left w:val="none" w:sz="0" w:space="0" w:color="auto"/>
        <w:bottom w:val="none" w:sz="0" w:space="0" w:color="auto"/>
        <w:right w:val="none" w:sz="0" w:space="0" w:color="auto"/>
      </w:divBdr>
    </w:div>
    <w:div w:id="2077431746">
      <w:bodyDiv w:val="1"/>
      <w:marLeft w:val="0"/>
      <w:marRight w:val="0"/>
      <w:marTop w:val="0"/>
      <w:marBottom w:val="0"/>
      <w:divBdr>
        <w:top w:val="none" w:sz="0" w:space="0" w:color="auto"/>
        <w:left w:val="none" w:sz="0" w:space="0" w:color="auto"/>
        <w:bottom w:val="none" w:sz="0" w:space="0" w:color="auto"/>
        <w:right w:val="none" w:sz="0" w:space="0" w:color="auto"/>
      </w:divBdr>
    </w:div>
    <w:div w:id="2077967637">
      <w:bodyDiv w:val="1"/>
      <w:marLeft w:val="0"/>
      <w:marRight w:val="0"/>
      <w:marTop w:val="0"/>
      <w:marBottom w:val="0"/>
      <w:divBdr>
        <w:top w:val="none" w:sz="0" w:space="0" w:color="auto"/>
        <w:left w:val="none" w:sz="0" w:space="0" w:color="auto"/>
        <w:bottom w:val="none" w:sz="0" w:space="0" w:color="auto"/>
        <w:right w:val="none" w:sz="0" w:space="0" w:color="auto"/>
      </w:divBdr>
    </w:div>
    <w:div w:id="2078475002">
      <w:bodyDiv w:val="1"/>
      <w:marLeft w:val="0"/>
      <w:marRight w:val="0"/>
      <w:marTop w:val="0"/>
      <w:marBottom w:val="0"/>
      <w:divBdr>
        <w:top w:val="none" w:sz="0" w:space="0" w:color="auto"/>
        <w:left w:val="none" w:sz="0" w:space="0" w:color="auto"/>
        <w:bottom w:val="none" w:sz="0" w:space="0" w:color="auto"/>
        <w:right w:val="none" w:sz="0" w:space="0" w:color="auto"/>
      </w:divBdr>
    </w:div>
    <w:div w:id="2079135957">
      <w:bodyDiv w:val="1"/>
      <w:marLeft w:val="0"/>
      <w:marRight w:val="0"/>
      <w:marTop w:val="0"/>
      <w:marBottom w:val="0"/>
      <w:divBdr>
        <w:top w:val="none" w:sz="0" w:space="0" w:color="auto"/>
        <w:left w:val="none" w:sz="0" w:space="0" w:color="auto"/>
        <w:bottom w:val="none" w:sz="0" w:space="0" w:color="auto"/>
        <w:right w:val="none" w:sz="0" w:space="0" w:color="auto"/>
      </w:divBdr>
    </w:div>
    <w:div w:id="2080129749">
      <w:bodyDiv w:val="1"/>
      <w:marLeft w:val="0"/>
      <w:marRight w:val="0"/>
      <w:marTop w:val="0"/>
      <w:marBottom w:val="0"/>
      <w:divBdr>
        <w:top w:val="none" w:sz="0" w:space="0" w:color="auto"/>
        <w:left w:val="none" w:sz="0" w:space="0" w:color="auto"/>
        <w:bottom w:val="none" w:sz="0" w:space="0" w:color="auto"/>
        <w:right w:val="none" w:sz="0" w:space="0" w:color="auto"/>
      </w:divBdr>
    </w:div>
    <w:div w:id="2080251911">
      <w:bodyDiv w:val="1"/>
      <w:marLeft w:val="0"/>
      <w:marRight w:val="0"/>
      <w:marTop w:val="0"/>
      <w:marBottom w:val="0"/>
      <w:divBdr>
        <w:top w:val="none" w:sz="0" w:space="0" w:color="auto"/>
        <w:left w:val="none" w:sz="0" w:space="0" w:color="auto"/>
        <w:bottom w:val="none" w:sz="0" w:space="0" w:color="auto"/>
        <w:right w:val="none" w:sz="0" w:space="0" w:color="auto"/>
      </w:divBdr>
    </w:div>
    <w:div w:id="2081244616">
      <w:bodyDiv w:val="1"/>
      <w:marLeft w:val="0"/>
      <w:marRight w:val="0"/>
      <w:marTop w:val="0"/>
      <w:marBottom w:val="0"/>
      <w:divBdr>
        <w:top w:val="none" w:sz="0" w:space="0" w:color="auto"/>
        <w:left w:val="none" w:sz="0" w:space="0" w:color="auto"/>
        <w:bottom w:val="none" w:sz="0" w:space="0" w:color="auto"/>
        <w:right w:val="none" w:sz="0" w:space="0" w:color="auto"/>
      </w:divBdr>
    </w:div>
    <w:div w:id="2081825936">
      <w:bodyDiv w:val="1"/>
      <w:marLeft w:val="0"/>
      <w:marRight w:val="0"/>
      <w:marTop w:val="0"/>
      <w:marBottom w:val="0"/>
      <w:divBdr>
        <w:top w:val="none" w:sz="0" w:space="0" w:color="auto"/>
        <w:left w:val="none" w:sz="0" w:space="0" w:color="auto"/>
        <w:bottom w:val="none" w:sz="0" w:space="0" w:color="auto"/>
        <w:right w:val="none" w:sz="0" w:space="0" w:color="auto"/>
      </w:divBdr>
    </w:div>
    <w:div w:id="2082173411">
      <w:bodyDiv w:val="1"/>
      <w:marLeft w:val="0"/>
      <w:marRight w:val="0"/>
      <w:marTop w:val="0"/>
      <w:marBottom w:val="0"/>
      <w:divBdr>
        <w:top w:val="none" w:sz="0" w:space="0" w:color="auto"/>
        <w:left w:val="none" w:sz="0" w:space="0" w:color="auto"/>
        <w:bottom w:val="none" w:sz="0" w:space="0" w:color="auto"/>
        <w:right w:val="none" w:sz="0" w:space="0" w:color="auto"/>
      </w:divBdr>
    </w:div>
    <w:div w:id="2082557212">
      <w:bodyDiv w:val="1"/>
      <w:marLeft w:val="0"/>
      <w:marRight w:val="0"/>
      <w:marTop w:val="0"/>
      <w:marBottom w:val="0"/>
      <w:divBdr>
        <w:top w:val="none" w:sz="0" w:space="0" w:color="auto"/>
        <w:left w:val="none" w:sz="0" w:space="0" w:color="auto"/>
        <w:bottom w:val="none" w:sz="0" w:space="0" w:color="auto"/>
        <w:right w:val="none" w:sz="0" w:space="0" w:color="auto"/>
      </w:divBdr>
    </w:div>
    <w:div w:id="2082827606">
      <w:bodyDiv w:val="1"/>
      <w:marLeft w:val="0"/>
      <w:marRight w:val="0"/>
      <w:marTop w:val="0"/>
      <w:marBottom w:val="0"/>
      <w:divBdr>
        <w:top w:val="none" w:sz="0" w:space="0" w:color="auto"/>
        <w:left w:val="none" w:sz="0" w:space="0" w:color="auto"/>
        <w:bottom w:val="none" w:sz="0" w:space="0" w:color="auto"/>
        <w:right w:val="none" w:sz="0" w:space="0" w:color="auto"/>
      </w:divBdr>
    </w:div>
    <w:div w:id="2083527344">
      <w:bodyDiv w:val="1"/>
      <w:marLeft w:val="0"/>
      <w:marRight w:val="0"/>
      <w:marTop w:val="0"/>
      <w:marBottom w:val="0"/>
      <w:divBdr>
        <w:top w:val="none" w:sz="0" w:space="0" w:color="auto"/>
        <w:left w:val="none" w:sz="0" w:space="0" w:color="auto"/>
        <w:bottom w:val="none" w:sz="0" w:space="0" w:color="auto"/>
        <w:right w:val="none" w:sz="0" w:space="0" w:color="auto"/>
      </w:divBdr>
    </w:div>
    <w:div w:id="2084254288">
      <w:bodyDiv w:val="1"/>
      <w:marLeft w:val="0"/>
      <w:marRight w:val="0"/>
      <w:marTop w:val="0"/>
      <w:marBottom w:val="0"/>
      <w:divBdr>
        <w:top w:val="none" w:sz="0" w:space="0" w:color="auto"/>
        <w:left w:val="none" w:sz="0" w:space="0" w:color="auto"/>
        <w:bottom w:val="none" w:sz="0" w:space="0" w:color="auto"/>
        <w:right w:val="none" w:sz="0" w:space="0" w:color="auto"/>
      </w:divBdr>
    </w:div>
    <w:div w:id="2084719246">
      <w:bodyDiv w:val="1"/>
      <w:marLeft w:val="0"/>
      <w:marRight w:val="0"/>
      <w:marTop w:val="0"/>
      <w:marBottom w:val="0"/>
      <w:divBdr>
        <w:top w:val="none" w:sz="0" w:space="0" w:color="auto"/>
        <w:left w:val="none" w:sz="0" w:space="0" w:color="auto"/>
        <w:bottom w:val="none" w:sz="0" w:space="0" w:color="auto"/>
        <w:right w:val="none" w:sz="0" w:space="0" w:color="auto"/>
      </w:divBdr>
    </w:div>
    <w:div w:id="2084908683">
      <w:bodyDiv w:val="1"/>
      <w:marLeft w:val="0"/>
      <w:marRight w:val="0"/>
      <w:marTop w:val="0"/>
      <w:marBottom w:val="0"/>
      <w:divBdr>
        <w:top w:val="none" w:sz="0" w:space="0" w:color="auto"/>
        <w:left w:val="none" w:sz="0" w:space="0" w:color="auto"/>
        <w:bottom w:val="none" w:sz="0" w:space="0" w:color="auto"/>
        <w:right w:val="none" w:sz="0" w:space="0" w:color="auto"/>
      </w:divBdr>
    </w:div>
    <w:div w:id="2086682821">
      <w:bodyDiv w:val="1"/>
      <w:marLeft w:val="0"/>
      <w:marRight w:val="0"/>
      <w:marTop w:val="0"/>
      <w:marBottom w:val="0"/>
      <w:divBdr>
        <w:top w:val="none" w:sz="0" w:space="0" w:color="auto"/>
        <w:left w:val="none" w:sz="0" w:space="0" w:color="auto"/>
        <w:bottom w:val="none" w:sz="0" w:space="0" w:color="auto"/>
        <w:right w:val="none" w:sz="0" w:space="0" w:color="auto"/>
      </w:divBdr>
    </w:div>
    <w:div w:id="2086800703">
      <w:bodyDiv w:val="1"/>
      <w:marLeft w:val="0"/>
      <w:marRight w:val="0"/>
      <w:marTop w:val="0"/>
      <w:marBottom w:val="0"/>
      <w:divBdr>
        <w:top w:val="none" w:sz="0" w:space="0" w:color="auto"/>
        <w:left w:val="none" w:sz="0" w:space="0" w:color="auto"/>
        <w:bottom w:val="none" w:sz="0" w:space="0" w:color="auto"/>
        <w:right w:val="none" w:sz="0" w:space="0" w:color="auto"/>
      </w:divBdr>
    </w:div>
    <w:div w:id="2087065044">
      <w:bodyDiv w:val="1"/>
      <w:marLeft w:val="0"/>
      <w:marRight w:val="0"/>
      <w:marTop w:val="0"/>
      <w:marBottom w:val="0"/>
      <w:divBdr>
        <w:top w:val="none" w:sz="0" w:space="0" w:color="auto"/>
        <w:left w:val="none" w:sz="0" w:space="0" w:color="auto"/>
        <w:bottom w:val="none" w:sz="0" w:space="0" w:color="auto"/>
        <w:right w:val="none" w:sz="0" w:space="0" w:color="auto"/>
      </w:divBdr>
    </w:div>
    <w:div w:id="2087142456">
      <w:bodyDiv w:val="1"/>
      <w:marLeft w:val="0"/>
      <w:marRight w:val="0"/>
      <w:marTop w:val="0"/>
      <w:marBottom w:val="0"/>
      <w:divBdr>
        <w:top w:val="none" w:sz="0" w:space="0" w:color="auto"/>
        <w:left w:val="none" w:sz="0" w:space="0" w:color="auto"/>
        <w:bottom w:val="none" w:sz="0" w:space="0" w:color="auto"/>
        <w:right w:val="none" w:sz="0" w:space="0" w:color="auto"/>
      </w:divBdr>
    </w:div>
    <w:div w:id="2087340891">
      <w:bodyDiv w:val="1"/>
      <w:marLeft w:val="0"/>
      <w:marRight w:val="0"/>
      <w:marTop w:val="0"/>
      <w:marBottom w:val="0"/>
      <w:divBdr>
        <w:top w:val="none" w:sz="0" w:space="0" w:color="auto"/>
        <w:left w:val="none" w:sz="0" w:space="0" w:color="auto"/>
        <w:bottom w:val="none" w:sz="0" w:space="0" w:color="auto"/>
        <w:right w:val="none" w:sz="0" w:space="0" w:color="auto"/>
      </w:divBdr>
    </w:div>
    <w:div w:id="2087527504">
      <w:bodyDiv w:val="1"/>
      <w:marLeft w:val="0"/>
      <w:marRight w:val="0"/>
      <w:marTop w:val="0"/>
      <w:marBottom w:val="0"/>
      <w:divBdr>
        <w:top w:val="none" w:sz="0" w:space="0" w:color="auto"/>
        <w:left w:val="none" w:sz="0" w:space="0" w:color="auto"/>
        <w:bottom w:val="none" w:sz="0" w:space="0" w:color="auto"/>
        <w:right w:val="none" w:sz="0" w:space="0" w:color="auto"/>
      </w:divBdr>
    </w:div>
    <w:div w:id="2087602878">
      <w:bodyDiv w:val="1"/>
      <w:marLeft w:val="0"/>
      <w:marRight w:val="0"/>
      <w:marTop w:val="0"/>
      <w:marBottom w:val="0"/>
      <w:divBdr>
        <w:top w:val="none" w:sz="0" w:space="0" w:color="auto"/>
        <w:left w:val="none" w:sz="0" w:space="0" w:color="auto"/>
        <w:bottom w:val="none" w:sz="0" w:space="0" w:color="auto"/>
        <w:right w:val="none" w:sz="0" w:space="0" w:color="auto"/>
      </w:divBdr>
    </w:div>
    <w:div w:id="2087729155">
      <w:bodyDiv w:val="1"/>
      <w:marLeft w:val="0"/>
      <w:marRight w:val="0"/>
      <w:marTop w:val="0"/>
      <w:marBottom w:val="0"/>
      <w:divBdr>
        <w:top w:val="none" w:sz="0" w:space="0" w:color="auto"/>
        <w:left w:val="none" w:sz="0" w:space="0" w:color="auto"/>
        <w:bottom w:val="none" w:sz="0" w:space="0" w:color="auto"/>
        <w:right w:val="none" w:sz="0" w:space="0" w:color="auto"/>
      </w:divBdr>
    </w:div>
    <w:div w:id="2087993563">
      <w:bodyDiv w:val="1"/>
      <w:marLeft w:val="0"/>
      <w:marRight w:val="0"/>
      <w:marTop w:val="0"/>
      <w:marBottom w:val="0"/>
      <w:divBdr>
        <w:top w:val="none" w:sz="0" w:space="0" w:color="auto"/>
        <w:left w:val="none" w:sz="0" w:space="0" w:color="auto"/>
        <w:bottom w:val="none" w:sz="0" w:space="0" w:color="auto"/>
        <w:right w:val="none" w:sz="0" w:space="0" w:color="auto"/>
      </w:divBdr>
    </w:div>
    <w:div w:id="2088377701">
      <w:bodyDiv w:val="1"/>
      <w:marLeft w:val="0"/>
      <w:marRight w:val="0"/>
      <w:marTop w:val="0"/>
      <w:marBottom w:val="0"/>
      <w:divBdr>
        <w:top w:val="none" w:sz="0" w:space="0" w:color="auto"/>
        <w:left w:val="none" w:sz="0" w:space="0" w:color="auto"/>
        <w:bottom w:val="none" w:sz="0" w:space="0" w:color="auto"/>
        <w:right w:val="none" w:sz="0" w:space="0" w:color="auto"/>
      </w:divBdr>
    </w:div>
    <w:div w:id="2088379676">
      <w:bodyDiv w:val="1"/>
      <w:marLeft w:val="0"/>
      <w:marRight w:val="0"/>
      <w:marTop w:val="0"/>
      <w:marBottom w:val="0"/>
      <w:divBdr>
        <w:top w:val="none" w:sz="0" w:space="0" w:color="auto"/>
        <w:left w:val="none" w:sz="0" w:space="0" w:color="auto"/>
        <w:bottom w:val="none" w:sz="0" w:space="0" w:color="auto"/>
        <w:right w:val="none" w:sz="0" w:space="0" w:color="auto"/>
      </w:divBdr>
    </w:div>
    <w:div w:id="2088569765">
      <w:bodyDiv w:val="1"/>
      <w:marLeft w:val="0"/>
      <w:marRight w:val="0"/>
      <w:marTop w:val="0"/>
      <w:marBottom w:val="0"/>
      <w:divBdr>
        <w:top w:val="none" w:sz="0" w:space="0" w:color="auto"/>
        <w:left w:val="none" w:sz="0" w:space="0" w:color="auto"/>
        <w:bottom w:val="none" w:sz="0" w:space="0" w:color="auto"/>
        <w:right w:val="none" w:sz="0" w:space="0" w:color="auto"/>
      </w:divBdr>
    </w:div>
    <w:div w:id="2092316011">
      <w:bodyDiv w:val="1"/>
      <w:marLeft w:val="0"/>
      <w:marRight w:val="0"/>
      <w:marTop w:val="0"/>
      <w:marBottom w:val="0"/>
      <w:divBdr>
        <w:top w:val="none" w:sz="0" w:space="0" w:color="auto"/>
        <w:left w:val="none" w:sz="0" w:space="0" w:color="auto"/>
        <w:bottom w:val="none" w:sz="0" w:space="0" w:color="auto"/>
        <w:right w:val="none" w:sz="0" w:space="0" w:color="auto"/>
      </w:divBdr>
    </w:div>
    <w:div w:id="2092466165">
      <w:bodyDiv w:val="1"/>
      <w:marLeft w:val="0"/>
      <w:marRight w:val="0"/>
      <w:marTop w:val="0"/>
      <w:marBottom w:val="0"/>
      <w:divBdr>
        <w:top w:val="none" w:sz="0" w:space="0" w:color="auto"/>
        <w:left w:val="none" w:sz="0" w:space="0" w:color="auto"/>
        <w:bottom w:val="none" w:sz="0" w:space="0" w:color="auto"/>
        <w:right w:val="none" w:sz="0" w:space="0" w:color="auto"/>
      </w:divBdr>
    </w:div>
    <w:div w:id="2092582509">
      <w:bodyDiv w:val="1"/>
      <w:marLeft w:val="0"/>
      <w:marRight w:val="0"/>
      <w:marTop w:val="0"/>
      <w:marBottom w:val="0"/>
      <w:divBdr>
        <w:top w:val="none" w:sz="0" w:space="0" w:color="auto"/>
        <w:left w:val="none" w:sz="0" w:space="0" w:color="auto"/>
        <w:bottom w:val="none" w:sz="0" w:space="0" w:color="auto"/>
        <w:right w:val="none" w:sz="0" w:space="0" w:color="auto"/>
      </w:divBdr>
    </w:div>
    <w:div w:id="2092968629">
      <w:bodyDiv w:val="1"/>
      <w:marLeft w:val="0"/>
      <w:marRight w:val="0"/>
      <w:marTop w:val="0"/>
      <w:marBottom w:val="0"/>
      <w:divBdr>
        <w:top w:val="none" w:sz="0" w:space="0" w:color="auto"/>
        <w:left w:val="none" w:sz="0" w:space="0" w:color="auto"/>
        <w:bottom w:val="none" w:sz="0" w:space="0" w:color="auto"/>
        <w:right w:val="none" w:sz="0" w:space="0" w:color="auto"/>
      </w:divBdr>
    </w:div>
    <w:div w:id="2093040490">
      <w:bodyDiv w:val="1"/>
      <w:marLeft w:val="0"/>
      <w:marRight w:val="0"/>
      <w:marTop w:val="0"/>
      <w:marBottom w:val="0"/>
      <w:divBdr>
        <w:top w:val="none" w:sz="0" w:space="0" w:color="auto"/>
        <w:left w:val="none" w:sz="0" w:space="0" w:color="auto"/>
        <w:bottom w:val="none" w:sz="0" w:space="0" w:color="auto"/>
        <w:right w:val="none" w:sz="0" w:space="0" w:color="auto"/>
      </w:divBdr>
    </w:div>
    <w:div w:id="2093044056">
      <w:bodyDiv w:val="1"/>
      <w:marLeft w:val="0"/>
      <w:marRight w:val="0"/>
      <w:marTop w:val="0"/>
      <w:marBottom w:val="0"/>
      <w:divBdr>
        <w:top w:val="none" w:sz="0" w:space="0" w:color="auto"/>
        <w:left w:val="none" w:sz="0" w:space="0" w:color="auto"/>
        <w:bottom w:val="none" w:sz="0" w:space="0" w:color="auto"/>
        <w:right w:val="none" w:sz="0" w:space="0" w:color="auto"/>
      </w:divBdr>
    </w:div>
    <w:div w:id="2093117826">
      <w:bodyDiv w:val="1"/>
      <w:marLeft w:val="0"/>
      <w:marRight w:val="0"/>
      <w:marTop w:val="0"/>
      <w:marBottom w:val="0"/>
      <w:divBdr>
        <w:top w:val="none" w:sz="0" w:space="0" w:color="auto"/>
        <w:left w:val="none" w:sz="0" w:space="0" w:color="auto"/>
        <w:bottom w:val="none" w:sz="0" w:space="0" w:color="auto"/>
        <w:right w:val="none" w:sz="0" w:space="0" w:color="auto"/>
      </w:divBdr>
    </w:div>
    <w:div w:id="2093812314">
      <w:bodyDiv w:val="1"/>
      <w:marLeft w:val="0"/>
      <w:marRight w:val="0"/>
      <w:marTop w:val="0"/>
      <w:marBottom w:val="0"/>
      <w:divBdr>
        <w:top w:val="none" w:sz="0" w:space="0" w:color="auto"/>
        <w:left w:val="none" w:sz="0" w:space="0" w:color="auto"/>
        <w:bottom w:val="none" w:sz="0" w:space="0" w:color="auto"/>
        <w:right w:val="none" w:sz="0" w:space="0" w:color="auto"/>
      </w:divBdr>
    </w:div>
    <w:div w:id="2093969818">
      <w:bodyDiv w:val="1"/>
      <w:marLeft w:val="0"/>
      <w:marRight w:val="0"/>
      <w:marTop w:val="0"/>
      <w:marBottom w:val="0"/>
      <w:divBdr>
        <w:top w:val="none" w:sz="0" w:space="0" w:color="auto"/>
        <w:left w:val="none" w:sz="0" w:space="0" w:color="auto"/>
        <w:bottom w:val="none" w:sz="0" w:space="0" w:color="auto"/>
        <w:right w:val="none" w:sz="0" w:space="0" w:color="auto"/>
      </w:divBdr>
    </w:div>
    <w:div w:id="2094470368">
      <w:bodyDiv w:val="1"/>
      <w:marLeft w:val="0"/>
      <w:marRight w:val="0"/>
      <w:marTop w:val="0"/>
      <w:marBottom w:val="0"/>
      <w:divBdr>
        <w:top w:val="none" w:sz="0" w:space="0" w:color="auto"/>
        <w:left w:val="none" w:sz="0" w:space="0" w:color="auto"/>
        <w:bottom w:val="none" w:sz="0" w:space="0" w:color="auto"/>
        <w:right w:val="none" w:sz="0" w:space="0" w:color="auto"/>
      </w:divBdr>
    </w:div>
    <w:div w:id="2094936343">
      <w:bodyDiv w:val="1"/>
      <w:marLeft w:val="0"/>
      <w:marRight w:val="0"/>
      <w:marTop w:val="0"/>
      <w:marBottom w:val="0"/>
      <w:divBdr>
        <w:top w:val="none" w:sz="0" w:space="0" w:color="auto"/>
        <w:left w:val="none" w:sz="0" w:space="0" w:color="auto"/>
        <w:bottom w:val="none" w:sz="0" w:space="0" w:color="auto"/>
        <w:right w:val="none" w:sz="0" w:space="0" w:color="auto"/>
      </w:divBdr>
    </w:div>
    <w:div w:id="2095274713">
      <w:bodyDiv w:val="1"/>
      <w:marLeft w:val="0"/>
      <w:marRight w:val="0"/>
      <w:marTop w:val="0"/>
      <w:marBottom w:val="0"/>
      <w:divBdr>
        <w:top w:val="none" w:sz="0" w:space="0" w:color="auto"/>
        <w:left w:val="none" w:sz="0" w:space="0" w:color="auto"/>
        <w:bottom w:val="none" w:sz="0" w:space="0" w:color="auto"/>
        <w:right w:val="none" w:sz="0" w:space="0" w:color="auto"/>
      </w:divBdr>
    </w:div>
    <w:div w:id="2095784284">
      <w:bodyDiv w:val="1"/>
      <w:marLeft w:val="0"/>
      <w:marRight w:val="0"/>
      <w:marTop w:val="0"/>
      <w:marBottom w:val="0"/>
      <w:divBdr>
        <w:top w:val="none" w:sz="0" w:space="0" w:color="auto"/>
        <w:left w:val="none" w:sz="0" w:space="0" w:color="auto"/>
        <w:bottom w:val="none" w:sz="0" w:space="0" w:color="auto"/>
        <w:right w:val="none" w:sz="0" w:space="0" w:color="auto"/>
      </w:divBdr>
    </w:div>
    <w:div w:id="2097088471">
      <w:bodyDiv w:val="1"/>
      <w:marLeft w:val="0"/>
      <w:marRight w:val="0"/>
      <w:marTop w:val="0"/>
      <w:marBottom w:val="0"/>
      <w:divBdr>
        <w:top w:val="none" w:sz="0" w:space="0" w:color="auto"/>
        <w:left w:val="none" w:sz="0" w:space="0" w:color="auto"/>
        <w:bottom w:val="none" w:sz="0" w:space="0" w:color="auto"/>
        <w:right w:val="none" w:sz="0" w:space="0" w:color="auto"/>
      </w:divBdr>
    </w:div>
    <w:div w:id="2097701285">
      <w:bodyDiv w:val="1"/>
      <w:marLeft w:val="0"/>
      <w:marRight w:val="0"/>
      <w:marTop w:val="0"/>
      <w:marBottom w:val="0"/>
      <w:divBdr>
        <w:top w:val="none" w:sz="0" w:space="0" w:color="auto"/>
        <w:left w:val="none" w:sz="0" w:space="0" w:color="auto"/>
        <w:bottom w:val="none" w:sz="0" w:space="0" w:color="auto"/>
        <w:right w:val="none" w:sz="0" w:space="0" w:color="auto"/>
      </w:divBdr>
    </w:div>
    <w:div w:id="2098092237">
      <w:bodyDiv w:val="1"/>
      <w:marLeft w:val="0"/>
      <w:marRight w:val="0"/>
      <w:marTop w:val="0"/>
      <w:marBottom w:val="0"/>
      <w:divBdr>
        <w:top w:val="none" w:sz="0" w:space="0" w:color="auto"/>
        <w:left w:val="none" w:sz="0" w:space="0" w:color="auto"/>
        <w:bottom w:val="none" w:sz="0" w:space="0" w:color="auto"/>
        <w:right w:val="none" w:sz="0" w:space="0" w:color="auto"/>
      </w:divBdr>
    </w:div>
    <w:div w:id="2098094096">
      <w:bodyDiv w:val="1"/>
      <w:marLeft w:val="0"/>
      <w:marRight w:val="0"/>
      <w:marTop w:val="0"/>
      <w:marBottom w:val="0"/>
      <w:divBdr>
        <w:top w:val="none" w:sz="0" w:space="0" w:color="auto"/>
        <w:left w:val="none" w:sz="0" w:space="0" w:color="auto"/>
        <w:bottom w:val="none" w:sz="0" w:space="0" w:color="auto"/>
        <w:right w:val="none" w:sz="0" w:space="0" w:color="auto"/>
      </w:divBdr>
    </w:div>
    <w:div w:id="2099209005">
      <w:bodyDiv w:val="1"/>
      <w:marLeft w:val="0"/>
      <w:marRight w:val="0"/>
      <w:marTop w:val="0"/>
      <w:marBottom w:val="0"/>
      <w:divBdr>
        <w:top w:val="none" w:sz="0" w:space="0" w:color="auto"/>
        <w:left w:val="none" w:sz="0" w:space="0" w:color="auto"/>
        <w:bottom w:val="none" w:sz="0" w:space="0" w:color="auto"/>
        <w:right w:val="none" w:sz="0" w:space="0" w:color="auto"/>
      </w:divBdr>
    </w:div>
    <w:div w:id="2099323490">
      <w:bodyDiv w:val="1"/>
      <w:marLeft w:val="0"/>
      <w:marRight w:val="0"/>
      <w:marTop w:val="0"/>
      <w:marBottom w:val="0"/>
      <w:divBdr>
        <w:top w:val="none" w:sz="0" w:space="0" w:color="auto"/>
        <w:left w:val="none" w:sz="0" w:space="0" w:color="auto"/>
        <w:bottom w:val="none" w:sz="0" w:space="0" w:color="auto"/>
        <w:right w:val="none" w:sz="0" w:space="0" w:color="auto"/>
      </w:divBdr>
    </w:div>
    <w:div w:id="2100059021">
      <w:bodyDiv w:val="1"/>
      <w:marLeft w:val="0"/>
      <w:marRight w:val="0"/>
      <w:marTop w:val="0"/>
      <w:marBottom w:val="0"/>
      <w:divBdr>
        <w:top w:val="none" w:sz="0" w:space="0" w:color="auto"/>
        <w:left w:val="none" w:sz="0" w:space="0" w:color="auto"/>
        <w:bottom w:val="none" w:sz="0" w:space="0" w:color="auto"/>
        <w:right w:val="none" w:sz="0" w:space="0" w:color="auto"/>
      </w:divBdr>
    </w:div>
    <w:div w:id="2100634114">
      <w:bodyDiv w:val="1"/>
      <w:marLeft w:val="0"/>
      <w:marRight w:val="0"/>
      <w:marTop w:val="0"/>
      <w:marBottom w:val="0"/>
      <w:divBdr>
        <w:top w:val="none" w:sz="0" w:space="0" w:color="auto"/>
        <w:left w:val="none" w:sz="0" w:space="0" w:color="auto"/>
        <w:bottom w:val="none" w:sz="0" w:space="0" w:color="auto"/>
        <w:right w:val="none" w:sz="0" w:space="0" w:color="auto"/>
      </w:divBdr>
    </w:div>
    <w:div w:id="2101680475">
      <w:bodyDiv w:val="1"/>
      <w:marLeft w:val="0"/>
      <w:marRight w:val="0"/>
      <w:marTop w:val="0"/>
      <w:marBottom w:val="0"/>
      <w:divBdr>
        <w:top w:val="none" w:sz="0" w:space="0" w:color="auto"/>
        <w:left w:val="none" w:sz="0" w:space="0" w:color="auto"/>
        <w:bottom w:val="none" w:sz="0" w:space="0" w:color="auto"/>
        <w:right w:val="none" w:sz="0" w:space="0" w:color="auto"/>
      </w:divBdr>
    </w:div>
    <w:div w:id="2101872186">
      <w:bodyDiv w:val="1"/>
      <w:marLeft w:val="0"/>
      <w:marRight w:val="0"/>
      <w:marTop w:val="0"/>
      <w:marBottom w:val="0"/>
      <w:divBdr>
        <w:top w:val="none" w:sz="0" w:space="0" w:color="auto"/>
        <w:left w:val="none" w:sz="0" w:space="0" w:color="auto"/>
        <w:bottom w:val="none" w:sz="0" w:space="0" w:color="auto"/>
        <w:right w:val="none" w:sz="0" w:space="0" w:color="auto"/>
      </w:divBdr>
    </w:div>
    <w:div w:id="2101903157">
      <w:bodyDiv w:val="1"/>
      <w:marLeft w:val="0"/>
      <w:marRight w:val="0"/>
      <w:marTop w:val="0"/>
      <w:marBottom w:val="0"/>
      <w:divBdr>
        <w:top w:val="none" w:sz="0" w:space="0" w:color="auto"/>
        <w:left w:val="none" w:sz="0" w:space="0" w:color="auto"/>
        <w:bottom w:val="none" w:sz="0" w:space="0" w:color="auto"/>
        <w:right w:val="none" w:sz="0" w:space="0" w:color="auto"/>
      </w:divBdr>
    </w:div>
    <w:div w:id="2102219028">
      <w:bodyDiv w:val="1"/>
      <w:marLeft w:val="0"/>
      <w:marRight w:val="0"/>
      <w:marTop w:val="0"/>
      <w:marBottom w:val="0"/>
      <w:divBdr>
        <w:top w:val="none" w:sz="0" w:space="0" w:color="auto"/>
        <w:left w:val="none" w:sz="0" w:space="0" w:color="auto"/>
        <w:bottom w:val="none" w:sz="0" w:space="0" w:color="auto"/>
        <w:right w:val="none" w:sz="0" w:space="0" w:color="auto"/>
      </w:divBdr>
    </w:div>
    <w:div w:id="2103186008">
      <w:bodyDiv w:val="1"/>
      <w:marLeft w:val="0"/>
      <w:marRight w:val="0"/>
      <w:marTop w:val="0"/>
      <w:marBottom w:val="0"/>
      <w:divBdr>
        <w:top w:val="none" w:sz="0" w:space="0" w:color="auto"/>
        <w:left w:val="none" w:sz="0" w:space="0" w:color="auto"/>
        <w:bottom w:val="none" w:sz="0" w:space="0" w:color="auto"/>
        <w:right w:val="none" w:sz="0" w:space="0" w:color="auto"/>
      </w:divBdr>
    </w:div>
    <w:div w:id="2105300762">
      <w:bodyDiv w:val="1"/>
      <w:marLeft w:val="0"/>
      <w:marRight w:val="0"/>
      <w:marTop w:val="0"/>
      <w:marBottom w:val="0"/>
      <w:divBdr>
        <w:top w:val="none" w:sz="0" w:space="0" w:color="auto"/>
        <w:left w:val="none" w:sz="0" w:space="0" w:color="auto"/>
        <w:bottom w:val="none" w:sz="0" w:space="0" w:color="auto"/>
        <w:right w:val="none" w:sz="0" w:space="0" w:color="auto"/>
      </w:divBdr>
    </w:div>
    <w:div w:id="2106074203">
      <w:bodyDiv w:val="1"/>
      <w:marLeft w:val="0"/>
      <w:marRight w:val="0"/>
      <w:marTop w:val="0"/>
      <w:marBottom w:val="0"/>
      <w:divBdr>
        <w:top w:val="none" w:sz="0" w:space="0" w:color="auto"/>
        <w:left w:val="none" w:sz="0" w:space="0" w:color="auto"/>
        <w:bottom w:val="none" w:sz="0" w:space="0" w:color="auto"/>
        <w:right w:val="none" w:sz="0" w:space="0" w:color="auto"/>
      </w:divBdr>
    </w:div>
    <w:div w:id="2106294211">
      <w:bodyDiv w:val="1"/>
      <w:marLeft w:val="0"/>
      <w:marRight w:val="0"/>
      <w:marTop w:val="0"/>
      <w:marBottom w:val="0"/>
      <w:divBdr>
        <w:top w:val="none" w:sz="0" w:space="0" w:color="auto"/>
        <w:left w:val="none" w:sz="0" w:space="0" w:color="auto"/>
        <w:bottom w:val="none" w:sz="0" w:space="0" w:color="auto"/>
        <w:right w:val="none" w:sz="0" w:space="0" w:color="auto"/>
      </w:divBdr>
    </w:div>
    <w:div w:id="2106344436">
      <w:bodyDiv w:val="1"/>
      <w:marLeft w:val="0"/>
      <w:marRight w:val="0"/>
      <w:marTop w:val="0"/>
      <w:marBottom w:val="0"/>
      <w:divBdr>
        <w:top w:val="none" w:sz="0" w:space="0" w:color="auto"/>
        <w:left w:val="none" w:sz="0" w:space="0" w:color="auto"/>
        <w:bottom w:val="none" w:sz="0" w:space="0" w:color="auto"/>
        <w:right w:val="none" w:sz="0" w:space="0" w:color="auto"/>
      </w:divBdr>
    </w:div>
    <w:div w:id="2106882777">
      <w:bodyDiv w:val="1"/>
      <w:marLeft w:val="0"/>
      <w:marRight w:val="0"/>
      <w:marTop w:val="0"/>
      <w:marBottom w:val="0"/>
      <w:divBdr>
        <w:top w:val="none" w:sz="0" w:space="0" w:color="auto"/>
        <w:left w:val="none" w:sz="0" w:space="0" w:color="auto"/>
        <w:bottom w:val="none" w:sz="0" w:space="0" w:color="auto"/>
        <w:right w:val="none" w:sz="0" w:space="0" w:color="auto"/>
      </w:divBdr>
    </w:div>
    <w:div w:id="2107648564">
      <w:bodyDiv w:val="1"/>
      <w:marLeft w:val="0"/>
      <w:marRight w:val="0"/>
      <w:marTop w:val="0"/>
      <w:marBottom w:val="0"/>
      <w:divBdr>
        <w:top w:val="none" w:sz="0" w:space="0" w:color="auto"/>
        <w:left w:val="none" w:sz="0" w:space="0" w:color="auto"/>
        <w:bottom w:val="none" w:sz="0" w:space="0" w:color="auto"/>
        <w:right w:val="none" w:sz="0" w:space="0" w:color="auto"/>
      </w:divBdr>
    </w:div>
    <w:div w:id="2108112508">
      <w:bodyDiv w:val="1"/>
      <w:marLeft w:val="0"/>
      <w:marRight w:val="0"/>
      <w:marTop w:val="0"/>
      <w:marBottom w:val="0"/>
      <w:divBdr>
        <w:top w:val="none" w:sz="0" w:space="0" w:color="auto"/>
        <w:left w:val="none" w:sz="0" w:space="0" w:color="auto"/>
        <w:bottom w:val="none" w:sz="0" w:space="0" w:color="auto"/>
        <w:right w:val="none" w:sz="0" w:space="0" w:color="auto"/>
      </w:divBdr>
    </w:div>
    <w:div w:id="2108382095">
      <w:bodyDiv w:val="1"/>
      <w:marLeft w:val="0"/>
      <w:marRight w:val="0"/>
      <w:marTop w:val="0"/>
      <w:marBottom w:val="0"/>
      <w:divBdr>
        <w:top w:val="none" w:sz="0" w:space="0" w:color="auto"/>
        <w:left w:val="none" w:sz="0" w:space="0" w:color="auto"/>
        <w:bottom w:val="none" w:sz="0" w:space="0" w:color="auto"/>
        <w:right w:val="none" w:sz="0" w:space="0" w:color="auto"/>
      </w:divBdr>
    </w:div>
    <w:div w:id="2108839843">
      <w:bodyDiv w:val="1"/>
      <w:marLeft w:val="0"/>
      <w:marRight w:val="0"/>
      <w:marTop w:val="0"/>
      <w:marBottom w:val="0"/>
      <w:divBdr>
        <w:top w:val="none" w:sz="0" w:space="0" w:color="auto"/>
        <w:left w:val="none" w:sz="0" w:space="0" w:color="auto"/>
        <w:bottom w:val="none" w:sz="0" w:space="0" w:color="auto"/>
        <w:right w:val="none" w:sz="0" w:space="0" w:color="auto"/>
      </w:divBdr>
    </w:div>
    <w:div w:id="2109228259">
      <w:bodyDiv w:val="1"/>
      <w:marLeft w:val="0"/>
      <w:marRight w:val="0"/>
      <w:marTop w:val="0"/>
      <w:marBottom w:val="0"/>
      <w:divBdr>
        <w:top w:val="none" w:sz="0" w:space="0" w:color="auto"/>
        <w:left w:val="none" w:sz="0" w:space="0" w:color="auto"/>
        <w:bottom w:val="none" w:sz="0" w:space="0" w:color="auto"/>
        <w:right w:val="none" w:sz="0" w:space="0" w:color="auto"/>
      </w:divBdr>
    </w:div>
    <w:div w:id="2109957260">
      <w:bodyDiv w:val="1"/>
      <w:marLeft w:val="0"/>
      <w:marRight w:val="0"/>
      <w:marTop w:val="0"/>
      <w:marBottom w:val="0"/>
      <w:divBdr>
        <w:top w:val="none" w:sz="0" w:space="0" w:color="auto"/>
        <w:left w:val="none" w:sz="0" w:space="0" w:color="auto"/>
        <w:bottom w:val="none" w:sz="0" w:space="0" w:color="auto"/>
        <w:right w:val="none" w:sz="0" w:space="0" w:color="auto"/>
      </w:divBdr>
    </w:div>
    <w:div w:id="2110008855">
      <w:bodyDiv w:val="1"/>
      <w:marLeft w:val="0"/>
      <w:marRight w:val="0"/>
      <w:marTop w:val="0"/>
      <w:marBottom w:val="0"/>
      <w:divBdr>
        <w:top w:val="none" w:sz="0" w:space="0" w:color="auto"/>
        <w:left w:val="none" w:sz="0" w:space="0" w:color="auto"/>
        <w:bottom w:val="none" w:sz="0" w:space="0" w:color="auto"/>
        <w:right w:val="none" w:sz="0" w:space="0" w:color="auto"/>
      </w:divBdr>
    </w:div>
    <w:div w:id="2110418892">
      <w:bodyDiv w:val="1"/>
      <w:marLeft w:val="0"/>
      <w:marRight w:val="0"/>
      <w:marTop w:val="0"/>
      <w:marBottom w:val="0"/>
      <w:divBdr>
        <w:top w:val="none" w:sz="0" w:space="0" w:color="auto"/>
        <w:left w:val="none" w:sz="0" w:space="0" w:color="auto"/>
        <w:bottom w:val="none" w:sz="0" w:space="0" w:color="auto"/>
        <w:right w:val="none" w:sz="0" w:space="0" w:color="auto"/>
      </w:divBdr>
    </w:div>
    <w:div w:id="2112048283">
      <w:bodyDiv w:val="1"/>
      <w:marLeft w:val="0"/>
      <w:marRight w:val="0"/>
      <w:marTop w:val="0"/>
      <w:marBottom w:val="0"/>
      <w:divBdr>
        <w:top w:val="none" w:sz="0" w:space="0" w:color="auto"/>
        <w:left w:val="none" w:sz="0" w:space="0" w:color="auto"/>
        <w:bottom w:val="none" w:sz="0" w:space="0" w:color="auto"/>
        <w:right w:val="none" w:sz="0" w:space="0" w:color="auto"/>
      </w:divBdr>
    </w:div>
    <w:div w:id="2112116114">
      <w:bodyDiv w:val="1"/>
      <w:marLeft w:val="0"/>
      <w:marRight w:val="0"/>
      <w:marTop w:val="0"/>
      <w:marBottom w:val="0"/>
      <w:divBdr>
        <w:top w:val="none" w:sz="0" w:space="0" w:color="auto"/>
        <w:left w:val="none" w:sz="0" w:space="0" w:color="auto"/>
        <w:bottom w:val="none" w:sz="0" w:space="0" w:color="auto"/>
        <w:right w:val="none" w:sz="0" w:space="0" w:color="auto"/>
      </w:divBdr>
    </w:div>
    <w:div w:id="2112432171">
      <w:bodyDiv w:val="1"/>
      <w:marLeft w:val="0"/>
      <w:marRight w:val="0"/>
      <w:marTop w:val="0"/>
      <w:marBottom w:val="0"/>
      <w:divBdr>
        <w:top w:val="none" w:sz="0" w:space="0" w:color="auto"/>
        <w:left w:val="none" w:sz="0" w:space="0" w:color="auto"/>
        <w:bottom w:val="none" w:sz="0" w:space="0" w:color="auto"/>
        <w:right w:val="none" w:sz="0" w:space="0" w:color="auto"/>
      </w:divBdr>
    </w:div>
    <w:div w:id="2114666580">
      <w:bodyDiv w:val="1"/>
      <w:marLeft w:val="0"/>
      <w:marRight w:val="0"/>
      <w:marTop w:val="0"/>
      <w:marBottom w:val="0"/>
      <w:divBdr>
        <w:top w:val="none" w:sz="0" w:space="0" w:color="auto"/>
        <w:left w:val="none" w:sz="0" w:space="0" w:color="auto"/>
        <w:bottom w:val="none" w:sz="0" w:space="0" w:color="auto"/>
        <w:right w:val="none" w:sz="0" w:space="0" w:color="auto"/>
      </w:divBdr>
    </w:div>
    <w:div w:id="2116290298">
      <w:bodyDiv w:val="1"/>
      <w:marLeft w:val="0"/>
      <w:marRight w:val="0"/>
      <w:marTop w:val="0"/>
      <w:marBottom w:val="0"/>
      <w:divBdr>
        <w:top w:val="none" w:sz="0" w:space="0" w:color="auto"/>
        <w:left w:val="none" w:sz="0" w:space="0" w:color="auto"/>
        <w:bottom w:val="none" w:sz="0" w:space="0" w:color="auto"/>
        <w:right w:val="none" w:sz="0" w:space="0" w:color="auto"/>
      </w:divBdr>
    </w:div>
    <w:div w:id="2117358600">
      <w:bodyDiv w:val="1"/>
      <w:marLeft w:val="0"/>
      <w:marRight w:val="0"/>
      <w:marTop w:val="0"/>
      <w:marBottom w:val="0"/>
      <w:divBdr>
        <w:top w:val="none" w:sz="0" w:space="0" w:color="auto"/>
        <w:left w:val="none" w:sz="0" w:space="0" w:color="auto"/>
        <w:bottom w:val="none" w:sz="0" w:space="0" w:color="auto"/>
        <w:right w:val="none" w:sz="0" w:space="0" w:color="auto"/>
      </w:divBdr>
    </w:div>
    <w:div w:id="2117359581">
      <w:bodyDiv w:val="1"/>
      <w:marLeft w:val="0"/>
      <w:marRight w:val="0"/>
      <w:marTop w:val="0"/>
      <w:marBottom w:val="0"/>
      <w:divBdr>
        <w:top w:val="none" w:sz="0" w:space="0" w:color="auto"/>
        <w:left w:val="none" w:sz="0" w:space="0" w:color="auto"/>
        <w:bottom w:val="none" w:sz="0" w:space="0" w:color="auto"/>
        <w:right w:val="none" w:sz="0" w:space="0" w:color="auto"/>
      </w:divBdr>
    </w:div>
    <w:div w:id="2119181064">
      <w:bodyDiv w:val="1"/>
      <w:marLeft w:val="0"/>
      <w:marRight w:val="0"/>
      <w:marTop w:val="0"/>
      <w:marBottom w:val="0"/>
      <w:divBdr>
        <w:top w:val="none" w:sz="0" w:space="0" w:color="auto"/>
        <w:left w:val="none" w:sz="0" w:space="0" w:color="auto"/>
        <w:bottom w:val="none" w:sz="0" w:space="0" w:color="auto"/>
        <w:right w:val="none" w:sz="0" w:space="0" w:color="auto"/>
      </w:divBdr>
    </w:div>
    <w:div w:id="2119256736">
      <w:bodyDiv w:val="1"/>
      <w:marLeft w:val="0"/>
      <w:marRight w:val="0"/>
      <w:marTop w:val="0"/>
      <w:marBottom w:val="0"/>
      <w:divBdr>
        <w:top w:val="none" w:sz="0" w:space="0" w:color="auto"/>
        <w:left w:val="none" w:sz="0" w:space="0" w:color="auto"/>
        <w:bottom w:val="none" w:sz="0" w:space="0" w:color="auto"/>
        <w:right w:val="none" w:sz="0" w:space="0" w:color="auto"/>
      </w:divBdr>
    </w:div>
    <w:div w:id="2119369345">
      <w:bodyDiv w:val="1"/>
      <w:marLeft w:val="0"/>
      <w:marRight w:val="0"/>
      <w:marTop w:val="0"/>
      <w:marBottom w:val="0"/>
      <w:divBdr>
        <w:top w:val="none" w:sz="0" w:space="0" w:color="auto"/>
        <w:left w:val="none" w:sz="0" w:space="0" w:color="auto"/>
        <w:bottom w:val="none" w:sz="0" w:space="0" w:color="auto"/>
        <w:right w:val="none" w:sz="0" w:space="0" w:color="auto"/>
      </w:divBdr>
    </w:div>
    <w:div w:id="2120224511">
      <w:bodyDiv w:val="1"/>
      <w:marLeft w:val="0"/>
      <w:marRight w:val="0"/>
      <w:marTop w:val="0"/>
      <w:marBottom w:val="0"/>
      <w:divBdr>
        <w:top w:val="none" w:sz="0" w:space="0" w:color="auto"/>
        <w:left w:val="none" w:sz="0" w:space="0" w:color="auto"/>
        <w:bottom w:val="none" w:sz="0" w:space="0" w:color="auto"/>
        <w:right w:val="none" w:sz="0" w:space="0" w:color="auto"/>
      </w:divBdr>
    </w:div>
    <w:div w:id="2120372451">
      <w:bodyDiv w:val="1"/>
      <w:marLeft w:val="0"/>
      <w:marRight w:val="0"/>
      <w:marTop w:val="0"/>
      <w:marBottom w:val="0"/>
      <w:divBdr>
        <w:top w:val="none" w:sz="0" w:space="0" w:color="auto"/>
        <w:left w:val="none" w:sz="0" w:space="0" w:color="auto"/>
        <w:bottom w:val="none" w:sz="0" w:space="0" w:color="auto"/>
        <w:right w:val="none" w:sz="0" w:space="0" w:color="auto"/>
      </w:divBdr>
    </w:div>
    <w:div w:id="2120559944">
      <w:bodyDiv w:val="1"/>
      <w:marLeft w:val="0"/>
      <w:marRight w:val="0"/>
      <w:marTop w:val="0"/>
      <w:marBottom w:val="0"/>
      <w:divBdr>
        <w:top w:val="none" w:sz="0" w:space="0" w:color="auto"/>
        <w:left w:val="none" w:sz="0" w:space="0" w:color="auto"/>
        <w:bottom w:val="none" w:sz="0" w:space="0" w:color="auto"/>
        <w:right w:val="none" w:sz="0" w:space="0" w:color="auto"/>
      </w:divBdr>
    </w:div>
    <w:div w:id="2120684931">
      <w:bodyDiv w:val="1"/>
      <w:marLeft w:val="0"/>
      <w:marRight w:val="0"/>
      <w:marTop w:val="0"/>
      <w:marBottom w:val="0"/>
      <w:divBdr>
        <w:top w:val="none" w:sz="0" w:space="0" w:color="auto"/>
        <w:left w:val="none" w:sz="0" w:space="0" w:color="auto"/>
        <w:bottom w:val="none" w:sz="0" w:space="0" w:color="auto"/>
        <w:right w:val="none" w:sz="0" w:space="0" w:color="auto"/>
      </w:divBdr>
    </w:div>
    <w:div w:id="2120754833">
      <w:bodyDiv w:val="1"/>
      <w:marLeft w:val="0"/>
      <w:marRight w:val="0"/>
      <w:marTop w:val="0"/>
      <w:marBottom w:val="0"/>
      <w:divBdr>
        <w:top w:val="none" w:sz="0" w:space="0" w:color="auto"/>
        <w:left w:val="none" w:sz="0" w:space="0" w:color="auto"/>
        <w:bottom w:val="none" w:sz="0" w:space="0" w:color="auto"/>
        <w:right w:val="none" w:sz="0" w:space="0" w:color="auto"/>
      </w:divBdr>
    </w:div>
    <w:div w:id="2121024616">
      <w:bodyDiv w:val="1"/>
      <w:marLeft w:val="0"/>
      <w:marRight w:val="0"/>
      <w:marTop w:val="0"/>
      <w:marBottom w:val="0"/>
      <w:divBdr>
        <w:top w:val="none" w:sz="0" w:space="0" w:color="auto"/>
        <w:left w:val="none" w:sz="0" w:space="0" w:color="auto"/>
        <w:bottom w:val="none" w:sz="0" w:space="0" w:color="auto"/>
        <w:right w:val="none" w:sz="0" w:space="0" w:color="auto"/>
      </w:divBdr>
    </w:div>
    <w:div w:id="2121027914">
      <w:bodyDiv w:val="1"/>
      <w:marLeft w:val="0"/>
      <w:marRight w:val="0"/>
      <w:marTop w:val="0"/>
      <w:marBottom w:val="0"/>
      <w:divBdr>
        <w:top w:val="none" w:sz="0" w:space="0" w:color="auto"/>
        <w:left w:val="none" w:sz="0" w:space="0" w:color="auto"/>
        <w:bottom w:val="none" w:sz="0" w:space="0" w:color="auto"/>
        <w:right w:val="none" w:sz="0" w:space="0" w:color="auto"/>
      </w:divBdr>
    </w:div>
    <w:div w:id="2121139641">
      <w:bodyDiv w:val="1"/>
      <w:marLeft w:val="0"/>
      <w:marRight w:val="0"/>
      <w:marTop w:val="0"/>
      <w:marBottom w:val="0"/>
      <w:divBdr>
        <w:top w:val="none" w:sz="0" w:space="0" w:color="auto"/>
        <w:left w:val="none" w:sz="0" w:space="0" w:color="auto"/>
        <w:bottom w:val="none" w:sz="0" w:space="0" w:color="auto"/>
        <w:right w:val="none" w:sz="0" w:space="0" w:color="auto"/>
      </w:divBdr>
    </w:div>
    <w:div w:id="2121757010">
      <w:bodyDiv w:val="1"/>
      <w:marLeft w:val="0"/>
      <w:marRight w:val="0"/>
      <w:marTop w:val="0"/>
      <w:marBottom w:val="0"/>
      <w:divBdr>
        <w:top w:val="none" w:sz="0" w:space="0" w:color="auto"/>
        <w:left w:val="none" w:sz="0" w:space="0" w:color="auto"/>
        <w:bottom w:val="none" w:sz="0" w:space="0" w:color="auto"/>
        <w:right w:val="none" w:sz="0" w:space="0" w:color="auto"/>
      </w:divBdr>
    </w:div>
    <w:div w:id="2122336458">
      <w:bodyDiv w:val="1"/>
      <w:marLeft w:val="0"/>
      <w:marRight w:val="0"/>
      <w:marTop w:val="0"/>
      <w:marBottom w:val="0"/>
      <w:divBdr>
        <w:top w:val="none" w:sz="0" w:space="0" w:color="auto"/>
        <w:left w:val="none" w:sz="0" w:space="0" w:color="auto"/>
        <w:bottom w:val="none" w:sz="0" w:space="0" w:color="auto"/>
        <w:right w:val="none" w:sz="0" w:space="0" w:color="auto"/>
      </w:divBdr>
    </w:div>
    <w:div w:id="2122414849">
      <w:bodyDiv w:val="1"/>
      <w:marLeft w:val="0"/>
      <w:marRight w:val="0"/>
      <w:marTop w:val="0"/>
      <w:marBottom w:val="0"/>
      <w:divBdr>
        <w:top w:val="none" w:sz="0" w:space="0" w:color="auto"/>
        <w:left w:val="none" w:sz="0" w:space="0" w:color="auto"/>
        <w:bottom w:val="none" w:sz="0" w:space="0" w:color="auto"/>
        <w:right w:val="none" w:sz="0" w:space="0" w:color="auto"/>
      </w:divBdr>
    </w:div>
    <w:div w:id="2123070469">
      <w:bodyDiv w:val="1"/>
      <w:marLeft w:val="0"/>
      <w:marRight w:val="0"/>
      <w:marTop w:val="0"/>
      <w:marBottom w:val="0"/>
      <w:divBdr>
        <w:top w:val="none" w:sz="0" w:space="0" w:color="auto"/>
        <w:left w:val="none" w:sz="0" w:space="0" w:color="auto"/>
        <w:bottom w:val="none" w:sz="0" w:space="0" w:color="auto"/>
        <w:right w:val="none" w:sz="0" w:space="0" w:color="auto"/>
      </w:divBdr>
    </w:div>
    <w:div w:id="2123111115">
      <w:bodyDiv w:val="1"/>
      <w:marLeft w:val="0"/>
      <w:marRight w:val="0"/>
      <w:marTop w:val="0"/>
      <w:marBottom w:val="0"/>
      <w:divBdr>
        <w:top w:val="none" w:sz="0" w:space="0" w:color="auto"/>
        <w:left w:val="none" w:sz="0" w:space="0" w:color="auto"/>
        <w:bottom w:val="none" w:sz="0" w:space="0" w:color="auto"/>
        <w:right w:val="none" w:sz="0" w:space="0" w:color="auto"/>
      </w:divBdr>
    </w:div>
    <w:div w:id="2123303051">
      <w:bodyDiv w:val="1"/>
      <w:marLeft w:val="0"/>
      <w:marRight w:val="0"/>
      <w:marTop w:val="0"/>
      <w:marBottom w:val="0"/>
      <w:divBdr>
        <w:top w:val="none" w:sz="0" w:space="0" w:color="auto"/>
        <w:left w:val="none" w:sz="0" w:space="0" w:color="auto"/>
        <w:bottom w:val="none" w:sz="0" w:space="0" w:color="auto"/>
        <w:right w:val="none" w:sz="0" w:space="0" w:color="auto"/>
      </w:divBdr>
    </w:div>
    <w:div w:id="2123840906">
      <w:bodyDiv w:val="1"/>
      <w:marLeft w:val="0"/>
      <w:marRight w:val="0"/>
      <w:marTop w:val="0"/>
      <w:marBottom w:val="0"/>
      <w:divBdr>
        <w:top w:val="none" w:sz="0" w:space="0" w:color="auto"/>
        <w:left w:val="none" w:sz="0" w:space="0" w:color="auto"/>
        <w:bottom w:val="none" w:sz="0" w:space="0" w:color="auto"/>
        <w:right w:val="none" w:sz="0" w:space="0" w:color="auto"/>
      </w:divBdr>
    </w:div>
    <w:div w:id="2124496963">
      <w:bodyDiv w:val="1"/>
      <w:marLeft w:val="0"/>
      <w:marRight w:val="0"/>
      <w:marTop w:val="0"/>
      <w:marBottom w:val="0"/>
      <w:divBdr>
        <w:top w:val="none" w:sz="0" w:space="0" w:color="auto"/>
        <w:left w:val="none" w:sz="0" w:space="0" w:color="auto"/>
        <w:bottom w:val="none" w:sz="0" w:space="0" w:color="auto"/>
        <w:right w:val="none" w:sz="0" w:space="0" w:color="auto"/>
      </w:divBdr>
    </w:div>
    <w:div w:id="2124498095">
      <w:bodyDiv w:val="1"/>
      <w:marLeft w:val="0"/>
      <w:marRight w:val="0"/>
      <w:marTop w:val="0"/>
      <w:marBottom w:val="0"/>
      <w:divBdr>
        <w:top w:val="none" w:sz="0" w:space="0" w:color="auto"/>
        <w:left w:val="none" w:sz="0" w:space="0" w:color="auto"/>
        <w:bottom w:val="none" w:sz="0" w:space="0" w:color="auto"/>
        <w:right w:val="none" w:sz="0" w:space="0" w:color="auto"/>
      </w:divBdr>
    </w:div>
    <w:div w:id="2125073111">
      <w:bodyDiv w:val="1"/>
      <w:marLeft w:val="0"/>
      <w:marRight w:val="0"/>
      <w:marTop w:val="0"/>
      <w:marBottom w:val="0"/>
      <w:divBdr>
        <w:top w:val="none" w:sz="0" w:space="0" w:color="auto"/>
        <w:left w:val="none" w:sz="0" w:space="0" w:color="auto"/>
        <w:bottom w:val="none" w:sz="0" w:space="0" w:color="auto"/>
        <w:right w:val="none" w:sz="0" w:space="0" w:color="auto"/>
      </w:divBdr>
    </w:div>
    <w:div w:id="2125230615">
      <w:bodyDiv w:val="1"/>
      <w:marLeft w:val="0"/>
      <w:marRight w:val="0"/>
      <w:marTop w:val="0"/>
      <w:marBottom w:val="0"/>
      <w:divBdr>
        <w:top w:val="none" w:sz="0" w:space="0" w:color="auto"/>
        <w:left w:val="none" w:sz="0" w:space="0" w:color="auto"/>
        <w:bottom w:val="none" w:sz="0" w:space="0" w:color="auto"/>
        <w:right w:val="none" w:sz="0" w:space="0" w:color="auto"/>
      </w:divBdr>
      <w:divsChild>
        <w:div w:id="905148941">
          <w:marLeft w:val="0"/>
          <w:marRight w:val="0"/>
          <w:marTop w:val="0"/>
          <w:marBottom w:val="0"/>
          <w:divBdr>
            <w:top w:val="none" w:sz="0" w:space="0" w:color="auto"/>
            <w:left w:val="none" w:sz="0" w:space="0" w:color="auto"/>
            <w:bottom w:val="none" w:sz="0" w:space="0" w:color="auto"/>
            <w:right w:val="none" w:sz="0" w:space="0" w:color="auto"/>
          </w:divBdr>
        </w:div>
      </w:divsChild>
    </w:div>
    <w:div w:id="2125876969">
      <w:bodyDiv w:val="1"/>
      <w:marLeft w:val="0"/>
      <w:marRight w:val="0"/>
      <w:marTop w:val="0"/>
      <w:marBottom w:val="0"/>
      <w:divBdr>
        <w:top w:val="none" w:sz="0" w:space="0" w:color="auto"/>
        <w:left w:val="none" w:sz="0" w:space="0" w:color="auto"/>
        <w:bottom w:val="none" w:sz="0" w:space="0" w:color="auto"/>
        <w:right w:val="none" w:sz="0" w:space="0" w:color="auto"/>
      </w:divBdr>
    </w:div>
    <w:div w:id="2126072775">
      <w:bodyDiv w:val="1"/>
      <w:marLeft w:val="0"/>
      <w:marRight w:val="0"/>
      <w:marTop w:val="0"/>
      <w:marBottom w:val="0"/>
      <w:divBdr>
        <w:top w:val="none" w:sz="0" w:space="0" w:color="auto"/>
        <w:left w:val="none" w:sz="0" w:space="0" w:color="auto"/>
        <w:bottom w:val="none" w:sz="0" w:space="0" w:color="auto"/>
        <w:right w:val="none" w:sz="0" w:space="0" w:color="auto"/>
      </w:divBdr>
    </w:div>
    <w:div w:id="2126147018">
      <w:bodyDiv w:val="1"/>
      <w:marLeft w:val="0"/>
      <w:marRight w:val="0"/>
      <w:marTop w:val="0"/>
      <w:marBottom w:val="0"/>
      <w:divBdr>
        <w:top w:val="none" w:sz="0" w:space="0" w:color="auto"/>
        <w:left w:val="none" w:sz="0" w:space="0" w:color="auto"/>
        <w:bottom w:val="none" w:sz="0" w:space="0" w:color="auto"/>
        <w:right w:val="none" w:sz="0" w:space="0" w:color="auto"/>
      </w:divBdr>
    </w:div>
    <w:div w:id="2126264508">
      <w:bodyDiv w:val="1"/>
      <w:marLeft w:val="0"/>
      <w:marRight w:val="0"/>
      <w:marTop w:val="0"/>
      <w:marBottom w:val="0"/>
      <w:divBdr>
        <w:top w:val="none" w:sz="0" w:space="0" w:color="auto"/>
        <w:left w:val="none" w:sz="0" w:space="0" w:color="auto"/>
        <w:bottom w:val="none" w:sz="0" w:space="0" w:color="auto"/>
        <w:right w:val="none" w:sz="0" w:space="0" w:color="auto"/>
      </w:divBdr>
    </w:div>
    <w:div w:id="2126340926">
      <w:bodyDiv w:val="1"/>
      <w:marLeft w:val="0"/>
      <w:marRight w:val="0"/>
      <w:marTop w:val="0"/>
      <w:marBottom w:val="0"/>
      <w:divBdr>
        <w:top w:val="none" w:sz="0" w:space="0" w:color="auto"/>
        <w:left w:val="none" w:sz="0" w:space="0" w:color="auto"/>
        <w:bottom w:val="none" w:sz="0" w:space="0" w:color="auto"/>
        <w:right w:val="none" w:sz="0" w:space="0" w:color="auto"/>
      </w:divBdr>
    </w:div>
    <w:div w:id="2126607325">
      <w:bodyDiv w:val="1"/>
      <w:marLeft w:val="0"/>
      <w:marRight w:val="0"/>
      <w:marTop w:val="0"/>
      <w:marBottom w:val="0"/>
      <w:divBdr>
        <w:top w:val="none" w:sz="0" w:space="0" w:color="auto"/>
        <w:left w:val="none" w:sz="0" w:space="0" w:color="auto"/>
        <w:bottom w:val="none" w:sz="0" w:space="0" w:color="auto"/>
        <w:right w:val="none" w:sz="0" w:space="0" w:color="auto"/>
      </w:divBdr>
    </w:div>
    <w:div w:id="2126998768">
      <w:bodyDiv w:val="1"/>
      <w:marLeft w:val="0"/>
      <w:marRight w:val="0"/>
      <w:marTop w:val="0"/>
      <w:marBottom w:val="0"/>
      <w:divBdr>
        <w:top w:val="none" w:sz="0" w:space="0" w:color="auto"/>
        <w:left w:val="none" w:sz="0" w:space="0" w:color="auto"/>
        <w:bottom w:val="none" w:sz="0" w:space="0" w:color="auto"/>
        <w:right w:val="none" w:sz="0" w:space="0" w:color="auto"/>
      </w:divBdr>
    </w:div>
    <w:div w:id="2127195097">
      <w:bodyDiv w:val="1"/>
      <w:marLeft w:val="0"/>
      <w:marRight w:val="0"/>
      <w:marTop w:val="0"/>
      <w:marBottom w:val="0"/>
      <w:divBdr>
        <w:top w:val="none" w:sz="0" w:space="0" w:color="auto"/>
        <w:left w:val="none" w:sz="0" w:space="0" w:color="auto"/>
        <w:bottom w:val="none" w:sz="0" w:space="0" w:color="auto"/>
        <w:right w:val="none" w:sz="0" w:space="0" w:color="auto"/>
      </w:divBdr>
    </w:div>
    <w:div w:id="2128036856">
      <w:bodyDiv w:val="1"/>
      <w:marLeft w:val="0"/>
      <w:marRight w:val="0"/>
      <w:marTop w:val="0"/>
      <w:marBottom w:val="0"/>
      <w:divBdr>
        <w:top w:val="none" w:sz="0" w:space="0" w:color="auto"/>
        <w:left w:val="none" w:sz="0" w:space="0" w:color="auto"/>
        <w:bottom w:val="none" w:sz="0" w:space="0" w:color="auto"/>
        <w:right w:val="none" w:sz="0" w:space="0" w:color="auto"/>
      </w:divBdr>
    </w:div>
    <w:div w:id="2129471175">
      <w:bodyDiv w:val="1"/>
      <w:marLeft w:val="0"/>
      <w:marRight w:val="0"/>
      <w:marTop w:val="0"/>
      <w:marBottom w:val="0"/>
      <w:divBdr>
        <w:top w:val="none" w:sz="0" w:space="0" w:color="auto"/>
        <w:left w:val="none" w:sz="0" w:space="0" w:color="auto"/>
        <w:bottom w:val="none" w:sz="0" w:space="0" w:color="auto"/>
        <w:right w:val="none" w:sz="0" w:space="0" w:color="auto"/>
      </w:divBdr>
    </w:div>
    <w:div w:id="2130588631">
      <w:bodyDiv w:val="1"/>
      <w:marLeft w:val="0"/>
      <w:marRight w:val="0"/>
      <w:marTop w:val="0"/>
      <w:marBottom w:val="0"/>
      <w:divBdr>
        <w:top w:val="none" w:sz="0" w:space="0" w:color="auto"/>
        <w:left w:val="none" w:sz="0" w:space="0" w:color="auto"/>
        <w:bottom w:val="none" w:sz="0" w:space="0" w:color="auto"/>
        <w:right w:val="none" w:sz="0" w:space="0" w:color="auto"/>
      </w:divBdr>
    </w:div>
    <w:div w:id="2131197506">
      <w:bodyDiv w:val="1"/>
      <w:marLeft w:val="0"/>
      <w:marRight w:val="0"/>
      <w:marTop w:val="0"/>
      <w:marBottom w:val="0"/>
      <w:divBdr>
        <w:top w:val="none" w:sz="0" w:space="0" w:color="auto"/>
        <w:left w:val="none" w:sz="0" w:space="0" w:color="auto"/>
        <w:bottom w:val="none" w:sz="0" w:space="0" w:color="auto"/>
        <w:right w:val="none" w:sz="0" w:space="0" w:color="auto"/>
      </w:divBdr>
    </w:div>
    <w:div w:id="2131707777">
      <w:bodyDiv w:val="1"/>
      <w:marLeft w:val="0"/>
      <w:marRight w:val="0"/>
      <w:marTop w:val="0"/>
      <w:marBottom w:val="0"/>
      <w:divBdr>
        <w:top w:val="none" w:sz="0" w:space="0" w:color="auto"/>
        <w:left w:val="none" w:sz="0" w:space="0" w:color="auto"/>
        <w:bottom w:val="none" w:sz="0" w:space="0" w:color="auto"/>
        <w:right w:val="none" w:sz="0" w:space="0" w:color="auto"/>
      </w:divBdr>
    </w:div>
    <w:div w:id="2132086140">
      <w:bodyDiv w:val="1"/>
      <w:marLeft w:val="0"/>
      <w:marRight w:val="0"/>
      <w:marTop w:val="0"/>
      <w:marBottom w:val="0"/>
      <w:divBdr>
        <w:top w:val="none" w:sz="0" w:space="0" w:color="auto"/>
        <w:left w:val="none" w:sz="0" w:space="0" w:color="auto"/>
        <w:bottom w:val="none" w:sz="0" w:space="0" w:color="auto"/>
        <w:right w:val="none" w:sz="0" w:space="0" w:color="auto"/>
      </w:divBdr>
    </w:div>
    <w:div w:id="2132170216">
      <w:bodyDiv w:val="1"/>
      <w:marLeft w:val="0"/>
      <w:marRight w:val="0"/>
      <w:marTop w:val="0"/>
      <w:marBottom w:val="0"/>
      <w:divBdr>
        <w:top w:val="none" w:sz="0" w:space="0" w:color="auto"/>
        <w:left w:val="none" w:sz="0" w:space="0" w:color="auto"/>
        <w:bottom w:val="none" w:sz="0" w:space="0" w:color="auto"/>
        <w:right w:val="none" w:sz="0" w:space="0" w:color="auto"/>
      </w:divBdr>
    </w:div>
    <w:div w:id="2132894686">
      <w:bodyDiv w:val="1"/>
      <w:marLeft w:val="0"/>
      <w:marRight w:val="0"/>
      <w:marTop w:val="0"/>
      <w:marBottom w:val="0"/>
      <w:divBdr>
        <w:top w:val="none" w:sz="0" w:space="0" w:color="auto"/>
        <w:left w:val="none" w:sz="0" w:space="0" w:color="auto"/>
        <w:bottom w:val="none" w:sz="0" w:space="0" w:color="auto"/>
        <w:right w:val="none" w:sz="0" w:space="0" w:color="auto"/>
      </w:divBdr>
    </w:div>
    <w:div w:id="2132895677">
      <w:bodyDiv w:val="1"/>
      <w:marLeft w:val="0"/>
      <w:marRight w:val="0"/>
      <w:marTop w:val="0"/>
      <w:marBottom w:val="0"/>
      <w:divBdr>
        <w:top w:val="none" w:sz="0" w:space="0" w:color="auto"/>
        <w:left w:val="none" w:sz="0" w:space="0" w:color="auto"/>
        <w:bottom w:val="none" w:sz="0" w:space="0" w:color="auto"/>
        <w:right w:val="none" w:sz="0" w:space="0" w:color="auto"/>
      </w:divBdr>
    </w:div>
    <w:div w:id="2135168897">
      <w:bodyDiv w:val="1"/>
      <w:marLeft w:val="0"/>
      <w:marRight w:val="0"/>
      <w:marTop w:val="0"/>
      <w:marBottom w:val="0"/>
      <w:divBdr>
        <w:top w:val="none" w:sz="0" w:space="0" w:color="auto"/>
        <w:left w:val="none" w:sz="0" w:space="0" w:color="auto"/>
        <w:bottom w:val="none" w:sz="0" w:space="0" w:color="auto"/>
        <w:right w:val="none" w:sz="0" w:space="0" w:color="auto"/>
      </w:divBdr>
    </w:div>
    <w:div w:id="2137410502">
      <w:bodyDiv w:val="1"/>
      <w:marLeft w:val="0"/>
      <w:marRight w:val="0"/>
      <w:marTop w:val="0"/>
      <w:marBottom w:val="0"/>
      <w:divBdr>
        <w:top w:val="none" w:sz="0" w:space="0" w:color="auto"/>
        <w:left w:val="none" w:sz="0" w:space="0" w:color="auto"/>
        <w:bottom w:val="none" w:sz="0" w:space="0" w:color="auto"/>
        <w:right w:val="none" w:sz="0" w:space="0" w:color="auto"/>
      </w:divBdr>
    </w:div>
    <w:div w:id="2138794104">
      <w:bodyDiv w:val="1"/>
      <w:marLeft w:val="0"/>
      <w:marRight w:val="0"/>
      <w:marTop w:val="0"/>
      <w:marBottom w:val="0"/>
      <w:divBdr>
        <w:top w:val="none" w:sz="0" w:space="0" w:color="auto"/>
        <w:left w:val="none" w:sz="0" w:space="0" w:color="auto"/>
        <w:bottom w:val="none" w:sz="0" w:space="0" w:color="auto"/>
        <w:right w:val="none" w:sz="0" w:space="0" w:color="auto"/>
      </w:divBdr>
    </w:div>
    <w:div w:id="2139377862">
      <w:bodyDiv w:val="1"/>
      <w:marLeft w:val="0"/>
      <w:marRight w:val="0"/>
      <w:marTop w:val="0"/>
      <w:marBottom w:val="0"/>
      <w:divBdr>
        <w:top w:val="none" w:sz="0" w:space="0" w:color="auto"/>
        <w:left w:val="none" w:sz="0" w:space="0" w:color="auto"/>
        <w:bottom w:val="none" w:sz="0" w:space="0" w:color="auto"/>
        <w:right w:val="none" w:sz="0" w:space="0" w:color="auto"/>
      </w:divBdr>
    </w:div>
    <w:div w:id="2139492236">
      <w:bodyDiv w:val="1"/>
      <w:marLeft w:val="0"/>
      <w:marRight w:val="0"/>
      <w:marTop w:val="0"/>
      <w:marBottom w:val="0"/>
      <w:divBdr>
        <w:top w:val="none" w:sz="0" w:space="0" w:color="auto"/>
        <w:left w:val="none" w:sz="0" w:space="0" w:color="auto"/>
        <w:bottom w:val="none" w:sz="0" w:space="0" w:color="auto"/>
        <w:right w:val="none" w:sz="0" w:space="0" w:color="auto"/>
      </w:divBdr>
    </w:div>
    <w:div w:id="2140302106">
      <w:bodyDiv w:val="1"/>
      <w:marLeft w:val="0"/>
      <w:marRight w:val="0"/>
      <w:marTop w:val="0"/>
      <w:marBottom w:val="0"/>
      <w:divBdr>
        <w:top w:val="none" w:sz="0" w:space="0" w:color="auto"/>
        <w:left w:val="none" w:sz="0" w:space="0" w:color="auto"/>
        <w:bottom w:val="none" w:sz="0" w:space="0" w:color="auto"/>
        <w:right w:val="none" w:sz="0" w:space="0" w:color="auto"/>
      </w:divBdr>
    </w:div>
    <w:div w:id="2140755866">
      <w:bodyDiv w:val="1"/>
      <w:marLeft w:val="0"/>
      <w:marRight w:val="0"/>
      <w:marTop w:val="0"/>
      <w:marBottom w:val="0"/>
      <w:divBdr>
        <w:top w:val="none" w:sz="0" w:space="0" w:color="auto"/>
        <w:left w:val="none" w:sz="0" w:space="0" w:color="auto"/>
        <w:bottom w:val="none" w:sz="0" w:space="0" w:color="auto"/>
        <w:right w:val="none" w:sz="0" w:space="0" w:color="auto"/>
      </w:divBdr>
    </w:div>
    <w:div w:id="2141262723">
      <w:bodyDiv w:val="1"/>
      <w:marLeft w:val="0"/>
      <w:marRight w:val="0"/>
      <w:marTop w:val="0"/>
      <w:marBottom w:val="0"/>
      <w:divBdr>
        <w:top w:val="none" w:sz="0" w:space="0" w:color="auto"/>
        <w:left w:val="none" w:sz="0" w:space="0" w:color="auto"/>
        <w:bottom w:val="none" w:sz="0" w:space="0" w:color="auto"/>
        <w:right w:val="none" w:sz="0" w:space="0" w:color="auto"/>
      </w:divBdr>
    </w:div>
    <w:div w:id="2141266772">
      <w:bodyDiv w:val="1"/>
      <w:marLeft w:val="0"/>
      <w:marRight w:val="0"/>
      <w:marTop w:val="0"/>
      <w:marBottom w:val="0"/>
      <w:divBdr>
        <w:top w:val="none" w:sz="0" w:space="0" w:color="auto"/>
        <w:left w:val="none" w:sz="0" w:space="0" w:color="auto"/>
        <w:bottom w:val="none" w:sz="0" w:space="0" w:color="auto"/>
        <w:right w:val="none" w:sz="0" w:space="0" w:color="auto"/>
      </w:divBdr>
    </w:div>
    <w:div w:id="2141486316">
      <w:bodyDiv w:val="1"/>
      <w:marLeft w:val="0"/>
      <w:marRight w:val="0"/>
      <w:marTop w:val="0"/>
      <w:marBottom w:val="0"/>
      <w:divBdr>
        <w:top w:val="none" w:sz="0" w:space="0" w:color="auto"/>
        <w:left w:val="none" w:sz="0" w:space="0" w:color="auto"/>
        <w:bottom w:val="none" w:sz="0" w:space="0" w:color="auto"/>
        <w:right w:val="none" w:sz="0" w:space="0" w:color="auto"/>
      </w:divBdr>
    </w:div>
    <w:div w:id="2143304902">
      <w:bodyDiv w:val="1"/>
      <w:marLeft w:val="0"/>
      <w:marRight w:val="0"/>
      <w:marTop w:val="0"/>
      <w:marBottom w:val="0"/>
      <w:divBdr>
        <w:top w:val="none" w:sz="0" w:space="0" w:color="auto"/>
        <w:left w:val="none" w:sz="0" w:space="0" w:color="auto"/>
        <w:bottom w:val="none" w:sz="0" w:space="0" w:color="auto"/>
        <w:right w:val="none" w:sz="0" w:space="0" w:color="auto"/>
      </w:divBdr>
    </w:div>
    <w:div w:id="2144030839">
      <w:bodyDiv w:val="1"/>
      <w:marLeft w:val="0"/>
      <w:marRight w:val="0"/>
      <w:marTop w:val="0"/>
      <w:marBottom w:val="0"/>
      <w:divBdr>
        <w:top w:val="none" w:sz="0" w:space="0" w:color="auto"/>
        <w:left w:val="none" w:sz="0" w:space="0" w:color="auto"/>
        <w:bottom w:val="none" w:sz="0" w:space="0" w:color="auto"/>
        <w:right w:val="none" w:sz="0" w:space="0" w:color="auto"/>
      </w:divBdr>
    </w:div>
    <w:div w:id="2144156586">
      <w:bodyDiv w:val="1"/>
      <w:marLeft w:val="0"/>
      <w:marRight w:val="0"/>
      <w:marTop w:val="0"/>
      <w:marBottom w:val="0"/>
      <w:divBdr>
        <w:top w:val="none" w:sz="0" w:space="0" w:color="auto"/>
        <w:left w:val="none" w:sz="0" w:space="0" w:color="auto"/>
        <w:bottom w:val="none" w:sz="0" w:space="0" w:color="auto"/>
        <w:right w:val="none" w:sz="0" w:space="0" w:color="auto"/>
      </w:divBdr>
    </w:div>
    <w:div w:id="2144615306">
      <w:bodyDiv w:val="1"/>
      <w:marLeft w:val="0"/>
      <w:marRight w:val="0"/>
      <w:marTop w:val="0"/>
      <w:marBottom w:val="0"/>
      <w:divBdr>
        <w:top w:val="none" w:sz="0" w:space="0" w:color="auto"/>
        <w:left w:val="none" w:sz="0" w:space="0" w:color="auto"/>
        <w:bottom w:val="none" w:sz="0" w:space="0" w:color="auto"/>
        <w:right w:val="none" w:sz="0" w:space="0" w:color="auto"/>
      </w:divBdr>
    </w:div>
    <w:div w:id="2145654978">
      <w:bodyDiv w:val="1"/>
      <w:marLeft w:val="0"/>
      <w:marRight w:val="0"/>
      <w:marTop w:val="0"/>
      <w:marBottom w:val="0"/>
      <w:divBdr>
        <w:top w:val="none" w:sz="0" w:space="0" w:color="auto"/>
        <w:left w:val="none" w:sz="0" w:space="0" w:color="auto"/>
        <w:bottom w:val="none" w:sz="0" w:space="0" w:color="auto"/>
        <w:right w:val="none" w:sz="0" w:space="0" w:color="auto"/>
      </w:divBdr>
    </w:div>
    <w:div w:id="2145999059">
      <w:bodyDiv w:val="1"/>
      <w:marLeft w:val="0"/>
      <w:marRight w:val="0"/>
      <w:marTop w:val="0"/>
      <w:marBottom w:val="0"/>
      <w:divBdr>
        <w:top w:val="none" w:sz="0" w:space="0" w:color="auto"/>
        <w:left w:val="none" w:sz="0" w:space="0" w:color="auto"/>
        <w:bottom w:val="none" w:sz="0" w:space="0" w:color="auto"/>
        <w:right w:val="none" w:sz="0" w:space="0" w:color="auto"/>
      </w:divBdr>
    </w:div>
    <w:div w:id="2146048508">
      <w:bodyDiv w:val="1"/>
      <w:marLeft w:val="0"/>
      <w:marRight w:val="0"/>
      <w:marTop w:val="0"/>
      <w:marBottom w:val="0"/>
      <w:divBdr>
        <w:top w:val="none" w:sz="0" w:space="0" w:color="auto"/>
        <w:left w:val="none" w:sz="0" w:space="0" w:color="auto"/>
        <w:bottom w:val="none" w:sz="0" w:space="0" w:color="auto"/>
        <w:right w:val="none" w:sz="0" w:space="0" w:color="auto"/>
      </w:divBdr>
    </w:div>
    <w:div w:id="2147356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emf"/><Relationship Id="rId21" Type="http://schemas.openxmlformats.org/officeDocument/2006/relationships/header" Target="header3.xml"/><Relationship Id="rId42" Type="http://schemas.openxmlformats.org/officeDocument/2006/relationships/footer" Target="footer12.xml"/><Relationship Id="rId47" Type="http://schemas.openxmlformats.org/officeDocument/2006/relationships/header" Target="header14.xml"/><Relationship Id="rId63" Type="http://schemas.openxmlformats.org/officeDocument/2006/relationships/footer" Target="footer22.xml"/><Relationship Id="rId68" Type="http://schemas.openxmlformats.org/officeDocument/2006/relationships/footer" Target="footer24.xml"/><Relationship Id="rId16" Type="http://schemas.openxmlformats.org/officeDocument/2006/relationships/footer" Target="footer3.xml"/><Relationship Id="rId11" Type="http://schemas.openxmlformats.org/officeDocument/2006/relationships/header" Target="header1.xml"/><Relationship Id="rId32" Type="http://schemas.openxmlformats.org/officeDocument/2006/relationships/footer" Target="footer7.xml"/><Relationship Id="rId37" Type="http://schemas.openxmlformats.org/officeDocument/2006/relationships/header" Target="header9.xml"/><Relationship Id="rId53" Type="http://schemas.openxmlformats.org/officeDocument/2006/relationships/header" Target="header17.xml"/><Relationship Id="rId58" Type="http://schemas.openxmlformats.org/officeDocument/2006/relationships/header" Target="header19.xml"/><Relationship Id="rId74" Type="http://schemas.openxmlformats.org/officeDocument/2006/relationships/header" Target="header26.xml"/><Relationship Id="rId79" Type="http://schemas.openxmlformats.org/officeDocument/2006/relationships/footer" Target="footer29.xml"/><Relationship Id="rId5" Type="http://schemas.openxmlformats.org/officeDocument/2006/relationships/numbering" Target="numbering.xml"/><Relationship Id="rId61" Type="http://schemas.openxmlformats.org/officeDocument/2006/relationships/footer" Target="footer21.xml"/><Relationship Id="rId82" Type="http://schemas.openxmlformats.org/officeDocument/2006/relationships/fontTable" Target="fontTable.xml"/><Relationship Id="rId19" Type="http://schemas.openxmlformats.org/officeDocument/2006/relationships/image" Target="media/image9.emf"/><Relationship Id="rId14" Type="http://schemas.openxmlformats.org/officeDocument/2006/relationships/image" Target="media/image4.png"/><Relationship Id="rId22" Type="http://schemas.openxmlformats.org/officeDocument/2006/relationships/footer" Target="footer4.xml"/><Relationship Id="rId27" Type="http://schemas.openxmlformats.org/officeDocument/2006/relationships/image" Target="media/image13.emf"/><Relationship Id="rId30" Type="http://schemas.openxmlformats.org/officeDocument/2006/relationships/footer" Target="footer6.xml"/><Relationship Id="rId35" Type="http://schemas.openxmlformats.org/officeDocument/2006/relationships/footer" Target="footer9.xml"/><Relationship Id="rId43" Type="http://schemas.openxmlformats.org/officeDocument/2006/relationships/header" Target="header12.xml"/><Relationship Id="rId48" Type="http://schemas.openxmlformats.org/officeDocument/2006/relationships/footer" Target="footer15.xml"/><Relationship Id="rId56" Type="http://schemas.openxmlformats.org/officeDocument/2006/relationships/footer" Target="footer19.xml"/><Relationship Id="rId64" Type="http://schemas.openxmlformats.org/officeDocument/2006/relationships/hyperlink" Target="https://ri.caixa.gov.br/informacoes-financeiras/central-de-resultados/" TargetMode="External"/><Relationship Id="rId69" Type="http://schemas.openxmlformats.org/officeDocument/2006/relationships/header" Target="header24.xml"/><Relationship Id="rId77" Type="http://schemas.openxmlformats.org/officeDocument/2006/relationships/footer" Target="footer28.xml"/><Relationship Id="rId8" Type="http://schemas.openxmlformats.org/officeDocument/2006/relationships/webSettings" Target="webSettings.xml"/><Relationship Id="rId51" Type="http://schemas.openxmlformats.org/officeDocument/2006/relationships/header" Target="header16.xml"/><Relationship Id="rId72" Type="http://schemas.openxmlformats.org/officeDocument/2006/relationships/header" Target="header25.xml"/><Relationship Id="rId80" Type="http://schemas.openxmlformats.org/officeDocument/2006/relationships/header" Target="header29.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7.emf"/><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footer" Target="footer10.xml"/><Relationship Id="rId46" Type="http://schemas.openxmlformats.org/officeDocument/2006/relationships/footer" Target="footer14.xml"/><Relationship Id="rId59" Type="http://schemas.openxmlformats.org/officeDocument/2006/relationships/footer" Target="footer20.xml"/><Relationship Id="rId67" Type="http://schemas.openxmlformats.org/officeDocument/2006/relationships/header" Target="header23.xml"/><Relationship Id="rId20" Type="http://schemas.openxmlformats.org/officeDocument/2006/relationships/image" Target="media/image10.emf"/><Relationship Id="rId41" Type="http://schemas.openxmlformats.org/officeDocument/2006/relationships/header" Target="header11.xml"/><Relationship Id="rId54" Type="http://schemas.openxmlformats.org/officeDocument/2006/relationships/footer" Target="footer18.xml"/><Relationship Id="rId62" Type="http://schemas.openxmlformats.org/officeDocument/2006/relationships/header" Target="header21.xml"/><Relationship Id="rId70" Type="http://schemas.openxmlformats.org/officeDocument/2006/relationships/footer" Target="footer25.xml"/><Relationship Id="rId75" Type="http://schemas.openxmlformats.org/officeDocument/2006/relationships/footer" Target="footer27.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image" Target="media/image11.emf"/><Relationship Id="rId28" Type="http://schemas.openxmlformats.org/officeDocument/2006/relationships/hyperlink" Target="https://ri.caixa.gov.br/informacoes-financeiras/central-de-resultados/" TargetMode="External"/><Relationship Id="rId36" Type="http://schemas.openxmlformats.org/officeDocument/2006/relationships/header" Target="header8.xml"/><Relationship Id="rId49" Type="http://schemas.openxmlformats.org/officeDocument/2006/relationships/header" Target="header15.xml"/><Relationship Id="rId57" Type="http://schemas.openxmlformats.org/officeDocument/2006/relationships/hyperlink" Target="https://portalacordo.pagamentodapoupanca.com.br/" TargetMode="External"/><Relationship Id="rId10" Type="http://schemas.openxmlformats.org/officeDocument/2006/relationships/endnotes" Target="endnotes.xml"/><Relationship Id="rId31" Type="http://schemas.openxmlformats.org/officeDocument/2006/relationships/header" Target="header6.xml"/><Relationship Id="rId44" Type="http://schemas.openxmlformats.org/officeDocument/2006/relationships/footer" Target="footer13.xml"/><Relationship Id="rId52" Type="http://schemas.openxmlformats.org/officeDocument/2006/relationships/footer" Target="footer17.xml"/><Relationship Id="rId60" Type="http://schemas.openxmlformats.org/officeDocument/2006/relationships/header" Target="header20.xml"/><Relationship Id="rId65" Type="http://schemas.openxmlformats.org/officeDocument/2006/relationships/header" Target="header22.xml"/><Relationship Id="rId73" Type="http://schemas.openxmlformats.org/officeDocument/2006/relationships/footer" Target="footer26.xml"/><Relationship Id="rId78" Type="http://schemas.openxmlformats.org/officeDocument/2006/relationships/header" Target="header28.xml"/><Relationship Id="rId81" Type="http://schemas.openxmlformats.org/officeDocument/2006/relationships/footer" Target="footer30.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8.emf"/><Relationship Id="rId39" Type="http://schemas.openxmlformats.org/officeDocument/2006/relationships/header" Target="header10.xml"/><Relationship Id="rId34" Type="http://schemas.openxmlformats.org/officeDocument/2006/relationships/header" Target="header7.xml"/><Relationship Id="rId50" Type="http://schemas.openxmlformats.org/officeDocument/2006/relationships/footer" Target="footer16.xml"/><Relationship Id="rId55" Type="http://schemas.openxmlformats.org/officeDocument/2006/relationships/header" Target="header18.xml"/><Relationship Id="rId76" Type="http://schemas.openxmlformats.org/officeDocument/2006/relationships/header" Target="header27.xml"/><Relationship Id="rId7" Type="http://schemas.openxmlformats.org/officeDocument/2006/relationships/settings" Target="settings.xml"/><Relationship Id="rId71" Type="http://schemas.openxmlformats.org/officeDocument/2006/relationships/hyperlink" Target="https://ri.caixa.gov.br/informacoes-financeiras/gerenciamento-de-riscos-e-capital/" TargetMode="External"/><Relationship Id="rId2" Type="http://schemas.openxmlformats.org/officeDocument/2006/relationships/customXml" Target="../customXml/item2.xml"/><Relationship Id="rId29" Type="http://schemas.openxmlformats.org/officeDocument/2006/relationships/header" Target="header5.xml"/><Relationship Id="rId24" Type="http://schemas.openxmlformats.org/officeDocument/2006/relationships/header" Target="header4.xml"/><Relationship Id="rId40" Type="http://schemas.openxmlformats.org/officeDocument/2006/relationships/footer" Target="footer11.xml"/><Relationship Id="rId45" Type="http://schemas.openxmlformats.org/officeDocument/2006/relationships/header" Target="header13.xml"/><Relationship Id="rId66" Type="http://schemas.openxmlformats.org/officeDocument/2006/relationships/footer" Target="footer23.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6.png"/></Relationships>
</file>

<file path=word/_rels/footer4.xml.rels><?xml version="1.0" encoding="UTF-8" standalone="yes"?>
<Relationships xmlns="http://schemas.openxmlformats.org/package/2006/relationships"><Relationship Id="rId1" Type="http://schemas.openxmlformats.org/officeDocument/2006/relationships/image" Target="media/image6.png"/></Relationships>
</file>

<file path=word/_rels/footer5.xml.rels><?xml version="1.0" encoding="UTF-8" standalone="yes"?>
<Relationships xmlns="http://schemas.openxmlformats.org/package/2006/relationships"><Relationship Id="rId1" Type="http://schemas.openxmlformats.org/officeDocument/2006/relationships/image" Target="media/image6.png"/></Relationships>
</file>

<file path=word/_rels/footer6.xml.rels><?xml version="1.0" encoding="UTF-8" standalone="yes"?>
<Relationships xmlns="http://schemas.openxmlformats.org/package/2006/relationships"><Relationship Id="rId1" Type="http://schemas.openxmlformats.org/officeDocument/2006/relationships/image" Target="media/image6.png"/></Relationships>
</file>

<file path=word/_rels/footer7.xml.rels><?xml version="1.0" encoding="UTF-8" standalone="yes"?>
<Relationships xmlns="http://schemas.openxmlformats.org/package/2006/relationships"><Relationship Id="rId1" Type="http://schemas.openxmlformats.org/officeDocument/2006/relationships/image" Target="media/image6.png"/></Relationships>
</file>

<file path=word/_rels/footer8.xml.rels><?xml version="1.0" encoding="UTF-8" standalone="yes"?>
<Relationships xmlns="http://schemas.openxmlformats.org/package/2006/relationships"><Relationship Id="rId1" Type="http://schemas.openxmlformats.org/officeDocument/2006/relationships/image" Target="media/image6.png"/></Relationships>
</file>

<file path=word/_rels/footer9.xml.rels><?xml version="1.0" encoding="UTF-8" standalone="yes"?>
<Relationships xmlns="http://schemas.openxmlformats.org/package/2006/relationships"><Relationship Id="rId1" Type="http://schemas.openxmlformats.org/officeDocument/2006/relationships/image" Target="media/image6.png"/></Relationships>
</file>

<file path=word/_rels/footer10.xml.rels><?xml version="1.0" encoding="UTF-8" standalone="yes"?>
<Relationships xmlns="http://schemas.openxmlformats.org/package/2006/relationships"><Relationship Id="rId1" Type="http://schemas.openxmlformats.org/officeDocument/2006/relationships/image" Target="media/image6.png"/></Relationships>
</file>

<file path=word/_rels/footer11.xml.rels><?xml version="1.0" encoding="UTF-8" standalone="yes"?>
<Relationships xmlns="http://schemas.openxmlformats.org/package/2006/relationships"><Relationship Id="rId1" Type="http://schemas.openxmlformats.org/officeDocument/2006/relationships/image" Target="media/image6.png"/></Relationships>
</file>

<file path=word/_rels/footer12.xml.rels><?xml version="1.0" encoding="UTF-8" standalone="yes"?>
<Relationships xmlns="http://schemas.openxmlformats.org/package/2006/relationships"><Relationship Id="rId1" Type="http://schemas.openxmlformats.org/officeDocument/2006/relationships/image" Target="media/image6.png"/></Relationships>
</file>

<file path=word/_rels/footer13.xml.rels><?xml version="1.0" encoding="UTF-8" standalone="yes"?>
<Relationships xmlns="http://schemas.openxmlformats.org/package/2006/relationships"><Relationship Id="rId1" Type="http://schemas.openxmlformats.org/officeDocument/2006/relationships/image" Target="media/image6.png"/></Relationships>
</file>

<file path=word/_rels/footer14.xml.rels><?xml version="1.0" encoding="UTF-8" standalone="yes"?>
<Relationships xmlns="http://schemas.openxmlformats.org/package/2006/relationships"><Relationship Id="rId1" Type="http://schemas.openxmlformats.org/officeDocument/2006/relationships/image" Target="media/image6.png"/></Relationships>
</file>

<file path=word/_rels/footer15.xml.rels><?xml version="1.0" encoding="UTF-8" standalone="yes"?>
<Relationships xmlns="http://schemas.openxmlformats.org/package/2006/relationships"><Relationship Id="rId1" Type="http://schemas.openxmlformats.org/officeDocument/2006/relationships/image" Target="media/image6.png"/></Relationships>
</file>

<file path=word/_rels/footer16.xml.rels><?xml version="1.0" encoding="UTF-8" standalone="yes"?>
<Relationships xmlns="http://schemas.openxmlformats.org/package/2006/relationships"><Relationship Id="rId1" Type="http://schemas.openxmlformats.org/officeDocument/2006/relationships/image" Target="media/image6.png"/></Relationships>
</file>

<file path=word/_rels/footer17.xml.rels><?xml version="1.0" encoding="UTF-8" standalone="yes"?>
<Relationships xmlns="http://schemas.openxmlformats.org/package/2006/relationships"><Relationship Id="rId1" Type="http://schemas.openxmlformats.org/officeDocument/2006/relationships/image" Target="media/image6.png"/></Relationships>
</file>

<file path=word/_rels/footer18.xml.rels><?xml version="1.0" encoding="UTF-8" standalone="yes"?>
<Relationships xmlns="http://schemas.openxmlformats.org/package/2006/relationships"><Relationship Id="rId1" Type="http://schemas.openxmlformats.org/officeDocument/2006/relationships/image" Target="media/image6.png"/></Relationships>
</file>

<file path=word/_rels/footer19.xml.rels><?xml version="1.0" encoding="UTF-8" standalone="yes"?>
<Relationships xmlns="http://schemas.openxmlformats.org/package/2006/relationships"><Relationship Id="rId1" Type="http://schemas.openxmlformats.org/officeDocument/2006/relationships/image" Target="media/image6.png"/></Relationships>
</file>

<file path=word/_rels/footer20.xml.rels><?xml version="1.0" encoding="UTF-8" standalone="yes"?>
<Relationships xmlns="http://schemas.openxmlformats.org/package/2006/relationships"><Relationship Id="rId1" Type="http://schemas.openxmlformats.org/officeDocument/2006/relationships/image" Target="media/image6.png"/></Relationships>
</file>

<file path=word/_rels/footer21.xml.rels><?xml version="1.0" encoding="UTF-8" standalone="yes"?>
<Relationships xmlns="http://schemas.openxmlformats.org/package/2006/relationships"><Relationship Id="rId1" Type="http://schemas.openxmlformats.org/officeDocument/2006/relationships/image" Target="media/image3.png"/></Relationships>
</file>

<file path=word/_rels/footer22.xml.rels><?xml version="1.0" encoding="UTF-8" standalone="yes"?>
<Relationships xmlns="http://schemas.openxmlformats.org/package/2006/relationships"><Relationship Id="rId1" Type="http://schemas.openxmlformats.org/officeDocument/2006/relationships/image" Target="media/image6.png"/></Relationships>
</file>

<file path=word/_rels/footer23.xml.rels><?xml version="1.0" encoding="UTF-8" standalone="yes"?>
<Relationships xmlns="http://schemas.openxmlformats.org/package/2006/relationships"><Relationship Id="rId1" Type="http://schemas.openxmlformats.org/officeDocument/2006/relationships/image" Target="media/image6.png"/></Relationships>
</file>

<file path=word/_rels/footer24.xml.rels><?xml version="1.0" encoding="UTF-8" standalone="yes"?>
<Relationships xmlns="http://schemas.openxmlformats.org/package/2006/relationships"><Relationship Id="rId1" Type="http://schemas.openxmlformats.org/officeDocument/2006/relationships/image" Target="media/image3.png"/></Relationships>
</file>

<file path=word/_rels/footer25.xml.rels><?xml version="1.0" encoding="UTF-8" standalone="yes"?>
<Relationships xmlns="http://schemas.openxmlformats.org/package/2006/relationships"><Relationship Id="rId1" Type="http://schemas.openxmlformats.org/officeDocument/2006/relationships/image" Target="media/image6.png"/></Relationships>
</file>

<file path=word/_rels/footer26.xml.rels><?xml version="1.0" encoding="UTF-8" standalone="yes"?>
<Relationships xmlns="http://schemas.openxmlformats.org/package/2006/relationships"><Relationship Id="rId1" Type="http://schemas.openxmlformats.org/officeDocument/2006/relationships/image" Target="media/image6.png"/></Relationships>
</file>

<file path=word/_rels/footer27.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1" Type="http://schemas.openxmlformats.org/officeDocument/2006/relationships/image" Target="media/image5.png"/></Relationships>
</file>

<file path=word/_rels/header7.xml.rels><?xml version="1.0" encoding="UTF-8" standalone="yes"?>
<Relationships xmlns="http://schemas.openxmlformats.org/package/2006/relationships"><Relationship Id="rId1" Type="http://schemas.openxmlformats.org/officeDocument/2006/relationships/image" Target="media/image5.png"/></Relationships>
</file>

<file path=word/_rels/header8.xml.rels><?xml version="1.0" encoding="UTF-8" standalone="yes"?>
<Relationships xmlns="http://schemas.openxmlformats.org/package/2006/relationships"><Relationship Id="rId1" Type="http://schemas.openxmlformats.org/officeDocument/2006/relationships/image" Target="media/image5.png"/></Relationships>
</file>

<file path=word/_rels/header9.xml.rels><?xml version="1.0" encoding="UTF-8" standalone="yes"?>
<Relationships xmlns="http://schemas.openxmlformats.org/package/2006/relationships"><Relationship Id="rId1" Type="http://schemas.openxmlformats.org/officeDocument/2006/relationships/image" Target="media/image5.png"/></Relationships>
</file>

<file path=word/_rels/header10.xml.rels><?xml version="1.0" encoding="UTF-8" standalone="yes"?>
<Relationships xmlns="http://schemas.openxmlformats.org/package/2006/relationships"><Relationship Id="rId1" Type="http://schemas.openxmlformats.org/officeDocument/2006/relationships/image" Target="media/image5.png"/></Relationships>
</file>

<file path=word/_rels/header11.xml.rels><?xml version="1.0" encoding="UTF-8" standalone="yes"?>
<Relationships xmlns="http://schemas.openxmlformats.org/package/2006/relationships"><Relationship Id="rId1" Type="http://schemas.openxmlformats.org/officeDocument/2006/relationships/image" Target="media/image5.png"/></Relationships>
</file>

<file path=word/_rels/header12.xml.rels><?xml version="1.0" encoding="UTF-8" standalone="yes"?>
<Relationships xmlns="http://schemas.openxmlformats.org/package/2006/relationships"><Relationship Id="rId1" Type="http://schemas.openxmlformats.org/officeDocument/2006/relationships/image" Target="media/image5.png"/></Relationships>
</file>

<file path=word/_rels/header13.xml.rels><?xml version="1.0" encoding="UTF-8" standalone="yes"?>
<Relationships xmlns="http://schemas.openxmlformats.org/package/2006/relationships"><Relationship Id="rId1" Type="http://schemas.openxmlformats.org/officeDocument/2006/relationships/image" Target="media/image5.png"/></Relationships>
</file>

<file path=word/_rels/header14.xml.rels><?xml version="1.0" encoding="UTF-8" standalone="yes"?>
<Relationships xmlns="http://schemas.openxmlformats.org/package/2006/relationships"><Relationship Id="rId1" Type="http://schemas.openxmlformats.org/officeDocument/2006/relationships/image" Target="media/image5.png"/></Relationships>
</file>

<file path=word/_rels/header15.xml.rels><?xml version="1.0" encoding="UTF-8" standalone="yes"?>
<Relationships xmlns="http://schemas.openxmlformats.org/package/2006/relationships"><Relationship Id="rId1" Type="http://schemas.openxmlformats.org/officeDocument/2006/relationships/image" Target="media/image5.png"/></Relationships>
</file>

<file path=word/_rels/header16.xml.rels><?xml version="1.0" encoding="UTF-8" standalone="yes"?>
<Relationships xmlns="http://schemas.openxmlformats.org/package/2006/relationships"><Relationship Id="rId1" Type="http://schemas.openxmlformats.org/officeDocument/2006/relationships/image" Target="media/image5.png"/></Relationships>
</file>

<file path=word/_rels/header17.xml.rels><?xml version="1.0" encoding="UTF-8" standalone="yes"?>
<Relationships xmlns="http://schemas.openxmlformats.org/package/2006/relationships"><Relationship Id="rId1" Type="http://schemas.openxmlformats.org/officeDocument/2006/relationships/image" Target="media/image5.png"/></Relationships>
</file>

<file path=word/_rels/header18.xml.rels><?xml version="1.0" encoding="UTF-8" standalone="yes"?>
<Relationships xmlns="http://schemas.openxmlformats.org/package/2006/relationships"><Relationship Id="rId1" Type="http://schemas.openxmlformats.org/officeDocument/2006/relationships/image" Target="media/image5.png"/></Relationships>
</file>

<file path=word/_rels/header19.xml.rels><?xml version="1.0" encoding="UTF-8" standalone="yes"?>
<Relationships xmlns="http://schemas.openxmlformats.org/package/2006/relationships"><Relationship Id="rId1" Type="http://schemas.openxmlformats.org/officeDocument/2006/relationships/image" Target="media/image5.png"/></Relationships>
</file>

<file path=word/_rels/header21.xml.rels><?xml version="1.0" encoding="UTF-8" standalone="yes"?>
<Relationships xmlns="http://schemas.openxmlformats.org/package/2006/relationships"><Relationship Id="rId1" Type="http://schemas.openxmlformats.org/officeDocument/2006/relationships/image" Target="media/image5.png"/></Relationships>
</file>

<file path=word/_rels/header22.xml.rels><?xml version="1.0" encoding="UTF-8" standalone="yes"?>
<Relationships xmlns="http://schemas.openxmlformats.org/package/2006/relationships"><Relationship Id="rId1" Type="http://schemas.openxmlformats.org/officeDocument/2006/relationships/image" Target="media/image5.png"/></Relationships>
</file>

<file path=word/_rels/header24.xml.rels><?xml version="1.0" encoding="UTF-8" standalone="yes"?>
<Relationships xmlns="http://schemas.openxmlformats.org/package/2006/relationships"><Relationship Id="rId1" Type="http://schemas.openxmlformats.org/officeDocument/2006/relationships/image" Target="media/image5.png"/></Relationships>
</file>

<file path=word/_rels/header25.xml.rels><?xml version="1.0" encoding="UTF-8" standalone="yes"?>
<Relationships xmlns="http://schemas.openxmlformats.org/package/2006/relationships"><Relationship Id="rId1" Type="http://schemas.openxmlformats.org/officeDocument/2006/relationships/image" Target="media/image5.png"/></Relationships>
</file>

<file path=word/_rels/header26.xml.rels><?xml version="1.0" encoding="UTF-8" standalone="yes"?>
<Relationships xmlns="http://schemas.openxmlformats.org/package/2006/relationships"><Relationship Id="rId1" Type="http://schemas.openxmlformats.org/officeDocument/2006/relationships/image" Target="media/image5.png"/></Relationships>
</file>

<file path=word/_rels/header27.xml.rels><?xml version="1.0" encoding="UTF-8" standalone="yes"?>
<Relationships xmlns="http://schemas.openxmlformats.org/package/2006/relationships"><Relationship Id="rId1" Type="http://schemas.openxmlformats.org/officeDocument/2006/relationships/image" Target="media/image14.png"/></Relationships>
</file>

<file path=word/_rels/header28.xml.rels><?xml version="1.0" encoding="UTF-8" standalone="yes"?>
<Relationships xmlns="http://schemas.openxmlformats.org/package/2006/relationships"><Relationship Id="rId1" Type="http://schemas.openxmlformats.org/officeDocument/2006/relationships/image" Target="media/image15.emf"/></Relationships>
</file>

<file path=word/_rels/header29.xml.rels><?xml version="1.0" encoding="UTF-8" standalone="yes"?>
<Relationships xmlns="http://schemas.openxmlformats.org/package/2006/relationships"><Relationship Id="rId1" Type="http://schemas.openxmlformats.org/officeDocument/2006/relationships/image" Target="media/image1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a6443ccf-9d13-4401-9238-d7ad28d038a5" xsi:nil="true"/>
    <lcf76f155ced4ddcb4097134ff3c332f xmlns="89ac7bd9-aeae-49f8-b30d-d89185adcc1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D43076F246352C4CA508CA1424F8262C" ma:contentTypeVersion="21" ma:contentTypeDescription="Crie um novo documento." ma:contentTypeScope="" ma:versionID="4dcc1f7cbb81bee9549d5e3d6011a662">
  <xsd:schema xmlns:xsd="http://www.w3.org/2001/XMLSchema" xmlns:xs="http://www.w3.org/2001/XMLSchema" xmlns:p="http://schemas.microsoft.com/office/2006/metadata/properties" xmlns:ns1="http://schemas.microsoft.com/sharepoint/v3" xmlns:ns2="89ac7bd9-aeae-49f8-b30d-d89185adcc1f" xmlns:ns3="a6443ccf-9d13-4401-9238-d7ad28d038a5" targetNamespace="http://schemas.microsoft.com/office/2006/metadata/properties" ma:root="true" ma:fieldsID="986061ac300f5129e8ace74fcf50ee6a" ns1:_="" ns2:_="" ns3:_="">
    <xsd:import namespace="http://schemas.microsoft.com/sharepoint/v3"/>
    <xsd:import namespace="89ac7bd9-aeae-49f8-b30d-d89185adcc1f"/>
    <xsd:import namespace="a6443ccf-9d13-4401-9238-d7ad28d038a5"/>
    <xsd:element name="properties">
      <xsd:complexType>
        <xsd:sequence>
          <xsd:element name="documentManagement">
            <xsd:complexType>
              <xsd:all>
                <xsd:element ref="ns2:MediaServiceMetadata" minOccurs="0"/>
                <xsd:element ref="ns2:MediaServiceFastMetadata" minOccurs="0"/>
                <xsd:element ref="ns1:_ip_UnifiedCompliancePolicyProperties" minOccurs="0"/>
                <xsd:element ref="ns1:_ip_UnifiedCompliancePolicyUIAction" minOccurs="0"/>
                <xsd:element ref="ns3:SharedWithUsers" minOccurs="0"/>
                <xsd:element ref="ns3:SharedWithDetails" minOccurs="0"/>
                <xsd:element ref="ns2:MediaServiceDateTaken" minOccurs="0"/>
                <xsd:element ref="ns2:MediaLengthInSeconds" minOccurs="0"/>
                <xsd:element ref="ns3:TaxCatchAll" minOccurs="0"/>
                <xsd:element ref="ns2:MediaServiceGenerationTime" minOccurs="0"/>
                <xsd:element ref="ns2:MediaServiceEventHashCode" minOccurs="0"/>
                <xsd:element ref="ns2:lcf76f155ced4ddcb4097134ff3c332f" minOccurs="0"/>
                <xsd:element ref="ns2:MediaServiceAutoKeyPoints" minOccurs="0"/>
                <xsd:element ref="ns2:MediaServiceKeyPoints"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Propriedades da Política de Conformidade Unificada" ma:hidden="true" ma:internalName="_ip_UnifiedCompliancePolicyProperties">
      <xsd:simpleType>
        <xsd:restriction base="dms:Note"/>
      </xsd:simpleType>
    </xsd:element>
    <xsd:element name="_ip_UnifiedCompliancePolicyUIAction" ma:index="11"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9ac7bd9-aeae-49f8-b30d-d89185adcc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Marcações de imagem" ma:readOnly="false" ma:fieldId="{5cf76f15-5ced-4ddc-b409-7134ff3c332f}" ma:taxonomyMulti="true" ma:sspId="4faff722-0fb5-4c44-9338-8716c1879395" ma:termSetId="09814cd3-568e-fe90-9814-8d621ff8fb84" ma:anchorId="fba54fb3-c3e1-fe81-a776-ca4b69148c4d" ma:open="true" ma:isKeyword="false">
      <xsd:complexType>
        <xsd:sequence>
          <xsd:element ref="pc:Terms" minOccurs="0" maxOccurs="1"/>
        </xsd:sequence>
      </xsd:complex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443ccf-9d13-4401-9238-d7ad28d038a5" elementFormDefault="qualified">
    <xsd:import namespace="http://schemas.microsoft.com/office/2006/documentManagement/types"/>
    <xsd:import namespace="http://schemas.microsoft.com/office/infopath/2007/PartnerControls"/>
    <xsd:element name="SharedWithUsers" ma:index="12"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hes de Compartilhado Com" ma:internalName="SharedWithDetails" ma:readOnly="true">
      <xsd:simpleType>
        <xsd:restriction base="dms:Note">
          <xsd:maxLength value="255"/>
        </xsd:restriction>
      </xsd:simpleType>
    </xsd:element>
    <xsd:element name="TaxCatchAll" ma:index="16" nillable="true" ma:displayName="Taxonomy Catch All Column" ma:hidden="true" ma:list="{2c975b39-4589-4920-b8b1-6cacadf254ea}" ma:internalName="TaxCatchAll" ma:showField="CatchAllData" ma:web="a6443ccf-9d13-4401-9238-d7ad28d038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2014DC-0DB3-4459-A325-F284CF442ADF}">
  <ds:schemaRefs>
    <ds:schemaRef ds:uri="http://schemas.microsoft.com/sharepoint/v3/contenttype/forms"/>
  </ds:schemaRefs>
</ds:datastoreItem>
</file>

<file path=customXml/itemProps2.xml><?xml version="1.0" encoding="utf-8"?>
<ds:datastoreItem xmlns:ds="http://schemas.openxmlformats.org/officeDocument/2006/customXml" ds:itemID="{9616438A-2962-46A0-AF7B-AA736BF26DE1}">
  <ds:schemaRefs>
    <ds:schemaRef ds:uri="http://schemas.microsoft.com/office/2006/metadata/properties"/>
    <ds:schemaRef ds:uri="http://schemas.microsoft.com/office/infopath/2007/PartnerControls"/>
    <ds:schemaRef ds:uri="http://schemas.microsoft.com/sharepoint/v3"/>
    <ds:schemaRef ds:uri="dfc6615f-1604-4356-9328-be152c3ad6cb"/>
    <ds:schemaRef ds:uri="0faeec46-a557-401a-bfb0-3b6259be54b9"/>
  </ds:schemaRefs>
</ds:datastoreItem>
</file>

<file path=customXml/itemProps3.xml><?xml version="1.0" encoding="utf-8"?>
<ds:datastoreItem xmlns:ds="http://schemas.openxmlformats.org/officeDocument/2006/customXml" ds:itemID="{7F7DFB84-1CC1-41F9-813B-4D3DC9E565D1}"/>
</file>

<file path=customXml/itemProps4.xml><?xml version="1.0" encoding="utf-8"?>
<ds:datastoreItem xmlns:ds="http://schemas.openxmlformats.org/officeDocument/2006/customXml" ds:itemID="{AAE1E0DA-051E-4D31-AC47-74C43F108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9413</TotalTime>
  <Pages>73</Pages>
  <Words>20720</Words>
  <Characters>132811</Characters>
  <Application>Microsoft Office Word</Application>
  <DocSecurity>0</DocSecurity>
  <Lines>1106</Lines>
  <Paragraphs>306</Paragraphs>
  <ScaleCrop>false</ScaleCrop>
  <HeadingPairs>
    <vt:vector size="2" baseType="variant">
      <vt:variant>
        <vt:lpstr>Título</vt:lpstr>
      </vt:variant>
      <vt:variant>
        <vt:i4>1</vt:i4>
      </vt:variant>
    </vt:vector>
  </HeadingPairs>
  <TitlesOfParts>
    <vt:vector size="1" baseType="lpstr">
      <vt:lpstr/>
    </vt:vector>
  </TitlesOfParts>
  <Company>Caixa Economica Federal</Company>
  <LinksUpToDate>false</LinksUpToDate>
  <CharactersWithSpaces>153225</CharactersWithSpaces>
  <SharedDoc>false</SharedDoc>
  <HLinks>
    <vt:vector size="246" baseType="variant">
      <vt:variant>
        <vt:i4>3604538</vt:i4>
      </vt:variant>
      <vt:variant>
        <vt:i4>231</vt:i4>
      </vt:variant>
      <vt:variant>
        <vt:i4>0</vt:i4>
      </vt:variant>
      <vt:variant>
        <vt:i4>5</vt:i4>
      </vt:variant>
      <vt:variant>
        <vt:lpwstr>https://ri.caixa.gov.br/informacoes-financeiras/gerenciamento-de-riscos-e-capital/</vt:lpwstr>
      </vt:variant>
      <vt:variant>
        <vt:lpwstr/>
      </vt:variant>
      <vt:variant>
        <vt:i4>3145779</vt:i4>
      </vt:variant>
      <vt:variant>
        <vt:i4>228</vt:i4>
      </vt:variant>
      <vt:variant>
        <vt:i4>0</vt:i4>
      </vt:variant>
      <vt:variant>
        <vt:i4>5</vt:i4>
      </vt:variant>
      <vt:variant>
        <vt:lpwstr>https://ri.caixa.gov.br/informacoes-financeiras/central-de-resultados/</vt:lpwstr>
      </vt:variant>
      <vt:variant>
        <vt:lpwstr/>
      </vt:variant>
      <vt:variant>
        <vt:i4>5308424</vt:i4>
      </vt:variant>
      <vt:variant>
        <vt:i4>225</vt:i4>
      </vt:variant>
      <vt:variant>
        <vt:i4>0</vt:i4>
      </vt:variant>
      <vt:variant>
        <vt:i4>5</vt:i4>
      </vt:variant>
      <vt:variant>
        <vt:lpwstr>https://portalacordo.pagamentodapoupanca.com.br/</vt:lpwstr>
      </vt:variant>
      <vt:variant>
        <vt:lpwstr/>
      </vt:variant>
      <vt:variant>
        <vt:i4>917530</vt:i4>
      </vt:variant>
      <vt:variant>
        <vt:i4>222</vt:i4>
      </vt:variant>
      <vt:variant>
        <vt:i4>0</vt:i4>
      </vt:variant>
      <vt:variant>
        <vt:i4>5</vt:i4>
      </vt:variant>
      <vt:variant>
        <vt:lpwstr/>
      </vt:variant>
      <vt:variant>
        <vt:lpwstr>Nota1</vt:lpwstr>
      </vt:variant>
      <vt:variant>
        <vt:i4>1703985</vt:i4>
      </vt:variant>
      <vt:variant>
        <vt:i4>215</vt:i4>
      </vt:variant>
      <vt:variant>
        <vt:i4>0</vt:i4>
      </vt:variant>
      <vt:variant>
        <vt:i4>5</vt:i4>
      </vt:variant>
      <vt:variant>
        <vt:lpwstr/>
      </vt:variant>
      <vt:variant>
        <vt:lpwstr>_Toc164850131</vt:lpwstr>
      </vt:variant>
      <vt:variant>
        <vt:i4>1703985</vt:i4>
      </vt:variant>
      <vt:variant>
        <vt:i4>209</vt:i4>
      </vt:variant>
      <vt:variant>
        <vt:i4>0</vt:i4>
      </vt:variant>
      <vt:variant>
        <vt:i4>5</vt:i4>
      </vt:variant>
      <vt:variant>
        <vt:lpwstr/>
      </vt:variant>
      <vt:variant>
        <vt:lpwstr>_Toc164850130</vt:lpwstr>
      </vt:variant>
      <vt:variant>
        <vt:i4>1769521</vt:i4>
      </vt:variant>
      <vt:variant>
        <vt:i4>203</vt:i4>
      </vt:variant>
      <vt:variant>
        <vt:i4>0</vt:i4>
      </vt:variant>
      <vt:variant>
        <vt:i4>5</vt:i4>
      </vt:variant>
      <vt:variant>
        <vt:lpwstr/>
      </vt:variant>
      <vt:variant>
        <vt:lpwstr>_Toc164850129</vt:lpwstr>
      </vt:variant>
      <vt:variant>
        <vt:i4>1769521</vt:i4>
      </vt:variant>
      <vt:variant>
        <vt:i4>197</vt:i4>
      </vt:variant>
      <vt:variant>
        <vt:i4>0</vt:i4>
      </vt:variant>
      <vt:variant>
        <vt:i4>5</vt:i4>
      </vt:variant>
      <vt:variant>
        <vt:lpwstr/>
      </vt:variant>
      <vt:variant>
        <vt:lpwstr>_Toc164850128</vt:lpwstr>
      </vt:variant>
      <vt:variant>
        <vt:i4>1769521</vt:i4>
      </vt:variant>
      <vt:variant>
        <vt:i4>191</vt:i4>
      </vt:variant>
      <vt:variant>
        <vt:i4>0</vt:i4>
      </vt:variant>
      <vt:variant>
        <vt:i4>5</vt:i4>
      </vt:variant>
      <vt:variant>
        <vt:lpwstr/>
      </vt:variant>
      <vt:variant>
        <vt:lpwstr>_Toc164850127</vt:lpwstr>
      </vt:variant>
      <vt:variant>
        <vt:i4>1769521</vt:i4>
      </vt:variant>
      <vt:variant>
        <vt:i4>185</vt:i4>
      </vt:variant>
      <vt:variant>
        <vt:i4>0</vt:i4>
      </vt:variant>
      <vt:variant>
        <vt:i4>5</vt:i4>
      </vt:variant>
      <vt:variant>
        <vt:lpwstr/>
      </vt:variant>
      <vt:variant>
        <vt:lpwstr>_Toc164850126</vt:lpwstr>
      </vt:variant>
      <vt:variant>
        <vt:i4>1769521</vt:i4>
      </vt:variant>
      <vt:variant>
        <vt:i4>179</vt:i4>
      </vt:variant>
      <vt:variant>
        <vt:i4>0</vt:i4>
      </vt:variant>
      <vt:variant>
        <vt:i4>5</vt:i4>
      </vt:variant>
      <vt:variant>
        <vt:lpwstr/>
      </vt:variant>
      <vt:variant>
        <vt:lpwstr>_Toc164850125</vt:lpwstr>
      </vt:variant>
      <vt:variant>
        <vt:i4>1769521</vt:i4>
      </vt:variant>
      <vt:variant>
        <vt:i4>173</vt:i4>
      </vt:variant>
      <vt:variant>
        <vt:i4>0</vt:i4>
      </vt:variant>
      <vt:variant>
        <vt:i4>5</vt:i4>
      </vt:variant>
      <vt:variant>
        <vt:lpwstr/>
      </vt:variant>
      <vt:variant>
        <vt:lpwstr>_Toc164850124</vt:lpwstr>
      </vt:variant>
      <vt:variant>
        <vt:i4>1769521</vt:i4>
      </vt:variant>
      <vt:variant>
        <vt:i4>167</vt:i4>
      </vt:variant>
      <vt:variant>
        <vt:i4>0</vt:i4>
      </vt:variant>
      <vt:variant>
        <vt:i4>5</vt:i4>
      </vt:variant>
      <vt:variant>
        <vt:lpwstr/>
      </vt:variant>
      <vt:variant>
        <vt:lpwstr>_Toc164850123</vt:lpwstr>
      </vt:variant>
      <vt:variant>
        <vt:i4>1769521</vt:i4>
      </vt:variant>
      <vt:variant>
        <vt:i4>161</vt:i4>
      </vt:variant>
      <vt:variant>
        <vt:i4>0</vt:i4>
      </vt:variant>
      <vt:variant>
        <vt:i4>5</vt:i4>
      </vt:variant>
      <vt:variant>
        <vt:lpwstr/>
      </vt:variant>
      <vt:variant>
        <vt:lpwstr>_Toc164850122</vt:lpwstr>
      </vt:variant>
      <vt:variant>
        <vt:i4>1769521</vt:i4>
      </vt:variant>
      <vt:variant>
        <vt:i4>155</vt:i4>
      </vt:variant>
      <vt:variant>
        <vt:i4>0</vt:i4>
      </vt:variant>
      <vt:variant>
        <vt:i4>5</vt:i4>
      </vt:variant>
      <vt:variant>
        <vt:lpwstr/>
      </vt:variant>
      <vt:variant>
        <vt:lpwstr>_Toc164850121</vt:lpwstr>
      </vt:variant>
      <vt:variant>
        <vt:i4>1769521</vt:i4>
      </vt:variant>
      <vt:variant>
        <vt:i4>149</vt:i4>
      </vt:variant>
      <vt:variant>
        <vt:i4>0</vt:i4>
      </vt:variant>
      <vt:variant>
        <vt:i4>5</vt:i4>
      </vt:variant>
      <vt:variant>
        <vt:lpwstr/>
      </vt:variant>
      <vt:variant>
        <vt:lpwstr>_Toc164850120</vt:lpwstr>
      </vt:variant>
      <vt:variant>
        <vt:i4>1572913</vt:i4>
      </vt:variant>
      <vt:variant>
        <vt:i4>143</vt:i4>
      </vt:variant>
      <vt:variant>
        <vt:i4>0</vt:i4>
      </vt:variant>
      <vt:variant>
        <vt:i4>5</vt:i4>
      </vt:variant>
      <vt:variant>
        <vt:lpwstr/>
      </vt:variant>
      <vt:variant>
        <vt:lpwstr>_Toc164850119</vt:lpwstr>
      </vt:variant>
      <vt:variant>
        <vt:i4>1572913</vt:i4>
      </vt:variant>
      <vt:variant>
        <vt:i4>137</vt:i4>
      </vt:variant>
      <vt:variant>
        <vt:i4>0</vt:i4>
      </vt:variant>
      <vt:variant>
        <vt:i4>5</vt:i4>
      </vt:variant>
      <vt:variant>
        <vt:lpwstr/>
      </vt:variant>
      <vt:variant>
        <vt:lpwstr>_Toc164850118</vt:lpwstr>
      </vt:variant>
      <vt:variant>
        <vt:i4>1572913</vt:i4>
      </vt:variant>
      <vt:variant>
        <vt:i4>131</vt:i4>
      </vt:variant>
      <vt:variant>
        <vt:i4>0</vt:i4>
      </vt:variant>
      <vt:variant>
        <vt:i4>5</vt:i4>
      </vt:variant>
      <vt:variant>
        <vt:lpwstr/>
      </vt:variant>
      <vt:variant>
        <vt:lpwstr>_Toc164850117</vt:lpwstr>
      </vt:variant>
      <vt:variant>
        <vt:i4>1572913</vt:i4>
      </vt:variant>
      <vt:variant>
        <vt:i4>125</vt:i4>
      </vt:variant>
      <vt:variant>
        <vt:i4>0</vt:i4>
      </vt:variant>
      <vt:variant>
        <vt:i4>5</vt:i4>
      </vt:variant>
      <vt:variant>
        <vt:lpwstr/>
      </vt:variant>
      <vt:variant>
        <vt:lpwstr>_Toc164850116</vt:lpwstr>
      </vt:variant>
      <vt:variant>
        <vt:i4>1572913</vt:i4>
      </vt:variant>
      <vt:variant>
        <vt:i4>119</vt:i4>
      </vt:variant>
      <vt:variant>
        <vt:i4>0</vt:i4>
      </vt:variant>
      <vt:variant>
        <vt:i4>5</vt:i4>
      </vt:variant>
      <vt:variant>
        <vt:lpwstr/>
      </vt:variant>
      <vt:variant>
        <vt:lpwstr>_Toc164850115</vt:lpwstr>
      </vt:variant>
      <vt:variant>
        <vt:i4>1572913</vt:i4>
      </vt:variant>
      <vt:variant>
        <vt:i4>113</vt:i4>
      </vt:variant>
      <vt:variant>
        <vt:i4>0</vt:i4>
      </vt:variant>
      <vt:variant>
        <vt:i4>5</vt:i4>
      </vt:variant>
      <vt:variant>
        <vt:lpwstr/>
      </vt:variant>
      <vt:variant>
        <vt:lpwstr>_Toc164850114</vt:lpwstr>
      </vt:variant>
      <vt:variant>
        <vt:i4>1572913</vt:i4>
      </vt:variant>
      <vt:variant>
        <vt:i4>107</vt:i4>
      </vt:variant>
      <vt:variant>
        <vt:i4>0</vt:i4>
      </vt:variant>
      <vt:variant>
        <vt:i4>5</vt:i4>
      </vt:variant>
      <vt:variant>
        <vt:lpwstr/>
      </vt:variant>
      <vt:variant>
        <vt:lpwstr>_Toc164850113</vt:lpwstr>
      </vt:variant>
      <vt:variant>
        <vt:i4>1572913</vt:i4>
      </vt:variant>
      <vt:variant>
        <vt:i4>101</vt:i4>
      </vt:variant>
      <vt:variant>
        <vt:i4>0</vt:i4>
      </vt:variant>
      <vt:variant>
        <vt:i4>5</vt:i4>
      </vt:variant>
      <vt:variant>
        <vt:lpwstr/>
      </vt:variant>
      <vt:variant>
        <vt:lpwstr>_Toc164850112</vt:lpwstr>
      </vt:variant>
      <vt:variant>
        <vt:i4>1572913</vt:i4>
      </vt:variant>
      <vt:variant>
        <vt:i4>95</vt:i4>
      </vt:variant>
      <vt:variant>
        <vt:i4>0</vt:i4>
      </vt:variant>
      <vt:variant>
        <vt:i4>5</vt:i4>
      </vt:variant>
      <vt:variant>
        <vt:lpwstr/>
      </vt:variant>
      <vt:variant>
        <vt:lpwstr>_Toc164850111</vt:lpwstr>
      </vt:variant>
      <vt:variant>
        <vt:i4>1572913</vt:i4>
      </vt:variant>
      <vt:variant>
        <vt:i4>89</vt:i4>
      </vt:variant>
      <vt:variant>
        <vt:i4>0</vt:i4>
      </vt:variant>
      <vt:variant>
        <vt:i4>5</vt:i4>
      </vt:variant>
      <vt:variant>
        <vt:lpwstr/>
      </vt:variant>
      <vt:variant>
        <vt:lpwstr>_Toc164850110</vt:lpwstr>
      </vt:variant>
      <vt:variant>
        <vt:i4>1638449</vt:i4>
      </vt:variant>
      <vt:variant>
        <vt:i4>83</vt:i4>
      </vt:variant>
      <vt:variant>
        <vt:i4>0</vt:i4>
      </vt:variant>
      <vt:variant>
        <vt:i4>5</vt:i4>
      </vt:variant>
      <vt:variant>
        <vt:lpwstr/>
      </vt:variant>
      <vt:variant>
        <vt:lpwstr>_Toc164850109</vt:lpwstr>
      </vt:variant>
      <vt:variant>
        <vt:i4>1638449</vt:i4>
      </vt:variant>
      <vt:variant>
        <vt:i4>77</vt:i4>
      </vt:variant>
      <vt:variant>
        <vt:i4>0</vt:i4>
      </vt:variant>
      <vt:variant>
        <vt:i4>5</vt:i4>
      </vt:variant>
      <vt:variant>
        <vt:lpwstr/>
      </vt:variant>
      <vt:variant>
        <vt:lpwstr>_Toc164850108</vt:lpwstr>
      </vt:variant>
      <vt:variant>
        <vt:i4>1638449</vt:i4>
      </vt:variant>
      <vt:variant>
        <vt:i4>71</vt:i4>
      </vt:variant>
      <vt:variant>
        <vt:i4>0</vt:i4>
      </vt:variant>
      <vt:variant>
        <vt:i4>5</vt:i4>
      </vt:variant>
      <vt:variant>
        <vt:lpwstr/>
      </vt:variant>
      <vt:variant>
        <vt:lpwstr>_Toc164850107</vt:lpwstr>
      </vt:variant>
      <vt:variant>
        <vt:i4>1638449</vt:i4>
      </vt:variant>
      <vt:variant>
        <vt:i4>65</vt:i4>
      </vt:variant>
      <vt:variant>
        <vt:i4>0</vt:i4>
      </vt:variant>
      <vt:variant>
        <vt:i4>5</vt:i4>
      </vt:variant>
      <vt:variant>
        <vt:lpwstr/>
      </vt:variant>
      <vt:variant>
        <vt:lpwstr>_Toc164850106</vt:lpwstr>
      </vt:variant>
      <vt:variant>
        <vt:i4>1638449</vt:i4>
      </vt:variant>
      <vt:variant>
        <vt:i4>59</vt:i4>
      </vt:variant>
      <vt:variant>
        <vt:i4>0</vt:i4>
      </vt:variant>
      <vt:variant>
        <vt:i4>5</vt:i4>
      </vt:variant>
      <vt:variant>
        <vt:lpwstr/>
      </vt:variant>
      <vt:variant>
        <vt:lpwstr>_Toc164850105</vt:lpwstr>
      </vt:variant>
      <vt:variant>
        <vt:i4>1638449</vt:i4>
      </vt:variant>
      <vt:variant>
        <vt:i4>53</vt:i4>
      </vt:variant>
      <vt:variant>
        <vt:i4>0</vt:i4>
      </vt:variant>
      <vt:variant>
        <vt:i4>5</vt:i4>
      </vt:variant>
      <vt:variant>
        <vt:lpwstr/>
      </vt:variant>
      <vt:variant>
        <vt:lpwstr>_Toc164850104</vt:lpwstr>
      </vt:variant>
      <vt:variant>
        <vt:i4>1638449</vt:i4>
      </vt:variant>
      <vt:variant>
        <vt:i4>47</vt:i4>
      </vt:variant>
      <vt:variant>
        <vt:i4>0</vt:i4>
      </vt:variant>
      <vt:variant>
        <vt:i4>5</vt:i4>
      </vt:variant>
      <vt:variant>
        <vt:lpwstr/>
      </vt:variant>
      <vt:variant>
        <vt:lpwstr>_Toc164850103</vt:lpwstr>
      </vt:variant>
      <vt:variant>
        <vt:i4>1638449</vt:i4>
      </vt:variant>
      <vt:variant>
        <vt:i4>41</vt:i4>
      </vt:variant>
      <vt:variant>
        <vt:i4>0</vt:i4>
      </vt:variant>
      <vt:variant>
        <vt:i4>5</vt:i4>
      </vt:variant>
      <vt:variant>
        <vt:lpwstr/>
      </vt:variant>
      <vt:variant>
        <vt:lpwstr>_Toc164850102</vt:lpwstr>
      </vt:variant>
      <vt:variant>
        <vt:i4>1638449</vt:i4>
      </vt:variant>
      <vt:variant>
        <vt:i4>35</vt:i4>
      </vt:variant>
      <vt:variant>
        <vt:i4>0</vt:i4>
      </vt:variant>
      <vt:variant>
        <vt:i4>5</vt:i4>
      </vt:variant>
      <vt:variant>
        <vt:lpwstr/>
      </vt:variant>
      <vt:variant>
        <vt:lpwstr>_Toc164850101</vt:lpwstr>
      </vt:variant>
      <vt:variant>
        <vt:i4>1638449</vt:i4>
      </vt:variant>
      <vt:variant>
        <vt:i4>29</vt:i4>
      </vt:variant>
      <vt:variant>
        <vt:i4>0</vt:i4>
      </vt:variant>
      <vt:variant>
        <vt:i4>5</vt:i4>
      </vt:variant>
      <vt:variant>
        <vt:lpwstr/>
      </vt:variant>
      <vt:variant>
        <vt:lpwstr>_Toc164850100</vt:lpwstr>
      </vt:variant>
      <vt:variant>
        <vt:i4>1048624</vt:i4>
      </vt:variant>
      <vt:variant>
        <vt:i4>23</vt:i4>
      </vt:variant>
      <vt:variant>
        <vt:i4>0</vt:i4>
      </vt:variant>
      <vt:variant>
        <vt:i4>5</vt:i4>
      </vt:variant>
      <vt:variant>
        <vt:lpwstr/>
      </vt:variant>
      <vt:variant>
        <vt:lpwstr>_Toc164850099</vt:lpwstr>
      </vt:variant>
      <vt:variant>
        <vt:i4>1048624</vt:i4>
      </vt:variant>
      <vt:variant>
        <vt:i4>17</vt:i4>
      </vt:variant>
      <vt:variant>
        <vt:i4>0</vt:i4>
      </vt:variant>
      <vt:variant>
        <vt:i4>5</vt:i4>
      </vt:variant>
      <vt:variant>
        <vt:lpwstr/>
      </vt:variant>
      <vt:variant>
        <vt:lpwstr>_Toc164850098</vt:lpwstr>
      </vt:variant>
      <vt:variant>
        <vt:i4>1048624</vt:i4>
      </vt:variant>
      <vt:variant>
        <vt:i4>11</vt:i4>
      </vt:variant>
      <vt:variant>
        <vt:i4>0</vt:i4>
      </vt:variant>
      <vt:variant>
        <vt:i4>5</vt:i4>
      </vt:variant>
      <vt:variant>
        <vt:lpwstr/>
      </vt:variant>
      <vt:variant>
        <vt:lpwstr>_Toc164850097</vt:lpwstr>
      </vt:variant>
      <vt:variant>
        <vt:i4>1048624</vt:i4>
      </vt:variant>
      <vt:variant>
        <vt:i4>5</vt:i4>
      </vt:variant>
      <vt:variant>
        <vt:i4>0</vt:i4>
      </vt:variant>
      <vt:variant>
        <vt:i4>5</vt:i4>
      </vt:variant>
      <vt:variant>
        <vt:lpwstr/>
      </vt:variant>
      <vt:variant>
        <vt:lpwstr>_Toc164850096</vt:lpwstr>
      </vt:variant>
      <vt:variant>
        <vt:i4>7930102</vt:i4>
      </vt:variant>
      <vt:variant>
        <vt:i4>0</vt:i4>
      </vt:variant>
      <vt:variant>
        <vt:i4>0</vt:i4>
      </vt:variant>
      <vt:variant>
        <vt:i4>5</vt:i4>
      </vt:variant>
      <vt:variant>
        <vt:lpwstr/>
      </vt:variant>
      <vt:variant>
        <vt:lpwstr>ÍndiceNotasExplicativas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dos Santos Siqueira</dc:creator>
  <cp:keywords/>
  <dc:description/>
  <cp:lastModifiedBy>Leonardo dos Santos Alves</cp:lastModifiedBy>
  <cp:revision>3787</cp:revision>
  <cp:lastPrinted>2024-05-14T20:40:00Z</cp:lastPrinted>
  <dcterms:created xsi:type="dcterms:W3CDTF">2023-06-15T20:37:00Z</dcterms:created>
  <dcterms:modified xsi:type="dcterms:W3CDTF">2024-05-15T18:37:00Z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0x010100D43076F246352C4CA508CA1424F8262C</vt:lpwstr>
  </property>
  <property fmtid="{D5CDD505-2E9C-101B-9397-08002B2CF9AE}" pid="3" name="Order">
    <vt:r8>559000</vt:r8>
  </property>
  <property fmtid="{D5CDD505-2E9C-101B-9397-08002B2CF9AE}" pid="4" name="MediaServiceImageTags">
    <vt:lpwstr/>
  </property>
  <property fmtid="{D5CDD505-2E9C-101B-9397-08002B2CF9AE}" pid="5" name="MSIP_Label_fde7aacd-7cc4-4c31-9e6f-7ef306428f09_Enabled">
    <vt:lpwstr>true</vt:lpwstr>
  </property>
  <property fmtid="{D5CDD505-2E9C-101B-9397-08002B2CF9AE}" pid="6" name="MSIP_Label_fde7aacd-7cc4-4c31-9e6f-7ef306428f09_Method">
    <vt:lpwstr>Privileged</vt:lpwstr>
  </property>
  <property fmtid="{D5CDD505-2E9C-101B-9397-08002B2CF9AE}" pid="7" name="MSIP_Label_fde7aacd-7cc4-4c31-9e6f-7ef306428f09_Name">
    <vt:lpwstr>_PUBLICO</vt:lpwstr>
  </property>
  <property fmtid="{D5CDD505-2E9C-101B-9397-08002B2CF9AE}" pid="8" name="MSIP_Label_fde7aacd-7cc4-4c31-9e6f-7ef306428f09_SiteId">
    <vt:lpwstr>ab9bba98-684a-43fb-add8-9c2bebede229</vt:lpwstr>
  </property>
  <property fmtid="{D5CDD505-2E9C-101B-9397-08002B2CF9AE}" pid="9" name="MSIP_Label_fde7aacd-7cc4-4c31-9e6f-7ef306428f09_ContentBits">
    <vt:lpwstr>1</vt:lpwstr>
  </property>
  <property fmtid="{D5CDD505-2E9C-101B-9397-08002B2CF9AE}" pid="10" name="MSIP_Label_fde7aacd-7cc4-4c31-9e6f-7ef306428f09_SetDate">
    <vt:lpwstr>2024-02-16T20:24:36Z</vt:lpwstr>
  </property>
  <property fmtid="{D5CDD505-2E9C-101B-9397-08002B2CF9AE}" pid="11" name="MSIP_Label_fde7aacd-7cc4-4c31-9e6f-7ef306428f09_ActionId">
    <vt:lpwstr>f819a689-57cd-4b64-ba19-0e093941848a</vt:lpwstr>
  </property>
</Properties>
</file>